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7.xml" ContentType="application/vnd.openxmlformats-officedocument.wordprocessingml.footer+xml"/>
  <Override PartName="/word/header46.xml" ContentType="application/vnd.openxmlformats-officedocument.wordprocessingml.header+xml"/>
  <Override PartName="/word/footer18.xml" ContentType="application/vnd.openxmlformats-officedocument.wordprocessingml.footer+xml"/>
  <Override PartName="/word/header4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DF9" w:rsidRDefault="00A43FBC">
      <w:pPr>
        <w:spacing w:line="373" w:lineRule="exact"/>
        <w:ind w:left="4042" w:right="4042"/>
        <w:jc w:val="center"/>
        <w:rPr>
          <w:rFonts w:ascii="Tahoma"/>
          <w:sz w:val="32"/>
        </w:rPr>
      </w:pPr>
      <w:r>
        <w:rPr>
          <w:rFonts w:ascii="Tahoma"/>
          <w:noProof/>
          <w:sz w:val="32"/>
        </w:rPr>
        <w:drawing>
          <wp:anchor distT="0" distB="0" distL="0" distR="0" simplePos="0" relativeHeight="487587840" behindDoc="1" locked="0" layoutInCell="1" allowOverlap="1">
            <wp:simplePos x="0" y="0"/>
            <wp:positionH relativeFrom="page">
              <wp:posOffset>3299459</wp:posOffset>
            </wp:positionH>
            <wp:positionV relativeFrom="paragraph">
              <wp:posOffset>242541</wp:posOffset>
            </wp:positionV>
            <wp:extent cx="1353184" cy="131064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353184" cy="1310640"/>
                    </a:xfrm>
                    <a:prstGeom prst="rect">
                      <a:avLst/>
                    </a:prstGeom>
                  </pic:spPr>
                </pic:pic>
              </a:graphicData>
            </a:graphic>
          </wp:anchor>
        </w:drawing>
      </w:r>
      <w:r>
        <w:rPr>
          <w:rFonts w:ascii="Tahoma"/>
          <w:noProof/>
          <w:sz w:val="32"/>
        </w:rPr>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10238638</wp:posOffset>
                </wp:positionV>
                <wp:extent cx="7561580" cy="3111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 name="Graphic 5"/>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6" name="Graphic 6"/>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s:wsp>
                        <wps:cNvPr id="7" name="Textbox 7"/>
                        <wps:cNvSpPr txBox="1"/>
                        <wps:spPr>
                          <a:xfrm>
                            <a:off x="6761733" y="24596"/>
                            <a:ext cx="127635" cy="194945"/>
                          </a:xfrm>
                          <a:prstGeom prst="rect">
                            <a:avLst/>
                          </a:prstGeom>
                        </wps:spPr>
                        <wps:txbx>
                          <w:txbxContent>
                            <w:p w:rsidR="00883FED" w:rsidRDefault="00883FED">
                              <w:pPr>
                                <w:rPr>
                                  <w:rFonts w:ascii="Segoe UI"/>
                                  <w:sz w:val="23"/>
                                </w:rPr>
                              </w:pPr>
                              <w:r>
                                <w:rPr>
                                  <w:spacing w:val="-5"/>
                                </w:rPr>
                                <w:t>ii</w:t>
                              </w:r>
                              <w:r>
                                <w:rPr>
                                  <w:rFonts w:ascii="Segoe UI"/>
                                  <w:color w:val="FFFFFF"/>
                                  <w:spacing w:val="-5"/>
                                  <w:sz w:val="23"/>
                                </w:rPr>
                                <w:t>i</w:t>
                              </w:r>
                            </w:p>
                          </w:txbxContent>
                        </wps:txbx>
                        <wps:bodyPr wrap="square" lIns="0" tIns="0" rIns="0" bIns="0" rtlCol="0">
                          <a:noAutofit/>
                        </wps:bodyPr>
                      </wps:wsp>
                    </wpg:wgp>
                  </a:graphicData>
                </a:graphic>
              </wp:anchor>
            </w:drawing>
          </mc:Choice>
          <mc:Fallback>
            <w:pict>
              <v:group id="Group 4" o:spid="_x0000_s1026" style="position:absolute;left:0;text-align:left;margin-left:0;margin-top:806.2pt;width:595.4pt;height:24.5pt;z-index:15729664;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">
                <v:shape id="Graphic 5"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" path="m946150,l,,,153670r7620,48895l29845,245110r33020,33020l105409,300355r48261,7620l946150,307975,946150,xe" fillcolor="#011f5e" stroked="f">
                  <v:path arrowok="t"/>
                </v:shape>
                <v:shape id="Graphic 6"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" path="m6613525,r946150,l7559675,307975r-792480,l6718934,300355r-42544,-22225l6643370,245110r-22225,-42545l6613525,153670,6613525,em,635r7560309,e" filled="f" strokecolor="#011f5e" strokeweight=".07617mm">
                  <v:path arrowok="t"/>
                </v:shape>
                <v:shapetype id="_x0000_t202" coordsize="21600,21600" o:spt="202" path="m,l,21600r21600,l21600,xe">
                  <v:stroke joinstyle="miter"/>
                  <v:path gradientshapeok="t" o:connecttype="rect"/>
                </v:shapetype>
                <v:shape id="Textbox 7" o:spid="_x0000_s1029" type="#_x0000_t202" style="position:absolute;left:67617;top:245;width:1276;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883FED" w:rsidRDefault="00883FED">
                        <w:pPr>
                          <w:rPr>
                            <w:rFonts w:ascii="Segoe UI"/>
                            <w:sz w:val="23"/>
                          </w:rPr>
                        </w:pPr>
                        <w:r>
                          <w:rPr>
                            <w:spacing w:val="-5"/>
                          </w:rPr>
                          <w:t>ii</w:t>
                        </w:r>
                        <w:r>
                          <w:rPr>
                            <w:rFonts w:ascii="Segoe UI"/>
                            <w:color w:val="FFFFFF"/>
                            <w:spacing w:val="-5"/>
                            <w:sz w:val="23"/>
                          </w:rPr>
                          <w:t>i</w:t>
                        </w:r>
                      </w:p>
                    </w:txbxContent>
                  </v:textbox>
                </v:shape>
                <w10:wrap anchorx="page" anchory="page"/>
              </v:group>
            </w:pict>
          </mc:Fallback>
        </mc:AlternateContent>
      </w:r>
      <w:bookmarkStart w:id="0" w:name="Tender_Document"/>
      <w:bookmarkEnd w:id="0"/>
      <w:r>
        <w:rPr>
          <w:rFonts w:ascii="Tahoma"/>
          <w:sz w:val="32"/>
        </w:rPr>
        <w:t>REPUBLIC</w:t>
      </w:r>
      <w:r>
        <w:rPr>
          <w:rFonts w:ascii="Tahoma"/>
          <w:spacing w:val="12"/>
          <w:sz w:val="32"/>
        </w:rPr>
        <w:t xml:space="preserve"> </w:t>
      </w:r>
      <w:r>
        <w:rPr>
          <w:rFonts w:ascii="Tahoma"/>
          <w:sz w:val="32"/>
        </w:rPr>
        <w:t>OF</w:t>
      </w:r>
      <w:r>
        <w:rPr>
          <w:rFonts w:ascii="Tahoma"/>
          <w:spacing w:val="11"/>
          <w:sz w:val="32"/>
        </w:rPr>
        <w:t xml:space="preserve"> </w:t>
      </w:r>
      <w:r>
        <w:rPr>
          <w:rFonts w:ascii="Tahoma"/>
          <w:spacing w:val="-2"/>
          <w:sz w:val="32"/>
        </w:rPr>
        <w:t>KENYA</w:t>
      </w:r>
    </w:p>
    <w:p w:rsidR="007F6DF9" w:rsidRDefault="00A43FBC">
      <w:pPr>
        <w:spacing w:line="237" w:lineRule="auto"/>
        <w:ind w:left="4042" w:right="4040"/>
        <w:jc w:val="center"/>
        <w:rPr>
          <w:rFonts w:ascii="Tahoma"/>
          <w:sz w:val="32"/>
        </w:rPr>
      </w:pPr>
      <w:r>
        <w:rPr>
          <w:rFonts w:ascii="Tahoma"/>
          <w:sz w:val="32"/>
        </w:rPr>
        <w:t xml:space="preserve">PROPOSED COLD ROOM </w:t>
      </w:r>
      <w:r>
        <w:rPr>
          <w:rFonts w:ascii="Tahoma"/>
          <w:spacing w:val="-6"/>
          <w:w w:val="110"/>
          <w:sz w:val="32"/>
        </w:rPr>
        <w:t>AT</w:t>
      </w:r>
    </w:p>
    <w:p w:rsidR="007F6DF9" w:rsidRDefault="00A43FBC">
      <w:pPr>
        <w:ind w:right="6"/>
        <w:jc w:val="center"/>
        <w:rPr>
          <w:rFonts w:ascii="Tahoma"/>
          <w:sz w:val="32"/>
        </w:rPr>
      </w:pPr>
      <w:r>
        <w:rPr>
          <w:rFonts w:ascii="Tahoma"/>
          <w:w w:val="105"/>
          <w:sz w:val="32"/>
        </w:rPr>
        <w:t>JARAMOGI</w:t>
      </w:r>
      <w:r>
        <w:rPr>
          <w:rFonts w:ascii="Tahoma"/>
          <w:spacing w:val="3"/>
          <w:w w:val="105"/>
          <w:sz w:val="32"/>
        </w:rPr>
        <w:t xml:space="preserve"> </w:t>
      </w:r>
      <w:r>
        <w:rPr>
          <w:rFonts w:ascii="Tahoma"/>
          <w:w w:val="105"/>
          <w:sz w:val="32"/>
        </w:rPr>
        <w:t>OGINGA</w:t>
      </w:r>
      <w:r>
        <w:rPr>
          <w:rFonts w:ascii="Tahoma"/>
          <w:spacing w:val="6"/>
          <w:w w:val="105"/>
          <w:sz w:val="32"/>
        </w:rPr>
        <w:t xml:space="preserve"> </w:t>
      </w:r>
      <w:r>
        <w:rPr>
          <w:rFonts w:ascii="Tahoma"/>
          <w:w w:val="105"/>
          <w:sz w:val="32"/>
        </w:rPr>
        <w:t>ODINGA</w:t>
      </w:r>
      <w:r>
        <w:rPr>
          <w:rFonts w:ascii="Tahoma"/>
          <w:spacing w:val="4"/>
          <w:w w:val="105"/>
          <w:sz w:val="32"/>
        </w:rPr>
        <w:t xml:space="preserve"> </w:t>
      </w:r>
      <w:r>
        <w:rPr>
          <w:rFonts w:ascii="Tahoma"/>
          <w:w w:val="105"/>
          <w:sz w:val="32"/>
        </w:rPr>
        <w:t>TEACHING</w:t>
      </w:r>
      <w:r>
        <w:rPr>
          <w:rFonts w:ascii="Tahoma"/>
          <w:spacing w:val="6"/>
          <w:w w:val="105"/>
          <w:sz w:val="32"/>
        </w:rPr>
        <w:t xml:space="preserve"> </w:t>
      </w:r>
      <w:r>
        <w:rPr>
          <w:rFonts w:ascii="Tahoma"/>
          <w:w w:val="105"/>
          <w:sz w:val="32"/>
        </w:rPr>
        <w:t>&amp;</w:t>
      </w:r>
      <w:r>
        <w:rPr>
          <w:rFonts w:ascii="Tahoma"/>
          <w:spacing w:val="3"/>
          <w:w w:val="105"/>
          <w:sz w:val="32"/>
        </w:rPr>
        <w:t xml:space="preserve"> </w:t>
      </w:r>
      <w:r>
        <w:rPr>
          <w:rFonts w:ascii="Tahoma"/>
          <w:w w:val="105"/>
          <w:sz w:val="32"/>
        </w:rPr>
        <w:t>REFERRAL</w:t>
      </w:r>
      <w:r>
        <w:rPr>
          <w:rFonts w:ascii="Tahoma"/>
          <w:spacing w:val="1"/>
          <w:w w:val="105"/>
          <w:sz w:val="32"/>
        </w:rPr>
        <w:t xml:space="preserve"> </w:t>
      </w:r>
      <w:r>
        <w:rPr>
          <w:rFonts w:ascii="Tahoma"/>
          <w:spacing w:val="-2"/>
          <w:w w:val="105"/>
          <w:sz w:val="32"/>
        </w:rPr>
        <w:t>HOSPITAL</w:t>
      </w:r>
    </w:p>
    <w:p w:rsidR="007F6DF9" w:rsidRDefault="00A43FBC">
      <w:pPr>
        <w:spacing w:before="379"/>
        <w:ind w:left="2971"/>
        <w:rPr>
          <w:rFonts w:ascii="Tahoma"/>
          <w:sz w:val="32"/>
        </w:rPr>
      </w:pPr>
      <w:r>
        <w:rPr>
          <w:rFonts w:ascii="Tahoma"/>
          <w:noProof/>
          <w:sz w:val="32"/>
        </w:rPr>
        <mc:AlternateContent>
          <mc:Choice Requires="wps">
            <w:drawing>
              <wp:anchor distT="0" distB="0" distL="0" distR="0" simplePos="0" relativeHeight="487588352" behindDoc="1" locked="0" layoutInCell="1" allowOverlap="1">
                <wp:simplePos x="0" y="0"/>
                <wp:positionH relativeFrom="page">
                  <wp:posOffset>2659252</wp:posOffset>
                </wp:positionH>
                <wp:positionV relativeFrom="paragraph">
                  <wp:posOffset>537956</wp:posOffset>
                </wp:positionV>
                <wp:extent cx="2245360" cy="80835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360" cy="808355"/>
                        </a:xfrm>
                        <a:prstGeom prst="rect">
                          <a:avLst/>
                        </a:prstGeom>
                        <a:ln w="74675">
                          <a:solidFill>
                            <a:srgbClr val="5F5F5F"/>
                          </a:solidFill>
                          <a:prstDash val="solid"/>
                        </a:ln>
                      </wps:spPr>
                      <wps:txbx>
                        <w:txbxContent>
                          <w:p w:rsidR="00883FED" w:rsidRDefault="00883FED">
                            <w:pPr>
                              <w:spacing w:before="374"/>
                              <w:ind w:left="50"/>
                              <w:rPr>
                                <w:rFonts w:ascii="Tahoma"/>
                                <w:sz w:val="32"/>
                              </w:rPr>
                            </w:pPr>
                            <w:r>
                              <w:rPr>
                                <w:rFonts w:ascii="Tahoma"/>
                                <w:sz w:val="32"/>
                              </w:rPr>
                              <w:t>TENDER</w:t>
                            </w:r>
                            <w:r>
                              <w:rPr>
                                <w:rFonts w:ascii="Tahoma"/>
                                <w:spacing w:val="26"/>
                                <w:sz w:val="32"/>
                              </w:rPr>
                              <w:t xml:space="preserve"> </w:t>
                            </w:r>
                            <w:r>
                              <w:rPr>
                                <w:rFonts w:ascii="Tahoma"/>
                                <w:spacing w:val="-2"/>
                                <w:sz w:val="32"/>
                              </w:rPr>
                              <w:t>DOCUMENTS</w:t>
                            </w:r>
                          </w:p>
                        </w:txbxContent>
                      </wps:txbx>
                      <wps:bodyPr wrap="square" lIns="0" tIns="0" rIns="0" bIns="0" rtlCol="0">
                        <a:noAutofit/>
                      </wps:bodyPr>
                    </wps:wsp>
                  </a:graphicData>
                </a:graphic>
              </wp:anchor>
            </w:drawing>
          </mc:Choice>
          <mc:Fallback>
            <w:pict>
              <v:shape id="Textbox 8" o:spid="_x0000_s1030" type="#_x0000_t202" style="position:absolute;left:0;text-align:left;margin-left:209.4pt;margin-top:42.35pt;width:176.8pt;height:63.6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" filled="f" strokecolor="#5f5f5f" strokeweight="2.07431mm">
                <v:path arrowok="t"/>
                <v:textbox inset="0,0,0,0">
                  <w:txbxContent>
                    <w:p w:rsidR="00883FED" w:rsidRDefault="00883FED">
                      <w:pPr>
                        <w:spacing w:before="374"/>
                        <w:ind w:left="50"/>
                        <w:rPr>
                          <w:rFonts w:ascii="Tahoma"/>
                          <w:sz w:val="32"/>
                        </w:rPr>
                      </w:pPr>
                      <w:r>
                        <w:rPr>
                          <w:rFonts w:ascii="Tahoma"/>
                          <w:sz w:val="32"/>
                        </w:rPr>
                        <w:t>TENDER</w:t>
                      </w:r>
                      <w:r>
                        <w:rPr>
                          <w:rFonts w:ascii="Tahoma"/>
                          <w:spacing w:val="26"/>
                          <w:sz w:val="32"/>
                        </w:rPr>
                        <w:t xml:space="preserve"> </w:t>
                      </w:r>
                      <w:r>
                        <w:rPr>
                          <w:rFonts w:ascii="Tahoma"/>
                          <w:spacing w:val="-2"/>
                          <w:sz w:val="32"/>
                        </w:rPr>
                        <w:t>DOCUMENTS</w:t>
                      </w:r>
                    </w:p>
                  </w:txbxContent>
                </v:textbox>
                <w10:wrap type="topAndBottom" anchorx="page"/>
              </v:shape>
            </w:pict>
          </mc:Fallback>
        </mc:AlternateContent>
      </w:r>
      <w:r>
        <w:rPr>
          <w:rFonts w:ascii="Tahoma"/>
          <w:sz w:val="32"/>
        </w:rPr>
        <w:t>W.P.</w:t>
      </w:r>
      <w:r>
        <w:rPr>
          <w:rFonts w:ascii="Tahoma"/>
          <w:spacing w:val="28"/>
          <w:sz w:val="32"/>
        </w:rPr>
        <w:t xml:space="preserve"> </w:t>
      </w:r>
      <w:r>
        <w:rPr>
          <w:rFonts w:ascii="Tahoma"/>
          <w:sz w:val="32"/>
        </w:rPr>
        <w:t>ITEM</w:t>
      </w:r>
      <w:r>
        <w:rPr>
          <w:rFonts w:ascii="Tahoma"/>
          <w:spacing w:val="29"/>
          <w:sz w:val="32"/>
        </w:rPr>
        <w:t xml:space="preserve"> </w:t>
      </w:r>
      <w:r>
        <w:rPr>
          <w:rFonts w:ascii="Tahoma"/>
          <w:sz w:val="32"/>
        </w:rPr>
        <w:t>NO.</w:t>
      </w:r>
      <w:r>
        <w:rPr>
          <w:rFonts w:ascii="Tahoma"/>
          <w:spacing w:val="35"/>
          <w:sz w:val="32"/>
        </w:rPr>
        <w:t xml:space="preserve"> </w:t>
      </w:r>
      <w:r>
        <w:rPr>
          <w:rFonts w:ascii="Tahoma"/>
          <w:spacing w:val="-2"/>
          <w:sz w:val="32"/>
        </w:rPr>
        <w:t>D1081/JOOTRH/02/2026</w:t>
      </w:r>
    </w:p>
    <w:p w:rsidR="007F6DF9" w:rsidRDefault="00A43FBC">
      <w:pPr>
        <w:spacing w:before="82"/>
        <w:ind w:left="4388" w:right="4383" w:hanging="5"/>
        <w:jc w:val="center"/>
        <w:rPr>
          <w:rFonts w:ascii="Tahoma"/>
          <w:sz w:val="24"/>
        </w:rPr>
      </w:pPr>
      <w:r>
        <w:rPr>
          <w:rFonts w:ascii="Tahoma"/>
          <w:w w:val="105"/>
          <w:sz w:val="24"/>
          <w:u w:val="single"/>
        </w:rPr>
        <w:t>PROJECT MANAGER</w:t>
      </w:r>
      <w:r>
        <w:rPr>
          <w:rFonts w:ascii="Tahoma"/>
          <w:w w:val="105"/>
          <w:sz w:val="24"/>
        </w:rPr>
        <w:t xml:space="preserve"> REGIONAL</w:t>
      </w:r>
      <w:r>
        <w:rPr>
          <w:rFonts w:ascii="Tahoma"/>
          <w:spacing w:val="-20"/>
          <w:w w:val="105"/>
          <w:sz w:val="24"/>
        </w:rPr>
        <w:t xml:space="preserve"> </w:t>
      </w:r>
      <w:r>
        <w:rPr>
          <w:rFonts w:ascii="Tahoma"/>
          <w:w w:val="105"/>
          <w:sz w:val="24"/>
        </w:rPr>
        <w:t>WORKS</w:t>
      </w:r>
      <w:r>
        <w:rPr>
          <w:rFonts w:ascii="Tahoma"/>
          <w:spacing w:val="-20"/>
          <w:w w:val="105"/>
          <w:sz w:val="24"/>
        </w:rPr>
        <w:t xml:space="preserve"> </w:t>
      </w:r>
      <w:r>
        <w:rPr>
          <w:rFonts w:ascii="Tahoma"/>
          <w:w w:val="105"/>
          <w:sz w:val="24"/>
        </w:rPr>
        <w:t>OFFICER NYANZA REGION</w:t>
      </w:r>
      <w:r>
        <w:rPr>
          <w:rFonts w:ascii="Tahoma"/>
          <w:spacing w:val="80"/>
          <w:w w:val="105"/>
          <w:sz w:val="24"/>
        </w:rPr>
        <w:t xml:space="preserve"> </w:t>
      </w:r>
      <w:r>
        <w:rPr>
          <w:rFonts w:ascii="Tahoma"/>
          <w:w w:val="105"/>
          <w:sz w:val="24"/>
        </w:rPr>
        <w:t>MINISTRY OF L, PW, H&amp;UD</w:t>
      </w:r>
    </w:p>
    <w:p w:rsidR="007F6DF9" w:rsidRDefault="00A43FBC">
      <w:pPr>
        <w:spacing w:line="281" w:lineRule="exact"/>
        <w:ind w:left="4042" w:right="4043"/>
        <w:jc w:val="center"/>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7"/>
          <w:sz w:val="24"/>
        </w:rPr>
        <w:t xml:space="preserve"> </w:t>
      </w:r>
      <w:r>
        <w:rPr>
          <w:rFonts w:ascii="Tahoma"/>
          <w:spacing w:val="-2"/>
          <w:sz w:val="24"/>
        </w:rPr>
        <w:t>for</w:t>
      </w:r>
      <w:r>
        <w:rPr>
          <w:rFonts w:ascii="Tahoma"/>
          <w:spacing w:val="-9"/>
          <w:sz w:val="24"/>
        </w:rPr>
        <w:t xml:space="preserve"> </w:t>
      </w:r>
      <w:r>
        <w:rPr>
          <w:rFonts w:ascii="Tahoma"/>
          <w:spacing w:val="-2"/>
          <w:sz w:val="24"/>
        </w:rPr>
        <w:t>Public</w:t>
      </w:r>
      <w:r>
        <w:rPr>
          <w:rFonts w:ascii="Tahoma"/>
          <w:spacing w:val="-10"/>
          <w:sz w:val="24"/>
        </w:rPr>
        <w:t xml:space="preserve"> </w:t>
      </w:r>
      <w:r>
        <w:rPr>
          <w:rFonts w:ascii="Tahoma"/>
          <w:spacing w:val="-2"/>
          <w:sz w:val="24"/>
        </w:rPr>
        <w:t>Works,</w:t>
      </w:r>
    </w:p>
    <w:p w:rsidR="007F6DF9" w:rsidRDefault="00A43FBC">
      <w:pPr>
        <w:spacing w:before="1" w:after="38" w:line="237" w:lineRule="auto"/>
        <w:ind w:left="5499" w:right="3964" w:hanging="742"/>
        <w:rPr>
          <w:rFonts w:ascii="Tahoma" w:hAnsi="Tahoma"/>
          <w:sz w:val="24"/>
        </w:rPr>
      </w:pPr>
      <w:r>
        <w:rPr>
          <w:rFonts w:ascii="Tahoma" w:hAnsi="Tahoma"/>
          <w:sz w:val="24"/>
        </w:rPr>
        <w:t>P.O.</w:t>
      </w:r>
      <w:r>
        <w:rPr>
          <w:rFonts w:ascii="Tahoma" w:hAnsi="Tahoma"/>
          <w:spacing w:val="-3"/>
          <w:sz w:val="24"/>
        </w:rPr>
        <w:t xml:space="preserve"> </w:t>
      </w:r>
      <w:r>
        <w:rPr>
          <w:rFonts w:ascii="Tahoma" w:hAnsi="Tahoma"/>
          <w:sz w:val="24"/>
        </w:rPr>
        <w:t>BOX</w:t>
      </w:r>
      <w:r>
        <w:rPr>
          <w:rFonts w:ascii="Tahoma" w:hAnsi="Tahoma"/>
          <w:spacing w:val="-3"/>
          <w:sz w:val="24"/>
        </w:rPr>
        <w:t xml:space="preserve"> </w:t>
      </w:r>
      <w:r>
        <w:rPr>
          <w:rFonts w:ascii="Tahoma" w:hAnsi="Tahoma"/>
          <w:sz w:val="24"/>
        </w:rPr>
        <w:t>821</w:t>
      </w:r>
      <w:r>
        <w:rPr>
          <w:rFonts w:ascii="Tahoma" w:hAnsi="Tahoma"/>
          <w:spacing w:val="-1"/>
          <w:sz w:val="24"/>
        </w:rPr>
        <w:t xml:space="preserve"> </w:t>
      </w:r>
      <w:r>
        <w:rPr>
          <w:rFonts w:ascii="Tahoma" w:hAnsi="Tahoma"/>
          <w:sz w:val="24"/>
        </w:rPr>
        <w:t>–</w:t>
      </w:r>
      <w:r>
        <w:rPr>
          <w:rFonts w:ascii="Tahoma" w:hAnsi="Tahoma"/>
          <w:spacing w:val="-4"/>
          <w:sz w:val="24"/>
        </w:rPr>
        <w:t xml:space="preserve"> </w:t>
      </w:r>
      <w:r>
        <w:rPr>
          <w:rFonts w:ascii="Tahoma" w:hAnsi="Tahoma"/>
          <w:sz w:val="24"/>
        </w:rPr>
        <w:t xml:space="preserve">40100 </w:t>
      </w:r>
      <w:r>
        <w:rPr>
          <w:rFonts w:ascii="Tahoma" w:hAnsi="Tahoma"/>
          <w:spacing w:val="-2"/>
          <w:sz w:val="24"/>
          <w:u w:val="single"/>
        </w:rPr>
        <w:t>KISUMU</w:t>
      </w:r>
    </w:p>
    <w:tbl>
      <w:tblPr>
        <w:tblW w:w="0" w:type="auto"/>
        <w:tblInd w:w="2014" w:type="dxa"/>
        <w:tblLayout w:type="fixed"/>
        <w:tblCellMar>
          <w:left w:w="0" w:type="dxa"/>
          <w:right w:w="0" w:type="dxa"/>
        </w:tblCellMar>
        <w:tblLook w:val="01E0" w:firstRow="1" w:lastRow="1" w:firstColumn="1" w:lastColumn="1" w:noHBand="0" w:noVBand="0"/>
      </w:tblPr>
      <w:tblGrid>
        <w:gridCol w:w="4518"/>
        <w:gridCol w:w="4478"/>
      </w:tblGrid>
      <w:tr w:rsidR="007F6DF9">
        <w:trPr>
          <w:trHeight w:val="331"/>
        </w:trPr>
        <w:tc>
          <w:tcPr>
            <w:tcW w:w="4518" w:type="dxa"/>
          </w:tcPr>
          <w:p w:rsidR="007F6DF9" w:rsidRDefault="00A43FBC">
            <w:pPr>
              <w:pStyle w:val="TableParagraph"/>
              <w:spacing w:line="281" w:lineRule="exact"/>
              <w:ind w:left="88"/>
              <w:rPr>
                <w:sz w:val="24"/>
              </w:rPr>
            </w:pPr>
            <w:r>
              <w:rPr>
                <w:spacing w:val="-2"/>
                <w:sz w:val="24"/>
                <w:u w:val="single"/>
              </w:rPr>
              <w:t>ARCHITECT</w:t>
            </w:r>
            <w:r>
              <w:rPr>
                <w:spacing w:val="80"/>
                <w:sz w:val="24"/>
                <w:u w:val="single"/>
              </w:rPr>
              <w:t xml:space="preserve"> </w:t>
            </w:r>
          </w:p>
        </w:tc>
        <w:tc>
          <w:tcPr>
            <w:tcW w:w="4478" w:type="dxa"/>
          </w:tcPr>
          <w:p w:rsidR="007F6DF9" w:rsidRDefault="00A43FBC">
            <w:pPr>
              <w:pStyle w:val="TableParagraph"/>
              <w:spacing w:before="19"/>
              <w:ind w:left="769"/>
              <w:rPr>
                <w:sz w:val="24"/>
              </w:rPr>
            </w:pPr>
            <w:r>
              <w:rPr>
                <w:w w:val="105"/>
                <w:sz w:val="24"/>
                <w:u w:val="single"/>
              </w:rPr>
              <w:t>QUANTITY</w:t>
            </w:r>
            <w:r>
              <w:rPr>
                <w:spacing w:val="16"/>
                <w:w w:val="105"/>
                <w:sz w:val="24"/>
                <w:u w:val="single"/>
              </w:rPr>
              <w:t xml:space="preserve"> </w:t>
            </w:r>
            <w:r>
              <w:rPr>
                <w:spacing w:val="-2"/>
                <w:w w:val="105"/>
                <w:sz w:val="24"/>
                <w:u w:val="single"/>
              </w:rPr>
              <w:t>SURVEYOR</w:t>
            </w:r>
          </w:p>
        </w:tc>
      </w:tr>
      <w:tr w:rsidR="007F6DF9">
        <w:trPr>
          <w:trHeight w:val="345"/>
        </w:trPr>
        <w:tc>
          <w:tcPr>
            <w:tcW w:w="4518" w:type="dxa"/>
          </w:tcPr>
          <w:p w:rsidR="007F6DF9" w:rsidRDefault="00A43FBC">
            <w:pPr>
              <w:pStyle w:val="TableParagraph"/>
              <w:spacing w:before="5"/>
              <w:ind w:left="66"/>
              <w:rPr>
                <w:sz w:val="24"/>
              </w:rPr>
            </w:pPr>
            <w:r>
              <w:rPr>
                <w:sz w:val="24"/>
              </w:rPr>
              <w:t>Regional</w:t>
            </w:r>
            <w:r>
              <w:rPr>
                <w:spacing w:val="-8"/>
                <w:sz w:val="24"/>
              </w:rPr>
              <w:t xml:space="preserve"> </w:t>
            </w:r>
            <w:r>
              <w:rPr>
                <w:spacing w:val="-2"/>
                <w:sz w:val="24"/>
              </w:rPr>
              <w:t>Architect,</w:t>
            </w:r>
          </w:p>
        </w:tc>
        <w:tc>
          <w:tcPr>
            <w:tcW w:w="4478" w:type="dxa"/>
          </w:tcPr>
          <w:p w:rsidR="007F6DF9" w:rsidRDefault="00A43FBC">
            <w:pPr>
              <w:pStyle w:val="TableParagraph"/>
              <w:spacing w:before="34"/>
              <w:ind w:left="724"/>
              <w:rPr>
                <w:sz w:val="24"/>
              </w:rPr>
            </w:pPr>
            <w:r>
              <w:rPr>
                <w:sz w:val="24"/>
              </w:rPr>
              <w:t>Regional</w:t>
            </w:r>
            <w:r>
              <w:rPr>
                <w:spacing w:val="4"/>
                <w:sz w:val="24"/>
              </w:rPr>
              <w:t xml:space="preserve"> </w:t>
            </w:r>
            <w:r>
              <w:rPr>
                <w:sz w:val="24"/>
              </w:rPr>
              <w:t>Quantity</w:t>
            </w:r>
            <w:r>
              <w:rPr>
                <w:spacing w:val="5"/>
                <w:sz w:val="24"/>
              </w:rPr>
              <w:t xml:space="preserve"> </w:t>
            </w:r>
            <w:r>
              <w:rPr>
                <w:spacing w:val="-2"/>
                <w:sz w:val="24"/>
              </w:rPr>
              <w:t>Surveyor,</w:t>
            </w:r>
          </w:p>
        </w:tc>
      </w:tr>
      <w:tr w:rsidR="007F6DF9">
        <w:trPr>
          <w:trHeight w:val="343"/>
        </w:trPr>
        <w:tc>
          <w:tcPr>
            <w:tcW w:w="4518" w:type="dxa"/>
          </w:tcPr>
          <w:p w:rsidR="007F6DF9" w:rsidRDefault="00A43FBC">
            <w:pPr>
              <w:pStyle w:val="TableParagraph"/>
              <w:spacing w:before="5"/>
              <w:ind w:left="61"/>
              <w:rPr>
                <w:sz w:val="24"/>
              </w:rPr>
            </w:pPr>
            <w:r>
              <w:rPr>
                <w:sz w:val="24"/>
              </w:rPr>
              <w:t>Ministry</w:t>
            </w:r>
            <w:r>
              <w:rPr>
                <w:spacing w:val="5"/>
                <w:sz w:val="24"/>
              </w:rPr>
              <w:t xml:space="preserve"> </w:t>
            </w:r>
            <w:r>
              <w:rPr>
                <w:sz w:val="24"/>
              </w:rPr>
              <w:t>of</w:t>
            </w:r>
            <w:r>
              <w:rPr>
                <w:spacing w:val="5"/>
                <w:sz w:val="24"/>
              </w:rPr>
              <w:t xml:space="preserve"> </w:t>
            </w:r>
            <w:r>
              <w:rPr>
                <w:sz w:val="24"/>
              </w:rPr>
              <w:t>L,</w:t>
            </w:r>
            <w:r>
              <w:rPr>
                <w:spacing w:val="5"/>
                <w:sz w:val="24"/>
              </w:rPr>
              <w:t xml:space="preserve"> </w:t>
            </w:r>
            <w:r>
              <w:rPr>
                <w:sz w:val="24"/>
              </w:rPr>
              <w:t>PW,</w:t>
            </w:r>
            <w:r>
              <w:rPr>
                <w:spacing w:val="6"/>
                <w:sz w:val="24"/>
              </w:rPr>
              <w:t xml:space="preserve"> </w:t>
            </w:r>
            <w:r>
              <w:rPr>
                <w:spacing w:val="-4"/>
                <w:sz w:val="24"/>
              </w:rPr>
              <w:t>H&amp;UD</w:t>
            </w:r>
          </w:p>
        </w:tc>
        <w:tc>
          <w:tcPr>
            <w:tcW w:w="4478" w:type="dxa"/>
          </w:tcPr>
          <w:p w:rsidR="007F6DF9" w:rsidRDefault="00A43FBC">
            <w:pPr>
              <w:pStyle w:val="TableParagraph"/>
              <w:spacing w:before="32"/>
              <w:ind w:left="755"/>
              <w:rPr>
                <w:sz w:val="24"/>
              </w:rPr>
            </w:pPr>
            <w:r>
              <w:rPr>
                <w:sz w:val="24"/>
              </w:rPr>
              <w:t>Ministry</w:t>
            </w:r>
            <w:r>
              <w:rPr>
                <w:spacing w:val="5"/>
                <w:sz w:val="24"/>
              </w:rPr>
              <w:t xml:space="preserve"> </w:t>
            </w:r>
            <w:r>
              <w:rPr>
                <w:sz w:val="24"/>
              </w:rPr>
              <w:t>of</w:t>
            </w:r>
            <w:r>
              <w:rPr>
                <w:spacing w:val="5"/>
                <w:sz w:val="24"/>
              </w:rPr>
              <w:t xml:space="preserve"> </w:t>
            </w:r>
            <w:r>
              <w:rPr>
                <w:sz w:val="24"/>
              </w:rPr>
              <w:t>L,</w:t>
            </w:r>
            <w:r>
              <w:rPr>
                <w:spacing w:val="5"/>
                <w:sz w:val="24"/>
              </w:rPr>
              <w:t xml:space="preserve"> </w:t>
            </w:r>
            <w:r>
              <w:rPr>
                <w:sz w:val="24"/>
              </w:rPr>
              <w:t>PW,</w:t>
            </w:r>
            <w:r>
              <w:rPr>
                <w:spacing w:val="6"/>
                <w:sz w:val="24"/>
              </w:rPr>
              <w:t xml:space="preserve"> </w:t>
            </w:r>
            <w:r>
              <w:rPr>
                <w:spacing w:val="-4"/>
                <w:sz w:val="24"/>
              </w:rPr>
              <w:t>H&amp;UD</w:t>
            </w:r>
          </w:p>
        </w:tc>
      </w:tr>
      <w:tr w:rsidR="007F6DF9">
        <w:trPr>
          <w:trHeight w:val="345"/>
        </w:trPr>
        <w:tc>
          <w:tcPr>
            <w:tcW w:w="4518" w:type="dxa"/>
          </w:tcPr>
          <w:p w:rsidR="007F6DF9" w:rsidRDefault="00A43FBC">
            <w:pPr>
              <w:pStyle w:val="TableParagraph"/>
              <w:spacing w:before="5"/>
              <w:ind w:left="88"/>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8"/>
                <w:sz w:val="24"/>
              </w:rPr>
              <w:t xml:space="preserve"> </w:t>
            </w:r>
            <w:r>
              <w:rPr>
                <w:spacing w:val="-2"/>
                <w:sz w:val="24"/>
              </w:rPr>
              <w:t>Works,</w:t>
            </w:r>
          </w:p>
        </w:tc>
        <w:tc>
          <w:tcPr>
            <w:tcW w:w="4478" w:type="dxa"/>
          </w:tcPr>
          <w:p w:rsidR="007F6DF9" w:rsidRDefault="00A43FBC">
            <w:pPr>
              <w:pStyle w:val="TableParagraph"/>
              <w:spacing w:before="34"/>
              <w:ind w:left="724"/>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r>
      <w:tr w:rsidR="007F6DF9">
        <w:trPr>
          <w:trHeight w:val="316"/>
        </w:trPr>
        <w:tc>
          <w:tcPr>
            <w:tcW w:w="4518" w:type="dxa"/>
          </w:tcPr>
          <w:p w:rsidR="007F6DF9" w:rsidRDefault="00A43FBC">
            <w:pPr>
              <w:pStyle w:val="TableParagraph"/>
              <w:spacing w:before="5"/>
              <w:ind w:left="88"/>
              <w:rPr>
                <w:sz w:val="24"/>
              </w:rPr>
            </w:pPr>
            <w:r>
              <w:rPr>
                <w:sz w:val="24"/>
              </w:rPr>
              <w:t>P.O.</w:t>
            </w:r>
            <w:r>
              <w:rPr>
                <w:spacing w:val="-9"/>
                <w:sz w:val="24"/>
              </w:rPr>
              <w:t xml:space="preserve"> </w:t>
            </w:r>
            <w:r>
              <w:rPr>
                <w:sz w:val="24"/>
              </w:rPr>
              <w:t>Box</w:t>
            </w:r>
            <w:r>
              <w:rPr>
                <w:spacing w:val="-8"/>
                <w:sz w:val="24"/>
              </w:rPr>
              <w:t xml:space="preserve"> </w:t>
            </w:r>
            <w:r>
              <w:rPr>
                <w:sz w:val="24"/>
              </w:rPr>
              <w:t>821-</w:t>
            </w:r>
            <w:r>
              <w:rPr>
                <w:spacing w:val="-2"/>
                <w:sz w:val="24"/>
              </w:rPr>
              <w:t>40100,</w:t>
            </w:r>
          </w:p>
        </w:tc>
        <w:tc>
          <w:tcPr>
            <w:tcW w:w="4478" w:type="dxa"/>
          </w:tcPr>
          <w:p w:rsidR="007F6DF9" w:rsidRDefault="00A43FBC">
            <w:pPr>
              <w:pStyle w:val="TableParagraph"/>
              <w:spacing w:before="5"/>
              <w:ind w:left="724"/>
              <w:rPr>
                <w:sz w:val="24"/>
              </w:rPr>
            </w:pPr>
            <w:r>
              <w:rPr>
                <w:sz w:val="24"/>
              </w:rPr>
              <w:t>P.O.</w:t>
            </w:r>
            <w:r>
              <w:rPr>
                <w:spacing w:val="-9"/>
                <w:sz w:val="24"/>
              </w:rPr>
              <w:t xml:space="preserve"> </w:t>
            </w:r>
            <w:r>
              <w:rPr>
                <w:sz w:val="24"/>
              </w:rPr>
              <w:t>Box</w:t>
            </w:r>
            <w:r>
              <w:rPr>
                <w:spacing w:val="-8"/>
                <w:sz w:val="24"/>
              </w:rPr>
              <w:t xml:space="preserve"> </w:t>
            </w:r>
            <w:r>
              <w:rPr>
                <w:sz w:val="24"/>
              </w:rPr>
              <w:t>821-</w:t>
            </w:r>
            <w:r>
              <w:rPr>
                <w:spacing w:val="-2"/>
                <w:sz w:val="24"/>
              </w:rPr>
              <w:t>40100,</w:t>
            </w:r>
          </w:p>
        </w:tc>
      </w:tr>
      <w:tr w:rsidR="007F6DF9">
        <w:trPr>
          <w:trHeight w:val="460"/>
        </w:trPr>
        <w:tc>
          <w:tcPr>
            <w:tcW w:w="4518" w:type="dxa"/>
          </w:tcPr>
          <w:p w:rsidR="007F6DF9" w:rsidRDefault="00A43FBC">
            <w:pPr>
              <w:pStyle w:val="TableParagraph"/>
              <w:spacing w:before="5"/>
              <w:ind w:left="88"/>
              <w:rPr>
                <w:sz w:val="24"/>
              </w:rPr>
            </w:pPr>
            <w:r>
              <w:rPr>
                <w:spacing w:val="-2"/>
                <w:sz w:val="24"/>
                <w:u w:val="single"/>
              </w:rPr>
              <w:t>KISUMU.</w:t>
            </w:r>
          </w:p>
        </w:tc>
        <w:tc>
          <w:tcPr>
            <w:tcW w:w="4478" w:type="dxa"/>
          </w:tcPr>
          <w:p w:rsidR="007F6DF9" w:rsidRDefault="00A43FBC">
            <w:pPr>
              <w:pStyle w:val="TableParagraph"/>
              <w:spacing w:before="5"/>
              <w:ind w:left="724"/>
              <w:rPr>
                <w:sz w:val="24"/>
              </w:rPr>
            </w:pPr>
            <w:r>
              <w:rPr>
                <w:spacing w:val="-2"/>
                <w:sz w:val="24"/>
                <w:u w:val="single"/>
              </w:rPr>
              <w:t>KISUMU.</w:t>
            </w:r>
          </w:p>
        </w:tc>
      </w:tr>
      <w:tr w:rsidR="007F6DF9">
        <w:trPr>
          <w:trHeight w:val="473"/>
        </w:trPr>
        <w:tc>
          <w:tcPr>
            <w:tcW w:w="4518" w:type="dxa"/>
          </w:tcPr>
          <w:p w:rsidR="007F6DF9" w:rsidRDefault="00A43FBC">
            <w:pPr>
              <w:pStyle w:val="TableParagraph"/>
              <w:spacing w:before="149"/>
              <w:ind w:left="88"/>
              <w:rPr>
                <w:sz w:val="24"/>
              </w:rPr>
            </w:pPr>
            <w:r>
              <w:rPr>
                <w:spacing w:val="-2"/>
                <w:sz w:val="24"/>
                <w:u w:val="single"/>
              </w:rPr>
              <w:t>ELECTRICAL ENGINEER</w:t>
            </w:r>
          </w:p>
        </w:tc>
        <w:tc>
          <w:tcPr>
            <w:tcW w:w="4478" w:type="dxa"/>
          </w:tcPr>
          <w:p w:rsidR="007F6DF9" w:rsidRDefault="00A43FBC">
            <w:pPr>
              <w:pStyle w:val="TableParagraph"/>
              <w:spacing w:before="149"/>
              <w:ind w:left="724"/>
              <w:rPr>
                <w:sz w:val="24"/>
              </w:rPr>
            </w:pPr>
            <w:r>
              <w:rPr>
                <w:w w:val="105"/>
                <w:sz w:val="24"/>
                <w:u w:val="single"/>
              </w:rPr>
              <w:t>MECHANICAL</w:t>
            </w:r>
            <w:r>
              <w:rPr>
                <w:spacing w:val="36"/>
                <w:w w:val="105"/>
                <w:sz w:val="24"/>
                <w:u w:val="single"/>
              </w:rPr>
              <w:t xml:space="preserve"> </w:t>
            </w:r>
            <w:r>
              <w:rPr>
                <w:spacing w:val="-2"/>
                <w:w w:val="105"/>
                <w:sz w:val="24"/>
                <w:u w:val="single"/>
              </w:rPr>
              <w:t>ENGINEER</w:t>
            </w:r>
          </w:p>
        </w:tc>
      </w:tr>
      <w:tr w:rsidR="007F6DF9">
        <w:trPr>
          <w:trHeight w:val="344"/>
        </w:trPr>
        <w:tc>
          <w:tcPr>
            <w:tcW w:w="4518" w:type="dxa"/>
          </w:tcPr>
          <w:p w:rsidR="007F6DF9" w:rsidRDefault="00A43FBC">
            <w:pPr>
              <w:pStyle w:val="TableParagraph"/>
              <w:spacing w:before="18"/>
              <w:ind w:left="88"/>
              <w:rPr>
                <w:sz w:val="24"/>
              </w:rPr>
            </w:pPr>
            <w:r>
              <w:rPr>
                <w:spacing w:val="-2"/>
                <w:sz w:val="24"/>
              </w:rPr>
              <w:t>Regional</w:t>
            </w:r>
            <w:r>
              <w:rPr>
                <w:spacing w:val="-10"/>
                <w:sz w:val="24"/>
              </w:rPr>
              <w:t xml:space="preserve"> </w:t>
            </w:r>
            <w:r>
              <w:rPr>
                <w:spacing w:val="-2"/>
                <w:sz w:val="24"/>
              </w:rPr>
              <w:t>Engineer</w:t>
            </w:r>
            <w:r>
              <w:rPr>
                <w:spacing w:val="-8"/>
                <w:sz w:val="24"/>
              </w:rPr>
              <w:t xml:space="preserve"> </w:t>
            </w:r>
            <w:r>
              <w:rPr>
                <w:spacing w:val="-2"/>
                <w:sz w:val="24"/>
              </w:rPr>
              <w:t>(Electrical)</w:t>
            </w:r>
          </w:p>
        </w:tc>
        <w:tc>
          <w:tcPr>
            <w:tcW w:w="4478" w:type="dxa"/>
          </w:tcPr>
          <w:p w:rsidR="007F6DF9" w:rsidRDefault="00A43FBC">
            <w:pPr>
              <w:pStyle w:val="TableParagraph"/>
              <w:spacing w:before="18"/>
              <w:ind w:left="724"/>
              <w:rPr>
                <w:sz w:val="24"/>
              </w:rPr>
            </w:pPr>
            <w:r>
              <w:rPr>
                <w:spacing w:val="-2"/>
                <w:sz w:val="24"/>
              </w:rPr>
              <w:t>Regional</w:t>
            </w:r>
            <w:r>
              <w:rPr>
                <w:spacing w:val="-7"/>
                <w:sz w:val="24"/>
              </w:rPr>
              <w:t xml:space="preserve"> </w:t>
            </w:r>
            <w:r>
              <w:rPr>
                <w:spacing w:val="-2"/>
                <w:sz w:val="24"/>
              </w:rPr>
              <w:t>Engineer</w:t>
            </w:r>
            <w:r>
              <w:rPr>
                <w:spacing w:val="-4"/>
                <w:sz w:val="24"/>
              </w:rPr>
              <w:t xml:space="preserve"> </w:t>
            </w:r>
            <w:r>
              <w:rPr>
                <w:spacing w:val="-2"/>
                <w:sz w:val="24"/>
              </w:rPr>
              <w:t>(Mechanical-</w:t>
            </w:r>
            <w:r>
              <w:rPr>
                <w:spacing w:val="-5"/>
                <w:sz w:val="24"/>
              </w:rPr>
              <w:t>BS)</w:t>
            </w:r>
          </w:p>
        </w:tc>
      </w:tr>
      <w:tr w:rsidR="007F6DF9">
        <w:trPr>
          <w:trHeight w:val="360"/>
        </w:trPr>
        <w:tc>
          <w:tcPr>
            <w:tcW w:w="4518" w:type="dxa"/>
          </w:tcPr>
          <w:p w:rsidR="007F6DF9" w:rsidRDefault="00A43FBC">
            <w:pPr>
              <w:pStyle w:val="TableParagraph"/>
              <w:spacing w:before="20"/>
              <w:ind w:left="88"/>
              <w:rPr>
                <w:sz w:val="24"/>
              </w:rPr>
            </w:pPr>
            <w:r>
              <w:rPr>
                <w:sz w:val="24"/>
              </w:rPr>
              <w:t>Ministry</w:t>
            </w:r>
            <w:r>
              <w:rPr>
                <w:spacing w:val="5"/>
                <w:sz w:val="24"/>
              </w:rPr>
              <w:t xml:space="preserve"> </w:t>
            </w:r>
            <w:r>
              <w:rPr>
                <w:sz w:val="24"/>
              </w:rPr>
              <w:t>of</w:t>
            </w:r>
            <w:r>
              <w:rPr>
                <w:spacing w:val="5"/>
                <w:sz w:val="24"/>
              </w:rPr>
              <w:t xml:space="preserve"> </w:t>
            </w:r>
            <w:r>
              <w:rPr>
                <w:sz w:val="24"/>
              </w:rPr>
              <w:t>L,</w:t>
            </w:r>
            <w:r>
              <w:rPr>
                <w:spacing w:val="5"/>
                <w:sz w:val="24"/>
              </w:rPr>
              <w:t xml:space="preserve"> </w:t>
            </w:r>
            <w:r>
              <w:rPr>
                <w:sz w:val="24"/>
              </w:rPr>
              <w:t>PW,</w:t>
            </w:r>
            <w:r>
              <w:rPr>
                <w:spacing w:val="6"/>
                <w:sz w:val="24"/>
              </w:rPr>
              <w:t xml:space="preserve"> </w:t>
            </w:r>
            <w:r>
              <w:rPr>
                <w:spacing w:val="-4"/>
                <w:sz w:val="24"/>
              </w:rPr>
              <w:t>H&amp;UD</w:t>
            </w:r>
          </w:p>
        </w:tc>
        <w:tc>
          <w:tcPr>
            <w:tcW w:w="4478" w:type="dxa"/>
          </w:tcPr>
          <w:p w:rsidR="007F6DF9" w:rsidRDefault="00A43FBC">
            <w:pPr>
              <w:pStyle w:val="TableParagraph"/>
              <w:spacing w:before="48"/>
              <w:ind w:left="724"/>
              <w:rPr>
                <w:sz w:val="24"/>
              </w:rPr>
            </w:pPr>
            <w:r>
              <w:rPr>
                <w:sz w:val="24"/>
              </w:rPr>
              <w:t>Ministry</w:t>
            </w:r>
            <w:r>
              <w:rPr>
                <w:spacing w:val="5"/>
                <w:sz w:val="24"/>
              </w:rPr>
              <w:t xml:space="preserve"> </w:t>
            </w:r>
            <w:r>
              <w:rPr>
                <w:sz w:val="24"/>
              </w:rPr>
              <w:t>of</w:t>
            </w:r>
            <w:r>
              <w:rPr>
                <w:spacing w:val="5"/>
                <w:sz w:val="24"/>
              </w:rPr>
              <w:t xml:space="preserve"> </w:t>
            </w:r>
            <w:r>
              <w:rPr>
                <w:sz w:val="24"/>
              </w:rPr>
              <w:t>L,</w:t>
            </w:r>
            <w:r>
              <w:rPr>
                <w:spacing w:val="5"/>
                <w:sz w:val="24"/>
              </w:rPr>
              <w:t xml:space="preserve"> </w:t>
            </w:r>
            <w:r>
              <w:rPr>
                <w:sz w:val="24"/>
              </w:rPr>
              <w:t>PW,</w:t>
            </w:r>
            <w:r>
              <w:rPr>
                <w:spacing w:val="6"/>
                <w:sz w:val="24"/>
              </w:rPr>
              <w:t xml:space="preserve"> </w:t>
            </w:r>
            <w:r>
              <w:rPr>
                <w:spacing w:val="-2"/>
                <w:sz w:val="24"/>
              </w:rPr>
              <w:t>H&amp;UD,</w:t>
            </w:r>
          </w:p>
        </w:tc>
      </w:tr>
      <w:tr w:rsidR="007F6DF9">
        <w:trPr>
          <w:trHeight w:val="345"/>
        </w:trPr>
        <w:tc>
          <w:tcPr>
            <w:tcW w:w="4518" w:type="dxa"/>
          </w:tcPr>
          <w:p w:rsidR="007F6DF9" w:rsidRDefault="00A43FBC">
            <w:pPr>
              <w:pStyle w:val="TableParagraph"/>
              <w:spacing w:before="6"/>
              <w:ind w:left="88"/>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c>
          <w:tcPr>
            <w:tcW w:w="4478" w:type="dxa"/>
          </w:tcPr>
          <w:p w:rsidR="007F6DF9" w:rsidRDefault="00A43FBC">
            <w:pPr>
              <w:pStyle w:val="TableParagraph"/>
              <w:spacing w:before="34"/>
              <w:ind w:left="724"/>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r>
      <w:tr w:rsidR="007F6DF9">
        <w:trPr>
          <w:trHeight w:val="315"/>
        </w:trPr>
        <w:tc>
          <w:tcPr>
            <w:tcW w:w="4518" w:type="dxa"/>
          </w:tcPr>
          <w:p w:rsidR="007F6DF9" w:rsidRDefault="00A43FBC">
            <w:pPr>
              <w:pStyle w:val="TableParagraph"/>
              <w:spacing w:before="5"/>
              <w:ind w:left="88"/>
              <w:rPr>
                <w:sz w:val="24"/>
              </w:rPr>
            </w:pPr>
            <w:r>
              <w:rPr>
                <w:sz w:val="24"/>
              </w:rPr>
              <w:t>P.O.</w:t>
            </w:r>
            <w:r>
              <w:rPr>
                <w:spacing w:val="-9"/>
                <w:sz w:val="24"/>
              </w:rPr>
              <w:t xml:space="preserve"> </w:t>
            </w:r>
            <w:r>
              <w:rPr>
                <w:sz w:val="24"/>
              </w:rPr>
              <w:t>Box</w:t>
            </w:r>
            <w:r>
              <w:rPr>
                <w:spacing w:val="-8"/>
                <w:sz w:val="24"/>
              </w:rPr>
              <w:t xml:space="preserve"> </w:t>
            </w:r>
            <w:r>
              <w:rPr>
                <w:sz w:val="24"/>
              </w:rPr>
              <w:t>821-</w:t>
            </w:r>
            <w:r>
              <w:rPr>
                <w:spacing w:val="-2"/>
                <w:sz w:val="24"/>
              </w:rPr>
              <w:t>40100,</w:t>
            </w:r>
          </w:p>
        </w:tc>
        <w:tc>
          <w:tcPr>
            <w:tcW w:w="4478" w:type="dxa"/>
          </w:tcPr>
          <w:p w:rsidR="007F6DF9" w:rsidRDefault="00A43FBC">
            <w:pPr>
              <w:pStyle w:val="TableParagraph"/>
              <w:spacing w:before="5"/>
              <w:ind w:left="724"/>
              <w:rPr>
                <w:sz w:val="24"/>
              </w:rPr>
            </w:pPr>
            <w:r>
              <w:rPr>
                <w:sz w:val="24"/>
              </w:rPr>
              <w:t>P.O.</w:t>
            </w:r>
            <w:r>
              <w:rPr>
                <w:spacing w:val="-9"/>
                <w:sz w:val="24"/>
              </w:rPr>
              <w:t xml:space="preserve"> </w:t>
            </w:r>
            <w:r>
              <w:rPr>
                <w:sz w:val="24"/>
              </w:rPr>
              <w:t>Box</w:t>
            </w:r>
            <w:r>
              <w:rPr>
                <w:spacing w:val="-8"/>
                <w:sz w:val="24"/>
              </w:rPr>
              <w:t xml:space="preserve"> </w:t>
            </w:r>
            <w:r>
              <w:rPr>
                <w:sz w:val="24"/>
              </w:rPr>
              <w:t>821-</w:t>
            </w:r>
            <w:r>
              <w:rPr>
                <w:spacing w:val="-2"/>
                <w:sz w:val="24"/>
              </w:rPr>
              <w:t>40100,</w:t>
            </w:r>
          </w:p>
        </w:tc>
      </w:tr>
      <w:tr w:rsidR="007F6DF9">
        <w:trPr>
          <w:trHeight w:val="517"/>
        </w:trPr>
        <w:tc>
          <w:tcPr>
            <w:tcW w:w="4518" w:type="dxa"/>
          </w:tcPr>
          <w:p w:rsidR="007F6DF9" w:rsidRDefault="00A43FBC">
            <w:pPr>
              <w:pStyle w:val="TableParagraph"/>
              <w:spacing w:before="4"/>
              <w:ind w:left="88"/>
              <w:rPr>
                <w:sz w:val="24"/>
              </w:rPr>
            </w:pPr>
            <w:r>
              <w:rPr>
                <w:spacing w:val="-2"/>
                <w:sz w:val="24"/>
                <w:u w:val="single"/>
              </w:rPr>
              <w:t>KISUMU.</w:t>
            </w:r>
          </w:p>
        </w:tc>
        <w:tc>
          <w:tcPr>
            <w:tcW w:w="4478" w:type="dxa"/>
          </w:tcPr>
          <w:p w:rsidR="007F6DF9" w:rsidRDefault="00A43FBC">
            <w:pPr>
              <w:pStyle w:val="TableParagraph"/>
              <w:spacing w:before="4"/>
              <w:ind w:left="724"/>
              <w:rPr>
                <w:sz w:val="24"/>
              </w:rPr>
            </w:pPr>
            <w:r>
              <w:rPr>
                <w:spacing w:val="-2"/>
                <w:sz w:val="24"/>
                <w:u w:val="single"/>
              </w:rPr>
              <w:t>KISUMU.</w:t>
            </w:r>
          </w:p>
        </w:tc>
      </w:tr>
      <w:tr w:rsidR="007F6DF9">
        <w:trPr>
          <w:trHeight w:val="662"/>
        </w:trPr>
        <w:tc>
          <w:tcPr>
            <w:tcW w:w="4518" w:type="dxa"/>
          </w:tcPr>
          <w:p w:rsidR="007F6DF9" w:rsidRDefault="007F6DF9">
            <w:pPr>
              <w:pStyle w:val="TableParagraph"/>
              <w:spacing w:before="61"/>
              <w:rPr>
                <w:sz w:val="24"/>
              </w:rPr>
            </w:pPr>
          </w:p>
          <w:p w:rsidR="007F6DF9" w:rsidRDefault="00A43FBC">
            <w:pPr>
              <w:pStyle w:val="TableParagraph"/>
              <w:ind w:left="88"/>
              <w:rPr>
                <w:sz w:val="24"/>
              </w:rPr>
            </w:pPr>
            <w:r>
              <w:rPr>
                <w:sz w:val="24"/>
              </w:rPr>
              <w:t>STRUCTURAL</w:t>
            </w:r>
            <w:r>
              <w:rPr>
                <w:spacing w:val="37"/>
                <w:sz w:val="24"/>
              </w:rPr>
              <w:t xml:space="preserve"> </w:t>
            </w:r>
            <w:r>
              <w:rPr>
                <w:spacing w:val="-2"/>
                <w:sz w:val="24"/>
              </w:rPr>
              <w:t>ENGINEER</w:t>
            </w:r>
          </w:p>
        </w:tc>
        <w:tc>
          <w:tcPr>
            <w:tcW w:w="4478" w:type="dxa"/>
          </w:tcPr>
          <w:p w:rsidR="007F6DF9" w:rsidRDefault="00A43FBC">
            <w:pPr>
              <w:pStyle w:val="TableParagraph"/>
              <w:spacing w:before="207"/>
              <w:ind w:left="724"/>
              <w:rPr>
                <w:sz w:val="24"/>
              </w:rPr>
            </w:pPr>
            <w:r>
              <w:rPr>
                <w:sz w:val="24"/>
              </w:rPr>
              <w:t>INTERIOR</w:t>
            </w:r>
            <w:r>
              <w:rPr>
                <w:spacing w:val="15"/>
                <w:sz w:val="24"/>
              </w:rPr>
              <w:t xml:space="preserve"> </w:t>
            </w:r>
            <w:r>
              <w:rPr>
                <w:spacing w:val="-2"/>
                <w:sz w:val="24"/>
              </w:rPr>
              <w:t>DESIGNER</w:t>
            </w:r>
          </w:p>
        </w:tc>
      </w:tr>
      <w:tr w:rsidR="007F6DF9">
        <w:trPr>
          <w:trHeight w:val="316"/>
        </w:trPr>
        <w:tc>
          <w:tcPr>
            <w:tcW w:w="4518" w:type="dxa"/>
          </w:tcPr>
          <w:p w:rsidR="007F6DF9" w:rsidRDefault="00A43FBC">
            <w:pPr>
              <w:pStyle w:val="TableParagraph"/>
              <w:spacing w:before="5"/>
              <w:ind w:left="88"/>
              <w:rPr>
                <w:sz w:val="24"/>
              </w:rPr>
            </w:pPr>
            <w:r>
              <w:rPr>
                <w:spacing w:val="-2"/>
                <w:sz w:val="24"/>
              </w:rPr>
              <w:t>Regional</w:t>
            </w:r>
            <w:r>
              <w:rPr>
                <w:spacing w:val="-10"/>
                <w:sz w:val="24"/>
              </w:rPr>
              <w:t xml:space="preserve"> </w:t>
            </w:r>
            <w:r>
              <w:rPr>
                <w:spacing w:val="-2"/>
                <w:sz w:val="24"/>
              </w:rPr>
              <w:t>Engineer</w:t>
            </w:r>
            <w:r>
              <w:rPr>
                <w:spacing w:val="-8"/>
                <w:sz w:val="24"/>
              </w:rPr>
              <w:t xml:space="preserve"> </w:t>
            </w:r>
            <w:r>
              <w:rPr>
                <w:spacing w:val="-2"/>
                <w:sz w:val="24"/>
              </w:rPr>
              <w:t>(Structural),</w:t>
            </w:r>
          </w:p>
        </w:tc>
        <w:tc>
          <w:tcPr>
            <w:tcW w:w="4478" w:type="dxa"/>
          </w:tcPr>
          <w:p w:rsidR="007F6DF9" w:rsidRDefault="00A43FBC">
            <w:pPr>
              <w:pStyle w:val="TableParagraph"/>
              <w:spacing w:before="5"/>
              <w:ind w:left="724"/>
              <w:rPr>
                <w:sz w:val="24"/>
              </w:rPr>
            </w:pPr>
            <w:r>
              <w:rPr>
                <w:sz w:val="24"/>
              </w:rPr>
              <w:t>Regional</w:t>
            </w:r>
            <w:r>
              <w:rPr>
                <w:spacing w:val="-8"/>
                <w:sz w:val="24"/>
              </w:rPr>
              <w:t xml:space="preserve"> </w:t>
            </w:r>
            <w:r>
              <w:rPr>
                <w:spacing w:val="-2"/>
                <w:sz w:val="24"/>
              </w:rPr>
              <w:t>Designer,</w:t>
            </w:r>
          </w:p>
        </w:tc>
      </w:tr>
      <w:tr w:rsidR="007F6DF9">
        <w:trPr>
          <w:trHeight w:val="602"/>
        </w:trPr>
        <w:tc>
          <w:tcPr>
            <w:tcW w:w="4518" w:type="dxa"/>
          </w:tcPr>
          <w:p w:rsidR="007F6DF9" w:rsidRDefault="00A43FBC">
            <w:pPr>
              <w:pStyle w:val="TableParagraph"/>
              <w:spacing w:before="5" w:line="288" w:lineRule="exact"/>
              <w:ind w:left="88"/>
              <w:rPr>
                <w:sz w:val="24"/>
              </w:rPr>
            </w:pPr>
            <w:r>
              <w:rPr>
                <w:w w:val="105"/>
                <w:sz w:val="24"/>
              </w:rPr>
              <w:t>Ministry</w:t>
            </w:r>
            <w:r>
              <w:rPr>
                <w:spacing w:val="-20"/>
                <w:w w:val="105"/>
                <w:sz w:val="24"/>
              </w:rPr>
              <w:t xml:space="preserve"> </w:t>
            </w:r>
            <w:r>
              <w:rPr>
                <w:w w:val="105"/>
                <w:sz w:val="24"/>
              </w:rPr>
              <w:t>for</w:t>
            </w:r>
            <w:r>
              <w:rPr>
                <w:spacing w:val="-20"/>
                <w:w w:val="105"/>
                <w:sz w:val="24"/>
              </w:rPr>
              <w:t xml:space="preserve"> </w:t>
            </w:r>
            <w:r>
              <w:rPr>
                <w:w w:val="105"/>
                <w:sz w:val="24"/>
              </w:rPr>
              <w:t>L,</w:t>
            </w:r>
            <w:r>
              <w:rPr>
                <w:spacing w:val="-19"/>
                <w:w w:val="105"/>
                <w:sz w:val="24"/>
              </w:rPr>
              <w:t xml:space="preserve"> </w:t>
            </w:r>
            <w:r>
              <w:rPr>
                <w:w w:val="105"/>
                <w:sz w:val="24"/>
              </w:rPr>
              <w:t>PW,</w:t>
            </w:r>
            <w:r>
              <w:rPr>
                <w:spacing w:val="-19"/>
                <w:w w:val="105"/>
                <w:sz w:val="24"/>
              </w:rPr>
              <w:t xml:space="preserve"> </w:t>
            </w:r>
            <w:r>
              <w:rPr>
                <w:spacing w:val="-4"/>
                <w:w w:val="105"/>
                <w:sz w:val="24"/>
              </w:rPr>
              <w:t>H&amp;UD</w:t>
            </w:r>
          </w:p>
          <w:p w:rsidR="007F6DF9" w:rsidRDefault="00A43FBC">
            <w:pPr>
              <w:pStyle w:val="TableParagraph"/>
              <w:spacing w:line="288" w:lineRule="exact"/>
              <w:ind w:left="88"/>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c>
          <w:tcPr>
            <w:tcW w:w="4478" w:type="dxa"/>
          </w:tcPr>
          <w:p w:rsidR="007F6DF9" w:rsidRDefault="00A43FBC">
            <w:pPr>
              <w:pStyle w:val="TableParagraph"/>
              <w:spacing w:before="5" w:line="288" w:lineRule="exact"/>
              <w:ind w:left="724"/>
              <w:rPr>
                <w:sz w:val="24"/>
              </w:rPr>
            </w:pPr>
            <w:r>
              <w:rPr>
                <w:w w:val="105"/>
                <w:sz w:val="24"/>
              </w:rPr>
              <w:t>Ministry</w:t>
            </w:r>
            <w:r>
              <w:rPr>
                <w:spacing w:val="-20"/>
                <w:w w:val="105"/>
                <w:sz w:val="24"/>
              </w:rPr>
              <w:t xml:space="preserve"> </w:t>
            </w:r>
            <w:r>
              <w:rPr>
                <w:w w:val="105"/>
                <w:sz w:val="24"/>
              </w:rPr>
              <w:t>for</w:t>
            </w:r>
            <w:r>
              <w:rPr>
                <w:spacing w:val="-20"/>
                <w:w w:val="105"/>
                <w:sz w:val="24"/>
              </w:rPr>
              <w:t xml:space="preserve"> </w:t>
            </w:r>
            <w:r>
              <w:rPr>
                <w:w w:val="105"/>
                <w:sz w:val="24"/>
              </w:rPr>
              <w:t>L,</w:t>
            </w:r>
            <w:r>
              <w:rPr>
                <w:spacing w:val="-19"/>
                <w:w w:val="105"/>
                <w:sz w:val="24"/>
              </w:rPr>
              <w:t xml:space="preserve"> </w:t>
            </w:r>
            <w:r>
              <w:rPr>
                <w:w w:val="105"/>
                <w:sz w:val="24"/>
              </w:rPr>
              <w:t>PW,</w:t>
            </w:r>
            <w:r>
              <w:rPr>
                <w:spacing w:val="-19"/>
                <w:w w:val="105"/>
                <w:sz w:val="24"/>
              </w:rPr>
              <w:t xml:space="preserve"> </w:t>
            </w:r>
            <w:r>
              <w:rPr>
                <w:spacing w:val="-4"/>
                <w:w w:val="105"/>
                <w:sz w:val="24"/>
              </w:rPr>
              <w:t>H&amp;UD</w:t>
            </w:r>
          </w:p>
          <w:p w:rsidR="007F6DF9" w:rsidRDefault="00A43FBC">
            <w:pPr>
              <w:pStyle w:val="TableParagraph"/>
              <w:spacing w:line="288" w:lineRule="exact"/>
              <w:ind w:left="724"/>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r>
      <w:tr w:rsidR="007F6DF9">
        <w:trPr>
          <w:trHeight w:val="331"/>
        </w:trPr>
        <w:tc>
          <w:tcPr>
            <w:tcW w:w="4518" w:type="dxa"/>
          </w:tcPr>
          <w:p w:rsidR="007F6DF9" w:rsidRDefault="00A43FBC">
            <w:pPr>
              <w:pStyle w:val="TableParagraph"/>
              <w:spacing w:before="5"/>
              <w:ind w:left="50"/>
              <w:rPr>
                <w:sz w:val="24"/>
              </w:rPr>
            </w:pPr>
            <w:r>
              <w:rPr>
                <w:sz w:val="24"/>
              </w:rPr>
              <w:t>P.O.</w:t>
            </w:r>
            <w:r>
              <w:rPr>
                <w:spacing w:val="-8"/>
                <w:sz w:val="24"/>
              </w:rPr>
              <w:t xml:space="preserve"> </w:t>
            </w:r>
            <w:r>
              <w:rPr>
                <w:sz w:val="24"/>
              </w:rPr>
              <w:t>Box</w:t>
            </w:r>
            <w:r>
              <w:rPr>
                <w:spacing w:val="-8"/>
                <w:sz w:val="24"/>
              </w:rPr>
              <w:t xml:space="preserve"> </w:t>
            </w:r>
            <w:r>
              <w:rPr>
                <w:sz w:val="24"/>
              </w:rPr>
              <w:t>821-</w:t>
            </w:r>
            <w:r>
              <w:rPr>
                <w:spacing w:val="-4"/>
                <w:sz w:val="24"/>
              </w:rPr>
              <w:t>40100</w:t>
            </w:r>
          </w:p>
        </w:tc>
        <w:tc>
          <w:tcPr>
            <w:tcW w:w="4478" w:type="dxa"/>
          </w:tcPr>
          <w:p w:rsidR="007F6DF9" w:rsidRDefault="00A43FBC">
            <w:pPr>
              <w:pStyle w:val="TableParagraph"/>
              <w:spacing w:before="5"/>
              <w:ind w:left="736"/>
              <w:rPr>
                <w:sz w:val="24"/>
              </w:rPr>
            </w:pPr>
            <w:r>
              <w:rPr>
                <w:sz w:val="24"/>
              </w:rPr>
              <w:t>P.O.</w:t>
            </w:r>
            <w:r>
              <w:rPr>
                <w:spacing w:val="-7"/>
                <w:sz w:val="24"/>
              </w:rPr>
              <w:t xml:space="preserve"> </w:t>
            </w:r>
            <w:r>
              <w:rPr>
                <w:sz w:val="24"/>
              </w:rPr>
              <w:t>Box</w:t>
            </w:r>
            <w:r>
              <w:rPr>
                <w:spacing w:val="-7"/>
                <w:sz w:val="24"/>
              </w:rPr>
              <w:t xml:space="preserve"> </w:t>
            </w:r>
            <w:r>
              <w:rPr>
                <w:sz w:val="24"/>
              </w:rPr>
              <w:t>821-</w:t>
            </w:r>
            <w:r>
              <w:rPr>
                <w:spacing w:val="-4"/>
                <w:sz w:val="24"/>
              </w:rPr>
              <w:t>40100</w:t>
            </w:r>
          </w:p>
        </w:tc>
      </w:tr>
      <w:tr w:rsidR="007F6DF9">
        <w:trPr>
          <w:trHeight w:val="619"/>
        </w:trPr>
        <w:tc>
          <w:tcPr>
            <w:tcW w:w="4518" w:type="dxa"/>
          </w:tcPr>
          <w:p w:rsidR="007F6DF9" w:rsidRDefault="00A43FBC">
            <w:pPr>
              <w:pStyle w:val="TableParagraph"/>
              <w:spacing w:before="20"/>
              <w:ind w:left="54"/>
              <w:rPr>
                <w:sz w:val="24"/>
              </w:rPr>
            </w:pPr>
            <w:r>
              <w:rPr>
                <w:spacing w:val="-2"/>
                <w:sz w:val="24"/>
                <w:u w:val="single"/>
              </w:rPr>
              <w:t>KISUMU.</w:t>
            </w:r>
          </w:p>
        </w:tc>
        <w:tc>
          <w:tcPr>
            <w:tcW w:w="4478" w:type="dxa"/>
          </w:tcPr>
          <w:p w:rsidR="007F6DF9" w:rsidRDefault="00A43FBC">
            <w:pPr>
              <w:pStyle w:val="TableParagraph"/>
              <w:spacing w:before="20"/>
              <w:ind w:left="736"/>
              <w:rPr>
                <w:sz w:val="24"/>
              </w:rPr>
            </w:pPr>
            <w:r>
              <w:rPr>
                <w:spacing w:val="-2"/>
                <w:sz w:val="24"/>
                <w:u w:val="single"/>
              </w:rPr>
              <w:t>KISUMU.</w:t>
            </w:r>
          </w:p>
        </w:tc>
      </w:tr>
      <w:tr w:rsidR="007F6DF9">
        <w:trPr>
          <w:trHeight w:val="590"/>
        </w:trPr>
        <w:tc>
          <w:tcPr>
            <w:tcW w:w="4518" w:type="dxa"/>
          </w:tcPr>
          <w:p w:rsidR="007F6DF9" w:rsidRDefault="007F6DF9">
            <w:pPr>
              <w:pStyle w:val="TableParagraph"/>
              <w:spacing w:before="3"/>
              <w:rPr>
                <w:sz w:val="24"/>
              </w:rPr>
            </w:pPr>
          </w:p>
          <w:p w:rsidR="007F6DF9" w:rsidRDefault="00A43FBC">
            <w:pPr>
              <w:pStyle w:val="TableParagraph"/>
              <w:spacing w:before="1" w:line="277" w:lineRule="exact"/>
              <w:ind w:left="2028"/>
              <w:rPr>
                <w:sz w:val="24"/>
              </w:rPr>
            </w:pPr>
            <w:r>
              <w:rPr>
                <w:w w:val="105"/>
                <w:sz w:val="24"/>
              </w:rPr>
              <w:t>April,</w:t>
            </w:r>
            <w:r>
              <w:rPr>
                <w:spacing w:val="-5"/>
                <w:w w:val="105"/>
                <w:sz w:val="24"/>
              </w:rPr>
              <w:t xml:space="preserve"> </w:t>
            </w:r>
            <w:r>
              <w:rPr>
                <w:spacing w:val="-2"/>
                <w:w w:val="105"/>
                <w:sz w:val="24"/>
              </w:rPr>
              <w:t>2026.</w:t>
            </w:r>
          </w:p>
        </w:tc>
        <w:tc>
          <w:tcPr>
            <w:tcW w:w="4478" w:type="dxa"/>
          </w:tcPr>
          <w:p w:rsidR="007F6DF9" w:rsidRDefault="007F6DF9">
            <w:pPr>
              <w:pStyle w:val="TableParagraph"/>
              <w:rPr>
                <w:rFonts w:ascii="Times New Roman"/>
                <w:sz w:val="24"/>
              </w:rPr>
            </w:pPr>
          </w:p>
        </w:tc>
      </w:tr>
    </w:tbl>
    <w:p w:rsidR="007F6DF9" w:rsidRDefault="007F6DF9">
      <w:pPr>
        <w:pStyle w:val="TableParagraph"/>
        <w:rPr>
          <w:rFonts w:ascii="Times New Roman"/>
          <w:sz w:val="24"/>
        </w:rPr>
        <w:sectPr w:rsidR="007F6DF9">
          <w:type w:val="continuous"/>
          <w:pgSz w:w="11920" w:h="16850"/>
          <w:pgMar w:top="340" w:right="0" w:bottom="0" w:left="0" w:header="0" w:footer="0" w:gutter="0"/>
          <w:pgNumType w:start="7"/>
          <w:cols w:space="720"/>
        </w:sectPr>
      </w:pPr>
    </w:p>
    <w:p w:rsidR="007F6DF9" w:rsidRDefault="00A43FBC">
      <w:pPr>
        <w:pStyle w:val="BodyText"/>
        <w:spacing w:before="106"/>
        <w:rPr>
          <w:rFonts w:ascii="Tahoma"/>
          <w:sz w:val="28"/>
        </w:rPr>
      </w:pPr>
      <w:r>
        <w:rPr>
          <w:rFonts w:ascii="Tahoma"/>
          <w:noProof/>
          <w:sz w:val="28"/>
        </w:rPr>
        <w:lastRenderedPageBreak/>
        <mc:AlternateContent>
          <mc:Choice Requires="wps">
            <w:drawing>
              <wp:anchor distT="0" distB="0" distL="0" distR="0" simplePos="0" relativeHeight="479568896" behindDoc="1" locked="0" layoutInCell="1" allowOverlap="1">
                <wp:simplePos x="0" y="0"/>
                <wp:positionH relativeFrom="page">
                  <wp:posOffset>0</wp:posOffset>
                </wp:positionH>
                <wp:positionV relativeFrom="page">
                  <wp:posOffset>533399</wp:posOffset>
                </wp:positionV>
                <wp:extent cx="7560309" cy="1016063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160635"/>
                        </a:xfrm>
                        <a:custGeom>
                          <a:avLst/>
                          <a:gdLst/>
                          <a:ahLst/>
                          <a:cxnLst/>
                          <a:rect l="l" t="t" r="r" b="b"/>
                          <a:pathLst>
                            <a:path w="7560309" h="10160635">
                              <a:moveTo>
                                <a:pt x="7560309" y="0"/>
                              </a:moveTo>
                              <a:lnTo>
                                <a:pt x="0" y="0"/>
                              </a:lnTo>
                              <a:lnTo>
                                <a:pt x="0" y="10160508"/>
                              </a:lnTo>
                              <a:lnTo>
                                <a:pt x="7560309" y="10160508"/>
                              </a:lnTo>
                              <a:lnTo>
                                <a:pt x="7560309" y="0"/>
                              </a:lnTo>
                              <a:close/>
                            </a:path>
                          </a:pathLst>
                        </a:custGeom>
                        <a:solidFill>
                          <a:srgbClr val="FFF5EB"/>
                        </a:solidFill>
                      </wps:spPr>
                      <wps:bodyPr wrap="square" lIns="0" tIns="0" rIns="0" bIns="0" rtlCol="0">
                        <a:prstTxWarp prst="textNoShape">
                          <a:avLst/>
                        </a:prstTxWarp>
                        <a:noAutofit/>
                      </wps:bodyPr>
                    </wps:wsp>
                  </a:graphicData>
                </a:graphic>
              </wp:anchor>
            </w:drawing>
          </mc:Choice>
          <mc:Fallback>
            <w:pict>
              <v:shape w14:anchorId="053B1B42" id="Graphic 9" o:spid="_x0000_s1026" style="position:absolute;margin-left:0;margin-top:42pt;width:595.3pt;height:800.05pt;z-index:-23747584;visibility:visible;mso-wrap-style:square;mso-wrap-distance-left:0;mso-wrap-distance-top:0;mso-wrap-distance-right:0;mso-wrap-distance-bottom:0;mso-position-horizontal:absolute;mso-position-horizontal-relative:page;mso-position-vertical:absolute;mso-position-vertical-relative:page;v-text-anchor:top" coordsize="7560309,1016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" path="m7560309,l,,,10160508r7560309,l7560309,xe" fillcolor="#fff5eb" stroked="f">
                <v:path arrowok="t"/>
                <w10:wrap anchorx="page" anchory="page"/>
              </v:shape>
            </w:pict>
          </mc:Fallback>
        </mc:AlternateContent>
      </w:r>
    </w:p>
    <w:p w:rsidR="007F6DF9" w:rsidRDefault="00A43FBC">
      <w:pPr>
        <w:pStyle w:val="Heading4"/>
        <w:spacing w:before="1"/>
        <w:ind w:left="4042" w:right="4041"/>
        <w:jc w:val="center"/>
      </w:pPr>
      <w:r>
        <w:rPr>
          <w:color w:val="221F1F"/>
        </w:rPr>
        <w:t>TABLE</w:t>
      </w:r>
      <w:r>
        <w:rPr>
          <w:color w:val="221F1F"/>
          <w:spacing w:val="-4"/>
        </w:rPr>
        <w:t xml:space="preserve"> </w:t>
      </w:r>
      <w:r>
        <w:rPr>
          <w:color w:val="221F1F"/>
        </w:rPr>
        <w:t>OF</w:t>
      </w:r>
      <w:r>
        <w:rPr>
          <w:color w:val="221F1F"/>
          <w:spacing w:val="-2"/>
        </w:rPr>
        <w:t xml:space="preserve"> CONTENTS</w:t>
      </w:r>
    </w:p>
    <w:p w:rsidR="007F6DF9" w:rsidRDefault="007F6DF9">
      <w:pPr>
        <w:pStyle w:val="Heading4"/>
        <w:jc w:val="center"/>
        <w:sectPr w:rsidR="007F6DF9">
          <w:pgSz w:w="11920" w:h="16850"/>
          <w:pgMar w:top="360" w:right="0" w:bottom="227" w:left="0" w:header="0" w:footer="0" w:gutter="0"/>
          <w:cols w:space="720"/>
        </w:sectPr>
      </w:pPr>
    </w:p>
    <w:sdt>
      <w:sdtPr>
        <w:rPr>
          <w:b w:val="0"/>
          <w:bCs w:val="0"/>
        </w:rPr>
        <w:id w:val="1589267530"/>
        <w:docPartObj>
          <w:docPartGallery w:val="Table of Contents"/>
          <w:docPartUnique/>
        </w:docPartObj>
      </w:sdtPr>
      <w:sdtContent>
        <w:p w:rsidR="007F6DF9" w:rsidRDefault="00883FED">
          <w:pPr>
            <w:pStyle w:val="TOC1"/>
            <w:tabs>
              <w:tab w:val="right" w:leader="dot" w:pos="11038"/>
            </w:tabs>
            <w:spacing w:before="447"/>
            <w:rPr>
              <w:b w:val="0"/>
            </w:rPr>
          </w:pPr>
          <w:hyperlink w:anchor="_bookmark0" w:history="1">
            <w:r w:rsidR="00A43FBC">
              <w:rPr>
                <w:color w:val="221F1F"/>
                <w:spacing w:val="-2"/>
              </w:rPr>
              <w:t>PREFACE</w:t>
            </w:r>
            <w:r w:rsidR="00A43FBC">
              <w:rPr>
                <w:color w:val="221F1F"/>
              </w:rPr>
              <w:tab/>
            </w:r>
            <w:r w:rsidR="00A43FBC">
              <w:rPr>
                <w:b w:val="0"/>
                <w:color w:val="221F1F"/>
                <w:spacing w:val="-5"/>
              </w:rPr>
              <w:t>iv</w:t>
            </w:r>
          </w:hyperlink>
        </w:p>
        <w:p w:rsidR="007F6DF9" w:rsidRDefault="00A43FBC">
          <w:pPr>
            <w:pStyle w:val="TOC1"/>
            <w:tabs>
              <w:tab w:val="right" w:leader="dot" w:pos="11034"/>
            </w:tabs>
            <w:spacing w:before="236"/>
            <w:rPr>
              <w:b w:val="0"/>
            </w:rPr>
          </w:pPr>
          <w:r>
            <w:rPr>
              <w:color w:val="221F1F"/>
            </w:rPr>
            <w:t>APPENDIX</w:t>
          </w:r>
          <w:r>
            <w:rPr>
              <w:color w:val="221F1F"/>
              <w:spacing w:val="-6"/>
            </w:rPr>
            <w:t xml:space="preserve"> </w:t>
          </w:r>
          <w:r>
            <w:rPr>
              <w:color w:val="221F1F"/>
            </w:rPr>
            <w:t>TOTHE</w:t>
          </w:r>
          <w:r>
            <w:rPr>
              <w:color w:val="221F1F"/>
              <w:spacing w:val="-6"/>
            </w:rPr>
            <w:t xml:space="preserve"> </w:t>
          </w:r>
          <w:r>
            <w:rPr>
              <w:color w:val="221F1F"/>
              <w:spacing w:val="-2"/>
            </w:rPr>
            <w:t>PREFACE</w:t>
          </w:r>
          <w:r>
            <w:rPr>
              <w:color w:val="221F1F"/>
            </w:rPr>
            <w:tab/>
          </w:r>
          <w:r>
            <w:rPr>
              <w:b w:val="0"/>
              <w:color w:val="221F1F"/>
              <w:spacing w:val="-10"/>
            </w:rPr>
            <w:t>v</w:t>
          </w:r>
        </w:p>
        <w:p w:rsidR="007F6DF9" w:rsidRDefault="00A43FBC">
          <w:pPr>
            <w:pStyle w:val="TOC2"/>
            <w:tabs>
              <w:tab w:val="right" w:leader="dot" w:pos="11034"/>
            </w:tabs>
            <w:spacing w:before="235" w:line="240" w:lineRule="auto"/>
            <w:ind w:left="847" w:firstLine="0"/>
          </w:pPr>
          <w:r>
            <w:rPr>
              <w:color w:val="221F1F"/>
              <w:spacing w:val="-2"/>
            </w:rPr>
            <w:t>GUIDELINES</w:t>
          </w:r>
          <w:r>
            <w:rPr>
              <w:color w:val="221F1F"/>
              <w:spacing w:val="-5"/>
            </w:rPr>
            <w:t xml:space="preserve"> </w:t>
          </w:r>
          <w:r>
            <w:rPr>
              <w:color w:val="221F1F"/>
              <w:spacing w:val="-2"/>
            </w:rPr>
            <w:t>FOR</w:t>
          </w:r>
          <w:r>
            <w:rPr>
              <w:color w:val="221F1F"/>
              <w:spacing w:val="-3"/>
            </w:rPr>
            <w:t xml:space="preserve"> </w:t>
          </w:r>
          <w:r>
            <w:rPr>
              <w:color w:val="221F1F"/>
              <w:spacing w:val="-2"/>
            </w:rPr>
            <w:t>PREPARATION</w:t>
          </w:r>
          <w:r>
            <w:rPr>
              <w:color w:val="221F1F"/>
              <w:spacing w:val="-12"/>
            </w:rPr>
            <w:t xml:space="preserve"> </w:t>
          </w:r>
          <w:r>
            <w:rPr>
              <w:color w:val="221F1F"/>
              <w:spacing w:val="-2"/>
            </w:rPr>
            <w:t>OF</w:t>
          </w:r>
          <w:r>
            <w:rPr>
              <w:color w:val="221F1F"/>
              <w:spacing w:val="-3"/>
            </w:rPr>
            <w:t xml:space="preserve"> </w:t>
          </w:r>
          <w:r>
            <w:rPr>
              <w:color w:val="221F1F"/>
              <w:spacing w:val="-2"/>
            </w:rPr>
            <w:t>TENDER</w:t>
          </w:r>
          <w:r>
            <w:rPr>
              <w:color w:val="221F1F"/>
              <w:spacing w:val="-1"/>
            </w:rPr>
            <w:t xml:space="preserve"> </w:t>
          </w:r>
          <w:r>
            <w:rPr>
              <w:color w:val="221F1F"/>
              <w:spacing w:val="-2"/>
            </w:rPr>
            <w:t>DOCUMENTS</w:t>
          </w:r>
          <w:r>
            <w:rPr>
              <w:color w:val="221F1F"/>
            </w:rPr>
            <w:tab/>
          </w:r>
          <w:r>
            <w:rPr>
              <w:color w:val="221F1F"/>
              <w:spacing w:val="-10"/>
            </w:rPr>
            <w:t>v</w:t>
          </w:r>
        </w:p>
        <w:p w:rsidR="007F6DF9" w:rsidRDefault="00A43FBC">
          <w:pPr>
            <w:pStyle w:val="TOC2"/>
            <w:numPr>
              <w:ilvl w:val="0"/>
              <w:numId w:val="248"/>
            </w:numPr>
            <w:tabs>
              <w:tab w:val="left" w:pos="1174"/>
              <w:tab w:val="right" w:leader="dot" w:pos="11034"/>
            </w:tabs>
            <w:spacing w:before="227" w:line="249" w:lineRule="exact"/>
            <w:ind w:left="1174" w:hanging="327"/>
          </w:pPr>
          <w:r>
            <w:rPr>
              <w:color w:val="221F1F"/>
              <w:spacing w:val="-2"/>
            </w:rPr>
            <w:t>PART</w:t>
          </w:r>
          <w:r>
            <w:rPr>
              <w:color w:val="221F1F"/>
              <w:spacing w:val="-17"/>
            </w:rPr>
            <w:t xml:space="preserve"> </w:t>
          </w:r>
          <w:r>
            <w:rPr>
              <w:color w:val="221F1F"/>
              <w:spacing w:val="-2"/>
            </w:rPr>
            <w:t>1</w:t>
          </w:r>
          <w:r>
            <w:rPr>
              <w:color w:val="221F1F"/>
              <w:spacing w:val="-6"/>
            </w:rPr>
            <w:t xml:space="preserve"> </w:t>
          </w:r>
          <w:r>
            <w:rPr>
              <w:color w:val="221F1F"/>
              <w:spacing w:val="-2"/>
            </w:rPr>
            <w:t>-</w:t>
          </w:r>
          <w:r>
            <w:rPr>
              <w:color w:val="221F1F"/>
              <w:spacing w:val="-5"/>
            </w:rPr>
            <w:t xml:space="preserve"> </w:t>
          </w:r>
          <w:r>
            <w:rPr>
              <w:color w:val="221F1F"/>
              <w:spacing w:val="-2"/>
            </w:rPr>
            <w:t>TENDERING</w:t>
          </w:r>
          <w:r>
            <w:rPr>
              <w:color w:val="221F1F"/>
              <w:spacing w:val="-4"/>
            </w:rPr>
            <w:t xml:space="preserve"> </w:t>
          </w:r>
          <w:r>
            <w:rPr>
              <w:color w:val="221F1F"/>
              <w:spacing w:val="-2"/>
            </w:rPr>
            <w:t>PROCEDURES</w:t>
          </w:r>
          <w:r>
            <w:rPr>
              <w:color w:val="221F1F"/>
            </w:rPr>
            <w:tab/>
          </w:r>
          <w:r>
            <w:rPr>
              <w:color w:val="221F1F"/>
              <w:spacing w:val="-10"/>
            </w:rPr>
            <w:t>v</w:t>
          </w:r>
        </w:p>
        <w:p w:rsidR="007F6DF9" w:rsidRDefault="00A43FBC">
          <w:pPr>
            <w:pStyle w:val="TOC2"/>
            <w:numPr>
              <w:ilvl w:val="0"/>
              <w:numId w:val="248"/>
            </w:numPr>
            <w:tabs>
              <w:tab w:val="left" w:pos="1174"/>
              <w:tab w:val="right" w:leader="dot" w:pos="11036"/>
            </w:tabs>
            <w:spacing w:line="246" w:lineRule="exact"/>
            <w:ind w:left="1174" w:hanging="327"/>
          </w:pPr>
          <w:r>
            <w:rPr>
              <w:color w:val="221F1F"/>
            </w:rPr>
            <w:t>PART</w:t>
          </w:r>
          <w:r>
            <w:rPr>
              <w:color w:val="221F1F"/>
              <w:spacing w:val="-17"/>
            </w:rPr>
            <w:t xml:space="preserve"> </w:t>
          </w:r>
          <w:r>
            <w:rPr>
              <w:color w:val="221F1F"/>
            </w:rPr>
            <w:t>2</w:t>
          </w:r>
          <w:r>
            <w:rPr>
              <w:color w:val="221F1F"/>
              <w:spacing w:val="-14"/>
            </w:rPr>
            <w:t xml:space="preserve"> </w:t>
          </w:r>
          <w:r>
            <w:rPr>
              <w:color w:val="221F1F"/>
            </w:rPr>
            <w:t>-</w:t>
          </w:r>
          <w:r>
            <w:rPr>
              <w:color w:val="221F1F"/>
              <w:spacing w:val="-14"/>
            </w:rPr>
            <w:t xml:space="preserve"> </w:t>
          </w:r>
          <w:r>
            <w:rPr>
              <w:color w:val="221F1F"/>
            </w:rPr>
            <w:t>PROCUREMENT</w:t>
          </w:r>
          <w:r>
            <w:rPr>
              <w:color w:val="221F1F"/>
              <w:spacing w:val="-13"/>
            </w:rPr>
            <w:t xml:space="preserve"> </w:t>
          </w:r>
          <w:r>
            <w:rPr>
              <w:color w:val="221F1F"/>
            </w:rPr>
            <w:t>ENTITY'S</w:t>
          </w:r>
          <w:r>
            <w:rPr>
              <w:color w:val="221F1F"/>
              <w:spacing w:val="-10"/>
            </w:rPr>
            <w:t xml:space="preserve"> </w:t>
          </w:r>
          <w:r>
            <w:rPr>
              <w:color w:val="221F1F"/>
              <w:spacing w:val="-2"/>
            </w:rPr>
            <w:t>REQUIREMENTS</w:t>
          </w:r>
          <w:r>
            <w:rPr>
              <w:color w:val="221F1F"/>
            </w:rPr>
            <w:tab/>
          </w:r>
          <w:r>
            <w:rPr>
              <w:color w:val="221F1F"/>
              <w:spacing w:val="-5"/>
            </w:rPr>
            <w:t>vi</w:t>
          </w:r>
        </w:p>
        <w:p w:rsidR="007F6DF9" w:rsidRDefault="00A43FBC">
          <w:pPr>
            <w:pStyle w:val="TOC2"/>
            <w:numPr>
              <w:ilvl w:val="0"/>
              <w:numId w:val="248"/>
            </w:numPr>
            <w:tabs>
              <w:tab w:val="left" w:pos="1188"/>
              <w:tab w:val="right" w:leader="dot" w:pos="11036"/>
            </w:tabs>
            <w:spacing w:line="250" w:lineRule="exact"/>
            <w:ind w:left="1188" w:hanging="341"/>
          </w:pPr>
          <w:r>
            <w:rPr>
              <w:color w:val="221F1F"/>
            </w:rPr>
            <w:t>PART</w:t>
          </w:r>
          <w:r>
            <w:rPr>
              <w:color w:val="221F1F"/>
              <w:spacing w:val="-20"/>
            </w:rPr>
            <w:t xml:space="preserve"> </w:t>
          </w:r>
          <w:r>
            <w:rPr>
              <w:color w:val="221F1F"/>
            </w:rPr>
            <w:t>3</w:t>
          </w:r>
          <w:r>
            <w:rPr>
              <w:color w:val="221F1F"/>
              <w:spacing w:val="-14"/>
            </w:rPr>
            <w:t xml:space="preserve"> </w:t>
          </w:r>
          <w:r>
            <w:rPr>
              <w:color w:val="221F1F"/>
            </w:rPr>
            <w:t>-</w:t>
          </w:r>
          <w:r>
            <w:rPr>
              <w:color w:val="221F1F"/>
              <w:spacing w:val="-11"/>
            </w:rPr>
            <w:t xml:space="preserve"> </w:t>
          </w:r>
          <w:r>
            <w:rPr>
              <w:color w:val="221F1F"/>
            </w:rPr>
            <w:t>CONDITIONS</w:t>
          </w:r>
          <w:r>
            <w:rPr>
              <w:color w:val="221F1F"/>
              <w:spacing w:val="-9"/>
            </w:rPr>
            <w:t xml:space="preserve"> </w:t>
          </w:r>
          <w:r>
            <w:rPr>
              <w:color w:val="221F1F"/>
            </w:rPr>
            <w:t>OF</w:t>
          </w:r>
          <w:r>
            <w:rPr>
              <w:color w:val="221F1F"/>
              <w:spacing w:val="-9"/>
            </w:rPr>
            <w:t xml:space="preserve"> </w:t>
          </w:r>
          <w:r>
            <w:rPr>
              <w:color w:val="221F1F"/>
            </w:rPr>
            <w:t>CONTRACT</w:t>
          </w:r>
          <w:r>
            <w:rPr>
              <w:color w:val="221F1F"/>
              <w:spacing w:val="-8"/>
            </w:rPr>
            <w:t xml:space="preserve"> </w:t>
          </w:r>
          <w:r>
            <w:rPr>
              <w:color w:val="221F1F"/>
            </w:rPr>
            <w:t>AND</w:t>
          </w:r>
          <w:r>
            <w:rPr>
              <w:color w:val="221F1F"/>
              <w:spacing w:val="-6"/>
            </w:rPr>
            <w:t xml:space="preserve"> </w:t>
          </w:r>
          <w:r>
            <w:rPr>
              <w:color w:val="221F1F"/>
              <w:spacing w:val="-2"/>
            </w:rPr>
            <w:t>CONTRACTFORMS</w:t>
          </w:r>
          <w:r>
            <w:rPr>
              <w:color w:val="221F1F"/>
            </w:rPr>
            <w:tab/>
          </w:r>
          <w:r>
            <w:rPr>
              <w:color w:val="221F1F"/>
              <w:spacing w:val="-5"/>
            </w:rPr>
            <w:t>vi</w:t>
          </w:r>
        </w:p>
        <w:p w:rsidR="007F6DF9" w:rsidRDefault="00883FED">
          <w:pPr>
            <w:pStyle w:val="TOC1"/>
            <w:tabs>
              <w:tab w:val="right" w:leader="dot" w:pos="11035"/>
            </w:tabs>
            <w:spacing w:before="236"/>
            <w:rPr>
              <w:b w:val="0"/>
            </w:rPr>
          </w:pPr>
          <w:hyperlink w:anchor="_bookmark1" w:history="1">
            <w:r w:rsidR="00A43FBC">
              <w:rPr>
                <w:color w:val="221F1F"/>
                <w:spacing w:val="-6"/>
              </w:rPr>
              <w:t>INVITATION</w:t>
            </w:r>
            <w:r w:rsidR="00A43FBC">
              <w:rPr>
                <w:color w:val="221F1F"/>
                <w:spacing w:val="4"/>
              </w:rPr>
              <w:t xml:space="preserve"> </w:t>
            </w:r>
            <w:r w:rsidR="00A43FBC">
              <w:rPr>
                <w:color w:val="221F1F"/>
                <w:spacing w:val="-2"/>
              </w:rPr>
              <w:t>TOTENDER</w:t>
            </w:r>
            <w:r w:rsidR="00A43FBC">
              <w:rPr>
                <w:color w:val="221F1F"/>
              </w:rPr>
              <w:tab/>
            </w:r>
            <w:r w:rsidR="00A43FBC">
              <w:rPr>
                <w:b w:val="0"/>
                <w:color w:val="221F1F"/>
                <w:spacing w:val="-4"/>
              </w:rPr>
              <w:t>viii</w:t>
            </w:r>
          </w:hyperlink>
        </w:p>
        <w:p w:rsidR="007F6DF9" w:rsidRDefault="00883FED">
          <w:pPr>
            <w:pStyle w:val="TOC1"/>
            <w:tabs>
              <w:tab w:val="right" w:leader="dot" w:pos="11034"/>
            </w:tabs>
            <w:spacing w:before="234"/>
            <w:rPr>
              <w:b w:val="0"/>
            </w:rPr>
          </w:pPr>
          <w:hyperlink w:anchor="_bookmark2" w:history="1">
            <w:r w:rsidR="00A43FBC">
              <w:rPr>
                <w:color w:val="221F1F"/>
                <w:spacing w:val="-2"/>
              </w:rPr>
              <w:t>PART</w:t>
            </w:r>
            <w:r w:rsidR="00A43FBC">
              <w:rPr>
                <w:color w:val="221F1F"/>
                <w:spacing w:val="-15"/>
              </w:rPr>
              <w:t xml:space="preserve"> </w:t>
            </w:r>
            <w:r w:rsidR="00A43FBC">
              <w:rPr>
                <w:color w:val="221F1F"/>
                <w:spacing w:val="-2"/>
              </w:rPr>
              <w:t>1:TENDERING</w:t>
            </w:r>
            <w:r w:rsidR="00A43FBC">
              <w:rPr>
                <w:color w:val="221F1F"/>
                <w:spacing w:val="-5"/>
              </w:rPr>
              <w:t xml:space="preserve"> </w:t>
            </w:r>
            <w:r w:rsidR="00A43FBC">
              <w:rPr>
                <w:color w:val="221F1F"/>
                <w:spacing w:val="-2"/>
              </w:rPr>
              <w:t>PROCEDURES</w:t>
            </w:r>
            <w:r w:rsidR="00A43FBC">
              <w:rPr>
                <w:color w:val="221F1F"/>
              </w:rPr>
              <w:tab/>
            </w:r>
            <w:r w:rsidR="00A43FBC">
              <w:rPr>
                <w:b w:val="0"/>
                <w:color w:val="221F1F"/>
                <w:spacing w:val="-10"/>
              </w:rPr>
              <w:t>1</w:t>
            </w:r>
          </w:hyperlink>
        </w:p>
        <w:p w:rsidR="007F6DF9" w:rsidRDefault="00A43FBC">
          <w:pPr>
            <w:pStyle w:val="TOC1"/>
            <w:tabs>
              <w:tab w:val="right" w:leader="dot" w:pos="11034"/>
            </w:tabs>
            <w:rPr>
              <w:b w:val="0"/>
            </w:rPr>
          </w:pPr>
          <w:r>
            <w:rPr>
              <w:color w:val="221F1F"/>
            </w:rPr>
            <w:t>SECTION</w:t>
          </w:r>
          <w:r>
            <w:rPr>
              <w:color w:val="221F1F"/>
              <w:spacing w:val="-5"/>
            </w:rPr>
            <w:t xml:space="preserve"> </w:t>
          </w:r>
          <w:r>
            <w:rPr>
              <w:color w:val="221F1F"/>
            </w:rPr>
            <w:t>I</w:t>
          </w:r>
          <w:r>
            <w:rPr>
              <w:color w:val="221F1F"/>
              <w:spacing w:val="-3"/>
            </w:rPr>
            <w:t xml:space="preserve"> </w:t>
          </w:r>
          <w:r>
            <w:rPr>
              <w:color w:val="221F1F"/>
            </w:rPr>
            <w:t>-</w:t>
          </w:r>
          <w:r>
            <w:rPr>
              <w:color w:val="221F1F"/>
              <w:spacing w:val="-5"/>
            </w:rPr>
            <w:t xml:space="preserve"> </w:t>
          </w:r>
          <w:r>
            <w:rPr>
              <w:color w:val="221F1F"/>
            </w:rPr>
            <w:t>INSTRUCTIONS</w:t>
          </w:r>
          <w:r>
            <w:rPr>
              <w:color w:val="221F1F"/>
              <w:spacing w:val="-3"/>
            </w:rPr>
            <w:t xml:space="preserve"> </w:t>
          </w:r>
          <w:r>
            <w:rPr>
              <w:color w:val="221F1F"/>
              <w:spacing w:val="-2"/>
            </w:rPr>
            <w:t>TOTENDERERS</w:t>
          </w:r>
          <w:r>
            <w:rPr>
              <w:color w:val="221F1F"/>
            </w:rPr>
            <w:tab/>
          </w:r>
          <w:r>
            <w:rPr>
              <w:b w:val="0"/>
              <w:color w:val="221F1F"/>
              <w:spacing w:val="-10"/>
            </w:rPr>
            <w:t>1</w:t>
          </w:r>
        </w:p>
        <w:p w:rsidR="007F6DF9" w:rsidRDefault="00A43FBC">
          <w:pPr>
            <w:pStyle w:val="TOC1"/>
            <w:numPr>
              <w:ilvl w:val="0"/>
              <w:numId w:val="247"/>
            </w:numPr>
            <w:tabs>
              <w:tab w:val="left" w:pos="1187"/>
              <w:tab w:val="right" w:leader="dot" w:pos="11034"/>
            </w:tabs>
            <w:spacing w:before="227" w:line="249" w:lineRule="exact"/>
            <w:ind w:left="1187" w:hanging="340"/>
            <w:rPr>
              <w:b w:val="0"/>
            </w:rPr>
          </w:pPr>
          <w:r>
            <w:rPr>
              <w:color w:val="221F1F"/>
              <w:spacing w:val="-2"/>
            </w:rPr>
            <w:t>GENERALPROVISIONS</w:t>
          </w:r>
          <w:r>
            <w:rPr>
              <w:color w:val="221F1F"/>
            </w:rPr>
            <w:tab/>
          </w:r>
          <w:r>
            <w:rPr>
              <w:b w:val="0"/>
              <w:color w:val="221F1F"/>
              <w:spacing w:val="-10"/>
            </w:rPr>
            <w:t>1</w:t>
          </w:r>
        </w:p>
        <w:p w:rsidR="007F6DF9" w:rsidRDefault="00883FED">
          <w:pPr>
            <w:pStyle w:val="TOC2"/>
            <w:numPr>
              <w:ilvl w:val="0"/>
              <w:numId w:val="246"/>
            </w:numPr>
            <w:tabs>
              <w:tab w:val="left" w:pos="1615"/>
              <w:tab w:val="right" w:leader="dot" w:pos="11034"/>
            </w:tabs>
            <w:ind w:hanging="768"/>
          </w:pPr>
          <w:hyperlink w:anchor="_bookmark3" w:history="1">
            <w:r w:rsidR="00A43FBC">
              <w:rPr>
                <w:color w:val="221F1F"/>
              </w:rPr>
              <w:t>Scope</w:t>
            </w:r>
            <w:r w:rsidR="00A43FBC">
              <w:rPr>
                <w:color w:val="221F1F"/>
                <w:spacing w:val="-1"/>
              </w:rPr>
              <w:t xml:space="preserve"> </w:t>
            </w:r>
            <w:r w:rsidR="00A43FBC">
              <w:rPr>
                <w:color w:val="221F1F"/>
              </w:rPr>
              <w:t>of</w:t>
            </w:r>
            <w:r w:rsidR="00A43FBC">
              <w:rPr>
                <w:color w:val="221F1F"/>
                <w:spacing w:val="-1"/>
              </w:rPr>
              <w:t xml:space="preserve"> </w:t>
            </w:r>
            <w:r w:rsidR="00A43FBC">
              <w:rPr>
                <w:color w:val="221F1F"/>
                <w:spacing w:val="-2"/>
              </w:rPr>
              <w:t>tender</w:t>
            </w:r>
            <w:r w:rsidR="00A43FBC">
              <w:rPr>
                <w:color w:val="221F1F"/>
              </w:rPr>
              <w:tab/>
            </w:r>
            <w:r w:rsidR="00A43FBC">
              <w:rPr>
                <w:color w:val="221F1F"/>
                <w:spacing w:val="-10"/>
              </w:rPr>
              <w:t>1</w:t>
            </w:r>
          </w:hyperlink>
        </w:p>
        <w:p w:rsidR="007F6DF9" w:rsidRDefault="00883FED">
          <w:pPr>
            <w:pStyle w:val="TOC2"/>
            <w:numPr>
              <w:ilvl w:val="0"/>
              <w:numId w:val="246"/>
            </w:numPr>
            <w:tabs>
              <w:tab w:val="left" w:pos="1615"/>
              <w:tab w:val="right" w:leader="dot" w:pos="11034"/>
            </w:tabs>
            <w:ind w:hanging="768"/>
          </w:pPr>
          <w:hyperlink w:anchor="_bookmark4" w:history="1">
            <w:r w:rsidR="00A43FBC">
              <w:rPr>
                <w:color w:val="221F1F"/>
              </w:rPr>
              <w:t>Fraud</w:t>
            </w:r>
            <w:r w:rsidR="00A43FBC">
              <w:rPr>
                <w:color w:val="221F1F"/>
                <w:spacing w:val="-3"/>
              </w:rPr>
              <w:t xml:space="preserve"> </w:t>
            </w:r>
            <w:r w:rsidR="00A43FBC">
              <w:rPr>
                <w:color w:val="221F1F"/>
              </w:rPr>
              <w:t xml:space="preserve">and </w:t>
            </w:r>
            <w:r w:rsidR="00A43FBC">
              <w:rPr>
                <w:color w:val="221F1F"/>
                <w:spacing w:val="-2"/>
              </w:rPr>
              <w:t>corruption</w:t>
            </w:r>
            <w:r w:rsidR="00A43FBC">
              <w:rPr>
                <w:color w:val="221F1F"/>
              </w:rPr>
              <w:tab/>
            </w:r>
            <w:r w:rsidR="00A43FBC">
              <w:rPr>
                <w:color w:val="221F1F"/>
                <w:spacing w:val="-10"/>
              </w:rPr>
              <w:t>1</w:t>
            </w:r>
          </w:hyperlink>
        </w:p>
        <w:p w:rsidR="007F6DF9" w:rsidRDefault="00883FED">
          <w:pPr>
            <w:pStyle w:val="TOC2"/>
            <w:numPr>
              <w:ilvl w:val="0"/>
              <w:numId w:val="246"/>
            </w:numPr>
            <w:tabs>
              <w:tab w:val="left" w:pos="1615"/>
              <w:tab w:val="right" w:leader="dot" w:pos="11034"/>
            </w:tabs>
            <w:spacing w:line="244" w:lineRule="exact"/>
            <w:ind w:hanging="768"/>
          </w:pPr>
          <w:hyperlink w:anchor="_bookmark5" w:history="1">
            <w:r w:rsidR="00A43FBC">
              <w:rPr>
                <w:color w:val="221F1F"/>
              </w:rPr>
              <w:t>Eligible</w:t>
            </w:r>
            <w:r w:rsidR="00A43FBC">
              <w:rPr>
                <w:color w:val="221F1F"/>
                <w:spacing w:val="-4"/>
              </w:rPr>
              <w:t xml:space="preserve"> </w:t>
            </w:r>
            <w:r w:rsidR="00A43FBC">
              <w:rPr>
                <w:color w:val="221F1F"/>
                <w:spacing w:val="-2"/>
              </w:rPr>
              <w:t>tenderers</w:t>
            </w:r>
            <w:r w:rsidR="00A43FBC">
              <w:rPr>
                <w:color w:val="221F1F"/>
              </w:rPr>
              <w:tab/>
            </w:r>
            <w:r w:rsidR="00A43FBC">
              <w:rPr>
                <w:color w:val="221F1F"/>
                <w:spacing w:val="-10"/>
              </w:rPr>
              <w:t>1</w:t>
            </w:r>
          </w:hyperlink>
        </w:p>
        <w:p w:rsidR="007F6DF9" w:rsidRDefault="00883FED">
          <w:pPr>
            <w:pStyle w:val="TOC2"/>
            <w:numPr>
              <w:ilvl w:val="0"/>
              <w:numId w:val="246"/>
            </w:numPr>
            <w:tabs>
              <w:tab w:val="left" w:pos="1615"/>
              <w:tab w:val="right" w:leader="dot" w:pos="11034"/>
            </w:tabs>
            <w:ind w:hanging="768"/>
          </w:pPr>
          <w:hyperlink w:anchor="_bookmark6" w:history="1">
            <w:r w:rsidR="00A43FBC">
              <w:rPr>
                <w:color w:val="221F1F"/>
              </w:rPr>
              <w:t>Eligible</w:t>
            </w:r>
            <w:r w:rsidR="00A43FBC">
              <w:rPr>
                <w:color w:val="221F1F"/>
                <w:spacing w:val="-6"/>
              </w:rPr>
              <w:t xml:space="preserve"> </w:t>
            </w:r>
            <w:r w:rsidR="00A43FBC">
              <w:rPr>
                <w:color w:val="221F1F"/>
              </w:rPr>
              <w:t>goods,</w:t>
            </w:r>
            <w:r w:rsidR="00A43FBC">
              <w:rPr>
                <w:color w:val="221F1F"/>
                <w:spacing w:val="-4"/>
              </w:rPr>
              <w:t xml:space="preserve"> </w:t>
            </w:r>
            <w:r w:rsidR="00A43FBC">
              <w:rPr>
                <w:color w:val="221F1F"/>
              </w:rPr>
              <w:t>equipment,</w:t>
            </w:r>
            <w:r w:rsidR="00A43FBC">
              <w:rPr>
                <w:color w:val="221F1F"/>
                <w:spacing w:val="-6"/>
              </w:rPr>
              <w:t xml:space="preserve"> </w:t>
            </w:r>
            <w:r w:rsidR="00A43FBC">
              <w:rPr>
                <w:color w:val="221F1F"/>
              </w:rPr>
              <w:t>and</w:t>
            </w:r>
            <w:r w:rsidR="00A43FBC">
              <w:rPr>
                <w:color w:val="221F1F"/>
                <w:spacing w:val="-3"/>
              </w:rPr>
              <w:t xml:space="preserve"> </w:t>
            </w:r>
            <w:r w:rsidR="00A43FBC">
              <w:rPr>
                <w:color w:val="221F1F"/>
                <w:spacing w:val="-2"/>
              </w:rPr>
              <w:t>services</w:t>
            </w:r>
            <w:r w:rsidR="00A43FBC">
              <w:rPr>
                <w:color w:val="221F1F"/>
              </w:rPr>
              <w:tab/>
            </w:r>
            <w:r w:rsidR="00A43FBC">
              <w:rPr>
                <w:color w:val="221F1F"/>
                <w:spacing w:val="-10"/>
              </w:rPr>
              <w:t>3</w:t>
            </w:r>
          </w:hyperlink>
        </w:p>
        <w:p w:rsidR="007F6DF9" w:rsidRDefault="00883FED">
          <w:pPr>
            <w:pStyle w:val="TOC2"/>
            <w:numPr>
              <w:ilvl w:val="0"/>
              <w:numId w:val="246"/>
            </w:numPr>
            <w:tabs>
              <w:tab w:val="left" w:pos="1615"/>
              <w:tab w:val="right" w:leader="dot" w:pos="11034"/>
            </w:tabs>
            <w:spacing w:line="250" w:lineRule="exact"/>
            <w:ind w:hanging="768"/>
          </w:pPr>
          <w:hyperlink w:anchor="_bookmark7" w:history="1">
            <w:proofErr w:type="spellStart"/>
            <w:r w:rsidR="00A43FBC">
              <w:rPr>
                <w:color w:val="221F1F"/>
                <w:spacing w:val="-2"/>
              </w:rPr>
              <w:t>Tenderer'sresponsibilities</w:t>
            </w:r>
            <w:proofErr w:type="spellEnd"/>
            <w:r w:rsidR="00A43FBC">
              <w:rPr>
                <w:color w:val="221F1F"/>
              </w:rPr>
              <w:tab/>
            </w:r>
            <w:r w:rsidR="00A43FBC">
              <w:rPr>
                <w:color w:val="221F1F"/>
                <w:spacing w:val="-10"/>
              </w:rPr>
              <w:t>3</w:t>
            </w:r>
          </w:hyperlink>
        </w:p>
        <w:p w:rsidR="007F6DF9" w:rsidRDefault="00883FED">
          <w:pPr>
            <w:pStyle w:val="TOC1"/>
            <w:numPr>
              <w:ilvl w:val="0"/>
              <w:numId w:val="247"/>
            </w:numPr>
            <w:tabs>
              <w:tab w:val="left" w:pos="1187"/>
              <w:tab w:val="right" w:leader="dot" w:pos="11034"/>
            </w:tabs>
            <w:spacing w:before="237"/>
            <w:ind w:left="1187" w:hanging="340"/>
            <w:rPr>
              <w:b w:val="0"/>
            </w:rPr>
          </w:pPr>
          <w:hyperlink w:anchor="_bookmark8" w:history="1">
            <w:r w:rsidR="00A43FBC">
              <w:rPr>
                <w:color w:val="221F1F"/>
              </w:rPr>
              <w:t>CONTENTS</w:t>
            </w:r>
            <w:r w:rsidR="00A43FBC">
              <w:rPr>
                <w:color w:val="221F1F"/>
                <w:spacing w:val="-6"/>
              </w:rPr>
              <w:t xml:space="preserve"> </w:t>
            </w:r>
            <w:r w:rsidR="00A43FBC">
              <w:rPr>
                <w:color w:val="221F1F"/>
              </w:rPr>
              <w:t>OF</w:t>
            </w:r>
            <w:r w:rsidR="00A43FBC">
              <w:rPr>
                <w:color w:val="221F1F"/>
                <w:spacing w:val="-5"/>
              </w:rPr>
              <w:t xml:space="preserve"> </w:t>
            </w:r>
            <w:r w:rsidR="00A43FBC">
              <w:rPr>
                <w:color w:val="221F1F"/>
              </w:rPr>
              <w:t>TENDER</w:t>
            </w:r>
            <w:r w:rsidR="00A43FBC">
              <w:rPr>
                <w:color w:val="221F1F"/>
                <w:spacing w:val="-6"/>
              </w:rPr>
              <w:t xml:space="preserve"> </w:t>
            </w:r>
            <w:r w:rsidR="00A43FBC">
              <w:rPr>
                <w:color w:val="221F1F"/>
                <w:spacing w:val="-2"/>
              </w:rPr>
              <w:t>DOCUMENTS</w:t>
            </w:r>
            <w:r w:rsidR="00A43FBC">
              <w:rPr>
                <w:color w:val="221F1F"/>
              </w:rPr>
              <w:tab/>
            </w:r>
            <w:r w:rsidR="00A43FBC">
              <w:rPr>
                <w:b w:val="0"/>
                <w:color w:val="221F1F"/>
                <w:spacing w:val="-10"/>
              </w:rPr>
              <w:t>4</w:t>
            </w:r>
          </w:hyperlink>
        </w:p>
        <w:p w:rsidR="007F6DF9" w:rsidRDefault="00883FED">
          <w:pPr>
            <w:pStyle w:val="TOC2"/>
            <w:numPr>
              <w:ilvl w:val="0"/>
              <w:numId w:val="246"/>
            </w:numPr>
            <w:tabs>
              <w:tab w:val="left" w:pos="1615"/>
              <w:tab w:val="right" w:leader="dot" w:pos="11034"/>
            </w:tabs>
            <w:spacing w:before="227" w:line="249" w:lineRule="exact"/>
            <w:ind w:hanging="768"/>
          </w:pPr>
          <w:hyperlink w:anchor="_bookmark9" w:history="1">
            <w:r w:rsidR="00A43FBC">
              <w:rPr>
                <w:color w:val="221F1F"/>
              </w:rPr>
              <w:t>Sections</w:t>
            </w:r>
            <w:r w:rsidR="00A43FBC">
              <w:rPr>
                <w:color w:val="221F1F"/>
                <w:spacing w:val="-13"/>
              </w:rPr>
              <w:t xml:space="preserve"> </w:t>
            </w:r>
            <w:proofErr w:type="spellStart"/>
            <w:r w:rsidR="00A43FBC">
              <w:rPr>
                <w:color w:val="221F1F"/>
              </w:rPr>
              <w:t>ofTender</w:t>
            </w:r>
            <w:proofErr w:type="spellEnd"/>
            <w:r w:rsidR="00A43FBC">
              <w:rPr>
                <w:color w:val="221F1F"/>
                <w:spacing w:val="-13"/>
              </w:rPr>
              <w:t xml:space="preserve"> </w:t>
            </w:r>
            <w:r w:rsidR="00A43FBC">
              <w:rPr>
                <w:color w:val="221F1F"/>
                <w:spacing w:val="-2"/>
              </w:rPr>
              <w:t>Document</w:t>
            </w:r>
            <w:r w:rsidR="00A43FBC">
              <w:rPr>
                <w:color w:val="221F1F"/>
              </w:rPr>
              <w:tab/>
            </w:r>
            <w:r w:rsidR="00A43FBC">
              <w:rPr>
                <w:color w:val="221F1F"/>
                <w:spacing w:val="-10"/>
              </w:rPr>
              <w:t>4</w:t>
            </w:r>
          </w:hyperlink>
        </w:p>
        <w:p w:rsidR="007F6DF9" w:rsidRDefault="00883FED">
          <w:pPr>
            <w:pStyle w:val="TOC2"/>
            <w:numPr>
              <w:ilvl w:val="0"/>
              <w:numId w:val="246"/>
            </w:numPr>
            <w:tabs>
              <w:tab w:val="left" w:pos="1615"/>
              <w:tab w:val="right" w:leader="dot" w:pos="11034"/>
            </w:tabs>
            <w:ind w:hanging="768"/>
          </w:pPr>
          <w:hyperlink w:anchor="_bookmark10" w:history="1">
            <w:r w:rsidR="00A43FBC">
              <w:rPr>
                <w:color w:val="221F1F"/>
                <w:spacing w:val="-2"/>
              </w:rPr>
              <w:t>Clarification</w:t>
            </w:r>
            <w:r w:rsidR="00A43FBC">
              <w:rPr>
                <w:color w:val="221F1F"/>
                <w:spacing w:val="4"/>
              </w:rPr>
              <w:t xml:space="preserve"> </w:t>
            </w:r>
            <w:r w:rsidR="00A43FBC">
              <w:rPr>
                <w:color w:val="221F1F"/>
                <w:spacing w:val="-2"/>
              </w:rPr>
              <w:t>of</w:t>
            </w:r>
            <w:r w:rsidR="00A43FBC">
              <w:rPr>
                <w:color w:val="221F1F"/>
                <w:spacing w:val="2"/>
              </w:rPr>
              <w:t xml:space="preserve"> </w:t>
            </w:r>
            <w:r w:rsidR="00A43FBC">
              <w:rPr>
                <w:color w:val="221F1F"/>
                <w:spacing w:val="-2"/>
              </w:rPr>
              <w:t>Tender</w:t>
            </w:r>
            <w:r w:rsidR="00A43FBC">
              <w:rPr>
                <w:color w:val="221F1F"/>
                <w:spacing w:val="-3"/>
              </w:rPr>
              <w:t xml:space="preserve"> </w:t>
            </w:r>
            <w:r w:rsidR="00A43FBC">
              <w:rPr>
                <w:color w:val="221F1F"/>
                <w:spacing w:val="-2"/>
              </w:rPr>
              <w:t>Document,</w:t>
            </w:r>
            <w:r w:rsidR="00A43FBC">
              <w:rPr>
                <w:color w:val="221F1F"/>
                <w:spacing w:val="4"/>
              </w:rPr>
              <w:t xml:space="preserve"> </w:t>
            </w:r>
            <w:r w:rsidR="00A43FBC">
              <w:rPr>
                <w:color w:val="221F1F"/>
                <w:spacing w:val="-2"/>
              </w:rPr>
              <w:t>Site</w:t>
            </w:r>
            <w:r w:rsidR="00A43FBC">
              <w:rPr>
                <w:color w:val="221F1F"/>
                <w:spacing w:val="3"/>
              </w:rPr>
              <w:t xml:space="preserve"> </w:t>
            </w:r>
            <w:proofErr w:type="spellStart"/>
            <w:r w:rsidR="00A43FBC">
              <w:rPr>
                <w:color w:val="221F1F"/>
                <w:spacing w:val="-2"/>
              </w:rPr>
              <w:t>Visit,Pre</w:t>
            </w:r>
            <w:proofErr w:type="spellEnd"/>
            <w:r w:rsidR="00A43FBC">
              <w:rPr>
                <w:color w:val="221F1F"/>
                <w:spacing w:val="-2"/>
              </w:rPr>
              <w:t>-tender</w:t>
            </w:r>
            <w:r w:rsidR="00A43FBC">
              <w:rPr>
                <w:color w:val="221F1F"/>
                <w:spacing w:val="3"/>
              </w:rPr>
              <w:t xml:space="preserve"> </w:t>
            </w:r>
            <w:r w:rsidR="00A43FBC">
              <w:rPr>
                <w:color w:val="221F1F"/>
                <w:spacing w:val="-2"/>
              </w:rPr>
              <w:t>Meeting</w:t>
            </w:r>
            <w:r w:rsidR="00A43FBC">
              <w:rPr>
                <w:color w:val="221F1F"/>
              </w:rPr>
              <w:tab/>
            </w:r>
            <w:r w:rsidR="00A43FBC">
              <w:rPr>
                <w:color w:val="221F1F"/>
                <w:spacing w:val="-10"/>
              </w:rPr>
              <w:t>4</w:t>
            </w:r>
          </w:hyperlink>
        </w:p>
        <w:p w:rsidR="007F6DF9" w:rsidRDefault="00883FED">
          <w:pPr>
            <w:pStyle w:val="TOC2"/>
            <w:numPr>
              <w:ilvl w:val="0"/>
              <w:numId w:val="246"/>
            </w:numPr>
            <w:tabs>
              <w:tab w:val="left" w:pos="1615"/>
              <w:tab w:val="right" w:leader="dot" w:pos="11034"/>
            </w:tabs>
            <w:ind w:hanging="768"/>
          </w:pPr>
          <w:hyperlink w:anchor="_bookmark11" w:history="1">
            <w:r w:rsidR="00A43FBC">
              <w:rPr>
                <w:color w:val="221F1F"/>
                <w:spacing w:val="-2"/>
              </w:rPr>
              <w:t>Amendment</w:t>
            </w:r>
            <w:r w:rsidR="00A43FBC">
              <w:rPr>
                <w:color w:val="221F1F"/>
                <w:spacing w:val="5"/>
              </w:rPr>
              <w:t xml:space="preserve"> </w:t>
            </w:r>
            <w:proofErr w:type="spellStart"/>
            <w:r w:rsidR="00A43FBC">
              <w:rPr>
                <w:color w:val="221F1F"/>
                <w:spacing w:val="-2"/>
              </w:rPr>
              <w:t>ofTender</w:t>
            </w:r>
            <w:proofErr w:type="spellEnd"/>
            <w:r w:rsidR="00A43FBC">
              <w:rPr>
                <w:color w:val="221F1F"/>
              </w:rPr>
              <w:t xml:space="preserve"> </w:t>
            </w:r>
            <w:r w:rsidR="00A43FBC">
              <w:rPr>
                <w:color w:val="221F1F"/>
                <w:spacing w:val="-2"/>
              </w:rPr>
              <w:t>Documents</w:t>
            </w:r>
            <w:r w:rsidR="00A43FBC">
              <w:rPr>
                <w:color w:val="221F1F"/>
              </w:rPr>
              <w:tab/>
            </w:r>
            <w:r w:rsidR="00A43FBC">
              <w:rPr>
                <w:color w:val="221F1F"/>
                <w:spacing w:val="-10"/>
              </w:rPr>
              <w:t>5</w:t>
            </w:r>
          </w:hyperlink>
        </w:p>
        <w:p w:rsidR="007F6DF9" w:rsidRDefault="00883FED">
          <w:pPr>
            <w:pStyle w:val="TOC2"/>
            <w:numPr>
              <w:ilvl w:val="0"/>
              <w:numId w:val="245"/>
            </w:numPr>
            <w:tabs>
              <w:tab w:val="left" w:pos="1615"/>
              <w:tab w:val="right" w:leader="dot" w:pos="11034"/>
            </w:tabs>
            <w:spacing w:line="244" w:lineRule="exact"/>
            <w:ind w:hanging="768"/>
          </w:pPr>
          <w:hyperlink w:anchor="_bookmark12" w:history="1">
            <w:r w:rsidR="00A43FBC">
              <w:rPr>
                <w:color w:val="221F1F"/>
              </w:rPr>
              <w:t>Language</w:t>
            </w:r>
            <w:r w:rsidR="00A43FBC">
              <w:rPr>
                <w:color w:val="221F1F"/>
                <w:spacing w:val="-3"/>
              </w:rPr>
              <w:t xml:space="preserve"> </w:t>
            </w:r>
            <w:proofErr w:type="spellStart"/>
            <w:r w:rsidR="00A43FBC">
              <w:rPr>
                <w:color w:val="221F1F"/>
                <w:spacing w:val="-2"/>
              </w:rPr>
              <w:t>ofTender</w:t>
            </w:r>
            <w:proofErr w:type="spellEnd"/>
            <w:r w:rsidR="00A43FBC">
              <w:rPr>
                <w:color w:val="221F1F"/>
              </w:rPr>
              <w:tab/>
            </w:r>
            <w:r w:rsidR="00A43FBC">
              <w:rPr>
                <w:color w:val="221F1F"/>
                <w:spacing w:val="-10"/>
              </w:rPr>
              <w:t>5</w:t>
            </w:r>
          </w:hyperlink>
        </w:p>
        <w:p w:rsidR="007F6DF9" w:rsidRDefault="00883FED">
          <w:pPr>
            <w:pStyle w:val="TOC2"/>
            <w:numPr>
              <w:ilvl w:val="0"/>
              <w:numId w:val="245"/>
            </w:numPr>
            <w:tabs>
              <w:tab w:val="left" w:pos="1615"/>
              <w:tab w:val="right" w:leader="dot" w:pos="11034"/>
            </w:tabs>
            <w:spacing w:line="244" w:lineRule="exact"/>
            <w:ind w:hanging="768"/>
          </w:pPr>
          <w:hyperlink w:anchor="_bookmark13" w:history="1">
            <w:r w:rsidR="00A43FBC">
              <w:rPr>
                <w:color w:val="221F1F"/>
              </w:rPr>
              <w:t>Documents</w:t>
            </w:r>
            <w:r w:rsidR="00A43FBC">
              <w:rPr>
                <w:color w:val="221F1F"/>
                <w:spacing w:val="-8"/>
              </w:rPr>
              <w:t xml:space="preserve"> </w:t>
            </w:r>
            <w:r w:rsidR="00A43FBC">
              <w:rPr>
                <w:color w:val="221F1F"/>
              </w:rPr>
              <w:t>Comprising</w:t>
            </w:r>
            <w:r w:rsidR="00A43FBC">
              <w:rPr>
                <w:color w:val="221F1F"/>
                <w:spacing w:val="-5"/>
              </w:rPr>
              <w:t xml:space="preserve"> </w:t>
            </w:r>
            <w:proofErr w:type="spellStart"/>
            <w:r w:rsidR="00A43FBC">
              <w:rPr>
                <w:color w:val="221F1F"/>
                <w:spacing w:val="-2"/>
              </w:rPr>
              <w:t>theTender</w:t>
            </w:r>
            <w:proofErr w:type="spellEnd"/>
            <w:r w:rsidR="00A43FBC">
              <w:rPr>
                <w:color w:val="221F1F"/>
              </w:rPr>
              <w:tab/>
            </w:r>
            <w:r w:rsidR="00A43FBC">
              <w:rPr>
                <w:color w:val="221F1F"/>
                <w:spacing w:val="-10"/>
              </w:rPr>
              <w:t>5</w:t>
            </w:r>
          </w:hyperlink>
        </w:p>
        <w:p w:rsidR="007F6DF9" w:rsidRDefault="00883FED">
          <w:pPr>
            <w:pStyle w:val="TOC2"/>
            <w:numPr>
              <w:ilvl w:val="0"/>
              <w:numId w:val="245"/>
            </w:numPr>
            <w:tabs>
              <w:tab w:val="left" w:pos="1615"/>
              <w:tab w:val="right" w:leader="dot" w:pos="11034"/>
            </w:tabs>
            <w:ind w:hanging="768"/>
          </w:pPr>
          <w:hyperlink w:anchor="_bookmark14" w:history="1">
            <w:r w:rsidR="00A43FBC">
              <w:rPr>
                <w:color w:val="221F1F"/>
              </w:rPr>
              <w:t>Form</w:t>
            </w:r>
            <w:r w:rsidR="00A43FBC">
              <w:rPr>
                <w:color w:val="221F1F"/>
                <w:spacing w:val="-12"/>
              </w:rPr>
              <w:t xml:space="preserve"> </w:t>
            </w:r>
            <w:r w:rsidR="00A43FBC">
              <w:rPr>
                <w:color w:val="221F1F"/>
              </w:rPr>
              <w:t>of</w:t>
            </w:r>
            <w:r w:rsidR="00A43FBC">
              <w:rPr>
                <w:color w:val="221F1F"/>
                <w:spacing w:val="-7"/>
              </w:rPr>
              <w:t xml:space="preserve"> </w:t>
            </w:r>
            <w:proofErr w:type="spellStart"/>
            <w:r w:rsidR="00A43FBC">
              <w:rPr>
                <w:color w:val="221F1F"/>
              </w:rPr>
              <w:t>Tenderand</w:t>
            </w:r>
            <w:proofErr w:type="spellEnd"/>
            <w:r w:rsidR="00A43FBC">
              <w:rPr>
                <w:color w:val="221F1F"/>
                <w:spacing w:val="-8"/>
              </w:rPr>
              <w:t xml:space="preserve"> </w:t>
            </w:r>
            <w:r w:rsidR="00A43FBC">
              <w:rPr>
                <w:color w:val="221F1F"/>
                <w:spacing w:val="-2"/>
              </w:rPr>
              <w:t>Schedules</w:t>
            </w:r>
            <w:r w:rsidR="00A43FBC">
              <w:rPr>
                <w:color w:val="221F1F"/>
              </w:rPr>
              <w:tab/>
            </w:r>
            <w:r w:rsidR="00A43FBC">
              <w:rPr>
                <w:color w:val="221F1F"/>
                <w:spacing w:val="-10"/>
              </w:rPr>
              <w:t>6</w:t>
            </w:r>
          </w:hyperlink>
        </w:p>
        <w:p w:rsidR="007F6DF9" w:rsidRDefault="00A43FBC">
          <w:pPr>
            <w:pStyle w:val="TOC2"/>
            <w:numPr>
              <w:ilvl w:val="0"/>
              <w:numId w:val="245"/>
            </w:numPr>
            <w:tabs>
              <w:tab w:val="left" w:pos="1615"/>
              <w:tab w:val="right" w:leader="dot" w:pos="11034"/>
            </w:tabs>
            <w:spacing w:line="244" w:lineRule="exact"/>
            <w:ind w:hanging="768"/>
          </w:pPr>
          <w:proofErr w:type="spellStart"/>
          <w:r>
            <w:rPr>
              <w:color w:val="221F1F"/>
              <w:spacing w:val="-2"/>
            </w:rPr>
            <w:t>AlternativeTenders</w:t>
          </w:r>
          <w:proofErr w:type="spellEnd"/>
          <w:r>
            <w:rPr>
              <w:color w:val="221F1F"/>
            </w:rPr>
            <w:tab/>
          </w:r>
          <w:r>
            <w:rPr>
              <w:color w:val="221F1F"/>
              <w:spacing w:val="-10"/>
            </w:rPr>
            <w:t>6</w:t>
          </w:r>
        </w:p>
        <w:p w:rsidR="007F6DF9" w:rsidRDefault="00883FED">
          <w:pPr>
            <w:pStyle w:val="TOC2"/>
            <w:numPr>
              <w:ilvl w:val="0"/>
              <w:numId w:val="245"/>
            </w:numPr>
            <w:tabs>
              <w:tab w:val="left" w:pos="1615"/>
              <w:tab w:val="right" w:leader="dot" w:pos="11034"/>
            </w:tabs>
            <w:spacing w:line="244" w:lineRule="exact"/>
            <w:ind w:hanging="768"/>
          </w:pPr>
          <w:hyperlink w:anchor="_bookmark15" w:history="1">
            <w:r w:rsidR="00A43FBC">
              <w:rPr>
                <w:color w:val="221F1F"/>
                <w:spacing w:val="-2"/>
              </w:rPr>
              <w:t>Tender</w:t>
            </w:r>
            <w:r w:rsidR="00A43FBC">
              <w:rPr>
                <w:color w:val="221F1F"/>
                <w:spacing w:val="-4"/>
              </w:rPr>
              <w:t xml:space="preserve"> </w:t>
            </w:r>
            <w:proofErr w:type="spellStart"/>
            <w:r w:rsidR="00A43FBC">
              <w:rPr>
                <w:color w:val="221F1F"/>
                <w:spacing w:val="-2"/>
              </w:rPr>
              <w:t>Pricesand</w:t>
            </w:r>
            <w:proofErr w:type="spellEnd"/>
            <w:r w:rsidR="00A43FBC">
              <w:rPr>
                <w:color w:val="221F1F"/>
                <w:spacing w:val="4"/>
              </w:rPr>
              <w:t xml:space="preserve"> </w:t>
            </w:r>
            <w:r w:rsidR="00A43FBC">
              <w:rPr>
                <w:color w:val="221F1F"/>
                <w:spacing w:val="-2"/>
              </w:rPr>
              <w:t>Discounts</w:t>
            </w:r>
            <w:r w:rsidR="00A43FBC">
              <w:rPr>
                <w:color w:val="221F1F"/>
              </w:rPr>
              <w:tab/>
            </w:r>
            <w:r w:rsidR="00A43FBC">
              <w:rPr>
                <w:color w:val="221F1F"/>
                <w:spacing w:val="-10"/>
              </w:rPr>
              <w:t>6</w:t>
            </w:r>
          </w:hyperlink>
        </w:p>
        <w:p w:rsidR="007F6DF9" w:rsidRDefault="00883FED">
          <w:pPr>
            <w:pStyle w:val="TOC2"/>
            <w:numPr>
              <w:ilvl w:val="0"/>
              <w:numId w:val="245"/>
            </w:numPr>
            <w:tabs>
              <w:tab w:val="left" w:pos="1615"/>
              <w:tab w:val="right" w:leader="dot" w:pos="11034"/>
            </w:tabs>
            <w:ind w:hanging="768"/>
          </w:pPr>
          <w:hyperlink w:anchor="_bookmark16" w:history="1">
            <w:r w:rsidR="00A43FBC">
              <w:rPr>
                <w:color w:val="221F1F"/>
              </w:rPr>
              <w:t>Currencies</w:t>
            </w:r>
            <w:r w:rsidR="00A43FBC">
              <w:rPr>
                <w:color w:val="221F1F"/>
                <w:spacing w:val="-11"/>
              </w:rPr>
              <w:t xml:space="preserve"> </w:t>
            </w:r>
            <w:r w:rsidR="00A43FBC">
              <w:rPr>
                <w:color w:val="221F1F"/>
              </w:rPr>
              <w:t>of</w:t>
            </w:r>
            <w:r w:rsidR="00A43FBC">
              <w:rPr>
                <w:color w:val="221F1F"/>
                <w:spacing w:val="-9"/>
              </w:rPr>
              <w:t xml:space="preserve"> </w:t>
            </w:r>
            <w:proofErr w:type="spellStart"/>
            <w:r w:rsidR="00A43FBC">
              <w:rPr>
                <w:color w:val="221F1F"/>
              </w:rPr>
              <w:t>Tenderand</w:t>
            </w:r>
            <w:proofErr w:type="spellEnd"/>
            <w:r w:rsidR="00A43FBC">
              <w:rPr>
                <w:color w:val="221F1F"/>
                <w:spacing w:val="-10"/>
              </w:rPr>
              <w:t xml:space="preserve"> </w:t>
            </w:r>
            <w:r w:rsidR="00A43FBC">
              <w:rPr>
                <w:color w:val="221F1F"/>
                <w:spacing w:val="-2"/>
              </w:rPr>
              <w:t>Payment</w:t>
            </w:r>
            <w:r w:rsidR="00A43FBC">
              <w:rPr>
                <w:color w:val="221F1F"/>
              </w:rPr>
              <w:tab/>
            </w:r>
            <w:r w:rsidR="00A43FBC">
              <w:rPr>
                <w:color w:val="221F1F"/>
                <w:spacing w:val="-10"/>
              </w:rPr>
              <w:t>6</w:t>
            </w:r>
          </w:hyperlink>
        </w:p>
        <w:p w:rsidR="007F6DF9" w:rsidRDefault="00883FED">
          <w:pPr>
            <w:pStyle w:val="TOC2"/>
            <w:numPr>
              <w:ilvl w:val="0"/>
              <w:numId w:val="245"/>
            </w:numPr>
            <w:tabs>
              <w:tab w:val="left" w:pos="1615"/>
              <w:tab w:val="right" w:leader="dot" w:pos="11034"/>
            </w:tabs>
            <w:spacing w:line="244" w:lineRule="exact"/>
            <w:ind w:hanging="768"/>
          </w:pPr>
          <w:hyperlink w:anchor="_bookmark17" w:history="1">
            <w:r w:rsidR="00A43FBC">
              <w:rPr>
                <w:color w:val="221F1F"/>
              </w:rPr>
              <w:t>Documents</w:t>
            </w:r>
            <w:r w:rsidR="00A43FBC">
              <w:rPr>
                <w:color w:val="221F1F"/>
                <w:spacing w:val="-8"/>
              </w:rPr>
              <w:t xml:space="preserve"> </w:t>
            </w:r>
            <w:r w:rsidR="00A43FBC">
              <w:rPr>
                <w:color w:val="221F1F"/>
              </w:rPr>
              <w:t>Comprising</w:t>
            </w:r>
            <w:r w:rsidR="00A43FBC">
              <w:rPr>
                <w:color w:val="221F1F"/>
                <w:spacing w:val="-5"/>
              </w:rPr>
              <w:t xml:space="preserve"> </w:t>
            </w:r>
            <w:proofErr w:type="spellStart"/>
            <w:r w:rsidR="00A43FBC">
              <w:rPr>
                <w:color w:val="221F1F"/>
                <w:spacing w:val="-2"/>
              </w:rPr>
              <w:t>theTechnicalProposal</w:t>
            </w:r>
            <w:proofErr w:type="spellEnd"/>
            <w:r w:rsidR="00A43FBC">
              <w:rPr>
                <w:color w:val="221F1F"/>
              </w:rPr>
              <w:tab/>
            </w:r>
            <w:r w:rsidR="00A43FBC">
              <w:rPr>
                <w:color w:val="221F1F"/>
                <w:spacing w:val="-10"/>
              </w:rPr>
              <w:t>7</w:t>
            </w:r>
          </w:hyperlink>
        </w:p>
        <w:p w:rsidR="007F6DF9" w:rsidRDefault="00883FED">
          <w:pPr>
            <w:pStyle w:val="TOC2"/>
            <w:numPr>
              <w:ilvl w:val="0"/>
              <w:numId w:val="245"/>
            </w:numPr>
            <w:tabs>
              <w:tab w:val="left" w:pos="1615"/>
              <w:tab w:val="right" w:leader="dot" w:pos="11034"/>
            </w:tabs>
            <w:spacing w:line="244" w:lineRule="exact"/>
            <w:ind w:hanging="768"/>
          </w:pPr>
          <w:hyperlink w:anchor="_bookmark18" w:history="1">
            <w:r w:rsidR="00A43FBC">
              <w:rPr>
                <w:color w:val="221F1F"/>
              </w:rPr>
              <w:t>Documents</w:t>
            </w:r>
            <w:r w:rsidR="00A43FBC">
              <w:rPr>
                <w:color w:val="221F1F"/>
                <w:spacing w:val="-10"/>
              </w:rPr>
              <w:t xml:space="preserve"> </w:t>
            </w:r>
            <w:r w:rsidR="00A43FBC">
              <w:rPr>
                <w:color w:val="221F1F"/>
              </w:rPr>
              <w:t>Establishing</w:t>
            </w:r>
            <w:r w:rsidR="00A43FBC">
              <w:rPr>
                <w:color w:val="221F1F"/>
                <w:spacing w:val="-10"/>
              </w:rPr>
              <w:t xml:space="preserve"> </w:t>
            </w:r>
            <w:r w:rsidR="00A43FBC">
              <w:rPr>
                <w:color w:val="221F1F"/>
              </w:rPr>
              <w:t>the</w:t>
            </w:r>
            <w:r w:rsidR="00A43FBC">
              <w:rPr>
                <w:color w:val="221F1F"/>
                <w:spacing w:val="-8"/>
              </w:rPr>
              <w:t xml:space="preserve"> </w:t>
            </w:r>
            <w:r w:rsidR="00A43FBC">
              <w:rPr>
                <w:color w:val="221F1F"/>
              </w:rPr>
              <w:t>Eligibility</w:t>
            </w:r>
            <w:r w:rsidR="00A43FBC">
              <w:rPr>
                <w:color w:val="221F1F"/>
                <w:spacing w:val="-8"/>
              </w:rPr>
              <w:t xml:space="preserve"> </w:t>
            </w:r>
            <w:r w:rsidR="00A43FBC">
              <w:rPr>
                <w:color w:val="221F1F"/>
              </w:rPr>
              <w:t>and</w:t>
            </w:r>
            <w:r w:rsidR="00A43FBC">
              <w:rPr>
                <w:color w:val="221F1F"/>
                <w:spacing w:val="-8"/>
              </w:rPr>
              <w:t xml:space="preserve"> </w:t>
            </w:r>
            <w:r w:rsidR="00A43FBC">
              <w:rPr>
                <w:color w:val="221F1F"/>
              </w:rPr>
              <w:t>Qualifications</w:t>
            </w:r>
            <w:r w:rsidR="00A43FBC">
              <w:rPr>
                <w:color w:val="221F1F"/>
                <w:spacing w:val="-5"/>
              </w:rPr>
              <w:t xml:space="preserve"> </w:t>
            </w:r>
            <w:proofErr w:type="spellStart"/>
            <w:r w:rsidR="00A43FBC">
              <w:rPr>
                <w:color w:val="221F1F"/>
                <w:spacing w:val="-2"/>
              </w:rPr>
              <w:t>ofTheTenderer</w:t>
            </w:r>
            <w:proofErr w:type="spellEnd"/>
            <w:r w:rsidR="00A43FBC">
              <w:rPr>
                <w:color w:val="221F1F"/>
              </w:rPr>
              <w:tab/>
            </w:r>
            <w:r w:rsidR="00A43FBC">
              <w:rPr>
                <w:color w:val="221F1F"/>
                <w:spacing w:val="-10"/>
              </w:rPr>
              <w:t>7</w:t>
            </w:r>
          </w:hyperlink>
        </w:p>
        <w:p w:rsidR="007F6DF9" w:rsidRDefault="00883FED">
          <w:pPr>
            <w:pStyle w:val="TOC2"/>
            <w:numPr>
              <w:ilvl w:val="0"/>
              <w:numId w:val="245"/>
            </w:numPr>
            <w:tabs>
              <w:tab w:val="left" w:pos="1615"/>
              <w:tab w:val="right" w:leader="dot" w:pos="11034"/>
            </w:tabs>
            <w:spacing w:line="246" w:lineRule="exact"/>
            <w:ind w:hanging="768"/>
          </w:pPr>
          <w:hyperlink w:anchor="_bookmark19" w:history="1">
            <w:r w:rsidR="00A43FBC">
              <w:rPr>
                <w:color w:val="221F1F"/>
              </w:rPr>
              <w:t>Period</w:t>
            </w:r>
            <w:r w:rsidR="00A43FBC">
              <w:rPr>
                <w:color w:val="221F1F"/>
                <w:spacing w:val="-9"/>
              </w:rPr>
              <w:t xml:space="preserve"> </w:t>
            </w:r>
            <w:r w:rsidR="00A43FBC">
              <w:rPr>
                <w:color w:val="221F1F"/>
              </w:rPr>
              <w:t>of</w:t>
            </w:r>
            <w:r w:rsidR="00A43FBC">
              <w:rPr>
                <w:color w:val="221F1F"/>
                <w:spacing w:val="36"/>
              </w:rPr>
              <w:t xml:space="preserve"> </w:t>
            </w:r>
            <w:r w:rsidR="00A43FBC">
              <w:rPr>
                <w:color w:val="221F1F"/>
              </w:rPr>
              <w:t>Validity</w:t>
            </w:r>
            <w:r w:rsidR="00A43FBC">
              <w:rPr>
                <w:color w:val="221F1F"/>
                <w:spacing w:val="-13"/>
              </w:rPr>
              <w:t xml:space="preserve"> </w:t>
            </w:r>
            <w:proofErr w:type="spellStart"/>
            <w:r w:rsidR="00A43FBC">
              <w:rPr>
                <w:color w:val="221F1F"/>
                <w:spacing w:val="-2"/>
              </w:rPr>
              <w:t>ofTenders</w:t>
            </w:r>
            <w:proofErr w:type="spellEnd"/>
            <w:r w:rsidR="00A43FBC">
              <w:rPr>
                <w:color w:val="221F1F"/>
              </w:rPr>
              <w:tab/>
            </w:r>
            <w:r w:rsidR="00A43FBC">
              <w:rPr>
                <w:color w:val="221F1F"/>
                <w:spacing w:val="-10"/>
              </w:rPr>
              <w:t>8</w:t>
            </w:r>
          </w:hyperlink>
        </w:p>
        <w:p w:rsidR="007F6DF9" w:rsidRDefault="00883FED">
          <w:pPr>
            <w:pStyle w:val="TOC2"/>
            <w:numPr>
              <w:ilvl w:val="0"/>
              <w:numId w:val="245"/>
            </w:numPr>
            <w:tabs>
              <w:tab w:val="left" w:pos="1615"/>
              <w:tab w:val="right" w:leader="dot" w:pos="11034"/>
            </w:tabs>
            <w:spacing w:line="250" w:lineRule="exact"/>
            <w:ind w:hanging="768"/>
          </w:pPr>
          <w:hyperlink w:anchor="_bookmark20" w:history="1">
            <w:r w:rsidR="00A43FBC">
              <w:rPr>
                <w:color w:val="221F1F"/>
                <w:spacing w:val="-2"/>
              </w:rPr>
              <w:t>Tender</w:t>
            </w:r>
            <w:r w:rsidR="00A43FBC">
              <w:rPr>
                <w:color w:val="221F1F"/>
                <w:spacing w:val="-10"/>
              </w:rPr>
              <w:t xml:space="preserve"> </w:t>
            </w:r>
            <w:r w:rsidR="00A43FBC">
              <w:rPr>
                <w:color w:val="221F1F"/>
                <w:spacing w:val="-2"/>
              </w:rPr>
              <w:t>Security</w:t>
            </w:r>
            <w:r w:rsidR="00A43FBC">
              <w:rPr>
                <w:color w:val="221F1F"/>
              </w:rPr>
              <w:tab/>
            </w:r>
            <w:r w:rsidR="00A43FBC">
              <w:rPr>
                <w:color w:val="221F1F"/>
                <w:spacing w:val="-10"/>
              </w:rPr>
              <w:t>8</w:t>
            </w:r>
          </w:hyperlink>
        </w:p>
        <w:p w:rsidR="007F6DF9" w:rsidRDefault="00883FED">
          <w:pPr>
            <w:pStyle w:val="TOC2"/>
            <w:numPr>
              <w:ilvl w:val="0"/>
              <w:numId w:val="245"/>
            </w:numPr>
            <w:tabs>
              <w:tab w:val="left" w:pos="1615"/>
              <w:tab w:val="right" w:leader="dot" w:pos="11034"/>
            </w:tabs>
            <w:spacing w:before="234" w:line="240" w:lineRule="auto"/>
            <w:ind w:hanging="768"/>
          </w:pPr>
          <w:hyperlink w:anchor="_bookmark21" w:history="1">
            <w:r w:rsidR="00A43FBC">
              <w:rPr>
                <w:color w:val="221F1F"/>
              </w:rPr>
              <w:t>Format</w:t>
            </w:r>
            <w:r w:rsidR="00A43FBC">
              <w:rPr>
                <w:color w:val="221F1F"/>
                <w:spacing w:val="-4"/>
              </w:rPr>
              <w:t xml:space="preserve"> </w:t>
            </w:r>
            <w:r w:rsidR="00A43FBC">
              <w:rPr>
                <w:color w:val="221F1F"/>
              </w:rPr>
              <w:t>and</w:t>
            </w:r>
            <w:r w:rsidR="00A43FBC">
              <w:rPr>
                <w:color w:val="221F1F"/>
                <w:spacing w:val="-2"/>
              </w:rPr>
              <w:t xml:space="preserve"> </w:t>
            </w:r>
            <w:r w:rsidR="00A43FBC">
              <w:rPr>
                <w:color w:val="221F1F"/>
              </w:rPr>
              <w:t>Signing</w:t>
            </w:r>
            <w:r w:rsidR="00A43FBC">
              <w:rPr>
                <w:color w:val="221F1F"/>
                <w:spacing w:val="-2"/>
              </w:rPr>
              <w:t xml:space="preserve"> </w:t>
            </w:r>
            <w:proofErr w:type="spellStart"/>
            <w:r w:rsidR="00A43FBC">
              <w:rPr>
                <w:color w:val="221F1F"/>
                <w:spacing w:val="-2"/>
              </w:rPr>
              <w:t>ofTender</w:t>
            </w:r>
            <w:proofErr w:type="spellEnd"/>
            <w:r w:rsidR="00A43FBC">
              <w:rPr>
                <w:color w:val="221F1F"/>
              </w:rPr>
              <w:tab/>
            </w:r>
            <w:r w:rsidR="00A43FBC">
              <w:rPr>
                <w:color w:val="221F1F"/>
                <w:spacing w:val="-10"/>
              </w:rPr>
              <w:t>9</w:t>
            </w:r>
          </w:hyperlink>
        </w:p>
        <w:p w:rsidR="007F6DF9" w:rsidRDefault="00883FED">
          <w:pPr>
            <w:pStyle w:val="TOC1"/>
            <w:numPr>
              <w:ilvl w:val="0"/>
              <w:numId w:val="244"/>
            </w:numPr>
            <w:tabs>
              <w:tab w:val="left" w:pos="1170"/>
              <w:tab w:val="right" w:leader="dot" w:pos="11034"/>
            </w:tabs>
            <w:ind w:left="1170" w:hanging="323"/>
            <w:rPr>
              <w:b w:val="0"/>
            </w:rPr>
          </w:pPr>
          <w:hyperlink w:anchor="_bookmark22" w:history="1">
            <w:r w:rsidR="00A43FBC">
              <w:rPr>
                <w:color w:val="221F1F"/>
              </w:rPr>
              <w:t>SUBMISSION</w:t>
            </w:r>
            <w:r w:rsidR="00A43FBC">
              <w:rPr>
                <w:color w:val="221F1F"/>
                <w:spacing w:val="-6"/>
              </w:rPr>
              <w:t xml:space="preserve"> </w:t>
            </w:r>
            <w:r w:rsidR="00A43FBC">
              <w:rPr>
                <w:color w:val="221F1F"/>
              </w:rPr>
              <w:t>AND</w:t>
            </w:r>
            <w:r w:rsidR="00A43FBC">
              <w:rPr>
                <w:color w:val="221F1F"/>
                <w:spacing w:val="-5"/>
              </w:rPr>
              <w:t xml:space="preserve"> </w:t>
            </w:r>
            <w:r w:rsidR="00A43FBC">
              <w:rPr>
                <w:color w:val="221F1F"/>
              </w:rPr>
              <w:t>OPENING</w:t>
            </w:r>
            <w:r w:rsidR="00A43FBC">
              <w:rPr>
                <w:color w:val="221F1F"/>
                <w:spacing w:val="-3"/>
              </w:rPr>
              <w:t xml:space="preserve"> </w:t>
            </w:r>
            <w:r w:rsidR="00A43FBC">
              <w:rPr>
                <w:color w:val="221F1F"/>
                <w:spacing w:val="-2"/>
              </w:rPr>
              <w:t>OFTENDERS</w:t>
            </w:r>
            <w:r w:rsidR="00A43FBC">
              <w:rPr>
                <w:color w:val="221F1F"/>
              </w:rPr>
              <w:tab/>
            </w:r>
            <w:r w:rsidR="00A43FBC">
              <w:rPr>
                <w:b w:val="0"/>
                <w:color w:val="221F1F"/>
                <w:spacing w:val="-5"/>
              </w:rPr>
              <w:t>11</w:t>
            </w:r>
          </w:hyperlink>
        </w:p>
        <w:p w:rsidR="007F6DF9" w:rsidRDefault="00883FED">
          <w:pPr>
            <w:pStyle w:val="TOC2"/>
            <w:numPr>
              <w:ilvl w:val="0"/>
              <w:numId w:val="245"/>
            </w:numPr>
            <w:tabs>
              <w:tab w:val="left" w:pos="1615"/>
              <w:tab w:val="right" w:leader="dot" w:pos="11034"/>
            </w:tabs>
            <w:spacing w:before="229" w:line="249" w:lineRule="exact"/>
            <w:ind w:hanging="768"/>
          </w:pPr>
          <w:hyperlink w:anchor="_bookmark23" w:history="1">
            <w:r w:rsidR="00A43FBC">
              <w:rPr>
                <w:color w:val="221F1F"/>
              </w:rPr>
              <w:t>Sealing</w:t>
            </w:r>
            <w:r w:rsidR="00A43FBC">
              <w:rPr>
                <w:color w:val="221F1F"/>
                <w:spacing w:val="-3"/>
              </w:rPr>
              <w:t xml:space="preserve"> </w:t>
            </w:r>
            <w:r w:rsidR="00A43FBC">
              <w:rPr>
                <w:color w:val="221F1F"/>
              </w:rPr>
              <w:t>and</w:t>
            </w:r>
            <w:r w:rsidR="00A43FBC">
              <w:rPr>
                <w:color w:val="221F1F"/>
                <w:spacing w:val="-3"/>
              </w:rPr>
              <w:t xml:space="preserve"> </w:t>
            </w:r>
            <w:r w:rsidR="00A43FBC">
              <w:rPr>
                <w:color w:val="221F1F"/>
              </w:rPr>
              <w:t>Marking</w:t>
            </w:r>
            <w:r w:rsidR="00A43FBC">
              <w:rPr>
                <w:color w:val="221F1F"/>
                <w:spacing w:val="-2"/>
              </w:rPr>
              <w:t xml:space="preserve"> </w:t>
            </w:r>
            <w:proofErr w:type="spellStart"/>
            <w:r w:rsidR="00A43FBC">
              <w:rPr>
                <w:color w:val="221F1F"/>
                <w:spacing w:val="-2"/>
              </w:rPr>
              <w:t>ofTenders</w:t>
            </w:r>
            <w:proofErr w:type="spellEnd"/>
            <w:r w:rsidR="00A43FBC">
              <w:rPr>
                <w:color w:val="221F1F"/>
              </w:rPr>
              <w:tab/>
            </w:r>
            <w:r w:rsidR="00A43FBC">
              <w:rPr>
                <w:color w:val="221F1F"/>
                <w:spacing w:val="-5"/>
              </w:rPr>
              <w:t>11</w:t>
            </w:r>
          </w:hyperlink>
        </w:p>
        <w:p w:rsidR="007F6DF9" w:rsidRDefault="00883FED">
          <w:pPr>
            <w:pStyle w:val="TOC2"/>
            <w:numPr>
              <w:ilvl w:val="0"/>
              <w:numId w:val="245"/>
            </w:numPr>
            <w:tabs>
              <w:tab w:val="left" w:pos="1615"/>
              <w:tab w:val="right" w:leader="dot" w:pos="11034"/>
            </w:tabs>
            <w:ind w:hanging="768"/>
          </w:pPr>
          <w:hyperlink w:anchor="_bookmark24" w:history="1">
            <w:r w:rsidR="00A43FBC">
              <w:rPr>
                <w:color w:val="221F1F"/>
              </w:rPr>
              <w:t>Deadline</w:t>
            </w:r>
            <w:r w:rsidR="00A43FBC">
              <w:rPr>
                <w:color w:val="221F1F"/>
                <w:spacing w:val="-6"/>
              </w:rPr>
              <w:t xml:space="preserve"> </w:t>
            </w:r>
            <w:r w:rsidR="00A43FBC">
              <w:rPr>
                <w:color w:val="221F1F"/>
              </w:rPr>
              <w:t>for</w:t>
            </w:r>
            <w:r w:rsidR="00A43FBC">
              <w:rPr>
                <w:color w:val="221F1F"/>
                <w:spacing w:val="-3"/>
              </w:rPr>
              <w:t xml:space="preserve"> </w:t>
            </w:r>
            <w:r w:rsidR="00A43FBC">
              <w:rPr>
                <w:color w:val="221F1F"/>
              </w:rPr>
              <w:t>Submission</w:t>
            </w:r>
            <w:r w:rsidR="00A43FBC">
              <w:rPr>
                <w:color w:val="221F1F"/>
                <w:spacing w:val="-6"/>
              </w:rPr>
              <w:t xml:space="preserve"> </w:t>
            </w:r>
            <w:proofErr w:type="spellStart"/>
            <w:r w:rsidR="00A43FBC">
              <w:rPr>
                <w:color w:val="221F1F"/>
                <w:spacing w:val="-2"/>
              </w:rPr>
              <w:t>ofTenders</w:t>
            </w:r>
            <w:proofErr w:type="spellEnd"/>
            <w:r w:rsidR="00A43FBC">
              <w:rPr>
                <w:color w:val="221F1F"/>
              </w:rPr>
              <w:tab/>
            </w:r>
            <w:r w:rsidR="00A43FBC">
              <w:rPr>
                <w:color w:val="221F1F"/>
                <w:spacing w:val="-5"/>
              </w:rPr>
              <w:t>11</w:t>
            </w:r>
          </w:hyperlink>
        </w:p>
        <w:p w:rsidR="007F6DF9" w:rsidRDefault="00883FED">
          <w:pPr>
            <w:pStyle w:val="TOC2"/>
            <w:numPr>
              <w:ilvl w:val="0"/>
              <w:numId w:val="245"/>
            </w:numPr>
            <w:tabs>
              <w:tab w:val="left" w:pos="1615"/>
              <w:tab w:val="right" w:leader="dot" w:pos="11034"/>
            </w:tabs>
            <w:ind w:hanging="768"/>
          </w:pPr>
          <w:hyperlink w:anchor="_bookmark25" w:history="1">
            <w:proofErr w:type="spellStart"/>
            <w:r w:rsidR="00A43FBC">
              <w:rPr>
                <w:color w:val="221F1F"/>
                <w:spacing w:val="-2"/>
              </w:rPr>
              <w:t>LateTenders</w:t>
            </w:r>
            <w:proofErr w:type="spellEnd"/>
            <w:r w:rsidR="00A43FBC">
              <w:rPr>
                <w:color w:val="221F1F"/>
              </w:rPr>
              <w:tab/>
            </w:r>
            <w:r w:rsidR="00A43FBC">
              <w:rPr>
                <w:color w:val="221F1F"/>
                <w:spacing w:val="-5"/>
              </w:rPr>
              <w:t>11</w:t>
            </w:r>
          </w:hyperlink>
        </w:p>
        <w:p w:rsidR="007F6DF9" w:rsidRDefault="00883FED">
          <w:pPr>
            <w:pStyle w:val="TOC2"/>
            <w:numPr>
              <w:ilvl w:val="0"/>
              <w:numId w:val="245"/>
            </w:numPr>
            <w:tabs>
              <w:tab w:val="left" w:pos="1615"/>
              <w:tab w:val="right" w:leader="dot" w:pos="11034"/>
            </w:tabs>
            <w:spacing w:line="246" w:lineRule="exact"/>
            <w:ind w:hanging="768"/>
          </w:pPr>
          <w:hyperlink w:anchor="_bookmark26" w:history="1">
            <w:r w:rsidR="00A43FBC">
              <w:rPr>
                <w:color w:val="221F1F"/>
              </w:rPr>
              <w:t>Withdrawal,</w:t>
            </w:r>
            <w:r w:rsidR="00A43FBC">
              <w:rPr>
                <w:color w:val="221F1F"/>
                <w:spacing w:val="-7"/>
              </w:rPr>
              <w:t xml:space="preserve"> </w:t>
            </w:r>
            <w:r w:rsidR="00A43FBC">
              <w:rPr>
                <w:color w:val="221F1F"/>
              </w:rPr>
              <w:t>Substitution,</w:t>
            </w:r>
            <w:r w:rsidR="00A43FBC">
              <w:rPr>
                <w:color w:val="221F1F"/>
                <w:spacing w:val="-8"/>
              </w:rPr>
              <w:t xml:space="preserve"> </w:t>
            </w:r>
            <w:r w:rsidR="00A43FBC">
              <w:rPr>
                <w:color w:val="221F1F"/>
              </w:rPr>
              <w:t>and</w:t>
            </w:r>
            <w:r w:rsidR="00A43FBC">
              <w:rPr>
                <w:color w:val="221F1F"/>
                <w:spacing w:val="-6"/>
              </w:rPr>
              <w:t xml:space="preserve"> </w:t>
            </w:r>
            <w:proofErr w:type="spellStart"/>
            <w:r w:rsidR="00A43FBC">
              <w:rPr>
                <w:color w:val="221F1F"/>
                <w:spacing w:val="-2"/>
              </w:rPr>
              <w:t>ModificationofTenders</w:t>
            </w:r>
            <w:proofErr w:type="spellEnd"/>
            <w:r w:rsidR="00A43FBC">
              <w:rPr>
                <w:color w:val="221F1F"/>
              </w:rPr>
              <w:tab/>
            </w:r>
            <w:r w:rsidR="00A43FBC">
              <w:rPr>
                <w:color w:val="221F1F"/>
                <w:spacing w:val="-5"/>
              </w:rPr>
              <w:t>11</w:t>
            </w:r>
          </w:hyperlink>
        </w:p>
        <w:p w:rsidR="007F6DF9" w:rsidRDefault="00A43FBC">
          <w:pPr>
            <w:pStyle w:val="TOC2"/>
            <w:numPr>
              <w:ilvl w:val="0"/>
              <w:numId w:val="245"/>
            </w:numPr>
            <w:tabs>
              <w:tab w:val="left" w:pos="1615"/>
              <w:tab w:val="right" w:leader="dot" w:pos="11034"/>
            </w:tabs>
            <w:spacing w:line="250" w:lineRule="exact"/>
            <w:ind w:hanging="768"/>
          </w:pPr>
          <w:r>
            <w:rPr>
              <w:color w:val="221F1F"/>
              <w:spacing w:val="-2"/>
            </w:rPr>
            <w:t>Tender</w:t>
          </w:r>
          <w:r>
            <w:rPr>
              <w:color w:val="221F1F"/>
              <w:spacing w:val="-10"/>
            </w:rPr>
            <w:t xml:space="preserve"> </w:t>
          </w:r>
          <w:r>
            <w:rPr>
              <w:color w:val="221F1F"/>
              <w:spacing w:val="-2"/>
            </w:rPr>
            <w:t>Opening</w:t>
          </w:r>
          <w:r>
            <w:rPr>
              <w:color w:val="221F1F"/>
            </w:rPr>
            <w:tab/>
          </w:r>
          <w:r>
            <w:rPr>
              <w:color w:val="221F1F"/>
              <w:spacing w:val="-5"/>
            </w:rPr>
            <w:t>12</w:t>
          </w:r>
        </w:p>
        <w:p w:rsidR="007F6DF9" w:rsidRDefault="00883FED">
          <w:pPr>
            <w:pStyle w:val="TOC1"/>
            <w:numPr>
              <w:ilvl w:val="0"/>
              <w:numId w:val="244"/>
            </w:numPr>
            <w:tabs>
              <w:tab w:val="left" w:pos="1158"/>
              <w:tab w:val="right" w:leader="dot" w:pos="11034"/>
            </w:tabs>
            <w:ind w:left="1158" w:hanging="311"/>
            <w:rPr>
              <w:b w:val="0"/>
            </w:rPr>
          </w:pPr>
          <w:hyperlink w:anchor="_bookmark27" w:history="1">
            <w:r w:rsidR="00A43FBC">
              <w:rPr>
                <w:color w:val="221F1F"/>
                <w:spacing w:val="-2"/>
              </w:rPr>
              <w:t>EVALUATION</w:t>
            </w:r>
            <w:r w:rsidR="00A43FBC">
              <w:rPr>
                <w:color w:val="221F1F"/>
                <w:spacing w:val="-14"/>
              </w:rPr>
              <w:t xml:space="preserve"> </w:t>
            </w:r>
            <w:r w:rsidR="00A43FBC">
              <w:rPr>
                <w:color w:val="221F1F"/>
                <w:spacing w:val="-2"/>
              </w:rPr>
              <w:t>AND</w:t>
            </w:r>
            <w:r w:rsidR="00A43FBC">
              <w:rPr>
                <w:color w:val="221F1F"/>
                <w:spacing w:val="-6"/>
              </w:rPr>
              <w:t xml:space="preserve"> </w:t>
            </w:r>
            <w:r w:rsidR="00A43FBC">
              <w:rPr>
                <w:color w:val="221F1F"/>
                <w:spacing w:val="-2"/>
              </w:rPr>
              <w:t>COMPARISON</w:t>
            </w:r>
            <w:r w:rsidR="00A43FBC">
              <w:rPr>
                <w:color w:val="221F1F"/>
                <w:spacing w:val="-6"/>
              </w:rPr>
              <w:t xml:space="preserve"> </w:t>
            </w:r>
            <w:r w:rsidR="00A43FBC">
              <w:rPr>
                <w:color w:val="221F1F"/>
                <w:spacing w:val="-2"/>
              </w:rPr>
              <w:t>OF</w:t>
            </w:r>
            <w:r w:rsidR="00A43FBC">
              <w:rPr>
                <w:color w:val="221F1F"/>
                <w:spacing w:val="-4"/>
              </w:rPr>
              <w:t xml:space="preserve"> </w:t>
            </w:r>
            <w:r w:rsidR="00A43FBC">
              <w:rPr>
                <w:color w:val="221F1F"/>
                <w:spacing w:val="-2"/>
              </w:rPr>
              <w:t>TENDERS</w:t>
            </w:r>
            <w:r w:rsidR="00A43FBC">
              <w:rPr>
                <w:color w:val="221F1F"/>
              </w:rPr>
              <w:tab/>
            </w:r>
            <w:r w:rsidR="00A43FBC">
              <w:rPr>
                <w:b w:val="0"/>
                <w:color w:val="221F1F"/>
                <w:spacing w:val="-5"/>
              </w:rPr>
              <w:t>12</w:t>
            </w:r>
          </w:hyperlink>
        </w:p>
        <w:p w:rsidR="007F6DF9" w:rsidRDefault="00A43FBC">
          <w:pPr>
            <w:pStyle w:val="TOC2"/>
            <w:numPr>
              <w:ilvl w:val="0"/>
              <w:numId w:val="245"/>
            </w:numPr>
            <w:tabs>
              <w:tab w:val="left" w:pos="1615"/>
              <w:tab w:val="right" w:leader="dot" w:pos="11034"/>
            </w:tabs>
            <w:spacing w:before="227" w:line="250" w:lineRule="exact"/>
            <w:ind w:hanging="768"/>
          </w:pPr>
          <w:r>
            <w:rPr>
              <w:color w:val="221F1F"/>
              <w:spacing w:val="-2"/>
            </w:rPr>
            <w:t>Confidentiality</w:t>
          </w:r>
          <w:r>
            <w:rPr>
              <w:color w:val="221F1F"/>
            </w:rPr>
            <w:tab/>
          </w:r>
          <w:r>
            <w:rPr>
              <w:color w:val="221F1F"/>
              <w:spacing w:val="-5"/>
            </w:rPr>
            <w:t>12</w:t>
          </w:r>
        </w:p>
        <w:p w:rsidR="007F6DF9" w:rsidRDefault="00883FED">
          <w:pPr>
            <w:pStyle w:val="TOC2"/>
            <w:numPr>
              <w:ilvl w:val="0"/>
              <w:numId w:val="245"/>
            </w:numPr>
            <w:tabs>
              <w:tab w:val="left" w:pos="1615"/>
              <w:tab w:val="right" w:leader="dot" w:pos="11034"/>
            </w:tabs>
            <w:ind w:hanging="768"/>
          </w:pPr>
          <w:hyperlink w:anchor="_bookmark28" w:history="1">
            <w:r w:rsidR="00A43FBC">
              <w:rPr>
                <w:color w:val="221F1F"/>
                <w:spacing w:val="-2"/>
              </w:rPr>
              <w:t>Clarification</w:t>
            </w:r>
            <w:r w:rsidR="00A43FBC">
              <w:rPr>
                <w:color w:val="221F1F"/>
                <w:spacing w:val="5"/>
              </w:rPr>
              <w:t xml:space="preserve"> </w:t>
            </w:r>
            <w:proofErr w:type="spellStart"/>
            <w:r w:rsidR="00A43FBC">
              <w:rPr>
                <w:color w:val="221F1F"/>
                <w:spacing w:val="-2"/>
              </w:rPr>
              <w:t>ofTenders</w:t>
            </w:r>
            <w:proofErr w:type="spellEnd"/>
            <w:r w:rsidR="00A43FBC">
              <w:rPr>
                <w:color w:val="221F1F"/>
              </w:rPr>
              <w:tab/>
            </w:r>
            <w:r w:rsidR="00A43FBC">
              <w:rPr>
                <w:color w:val="221F1F"/>
                <w:spacing w:val="-5"/>
              </w:rPr>
              <w:t>13</w:t>
            </w:r>
          </w:hyperlink>
        </w:p>
        <w:p w:rsidR="007F6DF9" w:rsidRDefault="00883FED">
          <w:pPr>
            <w:pStyle w:val="TOC2"/>
            <w:numPr>
              <w:ilvl w:val="0"/>
              <w:numId w:val="243"/>
            </w:numPr>
            <w:tabs>
              <w:tab w:val="left" w:pos="1615"/>
              <w:tab w:val="right" w:leader="dot" w:pos="11034"/>
            </w:tabs>
            <w:spacing w:line="244" w:lineRule="exact"/>
            <w:ind w:hanging="768"/>
          </w:pPr>
          <w:hyperlink w:anchor="_bookmark29" w:history="1">
            <w:r w:rsidR="00A43FBC">
              <w:rPr>
                <w:color w:val="221F1F"/>
              </w:rPr>
              <w:t>Determination</w:t>
            </w:r>
            <w:r w:rsidR="00A43FBC">
              <w:rPr>
                <w:color w:val="221F1F"/>
                <w:spacing w:val="-5"/>
              </w:rPr>
              <w:t xml:space="preserve"> </w:t>
            </w:r>
            <w:r w:rsidR="00A43FBC">
              <w:rPr>
                <w:color w:val="221F1F"/>
              </w:rPr>
              <w:t>of</w:t>
            </w:r>
            <w:r w:rsidR="00A43FBC">
              <w:rPr>
                <w:color w:val="221F1F"/>
                <w:spacing w:val="-5"/>
              </w:rPr>
              <w:t xml:space="preserve"> </w:t>
            </w:r>
            <w:r w:rsidR="00A43FBC">
              <w:rPr>
                <w:color w:val="221F1F"/>
                <w:spacing w:val="-2"/>
              </w:rPr>
              <w:t>Responsiveness</w:t>
            </w:r>
            <w:r w:rsidR="00A43FBC">
              <w:rPr>
                <w:color w:val="221F1F"/>
              </w:rPr>
              <w:tab/>
            </w:r>
            <w:r w:rsidR="00A43FBC">
              <w:rPr>
                <w:color w:val="221F1F"/>
                <w:spacing w:val="-5"/>
              </w:rPr>
              <w:t>13</w:t>
            </w:r>
          </w:hyperlink>
        </w:p>
        <w:p w:rsidR="007F6DF9" w:rsidRDefault="00883FED">
          <w:pPr>
            <w:pStyle w:val="TOC2"/>
            <w:numPr>
              <w:ilvl w:val="0"/>
              <w:numId w:val="243"/>
            </w:numPr>
            <w:tabs>
              <w:tab w:val="left" w:pos="1615"/>
              <w:tab w:val="right" w:leader="dot" w:pos="11034"/>
            </w:tabs>
            <w:ind w:hanging="768"/>
          </w:pPr>
          <w:hyperlink w:anchor="_bookmark30" w:history="1">
            <w:r w:rsidR="00A43FBC">
              <w:rPr>
                <w:color w:val="221F1F"/>
              </w:rPr>
              <w:t>Non-material</w:t>
            </w:r>
            <w:r w:rsidR="00A43FBC">
              <w:rPr>
                <w:color w:val="221F1F"/>
                <w:spacing w:val="-9"/>
              </w:rPr>
              <w:t xml:space="preserve"> </w:t>
            </w:r>
            <w:r w:rsidR="00A43FBC">
              <w:rPr>
                <w:color w:val="221F1F"/>
              </w:rPr>
              <w:t>Non-</w:t>
            </w:r>
            <w:r w:rsidR="00A43FBC">
              <w:rPr>
                <w:color w:val="221F1F"/>
                <w:spacing w:val="-2"/>
              </w:rPr>
              <w:t>conformities</w:t>
            </w:r>
            <w:r w:rsidR="00A43FBC">
              <w:rPr>
                <w:color w:val="221F1F"/>
              </w:rPr>
              <w:tab/>
            </w:r>
            <w:r w:rsidR="00A43FBC">
              <w:rPr>
                <w:color w:val="221F1F"/>
                <w:spacing w:val="-5"/>
              </w:rPr>
              <w:t>13</w:t>
            </w:r>
          </w:hyperlink>
        </w:p>
        <w:p w:rsidR="007F6DF9" w:rsidRDefault="00883FED">
          <w:pPr>
            <w:pStyle w:val="TOC2"/>
            <w:numPr>
              <w:ilvl w:val="0"/>
              <w:numId w:val="243"/>
            </w:numPr>
            <w:tabs>
              <w:tab w:val="left" w:pos="1615"/>
              <w:tab w:val="right" w:leader="dot" w:pos="11034"/>
            </w:tabs>
            <w:spacing w:line="244" w:lineRule="exact"/>
            <w:ind w:hanging="768"/>
          </w:pPr>
          <w:hyperlink w:anchor="_bookmark31" w:history="1">
            <w:r w:rsidR="00A43FBC">
              <w:rPr>
                <w:color w:val="221F1F"/>
              </w:rPr>
              <w:t>Arithmetical</w:t>
            </w:r>
            <w:r w:rsidR="00A43FBC">
              <w:rPr>
                <w:color w:val="221F1F"/>
                <w:spacing w:val="-10"/>
              </w:rPr>
              <w:t xml:space="preserve"> </w:t>
            </w:r>
            <w:r w:rsidR="00A43FBC">
              <w:rPr>
                <w:color w:val="221F1F"/>
                <w:spacing w:val="-2"/>
              </w:rPr>
              <w:t>Errors</w:t>
            </w:r>
            <w:r w:rsidR="00A43FBC">
              <w:rPr>
                <w:color w:val="221F1F"/>
              </w:rPr>
              <w:tab/>
            </w:r>
            <w:r w:rsidR="00A43FBC">
              <w:rPr>
                <w:color w:val="221F1F"/>
                <w:spacing w:val="-5"/>
              </w:rPr>
              <w:t>14</w:t>
            </w:r>
          </w:hyperlink>
        </w:p>
        <w:p w:rsidR="007F6DF9" w:rsidRDefault="00883FED">
          <w:pPr>
            <w:pStyle w:val="TOC2"/>
            <w:numPr>
              <w:ilvl w:val="0"/>
              <w:numId w:val="242"/>
            </w:numPr>
            <w:tabs>
              <w:tab w:val="left" w:pos="1615"/>
              <w:tab w:val="right" w:leader="dot" w:pos="11034"/>
            </w:tabs>
            <w:ind w:hanging="768"/>
          </w:pPr>
          <w:hyperlink w:anchor="_bookmark32" w:history="1">
            <w:r w:rsidR="00A43FBC">
              <w:rPr>
                <w:color w:val="221F1F"/>
              </w:rPr>
              <w:t>Margin</w:t>
            </w:r>
            <w:r w:rsidR="00A43FBC">
              <w:rPr>
                <w:color w:val="221F1F"/>
                <w:spacing w:val="-3"/>
              </w:rPr>
              <w:t xml:space="preserve"> </w:t>
            </w:r>
            <w:r w:rsidR="00A43FBC">
              <w:rPr>
                <w:color w:val="221F1F"/>
              </w:rPr>
              <w:t>of</w:t>
            </w:r>
            <w:r w:rsidR="00A43FBC">
              <w:rPr>
                <w:color w:val="221F1F"/>
                <w:spacing w:val="-2"/>
              </w:rPr>
              <w:t xml:space="preserve"> </w:t>
            </w:r>
            <w:proofErr w:type="spellStart"/>
            <w:r w:rsidR="00A43FBC">
              <w:rPr>
                <w:color w:val="221F1F"/>
                <w:spacing w:val="-2"/>
              </w:rPr>
              <w:t>PreferenceandReservations</w:t>
            </w:r>
            <w:proofErr w:type="spellEnd"/>
            <w:r w:rsidR="00A43FBC">
              <w:rPr>
                <w:color w:val="221F1F"/>
              </w:rPr>
              <w:tab/>
            </w:r>
            <w:r w:rsidR="00A43FBC">
              <w:rPr>
                <w:color w:val="221F1F"/>
                <w:spacing w:val="-5"/>
              </w:rPr>
              <w:t>14</w:t>
            </w:r>
          </w:hyperlink>
        </w:p>
        <w:p w:rsidR="007F6DF9" w:rsidRDefault="00883FED">
          <w:pPr>
            <w:pStyle w:val="TOC2"/>
            <w:numPr>
              <w:ilvl w:val="0"/>
              <w:numId w:val="242"/>
            </w:numPr>
            <w:tabs>
              <w:tab w:val="left" w:pos="1615"/>
              <w:tab w:val="right" w:leader="dot" w:pos="11034"/>
            </w:tabs>
            <w:spacing w:after="240" w:line="250" w:lineRule="exact"/>
            <w:ind w:hanging="768"/>
          </w:pPr>
          <w:hyperlink w:anchor="_bookmark33" w:history="1">
            <w:r w:rsidR="00A43FBC">
              <w:rPr>
                <w:color w:val="221F1F"/>
              </w:rPr>
              <w:t>Nominated</w:t>
            </w:r>
            <w:r w:rsidR="00A43FBC">
              <w:rPr>
                <w:color w:val="221F1F"/>
                <w:spacing w:val="-6"/>
              </w:rPr>
              <w:t xml:space="preserve"> </w:t>
            </w:r>
            <w:r w:rsidR="00A43FBC">
              <w:rPr>
                <w:color w:val="221F1F"/>
                <w:spacing w:val="-2"/>
              </w:rPr>
              <w:t>Subcontractors</w:t>
            </w:r>
            <w:r w:rsidR="00A43FBC">
              <w:rPr>
                <w:color w:val="221F1F"/>
              </w:rPr>
              <w:tab/>
            </w:r>
            <w:r w:rsidR="00A43FBC">
              <w:rPr>
                <w:color w:val="221F1F"/>
                <w:spacing w:val="-5"/>
              </w:rPr>
              <w:t>14</w:t>
            </w:r>
          </w:hyperlink>
        </w:p>
        <w:p w:rsidR="007F6DF9" w:rsidRDefault="00A43FBC">
          <w:pPr>
            <w:pStyle w:val="TOC2"/>
            <w:numPr>
              <w:ilvl w:val="0"/>
              <w:numId w:val="242"/>
            </w:numPr>
            <w:tabs>
              <w:tab w:val="left" w:pos="1620"/>
              <w:tab w:val="right" w:leader="dot" w:pos="11041"/>
            </w:tabs>
            <w:spacing w:before="368" w:line="249" w:lineRule="exact"/>
            <w:ind w:left="1620" w:hanging="768"/>
          </w:pPr>
          <w:r>
            <w:rPr>
              <w:color w:val="221F1F"/>
            </w:rPr>
            <w:t>Evaluation</w:t>
          </w:r>
          <w:r>
            <w:rPr>
              <w:color w:val="221F1F"/>
              <w:spacing w:val="-4"/>
            </w:rPr>
            <w:t xml:space="preserve"> </w:t>
          </w:r>
          <w:proofErr w:type="spellStart"/>
          <w:r>
            <w:rPr>
              <w:color w:val="221F1F"/>
              <w:spacing w:val="-2"/>
            </w:rPr>
            <w:t>ofTenders</w:t>
          </w:r>
          <w:proofErr w:type="spellEnd"/>
          <w:r>
            <w:rPr>
              <w:color w:val="221F1F"/>
            </w:rPr>
            <w:tab/>
          </w:r>
          <w:r>
            <w:rPr>
              <w:color w:val="221F1F"/>
              <w:spacing w:val="-5"/>
            </w:rPr>
            <w:t>15</w:t>
          </w:r>
        </w:p>
        <w:p w:rsidR="007F6DF9" w:rsidRDefault="00883FED">
          <w:pPr>
            <w:pStyle w:val="TOC2"/>
            <w:numPr>
              <w:ilvl w:val="0"/>
              <w:numId w:val="242"/>
            </w:numPr>
            <w:tabs>
              <w:tab w:val="left" w:pos="1620"/>
              <w:tab w:val="right" w:leader="dot" w:pos="11041"/>
            </w:tabs>
            <w:spacing w:line="246" w:lineRule="exact"/>
            <w:ind w:left="1620" w:hanging="768"/>
          </w:pPr>
          <w:hyperlink w:anchor="_bookmark34" w:history="1">
            <w:r w:rsidR="00A43FBC">
              <w:rPr>
                <w:color w:val="221F1F"/>
              </w:rPr>
              <w:t>Comparison</w:t>
            </w:r>
            <w:r w:rsidR="00A43FBC">
              <w:rPr>
                <w:color w:val="221F1F"/>
                <w:spacing w:val="-4"/>
              </w:rPr>
              <w:t xml:space="preserve"> </w:t>
            </w:r>
            <w:r w:rsidR="00A43FBC">
              <w:rPr>
                <w:color w:val="221F1F"/>
              </w:rPr>
              <w:t>of</w:t>
            </w:r>
            <w:r w:rsidR="00A43FBC">
              <w:rPr>
                <w:color w:val="221F1F"/>
                <w:spacing w:val="-3"/>
              </w:rPr>
              <w:t xml:space="preserve"> </w:t>
            </w:r>
            <w:r w:rsidR="00A43FBC">
              <w:rPr>
                <w:color w:val="221F1F"/>
                <w:spacing w:val="-2"/>
              </w:rPr>
              <w:t>tenders</w:t>
            </w:r>
            <w:r w:rsidR="00A43FBC">
              <w:rPr>
                <w:color w:val="221F1F"/>
              </w:rPr>
              <w:tab/>
            </w:r>
            <w:r w:rsidR="00A43FBC">
              <w:rPr>
                <w:color w:val="221F1F"/>
                <w:spacing w:val="-5"/>
              </w:rPr>
              <w:t>15</w:t>
            </w:r>
          </w:hyperlink>
        </w:p>
        <w:p w:rsidR="007F6DF9" w:rsidRDefault="00A43FBC">
          <w:pPr>
            <w:pStyle w:val="TOC2"/>
            <w:numPr>
              <w:ilvl w:val="0"/>
              <w:numId w:val="242"/>
            </w:numPr>
            <w:tabs>
              <w:tab w:val="left" w:pos="1620"/>
              <w:tab w:val="right" w:leader="dot" w:pos="11041"/>
            </w:tabs>
            <w:spacing w:line="250" w:lineRule="exact"/>
            <w:ind w:left="1620" w:hanging="768"/>
          </w:pPr>
          <w:r>
            <w:rPr>
              <w:color w:val="221F1F"/>
            </w:rPr>
            <w:lastRenderedPageBreak/>
            <w:t>Abnormally</w:t>
          </w:r>
          <w:r>
            <w:rPr>
              <w:color w:val="221F1F"/>
              <w:spacing w:val="-7"/>
            </w:rPr>
            <w:t xml:space="preserve"> </w:t>
          </w:r>
          <w:r>
            <w:rPr>
              <w:color w:val="221F1F"/>
            </w:rPr>
            <w:t>low</w:t>
          </w:r>
          <w:r>
            <w:rPr>
              <w:color w:val="221F1F"/>
              <w:spacing w:val="-5"/>
            </w:rPr>
            <w:t xml:space="preserve"> </w:t>
          </w:r>
          <w:r>
            <w:rPr>
              <w:color w:val="221F1F"/>
            </w:rPr>
            <w:t>tenders</w:t>
          </w:r>
          <w:r>
            <w:rPr>
              <w:color w:val="221F1F"/>
              <w:spacing w:val="-3"/>
            </w:rPr>
            <w:t xml:space="preserve"> </w:t>
          </w:r>
          <w:r>
            <w:rPr>
              <w:color w:val="221F1F"/>
            </w:rPr>
            <w:t>and</w:t>
          </w:r>
          <w:r>
            <w:rPr>
              <w:color w:val="221F1F"/>
              <w:spacing w:val="-4"/>
            </w:rPr>
            <w:t xml:space="preserve"> </w:t>
          </w:r>
          <w:r>
            <w:rPr>
              <w:color w:val="221F1F"/>
            </w:rPr>
            <w:t>abnormally</w:t>
          </w:r>
          <w:r>
            <w:rPr>
              <w:color w:val="221F1F"/>
              <w:spacing w:val="-4"/>
            </w:rPr>
            <w:t xml:space="preserve"> </w:t>
          </w:r>
          <w:r>
            <w:rPr>
              <w:color w:val="221F1F"/>
            </w:rPr>
            <w:t>high</w:t>
          </w:r>
          <w:r>
            <w:rPr>
              <w:color w:val="221F1F"/>
              <w:spacing w:val="-3"/>
            </w:rPr>
            <w:t xml:space="preserve"> </w:t>
          </w:r>
          <w:r>
            <w:rPr>
              <w:color w:val="221F1F"/>
              <w:spacing w:val="-2"/>
            </w:rPr>
            <w:t>tenders</w:t>
          </w:r>
          <w:r>
            <w:rPr>
              <w:color w:val="221F1F"/>
            </w:rPr>
            <w:tab/>
          </w:r>
          <w:r>
            <w:rPr>
              <w:color w:val="221F1F"/>
              <w:spacing w:val="-5"/>
            </w:rPr>
            <w:t>15</w:t>
          </w:r>
        </w:p>
        <w:p w:rsidR="007F6DF9" w:rsidRDefault="00A43FBC">
          <w:pPr>
            <w:pStyle w:val="TOC2"/>
            <w:tabs>
              <w:tab w:val="right" w:leader="dot" w:pos="11041"/>
            </w:tabs>
            <w:spacing w:before="235" w:line="240" w:lineRule="auto"/>
            <w:ind w:left="852" w:firstLine="0"/>
          </w:pPr>
          <w:r>
            <w:rPr>
              <w:color w:val="221F1F"/>
            </w:rPr>
            <w:t>Abnormally</w:t>
          </w:r>
          <w:r>
            <w:rPr>
              <w:color w:val="221F1F"/>
              <w:spacing w:val="-6"/>
            </w:rPr>
            <w:t xml:space="preserve"> </w:t>
          </w:r>
          <w:proofErr w:type="spellStart"/>
          <w:r>
            <w:rPr>
              <w:color w:val="221F1F"/>
              <w:spacing w:val="-2"/>
            </w:rPr>
            <w:t>LowTenders</w:t>
          </w:r>
          <w:proofErr w:type="spellEnd"/>
          <w:r>
            <w:rPr>
              <w:color w:val="221F1F"/>
            </w:rPr>
            <w:tab/>
          </w:r>
          <w:r>
            <w:rPr>
              <w:color w:val="221F1F"/>
              <w:spacing w:val="-5"/>
            </w:rPr>
            <w:t>15</w:t>
          </w:r>
        </w:p>
        <w:p w:rsidR="007F6DF9" w:rsidRDefault="00883FED">
          <w:pPr>
            <w:pStyle w:val="TOC2"/>
            <w:tabs>
              <w:tab w:val="right" w:leader="dot" w:pos="11041"/>
            </w:tabs>
            <w:spacing w:before="227" w:line="250" w:lineRule="exact"/>
            <w:ind w:left="852" w:firstLine="0"/>
          </w:pPr>
          <w:hyperlink w:anchor="_bookmark35" w:history="1">
            <w:r w:rsidR="00A43FBC">
              <w:rPr>
                <w:color w:val="221F1F"/>
              </w:rPr>
              <w:t>Abnormally</w:t>
            </w:r>
            <w:r w:rsidR="00A43FBC">
              <w:rPr>
                <w:color w:val="221F1F"/>
                <w:spacing w:val="-5"/>
              </w:rPr>
              <w:t xml:space="preserve"> </w:t>
            </w:r>
            <w:r w:rsidR="00A43FBC">
              <w:rPr>
                <w:color w:val="221F1F"/>
              </w:rPr>
              <w:t>high</w:t>
            </w:r>
            <w:r w:rsidR="00A43FBC">
              <w:rPr>
                <w:color w:val="221F1F"/>
                <w:spacing w:val="-7"/>
              </w:rPr>
              <w:t xml:space="preserve"> </w:t>
            </w:r>
            <w:r w:rsidR="00A43FBC">
              <w:rPr>
                <w:color w:val="221F1F"/>
                <w:spacing w:val="-2"/>
              </w:rPr>
              <w:t>tenders</w:t>
            </w:r>
            <w:r w:rsidR="00A43FBC">
              <w:rPr>
                <w:color w:val="221F1F"/>
              </w:rPr>
              <w:tab/>
            </w:r>
            <w:r w:rsidR="00A43FBC">
              <w:rPr>
                <w:color w:val="221F1F"/>
                <w:spacing w:val="-5"/>
              </w:rPr>
              <w:t>15</w:t>
            </w:r>
          </w:hyperlink>
        </w:p>
        <w:p w:rsidR="007F6DF9" w:rsidRDefault="00883FED">
          <w:pPr>
            <w:pStyle w:val="TOC2"/>
            <w:numPr>
              <w:ilvl w:val="0"/>
              <w:numId w:val="242"/>
            </w:numPr>
            <w:tabs>
              <w:tab w:val="left" w:pos="1620"/>
              <w:tab w:val="right" w:leader="dot" w:pos="11041"/>
            </w:tabs>
            <w:ind w:left="1620" w:hanging="768"/>
          </w:pPr>
          <w:hyperlink w:anchor="_bookmark36" w:history="1">
            <w:r w:rsidR="00A43FBC">
              <w:rPr>
                <w:color w:val="221F1F"/>
              </w:rPr>
              <w:t>Unbalanced</w:t>
            </w:r>
            <w:r w:rsidR="00A43FBC">
              <w:rPr>
                <w:color w:val="221F1F"/>
                <w:spacing w:val="-7"/>
              </w:rPr>
              <w:t xml:space="preserve"> </w:t>
            </w:r>
            <w:r w:rsidR="00A43FBC">
              <w:rPr>
                <w:color w:val="221F1F"/>
              </w:rPr>
              <w:t>and/or</w:t>
            </w:r>
            <w:r w:rsidR="00A43FBC">
              <w:rPr>
                <w:color w:val="221F1F"/>
                <w:spacing w:val="-5"/>
              </w:rPr>
              <w:t xml:space="preserve"> </w:t>
            </w:r>
            <w:r w:rsidR="00A43FBC">
              <w:rPr>
                <w:color w:val="221F1F"/>
              </w:rPr>
              <w:t>front-loaded</w:t>
            </w:r>
            <w:r w:rsidR="00A43FBC">
              <w:rPr>
                <w:color w:val="221F1F"/>
                <w:spacing w:val="-6"/>
              </w:rPr>
              <w:t xml:space="preserve"> </w:t>
            </w:r>
            <w:r w:rsidR="00A43FBC">
              <w:rPr>
                <w:color w:val="221F1F"/>
                <w:spacing w:val="-2"/>
              </w:rPr>
              <w:t>tenders</w:t>
            </w:r>
            <w:r w:rsidR="00A43FBC">
              <w:rPr>
                <w:color w:val="221F1F"/>
              </w:rPr>
              <w:tab/>
            </w:r>
            <w:r w:rsidR="00A43FBC">
              <w:rPr>
                <w:color w:val="221F1F"/>
                <w:spacing w:val="-5"/>
              </w:rPr>
              <w:t>16</w:t>
            </w:r>
          </w:hyperlink>
        </w:p>
        <w:p w:rsidR="007F6DF9" w:rsidRDefault="00883FED">
          <w:pPr>
            <w:pStyle w:val="TOC2"/>
            <w:numPr>
              <w:ilvl w:val="0"/>
              <w:numId w:val="242"/>
            </w:numPr>
            <w:tabs>
              <w:tab w:val="left" w:pos="1620"/>
              <w:tab w:val="right" w:leader="dot" w:pos="11041"/>
            </w:tabs>
            <w:spacing w:line="244" w:lineRule="exact"/>
            <w:ind w:left="1620" w:hanging="768"/>
          </w:pPr>
          <w:hyperlink w:anchor="_bookmark37" w:history="1">
            <w:r w:rsidR="00A43FBC">
              <w:rPr>
                <w:color w:val="221F1F"/>
              </w:rPr>
              <w:t>Qualifications</w:t>
            </w:r>
            <w:r w:rsidR="00A43FBC">
              <w:rPr>
                <w:color w:val="221F1F"/>
                <w:spacing w:val="-8"/>
              </w:rPr>
              <w:t xml:space="preserve"> </w:t>
            </w:r>
            <w:r w:rsidR="00A43FBC">
              <w:rPr>
                <w:color w:val="221F1F"/>
              </w:rPr>
              <w:t>of</w:t>
            </w:r>
            <w:r w:rsidR="00A43FBC">
              <w:rPr>
                <w:color w:val="221F1F"/>
                <w:spacing w:val="-9"/>
              </w:rPr>
              <w:t xml:space="preserve"> </w:t>
            </w:r>
            <w:r w:rsidR="00A43FBC">
              <w:rPr>
                <w:color w:val="221F1F"/>
              </w:rPr>
              <w:t>the</w:t>
            </w:r>
            <w:r w:rsidR="00A43FBC">
              <w:rPr>
                <w:color w:val="221F1F"/>
                <w:spacing w:val="-9"/>
              </w:rPr>
              <w:t xml:space="preserve"> </w:t>
            </w:r>
            <w:r w:rsidR="00A43FBC">
              <w:rPr>
                <w:color w:val="221F1F"/>
                <w:spacing w:val="-2"/>
              </w:rPr>
              <w:t>tenderer</w:t>
            </w:r>
            <w:r w:rsidR="00A43FBC">
              <w:rPr>
                <w:color w:val="221F1F"/>
              </w:rPr>
              <w:tab/>
            </w:r>
            <w:r w:rsidR="00A43FBC">
              <w:rPr>
                <w:color w:val="221F1F"/>
                <w:spacing w:val="-5"/>
              </w:rPr>
              <w:t>16</w:t>
            </w:r>
          </w:hyperlink>
        </w:p>
        <w:p w:rsidR="007F6DF9" w:rsidRDefault="00883FED">
          <w:pPr>
            <w:pStyle w:val="TOC2"/>
            <w:numPr>
              <w:ilvl w:val="0"/>
              <w:numId w:val="242"/>
            </w:numPr>
            <w:tabs>
              <w:tab w:val="left" w:pos="1620"/>
              <w:tab w:val="right" w:leader="dot" w:pos="11041"/>
            </w:tabs>
            <w:spacing w:line="246" w:lineRule="exact"/>
            <w:ind w:left="1620" w:hanging="768"/>
          </w:pPr>
          <w:hyperlink w:anchor="_bookmark38" w:history="1">
            <w:r w:rsidR="00A43FBC">
              <w:rPr>
                <w:color w:val="221F1F"/>
              </w:rPr>
              <w:t>Lowest</w:t>
            </w:r>
            <w:r w:rsidR="00A43FBC">
              <w:rPr>
                <w:color w:val="221F1F"/>
                <w:spacing w:val="-5"/>
              </w:rPr>
              <w:t xml:space="preserve"> </w:t>
            </w:r>
            <w:r w:rsidR="00A43FBC">
              <w:rPr>
                <w:color w:val="221F1F"/>
              </w:rPr>
              <w:t>evaluated</w:t>
            </w:r>
            <w:r w:rsidR="00A43FBC">
              <w:rPr>
                <w:color w:val="221F1F"/>
                <w:spacing w:val="-5"/>
              </w:rPr>
              <w:t xml:space="preserve"> </w:t>
            </w:r>
            <w:r w:rsidR="00A43FBC">
              <w:rPr>
                <w:color w:val="221F1F"/>
                <w:spacing w:val="-2"/>
              </w:rPr>
              <w:t>tender</w:t>
            </w:r>
            <w:r w:rsidR="00A43FBC">
              <w:rPr>
                <w:color w:val="221F1F"/>
              </w:rPr>
              <w:tab/>
            </w:r>
            <w:r w:rsidR="00A43FBC">
              <w:rPr>
                <w:color w:val="221F1F"/>
                <w:spacing w:val="-5"/>
              </w:rPr>
              <w:t>16</w:t>
            </w:r>
          </w:hyperlink>
        </w:p>
        <w:p w:rsidR="007F6DF9" w:rsidRDefault="00883FED">
          <w:pPr>
            <w:pStyle w:val="TOC2"/>
            <w:numPr>
              <w:ilvl w:val="0"/>
              <w:numId w:val="242"/>
            </w:numPr>
            <w:tabs>
              <w:tab w:val="left" w:pos="1620"/>
              <w:tab w:val="right" w:leader="dot" w:pos="11041"/>
            </w:tabs>
            <w:spacing w:line="250" w:lineRule="exact"/>
            <w:ind w:left="1620" w:hanging="768"/>
          </w:pPr>
          <w:hyperlink w:anchor="_bookmark39" w:history="1">
            <w:r w:rsidR="00A43FBC">
              <w:rPr>
                <w:color w:val="221F1F"/>
              </w:rPr>
              <w:t>Procuring</w:t>
            </w:r>
            <w:r w:rsidR="00A43FBC">
              <w:rPr>
                <w:color w:val="221F1F"/>
                <w:spacing w:val="-7"/>
              </w:rPr>
              <w:t xml:space="preserve"> </w:t>
            </w:r>
            <w:r w:rsidR="00A43FBC">
              <w:rPr>
                <w:color w:val="221F1F"/>
              </w:rPr>
              <w:t>entity's</w:t>
            </w:r>
            <w:r w:rsidR="00A43FBC">
              <w:rPr>
                <w:color w:val="221F1F"/>
                <w:spacing w:val="-2"/>
              </w:rPr>
              <w:t xml:space="preserve"> </w:t>
            </w:r>
            <w:r w:rsidR="00A43FBC">
              <w:rPr>
                <w:color w:val="221F1F"/>
              </w:rPr>
              <w:t>right</w:t>
            </w:r>
            <w:r w:rsidR="00A43FBC">
              <w:rPr>
                <w:color w:val="221F1F"/>
                <w:spacing w:val="-1"/>
              </w:rPr>
              <w:t xml:space="preserve"> </w:t>
            </w:r>
            <w:r w:rsidR="00A43FBC">
              <w:rPr>
                <w:color w:val="221F1F"/>
              </w:rPr>
              <w:t>to</w:t>
            </w:r>
            <w:r w:rsidR="00A43FBC">
              <w:rPr>
                <w:color w:val="221F1F"/>
                <w:spacing w:val="-5"/>
              </w:rPr>
              <w:t xml:space="preserve"> </w:t>
            </w:r>
            <w:r w:rsidR="00A43FBC">
              <w:rPr>
                <w:color w:val="221F1F"/>
              </w:rPr>
              <w:t>accept</w:t>
            </w:r>
            <w:r w:rsidR="00A43FBC">
              <w:rPr>
                <w:color w:val="221F1F"/>
                <w:spacing w:val="-1"/>
              </w:rPr>
              <w:t xml:space="preserve"> </w:t>
            </w:r>
            <w:r w:rsidR="00A43FBC">
              <w:rPr>
                <w:color w:val="221F1F"/>
              </w:rPr>
              <w:t>any</w:t>
            </w:r>
            <w:r w:rsidR="00A43FBC">
              <w:rPr>
                <w:color w:val="221F1F"/>
                <w:spacing w:val="-4"/>
              </w:rPr>
              <w:t xml:space="preserve"> </w:t>
            </w:r>
            <w:r w:rsidR="00A43FBC">
              <w:rPr>
                <w:color w:val="221F1F"/>
              </w:rPr>
              <w:t>tender,</w:t>
            </w:r>
            <w:r w:rsidR="00A43FBC">
              <w:rPr>
                <w:color w:val="221F1F"/>
                <w:spacing w:val="-5"/>
              </w:rPr>
              <w:t xml:space="preserve"> </w:t>
            </w:r>
            <w:r w:rsidR="00A43FBC">
              <w:rPr>
                <w:color w:val="221F1F"/>
              </w:rPr>
              <w:t>and</w:t>
            </w:r>
            <w:r w:rsidR="00A43FBC">
              <w:rPr>
                <w:color w:val="221F1F"/>
                <w:spacing w:val="-4"/>
              </w:rPr>
              <w:t xml:space="preserve"> </w:t>
            </w:r>
            <w:r w:rsidR="00A43FBC">
              <w:rPr>
                <w:color w:val="221F1F"/>
              </w:rPr>
              <w:t>to</w:t>
            </w:r>
            <w:r w:rsidR="00A43FBC">
              <w:rPr>
                <w:color w:val="221F1F"/>
                <w:spacing w:val="-5"/>
              </w:rPr>
              <w:t xml:space="preserve"> </w:t>
            </w:r>
            <w:r w:rsidR="00A43FBC">
              <w:rPr>
                <w:color w:val="221F1F"/>
              </w:rPr>
              <w:t>reject</w:t>
            </w:r>
            <w:r w:rsidR="00A43FBC">
              <w:rPr>
                <w:color w:val="221F1F"/>
                <w:spacing w:val="-4"/>
              </w:rPr>
              <w:t xml:space="preserve"> </w:t>
            </w:r>
            <w:r w:rsidR="00A43FBC">
              <w:rPr>
                <w:color w:val="221F1F"/>
              </w:rPr>
              <w:t>any</w:t>
            </w:r>
            <w:r w:rsidR="00A43FBC">
              <w:rPr>
                <w:color w:val="221F1F"/>
                <w:spacing w:val="-1"/>
              </w:rPr>
              <w:t xml:space="preserve"> </w:t>
            </w:r>
            <w:proofErr w:type="spellStart"/>
            <w:r w:rsidR="00A43FBC">
              <w:rPr>
                <w:color w:val="221F1F"/>
                <w:spacing w:val="-2"/>
              </w:rPr>
              <w:t>oralltenders</w:t>
            </w:r>
            <w:proofErr w:type="spellEnd"/>
            <w:r w:rsidR="00A43FBC">
              <w:rPr>
                <w:color w:val="221F1F"/>
                <w:spacing w:val="-2"/>
              </w:rPr>
              <w:t>.</w:t>
            </w:r>
            <w:r w:rsidR="00A43FBC">
              <w:rPr>
                <w:color w:val="221F1F"/>
              </w:rPr>
              <w:tab/>
            </w:r>
            <w:r w:rsidR="00A43FBC">
              <w:rPr>
                <w:color w:val="221F1F"/>
                <w:spacing w:val="-5"/>
              </w:rPr>
              <w:t>16</w:t>
            </w:r>
          </w:hyperlink>
        </w:p>
        <w:p w:rsidR="007F6DF9" w:rsidRDefault="00883FED">
          <w:pPr>
            <w:pStyle w:val="TOC1"/>
            <w:numPr>
              <w:ilvl w:val="0"/>
              <w:numId w:val="244"/>
            </w:numPr>
            <w:tabs>
              <w:tab w:val="left" w:pos="1120"/>
              <w:tab w:val="right" w:leader="dot" w:pos="11041"/>
            </w:tabs>
            <w:spacing w:before="234"/>
            <w:ind w:left="1120" w:hanging="268"/>
            <w:rPr>
              <w:b w:val="0"/>
            </w:rPr>
          </w:pPr>
          <w:hyperlink w:anchor="_bookmark40" w:history="1">
            <w:r w:rsidR="00A43FBC">
              <w:rPr>
                <w:color w:val="221F1F"/>
                <w:spacing w:val="-6"/>
              </w:rPr>
              <w:t>AWARD</w:t>
            </w:r>
            <w:r w:rsidR="00A43FBC">
              <w:rPr>
                <w:color w:val="221F1F"/>
                <w:spacing w:val="-11"/>
              </w:rPr>
              <w:t xml:space="preserve"> </w:t>
            </w:r>
            <w:r w:rsidR="00A43FBC">
              <w:rPr>
                <w:color w:val="221F1F"/>
                <w:spacing w:val="-6"/>
              </w:rPr>
              <w:t>OF</w:t>
            </w:r>
            <w:r w:rsidR="00A43FBC">
              <w:rPr>
                <w:color w:val="221F1F"/>
                <w:spacing w:val="-1"/>
              </w:rPr>
              <w:t xml:space="preserve"> </w:t>
            </w:r>
            <w:r w:rsidR="00A43FBC">
              <w:rPr>
                <w:color w:val="221F1F"/>
                <w:spacing w:val="-6"/>
              </w:rPr>
              <w:t>CONTRACT</w:t>
            </w:r>
            <w:r w:rsidR="00A43FBC">
              <w:rPr>
                <w:color w:val="221F1F"/>
              </w:rPr>
              <w:tab/>
            </w:r>
            <w:r w:rsidR="00A43FBC">
              <w:rPr>
                <w:b w:val="0"/>
                <w:color w:val="221F1F"/>
                <w:spacing w:val="-5"/>
              </w:rPr>
              <w:t>17</w:t>
            </w:r>
          </w:hyperlink>
        </w:p>
        <w:p w:rsidR="007F6DF9" w:rsidRDefault="00883FED">
          <w:pPr>
            <w:pStyle w:val="TOC2"/>
            <w:numPr>
              <w:ilvl w:val="0"/>
              <w:numId w:val="242"/>
            </w:numPr>
            <w:tabs>
              <w:tab w:val="left" w:pos="1620"/>
              <w:tab w:val="right" w:leader="dot" w:pos="11041"/>
            </w:tabs>
            <w:spacing w:before="227" w:line="250" w:lineRule="exact"/>
            <w:ind w:left="1620" w:hanging="768"/>
          </w:pPr>
          <w:hyperlink w:anchor="_bookmark41" w:history="1">
            <w:r w:rsidR="00A43FBC">
              <w:rPr>
                <w:color w:val="221F1F"/>
                <w:spacing w:val="-4"/>
              </w:rPr>
              <w:t>Award</w:t>
            </w:r>
            <w:r w:rsidR="00A43FBC">
              <w:rPr>
                <w:color w:val="221F1F"/>
                <w:spacing w:val="-6"/>
              </w:rPr>
              <w:t xml:space="preserve"> </w:t>
            </w:r>
            <w:r w:rsidR="00A43FBC">
              <w:rPr>
                <w:color w:val="221F1F"/>
                <w:spacing w:val="-2"/>
              </w:rPr>
              <w:t>criteria</w:t>
            </w:r>
            <w:r w:rsidR="00A43FBC">
              <w:rPr>
                <w:color w:val="221F1F"/>
              </w:rPr>
              <w:tab/>
            </w:r>
            <w:r w:rsidR="00A43FBC">
              <w:rPr>
                <w:color w:val="221F1F"/>
                <w:spacing w:val="-5"/>
              </w:rPr>
              <w:t>17</w:t>
            </w:r>
          </w:hyperlink>
        </w:p>
        <w:p w:rsidR="007F6DF9" w:rsidRDefault="00883FED">
          <w:pPr>
            <w:pStyle w:val="TOC2"/>
            <w:numPr>
              <w:ilvl w:val="0"/>
              <w:numId w:val="242"/>
            </w:numPr>
            <w:tabs>
              <w:tab w:val="left" w:pos="1620"/>
              <w:tab w:val="right" w:leader="dot" w:pos="11041"/>
            </w:tabs>
            <w:ind w:left="1620" w:hanging="768"/>
          </w:pPr>
          <w:hyperlink w:anchor="_bookmark42" w:history="1">
            <w:r w:rsidR="00A43FBC">
              <w:rPr>
                <w:color w:val="221F1F"/>
              </w:rPr>
              <w:t>Notice</w:t>
            </w:r>
            <w:r w:rsidR="00A43FBC">
              <w:rPr>
                <w:color w:val="221F1F"/>
                <w:spacing w:val="-3"/>
              </w:rPr>
              <w:t xml:space="preserve"> </w:t>
            </w:r>
            <w:r w:rsidR="00A43FBC">
              <w:rPr>
                <w:color w:val="221F1F"/>
              </w:rPr>
              <w:t>of</w:t>
            </w:r>
            <w:r w:rsidR="00A43FBC">
              <w:rPr>
                <w:color w:val="221F1F"/>
                <w:spacing w:val="-4"/>
              </w:rPr>
              <w:t xml:space="preserve"> </w:t>
            </w:r>
            <w:r w:rsidR="00A43FBC">
              <w:rPr>
                <w:color w:val="221F1F"/>
              </w:rPr>
              <w:t>intention</w:t>
            </w:r>
            <w:r w:rsidR="00A43FBC">
              <w:rPr>
                <w:color w:val="221F1F"/>
                <w:spacing w:val="-2"/>
              </w:rPr>
              <w:t xml:space="preserve"> </w:t>
            </w:r>
            <w:r w:rsidR="00A43FBC">
              <w:rPr>
                <w:color w:val="221F1F"/>
              </w:rPr>
              <w:t>to</w:t>
            </w:r>
            <w:r w:rsidR="00A43FBC">
              <w:rPr>
                <w:color w:val="221F1F"/>
                <w:spacing w:val="-5"/>
              </w:rPr>
              <w:t xml:space="preserve"> </w:t>
            </w:r>
            <w:r w:rsidR="00A43FBC">
              <w:rPr>
                <w:color w:val="221F1F"/>
              </w:rPr>
              <w:t>enter</w:t>
            </w:r>
            <w:r w:rsidR="00A43FBC">
              <w:rPr>
                <w:color w:val="221F1F"/>
                <w:spacing w:val="-3"/>
              </w:rPr>
              <w:t xml:space="preserve"> </w:t>
            </w:r>
            <w:r w:rsidR="00A43FBC">
              <w:rPr>
                <w:color w:val="221F1F"/>
              </w:rPr>
              <w:t>into</w:t>
            </w:r>
            <w:r w:rsidR="00A43FBC">
              <w:rPr>
                <w:color w:val="221F1F"/>
                <w:spacing w:val="-5"/>
              </w:rPr>
              <w:t xml:space="preserve"> </w:t>
            </w:r>
            <w:r w:rsidR="00A43FBC">
              <w:rPr>
                <w:color w:val="221F1F"/>
              </w:rPr>
              <w:t>a</w:t>
            </w:r>
            <w:r w:rsidR="00A43FBC">
              <w:rPr>
                <w:color w:val="221F1F"/>
                <w:spacing w:val="-2"/>
              </w:rPr>
              <w:t xml:space="preserve"> contract</w:t>
            </w:r>
            <w:r w:rsidR="00A43FBC">
              <w:rPr>
                <w:color w:val="221F1F"/>
              </w:rPr>
              <w:tab/>
            </w:r>
            <w:r w:rsidR="00A43FBC">
              <w:rPr>
                <w:color w:val="221F1F"/>
                <w:spacing w:val="-5"/>
              </w:rPr>
              <w:t>17</w:t>
            </w:r>
          </w:hyperlink>
        </w:p>
        <w:p w:rsidR="007F6DF9" w:rsidRDefault="00883FED">
          <w:pPr>
            <w:pStyle w:val="TOC2"/>
            <w:numPr>
              <w:ilvl w:val="0"/>
              <w:numId w:val="242"/>
            </w:numPr>
            <w:tabs>
              <w:tab w:val="left" w:pos="1620"/>
              <w:tab w:val="right" w:leader="dot" w:pos="11041"/>
            </w:tabs>
            <w:spacing w:line="244" w:lineRule="exact"/>
            <w:ind w:left="1620" w:hanging="768"/>
          </w:pPr>
          <w:hyperlink w:anchor="_bookmark43" w:history="1">
            <w:r w:rsidR="00A43FBC">
              <w:rPr>
                <w:color w:val="221F1F"/>
              </w:rPr>
              <w:t>Standstill</w:t>
            </w:r>
            <w:r w:rsidR="00A43FBC">
              <w:rPr>
                <w:color w:val="221F1F"/>
                <w:spacing w:val="-5"/>
              </w:rPr>
              <w:t xml:space="preserve"> </w:t>
            </w:r>
            <w:r w:rsidR="00A43FBC">
              <w:rPr>
                <w:color w:val="221F1F"/>
                <w:spacing w:val="-2"/>
              </w:rPr>
              <w:t>Period</w:t>
            </w:r>
            <w:r w:rsidR="00A43FBC">
              <w:rPr>
                <w:color w:val="221F1F"/>
              </w:rPr>
              <w:tab/>
            </w:r>
            <w:r w:rsidR="00A43FBC">
              <w:rPr>
                <w:color w:val="221F1F"/>
                <w:spacing w:val="-5"/>
              </w:rPr>
              <w:t>17</w:t>
            </w:r>
          </w:hyperlink>
        </w:p>
        <w:p w:rsidR="007F6DF9" w:rsidRDefault="00A43FBC">
          <w:pPr>
            <w:pStyle w:val="TOC2"/>
            <w:numPr>
              <w:ilvl w:val="1"/>
              <w:numId w:val="242"/>
            </w:numPr>
            <w:tabs>
              <w:tab w:val="left" w:pos="1620"/>
              <w:tab w:val="right" w:leader="dot" w:pos="11041"/>
            </w:tabs>
            <w:ind w:hanging="768"/>
          </w:pPr>
          <w:r>
            <w:rPr>
              <w:color w:val="221F1F"/>
            </w:rPr>
            <w:t>Standstill</w:t>
          </w:r>
          <w:r>
            <w:rPr>
              <w:color w:val="221F1F"/>
              <w:spacing w:val="-5"/>
            </w:rPr>
            <w:t xml:space="preserve"> </w:t>
          </w:r>
          <w:r>
            <w:rPr>
              <w:color w:val="221F1F"/>
              <w:spacing w:val="-2"/>
            </w:rPr>
            <w:t>Period</w:t>
          </w:r>
          <w:r>
            <w:rPr>
              <w:color w:val="221F1F"/>
            </w:rPr>
            <w:tab/>
          </w:r>
          <w:r>
            <w:rPr>
              <w:color w:val="221F1F"/>
              <w:spacing w:val="-5"/>
            </w:rPr>
            <w:t>17</w:t>
          </w:r>
        </w:p>
        <w:p w:rsidR="007F6DF9" w:rsidRDefault="00883FED">
          <w:pPr>
            <w:pStyle w:val="TOC2"/>
            <w:numPr>
              <w:ilvl w:val="0"/>
              <w:numId w:val="242"/>
            </w:numPr>
            <w:tabs>
              <w:tab w:val="left" w:pos="1620"/>
              <w:tab w:val="right" w:leader="dot" w:pos="11041"/>
            </w:tabs>
            <w:spacing w:line="244" w:lineRule="exact"/>
            <w:ind w:left="1620" w:hanging="768"/>
          </w:pPr>
          <w:hyperlink w:anchor="_bookmark44" w:history="1">
            <w:r w:rsidR="00A43FBC">
              <w:rPr>
                <w:color w:val="221F1F"/>
              </w:rPr>
              <w:t>Debriefing</w:t>
            </w:r>
            <w:r w:rsidR="00A43FBC">
              <w:rPr>
                <w:color w:val="221F1F"/>
                <w:spacing w:val="-10"/>
              </w:rPr>
              <w:t xml:space="preserve"> </w:t>
            </w:r>
            <w:r w:rsidR="00A43FBC">
              <w:rPr>
                <w:color w:val="221F1F"/>
              </w:rPr>
              <w:t>By</w:t>
            </w:r>
            <w:r w:rsidR="00A43FBC">
              <w:rPr>
                <w:color w:val="221F1F"/>
                <w:spacing w:val="-9"/>
              </w:rPr>
              <w:t xml:space="preserve"> </w:t>
            </w:r>
            <w:proofErr w:type="spellStart"/>
            <w:r w:rsidR="00A43FBC">
              <w:rPr>
                <w:color w:val="221F1F"/>
              </w:rPr>
              <w:t>TheProcuring</w:t>
            </w:r>
            <w:proofErr w:type="spellEnd"/>
            <w:r w:rsidR="00A43FBC">
              <w:rPr>
                <w:color w:val="221F1F"/>
                <w:spacing w:val="-9"/>
              </w:rPr>
              <w:t xml:space="preserve"> </w:t>
            </w:r>
            <w:r w:rsidR="00A43FBC">
              <w:rPr>
                <w:color w:val="221F1F"/>
                <w:spacing w:val="-2"/>
              </w:rPr>
              <w:t>Entity</w:t>
            </w:r>
            <w:r w:rsidR="00A43FBC">
              <w:rPr>
                <w:color w:val="221F1F"/>
              </w:rPr>
              <w:tab/>
            </w:r>
            <w:r w:rsidR="00A43FBC">
              <w:rPr>
                <w:color w:val="221F1F"/>
                <w:spacing w:val="-5"/>
              </w:rPr>
              <w:t>17</w:t>
            </w:r>
          </w:hyperlink>
        </w:p>
        <w:p w:rsidR="007F6DF9" w:rsidRDefault="00883FED">
          <w:pPr>
            <w:pStyle w:val="TOC2"/>
            <w:numPr>
              <w:ilvl w:val="0"/>
              <w:numId w:val="242"/>
            </w:numPr>
            <w:tabs>
              <w:tab w:val="left" w:pos="1620"/>
              <w:tab w:val="right" w:leader="dot" w:pos="11041"/>
            </w:tabs>
            <w:spacing w:line="244" w:lineRule="exact"/>
            <w:ind w:left="1620" w:hanging="768"/>
          </w:pPr>
          <w:hyperlink w:anchor="_bookmark45" w:history="1">
            <w:r w:rsidR="00A43FBC">
              <w:rPr>
                <w:color w:val="221F1F"/>
              </w:rPr>
              <w:t>Letter</w:t>
            </w:r>
            <w:r w:rsidR="00A43FBC">
              <w:rPr>
                <w:color w:val="221F1F"/>
                <w:spacing w:val="-1"/>
              </w:rPr>
              <w:t xml:space="preserve"> </w:t>
            </w:r>
            <w:proofErr w:type="spellStart"/>
            <w:r w:rsidR="00A43FBC">
              <w:rPr>
                <w:color w:val="221F1F"/>
                <w:spacing w:val="-2"/>
              </w:rPr>
              <w:t>ofAward</w:t>
            </w:r>
            <w:proofErr w:type="spellEnd"/>
            <w:r w:rsidR="00A43FBC">
              <w:rPr>
                <w:color w:val="221F1F"/>
              </w:rPr>
              <w:tab/>
            </w:r>
            <w:r w:rsidR="00A43FBC">
              <w:rPr>
                <w:color w:val="221F1F"/>
                <w:spacing w:val="-5"/>
              </w:rPr>
              <w:t>17</w:t>
            </w:r>
          </w:hyperlink>
        </w:p>
        <w:p w:rsidR="007F6DF9" w:rsidRDefault="00883FED">
          <w:pPr>
            <w:pStyle w:val="TOC2"/>
            <w:numPr>
              <w:ilvl w:val="0"/>
              <w:numId w:val="242"/>
            </w:numPr>
            <w:tabs>
              <w:tab w:val="left" w:pos="1620"/>
              <w:tab w:val="right" w:leader="dot" w:pos="11041"/>
            </w:tabs>
            <w:ind w:left="1620" w:hanging="768"/>
          </w:pPr>
          <w:hyperlink w:anchor="_bookmark46" w:history="1">
            <w:r w:rsidR="00A43FBC">
              <w:rPr>
                <w:color w:val="221F1F"/>
              </w:rPr>
              <w:t>Signing</w:t>
            </w:r>
            <w:r w:rsidR="00A43FBC">
              <w:rPr>
                <w:color w:val="221F1F"/>
                <w:spacing w:val="-1"/>
              </w:rPr>
              <w:t xml:space="preserve"> </w:t>
            </w:r>
            <w:r w:rsidR="00A43FBC">
              <w:rPr>
                <w:color w:val="221F1F"/>
              </w:rPr>
              <w:t>of</w:t>
            </w:r>
            <w:r w:rsidR="00A43FBC">
              <w:rPr>
                <w:color w:val="221F1F"/>
                <w:spacing w:val="-2"/>
              </w:rPr>
              <w:t xml:space="preserve"> Contract</w:t>
            </w:r>
            <w:r w:rsidR="00A43FBC">
              <w:rPr>
                <w:color w:val="221F1F"/>
              </w:rPr>
              <w:tab/>
            </w:r>
            <w:r w:rsidR="00A43FBC">
              <w:rPr>
                <w:color w:val="221F1F"/>
                <w:spacing w:val="-5"/>
              </w:rPr>
              <w:t>17</w:t>
            </w:r>
          </w:hyperlink>
        </w:p>
        <w:p w:rsidR="007F6DF9" w:rsidRDefault="00883FED">
          <w:pPr>
            <w:pStyle w:val="TOC2"/>
            <w:numPr>
              <w:ilvl w:val="0"/>
              <w:numId w:val="242"/>
            </w:numPr>
            <w:tabs>
              <w:tab w:val="left" w:pos="1620"/>
              <w:tab w:val="right" w:leader="dot" w:pos="11015"/>
            </w:tabs>
            <w:spacing w:line="244" w:lineRule="exact"/>
            <w:ind w:left="1620" w:hanging="768"/>
          </w:pPr>
          <w:hyperlink w:anchor="_bookmark47" w:history="1">
            <w:r w:rsidR="00A43FBC">
              <w:rPr>
                <w:color w:val="221F1F"/>
              </w:rPr>
              <w:t>Performance</w:t>
            </w:r>
            <w:r w:rsidR="00A43FBC">
              <w:rPr>
                <w:color w:val="221F1F"/>
                <w:spacing w:val="-6"/>
              </w:rPr>
              <w:t xml:space="preserve"> </w:t>
            </w:r>
            <w:r w:rsidR="00A43FBC">
              <w:rPr>
                <w:color w:val="221F1F"/>
                <w:spacing w:val="-2"/>
              </w:rPr>
              <w:t>Security.</w:t>
            </w:r>
          </w:hyperlink>
          <w:r w:rsidR="00A43FBC">
            <w:rPr>
              <w:color w:val="221F1F"/>
            </w:rPr>
            <w:tab/>
          </w:r>
          <w:r w:rsidR="00A43FBC">
            <w:rPr>
              <w:color w:val="221F1F"/>
              <w:spacing w:val="-5"/>
            </w:rPr>
            <w:t>17</w:t>
          </w:r>
        </w:p>
        <w:p w:rsidR="007F6DF9" w:rsidRDefault="00883FED">
          <w:pPr>
            <w:pStyle w:val="TOC2"/>
            <w:numPr>
              <w:ilvl w:val="0"/>
              <w:numId w:val="242"/>
            </w:numPr>
            <w:tabs>
              <w:tab w:val="left" w:pos="1620"/>
              <w:tab w:val="right" w:leader="dot" w:pos="11041"/>
            </w:tabs>
            <w:ind w:left="1620" w:hanging="768"/>
          </w:pPr>
          <w:hyperlink w:anchor="_bookmark48" w:history="1">
            <w:r w:rsidR="00A43FBC">
              <w:rPr>
                <w:color w:val="221F1F"/>
              </w:rPr>
              <w:t>Publication</w:t>
            </w:r>
            <w:r w:rsidR="00A43FBC">
              <w:rPr>
                <w:color w:val="221F1F"/>
                <w:spacing w:val="-7"/>
              </w:rPr>
              <w:t xml:space="preserve"> </w:t>
            </w:r>
            <w:r w:rsidR="00A43FBC">
              <w:rPr>
                <w:color w:val="221F1F"/>
              </w:rPr>
              <w:t>of</w:t>
            </w:r>
            <w:r w:rsidR="00A43FBC">
              <w:rPr>
                <w:color w:val="221F1F"/>
                <w:spacing w:val="-5"/>
              </w:rPr>
              <w:t xml:space="preserve"> </w:t>
            </w:r>
            <w:r w:rsidR="00A43FBC">
              <w:rPr>
                <w:color w:val="221F1F"/>
              </w:rPr>
              <w:t>Procurement</w:t>
            </w:r>
            <w:r w:rsidR="00A43FBC">
              <w:rPr>
                <w:color w:val="221F1F"/>
                <w:spacing w:val="-5"/>
              </w:rPr>
              <w:t xml:space="preserve"> </w:t>
            </w:r>
            <w:r w:rsidR="00A43FBC">
              <w:rPr>
                <w:color w:val="221F1F"/>
                <w:spacing w:val="-2"/>
              </w:rPr>
              <w:t>Contract</w:t>
            </w:r>
            <w:r w:rsidR="00A43FBC">
              <w:rPr>
                <w:color w:val="221F1F"/>
              </w:rPr>
              <w:tab/>
            </w:r>
            <w:r w:rsidR="00A43FBC">
              <w:rPr>
                <w:color w:val="221F1F"/>
                <w:spacing w:val="-5"/>
              </w:rPr>
              <w:t>18</w:t>
            </w:r>
          </w:hyperlink>
        </w:p>
        <w:p w:rsidR="007F6DF9" w:rsidRDefault="00883FED">
          <w:pPr>
            <w:pStyle w:val="TOC2"/>
            <w:numPr>
              <w:ilvl w:val="0"/>
              <w:numId w:val="242"/>
            </w:numPr>
            <w:tabs>
              <w:tab w:val="left" w:pos="1620"/>
              <w:tab w:val="right" w:leader="dot" w:pos="11041"/>
            </w:tabs>
            <w:spacing w:line="250" w:lineRule="exact"/>
            <w:ind w:left="1620" w:hanging="768"/>
          </w:pPr>
          <w:hyperlink w:anchor="_bookmark49" w:history="1">
            <w:r w:rsidR="00A43FBC">
              <w:rPr>
                <w:color w:val="221F1F"/>
              </w:rPr>
              <w:t>Procurement</w:t>
            </w:r>
            <w:r w:rsidR="00A43FBC">
              <w:rPr>
                <w:color w:val="221F1F"/>
                <w:spacing w:val="-6"/>
              </w:rPr>
              <w:t xml:space="preserve"> </w:t>
            </w:r>
            <w:r w:rsidR="00A43FBC">
              <w:rPr>
                <w:color w:val="221F1F"/>
              </w:rPr>
              <w:t>related</w:t>
            </w:r>
            <w:r w:rsidR="00A43FBC">
              <w:rPr>
                <w:color w:val="221F1F"/>
                <w:spacing w:val="-7"/>
              </w:rPr>
              <w:t xml:space="preserve"> </w:t>
            </w:r>
            <w:r w:rsidR="00A43FBC">
              <w:rPr>
                <w:color w:val="221F1F"/>
              </w:rPr>
              <w:t>Complaint</w:t>
            </w:r>
            <w:r w:rsidR="00A43FBC">
              <w:rPr>
                <w:color w:val="221F1F"/>
                <w:spacing w:val="-4"/>
              </w:rPr>
              <w:t xml:space="preserve"> </w:t>
            </w:r>
            <w:r w:rsidR="00A43FBC">
              <w:rPr>
                <w:color w:val="221F1F"/>
              </w:rPr>
              <w:t>and</w:t>
            </w:r>
            <w:r w:rsidR="00A43FBC">
              <w:rPr>
                <w:color w:val="221F1F"/>
                <w:spacing w:val="-7"/>
              </w:rPr>
              <w:t xml:space="preserve"> </w:t>
            </w:r>
            <w:proofErr w:type="spellStart"/>
            <w:r w:rsidR="00A43FBC">
              <w:rPr>
                <w:color w:val="221F1F"/>
              </w:rPr>
              <w:t>Administratrive</w:t>
            </w:r>
            <w:proofErr w:type="spellEnd"/>
            <w:r w:rsidR="00A43FBC">
              <w:rPr>
                <w:color w:val="221F1F"/>
                <w:spacing w:val="-6"/>
              </w:rPr>
              <w:t xml:space="preserve"> </w:t>
            </w:r>
            <w:r w:rsidR="00A43FBC">
              <w:rPr>
                <w:color w:val="221F1F"/>
                <w:spacing w:val="-2"/>
              </w:rPr>
              <w:t>Review</w:t>
            </w:r>
            <w:r w:rsidR="00A43FBC">
              <w:rPr>
                <w:color w:val="221F1F"/>
              </w:rPr>
              <w:tab/>
            </w:r>
            <w:r w:rsidR="00A43FBC">
              <w:rPr>
                <w:color w:val="221F1F"/>
                <w:spacing w:val="-5"/>
              </w:rPr>
              <w:t>18</w:t>
            </w:r>
          </w:hyperlink>
        </w:p>
        <w:p w:rsidR="007F6DF9" w:rsidRDefault="00883FED">
          <w:pPr>
            <w:pStyle w:val="TOC1"/>
            <w:tabs>
              <w:tab w:val="right" w:leader="dot" w:pos="11041"/>
            </w:tabs>
            <w:spacing w:before="284"/>
            <w:ind w:left="852"/>
          </w:pPr>
          <w:hyperlink w:anchor="_TOC_250000" w:history="1">
            <w:r w:rsidR="00A43FBC">
              <w:rPr>
                <w:color w:val="221F1F"/>
              </w:rPr>
              <w:t>SECTION</w:t>
            </w:r>
            <w:r w:rsidR="00A43FBC">
              <w:rPr>
                <w:color w:val="221F1F"/>
                <w:spacing w:val="-14"/>
              </w:rPr>
              <w:t xml:space="preserve"> </w:t>
            </w:r>
            <w:r w:rsidR="00A43FBC">
              <w:rPr>
                <w:color w:val="221F1F"/>
              </w:rPr>
              <w:t>II</w:t>
            </w:r>
            <w:r w:rsidR="00A43FBC">
              <w:rPr>
                <w:color w:val="221F1F"/>
                <w:spacing w:val="-11"/>
              </w:rPr>
              <w:t xml:space="preserve"> </w:t>
            </w:r>
            <w:r w:rsidR="00A43FBC">
              <w:rPr>
                <w:color w:val="221F1F"/>
              </w:rPr>
              <w:t>-</w:t>
            </w:r>
            <w:r w:rsidR="00A43FBC">
              <w:rPr>
                <w:color w:val="221F1F"/>
                <w:spacing w:val="-8"/>
              </w:rPr>
              <w:t xml:space="preserve"> </w:t>
            </w:r>
            <w:r w:rsidR="00A43FBC">
              <w:rPr>
                <w:color w:val="221F1F"/>
              </w:rPr>
              <w:t>TENDER</w:t>
            </w:r>
            <w:r w:rsidR="00A43FBC">
              <w:rPr>
                <w:color w:val="221F1F"/>
                <w:spacing w:val="-10"/>
              </w:rPr>
              <w:t xml:space="preserve"> </w:t>
            </w:r>
            <w:r w:rsidR="00A43FBC">
              <w:rPr>
                <w:color w:val="221F1F"/>
              </w:rPr>
              <w:t>DATA</w:t>
            </w:r>
            <w:r w:rsidR="00A43FBC">
              <w:rPr>
                <w:color w:val="221F1F"/>
                <w:spacing w:val="-20"/>
              </w:rPr>
              <w:t xml:space="preserve"> </w:t>
            </w:r>
            <w:r w:rsidR="00A43FBC">
              <w:rPr>
                <w:color w:val="221F1F"/>
                <w:spacing w:val="-2"/>
              </w:rPr>
              <w:t>SHEET(TDS)</w:t>
            </w:r>
            <w:r w:rsidR="00A43FBC">
              <w:rPr>
                <w:color w:val="221F1F"/>
              </w:rPr>
              <w:tab/>
            </w:r>
            <w:r w:rsidR="00A43FBC">
              <w:rPr>
                <w:color w:val="221F1F"/>
                <w:spacing w:val="-5"/>
              </w:rPr>
              <w:t>18</w:t>
            </w:r>
          </w:hyperlink>
        </w:p>
        <w:p w:rsidR="007F6DF9" w:rsidRDefault="00883FED">
          <w:pPr>
            <w:pStyle w:val="TOC1"/>
            <w:tabs>
              <w:tab w:val="right" w:leader="dot" w:pos="11041"/>
            </w:tabs>
            <w:spacing w:before="285"/>
            <w:ind w:left="852"/>
          </w:pPr>
          <w:hyperlink w:anchor="_bookmark50" w:history="1">
            <w:r w:rsidR="00A43FBC">
              <w:rPr>
                <w:color w:val="221F1F"/>
                <w:spacing w:val="-2"/>
              </w:rPr>
              <w:t>SECTION</w:t>
            </w:r>
            <w:r w:rsidR="00A43FBC">
              <w:rPr>
                <w:color w:val="221F1F"/>
                <w:spacing w:val="-1"/>
              </w:rPr>
              <w:t xml:space="preserve"> </w:t>
            </w:r>
            <w:r w:rsidR="00A43FBC">
              <w:rPr>
                <w:color w:val="221F1F"/>
                <w:spacing w:val="-2"/>
              </w:rPr>
              <w:t>III</w:t>
            </w:r>
            <w:r w:rsidR="00A43FBC">
              <w:rPr>
                <w:color w:val="221F1F"/>
              </w:rPr>
              <w:t xml:space="preserve"> </w:t>
            </w:r>
            <w:r w:rsidR="00A43FBC">
              <w:rPr>
                <w:color w:val="221F1F"/>
                <w:spacing w:val="-2"/>
              </w:rPr>
              <w:t>-</w:t>
            </w:r>
            <w:r w:rsidR="00A43FBC">
              <w:rPr>
                <w:color w:val="221F1F"/>
                <w:spacing w:val="2"/>
              </w:rPr>
              <w:t xml:space="preserve"> </w:t>
            </w:r>
            <w:r w:rsidR="00A43FBC">
              <w:rPr>
                <w:color w:val="221F1F"/>
                <w:spacing w:val="-2"/>
              </w:rPr>
              <w:t>EVALUATION</w:t>
            </w:r>
            <w:r w:rsidR="00A43FBC">
              <w:rPr>
                <w:color w:val="221F1F"/>
                <w:spacing w:val="-10"/>
              </w:rPr>
              <w:t xml:space="preserve"> </w:t>
            </w:r>
            <w:r w:rsidR="00A43FBC">
              <w:rPr>
                <w:color w:val="221F1F"/>
                <w:spacing w:val="-2"/>
              </w:rPr>
              <w:t>AND</w:t>
            </w:r>
            <w:r w:rsidR="00A43FBC">
              <w:rPr>
                <w:color w:val="221F1F"/>
              </w:rPr>
              <w:t xml:space="preserve"> </w:t>
            </w:r>
            <w:r w:rsidR="00A43FBC">
              <w:rPr>
                <w:color w:val="221F1F"/>
                <w:spacing w:val="-2"/>
              </w:rPr>
              <w:t>QUALIFICATION</w:t>
            </w:r>
            <w:r w:rsidR="00A43FBC">
              <w:rPr>
                <w:color w:val="221F1F"/>
              </w:rPr>
              <w:t xml:space="preserve"> </w:t>
            </w:r>
            <w:r w:rsidR="00A43FBC">
              <w:rPr>
                <w:color w:val="221F1F"/>
                <w:spacing w:val="-2"/>
              </w:rPr>
              <w:t>CRITERIA</w:t>
            </w:r>
            <w:r w:rsidR="00A43FBC">
              <w:rPr>
                <w:color w:val="221F1F"/>
              </w:rPr>
              <w:tab/>
            </w:r>
            <w:r w:rsidR="00A43FBC">
              <w:rPr>
                <w:color w:val="221F1F"/>
                <w:spacing w:val="-5"/>
              </w:rPr>
              <w:t>22</w:t>
            </w:r>
          </w:hyperlink>
        </w:p>
        <w:p w:rsidR="007F6DF9" w:rsidRDefault="00883FED">
          <w:pPr>
            <w:pStyle w:val="TOC4"/>
            <w:numPr>
              <w:ilvl w:val="1"/>
              <w:numId w:val="242"/>
            </w:numPr>
            <w:tabs>
              <w:tab w:val="left" w:pos="1663"/>
              <w:tab w:val="right" w:leader="dot" w:pos="11041"/>
            </w:tabs>
            <w:ind w:left="1663" w:hanging="470"/>
          </w:pPr>
          <w:hyperlink w:anchor="_bookmark51" w:history="1">
            <w:r w:rsidR="00A43FBC">
              <w:rPr>
                <w:color w:val="221F1F"/>
              </w:rPr>
              <w:t>General</w:t>
            </w:r>
            <w:r w:rsidR="00A43FBC">
              <w:rPr>
                <w:color w:val="221F1F"/>
                <w:spacing w:val="-3"/>
              </w:rPr>
              <w:t xml:space="preserve"> </w:t>
            </w:r>
            <w:r w:rsidR="00A43FBC">
              <w:rPr>
                <w:color w:val="221F1F"/>
                <w:spacing w:val="-2"/>
              </w:rPr>
              <w:t>Provisions</w:t>
            </w:r>
            <w:r w:rsidR="00A43FBC">
              <w:rPr>
                <w:color w:val="221F1F"/>
              </w:rPr>
              <w:tab/>
            </w:r>
            <w:r w:rsidR="00A43FBC">
              <w:rPr>
                <w:color w:val="221F1F"/>
                <w:spacing w:val="-5"/>
              </w:rPr>
              <w:t>22</w:t>
            </w:r>
          </w:hyperlink>
        </w:p>
        <w:p w:rsidR="007F6DF9" w:rsidRDefault="00A43FBC">
          <w:pPr>
            <w:pStyle w:val="TOC4"/>
            <w:numPr>
              <w:ilvl w:val="1"/>
              <w:numId w:val="242"/>
            </w:numPr>
            <w:tabs>
              <w:tab w:val="left" w:pos="1663"/>
              <w:tab w:val="right" w:leader="dot" w:pos="11041"/>
            </w:tabs>
            <w:spacing w:before="13"/>
            <w:ind w:left="1663" w:hanging="470"/>
          </w:pPr>
          <w:r>
            <w:rPr>
              <w:color w:val="221F1F"/>
            </w:rPr>
            <w:t>Preliminary</w:t>
          </w:r>
          <w:r>
            <w:rPr>
              <w:color w:val="221F1F"/>
              <w:spacing w:val="-9"/>
            </w:rPr>
            <w:t xml:space="preserve"> </w:t>
          </w:r>
          <w:r>
            <w:rPr>
              <w:color w:val="221F1F"/>
            </w:rPr>
            <w:t>examination</w:t>
          </w:r>
          <w:r>
            <w:rPr>
              <w:color w:val="221F1F"/>
              <w:spacing w:val="-9"/>
            </w:rPr>
            <w:t xml:space="preserve"> </w:t>
          </w:r>
          <w:r>
            <w:rPr>
              <w:color w:val="221F1F"/>
            </w:rPr>
            <w:t>for</w:t>
          </w:r>
          <w:r>
            <w:rPr>
              <w:color w:val="221F1F"/>
              <w:spacing w:val="-6"/>
            </w:rPr>
            <w:t xml:space="preserve"> </w:t>
          </w:r>
          <w:r>
            <w:rPr>
              <w:color w:val="221F1F"/>
            </w:rPr>
            <w:t>Determination</w:t>
          </w:r>
          <w:r>
            <w:rPr>
              <w:color w:val="221F1F"/>
              <w:spacing w:val="-6"/>
            </w:rPr>
            <w:t xml:space="preserve"> </w:t>
          </w:r>
          <w:r>
            <w:rPr>
              <w:color w:val="221F1F"/>
            </w:rPr>
            <w:t>of</w:t>
          </w:r>
          <w:r>
            <w:rPr>
              <w:color w:val="221F1F"/>
              <w:spacing w:val="-6"/>
            </w:rPr>
            <w:t xml:space="preserve"> </w:t>
          </w:r>
          <w:r>
            <w:rPr>
              <w:color w:val="221F1F"/>
              <w:spacing w:val="-2"/>
            </w:rPr>
            <w:t>Responsiveness</w:t>
          </w:r>
          <w:r>
            <w:rPr>
              <w:color w:val="221F1F"/>
            </w:rPr>
            <w:tab/>
          </w:r>
          <w:r>
            <w:rPr>
              <w:color w:val="221F1F"/>
              <w:spacing w:val="-5"/>
            </w:rPr>
            <w:t>22</w:t>
          </w:r>
        </w:p>
        <w:p w:rsidR="007F6DF9" w:rsidRDefault="00A43FBC">
          <w:pPr>
            <w:pStyle w:val="TOC4"/>
            <w:numPr>
              <w:ilvl w:val="1"/>
              <w:numId w:val="242"/>
            </w:numPr>
            <w:tabs>
              <w:tab w:val="left" w:pos="1663"/>
              <w:tab w:val="right" w:leader="dot" w:pos="11041"/>
            </w:tabs>
            <w:spacing w:before="17"/>
            <w:ind w:left="1663" w:hanging="470"/>
          </w:pPr>
          <w:r>
            <w:rPr>
              <w:color w:val="221F1F"/>
              <w:spacing w:val="-2"/>
            </w:rPr>
            <w:t>Tender</w:t>
          </w:r>
          <w:r>
            <w:rPr>
              <w:color w:val="221F1F"/>
              <w:spacing w:val="-8"/>
            </w:rPr>
            <w:t xml:space="preserve"> </w:t>
          </w:r>
          <w:r>
            <w:rPr>
              <w:color w:val="221F1F"/>
              <w:spacing w:val="-2"/>
            </w:rPr>
            <w:t>Evaluation</w:t>
          </w:r>
          <w:r>
            <w:rPr>
              <w:color w:val="221F1F"/>
            </w:rPr>
            <w:tab/>
          </w:r>
          <w:r>
            <w:rPr>
              <w:color w:val="221F1F"/>
              <w:spacing w:val="-5"/>
            </w:rPr>
            <w:t>22</w:t>
          </w:r>
        </w:p>
        <w:p w:rsidR="007F6DF9" w:rsidRDefault="00A43FBC">
          <w:pPr>
            <w:pStyle w:val="TOC4"/>
            <w:numPr>
              <w:ilvl w:val="1"/>
              <w:numId w:val="242"/>
            </w:numPr>
            <w:tabs>
              <w:tab w:val="left" w:pos="1663"/>
              <w:tab w:val="right" w:leader="dot" w:pos="11041"/>
            </w:tabs>
            <w:spacing w:before="15"/>
            <w:ind w:left="1663" w:hanging="470"/>
          </w:pPr>
          <w:r>
            <w:rPr>
              <w:color w:val="221F1F"/>
            </w:rPr>
            <w:t>Multiple</w:t>
          </w:r>
          <w:r>
            <w:rPr>
              <w:color w:val="221F1F"/>
              <w:spacing w:val="-6"/>
            </w:rPr>
            <w:t xml:space="preserve"> </w:t>
          </w:r>
          <w:r>
            <w:rPr>
              <w:color w:val="221F1F"/>
              <w:spacing w:val="-2"/>
            </w:rPr>
            <w:t>Contracts</w:t>
          </w:r>
          <w:r>
            <w:rPr>
              <w:color w:val="221F1F"/>
            </w:rPr>
            <w:tab/>
          </w:r>
          <w:r>
            <w:rPr>
              <w:color w:val="221F1F"/>
              <w:spacing w:val="-5"/>
            </w:rPr>
            <w:t>22</w:t>
          </w:r>
        </w:p>
        <w:p w:rsidR="007F6DF9" w:rsidRDefault="00A43FBC">
          <w:pPr>
            <w:pStyle w:val="TOC4"/>
            <w:numPr>
              <w:ilvl w:val="1"/>
              <w:numId w:val="242"/>
            </w:numPr>
            <w:tabs>
              <w:tab w:val="left" w:pos="1663"/>
              <w:tab w:val="right" w:leader="dot" w:pos="11041"/>
            </w:tabs>
            <w:spacing w:before="14"/>
            <w:ind w:left="1663" w:hanging="470"/>
          </w:pPr>
          <w:proofErr w:type="spellStart"/>
          <w:r>
            <w:rPr>
              <w:color w:val="221F1F"/>
              <w:spacing w:val="-2"/>
            </w:rPr>
            <w:t>AlternativeTenders</w:t>
          </w:r>
          <w:proofErr w:type="spellEnd"/>
          <w:r>
            <w:rPr>
              <w:color w:val="221F1F"/>
            </w:rPr>
            <w:tab/>
          </w:r>
          <w:r>
            <w:rPr>
              <w:color w:val="221F1F"/>
              <w:spacing w:val="-5"/>
            </w:rPr>
            <w:t>23</w:t>
          </w:r>
        </w:p>
        <w:p w:rsidR="007F6DF9" w:rsidRDefault="00A43FBC">
          <w:pPr>
            <w:pStyle w:val="TOC4"/>
            <w:numPr>
              <w:ilvl w:val="1"/>
              <w:numId w:val="242"/>
            </w:numPr>
            <w:tabs>
              <w:tab w:val="left" w:pos="1663"/>
              <w:tab w:val="right" w:leader="dot" w:pos="11041"/>
            </w:tabs>
            <w:ind w:left="1663" w:hanging="470"/>
          </w:pPr>
          <w:proofErr w:type="spellStart"/>
          <w:r>
            <w:rPr>
              <w:color w:val="221F1F"/>
              <w:spacing w:val="-2"/>
            </w:rPr>
            <w:t>MarginofPreference</w:t>
          </w:r>
          <w:proofErr w:type="spellEnd"/>
          <w:r>
            <w:rPr>
              <w:color w:val="221F1F"/>
            </w:rPr>
            <w:tab/>
          </w:r>
          <w:r>
            <w:rPr>
              <w:color w:val="221F1F"/>
              <w:spacing w:val="-5"/>
            </w:rPr>
            <w:t>23</w:t>
          </w:r>
        </w:p>
        <w:p w:rsidR="007F6DF9" w:rsidRDefault="00A43FBC">
          <w:pPr>
            <w:pStyle w:val="TOC4"/>
            <w:numPr>
              <w:ilvl w:val="1"/>
              <w:numId w:val="242"/>
            </w:numPr>
            <w:tabs>
              <w:tab w:val="left" w:pos="1663"/>
              <w:tab w:val="right" w:leader="dot" w:pos="11041"/>
            </w:tabs>
            <w:spacing w:before="13"/>
            <w:ind w:left="1663" w:hanging="470"/>
          </w:pPr>
          <w:r>
            <w:rPr>
              <w:color w:val="221F1F"/>
            </w:rPr>
            <w:t>Post</w:t>
          </w:r>
          <w:r>
            <w:rPr>
              <w:color w:val="221F1F"/>
              <w:spacing w:val="-7"/>
            </w:rPr>
            <w:t xml:space="preserve"> </w:t>
          </w:r>
          <w:r>
            <w:rPr>
              <w:color w:val="221F1F"/>
            </w:rPr>
            <w:t>qualification</w:t>
          </w:r>
          <w:r>
            <w:rPr>
              <w:color w:val="221F1F"/>
              <w:spacing w:val="-7"/>
            </w:rPr>
            <w:t xml:space="preserve"> </w:t>
          </w:r>
          <w:r>
            <w:rPr>
              <w:color w:val="221F1F"/>
            </w:rPr>
            <w:t>and</w:t>
          </w:r>
          <w:r>
            <w:rPr>
              <w:color w:val="221F1F"/>
              <w:spacing w:val="-7"/>
            </w:rPr>
            <w:t xml:space="preserve"> </w:t>
          </w:r>
          <w:r>
            <w:rPr>
              <w:color w:val="221F1F"/>
            </w:rPr>
            <w:t>Contract</w:t>
          </w:r>
          <w:r>
            <w:rPr>
              <w:color w:val="221F1F"/>
              <w:spacing w:val="-7"/>
            </w:rPr>
            <w:t xml:space="preserve"> </w:t>
          </w:r>
          <w:r>
            <w:rPr>
              <w:color w:val="221F1F"/>
              <w:spacing w:val="-4"/>
            </w:rPr>
            <w:t>ward</w:t>
          </w:r>
          <w:r>
            <w:rPr>
              <w:color w:val="221F1F"/>
            </w:rPr>
            <w:tab/>
          </w:r>
          <w:r>
            <w:rPr>
              <w:color w:val="221F1F"/>
              <w:spacing w:val="-5"/>
            </w:rPr>
            <w:t>23</w:t>
          </w:r>
        </w:p>
        <w:p w:rsidR="007F6DF9" w:rsidRDefault="00A43FBC">
          <w:pPr>
            <w:pStyle w:val="TOC3"/>
            <w:numPr>
              <w:ilvl w:val="1"/>
              <w:numId w:val="242"/>
            </w:numPr>
            <w:tabs>
              <w:tab w:val="left" w:pos="1663"/>
              <w:tab w:val="right" w:leader="dot" w:pos="11041"/>
            </w:tabs>
            <w:ind w:left="1663" w:hanging="470"/>
          </w:pPr>
          <w:r>
            <w:rPr>
              <w:color w:val="221F1F"/>
              <w:spacing w:val="-2"/>
            </w:rPr>
            <w:t>QUALIFICATION</w:t>
          </w:r>
          <w:r>
            <w:rPr>
              <w:color w:val="221F1F"/>
              <w:spacing w:val="8"/>
            </w:rPr>
            <w:t xml:space="preserve"> </w:t>
          </w:r>
          <w:r>
            <w:rPr>
              <w:color w:val="221F1F"/>
              <w:spacing w:val="-4"/>
            </w:rPr>
            <w:t>FORM</w:t>
          </w:r>
          <w:r>
            <w:rPr>
              <w:color w:val="221F1F"/>
            </w:rPr>
            <w:tab/>
          </w:r>
          <w:r>
            <w:rPr>
              <w:color w:val="221F1F"/>
              <w:spacing w:val="-5"/>
            </w:rPr>
            <w:t>25</w:t>
          </w:r>
        </w:p>
        <w:p w:rsidR="007F6DF9" w:rsidRDefault="00A43FBC">
          <w:pPr>
            <w:pStyle w:val="TOC1"/>
            <w:tabs>
              <w:tab w:val="right" w:leader="dot" w:pos="11041"/>
            </w:tabs>
            <w:spacing w:before="282"/>
            <w:ind w:left="852"/>
          </w:pPr>
          <w:r>
            <w:rPr>
              <w:color w:val="221F1F"/>
            </w:rPr>
            <w:t>SECTION</w:t>
          </w:r>
          <w:r>
            <w:rPr>
              <w:color w:val="221F1F"/>
              <w:spacing w:val="-6"/>
            </w:rPr>
            <w:t xml:space="preserve"> </w:t>
          </w:r>
          <w:r>
            <w:rPr>
              <w:color w:val="221F1F"/>
            </w:rPr>
            <w:t>IV</w:t>
          </w:r>
          <w:r>
            <w:rPr>
              <w:color w:val="221F1F"/>
              <w:spacing w:val="-4"/>
            </w:rPr>
            <w:t xml:space="preserve"> </w:t>
          </w:r>
          <w:r>
            <w:rPr>
              <w:color w:val="221F1F"/>
            </w:rPr>
            <w:t>–TENDERING</w:t>
          </w:r>
          <w:r>
            <w:rPr>
              <w:color w:val="221F1F"/>
              <w:spacing w:val="-4"/>
            </w:rPr>
            <w:t xml:space="preserve"> FORMS</w:t>
          </w:r>
          <w:r>
            <w:rPr>
              <w:color w:val="221F1F"/>
            </w:rPr>
            <w:tab/>
          </w:r>
          <w:r>
            <w:rPr>
              <w:color w:val="221F1F"/>
              <w:spacing w:val="-5"/>
            </w:rPr>
            <w:t>28</w:t>
          </w:r>
        </w:p>
        <w:p w:rsidR="007F6DF9" w:rsidRDefault="00A43FBC">
          <w:pPr>
            <w:pStyle w:val="TOC3"/>
            <w:numPr>
              <w:ilvl w:val="0"/>
              <w:numId w:val="241"/>
            </w:numPr>
            <w:tabs>
              <w:tab w:val="left" w:pos="1663"/>
              <w:tab w:val="right" w:leader="dot" w:pos="11041"/>
            </w:tabs>
            <w:ind w:hanging="470"/>
          </w:pPr>
          <w:r>
            <w:rPr>
              <w:color w:val="221F1F"/>
            </w:rPr>
            <w:t>FOREIGN</w:t>
          </w:r>
          <w:r>
            <w:rPr>
              <w:color w:val="221F1F"/>
              <w:spacing w:val="-8"/>
            </w:rPr>
            <w:t xml:space="preserve"> </w:t>
          </w:r>
          <w:r>
            <w:rPr>
              <w:color w:val="221F1F"/>
            </w:rPr>
            <w:t>TENDERERS40%</w:t>
          </w:r>
          <w:r>
            <w:rPr>
              <w:color w:val="221F1F"/>
              <w:spacing w:val="-6"/>
            </w:rPr>
            <w:t xml:space="preserve"> </w:t>
          </w:r>
          <w:r>
            <w:rPr>
              <w:color w:val="221F1F"/>
              <w:spacing w:val="-4"/>
            </w:rPr>
            <w:t>RULE</w:t>
          </w:r>
          <w:r>
            <w:rPr>
              <w:color w:val="221F1F"/>
            </w:rPr>
            <w:tab/>
          </w:r>
          <w:r>
            <w:rPr>
              <w:color w:val="221F1F"/>
              <w:spacing w:val="-5"/>
            </w:rPr>
            <w:t>28</w:t>
          </w:r>
        </w:p>
        <w:p w:rsidR="007F6DF9" w:rsidRDefault="00A43FBC">
          <w:pPr>
            <w:pStyle w:val="TOC4"/>
            <w:numPr>
              <w:ilvl w:val="0"/>
              <w:numId w:val="241"/>
            </w:numPr>
            <w:tabs>
              <w:tab w:val="left" w:pos="1663"/>
              <w:tab w:val="right" w:leader="dot" w:pos="11041"/>
            </w:tabs>
            <w:ind w:hanging="470"/>
          </w:pPr>
          <w:r>
            <w:rPr>
              <w:color w:val="221F1F"/>
            </w:rPr>
            <w:t>Form</w:t>
          </w:r>
          <w:r>
            <w:rPr>
              <w:color w:val="221F1F"/>
              <w:spacing w:val="-2"/>
            </w:rPr>
            <w:t xml:space="preserve"> </w:t>
          </w:r>
          <w:r>
            <w:rPr>
              <w:color w:val="221F1F"/>
            </w:rPr>
            <w:t>EQU:</w:t>
          </w:r>
          <w:r>
            <w:rPr>
              <w:color w:val="221F1F"/>
              <w:spacing w:val="-2"/>
            </w:rPr>
            <w:t xml:space="preserve"> EQUIPMENT</w:t>
          </w:r>
          <w:r>
            <w:rPr>
              <w:color w:val="221F1F"/>
            </w:rPr>
            <w:tab/>
          </w:r>
          <w:r>
            <w:rPr>
              <w:color w:val="221F1F"/>
              <w:spacing w:val="-5"/>
            </w:rPr>
            <w:t>29</w:t>
          </w:r>
        </w:p>
        <w:p w:rsidR="007F6DF9" w:rsidRDefault="00A43FBC">
          <w:pPr>
            <w:pStyle w:val="TOC3"/>
            <w:numPr>
              <w:ilvl w:val="0"/>
              <w:numId w:val="241"/>
            </w:numPr>
            <w:tabs>
              <w:tab w:val="left" w:pos="1663"/>
              <w:tab w:val="right" w:leader="dot" w:pos="11041"/>
            </w:tabs>
            <w:spacing w:before="13"/>
            <w:ind w:hanging="470"/>
          </w:pPr>
          <w:r>
            <w:rPr>
              <w:color w:val="221F1F"/>
            </w:rPr>
            <w:t>FORM</w:t>
          </w:r>
          <w:r>
            <w:rPr>
              <w:color w:val="221F1F"/>
              <w:spacing w:val="-2"/>
            </w:rPr>
            <w:t xml:space="preserve"> </w:t>
          </w:r>
          <w:r>
            <w:rPr>
              <w:color w:val="221F1F"/>
            </w:rPr>
            <w:t>PER</w:t>
          </w:r>
          <w:r>
            <w:rPr>
              <w:color w:val="221F1F"/>
              <w:spacing w:val="-3"/>
            </w:rPr>
            <w:t xml:space="preserve"> </w:t>
          </w:r>
          <w:r>
            <w:rPr>
              <w:color w:val="221F1F"/>
            </w:rPr>
            <w:t>-</w:t>
          </w:r>
          <w:r>
            <w:rPr>
              <w:color w:val="221F1F"/>
              <w:spacing w:val="-2"/>
            </w:rPr>
            <w:t xml:space="preserve"> </w:t>
          </w:r>
          <w:r>
            <w:rPr>
              <w:color w:val="221F1F"/>
              <w:spacing w:val="-5"/>
            </w:rPr>
            <w:t>1:</w:t>
          </w:r>
          <w:r>
            <w:rPr>
              <w:color w:val="221F1F"/>
            </w:rPr>
            <w:tab/>
          </w:r>
          <w:r>
            <w:rPr>
              <w:color w:val="221F1F"/>
              <w:spacing w:val="-5"/>
            </w:rPr>
            <w:t>30</w:t>
          </w:r>
        </w:p>
        <w:p w:rsidR="007F6DF9" w:rsidRDefault="00A43FBC">
          <w:pPr>
            <w:pStyle w:val="TOC3"/>
            <w:numPr>
              <w:ilvl w:val="0"/>
              <w:numId w:val="241"/>
            </w:numPr>
            <w:tabs>
              <w:tab w:val="left" w:pos="1663"/>
              <w:tab w:val="right" w:leader="dot" w:pos="11041"/>
            </w:tabs>
            <w:ind w:hanging="470"/>
          </w:pPr>
          <w:r>
            <w:rPr>
              <w:color w:val="221F1F"/>
            </w:rPr>
            <w:t>FORM</w:t>
          </w:r>
          <w:r>
            <w:rPr>
              <w:color w:val="221F1F"/>
              <w:spacing w:val="-2"/>
            </w:rPr>
            <w:t xml:space="preserve"> </w:t>
          </w:r>
          <w:r>
            <w:rPr>
              <w:color w:val="221F1F"/>
            </w:rPr>
            <w:t>PER</w:t>
          </w:r>
          <w:r>
            <w:rPr>
              <w:color w:val="221F1F"/>
              <w:spacing w:val="-3"/>
            </w:rPr>
            <w:t xml:space="preserve"> </w:t>
          </w:r>
          <w:r>
            <w:rPr>
              <w:color w:val="221F1F"/>
            </w:rPr>
            <w:t>-</w:t>
          </w:r>
          <w:r>
            <w:rPr>
              <w:color w:val="221F1F"/>
              <w:spacing w:val="-2"/>
            </w:rPr>
            <w:t xml:space="preserve"> </w:t>
          </w:r>
          <w:r>
            <w:rPr>
              <w:color w:val="221F1F"/>
              <w:spacing w:val="-5"/>
            </w:rPr>
            <w:t>2:</w:t>
          </w:r>
          <w:r>
            <w:rPr>
              <w:color w:val="221F1F"/>
            </w:rPr>
            <w:tab/>
          </w:r>
          <w:r>
            <w:rPr>
              <w:color w:val="221F1F"/>
              <w:spacing w:val="-5"/>
            </w:rPr>
            <w:t>31</w:t>
          </w:r>
        </w:p>
        <w:p w:rsidR="007F6DF9" w:rsidRDefault="00A43FBC">
          <w:pPr>
            <w:pStyle w:val="TOC3"/>
            <w:numPr>
              <w:ilvl w:val="0"/>
              <w:numId w:val="241"/>
            </w:numPr>
            <w:tabs>
              <w:tab w:val="left" w:pos="1663"/>
              <w:tab w:val="right" w:leader="dot" w:pos="11041"/>
            </w:tabs>
            <w:ind w:hanging="470"/>
          </w:pPr>
          <w:r>
            <w:rPr>
              <w:color w:val="221F1F"/>
            </w:rPr>
            <w:t>TENDERERS</w:t>
          </w:r>
          <w:r>
            <w:rPr>
              <w:color w:val="221F1F"/>
              <w:spacing w:val="-12"/>
            </w:rPr>
            <w:t xml:space="preserve"> </w:t>
          </w:r>
          <w:r>
            <w:rPr>
              <w:color w:val="221F1F"/>
            </w:rPr>
            <w:t>QUALIFICATION</w:t>
          </w:r>
          <w:r>
            <w:rPr>
              <w:color w:val="221F1F"/>
              <w:spacing w:val="-12"/>
            </w:rPr>
            <w:t xml:space="preserve"> </w:t>
          </w:r>
          <w:r>
            <w:rPr>
              <w:color w:val="221F1F"/>
            </w:rPr>
            <w:t>WITHOUT</w:t>
          </w:r>
          <w:r>
            <w:rPr>
              <w:color w:val="221F1F"/>
              <w:spacing w:val="-11"/>
            </w:rPr>
            <w:t xml:space="preserve"> </w:t>
          </w:r>
          <w:r>
            <w:rPr>
              <w:color w:val="221F1F"/>
            </w:rPr>
            <w:t>PRE-</w:t>
          </w:r>
          <w:r>
            <w:rPr>
              <w:color w:val="221F1F"/>
              <w:spacing w:val="-2"/>
            </w:rPr>
            <w:t>QUALIFICATION</w:t>
          </w:r>
          <w:r>
            <w:rPr>
              <w:color w:val="221F1F"/>
            </w:rPr>
            <w:tab/>
          </w:r>
          <w:r>
            <w:rPr>
              <w:color w:val="221F1F"/>
              <w:spacing w:val="-5"/>
            </w:rPr>
            <w:t>33</w:t>
          </w:r>
        </w:p>
        <w:p w:rsidR="007F6DF9" w:rsidRDefault="00A43FBC">
          <w:pPr>
            <w:pStyle w:val="TOC1"/>
            <w:tabs>
              <w:tab w:val="right" w:leader="dot" w:pos="11041"/>
            </w:tabs>
            <w:spacing w:before="283"/>
            <w:ind w:left="852"/>
          </w:pPr>
          <w:r>
            <w:rPr>
              <w:color w:val="221F1F"/>
            </w:rPr>
            <w:t>OTHER</w:t>
          </w:r>
          <w:r>
            <w:rPr>
              <w:color w:val="221F1F"/>
              <w:spacing w:val="-3"/>
            </w:rPr>
            <w:t xml:space="preserve"> </w:t>
          </w:r>
          <w:r>
            <w:rPr>
              <w:color w:val="221F1F"/>
              <w:spacing w:val="-2"/>
            </w:rPr>
            <w:t>FORMS</w:t>
          </w:r>
          <w:r>
            <w:rPr>
              <w:color w:val="221F1F"/>
            </w:rPr>
            <w:tab/>
          </w:r>
          <w:r>
            <w:rPr>
              <w:color w:val="221F1F"/>
              <w:spacing w:val="-5"/>
            </w:rPr>
            <w:t>43</w:t>
          </w:r>
        </w:p>
        <w:p w:rsidR="007F6DF9" w:rsidRDefault="00A43FBC">
          <w:pPr>
            <w:pStyle w:val="TOC3"/>
            <w:numPr>
              <w:ilvl w:val="0"/>
              <w:numId w:val="240"/>
            </w:numPr>
            <w:tabs>
              <w:tab w:val="left" w:pos="1663"/>
              <w:tab w:val="right" w:leader="dot" w:pos="11041"/>
            </w:tabs>
            <w:spacing w:before="282"/>
            <w:ind w:hanging="470"/>
          </w:pPr>
          <w:r>
            <w:rPr>
              <w:color w:val="221F1F"/>
            </w:rPr>
            <w:t>FORM</w:t>
          </w:r>
          <w:r>
            <w:rPr>
              <w:color w:val="221F1F"/>
              <w:spacing w:val="-4"/>
            </w:rPr>
            <w:t xml:space="preserve"> </w:t>
          </w:r>
          <w:r>
            <w:rPr>
              <w:color w:val="221F1F"/>
            </w:rPr>
            <w:t>OF</w:t>
          </w:r>
          <w:r>
            <w:rPr>
              <w:color w:val="221F1F"/>
              <w:spacing w:val="-2"/>
            </w:rPr>
            <w:t xml:space="preserve"> TENDER</w:t>
          </w:r>
          <w:r>
            <w:rPr>
              <w:color w:val="221F1F"/>
            </w:rPr>
            <w:tab/>
          </w:r>
          <w:r>
            <w:rPr>
              <w:color w:val="221F1F"/>
              <w:spacing w:val="-5"/>
            </w:rPr>
            <w:t>43</w:t>
          </w:r>
        </w:p>
        <w:p w:rsidR="007F6DF9" w:rsidRDefault="00A43FBC">
          <w:pPr>
            <w:pStyle w:val="TOC5"/>
            <w:numPr>
              <w:ilvl w:val="1"/>
              <w:numId w:val="240"/>
            </w:numPr>
            <w:tabs>
              <w:tab w:val="left" w:pos="1952"/>
              <w:tab w:val="right" w:leader="dot" w:pos="11041"/>
            </w:tabs>
            <w:ind w:left="1952" w:hanging="289"/>
          </w:pPr>
          <w:r>
            <w:rPr>
              <w:color w:val="221F1F"/>
              <w:spacing w:val="-2"/>
            </w:rPr>
            <w:t>TENDERER'S</w:t>
          </w:r>
          <w:r>
            <w:rPr>
              <w:color w:val="221F1F"/>
              <w:spacing w:val="1"/>
            </w:rPr>
            <w:t xml:space="preserve"> </w:t>
          </w:r>
          <w:r>
            <w:rPr>
              <w:color w:val="221F1F"/>
              <w:spacing w:val="-2"/>
            </w:rPr>
            <w:t>ELIGIBILITY-</w:t>
          </w:r>
          <w:r>
            <w:rPr>
              <w:color w:val="221F1F"/>
              <w:spacing w:val="-4"/>
            </w:rPr>
            <w:t xml:space="preserve"> </w:t>
          </w:r>
          <w:r>
            <w:rPr>
              <w:color w:val="221F1F"/>
              <w:spacing w:val="-2"/>
            </w:rPr>
            <w:t>CONFIDENTIAL</w:t>
          </w:r>
          <w:r>
            <w:rPr>
              <w:color w:val="221F1F"/>
              <w:spacing w:val="4"/>
            </w:rPr>
            <w:t xml:space="preserve"> </w:t>
          </w:r>
          <w:r>
            <w:rPr>
              <w:color w:val="221F1F"/>
              <w:spacing w:val="-2"/>
            </w:rPr>
            <w:t>BUSINESS</w:t>
          </w:r>
          <w:r>
            <w:rPr>
              <w:color w:val="221F1F"/>
              <w:spacing w:val="5"/>
            </w:rPr>
            <w:t xml:space="preserve"> </w:t>
          </w:r>
          <w:r>
            <w:rPr>
              <w:color w:val="221F1F"/>
              <w:spacing w:val="-2"/>
            </w:rPr>
            <w:t>QUESTIONNAIRE</w:t>
          </w:r>
          <w:r>
            <w:rPr>
              <w:color w:val="221F1F"/>
            </w:rPr>
            <w:tab/>
          </w:r>
          <w:r>
            <w:rPr>
              <w:color w:val="221F1F"/>
              <w:spacing w:val="-5"/>
            </w:rPr>
            <w:t>46</w:t>
          </w:r>
        </w:p>
        <w:p w:rsidR="007F6DF9" w:rsidRDefault="00A43FBC">
          <w:pPr>
            <w:pStyle w:val="TOC5"/>
            <w:numPr>
              <w:ilvl w:val="1"/>
              <w:numId w:val="240"/>
            </w:numPr>
            <w:tabs>
              <w:tab w:val="left" w:pos="1952"/>
              <w:tab w:val="right" w:leader="dot" w:pos="11041"/>
            </w:tabs>
            <w:spacing w:before="15"/>
            <w:ind w:left="1952" w:hanging="289"/>
          </w:pPr>
          <w:r>
            <w:rPr>
              <w:color w:val="221F1F"/>
              <w:spacing w:val="-2"/>
            </w:rPr>
            <w:t>CERTIFICATE</w:t>
          </w:r>
          <w:r>
            <w:rPr>
              <w:color w:val="221F1F"/>
              <w:spacing w:val="-10"/>
            </w:rPr>
            <w:t xml:space="preserve"> </w:t>
          </w:r>
          <w:r>
            <w:rPr>
              <w:color w:val="221F1F"/>
              <w:spacing w:val="-2"/>
            </w:rPr>
            <w:t>OF INDEPENDENT</w:t>
          </w:r>
          <w:r>
            <w:rPr>
              <w:color w:val="221F1F"/>
              <w:spacing w:val="-1"/>
            </w:rPr>
            <w:t xml:space="preserve"> </w:t>
          </w:r>
          <w:r>
            <w:rPr>
              <w:color w:val="221F1F"/>
              <w:spacing w:val="-2"/>
            </w:rPr>
            <w:t>TENDER</w:t>
          </w:r>
          <w:r>
            <w:rPr>
              <w:color w:val="221F1F"/>
              <w:spacing w:val="-3"/>
            </w:rPr>
            <w:t xml:space="preserve"> </w:t>
          </w:r>
          <w:r>
            <w:rPr>
              <w:color w:val="221F1F"/>
              <w:spacing w:val="-2"/>
            </w:rPr>
            <w:t>DETERMINATION</w:t>
          </w:r>
          <w:r>
            <w:rPr>
              <w:color w:val="221F1F"/>
            </w:rPr>
            <w:tab/>
          </w:r>
          <w:r>
            <w:rPr>
              <w:color w:val="221F1F"/>
              <w:spacing w:val="-5"/>
            </w:rPr>
            <w:t>50</w:t>
          </w:r>
        </w:p>
        <w:p w:rsidR="007F6DF9" w:rsidRDefault="00A43FBC">
          <w:pPr>
            <w:pStyle w:val="TOC5"/>
            <w:numPr>
              <w:ilvl w:val="1"/>
              <w:numId w:val="240"/>
            </w:numPr>
            <w:tabs>
              <w:tab w:val="left" w:pos="1952"/>
              <w:tab w:val="right" w:leader="dot" w:pos="11041"/>
            </w:tabs>
            <w:spacing w:before="14"/>
            <w:ind w:left="1952" w:hanging="289"/>
          </w:pPr>
          <w:r>
            <w:rPr>
              <w:color w:val="221F1F"/>
            </w:rPr>
            <w:t>SELF-DECLARATION</w:t>
          </w:r>
          <w:r>
            <w:rPr>
              <w:color w:val="221F1F"/>
              <w:spacing w:val="-14"/>
            </w:rPr>
            <w:t xml:space="preserve"> </w:t>
          </w:r>
          <w:r>
            <w:rPr>
              <w:color w:val="221F1F"/>
            </w:rPr>
            <w:t>FORM</w:t>
          </w:r>
          <w:r>
            <w:rPr>
              <w:color w:val="221F1F"/>
              <w:spacing w:val="-9"/>
            </w:rPr>
            <w:t xml:space="preserve"> </w:t>
          </w:r>
          <w:r>
            <w:rPr>
              <w:color w:val="221F1F"/>
            </w:rPr>
            <w:t>-</w:t>
          </w:r>
          <w:r>
            <w:rPr>
              <w:color w:val="221F1F"/>
              <w:spacing w:val="-12"/>
            </w:rPr>
            <w:t xml:space="preserve"> </w:t>
          </w:r>
          <w:r>
            <w:rPr>
              <w:color w:val="221F1F"/>
            </w:rPr>
            <w:t>SELF</w:t>
          </w:r>
          <w:r>
            <w:rPr>
              <w:color w:val="221F1F"/>
              <w:spacing w:val="-10"/>
            </w:rPr>
            <w:t xml:space="preserve"> </w:t>
          </w:r>
          <w:r>
            <w:rPr>
              <w:color w:val="221F1F"/>
            </w:rPr>
            <w:t>DECLARATION</w:t>
          </w:r>
          <w:r>
            <w:rPr>
              <w:color w:val="221F1F"/>
              <w:spacing w:val="-14"/>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spacing w:val="-2"/>
            </w:rPr>
            <w:t>TENDERER</w:t>
          </w:r>
          <w:r>
            <w:rPr>
              <w:color w:val="221F1F"/>
            </w:rPr>
            <w:tab/>
          </w:r>
          <w:r>
            <w:rPr>
              <w:color w:val="221F1F"/>
              <w:spacing w:val="-5"/>
            </w:rPr>
            <w:t>51</w:t>
          </w:r>
        </w:p>
        <w:p w:rsidR="007F6DF9" w:rsidRDefault="00A43FBC">
          <w:pPr>
            <w:pStyle w:val="TOC5"/>
            <w:numPr>
              <w:ilvl w:val="1"/>
              <w:numId w:val="240"/>
            </w:numPr>
            <w:tabs>
              <w:tab w:val="left" w:pos="1952"/>
              <w:tab w:val="right" w:leader="dot" w:pos="11041"/>
            </w:tabs>
            <w:ind w:left="1952" w:hanging="289"/>
          </w:pPr>
          <w:r>
            <w:rPr>
              <w:color w:val="221F1F"/>
            </w:rPr>
            <w:t>APPENDIX</w:t>
          </w:r>
          <w:r>
            <w:rPr>
              <w:color w:val="221F1F"/>
              <w:spacing w:val="-4"/>
            </w:rPr>
            <w:t xml:space="preserve"> </w:t>
          </w:r>
          <w:r>
            <w:rPr>
              <w:color w:val="221F1F"/>
            </w:rPr>
            <w:t>1</w:t>
          </w:r>
          <w:r>
            <w:rPr>
              <w:color w:val="221F1F"/>
              <w:spacing w:val="-1"/>
            </w:rPr>
            <w:t xml:space="preserve"> </w:t>
          </w:r>
          <w:r>
            <w:rPr>
              <w:color w:val="221F1F"/>
            </w:rPr>
            <w:t>-</w:t>
          </w:r>
          <w:r>
            <w:rPr>
              <w:color w:val="221F1F"/>
              <w:spacing w:val="48"/>
            </w:rPr>
            <w:t xml:space="preserve"> </w:t>
          </w:r>
          <w:r>
            <w:rPr>
              <w:color w:val="221F1F"/>
            </w:rPr>
            <w:t>FRAUD</w:t>
          </w:r>
          <w:r>
            <w:rPr>
              <w:color w:val="221F1F"/>
              <w:spacing w:val="-4"/>
            </w:rPr>
            <w:t xml:space="preserve"> </w:t>
          </w:r>
          <w:r>
            <w:rPr>
              <w:color w:val="221F1F"/>
            </w:rPr>
            <w:t>AND</w:t>
          </w:r>
          <w:r>
            <w:rPr>
              <w:color w:val="221F1F"/>
              <w:spacing w:val="-3"/>
            </w:rPr>
            <w:t xml:space="preserve"> </w:t>
          </w:r>
          <w:r>
            <w:rPr>
              <w:color w:val="221F1F"/>
              <w:spacing w:val="-2"/>
            </w:rPr>
            <w:t>CORRUPTION</w:t>
          </w:r>
          <w:r>
            <w:rPr>
              <w:color w:val="221F1F"/>
            </w:rPr>
            <w:tab/>
          </w:r>
          <w:r>
            <w:rPr>
              <w:color w:val="221F1F"/>
              <w:spacing w:val="-5"/>
            </w:rPr>
            <w:t>54</w:t>
          </w:r>
        </w:p>
        <w:p w:rsidR="007F6DF9" w:rsidRDefault="00A43FBC">
          <w:pPr>
            <w:pStyle w:val="TOC3"/>
            <w:numPr>
              <w:ilvl w:val="0"/>
              <w:numId w:val="240"/>
            </w:numPr>
            <w:tabs>
              <w:tab w:val="left" w:pos="1663"/>
              <w:tab w:val="right" w:leader="dot" w:pos="11041"/>
            </w:tabs>
            <w:spacing w:before="282"/>
            <w:ind w:hanging="470"/>
          </w:pPr>
          <w:r>
            <w:rPr>
              <w:color w:val="221F1F"/>
            </w:rPr>
            <w:t>FORM</w:t>
          </w:r>
          <w:r>
            <w:rPr>
              <w:color w:val="221F1F"/>
              <w:spacing w:val="-6"/>
            </w:rPr>
            <w:t xml:space="preserve"> </w:t>
          </w:r>
          <w:r>
            <w:rPr>
              <w:color w:val="221F1F"/>
            </w:rPr>
            <w:t>OF</w:t>
          </w:r>
          <w:r>
            <w:rPr>
              <w:color w:val="221F1F"/>
              <w:spacing w:val="-4"/>
            </w:rPr>
            <w:t xml:space="preserve"> </w:t>
          </w:r>
          <w:r>
            <w:rPr>
              <w:color w:val="221F1F"/>
            </w:rPr>
            <w:t>TENDER</w:t>
          </w:r>
          <w:r>
            <w:rPr>
              <w:color w:val="221F1F"/>
              <w:spacing w:val="-4"/>
            </w:rPr>
            <w:t xml:space="preserve"> </w:t>
          </w:r>
          <w:r>
            <w:rPr>
              <w:color w:val="221F1F"/>
            </w:rPr>
            <w:t>SECURITY</w:t>
          </w:r>
          <w:r>
            <w:rPr>
              <w:color w:val="221F1F"/>
              <w:spacing w:val="-4"/>
            </w:rPr>
            <w:t xml:space="preserve"> </w:t>
          </w:r>
          <w:r>
            <w:rPr>
              <w:color w:val="221F1F"/>
            </w:rPr>
            <w:t>–</w:t>
          </w:r>
          <w:r>
            <w:rPr>
              <w:color w:val="221F1F"/>
              <w:spacing w:val="-3"/>
            </w:rPr>
            <w:t xml:space="preserve"> </w:t>
          </w:r>
          <w:r>
            <w:rPr>
              <w:color w:val="221F1F"/>
            </w:rPr>
            <w:t>DEMAND</w:t>
          </w:r>
          <w:r>
            <w:rPr>
              <w:color w:val="221F1F"/>
              <w:spacing w:val="-4"/>
            </w:rPr>
            <w:t xml:space="preserve"> </w:t>
          </w:r>
          <w:r>
            <w:rPr>
              <w:color w:val="221F1F"/>
            </w:rPr>
            <w:t>BANK</w:t>
          </w:r>
          <w:r>
            <w:rPr>
              <w:color w:val="221F1F"/>
              <w:spacing w:val="-3"/>
            </w:rPr>
            <w:t xml:space="preserve"> </w:t>
          </w:r>
          <w:r>
            <w:rPr>
              <w:color w:val="221F1F"/>
              <w:spacing w:val="-2"/>
            </w:rPr>
            <w:t>GUARANTEE</w:t>
          </w:r>
          <w:r>
            <w:rPr>
              <w:color w:val="221F1F"/>
            </w:rPr>
            <w:tab/>
          </w:r>
          <w:r>
            <w:rPr>
              <w:color w:val="221F1F"/>
              <w:spacing w:val="-5"/>
            </w:rPr>
            <w:t>56</w:t>
          </w:r>
        </w:p>
        <w:p w:rsidR="007F6DF9" w:rsidRDefault="00A43FBC">
          <w:pPr>
            <w:pStyle w:val="TOC3"/>
            <w:numPr>
              <w:ilvl w:val="0"/>
              <w:numId w:val="240"/>
            </w:numPr>
            <w:tabs>
              <w:tab w:val="left" w:pos="1663"/>
              <w:tab w:val="right" w:leader="dot" w:pos="11041"/>
            </w:tabs>
            <w:ind w:hanging="470"/>
          </w:pP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7"/>
            </w:rPr>
            <w:t xml:space="preserve"> </w:t>
          </w:r>
          <w:r>
            <w:rPr>
              <w:color w:val="221F1F"/>
            </w:rPr>
            <w:t>SECURITY</w:t>
          </w:r>
          <w:r>
            <w:rPr>
              <w:color w:val="221F1F"/>
              <w:spacing w:val="-6"/>
            </w:rPr>
            <w:t xml:space="preserve"> </w:t>
          </w:r>
          <w:r>
            <w:rPr>
              <w:color w:val="221F1F"/>
            </w:rPr>
            <w:t>(INSURANCE</w:t>
          </w:r>
          <w:r>
            <w:rPr>
              <w:color w:val="221F1F"/>
              <w:spacing w:val="-5"/>
            </w:rPr>
            <w:t xml:space="preserve"> </w:t>
          </w:r>
          <w:r>
            <w:rPr>
              <w:color w:val="221F1F"/>
              <w:spacing w:val="-2"/>
            </w:rPr>
            <w:t>GUARANTEE)</w:t>
          </w:r>
          <w:r>
            <w:rPr>
              <w:color w:val="221F1F"/>
            </w:rPr>
            <w:tab/>
          </w:r>
          <w:r>
            <w:rPr>
              <w:color w:val="221F1F"/>
              <w:spacing w:val="-5"/>
            </w:rPr>
            <w:t>57</w:t>
          </w:r>
        </w:p>
        <w:p w:rsidR="007F6DF9" w:rsidRDefault="00A43FBC">
          <w:pPr>
            <w:pStyle w:val="TOC3"/>
            <w:numPr>
              <w:ilvl w:val="0"/>
              <w:numId w:val="240"/>
            </w:numPr>
            <w:tabs>
              <w:tab w:val="left" w:pos="1663"/>
              <w:tab w:val="right" w:leader="dot" w:pos="11041"/>
            </w:tabs>
            <w:ind w:hanging="470"/>
          </w:pPr>
          <w:r>
            <w:rPr>
              <w:color w:val="221F1F"/>
            </w:rPr>
            <w:t>FORM</w:t>
          </w:r>
          <w:r>
            <w:rPr>
              <w:color w:val="221F1F"/>
              <w:spacing w:val="-7"/>
            </w:rPr>
            <w:t xml:space="preserve"> </w:t>
          </w:r>
          <w:r>
            <w:rPr>
              <w:color w:val="221F1F"/>
            </w:rPr>
            <w:t>OF</w:t>
          </w:r>
          <w:r>
            <w:rPr>
              <w:color w:val="221F1F"/>
              <w:spacing w:val="-8"/>
            </w:rPr>
            <w:t xml:space="preserve"> </w:t>
          </w:r>
          <w:r>
            <w:rPr>
              <w:color w:val="221F1F"/>
            </w:rPr>
            <w:t>TENDER-SECURING</w:t>
          </w:r>
          <w:r>
            <w:rPr>
              <w:color w:val="221F1F"/>
              <w:spacing w:val="-6"/>
            </w:rPr>
            <w:t xml:space="preserve"> </w:t>
          </w:r>
          <w:r>
            <w:rPr>
              <w:color w:val="221F1F"/>
              <w:spacing w:val="-2"/>
            </w:rPr>
            <w:t>DECLARATION</w:t>
          </w:r>
          <w:r>
            <w:rPr>
              <w:color w:val="221F1F"/>
            </w:rPr>
            <w:tab/>
          </w:r>
          <w:r>
            <w:rPr>
              <w:color w:val="221F1F"/>
              <w:spacing w:val="-5"/>
            </w:rPr>
            <w:t>58</w:t>
          </w:r>
        </w:p>
        <w:p w:rsidR="007F6DF9" w:rsidRDefault="00A43FBC">
          <w:pPr>
            <w:pStyle w:val="TOC3"/>
            <w:numPr>
              <w:ilvl w:val="0"/>
              <w:numId w:val="240"/>
            </w:numPr>
            <w:tabs>
              <w:tab w:val="left" w:pos="1663"/>
              <w:tab w:val="right" w:leader="dot" w:pos="11041"/>
            </w:tabs>
            <w:ind w:hanging="470"/>
          </w:pPr>
          <w:r>
            <w:rPr>
              <w:color w:val="221F1F"/>
            </w:rPr>
            <w:t>APPENDIX</w:t>
          </w:r>
          <w:r>
            <w:rPr>
              <w:color w:val="221F1F"/>
              <w:spacing w:val="-6"/>
            </w:rPr>
            <w:t xml:space="preserve"> </w:t>
          </w:r>
          <w:r>
            <w:rPr>
              <w:color w:val="221F1F"/>
            </w:rPr>
            <w:t>TO</w:t>
          </w:r>
          <w:r>
            <w:rPr>
              <w:color w:val="221F1F"/>
              <w:spacing w:val="-6"/>
            </w:rPr>
            <w:t xml:space="preserve"> </w:t>
          </w:r>
          <w:r>
            <w:rPr>
              <w:color w:val="221F1F"/>
              <w:spacing w:val="-2"/>
            </w:rPr>
            <w:t>TENDER</w:t>
          </w:r>
          <w:r>
            <w:rPr>
              <w:color w:val="221F1F"/>
            </w:rPr>
            <w:tab/>
          </w:r>
          <w:r>
            <w:rPr>
              <w:color w:val="221F1F"/>
              <w:spacing w:val="-5"/>
            </w:rPr>
            <w:t>59</w:t>
          </w:r>
        </w:p>
      </w:sdtContent>
    </w:sdt>
    <w:p w:rsidR="007F6DF9" w:rsidRDefault="007F6DF9">
      <w:pPr>
        <w:pStyle w:val="TOC3"/>
        <w:sectPr w:rsidR="007F6DF9">
          <w:type w:val="continuous"/>
          <w:pgSz w:w="11920" w:h="16850"/>
          <w:pgMar w:top="369" w:right="0" w:bottom="227" w:left="0" w:header="0" w:footer="0" w:gutter="0"/>
          <w:cols w:space="720"/>
        </w:sectPr>
      </w:pPr>
    </w:p>
    <w:p w:rsidR="007F6DF9" w:rsidRDefault="00A43FBC">
      <w:pPr>
        <w:pStyle w:val="Heading9"/>
        <w:spacing w:before="666"/>
        <w:ind w:left="844" w:firstLine="0"/>
      </w:pPr>
      <w:r>
        <w:rPr>
          <w:noProof/>
        </w:rPr>
        <w:lastRenderedPageBreak/>
        <mc:AlternateContent>
          <mc:Choice Requires="wpg">
            <w:drawing>
              <wp:anchor distT="0" distB="0" distL="0" distR="0" simplePos="0" relativeHeight="479569408" behindDoc="1" locked="0" layoutInCell="1" allowOverlap="1">
                <wp:simplePos x="0" y="0"/>
                <wp:positionH relativeFrom="page">
                  <wp:posOffset>-1372</wp:posOffset>
                </wp:positionH>
                <wp:positionV relativeFrom="paragraph">
                  <wp:posOffset>385626</wp:posOffset>
                </wp:positionV>
                <wp:extent cx="7562850" cy="52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29590"/>
                          <a:chOff x="0" y="0"/>
                          <a:chExt cx="7562850" cy="529590"/>
                        </a:xfrm>
                      </wpg:grpSpPr>
                      <wps:wsp>
                        <wps:cNvPr id="12" name="Graphic 11"/>
                        <wps:cNvSpPr/>
                        <wps:spPr>
                          <a:xfrm>
                            <a:off x="6614897" y="21995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13" name="Graphic 12"/>
                        <wps:cNvSpPr/>
                        <wps:spPr>
                          <a:xfrm>
                            <a:off x="1372" y="21995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s:wsp>
                        <wps:cNvPr id="14" name="Graphic 13"/>
                        <wps:cNvSpPr/>
                        <wps:spPr>
                          <a:xfrm>
                            <a:off x="1371" y="1371"/>
                            <a:ext cx="944880" cy="308610"/>
                          </a:xfrm>
                          <a:custGeom>
                            <a:avLst/>
                            <a:gdLst/>
                            <a:ahLst/>
                            <a:cxnLst/>
                            <a:rect l="l" t="t" r="r" b="b"/>
                            <a:pathLst>
                              <a:path w="944880" h="308610">
                                <a:moveTo>
                                  <a:pt x="944880" y="0"/>
                                </a:moveTo>
                                <a:lnTo>
                                  <a:pt x="0" y="0"/>
                                </a:lnTo>
                                <a:lnTo>
                                  <a:pt x="0" y="308610"/>
                                </a:lnTo>
                                <a:lnTo>
                                  <a:pt x="790575" y="308610"/>
                                </a:lnTo>
                                <a:lnTo>
                                  <a:pt x="839470" y="300355"/>
                                </a:lnTo>
                                <a:lnTo>
                                  <a:pt x="881380" y="278765"/>
                                </a:lnTo>
                                <a:lnTo>
                                  <a:pt x="915035" y="245110"/>
                                </a:lnTo>
                                <a:lnTo>
                                  <a:pt x="937260" y="203200"/>
                                </a:lnTo>
                                <a:lnTo>
                                  <a:pt x="944880" y="154305"/>
                                </a:lnTo>
                                <a:lnTo>
                                  <a:pt x="944880" y="0"/>
                                </a:lnTo>
                                <a:close/>
                              </a:path>
                            </a:pathLst>
                          </a:custGeom>
                          <a:solidFill>
                            <a:srgbClr val="00A650"/>
                          </a:solidFill>
                        </wps:spPr>
                        <wps:bodyPr wrap="square" lIns="0" tIns="0" rIns="0" bIns="0" rtlCol="0">
                          <a:prstTxWarp prst="textNoShape">
                            <a:avLst/>
                          </a:prstTxWarp>
                          <a:noAutofit/>
                        </wps:bodyPr>
                      </wps:wsp>
                      <wps:wsp>
                        <wps:cNvPr id="15" name="Graphic 14"/>
                        <wps:cNvSpPr/>
                        <wps:spPr>
                          <a:xfrm>
                            <a:off x="1371" y="1371"/>
                            <a:ext cx="7560309" cy="308610"/>
                          </a:xfrm>
                          <a:custGeom>
                            <a:avLst/>
                            <a:gdLst/>
                            <a:ahLst/>
                            <a:cxnLst/>
                            <a:rect l="l" t="t" r="r" b="b"/>
                            <a:pathLst>
                              <a:path w="7560309" h="308610">
                                <a:moveTo>
                                  <a:pt x="944880" y="0"/>
                                </a:moveTo>
                                <a:lnTo>
                                  <a:pt x="0" y="0"/>
                                </a:lnTo>
                                <a:lnTo>
                                  <a:pt x="0" y="308610"/>
                                </a:lnTo>
                                <a:lnTo>
                                  <a:pt x="790575" y="308610"/>
                                </a:lnTo>
                                <a:lnTo>
                                  <a:pt x="839470" y="300355"/>
                                </a:lnTo>
                                <a:lnTo>
                                  <a:pt x="881380" y="278765"/>
                                </a:lnTo>
                                <a:lnTo>
                                  <a:pt x="915035" y="245110"/>
                                </a:lnTo>
                                <a:lnTo>
                                  <a:pt x="937260" y="203200"/>
                                </a:lnTo>
                                <a:lnTo>
                                  <a:pt x="944880" y="154305"/>
                                </a:lnTo>
                                <a:lnTo>
                                  <a:pt x="944880" y="0"/>
                                </a:lnTo>
                              </a:path>
                              <a:path w="7560309" h="308610">
                                <a:moveTo>
                                  <a:pt x="0" y="0"/>
                                </a:moveTo>
                                <a:lnTo>
                                  <a:pt x="7560310" y="0"/>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36744378" id="Group 10" o:spid="_x0000_s1026" style="position:absolute;margin-left:-.1pt;margin-top:30.35pt;width:595.5pt;height:41.7pt;z-index:-23747072;mso-wrap-distance-left:0;mso-wrap-distance-right:0;mso-position-horizontal-relative:page" coordsize="75628,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">
                <v:shape id="Graphic 11" o:spid="_x0000_s1027" style="position:absolute;left:66148;top:2199;width:9462;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" path="m946150,l,,,153670r7620,48895l29845,245110r33020,33020l105409,300355r48261,7620l946150,307975,946150,xe" fillcolor="#011f5e" stroked="f">
                  <v:path arrowok="t"/>
                </v:shape>
                <v:shape id="Graphic 12" o:spid="_x0000_s1028" style="position:absolute;left:13;top:2199;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" path="m6613525,r946150,l7559675,307975r-792480,l6718934,300355r-42544,-22225l6643370,245110r-22225,-42545l6613525,153670,6613525,em,635r7560309,e" filled="f" strokecolor="#011f5e" strokeweight=".07617mm">
                  <v:path arrowok="t"/>
                </v:shape>
                <v:shape id="Graphic 13" o:spid="_x0000_s1029" style="position:absolute;left:13;top:13;width:9449;height:3086;visibility:visible;mso-wrap-style:square;v-text-anchor:top" coordsize="94488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" path="m944880,l,,,308610r790575,l839470,300355r41910,-21590l915035,245110r22225,-41910l944880,154305,944880,xe" fillcolor="#00a650" stroked="f">
                  <v:path arrowok="t"/>
                </v:shape>
                <v:shape id="Graphic 14" o:spid="_x0000_s1030" style="position:absolute;left:13;top:13;width:75603;height:3086;visibility:visible;mso-wrap-style:square;v-text-anchor:top" coordsize="7560309,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" path="m944880,l,,,308610r790575,l839470,300355r41910,-21590l915035,245110r22225,-41910l944880,154305,944880,em,l7560310,e" filled="f" strokecolor="#00a650" strokeweight=".07617mm">
                  <v:path arrowok="t"/>
                </v:shape>
                <w10:wrap anchorx="page"/>
              </v:group>
            </w:pict>
          </mc:Fallback>
        </mc:AlternateContent>
      </w:r>
      <w:r>
        <w:rPr>
          <w:color w:val="221F1F"/>
          <w:spacing w:val="-5"/>
        </w:rPr>
        <w:t>ii</w:t>
      </w:r>
    </w:p>
    <w:p w:rsidR="007F6DF9" w:rsidRDefault="00A43FBC">
      <w:pPr>
        <w:spacing w:before="71"/>
        <w:ind w:right="970"/>
        <w:jc w:val="right"/>
        <w:rPr>
          <w:rFonts w:ascii="Segoe UI"/>
          <w:sz w:val="23"/>
        </w:rPr>
      </w:pPr>
      <w:proofErr w:type="spellStart"/>
      <w:r>
        <w:rPr>
          <w:spacing w:val="-2"/>
        </w:rPr>
        <w:t>ii</w:t>
      </w:r>
      <w:r>
        <w:rPr>
          <w:rFonts w:ascii="Segoe UI"/>
          <w:color w:val="FFFFFF"/>
          <w:spacing w:val="-2"/>
          <w:sz w:val="23"/>
        </w:rPr>
        <w:t>iii</w:t>
      </w:r>
      <w:proofErr w:type="spellEnd"/>
    </w:p>
    <w:p w:rsidR="007F6DF9" w:rsidRDefault="007F6DF9">
      <w:pPr>
        <w:jc w:val="right"/>
        <w:rPr>
          <w:rFonts w:ascii="Segoe UI"/>
          <w:sz w:val="23"/>
        </w:rPr>
        <w:sectPr w:rsidR="007F6DF9">
          <w:type w:val="continuous"/>
          <w:pgSz w:w="11920" w:h="16850"/>
          <w:pgMar w:top="360" w:right="0" w:bottom="0" w:left="0" w:header="0" w:footer="0" w:gutter="0"/>
          <w:cols w:space="720"/>
        </w:sectPr>
      </w:pPr>
    </w:p>
    <w:p w:rsidR="007F6DF9" w:rsidRDefault="007F6DF9">
      <w:pPr>
        <w:pStyle w:val="BodyText"/>
        <w:rPr>
          <w:rFonts w:ascii="Segoe UI"/>
        </w:rPr>
      </w:pPr>
    </w:p>
    <w:p w:rsidR="007F6DF9" w:rsidRDefault="007F6DF9">
      <w:pPr>
        <w:pStyle w:val="BodyText"/>
        <w:rPr>
          <w:rFonts w:ascii="Segoe UI"/>
        </w:rPr>
      </w:pPr>
    </w:p>
    <w:p w:rsidR="007F6DF9" w:rsidRDefault="007F6DF9">
      <w:pPr>
        <w:pStyle w:val="BodyText"/>
        <w:rPr>
          <w:rFonts w:ascii="Segoe UI"/>
        </w:rPr>
      </w:pPr>
    </w:p>
    <w:p w:rsidR="007F6DF9" w:rsidRDefault="007F6DF9">
      <w:pPr>
        <w:pStyle w:val="BodyText"/>
        <w:spacing w:before="67"/>
        <w:rPr>
          <w:rFonts w:ascii="Segoe UI"/>
        </w:rPr>
      </w:pPr>
    </w:p>
    <w:p w:rsidR="007F6DF9" w:rsidRDefault="00A43FBC">
      <w:pPr>
        <w:tabs>
          <w:tab w:val="left" w:leader="dot" w:pos="10813"/>
        </w:tabs>
        <w:ind w:left="844"/>
        <w:rPr>
          <w:b/>
        </w:rPr>
      </w:pPr>
      <w:r>
        <w:rPr>
          <w:b/>
          <w:color w:val="221F1F"/>
        </w:rPr>
        <w:t>SECTION</w:t>
      </w:r>
      <w:r>
        <w:rPr>
          <w:b/>
          <w:color w:val="221F1F"/>
          <w:spacing w:val="-3"/>
        </w:rPr>
        <w:t xml:space="preserve"> </w:t>
      </w:r>
      <w:r>
        <w:rPr>
          <w:b/>
          <w:color w:val="221F1F"/>
        </w:rPr>
        <w:t>V</w:t>
      </w:r>
      <w:r>
        <w:rPr>
          <w:b/>
          <w:color w:val="221F1F"/>
          <w:spacing w:val="1"/>
        </w:rPr>
        <w:t xml:space="preserve"> </w:t>
      </w:r>
      <w:r>
        <w:rPr>
          <w:b/>
          <w:color w:val="221F1F"/>
        </w:rPr>
        <w:t>–</w:t>
      </w:r>
      <w:r>
        <w:rPr>
          <w:b/>
          <w:color w:val="221F1F"/>
          <w:spacing w:val="-4"/>
        </w:rPr>
        <w:t xml:space="preserve"> </w:t>
      </w:r>
      <w:r>
        <w:rPr>
          <w:b/>
          <w:color w:val="221F1F"/>
        </w:rPr>
        <w:t>BILLS</w:t>
      </w:r>
      <w:r>
        <w:rPr>
          <w:b/>
          <w:color w:val="221F1F"/>
          <w:spacing w:val="-2"/>
        </w:rPr>
        <w:t xml:space="preserve"> </w:t>
      </w:r>
      <w:r>
        <w:rPr>
          <w:b/>
          <w:color w:val="221F1F"/>
        </w:rPr>
        <w:t>OF</w:t>
      </w:r>
      <w:r>
        <w:rPr>
          <w:b/>
          <w:color w:val="221F1F"/>
          <w:spacing w:val="-4"/>
        </w:rPr>
        <w:t xml:space="preserve"> </w:t>
      </w:r>
      <w:r>
        <w:rPr>
          <w:b/>
          <w:color w:val="221F1F"/>
          <w:spacing w:val="-2"/>
        </w:rPr>
        <w:t>QUANTITIES</w:t>
      </w:r>
      <w:r>
        <w:rPr>
          <w:b/>
          <w:color w:val="221F1F"/>
        </w:rPr>
        <w:tab/>
      </w:r>
      <w:r>
        <w:rPr>
          <w:b/>
          <w:color w:val="221F1F"/>
          <w:spacing w:val="-5"/>
        </w:rPr>
        <w:t>60</w:t>
      </w:r>
    </w:p>
    <w:p w:rsidR="007F6DF9" w:rsidRDefault="00A43FBC">
      <w:pPr>
        <w:pStyle w:val="ListParagraph"/>
        <w:numPr>
          <w:ilvl w:val="0"/>
          <w:numId w:val="239"/>
        </w:numPr>
        <w:tabs>
          <w:tab w:val="left" w:pos="1656"/>
          <w:tab w:val="right" w:leader="dot" w:pos="11034"/>
        </w:tabs>
        <w:spacing w:before="18"/>
      </w:pPr>
      <w:r>
        <w:rPr>
          <w:color w:val="221F1F"/>
          <w:spacing w:val="-2"/>
        </w:rPr>
        <w:t>PREAMBLES</w:t>
      </w:r>
      <w:r>
        <w:rPr>
          <w:color w:val="221F1F"/>
        </w:rPr>
        <w:tab/>
      </w:r>
      <w:r>
        <w:rPr>
          <w:color w:val="221F1F"/>
          <w:spacing w:val="-5"/>
        </w:rPr>
        <w:t>63</w:t>
      </w:r>
    </w:p>
    <w:p w:rsidR="007F6DF9" w:rsidRDefault="00A43FBC">
      <w:pPr>
        <w:pStyle w:val="ListParagraph"/>
        <w:numPr>
          <w:ilvl w:val="0"/>
          <w:numId w:val="239"/>
        </w:numPr>
        <w:tabs>
          <w:tab w:val="left" w:pos="1656"/>
          <w:tab w:val="right" w:leader="dot" w:pos="11034"/>
        </w:tabs>
        <w:spacing w:before="14"/>
      </w:pPr>
      <w:r>
        <w:rPr>
          <w:color w:val="221F1F"/>
        </w:rPr>
        <w:t>Bill</w:t>
      </w:r>
      <w:r>
        <w:rPr>
          <w:color w:val="221F1F"/>
          <w:spacing w:val="-7"/>
        </w:rPr>
        <w:t xml:space="preserve"> </w:t>
      </w:r>
      <w:r>
        <w:rPr>
          <w:color w:val="221F1F"/>
        </w:rPr>
        <w:t>No.</w:t>
      </w:r>
      <w:r>
        <w:rPr>
          <w:color w:val="221F1F"/>
          <w:spacing w:val="-2"/>
        </w:rPr>
        <w:t xml:space="preserve"> </w:t>
      </w:r>
      <w:r>
        <w:rPr>
          <w:color w:val="221F1F"/>
        </w:rPr>
        <w:t>1</w:t>
      </w:r>
      <w:r>
        <w:rPr>
          <w:color w:val="221F1F"/>
          <w:spacing w:val="-3"/>
        </w:rPr>
        <w:t xml:space="preserve"> </w:t>
      </w:r>
      <w:r>
        <w:rPr>
          <w:color w:val="221F1F"/>
        </w:rPr>
        <w:t>–</w:t>
      </w:r>
      <w:r>
        <w:rPr>
          <w:color w:val="221F1F"/>
          <w:spacing w:val="-2"/>
        </w:rPr>
        <w:t xml:space="preserve"> </w:t>
      </w:r>
      <w:r>
        <w:rPr>
          <w:color w:val="221F1F"/>
        </w:rPr>
        <w:t>Preliminary</w:t>
      </w:r>
      <w:r>
        <w:rPr>
          <w:color w:val="221F1F"/>
          <w:spacing w:val="-2"/>
        </w:rPr>
        <w:t xml:space="preserve"> Items</w:t>
      </w:r>
      <w:r>
        <w:rPr>
          <w:color w:val="221F1F"/>
        </w:rPr>
        <w:tab/>
      </w:r>
      <w:r>
        <w:rPr>
          <w:color w:val="221F1F"/>
          <w:spacing w:val="-5"/>
        </w:rPr>
        <w:t>67</w:t>
      </w:r>
    </w:p>
    <w:p w:rsidR="007F6DF9" w:rsidRDefault="00A43FBC">
      <w:pPr>
        <w:pStyle w:val="ListParagraph"/>
        <w:numPr>
          <w:ilvl w:val="0"/>
          <w:numId w:val="239"/>
        </w:numPr>
        <w:tabs>
          <w:tab w:val="left" w:pos="1656"/>
          <w:tab w:val="left" w:leader="dot" w:pos="10813"/>
        </w:tabs>
        <w:spacing w:before="16"/>
      </w:pPr>
      <w:r>
        <w:rPr>
          <w:color w:val="221F1F"/>
        </w:rPr>
        <w:t>Bill</w:t>
      </w:r>
      <w:r>
        <w:rPr>
          <w:color w:val="221F1F"/>
          <w:spacing w:val="-9"/>
        </w:rPr>
        <w:t xml:space="preserve"> </w:t>
      </w:r>
      <w:r>
        <w:rPr>
          <w:color w:val="221F1F"/>
        </w:rPr>
        <w:t>No.</w:t>
      </w:r>
      <w:r>
        <w:rPr>
          <w:color w:val="221F1F"/>
          <w:spacing w:val="-6"/>
        </w:rPr>
        <w:t xml:space="preserve"> </w:t>
      </w:r>
      <w:r>
        <w:rPr>
          <w:color w:val="221F1F"/>
        </w:rPr>
        <w:t>2:</w:t>
      </w:r>
      <w:r>
        <w:rPr>
          <w:color w:val="221F1F"/>
          <w:spacing w:val="-6"/>
        </w:rPr>
        <w:t xml:space="preserve"> </w:t>
      </w:r>
      <w:r>
        <w:rPr>
          <w:color w:val="221F1F"/>
        </w:rPr>
        <w:t>Work</w:t>
      </w:r>
      <w:r>
        <w:rPr>
          <w:color w:val="221F1F"/>
          <w:spacing w:val="-9"/>
        </w:rPr>
        <w:t xml:space="preserve"> </w:t>
      </w:r>
      <w:r>
        <w:rPr>
          <w:color w:val="221F1F"/>
          <w:spacing w:val="-4"/>
        </w:rPr>
        <w:t>Items</w:t>
      </w:r>
      <w:r>
        <w:rPr>
          <w:color w:val="221F1F"/>
        </w:rPr>
        <w:tab/>
      </w:r>
      <w:r>
        <w:rPr>
          <w:color w:val="221F1F"/>
          <w:spacing w:val="-5"/>
        </w:rPr>
        <w:t>38</w:t>
      </w:r>
    </w:p>
    <w:p w:rsidR="007F6DF9" w:rsidRDefault="00A43FBC">
      <w:pPr>
        <w:pStyle w:val="ListParagraph"/>
        <w:numPr>
          <w:ilvl w:val="0"/>
          <w:numId w:val="239"/>
        </w:numPr>
        <w:tabs>
          <w:tab w:val="left" w:pos="1656"/>
          <w:tab w:val="right" w:leader="dot" w:pos="11034"/>
        </w:tabs>
        <w:spacing w:before="16"/>
      </w:pPr>
      <w:r>
        <w:rPr>
          <w:color w:val="221F1F"/>
        </w:rPr>
        <w:t>Bill</w:t>
      </w:r>
      <w:r>
        <w:rPr>
          <w:color w:val="221F1F"/>
          <w:spacing w:val="-4"/>
        </w:rPr>
        <w:t xml:space="preserve"> </w:t>
      </w:r>
      <w:r>
        <w:rPr>
          <w:color w:val="221F1F"/>
        </w:rPr>
        <w:t>No.</w:t>
      </w:r>
      <w:r>
        <w:rPr>
          <w:color w:val="221F1F"/>
          <w:spacing w:val="-2"/>
        </w:rPr>
        <w:t xml:space="preserve"> </w:t>
      </w:r>
      <w:r>
        <w:rPr>
          <w:color w:val="221F1F"/>
        </w:rPr>
        <w:t>3:</w:t>
      </w:r>
      <w:r>
        <w:rPr>
          <w:color w:val="221F1F"/>
          <w:spacing w:val="50"/>
        </w:rPr>
        <w:t xml:space="preserve"> </w:t>
      </w:r>
      <w:r>
        <w:rPr>
          <w:color w:val="221F1F"/>
        </w:rPr>
        <w:t>Schedule</w:t>
      </w:r>
      <w:r>
        <w:rPr>
          <w:color w:val="221F1F"/>
          <w:spacing w:val="-3"/>
        </w:rPr>
        <w:t xml:space="preserve"> </w:t>
      </w:r>
      <w:r>
        <w:rPr>
          <w:color w:val="221F1F"/>
        </w:rPr>
        <w:t>of</w:t>
      </w:r>
      <w:r>
        <w:rPr>
          <w:color w:val="221F1F"/>
          <w:spacing w:val="-2"/>
        </w:rPr>
        <w:t xml:space="preserve"> </w:t>
      </w:r>
      <w:proofErr w:type="spellStart"/>
      <w:r>
        <w:rPr>
          <w:color w:val="221F1F"/>
        </w:rPr>
        <w:t>Daywork</w:t>
      </w:r>
      <w:proofErr w:type="spellEnd"/>
      <w:r>
        <w:rPr>
          <w:color w:val="221F1F"/>
          <w:spacing w:val="-1"/>
        </w:rPr>
        <w:t xml:space="preserve"> </w:t>
      </w:r>
      <w:r>
        <w:rPr>
          <w:color w:val="221F1F"/>
        </w:rPr>
        <w:t>Rates -</w:t>
      </w:r>
      <w:r>
        <w:rPr>
          <w:color w:val="221F1F"/>
          <w:spacing w:val="-3"/>
        </w:rPr>
        <w:t xml:space="preserve"> </w:t>
      </w:r>
      <w:proofErr w:type="spellStart"/>
      <w:r>
        <w:rPr>
          <w:color w:val="221F1F"/>
          <w:spacing w:val="-2"/>
        </w:rPr>
        <w:t>Labour</w:t>
      </w:r>
      <w:proofErr w:type="spellEnd"/>
      <w:r>
        <w:rPr>
          <w:color w:val="221F1F"/>
        </w:rPr>
        <w:tab/>
      </w:r>
      <w:r>
        <w:rPr>
          <w:color w:val="221F1F"/>
          <w:spacing w:val="-5"/>
        </w:rPr>
        <w:t>69</w:t>
      </w:r>
    </w:p>
    <w:p w:rsidR="007F6DF9" w:rsidRDefault="00A43FBC">
      <w:pPr>
        <w:pStyle w:val="ListParagraph"/>
        <w:numPr>
          <w:ilvl w:val="0"/>
          <w:numId w:val="239"/>
        </w:numPr>
        <w:tabs>
          <w:tab w:val="left" w:pos="1656"/>
          <w:tab w:val="right" w:leader="dot" w:pos="11034"/>
        </w:tabs>
        <w:spacing w:before="13"/>
      </w:pPr>
      <w:r>
        <w:rPr>
          <w:color w:val="221F1F"/>
        </w:rPr>
        <w:t>Bill</w:t>
      </w:r>
      <w:r>
        <w:rPr>
          <w:color w:val="221F1F"/>
          <w:spacing w:val="-4"/>
        </w:rPr>
        <w:t xml:space="preserve"> </w:t>
      </w:r>
      <w:r>
        <w:rPr>
          <w:color w:val="221F1F"/>
        </w:rPr>
        <w:t>No.</w:t>
      </w:r>
      <w:r>
        <w:rPr>
          <w:color w:val="221F1F"/>
          <w:spacing w:val="-2"/>
        </w:rPr>
        <w:t xml:space="preserve"> </w:t>
      </w:r>
      <w:r>
        <w:rPr>
          <w:color w:val="221F1F"/>
        </w:rPr>
        <w:t>3:</w:t>
      </w:r>
      <w:r>
        <w:rPr>
          <w:color w:val="221F1F"/>
          <w:spacing w:val="50"/>
        </w:rPr>
        <w:t xml:space="preserve"> </w:t>
      </w:r>
      <w:r>
        <w:rPr>
          <w:color w:val="221F1F"/>
        </w:rPr>
        <w:t>Schedule</w:t>
      </w:r>
      <w:r>
        <w:rPr>
          <w:color w:val="221F1F"/>
          <w:spacing w:val="-3"/>
        </w:rPr>
        <w:t xml:space="preserve"> </w:t>
      </w:r>
      <w:r>
        <w:rPr>
          <w:color w:val="221F1F"/>
        </w:rPr>
        <w:t>of</w:t>
      </w:r>
      <w:r>
        <w:rPr>
          <w:color w:val="221F1F"/>
          <w:spacing w:val="-2"/>
        </w:rPr>
        <w:t xml:space="preserve"> </w:t>
      </w:r>
      <w:proofErr w:type="spellStart"/>
      <w:r>
        <w:rPr>
          <w:color w:val="221F1F"/>
        </w:rPr>
        <w:t>Daywork</w:t>
      </w:r>
      <w:proofErr w:type="spellEnd"/>
      <w:r>
        <w:rPr>
          <w:color w:val="221F1F"/>
          <w:spacing w:val="-1"/>
        </w:rPr>
        <w:t xml:space="preserve"> </w:t>
      </w:r>
      <w:r>
        <w:rPr>
          <w:color w:val="221F1F"/>
        </w:rPr>
        <w:t>Rates -</w:t>
      </w:r>
      <w:r>
        <w:rPr>
          <w:color w:val="221F1F"/>
          <w:spacing w:val="-3"/>
        </w:rPr>
        <w:t xml:space="preserve"> </w:t>
      </w:r>
      <w:r>
        <w:rPr>
          <w:color w:val="221F1F"/>
          <w:spacing w:val="-2"/>
        </w:rPr>
        <w:t>Materials</w:t>
      </w:r>
      <w:r>
        <w:rPr>
          <w:color w:val="221F1F"/>
        </w:rPr>
        <w:tab/>
      </w:r>
      <w:r>
        <w:rPr>
          <w:color w:val="221F1F"/>
          <w:spacing w:val="-5"/>
        </w:rPr>
        <w:t>70</w:t>
      </w:r>
    </w:p>
    <w:p w:rsidR="007F6DF9" w:rsidRDefault="00A43FBC">
      <w:pPr>
        <w:pStyle w:val="ListParagraph"/>
        <w:numPr>
          <w:ilvl w:val="0"/>
          <w:numId w:val="239"/>
        </w:numPr>
        <w:tabs>
          <w:tab w:val="left" w:pos="1656"/>
          <w:tab w:val="right" w:leader="dot" w:pos="11034"/>
        </w:tabs>
        <w:spacing w:before="16"/>
      </w:pPr>
      <w:r>
        <w:rPr>
          <w:color w:val="221F1F"/>
        </w:rPr>
        <w:t>Bill</w:t>
      </w:r>
      <w:r>
        <w:rPr>
          <w:color w:val="221F1F"/>
          <w:spacing w:val="-5"/>
        </w:rPr>
        <w:t xml:space="preserve"> </w:t>
      </w:r>
      <w:r>
        <w:rPr>
          <w:color w:val="221F1F"/>
        </w:rPr>
        <w:t>No.</w:t>
      </w:r>
      <w:r>
        <w:rPr>
          <w:color w:val="221F1F"/>
          <w:spacing w:val="-2"/>
        </w:rPr>
        <w:t xml:space="preserve"> </w:t>
      </w:r>
      <w:r>
        <w:rPr>
          <w:color w:val="221F1F"/>
        </w:rPr>
        <w:t>3:</w:t>
      </w:r>
      <w:r>
        <w:rPr>
          <w:color w:val="221F1F"/>
          <w:spacing w:val="48"/>
        </w:rPr>
        <w:t xml:space="preserve"> </w:t>
      </w:r>
      <w:r>
        <w:rPr>
          <w:color w:val="221F1F"/>
        </w:rPr>
        <w:t>Schedule</w:t>
      </w:r>
      <w:r>
        <w:rPr>
          <w:color w:val="221F1F"/>
          <w:spacing w:val="-4"/>
        </w:rPr>
        <w:t xml:space="preserve"> </w:t>
      </w:r>
      <w:r>
        <w:rPr>
          <w:color w:val="221F1F"/>
        </w:rPr>
        <w:t>of</w:t>
      </w:r>
      <w:r>
        <w:rPr>
          <w:color w:val="221F1F"/>
          <w:spacing w:val="-3"/>
        </w:rPr>
        <w:t xml:space="preserve"> </w:t>
      </w:r>
      <w:proofErr w:type="spellStart"/>
      <w:r>
        <w:rPr>
          <w:color w:val="221F1F"/>
        </w:rPr>
        <w:t>Daywork</w:t>
      </w:r>
      <w:proofErr w:type="spellEnd"/>
      <w:r>
        <w:rPr>
          <w:color w:val="221F1F"/>
          <w:spacing w:val="-2"/>
        </w:rPr>
        <w:t xml:space="preserve"> </w:t>
      </w:r>
      <w:r>
        <w:rPr>
          <w:color w:val="221F1F"/>
        </w:rPr>
        <w:t>Rates</w:t>
      </w:r>
      <w:r>
        <w:rPr>
          <w:color w:val="221F1F"/>
          <w:spacing w:val="-1"/>
        </w:rPr>
        <w:t xml:space="preserve"> </w:t>
      </w:r>
      <w:r>
        <w:rPr>
          <w:color w:val="221F1F"/>
        </w:rPr>
        <w:t>-</w:t>
      </w:r>
      <w:r>
        <w:rPr>
          <w:color w:val="221F1F"/>
          <w:spacing w:val="-4"/>
        </w:rPr>
        <w:t xml:space="preserve"> </w:t>
      </w:r>
      <w:r>
        <w:rPr>
          <w:color w:val="221F1F"/>
        </w:rPr>
        <w:t>Contractor's</w:t>
      </w:r>
      <w:r>
        <w:rPr>
          <w:color w:val="221F1F"/>
          <w:spacing w:val="-4"/>
        </w:rPr>
        <w:t xml:space="preserve"> </w:t>
      </w:r>
      <w:r>
        <w:rPr>
          <w:color w:val="221F1F"/>
          <w:spacing w:val="-2"/>
        </w:rPr>
        <w:t>Equipment</w:t>
      </w:r>
      <w:r>
        <w:rPr>
          <w:color w:val="221F1F"/>
        </w:rPr>
        <w:tab/>
      </w:r>
      <w:r>
        <w:rPr>
          <w:color w:val="221F1F"/>
          <w:spacing w:val="-5"/>
        </w:rPr>
        <w:t>71</w:t>
      </w:r>
    </w:p>
    <w:p w:rsidR="007F6DF9" w:rsidRDefault="00A43FBC">
      <w:pPr>
        <w:pStyle w:val="ListParagraph"/>
        <w:numPr>
          <w:ilvl w:val="0"/>
          <w:numId w:val="239"/>
        </w:numPr>
        <w:tabs>
          <w:tab w:val="left" w:pos="1656"/>
          <w:tab w:val="right" w:leader="dot" w:pos="11034"/>
        </w:tabs>
        <w:spacing w:before="16"/>
      </w:pPr>
      <w:r>
        <w:rPr>
          <w:color w:val="221F1F"/>
        </w:rPr>
        <w:t>Bill</w:t>
      </w:r>
      <w:r>
        <w:rPr>
          <w:color w:val="221F1F"/>
          <w:spacing w:val="-3"/>
        </w:rPr>
        <w:t xml:space="preserve"> </w:t>
      </w:r>
      <w:r>
        <w:rPr>
          <w:color w:val="221F1F"/>
        </w:rPr>
        <w:t>No.</w:t>
      </w:r>
      <w:r>
        <w:rPr>
          <w:color w:val="221F1F"/>
          <w:spacing w:val="-1"/>
        </w:rPr>
        <w:t xml:space="preserve"> </w:t>
      </w:r>
      <w:r>
        <w:rPr>
          <w:color w:val="221F1F"/>
        </w:rPr>
        <w:t>3:</w:t>
      </w:r>
      <w:r>
        <w:rPr>
          <w:color w:val="221F1F"/>
          <w:spacing w:val="51"/>
        </w:rPr>
        <w:t xml:space="preserve"> </w:t>
      </w:r>
      <w:proofErr w:type="spellStart"/>
      <w:r>
        <w:rPr>
          <w:color w:val="221F1F"/>
        </w:rPr>
        <w:t>Daywork</w:t>
      </w:r>
      <w:proofErr w:type="spellEnd"/>
      <w:r>
        <w:rPr>
          <w:color w:val="221F1F"/>
          <w:spacing w:val="-1"/>
        </w:rPr>
        <w:t xml:space="preserve"> </w:t>
      </w:r>
      <w:r>
        <w:rPr>
          <w:color w:val="221F1F"/>
          <w:spacing w:val="-2"/>
        </w:rPr>
        <w:t>Summary</w:t>
      </w:r>
      <w:r>
        <w:rPr>
          <w:color w:val="221F1F"/>
        </w:rPr>
        <w:tab/>
      </w:r>
      <w:r>
        <w:rPr>
          <w:color w:val="221F1F"/>
          <w:spacing w:val="-5"/>
        </w:rPr>
        <w:t>71</w:t>
      </w:r>
    </w:p>
    <w:p w:rsidR="007F6DF9" w:rsidRDefault="00A43FBC">
      <w:pPr>
        <w:pStyle w:val="ListParagraph"/>
        <w:numPr>
          <w:ilvl w:val="0"/>
          <w:numId w:val="239"/>
        </w:numPr>
        <w:tabs>
          <w:tab w:val="left" w:pos="1656"/>
          <w:tab w:val="right" w:leader="dot" w:pos="11034"/>
        </w:tabs>
        <w:spacing w:before="13"/>
      </w:pPr>
      <w:r>
        <w:rPr>
          <w:color w:val="221F1F"/>
        </w:rPr>
        <w:t>Bill</w:t>
      </w:r>
      <w:r>
        <w:rPr>
          <w:color w:val="221F1F"/>
          <w:spacing w:val="-8"/>
        </w:rPr>
        <w:t xml:space="preserve"> </w:t>
      </w:r>
      <w:r>
        <w:rPr>
          <w:color w:val="221F1F"/>
        </w:rPr>
        <w:t>No.</w:t>
      </w:r>
      <w:r>
        <w:rPr>
          <w:color w:val="221F1F"/>
          <w:spacing w:val="-3"/>
        </w:rPr>
        <w:t xml:space="preserve"> </w:t>
      </w:r>
      <w:r>
        <w:rPr>
          <w:color w:val="221F1F"/>
        </w:rPr>
        <w:t>4:</w:t>
      </w:r>
      <w:r>
        <w:rPr>
          <w:color w:val="221F1F"/>
          <w:spacing w:val="-2"/>
        </w:rPr>
        <w:t xml:space="preserve"> </w:t>
      </w:r>
      <w:r>
        <w:rPr>
          <w:color w:val="221F1F"/>
        </w:rPr>
        <w:t>Provisional</w:t>
      </w:r>
      <w:r>
        <w:rPr>
          <w:color w:val="221F1F"/>
          <w:spacing w:val="-2"/>
        </w:rPr>
        <w:t xml:space="preserve"> </w:t>
      </w:r>
      <w:r>
        <w:rPr>
          <w:color w:val="221F1F"/>
          <w:spacing w:val="-4"/>
        </w:rPr>
        <w:t>Sums</w:t>
      </w:r>
      <w:r>
        <w:rPr>
          <w:color w:val="221F1F"/>
        </w:rPr>
        <w:tab/>
      </w:r>
      <w:r>
        <w:rPr>
          <w:color w:val="221F1F"/>
          <w:spacing w:val="-5"/>
        </w:rPr>
        <w:t>72</w:t>
      </w:r>
    </w:p>
    <w:p w:rsidR="007F6DF9" w:rsidRDefault="00A43FBC">
      <w:pPr>
        <w:pStyle w:val="ListParagraph"/>
        <w:numPr>
          <w:ilvl w:val="0"/>
          <w:numId w:val="239"/>
        </w:numPr>
        <w:tabs>
          <w:tab w:val="left" w:pos="1656"/>
          <w:tab w:val="right" w:leader="dot" w:pos="11034"/>
        </w:tabs>
        <w:spacing w:before="16"/>
      </w:pPr>
      <w:r>
        <w:rPr>
          <w:color w:val="221F1F"/>
        </w:rPr>
        <w:t>GRAND</w:t>
      </w:r>
      <w:r>
        <w:rPr>
          <w:color w:val="221F1F"/>
          <w:spacing w:val="-9"/>
        </w:rPr>
        <w:t xml:space="preserve"> </w:t>
      </w:r>
      <w:r>
        <w:rPr>
          <w:color w:val="221F1F"/>
          <w:spacing w:val="-2"/>
        </w:rPr>
        <w:t>SUMMARY</w:t>
      </w:r>
      <w:r>
        <w:rPr>
          <w:color w:val="221F1F"/>
        </w:rPr>
        <w:tab/>
      </w:r>
      <w:r>
        <w:rPr>
          <w:color w:val="221F1F"/>
          <w:spacing w:val="-5"/>
        </w:rPr>
        <w:t>72</w:t>
      </w:r>
    </w:p>
    <w:p w:rsidR="007F6DF9" w:rsidRDefault="00A43FBC">
      <w:pPr>
        <w:pStyle w:val="Heading8"/>
        <w:tabs>
          <w:tab w:val="right" w:leader="dot" w:pos="11034"/>
        </w:tabs>
        <w:spacing w:before="282"/>
        <w:ind w:left="844"/>
        <w:rPr>
          <w:b w:val="0"/>
        </w:rPr>
      </w:pPr>
      <w:r>
        <w:rPr>
          <w:color w:val="221F1F"/>
        </w:rPr>
        <w:t>SECTION</w:t>
      </w:r>
      <w:r>
        <w:rPr>
          <w:color w:val="221F1F"/>
          <w:spacing w:val="-3"/>
        </w:rPr>
        <w:t xml:space="preserve"> </w:t>
      </w:r>
      <w:r>
        <w:rPr>
          <w:color w:val="221F1F"/>
        </w:rPr>
        <w:t>VI</w:t>
      </w:r>
      <w:r>
        <w:rPr>
          <w:color w:val="221F1F"/>
          <w:spacing w:val="-2"/>
        </w:rPr>
        <w:t xml:space="preserve"> </w:t>
      </w:r>
      <w:r>
        <w:rPr>
          <w:color w:val="221F1F"/>
        </w:rPr>
        <w:t xml:space="preserve">- </w:t>
      </w:r>
      <w:r>
        <w:rPr>
          <w:color w:val="221F1F"/>
          <w:spacing w:val="-2"/>
        </w:rPr>
        <w:t>SPECIFICATIONS</w:t>
      </w:r>
      <w:r>
        <w:rPr>
          <w:color w:val="221F1F"/>
        </w:rPr>
        <w:tab/>
      </w:r>
      <w:r>
        <w:rPr>
          <w:b w:val="0"/>
          <w:color w:val="221F1F"/>
          <w:spacing w:val="-5"/>
        </w:rPr>
        <w:t>73</w:t>
      </w:r>
    </w:p>
    <w:p w:rsidR="007F6DF9" w:rsidRDefault="00A43FBC">
      <w:pPr>
        <w:pStyle w:val="Heading8"/>
        <w:tabs>
          <w:tab w:val="right" w:leader="dot" w:pos="11034"/>
        </w:tabs>
        <w:spacing w:before="285"/>
        <w:ind w:left="844"/>
        <w:rPr>
          <w:b w:val="0"/>
        </w:rPr>
      </w:pPr>
      <w:r>
        <w:rPr>
          <w:color w:val="221F1F"/>
        </w:rPr>
        <w:t>SECTION</w:t>
      </w:r>
      <w:r>
        <w:rPr>
          <w:color w:val="221F1F"/>
          <w:spacing w:val="-3"/>
        </w:rPr>
        <w:t xml:space="preserve"> </w:t>
      </w:r>
      <w:r>
        <w:rPr>
          <w:color w:val="221F1F"/>
        </w:rPr>
        <w:t>VII</w:t>
      </w:r>
      <w:r>
        <w:rPr>
          <w:color w:val="221F1F"/>
          <w:spacing w:val="-1"/>
        </w:rPr>
        <w:t xml:space="preserve"> </w:t>
      </w:r>
      <w:r>
        <w:rPr>
          <w:color w:val="221F1F"/>
        </w:rPr>
        <w:t>-</w:t>
      </w:r>
      <w:r>
        <w:rPr>
          <w:color w:val="221F1F"/>
          <w:spacing w:val="51"/>
        </w:rPr>
        <w:t xml:space="preserve"> </w:t>
      </w:r>
      <w:r>
        <w:rPr>
          <w:color w:val="221F1F"/>
          <w:spacing w:val="-2"/>
        </w:rPr>
        <w:t>DRAWINGS</w:t>
      </w:r>
      <w:r>
        <w:rPr>
          <w:color w:val="221F1F"/>
        </w:rPr>
        <w:tab/>
      </w:r>
      <w:r>
        <w:rPr>
          <w:b w:val="0"/>
          <w:color w:val="221F1F"/>
          <w:spacing w:val="-5"/>
        </w:rPr>
        <w:t>73</w:t>
      </w:r>
    </w:p>
    <w:p w:rsidR="007F6DF9" w:rsidRDefault="00A43FBC">
      <w:pPr>
        <w:pStyle w:val="Heading8"/>
        <w:tabs>
          <w:tab w:val="right" w:leader="dot" w:pos="11034"/>
        </w:tabs>
        <w:spacing w:before="282"/>
        <w:ind w:left="844"/>
        <w:rPr>
          <w:b w:val="0"/>
        </w:rPr>
      </w:pPr>
      <w:r>
        <w:rPr>
          <w:color w:val="221F1F"/>
        </w:rPr>
        <w:t>SECTION</w:t>
      </w:r>
      <w:r>
        <w:rPr>
          <w:color w:val="221F1F"/>
          <w:spacing w:val="-6"/>
        </w:rPr>
        <w:t xml:space="preserve"> </w:t>
      </w:r>
      <w:r>
        <w:rPr>
          <w:color w:val="221F1F"/>
        </w:rPr>
        <w:t>VIII</w:t>
      </w:r>
      <w:r>
        <w:rPr>
          <w:color w:val="221F1F"/>
          <w:spacing w:val="-6"/>
        </w:rPr>
        <w:t xml:space="preserve"> </w:t>
      </w:r>
      <w:r>
        <w:rPr>
          <w:color w:val="221F1F"/>
        </w:rPr>
        <w:t>-</w:t>
      </w:r>
      <w:r>
        <w:rPr>
          <w:color w:val="221F1F"/>
          <w:spacing w:val="-7"/>
        </w:rPr>
        <w:t xml:space="preserve"> </w:t>
      </w:r>
      <w:r>
        <w:rPr>
          <w:color w:val="221F1F"/>
        </w:rPr>
        <w:t>GENERAL</w:t>
      </w:r>
      <w:r>
        <w:rPr>
          <w:color w:val="221F1F"/>
          <w:spacing w:val="-5"/>
        </w:rPr>
        <w:t xml:space="preserve"> </w:t>
      </w:r>
      <w:r>
        <w:rPr>
          <w:color w:val="221F1F"/>
        </w:rPr>
        <w:t>CONDITIONS</w:t>
      </w:r>
      <w:r>
        <w:rPr>
          <w:color w:val="221F1F"/>
          <w:spacing w:val="-8"/>
        </w:rPr>
        <w:t xml:space="preserve"> </w:t>
      </w:r>
      <w:r>
        <w:rPr>
          <w:color w:val="221F1F"/>
        </w:rPr>
        <w:t>OF</w:t>
      </w:r>
      <w:r>
        <w:rPr>
          <w:color w:val="221F1F"/>
          <w:spacing w:val="-4"/>
        </w:rPr>
        <w:t xml:space="preserve"> </w:t>
      </w:r>
      <w:r>
        <w:rPr>
          <w:color w:val="221F1F"/>
        </w:rPr>
        <w:t>CONTRACT</w:t>
      </w:r>
      <w:r>
        <w:rPr>
          <w:color w:val="221F1F"/>
          <w:spacing w:val="-4"/>
        </w:rPr>
        <w:t xml:space="preserve"> </w:t>
      </w:r>
      <w:r>
        <w:rPr>
          <w:color w:val="221F1F"/>
          <w:spacing w:val="-2"/>
        </w:rPr>
        <w:t>(GCC)</w:t>
      </w:r>
      <w:r>
        <w:rPr>
          <w:color w:val="221F1F"/>
        </w:rPr>
        <w:tab/>
      </w:r>
      <w:r>
        <w:rPr>
          <w:b w:val="0"/>
          <w:color w:val="221F1F"/>
          <w:spacing w:val="-5"/>
        </w:rPr>
        <w:t>74</w:t>
      </w:r>
    </w:p>
    <w:p w:rsidR="007F6DF9" w:rsidRDefault="00A43FBC">
      <w:pPr>
        <w:pStyle w:val="ListParagraph"/>
        <w:numPr>
          <w:ilvl w:val="0"/>
          <w:numId w:val="238"/>
        </w:numPr>
        <w:tabs>
          <w:tab w:val="left" w:pos="1184"/>
          <w:tab w:val="right" w:leader="dot" w:pos="11034"/>
        </w:tabs>
        <w:spacing w:before="40"/>
        <w:ind w:left="1184" w:hanging="340"/>
      </w:pPr>
      <w:r>
        <w:rPr>
          <w:color w:val="221F1F"/>
        </w:rPr>
        <w:t>General</w:t>
      </w:r>
      <w:r>
        <w:rPr>
          <w:color w:val="221F1F"/>
          <w:spacing w:val="-3"/>
        </w:rPr>
        <w:t xml:space="preserve"> </w:t>
      </w:r>
      <w:r>
        <w:rPr>
          <w:color w:val="221F1F"/>
          <w:spacing w:val="-2"/>
        </w:rPr>
        <w:t>Provisions</w:t>
      </w:r>
      <w:r>
        <w:rPr>
          <w:color w:val="221F1F"/>
        </w:rPr>
        <w:tab/>
      </w:r>
      <w:r>
        <w:rPr>
          <w:color w:val="221F1F"/>
          <w:spacing w:val="-7"/>
        </w:rPr>
        <w:t>74</w:t>
      </w:r>
    </w:p>
    <w:p w:rsidR="007F6DF9" w:rsidRDefault="00883FED">
      <w:pPr>
        <w:pStyle w:val="ListParagraph"/>
        <w:numPr>
          <w:ilvl w:val="0"/>
          <w:numId w:val="238"/>
        </w:numPr>
        <w:tabs>
          <w:tab w:val="left" w:pos="1184"/>
          <w:tab w:val="right" w:leader="dot" w:pos="11034"/>
        </w:tabs>
        <w:spacing w:before="40"/>
        <w:ind w:left="1184" w:hanging="340"/>
      </w:pPr>
      <w:hyperlink w:anchor="_bookmark52" w:history="1">
        <w:r w:rsidR="00A43FBC">
          <w:rPr>
            <w:color w:val="221F1F"/>
          </w:rPr>
          <w:t>The</w:t>
        </w:r>
        <w:r w:rsidR="00A43FBC">
          <w:rPr>
            <w:color w:val="221F1F"/>
            <w:spacing w:val="-2"/>
          </w:rPr>
          <w:t xml:space="preserve"> </w:t>
        </w:r>
        <w:r w:rsidR="00A43FBC">
          <w:rPr>
            <w:color w:val="221F1F"/>
          </w:rPr>
          <w:t>Procuring</w:t>
        </w:r>
        <w:r w:rsidR="00A43FBC">
          <w:rPr>
            <w:color w:val="221F1F"/>
            <w:spacing w:val="-2"/>
          </w:rPr>
          <w:t xml:space="preserve"> Entity</w:t>
        </w:r>
        <w:r w:rsidR="00A43FBC">
          <w:rPr>
            <w:color w:val="221F1F"/>
          </w:rPr>
          <w:tab/>
        </w:r>
        <w:r w:rsidR="00A43FBC">
          <w:rPr>
            <w:color w:val="221F1F"/>
            <w:spacing w:val="-5"/>
          </w:rPr>
          <w:t>80</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53" w:history="1">
        <w:r w:rsidR="00A43FBC">
          <w:rPr>
            <w:color w:val="221F1F"/>
          </w:rPr>
          <w:t xml:space="preserve">The </w:t>
        </w:r>
        <w:r w:rsidR="00A43FBC">
          <w:rPr>
            <w:color w:val="221F1F"/>
            <w:spacing w:val="-2"/>
          </w:rPr>
          <w:t>Engineer</w:t>
        </w:r>
        <w:r w:rsidR="00A43FBC">
          <w:rPr>
            <w:color w:val="221F1F"/>
          </w:rPr>
          <w:tab/>
        </w:r>
        <w:r w:rsidR="00A43FBC">
          <w:rPr>
            <w:color w:val="221F1F"/>
            <w:spacing w:val="-5"/>
          </w:rPr>
          <w:t>81</w:t>
        </w:r>
      </w:hyperlink>
    </w:p>
    <w:p w:rsidR="007F6DF9" w:rsidRDefault="00883FED">
      <w:pPr>
        <w:pStyle w:val="ListParagraph"/>
        <w:numPr>
          <w:ilvl w:val="0"/>
          <w:numId w:val="238"/>
        </w:numPr>
        <w:tabs>
          <w:tab w:val="left" w:pos="1184"/>
          <w:tab w:val="right" w:leader="dot" w:pos="11034"/>
        </w:tabs>
        <w:spacing w:before="37"/>
        <w:ind w:left="1184" w:hanging="340"/>
      </w:pPr>
      <w:hyperlink w:anchor="_bookmark54" w:history="1">
        <w:r w:rsidR="00A43FBC">
          <w:rPr>
            <w:color w:val="221F1F"/>
          </w:rPr>
          <w:t xml:space="preserve">The </w:t>
        </w:r>
        <w:r w:rsidR="00A43FBC">
          <w:rPr>
            <w:color w:val="221F1F"/>
            <w:spacing w:val="-2"/>
          </w:rPr>
          <w:t>Contractor</w:t>
        </w:r>
        <w:r w:rsidR="00A43FBC">
          <w:rPr>
            <w:color w:val="221F1F"/>
          </w:rPr>
          <w:tab/>
        </w:r>
        <w:r w:rsidR="00A43FBC">
          <w:rPr>
            <w:color w:val="221F1F"/>
            <w:spacing w:val="-5"/>
          </w:rPr>
          <w:t>83</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55" w:history="1">
        <w:r w:rsidR="00A43FBC">
          <w:rPr>
            <w:color w:val="221F1F"/>
          </w:rPr>
          <w:t>Nominated</w:t>
        </w:r>
        <w:r w:rsidR="00A43FBC">
          <w:rPr>
            <w:color w:val="221F1F"/>
            <w:spacing w:val="-6"/>
          </w:rPr>
          <w:t xml:space="preserve"> </w:t>
        </w:r>
        <w:r w:rsidR="00A43FBC">
          <w:rPr>
            <w:color w:val="221F1F"/>
            <w:spacing w:val="-2"/>
          </w:rPr>
          <w:t>Subcontractors</w:t>
        </w:r>
        <w:r w:rsidR="00A43FBC">
          <w:rPr>
            <w:color w:val="221F1F"/>
          </w:rPr>
          <w:tab/>
        </w:r>
        <w:r w:rsidR="00A43FBC">
          <w:rPr>
            <w:color w:val="221F1F"/>
            <w:spacing w:val="-5"/>
          </w:rPr>
          <w:t>91</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56" w:history="1">
        <w:r w:rsidR="00A43FBC">
          <w:rPr>
            <w:color w:val="221F1F"/>
          </w:rPr>
          <w:t>Staff</w:t>
        </w:r>
        <w:r w:rsidR="00A43FBC">
          <w:rPr>
            <w:color w:val="221F1F"/>
            <w:spacing w:val="-2"/>
          </w:rPr>
          <w:t xml:space="preserve"> </w:t>
        </w:r>
        <w:r w:rsidR="00A43FBC">
          <w:rPr>
            <w:color w:val="221F1F"/>
          </w:rPr>
          <w:t>and</w:t>
        </w:r>
        <w:r w:rsidR="00A43FBC">
          <w:rPr>
            <w:color w:val="221F1F"/>
            <w:spacing w:val="-1"/>
          </w:rPr>
          <w:t xml:space="preserve"> </w:t>
        </w:r>
        <w:r w:rsidR="00A43FBC">
          <w:rPr>
            <w:color w:val="221F1F"/>
            <w:spacing w:val="-2"/>
          </w:rPr>
          <w:t>Labor</w:t>
        </w:r>
        <w:r w:rsidR="00A43FBC">
          <w:rPr>
            <w:color w:val="221F1F"/>
          </w:rPr>
          <w:tab/>
        </w:r>
        <w:r w:rsidR="00A43FBC">
          <w:rPr>
            <w:color w:val="221F1F"/>
            <w:spacing w:val="-7"/>
          </w:rPr>
          <w:t>92</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57" w:history="1">
        <w:r w:rsidR="00A43FBC">
          <w:rPr>
            <w:color w:val="221F1F"/>
          </w:rPr>
          <w:t>Plant,</w:t>
        </w:r>
        <w:r w:rsidR="00A43FBC">
          <w:rPr>
            <w:color w:val="221F1F"/>
            <w:spacing w:val="-4"/>
          </w:rPr>
          <w:t xml:space="preserve"> </w:t>
        </w:r>
        <w:r w:rsidR="00A43FBC">
          <w:rPr>
            <w:color w:val="221F1F"/>
          </w:rPr>
          <w:t>Materials</w:t>
        </w:r>
        <w:r w:rsidR="00A43FBC">
          <w:rPr>
            <w:color w:val="221F1F"/>
            <w:spacing w:val="-1"/>
          </w:rPr>
          <w:t xml:space="preserve"> </w:t>
        </w:r>
        <w:r w:rsidR="00A43FBC">
          <w:rPr>
            <w:color w:val="221F1F"/>
          </w:rPr>
          <w:t>and</w:t>
        </w:r>
        <w:r w:rsidR="00A43FBC">
          <w:rPr>
            <w:color w:val="221F1F"/>
            <w:spacing w:val="-5"/>
          </w:rPr>
          <w:t xml:space="preserve"> </w:t>
        </w:r>
        <w:r w:rsidR="00A43FBC">
          <w:rPr>
            <w:color w:val="221F1F"/>
            <w:spacing w:val="-2"/>
          </w:rPr>
          <w:t>Workmanship</w:t>
        </w:r>
        <w:r w:rsidR="00A43FBC">
          <w:rPr>
            <w:color w:val="221F1F"/>
          </w:rPr>
          <w:tab/>
        </w:r>
        <w:r w:rsidR="00A43FBC">
          <w:rPr>
            <w:color w:val="221F1F"/>
            <w:spacing w:val="-5"/>
          </w:rPr>
          <w:t>95</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58" w:history="1">
        <w:r w:rsidR="00A43FBC">
          <w:rPr>
            <w:color w:val="221F1F"/>
          </w:rPr>
          <w:t>Commencement,</w:t>
        </w:r>
        <w:r w:rsidR="00A43FBC">
          <w:rPr>
            <w:color w:val="221F1F"/>
            <w:spacing w:val="-5"/>
          </w:rPr>
          <w:t xml:space="preserve"> </w:t>
        </w:r>
        <w:r w:rsidR="00A43FBC">
          <w:rPr>
            <w:color w:val="221F1F"/>
          </w:rPr>
          <w:t>Delays</w:t>
        </w:r>
        <w:r w:rsidR="00A43FBC">
          <w:rPr>
            <w:color w:val="221F1F"/>
            <w:spacing w:val="-5"/>
          </w:rPr>
          <w:t xml:space="preserve"> </w:t>
        </w:r>
        <w:r w:rsidR="00A43FBC">
          <w:rPr>
            <w:color w:val="221F1F"/>
          </w:rPr>
          <w:t>and</w:t>
        </w:r>
        <w:r w:rsidR="00A43FBC">
          <w:rPr>
            <w:color w:val="221F1F"/>
            <w:spacing w:val="-5"/>
          </w:rPr>
          <w:t xml:space="preserve"> </w:t>
        </w:r>
        <w:r w:rsidR="00A43FBC">
          <w:rPr>
            <w:color w:val="221F1F"/>
            <w:spacing w:val="-2"/>
          </w:rPr>
          <w:t>Suspension</w:t>
        </w:r>
        <w:r w:rsidR="00A43FBC">
          <w:rPr>
            <w:color w:val="221F1F"/>
          </w:rPr>
          <w:tab/>
        </w:r>
        <w:r w:rsidR="00A43FBC">
          <w:rPr>
            <w:color w:val="221F1F"/>
            <w:spacing w:val="-5"/>
          </w:rPr>
          <w:t>97</w:t>
        </w:r>
      </w:hyperlink>
    </w:p>
    <w:p w:rsidR="007F6DF9" w:rsidRDefault="00883FED">
      <w:pPr>
        <w:pStyle w:val="ListParagraph"/>
        <w:numPr>
          <w:ilvl w:val="0"/>
          <w:numId w:val="238"/>
        </w:numPr>
        <w:tabs>
          <w:tab w:val="left" w:pos="1184"/>
          <w:tab w:val="right" w:leader="dot" w:pos="11034"/>
        </w:tabs>
        <w:spacing w:before="37"/>
        <w:ind w:left="1184" w:hanging="340"/>
      </w:pPr>
      <w:hyperlink w:anchor="_bookmark59" w:history="1">
        <w:r w:rsidR="00A43FBC">
          <w:rPr>
            <w:color w:val="221F1F"/>
          </w:rPr>
          <w:t>Tests</w:t>
        </w:r>
        <w:r w:rsidR="00A43FBC">
          <w:rPr>
            <w:color w:val="221F1F"/>
            <w:spacing w:val="-14"/>
          </w:rPr>
          <w:t xml:space="preserve"> </w:t>
        </w:r>
        <w:r w:rsidR="00A43FBC">
          <w:rPr>
            <w:color w:val="221F1F"/>
          </w:rPr>
          <w:t>on</w:t>
        </w:r>
        <w:r w:rsidR="00A43FBC">
          <w:rPr>
            <w:color w:val="221F1F"/>
            <w:spacing w:val="-10"/>
          </w:rPr>
          <w:t xml:space="preserve"> </w:t>
        </w:r>
        <w:r w:rsidR="00A43FBC">
          <w:rPr>
            <w:color w:val="221F1F"/>
            <w:spacing w:val="-2"/>
          </w:rPr>
          <w:t>Completion</w:t>
        </w:r>
        <w:r w:rsidR="00A43FBC">
          <w:rPr>
            <w:color w:val="221F1F"/>
          </w:rPr>
          <w:tab/>
        </w:r>
        <w:r w:rsidR="00A43FBC">
          <w:rPr>
            <w:color w:val="221F1F"/>
            <w:spacing w:val="-5"/>
          </w:rPr>
          <w:t>100</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60" w:history="1">
        <w:r w:rsidR="00A43FBC">
          <w:rPr>
            <w:color w:val="221F1F"/>
          </w:rPr>
          <w:t>Procuring</w:t>
        </w:r>
        <w:r w:rsidR="00A43FBC">
          <w:rPr>
            <w:color w:val="221F1F"/>
            <w:spacing w:val="-14"/>
          </w:rPr>
          <w:t xml:space="preserve"> </w:t>
        </w:r>
        <w:r w:rsidR="00A43FBC">
          <w:rPr>
            <w:color w:val="221F1F"/>
          </w:rPr>
          <w:t>Entity's</w:t>
        </w:r>
        <w:r w:rsidR="00A43FBC">
          <w:rPr>
            <w:color w:val="221F1F"/>
            <w:spacing w:val="-9"/>
          </w:rPr>
          <w:t xml:space="preserve"> </w:t>
        </w:r>
        <w:r w:rsidR="00A43FBC">
          <w:rPr>
            <w:color w:val="221F1F"/>
          </w:rPr>
          <w:t>Taking</w:t>
        </w:r>
        <w:r w:rsidR="00A43FBC">
          <w:rPr>
            <w:color w:val="221F1F"/>
            <w:spacing w:val="-13"/>
          </w:rPr>
          <w:t xml:space="preserve"> </w:t>
        </w:r>
        <w:r w:rsidR="00A43FBC">
          <w:rPr>
            <w:color w:val="221F1F"/>
            <w:spacing w:val="-4"/>
          </w:rPr>
          <w:t>Over</w:t>
        </w:r>
        <w:r w:rsidR="00A43FBC">
          <w:rPr>
            <w:color w:val="221F1F"/>
          </w:rPr>
          <w:tab/>
        </w:r>
        <w:r w:rsidR="00A43FBC">
          <w:rPr>
            <w:color w:val="221F1F"/>
            <w:spacing w:val="-5"/>
          </w:rPr>
          <w:t>100</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61" w:history="1">
        <w:r w:rsidR="00A43FBC">
          <w:rPr>
            <w:color w:val="221F1F"/>
          </w:rPr>
          <w:t>Defects</w:t>
        </w:r>
        <w:r w:rsidR="00A43FBC">
          <w:rPr>
            <w:color w:val="221F1F"/>
            <w:spacing w:val="-3"/>
          </w:rPr>
          <w:t xml:space="preserve"> </w:t>
        </w:r>
        <w:r w:rsidR="00A43FBC">
          <w:rPr>
            <w:color w:val="221F1F"/>
            <w:spacing w:val="-2"/>
          </w:rPr>
          <w:t>Liability</w:t>
        </w:r>
        <w:r w:rsidR="00A43FBC">
          <w:rPr>
            <w:color w:val="221F1F"/>
          </w:rPr>
          <w:tab/>
        </w:r>
        <w:r w:rsidR="00A43FBC">
          <w:rPr>
            <w:color w:val="221F1F"/>
            <w:spacing w:val="-5"/>
          </w:rPr>
          <w:t>102</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62" w:history="1">
        <w:r w:rsidR="00A43FBC">
          <w:rPr>
            <w:color w:val="221F1F"/>
          </w:rPr>
          <w:t>Measurement</w:t>
        </w:r>
        <w:r w:rsidR="00A43FBC">
          <w:rPr>
            <w:color w:val="221F1F"/>
            <w:spacing w:val="-4"/>
          </w:rPr>
          <w:t xml:space="preserve"> </w:t>
        </w:r>
        <w:r w:rsidR="00A43FBC">
          <w:rPr>
            <w:color w:val="221F1F"/>
          </w:rPr>
          <w:t>and</w:t>
        </w:r>
        <w:r w:rsidR="00A43FBC">
          <w:rPr>
            <w:color w:val="221F1F"/>
            <w:spacing w:val="-3"/>
          </w:rPr>
          <w:t xml:space="preserve"> </w:t>
        </w:r>
        <w:r w:rsidR="00A43FBC">
          <w:rPr>
            <w:color w:val="221F1F"/>
            <w:spacing w:val="-2"/>
          </w:rPr>
          <w:t>Evaluation</w:t>
        </w:r>
        <w:r w:rsidR="00A43FBC">
          <w:rPr>
            <w:color w:val="221F1F"/>
          </w:rPr>
          <w:tab/>
        </w:r>
        <w:r w:rsidR="00A43FBC">
          <w:rPr>
            <w:color w:val="221F1F"/>
            <w:spacing w:val="-5"/>
          </w:rPr>
          <w:t>104</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63" w:history="1">
        <w:r w:rsidR="00A43FBC">
          <w:rPr>
            <w:color w:val="221F1F"/>
            <w:spacing w:val="-2"/>
          </w:rPr>
          <w:t>Variations</w:t>
        </w:r>
        <w:r w:rsidR="00A43FBC">
          <w:rPr>
            <w:color w:val="221F1F"/>
            <w:spacing w:val="-5"/>
          </w:rPr>
          <w:t xml:space="preserve"> </w:t>
        </w:r>
        <w:r w:rsidR="00A43FBC">
          <w:rPr>
            <w:color w:val="221F1F"/>
            <w:spacing w:val="-2"/>
          </w:rPr>
          <w:t>and</w:t>
        </w:r>
        <w:r w:rsidR="00A43FBC">
          <w:rPr>
            <w:color w:val="221F1F"/>
            <w:spacing w:val="-3"/>
          </w:rPr>
          <w:t xml:space="preserve"> </w:t>
        </w:r>
        <w:r w:rsidR="00A43FBC">
          <w:rPr>
            <w:color w:val="221F1F"/>
            <w:spacing w:val="-2"/>
          </w:rPr>
          <w:t>Adjustments</w:t>
        </w:r>
        <w:r w:rsidR="00A43FBC">
          <w:rPr>
            <w:color w:val="221F1F"/>
          </w:rPr>
          <w:tab/>
        </w:r>
        <w:r w:rsidR="00A43FBC">
          <w:rPr>
            <w:color w:val="221F1F"/>
            <w:spacing w:val="-5"/>
          </w:rPr>
          <w:t>105</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64" w:history="1">
        <w:r w:rsidR="00A43FBC">
          <w:rPr>
            <w:color w:val="221F1F"/>
          </w:rPr>
          <w:t>Contract</w:t>
        </w:r>
        <w:r w:rsidR="00A43FBC">
          <w:rPr>
            <w:color w:val="221F1F"/>
            <w:spacing w:val="-3"/>
          </w:rPr>
          <w:t xml:space="preserve"> </w:t>
        </w:r>
        <w:r w:rsidR="00A43FBC">
          <w:rPr>
            <w:color w:val="221F1F"/>
          </w:rPr>
          <w:t>Price</w:t>
        </w:r>
        <w:r w:rsidR="00A43FBC">
          <w:rPr>
            <w:color w:val="221F1F"/>
            <w:spacing w:val="-3"/>
          </w:rPr>
          <w:t xml:space="preserve"> </w:t>
        </w:r>
        <w:r w:rsidR="00A43FBC">
          <w:rPr>
            <w:color w:val="221F1F"/>
          </w:rPr>
          <w:t>and</w:t>
        </w:r>
        <w:r w:rsidR="00A43FBC">
          <w:rPr>
            <w:color w:val="221F1F"/>
            <w:spacing w:val="-3"/>
          </w:rPr>
          <w:t xml:space="preserve"> </w:t>
        </w:r>
        <w:r w:rsidR="00A43FBC">
          <w:rPr>
            <w:color w:val="221F1F"/>
            <w:spacing w:val="-2"/>
          </w:rPr>
          <w:t>Payment</w:t>
        </w:r>
        <w:r w:rsidR="00A43FBC">
          <w:rPr>
            <w:color w:val="221F1F"/>
          </w:rPr>
          <w:tab/>
        </w:r>
        <w:r w:rsidR="00A43FBC">
          <w:rPr>
            <w:color w:val="221F1F"/>
            <w:spacing w:val="-5"/>
          </w:rPr>
          <w:t>109</w:t>
        </w:r>
      </w:hyperlink>
    </w:p>
    <w:p w:rsidR="007F6DF9" w:rsidRDefault="00883FED">
      <w:pPr>
        <w:pStyle w:val="ListParagraph"/>
        <w:numPr>
          <w:ilvl w:val="0"/>
          <w:numId w:val="238"/>
        </w:numPr>
        <w:tabs>
          <w:tab w:val="left" w:pos="1184"/>
          <w:tab w:val="right" w:leader="dot" w:pos="11037"/>
        </w:tabs>
        <w:spacing w:before="39"/>
        <w:ind w:left="1184" w:hanging="340"/>
      </w:pPr>
      <w:hyperlink w:anchor="_bookmark65" w:history="1">
        <w:r w:rsidR="00A43FBC">
          <w:rPr>
            <w:color w:val="221F1F"/>
          </w:rPr>
          <w:t>Termination</w:t>
        </w:r>
        <w:r w:rsidR="00A43FBC">
          <w:rPr>
            <w:color w:val="221F1F"/>
            <w:spacing w:val="-5"/>
          </w:rPr>
          <w:t xml:space="preserve"> </w:t>
        </w:r>
        <w:r w:rsidR="00A43FBC">
          <w:rPr>
            <w:color w:val="221F1F"/>
          </w:rPr>
          <w:t>by</w:t>
        </w:r>
        <w:r w:rsidR="00A43FBC">
          <w:rPr>
            <w:color w:val="221F1F"/>
            <w:spacing w:val="-3"/>
          </w:rPr>
          <w:t xml:space="preserve"> </w:t>
        </w:r>
        <w:r w:rsidR="00A43FBC">
          <w:rPr>
            <w:color w:val="221F1F"/>
          </w:rPr>
          <w:t>Procuring</w:t>
        </w:r>
        <w:r w:rsidR="00A43FBC">
          <w:rPr>
            <w:color w:val="221F1F"/>
            <w:spacing w:val="-6"/>
          </w:rPr>
          <w:t xml:space="preserve"> </w:t>
        </w:r>
        <w:r w:rsidR="00A43FBC">
          <w:rPr>
            <w:color w:val="221F1F"/>
            <w:spacing w:val="-2"/>
          </w:rPr>
          <w:t>Entity</w:t>
        </w:r>
        <w:r w:rsidR="00A43FBC">
          <w:rPr>
            <w:color w:val="221F1F"/>
          </w:rPr>
          <w:tab/>
        </w:r>
        <w:r w:rsidR="00A43FBC">
          <w:rPr>
            <w:color w:val="221F1F"/>
            <w:spacing w:val="-5"/>
          </w:rPr>
          <w:t>115</w:t>
        </w:r>
      </w:hyperlink>
    </w:p>
    <w:p w:rsidR="007F6DF9" w:rsidRDefault="00883FED">
      <w:pPr>
        <w:pStyle w:val="ListParagraph"/>
        <w:numPr>
          <w:ilvl w:val="0"/>
          <w:numId w:val="238"/>
        </w:numPr>
        <w:tabs>
          <w:tab w:val="left" w:pos="1184"/>
          <w:tab w:val="right" w:leader="dot" w:pos="11037"/>
        </w:tabs>
        <w:spacing w:before="38"/>
        <w:ind w:left="1184" w:hanging="340"/>
      </w:pPr>
      <w:hyperlink w:anchor="_bookmark66" w:history="1">
        <w:r w:rsidR="00A43FBC">
          <w:rPr>
            <w:color w:val="221F1F"/>
          </w:rPr>
          <w:t>Suspension</w:t>
        </w:r>
        <w:r w:rsidR="00A43FBC">
          <w:rPr>
            <w:color w:val="221F1F"/>
            <w:spacing w:val="-7"/>
          </w:rPr>
          <w:t xml:space="preserve"> </w:t>
        </w:r>
        <w:r w:rsidR="00A43FBC">
          <w:rPr>
            <w:color w:val="221F1F"/>
          </w:rPr>
          <w:t>and</w:t>
        </w:r>
        <w:r w:rsidR="00A43FBC">
          <w:rPr>
            <w:color w:val="221F1F"/>
            <w:spacing w:val="-4"/>
          </w:rPr>
          <w:t xml:space="preserve"> </w:t>
        </w:r>
        <w:r w:rsidR="00A43FBC">
          <w:rPr>
            <w:color w:val="221F1F"/>
          </w:rPr>
          <w:t>Termination</w:t>
        </w:r>
        <w:r w:rsidR="00A43FBC">
          <w:rPr>
            <w:color w:val="221F1F"/>
            <w:spacing w:val="-2"/>
          </w:rPr>
          <w:t xml:space="preserve"> </w:t>
        </w:r>
        <w:r w:rsidR="00A43FBC">
          <w:rPr>
            <w:color w:val="221F1F"/>
          </w:rPr>
          <w:t>by</w:t>
        </w:r>
        <w:r w:rsidR="00A43FBC">
          <w:rPr>
            <w:color w:val="221F1F"/>
            <w:spacing w:val="-3"/>
          </w:rPr>
          <w:t xml:space="preserve"> </w:t>
        </w:r>
        <w:r w:rsidR="00A43FBC">
          <w:rPr>
            <w:color w:val="221F1F"/>
            <w:spacing w:val="-2"/>
          </w:rPr>
          <w:t>Contractor</w:t>
        </w:r>
        <w:r w:rsidR="00A43FBC">
          <w:rPr>
            <w:color w:val="221F1F"/>
          </w:rPr>
          <w:tab/>
        </w:r>
        <w:r w:rsidR="00A43FBC">
          <w:rPr>
            <w:color w:val="221F1F"/>
            <w:spacing w:val="-5"/>
          </w:rPr>
          <w:t>117</w:t>
        </w:r>
      </w:hyperlink>
    </w:p>
    <w:p w:rsidR="007F6DF9" w:rsidRDefault="00883FED">
      <w:pPr>
        <w:pStyle w:val="ListParagraph"/>
        <w:numPr>
          <w:ilvl w:val="0"/>
          <w:numId w:val="238"/>
        </w:numPr>
        <w:tabs>
          <w:tab w:val="left" w:pos="1184"/>
          <w:tab w:val="right" w:leader="dot" w:pos="11037"/>
        </w:tabs>
        <w:spacing w:before="40"/>
        <w:ind w:left="1184" w:hanging="340"/>
      </w:pPr>
      <w:hyperlink w:anchor="_bookmark67" w:history="1">
        <w:r w:rsidR="00A43FBC">
          <w:rPr>
            <w:color w:val="221F1F"/>
          </w:rPr>
          <w:t>Risk</w:t>
        </w:r>
        <w:r w:rsidR="00A43FBC">
          <w:rPr>
            <w:color w:val="221F1F"/>
            <w:spacing w:val="-2"/>
          </w:rPr>
          <w:t xml:space="preserve"> </w:t>
        </w:r>
        <w:r w:rsidR="00A43FBC">
          <w:rPr>
            <w:color w:val="221F1F"/>
          </w:rPr>
          <w:t>and</w:t>
        </w:r>
        <w:r w:rsidR="00A43FBC">
          <w:rPr>
            <w:color w:val="221F1F"/>
            <w:spacing w:val="-2"/>
          </w:rPr>
          <w:t xml:space="preserve"> Responsibility</w:t>
        </w:r>
        <w:r w:rsidR="00A43FBC">
          <w:rPr>
            <w:color w:val="221F1F"/>
          </w:rPr>
          <w:tab/>
        </w:r>
        <w:r w:rsidR="00A43FBC">
          <w:rPr>
            <w:color w:val="221F1F"/>
            <w:spacing w:val="-5"/>
          </w:rPr>
          <w:t>119</w:t>
        </w:r>
      </w:hyperlink>
    </w:p>
    <w:p w:rsidR="007F6DF9" w:rsidRDefault="00883FED">
      <w:pPr>
        <w:pStyle w:val="ListParagraph"/>
        <w:numPr>
          <w:ilvl w:val="0"/>
          <w:numId w:val="238"/>
        </w:numPr>
        <w:tabs>
          <w:tab w:val="left" w:pos="1184"/>
          <w:tab w:val="right" w:leader="dot" w:pos="11034"/>
        </w:tabs>
        <w:spacing w:before="39"/>
        <w:ind w:left="1184" w:hanging="340"/>
      </w:pPr>
      <w:hyperlink w:anchor="_bookmark68" w:history="1">
        <w:r w:rsidR="00A43FBC">
          <w:rPr>
            <w:color w:val="221F1F"/>
            <w:spacing w:val="-2"/>
          </w:rPr>
          <w:t>Insurance</w:t>
        </w:r>
        <w:r w:rsidR="00A43FBC">
          <w:rPr>
            <w:color w:val="221F1F"/>
          </w:rPr>
          <w:tab/>
        </w:r>
        <w:r w:rsidR="00A43FBC">
          <w:rPr>
            <w:color w:val="221F1F"/>
            <w:spacing w:val="-5"/>
          </w:rPr>
          <w:t>121</w:t>
        </w:r>
      </w:hyperlink>
    </w:p>
    <w:p w:rsidR="007F6DF9" w:rsidRDefault="00883FED">
      <w:pPr>
        <w:pStyle w:val="ListParagraph"/>
        <w:numPr>
          <w:ilvl w:val="0"/>
          <w:numId w:val="238"/>
        </w:numPr>
        <w:tabs>
          <w:tab w:val="left" w:pos="1184"/>
          <w:tab w:val="right" w:leader="dot" w:pos="11034"/>
        </w:tabs>
        <w:spacing w:before="40"/>
        <w:ind w:left="1184" w:hanging="340"/>
      </w:pPr>
      <w:hyperlink w:anchor="_bookmark69" w:history="1">
        <w:r w:rsidR="00A43FBC">
          <w:rPr>
            <w:color w:val="221F1F"/>
          </w:rPr>
          <w:t>Force</w:t>
        </w:r>
        <w:r w:rsidR="00A43FBC">
          <w:rPr>
            <w:color w:val="221F1F"/>
            <w:spacing w:val="-2"/>
          </w:rPr>
          <w:t xml:space="preserve"> Majeure</w:t>
        </w:r>
        <w:r w:rsidR="00A43FBC">
          <w:rPr>
            <w:color w:val="221F1F"/>
          </w:rPr>
          <w:tab/>
        </w:r>
        <w:r w:rsidR="00A43FBC">
          <w:rPr>
            <w:color w:val="221F1F"/>
            <w:spacing w:val="-5"/>
          </w:rPr>
          <w:t>124</w:t>
        </w:r>
      </w:hyperlink>
    </w:p>
    <w:p w:rsidR="007F6DF9" w:rsidRDefault="00883FED">
      <w:pPr>
        <w:pStyle w:val="ListParagraph"/>
        <w:numPr>
          <w:ilvl w:val="0"/>
          <w:numId w:val="238"/>
        </w:numPr>
        <w:tabs>
          <w:tab w:val="left" w:pos="1184"/>
          <w:tab w:val="right" w:leader="dot" w:pos="11034"/>
        </w:tabs>
        <w:spacing w:before="41"/>
        <w:ind w:left="1184" w:hanging="340"/>
      </w:pPr>
      <w:hyperlink w:anchor="_bookmark70" w:history="1">
        <w:r w:rsidR="00A43FBC">
          <w:rPr>
            <w:color w:val="221F1F"/>
          </w:rPr>
          <w:t>Settlement</w:t>
        </w:r>
        <w:r w:rsidR="00A43FBC">
          <w:rPr>
            <w:color w:val="221F1F"/>
            <w:spacing w:val="-3"/>
          </w:rPr>
          <w:t xml:space="preserve"> </w:t>
        </w:r>
        <w:r w:rsidR="00A43FBC">
          <w:rPr>
            <w:color w:val="221F1F"/>
          </w:rPr>
          <w:t>of</w:t>
        </w:r>
        <w:r w:rsidR="00A43FBC">
          <w:rPr>
            <w:color w:val="221F1F"/>
            <w:spacing w:val="-4"/>
          </w:rPr>
          <w:t xml:space="preserve"> </w:t>
        </w:r>
        <w:r w:rsidR="00A43FBC">
          <w:rPr>
            <w:color w:val="221F1F"/>
          </w:rPr>
          <w:t>Claims</w:t>
        </w:r>
        <w:r w:rsidR="00A43FBC">
          <w:rPr>
            <w:color w:val="221F1F"/>
            <w:spacing w:val="-4"/>
          </w:rPr>
          <w:t xml:space="preserve"> </w:t>
        </w:r>
        <w:r w:rsidR="00A43FBC">
          <w:rPr>
            <w:color w:val="221F1F"/>
          </w:rPr>
          <w:t>and</w:t>
        </w:r>
        <w:r w:rsidR="00A43FBC">
          <w:rPr>
            <w:color w:val="221F1F"/>
            <w:spacing w:val="-3"/>
          </w:rPr>
          <w:t xml:space="preserve"> </w:t>
        </w:r>
        <w:r w:rsidR="00A43FBC">
          <w:rPr>
            <w:color w:val="221F1F"/>
            <w:spacing w:val="-2"/>
          </w:rPr>
          <w:t>Disputes</w:t>
        </w:r>
        <w:r w:rsidR="00A43FBC">
          <w:rPr>
            <w:color w:val="221F1F"/>
          </w:rPr>
          <w:tab/>
        </w:r>
        <w:r w:rsidR="00A43FBC">
          <w:rPr>
            <w:color w:val="221F1F"/>
            <w:spacing w:val="-5"/>
          </w:rPr>
          <w:t>126</w:t>
        </w:r>
      </w:hyperlink>
    </w:p>
    <w:p w:rsidR="007F6DF9" w:rsidRDefault="00883FED">
      <w:pPr>
        <w:pStyle w:val="Heading9"/>
        <w:tabs>
          <w:tab w:val="right" w:leader="dot" w:pos="11034"/>
        </w:tabs>
        <w:spacing w:before="282"/>
        <w:ind w:left="844" w:firstLine="0"/>
        <w:rPr>
          <w:b w:val="0"/>
        </w:rPr>
      </w:pPr>
      <w:hyperlink w:anchor="_bookmark71" w:history="1">
        <w:r w:rsidR="00A43FBC">
          <w:rPr>
            <w:color w:val="221F1F"/>
          </w:rPr>
          <w:t>Section</w:t>
        </w:r>
        <w:r w:rsidR="00A43FBC">
          <w:rPr>
            <w:color w:val="221F1F"/>
            <w:spacing w:val="-4"/>
          </w:rPr>
          <w:t xml:space="preserve"> </w:t>
        </w:r>
        <w:r w:rsidR="00A43FBC">
          <w:rPr>
            <w:color w:val="221F1F"/>
          </w:rPr>
          <w:t>IX</w:t>
        </w:r>
        <w:r w:rsidR="00A43FBC">
          <w:rPr>
            <w:color w:val="221F1F"/>
            <w:spacing w:val="-6"/>
          </w:rPr>
          <w:t xml:space="preserve"> </w:t>
        </w:r>
        <w:r w:rsidR="00A43FBC">
          <w:rPr>
            <w:color w:val="221F1F"/>
          </w:rPr>
          <w:t>-</w:t>
        </w:r>
        <w:r w:rsidR="00A43FBC">
          <w:rPr>
            <w:color w:val="221F1F"/>
            <w:spacing w:val="-2"/>
          </w:rPr>
          <w:t xml:space="preserve"> </w:t>
        </w:r>
        <w:r w:rsidR="00A43FBC">
          <w:rPr>
            <w:color w:val="221F1F"/>
          </w:rPr>
          <w:t>Special</w:t>
        </w:r>
        <w:r w:rsidR="00A43FBC">
          <w:rPr>
            <w:color w:val="221F1F"/>
            <w:spacing w:val="-2"/>
          </w:rPr>
          <w:t xml:space="preserve"> </w:t>
        </w:r>
        <w:r w:rsidR="00A43FBC">
          <w:rPr>
            <w:color w:val="221F1F"/>
          </w:rPr>
          <w:t>Conditions</w:t>
        </w:r>
        <w:r w:rsidR="00A43FBC">
          <w:rPr>
            <w:color w:val="221F1F"/>
            <w:spacing w:val="-3"/>
          </w:rPr>
          <w:t xml:space="preserve"> </w:t>
        </w:r>
        <w:r w:rsidR="00A43FBC">
          <w:rPr>
            <w:color w:val="221F1F"/>
          </w:rPr>
          <w:t>of</w:t>
        </w:r>
        <w:r w:rsidR="00A43FBC">
          <w:rPr>
            <w:color w:val="221F1F"/>
            <w:spacing w:val="-3"/>
          </w:rPr>
          <w:t xml:space="preserve"> </w:t>
        </w:r>
        <w:r w:rsidR="00A43FBC">
          <w:rPr>
            <w:color w:val="221F1F"/>
            <w:spacing w:val="-2"/>
          </w:rPr>
          <w:t>Contract</w:t>
        </w:r>
        <w:r w:rsidR="00A43FBC">
          <w:rPr>
            <w:color w:val="221F1F"/>
          </w:rPr>
          <w:tab/>
        </w:r>
        <w:r w:rsidR="00A43FBC">
          <w:rPr>
            <w:b w:val="0"/>
            <w:color w:val="221F1F"/>
            <w:spacing w:val="-5"/>
          </w:rPr>
          <w:t>130</w:t>
        </w:r>
      </w:hyperlink>
    </w:p>
    <w:p w:rsidR="007F6DF9" w:rsidRDefault="00883FED">
      <w:pPr>
        <w:pStyle w:val="Heading8"/>
        <w:tabs>
          <w:tab w:val="right" w:leader="dot" w:pos="11034"/>
        </w:tabs>
        <w:spacing w:before="258" w:line="252" w:lineRule="exact"/>
        <w:ind w:left="844"/>
        <w:rPr>
          <w:b w:val="0"/>
        </w:rPr>
      </w:pPr>
      <w:hyperlink w:anchor="_bookmark72" w:history="1">
        <w:r w:rsidR="00A43FBC">
          <w:rPr>
            <w:color w:val="221F1F"/>
          </w:rPr>
          <w:t>SECTION</w:t>
        </w:r>
        <w:r w:rsidR="00A43FBC">
          <w:rPr>
            <w:color w:val="221F1F"/>
            <w:spacing w:val="49"/>
          </w:rPr>
          <w:t xml:space="preserve"> </w:t>
        </w:r>
        <w:r w:rsidR="00A43FBC">
          <w:rPr>
            <w:color w:val="221F1F"/>
          </w:rPr>
          <w:t>X</w:t>
        </w:r>
        <w:r w:rsidR="00A43FBC">
          <w:rPr>
            <w:color w:val="221F1F"/>
            <w:spacing w:val="48"/>
          </w:rPr>
          <w:t xml:space="preserve"> </w:t>
        </w:r>
        <w:r w:rsidR="00A43FBC">
          <w:rPr>
            <w:color w:val="221F1F"/>
          </w:rPr>
          <w:t>–</w:t>
        </w:r>
        <w:r w:rsidR="00A43FBC">
          <w:rPr>
            <w:color w:val="221F1F"/>
            <w:spacing w:val="-3"/>
          </w:rPr>
          <w:t xml:space="preserve"> </w:t>
        </w:r>
        <w:r w:rsidR="00A43FBC">
          <w:rPr>
            <w:color w:val="221F1F"/>
          </w:rPr>
          <w:t>CONTRACT</w:t>
        </w:r>
        <w:r w:rsidR="00A43FBC">
          <w:rPr>
            <w:color w:val="221F1F"/>
            <w:spacing w:val="-3"/>
          </w:rPr>
          <w:t xml:space="preserve"> </w:t>
        </w:r>
        <w:r w:rsidR="00A43FBC">
          <w:rPr>
            <w:color w:val="221F1F"/>
            <w:spacing w:val="-2"/>
          </w:rPr>
          <w:t>FORMS</w:t>
        </w:r>
        <w:r w:rsidR="00A43FBC">
          <w:rPr>
            <w:color w:val="221F1F"/>
          </w:rPr>
          <w:tab/>
        </w:r>
        <w:r w:rsidR="00A43FBC">
          <w:rPr>
            <w:b w:val="0"/>
            <w:color w:val="221F1F"/>
            <w:spacing w:val="-5"/>
          </w:rPr>
          <w:t>132</w:t>
        </w:r>
      </w:hyperlink>
    </w:p>
    <w:p w:rsidR="007F6DF9" w:rsidRDefault="00A43FBC">
      <w:pPr>
        <w:pStyle w:val="BodyText"/>
        <w:tabs>
          <w:tab w:val="right" w:leader="dot" w:pos="11034"/>
        </w:tabs>
        <w:spacing w:line="252" w:lineRule="exact"/>
        <w:ind w:left="849"/>
      </w:pPr>
      <w:r>
        <w:rPr>
          <w:color w:val="221F1F"/>
        </w:rPr>
        <w:t>FORM</w:t>
      </w:r>
      <w:r>
        <w:rPr>
          <w:color w:val="221F1F"/>
          <w:spacing w:val="-8"/>
        </w:rPr>
        <w:t xml:space="preserve"> </w:t>
      </w:r>
      <w:r>
        <w:rPr>
          <w:color w:val="221F1F"/>
        </w:rPr>
        <w:t>No.</w:t>
      </w:r>
      <w:r>
        <w:rPr>
          <w:color w:val="221F1F"/>
          <w:spacing w:val="-7"/>
        </w:rPr>
        <w:t xml:space="preserve"> </w:t>
      </w:r>
      <w:r>
        <w:rPr>
          <w:color w:val="221F1F"/>
        </w:rPr>
        <w:t>1</w:t>
      </w:r>
      <w:r>
        <w:rPr>
          <w:color w:val="221F1F"/>
          <w:spacing w:val="-7"/>
        </w:rPr>
        <w:t xml:space="preserve"> </w:t>
      </w:r>
      <w:r>
        <w:rPr>
          <w:color w:val="221F1F"/>
        </w:rPr>
        <w:t>-</w:t>
      </w:r>
      <w:r>
        <w:rPr>
          <w:color w:val="221F1F"/>
          <w:spacing w:val="-9"/>
        </w:rPr>
        <w:t xml:space="preserve"> </w:t>
      </w:r>
      <w:r>
        <w:rPr>
          <w:color w:val="221F1F"/>
        </w:rPr>
        <w:t>NOTIFICATION</w:t>
      </w:r>
      <w:r>
        <w:rPr>
          <w:color w:val="221F1F"/>
          <w:spacing w:val="-12"/>
        </w:rPr>
        <w:t xml:space="preserve"> </w:t>
      </w:r>
      <w:r>
        <w:rPr>
          <w:color w:val="221F1F"/>
        </w:rPr>
        <w:t>OF</w:t>
      </w:r>
      <w:r>
        <w:rPr>
          <w:color w:val="221F1F"/>
          <w:spacing w:val="-7"/>
        </w:rPr>
        <w:t xml:space="preserve"> </w:t>
      </w:r>
      <w:r>
        <w:rPr>
          <w:color w:val="221F1F"/>
        </w:rPr>
        <w:t>INTENTION</w:t>
      </w:r>
      <w:r>
        <w:rPr>
          <w:color w:val="221F1F"/>
          <w:spacing w:val="-8"/>
        </w:rPr>
        <w:t xml:space="preserve"> </w:t>
      </w:r>
      <w:r>
        <w:rPr>
          <w:color w:val="221F1F"/>
        </w:rPr>
        <w:t>TO</w:t>
      </w:r>
      <w:r>
        <w:rPr>
          <w:color w:val="221F1F"/>
          <w:spacing w:val="-6"/>
        </w:rPr>
        <w:t xml:space="preserve"> </w:t>
      </w:r>
      <w:r>
        <w:rPr>
          <w:color w:val="221F1F"/>
          <w:spacing w:val="-2"/>
        </w:rPr>
        <w:t>AWARD</w:t>
      </w:r>
      <w:r>
        <w:rPr>
          <w:color w:val="221F1F"/>
        </w:rPr>
        <w:tab/>
      </w:r>
      <w:r>
        <w:rPr>
          <w:color w:val="221F1F"/>
          <w:spacing w:val="-5"/>
        </w:rPr>
        <w:t>133</w:t>
      </w:r>
    </w:p>
    <w:p w:rsidR="007F6DF9" w:rsidRDefault="00A43FBC">
      <w:pPr>
        <w:pStyle w:val="BodyText"/>
        <w:tabs>
          <w:tab w:val="right" w:leader="dot" w:pos="11034"/>
        </w:tabs>
        <w:spacing w:line="252" w:lineRule="exact"/>
        <w:ind w:left="849"/>
      </w:pPr>
      <w:r>
        <w:rPr>
          <w:color w:val="221F1F"/>
        </w:rPr>
        <w:t>FORM</w:t>
      </w:r>
      <w:r>
        <w:rPr>
          <w:color w:val="221F1F"/>
          <w:spacing w:val="-3"/>
        </w:rPr>
        <w:t xml:space="preserve"> </w:t>
      </w:r>
      <w:r>
        <w:rPr>
          <w:color w:val="221F1F"/>
        </w:rPr>
        <w:t>No.</w:t>
      </w:r>
      <w:r>
        <w:rPr>
          <w:color w:val="221F1F"/>
          <w:spacing w:val="-2"/>
        </w:rPr>
        <w:t xml:space="preserve"> </w:t>
      </w:r>
      <w:r>
        <w:rPr>
          <w:color w:val="221F1F"/>
        </w:rPr>
        <w:t>2</w:t>
      </w:r>
      <w:r>
        <w:rPr>
          <w:color w:val="221F1F"/>
          <w:spacing w:val="-4"/>
        </w:rPr>
        <w:t xml:space="preserve"> </w:t>
      </w:r>
      <w:r>
        <w:rPr>
          <w:color w:val="221F1F"/>
        </w:rPr>
        <w:t>–</w:t>
      </w:r>
      <w:r>
        <w:t>REQUEST</w:t>
      </w:r>
      <w:r>
        <w:rPr>
          <w:spacing w:val="-2"/>
        </w:rPr>
        <w:t xml:space="preserve"> </w:t>
      </w:r>
      <w:r>
        <w:t>FOR</w:t>
      </w:r>
      <w:r>
        <w:rPr>
          <w:spacing w:val="-3"/>
        </w:rPr>
        <w:t xml:space="preserve"> </w:t>
      </w:r>
      <w:r>
        <w:rPr>
          <w:spacing w:val="-2"/>
        </w:rPr>
        <w:t>REVIEW</w:t>
      </w:r>
      <w:r>
        <w:tab/>
      </w:r>
      <w:r>
        <w:rPr>
          <w:color w:val="221F1F"/>
          <w:spacing w:val="-5"/>
        </w:rPr>
        <w:t>135</w:t>
      </w:r>
    </w:p>
    <w:p w:rsidR="007F6DF9" w:rsidRDefault="00A43FBC">
      <w:pPr>
        <w:pStyle w:val="BodyText"/>
        <w:tabs>
          <w:tab w:val="right" w:leader="dot" w:pos="11034"/>
        </w:tabs>
        <w:spacing w:before="2" w:line="252" w:lineRule="exact"/>
        <w:ind w:left="849"/>
      </w:pPr>
      <w:r>
        <w:rPr>
          <w:color w:val="221F1F"/>
        </w:rPr>
        <w:t>FORM</w:t>
      </w:r>
      <w:r>
        <w:rPr>
          <w:color w:val="221F1F"/>
          <w:spacing w:val="-4"/>
        </w:rPr>
        <w:t xml:space="preserve"> </w:t>
      </w:r>
      <w:r>
        <w:rPr>
          <w:color w:val="221F1F"/>
        </w:rPr>
        <w:t>No.</w:t>
      </w:r>
      <w:r>
        <w:rPr>
          <w:color w:val="221F1F"/>
          <w:spacing w:val="-4"/>
        </w:rPr>
        <w:t xml:space="preserve"> </w:t>
      </w:r>
      <w:r>
        <w:rPr>
          <w:color w:val="221F1F"/>
        </w:rPr>
        <w:t>3</w:t>
      </w:r>
      <w:r>
        <w:rPr>
          <w:color w:val="221F1F"/>
          <w:spacing w:val="-5"/>
        </w:rPr>
        <w:t xml:space="preserve"> </w:t>
      </w:r>
      <w:r>
        <w:rPr>
          <w:color w:val="221F1F"/>
        </w:rPr>
        <w:t>–</w:t>
      </w:r>
      <w:r>
        <w:rPr>
          <w:color w:val="221F1F"/>
          <w:spacing w:val="-4"/>
        </w:rPr>
        <w:t xml:space="preserve"> </w:t>
      </w:r>
      <w:r>
        <w:rPr>
          <w:color w:val="221F1F"/>
        </w:rPr>
        <w:t>LETTER</w:t>
      </w:r>
      <w:r>
        <w:rPr>
          <w:color w:val="221F1F"/>
          <w:spacing w:val="-12"/>
        </w:rPr>
        <w:t xml:space="preserve"> </w:t>
      </w:r>
      <w:r>
        <w:rPr>
          <w:color w:val="221F1F"/>
        </w:rPr>
        <w:t>OF</w:t>
      </w:r>
      <w:r>
        <w:rPr>
          <w:color w:val="221F1F"/>
          <w:spacing w:val="-4"/>
        </w:rPr>
        <w:t xml:space="preserve"> AWARD</w:t>
      </w:r>
      <w:r>
        <w:rPr>
          <w:color w:val="221F1F"/>
        </w:rPr>
        <w:tab/>
      </w:r>
      <w:r>
        <w:rPr>
          <w:color w:val="221F1F"/>
          <w:spacing w:val="-5"/>
        </w:rPr>
        <w:t>135</w:t>
      </w:r>
    </w:p>
    <w:p w:rsidR="007F6DF9" w:rsidRDefault="00883FED">
      <w:pPr>
        <w:pStyle w:val="BodyText"/>
        <w:tabs>
          <w:tab w:val="right" w:leader="dot" w:pos="11034"/>
        </w:tabs>
        <w:spacing w:line="252" w:lineRule="exact"/>
        <w:ind w:left="849"/>
      </w:pPr>
      <w:hyperlink w:anchor="_bookmark73" w:history="1">
        <w:r w:rsidR="00A43FBC">
          <w:rPr>
            <w:color w:val="221F1F"/>
          </w:rPr>
          <w:t>FORM</w:t>
        </w:r>
        <w:r w:rsidR="00A43FBC">
          <w:rPr>
            <w:color w:val="221F1F"/>
            <w:spacing w:val="-3"/>
          </w:rPr>
          <w:t xml:space="preserve"> </w:t>
        </w:r>
        <w:r w:rsidR="00A43FBC">
          <w:rPr>
            <w:color w:val="221F1F"/>
          </w:rPr>
          <w:t>No.</w:t>
        </w:r>
        <w:r w:rsidR="00A43FBC">
          <w:rPr>
            <w:color w:val="221F1F"/>
            <w:spacing w:val="-2"/>
          </w:rPr>
          <w:t xml:space="preserve"> </w:t>
        </w:r>
        <w:r w:rsidR="00A43FBC">
          <w:rPr>
            <w:color w:val="221F1F"/>
          </w:rPr>
          <w:t>4</w:t>
        </w:r>
        <w:r w:rsidR="00A43FBC">
          <w:rPr>
            <w:color w:val="221F1F"/>
            <w:spacing w:val="51"/>
          </w:rPr>
          <w:t xml:space="preserve"> </w:t>
        </w:r>
        <w:r w:rsidR="00A43FBC">
          <w:rPr>
            <w:color w:val="221F1F"/>
          </w:rPr>
          <w:t>–</w:t>
        </w:r>
        <w:r w:rsidR="00A43FBC">
          <w:rPr>
            <w:color w:val="221F1F"/>
            <w:spacing w:val="-2"/>
          </w:rPr>
          <w:t xml:space="preserve"> </w:t>
        </w:r>
        <w:r w:rsidR="00A43FBC">
          <w:rPr>
            <w:color w:val="221F1F"/>
          </w:rPr>
          <w:t>CONTRACT</w:t>
        </w:r>
        <w:r w:rsidR="00A43FBC">
          <w:rPr>
            <w:color w:val="221F1F"/>
            <w:spacing w:val="-2"/>
          </w:rPr>
          <w:t xml:space="preserve"> AGREEMENT</w:t>
        </w:r>
        <w:r w:rsidR="00A43FBC">
          <w:rPr>
            <w:color w:val="221F1F"/>
          </w:rPr>
          <w:tab/>
        </w:r>
        <w:r w:rsidR="00A43FBC">
          <w:rPr>
            <w:color w:val="221F1F"/>
            <w:spacing w:val="-5"/>
          </w:rPr>
          <w:t>136</w:t>
        </w:r>
      </w:hyperlink>
    </w:p>
    <w:p w:rsidR="007F6DF9" w:rsidRDefault="00A43FBC">
      <w:pPr>
        <w:pStyle w:val="BodyText"/>
        <w:tabs>
          <w:tab w:val="right" w:leader="dot" w:pos="11034"/>
        </w:tabs>
        <w:spacing w:before="1" w:line="252" w:lineRule="exact"/>
        <w:ind w:left="849"/>
      </w:pPr>
      <w:r>
        <w:rPr>
          <w:color w:val="221F1F"/>
        </w:rPr>
        <w:t>FORM</w:t>
      </w:r>
      <w:r>
        <w:rPr>
          <w:color w:val="221F1F"/>
          <w:spacing w:val="-6"/>
        </w:rPr>
        <w:t xml:space="preserve"> </w:t>
      </w:r>
      <w:r>
        <w:rPr>
          <w:color w:val="221F1F"/>
        </w:rPr>
        <w:t>No.</w:t>
      </w:r>
      <w:r>
        <w:rPr>
          <w:color w:val="221F1F"/>
          <w:spacing w:val="-3"/>
        </w:rPr>
        <w:t xml:space="preserve"> </w:t>
      </w:r>
      <w:r>
        <w:rPr>
          <w:color w:val="221F1F"/>
        </w:rPr>
        <w:t>5</w:t>
      </w:r>
      <w:r>
        <w:rPr>
          <w:color w:val="221F1F"/>
          <w:spacing w:val="-5"/>
        </w:rPr>
        <w:t xml:space="preserve"> </w:t>
      </w:r>
      <w:r>
        <w:rPr>
          <w:color w:val="221F1F"/>
        </w:rPr>
        <w:t>-</w:t>
      </w:r>
      <w:r>
        <w:rPr>
          <w:color w:val="221F1F"/>
          <w:spacing w:val="-5"/>
        </w:rPr>
        <w:t xml:space="preserve"> </w:t>
      </w:r>
      <w:r>
        <w:rPr>
          <w:color w:val="221F1F"/>
        </w:rPr>
        <w:t>PERFORMANCE</w:t>
      </w:r>
      <w:r>
        <w:rPr>
          <w:color w:val="221F1F"/>
          <w:spacing w:val="-4"/>
        </w:rPr>
        <w:t xml:space="preserve"> </w:t>
      </w:r>
      <w:r>
        <w:rPr>
          <w:color w:val="221F1F"/>
        </w:rPr>
        <w:t>SECURITY</w:t>
      </w:r>
      <w:r>
        <w:rPr>
          <w:color w:val="221F1F"/>
          <w:spacing w:val="-4"/>
        </w:rPr>
        <w:t xml:space="preserve"> </w:t>
      </w:r>
      <w:r>
        <w:rPr>
          <w:color w:val="221F1F"/>
        </w:rPr>
        <w:t>[Option</w:t>
      </w:r>
      <w:r>
        <w:rPr>
          <w:color w:val="221F1F"/>
          <w:spacing w:val="-4"/>
        </w:rPr>
        <w:t xml:space="preserve"> </w:t>
      </w:r>
      <w:r>
        <w:rPr>
          <w:color w:val="221F1F"/>
        </w:rPr>
        <w:t>1</w:t>
      </w:r>
      <w:r>
        <w:rPr>
          <w:color w:val="221F1F"/>
          <w:spacing w:val="-2"/>
        </w:rPr>
        <w:t xml:space="preserve"> </w:t>
      </w:r>
      <w:r>
        <w:rPr>
          <w:color w:val="221F1F"/>
        </w:rPr>
        <w:t>-</w:t>
      </w:r>
      <w:r>
        <w:rPr>
          <w:color w:val="221F1F"/>
          <w:spacing w:val="-5"/>
        </w:rPr>
        <w:t xml:space="preserve"> </w:t>
      </w:r>
      <w:r>
        <w:rPr>
          <w:color w:val="221F1F"/>
        </w:rPr>
        <w:t>Unconditional</w:t>
      </w:r>
      <w:r>
        <w:rPr>
          <w:color w:val="221F1F"/>
          <w:spacing w:val="-3"/>
        </w:rPr>
        <w:t xml:space="preserve"> </w:t>
      </w:r>
      <w:proofErr w:type="spellStart"/>
      <w:r>
        <w:rPr>
          <w:color w:val="221F1F"/>
        </w:rPr>
        <w:t>DemandBank</w:t>
      </w:r>
      <w:proofErr w:type="spellEnd"/>
      <w:r>
        <w:rPr>
          <w:color w:val="221F1F"/>
          <w:spacing w:val="-3"/>
        </w:rPr>
        <w:t xml:space="preserve"> </w:t>
      </w:r>
      <w:r>
        <w:rPr>
          <w:color w:val="221F1F"/>
          <w:spacing w:val="-2"/>
        </w:rPr>
        <w:t>Guarantee]</w:t>
      </w:r>
      <w:r>
        <w:rPr>
          <w:color w:val="221F1F"/>
        </w:rPr>
        <w:tab/>
      </w:r>
      <w:r>
        <w:rPr>
          <w:color w:val="221F1F"/>
          <w:spacing w:val="-5"/>
        </w:rPr>
        <w:t>137</w:t>
      </w:r>
    </w:p>
    <w:p w:rsidR="007F6DF9" w:rsidRDefault="00A43FBC">
      <w:pPr>
        <w:pStyle w:val="BodyText"/>
        <w:tabs>
          <w:tab w:val="right" w:leader="dot" w:pos="11034"/>
        </w:tabs>
        <w:spacing w:line="252" w:lineRule="exact"/>
        <w:ind w:left="849"/>
      </w:pPr>
      <w:r>
        <w:rPr>
          <w:color w:val="221F1F"/>
        </w:rPr>
        <w:t>FORM</w:t>
      </w:r>
      <w:r>
        <w:rPr>
          <w:color w:val="221F1F"/>
          <w:spacing w:val="-6"/>
        </w:rPr>
        <w:t xml:space="preserve"> </w:t>
      </w:r>
      <w:r>
        <w:rPr>
          <w:color w:val="221F1F"/>
        </w:rPr>
        <w:t>No.</w:t>
      </w:r>
      <w:r>
        <w:rPr>
          <w:color w:val="221F1F"/>
          <w:spacing w:val="-4"/>
        </w:rPr>
        <w:t xml:space="preserve"> </w:t>
      </w:r>
      <w:r>
        <w:rPr>
          <w:color w:val="221F1F"/>
        </w:rPr>
        <w:t>6-</w:t>
      </w:r>
      <w:r>
        <w:rPr>
          <w:color w:val="221F1F"/>
          <w:spacing w:val="-5"/>
        </w:rPr>
        <w:t xml:space="preserve"> </w:t>
      </w:r>
      <w:r>
        <w:rPr>
          <w:color w:val="221F1F"/>
        </w:rPr>
        <w:t>PERFORMANCE</w:t>
      </w:r>
      <w:r>
        <w:rPr>
          <w:color w:val="221F1F"/>
          <w:spacing w:val="-4"/>
        </w:rPr>
        <w:t xml:space="preserve"> </w:t>
      </w:r>
      <w:r>
        <w:rPr>
          <w:color w:val="221F1F"/>
        </w:rPr>
        <w:t>SECURITY</w:t>
      </w:r>
      <w:r>
        <w:rPr>
          <w:color w:val="221F1F"/>
          <w:spacing w:val="-4"/>
        </w:rPr>
        <w:t xml:space="preserve"> </w:t>
      </w:r>
      <w:r>
        <w:rPr>
          <w:color w:val="221F1F"/>
        </w:rPr>
        <w:t>[Option</w:t>
      </w:r>
      <w:r>
        <w:rPr>
          <w:color w:val="221F1F"/>
          <w:spacing w:val="-4"/>
        </w:rPr>
        <w:t xml:space="preserve"> </w:t>
      </w:r>
      <w:r>
        <w:rPr>
          <w:color w:val="221F1F"/>
        </w:rPr>
        <w:t>2</w:t>
      </w:r>
      <w:r>
        <w:rPr>
          <w:color w:val="221F1F"/>
          <w:spacing w:val="-2"/>
        </w:rPr>
        <w:t xml:space="preserve"> </w:t>
      </w:r>
      <w:r>
        <w:rPr>
          <w:color w:val="221F1F"/>
        </w:rPr>
        <w:t>–</w:t>
      </w:r>
      <w:r>
        <w:rPr>
          <w:color w:val="221F1F"/>
          <w:spacing w:val="-4"/>
        </w:rPr>
        <w:t xml:space="preserve"> </w:t>
      </w:r>
      <w:r>
        <w:rPr>
          <w:color w:val="221F1F"/>
        </w:rPr>
        <w:t>Performance</w:t>
      </w:r>
      <w:r>
        <w:rPr>
          <w:color w:val="221F1F"/>
          <w:spacing w:val="-5"/>
        </w:rPr>
        <w:t xml:space="preserve"> </w:t>
      </w:r>
      <w:r>
        <w:rPr>
          <w:color w:val="221F1F"/>
          <w:spacing w:val="-2"/>
        </w:rPr>
        <w:t>Bond]</w:t>
      </w:r>
      <w:r>
        <w:rPr>
          <w:color w:val="221F1F"/>
        </w:rPr>
        <w:tab/>
      </w:r>
      <w:r>
        <w:rPr>
          <w:color w:val="221F1F"/>
          <w:spacing w:val="-5"/>
        </w:rPr>
        <w:t>138</w:t>
      </w:r>
    </w:p>
    <w:p w:rsidR="007F6DF9" w:rsidRDefault="007F6DF9">
      <w:pPr>
        <w:pStyle w:val="BodyText"/>
        <w:spacing w:line="252" w:lineRule="exact"/>
        <w:sectPr w:rsidR="007F6DF9">
          <w:pgSz w:w="11920" w:h="16850"/>
          <w:pgMar w:top="360" w:right="0" w:bottom="280" w:left="0" w:header="0" w:footer="0" w:gutter="0"/>
          <w:cols w:space="720"/>
        </w:sectPr>
      </w:pPr>
    </w:p>
    <w:p w:rsidR="007F6DF9" w:rsidRDefault="007F6DF9">
      <w:pPr>
        <w:pStyle w:val="BodyText"/>
        <w:rPr>
          <w:sz w:val="24"/>
        </w:rPr>
      </w:pPr>
    </w:p>
    <w:p w:rsidR="007F6DF9" w:rsidRDefault="007F6DF9">
      <w:pPr>
        <w:pStyle w:val="BodyText"/>
        <w:spacing w:before="246"/>
        <w:rPr>
          <w:sz w:val="24"/>
        </w:rPr>
      </w:pPr>
    </w:p>
    <w:p w:rsidR="007F6DF9" w:rsidRDefault="00A43FBC">
      <w:pPr>
        <w:pStyle w:val="Heading6"/>
        <w:spacing w:before="1"/>
        <w:ind w:left="842"/>
      </w:pPr>
      <w:bookmarkStart w:id="1" w:name="_bookmark0"/>
      <w:bookmarkEnd w:id="1"/>
      <w:r>
        <w:rPr>
          <w:color w:val="221F1F"/>
        </w:rPr>
        <w:t>TENDER</w:t>
      </w:r>
      <w:r>
        <w:rPr>
          <w:color w:val="221F1F"/>
          <w:spacing w:val="-1"/>
        </w:rPr>
        <w:t xml:space="preserve"> </w:t>
      </w:r>
      <w:r>
        <w:rPr>
          <w:color w:val="221F1F"/>
        </w:rPr>
        <w:t>DOCUMENTS</w:t>
      </w:r>
      <w:r>
        <w:rPr>
          <w:color w:val="221F1F"/>
          <w:spacing w:val="-1"/>
        </w:rPr>
        <w:t xml:space="preserve"> </w:t>
      </w:r>
      <w:r>
        <w:rPr>
          <w:color w:val="221F1F"/>
        </w:rPr>
        <w:t>FOR</w:t>
      </w:r>
      <w:r>
        <w:rPr>
          <w:color w:val="221F1F"/>
          <w:spacing w:val="1"/>
        </w:rPr>
        <w:t xml:space="preserve"> </w:t>
      </w:r>
      <w:r>
        <w:rPr>
          <w:color w:val="221F1F"/>
        </w:rPr>
        <w:t>PROPOSED</w:t>
      </w:r>
      <w:r>
        <w:rPr>
          <w:color w:val="221F1F"/>
          <w:spacing w:val="-4"/>
        </w:rPr>
        <w:t xml:space="preserve"> </w:t>
      </w:r>
      <w:r>
        <w:rPr>
          <w:color w:val="221F1F"/>
        </w:rPr>
        <w:t xml:space="preserve">COLD </w:t>
      </w:r>
      <w:r>
        <w:rPr>
          <w:color w:val="221F1F"/>
          <w:spacing w:val="-4"/>
        </w:rPr>
        <w:t>ROOM</w:t>
      </w:r>
    </w:p>
    <w:p w:rsidR="007F6DF9" w:rsidRDefault="00A43FBC">
      <w:pPr>
        <w:pStyle w:val="BodyText"/>
        <w:spacing w:before="232"/>
        <w:ind w:left="842"/>
      </w:pPr>
      <w:r>
        <w:rPr>
          <w:color w:val="221F1F"/>
        </w:rPr>
        <w:t>NAME</w:t>
      </w:r>
      <w:r>
        <w:rPr>
          <w:color w:val="221F1F"/>
          <w:spacing w:val="-9"/>
        </w:rPr>
        <w:t xml:space="preserve"> </w:t>
      </w:r>
      <w:r>
        <w:rPr>
          <w:color w:val="221F1F"/>
        </w:rPr>
        <w:t>AND</w:t>
      </w:r>
      <w:r>
        <w:rPr>
          <w:color w:val="221F1F"/>
          <w:spacing w:val="-6"/>
        </w:rPr>
        <w:t xml:space="preserve"> </w:t>
      </w:r>
      <w:r>
        <w:rPr>
          <w:color w:val="221F1F"/>
        </w:rPr>
        <w:t>CONTACT</w:t>
      </w:r>
      <w:r>
        <w:rPr>
          <w:color w:val="221F1F"/>
          <w:spacing w:val="-5"/>
        </w:rPr>
        <w:t xml:space="preserve"> </w:t>
      </w:r>
      <w:r>
        <w:rPr>
          <w:color w:val="221F1F"/>
        </w:rPr>
        <w:t>ADDRESSES</w:t>
      </w:r>
      <w:r>
        <w:rPr>
          <w:color w:val="221F1F"/>
          <w:spacing w:val="-6"/>
        </w:rPr>
        <w:t xml:space="preserve"> </w:t>
      </w:r>
      <w:r>
        <w:rPr>
          <w:color w:val="221F1F"/>
        </w:rPr>
        <w:t>OF</w:t>
      </w:r>
      <w:r>
        <w:rPr>
          <w:color w:val="221F1F"/>
          <w:spacing w:val="-7"/>
        </w:rPr>
        <w:t xml:space="preserve"> </w:t>
      </w:r>
      <w:r>
        <w:rPr>
          <w:color w:val="221F1F"/>
        </w:rPr>
        <w:t>PROCURING</w:t>
      </w:r>
      <w:r>
        <w:rPr>
          <w:color w:val="221F1F"/>
          <w:spacing w:val="-6"/>
        </w:rPr>
        <w:t xml:space="preserve"> </w:t>
      </w:r>
      <w:r>
        <w:rPr>
          <w:color w:val="221F1F"/>
          <w:spacing w:val="-2"/>
        </w:rPr>
        <w:t>ENTITY</w:t>
      </w:r>
    </w:p>
    <w:p w:rsidR="007F6DF9" w:rsidRDefault="007F6DF9">
      <w:pPr>
        <w:pStyle w:val="BodyText"/>
        <w:spacing w:before="99"/>
      </w:pPr>
    </w:p>
    <w:p w:rsidR="007F6DF9" w:rsidRDefault="00A43FBC">
      <w:pPr>
        <w:pStyle w:val="Heading9"/>
        <w:ind w:left="1322" w:firstLine="0"/>
      </w:pPr>
      <w:r>
        <w:rPr>
          <w:b w:val="0"/>
          <w:color w:val="221F1F"/>
        </w:rPr>
        <w:t>Name…</w:t>
      </w:r>
      <w:r>
        <w:rPr>
          <w:b w:val="0"/>
          <w:color w:val="221F1F"/>
          <w:spacing w:val="-10"/>
        </w:rPr>
        <w:t xml:space="preserve"> </w:t>
      </w:r>
      <w:r>
        <w:rPr>
          <w:color w:val="221F1F"/>
        </w:rPr>
        <w:t>JARAMOGI</w:t>
      </w:r>
      <w:r>
        <w:rPr>
          <w:color w:val="221F1F"/>
          <w:spacing w:val="-7"/>
        </w:rPr>
        <w:t xml:space="preserve"> </w:t>
      </w:r>
      <w:r>
        <w:rPr>
          <w:color w:val="221F1F"/>
        </w:rPr>
        <w:t>OGINGA</w:t>
      </w:r>
      <w:r>
        <w:rPr>
          <w:color w:val="221F1F"/>
          <w:spacing w:val="-5"/>
        </w:rPr>
        <w:t xml:space="preserve"> </w:t>
      </w:r>
      <w:r>
        <w:rPr>
          <w:color w:val="221F1F"/>
        </w:rPr>
        <w:t>ODINGA</w:t>
      </w:r>
      <w:r>
        <w:rPr>
          <w:color w:val="221F1F"/>
          <w:spacing w:val="-5"/>
        </w:rPr>
        <w:t xml:space="preserve"> </w:t>
      </w:r>
      <w:r>
        <w:rPr>
          <w:color w:val="221F1F"/>
        </w:rPr>
        <w:t>TEACHING</w:t>
      </w:r>
      <w:r>
        <w:rPr>
          <w:color w:val="221F1F"/>
          <w:spacing w:val="-7"/>
        </w:rPr>
        <w:t xml:space="preserve"> </w:t>
      </w:r>
      <w:r>
        <w:rPr>
          <w:color w:val="221F1F"/>
        </w:rPr>
        <w:t>&amp;</w:t>
      </w:r>
      <w:r>
        <w:rPr>
          <w:color w:val="221F1F"/>
          <w:spacing w:val="-5"/>
        </w:rPr>
        <w:t xml:space="preserve"> </w:t>
      </w:r>
      <w:r>
        <w:rPr>
          <w:color w:val="221F1F"/>
        </w:rPr>
        <w:t>REFERRAL</w:t>
      </w:r>
      <w:r>
        <w:rPr>
          <w:color w:val="221F1F"/>
          <w:spacing w:val="-6"/>
        </w:rPr>
        <w:t xml:space="preserve"> </w:t>
      </w:r>
      <w:r>
        <w:rPr>
          <w:color w:val="221F1F"/>
          <w:spacing w:val="-2"/>
        </w:rPr>
        <w:t>HOSPITAL</w:t>
      </w:r>
    </w:p>
    <w:p w:rsidR="007F6DF9" w:rsidRDefault="00A43FBC">
      <w:pPr>
        <w:spacing w:before="117"/>
        <w:ind w:left="1322"/>
        <w:rPr>
          <w:b/>
        </w:rPr>
      </w:pPr>
      <w:r>
        <w:rPr>
          <w:color w:val="221F1F"/>
        </w:rPr>
        <w:t>Address…</w:t>
      </w:r>
      <w:r>
        <w:rPr>
          <w:color w:val="221F1F"/>
          <w:spacing w:val="-4"/>
        </w:rPr>
        <w:t xml:space="preserve"> </w:t>
      </w:r>
      <w:r>
        <w:rPr>
          <w:b/>
          <w:color w:val="221F1F"/>
        </w:rPr>
        <w:t>P.O</w:t>
      </w:r>
      <w:r>
        <w:rPr>
          <w:b/>
          <w:color w:val="221F1F"/>
          <w:spacing w:val="-3"/>
        </w:rPr>
        <w:t xml:space="preserve"> </w:t>
      </w:r>
      <w:r>
        <w:rPr>
          <w:b/>
          <w:color w:val="221F1F"/>
        </w:rPr>
        <w:t>BOX</w:t>
      </w:r>
      <w:r>
        <w:rPr>
          <w:b/>
          <w:color w:val="221F1F"/>
          <w:spacing w:val="-4"/>
        </w:rPr>
        <w:t xml:space="preserve"> </w:t>
      </w:r>
      <w:r>
        <w:rPr>
          <w:b/>
          <w:color w:val="221F1F"/>
        </w:rPr>
        <w:t>849-40100,</w:t>
      </w:r>
      <w:r>
        <w:rPr>
          <w:b/>
          <w:color w:val="221F1F"/>
          <w:spacing w:val="-6"/>
        </w:rPr>
        <w:t xml:space="preserve"> </w:t>
      </w:r>
      <w:r>
        <w:rPr>
          <w:b/>
          <w:color w:val="221F1F"/>
          <w:spacing w:val="-2"/>
        </w:rPr>
        <w:t>KISUMU.</w:t>
      </w:r>
    </w:p>
    <w:p w:rsidR="007F6DF9" w:rsidRDefault="007F6DF9">
      <w:pPr>
        <w:pStyle w:val="BodyText"/>
        <w:spacing w:before="101"/>
        <w:rPr>
          <w:b/>
        </w:rPr>
      </w:pPr>
    </w:p>
    <w:p w:rsidR="007F6DF9" w:rsidRDefault="00A43FBC">
      <w:pPr>
        <w:pStyle w:val="Heading9"/>
        <w:numPr>
          <w:ilvl w:val="0"/>
          <w:numId w:val="237"/>
        </w:numPr>
        <w:tabs>
          <w:tab w:val="left" w:pos="1322"/>
        </w:tabs>
        <w:spacing w:line="248" w:lineRule="exact"/>
        <w:ind w:hanging="480"/>
        <w:rPr>
          <w:color w:val="221F1F"/>
        </w:rPr>
      </w:pPr>
      <w:r>
        <w:rPr>
          <w:color w:val="221F1F"/>
        </w:rPr>
        <w:t>Invitation</w:t>
      </w:r>
      <w:r>
        <w:rPr>
          <w:color w:val="221F1F"/>
          <w:spacing w:val="-8"/>
        </w:rPr>
        <w:t xml:space="preserve"> </w:t>
      </w:r>
      <w:r>
        <w:rPr>
          <w:color w:val="221F1F"/>
        </w:rPr>
        <w:t>to</w:t>
      </w:r>
      <w:r>
        <w:rPr>
          <w:color w:val="221F1F"/>
          <w:spacing w:val="-5"/>
        </w:rPr>
        <w:t xml:space="preserve"> </w:t>
      </w:r>
      <w:r>
        <w:rPr>
          <w:color w:val="221F1F"/>
        </w:rPr>
        <w:t>Tender</w:t>
      </w:r>
      <w:r>
        <w:rPr>
          <w:color w:val="221F1F"/>
          <w:spacing w:val="-14"/>
        </w:rPr>
        <w:t xml:space="preserve"> </w:t>
      </w:r>
      <w:r>
        <w:rPr>
          <w:color w:val="221F1F"/>
        </w:rPr>
        <w:t>(ITT)</w:t>
      </w:r>
      <w:r>
        <w:rPr>
          <w:color w:val="221F1F"/>
          <w:spacing w:val="-5"/>
        </w:rPr>
        <w:t xml:space="preserve"> </w:t>
      </w:r>
      <w:r>
        <w:rPr>
          <w:color w:val="221F1F"/>
        </w:rPr>
        <w:t>No.</w:t>
      </w:r>
      <w:r>
        <w:rPr>
          <w:color w:val="221F1F"/>
          <w:spacing w:val="-4"/>
        </w:rPr>
        <w:t xml:space="preserve"> </w:t>
      </w:r>
      <w:r>
        <w:rPr>
          <w:color w:val="221F1F"/>
        </w:rPr>
        <w:t>W.P.</w:t>
      </w:r>
      <w:r>
        <w:rPr>
          <w:color w:val="221F1F"/>
          <w:spacing w:val="-8"/>
        </w:rPr>
        <w:t xml:space="preserve"> </w:t>
      </w:r>
      <w:r>
        <w:rPr>
          <w:color w:val="221F1F"/>
        </w:rPr>
        <w:t>ITEM</w:t>
      </w:r>
      <w:r>
        <w:rPr>
          <w:color w:val="221F1F"/>
          <w:spacing w:val="-5"/>
        </w:rPr>
        <w:t xml:space="preserve"> </w:t>
      </w:r>
      <w:r>
        <w:rPr>
          <w:color w:val="221F1F"/>
        </w:rPr>
        <w:t>NO.</w:t>
      </w:r>
      <w:r>
        <w:rPr>
          <w:color w:val="221F1F"/>
          <w:spacing w:val="-5"/>
        </w:rPr>
        <w:t xml:space="preserve"> </w:t>
      </w:r>
      <w:r>
        <w:rPr>
          <w:color w:val="221F1F"/>
          <w:spacing w:val="-2"/>
        </w:rPr>
        <w:t>D1081/JOOTRH/02/2026</w:t>
      </w:r>
    </w:p>
    <w:p w:rsidR="007F6DF9" w:rsidRDefault="00A43FBC">
      <w:pPr>
        <w:pStyle w:val="ListParagraph"/>
        <w:numPr>
          <w:ilvl w:val="0"/>
          <w:numId w:val="237"/>
        </w:numPr>
        <w:tabs>
          <w:tab w:val="left" w:pos="1440"/>
        </w:tabs>
        <w:spacing w:line="271" w:lineRule="exact"/>
        <w:ind w:left="1440" w:hanging="598"/>
        <w:rPr>
          <w:color w:val="221F1F"/>
        </w:rPr>
      </w:pPr>
      <w:r>
        <w:rPr>
          <w:color w:val="221F1F"/>
        </w:rPr>
        <w:t>Tender</w:t>
      </w:r>
      <w:r>
        <w:rPr>
          <w:color w:val="221F1F"/>
          <w:spacing w:val="-14"/>
        </w:rPr>
        <w:t xml:space="preserve"> </w:t>
      </w:r>
      <w:r>
        <w:rPr>
          <w:color w:val="221F1F"/>
        </w:rPr>
        <w:t>Name</w:t>
      </w:r>
      <w:r>
        <w:rPr>
          <w:color w:val="221F1F"/>
          <w:spacing w:val="-9"/>
        </w:rPr>
        <w:t xml:space="preserve"> </w:t>
      </w:r>
      <w:bookmarkStart w:id="2" w:name="_bookmark1"/>
      <w:bookmarkEnd w:id="2"/>
      <w:r>
        <w:rPr>
          <w:color w:val="221F1F"/>
          <w:sz w:val="24"/>
        </w:rPr>
        <w:t>PROPOSED</w:t>
      </w:r>
      <w:r>
        <w:rPr>
          <w:color w:val="221F1F"/>
          <w:spacing w:val="-8"/>
          <w:sz w:val="24"/>
        </w:rPr>
        <w:t xml:space="preserve"> </w:t>
      </w:r>
      <w:r>
        <w:rPr>
          <w:color w:val="221F1F"/>
          <w:sz w:val="24"/>
        </w:rPr>
        <w:t>COLD</w:t>
      </w:r>
      <w:r>
        <w:rPr>
          <w:color w:val="221F1F"/>
          <w:spacing w:val="-8"/>
          <w:sz w:val="24"/>
        </w:rPr>
        <w:t xml:space="preserve"> </w:t>
      </w:r>
      <w:r>
        <w:rPr>
          <w:color w:val="221F1F"/>
          <w:spacing w:val="-4"/>
          <w:sz w:val="24"/>
        </w:rPr>
        <w:t>ROOM</w:t>
      </w:r>
      <w:r>
        <w:rPr>
          <w:b/>
          <w:color w:val="221F1F"/>
          <w:spacing w:val="-4"/>
          <w:sz w:val="24"/>
        </w:rPr>
        <w:t>.</w:t>
      </w:r>
    </w:p>
    <w:p w:rsidR="007F6DF9" w:rsidRDefault="007F6DF9">
      <w:pPr>
        <w:pStyle w:val="BodyText"/>
        <w:spacing w:before="28"/>
        <w:rPr>
          <w:b/>
          <w:sz w:val="24"/>
        </w:rPr>
      </w:pPr>
    </w:p>
    <w:p w:rsidR="007F6DF9" w:rsidRDefault="00A43FBC">
      <w:pPr>
        <w:pStyle w:val="BodyText"/>
        <w:ind w:left="842"/>
      </w:pPr>
      <w:r>
        <w:rPr>
          <w:color w:val="221F1F"/>
          <w:u w:val="single" w:color="221F1F"/>
        </w:rPr>
        <w:t>INVITATION</w:t>
      </w:r>
      <w:r>
        <w:rPr>
          <w:color w:val="221F1F"/>
          <w:spacing w:val="-6"/>
          <w:u w:val="single" w:color="221F1F"/>
        </w:rPr>
        <w:t xml:space="preserve"> </w:t>
      </w:r>
      <w:r>
        <w:rPr>
          <w:color w:val="221F1F"/>
          <w:u w:val="single" w:color="221F1F"/>
        </w:rPr>
        <w:t>TO</w:t>
      </w:r>
      <w:r>
        <w:rPr>
          <w:color w:val="221F1F"/>
          <w:spacing w:val="-6"/>
          <w:u w:val="single" w:color="221F1F"/>
        </w:rPr>
        <w:t xml:space="preserve"> </w:t>
      </w:r>
      <w:r>
        <w:rPr>
          <w:color w:val="221F1F"/>
          <w:spacing w:val="-2"/>
          <w:u w:val="single" w:color="221F1F"/>
        </w:rPr>
        <w:t>TENDER</w:t>
      </w:r>
    </w:p>
    <w:p w:rsidR="007F6DF9" w:rsidRDefault="007F6DF9">
      <w:pPr>
        <w:pStyle w:val="BodyText"/>
        <w:spacing w:before="29"/>
      </w:pPr>
    </w:p>
    <w:p w:rsidR="007F6DF9" w:rsidRDefault="00A43FBC">
      <w:pPr>
        <w:spacing w:before="1"/>
        <w:ind w:left="864"/>
      </w:pPr>
      <w:r>
        <w:rPr>
          <w:b/>
          <w:color w:val="221F1F"/>
        </w:rPr>
        <w:t>PROCURING</w:t>
      </w:r>
      <w:r>
        <w:rPr>
          <w:b/>
          <w:color w:val="221F1F"/>
          <w:spacing w:val="-12"/>
        </w:rPr>
        <w:t xml:space="preserve"> </w:t>
      </w:r>
      <w:r>
        <w:rPr>
          <w:b/>
          <w:color w:val="221F1F"/>
        </w:rPr>
        <w:t>ENTITY:</w:t>
      </w:r>
      <w:r>
        <w:rPr>
          <w:b/>
          <w:color w:val="221F1F"/>
          <w:spacing w:val="-14"/>
        </w:rPr>
        <w:t xml:space="preserve"> </w:t>
      </w:r>
      <w:r>
        <w:rPr>
          <w:color w:val="221F1F"/>
        </w:rPr>
        <w:t>JARAMOGI</w:t>
      </w:r>
      <w:r>
        <w:rPr>
          <w:color w:val="221F1F"/>
          <w:spacing w:val="-10"/>
        </w:rPr>
        <w:t xml:space="preserve"> </w:t>
      </w:r>
      <w:r>
        <w:rPr>
          <w:color w:val="221F1F"/>
        </w:rPr>
        <w:t>OGINGA</w:t>
      </w:r>
      <w:r>
        <w:rPr>
          <w:color w:val="221F1F"/>
          <w:spacing w:val="-8"/>
        </w:rPr>
        <w:t xml:space="preserve"> </w:t>
      </w:r>
      <w:r>
        <w:rPr>
          <w:color w:val="221F1F"/>
        </w:rPr>
        <w:t>ODINGA</w:t>
      </w:r>
      <w:r>
        <w:rPr>
          <w:color w:val="221F1F"/>
          <w:spacing w:val="-10"/>
        </w:rPr>
        <w:t xml:space="preserve"> </w:t>
      </w:r>
      <w:r>
        <w:rPr>
          <w:color w:val="221F1F"/>
        </w:rPr>
        <w:t>TEACHING</w:t>
      </w:r>
      <w:r>
        <w:rPr>
          <w:color w:val="221F1F"/>
          <w:spacing w:val="-10"/>
        </w:rPr>
        <w:t xml:space="preserve"> </w:t>
      </w:r>
      <w:r>
        <w:rPr>
          <w:color w:val="221F1F"/>
        </w:rPr>
        <w:t>&amp;</w:t>
      </w:r>
      <w:r>
        <w:rPr>
          <w:color w:val="221F1F"/>
          <w:spacing w:val="-8"/>
        </w:rPr>
        <w:t xml:space="preserve"> </w:t>
      </w:r>
      <w:r>
        <w:rPr>
          <w:color w:val="221F1F"/>
        </w:rPr>
        <w:t>REFERRAL</w:t>
      </w:r>
      <w:r>
        <w:rPr>
          <w:color w:val="221F1F"/>
          <w:spacing w:val="-9"/>
        </w:rPr>
        <w:t xml:space="preserve"> </w:t>
      </w:r>
      <w:r>
        <w:rPr>
          <w:color w:val="221F1F"/>
          <w:spacing w:val="-2"/>
        </w:rPr>
        <w:t>HOSPITAL</w:t>
      </w:r>
    </w:p>
    <w:p w:rsidR="007F6DF9" w:rsidRDefault="00A43FBC">
      <w:pPr>
        <w:spacing w:before="26"/>
        <w:ind w:left="842"/>
        <w:rPr>
          <w:sz w:val="24"/>
        </w:rPr>
      </w:pPr>
      <w:r>
        <w:rPr>
          <w:b/>
          <w:color w:val="221F1F"/>
        </w:rPr>
        <w:t>CONTRACT</w:t>
      </w:r>
      <w:r>
        <w:rPr>
          <w:b/>
          <w:color w:val="221F1F"/>
          <w:spacing w:val="-5"/>
        </w:rPr>
        <w:t xml:space="preserve"> </w:t>
      </w:r>
      <w:r>
        <w:rPr>
          <w:b/>
          <w:color w:val="221F1F"/>
        </w:rPr>
        <w:t>NAME</w:t>
      </w:r>
      <w:r>
        <w:rPr>
          <w:b/>
          <w:color w:val="221F1F"/>
          <w:spacing w:val="-6"/>
        </w:rPr>
        <w:t xml:space="preserve"> </w:t>
      </w:r>
      <w:r>
        <w:rPr>
          <w:b/>
          <w:color w:val="221F1F"/>
        </w:rPr>
        <w:t>AND</w:t>
      </w:r>
      <w:r>
        <w:rPr>
          <w:b/>
          <w:color w:val="221F1F"/>
          <w:spacing w:val="-5"/>
        </w:rPr>
        <w:t xml:space="preserve"> </w:t>
      </w:r>
      <w:r>
        <w:rPr>
          <w:b/>
          <w:color w:val="221F1F"/>
        </w:rPr>
        <w:t>DESCRIPTION:</w:t>
      </w:r>
      <w:r>
        <w:rPr>
          <w:b/>
          <w:color w:val="221F1F"/>
          <w:spacing w:val="-4"/>
        </w:rPr>
        <w:t xml:space="preserve"> </w:t>
      </w:r>
      <w:r>
        <w:rPr>
          <w:color w:val="221F1F"/>
          <w:sz w:val="24"/>
        </w:rPr>
        <w:t>PROPOSED</w:t>
      </w:r>
      <w:r>
        <w:rPr>
          <w:color w:val="221F1F"/>
          <w:spacing w:val="-5"/>
          <w:sz w:val="24"/>
        </w:rPr>
        <w:t xml:space="preserve"> </w:t>
      </w:r>
      <w:r>
        <w:rPr>
          <w:color w:val="221F1F"/>
          <w:sz w:val="24"/>
        </w:rPr>
        <w:t>COLD</w:t>
      </w:r>
      <w:r>
        <w:rPr>
          <w:color w:val="221F1F"/>
          <w:spacing w:val="-5"/>
          <w:sz w:val="24"/>
        </w:rPr>
        <w:t xml:space="preserve"> </w:t>
      </w:r>
      <w:r>
        <w:rPr>
          <w:color w:val="221F1F"/>
          <w:spacing w:val="-4"/>
          <w:sz w:val="24"/>
        </w:rPr>
        <w:t>ROOM</w:t>
      </w:r>
    </w:p>
    <w:p w:rsidR="007F6DF9" w:rsidRDefault="007F6DF9">
      <w:pPr>
        <w:pStyle w:val="BodyText"/>
        <w:spacing w:before="25"/>
      </w:pPr>
    </w:p>
    <w:p w:rsidR="007F6DF9" w:rsidRDefault="00A43FBC">
      <w:pPr>
        <w:spacing w:before="1"/>
        <w:ind w:left="864"/>
        <w:rPr>
          <w:sz w:val="24"/>
        </w:rPr>
      </w:pPr>
      <w:r>
        <w:rPr>
          <w:color w:val="221F1F"/>
        </w:rPr>
        <w:t>The</w:t>
      </w:r>
      <w:r>
        <w:rPr>
          <w:color w:val="221F1F"/>
          <w:spacing w:val="-3"/>
        </w:rPr>
        <w:t xml:space="preserve"> </w:t>
      </w:r>
      <w:r>
        <w:rPr>
          <w:b/>
          <w:i/>
          <w:color w:val="221F1F"/>
        </w:rPr>
        <w:t>JOOTRH</w:t>
      </w:r>
      <w:r>
        <w:rPr>
          <w:b/>
          <w:i/>
          <w:color w:val="221F1F"/>
          <w:spacing w:val="-2"/>
        </w:rPr>
        <w:t xml:space="preserve"> </w:t>
      </w:r>
      <w:r>
        <w:rPr>
          <w:color w:val="221F1F"/>
        </w:rPr>
        <w:t>invites</w:t>
      </w:r>
      <w:r>
        <w:rPr>
          <w:color w:val="221F1F"/>
          <w:spacing w:val="-5"/>
        </w:rPr>
        <w:t xml:space="preserve"> </w:t>
      </w:r>
      <w:r>
        <w:rPr>
          <w:color w:val="221F1F"/>
        </w:rPr>
        <w:t>sealed</w:t>
      </w:r>
      <w:r>
        <w:rPr>
          <w:color w:val="221F1F"/>
          <w:spacing w:val="-3"/>
        </w:rPr>
        <w:t xml:space="preserve"> </w:t>
      </w:r>
      <w:r>
        <w:rPr>
          <w:color w:val="221F1F"/>
        </w:rPr>
        <w:t>tenders</w:t>
      </w:r>
      <w:r>
        <w:rPr>
          <w:color w:val="221F1F"/>
          <w:spacing w:val="-1"/>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construction</w:t>
      </w:r>
      <w:r>
        <w:rPr>
          <w:color w:val="221F1F"/>
          <w:spacing w:val="-3"/>
        </w:rPr>
        <w:t xml:space="preserve"> </w:t>
      </w:r>
      <w:r>
        <w:rPr>
          <w:color w:val="221F1F"/>
        </w:rPr>
        <w:t>of</w:t>
      </w:r>
      <w:r>
        <w:rPr>
          <w:color w:val="221F1F"/>
          <w:spacing w:val="-5"/>
        </w:rPr>
        <w:t xml:space="preserve"> </w:t>
      </w:r>
      <w:r>
        <w:rPr>
          <w:color w:val="221F1F"/>
          <w:sz w:val="24"/>
        </w:rPr>
        <w:t>PROPOSED</w:t>
      </w:r>
      <w:r>
        <w:rPr>
          <w:color w:val="221F1F"/>
          <w:spacing w:val="-3"/>
          <w:sz w:val="24"/>
        </w:rPr>
        <w:t xml:space="preserve"> </w:t>
      </w:r>
      <w:r>
        <w:rPr>
          <w:color w:val="221F1F"/>
          <w:sz w:val="24"/>
        </w:rPr>
        <w:t>COLD</w:t>
      </w:r>
      <w:r>
        <w:rPr>
          <w:color w:val="221F1F"/>
          <w:spacing w:val="-5"/>
          <w:sz w:val="24"/>
        </w:rPr>
        <w:t xml:space="preserve"> </w:t>
      </w:r>
      <w:r>
        <w:rPr>
          <w:color w:val="221F1F"/>
          <w:spacing w:val="-4"/>
          <w:sz w:val="24"/>
        </w:rPr>
        <w:t>ROOM</w:t>
      </w:r>
    </w:p>
    <w:p w:rsidR="007F6DF9" w:rsidRDefault="007F6DF9">
      <w:pPr>
        <w:pStyle w:val="BodyText"/>
        <w:spacing w:before="70"/>
      </w:pPr>
    </w:p>
    <w:p w:rsidR="007F6DF9" w:rsidRDefault="00A43FBC">
      <w:pPr>
        <w:pStyle w:val="BodyText"/>
        <w:spacing w:line="276" w:lineRule="auto"/>
        <w:ind w:left="864" w:right="1348" w:firstLine="55"/>
      </w:pPr>
      <w:r>
        <w:rPr>
          <w:color w:val="221F1F"/>
        </w:rPr>
        <w:t>Tendering</w:t>
      </w:r>
      <w:r>
        <w:rPr>
          <w:color w:val="221F1F"/>
          <w:spacing w:val="-2"/>
        </w:rPr>
        <w:t xml:space="preserve"> </w:t>
      </w:r>
      <w:r>
        <w:rPr>
          <w:color w:val="221F1F"/>
        </w:rPr>
        <w:t>will</w:t>
      </w:r>
      <w:r>
        <w:rPr>
          <w:color w:val="221F1F"/>
          <w:spacing w:val="-1"/>
        </w:rPr>
        <w:t xml:space="preserve"> </w:t>
      </w:r>
      <w:r>
        <w:rPr>
          <w:color w:val="221F1F"/>
        </w:rPr>
        <w:t>be</w:t>
      </w:r>
      <w:r>
        <w:rPr>
          <w:color w:val="221F1F"/>
          <w:spacing w:val="-4"/>
        </w:rPr>
        <w:t xml:space="preserve"> </w:t>
      </w:r>
      <w:r>
        <w:rPr>
          <w:color w:val="221F1F"/>
        </w:rPr>
        <w:t>conducted</w:t>
      </w:r>
      <w:r>
        <w:rPr>
          <w:color w:val="221F1F"/>
          <w:spacing w:val="-2"/>
        </w:rPr>
        <w:t xml:space="preserve"> </w:t>
      </w:r>
      <w:r>
        <w:rPr>
          <w:color w:val="221F1F"/>
        </w:rPr>
        <w:t>under</w:t>
      </w:r>
      <w:r>
        <w:rPr>
          <w:color w:val="221F1F"/>
          <w:spacing w:val="-2"/>
        </w:rPr>
        <w:t xml:space="preserve"> </w:t>
      </w:r>
      <w:r>
        <w:rPr>
          <w:color w:val="221F1F"/>
        </w:rPr>
        <w:t>open</w:t>
      </w:r>
      <w:r>
        <w:rPr>
          <w:color w:val="221F1F"/>
          <w:spacing w:val="-2"/>
        </w:rPr>
        <w:t xml:space="preserve"> </w:t>
      </w:r>
      <w:r>
        <w:rPr>
          <w:color w:val="221F1F"/>
        </w:rPr>
        <w:t>competitive</w:t>
      </w:r>
      <w:r>
        <w:rPr>
          <w:color w:val="221F1F"/>
          <w:spacing w:val="-4"/>
        </w:rPr>
        <w:t xml:space="preserve"> </w:t>
      </w:r>
      <w:r>
        <w:rPr>
          <w:color w:val="221F1F"/>
        </w:rPr>
        <w:t>method</w:t>
      </w:r>
      <w:r>
        <w:rPr>
          <w:color w:val="221F1F"/>
          <w:spacing w:val="-5"/>
        </w:rPr>
        <w:t xml:space="preserve"> </w:t>
      </w:r>
      <w:r>
        <w:rPr>
          <w:color w:val="221F1F"/>
        </w:rPr>
        <w:t>(National)</w:t>
      </w:r>
      <w:r>
        <w:rPr>
          <w:color w:val="221F1F"/>
          <w:spacing w:val="-4"/>
        </w:rPr>
        <w:t xml:space="preserve"> </w:t>
      </w:r>
      <w:r>
        <w:rPr>
          <w:i/>
          <w:color w:val="221F1F"/>
        </w:rPr>
        <w:t>using</w:t>
      </w:r>
      <w:r>
        <w:rPr>
          <w:i/>
          <w:color w:val="221F1F"/>
          <w:spacing w:val="-2"/>
        </w:rPr>
        <w:t xml:space="preserve"> </w:t>
      </w:r>
      <w:r>
        <w:rPr>
          <w:color w:val="221F1F"/>
        </w:rPr>
        <w:t>a</w:t>
      </w:r>
      <w:r>
        <w:rPr>
          <w:color w:val="221F1F"/>
          <w:spacing w:val="-4"/>
        </w:rPr>
        <w:t xml:space="preserve"> </w:t>
      </w:r>
      <w:r>
        <w:rPr>
          <w:color w:val="221F1F"/>
        </w:rPr>
        <w:t>standardized</w:t>
      </w:r>
      <w:r>
        <w:rPr>
          <w:color w:val="221F1F"/>
          <w:spacing w:val="-3"/>
        </w:rPr>
        <w:t xml:space="preserve"> </w:t>
      </w:r>
      <w:r>
        <w:rPr>
          <w:color w:val="221F1F"/>
        </w:rPr>
        <w:t xml:space="preserve">tender document. Tendering is open to </w:t>
      </w:r>
      <w:r>
        <w:rPr>
          <w:color w:val="221F1F"/>
          <w:u w:val="single" w:color="221F1F"/>
        </w:rPr>
        <w:t>all qualified and interested Tenderers</w:t>
      </w:r>
      <w:r>
        <w:rPr>
          <w:color w:val="221F1F"/>
        </w:rPr>
        <w:t>.</w:t>
      </w:r>
    </w:p>
    <w:p w:rsidR="007F6DF9" w:rsidRDefault="00A43FBC">
      <w:pPr>
        <w:pStyle w:val="ListParagraph"/>
        <w:numPr>
          <w:ilvl w:val="0"/>
          <w:numId w:val="236"/>
        </w:numPr>
        <w:tabs>
          <w:tab w:val="left" w:pos="1334"/>
          <w:tab w:val="left" w:pos="1346"/>
          <w:tab w:val="left" w:pos="10317"/>
        </w:tabs>
        <w:spacing w:before="245"/>
        <w:ind w:right="844" w:hanging="491"/>
        <w:jc w:val="both"/>
        <w:rPr>
          <w:color w:val="221F1F"/>
        </w:rPr>
      </w:pPr>
      <w:r>
        <w:rPr>
          <w:color w:val="221F1F"/>
        </w:rPr>
        <w:t xml:space="preserve">A complete set of tender documents may </w:t>
      </w:r>
      <w:r w:rsidR="00A1367C">
        <w:rPr>
          <w:color w:val="221F1F"/>
        </w:rPr>
        <w:t>be</w:t>
      </w:r>
      <w:r>
        <w:rPr>
          <w:color w:val="221F1F"/>
        </w:rPr>
        <w:t xml:space="preserve"> obtained by interested </w:t>
      </w:r>
      <w:r w:rsidR="00A1367C">
        <w:rPr>
          <w:color w:val="221F1F"/>
        </w:rPr>
        <w:t xml:space="preserve">tenderers </w:t>
      </w:r>
      <w:r>
        <w:rPr>
          <w:color w:val="221F1F"/>
        </w:rPr>
        <w:t xml:space="preserve">electronically from the </w:t>
      </w:r>
      <w:proofErr w:type="gramStart"/>
      <w:r>
        <w:rPr>
          <w:color w:val="221F1F"/>
        </w:rPr>
        <w:t>Website(s)</w:t>
      </w:r>
      <w:r w:rsidR="00A1367C" w:rsidRPr="00A1367C">
        <w:rPr>
          <w:b/>
          <w:color w:val="FF0000"/>
          <w:u w:val="single" w:color="211E1F"/>
        </w:rPr>
        <w:t>www.jootrh.go.ke</w:t>
      </w:r>
      <w:r>
        <w:rPr>
          <w:color w:val="221F1F"/>
        </w:rPr>
        <w:t xml:space="preserve"> </w:t>
      </w:r>
      <w:r w:rsidR="00A1367C">
        <w:rPr>
          <w:color w:val="221F1F"/>
        </w:rPr>
        <w:t>,</w:t>
      </w:r>
      <w:r>
        <w:rPr>
          <w:color w:val="221F1F"/>
        </w:rPr>
        <w:t>free</w:t>
      </w:r>
      <w:proofErr w:type="gramEnd"/>
      <w:r>
        <w:rPr>
          <w:color w:val="221F1F"/>
        </w:rPr>
        <w:t xml:space="preserve"> of charge.</w:t>
      </w:r>
    </w:p>
    <w:p w:rsidR="007F6DF9" w:rsidRDefault="00A43FBC">
      <w:pPr>
        <w:pStyle w:val="ListParagraph"/>
        <w:numPr>
          <w:ilvl w:val="0"/>
          <w:numId w:val="236"/>
        </w:numPr>
        <w:tabs>
          <w:tab w:val="left" w:pos="1334"/>
          <w:tab w:val="left" w:pos="1346"/>
        </w:tabs>
        <w:spacing w:before="248"/>
        <w:ind w:right="847" w:hanging="491"/>
        <w:jc w:val="both"/>
        <w:rPr>
          <w:color w:val="221F1F"/>
        </w:rPr>
      </w:pPr>
      <w:r>
        <w:rPr>
          <w:color w:val="221F1F"/>
        </w:rPr>
        <w:t xml:space="preserve">Tender documents may be viewed and downloaded for free from the </w:t>
      </w:r>
      <w:proofErr w:type="gramStart"/>
      <w:r>
        <w:rPr>
          <w:color w:val="221F1F"/>
        </w:rPr>
        <w:t xml:space="preserve">website </w:t>
      </w:r>
      <w:r w:rsidR="00A1367C">
        <w:rPr>
          <w:color w:val="221F1F"/>
        </w:rPr>
        <w:t>.</w:t>
      </w:r>
      <w:r>
        <w:rPr>
          <w:color w:val="221F1F"/>
        </w:rPr>
        <w:t>Tenderers</w:t>
      </w:r>
      <w:proofErr w:type="gramEnd"/>
      <w:r>
        <w:rPr>
          <w:color w:val="221F1F"/>
        </w:rPr>
        <w:t xml:space="preserve"> who download the tender document must forward their particulars immediately to </w:t>
      </w:r>
      <w:r w:rsidR="00A1367C">
        <w:rPr>
          <w:color w:val="221F1F"/>
        </w:rPr>
        <w:t>(stephenonduu@jootrh.go.ke)</w:t>
      </w:r>
      <w:r>
        <w:rPr>
          <w:b/>
          <w:i/>
          <w:color w:val="221F1F"/>
        </w:rPr>
        <w:t xml:space="preserve">as per tender advertisement </w:t>
      </w:r>
      <w:r>
        <w:rPr>
          <w:color w:val="221F1F"/>
        </w:rPr>
        <w:t>to facilitate any further clarification or addendum.</w:t>
      </w:r>
    </w:p>
    <w:p w:rsidR="007F6DF9" w:rsidRDefault="00A43FBC">
      <w:pPr>
        <w:pStyle w:val="ListParagraph"/>
        <w:numPr>
          <w:ilvl w:val="0"/>
          <w:numId w:val="236"/>
        </w:numPr>
        <w:tabs>
          <w:tab w:val="left" w:pos="1334"/>
          <w:tab w:val="left" w:pos="1346"/>
        </w:tabs>
        <w:spacing w:before="247"/>
        <w:ind w:right="845" w:hanging="491"/>
        <w:jc w:val="both"/>
        <w:rPr>
          <w:color w:val="221F1F"/>
        </w:rPr>
      </w:pPr>
      <w:r>
        <w:rPr>
          <w:color w:val="221F1F"/>
        </w:rPr>
        <w:t xml:space="preserve">Tenders shall be quoted be in Kenya Shillings and shall include all taxes. Tenders shall remain valid for </w:t>
      </w:r>
      <w:r>
        <w:rPr>
          <w:b/>
          <w:color w:val="221F1F"/>
        </w:rPr>
        <w:t xml:space="preserve">120 </w:t>
      </w:r>
      <w:r>
        <w:rPr>
          <w:color w:val="221F1F"/>
        </w:rPr>
        <w:t>days from the date of opening of tenders.</w:t>
      </w:r>
    </w:p>
    <w:p w:rsidR="007F6DF9" w:rsidRDefault="00A43FBC">
      <w:pPr>
        <w:pStyle w:val="ListParagraph"/>
        <w:numPr>
          <w:ilvl w:val="0"/>
          <w:numId w:val="236"/>
        </w:numPr>
        <w:tabs>
          <w:tab w:val="left" w:pos="1337"/>
        </w:tabs>
        <w:spacing w:before="245"/>
        <w:ind w:left="1337" w:hanging="449"/>
        <w:rPr>
          <w:b/>
          <w:i/>
          <w:color w:val="221F1F"/>
        </w:rPr>
      </w:pPr>
      <w:r>
        <w:rPr>
          <w:color w:val="221F1F"/>
        </w:rPr>
        <w:t>All</w:t>
      </w:r>
      <w:r>
        <w:rPr>
          <w:color w:val="221F1F"/>
          <w:spacing w:val="-4"/>
        </w:rPr>
        <w:t xml:space="preserve"> </w:t>
      </w:r>
      <w:r>
        <w:rPr>
          <w:color w:val="221F1F"/>
        </w:rPr>
        <w:t>Tenders</w:t>
      </w:r>
      <w:r>
        <w:rPr>
          <w:color w:val="221F1F"/>
          <w:spacing w:val="-11"/>
        </w:rPr>
        <w:t xml:space="preserve"> </w:t>
      </w:r>
      <w:r>
        <w:rPr>
          <w:color w:val="221F1F"/>
        </w:rPr>
        <w:t>must</w:t>
      </w:r>
      <w:r>
        <w:rPr>
          <w:color w:val="221F1F"/>
          <w:spacing w:val="-6"/>
        </w:rPr>
        <w:t xml:space="preserve"> </w:t>
      </w:r>
      <w:r>
        <w:rPr>
          <w:color w:val="221F1F"/>
        </w:rPr>
        <w:t>be</w:t>
      </w:r>
      <w:r>
        <w:rPr>
          <w:color w:val="221F1F"/>
          <w:spacing w:val="-5"/>
        </w:rPr>
        <w:t xml:space="preserve"> </w:t>
      </w:r>
      <w:r>
        <w:rPr>
          <w:color w:val="221F1F"/>
        </w:rPr>
        <w:t>accompanied</w:t>
      </w:r>
      <w:r>
        <w:rPr>
          <w:color w:val="221F1F"/>
          <w:spacing w:val="-4"/>
        </w:rPr>
        <w:t xml:space="preserve"> </w:t>
      </w:r>
      <w:r>
        <w:rPr>
          <w:color w:val="221F1F"/>
        </w:rPr>
        <w:t>by</w:t>
      </w:r>
      <w:r>
        <w:rPr>
          <w:color w:val="221F1F"/>
          <w:spacing w:val="-5"/>
        </w:rPr>
        <w:t xml:space="preserve"> </w:t>
      </w:r>
      <w:proofErr w:type="spellStart"/>
      <w:proofErr w:type="gramStart"/>
      <w:r>
        <w:rPr>
          <w:color w:val="221F1F"/>
        </w:rPr>
        <w:t>a</w:t>
      </w:r>
      <w:r>
        <w:rPr>
          <w:i/>
          <w:color w:val="221F1F"/>
        </w:rPr>
        <w:t>“</w:t>
      </w:r>
      <w:proofErr w:type="gramEnd"/>
      <w:r>
        <w:rPr>
          <w:i/>
          <w:color w:val="221F1F"/>
        </w:rPr>
        <w:t>tender</w:t>
      </w:r>
      <w:proofErr w:type="spellEnd"/>
      <w:r>
        <w:rPr>
          <w:i/>
          <w:color w:val="221F1F"/>
          <w:spacing w:val="-6"/>
        </w:rPr>
        <w:t xml:space="preserve"> </w:t>
      </w:r>
      <w:r>
        <w:rPr>
          <w:i/>
          <w:color w:val="221F1F"/>
        </w:rPr>
        <w:t>Security”</w:t>
      </w:r>
      <w:r>
        <w:rPr>
          <w:i/>
          <w:color w:val="221F1F"/>
          <w:spacing w:val="-4"/>
        </w:rPr>
        <w:t xml:space="preserve"> </w:t>
      </w:r>
      <w:r w:rsidR="00B22BD9">
        <w:t>shs.1</w:t>
      </w:r>
      <w:r w:rsidR="00482502">
        <w:t>90,000</w:t>
      </w:r>
      <w:r>
        <w:rPr>
          <w:b/>
          <w:i/>
          <w:spacing w:val="-5"/>
        </w:rPr>
        <w:t xml:space="preserve"> </w:t>
      </w:r>
      <w:r>
        <w:rPr>
          <w:b/>
          <w:i/>
        </w:rPr>
        <w:t>of</w:t>
      </w:r>
      <w:r>
        <w:rPr>
          <w:b/>
          <w:i/>
          <w:spacing w:val="-4"/>
        </w:rPr>
        <w:t xml:space="preserve"> </w:t>
      </w:r>
      <w:r>
        <w:rPr>
          <w:b/>
          <w:i/>
        </w:rPr>
        <w:t>the</w:t>
      </w:r>
      <w:r>
        <w:rPr>
          <w:b/>
          <w:i/>
          <w:spacing w:val="-5"/>
        </w:rPr>
        <w:t xml:space="preserve"> </w:t>
      </w:r>
      <w:r>
        <w:rPr>
          <w:b/>
          <w:i/>
        </w:rPr>
        <w:t>quoted</w:t>
      </w:r>
      <w:r>
        <w:rPr>
          <w:b/>
          <w:i/>
          <w:spacing w:val="-4"/>
        </w:rPr>
        <w:t xml:space="preserve"> </w:t>
      </w:r>
      <w:r>
        <w:rPr>
          <w:b/>
          <w:i/>
          <w:spacing w:val="-5"/>
        </w:rPr>
        <w:t xml:space="preserve">sum in the form of </w:t>
      </w:r>
      <w:proofErr w:type="spellStart"/>
      <w:r>
        <w:rPr>
          <w:b/>
          <w:i/>
          <w:spacing w:val="-5"/>
        </w:rPr>
        <w:t>cash,Bank</w:t>
      </w:r>
      <w:proofErr w:type="spellEnd"/>
      <w:r>
        <w:rPr>
          <w:b/>
          <w:i/>
          <w:spacing w:val="-5"/>
        </w:rPr>
        <w:t xml:space="preserve"> </w:t>
      </w:r>
      <w:proofErr w:type="spellStart"/>
      <w:r>
        <w:rPr>
          <w:b/>
          <w:i/>
          <w:spacing w:val="-5"/>
        </w:rPr>
        <w:t>Guarantee,a</w:t>
      </w:r>
      <w:proofErr w:type="spellEnd"/>
      <w:r>
        <w:rPr>
          <w:b/>
          <w:i/>
          <w:spacing w:val="-5"/>
        </w:rPr>
        <w:t xml:space="preserve"> </w:t>
      </w:r>
      <w:proofErr w:type="spellStart"/>
      <w:r>
        <w:rPr>
          <w:b/>
          <w:i/>
          <w:spacing w:val="-5"/>
        </w:rPr>
        <w:t>Gurantee</w:t>
      </w:r>
      <w:proofErr w:type="spellEnd"/>
      <w:r>
        <w:rPr>
          <w:b/>
          <w:i/>
          <w:spacing w:val="-5"/>
        </w:rPr>
        <w:t xml:space="preserve"> by an Insurance Company registered</w:t>
      </w:r>
      <w:r w:rsidR="00A1367C">
        <w:rPr>
          <w:b/>
          <w:i/>
          <w:spacing w:val="-5"/>
        </w:rPr>
        <w:t xml:space="preserve"> and Licensed by the Insurance Regulatory Authority listed by the Authority or a Guarantee issued by a Financial Institution approved and licensed by the Central Bank of Kenya.</w:t>
      </w:r>
    </w:p>
    <w:p w:rsidR="007F6DF9" w:rsidRDefault="00A43FBC">
      <w:pPr>
        <w:pStyle w:val="ListParagraph"/>
        <w:numPr>
          <w:ilvl w:val="0"/>
          <w:numId w:val="236"/>
        </w:numPr>
        <w:tabs>
          <w:tab w:val="left" w:pos="1337"/>
        </w:tabs>
        <w:spacing w:before="244"/>
        <w:ind w:left="1337" w:hanging="449"/>
        <w:rPr>
          <w:b/>
          <w:i/>
          <w:color w:val="221F1F"/>
        </w:rPr>
      </w:pPr>
      <w:r>
        <w:rPr>
          <w:color w:val="221F1F"/>
        </w:rPr>
        <w:t>All</w:t>
      </w:r>
      <w:r>
        <w:rPr>
          <w:color w:val="221F1F"/>
          <w:spacing w:val="-2"/>
        </w:rPr>
        <w:t xml:space="preserve"> </w:t>
      </w:r>
      <w:r>
        <w:rPr>
          <w:color w:val="221F1F"/>
        </w:rPr>
        <w:t>tenders</w:t>
      </w:r>
      <w:r>
        <w:rPr>
          <w:color w:val="221F1F"/>
          <w:spacing w:val="-5"/>
        </w:rPr>
        <w:t xml:space="preserve"> </w:t>
      </w:r>
      <w:r>
        <w:rPr>
          <w:color w:val="221F1F"/>
        </w:rPr>
        <w:t>must</w:t>
      </w:r>
      <w:r>
        <w:rPr>
          <w:color w:val="221F1F"/>
          <w:spacing w:val="-1"/>
        </w:rPr>
        <w:t xml:space="preserve"> </w:t>
      </w:r>
      <w:r>
        <w:rPr>
          <w:color w:val="221F1F"/>
        </w:rPr>
        <w:t>be</w:t>
      </w:r>
      <w:r>
        <w:rPr>
          <w:color w:val="221F1F"/>
          <w:spacing w:val="-3"/>
        </w:rPr>
        <w:t xml:space="preserve"> </w:t>
      </w:r>
      <w:r>
        <w:rPr>
          <w:color w:val="221F1F"/>
        </w:rPr>
        <w:t>tape</w:t>
      </w:r>
      <w:r>
        <w:rPr>
          <w:color w:val="221F1F"/>
          <w:spacing w:val="-2"/>
        </w:rPr>
        <w:t xml:space="preserve"> </w:t>
      </w:r>
      <w:r>
        <w:rPr>
          <w:color w:val="221F1F"/>
        </w:rPr>
        <w:t>bound</w:t>
      </w:r>
      <w:r>
        <w:rPr>
          <w:color w:val="221F1F"/>
          <w:spacing w:val="-3"/>
        </w:rPr>
        <w:t xml:space="preserve"> </w:t>
      </w:r>
      <w:r>
        <w:rPr>
          <w:color w:val="221F1F"/>
        </w:rPr>
        <w:t>and</w:t>
      </w:r>
      <w:r>
        <w:rPr>
          <w:color w:val="221F1F"/>
          <w:spacing w:val="-4"/>
        </w:rPr>
        <w:t xml:space="preserve"> </w:t>
      </w:r>
      <w:r>
        <w:rPr>
          <w:color w:val="221F1F"/>
        </w:rPr>
        <w:t>submitted</w:t>
      </w:r>
      <w:r>
        <w:rPr>
          <w:color w:val="221F1F"/>
          <w:spacing w:val="-3"/>
        </w:rPr>
        <w:t xml:space="preserve"> </w:t>
      </w:r>
      <w:r>
        <w:rPr>
          <w:color w:val="221F1F"/>
        </w:rPr>
        <w:t>in</w:t>
      </w:r>
      <w:r>
        <w:rPr>
          <w:color w:val="221F1F"/>
          <w:spacing w:val="-5"/>
        </w:rPr>
        <w:t xml:space="preserve"> </w:t>
      </w:r>
      <w:r w:rsidR="00A1367C">
        <w:rPr>
          <w:color w:val="221F1F"/>
        </w:rPr>
        <w:t xml:space="preserve">two hard </w:t>
      </w:r>
      <w:r w:rsidR="000C4CE3">
        <w:rPr>
          <w:color w:val="221F1F"/>
          <w:spacing w:val="-2"/>
        </w:rPr>
        <w:t>copies (</w:t>
      </w:r>
      <w:r w:rsidR="00A1367C">
        <w:rPr>
          <w:color w:val="221F1F"/>
          <w:spacing w:val="-2"/>
        </w:rPr>
        <w:t>Original &amp; Copy)</w:t>
      </w:r>
    </w:p>
    <w:p w:rsidR="007F6DF9" w:rsidRDefault="00A43FBC">
      <w:pPr>
        <w:pStyle w:val="ListParagraph"/>
        <w:numPr>
          <w:ilvl w:val="0"/>
          <w:numId w:val="236"/>
        </w:numPr>
        <w:tabs>
          <w:tab w:val="left" w:pos="1337"/>
        </w:tabs>
        <w:spacing w:before="240"/>
        <w:ind w:left="1337"/>
        <w:rPr>
          <w:color w:val="221F1F"/>
        </w:rPr>
      </w:pPr>
      <w:r>
        <w:rPr>
          <w:color w:val="221F1F"/>
        </w:rPr>
        <w:t>The</w:t>
      </w:r>
      <w:r>
        <w:rPr>
          <w:color w:val="221F1F"/>
          <w:spacing w:val="-6"/>
        </w:rPr>
        <w:t xml:space="preserve"> </w:t>
      </w:r>
      <w:r>
        <w:rPr>
          <w:color w:val="221F1F"/>
        </w:rPr>
        <w:t>Tenderer</w:t>
      </w:r>
      <w:r>
        <w:rPr>
          <w:color w:val="221F1F"/>
          <w:spacing w:val="-3"/>
        </w:rPr>
        <w:t xml:space="preserve"> </w:t>
      </w:r>
      <w:r>
        <w:rPr>
          <w:color w:val="221F1F"/>
        </w:rPr>
        <w:t>shall</w:t>
      </w:r>
      <w:r>
        <w:rPr>
          <w:color w:val="221F1F"/>
          <w:spacing w:val="-3"/>
        </w:rPr>
        <w:t xml:space="preserve"> </w:t>
      </w:r>
      <w:r>
        <w:rPr>
          <w:color w:val="221F1F"/>
        </w:rPr>
        <w:t>chronologically</w:t>
      </w:r>
      <w:r>
        <w:rPr>
          <w:color w:val="221F1F"/>
          <w:spacing w:val="-3"/>
        </w:rPr>
        <w:t xml:space="preserve"> </w:t>
      </w:r>
      <w:r>
        <w:rPr>
          <w:color w:val="221F1F"/>
        </w:rPr>
        <w:t>serialize</w:t>
      </w:r>
      <w:r>
        <w:rPr>
          <w:color w:val="221F1F"/>
          <w:spacing w:val="-5"/>
        </w:rPr>
        <w:t xml:space="preserve"> </w:t>
      </w:r>
      <w:r>
        <w:rPr>
          <w:color w:val="221F1F"/>
        </w:rPr>
        <w:t>all</w:t>
      </w:r>
      <w:r>
        <w:rPr>
          <w:color w:val="221F1F"/>
          <w:spacing w:val="-2"/>
        </w:rPr>
        <w:t xml:space="preserve"> </w:t>
      </w:r>
      <w:r>
        <w:rPr>
          <w:color w:val="221F1F"/>
        </w:rPr>
        <w:t>pages</w:t>
      </w:r>
      <w:r>
        <w:rPr>
          <w:color w:val="221F1F"/>
          <w:spacing w:val="-6"/>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tender</w:t>
      </w:r>
      <w:r>
        <w:rPr>
          <w:color w:val="221F1F"/>
          <w:spacing w:val="-3"/>
        </w:rPr>
        <w:t xml:space="preserve"> </w:t>
      </w:r>
      <w:r>
        <w:rPr>
          <w:color w:val="221F1F"/>
        </w:rPr>
        <w:t>documents</w:t>
      </w:r>
      <w:r>
        <w:rPr>
          <w:color w:val="221F1F"/>
          <w:spacing w:val="-3"/>
        </w:rPr>
        <w:t xml:space="preserve"> </w:t>
      </w:r>
      <w:r>
        <w:rPr>
          <w:color w:val="221F1F"/>
          <w:spacing w:val="-2"/>
        </w:rPr>
        <w:t>submitted.</w:t>
      </w:r>
    </w:p>
    <w:p w:rsidR="007F6DF9" w:rsidRDefault="00A43FBC" w:rsidP="00A43FBC">
      <w:pPr>
        <w:pStyle w:val="ListParagraph"/>
        <w:numPr>
          <w:ilvl w:val="0"/>
          <w:numId w:val="236"/>
        </w:numPr>
        <w:tabs>
          <w:tab w:val="left" w:pos="1337"/>
        </w:tabs>
        <w:spacing w:before="241" w:line="252" w:lineRule="exact"/>
        <w:ind w:left="1337"/>
      </w:pPr>
      <w:r>
        <w:rPr>
          <w:color w:val="221F1F"/>
        </w:rPr>
        <w:t>Completed</w:t>
      </w:r>
      <w:r>
        <w:rPr>
          <w:color w:val="221F1F"/>
          <w:spacing w:val="36"/>
        </w:rPr>
        <w:t xml:space="preserve"> </w:t>
      </w:r>
      <w:r>
        <w:rPr>
          <w:color w:val="221F1F"/>
        </w:rPr>
        <w:t>tenders</w:t>
      </w:r>
      <w:r>
        <w:rPr>
          <w:color w:val="221F1F"/>
          <w:spacing w:val="38"/>
        </w:rPr>
        <w:t xml:space="preserve"> </w:t>
      </w:r>
      <w:r>
        <w:rPr>
          <w:color w:val="221F1F"/>
        </w:rPr>
        <w:t>must</w:t>
      </w:r>
      <w:r>
        <w:rPr>
          <w:color w:val="221F1F"/>
          <w:spacing w:val="39"/>
        </w:rPr>
        <w:t xml:space="preserve"> </w:t>
      </w:r>
      <w:r>
        <w:rPr>
          <w:color w:val="221F1F"/>
        </w:rPr>
        <w:t>be</w:t>
      </w:r>
      <w:r>
        <w:rPr>
          <w:color w:val="221F1F"/>
          <w:spacing w:val="40"/>
        </w:rPr>
        <w:t xml:space="preserve"> </w:t>
      </w:r>
      <w:r>
        <w:rPr>
          <w:color w:val="221F1F"/>
        </w:rPr>
        <w:t>delivered</w:t>
      </w:r>
      <w:r>
        <w:rPr>
          <w:color w:val="221F1F"/>
          <w:spacing w:val="37"/>
        </w:rPr>
        <w:t xml:space="preserve"> </w:t>
      </w:r>
      <w:r>
        <w:rPr>
          <w:color w:val="221F1F"/>
        </w:rPr>
        <w:t>to</w:t>
      </w:r>
      <w:r>
        <w:rPr>
          <w:color w:val="221F1F"/>
          <w:spacing w:val="39"/>
        </w:rPr>
        <w:t xml:space="preserve"> </w:t>
      </w:r>
      <w:r>
        <w:rPr>
          <w:color w:val="221F1F"/>
        </w:rPr>
        <w:t>the</w:t>
      </w:r>
      <w:r>
        <w:rPr>
          <w:color w:val="221F1F"/>
          <w:spacing w:val="39"/>
        </w:rPr>
        <w:t xml:space="preserve"> </w:t>
      </w:r>
      <w:r>
        <w:rPr>
          <w:color w:val="221F1F"/>
        </w:rPr>
        <w:t>address</w:t>
      </w:r>
      <w:r>
        <w:rPr>
          <w:color w:val="221F1F"/>
          <w:spacing w:val="37"/>
        </w:rPr>
        <w:t xml:space="preserve"> </w:t>
      </w:r>
      <w:r>
        <w:rPr>
          <w:color w:val="221F1F"/>
        </w:rPr>
        <w:t>below</w:t>
      </w:r>
      <w:r>
        <w:rPr>
          <w:color w:val="221F1F"/>
          <w:spacing w:val="38"/>
        </w:rPr>
        <w:t xml:space="preserve"> </w:t>
      </w:r>
      <w:r>
        <w:rPr>
          <w:color w:val="221F1F"/>
        </w:rPr>
        <w:t>on</w:t>
      </w:r>
      <w:r>
        <w:rPr>
          <w:color w:val="221F1F"/>
          <w:spacing w:val="39"/>
        </w:rPr>
        <w:t xml:space="preserve"> </w:t>
      </w:r>
      <w:r>
        <w:rPr>
          <w:color w:val="221F1F"/>
        </w:rPr>
        <w:t>or</w:t>
      </w:r>
      <w:r>
        <w:rPr>
          <w:color w:val="221F1F"/>
          <w:spacing w:val="39"/>
        </w:rPr>
        <w:t xml:space="preserve"> </w:t>
      </w:r>
      <w:r>
        <w:rPr>
          <w:color w:val="221F1F"/>
        </w:rPr>
        <w:t>before</w:t>
      </w:r>
      <w:r>
        <w:rPr>
          <w:color w:val="221F1F"/>
          <w:spacing w:val="37"/>
        </w:rPr>
        <w:t xml:space="preserve"> </w:t>
      </w:r>
      <w:r w:rsidR="00715D2C">
        <w:rPr>
          <w:b/>
          <w:i/>
          <w:color w:val="221F1F"/>
        </w:rPr>
        <w:t>20</w:t>
      </w:r>
      <w:r w:rsidRPr="00A43FBC">
        <w:rPr>
          <w:b/>
          <w:i/>
          <w:color w:val="221F1F"/>
          <w:vertAlign w:val="superscript"/>
        </w:rPr>
        <w:t>th</w:t>
      </w:r>
      <w:r>
        <w:rPr>
          <w:b/>
          <w:i/>
          <w:color w:val="221F1F"/>
        </w:rPr>
        <w:t xml:space="preserve"> April,2026 at 11:00 </w:t>
      </w:r>
      <w:proofErr w:type="spellStart"/>
      <w:r>
        <w:rPr>
          <w:b/>
          <w:i/>
          <w:color w:val="221F1F"/>
        </w:rPr>
        <w:t>a.m</w:t>
      </w:r>
      <w:proofErr w:type="spellEnd"/>
      <w:r>
        <w:rPr>
          <w:b/>
          <w:i/>
          <w:color w:val="221F1F"/>
        </w:rPr>
        <w:t xml:space="preserve"> at Tender </w:t>
      </w:r>
      <w:proofErr w:type="spellStart"/>
      <w:proofErr w:type="gramStart"/>
      <w:r>
        <w:rPr>
          <w:b/>
          <w:i/>
          <w:color w:val="221F1F"/>
        </w:rPr>
        <w:t>Box,located</w:t>
      </w:r>
      <w:proofErr w:type="spellEnd"/>
      <w:proofErr w:type="gramEnd"/>
      <w:r>
        <w:rPr>
          <w:b/>
          <w:i/>
          <w:color w:val="221F1F"/>
        </w:rPr>
        <w:t xml:space="preserve"> at Administration </w:t>
      </w:r>
      <w:proofErr w:type="spellStart"/>
      <w:r>
        <w:rPr>
          <w:b/>
          <w:i/>
          <w:color w:val="221F1F"/>
        </w:rPr>
        <w:t>Block,Ground</w:t>
      </w:r>
      <w:proofErr w:type="spellEnd"/>
      <w:r>
        <w:rPr>
          <w:b/>
          <w:i/>
          <w:color w:val="221F1F"/>
        </w:rPr>
        <w:t xml:space="preserve"> </w:t>
      </w:r>
      <w:proofErr w:type="spellStart"/>
      <w:r>
        <w:rPr>
          <w:b/>
          <w:i/>
          <w:color w:val="221F1F"/>
        </w:rPr>
        <w:t>Floor,next</w:t>
      </w:r>
      <w:proofErr w:type="spellEnd"/>
      <w:r>
        <w:rPr>
          <w:b/>
          <w:i/>
          <w:color w:val="221F1F"/>
        </w:rPr>
        <w:t xml:space="preserve"> to Registry Office.</w:t>
      </w:r>
    </w:p>
    <w:p w:rsidR="007F6DF9" w:rsidRDefault="00A43FBC">
      <w:pPr>
        <w:pStyle w:val="ListParagraph"/>
        <w:numPr>
          <w:ilvl w:val="0"/>
          <w:numId w:val="236"/>
        </w:numPr>
        <w:tabs>
          <w:tab w:val="left" w:pos="1334"/>
          <w:tab w:val="left" w:pos="1346"/>
        </w:tabs>
        <w:spacing w:before="246"/>
        <w:ind w:right="849" w:hanging="491"/>
        <w:jc w:val="both"/>
        <w:rPr>
          <w:color w:val="221F1F"/>
        </w:rPr>
      </w:pPr>
      <w:r>
        <w:rPr>
          <w:color w:val="221F1F"/>
        </w:rPr>
        <w:t>Tenders</w:t>
      </w:r>
      <w:r>
        <w:rPr>
          <w:color w:val="221F1F"/>
          <w:spacing w:val="-8"/>
        </w:rPr>
        <w:t xml:space="preserve"> </w:t>
      </w:r>
      <w:r>
        <w:rPr>
          <w:color w:val="221F1F"/>
        </w:rPr>
        <w:t>will be</w:t>
      </w:r>
      <w:r>
        <w:rPr>
          <w:color w:val="221F1F"/>
          <w:spacing w:val="-3"/>
        </w:rPr>
        <w:t xml:space="preserve"> </w:t>
      </w:r>
      <w:r>
        <w:rPr>
          <w:color w:val="221F1F"/>
        </w:rPr>
        <w:t>opened</w:t>
      </w:r>
      <w:r>
        <w:rPr>
          <w:color w:val="221F1F"/>
          <w:spacing w:val="-3"/>
        </w:rPr>
        <w:t xml:space="preserve"> </w:t>
      </w:r>
      <w:r>
        <w:rPr>
          <w:color w:val="221F1F"/>
        </w:rPr>
        <w:t>immediately</w:t>
      </w:r>
      <w:r>
        <w:rPr>
          <w:color w:val="221F1F"/>
          <w:spacing w:val="-1"/>
        </w:rPr>
        <w:t xml:space="preserve"> </w:t>
      </w:r>
      <w:r>
        <w:rPr>
          <w:color w:val="221F1F"/>
        </w:rPr>
        <w:t>after</w:t>
      </w:r>
      <w:r>
        <w:rPr>
          <w:color w:val="221F1F"/>
          <w:spacing w:val="-2"/>
        </w:rPr>
        <w:t xml:space="preserve"> </w:t>
      </w:r>
      <w:r>
        <w:rPr>
          <w:color w:val="221F1F"/>
        </w:rPr>
        <w:t>the</w:t>
      </w:r>
      <w:r>
        <w:rPr>
          <w:color w:val="221F1F"/>
          <w:spacing w:val="-3"/>
        </w:rPr>
        <w:t xml:space="preserve"> </w:t>
      </w:r>
      <w:r>
        <w:rPr>
          <w:color w:val="221F1F"/>
        </w:rPr>
        <w:t>deadline</w:t>
      </w:r>
      <w:r>
        <w:rPr>
          <w:color w:val="221F1F"/>
          <w:spacing w:val="-3"/>
        </w:rPr>
        <w:t xml:space="preserve"> </w:t>
      </w:r>
      <w:r>
        <w:rPr>
          <w:color w:val="221F1F"/>
        </w:rPr>
        <w:t>date</w:t>
      </w:r>
      <w:r>
        <w:rPr>
          <w:color w:val="221F1F"/>
          <w:spacing w:val="-1"/>
        </w:rPr>
        <w:t xml:space="preserve"> </w:t>
      </w:r>
      <w:r>
        <w:rPr>
          <w:color w:val="221F1F"/>
        </w:rPr>
        <w:t>and</w:t>
      </w:r>
      <w:r>
        <w:rPr>
          <w:color w:val="221F1F"/>
          <w:spacing w:val="-1"/>
        </w:rPr>
        <w:t xml:space="preserve"> </w:t>
      </w:r>
      <w:r>
        <w:rPr>
          <w:color w:val="221F1F"/>
        </w:rPr>
        <w:t>time</w:t>
      </w:r>
      <w:r>
        <w:rPr>
          <w:color w:val="221F1F"/>
          <w:spacing w:val="-3"/>
        </w:rPr>
        <w:t xml:space="preserve"> </w:t>
      </w:r>
      <w:r>
        <w:rPr>
          <w:color w:val="221F1F"/>
        </w:rPr>
        <w:t>specified</w:t>
      </w:r>
      <w:r>
        <w:rPr>
          <w:color w:val="221F1F"/>
          <w:spacing w:val="-4"/>
        </w:rPr>
        <w:t xml:space="preserve"> </w:t>
      </w:r>
      <w:r>
        <w:rPr>
          <w:color w:val="221F1F"/>
        </w:rPr>
        <w:t>above</w:t>
      </w:r>
      <w:r>
        <w:rPr>
          <w:color w:val="221F1F"/>
          <w:spacing w:val="-1"/>
        </w:rPr>
        <w:t xml:space="preserve"> </w:t>
      </w:r>
      <w:r>
        <w:rPr>
          <w:color w:val="221F1F"/>
        </w:rPr>
        <w:t>or any</w:t>
      </w:r>
      <w:r>
        <w:rPr>
          <w:color w:val="221F1F"/>
          <w:spacing w:val="-1"/>
        </w:rPr>
        <w:t xml:space="preserve"> </w:t>
      </w:r>
      <w:r>
        <w:rPr>
          <w:color w:val="221F1F"/>
        </w:rPr>
        <w:t>dead</w:t>
      </w:r>
      <w:r>
        <w:rPr>
          <w:color w:val="221F1F"/>
          <w:spacing w:val="-3"/>
        </w:rPr>
        <w:t xml:space="preserve"> </w:t>
      </w:r>
      <w:r>
        <w:rPr>
          <w:color w:val="221F1F"/>
        </w:rPr>
        <w:t>line</w:t>
      </w:r>
      <w:r>
        <w:rPr>
          <w:color w:val="221F1F"/>
          <w:spacing w:val="-1"/>
        </w:rPr>
        <w:t xml:space="preserve"> </w:t>
      </w:r>
      <w:r>
        <w:rPr>
          <w:color w:val="221F1F"/>
        </w:rPr>
        <w:t>date</w:t>
      </w:r>
      <w:r>
        <w:rPr>
          <w:color w:val="221F1F"/>
          <w:spacing w:val="-3"/>
        </w:rPr>
        <w:t xml:space="preserve"> </w:t>
      </w:r>
      <w:r>
        <w:rPr>
          <w:color w:val="221F1F"/>
        </w:rPr>
        <w:t>and times</w:t>
      </w:r>
      <w:r>
        <w:rPr>
          <w:color w:val="221F1F"/>
          <w:spacing w:val="-14"/>
        </w:rPr>
        <w:t xml:space="preserve"> </w:t>
      </w:r>
      <w:proofErr w:type="spellStart"/>
      <w:r>
        <w:rPr>
          <w:color w:val="221F1F"/>
        </w:rPr>
        <w:t>pecified</w:t>
      </w:r>
      <w:proofErr w:type="spellEnd"/>
      <w:r>
        <w:rPr>
          <w:color w:val="221F1F"/>
          <w:spacing w:val="-14"/>
        </w:rPr>
        <w:t xml:space="preserve"> </w:t>
      </w:r>
      <w:r>
        <w:rPr>
          <w:color w:val="221F1F"/>
        </w:rPr>
        <w:t>later.</w:t>
      </w:r>
      <w:r>
        <w:rPr>
          <w:color w:val="221F1F"/>
          <w:spacing w:val="-14"/>
        </w:rPr>
        <w:t xml:space="preserve"> </w:t>
      </w:r>
      <w:r>
        <w:rPr>
          <w:color w:val="221F1F"/>
        </w:rPr>
        <w:t>Tenders</w:t>
      </w:r>
      <w:r>
        <w:rPr>
          <w:color w:val="221F1F"/>
          <w:spacing w:val="-13"/>
        </w:rPr>
        <w:t xml:space="preserve"> </w:t>
      </w:r>
      <w:r>
        <w:rPr>
          <w:color w:val="221F1F"/>
        </w:rPr>
        <w:t>will</w:t>
      </w:r>
      <w:r>
        <w:rPr>
          <w:color w:val="221F1F"/>
          <w:spacing w:val="-14"/>
        </w:rPr>
        <w:t xml:space="preserve"> </w:t>
      </w:r>
      <w:r>
        <w:rPr>
          <w:color w:val="221F1F"/>
        </w:rPr>
        <w:t>be</w:t>
      </w:r>
      <w:r>
        <w:rPr>
          <w:color w:val="221F1F"/>
          <w:spacing w:val="-14"/>
        </w:rPr>
        <w:t xml:space="preserve"> </w:t>
      </w:r>
      <w:r>
        <w:rPr>
          <w:color w:val="221F1F"/>
        </w:rPr>
        <w:t>publicly</w:t>
      </w:r>
      <w:r>
        <w:rPr>
          <w:color w:val="221F1F"/>
          <w:spacing w:val="-14"/>
        </w:rPr>
        <w:t xml:space="preserve"> </w:t>
      </w:r>
      <w:r>
        <w:rPr>
          <w:color w:val="221F1F"/>
        </w:rPr>
        <w:t>opened</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presence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Tenderers'</w:t>
      </w:r>
      <w:r>
        <w:rPr>
          <w:color w:val="221F1F"/>
          <w:spacing w:val="-14"/>
        </w:rPr>
        <w:t xml:space="preserve"> </w:t>
      </w:r>
      <w:r>
        <w:rPr>
          <w:color w:val="221F1F"/>
        </w:rPr>
        <w:t>designated</w:t>
      </w:r>
      <w:r>
        <w:rPr>
          <w:color w:val="221F1F"/>
          <w:spacing w:val="-14"/>
        </w:rPr>
        <w:t xml:space="preserve"> </w:t>
      </w:r>
      <w:r>
        <w:rPr>
          <w:color w:val="221F1F"/>
        </w:rPr>
        <w:t>representatives who choose to attend at the address below.</w:t>
      </w:r>
    </w:p>
    <w:p w:rsidR="007F6DF9" w:rsidRDefault="00A43FBC">
      <w:pPr>
        <w:pStyle w:val="ListParagraph"/>
        <w:numPr>
          <w:ilvl w:val="0"/>
          <w:numId w:val="236"/>
        </w:numPr>
        <w:tabs>
          <w:tab w:val="left" w:pos="1337"/>
        </w:tabs>
        <w:spacing w:before="240"/>
        <w:ind w:left="1337"/>
        <w:rPr>
          <w:color w:val="221F1F"/>
        </w:rPr>
      </w:pPr>
      <w:r>
        <w:rPr>
          <w:color w:val="221F1F"/>
        </w:rPr>
        <w:t>Late</w:t>
      </w:r>
      <w:r>
        <w:rPr>
          <w:color w:val="221F1F"/>
          <w:spacing w:val="-5"/>
        </w:rPr>
        <w:t xml:space="preserve"> </w:t>
      </w:r>
      <w:r>
        <w:rPr>
          <w:color w:val="221F1F"/>
        </w:rPr>
        <w:t>tenders</w:t>
      </w:r>
      <w:r>
        <w:rPr>
          <w:color w:val="221F1F"/>
          <w:spacing w:val="-3"/>
        </w:rPr>
        <w:t xml:space="preserve"> </w:t>
      </w:r>
      <w:r>
        <w:rPr>
          <w:color w:val="221F1F"/>
        </w:rPr>
        <w:t>will</w:t>
      </w:r>
      <w:r>
        <w:rPr>
          <w:color w:val="221F1F"/>
          <w:spacing w:val="-2"/>
        </w:rPr>
        <w:t xml:space="preserve"> </w:t>
      </w:r>
      <w:r>
        <w:rPr>
          <w:color w:val="221F1F"/>
        </w:rPr>
        <w:t>be</w:t>
      </w:r>
      <w:r>
        <w:rPr>
          <w:color w:val="221F1F"/>
          <w:spacing w:val="-2"/>
        </w:rPr>
        <w:t xml:space="preserve"> rejected.</w:t>
      </w:r>
    </w:p>
    <w:p w:rsidR="007F6DF9" w:rsidRDefault="00A43FBC">
      <w:pPr>
        <w:pStyle w:val="ListParagraph"/>
        <w:numPr>
          <w:ilvl w:val="0"/>
          <w:numId w:val="236"/>
        </w:numPr>
        <w:tabs>
          <w:tab w:val="left" w:pos="1337"/>
        </w:tabs>
        <w:spacing w:before="234"/>
        <w:ind w:left="1337"/>
        <w:rPr>
          <w:color w:val="221F1F"/>
        </w:rPr>
      </w:pPr>
      <w:r>
        <w:rPr>
          <w:color w:val="221F1F"/>
        </w:rPr>
        <w:t>The</w:t>
      </w:r>
      <w:r>
        <w:rPr>
          <w:color w:val="221F1F"/>
          <w:spacing w:val="-2"/>
        </w:rPr>
        <w:t xml:space="preserve"> </w:t>
      </w:r>
      <w:r>
        <w:rPr>
          <w:color w:val="221F1F"/>
        </w:rPr>
        <w:t>addresses</w:t>
      </w:r>
      <w:r>
        <w:rPr>
          <w:color w:val="221F1F"/>
          <w:spacing w:val="-4"/>
        </w:rPr>
        <w:t xml:space="preserve"> </w:t>
      </w:r>
      <w:r>
        <w:rPr>
          <w:color w:val="221F1F"/>
        </w:rPr>
        <w:t>referred</w:t>
      </w:r>
      <w:r>
        <w:rPr>
          <w:color w:val="221F1F"/>
          <w:spacing w:val="-4"/>
        </w:rPr>
        <w:t xml:space="preserve"> </w:t>
      </w:r>
      <w:r>
        <w:rPr>
          <w:color w:val="221F1F"/>
        </w:rPr>
        <w:t>to</w:t>
      </w:r>
      <w:r>
        <w:rPr>
          <w:color w:val="221F1F"/>
          <w:spacing w:val="-2"/>
        </w:rPr>
        <w:t xml:space="preserve"> </w:t>
      </w:r>
      <w:r>
        <w:rPr>
          <w:color w:val="221F1F"/>
        </w:rPr>
        <w:t xml:space="preserve">above </w:t>
      </w:r>
      <w:r>
        <w:rPr>
          <w:color w:val="221F1F"/>
          <w:spacing w:val="-4"/>
        </w:rPr>
        <w:t>are:</w:t>
      </w:r>
    </w:p>
    <w:p w:rsidR="007F6DF9" w:rsidRDefault="007F6DF9">
      <w:pPr>
        <w:pStyle w:val="ListParagraph"/>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ListParagraph"/>
        <w:numPr>
          <w:ilvl w:val="1"/>
          <w:numId w:val="236"/>
        </w:numPr>
        <w:tabs>
          <w:tab w:val="left" w:pos="1234"/>
        </w:tabs>
        <w:ind w:left="1234" w:hanging="378"/>
        <w:rPr>
          <w:b/>
        </w:rPr>
      </w:pPr>
      <w:r>
        <w:rPr>
          <w:b/>
          <w:color w:val="221F1F"/>
          <w:u w:val="single" w:color="221F1F"/>
        </w:rPr>
        <w:t>Address</w:t>
      </w:r>
      <w:r>
        <w:rPr>
          <w:b/>
          <w:color w:val="221F1F"/>
          <w:spacing w:val="-7"/>
          <w:u w:val="single" w:color="221F1F"/>
        </w:rPr>
        <w:t xml:space="preserve"> </w:t>
      </w:r>
      <w:r>
        <w:rPr>
          <w:b/>
          <w:color w:val="221F1F"/>
          <w:u w:val="single" w:color="221F1F"/>
        </w:rPr>
        <w:t>for</w:t>
      </w:r>
      <w:r>
        <w:rPr>
          <w:b/>
          <w:color w:val="221F1F"/>
          <w:spacing w:val="-3"/>
          <w:u w:val="single" w:color="221F1F"/>
        </w:rPr>
        <w:t xml:space="preserve"> </w:t>
      </w:r>
      <w:r>
        <w:rPr>
          <w:b/>
          <w:color w:val="221F1F"/>
          <w:u w:val="single" w:color="221F1F"/>
        </w:rPr>
        <w:t>obtaining</w:t>
      </w:r>
      <w:r>
        <w:rPr>
          <w:b/>
          <w:color w:val="221F1F"/>
          <w:spacing w:val="-5"/>
          <w:u w:val="single" w:color="221F1F"/>
        </w:rPr>
        <w:t xml:space="preserve"> </w:t>
      </w:r>
      <w:r>
        <w:rPr>
          <w:b/>
          <w:color w:val="221F1F"/>
          <w:u w:val="single" w:color="221F1F"/>
        </w:rPr>
        <w:t>further</w:t>
      </w:r>
      <w:r>
        <w:rPr>
          <w:b/>
          <w:color w:val="221F1F"/>
          <w:spacing w:val="-4"/>
          <w:u w:val="single" w:color="221F1F"/>
        </w:rPr>
        <w:t xml:space="preserve"> </w:t>
      </w:r>
      <w:r>
        <w:rPr>
          <w:b/>
          <w:color w:val="221F1F"/>
          <w:u w:val="single" w:color="221F1F"/>
        </w:rPr>
        <w:t>information</w:t>
      </w:r>
      <w:r>
        <w:rPr>
          <w:b/>
          <w:color w:val="221F1F"/>
          <w:spacing w:val="-3"/>
          <w:u w:val="single" w:color="221F1F"/>
        </w:rPr>
        <w:t xml:space="preserve"> </w:t>
      </w:r>
      <w:r>
        <w:rPr>
          <w:b/>
          <w:color w:val="221F1F"/>
          <w:u w:val="single" w:color="221F1F"/>
        </w:rPr>
        <w:t>and</w:t>
      </w:r>
      <w:r>
        <w:rPr>
          <w:b/>
          <w:color w:val="221F1F"/>
          <w:spacing w:val="-4"/>
          <w:u w:val="single" w:color="221F1F"/>
        </w:rPr>
        <w:t xml:space="preserve"> </w:t>
      </w:r>
      <w:r>
        <w:rPr>
          <w:b/>
          <w:color w:val="221F1F"/>
          <w:u w:val="single" w:color="221F1F"/>
        </w:rPr>
        <w:t>for</w:t>
      </w:r>
      <w:r>
        <w:rPr>
          <w:b/>
          <w:color w:val="221F1F"/>
          <w:spacing w:val="-5"/>
          <w:u w:val="single" w:color="221F1F"/>
        </w:rPr>
        <w:t xml:space="preserve"> </w:t>
      </w:r>
      <w:r w:rsidR="000C4CE3">
        <w:rPr>
          <w:b/>
          <w:color w:val="221F1F"/>
          <w:u w:val="single" w:color="221F1F"/>
        </w:rPr>
        <w:t>obtaining</w:t>
      </w:r>
      <w:r>
        <w:rPr>
          <w:b/>
          <w:color w:val="221F1F"/>
          <w:spacing w:val="-3"/>
          <w:u w:val="single" w:color="221F1F"/>
        </w:rPr>
        <w:t xml:space="preserve"> </w:t>
      </w:r>
      <w:r>
        <w:rPr>
          <w:b/>
          <w:color w:val="221F1F"/>
          <w:u w:val="single" w:color="221F1F"/>
        </w:rPr>
        <w:t>tender</w:t>
      </w:r>
      <w:r>
        <w:rPr>
          <w:b/>
          <w:color w:val="221F1F"/>
          <w:spacing w:val="-2"/>
          <w:u w:val="single" w:color="221F1F"/>
        </w:rPr>
        <w:t xml:space="preserve"> documents</w:t>
      </w:r>
    </w:p>
    <w:p w:rsidR="000C4CE3" w:rsidRPr="000C4CE3" w:rsidRDefault="00A43FBC" w:rsidP="000C4CE3">
      <w:pPr>
        <w:pStyle w:val="ListParagraph"/>
        <w:numPr>
          <w:ilvl w:val="2"/>
          <w:numId w:val="236"/>
        </w:numPr>
        <w:tabs>
          <w:tab w:val="left" w:pos="1747"/>
        </w:tabs>
        <w:spacing w:before="234"/>
        <w:ind w:hanging="511"/>
      </w:pPr>
      <w:r>
        <w:rPr>
          <w:color w:val="221F1F"/>
        </w:rPr>
        <w:t>Name</w:t>
      </w:r>
      <w:r>
        <w:rPr>
          <w:color w:val="221F1F"/>
          <w:spacing w:val="-9"/>
        </w:rPr>
        <w:t xml:space="preserve"> </w:t>
      </w:r>
      <w:r>
        <w:rPr>
          <w:color w:val="221F1F"/>
        </w:rPr>
        <w:t>of</w:t>
      </w:r>
      <w:r>
        <w:rPr>
          <w:color w:val="221F1F"/>
          <w:spacing w:val="-6"/>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JARAMOGI</w:t>
      </w:r>
      <w:r>
        <w:rPr>
          <w:color w:val="221F1F"/>
          <w:spacing w:val="-9"/>
        </w:rPr>
        <w:t xml:space="preserve"> </w:t>
      </w:r>
      <w:r>
        <w:rPr>
          <w:color w:val="221F1F"/>
        </w:rPr>
        <w:t>OGINGA</w:t>
      </w:r>
      <w:r>
        <w:rPr>
          <w:color w:val="221F1F"/>
          <w:spacing w:val="-6"/>
        </w:rPr>
        <w:t xml:space="preserve"> </w:t>
      </w:r>
      <w:r>
        <w:rPr>
          <w:color w:val="221F1F"/>
        </w:rPr>
        <w:t>ODINGA</w:t>
      </w:r>
      <w:r>
        <w:rPr>
          <w:color w:val="221F1F"/>
          <w:spacing w:val="-8"/>
        </w:rPr>
        <w:t xml:space="preserve"> </w:t>
      </w:r>
      <w:r>
        <w:rPr>
          <w:color w:val="221F1F"/>
        </w:rPr>
        <w:t>TEACHING</w:t>
      </w:r>
      <w:r>
        <w:rPr>
          <w:color w:val="221F1F"/>
          <w:spacing w:val="-7"/>
        </w:rPr>
        <w:t xml:space="preserve"> </w:t>
      </w:r>
      <w:r>
        <w:rPr>
          <w:color w:val="221F1F"/>
        </w:rPr>
        <w:t>&amp;</w:t>
      </w:r>
      <w:r>
        <w:rPr>
          <w:color w:val="221F1F"/>
          <w:spacing w:val="-6"/>
        </w:rPr>
        <w:t xml:space="preserve"> </w:t>
      </w:r>
      <w:r>
        <w:rPr>
          <w:color w:val="221F1F"/>
        </w:rPr>
        <w:t>REFERRAL</w:t>
      </w:r>
      <w:r>
        <w:rPr>
          <w:color w:val="221F1F"/>
          <w:spacing w:val="-5"/>
        </w:rPr>
        <w:t xml:space="preserve"> </w:t>
      </w:r>
      <w:r>
        <w:rPr>
          <w:color w:val="221F1F"/>
          <w:spacing w:val="-2"/>
        </w:rPr>
        <w:t>HOSPITAL</w:t>
      </w:r>
    </w:p>
    <w:p w:rsidR="000C4CE3" w:rsidRDefault="000C4CE3" w:rsidP="000C4CE3">
      <w:pPr>
        <w:pStyle w:val="ListParagraph"/>
        <w:numPr>
          <w:ilvl w:val="2"/>
          <w:numId w:val="236"/>
        </w:numPr>
        <w:tabs>
          <w:tab w:val="left" w:pos="1747"/>
        </w:tabs>
        <w:spacing w:before="234"/>
        <w:ind w:hanging="511"/>
      </w:pPr>
      <w:r>
        <w:rPr>
          <w:color w:val="221F1F"/>
        </w:rPr>
        <w:t xml:space="preserve">JOOTRH </w:t>
      </w:r>
      <w:proofErr w:type="gramStart"/>
      <w:r>
        <w:rPr>
          <w:color w:val="221F1F"/>
        </w:rPr>
        <w:t>WAREHOUSE,HEAD</w:t>
      </w:r>
      <w:proofErr w:type="gramEnd"/>
      <w:r>
        <w:rPr>
          <w:color w:val="221F1F"/>
        </w:rPr>
        <w:t xml:space="preserve"> OF SUPPLY CHAIN OFFICE</w:t>
      </w:r>
    </w:p>
    <w:p w:rsidR="000C4CE3" w:rsidRPr="000C4CE3" w:rsidRDefault="0074681E" w:rsidP="000C4CE3">
      <w:pPr>
        <w:spacing w:before="238"/>
        <w:ind w:left="1747"/>
        <w:rPr>
          <w:b/>
          <w:spacing w:val="-2"/>
        </w:rPr>
      </w:pPr>
      <w:r>
        <w:rPr>
          <w:b/>
        </w:rPr>
        <w:t>NEXT TO APDK</w:t>
      </w:r>
    </w:p>
    <w:p w:rsidR="000C4CE3" w:rsidRPr="000C4CE3" w:rsidRDefault="00A43FBC" w:rsidP="000C4CE3">
      <w:pPr>
        <w:pStyle w:val="ListParagraph"/>
        <w:numPr>
          <w:ilvl w:val="2"/>
          <w:numId w:val="236"/>
        </w:numPr>
        <w:tabs>
          <w:tab w:val="left" w:pos="1747"/>
        </w:tabs>
        <w:spacing w:before="237"/>
        <w:ind w:hanging="511"/>
      </w:pPr>
      <w:r>
        <w:rPr>
          <w:color w:val="221F1F"/>
        </w:rPr>
        <w:t>Postal</w:t>
      </w:r>
      <w:r>
        <w:rPr>
          <w:color w:val="221F1F"/>
          <w:spacing w:val="-2"/>
        </w:rPr>
        <w:t xml:space="preserve"> </w:t>
      </w:r>
      <w:r>
        <w:rPr>
          <w:color w:val="221F1F"/>
        </w:rPr>
        <w:t>Address</w:t>
      </w:r>
      <w:r>
        <w:rPr>
          <w:color w:val="221F1F"/>
          <w:spacing w:val="-3"/>
        </w:rPr>
        <w:t xml:space="preserve"> </w:t>
      </w:r>
      <w:r>
        <w:rPr>
          <w:color w:val="221F1F"/>
        </w:rPr>
        <w:t>-</w:t>
      </w:r>
      <w:proofErr w:type="gramStart"/>
      <w:r>
        <w:rPr>
          <w:color w:val="221F1F"/>
        </w:rPr>
        <w:t>P.O</w:t>
      </w:r>
      <w:proofErr w:type="gramEnd"/>
      <w:r>
        <w:rPr>
          <w:color w:val="221F1F"/>
          <w:spacing w:val="-4"/>
        </w:rPr>
        <w:t xml:space="preserve"> </w:t>
      </w:r>
      <w:r>
        <w:rPr>
          <w:color w:val="221F1F"/>
        </w:rPr>
        <w:t>BOX</w:t>
      </w:r>
      <w:r>
        <w:rPr>
          <w:color w:val="221F1F"/>
          <w:spacing w:val="48"/>
        </w:rPr>
        <w:t xml:space="preserve"> </w:t>
      </w:r>
      <w:r>
        <w:rPr>
          <w:color w:val="221F1F"/>
        </w:rPr>
        <w:t>849-40100,</w:t>
      </w:r>
      <w:r>
        <w:rPr>
          <w:color w:val="221F1F"/>
          <w:spacing w:val="-2"/>
        </w:rPr>
        <w:t xml:space="preserve"> Kisumu</w:t>
      </w:r>
    </w:p>
    <w:p w:rsidR="007F6DF9" w:rsidRDefault="00A43FBC">
      <w:pPr>
        <w:pStyle w:val="ListParagraph"/>
        <w:numPr>
          <w:ilvl w:val="1"/>
          <w:numId w:val="236"/>
        </w:numPr>
        <w:tabs>
          <w:tab w:val="left" w:pos="1230"/>
        </w:tabs>
        <w:ind w:left="1230" w:hanging="378"/>
        <w:rPr>
          <w:b/>
        </w:rPr>
      </w:pPr>
      <w:r>
        <w:rPr>
          <w:b/>
          <w:color w:val="221F1F"/>
          <w:u w:val="single" w:color="221F1F"/>
        </w:rPr>
        <w:t>Address</w:t>
      </w:r>
      <w:r>
        <w:rPr>
          <w:b/>
          <w:color w:val="221F1F"/>
          <w:spacing w:val="-6"/>
          <w:u w:val="single" w:color="221F1F"/>
        </w:rPr>
        <w:t xml:space="preserve"> </w:t>
      </w:r>
      <w:r>
        <w:rPr>
          <w:b/>
          <w:color w:val="221F1F"/>
          <w:u w:val="single" w:color="221F1F"/>
        </w:rPr>
        <w:t>for</w:t>
      </w:r>
      <w:r>
        <w:rPr>
          <w:b/>
          <w:color w:val="221F1F"/>
          <w:spacing w:val="-3"/>
          <w:u w:val="single" w:color="221F1F"/>
        </w:rPr>
        <w:t xml:space="preserve"> </w:t>
      </w:r>
      <w:r>
        <w:rPr>
          <w:b/>
          <w:color w:val="221F1F"/>
          <w:u w:val="single" w:color="221F1F"/>
        </w:rPr>
        <w:t>Submission</w:t>
      </w:r>
      <w:r>
        <w:rPr>
          <w:b/>
          <w:color w:val="221F1F"/>
          <w:spacing w:val="-5"/>
          <w:u w:val="single" w:color="221F1F"/>
        </w:rPr>
        <w:t xml:space="preserve"> </w:t>
      </w:r>
      <w:r>
        <w:rPr>
          <w:b/>
          <w:color w:val="221F1F"/>
          <w:u w:val="single" w:color="221F1F"/>
        </w:rPr>
        <w:t>of</w:t>
      </w:r>
      <w:r>
        <w:rPr>
          <w:b/>
          <w:color w:val="221F1F"/>
          <w:spacing w:val="-2"/>
          <w:u w:val="single" w:color="221F1F"/>
        </w:rPr>
        <w:t xml:space="preserve"> Tenders.</w:t>
      </w:r>
    </w:p>
    <w:p w:rsidR="007F6DF9" w:rsidRDefault="00A43FBC">
      <w:pPr>
        <w:pStyle w:val="ListParagraph"/>
        <w:numPr>
          <w:ilvl w:val="0"/>
          <w:numId w:val="235"/>
        </w:numPr>
        <w:tabs>
          <w:tab w:val="left" w:pos="1742"/>
        </w:tabs>
        <w:spacing w:before="234"/>
        <w:ind w:hanging="511"/>
      </w:pPr>
      <w:r>
        <w:rPr>
          <w:color w:val="221F1F"/>
        </w:rPr>
        <w:t>Name</w:t>
      </w:r>
      <w:r>
        <w:rPr>
          <w:color w:val="221F1F"/>
          <w:spacing w:val="-8"/>
        </w:rPr>
        <w:t xml:space="preserve"> </w:t>
      </w:r>
      <w:r>
        <w:rPr>
          <w:color w:val="221F1F"/>
        </w:rPr>
        <w:t>of</w:t>
      </w:r>
      <w:r>
        <w:rPr>
          <w:color w:val="221F1F"/>
          <w:spacing w:val="-5"/>
        </w:rPr>
        <w:t xml:space="preserve"> </w:t>
      </w:r>
      <w:r>
        <w:rPr>
          <w:color w:val="221F1F"/>
        </w:rPr>
        <w:t>Procuring</w:t>
      </w:r>
      <w:r>
        <w:rPr>
          <w:color w:val="221F1F"/>
          <w:spacing w:val="-8"/>
        </w:rPr>
        <w:t xml:space="preserve"> </w:t>
      </w:r>
      <w:r>
        <w:rPr>
          <w:color w:val="221F1F"/>
        </w:rPr>
        <w:t>Entity</w:t>
      </w:r>
      <w:proofErr w:type="gramStart"/>
      <w:r>
        <w:rPr>
          <w:color w:val="221F1F"/>
        </w:rPr>
        <w:t>.</w:t>
      </w:r>
      <w:r>
        <w:rPr>
          <w:color w:val="221F1F"/>
          <w:spacing w:val="-12"/>
        </w:rPr>
        <w:t xml:space="preserve"> </w:t>
      </w:r>
      <w:r>
        <w:rPr>
          <w:color w:val="221F1F"/>
        </w:rPr>
        <w:t>.</w:t>
      </w:r>
      <w:proofErr w:type="gramEnd"/>
      <w:r>
        <w:rPr>
          <w:color w:val="221F1F"/>
          <w:spacing w:val="-12"/>
        </w:rPr>
        <w:t xml:space="preserve"> </w:t>
      </w:r>
      <w:r>
        <w:rPr>
          <w:color w:val="221F1F"/>
        </w:rPr>
        <w:t>JARAMOGI</w:t>
      </w:r>
      <w:r>
        <w:rPr>
          <w:color w:val="221F1F"/>
          <w:spacing w:val="-8"/>
        </w:rPr>
        <w:t xml:space="preserve"> </w:t>
      </w:r>
      <w:r>
        <w:rPr>
          <w:color w:val="221F1F"/>
        </w:rPr>
        <w:t>OGINGA</w:t>
      </w:r>
      <w:r>
        <w:rPr>
          <w:color w:val="221F1F"/>
          <w:spacing w:val="-6"/>
        </w:rPr>
        <w:t xml:space="preserve"> </w:t>
      </w:r>
      <w:r>
        <w:rPr>
          <w:color w:val="221F1F"/>
        </w:rPr>
        <w:t>ODINGA</w:t>
      </w:r>
      <w:r>
        <w:rPr>
          <w:color w:val="221F1F"/>
          <w:spacing w:val="-7"/>
        </w:rPr>
        <w:t xml:space="preserve"> </w:t>
      </w:r>
      <w:r>
        <w:rPr>
          <w:color w:val="221F1F"/>
        </w:rPr>
        <w:t>TEACHING</w:t>
      </w:r>
      <w:r>
        <w:rPr>
          <w:color w:val="221F1F"/>
          <w:spacing w:val="-7"/>
        </w:rPr>
        <w:t xml:space="preserve"> </w:t>
      </w:r>
      <w:r>
        <w:rPr>
          <w:color w:val="221F1F"/>
        </w:rPr>
        <w:t>&amp;</w:t>
      </w:r>
      <w:r>
        <w:rPr>
          <w:color w:val="221F1F"/>
          <w:spacing w:val="-5"/>
        </w:rPr>
        <w:t xml:space="preserve"> </w:t>
      </w:r>
      <w:r>
        <w:rPr>
          <w:color w:val="221F1F"/>
        </w:rPr>
        <w:t>REFERRAL</w:t>
      </w:r>
      <w:r>
        <w:rPr>
          <w:color w:val="221F1F"/>
          <w:spacing w:val="-5"/>
        </w:rPr>
        <w:t xml:space="preserve"> </w:t>
      </w:r>
      <w:r>
        <w:rPr>
          <w:color w:val="221F1F"/>
          <w:spacing w:val="-2"/>
        </w:rPr>
        <w:t>HOSPITAL</w:t>
      </w:r>
    </w:p>
    <w:p w:rsidR="000C4CE3" w:rsidRPr="000C4CE3" w:rsidRDefault="00A43FBC" w:rsidP="000C4CE3">
      <w:pPr>
        <w:pStyle w:val="ListParagraph"/>
        <w:numPr>
          <w:ilvl w:val="0"/>
          <w:numId w:val="235"/>
        </w:numPr>
        <w:tabs>
          <w:tab w:val="left" w:pos="1742"/>
        </w:tabs>
        <w:spacing w:before="235"/>
        <w:ind w:hanging="511"/>
      </w:pPr>
      <w:r>
        <w:rPr>
          <w:color w:val="221F1F"/>
        </w:rPr>
        <w:t>Postal</w:t>
      </w:r>
      <w:r>
        <w:rPr>
          <w:color w:val="221F1F"/>
          <w:spacing w:val="-2"/>
        </w:rPr>
        <w:t xml:space="preserve"> </w:t>
      </w:r>
      <w:proofErr w:type="gramStart"/>
      <w:r>
        <w:rPr>
          <w:color w:val="221F1F"/>
        </w:rPr>
        <w:t>Address</w:t>
      </w:r>
      <w:r>
        <w:rPr>
          <w:color w:val="221F1F"/>
          <w:spacing w:val="-2"/>
        </w:rPr>
        <w:t xml:space="preserve"> </w:t>
      </w:r>
      <w:r>
        <w:rPr>
          <w:color w:val="221F1F"/>
        </w:rPr>
        <w:t>:</w:t>
      </w:r>
      <w:proofErr w:type="gramEnd"/>
      <w:r>
        <w:rPr>
          <w:color w:val="221F1F"/>
          <w:spacing w:val="-1"/>
        </w:rPr>
        <w:t xml:space="preserve"> </w:t>
      </w:r>
      <w:r>
        <w:rPr>
          <w:color w:val="221F1F"/>
        </w:rPr>
        <w:t>P.O</w:t>
      </w:r>
      <w:r>
        <w:rPr>
          <w:color w:val="221F1F"/>
          <w:spacing w:val="-4"/>
        </w:rPr>
        <w:t xml:space="preserve"> </w:t>
      </w:r>
      <w:r>
        <w:rPr>
          <w:color w:val="221F1F"/>
        </w:rPr>
        <w:t>BOX</w:t>
      </w:r>
      <w:r>
        <w:rPr>
          <w:color w:val="221F1F"/>
          <w:spacing w:val="49"/>
        </w:rPr>
        <w:t xml:space="preserve"> </w:t>
      </w:r>
      <w:r>
        <w:rPr>
          <w:color w:val="221F1F"/>
        </w:rPr>
        <w:t>849-40100,</w:t>
      </w:r>
      <w:r>
        <w:rPr>
          <w:color w:val="221F1F"/>
          <w:spacing w:val="-2"/>
        </w:rPr>
        <w:t xml:space="preserve"> Kisumu</w:t>
      </w:r>
    </w:p>
    <w:p w:rsidR="0074681E" w:rsidRDefault="000C4CE3" w:rsidP="0074681E">
      <w:pPr>
        <w:pStyle w:val="ListParagraph"/>
        <w:numPr>
          <w:ilvl w:val="0"/>
          <w:numId w:val="235"/>
        </w:numPr>
        <w:tabs>
          <w:tab w:val="left" w:pos="1742"/>
        </w:tabs>
        <w:spacing w:before="235"/>
        <w:ind w:hanging="511"/>
      </w:pPr>
      <w:r w:rsidRPr="000C4CE3">
        <w:rPr>
          <w:color w:val="221F1F"/>
        </w:rPr>
        <w:t>Completed</w:t>
      </w:r>
      <w:r w:rsidRPr="000C4CE3">
        <w:rPr>
          <w:color w:val="221F1F"/>
          <w:spacing w:val="36"/>
        </w:rPr>
        <w:t xml:space="preserve"> </w:t>
      </w:r>
      <w:r w:rsidRPr="000C4CE3">
        <w:rPr>
          <w:color w:val="221F1F"/>
        </w:rPr>
        <w:t>tenders</w:t>
      </w:r>
      <w:r w:rsidRPr="000C4CE3">
        <w:rPr>
          <w:color w:val="221F1F"/>
          <w:spacing w:val="38"/>
        </w:rPr>
        <w:t xml:space="preserve"> </w:t>
      </w:r>
      <w:r w:rsidRPr="000C4CE3">
        <w:rPr>
          <w:color w:val="221F1F"/>
        </w:rPr>
        <w:t>must</w:t>
      </w:r>
      <w:r w:rsidRPr="000C4CE3">
        <w:rPr>
          <w:color w:val="221F1F"/>
          <w:spacing w:val="39"/>
        </w:rPr>
        <w:t xml:space="preserve"> </w:t>
      </w:r>
      <w:r w:rsidRPr="000C4CE3">
        <w:rPr>
          <w:color w:val="221F1F"/>
        </w:rPr>
        <w:t>be</w:t>
      </w:r>
      <w:r w:rsidRPr="000C4CE3">
        <w:rPr>
          <w:color w:val="221F1F"/>
          <w:spacing w:val="40"/>
        </w:rPr>
        <w:t xml:space="preserve"> </w:t>
      </w:r>
      <w:r w:rsidRPr="000C4CE3">
        <w:rPr>
          <w:color w:val="221F1F"/>
        </w:rPr>
        <w:t>delivered</w:t>
      </w:r>
      <w:r w:rsidRPr="000C4CE3">
        <w:rPr>
          <w:color w:val="221F1F"/>
          <w:spacing w:val="37"/>
        </w:rPr>
        <w:t xml:space="preserve"> </w:t>
      </w:r>
      <w:r w:rsidRPr="000C4CE3">
        <w:rPr>
          <w:color w:val="221F1F"/>
        </w:rPr>
        <w:t>to</w:t>
      </w:r>
      <w:r w:rsidRPr="000C4CE3">
        <w:rPr>
          <w:color w:val="221F1F"/>
          <w:spacing w:val="39"/>
        </w:rPr>
        <w:t xml:space="preserve"> </w:t>
      </w:r>
      <w:r w:rsidRPr="000C4CE3">
        <w:rPr>
          <w:color w:val="221F1F"/>
        </w:rPr>
        <w:t>the</w:t>
      </w:r>
      <w:r w:rsidRPr="000C4CE3">
        <w:rPr>
          <w:color w:val="221F1F"/>
          <w:spacing w:val="39"/>
        </w:rPr>
        <w:t xml:space="preserve"> </w:t>
      </w:r>
      <w:r w:rsidRPr="000C4CE3">
        <w:rPr>
          <w:color w:val="221F1F"/>
        </w:rPr>
        <w:t>address</w:t>
      </w:r>
      <w:r w:rsidRPr="000C4CE3">
        <w:rPr>
          <w:color w:val="221F1F"/>
          <w:spacing w:val="37"/>
        </w:rPr>
        <w:t xml:space="preserve"> </w:t>
      </w:r>
      <w:r w:rsidRPr="000C4CE3">
        <w:rPr>
          <w:color w:val="221F1F"/>
        </w:rPr>
        <w:t>below</w:t>
      </w:r>
      <w:r w:rsidRPr="000C4CE3">
        <w:rPr>
          <w:color w:val="221F1F"/>
          <w:spacing w:val="38"/>
        </w:rPr>
        <w:t xml:space="preserve"> </w:t>
      </w:r>
      <w:r w:rsidRPr="000C4CE3">
        <w:rPr>
          <w:color w:val="221F1F"/>
        </w:rPr>
        <w:t>on</w:t>
      </w:r>
      <w:r w:rsidRPr="000C4CE3">
        <w:rPr>
          <w:color w:val="221F1F"/>
          <w:spacing w:val="39"/>
        </w:rPr>
        <w:t xml:space="preserve"> </w:t>
      </w:r>
      <w:r w:rsidRPr="000C4CE3">
        <w:rPr>
          <w:color w:val="221F1F"/>
        </w:rPr>
        <w:t>or</w:t>
      </w:r>
      <w:r w:rsidRPr="000C4CE3">
        <w:rPr>
          <w:color w:val="221F1F"/>
          <w:spacing w:val="39"/>
        </w:rPr>
        <w:t xml:space="preserve"> </w:t>
      </w:r>
      <w:r w:rsidRPr="000C4CE3">
        <w:rPr>
          <w:color w:val="221F1F"/>
        </w:rPr>
        <w:t>before</w:t>
      </w:r>
      <w:r w:rsidRPr="000C4CE3">
        <w:rPr>
          <w:color w:val="221F1F"/>
          <w:spacing w:val="37"/>
        </w:rPr>
        <w:t xml:space="preserve"> </w:t>
      </w:r>
      <w:r w:rsidR="00715D2C">
        <w:rPr>
          <w:b/>
          <w:i/>
          <w:color w:val="221F1F"/>
        </w:rPr>
        <w:t>20</w:t>
      </w:r>
      <w:r w:rsidRPr="000C4CE3">
        <w:rPr>
          <w:b/>
          <w:i/>
          <w:color w:val="221F1F"/>
          <w:vertAlign w:val="superscript"/>
        </w:rPr>
        <w:t>th</w:t>
      </w:r>
      <w:r w:rsidRPr="000C4CE3">
        <w:rPr>
          <w:b/>
          <w:i/>
          <w:color w:val="221F1F"/>
        </w:rPr>
        <w:t xml:space="preserve"> April,2026 at 11:00 </w:t>
      </w:r>
      <w:proofErr w:type="spellStart"/>
      <w:r w:rsidRPr="000C4CE3">
        <w:rPr>
          <w:b/>
          <w:i/>
          <w:color w:val="221F1F"/>
        </w:rPr>
        <w:t>a.m</w:t>
      </w:r>
      <w:proofErr w:type="spellEnd"/>
      <w:r w:rsidRPr="000C4CE3">
        <w:rPr>
          <w:b/>
          <w:i/>
          <w:color w:val="221F1F"/>
        </w:rPr>
        <w:t xml:space="preserve"> at Tender </w:t>
      </w:r>
      <w:proofErr w:type="spellStart"/>
      <w:proofErr w:type="gramStart"/>
      <w:r w:rsidRPr="000C4CE3">
        <w:rPr>
          <w:b/>
          <w:i/>
          <w:color w:val="221F1F"/>
        </w:rPr>
        <w:t>Box,located</w:t>
      </w:r>
      <w:proofErr w:type="spellEnd"/>
      <w:proofErr w:type="gramEnd"/>
      <w:r w:rsidRPr="000C4CE3">
        <w:rPr>
          <w:b/>
          <w:i/>
          <w:color w:val="221F1F"/>
        </w:rPr>
        <w:t xml:space="preserve"> at Administration </w:t>
      </w:r>
      <w:proofErr w:type="spellStart"/>
      <w:r w:rsidRPr="000C4CE3">
        <w:rPr>
          <w:b/>
          <w:i/>
          <w:color w:val="221F1F"/>
        </w:rPr>
        <w:t>Block,Ground</w:t>
      </w:r>
      <w:proofErr w:type="spellEnd"/>
      <w:r w:rsidRPr="000C4CE3">
        <w:rPr>
          <w:b/>
          <w:i/>
          <w:color w:val="221F1F"/>
        </w:rPr>
        <w:t xml:space="preserve"> </w:t>
      </w:r>
      <w:proofErr w:type="spellStart"/>
      <w:r w:rsidRPr="000C4CE3">
        <w:rPr>
          <w:b/>
          <w:i/>
          <w:color w:val="221F1F"/>
        </w:rPr>
        <w:t>Floor,next</w:t>
      </w:r>
      <w:proofErr w:type="spellEnd"/>
      <w:r w:rsidRPr="000C4CE3">
        <w:rPr>
          <w:b/>
          <w:i/>
          <w:color w:val="221F1F"/>
        </w:rPr>
        <w:t xml:space="preserve"> to Regi</w:t>
      </w:r>
      <w:r w:rsidR="0074681E">
        <w:rPr>
          <w:b/>
          <w:i/>
          <w:color w:val="221F1F"/>
        </w:rPr>
        <w:t>stry Office,</w:t>
      </w:r>
      <w:r w:rsidR="0074681E" w:rsidRPr="0074681E">
        <w:rPr>
          <w:b/>
        </w:rPr>
        <w:t xml:space="preserve"> ADMINISTRATION</w:t>
      </w:r>
      <w:r w:rsidR="00A43FBC" w:rsidRPr="0074681E">
        <w:rPr>
          <w:b/>
          <w:spacing w:val="-12"/>
        </w:rPr>
        <w:t xml:space="preserve"> </w:t>
      </w:r>
      <w:r w:rsidR="00A43FBC" w:rsidRPr="0074681E">
        <w:rPr>
          <w:b/>
          <w:spacing w:val="-2"/>
        </w:rPr>
        <w:t>BLOCK</w:t>
      </w:r>
      <w:r w:rsidR="0074681E">
        <w:t>I</w:t>
      </w:r>
    </w:p>
    <w:p w:rsidR="0074681E" w:rsidRPr="0074681E" w:rsidRDefault="0074681E" w:rsidP="0074681E">
      <w:pPr>
        <w:pStyle w:val="ListParagraph"/>
        <w:numPr>
          <w:ilvl w:val="0"/>
          <w:numId w:val="235"/>
        </w:numPr>
        <w:tabs>
          <w:tab w:val="left" w:pos="1742"/>
        </w:tabs>
        <w:spacing w:before="235"/>
        <w:ind w:hanging="511"/>
      </w:pPr>
      <w:r>
        <w:t>f a tender or part of a tender cannot fit into the Tender Box, it shall be submitted at the JOOTRH Warehouse reception, where the receiving officer shall acknowledge receipt of the tender documents</w:t>
      </w:r>
    </w:p>
    <w:p w:rsidR="007F6DF9" w:rsidRDefault="00A43FBC">
      <w:pPr>
        <w:spacing w:before="239"/>
        <w:ind w:left="1747"/>
        <w:rPr>
          <w:b/>
        </w:rPr>
      </w:pPr>
      <w:r>
        <w:rPr>
          <w:b/>
          <w:color w:val="221F1F"/>
          <w:u w:val="single" w:color="221F1F"/>
        </w:rPr>
        <w:t>Address</w:t>
      </w:r>
      <w:r>
        <w:rPr>
          <w:b/>
          <w:color w:val="221F1F"/>
          <w:spacing w:val="-5"/>
          <w:u w:val="single" w:color="221F1F"/>
        </w:rPr>
        <w:t xml:space="preserve"> </w:t>
      </w:r>
      <w:r>
        <w:rPr>
          <w:b/>
          <w:color w:val="221F1F"/>
          <w:u w:val="single" w:color="221F1F"/>
        </w:rPr>
        <w:t>for</w:t>
      </w:r>
      <w:r>
        <w:rPr>
          <w:b/>
          <w:color w:val="221F1F"/>
          <w:spacing w:val="-4"/>
          <w:u w:val="single" w:color="221F1F"/>
        </w:rPr>
        <w:t xml:space="preserve"> </w:t>
      </w:r>
      <w:r>
        <w:rPr>
          <w:b/>
          <w:color w:val="221F1F"/>
          <w:u w:val="single" w:color="221F1F"/>
        </w:rPr>
        <w:t>Opening</w:t>
      </w:r>
      <w:r>
        <w:rPr>
          <w:b/>
          <w:color w:val="221F1F"/>
          <w:spacing w:val="-2"/>
          <w:u w:val="single" w:color="221F1F"/>
        </w:rPr>
        <w:t xml:space="preserve"> </w:t>
      </w:r>
      <w:r>
        <w:rPr>
          <w:b/>
          <w:color w:val="221F1F"/>
          <w:u w:val="single" w:color="221F1F"/>
        </w:rPr>
        <w:t>of</w:t>
      </w:r>
      <w:r>
        <w:rPr>
          <w:b/>
          <w:color w:val="221F1F"/>
          <w:spacing w:val="-1"/>
          <w:u w:val="single" w:color="221F1F"/>
        </w:rPr>
        <w:t xml:space="preserve"> </w:t>
      </w:r>
      <w:r>
        <w:rPr>
          <w:b/>
          <w:color w:val="221F1F"/>
          <w:spacing w:val="-2"/>
          <w:u w:val="single" w:color="221F1F"/>
        </w:rPr>
        <w:t>Tenders.</w:t>
      </w:r>
    </w:p>
    <w:p w:rsidR="0074681E" w:rsidRPr="0074681E" w:rsidRDefault="00A43FBC" w:rsidP="0074681E">
      <w:pPr>
        <w:pStyle w:val="ListParagraph"/>
        <w:numPr>
          <w:ilvl w:val="0"/>
          <w:numId w:val="234"/>
        </w:numPr>
        <w:tabs>
          <w:tab w:val="left" w:pos="1742"/>
        </w:tabs>
        <w:spacing w:before="234"/>
        <w:ind w:hanging="511"/>
      </w:pPr>
      <w:r>
        <w:rPr>
          <w:color w:val="221F1F"/>
        </w:rPr>
        <w:t>Name</w:t>
      </w:r>
      <w:r>
        <w:rPr>
          <w:color w:val="221F1F"/>
          <w:spacing w:val="-9"/>
        </w:rPr>
        <w:t xml:space="preserve"> </w:t>
      </w:r>
      <w:r>
        <w:rPr>
          <w:color w:val="221F1F"/>
        </w:rPr>
        <w:t>of</w:t>
      </w:r>
      <w:r>
        <w:rPr>
          <w:color w:val="221F1F"/>
          <w:spacing w:val="-6"/>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JARAMOGI</w:t>
      </w:r>
      <w:r>
        <w:rPr>
          <w:color w:val="221F1F"/>
          <w:spacing w:val="-9"/>
        </w:rPr>
        <w:t xml:space="preserve"> </w:t>
      </w:r>
      <w:r>
        <w:rPr>
          <w:color w:val="221F1F"/>
        </w:rPr>
        <w:t>OGINGA</w:t>
      </w:r>
      <w:r>
        <w:rPr>
          <w:color w:val="221F1F"/>
          <w:spacing w:val="-6"/>
        </w:rPr>
        <w:t xml:space="preserve"> </w:t>
      </w:r>
      <w:r>
        <w:rPr>
          <w:color w:val="221F1F"/>
        </w:rPr>
        <w:t>ODINGA</w:t>
      </w:r>
      <w:r>
        <w:rPr>
          <w:color w:val="221F1F"/>
          <w:spacing w:val="-8"/>
        </w:rPr>
        <w:t xml:space="preserve"> </w:t>
      </w:r>
      <w:r>
        <w:rPr>
          <w:color w:val="221F1F"/>
        </w:rPr>
        <w:t>TEACHING</w:t>
      </w:r>
      <w:r>
        <w:rPr>
          <w:color w:val="221F1F"/>
          <w:spacing w:val="-8"/>
        </w:rPr>
        <w:t xml:space="preserve"> </w:t>
      </w:r>
      <w:r>
        <w:rPr>
          <w:color w:val="221F1F"/>
        </w:rPr>
        <w:t>&amp;</w:t>
      </w:r>
      <w:r>
        <w:rPr>
          <w:color w:val="221F1F"/>
          <w:spacing w:val="-6"/>
        </w:rPr>
        <w:t xml:space="preserve"> </w:t>
      </w:r>
      <w:r>
        <w:rPr>
          <w:color w:val="221F1F"/>
        </w:rPr>
        <w:t>REFERRAL</w:t>
      </w:r>
      <w:r>
        <w:rPr>
          <w:color w:val="221F1F"/>
          <w:spacing w:val="-6"/>
        </w:rPr>
        <w:t xml:space="preserve"> </w:t>
      </w:r>
      <w:r>
        <w:rPr>
          <w:color w:val="221F1F"/>
          <w:spacing w:val="-2"/>
        </w:rPr>
        <w:t>HOSPITAL</w:t>
      </w:r>
    </w:p>
    <w:p w:rsidR="007F6DF9" w:rsidRDefault="0074681E" w:rsidP="0074681E">
      <w:pPr>
        <w:pStyle w:val="ListParagraph"/>
        <w:numPr>
          <w:ilvl w:val="0"/>
          <w:numId w:val="234"/>
        </w:numPr>
        <w:tabs>
          <w:tab w:val="left" w:pos="1742"/>
        </w:tabs>
        <w:spacing w:before="234"/>
        <w:ind w:hanging="511"/>
      </w:pPr>
      <w:r>
        <w:rPr>
          <w:rStyle w:val="Strong"/>
        </w:rPr>
        <w:t>Physical Address for the Location:</w:t>
      </w:r>
      <w:r>
        <w:br/>
        <w:t xml:space="preserve">Tender </w:t>
      </w:r>
      <w:r>
        <w:rPr>
          <w:rStyle w:val="Strong"/>
        </w:rPr>
        <w:t>closing and opening</w:t>
      </w:r>
      <w:r>
        <w:t xml:space="preserve"> will be conducted exactly </w:t>
      </w:r>
      <w:r w:rsidR="00715D2C">
        <w:t>on or before 20</w:t>
      </w:r>
      <w:r w:rsidR="00715D2C" w:rsidRPr="00715D2C">
        <w:rPr>
          <w:vertAlign w:val="superscript"/>
        </w:rPr>
        <w:t>th</w:t>
      </w:r>
      <w:r w:rsidR="00715D2C">
        <w:t xml:space="preserve"> </w:t>
      </w:r>
      <w:r w:rsidR="000809BB">
        <w:t xml:space="preserve">April,2026 </w:t>
      </w:r>
      <w:r>
        <w:t xml:space="preserve">at </w:t>
      </w:r>
      <w:r>
        <w:rPr>
          <w:rStyle w:val="Strong"/>
        </w:rPr>
        <w:t>11:00 a.m.</w:t>
      </w:r>
      <w:r>
        <w:t xml:space="preserve"> at the </w:t>
      </w:r>
      <w:r>
        <w:rPr>
          <w:rStyle w:val="Strong"/>
        </w:rPr>
        <w:t>Tender Box located at the Administration Block, Ground Floor, next to the Registry</w:t>
      </w:r>
      <w:r>
        <w:t xml:space="preserve">. Thereafter, the tender documents will be </w:t>
      </w:r>
      <w:r>
        <w:rPr>
          <w:rStyle w:val="Strong"/>
        </w:rPr>
        <w:t>moved to the JOOTRH Conference Hall and opened publicly</w:t>
      </w:r>
      <w:r>
        <w:t xml:space="preserve"> in the presence of bidders or their representatives who wish to attend.</w:t>
      </w:r>
    </w:p>
    <w:p w:rsidR="007F6DF9" w:rsidRDefault="007F6DF9">
      <w:pPr>
        <w:pStyle w:val="BodyText"/>
      </w:pPr>
    </w:p>
    <w:p w:rsidR="007F6DF9" w:rsidRDefault="007F6DF9">
      <w:pPr>
        <w:pStyle w:val="BodyText"/>
      </w:pPr>
    </w:p>
    <w:p w:rsidR="007F6DF9" w:rsidRDefault="007F6DF9">
      <w:pPr>
        <w:pStyle w:val="BodyText"/>
      </w:pPr>
    </w:p>
    <w:p w:rsidR="007F6DF9" w:rsidRDefault="007F6DF9">
      <w:pPr>
        <w:pStyle w:val="BodyText"/>
        <w:spacing w:before="141"/>
      </w:pPr>
    </w:p>
    <w:p w:rsidR="007F6DF9" w:rsidRDefault="00A43FBC">
      <w:pPr>
        <w:ind w:left="852"/>
        <w:rPr>
          <w:sz w:val="24"/>
        </w:rPr>
      </w:pPr>
      <w:r>
        <w:rPr>
          <w:color w:val="221F1F"/>
          <w:sz w:val="24"/>
        </w:rPr>
        <w:t>Name:</w:t>
      </w:r>
      <w:r>
        <w:rPr>
          <w:color w:val="221F1F"/>
          <w:spacing w:val="-1"/>
          <w:sz w:val="24"/>
        </w:rPr>
        <w:t xml:space="preserve"> </w:t>
      </w:r>
      <w:proofErr w:type="spellStart"/>
      <w:proofErr w:type="gramStart"/>
      <w:r w:rsidR="00482502">
        <w:rPr>
          <w:color w:val="221F1F"/>
          <w:spacing w:val="-1"/>
          <w:sz w:val="24"/>
        </w:rPr>
        <w:t>Dr.</w:t>
      </w:r>
      <w:r>
        <w:rPr>
          <w:color w:val="221F1F"/>
          <w:sz w:val="24"/>
        </w:rPr>
        <w:t>Joshua</w:t>
      </w:r>
      <w:proofErr w:type="spellEnd"/>
      <w:proofErr w:type="gramEnd"/>
      <w:r>
        <w:rPr>
          <w:color w:val="221F1F"/>
          <w:spacing w:val="-1"/>
          <w:sz w:val="24"/>
        </w:rPr>
        <w:t xml:space="preserve"> </w:t>
      </w:r>
      <w:r w:rsidR="00482502">
        <w:rPr>
          <w:color w:val="221F1F"/>
          <w:spacing w:val="-1"/>
          <w:sz w:val="24"/>
        </w:rPr>
        <w:t xml:space="preserve">Clinton </w:t>
      </w:r>
      <w:proofErr w:type="spellStart"/>
      <w:r>
        <w:rPr>
          <w:color w:val="221F1F"/>
          <w:spacing w:val="-2"/>
          <w:sz w:val="24"/>
        </w:rPr>
        <w:t>Okise</w:t>
      </w:r>
      <w:proofErr w:type="spellEnd"/>
    </w:p>
    <w:p w:rsidR="007F6DF9" w:rsidRDefault="00A43FBC">
      <w:pPr>
        <w:spacing w:before="123"/>
        <w:ind w:left="852"/>
        <w:rPr>
          <w:i/>
          <w:sz w:val="24"/>
        </w:rPr>
      </w:pPr>
      <w:r>
        <w:rPr>
          <w:color w:val="221F1F"/>
          <w:sz w:val="24"/>
        </w:rPr>
        <w:t>(</w:t>
      </w:r>
      <w:r>
        <w:rPr>
          <w:i/>
          <w:color w:val="221F1F"/>
          <w:sz w:val="24"/>
        </w:rPr>
        <w:t>Official</w:t>
      </w:r>
      <w:r>
        <w:rPr>
          <w:i/>
          <w:color w:val="221F1F"/>
          <w:spacing w:val="-3"/>
          <w:sz w:val="24"/>
        </w:rPr>
        <w:t xml:space="preserve"> </w:t>
      </w:r>
      <w:r>
        <w:rPr>
          <w:i/>
          <w:color w:val="221F1F"/>
          <w:sz w:val="24"/>
        </w:rPr>
        <w:t>of</w:t>
      </w:r>
      <w:r>
        <w:rPr>
          <w:i/>
          <w:color w:val="221F1F"/>
          <w:spacing w:val="-3"/>
          <w:sz w:val="24"/>
        </w:rPr>
        <w:t xml:space="preserve"> </w:t>
      </w:r>
      <w:r>
        <w:rPr>
          <w:i/>
          <w:color w:val="221F1F"/>
          <w:sz w:val="24"/>
        </w:rPr>
        <w:t>the</w:t>
      </w:r>
      <w:r>
        <w:rPr>
          <w:i/>
          <w:color w:val="221F1F"/>
          <w:spacing w:val="-3"/>
          <w:sz w:val="24"/>
        </w:rPr>
        <w:t xml:space="preserve"> </w:t>
      </w:r>
      <w:r>
        <w:rPr>
          <w:i/>
          <w:color w:val="221F1F"/>
          <w:sz w:val="24"/>
        </w:rPr>
        <w:t>Procuring</w:t>
      </w:r>
      <w:r>
        <w:rPr>
          <w:i/>
          <w:color w:val="221F1F"/>
          <w:spacing w:val="-3"/>
          <w:sz w:val="24"/>
        </w:rPr>
        <w:t xml:space="preserve"> </w:t>
      </w:r>
      <w:r>
        <w:rPr>
          <w:i/>
          <w:color w:val="221F1F"/>
          <w:sz w:val="24"/>
        </w:rPr>
        <w:t>Entity</w:t>
      </w:r>
      <w:r>
        <w:rPr>
          <w:i/>
          <w:color w:val="221F1F"/>
          <w:spacing w:val="-4"/>
          <w:sz w:val="24"/>
        </w:rPr>
        <w:t xml:space="preserve"> </w:t>
      </w:r>
      <w:r>
        <w:rPr>
          <w:i/>
          <w:color w:val="221F1F"/>
          <w:sz w:val="24"/>
        </w:rPr>
        <w:t>issuing</w:t>
      </w:r>
      <w:r>
        <w:rPr>
          <w:i/>
          <w:color w:val="221F1F"/>
          <w:spacing w:val="-2"/>
          <w:sz w:val="24"/>
        </w:rPr>
        <w:t xml:space="preserve"> </w:t>
      </w:r>
      <w:r>
        <w:rPr>
          <w:i/>
          <w:color w:val="221F1F"/>
          <w:sz w:val="24"/>
        </w:rPr>
        <w:t>the</w:t>
      </w:r>
      <w:r>
        <w:rPr>
          <w:i/>
          <w:color w:val="221F1F"/>
          <w:spacing w:val="-2"/>
          <w:sz w:val="24"/>
        </w:rPr>
        <w:t xml:space="preserve"> invitation)</w:t>
      </w:r>
    </w:p>
    <w:p w:rsidR="007F6DF9" w:rsidRDefault="007F6DF9">
      <w:pPr>
        <w:pStyle w:val="BodyText"/>
        <w:spacing w:before="110"/>
        <w:rPr>
          <w:i/>
          <w:sz w:val="24"/>
        </w:rPr>
      </w:pPr>
    </w:p>
    <w:p w:rsidR="007F6DF9" w:rsidRDefault="00A43FBC">
      <w:pPr>
        <w:ind w:left="852"/>
        <w:rPr>
          <w:sz w:val="24"/>
        </w:rPr>
      </w:pPr>
      <w:r>
        <w:rPr>
          <w:color w:val="221F1F"/>
          <w:sz w:val="24"/>
        </w:rPr>
        <w:t>Designation:</w:t>
      </w:r>
      <w:r>
        <w:rPr>
          <w:color w:val="221F1F"/>
          <w:spacing w:val="58"/>
          <w:sz w:val="24"/>
        </w:rPr>
        <w:t xml:space="preserve"> </w:t>
      </w:r>
      <w:r>
        <w:rPr>
          <w:color w:val="221F1F"/>
          <w:sz w:val="24"/>
        </w:rPr>
        <w:t xml:space="preserve">Ag. </w:t>
      </w:r>
      <w:r>
        <w:rPr>
          <w:color w:val="221F1F"/>
          <w:spacing w:val="-5"/>
          <w:sz w:val="24"/>
        </w:rPr>
        <w:t>CEO</w:t>
      </w:r>
    </w:p>
    <w:p w:rsidR="007F6DF9" w:rsidRDefault="007F6DF9">
      <w:pPr>
        <w:pStyle w:val="BodyText"/>
        <w:spacing w:before="248"/>
        <w:rPr>
          <w:sz w:val="24"/>
        </w:rPr>
      </w:pPr>
    </w:p>
    <w:p w:rsidR="007F6DF9" w:rsidRDefault="00A43FBC">
      <w:pPr>
        <w:tabs>
          <w:tab w:val="left" w:pos="11228"/>
        </w:tabs>
        <w:ind w:left="852"/>
        <w:rPr>
          <w:sz w:val="24"/>
        </w:rPr>
      </w:pPr>
      <w:r>
        <w:rPr>
          <w:color w:val="221F1F"/>
          <w:sz w:val="24"/>
        </w:rPr>
        <w:t xml:space="preserve">Signature </w:t>
      </w:r>
      <w:r>
        <w:rPr>
          <w:color w:val="221F1F"/>
          <w:sz w:val="24"/>
          <w:u w:val="single" w:color="211E1F"/>
        </w:rPr>
        <w:tab/>
      </w:r>
    </w:p>
    <w:p w:rsidR="007F6DF9" w:rsidRDefault="007F6DF9">
      <w:pPr>
        <w:pStyle w:val="BodyText"/>
        <w:spacing w:before="245"/>
        <w:rPr>
          <w:sz w:val="24"/>
        </w:rPr>
      </w:pPr>
    </w:p>
    <w:p w:rsidR="007F6DF9" w:rsidRDefault="00A43FBC">
      <w:pPr>
        <w:tabs>
          <w:tab w:val="left" w:pos="11240"/>
        </w:tabs>
        <w:ind w:left="852"/>
        <w:rPr>
          <w:sz w:val="24"/>
        </w:rPr>
      </w:pPr>
      <w:r>
        <w:rPr>
          <w:color w:val="221F1F"/>
          <w:sz w:val="24"/>
        </w:rPr>
        <w:t xml:space="preserve">Date </w:t>
      </w:r>
      <w:r>
        <w:rPr>
          <w:color w:val="221F1F"/>
          <w:sz w:val="24"/>
          <w:u w:val="single" w:color="211E1F"/>
        </w:rPr>
        <w:tab/>
      </w:r>
    </w:p>
    <w:p w:rsidR="007F6DF9" w:rsidRDefault="007F6DF9">
      <w:pPr>
        <w:rPr>
          <w:sz w:val="24"/>
        </w:rPr>
        <w:sectPr w:rsidR="007F6DF9">
          <w:pgSz w:w="11920" w:h="16850"/>
          <w:pgMar w:top="360" w:right="0" w:bottom="620" w:left="0" w:header="0" w:footer="437" w:gutter="0"/>
          <w:cols w:space="720"/>
        </w:sect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spacing w:before="168"/>
        <w:rPr>
          <w:sz w:val="20"/>
        </w:rPr>
      </w:pPr>
    </w:p>
    <w:p w:rsidR="00FC371B" w:rsidRDefault="00FC371B">
      <w:pPr>
        <w:pStyle w:val="BodyText"/>
        <w:spacing w:before="168"/>
        <w:rPr>
          <w:sz w:val="20"/>
        </w:rPr>
      </w:pPr>
    </w:p>
    <w:p w:rsidR="007F6DF9" w:rsidRDefault="00A43FBC">
      <w:pPr>
        <w:spacing w:line="20" w:lineRule="exact"/>
        <w:ind w:left="855"/>
        <w:rPr>
          <w:sz w:val="2"/>
        </w:rPr>
      </w:pPr>
      <w:r>
        <w:rPr>
          <w:noProof/>
          <w:sz w:val="2"/>
        </w:rPr>
        <mc:AlternateContent>
          <mc:Choice Requires="wpg">
            <w:drawing>
              <wp:inline distT="0" distB="0" distL="0" distR="0">
                <wp:extent cx="6479540" cy="50800"/>
                <wp:effectExtent l="28575" t="0" r="16510" b="635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50800"/>
                          <a:chOff x="0" y="0"/>
                          <a:chExt cx="6479540" cy="50800"/>
                        </a:xfrm>
                      </wpg:grpSpPr>
                      <wps:wsp>
                        <wps:cNvPr id="27" name="Graphic 26"/>
                        <wps:cNvSpPr/>
                        <wps:spPr>
                          <a:xfrm>
                            <a:off x="0" y="25400"/>
                            <a:ext cx="6479540" cy="1270"/>
                          </a:xfrm>
                          <a:custGeom>
                            <a:avLst/>
                            <a:gdLst/>
                            <a:ahLst/>
                            <a:cxnLst/>
                            <a:rect l="l" t="t" r="r" b="b"/>
                            <a:pathLst>
                              <a:path w="6479540">
                                <a:moveTo>
                                  <a:pt x="0" y="0"/>
                                </a:moveTo>
                                <a:lnTo>
                                  <a:pt x="647954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w:pict>
              <v:group w14:anchorId="456D124B" id="Group 25" o:spid="_x0000_s1026" style="width:510.2pt;height:4pt;mso-position-horizontal-relative:char;mso-position-vertical-relative:line" coordsize="6479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">
                <v:shape id="Graphic 26" o:spid="_x0000_s1027" style="position:absolute;top:254;width:64795;height:12;visibility:visible;mso-wrap-style:square;v-text-anchor:top" coordsize="6479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" path="m,l6479540,e" filled="f" strokecolor="#929497" strokeweight="4pt">
                  <v:path arrowok="t"/>
                </v:shape>
                <w10:anchorlock/>
              </v:group>
            </w:pict>
          </mc:Fallback>
        </mc:AlternateContent>
      </w:r>
    </w:p>
    <w:p w:rsidR="007F6DF9" w:rsidRDefault="007F6DF9">
      <w:pPr>
        <w:pStyle w:val="BodyText"/>
        <w:spacing w:before="373"/>
        <w:rPr>
          <w:sz w:val="48"/>
        </w:rPr>
      </w:pPr>
    </w:p>
    <w:p w:rsidR="007F6DF9" w:rsidRDefault="00A43FBC">
      <w:pPr>
        <w:pStyle w:val="Heading1"/>
        <w:tabs>
          <w:tab w:val="left" w:pos="1997"/>
        </w:tabs>
      </w:pPr>
      <w:bookmarkStart w:id="3" w:name="_bookmark2"/>
      <w:bookmarkEnd w:id="3"/>
      <w:r>
        <w:rPr>
          <w:color w:val="221F1F"/>
          <w:spacing w:val="-2"/>
        </w:rPr>
        <w:t>PART1:</w:t>
      </w:r>
      <w:r>
        <w:rPr>
          <w:color w:val="221F1F"/>
        </w:rPr>
        <w:tab/>
        <w:t>TENDERING</w:t>
      </w:r>
      <w:r>
        <w:rPr>
          <w:color w:val="221F1F"/>
          <w:spacing w:val="-2"/>
        </w:rPr>
        <w:t xml:space="preserve"> PROCEDURES</w:t>
      </w:r>
    </w:p>
    <w:p w:rsidR="007F6DF9" w:rsidRDefault="007F6DF9">
      <w:pPr>
        <w:pStyle w:val="BodyText"/>
        <w:rPr>
          <w:b/>
          <w:sz w:val="20"/>
        </w:rPr>
      </w:pPr>
    </w:p>
    <w:p w:rsidR="007F6DF9" w:rsidRDefault="007F6DF9">
      <w:pPr>
        <w:pStyle w:val="BodyText"/>
        <w:rPr>
          <w:b/>
          <w:sz w:val="20"/>
        </w:rPr>
      </w:pPr>
    </w:p>
    <w:p w:rsidR="007F6DF9" w:rsidRDefault="007F6DF9">
      <w:pPr>
        <w:pStyle w:val="BodyText"/>
        <w:rPr>
          <w:b/>
          <w:sz w:val="20"/>
        </w:rPr>
      </w:pPr>
    </w:p>
    <w:p w:rsidR="007F6DF9" w:rsidRDefault="00A43FBC">
      <w:pPr>
        <w:pStyle w:val="BodyText"/>
        <w:spacing w:before="7"/>
        <w:rPr>
          <w:b/>
          <w:sz w:val="20"/>
        </w:rPr>
      </w:pPr>
      <w:r>
        <w:rPr>
          <w:b/>
          <w:noProof/>
          <w:sz w:val="20"/>
        </w:rPr>
        <mc:AlternateContent>
          <mc:Choice Requires="wps">
            <w:drawing>
              <wp:anchor distT="0" distB="0" distL="0" distR="0" simplePos="0" relativeHeight="251663872" behindDoc="1" locked="0" layoutInCell="1" allowOverlap="1">
                <wp:simplePos x="0" y="0"/>
                <wp:positionH relativeFrom="page">
                  <wp:posOffset>540384</wp:posOffset>
                </wp:positionH>
                <wp:positionV relativeFrom="paragraph">
                  <wp:posOffset>166085</wp:posOffset>
                </wp:positionV>
                <wp:extent cx="6479540" cy="1270"/>
                <wp:effectExtent l="0" t="0" r="0" b="0"/>
                <wp:wrapTopAndBottom/>
                <wp:docPr id="1"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52E7639D" id="Graphic 27" o:spid="_x0000_s1026" style="position:absolute;margin-left:42.55pt;margin-top:13.1pt;width:510.2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" path="m,l6479540,e" filled="f" strokecolor="#929497" strokeweight="4pt">
                <v:path arrowok="t"/>
                <w10:wrap type="topAndBottom" anchorx="page"/>
              </v:shape>
            </w:pict>
          </mc:Fallback>
        </mc:AlternateContent>
      </w:r>
    </w:p>
    <w:p w:rsidR="007F6DF9" w:rsidRDefault="007F6DF9">
      <w:pPr>
        <w:pStyle w:val="BodyText"/>
        <w:rPr>
          <w:b/>
          <w:sz w:val="20"/>
        </w:rPr>
        <w:sectPr w:rsidR="007F6DF9">
          <w:headerReference w:type="default" r:id="rId8"/>
          <w:footerReference w:type="default" r:id="rId9"/>
          <w:pgSz w:w="11920" w:h="16850"/>
          <w:pgMar w:top="1940" w:right="0" w:bottom="280" w:left="0" w:header="0" w:footer="0" w:gutter="0"/>
          <w:cols w:space="720"/>
        </w:sectPr>
      </w:pPr>
    </w:p>
    <w:p w:rsidR="007F6DF9" w:rsidRDefault="007F6DF9">
      <w:pPr>
        <w:pStyle w:val="BodyText"/>
        <w:spacing w:before="4"/>
        <w:rPr>
          <w:b/>
          <w:sz w:val="17"/>
        </w:rPr>
      </w:pPr>
    </w:p>
    <w:p w:rsidR="007F6DF9" w:rsidRDefault="007F6DF9">
      <w:pPr>
        <w:pStyle w:val="BodyText"/>
        <w:rPr>
          <w:b/>
          <w:sz w:val="17"/>
        </w:rPr>
        <w:sectPr w:rsidR="007F6DF9">
          <w:headerReference w:type="even" r:id="rId10"/>
          <w:footerReference w:type="even" r:id="rId11"/>
          <w:pgSz w:w="11920" w:h="16850"/>
          <w:pgMar w:top="1940" w:right="0" w:bottom="280" w:left="0" w:header="0" w:footer="0" w:gutter="0"/>
          <w:cols w:space="720"/>
        </w:sectPr>
      </w:pPr>
    </w:p>
    <w:p w:rsidR="007F6DF9" w:rsidRDefault="007F6DF9">
      <w:pPr>
        <w:pStyle w:val="BodyText"/>
        <w:spacing w:before="202"/>
        <w:rPr>
          <w:b/>
        </w:rPr>
      </w:pPr>
    </w:p>
    <w:p w:rsidR="007F6DF9" w:rsidRDefault="00A43FBC">
      <w:pPr>
        <w:pStyle w:val="Heading8"/>
        <w:tabs>
          <w:tab w:val="left" w:pos="1401"/>
        </w:tabs>
        <w:spacing w:line="463" w:lineRule="auto"/>
        <w:ind w:left="849" w:right="6300"/>
      </w:pPr>
      <w:r>
        <w:rPr>
          <w:color w:val="221F1F"/>
        </w:rPr>
        <w:t>SECTION</w:t>
      </w:r>
      <w:r>
        <w:rPr>
          <w:color w:val="221F1F"/>
          <w:spacing w:val="-7"/>
        </w:rPr>
        <w:t xml:space="preserve"> </w:t>
      </w:r>
      <w:r>
        <w:rPr>
          <w:color w:val="221F1F"/>
        </w:rPr>
        <w:t>I</w:t>
      </w:r>
      <w:r>
        <w:rPr>
          <w:color w:val="221F1F"/>
          <w:spacing w:val="-5"/>
        </w:rPr>
        <w:t xml:space="preserve"> </w:t>
      </w:r>
      <w:r>
        <w:rPr>
          <w:color w:val="221F1F"/>
        </w:rPr>
        <w:t>-</w:t>
      </w:r>
      <w:r>
        <w:rPr>
          <w:color w:val="221F1F"/>
          <w:spacing w:val="-8"/>
        </w:rPr>
        <w:t xml:space="preserve"> </w:t>
      </w:r>
      <w:r>
        <w:rPr>
          <w:color w:val="221F1F"/>
        </w:rPr>
        <w:t>INSTRUCTIONS</w:t>
      </w:r>
      <w:r>
        <w:rPr>
          <w:color w:val="221F1F"/>
          <w:spacing w:val="-6"/>
        </w:rPr>
        <w:t xml:space="preserve"> </w:t>
      </w:r>
      <w:r>
        <w:rPr>
          <w:color w:val="221F1F"/>
        </w:rPr>
        <w:t>TO</w:t>
      </w:r>
      <w:r>
        <w:rPr>
          <w:color w:val="221F1F"/>
          <w:spacing w:val="-8"/>
        </w:rPr>
        <w:t xml:space="preserve"> </w:t>
      </w:r>
      <w:r>
        <w:rPr>
          <w:color w:val="221F1F"/>
        </w:rPr>
        <w:t xml:space="preserve">TENDERERS </w:t>
      </w:r>
      <w:r>
        <w:rPr>
          <w:color w:val="221F1F"/>
          <w:spacing w:val="-10"/>
        </w:rPr>
        <w:t>A</w:t>
      </w:r>
      <w:r>
        <w:rPr>
          <w:color w:val="221F1F"/>
        </w:rPr>
        <w:tab/>
      </w:r>
      <w:r>
        <w:rPr>
          <w:color w:val="221F1F"/>
          <w:u w:val="single" w:color="221F1F"/>
        </w:rPr>
        <w:t>GENERAL PROVISIONS</w:t>
      </w:r>
    </w:p>
    <w:p w:rsidR="007F6DF9" w:rsidRDefault="00A43FBC">
      <w:pPr>
        <w:pStyle w:val="Heading9"/>
        <w:numPr>
          <w:ilvl w:val="1"/>
          <w:numId w:val="233"/>
        </w:numPr>
        <w:tabs>
          <w:tab w:val="left" w:pos="1401"/>
        </w:tabs>
        <w:spacing w:line="246" w:lineRule="exact"/>
        <w:ind w:left="1401" w:hanging="552"/>
        <w:jc w:val="both"/>
      </w:pPr>
      <w:bookmarkStart w:id="4" w:name="_bookmark3"/>
      <w:bookmarkEnd w:id="4"/>
      <w:r>
        <w:rPr>
          <w:color w:val="221F1F"/>
        </w:rPr>
        <w:t>Scope</w:t>
      </w:r>
      <w:r>
        <w:rPr>
          <w:color w:val="221F1F"/>
          <w:spacing w:val="-2"/>
        </w:rPr>
        <w:t xml:space="preserve"> </w:t>
      </w:r>
      <w:r>
        <w:rPr>
          <w:color w:val="221F1F"/>
        </w:rPr>
        <w:t xml:space="preserve">of </w:t>
      </w:r>
      <w:r>
        <w:rPr>
          <w:color w:val="221F1F"/>
          <w:spacing w:val="-2"/>
        </w:rPr>
        <w:t>tender</w:t>
      </w:r>
    </w:p>
    <w:p w:rsidR="007F6DF9" w:rsidRDefault="00A43FBC">
      <w:pPr>
        <w:pStyle w:val="ListParagraph"/>
        <w:numPr>
          <w:ilvl w:val="1"/>
          <w:numId w:val="233"/>
        </w:numPr>
        <w:tabs>
          <w:tab w:val="left" w:pos="1400"/>
          <w:tab w:val="left" w:pos="1406"/>
        </w:tabs>
        <w:spacing w:before="245" w:line="230" w:lineRule="auto"/>
        <w:ind w:left="1406" w:right="848" w:hanging="558"/>
        <w:jc w:val="both"/>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4"/>
        </w:rPr>
        <w:t xml:space="preserve"> </w:t>
      </w:r>
      <w:r>
        <w:rPr>
          <w:color w:val="221F1F"/>
        </w:rPr>
        <w:t>as</w:t>
      </w:r>
      <w:r>
        <w:rPr>
          <w:color w:val="221F1F"/>
          <w:spacing w:val="-2"/>
        </w:rPr>
        <w:t xml:space="preserve"> </w:t>
      </w:r>
      <w:r>
        <w:rPr>
          <w:color w:val="221F1F"/>
        </w:rPr>
        <w:t>defined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Appendix</w:t>
      </w:r>
      <w:r>
        <w:rPr>
          <w:color w:val="221F1F"/>
          <w:spacing w:val="-4"/>
        </w:rPr>
        <w:t xml:space="preserve"> </w:t>
      </w:r>
      <w:r>
        <w:rPr>
          <w:color w:val="221F1F"/>
        </w:rPr>
        <w:t>to</w:t>
      </w:r>
      <w:r>
        <w:rPr>
          <w:color w:val="221F1F"/>
          <w:spacing w:val="-2"/>
        </w:rPr>
        <w:t xml:space="preserve"> </w:t>
      </w:r>
      <w:r>
        <w:rPr>
          <w:color w:val="221F1F"/>
        </w:rPr>
        <w:t>Conditions</w:t>
      </w:r>
      <w:r>
        <w:rPr>
          <w:color w:val="221F1F"/>
          <w:spacing w:val="-2"/>
        </w:rPr>
        <w:t xml:space="preserve"> </w:t>
      </w:r>
      <w:r>
        <w:rPr>
          <w:color w:val="221F1F"/>
        </w:rPr>
        <w:t>of</w:t>
      </w:r>
      <w:r>
        <w:rPr>
          <w:color w:val="221F1F"/>
          <w:spacing w:val="-2"/>
        </w:rPr>
        <w:t xml:space="preserve"> </w:t>
      </w:r>
      <w:r>
        <w:rPr>
          <w:color w:val="221F1F"/>
        </w:rPr>
        <w:t>Contract</w:t>
      </w:r>
      <w:r>
        <w:rPr>
          <w:color w:val="221F1F"/>
          <w:spacing w:val="-3"/>
        </w:rPr>
        <w:t xml:space="preserve"> </w:t>
      </w:r>
      <w:r>
        <w:rPr>
          <w:color w:val="221F1F"/>
        </w:rPr>
        <w:t>invites</w:t>
      </w:r>
      <w:r>
        <w:rPr>
          <w:color w:val="221F1F"/>
          <w:spacing w:val="-4"/>
        </w:rPr>
        <w:t xml:space="preserve"> </w:t>
      </w:r>
      <w:r>
        <w:rPr>
          <w:color w:val="221F1F"/>
        </w:rPr>
        <w:t>tenders</w:t>
      </w:r>
      <w:r>
        <w:rPr>
          <w:color w:val="221F1F"/>
          <w:spacing w:val="-2"/>
        </w:rPr>
        <w:t xml:space="preserve"> </w:t>
      </w:r>
      <w:r>
        <w:rPr>
          <w:color w:val="221F1F"/>
        </w:rPr>
        <w:t>for</w:t>
      </w:r>
      <w:r>
        <w:rPr>
          <w:color w:val="221F1F"/>
          <w:spacing w:val="-2"/>
        </w:rPr>
        <w:t xml:space="preserve"> </w:t>
      </w:r>
      <w:r>
        <w:rPr>
          <w:color w:val="221F1F"/>
        </w:rPr>
        <w:t>Works</w:t>
      </w:r>
      <w:r>
        <w:rPr>
          <w:color w:val="221F1F"/>
          <w:spacing w:val="-11"/>
        </w:rPr>
        <w:t xml:space="preserve"> </w:t>
      </w:r>
      <w:r>
        <w:rPr>
          <w:color w:val="221F1F"/>
        </w:rPr>
        <w:t>Contract as described in the tender documents. The name, identification, and number of lots (contracts) of this Tender Document are specified in the TDS.</w:t>
      </w:r>
    </w:p>
    <w:p w:rsidR="007F6DF9" w:rsidRDefault="00A43FBC">
      <w:pPr>
        <w:pStyle w:val="ListParagraph"/>
        <w:numPr>
          <w:ilvl w:val="1"/>
          <w:numId w:val="233"/>
        </w:numPr>
        <w:tabs>
          <w:tab w:val="left" w:pos="1401"/>
        </w:tabs>
        <w:spacing w:before="228" w:line="252" w:lineRule="exact"/>
        <w:ind w:left="1401" w:hanging="552"/>
        <w:jc w:val="both"/>
      </w:pPr>
      <w:r>
        <w:rPr>
          <w:color w:val="221F1F"/>
        </w:rPr>
        <w:t>Throughout</w:t>
      </w:r>
      <w:r>
        <w:rPr>
          <w:color w:val="221F1F"/>
          <w:spacing w:val="-6"/>
        </w:rPr>
        <w:t xml:space="preserve"> </w:t>
      </w:r>
      <w:r>
        <w:rPr>
          <w:color w:val="221F1F"/>
        </w:rPr>
        <w:t>this</w:t>
      </w:r>
      <w:r>
        <w:rPr>
          <w:color w:val="221F1F"/>
          <w:spacing w:val="-4"/>
        </w:rPr>
        <w:t xml:space="preserve"> </w:t>
      </w:r>
      <w:r>
        <w:rPr>
          <w:color w:val="221F1F"/>
        </w:rPr>
        <w:t>tendering</w:t>
      </w:r>
      <w:r>
        <w:rPr>
          <w:color w:val="221F1F"/>
          <w:spacing w:val="-5"/>
        </w:rPr>
        <w:t xml:space="preserve"> </w:t>
      </w:r>
      <w:r>
        <w:rPr>
          <w:color w:val="221F1F"/>
          <w:spacing w:val="-2"/>
        </w:rPr>
        <w:t>document:</w:t>
      </w:r>
    </w:p>
    <w:p w:rsidR="007F6DF9" w:rsidRDefault="00A43FBC">
      <w:pPr>
        <w:pStyle w:val="ListParagraph"/>
        <w:numPr>
          <w:ilvl w:val="2"/>
          <w:numId w:val="233"/>
        </w:numPr>
        <w:tabs>
          <w:tab w:val="left" w:pos="1815"/>
          <w:tab w:val="left" w:pos="1817"/>
        </w:tabs>
        <w:spacing w:before="8" w:line="230" w:lineRule="auto"/>
        <w:ind w:right="848"/>
        <w:jc w:val="both"/>
      </w:pPr>
      <w:r>
        <w:rPr>
          <w:color w:val="221F1F"/>
        </w:rPr>
        <w:t>The</w:t>
      </w:r>
      <w:r>
        <w:rPr>
          <w:color w:val="221F1F"/>
          <w:spacing w:val="-14"/>
        </w:rPr>
        <w:t xml:space="preserve"> </w:t>
      </w:r>
      <w:r>
        <w:rPr>
          <w:color w:val="221F1F"/>
        </w:rPr>
        <w:t>term</w:t>
      </w:r>
      <w:r>
        <w:rPr>
          <w:color w:val="221F1F"/>
          <w:spacing w:val="-14"/>
        </w:rPr>
        <w:t xml:space="preserve"> </w:t>
      </w:r>
      <w:r>
        <w:rPr>
          <w:color w:val="221F1F"/>
        </w:rPr>
        <w:t>“</w:t>
      </w:r>
      <w:proofErr w:type="spellStart"/>
      <w:r>
        <w:rPr>
          <w:color w:val="221F1F"/>
        </w:rPr>
        <w:t>inwriting</w:t>
      </w:r>
      <w:proofErr w:type="spellEnd"/>
      <w:r>
        <w:rPr>
          <w:color w:val="221F1F"/>
        </w:rPr>
        <w:t>”</w:t>
      </w:r>
      <w:r>
        <w:rPr>
          <w:color w:val="221F1F"/>
          <w:spacing w:val="-14"/>
        </w:rPr>
        <w:t xml:space="preserve"> </w:t>
      </w:r>
      <w:r>
        <w:rPr>
          <w:color w:val="221F1F"/>
        </w:rPr>
        <w:t>means</w:t>
      </w:r>
      <w:r>
        <w:rPr>
          <w:color w:val="221F1F"/>
          <w:spacing w:val="-13"/>
        </w:rPr>
        <w:t xml:space="preserve"> </w:t>
      </w:r>
      <w:r>
        <w:rPr>
          <w:color w:val="221F1F"/>
        </w:rPr>
        <w:t>communicated</w:t>
      </w:r>
      <w:r>
        <w:rPr>
          <w:color w:val="221F1F"/>
          <w:spacing w:val="-14"/>
        </w:rPr>
        <w:t xml:space="preserve"> </w:t>
      </w:r>
      <w:r>
        <w:rPr>
          <w:color w:val="221F1F"/>
        </w:rPr>
        <w:t>in</w:t>
      </w:r>
      <w:r>
        <w:rPr>
          <w:color w:val="221F1F"/>
          <w:spacing w:val="-14"/>
        </w:rPr>
        <w:t xml:space="preserve"> </w:t>
      </w:r>
      <w:r>
        <w:rPr>
          <w:color w:val="221F1F"/>
        </w:rPr>
        <w:t>written</w:t>
      </w:r>
      <w:r>
        <w:rPr>
          <w:color w:val="221F1F"/>
          <w:spacing w:val="-14"/>
        </w:rPr>
        <w:t xml:space="preserve"> </w:t>
      </w:r>
      <w:r>
        <w:rPr>
          <w:color w:val="221F1F"/>
        </w:rPr>
        <w:t>form</w:t>
      </w:r>
      <w:r>
        <w:rPr>
          <w:color w:val="221F1F"/>
          <w:spacing w:val="-13"/>
        </w:rPr>
        <w:t xml:space="preserve"> </w:t>
      </w:r>
      <w:r>
        <w:rPr>
          <w:color w:val="221F1F"/>
        </w:rPr>
        <w:t>(e.g.</w:t>
      </w:r>
      <w:r>
        <w:rPr>
          <w:color w:val="221F1F"/>
          <w:spacing w:val="-14"/>
        </w:rPr>
        <w:t xml:space="preserve"> </w:t>
      </w:r>
      <w:r>
        <w:rPr>
          <w:color w:val="221F1F"/>
        </w:rPr>
        <w:t>by</w:t>
      </w:r>
      <w:r>
        <w:rPr>
          <w:color w:val="221F1F"/>
          <w:spacing w:val="-14"/>
        </w:rPr>
        <w:t xml:space="preserve"> </w:t>
      </w:r>
      <w:r>
        <w:rPr>
          <w:color w:val="221F1F"/>
        </w:rPr>
        <w:t>mail,</w:t>
      </w:r>
      <w:r>
        <w:rPr>
          <w:color w:val="221F1F"/>
          <w:spacing w:val="-13"/>
        </w:rPr>
        <w:t xml:space="preserve"> </w:t>
      </w:r>
      <w:r>
        <w:rPr>
          <w:color w:val="221F1F"/>
        </w:rPr>
        <w:t>e-mail,</w:t>
      </w:r>
      <w:r>
        <w:rPr>
          <w:color w:val="221F1F"/>
          <w:spacing w:val="-13"/>
        </w:rPr>
        <w:t xml:space="preserve"> </w:t>
      </w:r>
      <w:r>
        <w:rPr>
          <w:color w:val="221F1F"/>
        </w:rPr>
        <w:t>fax,</w:t>
      </w:r>
      <w:r>
        <w:rPr>
          <w:color w:val="221F1F"/>
          <w:spacing w:val="-13"/>
        </w:rPr>
        <w:t xml:space="preserve"> </w:t>
      </w:r>
      <w:r>
        <w:rPr>
          <w:color w:val="221F1F"/>
        </w:rPr>
        <w:t>including</w:t>
      </w:r>
      <w:r>
        <w:rPr>
          <w:color w:val="221F1F"/>
          <w:spacing w:val="-14"/>
        </w:rPr>
        <w:t xml:space="preserve"> </w:t>
      </w:r>
      <w:r>
        <w:rPr>
          <w:color w:val="221F1F"/>
        </w:rPr>
        <w:t>if</w:t>
      </w:r>
      <w:r>
        <w:rPr>
          <w:color w:val="221F1F"/>
          <w:spacing w:val="-14"/>
        </w:rPr>
        <w:t xml:space="preserve"> </w:t>
      </w:r>
      <w:r>
        <w:rPr>
          <w:color w:val="221F1F"/>
        </w:rPr>
        <w:t>specified in the TDS, distributed or received through the electronic-procurement system used by the Procuring Entity) with proof of receipt;</w:t>
      </w:r>
    </w:p>
    <w:p w:rsidR="007F6DF9" w:rsidRDefault="00A43FBC">
      <w:pPr>
        <w:pStyle w:val="ListParagraph"/>
        <w:numPr>
          <w:ilvl w:val="2"/>
          <w:numId w:val="233"/>
        </w:numPr>
        <w:tabs>
          <w:tab w:val="left" w:pos="1830"/>
        </w:tabs>
        <w:spacing w:line="238" w:lineRule="exact"/>
        <w:ind w:left="1830" w:hanging="428"/>
        <w:jc w:val="both"/>
      </w:pPr>
      <w:r>
        <w:rPr>
          <w:color w:val="221F1F"/>
        </w:rPr>
        <w:t>if</w:t>
      </w:r>
      <w:r>
        <w:rPr>
          <w:color w:val="221F1F"/>
          <w:spacing w:val="-5"/>
        </w:rPr>
        <w:t xml:space="preserve"> </w:t>
      </w:r>
      <w:r>
        <w:rPr>
          <w:color w:val="221F1F"/>
        </w:rPr>
        <w:t>the</w:t>
      </w:r>
      <w:r>
        <w:rPr>
          <w:color w:val="221F1F"/>
          <w:spacing w:val="-3"/>
        </w:rPr>
        <w:t xml:space="preserve"> </w:t>
      </w:r>
      <w:r>
        <w:rPr>
          <w:color w:val="221F1F"/>
        </w:rPr>
        <w:t>context</w:t>
      </w:r>
      <w:r>
        <w:rPr>
          <w:color w:val="221F1F"/>
          <w:spacing w:val="-4"/>
        </w:rPr>
        <w:t xml:space="preserve"> </w:t>
      </w:r>
      <w:r>
        <w:rPr>
          <w:color w:val="221F1F"/>
        </w:rPr>
        <w:t>so</w:t>
      </w:r>
      <w:r>
        <w:rPr>
          <w:color w:val="221F1F"/>
          <w:spacing w:val="-3"/>
        </w:rPr>
        <w:t xml:space="preserve"> </w:t>
      </w:r>
      <w:r>
        <w:rPr>
          <w:color w:val="221F1F"/>
        </w:rPr>
        <w:t>requires,</w:t>
      </w:r>
      <w:r>
        <w:rPr>
          <w:color w:val="221F1F"/>
          <w:spacing w:val="-1"/>
        </w:rPr>
        <w:t xml:space="preserve"> </w:t>
      </w:r>
      <w:r>
        <w:rPr>
          <w:color w:val="221F1F"/>
        </w:rPr>
        <w:t>“singular”</w:t>
      </w:r>
      <w:r>
        <w:rPr>
          <w:color w:val="221F1F"/>
          <w:spacing w:val="-5"/>
        </w:rPr>
        <w:t xml:space="preserve"> </w:t>
      </w:r>
      <w:r>
        <w:rPr>
          <w:color w:val="221F1F"/>
        </w:rPr>
        <w:t>means</w:t>
      </w:r>
      <w:r>
        <w:rPr>
          <w:color w:val="221F1F"/>
          <w:spacing w:val="-2"/>
        </w:rPr>
        <w:t xml:space="preserve"> </w:t>
      </w:r>
      <w:r>
        <w:rPr>
          <w:color w:val="221F1F"/>
        </w:rPr>
        <w:t>“plural”</w:t>
      </w:r>
      <w:r>
        <w:rPr>
          <w:color w:val="221F1F"/>
          <w:spacing w:val="-2"/>
        </w:rPr>
        <w:t xml:space="preserve"> </w:t>
      </w:r>
      <w:r>
        <w:rPr>
          <w:color w:val="221F1F"/>
        </w:rPr>
        <w:t>and</w:t>
      </w:r>
      <w:r>
        <w:rPr>
          <w:color w:val="221F1F"/>
          <w:spacing w:val="-3"/>
        </w:rPr>
        <w:t xml:space="preserve"> </w:t>
      </w:r>
      <w:r>
        <w:rPr>
          <w:color w:val="221F1F"/>
        </w:rPr>
        <w:t>vice</w:t>
      </w:r>
      <w:r>
        <w:rPr>
          <w:color w:val="221F1F"/>
          <w:spacing w:val="-2"/>
        </w:rPr>
        <w:t xml:space="preserve"> versa;</w:t>
      </w:r>
    </w:p>
    <w:p w:rsidR="007F6DF9" w:rsidRDefault="00A43FBC">
      <w:pPr>
        <w:pStyle w:val="ListParagraph"/>
        <w:numPr>
          <w:ilvl w:val="2"/>
          <w:numId w:val="233"/>
        </w:numPr>
        <w:tabs>
          <w:tab w:val="left" w:pos="1815"/>
          <w:tab w:val="left" w:pos="1817"/>
        </w:tabs>
        <w:spacing w:before="5" w:line="230" w:lineRule="auto"/>
        <w:ind w:right="853"/>
        <w:jc w:val="both"/>
      </w:pPr>
      <w:r>
        <w:rPr>
          <w:color w:val="221F1F"/>
        </w:rPr>
        <w:t>“Day”</w:t>
      </w:r>
      <w:r>
        <w:rPr>
          <w:color w:val="221F1F"/>
          <w:spacing w:val="-9"/>
        </w:rPr>
        <w:t xml:space="preserve"> </w:t>
      </w:r>
      <w:r>
        <w:rPr>
          <w:color w:val="221F1F"/>
        </w:rPr>
        <w:t>means</w:t>
      </w:r>
      <w:r>
        <w:rPr>
          <w:color w:val="221F1F"/>
          <w:spacing w:val="-7"/>
        </w:rPr>
        <w:t xml:space="preserve"> </w:t>
      </w:r>
      <w:r>
        <w:rPr>
          <w:color w:val="221F1F"/>
        </w:rPr>
        <w:t>calendar</w:t>
      </w:r>
      <w:r>
        <w:rPr>
          <w:color w:val="221F1F"/>
          <w:spacing w:val="-6"/>
        </w:rPr>
        <w:t xml:space="preserve"> </w:t>
      </w:r>
      <w:r>
        <w:rPr>
          <w:color w:val="221F1F"/>
        </w:rPr>
        <w:t>day,</w:t>
      </w:r>
      <w:r>
        <w:rPr>
          <w:color w:val="221F1F"/>
          <w:spacing w:val="-14"/>
        </w:rPr>
        <w:t xml:space="preserve"> </w:t>
      </w:r>
      <w:r>
        <w:rPr>
          <w:color w:val="221F1F"/>
        </w:rPr>
        <w:t>unless</w:t>
      </w:r>
      <w:r>
        <w:rPr>
          <w:color w:val="221F1F"/>
          <w:spacing w:val="-5"/>
        </w:rPr>
        <w:t xml:space="preserve"> </w:t>
      </w:r>
      <w:r>
        <w:rPr>
          <w:color w:val="221F1F"/>
        </w:rPr>
        <w:t>otherwise</w:t>
      </w:r>
      <w:r>
        <w:rPr>
          <w:color w:val="221F1F"/>
          <w:spacing w:val="-7"/>
        </w:rPr>
        <w:t xml:space="preserve"> </w:t>
      </w:r>
      <w:r>
        <w:rPr>
          <w:color w:val="221F1F"/>
        </w:rPr>
        <w:t>specified</w:t>
      </w:r>
      <w:r>
        <w:rPr>
          <w:color w:val="221F1F"/>
          <w:spacing w:val="-5"/>
        </w:rPr>
        <w:t xml:space="preserve"> </w:t>
      </w:r>
      <w:r>
        <w:rPr>
          <w:color w:val="221F1F"/>
        </w:rPr>
        <w:t>as</w:t>
      </w:r>
      <w:r>
        <w:rPr>
          <w:color w:val="221F1F"/>
          <w:spacing w:val="-5"/>
        </w:rPr>
        <w:t xml:space="preserve"> </w:t>
      </w:r>
      <w:r>
        <w:rPr>
          <w:color w:val="221F1F"/>
        </w:rPr>
        <w:t>“Business</w:t>
      </w:r>
      <w:r>
        <w:rPr>
          <w:color w:val="221F1F"/>
          <w:spacing w:val="-7"/>
        </w:rPr>
        <w:t xml:space="preserve"> </w:t>
      </w:r>
      <w:r>
        <w:rPr>
          <w:color w:val="221F1F"/>
        </w:rPr>
        <w:t>Day”.</w:t>
      </w:r>
      <w:r>
        <w:rPr>
          <w:color w:val="221F1F"/>
          <w:spacing w:val="-8"/>
        </w:rPr>
        <w:t xml:space="preserve"> </w:t>
      </w:r>
      <w:r>
        <w:rPr>
          <w:color w:val="221F1F"/>
        </w:rPr>
        <w:t>A</w:t>
      </w:r>
      <w:r>
        <w:rPr>
          <w:color w:val="221F1F"/>
          <w:spacing w:val="-7"/>
        </w:rPr>
        <w:t xml:space="preserve"> </w:t>
      </w:r>
      <w:r>
        <w:rPr>
          <w:color w:val="221F1F"/>
        </w:rPr>
        <w:t>Business</w:t>
      </w:r>
      <w:r>
        <w:rPr>
          <w:color w:val="221F1F"/>
          <w:spacing w:val="-4"/>
        </w:rPr>
        <w:t xml:space="preserve"> </w:t>
      </w:r>
      <w:r>
        <w:rPr>
          <w:color w:val="221F1F"/>
        </w:rPr>
        <w:t>Day</w:t>
      </w:r>
      <w:r>
        <w:rPr>
          <w:color w:val="221F1F"/>
          <w:spacing w:val="-8"/>
        </w:rPr>
        <w:t xml:space="preserve"> </w:t>
      </w:r>
      <w:r>
        <w:rPr>
          <w:color w:val="221F1F"/>
        </w:rPr>
        <w:t>is</w:t>
      </w:r>
      <w:r>
        <w:rPr>
          <w:color w:val="221F1F"/>
          <w:spacing w:val="-8"/>
        </w:rPr>
        <w:t xml:space="preserve"> </w:t>
      </w:r>
      <w:r>
        <w:rPr>
          <w:color w:val="221F1F"/>
        </w:rPr>
        <w:t>any</w:t>
      </w:r>
      <w:r>
        <w:rPr>
          <w:color w:val="221F1F"/>
          <w:spacing w:val="-8"/>
        </w:rPr>
        <w:t xml:space="preserve"> </w:t>
      </w:r>
      <w:r>
        <w:rPr>
          <w:color w:val="221F1F"/>
        </w:rPr>
        <w:t>day</w:t>
      </w:r>
      <w:r>
        <w:rPr>
          <w:color w:val="221F1F"/>
          <w:spacing w:val="-8"/>
        </w:rPr>
        <w:t xml:space="preserve"> </w:t>
      </w:r>
      <w:r>
        <w:rPr>
          <w:color w:val="221F1F"/>
        </w:rPr>
        <w:t>that is an official working day of the Procuring Entity. It excludes official public holidays.</w:t>
      </w:r>
    </w:p>
    <w:p w:rsidR="007F6DF9" w:rsidRDefault="00A43FBC">
      <w:pPr>
        <w:pStyle w:val="Heading9"/>
        <w:numPr>
          <w:ilvl w:val="1"/>
          <w:numId w:val="232"/>
        </w:numPr>
        <w:tabs>
          <w:tab w:val="left" w:pos="1399"/>
        </w:tabs>
        <w:spacing w:before="162"/>
        <w:ind w:left="1399" w:hanging="550"/>
        <w:jc w:val="both"/>
      </w:pPr>
      <w:bookmarkStart w:id="5" w:name="_bookmark4"/>
      <w:bookmarkEnd w:id="5"/>
      <w:r>
        <w:rPr>
          <w:color w:val="221F1F"/>
        </w:rPr>
        <w:t>Fraud</w:t>
      </w:r>
      <w:r>
        <w:rPr>
          <w:color w:val="221F1F"/>
          <w:spacing w:val="-1"/>
        </w:rPr>
        <w:t xml:space="preserve"> </w:t>
      </w:r>
      <w:r>
        <w:rPr>
          <w:color w:val="221F1F"/>
        </w:rPr>
        <w:t>and</w:t>
      </w:r>
      <w:r>
        <w:rPr>
          <w:color w:val="221F1F"/>
          <w:spacing w:val="-1"/>
        </w:rPr>
        <w:t xml:space="preserve"> </w:t>
      </w:r>
      <w:r>
        <w:rPr>
          <w:color w:val="221F1F"/>
          <w:spacing w:val="-2"/>
        </w:rPr>
        <w:t>corruption</w:t>
      </w:r>
    </w:p>
    <w:p w:rsidR="007F6DF9" w:rsidRDefault="00A43FBC">
      <w:pPr>
        <w:pStyle w:val="ListParagraph"/>
        <w:numPr>
          <w:ilvl w:val="1"/>
          <w:numId w:val="232"/>
        </w:numPr>
        <w:tabs>
          <w:tab w:val="left" w:pos="1398"/>
          <w:tab w:val="left" w:pos="1411"/>
        </w:tabs>
        <w:spacing w:before="158" w:line="230" w:lineRule="auto"/>
        <w:ind w:left="1411" w:right="850" w:hanging="563"/>
        <w:jc w:val="both"/>
      </w:pPr>
      <w:r>
        <w:rPr>
          <w:color w:val="221F1F"/>
        </w:rPr>
        <w:t>The Procuring Entity requires compliance with the provisions of the Public Procurement and Asset Disposal Act,</w:t>
      </w:r>
      <w:r>
        <w:rPr>
          <w:color w:val="221F1F"/>
          <w:spacing w:val="-14"/>
        </w:rPr>
        <w:t xml:space="preserve"> </w:t>
      </w:r>
      <w:r>
        <w:rPr>
          <w:color w:val="221F1F"/>
        </w:rPr>
        <w:t>2015,</w:t>
      </w:r>
      <w:r>
        <w:rPr>
          <w:color w:val="221F1F"/>
          <w:spacing w:val="-14"/>
        </w:rPr>
        <w:t xml:space="preserve"> </w:t>
      </w:r>
      <w:r>
        <w:rPr>
          <w:color w:val="221F1F"/>
        </w:rPr>
        <w:t>Section</w:t>
      </w:r>
      <w:r>
        <w:rPr>
          <w:color w:val="221F1F"/>
          <w:spacing w:val="-14"/>
        </w:rPr>
        <w:t xml:space="preserve"> </w:t>
      </w:r>
      <w:r>
        <w:rPr>
          <w:color w:val="221F1F"/>
        </w:rPr>
        <w:t>62</w:t>
      </w:r>
      <w:r>
        <w:rPr>
          <w:color w:val="221F1F"/>
          <w:spacing w:val="-13"/>
        </w:rPr>
        <w:t xml:space="preserve"> </w:t>
      </w:r>
      <w:r>
        <w:rPr>
          <w:color w:val="221F1F"/>
        </w:rPr>
        <w:t>“Declaration</w:t>
      </w:r>
      <w:r>
        <w:rPr>
          <w:color w:val="221F1F"/>
          <w:spacing w:val="-14"/>
        </w:rPr>
        <w:t xml:space="preserve"> </w:t>
      </w:r>
      <w:r>
        <w:rPr>
          <w:color w:val="221F1F"/>
        </w:rPr>
        <w:t>not</w:t>
      </w:r>
      <w:r>
        <w:rPr>
          <w:color w:val="221F1F"/>
          <w:spacing w:val="-14"/>
        </w:rPr>
        <w:t xml:space="preserve"> </w:t>
      </w:r>
      <w:r>
        <w:rPr>
          <w:color w:val="221F1F"/>
        </w:rPr>
        <w:t>to</w:t>
      </w:r>
      <w:r>
        <w:rPr>
          <w:color w:val="221F1F"/>
          <w:spacing w:val="-14"/>
        </w:rPr>
        <w:t xml:space="preserve"> </w:t>
      </w:r>
      <w:r>
        <w:rPr>
          <w:color w:val="221F1F"/>
        </w:rPr>
        <w:t>engage</w:t>
      </w:r>
      <w:r>
        <w:rPr>
          <w:color w:val="221F1F"/>
          <w:spacing w:val="-13"/>
        </w:rPr>
        <w:t xml:space="preserve"> </w:t>
      </w:r>
      <w:r>
        <w:rPr>
          <w:color w:val="221F1F"/>
        </w:rPr>
        <w:t>in</w:t>
      </w:r>
      <w:r>
        <w:rPr>
          <w:color w:val="221F1F"/>
          <w:spacing w:val="-14"/>
        </w:rPr>
        <w:t xml:space="preserve"> </w:t>
      </w:r>
      <w:r>
        <w:rPr>
          <w:color w:val="221F1F"/>
        </w:rPr>
        <w:t>corruption”.</w:t>
      </w:r>
      <w:r>
        <w:rPr>
          <w:color w:val="221F1F"/>
          <w:spacing w:val="-14"/>
        </w:rPr>
        <w:t xml:space="preserve"> </w:t>
      </w:r>
      <w:r>
        <w:rPr>
          <w:color w:val="221F1F"/>
        </w:rPr>
        <w:t>The</w:t>
      </w:r>
      <w:r>
        <w:rPr>
          <w:color w:val="221F1F"/>
          <w:spacing w:val="-14"/>
        </w:rPr>
        <w:t xml:space="preserve"> </w:t>
      </w:r>
      <w:r>
        <w:rPr>
          <w:color w:val="221F1F"/>
        </w:rPr>
        <w:t>tender</w:t>
      </w:r>
      <w:r>
        <w:rPr>
          <w:color w:val="221F1F"/>
          <w:spacing w:val="-12"/>
        </w:rPr>
        <w:t xml:space="preserve"> </w:t>
      </w:r>
      <w:r>
        <w:rPr>
          <w:color w:val="221F1F"/>
        </w:rPr>
        <w:t>submitted</w:t>
      </w:r>
      <w:r>
        <w:rPr>
          <w:color w:val="221F1F"/>
          <w:spacing w:val="-13"/>
        </w:rPr>
        <w:t xml:space="preserve"> </w:t>
      </w:r>
      <w:r>
        <w:rPr>
          <w:color w:val="221F1F"/>
        </w:rPr>
        <w:t>by</w:t>
      </w:r>
      <w:r>
        <w:rPr>
          <w:color w:val="221F1F"/>
          <w:spacing w:val="-12"/>
        </w:rPr>
        <w:t xml:space="preserve"> </w:t>
      </w:r>
      <w:r>
        <w:rPr>
          <w:color w:val="221F1F"/>
        </w:rPr>
        <w:t>a</w:t>
      </w:r>
      <w:r>
        <w:rPr>
          <w:color w:val="221F1F"/>
          <w:spacing w:val="-14"/>
        </w:rPr>
        <w:t xml:space="preserve"> </w:t>
      </w:r>
      <w:r>
        <w:rPr>
          <w:color w:val="221F1F"/>
        </w:rPr>
        <w:t>person</w:t>
      </w:r>
      <w:r>
        <w:rPr>
          <w:color w:val="221F1F"/>
          <w:spacing w:val="-14"/>
        </w:rPr>
        <w:t xml:space="preserve"> </w:t>
      </w:r>
      <w:r>
        <w:rPr>
          <w:color w:val="221F1F"/>
        </w:rPr>
        <w:t>shall</w:t>
      </w:r>
      <w:r>
        <w:rPr>
          <w:color w:val="221F1F"/>
          <w:spacing w:val="-14"/>
        </w:rPr>
        <w:t xml:space="preserve"> </w:t>
      </w:r>
      <w:r>
        <w:rPr>
          <w:color w:val="221F1F"/>
        </w:rPr>
        <w:t>include a declaration that the person shall not engage in any corrupt or fraudulent practice and a declaration that the person or his or her sub-contractors are not debarred from participating in public procurement proceedings.</w:t>
      </w:r>
    </w:p>
    <w:p w:rsidR="007F6DF9" w:rsidRDefault="00A43FBC">
      <w:pPr>
        <w:pStyle w:val="ListParagraph"/>
        <w:numPr>
          <w:ilvl w:val="1"/>
          <w:numId w:val="232"/>
        </w:numPr>
        <w:tabs>
          <w:tab w:val="left" w:pos="1398"/>
          <w:tab w:val="left" w:pos="1411"/>
        </w:tabs>
        <w:spacing w:before="159" w:line="230" w:lineRule="auto"/>
        <w:ind w:left="1411" w:right="850" w:hanging="563"/>
        <w:jc w:val="both"/>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requires</w:t>
      </w:r>
      <w:r>
        <w:rPr>
          <w:color w:val="221F1F"/>
          <w:spacing w:val="-13"/>
        </w:rPr>
        <w:t xml:space="preserve"> </w:t>
      </w:r>
      <w:r>
        <w:rPr>
          <w:color w:val="221F1F"/>
        </w:rPr>
        <w:t>compliance</w:t>
      </w:r>
      <w:r>
        <w:rPr>
          <w:color w:val="221F1F"/>
          <w:spacing w:val="-14"/>
        </w:rPr>
        <w:t xml:space="preserve"> </w:t>
      </w:r>
      <w:r>
        <w:rPr>
          <w:color w:val="221F1F"/>
        </w:rPr>
        <w:t>with</w:t>
      </w:r>
      <w:r>
        <w:rPr>
          <w:color w:val="221F1F"/>
          <w:spacing w:val="-14"/>
        </w:rPr>
        <w:t xml:space="preserve"> </w:t>
      </w:r>
      <w:r>
        <w:rPr>
          <w:color w:val="221F1F"/>
        </w:rPr>
        <w:t>the</w:t>
      </w:r>
      <w:r>
        <w:rPr>
          <w:color w:val="221F1F"/>
          <w:spacing w:val="-14"/>
        </w:rPr>
        <w:t xml:space="preserve"> </w:t>
      </w:r>
      <w:r>
        <w:rPr>
          <w:color w:val="221F1F"/>
        </w:rPr>
        <w:t>provisions</w:t>
      </w:r>
      <w:r>
        <w:rPr>
          <w:color w:val="221F1F"/>
          <w:spacing w:val="-13"/>
        </w:rPr>
        <w:t xml:space="preserve"> </w:t>
      </w:r>
      <w:r>
        <w:rPr>
          <w:color w:val="221F1F"/>
        </w:rPr>
        <w:t>of</w:t>
      </w:r>
      <w:r>
        <w:rPr>
          <w:color w:val="221F1F"/>
          <w:spacing w:val="-12"/>
        </w:rPr>
        <w:t xml:space="preserve"> </w:t>
      </w:r>
      <w:r>
        <w:rPr>
          <w:color w:val="221F1F"/>
        </w:rPr>
        <w:t>the</w:t>
      </w:r>
      <w:r>
        <w:rPr>
          <w:color w:val="221F1F"/>
          <w:spacing w:val="-14"/>
        </w:rPr>
        <w:t xml:space="preserve"> </w:t>
      </w:r>
      <w:r>
        <w:rPr>
          <w:color w:val="221F1F"/>
        </w:rPr>
        <w:t>Competition</w:t>
      </w:r>
      <w:r>
        <w:rPr>
          <w:color w:val="221F1F"/>
          <w:spacing w:val="-13"/>
        </w:rPr>
        <w:t xml:space="preserve"> </w:t>
      </w:r>
      <w:r>
        <w:rPr>
          <w:color w:val="221F1F"/>
        </w:rPr>
        <w:t>Act</w:t>
      </w:r>
      <w:r>
        <w:rPr>
          <w:color w:val="221F1F"/>
          <w:spacing w:val="-12"/>
        </w:rPr>
        <w:t xml:space="preserve"> </w:t>
      </w:r>
      <w:r>
        <w:rPr>
          <w:color w:val="221F1F"/>
        </w:rPr>
        <w:t>2010,</w:t>
      </w:r>
      <w:r>
        <w:rPr>
          <w:color w:val="221F1F"/>
          <w:spacing w:val="-14"/>
        </w:rPr>
        <w:t xml:space="preserve"> </w:t>
      </w:r>
      <w:r>
        <w:rPr>
          <w:color w:val="221F1F"/>
        </w:rPr>
        <w:t>regarding</w:t>
      </w:r>
      <w:r>
        <w:rPr>
          <w:color w:val="221F1F"/>
          <w:spacing w:val="-14"/>
        </w:rPr>
        <w:t xml:space="preserve"> </w:t>
      </w:r>
      <w:r>
        <w:rPr>
          <w:color w:val="221F1F"/>
          <w:u w:val="single" w:color="221F1F"/>
        </w:rPr>
        <w:t>collusive</w:t>
      </w:r>
      <w:r>
        <w:rPr>
          <w:color w:val="221F1F"/>
        </w:rPr>
        <w:t xml:space="preserve"> </w:t>
      </w:r>
      <w:r>
        <w:rPr>
          <w:color w:val="221F1F"/>
          <w:u w:val="single" w:color="221F1F"/>
        </w:rPr>
        <w:t>practices</w:t>
      </w:r>
      <w:r>
        <w:rPr>
          <w:color w:val="221F1F"/>
        </w:rPr>
        <w:t xml:space="preserve"> in contracting. Any tenderer found to have engaged in collusive conduct shall be disqualified and criminal</w:t>
      </w:r>
      <w:r>
        <w:rPr>
          <w:color w:val="221F1F"/>
          <w:spacing w:val="-7"/>
        </w:rPr>
        <w:t xml:space="preserve"> </w:t>
      </w:r>
      <w:r>
        <w:rPr>
          <w:color w:val="221F1F"/>
        </w:rPr>
        <w:t>and/or</w:t>
      </w:r>
      <w:r>
        <w:rPr>
          <w:color w:val="221F1F"/>
          <w:spacing w:val="-2"/>
        </w:rPr>
        <w:t xml:space="preserve"> </w:t>
      </w:r>
      <w:r>
        <w:rPr>
          <w:color w:val="221F1F"/>
        </w:rPr>
        <w:t>civil</w:t>
      </w:r>
      <w:r>
        <w:rPr>
          <w:color w:val="221F1F"/>
          <w:spacing w:val="-2"/>
        </w:rPr>
        <w:t xml:space="preserve"> </w:t>
      </w:r>
      <w:r>
        <w:rPr>
          <w:color w:val="221F1F"/>
        </w:rPr>
        <w:t>sanctions</w:t>
      </w:r>
      <w:r>
        <w:rPr>
          <w:color w:val="221F1F"/>
          <w:spacing w:val="-2"/>
        </w:rPr>
        <w:t xml:space="preserve"> </w:t>
      </w:r>
      <w:r>
        <w:rPr>
          <w:color w:val="221F1F"/>
        </w:rPr>
        <w:t>may</w:t>
      </w:r>
      <w:r>
        <w:rPr>
          <w:color w:val="221F1F"/>
          <w:spacing w:val="-3"/>
        </w:rPr>
        <w:t xml:space="preserve"> </w:t>
      </w:r>
      <w:r>
        <w:rPr>
          <w:color w:val="221F1F"/>
        </w:rPr>
        <w:t>be</w:t>
      </w:r>
      <w:r>
        <w:rPr>
          <w:color w:val="221F1F"/>
          <w:spacing w:val="-3"/>
        </w:rPr>
        <w:t xml:space="preserve"> </w:t>
      </w:r>
      <w:r>
        <w:rPr>
          <w:color w:val="221F1F"/>
        </w:rPr>
        <w:t>imposed.</w:t>
      </w:r>
      <w:r>
        <w:rPr>
          <w:color w:val="221F1F"/>
          <w:spacing w:val="-3"/>
        </w:rPr>
        <w:t xml:space="preserve"> </w:t>
      </w:r>
      <w:r>
        <w:rPr>
          <w:color w:val="221F1F"/>
        </w:rPr>
        <w:t>To</w:t>
      </w:r>
      <w:r>
        <w:rPr>
          <w:color w:val="221F1F"/>
          <w:spacing w:val="-14"/>
        </w:rPr>
        <w:t xml:space="preserve"> </w:t>
      </w:r>
      <w:r>
        <w:rPr>
          <w:color w:val="221F1F"/>
        </w:rPr>
        <w:t>this</w:t>
      </w:r>
      <w:r>
        <w:rPr>
          <w:color w:val="221F1F"/>
          <w:spacing w:val="-2"/>
        </w:rPr>
        <w:t xml:space="preserve"> </w:t>
      </w:r>
      <w:r>
        <w:rPr>
          <w:color w:val="221F1F"/>
        </w:rPr>
        <w:t>effect,</w:t>
      </w:r>
      <w:r>
        <w:rPr>
          <w:color w:val="221F1F"/>
          <w:spacing w:val="-3"/>
        </w:rPr>
        <w:t xml:space="preserve"> </w:t>
      </w:r>
      <w:r>
        <w:rPr>
          <w:color w:val="221F1F"/>
        </w:rPr>
        <w:t>Tenders</w:t>
      </w:r>
      <w:r>
        <w:rPr>
          <w:color w:val="221F1F"/>
          <w:spacing w:val="-7"/>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required</w:t>
      </w:r>
      <w:r>
        <w:rPr>
          <w:color w:val="221F1F"/>
          <w:spacing w:val="-2"/>
        </w:rPr>
        <w:t xml:space="preserve"> </w:t>
      </w:r>
      <w:r>
        <w:rPr>
          <w:color w:val="221F1F"/>
        </w:rPr>
        <w:t>to</w:t>
      </w:r>
      <w:r>
        <w:rPr>
          <w:color w:val="221F1F"/>
          <w:spacing w:val="-3"/>
        </w:rPr>
        <w:t xml:space="preserve"> </w:t>
      </w:r>
      <w:r>
        <w:rPr>
          <w:color w:val="221F1F"/>
        </w:rPr>
        <w:t>complete</w:t>
      </w:r>
      <w:r>
        <w:rPr>
          <w:color w:val="221F1F"/>
          <w:spacing w:val="-2"/>
        </w:rPr>
        <w:t xml:space="preserve"> </w:t>
      </w:r>
      <w:r>
        <w:rPr>
          <w:color w:val="221F1F"/>
        </w:rPr>
        <w:t>and</w:t>
      </w:r>
      <w:r>
        <w:rPr>
          <w:color w:val="221F1F"/>
          <w:spacing w:val="-3"/>
        </w:rPr>
        <w:t xml:space="preserve"> </w:t>
      </w:r>
      <w:r>
        <w:rPr>
          <w:color w:val="221F1F"/>
        </w:rPr>
        <w:t>sign the “Certificate of Independent Tender Determination” annexed to the Form of Tender.</w:t>
      </w:r>
    </w:p>
    <w:p w:rsidR="007F6DF9" w:rsidRDefault="00A43FBC">
      <w:pPr>
        <w:pStyle w:val="ListParagraph"/>
        <w:numPr>
          <w:ilvl w:val="1"/>
          <w:numId w:val="232"/>
        </w:numPr>
        <w:tabs>
          <w:tab w:val="left" w:pos="1398"/>
          <w:tab w:val="left" w:pos="1411"/>
        </w:tabs>
        <w:spacing w:before="159" w:line="230" w:lineRule="auto"/>
        <w:ind w:left="1411" w:right="851" w:hanging="565"/>
        <w:jc w:val="both"/>
      </w:pPr>
      <w:r>
        <w:rPr>
          <w:color w:val="221F1F"/>
        </w:rPr>
        <w:t>Tenderers</w:t>
      </w:r>
      <w:r>
        <w:rPr>
          <w:color w:val="221F1F"/>
          <w:spacing w:val="-2"/>
        </w:rPr>
        <w:t xml:space="preserve"> </w:t>
      </w:r>
      <w:r>
        <w:rPr>
          <w:color w:val="221F1F"/>
        </w:rPr>
        <w:t>shall</w:t>
      </w:r>
      <w:r>
        <w:rPr>
          <w:color w:val="221F1F"/>
          <w:spacing w:val="-4"/>
        </w:rPr>
        <w:t xml:space="preserve"> </w:t>
      </w:r>
      <w:r>
        <w:rPr>
          <w:color w:val="221F1F"/>
        </w:rPr>
        <w:t>permit</w:t>
      </w:r>
      <w:r>
        <w:rPr>
          <w:color w:val="221F1F"/>
          <w:spacing w:val="-4"/>
        </w:rPr>
        <w:t xml:space="preserve"> </w:t>
      </w:r>
      <w:r>
        <w:rPr>
          <w:color w:val="221F1F"/>
        </w:rPr>
        <w:t>and</w:t>
      </w:r>
      <w:r>
        <w:rPr>
          <w:color w:val="221F1F"/>
          <w:spacing w:val="-4"/>
        </w:rPr>
        <w:t xml:space="preserve"> </w:t>
      </w:r>
      <w:r>
        <w:rPr>
          <w:color w:val="221F1F"/>
        </w:rPr>
        <w:t>shall</w:t>
      </w:r>
      <w:r>
        <w:rPr>
          <w:color w:val="221F1F"/>
          <w:spacing w:val="-1"/>
        </w:rPr>
        <w:t xml:space="preserve"> </w:t>
      </w:r>
      <w:r>
        <w:rPr>
          <w:color w:val="221F1F"/>
        </w:rPr>
        <w:t>cause</w:t>
      </w:r>
      <w:r>
        <w:rPr>
          <w:color w:val="221F1F"/>
          <w:spacing w:val="-4"/>
        </w:rPr>
        <w:t xml:space="preserve"> </w:t>
      </w:r>
      <w:r>
        <w:rPr>
          <w:color w:val="221F1F"/>
        </w:rPr>
        <w:t>their</w:t>
      </w:r>
      <w:r>
        <w:rPr>
          <w:color w:val="221F1F"/>
          <w:spacing w:val="-4"/>
        </w:rPr>
        <w:t xml:space="preserve"> </w:t>
      </w:r>
      <w:r>
        <w:rPr>
          <w:color w:val="221F1F"/>
        </w:rPr>
        <w:t>agents</w:t>
      </w:r>
      <w:r>
        <w:rPr>
          <w:color w:val="221F1F"/>
          <w:spacing w:val="-4"/>
        </w:rPr>
        <w:t xml:space="preserve"> </w:t>
      </w:r>
      <w:r>
        <w:rPr>
          <w:color w:val="221F1F"/>
        </w:rPr>
        <w:t>(whether</w:t>
      </w:r>
      <w:r>
        <w:rPr>
          <w:color w:val="221F1F"/>
          <w:spacing w:val="-2"/>
        </w:rPr>
        <w:t xml:space="preserve"> </w:t>
      </w:r>
      <w:r>
        <w:rPr>
          <w:color w:val="221F1F"/>
        </w:rPr>
        <w:t>declared</w:t>
      </w:r>
      <w:r>
        <w:rPr>
          <w:color w:val="221F1F"/>
          <w:spacing w:val="-4"/>
        </w:rPr>
        <w:t xml:space="preserve"> </w:t>
      </w:r>
      <w:r>
        <w:rPr>
          <w:color w:val="221F1F"/>
        </w:rPr>
        <w:t>or</w:t>
      </w:r>
      <w:r>
        <w:rPr>
          <w:color w:val="221F1F"/>
          <w:spacing w:val="-2"/>
        </w:rPr>
        <w:t xml:space="preserve"> </w:t>
      </w:r>
      <w:r>
        <w:rPr>
          <w:color w:val="221F1F"/>
        </w:rPr>
        <w:t>not),</w:t>
      </w:r>
      <w:r>
        <w:rPr>
          <w:color w:val="221F1F"/>
          <w:spacing w:val="-2"/>
        </w:rPr>
        <w:t xml:space="preserve"> </w:t>
      </w:r>
      <w:r>
        <w:rPr>
          <w:color w:val="221F1F"/>
        </w:rPr>
        <w:t>subcontractors, sub-consultants, service</w:t>
      </w:r>
      <w:r>
        <w:rPr>
          <w:color w:val="221F1F"/>
          <w:spacing w:val="-8"/>
        </w:rPr>
        <w:t xml:space="preserve"> </w:t>
      </w:r>
      <w:r>
        <w:rPr>
          <w:color w:val="221F1F"/>
        </w:rPr>
        <w:t>providers,</w:t>
      </w:r>
      <w:r>
        <w:rPr>
          <w:color w:val="221F1F"/>
          <w:spacing w:val="-6"/>
        </w:rPr>
        <w:t xml:space="preserve"> </w:t>
      </w:r>
      <w:r>
        <w:rPr>
          <w:color w:val="221F1F"/>
        </w:rPr>
        <w:t>suppliers,</w:t>
      </w:r>
      <w:r>
        <w:rPr>
          <w:color w:val="221F1F"/>
          <w:spacing w:val="-6"/>
        </w:rPr>
        <w:t xml:space="preserve"> </w:t>
      </w:r>
      <w:r>
        <w:rPr>
          <w:color w:val="221F1F"/>
        </w:rPr>
        <w:t>and</w:t>
      </w:r>
      <w:r>
        <w:rPr>
          <w:color w:val="221F1F"/>
          <w:spacing w:val="-8"/>
        </w:rPr>
        <w:t xml:space="preserve"> </w:t>
      </w:r>
      <w:r>
        <w:rPr>
          <w:color w:val="221F1F"/>
        </w:rPr>
        <w:t>their</w:t>
      </w:r>
      <w:r>
        <w:rPr>
          <w:color w:val="221F1F"/>
          <w:spacing w:val="-8"/>
        </w:rPr>
        <w:t xml:space="preserve"> </w:t>
      </w:r>
      <w:r>
        <w:rPr>
          <w:color w:val="221F1F"/>
        </w:rPr>
        <w:t>personnel,</w:t>
      </w:r>
      <w:r>
        <w:rPr>
          <w:color w:val="221F1F"/>
          <w:spacing w:val="-8"/>
        </w:rPr>
        <w:t xml:space="preserve"> </w:t>
      </w:r>
      <w:r>
        <w:rPr>
          <w:color w:val="221F1F"/>
        </w:rPr>
        <w:t>to</w:t>
      </w:r>
      <w:r>
        <w:rPr>
          <w:color w:val="221F1F"/>
          <w:spacing w:val="-8"/>
        </w:rPr>
        <w:t xml:space="preserve"> </w:t>
      </w:r>
      <w:r>
        <w:rPr>
          <w:color w:val="221F1F"/>
        </w:rPr>
        <w:t>permit</w:t>
      </w:r>
      <w:r>
        <w:rPr>
          <w:color w:val="221F1F"/>
          <w:spacing w:val="-8"/>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to</w:t>
      </w:r>
      <w:r>
        <w:rPr>
          <w:color w:val="221F1F"/>
          <w:spacing w:val="-8"/>
        </w:rPr>
        <w:t xml:space="preserve"> </w:t>
      </w:r>
      <w:r>
        <w:rPr>
          <w:color w:val="221F1F"/>
        </w:rPr>
        <w:t>inspect</w:t>
      </w:r>
      <w:r>
        <w:rPr>
          <w:color w:val="221F1F"/>
          <w:spacing w:val="-5"/>
        </w:rPr>
        <w:t xml:space="preserve"> </w:t>
      </w:r>
      <w:r>
        <w:rPr>
          <w:color w:val="221F1F"/>
        </w:rPr>
        <w:t>all</w:t>
      </w:r>
      <w:r>
        <w:rPr>
          <w:color w:val="221F1F"/>
          <w:spacing w:val="-8"/>
        </w:rPr>
        <w:t xml:space="preserve"> </w:t>
      </w:r>
      <w:r>
        <w:rPr>
          <w:color w:val="221F1F"/>
        </w:rPr>
        <w:t>accounts,</w:t>
      </w:r>
      <w:r>
        <w:rPr>
          <w:color w:val="221F1F"/>
          <w:spacing w:val="-8"/>
        </w:rPr>
        <w:t xml:space="preserve"> </w:t>
      </w:r>
      <w:r>
        <w:rPr>
          <w:color w:val="221F1F"/>
        </w:rPr>
        <w:t>records and other documents relating to any initial selection process, pre-qualification process, tender submission, proposal submission, and contract performance (in the case of award), and to have them audited by auditors appointed by the Procuring Entity.</w:t>
      </w:r>
    </w:p>
    <w:p w:rsidR="007F6DF9" w:rsidRDefault="00A43FBC">
      <w:pPr>
        <w:pStyle w:val="ListParagraph"/>
        <w:numPr>
          <w:ilvl w:val="1"/>
          <w:numId w:val="232"/>
        </w:numPr>
        <w:tabs>
          <w:tab w:val="left" w:pos="1398"/>
          <w:tab w:val="left" w:pos="1411"/>
        </w:tabs>
        <w:spacing w:before="157" w:line="230" w:lineRule="auto"/>
        <w:ind w:left="1411" w:right="852" w:hanging="565"/>
        <w:jc w:val="both"/>
      </w:pPr>
      <w:r>
        <w:rPr>
          <w:color w:val="221F1F"/>
        </w:rPr>
        <w:t>Unfair</w:t>
      </w:r>
      <w:r>
        <w:rPr>
          <w:color w:val="221F1F"/>
          <w:spacing w:val="-3"/>
        </w:rPr>
        <w:t xml:space="preserve"> </w:t>
      </w:r>
      <w:r>
        <w:rPr>
          <w:color w:val="221F1F"/>
        </w:rPr>
        <w:t>Competitive</w:t>
      </w:r>
      <w:r>
        <w:rPr>
          <w:color w:val="221F1F"/>
          <w:spacing w:val="-3"/>
        </w:rPr>
        <w:t xml:space="preserve"> </w:t>
      </w:r>
      <w:r>
        <w:rPr>
          <w:color w:val="221F1F"/>
        </w:rPr>
        <w:t>Advantage</w:t>
      </w:r>
      <w:r>
        <w:rPr>
          <w:color w:val="221F1F"/>
          <w:spacing w:val="-1"/>
        </w:rPr>
        <w:t xml:space="preserve"> </w:t>
      </w:r>
      <w:r>
        <w:rPr>
          <w:color w:val="221F1F"/>
        </w:rPr>
        <w:t>-</w:t>
      </w:r>
      <w:r>
        <w:rPr>
          <w:color w:val="221F1F"/>
          <w:spacing w:val="-5"/>
        </w:rPr>
        <w:t xml:space="preserve"> </w:t>
      </w:r>
      <w:r>
        <w:rPr>
          <w:color w:val="221F1F"/>
        </w:rPr>
        <w:t>Fairness</w:t>
      </w:r>
      <w:r>
        <w:rPr>
          <w:color w:val="221F1F"/>
          <w:spacing w:val="-2"/>
        </w:rPr>
        <w:t xml:space="preserve"> </w:t>
      </w:r>
      <w:r>
        <w:rPr>
          <w:color w:val="221F1F"/>
        </w:rPr>
        <w:t>and</w:t>
      </w:r>
      <w:r>
        <w:rPr>
          <w:color w:val="221F1F"/>
          <w:spacing w:val="-3"/>
        </w:rPr>
        <w:t xml:space="preserve"> </w:t>
      </w:r>
      <w:r>
        <w:rPr>
          <w:color w:val="221F1F"/>
        </w:rPr>
        <w:t>transparency</w:t>
      </w:r>
      <w:r>
        <w:rPr>
          <w:color w:val="221F1F"/>
          <w:spacing w:val="-3"/>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process</w:t>
      </w:r>
      <w:r>
        <w:rPr>
          <w:color w:val="221F1F"/>
          <w:spacing w:val="-3"/>
        </w:rPr>
        <w:t xml:space="preserve"> </w:t>
      </w:r>
      <w:r>
        <w:rPr>
          <w:color w:val="221F1F"/>
        </w:rPr>
        <w:t>require</w:t>
      </w:r>
      <w:r>
        <w:rPr>
          <w:color w:val="221F1F"/>
          <w:spacing w:val="-3"/>
        </w:rPr>
        <w:t xml:space="preserve"> </w:t>
      </w:r>
      <w:r>
        <w:rPr>
          <w:color w:val="221F1F"/>
        </w:rPr>
        <w:t>that</w:t>
      </w:r>
      <w:r>
        <w:rPr>
          <w:color w:val="221F1F"/>
          <w:spacing w:val="-5"/>
        </w:rPr>
        <w:t xml:space="preserve"> </w:t>
      </w:r>
      <w:r>
        <w:rPr>
          <w:color w:val="221F1F"/>
        </w:rPr>
        <w:t>the</w:t>
      </w:r>
      <w:r>
        <w:rPr>
          <w:color w:val="221F1F"/>
          <w:spacing w:val="-3"/>
        </w:rPr>
        <w:t xml:space="preserve"> </w:t>
      </w:r>
      <w:r>
        <w:rPr>
          <w:color w:val="221F1F"/>
        </w:rPr>
        <w:t>firms</w:t>
      </w:r>
      <w:r>
        <w:rPr>
          <w:color w:val="221F1F"/>
          <w:spacing w:val="-3"/>
        </w:rPr>
        <w:t xml:space="preserve"> </w:t>
      </w:r>
      <w:r>
        <w:rPr>
          <w:color w:val="221F1F"/>
        </w:rPr>
        <w:t>or their Affiliates competing for a specific assignment do not derive a competitive advantage from having provided consulting</w:t>
      </w:r>
      <w:r>
        <w:rPr>
          <w:color w:val="221F1F"/>
          <w:spacing w:val="-14"/>
        </w:rPr>
        <w:t xml:space="preserve"> </w:t>
      </w:r>
      <w:r>
        <w:rPr>
          <w:color w:val="221F1F"/>
        </w:rPr>
        <w:t>services</w:t>
      </w:r>
      <w:r>
        <w:rPr>
          <w:color w:val="221F1F"/>
          <w:spacing w:val="-13"/>
        </w:rPr>
        <w:t xml:space="preserve"> </w:t>
      </w:r>
      <w:r>
        <w:rPr>
          <w:color w:val="221F1F"/>
        </w:rPr>
        <w:t>related</w:t>
      </w:r>
      <w:r>
        <w:rPr>
          <w:color w:val="221F1F"/>
          <w:spacing w:val="-8"/>
        </w:rPr>
        <w:t xml:space="preserve"> </w:t>
      </w:r>
      <w:r>
        <w:rPr>
          <w:color w:val="221F1F"/>
        </w:rPr>
        <w:t>to</w:t>
      </w:r>
      <w:r>
        <w:rPr>
          <w:color w:val="221F1F"/>
          <w:spacing w:val="-7"/>
        </w:rPr>
        <w:t xml:space="preserve"> </w:t>
      </w:r>
      <w:r>
        <w:rPr>
          <w:color w:val="221F1F"/>
        </w:rPr>
        <w:t>this</w:t>
      </w:r>
      <w:r>
        <w:rPr>
          <w:color w:val="221F1F"/>
          <w:spacing w:val="-9"/>
        </w:rPr>
        <w:t xml:space="preserve"> </w:t>
      </w:r>
      <w:r>
        <w:rPr>
          <w:color w:val="221F1F"/>
        </w:rPr>
        <w:t>tender.</w:t>
      </w:r>
      <w:r>
        <w:rPr>
          <w:color w:val="221F1F"/>
          <w:spacing w:val="-9"/>
        </w:rPr>
        <w:t xml:space="preserve"> </w:t>
      </w:r>
      <w:r>
        <w:rPr>
          <w:color w:val="221F1F"/>
        </w:rPr>
        <w:t>To</w:t>
      </w:r>
      <w:r>
        <w:rPr>
          <w:color w:val="221F1F"/>
          <w:spacing w:val="-14"/>
        </w:rPr>
        <w:t xml:space="preserve"> </w:t>
      </w:r>
      <w:r>
        <w:rPr>
          <w:color w:val="221F1F"/>
        </w:rPr>
        <w:t>that</w:t>
      </w:r>
      <w:r>
        <w:rPr>
          <w:color w:val="221F1F"/>
          <w:spacing w:val="-6"/>
        </w:rPr>
        <w:t xml:space="preserve"> </w:t>
      </w:r>
      <w:r>
        <w:rPr>
          <w:color w:val="221F1F"/>
        </w:rPr>
        <w:t>end,</w:t>
      </w:r>
      <w:r>
        <w:rPr>
          <w:color w:val="221F1F"/>
          <w:spacing w:val="-7"/>
        </w:rPr>
        <w:t xml:space="preserve"> </w:t>
      </w:r>
      <w:r>
        <w:rPr>
          <w:color w:val="221F1F"/>
        </w:rPr>
        <w:t>the</w:t>
      </w:r>
      <w:r>
        <w:rPr>
          <w:color w:val="221F1F"/>
          <w:spacing w:val="-6"/>
        </w:rPr>
        <w:t xml:space="preserve"> </w:t>
      </w:r>
      <w:r>
        <w:rPr>
          <w:color w:val="221F1F"/>
        </w:rPr>
        <w:t>Procuring</w:t>
      </w:r>
      <w:r>
        <w:rPr>
          <w:color w:val="221F1F"/>
          <w:spacing w:val="-7"/>
        </w:rPr>
        <w:t xml:space="preserve"> </w:t>
      </w:r>
      <w:r>
        <w:rPr>
          <w:color w:val="221F1F"/>
        </w:rPr>
        <w:t>Entity</w:t>
      </w:r>
      <w:r>
        <w:rPr>
          <w:color w:val="221F1F"/>
          <w:spacing w:val="-9"/>
        </w:rPr>
        <w:t xml:space="preserve"> </w:t>
      </w:r>
      <w:r>
        <w:rPr>
          <w:color w:val="221F1F"/>
        </w:rPr>
        <w:t>shall</w:t>
      </w:r>
      <w:r>
        <w:rPr>
          <w:color w:val="221F1F"/>
          <w:spacing w:val="-6"/>
        </w:rPr>
        <w:t xml:space="preserve"> </w:t>
      </w:r>
      <w:r>
        <w:rPr>
          <w:color w:val="221F1F"/>
        </w:rPr>
        <w:t>indicate</w:t>
      </w:r>
      <w:r>
        <w:rPr>
          <w:color w:val="221F1F"/>
          <w:spacing w:val="-8"/>
        </w:rPr>
        <w:t xml:space="preserve"> </w:t>
      </w:r>
      <w:r>
        <w:rPr>
          <w:color w:val="221F1F"/>
        </w:rPr>
        <w:t>in</w:t>
      </w:r>
      <w:r>
        <w:rPr>
          <w:color w:val="221F1F"/>
          <w:spacing w:val="-9"/>
        </w:rPr>
        <w:t xml:space="preserve"> </w:t>
      </w:r>
      <w:r>
        <w:rPr>
          <w:color w:val="221F1F"/>
        </w:rPr>
        <w:t>the</w:t>
      </w:r>
      <w:r>
        <w:rPr>
          <w:color w:val="221F1F"/>
          <w:spacing w:val="-9"/>
        </w:rPr>
        <w:t xml:space="preserve"> </w:t>
      </w:r>
      <w:r>
        <w:rPr>
          <w:b/>
          <w:color w:val="221F1F"/>
        </w:rPr>
        <w:t>Data</w:t>
      </w:r>
      <w:r>
        <w:rPr>
          <w:b/>
          <w:color w:val="221F1F"/>
          <w:spacing w:val="-9"/>
        </w:rPr>
        <w:t xml:space="preserve"> </w:t>
      </w:r>
      <w:r>
        <w:rPr>
          <w:b/>
          <w:color w:val="221F1F"/>
        </w:rPr>
        <w:t>Sheet</w:t>
      </w:r>
      <w:r>
        <w:rPr>
          <w:b/>
          <w:color w:val="221F1F"/>
          <w:spacing w:val="-6"/>
        </w:rPr>
        <w:t xml:space="preserve"> </w:t>
      </w:r>
      <w:r>
        <w:rPr>
          <w:color w:val="221F1F"/>
        </w:rPr>
        <w:t>and make available to all the firms together with this tender document all in formation that would in that respect give such firm any unfair competitive advantage over competing firms.</w:t>
      </w:r>
    </w:p>
    <w:p w:rsidR="007F6DF9" w:rsidRDefault="00A43FBC">
      <w:pPr>
        <w:pStyle w:val="Heading9"/>
        <w:numPr>
          <w:ilvl w:val="1"/>
          <w:numId w:val="231"/>
        </w:numPr>
        <w:tabs>
          <w:tab w:val="left" w:pos="1399"/>
        </w:tabs>
        <w:spacing w:before="159"/>
        <w:ind w:hanging="552"/>
        <w:jc w:val="both"/>
        <w:rPr>
          <w:color w:val="221F1F"/>
        </w:rPr>
      </w:pPr>
      <w:bookmarkStart w:id="6" w:name="_bookmark5"/>
      <w:bookmarkEnd w:id="6"/>
      <w:r>
        <w:rPr>
          <w:color w:val="221F1F"/>
        </w:rPr>
        <w:t>Eligible</w:t>
      </w:r>
      <w:r>
        <w:rPr>
          <w:color w:val="221F1F"/>
          <w:spacing w:val="-5"/>
        </w:rPr>
        <w:t xml:space="preserve"> </w:t>
      </w:r>
      <w:r>
        <w:rPr>
          <w:color w:val="221F1F"/>
          <w:spacing w:val="-2"/>
        </w:rPr>
        <w:t>tenderers</w:t>
      </w:r>
    </w:p>
    <w:p w:rsidR="007F6DF9" w:rsidRDefault="00A43FBC">
      <w:pPr>
        <w:pStyle w:val="ListParagraph"/>
        <w:numPr>
          <w:ilvl w:val="1"/>
          <w:numId w:val="231"/>
        </w:numPr>
        <w:tabs>
          <w:tab w:val="left" w:pos="1400"/>
          <w:tab w:val="left" w:pos="1411"/>
        </w:tabs>
        <w:spacing w:before="158" w:line="230" w:lineRule="auto"/>
        <w:ind w:left="1411" w:right="853" w:hanging="565"/>
        <w:jc w:val="both"/>
        <w:rPr>
          <w:b/>
          <w:sz w:val="24"/>
        </w:rPr>
      </w:pPr>
      <w:r>
        <w:rPr>
          <w:color w:val="221F1F"/>
        </w:rPr>
        <w:t>A Tenderer</w:t>
      </w:r>
      <w:r>
        <w:rPr>
          <w:color w:val="221F1F"/>
          <w:spacing w:val="-2"/>
        </w:rPr>
        <w:t xml:space="preserve"> </w:t>
      </w:r>
      <w:r>
        <w:rPr>
          <w:color w:val="221F1F"/>
        </w:rPr>
        <w:t>may be a firm that is a private entity,</w:t>
      </w:r>
      <w:r>
        <w:rPr>
          <w:color w:val="221F1F"/>
          <w:spacing w:val="-7"/>
        </w:rPr>
        <w:t xml:space="preserve"> </w:t>
      </w:r>
      <w:r>
        <w:rPr>
          <w:color w:val="221F1F"/>
        </w:rPr>
        <w:t>a state-owned enterprise or institution subject to</w:t>
      </w:r>
      <w:r>
        <w:rPr>
          <w:color w:val="221F1F"/>
          <w:spacing w:val="-1"/>
        </w:rPr>
        <w:t xml:space="preserve"> </w:t>
      </w:r>
      <w:r>
        <w:rPr>
          <w:color w:val="221F1F"/>
        </w:rPr>
        <w:t>ITT 3.8,</w:t>
      </w:r>
      <w:r>
        <w:rPr>
          <w:color w:val="221F1F"/>
          <w:spacing w:val="-1"/>
        </w:rPr>
        <w:t xml:space="preserve"> </w:t>
      </w:r>
      <w:r>
        <w:rPr>
          <w:color w:val="221F1F"/>
        </w:rPr>
        <w:t>or an individual or any combination of such entities in the form of a joint venture (JV) under an existing agree mentor with the intent to enter in to such an agreement supported by a letter of intent. In the case of a joint venture,</w:t>
      </w:r>
      <w:r>
        <w:rPr>
          <w:color w:val="221F1F"/>
          <w:spacing w:val="-8"/>
        </w:rPr>
        <w:t xml:space="preserve"> </w:t>
      </w:r>
      <w:r>
        <w:rPr>
          <w:color w:val="221F1F"/>
        </w:rPr>
        <w:t>all</w:t>
      </w:r>
      <w:r>
        <w:rPr>
          <w:color w:val="221F1F"/>
          <w:spacing w:val="-6"/>
        </w:rPr>
        <w:t xml:space="preserve"> </w:t>
      </w:r>
      <w:r>
        <w:rPr>
          <w:color w:val="221F1F"/>
        </w:rPr>
        <w:t>members</w:t>
      </w:r>
      <w:r>
        <w:rPr>
          <w:color w:val="221F1F"/>
          <w:spacing w:val="-6"/>
        </w:rPr>
        <w:t xml:space="preserve"> </w:t>
      </w:r>
      <w:r>
        <w:rPr>
          <w:color w:val="221F1F"/>
        </w:rPr>
        <w:t>shall</w:t>
      </w:r>
      <w:r>
        <w:rPr>
          <w:color w:val="221F1F"/>
          <w:spacing w:val="-8"/>
        </w:rPr>
        <w:t xml:space="preserve"> </w:t>
      </w:r>
      <w:r>
        <w:rPr>
          <w:color w:val="221F1F"/>
        </w:rPr>
        <w:t>be</w:t>
      </w:r>
      <w:r>
        <w:rPr>
          <w:color w:val="221F1F"/>
          <w:spacing w:val="-7"/>
        </w:rPr>
        <w:t xml:space="preserve"> </w:t>
      </w:r>
      <w:r>
        <w:rPr>
          <w:color w:val="221F1F"/>
        </w:rPr>
        <w:t>jointly</w:t>
      </w:r>
      <w:r>
        <w:rPr>
          <w:color w:val="221F1F"/>
          <w:spacing w:val="-9"/>
        </w:rPr>
        <w:t xml:space="preserve"> </w:t>
      </w:r>
      <w:r>
        <w:rPr>
          <w:color w:val="221F1F"/>
        </w:rPr>
        <w:t>and</w:t>
      </w:r>
      <w:r>
        <w:rPr>
          <w:color w:val="221F1F"/>
          <w:spacing w:val="-7"/>
        </w:rPr>
        <w:t xml:space="preserve"> </w:t>
      </w:r>
      <w:r>
        <w:rPr>
          <w:color w:val="221F1F"/>
        </w:rPr>
        <w:t>severally</w:t>
      </w:r>
      <w:r>
        <w:rPr>
          <w:color w:val="221F1F"/>
          <w:spacing w:val="-9"/>
        </w:rPr>
        <w:t xml:space="preserve"> </w:t>
      </w:r>
      <w:r>
        <w:rPr>
          <w:color w:val="221F1F"/>
        </w:rPr>
        <w:t>liable</w:t>
      </w:r>
      <w:r>
        <w:rPr>
          <w:color w:val="221F1F"/>
          <w:spacing w:val="-7"/>
        </w:rPr>
        <w:t xml:space="preserve"> </w:t>
      </w:r>
      <w:r>
        <w:rPr>
          <w:color w:val="221F1F"/>
        </w:rPr>
        <w:t>for</w:t>
      </w:r>
      <w:r>
        <w:rPr>
          <w:color w:val="221F1F"/>
          <w:spacing w:val="-8"/>
        </w:rPr>
        <w:t xml:space="preserve"> </w:t>
      </w:r>
      <w:r>
        <w:rPr>
          <w:color w:val="221F1F"/>
        </w:rPr>
        <w:t>the</w:t>
      </w:r>
      <w:r>
        <w:rPr>
          <w:color w:val="221F1F"/>
          <w:spacing w:val="-8"/>
        </w:rPr>
        <w:t xml:space="preserve"> </w:t>
      </w:r>
      <w:r>
        <w:rPr>
          <w:color w:val="221F1F"/>
        </w:rPr>
        <w:t>execution</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entire</w:t>
      </w:r>
      <w:r>
        <w:rPr>
          <w:color w:val="221F1F"/>
          <w:spacing w:val="-7"/>
        </w:rPr>
        <w:t xml:space="preserve"> </w:t>
      </w:r>
      <w:r>
        <w:rPr>
          <w:color w:val="221F1F"/>
        </w:rPr>
        <w:t>Contract</w:t>
      </w:r>
      <w:r>
        <w:rPr>
          <w:color w:val="221F1F"/>
          <w:spacing w:val="-7"/>
        </w:rPr>
        <w:t xml:space="preserve"> </w:t>
      </w:r>
      <w:r>
        <w:rPr>
          <w:color w:val="221F1F"/>
        </w:rPr>
        <w:t>in</w:t>
      </w:r>
      <w:r>
        <w:rPr>
          <w:color w:val="221F1F"/>
          <w:spacing w:val="-2"/>
        </w:rPr>
        <w:t xml:space="preserve"> </w:t>
      </w:r>
      <w:r>
        <w:rPr>
          <w:color w:val="221F1F"/>
        </w:rPr>
        <w:t>accordance with the Contract terms. The JV shall nominate a Representative who shall have the authority to conduct all business</w:t>
      </w:r>
      <w:r>
        <w:rPr>
          <w:color w:val="221F1F"/>
          <w:spacing w:val="-4"/>
        </w:rPr>
        <w:t xml:space="preserve"> </w:t>
      </w:r>
      <w:r>
        <w:rPr>
          <w:color w:val="221F1F"/>
        </w:rPr>
        <w:t>for</w:t>
      </w:r>
      <w:r>
        <w:rPr>
          <w:color w:val="221F1F"/>
          <w:spacing w:val="-2"/>
        </w:rPr>
        <w:t xml:space="preserve"> </w:t>
      </w:r>
      <w:r>
        <w:rPr>
          <w:color w:val="221F1F"/>
        </w:rPr>
        <w:t>and</w:t>
      </w:r>
      <w:r>
        <w:rPr>
          <w:color w:val="221F1F"/>
          <w:spacing w:val="-3"/>
        </w:rPr>
        <w:t xml:space="preserve"> </w:t>
      </w:r>
      <w:r>
        <w:rPr>
          <w:color w:val="221F1F"/>
        </w:rPr>
        <w:t>on</w:t>
      </w:r>
      <w:r>
        <w:rPr>
          <w:color w:val="221F1F"/>
          <w:spacing w:val="-3"/>
        </w:rPr>
        <w:t xml:space="preserve"> </w:t>
      </w:r>
      <w:r>
        <w:rPr>
          <w:color w:val="221F1F"/>
        </w:rPr>
        <w:t>behalf</w:t>
      </w:r>
      <w:r>
        <w:rPr>
          <w:color w:val="221F1F"/>
          <w:spacing w:val="-4"/>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and</w:t>
      </w:r>
      <w:r>
        <w:rPr>
          <w:color w:val="221F1F"/>
          <w:spacing w:val="-5"/>
        </w:rPr>
        <w:t xml:space="preserve"> </w:t>
      </w:r>
      <w:r>
        <w:rPr>
          <w:color w:val="221F1F"/>
        </w:rPr>
        <w:t>all</w:t>
      </w:r>
      <w:r>
        <w:rPr>
          <w:color w:val="221F1F"/>
          <w:spacing w:val="-2"/>
        </w:rPr>
        <w:t xml:space="preserve"> </w:t>
      </w:r>
      <w:r>
        <w:rPr>
          <w:color w:val="221F1F"/>
        </w:rPr>
        <w:t>the</w:t>
      </w:r>
      <w:r>
        <w:rPr>
          <w:color w:val="221F1F"/>
          <w:spacing w:val="-5"/>
        </w:rPr>
        <w:t xml:space="preserve"> </w:t>
      </w:r>
      <w:r>
        <w:rPr>
          <w:color w:val="221F1F"/>
        </w:rPr>
        <w:t>members</w:t>
      </w:r>
      <w:r>
        <w:rPr>
          <w:color w:val="221F1F"/>
          <w:spacing w:val="-4"/>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JV</w:t>
      </w:r>
      <w:r>
        <w:rPr>
          <w:color w:val="221F1F"/>
          <w:spacing w:val="-3"/>
        </w:rPr>
        <w:t xml:space="preserve"> </w:t>
      </w:r>
      <w:r>
        <w:rPr>
          <w:color w:val="221F1F"/>
        </w:rPr>
        <w:t>during</w:t>
      </w:r>
      <w:r>
        <w:rPr>
          <w:color w:val="221F1F"/>
          <w:spacing w:val="-3"/>
        </w:rPr>
        <w:t xml:space="preserve"> </w:t>
      </w:r>
      <w:r>
        <w:rPr>
          <w:color w:val="221F1F"/>
        </w:rPr>
        <w:t>the</w:t>
      </w:r>
      <w:r>
        <w:rPr>
          <w:color w:val="221F1F"/>
          <w:spacing w:val="-5"/>
        </w:rPr>
        <w:t xml:space="preserve"> </w:t>
      </w:r>
      <w:r>
        <w:rPr>
          <w:color w:val="221F1F"/>
        </w:rPr>
        <w:t>tendering</w:t>
      </w:r>
      <w:r>
        <w:rPr>
          <w:color w:val="221F1F"/>
          <w:spacing w:val="-3"/>
        </w:rPr>
        <w:t xml:space="preserve"> </w:t>
      </w:r>
      <w:r>
        <w:rPr>
          <w:color w:val="221F1F"/>
        </w:rPr>
        <w:t>process</w:t>
      </w:r>
      <w:r>
        <w:rPr>
          <w:color w:val="221F1F"/>
          <w:spacing w:val="-2"/>
        </w:rPr>
        <w:t xml:space="preserve"> </w:t>
      </w:r>
      <w:r>
        <w:rPr>
          <w:color w:val="221F1F"/>
        </w:rPr>
        <w:t>and,</w:t>
      </w:r>
      <w:r>
        <w:rPr>
          <w:color w:val="221F1F"/>
          <w:spacing w:val="-3"/>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event the JV is awarded the Contract, during contract execution. Members of a joint venture may not also make an individual</w:t>
      </w:r>
      <w:r>
        <w:rPr>
          <w:color w:val="221F1F"/>
          <w:spacing w:val="-5"/>
        </w:rPr>
        <w:t xml:space="preserve"> </w:t>
      </w:r>
      <w:r>
        <w:rPr>
          <w:color w:val="221F1F"/>
        </w:rPr>
        <w:t>tender,</w:t>
      </w:r>
      <w:r>
        <w:rPr>
          <w:color w:val="221F1F"/>
          <w:spacing w:val="-6"/>
        </w:rPr>
        <w:t xml:space="preserve"> </w:t>
      </w:r>
      <w:r>
        <w:rPr>
          <w:color w:val="221F1F"/>
        </w:rPr>
        <w:t>be</w:t>
      </w:r>
      <w:r>
        <w:rPr>
          <w:color w:val="221F1F"/>
          <w:spacing w:val="-6"/>
        </w:rPr>
        <w:t xml:space="preserve"> </w:t>
      </w:r>
      <w:r>
        <w:rPr>
          <w:color w:val="221F1F"/>
        </w:rPr>
        <w:t>a</w:t>
      </w:r>
      <w:r>
        <w:rPr>
          <w:color w:val="221F1F"/>
          <w:spacing w:val="-6"/>
        </w:rPr>
        <w:t xml:space="preserve"> </w:t>
      </w:r>
      <w:r>
        <w:rPr>
          <w:color w:val="221F1F"/>
        </w:rPr>
        <w:t>subcontractor</w:t>
      </w:r>
      <w:r>
        <w:rPr>
          <w:color w:val="221F1F"/>
          <w:spacing w:val="-5"/>
        </w:rPr>
        <w:t xml:space="preserve"> </w:t>
      </w:r>
      <w:r>
        <w:rPr>
          <w:color w:val="221F1F"/>
        </w:rPr>
        <w:t>in</w:t>
      </w:r>
      <w:r>
        <w:rPr>
          <w:color w:val="221F1F"/>
          <w:spacing w:val="-6"/>
        </w:rPr>
        <w:t xml:space="preserve"> </w:t>
      </w:r>
      <w:r>
        <w:rPr>
          <w:color w:val="221F1F"/>
        </w:rPr>
        <w:t>a</w:t>
      </w:r>
      <w:r>
        <w:rPr>
          <w:color w:val="221F1F"/>
          <w:spacing w:val="-6"/>
        </w:rPr>
        <w:t xml:space="preserve"> </w:t>
      </w:r>
      <w:r>
        <w:rPr>
          <w:color w:val="221F1F"/>
        </w:rPr>
        <w:t>separate</w:t>
      </w:r>
      <w:r>
        <w:rPr>
          <w:color w:val="221F1F"/>
          <w:spacing w:val="-6"/>
        </w:rPr>
        <w:t xml:space="preserve"> </w:t>
      </w:r>
      <w:r>
        <w:rPr>
          <w:color w:val="221F1F"/>
        </w:rPr>
        <w:t>tender</w:t>
      </w:r>
      <w:r>
        <w:rPr>
          <w:color w:val="221F1F"/>
          <w:spacing w:val="-5"/>
        </w:rPr>
        <w:t xml:space="preserve"> </w:t>
      </w:r>
      <w:r>
        <w:rPr>
          <w:color w:val="221F1F"/>
        </w:rPr>
        <w:t>or</w:t>
      </w:r>
      <w:r>
        <w:rPr>
          <w:color w:val="221F1F"/>
          <w:spacing w:val="-5"/>
        </w:rPr>
        <w:t xml:space="preserve"> </w:t>
      </w:r>
      <w:r>
        <w:rPr>
          <w:color w:val="221F1F"/>
        </w:rPr>
        <w:t>be</w:t>
      </w:r>
      <w:r>
        <w:rPr>
          <w:color w:val="221F1F"/>
          <w:spacing w:val="-6"/>
        </w:rPr>
        <w:t xml:space="preserve"> </w:t>
      </w:r>
      <w:r>
        <w:rPr>
          <w:color w:val="221F1F"/>
        </w:rPr>
        <w:t>part</w:t>
      </w:r>
      <w:r>
        <w:rPr>
          <w:color w:val="221F1F"/>
          <w:spacing w:val="-5"/>
        </w:rPr>
        <w:t xml:space="preserve"> </w:t>
      </w:r>
      <w:r>
        <w:rPr>
          <w:color w:val="221F1F"/>
        </w:rPr>
        <w:t>of</w:t>
      </w:r>
      <w:r>
        <w:rPr>
          <w:color w:val="221F1F"/>
          <w:spacing w:val="-5"/>
        </w:rPr>
        <w:t xml:space="preserve"> </w:t>
      </w:r>
      <w:r>
        <w:rPr>
          <w:color w:val="221F1F"/>
        </w:rPr>
        <w:t>another</w:t>
      </w:r>
      <w:r>
        <w:rPr>
          <w:color w:val="221F1F"/>
          <w:spacing w:val="-5"/>
        </w:rPr>
        <w:t xml:space="preserve"> </w:t>
      </w:r>
      <w:r>
        <w:rPr>
          <w:color w:val="221F1F"/>
        </w:rPr>
        <w:t>joint</w:t>
      </w:r>
      <w:r>
        <w:rPr>
          <w:color w:val="221F1F"/>
          <w:spacing w:val="-5"/>
        </w:rPr>
        <w:t xml:space="preserve"> </w:t>
      </w:r>
      <w:r>
        <w:rPr>
          <w:color w:val="221F1F"/>
        </w:rPr>
        <w:t>venture</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purposes</w:t>
      </w:r>
      <w:r>
        <w:rPr>
          <w:color w:val="221F1F"/>
          <w:spacing w:val="-8"/>
        </w:rPr>
        <w:t xml:space="preserve"> </w:t>
      </w:r>
      <w:r>
        <w:rPr>
          <w:color w:val="221F1F"/>
        </w:rPr>
        <w:t>of the same Tender.</w:t>
      </w:r>
      <w:r>
        <w:rPr>
          <w:color w:val="221F1F"/>
          <w:spacing w:val="-4"/>
        </w:rPr>
        <w:t xml:space="preserve"> </w:t>
      </w:r>
      <w:r>
        <w:rPr>
          <w:color w:val="221F1F"/>
        </w:rPr>
        <w:t xml:space="preserve">The maximum number of JV members shall be specified in the </w:t>
      </w:r>
      <w:r>
        <w:rPr>
          <w:b/>
          <w:color w:val="221F1F"/>
        </w:rPr>
        <w:t>TDS.</w:t>
      </w:r>
    </w:p>
    <w:p w:rsidR="007F6DF9" w:rsidRDefault="00A43FBC">
      <w:pPr>
        <w:pStyle w:val="ListParagraph"/>
        <w:numPr>
          <w:ilvl w:val="1"/>
          <w:numId w:val="231"/>
        </w:numPr>
        <w:tabs>
          <w:tab w:val="left" w:pos="1411"/>
        </w:tabs>
        <w:spacing w:before="154" w:line="230" w:lineRule="auto"/>
        <w:ind w:left="1411" w:right="853" w:hanging="565"/>
        <w:jc w:val="both"/>
        <w:rPr>
          <w:b/>
          <w:color w:val="221F1F"/>
          <w:sz w:val="24"/>
        </w:rPr>
      </w:pPr>
      <w:r>
        <w:rPr>
          <w:color w:val="221F1F"/>
          <w:sz w:val="24"/>
        </w:rPr>
        <w:t>Public</w:t>
      </w:r>
      <w:r>
        <w:rPr>
          <w:color w:val="221F1F"/>
          <w:spacing w:val="-13"/>
          <w:sz w:val="24"/>
        </w:rPr>
        <w:t xml:space="preserve"> </w:t>
      </w:r>
      <w:r>
        <w:rPr>
          <w:color w:val="221F1F"/>
          <w:sz w:val="24"/>
        </w:rPr>
        <w:t>Officers</w:t>
      </w:r>
      <w:r>
        <w:rPr>
          <w:color w:val="221F1F"/>
          <w:spacing w:val="-12"/>
          <w:sz w:val="24"/>
        </w:rPr>
        <w:t xml:space="preserve"> </w:t>
      </w:r>
      <w:r>
        <w:rPr>
          <w:color w:val="221F1F"/>
          <w:sz w:val="24"/>
        </w:rPr>
        <w:t>of</w:t>
      </w:r>
      <w:r>
        <w:rPr>
          <w:color w:val="221F1F"/>
          <w:spacing w:val="-12"/>
          <w:sz w:val="24"/>
        </w:rPr>
        <w:t xml:space="preserve"> </w:t>
      </w:r>
      <w:r>
        <w:rPr>
          <w:color w:val="221F1F"/>
          <w:sz w:val="24"/>
        </w:rPr>
        <w:t>the</w:t>
      </w:r>
      <w:r>
        <w:rPr>
          <w:color w:val="221F1F"/>
          <w:spacing w:val="-12"/>
          <w:sz w:val="24"/>
        </w:rPr>
        <w:t xml:space="preserve"> </w:t>
      </w:r>
      <w:r>
        <w:rPr>
          <w:color w:val="221F1F"/>
          <w:sz w:val="24"/>
        </w:rPr>
        <w:t>Procuring</w:t>
      </w:r>
      <w:r>
        <w:rPr>
          <w:color w:val="221F1F"/>
          <w:spacing w:val="-11"/>
          <w:sz w:val="24"/>
        </w:rPr>
        <w:t xml:space="preserve"> </w:t>
      </w:r>
      <w:r>
        <w:rPr>
          <w:color w:val="221F1F"/>
          <w:sz w:val="24"/>
        </w:rPr>
        <w:t>Entity,</w:t>
      </w:r>
      <w:r>
        <w:rPr>
          <w:color w:val="221F1F"/>
          <w:spacing w:val="-15"/>
          <w:sz w:val="24"/>
        </w:rPr>
        <w:t xml:space="preserve"> </w:t>
      </w:r>
      <w:r>
        <w:rPr>
          <w:color w:val="221F1F"/>
          <w:sz w:val="24"/>
        </w:rPr>
        <w:t>their</w:t>
      </w:r>
      <w:r>
        <w:rPr>
          <w:color w:val="221F1F"/>
          <w:spacing w:val="-12"/>
          <w:sz w:val="24"/>
        </w:rPr>
        <w:t xml:space="preserve"> </w:t>
      </w:r>
      <w:r>
        <w:rPr>
          <w:color w:val="221F1F"/>
          <w:sz w:val="24"/>
        </w:rPr>
        <w:t>Spouses,</w:t>
      </w:r>
      <w:r>
        <w:rPr>
          <w:color w:val="221F1F"/>
          <w:spacing w:val="-11"/>
          <w:sz w:val="24"/>
        </w:rPr>
        <w:t xml:space="preserve"> </w:t>
      </w:r>
      <w:r>
        <w:rPr>
          <w:color w:val="221F1F"/>
          <w:sz w:val="24"/>
        </w:rPr>
        <w:t>Child,</w:t>
      </w:r>
      <w:r>
        <w:rPr>
          <w:color w:val="221F1F"/>
          <w:spacing w:val="-11"/>
          <w:sz w:val="24"/>
        </w:rPr>
        <w:t xml:space="preserve"> </w:t>
      </w:r>
      <w:r>
        <w:rPr>
          <w:color w:val="221F1F"/>
          <w:sz w:val="24"/>
        </w:rPr>
        <w:t>Parent,</w:t>
      </w:r>
      <w:r>
        <w:rPr>
          <w:color w:val="221F1F"/>
          <w:spacing w:val="-11"/>
          <w:sz w:val="24"/>
        </w:rPr>
        <w:t xml:space="preserve"> </w:t>
      </w:r>
      <w:r>
        <w:rPr>
          <w:color w:val="221F1F"/>
          <w:sz w:val="24"/>
        </w:rPr>
        <w:t>Brothers</w:t>
      </w:r>
      <w:r>
        <w:rPr>
          <w:color w:val="221F1F"/>
          <w:spacing w:val="-10"/>
          <w:sz w:val="24"/>
        </w:rPr>
        <w:t xml:space="preserve"> </w:t>
      </w:r>
      <w:r>
        <w:rPr>
          <w:color w:val="221F1F"/>
          <w:sz w:val="24"/>
        </w:rPr>
        <w:t>or</w:t>
      </w:r>
      <w:r>
        <w:rPr>
          <w:color w:val="221F1F"/>
          <w:spacing w:val="-12"/>
          <w:sz w:val="24"/>
        </w:rPr>
        <w:t xml:space="preserve"> </w:t>
      </w:r>
      <w:r>
        <w:rPr>
          <w:color w:val="221F1F"/>
          <w:sz w:val="24"/>
        </w:rPr>
        <w:t>Sister.</w:t>
      </w:r>
      <w:r>
        <w:rPr>
          <w:color w:val="221F1F"/>
          <w:spacing w:val="-12"/>
          <w:sz w:val="24"/>
        </w:rPr>
        <w:t xml:space="preserve"> </w:t>
      </w:r>
      <w:r>
        <w:rPr>
          <w:color w:val="221F1F"/>
          <w:sz w:val="24"/>
        </w:rPr>
        <w:t>Child,</w:t>
      </w:r>
      <w:r>
        <w:rPr>
          <w:color w:val="221F1F"/>
          <w:spacing w:val="-11"/>
          <w:sz w:val="24"/>
        </w:rPr>
        <w:t xml:space="preserve"> </w:t>
      </w:r>
      <w:r>
        <w:rPr>
          <w:color w:val="221F1F"/>
          <w:sz w:val="24"/>
        </w:rPr>
        <w:t>Parent, Brother or Sister of a Spouse, their business associates or agents and firms/organizations in which they</w:t>
      </w:r>
      <w:r>
        <w:rPr>
          <w:color w:val="221F1F"/>
          <w:spacing w:val="-2"/>
          <w:sz w:val="24"/>
        </w:rPr>
        <w:t xml:space="preserve"> </w:t>
      </w:r>
      <w:r>
        <w:rPr>
          <w:color w:val="221F1F"/>
          <w:sz w:val="24"/>
        </w:rPr>
        <w:t>have</w:t>
      </w:r>
      <w:r>
        <w:rPr>
          <w:color w:val="221F1F"/>
          <w:spacing w:val="-3"/>
          <w:sz w:val="24"/>
        </w:rPr>
        <w:t xml:space="preserve"> </w:t>
      </w:r>
      <w:r>
        <w:rPr>
          <w:color w:val="221F1F"/>
          <w:sz w:val="24"/>
        </w:rPr>
        <w:t>a</w:t>
      </w:r>
      <w:r>
        <w:rPr>
          <w:color w:val="221F1F"/>
          <w:spacing w:val="-3"/>
          <w:sz w:val="24"/>
        </w:rPr>
        <w:t xml:space="preserve"> </w:t>
      </w:r>
      <w:r>
        <w:rPr>
          <w:color w:val="221F1F"/>
          <w:sz w:val="24"/>
        </w:rPr>
        <w:t>substantial</w:t>
      </w:r>
      <w:r>
        <w:rPr>
          <w:color w:val="221F1F"/>
          <w:spacing w:val="-1"/>
          <w:sz w:val="24"/>
        </w:rPr>
        <w:t xml:space="preserve"> </w:t>
      </w:r>
      <w:r>
        <w:rPr>
          <w:color w:val="221F1F"/>
          <w:sz w:val="24"/>
        </w:rPr>
        <w:t>or controlling</w:t>
      </w:r>
      <w:r>
        <w:rPr>
          <w:color w:val="221F1F"/>
          <w:spacing w:val="-2"/>
          <w:sz w:val="24"/>
        </w:rPr>
        <w:t xml:space="preserve"> </w:t>
      </w:r>
      <w:r>
        <w:rPr>
          <w:color w:val="221F1F"/>
          <w:sz w:val="24"/>
        </w:rPr>
        <w:t>interest</w:t>
      </w:r>
      <w:r>
        <w:rPr>
          <w:color w:val="221F1F"/>
          <w:spacing w:val="-1"/>
          <w:sz w:val="24"/>
        </w:rPr>
        <w:t xml:space="preserve"> </w:t>
      </w:r>
      <w:r>
        <w:rPr>
          <w:color w:val="221F1F"/>
          <w:sz w:val="24"/>
        </w:rPr>
        <w:t>shall</w:t>
      </w:r>
      <w:r>
        <w:rPr>
          <w:color w:val="221F1F"/>
          <w:spacing w:val="-3"/>
          <w:sz w:val="24"/>
        </w:rPr>
        <w:t xml:space="preserve"> </w:t>
      </w:r>
      <w:r>
        <w:rPr>
          <w:color w:val="221F1F"/>
          <w:sz w:val="24"/>
        </w:rPr>
        <w:t>not</w:t>
      </w:r>
      <w:r>
        <w:rPr>
          <w:color w:val="221F1F"/>
          <w:spacing w:val="-2"/>
          <w:sz w:val="24"/>
        </w:rPr>
        <w:t xml:space="preserve"> </w:t>
      </w:r>
      <w:r>
        <w:rPr>
          <w:color w:val="221F1F"/>
          <w:sz w:val="24"/>
        </w:rPr>
        <w:t>be</w:t>
      </w:r>
      <w:r>
        <w:rPr>
          <w:color w:val="221F1F"/>
          <w:spacing w:val="-3"/>
          <w:sz w:val="24"/>
        </w:rPr>
        <w:t xml:space="preserve"> </w:t>
      </w:r>
      <w:r>
        <w:rPr>
          <w:color w:val="221F1F"/>
          <w:sz w:val="24"/>
        </w:rPr>
        <w:t>eligible</w:t>
      </w:r>
      <w:r>
        <w:rPr>
          <w:color w:val="221F1F"/>
          <w:spacing w:val="-3"/>
          <w:sz w:val="24"/>
        </w:rPr>
        <w:t xml:space="preserve"> </w:t>
      </w:r>
      <w:r>
        <w:rPr>
          <w:color w:val="221F1F"/>
          <w:sz w:val="24"/>
        </w:rPr>
        <w:t>to</w:t>
      </w:r>
      <w:r>
        <w:rPr>
          <w:color w:val="221F1F"/>
          <w:spacing w:val="-2"/>
          <w:sz w:val="24"/>
        </w:rPr>
        <w:t xml:space="preserve"> </w:t>
      </w:r>
      <w:r>
        <w:rPr>
          <w:color w:val="221F1F"/>
          <w:sz w:val="24"/>
        </w:rPr>
        <w:t>tender</w:t>
      </w:r>
      <w:r>
        <w:rPr>
          <w:color w:val="221F1F"/>
          <w:spacing w:val="-3"/>
          <w:sz w:val="24"/>
        </w:rPr>
        <w:t xml:space="preserve"> </w:t>
      </w:r>
      <w:r>
        <w:rPr>
          <w:color w:val="221F1F"/>
          <w:sz w:val="24"/>
        </w:rPr>
        <w:t>or</w:t>
      </w:r>
      <w:r>
        <w:rPr>
          <w:color w:val="221F1F"/>
          <w:spacing w:val="-3"/>
          <w:sz w:val="24"/>
        </w:rPr>
        <w:t xml:space="preserve"> </w:t>
      </w:r>
      <w:r>
        <w:rPr>
          <w:color w:val="221F1F"/>
          <w:sz w:val="24"/>
        </w:rPr>
        <w:t>be</w:t>
      </w:r>
      <w:r>
        <w:rPr>
          <w:color w:val="221F1F"/>
          <w:spacing w:val="-3"/>
          <w:sz w:val="24"/>
        </w:rPr>
        <w:t xml:space="preserve"> </w:t>
      </w:r>
      <w:r>
        <w:rPr>
          <w:color w:val="221F1F"/>
          <w:sz w:val="24"/>
        </w:rPr>
        <w:t>awarded</w:t>
      </w:r>
      <w:r>
        <w:rPr>
          <w:color w:val="221F1F"/>
          <w:spacing w:val="-2"/>
          <w:sz w:val="24"/>
        </w:rPr>
        <w:t xml:space="preserve"> </w:t>
      </w:r>
      <w:r>
        <w:rPr>
          <w:color w:val="221F1F"/>
          <w:sz w:val="24"/>
        </w:rPr>
        <w:t>a</w:t>
      </w:r>
      <w:r>
        <w:rPr>
          <w:color w:val="221F1F"/>
          <w:spacing w:val="-3"/>
          <w:sz w:val="24"/>
        </w:rPr>
        <w:t xml:space="preserve"> </w:t>
      </w:r>
      <w:r>
        <w:rPr>
          <w:color w:val="221F1F"/>
          <w:sz w:val="24"/>
        </w:rPr>
        <w:t xml:space="preserve">contract. Public Officers are </w:t>
      </w:r>
      <w:r>
        <w:rPr>
          <w:color w:val="221F1F"/>
        </w:rPr>
        <w:t>also not allowed to participate in any procurement proceedings.</w:t>
      </w:r>
    </w:p>
    <w:p w:rsidR="007F6DF9" w:rsidRDefault="007F6DF9">
      <w:pPr>
        <w:pStyle w:val="BodyText"/>
        <w:spacing w:before="108"/>
        <w:rPr>
          <w:sz w:val="24"/>
        </w:rPr>
      </w:pPr>
    </w:p>
    <w:p w:rsidR="007F6DF9" w:rsidRDefault="00A43FBC">
      <w:pPr>
        <w:pStyle w:val="ListParagraph"/>
        <w:numPr>
          <w:ilvl w:val="1"/>
          <w:numId w:val="231"/>
        </w:numPr>
        <w:tabs>
          <w:tab w:val="left" w:pos="1402"/>
        </w:tabs>
        <w:spacing w:line="230" w:lineRule="auto"/>
        <w:ind w:left="1402" w:right="853" w:hanging="555"/>
        <w:jc w:val="both"/>
        <w:rPr>
          <w:b/>
          <w:color w:val="221F1F"/>
        </w:rPr>
      </w:pPr>
      <w:r>
        <w:rPr>
          <w:color w:val="221F1F"/>
        </w:rPr>
        <w:t>A Tenderer shall not have a conflict of interest. Any tenderer found to have a conflict of interest shall be disqualified. A tenderer may be considered to have a conflict of interest for the purpose of this tendering process, if the tenderer:</w:t>
      </w:r>
    </w:p>
    <w:p w:rsidR="007F6DF9" w:rsidRDefault="007F6DF9">
      <w:pPr>
        <w:pStyle w:val="ListParagraph"/>
        <w:spacing w:line="230" w:lineRule="auto"/>
        <w:jc w:val="both"/>
        <w:rPr>
          <w:b/>
        </w:rPr>
        <w:sectPr w:rsidR="007F6DF9">
          <w:pgSz w:w="11920" w:h="16850"/>
          <w:pgMar w:top="360" w:right="0" w:bottom="620" w:left="0" w:header="0" w:footer="437" w:gutter="0"/>
          <w:pgNumType w:start="1"/>
          <w:cols w:space="720"/>
        </w:sectPr>
      </w:pPr>
    </w:p>
    <w:p w:rsidR="007F6DF9" w:rsidRDefault="007F6DF9">
      <w:pPr>
        <w:pStyle w:val="BodyText"/>
        <w:spacing w:before="202"/>
      </w:pPr>
    </w:p>
    <w:p w:rsidR="007F6DF9" w:rsidRDefault="00A43FBC">
      <w:pPr>
        <w:pStyle w:val="ListParagraph"/>
        <w:numPr>
          <w:ilvl w:val="2"/>
          <w:numId w:val="231"/>
        </w:numPr>
        <w:tabs>
          <w:tab w:val="left" w:pos="1985"/>
        </w:tabs>
        <w:jc w:val="left"/>
      </w:pPr>
      <w:r>
        <w:rPr>
          <w:color w:val="221F1F"/>
        </w:rPr>
        <w:t>Directly</w:t>
      </w:r>
      <w:r>
        <w:rPr>
          <w:color w:val="221F1F"/>
          <w:spacing w:val="-4"/>
        </w:rPr>
        <w:t xml:space="preserve"> </w:t>
      </w:r>
      <w:r>
        <w:rPr>
          <w:color w:val="221F1F"/>
        </w:rPr>
        <w:t>or</w:t>
      </w:r>
      <w:r>
        <w:rPr>
          <w:color w:val="221F1F"/>
          <w:spacing w:val="-5"/>
        </w:rPr>
        <w:t xml:space="preserve"> </w:t>
      </w:r>
      <w:r>
        <w:rPr>
          <w:color w:val="221F1F"/>
        </w:rPr>
        <w:t>indirectly</w:t>
      </w:r>
      <w:r>
        <w:rPr>
          <w:color w:val="221F1F"/>
          <w:spacing w:val="-4"/>
        </w:rPr>
        <w:t xml:space="preserve"> </w:t>
      </w:r>
      <w:r>
        <w:rPr>
          <w:color w:val="221F1F"/>
        </w:rPr>
        <w:t>controls,</w:t>
      </w:r>
      <w:r>
        <w:rPr>
          <w:color w:val="221F1F"/>
          <w:spacing w:val="-5"/>
        </w:rPr>
        <w:t xml:space="preserve"> </w:t>
      </w:r>
      <w:r>
        <w:rPr>
          <w:color w:val="221F1F"/>
        </w:rPr>
        <w:t>is</w:t>
      </w:r>
      <w:r>
        <w:rPr>
          <w:color w:val="221F1F"/>
          <w:spacing w:val="-3"/>
        </w:rPr>
        <w:t xml:space="preserve"> </w:t>
      </w:r>
      <w:r>
        <w:rPr>
          <w:color w:val="221F1F"/>
        </w:rPr>
        <w:t>controlled</w:t>
      </w:r>
      <w:r>
        <w:rPr>
          <w:color w:val="221F1F"/>
          <w:spacing w:val="-5"/>
        </w:rPr>
        <w:t xml:space="preserve"> </w:t>
      </w:r>
      <w:r>
        <w:rPr>
          <w:color w:val="221F1F"/>
        </w:rPr>
        <w:t>by</w:t>
      </w:r>
      <w:r>
        <w:rPr>
          <w:color w:val="221F1F"/>
          <w:spacing w:val="-4"/>
        </w:rPr>
        <w:t xml:space="preserve"> </w:t>
      </w:r>
      <w:r>
        <w:rPr>
          <w:color w:val="221F1F"/>
        </w:rPr>
        <w:t>or</w:t>
      </w:r>
      <w:r>
        <w:rPr>
          <w:color w:val="221F1F"/>
          <w:spacing w:val="-2"/>
        </w:rPr>
        <w:t xml:space="preserve"> </w:t>
      </w:r>
      <w:r>
        <w:rPr>
          <w:color w:val="221F1F"/>
        </w:rPr>
        <w:t>is</w:t>
      </w:r>
      <w:r>
        <w:rPr>
          <w:color w:val="221F1F"/>
          <w:spacing w:val="-3"/>
        </w:rPr>
        <w:t xml:space="preserve"> </w:t>
      </w:r>
      <w:r>
        <w:rPr>
          <w:color w:val="221F1F"/>
        </w:rPr>
        <w:t>under</w:t>
      </w:r>
      <w:r>
        <w:rPr>
          <w:color w:val="221F1F"/>
          <w:spacing w:val="-2"/>
        </w:rPr>
        <w:t xml:space="preserve"> </w:t>
      </w:r>
      <w:r>
        <w:rPr>
          <w:color w:val="221F1F"/>
        </w:rPr>
        <w:t>common</w:t>
      </w:r>
      <w:r>
        <w:rPr>
          <w:color w:val="221F1F"/>
          <w:spacing w:val="-6"/>
        </w:rPr>
        <w:t xml:space="preserve"> </w:t>
      </w:r>
      <w:r>
        <w:rPr>
          <w:color w:val="221F1F"/>
        </w:rPr>
        <w:t>control</w:t>
      </w:r>
      <w:r>
        <w:rPr>
          <w:color w:val="221F1F"/>
          <w:spacing w:val="-3"/>
        </w:rPr>
        <w:t xml:space="preserve"> </w:t>
      </w:r>
      <w:r>
        <w:rPr>
          <w:color w:val="221F1F"/>
        </w:rPr>
        <w:t>with</w:t>
      </w:r>
      <w:r>
        <w:rPr>
          <w:color w:val="221F1F"/>
          <w:spacing w:val="-2"/>
        </w:rPr>
        <w:t xml:space="preserve"> </w:t>
      </w:r>
      <w:proofErr w:type="spellStart"/>
      <w:r>
        <w:rPr>
          <w:color w:val="221F1F"/>
        </w:rPr>
        <w:t>an</w:t>
      </w:r>
      <w:r>
        <w:rPr>
          <w:color w:val="221F1F"/>
          <w:spacing w:val="-3"/>
        </w:rPr>
        <w:t xml:space="preserve"> </w:t>
      </w:r>
      <w:r>
        <w:rPr>
          <w:color w:val="221F1F"/>
        </w:rPr>
        <w:t>other</w:t>
      </w:r>
      <w:proofErr w:type="spellEnd"/>
      <w:r>
        <w:rPr>
          <w:color w:val="221F1F"/>
          <w:spacing w:val="-2"/>
        </w:rPr>
        <w:t xml:space="preserve"> tenderer;</w:t>
      </w:r>
    </w:p>
    <w:p w:rsidR="007F6DF9" w:rsidRDefault="00A43FBC">
      <w:pPr>
        <w:pStyle w:val="ListParagraph"/>
        <w:numPr>
          <w:ilvl w:val="2"/>
          <w:numId w:val="231"/>
        </w:numPr>
        <w:tabs>
          <w:tab w:val="left" w:pos="1985"/>
        </w:tabs>
        <w:spacing w:before="64"/>
        <w:jc w:val="left"/>
      </w:pPr>
      <w:r>
        <w:rPr>
          <w:color w:val="221F1F"/>
        </w:rPr>
        <w:t>Receives</w:t>
      </w:r>
      <w:r>
        <w:rPr>
          <w:color w:val="221F1F"/>
          <w:spacing w:val="-5"/>
        </w:rPr>
        <w:t xml:space="preserve"> </w:t>
      </w:r>
      <w:r>
        <w:rPr>
          <w:color w:val="221F1F"/>
        </w:rPr>
        <w:t>or</w:t>
      </w:r>
      <w:r>
        <w:rPr>
          <w:color w:val="221F1F"/>
          <w:spacing w:val="-2"/>
        </w:rPr>
        <w:t xml:space="preserve"> </w:t>
      </w:r>
      <w:r>
        <w:rPr>
          <w:color w:val="221F1F"/>
        </w:rPr>
        <w:t>has</w:t>
      </w:r>
      <w:r>
        <w:rPr>
          <w:color w:val="221F1F"/>
          <w:spacing w:val="-3"/>
        </w:rPr>
        <w:t xml:space="preserve"> </w:t>
      </w:r>
      <w:r>
        <w:rPr>
          <w:color w:val="221F1F"/>
        </w:rPr>
        <w:t>received</w:t>
      </w:r>
      <w:r>
        <w:rPr>
          <w:color w:val="221F1F"/>
          <w:spacing w:val="-4"/>
        </w:rPr>
        <w:t xml:space="preserve"> </w:t>
      </w:r>
      <w:r>
        <w:rPr>
          <w:color w:val="221F1F"/>
        </w:rPr>
        <w:t>any</w:t>
      </w:r>
      <w:r>
        <w:rPr>
          <w:color w:val="221F1F"/>
          <w:spacing w:val="-3"/>
        </w:rPr>
        <w:t xml:space="preserve"> </w:t>
      </w:r>
      <w:proofErr w:type="spellStart"/>
      <w:r>
        <w:rPr>
          <w:color w:val="221F1F"/>
        </w:rPr>
        <w:t>director</w:t>
      </w:r>
      <w:proofErr w:type="spellEnd"/>
      <w:r>
        <w:rPr>
          <w:color w:val="221F1F"/>
          <w:spacing w:val="-4"/>
        </w:rPr>
        <w:t xml:space="preserve"> </w:t>
      </w:r>
      <w:r>
        <w:rPr>
          <w:color w:val="221F1F"/>
        </w:rPr>
        <w:t>indirect</w:t>
      </w:r>
      <w:r>
        <w:rPr>
          <w:color w:val="221F1F"/>
          <w:spacing w:val="-4"/>
        </w:rPr>
        <w:t xml:space="preserve"> </w:t>
      </w:r>
      <w:r>
        <w:rPr>
          <w:color w:val="221F1F"/>
        </w:rPr>
        <w:t>subsidy</w:t>
      </w:r>
      <w:r>
        <w:rPr>
          <w:color w:val="221F1F"/>
          <w:spacing w:val="-5"/>
        </w:rPr>
        <w:t xml:space="preserve"> </w:t>
      </w:r>
      <w:r>
        <w:rPr>
          <w:color w:val="221F1F"/>
        </w:rPr>
        <w:t>from</w:t>
      </w:r>
      <w:r>
        <w:rPr>
          <w:color w:val="221F1F"/>
          <w:spacing w:val="-4"/>
        </w:rPr>
        <w:t xml:space="preserve"> </w:t>
      </w:r>
      <w:r>
        <w:rPr>
          <w:color w:val="221F1F"/>
        </w:rPr>
        <w:t>another</w:t>
      </w:r>
      <w:r>
        <w:rPr>
          <w:color w:val="221F1F"/>
          <w:spacing w:val="-2"/>
        </w:rPr>
        <w:t xml:space="preserve"> tenderer;</w:t>
      </w:r>
    </w:p>
    <w:p w:rsidR="007F6DF9" w:rsidRDefault="00A43FBC">
      <w:pPr>
        <w:pStyle w:val="ListParagraph"/>
        <w:numPr>
          <w:ilvl w:val="2"/>
          <w:numId w:val="231"/>
        </w:numPr>
        <w:tabs>
          <w:tab w:val="left" w:pos="1985"/>
        </w:tabs>
        <w:spacing w:before="64"/>
        <w:jc w:val="left"/>
      </w:pPr>
      <w:r>
        <w:rPr>
          <w:color w:val="221F1F"/>
        </w:rPr>
        <w:t>Has</w:t>
      </w:r>
      <w:r>
        <w:rPr>
          <w:color w:val="221F1F"/>
          <w:spacing w:val="-2"/>
        </w:rPr>
        <w:t xml:space="preserve"> </w:t>
      </w:r>
      <w:r>
        <w:rPr>
          <w:color w:val="221F1F"/>
        </w:rPr>
        <w:t>the</w:t>
      </w:r>
      <w:r>
        <w:rPr>
          <w:color w:val="221F1F"/>
          <w:spacing w:val="-3"/>
        </w:rPr>
        <w:t xml:space="preserve"> </w:t>
      </w:r>
      <w:r>
        <w:rPr>
          <w:color w:val="221F1F"/>
        </w:rPr>
        <w:t>same</w:t>
      </w:r>
      <w:r>
        <w:rPr>
          <w:color w:val="221F1F"/>
          <w:spacing w:val="-5"/>
        </w:rPr>
        <w:t xml:space="preserve"> </w:t>
      </w:r>
      <w:r>
        <w:rPr>
          <w:color w:val="221F1F"/>
        </w:rPr>
        <w:t>legal</w:t>
      </w:r>
      <w:r>
        <w:rPr>
          <w:color w:val="221F1F"/>
          <w:spacing w:val="-3"/>
        </w:rPr>
        <w:t xml:space="preserve"> </w:t>
      </w:r>
      <w:r>
        <w:rPr>
          <w:color w:val="221F1F"/>
        </w:rPr>
        <w:t>representative</w:t>
      </w:r>
      <w:r>
        <w:rPr>
          <w:color w:val="221F1F"/>
          <w:spacing w:val="-4"/>
        </w:rPr>
        <w:t xml:space="preserve"> </w:t>
      </w:r>
      <w:r>
        <w:rPr>
          <w:color w:val="221F1F"/>
        </w:rPr>
        <w:t>as</w:t>
      </w:r>
      <w:r>
        <w:rPr>
          <w:color w:val="221F1F"/>
          <w:spacing w:val="-3"/>
        </w:rPr>
        <w:t xml:space="preserve"> </w:t>
      </w:r>
      <w:proofErr w:type="spellStart"/>
      <w:r>
        <w:rPr>
          <w:color w:val="221F1F"/>
        </w:rPr>
        <w:t>an</w:t>
      </w:r>
      <w:r>
        <w:rPr>
          <w:color w:val="221F1F"/>
          <w:spacing w:val="-3"/>
        </w:rPr>
        <w:t xml:space="preserve"> </w:t>
      </w:r>
      <w:r>
        <w:rPr>
          <w:color w:val="221F1F"/>
        </w:rPr>
        <w:t>other</w:t>
      </w:r>
      <w:proofErr w:type="spellEnd"/>
      <w:r>
        <w:rPr>
          <w:color w:val="221F1F"/>
          <w:spacing w:val="-3"/>
        </w:rPr>
        <w:t xml:space="preserve"> </w:t>
      </w:r>
      <w:r>
        <w:rPr>
          <w:color w:val="221F1F"/>
          <w:spacing w:val="-2"/>
        </w:rPr>
        <w:t>tenderer;</w:t>
      </w:r>
    </w:p>
    <w:p w:rsidR="007F6DF9" w:rsidRDefault="00A43FBC">
      <w:pPr>
        <w:pStyle w:val="ListParagraph"/>
        <w:numPr>
          <w:ilvl w:val="2"/>
          <w:numId w:val="231"/>
        </w:numPr>
        <w:tabs>
          <w:tab w:val="left" w:pos="1983"/>
          <w:tab w:val="left" w:pos="1985"/>
        </w:tabs>
        <w:spacing w:before="72" w:line="230" w:lineRule="auto"/>
        <w:ind w:right="843"/>
        <w:jc w:val="both"/>
      </w:pPr>
      <w:r>
        <w:rPr>
          <w:color w:val="221F1F"/>
        </w:rPr>
        <w:t xml:space="preserve">Has a relationship with </w:t>
      </w:r>
      <w:proofErr w:type="spellStart"/>
      <w:r>
        <w:rPr>
          <w:color w:val="221F1F"/>
        </w:rPr>
        <w:t>an other</w:t>
      </w:r>
      <w:proofErr w:type="spellEnd"/>
      <w:r>
        <w:rPr>
          <w:color w:val="221F1F"/>
        </w:rPr>
        <w:t xml:space="preserve"> tenderer, directly or through common third parties, that puts it in a position to influence the tender of </w:t>
      </w:r>
      <w:proofErr w:type="spellStart"/>
      <w:r>
        <w:rPr>
          <w:color w:val="221F1F"/>
        </w:rPr>
        <w:t>an other</w:t>
      </w:r>
      <w:proofErr w:type="spellEnd"/>
      <w:r>
        <w:rPr>
          <w:color w:val="221F1F"/>
        </w:rPr>
        <w:t xml:space="preserve"> tenderer, or influence the decisions of the Procuring Entity regarding this tendering process;</w:t>
      </w:r>
    </w:p>
    <w:p w:rsidR="007F6DF9" w:rsidRDefault="00A43FBC">
      <w:pPr>
        <w:pStyle w:val="ListParagraph"/>
        <w:numPr>
          <w:ilvl w:val="2"/>
          <w:numId w:val="231"/>
        </w:numPr>
        <w:tabs>
          <w:tab w:val="left" w:pos="1985"/>
        </w:tabs>
        <w:spacing w:before="73" w:line="230" w:lineRule="auto"/>
        <w:ind w:right="1900"/>
        <w:jc w:val="left"/>
      </w:pPr>
      <w:r>
        <w:rPr>
          <w:color w:val="221F1F"/>
        </w:rPr>
        <w:t>Any</w:t>
      </w:r>
      <w:r>
        <w:rPr>
          <w:color w:val="221F1F"/>
          <w:spacing w:val="-3"/>
        </w:rPr>
        <w:t xml:space="preserve"> </w:t>
      </w:r>
      <w:r>
        <w:rPr>
          <w:color w:val="221F1F"/>
        </w:rPr>
        <w:t>of</w:t>
      </w:r>
      <w:r>
        <w:rPr>
          <w:color w:val="221F1F"/>
          <w:spacing w:val="-2"/>
        </w:rPr>
        <w:t xml:space="preserve"> </w:t>
      </w:r>
      <w:r>
        <w:rPr>
          <w:color w:val="221F1F"/>
        </w:rPr>
        <w:t>its</w:t>
      </w:r>
      <w:r>
        <w:rPr>
          <w:color w:val="221F1F"/>
          <w:spacing w:val="-5"/>
        </w:rPr>
        <w:t xml:space="preserve"> </w:t>
      </w:r>
      <w:r>
        <w:rPr>
          <w:color w:val="221F1F"/>
        </w:rPr>
        <w:t>affiliates</w:t>
      </w:r>
      <w:r>
        <w:rPr>
          <w:color w:val="221F1F"/>
          <w:spacing w:val="-2"/>
        </w:rPr>
        <w:t xml:space="preserve"> </w:t>
      </w:r>
      <w:r>
        <w:rPr>
          <w:color w:val="221F1F"/>
        </w:rPr>
        <w:t>participated</w:t>
      </w:r>
      <w:r>
        <w:rPr>
          <w:color w:val="221F1F"/>
          <w:spacing w:val="-4"/>
        </w:rPr>
        <w:t xml:space="preserve"> </w:t>
      </w:r>
      <w:r>
        <w:rPr>
          <w:color w:val="221F1F"/>
        </w:rPr>
        <w:t>as</w:t>
      </w:r>
      <w:r>
        <w:rPr>
          <w:color w:val="221F1F"/>
          <w:spacing w:val="-3"/>
        </w:rPr>
        <w:t xml:space="preserve"> </w:t>
      </w:r>
      <w:r>
        <w:rPr>
          <w:color w:val="221F1F"/>
        </w:rPr>
        <w:t>a</w:t>
      </w:r>
      <w:r>
        <w:rPr>
          <w:color w:val="221F1F"/>
          <w:spacing w:val="-5"/>
        </w:rPr>
        <w:t xml:space="preserve"> </w:t>
      </w:r>
      <w:r>
        <w:rPr>
          <w:color w:val="221F1F"/>
        </w:rPr>
        <w:t>consultant</w:t>
      </w:r>
      <w:r>
        <w:rPr>
          <w:color w:val="221F1F"/>
          <w:spacing w:val="-2"/>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preparation</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design</w:t>
      </w:r>
      <w:r>
        <w:rPr>
          <w:color w:val="221F1F"/>
          <w:spacing w:val="-2"/>
        </w:rPr>
        <w:t xml:space="preserve"> </w:t>
      </w:r>
      <w:r>
        <w:rPr>
          <w:color w:val="221F1F"/>
        </w:rPr>
        <w:t>or</w:t>
      </w:r>
      <w:r>
        <w:rPr>
          <w:color w:val="221F1F"/>
          <w:spacing w:val="-2"/>
        </w:rPr>
        <w:t xml:space="preserve"> </w:t>
      </w:r>
      <w:r>
        <w:rPr>
          <w:color w:val="221F1F"/>
        </w:rPr>
        <w:t>technical specifications of the goods or works that are the subject of the tender;</w:t>
      </w:r>
    </w:p>
    <w:p w:rsidR="007F6DF9" w:rsidRDefault="00A43FBC">
      <w:pPr>
        <w:pStyle w:val="ListParagraph"/>
        <w:numPr>
          <w:ilvl w:val="2"/>
          <w:numId w:val="231"/>
        </w:numPr>
        <w:tabs>
          <w:tab w:val="left" w:pos="1985"/>
        </w:tabs>
        <w:spacing w:before="74" w:line="230" w:lineRule="auto"/>
        <w:ind w:right="993"/>
        <w:jc w:val="left"/>
      </w:pPr>
      <w:r>
        <w:rPr>
          <w:color w:val="221F1F"/>
        </w:rPr>
        <w:t>Any</w:t>
      </w:r>
      <w:r>
        <w:rPr>
          <w:color w:val="221F1F"/>
          <w:spacing w:val="-2"/>
        </w:rPr>
        <w:t xml:space="preserve"> </w:t>
      </w:r>
      <w:r>
        <w:rPr>
          <w:color w:val="221F1F"/>
        </w:rPr>
        <w:t>of</w:t>
      </w:r>
      <w:r>
        <w:rPr>
          <w:color w:val="221F1F"/>
          <w:spacing w:val="-1"/>
        </w:rPr>
        <w:t xml:space="preserve"> </w:t>
      </w:r>
      <w:r>
        <w:rPr>
          <w:color w:val="221F1F"/>
        </w:rPr>
        <w:t>its</w:t>
      </w:r>
      <w:r>
        <w:rPr>
          <w:color w:val="221F1F"/>
          <w:spacing w:val="-4"/>
        </w:rPr>
        <w:t xml:space="preserve"> </w:t>
      </w:r>
      <w:r>
        <w:rPr>
          <w:color w:val="221F1F"/>
        </w:rPr>
        <w:t>affiliates</w:t>
      </w:r>
      <w:r>
        <w:rPr>
          <w:color w:val="221F1F"/>
          <w:spacing w:val="-1"/>
        </w:rPr>
        <w:t xml:space="preserve"> </w:t>
      </w:r>
      <w:r>
        <w:rPr>
          <w:color w:val="221F1F"/>
        </w:rPr>
        <w:t>has</w:t>
      </w:r>
      <w:r>
        <w:rPr>
          <w:color w:val="221F1F"/>
          <w:spacing w:val="-2"/>
        </w:rPr>
        <w:t xml:space="preserve"> </w:t>
      </w:r>
      <w:r>
        <w:rPr>
          <w:color w:val="221F1F"/>
        </w:rPr>
        <w:t>been</w:t>
      </w:r>
      <w:r>
        <w:rPr>
          <w:color w:val="221F1F"/>
          <w:spacing w:val="-2"/>
        </w:rPr>
        <w:t xml:space="preserve"> </w:t>
      </w:r>
      <w:r>
        <w:rPr>
          <w:color w:val="221F1F"/>
        </w:rPr>
        <w:t>hired</w:t>
      </w:r>
      <w:r>
        <w:rPr>
          <w:color w:val="221F1F"/>
          <w:spacing w:val="-2"/>
        </w:rPr>
        <w:t xml:space="preserve"> </w:t>
      </w:r>
      <w:r>
        <w:rPr>
          <w:color w:val="221F1F"/>
        </w:rPr>
        <w:t>(or</w:t>
      </w:r>
      <w:r>
        <w:rPr>
          <w:color w:val="221F1F"/>
          <w:spacing w:val="-4"/>
        </w:rPr>
        <w:t xml:space="preserve"> </w:t>
      </w:r>
      <w:r>
        <w:rPr>
          <w:color w:val="221F1F"/>
        </w:rPr>
        <w:t>is</w:t>
      </w:r>
      <w:r>
        <w:rPr>
          <w:color w:val="221F1F"/>
          <w:spacing w:val="-2"/>
        </w:rPr>
        <w:t xml:space="preserve"> </w:t>
      </w:r>
      <w:r>
        <w:rPr>
          <w:color w:val="221F1F"/>
        </w:rPr>
        <w:t>proposed</w:t>
      </w:r>
      <w:r>
        <w:rPr>
          <w:color w:val="221F1F"/>
          <w:spacing w:val="-4"/>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hired)</w:t>
      </w:r>
      <w:r>
        <w:rPr>
          <w:color w:val="221F1F"/>
          <w:spacing w:val="-1"/>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as</w:t>
      </w:r>
      <w:r>
        <w:rPr>
          <w:color w:val="221F1F"/>
          <w:spacing w:val="-2"/>
        </w:rPr>
        <w:t xml:space="preserve"> </w:t>
      </w:r>
      <w:r>
        <w:rPr>
          <w:color w:val="221F1F"/>
        </w:rPr>
        <w:t>a</w:t>
      </w:r>
      <w:r>
        <w:rPr>
          <w:color w:val="221F1F"/>
          <w:spacing w:val="-2"/>
        </w:rPr>
        <w:t xml:space="preserve"> </w:t>
      </w:r>
      <w:r>
        <w:rPr>
          <w:color w:val="221F1F"/>
        </w:rPr>
        <w:t>consultant for Contract implementation;</w:t>
      </w:r>
    </w:p>
    <w:p w:rsidR="007F6DF9" w:rsidRDefault="00A43FBC">
      <w:pPr>
        <w:pStyle w:val="ListParagraph"/>
        <w:numPr>
          <w:ilvl w:val="2"/>
          <w:numId w:val="231"/>
        </w:numPr>
        <w:tabs>
          <w:tab w:val="left" w:pos="1983"/>
          <w:tab w:val="left" w:pos="1985"/>
        </w:tabs>
        <w:spacing w:before="73" w:line="230" w:lineRule="auto"/>
        <w:ind w:right="839"/>
        <w:jc w:val="both"/>
      </w:pPr>
      <w:r>
        <w:rPr>
          <w:color w:val="221F1F"/>
        </w:rPr>
        <w:t xml:space="preserve">Would be providing goods, works, or non-consulting services resulting from or directly related to consulting services for the preparation or implementation of the contract specified in this Tender </w:t>
      </w:r>
      <w:r>
        <w:rPr>
          <w:color w:val="221F1F"/>
          <w:spacing w:val="-2"/>
        </w:rPr>
        <w:t>Document;</w:t>
      </w:r>
    </w:p>
    <w:p w:rsidR="007F6DF9" w:rsidRDefault="00A43FBC">
      <w:pPr>
        <w:pStyle w:val="ListParagraph"/>
        <w:numPr>
          <w:ilvl w:val="2"/>
          <w:numId w:val="231"/>
        </w:numPr>
        <w:tabs>
          <w:tab w:val="left" w:pos="1983"/>
          <w:tab w:val="left" w:pos="1985"/>
        </w:tabs>
        <w:spacing w:before="75" w:line="230" w:lineRule="auto"/>
        <w:ind w:right="1397"/>
        <w:jc w:val="both"/>
      </w:pPr>
      <w:r>
        <w:rPr>
          <w:color w:val="221F1F"/>
        </w:rPr>
        <w:t>Has</w:t>
      </w:r>
      <w:r>
        <w:rPr>
          <w:color w:val="221F1F"/>
          <w:spacing w:val="-2"/>
        </w:rPr>
        <w:t xml:space="preserve"> </w:t>
      </w:r>
      <w:r>
        <w:rPr>
          <w:color w:val="221F1F"/>
        </w:rPr>
        <w:t>a</w:t>
      </w:r>
      <w:r>
        <w:rPr>
          <w:color w:val="221F1F"/>
          <w:spacing w:val="-2"/>
        </w:rPr>
        <w:t xml:space="preserve"> </w:t>
      </w:r>
      <w:r>
        <w:rPr>
          <w:color w:val="221F1F"/>
        </w:rPr>
        <w:t>close</w:t>
      </w:r>
      <w:r>
        <w:rPr>
          <w:color w:val="221F1F"/>
          <w:spacing w:val="-2"/>
        </w:rPr>
        <w:t xml:space="preserve"> </w:t>
      </w:r>
      <w:r>
        <w:rPr>
          <w:color w:val="221F1F"/>
        </w:rPr>
        <w:t>business</w:t>
      </w:r>
      <w:r>
        <w:rPr>
          <w:color w:val="221F1F"/>
          <w:spacing w:val="-1"/>
        </w:rPr>
        <w:t xml:space="preserve"> </w:t>
      </w:r>
      <w:r>
        <w:rPr>
          <w:color w:val="221F1F"/>
        </w:rPr>
        <w:t>or</w:t>
      </w:r>
      <w:r>
        <w:rPr>
          <w:color w:val="221F1F"/>
          <w:spacing w:val="-2"/>
        </w:rPr>
        <w:t xml:space="preserve"> </w:t>
      </w:r>
      <w:r>
        <w:rPr>
          <w:color w:val="221F1F"/>
        </w:rPr>
        <w:t>personal</w:t>
      </w:r>
      <w:r>
        <w:rPr>
          <w:color w:val="221F1F"/>
          <w:spacing w:val="-4"/>
        </w:rPr>
        <w:t xml:space="preserve"> </w:t>
      </w:r>
      <w:r>
        <w:rPr>
          <w:color w:val="221F1F"/>
        </w:rPr>
        <w:t>relationship</w:t>
      </w:r>
      <w:r>
        <w:rPr>
          <w:color w:val="221F1F"/>
          <w:spacing w:val="-2"/>
        </w:rPr>
        <w:t xml:space="preserve"> </w:t>
      </w:r>
      <w:r>
        <w:rPr>
          <w:color w:val="221F1F"/>
        </w:rPr>
        <w:t>with</w:t>
      </w:r>
      <w:r>
        <w:rPr>
          <w:color w:val="221F1F"/>
          <w:spacing w:val="-2"/>
        </w:rPr>
        <w:t xml:space="preserve"> </w:t>
      </w:r>
      <w:r>
        <w:rPr>
          <w:color w:val="221F1F"/>
        </w:rPr>
        <w:t>senior</w:t>
      </w:r>
      <w:r>
        <w:rPr>
          <w:color w:val="221F1F"/>
          <w:spacing w:val="-2"/>
        </w:rPr>
        <w:t xml:space="preserve"> </w:t>
      </w:r>
      <w:r>
        <w:rPr>
          <w:color w:val="221F1F"/>
        </w:rPr>
        <w:t>management</w:t>
      </w:r>
      <w:r>
        <w:rPr>
          <w:color w:val="221F1F"/>
          <w:spacing w:val="-4"/>
        </w:rPr>
        <w:t xml:space="preserve"> </w:t>
      </w:r>
      <w:r>
        <w:rPr>
          <w:color w:val="221F1F"/>
        </w:rPr>
        <w:t>or</w:t>
      </w:r>
      <w:r>
        <w:rPr>
          <w:color w:val="221F1F"/>
          <w:spacing w:val="-2"/>
        </w:rPr>
        <w:t xml:space="preserve"> </w:t>
      </w:r>
      <w:r>
        <w:rPr>
          <w:color w:val="221F1F"/>
        </w:rPr>
        <w:t>professional</w:t>
      </w:r>
      <w:r>
        <w:rPr>
          <w:color w:val="221F1F"/>
          <w:spacing w:val="-4"/>
        </w:rPr>
        <w:t xml:space="preserve"> </w:t>
      </w:r>
      <w:r>
        <w:rPr>
          <w:color w:val="221F1F"/>
        </w:rPr>
        <w:t>staff</w:t>
      </w:r>
      <w:r>
        <w:rPr>
          <w:color w:val="221F1F"/>
          <w:spacing w:val="-4"/>
        </w:rPr>
        <w:t xml:space="preserve"> </w:t>
      </w:r>
      <w:r>
        <w:rPr>
          <w:color w:val="221F1F"/>
        </w:rPr>
        <w:t>of</w:t>
      </w:r>
      <w:r>
        <w:rPr>
          <w:color w:val="221F1F"/>
          <w:spacing w:val="-4"/>
        </w:rPr>
        <w:t xml:space="preserve"> </w:t>
      </w:r>
      <w:r>
        <w:rPr>
          <w:color w:val="221F1F"/>
        </w:rPr>
        <w:t>the Procuring Entity who has the ability to influence the bidding process and:</w:t>
      </w:r>
    </w:p>
    <w:p w:rsidR="007F6DF9" w:rsidRDefault="00A43FBC">
      <w:pPr>
        <w:pStyle w:val="ListParagraph"/>
        <w:numPr>
          <w:ilvl w:val="2"/>
          <w:numId w:val="231"/>
        </w:numPr>
        <w:tabs>
          <w:tab w:val="left" w:pos="2408"/>
          <w:tab w:val="left" w:pos="2410"/>
        </w:tabs>
        <w:spacing w:before="74" w:line="230" w:lineRule="auto"/>
        <w:ind w:left="2410" w:right="844" w:hanging="425"/>
        <w:jc w:val="both"/>
      </w:pPr>
      <w:r>
        <w:rPr>
          <w:color w:val="221F1F"/>
        </w:rPr>
        <w:t>Are directly or indirectly involved in the preparation of the Tender document or specifications of the Contract, and/or the Tender evaluation process of such contract; or</w:t>
      </w:r>
    </w:p>
    <w:p w:rsidR="007F6DF9" w:rsidRDefault="00A43FBC">
      <w:pPr>
        <w:pStyle w:val="BodyText"/>
        <w:spacing w:before="74" w:line="230" w:lineRule="auto"/>
        <w:ind w:left="2410" w:right="843" w:hanging="425"/>
        <w:jc w:val="both"/>
      </w:pPr>
      <w:r>
        <w:rPr>
          <w:color w:val="221F1F"/>
        </w:rPr>
        <w:t>ii)</w:t>
      </w:r>
      <w:r>
        <w:rPr>
          <w:color w:val="221F1F"/>
          <w:spacing w:val="80"/>
        </w:rPr>
        <w:t xml:space="preserve"> </w:t>
      </w:r>
      <w:r>
        <w:rPr>
          <w:color w:val="221F1F"/>
        </w:rPr>
        <w:t xml:space="preserve">May be involved in the implementation or supervision of such Contract unless the conflicts </w:t>
      </w:r>
      <w:proofErr w:type="spellStart"/>
      <w:r>
        <w:rPr>
          <w:color w:val="221F1F"/>
        </w:rPr>
        <w:t>temming</w:t>
      </w:r>
      <w:proofErr w:type="spellEnd"/>
      <w:r>
        <w:rPr>
          <w:color w:val="221F1F"/>
        </w:rPr>
        <w:t xml:space="preserve"> from such relationship has been resolved in a manner acceptable to the Procuring Entity throughout the tendering process and execution of the Contract.</w:t>
      </w:r>
    </w:p>
    <w:p w:rsidR="007F6DF9" w:rsidRDefault="00A43FBC">
      <w:pPr>
        <w:pStyle w:val="ListParagraph"/>
        <w:numPr>
          <w:ilvl w:val="1"/>
          <w:numId w:val="231"/>
        </w:numPr>
        <w:tabs>
          <w:tab w:val="left" w:pos="1417"/>
          <w:tab w:val="left" w:pos="1435"/>
        </w:tabs>
        <w:spacing w:before="246" w:line="230" w:lineRule="auto"/>
        <w:ind w:left="1435" w:right="842" w:hanging="587"/>
        <w:jc w:val="both"/>
        <w:rPr>
          <w:b/>
          <w:color w:val="221F1F"/>
        </w:rPr>
      </w:pPr>
      <w:r>
        <w:rPr>
          <w:color w:val="221F1F"/>
        </w:rPr>
        <w:t>A tenderer shall not be involved in corrupt, coercive, obstructive or fraudulent practice. A tenderer that is proven to have been involved in any of these practices shall be automatically disqualified</w:t>
      </w:r>
    </w:p>
    <w:p w:rsidR="007F6DF9" w:rsidRDefault="00A43FBC">
      <w:pPr>
        <w:pStyle w:val="ListParagraph"/>
        <w:numPr>
          <w:ilvl w:val="1"/>
          <w:numId w:val="231"/>
        </w:numPr>
        <w:tabs>
          <w:tab w:val="left" w:pos="1418"/>
          <w:tab w:val="left" w:pos="1433"/>
        </w:tabs>
        <w:spacing w:before="244" w:line="230" w:lineRule="auto"/>
        <w:ind w:left="1433" w:right="843" w:hanging="584"/>
        <w:jc w:val="both"/>
        <w:rPr>
          <w:b/>
          <w:color w:val="221F1F"/>
        </w:rPr>
      </w:pPr>
      <w:r>
        <w:rPr>
          <w:color w:val="221F1F"/>
        </w:rPr>
        <w:t>A Tenderer (either individually or as a JV member) shall not participate in more than one Tender,</w:t>
      </w:r>
      <w:r>
        <w:rPr>
          <w:color w:val="221F1F"/>
          <w:spacing w:val="-4"/>
        </w:rPr>
        <w:t xml:space="preserve"> </w:t>
      </w:r>
      <w:r>
        <w:rPr>
          <w:color w:val="221F1F"/>
        </w:rPr>
        <w:t>except for permitted alternative tenders. This includes participation as a subcontractor in other Tenders. Such participation</w:t>
      </w:r>
      <w:r>
        <w:rPr>
          <w:color w:val="221F1F"/>
          <w:spacing w:val="-9"/>
        </w:rPr>
        <w:t xml:space="preserve"> </w:t>
      </w:r>
      <w:r>
        <w:rPr>
          <w:color w:val="221F1F"/>
        </w:rPr>
        <w:t>shall</w:t>
      </w:r>
      <w:r>
        <w:rPr>
          <w:color w:val="221F1F"/>
          <w:spacing w:val="-10"/>
        </w:rPr>
        <w:t xml:space="preserve"> </w:t>
      </w:r>
      <w:r>
        <w:rPr>
          <w:color w:val="221F1F"/>
        </w:rPr>
        <w:t>result</w:t>
      </w:r>
      <w:r>
        <w:rPr>
          <w:color w:val="221F1F"/>
          <w:spacing w:val="-10"/>
        </w:rPr>
        <w:t xml:space="preserve"> </w:t>
      </w:r>
      <w:r>
        <w:rPr>
          <w:color w:val="221F1F"/>
        </w:rPr>
        <w:t>in</w:t>
      </w:r>
      <w:r>
        <w:rPr>
          <w:color w:val="221F1F"/>
          <w:spacing w:val="-11"/>
        </w:rPr>
        <w:t xml:space="preserve"> </w:t>
      </w:r>
      <w:r>
        <w:rPr>
          <w:color w:val="221F1F"/>
        </w:rPr>
        <w:t>the</w:t>
      </w:r>
      <w:r>
        <w:rPr>
          <w:color w:val="221F1F"/>
          <w:spacing w:val="-9"/>
        </w:rPr>
        <w:t xml:space="preserve"> </w:t>
      </w:r>
      <w:r>
        <w:rPr>
          <w:color w:val="221F1F"/>
        </w:rPr>
        <w:t>disqualification</w:t>
      </w:r>
      <w:r>
        <w:rPr>
          <w:color w:val="221F1F"/>
          <w:spacing w:val="-11"/>
        </w:rPr>
        <w:t xml:space="preserve"> </w:t>
      </w:r>
      <w:r>
        <w:rPr>
          <w:color w:val="221F1F"/>
        </w:rPr>
        <w:t>of</w:t>
      </w:r>
      <w:r>
        <w:rPr>
          <w:color w:val="221F1F"/>
          <w:spacing w:val="-11"/>
        </w:rPr>
        <w:t xml:space="preserve"> </w:t>
      </w:r>
      <w:r>
        <w:rPr>
          <w:color w:val="221F1F"/>
        </w:rPr>
        <w:t>all</w:t>
      </w:r>
      <w:r>
        <w:rPr>
          <w:color w:val="221F1F"/>
          <w:spacing w:val="-8"/>
        </w:rPr>
        <w:t xml:space="preserve"> </w:t>
      </w:r>
      <w:r>
        <w:rPr>
          <w:color w:val="221F1F"/>
        </w:rPr>
        <w:t>Tenders</w:t>
      </w:r>
      <w:r>
        <w:rPr>
          <w:color w:val="221F1F"/>
          <w:spacing w:val="-14"/>
        </w:rPr>
        <w:t xml:space="preserve"> </w:t>
      </w:r>
      <w:r>
        <w:rPr>
          <w:color w:val="221F1F"/>
        </w:rPr>
        <w:t>in</w:t>
      </w:r>
      <w:r>
        <w:rPr>
          <w:color w:val="221F1F"/>
          <w:spacing w:val="-9"/>
        </w:rPr>
        <w:t xml:space="preserve"> </w:t>
      </w:r>
      <w:r>
        <w:rPr>
          <w:color w:val="221F1F"/>
        </w:rPr>
        <w:t>which</w:t>
      </w:r>
      <w:r>
        <w:rPr>
          <w:color w:val="221F1F"/>
          <w:spacing w:val="-11"/>
        </w:rPr>
        <w:t xml:space="preserve"> </w:t>
      </w:r>
      <w:r>
        <w:rPr>
          <w:color w:val="221F1F"/>
        </w:rPr>
        <w:t>the</w:t>
      </w:r>
      <w:r>
        <w:rPr>
          <w:color w:val="221F1F"/>
          <w:spacing w:val="-9"/>
        </w:rPr>
        <w:t xml:space="preserve"> </w:t>
      </w:r>
      <w:r>
        <w:rPr>
          <w:color w:val="221F1F"/>
        </w:rPr>
        <w:t>firm</w:t>
      </w:r>
      <w:r>
        <w:rPr>
          <w:color w:val="221F1F"/>
          <w:spacing w:val="-8"/>
        </w:rPr>
        <w:t xml:space="preserve"> </w:t>
      </w:r>
      <w:r>
        <w:rPr>
          <w:color w:val="221F1F"/>
        </w:rPr>
        <w:t>is</w:t>
      </w:r>
      <w:r>
        <w:rPr>
          <w:color w:val="221F1F"/>
          <w:spacing w:val="-11"/>
        </w:rPr>
        <w:t xml:space="preserve"> </w:t>
      </w:r>
      <w:r>
        <w:rPr>
          <w:color w:val="221F1F"/>
        </w:rPr>
        <w:t>involved.</w:t>
      </w:r>
      <w:r>
        <w:rPr>
          <w:color w:val="221F1F"/>
          <w:spacing w:val="-8"/>
        </w:rPr>
        <w:t xml:space="preserve"> </w:t>
      </w:r>
      <w:r>
        <w:rPr>
          <w:color w:val="221F1F"/>
        </w:rPr>
        <w:t>Members</w:t>
      </w:r>
      <w:r>
        <w:rPr>
          <w:color w:val="221F1F"/>
          <w:spacing w:val="-8"/>
        </w:rPr>
        <w:t xml:space="preserve"> </w:t>
      </w:r>
      <w:r>
        <w:rPr>
          <w:color w:val="221F1F"/>
        </w:rPr>
        <w:t>of</w:t>
      </w:r>
      <w:r>
        <w:rPr>
          <w:color w:val="221F1F"/>
          <w:spacing w:val="-11"/>
        </w:rPr>
        <w:t xml:space="preserve"> </w:t>
      </w:r>
      <w:r>
        <w:rPr>
          <w:color w:val="221F1F"/>
        </w:rPr>
        <w:t>a</w:t>
      </w:r>
      <w:r>
        <w:rPr>
          <w:color w:val="221F1F"/>
          <w:spacing w:val="-11"/>
        </w:rPr>
        <w:t xml:space="preserve"> </w:t>
      </w:r>
      <w:r>
        <w:rPr>
          <w:color w:val="221F1F"/>
        </w:rPr>
        <w:t>joint venture may not also make an individual tender,</w:t>
      </w:r>
      <w:r>
        <w:rPr>
          <w:color w:val="221F1F"/>
          <w:spacing w:val="-1"/>
        </w:rPr>
        <w:t xml:space="preserve"> </w:t>
      </w:r>
      <w:r>
        <w:rPr>
          <w:color w:val="221F1F"/>
        </w:rPr>
        <w:t>be</w:t>
      </w:r>
      <w:r>
        <w:rPr>
          <w:color w:val="221F1F"/>
          <w:spacing w:val="-1"/>
        </w:rPr>
        <w:t xml:space="preserve"> </w:t>
      </w:r>
      <w:r>
        <w:rPr>
          <w:color w:val="221F1F"/>
        </w:rPr>
        <w:t>a sub-contractor in</w:t>
      </w:r>
      <w:r>
        <w:rPr>
          <w:color w:val="221F1F"/>
          <w:spacing w:val="-1"/>
        </w:rPr>
        <w:t xml:space="preserve"> </w:t>
      </w:r>
      <w:r>
        <w:rPr>
          <w:color w:val="221F1F"/>
        </w:rPr>
        <w:t>a separate tender or be part of another joint</w:t>
      </w:r>
      <w:r>
        <w:rPr>
          <w:color w:val="221F1F"/>
          <w:spacing w:val="-9"/>
        </w:rPr>
        <w:t xml:space="preserve"> </w:t>
      </w:r>
      <w:r>
        <w:rPr>
          <w:color w:val="221F1F"/>
        </w:rPr>
        <w:t>venture</w:t>
      </w:r>
      <w:r>
        <w:rPr>
          <w:color w:val="221F1F"/>
          <w:spacing w:val="-7"/>
        </w:rPr>
        <w:t xml:space="preserve"> </w:t>
      </w:r>
      <w:r>
        <w:rPr>
          <w:color w:val="221F1F"/>
        </w:rPr>
        <w:t>for</w:t>
      </w:r>
      <w:r>
        <w:rPr>
          <w:color w:val="221F1F"/>
          <w:spacing w:val="-10"/>
        </w:rPr>
        <w:t xml:space="preserve"> </w:t>
      </w:r>
      <w:r>
        <w:rPr>
          <w:color w:val="221F1F"/>
        </w:rPr>
        <w:t>the</w:t>
      </w:r>
      <w:r>
        <w:rPr>
          <w:color w:val="221F1F"/>
          <w:spacing w:val="-8"/>
        </w:rPr>
        <w:t xml:space="preserve"> </w:t>
      </w:r>
      <w:r>
        <w:rPr>
          <w:color w:val="221F1F"/>
        </w:rPr>
        <w:t>purposes</w:t>
      </w:r>
      <w:r>
        <w:rPr>
          <w:color w:val="221F1F"/>
          <w:spacing w:val="-6"/>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same</w:t>
      </w:r>
      <w:r>
        <w:rPr>
          <w:color w:val="221F1F"/>
          <w:spacing w:val="-7"/>
        </w:rPr>
        <w:t xml:space="preserve"> </w:t>
      </w:r>
      <w:r>
        <w:rPr>
          <w:color w:val="221F1F"/>
        </w:rPr>
        <w:t>Tender.</w:t>
      </w:r>
      <w:r>
        <w:rPr>
          <w:color w:val="221F1F"/>
          <w:spacing w:val="-14"/>
        </w:rPr>
        <w:t xml:space="preserve"> </w:t>
      </w:r>
      <w:r>
        <w:rPr>
          <w:color w:val="221F1F"/>
        </w:rPr>
        <w:t>A</w:t>
      </w:r>
      <w:r>
        <w:rPr>
          <w:color w:val="221F1F"/>
          <w:spacing w:val="-9"/>
        </w:rPr>
        <w:t xml:space="preserve"> </w:t>
      </w:r>
      <w:r>
        <w:rPr>
          <w:color w:val="221F1F"/>
        </w:rPr>
        <w:t>firm</w:t>
      </w:r>
      <w:r>
        <w:rPr>
          <w:color w:val="221F1F"/>
          <w:spacing w:val="-7"/>
        </w:rPr>
        <w:t xml:space="preserve"> </w:t>
      </w:r>
      <w:r>
        <w:rPr>
          <w:color w:val="221F1F"/>
        </w:rPr>
        <w:t>that</w:t>
      </w:r>
      <w:r>
        <w:rPr>
          <w:color w:val="221F1F"/>
          <w:spacing w:val="-9"/>
        </w:rPr>
        <w:t xml:space="preserve"> </w:t>
      </w:r>
      <w:r>
        <w:rPr>
          <w:color w:val="221F1F"/>
        </w:rPr>
        <w:t>is</w:t>
      </w:r>
      <w:r>
        <w:rPr>
          <w:color w:val="221F1F"/>
          <w:spacing w:val="-8"/>
        </w:rPr>
        <w:t xml:space="preserve"> </w:t>
      </w:r>
      <w:r>
        <w:rPr>
          <w:color w:val="221F1F"/>
        </w:rPr>
        <w:t>not</w:t>
      </w:r>
      <w:r>
        <w:rPr>
          <w:color w:val="221F1F"/>
          <w:spacing w:val="-7"/>
        </w:rPr>
        <w:t xml:space="preserve"> </w:t>
      </w:r>
      <w:r>
        <w:rPr>
          <w:color w:val="221F1F"/>
        </w:rPr>
        <w:t>a</w:t>
      </w:r>
      <w:r>
        <w:rPr>
          <w:color w:val="221F1F"/>
          <w:spacing w:val="-10"/>
        </w:rPr>
        <w:t xml:space="preserve"> </w:t>
      </w:r>
      <w:r>
        <w:rPr>
          <w:color w:val="221F1F"/>
        </w:rPr>
        <w:t>tenderer</w:t>
      </w:r>
      <w:r>
        <w:rPr>
          <w:color w:val="221F1F"/>
          <w:spacing w:val="-7"/>
        </w:rPr>
        <w:t xml:space="preserve"> </w:t>
      </w:r>
      <w:r>
        <w:rPr>
          <w:color w:val="221F1F"/>
        </w:rPr>
        <w:t>or</w:t>
      </w:r>
      <w:r>
        <w:rPr>
          <w:color w:val="221F1F"/>
          <w:spacing w:val="-10"/>
        </w:rPr>
        <w:t xml:space="preserve"> </w:t>
      </w:r>
      <w:r>
        <w:rPr>
          <w:color w:val="221F1F"/>
        </w:rPr>
        <w:t>a</w:t>
      </w:r>
      <w:r>
        <w:rPr>
          <w:color w:val="221F1F"/>
          <w:spacing w:val="-10"/>
        </w:rPr>
        <w:t xml:space="preserve"> </w:t>
      </w:r>
      <w:r>
        <w:rPr>
          <w:color w:val="221F1F"/>
        </w:rPr>
        <w:t>JV</w:t>
      </w:r>
      <w:r>
        <w:rPr>
          <w:color w:val="221F1F"/>
          <w:spacing w:val="-9"/>
        </w:rPr>
        <w:t xml:space="preserve"> </w:t>
      </w:r>
      <w:r>
        <w:rPr>
          <w:color w:val="221F1F"/>
        </w:rPr>
        <w:t>member</w:t>
      </w:r>
      <w:r>
        <w:rPr>
          <w:color w:val="221F1F"/>
          <w:spacing w:val="-7"/>
        </w:rPr>
        <w:t xml:space="preserve"> </w:t>
      </w:r>
      <w:r>
        <w:rPr>
          <w:color w:val="221F1F"/>
        </w:rPr>
        <w:t>may</w:t>
      </w:r>
      <w:r>
        <w:rPr>
          <w:color w:val="221F1F"/>
          <w:spacing w:val="-8"/>
        </w:rPr>
        <w:t xml:space="preserve"> </w:t>
      </w:r>
      <w:r>
        <w:rPr>
          <w:color w:val="221F1F"/>
        </w:rPr>
        <w:t>participate as a subcontractor in more than one tender.</w:t>
      </w:r>
    </w:p>
    <w:p w:rsidR="007F6DF9" w:rsidRDefault="00A43FBC">
      <w:pPr>
        <w:pStyle w:val="ListParagraph"/>
        <w:numPr>
          <w:ilvl w:val="1"/>
          <w:numId w:val="231"/>
        </w:numPr>
        <w:tabs>
          <w:tab w:val="left" w:pos="1415"/>
          <w:tab w:val="left" w:pos="1433"/>
        </w:tabs>
        <w:spacing w:before="245" w:line="230" w:lineRule="auto"/>
        <w:ind w:left="1433" w:right="844" w:hanging="584"/>
        <w:jc w:val="both"/>
        <w:rPr>
          <w:b/>
          <w:color w:val="221F1F"/>
        </w:rPr>
      </w:pPr>
      <w:r>
        <w:rPr>
          <w:color w:val="221F1F"/>
        </w:rPr>
        <w:t>A</w:t>
      </w:r>
      <w:r>
        <w:rPr>
          <w:color w:val="221F1F"/>
          <w:spacing w:val="-2"/>
        </w:rPr>
        <w:t xml:space="preserve"> </w:t>
      </w:r>
      <w:r>
        <w:rPr>
          <w:color w:val="221F1F"/>
        </w:rPr>
        <w:t>Tenderer</w:t>
      </w:r>
      <w:r>
        <w:rPr>
          <w:color w:val="221F1F"/>
          <w:spacing w:val="-5"/>
        </w:rPr>
        <w:t xml:space="preserve"> </w:t>
      </w:r>
      <w:r>
        <w:rPr>
          <w:color w:val="221F1F"/>
        </w:rPr>
        <w:t>may</w:t>
      </w:r>
      <w:r>
        <w:rPr>
          <w:color w:val="221F1F"/>
          <w:spacing w:val="-3"/>
        </w:rPr>
        <w:t xml:space="preserve"> </w:t>
      </w:r>
      <w:r>
        <w:rPr>
          <w:color w:val="221F1F"/>
        </w:rPr>
        <w:t>have</w:t>
      </w:r>
      <w:r>
        <w:rPr>
          <w:color w:val="221F1F"/>
          <w:spacing w:val="-3"/>
        </w:rPr>
        <w:t xml:space="preserve"> </w:t>
      </w:r>
      <w:r>
        <w:rPr>
          <w:color w:val="221F1F"/>
        </w:rPr>
        <w:t>the</w:t>
      </w:r>
      <w:r>
        <w:rPr>
          <w:color w:val="221F1F"/>
          <w:spacing w:val="-3"/>
        </w:rPr>
        <w:t xml:space="preserve"> </w:t>
      </w:r>
      <w:r>
        <w:rPr>
          <w:color w:val="221F1F"/>
        </w:rPr>
        <w:t>nationality of</w:t>
      </w:r>
      <w:r>
        <w:rPr>
          <w:color w:val="221F1F"/>
          <w:spacing w:val="-3"/>
        </w:rPr>
        <w:t xml:space="preserve"> </w:t>
      </w:r>
      <w:r>
        <w:rPr>
          <w:color w:val="221F1F"/>
        </w:rPr>
        <w:t>any</w:t>
      </w:r>
      <w:r>
        <w:rPr>
          <w:color w:val="221F1F"/>
          <w:spacing w:val="-3"/>
        </w:rPr>
        <w:t xml:space="preserve"> </w:t>
      </w:r>
      <w:r>
        <w:rPr>
          <w:color w:val="221F1F"/>
        </w:rPr>
        <w:t>country,</w:t>
      </w:r>
      <w:r>
        <w:rPr>
          <w:color w:val="221F1F"/>
          <w:spacing w:val="-3"/>
        </w:rPr>
        <w:t xml:space="preserve"> </w:t>
      </w:r>
      <w:r>
        <w:rPr>
          <w:color w:val="221F1F"/>
        </w:rPr>
        <w:t>subject</w:t>
      </w:r>
      <w:r>
        <w:rPr>
          <w:color w:val="221F1F"/>
          <w:spacing w:val="-2"/>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restrictions pursuant</w:t>
      </w:r>
      <w:r>
        <w:rPr>
          <w:color w:val="221F1F"/>
          <w:spacing w:val="-2"/>
        </w:rPr>
        <w:t xml:space="preserve"> </w:t>
      </w:r>
      <w:r>
        <w:rPr>
          <w:color w:val="221F1F"/>
        </w:rPr>
        <w:t>to</w:t>
      </w:r>
      <w:r>
        <w:rPr>
          <w:color w:val="221F1F"/>
          <w:spacing w:val="-4"/>
        </w:rPr>
        <w:t xml:space="preserve"> </w:t>
      </w:r>
      <w:r>
        <w:rPr>
          <w:color w:val="221F1F"/>
        </w:rPr>
        <w:t>ITT3.9.</w:t>
      </w:r>
      <w:r>
        <w:rPr>
          <w:color w:val="221F1F"/>
          <w:spacing w:val="-1"/>
        </w:rPr>
        <w:t xml:space="preserve"> </w:t>
      </w:r>
      <w:proofErr w:type="spellStart"/>
      <w:r>
        <w:rPr>
          <w:color w:val="221F1F"/>
        </w:rPr>
        <w:t>ATenderer</w:t>
      </w:r>
      <w:proofErr w:type="spellEnd"/>
      <w:r>
        <w:rPr>
          <w:color w:val="221F1F"/>
        </w:rPr>
        <w:t xml:space="preserve">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w:t>
      </w:r>
      <w:r>
        <w:rPr>
          <w:color w:val="221F1F"/>
          <w:spacing w:val="-8"/>
        </w:rPr>
        <w:t xml:space="preserve"> </w:t>
      </w:r>
      <w:r>
        <w:rPr>
          <w:color w:val="221F1F"/>
        </w:rPr>
        <w:t>may</w:t>
      </w:r>
      <w:r>
        <w:rPr>
          <w:color w:val="221F1F"/>
          <w:spacing w:val="-5"/>
        </w:rPr>
        <w:t xml:space="preserve"> </w:t>
      </w:r>
      <w:r>
        <w:rPr>
          <w:color w:val="221F1F"/>
        </w:rPr>
        <w:t>be.</w:t>
      </w:r>
      <w:r>
        <w:rPr>
          <w:color w:val="221F1F"/>
          <w:spacing w:val="-6"/>
        </w:rPr>
        <w:t xml:space="preserve"> </w:t>
      </w:r>
      <w:r>
        <w:rPr>
          <w:color w:val="221F1F"/>
        </w:rPr>
        <w:t>This</w:t>
      </w:r>
      <w:r>
        <w:rPr>
          <w:color w:val="221F1F"/>
          <w:spacing w:val="-5"/>
        </w:rPr>
        <w:t xml:space="preserve"> </w:t>
      </w:r>
      <w:r>
        <w:rPr>
          <w:color w:val="221F1F"/>
        </w:rPr>
        <w:t>criterion</w:t>
      </w:r>
      <w:r>
        <w:rPr>
          <w:color w:val="221F1F"/>
          <w:spacing w:val="-8"/>
        </w:rPr>
        <w:t xml:space="preserve"> </w:t>
      </w:r>
      <w:r>
        <w:rPr>
          <w:color w:val="221F1F"/>
        </w:rPr>
        <w:t>also</w:t>
      </w:r>
      <w:r>
        <w:rPr>
          <w:color w:val="221F1F"/>
          <w:spacing w:val="-8"/>
        </w:rPr>
        <w:t xml:space="preserve"> </w:t>
      </w:r>
      <w:r>
        <w:rPr>
          <w:color w:val="221F1F"/>
        </w:rPr>
        <w:t>shall</w:t>
      </w:r>
      <w:r>
        <w:rPr>
          <w:color w:val="221F1F"/>
          <w:spacing w:val="-5"/>
        </w:rPr>
        <w:t xml:space="preserve"> </w:t>
      </w:r>
      <w:r>
        <w:rPr>
          <w:color w:val="221F1F"/>
        </w:rPr>
        <w:t>apply</w:t>
      </w:r>
      <w:r>
        <w:rPr>
          <w:color w:val="221F1F"/>
          <w:spacing w:val="-8"/>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determination</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nationality</w:t>
      </w:r>
      <w:r>
        <w:rPr>
          <w:color w:val="221F1F"/>
          <w:spacing w:val="-8"/>
        </w:rPr>
        <w:t xml:space="preserve"> </w:t>
      </w:r>
      <w:r>
        <w:rPr>
          <w:color w:val="221F1F"/>
        </w:rPr>
        <w:t>of</w:t>
      </w:r>
      <w:r>
        <w:rPr>
          <w:color w:val="221F1F"/>
          <w:spacing w:val="-5"/>
        </w:rPr>
        <w:t xml:space="preserve"> </w:t>
      </w:r>
      <w:r>
        <w:rPr>
          <w:color w:val="221F1F"/>
        </w:rPr>
        <w:t>proposed</w:t>
      </w:r>
      <w:r>
        <w:rPr>
          <w:color w:val="221F1F"/>
          <w:spacing w:val="-8"/>
        </w:rPr>
        <w:t xml:space="preserve"> </w:t>
      </w:r>
      <w:r>
        <w:rPr>
          <w:color w:val="221F1F"/>
        </w:rPr>
        <w:t>sub-contractors or sub-consultants for any part of the Contract including related Services.</w:t>
      </w:r>
    </w:p>
    <w:p w:rsidR="007F6DF9" w:rsidRDefault="00A43FBC">
      <w:pPr>
        <w:pStyle w:val="ListParagraph"/>
        <w:numPr>
          <w:ilvl w:val="1"/>
          <w:numId w:val="231"/>
        </w:numPr>
        <w:tabs>
          <w:tab w:val="left" w:pos="1415"/>
          <w:tab w:val="left" w:pos="1433"/>
        </w:tabs>
        <w:spacing w:before="246" w:line="230" w:lineRule="auto"/>
        <w:ind w:left="1433" w:right="839" w:hanging="584"/>
        <w:jc w:val="both"/>
        <w:rPr>
          <w:b/>
          <w:color w:val="221F1F"/>
        </w:rPr>
      </w:pPr>
      <w:r>
        <w:rPr>
          <w:color w:val="221F1F"/>
        </w:rPr>
        <w:t>A</w:t>
      </w:r>
      <w:r>
        <w:rPr>
          <w:color w:val="221F1F"/>
          <w:spacing w:val="-1"/>
        </w:rPr>
        <w:t xml:space="preserve"> </w:t>
      </w:r>
      <w:r>
        <w:rPr>
          <w:color w:val="221F1F"/>
        </w:rPr>
        <w:t>Tenderer</w:t>
      </w:r>
      <w:r>
        <w:rPr>
          <w:color w:val="221F1F"/>
          <w:spacing w:val="-2"/>
        </w:rPr>
        <w:t xml:space="preserve"> </w:t>
      </w:r>
      <w:r>
        <w:rPr>
          <w:color w:val="221F1F"/>
        </w:rPr>
        <w:t>that has</w:t>
      </w:r>
      <w:r>
        <w:rPr>
          <w:color w:val="221F1F"/>
          <w:spacing w:val="-2"/>
        </w:rPr>
        <w:t xml:space="preserve"> </w:t>
      </w:r>
      <w:r>
        <w:rPr>
          <w:color w:val="221F1F"/>
        </w:rPr>
        <w:t>been</w:t>
      </w:r>
      <w:r>
        <w:rPr>
          <w:color w:val="221F1F"/>
          <w:spacing w:val="-3"/>
        </w:rPr>
        <w:t xml:space="preserve"> </w:t>
      </w:r>
      <w:r>
        <w:rPr>
          <w:color w:val="221F1F"/>
        </w:rPr>
        <w:t>debarred</w:t>
      </w:r>
      <w:r>
        <w:rPr>
          <w:color w:val="221F1F"/>
          <w:spacing w:val="-2"/>
        </w:rPr>
        <w:t xml:space="preserve"> </w:t>
      </w:r>
      <w:r>
        <w:rPr>
          <w:color w:val="221F1F"/>
        </w:rPr>
        <w:t>from participating</w:t>
      </w:r>
      <w:r>
        <w:rPr>
          <w:color w:val="221F1F"/>
          <w:spacing w:val="-2"/>
        </w:rPr>
        <w:t xml:space="preserve"> </w:t>
      </w:r>
      <w:r>
        <w:rPr>
          <w:color w:val="221F1F"/>
        </w:rPr>
        <w:t>in public procurement</w:t>
      </w:r>
      <w:r>
        <w:rPr>
          <w:color w:val="221F1F"/>
          <w:spacing w:val="-1"/>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ineligible</w:t>
      </w:r>
      <w:r>
        <w:rPr>
          <w:color w:val="221F1F"/>
          <w:spacing w:val="-2"/>
        </w:rPr>
        <w:t xml:space="preserve"> </w:t>
      </w:r>
      <w:r>
        <w:rPr>
          <w:color w:val="221F1F"/>
        </w:rPr>
        <w:t>to</w:t>
      </w:r>
      <w:r>
        <w:rPr>
          <w:color w:val="221F1F"/>
          <w:spacing w:val="-3"/>
        </w:rPr>
        <w:t xml:space="preserve"> </w:t>
      </w:r>
      <w:r>
        <w:rPr>
          <w:color w:val="221F1F"/>
        </w:rPr>
        <w:t>tender</w:t>
      </w:r>
      <w:r>
        <w:rPr>
          <w:color w:val="221F1F"/>
          <w:spacing w:val="-1"/>
        </w:rPr>
        <w:t xml:space="preserve"> </w:t>
      </w:r>
      <w:r>
        <w:rPr>
          <w:color w:val="221F1F"/>
        </w:rPr>
        <w:t xml:space="preserve">or be awarded a contract. The list of debarred firms and individuals is available from the website of PPRA </w:t>
      </w:r>
      <w:hyperlink r:id="rId12">
        <w:r>
          <w:rPr>
            <w:color w:val="0000C4"/>
            <w:spacing w:val="-2"/>
            <w:u w:val="single" w:color="0000C4"/>
          </w:rPr>
          <w:t>www.ppra.go.ke</w:t>
        </w:r>
        <w:r>
          <w:rPr>
            <w:color w:val="221F1F"/>
            <w:spacing w:val="-2"/>
          </w:rPr>
          <w:t>.</w:t>
        </w:r>
      </w:hyperlink>
    </w:p>
    <w:p w:rsidR="007F6DF9" w:rsidRDefault="00A43FBC">
      <w:pPr>
        <w:pStyle w:val="ListParagraph"/>
        <w:numPr>
          <w:ilvl w:val="1"/>
          <w:numId w:val="231"/>
        </w:numPr>
        <w:tabs>
          <w:tab w:val="left" w:pos="1415"/>
          <w:tab w:val="left" w:pos="1433"/>
        </w:tabs>
        <w:spacing w:before="247" w:line="230" w:lineRule="auto"/>
        <w:ind w:left="1433" w:right="845" w:hanging="584"/>
        <w:jc w:val="both"/>
        <w:rPr>
          <w:b/>
          <w:color w:val="221F1F"/>
        </w:rPr>
      </w:pPr>
      <w:r>
        <w:rPr>
          <w:color w:val="221F1F"/>
        </w:rPr>
        <w:t>A Tenderer that is a state-owned enterprise or a public institution in Kenya may be eligible to tender and be awarded</w:t>
      </w:r>
      <w:r>
        <w:rPr>
          <w:color w:val="221F1F"/>
          <w:spacing w:val="-1"/>
        </w:rPr>
        <w:t xml:space="preserve"> </w:t>
      </w:r>
      <w:r>
        <w:rPr>
          <w:color w:val="221F1F"/>
        </w:rPr>
        <w:t>Contract(s) only</w:t>
      </w:r>
      <w:r>
        <w:rPr>
          <w:color w:val="221F1F"/>
          <w:spacing w:val="-3"/>
        </w:rPr>
        <w:t xml:space="preserve"> </w:t>
      </w:r>
      <w:r>
        <w:rPr>
          <w:color w:val="221F1F"/>
        </w:rPr>
        <w:t>if</w:t>
      </w:r>
      <w:r>
        <w:rPr>
          <w:color w:val="221F1F"/>
          <w:spacing w:val="-3"/>
        </w:rPr>
        <w:t xml:space="preserve"> </w:t>
      </w:r>
      <w:r>
        <w:rPr>
          <w:color w:val="221F1F"/>
        </w:rPr>
        <w:t>it</w:t>
      </w:r>
      <w:r>
        <w:rPr>
          <w:color w:val="221F1F"/>
          <w:spacing w:val="-3"/>
        </w:rPr>
        <w:t xml:space="preserve"> </w:t>
      </w:r>
      <w:r>
        <w:rPr>
          <w:color w:val="221F1F"/>
        </w:rPr>
        <w:t>is</w:t>
      </w:r>
      <w:r>
        <w:rPr>
          <w:color w:val="221F1F"/>
          <w:spacing w:val="-1"/>
        </w:rPr>
        <w:t xml:space="preserve"> </w:t>
      </w:r>
      <w:r>
        <w:rPr>
          <w:color w:val="221F1F"/>
        </w:rPr>
        <w:t>determined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to</w:t>
      </w:r>
      <w:r>
        <w:rPr>
          <w:color w:val="221F1F"/>
          <w:spacing w:val="-4"/>
        </w:rPr>
        <w:t xml:space="preserve"> </w:t>
      </w:r>
      <w:r>
        <w:rPr>
          <w:color w:val="221F1F"/>
        </w:rPr>
        <w:t>meet</w:t>
      </w:r>
      <w:r>
        <w:rPr>
          <w:color w:val="221F1F"/>
          <w:spacing w:val="-2"/>
        </w:rPr>
        <w:t xml:space="preserve"> </w:t>
      </w:r>
      <w:r>
        <w:rPr>
          <w:color w:val="221F1F"/>
        </w:rPr>
        <w:t>the</w:t>
      </w:r>
      <w:r>
        <w:rPr>
          <w:color w:val="221F1F"/>
          <w:spacing w:val="-3"/>
        </w:rPr>
        <w:t xml:space="preserve"> </w:t>
      </w:r>
      <w:r>
        <w:rPr>
          <w:color w:val="221F1F"/>
        </w:rPr>
        <w:t>following conditions,</w:t>
      </w:r>
      <w:r>
        <w:rPr>
          <w:color w:val="221F1F"/>
          <w:spacing w:val="-3"/>
        </w:rPr>
        <w:t xml:space="preserve"> </w:t>
      </w:r>
      <w:r>
        <w:rPr>
          <w:color w:val="221F1F"/>
        </w:rPr>
        <w:t>i.e.</w:t>
      </w:r>
      <w:r>
        <w:rPr>
          <w:color w:val="221F1F"/>
          <w:spacing w:val="-1"/>
        </w:rPr>
        <w:t xml:space="preserve"> </w:t>
      </w:r>
      <w:r>
        <w:rPr>
          <w:color w:val="221F1F"/>
        </w:rPr>
        <w:t xml:space="preserve">if it </w:t>
      </w:r>
      <w:r>
        <w:rPr>
          <w:color w:val="221F1F"/>
          <w:spacing w:val="-4"/>
        </w:rPr>
        <w:t>is:</w:t>
      </w:r>
    </w:p>
    <w:p w:rsidR="007F6DF9" w:rsidRDefault="00A43FBC">
      <w:pPr>
        <w:pStyle w:val="ListParagraph"/>
        <w:numPr>
          <w:ilvl w:val="0"/>
          <w:numId w:val="230"/>
        </w:numPr>
        <w:tabs>
          <w:tab w:val="left" w:pos="1981"/>
        </w:tabs>
        <w:spacing w:before="41"/>
        <w:ind w:left="1981" w:hanging="565"/>
        <w:jc w:val="both"/>
      </w:pPr>
      <w:r>
        <w:rPr>
          <w:color w:val="221F1F"/>
        </w:rPr>
        <w:t>A</w:t>
      </w:r>
      <w:r>
        <w:rPr>
          <w:color w:val="221F1F"/>
          <w:spacing w:val="-5"/>
        </w:rPr>
        <w:t xml:space="preserve"> </w:t>
      </w:r>
      <w:r>
        <w:rPr>
          <w:color w:val="221F1F"/>
        </w:rPr>
        <w:t>legal</w:t>
      </w:r>
      <w:r>
        <w:rPr>
          <w:color w:val="221F1F"/>
          <w:spacing w:val="-4"/>
        </w:rPr>
        <w:t xml:space="preserve"> </w:t>
      </w:r>
      <w:r>
        <w:rPr>
          <w:color w:val="221F1F"/>
        </w:rPr>
        <w:t>public</w:t>
      </w:r>
      <w:r>
        <w:rPr>
          <w:color w:val="221F1F"/>
          <w:spacing w:val="-4"/>
        </w:rPr>
        <w:t xml:space="preserve"> </w:t>
      </w:r>
      <w:r>
        <w:rPr>
          <w:color w:val="221F1F"/>
        </w:rPr>
        <w:t>entity</w:t>
      </w:r>
      <w:r>
        <w:rPr>
          <w:color w:val="221F1F"/>
          <w:spacing w:val="-3"/>
        </w:rPr>
        <w:t xml:space="preserve"> </w:t>
      </w:r>
      <w:r>
        <w:rPr>
          <w:color w:val="221F1F"/>
        </w:rPr>
        <w:t>of</w:t>
      </w:r>
      <w:r>
        <w:rPr>
          <w:color w:val="221F1F"/>
          <w:spacing w:val="-3"/>
        </w:rPr>
        <w:t xml:space="preserve"> </w:t>
      </w:r>
      <w:r>
        <w:rPr>
          <w:color w:val="221F1F"/>
        </w:rPr>
        <w:t>Government</w:t>
      </w:r>
      <w:r>
        <w:rPr>
          <w:color w:val="221F1F"/>
          <w:spacing w:val="-3"/>
        </w:rPr>
        <w:t xml:space="preserve"> </w:t>
      </w:r>
      <w:r>
        <w:rPr>
          <w:color w:val="221F1F"/>
        </w:rPr>
        <w:t>and/or</w:t>
      </w:r>
      <w:r>
        <w:rPr>
          <w:color w:val="221F1F"/>
          <w:spacing w:val="-3"/>
        </w:rPr>
        <w:t xml:space="preserve"> </w:t>
      </w:r>
      <w:r>
        <w:rPr>
          <w:color w:val="221F1F"/>
        </w:rPr>
        <w:t>public</w:t>
      </w:r>
      <w:r>
        <w:rPr>
          <w:color w:val="221F1F"/>
          <w:spacing w:val="-3"/>
        </w:rPr>
        <w:t xml:space="preserve"> </w:t>
      </w:r>
      <w:r>
        <w:rPr>
          <w:color w:val="221F1F"/>
          <w:spacing w:val="-2"/>
        </w:rPr>
        <w:t>administration,</w:t>
      </w:r>
    </w:p>
    <w:p w:rsidR="007F6DF9" w:rsidRDefault="00A43FBC">
      <w:pPr>
        <w:pStyle w:val="ListParagraph"/>
        <w:numPr>
          <w:ilvl w:val="0"/>
          <w:numId w:val="230"/>
        </w:numPr>
        <w:tabs>
          <w:tab w:val="left" w:pos="1979"/>
          <w:tab w:val="left" w:pos="1982"/>
        </w:tabs>
        <w:spacing w:before="72" w:line="230" w:lineRule="auto"/>
        <w:ind w:right="1015"/>
        <w:jc w:val="both"/>
      </w:pPr>
      <w:r>
        <w:rPr>
          <w:color w:val="221F1F"/>
        </w:rPr>
        <w:t>financially</w:t>
      </w:r>
      <w:r>
        <w:rPr>
          <w:color w:val="221F1F"/>
          <w:spacing w:val="-4"/>
        </w:rPr>
        <w:t xml:space="preserve"> </w:t>
      </w:r>
      <w:r>
        <w:rPr>
          <w:color w:val="221F1F"/>
        </w:rPr>
        <w:t>autonomous</w:t>
      </w:r>
      <w:r>
        <w:rPr>
          <w:color w:val="221F1F"/>
          <w:spacing w:val="-4"/>
        </w:rPr>
        <w:t xml:space="preserve"> </w:t>
      </w:r>
      <w:r>
        <w:rPr>
          <w:color w:val="221F1F"/>
        </w:rPr>
        <w:t>and</w:t>
      </w:r>
      <w:r>
        <w:rPr>
          <w:color w:val="221F1F"/>
          <w:spacing w:val="-7"/>
        </w:rPr>
        <w:t xml:space="preserve"> </w:t>
      </w:r>
      <w:r>
        <w:rPr>
          <w:color w:val="221F1F"/>
        </w:rPr>
        <w:t>not</w:t>
      </w:r>
      <w:r>
        <w:rPr>
          <w:color w:val="221F1F"/>
          <w:spacing w:val="-3"/>
        </w:rPr>
        <w:t xml:space="preserve"> </w:t>
      </w:r>
      <w:r>
        <w:rPr>
          <w:color w:val="221F1F"/>
        </w:rPr>
        <w:t>receiving</w:t>
      </w:r>
      <w:r>
        <w:rPr>
          <w:color w:val="221F1F"/>
          <w:spacing w:val="-4"/>
        </w:rPr>
        <w:t xml:space="preserve"> </w:t>
      </w:r>
      <w:r>
        <w:rPr>
          <w:color w:val="221F1F"/>
        </w:rPr>
        <w:t>any</w:t>
      </w:r>
      <w:r>
        <w:rPr>
          <w:color w:val="221F1F"/>
          <w:spacing w:val="-4"/>
        </w:rPr>
        <w:t xml:space="preserve"> </w:t>
      </w:r>
      <w:r>
        <w:rPr>
          <w:color w:val="221F1F"/>
        </w:rPr>
        <w:t>significant</w:t>
      </w:r>
      <w:r>
        <w:rPr>
          <w:color w:val="221F1F"/>
          <w:spacing w:val="-3"/>
        </w:rPr>
        <w:t xml:space="preserve"> </w:t>
      </w:r>
      <w:r>
        <w:rPr>
          <w:color w:val="221F1F"/>
        </w:rPr>
        <w:t>subsidies</w:t>
      </w:r>
      <w:r>
        <w:rPr>
          <w:color w:val="221F1F"/>
          <w:spacing w:val="-4"/>
        </w:rPr>
        <w:t xml:space="preserve"> </w:t>
      </w:r>
      <w:r>
        <w:rPr>
          <w:color w:val="221F1F"/>
        </w:rPr>
        <w:t>or</w:t>
      </w:r>
      <w:r>
        <w:rPr>
          <w:color w:val="221F1F"/>
          <w:spacing w:val="-6"/>
        </w:rPr>
        <w:t xml:space="preserve"> </w:t>
      </w:r>
      <w:r>
        <w:rPr>
          <w:color w:val="221F1F"/>
        </w:rPr>
        <w:t>budget</w:t>
      </w:r>
      <w:r>
        <w:rPr>
          <w:color w:val="221F1F"/>
          <w:spacing w:val="-3"/>
        </w:rPr>
        <w:t xml:space="preserve"> </w:t>
      </w:r>
      <w:r>
        <w:rPr>
          <w:color w:val="221F1F"/>
        </w:rPr>
        <w:t>support</w:t>
      </w:r>
      <w:r>
        <w:rPr>
          <w:color w:val="221F1F"/>
          <w:spacing w:val="-6"/>
        </w:rPr>
        <w:t xml:space="preserve"> </w:t>
      </w:r>
      <w:r>
        <w:rPr>
          <w:color w:val="221F1F"/>
        </w:rPr>
        <w:t>from</w:t>
      </w:r>
      <w:r>
        <w:rPr>
          <w:color w:val="221F1F"/>
          <w:spacing w:val="-3"/>
        </w:rPr>
        <w:t xml:space="preserve"> </w:t>
      </w:r>
      <w:r>
        <w:rPr>
          <w:color w:val="221F1F"/>
        </w:rPr>
        <w:t>any</w:t>
      </w:r>
      <w:r>
        <w:rPr>
          <w:color w:val="221F1F"/>
          <w:spacing w:val="-4"/>
        </w:rPr>
        <w:t xml:space="preserve"> </w:t>
      </w:r>
      <w:r>
        <w:rPr>
          <w:color w:val="221F1F"/>
        </w:rPr>
        <w:t>public entity or Government, and;</w:t>
      </w:r>
    </w:p>
    <w:p w:rsidR="007F6DF9" w:rsidRDefault="00A43FBC">
      <w:pPr>
        <w:pStyle w:val="ListParagraph"/>
        <w:numPr>
          <w:ilvl w:val="0"/>
          <w:numId w:val="229"/>
        </w:numPr>
        <w:tabs>
          <w:tab w:val="left" w:pos="1978"/>
          <w:tab w:val="left" w:pos="1982"/>
        </w:tabs>
        <w:spacing w:before="73" w:line="230" w:lineRule="auto"/>
        <w:ind w:right="992"/>
        <w:jc w:val="both"/>
      </w:pPr>
      <w:r>
        <w:rPr>
          <w:color w:val="221F1F"/>
        </w:rPr>
        <w:t>operating</w:t>
      </w:r>
      <w:r>
        <w:rPr>
          <w:color w:val="221F1F"/>
          <w:spacing w:val="-1"/>
        </w:rPr>
        <w:t xml:space="preserve"> </w:t>
      </w:r>
      <w:r>
        <w:rPr>
          <w:color w:val="221F1F"/>
        </w:rPr>
        <w:t>under</w:t>
      </w:r>
      <w:r>
        <w:rPr>
          <w:color w:val="221F1F"/>
          <w:spacing w:val="-3"/>
        </w:rPr>
        <w:t xml:space="preserve"> </w:t>
      </w:r>
      <w:r>
        <w:rPr>
          <w:color w:val="221F1F"/>
        </w:rPr>
        <w:t>commercial law</w:t>
      </w:r>
      <w:r>
        <w:rPr>
          <w:color w:val="221F1F"/>
          <w:spacing w:val="-4"/>
        </w:rPr>
        <w:t xml:space="preserve"> </w:t>
      </w:r>
      <w:r>
        <w:rPr>
          <w:color w:val="221F1F"/>
        </w:rPr>
        <w:t>and</w:t>
      </w:r>
      <w:r>
        <w:rPr>
          <w:color w:val="221F1F"/>
          <w:spacing w:val="-1"/>
        </w:rPr>
        <w:t xml:space="preserve"> </w:t>
      </w:r>
      <w:r>
        <w:rPr>
          <w:color w:val="221F1F"/>
        </w:rPr>
        <w:t>vested</w:t>
      </w:r>
      <w:r>
        <w:rPr>
          <w:color w:val="221F1F"/>
          <w:spacing w:val="-1"/>
        </w:rPr>
        <w:t xml:space="preserve"> </w:t>
      </w:r>
      <w:r>
        <w:rPr>
          <w:color w:val="221F1F"/>
        </w:rPr>
        <w:t>with</w:t>
      </w:r>
      <w:r>
        <w:rPr>
          <w:color w:val="221F1F"/>
          <w:spacing w:val="-4"/>
        </w:rPr>
        <w:t xml:space="preserve"> </w:t>
      </w:r>
      <w:r>
        <w:rPr>
          <w:color w:val="221F1F"/>
        </w:rPr>
        <w:t>legal</w:t>
      </w:r>
      <w:r>
        <w:rPr>
          <w:color w:val="221F1F"/>
          <w:spacing w:val="-3"/>
        </w:rPr>
        <w:t xml:space="preserve"> </w:t>
      </w:r>
      <w:r>
        <w:rPr>
          <w:color w:val="221F1F"/>
        </w:rPr>
        <w:t>rights</w:t>
      </w:r>
      <w:r>
        <w:rPr>
          <w:color w:val="221F1F"/>
          <w:spacing w:val="-3"/>
        </w:rPr>
        <w:t xml:space="preserve"> </w:t>
      </w:r>
      <w:r>
        <w:rPr>
          <w:color w:val="221F1F"/>
        </w:rPr>
        <w:t>and</w:t>
      </w:r>
      <w:r>
        <w:rPr>
          <w:color w:val="221F1F"/>
          <w:spacing w:val="-3"/>
        </w:rPr>
        <w:t xml:space="preserve"> </w:t>
      </w:r>
      <w:r>
        <w:rPr>
          <w:color w:val="221F1F"/>
        </w:rPr>
        <w:t>liabilities</w:t>
      </w:r>
      <w:r>
        <w:rPr>
          <w:color w:val="221F1F"/>
          <w:spacing w:val="-1"/>
        </w:rPr>
        <w:t xml:space="preserve"> </w:t>
      </w:r>
      <w:r>
        <w:rPr>
          <w:color w:val="221F1F"/>
        </w:rPr>
        <w:t>similar</w:t>
      </w:r>
      <w:r>
        <w:rPr>
          <w:color w:val="221F1F"/>
          <w:spacing w:val="-2"/>
        </w:rPr>
        <w:t xml:space="preserve"> </w:t>
      </w:r>
      <w:r>
        <w:rPr>
          <w:color w:val="221F1F"/>
        </w:rPr>
        <w:t>to</w:t>
      </w:r>
      <w:r>
        <w:rPr>
          <w:color w:val="221F1F"/>
          <w:spacing w:val="-1"/>
        </w:rPr>
        <w:t xml:space="preserve"> </w:t>
      </w:r>
      <w:r>
        <w:rPr>
          <w:color w:val="221F1F"/>
        </w:rPr>
        <w:t>any</w:t>
      </w:r>
      <w:r>
        <w:rPr>
          <w:color w:val="221F1F"/>
          <w:spacing w:val="-3"/>
        </w:rPr>
        <w:t xml:space="preserve"> </w:t>
      </w:r>
      <w:r>
        <w:rPr>
          <w:color w:val="221F1F"/>
        </w:rPr>
        <w:t xml:space="preserve">commercial </w:t>
      </w:r>
      <w:r>
        <w:rPr>
          <w:color w:val="221F1F"/>
          <w:spacing w:val="-2"/>
        </w:rPr>
        <w:t>enterprisetoenableitcompetewithfirmsintheprivatesectoronanequalbasis.</w:t>
      </w:r>
    </w:p>
    <w:p w:rsidR="007F6DF9" w:rsidRDefault="00A43FBC">
      <w:pPr>
        <w:pStyle w:val="ListParagraph"/>
        <w:numPr>
          <w:ilvl w:val="1"/>
          <w:numId w:val="231"/>
        </w:numPr>
        <w:tabs>
          <w:tab w:val="left" w:pos="1415"/>
        </w:tabs>
        <w:spacing w:before="236"/>
        <w:ind w:left="1415" w:hanging="566"/>
        <w:jc w:val="both"/>
        <w:rPr>
          <w:b/>
          <w:color w:val="221F1F"/>
        </w:rPr>
      </w:pPr>
      <w:r>
        <w:rPr>
          <w:color w:val="221F1F"/>
        </w:rPr>
        <w:t>Firms</w:t>
      </w:r>
      <w:r>
        <w:rPr>
          <w:color w:val="221F1F"/>
          <w:spacing w:val="-3"/>
        </w:rPr>
        <w:t xml:space="preserve"> </w:t>
      </w:r>
      <w:r>
        <w:rPr>
          <w:color w:val="221F1F"/>
        </w:rPr>
        <w:t>and</w:t>
      </w:r>
      <w:r>
        <w:rPr>
          <w:color w:val="221F1F"/>
          <w:spacing w:val="-3"/>
        </w:rPr>
        <w:t xml:space="preserve"> </w:t>
      </w:r>
      <w:r>
        <w:rPr>
          <w:color w:val="221F1F"/>
        </w:rPr>
        <w:t>individuals</w:t>
      </w:r>
      <w:r>
        <w:rPr>
          <w:color w:val="221F1F"/>
          <w:spacing w:val="-3"/>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ineligible</w:t>
      </w:r>
      <w:r>
        <w:rPr>
          <w:color w:val="221F1F"/>
          <w:spacing w:val="-3"/>
        </w:rPr>
        <w:t xml:space="preserve"> </w:t>
      </w:r>
      <w:r>
        <w:rPr>
          <w:color w:val="221F1F"/>
        </w:rPr>
        <w:t>if</w:t>
      </w:r>
      <w:r>
        <w:rPr>
          <w:color w:val="221F1F"/>
          <w:spacing w:val="-5"/>
        </w:rPr>
        <w:t xml:space="preserve"> </w:t>
      </w:r>
      <w:r>
        <w:rPr>
          <w:color w:val="221F1F"/>
        </w:rPr>
        <w:t>their</w:t>
      </w:r>
      <w:r>
        <w:rPr>
          <w:color w:val="221F1F"/>
          <w:spacing w:val="-4"/>
        </w:rPr>
        <w:t xml:space="preserve"> </w:t>
      </w:r>
      <w:r>
        <w:rPr>
          <w:color w:val="221F1F"/>
        </w:rPr>
        <w:t>countries</w:t>
      </w:r>
      <w:r>
        <w:rPr>
          <w:color w:val="221F1F"/>
          <w:spacing w:val="-1"/>
        </w:rPr>
        <w:t xml:space="preserve"> </w:t>
      </w:r>
      <w:r>
        <w:rPr>
          <w:color w:val="221F1F"/>
        </w:rPr>
        <w:t>of</w:t>
      </w:r>
      <w:r>
        <w:rPr>
          <w:color w:val="221F1F"/>
          <w:spacing w:val="-5"/>
        </w:rPr>
        <w:t xml:space="preserve"> </w:t>
      </w:r>
      <w:r>
        <w:rPr>
          <w:color w:val="221F1F"/>
        </w:rPr>
        <w:t>origin</w:t>
      </w:r>
      <w:r>
        <w:rPr>
          <w:color w:val="221F1F"/>
          <w:spacing w:val="-4"/>
        </w:rPr>
        <w:t xml:space="preserve"> are:</w:t>
      </w:r>
    </w:p>
    <w:p w:rsidR="007F6DF9" w:rsidRDefault="00A43FBC">
      <w:pPr>
        <w:pStyle w:val="ListParagraph"/>
        <w:numPr>
          <w:ilvl w:val="0"/>
          <w:numId w:val="228"/>
        </w:numPr>
        <w:tabs>
          <w:tab w:val="left" w:pos="1981"/>
        </w:tabs>
        <w:spacing w:before="64"/>
        <w:ind w:left="1981" w:hanging="565"/>
        <w:jc w:val="both"/>
      </w:pPr>
      <w:r>
        <w:rPr>
          <w:color w:val="221F1F"/>
        </w:rPr>
        <w:t>As</w:t>
      </w:r>
      <w:r>
        <w:rPr>
          <w:color w:val="221F1F"/>
          <w:spacing w:val="-5"/>
        </w:rPr>
        <w:t xml:space="preserve"> </w:t>
      </w:r>
      <w:r>
        <w:rPr>
          <w:color w:val="221F1F"/>
        </w:rPr>
        <w:t>a</w:t>
      </w:r>
      <w:r>
        <w:rPr>
          <w:color w:val="221F1F"/>
          <w:spacing w:val="-4"/>
        </w:rPr>
        <w:t xml:space="preserve"> </w:t>
      </w:r>
      <w:r>
        <w:rPr>
          <w:color w:val="221F1F"/>
        </w:rPr>
        <w:t>matter</w:t>
      </w:r>
      <w:r>
        <w:rPr>
          <w:color w:val="221F1F"/>
          <w:spacing w:val="-6"/>
        </w:rPr>
        <w:t xml:space="preserve"> </w:t>
      </w:r>
      <w:r>
        <w:rPr>
          <w:color w:val="221F1F"/>
        </w:rPr>
        <w:t>of</w:t>
      </w:r>
      <w:r>
        <w:rPr>
          <w:color w:val="221F1F"/>
          <w:spacing w:val="-6"/>
        </w:rPr>
        <w:t xml:space="preserve"> </w:t>
      </w:r>
      <w:r>
        <w:rPr>
          <w:color w:val="221F1F"/>
        </w:rPr>
        <w:t>law</w:t>
      </w:r>
      <w:r>
        <w:rPr>
          <w:color w:val="221F1F"/>
          <w:spacing w:val="-5"/>
        </w:rPr>
        <w:t xml:space="preserve"> </w:t>
      </w:r>
      <w:r>
        <w:rPr>
          <w:color w:val="221F1F"/>
        </w:rPr>
        <w:t>or</w:t>
      </w:r>
      <w:r>
        <w:rPr>
          <w:color w:val="221F1F"/>
          <w:spacing w:val="-3"/>
        </w:rPr>
        <w:t xml:space="preserve"> </w:t>
      </w:r>
      <w:r>
        <w:rPr>
          <w:color w:val="221F1F"/>
        </w:rPr>
        <w:t>official</w:t>
      </w:r>
      <w:r>
        <w:rPr>
          <w:color w:val="221F1F"/>
          <w:spacing w:val="-3"/>
        </w:rPr>
        <w:t xml:space="preserve"> </w:t>
      </w:r>
      <w:r>
        <w:rPr>
          <w:color w:val="221F1F"/>
        </w:rPr>
        <w:t>regulations,</w:t>
      </w:r>
      <w:r>
        <w:rPr>
          <w:color w:val="221F1F"/>
          <w:spacing w:val="-3"/>
        </w:rPr>
        <w:t xml:space="preserve"> </w:t>
      </w:r>
      <w:r>
        <w:rPr>
          <w:color w:val="221F1F"/>
        </w:rPr>
        <w:t>Kenya</w:t>
      </w:r>
      <w:r>
        <w:rPr>
          <w:color w:val="221F1F"/>
          <w:spacing w:val="-6"/>
        </w:rPr>
        <w:t xml:space="preserve"> </w:t>
      </w:r>
      <w:r>
        <w:rPr>
          <w:color w:val="221F1F"/>
        </w:rPr>
        <w:t>prohibits</w:t>
      </w:r>
      <w:r>
        <w:rPr>
          <w:color w:val="221F1F"/>
          <w:spacing w:val="-3"/>
        </w:rPr>
        <w:t xml:space="preserve"> </w:t>
      </w:r>
      <w:r>
        <w:rPr>
          <w:color w:val="221F1F"/>
        </w:rPr>
        <w:t>commercial</w:t>
      </w:r>
      <w:r>
        <w:rPr>
          <w:color w:val="221F1F"/>
          <w:spacing w:val="-5"/>
        </w:rPr>
        <w:t xml:space="preserve"> </w:t>
      </w:r>
      <w:r>
        <w:rPr>
          <w:color w:val="221F1F"/>
        </w:rPr>
        <w:t>relations</w:t>
      </w:r>
      <w:r>
        <w:rPr>
          <w:color w:val="221F1F"/>
          <w:spacing w:val="-4"/>
        </w:rPr>
        <w:t xml:space="preserve"> </w:t>
      </w:r>
      <w:r>
        <w:rPr>
          <w:color w:val="221F1F"/>
        </w:rPr>
        <w:t>with</w:t>
      </w:r>
      <w:r>
        <w:rPr>
          <w:color w:val="221F1F"/>
          <w:spacing w:val="-6"/>
        </w:rPr>
        <w:t xml:space="preserve"> </w:t>
      </w:r>
      <w:r>
        <w:rPr>
          <w:color w:val="221F1F"/>
        </w:rPr>
        <w:t>that</w:t>
      </w:r>
      <w:r>
        <w:rPr>
          <w:color w:val="221F1F"/>
          <w:spacing w:val="-4"/>
        </w:rPr>
        <w:t xml:space="preserve"> </w:t>
      </w:r>
      <w:r>
        <w:rPr>
          <w:color w:val="221F1F"/>
          <w:spacing w:val="-2"/>
        </w:rPr>
        <w:t>country;</w:t>
      </w:r>
    </w:p>
    <w:p w:rsidR="007F6DF9" w:rsidRDefault="00A43FBC">
      <w:pPr>
        <w:pStyle w:val="ListParagraph"/>
        <w:numPr>
          <w:ilvl w:val="0"/>
          <w:numId w:val="228"/>
        </w:numPr>
        <w:tabs>
          <w:tab w:val="left" w:pos="1980"/>
          <w:tab w:val="left" w:pos="1982"/>
        </w:tabs>
        <w:spacing w:before="72" w:line="230" w:lineRule="auto"/>
        <w:ind w:right="844"/>
        <w:jc w:val="both"/>
      </w:pPr>
      <w:proofErr w:type="spellStart"/>
      <w:r>
        <w:rPr>
          <w:color w:val="221F1F"/>
        </w:rPr>
        <w:t>byanactofcompliancewith</w:t>
      </w:r>
      <w:proofErr w:type="spellEnd"/>
      <w:r>
        <w:rPr>
          <w:color w:val="221F1F"/>
          <w:spacing w:val="-7"/>
        </w:rPr>
        <w:t xml:space="preserve"> </w:t>
      </w:r>
      <w:r>
        <w:rPr>
          <w:color w:val="221F1F"/>
        </w:rPr>
        <w:t>a</w:t>
      </w:r>
      <w:r>
        <w:rPr>
          <w:color w:val="221F1F"/>
          <w:spacing w:val="-9"/>
        </w:rPr>
        <w:t xml:space="preserve"> </w:t>
      </w:r>
      <w:r>
        <w:rPr>
          <w:color w:val="221F1F"/>
        </w:rPr>
        <w:t>decision</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United</w:t>
      </w:r>
      <w:r>
        <w:rPr>
          <w:color w:val="221F1F"/>
          <w:spacing w:val="-6"/>
        </w:rPr>
        <w:t xml:space="preserve"> </w:t>
      </w:r>
      <w:r>
        <w:rPr>
          <w:color w:val="221F1F"/>
        </w:rPr>
        <w:t>Nations</w:t>
      </w:r>
      <w:r>
        <w:rPr>
          <w:color w:val="221F1F"/>
          <w:spacing w:val="-6"/>
        </w:rPr>
        <w:t xml:space="preserve"> </w:t>
      </w:r>
      <w:r>
        <w:rPr>
          <w:color w:val="221F1F"/>
        </w:rPr>
        <w:t>Security</w:t>
      </w:r>
      <w:r>
        <w:rPr>
          <w:color w:val="221F1F"/>
          <w:spacing w:val="-9"/>
        </w:rPr>
        <w:t xml:space="preserve"> </w:t>
      </w:r>
      <w:r>
        <w:rPr>
          <w:color w:val="221F1F"/>
        </w:rPr>
        <w:t>Council</w:t>
      </w:r>
      <w:r>
        <w:rPr>
          <w:color w:val="221F1F"/>
          <w:spacing w:val="-8"/>
        </w:rPr>
        <w:t xml:space="preserve"> </w:t>
      </w:r>
      <w:r>
        <w:rPr>
          <w:color w:val="221F1F"/>
        </w:rPr>
        <w:t>taken</w:t>
      </w:r>
      <w:r>
        <w:rPr>
          <w:color w:val="221F1F"/>
          <w:spacing w:val="-8"/>
        </w:rPr>
        <w:t xml:space="preserve"> </w:t>
      </w:r>
      <w:r>
        <w:rPr>
          <w:color w:val="221F1F"/>
        </w:rPr>
        <w:t>under</w:t>
      </w:r>
      <w:r>
        <w:rPr>
          <w:color w:val="221F1F"/>
          <w:spacing w:val="-8"/>
        </w:rPr>
        <w:t xml:space="preserve"> </w:t>
      </w:r>
      <w:r>
        <w:rPr>
          <w:color w:val="221F1F"/>
        </w:rPr>
        <w:t>Chapter</w:t>
      </w:r>
      <w:r>
        <w:rPr>
          <w:color w:val="221F1F"/>
          <w:spacing w:val="-8"/>
        </w:rPr>
        <w:t xml:space="preserve"> </w:t>
      </w:r>
      <w:r>
        <w:rPr>
          <w:color w:val="221F1F"/>
        </w:rPr>
        <w:t>VII</w:t>
      </w:r>
      <w:r>
        <w:rPr>
          <w:color w:val="221F1F"/>
          <w:spacing w:val="-9"/>
        </w:rPr>
        <w:t xml:space="preserve"> </w:t>
      </w:r>
      <w:r>
        <w:rPr>
          <w:color w:val="221F1F"/>
        </w:rPr>
        <w:t xml:space="preserve">of </w:t>
      </w:r>
      <w:proofErr w:type="spellStart"/>
      <w:r>
        <w:rPr>
          <w:color w:val="221F1F"/>
        </w:rPr>
        <w:t>theCharterof</w:t>
      </w:r>
      <w:proofErr w:type="spellEnd"/>
      <w:r>
        <w:rPr>
          <w:color w:val="221F1F"/>
        </w:rPr>
        <w:t xml:space="preserve"> the United Nations, Kenya prohibits any import of goods or contracting of works or services from that country, or any payments to any country, person, or entity in that country.</w:t>
      </w:r>
    </w:p>
    <w:p w:rsidR="007F6DF9" w:rsidRDefault="007F6DF9">
      <w:pPr>
        <w:pStyle w:val="ListParagraph"/>
        <w:spacing w:line="230" w:lineRule="auto"/>
        <w:jc w:val="both"/>
        <w:sectPr w:rsidR="007F6DF9">
          <w:pgSz w:w="11920" w:h="16850"/>
          <w:pgMar w:top="360" w:right="0" w:bottom="620" w:left="0" w:header="0" w:footer="437" w:gutter="0"/>
          <w:cols w:space="720"/>
        </w:sectPr>
      </w:pPr>
    </w:p>
    <w:p w:rsidR="007F6DF9" w:rsidRDefault="007F6DF9">
      <w:pPr>
        <w:pStyle w:val="BodyText"/>
      </w:pPr>
    </w:p>
    <w:p w:rsidR="007F6DF9" w:rsidRDefault="007F6DF9">
      <w:pPr>
        <w:pStyle w:val="BodyText"/>
        <w:spacing w:before="214"/>
      </w:pPr>
    </w:p>
    <w:p w:rsidR="007F6DF9" w:rsidRDefault="00A43FBC">
      <w:pPr>
        <w:pStyle w:val="BodyText"/>
        <w:spacing w:line="230" w:lineRule="auto"/>
        <w:ind w:left="1961" w:right="651" w:hanging="8"/>
      </w:pPr>
      <w:r>
        <w:rPr>
          <w:color w:val="221F1F"/>
        </w:rPr>
        <w:t>A</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3"/>
        </w:rPr>
        <w:t xml:space="preserve"> </w:t>
      </w:r>
      <w:r>
        <w:rPr>
          <w:color w:val="221F1F"/>
        </w:rPr>
        <w:t>provide</w:t>
      </w:r>
      <w:r>
        <w:rPr>
          <w:color w:val="221F1F"/>
          <w:spacing w:val="-4"/>
        </w:rPr>
        <w:t xml:space="preserve"> </w:t>
      </w:r>
      <w:r>
        <w:rPr>
          <w:color w:val="221F1F"/>
        </w:rPr>
        <w:t>such</w:t>
      </w:r>
      <w:r>
        <w:rPr>
          <w:color w:val="221F1F"/>
          <w:spacing w:val="-4"/>
        </w:rPr>
        <w:t xml:space="preserve"> </w:t>
      </w:r>
      <w:r>
        <w:rPr>
          <w:color w:val="221F1F"/>
        </w:rPr>
        <w:t>documentary</w:t>
      </w:r>
      <w:r>
        <w:rPr>
          <w:color w:val="221F1F"/>
          <w:spacing w:val="-4"/>
        </w:rPr>
        <w:t xml:space="preserve"> </w:t>
      </w:r>
      <w:r>
        <w:rPr>
          <w:color w:val="221F1F"/>
        </w:rPr>
        <w:t>evidence</w:t>
      </w:r>
      <w:r>
        <w:rPr>
          <w:color w:val="221F1F"/>
          <w:spacing w:val="-6"/>
        </w:rPr>
        <w:t xml:space="preserve"> </w:t>
      </w:r>
      <w:r>
        <w:rPr>
          <w:color w:val="221F1F"/>
        </w:rPr>
        <w:t>of</w:t>
      </w:r>
      <w:r>
        <w:rPr>
          <w:color w:val="221F1F"/>
          <w:spacing w:val="-4"/>
        </w:rPr>
        <w:t xml:space="preserve"> </w:t>
      </w:r>
      <w:r>
        <w:rPr>
          <w:color w:val="221F1F"/>
        </w:rPr>
        <w:t>eligibility</w:t>
      </w:r>
      <w:r>
        <w:rPr>
          <w:color w:val="221F1F"/>
          <w:spacing w:val="-4"/>
        </w:rPr>
        <w:t xml:space="preserve"> </w:t>
      </w:r>
      <w:r>
        <w:rPr>
          <w:color w:val="221F1F"/>
        </w:rPr>
        <w:t>satisfactory</w:t>
      </w:r>
      <w:r>
        <w:rPr>
          <w:color w:val="221F1F"/>
          <w:spacing w:val="-4"/>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Procuring Entity,</w:t>
      </w:r>
      <w:r>
        <w:rPr>
          <w:color w:val="221F1F"/>
          <w:spacing w:val="-8"/>
        </w:rPr>
        <w:t xml:space="preserve"> </w:t>
      </w:r>
      <w:r>
        <w:rPr>
          <w:color w:val="221F1F"/>
        </w:rPr>
        <w:t>as the Procuring Entity shall reasonably request.</w:t>
      </w:r>
    </w:p>
    <w:p w:rsidR="007F6DF9" w:rsidRDefault="00A43FBC">
      <w:pPr>
        <w:pStyle w:val="ListParagraph"/>
        <w:numPr>
          <w:ilvl w:val="1"/>
          <w:numId w:val="231"/>
        </w:numPr>
        <w:tabs>
          <w:tab w:val="left" w:pos="1417"/>
          <w:tab w:val="left" w:pos="1421"/>
        </w:tabs>
        <w:spacing w:before="158" w:line="230" w:lineRule="auto"/>
        <w:ind w:left="1421" w:right="831" w:hanging="572"/>
        <w:jc w:val="both"/>
        <w:rPr>
          <w:b/>
          <w:color w:val="221F1F"/>
        </w:rPr>
      </w:pPr>
      <w:r>
        <w:rPr>
          <w:color w:val="221F1F"/>
        </w:rPr>
        <w:t>Foreign</w:t>
      </w:r>
      <w:r>
        <w:rPr>
          <w:color w:val="221F1F"/>
          <w:spacing w:val="-1"/>
        </w:rPr>
        <w:t xml:space="preserve"> </w:t>
      </w:r>
      <w:r>
        <w:rPr>
          <w:color w:val="221F1F"/>
        </w:rPr>
        <w:t>tenderers</w:t>
      </w:r>
      <w:r>
        <w:rPr>
          <w:color w:val="221F1F"/>
          <w:spacing w:val="-1"/>
        </w:rPr>
        <w:t xml:space="preserve"> </w:t>
      </w:r>
      <w:r>
        <w:rPr>
          <w:color w:val="221F1F"/>
        </w:rPr>
        <w:t>are</w:t>
      </w:r>
      <w:r>
        <w:rPr>
          <w:color w:val="221F1F"/>
          <w:spacing w:val="-1"/>
        </w:rPr>
        <w:t xml:space="preserve"> </w:t>
      </w:r>
      <w:r>
        <w:rPr>
          <w:color w:val="221F1F"/>
        </w:rPr>
        <w:t>required</w:t>
      </w:r>
      <w:r>
        <w:rPr>
          <w:color w:val="221F1F"/>
          <w:spacing w:val="-1"/>
        </w:rPr>
        <w:t xml:space="preserve"> </w:t>
      </w:r>
      <w:r>
        <w:rPr>
          <w:color w:val="221F1F"/>
        </w:rPr>
        <w:t>to</w:t>
      </w:r>
      <w:r>
        <w:rPr>
          <w:color w:val="221F1F"/>
          <w:spacing w:val="-1"/>
        </w:rPr>
        <w:t xml:space="preserve"> </w:t>
      </w:r>
      <w:r>
        <w:rPr>
          <w:color w:val="221F1F"/>
        </w:rPr>
        <w:t>source</w:t>
      </w:r>
      <w:r>
        <w:rPr>
          <w:color w:val="221F1F"/>
          <w:spacing w:val="-3"/>
        </w:rPr>
        <w:t xml:space="preserve"> </w:t>
      </w:r>
      <w:r>
        <w:rPr>
          <w:color w:val="221F1F"/>
        </w:rPr>
        <w:t>at least forty</w:t>
      </w:r>
      <w:r>
        <w:rPr>
          <w:color w:val="221F1F"/>
          <w:spacing w:val="-4"/>
        </w:rPr>
        <w:t xml:space="preserve"> </w:t>
      </w:r>
      <w:r>
        <w:rPr>
          <w:color w:val="221F1F"/>
        </w:rPr>
        <w:t>(40%)</w:t>
      </w:r>
      <w:r>
        <w:rPr>
          <w:color w:val="221F1F"/>
          <w:spacing w:val="-1"/>
        </w:rPr>
        <w:t xml:space="preserve"> </w:t>
      </w:r>
      <w:r>
        <w:rPr>
          <w:color w:val="221F1F"/>
        </w:rPr>
        <w:t>percent of</w:t>
      </w:r>
      <w:r>
        <w:rPr>
          <w:color w:val="221F1F"/>
          <w:spacing w:val="-1"/>
        </w:rPr>
        <w:t xml:space="preserve"> </w:t>
      </w:r>
      <w:r>
        <w:rPr>
          <w:color w:val="221F1F"/>
        </w:rPr>
        <w:t>their</w:t>
      </w:r>
      <w:r>
        <w:rPr>
          <w:color w:val="221F1F"/>
          <w:spacing w:val="-1"/>
        </w:rPr>
        <w:t xml:space="preserve"> </w:t>
      </w:r>
      <w:r>
        <w:rPr>
          <w:color w:val="221F1F"/>
        </w:rPr>
        <w:t>contract inputs</w:t>
      </w:r>
      <w:r>
        <w:rPr>
          <w:color w:val="221F1F"/>
          <w:spacing w:val="-1"/>
        </w:rPr>
        <w:t xml:space="preserve"> </w:t>
      </w:r>
      <w:r>
        <w:rPr>
          <w:color w:val="221F1F"/>
        </w:rPr>
        <w:t>(in</w:t>
      </w:r>
      <w:r>
        <w:rPr>
          <w:color w:val="221F1F"/>
          <w:spacing w:val="-1"/>
        </w:rPr>
        <w:t xml:space="preserve"> </w:t>
      </w:r>
      <w:r>
        <w:rPr>
          <w:color w:val="221F1F"/>
        </w:rPr>
        <w:t>supplies,</w:t>
      </w:r>
      <w:r>
        <w:rPr>
          <w:color w:val="221F1F"/>
          <w:spacing w:val="-1"/>
        </w:rPr>
        <w:t xml:space="preserve"> </w:t>
      </w:r>
      <w:r>
        <w:rPr>
          <w:color w:val="221F1F"/>
        </w:rPr>
        <w:t>local sub-contracts</w:t>
      </w:r>
      <w:r>
        <w:rPr>
          <w:color w:val="221F1F"/>
          <w:spacing w:val="-8"/>
        </w:rPr>
        <w:t xml:space="preserve"> </w:t>
      </w:r>
      <w:r>
        <w:rPr>
          <w:color w:val="221F1F"/>
        </w:rPr>
        <w:t>and</w:t>
      </w:r>
      <w:r>
        <w:rPr>
          <w:color w:val="221F1F"/>
          <w:spacing w:val="-5"/>
        </w:rPr>
        <w:t xml:space="preserve"> </w:t>
      </w:r>
      <w:r>
        <w:rPr>
          <w:color w:val="221F1F"/>
        </w:rPr>
        <w:t>labor)</w:t>
      </w:r>
      <w:r>
        <w:rPr>
          <w:color w:val="221F1F"/>
          <w:spacing w:val="-4"/>
        </w:rPr>
        <w:t xml:space="preserve"> </w:t>
      </w:r>
      <w:r>
        <w:rPr>
          <w:color w:val="221F1F"/>
        </w:rPr>
        <w:t>from</w:t>
      </w:r>
      <w:r>
        <w:rPr>
          <w:color w:val="221F1F"/>
          <w:spacing w:val="-3"/>
        </w:rPr>
        <w:t xml:space="preserve"> </w:t>
      </w:r>
      <w:r>
        <w:rPr>
          <w:color w:val="221F1F"/>
        </w:rPr>
        <w:t>citizen</w:t>
      </w:r>
      <w:r>
        <w:rPr>
          <w:color w:val="221F1F"/>
          <w:spacing w:val="-4"/>
        </w:rPr>
        <w:t xml:space="preserve"> </w:t>
      </w:r>
      <w:r>
        <w:rPr>
          <w:color w:val="221F1F"/>
        </w:rPr>
        <w:t>suppliers</w:t>
      </w:r>
      <w:r>
        <w:rPr>
          <w:color w:val="221F1F"/>
          <w:spacing w:val="-4"/>
        </w:rPr>
        <w:t xml:space="preserve"> </w:t>
      </w:r>
      <w:r>
        <w:rPr>
          <w:color w:val="221F1F"/>
        </w:rPr>
        <w:t>and</w:t>
      </w:r>
      <w:r>
        <w:rPr>
          <w:color w:val="221F1F"/>
          <w:spacing w:val="-7"/>
        </w:rPr>
        <w:t xml:space="preserve"> </w:t>
      </w:r>
      <w:r>
        <w:rPr>
          <w:color w:val="221F1F"/>
        </w:rPr>
        <w:t>contractors.</w:t>
      </w:r>
      <w:r>
        <w:rPr>
          <w:color w:val="221F1F"/>
          <w:spacing w:val="-3"/>
        </w:rPr>
        <w:t xml:space="preserve"> </w:t>
      </w:r>
      <w:r>
        <w:rPr>
          <w:color w:val="221F1F"/>
        </w:rPr>
        <w:t>To</w:t>
      </w:r>
      <w:r>
        <w:rPr>
          <w:color w:val="221F1F"/>
          <w:spacing w:val="-14"/>
        </w:rPr>
        <w:t xml:space="preserve"> </w:t>
      </w:r>
      <w:r>
        <w:rPr>
          <w:color w:val="221F1F"/>
        </w:rPr>
        <w:t>this</w:t>
      </w:r>
      <w:r>
        <w:rPr>
          <w:color w:val="221F1F"/>
          <w:spacing w:val="-6"/>
        </w:rPr>
        <w:t xml:space="preserve"> </w:t>
      </w:r>
      <w:r>
        <w:rPr>
          <w:color w:val="221F1F"/>
        </w:rPr>
        <w:t>end,</w:t>
      </w:r>
      <w:r>
        <w:rPr>
          <w:color w:val="221F1F"/>
          <w:spacing w:val="-4"/>
        </w:rPr>
        <w:t xml:space="preserve"> </w:t>
      </w:r>
      <w:r>
        <w:rPr>
          <w:color w:val="221F1F"/>
        </w:rPr>
        <w:t>a</w:t>
      </w:r>
      <w:r>
        <w:rPr>
          <w:color w:val="221F1F"/>
          <w:spacing w:val="-4"/>
        </w:rPr>
        <w:t xml:space="preserve"> </w:t>
      </w:r>
      <w:r>
        <w:rPr>
          <w:color w:val="221F1F"/>
        </w:rPr>
        <w:t>foreign</w:t>
      </w:r>
      <w:r>
        <w:rPr>
          <w:color w:val="221F1F"/>
          <w:spacing w:val="-4"/>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provide</w:t>
      </w:r>
      <w:r>
        <w:rPr>
          <w:color w:val="221F1F"/>
          <w:spacing w:val="-6"/>
        </w:rPr>
        <w:t xml:space="preserve"> </w:t>
      </w:r>
      <w:r>
        <w:rPr>
          <w:color w:val="221F1F"/>
        </w:rPr>
        <w:t>in its</w:t>
      </w:r>
      <w:r>
        <w:rPr>
          <w:color w:val="221F1F"/>
          <w:spacing w:val="-3"/>
        </w:rPr>
        <w:t xml:space="preserve"> </w:t>
      </w:r>
      <w:r>
        <w:rPr>
          <w:color w:val="221F1F"/>
        </w:rPr>
        <w:t>tender documentary</w:t>
      </w:r>
      <w:r>
        <w:rPr>
          <w:color w:val="221F1F"/>
          <w:spacing w:val="-4"/>
        </w:rPr>
        <w:t xml:space="preserve"> </w:t>
      </w:r>
      <w:r>
        <w:rPr>
          <w:color w:val="221F1F"/>
        </w:rPr>
        <w:t>evidence</w:t>
      </w:r>
      <w:r>
        <w:rPr>
          <w:color w:val="221F1F"/>
          <w:spacing w:val="-1"/>
        </w:rPr>
        <w:t xml:space="preserve"> </w:t>
      </w:r>
      <w:r>
        <w:rPr>
          <w:color w:val="221F1F"/>
        </w:rPr>
        <w:t>that</w:t>
      </w:r>
      <w:r>
        <w:rPr>
          <w:color w:val="221F1F"/>
          <w:spacing w:val="-3"/>
        </w:rPr>
        <w:t xml:space="preserve"> </w:t>
      </w:r>
      <w:r>
        <w:rPr>
          <w:color w:val="221F1F"/>
        </w:rPr>
        <w:t>this</w:t>
      </w:r>
      <w:r>
        <w:rPr>
          <w:color w:val="221F1F"/>
          <w:spacing w:val="-1"/>
        </w:rPr>
        <w:t xml:space="preserve"> </w:t>
      </w:r>
      <w:r>
        <w:rPr>
          <w:color w:val="221F1F"/>
        </w:rPr>
        <w:t>requirement is</w:t>
      </w:r>
      <w:r>
        <w:rPr>
          <w:color w:val="221F1F"/>
          <w:spacing w:val="-1"/>
        </w:rPr>
        <w:t xml:space="preserve"> </w:t>
      </w:r>
      <w:r>
        <w:rPr>
          <w:color w:val="221F1F"/>
        </w:rPr>
        <w:t>met.</w:t>
      </w:r>
      <w:r>
        <w:rPr>
          <w:color w:val="221F1F"/>
          <w:spacing w:val="-1"/>
        </w:rPr>
        <w:t xml:space="preserve"> </w:t>
      </w:r>
      <w:r>
        <w:rPr>
          <w:color w:val="221F1F"/>
        </w:rPr>
        <w:t>Foreign</w:t>
      </w:r>
      <w:r>
        <w:rPr>
          <w:color w:val="221F1F"/>
          <w:spacing w:val="-4"/>
        </w:rPr>
        <w:t xml:space="preserve"> </w:t>
      </w:r>
      <w:r>
        <w:rPr>
          <w:color w:val="221F1F"/>
        </w:rPr>
        <w:t>tenderers</w:t>
      </w:r>
      <w:r>
        <w:rPr>
          <w:color w:val="221F1F"/>
          <w:spacing w:val="-1"/>
        </w:rPr>
        <w:t xml:space="preserve"> </w:t>
      </w:r>
      <w:r>
        <w:rPr>
          <w:color w:val="221F1F"/>
        </w:rPr>
        <w:t>not meeting</w:t>
      </w:r>
      <w:r>
        <w:rPr>
          <w:color w:val="221F1F"/>
          <w:spacing w:val="-1"/>
        </w:rPr>
        <w:t xml:space="preserve"> </w:t>
      </w:r>
      <w:r>
        <w:rPr>
          <w:color w:val="221F1F"/>
        </w:rPr>
        <w:t>this</w:t>
      </w:r>
      <w:r>
        <w:rPr>
          <w:color w:val="221F1F"/>
          <w:spacing w:val="-3"/>
        </w:rPr>
        <w:t xml:space="preserve"> </w:t>
      </w:r>
      <w:r>
        <w:rPr>
          <w:color w:val="221F1F"/>
        </w:rPr>
        <w:t>criterion</w:t>
      </w:r>
      <w:r>
        <w:rPr>
          <w:color w:val="221F1F"/>
          <w:spacing w:val="-1"/>
        </w:rPr>
        <w:t xml:space="preserve"> </w:t>
      </w:r>
      <w:r>
        <w:rPr>
          <w:color w:val="221F1F"/>
        </w:rPr>
        <w:t>will be automatically disqualified. Information required to enable the Procuring Entity determine if this condition is</w:t>
      </w:r>
      <w:r>
        <w:rPr>
          <w:color w:val="221F1F"/>
          <w:spacing w:val="-14"/>
        </w:rPr>
        <w:t xml:space="preserve"> </w:t>
      </w:r>
      <w:r>
        <w:rPr>
          <w:color w:val="221F1F"/>
        </w:rPr>
        <w:t>met</w:t>
      </w:r>
      <w:r>
        <w:rPr>
          <w:color w:val="221F1F"/>
          <w:spacing w:val="-14"/>
        </w:rPr>
        <w:t xml:space="preserve"> </w:t>
      </w:r>
      <w:r>
        <w:rPr>
          <w:color w:val="221F1F"/>
        </w:rPr>
        <w:t>shall</w:t>
      </w:r>
      <w:r>
        <w:rPr>
          <w:color w:val="221F1F"/>
          <w:spacing w:val="-14"/>
        </w:rPr>
        <w:t xml:space="preserve"> </w:t>
      </w:r>
      <w:r>
        <w:rPr>
          <w:color w:val="221F1F"/>
        </w:rPr>
        <w:t>be</w:t>
      </w:r>
      <w:r>
        <w:rPr>
          <w:color w:val="221F1F"/>
          <w:spacing w:val="-13"/>
        </w:rPr>
        <w:t xml:space="preserve"> </w:t>
      </w:r>
      <w:r>
        <w:rPr>
          <w:color w:val="221F1F"/>
        </w:rPr>
        <w:t>provided</w:t>
      </w:r>
      <w:r>
        <w:rPr>
          <w:color w:val="221F1F"/>
          <w:spacing w:val="-14"/>
        </w:rPr>
        <w:t xml:space="preserve"> </w:t>
      </w:r>
      <w:r>
        <w:rPr>
          <w:color w:val="221F1F"/>
        </w:rPr>
        <w:t>for</w:t>
      </w:r>
      <w:r>
        <w:rPr>
          <w:color w:val="221F1F"/>
          <w:spacing w:val="-14"/>
        </w:rPr>
        <w:t xml:space="preserve"> </w:t>
      </w:r>
      <w:r>
        <w:rPr>
          <w:color w:val="221F1F"/>
        </w:rPr>
        <w:t>this</w:t>
      </w:r>
      <w:r>
        <w:rPr>
          <w:color w:val="221F1F"/>
          <w:spacing w:val="-14"/>
        </w:rPr>
        <w:t xml:space="preserve"> </w:t>
      </w:r>
      <w:r>
        <w:rPr>
          <w:color w:val="221F1F"/>
        </w:rPr>
        <w:t>purpose</w:t>
      </w:r>
      <w:r>
        <w:rPr>
          <w:color w:val="221F1F"/>
          <w:spacing w:val="-13"/>
        </w:rPr>
        <w:t xml:space="preserve"> </w:t>
      </w:r>
      <w:r>
        <w:rPr>
          <w:color w:val="221F1F"/>
        </w:rPr>
        <w:t>in</w:t>
      </w:r>
      <w:r>
        <w:rPr>
          <w:color w:val="221F1F"/>
          <w:spacing w:val="-14"/>
        </w:rPr>
        <w:t xml:space="preserve"> </w:t>
      </w:r>
      <w:r>
        <w:rPr>
          <w:i/>
          <w:color w:val="221F1F"/>
        </w:rPr>
        <w:t>“SECTIONI</w:t>
      </w:r>
      <w:r>
        <w:rPr>
          <w:i/>
          <w:color w:val="221F1F"/>
          <w:spacing w:val="-14"/>
        </w:rPr>
        <w:t xml:space="preserve"> </w:t>
      </w:r>
      <w:r>
        <w:rPr>
          <w:i/>
          <w:color w:val="221F1F"/>
        </w:rPr>
        <w:t>II</w:t>
      </w:r>
      <w:r>
        <w:rPr>
          <w:i/>
          <w:color w:val="221F1F"/>
          <w:spacing w:val="-14"/>
        </w:rPr>
        <w:t xml:space="preserve"> </w:t>
      </w:r>
      <w:r>
        <w:rPr>
          <w:i/>
          <w:color w:val="221F1F"/>
        </w:rPr>
        <w:t>-</w:t>
      </w:r>
      <w:r>
        <w:rPr>
          <w:i/>
          <w:color w:val="221F1F"/>
          <w:spacing w:val="-13"/>
        </w:rPr>
        <w:t xml:space="preserve"> </w:t>
      </w:r>
      <w:r>
        <w:rPr>
          <w:i/>
          <w:color w:val="221F1F"/>
        </w:rPr>
        <w:t>EVALUATION</w:t>
      </w:r>
      <w:r>
        <w:rPr>
          <w:i/>
          <w:color w:val="221F1F"/>
          <w:spacing w:val="-14"/>
        </w:rPr>
        <w:t xml:space="preserve"> </w:t>
      </w:r>
      <w:r>
        <w:rPr>
          <w:i/>
          <w:color w:val="221F1F"/>
        </w:rPr>
        <w:t>AND</w:t>
      </w:r>
      <w:r>
        <w:rPr>
          <w:i/>
          <w:color w:val="221F1F"/>
          <w:spacing w:val="-14"/>
        </w:rPr>
        <w:t xml:space="preserve"> </w:t>
      </w:r>
      <w:r>
        <w:rPr>
          <w:i/>
          <w:color w:val="221F1F"/>
        </w:rPr>
        <w:t>QUALIFICATION</w:t>
      </w:r>
      <w:r>
        <w:rPr>
          <w:i/>
          <w:color w:val="221F1F"/>
          <w:spacing w:val="-14"/>
        </w:rPr>
        <w:t xml:space="preserve"> </w:t>
      </w:r>
      <w:r>
        <w:rPr>
          <w:i/>
          <w:color w:val="221F1F"/>
        </w:rPr>
        <w:t>CRITERIA, Item 9”.</w:t>
      </w:r>
    </w:p>
    <w:p w:rsidR="007F6DF9" w:rsidRDefault="00A43FBC">
      <w:pPr>
        <w:pStyle w:val="ListParagraph"/>
        <w:numPr>
          <w:ilvl w:val="1"/>
          <w:numId w:val="231"/>
        </w:numPr>
        <w:tabs>
          <w:tab w:val="left" w:pos="1417"/>
          <w:tab w:val="left" w:pos="1421"/>
        </w:tabs>
        <w:spacing w:before="158" w:line="230" w:lineRule="auto"/>
        <w:ind w:left="1421" w:right="841" w:hanging="572"/>
        <w:jc w:val="both"/>
        <w:rPr>
          <w:b/>
          <w:color w:val="221F1F"/>
        </w:rPr>
      </w:pPr>
      <w:r>
        <w:rPr>
          <w:color w:val="221F1F"/>
        </w:rPr>
        <w:t>Pursuant</w:t>
      </w:r>
      <w:r>
        <w:rPr>
          <w:color w:val="221F1F"/>
          <w:spacing w:val="-5"/>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eligibility</w:t>
      </w:r>
      <w:r>
        <w:rPr>
          <w:color w:val="221F1F"/>
          <w:spacing w:val="-5"/>
        </w:rPr>
        <w:t xml:space="preserve"> </w:t>
      </w:r>
      <w:r>
        <w:rPr>
          <w:color w:val="221F1F"/>
        </w:rPr>
        <w:t>requirements</w:t>
      </w:r>
      <w:r>
        <w:rPr>
          <w:color w:val="221F1F"/>
          <w:spacing w:val="-2"/>
        </w:rPr>
        <w:t xml:space="preserve"> </w:t>
      </w:r>
      <w:r>
        <w:rPr>
          <w:color w:val="221F1F"/>
        </w:rPr>
        <w:t>of</w:t>
      </w:r>
      <w:r>
        <w:rPr>
          <w:color w:val="221F1F"/>
          <w:spacing w:val="-3"/>
        </w:rPr>
        <w:t xml:space="preserve"> </w:t>
      </w:r>
      <w:r>
        <w:rPr>
          <w:color w:val="221F1F"/>
        </w:rPr>
        <w:t>ITT</w:t>
      </w:r>
      <w:r>
        <w:rPr>
          <w:color w:val="221F1F"/>
          <w:spacing w:val="-5"/>
        </w:rPr>
        <w:t xml:space="preserve"> </w:t>
      </w:r>
      <w:r>
        <w:rPr>
          <w:color w:val="221F1F"/>
        </w:rPr>
        <w:t>3.10,</w:t>
      </w:r>
      <w:r>
        <w:rPr>
          <w:color w:val="221F1F"/>
          <w:spacing w:val="-6"/>
        </w:rPr>
        <w:t xml:space="preserve"> </w:t>
      </w:r>
      <w:r>
        <w:rPr>
          <w:color w:val="221F1F"/>
        </w:rPr>
        <w:t>a</w:t>
      </w:r>
      <w:r>
        <w:rPr>
          <w:color w:val="221F1F"/>
          <w:spacing w:val="-6"/>
        </w:rPr>
        <w:t xml:space="preserve"> </w:t>
      </w:r>
      <w:r>
        <w:rPr>
          <w:color w:val="221F1F"/>
        </w:rPr>
        <w:t>tender</w:t>
      </w:r>
      <w:r>
        <w:rPr>
          <w:color w:val="221F1F"/>
          <w:spacing w:val="-4"/>
        </w:rPr>
        <w:t xml:space="preserve"> </w:t>
      </w:r>
      <w:r>
        <w:rPr>
          <w:color w:val="221F1F"/>
        </w:rPr>
        <w:t>is</w:t>
      </w:r>
      <w:r>
        <w:rPr>
          <w:color w:val="221F1F"/>
          <w:spacing w:val="-6"/>
        </w:rPr>
        <w:t xml:space="preserve"> </w:t>
      </w:r>
      <w:r>
        <w:rPr>
          <w:color w:val="221F1F"/>
        </w:rPr>
        <w:t>considered</w:t>
      </w:r>
      <w:r>
        <w:rPr>
          <w:color w:val="221F1F"/>
          <w:spacing w:val="-5"/>
        </w:rPr>
        <w:t xml:space="preserve"> </w:t>
      </w:r>
      <w:r>
        <w:rPr>
          <w:color w:val="221F1F"/>
        </w:rPr>
        <w:t>a</w:t>
      </w:r>
      <w:r>
        <w:rPr>
          <w:color w:val="221F1F"/>
          <w:spacing w:val="-6"/>
        </w:rPr>
        <w:t xml:space="preserve"> </w:t>
      </w:r>
      <w:r>
        <w:rPr>
          <w:color w:val="221F1F"/>
        </w:rPr>
        <w:t>foreign</w:t>
      </w:r>
      <w:r>
        <w:rPr>
          <w:color w:val="221F1F"/>
          <w:spacing w:val="-2"/>
        </w:rPr>
        <w:t xml:space="preserve"> </w:t>
      </w:r>
      <w:r>
        <w:rPr>
          <w:color w:val="221F1F"/>
        </w:rPr>
        <w:t>tenderer,</w:t>
      </w:r>
      <w:r>
        <w:rPr>
          <w:color w:val="221F1F"/>
          <w:spacing w:val="-6"/>
        </w:rPr>
        <w:t xml:space="preserve"> </w:t>
      </w:r>
      <w:proofErr w:type="gramStart"/>
      <w:r>
        <w:rPr>
          <w:color w:val="221F1F"/>
        </w:rPr>
        <w:t>If</w:t>
      </w:r>
      <w:proofErr w:type="gramEnd"/>
      <w:r>
        <w:rPr>
          <w:color w:val="221F1F"/>
          <w:spacing w:val="-5"/>
        </w:rPr>
        <w:t xml:space="preserve"> </w:t>
      </w:r>
      <w:r>
        <w:rPr>
          <w:color w:val="221F1F"/>
        </w:rPr>
        <w:t>it</w:t>
      </w:r>
      <w:r>
        <w:rPr>
          <w:color w:val="221F1F"/>
          <w:spacing w:val="-7"/>
        </w:rPr>
        <w:t xml:space="preserve"> </w:t>
      </w:r>
      <w:r>
        <w:rPr>
          <w:color w:val="221F1F"/>
        </w:rPr>
        <w:t>is</w:t>
      </w:r>
      <w:r>
        <w:rPr>
          <w:color w:val="221F1F"/>
          <w:spacing w:val="-6"/>
        </w:rPr>
        <w:t xml:space="preserve"> </w:t>
      </w:r>
      <w:r>
        <w:rPr>
          <w:color w:val="221F1F"/>
        </w:rPr>
        <w:t>registered in</w:t>
      </w:r>
      <w:r>
        <w:rPr>
          <w:color w:val="221F1F"/>
          <w:spacing w:val="-10"/>
        </w:rPr>
        <w:t xml:space="preserve"> </w:t>
      </w:r>
      <w:r>
        <w:rPr>
          <w:color w:val="221F1F"/>
        </w:rPr>
        <w:t>Kenya</w:t>
      </w:r>
      <w:r>
        <w:rPr>
          <w:color w:val="221F1F"/>
          <w:spacing w:val="-9"/>
        </w:rPr>
        <w:t xml:space="preserve"> </w:t>
      </w:r>
      <w:r>
        <w:rPr>
          <w:color w:val="221F1F"/>
        </w:rPr>
        <w:t>and</w:t>
      </w:r>
      <w:r>
        <w:rPr>
          <w:color w:val="221F1F"/>
          <w:spacing w:val="-10"/>
        </w:rPr>
        <w:t xml:space="preserve"> </w:t>
      </w:r>
      <w:r>
        <w:rPr>
          <w:color w:val="221F1F"/>
        </w:rPr>
        <w:t>has</w:t>
      </w:r>
      <w:r>
        <w:rPr>
          <w:color w:val="221F1F"/>
          <w:spacing w:val="-11"/>
        </w:rPr>
        <w:t xml:space="preserve"> </w:t>
      </w:r>
      <w:r>
        <w:rPr>
          <w:color w:val="221F1F"/>
        </w:rPr>
        <w:t>less</w:t>
      </w:r>
      <w:r>
        <w:rPr>
          <w:color w:val="221F1F"/>
          <w:spacing w:val="-11"/>
        </w:rPr>
        <w:t xml:space="preserve"> </w:t>
      </w:r>
      <w:r>
        <w:rPr>
          <w:color w:val="221F1F"/>
        </w:rPr>
        <w:t>than</w:t>
      </w:r>
      <w:r>
        <w:rPr>
          <w:color w:val="221F1F"/>
          <w:spacing w:val="-12"/>
        </w:rPr>
        <w:t xml:space="preserve"> </w:t>
      </w:r>
      <w:r>
        <w:rPr>
          <w:color w:val="221F1F"/>
        </w:rPr>
        <w:t>51</w:t>
      </w:r>
      <w:r>
        <w:rPr>
          <w:color w:val="221F1F"/>
          <w:spacing w:val="-10"/>
        </w:rPr>
        <w:t xml:space="preserve"> </w:t>
      </w:r>
      <w:r>
        <w:rPr>
          <w:color w:val="221F1F"/>
        </w:rPr>
        <w:t>percent</w:t>
      </w:r>
      <w:r>
        <w:rPr>
          <w:color w:val="221F1F"/>
          <w:spacing w:val="-9"/>
        </w:rPr>
        <w:t xml:space="preserve"> </w:t>
      </w:r>
      <w:r>
        <w:rPr>
          <w:color w:val="221F1F"/>
        </w:rPr>
        <w:t>ownership</w:t>
      </w:r>
      <w:r>
        <w:rPr>
          <w:color w:val="221F1F"/>
          <w:spacing w:val="-12"/>
        </w:rPr>
        <w:t xml:space="preserve"> </w:t>
      </w:r>
      <w:r>
        <w:rPr>
          <w:color w:val="221F1F"/>
        </w:rPr>
        <w:t>by</w:t>
      </w:r>
      <w:r>
        <w:rPr>
          <w:color w:val="221F1F"/>
          <w:spacing w:val="-10"/>
        </w:rPr>
        <w:t xml:space="preserve"> </w:t>
      </w:r>
      <w:r>
        <w:rPr>
          <w:color w:val="221F1F"/>
        </w:rPr>
        <w:t>nationals</w:t>
      </w:r>
      <w:r>
        <w:rPr>
          <w:color w:val="221F1F"/>
          <w:spacing w:val="-9"/>
        </w:rPr>
        <w:t xml:space="preserve"> </w:t>
      </w:r>
      <w:r>
        <w:rPr>
          <w:color w:val="221F1F"/>
        </w:rPr>
        <w:t>of</w:t>
      </w:r>
      <w:r>
        <w:rPr>
          <w:color w:val="221F1F"/>
          <w:spacing w:val="-9"/>
        </w:rPr>
        <w:t xml:space="preserve"> </w:t>
      </w:r>
      <w:r>
        <w:rPr>
          <w:color w:val="221F1F"/>
        </w:rPr>
        <w:t>Kenya</w:t>
      </w:r>
      <w:r>
        <w:rPr>
          <w:color w:val="221F1F"/>
          <w:spacing w:val="-9"/>
        </w:rPr>
        <w:t xml:space="preserve"> </w:t>
      </w:r>
      <w:r>
        <w:rPr>
          <w:color w:val="221F1F"/>
        </w:rPr>
        <w:t>and</w:t>
      </w:r>
      <w:r>
        <w:rPr>
          <w:color w:val="221F1F"/>
          <w:spacing w:val="-10"/>
        </w:rPr>
        <w:t xml:space="preserve"> </w:t>
      </w:r>
      <w:r>
        <w:rPr>
          <w:color w:val="221F1F"/>
        </w:rPr>
        <w:t>if</w:t>
      </w:r>
      <w:r>
        <w:rPr>
          <w:color w:val="221F1F"/>
          <w:spacing w:val="-11"/>
        </w:rPr>
        <w:t xml:space="preserve"> </w:t>
      </w:r>
      <w:r>
        <w:rPr>
          <w:color w:val="221F1F"/>
        </w:rPr>
        <w:t>it</w:t>
      </w:r>
      <w:r>
        <w:rPr>
          <w:color w:val="221F1F"/>
          <w:spacing w:val="-11"/>
        </w:rPr>
        <w:t xml:space="preserve"> </w:t>
      </w:r>
      <w:r>
        <w:rPr>
          <w:color w:val="221F1F"/>
        </w:rPr>
        <w:t>does</w:t>
      </w:r>
      <w:r>
        <w:rPr>
          <w:color w:val="221F1F"/>
          <w:spacing w:val="-9"/>
        </w:rPr>
        <w:t xml:space="preserve"> </w:t>
      </w:r>
      <w:r>
        <w:rPr>
          <w:color w:val="221F1F"/>
        </w:rPr>
        <w:t>not</w:t>
      </w:r>
      <w:r>
        <w:rPr>
          <w:color w:val="221F1F"/>
          <w:spacing w:val="-9"/>
        </w:rPr>
        <w:t xml:space="preserve"> </w:t>
      </w:r>
      <w:r>
        <w:rPr>
          <w:color w:val="221F1F"/>
        </w:rPr>
        <w:t>subcontract</w:t>
      </w:r>
      <w:r>
        <w:rPr>
          <w:color w:val="221F1F"/>
          <w:spacing w:val="-9"/>
        </w:rPr>
        <w:t xml:space="preserve"> </w:t>
      </w:r>
      <w:r>
        <w:rPr>
          <w:color w:val="221F1F"/>
        </w:rPr>
        <w:t>to</w:t>
      </w:r>
      <w:r>
        <w:rPr>
          <w:color w:val="221F1F"/>
          <w:spacing w:val="-10"/>
        </w:rPr>
        <w:t xml:space="preserve"> </w:t>
      </w:r>
      <w:r>
        <w:rPr>
          <w:color w:val="221F1F"/>
        </w:rPr>
        <w:t>foreign firms</w:t>
      </w:r>
      <w:r>
        <w:rPr>
          <w:color w:val="221F1F"/>
          <w:spacing w:val="-10"/>
        </w:rPr>
        <w:t xml:space="preserve"> </w:t>
      </w:r>
      <w:r>
        <w:rPr>
          <w:color w:val="221F1F"/>
        </w:rPr>
        <w:t>or</w:t>
      </w:r>
      <w:r>
        <w:rPr>
          <w:color w:val="221F1F"/>
          <w:spacing w:val="-12"/>
        </w:rPr>
        <w:t xml:space="preserve"> </w:t>
      </w:r>
      <w:r>
        <w:rPr>
          <w:color w:val="221F1F"/>
        </w:rPr>
        <w:t>individuals</w:t>
      </w:r>
      <w:r>
        <w:rPr>
          <w:color w:val="221F1F"/>
          <w:spacing w:val="-12"/>
        </w:rPr>
        <w:t xml:space="preserve"> </w:t>
      </w:r>
      <w:r>
        <w:rPr>
          <w:color w:val="221F1F"/>
        </w:rPr>
        <w:t>more</w:t>
      </w:r>
      <w:r>
        <w:rPr>
          <w:color w:val="221F1F"/>
          <w:spacing w:val="-12"/>
        </w:rPr>
        <w:t xml:space="preserve"> </w:t>
      </w:r>
      <w:r>
        <w:rPr>
          <w:color w:val="221F1F"/>
        </w:rPr>
        <w:t>than</w:t>
      </w:r>
      <w:r>
        <w:rPr>
          <w:color w:val="221F1F"/>
          <w:spacing w:val="-9"/>
        </w:rPr>
        <w:t xml:space="preserve"> </w:t>
      </w:r>
      <w:r>
        <w:rPr>
          <w:color w:val="221F1F"/>
        </w:rPr>
        <w:t>10</w:t>
      </w:r>
      <w:r>
        <w:rPr>
          <w:color w:val="221F1F"/>
          <w:spacing w:val="-10"/>
        </w:rPr>
        <w:t xml:space="preserve"> </w:t>
      </w:r>
      <w:r>
        <w:rPr>
          <w:color w:val="221F1F"/>
        </w:rPr>
        <w:t>percent</w:t>
      </w:r>
      <w:r>
        <w:rPr>
          <w:color w:val="221F1F"/>
          <w:spacing w:val="-11"/>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contract</w:t>
      </w:r>
      <w:r>
        <w:rPr>
          <w:color w:val="221F1F"/>
          <w:spacing w:val="-9"/>
        </w:rPr>
        <w:t xml:space="preserve"> </w:t>
      </w:r>
      <w:r>
        <w:rPr>
          <w:color w:val="221F1F"/>
        </w:rPr>
        <w:t>price,</w:t>
      </w:r>
      <w:r>
        <w:rPr>
          <w:color w:val="221F1F"/>
          <w:spacing w:val="-10"/>
        </w:rPr>
        <w:t xml:space="preserve"> </w:t>
      </w:r>
      <w:r>
        <w:rPr>
          <w:color w:val="221F1F"/>
        </w:rPr>
        <w:t>excluding</w:t>
      </w:r>
      <w:r>
        <w:rPr>
          <w:color w:val="221F1F"/>
          <w:spacing w:val="-12"/>
        </w:rPr>
        <w:t xml:space="preserve"> </w:t>
      </w:r>
      <w:r>
        <w:rPr>
          <w:color w:val="221F1F"/>
        </w:rPr>
        <w:t>provisional</w:t>
      </w:r>
      <w:r>
        <w:rPr>
          <w:color w:val="221F1F"/>
          <w:spacing w:val="-8"/>
        </w:rPr>
        <w:t xml:space="preserve"> </w:t>
      </w:r>
      <w:r>
        <w:rPr>
          <w:color w:val="221F1F"/>
        </w:rPr>
        <w:t>sums.</w:t>
      </w:r>
      <w:r>
        <w:rPr>
          <w:color w:val="221F1F"/>
          <w:spacing w:val="-10"/>
        </w:rPr>
        <w:t xml:space="preserve"> </w:t>
      </w:r>
      <w:r>
        <w:rPr>
          <w:color w:val="221F1F"/>
        </w:rPr>
        <w:t>JVs</w:t>
      </w:r>
      <w:r>
        <w:rPr>
          <w:color w:val="221F1F"/>
          <w:spacing w:val="-12"/>
        </w:rPr>
        <w:t xml:space="preserve"> </w:t>
      </w:r>
      <w:r>
        <w:rPr>
          <w:color w:val="221F1F"/>
        </w:rPr>
        <w:t>are</w:t>
      </w:r>
      <w:r>
        <w:rPr>
          <w:color w:val="221F1F"/>
          <w:spacing w:val="-10"/>
        </w:rPr>
        <w:t xml:space="preserve"> </w:t>
      </w:r>
      <w:r>
        <w:rPr>
          <w:color w:val="221F1F"/>
        </w:rPr>
        <w:t>considered as foreign tenderers if the individual member firms registered in Kenya have less 51 percent ownership by nationals of Kenya. The JV shall not subcontract to foreign firms more than 10 percent of the contract price, excluding provisional sums.</w:t>
      </w:r>
    </w:p>
    <w:p w:rsidR="007F6DF9" w:rsidRDefault="00A43FBC">
      <w:pPr>
        <w:pStyle w:val="ListParagraph"/>
        <w:numPr>
          <w:ilvl w:val="1"/>
          <w:numId w:val="231"/>
        </w:numPr>
        <w:tabs>
          <w:tab w:val="left" w:pos="1417"/>
          <w:tab w:val="left" w:pos="1421"/>
        </w:tabs>
        <w:spacing w:before="159" w:line="230" w:lineRule="auto"/>
        <w:ind w:left="1421" w:right="841" w:hanging="572"/>
        <w:jc w:val="both"/>
        <w:rPr>
          <w:b/>
          <w:color w:val="221F1F"/>
        </w:rPr>
      </w:pPr>
      <w:r>
        <w:rPr>
          <w:color w:val="221F1F"/>
        </w:rPr>
        <w:t>The</w:t>
      </w:r>
      <w:r>
        <w:rPr>
          <w:color w:val="221F1F"/>
          <w:spacing w:val="-4"/>
        </w:rPr>
        <w:t xml:space="preserve"> </w:t>
      </w:r>
      <w:r>
        <w:rPr>
          <w:color w:val="221F1F"/>
        </w:rPr>
        <w:t>National</w:t>
      </w:r>
      <w:r>
        <w:rPr>
          <w:color w:val="221F1F"/>
          <w:spacing w:val="-3"/>
        </w:rPr>
        <w:t xml:space="preserve"> </w:t>
      </w:r>
      <w:r>
        <w:rPr>
          <w:color w:val="221F1F"/>
        </w:rPr>
        <w:t>Construction</w:t>
      </w:r>
      <w:r>
        <w:rPr>
          <w:color w:val="221F1F"/>
          <w:spacing w:val="-5"/>
        </w:rPr>
        <w:t xml:space="preserve"> </w:t>
      </w:r>
      <w:r>
        <w:rPr>
          <w:color w:val="221F1F"/>
        </w:rPr>
        <w:t>Authority</w:t>
      </w:r>
      <w:r>
        <w:rPr>
          <w:color w:val="221F1F"/>
          <w:spacing w:val="-4"/>
        </w:rPr>
        <w:t xml:space="preserve"> </w:t>
      </w:r>
      <w:r>
        <w:rPr>
          <w:color w:val="221F1F"/>
        </w:rPr>
        <w:t>Act</w:t>
      </w:r>
      <w:r>
        <w:rPr>
          <w:color w:val="221F1F"/>
          <w:spacing w:val="-5"/>
        </w:rPr>
        <w:t xml:space="preserve"> </w:t>
      </w:r>
      <w:r>
        <w:rPr>
          <w:color w:val="221F1F"/>
        </w:rPr>
        <w:t>of</w:t>
      </w:r>
      <w:r>
        <w:rPr>
          <w:color w:val="221F1F"/>
          <w:spacing w:val="-4"/>
        </w:rPr>
        <w:t xml:space="preserve"> </w:t>
      </w:r>
      <w:r>
        <w:rPr>
          <w:color w:val="221F1F"/>
        </w:rPr>
        <w:t>Kenya</w:t>
      </w:r>
      <w:r>
        <w:rPr>
          <w:color w:val="221F1F"/>
          <w:spacing w:val="-6"/>
        </w:rPr>
        <w:t xml:space="preserve"> </w:t>
      </w:r>
      <w:r>
        <w:rPr>
          <w:color w:val="221F1F"/>
        </w:rPr>
        <w:t>requires</w:t>
      </w:r>
      <w:r>
        <w:rPr>
          <w:color w:val="221F1F"/>
          <w:spacing w:val="-3"/>
        </w:rPr>
        <w:t xml:space="preserve"> </w:t>
      </w:r>
      <w:r>
        <w:rPr>
          <w:color w:val="221F1F"/>
        </w:rPr>
        <w:t>that</w:t>
      </w:r>
      <w:r>
        <w:rPr>
          <w:color w:val="221F1F"/>
          <w:spacing w:val="-5"/>
        </w:rPr>
        <w:t xml:space="preserve"> </w:t>
      </w:r>
      <w:r>
        <w:rPr>
          <w:color w:val="221F1F"/>
        </w:rPr>
        <w:t>all</w:t>
      </w:r>
      <w:r>
        <w:rPr>
          <w:color w:val="221F1F"/>
          <w:spacing w:val="-5"/>
        </w:rPr>
        <w:t xml:space="preserve"> </w:t>
      </w:r>
      <w:r>
        <w:rPr>
          <w:color w:val="221F1F"/>
        </w:rPr>
        <w:t>local</w:t>
      </w:r>
      <w:r>
        <w:rPr>
          <w:color w:val="221F1F"/>
          <w:spacing w:val="-4"/>
        </w:rPr>
        <w:t xml:space="preserve"> </w:t>
      </w:r>
      <w:r>
        <w:rPr>
          <w:color w:val="221F1F"/>
        </w:rPr>
        <w:t>and</w:t>
      </w:r>
      <w:r>
        <w:rPr>
          <w:color w:val="221F1F"/>
          <w:spacing w:val="-4"/>
        </w:rPr>
        <w:t xml:space="preserve"> </w:t>
      </w:r>
      <w:r>
        <w:rPr>
          <w:color w:val="221F1F"/>
        </w:rPr>
        <w:t>foreign</w:t>
      </w:r>
      <w:r>
        <w:rPr>
          <w:color w:val="221F1F"/>
          <w:spacing w:val="-4"/>
        </w:rPr>
        <w:t xml:space="preserve"> </w:t>
      </w:r>
      <w:r>
        <w:rPr>
          <w:color w:val="221F1F"/>
        </w:rPr>
        <w:t>contractors</w:t>
      </w:r>
      <w:r>
        <w:rPr>
          <w:color w:val="221F1F"/>
          <w:spacing w:val="-5"/>
        </w:rPr>
        <w:t xml:space="preserve"> </w:t>
      </w:r>
      <w:r>
        <w:rPr>
          <w:color w:val="221F1F"/>
        </w:rPr>
        <w:t>be</w:t>
      </w:r>
      <w:r>
        <w:rPr>
          <w:color w:val="221F1F"/>
          <w:spacing w:val="-6"/>
        </w:rPr>
        <w:t xml:space="preserve"> </w:t>
      </w:r>
      <w:r>
        <w:rPr>
          <w:color w:val="221F1F"/>
        </w:rPr>
        <w:t xml:space="preserve">registered with the National Construction Authority and be issued with a Registration Certificate before they can undertake any construction works in Kenya. Registration shall not be a condition for tender, but it shall be a condition of contract award and signature. A selected tenderer shall be given opportunity to register before such award and signature of contract. Application for registration with National Construction Authority may be accessed from the website </w:t>
      </w:r>
      <w:hyperlink r:id="rId13">
        <w:r>
          <w:rPr>
            <w:color w:val="0000C4"/>
            <w:u w:val="single" w:color="0000C4"/>
          </w:rPr>
          <w:t>www.nca.go.ke</w:t>
        </w:r>
        <w:r>
          <w:rPr>
            <w:color w:val="221F1F"/>
          </w:rPr>
          <w:t>.</w:t>
        </w:r>
      </w:hyperlink>
    </w:p>
    <w:p w:rsidR="007F6DF9" w:rsidRDefault="00A43FBC">
      <w:pPr>
        <w:pStyle w:val="ListParagraph"/>
        <w:numPr>
          <w:ilvl w:val="1"/>
          <w:numId w:val="231"/>
        </w:numPr>
        <w:tabs>
          <w:tab w:val="left" w:pos="1417"/>
          <w:tab w:val="left" w:pos="1421"/>
        </w:tabs>
        <w:spacing w:before="158" w:line="230" w:lineRule="auto"/>
        <w:ind w:left="1421" w:right="843" w:hanging="572"/>
        <w:jc w:val="both"/>
        <w:rPr>
          <w:b/>
          <w:color w:val="221F1F"/>
        </w:rPr>
      </w:pPr>
      <w:r>
        <w:rPr>
          <w:color w:val="221F1F"/>
        </w:rPr>
        <w:t>The</w:t>
      </w:r>
      <w:r>
        <w:rPr>
          <w:color w:val="221F1F"/>
          <w:spacing w:val="-4"/>
        </w:rPr>
        <w:t xml:space="preserve"> </w:t>
      </w:r>
      <w:r>
        <w:rPr>
          <w:color w:val="221F1F"/>
        </w:rPr>
        <w:t>Competition</w:t>
      </w:r>
      <w:r>
        <w:rPr>
          <w:color w:val="221F1F"/>
          <w:spacing w:val="-4"/>
        </w:rPr>
        <w:t xml:space="preserve"> </w:t>
      </w:r>
      <w:r>
        <w:rPr>
          <w:color w:val="221F1F"/>
        </w:rPr>
        <w:t>Act</w:t>
      </w:r>
      <w:r>
        <w:rPr>
          <w:color w:val="221F1F"/>
          <w:spacing w:val="-3"/>
        </w:rPr>
        <w:t xml:space="preserve"> </w:t>
      </w:r>
      <w:r>
        <w:rPr>
          <w:color w:val="221F1F"/>
        </w:rPr>
        <w:t>of</w:t>
      </w:r>
      <w:r>
        <w:rPr>
          <w:color w:val="221F1F"/>
          <w:spacing w:val="-4"/>
        </w:rPr>
        <w:t xml:space="preserve"> </w:t>
      </w:r>
      <w:r>
        <w:rPr>
          <w:color w:val="221F1F"/>
        </w:rPr>
        <w:t>Kenya</w:t>
      </w:r>
      <w:r>
        <w:rPr>
          <w:color w:val="221F1F"/>
          <w:spacing w:val="-4"/>
        </w:rPr>
        <w:t xml:space="preserve"> </w:t>
      </w:r>
      <w:r>
        <w:rPr>
          <w:color w:val="221F1F"/>
        </w:rPr>
        <w:t>requires</w:t>
      </w:r>
      <w:r>
        <w:rPr>
          <w:color w:val="221F1F"/>
          <w:spacing w:val="-4"/>
        </w:rPr>
        <w:t xml:space="preserve"> </w:t>
      </w:r>
      <w:r>
        <w:rPr>
          <w:color w:val="221F1F"/>
        </w:rPr>
        <w:t>that</w:t>
      </w:r>
      <w:r>
        <w:rPr>
          <w:color w:val="221F1F"/>
          <w:spacing w:val="-3"/>
        </w:rPr>
        <w:t xml:space="preserve"> </w:t>
      </w:r>
      <w:r>
        <w:rPr>
          <w:color w:val="221F1F"/>
        </w:rPr>
        <w:t>firms</w:t>
      </w:r>
      <w:r>
        <w:rPr>
          <w:color w:val="221F1F"/>
          <w:spacing w:val="-4"/>
        </w:rPr>
        <w:t xml:space="preserve"> </w:t>
      </w:r>
      <w:r>
        <w:rPr>
          <w:color w:val="221F1F"/>
        </w:rPr>
        <w:t>wishing</w:t>
      </w:r>
      <w:r>
        <w:rPr>
          <w:color w:val="221F1F"/>
          <w:spacing w:val="-7"/>
        </w:rPr>
        <w:t xml:space="preserve"> </w:t>
      </w:r>
      <w:r>
        <w:rPr>
          <w:color w:val="221F1F"/>
        </w:rPr>
        <w:t>to</w:t>
      </w:r>
      <w:r>
        <w:rPr>
          <w:color w:val="221F1F"/>
          <w:spacing w:val="-4"/>
        </w:rPr>
        <w:t xml:space="preserve"> </w:t>
      </w:r>
      <w:r>
        <w:rPr>
          <w:color w:val="221F1F"/>
        </w:rPr>
        <w:t>tender</w:t>
      </w:r>
      <w:r>
        <w:rPr>
          <w:color w:val="221F1F"/>
          <w:spacing w:val="-4"/>
        </w:rPr>
        <w:t xml:space="preserve"> </w:t>
      </w:r>
      <w:r>
        <w:rPr>
          <w:color w:val="221F1F"/>
        </w:rPr>
        <w:t>as</w:t>
      </w:r>
      <w:r>
        <w:rPr>
          <w:color w:val="221F1F"/>
          <w:spacing w:val="-4"/>
        </w:rPr>
        <w:t xml:space="preserve"> </w:t>
      </w:r>
      <w:r>
        <w:rPr>
          <w:color w:val="221F1F"/>
        </w:rPr>
        <w:t>Joint</w:t>
      </w:r>
      <w:r>
        <w:rPr>
          <w:color w:val="221F1F"/>
          <w:spacing w:val="-2"/>
        </w:rPr>
        <w:t xml:space="preserve"> </w:t>
      </w:r>
      <w:r>
        <w:rPr>
          <w:color w:val="221F1F"/>
        </w:rPr>
        <w:t>Venture</w:t>
      </w:r>
      <w:r>
        <w:rPr>
          <w:color w:val="221F1F"/>
          <w:spacing w:val="-13"/>
        </w:rPr>
        <w:t xml:space="preserve"> </w:t>
      </w:r>
      <w:r>
        <w:rPr>
          <w:color w:val="221F1F"/>
        </w:rPr>
        <w:t>undertakings</w:t>
      </w:r>
      <w:r>
        <w:rPr>
          <w:color w:val="221F1F"/>
          <w:spacing w:val="-4"/>
        </w:rPr>
        <w:t xml:space="preserve"> </w:t>
      </w:r>
      <w:r>
        <w:rPr>
          <w:color w:val="221F1F"/>
        </w:rPr>
        <w:t>which</w:t>
      </w:r>
      <w:r>
        <w:rPr>
          <w:color w:val="221F1F"/>
          <w:spacing w:val="-6"/>
        </w:rPr>
        <w:t xml:space="preserve"> </w:t>
      </w:r>
      <w:r>
        <w:rPr>
          <w:color w:val="221F1F"/>
        </w:rPr>
        <w:t>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w:t>
      </w:r>
      <w:r>
        <w:rPr>
          <w:color w:val="221F1F"/>
          <w:spacing w:val="-6"/>
        </w:rPr>
        <w:t xml:space="preserve"> </w:t>
      </w:r>
      <w:r>
        <w:rPr>
          <w:color w:val="221F1F"/>
        </w:rPr>
        <w:t>of</w:t>
      </w:r>
      <w:r>
        <w:rPr>
          <w:color w:val="221F1F"/>
          <w:spacing w:val="-5"/>
        </w:rPr>
        <w:t xml:space="preserve"> </w:t>
      </w:r>
      <w:r>
        <w:rPr>
          <w:color w:val="221F1F"/>
        </w:rPr>
        <w:t>contract</w:t>
      </w:r>
      <w:r>
        <w:rPr>
          <w:color w:val="221F1F"/>
          <w:spacing w:val="-5"/>
        </w:rPr>
        <w:t xml:space="preserve"> </w:t>
      </w:r>
      <w:r>
        <w:rPr>
          <w:color w:val="221F1F"/>
        </w:rPr>
        <w:t>award</w:t>
      </w:r>
      <w:r>
        <w:rPr>
          <w:color w:val="221F1F"/>
          <w:spacing w:val="-9"/>
        </w:rPr>
        <w:t xml:space="preserve"> </w:t>
      </w:r>
      <w:r>
        <w:rPr>
          <w:color w:val="221F1F"/>
        </w:rPr>
        <w:t>and</w:t>
      </w:r>
      <w:r>
        <w:rPr>
          <w:color w:val="221F1F"/>
          <w:spacing w:val="-6"/>
        </w:rPr>
        <w:t xml:space="preserve"> </w:t>
      </w:r>
      <w:r>
        <w:rPr>
          <w:color w:val="221F1F"/>
        </w:rPr>
        <w:t>signature.</w:t>
      </w:r>
      <w:r>
        <w:rPr>
          <w:color w:val="221F1F"/>
          <w:spacing w:val="-6"/>
        </w:rPr>
        <w:t xml:space="preserve"> </w:t>
      </w:r>
      <w:r>
        <w:rPr>
          <w:color w:val="221F1F"/>
        </w:rPr>
        <w:t>A</w:t>
      </w:r>
      <w:r>
        <w:rPr>
          <w:color w:val="221F1F"/>
          <w:spacing w:val="-7"/>
        </w:rPr>
        <w:t xml:space="preserve"> </w:t>
      </w:r>
      <w:r>
        <w:rPr>
          <w:color w:val="221F1F"/>
        </w:rPr>
        <w:t>JV</w:t>
      </w:r>
      <w:r>
        <w:rPr>
          <w:color w:val="221F1F"/>
          <w:spacing w:val="-7"/>
        </w:rPr>
        <w:t xml:space="preserve"> </w:t>
      </w:r>
      <w:r>
        <w:rPr>
          <w:color w:val="221F1F"/>
        </w:rPr>
        <w:t>tenderer</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given</w:t>
      </w:r>
      <w:r>
        <w:rPr>
          <w:color w:val="221F1F"/>
          <w:spacing w:val="-6"/>
        </w:rPr>
        <w:t xml:space="preserve"> </w:t>
      </w:r>
      <w:r>
        <w:rPr>
          <w:color w:val="221F1F"/>
        </w:rPr>
        <w:t>opportunity</w:t>
      </w:r>
      <w:r>
        <w:rPr>
          <w:color w:val="221F1F"/>
          <w:spacing w:val="-6"/>
        </w:rPr>
        <w:t xml:space="preserve"> </w:t>
      </w:r>
      <w:r>
        <w:rPr>
          <w:color w:val="221F1F"/>
        </w:rPr>
        <w:t>to</w:t>
      </w:r>
      <w:r>
        <w:rPr>
          <w:color w:val="221F1F"/>
          <w:spacing w:val="-6"/>
        </w:rPr>
        <w:t xml:space="preserve"> </w:t>
      </w:r>
      <w:r>
        <w:rPr>
          <w:color w:val="221F1F"/>
        </w:rPr>
        <w:t>seek</w:t>
      </w:r>
      <w:r>
        <w:rPr>
          <w:color w:val="221F1F"/>
          <w:spacing w:val="-6"/>
        </w:rPr>
        <w:t xml:space="preserve"> </w:t>
      </w:r>
      <w:r>
        <w:rPr>
          <w:color w:val="221F1F"/>
        </w:rPr>
        <w:t>such</w:t>
      </w:r>
      <w:r>
        <w:rPr>
          <w:color w:val="221F1F"/>
          <w:spacing w:val="-9"/>
        </w:rPr>
        <w:t xml:space="preserve"> </w:t>
      </w:r>
      <w:r>
        <w:rPr>
          <w:color w:val="221F1F"/>
        </w:rPr>
        <w:t>exemption</w:t>
      </w:r>
      <w:r>
        <w:rPr>
          <w:color w:val="221F1F"/>
          <w:spacing w:val="-6"/>
        </w:rPr>
        <w:t xml:space="preserve"> </w:t>
      </w:r>
      <w:r>
        <w:rPr>
          <w:color w:val="221F1F"/>
        </w:rPr>
        <w:t>as a condition of award and</w:t>
      </w:r>
      <w:r>
        <w:rPr>
          <w:color w:val="221F1F"/>
          <w:spacing w:val="-2"/>
        </w:rPr>
        <w:t xml:space="preserve"> </w:t>
      </w:r>
      <w:r>
        <w:rPr>
          <w:color w:val="221F1F"/>
        </w:rPr>
        <w:t xml:space="preserve">signature of contract. Application for exemption from the Competition Authority of Kenya may be accessed from the website </w:t>
      </w:r>
      <w:hyperlink r:id="rId14">
        <w:r>
          <w:rPr>
            <w:color w:val="0000C4"/>
            <w:u w:val="single" w:color="0000C4"/>
          </w:rPr>
          <w:t>www.cak.go.ke</w:t>
        </w:r>
        <w:r>
          <w:rPr>
            <w:color w:val="221F1F"/>
          </w:rPr>
          <w:t>.</w:t>
        </w:r>
      </w:hyperlink>
    </w:p>
    <w:p w:rsidR="007F6DF9" w:rsidRDefault="00A43FBC">
      <w:pPr>
        <w:pStyle w:val="BodyText"/>
        <w:spacing w:before="155" w:line="230" w:lineRule="auto"/>
        <w:ind w:left="1421" w:right="841" w:hanging="572"/>
        <w:jc w:val="both"/>
      </w:pPr>
      <w:r>
        <w:rPr>
          <w:color w:val="221F1F"/>
        </w:rPr>
        <w:t>4.14</w:t>
      </w:r>
      <w:r>
        <w:rPr>
          <w:color w:val="221F1F"/>
          <w:spacing w:val="80"/>
          <w:w w:val="150"/>
        </w:rPr>
        <w:t xml:space="preserve"> </w:t>
      </w:r>
      <w:r>
        <w:rPr>
          <w:color w:val="221F1F"/>
        </w:rPr>
        <w:t xml:space="preserve">A </w:t>
      </w:r>
      <w:proofErr w:type="spellStart"/>
      <w:r>
        <w:rPr>
          <w:color w:val="221F1F"/>
        </w:rPr>
        <w:t>kenyan</w:t>
      </w:r>
      <w:proofErr w:type="spellEnd"/>
      <w:r>
        <w:rPr>
          <w:color w:val="221F1F"/>
        </w:rPr>
        <w:t xml:space="preserve"> tenderer shall be eligible to tender if it provides evidence of having fulfilled his/her tax obligations by producing valid tax compliance certificate or tax exemption certificate issued by the Kenya Revenue </w:t>
      </w:r>
      <w:r>
        <w:rPr>
          <w:color w:val="221F1F"/>
          <w:spacing w:val="-2"/>
        </w:rPr>
        <w:t>Authority.</w:t>
      </w:r>
    </w:p>
    <w:p w:rsidR="007F6DF9" w:rsidRDefault="00A43FBC">
      <w:pPr>
        <w:pStyle w:val="Heading9"/>
        <w:numPr>
          <w:ilvl w:val="1"/>
          <w:numId w:val="227"/>
        </w:numPr>
        <w:tabs>
          <w:tab w:val="left" w:pos="1416"/>
        </w:tabs>
        <w:spacing w:before="161"/>
      </w:pPr>
      <w:bookmarkStart w:id="7" w:name="_bookmark6"/>
      <w:bookmarkEnd w:id="7"/>
      <w:proofErr w:type="spellStart"/>
      <w:r>
        <w:rPr>
          <w:color w:val="221F1F"/>
        </w:rPr>
        <w:t>Eligiblegoods</w:t>
      </w:r>
      <w:proofErr w:type="spellEnd"/>
      <w:r>
        <w:rPr>
          <w:color w:val="221F1F"/>
        </w:rPr>
        <w:t>,</w:t>
      </w:r>
      <w:r>
        <w:rPr>
          <w:color w:val="221F1F"/>
          <w:spacing w:val="1"/>
        </w:rPr>
        <w:t xml:space="preserve"> </w:t>
      </w:r>
      <w:r>
        <w:rPr>
          <w:color w:val="221F1F"/>
        </w:rPr>
        <w:t>equipment,</w:t>
      </w:r>
      <w:r>
        <w:rPr>
          <w:color w:val="221F1F"/>
          <w:spacing w:val="2"/>
        </w:rPr>
        <w:t xml:space="preserve"> </w:t>
      </w:r>
      <w:r>
        <w:rPr>
          <w:color w:val="221F1F"/>
        </w:rPr>
        <w:t>and</w:t>
      </w:r>
      <w:r>
        <w:rPr>
          <w:color w:val="221F1F"/>
          <w:spacing w:val="3"/>
        </w:rPr>
        <w:t xml:space="preserve"> </w:t>
      </w:r>
      <w:r>
        <w:rPr>
          <w:color w:val="221F1F"/>
          <w:spacing w:val="-2"/>
        </w:rPr>
        <w:t>services</w:t>
      </w:r>
    </w:p>
    <w:p w:rsidR="007F6DF9" w:rsidRDefault="00A43FBC">
      <w:pPr>
        <w:pStyle w:val="ListParagraph"/>
        <w:numPr>
          <w:ilvl w:val="1"/>
          <w:numId w:val="227"/>
        </w:numPr>
        <w:tabs>
          <w:tab w:val="left" w:pos="1415"/>
          <w:tab w:val="left" w:pos="1418"/>
        </w:tabs>
        <w:spacing w:before="158" w:line="230" w:lineRule="auto"/>
        <w:ind w:left="1418" w:right="842" w:hanging="570"/>
        <w:jc w:val="both"/>
      </w:pPr>
      <w:r>
        <w:rPr>
          <w:color w:val="221F1F"/>
        </w:rPr>
        <w:t>Goods, equipment and services to be supplied under the Contract may have their origin in any country</w:t>
      </w:r>
      <w:r>
        <w:rPr>
          <w:color w:val="221F1F"/>
          <w:spacing w:val="-1"/>
        </w:rPr>
        <w:t xml:space="preserve"> </w:t>
      </w:r>
      <w:r>
        <w:rPr>
          <w:color w:val="221F1F"/>
        </w:rPr>
        <w:t>that is not</w:t>
      </w:r>
      <w:r>
        <w:rPr>
          <w:color w:val="221F1F"/>
          <w:spacing w:val="-5"/>
        </w:rPr>
        <w:t xml:space="preserve"> </w:t>
      </w:r>
      <w:r>
        <w:rPr>
          <w:color w:val="221F1F"/>
        </w:rPr>
        <w:t>ineligible</w:t>
      </w:r>
      <w:r>
        <w:rPr>
          <w:color w:val="221F1F"/>
          <w:spacing w:val="-5"/>
        </w:rPr>
        <w:t xml:space="preserve"> </w:t>
      </w:r>
      <w:r>
        <w:rPr>
          <w:color w:val="221F1F"/>
        </w:rPr>
        <w:t>under</w:t>
      </w:r>
      <w:r>
        <w:rPr>
          <w:color w:val="221F1F"/>
          <w:spacing w:val="-3"/>
        </w:rPr>
        <w:t xml:space="preserve"> </w:t>
      </w:r>
      <w:r>
        <w:rPr>
          <w:color w:val="221F1F"/>
        </w:rPr>
        <w:t>ITT</w:t>
      </w:r>
      <w:r>
        <w:rPr>
          <w:color w:val="221F1F"/>
          <w:spacing w:val="-7"/>
        </w:rPr>
        <w:t xml:space="preserve"> </w:t>
      </w:r>
      <w:r>
        <w:rPr>
          <w:color w:val="221F1F"/>
        </w:rPr>
        <w:t>3.9.</w:t>
      </w:r>
      <w:r>
        <w:rPr>
          <w:color w:val="221F1F"/>
          <w:spacing w:val="-3"/>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Entity's</w:t>
      </w:r>
      <w:r>
        <w:rPr>
          <w:color w:val="221F1F"/>
          <w:spacing w:val="-5"/>
        </w:rPr>
        <w:t xml:space="preserve"> </w:t>
      </w:r>
      <w:r>
        <w:rPr>
          <w:color w:val="221F1F"/>
        </w:rPr>
        <w:t>request,</w:t>
      </w:r>
      <w:r>
        <w:rPr>
          <w:color w:val="221F1F"/>
          <w:spacing w:val="-3"/>
        </w:rPr>
        <w:t xml:space="preserve"> </w:t>
      </w:r>
      <w:r>
        <w:rPr>
          <w:color w:val="221F1F"/>
        </w:rPr>
        <w:t>Tenderers</w:t>
      </w:r>
      <w:r>
        <w:rPr>
          <w:color w:val="221F1F"/>
          <w:spacing w:val="-5"/>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provide</w:t>
      </w:r>
      <w:r>
        <w:rPr>
          <w:color w:val="221F1F"/>
          <w:spacing w:val="-6"/>
        </w:rPr>
        <w:t xml:space="preserve"> </w:t>
      </w:r>
      <w:r>
        <w:rPr>
          <w:color w:val="221F1F"/>
        </w:rPr>
        <w:t>evidence of the origin of Goods, equipment and services.</w:t>
      </w:r>
    </w:p>
    <w:p w:rsidR="007F6DF9" w:rsidRDefault="00A43FBC">
      <w:pPr>
        <w:pStyle w:val="ListParagraph"/>
        <w:numPr>
          <w:ilvl w:val="1"/>
          <w:numId w:val="227"/>
        </w:numPr>
        <w:tabs>
          <w:tab w:val="left" w:pos="1412"/>
          <w:tab w:val="left" w:pos="1418"/>
        </w:tabs>
        <w:spacing w:before="160" w:line="230" w:lineRule="auto"/>
        <w:ind w:left="1418" w:right="848" w:hanging="570"/>
        <w:jc w:val="both"/>
      </w:pPr>
      <w:r>
        <w:rPr>
          <w:color w:val="221F1F"/>
        </w:rPr>
        <w:t>Any goods, works and production processes with characteristics that have been declared by the relevant national environmental protection agency or by other competent authority as harmful</w:t>
      </w:r>
      <w:r>
        <w:rPr>
          <w:color w:val="221F1F"/>
          <w:spacing w:val="-1"/>
        </w:rPr>
        <w:t xml:space="preserve"> </w:t>
      </w:r>
      <w:r>
        <w:rPr>
          <w:color w:val="221F1F"/>
        </w:rPr>
        <w:t>to human beings</w:t>
      </w:r>
      <w:r>
        <w:rPr>
          <w:color w:val="221F1F"/>
          <w:spacing w:val="-2"/>
        </w:rPr>
        <w:t xml:space="preserve"> </w:t>
      </w:r>
      <w:r>
        <w:rPr>
          <w:color w:val="221F1F"/>
        </w:rPr>
        <w:t>and to the environment shall not be eligible for procurement.</w:t>
      </w:r>
    </w:p>
    <w:p w:rsidR="007F6DF9" w:rsidRDefault="00A43FBC">
      <w:pPr>
        <w:pStyle w:val="Heading9"/>
        <w:numPr>
          <w:ilvl w:val="1"/>
          <w:numId w:val="226"/>
        </w:numPr>
        <w:tabs>
          <w:tab w:val="left" w:pos="1416"/>
        </w:tabs>
        <w:spacing w:before="161"/>
      </w:pPr>
      <w:bookmarkStart w:id="8" w:name="_bookmark7"/>
      <w:bookmarkEnd w:id="8"/>
      <w:r>
        <w:rPr>
          <w:color w:val="221F1F"/>
          <w:spacing w:val="-4"/>
        </w:rPr>
        <w:t>Tenderer's</w:t>
      </w:r>
      <w:r>
        <w:rPr>
          <w:color w:val="221F1F"/>
          <w:spacing w:val="2"/>
        </w:rPr>
        <w:t xml:space="preserve"> </w:t>
      </w:r>
      <w:r>
        <w:rPr>
          <w:color w:val="221F1F"/>
          <w:spacing w:val="-2"/>
        </w:rPr>
        <w:t>responsibilities</w:t>
      </w:r>
    </w:p>
    <w:p w:rsidR="007F6DF9" w:rsidRDefault="00A43FBC">
      <w:pPr>
        <w:pStyle w:val="ListParagraph"/>
        <w:numPr>
          <w:ilvl w:val="1"/>
          <w:numId w:val="226"/>
        </w:numPr>
        <w:tabs>
          <w:tab w:val="left" w:pos="1414"/>
          <w:tab w:val="left" w:pos="1418"/>
        </w:tabs>
        <w:spacing w:before="159" w:line="230" w:lineRule="auto"/>
        <w:ind w:left="1418" w:right="852" w:hanging="570"/>
        <w:jc w:val="both"/>
      </w:pPr>
      <w:r>
        <w:rPr>
          <w:color w:val="221F1F"/>
        </w:rPr>
        <w:t>The tenderer shall bear all costs associated with the preparation and submission of his/her tender, and the Procuring Entity will in no case be responsible or liable for those costs.</w:t>
      </w:r>
    </w:p>
    <w:p w:rsidR="007F6DF9" w:rsidRDefault="00A43FBC">
      <w:pPr>
        <w:pStyle w:val="ListParagraph"/>
        <w:numPr>
          <w:ilvl w:val="1"/>
          <w:numId w:val="226"/>
        </w:numPr>
        <w:tabs>
          <w:tab w:val="left" w:pos="1414"/>
          <w:tab w:val="left" w:pos="1418"/>
        </w:tabs>
        <w:spacing w:before="157" w:line="230" w:lineRule="auto"/>
        <w:ind w:left="1418" w:right="843" w:hanging="570"/>
        <w:jc w:val="both"/>
      </w:pPr>
      <w:r>
        <w:rPr>
          <w:color w:val="221F1F"/>
        </w:rPr>
        <w:t>The tenderer, at the</w:t>
      </w:r>
      <w:r>
        <w:rPr>
          <w:color w:val="221F1F"/>
          <w:spacing w:val="-1"/>
        </w:rPr>
        <w:t xml:space="preserve"> </w:t>
      </w:r>
      <w:r>
        <w:rPr>
          <w:color w:val="221F1F"/>
        </w:rPr>
        <w:t>tenderer's own responsibility and risk, is encouraged to visit and examine and inspect the Site</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3"/>
        </w:rPr>
        <w:t xml:space="preserve"> </w:t>
      </w:r>
      <w:r>
        <w:rPr>
          <w:color w:val="221F1F"/>
        </w:rPr>
        <w:t>and</w:t>
      </w:r>
      <w:r>
        <w:rPr>
          <w:color w:val="221F1F"/>
          <w:spacing w:val="-14"/>
        </w:rPr>
        <w:t xml:space="preserve"> </w:t>
      </w:r>
      <w:r>
        <w:rPr>
          <w:color w:val="221F1F"/>
        </w:rPr>
        <w:t>its</w:t>
      </w:r>
      <w:r>
        <w:rPr>
          <w:color w:val="221F1F"/>
          <w:spacing w:val="-14"/>
        </w:rPr>
        <w:t xml:space="preserve"> </w:t>
      </w:r>
      <w:r>
        <w:rPr>
          <w:color w:val="221F1F"/>
        </w:rPr>
        <w:t>surroundings</w:t>
      </w:r>
      <w:r>
        <w:rPr>
          <w:color w:val="221F1F"/>
          <w:spacing w:val="-14"/>
        </w:rPr>
        <w:t xml:space="preserve"> </w:t>
      </w:r>
      <w:r>
        <w:rPr>
          <w:color w:val="221F1F"/>
        </w:rPr>
        <w:t>and</w:t>
      </w:r>
      <w:r>
        <w:rPr>
          <w:color w:val="221F1F"/>
          <w:spacing w:val="-13"/>
        </w:rPr>
        <w:t xml:space="preserve"> </w:t>
      </w:r>
      <w:r>
        <w:rPr>
          <w:color w:val="221F1F"/>
        </w:rPr>
        <w:t>obtain</w:t>
      </w:r>
      <w:r>
        <w:rPr>
          <w:color w:val="221F1F"/>
          <w:spacing w:val="-14"/>
        </w:rPr>
        <w:t xml:space="preserve"> </w:t>
      </w:r>
      <w:r>
        <w:rPr>
          <w:color w:val="221F1F"/>
        </w:rPr>
        <w:t>all</w:t>
      </w:r>
      <w:r>
        <w:rPr>
          <w:color w:val="221F1F"/>
          <w:spacing w:val="-14"/>
        </w:rPr>
        <w:t xml:space="preserve"> </w:t>
      </w:r>
      <w:r>
        <w:rPr>
          <w:color w:val="221F1F"/>
        </w:rPr>
        <w:t>information</w:t>
      </w:r>
      <w:r>
        <w:rPr>
          <w:color w:val="221F1F"/>
          <w:spacing w:val="-14"/>
        </w:rPr>
        <w:t xml:space="preserve"> </w:t>
      </w:r>
      <w:r>
        <w:rPr>
          <w:color w:val="221F1F"/>
        </w:rPr>
        <w:t>that</w:t>
      </w:r>
      <w:r>
        <w:rPr>
          <w:color w:val="221F1F"/>
          <w:spacing w:val="-12"/>
        </w:rPr>
        <w:t xml:space="preserve"> </w:t>
      </w:r>
      <w:r>
        <w:rPr>
          <w:color w:val="221F1F"/>
        </w:rPr>
        <w:t>may</w:t>
      </w:r>
      <w:r>
        <w:rPr>
          <w:color w:val="221F1F"/>
          <w:spacing w:val="-14"/>
        </w:rPr>
        <w:t xml:space="preserve"> </w:t>
      </w:r>
      <w:r>
        <w:rPr>
          <w:color w:val="221F1F"/>
        </w:rPr>
        <w:t>be</w:t>
      </w:r>
      <w:r>
        <w:rPr>
          <w:color w:val="221F1F"/>
          <w:spacing w:val="-13"/>
        </w:rPr>
        <w:t xml:space="preserve"> </w:t>
      </w:r>
      <w:r>
        <w:rPr>
          <w:color w:val="221F1F"/>
        </w:rPr>
        <w:t>necessary</w:t>
      </w:r>
      <w:r>
        <w:rPr>
          <w:color w:val="221F1F"/>
          <w:spacing w:val="-13"/>
        </w:rPr>
        <w:t xml:space="preserve"> </w:t>
      </w:r>
      <w:r>
        <w:rPr>
          <w:color w:val="221F1F"/>
        </w:rPr>
        <w:t>for</w:t>
      </w:r>
      <w:r>
        <w:rPr>
          <w:color w:val="221F1F"/>
          <w:spacing w:val="-13"/>
        </w:rPr>
        <w:t xml:space="preserve"> </w:t>
      </w:r>
      <w:r>
        <w:rPr>
          <w:color w:val="221F1F"/>
        </w:rPr>
        <w:t>preparing</w:t>
      </w:r>
      <w:r>
        <w:rPr>
          <w:color w:val="221F1F"/>
          <w:spacing w:val="-13"/>
        </w:rPr>
        <w:t xml:space="preserve"> </w:t>
      </w:r>
      <w:r>
        <w:rPr>
          <w:color w:val="221F1F"/>
        </w:rPr>
        <w:t>the</w:t>
      </w:r>
      <w:r>
        <w:rPr>
          <w:color w:val="221F1F"/>
          <w:spacing w:val="-14"/>
        </w:rPr>
        <w:t xml:space="preserve"> </w:t>
      </w:r>
      <w:r>
        <w:rPr>
          <w:color w:val="221F1F"/>
        </w:rPr>
        <w:t>tender and</w:t>
      </w:r>
      <w:r>
        <w:rPr>
          <w:color w:val="221F1F"/>
          <w:spacing w:val="-10"/>
        </w:rPr>
        <w:t xml:space="preserve"> </w:t>
      </w:r>
      <w:r>
        <w:rPr>
          <w:color w:val="221F1F"/>
        </w:rPr>
        <w:t>entering</w:t>
      </w:r>
      <w:r>
        <w:rPr>
          <w:color w:val="221F1F"/>
          <w:spacing w:val="-10"/>
        </w:rPr>
        <w:t xml:space="preserve"> </w:t>
      </w:r>
      <w:r>
        <w:rPr>
          <w:color w:val="221F1F"/>
        </w:rPr>
        <w:t>into</w:t>
      </w:r>
      <w:r>
        <w:rPr>
          <w:color w:val="221F1F"/>
          <w:spacing w:val="-9"/>
        </w:rPr>
        <w:t xml:space="preserve"> </w:t>
      </w:r>
      <w:r>
        <w:rPr>
          <w:color w:val="221F1F"/>
        </w:rPr>
        <w:t>a</w:t>
      </w:r>
      <w:r>
        <w:rPr>
          <w:color w:val="221F1F"/>
          <w:spacing w:val="-10"/>
        </w:rPr>
        <w:t xml:space="preserve"> </w:t>
      </w:r>
      <w:r>
        <w:rPr>
          <w:color w:val="221F1F"/>
        </w:rPr>
        <w:t>contract</w:t>
      </w:r>
      <w:r>
        <w:rPr>
          <w:color w:val="221F1F"/>
          <w:spacing w:val="-11"/>
        </w:rPr>
        <w:t xml:space="preserve"> </w:t>
      </w:r>
      <w:r>
        <w:rPr>
          <w:color w:val="221F1F"/>
        </w:rPr>
        <w:t>for</w:t>
      </w:r>
      <w:r>
        <w:rPr>
          <w:color w:val="221F1F"/>
          <w:spacing w:val="-10"/>
        </w:rPr>
        <w:t xml:space="preserve"> </w:t>
      </w:r>
      <w:r>
        <w:rPr>
          <w:color w:val="221F1F"/>
        </w:rPr>
        <w:t>construction</w:t>
      </w:r>
      <w:r>
        <w:rPr>
          <w:color w:val="221F1F"/>
          <w:spacing w:val="-9"/>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Works.</w:t>
      </w:r>
      <w:r>
        <w:rPr>
          <w:color w:val="221F1F"/>
          <w:spacing w:val="-14"/>
        </w:rPr>
        <w:t xml:space="preserve"> </w:t>
      </w:r>
      <w:r>
        <w:rPr>
          <w:color w:val="221F1F"/>
        </w:rPr>
        <w:t>The</w:t>
      </w:r>
      <w:r>
        <w:rPr>
          <w:color w:val="221F1F"/>
          <w:spacing w:val="-9"/>
        </w:rPr>
        <w:t xml:space="preserve"> </w:t>
      </w:r>
      <w:r>
        <w:rPr>
          <w:color w:val="221F1F"/>
        </w:rPr>
        <w:t>costs</w:t>
      </w:r>
      <w:r>
        <w:rPr>
          <w:color w:val="221F1F"/>
          <w:spacing w:val="-9"/>
        </w:rPr>
        <w:t xml:space="preserve"> </w:t>
      </w:r>
      <w:r>
        <w:rPr>
          <w:color w:val="221F1F"/>
        </w:rPr>
        <w:t>of</w:t>
      </w:r>
      <w:r>
        <w:rPr>
          <w:color w:val="221F1F"/>
          <w:spacing w:val="-9"/>
        </w:rPr>
        <w:t xml:space="preserve"> </w:t>
      </w:r>
      <w:r>
        <w:rPr>
          <w:color w:val="221F1F"/>
        </w:rPr>
        <w:t>visiting</w:t>
      </w:r>
      <w:r>
        <w:rPr>
          <w:color w:val="221F1F"/>
          <w:spacing w:val="-9"/>
        </w:rPr>
        <w:t xml:space="preserve"> </w:t>
      </w:r>
      <w:r>
        <w:rPr>
          <w:color w:val="221F1F"/>
        </w:rPr>
        <w:t>the</w:t>
      </w:r>
      <w:r>
        <w:rPr>
          <w:color w:val="221F1F"/>
          <w:spacing w:val="-11"/>
        </w:rPr>
        <w:t xml:space="preserve"> </w:t>
      </w:r>
      <w:r>
        <w:rPr>
          <w:color w:val="221F1F"/>
        </w:rPr>
        <w:t>Site</w:t>
      </w:r>
      <w:r>
        <w:rPr>
          <w:color w:val="221F1F"/>
          <w:spacing w:val="-10"/>
        </w:rPr>
        <w:t xml:space="preserve"> </w:t>
      </w:r>
      <w:r>
        <w:rPr>
          <w:color w:val="221F1F"/>
        </w:rPr>
        <w:t>shall</w:t>
      </w:r>
      <w:r>
        <w:rPr>
          <w:color w:val="221F1F"/>
          <w:spacing w:val="-10"/>
        </w:rPr>
        <w:t xml:space="preserve"> </w:t>
      </w:r>
      <w:r>
        <w:rPr>
          <w:color w:val="221F1F"/>
        </w:rPr>
        <w:t>beat</w:t>
      </w:r>
      <w:r>
        <w:rPr>
          <w:color w:val="221F1F"/>
          <w:spacing w:val="-10"/>
        </w:rPr>
        <w:t xml:space="preserve"> </w:t>
      </w:r>
      <w:r>
        <w:rPr>
          <w:color w:val="221F1F"/>
        </w:rPr>
        <w:t>the</w:t>
      </w:r>
      <w:r>
        <w:rPr>
          <w:color w:val="221F1F"/>
          <w:spacing w:val="-10"/>
        </w:rPr>
        <w:t xml:space="preserve"> </w:t>
      </w:r>
      <w:r>
        <w:rPr>
          <w:color w:val="221F1F"/>
        </w:rPr>
        <w:t>tenderer's own expense.</w:t>
      </w:r>
    </w:p>
    <w:p w:rsidR="007F6DF9" w:rsidRDefault="00A43FBC">
      <w:pPr>
        <w:pStyle w:val="ListParagraph"/>
        <w:numPr>
          <w:ilvl w:val="1"/>
          <w:numId w:val="226"/>
        </w:numPr>
        <w:tabs>
          <w:tab w:val="left" w:pos="1414"/>
          <w:tab w:val="left" w:pos="1418"/>
        </w:tabs>
        <w:spacing w:before="159" w:line="230" w:lineRule="auto"/>
        <w:ind w:left="1418" w:right="843" w:hanging="570"/>
        <w:jc w:val="both"/>
      </w:pPr>
      <w:r>
        <w:rPr>
          <w:color w:val="221F1F"/>
        </w:rPr>
        <w:t>The Tenderer and any of its personnel or agents will be granted permission by the Procuring Entity to enter upon its premises and lands for the purpose of such visit. The Tenderer shall indemnify the Procuring Entity again stall liability arising from death or personal injury, loss of or damage to property, and any other losses and expenses incurred as a result of the examination and inspection.</w:t>
      </w:r>
    </w:p>
    <w:p w:rsidR="007F6DF9" w:rsidRDefault="007F6DF9">
      <w:pPr>
        <w:pStyle w:val="ListParagraph"/>
        <w:spacing w:line="230" w:lineRule="auto"/>
        <w:jc w:val="both"/>
        <w:sectPr w:rsidR="007F6DF9">
          <w:pgSz w:w="11920" w:h="16850"/>
          <w:pgMar w:top="360" w:right="0" w:bottom="620" w:left="0" w:header="0" w:footer="437" w:gutter="0"/>
          <w:cols w:space="720"/>
        </w:sectPr>
      </w:pPr>
    </w:p>
    <w:p w:rsidR="007F6DF9" w:rsidRDefault="00A43FBC">
      <w:pPr>
        <w:pStyle w:val="BodyText"/>
      </w:pPr>
      <w:r>
        <w:rPr>
          <w:noProof/>
        </w:rPr>
        <w:lastRenderedPageBreak/>
        <mc:AlternateContent>
          <mc:Choice Requires="wpg">
            <w:drawing>
              <wp:anchor distT="0" distB="0" distL="0" distR="0" simplePos="0" relativeHeight="251642368"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6" name="Graphic 4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7" name="Graphic 4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3A25166D" id="Group 45" o:spid="_x0000_s1026" style="position:absolute;margin-left:0;margin-top:806.2pt;width:595.4pt;height:24.5pt;z-index:-251674112;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">
                <v:shape id="Graphic 4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" path="m946150,l,,,153670r7620,48895l29845,245110r33020,33020l105409,300355r48261,7620l946150,307975,946150,xe" fillcolor="#011f5e" stroked="f">
                  <v:path arrowok="t"/>
                </v:shape>
                <v:shape id="Graphic 4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7F6DF9" w:rsidRDefault="007F6DF9">
      <w:pPr>
        <w:pStyle w:val="BodyText"/>
        <w:spacing w:before="43"/>
      </w:pPr>
    </w:p>
    <w:p w:rsidR="007F6DF9" w:rsidRDefault="00A43FBC">
      <w:pPr>
        <w:pStyle w:val="ListParagraph"/>
        <w:numPr>
          <w:ilvl w:val="1"/>
          <w:numId w:val="226"/>
        </w:numPr>
        <w:tabs>
          <w:tab w:val="left" w:pos="1418"/>
          <w:tab w:val="left" w:pos="1426"/>
        </w:tabs>
        <w:spacing w:before="1" w:line="230" w:lineRule="auto"/>
        <w:ind w:left="1426" w:right="848" w:hanging="577"/>
      </w:pPr>
      <w:r>
        <w:rPr>
          <w:color w:val="221F1F"/>
        </w:rPr>
        <w:t>The tenderer shall provide in the Form of Tender</w:t>
      </w:r>
      <w:r>
        <w:rPr>
          <w:color w:val="221F1F"/>
          <w:spacing w:val="-1"/>
        </w:rPr>
        <w:t xml:space="preserve"> </w:t>
      </w:r>
      <w:r>
        <w:rPr>
          <w:color w:val="221F1F"/>
        </w:rPr>
        <w:t>and Qualification Information, a preliminary description of the proposed work method and schedule, including charts, as necessary or required.</w:t>
      </w:r>
    </w:p>
    <w:p w:rsidR="007F6DF9" w:rsidRDefault="007F6DF9">
      <w:pPr>
        <w:pStyle w:val="BodyText"/>
        <w:spacing w:before="28"/>
      </w:pPr>
    </w:p>
    <w:p w:rsidR="007F6DF9" w:rsidRDefault="00A43FBC">
      <w:pPr>
        <w:pStyle w:val="Heading8"/>
        <w:numPr>
          <w:ilvl w:val="0"/>
          <w:numId w:val="225"/>
        </w:numPr>
        <w:tabs>
          <w:tab w:val="left" w:pos="1416"/>
        </w:tabs>
      </w:pPr>
      <w:bookmarkStart w:id="9" w:name="_bookmark8"/>
      <w:bookmarkEnd w:id="9"/>
      <w:r>
        <w:rPr>
          <w:color w:val="221F1F"/>
          <w:u w:val="single" w:color="221F1F"/>
        </w:rPr>
        <w:t>CONTENTS</w:t>
      </w:r>
      <w:r>
        <w:rPr>
          <w:color w:val="221F1F"/>
          <w:spacing w:val="-6"/>
          <w:u w:val="single" w:color="221F1F"/>
        </w:rPr>
        <w:t xml:space="preserve"> </w:t>
      </w:r>
      <w:r>
        <w:rPr>
          <w:color w:val="221F1F"/>
          <w:u w:val="single" w:color="221F1F"/>
        </w:rPr>
        <w:t>OF</w:t>
      </w:r>
      <w:r>
        <w:rPr>
          <w:color w:val="221F1F"/>
          <w:spacing w:val="-6"/>
          <w:u w:val="single" w:color="221F1F"/>
        </w:rPr>
        <w:t xml:space="preserve"> </w:t>
      </w:r>
      <w:r>
        <w:rPr>
          <w:color w:val="221F1F"/>
          <w:u w:val="single" w:color="221F1F"/>
        </w:rPr>
        <w:t>TENDER</w:t>
      </w:r>
      <w:r>
        <w:rPr>
          <w:color w:val="221F1F"/>
          <w:spacing w:val="-5"/>
          <w:u w:val="single" w:color="221F1F"/>
        </w:rPr>
        <w:t xml:space="preserve"> </w:t>
      </w:r>
      <w:r>
        <w:rPr>
          <w:color w:val="221F1F"/>
          <w:spacing w:val="-2"/>
          <w:u w:val="single" w:color="221F1F"/>
        </w:rPr>
        <w:t>DOCUMENTS</w:t>
      </w:r>
    </w:p>
    <w:p w:rsidR="007F6DF9" w:rsidRDefault="007F6DF9">
      <w:pPr>
        <w:pStyle w:val="BodyText"/>
        <w:spacing w:before="25"/>
        <w:rPr>
          <w:b/>
        </w:rPr>
      </w:pPr>
    </w:p>
    <w:p w:rsidR="007F6DF9" w:rsidRDefault="00A43FBC">
      <w:pPr>
        <w:pStyle w:val="Heading9"/>
        <w:numPr>
          <w:ilvl w:val="1"/>
          <w:numId w:val="224"/>
        </w:numPr>
        <w:tabs>
          <w:tab w:val="left" w:pos="1425"/>
        </w:tabs>
        <w:ind w:left="1425" w:hanging="576"/>
      </w:pPr>
      <w:bookmarkStart w:id="10" w:name="_bookmark9"/>
      <w:bookmarkEnd w:id="10"/>
      <w:r>
        <w:rPr>
          <w:color w:val="221F1F"/>
          <w:spacing w:val="-2"/>
        </w:rPr>
        <w:t>Sections</w:t>
      </w:r>
      <w:r>
        <w:rPr>
          <w:color w:val="221F1F"/>
          <w:spacing w:val="-1"/>
        </w:rPr>
        <w:t xml:space="preserve"> </w:t>
      </w:r>
      <w:r>
        <w:rPr>
          <w:color w:val="221F1F"/>
          <w:spacing w:val="-2"/>
        </w:rPr>
        <w:t>of</w:t>
      </w:r>
      <w:r>
        <w:rPr>
          <w:color w:val="221F1F"/>
          <w:spacing w:val="1"/>
        </w:rPr>
        <w:t xml:space="preserve"> </w:t>
      </w:r>
      <w:r>
        <w:rPr>
          <w:color w:val="221F1F"/>
          <w:spacing w:val="-2"/>
        </w:rPr>
        <w:t>Tender</w:t>
      </w:r>
      <w:r>
        <w:rPr>
          <w:color w:val="221F1F"/>
          <w:spacing w:val="-10"/>
        </w:rPr>
        <w:t xml:space="preserve"> </w:t>
      </w:r>
      <w:r>
        <w:rPr>
          <w:color w:val="221F1F"/>
          <w:spacing w:val="-2"/>
        </w:rPr>
        <w:t>Document</w:t>
      </w:r>
    </w:p>
    <w:p w:rsidR="007F6DF9" w:rsidRDefault="007F6DF9">
      <w:pPr>
        <w:pStyle w:val="BodyText"/>
        <w:spacing w:before="1"/>
        <w:rPr>
          <w:b/>
        </w:rPr>
      </w:pPr>
    </w:p>
    <w:p w:rsidR="007F6DF9" w:rsidRDefault="00A43FBC">
      <w:pPr>
        <w:pStyle w:val="ListParagraph"/>
        <w:numPr>
          <w:ilvl w:val="1"/>
          <w:numId w:val="224"/>
        </w:numPr>
        <w:tabs>
          <w:tab w:val="left" w:pos="1426"/>
          <w:tab w:val="left" w:pos="1438"/>
        </w:tabs>
        <w:spacing w:line="230" w:lineRule="auto"/>
        <w:ind w:left="1438" w:right="843" w:hanging="589"/>
        <w:jc w:val="both"/>
      </w:pPr>
      <w:r>
        <w:rPr>
          <w:color w:val="221F1F"/>
        </w:rPr>
        <w:t>The tender document consists</w:t>
      </w:r>
      <w:r>
        <w:rPr>
          <w:color w:val="221F1F"/>
          <w:spacing w:val="-1"/>
        </w:rPr>
        <w:t xml:space="preserve"> </w:t>
      </w:r>
      <w:r>
        <w:rPr>
          <w:color w:val="221F1F"/>
        </w:rPr>
        <w:t>of Parts</w:t>
      </w:r>
      <w:r>
        <w:rPr>
          <w:color w:val="221F1F"/>
          <w:spacing w:val="-1"/>
        </w:rPr>
        <w:t xml:space="preserve"> </w:t>
      </w:r>
      <w:r>
        <w:rPr>
          <w:color w:val="221F1F"/>
        </w:rPr>
        <w:t>1, 2,</w:t>
      </w:r>
      <w:r>
        <w:rPr>
          <w:color w:val="221F1F"/>
          <w:spacing w:val="-1"/>
        </w:rPr>
        <w:t xml:space="preserve"> </w:t>
      </w:r>
      <w:r>
        <w:rPr>
          <w:color w:val="221F1F"/>
        </w:rPr>
        <w:t>and</w:t>
      </w:r>
      <w:r>
        <w:rPr>
          <w:color w:val="221F1F"/>
          <w:spacing w:val="-1"/>
        </w:rPr>
        <w:t xml:space="preserve"> </w:t>
      </w:r>
      <w:r>
        <w:rPr>
          <w:color w:val="221F1F"/>
        </w:rPr>
        <w:t>3, which includes all the</w:t>
      </w:r>
      <w:r>
        <w:rPr>
          <w:color w:val="221F1F"/>
          <w:spacing w:val="-1"/>
        </w:rPr>
        <w:t xml:space="preserve"> </w:t>
      </w:r>
      <w:r>
        <w:rPr>
          <w:color w:val="221F1F"/>
        </w:rPr>
        <w:t>sections</w:t>
      </w:r>
      <w:r>
        <w:rPr>
          <w:color w:val="221F1F"/>
          <w:spacing w:val="-2"/>
        </w:rPr>
        <w:t xml:space="preserve"> </w:t>
      </w:r>
      <w:r>
        <w:rPr>
          <w:color w:val="221F1F"/>
        </w:rPr>
        <w:t>specified below,</w:t>
      </w:r>
      <w:r>
        <w:rPr>
          <w:color w:val="221F1F"/>
          <w:spacing w:val="-5"/>
        </w:rPr>
        <w:t xml:space="preserve"> </w:t>
      </w:r>
      <w:r>
        <w:rPr>
          <w:color w:val="221F1F"/>
        </w:rPr>
        <w:t>and</w:t>
      </w:r>
      <w:r>
        <w:rPr>
          <w:color w:val="221F1F"/>
          <w:spacing w:val="-1"/>
        </w:rPr>
        <w:t xml:space="preserve"> </w:t>
      </w:r>
      <w:r>
        <w:rPr>
          <w:color w:val="221F1F"/>
        </w:rPr>
        <w:t>which should be read in conjunction with any Addenda issued in accordance with ITT 10.</w:t>
      </w:r>
    </w:p>
    <w:p w:rsidR="007F6DF9" w:rsidRDefault="00A43FBC">
      <w:pPr>
        <w:pStyle w:val="BodyText"/>
        <w:spacing w:before="242" w:line="230" w:lineRule="auto"/>
        <w:ind w:left="1411" w:right="6881"/>
      </w:pPr>
      <w:r>
        <w:rPr>
          <w:b/>
          <w:color w:val="221F1F"/>
        </w:rPr>
        <w:t xml:space="preserve">PART 1: Tendering Procedures </w:t>
      </w:r>
      <w:r>
        <w:rPr>
          <w:color w:val="221F1F"/>
        </w:rPr>
        <w:t xml:space="preserve">Section I – Instructions </w:t>
      </w:r>
      <w:proofErr w:type="spellStart"/>
      <w:r>
        <w:rPr>
          <w:color w:val="221F1F"/>
        </w:rPr>
        <w:t>toTenderers</w:t>
      </w:r>
      <w:proofErr w:type="spellEnd"/>
      <w:r>
        <w:rPr>
          <w:color w:val="221F1F"/>
        </w:rPr>
        <w:t xml:space="preserve"> Section II – Tender Data Sheet (TDS) Section</w:t>
      </w:r>
      <w:r>
        <w:rPr>
          <w:color w:val="221F1F"/>
          <w:spacing w:val="-8"/>
        </w:rPr>
        <w:t xml:space="preserve"> </w:t>
      </w:r>
      <w:r>
        <w:rPr>
          <w:color w:val="221F1F"/>
        </w:rPr>
        <w:t>III-</w:t>
      </w:r>
      <w:r>
        <w:rPr>
          <w:color w:val="221F1F"/>
          <w:spacing w:val="-9"/>
        </w:rPr>
        <w:t xml:space="preserve"> </w:t>
      </w:r>
      <w:r>
        <w:rPr>
          <w:color w:val="221F1F"/>
        </w:rPr>
        <w:t>Evaluation</w:t>
      </w:r>
      <w:r>
        <w:rPr>
          <w:color w:val="221F1F"/>
          <w:spacing w:val="-8"/>
        </w:rPr>
        <w:t xml:space="preserve"> </w:t>
      </w:r>
      <w:r>
        <w:rPr>
          <w:color w:val="221F1F"/>
        </w:rPr>
        <w:t>and</w:t>
      </w:r>
      <w:r>
        <w:rPr>
          <w:color w:val="221F1F"/>
          <w:spacing w:val="-9"/>
        </w:rPr>
        <w:t xml:space="preserve"> </w:t>
      </w:r>
      <w:r>
        <w:rPr>
          <w:color w:val="221F1F"/>
        </w:rPr>
        <w:t>Qualification Criteria Section IV – Tendering Forms</w:t>
      </w:r>
    </w:p>
    <w:p w:rsidR="007F6DF9" w:rsidRDefault="007F6DF9">
      <w:pPr>
        <w:pStyle w:val="BodyText"/>
        <w:spacing w:before="26"/>
      </w:pPr>
    </w:p>
    <w:p w:rsidR="007F6DF9" w:rsidRDefault="00A43FBC">
      <w:pPr>
        <w:spacing w:line="230" w:lineRule="auto"/>
        <w:ind w:left="1416" w:right="7487"/>
      </w:pPr>
      <w:r>
        <w:rPr>
          <w:b/>
          <w:color w:val="221F1F"/>
          <w:spacing w:val="-2"/>
        </w:rPr>
        <w:t>PART</w:t>
      </w:r>
      <w:r>
        <w:rPr>
          <w:b/>
          <w:color w:val="221F1F"/>
          <w:spacing w:val="-16"/>
        </w:rPr>
        <w:t xml:space="preserve"> </w:t>
      </w:r>
      <w:r>
        <w:rPr>
          <w:b/>
          <w:color w:val="221F1F"/>
          <w:spacing w:val="-2"/>
        </w:rPr>
        <w:t>2:</w:t>
      </w:r>
      <w:r>
        <w:rPr>
          <w:b/>
          <w:color w:val="221F1F"/>
          <w:spacing w:val="-10"/>
        </w:rPr>
        <w:t xml:space="preserve"> </w:t>
      </w:r>
      <w:r>
        <w:rPr>
          <w:b/>
          <w:color w:val="221F1F"/>
          <w:spacing w:val="-2"/>
        </w:rPr>
        <w:t>Works'</w:t>
      </w:r>
      <w:r>
        <w:rPr>
          <w:b/>
          <w:color w:val="221F1F"/>
          <w:spacing w:val="-10"/>
        </w:rPr>
        <w:t xml:space="preserve"> </w:t>
      </w:r>
      <w:r>
        <w:rPr>
          <w:b/>
          <w:color w:val="221F1F"/>
          <w:spacing w:val="-2"/>
        </w:rPr>
        <w:t xml:space="preserve">Requirements </w:t>
      </w:r>
      <w:r>
        <w:rPr>
          <w:color w:val="221F1F"/>
        </w:rPr>
        <w:t>Section V - Bills of Quantities Section VI - Specifications Section VII - Drawings</w:t>
      </w:r>
    </w:p>
    <w:p w:rsidR="007F6DF9" w:rsidRDefault="007F6DF9">
      <w:pPr>
        <w:pStyle w:val="BodyText"/>
        <w:spacing w:before="19"/>
      </w:pPr>
    </w:p>
    <w:p w:rsidR="007F6DF9" w:rsidRDefault="00A43FBC">
      <w:pPr>
        <w:pStyle w:val="Heading9"/>
        <w:spacing w:before="1" w:line="237" w:lineRule="auto"/>
        <w:ind w:left="1416" w:right="4853" w:firstLine="0"/>
      </w:pPr>
      <w:r>
        <w:rPr>
          <w:color w:val="221F1F"/>
        </w:rPr>
        <w:t>PART</w:t>
      </w:r>
      <w:r>
        <w:rPr>
          <w:color w:val="221F1F"/>
          <w:spacing w:val="-5"/>
        </w:rPr>
        <w:t xml:space="preserve"> </w:t>
      </w:r>
      <w:r>
        <w:rPr>
          <w:color w:val="221F1F"/>
        </w:rPr>
        <w:t>3</w:t>
      </w:r>
      <w:r>
        <w:rPr>
          <w:b w:val="0"/>
          <w:color w:val="221F1F"/>
        </w:rPr>
        <w:t>:</w:t>
      </w:r>
      <w:r>
        <w:rPr>
          <w:b w:val="0"/>
          <w:color w:val="221F1F"/>
          <w:spacing w:val="-3"/>
        </w:rPr>
        <w:t xml:space="preserve"> </w:t>
      </w:r>
      <w:r>
        <w:rPr>
          <w:color w:val="221F1F"/>
        </w:rPr>
        <w:t>Conditions</w:t>
      </w:r>
      <w:r>
        <w:rPr>
          <w:color w:val="221F1F"/>
          <w:spacing w:val="-6"/>
        </w:rPr>
        <w:t xml:space="preserve"> </w:t>
      </w:r>
      <w:r>
        <w:rPr>
          <w:color w:val="221F1F"/>
        </w:rPr>
        <w:t>of</w:t>
      </w:r>
      <w:r>
        <w:rPr>
          <w:color w:val="221F1F"/>
          <w:spacing w:val="-4"/>
        </w:rPr>
        <w:t xml:space="preserve"> </w:t>
      </w:r>
      <w:r>
        <w:rPr>
          <w:color w:val="221F1F"/>
        </w:rPr>
        <w:t>Contract</w:t>
      </w:r>
      <w:r>
        <w:rPr>
          <w:color w:val="221F1F"/>
          <w:spacing w:val="-4"/>
        </w:rPr>
        <w:t xml:space="preserve"> </w:t>
      </w:r>
      <w:r>
        <w:rPr>
          <w:color w:val="221F1F"/>
        </w:rPr>
        <w:t>and</w:t>
      </w:r>
      <w:r>
        <w:rPr>
          <w:color w:val="221F1F"/>
          <w:spacing w:val="-5"/>
        </w:rPr>
        <w:t xml:space="preserve"> </w:t>
      </w:r>
      <w:r>
        <w:rPr>
          <w:color w:val="221F1F"/>
        </w:rPr>
        <w:t>Contract</w:t>
      </w:r>
      <w:r>
        <w:rPr>
          <w:color w:val="221F1F"/>
          <w:spacing w:val="-4"/>
        </w:rPr>
        <w:t xml:space="preserve"> </w:t>
      </w:r>
      <w:r>
        <w:rPr>
          <w:color w:val="221F1F"/>
        </w:rPr>
        <w:t>Forms Section VIII - General Conditions (GCC)</w:t>
      </w:r>
    </w:p>
    <w:p w:rsidR="007F6DF9" w:rsidRDefault="00A43FBC">
      <w:pPr>
        <w:pStyle w:val="BodyText"/>
        <w:spacing w:line="230" w:lineRule="auto"/>
        <w:ind w:left="1416" w:right="6300" w:hanging="5"/>
      </w:pPr>
      <w:r>
        <w:rPr>
          <w:color w:val="221F1F"/>
        </w:rPr>
        <w:t>Section</w:t>
      </w:r>
      <w:r>
        <w:rPr>
          <w:color w:val="221F1F"/>
          <w:spacing w:val="-5"/>
        </w:rPr>
        <w:t xml:space="preserve"> </w:t>
      </w:r>
      <w:r>
        <w:rPr>
          <w:color w:val="221F1F"/>
        </w:rPr>
        <w:t>IX</w:t>
      </w:r>
      <w:r>
        <w:rPr>
          <w:color w:val="221F1F"/>
          <w:spacing w:val="-6"/>
        </w:rPr>
        <w:t xml:space="preserve"> </w:t>
      </w:r>
      <w:r>
        <w:rPr>
          <w:color w:val="221F1F"/>
        </w:rPr>
        <w:t>-</w:t>
      </w:r>
      <w:r>
        <w:rPr>
          <w:color w:val="221F1F"/>
          <w:spacing w:val="-7"/>
        </w:rPr>
        <w:t xml:space="preserve"> </w:t>
      </w:r>
      <w:r>
        <w:rPr>
          <w:color w:val="221F1F"/>
        </w:rPr>
        <w:t>Special</w:t>
      </w:r>
      <w:r>
        <w:rPr>
          <w:color w:val="221F1F"/>
          <w:spacing w:val="-4"/>
        </w:rPr>
        <w:t xml:space="preserve"> </w:t>
      </w:r>
      <w:r>
        <w:rPr>
          <w:color w:val="221F1F"/>
        </w:rPr>
        <w:t>Conditions</w:t>
      </w:r>
      <w:r>
        <w:rPr>
          <w:color w:val="221F1F"/>
          <w:spacing w:val="-4"/>
        </w:rPr>
        <w:t xml:space="preserve"> </w:t>
      </w:r>
      <w:r>
        <w:rPr>
          <w:color w:val="221F1F"/>
        </w:rPr>
        <w:t>of</w:t>
      </w:r>
      <w:r>
        <w:rPr>
          <w:color w:val="221F1F"/>
          <w:spacing w:val="-4"/>
        </w:rPr>
        <w:t xml:space="preserve"> </w:t>
      </w:r>
      <w:r>
        <w:rPr>
          <w:color w:val="221F1F"/>
        </w:rPr>
        <w:t>Contract Section X- Contract Forms</w:t>
      </w:r>
    </w:p>
    <w:p w:rsidR="007F6DF9" w:rsidRDefault="00A43FBC">
      <w:pPr>
        <w:pStyle w:val="ListParagraph"/>
        <w:numPr>
          <w:ilvl w:val="1"/>
          <w:numId w:val="224"/>
        </w:numPr>
        <w:tabs>
          <w:tab w:val="left" w:pos="1417"/>
          <w:tab w:val="left" w:pos="1438"/>
        </w:tabs>
        <w:spacing w:before="241" w:line="230" w:lineRule="auto"/>
        <w:ind w:left="1438" w:right="843" w:hanging="627"/>
        <w:jc w:val="both"/>
      </w:pPr>
      <w:r>
        <w:rPr>
          <w:color w:val="221F1F"/>
        </w:rPr>
        <w:t>The Invitation to Tender Notice issued by the Procuring Entity is not part of the Contract documents. Unless obtained</w:t>
      </w:r>
      <w:r>
        <w:rPr>
          <w:color w:val="221F1F"/>
          <w:spacing w:val="-10"/>
        </w:rPr>
        <w:t xml:space="preserve"> </w:t>
      </w:r>
      <w:r>
        <w:rPr>
          <w:color w:val="221F1F"/>
        </w:rPr>
        <w:t>directly</w:t>
      </w:r>
      <w:r>
        <w:rPr>
          <w:color w:val="221F1F"/>
          <w:spacing w:val="-8"/>
        </w:rPr>
        <w:t xml:space="preserve"> </w:t>
      </w:r>
      <w:r>
        <w:rPr>
          <w:color w:val="221F1F"/>
        </w:rPr>
        <w:t>from</w:t>
      </w:r>
      <w:r>
        <w:rPr>
          <w:color w:val="221F1F"/>
          <w:spacing w:val="-9"/>
        </w:rPr>
        <w:t xml:space="preserve"> </w:t>
      </w:r>
      <w:r>
        <w:rPr>
          <w:color w:val="221F1F"/>
        </w:rPr>
        <w:t>the</w:t>
      </w:r>
      <w:r>
        <w:rPr>
          <w:color w:val="221F1F"/>
          <w:spacing w:val="-7"/>
        </w:rPr>
        <w:t xml:space="preserve"> </w:t>
      </w:r>
      <w:r>
        <w:rPr>
          <w:color w:val="221F1F"/>
        </w:rPr>
        <w:t>Procuring</w:t>
      </w:r>
      <w:r>
        <w:rPr>
          <w:color w:val="221F1F"/>
          <w:spacing w:val="-10"/>
        </w:rPr>
        <w:t xml:space="preserve"> </w:t>
      </w:r>
      <w:r>
        <w:rPr>
          <w:color w:val="221F1F"/>
        </w:rPr>
        <w:t>Entity,</w:t>
      </w:r>
      <w:r>
        <w:rPr>
          <w:color w:val="221F1F"/>
          <w:spacing w:val="-14"/>
        </w:rPr>
        <w:t xml:space="preserve"> </w:t>
      </w:r>
      <w:r>
        <w:rPr>
          <w:color w:val="221F1F"/>
        </w:rPr>
        <w:t>the</w:t>
      </w:r>
      <w:r>
        <w:rPr>
          <w:color w:val="221F1F"/>
          <w:spacing w:val="-8"/>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is</w:t>
      </w:r>
      <w:r>
        <w:rPr>
          <w:color w:val="221F1F"/>
          <w:spacing w:val="-8"/>
        </w:rPr>
        <w:t xml:space="preserve"> </w:t>
      </w:r>
      <w:r>
        <w:rPr>
          <w:color w:val="221F1F"/>
        </w:rPr>
        <w:t>not</w:t>
      </w:r>
      <w:r>
        <w:rPr>
          <w:color w:val="221F1F"/>
          <w:spacing w:val="-9"/>
        </w:rPr>
        <w:t xml:space="preserve"> </w:t>
      </w:r>
      <w:r>
        <w:rPr>
          <w:color w:val="221F1F"/>
        </w:rPr>
        <w:t>responsible</w:t>
      </w:r>
      <w:r>
        <w:rPr>
          <w:color w:val="221F1F"/>
          <w:spacing w:val="-9"/>
        </w:rPr>
        <w:t xml:space="preserve"> </w:t>
      </w:r>
      <w:r>
        <w:rPr>
          <w:color w:val="221F1F"/>
        </w:rPr>
        <w:t>for</w:t>
      </w:r>
      <w:r>
        <w:rPr>
          <w:color w:val="221F1F"/>
          <w:spacing w:val="-10"/>
        </w:rPr>
        <w:t xml:space="preserve"> </w:t>
      </w:r>
      <w:r>
        <w:rPr>
          <w:color w:val="221F1F"/>
        </w:rPr>
        <w:t>the</w:t>
      </w:r>
      <w:r>
        <w:rPr>
          <w:color w:val="221F1F"/>
          <w:spacing w:val="-9"/>
        </w:rPr>
        <w:t xml:space="preserve"> </w:t>
      </w:r>
      <w:r>
        <w:rPr>
          <w:color w:val="221F1F"/>
        </w:rPr>
        <w:t>completeness</w:t>
      </w:r>
      <w:r>
        <w:rPr>
          <w:color w:val="221F1F"/>
          <w:spacing w:val="-6"/>
        </w:rPr>
        <w:t xml:space="preserve"> </w:t>
      </w:r>
      <w:r>
        <w:rPr>
          <w:color w:val="221F1F"/>
        </w:rPr>
        <w:t>of</w:t>
      </w:r>
      <w:r>
        <w:rPr>
          <w:color w:val="221F1F"/>
          <w:spacing w:val="-10"/>
        </w:rPr>
        <w:t xml:space="preserve"> </w:t>
      </w:r>
      <w:r>
        <w:rPr>
          <w:color w:val="221F1F"/>
        </w:rPr>
        <w:t>the Tender</w:t>
      </w:r>
      <w:r>
        <w:rPr>
          <w:color w:val="221F1F"/>
          <w:spacing w:val="-2"/>
        </w:rPr>
        <w:t xml:space="preserve"> </w:t>
      </w:r>
      <w:r>
        <w:rPr>
          <w:color w:val="221F1F"/>
        </w:rPr>
        <w:t>document, responses to requests for clarification, the minutes of a pre-arranged site visit and those of the</w:t>
      </w:r>
      <w:r>
        <w:rPr>
          <w:color w:val="221F1F"/>
          <w:spacing w:val="-7"/>
        </w:rPr>
        <w:t xml:space="preserve"> </w:t>
      </w:r>
      <w:r>
        <w:rPr>
          <w:color w:val="221F1F"/>
        </w:rPr>
        <w:t>pre-Tender</w:t>
      </w:r>
      <w:r>
        <w:rPr>
          <w:color w:val="221F1F"/>
          <w:spacing w:val="-8"/>
        </w:rPr>
        <w:t xml:space="preserve"> </w:t>
      </w:r>
      <w:r>
        <w:rPr>
          <w:color w:val="221F1F"/>
        </w:rPr>
        <w:t>meeting</w:t>
      </w:r>
      <w:r>
        <w:rPr>
          <w:color w:val="221F1F"/>
          <w:spacing w:val="-9"/>
        </w:rPr>
        <w:t xml:space="preserve"> </w:t>
      </w:r>
      <w:r>
        <w:rPr>
          <w:color w:val="221F1F"/>
        </w:rPr>
        <w:t>(if</w:t>
      </w:r>
      <w:r>
        <w:rPr>
          <w:color w:val="221F1F"/>
          <w:spacing w:val="-8"/>
        </w:rPr>
        <w:t xml:space="preserve"> </w:t>
      </w:r>
      <w:r>
        <w:rPr>
          <w:color w:val="221F1F"/>
        </w:rPr>
        <w:t>any),</w:t>
      </w:r>
      <w:r>
        <w:rPr>
          <w:color w:val="221F1F"/>
          <w:spacing w:val="-9"/>
        </w:rPr>
        <w:t xml:space="preserve"> </w:t>
      </w:r>
      <w:r>
        <w:rPr>
          <w:color w:val="221F1F"/>
        </w:rPr>
        <w:t>or</w:t>
      </w:r>
      <w:r>
        <w:rPr>
          <w:color w:val="221F1F"/>
          <w:spacing w:val="-6"/>
        </w:rPr>
        <w:t xml:space="preserve"> </w:t>
      </w:r>
      <w:r>
        <w:rPr>
          <w:color w:val="221F1F"/>
        </w:rPr>
        <w:t>Addenda</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Tender</w:t>
      </w:r>
      <w:r>
        <w:rPr>
          <w:color w:val="221F1F"/>
          <w:spacing w:val="-11"/>
        </w:rPr>
        <w:t xml:space="preserve"> </w:t>
      </w:r>
      <w:r>
        <w:rPr>
          <w:color w:val="221F1F"/>
        </w:rPr>
        <w:t>document</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ITT</w:t>
      </w:r>
      <w:r>
        <w:rPr>
          <w:color w:val="221F1F"/>
          <w:spacing w:val="-8"/>
        </w:rPr>
        <w:t xml:space="preserve"> </w:t>
      </w:r>
      <w:r>
        <w:rPr>
          <w:color w:val="221F1F"/>
        </w:rPr>
        <w:t>10.</w:t>
      </w:r>
      <w:r>
        <w:rPr>
          <w:color w:val="221F1F"/>
          <w:spacing w:val="-7"/>
        </w:rPr>
        <w:t xml:space="preserve"> </w:t>
      </w:r>
      <w:proofErr w:type="spellStart"/>
      <w:r>
        <w:rPr>
          <w:color w:val="221F1F"/>
        </w:rPr>
        <w:t>Incase</w:t>
      </w:r>
      <w:proofErr w:type="spellEnd"/>
      <w:r>
        <w:rPr>
          <w:color w:val="221F1F"/>
          <w:spacing w:val="-6"/>
        </w:rPr>
        <w:t xml:space="preserve"> </w:t>
      </w:r>
      <w:r>
        <w:rPr>
          <w:color w:val="221F1F"/>
        </w:rPr>
        <w:t>of</w:t>
      </w:r>
      <w:r>
        <w:rPr>
          <w:color w:val="221F1F"/>
          <w:spacing w:val="-6"/>
        </w:rPr>
        <w:t xml:space="preserve"> </w:t>
      </w:r>
      <w:r>
        <w:rPr>
          <w:color w:val="221F1F"/>
        </w:rPr>
        <w:t>any contradiction, documents obtained directly from the Procuring Entity shall prevail.</w:t>
      </w:r>
    </w:p>
    <w:p w:rsidR="007F6DF9" w:rsidRDefault="00A43FBC">
      <w:pPr>
        <w:pStyle w:val="ListParagraph"/>
        <w:numPr>
          <w:ilvl w:val="1"/>
          <w:numId w:val="224"/>
        </w:numPr>
        <w:tabs>
          <w:tab w:val="left" w:pos="1417"/>
          <w:tab w:val="left" w:pos="1438"/>
        </w:tabs>
        <w:spacing w:before="240" w:line="230" w:lineRule="auto"/>
        <w:ind w:left="1438" w:right="844" w:hanging="589"/>
        <w:jc w:val="both"/>
      </w:pPr>
      <w:r>
        <w:rPr>
          <w:color w:val="221F1F"/>
        </w:rPr>
        <w:t>The</w:t>
      </w:r>
      <w:r>
        <w:rPr>
          <w:color w:val="221F1F"/>
          <w:spacing w:val="-7"/>
        </w:rPr>
        <w:t xml:space="preserve"> </w:t>
      </w:r>
      <w:r>
        <w:rPr>
          <w:color w:val="221F1F"/>
        </w:rPr>
        <w:t>Tenderer</w:t>
      </w:r>
      <w:r>
        <w:rPr>
          <w:color w:val="221F1F"/>
          <w:spacing w:val="-7"/>
        </w:rPr>
        <w:t xml:space="preserve"> </w:t>
      </w:r>
      <w:r>
        <w:rPr>
          <w:color w:val="221F1F"/>
        </w:rPr>
        <w:t>is</w:t>
      </w:r>
      <w:r>
        <w:rPr>
          <w:color w:val="221F1F"/>
          <w:spacing w:val="-8"/>
        </w:rPr>
        <w:t xml:space="preserve"> </w:t>
      </w:r>
      <w:r>
        <w:rPr>
          <w:color w:val="221F1F"/>
        </w:rPr>
        <w:t>expected</w:t>
      </w:r>
      <w:r>
        <w:rPr>
          <w:color w:val="221F1F"/>
          <w:spacing w:val="-8"/>
        </w:rPr>
        <w:t xml:space="preserve"> </w:t>
      </w:r>
      <w:r>
        <w:rPr>
          <w:color w:val="221F1F"/>
        </w:rPr>
        <w:t>to</w:t>
      </w:r>
      <w:r>
        <w:rPr>
          <w:color w:val="221F1F"/>
          <w:spacing w:val="-8"/>
        </w:rPr>
        <w:t xml:space="preserve"> </w:t>
      </w:r>
      <w:r>
        <w:rPr>
          <w:color w:val="221F1F"/>
        </w:rPr>
        <w:t>examine</w:t>
      </w:r>
      <w:r>
        <w:rPr>
          <w:color w:val="221F1F"/>
          <w:spacing w:val="-8"/>
        </w:rPr>
        <w:t xml:space="preserve"> </w:t>
      </w:r>
      <w:r>
        <w:rPr>
          <w:color w:val="221F1F"/>
        </w:rPr>
        <w:t>all</w:t>
      </w:r>
      <w:r>
        <w:rPr>
          <w:color w:val="221F1F"/>
          <w:spacing w:val="-7"/>
        </w:rPr>
        <w:t xml:space="preserve"> </w:t>
      </w:r>
      <w:r>
        <w:rPr>
          <w:color w:val="221F1F"/>
        </w:rPr>
        <w:t>instructions,</w:t>
      </w:r>
      <w:r>
        <w:rPr>
          <w:color w:val="221F1F"/>
          <w:spacing w:val="-7"/>
        </w:rPr>
        <w:t xml:space="preserve"> </w:t>
      </w:r>
      <w:r>
        <w:rPr>
          <w:color w:val="221F1F"/>
        </w:rPr>
        <w:t>forms,</w:t>
      </w:r>
      <w:r>
        <w:rPr>
          <w:color w:val="221F1F"/>
          <w:spacing w:val="-8"/>
        </w:rPr>
        <w:t xml:space="preserve"> </w:t>
      </w:r>
      <w:r>
        <w:rPr>
          <w:color w:val="221F1F"/>
        </w:rPr>
        <w:t>terms,</w:t>
      </w:r>
      <w:r>
        <w:rPr>
          <w:color w:val="221F1F"/>
          <w:spacing w:val="-8"/>
        </w:rPr>
        <w:t xml:space="preserve"> </w:t>
      </w:r>
      <w:r>
        <w:rPr>
          <w:color w:val="221F1F"/>
        </w:rPr>
        <w:t>and</w:t>
      </w:r>
      <w:r>
        <w:rPr>
          <w:color w:val="221F1F"/>
          <w:spacing w:val="-7"/>
        </w:rPr>
        <w:t xml:space="preserve"> </w:t>
      </w:r>
      <w:r>
        <w:rPr>
          <w:color w:val="221F1F"/>
        </w:rPr>
        <w:t>specifications</w:t>
      </w:r>
      <w:r>
        <w:rPr>
          <w:color w:val="221F1F"/>
          <w:spacing w:val="-6"/>
        </w:rPr>
        <w:t xml:space="preserve"> </w:t>
      </w:r>
      <w:r>
        <w:rPr>
          <w:color w:val="221F1F"/>
        </w:rPr>
        <w:t>in</w:t>
      </w:r>
      <w:r>
        <w:rPr>
          <w:color w:val="221F1F"/>
          <w:spacing w:val="-8"/>
        </w:rPr>
        <w:t xml:space="preserve"> </w:t>
      </w:r>
      <w:r>
        <w:rPr>
          <w:color w:val="221F1F"/>
        </w:rPr>
        <w:t>the</w:t>
      </w:r>
      <w:r>
        <w:rPr>
          <w:color w:val="221F1F"/>
          <w:spacing w:val="-3"/>
        </w:rPr>
        <w:t xml:space="preserve"> </w:t>
      </w:r>
      <w:r>
        <w:rPr>
          <w:color w:val="221F1F"/>
        </w:rPr>
        <w:t>Tender</w:t>
      </w:r>
      <w:r>
        <w:rPr>
          <w:color w:val="221F1F"/>
          <w:spacing w:val="-12"/>
        </w:rPr>
        <w:t xml:space="preserve"> </w:t>
      </w:r>
      <w:r>
        <w:rPr>
          <w:color w:val="221F1F"/>
        </w:rPr>
        <w:t>Document and to furnish with its Tender all information and documentation as is required by the Tender document.</w:t>
      </w:r>
    </w:p>
    <w:p w:rsidR="007F6DF9" w:rsidRDefault="00A43FBC">
      <w:pPr>
        <w:pStyle w:val="Heading9"/>
        <w:numPr>
          <w:ilvl w:val="1"/>
          <w:numId w:val="223"/>
        </w:numPr>
        <w:tabs>
          <w:tab w:val="left" w:pos="1416"/>
        </w:tabs>
        <w:spacing w:before="241"/>
        <w:rPr>
          <w:color w:val="221F1F"/>
        </w:rPr>
      </w:pPr>
      <w:bookmarkStart w:id="11" w:name="_bookmark10"/>
      <w:bookmarkEnd w:id="11"/>
      <w:r>
        <w:rPr>
          <w:color w:val="221F1F"/>
        </w:rPr>
        <w:t>Clarification</w:t>
      </w:r>
      <w:r>
        <w:rPr>
          <w:color w:val="221F1F"/>
          <w:spacing w:val="-14"/>
        </w:rPr>
        <w:t xml:space="preserve"> </w:t>
      </w:r>
      <w:r>
        <w:rPr>
          <w:color w:val="221F1F"/>
        </w:rPr>
        <w:t>of</w:t>
      </w:r>
      <w:r>
        <w:rPr>
          <w:color w:val="221F1F"/>
          <w:spacing w:val="-10"/>
        </w:rPr>
        <w:t xml:space="preserve"> </w:t>
      </w:r>
      <w:r>
        <w:rPr>
          <w:color w:val="221F1F"/>
        </w:rPr>
        <w:t>Tender</w:t>
      </w:r>
      <w:r>
        <w:rPr>
          <w:color w:val="221F1F"/>
          <w:spacing w:val="-13"/>
        </w:rPr>
        <w:t xml:space="preserve"> </w:t>
      </w:r>
      <w:r>
        <w:rPr>
          <w:color w:val="221F1F"/>
        </w:rPr>
        <w:t>Document,</w:t>
      </w:r>
      <w:r>
        <w:rPr>
          <w:color w:val="221F1F"/>
          <w:spacing w:val="-9"/>
        </w:rPr>
        <w:t xml:space="preserve"> </w:t>
      </w:r>
      <w:r>
        <w:rPr>
          <w:color w:val="221F1F"/>
        </w:rPr>
        <w:t>Site</w:t>
      </w:r>
      <w:r>
        <w:rPr>
          <w:color w:val="221F1F"/>
          <w:spacing w:val="-12"/>
        </w:rPr>
        <w:t xml:space="preserve"> </w:t>
      </w:r>
      <w:r>
        <w:rPr>
          <w:color w:val="221F1F"/>
        </w:rPr>
        <w:t>Visit,</w:t>
      </w:r>
      <w:r>
        <w:rPr>
          <w:color w:val="221F1F"/>
          <w:spacing w:val="-10"/>
        </w:rPr>
        <w:t xml:space="preserve"> </w:t>
      </w:r>
      <w:r>
        <w:rPr>
          <w:color w:val="221F1F"/>
        </w:rPr>
        <w:t>Pre-tender</w:t>
      </w:r>
      <w:r>
        <w:rPr>
          <w:color w:val="221F1F"/>
          <w:spacing w:val="-9"/>
        </w:rPr>
        <w:t xml:space="preserve"> </w:t>
      </w:r>
      <w:r>
        <w:rPr>
          <w:color w:val="221F1F"/>
          <w:spacing w:val="-2"/>
        </w:rPr>
        <w:t>Meeting</w:t>
      </w:r>
    </w:p>
    <w:p w:rsidR="007F6DF9" w:rsidRDefault="007F6DF9">
      <w:pPr>
        <w:pStyle w:val="BodyText"/>
        <w:rPr>
          <w:b/>
        </w:rPr>
      </w:pPr>
    </w:p>
    <w:p w:rsidR="007F6DF9" w:rsidRDefault="00A43FBC">
      <w:pPr>
        <w:pStyle w:val="ListParagraph"/>
        <w:numPr>
          <w:ilvl w:val="1"/>
          <w:numId w:val="223"/>
        </w:numPr>
        <w:tabs>
          <w:tab w:val="left" w:pos="1413"/>
          <w:tab w:val="left" w:pos="1426"/>
        </w:tabs>
        <w:ind w:left="1426" w:right="843" w:hanging="577"/>
        <w:jc w:val="both"/>
        <w:rPr>
          <w:b/>
          <w:color w:val="221F1F"/>
        </w:rPr>
      </w:pPr>
      <w:r>
        <w:rPr>
          <w:color w:val="221F1F"/>
        </w:rPr>
        <w:t>A</w:t>
      </w:r>
      <w:r>
        <w:rPr>
          <w:color w:val="221F1F"/>
          <w:spacing w:val="-7"/>
        </w:rPr>
        <w:t xml:space="preserve"> </w:t>
      </w:r>
      <w:r>
        <w:rPr>
          <w:color w:val="221F1F"/>
        </w:rPr>
        <w:t>Tenderer</w:t>
      </w:r>
      <w:r>
        <w:rPr>
          <w:color w:val="221F1F"/>
          <w:spacing w:val="-5"/>
        </w:rPr>
        <w:t xml:space="preserve"> </w:t>
      </w:r>
      <w:r>
        <w:rPr>
          <w:color w:val="221F1F"/>
        </w:rPr>
        <w:t>requiring</w:t>
      </w:r>
      <w:r>
        <w:rPr>
          <w:color w:val="221F1F"/>
          <w:spacing w:val="-5"/>
        </w:rPr>
        <w:t xml:space="preserve"> </w:t>
      </w:r>
      <w:r>
        <w:rPr>
          <w:color w:val="221F1F"/>
        </w:rPr>
        <w:t>any</w:t>
      </w:r>
      <w:r>
        <w:rPr>
          <w:color w:val="221F1F"/>
          <w:spacing w:val="-6"/>
        </w:rPr>
        <w:t xml:space="preserve"> </w:t>
      </w:r>
      <w:r>
        <w:rPr>
          <w:color w:val="221F1F"/>
        </w:rPr>
        <w:t>clarification</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Tender</w:t>
      </w:r>
      <w:r>
        <w:rPr>
          <w:color w:val="221F1F"/>
          <w:spacing w:val="-10"/>
        </w:rPr>
        <w:t xml:space="preserve"> </w:t>
      </w:r>
      <w:r>
        <w:rPr>
          <w:color w:val="221F1F"/>
        </w:rPr>
        <w:t>Document</w:t>
      </w:r>
      <w:r>
        <w:rPr>
          <w:color w:val="221F1F"/>
          <w:spacing w:val="-4"/>
        </w:rPr>
        <w:t xml:space="preserve"> </w:t>
      </w:r>
      <w:r>
        <w:rPr>
          <w:color w:val="221F1F"/>
        </w:rPr>
        <w:t>shall</w:t>
      </w:r>
      <w:r>
        <w:rPr>
          <w:color w:val="221F1F"/>
          <w:spacing w:val="-4"/>
        </w:rPr>
        <w:t xml:space="preserve"> </w:t>
      </w:r>
      <w:r>
        <w:rPr>
          <w:color w:val="221F1F"/>
        </w:rPr>
        <w:t>contact</w:t>
      </w:r>
      <w:r>
        <w:rPr>
          <w:color w:val="221F1F"/>
          <w:spacing w:val="-4"/>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in</w:t>
      </w:r>
      <w:r>
        <w:rPr>
          <w:color w:val="221F1F"/>
          <w:spacing w:val="-6"/>
        </w:rPr>
        <w:t xml:space="preserve"> </w:t>
      </w:r>
      <w:r>
        <w:rPr>
          <w:color w:val="221F1F"/>
        </w:rPr>
        <w:t>writing</w:t>
      </w:r>
      <w:r>
        <w:rPr>
          <w:color w:val="221F1F"/>
          <w:spacing w:val="-5"/>
        </w:rPr>
        <w:t xml:space="preserve"> </w:t>
      </w:r>
      <w:r>
        <w:rPr>
          <w:color w:val="221F1F"/>
        </w:rPr>
        <w:t xml:space="preserve">at the Procuring Entity's address specified in the </w:t>
      </w:r>
      <w:r>
        <w:rPr>
          <w:b/>
          <w:color w:val="221F1F"/>
        </w:rPr>
        <w:t xml:space="preserve">TDS </w:t>
      </w:r>
      <w:r>
        <w:rPr>
          <w:color w:val="221F1F"/>
        </w:rPr>
        <w:t xml:space="preserve">or raise its enquiries during the pre-Tender meeting if provided for in accordance with ITT 7.2. The Procuring Entity will respond in writing to any request for clarification, provided that such request is received no later than the period specified in the </w:t>
      </w:r>
      <w:r>
        <w:rPr>
          <w:b/>
          <w:color w:val="221F1F"/>
        </w:rPr>
        <w:t>TDS p</w:t>
      </w:r>
      <w:r>
        <w:rPr>
          <w:color w:val="221F1F"/>
        </w:rPr>
        <w:t>rior to the deadline for submission of tenders. The Procuring Entity shall forward copies of its response to all tenderers who have acquired the Tender documents in accordance with ITT 7.4, including a description of the inquiry but</w:t>
      </w:r>
      <w:r>
        <w:rPr>
          <w:color w:val="221F1F"/>
          <w:spacing w:val="-1"/>
        </w:rPr>
        <w:t xml:space="preserve"> </w:t>
      </w:r>
      <w:r>
        <w:rPr>
          <w:color w:val="221F1F"/>
        </w:rPr>
        <w:t>without</w:t>
      </w:r>
      <w:r>
        <w:rPr>
          <w:color w:val="221F1F"/>
          <w:spacing w:val="-4"/>
        </w:rPr>
        <w:t xml:space="preserve"> </w:t>
      </w:r>
      <w:r>
        <w:rPr>
          <w:color w:val="221F1F"/>
        </w:rPr>
        <w:t>identifying</w:t>
      </w:r>
      <w:r>
        <w:rPr>
          <w:color w:val="221F1F"/>
          <w:spacing w:val="-1"/>
        </w:rPr>
        <w:t xml:space="preserve"> </w:t>
      </w:r>
      <w:r>
        <w:rPr>
          <w:color w:val="221F1F"/>
        </w:rPr>
        <w:t>its</w:t>
      </w:r>
      <w:r>
        <w:rPr>
          <w:color w:val="221F1F"/>
          <w:spacing w:val="-3"/>
        </w:rPr>
        <w:t xml:space="preserve"> </w:t>
      </w:r>
      <w:r>
        <w:rPr>
          <w:color w:val="221F1F"/>
        </w:rPr>
        <w:t>source.</w:t>
      </w:r>
      <w:r>
        <w:rPr>
          <w:color w:val="221F1F"/>
          <w:spacing w:val="-2"/>
        </w:rPr>
        <w:t xml:space="preserve"> </w:t>
      </w:r>
      <w:r>
        <w:rPr>
          <w:color w:val="221F1F"/>
        </w:rPr>
        <w:t>If</w:t>
      </w:r>
      <w:r>
        <w:rPr>
          <w:color w:val="221F1F"/>
          <w:spacing w:val="-1"/>
        </w:rPr>
        <w:t xml:space="preserve"> </w:t>
      </w:r>
      <w:r>
        <w:rPr>
          <w:color w:val="221F1F"/>
        </w:rPr>
        <w:t>so</w:t>
      </w:r>
      <w:r>
        <w:rPr>
          <w:color w:val="221F1F"/>
          <w:spacing w:val="-5"/>
        </w:rPr>
        <w:t xml:space="preserve"> </w:t>
      </w:r>
      <w:r>
        <w:rPr>
          <w:color w:val="221F1F"/>
        </w:rPr>
        <w:t>specified</w:t>
      </w:r>
      <w:r>
        <w:rPr>
          <w:color w:val="221F1F"/>
          <w:spacing w:val="-4"/>
        </w:rPr>
        <w:t xml:space="preserve"> </w:t>
      </w:r>
      <w:r>
        <w:rPr>
          <w:color w:val="221F1F"/>
        </w:rPr>
        <w:t>in</w:t>
      </w:r>
      <w:r>
        <w:rPr>
          <w:color w:val="221F1F"/>
          <w:spacing w:val="-5"/>
        </w:rPr>
        <w:t xml:space="preserve"> </w:t>
      </w:r>
      <w:r>
        <w:rPr>
          <w:color w:val="221F1F"/>
        </w:rPr>
        <w:t>the</w:t>
      </w:r>
      <w:r>
        <w:rPr>
          <w:color w:val="221F1F"/>
          <w:spacing w:val="-6"/>
        </w:rPr>
        <w:t xml:space="preserve"> </w:t>
      </w:r>
      <w:r>
        <w:rPr>
          <w:b/>
          <w:color w:val="221F1F"/>
        </w:rPr>
        <w:t>TDS</w:t>
      </w:r>
      <w:r>
        <w:rPr>
          <w:color w:val="221F1F"/>
        </w:rPr>
        <w:t>,</w:t>
      </w:r>
      <w:r>
        <w:rPr>
          <w:color w:val="221F1F"/>
          <w:spacing w:val="-2"/>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shall also</w:t>
      </w:r>
      <w:r>
        <w:rPr>
          <w:color w:val="221F1F"/>
          <w:spacing w:val="-4"/>
        </w:rPr>
        <w:t xml:space="preserve"> </w:t>
      </w:r>
      <w:r>
        <w:rPr>
          <w:color w:val="221F1F"/>
        </w:rPr>
        <w:t>promptly</w:t>
      </w:r>
      <w:r>
        <w:rPr>
          <w:color w:val="221F1F"/>
          <w:spacing w:val="-4"/>
        </w:rPr>
        <w:t xml:space="preserve"> </w:t>
      </w:r>
      <w:r>
        <w:rPr>
          <w:color w:val="221F1F"/>
        </w:rPr>
        <w:t xml:space="preserve">publish its response at the web page identified in the </w:t>
      </w:r>
      <w:r>
        <w:rPr>
          <w:b/>
          <w:color w:val="221F1F"/>
        </w:rPr>
        <w:t>TDS</w:t>
      </w:r>
      <w:r>
        <w:rPr>
          <w:color w:val="221F1F"/>
        </w:rPr>
        <w:t>. Should the clarification result in changes to the essential elements of the Tender Documents, the Procuring Entity shall amend the Tender Documents following the procedure under ITT 8 and ITT 22.2.</w:t>
      </w:r>
    </w:p>
    <w:p w:rsidR="007F6DF9" w:rsidRDefault="007F6DF9">
      <w:pPr>
        <w:pStyle w:val="BodyText"/>
        <w:spacing w:before="2"/>
      </w:pPr>
    </w:p>
    <w:p w:rsidR="007F6DF9" w:rsidRDefault="00A43FBC">
      <w:pPr>
        <w:pStyle w:val="ListParagraph"/>
        <w:numPr>
          <w:ilvl w:val="1"/>
          <w:numId w:val="223"/>
        </w:numPr>
        <w:tabs>
          <w:tab w:val="left" w:pos="1413"/>
          <w:tab w:val="left" w:pos="1426"/>
        </w:tabs>
        <w:ind w:left="1426" w:right="838" w:hanging="577"/>
        <w:jc w:val="both"/>
        <w:rPr>
          <w:b/>
          <w:color w:val="221F1F"/>
        </w:rPr>
      </w:pPr>
      <w:r>
        <w:rPr>
          <w:color w:val="221F1F"/>
        </w:rPr>
        <w:t>The</w:t>
      </w:r>
      <w:r>
        <w:rPr>
          <w:color w:val="221F1F"/>
          <w:spacing w:val="-6"/>
        </w:rPr>
        <w:t xml:space="preserve"> </w:t>
      </w:r>
      <w:r>
        <w:rPr>
          <w:color w:val="221F1F"/>
        </w:rPr>
        <w:t>Tenderer,</w:t>
      </w:r>
      <w:r>
        <w:rPr>
          <w:color w:val="221F1F"/>
          <w:spacing w:val="-12"/>
        </w:rPr>
        <w:t xml:space="preserve"> </w:t>
      </w:r>
      <w:r>
        <w:rPr>
          <w:color w:val="221F1F"/>
        </w:rPr>
        <w:t>at</w:t>
      </w:r>
      <w:r>
        <w:rPr>
          <w:color w:val="221F1F"/>
          <w:spacing w:val="-7"/>
        </w:rPr>
        <w:t xml:space="preserve"> </w:t>
      </w:r>
      <w:r>
        <w:rPr>
          <w:color w:val="221F1F"/>
        </w:rPr>
        <w:t>the</w:t>
      </w:r>
      <w:r>
        <w:rPr>
          <w:color w:val="221F1F"/>
          <w:spacing w:val="-8"/>
        </w:rPr>
        <w:t xml:space="preserve"> </w:t>
      </w:r>
      <w:r>
        <w:rPr>
          <w:color w:val="221F1F"/>
        </w:rPr>
        <w:t>Tenderer's</w:t>
      </w:r>
      <w:r>
        <w:rPr>
          <w:color w:val="221F1F"/>
          <w:spacing w:val="-4"/>
        </w:rPr>
        <w:t xml:space="preserve"> </w:t>
      </w:r>
      <w:r>
        <w:rPr>
          <w:color w:val="221F1F"/>
        </w:rPr>
        <w:t>own</w:t>
      </w:r>
      <w:r>
        <w:rPr>
          <w:color w:val="221F1F"/>
          <w:spacing w:val="-8"/>
        </w:rPr>
        <w:t xml:space="preserve"> </w:t>
      </w:r>
      <w:r>
        <w:rPr>
          <w:color w:val="221F1F"/>
        </w:rPr>
        <w:t>responsibility</w:t>
      </w:r>
      <w:r>
        <w:rPr>
          <w:color w:val="221F1F"/>
          <w:spacing w:val="-5"/>
        </w:rPr>
        <w:t xml:space="preserve"> </w:t>
      </w:r>
      <w:r>
        <w:rPr>
          <w:color w:val="221F1F"/>
        </w:rPr>
        <w:t>and</w:t>
      </w:r>
      <w:r>
        <w:rPr>
          <w:color w:val="221F1F"/>
          <w:spacing w:val="-8"/>
        </w:rPr>
        <w:t xml:space="preserve"> </w:t>
      </w:r>
      <w:r>
        <w:rPr>
          <w:color w:val="221F1F"/>
        </w:rPr>
        <w:t>risk,</w:t>
      </w:r>
      <w:r>
        <w:rPr>
          <w:color w:val="221F1F"/>
          <w:spacing w:val="-7"/>
        </w:rPr>
        <w:t xml:space="preserve"> </w:t>
      </w:r>
      <w:r>
        <w:rPr>
          <w:color w:val="221F1F"/>
        </w:rPr>
        <w:t>is</w:t>
      </w:r>
      <w:r>
        <w:rPr>
          <w:color w:val="221F1F"/>
          <w:spacing w:val="-8"/>
        </w:rPr>
        <w:t xml:space="preserve"> </w:t>
      </w:r>
      <w:r>
        <w:rPr>
          <w:color w:val="221F1F"/>
        </w:rPr>
        <w:t>encouraged</w:t>
      </w:r>
      <w:r>
        <w:rPr>
          <w:color w:val="221F1F"/>
          <w:spacing w:val="-7"/>
        </w:rPr>
        <w:t xml:space="preserve"> </w:t>
      </w:r>
      <w:r>
        <w:rPr>
          <w:color w:val="221F1F"/>
        </w:rPr>
        <w:t>to</w:t>
      </w:r>
      <w:r>
        <w:rPr>
          <w:color w:val="221F1F"/>
          <w:spacing w:val="-8"/>
        </w:rPr>
        <w:t xml:space="preserve"> </w:t>
      </w:r>
      <w:r>
        <w:rPr>
          <w:color w:val="221F1F"/>
        </w:rPr>
        <w:t>visit</w:t>
      </w:r>
      <w:r>
        <w:rPr>
          <w:color w:val="221F1F"/>
          <w:spacing w:val="-5"/>
        </w:rPr>
        <w:t xml:space="preserve"> </w:t>
      </w:r>
      <w:r>
        <w:rPr>
          <w:color w:val="221F1F"/>
        </w:rPr>
        <w:t>and</w:t>
      </w:r>
      <w:r>
        <w:rPr>
          <w:color w:val="221F1F"/>
          <w:spacing w:val="-5"/>
        </w:rPr>
        <w:t xml:space="preserve"> </w:t>
      </w:r>
      <w:r>
        <w:rPr>
          <w:color w:val="221F1F"/>
        </w:rPr>
        <w:t>examine</w:t>
      </w:r>
      <w:r>
        <w:rPr>
          <w:color w:val="221F1F"/>
          <w:spacing w:val="-7"/>
        </w:rPr>
        <w:t xml:space="preserve"> </w:t>
      </w:r>
      <w:r>
        <w:rPr>
          <w:color w:val="221F1F"/>
        </w:rPr>
        <w:t>and</w:t>
      </w:r>
      <w:r>
        <w:rPr>
          <w:color w:val="221F1F"/>
          <w:spacing w:val="-8"/>
        </w:rPr>
        <w:t xml:space="preserve"> </w:t>
      </w:r>
      <w:r>
        <w:rPr>
          <w:color w:val="221F1F"/>
        </w:rPr>
        <w:t>inspect</w:t>
      </w:r>
      <w:r>
        <w:rPr>
          <w:color w:val="221F1F"/>
          <w:spacing w:val="-7"/>
        </w:rPr>
        <w:t xml:space="preserve"> </w:t>
      </w:r>
      <w:r>
        <w:rPr>
          <w:color w:val="221F1F"/>
        </w:rPr>
        <w:t>the site(s) of the required contracts and obtain all information that may be necessary for preparing a tender. The costs</w:t>
      </w:r>
      <w:r>
        <w:rPr>
          <w:color w:val="221F1F"/>
          <w:spacing w:val="-5"/>
        </w:rPr>
        <w:t xml:space="preserve"> </w:t>
      </w:r>
      <w:r>
        <w:rPr>
          <w:color w:val="221F1F"/>
        </w:rPr>
        <w:t>of</w:t>
      </w:r>
      <w:r>
        <w:rPr>
          <w:color w:val="221F1F"/>
          <w:spacing w:val="-5"/>
        </w:rPr>
        <w:t xml:space="preserve"> </w:t>
      </w:r>
      <w:r>
        <w:rPr>
          <w:color w:val="221F1F"/>
        </w:rPr>
        <w:t>visiting</w:t>
      </w:r>
      <w:r>
        <w:rPr>
          <w:color w:val="221F1F"/>
          <w:spacing w:val="-6"/>
        </w:rPr>
        <w:t xml:space="preserve"> </w:t>
      </w:r>
      <w:r>
        <w:rPr>
          <w:color w:val="221F1F"/>
        </w:rPr>
        <w:t>the</w:t>
      </w:r>
      <w:r>
        <w:rPr>
          <w:color w:val="221F1F"/>
          <w:spacing w:val="-5"/>
        </w:rPr>
        <w:t xml:space="preserve"> </w:t>
      </w:r>
      <w:r>
        <w:rPr>
          <w:color w:val="221F1F"/>
        </w:rPr>
        <w:t>Site</w:t>
      </w:r>
      <w:r>
        <w:rPr>
          <w:color w:val="221F1F"/>
          <w:spacing w:val="-6"/>
        </w:rPr>
        <w:t xml:space="preserve"> </w:t>
      </w:r>
      <w:r>
        <w:rPr>
          <w:color w:val="221F1F"/>
        </w:rPr>
        <w:t>shall</w:t>
      </w:r>
      <w:r>
        <w:rPr>
          <w:color w:val="221F1F"/>
          <w:spacing w:val="-4"/>
        </w:rPr>
        <w:t xml:space="preserve"> </w:t>
      </w:r>
      <w:r>
        <w:rPr>
          <w:color w:val="221F1F"/>
        </w:rPr>
        <w:t>be</w:t>
      </w:r>
      <w:r>
        <w:rPr>
          <w:color w:val="221F1F"/>
          <w:spacing w:val="-6"/>
        </w:rPr>
        <w:t xml:space="preserve"> </w:t>
      </w:r>
      <w:r>
        <w:rPr>
          <w:color w:val="221F1F"/>
        </w:rPr>
        <w:t>at</w:t>
      </w:r>
      <w:r>
        <w:rPr>
          <w:color w:val="221F1F"/>
          <w:spacing w:val="-5"/>
        </w:rPr>
        <w:t xml:space="preserve"> </w:t>
      </w:r>
      <w:r>
        <w:rPr>
          <w:color w:val="221F1F"/>
        </w:rPr>
        <w:t>the</w:t>
      </w:r>
      <w:r>
        <w:rPr>
          <w:color w:val="221F1F"/>
          <w:spacing w:val="-5"/>
        </w:rPr>
        <w:t xml:space="preserve"> </w:t>
      </w:r>
      <w:r>
        <w:rPr>
          <w:color w:val="221F1F"/>
        </w:rPr>
        <w:t>Tenderer's</w:t>
      </w:r>
      <w:r>
        <w:rPr>
          <w:color w:val="221F1F"/>
          <w:spacing w:val="-5"/>
        </w:rPr>
        <w:t xml:space="preserve"> </w:t>
      </w:r>
      <w:r>
        <w:rPr>
          <w:color w:val="221F1F"/>
        </w:rPr>
        <w:t>own</w:t>
      </w:r>
      <w:r>
        <w:rPr>
          <w:color w:val="221F1F"/>
          <w:spacing w:val="-6"/>
        </w:rPr>
        <w:t xml:space="preserve"> </w:t>
      </w:r>
      <w:r>
        <w:rPr>
          <w:color w:val="221F1F"/>
        </w:rPr>
        <w:t>expense.</w:t>
      </w:r>
      <w:r>
        <w:rPr>
          <w:color w:val="221F1F"/>
          <w:spacing w:val="-5"/>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shall</w:t>
      </w:r>
      <w:r>
        <w:rPr>
          <w:color w:val="221F1F"/>
          <w:spacing w:val="-5"/>
        </w:rPr>
        <w:t xml:space="preserve"> </w:t>
      </w:r>
      <w:r>
        <w:rPr>
          <w:color w:val="221F1F"/>
        </w:rPr>
        <w:t>specify</w:t>
      </w:r>
      <w:r>
        <w:rPr>
          <w:color w:val="221F1F"/>
          <w:spacing w:val="-6"/>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 xml:space="preserve">TDS </w:t>
      </w:r>
      <w:r>
        <w:rPr>
          <w:color w:val="221F1F"/>
        </w:rPr>
        <w:t>if</w:t>
      </w:r>
      <w:r>
        <w:rPr>
          <w:color w:val="221F1F"/>
          <w:spacing w:val="-14"/>
        </w:rPr>
        <w:t xml:space="preserve"> </w:t>
      </w:r>
      <w:r>
        <w:rPr>
          <w:color w:val="221F1F"/>
        </w:rPr>
        <w:t>a</w:t>
      </w:r>
      <w:r>
        <w:rPr>
          <w:color w:val="221F1F"/>
          <w:spacing w:val="-14"/>
        </w:rPr>
        <w:t xml:space="preserve"> </w:t>
      </w:r>
      <w:r>
        <w:rPr>
          <w:color w:val="221F1F"/>
        </w:rPr>
        <w:t>pre-arranged</w:t>
      </w:r>
      <w:r>
        <w:rPr>
          <w:color w:val="221F1F"/>
          <w:spacing w:val="-14"/>
        </w:rPr>
        <w:t xml:space="preserve"> </w:t>
      </w:r>
      <w:r>
        <w:rPr>
          <w:color w:val="221F1F"/>
        </w:rPr>
        <w:t>Site</w:t>
      </w:r>
      <w:r>
        <w:rPr>
          <w:color w:val="221F1F"/>
          <w:spacing w:val="-12"/>
        </w:rPr>
        <w:t xml:space="preserve"> </w:t>
      </w:r>
      <w:r>
        <w:rPr>
          <w:color w:val="221F1F"/>
        </w:rPr>
        <w:t>visit</w:t>
      </w:r>
      <w:r>
        <w:rPr>
          <w:color w:val="221F1F"/>
          <w:spacing w:val="-14"/>
        </w:rPr>
        <w:t xml:space="preserve"> </w:t>
      </w:r>
      <w:r>
        <w:rPr>
          <w:color w:val="221F1F"/>
        </w:rPr>
        <w:t>and</w:t>
      </w:r>
      <w:r>
        <w:rPr>
          <w:color w:val="221F1F"/>
          <w:spacing w:val="-13"/>
        </w:rPr>
        <w:t xml:space="preserve"> </w:t>
      </w:r>
      <w:r>
        <w:rPr>
          <w:color w:val="221F1F"/>
        </w:rPr>
        <w:t>or</w:t>
      </w:r>
      <w:r>
        <w:rPr>
          <w:color w:val="221F1F"/>
          <w:spacing w:val="-13"/>
        </w:rPr>
        <w:t xml:space="preserve"> </w:t>
      </w:r>
      <w:r>
        <w:rPr>
          <w:color w:val="221F1F"/>
        </w:rPr>
        <w:t>a</w:t>
      </w:r>
      <w:r>
        <w:rPr>
          <w:color w:val="221F1F"/>
          <w:spacing w:val="-13"/>
        </w:rPr>
        <w:t xml:space="preserve"> </w:t>
      </w:r>
      <w:r>
        <w:rPr>
          <w:color w:val="221F1F"/>
        </w:rPr>
        <w:t>pre-tender</w:t>
      </w:r>
      <w:r>
        <w:rPr>
          <w:color w:val="221F1F"/>
          <w:spacing w:val="-14"/>
        </w:rPr>
        <w:t xml:space="preserve"> </w:t>
      </w:r>
      <w:r>
        <w:rPr>
          <w:color w:val="221F1F"/>
        </w:rPr>
        <w:t>meeting</w:t>
      </w:r>
      <w:r>
        <w:rPr>
          <w:color w:val="221F1F"/>
          <w:spacing w:val="-14"/>
        </w:rPr>
        <w:t xml:space="preserve"> </w:t>
      </w:r>
      <w:r>
        <w:rPr>
          <w:color w:val="221F1F"/>
        </w:rPr>
        <w:t>will</w:t>
      </w:r>
      <w:r>
        <w:rPr>
          <w:color w:val="221F1F"/>
          <w:spacing w:val="-12"/>
        </w:rPr>
        <w:t xml:space="preserve"> </w:t>
      </w:r>
      <w:r>
        <w:rPr>
          <w:color w:val="221F1F"/>
        </w:rPr>
        <w:t>be</w:t>
      </w:r>
      <w:r>
        <w:rPr>
          <w:color w:val="221F1F"/>
          <w:spacing w:val="-13"/>
        </w:rPr>
        <w:t xml:space="preserve"> </w:t>
      </w:r>
      <w:r>
        <w:rPr>
          <w:color w:val="221F1F"/>
        </w:rPr>
        <w:t>held,</w:t>
      </w:r>
      <w:r>
        <w:rPr>
          <w:color w:val="221F1F"/>
          <w:spacing w:val="-13"/>
        </w:rPr>
        <w:t xml:space="preserve"> </w:t>
      </w:r>
      <w:r>
        <w:rPr>
          <w:color w:val="221F1F"/>
        </w:rPr>
        <w:t>when</w:t>
      </w:r>
      <w:r>
        <w:rPr>
          <w:color w:val="221F1F"/>
          <w:spacing w:val="-14"/>
        </w:rPr>
        <w:t xml:space="preserve"> </w:t>
      </w:r>
      <w:r>
        <w:rPr>
          <w:color w:val="221F1F"/>
        </w:rPr>
        <w:t>and</w:t>
      </w:r>
      <w:r>
        <w:rPr>
          <w:color w:val="221F1F"/>
          <w:spacing w:val="-13"/>
        </w:rPr>
        <w:t xml:space="preserve"> </w:t>
      </w:r>
      <w:r>
        <w:rPr>
          <w:color w:val="221F1F"/>
        </w:rPr>
        <w:t>where.</w:t>
      </w:r>
      <w:r>
        <w:rPr>
          <w:color w:val="221F1F"/>
          <w:spacing w:val="-13"/>
        </w:rPr>
        <w:t xml:space="preserve"> </w:t>
      </w:r>
      <w:r>
        <w:rPr>
          <w:color w:val="221F1F"/>
        </w:rPr>
        <w:t>The</w:t>
      </w:r>
      <w:r>
        <w:rPr>
          <w:color w:val="221F1F"/>
          <w:spacing w:val="-13"/>
        </w:rPr>
        <w:t xml:space="preserve"> </w:t>
      </w:r>
      <w:r>
        <w:rPr>
          <w:color w:val="221F1F"/>
        </w:rPr>
        <w:t>Tenderer's</w:t>
      </w:r>
      <w:r>
        <w:rPr>
          <w:color w:val="221F1F"/>
          <w:spacing w:val="-13"/>
        </w:rPr>
        <w:t xml:space="preserve"> </w:t>
      </w:r>
      <w:r>
        <w:rPr>
          <w:color w:val="221F1F"/>
        </w:rPr>
        <w:t>designated representative is invited to attend a pre-arranged site visit and a pre-tender meeting, as the case may be. The purpose of the site visit and the pre-tender meeting will be to clarify issues and to answer questions on any matter that may be raised at that stage.</w:t>
      </w:r>
    </w:p>
    <w:p w:rsidR="007F6DF9" w:rsidRDefault="007F6DF9">
      <w:pPr>
        <w:pStyle w:val="BodyText"/>
      </w:pPr>
    </w:p>
    <w:p w:rsidR="007F6DF9" w:rsidRDefault="00A43FBC">
      <w:pPr>
        <w:pStyle w:val="ListParagraph"/>
        <w:numPr>
          <w:ilvl w:val="1"/>
          <w:numId w:val="223"/>
        </w:numPr>
        <w:tabs>
          <w:tab w:val="left" w:pos="1412"/>
          <w:tab w:val="left" w:pos="1418"/>
        </w:tabs>
        <w:ind w:left="1418" w:right="856" w:hanging="570"/>
        <w:jc w:val="both"/>
        <w:rPr>
          <w:b/>
          <w:color w:val="221F1F"/>
        </w:rPr>
      </w:pPr>
      <w:r>
        <w:rPr>
          <w:color w:val="221F1F"/>
        </w:rPr>
        <w:t xml:space="preserve">The Tenderer is requested to submit any questions in writing, to reach the Procuring Entity not later than the period specified in the </w:t>
      </w:r>
      <w:r>
        <w:rPr>
          <w:b/>
          <w:color w:val="221F1F"/>
        </w:rPr>
        <w:t xml:space="preserve">TDS </w:t>
      </w:r>
      <w:r>
        <w:rPr>
          <w:color w:val="221F1F"/>
        </w:rPr>
        <w:t>before the meeting.</w:t>
      </w:r>
    </w:p>
    <w:p w:rsidR="007F6DF9" w:rsidRDefault="00A43FBC">
      <w:pPr>
        <w:pStyle w:val="ListParagraph"/>
        <w:numPr>
          <w:ilvl w:val="1"/>
          <w:numId w:val="223"/>
        </w:numPr>
        <w:tabs>
          <w:tab w:val="left" w:pos="1393"/>
          <w:tab w:val="left" w:pos="1397"/>
        </w:tabs>
        <w:spacing w:before="252"/>
        <w:ind w:left="1397" w:right="745" w:hanging="563"/>
        <w:jc w:val="both"/>
        <w:rPr>
          <w:b/>
        </w:rPr>
      </w:pPr>
      <w:r>
        <w:rPr>
          <w:color w:val="221F1F"/>
        </w:rPr>
        <w:t>Minutes of a pre-arranged site visit and those of the pre-tender meeting, if applicable, including the text of the questions asked by Tenderers and the responses given,</w:t>
      </w:r>
      <w:r>
        <w:rPr>
          <w:color w:val="221F1F"/>
          <w:spacing w:val="-2"/>
        </w:rPr>
        <w:t xml:space="preserve"> </w:t>
      </w:r>
      <w:r>
        <w:rPr>
          <w:color w:val="221F1F"/>
        </w:rPr>
        <w:t>together with any responses prepared after</w:t>
      </w:r>
      <w:r>
        <w:rPr>
          <w:color w:val="221F1F"/>
          <w:spacing w:val="-1"/>
        </w:rPr>
        <w:t xml:space="preserve"> </w:t>
      </w:r>
      <w:r>
        <w:rPr>
          <w:color w:val="221F1F"/>
        </w:rPr>
        <w:t>the</w:t>
      </w:r>
      <w:r>
        <w:rPr>
          <w:color w:val="221F1F"/>
          <w:spacing w:val="-2"/>
        </w:rPr>
        <w:t xml:space="preserve"> </w:t>
      </w:r>
      <w:r>
        <w:rPr>
          <w:color w:val="221F1F"/>
        </w:rPr>
        <w:t>meeting,</w:t>
      </w:r>
    </w:p>
    <w:p w:rsidR="007F6DF9" w:rsidRDefault="007F6DF9">
      <w:pPr>
        <w:pStyle w:val="ListParagraph"/>
        <w:jc w:val="both"/>
        <w:rPr>
          <w:b/>
        </w:rPr>
        <w:sectPr w:rsidR="007F6DF9">
          <w:pgSz w:w="11920" w:h="16850"/>
          <w:pgMar w:top="360" w:right="0" w:bottom="580" w:left="0" w:header="0" w:footer="385" w:gutter="0"/>
          <w:pgNumType w:start="4"/>
          <w:cols w:space="720"/>
        </w:sectPr>
      </w:pPr>
    </w:p>
    <w:p w:rsidR="007F6DF9" w:rsidRDefault="007F6DF9">
      <w:pPr>
        <w:pStyle w:val="BodyText"/>
        <w:spacing w:before="17"/>
      </w:pPr>
    </w:p>
    <w:p w:rsidR="007F6DF9" w:rsidRDefault="00A43FBC">
      <w:pPr>
        <w:pStyle w:val="BodyText"/>
        <w:ind w:left="1397" w:right="752"/>
        <w:jc w:val="both"/>
      </w:pPr>
      <w:r>
        <w:rPr>
          <w:color w:val="221F1F"/>
        </w:rPr>
        <w:t>will be transmitted promptly to all Tenderers who have acquired the Tender Documents. Minutes shall not identify the source of the questions asked.</w:t>
      </w:r>
    </w:p>
    <w:p w:rsidR="007F6DF9" w:rsidRDefault="00A43FBC">
      <w:pPr>
        <w:pStyle w:val="ListParagraph"/>
        <w:numPr>
          <w:ilvl w:val="1"/>
          <w:numId w:val="223"/>
        </w:numPr>
        <w:tabs>
          <w:tab w:val="left" w:pos="1400"/>
          <w:tab w:val="left" w:pos="1404"/>
        </w:tabs>
        <w:spacing w:before="244" w:line="230" w:lineRule="auto"/>
        <w:ind w:left="1404" w:right="841" w:hanging="565"/>
        <w:jc w:val="both"/>
        <w:rPr>
          <w:b/>
          <w:color w:val="221F1F"/>
        </w:rPr>
      </w:pPr>
      <w:proofErr w:type="spellStart"/>
      <w:r>
        <w:rPr>
          <w:color w:val="221F1F"/>
        </w:rPr>
        <w:t>TheProcuring</w:t>
      </w:r>
      <w:proofErr w:type="spellEnd"/>
      <w:r>
        <w:rPr>
          <w:color w:val="221F1F"/>
          <w:spacing w:val="-11"/>
        </w:rPr>
        <w:t xml:space="preserve"> </w:t>
      </w:r>
      <w:r>
        <w:rPr>
          <w:color w:val="221F1F"/>
        </w:rPr>
        <w:t>Entity</w:t>
      </w:r>
      <w:r>
        <w:rPr>
          <w:color w:val="221F1F"/>
          <w:spacing w:val="-10"/>
        </w:rPr>
        <w:t xml:space="preserve"> </w:t>
      </w:r>
      <w:r>
        <w:rPr>
          <w:color w:val="221F1F"/>
        </w:rPr>
        <w:t>shall</w:t>
      </w:r>
      <w:r>
        <w:rPr>
          <w:color w:val="221F1F"/>
          <w:spacing w:val="-10"/>
        </w:rPr>
        <w:t xml:space="preserve"> </w:t>
      </w:r>
      <w:r>
        <w:rPr>
          <w:color w:val="221F1F"/>
        </w:rPr>
        <w:t>al</w:t>
      </w:r>
      <w:r>
        <w:rPr>
          <w:color w:val="221F1F"/>
          <w:spacing w:val="-9"/>
        </w:rPr>
        <w:t xml:space="preserve"> </w:t>
      </w:r>
      <w:r>
        <w:rPr>
          <w:color w:val="221F1F"/>
        </w:rPr>
        <w:t>so</w:t>
      </w:r>
      <w:r>
        <w:rPr>
          <w:color w:val="221F1F"/>
          <w:spacing w:val="-11"/>
        </w:rPr>
        <w:t xml:space="preserve"> </w:t>
      </w:r>
      <w:r>
        <w:rPr>
          <w:color w:val="221F1F"/>
        </w:rPr>
        <w:t>promptly</w:t>
      </w:r>
      <w:r>
        <w:rPr>
          <w:color w:val="221F1F"/>
          <w:spacing w:val="-10"/>
        </w:rPr>
        <w:t xml:space="preserve"> </w:t>
      </w:r>
      <w:r>
        <w:rPr>
          <w:color w:val="221F1F"/>
        </w:rPr>
        <w:t>publish</w:t>
      </w:r>
      <w:r>
        <w:rPr>
          <w:color w:val="221F1F"/>
          <w:spacing w:val="-10"/>
        </w:rPr>
        <w:t xml:space="preserve"> </w:t>
      </w:r>
      <w:r>
        <w:rPr>
          <w:color w:val="221F1F"/>
        </w:rPr>
        <w:t>anonymized</w:t>
      </w:r>
      <w:r>
        <w:rPr>
          <w:color w:val="221F1F"/>
          <w:spacing w:val="-10"/>
        </w:rPr>
        <w:t xml:space="preserve"> </w:t>
      </w:r>
      <w:r>
        <w:rPr>
          <w:color w:val="221F1F"/>
        </w:rPr>
        <w:t>(</w:t>
      </w:r>
      <w:r>
        <w:rPr>
          <w:i/>
          <w:color w:val="221F1F"/>
        </w:rPr>
        <w:t>no</w:t>
      </w:r>
      <w:r>
        <w:rPr>
          <w:i/>
          <w:color w:val="221F1F"/>
          <w:spacing w:val="-11"/>
        </w:rPr>
        <w:t xml:space="preserve"> </w:t>
      </w:r>
      <w:r>
        <w:rPr>
          <w:i/>
          <w:color w:val="221F1F"/>
        </w:rPr>
        <w:t>names</w:t>
      </w:r>
      <w:r>
        <w:rPr>
          <w:color w:val="221F1F"/>
        </w:rPr>
        <w:t>)</w:t>
      </w:r>
      <w:r>
        <w:rPr>
          <w:color w:val="221F1F"/>
          <w:spacing w:val="-10"/>
        </w:rPr>
        <w:t xml:space="preserve"> </w:t>
      </w:r>
      <w:r>
        <w:rPr>
          <w:color w:val="221F1F"/>
        </w:rPr>
        <w:t>Minutes</w:t>
      </w:r>
      <w:r>
        <w:rPr>
          <w:color w:val="221F1F"/>
          <w:spacing w:val="-12"/>
        </w:rPr>
        <w:t xml:space="preserve"> </w:t>
      </w:r>
      <w:r>
        <w:rPr>
          <w:color w:val="221F1F"/>
        </w:rPr>
        <w:t>of</w:t>
      </w:r>
      <w:r>
        <w:rPr>
          <w:color w:val="221F1F"/>
          <w:spacing w:val="-9"/>
        </w:rPr>
        <w:t xml:space="preserve"> </w:t>
      </w:r>
      <w:r>
        <w:rPr>
          <w:color w:val="221F1F"/>
        </w:rPr>
        <w:t>the</w:t>
      </w:r>
      <w:r>
        <w:rPr>
          <w:color w:val="221F1F"/>
          <w:spacing w:val="-10"/>
        </w:rPr>
        <w:t xml:space="preserve"> </w:t>
      </w:r>
      <w:r>
        <w:rPr>
          <w:color w:val="221F1F"/>
        </w:rPr>
        <w:t>pre-arranged</w:t>
      </w:r>
      <w:r>
        <w:rPr>
          <w:color w:val="221F1F"/>
          <w:spacing w:val="-11"/>
        </w:rPr>
        <w:t xml:space="preserve"> </w:t>
      </w:r>
      <w:r>
        <w:rPr>
          <w:color w:val="221F1F"/>
        </w:rPr>
        <w:t>site</w:t>
      </w:r>
      <w:r>
        <w:rPr>
          <w:color w:val="221F1F"/>
          <w:spacing w:val="-10"/>
        </w:rPr>
        <w:t xml:space="preserve"> </w:t>
      </w:r>
      <w:r>
        <w:rPr>
          <w:color w:val="221F1F"/>
        </w:rPr>
        <w:t xml:space="preserve">visit and those of the pre-tender meeting at the web page identified in the </w:t>
      </w:r>
      <w:r>
        <w:rPr>
          <w:b/>
          <w:color w:val="221F1F"/>
        </w:rPr>
        <w:t>TDS</w:t>
      </w:r>
      <w:r>
        <w:rPr>
          <w:color w:val="221F1F"/>
        </w:rPr>
        <w:t>. Any modification to the Tender Documents that may become necessary as a result of the pre-arranged site visit and those of the pre-tender meeting</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made</w:t>
      </w:r>
      <w:r>
        <w:rPr>
          <w:color w:val="221F1F"/>
          <w:spacing w:val="-3"/>
        </w:rPr>
        <w:t xml:space="preserve"> </w:t>
      </w:r>
      <w:r>
        <w:rPr>
          <w:color w:val="221F1F"/>
        </w:rPr>
        <w:t>by</w:t>
      </w:r>
      <w:r>
        <w:rPr>
          <w:color w:val="221F1F"/>
          <w:spacing w:val="-4"/>
        </w:rPr>
        <w:t xml:space="preserve"> </w:t>
      </w:r>
      <w:r>
        <w:rPr>
          <w:color w:val="221F1F"/>
        </w:rPr>
        <w:t>the Procuring</w:t>
      </w:r>
      <w:r>
        <w:rPr>
          <w:color w:val="221F1F"/>
          <w:spacing w:val="-3"/>
        </w:rPr>
        <w:t xml:space="preserve"> </w:t>
      </w:r>
      <w:r>
        <w:rPr>
          <w:color w:val="221F1F"/>
        </w:rPr>
        <w:t>Entity</w:t>
      </w:r>
      <w:r>
        <w:rPr>
          <w:color w:val="221F1F"/>
          <w:spacing w:val="-3"/>
        </w:rPr>
        <w:t xml:space="preserve"> </w:t>
      </w:r>
      <w:r>
        <w:rPr>
          <w:color w:val="221F1F"/>
        </w:rPr>
        <w:t>exclusively</w:t>
      </w:r>
      <w:r>
        <w:rPr>
          <w:color w:val="221F1F"/>
          <w:spacing w:val="-3"/>
        </w:rPr>
        <w:t xml:space="preserve"> </w:t>
      </w:r>
      <w:r>
        <w:rPr>
          <w:color w:val="221F1F"/>
        </w:rPr>
        <w:t>through</w:t>
      </w:r>
      <w:r>
        <w:rPr>
          <w:color w:val="221F1F"/>
          <w:spacing w:val="-6"/>
        </w:rPr>
        <w:t xml:space="preserve"> </w:t>
      </w:r>
      <w:r>
        <w:rPr>
          <w:color w:val="221F1F"/>
        </w:rPr>
        <w:t>the</w:t>
      </w:r>
      <w:r>
        <w:rPr>
          <w:color w:val="221F1F"/>
          <w:spacing w:val="-3"/>
        </w:rPr>
        <w:t xml:space="preserve"> </w:t>
      </w:r>
      <w:r>
        <w:rPr>
          <w:color w:val="221F1F"/>
        </w:rPr>
        <w:t>issue</w:t>
      </w:r>
      <w:r>
        <w:rPr>
          <w:color w:val="221F1F"/>
          <w:spacing w:val="-3"/>
        </w:rPr>
        <w:t xml:space="preserve"> </w:t>
      </w:r>
      <w:r>
        <w:rPr>
          <w:color w:val="221F1F"/>
        </w:rPr>
        <w:t>of</w:t>
      </w:r>
      <w:r>
        <w:rPr>
          <w:color w:val="221F1F"/>
          <w:spacing w:val="-3"/>
        </w:rPr>
        <w:t xml:space="preserve"> </w:t>
      </w:r>
      <w:r>
        <w:rPr>
          <w:color w:val="221F1F"/>
        </w:rPr>
        <w:t>an</w:t>
      </w:r>
      <w:r>
        <w:rPr>
          <w:color w:val="221F1F"/>
          <w:spacing w:val="-4"/>
        </w:rPr>
        <w:t xml:space="preserve"> </w:t>
      </w:r>
      <w:r>
        <w:rPr>
          <w:color w:val="221F1F"/>
        </w:rPr>
        <w:t>Addendum</w:t>
      </w:r>
      <w:r>
        <w:rPr>
          <w:color w:val="221F1F"/>
          <w:spacing w:val="-2"/>
        </w:rPr>
        <w:t xml:space="preserve"> </w:t>
      </w:r>
      <w:r>
        <w:rPr>
          <w:color w:val="221F1F"/>
        </w:rPr>
        <w:t>pursuant</w:t>
      </w:r>
      <w:r>
        <w:rPr>
          <w:color w:val="221F1F"/>
          <w:spacing w:val="-2"/>
        </w:rPr>
        <w:t xml:space="preserve"> </w:t>
      </w:r>
      <w:r>
        <w:rPr>
          <w:color w:val="221F1F"/>
        </w:rPr>
        <w:t>to</w:t>
      </w:r>
      <w:r>
        <w:rPr>
          <w:color w:val="221F1F"/>
          <w:spacing w:val="-4"/>
        </w:rPr>
        <w:t xml:space="preserve"> </w:t>
      </w:r>
      <w:r>
        <w:rPr>
          <w:color w:val="221F1F"/>
        </w:rPr>
        <w:t>ITT 8</w:t>
      </w:r>
      <w:r>
        <w:rPr>
          <w:color w:val="221F1F"/>
          <w:spacing w:val="-4"/>
        </w:rPr>
        <w:t xml:space="preserve"> </w:t>
      </w:r>
      <w:r>
        <w:rPr>
          <w:color w:val="221F1F"/>
        </w:rPr>
        <w:t>and</w:t>
      </w:r>
      <w:r>
        <w:rPr>
          <w:color w:val="221F1F"/>
          <w:spacing w:val="-3"/>
        </w:rPr>
        <w:t xml:space="preserve"> </w:t>
      </w:r>
      <w:r>
        <w:rPr>
          <w:color w:val="221F1F"/>
        </w:rPr>
        <w:t>not</w:t>
      </w:r>
      <w:r>
        <w:rPr>
          <w:color w:val="221F1F"/>
          <w:spacing w:val="-5"/>
        </w:rPr>
        <w:t xml:space="preserve"> </w:t>
      </w:r>
      <w:r>
        <w:rPr>
          <w:color w:val="221F1F"/>
        </w:rPr>
        <w:t>through</w:t>
      </w:r>
      <w:r>
        <w:rPr>
          <w:color w:val="221F1F"/>
          <w:spacing w:val="-6"/>
        </w:rPr>
        <w:t xml:space="preserve"> </w:t>
      </w:r>
      <w:r>
        <w:rPr>
          <w:color w:val="221F1F"/>
        </w:rPr>
        <w:t>the</w:t>
      </w:r>
      <w:r>
        <w:rPr>
          <w:color w:val="221F1F"/>
          <w:spacing w:val="-6"/>
        </w:rPr>
        <w:t xml:space="preserve"> </w:t>
      </w:r>
      <w:r>
        <w:rPr>
          <w:color w:val="221F1F"/>
        </w:rPr>
        <w:t>minutes</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pre-Tender</w:t>
      </w:r>
      <w:r>
        <w:rPr>
          <w:color w:val="221F1F"/>
          <w:spacing w:val="-5"/>
        </w:rPr>
        <w:t xml:space="preserve"> </w:t>
      </w:r>
      <w:r>
        <w:rPr>
          <w:color w:val="221F1F"/>
        </w:rPr>
        <w:t>meeting.</w:t>
      </w:r>
      <w:r>
        <w:rPr>
          <w:color w:val="221F1F"/>
          <w:spacing w:val="-3"/>
        </w:rPr>
        <w:t xml:space="preserve"> </w:t>
      </w:r>
      <w:r>
        <w:rPr>
          <w:color w:val="221F1F"/>
        </w:rPr>
        <w:t>Non-attendance</w:t>
      </w:r>
      <w:r>
        <w:rPr>
          <w:color w:val="221F1F"/>
          <w:spacing w:val="-5"/>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pre-arranged</w:t>
      </w:r>
      <w:r>
        <w:rPr>
          <w:color w:val="221F1F"/>
          <w:spacing w:val="-5"/>
        </w:rPr>
        <w:t xml:space="preserve"> </w:t>
      </w:r>
      <w:r>
        <w:rPr>
          <w:color w:val="221F1F"/>
        </w:rPr>
        <w:t>site</w:t>
      </w:r>
      <w:r>
        <w:rPr>
          <w:color w:val="221F1F"/>
          <w:spacing w:val="-3"/>
        </w:rPr>
        <w:t xml:space="preserve"> </w:t>
      </w:r>
      <w:r>
        <w:rPr>
          <w:color w:val="221F1F"/>
        </w:rPr>
        <w:t>visit</w:t>
      </w:r>
      <w:r>
        <w:rPr>
          <w:color w:val="221F1F"/>
          <w:spacing w:val="-5"/>
        </w:rPr>
        <w:t xml:space="preserve"> </w:t>
      </w:r>
      <w:r>
        <w:rPr>
          <w:color w:val="221F1F"/>
        </w:rPr>
        <w:t>and</w:t>
      </w:r>
      <w:r>
        <w:rPr>
          <w:color w:val="221F1F"/>
          <w:spacing w:val="-6"/>
        </w:rPr>
        <w:t xml:space="preserve"> </w:t>
      </w:r>
      <w:r>
        <w:rPr>
          <w:color w:val="221F1F"/>
        </w:rPr>
        <w:t>the pre-tender meeting will not be a cause for disqualification of a Tenderer.</w:t>
      </w:r>
    </w:p>
    <w:p w:rsidR="007F6DF9" w:rsidRDefault="00A43FBC">
      <w:pPr>
        <w:pStyle w:val="Heading9"/>
        <w:numPr>
          <w:ilvl w:val="1"/>
          <w:numId w:val="222"/>
        </w:numPr>
        <w:tabs>
          <w:tab w:val="left" w:pos="1404"/>
        </w:tabs>
        <w:spacing w:before="239"/>
        <w:ind w:hanging="564"/>
      </w:pPr>
      <w:bookmarkStart w:id="12" w:name="_bookmark11"/>
      <w:bookmarkEnd w:id="12"/>
      <w:r>
        <w:rPr>
          <w:color w:val="221F1F"/>
          <w:spacing w:val="-2"/>
        </w:rPr>
        <w:t>Amendment</w:t>
      </w:r>
      <w:r>
        <w:rPr>
          <w:color w:val="221F1F"/>
        </w:rPr>
        <w:t xml:space="preserve"> </w:t>
      </w:r>
      <w:r>
        <w:rPr>
          <w:color w:val="221F1F"/>
          <w:spacing w:val="-2"/>
        </w:rPr>
        <w:t>of</w:t>
      </w:r>
      <w:r>
        <w:rPr>
          <w:color w:val="221F1F"/>
          <w:spacing w:val="1"/>
        </w:rPr>
        <w:t xml:space="preserve"> </w:t>
      </w:r>
      <w:r>
        <w:rPr>
          <w:color w:val="221F1F"/>
          <w:spacing w:val="-2"/>
        </w:rPr>
        <w:t>Tender</w:t>
      </w:r>
      <w:r>
        <w:rPr>
          <w:color w:val="221F1F"/>
          <w:spacing w:val="-10"/>
        </w:rPr>
        <w:t xml:space="preserve"> </w:t>
      </w:r>
      <w:r>
        <w:rPr>
          <w:color w:val="221F1F"/>
          <w:spacing w:val="-2"/>
        </w:rPr>
        <w:t>Documents</w:t>
      </w:r>
    </w:p>
    <w:p w:rsidR="007F6DF9" w:rsidRDefault="00A43FBC">
      <w:pPr>
        <w:pStyle w:val="ListParagraph"/>
        <w:numPr>
          <w:ilvl w:val="1"/>
          <w:numId w:val="222"/>
        </w:numPr>
        <w:tabs>
          <w:tab w:val="left" w:pos="1404"/>
        </w:tabs>
        <w:spacing w:before="242" w:line="230" w:lineRule="auto"/>
        <w:ind w:right="1316"/>
      </w:pPr>
      <w:r>
        <w:rPr>
          <w:color w:val="221F1F"/>
        </w:rPr>
        <w:t>At</w:t>
      </w:r>
      <w:r>
        <w:rPr>
          <w:color w:val="221F1F"/>
          <w:spacing w:val="-1"/>
        </w:rPr>
        <w:t xml:space="preserve"> </w:t>
      </w:r>
      <w:r>
        <w:rPr>
          <w:color w:val="221F1F"/>
        </w:rPr>
        <w:t>any</w:t>
      </w:r>
      <w:r>
        <w:rPr>
          <w:color w:val="221F1F"/>
          <w:spacing w:val="-4"/>
        </w:rPr>
        <w:t xml:space="preserve"> </w:t>
      </w:r>
      <w:r>
        <w:rPr>
          <w:color w:val="221F1F"/>
        </w:rPr>
        <w:t>time</w:t>
      </w:r>
      <w:r>
        <w:rPr>
          <w:color w:val="221F1F"/>
          <w:spacing w:val="-2"/>
        </w:rPr>
        <w:t xml:space="preserve"> </w:t>
      </w:r>
      <w:r>
        <w:rPr>
          <w:color w:val="221F1F"/>
        </w:rPr>
        <w:t>prior</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deadline</w:t>
      </w:r>
      <w:r>
        <w:rPr>
          <w:color w:val="221F1F"/>
          <w:spacing w:val="-2"/>
        </w:rPr>
        <w:t xml:space="preserve"> </w:t>
      </w:r>
      <w:r>
        <w:rPr>
          <w:color w:val="221F1F"/>
        </w:rPr>
        <w:t>for</w:t>
      </w:r>
      <w:r>
        <w:rPr>
          <w:color w:val="221F1F"/>
          <w:spacing w:val="-2"/>
        </w:rPr>
        <w:t xml:space="preserve"> </w:t>
      </w:r>
      <w:r>
        <w:rPr>
          <w:color w:val="221F1F"/>
        </w:rPr>
        <w:t>submission</w:t>
      </w:r>
      <w:r>
        <w:rPr>
          <w:color w:val="221F1F"/>
          <w:spacing w:val="-5"/>
        </w:rPr>
        <w:t xml:space="preserve"> </w:t>
      </w:r>
      <w:r>
        <w:rPr>
          <w:color w:val="221F1F"/>
        </w:rPr>
        <w:t>of</w:t>
      </w:r>
      <w:r>
        <w:rPr>
          <w:color w:val="221F1F"/>
          <w:spacing w:val="-2"/>
        </w:rPr>
        <w:t xml:space="preserve"> </w:t>
      </w:r>
      <w:r>
        <w:rPr>
          <w:color w:val="221F1F"/>
        </w:rPr>
        <w:t>Tenders,</w:t>
      </w:r>
      <w:r>
        <w:rPr>
          <w:color w:val="221F1F"/>
          <w:spacing w:val="-4"/>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5"/>
        </w:rPr>
        <w:t xml:space="preserve"> </w:t>
      </w:r>
      <w:r>
        <w:rPr>
          <w:color w:val="221F1F"/>
        </w:rPr>
        <w:t>may</w:t>
      </w:r>
      <w:r>
        <w:rPr>
          <w:color w:val="221F1F"/>
          <w:spacing w:val="-4"/>
        </w:rPr>
        <w:t xml:space="preserve"> </w:t>
      </w:r>
      <w:r>
        <w:rPr>
          <w:color w:val="221F1F"/>
        </w:rPr>
        <w:t>amend</w:t>
      </w:r>
      <w:r>
        <w:rPr>
          <w:color w:val="221F1F"/>
          <w:spacing w:val="-4"/>
        </w:rPr>
        <w:t xml:space="preserve"> </w:t>
      </w:r>
      <w:r>
        <w:rPr>
          <w:color w:val="221F1F"/>
        </w:rPr>
        <w:t>the Tender Documents by issuing addenda.</w:t>
      </w:r>
    </w:p>
    <w:p w:rsidR="007F6DF9" w:rsidRDefault="00A43FBC">
      <w:pPr>
        <w:pStyle w:val="ListParagraph"/>
        <w:numPr>
          <w:ilvl w:val="1"/>
          <w:numId w:val="222"/>
        </w:numPr>
        <w:tabs>
          <w:tab w:val="left" w:pos="1402"/>
          <w:tab w:val="left" w:pos="1404"/>
        </w:tabs>
        <w:spacing w:before="244" w:line="230" w:lineRule="auto"/>
        <w:ind w:right="845"/>
        <w:jc w:val="both"/>
      </w:pPr>
      <w:r>
        <w:rPr>
          <w:color w:val="221F1F"/>
        </w:rPr>
        <w:t>Any</w:t>
      </w:r>
      <w:r>
        <w:rPr>
          <w:color w:val="221F1F"/>
          <w:spacing w:val="-2"/>
        </w:rPr>
        <w:t xml:space="preserve"> </w:t>
      </w:r>
      <w:r>
        <w:rPr>
          <w:color w:val="221F1F"/>
        </w:rPr>
        <w:t>addendum</w:t>
      </w:r>
      <w:r>
        <w:rPr>
          <w:color w:val="221F1F"/>
          <w:spacing w:val="-4"/>
        </w:rPr>
        <w:t xml:space="preserve"> </w:t>
      </w:r>
      <w:r>
        <w:rPr>
          <w:color w:val="221F1F"/>
        </w:rPr>
        <w:t>issued</w:t>
      </w:r>
      <w:r>
        <w:rPr>
          <w:color w:val="221F1F"/>
          <w:spacing w:val="-4"/>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w:t>
      </w:r>
      <w:r>
        <w:rPr>
          <w:color w:val="221F1F"/>
          <w:spacing w:val="-9"/>
        </w:rPr>
        <w:t xml:space="preserve"> </w:t>
      </w:r>
      <w:r>
        <w:rPr>
          <w:color w:val="221F1F"/>
        </w:rPr>
        <w:t>Documents</w:t>
      </w:r>
      <w:r>
        <w:rPr>
          <w:color w:val="221F1F"/>
          <w:spacing w:val="-4"/>
        </w:rPr>
        <w:t xml:space="preserve"> </w:t>
      </w:r>
      <w:r>
        <w:rPr>
          <w:color w:val="221F1F"/>
        </w:rPr>
        <w:t>and</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communicated</w:t>
      </w:r>
      <w:r>
        <w:rPr>
          <w:color w:val="221F1F"/>
          <w:spacing w:val="-2"/>
        </w:rPr>
        <w:t xml:space="preserve"> </w:t>
      </w:r>
      <w:r>
        <w:rPr>
          <w:color w:val="221F1F"/>
        </w:rPr>
        <w:t>in</w:t>
      </w:r>
      <w:r>
        <w:rPr>
          <w:color w:val="221F1F"/>
          <w:spacing w:val="-5"/>
        </w:rPr>
        <w:t xml:space="preserve"> </w:t>
      </w:r>
      <w:r>
        <w:rPr>
          <w:color w:val="221F1F"/>
        </w:rPr>
        <w:t>writing</w:t>
      </w:r>
      <w:r>
        <w:rPr>
          <w:color w:val="221F1F"/>
          <w:spacing w:val="-5"/>
        </w:rPr>
        <w:t xml:space="preserve"> </w:t>
      </w:r>
      <w:r>
        <w:rPr>
          <w:color w:val="221F1F"/>
        </w:rPr>
        <w:t>to</w:t>
      </w:r>
      <w:r>
        <w:rPr>
          <w:color w:val="221F1F"/>
          <w:spacing w:val="-5"/>
        </w:rPr>
        <w:t xml:space="preserve"> </w:t>
      </w:r>
      <w:r>
        <w:rPr>
          <w:color w:val="221F1F"/>
        </w:rPr>
        <w:t>all who have obtained the Tender Documents from the Procuring Entity. The Procuring Entity shall also promptly publish the addendum on the Procuring Entity's website in accordance with ITT 7.5.</w:t>
      </w:r>
    </w:p>
    <w:p w:rsidR="007F6DF9" w:rsidRDefault="00A43FBC">
      <w:pPr>
        <w:pStyle w:val="ListParagraph"/>
        <w:numPr>
          <w:ilvl w:val="1"/>
          <w:numId w:val="222"/>
        </w:numPr>
        <w:tabs>
          <w:tab w:val="left" w:pos="1404"/>
        </w:tabs>
        <w:spacing w:before="247" w:line="230" w:lineRule="auto"/>
        <w:ind w:right="915"/>
      </w:pPr>
      <w:r>
        <w:rPr>
          <w:color w:val="221F1F"/>
        </w:rPr>
        <w:t>To</w:t>
      </w:r>
      <w:r>
        <w:rPr>
          <w:color w:val="221F1F"/>
          <w:spacing w:val="-15"/>
        </w:rPr>
        <w:t xml:space="preserve"> </w:t>
      </w:r>
      <w:r>
        <w:rPr>
          <w:color w:val="221F1F"/>
        </w:rPr>
        <w:t>give</w:t>
      </w:r>
      <w:r>
        <w:rPr>
          <w:color w:val="221F1F"/>
          <w:spacing w:val="-4"/>
        </w:rPr>
        <w:t xml:space="preserve"> </w:t>
      </w:r>
      <w:r>
        <w:rPr>
          <w:color w:val="221F1F"/>
        </w:rPr>
        <w:t>Tenderers</w:t>
      </w:r>
      <w:r>
        <w:rPr>
          <w:color w:val="221F1F"/>
          <w:spacing w:val="-4"/>
        </w:rPr>
        <w:t xml:space="preserve"> </w:t>
      </w:r>
      <w:r>
        <w:rPr>
          <w:color w:val="221F1F"/>
        </w:rPr>
        <w:t>reasonable</w:t>
      </w:r>
      <w:r>
        <w:rPr>
          <w:color w:val="221F1F"/>
          <w:spacing w:val="-2"/>
        </w:rPr>
        <w:t xml:space="preserve"> </w:t>
      </w:r>
      <w:r>
        <w:rPr>
          <w:color w:val="221F1F"/>
        </w:rPr>
        <w:t>time</w:t>
      </w:r>
      <w:r>
        <w:rPr>
          <w:color w:val="221F1F"/>
          <w:spacing w:val="-4"/>
        </w:rPr>
        <w:t xml:space="preserve"> </w:t>
      </w:r>
      <w:r>
        <w:rPr>
          <w:color w:val="221F1F"/>
        </w:rPr>
        <w:t>in</w:t>
      </w:r>
      <w:r>
        <w:rPr>
          <w:color w:val="221F1F"/>
          <w:spacing w:val="-2"/>
        </w:rPr>
        <w:t xml:space="preserve"> </w:t>
      </w:r>
      <w:r>
        <w:rPr>
          <w:color w:val="221F1F"/>
        </w:rPr>
        <w:t>which</w:t>
      </w:r>
      <w:r>
        <w:rPr>
          <w:color w:val="221F1F"/>
          <w:spacing w:val="-2"/>
        </w:rPr>
        <w:t xml:space="preserve"> </w:t>
      </w:r>
      <w:r>
        <w:rPr>
          <w:color w:val="221F1F"/>
        </w:rPr>
        <w:t>to take</w:t>
      </w:r>
      <w:r>
        <w:rPr>
          <w:color w:val="221F1F"/>
          <w:spacing w:val="-2"/>
        </w:rPr>
        <w:t xml:space="preserve"> </w:t>
      </w:r>
      <w:r>
        <w:rPr>
          <w:color w:val="221F1F"/>
        </w:rPr>
        <w:t>an</w:t>
      </w:r>
      <w:r>
        <w:rPr>
          <w:color w:val="221F1F"/>
          <w:spacing w:val="-5"/>
        </w:rPr>
        <w:t xml:space="preserve"> </w:t>
      </w:r>
      <w:r>
        <w:rPr>
          <w:color w:val="221F1F"/>
        </w:rPr>
        <w:t>addendum</w:t>
      </w:r>
      <w:r>
        <w:rPr>
          <w:color w:val="221F1F"/>
          <w:spacing w:val="-4"/>
        </w:rPr>
        <w:t xml:space="preserve"> </w:t>
      </w:r>
      <w:r>
        <w:rPr>
          <w:color w:val="221F1F"/>
        </w:rPr>
        <w:t>into</w:t>
      </w:r>
      <w:r>
        <w:rPr>
          <w:color w:val="221F1F"/>
          <w:spacing w:val="-2"/>
        </w:rPr>
        <w:t xml:space="preserve"> </w:t>
      </w:r>
      <w:r>
        <w:rPr>
          <w:color w:val="221F1F"/>
        </w:rPr>
        <w:t>account</w:t>
      </w:r>
      <w:r>
        <w:rPr>
          <w:color w:val="221F1F"/>
          <w:spacing w:val="-1"/>
        </w:rPr>
        <w:t xml:space="preserve"> </w:t>
      </w:r>
      <w:r>
        <w:rPr>
          <w:color w:val="221F1F"/>
        </w:rPr>
        <w:t>in</w:t>
      </w:r>
      <w:r>
        <w:rPr>
          <w:color w:val="221F1F"/>
          <w:spacing w:val="-5"/>
        </w:rPr>
        <w:t xml:space="preserve"> </w:t>
      </w:r>
      <w:r>
        <w:rPr>
          <w:color w:val="221F1F"/>
        </w:rPr>
        <w:t>preparing</w:t>
      </w:r>
      <w:r>
        <w:rPr>
          <w:color w:val="221F1F"/>
          <w:spacing w:val="-2"/>
        </w:rPr>
        <w:t xml:space="preserve"> </w:t>
      </w:r>
      <w:r>
        <w:rPr>
          <w:color w:val="221F1F"/>
        </w:rPr>
        <w:t>their</w:t>
      </w:r>
      <w:r>
        <w:rPr>
          <w:color w:val="221F1F"/>
          <w:spacing w:val="-2"/>
        </w:rPr>
        <w:t xml:space="preserve"> </w:t>
      </w:r>
      <w:r>
        <w:rPr>
          <w:color w:val="221F1F"/>
        </w:rPr>
        <w:t>Tenders,</w:t>
      </w:r>
      <w:r>
        <w:rPr>
          <w:color w:val="221F1F"/>
          <w:spacing w:val="-2"/>
        </w:rPr>
        <w:t xml:space="preserve"> </w:t>
      </w:r>
      <w:r>
        <w:rPr>
          <w:color w:val="221F1F"/>
        </w:rPr>
        <w:t>the Procuring Entity should extend the dead line for the submission of Tenders, pursuant to ITT 22.2.</w:t>
      </w:r>
    </w:p>
    <w:p w:rsidR="007F6DF9" w:rsidRDefault="00A43FBC">
      <w:pPr>
        <w:pStyle w:val="Heading8"/>
        <w:numPr>
          <w:ilvl w:val="0"/>
          <w:numId w:val="225"/>
        </w:numPr>
        <w:tabs>
          <w:tab w:val="left" w:pos="1195"/>
        </w:tabs>
        <w:spacing w:before="235"/>
        <w:ind w:left="1195" w:hanging="355"/>
      </w:pPr>
      <w:r>
        <w:rPr>
          <w:color w:val="221F1F"/>
          <w:spacing w:val="-4"/>
          <w:u w:val="single" w:color="221F1F"/>
        </w:rPr>
        <w:t>PREPARATION</w:t>
      </w:r>
      <w:r>
        <w:rPr>
          <w:color w:val="221F1F"/>
          <w:spacing w:val="-12"/>
          <w:u w:val="single" w:color="221F1F"/>
        </w:rPr>
        <w:t xml:space="preserve"> </w:t>
      </w:r>
      <w:r>
        <w:rPr>
          <w:color w:val="221F1F"/>
          <w:spacing w:val="-4"/>
          <w:u w:val="single" w:color="221F1F"/>
        </w:rPr>
        <w:t>OF</w:t>
      </w:r>
      <w:r>
        <w:rPr>
          <w:color w:val="221F1F"/>
          <w:spacing w:val="1"/>
          <w:u w:val="single" w:color="221F1F"/>
        </w:rPr>
        <w:t xml:space="preserve"> </w:t>
      </w:r>
      <w:r>
        <w:rPr>
          <w:color w:val="221F1F"/>
          <w:spacing w:val="-4"/>
          <w:u w:val="single" w:color="221F1F"/>
        </w:rPr>
        <w:t>TENDERS</w:t>
      </w:r>
    </w:p>
    <w:p w:rsidR="007F6DF9" w:rsidRDefault="00A43FBC">
      <w:pPr>
        <w:pStyle w:val="Heading9"/>
        <w:tabs>
          <w:tab w:val="left" w:pos="1406"/>
        </w:tabs>
        <w:spacing w:before="235"/>
        <w:ind w:left="840" w:firstLine="0"/>
      </w:pPr>
      <w:r>
        <w:rPr>
          <w:color w:val="221F1F"/>
          <w:spacing w:val="-5"/>
        </w:rPr>
        <w:t>9.</w:t>
      </w:r>
      <w:r>
        <w:rPr>
          <w:color w:val="221F1F"/>
        </w:rPr>
        <w:tab/>
        <w:t>Cost</w:t>
      </w:r>
      <w:r>
        <w:rPr>
          <w:color w:val="221F1F"/>
          <w:spacing w:val="-1"/>
        </w:rPr>
        <w:t xml:space="preserve"> </w:t>
      </w:r>
      <w:r>
        <w:rPr>
          <w:color w:val="221F1F"/>
        </w:rPr>
        <w:t>of</w:t>
      </w:r>
      <w:r>
        <w:rPr>
          <w:color w:val="221F1F"/>
          <w:spacing w:val="-2"/>
        </w:rPr>
        <w:t xml:space="preserve"> Tendering</w:t>
      </w:r>
    </w:p>
    <w:p w:rsidR="007F6DF9" w:rsidRDefault="00A43FBC">
      <w:pPr>
        <w:pStyle w:val="BodyText"/>
        <w:spacing w:before="242" w:line="230" w:lineRule="auto"/>
        <w:ind w:left="1404" w:right="846" w:firstLine="2"/>
        <w:jc w:val="both"/>
      </w:pPr>
      <w:r>
        <w:rPr>
          <w:color w:val="221F1F"/>
        </w:rPr>
        <w:t>The Tenderer shall bear all costs associated with the preparation and submission of its Tender, and the Procuring</w:t>
      </w:r>
      <w:r>
        <w:rPr>
          <w:color w:val="221F1F"/>
          <w:spacing w:val="-2"/>
        </w:rPr>
        <w:t xml:space="preserve"> </w:t>
      </w:r>
      <w:r>
        <w:rPr>
          <w:color w:val="221F1F"/>
        </w:rPr>
        <w:t>Entity shall not be responsible</w:t>
      </w:r>
      <w:r>
        <w:rPr>
          <w:color w:val="221F1F"/>
          <w:spacing w:val="-1"/>
        </w:rPr>
        <w:t xml:space="preserve"> </w:t>
      </w:r>
      <w:r>
        <w:rPr>
          <w:color w:val="221F1F"/>
        </w:rPr>
        <w:t>or liable for</w:t>
      </w:r>
      <w:r>
        <w:rPr>
          <w:color w:val="221F1F"/>
          <w:spacing w:val="-1"/>
        </w:rPr>
        <w:t xml:space="preserve"> </w:t>
      </w:r>
      <w:r>
        <w:rPr>
          <w:color w:val="221F1F"/>
        </w:rPr>
        <w:t>those</w:t>
      </w:r>
      <w:r>
        <w:rPr>
          <w:color w:val="221F1F"/>
          <w:spacing w:val="-1"/>
        </w:rPr>
        <w:t xml:space="preserve"> </w:t>
      </w:r>
      <w:r>
        <w:rPr>
          <w:color w:val="221F1F"/>
        </w:rPr>
        <w:t>costs,</w:t>
      </w:r>
      <w:r>
        <w:rPr>
          <w:color w:val="221F1F"/>
          <w:spacing w:val="-1"/>
        </w:rPr>
        <w:t xml:space="preserve"> </w:t>
      </w:r>
      <w:r>
        <w:rPr>
          <w:color w:val="221F1F"/>
        </w:rPr>
        <w:t>regardless of the conduct or</w:t>
      </w:r>
      <w:r>
        <w:rPr>
          <w:color w:val="221F1F"/>
          <w:spacing w:val="-1"/>
        </w:rPr>
        <w:t xml:space="preserve"> </w:t>
      </w:r>
      <w:r>
        <w:rPr>
          <w:color w:val="221F1F"/>
        </w:rPr>
        <w:t>outcome of</w:t>
      </w:r>
      <w:r>
        <w:rPr>
          <w:color w:val="221F1F"/>
          <w:spacing w:val="-1"/>
        </w:rPr>
        <w:t xml:space="preserve"> </w:t>
      </w:r>
      <w:r>
        <w:rPr>
          <w:color w:val="221F1F"/>
        </w:rPr>
        <w:t>the tendering process.</w:t>
      </w:r>
    </w:p>
    <w:p w:rsidR="007F6DF9" w:rsidRDefault="00A43FBC">
      <w:pPr>
        <w:pStyle w:val="Heading9"/>
        <w:numPr>
          <w:ilvl w:val="0"/>
          <w:numId w:val="221"/>
        </w:numPr>
        <w:tabs>
          <w:tab w:val="left" w:pos="1281"/>
        </w:tabs>
        <w:spacing w:before="238"/>
        <w:ind w:hanging="441"/>
      </w:pPr>
      <w:bookmarkStart w:id="13" w:name="_bookmark12"/>
      <w:bookmarkEnd w:id="13"/>
      <w:r>
        <w:rPr>
          <w:color w:val="221F1F"/>
        </w:rPr>
        <w:t>Language</w:t>
      </w:r>
      <w:r>
        <w:rPr>
          <w:color w:val="221F1F"/>
          <w:spacing w:val="-5"/>
        </w:rPr>
        <w:t xml:space="preserve"> </w:t>
      </w:r>
      <w:r>
        <w:rPr>
          <w:color w:val="221F1F"/>
        </w:rPr>
        <w:t>of</w:t>
      </w:r>
      <w:r>
        <w:rPr>
          <w:color w:val="221F1F"/>
          <w:spacing w:val="-1"/>
        </w:rPr>
        <w:t xml:space="preserve"> </w:t>
      </w:r>
      <w:r>
        <w:rPr>
          <w:color w:val="221F1F"/>
          <w:spacing w:val="-2"/>
        </w:rPr>
        <w:t>Tender</w:t>
      </w:r>
    </w:p>
    <w:p w:rsidR="007F6DF9" w:rsidRDefault="00A43FBC">
      <w:pPr>
        <w:pStyle w:val="BodyText"/>
        <w:spacing w:before="243" w:line="230" w:lineRule="auto"/>
        <w:ind w:left="1404" w:right="847" w:firstLine="12"/>
        <w:jc w:val="both"/>
      </w:pPr>
      <w:r>
        <w:rPr>
          <w:color w:val="221F1F"/>
        </w:rPr>
        <w:t>The</w:t>
      </w:r>
      <w:r>
        <w:rPr>
          <w:color w:val="221F1F"/>
          <w:spacing w:val="-5"/>
        </w:rPr>
        <w:t xml:space="preserve"> </w:t>
      </w:r>
      <w:r>
        <w:rPr>
          <w:color w:val="221F1F"/>
        </w:rPr>
        <w:t>Tender,</w:t>
      </w:r>
      <w:r>
        <w:rPr>
          <w:color w:val="221F1F"/>
          <w:spacing w:val="-14"/>
        </w:rPr>
        <w:t xml:space="preserve"> </w:t>
      </w:r>
      <w:r>
        <w:rPr>
          <w:color w:val="221F1F"/>
        </w:rPr>
        <w:t>as</w:t>
      </w:r>
      <w:r>
        <w:rPr>
          <w:color w:val="221F1F"/>
          <w:spacing w:val="-4"/>
        </w:rPr>
        <w:t xml:space="preserve"> </w:t>
      </w:r>
      <w:r>
        <w:rPr>
          <w:color w:val="221F1F"/>
        </w:rPr>
        <w:t>well</w:t>
      </w:r>
      <w:r>
        <w:rPr>
          <w:color w:val="221F1F"/>
          <w:spacing w:val="-4"/>
        </w:rPr>
        <w:t xml:space="preserve"> </w:t>
      </w:r>
      <w:r>
        <w:rPr>
          <w:color w:val="221F1F"/>
        </w:rPr>
        <w:t>as</w:t>
      </w:r>
      <w:r>
        <w:rPr>
          <w:color w:val="221F1F"/>
          <w:spacing w:val="-5"/>
        </w:rPr>
        <w:t xml:space="preserve"> </w:t>
      </w:r>
      <w:r>
        <w:rPr>
          <w:color w:val="221F1F"/>
        </w:rPr>
        <w:t>all</w:t>
      </w:r>
      <w:r>
        <w:rPr>
          <w:color w:val="221F1F"/>
          <w:spacing w:val="-4"/>
        </w:rPr>
        <w:t xml:space="preserve"> </w:t>
      </w:r>
      <w:r>
        <w:rPr>
          <w:color w:val="221F1F"/>
        </w:rPr>
        <w:t>correspondence</w:t>
      </w:r>
      <w:r>
        <w:rPr>
          <w:color w:val="221F1F"/>
          <w:spacing w:val="-6"/>
        </w:rPr>
        <w:t xml:space="preserve"> </w:t>
      </w:r>
      <w:r>
        <w:rPr>
          <w:color w:val="221F1F"/>
        </w:rPr>
        <w:t>and</w:t>
      </w:r>
      <w:r>
        <w:rPr>
          <w:color w:val="221F1F"/>
          <w:spacing w:val="-5"/>
        </w:rPr>
        <w:t xml:space="preserve"> </w:t>
      </w:r>
      <w:r>
        <w:rPr>
          <w:color w:val="221F1F"/>
        </w:rPr>
        <w:t>documents</w:t>
      </w:r>
      <w:r>
        <w:rPr>
          <w:color w:val="221F1F"/>
          <w:spacing w:val="-5"/>
        </w:rPr>
        <w:t xml:space="preserve"> </w:t>
      </w:r>
      <w:r>
        <w:rPr>
          <w:color w:val="221F1F"/>
        </w:rPr>
        <w:t>relating</w:t>
      </w:r>
      <w:r>
        <w:rPr>
          <w:color w:val="221F1F"/>
          <w:spacing w:val="-5"/>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tender</w:t>
      </w:r>
      <w:r>
        <w:rPr>
          <w:color w:val="221F1F"/>
          <w:spacing w:val="-5"/>
        </w:rPr>
        <w:t xml:space="preserve"> </w:t>
      </w:r>
      <w:r>
        <w:rPr>
          <w:color w:val="221F1F"/>
        </w:rPr>
        <w:t>exchanged</w:t>
      </w:r>
      <w:r>
        <w:rPr>
          <w:color w:val="221F1F"/>
          <w:spacing w:val="-5"/>
        </w:rPr>
        <w:t xml:space="preserve"> </w:t>
      </w:r>
      <w:r>
        <w:rPr>
          <w:color w:val="221F1F"/>
        </w:rPr>
        <w:t>by</w:t>
      </w:r>
      <w:r>
        <w:rPr>
          <w:color w:val="221F1F"/>
          <w:spacing w:val="-5"/>
        </w:rPr>
        <w:t xml:space="preserve"> </w:t>
      </w:r>
      <w:r>
        <w:rPr>
          <w:color w:val="221F1F"/>
        </w:rPr>
        <w:t>the</w:t>
      </w:r>
      <w:r>
        <w:rPr>
          <w:color w:val="221F1F"/>
          <w:spacing w:val="-7"/>
        </w:rPr>
        <w:t xml:space="preserve"> </w:t>
      </w:r>
      <w:r>
        <w:rPr>
          <w:color w:val="221F1F"/>
        </w:rPr>
        <w:t>tenderer</w:t>
      </w:r>
      <w:r>
        <w:rPr>
          <w:color w:val="221F1F"/>
          <w:spacing w:val="-5"/>
        </w:rPr>
        <w:t xml:space="preserve"> </w:t>
      </w:r>
      <w:r>
        <w:rPr>
          <w:color w:val="221F1F"/>
        </w:rPr>
        <w:t>and the Procuring Entity, shall be written in the English Language. Supporting documents and printed literature that are part of the Tender may be in another language provided they are accompanied by an accurate and notarized translation of the relevant passages into the English Language</w:t>
      </w:r>
      <w:r>
        <w:rPr>
          <w:b/>
          <w:color w:val="221F1F"/>
        </w:rPr>
        <w:t xml:space="preserve">, </w:t>
      </w:r>
      <w:r>
        <w:rPr>
          <w:color w:val="221F1F"/>
        </w:rPr>
        <w:t>in which case, for purposes of interpretation of the Tender, such translation shall govern.</w:t>
      </w:r>
    </w:p>
    <w:p w:rsidR="007F6DF9" w:rsidRDefault="00A43FBC">
      <w:pPr>
        <w:pStyle w:val="Heading9"/>
        <w:numPr>
          <w:ilvl w:val="0"/>
          <w:numId w:val="221"/>
        </w:numPr>
        <w:tabs>
          <w:tab w:val="left" w:pos="1397"/>
        </w:tabs>
        <w:spacing w:before="236"/>
        <w:ind w:left="1397" w:hanging="557"/>
      </w:pPr>
      <w:bookmarkStart w:id="14" w:name="_bookmark13"/>
      <w:bookmarkEnd w:id="14"/>
      <w:r>
        <w:rPr>
          <w:color w:val="221F1F"/>
        </w:rPr>
        <w:t>Documents</w:t>
      </w:r>
      <w:r>
        <w:rPr>
          <w:color w:val="221F1F"/>
          <w:spacing w:val="-5"/>
        </w:rPr>
        <w:t xml:space="preserve"> </w:t>
      </w:r>
      <w:r>
        <w:rPr>
          <w:color w:val="221F1F"/>
        </w:rPr>
        <w:t>Comprising</w:t>
      </w:r>
      <w:r>
        <w:rPr>
          <w:color w:val="221F1F"/>
          <w:spacing w:val="-6"/>
        </w:rPr>
        <w:t xml:space="preserve"> </w:t>
      </w:r>
      <w:r>
        <w:rPr>
          <w:color w:val="221F1F"/>
        </w:rPr>
        <w:t>the</w:t>
      </w:r>
      <w:r>
        <w:rPr>
          <w:color w:val="221F1F"/>
          <w:spacing w:val="-5"/>
        </w:rPr>
        <w:t xml:space="preserve"> </w:t>
      </w:r>
      <w:r>
        <w:rPr>
          <w:color w:val="221F1F"/>
          <w:spacing w:val="-2"/>
        </w:rPr>
        <w:t>Tender</w:t>
      </w:r>
    </w:p>
    <w:p w:rsidR="007F6DF9" w:rsidRDefault="00A43FBC">
      <w:pPr>
        <w:pStyle w:val="ListParagraph"/>
        <w:numPr>
          <w:ilvl w:val="1"/>
          <w:numId w:val="221"/>
        </w:numPr>
        <w:tabs>
          <w:tab w:val="left" w:pos="1397"/>
        </w:tabs>
        <w:spacing w:before="234"/>
        <w:ind w:hanging="557"/>
      </w:pPr>
      <w:r>
        <w:rPr>
          <w:color w:val="221F1F"/>
        </w:rPr>
        <w:t>The</w:t>
      </w:r>
      <w:r>
        <w:rPr>
          <w:color w:val="221F1F"/>
          <w:spacing w:val="-7"/>
        </w:rPr>
        <w:t xml:space="preserve"> </w:t>
      </w:r>
      <w:r>
        <w:rPr>
          <w:color w:val="221F1F"/>
        </w:rPr>
        <w:t>Tender</w:t>
      </w:r>
      <w:r>
        <w:rPr>
          <w:color w:val="221F1F"/>
          <w:spacing w:val="-12"/>
        </w:rPr>
        <w:t xml:space="preserve"> </w:t>
      </w:r>
      <w:r>
        <w:rPr>
          <w:color w:val="221F1F"/>
        </w:rPr>
        <w:t>shall</w:t>
      </w:r>
      <w:r>
        <w:rPr>
          <w:color w:val="221F1F"/>
          <w:spacing w:val="-6"/>
        </w:rPr>
        <w:t xml:space="preserve"> </w:t>
      </w:r>
      <w:r>
        <w:rPr>
          <w:color w:val="221F1F"/>
        </w:rPr>
        <w:t>comprise</w:t>
      </w:r>
      <w:r>
        <w:rPr>
          <w:color w:val="221F1F"/>
          <w:spacing w:val="-5"/>
        </w:rPr>
        <w:t xml:space="preserve"> </w:t>
      </w:r>
      <w:r>
        <w:rPr>
          <w:color w:val="221F1F"/>
        </w:rPr>
        <w:t>the</w:t>
      </w:r>
      <w:r>
        <w:rPr>
          <w:color w:val="221F1F"/>
          <w:spacing w:val="-6"/>
        </w:rPr>
        <w:t xml:space="preserve"> </w:t>
      </w:r>
      <w:r>
        <w:rPr>
          <w:color w:val="221F1F"/>
          <w:spacing w:val="-2"/>
        </w:rPr>
        <w:t>following:</w:t>
      </w:r>
    </w:p>
    <w:p w:rsidR="007F6DF9" w:rsidRDefault="007F6DF9">
      <w:pPr>
        <w:pStyle w:val="BodyText"/>
      </w:pPr>
    </w:p>
    <w:p w:rsidR="007F6DF9" w:rsidRDefault="007F6DF9">
      <w:pPr>
        <w:pStyle w:val="BodyText"/>
        <w:spacing w:before="21"/>
      </w:pPr>
    </w:p>
    <w:p w:rsidR="007F6DF9" w:rsidRDefault="00A43FBC">
      <w:pPr>
        <w:pStyle w:val="ListParagraph"/>
        <w:numPr>
          <w:ilvl w:val="2"/>
          <w:numId w:val="221"/>
        </w:numPr>
        <w:tabs>
          <w:tab w:val="left" w:pos="1817"/>
        </w:tabs>
      </w:pPr>
      <w:r>
        <w:rPr>
          <w:color w:val="221F1F"/>
        </w:rPr>
        <w:t>Form</w:t>
      </w:r>
      <w:r>
        <w:rPr>
          <w:color w:val="221F1F"/>
          <w:spacing w:val="-6"/>
        </w:rPr>
        <w:t xml:space="preserve"> </w:t>
      </w:r>
      <w:r>
        <w:rPr>
          <w:color w:val="221F1F"/>
        </w:rPr>
        <w:t>of</w:t>
      </w:r>
      <w:r>
        <w:rPr>
          <w:color w:val="221F1F"/>
          <w:spacing w:val="-4"/>
        </w:rPr>
        <w:t xml:space="preserve"> </w:t>
      </w:r>
      <w:r>
        <w:rPr>
          <w:color w:val="221F1F"/>
        </w:rPr>
        <w:t>Tender</w:t>
      </w:r>
      <w:r>
        <w:rPr>
          <w:color w:val="221F1F"/>
          <w:spacing w:val="-11"/>
        </w:rPr>
        <w:t xml:space="preserve"> </w:t>
      </w:r>
      <w:r>
        <w:rPr>
          <w:color w:val="221F1F"/>
        </w:rPr>
        <w:t>prepared</w:t>
      </w:r>
      <w:r>
        <w:rPr>
          <w:color w:val="221F1F"/>
          <w:spacing w:val="-4"/>
        </w:rPr>
        <w:t xml:space="preserve"> </w:t>
      </w:r>
      <w:r>
        <w:rPr>
          <w:color w:val="221F1F"/>
        </w:rPr>
        <w:t>in</w:t>
      </w:r>
      <w:r>
        <w:rPr>
          <w:color w:val="221F1F"/>
          <w:spacing w:val="-7"/>
        </w:rPr>
        <w:t xml:space="preserve"> </w:t>
      </w:r>
      <w:r>
        <w:rPr>
          <w:color w:val="221F1F"/>
        </w:rPr>
        <w:t>accordance</w:t>
      </w:r>
      <w:r>
        <w:rPr>
          <w:color w:val="221F1F"/>
          <w:spacing w:val="-4"/>
        </w:rPr>
        <w:t xml:space="preserve"> </w:t>
      </w:r>
      <w:r>
        <w:rPr>
          <w:color w:val="221F1F"/>
        </w:rPr>
        <w:t>with</w:t>
      </w:r>
      <w:r>
        <w:rPr>
          <w:color w:val="221F1F"/>
          <w:spacing w:val="-5"/>
        </w:rPr>
        <w:t xml:space="preserve"> </w:t>
      </w:r>
      <w:r>
        <w:rPr>
          <w:color w:val="221F1F"/>
        </w:rPr>
        <w:t>ITT</w:t>
      </w:r>
      <w:r>
        <w:rPr>
          <w:color w:val="221F1F"/>
          <w:spacing w:val="-5"/>
        </w:rPr>
        <w:t xml:space="preserve"> 12;</w:t>
      </w:r>
    </w:p>
    <w:p w:rsidR="007F6DF9" w:rsidRDefault="00A43FBC">
      <w:pPr>
        <w:pStyle w:val="ListParagraph"/>
        <w:numPr>
          <w:ilvl w:val="2"/>
          <w:numId w:val="221"/>
        </w:numPr>
        <w:tabs>
          <w:tab w:val="left" w:pos="1817"/>
        </w:tabs>
        <w:spacing w:before="41"/>
      </w:pPr>
      <w:r>
        <w:rPr>
          <w:color w:val="221F1F"/>
        </w:rPr>
        <w:t>Schedules</w:t>
      </w:r>
      <w:r>
        <w:rPr>
          <w:color w:val="221F1F"/>
          <w:spacing w:val="-8"/>
        </w:rPr>
        <w:t xml:space="preserve"> </w:t>
      </w:r>
      <w:r>
        <w:rPr>
          <w:color w:val="221F1F"/>
        </w:rPr>
        <w:t>including</w:t>
      </w:r>
      <w:r>
        <w:rPr>
          <w:color w:val="221F1F"/>
          <w:spacing w:val="-3"/>
        </w:rPr>
        <w:t xml:space="preserve"> </w:t>
      </w:r>
      <w:r>
        <w:rPr>
          <w:color w:val="221F1F"/>
        </w:rPr>
        <w:t>priced</w:t>
      </w:r>
      <w:r>
        <w:rPr>
          <w:color w:val="221F1F"/>
          <w:spacing w:val="-6"/>
        </w:rPr>
        <w:t xml:space="preserve"> </w:t>
      </w:r>
      <w:r>
        <w:rPr>
          <w:color w:val="221F1F"/>
        </w:rPr>
        <w:t>Bill</w:t>
      </w:r>
      <w:r>
        <w:rPr>
          <w:color w:val="221F1F"/>
          <w:spacing w:val="-4"/>
        </w:rPr>
        <w:t xml:space="preserve"> </w:t>
      </w:r>
      <w:r>
        <w:rPr>
          <w:color w:val="221F1F"/>
        </w:rPr>
        <w:t>of</w:t>
      </w:r>
      <w:r>
        <w:rPr>
          <w:color w:val="221F1F"/>
          <w:spacing w:val="-3"/>
        </w:rPr>
        <w:t xml:space="preserve"> </w:t>
      </w:r>
      <w:r>
        <w:rPr>
          <w:color w:val="221F1F"/>
        </w:rPr>
        <w:t>Quantities,</w:t>
      </w:r>
      <w:r>
        <w:rPr>
          <w:color w:val="221F1F"/>
          <w:spacing w:val="-3"/>
        </w:rPr>
        <w:t xml:space="preserve"> </w:t>
      </w:r>
      <w:r>
        <w:rPr>
          <w:color w:val="221F1F"/>
        </w:rPr>
        <w:t>completed</w:t>
      </w:r>
      <w:r>
        <w:rPr>
          <w:color w:val="221F1F"/>
          <w:spacing w:val="-4"/>
        </w:rPr>
        <w:t xml:space="preserve"> </w:t>
      </w:r>
      <w:r>
        <w:rPr>
          <w:color w:val="221F1F"/>
        </w:rPr>
        <w:t>in</w:t>
      </w:r>
      <w:r>
        <w:rPr>
          <w:color w:val="221F1F"/>
          <w:spacing w:val="-3"/>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ITT</w:t>
      </w:r>
      <w:r>
        <w:rPr>
          <w:color w:val="221F1F"/>
          <w:spacing w:val="-4"/>
        </w:rPr>
        <w:t xml:space="preserve"> </w:t>
      </w:r>
      <w:r>
        <w:rPr>
          <w:color w:val="221F1F"/>
        </w:rPr>
        <w:t>12</w:t>
      </w:r>
      <w:r>
        <w:rPr>
          <w:color w:val="221F1F"/>
          <w:spacing w:val="-4"/>
        </w:rPr>
        <w:t xml:space="preserve"> </w:t>
      </w:r>
      <w:r>
        <w:rPr>
          <w:color w:val="221F1F"/>
        </w:rPr>
        <w:t>and</w:t>
      </w:r>
      <w:r>
        <w:rPr>
          <w:color w:val="221F1F"/>
          <w:spacing w:val="-3"/>
        </w:rPr>
        <w:t xml:space="preserve"> </w:t>
      </w:r>
      <w:r>
        <w:rPr>
          <w:color w:val="221F1F"/>
        </w:rPr>
        <w:t>ITT</w:t>
      </w:r>
      <w:r>
        <w:rPr>
          <w:color w:val="221F1F"/>
          <w:spacing w:val="-4"/>
        </w:rPr>
        <w:t xml:space="preserve"> </w:t>
      </w:r>
      <w:r>
        <w:rPr>
          <w:color w:val="221F1F"/>
          <w:spacing w:val="-5"/>
        </w:rPr>
        <w:t>14;</w:t>
      </w:r>
    </w:p>
    <w:p w:rsidR="007F6DF9" w:rsidRDefault="00A43FBC">
      <w:pPr>
        <w:pStyle w:val="ListParagraph"/>
        <w:numPr>
          <w:ilvl w:val="2"/>
          <w:numId w:val="221"/>
        </w:numPr>
        <w:tabs>
          <w:tab w:val="left" w:pos="1817"/>
        </w:tabs>
        <w:spacing w:before="37"/>
      </w:pPr>
      <w:r>
        <w:rPr>
          <w:color w:val="221F1F"/>
        </w:rPr>
        <w:t>Tender</w:t>
      </w:r>
      <w:r>
        <w:rPr>
          <w:color w:val="221F1F"/>
          <w:spacing w:val="-10"/>
        </w:rPr>
        <w:t xml:space="preserve"> </w:t>
      </w:r>
      <w:r>
        <w:rPr>
          <w:color w:val="221F1F"/>
        </w:rPr>
        <w:t>Security</w:t>
      </w:r>
      <w:r>
        <w:rPr>
          <w:color w:val="221F1F"/>
          <w:spacing w:val="-4"/>
        </w:rPr>
        <w:t xml:space="preserve"> </w:t>
      </w:r>
      <w:r>
        <w:rPr>
          <w:color w:val="221F1F"/>
        </w:rPr>
        <w:t>or</w:t>
      </w:r>
      <w:r>
        <w:rPr>
          <w:color w:val="221F1F"/>
          <w:spacing w:val="-8"/>
        </w:rPr>
        <w:t xml:space="preserve"> </w:t>
      </w:r>
      <w:r>
        <w:rPr>
          <w:color w:val="221F1F"/>
        </w:rPr>
        <w:t>Tender-Securing</w:t>
      </w:r>
      <w:r>
        <w:rPr>
          <w:color w:val="221F1F"/>
          <w:spacing w:val="-5"/>
        </w:rPr>
        <w:t xml:space="preserve"> </w:t>
      </w:r>
      <w:r>
        <w:rPr>
          <w:color w:val="221F1F"/>
        </w:rPr>
        <w:t>Declaration,</w:t>
      </w:r>
      <w:r>
        <w:rPr>
          <w:color w:val="221F1F"/>
          <w:spacing w:val="-5"/>
        </w:rPr>
        <w:t xml:space="preserve"> </w:t>
      </w:r>
      <w:r>
        <w:rPr>
          <w:color w:val="221F1F"/>
        </w:rPr>
        <w:t>in</w:t>
      </w:r>
      <w:r>
        <w:rPr>
          <w:color w:val="221F1F"/>
          <w:spacing w:val="-8"/>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ITT</w:t>
      </w:r>
      <w:r>
        <w:rPr>
          <w:color w:val="221F1F"/>
          <w:spacing w:val="-6"/>
        </w:rPr>
        <w:t xml:space="preserve"> </w:t>
      </w:r>
      <w:r>
        <w:rPr>
          <w:color w:val="221F1F"/>
          <w:spacing w:val="-2"/>
        </w:rPr>
        <w:t>19.1;</w:t>
      </w:r>
    </w:p>
    <w:p w:rsidR="007F6DF9" w:rsidRDefault="00A43FBC">
      <w:pPr>
        <w:pStyle w:val="ListParagraph"/>
        <w:numPr>
          <w:ilvl w:val="2"/>
          <w:numId w:val="221"/>
        </w:numPr>
        <w:tabs>
          <w:tab w:val="left" w:pos="1817"/>
        </w:tabs>
        <w:spacing w:before="40"/>
      </w:pPr>
      <w:r>
        <w:rPr>
          <w:color w:val="221F1F"/>
        </w:rPr>
        <w:t>Alternative</w:t>
      </w:r>
      <w:r>
        <w:rPr>
          <w:color w:val="221F1F"/>
          <w:spacing w:val="-10"/>
        </w:rPr>
        <w:t xml:space="preserve"> </w:t>
      </w:r>
      <w:r>
        <w:rPr>
          <w:color w:val="221F1F"/>
        </w:rPr>
        <w:t>Tender,</w:t>
      </w:r>
      <w:r>
        <w:rPr>
          <w:color w:val="221F1F"/>
          <w:spacing w:val="-14"/>
        </w:rPr>
        <w:t xml:space="preserve"> </w:t>
      </w:r>
      <w:r>
        <w:rPr>
          <w:color w:val="221F1F"/>
        </w:rPr>
        <w:t>if</w:t>
      </w:r>
      <w:r>
        <w:rPr>
          <w:color w:val="221F1F"/>
          <w:spacing w:val="-7"/>
        </w:rPr>
        <w:t xml:space="preserve"> </w:t>
      </w:r>
      <w:r>
        <w:rPr>
          <w:color w:val="221F1F"/>
        </w:rPr>
        <w:t>permissible,</w:t>
      </w:r>
      <w:r>
        <w:rPr>
          <w:color w:val="221F1F"/>
          <w:spacing w:val="-9"/>
        </w:rPr>
        <w:t xml:space="preserve"> </w:t>
      </w:r>
      <w:r>
        <w:rPr>
          <w:color w:val="221F1F"/>
        </w:rPr>
        <w:t>in</w:t>
      </w:r>
      <w:r>
        <w:rPr>
          <w:color w:val="221F1F"/>
          <w:spacing w:val="-8"/>
        </w:rPr>
        <w:t xml:space="preserve"> </w:t>
      </w:r>
      <w:r>
        <w:rPr>
          <w:color w:val="221F1F"/>
        </w:rPr>
        <w:t>accordance</w:t>
      </w:r>
      <w:r>
        <w:rPr>
          <w:color w:val="221F1F"/>
          <w:spacing w:val="-7"/>
        </w:rPr>
        <w:t xml:space="preserve"> </w:t>
      </w:r>
      <w:r>
        <w:rPr>
          <w:color w:val="221F1F"/>
        </w:rPr>
        <w:t>with</w:t>
      </w:r>
      <w:r>
        <w:rPr>
          <w:color w:val="221F1F"/>
          <w:spacing w:val="-8"/>
        </w:rPr>
        <w:t xml:space="preserve"> </w:t>
      </w:r>
      <w:r>
        <w:rPr>
          <w:color w:val="221F1F"/>
        </w:rPr>
        <w:t>ITT</w:t>
      </w:r>
      <w:r>
        <w:rPr>
          <w:color w:val="221F1F"/>
          <w:spacing w:val="-8"/>
        </w:rPr>
        <w:t xml:space="preserve"> </w:t>
      </w:r>
      <w:r>
        <w:rPr>
          <w:color w:val="221F1F"/>
          <w:spacing w:val="-5"/>
        </w:rPr>
        <w:t>13;</w:t>
      </w:r>
    </w:p>
    <w:p w:rsidR="007F6DF9" w:rsidRDefault="00A43FBC">
      <w:pPr>
        <w:pStyle w:val="ListParagraph"/>
        <w:numPr>
          <w:ilvl w:val="2"/>
          <w:numId w:val="221"/>
        </w:numPr>
        <w:tabs>
          <w:tab w:val="left" w:pos="1817"/>
          <w:tab w:val="left" w:pos="1824"/>
        </w:tabs>
        <w:spacing w:before="48" w:line="230" w:lineRule="auto"/>
        <w:ind w:left="1824" w:right="1044" w:hanging="418"/>
      </w:pPr>
      <w:r>
        <w:rPr>
          <w:b/>
          <w:i/>
          <w:color w:val="221F1F"/>
        </w:rPr>
        <w:t>Authorization</w:t>
      </w:r>
      <w:r>
        <w:rPr>
          <w:i/>
          <w:color w:val="221F1F"/>
        </w:rPr>
        <w:t>:</w:t>
      </w:r>
      <w:r>
        <w:rPr>
          <w:i/>
          <w:color w:val="221F1F"/>
          <w:spacing w:val="-5"/>
        </w:rPr>
        <w:t xml:space="preserve"> </w:t>
      </w:r>
      <w:r>
        <w:rPr>
          <w:color w:val="221F1F"/>
        </w:rPr>
        <w:t>written</w:t>
      </w:r>
      <w:r>
        <w:rPr>
          <w:color w:val="221F1F"/>
          <w:spacing w:val="-6"/>
        </w:rPr>
        <w:t xml:space="preserve"> </w:t>
      </w:r>
      <w:r>
        <w:rPr>
          <w:color w:val="221F1F"/>
        </w:rPr>
        <w:t>confirmation</w:t>
      </w:r>
      <w:r>
        <w:rPr>
          <w:color w:val="221F1F"/>
          <w:spacing w:val="-6"/>
        </w:rPr>
        <w:t xml:space="preserve"> </w:t>
      </w:r>
      <w:r>
        <w:rPr>
          <w:color w:val="221F1F"/>
        </w:rPr>
        <w:t>authorizing</w:t>
      </w:r>
      <w:r>
        <w:rPr>
          <w:color w:val="221F1F"/>
          <w:spacing w:val="-9"/>
        </w:rPr>
        <w:t xml:space="preserve"> </w:t>
      </w:r>
      <w:r>
        <w:rPr>
          <w:color w:val="221F1F"/>
        </w:rPr>
        <w:t>the</w:t>
      </w:r>
      <w:r>
        <w:rPr>
          <w:color w:val="221F1F"/>
          <w:spacing w:val="-6"/>
        </w:rPr>
        <w:t xml:space="preserve"> </w:t>
      </w:r>
      <w:r>
        <w:rPr>
          <w:color w:val="221F1F"/>
        </w:rPr>
        <w:t>signatory</w:t>
      </w:r>
      <w:r>
        <w:rPr>
          <w:color w:val="221F1F"/>
          <w:spacing w:val="-6"/>
        </w:rPr>
        <w:t xml:space="preserve"> </w:t>
      </w:r>
      <w:r>
        <w:rPr>
          <w:color w:val="221F1F"/>
        </w:rPr>
        <w:t>of</w:t>
      </w:r>
      <w:r>
        <w:rPr>
          <w:color w:val="221F1F"/>
          <w:spacing w:val="-6"/>
        </w:rPr>
        <w:t xml:space="preserve"> </w:t>
      </w:r>
      <w:r>
        <w:rPr>
          <w:color w:val="221F1F"/>
        </w:rPr>
        <w:t>the</w:t>
      </w:r>
      <w:r>
        <w:rPr>
          <w:color w:val="221F1F"/>
          <w:spacing w:val="-3"/>
        </w:rPr>
        <w:t xml:space="preserve"> </w:t>
      </w:r>
      <w:r>
        <w:rPr>
          <w:color w:val="221F1F"/>
        </w:rPr>
        <w:t>Tender</w:t>
      </w:r>
      <w:r>
        <w:rPr>
          <w:color w:val="221F1F"/>
          <w:spacing w:val="-12"/>
        </w:rPr>
        <w:t xml:space="preserve"> </w:t>
      </w:r>
      <w:r>
        <w:rPr>
          <w:color w:val="221F1F"/>
        </w:rPr>
        <w:t>to</w:t>
      </w:r>
      <w:r>
        <w:rPr>
          <w:color w:val="221F1F"/>
          <w:spacing w:val="-6"/>
        </w:rPr>
        <w:t xml:space="preserve"> </w:t>
      </w:r>
      <w:r>
        <w:rPr>
          <w:color w:val="221F1F"/>
        </w:rPr>
        <w:t>commit</w:t>
      </w:r>
      <w:r>
        <w:rPr>
          <w:color w:val="221F1F"/>
          <w:spacing w:val="-8"/>
        </w:rPr>
        <w:t xml:space="preserve"> </w:t>
      </w:r>
      <w:r>
        <w:rPr>
          <w:color w:val="221F1F"/>
        </w:rPr>
        <w:t>the</w:t>
      </w:r>
      <w:r>
        <w:rPr>
          <w:color w:val="221F1F"/>
          <w:spacing w:val="-5"/>
        </w:rPr>
        <w:t xml:space="preserve"> </w:t>
      </w:r>
      <w:r>
        <w:rPr>
          <w:color w:val="221F1F"/>
        </w:rPr>
        <w:t>Tenderer,</w:t>
      </w:r>
      <w:r>
        <w:rPr>
          <w:color w:val="221F1F"/>
          <w:spacing w:val="-12"/>
        </w:rPr>
        <w:t xml:space="preserve"> </w:t>
      </w:r>
      <w:r>
        <w:rPr>
          <w:color w:val="221F1F"/>
        </w:rPr>
        <w:t xml:space="preserve">in </w:t>
      </w:r>
      <w:r>
        <w:rPr>
          <w:color w:val="221F1F"/>
          <w:spacing w:val="-2"/>
        </w:rPr>
        <w:t>accordancewithITT20.3;</w:t>
      </w:r>
    </w:p>
    <w:p w:rsidR="007F6DF9" w:rsidRDefault="00A43FBC">
      <w:pPr>
        <w:pStyle w:val="ListParagraph"/>
        <w:numPr>
          <w:ilvl w:val="2"/>
          <w:numId w:val="221"/>
        </w:numPr>
        <w:tabs>
          <w:tab w:val="left" w:pos="1817"/>
          <w:tab w:val="left" w:pos="1824"/>
        </w:tabs>
        <w:spacing w:before="50" w:line="230" w:lineRule="auto"/>
        <w:ind w:left="1824" w:right="1933" w:hanging="418"/>
      </w:pPr>
      <w:r>
        <w:rPr>
          <w:i/>
          <w:color w:val="221F1F"/>
        </w:rPr>
        <w:t>Qualifications:</w:t>
      </w:r>
      <w:r>
        <w:rPr>
          <w:i/>
          <w:color w:val="221F1F"/>
          <w:spacing w:val="-2"/>
        </w:rPr>
        <w:t xml:space="preserve"> </w:t>
      </w:r>
      <w:r>
        <w:rPr>
          <w:color w:val="221F1F"/>
        </w:rPr>
        <w:t>documentary</w:t>
      </w:r>
      <w:r>
        <w:rPr>
          <w:color w:val="221F1F"/>
          <w:spacing w:val="-2"/>
        </w:rPr>
        <w:t xml:space="preserve"> </w:t>
      </w:r>
      <w:r>
        <w:rPr>
          <w:color w:val="221F1F"/>
        </w:rPr>
        <w:t>evidence</w:t>
      </w:r>
      <w:r>
        <w:rPr>
          <w:color w:val="221F1F"/>
          <w:spacing w:val="-2"/>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ITT</w:t>
      </w:r>
      <w:r>
        <w:rPr>
          <w:color w:val="221F1F"/>
          <w:spacing w:val="-4"/>
        </w:rPr>
        <w:t xml:space="preserve"> </w:t>
      </w:r>
      <w:r>
        <w:rPr>
          <w:color w:val="221F1F"/>
        </w:rPr>
        <w:t>17</w:t>
      </w:r>
      <w:r>
        <w:rPr>
          <w:color w:val="221F1F"/>
          <w:spacing w:val="-6"/>
        </w:rPr>
        <w:t xml:space="preserve"> </w:t>
      </w:r>
      <w:r>
        <w:rPr>
          <w:color w:val="221F1F"/>
        </w:rPr>
        <w:t>establishing</w:t>
      </w:r>
      <w:r>
        <w:rPr>
          <w:color w:val="221F1F"/>
          <w:spacing w:val="-5"/>
        </w:rPr>
        <w:t xml:space="preserve"> </w:t>
      </w:r>
      <w:r>
        <w:rPr>
          <w:color w:val="221F1F"/>
        </w:rPr>
        <w:t>the</w:t>
      </w:r>
      <w:r>
        <w:rPr>
          <w:color w:val="221F1F"/>
          <w:spacing w:val="-5"/>
        </w:rPr>
        <w:t xml:space="preserve"> </w:t>
      </w:r>
      <w:r>
        <w:rPr>
          <w:color w:val="221F1F"/>
        </w:rPr>
        <w:t xml:space="preserve">Tenderer's qualifications to </w:t>
      </w:r>
      <w:proofErr w:type="spellStart"/>
      <w:r>
        <w:rPr>
          <w:color w:val="221F1F"/>
        </w:rPr>
        <w:t>per form</w:t>
      </w:r>
      <w:proofErr w:type="spellEnd"/>
      <w:r>
        <w:rPr>
          <w:color w:val="221F1F"/>
        </w:rPr>
        <w:t xml:space="preserve"> the Contract if its Tender is accepted;</w:t>
      </w:r>
    </w:p>
    <w:p w:rsidR="007F6DF9" w:rsidRDefault="00A43FBC">
      <w:pPr>
        <w:pStyle w:val="ListParagraph"/>
        <w:numPr>
          <w:ilvl w:val="2"/>
          <w:numId w:val="221"/>
        </w:numPr>
        <w:tabs>
          <w:tab w:val="left" w:pos="1817"/>
        </w:tabs>
        <w:spacing w:before="41"/>
        <w:ind w:hanging="413"/>
      </w:pPr>
      <w:r>
        <w:rPr>
          <w:i/>
          <w:color w:val="221F1F"/>
        </w:rPr>
        <w:t>Conformity:</w:t>
      </w:r>
      <w:r>
        <w:rPr>
          <w:i/>
          <w:color w:val="221F1F"/>
          <w:spacing w:val="-3"/>
        </w:rPr>
        <w:t xml:space="preserve"> </w:t>
      </w:r>
      <w:r>
        <w:rPr>
          <w:color w:val="221F1F"/>
        </w:rPr>
        <w:t>a</w:t>
      </w:r>
      <w:r>
        <w:rPr>
          <w:color w:val="221F1F"/>
          <w:spacing w:val="-5"/>
        </w:rPr>
        <w:t xml:space="preserve"> </w:t>
      </w:r>
      <w:r>
        <w:rPr>
          <w:color w:val="221F1F"/>
        </w:rPr>
        <w:t>technical</w:t>
      </w:r>
      <w:r>
        <w:rPr>
          <w:color w:val="221F1F"/>
          <w:spacing w:val="-3"/>
        </w:rPr>
        <w:t xml:space="preserve"> </w:t>
      </w:r>
      <w:r>
        <w:rPr>
          <w:color w:val="221F1F"/>
        </w:rPr>
        <w:t>proposal</w:t>
      </w:r>
      <w:r>
        <w:rPr>
          <w:color w:val="221F1F"/>
          <w:spacing w:val="-4"/>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ITT</w:t>
      </w:r>
      <w:r>
        <w:rPr>
          <w:color w:val="221F1F"/>
          <w:spacing w:val="-4"/>
        </w:rPr>
        <w:t xml:space="preserve"> </w:t>
      </w:r>
      <w:r>
        <w:rPr>
          <w:color w:val="221F1F"/>
          <w:spacing w:val="-5"/>
        </w:rPr>
        <w:t>16;</w:t>
      </w:r>
    </w:p>
    <w:p w:rsidR="007F6DF9" w:rsidRDefault="00A43FBC">
      <w:pPr>
        <w:pStyle w:val="ListParagraph"/>
        <w:numPr>
          <w:ilvl w:val="2"/>
          <w:numId w:val="221"/>
        </w:numPr>
        <w:tabs>
          <w:tab w:val="left" w:pos="1817"/>
        </w:tabs>
        <w:spacing w:before="64"/>
        <w:ind w:hanging="413"/>
        <w:rPr>
          <w:b/>
        </w:rPr>
      </w:pPr>
      <w:r>
        <w:rPr>
          <w:color w:val="221F1F"/>
        </w:rPr>
        <w:t>Any</w:t>
      </w:r>
      <w:r>
        <w:rPr>
          <w:color w:val="221F1F"/>
          <w:spacing w:val="-3"/>
        </w:rPr>
        <w:t xml:space="preserve"> </w:t>
      </w:r>
      <w:r>
        <w:rPr>
          <w:color w:val="221F1F"/>
        </w:rPr>
        <w:t>other</w:t>
      </w:r>
      <w:r>
        <w:rPr>
          <w:color w:val="221F1F"/>
          <w:spacing w:val="-1"/>
        </w:rPr>
        <w:t xml:space="preserve"> </w:t>
      </w:r>
      <w:r>
        <w:rPr>
          <w:color w:val="221F1F"/>
        </w:rPr>
        <w:t>document</w:t>
      </w:r>
      <w:r>
        <w:rPr>
          <w:color w:val="221F1F"/>
          <w:spacing w:val="-4"/>
        </w:rPr>
        <w:t xml:space="preserve"> </w:t>
      </w:r>
      <w:r>
        <w:rPr>
          <w:color w:val="221F1F"/>
        </w:rPr>
        <w:t>required</w:t>
      </w:r>
      <w:r>
        <w:rPr>
          <w:color w:val="221F1F"/>
          <w:spacing w:val="-1"/>
        </w:rPr>
        <w:t xml:space="preserve"> </w:t>
      </w:r>
      <w:r>
        <w:rPr>
          <w:color w:val="221F1F"/>
        </w:rPr>
        <w:t>in</w:t>
      </w:r>
      <w:r>
        <w:rPr>
          <w:color w:val="221F1F"/>
          <w:spacing w:val="-5"/>
        </w:rPr>
        <w:t xml:space="preserve"> </w:t>
      </w:r>
      <w:r>
        <w:rPr>
          <w:color w:val="221F1F"/>
        </w:rPr>
        <w:t>the</w:t>
      </w:r>
      <w:r>
        <w:rPr>
          <w:color w:val="221F1F"/>
          <w:spacing w:val="-2"/>
        </w:rPr>
        <w:t xml:space="preserve"> </w:t>
      </w:r>
      <w:r>
        <w:rPr>
          <w:b/>
          <w:color w:val="221F1F"/>
          <w:spacing w:val="-4"/>
        </w:rPr>
        <w:t>TDS.</w:t>
      </w:r>
    </w:p>
    <w:p w:rsidR="007F6DF9" w:rsidRDefault="007F6DF9">
      <w:pPr>
        <w:pStyle w:val="BodyText"/>
        <w:spacing w:before="135"/>
        <w:rPr>
          <w:b/>
        </w:rPr>
      </w:pPr>
    </w:p>
    <w:p w:rsidR="007F6DF9" w:rsidRDefault="00A43FBC">
      <w:pPr>
        <w:pStyle w:val="ListParagraph"/>
        <w:numPr>
          <w:ilvl w:val="1"/>
          <w:numId w:val="221"/>
        </w:numPr>
        <w:tabs>
          <w:tab w:val="left" w:pos="1387"/>
          <w:tab w:val="left" w:pos="1397"/>
        </w:tabs>
        <w:spacing w:before="1" w:line="230" w:lineRule="auto"/>
        <w:ind w:right="843" w:hanging="560"/>
        <w:jc w:val="both"/>
      </w:pPr>
      <w:r>
        <w:rPr>
          <w:color w:val="221F1F"/>
        </w:rPr>
        <w:t>In addition to the requirements under ITT 11.1, Tenders submitted by a JV shall include a copy of the Joint Venture Agreement entered into by all members. Alternatively, a letter of intent to execute a Joint Venture Agreement in</w:t>
      </w:r>
      <w:r>
        <w:rPr>
          <w:color w:val="221F1F"/>
          <w:spacing w:val="-3"/>
        </w:rPr>
        <w:t xml:space="preserve"> </w:t>
      </w:r>
      <w:r>
        <w:rPr>
          <w:color w:val="221F1F"/>
        </w:rPr>
        <w:t>the</w:t>
      </w:r>
      <w:r>
        <w:rPr>
          <w:color w:val="221F1F"/>
          <w:spacing w:val="-3"/>
        </w:rPr>
        <w:t xml:space="preserve"> </w:t>
      </w:r>
      <w:r>
        <w:rPr>
          <w:color w:val="221F1F"/>
        </w:rPr>
        <w:t>event of</w:t>
      </w:r>
      <w:r>
        <w:rPr>
          <w:color w:val="221F1F"/>
          <w:spacing w:val="-3"/>
        </w:rPr>
        <w:t xml:space="preserve"> </w:t>
      </w:r>
      <w:r>
        <w:rPr>
          <w:color w:val="221F1F"/>
        </w:rPr>
        <w:t>a</w:t>
      </w:r>
      <w:r>
        <w:rPr>
          <w:color w:val="221F1F"/>
          <w:spacing w:val="-1"/>
        </w:rPr>
        <w:t xml:space="preserve"> </w:t>
      </w:r>
      <w:r>
        <w:rPr>
          <w:color w:val="221F1F"/>
        </w:rPr>
        <w:t>successful Tender</w:t>
      </w:r>
      <w:r>
        <w:rPr>
          <w:color w:val="221F1F"/>
          <w:spacing w:val="-7"/>
        </w:rPr>
        <w:t xml:space="preserve"> </w:t>
      </w:r>
      <w:r>
        <w:rPr>
          <w:color w:val="221F1F"/>
        </w:rPr>
        <w:t>shall be</w:t>
      </w:r>
      <w:r>
        <w:rPr>
          <w:color w:val="221F1F"/>
          <w:spacing w:val="-1"/>
        </w:rPr>
        <w:t xml:space="preserve"> </w:t>
      </w:r>
      <w:r>
        <w:rPr>
          <w:color w:val="221F1F"/>
        </w:rPr>
        <w:t>signed</w:t>
      </w:r>
      <w:r>
        <w:rPr>
          <w:color w:val="221F1F"/>
          <w:spacing w:val="-1"/>
        </w:rPr>
        <w:t xml:space="preserve"> </w:t>
      </w:r>
      <w:r>
        <w:rPr>
          <w:color w:val="221F1F"/>
        </w:rPr>
        <w:t>by</w:t>
      </w:r>
      <w:r>
        <w:rPr>
          <w:color w:val="221F1F"/>
          <w:spacing w:val="-1"/>
        </w:rPr>
        <w:t xml:space="preserve"> </w:t>
      </w:r>
      <w:r>
        <w:rPr>
          <w:color w:val="221F1F"/>
        </w:rPr>
        <w:t>all</w:t>
      </w:r>
      <w:r>
        <w:rPr>
          <w:color w:val="221F1F"/>
          <w:spacing w:val="-2"/>
        </w:rPr>
        <w:t xml:space="preserve"> </w:t>
      </w:r>
      <w:r>
        <w:rPr>
          <w:color w:val="221F1F"/>
        </w:rPr>
        <w:t>members</w:t>
      </w:r>
      <w:r>
        <w:rPr>
          <w:color w:val="221F1F"/>
          <w:spacing w:val="-3"/>
        </w:rPr>
        <w:t xml:space="preserve"> </w:t>
      </w:r>
      <w:r>
        <w:rPr>
          <w:color w:val="221F1F"/>
        </w:rPr>
        <w:t>and</w:t>
      </w:r>
      <w:r>
        <w:rPr>
          <w:color w:val="221F1F"/>
          <w:spacing w:val="-1"/>
        </w:rPr>
        <w:t xml:space="preserve"> </w:t>
      </w:r>
      <w:r>
        <w:rPr>
          <w:color w:val="221F1F"/>
        </w:rPr>
        <w:t>submitted</w:t>
      </w:r>
      <w:r>
        <w:rPr>
          <w:color w:val="221F1F"/>
          <w:spacing w:val="-1"/>
        </w:rPr>
        <w:t xml:space="preserve"> </w:t>
      </w:r>
      <w:r>
        <w:rPr>
          <w:color w:val="221F1F"/>
        </w:rPr>
        <w:t>with</w:t>
      </w:r>
      <w:r>
        <w:rPr>
          <w:color w:val="221F1F"/>
          <w:spacing w:val="-3"/>
        </w:rPr>
        <w:t xml:space="preserve"> </w:t>
      </w:r>
      <w:r>
        <w:rPr>
          <w:color w:val="221F1F"/>
        </w:rPr>
        <w:t>the Tender, together with</w:t>
      </w:r>
      <w:r>
        <w:rPr>
          <w:color w:val="221F1F"/>
          <w:spacing w:val="-2"/>
        </w:rPr>
        <w:t xml:space="preserve"> </w:t>
      </w:r>
      <w:r>
        <w:rPr>
          <w:color w:val="221F1F"/>
        </w:rPr>
        <w:t>a</w:t>
      </w:r>
      <w:r>
        <w:rPr>
          <w:color w:val="221F1F"/>
          <w:spacing w:val="-1"/>
        </w:rPr>
        <w:t xml:space="preserve"> </w:t>
      </w:r>
      <w:r>
        <w:rPr>
          <w:color w:val="221F1F"/>
        </w:rPr>
        <w:t>copy</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proposed</w:t>
      </w:r>
      <w:r>
        <w:rPr>
          <w:color w:val="221F1F"/>
          <w:spacing w:val="-1"/>
        </w:rPr>
        <w:t xml:space="preserve"> </w:t>
      </w:r>
      <w:r>
        <w:rPr>
          <w:color w:val="221F1F"/>
        </w:rPr>
        <w:t>JV Agreement. Change</w:t>
      </w:r>
      <w:r>
        <w:rPr>
          <w:color w:val="221F1F"/>
          <w:spacing w:val="-1"/>
        </w:rPr>
        <w:t xml:space="preserve"> </w:t>
      </w:r>
      <w:r>
        <w:rPr>
          <w:color w:val="221F1F"/>
        </w:rPr>
        <w:t>of</w:t>
      </w:r>
      <w:r>
        <w:rPr>
          <w:color w:val="221F1F"/>
          <w:spacing w:val="-1"/>
        </w:rPr>
        <w:t xml:space="preserve"> </w:t>
      </w:r>
      <w:r>
        <w:rPr>
          <w:color w:val="221F1F"/>
        </w:rPr>
        <w:t>membership and</w:t>
      </w:r>
      <w:r>
        <w:rPr>
          <w:color w:val="221F1F"/>
          <w:spacing w:val="-1"/>
        </w:rPr>
        <w:t xml:space="preserve"> </w:t>
      </w:r>
      <w:r>
        <w:rPr>
          <w:color w:val="221F1F"/>
        </w:rPr>
        <w:t>conditions of</w:t>
      </w:r>
      <w:r>
        <w:rPr>
          <w:color w:val="221F1F"/>
          <w:spacing w:val="-1"/>
        </w:rPr>
        <w:t xml:space="preserve"> </w:t>
      </w:r>
      <w:r>
        <w:rPr>
          <w:color w:val="221F1F"/>
        </w:rPr>
        <w:t>the</w:t>
      </w:r>
      <w:r>
        <w:rPr>
          <w:color w:val="221F1F"/>
          <w:spacing w:val="-1"/>
        </w:rPr>
        <w:t xml:space="preserve"> </w:t>
      </w:r>
      <w:r>
        <w:rPr>
          <w:color w:val="221F1F"/>
        </w:rPr>
        <w:t>JV</w:t>
      </w:r>
      <w:r>
        <w:rPr>
          <w:color w:val="221F1F"/>
          <w:spacing w:val="-1"/>
        </w:rPr>
        <w:t xml:space="preserve"> </w:t>
      </w:r>
      <w:r>
        <w:rPr>
          <w:color w:val="221F1F"/>
        </w:rPr>
        <w:t>prior</w:t>
      </w:r>
      <w:r>
        <w:rPr>
          <w:color w:val="221F1F"/>
          <w:spacing w:val="-1"/>
        </w:rPr>
        <w:t xml:space="preserve"> </w:t>
      </w:r>
      <w:r>
        <w:rPr>
          <w:color w:val="221F1F"/>
        </w:rPr>
        <w:t xml:space="preserve">to contract signature will render the </w:t>
      </w:r>
      <w:proofErr w:type="spellStart"/>
      <w:r>
        <w:rPr>
          <w:color w:val="221F1F"/>
        </w:rPr>
        <w:t>tenderliable</w:t>
      </w:r>
      <w:proofErr w:type="spellEnd"/>
      <w:r>
        <w:rPr>
          <w:color w:val="221F1F"/>
        </w:rPr>
        <w:t xml:space="preserve"> for disqualification.</w:t>
      </w:r>
    </w:p>
    <w:p w:rsidR="007F6DF9" w:rsidRDefault="007F6DF9">
      <w:pPr>
        <w:pStyle w:val="ListParagraph"/>
        <w:spacing w:line="230" w:lineRule="auto"/>
        <w:jc w:val="both"/>
        <w:sectPr w:rsidR="007F6DF9">
          <w:pgSz w:w="11920" w:h="16850"/>
          <w:pgMar w:top="360" w:right="0" w:bottom="620" w:left="0" w:header="0" w:footer="437" w:gutter="0"/>
          <w:cols w:space="720"/>
        </w:sectPr>
      </w:pPr>
    </w:p>
    <w:p w:rsidR="007F6DF9" w:rsidRDefault="007F6DF9">
      <w:pPr>
        <w:pStyle w:val="BodyText"/>
      </w:pPr>
    </w:p>
    <w:p w:rsidR="007F6DF9" w:rsidRDefault="007F6DF9">
      <w:pPr>
        <w:pStyle w:val="BodyText"/>
        <w:spacing w:before="2"/>
      </w:pPr>
    </w:p>
    <w:p w:rsidR="007F6DF9" w:rsidRDefault="00A43FBC">
      <w:pPr>
        <w:pStyle w:val="Heading9"/>
        <w:numPr>
          <w:ilvl w:val="1"/>
          <w:numId w:val="220"/>
        </w:numPr>
        <w:tabs>
          <w:tab w:val="left" w:pos="1272"/>
        </w:tabs>
        <w:ind w:hanging="420"/>
        <w:rPr>
          <w:color w:val="221F1F"/>
        </w:rPr>
      </w:pPr>
      <w:bookmarkStart w:id="15" w:name="_bookmark14"/>
      <w:bookmarkEnd w:id="15"/>
      <w:r>
        <w:rPr>
          <w:color w:val="221F1F"/>
        </w:rPr>
        <w:t>Form</w:t>
      </w:r>
      <w:r>
        <w:rPr>
          <w:color w:val="221F1F"/>
          <w:spacing w:val="-2"/>
        </w:rPr>
        <w:t xml:space="preserve"> </w:t>
      </w:r>
      <w:r>
        <w:rPr>
          <w:color w:val="221F1F"/>
        </w:rPr>
        <w:t>of</w:t>
      </w:r>
      <w:r>
        <w:rPr>
          <w:color w:val="221F1F"/>
          <w:spacing w:val="-2"/>
        </w:rPr>
        <w:t xml:space="preserve"> </w:t>
      </w:r>
      <w:r>
        <w:rPr>
          <w:color w:val="221F1F"/>
        </w:rPr>
        <w:t>Tender</w:t>
      </w:r>
      <w:r>
        <w:rPr>
          <w:color w:val="221F1F"/>
          <w:spacing w:val="-2"/>
        </w:rPr>
        <w:t xml:space="preserve"> </w:t>
      </w:r>
      <w:r>
        <w:rPr>
          <w:color w:val="221F1F"/>
        </w:rPr>
        <w:t>and</w:t>
      </w:r>
      <w:r>
        <w:rPr>
          <w:color w:val="221F1F"/>
          <w:spacing w:val="-1"/>
        </w:rPr>
        <w:t xml:space="preserve"> </w:t>
      </w:r>
      <w:r>
        <w:rPr>
          <w:color w:val="221F1F"/>
          <w:spacing w:val="-2"/>
        </w:rPr>
        <w:t>Schedules</w:t>
      </w:r>
    </w:p>
    <w:p w:rsidR="007F6DF9" w:rsidRDefault="00A43FBC">
      <w:pPr>
        <w:pStyle w:val="ListParagraph"/>
        <w:numPr>
          <w:ilvl w:val="1"/>
          <w:numId w:val="220"/>
        </w:numPr>
        <w:tabs>
          <w:tab w:val="left" w:pos="1403"/>
          <w:tab w:val="left" w:pos="1411"/>
        </w:tabs>
        <w:spacing w:before="197" w:line="230" w:lineRule="auto"/>
        <w:ind w:left="1411" w:right="843" w:hanging="560"/>
        <w:jc w:val="both"/>
        <w:rPr>
          <w:color w:val="221F1F"/>
        </w:rPr>
      </w:pPr>
      <w:r>
        <w:rPr>
          <w:color w:val="221F1F"/>
        </w:rPr>
        <w:t>The</w:t>
      </w:r>
      <w:r>
        <w:rPr>
          <w:color w:val="221F1F"/>
          <w:spacing w:val="-7"/>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and</w:t>
      </w:r>
      <w:r>
        <w:rPr>
          <w:color w:val="221F1F"/>
          <w:spacing w:val="-7"/>
        </w:rPr>
        <w:t xml:space="preserve"> </w:t>
      </w:r>
      <w:r>
        <w:rPr>
          <w:color w:val="221F1F"/>
        </w:rPr>
        <w:t>Schedules,</w:t>
      </w:r>
      <w:r>
        <w:rPr>
          <w:color w:val="221F1F"/>
          <w:spacing w:val="-8"/>
        </w:rPr>
        <w:t xml:space="preserve"> </w:t>
      </w:r>
      <w:r>
        <w:rPr>
          <w:color w:val="221F1F"/>
        </w:rPr>
        <w:t>including</w:t>
      </w:r>
      <w:r>
        <w:rPr>
          <w:color w:val="221F1F"/>
          <w:spacing w:val="-7"/>
        </w:rPr>
        <w:t xml:space="preserve"> </w:t>
      </w:r>
      <w:r>
        <w:rPr>
          <w:color w:val="221F1F"/>
        </w:rPr>
        <w:t>the</w:t>
      </w:r>
      <w:r>
        <w:rPr>
          <w:color w:val="221F1F"/>
          <w:spacing w:val="-7"/>
        </w:rPr>
        <w:t xml:space="preserve"> </w:t>
      </w:r>
      <w:r>
        <w:rPr>
          <w:color w:val="221F1F"/>
        </w:rPr>
        <w:t>Bill</w:t>
      </w:r>
      <w:r>
        <w:rPr>
          <w:color w:val="221F1F"/>
          <w:spacing w:val="-8"/>
        </w:rPr>
        <w:t xml:space="preserve"> </w:t>
      </w:r>
      <w:r>
        <w:rPr>
          <w:color w:val="221F1F"/>
        </w:rPr>
        <w:t>of</w:t>
      </w:r>
      <w:r>
        <w:rPr>
          <w:color w:val="221F1F"/>
          <w:spacing w:val="-6"/>
        </w:rPr>
        <w:t xml:space="preserve"> </w:t>
      </w:r>
      <w:r>
        <w:rPr>
          <w:color w:val="221F1F"/>
        </w:rPr>
        <w:t>Quantities</w:t>
      </w:r>
      <w:r>
        <w:rPr>
          <w:i/>
          <w:color w:val="221F1F"/>
        </w:rPr>
        <w:t>,</w:t>
      </w:r>
      <w:r>
        <w:rPr>
          <w:i/>
          <w:color w:val="221F1F"/>
          <w:spacing w:val="-7"/>
        </w:rPr>
        <w:t xml:space="preserve"> </w:t>
      </w:r>
      <w:r>
        <w:rPr>
          <w:color w:val="221F1F"/>
        </w:rPr>
        <w:t>shall</w:t>
      </w:r>
      <w:r>
        <w:rPr>
          <w:color w:val="221F1F"/>
          <w:spacing w:val="-6"/>
        </w:rPr>
        <w:t xml:space="preserve"> </w:t>
      </w:r>
      <w:r>
        <w:rPr>
          <w:color w:val="221F1F"/>
        </w:rPr>
        <w:t>be</w:t>
      </w:r>
      <w:r>
        <w:rPr>
          <w:color w:val="221F1F"/>
          <w:spacing w:val="-9"/>
        </w:rPr>
        <w:t xml:space="preserve"> </w:t>
      </w:r>
      <w:r>
        <w:rPr>
          <w:color w:val="221F1F"/>
        </w:rPr>
        <w:t>prepared</w:t>
      </w:r>
      <w:r>
        <w:rPr>
          <w:color w:val="221F1F"/>
          <w:spacing w:val="-6"/>
        </w:rPr>
        <w:t xml:space="preserve"> </w:t>
      </w:r>
      <w:r>
        <w:rPr>
          <w:color w:val="221F1F"/>
        </w:rPr>
        <w:t>using</w:t>
      </w:r>
      <w:r>
        <w:rPr>
          <w:color w:val="221F1F"/>
          <w:spacing w:val="-9"/>
        </w:rPr>
        <w:t xml:space="preserve"> </w:t>
      </w:r>
      <w:r>
        <w:rPr>
          <w:color w:val="221F1F"/>
        </w:rPr>
        <w:t>the</w:t>
      </w:r>
      <w:r>
        <w:rPr>
          <w:color w:val="221F1F"/>
          <w:spacing w:val="-9"/>
        </w:rPr>
        <w:t xml:space="preserve"> </w:t>
      </w:r>
      <w:r>
        <w:rPr>
          <w:color w:val="221F1F"/>
        </w:rPr>
        <w:t>relevant</w:t>
      </w:r>
      <w:r>
        <w:rPr>
          <w:color w:val="221F1F"/>
          <w:spacing w:val="-8"/>
        </w:rPr>
        <w:t xml:space="preserve"> </w:t>
      </w:r>
      <w:r>
        <w:rPr>
          <w:color w:val="221F1F"/>
        </w:rPr>
        <w:t>form</w:t>
      </w:r>
      <w:r>
        <w:rPr>
          <w:i/>
          <w:color w:val="221F1F"/>
        </w:rPr>
        <w:t xml:space="preserve">s </w:t>
      </w:r>
      <w:r>
        <w:rPr>
          <w:color w:val="221F1F"/>
        </w:rPr>
        <w:t>furnished in Section IV,</w:t>
      </w:r>
      <w:r>
        <w:rPr>
          <w:color w:val="221F1F"/>
          <w:spacing w:val="-14"/>
        </w:rPr>
        <w:t xml:space="preserve"> </w:t>
      </w:r>
      <w:r>
        <w:rPr>
          <w:color w:val="221F1F"/>
        </w:rPr>
        <w:t xml:space="preserve">Tendering Forms. The forms must be completed </w:t>
      </w:r>
      <w:proofErr w:type="spellStart"/>
      <w:r>
        <w:rPr>
          <w:color w:val="221F1F"/>
        </w:rPr>
        <w:t>with out</w:t>
      </w:r>
      <w:proofErr w:type="spellEnd"/>
      <w:r>
        <w:rPr>
          <w:color w:val="221F1F"/>
        </w:rPr>
        <w:t xml:space="preserve"> any alterations to the text, and</w:t>
      </w:r>
      <w:r>
        <w:rPr>
          <w:color w:val="221F1F"/>
          <w:spacing w:val="-4"/>
        </w:rPr>
        <w:t xml:space="preserve"> </w:t>
      </w:r>
      <w:r>
        <w:rPr>
          <w:color w:val="221F1F"/>
        </w:rPr>
        <w:t>no</w:t>
      </w:r>
      <w:r>
        <w:rPr>
          <w:color w:val="221F1F"/>
          <w:spacing w:val="-7"/>
        </w:rPr>
        <w:t xml:space="preserve"> </w:t>
      </w:r>
      <w:r>
        <w:rPr>
          <w:color w:val="221F1F"/>
        </w:rPr>
        <w:t>substitutes</w:t>
      </w:r>
      <w:r>
        <w:rPr>
          <w:color w:val="221F1F"/>
          <w:spacing w:val="-4"/>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accepted</w:t>
      </w:r>
      <w:r>
        <w:rPr>
          <w:color w:val="221F1F"/>
          <w:spacing w:val="-7"/>
        </w:rPr>
        <w:t xml:space="preserve"> </w:t>
      </w:r>
      <w:r>
        <w:rPr>
          <w:color w:val="221F1F"/>
        </w:rPr>
        <w:t>except</w:t>
      </w:r>
      <w:r>
        <w:rPr>
          <w:color w:val="221F1F"/>
          <w:spacing w:val="-6"/>
        </w:rPr>
        <w:t xml:space="preserve"> </w:t>
      </w:r>
      <w:r>
        <w:rPr>
          <w:color w:val="221F1F"/>
        </w:rPr>
        <w:t>as</w:t>
      </w:r>
      <w:r>
        <w:rPr>
          <w:color w:val="221F1F"/>
          <w:spacing w:val="-6"/>
        </w:rPr>
        <w:t xml:space="preserve"> </w:t>
      </w:r>
      <w:r>
        <w:rPr>
          <w:color w:val="221F1F"/>
        </w:rPr>
        <w:t>provided</w:t>
      </w:r>
      <w:r>
        <w:rPr>
          <w:color w:val="221F1F"/>
          <w:spacing w:val="-7"/>
        </w:rPr>
        <w:t xml:space="preserve"> </w:t>
      </w:r>
      <w:r>
        <w:rPr>
          <w:color w:val="221F1F"/>
        </w:rPr>
        <w:t>under</w:t>
      </w:r>
      <w:r>
        <w:rPr>
          <w:color w:val="221F1F"/>
          <w:spacing w:val="-6"/>
        </w:rPr>
        <w:t xml:space="preserve"> </w:t>
      </w:r>
      <w:r>
        <w:rPr>
          <w:color w:val="221F1F"/>
        </w:rPr>
        <w:t>ITT</w:t>
      </w:r>
      <w:r>
        <w:rPr>
          <w:color w:val="221F1F"/>
          <w:spacing w:val="-6"/>
        </w:rPr>
        <w:t xml:space="preserve"> </w:t>
      </w:r>
      <w:r>
        <w:rPr>
          <w:color w:val="221F1F"/>
        </w:rPr>
        <w:t>20.3.</w:t>
      </w:r>
      <w:r>
        <w:rPr>
          <w:color w:val="221F1F"/>
          <w:spacing w:val="-7"/>
        </w:rPr>
        <w:t xml:space="preserve"> </w:t>
      </w:r>
      <w:r>
        <w:rPr>
          <w:color w:val="221F1F"/>
        </w:rPr>
        <w:t>All</w:t>
      </w:r>
      <w:r>
        <w:rPr>
          <w:color w:val="221F1F"/>
          <w:spacing w:val="-4"/>
        </w:rPr>
        <w:t xml:space="preserve"> </w:t>
      </w:r>
      <w:r>
        <w:rPr>
          <w:color w:val="221F1F"/>
        </w:rPr>
        <w:t>blank</w:t>
      </w:r>
      <w:r>
        <w:rPr>
          <w:color w:val="221F1F"/>
          <w:spacing w:val="-7"/>
        </w:rPr>
        <w:t xml:space="preserve"> </w:t>
      </w:r>
      <w:r>
        <w:rPr>
          <w:color w:val="221F1F"/>
        </w:rPr>
        <w:t>spaces</w:t>
      </w:r>
      <w:r>
        <w:rPr>
          <w:color w:val="221F1F"/>
          <w:spacing w:val="-6"/>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filled</w:t>
      </w:r>
      <w:r>
        <w:rPr>
          <w:color w:val="221F1F"/>
          <w:spacing w:val="-7"/>
        </w:rPr>
        <w:t xml:space="preserve"> </w:t>
      </w:r>
      <w:r>
        <w:rPr>
          <w:color w:val="221F1F"/>
        </w:rPr>
        <w:t>in</w:t>
      </w:r>
      <w:r>
        <w:rPr>
          <w:color w:val="221F1F"/>
          <w:spacing w:val="-5"/>
        </w:rPr>
        <w:t xml:space="preserve"> </w:t>
      </w:r>
      <w:r>
        <w:rPr>
          <w:color w:val="221F1F"/>
        </w:rPr>
        <w:t xml:space="preserve">with the information requested. The Tenderer shall chronologically serialize all pages of the tender documents </w:t>
      </w:r>
      <w:r>
        <w:rPr>
          <w:color w:val="221F1F"/>
          <w:spacing w:val="-2"/>
        </w:rPr>
        <w:t>submitted.</w:t>
      </w:r>
    </w:p>
    <w:p w:rsidR="007F6DF9" w:rsidRDefault="00A43FBC">
      <w:pPr>
        <w:pStyle w:val="ListParagraph"/>
        <w:numPr>
          <w:ilvl w:val="1"/>
          <w:numId w:val="220"/>
        </w:numPr>
        <w:tabs>
          <w:tab w:val="left" w:pos="1403"/>
          <w:tab w:val="left" w:pos="1411"/>
        </w:tabs>
        <w:spacing w:before="194" w:line="230" w:lineRule="auto"/>
        <w:ind w:left="1411" w:right="847" w:hanging="560"/>
        <w:jc w:val="both"/>
        <w:rPr>
          <w:color w:val="221F1F"/>
        </w:rPr>
      </w:pPr>
      <w:r>
        <w:rPr>
          <w:color w:val="221F1F"/>
        </w:rPr>
        <w:t>The</w:t>
      </w:r>
      <w:r>
        <w:rPr>
          <w:color w:val="221F1F"/>
          <w:spacing w:val="-6"/>
        </w:rPr>
        <w:t xml:space="preserve"> </w:t>
      </w:r>
      <w:r>
        <w:rPr>
          <w:color w:val="221F1F"/>
        </w:rPr>
        <w:t>Tenderer</w:t>
      </w:r>
      <w:r>
        <w:rPr>
          <w:color w:val="221F1F"/>
          <w:spacing w:val="-7"/>
        </w:rPr>
        <w:t xml:space="preserve"> </w:t>
      </w:r>
      <w:r>
        <w:rPr>
          <w:color w:val="221F1F"/>
        </w:rPr>
        <w:t>shall</w:t>
      </w:r>
      <w:r>
        <w:rPr>
          <w:color w:val="221F1F"/>
          <w:spacing w:val="-4"/>
        </w:rPr>
        <w:t xml:space="preserve"> </w:t>
      </w:r>
      <w:r>
        <w:rPr>
          <w:color w:val="221F1F"/>
        </w:rPr>
        <w:t>furnish</w:t>
      </w:r>
      <w:r>
        <w:rPr>
          <w:color w:val="221F1F"/>
          <w:spacing w:val="-4"/>
        </w:rPr>
        <w:t xml:space="preserve"> </w:t>
      </w:r>
      <w:r>
        <w:rPr>
          <w:color w:val="221F1F"/>
        </w:rPr>
        <w:t>in</w:t>
      </w:r>
      <w:r>
        <w:rPr>
          <w:color w:val="221F1F"/>
          <w:spacing w:val="-6"/>
        </w:rPr>
        <w:t xml:space="preserve"> </w:t>
      </w:r>
      <w:r>
        <w:rPr>
          <w:color w:val="221F1F"/>
        </w:rPr>
        <w:t>the</w:t>
      </w:r>
      <w:r>
        <w:rPr>
          <w:color w:val="221F1F"/>
          <w:spacing w:val="-5"/>
        </w:rPr>
        <w:t xml:space="preserve"> </w:t>
      </w:r>
      <w:r>
        <w:rPr>
          <w:color w:val="221F1F"/>
        </w:rPr>
        <w:t>Form</w:t>
      </w:r>
      <w:r>
        <w:rPr>
          <w:color w:val="221F1F"/>
          <w:spacing w:val="-5"/>
        </w:rPr>
        <w:t xml:space="preserve"> </w:t>
      </w:r>
      <w:r>
        <w:rPr>
          <w:color w:val="221F1F"/>
        </w:rPr>
        <w:t>of</w:t>
      </w:r>
      <w:r>
        <w:rPr>
          <w:color w:val="221F1F"/>
          <w:spacing w:val="-5"/>
        </w:rPr>
        <w:t xml:space="preserve"> </w:t>
      </w:r>
      <w:r>
        <w:rPr>
          <w:color w:val="221F1F"/>
        </w:rPr>
        <w:t>Tender</w:t>
      </w:r>
      <w:r>
        <w:rPr>
          <w:color w:val="221F1F"/>
          <w:spacing w:val="-11"/>
        </w:rPr>
        <w:t xml:space="preserve"> </w:t>
      </w:r>
      <w:r>
        <w:rPr>
          <w:color w:val="221F1F"/>
        </w:rPr>
        <w:t>information</w:t>
      </w:r>
      <w:r>
        <w:rPr>
          <w:color w:val="221F1F"/>
          <w:spacing w:val="-4"/>
        </w:rPr>
        <w:t xml:space="preserve"> </w:t>
      </w:r>
      <w:r>
        <w:rPr>
          <w:color w:val="221F1F"/>
        </w:rPr>
        <w:t>on</w:t>
      </w:r>
      <w:r>
        <w:rPr>
          <w:color w:val="221F1F"/>
          <w:spacing w:val="-8"/>
        </w:rPr>
        <w:t xml:space="preserve"> </w:t>
      </w:r>
      <w:r>
        <w:rPr>
          <w:color w:val="221F1F"/>
        </w:rPr>
        <w:t>commissions</w:t>
      </w:r>
      <w:r>
        <w:rPr>
          <w:color w:val="221F1F"/>
          <w:spacing w:val="-7"/>
        </w:rPr>
        <w:t xml:space="preserve"> </w:t>
      </w:r>
      <w:r>
        <w:rPr>
          <w:color w:val="221F1F"/>
        </w:rPr>
        <w:t>and</w:t>
      </w:r>
      <w:r>
        <w:rPr>
          <w:color w:val="221F1F"/>
          <w:spacing w:val="-6"/>
        </w:rPr>
        <w:t xml:space="preserve"> </w:t>
      </w:r>
      <w:r>
        <w:rPr>
          <w:color w:val="221F1F"/>
        </w:rPr>
        <w:t>gratuities,</w:t>
      </w:r>
      <w:r>
        <w:rPr>
          <w:color w:val="221F1F"/>
          <w:spacing w:val="-4"/>
        </w:rPr>
        <w:t xml:space="preserve"> </w:t>
      </w:r>
      <w:r>
        <w:rPr>
          <w:color w:val="221F1F"/>
        </w:rPr>
        <w:t>if</w:t>
      </w:r>
      <w:r>
        <w:rPr>
          <w:color w:val="221F1F"/>
          <w:spacing w:val="-5"/>
        </w:rPr>
        <w:t xml:space="preserve"> </w:t>
      </w:r>
      <w:r>
        <w:rPr>
          <w:color w:val="221F1F"/>
        </w:rPr>
        <w:t>any,</w:t>
      </w:r>
      <w:r>
        <w:rPr>
          <w:color w:val="221F1F"/>
          <w:spacing w:val="-14"/>
        </w:rPr>
        <w:t xml:space="preserve"> </w:t>
      </w:r>
      <w:r>
        <w:rPr>
          <w:color w:val="221F1F"/>
        </w:rPr>
        <w:t>paid</w:t>
      </w:r>
      <w:r>
        <w:rPr>
          <w:color w:val="221F1F"/>
          <w:spacing w:val="-4"/>
        </w:rPr>
        <w:t xml:space="preserve"> </w:t>
      </w:r>
      <w:r>
        <w:rPr>
          <w:color w:val="221F1F"/>
        </w:rPr>
        <w:t>or</w:t>
      </w:r>
      <w:r>
        <w:rPr>
          <w:color w:val="221F1F"/>
          <w:spacing w:val="-5"/>
        </w:rPr>
        <w:t xml:space="preserve"> </w:t>
      </w:r>
      <w:r>
        <w:rPr>
          <w:color w:val="221F1F"/>
        </w:rPr>
        <w:t>to be paid to agents or any other party relating to this Tender.</w:t>
      </w:r>
    </w:p>
    <w:p w:rsidR="007F6DF9" w:rsidRDefault="00A43FBC">
      <w:pPr>
        <w:pStyle w:val="Heading9"/>
        <w:numPr>
          <w:ilvl w:val="0"/>
          <w:numId w:val="219"/>
        </w:numPr>
        <w:tabs>
          <w:tab w:val="left" w:pos="1418"/>
        </w:tabs>
        <w:spacing w:before="239"/>
        <w:ind w:hanging="566"/>
      </w:pPr>
      <w:r>
        <w:rPr>
          <w:color w:val="221F1F"/>
        </w:rPr>
        <w:t>Alternative</w:t>
      </w:r>
      <w:r>
        <w:rPr>
          <w:color w:val="221F1F"/>
          <w:spacing w:val="-6"/>
        </w:rPr>
        <w:t xml:space="preserve"> </w:t>
      </w:r>
      <w:r>
        <w:rPr>
          <w:color w:val="221F1F"/>
          <w:spacing w:val="-2"/>
        </w:rPr>
        <w:t>Tenders</w:t>
      </w:r>
    </w:p>
    <w:p w:rsidR="007F6DF9" w:rsidRDefault="00A43FBC">
      <w:pPr>
        <w:pStyle w:val="ListParagraph"/>
        <w:numPr>
          <w:ilvl w:val="1"/>
          <w:numId w:val="219"/>
        </w:numPr>
        <w:tabs>
          <w:tab w:val="left" w:pos="1421"/>
        </w:tabs>
        <w:spacing w:before="234"/>
        <w:ind w:hanging="569"/>
      </w:pPr>
      <w:r>
        <w:rPr>
          <w:color w:val="221F1F"/>
        </w:rPr>
        <w:t>Unless</w:t>
      </w:r>
      <w:r>
        <w:rPr>
          <w:color w:val="221F1F"/>
          <w:spacing w:val="-8"/>
        </w:rPr>
        <w:t xml:space="preserve"> </w:t>
      </w:r>
      <w:r>
        <w:rPr>
          <w:color w:val="221F1F"/>
        </w:rPr>
        <w:t>otherwise</w:t>
      </w:r>
      <w:r>
        <w:rPr>
          <w:color w:val="221F1F"/>
          <w:spacing w:val="-6"/>
        </w:rPr>
        <w:t xml:space="preserve"> </w:t>
      </w:r>
      <w:r>
        <w:rPr>
          <w:color w:val="221F1F"/>
        </w:rPr>
        <w:t>specified</w:t>
      </w:r>
      <w:r>
        <w:rPr>
          <w:color w:val="221F1F"/>
          <w:spacing w:val="-8"/>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TDS,</w:t>
      </w:r>
      <w:r>
        <w:rPr>
          <w:color w:val="221F1F"/>
          <w:spacing w:val="-6"/>
        </w:rPr>
        <w:t xml:space="preserve"> </w:t>
      </w:r>
      <w:r>
        <w:rPr>
          <w:color w:val="221F1F"/>
        </w:rPr>
        <w:t>alternative</w:t>
      </w:r>
      <w:r>
        <w:rPr>
          <w:color w:val="221F1F"/>
          <w:spacing w:val="-5"/>
        </w:rPr>
        <w:t xml:space="preserve"> </w:t>
      </w:r>
      <w:r>
        <w:rPr>
          <w:color w:val="221F1F"/>
        </w:rPr>
        <w:t>Tenders</w:t>
      </w:r>
      <w:r>
        <w:rPr>
          <w:color w:val="221F1F"/>
          <w:spacing w:val="-11"/>
        </w:rPr>
        <w:t xml:space="preserve"> </w:t>
      </w:r>
      <w:r>
        <w:rPr>
          <w:color w:val="221F1F"/>
        </w:rPr>
        <w:t>shall</w:t>
      </w:r>
      <w:r>
        <w:rPr>
          <w:color w:val="221F1F"/>
          <w:spacing w:val="-6"/>
        </w:rPr>
        <w:t xml:space="preserve"> </w:t>
      </w:r>
      <w:r>
        <w:rPr>
          <w:color w:val="221F1F"/>
        </w:rPr>
        <w:t>not</w:t>
      </w:r>
      <w:r>
        <w:rPr>
          <w:color w:val="221F1F"/>
          <w:spacing w:val="-8"/>
        </w:rPr>
        <w:t xml:space="preserve"> </w:t>
      </w:r>
      <w:r>
        <w:rPr>
          <w:color w:val="221F1F"/>
        </w:rPr>
        <w:t>be</w:t>
      </w:r>
      <w:r>
        <w:rPr>
          <w:color w:val="221F1F"/>
          <w:spacing w:val="-5"/>
        </w:rPr>
        <w:t xml:space="preserve"> </w:t>
      </w:r>
      <w:r>
        <w:rPr>
          <w:color w:val="221F1F"/>
          <w:spacing w:val="-2"/>
        </w:rPr>
        <w:t>considered.</w:t>
      </w:r>
    </w:p>
    <w:p w:rsidR="007F6DF9" w:rsidRDefault="00A43FBC">
      <w:pPr>
        <w:pStyle w:val="ListParagraph"/>
        <w:numPr>
          <w:ilvl w:val="1"/>
          <w:numId w:val="219"/>
        </w:numPr>
        <w:tabs>
          <w:tab w:val="left" w:pos="1418"/>
          <w:tab w:val="left" w:pos="1433"/>
        </w:tabs>
        <w:spacing w:before="242" w:line="230" w:lineRule="auto"/>
        <w:ind w:left="1433" w:right="850" w:hanging="582"/>
        <w:jc w:val="both"/>
      </w:pPr>
      <w:r>
        <w:rPr>
          <w:color w:val="221F1F"/>
        </w:rPr>
        <w:t xml:space="preserve">When alternative times for completion are explicitly invited, a statement to that effect will be included in the </w:t>
      </w:r>
      <w:r>
        <w:rPr>
          <w:b/>
          <w:color w:val="221F1F"/>
        </w:rPr>
        <w:t>TDS</w:t>
      </w:r>
      <w:r>
        <w:rPr>
          <w:color w:val="221F1F"/>
        </w:rPr>
        <w:t>,</w:t>
      </w:r>
      <w:r>
        <w:rPr>
          <w:color w:val="221F1F"/>
          <w:spacing w:val="-2"/>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method</w:t>
      </w:r>
      <w:r>
        <w:rPr>
          <w:color w:val="221F1F"/>
          <w:spacing w:val="-2"/>
        </w:rPr>
        <w:t xml:space="preserve"> </w:t>
      </w:r>
      <w:r>
        <w:rPr>
          <w:color w:val="221F1F"/>
        </w:rPr>
        <w:t>of</w:t>
      </w:r>
      <w:r>
        <w:rPr>
          <w:color w:val="221F1F"/>
          <w:spacing w:val="-2"/>
        </w:rPr>
        <w:t xml:space="preserve"> </w:t>
      </w:r>
      <w:r>
        <w:rPr>
          <w:color w:val="221F1F"/>
        </w:rPr>
        <w:t>evaluating</w:t>
      </w:r>
      <w:r>
        <w:rPr>
          <w:color w:val="221F1F"/>
          <w:spacing w:val="-2"/>
        </w:rPr>
        <w:t xml:space="preserve"> </w:t>
      </w:r>
      <w:r>
        <w:rPr>
          <w:color w:val="221F1F"/>
        </w:rPr>
        <w:t>different</w:t>
      </w:r>
      <w:r>
        <w:rPr>
          <w:color w:val="221F1F"/>
          <w:spacing w:val="-1"/>
        </w:rPr>
        <w:t xml:space="preserve"> </w:t>
      </w:r>
      <w:r>
        <w:rPr>
          <w:color w:val="221F1F"/>
        </w:rPr>
        <w:t>alternative</w:t>
      </w:r>
      <w:r>
        <w:rPr>
          <w:color w:val="221F1F"/>
          <w:spacing w:val="-2"/>
        </w:rPr>
        <w:t xml:space="preserve"> </w:t>
      </w:r>
      <w:r>
        <w:rPr>
          <w:color w:val="221F1F"/>
        </w:rPr>
        <w:t>times</w:t>
      </w:r>
      <w:r>
        <w:rPr>
          <w:color w:val="221F1F"/>
          <w:spacing w:val="-4"/>
        </w:rPr>
        <w:t xml:space="preserve"> </w:t>
      </w:r>
      <w:r>
        <w:rPr>
          <w:color w:val="221F1F"/>
        </w:rPr>
        <w:t>for</w:t>
      </w:r>
      <w:r>
        <w:rPr>
          <w:color w:val="221F1F"/>
          <w:spacing w:val="-4"/>
        </w:rPr>
        <w:t xml:space="preserve"> </w:t>
      </w:r>
      <w:r>
        <w:rPr>
          <w:color w:val="221F1F"/>
        </w:rPr>
        <w:t>completion</w:t>
      </w:r>
      <w:r>
        <w:rPr>
          <w:color w:val="221F1F"/>
          <w:spacing w:val="-2"/>
        </w:rPr>
        <w:t xml:space="preserve"> </w:t>
      </w:r>
      <w:r>
        <w:rPr>
          <w:color w:val="221F1F"/>
        </w:rPr>
        <w:t>will</w:t>
      </w:r>
      <w:r>
        <w:rPr>
          <w:color w:val="221F1F"/>
          <w:spacing w:val="-4"/>
        </w:rPr>
        <w:t xml:space="preserve"> </w:t>
      </w:r>
      <w:r>
        <w:rPr>
          <w:color w:val="221F1F"/>
        </w:rPr>
        <w:t>be</w:t>
      </w:r>
      <w:r>
        <w:rPr>
          <w:color w:val="221F1F"/>
          <w:spacing w:val="-2"/>
        </w:rPr>
        <w:t xml:space="preserve"> </w:t>
      </w:r>
      <w:r>
        <w:rPr>
          <w:color w:val="221F1F"/>
        </w:rPr>
        <w:t>described</w:t>
      </w:r>
      <w:r>
        <w:rPr>
          <w:color w:val="221F1F"/>
          <w:spacing w:val="-2"/>
        </w:rPr>
        <w:t xml:space="preserve"> </w:t>
      </w:r>
      <w:r>
        <w:rPr>
          <w:color w:val="221F1F"/>
        </w:rPr>
        <w:t>in Section</w:t>
      </w:r>
      <w:r>
        <w:rPr>
          <w:color w:val="221F1F"/>
          <w:spacing w:val="-2"/>
        </w:rPr>
        <w:t xml:space="preserve"> </w:t>
      </w:r>
      <w:r>
        <w:rPr>
          <w:color w:val="221F1F"/>
        </w:rPr>
        <w:t>III, Evaluation and Qualification Criteria.</w:t>
      </w:r>
    </w:p>
    <w:p w:rsidR="007F6DF9" w:rsidRDefault="00A43FBC">
      <w:pPr>
        <w:pStyle w:val="ListParagraph"/>
        <w:numPr>
          <w:ilvl w:val="1"/>
          <w:numId w:val="219"/>
        </w:numPr>
        <w:tabs>
          <w:tab w:val="left" w:pos="1418"/>
          <w:tab w:val="left" w:pos="1430"/>
        </w:tabs>
        <w:spacing w:before="247" w:line="230" w:lineRule="auto"/>
        <w:ind w:left="1430" w:right="844" w:hanging="579"/>
        <w:jc w:val="both"/>
      </w:pPr>
      <w:r>
        <w:rPr>
          <w:color w:val="221F1F"/>
        </w:rPr>
        <w:t>Except</w:t>
      </w:r>
      <w:r>
        <w:rPr>
          <w:color w:val="221F1F"/>
          <w:spacing w:val="-14"/>
        </w:rPr>
        <w:t xml:space="preserve"> </w:t>
      </w:r>
      <w:r>
        <w:rPr>
          <w:color w:val="221F1F"/>
        </w:rPr>
        <w:t>as</w:t>
      </w:r>
      <w:r>
        <w:rPr>
          <w:color w:val="221F1F"/>
          <w:spacing w:val="-13"/>
        </w:rPr>
        <w:t xml:space="preserve"> </w:t>
      </w:r>
      <w:r>
        <w:rPr>
          <w:color w:val="221F1F"/>
        </w:rPr>
        <w:t>provided</w:t>
      </w:r>
      <w:r>
        <w:rPr>
          <w:color w:val="221F1F"/>
          <w:spacing w:val="-11"/>
        </w:rPr>
        <w:t xml:space="preserve"> </w:t>
      </w:r>
      <w:r>
        <w:rPr>
          <w:color w:val="221F1F"/>
        </w:rPr>
        <w:t>under</w:t>
      </w:r>
      <w:r>
        <w:rPr>
          <w:color w:val="221F1F"/>
          <w:spacing w:val="-11"/>
        </w:rPr>
        <w:t xml:space="preserve"> </w:t>
      </w:r>
      <w:r>
        <w:rPr>
          <w:color w:val="221F1F"/>
        </w:rPr>
        <w:t>ITT</w:t>
      </w:r>
      <w:r>
        <w:rPr>
          <w:color w:val="221F1F"/>
          <w:spacing w:val="-12"/>
        </w:rPr>
        <w:t xml:space="preserve"> </w:t>
      </w:r>
      <w:r>
        <w:rPr>
          <w:color w:val="221F1F"/>
        </w:rPr>
        <w:t>13.4</w:t>
      </w:r>
      <w:r>
        <w:rPr>
          <w:color w:val="221F1F"/>
          <w:spacing w:val="-12"/>
        </w:rPr>
        <w:t xml:space="preserve"> </w:t>
      </w:r>
      <w:r>
        <w:rPr>
          <w:color w:val="221F1F"/>
        </w:rPr>
        <w:t>below,</w:t>
      </w:r>
      <w:r>
        <w:rPr>
          <w:color w:val="221F1F"/>
          <w:spacing w:val="-14"/>
        </w:rPr>
        <w:t xml:space="preserve"> </w:t>
      </w:r>
      <w:r>
        <w:rPr>
          <w:color w:val="221F1F"/>
        </w:rPr>
        <w:t>Tenderers</w:t>
      </w:r>
      <w:r>
        <w:rPr>
          <w:color w:val="221F1F"/>
          <w:spacing w:val="-11"/>
        </w:rPr>
        <w:t xml:space="preserve"> </w:t>
      </w:r>
      <w:r>
        <w:rPr>
          <w:color w:val="221F1F"/>
        </w:rPr>
        <w:t>wishing</w:t>
      </w:r>
      <w:r>
        <w:rPr>
          <w:color w:val="221F1F"/>
          <w:spacing w:val="-11"/>
        </w:rPr>
        <w:t xml:space="preserve"> </w:t>
      </w:r>
      <w:r>
        <w:rPr>
          <w:color w:val="221F1F"/>
        </w:rPr>
        <w:t>to</w:t>
      </w:r>
      <w:r>
        <w:rPr>
          <w:color w:val="221F1F"/>
          <w:spacing w:val="-12"/>
        </w:rPr>
        <w:t xml:space="preserve"> </w:t>
      </w:r>
      <w:r>
        <w:rPr>
          <w:color w:val="221F1F"/>
        </w:rPr>
        <w:t>offer</w:t>
      </w:r>
      <w:r>
        <w:rPr>
          <w:color w:val="221F1F"/>
          <w:spacing w:val="-10"/>
        </w:rPr>
        <w:t xml:space="preserve"> </w:t>
      </w:r>
      <w:r>
        <w:rPr>
          <w:color w:val="221F1F"/>
        </w:rPr>
        <w:t>technical</w:t>
      </w:r>
      <w:r>
        <w:rPr>
          <w:color w:val="221F1F"/>
          <w:spacing w:val="-10"/>
        </w:rPr>
        <w:t xml:space="preserve"> </w:t>
      </w:r>
      <w:r>
        <w:rPr>
          <w:color w:val="221F1F"/>
        </w:rPr>
        <w:t>alternatives</w:t>
      </w:r>
      <w:r>
        <w:rPr>
          <w:color w:val="221F1F"/>
          <w:spacing w:val="-10"/>
        </w:rPr>
        <w:t xml:space="preserve"> </w:t>
      </w:r>
      <w:r>
        <w:rPr>
          <w:color w:val="221F1F"/>
        </w:rPr>
        <w:t>to</w:t>
      </w:r>
      <w:r>
        <w:rPr>
          <w:color w:val="221F1F"/>
          <w:spacing w:val="-14"/>
        </w:rPr>
        <w:t xml:space="preserve"> </w:t>
      </w:r>
      <w:r>
        <w:rPr>
          <w:color w:val="221F1F"/>
        </w:rPr>
        <w:t>the</w:t>
      </w:r>
      <w:r>
        <w:rPr>
          <w:color w:val="221F1F"/>
          <w:spacing w:val="-11"/>
        </w:rPr>
        <w:t xml:space="preserve"> </w:t>
      </w:r>
      <w:r>
        <w:rPr>
          <w:color w:val="221F1F"/>
        </w:rPr>
        <w:t>requirements of</w:t>
      </w:r>
      <w:r>
        <w:rPr>
          <w:color w:val="221F1F"/>
          <w:spacing w:val="-2"/>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Documents</w:t>
      </w:r>
      <w:r>
        <w:rPr>
          <w:color w:val="221F1F"/>
          <w:spacing w:val="-4"/>
        </w:rPr>
        <w:t xml:space="preserve"> </w:t>
      </w:r>
      <w:r>
        <w:rPr>
          <w:color w:val="221F1F"/>
        </w:rPr>
        <w:t>must</w:t>
      </w:r>
      <w:r>
        <w:rPr>
          <w:color w:val="221F1F"/>
          <w:spacing w:val="-1"/>
        </w:rPr>
        <w:t xml:space="preserve"> </w:t>
      </w:r>
      <w:r>
        <w:rPr>
          <w:color w:val="221F1F"/>
        </w:rPr>
        <w:t>first</w:t>
      </w:r>
      <w:r>
        <w:rPr>
          <w:color w:val="221F1F"/>
          <w:spacing w:val="-1"/>
        </w:rPr>
        <w:t xml:space="preserve"> </w:t>
      </w:r>
      <w:r>
        <w:rPr>
          <w:color w:val="221F1F"/>
        </w:rPr>
        <w:t>price</w:t>
      </w:r>
      <w:r>
        <w:rPr>
          <w:color w:val="221F1F"/>
          <w:spacing w:val="-3"/>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design</w:t>
      </w:r>
      <w:r>
        <w:rPr>
          <w:color w:val="221F1F"/>
          <w:spacing w:val="-3"/>
        </w:rPr>
        <w:t xml:space="preserve"> </w:t>
      </w:r>
      <w:r>
        <w:rPr>
          <w:color w:val="221F1F"/>
        </w:rPr>
        <w:t>as</w:t>
      </w:r>
      <w:r>
        <w:rPr>
          <w:color w:val="221F1F"/>
          <w:spacing w:val="-2"/>
        </w:rPr>
        <w:t xml:space="preserve"> </w:t>
      </w:r>
      <w:r>
        <w:rPr>
          <w:color w:val="221F1F"/>
        </w:rPr>
        <w:t>described</w:t>
      </w:r>
      <w:r>
        <w:rPr>
          <w:color w:val="221F1F"/>
          <w:spacing w:val="-2"/>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Documents and</w:t>
      </w:r>
      <w:r>
        <w:rPr>
          <w:color w:val="221F1F"/>
          <w:spacing w:val="-14"/>
        </w:rPr>
        <w:t xml:space="preserve"> </w:t>
      </w:r>
      <w:r>
        <w:rPr>
          <w:color w:val="221F1F"/>
        </w:rPr>
        <w:t>shall</w:t>
      </w:r>
      <w:r>
        <w:rPr>
          <w:color w:val="221F1F"/>
          <w:spacing w:val="-14"/>
        </w:rPr>
        <w:t xml:space="preserve"> </w:t>
      </w:r>
      <w:r>
        <w:rPr>
          <w:color w:val="221F1F"/>
        </w:rPr>
        <w:t>further</w:t>
      </w:r>
      <w:r>
        <w:rPr>
          <w:color w:val="221F1F"/>
          <w:spacing w:val="-13"/>
        </w:rPr>
        <w:t xml:space="preserve"> </w:t>
      </w:r>
      <w:r>
        <w:rPr>
          <w:color w:val="221F1F"/>
        </w:rPr>
        <w:t>provide</w:t>
      </w:r>
      <w:r>
        <w:rPr>
          <w:color w:val="221F1F"/>
          <w:spacing w:val="-13"/>
        </w:rPr>
        <w:t xml:space="preserve"> </w:t>
      </w:r>
      <w:r>
        <w:rPr>
          <w:color w:val="221F1F"/>
        </w:rPr>
        <w:t>all</w:t>
      </w:r>
      <w:r>
        <w:rPr>
          <w:color w:val="221F1F"/>
          <w:spacing w:val="-14"/>
        </w:rPr>
        <w:t xml:space="preserve"> </w:t>
      </w:r>
      <w:r>
        <w:rPr>
          <w:color w:val="221F1F"/>
        </w:rPr>
        <w:t>information</w:t>
      </w:r>
      <w:r>
        <w:rPr>
          <w:color w:val="221F1F"/>
          <w:spacing w:val="-13"/>
        </w:rPr>
        <w:t xml:space="preserve"> </w:t>
      </w:r>
      <w:r>
        <w:rPr>
          <w:color w:val="221F1F"/>
        </w:rPr>
        <w:t>necessary</w:t>
      </w:r>
      <w:r>
        <w:rPr>
          <w:color w:val="221F1F"/>
          <w:spacing w:val="-13"/>
        </w:rPr>
        <w:t xml:space="preserve"> </w:t>
      </w:r>
      <w:r>
        <w:rPr>
          <w:color w:val="221F1F"/>
        </w:rPr>
        <w:t>for</w:t>
      </w:r>
      <w:r>
        <w:rPr>
          <w:color w:val="221F1F"/>
          <w:spacing w:val="-13"/>
        </w:rPr>
        <w:t xml:space="preserve"> </w:t>
      </w:r>
      <w:r>
        <w:rPr>
          <w:color w:val="221F1F"/>
        </w:rPr>
        <w:t>a</w:t>
      </w:r>
      <w:r>
        <w:rPr>
          <w:color w:val="221F1F"/>
          <w:spacing w:val="-14"/>
        </w:rPr>
        <w:t xml:space="preserve"> </w:t>
      </w:r>
      <w:r>
        <w:rPr>
          <w:color w:val="221F1F"/>
        </w:rPr>
        <w:t>complete</w:t>
      </w:r>
      <w:r>
        <w:rPr>
          <w:color w:val="221F1F"/>
          <w:spacing w:val="-13"/>
        </w:rPr>
        <w:t xml:space="preserve"> </w:t>
      </w:r>
      <w:r>
        <w:rPr>
          <w:color w:val="221F1F"/>
        </w:rPr>
        <w:t>evaluation</w:t>
      </w:r>
      <w:r>
        <w:rPr>
          <w:color w:val="221F1F"/>
          <w:spacing w:val="-13"/>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alternative</w:t>
      </w:r>
      <w:r>
        <w:rPr>
          <w:color w:val="221F1F"/>
          <w:spacing w:val="-13"/>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Procuring Entity, including drawings, design calculations, technical specifications, breakdown of prices, and proposed construction methodology and other relevant details. Only the technical alternatives, if any, of the Tenderer with</w:t>
      </w:r>
      <w:r>
        <w:rPr>
          <w:color w:val="221F1F"/>
          <w:spacing w:val="-5"/>
        </w:rPr>
        <w:t xml:space="preserve"> </w:t>
      </w:r>
      <w:r>
        <w:rPr>
          <w:color w:val="221F1F"/>
        </w:rPr>
        <w:t>the</w:t>
      </w:r>
      <w:r>
        <w:rPr>
          <w:color w:val="221F1F"/>
          <w:spacing w:val="-4"/>
        </w:rPr>
        <w:t xml:space="preserve"> </w:t>
      </w:r>
      <w:r>
        <w:rPr>
          <w:color w:val="221F1F"/>
        </w:rPr>
        <w:t>Winning</w:t>
      </w:r>
      <w:r>
        <w:rPr>
          <w:color w:val="221F1F"/>
          <w:spacing w:val="-4"/>
        </w:rPr>
        <w:t xml:space="preserve"> </w:t>
      </w:r>
      <w:r>
        <w:rPr>
          <w:color w:val="221F1F"/>
        </w:rPr>
        <w:t>Tender</w:t>
      </w:r>
      <w:r>
        <w:rPr>
          <w:color w:val="221F1F"/>
          <w:spacing w:val="-9"/>
        </w:rPr>
        <w:t xml:space="preserve"> </w:t>
      </w:r>
      <w:r>
        <w:rPr>
          <w:color w:val="221F1F"/>
        </w:rPr>
        <w:t>conforming</w:t>
      </w:r>
      <w:r>
        <w:rPr>
          <w:color w:val="221F1F"/>
          <w:spacing w:val="-4"/>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basic</w:t>
      </w:r>
      <w:r>
        <w:rPr>
          <w:color w:val="221F1F"/>
          <w:spacing w:val="-4"/>
        </w:rPr>
        <w:t xml:space="preserve"> </w:t>
      </w:r>
      <w:r>
        <w:rPr>
          <w:color w:val="221F1F"/>
        </w:rPr>
        <w:t>technical</w:t>
      </w:r>
      <w:r>
        <w:rPr>
          <w:color w:val="221F1F"/>
          <w:spacing w:val="-3"/>
        </w:rPr>
        <w:t xml:space="preserve"> </w:t>
      </w:r>
      <w:r>
        <w:rPr>
          <w:color w:val="221F1F"/>
        </w:rPr>
        <w:t>requirements</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 xml:space="preserve">Procuring </w:t>
      </w:r>
      <w:r>
        <w:rPr>
          <w:color w:val="221F1F"/>
          <w:spacing w:val="-2"/>
        </w:rPr>
        <w:t>Entity.</w:t>
      </w:r>
    </w:p>
    <w:p w:rsidR="007F6DF9" w:rsidRDefault="00A43FBC">
      <w:pPr>
        <w:pStyle w:val="ListParagraph"/>
        <w:numPr>
          <w:ilvl w:val="1"/>
          <w:numId w:val="219"/>
        </w:numPr>
        <w:tabs>
          <w:tab w:val="left" w:pos="1416"/>
          <w:tab w:val="left" w:pos="1430"/>
        </w:tabs>
        <w:spacing w:before="244" w:line="230" w:lineRule="auto"/>
        <w:ind w:left="1430" w:right="846" w:hanging="579"/>
        <w:jc w:val="both"/>
      </w:pPr>
      <w:r>
        <w:rPr>
          <w:color w:val="221F1F"/>
        </w:rPr>
        <w:t>When</w:t>
      </w:r>
      <w:r>
        <w:rPr>
          <w:color w:val="221F1F"/>
          <w:spacing w:val="-14"/>
        </w:rPr>
        <w:t xml:space="preserve"> </w:t>
      </w:r>
      <w:r>
        <w:rPr>
          <w:color w:val="221F1F"/>
        </w:rPr>
        <w:t>specified</w:t>
      </w:r>
      <w:r>
        <w:rPr>
          <w:color w:val="221F1F"/>
          <w:spacing w:val="-14"/>
        </w:rPr>
        <w:t xml:space="preserve"> </w:t>
      </w:r>
      <w:r>
        <w:rPr>
          <w:color w:val="221F1F"/>
        </w:rPr>
        <w:t>in</w:t>
      </w:r>
      <w:r>
        <w:rPr>
          <w:color w:val="221F1F"/>
          <w:spacing w:val="-14"/>
        </w:rPr>
        <w:t xml:space="preserve"> </w:t>
      </w:r>
      <w:r>
        <w:rPr>
          <w:color w:val="221F1F"/>
        </w:rPr>
        <w:t>the</w:t>
      </w:r>
      <w:r>
        <w:rPr>
          <w:color w:val="221F1F"/>
          <w:spacing w:val="-13"/>
        </w:rPr>
        <w:t xml:space="preserve"> </w:t>
      </w:r>
      <w:r>
        <w:rPr>
          <w:b/>
          <w:color w:val="221F1F"/>
        </w:rPr>
        <w:t>TDS</w:t>
      </w:r>
      <w:r>
        <w:rPr>
          <w:color w:val="221F1F"/>
        </w:rPr>
        <w:t>,</w:t>
      </w:r>
      <w:r>
        <w:rPr>
          <w:color w:val="221F1F"/>
          <w:spacing w:val="-14"/>
        </w:rPr>
        <w:t xml:space="preserve"> </w:t>
      </w:r>
      <w:r>
        <w:rPr>
          <w:color w:val="221F1F"/>
        </w:rPr>
        <w:t>Tenderers</w:t>
      </w:r>
      <w:r>
        <w:rPr>
          <w:color w:val="221F1F"/>
          <w:spacing w:val="-14"/>
        </w:rPr>
        <w:t xml:space="preserve"> </w:t>
      </w:r>
      <w:r>
        <w:rPr>
          <w:color w:val="221F1F"/>
        </w:rPr>
        <w:t>are</w:t>
      </w:r>
      <w:r>
        <w:rPr>
          <w:color w:val="221F1F"/>
          <w:spacing w:val="-14"/>
        </w:rPr>
        <w:t xml:space="preserve"> </w:t>
      </w:r>
      <w:r>
        <w:rPr>
          <w:color w:val="221F1F"/>
        </w:rPr>
        <w:t>permitted</w:t>
      </w:r>
      <w:r>
        <w:rPr>
          <w:color w:val="221F1F"/>
          <w:spacing w:val="-13"/>
        </w:rPr>
        <w:t xml:space="preserve"> </w:t>
      </w:r>
      <w:r>
        <w:rPr>
          <w:color w:val="221F1F"/>
        </w:rPr>
        <w:t>to</w:t>
      </w:r>
      <w:r>
        <w:rPr>
          <w:color w:val="221F1F"/>
          <w:spacing w:val="-14"/>
        </w:rPr>
        <w:t xml:space="preserve"> </w:t>
      </w:r>
      <w:r>
        <w:rPr>
          <w:color w:val="221F1F"/>
        </w:rPr>
        <w:t>submit</w:t>
      </w:r>
      <w:r>
        <w:rPr>
          <w:color w:val="221F1F"/>
          <w:spacing w:val="-14"/>
        </w:rPr>
        <w:t xml:space="preserve"> </w:t>
      </w:r>
      <w:r>
        <w:rPr>
          <w:color w:val="221F1F"/>
        </w:rPr>
        <w:t>alternative</w:t>
      </w:r>
      <w:r>
        <w:rPr>
          <w:color w:val="221F1F"/>
          <w:spacing w:val="-14"/>
        </w:rPr>
        <w:t xml:space="preserve"> </w:t>
      </w:r>
      <w:r>
        <w:rPr>
          <w:color w:val="221F1F"/>
        </w:rPr>
        <w:t>technical</w:t>
      </w:r>
      <w:r>
        <w:rPr>
          <w:color w:val="221F1F"/>
          <w:spacing w:val="-13"/>
        </w:rPr>
        <w:t xml:space="preserve"> </w:t>
      </w:r>
      <w:r>
        <w:rPr>
          <w:color w:val="221F1F"/>
        </w:rPr>
        <w:t>solutions</w:t>
      </w:r>
      <w:r>
        <w:rPr>
          <w:color w:val="221F1F"/>
          <w:spacing w:val="-14"/>
        </w:rPr>
        <w:t xml:space="preserve"> </w:t>
      </w:r>
      <w:r>
        <w:rPr>
          <w:color w:val="221F1F"/>
        </w:rPr>
        <w:t>for</w:t>
      </w:r>
      <w:r>
        <w:rPr>
          <w:color w:val="221F1F"/>
          <w:spacing w:val="-14"/>
        </w:rPr>
        <w:t xml:space="preserve"> </w:t>
      </w:r>
      <w:r>
        <w:rPr>
          <w:color w:val="221F1F"/>
        </w:rPr>
        <w:t>specified</w:t>
      </w:r>
      <w:r>
        <w:rPr>
          <w:color w:val="221F1F"/>
          <w:spacing w:val="-13"/>
        </w:rPr>
        <w:t xml:space="preserve"> </w:t>
      </w:r>
      <w:r>
        <w:rPr>
          <w:color w:val="221F1F"/>
        </w:rPr>
        <w:t>parts of</w:t>
      </w:r>
      <w:r>
        <w:rPr>
          <w:color w:val="221F1F"/>
          <w:spacing w:val="-16"/>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and</w:t>
      </w:r>
      <w:r>
        <w:rPr>
          <w:color w:val="221F1F"/>
          <w:spacing w:val="-13"/>
        </w:rPr>
        <w:t xml:space="preserve"> </w:t>
      </w:r>
      <w:r>
        <w:rPr>
          <w:color w:val="221F1F"/>
        </w:rPr>
        <w:t>such</w:t>
      </w:r>
      <w:r>
        <w:rPr>
          <w:color w:val="221F1F"/>
          <w:spacing w:val="-14"/>
        </w:rPr>
        <w:t xml:space="preserve"> </w:t>
      </w:r>
      <w:r>
        <w:rPr>
          <w:color w:val="221F1F"/>
        </w:rPr>
        <w:t>parts</w:t>
      </w:r>
      <w:r>
        <w:rPr>
          <w:color w:val="221F1F"/>
          <w:spacing w:val="-14"/>
        </w:rPr>
        <w:t xml:space="preserve"> </w:t>
      </w:r>
      <w:r>
        <w:rPr>
          <w:color w:val="221F1F"/>
        </w:rPr>
        <w:t>will</w:t>
      </w:r>
      <w:r>
        <w:rPr>
          <w:color w:val="221F1F"/>
          <w:spacing w:val="-14"/>
        </w:rPr>
        <w:t xml:space="preserve"> </w:t>
      </w:r>
      <w:r>
        <w:rPr>
          <w:color w:val="221F1F"/>
        </w:rPr>
        <w:t>be</w:t>
      </w:r>
      <w:r>
        <w:rPr>
          <w:color w:val="221F1F"/>
          <w:spacing w:val="-13"/>
        </w:rPr>
        <w:t xml:space="preserve"> </w:t>
      </w:r>
      <w:r>
        <w:rPr>
          <w:color w:val="221F1F"/>
        </w:rPr>
        <w:t>identified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b/>
          <w:color w:val="221F1F"/>
        </w:rPr>
        <w:t>TDS</w:t>
      </w:r>
      <w:r>
        <w:rPr>
          <w:color w:val="221F1F"/>
        </w:rPr>
        <w:t>,</w:t>
      </w:r>
      <w:r>
        <w:rPr>
          <w:color w:val="221F1F"/>
          <w:spacing w:val="-13"/>
        </w:rPr>
        <w:t xml:space="preserve"> </w:t>
      </w:r>
      <w:r>
        <w:rPr>
          <w:color w:val="221F1F"/>
        </w:rPr>
        <w:t>as</w:t>
      </w:r>
      <w:r>
        <w:rPr>
          <w:color w:val="221F1F"/>
          <w:spacing w:val="-14"/>
        </w:rPr>
        <w:t xml:space="preserve"> </w:t>
      </w:r>
      <w:r>
        <w:rPr>
          <w:color w:val="221F1F"/>
        </w:rPr>
        <w:t>will</w:t>
      </w:r>
      <w:r>
        <w:rPr>
          <w:color w:val="221F1F"/>
          <w:spacing w:val="-14"/>
        </w:rPr>
        <w:t xml:space="preserve"> </w:t>
      </w:r>
      <w:r>
        <w:rPr>
          <w:color w:val="221F1F"/>
        </w:rPr>
        <w:t>the</w:t>
      </w:r>
      <w:r>
        <w:rPr>
          <w:color w:val="221F1F"/>
          <w:spacing w:val="-14"/>
        </w:rPr>
        <w:t xml:space="preserve"> </w:t>
      </w:r>
      <w:r>
        <w:rPr>
          <w:color w:val="221F1F"/>
        </w:rPr>
        <w:t>method</w:t>
      </w:r>
      <w:r>
        <w:rPr>
          <w:color w:val="221F1F"/>
          <w:spacing w:val="-13"/>
        </w:rPr>
        <w:t xml:space="preserve"> </w:t>
      </w:r>
      <w:r>
        <w:rPr>
          <w:color w:val="221F1F"/>
        </w:rPr>
        <w:t>for</w:t>
      </w:r>
      <w:r>
        <w:rPr>
          <w:color w:val="221F1F"/>
          <w:spacing w:val="-14"/>
        </w:rPr>
        <w:t xml:space="preserve"> </w:t>
      </w:r>
      <w:r>
        <w:rPr>
          <w:color w:val="221F1F"/>
        </w:rPr>
        <w:t>their</w:t>
      </w:r>
      <w:r>
        <w:rPr>
          <w:color w:val="221F1F"/>
          <w:spacing w:val="-14"/>
        </w:rPr>
        <w:t xml:space="preserve"> </w:t>
      </w:r>
      <w:r>
        <w:rPr>
          <w:color w:val="221F1F"/>
        </w:rPr>
        <w:t>evaluating,</w:t>
      </w:r>
      <w:r>
        <w:rPr>
          <w:color w:val="221F1F"/>
          <w:spacing w:val="-14"/>
        </w:rPr>
        <w:t xml:space="preserve"> </w:t>
      </w:r>
      <w:r>
        <w:rPr>
          <w:color w:val="221F1F"/>
        </w:rPr>
        <w:t>and</w:t>
      </w:r>
      <w:r>
        <w:rPr>
          <w:color w:val="221F1F"/>
          <w:spacing w:val="-13"/>
        </w:rPr>
        <w:t xml:space="preserve"> </w:t>
      </w:r>
      <w:r>
        <w:rPr>
          <w:color w:val="221F1F"/>
        </w:rPr>
        <w:t>described in Section VII, Works' Requirements.</w:t>
      </w:r>
    </w:p>
    <w:p w:rsidR="007F6DF9" w:rsidRDefault="00A43FBC">
      <w:pPr>
        <w:pStyle w:val="Heading9"/>
        <w:numPr>
          <w:ilvl w:val="1"/>
          <w:numId w:val="218"/>
        </w:numPr>
        <w:tabs>
          <w:tab w:val="left" w:pos="1418"/>
        </w:tabs>
        <w:spacing w:before="238"/>
        <w:ind w:hanging="566"/>
      </w:pPr>
      <w:bookmarkStart w:id="16" w:name="_bookmark15"/>
      <w:bookmarkEnd w:id="16"/>
      <w:r>
        <w:rPr>
          <w:color w:val="221F1F"/>
        </w:rPr>
        <w:t>Tender</w:t>
      </w:r>
      <w:r>
        <w:rPr>
          <w:color w:val="221F1F"/>
          <w:spacing w:val="-14"/>
        </w:rPr>
        <w:t xml:space="preserve"> </w:t>
      </w:r>
      <w:r>
        <w:rPr>
          <w:color w:val="221F1F"/>
        </w:rPr>
        <w:t>Prices</w:t>
      </w:r>
      <w:r>
        <w:rPr>
          <w:color w:val="221F1F"/>
          <w:spacing w:val="-14"/>
        </w:rPr>
        <w:t xml:space="preserve"> </w:t>
      </w:r>
      <w:r>
        <w:rPr>
          <w:color w:val="221F1F"/>
        </w:rPr>
        <w:t>and</w:t>
      </w:r>
      <w:r>
        <w:rPr>
          <w:color w:val="221F1F"/>
          <w:spacing w:val="-10"/>
        </w:rPr>
        <w:t xml:space="preserve"> </w:t>
      </w:r>
      <w:r>
        <w:rPr>
          <w:color w:val="221F1F"/>
          <w:spacing w:val="-2"/>
        </w:rPr>
        <w:t>Discounts</w:t>
      </w:r>
    </w:p>
    <w:p w:rsidR="007F6DF9" w:rsidRDefault="00A43FBC">
      <w:pPr>
        <w:pStyle w:val="ListParagraph"/>
        <w:numPr>
          <w:ilvl w:val="1"/>
          <w:numId w:val="218"/>
        </w:numPr>
        <w:tabs>
          <w:tab w:val="left" w:pos="1415"/>
          <w:tab w:val="left" w:pos="1430"/>
        </w:tabs>
        <w:spacing w:before="242" w:line="230" w:lineRule="auto"/>
        <w:ind w:left="1430" w:right="849" w:hanging="579"/>
        <w:jc w:val="both"/>
      </w:pPr>
      <w:r>
        <w:rPr>
          <w:color w:val="221F1F"/>
        </w:rPr>
        <w:t>The</w:t>
      </w:r>
      <w:r>
        <w:rPr>
          <w:color w:val="221F1F"/>
          <w:spacing w:val="-3"/>
        </w:rPr>
        <w:t xml:space="preserve"> </w:t>
      </w:r>
      <w:r>
        <w:rPr>
          <w:color w:val="221F1F"/>
        </w:rPr>
        <w:t>prices</w:t>
      </w:r>
      <w:r>
        <w:rPr>
          <w:color w:val="221F1F"/>
          <w:spacing w:val="-3"/>
        </w:rPr>
        <w:t xml:space="preserve"> </w:t>
      </w:r>
      <w:r>
        <w:rPr>
          <w:color w:val="221F1F"/>
        </w:rPr>
        <w:t>and</w:t>
      </w:r>
      <w:r>
        <w:rPr>
          <w:color w:val="221F1F"/>
          <w:spacing w:val="-3"/>
        </w:rPr>
        <w:t xml:space="preserve"> </w:t>
      </w:r>
      <w:r>
        <w:rPr>
          <w:color w:val="221F1F"/>
        </w:rPr>
        <w:t>discounts</w:t>
      </w:r>
      <w:r>
        <w:rPr>
          <w:color w:val="221F1F"/>
          <w:spacing w:val="-5"/>
        </w:rPr>
        <w:t xml:space="preserve"> </w:t>
      </w:r>
      <w:r>
        <w:rPr>
          <w:color w:val="221F1F"/>
        </w:rPr>
        <w:t>(including</w:t>
      </w:r>
      <w:r>
        <w:rPr>
          <w:color w:val="221F1F"/>
          <w:spacing w:val="-5"/>
        </w:rPr>
        <w:t xml:space="preserve"> </w:t>
      </w:r>
      <w:r>
        <w:rPr>
          <w:color w:val="221F1F"/>
        </w:rPr>
        <w:t>any</w:t>
      </w:r>
      <w:r>
        <w:rPr>
          <w:color w:val="221F1F"/>
          <w:spacing w:val="-3"/>
        </w:rPr>
        <w:t xml:space="preserve"> </w:t>
      </w:r>
      <w:r>
        <w:rPr>
          <w:color w:val="221F1F"/>
        </w:rPr>
        <w:t>price</w:t>
      </w:r>
      <w:r>
        <w:rPr>
          <w:color w:val="221F1F"/>
          <w:spacing w:val="-5"/>
        </w:rPr>
        <w:t xml:space="preserve"> </w:t>
      </w:r>
      <w:r>
        <w:rPr>
          <w:color w:val="221F1F"/>
        </w:rPr>
        <w:t>reduction)</w:t>
      </w:r>
      <w:r>
        <w:rPr>
          <w:color w:val="221F1F"/>
          <w:spacing w:val="-1"/>
        </w:rPr>
        <w:t xml:space="preserve"> </w:t>
      </w:r>
      <w:r>
        <w:rPr>
          <w:color w:val="221F1F"/>
        </w:rPr>
        <w:t>quoted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Tenderer</w:t>
      </w:r>
      <w:r>
        <w:rPr>
          <w:color w:val="221F1F"/>
          <w:spacing w:val="-4"/>
        </w:rPr>
        <w:t xml:space="preserve"> </w:t>
      </w:r>
      <w:r>
        <w:rPr>
          <w:color w:val="221F1F"/>
        </w:rPr>
        <w:t>in</w:t>
      </w:r>
      <w:r>
        <w:rPr>
          <w:color w:val="221F1F"/>
          <w:spacing w:val="-3"/>
        </w:rPr>
        <w:t xml:space="preserve"> </w:t>
      </w:r>
      <w:r>
        <w:rPr>
          <w:color w:val="221F1F"/>
        </w:rPr>
        <w:t>the</w:t>
      </w:r>
      <w:r>
        <w:rPr>
          <w:color w:val="221F1F"/>
          <w:spacing w:val="-5"/>
        </w:rPr>
        <w:t xml:space="preserve"> </w:t>
      </w:r>
      <w:r>
        <w:rPr>
          <w:color w:val="221F1F"/>
        </w:rPr>
        <w:t>Form</w:t>
      </w:r>
      <w:r>
        <w:rPr>
          <w:color w:val="221F1F"/>
          <w:spacing w:val="-2"/>
        </w:rPr>
        <w:t xml:space="preserve"> </w:t>
      </w:r>
      <w:r>
        <w:rPr>
          <w:color w:val="221F1F"/>
        </w:rPr>
        <w:t>of</w:t>
      </w:r>
      <w:r>
        <w:rPr>
          <w:color w:val="221F1F"/>
          <w:spacing w:val="-2"/>
        </w:rPr>
        <w:t xml:space="preserve"> </w:t>
      </w:r>
      <w:r>
        <w:rPr>
          <w:color w:val="221F1F"/>
        </w:rPr>
        <w:t>Tender</w:t>
      </w:r>
      <w:r>
        <w:rPr>
          <w:color w:val="221F1F"/>
          <w:spacing w:val="-6"/>
        </w:rPr>
        <w:t xml:space="preserve"> </w:t>
      </w:r>
      <w:r>
        <w:rPr>
          <w:color w:val="221F1F"/>
        </w:rPr>
        <w:t>and</w:t>
      </w:r>
      <w:r>
        <w:rPr>
          <w:color w:val="221F1F"/>
          <w:spacing w:val="-3"/>
        </w:rPr>
        <w:t xml:space="preserve"> </w:t>
      </w:r>
      <w:r>
        <w:rPr>
          <w:color w:val="221F1F"/>
        </w:rPr>
        <w:t xml:space="preserve">in the </w:t>
      </w:r>
      <w:proofErr w:type="spellStart"/>
      <w:r>
        <w:rPr>
          <w:color w:val="221F1F"/>
        </w:rPr>
        <w:t>Billof</w:t>
      </w:r>
      <w:proofErr w:type="spellEnd"/>
      <w:r>
        <w:rPr>
          <w:color w:val="221F1F"/>
        </w:rPr>
        <w:t xml:space="preserve"> Quantities shall conform to the requirements specified below.</w:t>
      </w:r>
    </w:p>
    <w:p w:rsidR="007F6DF9" w:rsidRDefault="00A43FBC">
      <w:pPr>
        <w:pStyle w:val="ListParagraph"/>
        <w:numPr>
          <w:ilvl w:val="1"/>
          <w:numId w:val="218"/>
        </w:numPr>
        <w:tabs>
          <w:tab w:val="left" w:pos="1415"/>
          <w:tab w:val="left" w:pos="1430"/>
        </w:tabs>
        <w:spacing w:before="244" w:line="230" w:lineRule="auto"/>
        <w:ind w:left="1430" w:right="845" w:hanging="579"/>
        <w:jc w:val="both"/>
      </w:pPr>
      <w:r>
        <w:rPr>
          <w:color w:val="221F1F"/>
        </w:rPr>
        <w:t>The Tenderer shall fill in rates and prices for all items of the Works</w:t>
      </w:r>
      <w:r>
        <w:rPr>
          <w:color w:val="221F1F"/>
          <w:spacing w:val="-6"/>
        </w:rPr>
        <w:t xml:space="preserve"> </w:t>
      </w:r>
      <w:r>
        <w:rPr>
          <w:color w:val="221F1F"/>
        </w:rPr>
        <w:t>described in the Bill of Quantities. Items against which</w:t>
      </w:r>
      <w:r>
        <w:rPr>
          <w:color w:val="221F1F"/>
          <w:spacing w:val="-1"/>
        </w:rPr>
        <w:t xml:space="preserve"> </w:t>
      </w:r>
      <w:r>
        <w:rPr>
          <w:color w:val="221F1F"/>
        </w:rPr>
        <w:t>no</w:t>
      </w:r>
      <w:r>
        <w:rPr>
          <w:color w:val="221F1F"/>
          <w:spacing w:val="-1"/>
        </w:rPr>
        <w:t xml:space="preserve"> </w:t>
      </w:r>
      <w:r>
        <w:rPr>
          <w:color w:val="221F1F"/>
        </w:rPr>
        <w:t>rate</w:t>
      </w:r>
      <w:r>
        <w:rPr>
          <w:color w:val="221F1F"/>
          <w:spacing w:val="-1"/>
        </w:rPr>
        <w:t xml:space="preserve"> </w:t>
      </w:r>
      <w:r>
        <w:rPr>
          <w:color w:val="221F1F"/>
        </w:rPr>
        <w:t>or price is</w:t>
      </w:r>
      <w:r>
        <w:rPr>
          <w:color w:val="221F1F"/>
          <w:spacing w:val="-1"/>
        </w:rPr>
        <w:t xml:space="preserve"> </w:t>
      </w:r>
      <w:r>
        <w:rPr>
          <w:color w:val="221F1F"/>
        </w:rPr>
        <w:t>entered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Tenderer shall be</w:t>
      </w:r>
      <w:r>
        <w:rPr>
          <w:color w:val="221F1F"/>
          <w:spacing w:val="-1"/>
        </w:rPr>
        <w:t xml:space="preserve"> </w:t>
      </w:r>
      <w:r>
        <w:rPr>
          <w:color w:val="221F1F"/>
        </w:rPr>
        <w:t>deemed</w:t>
      </w:r>
      <w:r>
        <w:rPr>
          <w:color w:val="221F1F"/>
          <w:spacing w:val="-1"/>
        </w:rPr>
        <w:t xml:space="preserve"> </w:t>
      </w:r>
      <w:r>
        <w:rPr>
          <w:color w:val="221F1F"/>
        </w:rPr>
        <w:t>covered</w:t>
      </w:r>
      <w:r>
        <w:rPr>
          <w:color w:val="221F1F"/>
          <w:spacing w:val="-3"/>
        </w:rPr>
        <w:t xml:space="preserve"> </w:t>
      </w:r>
      <w:r>
        <w:rPr>
          <w:color w:val="221F1F"/>
        </w:rPr>
        <w:t>by the</w:t>
      </w:r>
      <w:r>
        <w:rPr>
          <w:color w:val="221F1F"/>
          <w:spacing w:val="-1"/>
        </w:rPr>
        <w:t xml:space="preserve"> </w:t>
      </w:r>
      <w:r>
        <w:rPr>
          <w:color w:val="221F1F"/>
        </w:rPr>
        <w:t>rates for other items in the Bill of Quantities and will not be paid for separately by the Procuring Entity. An item not listed in the priced Bill of Quantities shall be assumed to be not included in the Tender, and provided that the Tender is determined substantially responsive notwithstanding this omission, the average price of the item quoted by substantially</w:t>
      </w:r>
      <w:r>
        <w:rPr>
          <w:color w:val="221F1F"/>
          <w:spacing w:val="-11"/>
        </w:rPr>
        <w:t xml:space="preserve"> </w:t>
      </w:r>
      <w:r>
        <w:rPr>
          <w:color w:val="221F1F"/>
        </w:rPr>
        <w:t>responsive</w:t>
      </w:r>
      <w:r>
        <w:rPr>
          <w:color w:val="221F1F"/>
          <w:spacing w:val="-9"/>
        </w:rPr>
        <w:t xml:space="preserve"> </w:t>
      </w:r>
      <w:r>
        <w:rPr>
          <w:color w:val="221F1F"/>
        </w:rPr>
        <w:t>Tenderers</w:t>
      </w:r>
      <w:r>
        <w:rPr>
          <w:color w:val="221F1F"/>
          <w:spacing w:val="-9"/>
        </w:rPr>
        <w:t xml:space="preserve"> </w:t>
      </w:r>
      <w:r>
        <w:rPr>
          <w:color w:val="221F1F"/>
        </w:rPr>
        <w:t>will</w:t>
      </w:r>
      <w:r>
        <w:rPr>
          <w:color w:val="221F1F"/>
          <w:spacing w:val="-9"/>
        </w:rPr>
        <w:t xml:space="preserve"> </w:t>
      </w:r>
      <w:r>
        <w:rPr>
          <w:color w:val="221F1F"/>
        </w:rPr>
        <w:t>be</w:t>
      </w:r>
      <w:r>
        <w:rPr>
          <w:color w:val="221F1F"/>
          <w:spacing w:val="-10"/>
        </w:rPr>
        <w:t xml:space="preserve"> </w:t>
      </w:r>
      <w:r>
        <w:rPr>
          <w:color w:val="221F1F"/>
        </w:rPr>
        <w:t>added</w:t>
      </w:r>
      <w:r>
        <w:rPr>
          <w:color w:val="221F1F"/>
          <w:spacing w:val="-10"/>
        </w:rPr>
        <w:t xml:space="preserve"> </w:t>
      </w:r>
      <w:r>
        <w:rPr>
          <w:color w:val="221F1F"/>
        </w:rPr>
        <w:t>to</w:t>
      </w:r>
      <w:r>
        <w:rPr>
          <w:color w:val="221F1F"/>
          <w:spacing w:val="-10"/>
        </w:rPr>
        <w:t xml:space="preserve"> </w:t>
      </w:r>
      <w:r>
        <w:rPr>
          <w:color w:val="221F1F"/>
        </w:rPr>
        <w:t>the</w:t>
      </w:r>
      <w:r>
        <w:rPr>
          <w:color w:val="221F1F"/>
          <w:spacing w:val="-9"/>
        </w:rPr>
        <w:t xml:space="preserve"> </w:t>
      </w:r>
      <w:r>
        <w:rPr>
          <w:color w:val="221F1F"/>
        </w:rPr>
        <w:t>Tender</w:t>
      </w:r>
      <w:r>
        <w:rPr>
          <w:color w:val="221F1F"/>
          <w:spacing w:val="-14"/>
        </w:rPr>
        <w:t xml:space="preserve"> </w:t>
      </w:r>
      <w:r>
        <w:rPr>
          <w:color w:val="221F1F"/>
        </w:rPr>
        <w:t>price</w:t>
      </w:r>
      <w:r>
        <w:rPr>
          <w:color w:val="221F1F"/>
          <w:spacing w:val="-9"/>
        </w:rPr>
        <w:t xml:space="preserve"> </w:t>
      </w:r>
      <w:r>
        <w:rPr>
          <w:color w:val="221F1F"/>
        </w:rPr>
        <w:t>and</w:t>
      </w:r>
      <w:r>
        <w:rPr>
          <w:color w:val="221F1F"/>
          <w:spacing w:val="-10"/>
        </w:rPr>
        <w:t xml:space="preserve"> </w:t>
      </w:r>
      <w:r>
        <w:rPr>
          <w:color w:val="221F1F"/>
        </w:rPr>
        <w:t>the</w:t>
      </w:r>
      <w:r>
        <w:rPr>
          <w:color w:val="221F1F"/>
          <w:spacing w:val="-10"/>
        </w:rPr>
        <w:t xml:space="preserve"> </w:t>
      </w:r>
      <w:r>
        <w:rPr>
          <w:color w:val="221F1F"/>
        </w:rPr>
        <w:t>equivalent</w:t>
      </w:r>
      <w:r>
        <w:rPr>
          <w:color w:val="221F1F"/>
          <w:spacing w:val="-8"/>
        </w:rPr>
        <w:t xml:space="preserve"> </w:t>
      </w:r>
      <w:r>
        <w:rPr>
          <w:color w:val="221F1F"/>
        </w:rPr>
        <w:t>total</w:t>
      </w:r>
      <w:r>
        <w:rPr>
          <w:color w:val="221F1F"/>
          <w:spacing w:val="-9"/>
        </w:rPr>
        <w:t xml:space="preserve"> </w:t>
      </w:r>
      <w:r>
        <w:rPr>
          <w:color w:val="221F1F"/>
        </w:rPr>
        <w:t>cost</w:t>
      </w:r>
      <w:r>
        <w:rPr>
          <w:color w:val="221F1F"/>
          <w:spacing w:val="-9"/>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Tender so determined will be used for price comparison.</w:t>
      </w:r>
    </w:p>
    <w:p w:rsidR="007F6DF9" w:rsidRDefault="00A43FBC">
      <w:pPr>
        <w:pStyle w:val="ListParagraph"/>
        <w:numPr>
          <w:ilvl w:val="1"/>
          <w:numId w:val="218"/>
        </w:numPr>
        <w:tabs>
          <w:tab w:val="left" w:pos="1415"/>
          <w:tab w:val="left" w:pos="1430"/>
        </w:tabs>
        <w:spacing w:before="247" w:line="230" w:lineRule="auto"/>
        <w:ind w:left="1430" w:right="843" w:hanging="579"/>
        <w:jc w:val="both"/>
      </w:pPr>
      <w:r>
        <w:rPr>
          <w:color w:val="221F1F"/>
        </w:rPr>
        <w:t>The</w:t>
      </w:r>
      <w:r>
        <w:rPr>
          <w:color w:val="221F1F"/>
          <w:spacing w:val="-14"/>
        </w:rPr>
        <w:t xml:space="preserve"> </w:t>
      </w:r>
      <w:r>
        <w:rPr>
          <w:color w:val="221F1F"/>
        </w:rPr>
        <w:t>price</w:t>
      </w:r>
      <w:r>
        <w:rPr>
          <w:color w:val="221F1F"/>
          <w:spacing w:val="-14"/>
        </w:rPr>
        <w:t xml:space="preserve"> </w:t>
      </w:r>
      <w:r>
        <w:rPr>
          <w:color w:val="221F1F"/>
        </w:rPr>
        <w:t>to</w:t>
      </w:r>
      <w:r>
        <w:rPr>
          <w:color w:val="221F1F"/>
          <w:spacing w:val="-14"/>
        </w:rPr>
        <w:t xml:space="preserve"> </w:t>
      </w:r>
      <w:r>
        <w:rPr>
          <w:color w:val="221F1F"/>
        </w:rPr>
        <w:t>be</w:t>
      </w:r>
      <w:r>
        <w:rPr>
          <w:color w:val="221F1F"/>
          <w:spacing w:val="-13"/>
        </w:rPr>
        <w:t xml:space="preserve"> </w:t>
      </w:r>
      <w:r>
        <w:rPr>
          <w:color w:val="221F1F"/>
        </w:rPr>
        <w:t>quoted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Form</w:t>
      </w:r>
      <w:r>
        <w:rPr>
          <w:color w:val="221F1F"/>
          <w:spacing w:val="-13"/>
        </w:rPr>
        <w:t xml:space="preserve"> </w:t>
      </w:r>
      <w:r>
        <w:rPr>
          <w:color w:val="221F1F"/>
        </w:rPr>
        <w:t>of</w:t>
      </w:r>
      <w:r>
        <w:rPr>
          <w:color w:val="221F1F"/>
          <w:spacing w:val="-14"/>
        </w:rPr>
        <w:t xml:space="preserve"> </w:t>
      </w:r>
      <w:r>
        <w:rPr>
          <w:color w:val="221F1F"/>
        </w:rPr>
        <w:t>Tender,</w:t>
      </w:r>
      <w:r>
        <w:rPr>
          <w:color w:val="221F1F"/>
          <w:spacing w:val="-14"/>
        </w:rPr>
        <w:t xml:space="preserve"> </w:t>
      </w:r>
      <w:r>
        <w:rPr>
          <w:color w:val="221F1F"/>
        </w:rPr>
        <w:t>in</w:t>
      </w:r>
      <w:r>
        <w:rPr>
          <w:color w:val="221F1F"/>
          <w:spacing w:val="-14"/>
        </w:rPr>
        <w:t xml:space="preserve"> </w:t>
      </w:r>
      <w:r>
        <w:rPr>
          <w:color w:val="221F1F"/>
        </w:rPr>
        <w:t>accordance</w:t>
      </w:r>
      <w:r>
        <w:rPr>
          <w:color w:val="221F1F"/>
          <w:spacing w:val="-13"/>
        </w:rPr>
        <w:t xml:space="preserve"> </w:t>
      </w:r>
      <w:r>
        <w:rPr>
          <w:color w:val="221F1F"/>
        </w:rPr>
        <w:t>with</w:t>
      </w:r>
      <w:r>
        <w:rPr>
          <w:color w:val="221F1F"/>
          <w:spacing w:val="-14"/>
        </w:rPr>
        <w:t xml:space="preserve"> </w:t>
      </w:r>
      <w:r>
        <w:rPr>
          <w:color w:val="221F1F"/>
        </w:rPr>
        <w:t>ITT</w:t>
      </w:r>
      <w:r>
        <w:rPr>
          <w:color w:val="221F1F"/>
          <w:spacing w:val="-14"/>
        </w:rPr>
        <w:t xml:space="preserve"> </w:t>
      </w:r>
      <w:r>
        <w:rPr>
          <w:color w:val="221F1F"/>
        </w:rPr>
        <w:t>12.1,</w:t>
      </w:r>
      <w:r>
        <w:rPr>
          <w:color w:val="221F1F"/>
          <w:spacing w:val="-14"/>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the</w:t>
      </w:r>
      <w:r>
        <w:rPr>
          <w:color w:val="221F1F"/>
          <w:spacing w:val="-14"/>
        </w:rPr>
        <w:t xml:space="preserve"> </w:t>
      </w:r>
      <w:r>
        <w:rPr>
          <w:color w:val="221F1F"/>
        </w:rPr>
        <w:t>total</w:t>
      </w:r>
      <w:r>
        <w:rPr>
          <w:color w:val="221F1F"/>
          <w:spacing w:val="-14"/>
        </w:rPr>
        <w:t xml:space="preserve"> </w:t>
      </w:r>
      <w:r>
        <w:rPr>
          <w:color w:val="221F1F"/>
        </w:rPr>
        <w:t>price</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Tender, including any discounts offered.</w:t>
      </w:r>
    </w:p>
    <w:p w:rsidR="007F6DF9" w:rsidRDefault="00A43FBC">
      <w:pPr>
        <w:pStyle w:val="ListParagraph"/>
        <w:numPr>
          <w:ilvl w:val="1"/>
          <w:numId w:val="218"/>
        </w:numPr>
        <w:tabs>
          <w:tab w:val="left" w:pos="1415"/>
          <w:tab w:val="left" w:pos="1430"/>
        </w:tabs>
        <w:spacing w:before="244" w:line="230" w:lineRule="auto"/>
        <w:ind w:left="1430" w:right="848" w:hanging="579"/>
        <w:jc w:val="both"/>
      </w:pPr>
      <w:r>
        <w:rPr>
          <w:color w:val="221F1F"/>
        </w:rPr>
        <w:t>The Tenderer shall quote any discounts and the methodology for their application in the Form of Tender, in accordance with ITT 12.1.</w:t>
      </w:r>
    </w:p>
    <w:p w:rsidR="007F6DF9" w:rsidRDefault="00A43FBC">
      <w:pPr>
        <w:pStyle w:val="ListParagraph"/>
        <w:numPr>
          <w:ilvl w:val="1"/>
          <w:numId w:val="218"/>
        </w:numPr>
        <w:tabs>
          <w:tab w:val="left" w:pos="1415"/>
          <w:tab w:val="left" w:pos="1430"/>
        </w:tabs>
        <w:spacing w:before="246" w:line="230" w:lineRule="auto"/>
        <w:ind w:left="1430" w:right="847" w:hanging="579"/>
        <w:jc w:val="both"/>
      </w:pPr>
      <w:r>
        <w:rPr>
          <w:color w:val="221F1F"/>
        </w:rPr>
        <w:t>It</w:t>
      </w:r>
      <w:r>
        <w:rPr>
          <w:color w:val="221F1F"/>
          <w:spacing w:val="-11"/>
        </w:rPr>
        <w:t xml:space="preserve"> </w:t>
      </w:r>
      <w:r>
        <w:rPr>
          <w:color w:val="221F1F"/>
        </w:rPr>
        <w:t>will</w:t>
      </w:r>
      <w:r>
        <w:rPr>
          <w:color w:val="221F1F"/>
          <w:spacing w:val="-13"/>
        </w:rPr>
        <w:t xml:space="preserve"> </w:t>
      </w:r>
      <w:r>
        <w:rPr>
          <w:color w:val="221F1F"/>
        </w:rPr>
        <w:t>be</w:t>
      </w:r>
      <w:r>
        <w:rPr>
          <w:color w:val="221F1F"/>
          <w:spacing w:val="-12"/>
        </w:rPr>
        <w:t xml:space="preserve"> </w:t>
      </w:r>
      <w:r>
        <w:rPr>
          <w:color w:val="221F1F"/>
        </w:rPr>
        <w:t>specified</w:t>
      </w:r>
      <w:r>
        <w:rPr>
          <w:color w:val="221F1F"/>
          <w:spacing w:val="-14"/>
        </w:rPr>
        <w:t xml:space="preserve"> </w:t>
      </w:r>
      <w:r>
        <w:rPr>
          <w:color w:val="221F1F"/>
        </w:rPr>
        <w:t>in</w:t>
      </w:r>
      <w:r>
        <w:rPr>
          <w:color w:val="221F1F"/>
          <w:spacing w:val="-11"/>
        </w:rPr>
        <w:t xml:space="preserve"> </w:t>
      </w:r>
      <w:r>
        <w:rPr>
          <w:color w:val="221F1F"/>
        </w:rPr>
        <w:t>the</w:t>
      </w:r>
      <w:r>
        <w:rPr>
          <w:color w:val="221F1F"/>
          <w:spacing w:val="-12"/>
        </w:rPr>
        <w:t xml:space="preserve"> </w:t>
      </w:r>
      <w:r>
        <w:rPr>
          <w:b/>
          <w:color w:val="221F1F"/>
        </w:rPr>
        <w:t>TDS</w:t>
      </w:r>
      <w:r>
        <w:rPr>
          <w:b/>
          <w:color w:val="221F1F"/>
          <w:spacing w:val="-12"/>
        </w:rPr>
        <w:t xml:space="preserve"> </w:t>
      </w:r>
      <w:r>
        <w:rPr>
          <w:color w:val="221F1F"/>
        </w:rPr>
        <w:t>if</w:t>
      </w:r>
      <w:r>
        <w:rPr>
          <w:color w:val="221F1F"/>
          <w:spacing w:val="-11"/>
        </w:rPr>
        <w:t xml:space="preserve"> </w:t>
      </w:r>
      <w:r>
        <w:rPr>
          <w:color w:val="221F1F"/>
        </w:rPr>
        <w:t>the</w:t>
      </w:r>
      <w:r>
        <w:rPr>
          <w:color w:val="221F1F"/>
          <w:spacing w:val="-12"/>
        </w:rPr>
        <w:t xml:space="preserve"> </w:t>
      </w:r>
      <w:r>
        <w:rPr>
          <w:color w:val="221F1F"/>
        </w:rPr>
        <w:t>rates</w:t>
      </w:r>
      <w:r>
        <w:rPr>
          <w:color w:val="221F1F"/>
          <w:spacing w:val="-11"/>
        </w:rPr>
        <w:t xml:space="preserve"> </w:t>
      </w:r>
      <w:r>
        <w:rPr>
          <w:color w:val="221F1F"/>
        </w:rPr>
        <w:t>and</w:t>
      </w:r>
      <w:r>
        <w:rPr>
          <w:color w:val="221F1F"/>
          <w:spacing w:val="-12"/>
        </w:rPr>
        <w:t xml:space="preserve"> </w:t>
      </w:r>
      <w:r>
        <w:rPr>
          <w:color w:val="221F1F"/>
        </w:rPr>
        <w:t>prices</w:t>
      </w:r>
      <w:r>
        <w:rPr>
          <w:color w:val="221F1F"/>
          <w:spacing w:val="-11"/>
        </w:rPr>
        <w:t xml:space="preserve"> </w:t>
      </w:r>
      <w:r>
        <w:rPr>
          <w:color w:val="221F1F"/>
        </w:rPr>
        <w:t>quoted</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Tenderer</w:t>
      </w:r>
      <w:r>
        <w:rPr>
          <w:color w:val="221F1F"/>
          <w:spacing w:val="-11"/>
        </w:rPr>
        <w:t xml:space="preserve"> </w:t>
      </w:r>
      <w:r>
        <w:rPr>
          <w:color w:val="221F1F"/>
        </w:rPr>
        <w:t>are</w:t>
      </w:r>
      <w:r>
        <w:rPr>
          <w:color w:val="221F1F"/>
          <w:spacing w:val="-11"/>
        </w:rPr>
        <w:t xml:space="preserve"> </w:t>
      </w:r>
      <w:r>
        <w:rPr>
          <w:color w:val="221F1F"/>
        </w:rPr>
        <w:t>or</w:t>
      </w:r>
      <w:r>
        <w:rPr>
          <w:color w:val="221F1F"/>
          <w:spacing w:val="-13"/>
        </w:rPr>
        <w:t xml:space="preserve"> </w:t>
      </w:r>
      <w:r>
        <w:rPr>
          <w:color w:val="221F1F"/>
        </w:rPr>
        <w:t>are</w:t>
      </w:r>
      <w:r>
        <w:rPr>
          <w:color w:val="221F1F"/>
          <w:spacing w:val="-11"/>
        </w:rPr>
        <w:t xml:space="preserve"> </w:t>
      </w:r>
      <w:r>
        <w:rPr>
          <w:color w:val="221F1F"/>
        </w:rPr>
        <w:t>not</w:t>
      </w:r>
      <w:r>
        <w:rPr>
          <w:color w:val="221F1F"/>
          <w:spacing w:val="-11"/>
        </w:rPr>
        <w:t xml:space="preserve"> </w:t>
      </w:r>
      <w:r>
        <w:rPr>
          <w:color w:val="221F1F"/>
        </w:rPr>
        <w:t>subject</w:t>
      </w:r>
      <w:r>
        <w:rPr>
          <w:color w:val="221F1F"/>
          <w:spacing w:val="-13"/>
        </w:rPr>
        <w:t xml:space="preserve"> </w:t>
      </w:r>
      <w:r>
        <w:rPr>
          <w:color w:val="221F1F"/>
        </w:rPr>
        <w:t>to</w:t>
      </w:r>
      <w:r>
        <w:rPr>
          <w:color w:val="221F1F"/>
          <w:spacing w:val="-12"/>
        </w:rPr>
        <w:t xml:space="preserve"> </w:t>
      </w:r>
      <w:r>
        <w:rPr>
          <w:color w:val="221F1F"/>
        </w:rPr>
        <w:t>adjustment during</w:t>
      </w:r>
      <w:r>
        <w:rPr>
          <w:color w:val="221F1F"/>
          <w:spacing w:val="-12"/>
        </w:rPr>
        <w:t xml:space="preserve"> </w:t>
      </w:r>
      <w:r>
        <w:rPr>
          <w:color w:val="221F1F"/>
        </w:rPr>
        <w:t>the</w:t>
      </w:r>
      <w:r>
        <w:rPr>
          <w:color w:val="221F1F"/>
          <w:spacing w:val="-11"/>
        </w:rPr>
        <w:t xml:space="preserve"> </w:t>
      </w:r>
      <w:r>
        <w:rPr>
          <w:color w:val="221F1F"/>
        </w:rPr>
        <w:t>performance</w:t>
      </w:r>
      <w:r>
        <w:rPr>
          <w:color w:val="221F1F"/>
          <w:spacing w:val="-11"/>
        </w:rPr>
        <w:t xml:space="preserve"> </w:t>
      </w:r>
      <w:r>
        <w:rPr>
          <w:color w:val="221F1F"/>
        </w:rPr>
        <w:t>of</w:t>
      </w:r>
      <w:r>
        <w:rPr>
          <w:color w:val="221F1F"/>
          <w:spacing w:val="-14"/>
        </w:rPr>
        <w:t xml:space="preserve"> </w:t>
      </w:r>
      <w:r>
        <w:rPr>
          <w:color w:val="221F1F"/>
        </w:rPr>
        <w:t>the</w:t>
      </w:r>
      <w:r>
        <w:rPr>
          <w:color w:val="221F1F"/>
          <w:spacing w:val="-10"/>
        </w:rPr>
        <w:t xml:space="preserve"> </w:t>
      </w:r>
      <w:r>
        <w:rPr>
          <w:color w:val="221F1F"/>
        </w:rPr>
        <w:t>Contract</w:t>
      </w:r>
      <w:r>
        <w:rPr>
          <w:color w:val="221F1F"/>
          <w:spacing w:val="-10"/>
        </w:rPr>
        <w:t xml:space="preserve"> </w:t>
      </w:r>
      <w:r>
        <w:rPr>
          <w:color w:val="221F1F"/>
        </w:rPr>
        <w:t>in</w:t>
      </w:r>
      <w:r>
        <w:rPr>
          <w:color w:val="221F1F"/>
          <w:spacing w:val="-12"/>
        </w:rPr>
        <w:t xml:space="preserve"> </w:t>
      </w:r>
      <w:r>
        <w:rPr>
          <w:color w:val="221F1F"/>
        </w:rPr>
        <w:t>accordance</w:t>
      </w:r>
      <w:r>
        <w:rPr>
          <w:color w:val="221F1F"/>
          <w:spacing w:val="-11"/>
        </w:rPr>
        <w:t xml:space="preserve"> </w:t>
      </w:r>
      <w:r>
        <w:rPr>
          <w:color w:val="221F1F"/>
        </w:rPr>
        <w:t>with</w:t>
      </w:r>
      <w:r>
        <w:rPr>
          <w:color w:val="221F1F"/>
          <w:spacing w:val="-11"/>
        </w:rPr>
        <w:t xml:space="preserve"> </w:t>
      </w:r>
      <w:r>
        <w:rPr>
          <w:color w:val="221F1F"/>
        </w:rPr>
        <w:t>the</w:t>
      </w:r>
      <w:r>
        <w:rPr>
          <w:color w:val="221F1F"/>
          <w:spacing w:val="-11"/>
        </w:rPr>
        <w:t xml:space="preserve"> </w:t>
      </w:r>
      <w:r>
        <w:rPr>
          <w:color w:val="221F1F"/>
        </w:rPr>
        <w:t>provisions</w:t>
      </w:r>
      <w:r>
        <w:rPr>
          <w:color w:val="221F1F"/>
          <w:spacing w:val="-11"/>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Conditions</w:t>
      </w:r>
      <w:r>
        <w:rPr>
          <w:color w:val="221F1F"/>
          <w:spacing w:val="-10"/>
        </w:rPr>
        <w:t xml:space="preserve"> </w:t>
      </w:r>
      <w:r>
        <w:rPr>
          <w:color w:val="221F1F"/>
        </w:rPr>
        <w:t>of</w:t>
      </w:r>
      <w:r>
        <w:rPr>
          <w:color w:val="221F1F"/>
          <w:spacing w:val="-11"/>
        </w:rPr>
        <w:t xml:space="preserve"> </w:t>
      </w:r>
      <w:r>
        <w:rPr>
          <w:color w:val="221F1F"/>
        </w:rPr>
        <w:t>Contract,</w:t>
      </w:r>
      <w:r>
        <w:rPr>
          <w:color w:val="221F1F"/>
          <w:spacing w:val="-11"/>
        </w:rPr>
        <w:t xml:space="preserve"> </w:t>
      </w:r>
      <w:r>
        <w:rPr>
          <w:color w:val="221F1F"/>
        </w:rPr>
        <w:t xml:space="preserve">except </w:t>
      </w:r>
      <w:proofErr w:type="spellStart"/>
      <w:r>
        <w:rPr>
          <w:color w:val="221F1F"/>
        </w:rPr>
        <w:t>incases</w:t>
      </w:r>
      <w:proofErr w:type="spellEnd"/>
      <w:r>
        <w:rPr>
          <w:color w:val="221F1F"/>
        </w:rPr>
        <w:t xml:space="preserve"> where the contract is subject to fluctuations and adjustments, not fixed price. In such a case, the Tenderer shall furnish the indices and weightings for the price adjustment formulae in the Schedule of Adjustment Data and the Procuring Entity may require the Tenderer to justify its proposed indices and </w:t>
      </w:r>
      <w:r>
        <w:rPr>
          <w:color w:val="221F1F"/>
          <w:spacing w:val="-2"/>
        </w:rPr>
        <w:t>weightings.</w:t>
      </w:r>
    </w:p>
    <w:p w:rsidR="007F6DF9" w:rsidRDefault="00A43FBC">
      <w:pPr>
        <w:pStyle w:val="ListParagraph"/>
        <w:numPr>
          <w:ilvl w:val="1"/>
          <w:numId w:val="218"/>
        </w:numPr>
        <w:tabs>
          <w:tab w:val="left" w:pos="1407"/>
          <w:tab w:val="left" w:pos="1411"/>
        </w:tabs>
        <w:spacing w:before="245" w:line="230" w:lineRule="auto"/>
        <w:ind w:left="1411" w:right="848" w:hanging="563"/>
        <w:jc w:val="both"/>
      </w:pPr>
      <w:r>
        <w:rPr>
          <w:color w:val="221F1F"/>
        </w:rPr>
        <w:t>Where tenders are being invited for individual lots (contracts)or for any combination of lots (packages), tenderers wishing to offer discounts for the award of more than one Contract shall specify in their Tender</w:t>
      </w:r>
      <w:r>
        <w:rPr>
          <w:color w:val="221F1F"/>
          <w:spacing w:val="-4"/>
        </w:rPr>
        <w:t xml:space="preserve"> </w:t>
      </w:r>
      <w:r>
        <w:rPr>
          <w:color w:val="221F1F"/>
        </w:rPr>
        <w:t xml:space="preserve">the price reductions applicable to each package, or alternatively, to individual Contracts within the package. Discounts shall be submitted in accordance with ITT 14.4, provided the Tenders for all lots (contracts) are opened at the </w:t>
      </w:r>
      <w:proofErr w:type="spellStart"/>
      <w:r>
        <w:rPr>
          <w:color w:val="221F1F"/>
        </w:rPr>
        <w:t>sametime</w:t>
      </w:r>
      <w:proofErr w:type="spellEnd"/>
      <w:r>
        <w:rPr>
          <w:color w:val="221F1F"/>
        </w:rPr>
        <w:t>.</w:t>
      </w:r>
    </w:p>
    <w:p w:rsidR="007F6DF9" w:rsidRDefault="007F6DF9">
      <w:pPr>
        <w:pStyle w:val="ListParagraph"/>
        <w:spacing w:line="230" w:lineRule="auto"/>
        <w:jc w:val="both"/>
        <w:sectPr w:rsidR="007F6DF9">
          <w:pgSz w:w="11920" w:h="16850"/>
          <w:pgMar w:top="360" w:right="0" w:bottom="620" w:left="0" w:header="0" w:footer="437" w:gutter="0"/>
          <w:pgNumType w:start="6"/>
          <w:cols w:space="720"/>
        </w:sectPr>
      </w:pPr>
    </w:p>
    <w:p w:rsidR="007F6DF9" w:rsidRDefault="007F6DF9">
      <w:pPr>
        <w:pStyle w:val="BodyText"/>
      </w:pPr>
    </w:p>
    <w:p w:rsidR="007F6DF9" w:rsidRDefault="007F6DF9">
      <w:pPr>
        <w:pStyle w:val="BodyText"/>
        <w:spacing w:before="43"/>
      </w:pPr>
    </w:p>
    <w:p w:rsidR="007F6DF9" w:rsidRDefault="00A43FBC">
      <w:pPr>
        <w:pStyle w:val="ListParagraph"/>
        <w:numPr>
          <w:ilvl w:val="1"/>
          <w:numId w:val="218"/>
        </w:numPr>
        <w:tabs>
          <w:tab w:val="left" w:pos="1396"/>
          <w:tab w:val="left" w:pos="1399"/>
        </w:tabs>
        <w:spacing w:before="1" w:line="230" w:lineRule="auto"/>
        <w:ind w:left="1399" w:right="834" w:hanging="560"/>
        <w:jc w:val="both"/>
      </w:pPr>
      <w:r>
        <w:rPr>
          <w:color w:val="221F1F"/>
        </w:rPr>
        <w:t>All duties, taxes, and other levies payable by the Contractor under the Contract, or for any other cause, as of the date 30 days prior to the deadline for submission of Tenders, shall be included in the rates and prices and the total Tender Price submitted by the Tenderer.</w:t>
      </w:r>
    </w:p>
    <w:p w:rsidR="007F6DF9" w:rsidRDefault="007F6DF9">
      <w:pPr>
        <w:pStyle w:val="BodyText"/>
        <w:spacing w:before="25"/>
      </w:pPr>
    </w:p>
    <w:p w:rsidR="007F6DF9" w:rsidRDefault="00A43FBC">
      <w:pPr>
        <w:pStyle w:val="Heading9"/>
        <w:numPr>
          <w:ilvl w:val="1"/>
          <w:numId w:val="217"/>
        </w:numPr>
        <w:tabs>
          <w:tab w:val="left" w:pos="1397"/>
        </w:tabs>
        <w:ind w:left="1397" w:hanging="557"/>
        <w:jc w:val="both"/>
      </w:pPr>
      <w:bookmarkStart w:id="17" w:name="_bookmark16"/>
      <w:bookmarkEnd w:id="17"/>
      <w:r>
        <w:rPr>
          <w:color w:val="221F1F"/>
        </w:rPr>
        <w:t>Currencies</w:t>
      </w:r>
      <w:r>
        <w:rPr>
          <w:color w:val="221F1F"/>
          <w:spacing w:val="-13"/>
        </w:rPr>
        <w:t xml:space="preserve"> </w:t>
      </w:r>
      <w:r>
        <w:rPr>
          <w:color w:val="221F1F"/>
        </w:rPr>
        <w:t>of</w:t>
      </w:r>
      <w:r>
        <w:rPr>
          <w:color w:val="221F1F"/>
          <w:spacing w:val="-8"/>
        </w:rPr>
        <w:t xml:space="preserve"> </w:t>
      </w:r>
      <w:r>
        <w:rPr>
          <w:color w:val="221F1F"/>
        </w:rPr>
        <w:t>Tender</w:t>
      </w:r>
      <w:r>
        <w:rPr>
          <w:color w:val="221F1F"/>
          <w:spacing w:val="-14"/>
        </w:rPr>
        <w:t xml:space="preserve"> </w:t>
      </w:r>
      <w:r>
        <w:rPr>
          <w:color w:val="221F1F"/>
        </w:rPr>
        <w:t>and</w:t>
      </w:r>
      <w:r>
        <w:rPr>
          <w:color w:val="221F1F"/>
          <w:spacing w:val="-9"/>
        </w:rPr>
        <w:t xml:space="preserve"> </w:t>
      </w:r>
      <w:r>
        <w:rPr>
          <w:color w:val="221F1F"/>
          <w:spacing w:val="-2"/>
        </w:rPr>
        <w:t>Payment</w:t>
      </w:r>
    </w:p>
    <w:p w:rsidR="007F6DF9" w:rsidRDefault="00A43FBC">
      <w:pPr>
        <w:pStyle w:val="ListParagraph"/>
        <w:numPr>
          <w:ilvl w:val="1"/>
          <w:numId w:val="217"/>
        </w:numPr>
        <w:tabs>
          <w:tab w:val="left" w:pos="1394"/>
        </w:tabs>
        <w:spacing w:before="119"/>
        <w:ind w:left="1394" w:hanging="559"/>
        <w:jc w:val="both"/>
        <w:rPr>
          <w:b/>
        </w:rPr>
      </w:pPr>
      <w:r>
        <w:rPr>
          <w:color w:val="221F1F"/>
        </w:rPr>
        <w:t>The</w:t>
      </w:r>
      <w:r>
        <w:rPr>
          <w:color w:val="221F1F"/>
          <w:spacing w:val="-7"/>
        </w:rPr>
        <w:t xml:space="preserve"> </w:t>
      </w:r>
      <w:r>
        <w:rPr>
          <w:color w:val="221F1F"/>
        </w:rPr>
        <w:t>currency(</w:t>
      </w:r>
      <w:proofErr w:type="spellStart"/>
      <w:r>
        <w:rPr>
          <w:color w:val="221F1F"/>
        </w:rPr>
        <w:t>ies</w:t>
      </w:r>
      <w:proofErr w:type="spellEnd"/>
      <w:r>
        <w:rPr>
          <w:color w:val="221F1F"/>
        </w:rPr>
        <w:t>)</w:t>
      </w:r>
      <w:r>
        <w:rPr>
          <w:color w:val="221F1F"/>
          <w:spacing w:val="-4"/>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Tender</w:t>
      </w:r>
      <w:r>
        <w:rPr>
          <w:color w:val="221F1F"/>
          <w:spacing w:val="-10"/>
        </w:rPr>
        <w:t xml:space="preserve"> </w:t>
      </w:r>
      <w:r>
        <w:rPr>
          <w:color w:val="221F1F"/>
        </w:rPr>
        <w:t>and</w:t>
      </w:r>
      <w:r>
        <w:rPr>
          <w:color w:val="221F1F"/>
          <w:spacing w:val="-6"/>
        </w:rPr>
        <w:t xml:space="preserve"> </w:t>
      </w:r>
      <w:r>
        <w:rPr>
          <w:color w:val="221F1F"/>
        </w:rPr>
        <w:t>the</w:t>
      </w:r>
      <w:r>
        <w:rPr>
          <w:color w:val="221F1F"/>
          <w:spacing w:val="-6"/>
        </w:rPr>
        <w:t xml:space="preserve"> </w:t>
      </w:r>
      <w:r>
        <w:rPr>
          <w:color w:val="221F1F"/>
        </w:rPr>
        <w:t>currency(</w:t>
      </w:r>
      <w:proofErr w:type="spellStart"/>
      <w:r>
        <w:rPr>
          <w:color w:val="221F1F"/>
        </w:rPr>
        <w:t>ies</w:t>
      </w:r>
      <w:proofErr w:type="spellEnd"/>
      <w:r>
        <w:rPr>
          <w:color w:val="221F1F"/>
        </w:rPr>
        <w:t>)</w:t>
      </w:r>
      <w:r>
        <w:rPr>
          <w:color w:val="221F1F"/>
          <w:spacing w:val="-4"/>
        </w:rPr>
        <w:t xml:space="preserve"> </w:t>
      </w:r>
      <w:r>
        <w:rPr>
          <w:color w:val="221F1F"/>
        </w:rPr>
        <w:t>of</w:t>
      </w:r>
      <w:r>
        <w:rPr>
          <w:color w:val="221F1F"/>
          <w:spacing w:val="-4"/>
        </w:rPr>
        <w:t xml:space="preserve"> </w:t>
      </w:r>
      <w:r>
        <w:rPr>
          <w:color w:val="221F1F"/>
        </w:rPr>
        <w:t>payments</w:t>
      </w:r>
      <w:r>
        <w:rPr>
          <w:color w:val="221F1F"/>
          <w:spacing w:val="-6"/>
        </w:rPr>
        <w:t xml:space="preserve"> </w:t>
      </w:r>
      <w:r>
        <w:rPr>
          <w:color w:val="221F1F"/>
        </w:rPr>
        <w:t>shall</w:t>
      </w:r>
      <w:r>
        <w:rPr>
          <w:color w:val="221F1F"/>
          <w:spacing w:val="-3"/>
        </w:rPr>
        <w:t xml:space="preserve"> </w:t>
      </w:r>
      <w:r>
        <w:rPr>
          <w:color w:val="221F1F"/>
        </w:rPr>
        <w:t>be</w:t>
      </w:r>
      <w:r>
        <w:rPr>
          <w:color w:val="221F1F"/>
          <w:spacing w:val="-5"/>
        </w:rPr>
        <w:t xml:space="preserve"> </w:t>
      </w:r>
      <w:r>
        <w:rPr>
          <w:color w:val="221F1F"/>
        </w:rPr>
        <w:t>the</w:t>
      </w:r>
      <w:r>
        <w:rPr>
          <w:color w:val="221F1F"/>
          <w:spacing w:val="-4"/>
        </w:rPr>
        <w:t xml:space="preserve"> </w:t>
      </w:r>
      <w:r>
        <w:rPr>
          <w:color w:val="221F1F"/>
          <w:spacing w:val="-2"/>
        </w:rPr>
        <w:t>same</w:t>
      </w:r>
      <w:r>
        <w:rPr>
          <w:b/>
          <w:color w:val="221F1F"/>
          <w:spacing w:val="-2"/>
        </w:rPr>
        <w:t>.</w:t>
      </w:r>
    </w:p>
    <w:p w:rsidR="007F6DF9" w:rsidRDefault="00A43FBC">
      <w:pPr>
        <w:pStyle w:val="ListParagraph"/>
        <w:numPr>
          <w:ilvl w:val="1"/>
          <w:numId w:val="217"/>
        </w:numPr>
        <w:tabs>
          <w:tab w:val="left" w:pos="1393"/>
          <w:tab w:val="left" w:pos="1397"/>
        </w:tabs>
        <w:spacing w:before="123" w:line="230" w:lineRule="auto"/>
        <w:ind w:left="1397" w:right="834" w:hanging="563"/>
        <w:jc w:val="both"/>
      </w:pPr>
      <w:r>
        <w:rPr>
          <w:color w:val="221F1F"/>
        </w:rPr>
        <w:t>Tenderers</w:t>
      </w:r>
      <w:r>
        <w:rPr>
          <w:color w:val="221F1F"/>
          <w:spacing w:val="-6"/>
        </w:rPr>
        <w:t xml:space="preserve"> </w:t>
      </w:r>
      <w:r>
        <w:rPr>
          <w:color w:val="221F1F"/>
        </w:rPr>
        <w:t>shall</w:t>
      </w:r>
      <w:r>
        <w:rPr>
          <w:color w:val="221F1F"/>
          <w:spacing w:val="-5"/>
        </w:rPr>
        <w:t xml:space="preserve"> </w:t>
      </w:r>
      <w:r>
        <w:rPr>
          <w:color w:val="221F1F"/>
        </w:rPr>
        <w:t>quote</w:t>
      </w:r>
      <w:r>
        <w:rPr>
          <w:color w:val="221F1F"/>
          <w:spacing w:val="-5"/>
        </w:rPr>
        <w:t xml:space="preserve"> </w:t>
      </w:r>
      <w:r>
        <w:rPr>
          <w:color w:val="221F1F"/>
        </w:rPr>
        <w:t>entirely</w:t>
      </w:r>
      <w:r>
        <w:rPr>
          <w:color w:val="221F1F"/>
          <w:spacing w:val="-5"/>
        </w:rPr>
        <w:t xml:space="preserve"> </w:t>
      </w:r>
      <w:r>
        <w:rPr>
          <w:color w:val="221F1F"/>
        </w:rPr>
        <w:t>in</w:t>
      </w:r>
      <w:r>
        <w:rPr>
          <w:color w:val="221F1F"/>
          <w:spacing w:val="-6"/>
        </w:rPr>
        <w:t xml:space="preserve"> </w:t>
      </w:r>
      <w:r>
        <w:rPr>
          <w:color w:val="221F1F"/>
        </w:rPr>
        <w:t>Kenya</w:t>
      </w:r>
      <w:r>
        <w:rPr>
          <w:color w:val="221F1F"/>
          <w:spacing w:val="-6"/>
        </w:rPr>
        <w:t xml:space="preserve"> </w:t>
      </w:r>
      <w:r>
        <w:rPr>
          <w:color w:val="221F1F"/>
        </w:rPr>
        <w:t>Shillings.</w:t>
      </w:r>
      <w:r>
        <w:rPr>
          <w:color w:val="221F1F"/>
          <w:spacing w:val="-5"/>
        </w:rPr>
        <w:t xml:space="preserve"> </w:t>
      </w:r>
      <w:r>
        <w:rPr>
          <w:color w:val="221F1F"/>
        </w:rPr>
        <w:t>The</w:t>
      </w:r>
      <w:r>
        <w:rPr>
          <w:color w:val="221F1F"/>
          <w:spacing w:val="-9"/>
        </w:rPr>
        <w:t xml:space="preserve"> </w:t>
      </w:r>
      <w:r>
        <w:rPr>
          <w:color w:val="221F1F"/>
        </w:rPr>
        <w:t>unit</w:t>
      </w:r>
      <w:r>
        <w:rPr>
          <w:color w:val="221F1F"/>
          <w:spacing w:val="-7"/>
        </w:rPr>
        <w:t xml:space="preserve"> </w:t>
      </w:r>
      <w:r>
        <w:rPr>
          <w:color w:val="221F1F"/>
        </w:rPr>
        <w:t>rates</w:t>
      </w:r>
      <w:r>
        <w:rPr>
          <w:color w:val="221F1F"/>
          <w:spacing w:val="-5"/>
        </w:rPr>
        <w:t xml:space="preserve"> </w:t>
      </w:r>
      <w:r>
        <w:rPr>
          <w:color w:val="221F1F"/>
        </w:rPr>
        <w:t>and</w:t>
      </w:r>
      <w:r>
        <w:rPr>
          <w:color w:val="221F1F"/>
          <w:spacing w:val="-8"/>
        </w:rPr>
        <w:t xml:space="preserve"> </w:t>
      </w:r>
      <w:r>
        <w:rPr>
          <w:color w:val="221F1F"/>
        </w:rPr>
        <w:t>the</w:t>
      </w:r>
      <w:r>
        <w:rPr>
          <w:color w:val="221F1F"/>
          <w:spacing w:val="-6"/>
        </w:rPr>
        <w:t xml:space="preserve"> </w:t>
      </w:r>
      <w:r>
        <w:rPr>
          <w:color w:val="221F1F"/>
        </w:rPr>
        <w:t>prices</w:t>
      </w:r>
      <w:r>
        <w:rPr>
          <w:color w:val="221F1F"/>
          <w:spacing w:val="-5"/>
        </w:rPr>
        <w:t xml:space="preserve"> </w:t>
      </w:r>
      <w:r>
        <w:rPr>
          <w:color w:val="221F1F"/>
        </w:rPr>
        <w:t>shall</w:t>
      </w:r>
      <w:r>
        <w:rPr>
          <w:color w:val="221F1F"/>
          <w:spacing w:val="-4"/>
        </w:rPr>
        <w:t xml:space="preserve"> </w:t>
      </w:r>
      <w:r>
        <w:rPr>
          <w:color w:val="221F1F"/>
        </w:rPr>
        <w:t>be</w:t>
      </w:r>
      <w:r>
        <w:rPr>
          <w:color w:val="221F1F"/>
          <w:spacing w:val="-6"/>
        </w:rPr>
        <w:t xml:space="preserve"> </w:t>
      </w:r>
      <w:r>
        <w:rPr>
          <w:color w:val="221F1F"/>
        </w:rPr>
        <w:t>quoted</w:t>
      </w:r>
      <w:r>
        <w:rPr>
          <w:color w:val="221F1F"/>
          <w:spacing w:val="-5"/>
        </w:rPr>
        <w:t xml:space="preserve"> </w:t>
      </w:r>
      <w:r>
        <w:rPr>
          <w:color w:val="221F1F"/>
        </w:rPr>
        <w:t>by</w:t>
      </w:r>
      <w:r>
        <w:rPr>
          <w:color w:val="221F1F"/>
          <w:spacing w:val="-8"/>
        </w:rPr>
        <w:t xml:space="preserve"> </w:t>
      </w:r>
      <w:r>
        <w:rPr>
          <w:color w:val="221F1F"/>
        </w:rPr>
        <w:t>the</w:t>
      </w:r>
      <w:r>
        <w:rPr>
          <w:color w:val="221F1F"/>
          <w:spacing w:val="-6"/>
        </w:rPr>
        <w:t xml:space="preserve"> </w:t>
      </w:r>
      <w:r>
        <w:rPr>
          <w:color w:val="221F1F"/>
        </w:rPr>
        <w:t>Tenderer in the Bill of Quantities, entirely in Kenya shillings.</w:t>
      </w:r>
    </w:p>
    <w:p w:rsidR="007F6DF9" w:rsidRDefault="00A43FBC">
      <w:pPr>
        <w:pStyle w:val="ListParagraph"/>
        <w:numPr>
          <w:ilvl w:val="2"/>
          <w:numId w:val="217"/>
        </w:numPr>
        <w:tabs>
          <w:tab w:val="left" w:pos="1786"/>
          <w:tab w:val="left" w:pos="1795"/>
        </w:tabs>
        <w:spacing w:line="230" w:lineRule="auto"/>
        <w:ind w:right="834" w:hanging="389"/>
        <w:jc w:val="both"/>
      </w:pPr>
      <w:r>
        <w:rPr>
          <w:color w:val="221F1F"/>
        </w:rPr>
        <w:t>A Tenderer expecting to incur expenditures in other currencies for inputs to the Works supplied from outside</w:t>
      </w:r>
      <w:r>
        <w:rPr>
          <w:color w:val="221F1F"/>
          <w:spacing w:val="-14"/>
        </w:rPr>
        <w:t xml:space="preserve"> </w:t>
      </w:r>
      <w:r>
        <w:rPr>
          <w:color w:val="221F1F"/>
        </w:rPr>
        <w:t>Kenya</w:t>
      </w:r>
      <w:r>
        <w:rPr>
          <w:color w:val="221F1F"/>
          <w:spacing w:val="-14"/>
        </w:rPr>
        <w:t xml:space="preserve"> </w:t>
      </w:r>
      <w:r>
        <w:rPr>
          <w:color w:val="221F1F"/>
        </w:rPr>
        <w:t>(referred</w:t>
      </w:r>
      <w:r>
        <w:rPr>
          <w:color w:val="221F1F"/>
          <w:spacing w:val="-13"/>
        </w:rPr>
        <w:t xml:space="preserve"> </w:t>
      </w:r>
      <w:r>
        <w:rPr>
          <w:color w:val="221F1F"/>
        </w:rPr>
        <w:t>to</w:t>
      </w:r>
      <w:r>
        <w:rPr>
          <w:color w:val="221F1F"/>
          <w:spacing w:val="-14"/>
        </w:rPr>
        <w:t xml:space="preserve"> </w:t>
      </w:r>
      <w:r>
        <w:rPr>
          <w:color w:val="221F1F"/>
        </w:rPr>
        <w:t>as</w:t>
      </w:r>
      <w:r>
        <w:rPr>
          <w:color w:val="221F1F"/>
          <w:spacing w:val="-13"/>
        </w:rPr>
        <w:t xml:space="preserve"> </w:t>
      </w:r>
      <w:r>
        <w:rPr>
          <w:color w:val="221F1F"/>
        </w:rPr>
        <w:t>“the</w:t>
      </w:r>
      <w:r>
        <w:rPr>
          <w:color w:val="221F1F"/>
          <w:spacing w:val="-14"/>
        </w:rPr>
        <w:t xml:space="preserve"> </w:t>
      </w:r>
      <w:r>
        <w:rPr>
          <w:color w:val="221F1F"/>
        </w:rPr>
        <w:t>foreign</w:t>
      </w:r>
      <w:r>
        <w:rPr>
          <w:color w:val="221F1F"/>
          <w:spacing w:val="-13"/>
        </w:rPr>
        <w:t xml:space="preserve"> </w:t>
      </w:r>
      <w:r>
        <w:rPr>
          <w:color w:val="221F1F"/>
        </w:rPr>
        <w:t>currency</w:t>
      </w:r>
      <w:r>
        <w:rPr>
          <w:color w:val="221F1F"/>
          <w:spacing w:val="-13"/>
        </w:rPr>
        <w:t xml:space="preserve"> </w:t>
      </w:r>
      <w:r>
        <w:rPr>
          <w:color w:val="221F1F"/>
        </w:rPr>
        <w:t>requirements”)</w:t>
      </w:r>
      <w:r>
        <w:rPr>
          <w:color w:val="221F1F"/>
          <w:spacing w:val="-12"/>
        </w:rPr>
        <w:t xml:space="preserve"> </w:t>
      </w:r>
      <w:r>
        <w:rPr>
          <w:color w:val="221F1F"/>
        </w:rPr>
        <w:t>shall</w:t>
      </w:r>
      <w:r>
        <w:rPr>
          <w:color w:val="221F1F"/>
          <w:spacing w:val="-13"/>
        </w:rPr>
        <w:t xml:space="preserve"> </w:t>
      </w:r>
      <w:r>
        <w:rPr>
          <w:color w:val="221F1F"/>
        </w:rPr>
        <w:t>(if</w:t>
      </w:r>
      <w:r>
        <w:rPr>
          <w:color w:val="221F1F"/>
          <w:spacing w:val="-13"/>
        </w:rPr>
        <w:t xml:space="preserve"> </w:t>
      </w:r>
      <w:r>
        <w:rPr>
          <w:color w:val="221F1F"/>
        </w:rPr>
        <w:t>so</w:t>
      </w:r>
      <w:r>
        <w:rPr>
          <w:color w:val="221F1F"/>
          <w:spacing w:val="-14"/>
        </w:rPr>
        <w:t xml:space="preserve"> </w:t>
      </w:r>
      <w:r>
        <w:rPr>
          <w:color w:val="221F1F"/>
        </w:rPr>
        <w:t>allowed</w:t>
      </w:r>
      <w:r>
        <w:rPr>
          <w:color w:val="221F1F"/>
          <w:spacing w:val="-12"/>
        </w:rPr>
        <w:t xml:space="preserve"> </w:t>
      </w:r>
      <w:r>
        <w:rPr>
          <w:color w:val="221F1F"/>
        </w:rPr>
        <w:t>in</w:t>
      </w:r>
      <w:r>
        <w:rPr>
          <w:color w:val="221F1F"/>
          <w:spacing w:val="-14"/>
        </w:rPr>
        <w:t xml:space="preserve"> </w:t>
      </w:r>
      <w:r>
        <w:rPr>
          <w:color w:val="221F1F"/>
        </w:rPr>
        <w:t>the</w:t>
      </w:r>
      <w:r>
        <w:rPr>
          <w:color w:val="221F1F"/>
          <w:spacing w:val="-13"/>
        </w:rPr>
        <w:t xml:space="preserve"> </w:t>
      </w:r>
      <w:r>
        <w:rPr>
          <w:b/>
          <w:color w:val="221F1F"/>
        </w:rPr>
        <w:t>TDS</w:t>
      </w:r>
      <w:r>
        <w:rPr>
          <w:color w:val="221F1F"/>
        </w:rPr>
        <w:t>)</w:t>
      </w:r>
      <w:r>
        <w:rPr>
          <w:color w:val="221F1F"/>
          <w:spacing w:val="-13"/>
        </w:rPr>
        <w:t xml:space="preserve"> </w:t>
      </w:r>
      <w:r>
        <w:rPr>
          <w:color w:val="221F1F"/>
        </w:rPr>
        <w:t>indicate in</w:t>
      </w:r>
      <w:r>
        <w:rPr>
          <w:color w:val="221F1F"/>
          <w:spacing w:val="-4"/>
        </w:rPr>
        <w:t xml:space="preserve"> </w:t>
      </w:r>
      <w:r>
        <w:rPr>
          <w:color w:val="221F1F"/>
        </w:rPr>
        <w:t>the</w:t>
      </w:r>
      <w:r>
        <w:rPr>
          <w:color w:val="221F1F"/>
          <w:spacing w:val="-4"/>
        </w:rPr>
        <w:t xml:space="preserve"> </w:t>
      </w:r>
      <w:r>
        <w:rPr>
          <w:color w:val="221F1F"/>
        </w:rPr>
        <w:t>Appendix</w:t>
      </w:r>
      <w:r>
        <w:rPr>
          <w:color w:val="221F1F"/>
          <w:spacing w:val="-4"/>
        </w:rPr>
        <w:t xml:space="preserve"> </w:t>
      </w:r>
      <w:r>
        <w:rPr>
          <w:color w:val="221F1F"/>
        </w:rPr>
        <w:t>to</w:t>
      </w:r>
      <w:r>
        <w:rPr>
          <w:color w:val="221F1F"/>
          <w:spacing w:val="-4"/>
        </w:rPr>
        <w:t xml:space="preserve"> </w:t>
      </w:r>
      <w:r>
        <w:rPr>
          <w:color w:val="221F1F"/>
        </w:rPr>
        <w:t>Tender</w:t>
      </w:r>
      <w:r>
        <w:rPr>
          <w:color w:val="221F1F"/>
          <w:spacing w:val="-9"/>
        </w:rPr>
        <w:t xml:space="preserve"> </w:t>
      </w:r>
      <w:r>
        <w:rPr>
          <w:color w:val="221F1F"/>
        </w:rPr>
        <w:t>the</w:t>
      </w:r>
      <w:r>
        <w:rPr>
          <w:color w:val="221F1F"/>
          <w:spacing w:val="-4"/>
        </w:rPr>
        <w:t xml:space="preserve"> </w:t>
      </w:r>
      <w:r>
        <w:rPr>
          <w:color w:val="221F1F"/>
        </w:rPr>
        <w:t>percentage(s)</w:t>
      </w:r>
      <w:r>
        <w:rPr>
          <w:color w:val="221F1F"/>
          <w:spacing w:val="-4"/>
        </w:rPr>
        <w:t xml:space="preserve"> </w:t>
      </w:r>
      <w:r>
        <w:rPr>
          <w:color w:val="221F1F"/>
        </w:rPr>
        <w:t>of</w:t>
      </w:r>
      <w:r>
        <w:rPr>
          <w:color w:val="221F1F"/>
          <w:spacing w:val="-6"/>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Price</w:t>
      </w:r>
      <w:r>
        <w:rPr>
          <w:color w:val="221F1F"/>
          <w:spacing w:val="-6"/>
        </w:rPr>
        <w:t xml:space="preserve"> </w:t>
      </w:r>
      <w:r>
        <w:rPr>
          <w:color w:val="221F1F"/>
        </w:rPr>
        <w:t>(excluding</w:t>
      </w:r>
      <w:r>
        <w:rPr>
          <w:color w:val="221F1F"/>
          <w:spacing w:val="-4"/>
        </w:rPr>
        <w:t xml:space="preserve"> </w:t>
      </w:r>
      <w:r>
        <w:rPr>
          <w:color w:val="221F1F"/>
        </w:rPr>
        <w:t>Provisional</w:t>
      </w:r>
      <w:r>
        <w:rPr>
          <w:color w:val="221F1F"/>
          <w:spacing w:val="-3"/>
        </w:rPr>
        <w:t xml:space="preserve"> </w:t>
      </w:r>
      <w:r>
        <w:rPr>
          <w:color w:val="221F1F"/>
        </w:rPr>
        <w:t>Sums),</w:t>
      </w:r>
      <w:r>
        <w:rPr>
          <w:color w:val="221F1F"/>
          <w:spacing w:val="-4"/>
        </w:rPr>
        <w:t xml:space="preserve"> </w:t>
      </w:r>
      <w:r>
        <w:rPr>
          <w:color w:val="221F1F"/>
        </w:rPr>
        <w:t>needed</w:t>
      </w:r>
      <w:r>
        <w:rPr>
          <w:color w:val="221F1F"/>
          <w:spacing w:val="-4"/>
        </w:rPr>
        <w:t xml:space="preserve"> </w:t>
      </w:r>
      <w:r>
        <w:rPr>
          <w:color w:val="221F1F"/>
        </w:rPr>
        <w:t>by the Tenderer for</w:t>
      </w:r>
      <w:r>
        <w:rPr>
          <w:color w:val="221F1F"/>
          <w:spacing w:val="-1"/>
        </w:rPr>
        <w:t xml:space="preserve"> </w:t>
      </w:r>
      <w:r>
        <w:rPr>
          <w:color w:val="221F1F"/>
        </w:rPr>
        <w:t>the payment of</w:t>
      </w:r>
      <w:r>
        <w:rPr>
          <w:color w:val="221F1F"/>
          <w:spacing w:val="-1"/>
        </w:rPr>
        <w:t xml:space="preserve"> </w:t>
      </w:r>
      <w:r>
        <w:rPr>
          <w:color w:val="221F1F"/>
        </w:rPr>
        <w:t>such</w:t>
      </w:r>
      <w:r>
        <w:rPr>
          <w:color w:val="221F1F"/>
          <w:spacing w:val="-1"/>
        </w:rPr>
        <w:t xml:space="preserve"> </w:t>
      </w:r>
      <w:r>
        <w:rPr>
          <w:color w:val="221F1F"/>
        </w:rPr>
        <w:t>foreign</w:t>
      </w:r>
      <w:r>
        <w:rPr>
          <w:color w:val="221F1F"/>
          <w:spacing w:val="-1"/>
        </w:rPr>
        <w:t xml:space="preserve"> </w:t>
      </w:r>
      <w:r>
        <w:rPr>
          <w:color w:val="221F1F"/>
        </w:rPr>
        <w:t>currency</w:t>
      </w:r>
      <w:r>
        <w:rPr>
          <w:color w:val="221F1F"/>
          <w:spacing w:val="-1"/>
        </w:rPr>
        <w:t xml:space="preserve"> </w:t>
      </w:r>
      <w:r>
        <w:rPr>
          <w:color w:val="221F1F"/>
        </w:rPr>
        <w:t>requirements, limited to no</w:t>
      </w:r>
      <w:r>
        <w:rPr>
          <w:color w:val="221F1F"/>
          <w:spacing w:val="-1"/>
        </w:rPr>
        <w:t xml:space="preserve"> </w:t>
      </w:r>
      <w:r>
        <w:rPr>
          <w:color w:val="221F1F"/>
        </w:rPr>
        <w:t xml:space="preserve">more than two foreign </w:t>
      </w:r>
      <w:r>
        <w:rPr>
          <w:color w:val="221F1F"/>
          <w:spacing w:val="-2"/>
        </w:rPr>
        <w:t>currencies.</w:t>
      </w:r>
    </w:p>
    <w:p w:rsidR="007F6DF9" w:rsidRDefault="00A43FBC">
      <w:pPr>
        <w:pStyle w:val="ListParagraph"/>
        <w:numPr>
          <w:ilvl w:val="2"/>
          <w:numId w:val="217"/>
        </w:numPr>
        <w:tabs>
          <w:tab w:val="left" w:pos="1793"/>
          <w:tab w:val="left" w:pos="1795"/>
        </w:tabs>
        <w:spacing w:line="230" w:lineRule="auto"/>
        <w:ind w:right="834" w:hanging="389"/>
        <w:jc w:val="both"/>
      </w:pPr>
      <w:r>
        <w:rPr>
          <w:color w:val="221F1F"/>
        </w:rPr>
        <w:t xml:space="preserve">The rates of exchange to be used by the Tenderer in arriving at the local currency equivalent and the percentage(s) mentioned in (a) above shall be specified by the Tenderer in the Appendix to Tender and shall be based on the exchange rate provided by the Central Bank of Kenya on the date 30 days prior to the actual date of tender opening. Such exchange rate shall apply for all foreign payments under the </w:t>
      </w:r>
      <w:r>
        <w:rPr>
          <w:color w:val="221F1F"/>
          <w:spacing w:val="-2"/>
        </w:rPr>
        <w:t>Contract.</w:t>
      </w:r>
    </w:p>
    <w:p w:rsidR="007F6DF9" w:rsidRDefault="00A43FBC">
      <w:pPr>
        <w:pStyle w:val="ListParagraph"/>
        <w:numPr>
          <w:ilvl w:val="1"/>
          <w:numId w:val="217"/>
        </w:numPr>
        <w:tabs>
          <w:tab w:val="left" w:pos="1396"/>
          <w:tab w:val="left" w:pos="1399"/>
        </w:tabs>
        <w:spacing w:line="230" w:lineRule="auto"/>
        <w:ind w:right="835"/>
        <w:jc w:val="both"/>
      </w:pPr>
      <w:r>
        <w:rPr>
          <w:color w:val="221F1F"/>
        </w:rPr>
        <w:t>Tenderers may be required by the Procuring Entity to justify,</w:t>
      </w:r>
      <w:r>
        <w:rPr>
          <w:color w:val="221F1F"/>
          <w:spacing w:val="-1"/>
        </w:rPr>
        <w:t xml:space="preserve"> </w:t>
      </w:r>
      <w:r>
        <w:rPr>
          <w:color w:val="221F1F"/>
        </w:rPr>
        <w:t>to the Procuring Entity's satisfaction,</w:t>
      </w:r>
      <w:r>
        <w:rPr>
          <w:color w:val="221F1F"/>
          <w:spacing w:val="-1"/>
        </w:rPr>
        <w:t xml:space="preserve"> </w:t>
      </w:r>
      <w:r>
        <w:rPr>
          <w:color w:val="221F1F"/>
        </w:rPr>
        <w:t xml:space="preserve">their local and foreign currency requirements, and to substantiate that the amounts included in the unit rates and prices and shown in the Schedule of Adjustment Data in the Appendix to Tender are reasonable, in which case a detailed </w:t>
      </w:r>
      <w:proofErr w:type="spellStart"/>
      <w:r>
        <w:rPr>
          <w:color w:val="221F1F"/>
        </w:rPr>
        <w:t>break down</w:t>
      </w:r>
      <w:proofErr w:type="spellEnd"/>
      <w:r>
        <w:rPr>
          <w:color w:val="221F1F"/>
        </w:rPr>
        <w:t xml:space="preserve"> of the foreign currency requirements shall be provided by Tenderers.</w:t>
      </w:r>
    </w:p>
    <w:p w:rsidR="007F6DF9" w:rsidRDefault="007F6DF9">
      <w:pPr>
        <w:pStyle w:val="BodyText"/>
        <w:spacing w:before="22"/>
      </w:pPr>
    </w:p>
    <w:p w:rsidR="007F6DF9" w:rsidRDefault="00A43FBC">
      <w:pPr>
        <w:pStyle w:val="Heading9"/>
        <w:numPr>
          <w:ilvl w:val="0"/>
          <w:numId w:val="216"/>
        </w:numPr>
        <w:tabs>
          <w:tab w:val="left" w:pos="1440"/>
        </w:tabs>
        <w:ind w:hanging="600"/>
        <w:jc w:val="both"/>
      </w:pPr>
      <w:bookmarkStart w:id="18" w:name="_bookmark17"/>
      <w:bookmarkEnd w:id="18"/>
      <w:r>
        <w:rPr>
          <w:color w:val="221F1F"/>
        </w:rPr>
        <w:t>Documents</w:t>
      </w:r>
      <w:r>
        <w:rPr>
          <w:color w:val="221F1F"/>
          <w:spacing w:val="-7"/>
        </w:rPr>
        <w:t xml:space="preserve"> </w:t>
      </w:r>
      <w:r>
        <w:rPr>
          <w:color w:val="221F1F"/>
        </w:rPr>
        <w:t>Comprising</w:t>
      </w:r>
      <w:r>
        <w:rPr>
          <w:color w:val="221F1F"/>
          <w:spacing w:val="-5"/>
        </w:rPr>
        <w:t xml:space="preserve"> </w:t>
      </w:r>
      <w:r>
        <w:rPr>
          <w:color w:val="221F1F"/>
        </w:rPr>
        <w:t>the</w:t>
      </w:r>
      <w:r>
        <w:rPr>
          <w:color w:val="221F1F"/>
          <w:spacing w:val="-5"/>
        </w:rPr>
        <w:t xml:space="preserve"> </w:t>
      </w:r>
      <w:r>
        <w:rPr>
          <w:color w:val="221F1F"/>
        </w:rPr>
        <w:t>Technical</w:t>
      </w:r>
      <w:r>
        <w:rPr>
          <w:color w:val="221F1F"/>
          <w:spacing w:val="-6"/>
        </w:rPr>
        <w:t xml:space="preserve"> </w:t>
      </w:r>
      <w:r>
        <w:rPr>
          <w:color w:val="221F1F"/>
          <w:spacing w:val="-2"/>
        </w:rPr>
        <w:t>Proposal</w:t>
      </w:r>
    </w:p>
    <w:p w:rsidR="007F6DF9" w:rsidRDefault="007F6DF9">
      <w:pPr>
        <w:pStyle w:val="BodyText"/>
        <w:spacing w:before="26"/>
        <w:rPr>
          <w:b/>
        </w:rPr>
      </w:pPr>
    </w:p>
    <w:p w:rsidR="007F6DF9" w:rsidRDefault="00A43FBC">
      <w:pPr>
        <w:pStyle w:val="BodyText"/>
        <w:spacing w:line="230" w:lineRule="auto"/>
        <w:ind w:left="1399" w:right="832" w:firstLine="7"/>
        <w:jc w:val="both"/>
      </w:pPr>
      <w:r>
        <w:rPr>
          <w:color w:val="221F1F"/>
        </w:rPr>
        <w:t>The</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furnish</w:t>
      </w:r>
      <w:r>
        <w:rPr>
          <w:color w:val="221F1F"/>
          <w:spacing w:val="-6"/>
        </w:rPr>
        <w:t xml:space="preserve"> </w:t>
      </w:r>
      <w:r>
        <w:rPr>
          <w:color w:val="221F1F"/>
        </w:rPr>
        <w:t>a</w:t>
      </w:r>
      <w:r>
        <w:rPr>
          <w:color w:val="221F1F"/>
          <w:spacing w:val="-4"/>
        </w:rPr>
        <w:t xml:space="preserve"> </w:t>
      </w:r>
      <w:r>
        <w:rPr>
          <w:color w:val="221F1F"/>
        </w:rPr>
        <w:t>technical</w:t>
      </w:r>
      <w:r>
        <w:rPr>
          <w:color w:val="221F1F"/>
          <w:spacing w:val="-5"/>
        </w:rPr>
        <w:t xml:space="preserve"> </w:t>
      </w:r>
      <w:r>
        <w:rPr>
          <w:color w:val="221F1F"/>
        </w:rPr>
        <w:t>proposal</w:t>
      </w:r>
      <w:r>
        <w:rPr>
          <w:color w:val="221F1F"/>
          <w:spacing w:val="-3"/>
        </w:rPr>
        <w:t xml:space="preserve"> </w:t>
      </w:r>
      <w:r>
        <w:rPr>
          <w:color w:val="221F1F"/>
        </w:rPr>
        <w:t>including</w:t>
      </w:r>
      <w:r>
        <w:rPr>
          <w:color w:val="221F1F"/>
          <w:spacing w:val="-4"/>
        </w:rPr>
        <w:t xml:space="preserve"> </w:t>
      </w:r>
      <w:r>
        <w:rPr>
          <w:color w:val="221F1F"/>
        </w:rPr>
        <w:t>a</w:t>
      </w:r>
      <w:r>
        <w:rPr>
          <w:color w:val="221F1F"/>
          <w:spacing w:val="-4"/>
        </w:rPr>
        <w:t xml:space="preserve"> </w:t>
      </w:r>
      <w:r>
        <w:rPr>
          <w:color w:val="221F1F"/>
        </w:rPr>
        <w:t>statement</w:t>
      </w:r>
      <w:r>
        <w:rPr>
          <w:color w:val="221F1F"/>
          <w:spacing w:val="-3"/>
        </w:rPr>
        <w:t xml:space="preserve"> </w:t>
      </w:r>
      <w:r>
        <w:rPr>
          <w:color w:val="221F1F"/>
        </w:rPr>
        <w:t>of</w:t>
      </w:r>
      <w:r>
        <w:rPr>
          <w:color w:val="221F1F"/>
          <w:spacing w:val="-4"/>
        </w:rPr>
        <w:t xml:space="preserve"> </w:t>
      </w:r>
      <w:r>
        <w:rPr>
          <w:color w:val="221F1F"/>
        </w:rPr>
        <w:t>work</w:t>
      </w:r>
      <w:r>
        <w:rPr>
          <w:color w:val="221F1F"/>
          <w:spacing w:val="-5"/>
        </w:rPr>
        <w:t xml:space="preserve"> </w:t>
      </w:r>
      <w:r>
        <w:rPr>
          <w:color w:val="221F1F"/>
        </w:rPr>
        <w:t>methods,</w:t>
      </w:r>
      <w:r>
        <w:rPr>
          <w:color w:val="221F1F"/>
          <w:spacing w:val="-3"/>
        </w:rPr>
        <w:t xml:space="preserve"> </w:t>
      </w:r>
      <w:r>
        <w:rPr>
          <w:color w:val="221F1F"/>
        </w:rPr>
        <w:t>equipment,</w:t>
      </w:r>
      <w:r>
        <w:rPr>
          <w:color w:val="221F1F"/>
          <w:spacing w:val="-4"/>
        </w:rPr>
        <w:t xml:space="preserve"> </w:t>
      </w:r>
      <w:r>
        <w:rPr>
          <w:color w:val="221F1F"/>
        </w:rPr>
        <w:t>personnel, schedule</w:t>
      </w:r>
      <w:r>
        <w:rPr>
          <w:color w:val="221F1F"/>
          <w:spacing w:val="-14"/>
        </w:rPr>
        <w:t xml:space="preserve"> </w:t>
      </w:r>
      <w:r>
        <w:rPr>
          <w:color w:val="221F1F"/>
        </w:rPr>
        <w:t>and</w:t>
      </w:r>
      <w:r>
        <w:rPr>
          <w:color w:val="221F1F"/>
          <w:spacing w:val="-14"/>
        </w:rPr>
        <w:t xml:space="preserve"> </w:t>
      </w:r>
      <w:r>
        <w:rPr>
          <w:color w:val="221F1F"/>
        </w:rPr>
        <w:t>any</w:t>
      </w:r>
      <w:r>
        <w:rPr>
          <w:color w:val="221F1F"/>
          <w:spacing w:val="-14"/>
        </w:rPr>
        <w:t xml:space="preserve"> </w:t>
      </w:r>
      <w:r>
        <w:rPr>
          <w:color w:val="221F1F"/>
        </w:rPr>
        <w:t>other</w:t>
      </w:r>
      <w:r>
        <w:rPr>
          <w:color w:val="221F1F"/>
          <w:spacing w:val="-13"/>
        </w:rPr>
        <w:t xml:space="preserve"> </w:t>
      </w:r>
      <w:r>
        <w:rPr>
          <w:color w:val="221F1F"/>
        </w:rPr>
        <w:t>information</w:t>
      </w:r>
      <w:r>
        <w:rPr>
          <w:color w:val="221F1F"/>
          <w:spacing w:val="-14"/>
        </w:rPr>
        <w:t xml:space="preserve"> </w:t>
      </w:r>
      <w:r>
        <w:rPr>
          <w:color w:val="221F1F"/>
        </w:rPr>
        <w:t>as</w:t>
      </w:r>
      <w:r>
        <w:rPr>
          <w:color w:val="221F1F"/>
          <w:spacing w:val="-14"/>
        </w:rPr>
        <w:t xml:space="preserve"> </w:t>
      </w:r>
      <w:r>
        <w:rPr>
          <w:color w:val="221F1F"/>
        </w:rPr>
        <w:t>stipulated</w:t>
      </w:r>
      <w:r>
        <w:rPr>
          <w:color w:val="221F1F"/>
          <w:spacing w:val="-14"/>
        </w:rPr>
        <w:t xml:space="preserve"> </w:t>
      </w:r>
      <w:r>
        <w:rPr>
          <w:color w:val="221F1F"/>
        </w:rPr>
        <w:t>in</w:t>
      </w:r>
      <w:r>
        <w:rPr>
          <w:color w:val="221F1F"/>
          <w:spacing w:val="-13"/>
        </w:rPr>
        <w:t xml:space="preserve"> </w:t>
      </w:r>
      <w:r>
        <w:rPr>
          <w:color w:val="221F1F"/>
        </w:rPr>
        <w:t>Section</w:t>
      </w:r>
      <w:r>
        <w:rPr>
          <w:color w:val="221F1F"/>
          <w:spacing w:val="-14"/>
        </w:rPr>
        <w:t xml:space="preserve"> </w:t>
      </w:r>
      <w:r>
        <w:rPr>
          <w:color w:val="221F1F"/>
        </w:rPr>
        <w:t>IV,</w:t>
      </w:r>
      <w:r>
        <w:rPr>
          <w:color w:val="221F1F"/>
          <w:spacing w:val="-14"/>
        </w:rPr>
        <w:t xml:space="preserve"> </w:t>
      </w:r>
      <w:r>
        <w:rPr>
          <w:color w:val="221F1F"/>
        </w:rPr>
        <w:t>Tender</w:t>
      </w:r>
      <w:r>
        <w:rPr>
          <w:color w:val="221F1F"/>
          <w:spacing w:val="-14"/>
        </w:rPr>
        <w:t xml:space="preserve"> </w:t>
      </w:r>
      <w:r>
        <w:rPr>
          <w:color w:val="221F1F"/>
        </w:rPr>
        <w:t>Forms,</w:t>
      </w:r>
      <w:r>
        <w:rPr>
          <w:color w:val="221F1F"/>
          <w:spacing w:val="-13"/>
        </w:rPr>
        <w:t xml:space="preserve"> </w:t>
      </w:r>
      <w:r>
        <w:rPr>
          <w:color w:val="221F1F"/>
        </w:rPr>
        <w:t>insufficient</w:t>
      </w:r>
      <w:r>
        <w:rPr>
          <w:color w:val="221F1F"/>
          <w:spacing w:val="-14"/>
        </w:rPr>
        <w:t xml:space="preserve"> </w:t>
      </w:r>
      <w:r>
        <w:rPr>
          <w:color w:val="221F1F"/>
        </w:rPr>
        <w:t>detail</w:t>
      </w:r>
      <w:r>
        <w:rPr>
          <w:color w:val="221F1F"/>
          <w:spacing w:val="-14"/>
        </w:rPr>
        <w:t xml:space="preserve"> </w:t>
      </w:r>
      <w:r>
        <w:rPr>
          <w:color w:val="221F1F"/>
        </w:rPr>
        <w:t>to</w:t>
      </w:r>
      <w:r>
        <w:rPr>
          <w:color w:val="221F1F"/>
          <w:spacing w:val="-13"/>
        </w:rPr>
        <w:t xml:space="preserve"> </w:t>
      </w:r>
      <w:r>
        <w:rPr>
          <w:color w:val="221F1F"/>
        </w:rPr>
        <w:t>demonstrate the adequacy of the Tenderer's proposal to meet the work's requirements and the completion time.</w:t>
      </w:r>
    </w:p>
    <w:p w:rsidR="007F6DF9" w:rsidRDefault="007F6DF9">
      <w:pPr>
        <w:pStyle w:val="BodyText"/>
        <w:spacing w:before="28"/>
      </w:pPr>
    </w:p>
    <w:p w:rsidR="007F6DF9" w:rsidRDefault="00A43FBC">
      <w:pPr>
        <w:pStyle w:val="Heading9"/>
        <w:numPr>
          <w:ilvl w:val="0"/>
          <w:numId w:val="216"/>
        </w:numPr>
        <w:tabs>
          <w:tab w:val="left" w:pos="1397"/>
        </w:tabs>
        <w:ind w:left="1397" w:hanging="557"/>
        <w:jc w:val="both"/>
      </w:pPr>
      <w:bookmarkStart w:id="19" w:name="_bookmark18"/>
      <w:bookmarkEnd w:id="19"/>
      <w:r>
        <w:rPr>
          <w:color w:val="221F1F"/>
        </w:rPr>
        <w:t>Documents</w:t>
      </w:r>
      <w:r>
        <w:rPr>
          <w:color w:val="221F1F"/>
          <w:spacing w:val="-6"/>
        </w:rPr>
        <w:t xml:space="preserve"> </w:t>
      </w:r>
      <w:r>
        <w:rPr>
          <w:color w:val="221F1F"/>
        </w:rPr>
        <w:t>Establishing</w:t>
      </w:r>
      <w:r>
        <w:rPr>
          <w:color w:val="221F1F"/>
          <w:spacing w:val="-7"/>
        </w:rPr>
        <w:t xml:space="preserve"> </w:t>
      </w:r>
      <w:r>
        <w:rPr>
          <w:color w:val="221F1F"/>
        </w:rPr>
        <w:t>the</w:t>
      </w:r>
      <w:r>
        <w:rPr>
          <w:color w:val="221F1F"/>
          <w:spacing w:val="-6"/>
        </w:rPr>
        <w:t xml:space="preserve"> </w:t>
      </w:r>
      <w:r>
        <w:rPr>
          <w:color w:val="221F1F"/>
        </w:rPr>
        <w:t>Eligibility</w:t>
      </w:r>
      <w:r>
        <w:rPr>
          <w:color w:val="221F1F"/>
          <w:spacing w:val="-9"/>
        </w:rPr>
        <w:t xml:space="preserve"> </w:t>
      </w:r>
      <w:r>
        <w:rPr>
          <w:color w:val="221F1F"/>
        </w:rPr>
        <w:t>and</w:t>
      </w:r>
      <w:r>
        <w:rPr>
          <w:color w:val="221F1F"/>
          <w:spacing w:val="-6"/>
        </w:rPr>
        <w:t xml:space="preserve"> </w:t>
      </w:r>
      <w:r>
        <w:rPr>
          <w:color w:val="221F1F"/>
        </w:rPr>
        <w:t>Qualifications</w:t>
      </w:r>
      <w:r>
        <w:rPr>
          <w:color w:val="221F1F"/>
          <w:spacing w:val="-5"/>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spacing w:val="-2"/>
        </w:rPr>
        <w:t>Tenderer</w:t>
      </w:r>
    </w:p>
    <w:p w:rsidR="007F6DF9" w:rsidRDefault="00A43FBC">
      <w:pPr>
        <w:pStyle w:val="ListParagraph"/>
        <w:numPr>
          <w:ilvl w:val="1"/>
          <w:numId w:val="216"/>
        </w:numPr>
        <w:tabs>
          <w:tab w:val="left" w:pos="1396"/>
          <w:tab w:val="left" w:pos="1399"/>
        </w:tabs>
        <w:spacing w:before="98" w:line="230" w:lineRule="auto"/>
        <w:ind w:right="836"/>
        <w:jc w:val="both"/>
      </w:pPr>
      <w:r>
        <w:rPr>
          <w:color w:val="221F1F"/>
        </w:rPr>
        <w:t>Tenderers shall complete the Form of Tender, included in Section IV,</w:t>
      </w:r>
      <w:r>
        <w:rPr>
          <w:color w:val="221F1F"/>
          <w:spacing w:val="-9"/>
        </w:rPr>
        <w:t xml:space="preserve"> </w:t>
      </w:r>
      <w:r>
        <w:rPr>
          <w:color w:val="221F1F"/>
        </w:rPr>
        <w:t>Tender Forms, to establish Tenderer's eligibility in accordance with ITT 4.</w:t>
      </w:r>
    </w:p>
    <w:p w:rsidR="007F6DF9" w:rsidRDefault="00A43FBC">
      <w:pPr>
        <w:pStyle w:val="ListParagraph"/>
        <w:numPr>
          <w:ilvl w:val="1"/>
          <w:numId w:val="216"/>
        </w:numPr>
        <w:tabs>
          <w:tab w:val="left" w:pos="1396"/>
          <w:tab w:val="left" w:pos="1399"/>
        </w:tabs>
        <w:spacing w:before="98" w:line="230" w:lineRule="auto"/>
        <w:ind w:right="834"/>
        <w:jc w:val="both"/>
      </w:pPr>
      <w:r>
        <w:rPr>
          <w:color w:val="221F1F"/>
        </w:rPr>
        <w:t>In</w:t>
      </w:r>
      <w:r>
        <w:rPr>
          <w:color w:val="221F1F"/>
          <w:spacing w:val="-1"/>
        </w:rPr>
        <w:t xml:space="preserve"> </w:t>
      </w:r>
      <w:r>
        <w:rPr>
          <w:color w:val="221F1F"/>
        </w:rPr>
        <w:t>accordance with</w:t>
      </w:r>
      <w:r>
        <w:rPr>
          <w:color w:val="221F1F"/>
          <w:spacing w:val="-1"/>
        </w:rPr>
        <w:t xml:space="preserve"> </w:t>
      </w:r>
      <w:r>
        <w:rPr>
          <w:color w:val="221F1F"/>
        </w:rPr>
        <w:t>Section</w:t>
      </w:r>
      <w:r>
        <w:rPr>
          <w:color w:val="221F1F"/>
          <w:spacing w:val="-2"/>
        </w:rPr>
        <w:t xml:space="preserve"> </w:t>
      </w:r>
      <w:r>
        <w:rPr>
          <w:color w:val="221F1F"/>
        </w:rPr>
        <w:t>III,</w:t>
      </w:r>
      <w:r>
        <w:rPr>
          <w:color w:val="221F1F"/>
          <w:spacing w:val="-1"/>
        </w:rPr>
        <w:t xml:space="preserve"> </w:t>
      </w:r>
      <w:r>
        <w:rPr>
          <w:color w:val="221F1F"/>
        </w:rPr>
        <w:t>Evaluation and</w:t>
      </w:r>
      <w:r>
        <w:rPr>
          <w:color w:val="221F1F"/>
          <w:spacing w:val="-1"/>
        </w:rPr>
        <w:t xml:space="preserve"> </w:t>
      </w:r>
      <w:r>
        <w:rPr>
          <w:color w:val="221F1F"/>
        </w:rPr>
        <w:t>Qualification Criteria, to</w:t>
      </w:r>
      <w:r>
        <w:rPr>
          <w:color w:val="221F1F"/>
          <w:spacing w:val="-1"/>
        </w:rPr>
        <w:t xml:space="preserve"> </w:t>
      </w:r>
      <w:r>
        <w:rPr>
          <w:color w:val="221F1F"/>
        </w:rPr>
        <w:t>establish its qualifications to</w:t>
      </w:r>
      <w:r>
        <w:rPr>
          <w:color w:val="221F1F"/>
          <w:spacing w:val="-1"/>
        </w:rPr>
        <w:t xml:space="preserve"> </w:t>
      </w:r>
      <w:r>
        <w:rPr>
          <w:color w:val="221F1F"/>
        </w:rPr>
        <w:t>perform the Contract the Tenderer shall provide the information requested in the corresponding information sheets included in Section IV,</w:t>
      </w:r>
      <w:r>
        <w:rPr>
          <w:color w:val="221F1F"/>
          <w:spacing w:val="-7"/>
        </w:rPr>
        <w:t xml:space="preserve"> </w:t>
      </w:r>
      <w:r>
        <w:rPr>
          <w:color w:val="221F1F"/>
        </w:rPr>
        <w:t>Tender Forms.</w:t>
      </w:r>
    </w:p>
    <w:p w:rsidR="007F6DF9" w:rsidRDefault="00A43FBC">
      <w:pPr>
        <w:pStyle w:val="ListParagraph"/>
        <w:numPr>
          <w:ilvl w:val="1"/>
          <w:numId w:val="216"/>
        </w:numPr>
        <w:tabs>
          <w:tab w:val="left" w:pos="1396"/>
          <w:tab w:val="left" w:pos="1399"/>
        </w:tabs>
        <w:spacing w:before="99" w:line="230" w:lineRule="auto"/>
        <w:ind w:right="836"/>
        <w:jc w:val="both"/>
      </w:pPr>
      <w:r>
        <w:rPr>
          <w:color w:val="221F1F"/>
        </w:rPr>
        <w:t>If</w:t>
      </w:r>
      <w:r>
        <w:rPr>
          <w:color w:val="221F1F"/>
          <w:spacing w:val="-4"/>
        </w:rPr>
        <w:t xml:space="preserve"> </w:t>
      </w:r>
      <w:r>
        <w:rPr>
          <w:color w:val="221F1F"/>
        </w:rPr>
        <w:t>a</w:t>
      </w:r>
      <w:r>
        <w:rPr>
          <w:color w:val="221F1F"/>
          <w:spacing w:val="-4"/>
        </w:rPr>
        <w:t xml:space="preserve"> </w:t>
      </w:r>
      <w:proofErr w:type="spellStart"/>
      <w:r>
        <w:rPr>
          <w:color w:val="221F1F"/>
        </w:rPr>
        <w:t>marg</w:t>
      </w:r>
      <w:proofErr w:type="spellEnd"/>
      <w:r>
        <w:rPr>
          <w:color w:val="221F1F"/>
          <w:spacing w:val="-4"/>
        </w:rPr>
        <w:t xml:space="preserve"> </w:t>
      </w:r>
      <w:r>
        <w:rPr>
          <w:color w:val="221F1F"/>
        </w:rPr>
        <w:t>in</w:t>
      </w:r>
      <w:r>
        <w:rPr>
          <w:color w:val="221F1F"/>
          <w:spacing w:val="-5"/>
        </w:rPr>
        <w:t xml:space="preserve"> </w:t>
      </w:r>
      <w:r>
        <w:rPr>
          <w:color w:val="221F1F"/>
        </w:rPr>
        <w:t>of</w:t>
      </w:r>
      <w:r>
        <w:rPr>
          <w:color w:val="221F1F"/>
          <w:spacing w:val="-4"/>
        </w:rPr>
        <w:t xml:space="preserve"> </w:t>
      </w:r>
      <w:r>
        <w:rPr>
          <w:color w:val="221F1F"/>
        </w:rPr>
        <w:t>preference</w:t>
      </w:r>
      <w:r>
        <w:rPr>
          <w:color w:val="221F1F"/>
          <w:spacing w:val="-4"/>
        </w:rPr>
        <w:t xml:space="preserve"> </w:t>
      </w:r>
      <w:r>
        <w:rPr>
          <w:color w:val="221F1F"/>
        </w:rPr>
        <w:t>applies</w:t>
      </w:r>
      <w:r>
        <w:rPr>
          <w:color w:val="221F1F"/>
          <w:spacing w:val="-3"/>
        </w:rPr>
        <w:t xml:space="preserve"> </w:t>
      </w:r>
      <w:r>
        <w:rPr>
          <w:color w:val="221F1F"/>
        </w:rPr>
        <w:t>as</w:t>
      </w:r>
      <w:r>
        <w:rPr>
          <w:color w:val="221F1F"/>
          <w:spacing w:val="-4"/>
        </w:rPr>
        <w:t xml:space="preserve"> </w:t>
      </w:r>
      <w:r>
        <w:rPr>
          <w:color w:val="221F1F"/>
        </w:rPr>
        <w:t>specified</w:t>
      </w:r>
      <w:r>
        <w:rPr>
          <w:color w:val="221F1F"/>
          <w:spacing w:val="-5"/>
        </w:rPr>
        <w:t xml:space="preserve"> </w:t>
      </w:r>
      <w:r>
        <w:rPr>
          <w:color w:val="221F1F"/>
        </w:rPr>
        <w:t>in</w:t>
      </w:r>
      <w:r>
        <w:rPr>
          <w:color w:val="221F1F"/>
          <w:spacing w:val="-5"/>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ITT</w:t>
      </w:r>
      <w:r>
        <w:rPr>
          <w:color w:val="221F1F"/>
          <w:spacing w:val="-6"/>
        </w:rPr>
        <w:t xml:space="preserve"> </w:t>
      </w:r>
      <w:r>
        <w:rPr>
          <w:color w:val="221F1F"/>
        </w:rPr>
        <w:t>33.1,</w:t>
      </w:r>
      <w:r>
        <w:rPr>
          <w:color w:val="221F1F"/>
          <w:spacing w:val="-5"/>
        </w:rPr>
        <w:t xml:space="preserve"> </w:t>
      </w:r>
      <w:r>
        <w:rPr>
          <w:color w:val="221F1F"/>
        </w:rPr>
        <w:t>nation</w:t>
      </w:r>
      <w:r>
        <w:rPr>
          <w:color w:val="221F1F"/>
          <w:spacing w:val="-7"/>
        </w:rPr>
        <w:t xml:space="preserve"> </w:t>
      </w:r>
      <w:r>
        <w:rPr>
          <w:color w:val="221F1F"/>
        </w:rPr>
        <w:t>al</w:t>
      </w:r>
      <w:r>
        <w:rPr>
          <w:color w:val="221F1F"/>
          <w:spacing w:val="-3"/>
        </w:rPr>
        <w:t xml:space="preserve"> </w:t>
      </w:r>
      <w:r>
        <w:rPr>
          <w:color w:val="221F1F"/>
        </w:rPr>
        <w:t>tenderers,</w:t>
      </w:r>
      <w:r>
        <w:rPr>
          <w:color w:val="221F1F"/>
          <w:spacing w:val="-4"/>
        </w:rPr>
        <w:t xml:space="preserve"> </w:t>
      </w:r>
      <w:r>
        <w:rPr>
          <w:color w:val="221F1F"/>
        </w:rPr>
        <w:t>individually</w:t>
      </w:r>
      <w:r>
        <w:rPr>
          <w:color w:val="221F1F"/>
          <w:spacing w:val="-4"/>
        </w:rPr>
        <w:t xml:space="preserve"> </w:t>
      </w:r>
      <w:r>
        <w:rPr>
          <w:color w:val="221F1F"/>
        </w:rPr>
        <w:t>or in</w:t>
      </w:r>
      <w:r>
        <w:rPr>
          <w:color w:val="221F1F"/>
          <w:spacing w:val="-7"/>
        </w:rPr>
        <w:t xml:space="preserve"> </w:t>
      </w:r>
      <w:r>
        <w:rPr>
          <w:color w:val="221F1F"/>
        </w:rPr>
        <w:t>joint</w:t>
      </w:r>
      <w:r>
        <w:rPr>
          <w:color w:val="221F1F"/>
          <w:spacing w:val="-3"/>
        </w:rPr>
        <w:t xml:space="preserve"> </w:t>
      </w:r>
      <w:r>
        <w:rPr>
          <w:color w:val="221F1F"/>
        </w:rPr>
        <w:t>ventures,</w:t>
      </w:r>
      <w:r>
        <w:rPr>
          <w:color w:val="221F1F"/>
          <w:spacing w:val="-4"/>
        </w:rPr>
        <w:t xml:space="preserve"> </w:t>
      </w:r>
      <w:r>
        <w:rPr>
          <w:color w:val="221F1F"/>
        </w:rPr>
        <w:t>applying</w:t>
      </w:r>
      <w:r>
        <w:rPr>
          <w:color w:val="221F1F"/>
          <w:spacing w:val="-6"/>
        </w:rPr>
        <w:t xml:space="preserve"> </w:t>
      </w:r>
      <w:r>
        <w:rPr>
          <w:color w:val="221F1F"/>
        </w:rPr>
        <w:t>for</w:t>
      </w:r>
      <w:r>
        <w:rPr>
          <w:color w:val="221F1F"/>
          <w:spacing w:val="-4"/>
        </w:rPr>
        <w:t xml:space="preserve"> </w:t>
      </w:r>
      <w:r>
        <w:rPr>
          <w:color w:val="221F1F"/>
        </w:rPr>
        <w:t>eligibility</w:t>
      </w:r>
      <w:r>
        <w:rPr>
          <w:color w:val="221F1F"/>
          <w:spacing w:val="-6"/>
        </w:rPr>
        <w:t xml:space="preserve"> </w:t>
      </w:r>
      <w:r>
        <w:rPr>
          <w:color w:val="221F1F"/>
        </w:rPr>
        <w:t>for</w:t>
      </w:r>
      <w:r>
        <w:rPr>
          <w:color w:val="221F1F"/>
          <w:spacing w:val="-4"/>
        </w:rPr>
        <w:t xml:space="preserve"> </w:t>
      </w:r>
      <w:r>
        <w:rPr>
          <w:color w:val="221F1F"/>
        </w:rPr>
        <w:t>national</w:t>
      </w:r>
      <w:r>
        <w:rPr>
          <w:color w:val="221F1F"/>
          <w:spacing w:val="-3"/>
        </w:rPr>
        <w:t xml:space="preserve"> </w:t>
      </w:r>
      <w:r>
        <w:rPr>
          <w:color w:val="221F1F"/>
        </w:rPr>
        <w:t>preference</w:t>
      </w:r>
      <w:r>
        <w:rPr>
          <w:color w:val="221F1F"/>
          <w:spacing w:val="-3"/>
        </w:rPr>
        <w:t xml:space="preserve"> </w:t>
      </w:r>
      <w:r>
        <w:rPr>
          <w:color w:val="221F1F"/>
        </w:rPr>
        <w:t>shall</w:t>
      </w:r>
      <w:r>
        <w:rPr>
          <w:color w:val="221F1F"/>
          <w:spacing w:val="-3"/>
        </w:rPr>
        <w:t xml:space="preserve"> </w:t>
      </w:r>
      <w:r>
        <w:rPr>
          <w:color w:val="221F1F"/>
        </w:rPr>
        <w:t>supply</w:t>
      </w:r>
      <w:r>
        <w:rPr>
          <w:color w:val="221F1F"/>
          <w:spacing w:val="-5"/>
        </w:rPr>
        <w:t xml:space="preserve"> </w:t>
      </w:r>
      <w:r>
        <w:rPr>
          <w:color w:val="221F1F"/>
        </w:rPr>
        <w:t>all</w:t>
      </w:r>
      <w:r>
        <w:rPr>
          <w:color w:val="221F1F"/>
          <w:spacing w:val="-6"/>
        </w:rPr>
        <w:t xml:space="preserve"> </w:t>
      </w:r>
      <w:r>
        <w:rPr>
          <w:color w:val="221F1F"/>
        </w:rPr>
        <w:t>information</w:t>
      </w:r>
      <w:r>
        <w:rPr>
          <w:color w:val="221F1F"/>
          <w:spacing w:val="-6"/>
        </w:rPr>
        <w:t xml:space="preserve"> </w:t>
      </w:r>
      <w:r>
        <w:rPr>
          <w:color w:val="221F1F"/>
        </w:rPr>
        <w:t>required</w:t>
      </w:r>
      <w:r>
        <w:rPr>
          <w:color w:val="221F1F"/>
          <w:spacing w:val="-6"/>
        </w:rPr>
        <w:t xml:space="preserve"> </w:t>
      </w:r>
      <w:r>
        <w:rPr>
          <w:color w:val="221F1F"/>
        </w:rPr>
        <w:t>to</w:t>
      </w:r>
      <w:r>
        <w:rPr>
          <w:color w:val="221F1F"/>
          <w:spacing w:val="-5"/>
        </w:rPr>
        <w:t xml:space="preserve"> </w:t>
      </w:r>
      <w:r>
        <w:rPr>
          <w:color w:val="221F1F"/>
        </w:rPr>
        <w:t>satisfy the criteria for eligibility specified in accordance with ITT 33.1.</w:t>
      </w:r>
    </w:p>
    <w:p w:rsidR="007F6DF9" w:rsidRDefault="00A43FBC">
      <w:pPr>
        <w:pStyle w:val="ListParagraph"/>
        <w:numPr>
          <w:ilvl w:val="1"/>
          <w:numId w:val="216"/>
        </w:numPr>
        <w:tabs>
          <w:tab w:val="left" w:pos="1396"/>
          <w:tab w:val="left" w:pos="1399"/>
        </w:tabs>
        <w:spacing w:before="100" w:line="230" w:lineRule="auto"/>
        <w:ind w:right="829"/>
        <w:jc w:val="both"/>
      </w:pPr>
      <w:r>
        <w:rPr>
          <w:color w:val="221F1F"/>
        </w:rPr>
        <w:t>Tenderers</w:t>
      </w:r>
      <w:r>
        <w:rPr>
          <w:color w:val="221F1F"/>
          <w:spacing w:val="-2"/>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asked</w:t>
      </w:r>
      <w:r>
        <w:rPr>
          <w:color w:val="221F1F"/>
          <w:spacing w:val="-5"/>
        </w:rPr>
        <w:t xml:space="preserve"> </w:t>
      </w:r>
      <w:r>
        <w:rPr>
          <w:color w:val="221F1F"/>
        </w:rPr>
        <w:t>to</w:t>
      </w:r>
      <w:r>
        <w:rPr>
          <w:color w:val="221F1F"/>
          <w:spacing w:val="-5"/>
        </w:rPr>
        <w:t xml:space="preserve"> </w:t>
      </w:r>
      <w:r>
        <w:rPr>
          <w:color w:val="221F1F"/>
        </w:rPr>
        <w:t>provide,</w:t>
      </w:r>
      <w:r>
        <w:rPr>
          <w:color w:val="221F1F"/>
          <w:spacing w:val="-2"/>
        </w:rPr>
        <w:t xml:space="preserve"> </w:t>
      </w:r>
      <w:r>
        <w:rPr>
          <w:color w:val="221F1F"/>
        </w:rPr>
        <w:t>as</w:t>
      </w:r>
      <w:r>
        <w:rPr>
          <w:color w:val="221F1F"/>
          <w:spacing w:val="-2"/>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data</w:t>
      </w:r>
      <w:r>
        <w:rPr>
          <w:color w:val="221F1F"/>
          <w:spacing w:val="-4"/>
        </w:rPr>
        <w:t xml:space="preserve"> </w:t>
      </w:r>
      <w:r>
        <w:rPr>
          <w:color w:val="221F1F"/>
        </w:rPr>
        <w:t>for</w:t>
      </w:r>
      <w:r>
        <w:rPr>
          <w:color w:val="221F1F"/>
          <w:spacing w:val="-2"/>
        </w:rPr>
        <w:t xml:space="preserve"> </w:t>
      </w:r>
      <w:r>
        <w:rPr>
          <w:color w:val="221F1F"/>
        </w:rPr>
        <w:t>qualification,</w:t>
      </w:r>
      <w:r>
        <w:rPr>
          <w:color w:val="221F1F"/>
          <w:spacing w:val="-2"/>
        </w:rPr>
        <w:t xml:space="preserve"> </w:t>
      </w:r>
      <w:r>
        <w:rPr>
          <w:color w:val="221F1F"/>
        </w:rPr>
        <w:t>such</w:t>
      </w:r>
      <w:r>
        <w:rPr>
          <w:color w:val="221F1F"/>
          <w:spacing w:val="-4"/>
        </w:rPr>
        <w:t xml:space="preserve"> </w:t>
      </w:r>
      <w:r>
        <w:rPr>
          <w:color w:val="221F1F"/>
        </w:rPr>
        <w:t>information,</w:t>
      </w:r>
      <w:r>
        <w:rPr>
          <w:color w:val="221F1F"/>
          <w:spacing w:val="-5"/>
        </w:rPr>
        <w:t xml:space="preserve"> </w:t>
      </w:r>
      <w:r>
        <w:rPr>
          <w:color w:val="221F1F"/>
        </w:rPr>
        <w:t>including</w:t>
      </w:r>
      <w:r>
        <w:rPr>
          <w:color w:val="221F1F"/>
          <w:spacing w:val="-5"/>
        </w:rPr>
        <w:t xml:space="preserve"> </w:t>
      </w:r>
      <w:r>
        <w:rPr>
          <w:color w:val="221F1F"/>
        </w:rPr>
        <w:t xml:space="preserve">details of ownership, as shall be required to determine whether, according to the classification established by the Procuring Entity, </w:t>
      </w:r>
      <w:r>
        <w:rPr>
          <w:color w:val="221F1F"/>
          <w:u w:val="single" w:color="221F1F"/>
        </w:rPr>
        <w:t xml:space="preserve">a particular contractor or group of contractors </w:t>
      </w:r>
      <w:r>
        <w:rPr>
          <w:color w:val="221F1F"/>
        </w:rPr>
        <w:t>qualifies for a margin of preference. Further the information will enable the Procuring Entity identify any actual or potential conflict of interest in relation to</w:t>
      </w:r>
      <w:r>
        <w:rPr>
          <w:color w:val="221F1F"/>
          <w:spacing w:val="-5"/>
        </w:rPr>
        <w:t xml:space="preserve"> </w:t>
      </w:r>
      <w:r>
        <w:rPr>
          <w:color w:val="221F1F"/>
        </w:rPr>
        <w:t>the</w:t>
      </w:r>
      <w:r>
        <w:rPr>
          <w:color w:val="221F1F"/>
          <w:spacing w:val="-4"/>
        </w:rPr>
        <w:t xml:space="preserve"> </w:t>
      </w:r>
      <w:r>
        <w:rPr>
          <w:color w:val="221F1F"/>
        </w:rPr>
        <w:t>procurement</w:t>
      </w:r>
      <w:r>
        <w:rPr>
          <w:color w:val="221F1F"/>
          <w:spacing w:val="-4"/>
        </w:rPr>
        <w:t xml:space="preserve"> </w:t>
      </w:r>
      <w:r>
        <w:rPr>
          <w:color w:val="221F1F"/>
        </w:rPr>
        <w:t>and/or</w:t>
      </w:r>
      <w:r>
        <w:rPr>
          <w:color w:val="221F1F"/>
          <w:spacing w:val="-4"/>
        </w:rPr>
        <w:t xml:space="preserve"> </w:t>
      </w:r>
      <w:r>
        <w:rPr>
          <w:color w:val="221F1F"/>
        </w:rPr>
        <w:t>contract</w:t>
      </w:r>
      <w:r>
        <w:rPr>
          <w:color w:val="221F1F"/>
          <w:spacing w:val="-6"/>
        </w:rPr>
        <w:t xml:space="preserve"> </w:t>
      </w:r>
      <w:r>
        <w:rPr>
          <w:color w:val="221F1F"/>
        </w:rPr>
        <w:t>management</w:t>
      </w:r>
      <w:r>
        <w:rPr>
          <w:color w:val="221F1F"/>
          <w:spacing w:val="-6"/>
        </w:rPr>
        <w:t xml:space="preserve"> </w:t>
      </w:r>
      <w:r>
        <w:rPr>
          <w:color w:val="221F1F"/>
        </w:rPr>
        <w:t>processes,</w:t>
      </w:r>
      <w:r>
        <w:rPr>
          <w:color w:val="221F1F"/>
          <w:spacing w:val="-4"/>
        </w:rPr>
        <w:t xml:space="preserve"> </w:t>
      </w:r>
      <w:r>
        <w:rPr>
          <w:color w:val="221F1F"/>
        </w:rPr>
        <w:t>or</w:t>
      </w:r>
      <w:r>
        <w:rPr>
          <w:color w:val="221F1F"/>
          <w:spacing w:val="-4"/>
        </w:rPr>
        <w:t xml:space="preserve"> </w:t>
      </w:r>
      <w:r>
        <w:rPr>
          <w:color w:val="221F1F"/>
        </w:rPr>
        <w:t>a</w:t>
      </w:r>
      <w:r>
        <w:rPr>
          <w:color w:val="221F1F"/>
          <w:spacing w:val="-2"/>
        </w:rPr>
        <w:t xml:space="preserve"> </w:t>
      </w:r>
      <w:r>
        <w:rPr>
          <w:color w:val="221F1F"/>
        </w:rPr>
        <w:t>possibility</w:t>
      </w:r>
      <w:r>
        <w:rPr>
          <w:color w:val="221F1F"/>
          <w:spacing w:val="-7"/>
        </w:rPr>
        <w:t xml:space="preserve"> </w:t>
      </w:r>
      <w:r>
        <w:rPr>
          <w:color w:val="221F1F"/>
        </w:rPr>
        <w:t>of</w:t>
      </w:r>
      <w:r>
        <w:rPr>
          <w:color w:val="221F1F"/>
          <w:spacing w:val="-6"/>
        </w:rPr>
        <w:t xml:space="preserve"> </w:t>
      </w:r>
      <w:r>
        <w:rPr>
          <w:color w:val="221F1F"/>
        </w:rPr>
        <w:t>collusion</w:t>
      </w:r>
      <w:r>
        <w:rPr>
          <w:color w:val="221F1F"/>
          <w:spacing w:val="-7"/>
        </w:rPr>
        <w:t xml:space="preserve"> </w:t>
      </w:r>
      <w:r>
        <w:rPr>
          <w:color w:val="221F1F"/>
        </w:rPr>
        <w:t>between</w:t>
      </w:r>
      <w:r>
        <w:rPr>
          <w:color w:val="221F1F"/>
          <w:spacing w:val="-7"/>
        </w:rPr>
        <w:t xml:space="preserve"> </w:t>
      </w:r>
      <w:r>
        <w:rPr>
          <w:color w:val="221F1F"/>
        </w:rPr>
        <w:t>tenderers,</w:t>
      </w:r>
      <w:r>
        <w:rPr>
          <w:color w:val="221F1F"/>
          <w:spacing w:val="-6"/>
        </w:rPr>
        <w:t xml:space="preserve"> </w:t>
      </w:r>
      <w:r>
        <w:rPr>
          <w:color w:val="221F1F"/>
        </w:rPr>
        <w:t>and thereby help to prevent any corrupt influence in relation to the procurement process or contract management.</w:t>
      </w:r>
    </w:p>
    <w:p w:rsidR="007F6DF9" w:rsidRDefault="00A43FBC">
      <w:pPr>
        <w:pStyle w:val="ListParagraph"/>
        <w:numPr>
          <w:ilvl w:val="1"/>
          <w:numId w:val="216"/>
        </w:numPr>
        <w:tabs>
          <w:tab w:val="left" w:pos="1393"/>
          <w:tab w:val="left" w:pos="1397"/>
        </w:tabs>
        <w:spacing w:before="98" w:line="230" w:lineRule="auto"/>
        <w:ind w:left="1397" w:right="835" w:hanging="558"/>
        <w:jc w:val="both"/>
      </w:pPr>
      <w:r>
        <w:rPr>
          <w:color w:val="221F1F"/>
        </w:rPr>
        <w:t xml:space="preserve">The purpose of the information described </w:t>
      </w:r>
      <w:r>
        <w:rPr>
          <w:b/>
          <w:color w:val="221F1F"/>
        </w:rPr>
        <w:t xml:space="preserve">in ITT 17.4 </w:t>
      </w:r>
      <w:r>
        <w:rPr>
          <w:color w:val="221F1F"/>
        </w:rPr>
        <w:t>above overrides any claims to confidentiality which a tenderer may have. There can be no circumstances in which it would be justified for a tenderer to keep information relating to its ownership and control confidential where it is tendering to undertake public sector work and receive public sector funds. Thus, confidentiality will not be accepted by the Procuring Entity as a justification</w:t>
      </w:r>
      <w:r>
        <w:rPr>
          <w:color w:val="221F1F"/>
          <w:spacing w:val="-6"/>
        </w:rPr>
        <w:t xml:space="preserve"> </w:t>
      </w:r>
      <w:r>
        <w:rPr>
          <w:color w:val="221F1F"/>
        </w:rPr>
        <w:t>for</w:t>
      </w:r>
      <w:r>
        <w:rPr>
          <w:color w:val="221F1F"/>
          <w:spacing w:val="-6"/>
        </w:rPr>
        <w:t xml:space="preserve"> </w:t>
      </w:r>
      <w:r>
        <w:rPr>
          <w:color w:val="221F1F"/>
        </w:rPr>
        <w:t>a</w:t>
      </w:r>
      <w:r>
        <w:rPr>
          <w:color w:val="221F1F"/>
          <w:spacing w:val="-6"/>
        </w:rPr>
        <w:t xml:space="preserve"> </w:t>
      </w:r>
      <w:r>
        <w:rPr>
          <w:color w:val="221F1F"/>
        </w:rPr>
        <w:t>Tenderer's</w:t>
      </w:r>
      <w:r>
        <w:rPr>
          <w:color w:val="221F1F"/>
          <w:spacing w:val="-6"/>
        </w:rPr>
        <w:t xml:space="preserve"> </w:t>
      </w:r>
      <w:r>
        <w:rPr>
          <w:color w:val="221F1F"/>
        </w:rPr>
        <w:t>failure</w:t>
      </w:r>
      <w:r>
        <w:rPr>
          <w:color w:val="221F1F"/>
          <w:spacing w:val="-6"/>
        </w:rPr>
        <w:t xml:space="preserve"> </w:t>
      </w:r>
      <w:r>
        <w:rPr>
          <w:color w:val="221F1F"/>
        </w:rPr>
        <w:t>to</w:t>
      </w:r>
      <w:r>
        <w:rPr>
          <w:color w:val="221F1F"/>
          <w:spacing w:val="-7"/>
        </w:rPr>
        <w:t xml:space="preserve"> </w:t>
      </w:r>
      <w:r>
        <w:rPr>
          <w:color w:val="221F1F"/>
        </w:rPr>
        <w:t>disclose,</w:t>
      </w:r>
      <w:r>
        <w:rPr>
          <w:color w:val="221F1F"/>
          <w:spacing w:val="-6"/>
        </w:rPr>
        <w:t xml:space="preserve"> </w:t>
      </w:r>
      <w:r>
        <w:rPr>
          <w:color w:val="221F1F"/>
        </w:rPr>
        <w:t>or</w:t>
      </w:r>
      <w:r>
        <w:rPr>
          <w:color w:val="221F1F"/>
          <w:spacing w:val="-6"/>
        </w:rPr>
        <w:t xml:space="preserve"> </w:t>
      </w:r>
      <w:r>
        <w:rPr>
          <w:color w:val="221F1F"/>
        </w:rPr>
        <w:t>failure</w:t>
      </w:r>
      <w:r>
        <w:rPr>
          <w:color w:val="221F1F"/>
          <w:spacing w:val="-6"/>
        </w:rPr>
        <w:t xml:space="preserve"> </w:t>
      </w:r>
      <w:r>
        <w:rPr>
          <w:color w:val="221F1F"/>
        </w:rPr>
        <w:t>to</w:t>
      </w:r>
      <w:r>
        <w:rPr>
          <w:color w:val="221F1F"/>
          <w:spacing w:val="-7"/>
        </w:rPr>
        <w:t xml:space="preserve"> </w:t>
      </w:r>
      <w:r>
        <w:rPr>
          <w:color w:val="221F1F"/>
        </w:rPr>
        <w:t>provide</w:t>
      </w:r>
      <w:r>
        <w:rPr>
          <w:color w:val="221F1F"/>
          <w:spacing w:val="-6"/>
        </w:rPr>
        <w:t xml:space="preserve"> </w:t>
      </w:r>
      <w:r>
        <w:rPr>
          <w:color w:val="221F1F"/>
        </w:rPr>
        <w:t>required</w:t>
      </w:r>
      <w:r>
        <w:rPr>
          <w:color w:val="221F1F"/>
          <w:spacing w:val="-6"/>
        </w:rPr>
        <w:t xml:space="preserve"> </w:t>
      </w:r>
      <w:r>
        <w:rPr>
          <w:color w:val="221F1F"/>
        </w:rPr>
        <w:t>information</w:t>
      </w:r>
      <w:r>
        <w:rPr>
          <w:color w:val="221F1F"/>
          <w:spacing w:val="-6"/>
        </w:rPr>
        <w:t xml:space="preserve"> </w:t>
      </w:r>
      <w:r>
        <w:rPr>
          <w:color w:val="221F1F"/>
        </w:rPr>
        <w:t>on</w:t>
      </w:r>
      <w:r>
        <w:rPr>
          <w:color w:val="221F1F"/>
          <w:spacing w:val="-9"/>
        </w:rPr>
        <w:t xml:space="preserve"> </w:t>
      </w:r>
      <w:r>
        <w:rPr>
          <w:color w:val="221F1F"/>
        </w:rPr>
        <w:t>its</w:t>
      </w:r>
      <w:r>
        <w:rPr>
          <w:color w:val="221F1F"/>
          <w:spacing w:val="-6"/>
        </w:rPr>
        <w:t xml:space="preserve"> </w:t>
      </w:r>
      <w:r>
        <w:rPr>
          <w:color w:val="221F1F"/>
        </w:rPr>
        <w:t>ownership</w:t>
      </w:r>
      <w:r>
        <w:rPr>
          <w:color w:val="221F1F"/>
          <w:spacing w:val="-7"/>
        </w:rPr>
        <w:t xml:space="preserve"> </w:t>
      </w:r>
      <w:r>
        <w:rPr>
          <w:color w:val="221F1F"/>
        </w:rPr>
        <w:t xml:space="preserve">and </w:t>
      </w:r>
      <w:r>
        <w:rPr>
          <w:color w:val="221F1F"/>
          <w:spacing w:val="-2"/>
        </w:rPr>
        <w:t>control.</w:t>
      </w:r>
    </w:p>
    <w:p w:rsidR="007F6DF9" w:rsidRDefault="00A43FBC">
      <w:pPr>
        <w:pStyle w:val="ListParagraph"/>
        <w:numPr>
          <w:ilvl w:val="1"/>
          <w:numId w:val="216"/>
        </w:numPr>
        <w:tabs>
          <w:tab w:val="left" w:pos="1394"/>
          <w:tab w:val="left" w:pos="1397"/>
        </w:tabs>
        <w:spacing w:before="96" w:line="230" w:lineRule="auto"/>
        <w:ind w:left="1397" w:right="829"/>
        <w:jc w:val="both"/>
      </w:pPr>
      <w:r>
        <w:rPr>
          <w:color w:val="221F1F"/>
        </w:rPr>
        <w:t>The</w:t>
      </w:r>
      <w:r>
        <w:rPr>
          <w:color w:val="221F1F"/>
          <w:spacing w:val="-2"/>
        </w:rPr>
        <w:t xml:space="preserve"> </w:t>
      </w:r>
      <w:r>
        <w:rPr>
          <w:color w:val="221F1F"/>
        </w:rPr>
        <w:t>Tenderer</w:t>
      </w:r>
      <w:r>
        <w:rPr>
          <w:color w:val="221F1F"/>
          <w:spacing w:val="-3"/>
        </w:rPr>
        <w:t xml:space="preserve"> </w:t>
      </w:r>
      <w:r>
        <w:rPr>
          <w:color w:val="221F1F"/>
        </w:rPr>
        <w:t>shall</w:t>
      </w:r>
      <w:r>
        <w:rPr>
          <w:color w:val="221F1F"/>
          <w:spacing w:val="-4"/>
        </w:rPr>
        <w:t xml:space="preserve"> </w:t>
      </w:r>
      <w:r>
        <w:rPr>
          <w:color w:val="221F1F"/>
        </w:rPr>
        <w:t>provide</w:t>
      </w:r>
      <w:r>
        <w:rPr>
          <w:color w:val="221F1F"/>
          <w:spacing w:val="-4"/>
        </w:rPr>
        <w:t xml:space="preserve"> </w:t>
      </w:r>
      <w:r>
        <w:rPr>
          <w:color w:val="221F1F"/>
        </w:rPr>
        <w:t>further</w:t>
      </w:r>
      <w:r>
        <w:rPr>
          <w:color w:val="221F1F"/>
          <w:spacing w:val="-2"/>
        </w:rPr>
        <w:t xml:space="preserve"> </w:t>
      </w:r>
      <w:r>
        <w:rPr>
          <w:color w:val="221F1F"/>
        </w:rPr>
        <w:t>documentary</w:t>
      </w:r>
      <w:r>
        <w:rPr>
          <w:color w:val="221F1F"/>
          <w:spacing w:val="-5"/>
        </w:rPr>
        <w:t xml:space="preserve"> </w:t>
      </w:r>
      <w:r>
        <w:rPr>
          <w:color w:val="221F1F"/>
        </w:rPr>
        <w:t>proof,</w:t>
      </w:r>
      <w:r>
        <w:rPr>
          <w:color w:val="221F1F"/>
          <w:spacing w:val="-7"/>
        </w:rPr>
        <w:t xml:space="preserve"> </w:t>
      </w:r>
      <w:r>
        <w:rPr>
          <w:color w:val="221F1F"/>
        </w:rPr>
        <w:t>information</w:t>
      </w:r>
      <w:r>
        <w:rPr>
          <w:color w:val="221F1F"/>
          <w:spacing w:val="-5"/>
        </w:rPr>
        <w:t xml:space="preserve"> </w:t>
      </w:r>
      <w:r>
        <w:rPr>
          <w:color w:val="221F1F"/>
        </w:rPr>
        <w:t>or</w:t>
      </w:r>
      <w:r>
        <w:rPr>
          <w:color w:val="221F1F"/>
          <w:spacing w:val="-4"/>
        </w:rPr>
        <w:t xml:space="preserve"> </w:t>
      </w:r>
      <w:r>
        <w:rPr>
          <w:color w:val="221F1F"/>
        </w:rPr>
        <w:t>authorizations</w:t>
      </w:r>
      <w:r>
        <w:rPr>
          <w:color w:val="221F1F"/>
          <w:spacing w:val="-2"/>
        </w:rPr>
        <w:t xml:space="preserve"> </w:t>
      </w:r>
      <w:r>
        <w:rPr>
          <w:color w:val="221F1F"/>
        </w:rPr>
        <w:t>that</w:t>
      </w:r>
      <w:r>
        <w:rPr>
          <w:color w:val="221F1F"/>
          <w:spacing w:val="-3"/>
        </w:rPr>
        <w:t xml:space="preserve"> </w:t>
      </w:r>
      <w:r>
        <w:rPr>
          <w:color w:val="221F1F"/>
        </w:rPr>
        <w:t>the</w:t>
      </w:r>
      <w:r>
        <w:rPr>
          <w:color w:val="221F1F"/>
          <w:spacing w:val="-2"/>
        </w:rPr>
        <w:t xml:space="preserve"> </w:t>
      </w:r>
      <w:r>
        <w:rPr>
          <w:color w:val="221F1F"/>
        </w:rPr>
        <w:t>Procuring Entity may</w:t>
      </w:r>
      <w:r>
        <w:rPr>
          <w:color w:val="221F1F"/>
          <w:spacing w:val="-6"/>
        </w:rPr>
        <w:t xml:space="preserve"> </w:t>
      </w:r>
      <w:r>
        <w:rPr>
          <w:color w:val="221F1F"/>
        </w:rPr>
        <w:t>request</w:t>
      </w:r>
      <w:r>
        <w:rPr>
          <w:color w:val="221F1F"/>
          <w:spacing w:val="-5"/>
        </w:rPr>
        <w:t xml:space="preserve"> </w:t>
      </w:r>
      <w:r>
        <w:rPr>
          <w:color w:val="221F1F"/>
        </w:rPr>
        <w:t>in</w:t>
      </w:r>
      <w:r>
        <w:rPr>
          <w:color w:val="221F1F"/>
          <w:spacing w:val="-4"/>
        </w:rPr>
        <w:t xml:space="preserve"> </w:t>
      </w:r>
      <w:r>
        <w:rPr>
          <w:color w:val="221F1F"/>
        </w:rPr>
        <w:t>relation</w:t>
      </w:r>
      <w:r>
        <w:rPr>
          <w:color w:val="221F1F"/>
          <w:spacing w:val="-3"/>
        </w:rPr>
        <w:t xml:space="preserve"> </w:t>
      </w:r>
      <w:r>
        <w:rPr>
          <w:color w:val="221F1F"/>
        </w:rPr>
        <w:t>to</w:t>
      </w:r>
      <w:r>
        <w:rPr>
          <w:color w:val="221F1F"/>
          <w:spacing w:val="-4"/>
        </w:rPr>
        <w:t xml:space="preserve"> </w:t>
      </w:r>
      <w:r>
        <w:rPr>
          <w:color w:val="221F1F"/>
        </w:rPr>
        <w:t>owner</w:t>
      </w:r>
      <w:r>
        <w:rPr>
          <w:color w:val="221F1F"/>
          <w:spacing w:val="-2"/>
        </w:rPr>
        <w:t xml:space="preserve"> </w:t>
      </w:r>
      <w:r>
        <w:rPr>
          <w:color w:val="221F1F"/>
        </w:rPr>
        <w:t>ship</w:t>
      </w:r>
      <w:r>
        <w:rPr>
          <w:color w:val="221F1F"/>
          <w:spacing w:val="-3"/>
        </w:rPr>
        <w:t xml:space="preserve"> </w:t>
      </w:r>
      <w:r>
        <w:rPr>
          <w:color w:val="221F1F"/>
        </w:rPr>
        <w:t>and</w:t>
      </w:r>
      <w:r>
        <w:rPr>
          <w:color w:val="221F1F"/>
          <w:spacing w:val="-6"/>
        </w:rPr>
        <w:t xml:space="preserve"> </w:t>
      </w:r>
      <w:r>
        <w:rPr>
          <w:color w:val="221F1F"/>
        </w:rPr>
        <w:t>control</w:t>
      </w:r>
      <w:r>
        <w:rPr>
          <w:color w:val="221F1F"/>
          <w:spacing w:val="-2"/>
        </w:rPr>
        <w:t xml:space="preserve"> </w:t>
      </w:r>
      <w:r>
        <w:rPr>
          <w:color w:val="221F1F"/>
        </w:rPr>
        <w:t>which</w:t>
      </w:r>
      <w:r>
        <w:rPr>
          <w:color w:val="221F1F"/>
          <w:spacing w:val="-3"/>
        </w:rPr>
        <w:t xml:space="preserve"> </w:t>
      </w:r>
      <w:r>
        <w:rPr>
          <w:color w:val="221F1F"/>
        </w:rPr>
        <w:t>in</w:t>
      </w:r>
      <w:r>
        <w:rPr>
          <w:color w:val="221F1F"/>
          <w:spacing w:val="-4"/>
        </w:rPr>
        <w:t xml:space="preserve"> </w:t>
      </w:r>
      <w:r>
        <w:rPr>
          <w:color w:val="221F1F"/>
        </w:rPr>
        <w:t>formation</w:t>
      </w:r>
      <w:r>
        <w:rPr>
          <w:color w:val="221F1F"/>
          <w:spacing w:val="-3"/>
        </w:rPr>
        <w:t xml:space="preserve"> </w:t>
      </w:r>
      <w:r>
        <w:rPr>
          <w:color w:val="221F1F"/>
        </w:rPr>
        <w:t>on</w:t>
      </w:r>
      <w:r>
        <w:rPr>
          <w:color w:val="221F1F"/>
          <w:spacing w:val="-6"/>
        </w:rPr>
        <w:t xml:space="preserve"> </w:t>
      </w:r>
      <w:r>
        <w:rPr>
          <w:color w:val="221F1F"/>
        </w:rPr>
        <w:t>any</w:t>
      </w:r>
      <w:r>
        <w:rPr>
          <w:color w:val="221F1F"/>
          <w:spacing w:val="-3"/>
        </w:rPr>
        <w:t xml:space="preserve"> </w:t>
      </w:r>
      <w:r>
        <w:rPr>
          <w:color w:val="221F1F"/>
        </w:rPr>
        <w:t>changes</w:t>
      </w:r>
      <w:r>
        <w:rPr>
          <w:color w:val="221F1F"/>
          <w:spacing w:val="-2"/>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information</w:t>
      </w:r>
      <w:r>
        <w:rPr>
          <w:color w:val="221F1F"/>
          <w:spacing w:val="-3"/>
        </w:rPr>
        <w:t xml:space="preserve"> </w:t>
      </w:r>
      <w:r>
        <w:rPr>
          <w:color w:val="221F1F"/>
        </w:rPr>
        <w:t>which was provided by the tenderer under ITT 6.4. The obligations to require this information shall continue for the duration of the procurement process and contract performance and after completion of the contract, if any change to the information previously provided may reveal a conflict of interest in relation to the award or management of the contract.</w:t>
      </w:r>
    </w:p>
    <w:p w:rsidR="007F6DF9" w:rsidRDefault="00A43FBC">
      <w:pPr>
        <w:pStyle w:val="ListParagraph"/>
        <w:numPr>
          <w:ilvl w:val="1"/>
          <w:numId w:val="216"/>
        </w:numPr>
        <w:tabs>
          <w:tab w:val="left" w:pos="1411"/>
        </w:tabs>
        <w:spacing w:before="237"/>
        <w:ind w:left="1411" w:hanging="562"/>
      </w:pPr>
      <w:r>
        <w:rPr>
          <w:color w:val="221F1F"/>
          <w:spacing w:val="-2"/>
        </w:rPr>
        <w:t>All</w:t>
      </w:r>
      <w:r>
        <w:rPr>
          <w:color w:val="221F1F"/>
          <w:spacing w:val="-7"/>
        </w:rPr>
        <w:t xml:space="preserve"> </w:t>
      </w:r>
      <w:r>
        <w:rPr>
          <w:color w:val="221F1F"/>
          <w:spacing w:val="-2"/>
        </w:rPr>
        <w:t>information</w:t>
      </w:r>
      <w:r>
        <w:rPr>
          <w:color w:val="221F1F"/>
          <w:spacing w:val="-6"/>
        </w:rPr>
        <w:t xml:space="preserve"> </w:t>
      </w:r>
      <w:r>
        <w:rPr>
          <w:color w:val="221F1F"/>
          <w:spacing w:val="-2"/>
        </w:rPr>
        <w:t>provided by</w:t>
      </w:r>
      <w:r>
        <w:rPr>
          <w:color w:val="221F1F"/>
          <w:spacing w:val="-5"/>
        </w:rPr>
        <w:t xml:space="preserve"> </w:t>
      </w:r>
      <w:r>
        <w:rPr>
          <w:color w:val="221F1F"/>
          <w:spacing w:val="-2"/>
        </w:rPr>
        <w:t>the</w:t>
      </w:r>
      <w:r>
        <w:rPr>
          <w:color w:val="221F1F"/>
          <w:spacing w:val="-6"/>
        </w:rPr>
        <w:t xml:space="preserve"> </w:t>
      </w:r>
      <w:proofErr w:type="spellStart"/>
      <w:r>
        <w:rPr>
          <w:color w:val="221F1F"/>
          <w:spacing w:val="-2"/>
        </w:rPr>
        <w:t>tenderer</w:t>
      </w:r>
      <w:proofErr w:type="spellEnd"/>
      <w:r>
        <w:rPr>
          <w:color w:val="221F1F"/>
          <w:spacing w:val="-4"/>
        </w:rPr>
        <w:t xml:space="preserve"> </w:t>
      </w:r>
      <w:r>
        <w:rPr>
          <w:color w:val="221F1F"/>
          <w:spacing w:val="-2"/>
        </w:rPr>
        <w:t>pursuant</w:t>
      </w:r>
      <w:r>
        <w:rPr>
          <w:color w:val="221F1F"/>
          <w:spacing w:val="-5"/>
        </w:rPr>
        <w:t xml:space="preserve"> </w:t>
      </w:r>
      <w:r>
        <w:rPr>
          <w:color w:val="221F1F"/>
          <w:spacing w:val="-2"/>
        </w:rPr>
        <w:t>to</w:t>
      </w:r>
      <w:r>
        <w:rPr>
          <w:color w:val="221F1F"/>
          <w:spacing w:val="-7"/>
        </w:rPr>
        <w:t xml:space="preserve"> </w:t>
      </w:r>
      <w:r>
        <w:rPr>
          <w:color w:val="221F1F"/>
          <w:spacing w:val="-2"/>
        </w:rPr>
        <w:t>these requirements</w:t>
      </w:r>
      <w:r>
        <w:rPr>
          <w:color w:val="221F1F"/>
          <w:spacing w:val="-5"/>
        </w:rPr>
        <w:t xml:space="preserve"> </w:t>
      </w:r>
      <w:r>
        <w:rPr>
          <w:color w:val="221F1F"/>
          <w:spacing w:val="-2"/>
        </w:rPr>
        <w:t>must</w:t>
      </w:r>
      <w:r>
        <w:rPr>
          <w:color w:val="221F1F"/>
          <w:spacing w:val="-5"/>
        </w:rPr>
        <w:t xml:space="preserve"> </w:t>
      </w:r>
      <w:r>
        <w:rPr>
          <w:color w:val="221F1F"/>
          <w:spacing w:val="-2"/>
        </w:rPr>
        <w:t>be</w:t>
      </w:r>
      <w:r>
        <w:rPr>
          <w:color w:val="221F1F"/>
          <w:spacing w:val="-5"/>
        </w:rPr>
        <w:t xml:space="preserve"> </w:t>
      </w:r>
      <w:r>
        <w:rPr>
          <w:color w:val="221F1F"/>
          <w:spacing w:val="-2"/>
        </w:rPr>
        <w:t>complete, current</w:t>
      </w:r>
      <w:r>
        <w:rPr>
          <w:color w:val="221F1F"/>
          <w:spacing w:val="-5"/>
        </w:rPr>
        <w:t xml:space="preserve"> </w:t>
      </w:r>
      <w:r>
        <w:rPr>
          <w:color w:val="221F1F"/>
          <w:spacing w:val="-2"/>
        </w:rPr>
        <w:t>and</w:t>
      </w:r>
      <w:r>
        <w:rPr>
          <w:color w:val="221F1F"/>
          <w:spacing w:val="-5"/>
        </w:rPr>
        <w:t xml:space="preserve"> </w:t>
      </w:r>
      <w:r>
        <w:rPr>
          <w:color w:val="221F1F"/>
          <w:spacing w:val="-2"/>
        </w:rPr>
        <w:t>accurate</w:t>
      </w:r>
    </w:p>
    <w:p w:rsidR="007F6DF9" w:rsidRDefault="007F6DF9">
      <w:pPr>
        <w:pStyle w:val="ListParagraph"/>
        <w:sectPr w:rsidR="007F6DF9">
          <w:pgSz w:w="11920" w:h="16850"/>
          <w:pgMar w:top="360" w:right="0" w:bottom="620" w:left="0" w:header="0" w:footer="437" w:gutter="0"/>
          <w:cols w:space="720"/>
        </w:sectPr>
      </w:pPr>
    </w:p>
    <w:p w:rsidR="007F6DF9" w:rsidRDefault="007F6DF9">
      <w:pPr>
        <w:pStyle w:val="BodyText"/>
        <w:spacing w:before="18"/>
      </w:pPr>
    </w:p>
    <w:p w:rsidR="007F6DF9" w:rsidRDefault="00A43FBC">
      <w:pPr>
        <w:pStyle w:val="BodyText"/>
        <w:spacing w:line="230" w:lineRule="auto"/>
        <w:ind w:left="1411" w:right="846"/>
        <w:jc w:val="both"/>
      </w:pPr>
      <w:r>
        <w:rPr>
          <w:color w:val="221F1F"/>
        </w:rPr>
        <w:t>as at the date of provision to the Procuring Entity. In submitting the information required pursuant to these requirements,</w:t>
      </w:r>
      <w:r>
        <w:rPr>
          <w:color w:val="221F1F"/>
          <w:spacing w:val="-6"/>
        </w:rPr>
        <w:t xml:space="preserve"> </w:t>
      </w:r>
      <w:r>
        <w:rPr>
          <w:color w:val="221F1F"/>
        </w:rPr>
        <w:t>the</w:t>
      </w:r>
      <w:r>
        <w:rPr>
          <w:color w:val="221F1F"/>
          <w:spacing w:val="-6"/>
        </w:rPr>
        <w:t xml:space="preserve"> </w:t>
      </w:r>
      <w:r>
        <w:rPr>
          <w:color w:val="221F1F"/>
        </w:rPr>
        <w:t>Tenderer</w:t>
      </w:r>
      <w:r>
        <w:rPr>
          <w:color w:val="221F1F"/>
          <w:spacing w:val="-6"/>
        </w:rPr>
        <w:t xml:space="preserve"> </w:t>
      </w:r>
      <w:r>
        <w:rPr>
          <w:color w:val="221F1F"/>
        </w:rPr>
        <w:t>shall</w:t>
      </w:r>
      <w:r>
        <w:rPr>
          <w:color w:val="221F1F"/>
          <w:spacing w:val="-5"/>
        </w:rPr>
        <w:t xml:space="preserve"> </w:t>
      </w:r>
      <w:r>
        <w:rPr>
          <w:color w:val="221F1F"/>
        </w:rPr>
        <w:t>warrant</w:t>
      </w:r>
      <w:r>
        <w:rPr>
          <w:color w:val="221F1F"/>
          <w:spacing w:val="-6"/>
        </w:rPr>
        <w:t xml:space="preserve"> </w:t>
      </w:r>
      <w:r>
        <w:rPr>
          <w:color w:val="221F1F"/>
        </w:rPr>
        <w:t>that</w:t>
      </w:r>
      <w:r>
        <w:rPr>
          <w:color w:val="221F1F"/>
          <w:spacing w:val="-5"/>
        </w:rPr>
        <w:t xml:space="preserve"> </w:t>
      </w:r>
      <w:r>
        <w:rPr>
          <w:color w:val="221F1F"/>
        </w:rPr>
        <w:t>the</w:t>
      </w:r>
      <w:r>
        <w:rPr>
          <w:color w:val="221F1F"/>
          <w:spacing w:val="-6"/>
        </w:rPr>
        <w:t xml:space="preserve"> </w:t>
      </w:r>
      <w:r>
        <w:rPr>
          <w:color w:val="221F1F"/>
        </w:rPr>
        <w:t>information</w:t>
      </w:r>
      <w:r>
        <w:rPr>
          <w:color w:val="221F1F"/>
          <w:spacing w:val="-5"/>
        </w:rPr>
        <w:t xml:space="preserve"> </w:t>
      </w:r>
      <w:r>
        <w:rPr>
          <w:color w:val="221F1F"/>
        </w:rPr>
        <w:t>submitted</w:t>
      </w:r>
      <w:r>
        <w:rPr>
          <w:color w:val="221F1F"/>
          <w:spacing w:val="-8"/>
        </w:rPr>
        <w:t xml:space="preserve"> </w:t>
      </w:r>
      <w:r>
        <w:rPr>
          <w:color w:val="221F1F"/>
        </w:rPr>
        <w:t>is</w:t>
      </w:r>
      <w:r>
        <w:rPr>
          <w:color w:val="221F1F"/>
          <w:spacing w:val="-6"/>
        </w:rPr>
        <w:t xml:space="preserve"> </w:t>
      </w:r>
      <w:r>
        <w:rPr>
          <w:color w:val="221F1F"/>
        </w:rPr>
        <w:t>complete,</w:t>
      </w:r>
      <w:r>
        <w:rPr>
          <w:color w:val="221F1F"/>
          <w:spacing w:val="-5"/>
        </w:rPr>
        <w:t xml:space="preserve"> </w:t>
      </w:r>
      <w:r>
        <w:rPr>
          <w:color w:val="221F1F"/>
        </w:rPr>
        <w:t>current</w:t>
      </w:r>
      <w:r>
        <w:rPr>
          <w:color w:val="221F1F"/>
          <w:spacing w:val="-6"/>
        </w:rPr>
        <w:t xml:space="preserve"> </w:t>
      </w:r>
      <w:r>
        <w:rPr>
          <w:color w:val="221F1F"/>
        </w:rPr>
        <w:t>and</w:t>
      </w:r>
      <w:r>
        <w:rPr>
          <w:color w:val="221F1F"/>
          <w:spacing w:val="-6"/>
        </w:rPr>
        <w:t xml:space="preserve"> </w:t>
      </w:r>
      <w:r>
        <w:rPr>
          <w:color w:val="221F1F"/>
        </w:rPr>
        <w:t>accurate</w:t>
      </w:r>
      <w:r>
        <w:rPr>
          <w:color w:val="221F1F"/>
          <w:spacing w:val="-5"/>
        </w:rPr>
        <w:t xml:space="preserve"> </w:t>
      </w:r>
      <w:r>
        <w:rPr>
          <w:color w:val="221F1F"/>
        </w:rPr>
        <w:t>as</w:t>
      </w:r>
      <w:r>
        <w:rPr>
          <w:color w:val="221F1F"/>
          <w:spacing w:val="-6"/>
        </w:rPr>
        <w:t xml:space="preserve"> </w:t>
      </w:r>
      <w:r>
        <w:rPr>
          <w:color w:val="221F1F"/>
        </w:rPr>
        <w:t>at the date of submission to the Procuring Entity.</w:t>
      </w:r>
    </w:p>
    <w:p w:rsidR="007F6DF9" w:rsidRDefault="00A43FBC">
      <w:pPr>
        <w:pStyle w:val="ListParagraph"/>
        <w:numPr>
          <w:ilvl w:val="1"/>
          <w:numId w:val="216"/>
        </w:numPr>
        <w:tabs>
          <w:tab w:val="left" w:pos="1407"/>
          <w:tab w:val="left" w:pos="1411"/>
        </w:tabs>
        <w:spacing w:before="246" w:line="230" w:lineRule="auto"/>
        <w:ind w:left="1411" w:right="843" w:hanging="563"/>
        <w:jc w:val="both"/>
      </w:pPr>
      <w:r>
        <w:rPr>
          <w:color w:val="221F1F"/>
        </w:rPr>
        <w:t xml:space="preserve">If a tenderer fails to submit the information required by these requirements, its tender will be rejected. Similarly, </w:t>
      </w:r>
      <w:proofErr w:type="spellStart"/>
      <w:r>
        <w:rPr>
          <w:color w:val="221F1F"/>
        </w:rPr>
        <w:t>iftheProcuring</w:t>
      </w:r>
      <w:proofErr w:type="spellEnd"/>
      <w:r>
        <w:rPr>
          <w:color w:val="221F1F"/>
        </w:rPr>
        <w:t xml:space="preserve"> Entity is unable, after taking reasonable steps, to verify to a reasonable degree the information submitted by a </w:t>
      </w:r>
      <w:proofErr w:type="spellStart"/>
      <w:r>
        <w:rPr>
          <w:color w:val="221F1F"/>
        </w:rPr>
        <w:t>tenderer</w:t>
      </w:r>
      <w:proofErr w:type="spellEnd"/>
      <w:r>
        <w:rPr>
          <w:color w:val="221F1F"/>
        </w:rPr>
        <w:t xml:space="preserve"> pursuant to these requirements, then the tender will be rejected.</w:t>
      </w:r>
    </w:p>
    <w:p w:rsidR="007F6DF9" w:rsidRDefault="00A43FBC">
      <w:pPr>
        <w:pStyle w:val="ListParagraph"/>
        <w:numPr>
          <w:ilvl w:val="1"/>
          <w:numId w:val="216"/>
        </w:numPr>
        <w:tabs>
          <w:tab w:val="left" w:pos="1407"/>
          <w:tab w:val="left" w:pos="1411"/>
        </w:tabs>
        <w:spacing w:before="244" w:line="230" w:lineRule="auto"/>
        <w:ind w:left="1411" w:right="851" w:hanging="563"/>
        <w:jc w:val="both"/>
      </w:pPr>
      <w:r>
        <w:rPr>
          <w:color w:val="221F1F"/>
        </w:rPr>
        <w:t xml:space="preserve">If information submitted by a </w:t>
      </w:r>
      <w:proofErr w:type="spellStart"/>
      <w:r>
        <w:rPr>
          <w:color w:val="221F1F"/>
        </w:rPr>
        <w:t>tenderer</w:t>
      </w:r>
      <w:proofErr w:type="spellEnd"/>
      <w:r>
        <w:rPr>
          <w:color w:val="221F1F"/>
        </w:rPr>
        <w:t xml:space="preserve"> pursuant to these requirements, or obtained by the Procuring Entity (whether through its own enquiries, through notification by the public or otherwise), shows any conflict of interest which could materially and improperly benefit the tenderer in relation to the procurement or contract management process, then:</w:t>
      </w:r>
    </w:p>
    <w:p w:rsidR="007F6DF9" w:rsidRDefault="00A43FBC">
      <w:pPr>
        <w:pStyle w:val="ListParagraph"/>
        <w:numPr>
          <w:ilvl w:val="2"/>
          <w:numId w:val="216"/>
        </w:numPr>
        <w:tabs>
          <w:tab w:val="left" w:pos="1833"/>
        </w:tabs>
        <w:spacing w:before="40"/>
        <w:ind w:left="1833" w:hanging="422"/>
      </w:pPr>
      <w:r>
        <w:rPr>
          <w:color w:val="221F1F"/>
        </w:rPr>
        <w:t>If</w:t>
      </w:r>
      <w:r>
        <w:rPr>
          <w:color w:val="221F1F"/>
          <w:spacing w:val="-4"/>
        </w:rPr>
        <w:t xml:space="preserve"> </w:t>
      </w:r>
      <w:r>
        <w:rPr>
          <w:color w:val="221F1F"/>
        </w:rPr>
        <w:t>the</w:t>
      </w:r>
      <w:r>
        <w:rPr>
          <w:color w:val="221F1F"/>
          <w:spacing w:val="-4"/>
        </w:rPr>
        <w:t xml:space="preserve"> </w:t>
      </w:r>
      <w:r>
        <w:rPr>
          <w:color w:val="221F1F"/>
        </w:rPr>
        <w:t>procurement</w:t>
      </w:r>
      <w:r>
        <w:rPr>
          <w:color w:val="221F1F"/>
          <w:spacing w:val="-3"/>
        </w:rPr>
        <w:t xml:space="preserve"> </w:t>
      </w:r>
      <w:r>
        <w:rPr>
          <w:color w:val="221F1F"/>
        </w:rPr>
        <w:t>process</w:t>
      </w:r>
      <w:r>
        <w:rPr>
          <w:color w:val="221F1F"/>
          <w:spacing w:val="-5"/>
        </w:rPr>
        <w:t xml:space="preserve"> </w:t>
      </w:r>
      <w:r>
        <w:rPr>
          <w:color w:val="221F1F"/>
        </w:rPr>
        <w:t>is</w:t>
      </w:r>
      <w:r>
        <w:rPr>
          <w:color w:val="221F1F"/>
          <w:spacing w:val="-4"/>
        </w:rPr>
        <w:t xml:space="preserve"> </w:t>
      </w:r>
      <w:r>
        <w:rPr>
          <w:color w:val="221F1F"/>
        </w:rPr>
        <w:t>still</w:t>
      </w:r>
      <w:r>
        <w:rPr>
          <w:color w:val="221F1F"/>
          <w:spacing w:val="-5"/>
        </w:rPr>
        <w:t xml:space="preserve"> </w:t>
      </w:r>
      <w:r>
        <w:rPr>
          <w:color w:val="221F1F"/>
        </w:rPr>
        <w:t>ongoing,</w:t>
      </w:r>
      <w:r>
        <w:rPr>
          <w:color w:val="221F1F"/>
          <w:spacing w:val="-5"/>
        </w:rPr>
        <w:t xml:space="preserve"> </w:t>
      </w:r>
      <w:r>
        <w:rPr>
          <w:color w:val="221F1F"/>
        </w:rPr>
        <w:t>the</w:t>
      </w:r>
      <w:r>
        <w:rPr>
          <w:color w:val="221F1F"/>
          <w:spacing w:val="-6"/>
        </w:rPr>
        <w:t xml:space="preserve"> </w:t>
      </w:r>
      <w:r>
        <w:rPr>
          <w:color w:val="221F1F"/>
        </w:rPr>
        <w:t>tenderer</w:t>
      </w:r>
      <w:r>
        <w:rPr>
          <w:color w:val="221F1F"/>
          <w:spacing w:val="-3"/>
        </w:rPr>
        <w:t xml:space="preserve"> </w:t>
      </w:r>
      <w:r>
        <w:rPr>
          <w:color w:val="221F1F"/>
        </w:rPr>
        <w:t>will</w:t>
      </w:r>
      <w:r>
        <w:rPr>
          <w:color w:val="221F1F"/>
          <w:spacing w:val="-3"/>
        </w:rPr>
        <w:t xml:space="preserve"> </w:t>
      </w:r>
      <w:r>
        <w:rPr>
          <w:color w:val="221F1F"/>
        </w:rPr>
        <w:t>bed</w:t>
      </w:r>
      <w:r>
        <w:rPr>
          <w:color w:val="221F1F"/>
          <w:spacing w:val="-5"/>
        </w:rPr>
        <w:t xml:space="preserve"> </w:t>
      </w:r>
      <w:r>
        <w:rPr>
          <w:color w:val="221F1F"/>
        </w:rPr>
        <w:t>is</w:t>
      </w:r>
      <w:r>
        <w:rPr>
          <w:color w:val="221F1F"/>
          <w:spacing w:val="-4"/>
        </w:rPr>
        <w:t xml:space="preserve"> </w:t>
      </w:r>
      <w:r>
        <w:rPr>
          <w:color w:val="221F1F"/>
        </w:rPr>
        <w:t>qualified</w:t>
      </w:r>
      <w:r>
        <w:rPr>
          <w:color w:val="221F1F"/>
          <w:spacing w:val="-4"/>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procurement</w:t>
      </w:r>
      <w:r>
        <w:rPr>
          <w:color w:val="221F1F"/>
          <w:spacing w:val="-4"/>
        </w:rPr>
        <w:t xml:space="preserve"> </w:t>
      </w:r>
      <w:r>
        <w:rPr>
          <w:color w:val="221F1F"/>
          <w:spacing w:val="-2"/>
        </w:rPr>
        <w:t>process,</w:t>
      </w:r>
    </w:p>
    <w:p w:rsidR="007F6DF9" w:rsidRDefault="00A43FBC">
      <w:pPr>
        <w:pStyle w:val="ListParagraph"/>
        <w:numPr>
          <w:ilvl w:val="2"/>
          <w:numId w:val="216"/>
        </w:numPr>
        <w:tabs>
          <w:tab w:val="left" w:pos="1833"/>
          <w:tab w:val="left" w:pos="1841"/>
        </w:tabs>
        <w:spacing w:before="51" w:line="230" w:lineRule="auto"/>
        <w:ind w:left="1841" w:right="1554" w:hanging="430"/>
      </w:pPr>
      <w:r>
        <w:rPr>
          <w:color w:val="221F1F"/>
        </w:rPr>
        <w:t>if</w:t>
      </w:r>
      <w:r>
        <w:rPr>
          <w:color w:val="221F1F"/>
          <w:spacing w:val="-3"/>
        </w:rPr>
        <w:t xml:space="preserve"> </w:t>
      </w:r>
      <w:r>
        <w:rPr>
          <w:color w:val="221F1F"/>
        </w:rPr>
        <w:t>the</w:t>
      </w:r>
      <w:r>
        <w:rPr>
          <w:color w:val="221F1F"/>
          <w:spacing w:val="-1"/>
        </w:rPr>
        <w:t xml:space="preserve"> </w:t>
      </w:r>
      <w:r>
        <w:rPr>
          <w:color w:val="221F1F"/>
        </w:rPr>
        <w:t>contract has been awarded</w:t>
      </w:r>
      <w:r>
        <w:rPr>
          <w:color w:val="221F1F"/>
          <w:spacing w:val="-3"/>
        </w:rPr>
        <w:t xml:space="preserve"> </w:t>
      </w:r>
      <w:r>
        <w:rPr>
          <w:color w:val="221F1F"/>
        </w:rPr>
        <w:t>to</w:t>
      </w:r>
      <w:r>
        <w:rPr>
          <w:color w:val="221F1F"/>
          <w:spacing w:val="-1"/>
        </w:rPr>
        <w:t xml:space="preserve"> </w:t>
      </w:r>
      <w:r>
        <w:rPr>
          <w:color w:val="221F1F"/>
        </w:rPr>
        <w:t>that</w:t>
      </w:r>
      <w:r>
        <w:rPr>
          <w:color w:val="221F1F"/>
          <w:spacing w:val="-2"/>
        </w:rPr>
        <w:t xml:space="preserve"> </w:t>
      </w:r>
      <w:r>
        <w:rPr>
          <w:color w:val="221F1F"/>
        </w:rPr>
        <w:t>tenderer,</w:t>
      </w:r>
      <w:r>
        <w:rPr>
          <w:color w:val="221F1F"/>
          <w:spacing w:val="-3"/>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award</w:t>
      </w:r>
      <w:r>
        <w:rPr>
          <w:color w:val="221F1F"/>
          <w:spacing w:val="-3"/>
        </w:rPr>
        <w:t xml:space="preserve"> </w:t>
      </w:r>
      <w:r>
        <w:rPr>
          <w:color w:val="221F1F"/>
        </w:rPr>
        <w:t>will be</w:t>
      </w:r>
      <w:r>
        <w:rPr>
          <w:color w:val="221F1F"/>
          <w:spacing w:val="-3"/>
        </w:rPr>
        <w:t xml:space="preserve"> </w:t>
      </w:r>
      <w:r>
        <w:rPr>
          <w:color w:val="221F1F"/>
        </w:rPr>
        <w:t>set as</w:t>
      </w:r>
      <w:r>
        <w:rPr>
          <w:color w:val="221F1F"/>
          <w:spacing w:val="-3"/>
        </w:rPr>
        <w:t xml:space="preserve"> </w:t>
      </w:r>
      <w:proofErr w:type="spellStart"/>
      <w:r>
        <w:rPr>
          <w:color w:val="221F1F"/>
        </w:rPr>
        <w:t>idepending</w:t>
      </w:r>
      <w:proofErr w:type="spellEnd"/>
      <w:r>
        <w:rPr>
          <w:color w:val="221F1F"/>
          <w:spacing w:val="-3"/>
        </w:rPr>
        <w:t xml:space="preserve"> </w:t>
      </w:r>
      <w:r>
        <w:rPr>
          <w:color w:val="221F1F"/>
        </w:rPr>
        <w:t>the outcome of (iii),</w:t>
      </w:r>
    </w:p>
    <w:p w:rsidR="007F6DF9" w:rsidRDefault="00A43FBC">
      <w:pPr>
        <w:pStyle w:val="ListParagraph"/>
        <w:numPr>
          <w:ilvl w:val="2"/>
          <w:numId w:val="216"/>
        </w:numPr>
        <w:tabs>
          <w:tab w:val="left" w:pos="1832"/>
          <w:tab w:val="left" w:pos="1841"/>
        </w:tabs>
        <w:spacing w:before="47" w:line="230" w:lineRule="auto"/>
        <w:ind w:left="1841" w:right="967" w:hanging="430"/>
      </w:pPr>
      <w:r>
        <w:rPr>
          <w:color w:val="221F1F"/>
        </w:rPr>
        <w:t>the</w:t>
      </w:r>
      <w:r>
        <w:rPr>
          <w:color w:val="221F1F"/>
          <w:spacing w:val="-4"/>
        </w:rPr>
        <w:t xml:space="preserve"> </w:t>
      </w:r>
      <w:r>
        <w:rPr>
          <w:color w:val="221F1F"/>
        </w:rPr>
        <w:t>tenderer</w:t>
      </w:r>
      <w:r>
        <w:rPr>
          <w:color w:val="221F1F"/>
          <w:spacing w:val="-2"/>
        </w:rPr>
        <w:t xml:space="preserve"> </w:t>
      </w:r>
      <w:r>
        <w:rPr>
          <w:color w:val="221F1F"/>
        </w:rPr>
        <w:t>will</w:t>
      </w:r>
      <w:r>
        <w:rPr>
          <w:color w:val="221F1F"/>
          <w:spacing w:val="-4"/>
        </w:rPr>
        <w:t xml:space="preserve"> </w:t>
      </w:r>
      <w:r>
        <w:rPr>
          <w:color w:val="221F1F"/>
        </w:rPr>
        <w:t>be</w:t>
      </w:r>
      <w:r>
        <w:rPr>
          <w:color w:val="221F1F"/>
          <w:spacing w:val="-2"/>
        </w:rPr>
        <w:t xml:space="preserve"> </w:t>
      </w:r>
      <w:r>
        <w:rPr>
          <w:color w:val="221F1F"/>
        </w:rPr>
        <w:t>referred</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relevant</w:t>
      </w:r>
      <w:r>
        <w:rPr>
          <w:color w:val="221F1F"/>
          <w:spacing w:val="-1"/>
        </w:rPr>
        <w:t xml:space="preserve"> </w:t>
      </w:r>
      <w:r>
        <w:rPr>
          <w:color w:val="221F1F"/>
        </w:rPr>
        <w:t>law</w:t>
      </w:r>
      <w:r>
        <w:rPr>
          <w:color w:val="221F1F"/>
          <w:spacing w:val="-2"/>
        </w:rPr>
        <w:t xml:space="preserve"> </w:t>
      </w:r>
      <w:r>
        <w:rPr>
          <w:color w:val="221F1F"/>
        </w:rPr>
        <w:t>enforcement</w:t>
      </w:r>
      <w:r>
        <w:rPr>
          <w:color w:val="221F1F"/>
          <w:spacing w:val="-1"/>
        </w:rPr>
        <w:t xml:space="preserve"> </w:t>
      </w:r>
      <w:r>
        <w:rPr>
          <w:color w:val="221F1F"/>
        </w:rPr>
        <w:t>authorities</w:t>
      </w:r>
      <w:r>
        <w:rPr>
          <w:color w:val="221F1F"/>
          <w:spacing w:val="-2"/>
        </w:rPr>
        <w:t xml:space="preserve"> </w:t>
      </w:r>
      <w:r>
        <w:rPr>
          <w:color w:val="221F1F"/>
        </w:rPr>
        <w:t>for</w:t>
      </w:r>
      <w:r>
        <w:rPr>
          <w:color w:val="221F1F"/>
          <w:spacing w:val="-4"/>
        </w:rPr>
        <w:t xml:space="preserve"> </w:t>
      </w:r>
      <w:r>
        <w:rPr>
          <w:color w:val="221F1F"/>
        </w:rPr>
        <w:t>investigation</w:t>
      </w:r>
      <w:r>
        <w:rPr>
          <w:color w:val="221F1F"/>
          <w:spacing w:val="-2"/>
        </w:rPr>
        <w:t xml:space="preserve"> </w:t>
      </w:r>
      <w:r>
        <w:rPr>
          <w:color w:val="221F1F"/>
        </w:rPr>
        <w:t>of</w:t>
      </w:r>
      <w:r>
        <w:rPr>
          <w:color w:val="221F1F"/>
          <w:spacing w:val="-2"/>
        </w:rPr>
        <w:t xml:space="preserve"> </w:t>
      </w:r>
      <w:r>
        <w:rPr>
          <w:color w:val="221F1F"/>
        </w:rPr>
        <w:t>whether</w:t>
      </w:r>
      <w:r>
        <w:rPr>
          <w:color w:val="221F1F"/>
          <w:spacing w:val="-4"/>
        </w:rPr>
        <w:t xml:space="preserve"> </w:t>
      </w:r>
      <w:r>
        <w:rPr>
          <w:color w:val="221F1F"/>
        </w:rPr>
        <w:t>the tenderer or any other person shave committed any criminal offence.</w:t>
      </w:r>
    </w:p>
    <w:p w:rsidR="007F6DF9" w:rsidRDefault="00A43FBC">
      <w:pPr>
        <w:pStyle w:val="ListParagraph"/>
        <w:numPr>
          <w:ilvl w:val="1"/>
          <w:numId w:val="216"/>
        </w:numPr>
        <w:tabs>
          <w:tab w:val="left" w:pos="1406"/>
          <w:tab w:val="left" w:pos="1409"/>
        </w:tabs>
        <w:spacing w:before="247" w:line="230" w:lineRule="auto"/>
        <w:ind w:left="1409" w:right="846"/>
        <w:jc w:val="both"/>
      </w:pPr>
      <w:r>
        <w:rPr>
          <w:color w:val="221F1F"/>
        </w:rPr>
        <w:t>If</w:t>
      </w:r>
      <w:r>
        <w:rPr>
          <w:color w:val="221F1F"/>
          <w:spacing w:val="-6"/>
        </w:rPr>
        <w:t xml:space="preserve"> </w:t>
      </w:r>
      <w:r>
        <w:rPr>
          <w:color w:val="221F1F"/>
        </w:rPr>
        <w:t>a</w:t>
      </w:r>
      <w:r>
        <w:rPr>
          <w:color w:val="221F1F"/>
          <w:spacing w:val="-7"/>
        </w:rPr>
        <w:t xml:space="preserve"> </w:t>
      </w:r>
      <w:r>
        <w:rPr>
          <w:color w:val="221F1F"/>
        </w:rPr>
        <w:t>tenderer</w:t>
      </w:r>
      <w:r>
        <w:rPr>
          <w:color w:val="221F1F"/>
          <w:spacing w:val="-6"/>
        </w:rPr>
        <w:t xml:space="preserve"> </w:t>
      </w:r>
      <w:r>
        <w:rPr>
          <w:color w:val="221F1F"/>
        </w:rPr>
        <w:t>submits</w:t>
      </w:r>
      <w:r>
        <w:rPr>
          <w:color w:val="221F1F"/>
          <w:spacing w:val="-6"/>
        </w:rPr>
        <w:t xml:space="preserve"> </w:t>
      </w:r>
      <w:r>
        <w:rPr>
          <w:color w:val="221F1F"/>
        </w:rPr>
        <w:t>information</w:t>
      </w:r>
      <w:r>
        <w:rPr>
          <w:color w:val="221F1F"/>
          <w:spacing w:val="-6"/>
        </w:rPr>
        <w:t xml:space="preserve"> </w:t>
      </w:r>
      <w:r>
        <w:rPr>
          <w:color w:val="221F1F"/>
        </w:rPr>
        <w:t>pursuant</w:t>
      </w:r>
      <w:r>
        <w:rPr>
          <w:color w:val="221F1F"/>
          <w:spacing w:val="-8"/>
        </w:rPr>
        <w:t xml:space="preserve"> </w:t>
      </w:r>
      <w:r>
        <w:rPr>
          <w:color w:val="221F1F"/>
        </w:rPr>
        <w:t>to</w:t>
      </w:r>
      <w:r>
        <w:rPr>
          <w:color w:val="221F1F"/>
          <w:spacing w:val="-7"/>
        </w:rPr>
        <w:t xml:space="preserve"> </w:t>
      </w:r>
      <w:r>
        <w:rPr>
          <w:color w:val="221F1F"/>
        </w:rPr>
        <w:t>these</w:t>
      </w:r>
      <w:r>
        <w:rPr>
          <w:color w:val="221F1F"/>
          <w:spacing w:val="-9"/>
        </w:rPr>
        <w:t xml:space="preserve"> </w:t>
      </w:r>
      <w:r>
        <w:rPr>
          <w:color w:val="221F1F"/>
        </w:rPr>
        <w:t>requirements</w:t>
      </w:r>
      <w:r>
        <w:rPr>
          <w:color w:val="221F1F"/>
          <w:spacing w:val="-8"/>
        </w:rPr>
        <w:t xml:space="preserve"> </w:t>
      </w:r>
      <w:r>
        <w:rPr>
          <w:color w:val="221F1F"/>
        </w:rPr>
        <w:t>that</w:t>
      </w:r>
      <w:r>
        <w:rPr>
          <w:color w:val="221F1F"/>
          <w:spacing w:val="-8"/>
        </w:rPr>
        <w:t xml:space="preserve"> </w:t>
      </w:r>
      <w:r>
        <w:rPr>
          <w:color w:val="221F1F"/>
        </w:rPr>
        <w:t>is</w:t>
      </w:r>
      <w:r>
        <w:rPr>
          <w:color w:val="221F1F"/>
          <w:spacing w:val="-7"/>
        </w:rPr>
        <w:t xml:space="preserve"> </w:t>
      </w:r>
      <w:r>
        <w:rPr>
          <w:color w:val="221F1F"/>
        </w:rPr>
        <w:t>in</w:t>
      </w:r>
      <w:r>
        <w:rPr>
          <w:color w:val="221F1F"/>
          <w:spacing w:val="-7"/>
        </w:rPr>
        <w:t xml:space="preserve"> </w:t>
      </w:r>
      <w:r>
        <w:rPr>
          <w:color w:val="221F1F"/>
        </w:rPr>
        <w:t>complete,</w:t>
      </w:r>
      <w:r>
        <w:rPr>
          <w:color w:val="221F1F"/>
          <w:spacing w:val="-6"/>
        </w:rPr>
        <w:t xml:space="preserve"> </w:t>
      </w:r>
      <w:r>
        <w:rPr>
          <w:color w:val="221F1F"/>
        </w:rPr>
        <w:t>in</w:t>
      </w:r>
      <w:r>
        <w:rPr>
          <w:color w:val="221F1F"/>
          <w:spacing w:val="-7"/>
        </w:rPr>
        <w:t xml:space="preserve"> </w:t>
      </w:r>
      <w:r>
        <w:rPr>
          <w:color w:val="221F1F"/>
        </w:rPr>
        <w:t>accurate</w:t>
      </w:r>
      <w:r>
        <w:rPr>
          <w:color w:val="221F1F"/>
          <w:spacing w:val="-6"/>
        </w:rPr>
        <w:t xml:space="preserve"> </w:t>
      </w:r>
      <w:r>
        <w:rPr>
          <w:color w:val="221F1F"/>
        </w:rPr>
        <w:t>or</w:t>
      </w:r>
      <w:r>
        <w:rPr>
          <w:color w:val="221F1F"/>
          <w:spacing w:val="-9"/>
        </w:rPr>
        <w:t xml:space="preserve"> </w:t>
      </w:r>
      <w:r>
        <w:rPr>
          <w:color w:val="221F1F"/>
        </w:rPr>
        <w:t>out-of-date, or</w:t>
      </w:r>
      <w:r>
        <w:rPr>
          <w:color w:val="221F1F"/>
          <w:spacing w:val="-2"/>
        </w:rPr>
        <w:t xml:space="preserve"> </w:t>
      </w:r>
      <w:r>
        <w:rPr>
          <w:color w:val="221F1F"/>
        </w:rPr>
        <w:t>attempts</w:t>
      </w:r>
      <w:r>
        <w:rPr>
          <w:color w:val="221F1F"/>
          <w:spacing w:val="-1"/>
        </w:rPr>
        <w:t xml:space="preserve"> </w:t>
      </w:r>
      <w:r>
        <w:rPr>
          <w:color w:val="221F1F"/>
        </w:rPr>
        <w:t>to</w:t>
      </w:r>
      <w:r>
        <w:rPr>
          <w:color w:val="221F1F"/>
          <w:spacing w:val="-2"/>
        </w:rPr>
        <w:t xml:space="preserve"> </w:t>
      </w:r>
      <w:r>
        <w:rPr>
          <w:color w:val="221F1F"/>
        </w:rPr>
        <w:t>obstruct</w:t>
      </w:r>
      <w:r>
        <w:rPr>
          <w:color w:val="221F1F"/>
          <w:spacing w:val="-1"/>
        </w:rPr>
        <w:t xml:space="preserve"> </w:t>
      </w:r>
      <w:r>
        <w:rPr>
          <w:color w:val="221F1F"/>
        </w:rPr>
        <w:t>the</w:t>
      </w:r>
      <w:r>
        <w:rPr>
          <w:color w:val="221F1F"/>
          <w:spacing w:val="-3"/>
        </w:rPr>
        <w:t xml:space="preserve"> </w:t>
      </w:r>
      <w:r>
        <w:rPr>
          <w:color w:val="221F1F"/>
        </w:rPr>
        <w:t>verification</w:t>
      </w:r>
      <w:r>
        <w:rPr>
          <w:color w:val="221F1F"/>
          <w:spacing w:val="-2"/>
        </w:rPr>
        <w:t xml:space="preserve"> </w:t>
      </w:r>
      <w:r>
        <w:rPr>
          <w:color w:val="221F1F"/>
        </w:rPr>
        <w:t>process,</w:t>
      </w:r>
      <w:r>
        <w:rPr>
          <w:color w:val="221F1F"/>
          <w:spacing w:val="-4"/>
        </w:rPr>
        <w:t xml:space="preserve"> </w:t>
      </w:r>
      <w:r>
        <w:rPr>
          <w:color w:val="221F1F"/>
        </w:rPr>
        <w:t>then</w:t>
      </w:r>
      <w:r>
        <w:rPr>
          <w:color w:val="221F1F"/>
          <w:spacing w:val="-4"/>
        </w:rPr>
        <w:t xml:space="preserve"> </w:t>
      </w:r>
      <w:r>
        <w:rPr>
          <w:color w:val="221F1F"/>
        </w:rPr>
        <w:t>the</w:t>
      </w:r>
      <w:r>
        <w:rPr>
          <w:color w:val="221F1F"/>
          <w:spacing w:val="-1"/>
        </w:rPr>
        <w:t xml:space="preserve"> </w:t>
      </w:r>
      <w:r>
        <w:rPr>
          <w:color w:val="221F1F"/>
        </w:rPr>
        <w:t>consequences</w:t>
      </w:r>
      <w:r>
        <w:rPr>
          <w:color w:val="221F1F"/>
          <w:spacing w:val="-1"/>
        </w:rPr>
        <w:t xml:space="preserve"> </w:t>
      </w:r>
      <w:r>
        <w:rPr>
          <w:color w:val="221F1F"/>
        </w:rPr>
        <w:t>ITT</w:t>
      </w:r>
      <w:r>
        <w:rPr>
          <w:color w:val="221F1F"/>
          <w:spacing w:val="-3"/>
        </w:rPr>
        <w:t xml:space="preserve"> </w:t>
      </w:r>
      <w:r>
        <w:rPr>
          <w:color w:val="221F1F"/>
        </w:rPr>
        <w:t>17.8</w:t>
      </w:r>
      <w:r>
        <w:rPr>
          <w:color w:val="221F1F"/>
          <w:spacing w:val="-2"/>
        </w:rPr>
        <w:t xml:space="preserve"> </w:t>
      </w:r>
      <w:r>
        <w:rPr>
          <w:color w:val="221F1F"/>
        </w:rPr>
        <w:t>will</w:t>
      </w:r>
      <w:r>
        <w:rPr>
          <w:color w:val="221F1F"/>
          <w:spacing w:val="-1"/>
        </w:rPr>
        <w:t xml:space="preserve"> </w:t>
      </w:r>
      <w:r>
        <w:rPr>
          <w:color w:val="221F1F"/>
        </w:rPr>
        <w:t>ensue</w:t>
      </w:r>
      <w:r>
        <w:rPr>
          <w:color w:val="221F1F"/>
          <w:spacing w:val="-2"/>
        </w:rPr>
        <w:t xml:space="preserve"> </w:t>
      </w:r>
      <w:r>
        <w:rPr>
          <w:color w:val="221F1F"/>
        </w:rPr>
        <w:t>unless</w:t>
      </w:r>
      <w:r>
        <w:rPr>
          <w:color w:val="221F1F"/>
          <w:spacing w:val="-4"/>
        </w:rPr>
        <w:t xml:space="preserve"> </w:t>
      </w:r>
      <w:r>
        <w:rPr>
          <w:color w:val="221F1F"/>
        </w:rPr>
        <w:t>the</w:t>
      </w:r>
      <w:r>
        <w:rPr>
          <w:color w:val="221F1F"/>
          <w:spacing w:val="-4"/>
        </w:rPr>
        <w:t xml:space="preserve"> </w:t>
      </w:r>
      <w:r>
        <w:rPr>
          <w:color w:val="221F1F"/>
        </w:rPr>
        <w:t>tenderer can show to the reasonable satisfaction</w:t>
      </w:r>
      <w:r>
        <w:rPr>
          <w:color w:val="221F1F"/>
          <w:spacing w:val="-1"/>
        </w:rPr>
        <w:t xml:space="preserve"> </w:t>
      </w:r>
      <w:r>
        <w:rPr>
          <w:color w:val="221F1F"/>
        </w:rPr>
        <w:t>of the Procuring Entity that any such</w:t>
      </w:r>
      <w:r>
        <w:rPr>
          <w:color w:val="221F1F"/>
          <w:spacing w:val="-1"/>
        </w:rPr>
        <w:t xml:space="preserve"> </w:t>
      </w:r>
      <w:r>
        <w:rPr>
          <w:color w:val="221F1F"/>
        </w:rPr>
        <w:t>act was not material, or was due to genuine error which was not attributable to the intentional act, negligence or recklessness of the tender.</w:t>
      </w:r>
    </w:p>
    <w:p w:rsidR="007F6DF9" w:rsidRDefault="00A43FBC">
      <w:pPr>
        <w:pStyle w:val="Heading9"/>
        <w:numPr>
          <w:ilvl w:val="1"/>
          <w:numId w:val="215"/>
        </w:numPr>
        <w:tabs>
          <w:tab w:val="left" w:pos="1290"/>
        </w:tabs>
        <w:spacing w:before="237"/>
        <w:ind w:left="1290" w:hanging="441"/>
      </w:pPr>
      <w:bookmarkStart w:id="20" w:name="_bookmark19"/>
      <w:bookmarkEnd w:id="20"/>
      <w:r>
        <w:rPr>
          <w:color w:val="221F1F"/>
        </w:rPr>
        <w:t>Period</w:t>
      </w:r>
      <w:r>
        <w:rPr>
          <w:color w:val="221F1F"/>
          <w:spacing w:val="-4"/>
        </w:rPr>
        <w:t xml:space="preserve"> </w:t>
      </w:r>
      <w:r>
        <w:rPr>
          <w:color w:val="221F1F"/>
        </w:rPr>
        <w:t>of</w:t>
      </w:r>
      <w:r>
        <w:rPr>
          <w:color w:val="221F1F"/>
          <w:spacing w:val="-4"/>
        </w:rPr>
        <w:t xml:space="preserve"> </w:t>
      </w:r>
      <w:r>
        <w:rPr>
          <w:color w:val="221F1F"/>
        </w:rPr>
        <w:t>Validity</w:t>
      </w:r>
      <w:r>
        <w:rPr>
          <w:color w:val="221F1F"/>
          <w:spacing w:val="-4"/>
        </w:rPr>
        <w:t xml:space="preserve"> </w:t>
      </w:r>
      <w:r>
        <w:rPr>
          <w:color w:val="221F1F"/>
        </w:rPr>
        <w:t>of</w:t>
      </w:r>
      <w:r>
        <w:rPr>
          <w:color w:val="221F1F"/>
          <w:spacing w:val="-4"/>
        </w:rPr>
        <w:t xml:space="preserve"> </w:t>
      </w:r>
      <w:r>
        <w:rPr>
          <w:color w:val="221F1F"/>
          <w:spacing w:val="-2"/>
        </w:rPr>
        <w:t>Tenders</w:t>
      </w:r>
    </w:p>
    <w:p w:rsidR="007F6DF9" w:rsidRDefault="00A43FBC">
      <w:pPr>
        <w:pStyle w:val="BodyText"/>
        <w:spacing w:before="242" w:line="230" w:lineRule="auto"/>
        <w:ind w:left="1409" w:right="848" w:hanging="560"/>
        <w:jc w:val="both"/>
      </w:pPr>
      <w:r>
        <w:rPr>
          <w:color w:val="221F1F"/>
          <w:spacing w:val="-2"/>
        </w:rPr>
        <w:t>18.1.</w:t>
      </w:r>
      <w:r>
        <w:rPr>
          <w:color w:val="221F1F"/>
          <w:spacing w:val="-5"/>
        </w:rPr>
        <w:t xml:space="preserve"> </w:t>
      </w:r>
      <w:r>
        <w:rPr>
          <w:color w:val="221F1F"/>
          <w:spacing w:val="-2"/>
        </w:rPr>
        <w:t>Tenders</w:t>
      </w:r>
      <w:r>
        <w:rPr>
          <w:color w:val="221F1F"/>
          <w:spacing w:val="-8"/>
        </w:rPr>
        <w:t xml:space="preserve"> </w:t>
      </w:r>
      <w:r>
        <w:rPr>
          <w:color w:val="221F1F"/>
          <w:spacing w:val="-2"/>
        </w:rPr>
        <w:t>shall remain</w:t>
      </w:r>
      <w:r>
        <w:rPr>
          <w:color w:val="221F1F"/>
          <w:spacing w:val="-5"/>
        </w:rPr>
        <w:t xml:space="preserve"> </w:t>
      </w:r>
      <w:r>
        <w:rPr>
          <w:color w:val="221F1F"/>
          <w:spacing w:val="-2"/>
        </w:rPr>
        <w:t>valid</w:t>
      </w:r>
      <w:r>
        <w:rPr>
          <w:color w:val="221F1F"/>
          <w:spacing w:val="-3"/>
        </w:rPr>
        <w:t xml:space="preserve"> </w:t>
      </w:r>
      <w:r>
        <w:rPr>
          <w:color w:val="221F1F"/>
          <w:spacing w:val="-2"/>
        </w:rPr>
        <w:t>for</w:t>
      </w:r>
      <w:r>
        <w:rPr>
          <w:color w:val="221F1F"/>
          <w:spacing w:val="-4"/>
        </w:rPr>
        <w:t xml:space="preserve"> </w:t>
      </w:r>
      <w:r>
        <w:rPr>
          <w:color w:val="221F1F"/>
          <w:spacing w:val="-2"/>
        </w:rPr>
        <w:t>the</w:t>
      </w:r>
      <w:r>
        <w:rPr>
          <w:color w:val="221F1F"/>
          <w:spacing w:val="-3"/>
        </w:rPr>
        <w:t xml:space="preserve"> </w:t>
      </w:r>
      <w:r>
        <w:rPr>
          <w:color w:val="221F1F"/>
          <w:spacing w:val="-2"/>
        </w:rPr>
        <w:t>Tender</w:t>
      </w:r>
      <w:r>
        <w:rPr>
          <w:color w:val="221F1F"/>
          <w:spacing w:val="-7"/>
        </w:rPr>
        <w:t xml:space="preserve"> </w:t>
      </w:r>
      <w:r>
        <w:rPr>
          <w:color w:val="221F1F"/>
          <w:spacing w:val="-2"/>
        </w:rPr>
        <w:t>Validity</w:t>
      </w:r>
      <w:r>
        <w:rPr>
          <w:color w:val="221F1F"/>
          <w:spacing w:val="-12"/>
        </w:rPr>
        <w:t xml:space="preserve"> </w:t>
      </w:r>
      <w:r>
        <w:rPr>
          <w:color w:val="221F1F"/>
          <w:spacing w:val="-2"/>
        </w:rPr>
        <w:t>period</w:t>
      </w:r>
      <w:r>
        <w:rPr>
          <w:color w:val="221F1F"/>
          <w:spacing w:val="-3"/>
        </w:rPr>
        <w:t xml:space="preserve"> </w:t>
      </w:r>
      <w:r>
        <w:rPr>
          <w:color w:val="221F1F"/>
          <w:spacing w:val="-2"/>
        </w:rPr>
        <w:t>specified</w:t>
      </w:r>
      <w:r>
        <w:rPr>
          <w:color w:val="221F1F"/>
          <w:spacing w:val="-3"/>
        </w:rPr>
        <w:t xml:space="preserve"> </w:t>
      </w:r>
      <w:r>
        <w:rPr>
          <w:color w:val="221F1F"/>
          <w:spacing w:val="-2"/>
        </w:rPr>
        <w:t>in</w:t>
      </w:r>
      <w:r>
        <w:rPr>
          <w:color w:val="221F1F"/>
          <w:spacing w:val="-3"/>
        </w:rPr>
        <w:t xml:space="preserve"> </w:t>
      </w:r>
      <w:r>
        <w:rPr>
          <w:color w:val="221F1F"/>
          <w:spacing w:val="-2"/>
        </w:rPr>
        <w:t>the</w:t>
      </w:r>
      <w:r>
        <w:rPr>
          <w:color w:val="221F1F"/>
          <w:spacing w:val="-3"/>
        </w:rPr>
        <w:t xml:space="preserve"> </w:t>
      </w:r>
      <w:r>
        <w:rPr>
          <w:b/>
          <w:color w:val="221F1F"/>
          <w:spacing w:val="-2"/>
        </w:rPr>
        <w:t>TDS</w:t>
      </w:r>
      <w:r>
        <w:rPr>
          <w:color w:val="221F1F"/>
          <w:spacing w:val="-2"/>
        </w:rPr>
        <w:t>.</w:t>
      </w:r>
      <w:r>
        <w:rPr>
          <w:color w:val="221F1F"/>
          <w:spacing w:val="-3"/>
        </w:rPr>
        <w:t xml:space="preserve"> </w:t>
      </w:r>
      <w:r>
        <w:rPr>
          <w:color w:val="221F1F"/>
          <w:spacing w:val="-2"/>
        </w:rPr>
        <w:t>The</w:t>
      </w:r>
      <w:r>
        <w:rPr>
          <w:color w:val="221F1F"/>
          <w:spacing w:val="-4"/>
        </w:rPr>
        <w:t xml:space="preserve"> </w:t>
      </w:r>
      <w:r>
        <w:rPr>
          <w:color w:val="221F1F"/>
          <w:spacing w:val="-2"/>
        </w:rPr>
        <w:t>Tender</w:t>
      </w:r>
      <w:r>
        <w:rPr>
          <w:color w:val="221F1F"/>
          <w:spacing w:val="-4"/>
        </w:rPr>
        <w:t xml:space="preserve"> </w:t>
      </w:r>
      <w:r>
        <w:rPr>
          <w:color w:val="221F1F"/>
          <w:spacing w:val="-2"/>
        </w:rPr>
        <w:t>Validity</w:t>
      </w:r>
      <w:r>
        <w:rPr>
          <w:color w:val="221F1F"/>
          <w:spacing w:val="-12"/>
        </w:rPr>
        <w:t xml:space="preserve"> </w:t>
      </w:r>
      <w:r>
        <w:rPr>
          <w:color w:val="221F1F"/>
          <w:spacing w:val="-2"/>
        </w:rPr>
        <w:t>period</w:t>
      </w:r>
      <w:r>
        <w:rPr>
          <w:color w:val="221F1F"/>
          <w:spacing w:val="-6"/>
        </w:rPr>
        <w:t xml:space="preserve"> </w:t>
      </w:r>
      <w:r>
        <w:rPr>
          <w:color w:val="221F1F"/>
          <w:spacing w:val="-2"/>
        </w:rPr>
        <w:t xml:space="preserve">starts </w:t>
      </w:r>
      <w:r>
        <w:rPr>
          <w:color w:val="221F1F"/>
        </w:rPr>
        <w:t>from the date fixed for the Tender submission deadline (as prescribed by the Procuring Entity in accordance with ITT 22). At ender valid for a shorter period shall be rejected by the Procuring Entity as non-responsive.</w:t>
      </w:r>
    </w:p>
    <w:p w:rsidR="007F6DF9" w:rsidRDefault="00A43FBC">
      <w:pPr>
        <w:pStyle w:val="BodyText"/>
        <w:spacing w:before="244" w:line="230" w:lineRule="auto"/>
        <w:ind w:left="1409" w:right="849" w:hanging="560"/>
      </w:pPr>
      <w:r>
        <w:rPr>
          <w:color w:val="221F1F"/>
        </w:rPr>
        <w:t>18.2 In exceptional circumstances, prior to the expiration of the</w:t>
      </w:r>
      <w:r>
        <w:rPr>
          <w:color w:val="221F1F"/>
          <w:spacing w:val="22"/>
        </w:rPr>
        <w:t xml:space="preserve"> </w:t>
      </w:r>
      <w:r>
        <w:rPr>
          <w:color w:val="221F1F"/>
        </w:rPr>
        <w:t xml:space="preserve">Tender validity period, the Procuring Entity may </w:t>
      </w:r>
      <w:proofErr w:type="gramStart"/>
      <w:r>
        <w:rPr>
          <w:color w:val="221F1F"/>
          <w:spacing w:val="-2"/>
        </w:rPr>
        <w:t>requestTendererstoextendtheperiodofvalidityoftheirTenders.Therequestandtheresponsesshallbemadein</w:t>
      </w:r>
      <w:r>
        <w:rPr>
          <w:color w:val="221F1F"/>
          <w:spacing w:val="80"/>
        </w:rPr>
        <w:t xml:space="preserve">  </w:t>
      </w:r>
      <w:r>
        <w:rPr>
          <w:color w:val="221F1F"/>
        </w:rPr>
        <w:t>writing</w:t>
      </w:r>
      <w:proofErr w:type="gramEnd"/>
      <w:r>
        <w:rPr>
          <w:color w:val="221F1F"/>
        </w:rPr>
        <w:t>. If a Tender Security is requested in accordance with ITT 19, it shall also be extended for thirty (30) days</w:t>
      </w:r>
      <w:r>
        <w:rPr>
          <w:color w:val="221F1F"/>
          <w:spacing w:val="-8"/>
        </w:rPr>
        <w:t xml:space="preserve"> </w:t>
      </w:r>
      <w:r>
        <w:rPr>
          <w:color w:val="221F1F"/>
        </w:rPr>
        <w:t>beyond</w:t>
      </w:r>
      <w:r>
        <w:rPr>
          <w:color w:val="221F1F"/>
          <w:spacing w:val="-9"/>
        </w:rPr>
        <w:t xml:space="preserve"> </w:t>
      </w:r>
      <w:r>
        <w:rPr>
          <w:color w:val="221F1F"/>
        </w:rPr>
        <w:t>the</w:t>
      </w:r>
      <w:r>
        <w:rPr>
          <w:color w:val="221F1F"/>
          <w:spacing w:val="-8"/>
        </w:rPr>
        <w:t xml:space="preserve"> </w:t>
      </w:r>
      <w:r>
        <w:rPr>
          <w:color w:val="221F1F"/>
        </w:rPr>
        <w:t>deadline</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extended</w:t>
      </w:r>
      <w:r>
        <w:rPr>
          <w:color w:val="221F1F"/>
          <w:spacing w:val="-8"/>
        </w:rPr>
        <w:t xml:space="preserve"> </w:t>
      </w:r>
      <w:r>
        <w:rPr>
          <w:color w:val="221F1F"/>
        </w:rPr>
        <w:t>validity</w:t>
      </w:r>
      <w:r>
        <w:rPr>
          <w:color w:val="221F1F"/>
          <w:spacing w:val="-9"/>
        </w:rPr>
        <w:t xml:space="preserve"> </w:t>
      </w:r>
      <w:r>
        <w:rPr>
          <w:color w:val="221F1F"/>
        </w:rPr>
        <w:t>period.</w:t>
      </w:r>
      <w:r>
        <w:rPr>
          <w:color w:val="221F1F"/>
          <w:spacing w:val="-9"/>
        </w:rPr>
        <w:t xml:space="preserve"> </w:t>
      </w:r>
      <w:r>
        <w:rPr>
          <w:color w:val="221F1F"/>
        </w:rPr>
        <w:t>A</w:t>
      </w:r>
      <w:r>
        <w:rPr>
          <w:color w:val="221F1F"/>
          <w:spacing w:val="-10"/>
        </w:rPr>
        <w:t xml:space="preserve"> </w:t>
      </w:r>
      <w:r>
        <w:rPr>
          <w:color w:val="221F1F"/>
        </w:rPr>
        <w:t>Tenderer</w:t>
      </w:r>
      <w:r>
        <w:rPr>
          <w:color w:val="221F1F"/>
          <w:spacing w:val="-10"/>
        </w:rPr>
        <w:t xml:space="preserve"> </w:t>
      </w:r>
      <w:r>
        <w:rPr>
          <w:color w:val="221F1F"/>
        </w:rPr>
        <w:t>may</w:t>
      </w:r>
      <w:r>
        <w:rPr>
          <w:color w:val="221F1F"/>
          <w:spacing w:val="-8"/>
        </w:rPr>
        <w:t xml:space="preserve"> </w:t>
      </w:r>
      <w:r>
        <w:rPr>
          <w:color w:val="221F1F"/>
        </w:rPr>
        <w:t>refuse</w:t>
      </w:r>
      <w:r>
        <w:rPr>
          <w:color w:val="221F1F"/>
          <w:spacing w:val="-8"/>
        </w:rPr>
        <w:t xml:space="preserve"> </w:t>
      </w:r>
      <w:r>
        <w:rPr>
          <w:color w:val="221F1F"/>
        </w:rPr>
        <w:t>the</w:t>
      </w:r>
      <w:r>
        <w:rPr>
          <w:color w:val="221F1F"/>
          <w:spacing w:val="-8"/>
        </w:rPr>
        <w:t xml:space="preserve"> </w:t>
      </w:r>
      <w:r>
        <w:rPr>
          <w:color w:val="221F1F"/>
        </w:rPr>
        <w:t>request</w:t>
      </w:r>
      <w:r>
        <w:rPr>
          <w:color w:val="221F1F"/>
          <w:spacing w:val="-8"/>
        </w:rPr>
        <w:t xml:space="preserve"> </w:t>
      </w:r>
      <w:r>
        <w:rPr>
          <w:color w:val="221F1F"/>
        </w:rPr>
        <w:t>without</w:t>
      </w:r>
      <w:r>
        <w:rPr>
          <w:color w:val="221F1F"/>
          <w:spacing w:val="-10"/>
        </w:rPr>
        <w:t xml:space="preserve"> </w:t>
      </w:r>
      <w:r>
        <w:rPr>
          <w:color w:val="221F1F"/>
        </w:rPr>
        <w:t>forfeiting its Tendersecurity.ATenderergrantingtherequestshallnotberequiredorpermittedtomodifyitsTender.</w:t>
      </w:r>
    </w:p>
    <w:p w:rsidR="007F6DF9" w:rsidRDefault="00A43FBC">
      <w:pPr>
        <w:pStyle w:val="Heading9"/>
        <w:numPr>
          <w:ilvl w:val="1"/>
          <w:numId w:val="214"/>
        </w:numPr>
        <w:tabs>
          <w:tab w:val="left" w:pos="1409"/>
        </w:tabs>
        <w:spacing w:before="237"/>
      </w:pPr>
      <w:bookmarkStart w:id="21" w:name="_bookmark20"/>
      <w:bookmarkEnd w:id="21"/>
      <w:r>
        <w:rPr>
          <w:color w:val="221F1F"/>
          <w:spacing w:val="-6"/>
        </w:rPr>
        <w:t>Tender</w:t>
      </w:r>
      <w:r>
        <w:rPr>
          <w:color w:val="221F1F"/>
          <w:spacing w:val="-2"/>
        </w:rPr>
        <w:t xml:space="preserve"> Security</w:t>
      </w:r>
    </w:p>
    <w:p w:rsidR="007F6DF9" w:rsidRDefault="00A43FBC">
      <w:pPr>
        <w:pStyle w:val="ListParagraph"/>
        <w:numPr>
          <w:ilvl w:val="1"/>
          <w:numId w:val="214"/>
        </w:numPr>
        <w:tabs>
          <w:tab w:val="left" w:pos="1406"/>
          <w:tab w:val="left" w:pos="1409"/>
        </w:tabs>
        <w:spacing w:before="242" w:line="230" w:lineRule="auto"/>
        <w:ind w:right="846"/>
        <w:jc w:val="both"/>
      </w:pPr>
      <w:r>
        <w:rPr>
          <w:color w:val="221F1F"/>
        </w:rPr>
        <w:t>The Tenderer shall</w:t>
      </w:r>
      <w:r>
        <w:rPr>
          <w:color w:val="221F1F"/>
          <w:spacing w:val="-1"/>
        </w:rPr>
        <w:t xml:space="preserve"> </w:t>
      </w:r>
      <w:r>
        <w:rPr>
          <w:color w:val="221F1F"/>
        </w:rPr>
        <w:t>furnish</w:t>
      </w:r>
      <w:r>
        <w:rPr>
          <w:color w:val="221F1F"/>
          <w:spacing w:val="-2"/>
        </w:rPr>
        <w:t xml:space="preserve"> </w:t>
      </w:r>
      <w:r>
        <w:rPr>
          <w:color w:val="221F1F"/>
        </w:rPr>
        <w:t>as part</w:t>
      </w:r>
      <w:r>
        <w:rPr>
          <w:color w:val="221F1F"/>
          <w:spacing w:val="-1"/>
        </w:rPr>
        <w:t xml:space="preserve"> </w:t>
      </w:r>
      <w:r>
        <w:rPr>
          <w:color w:val="221F1F"/>
        </w:rPr>
        <w:t>of</w:t>
      </w:r>
      <w:r>
        <w:rPr>
          <w:color w:val="221F1F"/>
          <w:spacing w:val="-1"/>
        </w:rPr>
        <w:t xml:space="preserve"> </w:t>
      </w:r>
      <w:r>
        <w:rPr>
          <w:color w:val="221F1F"/>
        </w:rPr>
        <w:t>its Tender,</w:t>
      </w:r>
      <w:r>
        <w:rPr>
          <w:color w:val="221F1F"/>
          <w:spacing w:val="-8"/>
        </w:rPr>
        <w:t xml:space="preserve"> </w:t>
      </w:r>
      <w:r>
        <w:rPr>
          <w:color w:val="221F1F"/>
        </w:rPr>
        <w:t>either</w:t>
      </w:r>
      <w:r>
        <w:rPr>
          <w:color w:val="221F1F"/>
          <w:spacing w:val="-1"/>
        </w:rPr>
        <w:t xml:space="preserve"> </w:t>
      </w:r>
      <w:r>
        <w:rPr>
          <w:color w:val="221F1F"/>
        </w:rPr>
        <w:t>a Tender-Securing Declaration or a Tender</w:t>
      </w:r>
      <w:r>
        <w:rPr>
          <w:color w:val="221F1F"/>
          <w:spacing w:val="-5"/>
        </w:rPr>
        <w:t xml:space="preserve"> </w:t>
      </w:r>
      <w:r>
        <w:rPr>
          <w:color w:val="221F1F"/>
        </w:rPr>
        <w:t>Security</w:t>
      </w:r>
      <w:r>
        <w:rPr>
          <w:color w:val="221F1F"/>
          <w:spacing w:val="-2"/>
        </w:rPr>
        <w:t xml:space="preserve"> </w:t>
      </w:r>
      <w:r>
        <w:rPr>
          <w:color w:val="221F1F"/>
        </w:rPr>
        <w:t xml:space="preserve">as specified in the </w:t>
      </w:r>
      <w:r>
        <w:rPr>
          <w:b/>
          <w:color w:val="221F1F"/>
        </w:rPr>
        <w:t>TDS</w:t>
      </w:r>
      <w:r>
        <w:rPr>
          <w:color w:val="221F1F"/>
        </w:rPr>
        <w:t xml:space="preserve">, in original form and, in the case of a Tender Security, in the amount and currency </w:t>
      </w:r>
      <w:r>
        <w:rPr>
          <w:b/>
          <w:color w:val="221F1F"/>
        </w:rPr>
        <w:t>specified</w:t>
      </w:r>
      <w:r>
        <w:rPr>
          <w:b/>
          <w:color w:val="221F1F"/>
          <w:spacing w:val="-14"/>
        </w:rPr>
        <w:t xml:space="preserve"> </w:t>
      </w:r>
      <w:r>
        <w:rPr>
          <w:color w:val="221F1F"/>
        </w:rPr>
        <w:t>in</w:t>
      </w:r>
      <w:r>
        <w:rPr>
          <w:color w:val="221F1F"/>
          <w:spacing w:val="-14"/>
        </w:rPr>
        <w:t xml:space="preserve"> </w:t>
      </w:r>
      <w:r>
        <w:rPr>
          <w:color w:val="221F1F"/>
        </w:rPr>
        <w:t>the</w:t>
      </w:r>
      <w:r>
        <w:rPr>
          <w:color w:val="221F1F"/>
          <w:spacing w:val="-10"/>
        </w:rPr>
        <w:t xml:space="preserve"> </w:t>
      </w:r>
      <w:r>
        <w:rPr>
          <w:b/>
          <w:color w:val="221F1F"/>
        </w:rPr>
        <w:t>TDS</w:t>
      </w:r>
      <w:r>
        <w:rPr>
          <w:color w:val="221F1F"/>
        </w:rPr>
        <w:t>.</w:t>
      </w:r>
      <w:r>
        <w:rPr>
          <w:color w:val="221F1F"/>
          <w:spacing w:val="-10"/>
        </w:rPr>
        <w:t xml:space="preserve"> </w:t>
      </w:r>
      <w:r>
        <w:rPr>
          <w:color w:val="221F1F"/>
        </w:rPr>
        <w:t>A</w:t>
      </w:r>
      <w:r>
        <w:rPr>
          <w:color w:val="221F1F"/>
          <w:spacing w:val="-11"/>
        </w:rPr>
        <w:t xml:space="preserve"> </w:t>
      </w:r>
      <w:r>
        <w:rPr>
          <w:color w:val="221F1F"/>
        </w:rPr>
        <w:t>Tender-Securing</w:t>
      </w:r>
      <w:r>
        <w:rPr>
          <w:color w:val="221F1F"/>
          <w:spacing w:val="-10"/>
        </w:rPr>
        <w:t xml:space="preserve"> </w:t>
      </w:r>
      <w:r>
        <w:rPr>
          <w:color w:val="221F1F"/>
        </w:rPr>
        <w:t>Declaration</w:t>
      </w:r>
      <w:r>
        <w:rPr>
          <w:color w:val="221F1F"/>
          <w:spacing w:val="-13"/>
        </w:rPr>
        <w:t xml:space="preserve"> </w:t>
      </w:r>
      <w:r>
        <w:rPr>
          <w:color w:val="221F1F"/>
        </w:rPr>
        <w:t>shall</w:t>
      </w:r>
      <w:r>
        <w:rPr>
          <w:color w:val="221F1F"/>
          <w:spacing w:val="-8"/>
        </w:rPr>
        <w:t xml:space="preserve"> </w:t>
      </w:r>
      <w:r>
        <w:rPr>
          <w:color w:val="221F1F"/>
        </w:rPr>
        <w:t>use</w:t>
      </w:r>
      <w:r>
        <w:rPr>
          <w:color w:val="221F1F"/>
          <w:spacing w:val="-11"/>
        </w:rPr>
        <w:t xml:space="preserve"> </w:t>
      </w:r>
      <w:r>
        <w:rPr>
          <w:color w:val="221F1F"/>
        </w:rPr>
        <w:t>the</w:t>
      </w:r>
      <w:r>
        <w:rPr>
          <w:color w:val="221F1F"/>
          <w:spacing w:val="-11"/>
        </w:rPr>
        <w:t xml:space="preserve"> </w:t>
      </w:r>
      <w:r>
        <w:rPr>
          <w:color w:val="221F1F"/>
        </w:rPr>
        <w:t>form</w:t>
      </w:r>
      <w:r>
        <w:rPr>
          <w:color w:val="221F1F"/>
          <w:spacing w:val="-11"/>
        </w:rPr>
        <w:t xml:space="preserve"> </w:t>
      </w:r>
      <w:r>
        <w:rPr>
          <w:color w:val="221F1F"/>
        </w:rPr>
        <w:t>included</w:t>
      </w:r>
      <w:r>
        <w:rPr>
          <w:color w:val="221F1F"/>
          <w:spacing w:val="-11"/>
        </w:rPr>
        <w:t xml:space="preserve"> </w:t>
      </w:r>
      <w:r>
        <w:rPr>
          <w:color w:val="221F1F"/>
        </w:rPr>
        <w:t>in</w:t>
      </w:r>
      <w:r>
        <w:rPr>
          <w:color w:val="221F1F"/>
          <w:spacing w:val="-9"/>
        </w:rPr>
        <w:t xml:space="preserve"> </w:t>
      </w:r>
      <w:r>
        <w:rPr>
          <w:color w:val="221F1F"/>
        </w:rPr>
        <w:t>Section</w:t>
      </w:r>
      <w:r>
        <w:rPr>
          <w:color w:val="221F1F"/>
          <w:spacing w:val="-9"/>
        </w:rPr>
        <w:t xml:space="preserve"> </w:t>
      </w:r>
      <w:r>
        <w:rPr>
          <w:color w:val="221F1F"/>
        </w:rPr>
        <w:t>IV,</w:t>
      </w:r>
      <w:r>
        <w:rPr>
          <w:color w:val="221F1F"/>
          <w:spacing w:val="-22"/>
        </w:rPr>
        <w:t xml:space="preserve"> </w:t>
      </w:r>
      <w:r>
        <w:rPr>
          <w:color w:val="221F1F"/>
        </w:rPr>
        <w:t>Tender</w:t>
      </w:r>
      <w:r>
        <w:rPr>
          <w:color w:val="221F1F"/>
          <w:spacing w:val="-14"/>
        </w:rPr>
        <w:t xml:space="preserve"> </w:t>
      </w:r>
      <w:r>
        <w:rPr>
          <w:color w:val="221F1F"/>
        </w:rPr>
        <w:t>Forms.</w:t>
      </w:r>
    </w:p>
    <w:p w:rsidR="007F6DF9" w:rsidRDefault="00A43FBC">
      <w:pPr>
        <w:pStyle w:val="ListParagraph"/>
        <w:numPr>
          <w:ilvl w:val="1"/>
          <w:numId w:val="214"/>
        </w:numPr>
        <w:tabs>
          <w:tab w:val="left" w:pos="1414"/>
        </w:tabs>
        <w:spacing w:before="246" w:line="230" w:lineRule="auto"/>
        <w:ind w:left="1414" w:right="847" w:hanging="565"/>
      </w:pPr>
      <w:r>
        <w:rPr>
          <w:color w:val="221F1F"/>
        </w:rPr>
        <w:t>If</w:t>
      </w:r>
      <w:r>
        <w:rPr>
          <w:color w:val="221F1F"/>
          <w:spacing w:val="-2"/>
        </w:rPr>
        <w:t xml:space="preserve"> </w:t>
      </w:r>
      <w:r>
        <w:rPr>
          <w:color w:val="221F1F"/>
        </w:rPr>
        <w:t>a</w:t>
      </w:r>
      <w:r>
        <w:rPr>
          <w:color w:val="221F1F"/>
          <w:spacing w:val="-3"/>
        </w:rPr>
        <w:t xml:space="preserve"> </w:t>
      </w:r>
      <w:r>
        <w:rPr>
          <w:color w:val="221F1F"/>
        </w:rPr>
        <w:t>Tender</w:t>
      </w:r>
      <w:r>
        <w:rPr>
          <w:color w:val="221F1F"/>
          <w:spacing w:val="-7"/>
        </w:rPr>
        <w:t xml:space="preserve"> </w:t>
      </w:r>
      <w:r>
        <w:rPr>
          <w:color w:val="221F1F"/>
        </w:rPr>
        <w:t>Security</w:t>
      </w:r>
      <w:r>
        <w:rPr>
          <w:color w:val="221F1F"/>
          <w:spacing w:val="-3"/>
        </w:rPr>
        <w:t xml:space="preserve"> </w:t>
      </w:r>
      <w:r>
        <w:rPr>
          <w:color w:val="221F1F"/>
        </w:rPr>
        <w:t>is</w:t>
      </w:r>
      <w:r>
        <w:rPr>
          <w:color w:val="221F1F"/>
          <w:spacing w:val="-3"/>
        </w:rPr>
        <w:t xml:space="preserve"> </w:t>
      </w:r>
      <w:r>
        <w:rPr>
          <w:color w:val="221F1F"/>
        </w:rPr>
        <w:t>specified</w:t>
      </w:r>
      <w:r>
        <w:rPr>
          <w:color w:val="221F1F"/>
          <w:spacing w:val="-3"/>
        </w:rPr>
        <w:t xml:space="preserve"> </w:t>
      </w:r>
      <w:r>
        <w:rPr>
          <w:color w:val="221F1F"/>
        </w:rPr>
        <w:t>pursuant</w:t>
      </w:r>
      <w:r>
        <w:rPr>
          <w:color w:val="221F1F"/>
          <w:spacing w:val="-2"/>
        </w:rPr>
        <w:t xml:space="preserve"> </w:t>
      </w:r>
      <w:r>
        <w:rPr>
          <w:color w:val="221F1F"/>
        </w:rPr>
        <w:t>to</w:t>
      </w:r>
      <w:r>
        <w:rPr>
          <w:color w:val="221F1F"/>
          <w:spacing w:val="-3"/>
        </w:rPr>
        <w:t xml:space="preserve"> </w:t>
      </w:r>
      <w:r>
        <w:rPr>
          <w:color w:val="221F1F"/>
        </w:rPr>
        <w:t>ITT</w:t>
      </w:r>
      <w:r>
        <w:rPr>
          <w:color w:val="221F1F"/>
          <w:spacing w:val="-4"/>
        </w:rPr>
        <w:t xml:space="preserve"> </w:t>
      </w:r>
      <w:r>
        <w:rPr>
          <w:color w:val="221F1F"/>
        </w:rPr>
        <w:t>19.1,</w:t>
      </w:r>
      <w:r>
        <w:rPr>
          <w:color w:val="221F1F"/>
          <w:spacing w:val="-3"/>
        </w:rPr>
        <w:t xml:space="preserve"> </w:t>
      </w:r>
      <w:r>
        <w:rPr>
          <w:color w:val="221F1F"/>
        </w:rPr>
        <w:t>the</w:t>
      </w:r>
      <w:r>
        <w:rPr>
          <w:color w:val="221F1F"/>
          <w:spacing w:val="-3"/>
        </w:rPr>
        <w:t xml:space="preserve"> </w:t>
      </w:r>
      <w:r>
        <w:rPr>
          <w:color w:val="221F1F"/>
        </w:rPr>
        <w:t>Tender</w:t>
      </w:r>
      <w:r>
        <w:rPr>
          <w:color w:val="221F1F"/>
          <w:spacing w:val="-7"/>
        </w:rPr>
        <w:t xml:space="preserve"> </w:t>
      </w:r>
      <w:r>
        <w:rPr>
          <w:color w:val="221F1F"/>
        </w:rPr>
        <w:t>Security</w:t>
      </w:r>
      <w:r>
        <w:rPr>
          <w:color w:val="221F1F"/>
          <w:spacing w:val="-3"/>
        </w:rPr>
        <w:t xml:space="preserve"> </w:t>
      </w:r>
      <w:r>
        <w:rPr>
          <w:color w:val="221F1F"/>
        </w:rPr>
        <w:t>shall</w:t>
      </w:r>
      <w:r>
        <w:rPr>
          <w:color w:val="221F1F"/>
          <w:spacing w:val="-2"/>
        </w:rPr>
        <w:t xml:space="preserve"> </w:t>
      </w:r>
      <w:r>
        <w:rPr>
          <w:color w:val="221F1F"/>
        </w:rPr>
        <w:t>be</w:t>
      </w:r>
      <w:r>
        <w:rPr>
          <w:color w:val="221F1F"/>
          <w:spacing w:val="-5"/>
        </w:rPr>
        <w:t xml:space="preserve"> </w:t>
      </w:r>
      <w:r>
        <w:rPr>
          <w:color w:val="221F1F"/>
        </w:rPr>
        <w:t>a</w:t>
      </w:r>
      <w:r>
        <w:rPr>
          <w:color w:val="221F1F"/>
          <w:spacing w:val="-2"/>
        </w:rPr>
        <w:t xml:space="preserve"> </w:t>
      </w:r>
      <w:r>
        <w:rPr>
          <w:color w:val="221F1F"/>
        </w:rPr>
        <w:t>demand</w:t>
      </w:r>
      <w:r>
        <w:rPr>
          <w:color w:val="221F1F"/>
          <w:spacing w:val="-3"/>
        </w:rPr>
        <w:t xml:space="preserve"> </w:t>
      </w:r>
      <w:r>
        <w:rPr>
          <w:color w:val="221F1F"/>
        </w:rPr>
        <w:t>guarantee</w:t>
      </w:r>
      <w:r>
        <w:rPr>
          <w:color w:val="221F1F"/>
          <w:spacing w:val="-5"/>
        </w:rPr>
        <w:t xml:space="preserve"> </w:t>
      </w:r>
      <w:r>
        <w:rPr>
          <w:color w:val="221F1F"/>
        </w:rPr>
        <w:t>in</w:t>
      </w:r>
      <w:r>
        <w:rPr>
          <w:color w:val="221F1F"/>
          <w:spacing w:val="-3"/>
        </w:rPr>
        <w:t xml:space="preserve"> </w:t>
      </w:r>
      <w:r>
        <w:rPr>
          <w:color w:val="221F1F"/>
        </w:rPr>
        <w:t>any of the following forms at the Tenderer's option:</w:t>
      </w:r>
    </w:p>
    <w:p w:rsidR="007F6DF9" w:rsidRDefault="00A43FBC">
      <w:pPr>
        <w:pStyle w:val="ListParagraph"/>
        <w:numPr>
          <w:ilvl w:val="2"/>
          <w:numId w:val="214"/>
        </w:numPr>
        <w:tabs>
          <w:tab w:val="left" w:pos="1982"/>
        </w:tabs>
        <w:spacing w:before="42"/>
        <w:ind w:hanging="566"/>
      </w:pPr>
      <w:r>
        <w:rPr>
          <w:color w:val="221F1F"/>
          <w:spacing w:val="-2"/>
        </w:rPr>
        <w:t>cash;</w:t>
      </w:r>
    </w:p>
    <w:p w:rsidR="007F6DF9" w:rsidRDefault="00A43FBC">
      <w:pPr>
        <w:pStyle w:val="ListParagraph"/>
        <w:numPr>
          <w:ilvl w:val="0"/>
          <w:numId w:val="213"/>
        </w:numPr>
        <w:tabs>
          <w:tab w:val="left" w:pos="1982"/>
        </w:tabs>
        <w:spacing w:before="40"/>
        <w:ind w:hanging="566"/>
      </w:pPr>
      <w:r>
        <w:rPr>
          <w:color w:val="221F1F"/>
        </w:rPr>
        <w:t xml:space="preserve">a bank </w:t>
      </w:r>
      <w:r>
        <w:rPr>
          <w:color w:val="221F1F"/>
          <w:spacing w:val="-2"/>
        </w:rPr>
        <w:t>guarantee;</w:t>
      </w:r>
    </w:p>
    <w:p w:rsidR="007F6DF9" w:rsidRDefault="00A43FBC">
      <w:pPr>
        <w:pStyle w:val="ListParagraph"/>
        <w:numPr>
          <w:ilvl w:val="0"/>
          <w:numId w:val="213"/>
        </w:numPr>
        <w:tabs>
          <w:tab w:val="left" w:pos="1982"/>
        </w:tabs>
        <w:spacing w:before="48" w:line="230" w:lineRule="auto"/>
        <w:ind w:right="1095"/>
      </w:pPr>
      <w:r>
        <w:rPr>
          <w:color w:val="221F1F"/>
        </w:rPr>
        <w:t>a</w:t>
      </w:r>
      <w:r>
        <w:rPr>
          <w:color w:val="221F1F"/>
          <w:spacing w:val="-2"/>
        </w:rPr>
        <w:t xml:space="preserve"> </w:t>
      </w:r>
      <w:r>
        <w:rPr>
          <w:color w:val="221F1F"/>
        </w:rPr>
        <w:t>guarantee</w:t>
      </w:r>
      <w:r>
        <w:rPr>
          <w:color w:val="221F1F"/>
          <w:spacing w:val="-1"/>
        </w:rPr>
        <w:t xml:space="preserve"> </w:t>
      </w:r>
      <w:r>
        <w:rPr>
          <w:color w:val="221F1F"/>
        </w:rPr>
        <w:t>by</w:t>
      </w:r>
      <w:r>
        <w:rPr>
          <w:color w:val="221F1F"/>
          <w:spacing w:val="-2"/>
        </w:rPr>
        <w:t xml:space="preserve"> </w:t>
      </w:r>
      <w:r>
        <w:rPr>
          <w:color w:val="221F1F"/>
        </w:rPr>
        <w:t>an</w:t>
      </w:r>
      <w:r>
        <w:rPr>
          <w:color w:val="221F1F"/>
          <w:spacing w:val="-5"/>
        </w:rPr>
        <w:t xml:space="preserve"> </w:t>
      </w:r>
      <w:r>
        <w:rPr>
          <w:color w:val="221F1F"/>
        </w:rPr>
        <w:t>insurance</w:t>
      </w:r>
      <w:r>
        <w:rPr>
          <w:color w:val="221F1F"/>
          <w:spacing w:val="-3"/>
        </w:rPr>
        <w:t xml:space="preserve"> </w:t>
      </w:r>
      <w:r>
        <w:rPr>
          <w:color w:val="221F1F"/>
        </w:rPr>
        <w:t>company</w:t>
      </w:r>
      <w:r>
        <w:rPr>
          <w:color w:val="221F1F"/>
          <w:spacing w:val="-4"/>
        </w:rPr>
        <w:t xml:space="preserve"> </w:t>
      </w:r>
      <w:r>
        <w:rPr>
          <w:color w:val="221F1F"/>
        </w:rPr>
        <w:t>registered</w:t>
      </w:r>
      <w:r>
        <w:rPr>
          <w:color w:val="221F1F"/>
          <w:spacing w:val="-1"/>
        </w:rPr>
        <w:t xml:space="preserve"> </w:t>
      </w:r>
      <w:r>
        <w:rPr>
          <w:color w:val="221F1F"/>
        </w:rPr>
        <w:t>and</w:t>
      </w:r>
      <w:r>
        <w:rPr>
          <w:color w:val="221F1F"/>
          <w:spacing w:val="-4"/>
        </w:rPr>
        <w:t xml:space="preserve"> </w:t>
      </w:r>
      <w:r>
        <w:rPr>
          <w:color w:val="221F1F"/>
        </w:rPr>
        <w:t>licensed</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Insurance</w:t>
      </w:r>
      <w:r>
        <w:rPr>
          <w:color w:val="221F1F"/>
          <w:spacing w:val="-1"/>
        </w:rPr>
        <w:t xml:space="preserve"> </w:t>
      </w:r>
      <w:r>
        <w:rPr>
          <w:color w:val="221F1F"/>
        </w:rPr>
        <w:t>Regulatory</w:t>
      </w:r>
      <w:r>
        <w:rPr>
          <w:color w:val="221F1F"/>
          <w:spacing w:val="-2"/>
        </w:rPr>
        <w:t xml:space="preserve"> </w:t>
      </w:r>
      <w:r>
        <w:rPr>
          <w:color w:val="221F1F"/>
        </w:rPr>
        <w:t>Authority listed by the Authority;</w:t>
      </w:r>
    </w:p>
    <w:p w:rsidR="007F6DF9" w:rsidRDefault="00A43FBC">
      <w:pPr>
        <w:pStyle w:val="ListParagraph"/>
        <w:numPr>
          <w:ilvl w:val="0"/>
          <w:numId w:val="229"/>
        </w:numPr>
        <w:tabs>
          <w:tab w:val="left" w:pos="1982"/>
        </w:tabs>
        <w:spacing w:before="49" w:line="230" w:lineRule="auto"/>
        <w:ind w:right="873"/>
      </w:pPr>
      <w:r>
        <w:rPr>
          <w:color w:val="221F1F"/>
        </w:rPr>
        <w:t>a</w:t>
      </w:r>
      <w:r>
        <w:rPr>
          <w:color w:val="221F1F"/>
          <w:spacing w:val="-2"/>
        </w:rPr>
        <w:t xml:space="preserve"> </w:t>
      </w:r>
      <w:r>
        <w:rPr>
          <w:color w:val="221F1F"/>
        </w:rPr>
        <w:t>guarantee</w:t>
      </w:r>
      <w:r>
        <w:rPr>
          <w:color w:val="221F1F"/>
          <w:spacing w:val="-4"/>
        </w:rPr>
        <w:t xml:space="preserve"> </w:t>
      </w:r>
      <w:r>
        <w:rPr>
          <w:color w:val="221F1F"/>
        </w:rPr>
        <w:t>issued</w:t>
      </w:r>
      <w:r>
        <w:rPr>
          <w:color w:val="221F1F"/>
          <w:spacing w:val="-2"/>
        </w:rPr>
        <w:t xml:space="preserve"> </w:t>
      </w:r>
      <w:r>
        <w:rPr>
          <w:color w:val="221F1F"/>
        </w:rPr>
        <w:t>by</w:t>
      </w:r>
      <w:r>
        <w:rPr>
          <w:color w:val="221F1F"/>
          <w:spacing w:val="-4"/>
        </w:rPr>
        <w:t xml:space="preserve"> </w:t>
      </w:r>
      <w:r>
        <w:rPr>
          <w:color w:val="221F1F"/>
        </w:rPr>
        <w:t>a</w:t>
      </w:r>
      <w:r>
        <w:rPr>
          <w:color w:val="221F1F"/>
          <w:spacing w:val="-2"/>
        </w:rPr>
        <w:t xml:space="preserve"> </w:t>
      </w:r>
      <w:r>
        <w:rPr>
          <w:color w:val="221F1F"/>
        </w:rPr>
        <w:t>financial</w:t>
      </w:r>
      <w:r>
        <w:rPr>
          <w:color w:val="221F1F"/>
          <w:spacing w:val="-1"/>
        </w:rPr>
        <w:t xml:space="preserve"> </w:t>
      </w:r>
      <w:r>
        <w:rPr>
          <w:color w:val="221F1F"/>
        </w:rPr>
        <w:t>institution</w:t>
      </w:r>
      <w:r>
        <w:rPr>
          <w:color w:val="221F1F"/>
          <w:spacing w:val="-2"/>
        </w:rPr>
        <w:t xml:space="preserve"> </w:t>
      </w:r>
      <w:r>
        <w:rPr>
          <w:color w:val="221F1F"/>
        </w:rPr>
        <w:t>approved</w:t>
      </w:r>
      <w:r>
        <w:rPr>
          <w:color w:val="221F1F"/>
          <w:spacing w:val="-1"/>
        </w:rPr>
        <w:t xml:space="preserve"> </w:t>
      </w:r>
      <w:r>
        <w:rPr>
          <w:color w:val="221F1F"/>
        </w:rPr>
        <w:t>and</w:t>
      </w:r>
      <w:r>
        <w:rPr>
          <w:color w:val="221F1F"/>
          <w:spacing w:val="-2"/>
        </w:rPr>
        <w:t xml:space="preserve"> </w:t>
      </w:r>
      <w:r>
        <w:rPr>
          <w:color w:val="221F1F"/>
        </w:rPr>
        <w:t>licensed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Central</w:t>
      </w:r>
      <w:r>
        <w:rPr>
          <w:color w:val="221F1F"/>
          <w:spacing w:val="-3"/>
        </w:rPr>
        <w:t xml:space="preserve"> </w:t>
      </w:r>
      <w:r>
        <w:rPr>
          <w:color w:val="221F1F"/>
        </w:rPr>
        <w:t>Bank</w:t>
      </w:r>
      <w:r>
        <w:rPr>
          <w:color w:val="221F1F"/>
          <w:spacing w:val="-2"/>
        </w:rPr>
        <w:t xml:space="preserve"> </w:t>
      </w:r>
      <w:r>
        <w:rPr>
          <w:color w:val="221F1F"/>
        </w:rPr>
        <w:t>of</w:t>
      </w:r>
      <w:r>
        <w:rPr>
          <w:color w:val="221F1F"/>
          <w:spacing w:val="-1"/>
        </w:rPr>
        <w:t xml:space="preserve"> </w:t>
      </w:r>
      <w:r>
        <w:rPr>
          <w:color w:val="221F1F"/>
        </w:rPr>
        <w:t>Kenya,</w:t>
      </w:r>
      <w:r>
        <w:rPr>
          <w:color w:val="221F1F"/>
          <w:spacing w:val="-4"/>
        </w:rPr>
        <w:t xml:space="preserve"> </w:t>
      </w:r>
      <w:r>
        <w:rPr>
          <w:color w:val="221F1F"/>
        </w:rPr>
        <w:t>from a reputable source, and an eligible country.</w:t>
      </w:r>
    </w:p>
    <w:p w:rsidR="007F6DF9" w:rsidRDefault="007F6DF9">
      <w:pPr>
        <w:pStyle w:val="BodyText"/>
        <w:spacing w:before="39"/>
      </w:pPr>
    </w:p>
    <w:p w:rsidR="007F6DF9" w:rsidRDefault="00A43FBC">
      <w:pPr>
        <w:pStyle w:val="ListParagraph"/>
        <w:numPr>
          <w:ilvl w:val="1"/>
          <w:numId w:val="214"/>
        </w:numPr>
        <w:tabs>
          <w:tab w:val="left" w:pos="1468"/>
          <w:tab w:val="left" w:pos="1471"/>
        </w:tabs>
        <w:spacing w:line="230" w:lineRule="auto"/>
        <w:ind w:left="1471" w:right="841" w:hanging="625"/>
        <w:jc w:val="both"/>
      </w:pPr>
      <w:r>
        <w:rPr>
          <w:color w:val="221F1F"/>
        </w:rPr>
        <w:t>If an unconditional bank guarantee is issued by a bank located outside Kenya, the issuing bank shall have a correspondent</w:t>
      </w:r>
      <w:r>
        <w:rPr>
          <w:color w:val="221F1F"/>
          <w:spacing w:val="-6"/>
        </w:rPr>
        <w:t xml:space="preserve"> </w:t>
      </w:r>
      <w:r>
        <w:rPr>
          <w:color w:val="221F1F"/>
        </w:rPr>
        <w:t>bank</w:t>
      </w:r>
      <w:r>
        <w:rPr>
          <w:color w:val="221F1F"/>
          <w:spacing w:val="-10"/>
        </w:rPr>
        <w:t xml:space="preserve"> </w:t>
      </w:r>
      <w:r>
        <w:rPr>
          <w:color w:val="221F1F"/>
        </w:rPr>
        <w:t>located</w:t>
      </w:r>
      <w:r>
        <w:rPr>
          <w:color w:val="221F1F"/>
          <w:spacing w:val="-8"/>
        </w:rPr>
        <w:t xml:space="preserve"> </w:t>
      </w:r>
      <w:r>
        <w:rPr>
          <w:color w:val="221F1F"/>
        </w:rPr>
        <w:t>in</w:t>
      </w:r>
      <w:r>
        <w:rPr>
          <w:color w:val="221F1F"/>
          <w:spacing w:val="-7"/>
        </w:rPr>
        <w:t xml:space="preserve"> </w:t>
      </w:r>
      <w:r>
        <w:rPr>
          <w:color w:val="221F1F"/>
        </w:rPr>
        <w:t>Kenya</w:t>
      </w:r>
      <w:r>
        <w:rPr>
          <w:color w:val="221F1F"/>
          <w:spacing w:val="-9"/>
        </w:rPr>
        <w:t xml:space="preserve"> </w:t>
      </w:r>
      <w:r>
        <w:rPr>
          <w:color w:val="221F1F"/>
        </w:rPr>
        <w:t>to</w:t>
      </w:r>
      <w:r>
        <w:rPr>
          <w:color w:val="221F1F"/>
          <w:spacing w:val="-9"/>
        </w:rPr>
        <w:t xml:space="preserve"> </w:t>
      </w:r>
      <w:r>
        <w:rPr>
          <w:color w:val="221F1F"/>
        </w:rPr>
        <w:t>make</w:t>
      </w:r>
      <w:r>
        <w:rPr>
          <w:color w:val="221F1F"/>
          <w:spacing w:val="-9"/>
        </w:rPr>
        <w:t xml:space="preserve"> </w:t>
      </w:r>
      <w:r>
        <w:rPr>
          <w:color w:val="221F1F"/>
        </w:rPr>
        <w:t>it</w:t>
      </w:r>
      <w:r>
        <w:rPr>
          <w:color w:val="221F1F"/>
          <w:spacing w:val="-8"/>
        </w:rPr>
        <w:t xml:space="preserve"> </w:t>
      </w:r>
      <w:r>
        <w:rPr>
          <w:color w:val="221F1F"/>
        </w:rPr>
        <w:t>enforceable.</w:t>
      </w:r>
      <w:r>
        <w:rPr>
          <w:color w:val="221F1F"/>
          <w:spacing w:val="-6"/>
        </w:rPr>
        <w:t xml:space="preserve"> </w:t>
      </w:r>
      <w:r>
        <w:rPr>
          <w:color w:val="221F1F"/>
        </w:rPr>
        <w:t>The</w:t>
      </w:r>
      <w:r>
        <w:rPr>
          <w:color w:val="221F1F"/>
          <w:spacing w:val="-10"/>
        </w:rPr>
        <w:t xml:space="preserve"> </w:t>
      </w:r>
      <w:r>
        <w:rPr>
          <w:color w:val="221F1F"/>
        </w:rPr>
        <w:t>Tender</w:t>
      </w:r>
      <w:r>
        <w:rPr>
          <w:color w:val="221F1F"/>
          <w:spacing w:val="-11"/>
        </w:rPr>
        <w:t xml:space="preserve"> </w:t>
      </w:r>
      <w:r>
        <w:rPr>
          <w:color w:val="221F1F"/>
        </w:rPr>
        <w:t>Security</w:t>
      </w:r>
      <w:r>
        <w:rPr>
          <w:color w:val="221F1F"/>
          <w:spacing w:val="-9"/>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valid</w:t>
      </w:r>
      <w:r>
        <w:rPr>
          <w:color w:val="221F1F"/>
          <w:spacing w:val="-7"/>
        </w:rPr>
        <w:t xml:space="preserve"> </w:t>
      </w:r>
      <w:r>
        <w:rPr>
          <w:color w:val="221F1F"/>
        </w:rPr>
        <w:t>for</w:t>
      </w:r>
      <w:r>
        <w:rPr>
          <w:color w:val="221F1F"/>
          <w:spacing w:val="-9"/>
        </w:rPr>
        <w:t xml:space="preserve"> </w:t>
      </w:r>
      <w:r>
        <w:rPr>
          <w:color w:val="221F1F"/>
        </w:rPr>
        <w:t>thirty</w:t>
      </w:r>
      <w:r>
        <w:rPr>
          <w:color w:val="221F1F"/>
          <w:spacing w:val="-9"/>
        </w:rPr>
        <w:t xml:space="preserve"> </w:t>
      </w:r>
      <w:r>
        <w:rPr>
          <w:color w:val="221F1F"/>
        </w:rPr>
        <w:t>(30) days beyond the original validity period of the Tender,</w:t>
      </w:r>
      <w:r>
        <w:rPr>
          <w:color w:val="221F1F"/>
          <w:spacing w:val="-6"/>
        </w:rPr>
        <w:t xml:space="preserve"> </w:t>
      </w:r>
      <w:r>
        <w:rPr>
          <w:color w:val="221F1F"/>
        </w:rPr>
        <w:t>or beyond any period of extension if requested under ITT 18.2.</w:t>
      </w:r>
    </w:p>
    <w:p w:rsidR="007F6DF9" w:rsidRDefault="00A43FBC">
      <w:pPr>
        <w:pStyle w:val="ListParagraph"/>
        <w:numPr>
          <w:ilvl w:val="1"/>
          <w:numId w:val="214"/>
        </w:numPr>
        <w:tabs>
          <w:tab w:val="left" w:pos="1471"/>
          <w:tab w:val="left" w:pos="1474"/>
        </w:tabs>
        <w:spacing w:before="195" w:line="230" w:lineRule="auto"/>
        <w:ind w:left="1474" w:right="844" w:hanging="625"/>
        <w:jc w:val="both"/>
      </w:pPr>
      <w:r>
        <w:rPr>
          <w:color w:val="221F1F"/>
        </w:rPr>
        <w:t>If a Tender Security or Tender-Securing Declaration is specified pursuant to ITT 19.1, any Tender not accompanied</w:t>
      </w:r>
      <w:r>
        <w:rPr>
          <w:color w:val="221F1F"/>
          <w:spacing w:val="-1"/>
        </w:rPr>
        <w:t xml:space="preserve"> </w:t>
      </w:r>
      <w:r>
        <w:rPr>
          <w:color w:val="221F1F"/>
        </w:rPr>
        <w:t>by a</w:t>
      </w:r>
      <w:r>
        <w:rPr>
          <w:color w:val="221F1F"/>
          <w:spacing w:val="-1"/>
        </w:rPr>
        <w:t xml:space="preserve"> </w:t>
      </w:r>
      <w:r>
        <w:rPr>
          <w:color w:val="221F1F"/>
        </w:rPr>
        <w:t>substantially responsive Tender</w:t>
      </w:r>
      <w:r>
        <w:rPr>
          <w:color w:val="221F1F"/>
          <w:spacing w:val="-3"/>
        </w:rPr>
        <w:t xml:space="preserve"> </w:t>
      </w:r>
      <w:r>
        <w:rPr>
          <w:color w:val="221F1F"/>
        </w:rPr>
        <w:t>Security or Tender-Securing Declaration shall be</w:t>
      </w:r>
      <w:r>
        <w:rPr>
          <w:color w:val="221F1F"/>
          <w:spacing w:val="-1"/>
        </w:rPr>
        <w:t xml:space="preserve"> </w:t>
      </w:r>
      <w:r>
        <w:rPr>
          <w:color w:val="221F1F"/>
        </w:rPr>
        <w:t>rejected by the Procuring Entity as non-responsive.</w:t>
      </w:r>
    </w:p>
    <w:p w:rsidR="007F6DF9" w:rsidRDefault="00A43FBC">
      <w:pPr>
        <w:pStyle w:val="ListParagraph"/>
        <w:numPr>
          <w:ilvl w:val="1"/>
          <w:numId w:val="214"/>
        </w:numPr>
        <w:tabs>
          <w:tab w:val="left" w:pos="1467"/>
          <w:tab w:val="left" w:pos="1471"/>
        </w:tabs>
        <w:spacing w:before="246" w:line="230" w:lineRule="auto"/>
        <w:ind w:left="1471" w:right="846" w:hanging="623"/>
        <w:jc w:val="both"/>
      </w:pPr>
      <w:r>
        <w:rPr>
          <w:color w:val="221F1F"/>
        </w:rPr>
        <w:t>If</w:t>
      </w:r>
      <w:r>
        <w:rPr>
          <w:color w:val="221F1F"/>
          <w:spacing w:val="-1"/>
        </w:rPr>
        <w:t xml:space="preserve"> </w:t>
      </w:r>
      <w:r>
        <w:rPr>
          <w:color w:val="221F1F"/>
        </w:rPr>
        <w:t>a</w:t>
      </w:r>
      <w:r>
        <w:rPr>
          <w:color w:val="221F1F"/>
          <w:spacing w:val="-3"/>
        </w:rPr>
        <w:t xml:space="preserve"> </w:t>
      </w:r>
      <w:r>
        <w:rPr>
          <w:color w:val="221F1F"/>
        </w:rPr>
        <w:t>Tender</w:t>
      </w:r>
      <w:r>
        <w:rPr>
          <w:color w:val="221F1F"/>
          <w:spacing w:val="-8"/>
        </w:rPr>
        <w:t xml:space="preserve"> </w:t>
      </w:r>
      <w:r>
        <w:rPr>
          <w:color w:val="221F1F"/>
        </w:rPr>
        <w:t>Security</w:t>
      </w:r>
      <w:r>
        <w:rPr>
          <w:color w:val="221F1F"/>
          <w:spacing w:val="-4"/>
        </w:rPr>
        <w:t xml:space="preserve"> </w:t>
      </w:r>
      <w:r>
        <w:rPr>
          <w:color w:val="221F1F"/>
        </w:rPr>
        <w:t>is</w:t>
      </w:r>
      <w:r>
        <w:rPr>
          <w:color w:val="221F1F"/>
          <w:spacing w:val="-4"/>
        </w:rPr>
        <w:t xml:space="preserve"> </w:t>
      </w:r>
      <w:r>
        <w:rPr>
          <w:color w:val="221F1F"/>
        </w:rPr>
        <w:t>specified</w:t>
      </w:r>
      <w:r>
        <w:rPr>
          <w:color w:val="221F1F"/>
          <w:spacing w:val="-5"/>
        </w:rPr>
        <w:t xml:space="preserve"> </w:t>
      </w:r>
      <w:r>
        <w:rPr>
          <w:color w:val="221F1F"/>
        </w:rPr>
        <w:t>pursuant</w:t>
      </w:r>
      <w:r>
        <w:rPr>
          <w:color w:val="221F1F"/>
          <w:spacing w:val="-3"/>
        </w:rPr>
        <w:t xml:space="preserve"> </w:t>
      </w:r>
      <w:r>
        <w:rPr>
          <w:color w:val="221F1F"/>
        </w:rPr>
        <w:t>to</w:t>
      </w:r>
      <w:r>
        <w:rPr>
          <w:color w:val="221F1F"/>
          <w:spacing w:val="-5"/>
        </w:rPr>
        <w:t xml:space="preserve"> </w:t>
      </w:r>
      <w:r>
        <w:rPr>
          <w:color w:val="221F1F"/>
        </w:rPr>
        <w:t>ITT</w:t>
      </w:r>
      <w:r>
        <w:rPr>
          <w:color w:val="221F1F"/>
          <w:spacing w:val="-3"/>
        </w:rPr>
        <w:t xml:space="preserve"> </w:t>
      </w:r>
      <w:r>
        <w:rPr>
          <w:color w:val="221F1F"/>
        </w:rPr>
        <w:t>19.1,</w:t>
      </w:r>
      <w:r>
        <w:rPr>
          <w:color w:val="221F1F"/>
          <w:spacing w:val="-5"/>
        </w:rPr>
        <w:t xml:space="preserve"> </w:t>
      </w:r>
      <w:r>
        <w:rPr>
          <w:color w:val="221F1F"/>
        </w:rPr>
        <w:t>the Tender</w:t>
      </w:r>
      <w:r>
        <w:rPr>
          <w:color w:val="221F1F"/>
          <w:spacing w:val="-8"/>
        </w:rPr>
        <w:t xml:space="preserve"> </w:t>
      </w:r>
      <w:r>
        <w:rPr>
          <w:color w:val="221F1F"/>
        </w:rPr>
        <w:t>Security</w:t>
      </w:r>
      <w:r>
        <w:rPr>
          <w:color w:val="221F1F"/>
          <w:spacing w:val="-5"/>
        </w:rPr>
        <w:t xml:space="preserve"> </w:t>
      </w:r>
      <w:r>
        <w:rPr>
          <w:color w:val="221F1F"/>
        </w:rPr>
        <w:t>of</w:t>
      </w:r>
      <w:r>
        <w:rPr>
          <w:color w:val="221F1F"/>
          <w:spacing w:val="-4"/>
        </w:rPr>
        <w:t xml:space="preserve"> </w:t>
      </w:r>
      <w:r>
        <w:rPr>
          <w:color w:val="221F1F"/>
        </w:rPr>
        <w:t>unsuccessful</w:t>
      </w:r>
      <w:r>
        <w:rPr>
          <w:color w:val="221F1F"/>
          <w:spacing w:val="-1"/>
        </w:rPr>
        <w:t xml:space="preserve"> </w:t>
      </w:r>
      <w:r>
        <w:rPr>
          <w:color w:val="221F1F"/>
        </w:rPr>
        <w:t>Tenderers</w:t>
      </w:r>
      <w:r>
        <w:rPr>
          <w:color w:val="221F1F"/>
          <w:spacing w:val="-4"/>
        </w:rPr>
        <w:t xml:space="preserve"> </w:t>
      </w:r>
      <w:r>
        <w:rPr>
          <w:color w:val="221F1F"/>
        </w:rPr>
        <w:t>shall</w:t>
      </w:r>
      <w:r>
        <w:rPr>
          <w:color w:val="221F1F"/>
          <w:spacing w:val="-3"/>
        </w:rPr>
        <w:t xml:space="preserve"> </w:t>
      </w:r>
      <w:r>
        <w:rPr>
          <w:color w:val="221F1F"/>
        </w:rPr>
        <w:t>be returned as promptly as possible upon the successful Tenderer's signing the Contract and furnishing the Performance</w:t>
      </w:r>
      <w:r>
        <w:rPr>
          <w:color w:val="221F1F"/>
          <w:spacing w:val="-9"/>
        </w:rPr>
        <w:t xml:space="preserve"> </w:t>
      </w:r>
      <w:r>
        <w:rPr>
          <w:color w:val="221F1F"/>
        </w:rPr>
        <w:t>Security</w:t>
      </w:r>
      <w:r>
        <w:rPr>
          <w:color w:val="221F1F"/>
          <w:spacing w:val="-9"/>
        </w:rPr>
        <w:t xml:space="preserve"> </w:t>
      </w:r>
      <w:r>
        <w:rPr>
          <w:color w:val="221F1F"/>
        </w:rPr>
        <w:t>and</w:t>
      </w:r>
      <w:r>
        <w:rPr>
          <w:color w:val="221F1F"/>
          <w:spacing w:val="-9"/>
        </w:rPr>
        <w:t xml:space="preserve"> </w:t>
      </w:r>
      <w:r>
        <w:rPr>
          <w:color w:val="221F1F"/>
        </w:rPr>
        <w:t>any</w:t>
      </w:r>
      <w:r>
        <w:rPr>
          <w:color w:val="221F1F"/>
          <w:spacing w:val="-10"/>
        </w:rPr>
        <w:t xml:space="preserve"> </w:t>
      </w:r>
      <w:r>
        <w:rPr>
          <w:color w:val="221F1F"/>
        </w:rPr>
        <w:t>other</w:t>
      </w:r>
      <w:r>
        <w:rPr>
          <w:color w:val="221F1F"/>
          <w:spacing w:val="-8"/>
        </w:rPr>
        <w:t xml:space="preserve"> </w:t>
      </w:r>
      <w:r>
        <w:rPr>
          <w:color w:val="221F1F"/>
        </w:rPr>
        <w:t>documents</w:t>
      </w:r>
      <w:r>
        <w:rPr>
          <w:color w:val="221F1F"/>
          <w:spacing w:val="-11"/>
        </w:rPr>
        <w:t xml:space="preserve"> </w:t>
      </w:r>
      <w:r>
        <w:rPr>
          <w:color w:val="221F1F"/>
        </w:rPr>
        <w:t>required</w:t>
      </w:r>
      <w:r>
        <w:rPr>
          <w:color w:val="221F1F"/>
          <w:spacing w:val="-9"/>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TDS.</w:t>
      </w:r>
      <w:r>
        <w:rPr>
          <w:color w:val="221F1F"/>
          <w:spacing w:val="-10"/>
        </w:rPr>
        <w:t xml:space="preserve"> </w:t>
      </w:r>
      <w:r>
        <w:rPr>
          <w:color w:val="221F1F"/>
        </w:rPr>
        <w:t>The</w:t>
      </w:r>
      <w:r>
        <w:rPr>
          <w:color w:val="221F1F"/>
          <w:spacing w:val="-10"/>
        </w:rPr>
        <w:t xml:space="preserve"> </w:t>
      </w:r>
      <w:r>
        <w:rPr>
          <w:color w:val="221F1F"/>
        </w:rPr>
        <w:t>Procuring</w:t>
      </w:r>
      <w:r>
        <w:rPr>
          <w:color w:val="221F1F"/>
          <w:spacing w:val="-9"/>
        </w:rPr>
        <w:t xml:space="preserve"> </w:t>
      </w:r>
      <w:r>
        <w:rPr>
          <w:color w:val="221F1F"/>
        </w:rPr>
        <w:t>Entity</w:t>
      </w:r>
      <w:r>
        <w:rPr>
          <w:color w:val="221F1F"/>
          <w:spacing w:val="-9"/>
        </w:rPr>
        <w:t xml:space="preserve"> </w:t>
      </w:r>
      <w:r>
        <w:rPr>
          <w:color w:val="221F1F"/>
        </w:rPr>
        <w:t>shall</w:t>
      </w:r>
      <w:r>
        <w:rPr>
          <w:color w:val="221F1F"/>
          <w:spacing w:val="-8"/>
        </w:rPr>
        <w:t xml:space="preserve"> </w:t>
      </w:r>
      <w:r>
        <w:rPr>
          <w:color w:val="221F1F"/>
        </w:rPr>
        <w:t>also</w:t>
      </w:r>
      <w:r>
        <w:rPr>
          <w:color w:val="221F1F"/>
          <w:spacing w:val="-9"/>
        </w:rPr>
        <w:t xml:space="preserve"> </w:t>
      </w:r>
      <w:r>
        <w:rPr>
          <w:color w:val="221F1F"/>
        </w:rPr>
        <w:t>promptly</w:t>
      </w:r>
    </w:p>
    <w:p w:rsidR="007F6DF9" w:rsidRDefault="007F6DF9">
      <w:pPr>
        <w:pStyle w:val="ListParagraph"/>
        <w:spacing w:line="230" w:lineRule="auto"/>
        <w:jc w:val="both"/>
        <w:sectPr w:rsidR="007F6DF9">
          <w:pgSz w:w="11920" w:h="16850"/>
          <w:pgMar w:top="360" w:right="0" w:bottom="620" w:left="0" w:header="0" w:footer="437" w:gutter="0"/>
          <w:pgNumType w:start="8"/>
          <w:cols w:space="720"/>
        </w:sectPr>
      </w:pPr>
    </w:p>
    <w:p w:rsidR="007F6DF9" w:rsidRDefault="007F6DF9">
      <w:pPr>
        <w:pStyle w:val="BodyText"/>
        <w:spacing w:before="18"/>
      </w:pPr>
    </w:p>
    <w:p w:rsidR="007F6DF9" w:rsidRDefault="00A43FBC">
      <w:pPr>
        <w:pStyle w:val="BodyText"/>
        <w:spacing w:line="230" w:lineRule="auto"/>
        <w:ind w:left="1471"/>
      </w:pPr>
      <w:r>
        <w:rPr>
          <w:color w:val="221F1F"/>
        </w:rPr>
        <w:t>return</w:t>
      </w:r>
      <w:r>
        <w:rPr>
          <w:color w:val="221F1F"/>
          <w:spacing w:val="-6"/>
        </w:rPr>
        <w:t xml:space="preserve"> </w:t>
      </w:r>
      <w:r>
        <w:rPr>
          <w:color w:val="221F1F"/>
        </w:rPr>
        <w:t>the</w:t>
      </w:r>
      <w:r>
        <w:rPr>
          <w:color w:val="221F1F"/>
          <w:spacing w:val="-6"/>
        </w:rPr>
        <w:t xml:space="preserve"> </w:t>
      </w:r>
      <w:r>
        <w:rPr>
          <w:color w:val="221F1F"/>
        </w:rPr>
        <w:t>tender</w:t>
      </w:r>
      <w:r>
        <w:rPr>
          <w:color w:val="221F1F"/>
          <w:spacing w:val="-6"/>
        </w:rPr>
        <w:t xml:space="preserve"> </w:t>
      </w:r>
      <w:r>
        <w:rPr>
          <w:color w:val="221F1F"/>
        </w:rPr>
        <w:t>security</w:t>
      </w:r>
      <w:r>
        <w:rPr>
          <w:color w:val="221F1F"/>
          <w:spacing w:val="-6"/>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tenderers</w:t>
      </w:r>
      <w:r>
        <w:rPr>
          <w:color w:val="221F1F"/>
          <w:spacing w:val="-4"/>
        </w:rPr>
        <w:t xml:space="preserve"> </w:t>
      </w:r>
      <w:r>
        <w:rPr>
          <w:color w:val="221F1F"/>
        </w:rPr>
        <w:t>where</w:t>
      </w:r>
      <w:r>
        <w:rPr>
          <w:color w:val="221F1F"/>
          <w:spacing w:val="-6"/>
        </w:rPr>
        <w:t xml:space="preserve"> </w:t>
      </w:r>
      <w:r>
        <w:rPr>
          <w:color w:val="221F1F"/>
        </w:rPr>
        <w:t>the</w:t>
      </w:r>
      <w:r>
        <w:rPr>
          <w:color w:val="221F1F"/>
          <w:spacing w:val="-4"/>
        </w:rPr>
        <w:t xml:space="preserve"> </w:t>
      </w:r>
      <w:r>
        <w:rPr>
          <w:color w:val="221F1F"/>
        </w:rPr>
        <w:t>procurement</w:t>
      </w:r>
      <w:r>
        <w:rPr>
          <w:color w:val="221F1F"/>
          <w:spacing w:val="-5"/>
        </w:rPr>
        <w:t xml:space="preserve"> </w:t>
      </w:r>
      <w:r>
        <w:rPr>
          <w:color w:val="221F1F"/>
        </w:rPr>
        <w:t>proceedings</w:t>
      </w:r>
      <w:r>
        <w:rPr>
          <w:color w:val="221F1F"/>
          <w:spacing w:val="-6"/>
        </w:rPr>
        <w:t xml:space="preserve"> </w:t>
      </w:r>
      <w:r>
        <w:rPr>
          <w:color w:val="221F1F"/>
        </w:rPr>
        <w:t>are</w:t>
      </w:r>
      <w:r>
        <w:rPr>
          <w:color w:val="221F1F"/>
          <w:spacing w:val="-6"/>
        </w:rPr>
        <w:t xml:space="preserve"> </w:t>
      </w:r>
      <w:r>
        <w:rPr>
          <w:color w:val="221F1F"/>
        </w:rPr>
        <w:t>terminated,</w:t>
      </w:r>
      <w:r>
        <w:rPr>
          <w:color w:val="221F1F"/>
          <w:spacing w:val="-4"/>
        </w:rPr>
        <w:t xml:space="preserve"> </w:t>
      </w:r>
      <w:r>
        <w:rPr>
          <w:color w:val="221F1F"/>
        </w:rPr>
        <w:t>all</w:t>
      </w:r>
      <w:r>
        <w:rPr>
          <w:color w:val="221F1F"/>
          <w:spacing w:val="-6"/>
        </w:rPr>
        <w:t xml:space="preserve"> </w:t>
      </w:r>
      <w:r>
        <w:rPr>
          <w:color w:val="221F1F"/>
        </w:rPr>
        <w:t>tenders</w:t>
      </w:r>
      <w:r>
        <w:rPr>
          <w:color w:val="221F1F"/>
          <w:spacing w:val="-6"/>
        </w:rPr>
        <w:t xml:space="preserve"> </w:t>
      </w:r>
      <w:r>
        <w:rPr>
          <w:color w:val="221F1F"/>
        </w:rPr>
        <w:t>were determined non-responsive or a bidder declines to extend tender validity period.</w:t>
      </w:r>
    </w:p>
    <w:p w:rsidR="007F6DF9" w:rsidRDefault="00A43FBC">
      <w:pPr>
        <w:pStyle w:val="ListParagraph"/>
        <w:numPr>
          <w:ilvl w:val="1"/>
          <w:numId w:val="214"/>
        </w:numPr>
        <w:tabs>
          <w:tab w:val="left" w:pos="1468"/>
          <w:tab w:val="left" w:pos="1471"/>
        </w:tabs>
        <w:spacing w:before="247" w:line="230" w:lineRule="auto"/>
        <w:ind w:left="1471" w:right="843" w:hanging="625"/>
        <w:jc w:val="both"/>
      </w:pPr>
      <w:r>
        <w:rPr>
          <w:color w:val="221F1F"/>
        </w:rPr>
        <w:t>The Tender</w:t>
      </w:r>
      <w:r>
        <w:rPr>
          <w:color w:val="221F1F"/>
          <w:spacing w:val="-3"/>
        </w:rPr>
        <w:t xml:space="preserve"> </w:t>
      </w:r>
      <w:r>
        <w:rPr>
          <w:color w:val="221F1F"/>
        </w:rPr>
        <w:t>Security of the</w:t>
      </w:r>
      <w:r>
        <w:rPr>
          <w:color w:val="221F1F"/>
          <w:spacing w:val="-2"/>
        </w:rPr>
        <w:t xml:space="preserve"> </w:t>
      </w:r>
      <w:r>
        <w:rPr>
          <w:color w:val="221F1F"/>
        </w:rPr>
        <w:t>successful Tenderer</w:t>
      </w:r>
      <w:r>
        <w:rPr>
          <w:color w:val="221F1F"/>
          <w:spacing w:val="-6"/>
        </w:rPr>
        <w:t xml:space="preserve"> </w:t>
      </w:r>
      <w:r>
        <w:rPr>
          <w:color w:val="221F1F"/>
        </w:rPr>
        <w:t>shall be returned</w:t>
      </w:r>
      <w:r>
        <w:rPr>
          <w:color w:val="221F1F"/>
          <w:spacing w:val="-2"/>
        </w:rPr>
        <w:t xml:space="preserve"> </w:t>
      </w:r>
      <w:r>
        <w:rPr>
          <w:color w:val="221F1F"/>
        </w:rPr>
        <w:t>as promptly</w:t>
      </w:r>
      <w:r>
        <w:rPr>
          <w:color w:val="221F1F"/>
          <w:spacing w:val="-2"/>
        </w:rPr>
        <w:t xml:space="preserve"> </w:t>
      </w:r>
      <w:r>
        <w:rPr>
          <w:color w:val="221F1F"/>
        </w:rPr>
        <w:t>as possible</w:t>
      </w:r>
      <w:r>
        <w:rPr>
          <w:color w:val="221F1F"/>
          <w:spacing w:val="-2"/>
        </w:rPr>
        <w:t xml:space="preserve"> </w:t>
      </w:r>
      <w:r>
        <w:rPr>
          <w:color w:val="221F1F"/>
        </w:rPr>
        <w:t>once the successful Tenderer has</w:t>
      </w:r>
      <w:r>
        <w:rPr>
          <w:color w:val="221F1F"/>
          <w:spacing w:val="-1"/>
        </w:rPr>
        <w:t xml:space="preserve"> </w:t>
      </w:r>
      <w:r>
        <w:rPr>
          <w:color w:val="221F1F"/>
        </w:rPr>
        <w:t>signed</w:t>
      </w:r>
      <w:r>
        <w:rPr>
          <w:color w:val="221F1F"/>
          <w:spacing w:val="-1"/>
        </w:rPr>
        <w:t xml:space="preserve"> </w:t>
      </w:r>
      <w:r>
        <w:rPr>
          <w:color w:val="221F1F"/>
        </w:rPr>
        <w:t>the Contract and</w:t>
      </w:r>
      <w:r>
        <w:rPr>
          <w:color w:val="221F1F"/>
          <w:spacing w:val="-1"/>
        </w:rPr>
        <w:t xml:space="preserve"> </w:t>
      </w:r>
      <w:r>
        <w:rPr>
          <w:color w:val="221F1F"/>
        </w:rPr>
        <w:t>furnished</w:t>
      </w:r>
      <w:r>
        <w:rPr>
          <w:color w:val="221F1F"/>
          <w:spacing w:val="-1"/>
        </w:rPr>
        <w:t xml:space="preserve"> </w:t>
      </w:r>
      <w:r>
        <w:rPr>
          <w:color w:val="221F1F"/>
        </w:rPr>
        <w:t>the</w:t>
      </w:r>
      <w:r>
        <w:rPr>
          <w:color w:val="221F1F"/>
          <w:spacing w:val="-1"/>
        </w:rPr>
        <w:t xml:space="preserve"> </w:t>
      </w:r>
      <w:r>
        <w:rPr>
          <w:color w:val="221F1F"/>
        </w:rPr>
        <w:t>required Performance Security, and any other documents required in the TDS.</w:t>
      </w:r>
    </w:p>
    <w:p w:rsidR="007F6DF9" w:rsidRDefault="00A43FBC">
      <w:pPr>
        <w:pStyle w:val="ListParagraph"/>
        <w:numPr>
          <w:ilvl w:val="1"/>
          <w:numId w:val="214"/>
        </w:numPr>
        <w:tabs>
          <w:tab w:val="left" w:pos="1471"/>
        </w:tabs>
        <w:spacing w:before="235"/>
        <w:ind w:left="1471" w:hanging="624"/>
      </w:pPr>
      <w:r>
        <w:rPr>
          <w:color w:val="221F1F"/>
        </w:rPr>
        <w:t>The</w:t>
      </w:r>
      <w:r>
        <w:rPr>
          <w:color w:val="221F1F"/>
          <w:spacing w:val="-8"/>
        </w:rPr>
        <w:t xml:space="preserve"> </w:t>
      </w:r>
      <w:r>
        <w:rPr>
          <w:color w:val="221F1F"/>
        </w:rPr>
        <w:t>Tender</w:t>
      </w:r>
      <w:r>
        <w:rPr>
          <w:color w:val="221F1F"/>
          <w:spacing w:val="-12"/>
        </w:rPr>
        <w:t xml:space="preserve"> </w:t>
      </w:r>
      <w:r>
        <w:rPr>
          <w:color w:val="221F1F"/>
        </w:rPr>
        <w:t>Security</w:t>
      </w:r>
      <w:r>
        <w:rPr>
          <w:color w:val="221F1F"/>
          <w:spacing w:val="-7"/>
        </w:rPr>
        <w:t xml:space="preserve"> </w:t>
      </w:r>
      <w:r>
        <w:rPr>
          <w:color w:val="221F1F"/>
        </w:rPr>
        <w:t>may</w:t>
      </w:r>
      <w:r>
        <w:rPr>
          <w:color w:val="221F1F"/>
          <w:spacing w:val="-6"/>
        </w:rPr>
        <w:t xml:space="preserve"> </w:t>
      </w:r>
      <w:r>
        <w:rPr>
          <w:color w:val="221F1F"/>
        </w:rPr>
        <w:t>be</w:t>
      </w:r>
      <w:r>
        <w:rPr>
          <w:color w:val="221F1F"/>
          <w:spacing w:val="-6"/>
        </w:rPr>
        <w:t xml:space="preserve"> </w:t>
      </w:r>
      <w:r>
        <w:rPr>
          <w:color w:val="221F1F"/>
        </w:rPr>
        <w:t>forfeited</w:t>
      </w:r>
      <w:r>
        <w:rPr>
          <w:color w:val="221F1F"/>
          <w:spacing w:val="-4"/>
        </w:rPr>
        <w:t xml:space="preserve"> </w:t>
      </w:r>
      <w:r>
        <w:rPr>
          <w:color w:val="221F1F"/>
        </w:rPr>
        <w:t>or</w:t>
      </w:r>
      <w:r>
        <w:rPr>
          <w:color w:val="221F1F"/>
          <w:spacing w:val="-5"/>
        </w:rPr>
        <w:t xml:space="preserve"> </w:t>
      </w:r>
      <w:r>
        <w:rPr>
          <w:color w:val="221F1F"/>
        </w:rPr>
        <w:t>the</w:t>
      </w:r>
      <w:r>
        <w:rPr>
          <w:color w:val="221F1F"/>
          <w:spacing w:val="-6"/>
        </w:rPr>
        <w:t xml:space="preserve"> </w:t>
      </w:r>
      <w:r>
        <w:rPr>
          <w:color w:val="221F1F"/>
        </w:rPr>
        <w:t>Tender-Securing</w:t>
      </w:r>
      <w:r>
        <w:rPr>
          <w:color w:val="221F1F"/>
          <w:spacing w:val="-5"/>
        </w:rPr>
        <w:t xml:space="preserve"> </w:t>
      </w:r>
      <w:r>
        <w:rPr>
          <w:color w:val="221F1F"/>
        </w:rPr>
        <w:t>Declaration</w:t>
      </w:r>
      <w:r>
        <w:rPr>
          <w:color w:val="221F1F"/>
          <w:spacing w:val="-7"/>
        </w:rPr>
        <w:t xml:space="preserve"> </w:t>
      </w:r>
      <w:r>
        <w:rPr>
          <w:color w:val="221F1F"/>
          <w:spacing w:val="-2"/>
        </w:rPr>
        <w:t>executed:</w:t>
      </w:r>
    </w:p>
    <w:p w:rsidR="007F6DF9" w:rsidRDefault="00A43FBC">
      <w:pPr>
        <w:pStyle w:val="ListParagraph"/>
        <w:numPr>
          <w:ilvl w:val="0"/>
          <w:numId w:val="212"/>
        </w:numPr>
        <w:tabs>
          <w:tab w:val="left" w:pos="1927"/>
        </w:tabs>
        <w:spacing w:before="48" w:line="230" w:lineRule="auto"/>
        <w:ind w:right="901"/>
      </w:pPr>
      <w:r>
        <w:rPr>
          <w:color w:val="221F1F"/>
        </w:rPr>
        <w:t>if</w:t>
      </w:r>
      <w:r>
        <w:rPr>
          <w:color w:val="221F1F"/>
          <w:spacing w:val="-5"/>
        </w:rPr>
        <w:t xml:space="preserve"> </w:t>
      </w:r>
      <w:r>
        <w:rPr>
          <w:color w:val="221F1F"/>
        </w:rPr>
        <w:t>a</w:t>
      </w:r>
      <w:r>
        <w:rPr>
          <w:color w:val="221F1F"/>
          <w:spacing w:val="-5"/>
        </w:rPr>
        <w:t xml:space="preserve"> </w:t>
      </w:r>
      <w:r>
        <w:rPr>
          <w:color w:val="221F1F"/>
        </w:rPr>
        <w:t>Tenderer</w:t>
      </w:r>
      <w:r>
        <w:rPr>
          <w:color w:val="221F1F"/>
          <w:spacing w:val="-5"/>
        </w:rPr>
        <w:t xml:space="preserve"> </w:t>
      </w:r>
      <w:r>
        <w:rPr>
          <w:color w:val="221F1F"/>
        </w:rPr>
        <w:t>withdraws</w:t>
      </w:r>
      <w:r>
        <w:rPr>
          <w:color w:val="221F1F"/>
          <w:spacing w:val="-5"/>
        </w:rPr>
        <w:t xml:space="preserve"> </w:t>
      </w:r>
      <w:r>
        <w:rPr>
          <w:color w:val="221F1F"/>
        </w:rPr>
        <w:t>its</w:t>
      </w:r>
      <w:r>
        <w:rPr>
          <w:color w:val="221F1F"/>
          <w:spacing w:val="-5"/>
        </w:rPr>
        <w:t xml:space="preserve"> </w:t>
      </w:r>
      <w:r>
        <w:rPr>
          <w:color w:val="221F1F"/>
        </w:rPr>
        <w:t>Tender</w:t>
      </w:r>
      <w:r>
        <w:rPr>
          <w:color w:val="221F1F"/>
          <w:spacing w:val="-9"/>
        </w:rPr>
        <w:t xml:space="preserve"> </w:t>
      </w:r>
      <w:r>
        <w:rPr>
          <w:color w:val="221F1F"/>
        </w:rPr>
        <w:t>during</w:t>
      </w:r>
      <w:r>
        <w:rPr>
          <w:color w:val="221F1F"/>
          <w:spacing w:val="-8"/>
        </w:rPr>
        <w:t xml:space="preserve"> </w:t>
      </w:r>
      <w:r>
        <w:rPr>
          <w:color w:val="221F1F"/>
        </w:rPr>
        <w:t>the</w:t>
      </w:r>
      <w:r>
        <w:rPr>
          <w:color w:val="221F1F"/>
          <w:spacing w:val="-5"/>
        </w:rPr>
        <w:t xml:space="preserve"> </w:t>
      </w:r>
      <w:r>
        <w:rPr>
          <w:color w:val="221F1F"/>
        </w:rPr>
        <w:t>period</w:t>
      </w:r>
      <w:r>
        <w:rPr>
          <w:color w:val="221F1F"/>
          <w:spacing w:val="-5"/>
        </w:rPr>
        <w:t xml:space="preserve"> </w:t>
      </w:r>
      <w:r>
        <w:rPr>
          <w:color w:val="221F1F"/>
        </w:rPr>
        <w:t>of</w:t>
      </w:r>
      <w:r>
        <w:rPr>
          <w:color w:val="221F1F"/>
          <w:spacing w:val="-6"/>
        </w:rPr>
        <w:t xml:space="preserve"> </w:t>
      </w:r>
      <w:r>
        <w:rPr>
          <w:color w:val="221F1F"/>
        </w:rPr>
        <w:t>Tender</w:t>
      </w:r>
      <w:r>
        <w:rPr>
          <w:color w:val="221F1F"/>
          <w:spacing w:val="-9"/>
        </w:rPr>
        <w:t xml:space="preserve"> </w:t>
      </w:r>
      <w:r>
        <w:rPr>
          <w:color w:val="221F1F"/>
        </w:rPr>
        <w:t>validity</w:t>
      </w:r>
      <w:r>
        <w:rPr>
          <w:color w:val="221F1F"/>
          <w:spacing w:val="-8"/>
        </w:rPr>
        <w:t xml:space="preserve"> </w:t>
      </w:r>
      <w:r>
        <w:rPr>
          <w:color w:val="221F1F"/>
        </w:rPr>
        <w:t>specified</w:t>
      </w:r>
      <w:r>
        <w:rPr>
          <w:color w:val="221F1F"/>
          <w:spacing w:val="-8"/>
        </w:rPr>
        <w:t xml:space="preserve"> </w:t>
      </w:r>
      <w:r>
        <w:rPr>
          <w:color w:val="221F1F"/>
        </w:rPr>
        <w:t>by</w:t>
      </w:r>
      <w:r>
        <w:rPr>
          <w:color w:val="221F1F"/>
          <w:spacing w:val="-5"/>
        </w:rPr>
        <w:t xml:space="preserve"> </w:t>
      </w:r>
      <w:r>
        <w:rPr>
          <w:color w:val="221F1F"/>
        </w:rPr>
        <w:t>the</w:t>
      </w:r>
      <w:r>
        <w:rPr>
          <w:color w:val="221F1F"/>
          <w:spacing w:val="-6"/>
        </w:rPr>
        <w:t xml:space="preserve"> </w:t>
      </w:r>
      <w:r>
        <w:rPr>
          <w:color w:val="221F1F"/>
        </w:rPr>
        <w:t>Tenderer</w:t>
      </w:r>
      <w:r>
        <w:rPr>
          <w:color w:val="221F1F"/>
          <w:spacing w:val="-9"/>
        </w:rPr>
        <w:t xml:space="preserve"> </w:t>
      </w:r>
      <w:r>
        <w:rPr>
          <w:color w:val="221F1F"/>
        </w:rPr>
        <w:t>on</w:t>
      </w:r>
      <w:r>
        <w:rPr>
          <w:color w:val="221F1F"/>
          <w:spacing w:val="-8"/>
        </w:rPr>
        <w:t xml:space="preserve"> </w:t>
      </w:r>
      <w:r>
        <w:rPr>
          <w:color w:val="221F1F"/>
        </w:rPr>
        <w:t>the Form of Tender,</w:t>
      </w:r>
      <w:r>
        <w:rPr>
          <w:color w:val="221F1F"/>
          <w:spacing w:val="-1"/>
        </w:rPr>
        <w:t xml:space="preserve"> </w:t>
      </w:r>
      <w:r>
        <w:rPr>
          <w:color w:val="221F1F"/>
        </w:rPr>
        <w:t xml:space="preserve">or any extension there to </w:t>
      </w:r>
      <w:proofErr w:type="spellStart"/>
      <w:r>
        <w:rPr>
          <w:color w:val="221F1F"/>
        </w:rPr>
        <w:t>provided</w:t>
      </w:r>
      <w:proofErr w:type="spellEnd"/>
      <w:r>
        <w:rPr>
          <w:color w:val="221F1F"/>
        </w:rPr>
        <w:t xml:space="preserve"> by the Tenderer; or</w:t>
      </w:r>
    </w:p>
    <w:p w:rsidR="007F6DF9" w:rsidRDefault="00A43FBC">
      <w:pPr>
        <w:pStyle w:val="ListParagraph"/>
        <w:numPr>
          <w:ilvl w:val="0"/>
          <w:numId w:val="212"/>
        </w:numPr>
        <w:tabs>
          <w:tab w:val="left" w:pos="1927"/>
        </w:tabs>
        <w:spacing w:before="41"/>
      </w:pPr>
      <w:r>
        <w:rPr>
          <w:color w:val="221F1F"/>
        </w:rPr>
        <w:t>if</w:t>
      </w:r>
      <w:r>
        <w:rPr>
          <w:color w:val="221F1F"/>
          <w:spacing w:val="-5"/>
        </w:rPr>
        <w:t xml:space="preserve"> </w:t>
      </w:r>
      <w:r>
        <w:rPr>
          <w:color w:val="221F1F"/>
        </w:rPr>
        <w:t>the</w:t>
      </w:r>
      <w:r>
        <w:rPr>
          <w:color w:val="221F1F"/>
          <w:spacing w:val="-3"/>
        </w:rPr>
        <w:t xml:space="preserve"> </w:t>
      </w:r>
      <w:r>
        <w:rPr>
          <w:color w:val="221F1F"/>
        </w:rPr>
        <w:t>successful</w:t>
      </w:r>
      <w:r>
        <w:rPr>
          <w:color w:val="221F1F"/>
          <w:spacing w:val="-2"/>
        </w:rPr>
        <w:t xml:space="preserve"> </w:t>
      </w:r>
      <w:r>
        <w:rPr>
          <w:color w:val="221F1F"/>
        </w:rPr>
        <w:t>Tenderer</w:t>
      </w:r>
      <w:r>
        <w:rPr>
          <w:color w:val="221F1F"/>
          <w:spacing w:val="-1"/>
        </w:rPr>
        <w:t xml:space="preserve"> </w:t>
      </w:r>
      <w:r>
        <w:rPr>
          <w:color w:val="221F1F"/>
        </w:rPr>
        <w:t>fails</w:t>
      </w:r>
      <w:r>
        <w:rPr>
          <w:color w:val="221F1F"/>
          <w:spacing w:val="-2"/>
        </w:rPr>
        <w:t xml:space="preserve"> </w:t>
      </w:r>
      <w:r>
        <w:rPr>
          <w:color w:val="221F1F"/>
        </w:rPr>
        <w:t>to:</w:t>
      </w:r>
      <w:r>
        <w:rPr>
          <w:color w:val="221F1F"/>
          <w:spacing w:val="-2"/>
        </w:rPr>
        <w:t xml:space="preserve"> </w:t>
      </w:r>
      <w:r>
        <w:rPr>
          <w:color w:val="221F1F"/>
          <w:spacing w:val="-10"/>
        </w:rPr>
        <w:t>-</w:t>
      </w:r>
    </w:p>
    <w:p w:rsidR="007F6DF9" w:rsidRDefault="00A43FBC">
      <w:pPr>
        <w:pStyle w:val="ListParagraph"/>
        <w:numPr>
          <w:ilvl w:val="1"/>
          <w:numId w:val="212"/>
        </w:numPr>
        <w:tabs>
          <w:tab w:val="left" w:pos="2342"/>
        </w:tabs>
        <w:spacing w:before="40"/>
        <w:ind w:hanging="415"/>
      </w:pPr>
      <w:proofErr w:type="spellStart"/>
      <w:r>
        <w:rPr>
          <w:color w:val="221F1F"/>
        </w:rPr>
        <w:t>signthe</w:t>
      </w:r>
      <w:proofErr w:type="spellEnd"/>
      <w:r>
        <w:rPr>
          <w:color w:val="221F1F"/>
          <w:spacing w:val="-3"/>
        </w:rPr>
        <w:t xml:space="preserve"> </w:t>
      </w:r>
      <w:r>
        <w:rPr>
          <w:color w:val="221F1F"/>
        </w:rPr>
        <w:t>Contract</w:t>
      </w:r>
      <w:r>
        <w:rPr>
          <w:color w:val="221F1F"/>
          <w:spacing w:val="-2"/>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ITT47;</w:t>
      </w:r>
      <w:r>
        <w:rPr>
          <w:color w:val="221F1F"/>
          <w:spacing w:val="-4"/>
        </w:rPr>
        <w:t xml:space="preserve"> </w:t>
      </w:r>
      <w:r>
        <w:rPr>
          <w:color w:val="221F1F"/>
          <w:spacing w:val="-5"/>
        </w:rPr>
        <w:t>or</w:t>
      </w:r>
    </w:p>
    <w:p w:rsidR="007F6DF9" w:rsidRDefault="00A43FBC">
      <w:pPr>
        <w:pStyle w:val="ListParagraph"/>
        <w:numPr>
          <w:ilvl w:val="1"/>
          <w:numId w:val="212"/>
        </w:numPr>
        <w:tabs>
          <w:tab w:val="left" w:pos="2342"/>
        </w:tabs>
        <w:spacing w:before="48" w:line="230" w:lineRule="auto"/>
        <w:ind w:right="1115"/>
      </w:pPr>
      <w:r>
        <w:rPr>
          <w:color w:val="221F1F"/>
        </w:rPr>
        <w:t>furnish</w:t>
      </w:r>
      <w:r>
        <w:rPr>
          <w:color w:val="221F1F"/>
          <w:spacing w:val="-3"/>
        </w:rPr>
        <w:t xml:space="preserve"> </w:t>
      </w:r>
      <w:r>
        <w:rPr>
          <w:color w:val="221F1F"/>
        </w:rPr>
        <w:t>a</w:t>
      </w:r>
      <w:r>
        <w:rPr>
          <w:color w:val="221F1F"/>
          <w:spacing w:val="-1"/>
        </w:rPr>
        <w:t xml:space="preserve"> </w:t>
      </w:r>
      <w:r>
        <w:rPr>
          <w:color w:val="221F1F"/>
        </w:rPr>
        <w:t>Performance</w:t>
      </w:r>
      <w:r>
        <w:rPr>
          <w:color w:val="221F1F"/>
          <w:spacing w:val="-2"/>
        </w:rPr>
        <w:t xml:space="preserve"> </w:t>
      </w:r>
      <w:r>
        <w:rPr>
          <w:color w:val="221F1F"/>
        </w:rPr>
        <w:t>Security</w:t>
      </w:r>
      <w:r>
        <w:rPr>
          <w:color w:val="221F1F"/>
          <w:spacing w:val="-1"/>
        </w:rPr>
        <w:t xml:space="preserve"> </w:t>
      </w:r>
      <w:r>
        <w:rPr>
          <w:color w:val="221F1F"/>
        </w:rPr>
        <w:t>and</w:t>
      </w:r>
      <w:r>
        <w:rPr>
          <w:color w:val="221F1F"/>
          <w:spacing w:val="-3"/>
        </w:rPr>
        <w:t xml:space="preserve"> </w:t>
      </w:r>
      <w:r>
        <w:rPr>
          <w:color w:val="221F1F"/>
        </w:rPr>
        <w:t>if</w:t>
      </w:r>
      <w:r>
        <w:rPr>
          <w:color w:val="221F1F"/>
          <w:spacing w:val="-3"/>
        </w:rPr>
        <w:t xml:space="preserve"> </w:t>
      </w:r>
      <w:r>
        <w:rPr>
          <w:color w:val="221F1F"/>
        </w:rPr>
        <w:t>required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TDS,</w:t>
      </w:r>
      <w:r>
        <w:rPr>
          <w:color w:val="221F1F"/>
          <w:spacing w:val="-2"/>
        </w:rPr>
        <w:t xml:space="preserve"> </w:t>
      </w:r>
      <w:r>
        <w:rPr>
          <w:color w:val="221F1F"/>
        </w:rPr>
        <w:t>and</w:t>
      </w:r>
      <w:r>
        <w:rPr>
          <w:color w:val="221F1F"/>
          <w:spacing w:val="-1"/>
        </w:rPr>
        <w:t xml:space="preserve"> </w:t>
      </w:r>
      <w:r>
        <w:rPr>
          <w:color w:val="221F1F"/>
        </w:rPr>
        <w:t>any</w:t>
      </w:r>
      <w:r>
        <w:rPr>
          <w:color w:val="221F1F"/>
          <w:spacing w:val="-3"/>
        </w:rPr>
        <w:t xml:space="preserve"> </w:t>
      </w:r>
      <w:r>
        <w:rPr>
          <w:color w:val="221F1F"/>
        </w:rPr>
        <w:t>other documents required</w:t>
      </w:r>
      <w:r>
        <w:rPr>
          <w:color w:val="221F1F"/>
          <w:spacing w:val="-1"/>
        </w:rPr>
        <w:t xml:space="preserve"> </w:t>
      </w:r>
      <w:r>
        <w:rPr>
          <w:color w:val="221F1F"/>
        </w:rPr>
        <w:t>in the TDS.</w:t>
      </w:r>
    </w:p>
    <w:p w:rsidR="007F6DF9" w:rsidRDefault="00A43FBC">
      <w:pPr>
        <w:pStyle w:val="ListParagraph"/>
        <w:numPr>
          <w:ilvl w:val="1"/>
          <w:numId w:val="214"/>
        </w:numPr>
        <w:tabs>
          <w:tab w:val="left" w:pos="1468"/>
          <w:tab w:val="left" w:pos="1471"/>
        </w:tabs>
        <w:spacing w:before="244" w:line="230" w:lineRule="auto"/>
        <w:ind w:left="1471" w:right="832" w:hanging="625"/>
        <w:jc w:val="both"/>
      </w:pPr>
      <w:r>
        <w:rPr>
          <w:color w:val="221F1F"/>
        </w:rPr>
        <w:t>Where</w:t>
      </w:r>
      <w:r>
        <w:rPr>
          <w:color w:val="221F1F"/>
          <w:spacing w:val="-10"/>
        </w:rPr>
        <w:t xml:space="preserve"> </w:t>
      </w:r>
      <w:r>
        <w:rPr>
          <w:color w:val="221F1F"/>
        </w:rPr>
        <w:t>tender securing declaration is executed, the Procuring Entity shall recommend to the PPRA to</w:t>
      </w:r>
      <w:r>
        <w:rPr>
          <w:color w:val="221F1F"/>
          <w:spacing w:val="-14"/>
        </w:rPr>
        <w:t xml:space="preserve"> </w:t>
      </w:r>
      <w:r>
        <w:rPr>
          <w:color w:val="221F1F"/>
        </w:rPr>
        <w:t>debars the Tenderer from participating in public procurement as provided in the law.</w:t>
      </w:r>
    </w:p>
    <w:p w:rsidR="007F6DF9" w:rsidRDefault="00A43FBC">
      <w:pPr>
        <w:pStyle w:val="ListParagraph"/>
        <w:numPr>
          <w:ilvl w:val="1"/>
          <w:numId w:val="214"/>
        </w:numPr>
        <w:tabs>
          <w:tab w:val="left" w:pos="1468"/>
          <w:tab w:val="left" w:pos="1471"/>
        </w:tabs>
        <w:spacing w:before="245" w:line="230" w:lineRule="auto"/>
        <w:ind w:left="1471" w:right="842" w:hanging="625"/>
        <w:jc w:val="both"/>
      </w:pPr>
      <w:r>
        <w:rPr>
          <w:color w:val="221F1F"/>
        </w:rPr>
        <w:t>The Tender Security or the Tender-Securing Declaration of a JV shall be in the name of the JV that submits the</w:t>
      </w:r>
      <w:r>
        <w:rPr>
          <w:color w:val="221F1F"/>
          <w:spacing w:val="-9"/>
        </w:rPr>
        <w:t xml:space="preserve"> </w:t>
      </w:r>
      <w:r>
        <w:rPr>
          <w:color w:val="221F1F"/>
        </w:rPr>
        <w:t>Tender.</w:t>
      </w:r>
      <w:r>
        <w:rPr>
          <w:color w:val="221F1F"/>
          <w:spacing w:val="-14"/>
        </w:rPr>
        <w:t xml:space="preserve"> </w:t>
      </w:r>
      <w:r>
        <w:rPr>
          <w:color w:val="221F1F"/>
        </w:rPr>
        <w:t>If</w:t>
      </w:r>
      <w:r>
        <w:rPr>
          <w:color w:val="221F1F"/>
          <w:spacing w:val="-9"/>
        </w:rPr>
        <w:t xml:space="preserve"> </w:t>
      </w:r>
      <w:r>
        <w:rPr>
          <w:color w:val="221F1F"/>
        </w:rPr>
        <w:t>the</w:t>
      </w:r>
      <w:r>
        <w:rPr>
          <w:color w:val="221F1F"/>
          <w:spacing w:val="-9"/>
        </w:rPr>
        <w:t xml:space="preserve"> </w:t>
      </w:r>
      <w:r>
        <w:rPr>
          <w:color w:val="221F1F"/>
        </w:rPr>
        <w:t>JV</w:t>
      </w:r>
      <w:r>
        <w:rPr>
          <w:color w:val="221F1F"/>
          <w:spacing w:val="-8"/>
        </w:rPr>
        <w:t xml:space="preserve"> </w:t>
      </w:r>
      <w:r>
        <w:rPr>
          <w:color w:val="221F1F"/>
        </w:rPr>
        <w:t>has</w:t>
      </w:r>
      <w:r>
        <w:rPr>
          <w:color w:val="221F1F"/>
          <w:spacing w:val="-9"/>
        </w:rPr>
        <w:t xml:space="preserve"> </w:t>
      </w:r>
      <w:r>
        <w:rPr>
          <w:color w:val="221F1F"/>
        </w:rPr>
        <w:t>not</w:t>
      </w:r>
      <w:r>
        <w:rPr>
          <w:color w:val="221F1F"/>
          <w:spacing w:val="-8"/>
        </w:rPr>
        <w:t xml:space="preserve"> </w:t>
      </w:r>
      <w:r>
        <w:rPr>
          <w:color w:val="221F1F"/>
        </w:rPr>
        <w:t>been</w:t>
      </w:r>
      <w:r>
        <w:rPr>
          <w:color w:val="221F1F"/>
          <w:spacing w:val="-10"/>
        </w:rPr>
        <w:t xml:space="preserve"> </w:t>
      </w:r>
      <w:r>
        <w:rPr>
          <w:color w:val="221F1F"/>
        </w:rPr>
        <w:t>legally</w:t>
      </w:r>
      <w:r>
        <w:rPr>
          <w:color w:val="221F1F"/>
          <w:spacing w:val="-7"/>
        </w:rPr>
        <w:t xml:space="preserve"> </w:t>
      </w:r>
      <w:r>
        <w:rPr>
          <w:color w:val="221F1F"/>
        </w:rPr>
        <w:t>constituted</w:t>
      </w:r>
      <w:r>
        <w:rPr>
          <w:color w:val="221F1F"/>
          <w:spacing w:val="-7"/>
        </w:rPr>
        <w:t xml:space="preserve"> </w:t>
      </w:r>
      <w:r>
        <w:rPr>
          <w:color w:val="221F1F"/>
        </w:rPr>
        <w:t>into</w:t>
      </w:r>
      <w:r>
        <w:rPr>
          <w:color w:val="221F1F"/>
          <w:spacing w:val="-7"/>
        </w:rPr>
        <w:t xml:space="preserve"> </w:t>
      </w:r>
      <w:r>
        <w:rPr>
          <w:color w:val="221F1F"/>
        </w:rPr>
        <w:t>a</w:t>
      </w:r>
      <w:r>
        <w:rPr>
          <w:color w:val="221F1F"/>
          <w:spacing w:val="-7"/>
        </w:rPr>
        <w:t xml:space="preserve"> </w:t>
      </w:r>
      <w:r>
        <w:rPr>
          <w:color w:val="221F1F"/>
        </w:rPr>
        <w:t>legally</w:t>
      </w:r>
      <w:r>
        <w:rPr>
          <w:color w:val="221F1F"/>
          <w:spacing w:val="-10"/>
        </w:rPr>
        <w:t xml:space="preserve"> </w:t>
      </w:r>
      <w:r>
        <w:rPr>
          <w:color w:val="221F1F"/>
        </w:rPr>
        <w:t>enforceable</w:t>
      </w:r>
      <w:r>
        <w:rPr>
          <w:color w:val="221F1F"/>
          <w:spacing w:val="-7"/>
        </w:rPr>
        <w:t xml:space="preserve"> </w:t>
      </w:r>
      <w:r>
        <w:rPr>
          <w:color w:val="221F1F"/>
        </w:rPr>
        <w:t>JV</w:t>
      </w:r>
      <w:r>
        <w:rPr>
          <w:color w:val="221F1F"/>
          <w:spacing w:val="-8"/>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time</w:t>
      </w:r>
      <w:r>
        <w:rPr>
          <w:color w:val="221F1F"/>
          <w:spacing w:val="-7"/>
        </w:rPr>
        <w:t xml:space="preserve"> </w:t>
      </w:r>
      <w:r>
        <w:rPr>
          <w:color w:val="221F1F"/>
        </w:rPr>
        <w:t>of</w:t>
      </w:r>
      <w:r>
        <w:rPr>
          <w:color w:val="221F1F"/>
          <w:spacing w:val="-6"/>
        </w:rPr>
        <w:t xml:space="preserve"> </w:t>
      </w:r>
      <w:r>
        <w:rPr>
          <w:color w:val="221F1F"/>
        </w:rPr>
        <w:t>tendering,</w:t>
      </w:r>
      <w:r>
        <w:rPr>
          <w:color w:val="221F1F"/>
          <w:spacing w:val="-7"/>
        </w:rPr>
        <w:t xml:space="preserve"> </w:t>
      </w:r>
      <w:r>
        <w:rPr>
          <w:color w:val="221F1F"/>
        </w:rPr>
        <w:t>the Tender</w:t>
      </w:r>
      <w:r>
        <w:rPr>
          <w:color w:val="221F1F"/>
          <w:spacing w:val="-4"/>
        </w:rPr>
        <w:t xml:space="preserve"> </w:t>
      </w:r>
      <w:r>
        <w:rPr>
          <w:color w:val="221F1F"/>
        </w:rPr>
        <w:t>Security or the Tender-Securing Declaration shall be in the names of all future members as named in the letter of intent referred to in ITT 4.1 and ITT 11.2.</w:t>
      </w:r>
    </w:p>
    <w:p w:rsidR="007F6DF9" w:rsidRDefault="00A43FBC">
      <w:pPr>
        <w:pStyle w:val="ListParagraph"/>
        <w:numPr>
          <w:ilvl w:val="1"/>
          <w:numId w:val="214"/>
        </w:numPr>
        <w:tabs>
          <w:tab w:val="left" w:pos="1493"/>
        </w:tabs>
        <w:spacing w:before="237"/>
        <w:ind w:left="1493" w:hanging="646"/>
      </w:pPr>
      <w:r>
        <w:rPr>
          <w:color w:val="221F1F"/>
        </w:rPr>
        <w:t>A</w:t>
      </w:r>
      <w:r>
        <w:rPr>
          <w:color w:val="221F1F"/>
          <w:spacing w:val="-4"/>
        </w:rPr>
        <w:t xml:space="preserve"> </w:t>
      </w:r>
      <w:r>
        <w:rPr>
          <w:color w:val="221F1F"/>
        </w:rPr>
        <w:t>tenderer</w:t>
      </w:r>
      <w:r>
        <w:rPr>
          <w:color w:val="221F1F"/>
          <w:spacing w:val="-2"/>
        </w:rPr>
        <w:t xml:space="preserve"> </w:t>
      </w:r>
      <w:r>
        <w:rPr>
          <w:color w:val="221F1F"/>
        </w:rPr>
        <w:t>shall</w:t>
      </w:r>
      <w:r>
        <w:rPr>
          <w:color w:val="221F1F"/>
          <w:spacing w:val="-1"/>
        </w:rPr>
        <w:t xml:space="preserve"> </w:t>
      </w:r>
      <w:r>
        <w:rPr>
          <w:color w:val="221F1F"/>
        </w:rPr>
        <w:t>not</w:t>
      </w:r>
      <w:r>
        <w:rPr>
          <w:color w:val="221F1F"/>
          <w:spacing w:val="-4"/>
        </w:rPr>
        <w:t xml:space="preserve"> </w:t>
      </w:r>
      <w:r>
        <w:rPr>
          <w:color w:val="221F1F"/>
        </w:rPr>
        <w:t>issue</w:t>
      </w:r>
      <w:r>
        <w:rPr>
          <w:color w:val="221F1F"/>
          <w:spacing w:val="-4"/>
        </w:rPr>
        <w:t xml:space="preserve"> </w:t>
      </w:r>
      <w:r>
        <w:rPr>
          <w:color w:val="221F1F"/>
        </w:rPr>
        <w:t>a</w:t>
      </w:r>
      <w:r>
        <w:rPr>
          <w:color w:val="221F1F"/>
          <w:spacing w:val="-4"/>
        </w:rPr>
        <w:t xml:space="preserve"> </w:t>
      </w:r>
      <w:r>
        <w:rPr>
          <w:color w:val="221F1F"/>
        </w:rPr>
        <w:t>tender</w:t>
      </w:r>
      <w:r>
        <w:rPr>
          <w:color w:val="221F1F"/>
          <w:spacing w:val="-2"/>
        </w:rPr>
        <w:t xml:space="preserve"> </w:t>
      </w:r>
      <w:r>
        <w:rPr>
          <w:color w:val="221F1F"/>
        </w:rPr>
        <w:t>security</w:t>
      </w:r>
      <w:r>
        <w:rPr>
          <w:color w:val="221F1F"/>
          <w:spacing w:val="-2"/>
        </w:rPr>
        <w:t xml:space="preserve"> </w:t>
      </w:r>
      <w:r>
        <w:rPr>
          <w:color w:val="221F1F"/>
        </w:rPr>
        <w:t>to</w:t>
      </w:r>
      <w:r>
        <w:rPr>
          <w:color w:val="221F1F"/>
          <w:spacing w:val="-2"/>
        </w:rPr>
        <w:t xml:space="preserve"> </w:t>
      </w:r>
      <w:r>
        <w:rPr>
          <w:color w:val="221F1F"/>
        </w:rPr>
        <w:t>guarantee</w:t>
      </w:r>
      <w:r>
        <w:rPr>
          <w:color w:val="221F1F"/>
          <w:spacing w:val="-3"/>
        </w:rPr>
        <w:t xml:space="preserve"> </w:t>
      </w:r>
      <w:r>
        <w:rPr>
          <w:color w:val="221F1F"/>
          <w:spacing w:val="-2"/>
        </w:rPr>
        <w:t>itself.</w:t>
      </w:r>
    </w:p>
    <w:p w:rsidR="007F6DF9" w:rsidRDefault="00A43FBC">
      <w:pPr>
        <w:pStyle w:val="Heading9"/>
        <w:numPr>
          <w:ilvl w:val="1"/>
          <w:numId w:val="211"/>
        </w:numPr>
        <w:tabs>
          <w:tab w:val="left" w:pos="1471"/>
        </w:tabs>
        <w:spacing w:before="234"/>
        <w:ind w:hanging="624"/>
      </w:pPr>
      <w:bookmarkStart w:id="22" w:name="_bookmark21"/>
      <w:bookmarkEnd w:id="22"/>
      <w:r>
        <w:rPr>
          <w:color w:val="221F1F"/>
        </w:rPr>
        <w:t>Format</w:t>
      </w:r>
      <w:r>
        <w:rPr>
          <w:color w:val="221F1F"/>
          <w:spacing w:val="-2"/>
        </w:rPr>
        <w:t xml:space="preserve"> </w:t>
      </w:r>
      <w:r>
        <w:rPr>
          <w:color w:val="221F1F"/>
        </w:rPr>
        <w:t>and</w:t>
      </w:r>
      <w:r>
        <w:rPr>
          <w:color w:val="221F1F"/>
          <w:spacing w:val="-3"/>
        </w:rPr>
        <w:t xml:space="preserve"> </w:t>
      </w:r>
      <w:r>
        <w:rPr>
          <w:color w:val="221F1F"/>
        </w:rPr>
        <w:t>Signing</w:t>
      </w:r>
      <w:r>
        <w:rPr>
          <w:color w:val="221F1F"/>
          <w:spacing w:val="-2"/>
        </w:rPr>
        <w:t xml:space="preserve"> </w:t>
      </w:r>
      <w:r>
        <w:rPr>
          <w:color w:val="221F1F"/>
        </w:rPr>
        <w:t>of</w:t>
      </w:r>
      <w:r>
        <w:rPr>
          <w:color w:val="221F1F"/>
          <w:spacing w:val="-1"/>
        </w:rPr>
        <w:t xml:space="preserve"> </w:t>
      </w:r>
      <w:r>
        <w:rPr>
          <w:color w:val="221F1F"/>
          <w:spacing w:val="-2"/>
        </w:rPr>
        <w:t>Tender</w:t>
      </w:r>
    </w:p>
    <w:p w:rsidR="007F6DF9" w:rsidRDefault="00A43FBC">
      <w:pPr>
        <w:pStyle w:val="ListParagraph"/>
        <w:numPr>
          <w:ilvl w:val="1"/>
          <w:numId w:val="211"/>
        </w:numPr>
        <w:tabs>
          <w:tab w:val="left" w:pos="1468"/>
          <w:tab w:val="left" w:pos="1471"/>
        </w:tabs>
        <w:spacing w:before="242" w:line="230" w:lineRule="auto"/>
        <w:ind w:right="843"/>
        <w:jc w:val="both"/>
      </w:pPr>
      <w:r>
        <w:rPr>
          <w:color w:val="221F1F"/>
        </w:rPr>
        <w:t>The Tenderer shall prepare one original of the documents comprising the Tender</w:t>
      </w:r>
      <w:r>
        <w:rPr>
          <w:color w:val="221F1F"/>
          <w:spacing w:val="-1"/>
        </w:rPr>
        <w:t xml:space="preserve"> </w:t>
      </w:r>
      <w:r>
        <w:rPr>
          <w:color w:val="221F1F"/>
        </w:rPr>
        <w:t>as described in ITT 11</w:t>
      </w:r>
      <w:r>
        <w:rPr>
          <w:color w:val="221F1F"/>
          <w:spacing w:val="-7"/>
        </w:rPr>
        <w:t xml:space="preserve"> </w:t>
      </w:r>
      <w:r>
        <w:rPr>
          <w:color w:val="221F1F"/>
        </w:rPr>
        <w:t xml:space="preserve">and clearly mark it “ORIGINAL.” Alternative Tenders, if permitted in accordance with ITT 13, shall be clearly </w:t>
      </w:r>
      <w:r>
        <w:rPr>
          <w:color w:val="221F1F"/>
          <w:spacing w:val="-2"/>
        </w:rPr>
        <w:t>marked</w:t>
      </w:r>
      <w:r>
        <w:rPr>
          <w:color w:val="221F1F"/>
          <w:spacing w:val="-12"/>
        </w:rPr>
        <w:t xml:space="preserve"> </w:t>
      </w:r>
      <w:r>
        <w:rPr>
          <w:color w:val="221F1F"/>
          <w:spacing w:val="-2"/>
        </w:rPr>
        <w:t>“ALTERNATIVE.”</w:t>
      </w:r>
      <w:r>
        <w:rPr>
          <w:color w:val="221F1F"/>
          <w:spacing w:val="-12"/>
        </w:rPr>
        <w:t xml:space="preserve"> </w:t>
      </w:r>
      <w:r>
        <w:rPr>
          <w:color w:val="221F1F"/>
          <w:spacing w:val="-2"/>
        </w:rPr>
        <w:t>In</w:t>
      </w:r>
      <w:r>
        <w:rPr>
          <w:color w:val="221F1F"/>
          <w:spacing w:val="-12"/>
        </w:rPr>
        <w:t xml:space="preserve"> </w:t>
      </w:r>
      <w:r>
        <w:rPr>
          <w:color w:val="221F1F"/>
          <w:spacing w:val="-2"/>
        </w:rPr>
        <w:t>addition,</w:t>
      </w:r>
      <w:r>
        <w:rPr>
          <w:color w:val="221F1F"/>
          <w:spacing w:val="-11"/>
        </w:rPr>
        <w:t xml:space="preserve"> </w:t>
      </w:r>
      <w:r>
        <w:rPr>
          <w:color w:val="221F1F"/>
          <w:spacing w:val="-2"/>
        </w:rPr>
        <w:t>the</w:t>
      </w:r>
      <w:r>
        <w:rPr>
          <w:color w:val="221F1F"/>
          <w:spacing w:val="-10"/>
        </w:rPr>
        <w:t xml:space="preserve"> </w:t>
      </w:r>
      <w:r>
        <w:rPr>
          <w:color w:val="221F1F"/>
          <w:spacing w:val="-2"/>
        </w:rPr>
        <w:t>Tenderer</w:t>
      </w:r>
      <w:r>
        <w:rPr>
          <w:color w:val="221F1F"/>
          <w:spacing w:val="-9"/>
        </w:rPr>
        <w:t xml:space="preserve"> </w:t>
      </w:r>
      <w:r>
        <w:rPr>
          <w:color w:val="221F1F"/>
          <w:spacing w:val="-2"/>
        </w:rPr>
        <w:t>shall</w:t>
      </w:r>
      <w:r>
        <w:rPr>
          <w:color w:val="221F1F"/>
          <w:spacing w:val="-8"/>
        </w:rPr>
        <w:t xml:space="preserve"> </w:t>
      </w:r>
      <w:r>
        <w:rPr>
          <w:color w:val="221F1F"/>
          <w:spacing w:val="-2"/>
        </w:rPr>
        <w:t>submit</w:t>
      </w:r>
      <w:r>
        <w:rPr>
          <w:color w:val="221F1F"/>
          <w:spacing w:val="-9"/>
        </w:rPr>
        <w:t xml:space="preserve"> </w:t>
      </w:r>
      <w:r>
        <w:rPr>
          <w:color w:val="221F1F"/>
          <w:spacing w:val="-2"/>
        </w:rPr>
        <w:t>copies</w:t>
      </w:r>
      <w:r>
        <w:rPr>
          <w:color w:val="221F1F"/>
          <w:spacing w:val="-9"/>
        </w:rPr>
        <w:t xml:space="preserve"> </w:t>
      </w:r>
      <w:r>
        <w:rPr>
          <w:color w:val="221F1F"/>
          <w:spacing w:val="-2"/>
        </w:rPr>
        <w:t>of</w:t>
      </w:r>
      <w:r>
        <w:rPr>
          <w:color w:val="221F1F"/>
          <w:spacing w:val="-9"/>
        </w:rPr>
        <w:t xml:space="preserve"> </w:t>
      </w:r>
      <w:r>
        <w:rPr>
          <w:color w:val="221F1F"/>
          <w:spacing w:val="-2"/>
        </w:rPr>
        <w:t>the</w:t>
      </w:r>
      <w:r>
        <w:rPr>
          <w:color w:val="221F1F"/>
          <w:spacing w:val="-9"/>
        </w:rPr>
        <w:t xml:space="preserve"> </w:t>
      </w:r>
      <w:r>
        <w:rPr>
          <w:color w:val="221F1F"/>
          <w:spacing w:val="-2"/>
        </w:rPr>
        <w:t>Tender,</w:t>
      </w:r>
      <w:r>
        <w:rPr>
          <w:color w:val="221F1F"/>
          <w:spacing w:val="-12"/>
        </w:rPr>
        <w:t xml:space="preserve"> </w:t>
      </w:r>
      <w:r>
        <w:rPr>
          <w:color w:val="221F1F"/>
          <w:spacing w:val="-2"/>
        </w:rPr>
        <w:t>in</w:t>
      </w:r>
      <w:r>
        <w:rPr>
          <w:color w:val="221F1F"/>
          <w:spacing w:val="-10"/>
        </w:rPr>
        <w:t xml:space="preserve"> </w:t>
      </w:r>
      <w:r>
        <w:rPr>
          <w:color w:val="221F1F"/>
          <w:spacing w:val="-2"/>
        </w:rPr>
        <w:t>the</w:t>
      </w:r>
      <w:r>
        <w:rPr>
          <w:color w:val="221F1F"/>
          <w:spacing w:val="-9"/>
        </w:rPr>
        <w:t xml:space="preserve"> </w:t>
      </w:r>
      <w:r>
        <w:rPr>
          <w:color w:val="221F1F"/>
          <w:spacing w:val="-2"/>
        </w:rPr>
        <w:t>number</w:t>
      </w:r>
      <w:r>
        <w:rPr>
          <w:color w:val="221F1F"/>
          <w:spacing w:val="-9"/>
        </w:rPr>
        <w:t xml:space="preserve"> </w:t>
      </w:r>
      <w:r>
        <w:rPr>
          <w:color w:val="221F1F"/>
          <w:spacing w:val="-2"/>
        </w:rPr>
        <w:t xml:space="preserve">specified </w:t>
      </w:r>
      <w:r>
        <w:rPr>
          <w:color w:val="221F1F"/>
        </w:rPr>
        <w:t xml:space="preserve">in the </w:t>
      </w:r>
      <w:r>
        <w:rPr>
          <w:b/>
          <w:color w:val="221F1F"/>
        </w:rPr>
        <w:t xml:space="preserve">TDS </w:t>
      </w:r>
      <w:r>
        <w:rPr>
          <w:color w:val="221F1F"/>
        </w:rPr>
        <w:t xml:space="preserve">and clearly mark them “COPY.” In the event of any discrepancy between the origin a </w:t>
      </w:r>
      <w:proofErr w:type="spellStart"/>
      <w:r>
        <w:rPr>
          <w:color w:val="221F1F"/>
        </w:rPr>
        <w:t>landthe</w:t>
      </w:r>
      <w:proofErr w:type="spellEnd"/>
      <w:r>
        <w:rPr>
          <w:color w:val="221F1F"/>
        </w:rPr>
        <w:t xml:space="preserve"> copies, the original shall prevail.</w:t>
      </w:r>
    </w:p>
    <w:p w:rsidR="007F6DF9" w:rsidRDefault="00A43FBC">
      <w:pPr>
        <w:pStyle w:val="ListParagraph"/>
        <w:numPr>
          <w:ilvl w:val="1"/>
          <w:numId w:val="211"/>
        </w:numPr>
        <w:tabs>
          <w:tab w:val="left" w:pos="1468"/>
          <w:tab w:val="left" w:pos="1471"/>
        </w:tabs>
        <w:spacing w:before="246" w:line="230" w:lineRule="auto"/>
        <w:ind w:right="843"/>
        <w:jc w:val="both"/>
      </w:pPr>
      <w:r>
        <w:rPr>
          <w:color w:val="221F1F"/>
        </w:rPr>
        <w:t xml:space="preserve">Tenderers shall mark as “CONFIDENTIAL” all information in their Tenders which is confidential to their business. This may include proprietary information, trade secrets, or commercial or financially sensitive </w:t>
      </w:r>
      <w:r>
        <w:rPr>
          <w:color w:val="221F1F"/>
          <w:spacing w:val="-2"/>
        </w:rPr>
        <w:t>information.</w:t>
      </w:r>
    </w:p>
    <w:p w:rsidR="007F6DF9" w:rsidRDefault="00A43FBC">
      <w:pPr>
        <w:pStyle w:val="ListParagraph"/>
        <w:numPr>
          <w:ilvl w:val="1"/>
          <w:numId w:val="211"/>
        </w:numPr>
        <w:tabs>
          <w:tab w:val="left" w:pos="1468"/>
          <w:tab w:val="left" w:pos="1471"/>
        </w:tabs>
        <w:spacing w:before="245" w:line="230" w:lineRule="auto"/>
        <w:ind w:right="843"/>
        <w:jc w:val="both"/>
      </w:pPr>
      <w:r>
        <w:rPr>
          <w:color w:val="221F1F"/>
        </w:rPr>
        <w:t>The original and all copies of the Tender shall be typed or written in indelible ink and shall be signed by a person duly authorized to sign on behalf of the Tenderer. This authorization shall consist of a written confirmation</w:t>
      </w:r>
      <w:r>
        <w:rPr>
          <w:color w:val="221F1F"/>
          <w:spacing w:val="-2"/>
        </w:rPr>
        <w:t xml:space="preserve"> </w:t>
      </w:r>
      <w:r>
        <w:rPr>
          <w:color w:val="221F1F"/>
        </w:rPr>
        <w:t>as</w:t>
      </w:r>
      <w:r>
        <w:rPr>
          <w:color w:val="221F1F"/>
          <w:spacing w:val="-4"/>
        </w:rPr>
        <w:t xml:space="preserve"> </w:t>
      </w:r>
      <w:r>
        <w:rPr>
          <w:color w:val="221F1F"/>
        </w:rPr>
        <w:t>specified</w:t>
      </w:r>
      <w:r>
        <w:rPr>
          <w:color w:val="221F1F"/>
          <w:spacing w:val="-3"/>
        </w:rPr>
        <w:t xml:space="preserve"> </w:t>
      </w:r>
      <w:r>
        <w:rPr>
          <w:color w:val="221F1F"/>
        </w:rPr>
        <w:t>in</w:t>
      </w:r>
      <w:r>
        <w:rPr>
          <w:color w:val="221F1F"/>
          <w:spacing w:val="-4"/>
        </w:rPr>
        <w:t xml:space="preserve"> </w:t>
      </w:r>
      <w:proofErr w:type="spellStart"/>
      <w:r>
        <w:rPr>
          <w:color w:val="221F1F"/>
        </w:rPr>
        <w:t>the</w:t>
      </w:r>
      <w:r>
        <w:rPr>
          <w:b/>
          <w:color w:val="221F1F"/>
        </w:rPr>
        <w:t>TDS</w:t>
      </w:r>
      <w:proofErr w:type="spellEnd"/>
      <w:r>
        <w:rPr>
          <w:b/>
          <w:color w:val="221F1F"/>
          <w:spacing w:val="-2"/>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be</w:t>
      </w:r>
      <w:r>
        <w:rPr>
          <w:color w:val="221F1F"/>
          <w:spacing w:val="-1"/>
        </w:rPr>
        <w:t xml:space="preserve"> </w:t>
      </w:r>
      <w:r>
        <w:rPr>
          <w:color w:val="221F1F"/>
        </w:rPr>
        <w:t>attached</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Tender.</w:t>
      </w:r>
      <w:r>
        <w:rPr>
          <w:color w:val="221F1F"/>
          <w:spacing w:val="-13"/>
        </w:rPr>
        <w:t xml:space="preserve"> </w:t>
      </w:r>
      <w:r>
        <w:rPr>
          <w:color w:val="221F1F"/>
        </w:rPr>
        <w:t>The</w:t>
      </w:r>
      <w:r>
        <w:rPr>
          <w:color w:val="221F1F"/>
          <w:spacing w:val="-2"/>
        </w:rPr>
        <w:t xml:space="preserve"> </w:t>
      </w:r>
      <w:r>
        <w:rPr>
          <w:color w:val="221F1F"/>
        </w:rPr>
        <w:t>name</w:t>
      </w:r>
      <w:r>
        <w:rPr>
          <w:color w:val="221F1F"/>
          <w:spacing w:val="-3"/>
        </w:rPr>
        <w:t xml:space="preserve"> </w:t>
      </w:r>
      <w:r>
        <w:rPr>
          <w:color w:val="221F1F"/>
        </w:rPr>
        <w:t>and</w:t>
      </w:r>
      <w:r>
        <w:rPr>
          <w:color w:val="221F1F"/>
          <w:spacing w:val="-1"/>
        </w:rPr>
        <w:t xml:space="preserve"> </w:t>
      </w:r>
      <w:r>
        <w:rPr>
          <w:color w:val="221F1F"/>
        </w:rPr>
        <w:t>position</w:t>
      </w:r>
      <w:r>
        <w:rPr>
          <w:color w:val="221F1F"/>
          <w:spacing w:val="-2"/>
        </w:rPr>
        <w:t xml:space="preserve"> </w:t>
      </w:r>
      <w:r>
        <w:rPr>
          <w:color w:val="221F1F"/>
        </w:rPr>
        <w:t>held</w:t>
      </w:r>
      <w:r>
        <w:rPr>
          <w:color w:val="221F1F"/>
          <w:spacing w:val="-4"/>
        </w:rPr>
        <w:t xml:space="preserve"> </w:t>
      </w:r>
      <w:r>
        <w:rPr>
          <w:color w:val="221F1F"/>
        </w:rPr>
        <w:t>by</w:t>
      </w:r>
      <w:r>
        <w:rPr>
          <w:color w:val="221F1F"/>
          <w:spacing w:val="-2"/>
        </w:rPr>
        <w:t xml:space="preserve"> </w:t>
      </w:r>
      <w:r>
        <w:rPr>
          <w:color w:val="221F1F"/>
        </w:rPr>
        <w:t>each person</w:t>
      </w:r>
      <w:r>
        <w:rPr>
          <w:color w:val="221F1F"/>
          <w:spacing w:val="-2"/>
        </w:rPr>
        <w:t xml:space="preserve"> </w:t>
      </w:r>
      <w:r>
        <w:rPr>
          <w:color w:val="221F1F"/>
        </w:rPr>
        <w:t>signing</w:t>
      </w:r>
      <w:r>
        <w:rPr>
          <w:color w:val="221F1F"/>
          <w:spacing w:val="-2"/>
        </w:rPr>
        <w:t xml:space="preserve"> </w:t>
      </w:r>
      <w:r>
        <w:rPr>
          <w:color w:val="221F1F"/>
        </w:rPr>
        <w:t>the</w:t>
      </w:r>
      <w:r>
        <w:rPr>
          <w:color w:val="221F1F"/>
          <w:spacing w:val="-2"/>
        </w:rPr>
        <w:t xml:space="preserve"> </w:t>
      </w:r>
      <w:r>
        <w:rPr>
          <w:color w:val="221F1F"/>
        </w:rPr>
        <w:t>authorization</w:t>
      </w:r>
      <w:r>
        <w:rPr>
          <w:color w:val="221F1F"/>
          <w:spacing w:val="-1"/>
        </w:rPr>
        <w:t xml:space="preserve"> </w:t>
      </w:r>
      <w:r>
        <w:rPr>
          <w:color w:val="221F1F"/>
        </w:rPr>
        <w:t>must</w:t>
      </w:r>
      <w:r>
        <w:rPr>
          <w:color w:val="221F1F"/>
          <w:spacing w:val="-1"/>
        </w:rPr>
        <w:t xml:space="preserve"> </w:t>
      </w:r>
      <w:r>
        <w:rPr>
          <w:color w:val="221F1F"/>
        </w:rPr>
        <w:t>be</w:t>
      </w:r>
      <w:r>
        <w:rPr>
          <w:color w:val="221F1F"/>
          <w:spacing w:val="-2"/>
        </w:rPr>
        <w:t xml:space="preserve"> </w:t>
      </w:r>
      <w:r>
        <w:rPr>
          <w:color w:val="221F1F"/>
        </w:rPr>
        <w:t>typed</w:t>
      </w:r>
      <w:r>
        <w:rPr>
          <w:color w:val="221F1F"/>
          <w:spacing w:val="-2"/>
        </w:rPr>
        <w:t xml:space="preserve"> </w:t>
      </w:r>
      <w:r>
        <w:rPr>
          <w:color w:val="221F1F"/>
        </w:rPr>
        <w:t>or</w:t>
      </w:r>
      <w:r>
        <w:rPr>
          <w:color w:val="221F1F"/>
          <w:spacing w:val="-1"/>
        </w:rPr>
        <w:t xml:space="preserve"> </w:t>
      </w:r>
      <w:r>
        <w:rPr>
          <w:color w:val="221F1F"/>
        </w:rPr>
        <w:t>printed</w:t>
      </w:r>
      <w:r>
        <w:rPr>
          <w:color w:val="221F1F"/>
          <w:spacing w:val="-1"/>
        </w:rPr>
        <w:t xml:space="preserve"> </w:t>
      </w:r>
      <w:r>
        <w:rPr>
          <w:color w:val="221F1F"/>
        </w:rPr>
        <w:t>below</w:t>
      </w:r>
      <w:r>
        <w:rPr>
          <w:color w:val="221F1F"/>
          <w:spacing w:val="-3"/>
        </w:rPr>
        <w:t xml:space="preserve"> </w:t>
      </w:r>
      <w:r>
        <w:rPr>
          <w:color w:val="221F1F"/>
        </w:rPr>
        <w:t>the</w:t>
      </w:r>
      <w:r>
        <w:rPr>
          <w:color w:val="221F1F"/>
          <w:spacing w:val="-2"/>
        </w:rPr>
        <w:t xml:space="preserve"> </w:t>
      </w:r>
      <w:r>
        <w:rPr>
          <w:color w:val="221F1F"/>
        </w:rPr>
        <w:t>signature.</w:t>
      </w:r>
      <w:r>
        <w:rPr>
          <w:color w:val="221F1F"/>
          <w:spacing w:val="-1"/>
        </w:rPr>
        <w:t xml:space="preserve"> </w:t>
      </w:r>
      <w:r>
        <w:rPr>
          <w:color w:val="221F1F"/>
        </w:rPr>
        <w:t>All</w:t>
      </w:r>
      <w:r>
        <w:rPr>
          <w:color w:val="221F1F"/>
          <w:spacing w:val="-1"/>
        </w:rPr>
        <w:t xml:space="preserve"> </w:t>
      </w:r>
      <w:r>
        <w:rPr>
          <w:color w:val="221F1F"/>
        </w:rPr>
        <w:t>pages</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where entries or amendments have been made shall be signed or initialed by the person signing the Tender.</w:t>
      </w:r>
    </w:p>
    <w:p w:rsidR="007F6DF9" w:rsidRDefault="00A43FBC">
      <w:pPr>
        <w:pStyle w:val="ListParagraph"/>
        <w:numPr>
          <w:ilvl w:val="1"/>
          <w:numId w:val="211"/>
        </w:numPr>
        <w:tabs>
          <w:tab w:val="left" w:pos="1468"/>
          <w:tab w:val="left" w:pos="1471"/>
        </w:tabs>
        <w:spacing w:before="246" w:line="230" w:lineRule="auto"/>
        <w:ind w:right="844"/>
        <w:jc w:val="both"/>
      </w:pPr>
      <w:proofErr w:type="spellStart"/>
      <w:r>
        <w:rPr>
          <w:color w:val="221F1F"/>
        </w:rPr>
        <w:t>Incase</w:t>
      </w:r>
      <w:proofErr w:type="spellEnd"/>
      <w:r>
        <w:rPr>
          <w:color w:val="221F1F"/>
          <w:spacing w:val="-7"/>
        </w:rPr>
        <w:t xml:space="preserve"> </w:t>
      </w:r>
      <w:r>
        <w:rPr>
          <w:color w:val="221F1F"/>
        </w:rPr>
        <w:t>the</w:t>
      </w:r>
      <w:r>
        <w:rPr>
          <w:color w:val="221F1F"/>
          <w:spacing w:val="-1"/>
        </w:rPr>
        <w:t xml:space="preserve"> </w:t>
      </w:r>
      <w:r>
        <w:rPr>
          <w:color w:val="221F1F"/>
        </w:rPr>
        <w:t>Tenderer is a JV,</w:t>
      </w:r>
      <w:r>
        <w:rPr>
          <w:color w:val="221F1F"/>
          <w:spacing w:val="-14"/>
        </w:rPr>
        <w:t xml:space="preserve"> </w:t>
      </w:r>
      <w:r>
        <w:rPr>
          <w:color w:val="221F1F"/>
        </w:rPr>
        <w:t>the</w:t>
      </w:r>
      <w:r>
        <w:rPr>
          <w:color w:val="221F1F"/>
          <w:spacing w:val="-3"/>
        </w:rPr>
        <w:t xml:space="preserve"> </w:t>
      </w:r>
      <w:r>
        <w:rPr>
          <w:color w:val="221F1F"/>
        </w:rPr>
        <w:t>Tender</w:t>
      </w:r>
      <w:r>
        <w:rPr>
          <w:color w:val="221F1F"/>
          <w:spacing w:val="-7"/>
        </w:rPr>
        <w:t xml:space="preserve"> </w:t>
      </w:r>
      <w:r>
        <w:rPr>
          <w:color w:val="221F1F"/>
        </w:rPr>
        <w:t>shall be signed</w:t>
      </w:r>
      <w:r>
        <w:rPr>
          <w:color w:val="221F1F"/>
          <w:spacing w:val="-2"/>
        </w:rPr>
        <w:t xml:space="preserve"> </w:t>
      </w:r>
      <w:r>
        <w:rPr>
          <w:color w:val="221F1F"/>
        </w:rPr>
        <w:t>by</w:t>
      </w:r>
      <w:r>
        <w:rPr>
          <w:color w:val="221F1F"/>
          <w:spacing w:val="-1"/>
        </w:rPr>
        <w:t xml:space="preserve"> </w:t>
      </w:r>
      <w:r>
        <w:rPr>
          <w:color w:val="221F1F"/>
        </w:rPr>
        <w:t>an</w:t>
      </w:r>
      <w:r>
        <w:rPr>
          <w:color w:val="221F1F"/>
          <w:spacing w:val="-1"/>
        </w:rPr>
        <w:t xml:space="preserve"> </w:t>
      </w:r>
      <w:r>
        <w:rPr>
          <w:color w:val="221F1F"/>
        </w:rPr>
        <w:t>authorized representative of</w:t>
      </w:r>
      <w:r>
        <w:rPr>
          <w:color w:val="221F1F"/>
          <w:spacing w:val="-2"/>
        </w:rPr>
        <w:t xml:space="preserve"> </w:t>
      </w:r>
      <w:r>
        <w:rPr>
          <w:color w:val="221F1F"/>
        </w:rPr>
        <w:t>the JV</w:t>
      </w:r>
      <w:r>
        <w:rPr>
          <w:color w:val="221F1F"/>
          <w:spacing w:val="-2"/>
        </w:rPr>
        <w:t xml:space="preserve"> </w:t>
      </w:r>
      <w:r>
        <w:rPr>
          <w:color w:val="221F1F"/>
        </w:rPr>
        <w:t>on</w:t>
      </w:r>
      <w:r>
        <w:rPr>
          <w:color w:val="221F1F"/>
          <w:spacing w:val="-1"/>
        </w:rPr>
        <w:t xml:space="preserve"> </w:t>
      </w:r>
      <w:r>
        <w:rPr>
          <w:color w:val="221F1F"/>
        </w:rPr>
        <w:t>behalf of the</w:t>
      </w:r>
      <w:r>
        <w:rPr>
          <w:color w:val="221F1F"/>
          <w:spacing w:val="-14"/>
        </w:rPr>
        <w:t xml:space="preserve"> </w:t>
      </w:r>
      <w:r>
        <w:rPr>
          <w:color w:val="221F1F"/>
        </w:rPr>
        <w:t>JV,</w:t>
      </w:r>
      <w:r>
        <w:rPr>
          <w:color w:val="221F1F"/>
          <w:spacing w:val="-14"/>
        </w:rPr>
        <w:t xml:space="preserve"> </w:t>
      </w:r>
      <w:r>
        <w:rPr>
          <w:color w:val="221F1F"/>
        </w:rPr>
        <w:t>and</w:t>
      </w:r>
      <w:r>
        <w:rPr>
          <w:color w:val="221F1F"/>
          <w:spacing w:val="-6"/>
        </w:rPr>
        <w:t xml:space="preserve"> </w:t>
      </w:r>
      <w:r>
        <w:rPr>
          <w:color w:val="221F1F"/>
        </w:rPr>
        <w:t>so</w:t>
      </w:r>
      <w:r>
        <w:rPr>
          <w:color w:val="221F1F"/>
          <w:spacing w:val="-7"/>
        </w:rPr>
        <w:t xml:space="preserve"> </w:t>
      </w:r>
      <w:r>
        <w:rPr>
          <w:color w:val="221F1F"/>
        </w:rPr>
        <w:t>as</w:t>
      </w:r>
      <w:r>
        <w:rPr>
          <w:color w:val="221F1F"/>
          <w:spacing w:val="-4"/>
        </w:rPr>
        <w:t xml:space="preserve"> </w:t>
      </w:r>
      <w:r>
        <w:rPr>
          <w:color w:val="221F1F"/>
        </w:rPr>
        <w:t>to</w:t>
      </w:r>
      <w:r>
        <w:rPr>
          <w:color w:val="221F1F"/>
          <w:spacing w:val="-5"/>
        </w:rPr>
        <w:t xml:space="preserve"> </w:t>
      </w:r>
      <w:r>
        <w:rPr>
          <w:color w:val="221F1F"/>
        </w:rPr>
        <w:t>be</w:t>
      </w:r>
      <w:r>
        <w:rPr>
          <w:color w:val="221F1F"/>
          <w:spacing w:val="-7"/>
        </w:rPr>
        <w:t xml:space="preserve"> </w:t>
      </w:r>
      <w:r>
        <w:rPr>
          <w:color w:val="221F1F"/>
        </w:rPr>
        <w:t>legally</w:t>
      </w:r>
      <w:r>
        <w:rPr>
          <w:color w:val="221F1F"/>
          <w:spacing w:val="-4"/>
        </w:rPr>
        <w:t xml:space="preserve"> </w:t>
      </w:r>
      <w:r>
        <w:rPr>
          <w:color w:val="221F1F"/>
        </w:rPr>
        <w:t>binding</w:t>
      </w:r>
      <w:r>
        <w:rPr>
          <w:color w:val="221F1F"/>
          <w:spacing w:val="-5"/>
        </w:rPr>
        <w:t xml:space="preserve"> </w:t>
      </w:r>
      <w:r>
        <w:rPr>
          <w:color w:val="221F1F"/>
        </w:rPr>
        <w:t>on</w:t>
      </w:r>
      <w:r>
        <w:rPr>
          <w:color w:val="221F1F"/>
          <w:spacing w:val="-7"/>
        </w:rPr>
        <w:t xml:space="preserve"> </w:t>
      </w:r>
      <w:r>
        <w:rPr>
          <w:color w:val="221F1F"/>
        </w:rPr>
        <w:t>all</w:t>
      </w:r>
      <w:r>
        <w:rPr>
          <w:color w:val="221F1F"/>
          <w:spacing w:val="-3"/>
        </w:rPr>
        <w:t xml:space="preserve"> </w:t>
      </w:r>
      <w:r>
        <w:rPr>
          <w:color w:val="221F1F"/>
        </w:rPr>
        <w:t>the</w:t>
      </w:r>
      <w:r>
        <w:rPr>
          <w:color w:val="221F1F"/>
          <w:spacing w:val="-4"/>
        </w:rPr>
        <w:t xml:space="preserve"> </w:t>
      </w:r>
      <w:r>
        <w:rPr>
          <w:color w:val="221F1F"/>
        </w:rPr>
        <w:t>members</w:t>
      </w:r>
      <w:r>
        <w:rPr>
          <w:color w:val="221F1F"/>
          <w:spacing w:val="-6"/>
        </w:rPr>
        <w:t xml:space="preserve"> </w:t>
      </w:r>
      <w:r>
        <w:rPr>
          <w:color w:val="221F1F"/>
        </w:rPr>
        <w:t>as</w:t>
      </w:r>
      <w:r>
        <w:rPr>
          <w:color w:val="221F1F"/>
          <w:spacing w:val="-4"/>
        </w:rPr>
        <w:t xml:space="preserve"> </w:t>
      </w:r>
      <w:r>
        <w:rPr>
          <w:color w:val="221F1F"/>
        </w:rPr>
        <w:t>evidenced</w:t>
      </w:r>
      <w:r>
        <w:rPr>
          <w:color w:val="221F1F"/>
          <w:spacing w:val="-7"/>
        </w:rPr>
        <w:t xml:space="preserve"> </w:t>
      </w:r>
      <w:r>
        <w:rPr>
          <w:color w:val="221F1F"/>
        </w:rPr>
        <w:t>by</w:t>
      </w:r>
      <w:r>
        <w:rPr>
          <w:color w:val="221F1F"/>
          <w:spacing w:val="-5"/>
        </w:rPr>
        <w:t xml:space="preserve"> </w:t>
      </w:r>
      <w:r>
        <w:rPr>
          <w:color w:val="221F1F"/>
        </w:rPr>
        <w:t>a</w:t>
      </w:r>
      <w:r>
        <w:rPr>
          <w:color w:val="221F1F"/>
          <w:spacing w:val="-4"/>
        </w:rPr>
        <w:t xml:space="preserve"> </w:t>
      </w:r>
      <w:r>
        <w:rPr>
          <w:color w:val="221F1F"/>
        </w:rPr>
        <w:t>power</w:t>
      </w:r>
      <w:r>
        <w:rPr>
          <w:color w:val="221F1F"/>
          <w:spacing w:val="-4"/>
        </w:rPr>
        <w:t xml:space="preserve"> </w:t>
      </w:r>
      <w:r>
        <w:rPr>
          <w:color w:val="221F1F"/>
        </w:rPr>
        <w:t>of</w:t>
      </w:r>
      <w:r>
        <w:rPr>
          <w:color w:val="221F1F"/>
          <w:spacing w:val="-6"/>
        </w:rPr>
        <w:t xml:space="preserve"> </w:t>
      </w:r>
      <w:r>
        <w:rPr>
          <w:color w:val="221F1F"/>
        </w:rPr>
        <w:t>attorney</w:t>
      </w:r>
      <w:r>
        <w:rPr>
          <w:color w:val="221F1F"/>
          <w:spacing w:val="-4"/>
        </w:rPr>
        <w:t xml:space="preserve"> </w:t>
      </w:r>
      <w:r>
        <w:rPr>
          <w:color w:val="221F1F"/>
        </w:rPr>
        <w:t>signed</w:t>
      </w:r>
      <w:r>
        <w:rPr>
          <w:color w:val="221F1F"/>
          <w:spacing w:val="-4"/>
        </w:rPr>
        <w:t xml:space="preserve"> </w:t>
      </w:r>
      <w:r>
        <w:rPr>
          <w:color w:val="221F1F"/>
        </w:rPr>
        <w:t>by</w:t>
      </w:r>
      <w:r>
        <w:rPr>
          <w:color w:val="221F1F"/>
          <w:spacing w:val="-7"/>
        </w:rPr>
        <w:t xml:space="preserve"> </w:t>
      </w:r>
      <w:r>
        <w:rPr>
          <w:color w:val="221F1F"/>
        </w:rPr>
        <w:t>their legally authorized representatives.</w:t>
      </w:r>
    </w:p>
    <w:p w:rsidR="007F6DF9" w:rsidRDefault="00A43FBC">
      <w:pPr>
        <w:pStyle w:val="ListParagraph"/>
        <w:numPr>
          <w:ilvl w:val="1"/>
          <w:numId w:val="211"/>
        </w:numPr>
        <w:tabs>
          <w:tab w:val="left" w:pos="1412"/>
          <w:tab w:val="left" w:pos="1416"/>
        </w:tabs>
        <w:spacing w:before="246" w:line="230" w:lineRule="auto"/>
        <w:ind w:left="1416" w:right="855" w:hanging="570"/>
        <w:jc w:val="both"/>
      </w:pPr>
      <w:r>
        <w:rPr>
          <w:color w:val="221F1F"/>
        </w:rPr>
        <w:t>Any inter-lineation, erasures, or overwriting shall be valid only if they are signed or initialed by the person signing the Tender.</w:t>
      </w:r>
    </w:p>
    <w:p w:rsidR="007F6DF9" w:rsidRDefault="00A43FBC">
      <w:pPr>
        <w:pStyle w:val="Heading8"/>
        <w:numPr>
          <w:ilvl w:val="0"/>
          <w:numId w:val="225"/>
        </w:numPr>
        <w:tabs>
          <w:tab w:val="left" w:pos="1116"/>
        </w:tabs>
        <w:spacing w:before="175"/>
        <w:ind w:left="1116" w:hanging="267"/>
      </w:pPr>
      <w:bookmarkStart w:id="23" w:name="_bookmark22"/>
      <w:bookmarkEnd w:id="23"/>
      <w:r>
        <w:rPr>
          <w:color w:val="221F1F"/>
        </w:rPr>
        <w:t>SUBMISSION</w:t>
      </w:r>
      <w:r>
        <w:rPr>
          <w:color w:val="221F1F"/>
          <w:spacing w:val="-5"/>
        </w:rPr>
        <w:t xml:space="preserve"> </w:t>
      </w:r>
      <w:r>
        <w:rPr>
          <w:color w:val="221F1F"/>
        </w:rPr>
        <w:t>AND</w:t>
      </w:r>
      <w:r>
        <w:rPr>
          <w:color w:val="221F1F"/>
          <w:spacing w:val="-6"/>
        </w:rPr>
        <w:t xml:space="preserve"> </w:t>
      </w:r>
      <w:r>
        <w:rPr>
          <w:color w:val="221F1F"/>
        </w:rPr>
        <w:t>OPENING</w:t>
      </w:r>
      <w:r>
        <w:rPr>
          <w:color w:val="221F1F"/>
          <w:spacing w:val="-3"/>
        </w:rPr>
        <w:t xml:space="preserve"> </w:t>
      </w:r>
      <w:r>
        <w:rPr>
          <w:color w:val="221F1F"/>
        </w:rPr>
        <w:t>OF</w:t>
      </w:r>
      <w:r>
        <w:rPr>
          <w:color w:val="221F1F"/>
          <w:spacing w:val="-3"/>
        </w:rPr>
        <w:t xml:space="preserve"> </w:t>
      </w:r>
      <w:r>
        <w:rPr>
          <w:color w:val="221F1F"/>
          <w:spacing w:val="-2"/>
        </w:rPr>
        <w:t>TENDERS</w:t>
      </w:r>
    </w:p>
    <w:p w:rsidR="007F6DF9" w:rsidRDefault="00A43FBC">
      <w:pPr>
        <w:pStyle w:val="Heading9"/>
        <w:numPr>
          <w:ilvl w:val="1"/>
          <w:numId w:val="210"/>
        </w:numPr>
        <w:tabs>
          <w:tab w:val="left" w:pos="1416"/>
        </w:tabs>
        <w:spacing w:before="235"/>
      </w:pPr>
      <w:bookmarkStart w:id="24" w:name="_bookmark23"/>
      <w:bookmarkEnd w:id="24"/>
      <w:proofErr w:type="spellStart"/>
      <w:r>
        <w:rPr>
          <w:color w:val="221F1F"/>
        </w:rPr>
        <w:t>Sealingand</w:t>
      </w:r>
      <w:proofErr w:type="spellEnd"/>
      <w:r>
        <w:rPr>
          <w:color w:val="221F1F"/>
          <w:spacing w:val="-4"/>
        </w:rPr>
        <w:t xml:space="preserve"> </w:t>
      </w:r>
      <w:r>
        <w:rPr>
          <w:color w:val="221F1F"/>
        </w:rPr>
        <w:t>Marking</w:t>
      </w:r>
      <w:r>
        <w:rPr>
          <w:color w:val="221F1F"/>
          <w:spacing w:val="-3"/>
        </w:rPr>
        <w:t xml:space="preserve"> </w:t>
      </w:r>
      <w:r>
        <w:rPr>
          <w:color w:val="221F1F"/>
        </w:rPr>
        <w:t>of</w:t>
      </w:r>
      <w:r>
        <w:rPr>
          <w:color w:val="221F1F"/>
          <w:spacing w:val="-4"/>
        </w:rPr>
        <w:t xml:space="preserve"> </w:t>
      </w:r>
      <w:r>
        <w:rPr>
          <w:color w:val="221F1F"/>
          <w:spacing w:val="-2"/>
        </w:rPr>
        <w:t>Tenders</w:t>
      </w:r>
    </w:p>
    <w:p w:rsidR="007F6DF9" w:rsidRDefault="00A43FBC">
      <w:pPr>
        <w:pStyle w:val="ListParagraph"/>
        <w:numPr>
          <w:ilvl w:val="1"/>
          <w:numId w:val="210"/>
        </w:numPr>
        <w:tabs>
          <w:tab w:val="left" w:pos="1418"/>
          <w:tab w:val="left" w:pos="1433"/>
        </w:tabs>
        <w:spacing w:before="242" w:line="230" w:lineRule="auto"/>
        <w:ind w:left="1433" w:right="838" w:hanging="584"/>
        <w:jc w:val="both"/>
      </w:pPr>
      <w:r>
        <w:rPr>
          <w:color w:val="221F1F"/>
        </w:rPr>
        <w:t>The Tenderer</w:t>
      </w:r>
      <w:r>
        <w:rPr>
          <w:color w:val="221F1F"/>
          <w:spacing w:val="-1"/>
        </w:rPr>
        <w:t xml:space="preserve"> </w:t>
      </w:r>
      <w:r>
        <w:rPr>
          <w:color w:val="221F1F"/>
        </w:rPr>
        <w:t>shall deliver</w:t>
      </w:r>
      <w:r>
        <w:rPr>
          <w:color w:val="221F1F"/>
          <w:spacing w:val="-1"/>
        </w:rPr>
        <w:t xml:space="preserve"> </w:t>
      </w:r>
      <w:r>
        <w:rPr>
          <w:color w:val="221F1F"/>
        </w:rPr>
        <w:t>the Tender</w:t>
      </w:r>
      <w:r>
        <w:rPr>
          <w:color w:val="221F1F"/>
          <w:spacing w:val="-5"/>
        </w:rPr>
        <w:t xml:space="preserve"> </w:t>
      </w:r>
      <w:r>
        <w:rPr>
          <w:color w:val="221F1F"/>
        </w:rPr>
        <w:t>in a</w:t>
      </w:r>
      <w:r>
        <w:rPr>
          <w:color w:val="221F1F"/>
          <w:spacing w:val="-1"/>
        </w:rPr>
        <w:t xml:space="preserve"> </w:t>
      </w:r>
      <w:r>
        <w:rPr>
          <w:color w:val="221F1F"/>
        </w:rPr>
        <w:t>single sealed</w:t>
      </w:r>
      <w:r>
        <w:rPr>
          <w:color w:val="221F1F"/>
          <w:spacing w:val="-1"/>
        </w:rPr>
        <w:t xml:space="preserve"> </w:t>
      </w:r>
      <w:r>
        <w:rPr>
          <w:color w:val="221F1F"/>
        </w:rPr>
        <w:t>envelope,</w:t>
      </w:r>
      <w:r>
        <w:rPr>
          <w:color w:val="221F1F"/>
          <w:spacing w:val="-1"/>
        </w:rPr>
        <w:t xml:space="preserve"> </w:t>
      </w:r>
      <w:r>
        <w:rPr>
          <w:color w:val="221F1F"/>
        </w:rPr>
        <w:t>or</w:t>
      </w:r>
      <w:r>
        <w:rPr>
          <w:color w:val="221F1F"/>
          <w:spacing w:val="-1"/>
        </w:rPr>
        <w:t xml:space="preserve"> </w:t>
      </w:r>
      <w:r>
        <w:rPr>
          <w:color w:val="221F1F"/>
        </w:rPr>
        <w:t>in</w:t>
      </w:r>
      <w:r>
        <w:rPr>
          <w:color w:val="221F1F"/>
          <w:spacing w:val="-2"/>
        </w:rPr>
        <w:t xml:space="preserve"> </w:t>
      </w:r>
      <w:r>
        <w:rPr>
          <w:color w:val="221F1F"/>
        </w:rPr>
        <w:t>a single</w:t>
      </w:r>
      <w:r>
        <w:rPr>
          <w:color w:val="221F1F"/>
          <w:spacing w:val="-1"/>
        </w:rPr>
        <w:t xml:space="preserve"> </w:t>
      </w:r>
      <w:r>
        <w:rPr>
          <w:color w:val="221F1F"/>
        </w:rPr>
        <w:t>sealed package, or</w:t>
      </w:r>
      <w:r>
        <w:rPr>
          <w:color w:val="221F1F"/>
          <w:spacing w:val="-1"/>
        </w:rPr>
        <w:t xml:space="preserve"> </w:t>
      </w:r>
      <w:r>
        <w:rPr>
          <w:color w:val="221F1F"/>
        </w:rPr>
        <w:t>in a</w:t>
      </w:r>
      <w:r>
        <w:rPr>
          <w:color w:val="221F1F"/>
          <w:spacing w:val="-1"/>
        </w:rPr>
        <w:t xml:space="preserve"> </w:t>
      </w:r>
      <w:r>
        <w:rPr>
          <w:color w:val="221F1F"/>
        </w:rPr>
        <w:t>single sealed</w:t>
      </w:r>
      <w:r>
        <w:rPr>
          <w:color w:val="221F1F"/>
          <w:spacing w:val="-5"/>
        </w:rPr>
        <w:t xml:space="preserve"> </w:t>
      </w:r>
      <w:r>
        <w:rPr>
          <w:color w:val="221F1F"/>
        </w:rPr>
        <w:t>container</w:t>
      </w:r>
      <w:r>
        <w:rPr>
          <w:color w:val="221F1F"/>
          <w:spacing w:val="-5"/>
        </w:rPr>
        <w:t xml:space="preserve"> </w:t>
      </w:r>
      <w:r>
        <w:rPr>
          <w:color w:val="221F1F"/>
        </w:rPr>
        <w:t>bearing</w:t>
      </w:r>
      <w:r>
        <w:rPr>
          <w:color w:val="221F1F"/>
          <w:spacing w:val="-5"/>
        </w:rPr>
        <w:t xml:space="preserve"> </w:t>
      </w:r>
      <w:r>
        <w:rPr>
          <w:color w:val="221F1F"/>
        </w:rPr>
        <w:t>the</w:t>
      </w:r>
      <w:r>
        <w:rPr>
          <w:color w:val="221F1F"/>
          <w:spacing w:val="-7"/>
        </w:rPr>
        <w:t xml:space="preserve"> </w:t>
      </w:r>
      <w:r>
        <w:rPr>
          <w:color w:val="221F1F"/>
        </w:rPr>
        <w:t>name</w:t>
      </w:r>
      <w:r>
        <w:rPr>
          <w:color w:val="221F1F"/>
          <w:spacing w:val="-7"/>
        </w:rPr>
        <w:t xml:space="preserve"> </w:t>
      </w:r>
      <w:r>
        <w:rPr>
          <w:color w:val="221F1F"/>
        </w:rPr>
        <w:t>and</w:t>
      </w:r>
      <w:r>
        <w:rPr>
          <w:color w:val="221F1F"/>
          <w:spacing w:val="-5"/>
        </w:rPr>
        <w:t xml:space="preserve"> </w:t>
      </w:r>
      <w:r>
        <w:rPr>
          <w:color w:val="221F1F"/>
        </w:rPr>
        <w:t>Reference</w:t>
      </w:r>
      <w:r>
        <w:rPr>
          <w:color w:val="221F1F"/>
          <w:spacing w:val="-5"/>
        </w:rPr>
        <w:t xml:space="preserve"> </w:t>
      </w:r>
      <w:r>
        <w:rPr>
          <w:color w:val="221F1F"/>
        </w:rPr>
        <w:t>number</w:t>
      </w:r>
      <w:r>
        <w:rPr>
          <w:color w:val="221F1F"/>
          <w:spacing w:val="-4"/>
        </w:rPr>
        <w:t xml:space="preserve"> </w:t>
      </w:r>
      <w:r>
        <w:rPr>
          <w:color w:val="221F1F"/>
        </w:rPr>
        <w:t>of</w:t>
      </w:r>
      <w:r>
        <w:rPr>
          <w:color w:val="221F1F"/>
          <w:spacing w:val="-7"/>
        </w:rPr>
        <w:t xml:space="preserve"> </w:t>
      </w:r>
      <w:r>
        <w:rPr>
          <w:color w:val="221F1F"/>
        </w:rPr>
        <w:t>the</w:t>
      </w:r>
      <w:r>
        <w:rPr>
          <w:color w:val="221F1F"/>
          <w:spacing w:val="-5"/>
        </w:rPr>
        <w:t xml:space="preserve"> </w:t>
      </w:r>
      <w:r>
        <w:rPr>
          <w:color w:val="221F1F"/>
        </w:rPr>
        <w:t>Tender,</w:t>
      </w:r>
      <w:r>
        <w:rPr>
          <w:color w:val="221F1F"/>
          <w:spacing w:val="-14"/>
        </w:rPr>
        <w:t xml:space="preserve"> </w:t>
      </w:r>
      <w:r>
        <w:rPr>
          <w:color w:val="221F1F"/>
        </w:rPr>
        <w:t>addressed</w:t>
      </w:r>
      <w:r>
        <w:rPr>
          <w:color w:val="221F1F"/>
          <w:spacing w:val="-7"/>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and a warning not to open before the time and date for Tender</w:t>
      </w:r>
      <w:r>
        <w:rPr>
          <w:color w:val="221F1F"/>
          <w:spacing w:val="-3"/>
        </w:rPr>
        <w:t xml:space="preserve"> </w:t>
      </w:r>
      <w:r>
        <w:rPr>
          <w:color w:val="221F1F"/>
        </w:rPr>
        <w:t>opening date. Within the single envelope, package or container, the Tenderer shall place the following separate, sealed envelopes:</w:t>
      </w:r>
    </w:p>
    <w:p w:rsidR="007F6DF9" w:rsidRDefault="00A43FBC">
      <w:pPr>
        <w:pStyle w:val="ListParagraph"/>
        <w:numPr>
          <w:ilvl w:val="2"/>
          <w:numId w:val="210"/>
        </w:numPr>
        <w:tabs>
          <w:tab w:val="left" w:pos="1846"/>
        </w:tabs>
        <w:spacing w:before="49" w:line="230" w:lineRule="auto"/>
        <w:ind w:right="975"/>
      </w:pPr>
      <w:r>
        <w:rPr>
          <w:color w:val="221F1F"/>
        </w:rPr>
        <w:t>in</w:t>
      </w:r>
      <w:r>
        <w:rPr>
          <w:color w:val="221F1F"/>
          <w:spacing w:val="-4"/>
        </w:rPr>
        <w:t xml:space="preserve"> </w:t>
      </w:r>
      <w:r>
        <w:rPr>
          <w:color w:val="221F1F"/>
        </w:rPr>
        <w:t>an</w:t>
      </w:r>
      <w:r>
        <w:rPr>
          <w:color w:val="221F1F"/>
          <w:spacing w:val="-5"/>
        </w:rPr>
        <w:t xml:space="preserve"> </w:t>
      </w:r>
      <w:r>
        <w:rPr>
          <w:color w:val="221F1F"/>
        </w:rPr>
        <w:t>envelope</w:t>
      </w:r>
      <w:r>
        <w:rPr>
          <w:color w:val="221F1F"/>
          <w:spacing w:val="-5"/>
        </w:rPr>
        <w:t xml:space="preserve"> </w:t>
      </w:r>
      <w:r>
        <w:rPr>
          <w:color w:val="221F1F"/>
        </w:rPr>
        <w:t>or</w:t>
      </w:r>
      <w:r>
        <w:rPr>
          <w:color w:val="221F1F"/>
          <w:spacing w:val="-4"/>
        </w:rPr>
        <w:t xml:space="preserve"> </w:t>
      </w:r>
      <w:r>
        <w:rPr>
          <w:color w:val="221F1F"/>
        </w:rPr>
        <w:t>package</w:t>
      </w:r>
      <w:r>
        <w:rPr>
          <w:color w:val="221F1F"/>
          <w:spacing w:val="-5"/>
        </w:rPr>
        <w:t xml:space="preserve"> </w:t>
      </w:r>
      <w:r>
        <w:rPr>
          <w:color w:val="221F1F"/>
        </w:rPr>
        <w:t>or</w:t>
      </w:r>
      <w:r>
        <w:rPr>
          <w:color w:val="221F1F"/>
          <w:spacing w:val="-4"/>
        </w:rPr>
        <w:t xml:space="preserve"> </w:t>
      </w:r>
      <w:r>
        <w:rPr>
          <w:color w:val="221F1F"/>
        </w:rPr>
        <w:t>container</w:t>
      </w:r>
      <w:r>
        <w:rPr>
          <w:color w:val="221F1F"/>
          <w:spacing w:val="-4"/>
        </w:rPr>
        <w:t xml:space="preserve"> </w:t>
      </w:r>
      <w:r>
        <w:rPr>
          <w:color w:val="221F1F"/>
        </w:rPr>
        <w:t>marked</w:t>
      </w:r>
      <w:r>
        <w:rPr>
          <w:color w:val="221F1F"/>
          <w:spacing w:val="-4"/>
        </w:rPr>
        <w:t xml:space="preserve"> </w:t>
      </w:r>
      <w:r>
        <w:rPr>
          <w:color w:val="221F1F"/>
        </w:rPr>
        <w:t>“ORIGINAL”,</w:t>
      </w:r>
      <w:r>
        <w:rPr>
          <w:color w:val="221F1F"/>
          <w:spacing w:val="-4"/>
        </w:rPr>
        <w:t xml:space="preserve"> </w:t>
      </w:r>
      <w:r>
        <w:rPr>
          <w:color w:val="221F1F"/>
        </w:rPr>
        <w:t>all</w:t>
      </w:r>
      <w:r>
        <w:rPr>
          <w:color w:val="221F1F"/>
          <w:spacing w:val="-3"/>
        </w:rPr>
        <w:t xml:space="preserve"> </w:t>
      </w:r>
      <w:r>
        <w:rPr>
          <w:color w:val="221F1F"/>
        </w:rPr>
        <w:t>documents</w:t>
      </w:r>
      <w:r>
        <w:rPr>
          <w:color w:val="221F1F"/>
          <w:spacing w:val="-4"/>
        </w:rPr>
        <w:t xml:space="preserve"> </w:t>
      </w:r>
      <w:r>
        <w:rPr>
          <w:color w:val="221F1F"/>
        </w:rPr>
        <w:t>comprising</w:t>
      </w:r>
      <w:r>
        <w:rPr>
          <w:color w:val="221F1F"/>
          <w:spacing w:val="-6"/>
        </w:rPr>
        <w:t xml:space="preserve"> </w:t>
      </w:r>
      <w:r>
        <w:rPr>
          <w:color w:val="221F1F"/>
        </w:rPr>
        <w:t>the Tender,</w:t>
      </w:r>
      <w:r>
        <w:rPr>
          <w:color w:val="221F1F"/>
          <w:spacing w:val="-13"/>
        </w:rPr>
        <w:t xml:space="preserve"> </w:t>
      </w:r>
      <w:r>
        <w:rPr>
          <w:color w:val="221F1F"/>
        </w:rPr>
        <w:t>as described in ITT 11; and</w:t>
      </w:r>
    </w:p>
    <w:p w:rsidR="007F6DF9" w:rsidRDefault="00A43FBC">
      <w:pPr>
        <w:pStyle w:val="ListParagraph"/>
        <w:numPr>
          <w:ilvl w:val="2"/>
          <w:numId w:val="210"/>
        </w:numPr>
        <w:tabs>
          <w:tab w:val="left" w:pos="1845"/>
        </w:tabs>
        <w:spacing w:before="41"/>
        <w:ind w:left="1845" w:hanging="427"/>
      </w:pPr>
      <w:r>
        <w:rPr>
          <w:color w:val="221F1F"/>
        </w:rPr>
        <w:t>in</w:t>
      </w:r>
      <w:r>
        <w:rPr>
          <w:color w:val="221F1F"/>
          <w:spacing w:val="-7"/>
        </w:rPr>
        <w:t xml:space="preserve"> </w:t>
      </w:r>
      <w:r>
        <w:rPr>
          <w:color w:val="221F1F"/>
        </w:rPr>
        <w:t>a</w:t>
      </w:r>
      <w:r>
        <w:rPr>
          <w:color w:val="221F1F"/>
          <w:spacing w:val="-4"/>
        </w:rPr>
        <w:t xml:space="preserve"> </w:t>
      </w:r>
      <w:proofErr w:type="spellStart"/>
      <w:r>
        <w:rPr>
          <w:color w:val="221F1F"/>
        </w:rPr>
        <w:t>nenvelope</w:t>
      </w:r>
      <w:proofErr w:type="spellEnd"/>
      <w:r>
        <w:rPr>
          <w:color w:val="221F1F"/>
          <w:spacing w:val="-6"/>
        </w:rPr>
        <w:t xml:space="preserve"> </w:t>
      </w:r>
      <w:r>
        <w:rPr>
          <w:color w:val="221F1F"/>
        </w:rPr>
        <w:t>or</w:t>
      </w:r>
      <w:r>
        <w:rPr>
          <w:color w:val="221F1F"/>
          <w:spacing w:val="-3"/>
        </w:rPr>
        <w:t xml:space="preserve"> </w:t>
      </w:r>
      <w:r>
        <w:rPr>
          <w:color w:val="221F1F"/>
        </w:rPr>
        <w:t>package</w:t>
      </w:r>
      <w:r>
        <w:rPr>
          <w:color w:val="221F1F"/>
          <w:spacing w:val="-5"/>
        </w:rPr>
        <w:t xml:space="preserve"> </w:t>
      </w:r>
      <w:r>
        <w:rPr>
          <w:color w:val="221F1F"/>
        </w:rPr>
        <w:t>or</w:t>
      </w:r>
      <w:r>
        <w:rPr>
          <w:color w:val="221F1F"/>
          <w:spacing w:val="-3"/>
        </w:rPr>
        <w:t xml:space="preserve"> </w:t>
      </w:r>
      <w:r>
        <w:rPr>
          <w:color w:val="221F1F"/>
        </w:rPr>
        <w:t>container</w:t>
      </w:r>
      <w:r>
        <w:rPr>
          <w:color w:val="221F1F"/>
          <w:spacing w:val="-4"/>
        </w:rPr>
        <w:t xml:space="preserve"> </w:t>
      </w:r>
      <w:r>
        <w:rPr>
          <w:color w:val="221F1F"/>
        </w:rPr>
        <w:t>marked</w:t>
      </w:r>
      <w:r>
        <w:rPr>
          <w:color w:val="221F1F"/>
          <w:spacing w:val="-4"/>
        </w:rPr>
        <w:t xml:space="preserve"> </w:t>
      </w:r>
      <w:r>
        <w:rPr>
          <w:color w:val="221F1F"/>
        </w:rPr>
        <w:t>“COPIES”,</w:t>
      </w:r>
      <w:r>
        <w:rPr>
          <w:color w:val="221F1F"/>
          <w:spacing w:val="-3"/>
        </w:rPr>
        <w:t xml:space="preserve"> </w:t>
      </w:r>
      <w:r>
        <w:rPr>
          <w:color w:val="221F1F"/>
        </w:rPr>
        <w:t>all</w:t>
      </w:r>
      <w:r>
        <w:rPr>
          <w:color w:val="221F1F"/>
          <w:spacing w:val="-3"/>
        </w:rPr>
        <w:t xml:space="preserve"> </w:t>
      </w:r>
      <w:r>
        <w:rPr>
          <w:color w:val="221F1F"/>
        </w:rPr>
        <w:t>required</w:t>
      </w:r>
      <w:r>
        <w:rPr>
          <w:color w:val="221F1F"/>
          <w:spacing w:val="-4"/>
        </w:rPr>
        <w:t xml:space="preserve"> </w:t>
      </w:r>
      <w:r>
        <w:rPr>
          <w:color w:val="221F1F"/>
        </w:rPr>
        <w:t>copies</w:t>
      </w:r>
      <w:r>
        <w:rPr>
          <w:color w:val="221F1F"/>
          <w:spacing w:val="-7"/>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Tender;</w:t>
      </w:r>
      <w:r>
        <w:rPr>
          <w:color w:val="221F1F"/>
          <w:spacing w:val="-9"/>
        </w:rPr>
        <w:t xml:space="preserve"> </w:t>
      </w:r>
      <w:r>
        <w:rPr>
          <w:color w:val="221F1F"/>
          <w:spacing w:val="-5"/>
        </w:rPr>
        <w:t>and</w:t>
      </w:r>
    </w:p>
    <w:p w:rsidR="007F6DF9" w:rsidRDefault="00A43FBC">
      <w:pPr>
        <w:pStyle w:val="ListParagraph"/>
        <w:numPr>
          <w:ilvl w:val="2"/>
          <w:numId w:val="210"/>
        </w:numPr>
        <w:tabs>
          <w:tab w:val="left" w:pos="1845"/>
        </w:tabs>
        <w:spacing w:before="40"/>
        <w:ind w:left="1845" w:hanging="427"/>
      </w:pPr>
      <w:r>
        <w:rPr>
          <w:color w:val="221F1F"/>
        </w:rPr>
        <w:t>if</w:t>
      </w:r>
      <w:r>
        <w:rPr>
          <w:color w:val="221F1F"/>
          <w:spacing w:val="-6"/>
        </w:rPr>
        <w:t xml:space="preserve"> </w:t>
      </w:r>
      <w:r>
        <w:rPr>
          <w:color w:val="221F1F"/>
        </w:rPr>
        <w:t>alternative</w:t>
      </w:r>
      <w:r>
        <w:rPr>
          <w:color w:val="221F1F"/>
          <w:spacing w:val="-7"/>
        </w:rPr>
        <w:t xml:space="preserve"> </w:t>
      </w:r>
      <w:r>
        <w:rPr>
          <w:color w:val="221F1F"/>
        </w:rPr>
        <w:t>Tenders</w:t>
      </w:r>
      <w:r>
        <w:rPr>
          <w:color w:val="221F1F"/>
          <w:spacing w:val="-8"/>
        </w:rPr>
        <w:t xml:space="preserve"> </w:t>
      </w:r>
      <w:r>
        <w:rPr>
          <w:color w:val="221F1F"/>
        </w:rPr>
        <w:t>are</w:t>
      </w:r>
      <w:r>
        <w:rPr>
          <w:color w:val="221F1F"/>
          <w:spacing w:val="-4"/>
        </w:rPr>
        <w:t xml:space="preserve"> </w:t>
      </w:r>
      <w:r>
        <w:rPr>
          <w:color w:val="221F1F"/>
        </w:rPr>
        <w:t>permitted</w:t>
      </w:r>
      <w:r>
        <w:rPr>
          <w:color w:val="221F1F"/>
          <w:spacing w:val="-7"/>
        </w:rPr>
        <w:t xml:space="preserve"> </w:t>
      </w:r>
      <w:r>
        <w:rPr>
          <w:color w:val="221F1F"/>
        </w:rPr>
        <w:t>in</w:t>
      </w:r>
      <w:r>
        <w:rPr>
          <w:color w:val="221F1F"/>
          <w:spacing w:val="-4"/>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ITT</w:t>
      </w:r>
      <w:r>
        <w:rPr>
          <w:color w:val="221F1F"/>
          <w:spacing w:val="-6"/>
        </w:rPr>
        <w:t xml:space="preserve"> </w:t>
      </w:r>
      <w:r>
        <w:rPr>
          <w:color w:val="221F1F"/>
        </w:rPr>
        <w:t>13,</w:t>
      </w:r>
      <w:r>
        <w:rPr>
          <w:color w:val="221F1F"/>
          <w:spacing w:val="-4"/>
        </w:rPr>
        <w:t xml:space="preserve"> </w:t>
      </w:r>
      <w:r>
        <w:rPr>
          <w:color w:val="221F1F"/>
        </w:rPr>
        <w:t>and</w:t>
      </w:r>
      <w:r>
        <w:rPr>
          <w:color w:val="221F1F"/>
          <w:spacing w:val="-5"/>
        </w:rPr>
        <w:t xml:space="preserve"> </w:t>
      </w:r>
      <w:r>
        <w:rPr>
          <w:color w:val="221F1F"/>
        </w:rPr>
        <w:t>if</w:t>
      </w:r>
      <w:r>
        <w:rPr>
          <w:color w:val="221F1F"/>
          <w:spacing w:val="-3"/>
        </w:rPr>
        <w:t xml:space="preserve"> </w:t>
      </w:r>
      <w:r>
        <w:rPr>
          <w:color w:val="221F1F"/>
          <w:spacing w:val="-2"/>
        </w:rPr>
        <w:t>relevant:</w:t>
      </w:r>
    </w:p>
    <w:p w:rsidR="007F6DF9" w:rsidRDefault="007F6DF9">
      <w:pPr>
        <w:pStyle w:val="ListParagraph"/>
        <w:sectPr w:rsidR="007F6DF9">
          <w:pgSz w:w="11920" w:h="16850"/>
          <w:pgMar w:top="360" w:right="0" w:bottom="620" w:left="0" w:header="0" w:footer="437" w:gutter="0"/>
          <w:cols w:space="720"/>
        </w:sectPr>
      </w:pPr>
    </w:p>
    <w:p w:rsidR="007F6DF9" w:rsidRDefault="007F6DF9">
      <w:pPr>
        <w:pStyle w:val="BodyText"/>
        <w:spacing w:before="18"/>
      </w:pPr>
    </w:p>
    <w:p w:rsidR="007F6DF9" w:rsidRDefault="00A43FBC">
      <w:pPr>
        <w:pStyle w:val="ListParagraph"/>
        <w:numPr>
          <w:ilvl w:val="3"/>
          <w:numId w:val="210"/>
        </w:numPr>
        <w:tabs>
          <w:tab w:val="left" w:pos="2205"/>
          <w:tab w:val="left" w:pos="2213"/>
        </w:tabs>
        <w:spacing w:line="230" w:lineRule="auto"/>
        <w:ind w:right="1319" w:hanging="360"/>
      </w:pPr>
      <w:r>
        <w:rPr>
          <w:color w:val="221F1F"/>
        </w:rPr>
        <w:t>in</w:t>
      </w:r>
      <w:r>
        <w:rPr>
          <w:color w:val="221F1F"/>
          <w:spacing w:val="-7"/>
        </w:rPr>
        <w:t xml:space="preserve"> </w:t>
      </w:r>
      <w:r>
        <w:rPr>
          <w:color w:val="221F1F"/>
        </w:rPr>
        <w:t>an</w:t>
      </w:r>
      <w:r>
        <w:rPr>
          <w:color w:val="221F1F"/>
          <w:spacing w:val="-8"/>
        </w:rPr>
        <w:t xml:space="preserve"> </w:t>
      </w:r>
      <w:r>
        <w:rPr>
          <w:color w:val="221F1F"/>
        </w:rPr>
        <w:t>envelope</w:t>
      </w:r>
      <w:r>
        <w:rPr>
          <w:color w:val="221F1F"/>
          <w:spacing w:val="-8"/>
        </w:rPr>
        <w:t xml:space="preserve"> </w:t>
      </w:r>
      <w:r>
        <w:rPr>
          <w:color w:val="221F1F"/>
        </w:rPr>
        <w:t>or</w:t>
      </w:r>
      <w:r>
        <w:rPr>
          <w:color w:val="221F1F"/>
          <w:spacing w:val="-7"/>
        </w:rPr>
        <w:t xml:space="preserve"> </w:t>
      </w:r>
      <w:r>
        <w:rPr>
          <w:color w:val="221F1F"/>
        </w:rPr>
        <w:t>package</w:t>
      </w:r>
      <w:r>
        <w:rPr>
          <w:color w:val="221F1F"/>
          <w:spacing w:val="-8"/>
        </w:rPr>
        <w:t xml:space="preserve"> </w:t>
      </w:r>
      <w:r>
        <w:rPr>
          <w:color w:val="221F1F"/>
        </w:rPr>
        <w:t>or</w:t>
      </w:r>
      <w:r>
        <w:rPr>
          <w:color w:val="221F1F"/>
          <w:spacing w:val="-7"/>
        </w:rPr>
        <w:t xml:space="preserve"> </w:t>
      </w:r>
      <w:r>
        <w:rPr>
          <w:color w:val="221F1F"/>
        </w:rPr>
        <w:t>container</w:t>
      </w:r>
      <w:r>
        <w:rPr>
          <w:color w:val="221F1F"/>
          <w:spacing w:val="-7"/>
        </w:rPr>
        <w:t xml:space="preserve"> </w:t>
      </w:r>
      <w:r>
        <w:rPr>
          <w:color w:val="221F1F"/>
        </w:rPr>
        <w:t>marked</w:t>
      </w:r>
      <w:r>
        <w:rPr>
          <w:color w:val="221F1F"/>
          <w:spacing w:val="-7"/>
        </w:rPr>
        <w:t xml:space="preserve"> </w:t>
      </w:r>
      <w:r>
        <w:rPr>
          <w:color w:val="221F1F"/>
        </w:rPr>
        <w:t>“ORIGINAL</w:t>
      </w:r>
      <w:r>
        <w:rPr>
          <w:color w:val="221F1F"/>
          <w:spacing w:val="-4"/>
        </w:rPr>
        <w:t xml:space="preserve"> </w:t>
      </w:r>
      <w:r>
        <w:rPr>
          <w:color w:val="221F1F"/>
        </w:rPr>
        <w:t>–ALTERNATIVE</w:t>
      </w:r>
      <w:r>
        <w:rPr>
          <w:color w:val="221F1F"/>
          <w:spacing w:val="-11"/>
        </w:rPr>
        <w:t xml:space="preserve"> </w:t>
      </w:r>
      <w:r>
        <w:rPr>
          <w:color w:val="221F1F"/>
        </w:rPr>
        <w:t>TENDER”,</w:t>
      </w:r>
      <w:r>
        <w:rPr>
          <w:color w:val="221F1F"/>
          <w:spacing w:val="-7"/>
        </w:rPr>
        <w:t xml:space="preserve"> </w:t>
      </w:r>
      <w:r>
        <w:rPr>
          <w:color w:val="221F1F"/>
        </w:rPr>
        <w:t>the alternative Tender; and</w:t>
      </w:r>
    </w:p>
    <w:p w:rsidR="007F6DF9" w:rsidRDefault="00A43FBC">
      <w:pPr>
        <w:pStyle w:val="ListParagraph"/>
        <w:numPr>
          <w:ilvl w:val="3"/>
          <w:numId w:val="210"/>
        </w:numPr>
        <w:tabs>
          <w:tab w:val="left" w:pos="2206"/>
          <w:tab w:val="left" w:pos="2213"/>
        </w:tabs>
        <w:spacing w:before="50" w:line="230" w:lineRule="auto"/>
        <w:ind w:right="868" w:hanging="360"/>
      </w:pPr>
      <w:r>
        <w:rPr>
          <w:color w:val="221F1F"/>
        </w:rPr>
        <w:t>in</w:t>
      </w:r>
      <w:r>
        <w:rPr>
          <w:color w:val="221F1F"/>
          <w:spacing w:val="-7"/>
        </w:rPr>
        <w:t xml:space="preserve"> </w:t>
      </w:r>
      <w:r>
        <w:rPr>
          <w:color w:val="221F1F"/>
        </w:rPr>
        <w:t>the</w:t>
      </w:r>
      <w:r>
        <w:rPr>
          <w:color w:val="221F1F"/>
          <w:spacing w:val="-6"/>
        </w:rPr>
        <w:t xml:space="preserve"> </w:t>
      </w:r>
      <w:r>
        <w:rPr>
          <w:color w:val="221F1F"/>
        </w:rPr>
        <w:t>envelope</w:t>
      </w:r>
      <w:r>
        <w:rPr>
          <w:color w:val="221F1F"/>
          <w:spacing w:val="-6"/>
        </w:rPr>
        <w:t xml:space="preserve"> </w:t>
      </w:r>
      <w:r>
        <w:rPr>
          <w:color w:val="221F1F"/>
        </w:rPr>
        <w:t>or</w:t>
      </w:r>
      <w:r>
        <w:rPr>
          <w:color w:val="221F1F"/>
          <w:spacing w:val="-6"/>
        </w:rPr>
        <w:t xml:space="preserve"> </w:t>
      </w:r>
      <w:r>
        <w:rPr>
          <w:color w:val="221F1F"/>
        </w:rPr>
        <w:t>package</w:t>
      </w:r>
      <w:r>
        <w:rPr>
          <w:color w:val="221F1F"/>
          <w:spacing w:val="-8"/>
        </w:rPr>
        <w:t xml:space="preserve"> </w:t>
      </w:r>
      <w:r>
        <w:rPr>
          <w:color w:val="221F1F"/>
        </w:rPr>
        <w:t>or</w:t>
      </w:r>
      <w:r>
        <w:rPr>
          <w:color w:val="221F1F"/>
          <w:spacing w:val="-6"/>
        </w:rPr>
        <w:t xml:space="preserve"> </w:t>
      </w:r>
      <w:r>
        <w:rPr>
          <w:color w:val="221F1F"/>
        </w:rPr>
        <w:t>container</w:t>
      </w:r>
      <w:r>
        <w:rPr>
          <w:color w:val="221F1F"/>
          <w:spacing w:val="-6"/>
        </w:rPr>
        <w:t xml:space="preserve"> </w:t>
      </w:r>
      <w:r>
        <w:rPr>
          <w:color w:val="221F1F"/>
        </w:rPr>
        <w:t>marked</w:t>
      </w:r>
      <w:r>
        <w:rPr>
          <w:color w:val="221F1F"/>
          <w:spacing w:val="-6"/>
        </w:rPr>
        <w:t xml:space="preserve"> </w:t>
      </w:r>
      <w:r>
        <w:rPr>
          <w:color w:val="221F1F"/>
        </w:rPr>
        <w:t>“COPIES-</w:t>
      </w:r>
      <w:r>
        <w:rPr>
          <w:color w:val="221F1F"/>
          <w:spacing w:val="-8"/>
        </w:rPr>
        <w:t xml:space="preserve"> </w:t>
      </w:r>
      <w:r>
        <w:rPr>
          <w:color w:val="221F1F"/>
        </w:rPr>
        <w:t>ALTERNATIVE</w:t>
      </w:r>
      <w:r>
        <w:rPr>
          <w:color w:val="221F1F"/>
          <w:spacing w:val="-14"/>
        </w:rPr>
        <w:t xml:space="preserve"> </w:t>
      </w:r>
      <w:r>
        <w:rPr>
          <w:color w:val="221F1F"/>
        </w:rPr>
        <w:t>TENDER”,</w:t>
      </w:r>
      <w:r>
        <w:rPr>
          <w:color w:val="221F1F"/>
          <w:spacing w:val="-6"/>
        </w:rPr>
        <w:t xml:space="preserve"> </w:t>
      </w:r>
      <w:r>
        <w:rPr>
          <w:color w:val="221F1F"/>
        </w:rPr>
        <w:t>all</w:t>
      </w:r>
      <w:r>
        <w:rPr>
          <w:color w:val="221F1F"/>
          <w:spacing w:val="-8"/>
        </w:rPr>
        <w:t xml:space="preserve"> </w:t>
      </w:r>
      <w:r>
        <w:rPr>
          <w:color w:val="221F1F"/>
        </w:rPr>
        <w:t>required copies of the alternative Tender.</w:t>
      </w:r>
    </w:p>
    <w:p w:rsidR="007F6DF9" w:rsidRDefault="00A43FBC">
      <w:pPr>
        <w:pStyle w:val="BodyText"/>
        <w:spacing w:before="228" w:line="250" w:lineRule="exact"/>
        <w:ind w:left="1418"/>
      </w:pPr>
      <w:r>
        <w:rPr>
          <w:color w:val="221F1F"/>
        </w:rPr>
        <w:t>The</w:t>
      </w:r>
      <w:r>
        <w:rPr>
          <w:color w:val="221F1F"/>
          <w:spacing w:val="-2"/>
        </w:rPr>
        <w:t xml:space="preserve"> </w:t>
      </w:r>
      <w:r>
        <w:rPr>
          <w:color w:val="221F1F"/>
        </w:rPr>
        <w:t>inner</w:t>
      </w:r>
      <w:r>
        <w:rPr>
          <w:color w:val="221F1F"/>
          <w:spacing w:val="-4"/>
        </w:rPr>
        <w:t xml:space="preserve"> </w:t>
      </w:r>
      <w:r>
        <w:rPr>
          <w:color w:val="221F1F"/>
        </w:rPr>
        <w:t>envelopes</w:t>
      </w:r>
      <w:r>
        <w:rPr>
          <w:color w:val="221F1F"/>
          <w:spacing w:val="-2"/>
        </w:rPr>
        <w:t xml:space="preserve"> </w:t>
      </w:r>
      <w:r>
        <w:rPr>
          <w:color w:val="221F1F"/>
        </w:rPr>
        <w:t>or</w:t>
      </w:r>
      <w:r>
        <w:rPr>
          <w:color w:val="221F1F"/>
          <w:spacing w:val="-3"/>
        </w:rPr>
        <w:t xml:space="preserve"> </w:t>
      </w:r>
      <w:r>
        <w:rPr>
          <w:color w:val="221F1F"/>
        </w:rPr>
        <w:t>packages</w:t>
      </w:r>
      <w:r>
        <w:rPr>
          <w:color w:val="221F1F"/>
          <w:spacing w:val="-4"/>
        </w:rPr>
        <w:t xml:space="preserve"> </w:t>
      </w:r>
      <w:r>
        <w:rPr>
          <w:color w:val="221F1F"/>
        </w:rPr>
        <w:t>or</w:t>
      </w:r>
      <w:r>
        <w:rPr>
          <w:color w:val="221F1F"/>
          <w:spacing w:val="-2"/>
        </w:rPr>
        <w:t xml:space="preserve"> </w:t>
      </w:r>
      <w:r>
        <w:rPr>
          <w:color w:val="221F1F"/>
        </w:rPr>
        <w:t>containers</w:t>
      </w:r>
      <w:r>
        <w:rPr>
          <w:color w:val="221F1F"/>
          <w:spacing w:val="-3"/>
        </w:rPr>
        <w:t xml:space="preserve"> </w:t>
      </w:r>
      <w:r>
        <w:rPr>
          <w:color w:val="221F1F"/>
          <w:spacing w:val="-2"/>
        </w:rPr>
        <w:t>shall:</w:t>
      </w:r>
    </w:p>
    <w:p w:rsidR="007F6DF9" w:rsidRDefault="00A43FBC">
      <w:pPr>
        <w:pStyle w:val="ListParagraph"/>
        <w:numPr>
          <w:ilvl w:val="0"/>
          <w:numId w:val="209"/>
        </w:numPr>
        <w:tabs>
          <w:tab w:val="left" w:pos="1915"/>
        </w:tabs>
        <w:spacing w:line="245" w:lineRule="exact"/>
      </w:pPr>
      <w:r>
        <w:rPr>
          <w:color w:val="221F1F"/>
        </w:rPr>
        <w:t>bear</w:t>
      </w:r>
      <w:r>
        <w:rPr>
          <w:color w:val="221F1F"/>
          <w:spacing w:val="-4"/>
        </w:rPr>
        <w:t xml:space="preserve"> </w:t>
      </w:r>
      <w:r>
        <w:rPr>
          <w:color w:val="221F1F"/>
        </w:rPr>
        <w:t>the</w:t>
      </w:r>
      <w:r>
        <w:rPr>
          <w:color w:val="221F1F"/>
          <w:spacing w:val="-4"/>
        </w:rPr>
        <w:t xml:space="preserve"> </w:t>
      </w:r>
      <w:r>
        <w:rPr>
          <w:color w:val="221F1F"/>
        </w:rPr>
        <w:t>name</w:t>
      </w:r>
      <w:r>
        <w:rPr>
          <w:color w:val="221F1F"/>
          <w:spacing w:val="-2"/>
        </w:rPr>
        <w:t xml:space="preserve"> </w:t>
      </w:r>
      <w:r>
        <w:rPr>
          <w:color w:val="221F1F"/>
        </w:rPr>
        <w:t>and</w:t>
      </w:r>
      <w:r>
        <w:rPr>
          <w:color w:val="221F1F"/>
          <w:spacing w:val="-2"/>
        </w:rPr>
        <w:t xml:space="preserve"> </w:t>
      </w:r>
      <w:r>
        <w:rPr>
          <w:color w:val="221F1F"/>
        </w:rPr>
        <w:t>address</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spacing w:val="-2"/>
        </w:rPr>
        <w:t>Entity,</w:t>
      </w:r>
    </w:p>
    <w:p w:rsidR="007F6DF9" w:rsidRDefault="00A43FBC">
      <w:pPr>
        <w:pStyle w:val="ListParagraph"/>
        <w:numPr>
          <w:ilvl w:val="0"/>
          <w:numId w:val="209"/>
        </w:numPr>
        <w:tabs>
          <w:tab w:val="left" w:pos="1884"/>
        </w:tabs>
        <w:spacing w:line="245" w:lineRule="exact"/>
        <w:ind w:left="1884" w:hanging="466"/>
      </w:pPr>
      <w:r>
        <w:rPr>
          <w:color w:val="221F1F"/>
        </w:rPr>
        <w:t>bear</w:t>
      </w:r>
      <w:r>
        <w:rPr>
          <w:color w:val="221F1F"/>
          <w:spacing w:val="-5"/>
        </w:rPr>
        <w:t xml:space="preserve"> </w:t>
      </w:r>
      <w:r>
        <w:rPr>
          <w:color w:val="221F1F"/>
        </w:rPr>
        <w:t>the</w:t>
      </w:r>
      <w:r>
        <w:rPr>
          <w:color w:val="221F1F"/>
          <w:spacing w:val="-4"/>
        </w:rPr>
        <w:t xml:space="preserve"> </w:t>
      </w:r>
      <w:r>
        <w:rPr>
          <w:color w:val="221F1F"/>
        </w:rPr>
        <w:t>name</w:t>
      </w:r>
      <w:r>
        <w:rPr>
          <w:color w:val="221F1F"/>
          <w:spacing w:val="-2"/>
        </w:rPr>
        <w:t xml:space="preserve"> </w:t>
      </w:r>
      <w:r>
        <w:rPr>
          <w:color w:val="221F1F"/>
        </w:rPr>
        <w:t>and</w:t>
      </w:r>
      <w:r>
        <w:rPr>
          <w:color w:val="221F1F"/>
          <w:spacing w:val="-2"/>
        </w:rPr>
        <w:t xml:space="preserve"> </w:t>
      </w:r>
      <w:r>
        <w:rPr>
          <w:color w:val="221F1F"/>
        </w:rPr>
        <w:t>address</w:t>
      </w:r>
      <w:r>
        <w:rPr>
          <w:color w:val="221F1F"/>
          <w:spacing w:val="-4"/>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spacing w:val="-5"/>
        </w:rPr>
        <w:t>and</w:t>
      </w:r>
    </w:p>
    <w:p w:rsidR="007F6DF9" w:rsidRDefault="00A43FBC">
      <w:pPr>
        <w:pStyle w:val="ListParagraph"/>
        <w:numPr>
          <w:ilvl w:val="0"/>
          <w:numId w:val="209"/>
        </w:numPr>
        <w:tabs>
          <w:tab w:val="left" w:pos="1884"/>
        </w:tabs>
        <w:spacing w:line="250" w:lineRule="exact"/>
        <w:ind w:left="1884" w:hanging="466"/>
      </w:pPr>
      <w:r>
        <w:rPr>
          <w:color w:val="221F1F"/>
        </w:rPr>
        <w:t>bear</w:t>
      </w:r>
      <w:r>
        <w:rPr>
          <w:color w:val="221F1F"/>
          <w:spacing w:val="-4"/>
        </w:rPr>
        <w:t xml:space="preserve"> </w:t>
      </w:r>
      <w:r>
        <w:rPr>
          <w:color w:val="221F1F"/>
        </w:rPr>
        <w:t>the</w:t>
      </w:r>
      <w:r>
        <w:rPr>
          <w:color w:val="221F1F"/>
          <w:spacing w:val="-3"/>
        </w:rPr>
        <w:t xml:space="preserve"> </w:t>
      </w:r>
      <w:r>
        <w:rPr>
          <w:color w:val="221F1F"/>
        </w:rPr>
        <w:t>name</w:t>
      </w:r>
      <w:r>
        <w:rPr>
          <w:color w:val="221F1F"/>
          <w:spacing w:val="-2"/>
        </w:rPr>
        <w:t xml:space="preserve"> </w:t>
      </w:r>
      <w:r>
        <w:rPr>
          <w:color w:val="221F1F"/>
        </w:rPr>
        <w:t>and</w:t>
      </w:r>
      <w:r>
        <w:rPr>
          <w:color w:val="221F1F"/>
          <w:spacing w:val="-1"/>
        </w:rPr>
        <w:t xml:space="preserve"> </w:t>
      </w:r>
      <w:r>
        <w:rPr>
          <w:color w:val="221F1F"/>
        </w:rPr>
        <w:t>Reference</w:t>
      </w:r>
      <w:r>
        <w:rPr>
          <w:color w:val="221F1F"/>
          <w:spacing w:val="-1"/>
        </w:rPr>
        <w:t xml:space="preserve"> </w:t>
      </w:r>
      <w:r>
        <w:rPr>
          <w:color w:val="221F1F"/>
        </w:rPr>
        <w:t>number</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spacing w:val="-2"/>
        </w:rPr>
        <w:t>Tender.</w:t>
      </w:r>
    </w:p>
    <w:p w:rsidR="007F6DF9" w:rsidRDefault="00A43FBC">
      <w:pPr>
        <w:pStyle w:val="ListParagraph"/>
        <w:numPr>
          <w:ilvl w:val="1"/>
          <w:numId w:val="210"/>
        </w:numPr>
        <w:tabs>
          <w:tab w:val="left" w:pos="1415"/>
          <w:tab w:val="left" w:pos="1433"/>
        </w:tabs>
        <w:spacing w:before="245" w:line="230" w:lineRule="auto"/>
        <w:ind w:left="1433" w:right="843" w:hanging="587"/>
        <w:jc w:val="both"/>
      </w:pPr>
      <w:r>
        <w:rPr>
          <w:color w:val="221F1F"/>
        </w:rPr>
        <w:t>If an</w:t>
      </w:r>
      <w:r>
        <w:rPr>
          <w:color w:val="221F1F"/>
          <w:spacing w:val="-4"/>
        </w:rPr>
        <w:t xml:space="preserve"> </w:t>
      </w:r>
      <w:r>
        <w:rPr>
          <w:color w:val="221F1F"/>
        </w:rPr>
        <w:t>envelope</w:t>
      </w:r>
      <w:r>
        <w:rPr>
          <w:color w:val="221F1F"/>
          <w:spacing w:val="-3"/>
        </w:rPr>
        <w:t xml:space="preserve"> </w:t>
      </w:r>
      <w:r>
        <w:rPr>
          <w:color w:val="221F1F"/>
        </w:rPr>
        <w:t>or</w:t>
      </w:r>
      <w:r>
        <w:rPr>
          <w:color w:val="221F1F"/>
          <w:spacing w:val="-3"/>
        </w:rPr>
        <w:t xml:space="preserve"> </w:t>
      </w:r>
      <w:r>
        <w:rPr>
          <w:color w:val="221F1F"/>
        </w:rPr>
        <w:t>package or container</w:t>
      </w:r>
      <w:r>
        <w:rPr>
          <w:color w:val="221F1F"/>
          <w:spacing w:val="-3"/>
        </w:rPr>
        <w:t xml:space="preserve"> </w:t>
      </w:r>
      <w:r>
        <w:rPr>
          <w:color w:val="221F1F"/>
        </w:rPr>
        <w:t>is</w:t>
      </w:r>
      <w:r>
        <w:rPr>
          <w:color w:val="221F1F"/>
          <w:spacing w:val="-3"/>
        </w:rPr>
        <w:t xml:space="preserve"> </w:t>
      </w:r>
      <w:r>
        <w:rPr>
          <w:color w:val="221F1F"/>
        </w:rPr>
        <w:t>not</w:t>
      </w:r>
      <w:r>
        <w:rPr>
          <w:color w:val="221F1F"/>
          <w:spacing w:val="-3"/>
        </w:rPr>
        <w:t xml:space="preserve"> </w:t>
      </w:r>
      <w:r>
        <w:rPr>
          <w:color w:val="221F1F"/>
        </w:rPr>
        <w:t>sealed</w:t>
      </w:r>
      <w:r>
        <w:rPr>
          <w:color w:val="221F1F"/>
          <w:spacing w:val="-3"/>
        </w:rPr>
        <w:t xml:space="preserve"> </w:t>
      </w:r>
      <w:r>
        <w:rPr>
          <w:color w:val="221F1F"/>
        </w:rPr>
        <w:t>and</w:t>
      </w:r>
      <w:r>
        <w:rPr>
          <w:color w:val="221F1F"/>
          <w:spacing w:val="-1"/>
        </w:rPr>
        <w:t xml:space="preserve"> </w:t>
      </w:r>
      <w:r>
        <w:rPr>
          <w:color w:val="221F1F"/>
        </w:rPr>
        <w:t>marked</w:t>
      </w:r>
      <w:r>
        <w:rPr>
          <w:color w:val="221F1F"/>
          <w:spacing w:val="-1"/>
        </w:rPr>
        <w:t xml:space="preserve"> </w:t>
      </w:r>
      <w:r>
        <w:rPr>
          <w:color w:val="221F1F"/>
        </w:rPr>
        <w:t>as</w:t>
      </w:r>
      <w:r>
        <w:rPr>
          <w:color w:val="221F1F"/>
          <w:spacing w:val="-3"/>
        </w:rPr>
        <w:t xml:space="preserve"> </w:t>
      </w:r>
      <w:r>
        <w:rPr>
          <w:color w:val="221F1F"/>
        </w:rPr>
        <w:t>required,</w:t>
      </w:r>
      <w:r>
        <w:rPr>
          <w:color w:val="221F1F"/>
          <w:spacing w:val="-3"/>
        </w:rPr>
        <w:t xml:space="preserve"> </w:t>
      </w:r>
      <w:r>
        <w:rPr>
          <w:color w:val="221F1F"/>
        </w:rPr>
        <w:t>the</w:t>
      </w:r>
      <w:r>
        <w:rPr>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1"/>
        </w:rPr>
        <w:t xml:space="preserve"> </w:t>
      </w:r>
      <w:r>
        <w:rPr>
          <w:color w:val="221F1F"/>
        </w:rPr>
        <w:t>will</w:t>
      </w:r>
      <w:r>
        <w:rPr>
          <w:color w:val="221F1F"/>
          <w:spacing w:val="-2"/>
        </w:rPr>
        <w:t xml:space="preserve"> </w:t>
      </w:r>
      <w:r>
        <w:rPr>
          <w:color w:val="221F1F"/>
        </w:rPr>
        <w:t>assume no responsibility for the misplacement or premature opening of the Tender. Tenders misplaced or opened prematurely will not be accepted.</w:t>
      </w:r>
    </w:p>
    <w:p w:rsidR="007F6DF9" w:rsidRDefault="00A43FBC">
      <w:pPr>
        <w:pStyle w:val="Heading9"/>
        <w:numPr>
          <w:ilvl w:val="1"/>
          <w:numId w:val="208"/>
        </w:numPr>
        <w:tabs>
          <w:tab w:val="left" w:pos="1418"/>
        </w:tabs>
        <w:spacing w:before="236"/>
        <w:ind w:hanging="571"/>
      </w:pPr>
      <w:bookmarkStart w:id="25" w:name="_bookmark24"/>
      <w:bookmarkEnd w:id="25"/>
      <w:r>
        <w:rPr>
          <w:color w:val="221F1F"/>
        </w:rPr>
        <w:t>Deadline</w:t>
      </w:r>
      <w:r>
        <w:rPr>
          <w:color w:val="221F1F"/>
          <w:spacing w:val="-4"/>
        </w:rPr>
        <w:t xml:space="preserve"> </w:t>
      </w:r>
      <w:r>
        <w:rPr>
          <w:color w:val="221F1F"/>
        </w:rPr>
        <w:t>for</w:t>
      </w:r>
      <w:r>
        <w:rPr>
          <w:color w:val="221F1F"/>
          <w:spacing w:val="-3"/>
        </w:rPr>
        <w:t xml:space="preserve"> </w:t>
      </w:r>
      <w:r>
        <w:rPr>
          <w:color w:val="221F1F"/>
        </w:rPr>
        <w:t>Submission</w:t>
      </w:r>
      <w:r>
        <w:rPr>
          <w:color w:val="221F1F"/>
          <w:spacing w:val="-4"/>
        </w:rPr>
        <w:t xml:space="preserve"> </w:t>
      </w:r>
      <w:r>
        <w:rPr>
          <w:color w:val="221F1F"/>
        </w:rPr>
        <w:t>of</w:t>
      </w:r>
      <w:r>
        <w:rPr>
          <w:color w:val="221F1F"/>
          <w:spacing w:val="-2"/>
        </w:rPr>
        <w:t xml:space="preserve"> Tenders</w:t>
      </w:r>
    </w:p>
    <w:p w:rsidR="007F6DF9" w:rsidRDefault="00A43FBC">
      <w:pPr>
        <w:pStyle w:val="ListParagraph"/>
        <w:numPr>
          <w:ilvl w:val="1"/>
          <w:numId w:val="208"/>
        </w:numPr>
        <w:tabs>
          <w:tab w:val="left" w:pos="1415"/>
          <w:tab w:val="left" w:pos="1433"/>
        </w:tabs>
        <w:spacing w:before="242" w:line="230" w:lineRule="auto"/>
        <w:ind w:left="1433" w:right="839" w:hanging="587"/>
        <w:jc w:val="both"/>
      </w:pPr>
      <w:r>
        <w:rPr>
          <w:color w:val="221F1F"/>
        </w:rPr>
        <w:t>Tenders</w:t>
      </w:r>
      <w:r>
        <w:rPr>
          <w:color w:val="221F1F"/>
          <w:spacing w:val="-14"/>
        </w:rPr>
        <w:t xml:space="preserve"> </w:t>
      </w:r>
      <w:r>
        <w:rPr>
          <w:color w:val="221F1F"/>
        </w:rPr>
        <w:t>must</w:t>
      </w:r>
      <w:r>
        <w:rPr>
          <w:color w:val="221F1F"/>
          <w:spacing w:val="-8"/>
        </w:rPr>
        <w:t xml:space="preserve"> </w:t>
      </w:r>
      <w:r>
        <w:rPr>
          <w:color w:val="221F1F"/>
        </w:rPr>
        <w:t>be</w:t>
      </w:r>
      <w:r>
        <w:rPr>
          <w:color w:val="221F1F"/>
          <w:spacing w:val="-9"/>
        </w:rPr>
        <w:t xml:space="preserve"> </w:t>
      </w:r>
      <w:r>
        <w:rPr>
          <w:color w:val="221F1F"/>
        </w:rPr>
        <w:t>received</w:t>
      </w:r>
      <w:r>
        <w:rPr>
          <w:color w:val="221F1F"/>
          <w:spacing w:val="-6"/>
        </w:rPr>
        <w:t xml:space="preserve"> </w:t>
      </w:r>
      <w:r>
        <w:rPr>
          <w:color w:val="221F1F"/>
        </w:rPr>
        <w:t>by</w:t>
      </w:r>
      <w:r>
        <w:rPr>
          <w:color w:val="221F1F"/>
          <w:spacing w:val="-6"/>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7"/>
        </w:rPr>
        <w:t xml:space="preserve"> </w:t>
      </w:r>
      <w:r>
        <w:rPr>
          <w:color w:val="221F1F"/>
        </w:rPr>
        <w:t>at</w:t>
      </w:r>
      <w:r>
        <w:rPr>
          <w:color w:val="221F1F"/>
          <w:spacing w:val="-6"/>
        </w:rPr>
        <w:t xml:space="preserve"> </w:t>
      </w:r>
      <w:r>
        <w:rPr>
          <w:color w:val="221F1F"/>
        </w:rPr>
        <w:t>the</w:t>
      </w:r>
      <w:r>
        <w:rPr>
          <w:color w:val="221F1F"/>
          <w:spacing w:val="-6"/>
        </w:rPr>
        <w:t xml:space="preserve"> </w:t>
      </w:r>
      <w:r>
        <w:rPr>
          <w:color w:val="221F1F"/>
        </w:rPr>
        <w:t>address</w:t>
      </w:r>
      <w:r>
        <w:rPr>
          <w:color w:val="221F1F"/>
          <w:spacing w:val="-9"/>
        </w:rPr>
        <w:t xml:space="preserve"> </w:t>
      </w:r>
      <w:r>
        <w:rPr>
          <w:color w:val="221F1F"/>
        </w:rPr>
        <w:t>specified</w:t>
      </w:r>
      <w:r>
        <w:rPr>
          <w:color w:val="221F1F"/>
          <w:spacing w:val="-6"/>
        </w:rPr>
        <w:t xml:space="preserve"> </w:t>
      </w:r>
      <w:r>
        <w:rPr>
          <w:color w:val="221F1F"/>
        </w:rPr>
        <w:t>in</w:t>
      </w:r>
      <w:r>
        <w:rPr>
          <w:color w:val="221F1F"/>
          <w:spacing w:val="-9"/>
        </w:rPr>
        <w:t xml:space="preserve"> </w:t>
      </w:r>
      <w:r>
        <w:rPr>
          <w:color w:val="221F1F"/>
        </w:rPr>
        <w:t>the</w:t>
      </w:r>
      <w:r>
        <w:rPr>
          <w:color w:val="221F1F"/>
          <w:spacing w:val="-6"/>
        </w:rPr>
        <w:t xml:space="preserve"> </w:t>
      </w:r>
      <w:r>
        <w:rPr>
          <w:b/>
          <w:color w:val="221F1F"/>
        </w:rPr>
        <w:t>TDS</w:t>
      </w:r>
      <w:r>
        <w:rPr>
          <w:b/>
          <w:color w:val="221F1F"/>
          <w:spacing w:val="-7"/>
        </w:rPr>
        <w:t xml:space="preserve"> </w:t>
      </w:r>
      <w:r>
        <w:rPr>
          <w:color w:val="221F1F"/>
        </w:rPr>
        <w:t>and</w:t>
      </w:r>
      <w:r>
        <w:rPr>
          <w:color w:val="221F1F"/>
          <w:spacing w:val="-7"/>
        </w:rPr>
        <w:t xml:space="preserve"> </w:t>
      </w:r>
      <w:r>
        <w:rPr>
          <w:color w:val="221F1F"/>
        </w:rPr>
        <w:t>no</w:t>
      </w:r>
      <w:r>
        <w:rPr>
          <w:color w:val="221F1F"/>
          <w:spacing w:val="-9"/>
        </w:rPr>
        <w:t xml:space="preserve"> </w:t>
      </w:r>
      <w:r>
        <w:rPr>
          <w:color w:val="221F1F"/>
        </w:rPr>
        <w:t>later</w:t>
      </w:r>
      <w:r>
        <w:rPr>
          <w:color w:val="221F1F"/>
          <w:spacing w:val="-8"/>
        </w:rPr>
        <w:t xml:space="preserve"> </w:t>
      </w:r>
      <w:r>
        <w:rPr>
          <w:color w:val="221F1F"/>
        </w:rPr>
        <w:t>than</w:t>
      </w:r>
      <w:r>
        <w:rPr>
          <w:color w:val="221F1F"/>
          <w:spacing w:val="-9"/>
        </w:rPr>
        <w:t xml:space="preserve"> </w:t>
      </w:r>
      <w:r>
        <w:rPr>
          <w:color w:val="221F1F"/>
        </w:rPr>
        <w:t>the</w:t>
      </w:r>
      <w:r>
        <w:rPr>
          <w:color w:val="221F1F"/>
          <w:spacing w:val="-6"/>
        </w:rPr>
        <w:t xml:space="preserve"> </w:t>
      </w:r>
      <w:r>
        <w:rPr>
          <w:color w:val="221F1F"/>
        </w:rPr>
        <w:t xml:space="preserve">date </w:t>
      </w:r>
      <w:proofErr w:type="spellStart"/>
      <w:r>
        <w:rPr>
          <w:color w:val="221F1F"/>
        </w:rPr>
        <w:t>andtimealsospecifiedinthe</w:t>
      </w:r>
      <w:proofErr w:type="spellEnd"/>
      <w:r>
        <w:rPr>
          <w:color w:val="221F1F"/>
        </w:rPr>
        <w:t xml:space="preserve"> </w:t>
      </w:r>
      <w:r>
        <w:rPr>
          <w:b/>
          <w:color w:val="221F1F"/>
        </w:rPr>
        <w:t xml:space="preserve">TDS. </w:t>
      </w:r>
      <w:r>
        <w:rPr>
          <w:color w:val="221F1F"/>
        </w:rPr>
        <w:t>When so specified</w:t>
      </w:r>
      <w:r>
        <w:rPr>
          <w:color w:val="221F1F"/>
          <w:spacing w:val="-1"/>
        </w:rPr>
        <w:t xml:space="preserve"> </w:t>
      </w:r>
      <w:r>
        <w:rPr>
          <w:color w:val="221F1F"/>
        </w:rPr>
        <w:t>in</w:t>
      </w:r>
      <w:r>
        <w:rPr>
          <w:color w:val="221F1F"/>
          <w:spacing w:val="-1"/>
        </w:rPr>
        <w:t xml:space="preserve"> </w:t>
      </w:r>
      <w:r>
        <w:rPr>
          <w:color w:val="221F1F"/>
        </w:rPr>
        <w:t xml:space="preserve">the </w:t>
      </w:r>
      <w:r>
        <w:rPr>
          <w:b/>
          <w:color w:val="221F1F"/>
        </w:rPr>
        <w:t>TDS</w:t>
      </w:r>
      <w:r>
        <w:rPr>
          <w:color w:val="221F1F"/>
        </w:rPr>
        <w:t xml:space="preserve">, tenderers shall have the option of submitting their Tenders electronically. Tenderers submitting Tenders electronically shall follow the electronic Tender submission procedures specified in the </w:t>
      </w:r>
      <w:r>
        <w:rPr>
          <w:b/>
          <w:color w:val="221F1F"/>
        </w:rPr>
        <w:t>TDS</w:t>
      </w:r>
      <w:r>
        <w:rPr>
          <w:color w:val="221F1F"/>
        </w:rPr>
        <w:t>.</w:t>
      </w:r>
    </w:p>
    <w:p w:rsidR="007F6DF9" w:rsidRDefault="00A43FBC">
      <w:pPr>
        <w:pStyle w:val="ListParagraph"/>
        <w:numPr>
          <w:ilvl w:val="1"/>
          <w:numId w:val="208"/>
        </w:numPr>
        <w:tabs>
          <w:tab w:val="left" w:pos="1415"/>
          <w:tab w:val="left" w:pos="1433"/>
        </w:tabs>
        <w:spacing w:before="246" w:line="230" w:lineRule="auto"/>
        <w:ind w:left="1433" w:right="843" w:hanging="587"/>
        <w:jc w:val="both"/>
      </w:pP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may,</w:t>
      </w:r>
      <w:r>
        <w:rPr>
          <w:color w:val="221F1F"/>
          <w:spacing w:val="-14"/>
        </w:rPr>
        <w:t xml:space="preserve"> </w:t>
      </w:r>
      <w:r>
        <w:rPr>
          <w:color w:val="221F1F"/>
        </w:rPr>
        <w:t>at</w:t>
      </w:r>
      <w:r>
        <w:rPr>
          <w:color w:val="221F1F"/>
          <w:spacing w:val="-8"/>
        </w:rPr>
        <w:t xml:space="preserve"> </w:t>
      </w:r>
      <w:r>
        <w:rPr>
          <w:color w:val="221F1F"/>
        </w:rPr>
        <w:t>its</w:t>
      </w:r>
      <w:r>
        <w:rPr>
          <w:color w:val="221F1F"/>
          <w:spacing w:val="-10"/>
        </w:rPr>
        <w:t xml:space="preserve"> </w:t>
      </w:r>
      <w:r>
        <w:rPr>
          <w:color w:val="221F1F"/>
        </w:rPr>
        <w:t>discretion,</w:t>
      </w:r>
      <w:r>
        <w:rPr>
          <w:color w:val="221F1F"/>
          <w:spacing w:val="-10"/>
        </w:rPr>
        <w:t xml:space="preserve"> </w:t>
      </w:r>
      <w:r>
        <w:rPr>
          <w:color w:val="221F1F"/>
        </w:rPr>
        <w:t>extend</w:t>
      </w:r>
      <w:r>
        <w:rPr>
          <w:color w:val="221F1F"/>
          <w:spacing w:val="-10"/>
        </w:rPr>
        <w:t xml:space="preserve"> </w:t>
      </w:r>
      <w:r>
        <w:rPr>
          <w:color w:val="221F1F"/>
        </w:rPr>
        <w:t>the</w:t>
      </w:r>
      <w:r>
        <w:rPr>
          <w:color w:val="221F1F"/>
          <w:spacing w:val="-10"/>
        </w:rPr>
        <w:t xml:space="preserve"> </w:t>
      </w:r>
      <w:r>
        <w:rPr>
          <w:color w:val="221F1F"/>
        </w:rPr>
        <w:t>deadline</w:t>
      </w:r>
      <w:r>
        <w:rPr>
          <w:color w:val="221F1F"/>
          <w:spacing w:val="-9"/>
        </w:rPr>
        <w:t xml:space="preserve"> </w:t>
      </w:r>
      <w:r>
        <w:rPr>
          <w:color w:val="221F1F"/>
        </w:rPr>
        <w:t>for</w:t>
      </w:r>
      <w:r>
        <w:rPr>
          <w:color w:val="221F1F"/>
          <w:spacing w:val="-7"/>
        </w:rPr>
        <w:t xml:space="preserve"> </w:t>
      </w:r>
      <w:r>
        <w:rPr>
          <w:color w:val="221F1F"/>
        </w:rPr>
        <w:t>the</w:t>
      </w:r>
      <w:r>
        <w:rPr>
          <w:color w:val="221F1F"/>
          <w:spacing w:val="-8"/>
        </w:rPr>
        <w:t xml:space="preserve"> </w:t>
      </w:r>
      <w:r>
        <w:rPr>
          <w:color w:val="221F1F"/>
        </w:rPr>
        <w:t>submission</w:t>
      </w:r>
      <w:r>
        <w:rPr>
          <w:color w:val="221F1F"/>
          <w:spacing w:val="-10"/>
        </w:rPr>
        <w:t xml:space="preserve"> </w:t>
      </w:r>
      <w:r>
        <w:rPr>
          <w:color w:val="221F1F"/>
        </w:rPr>
        <w:t>of</w:t>
      </w:r>
      <w:r>
        <w:rPr>
          <w:color w:val="221F1F"/>
          <w:spacing w:val="-7"/>
        </w:rPr>
        <w:t xml:space="preserve"> </w:t>
      </w:r>
      <w:r>
        <w:rPr>
          <w:color w:val="221F1F"/>
        </w:rPr>
        <w:t>Tenders</w:t>
      </w:r>
      <w:r>
        <w:rPr>
          <w:color w:val="221F1F"/>
          <w:spacing w:val="-14"/>
        </w:rPr>
        <w:t xml:space="preserve"> </w:t>
      </w:r>
      <w:r>
        <w:rPr>
          <w:color w:val="221F1F"/>
        </w:rPr>
        <w:t>by</w:t>
      </w:r>
      <w:r>
        <w:rPr>
          <w:color w:val="221F1F"/>
          <w:spacing w:val="-7"/>
        </w:rPr>
        <w:t xml:space="preserve"> </w:t>
      </w:r>
      <w:r>
        <w:rPr>
          <w:color w:val="221F1F"/>
        </w:rPr>
        <w:t>amending</w:t>
      </w:r>
      <w:r>
        <w:rPr>
          <w:color w:val="221F1F"/>
          <w:spacing w:val="-8"/>
        </w:rPr>
        <w:t xml:space="preserve"> </w:t>
      </w:r>
      <w:r>
        <w:rPr>
          <w:color w:val="221F1F"/>
        </w:rPr>
        <w:t xml:space="preserve">the </w:t>
      </w:r>
      <w:proofErr w:type="spellStart"/>
      <w:r>
        <w:rPr>
          <w:color w:val="221F1F"/>
        </w:rPr>
        <w:t>TenderDocumentsinaccordance</w:t>
      </w:r>
      <w:proofErr w:type="spellEnd"/>
      <w:r>
        <w:rPr>
          <w:color w:val="221F1F"/>
        </w:rPr>
        <w:t xml:space="preserve"> with ITT 8, in which case all rights and obligations of the Procuring Entity and Tenderers previously subject to the deadline shall </w:t>
      </w:r>
      <w:proofErr w:type="spellStart"/>
      <w:r>
        <w:rPr>
          <w:color w:val="221F1F"/>
        </w:rPr>
        <w:t>there after</w:t>
      </w:r>
      <w:proofErr w:type="spellEnd"/>
      <w:r>
        <w:rPr>
          <w:color w:val="221F1F"/>
        </w:rPr>
        <w:t xml:space="preserve"> be subject to the deadline as extended.</w:t>
      </w:r>
    </w:p>
    <w:p w:rsidR="007F6DF9" w:rsidRDefault="00A43FBC">
      <w:pPr>
        <w:pStyle w:val="Heading9"/>
        <w:numPr>
          <w:ilvl w:val="0"/>
          <w:numId w:val="207"/>
        </w:numPr>
        <w:tabs>
          <w:tab w:val="left" w:pos="1288"/>
        </w:tabs>
        <w:spacing w:before="238"/>
        <w:ind w:hanging="441"/>
      </w:pPr>
      <w:bookmarkStart w:id="26" w:name="_bookmark25"/>
      <w:bookmarkEnd w:id="26"/>
      <w:r>
        <w:rPr>
          <w:color w:val="221F1F"/>
        </w:rPr>
        <w:t>Late</w:t>
      </w:r>
      <w:r>
        <w:rPr>
          <w:color w:val="221F1F"/>
          <w:spacing w:val="-5"/>
        </w:rPr>
        <w:t xml:space="preserve"> </w:t>
      </w:r>
      <w:r>
        <w:rPr>
          <w:color w:val="221F1F"/>
          <w:spacing w:val="-2"/>
        </w:rPr>
        <w:t>Tenders</w:t>
      </w:r>
    </w:p>
    <w:p w:rsidR="007F6DF9" w:rsidRDefault="00A43FBC">
      <w:pPr>
        <w:pStyle w:val="BodyText"/>
        <w:spacing w:before="242" w:line="230" w:lineRule="auto"/>
        <w:ind w:left="1433" w:right="843" w:hanging="15"/>
        <w:jc w:val="both"/>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1"/>
        </w:rPr>
        <w:t xml:space="preserve"> </w:t>
      </w:r>
      <w:r>
        <w:rPr>
          <w:color w:val="221F1F"/>
        </w:rPr>
        <w:t>not</w:t>
      </w:r>
      <w:r>
        <w:rPr>
          <w:color w:val="221F1F"/>
          <w:spacing w:val="-2"/>
        </w:rPr>
        <w:t xml:space="preserve"> </w:t>
      </w:r>
      <w:r>
        <w:rPr>
          <w:color w:val="221F1F"/>
        </w:rPr>
        <w:t>consider</w:t>
      </w:r>
      <w:r>
        <w:rPr>
          <w:color w:val="221F1F"/>
          <w:spacing w:val="-2"/>
        </w:rPr>
        <w:t xml:space="preserve"> </w:t>
      </w:r>
      <w:r>
        <w:rPr>
          <w:color w:val="221F1F"/>
        </w:rPr>
        <w:t>any</w:t>
      </w:r>
      <w:r>
        <w:rPr>
          <w:color w:val="221F1F"/>
          <w:spacing w:val="-2"/>
        </w:rPr>
        <w:t xml:space="preserve"> </w:t>
      </w:r>
      <w:r>
        <w:rPr>
          <w:color w:val="221F1F"/>
        </w:rPr>
        <w:t>Tender</w:t>
      </w:r>
      <w:r>
        <w:rPr>
          <w:color w:val="221F1F"/>
          <w:spacing w:val="-6"/>
        </w:rPr>
        <w:t xml:space="preserve"> </w:t>
      </w:r>
      <w:r>
        <w:rPr>
          <w:color w:val="221F1F"/>
        </w:rPr>
        <w:t>that</w:t>
      </w:r>
      <w:r>
        <w:rPr>
          <w:color w:val="221F1F"/>
          <w:spacing w:val="-2"/>
        </w:rPr>
        <w:t xml:space="preserve"> </w:t>
      </w:r>
      <w:r>
        <w:rPr>
          <w:color w:val="221F1F"/>
        </w:rPr>
        <w:t>arrives</w:t>
      </w:r>
      <w:r>
        <w:rPr>
          <w:color w:val="221F1F"/>
          <w:spacing w:val="-2"/>
        </w:rPr>
        <w:t xml:space="preserve"> </w:t>
      </w:r>
      <w:r>
        <w:rPr>
          <w:color w:val="221F1F"/>
        </w:rPr>
        <w:t>after</w:t>
      </w:r>
      <w:r>
        <w:rPr>
          <w:color w:val="221F1F"/>
          <w:spacing w:val="-3"/>
        </w:rPr>
        <w:t xml:space="preserve"> </w:t>
      </w:r>
      <w:r>
        <w:rPr>
          <w:color w:val="221F1F"/>
        </w:rPr>
        <w:t>the</w:t>
      </w:r>
      <w:r>
        <w:rPr>
          <w:color w:val="221F1F"/>
          <w:spacing w:val="-2"/>
        </w:rPr>
        <w:t xml:space="preserve"> </w:t>
      </w:r>
      <w:r>
        <w:rPr>
          <w:color w:val="221F1F"/>
        </w:rPr>
        <w:t>deadline</w:t>
      </w:r>
      <w:r>
        <w:rPr>
          <w:color w:val="221F1F"/>
          <w:spacing w:val="-2"/>
        </w:rPr>
        <w:t xml:space="preserve"> </w:t>
      </w:r>
      <w:r>
        <w:rPr>
          <w:color w:val="221F1F"/>
        </w:rPr>
        <w:t>for</w:t>
      </w:r>
      <w:r>
        <w:rPr>
          <w:color w:val="221F1F"/>
          <w:spacing w:val="-2"/>
        </w:rPr>
        <w:t xml:space="preserve"> </w:t>
      </w:r>
      <w:proofErr w:type="spellStart"/>
      <w:r>
        <w:rPr>
          <w:color w:val="221F1F"/>
        </w:rPr>
        <w:t>submissionof</w:t>
      </w:r>
      <w:proofErr w:type="spellEnd"/>
      <w:r>
        <w:rPr>
          <w:color w:val="221F1F"/>
          <w:spacing w:val="-2"/>
        </w:rPr>
        <w:t xml:space="preserve"> </w:t>
      </w:r>
      <w:r>
        <w:rPr>
          <w:color w:val="221F1F"/>
        </w:rPr>
        <w:t>tenders,</w:t>
      </w:r>
      <w:r>
        <w:rPr>
          <w:color w:val="221F1F"/>
          <w:spacing w:val="-2"/>
        </w:rPr>
        <w:t xml:space="preserve"> </w:t>
      </w:r>
      <w:r>
        <w:rPr>
          <w:color w:val="221F1F"/>
        </w:rPr>
        <w:t>in accordance with ITT 22. Any Tender received by the Procuring Entity after the deadline for submission of Tenders shall be declared late, rejected, and returned unopened to the Tenderer.</w:t>
      </w:r>
    </w:p>
    <w:p w:rsidR="007F6DF9" w:rsidRDefault="00A43FBC">
      <w:pPr>
        <w:pStyle w:val="Heading9"/>
        <w:numPr>
          <w:ilvl w:val="0"/>
          <w:numId w:val="207"/>
        </w:numPr>
        <w:tabs>
          <w:tab w:val="left" w:pos="1418"/>
        </w:tabs>
        <w:spacing w:before="236"/>
        <w:ind w:left="1418" w:hanging="571"/>
      </w:pPr>
      <w:bookmarkStart w:id="27" w:name="_bookmark26"/>
      <w:bookmarkEnd w:id="27"/>
      <w:r>
        <w:rPr>
          <w:color w:val="221F1F"/>
        </w:rPr>
        <w:t>Withdrawal,</w:t>
      </w:r>
      <w:r>
        <w:rPr>
          <w:color w:val="221F1F"/>
          <w:spacing w:val="-10"/>
        </w:rPr>
        <w:t xml:space="preserve"> </w:t>
      </w:r>
      <w:r>
        <w:rPr>
          <w:color w:val="221F1F"/>
        </w:rPr>
        <w:t>Substitution,</w:t>
      </w:r>
      <w:r>
        <w:rPr>
          <w:color w:val="221F1F"/>
          <w:spacing w:val="-10"/>
        </w:rPr>
        <w:t xml:space="preserve"> </w:t>
      </w:r>
      <w:r>
        <w:rPr>
          <w:color w:val="221F1F"/>
        </w:rPr>
        <w:t>and</w:t>
      </w:r>
      <w:r>
        <w:rPr>
          <w:color w:val="221F1F"/>
          <w:spacing w:val="-8"/>
        </w:rPr>
        <w:t xml:space="preserve"> </w:t>
      </w:r>
      <w:r>
        <w:rPr>
          <w:color w:val="221F1F"/>
        </w:rPr>
        <w:t>Modification</w:t>
      </w:r>
      <w:r>
        <w:rPr>
          <w:color w:val="221F1F"/>
          <w:spacing w:val="-8"/>
        </w:rPr>
        <w:t xml:space="preserve"> </w:t>
      </w:r>
      <w:r>
        <w:rPr>
          <w:color w:val="221F1F"/>
        </w:rPr>
        <w:t>of</w:t>
      </w:r>
      <w:r>
        <w:rPr>
          <w:color w:val="221F1F"/>
          <w:spacing w:val="-7"/>
        </w:rPr>
        <w:t xml:space="preserve"> </w:t>
      </w:r>
      <w:r>
        <w:rPr>
          <w:color w:val="221F1F"/>
          <w:spacing w:val="-2"/>
        </w:rPr>
        <w:t>Tenders</w:t>
      </w:r>
    </w:p>
    <w:p w:rsidR="007F6DF9" w:rsidRDefault="00A43FBC">
      <w:pPr>
        <w:pStyle w:val="ListParagraph"/>
        <w:numPr>
          <w:ilvl w:val="1"/>
          <w:numId w:val="207"/>
        </w:numPr>
        <w:tabs>
          <w:tab w:val="left" w:pos="1415"/>
          <w:tab w:val="left" w:pos="1433"/>
        </w:tabs>
        <w:spacing w:before="242" w:line="230" w:lineRule="auto"/>
        <w:ind w:right="839" w:hanging="587"/>
        <w:jc w:val="both"/>
      </w:pPr>
      <w:r>
        <w:rPr>
          <w:color w:val="221F1F"/>
        </w:rPr>
        <w:t xml:space="preserve">A Tenderer may withdraw, substitute, or modify its </w:t>
      </w:r>
      <w:proofErr w:type="spellStart"/>
      <w:r>
        <w:rPr>
          <w:color w:val="221F1F"/>
        </w:rPr>
        <w:t>Tenderafterith</w:t>
      </w:r>
      <w:proofErr w:type="spellEnd"/>
      <w:r>
        <w:rPr>
          <w:color w:val="221F1F"/>
        </w:rPr>
        <w:t xml:space="preserve"> as been submitted by sending a written notice,</w:t>
      </w:r>
      <w:r>
        <w:rPr>
          <w:color w:val="221F1F"/>
          <w:spacing w:val="-11"/>
        </w:rPr>
        <w:t xml:space="preserve"> </w:t>
      </w:r>
      <w:r>
        <w:rPr>
          <w:color w:val="221F1F"/>
        </w:rPr>
        <w:t>duly</w:t>
      </w:r>
      <w:r>
        <w:rPr>
          <w:color w:val="221F1F"/>
          <w:spacing w:val="-8"/>
        </w:rPr>
        <w:t xml:space="preserve"> </w:t>
      </w:r>
      <w:r>
        <w:rPr>
          <w:color w:val="221F1F"/>
        </w:rPr>
        <w:t>signed</w:t>
      </w:r>
      <w:r>
        <w:rPr>
          <w:color w:val="221F1F"/>
          <w:spacing w:val="-8"/>
        </w:rPr>
        <w:t xml:space="preserve"> </w:t>
      </w:r>
      <w:r>
        <w:rPr>
          <w:color w:val="221F1F"/>
        </w:rPr>
        <w:t>by</w:t>
      </w:r>
      <w:r>
        <w:rPr>
          <w:color w:val="221F1F"/>
          <w:spacing w:val="-11"/>
        </w:rPr>
        <w:t xml:space="preserve"> </w:t>
      </w:r>
      <w:r>
        <w:rPr>
          <w:color w:val="221F1F"/>
        </w:rPr>
        <w:t>an</w:t>
      </w:r>
      <w:r>
        <w:rPr>
          <w:color w:val="221F1F"/>
          <w:spacing w:val="-11"/>
        </w:rPr>
        <w:t xml:space="preserve"> </w:t>
      </w:r>
      <w:r>
        <w:rPr>
          <w:color w:val="221F1F"/>
        </w:rPr>
        <w:t>authorized</w:t>
      </w:r>
      <w:r>
        <w:rPr>
          <w:color w:val="221F1F"/>
          <w:spacing w:val="-10"/>
        </w:rPr>
        <w:t xml:space="preserve"> </w:t>
      </w:r>
      <w:r>
        <w:rPr>
          <w:color w:val="221F1F"/>
        </w:rPr>
        <w:t>representative,</w:t>
      </w:r>
      <w:r>
        <w:rPr>
          <w:color w:val="221F1F"/>
          <w:spacing w:val="-10"/>
        </w:rPr>
        <w:t xml:space="preserve"> </w:t>
      </w:r>
      <w:r>
        <w:rPr>
          <w:color w:val="221F1F"/>
        </w:rPr>
        <w:t>and</w:t>
      </w:r>
      <w:r>
        <w:rPr>
          <w:color w:val="221F1F"/>
          <w:spacing w:val="-10"/>
        </w:rPr>
        <w:t xml:space="preserve"> </w:t>
      </w:r>
      <w:r>
        <w:rPr>
          <w:color w:val="221F1F"/>
        </w:rPr>
        <w:t>shall</w:t>
      </w:r>
      <w:r>
        <w:rPr>
          <w:color w:val="221F1F"/>
          <w:spacing w:val="-10"/>
        </w:rPr>
        <w:t xml:space="preserve"> </w:t>
      </w:r>
      <w:r>
        <w:rPr>
          <w:color w:val="221F1F"/>
        </w:rPr>
        <w:t>include</w:t>
      </w:r>
      <w:r>
        <w:rPr>
          <w:color w:val="221F1F"/>
          <w:spacing w:val="-10"/>
        </w:rPr>
        <w:t xml:space="preserve"> </w:t>
      </w:r>
      <w:r>
        <w:rPr>
          <w:color w:val="221F1F"/>
        </w:rPr>
        <w:t>a</w:t>
      </w:r>
      <w:r>
        <w:rPr>
          <w:color w:val="221F1F"/>
          <w:spacing w:val="-8"/>
        </w:rPr>
        <w:t xml:space="preserve"> </w:t>
      </w:r>
      <w:r>
        <w:rPr>
          <w:color w:val="221F1F"/>
        </w:rPr>
        <w:t>copy</w:t>
      </w:r>
      <w:r>
        <w:rPr>
          <w:color w:val="221F1F"/>
          <w:spacing w:val="-9"/>
        </w:rPr>
        <w:t xml:space="preserve"> </w:t>
      </w:r>
      <w:r>
        <w:rPr>
          <w:color w:val="221F1F"/>
        </w:rPr>
        <w:t>of</w:t>
      </w:r>
      <w:r>
        <w:rPr>
          <w:color w:val="221F1F"/>
          <w:spacing w:val="-10"/>
        </w:rPr>
        <w:t xml:space="preserve"> </w:t>
      </w:r>
      <w:r>
        <w:rPr>
          <w:color w:val="221F1F"/>
        </w:rPr>
        <w:t>the</w:t>
      </w:r>
      <w:r>
        <w:rPr>
          <w:color w:val="221F1F"/>
          <w:spacing w:val="-13"/>
        </w:rPr>
        <w:t xml:space="preserve"> </w:t>
      </w:r>
      <w:r>
        <w:rPr>
          <w:color w:val="221F1F"/>
        </w:rPr>
        <w:t>authorization</w:t>
      </w:r>
      <w:r>
        <w:rPr>
          <w:color w:val="221F1F"/>
          <w:spacing w:val="-9"/>
        </w:rPr>
        <w:t xml:space="preserve"> </w:t>
      </w:r>
      <w:r>
        <w:rPr>
          <w:color w:val="221F1F"/>
        </w:rPr>
        <w:t>in</w:t>
      </w:r>
      <w:r>
        <w:rPr>
          <w:color w:val="221F1F"/>
          <w:spacing w:val="-11"/>
        </w:rPr>
        <w:t xml:space="preserve"> </w:t>
      </w:r>
      <w:r>
        <w:rPr>
          <w:color w:val="221F1F"/>
        </w:rPr>
        <w:t>accordance with ITT 20.3, (except that withdrawal notices do not require copies). The corresponding substitution or modification of the Tender</w:t>
      </w:r>
      <w:r>
        <w:rPr>
          <w:color w:val="221F1F"/>
          <w:spacing w:val="-1"/>
        </w:rPr>
        <w:t xml:space="preserve"> </w:t>
      </w:r>
      <w:r>
        <w:rPr>
          <w:color w:val="221F1F"/>
        </w:rPr>
        <w:t>must accompany the respective written notice. All notices must be:</w:t>
      </w:r>
    </w:p>
    <w:p w:rsidR="007F6DF9" w:rsidRDefault="00A43FBC">
      <w:pPr>
        <w:pStyle w:val="ListParagraph"/>
        <w:numPr>
          <w:ilvl w:val="2"/>
          <w:numId w:val="207"/>
        </w:numPr>
        <w:tabs>
          <w:tab w:val="left" w:pos="1837"/>
          <w:tab w:val="left" w:pos="1846"/>
        </w:tabs>
        <w:spacing w:before="51" w:line="230" w:lineRule="auto"/>
        <w:ind w:right="843" w:hanging="430"/>
        <w:jc w:val="both"/>
      </w:pPr>
      <w:r>
        <w:rPr>
          <w:color w:val="221F1F"/>
        </w:rPr>
        <w:t>prepared and submitted in accordance with ITT 20 and ITT 21 (except that withdrawals notices do not require copies), and in addition, the respective envelopes shall be clearly marked “WITHDRAWAL,” “SUBSTITUTION,” “MODIFICATION;” and</w:t>
      </w:r>
    </w:p>
    <w:p w:rsidR="007F6DF9" w:rsidRDefault="00A43FBC">
      <w:pPr>
        <w:pStyle w:val="ListParagraph"/>
        <w:numPr>
          <w:ilvl w:val="2"/>
          <w:numId w:val="207"/>
        </w:numPr>
        <w:tabs>
          <w:tab w:val="left" w:pos="1836"/>
          <w:tab w:val="left" w:pos="1846"/>
        </w:tabs>
        <w:spacing w:before="49" w:line="230" w:lineRule="auto"/>
        <w:ind w:right="1768" w:hanging="430"/>
      </w:pPr>
      <w:r>
        <w:rPr>
          <w:color w:val="221F1F"/>
        </w:rPr>
        <w:t>received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prior</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deadline</w:t>
      </w:r>
      <w:r>
        <w:rPr>
          <w:color w:val="221F1F"/>
          <w:spacing w:val="-1"/>
        </w:rPr>
        <w:t xml:space="preserve"> </w:t>
      </w:r>
      <w:r>
        <w:rPr>
          <w:color w:val="221F1F"/>
        </w:rPr>
        <w:t>prescribed</w:t>
      </w:r>
      <w:r>
        <w:rPr>
          <w:color w:val="221F1F"/>
          <w:spacing w:val="-4"/>
        </w:rPr>
        <w:t xml:space="preserve"> </w:t>
      </w:r>
      <w:r>
        <w:rPr>
          <w:color w:val="221F1F"/>
        </w:rPr>
        <w:t>for</w:t>
      </w:r>
      <w:r>
        <w:rPr>
          <w:color w:val="221F1F"/>
          <w:spacing w:val="-4"/>
        </w:rPr>
        <w:t xml:space="preserve"> </w:t>
      </w:r>
      <w:r>
        <w:rPr>
          <w:color w:val="221F1F"/>
        </w:rPr>
        <w:t>submission</w:t>
      </w:r>
      <w:r>
        <w:rPr>
          <w:color w:val="221F1F"/>
          <w:spacing w:val="-1"/>
        </w:rPr>
        <w:t xml:space="preserve"> </w:t>
      </w:r>
      <w:r>
        <w:rPr>
          <w:color w:val="221F1F"/>
        </w:rPr>
        <w:t>of</w:t>
      </w:r>
      <w:r>
        <w:rPr>
          <w:color w:val="221F1F"/>
          <w:spacing w:val="-6"/>
        </w:rPr>
        <w:t xml:space="preserve"> </w:t>
      </w:r>
      <w:r>
        <w:rPr>
          <w:color w:val="221F1F"/>
        </w:rPr>
        <w:t>Tenders,</w:t>
      </w:r>
      <w:r>
        <w:rPr>
          <w:color w:val="221F1F"/>
          <w:spacing w:val="-2"/>
        </w:rPr>
        <w:t xml:space="preserve"> </w:t>
      </w:r>
      <w:r>
        <w:rPr>
          <w:color w:val="221F1F"/>
        </w:rPr>
        <w:t>in accordance with ITT 22.</w:t>
      </w:r>
    </w:p>
    <w:p w:rsidR="007F6DF9" w:rsidRDefault="00A43FBC">
      <w:pPr>
        <w:pStyle w:val="ListParagraph"/>
        <w:numPr>
          <w:ilvl w:val="1"/>
          <w:numId w:val="207"/>
        </w:numPr>
        <w:tabs>
          <w:tab w:val="left" w:pos="1413"/>
        </w:tabs>
        <w:spacing w:before="236"/>
        <w:ind w:left="1413" w:hanging="566"/>
      </w:pPr>
      <w:r>
        <w:rPr>
          <w:color w:val="221F1F"/>
        </w:rPr>
        <w:t>Tenders</w:t>
      </w:r>
      <w:r>
        <w:rPr>
          <w:color w:val="221F1F"/>
          <w:spacing w:val="-12"/>
        </w:rPr>
        <w:t xml:space="preserve"> </w:t>
      </w:r>
      <w:r>
        <w:rPr>
          <w:color w:val="221F1F"/>
        </w:rPr>
        <w:t>requested</w:t>
      </w:r>
      <w:r>
        <w:rPr>
          <w:color w:val="221F1F"/>
          <w:spacing w:val="-4"/>
        </w:rPr>
        <w:t xml:space="preserve"> </w:t>
      </w:r>
      <w:r>
        <w:rPr>
          <w:color w:val="221F1F"/>
        </w:rPr>
        <w:t>to</w:t>
      </w:r>
      <w:r>
        <w:rPr>
          <w:color w:val="221F1F"/>
          <w:spacing w:val="-6"/>
        </w:rPr>
        <w:t xml:space="preserve"> </w:t>
      </w:r>
      <w:r>
        <w:rPr>
          <w:color w:val="221F1F"/>
        </w:rPr>
        <w:t>be</w:t>
      </w:r>
      <w:r>
        <w:rPr>
          <w:color w:val="221F1F"/>
          <w:spacing w:val="-3"/>
        </w:rPr>
        <w:t xml:space="preserve"> </w:t>
      </w:r>
      <w:r>
        <w:rPr>
          <w:color w:val="221F1F"/>
        </w:rPr>
        <w:t>withdrawn</w:t>
      </w:r>
      <w:r>
        <w:rPr>
          <w:color w:val="221F1F"/>
          <w:spacing w:val="-6"/>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ITT</w:t>
      </w:r>
      <w:r>
        <w:rPr>
          <w:color w:val="221F1F"/>
          <w:spacing w:val="-5"/>
        </w:rPr>
        <w:t xml:space="preserve"> </w:t>
      </w:r>
      <w:r>
        <w:rPr>
          <w:color w:val="221F1F"/>
        </w:rPr>
        <w:t>24.1</w:t>
      </w:r>
      <w:r>
        <w:rPr>
          <w:color w:val="221F1F"/>
          <w:spacing w:val="-3"/>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returned</w:t>
      </w:r>
      <w:r>
        <w:rPr>
          <w:color w:val="221F1F"/>
          <w:spacing w:val="-5"/>
        </w:rPr>
        <w:t xml:space="preserve"> </w:t>
      </w:r>
      <w:r>
        <w:rPr>
          <w:color w:val="221F1F"/>
        </w:rPr>
        <w:t>unopened</w:t>
      </w:r>
      <w:r>
        <w:rPr>
          <w:color w:val="221F1F"/>
          <w:spacing w:val="-3"/>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spacing w:val="-2"/>
        </w:rPr>
        <w:t>Tenderers.</w:t>
      </w:r>
    </w:p>
    <w:p w:rsidR="007F6DF9" w:rsidRDefault="00A43FBC">
      <w:pPr>
        <w:pStyle w:val="ListParagraph"/>
        <w:numPr>
          <w:ilvl w:val="1"/>
          <w:numId w:val="207"/>
        </w:numPr>
        <w:tabs>
          <w:tab w:val="left" w:pos="1415"/>
          <w:tab w:val="left" w:pos="1433"/>
        </w:tabs>
        <w:spacing w:before="245" w:line="230" w:lineRule="auto"/>
        <w:ind w:right="846" w:hanging="587"/>
        <w:jc w:val="both"/>
      </w:pPr>
      <w:r>
        <w:rPr>
          <w:color w:val="221F1F"/>
        </w:rPr>
        <w:t>No</w:t>
      </w:r>
      <w:r>
        <w:rPr>
          <w:color w:val="221F1F"/>
          <w:spacing w:val="-1"/>
        </w:rPr>
        <w:t xml:space="preserve"> </w:t>
      </w:r>
      <w:r>
        <w:rPr>
          <w:color w:val="221F1F"/>
        </w:rPr>
        <w:t>Tender</w:t>
      </w:r>
      <w:r>
        <w:rPr>
          <w:color w:val="221F1F"/>
          <w:spacing w:val="-7"/>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withdrawn,</w:t>
      </w:r>
      <w:r>
        <w:rPr>
          <w:color w:val="221F1F"/>
          <w:spacing w:val="-1"/>
        </w:rPr>
        <w:t xml:space="preserve"> </w:t>
      </w:r>
      <w:r>
        <w:rPr>
          <w:color w:val="221F1F"/>
        </w:rPr>
        <w:t>substituted,</w:t>
      </w:r>
      <w:r>
        <w:rPr>
          <w:color w:val="221F1F"/>
          <w:spacing w:val="-1"/>
        </w:rPr>
        <w:t xml:space="preserve"> </w:t>
      </w:r>
      <w:r>
        <w:rPr>
          <w:color w:val="221F1F"/>
        </w:rPr>
        <w:t>or</w:t>
      </w:r>
      <w:r>
        <w:rPr>
          <w:color w:val="221F1F"/>
          <w:spacing w:val="-3"/>
        </w:rPr>
        <w:t xml:space="preserve"> </w:t>
      </w:r>
      <w:r>
        <w:rPr>
          <w:color w:val="221F1F"/>
        </w:rPr>
        <w:t>modified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interval between</w:t>
      </w:r>
      <w:r>
        <w:rPr>
          <w:color w:val="221F1F"/>
          <w:spacing w:val="-1"/>
        </w:rPr>
        <w:t xml:space="preserve"> </w:t>
      </w:r>
      <w:r>
        <w:rPr>
          <w:color w:val="221F1F"/>
        </w:rPr>
        <w:t>the</w:t>
      </w:r>
      <w:r>
        <w:rPr>
          <w:color w:val="221F1F"/>
          <w:spacing w:val="-1"/>
        </w:rPr>
        <w:t xml:space="preserve"> </w:t>
      </w:r>
      <w:r>
        <w:rPr>
          <w:color w:val="221F1F"/>
        </w:rPr>
        <w:t>deadline</w:t>
      </w:r>
      <w:r>
        <w:rPr>
          <w:color w:val="221F1F"/>
          <w:spacing w:val="-1"/>
        </w:rPr>
        <w:t xml:space="preserve"> </w:t>
      </w:r>
      <w:r>
        <w:rPr>
          <w:color w:val="221F1F"/>
        </w:rPr>
        <w:t>for submission</w:t>
      </w:r>
      <w:r>
        <w:rPr>
          <w:color w:val="221F1F"/>
          <w:spacing w:val="-1"/>
        </w:rPr>
        <w:t xml:space="preserve"> </w:t>
      </w:r>
      <w:r>
        <w:rPr>
          <w:color w:val="221F1F"/>
        </w:rPr>
        <w:t>of Tenders</w:t>
      </w:r>
      <w:r>
        <w:rPr>
          <w:color w:val="221F1F"/>
          <w:spacing w:val="-13"/>
        </w:rPr>
        <w:t xml:space="preserve"> </w:t>
      </w:r>
      <w:r>
        <w:rPr>
          <w:color w:val="221F1F"/>
        </w:rPr>
        <w:t>and</w:t>
      </w:r>
      <w:r>
        <w:rPr>
          <w:color w:val="221F1F"/>
          <w:spacing w:val="-10"/>
        </w:rPr>
        <w:t xml:space="preserve"> </w:t>
      </w:r>
      <w:r>
        <w:rPr>
          <w:color w:val="221F1F"/>
        </w:rPr>
        <w:t>the</w:t>
      </w:r>
      <w:r>
        <w:rPr>
          <w:color w:val="221F1F"/>
          <w:spacing w:val="-7"/>
        </w:rPr>
        <w:t xml:space="preserve"> </w:t>
      </w:r>
      <w:r>
        <w:rPr>
          <w:color w:val="221F1F"/>
        </w:rPr>
        <w:t>expiration</w:t>
      </w:r>
      <w:r>
        <w:rPr>
          <w:color w:val="221F1F"/>
          <w:spacing w:val="-9"/>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period</w:t>
      </w:r>
      <w:r>
        <w:rPr>
          <w:color w:val="221F1F"/>
          <w:spacing w:val="-8"/>
        </w:rPr>
        <w:t xml:space="preserve"> </w:t>
      </w:r>
      <w:r>
        <w:rPr>
          <w:color w:val="221F1F"/>
        </w:rPr>
        <w:t>of</w:t>
      </w:r>
      <w:r>
        <w:rPr>
          <w:color w:val="221F1F"/>
          <w:spacing w:val="-7"/>
        </w:rPr>
        <w:t xml:space="preserve"> </w:t>
      </w:r>
      <w:r>
        <w:rPr>
          <w:color w:val="221F1F"/>
        </w:rPr>
        <w:t>Tender</w:t>
      </w:r>
      <w:r>
        <w:rPr>
          <w:color w:val="221F1F"/>
          <w:spacing w:val="-12"/>
        </w:rPr>
        <w:t xml:space="preserve"> </w:t>
      </w:r>
      <w:r>
        <w:rPr>
          <w:color w:val="221F1F"/>
        </w:rPr>
        <w:t>validity</w:t>
      </w:r>
      <w:r>
        <w:rPr>
          <w:color w:val="221F1F"/>
          <w:spacing w:val="-9"/>
        </w:rPr>
        <w:t xml:space="preserve"> </w:t>
      </w:r>
      <w:r>
        <w:rPr>
          <w:color w:val="221F1F"/>
        </w:rPr>
        <w:t>specified</w:t>
      </w:r>
      <w:r>
        <w:rPr>
          <w:color w:val="221F1F"/>
          <w:spacing w:val="-7"/>
        </w:rPr>
        <w:t xml:space="preserve"> </w:t>
      </w:r>
      <w:r>
        <w:rPr>
          <w:color w:val="221F1F"/>
        </w:rPr>
        <w:t>by</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6"/>
        </w:rPr>
        <w:t xml:space="preserve"> </w:t>
      </w:r>
      <w:r>
        <w:rPr>
          <w:color w:val="221F1F"/>
        </w:rPr>
        <w:t>on</w:t>
      </w:r>
      <w:r>
        <w:rPr>
          <w:color w:val="221F1F"/>
          <w:spacing w:val="-10"/>
        </w:rPr>
        <w:t xml:space="preserve"> </w:t>
      </w:r>
      <w:r>
        <w:rPr>
          <w:color w:val="221F1F"/>
        </w:rPr>
        <w:t>the</w:t>
      </w:r>
      <w:r>
        <w:rPr>
          <w:color w:val="221F1F"/>
          <w:spacing w:val="-10"/>
        </w:rPr>
        <w:t xml:space="preserve"> </w:t>
      </w:r>
      <w:r>
        <w:rPr>
          <w:color w:val="221F1F"/>
        </w:rPr>
        <w:t>Form</w:t>
      </w:r>
      <w:r>
        <w:rPr>
          <w:color w:val="221F1F"/>
          <w:spacing w:val="-7"/>
        </w:rPr>
        <w:t xml:space="preserve"> </w:t>
      </w:r>
      <w:r>
        <w:rPr>
          <w:color w:val="221F1F"/>
        </w:rPr>
        <w:t>of</w:t>
      </w:r>
      <w:r>
        <w:rPr>
          <w:color w:val="221F1F"/>
          <w:spacing w:val="-7"/>
        </w:rPr>
        <w:t xml:space="preserve"> </w:t>
      </w:r>
      <w:r>
        <w:rPr>
          <w:color w:val="221F1F"/>
        </w:rPr>
        <w:t>Tender</w:t>
      </w:r>
      <w:r>
        <w:rPr>
          <w:color w:val="221F1F"/>
          <w:spacing w:val="-12"/>
        </w:rPr>
        <w:t xml:space="preserve"> </w:t>
      </w:r>
      <w:r>
        <w:rPr>
          <w:color w:val="221F1F"/>
        </w:rPr>
        <w:t>or any extension thereof.</w:t>
      </w:r>
    </w:p>
    <w:p w:rsidR="007F6DF9" w:rsidRDefault="00A43FBC">
      <w:pPr>
        <w:pStyle w:val="Heading9"/>
        <w:numPr>
          <w:ilvl w:val="0"/>
          <w:numId w:val="206"/>
        </w:numPr>
        <w:tabs>
          <w:tab w:val="left" w:pos="1428"/>
        </w:tabs>
        <w:spacing w:before="185"/>
        <w:ind w:hanging="569"/>
      </w:pPr>
      <w:r>
        <w:rPr>
          <w:color w:val="221F1F"/>
          <w:spacing w:val="-6"/>
        </w:rPr>
        <w:t>Tender</w:t>
      </w:r>
      <w:r>
        <w:rPr>
          <w:color w:val="221F1F"/>
          <w:spacing w:val="-2"/>
        </w:rPr>
        <w:t xml:space="preserve"> Opening</w:t>
      </w:r>
    </w:p>
    <w:p w:rsidR="007F6DF9" w:rsidRDefault="00A43FBC">
      <w:pPr>
        <w:pStyle w:val="ListParagraph"/>
        <w:numPr>
          <w:ilvl w:val="1"/>
          <w:numId w:val="206"/>
        </w:numPr>
        <w:tabs>
          <w:tab w:val="left" w:pos="1427"/>
          <w:tab w:val="left" w:pos="1445"/>
        </w:tabs>
        <w:spacing w:before="242" w:line="230" w:lineRule="auto"/>
        <w:ind w:left="1445" w:right="843" w:hanging="587"/>
        <w:jc w:val="both"/>
        <w:rPr>
          <w:b/>
          <w:color w:val="221F1F"/>
        </w:rPr>
      </w:pPr>
      <w:r>
        <w:rPr>
          <w:color w:val="221F1F"/>
        </w:rPr>
        <w:t>Except</w:t>
      </w:r>
      <w:r>
        <w:rPr>
          <w:color w:val="221F1F"/>
          <w:spacing w:val="-5"/>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cases</w:t>
      </w:r>
      <w:r>
        <w:rPr>
          <w:color w:val="221F1F"/>
          <w:spacing w:val="-3"/>
        </w:rPr>
        <w:t xml:space="preserve"> </w:t>
      </w:r>
      <w:r>
        <w:rPr>
          <w:color w:val="221F1F"/>
        </w:rPr>
        <w:t>specified</w:t>
      </w:r>
      <w:r>
        <w:rPr>
          <w:color w:val="221F1F"/>
          <w:spacing w:val="-3"/>
        </w:rPr>
        <w:t xml:space="preserve"> </w:t>
      </w:r>
      <w:r>
        <w:rPr>
          <w:color w:val="221F1F"/>
        </w:rPr>
        <w:t>in</w:t>
      </w:r>
      <w:r>
        <w:rPr>
          <w:color w:val="221F1F"/>
          <w:spacing w:val="-4"/>
        </w:rPr>
        <w:t xml:space="preserve"> </w:t>
      </w:r>
      <w:r>
        <w:rPr>
          <w:color w:val="221F1F"/>
        </w:rPr>
        <w:t>ITT</w:t>
      </w:r>
      <w:r>
        <w:rPr>
          <w:color w:val="221F1F"/>
          <w:spacing w:val="-5"/>
        </w:rPr>
        <w:t xml:space="preserve"> </w:t>
      </w:r>
      <w:r>
        <w:rPr>
          <w:color w:val="221F1F"/>
        </w:rPr>
        <w:t>23</w:t>
      </w:r>
      <w:r>
        <w:rPr>
          <w:color w:val="221F1F"/>
          <w:spacing w:val="-4"/>
        </w:rPr>
        <w:t xml:space="preserve"> </w:t>
      </w:r>
      <w:r>
        <w:rPr>
          <w:color w:val="221F1F"/>
        </w:rPr>
        <w:t>and</w:t>
      </w:r>
      <w:r>
        <w:rPr>
          <w:color w:val="221F1F"/>
          <w:spacing w:val="-3"/>
        </w:rPr>
        <w:t xml:space="preserve"> </w:t>
      </w:r>
      <w:r>
        <w:rPr>
          <w:color w:val="221F1F"/>
        </w:rPr>
        <w:t>ITT</w:t>
      </w:r>
      <w:r>
        <w:rPr>
          <w:color w:val="221F1F"/>
          <w:spacing w:val="-5"/>
        </w:rPr>
        <w:t xml:space="preserve"> </w:t>
      </w:r>
      <w:r>
        <w:rPr>
          <w:color w:val="221F1F"/>
        </w:rPr>
        <w:t>24.2,</w:t>
      </w:r>
      <w:r>
        <w:rPr>
          <w:color w:val="221F1F"/>
          <w:spacing w:val="-4"/>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6"/>
        </w:rPr>
        <w:t xml:space="preserve"> </w:t>
      </w:r>
      <w:r>
        <w:rPr>
          <w:color w:val="221F1F"/>
        </w:rPr>
        <w:t>shall</w:t>
      </w:r>
      <w:r>
        <w:rPr>
          <w:color w:val="221F1F"/>
          <w:spacing w:val="-2"/>
        </w:rPr>
        <w:t xml:space="preserve"> </w:t>
      </w:r>
      <w:r>
        <w:rPr>
          <w:color w:val="221F1F"/>
        </w:rPr>
        <w:t>publicly</w:t>
      </w:r>
      <w:r>
        <w:rPr>
          <w:color w:val="221F1F"/>
          <w:spacing w:val="-3"/>
        </w:rPr>
        <w:t xml:space="preserve"> </w:t>
      </w:r>
      <w:r>
        <w:rPr>
          <w:color w:val="221F1F"/>
        </w:rPr>
        <w:t>open</w:t>
      </w:r>
      <w:r>
        <w:rPr>
          <w:color w:val="221F1F"/>
          <w:spacing w:val="-3"/>
        </w:rPr>
        <w:t xml:space="preserve"> </w:t>
      </w:r>
      <w:r>
        <w:rPr>
          <w:color w:val="221F1F"/>
        </w:rPr>
        <w:t>and</w:t>
      </w:r>
      <w:r>
        <w:rPr>
          <w:color w:val="221F1F"/>
          <w:spacing w:val="-6"/>
        </w:rPr>
        <w:t xml:space="preserve"> </w:t>
      </w:r>
      <w:r>
        <w:rPr>
          <w:color w:val="221F1F"/>
        </w:rPr>
        <w:t>read</w:t>
      </w:r>
      <w:r>
        <w:rPr>
          <w:color w:val="221F1F"/>
          <w:spacing w:val="-3"/>
        </w:rPr>
        <w:t xml:space="preserve"> </w:t>
      </w:r>
      <w:r>
        <w:rPr>
          <w:color w:val="221F1F"/>
        </w:rPr>
        <w:t>out</w:t>
      </w:r>
      <w:r>
        <w:rPr>
          <w:color w:val="221F1F"/>
          <w:spacing w:val="-3"/>
        </w:rPr>
        <w:t xml:space="preserve"> </w:t>
      </w:r>
      <w:r>
        <w:rPr>
          <w:color w:val="221F1F"/>
        </w:rPr>
        <w:t>all Tenders</w:t>
      </w:r>
      <w:r>
        <w:rPr>
          <w:color w:val="221F1F"/>
          <w:spacing w:val="-14"/>
        </w:rPr>
        <w:t xml:space="preserve"> </w:t>
      </w:r>
      <w:r>
        <w:rPr>
          <w:color w:val="221F1F"/>
        </w:rPr>
        <w:t>received</w:t>
      </w:r>
      <w:r>
        <w:rPr>
          <w:color w:val="221F1F"/>
          <w:spacing w:val="-14"/>
        </w:rPr>
        <w:t xml:space="preserve"> </w:t>
      </w:r>
      <w:r>
        <w:rPr>
          <w:color w:val="221F1F"/>
        </w:rPr>
        <w:t>by</w:t>
      </w:r>
      <w:r>
        <w:rPr>
          <w:color w:val="221F1F"/>
          <w:spacing w:val="-14"/>
        </w:rPr>
        <w:t xml:space="preserve"> </w:t>
      </w:r>
      <w:r>
        <w:rPr>
          <w:color w:val="221F1F"/>
        </w:rPr>
        <w:t>the</w:t>
      </w:r>
      <w:r>
        <w:rPr>
          <w:color w:val="221F1F"/>
          <w:spacing w:val="-13"/>
        </w:rPr>
        <w:t xml:space="preserve"> </w:t>
      </w:r>
      <w:r>
        <w:rPr>
          <w:color w:val="221F1F"/>
        </w:rPr>
        <w:t>deadline,</w:t>
      </w:r>
      <w:r>
        <w:rPr>
          <w:color w:val="221F1F"/>
          <w:spacing w:val="-14"/>
        </w:rPr>
        <w:t xml:space="preserve"> </w:t>
      </w:r>
      <w:r>
        <w:rPr>
          <w:color w:val="221F1F"/>
        </w:rPr>
        <w:t>at</w:t>
      </w:r>
      <w:r>
        <w:rPr>
          <w:color w:val="221F1F"/>
          <w:spacing w:val="-14"/>
        </w:rPr>
        <w:t xml:space="preserve"> </w:t>
      </w:r>
      <w:r>
        <w:rPr>
          <w:color w:val="221F1F"/>
        </w:rPr>
        <w:t>the</w:t>
      </w:r>
      <w:r>
        <w:rPr>
          <w:color w:val="221F1F"/>
          <w:spacing w:val="-14"/>
        </w:rPr>
        <w:t xml:space="preserve"> </w:t>
      </w:r>
      <w:r>
        <w:rPr>
          <w:color w:val="221F1F"/>
        </w:rPr>
        <w:t>date,</w:t>
      </w:r>
      <w:r>
        <w:rPr>
          <w:color w:val="221F1F"/>
          <w:spacing w:val="-13"/>
        </w:rPr>
        <w:t xml:space="preserve"> </w:t>
      </w:r>
      <w:r>
        <w:rPr>
          <w:color w:val="221F1F"/>
        </w:rPr>
        <w:t>time</w:t>
      </w:r>
      <w:r>
        <w:rPr>
          <w:color w:val="221F1F"/>
          <w:spacing w:val="-14"/>
        </w:rPr>
        <w:t xml:space="preserve"> </w:t>
      </w:r>
      <w:r>
        <w:rPr>
          <w:color w:val="221F1F"/>
        </w:rPr>
        <w:t>and</w:t>
      </w:r>
      <w:r>
        <w:rPr>
          <w:color w:val="221F1F"/>
          <w:spacing w:val="-14"/>
        </w:rPr>
        <w:t xml:space="preserve"> </w:t>
      </w:r>
      <w:r>
        <w:rPr>
          <w:color w:val="221F1F"/>
        </w:rPr>
        <w:t>place</w:t>
      </w:r>
      <w:r>
        <w:rPr>
          <w:color w:val="221F1F"/>
          <w:spacing w:val="-14"/>
        </w:rPr>
        <w:t xml:space="preserve"> </w:t>
      </w:r>
      <w:r>
        <w:rPr>
          <w:color w:val="221F1F"/>
        </w:rPr>
        <w:t>specified</w:t>
      </w:r>
      <w:r>
        <w:rPr>
          <w:color w:val="221F1F"/>
          <w:spacing w:val="-13"/>
        </w:rPr>
        <w:t xml:space="preserve"> </w:t>
      </w:r>
      <w:r>
        <w:rPr>
          <w:b/>
          <w:color w:val="221F1F"/>
        </w:rPr>
        <w:t>in</w:t>
      </w:r>
      <w:r>
        <w:rPr>
          <w:b/>
          <w:color w:val="221F1F"/>
          <w:spacing w:val="-14"/>
        </w:rPr>
        <w:t xml:space="preserve"> </w:t>
      </w:r>
      <w:r>
        <w:rPr>
          <w:b/>
          <w:color w:val="221F1F"/>
        </w:rPr>
        <w:t>the</w:t>
      </w:r>
      <w:r>
        <w:rPr>
          <w:b/>
          <w:color w:val="221F1F"/>
          <w:spacing w:val="-14"/>
        </w:rPr>
        <w:t xml:space="preserve"> </w:t>
      </w:r>
      <w:r>
        <w:rPr>
          <w:b/>
          <w:color w:val="221F1F"/>
        </w:rPr>
        <w:t>TDS</w:t>
      </w:r>
      <w:r>
        <w:rPr>
          <w:color w:val="221F1F"/>
        </w:rPr>
        <w:t>,</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presence</w:t>
      </w:r>
      <w:r>
        <w:rPr>
          <w:color w:val="221F1F"/>
          <w:spacing w:val="-14"/>
        </w:rPr>
        <w:t xml:space="preserve"> </w:t>
      </w:r>
      <w:r>
        <w:rPr>
          <w:color w:val="221F1F"/>
        </w:rPr>
        <w:t>of</w:t>
      </w:r>
      <w:r>
        <w:rPr>
          <w:color w:val="221F1F"/>
          <w:spacing w:val="-14"/>
        </w:rPr>
        <w:t xml:space="preserve"> </w:t>
      </w:r>
      <w:r>
        <w:rPr>
          <w:color w:val="221F1F"/>
        </w:rPr>
        <w:t>Tenderers' designated</w:t>
      </w:r>
      <w:r>
        <w:rPr>
          <w:color w:val="221F1F"/>
          <w:spacing w:val="-13"/>
        </w:rPr>
        <w:t xml:space="preserve"> </w:t>
      </w:r>
      <w:r>
        <w:rPr>
          <w:color w:val="221F1F"/>
        </w:rPr>
        <w:t>representatives</w:t>
      </w:r>
      <w:r>
        <w:rPr>
          <w:color w:val="221F1F"/>
          <w:spacing w:val="-10"/>
        </w:rPr>
        <w:t xml:space="preserve"> </w:t>
      </w:r>
      <w:r>
        <w:rPr>
          <w:color w:val="221F1F"/>
        </w:rPr>
        <w:t>who</w:t>
      </w:r>
      <w:r>
        <w:rPr>
          <w:color w:val="221F1F"/>
          <w:spacing w:val="-10"/>
        </w:rPr>
        <w:t xml:space="preserve"> </w:t>
      </w:r>
      <w:r>
        <w:rPr>
          <w:color w:val="221F1F"/>
        </w:rPr>
        <w:t>chooses</w:t>
      </w:r>
      <w:r>
        <w:rPr>
          <w:color w:val="221F1F"/>
          <w:spacing w:val="-12"/>
        </w:rPr>
        <w:t xml:space="preserve"> </w:t>
      </w:r>
      <w:r>
        <w:rPr>
          <w:color w:val="221F1F"/>
        </w:rPr>
        <w:t>to</w:t>
      </w:r>
      <w:r>
        <w:rPr>
          <w:color w:val="221F1F"/>
          <w:spacing w:val="-10"/>
        </w:rPr>
        <w:t xml:space="preserve"> </w:t>
      </w:r>
      <w:r>
        <w:rPr>
          <w:color w:val="221F1F"/>
        </w:rPr>
        <w:t>attend.</w:t>
      </w:r>
      <w:r>
        <w:rPr>
          <w:color w:val="221F1F"/>
          <w:spacing w:val="-12"/>
        </w:rPr>
        <w:t xml:space="preserve"> </w:t>
      </w:r>
      <w:r>
        <w:rPr>
          <w:color w:val="221F1F"/>
        </w:rPr>
        <w:t>Any</w:t>
      </w:r>
      <w:r>
        <w:rPr>
          <w:color w:val="221F1F"/>
          <w:spacing w:val="-12"/>
        </w:rPr>
        <w:t xml:space="preserve"> </w:t>
      </w:r>
      <w:r>
        <w:rPr>
          <w:color w:val="221F1F"/>
        </w:rPr>
        <w:t>specific</w:t>
      </w:r>
      <w:r>
        <w:rPr>
          <w:color w:val="221F1F"/>
          <w:spacing w:val="-12"/>
        </w:rPr>
        <w:t xml:space="preserve"> </w:t>
      </w:r>
      <w:r>
        <w:rPr>
          <w:color w:val="221F1F"/>
        </w:rPr>
        <w:t>electronic</w:t>
      </w:r>
      <w:r>
        <w:rPr>
          <w:color w:val="221F1F"/>
          <w:spacing w:val="-9"/>
        </w:rPr>
        <w:t xml:space="preserve"> </w:t>
      </w:r>
      <w:r>
        <w:rPr>
          <w:color w:val="221F1F"/>
        </w:rPr>
        <w:t>Tender</w:t>
      </w:r>
      <w:r>
        <w:rPr>
          <w:color w:val="221F1F"/>
          <w:spacing w:val="-14"/>
        </w:rPr>
        <w:t xml:space="preserve"> </w:t>
      </w:r>
      <w:r>
        <w:rPr>
          <w:color w:val="221F1F"/>
        </w:rPr>
        <w:t>opening</w:t>
      </w:r>
      <w:r>
        <w:rPr>
          <w:color w:val="221F1F"/>
          <w:spacing w:val="-11"/>
        </w:rPr>
        <w:t xml:space="preserve"> </w:t>
      </w:r>
      <w:r>
        <w:rPr>
          <w:color w:val="221F1F"/>
        </w:rPr>
        <w:t>procedures</w:t>
      </w:r>
      <w:r>
        <w:rPr>
          <w:color w:val="221F1F"/>
          <w:spacing w:val="-11"/>
        </w:rPr>
        <w:t xml:space="preserve"> </w:t>
      </w:r>
      <w:r>
        <w:rPr>
          <w:color w:val="221F1F"/>
        </w:rPr>
        <w:t xml:space="preserve">required if electronic Tendering is permitted in accordance with ITT 22.1, shall be as specified in the </w:t>
      </w:r>
      <w:r>
        <w:rPr>
          <w:b/>
          <w:color w:val="221F1F"/>
        </w:rPr>
        <w:t>TDS.</w:t>
      </w:r>
    </w:p>
    <w:p w:rsidR="007F6DF9" w:rsidRDefault="00A43FBC">
      <w:pPr>
        <w:pStyle w:val="ListParagraph"/>
        <w:numPr>
          <w:ilvl w:val="1"/>
          <w:numId w:val="206"/>
        </w:numPr>
        <w:tabs>
          <w:tab w:val="left" w:pos="1428"/>
          <w:tab w:val="left" w:pos="1445"/>
        </w:tabs>
        <w:spacing w:before="246" w:line="230" w:lineRule="auto"/>
        <w:ind w:left="1445" w:right="844" w:hanging="587"/>
        <w:jc w:val="both"/>
        <w:rPr>
          <w:color w:val="221F1F"/>
        </w:rPr>
      </w:pPr>
      <w:r>
        <w:rPr>
          <w:color w:val="221F1F"/>
        </w:rPr>
        <w:t>First, envelopes marked “WITHDRAWAL” shall be opened and read out and the envelopes with the corresponding Tender shall not be opened but returned to the Tenderer. No Tender withdrawal shall be permitted</w:t>
      </w:r>
      <w:r>
        <w:rPr>
          <w:color w:val="221F1F"/>
          <w:spacing w:val="-4"/>
        </w:rPr>
        <w:t xml:space="preserve"> </w:t>
      </w:r>
      <w:r>
        <w:rPr>
          <w:color w:val="221F1F"/>
        </w:rPr>
        <w:t>unless</w:t>
      </w:r>
      <w:r>
        <w:rPr>
          <w:color w:val="221F1F"/>
          <w:spacing w:val="-6"/>
        </w:rPr>
        <w:t xml:space="preserve"> </w:t>
      </w:r>
      <w:r>
        <w:rPr>
          <w:color w:val="221F1F"/>
        </w:rPr>
        <w:t>the</w:t>
      </w:r>
      <w:r>
        <w:rPr>
          <w:color w:val="221F1F"/>
          <w:spacing w:val="-7"/>
        </w:rPr>
        <w:t xml:space="preserve"> </w:t>
      </w:r>
      <w:r>
        <w:rPr>
          <w:color w:val="221F1F"/>
        </w:rPr>
        <w:t>corresponding</w:t>
      </w:r>
      <w:r>
        <w:rPr>
          <w:color w:val="221F1F"/>
          <w:spacing w:val="-4"/>
        </w:rPr>
        <w:t xml:space="preserve"> </w:t>
      </w:r>
      <w:r>
        <w:rPr>
          <w:color w:val="221F1F"/>
        </w:rPr>
        <w:t>withdrawal</w:t>
      </w:r>
      <w:r>
        <w:rPr>
          <w:color w:val="221F1F"/>
          <w:spacing w:val="-4"/>
        </w:rPr>
        <w:t xml:space="preserve"> </w:t>
      </w:r>
      <w:r>
        <w:rPr>
          <w:color w:val="221F1F"/>
        </w:rPr>
        <w:t>notice</w:t>
      </w:r>
      <w:r>
        <w:rPr>
          <w:color w:val="221F1F"/>
          <w:spacing w:val="-6"/>
        </w:rPr>
        <w:t xml:space="preserve"> </w:t>
      </w:r>
      <w:r>
        <w:rPr>
          <w:color w:val="221F1F"/>
        </w:rPr>
        <w:t>contains</w:t>
      </w:r>
      <w:r>
        <w:rPr>
          <w:color w:val="221F1F"/>
          <w:spacing w:val="-6"/>
        </w:rPr>
        <w:t xml:space="preserve"> </w:t>
      </w:r>
      <w:r>
        <w:rPr>
          <w:color w:val="221F1F"/>
        </w:rPr>
        <w:t>a</w:t>
      </w:r>
      <w:r>
        <w:rPr>
          <w:color w:val="221F1F"/>
          <w:spacing w:val="-7"/>
        </w:rPr>
        <w:t xml:space="preserve"> </w:t>
      </w:r>
      <w:r>
        <w:rPr>
          <w:color w:val="221F1F"/>
        </w:rPr>
        <w:t>valid</w:t>
      </w:r>
      <w:r>
        <w:rPr>
          <w:color w:val="221F1F"/>
          <w:spacing w:val="-7"/>
        </w:rPr>
        <w:t xml:space="preserve"> </w:t>
      </w:r>
      <w:r>
        <w:rPr>
          <w:color w:val="221F1F"/>
        </w:rPr>
        <w:t>authorization</w:t>
      </w:r>
      <w:r>
        <w:rPr>
          <w:color w:val="221F1F"/>
          <w:spacing w:val="-4"/>
        </w:rPr>
        <w:t xml:space="preserve"> </w:t>
      </w:r>
      <w:r>
        <w:rPr>
          <w:color w:val="221F1F"/>
        </w:rPr>
        <w:t>to</w:t>
      </w:r>
      <w:r>
        <w:rPr>
          <w:color w:val="221F1F"/>
          <w:spacing w:val="-7"/>
        </w:rPr>
        <w:t xml:space="preserve"> </w:t>
      </w:r>
      <w:r>
        <w:rPr>
          <w:color w:val="221F1F"/>
        </w:rPr>
        <w:t>request</w:t>
      </w:r>
      <w:r>
        <w:rPr>
          <w:color w:val="221F1F"/>
          <w:spacing w:val="-5"/>
        </w:rPr>
        <w:t xml:space="preserve"> </w:t>
      </w:r>
      <w:r>
        <w:rPr>
          <w:color w:val="221F1F"/>
        </w:rPr>
        <w:t>the</w:t>
      </w:r>
      <w:r>
        <w:rPr>
          <w:color w:val="221F1F"/>
          <w:spacing w:val="-4"/>
        </w:rPr>
        <w:t xml:space="preserve"> </w:t>
      </w:r>
      <w:r>
        <w:rPr>
          <w:color w:val="221F1F"/>
        </w:rPr>
        <w:t>withdrawal and is read out at Tender opening.</w:t>
      </w:r>
    </w:p>
    <w:p w:rsidR="007F6DF9" w:rsidRDefault="00A43FBC">
      <w:pPr>
        <w:pStyle w:val="ListParagraph"/>
        <w:numPr>
          <w:ilvl w:val="1"/>
          <w:numId w:val="206"/>
        </w:numPr>
        <w:tabs>
          <w:tab w:val="left" w:pos="1428"/>
          <w:tab w:val="left" w:pos="1442"/>
        </w:tabs>
        <w:spacing w:before="245" w:line="230" w:lineRule="auto"/>
        <w:ind w:right="847" w:hanging="584"/>
        <w:jc w:val="both"/>
        <w:rPr>
          <w:color w:val="221F1F"/>
        </w:rPr>
      </w:pPr>
      <w:r>
        <w:rPr>
          <w:color w:val="221F1F"/>
        </w:rPr>
        <w:t>Next, envelopes marked “SUBSTITUTION” shall be opened and read out and exchanged with the corresponding</w:t>
      </w:r>
      <w:r>
        <w:rPr>
          <w:color w:val="221F1F"/>
          <w:spacing w:val="14"/>
        </w:rPr>
        <w:t xml:space="preserve"> </w:t>
      </w:r>
      <w:r>
        <w:rPr>
          <w:color w:val="221F1F"/>
        </w:rPr>
        <w:t>Tender being substituted, and the substituted</w:t>
      </w:r>
      <w:r>
        <w:rPr>
          <w:color w:val="221F1F"/>
          <w:spacing w:val="15"/>
        </w:rPr>
        <w:t xml:space="preserve"> </w:t>
      </w:r>
      <w:r>
        <w:rPr>
          <w:color w:val="221F1F"/>
        </w:rPr>
        <w:t>Tender shall not be opened, but returned to the</w:t>
      </w:r>
    </w:p>
    <w:p w:rsidR="007F6DF9" w:rsidRDefault="007F6DF9">
      <w:pPr>
        <w:pStyle w:val="ListParagraph"/>
        <w:spacing w:line="230" w:lineRule="auto"/>
        <w:jc w:val="both"/>
        <w:sectPr w:rsidR="007F6DF9">
          <w:pgSz w:w="11920" w:h="16850"/>
          <w:pgMar w:top="360" w:right="0" w:bottom="620" w:left="0" w:header="0" w:footer="437" w:gutter="0"/>
          <w:cols w:space="720"/>
        </w:sectPr>
      </w:pPr>
    </w:p>
    <w:p w:rsidR="007F6DF9" w:rsidRDefault="00A43FBC">
      <w:pPr>
        <w:pStyle w:val="BodyText"/>
        <w:spacing w:before="18"/>
      </w:pPr>
      <w:r>
        <w:rPr>
          <w:noProof/>
        </w:rPr>
        <w:lastRenderedPageBreak/>
        <mc:AlternateContent>
          <mc:Choice Requires="wpg">
            <w:drawing>
              <wp:anchor distT="0" distB="0" distL="0" distR="0" simplePos="0" relativeHeight="251643392" behindDoc="1" locked="0" layoutInCell="1" allowOverlap="1">
                <wp:simplePos x="0" y="0"/>
                <wp:positionH relativeFrom="page">
                  <wp:posOffset>0</wp:posOffset>
                </wp:positionH>
                <wp:positionV relativeFrom="page">
                  <wp:posOffset>10238638</wp:posOffset>
                </wp:positionV>
                <wp:extent cx="7561580" cy="31115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76" name="Graphic 7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77" name="Graphic 7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0BA5529B" id="Group 75" o:spid="_x0000_s1026" style="position:absolute;margin-left:0;margin-top:806.2pt;width:595.4pt;height:24.5pt;z-index:-251673088;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">
                <v:shape id="Graphic 7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" path="m946150,l,,,153670r7620,48895l29845,245110r33020,33020l105409,300355r48261,7620l946150,307975,946150,xe" fillcolor="#011f5e" stroked="f">
                  <v:path arrowok="t"/>
                </v:shape>
                <v:shape id="Graphic 7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7F6DF9" w:rsidRDefault="00A43FBC">
      <w:pPr>
        <w:pStyle w:val="BodyText"/>
        <w:spacing w:line="230" w:lineRule="auto"/>
        <w:ind w:left="1442" w:right="651"/>
      </w:pPr>
      <w:r>
        <w:rPr>
          <w:color w:val="221F1F"/>
        </w:rPr>
        <w:t>Tenderer. No Tender substitution shall be permitted unless the corresponding substitution notice contains a valid authorization to request the substitution and is read out at Tender opening.</w:t>
      </w:r>
    </w:p>
    <w:p w:rsidR="007F6DF9" w:rsidRDefault="00A43FBC">
      <w:pPr>
        <w:pStyle w:val="ListParagraph"/>
        <w:numPr>
          <w:ilvl w:val="1"/>
          <w:numId w:val="206"/>
        </w:numPr>
        <w:tabs>
          <w:tab w:val="left" w:pos="1425"/>
          <w:tab w:val="left" w:pos="1442"/>
        </w:tabs>
        <w:spacing w:before="247" w:line="230" w:lineRule="auto"/>
        <w:ind w:right="847" w:hanging="587"/>
        <w:jc w:val="both"/>
        <w:rPr>
          <w:color w:val="221F1F"/>
        </w:rPr>
      </w:pPr>
      <w:r>
        <w:rPr>
          <w:color w:val="221F1F"/>
        </w:rPr>
        <w:t>Next,</w:t>
      </w:r>
      <w:r>
        <w:rPr>
          <w:color w:val="221F1F"/>
          <w:spacing w:val="-7"/>
        </w:rPr>
        <w:t xml:space="preserve"> </w:t>
      </w:r>
      <w:r>
        <w:rPr>
          <w:color w:val="221F1F"/>
        </w:rPr>
        <w:t>envelopes</w:t>
      </w:r>
      <w:r>
        <w:rPr>
          <w:color w:val="221F1F"/>
          <w:spacing w:val="-8"/>
        </w:rPr>
        <w:t xml:space="preserve"> </w:t>
      </w:r>
      <w:r>
        <w:rPr>
          <w:color w:val="221F1F"/>
        </w:rPr>
        <w:t>marked</w:t>
      </w:r>
      <w:r>
        <w:rPr>
          <w:color w:val="221F1F"/>
          <w:spacing w:val="-8"/>
        </w:rPr>
        <w:t xml:space="preserve"> </w:t>
      </w:r>
      <w:r>
        <w:rPr>
          <w:color w:val="221F1F"/>
        </w:rPr>
        <w:t>“MODIFICATION”</w:t>
      </w:r>
      <w:r>
        <w:rPr>
          <w:color w:val="221F1F"/>
          <w:spacing w:val="-5"/>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opened</w:t>
      </w:r>
      <w:r>
        <w:rPr>
          <w:color w:val="221F1F"/>
          <w:spacing w:val="-8"/>
        </w:rPr>
        <w:t xml:space="preserve"> </w:t>
      </w:r>
      <w:r>
        <w:rPr>
          <w:color w:val="221F1F"/>
        </w:rPr>
        <w:t>and</w:t>
      </w:r>
      <w:r>
        <w:rPr>
          <w:color w:val="221F1F"/>
          <w:spacing w:val="-6"/>
        </w:rPr>
        <w:t xml:space="preserve"> </w:t>
      </w:r>
      <w:r>
        <w:rPr>
          <w:color w:val="221F1F"/>
        </w:rPr>
        <w:t>read</w:t>
      </w:r>
      <w:r>
        <w:rPr>
          <w:color w:val="221F1F"/>
          <w:spacing w:val="-6"/>
        </w:rPr>
        <w:t xml:space="preserve"> </w:t>
      </w:r>
      <w:r>
        <w:rPr>
          <w:color w:val="221F1F"/>
        </w:rPr>
        <w:t>out</w:t>
      </w:r>
      <w:r>
        <w:rPr>
          <w:color w:val="221F1F"/>
          <w:spacing w:val="-6"/>
        </w:rPr>
        <w:t xml:space="preserve"> </w:t>
      </w:r>
      <w:r>
        <w:rPr>
          <w:color w:val="221F1F"/>
        </w:rPr>
        <w:t>with</w:t>
      </w:r>
      <w:r>
        <w:rPr>
          <w:color w:val="221F1F"/>
          <w:spacing w:val="-9"/>
        </w:rPr>
        <w:t xml:space="preserve"> </w:t>
      </w:r>
      <w:r>
        <w:rPr>
          <w:color w:val="221F1F"/>
        </w:rPr>
        <w:t>the</w:t>
      </w:r>
      <w:r>
        <w:rPr>
          <w:color w:val="221F1F"/>
          <w:spacing w:val="-6"/>
        </w:rPr>
        <w:t xml:space="preserve"> </w:t>
      </w:r>
      <w:r>
        <w:rPr>
          <w:color w:val="221F1F"/>
        </w:rPr>
        <w:t>corresponding</w:t>
      </w:r>
      <w:r>
        <w:rPr>
          <w:color w:val="221F1F"/>
          <w:spacing w:val="-6"/>
        </w:rPr>
        <w:t xml:space="preserve"> </w:t>
      </w:r>
      <w:r>
        <w:rPr>
          <w:color w:val="221F1F"/>
        </w:rPr>
        <w:t>Tender.</w:t>
      </w:r>
      <w:r>
        <w:rPr>
          <w:color w:val="221F1F"/>
          <w:spacing w:val="-14"/>
        </w:rPr>
        <w:t xml:space="preserve"> </w:t>
      </w:r>
      <w:r>
        <w:rPr>
          <w:color w:val="221F1F"/>
        </w:rPr>
        <w:t xml:space="preserve">No Tender modification shall be permitted unless the corresponding modification notice contains a valid </w:t>
      </w:r>
      <w:r>
        <w:rPr>
          <w:color w:val="221F1F"/>
          <w:spacing w:val="-2"/>
        </w:rPr>
        <w:t>authorizationtorequestthemodificationandisreadoutatTenderopening.</w:t>
      </w:r>
    </w:p>
    <w:p w:rsidR="007F6DF9" w:rsidRDefault="00A43FBC">
      <w:pPr>
        <w:pStyle w:val="ListParagraph"/>
        <w:numPr>
          <w:ilvl w:val="1"/>
          <w:numId w:val="206"/>
        </w:numPr>
        <w:tabs>
          <w:tab w:val="left" w:pos="1425"/>
          <w:tab w:val="left" w:pos="1442"/>
        </w:tabs>
        <w:spacing w:before="243" w:line="230" w:lineRule="auto"/>
        <w:ind w:right="846" w:hanging="587"/>
        <w:jc w:val="both"/>
        <w:rPr>
          <w:color w:val="221F1F"/>
        </w:rPr>
      </w:pPr>
      <w:r>
        <w:rPr>
          <w:color w:val="221F1F"/>
        </w:rPr>
        <w:t>Next,</w:t>
      </w:r>
      <w:r>
        <w:rPr>
          <w:color w:val="221F1F"/>
          <w:spacing w:val="-11"/>
        </w:rPr>
        <w:t xml:space="preserve"> </w:t>
      </w:r>
      <w:r>
        <w:rPr>
          <w:color w:val="221F1F"/>
        </w:rPr>
        <w:t>all</w:t>
      </w:r>
      <w:r>
        <w:rPr>
          <w:color w:val="221F1F"/>
          <w:spacing w:val="-13"/>
        </w:rPr>
        <w:t xml:space="preserve"> </w:t>
      </w:r>
      <w:r>
        <w:rPr>
          <w:color w:val="221F1F"/>
        </w:rPr>
        <w:t>remaining</w:t>
      </w:r>
      <w:r>
        <w:rPr>
          <w:color w:val="221F1F"/>
          <w:spacing w:val="-11"/>
        </w:rPr>
        <w:t xml:space="preserve"> </w:t>
      </w:r>
      <w:r>
        <w:rPr>
          <w:color w:val="221F1F"/>
        </w:rPr>
        <w:t>envelopes</w:t>
      </w:r>
      <w:r>
        <w:rPr>
          <w:color w:val="221F1F"/>
          <w:spacing w:val="-10"/>
        </w:rPr>
        <w:t xml:space="preserve"> </w:t>
      </w:r>
      <w:r>
        <w:rPr>
          <w:color w:val="221F1F"/>
        </w:rPr>
        <w:t>shall</w:t>
      </w:r>
      <w:r>
        <w:rPr>
          <w:color w:val="221F1F"/>
          <w:spacing w:val="-11"/>
        </w:rPr>
        <w:t xml:space="preserve"> </w:t>
      </w:r>
      <w:r>
        <w:rPr>
          <w:color w:val="221F1F"/>
        </w:rPr>
        <w:t>be</w:t>
      </w:r>
      <w:r>
        <w:rPr>
          <w:color w:val="221F1F"/>
          <w:spacing w:val="-14"/>
        </w:rPr>
        <w:t xml:space="preserve"> </w:t>
      </w:r>
      <w:r>
        <w:rPr>
          <w:color w:val="221F1F"/>
        </w:rPr>
        <w:t>opened</w:t>
      </w:r>
      <w:r>
        <w:rPr>
          <w:color w:val="221F1F"/>
          <w:spacing w:val="-11"/>
        </w:rPr>
        <w:t xml:space="preserve"> </w:t>
      </w:r>
      <w:r>
        <w:rPr>
          <w:color w:val="221F1F"/>
        </w:rPr>
        <w:t>one</w:t>
      </w:r>
      <w:r>
        <w:rPr>
          <w:color w:val="221F1F"/>
          <w:spacing w:val="-11"/>
        </w:rPr>
        <w:t xml:space="preserve"> </w:t>
      </w:r>
      <w:r>
        <w:rPr>
          <w:color w:val="221F1F"/>
        </w:rPr>
        <w:t>at</w:t>
      </w:r>
      <w:r>
        <w:rPr>
          <w:color w:val="221F1F"/>
          <w:spacing w:val="-11"/>
        </w:rPr>
        <w:t xml:space="preserve"> </w:t>
      </w:r>
      <w:r>
        <w:rPr>
          <w:color w:val="221F1F"/>
        </w:rPr>
        <w:t>a</w:t>
      </w:r>
      <w:r>
        <w:rPr>
          <w:color w:val="221F1F"/>
          <w:spacing w:val="-14"/>
        </w:rPr>
        <w:t xml:space="preserve"> </w:t>
      </w:r>
      <w:r>
        <w:rPr>
          <w:color w:val="221F1F"/>
        </w:rPr>
        <w:t>time,</w:t>
      </w:r>
      <w:r>
        <w:rPr>
          <w:color w:val="221F1F"/>
          <w:spacing w:val="-12"/>
        </w:rPr>
        <w:t xml:space="preserve"> </w:t>
      </w:r>
      <w:r>
        <w:rPr>
          <w:color w:val="221F1F"/>
        </w:rPr>
        <w:t>reading</w:t>
      </w:r>
      <w:r>
        <w:rPr>
          <w:color w:val="221F1F"/>
          <w:spacing w:val="-14"/>
        </w:rPr>
        <w:t xml:space="preserve"> </w:t>
      </w:r>
      <w:r>
        <w:rPr>
          <w:color w:val="221F1F"/>
        </w:rPr>
        <w:t>out:</w:t>
      </w:r>
      <w:r>
        <w:rPr>
          <w:color w:val="221F1F"/>
          <w:spacing w:val="-12"/>
        </w:rPr>
        <w:t xml:space="preserve"> </w:t>
      </w:r>
      <w:r>
        <w:rPr>
          <w:color w:val="221F1F"/>
        </w:rPr>
        <w:t>the</w:t>
      </w:r>
      <w:r>
        <w:rPr>
          <w:color w:val="221F1F"/>
          <w:spacing w:val="-11"/>
        </w:rPr>
        <w:t xml:space="preserve"> </w:t>
      </w:r>
      <w:r>
        <w:rPr>
          <w:color w:val="221F1F"/>
        </w:rPr>
        <w:t>name</w:t>
      </w:r>
      <w:r>
        <w:rPr>
          <w:color w:val="221F1F"/>
          <w:spacing w:val="-11"/>
        </w:rPr>
        <w:t xml:space="preserve"> </w:t>
      </w:r>
      <w:r>
        <w:rPr>
          <w:color w:val="221F1F"/>
        </w:rPr>
        <w:t>of</w:t>
      </w:r>
      <w:r>
        <w:rPr>
          <w:color w:val="221F1F"/>
          <w:spacing w:val="-10"/>
        </w:rPr>
        <w:t xml:space="preserve"> </w:t>
      </w:r>
      <w:r>
        <w:rPr>
          <w:color w:val="221F1F"/>
        </w:rPr>
        <w:t>the</w:t>
      </w:r>
      <w:r>
        <w:rPr>
          <w:color w:val="221F1F"/>
          <w:spacing w:val="-11"/>
        </w:rPr>
        <w:t xml:space="preserve"> </w:t>
      </w:r>
      <w:r>
        <w:rPr>
          <w:color w:val="221F1F"/>
        </w:rPr>
        <w:t>Tenderer</w:t>
      </w:r>
      <w:r>
        <w:rPr>
          <w:color w:val="221F1F"/>
          <w:spacing w:val="-10"/>
        </w:rPr>
        <w:t xml:space="preserve"> </w:t>
      </w:r>
      <w:r>
        <w:rPr>
          <w:color w:val="221F1F"/>
        </w:rPr>
        <w:t>and</w:t>
      </w:r>
      <w:r>
        <w:rPr>
          <w:color w:val="221F1F"/>
          <w:spacing w:val="-12"/>
        </w:rPr>
        <w:t xml:space="preserve"> </w:t>
      </w:r>
      <w:r>
        <w:rPr>
          <w:color w:val="221F1F"/>
        </w:rPr>
        <w:t>whether there is a modification; the total Tender Price, per lot (contract) if applicable, including any discounts and alternative</w:t>
      </w:r>
      <w:r>
        <w:rPr>
          <w:color w:val="221F1F"/>
          <w:spacing w:val="-7"/>
        </w:rPr>
        <w:t xml:space="preserve"> </w:t>
      </w:r>
      <w:r>
        <w:rPr>
          <w:color w:val="221F1F"/>
        </w:rPr>
        <w:t>Tenders;</w:t>
      </w:r>
      <w:r>
        <w:rPr>
          <w:color w:val="221F1F"/>
          <w:spacing w:val="-6"/>
        </w:rPr>
        <w:t xml:space="preserve"> </w:t>
      </w:r>
      <w:r>
        <w:rPr>
          <w:color w:val="221F1F"/>
        </w:rPr>
        <w:t>the</w:t>
      </w:r>
      <w:r>
        <w:rPr>
          <w:color w:val="221F1F"/>
          <w:spacing w:val="-8"/>
        </w:rPr>
        <w:t xml:space="preserve"> </w:t>
      </w:r>
      <w:r>
        <w:rPr>
          <w:color w:val="221F1F"/>
        </w:rPr>
        <w:t>presence</w:t>
      </w:r>
      <w:r>
        <w:rPr>
          <w:color w:val="221F1F"/>
          <w:spacing w:val="-6"/>
        </w:rPr>
        <w:t xml:space="preserve"> </w:t>
      </w:r>
      <w:r>
        <w:rPr>
          <w:color w:val="221F1F"/>
        </w:rPr>
        <w:t>or</w:t>
      </w:r>
      <w:r>
        <w:rPr>
          <w:color w:val="221F1F"/>
          <w:spacing w:val="-7"/>
        </w:rPr>
        <w:t xml:space="preserve"> </w:t>
      </w:r>
      <w:r>
        <w:rPr>
          <w:color w:val="221F1F"/>
        </w:rPr>
        <w:t>absence</w:t>
      </w:r>
      <w:r>
        <w:rPr>
          <w:color w:val="221F1F"/>
          <w:spacing w:val="-7"/>
        </w:rPr>
        <w:t xml:space="preserve"> </w:t>
      </w:r>
      <w:r>
        <w:rPr>
          <w:color w:val="221F1F"/>
        </w:rPr>
        <w:t>of</w:t>
      </w:r>
      <w:r>
        <w:rPr>
          <w:color w:val="221F1F"/>
          <w:spacing w:val="-7"/>
        </w:rPr>
        <w:t xml:space="preserve"> </w:t>
      </w:r>
      <w:r>
        <w:rPr>
          <w:color w:val="221F1F"/>
        </w:rPr>
        <w:t>a</w:t>
      </w:r>
      <w:r>
        <w:rPr>
          <w:color w:val="221F1F"/>
          <w:spacing w:val="-8"/>
        </w:rPr>
        <w:t xml:space="preserve"> </w:t>
      </w:r>
      <w:r>
        <w:rPr>
          <w:color w:val="221F1F"/>
        </w:rPr>
        <w:t>Tender</w:t>
      </w:r>
      <w:r>
        <w:rPr>
          <w:color w:val="221F1F"/>
          <w:spacing w:val="-12"/>
        </w:rPr>
        <w:t xml:space="preserve"> </w:t>
      </w:r>
      <w:r>
        <w:rPr>
          <w:color w:val="221F1F"/>
        </w:rPr>
        <w:t>Security</w:t>
      </w:r>
      <w:r>
        <w:rPr>
          <w:color w:val="221F1F"/>
          <w:spacing w:val="-8"/>
        </w:rPr>
        <w:t xml:space="preserve"> </w:t>
      </w:r>
      <w:r>
        <w:rPr>
          <w:color w:val="221F1F"/>
        </w:rPr>
        <w:t>or</w:t>
      </w:r>
      <w:r>
        <w:rPr>
          <w:color w:val="221F1F"/>
          <w:spacing w:val="-7"/>
        </w:rPr>
        <w:t xml:space="preserve"> </w:t>
      </w:r>
      <w:r>
        <w:rPr>
          <w:color w:val="221F1F"/>
        </w:rPr>
        <w:t>Tender-Securing</w:t>
      </w:r>
      <w:r>
        <w:rPr>
          <w:color w:val="221F1F"/>
          <w:spacing w:val="-8"/>
        </w:rPr>
        <w:t xml:space="preserve"> </w:t>
      </w:r>
      <w:r>
        <w:rPr>
          <w:color w:val="221F1F"/>
        </w:rPr>
        <w:t>Declaration,</w:t>
      </w:r>
      <w:r>
        <w:rPr>
          <w:color w:val="221F1F"/>
          <w:spacing w:val="-7"/>
        </w:rPr>
        <w:t xml:space="preserve"> </w:t>
      </w:r>
      <w:r>
        <w:rPr>
          <w:color w:val="221F1F"/>
        </w:rPr>
        <w:t>if</w:t>
      </w:r>
      <w:r>
        <w:rPr>
          <w:color w:val="221F1F"/>
          <w:spacing w:val="-10"/>
        </w:rPr>
        <w:t xml:space="preserve"> </w:t>
      </w:r>
      <w:r>
        <w:rPr>
          <w:color w:val="221F1F"/>
        </w:rPr>
        <w:t>required; and any other details as the Procuring Entity may consider appropriate.</w:t>
      </w:r>
    </w:p>
    <w:p w:rsidR="007F6DF9" w:rsidRDefault="00A43FBC">
      <w:pPr>
        <w:pStyle w:val="ListParagraph"/>
        <w:numPr>
          <w:ilvl w:val="1"/>
          <w:numId w:val="206"/>
        </w:numPr>
        <w:tabs>
          <w:tab w:val="left" w:pos="1425"/>
          <w:tab w:val="left" w:pos="1442"/>
        </w:tabs>
        <w:spacing w:before="246" w:line="230" w:lineRule="auto"/>
        <w:ind w:right="846" w:hanging="587"/>
        <w:jc w:val="both"/>
        <w:rPr>
          <w:color w:val="221F1F"/>
        </w:rPr>
      </w:pPr>
      <w:r>
        <w:rPr>
          <w:color w:val="221F1F"/>
        </w:rPr>
        <w:t>Only Tenders, alternative Tenders and discounts that are opened and read out at Tender opening shall be considered</w:t>
      </w:r>
      <w:r>
        <w:rPr>
          <w:color w:val="221F1F"/>
          <w:spacing w:val="-7"/>
        </w:rPr>
        <w:t xml:space="preserve"> </w:t>
      </w:r>
      <w:r>
        <w:rPr>
          <w:color w:val="221F1F"/>
        </w:rPr>
        <w:t>further</w:t>
      </w:r>
      <w:r>
        <w:rPr>
          <w:color w:val="221F1F"/>
          <w:spacing w:val="-5"/>
        </w:rPr>
        <w:t xml:space="preserve"> </w:t>
      </w:r>
      <w:r>
        <w:rPr>
          <w:color w:val="221F1F"/>
        </w:rPr>
        <w:t>for</w:t>
      </w:r>
      <w:r>
        <w:rPr>
          <w:color w:val="221F1F"/>
          <w:spacing w:val="-6"/>
        </w:rPr>
        <w:t xml:space="preserve"> </w:t>
      </w:r>
      <w:r>
        <w:rPr>
          <w:color w:val="221F1F"/>
        </w:rPr>
        <w:t>evaluation.</w:t>
      </w:r>
      <w:r>
        <w:rPr>
          <w:color w:val="221F1F"/>
          <w:spacing w:val="-6"/>
        </w:rPr>
        <w:t xml:space="preserve"> </w:t>
      </w:r>
      <w:r>
        <w:rPr>
          <w:color w:val="221F1F"/>
        </w:rPr>
        <w:t>The</w:t>
      </w:r>
      <w:r>
        <w:rPr>
          <w:color w:val="221F1F"/>
          <w:spacing w:val="-7"/>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and</w:t>
      </w:r>
      <w:r>
        <w:rPr>
          <w:color w:val="221F1F"/>
          <w:spacing w:val="-7"/>
        </w:rPr>
        <w:t xml:space="preserve"> </w:t>
      </w:r>
      <w:r>
        <w:rPr>
          <w:color w:val="221F1F"/>
        </w:rPr>
        <w:t>pages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Bill</w:t>
      </w:r>
      <w:r>
        <w:rPr>
          <w:color w:val="221F1F"/>
          <w:spacing w:val="-6"/>
        </w:rPr>
        <w:t xml:space="preserve"> </w:t>
      </w:r>
      <w:r>
        <w:rPr>
          <w:color w:val="221F1F"/>
        </w:rPr>
        <w:t>of</w:t>
      </w:r>
      <w:r>
        <w:rPr>
          <w:color w:val="221F1F"/>
          <w:spacing w:val="-6"/>
        </w:rPr>
        <w:t xml:space="preserve"> </w:t>
      </w:r>
      <w:r>
        <w:rPr>
          <w:color w:val="221F1F"/>
        </w:rPr>
        <w:t>Quantities</w:t>
      </w:r>
      <w:r>
        <w:rPr>
          <w:color w:val="221F1F"/>
          <w:spacing w:val="-5"/>
        </w:rPr>
        <w:t xml:space="preserve"> </w:t>
      </w:r>
      <w:r>
        <w:rPr>
          <w:color w:val="221F1F"/>
        </w:rPr>
        <w:t>(to</w:t>
      </w:r>
      <w:r>
        <w:rPr>
          <w:color w:val="221F1F"/>
          <w:spacing w:val="-7"/>
        </w:rPr>
        <w:t xml:space="preserve"> </w:t>
      </w:r>
      <w:r>
        <w:rPr>
          <w:color w:val="221F1F"/>
        </w:rPr>
        <w:t>be</w:t>
      </w:r>
      <w:r>
        <w:rPr>
          <w:color w:val="221F1F"/>
          <w:spacing w:val="-7"/>
        </w:rPr>
        <w:t xml:space="preserve"> </w:t>
      </w:r>
      <w:r>
        <w:rPr>
          <w:color w:val="221F1F"/>
        </w:rPr>
        <w:t>decided</w:t>
      </w:r>
      <w:r>
        <w:rPr>
          <w:color w:val="221F1F"/>
          <w:spacing w:val="-6"/>
        </w:rPr>
        <w:t xml:space="preserve"> </w:t>
      </w:r>
      <w:r>
        <w:rPr>
          <w:color w:val="221F1F"/>
        </w:rPr>
        <w:t>on</w:t>
      </w:r>
      <w:r>
        <w:rPr>
          <w:color w:val="221F1F"/>
          <w:spacing w:val="-7"/>
        </w:rPr>
        <w:t xml:space="preserve"> </w:t>
      </w:r>
      <w:r>
        <w:rPr>
          <w:color w:val="221F1F"/>
        </w:rPr>
        <w:t>by the tender opening committee) are to be initialed by the members of the tender opening committee attending the opening.</w:t>
      </w:r>
    </w:p>
    <w:p w:rsidR="007F6DF9" w:rsidRDefault="00A43FBC">
      <w:pPr>
        <w:pStyle w:val="ListParagraph"/>
        <w:numPr>
          <w:ilvl w:val="1"/>
          <w:numId w:val="206"/>
        </w:numPr>
        <w:tabs>
          <w:tab w:val="left" w:pos="1425"/>
          <w:tab w:val="left" w:pos="1442"/>
        </w:tabs>
        <w:spacing w:before="246" w:line="230" w:lineRule="auto"/>
        <w:ind w:right="844" w:hanging="587"/>
        <w:jc w:val="both"/>
        <w:rPr>
          <w:color w:val="221F1F"/>
        </w:rPr>
      </w:pPr>
      <w:r>
        <w:rPr>
          <w:color w:val="221F1F"/>
          <w:spacing w:val="-2"/>
        </w:rPr>
        <w:t>At</w:t>
      </w:r>
      <w:r>
        <w:rPr>
          <w:color w:val="221F1F"/>
          <w:spacing w:val="-5"/>
        </w:rPr>
        <w:t xml:space="preserve"> </w:t>
      </w:r>
      <w:r>
        <w:rPr>
          <w:color w:val="221F1F"/>
          <w:spacing w:val="-2"/>
        </w:rPr>
        <w:t>the</w:t>
      </w:r>
      <w:r>
        <w:rPr>
          <w:color w:val="221F1F"/>
          <w:spacing w:val="-6"/>
        </w:rPr>
        <w:t xml:space="preserve"> </w:t>
      </w:r>
      <w:r>
        <w:rPr>
          <w:color w:val="221F1F"/>
          <w:spacing w:val="-2"/>
        </w:rPr>
        <w:t>Tender</w:t>
      </w:r>
      <w:r>
        <w:rPr>
          <w:color w:val="221F1F"/>
          <w:spacing w:val="-11"/>
        </w:rPr>
        <w:t xml:space="preserve"> </w:t>
      </w:r>
      <w:r>
        <w:rPr>
          <w:color w:val="221F1F"/>
          <w:spacing w:val="-2"/>
        </w:rPr>
        <w:t>Opening,</w:t>
      </w:r>
      <w:r>
        <w:rPr>
          <w:color w:val="221F1F"/>
          <w:spacing w:val="-8"/>
        </w:rPr>
        <w:t xml:space="preserve"> </w:t>
      </w:r>
      <w:r>
        <w:rPr>
          <w:color w:val="221F1F"/>
          <w:spacing w:val="-2"/>
        </w:rPr>
        <w:t>the</w:t>
      </w:r>
      <w:r>
        <w:rPr>
          <w:color w:val="221F1F"/>
          <w:spacing w:val="-7"/>
        </w:rPr>
        <w:t xml:space="preserve"> </w:t>
      </w:r>
      <w:r>
        <w:rPr>
          <w:color w:val="221F1F"/>
          <w:spacing w:val="-2"/>
        </w:rPr>
        <w:t>Procuring</w:t>
      </w:r>
      <w:r>
        <w:rPr>
          <w:color w:val="221F1F"/>
          <w:spacing w:val="-8"/>
        </w:rPr>
        <w:t xml:space="preserve"> </w:t>
      </w:r>
      <w:proofErr w:type="spellStart"/>
      <w:r>
        <w:rPr>
          <w:color w:val="221F1F"/>
          <w:spacing w:val="-2"/>
        </w:rPr>
        <w:t>Entitys</w:t>
      </w:r>
      <w:proofErr w:type="spellEnd"/>
      <w:r>
        <w:rPr>
          <w:color w:val="221F1F"/>
          <w:spacing w:val="-5"/>
        </w:rPr>
        <w:t xml:space="preserve"> </w:t>
      </w:r>
      <w:r>
        <w:rPr>
          <w:color w:val="221F1F"/>
          <w:spacing w:val="-2"/>
        </w:rPr>
        <w:t>hall</w:t>
      </w:r>
      <w:r>
        <w:rPr>
          <w:color w:val="221F1F"/>
          <w:spacing w:val="-5"/>
        </w:rPr>
        <w:t xml:space="preserve"> </w:t>
      </w:r>
      <w:r>
        <w:rPr>
          <w:color w:val="221F1F"/>
          <w:spacing w:val="-2"/>
        </w:rPr>
        <w:t>neither</w:t>
      </w:r>
      <w:r>
        <w:rPr>
          <w:color w:val="221F1F"/>
          <w:spacing w:val="-4"/>
        </w:rPr>
        <w:t xml:space="preserve"> </w:t>
      </w:r>
      <w:r>
        <w:rPr>
          <w:color w:val="221F1F"/>
          <w:spacing w:val="-2"/>
        </w:rPr>
        <w:t>discuss</w:t>
      </w:r>
      <w:r>
        <w:rPr>
          <w:color w:val="221F1F"/>
          <w:spacing w:val="-8"/>
        </w:rPr>
        <w:t xml:space="preserve"> </w:t>
      </w:r>
      <w:r>
        <w:rPr>
          <w:color w:val="221F1F"/>
          <w:spacing w:val="-2"/>
        </w:rPr>
        <w:t>the</w:t>
      </w:r>
      <w:r>
        <w:rPr>
          <w:color w:val="221F1F"/>
          <w:spacing w:val="-8"/>
        </w:rPr>
        <w:t xml:space="preserve"> </w:t>
      </w:r>
      <w:r>
        <w:rPr>
          <w:color w:val="221F1F"/>
          <w:spacing w:val="-2"/>
        </w:rPr>
        <w:t>merits</w:t>
      </w:r>
      <w:r>
        <w:rPr>
          <w:color w:val="221F1F"/>
          <w:spacing w:val="-6"/>
        </w:rPr>
        <w:t xml:space="preserve"> </w:t>
      </w:r>
      <w:r>
        <w:rPr>
          <w:color w:val="221F1F"/>
          <w:spacing w:val="-2"/>
        </w:rPr>
        <w:t>of</w:t>
      </w:r>
      <w:r>
        <w:rPr>
          <w:color w:val="221F1F"/>
          <w:spacing w:val="-5"/>
        </w:rPr>
        <w:t xml:space="preserve"> </w:t>
      </w:r>
      <w:r>
        <w:rPr>
          <w:color w:val="221F1F"/>
          <w:spacing w:val="-2"/>
        </w:rPr>
        <w:t>any</w:t>
      </w:r>
      <w:r>
        <w:rPr>
          <w:color w:val="221F1F"/>
          <w:spacing w:val="-9"/>
        </w:rPr>
        <w:t xml:space="preserve"> </w:t>
      </w:r>
      <w:r>
        <w:rPr>
          <w:color w:val="221F1F"/>
          <w:spacing w:val="-2"/>
        </w:rPr>
        <w:t>Tender</w:t>
      </w:r>
      <w:r>
        <w:rPr>
          <w:color w:val="221F1F"/>
          <w:spacing w:val="-11"/>
        </w:rPr>
        <w:t xml:space="preserve"> </w:t>
      </w:r>
      <w:r>
        <w:rPr>
          <w:color w:val="221F1F"/>
          <w:spacing w:val="-2"/>
        </w:rPr>
        <w:t>nor</w:t>
      </w:r>
      <w:r>
        <w:rPr>
          <w:color w:val="221F1F"/>
          <w:spacing w:val="-8"/>
        </w:rPr>
        <w:t xml:space="preserve"> </w:t>
      </w:r>
      <w:r>
        <w:rPr>
          <w:color w:val="221F1F"/>
          <w:spacing w:val="-2"/>
        </w:rPr>
        <w:t>reject</w:t>
      </w:r>
      <w:r>
        <w:rPr>
          <w:color w:val="221F1F"/>
          <w:spacing w:val="-5"/>
        </w:rPr>
        <w:t xml:space="preserve"> </w:t>
      </w:r>
      <w:r>
        <w:rPr>
          <w:color w:val="221F1F"/>
          <w:spacing w:val="-2"/>
        </w:rPr>
        <w:t>any</w:t>
      </w:r>
      <w:r>
        <w:rPr>
          <w:color w:val="221F1F"/>
          <w:spacing w:val="-6"/>
        </w:rPr>
        <w:t xml:space="preserve"> </w:t>
      </w:r>
      <w:r>
        <w:rPr>
          <w:color w:val="221F1F"/>
          <w:spacing w:val="-2"/>
        </w:rPr>
        <w:t xml:space="preserve">Tender </w:t>
      </w:r>
      <w:r>
        <w:rPr>
          <w:color w:val="221F1F"/>
        </w:rPr>
        <w:t>(except for late Tenders, in accordance with ITT 23.1).</w:t>
      </w:r>
    </w:p>
    <w:p w:rsidR="007F6DF9" w:rsidRDefault="00A43FBC">
      <w:pPr>
        <w:pStyle w:val="ListParagraph"/>
        <w:numPr>
          <w:ilvl w:val="1"/>
          <w:numId w:val="206"/>
        </w:numPr>
        <w:tabs>
          <w:tab w:val="left" w:pos="1428"/>
        </w:tabs>
        <w:spacing w:before="235"/>
        <w:ind w:left="1428" w:hanging="572"/>
        <w:rPr>
          <w:color w:val="221F1F"/>
        </w:rPr>
      </w:pPr>
      <w:r>
        <w:t>The</w:t>
      </w:r>
      <w:r>
        <w:rPr>
          <w:spacing w:val="-7"/>
        </w:rPr>
        <w:t xml:space="preserve"> </w:t>
      </w:r>
      <w:r>
        <w:t>Procuring</w:t>
      </w:r>
      <w:r>
        <w:rPr>
          <w:spacing w:val="-5"/>
        </w:rPr>
        <w:t xml:space="preserve"> </w:t>
      </w:r>
      <w:r>
        <w:t>Entity</w:t>
      </w:r>
      <w:r>
        <w:rPr>
          <w:spacing w:val="-4"/>
        </w:rPr>
        <w:t xml:space="preserve"> </w:t>
      </w:r>
      <w:r>
        <w:t>shall</w:t>
      </w:r>
      <w:r>
        <w:rPr>
          <w:spacing w:val="-6"/>
        </w:rPr>
        <w:t xml:space="preserve"> </w:t>
      </w:r>
      <w:r>
        <w:t>prepare</w:t>
      </w:r>
      <w:r>
        <w:rPr>
          <w:spacing w:val="-6"/>
        </w:rPr>
        <w:t xml:space="preserve"> </w:t>
      </w:r>
      <w:r>
        <w:t>minutes</w:t>
      </w:r>
      <w:r>
        <w:rPr>
          <w:spacing w:val="-3"/>
        </w:rPr>
        <w:t xml:space="preserve"> </w:t>
      </w:r>
      <w:r>
        <w:t>of</w:t>
      </w:r>
      <w:r>
        <w:rPr>
          <w:spacing w:val="-4"/>
        </w:rPr>
        <w:t xml:space="preserve"> </w:t>
      </w:r>
      <w:r>
        <w:t>the</w:t>
      </w:r>
      <w:r>
        <w:rPr>
          <w:spacing w:val="-5"/>
        </w:rPr>
        <w:t xml:space="preserve"> </w:t>
      </w:r>
      <w:r>
        <w:t>Tender</w:t>
      </w:r>
      <w:r>
        <w:rPr>
          <w:spacing w:val="-8"/>
        </w:rPr>
        <w:t xml:space="preserve"> </w:t>
      </w:r>
      <w:r>
        <w:t>Opening</w:t>
      </w:r>
      <w:r>
        <w:rPr>
          <w:spacing w:val="-6"/>
        </w:rPr>
        <w:t xml:space="preserve"> </w:t>
      </w:r>
      <w:r>
        <w:t>that</w:t>
      </w:r>
      <w:r>
        <w:rPr>
          <w:spacing w:val="-4"/>
        </w:rPr>
        <w:t xml:space="preserve"> </w:t>
      </w:r>
      <w:r>
        <w:t>shall</w:t>
      </w:r>
      <w:r>
        <w:rPr>
          <w:spacing w:val="-3"/>
        </w:rPr>
        <w:t xml:space="preserve"> </w:t>
      </w:r>
      <w:r>
        <w:t>include,</w:t>
      </w:r>
      <w:r>
        <w:rPr>
          <w:spacing w:val="-4"/>
        </w:rPr>
        <w:t xml:space="preserve"> </w:t>
      </w:r>
      <w:r>
        <w:t>as</w:t>
      </w:r>
      <w:r>
        <w:rPr>
          <w:spacing w:val="-6"/>
        </w:rPr>
        <w:t xml:space="preserve"> </w:t>
      </w:r>
      <w:r>
        <w:t>a</w:t>
      </w:r>
      <w:r>
        <w:rPr>
          <w:spacing w:val="-5"/>
        </w:rPr>
        <w:t xml:space="preserve"> </w:t>
      </w:r>
      <w:r>
        <w:t>minimum:</w:t>
      </w:r>
      <w:r>
        <w:rPr>
          <w:spacing w:val="-3"/>
        </w:rPr>
        <w:t xml:space="preserve"> </w:t>
      </w:r>
      <w:r>
        <w:rPr>
          <w:spacing w:val="-10"/>
        </w:rPr>
        <w:t>-</w:t>
      </w:r>
    </w:p>
    <w:p w:rsidR="007F6DF9" w:rsidRDefault="00A43FBC">
      <w:pPr>
        <w:pStyle w:val="ListParagraph"/>
        <w:numPr>
          <w:ilvl w:val="2"/>
          <w:numId w:val="206"/>
        </w:numPr>
        <w:tabs>
          <w:tab w:val="left" w:pos="1841"/>
        </w:tabs>
        <w:spacing w:before="40"/>
        <w:ind w:hanging="413"/>
      </w:pPr>
      <w:r>
        <w:t>the</w:t>
      </w:r>
      <w:r>
        <w:rPr>
          <w:spacing w:val="-6"/>
        </w:rPr>
        <w:t xml:space="preserve"> </w:t>
      </w:r>
      <w:r>
        <w:t>name</w:t>
      </w:r>
      <w:r>
        <w:rPr>
          <w:spacing w:val="-3"/>
        </w:rPr>
        <w:t xml:space="preserve"> </w:t>
      </w:r>
      <w:r>
        <w:t>of</w:t>
      </w:r>
      <w:r>
        <w:rPr>
          <w:spacing w:val="-4"/>
        </w:rPr>
        <w:t xml:space="preserve"> </w:t>
      </w:r>
      <w:r>
        <w:t>the</w:t>
      </w:r>
      <w:r>
        <w:rPr>
          <w:spacing w:val="-3"/>
        </w:rPr>
        <w:t xml:space="preserve"> </w:t>
      </w:r>
      <w:r>
        <w:t>Tenderer</w:t>
      </w:r>
      <w:r>
        <w:rPr>
          <w:spacing w:val="-2"/>
        </w:rPr>
        <w:t xml:space="preserve"> </w:t>
      </w:r>
      <w:r>
        <w:t>and</w:t>
      </w:r>
      <w:r>
        <w:rPr>
          <w:spacing w:val="-3"/>
        </w:rPr>
        <w:t xml:space="preserve"> </w:t>
      </w:r>
      <w:r>
        <w:t>whether</w:t>
      </w:r>
      <w:r>
        <w:rPr>
          <w:spacing w:val="-4"/>
        </w:rPr>
        <w:t xml:space="preserve"> </w:t>
      </w:r>
      <w:r>
        <w:t>there</w:t>
      </w:r>
      <w:r>
        <w:rPr>
          <w:spacing w:val="-4"/>
        </w:rPr>
        <w:t xml:space="preserve"> </w:t>
      </w:r>
      <w:r>
        <w:t>is</w:t>
      </w:r>
      <w:r>
        <w:rPr>
          <w:spacing w:val="-3"/>
        </w:rPr>
        <w:t xml:space="preserve"> </w:t>
      </w:r>
      <w:r>
        <w:t>a</w:t>
      </w:r>
      <w:r>
        <w:rPr>
          <w:spacing w:val="-3"/>
        </w:rPr>
        <w:t xml:space="preserve"> </w:t>
      </w:r>
      <w:r>
        <w:t>withdrawal,</w:t>
      </w:r>
      <w:r>
        <w:rPr>
          <w:spacing w:val="-3"/>
        </w:rPr>
        <w:t xml:space="preserve"> </w:t>
      </w:r>
      <w:r>
        <w:t>substitution,</w:t>
      </w:r>
      <w:r>
        <w:rPr>
          <w:spacing w:val="-3"/>
        </w:rPr>
        <w:t xml:space="preserve"> </w:t>
      </w:r>
      <w:r>
        <w:t>or</w:t>
      </w:r>
      <w:r>
        <w:rPr>
          <w:spacing w:val="-4"/>
        </w:rPr>
        <w:t xml:space="preserve"> </w:t>
      </w:r>
      <w:r>
        <w:rPr>
          <w:spacing w:val="-2"/>
        </w:rPr>
        <w:t>modification;</w:t>
      </w:r>
    </w:p>
    <w:p w:rsidR="007F6DF9" w:rsidRDefault="00A43FBC">
      <w:pPr>
        <w:pStyle w:val="ListParagraph"/>
        <w:numPr>
          <w:ilvl w:val="2"/>
          <w:numId w:val="206"/>
        </w:numPr>
        <w:tabs>
          <w:tab w:val="left" w:pos="1841"/>
        </w:tabs>
        <w:spacing w:before="40"/>
        <w:ind w:hanging="413"/>
      </w:pPr>
      <w:r>
        <w:t>the</w:t>
      </w:r>
      <w:r>
        <w:rPr>
          <w:spacing w:val="-8"/>
        </w:rPr>
        <w:t xml:space="preserve"> </w:t>
      </w:r>
      <w:r>
        <w:t>Tender</w:t>
      </w:r>
      <w:r>
        <w:rPr>
          <w:spacing w:val="-8"/>
        </w:rPr>
        <w:t xml:space="preserve"> </w:t>
      </w:r>
      <w:r>
        <w:t>Price,</w:t>
      </w:r>
      <w:r>
        <w:rPr>
          <w:spacing w:val="-6"/>
        </w:rPr>
        <w:t xml:space="preserve"> </w:t>
      </w:r>
      <w:r>
        <w:t>per</w:t>
      </w:r>
      <w:r>
        <w:rPr>
          <w:spacing w:val="-6"/>
        </w:rPr>
        <w:t xml:space="preserve"> </w:t>
      </w:r>
      <w:r>
        <w:t>lot</w:t>
      </w:r>
      <w:r>
        <w:rPr>
          <w:spacing w:val="-6"/>
        </w:rPr>
        <w:t xml:space="preserve"> </w:t>
      </w:r>
      <w:r>
        <w:t>(contract)</w:t>
      </w:r>
      <w:r>
        <w:rPr>
          <w:spacing w:val="-4"/>
        </w:rPr>
        <w:t xml:space="preserve"> </w:t>
      </w:r>
      <w:r>
        <w:t>if</w:t>
      </w:r>
      <w:r>
        <w:rPr>
          <w:spacing w:val="-4"/>
        </w:rPr>
        <w:t xml:space="preserve"> </w:t>
      </w:r>
      <w:r>
        <w:t>applicable,</w:t>
      </w:r>
      <w:r>
        <w:rPr>
          <w:spacing w:val="-7"/>
        </w:rPr>
        <w:t xml:space="preserve"> </w:t>
      </w:r>
      <w:r>
        <w:t>including</w:t>
      </w:r>
      <w:r>
        <w:rPr>
          <w:spacing w:val="-5"/>
        </w:rPr>
        <w:t xml:space="preserve"> </w:t>
      </w:r>
      <w:r>
        <w:t>any</w:t>
      </w:r>
      <w:r>
        <w:rPr>
          <w:spacing w:val="-5"/>
        </w:rPr>
        <w:t xml:space="preserve"> </w:t>
      </w:r>
      <w:r>
        <w:rPr>
          <w:spacing w:val="-2"/>
        </w:rPr>
        <w:t>discounts;</w:t>
      </w:r>
    </w:p>
    <w:p w:rsidR="007F6DF9" w:rsidRDefault="00A43FBC">
      <w:pPr>
        <w:pStyle w:val="ListParagraph"/>
        <w:numPr>
          <w:ilvl w:val="2"/>
          <w:numId w:val="206"/>
        </w:numPr>
        <w:tabs>
          <w:tab w:val="left" w:pos="1841"/>
        </w:tabs>
        <w:spacing w:before="40"/>
        <w:ind w:hanging="413"/>
      </w:pPr>
      <w:r>
        <w:t>any</w:t>
      </w:r>
      <w:r>
        <w:rPr>
          <w:spacing w:val="-4"/>
        </w:rPr>
        <w:t xml:space="preserve"> </w:t>
      </w:r>
      <w:r>
        <w:t>alternative</w:t>
      </w:r>
      <w:r>
        <w:rPr>
          <w:spacing w:val="-3"/>
        </w:rPr>
        <w:t xml:space="preserve"> </w:t>
      </w:r>
      <w:r>
        <w:rPr>
          <w:spacing w:val="-2"/>
        </w:rPr>
        <w:t>Tenders;</w:t>
      </w:r>
    </w:p>
    <w:p w:rsidR="007F6DF9" w:rsidRDefault="00A43FBC">
      <w:pPr>
        <w:pStyle w:val="ListParagraph"/>
        <w:numPr>
          <w:ilvl w:val="2"/>
          <w:numId w:val="206"/>
        </w:numPr>
        <w:tabs>
          <w:tab w:val="left" w:pos="1841"/>
        </w:tabs>
        <w:spacing w:before="37"/>
        <w:ind w:hanging="413"/>
      </w:pPr>
      <w:r>
        <w:t>the</w:t>
      </w:r>
      <w:r>
        <w:rPr>
          <w:spacing w:val="-5"/>
        </w:rPr>
        <w:t xml:space="preserve"> </w:t>
      </w:r>
      <w:r>
        <w:t>presence</w:t>
      </w:r>
      <w:r>
        <w:rPr>
          <w:spacing w:val="-5"/>
        </w:rPr>
        <w:t xml:space="preserve"> </w:t>
      </w:r>
      <w:r>
        <w:t>or</w:t>
      </w:r>
      <w:r>
        <w:rPr>
          <w:spacing w:val="-5"/>
        </w:rPr>
        <w:t xml:space="preserve"> </w:t>
      </w:r>
      <w:r>
        <w:t>absence</w:t>
      </w:r>
      <w:r>
        <w:rPr>
          <w:spacing w:val="-2"/>
        </w:rPr>
        <w:t xml:space="preserve"> </w:t>
      </w:r>
      <w:r>
        <w:t>of</w:t>
      </w:r>
      <w:r>
        <w:rPr>
          <w:spacing w:val="-5"/>
        </w:rPr>
        <w:t xml:space="preserve"> </w:t>
      </w:r>
      <w:r>
        <w:t>a</w:t>
      </w:r>
      <w:r>
        <w:rPr>
          <w:spacing w:val="-3"/>
        </w:rPr>
        <w:t xml:space="preserve"> </w:t>
      </w:r>
      <w:r>
        <w:t>Tender</w:t>
      </w:r>
      <w:r>
        <w:rPr>
          <w:spacing w:val="-10"/>
        </w:rPr>
        <w:t xml:space="preserve"> </w:t>
      </w:r>
      <w:r>
        <w:t>Security,</w:t>
      </w:r>
      <w:r>
        <w:rPr>
          <w:spacing w:val="-6"/>
        </w:rPr>
        <w:t xml:space="preserve"> </w:t>
      </w:r>
      <w:r>
        <w:t>if</w:t>
      </w:r>
      <w:r>
        <w:rPr>
          <w:spacing w:val="-4"/>
        </w:rPr>
        <w:t xml:space="preserve"> </w:t>
      </w:r>
      <w:r>
        <w:t>new</w:t>
      </w:r>
      <w:r>
        <w:rPr>
          <w:spacing w:val="-4"/>
        </w:rPr>
        <w:t xml:space="preserve"> </w:t>
      </w:r>
      <w:r>
        <w:t>as</w:t>
      </w:r>
      <w:r>
        <w:rPr>
          <w:spacing w:val="-4"/>
        </w:rPr>
        <w:t xml:space="preserve"> </w:t>
      </w:r>
      <w:r>
        <w:rPr>
          <w:spacing w:val="-2"/>
        </w:rPr>
        <w:t>required;</w:t>
      </w:r>
    </w:p>
    <w:p w:rsidR="007F6DF9" w:rsidRDefault="00A43FBC">
      <w:pPr>
        <w:pStyle w:val="ListParagraph"/>
        <w:numPr>
          <w:ilvl w:val="2"/>
          <w:numId w:val="206"/>
        </w:numPr>
        <w:tabs>
          <w:tab w:val="left" w:pos="1841"/>
        </w:tabs>
        <w:spacing w:before="40"/>
        <w:ind w:hanging="413"/>
      </w:pPr>
      <w:r>
        <w:t>number</w:t>
      </w:r>
      <w:r>
        <w:rPr>
          <w:spacing w:val="-3"/>
        </w:rPr>
        <w:t xml:space="preserve"> </w:t>
      </w:r>
      <w:r>
        <w:t>of</w:t>
      </w:r>
      <w:r>
        <w:rPr>
          <w:spacing w:val="-2"/>
        </w:rPr>
        <w:t xml:space="preserve"> </w:t>
      </w:r>
      <w:r>
        <w:t>pages</w:t>
      </w:r>
      <w:r>
        <w:rPr>
          <w:spacing w:val="-2"/>
        </w:rPr>
        <w:t xml:space="preserve"> </w:t>
      </w:r>
      <w:r>
        <w:t>of</w:t>
      </w:r>
      <w:r>
        <w:rPr>
          <w:spacing w:val="-2"/>
        </w:rPr>
        <w:t xml:space="preserve"> </w:t>
      </w:r>
      <w:r>
        <w:t>each</w:t>
      </w:r>
      <w:r>
        <w:rPr>
          <w:spacing w:val="-4"/>
        </w:rPr>
        <w:t xml:space="preserve"> </w:t>
      </w:r>
      <w:r>
        <w:t>tender</w:t>
      </w:r>
      <w:r>
        <w:rPr>
          <w:spacing w:val="-2"/>
        </w:rPr>
        <w:t xml:space="preserve"> </w:t>
      </w:r>
      <w:r>
        <w:t>document</w:t>
      </w:r>
      <w:r>
        <w:rPr>
          <w:spacing w:val="-2"/>
        </w:rPr>
        <w:t xml:space="preserve"> submitted.</w:t>
      </w:r>
    </w:p>
    <w:p w:rsidR="007F6DF9" w:rsidRDefault="00A43FBC">
      <w:pPr>
        <w:pStyle w:val="ListParagraph"/>
        <w:numPr>
          <w:ilvl w:val="1"/>
          <w:numId w:val="206"/>
        </w:numPr>
        <w:tabs>
          <w:tab w:val="left" w:pos="1425"/>
          <w:tab w:val="left" w:pos="1442"/>
        </w:tabs>
        <w:spacing w:before="242" w:line="230" w:lineRule="auto"/>
        <w:ind w:right="855" w:hanging="587"/>
        <w:jc w:val="both"/>
        <w:rPr>
          <w:color w:val="221F1F"/>
        </w:rPr>
      </w:pPr>
      <w:r>
        <w:t>The Tenderers' representatives who are present shall be requested to sign the minutes. The omission of a Tenderer's signature on the minutes shall not invalidate the contents and effect of the minutes. A copy of the tender opening register shall be distributed to all Tenderers.</w:t>
      </w:r>
    </w:p>
    <w:p w:rsidR="007F6DF9" w:rsidRDefault="00A43FBC">
      <w:pPr>
        <w:pStyle w:val="Heading8"/>
        <w:numPr>
          <w:ilvl w:val="0"/>
          <w:numId w:val="225"/>
        </w:numPr>
        <w:tabs>
          <w:tab w:val="left" w:pos="1440"/>
        </w:tabs>
        <w:spacing w:before="238"/>
        <w:ind w:left="1440" w:hanging="584"/>
      </w:pPr>
      <w:bookmarkStart w:id="28" w:name="_bookmark27"/>
      <w:bookmarkEnd w:id="28"/>
      <w:r>
        <w:rPr>
          <w:color w:val="221F1F"/>
        </w:rPr>
        <w:t>EVALUATION</w:t>
      </w:r>
      <w:r>
        <w:rPr>
          <w:color w:val="221F1F"/>
          <w:spacing w:val="-6"/>
        </w:rPr>
        <w:t xml:space="preserve"> </w:t>
      </w:r>
      <w:r>
        <w:rPr>
          <w:color w:val="221F1F"/>
        </w:rPr>
        <w:t>AND</w:t>
      </w:r>
      <w:r>
        <w:rPr>
          <w:color w:val="221F1F"/>
          <w:spacing w:val="-6"/>
        </w:rPr>
        <w:t xml:space="preserve"> </w:t>
      </w:r>
      <w:r>
        <w:rPr>
          <w:color w:val="221F1F"/>
        </w:rPr>
        <w:t>COMPARISON</w:t>
      </w:r>
      <w:r>
        <w:rPr>
          <w:color w:val="221F1F"/>
          <w:spacing w:val="-9"/>
        </w:rPr>
        <w:t xml:space="preserve"> </w:t>
      </w:r>
      <w:r>
        <w:rPr>
          <w:color w:val="221F1F"/>
        </w:rPr>
        <w:t>OF</w:t>
      </w:r>
      <w:r>
        <w:rPr>
          <w:color w:val="221F1F"/>
          <w:spacing w:val="-4"/>
        </w:rPr>
        <w:t xml:space="preserve"> </w:t>
      </w:r>
      <w:r>
        <w:rPr>
          <w:color w:val="221F1F"/>
          <w:spacing w:val="-2"/>
        </w:rPr>
        <w:t>TENDERS</w:t>
      </w:r>
    </w:p>
    <w:p w:rsidR="007F6DF9" w:rsidRDefault="00A43FBC">
      <w:pPr>
        <w:pStyle w:val="Heading9"/>
        <w:numPr>
          <w:ilvl w:val="0"/>
          <w:numId w:val="206"/>
        </w:numPr>
        <w:tabs>
          <w:tab w:val="left" w:pos="1428"/>
        </w:tabs>
        <w:spacing w:before="235"/>
        <w:ind w:hanging="572"/>
      </w:pPr>
      <w:r>
        <w:rPr>
          <w:color w:val="221F1F"/>
          <w:spacing w:val="-2"/>
        </w:rPr>
        <w:t>Confidentiality</w:t>
      </w:r>
    </w:p>
    <w:p w:rsidR="007F6DF9" w:rsidRDefault="00A43FBC">
      <w:pPr>
        <w:pStyle w:val="ListParagraph"/>
        <w:numPr>
          <w:ilvl w:val="1"/>
          <w:numId w:val="206"/>
        </w:numPr>
        <w:tabs>
          <w:tab w:val="left" w:pos="1425"/>
          <w:tab w:val="left" w:pos="1442"/>
        </w:tabs>
        <w:spacing w:before="242" w:line="230" w:lineRule="auto"/>
        <w:ind w:right="846" w:hanging="584"/>
        <w:jc w:val="both"/>
        <w:rPr>
          <w:color w:val="221F1F"/>
        </w:rPr>
      </w:pPr>
      <w:r>
        <w:rPr>
          <w:color w:val="221F1F"/>
        </w:rPr>
        <w:t>Information</w:t>
      </w:r>
      <w:r>
        <w:rPr>
          <w:color w:val="221F1F"/>
          <w:spacing w:val="-9"/>
        </w:rPr>
        <w:t xml:space="preserve"> </w:t>
      </w:r>
      <w:r>
        <w:rPr>
          <w:color w:val="221F1F"/>
        </w:rPr>
        <w:t>relating</w:t>
      </w:r>
      <w:r>
        <w:rPr>
          <w:color w:val="221F1F"/>
          <w:spacing w:val="-9"/>
        </w:rPr>
        <w:t xml:space="preserve"> </w:t>
      </w:r>
      <w:r>
        <w:rPr>
          <w:color w:val="221F1F"/>
        </w:rPr>
        <w:t>to</w:t>
      </w:r>
      <w:r>
        <w:rPr>
          <w:color w:val="221F1F"/>
          <w:spacing w:val="-9"/>
        </w:rPr>
        <w:t xml:space="preserve"> </w:t>
      </w:r>
      <w:r>
        <w:rPr>
          <w:color w:val="221F1F"/>
        </w:rPr>
        <w:t>the</w:t>
      </w:r>
      <w:r>
        <w:rPr>
          <w:color w:val="221F1F"/>
          <w:spacing w:val="-8"/>
        </w:rPr>
        <w:t xml:space="preserve"> </w:t>
      </w:r>
      <w:r>
        <w:rPr>
          <w:color w:val="221F1F"/>
        </w:rPr>
        <w:t>evaluation</w:t>
      </w:r>
      <w:r>
        <w:rPr>
          <w:color w:val="221F1F"/>
          <w:spacing w:val="-9"/>
        </w:rPr>
        <w:t xml:space="preserve"> </w:t>
      </w:r>
      <w:r>
        <w:rPr>
          <w:color w:val="221F1F"/>
        </w:rPr>
        <w:t>of</w:t>
      </w:r>
      <w:r>
        <w:rPr>
          <w:color w:val="221F1F"/>
          <w:spacing w:val="-9"/>
        </w:rPr>
        <w:t xml:space="preserve"> </w:t>
      </w:r>
      <w:r>
        <w:rPr>
          <w:color w:val="221F1F"/>
        </w:rPr>
        <w:t>Tenders</w:t>
      </w:r>
      <w:r>
        <w:rPr>
          <w:color w:val="221F1F"/>
          <w:spacing w:val="-14"/>
        </w:rPr>
        <w:t xml:space="preserve"> </w:t>
      </w:r>
      <w:r>
        <w:rPr>
          <w:color w:val="221F1F"/>
        </w:rPr>
        <w:t>and</w:t>
      </w:r>
      <w:r>
        <w:rPr>
          <w:color w:val="221F1F"/>
          <w:spacing w:val="-10"/>
        </w:rPr>
        <w:t xml:space="preserve"> </w:t>
      </w:r>
      <w:r>
        <w:rPr>
          <w:color w:val="221F1F"/>
        </w:rPr>
        <w:t>recommendation</w:t>
      </w:r>
      <w:r>
        <w:rPr>
          <w:color w:val="221F1F"/>
          <w:spacing w:val="-8"/>
        </w:rPr>
        <w:t xml:space="preserve"> </w:t>
      </w:r>
      <w:r>
        <w:rPr>
          <w:color w:val="221F1F"/>
        </w:rPr>
        <w:t>of</w:t>
      </w:r>
      <w:r>
        <w:rPr>
          <w:color w:val="221F1F"/>
          <w:spacing w:val="-9"/>
        </w:rPr>
        <w:t xml:space="preserve"> </w:t>
      </w:r>
      <w:r>
        <w:rPr>
          <w:color w:val="221F1F"/>
        </w:rPr>
        <w:t>contract</w:t>
      </w:r>
      <w:r>
        <w:rPr>
          <w:color w:val="221F1F"/>
          <w:spacing w:val="-8"/>
        </w:rPr>
        <w:t xml:space="preserve"> </w:t>
      </w:r>
      <w:r>
        <w:rPr>
          <w:color w:val="221F1F"/>
        </w:rPr>
        <w:t>award</w:t>
      </w:r>
      <w:r>
        <w:rPr>
          <w:color w:val="221F1F"/>
          <w:spacing w:val="-9"/>
        </w:rPr>
        <w:t xml:space="preserve"> </w:t>
      </w:r>
      <w:r>
        <w:rPr>
          <w:color w:val="221F1F"/>
        </w:rPr>
        <w:t>shall</w:t>
      </w:r>
      <w:r>
        <w:rPr>
          <w:color w:val="221F1F"/>
          <w:spacing w:val="-8"/>
        </w:rPr>
        <w:t xml:space="preserve"> </w:t>
      </w:r>
      <w:r>
        <w:rPr>
          <w:color w:val="221F1F"/>
        </w:rPr>
        <w:t>not</w:t>
      </w:r>
      <w:r>
        <w:rPr>
          <w:color w:val="221F1F"/>
          <w:spacing w:val="-8"/>
        </w:rPr>
        <w:t xml:space="preserve"> </w:t>
      </w:r>
      <w:r>
        <w:rPr>
          <w:color w:val="221F1F"/>
        </w:rPr>
        <w:t>be</w:t>
      </w:r>
      <w:r>
        <w:rPr>
          <w:color w:val="221F1F"/>
          <w:spacing w:val="-9"/>
        </w:rPr>
        <w:t xml:space="preserve"> </w:t>
      </w:r>
      <w:r>
        <w:rPr>
          <w:color w:val="221F1F"/>
        </w:rPr>
        <w:t xml:space="preserve">disclosed </w:t>
      </w:r>
      <w:r>
        <w:rPr>
          <w:color w:val="221F1F"/>
          <w:spacing w:val="-2"/>
        </w:rPr>
        <w:t>to</w:t>
      </w:r>
      <w:r>
        <w:rPr>
          <w:color w:val="221F1F"/>
          <w:spacing w:val="-5"/>
        </w:rPr>
        <w:t xml:space="preserve"> </w:t>
      </w:r>
      <w:proofErr w:type="spellStart"/>
      <w:r>
        <w:rPr>
          <w:color w:val="221F1F"/>
          <w:spacing w:val="-2"/>
        </w:rPr>
        <w:t>Tenderersorany</w:t>
      </w:r>
      <w:proofErr w:type="spellEnd"/>
      <w:r>
        <w:rPr>
          <w:color w:val="221F1F"/>
          <w:spacing w:val="-4"/>
        </w:rPr>
        <w:t xml:space="preserve"> </w:t>
      </w:r>
      <w:r>
        <w:rPr>
          <w:color w:val="221F1F"/>
          <w:spacing w:val="-2"/>
        </w:rPr>
        <w:t>other persons not</w:t>
      </w:r>
      <w:r>
        <w:rPr>
          <w:color w:val="221F1F"/>
          <w:spacing w:val="-4"/>
        </w:rPr>
        <w:t xml:space="preserve"> </w:t>
      </w:r>
      <w:r>
        <w:rPr>
          <w:color w:val="221F1F"/>
          <w:spacing w:val="-2"/>
        </w:rPr>
        <w:t>officially</w:t>
      </w:r>
      <w:r>
        <w:rPr>
          <w:color w:val="221F1F"/>
          <w:spacing w:val="-4"/>
        </w:rPr>
        <w:t xml:space="preserve"> </w:t>
      </w:r>
      <w:r>
        <w:rPr>
          <w:color w:val="221F1F"/>
          <w:spacing w:val="-2"/>
        </w:rPr>
        <w:t>concerned</w:t>
      </w:r>
      <w:r>
        <w:rPr>
          <w:color w:val="221F1F"/>
          <w:spacing w:val="-4"/>
        </w:rPr>
        <w:t xml:space="preserve"> </w:t>
      </w:r>
      <w:r>
        <w:rPr>
          <w:color w:val="221F1F"/>
          <w:spacing w:val="-2"/>
        </w:rPr>
        <w:t>with</w:t>
      </w:r>
      <w:r>
        <w:rPr>
          <w:color w:val="221F1F"/>
          <w:spacing w:val="-4"/>
        </w:rPr>
        <w:t xml:space="preserve"> </w:t>
      </w:r>
      <w:r>
        <w:rPr>
          <w:color w:val="221F1F"/>
          <w:spacing w:val="-2"/>
        </w:rPr>
        <w:t>the</w:t>
      </w:r>
      <w:r>
        <w:rPr>
          <w:color w:val="221F1F"/>
          <w:spacing w:val="-4"/>
        </w:rPr>
        <w:t xml:space="preserve"> </w:t>
      </w:r>
      <w:r>
        <w:rPr>
          <w:color w:val="221F1F"/>
          <w:spacing w:val="-2"/>
        </w:rPr>
        <w:t>Tender</w:t>
      </w:r>
      <w:r>
        <w:rPr>
          <w:color w:val="221F1F"/>
          <w:spacing w:val="-10"/>
        </w:rPr>
        <w:t xml:space="preserve"> </w:t>
      </w:r>
      <w:r>
        <w:rPr>
          <w:color w:val="221F1F"/>
          <w:spacing w:val="-2"/>
        </w:rPr>
        <w:t>process</w:t>
      </w:r>
      <w:r>
        <w:rPr>
          <w:color w:val="221F1F"/>
          <w:spacing w:val="-4"/>
        </w:rPr>
        <w:t xml:space="preserve"> </w:t>
      </w:r>
      <w:r>
        <w:rPr>
          <w:color w:val="221F1F"/>
          <w:spacing w:val="-2"/>
        </w:rPr>
        <w:t>until information</w:t>
      </w:r>
      <w:r>
        <w:rPr>
          <w:color w:val="221F1F"/>
          <w:spacing w:val="-4"/>
        </w:rPr>
        <w:t xml:space="preserve"> </w:t>
      </w:r>
      <w:r>
        <w:rPr>
          <w:color w:val="221F1F"/>
          <w:spacing w:val="-2"/>
        </w:rPr>
        <w:t>on</w:t>
      </w:r>
      <w:r>
        <w:rPr>
          <w:color w:val="221F1F"/>
          <w:spacing w:val="-5"/>
        </w:rPr>
        <w:t xml:space="preserve"> </w:t>
      </w:r>
      <w:r>
        <w:rPr>
          <w:color w:val="221F1F"/>
          <w:spacing w:val="-2"/>
        </w:rPr>
        <w:t xml:space="preserve">Intention </w:t>
      </w:r>
      <w:r>
        <w:rPr>
          <w:color w:val="221F1F"/>
        </w:rPr>
        <w:t>to Award</w:t>
      </w:r>
      <w:r>
        <w:rPr>
          <w:color w:val="221F1F"/>
          <w:spacing w:val="-2"/>
        </w:rPr>
        <w:t xml:space="preserve"> </w:t>
      </w:r>
      <w:r>
        <w:rPr>
          <w:color w:val="221F1F"/>
        </w:rPr>
        <w:t>the Contract is transmitted to all Tenderers in accordance with ITT 43.</w:t>
      </w:r>
    </w:p>
    <w:p w:rsidR="007F6DF9" w:rsidRDefault="00A43FBC">
      <w:pPr>
        <w:pStyle w:val="ListParagraph"/>
        <w:numPr>
          <w:ilvl w:val="1"/>
          <w:numId w:val="206"/>
        </w:numPr>
        <w:tabs>
          <w:tab w:val="left" w:pos="1423"/>
          <w:tab w:val="left" w:pos="1435"/>
        </w:tabs>
        <w:spacing w:before="246" w:line="230" w:lineRule="auto"/>
        <w:ind w:left="1435" w:right="846" w:hanging="579"/>
        <w:jc w:val="both"/>
        <w:rPr>
          <w:color w:val="221F1F"/>
        </w:rPr>
      </w:pPr>
      <w:r>
        <w:rPr>
          <w:color w:val="221F1F"/>
        </w:rPr>
        <w:t>Any effort</w:t>
      </w:r>
      <w:r>
        <w:rPr>
          <w:color w:val="221F1F"/>
          <w:spacing w:val="-1"/>
        </w:rPr>
        <w:t xml:space="preserve"> </w:t>
      </w:r>
      <w:r>
        <w:rPr>
          <w:color w:val="221F1F"/>
        </w:rPr>
        <w:t>by</w:t>
      </w:r>
      <w:r>
        <w:rPr>
          <w:color w:val="221F1F"/>
          <w:spacing w:val="-2"/>
        </w:rPr>
        <w:t xml:space="preserve"> </w:t>
      </w:r>
      <w:r>
        <w:rPr>
          <w:color w:val="221F1F"/>
        </w:rPr>
        <w:t>a Tenderer</w:t>
      </w:r>
      <w:r>
        <w:rPr>
          <w:color w:val="221F1F"/>
          <w:spacing w:val="-8"/>
        </w:rPr>
        <w:t xml:space="preserve"> </w:t>
      </w:r>
      <w:r>
        <w:rPr>
          <w:color w:val="221F1F"/>
        </w:rPr>
        <w:t>to</w:t>
      </w:r>
      <w:r>
        <w:rPr>
          <w:color w:val="221F1F"/>
          <w:spacing w:val="-2"/>
        </w:rPr>
        <w:t xml:space="preserve"> </w:t>
      </w:r>
      <w:r>
        <w:rPr>
          <w:color w:val="221F1F"/>
        </w:rPr>
        <w:t>influence</w:t>
      </w:r>
      <w:r>
        <w:rPr>
          <w:color w:val="221F1F"/>
          <w:spacing w:val="-2"/>
        </w:rPr>
        <w:t xml:space="preserve"> </w:t>
      </w:r>
      <w:r>
        <w:rPr>
          <w:color w:val="221F1F"/>
        </w:rPr>
        <w:t>the Procuring Entity</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evaluation</w:t>
      </w:r>
      <w:r>
        <w:rPr>
          <w:color w:val="221F1F"/>
          <w:spacing w:val="-2"/>
        </w:rPr>
        <w:t xml:space="preserve"> </w:t>
      </w:r>
      <w:r>
        <w:rPr>
          <w:color w:val="221F1F"/>
        </w:rPr>
        <w:t>of</w:t>
      </w:r>
      <w:r>
        <w:rPr>
          <w:color w:val="221F1F"/>
          <w:spacing w:val="-1"/>
        </w:rPr>
        <w:t xml:space="preserve"> </w:t>
      </w:r>
      <w:r>
        <w:rPr>
          <w:color w:val="221F1F"/>
        </w:rPr>
        <w:t>the Tenders</w:t>
      </w:r>
      <w:r>
        <w:rPr>
          <w:color w:val="221F1F"/>
          <w:spacing w:val="-6"/>
        </w:rPr>
        <w:t xml:space="preserve"> </w:t>
      </w:r>
      <w:r>
        <w:rPr>
          <w:color w:val="221F1F"/>
        </w:rPr>
        <w:t>or Contract</w:t>
      </w:r>
      <w:r>
        <w:rPr>
          <w:color w:val="221F1F"/>
          <w:spacing w:val="-1"/>
        </w:rPr>
        <w:t xml:space="preserve"> </w:t>
      </w:r>
      <w:r>
        <w:rPr>
          <w:color w:val="221F1F"/>
        </w:rPr>
        <w:t>award decisions may result in the rejection of its tender.</w:t>
      </w:r>
    </w:p>
    <w:p w:rsidR="007F6DF9" w:rsidRDefault="00A43FBC">
      <w:pPr>
        <w:pStyle w:val="ListParagraph"/>
        <w:numPr>
          <w:ilvl w:val="1"/>
          <w:numId w:val="206"/>
        </w:numPr>
        <w:tabs>
          <w:tab w:val="left" w:pos="1423"/>
          <w:tab w:val="left" w:pos="1433"/>
        </w:tabs>
        <w:spacing w:before="244" w:line="230" w:lineRule="auto"/>
        <w:ind w:left="1433" w:right="846" w:hanging="577"/>
        <w:jc w:val="both"/>
        <w:rPr>
          <w:color w:val="221F1F"/>
        </w:rPr>
      </w:pPr>
      <w:proofErr w:type="spellStart"/>
      <w:r>
        <w:rPr>
          <w:color w:val="221F1F"/>
        </w:rPr>
        <w:t>Not</w:t>
      </w:r>
      <w:r>
        <w:rPr>
          <w:color w:val="221F1F"/>
          <w:spacing w:val="-3"/>
        </w:rPr>
        <w:t xml:space="preserve"> </w:t>
      </w:r>
      <w:r>
        <w:rPr>
          <w:color w:val="221F1F"/>
        </w:rPr>
        <w:t>withstanding</w:t>
      </w:r>
      <w:proofErr w:type="spellEnd"/>
      <w:r>
        <w:rPr>
          <w:color w:val="221F1F"/>
          <w:spacing w:val="-3"/>
        </w:rPr>
        <w:t xml:space="preserve"> </w:t>
      </w:r>
      <w:r>
        <w:rPr>
          <w:color w:val="221F1F"/>
        </w:rPr>
        <w:t>ITT</w:t>
      </w:r>
      <w:r>
        <w:rPr>
          <w:color w:val="221F1F"/>
          <w:spacing w:val="-5"/>
        </w:rPr>
        <w:t xml:space="preserve"> </w:t>
      </w:r>
      <w:r>
        <w:rPr>
          <w:color w:val="221F1F"/>
        </w:rPr>
        <w:t>26.2,</w:t>
      </w:r>
      <w:r>
        <w:rPr>
          <w:color w:val="221F1F"/>
          <w:spacing w:val="-5"/>
        </w:rPr>
        <w:t xml:space="preserve"> </w:t>
      </w:r>
      <w:r>
        <w:rPr>
          <w:color w:val="221F1F"/>
        </w:rPr>
        <w:t>from</w:t>
      </w:r>
      <w:r>
        <w:rPr>
          <w:color w:val="221F1F"/>
          <w:spacing w:val="-5"/>
        </w:rPr>
        <w:t xml:space="preserve"> </w:t>
      </w:r>
      <w:r>
        <w:rPr>
          <w:color w:val="221F1F"/>
        </w:rPr>
        <w:t>the</w:t>
      </w:r>
      <w:r>
        <w:rPr>
          <w:color w:val="221F1F"/>
          <w:spacing w:val="-6"/>
        </w:rPr>
        <w:t xml:space="preserve"> </w:t>
      </w:r>
      <w:r>
        <w:rPr>
          <w:color w:val="221F1F"/>
        </w:rPr>
        <w:t>time</w:t>
      </w:r>
      <w:r>
        <w:rPr>
          <w:color w:val="221F1F"/>
          <w:spacing w:val="-3"/>
        </w:rPr>
        <w:t xml:space="preserve"> </w:t>
      </w:r>
      <w:r>
        <w:rPr>
          <w:color w:val="221F1F"/>
        </w:rPr>
        <w:t>of</w:t>
      </w:r>
      <w:r>
        <w:rPr>
          <w:color w:val="221F1F"/>
          <w:spacing w:val="-5"/>
        </w:rPr>
        <w:t xml:space="preserve"> </w:t>
      </w:r>
      <w:r>
        <w:rPr>
          <w:color w:val="221F1F"/>
        </w:rPr>
        <w:t>tender</w:t>
      </w:r>
      <w:r>
        <w:rPr>
          <w:color w:val="221F1F"/>
          <w:spacing w:val="-2"/>
        </w:rPr>
        <w:t xml:space="preserve"> </w:t>
      </w:r>
      <w:r>
        <w:rPr>
          <w:color w:val="221F1F"/>
        </w:rPr>
        <w:t>opening</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time</w:t>
      </w:r>
      <w:r>
        <w:rPr>
          <w:color w:val="221F1F"/>
          <w:spacing w:val="-3"/>
        </w:rPr>
        <w:t xml:space="preserve"> </w:t>
      </w:r>
      <w:r>
        <w:rPr>
          <w:color w:val="221F1F"/>
        </w:rPr>
        <w:t>of</w:t>
      </w:r>
      <w:r>
        <w:rPr>
          <w:color w:val="221F1F"/>
          <w:spacing w:val="-3"/>
        </w:rPr>
        <w:t xml:space="preserve"> </w:t>
      </w:r>
      <w:r>
        <w:rPr>
          <w:color w:val="221F1F"/>
        </w:rPr>
        <w:t>contract</w:t>
      </w:r>
      <w:r>
        <w:rPr>
          <w:color w:val="221F1F"/>
          <w:spacing w:val="-5"/>
        </w:rPr>
        <w:t xml:space="preserve"> </w:t>
      </w:r>
      <w:r>
        <w:rPr>
          <w:color w:val="221F1F"/>
        </w:rPr>
        <w:t>award,</w:t>
      </w:r>
      <w:r>
        <w:rPr>
          <w:color w:val="221F1F"/>
          <w:spacing w:val="-5"/>
        </w:rPr>
        <w:t xml:space="preserve"> </w:t>
      </w:r>
      <w:r>
        <w:rPr>
          <w:color w:val="221F1F"/>
        </w:rPr>
        <w:t>if</w:t>
      </w:r>
      <w:r>
        <w:rPr>
          <w:color w:val="221F1F"/>
          <w:spacing w:val="-5"/>
        </w:rPr>
        <w:t xml:space="preserve"> </w:t>
      </w:r>
      <w:r>
        <w:rPr>
          <w:color w:val="221F1F"/>
        </w:rPr>
        <w:t>a</w:t>
      </w:r>
      <w:r>
        <w:rPr>
          <w:color w:val="221F1F"/>
          <w:spacing w:val="-6"/>
        </w:rPr>
        <w:t xml:space="preserve"> </w:t>
      </w:r>
      <w:r>
        <w:rPr>
          <w:color w:val="221F1F"/>
        </w:rPr>
        <w:t>tenderer</w:t>
      </w:r>
      <w:r>
        <w:rPr>
          <w:color w:val="221F1F"/>
          <w:spacing w:val="-2"/>
        </w:rPr>
        <w:t xml:space="preserve"> </w:t>
      </w:r>
      <w:r>
        <w:rPr>
          <w:color w:val="221F1F"/>
        </w:rPr>
        <w:t>wishes to contact the Procuring Entity on any matter related to the tendering process, it shall do so in writing.</w:t>
      </w:r>
    </w:p>
    <w:p w:rsidR="007F6DF9" w:rsidRDefault="00A43FBC">
      <w:pPr>
        <w:pStyle w:val="Heading9"/>
        <w:numPr>
          <w:ilvl w:val="1"/>
          <w:numId w:val="205"/>
        </w:numPr>
        <w:tabs>
          <w:tab w:val="left" w:pos="1409"/>
        </w:tabs>
        <w:spacing w:before="186"/>
        <w:ind w:hanging="569"/>
      </w:pPr>
      <w:bookmarkStart w:id="29" w:name="_bookmark28"/>
      <w:bookmarkEnd w:id="29"/>
      <w:r>
        <w:rPr>
          <w:color w:val="221F1F"/>
        </w:rPr>
        <w:t>Clarification</w:t>
      </w:r>
      <w:r>
        <w:rPr>
          <w:color w:val="221F1F"/>
          <w:spacing w:val="-11"/>
        </w:rPr>
        <w:t xml:space="preserve"> </w:t>
      </w:r>
      <w:r>
        <w:rPr>
          <w:color w:val="221F1F"/>
        </w:rPr>
        <w:t>of</w:t>
      </w:r>
      <w:r>
        <w:rPr>
          <w:color w:val="221F1F"/>
          <w:spacing w:val="-11"/>
        </w:rPr>
        <w:t xml:space="preserve"> </w:t>
      </w:r>
      <w:r>
        <w:rPr>
          <w:color w:val="221F1F"/>
          <w:spacing w:val="-2"/>
        </w:rPr>
        <w:t>Tenders</w:t>
      </w:r>
    </w:p>
    <w:p w:rsidR="007F6DF9" w:rsidRDefault="00A43FBC">
      <w:pPr>
        <w:pStyle w:val="ListParagraph"/>
        <w:numPr>
          <w:ilvl w:val="1"/>
          <w:numId w:val="205"/>
        </w:numPr>
        <w:tabs>
          <w:tab w:val="left" w:pos="1406"/>
          <w:tab w:val="left" w:pos="1416"/>
        </w:tabs>
        <w:spacing w:before="242" w:line="230" w:lineRule="auto"/>
        <w:ind w:left="1416" w:right="831" w:hanging="577"/>
        <w:jc w:val="both"/>
      </w:pPr>
      <w:r>
        <w:rPr>
          <w:color w:val="221F1F"/>
        </w:rPr>
        <w:t>To</w:t>
      </w:r>
      <w:r>
        <w:rPr>
          <w:color w:val="221F1F"/>
          <w:spacing w:val="-14"/>
        </w:rPr>
        <w:t xml:space="preserve"> </w:t>
      </w:r>
      <w:r>
        <w:rPr>
          <w:color w:val="221F1F"/>
        </w:rPr>
        <w:t>assist in the examination, evaluation, and comparison of the</w:t>
      </w:r>
      <w:r>
        <w:rPr>
          <w:color w:val="221F1F"/>
          <w:spacing w:val="-2"/>
        </w:rPr>
        <w:t xml:space="preserve"> </w:t>
      </w:r>
      <w:r>
        <w:rPr>
          <w:color w:val="221F1F"/>
        </w:rPr>
        <w:t>tenders, and qualification of</w:t>
      </w:r>
      <w:r>
        <w:rPr>
          <w:color w:val="221F1F"/>
          <w:spacing w:val="-2"/>
        </w:rPr>
        <w:t xml:space="preserve"> </w:t>
      </w:r>
      <w:r>
        <w:rPr>
          <w:color w:val="221F1F"/>
        </w:rPr>
        <w:t>the</w:t>
      </w:r>
      <w:r>
        <w:rPr>
          <w:color w:val="221F1F"/>
          <w:spacing w:val="-2"/>
        </w:rPr>
        <w:t xml:space="preserve"> </w:t>
      </w:r>
      <w:r>
        <w:rPr>
          <w:color w:val="221F1F"/>
        </w:rPr>
        <w:t>tenderers,</w:t>
      </w:r>
      <w:r>
        <w:rPr>
          <w:color w:val="221F1F"/>
          <w:spacing w:val="-2"/>
        </w:rPr>
        <w:t xml:space="preserve"> </w:t>
      </w:r>
      <w:r>
        <w:rPr>
          <w:color w:val="221F1F"/>
        </w:rPr>
        <w:t>the Procuring</w:t>
      </w:r>
      <w:r>
        <w:rPr>
          <w:color w:val="221F1F"/>
          <w:spacing w:val="-12"/>
        </w:rPr>
        <w:t xml:space="preserve"> </w:t>
      </w:r>
      <w:r>
        <w:rPr>
          <w:color w:val="221F1F"/>
        </w:rPr>
        <w:t>Entity</w:t>
      </w:r>
      <w:r>
        <w:rPr>
          <w:color w:val="221F1F"/>
          <w:spacing w:val="-7"/>
        </w:rPr>
        <w:t xml:space="preserve"> </w:t>
      </w:r>
      <w:r>
        <w:rPr>
          <w:color w:val="221F1F"/>
        </w:rPr>
        <w:t>may,</w:t>
      </w:r>
      <w:r>
        <w:rPr>
          <w:color w:val="221F1F"/>
          <w:spacing w:val="-14"/>
        </w:rPr>
        <w:t xml:space="preserve"> </w:t>
      </w:r>
      <w:r>
        <w:rPr>
          <w:color w:val="221F1F"/>
        </w:rPr>
        <w:t>at</w:t>
      </w:r>
      <w:r>
        <w:rPr>
          <w:color w:val="221F1F"/>
          <w:spacing w:val="-8"/>
        </w:rPr>
        <w:t xml:space="preserve"> </w:t>
      </w:r>
      <w:r>
        <w:rPr>
          <w:color w:val="221F1F"/>
        </w:rPr>
        <w:t>its</w:t>
      </w:r>
      <w:r>
        <w:rPr>
          <w:color w:val="221F1F"/>
          <w:spacing w:val="-8"/>
        </w:rPr>
        <w:t xml:space="preserve"> </w:t>
      </w:r>
      <w:r>
        <w:rPr>
          <w:color w:val="221F1F"/>
        </w:rPr>
        <w:t>discretion,</w:t>
      </w:r>
      <w:r>
        <w:rPr>
          <w:color w:val="221F1F"/>
          <w:spacing w:val="-6"/>
        </w:rPr>
        <w:t xml:space="preserve"> </w:t>
      </w:r>
      <w:r>
        <w:rPr>
          <w:color w:val="221F1F"/>
        </w:rPr>
        <w:t>ask</w:t>
      </w:r>
      <w:r>
        <w:rPr>
          <w:color w:val="221F1F"/>
          <w:spacing w:val="-7"/>
        </w:rPr>
        <w:t xml:space="preserve"> </w:t>
      </w:r>
      <w:r>
        <w:rPr>
          <w:color w:val="221F1F"/>
        </w:rPr>
        <w:t>any</w:t>
      </w:r>
      <w:r>
        <w:rPr>
          <w:color w:val="221F1F"/>
          <w:spacing w:val="-9"/>
        </w:rPr>
        <w:t xml:space="preserve"> </w:t>
      </w:r>
      <w:r>
        <w:rPr>
          <w:color w:val="221F1F"/>
        </w:rPr>
        <w:t>tenderer</w:t>
      </w:r>
      <w:r>
        <w:rPr>
          <w:color w:val="221F1F"/>
          <w:spacing w:val="-10"/>
        </w:rPr>
        <w:t xml:space="preserve"> </w:t>
      </w:r>
      <w:r>
        <w:rPr>
          <w:color w:val="221F1F"/>
        </w:rPr>
        <w:t>for</w:t>
      </w:r>
      <w:r>
        <w:rPr>
          <w:color w:val="221F1F"/>
          <w:spacing w:val="-8"/>
        </w:rPr>
        <w:t xml:space="preserve"> </w:t>
      </w:r>
      <w:r>
        <w:rPr>
          <w:color w:val="221F1F"/>
        </w:rPr>
        <w:t>a</w:t>
      </w:r>
      <w:r>
        <w:rPr>
          <w:color w:val="221F1F"/>
          <w:spacing w:val="-7"/>
        </w:rPr>
        <w:t xml:space="preserve"> </w:t>
      </w:r>
      <w:r>
        <w:rPr>
          <w:color w:val="221F1F"/>
        </w:rPr>
        <w:t>clarification</w:t>
      </w:r>
      <w:r>
        <w:rPr>
          <w:color w:val="221F1F"/>
          <w:spacing w:val="-7"/>
        </w:rPr>
        <w:t xml:space="preserve"> </w:t>
      </w:r>
      <w:r>
        <w:rPr>
          <w:color w:val="221F1F"/>
        </w:rPr>
        <w:t>of</w:t>
      </w:r>
      <w:r>
        <w:rPr>
          <w:color w:val="221F1F"/>
          <w:spacing w:val="-9"/>
        </w:rPr>
        <w:t xml:space="preserve"> </w:t>
      </w:r>
      <w:r>
        <w:rPr>
          <w:color w:val="221F1F"/>
        </w:rPr>
        <w:t>its</w:t>
      </w:r>
      <w:r>
        <w:rPr>
          <w:color w:val="221F1F"/>
          <w:spacing w:val="-6"/>
        </w:rPr>
        <w:t xml:space="preserve"> </w:t>
      </w:r>
      <w:r>
        <w:rPr>
          <w:color w:val="221F1F"/>
        </w:rPr>
        <w:t>tender,</w:t>
      </w:r>
      <w:r>
        <w:rPr>
          <w:color w:val="221F1F"/>
          <w:spacing w:val="-6"/>
        </w:rPr>
        <w:t xml:space="preserve"> </w:t>
      </w:r>
      <w:r>
        <w:rPr>
          <w:color w:val="221F1F"/>
        </w:rPr>
        <w:t>given</w:t>
      </w:r>
      <w:r>
        <w:rPr>
          <w:color w:val="221F1F"/>
          <w:spacing w:val="-9"/>
        </w:rPr>
        <w:t xml:space="preserve"> </w:t>
      </w:r>
      <w:r>
        <w:rPr>
          <w:color w:val="221F1F"/>
        </w:rPr>
        <w:t>a</w:t>
      </w:r>
      <w:r>
        <w:rPr>
          <w:color w:val="221F1F"/>
          <w:spacing w:val="-9"/>
        </w:rPr>
        <w:t xml:space="preserve"> </w:t>
      </w:r>
      <w:r>
        <w:rPr>
          <w:color w:val="221F1F"/>
        </w:rPr>
        <w:t>reasonable</w:t>
      </w:r>
      <w:r>
        <w:rPr>
          <w:color w:val="221F1F"/>
          <w:spacing w:val="-8"/>
        </w:rPr>
        <w:t xml:space="preserve"> </w:t>
      </w:r>
      <w:r>
        <w:rPr>
          <w:color w:val="221F1F"/>
        </w:rPr>
        <w:t xml:space="preserve">time for </w:t>
      </w:r>
      <w:proofErr w:type="spellStart"/>
      <w:r>
        <w:rPr>
          <w:color w:val="221F1F"/>
        </w:rPr>
        <w:t>aresponse</w:t>
      </w:r>
      <w:proofErr w:type="spellEnd"/>
      <w:r>
        <w:rPr>
          <w:color w:val="221F1F"/>
        </w:rPr>
        <w:t xml:space="preserve">. Any clarification submitted by a tenderer that is not in response to a request by the Procuring Entity </w:t>
      </w:r>
      <w:proofErr w:type="spellStart"/>
      <w:r>
        <w:rPr>
          <w:color w:val="221F1F"/>
        </w:rPr>
        <w:t>shallnot</w:t>
      </w:r>
      <w:proofErr w:type="spellEnd"/>
      <w:r>
        <w:rPr>
          <w:color w:val="221F1F"/>
        </w:rPr>
        <w:t xml:space="preserve"> be considered. The Procuring Entity's request for clarification and the response shall be in writing.</w:t>
      </w:r>
      <w:r>
        <w:rPr>
          <w:color w:val="221F1F"/>
          <w:spacing w:val="-3"/>
        </w:rPr>
        <w:t xml:space="preserve"> </w:t>
      </w:r>
      <w:r>
        <w:rPr>
          <w:color w:val="221F1F"/>
        </w:rPr>
        <w:t>No</w:t>
      </w:r>
      <w:r>
        <w:rPr>
          <w:color w:val="221F1F"/>
          <w:spacing w:val="-6"/>
        </w:rPr>
        <w:t xml:space="preserve"> </w:t>
      </w:r>
      <w:r>
        <w:rPr>
          <w:color w:val="221F1F"/>
        </w:rPr>
        <w:t>change,</w:t>
      </w:r>
      <w:r>
        <w:rPr>
          <w:color w:val="221F1F"/>
          <w:spacing w:val="-6"/>
        </w:rPr>
        <w:t xml:space="preserve"> </w:t>
      </w:r>
      <w:r>
        <w:rPr>
          <w:color w:val="221F1F"/>
        </w:rPr>
        <w:t>including</w:t>
      </w:r>
      <w:r>
        <w:rPr>
          <w:color w:val="221F1F"/>
          <w:spacing w:val="-4"/>
        </w:rPr>
        <w:t xml:space="preserve"> </w:t>
      </w:r>
      <w:r>
        <w:rPr>
          <w:color w:val="221F1F"/>
        </w:rPr>
        <w:t>any</w:t>
      </w:r>
      <w:r>
        <w:rPr>
          <w:color w:val="221F1F"/>
          <w:spacing w:val="-2"/>
        </w:rPr>
        <w:t xml:space="preserve"> </w:t>
      </w:r>
      <w:r>
        <w:rPr>
          <w:color w:val="221F1F"/>
        </w:rPr>
        <w:t>voluntary</w:t>
      </w:r>
      <w:r>
        <w:rPr>
          <w:color w:val="221F1F"/>
          <w:spacing w:val="-6"/>
        </w:rPr>
        <w:t xml:space="preserve"> </w:t>
      </w:r>
      <w:r>
        <w:rPr>
          <w:color w:val="221F1F"/>
        </w:rPr>
        <w:t>increase</w:t>
      </w:r>
      <w:r>
        <w:rPr>
          <w:color w:val="221F1F"/>
          <w:spacing w:val="-3"/>
        </w:rPr>
        <w:t xml:space="preserve"> </w:t>
      </w:r>
      <w:r>
        <w:rPr>
          <w:color w:val="221F1F"/>
        </w:rPr>
        <w:t>or</w:t>
      </w:r>
      <w:r>
        <w:rPr>
          <w:color w:val="221F1F"/>
          <w:spacing w:val="-3"/>
        </w:rPr>
        <w:t xml:space="preserve"> </w:t>
      </w:r>
      <w:r>
        <w:rPr>
          <w:color w:val="221F1F"/>
        </w:rPr>
        <w:t>decrease,</w:t>
      </w:r>
      <w:r>
        <w:rPr>
          <w:color w:val="221F1F"/>
          <w:spacing w:val="-6"/>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prices</w:t>
      </w:r>
      <w:r>
        <w:rPr>
          <w:color w:val="221F1F"/>
          <w:spacing w:val="-3"/>
        </w:rPr>
        <w:t xml:space="preserve"> </w:t>
      </w:r>
      <w:r>
        <w:rPr>
          <w:color w:val="221F1F"/>
        </w:rPr>
        <w:t>or</w:t>
      </w:r>
      <w:r>
        <w:rPr>
          <w:color w:val="221F1F"/>
          <w:spacing w:val="-5"/>
        </w:rPr>
        <w:t xml:space="preserve"> </w:t>
      </w:r>
      <w:r>
        <w:rPr>
          <w:color w:val="221F1F"/>
        </w:rPr>
        <w:t>substance</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tender</w:t>
      </w:r>
      <w:r>
        <w:rPr>
          <w:color w:val="221F1F"/>
          <w:spacing w:val="-5"/>
        </w:rPr>
        <w:t xml:space="preserve"> </w:t>
      </w:r>
      <w:r>
        <w:rPr>
          <w:color w:val="221F1F"/>
        </w:rPr>
        <w:t>shall be sought, offered, or permitted, except to confirm the correction of arithmetic errors discovered by the Procuring Entity in the evaluation of the tenders, in accordance with ITT 31.</w:t>
      </w:r>
    </w:p>
    <w:p w:rsidR="007F6DF9" w:rsidRDefault="00A43FBC">
      <w:pPr>
        <w:pStyle w:val="ListParagraph"/>
        <w:numPr>
          <w:ilvl w:val="1"/>
          <w:numId w:val="205"/>
        </w:numPr>
        <w:tabs>
          <w:tab w:val="left" w:pos="1406"/>
          <w:tab w:val="left" w:pos="1416"/>
        </w:tabs>
        <w:spacing w:before="246" w:line="230" w:lineRule="auto"/>
        <w:ind w:left="1416" w:right="834" w:hanging="577"/>
        <w:jc w:val="both"/>
      </w:pPr>
      <w:r>
        <w:rPr>
          <w:color w:val="221F1F"/>
        </w:rPr>
        <w:t>If a tenderer does not provide clarifications of its tender by the date and time set in the Procuring Entity's request for clarification, its Tender may be rejected.</w:t>
      </w:r>
    </w:p>
    <w:p w:rsidR="007F6DF9" w:rsidRDefault="00A43FBC">
      <w:pPr>
        <w:pStyle w:val="Heading9"/>
        <w:numPr>
          <w:ilvl w:val="1"/>
          <w:numId w:val="204"/>
        </w:numPr>
        <w:tabs>
          <w:tab w:val="left" w:pos="1363"/>
        </w:tabs>
        <w:spacing w:before="237"/>
        <w:ind w:hanging="523"/>
      </w:pPr>
      <w:r>
        <w:rPr>
          <w:color w:val="221F1F"/>
        </w:rPr>
        <w:t>Deviations,</w:t>
      </w:r>
      <w:r>
        <w:rPr>
          <w:color w:val="221F1F"/>
          <w:spacing w:val="-6"/>
        </w:rPr>
        <w:t xml:space="preserve"> </w:t>
      </w:r>
      <w:r>
        <w:rPr>
          <w:color w:val="221F1F"/>
        </w:rPr>
        <w:t>Reservations,</w:t>
      </w:r>
      <w:r>
        <w:rPr>
          <w:color w:val="221F1F"/>
          <w:spacing w:val="-6"/>
        </w:rPr>
        <w:t xml:space="preserve"> </w:t>
      </w:r>
      <w:r>
        <w:rPr>
          <w:color w:val="221F1F"/>
        </w:rPr>
        <w:t>and</w:t>
      </w:r>
      <w:r>
        <w:rPr>
          <w:color w:val="221F1F"/>
          <w:spacing w:val="-5"/>
        </w:rPr>
        <w:t xml:space="preserve"> </w:t>
      </w:r>
      <w:r>
        <w:rPr>
          <w:color w:val="221F1F"/>
          <w:spacing w:val="-2"/>
        </w:rPr>
        <w:t>Omissions</w:t>
      </w:r>
    </w:p>
    <w:p w:rsidR="007F6DF9" w:rsidRDefault="00A43FBC">
      <w:pPr>
        <w:pStyle w:val="ListParagraph"/>
        <w:numPr>
          <w:ilvl w:val="1"/>
          <w:numId w:val="204"/>
        </w:numPr>
        <w:tabs>
          <w:tab w:val="left" w:pos="1409"/>
        </w:tabs>
        <w:spacing w:before="227" w:line="250" w:lineRule="exact"/>
        <w:ind w:left="1409" w:hanging="569"/>
      </w:pPr>
      <w:r>
        <w:rPr>
          <w:color w:val="221F1F"/>
        </w:rPr>
        <w:t>During</w:t>
      </w:r>
      <w:r>
        <w:rPr>
          <w:color w:val="221F1F"/>
          <w:spacing w:val="-8"/>
        </w:rPr>
        <w:t xml:space="preserve"> </w:t>
      </w:r>
      <w:r>
        <w:rPr>
          <w:color w:val="221F1F"/>
        </w:rPr>
        <w:t>the</w:t>
      </w:r>
      <w:r>
        <w:rPr>
          <w:color w:val="221F1F"/>
          <w:spacing w:val="-7"/>
        </w:rPr>
        <w:t xml:space="preserve"> </w:t>
      </w:r>
      <w:r>
        <w:rPr>
          <w:color w:val="221F1F"/>
        </w:rPr>
        <w:t>evaluation</w:t>
      </w:r>
      <w:r>
        <w:rPr>
          <w:color w:val="221F1F"/>
          <w:spacing w:val="-6"/>
        </w:rPr>
        <w:t xml:space="preserve"> </w:t>
      </w:r>
      <w:r>
        <w:rPr>
          <w:color w:val="221F1F"/>
        </w:rPr>
        <w:t>of</w:t>
      </w:r>
      <w:r>
        <w:rPr>
          <w:color w:val="221F1F"/>
          <w:spacing w:val="-7"/>
        </w:rPr>
        <w:t xml:space="preserve"> </w:t>
      </w:r>
      <w:r>
        <w:rPr>
          <w:color w:val="221F1F"/>
        </w:rPr>
        <w:t>tenders,</w:t>
      </w:r>
      <w:r>
        <w:rPr>
          <w:color w:val="221F1F"/>
          <w:spacing w:val="-5"/>
        </w:rPr>
        <w:t xml:space="preserve"> </w:t>
      </w:r>
      <w:r>
        <w:rPr>
          <w:color w:val="221F1F"/>
        </w:rPr>
        <w:t>the</w:t>
      </w:r>
      <w:r>
        <w:rPr>
          <w:color w:val="221F1F"/>
          <w:spacing w:val="-6"/>
        </w:rPr>
        <w:t xml:space="preserve"> </w:t>
      </w:r>
      <w:r>
        <w:rPr>
          <w:color w:val="221F1F"/>
        </w:rPr>
        <w:t>following</w:t>
      </w:r>
      <w:r>
        <w:rPr>
          <w:color w:val="221F1F"/>
          <w:spacing w:val="-5"/>
        </w:rPr>
        <w:t xml:space="preserve"> </w:t>
      </w:r>
      <w:r>
        <w:rPr>
          <w:color w:val="221F1F"/>
        </w:rPr>
        <w:t>definitions</w:t>
      </w:r>
      <w:r>
        <w:rPr>
          <w:color w:val="221F1F"/>
          <w:spacing w:val="-6"/>
        </w:rPr>
        <w:t xml:space="preserve"> </w:t>
      </w:r>
      <w:r>
        <w:rPr>
          <w:color w:val="221F1F"/>
        </w:rPr>
        <w:t>apply:</w:t>
      </w:r>
      <w:r>
        <w:rPr>
          <w:color w:val="221F1F"/>
          <w:spacing w:val="-5"/>
        </w:rPr>
        <w:t xml:space="preserve"> </w:t>
      </w:r>
      <w:r>
        <w:rPr>
          <w:color w:val="221F1F"/>
          <w:spacing w:val="-10"/>
        </w:rPr>
        <w:t>-</w:t>
      </w:r>
    </w:p>
    <w:p w:rsidR="007F6DF9" w:rsidRDefault="00A43FBC">
      <w:pPr>
        <w:pStyle w:val="ListParagraph"/>
        <w:numPr>
          <w:ilvl w:val="2"/>
          <w:numId w:val="204"/>
        </w:numPr>
        <w:tabs>
          <w:tab w:val="left" w:pos="1848"/>
        </w:tabs>
        <w:spacing w:line="248" w:lineRule="exact"/>
      </w:pPr>
      <w:r>
        <w:rPr>
          <w:i/>
          <w:color w:val="221F1F"/>
        </w:rPr>
        <w:t>“Deviation”</w:t>
      </w:r>
      <w:r>
        <w:rPr>
          <w:i/>
          <w:color w:val="221F1F"/>
          <w:spacing w:val="-5"/>
        </w:rPr>
        <w:t xml:space="preserve"> </w:t>
      </w:r>
      <w:r>
        <w:rPr>
          <w:color w:val="221F1F"/>
        </w:rPr>
        <w:t>is</w:t>
      </w:r>
      <w:r>
        <w:rPr>
          <w:color w:val="221F1F"/>
          <w:spacing w:val="-7"/>
        </w:rPr>
        <w:t xml:space="preserve"> </w:t>
      </w:r>
      <w:r>
        <w:rPr>
          <w:color w:val="221F1F"/>
        </w:rPr>
        <w:t>a</w:t>
      </w:r>
      <w:r>
        <w:rPr>
          <w:color w:val="221F1F"/>
          <w:spacing w:val="-5"/>
        </w:rPr>
        <w:t xml:space="preserve"> </w:t>
      </w:r>
      <w:r>
        <w:rPr>
          <w:color w:val="221F1F"/>
        </w:rPr>
        <w:t>departure</w:t>
      </w:r>
      <w:r>
        <w:rPr>
          <w:color w:val="221F1F"/>
          <w:spacing w:val="-5"/>
        </w:rPr>
        <w:t xml:space="preserve"> </w:t>
      </w:r>
      <w:r>
        <w:rPr>
          <w:color w:val="221F1F"/>
        </w:rPr>
        <w:t>from</w:t>
      </w:r>
      <w:r>
        <w:rPr>
          <w:color w:val="221F1F"/>
          <w:spacing w:val="-4"/>
        </w:rPr>
        <w:t xml:space="preserve"> </w:t>
      </w:r>
      <w:r>
        <w:rPr>
          <w:color w:val="221F1F"/>
        </w:rPr>
        <w:t>the</w:t>
      </w:r>
      <w:r>
        <w:rPr>
          <w:color w:val="221F1F"/>
          <w:spacing w:val="-5"/>
        </w:rPr>
        <w:t xml:space="preserve"> </w:t>
      </w:r>
      <w:r>
        <w:rPr>
          <w:color w:val="221F1F"/>
        </w:rPr>
        <w:t>requirements</w:t>
      </w:r>
      <w:r>
        <w:rPr>
          <w:color w:val="221F1F"/>
          <w:spacing w:val="-5"/>
        </w:rPr>
        <w:t xml:space="preserve"> </w:t>
      </w:r>
      <w:r>
        <w:rPr>
          <w:color w:val="221F1F"/>
        </w:rPr>
        <w:t>specified</w:t>
      </w:r>
      <w:r>
        <w:rPr>
          <w:color w:val="221F1F"/>
          <w:spacing w:val="-8"/>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spacing w:val="-2"/>
        </w:rPr>
        <w:t>document;</w:t>
      </w:r>
    </w:p>
    <w:p w:rsidR="007F6DF9" w:rsidRDefault="00A43FBC">
      <w:pPr>
        <w:pStyle w:val="ListParagraph"/>
        <w:numPr>
          <w:ilvl w:val="2"/>
          <w:numId w:val="204"/>
        </w:numPr>
        <w:tabs>
          <w:tab w:val="left" w:pos="1848"/>
        </w:tabs>
        <w:spacing w:line="251" w:lineRule="exact"/>
      </w:pPr>
      <w:r>
        <w:rPr>
          <w:i/>
          <w:color w:val="221F1F"/>
        </w:rPr>
        <w:t>“Reservation”</w:t>
      </w:r>
      <w:r>
        <w:rPr>
          <w:i/>
          <w:color w:val="221F1F"/>
          <w:spacing w:val="-8"/>
        </w:rPr>
        <w:t xml:space="preserve"> </w:t>
      </w:r>
      <w:r>
        <w:rPr>
          <w:color w:val="221F1F"/>
        </w:rPr>
        <w:t>is</w:t>
      </w:r>
      <w:r>
        <w:rPr>
          <w:color w:val="221F1F"/>
          <w:spacing w:val="-6"/>
        </w:rPr>
        <w:t xml:space="preserve"> </w:t>
      </w:r>
      <w:r>
        <w:rPr>
          <w:color w:val="221F1F"/>
        </w:rPr>
        <w:t>the</w:t>
      </w:r>
      <w:r>
        <w:rPr>
          <w:color w:val="221F1F"/>
          <w:spacing w:val="-7"/>
        </w:rPr>
        <w:t xml:space="preserve"> </w:t>
      </w:r>
      <w:r>
        <w:rPr>
          <w:color w:val="221F1F"/>
        </w:rPr>
        <w:t>setting</w:t>
      </w:r>
      <w:r>
        <w:rPr>
          <w:color w:val="221F1F"/>
          <w:spacing w:val="-5"/>
        </w:rPr>
        <w:t xml:space="preserve"> </w:t>
      </w:r>
      <w:r>
        <w:rPr>
          <w:color w:val="221F1F"/>
        </w:rPr>
        <w:t>of</w:t>
      </w:r>
      <w:r>
        <w:rPr>
          <w:color w:val="221F1F"/>
          <w:spacing w:val="-4"/>
        </w:rPr>
        <w:t xml:space="preserve"> </w:t>
      </w:r>
      <w:r>
        <w:rPr>
          <w:color w:val="221F1F"/>
        </w:rPr>
        <w:t>limiting</w:t>
      </w:r>
      <w:r>
        <w:rPr>
          <w:color w:val="221F1F"/>
          <w:spacing w:val="-5"/>
        </w:rPr>
        <w:t xml:space="preserve"> </w:t>
      </w:r>
      <w:r>
        <w:rPr>
          <w:color w:val="221F1F"/>
        </w:rPr>
        <w:t>conditions</w:t>
      </w:r>
      <w:r>
        <w:rPr>
          <w:color w:val="221F1F"/>
          <w:spacing w:val="-5"/>
        </w:rPr>
        <w:t xml:space="preserve"> </w:t>
      </w:r>
      <w:r>
        <w:rPr>
          <w:color w:val="221F1F"/>
        </w:rPr>
        <w:t>or</w:t>
      </w:r>
      <w:r>
        <w:rPr>
          <w:color w:val="221F1F"/>
          <w:spacing w:val="-8"/>
        </w:rPr>
        <w:t xml:space="preserve"> </w:t>
      </w:r>
      <w:r>
        <w:rPr>
          <w:color w:val="221F1F"/>
        </w:rPr>
        <w:t>withholding</w:t>
      </w:r>
      <w:r>
        <w:rPr>
          <w:color w:val="221F1F"/>
          <w:spacing w:val="-5"/>
        </w:rPr>
        <w:t xml:space="preserve"> </w:t>
      </w:r>
      <w:r>
        <w:rPr>
          <w:color w:val="221F1F"/>
        </w:rPr>
        <w:t>from</w:t>
      </w:r>
      <w:r>
        <w:rPr>
          <w:color w:val="221F1F"/>
          <w:spacing w:val="-4"/>
        </w:rPr>
        <w:t xml:space="preserve"> </w:t>
      </w:r>
      <w:r>
        <w:rPr>
          <w:color w:val="221F1F"/>
        </w:rPr>
        <w:t>complete</w:t>
      </w:r>
      <w:r>
        <w:rPr>
          <w:color w:val="221F1F"/>
          <w:spacing w:val="-6"/>
        </w:rPr>
        <w:t xml:space="preserve"> </w:t>
      </w:r>
      <w:r>
        <w:rPr>
          <w:color w:val="221F1F"/>
        </w:rPr>
        <w:t>acceptance</w:t>
      </w:r>
      <w:r>
        <w:rPr>
          <w:color w:val="221F1F"/>
          <w:spacing w:val="-5"/>
        </w:rPr>
        <w:t xml:space="preserve"> </w:t>
      </w:r>
      <w:r>
        <w:rPr>
          <w:color w:val="221F1F"/>
        </w:rPr>
        <w:t>of</w:t>
      </w:r>
      <w:r>
        <w:rPr>
          <w:color w:val="221F1F"/>
          <w:spacing w:val="-4"/>
        </w:rPr>
        <w:t xml:space="preserve"> </w:t>
      </w:r>
      <w:r>
        <w:rPr>
          <w:color w:val="221F1F"/>
          <w:spacing w:val="-5"/>
        </w:rPr>
        <w:t>the</w:t>
      </w:r>
    </w:p>
    <w:p w:rsidR="007F6DF9" w:rsidRDefault="007F6DF9">
      <w:pPr>
        <w:pStyle w:val="ListParagraph"/>
        <w:spacing w:line="251" w:lineRule="exact"/>
        <w:sectPr w:rsidR="007F6DF9">
          <w:pgSz w:w="11920" w:h="16850"/>
          <w:pgMar w:top="360" w:right="0" w:bottom="580" w:left="0" w:header="0" w:footer="385" w:gutter="0"/>
          <w:pgNumType w:start="11"/>
          <w:cols w:space="720"/>
        </w:sectPr>
      </w:pPr>
    </w:p>
    <w:p w:rsidR="007F6DF9" w:rsidRDefault="007F6DF9">
      <w:pPr>
        <w:pStyle w:val="BodyText"/>
        <w:spacing w:before="10"/>
      </w:pPr>
    </w:p>
    <w:p w:rsidR="007F6DF9" w:rsidRDefault="00A43FBC">
      <w:pPr>
        <w:pStyle w:val="BodyText"/>
        <w:spacing w:line="248" w:lineRule="exact"/>
        <w:ind w:left="1855"/>
      </w:pPr>
      <w:r>
        <w:rPr>
          <w:color w:val="221F1F"/>
        </w:rPr>
        <w:t>requirements</w:t>
      </w:r>
      <w:r>
        <w:rPr>
          <w:color w:val="221F1F"/>
          <w:spacing w:val="-6"/>
        </w:rPr>
        <w:t xml:space="preserve"> </w:t>
      </w:r>
      <w:r>
        <w:rPr>
          <w:color w:val="221F1F"/>
        </w:rPr>
        <w:t>specified</w:t>
      </w:r>
      <w:r>
        <w:rPr>
          <w:color w:val="221F1F"/>
          <w:spacing w:val="-5"/>
        </w:rPr>
        <w:t xml:space="preserve"> </w:t>
      </w:r>
      <w:r>
        <w:rPr>
          <w:color w:val="221F1F"/>
        </w:rPr>
        <w:t>in</w:t>
      </w:r>
      <w:r>
        <w:rPr>
          <w:color w:val="221F1F"/>
          <w:spacing w:val="-8"/>
        </w:rPr>
        <w:t xml:space="preserve"> </w:t>
      </w:r>
      <w:r>
        <w:rPr>
          <w:color w:val="221F1F"/>
        </w:rPr>
        <w:t>the</w:t>
      </w:r>
      <w:r>
        <w:rPr>
          <w:color w:val="221F1F"/>
          <w:spacing w:val="-5"/>
        </w:rPr>
        <w:t xml:space="preserve"> </w:t>
      </w:r>
      <w:r>
        <w:rPr>
          <w:color w:val="221F1F"/>
        </w:rPr>
        <w:t>tender</w:t>
      </w:r>
      <w:r>
        <w:rPr>
          <w:color w:val="221F1F"/>
          <w:spacing w:val="-6"/>
        </w:rPr>
        <w:t xml:space="preserve"> </w:t>
      </w:r>
      <w:r>
        <w:rPr>
          <w:color w:val="221F1F"/>
        </w:rPr>
        <w:t>document;</w:t>
      </w:r>
      <w:r>
        <w:rPr>
          <w:color w:val="221F1F"/>
          <w:spacing w:val="-6"/>
        </w:rPr>
        <w:t xml:space="preserve"> </w:t>
      </w:r>
      <w:r>
        <w:rPr>
          <w:color w:val="221F1F"/>
          <w:spacing w:val="-5"/>
        </w:rPr>
        <w:t>and</w:t>
      </w:r>
    </w:p>
    <w:p w:rsidR="007F6DF9" w:rsidRDefault="00A43FBC">
      <w:pPr>
        <w:pStyle w:val="ListParagraph"/>
        <w:numPr>
          <w:ilvl w:val="2"/>
          <w:numId w:val="204"/>
        </w:numPr>
        <w:tabs>
          <w:tab w:val="left" w:pos="1848"/>
          <w:tab w:val="left" w:pos="1855"/>
        </w:tabs>
        <w:spacing w:before="3" w:line="230" w:lineRule="auto"/>
        <w:ind w:left="1855" w:right="1441" w:hanging="444"/>
      </w:pPr>
      <w:r>
        <w:rPr>
          <w:i/>
          <w:color w:val="221F1F"/>
        </w:rPr>
        <w:t>“Omission”</w:t>
      </w:r>
      <w:r>
        <w:rPr>
          <w:i/>
          <w:color w:val="221F1F"/>
          <w:spacing w:val="-2"/>
        </w:rPr>
        <w:t xml:space="preserve"> </w:t>
      </w:r>
      <w:r>
        <w:rPr>
          <w:color w:val="221F1F"/>
        </w:rPr>
        <w:t>is</w:t>
      </w:r>
      <w:r>
        <w:rPr>
          <w:color w:val="221F1F"/>
          <w:spacing w:val="-2"/>
        </w:rPr>
        <w:t xml:space="preserve"> </w:t>
      </w:r>
      <w:r>
        <w:rPr>
          <w:color w:val="221F1F"/>
        </w:rPr>
        <w:t>the</w:t>
      </w:r>
      <w:r>
        <w:rPr>
          <w:color w:val="221F1F"/>
          <w:spacing w:val="-2"/>
        </w:rPr>
        <w:t xml:space="preserve"> </w:t>
      </w:r>
      <w:r>
        <w:rPr>
          <w:color w:val="221F1F"/>
        </w:rPr>
        <w:t>failure</w:t>
      </w:r>
      <w:r>
        <w:rPr>
          <w:color w:val="221F1F"/>
          <w:spacing w:val="-1"/>
        </w:rPr>
        <w:t xml:space="preserve"> </w:t>
      </w:r>
      <w:r>
        <w:rPr>
          <w:color w:val="221F1F"/>
        </w:rPr>
        <w:t>to</w:t>
      </w:r>
      <w:r>
        <w:rPr>
          <w:color w:val="221F1F"/>
          <w:spacing w:val="-2"/>
        </w:rPr>
        <w:t xml:space="preserve"> </w:t>
      </w:r>
      <w:r>
        <w:rPr>
          <w:color w:val="221F1F"/>
        </w:rPr>
        <w:t>submit</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all</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information</w:t>
      </w:r>
      <w:r>
        <w:rPr>
          <w:color w:val="221F1F"/>
          <w:spacing w:val="-2"/>
        </w:rPr>
        <w:t xml:space="preserve"> </w:t>
      </w:r>
      <w:r>
        <w:rPr>
          <w:color w:val="221F1F"/>
        </w:rPr>
        <w:t>or</w:t>
      </w:r>
      <w:r>
        <w:rPr>
          <w:color w:val="221F1F"/>
          <w:spacing w:val="-4"/>
        </w:rPr>
        <w:t xml:space="preserve"> </w:t>
      </w:r>
      <w:r>
        <w:rPr>
          <w:color w:val="221F1F"/>
        </w:rPr>
        <w:t>documentation</w:t>
      </w:r>
      <w:r>
        <w:rPr>
          <w:color w:val="221F1F"/>
          <w:spacing w:val="-1"/>
        </w:rPr>
        <w:t xml:space="preserve"> </w:t>
      </w:r>
      <w:r>
        <w:rPr>
          <w:color w:val="221F1F"/>
        </w:rPr>
        <w:t>required</w:t>
      </w:r>
      <w:r>
        <w:rPr>
          <w:color w:val="221F1F"/>
          <w:spacing w:val="-4"/>
        </w:rPr>
        <w:t xml:space="preserve"> </w:t>
      </w:r>
      <w:r>
        <w:rPr>
          <w:color w:val="221F1F"/>
        </w:rPr>
        <w:t>in</w:t>
      </w:r>
      <w:r>
        <w:rPr>
          <w:color w:val="221F1F"/>
          <w:spacing w:val="-2"/>
        </w:rPr>
        <w:t xml:space="preserve"> </w:t>
      </w:r>
      <w:r>
        <w:rPr>
          <w:color w:val="221F1F"/>
        </w:rPr>
        <w:t>the Tender document.</w:t>
      </w:r>
    </w:p>
    <w:p w:rsidR="007F6DF9" w:rsidRDefault="00A43FBC">
      <w:pPr>
        <w:pStyle w:val="Heading9"/>
        <w:numPr>
          <w:ilvl w:val="1"/>
          <w:numId w:val="203"/>
        </w:numPr>
        <w:tabs>
          <w:tab w:val="left" w:pos="1409"/>
        </w:tabs>
        <w:spacing w:before="236"/>
        <w:ind w:hanging="569"/>
      </w:pPr>
      <w:bookmarkStart w:id="30" w:name="_bookmark29"/>
      <w:bookmarkEnd w:id="30"/>
      <w:r>
        <w:rPr>
          <w:color w:val="221F1F"/>
        </w:rPr>
        <w:t>Determination</w:t>
      </w:r>
      <w:r>
        <w:rPr>
          <w:color w:val="221F1F"/>
          <w:spacing w:val="-5"/>
        </w:rPr>
        <w:t xml:space="preserve"> </w:t>
      </w:r>
      <w:r>
        <w:rPr>
          <w:color w:val="221F1F"/>
        </w:rPr>
        <w:t>of</w:t>
      </w:r>
      <w:r>
        <w:rPr>
          <w:color w:val="221F1F"/>
          <w:spacing w:val="-4"/>
        </w:rPr>
        <w:t xml:space="preserve"> </w:t>
      </w:r>
      <w:r>
        <w:rPr>
          <w:color w:val="221F1F"/>
          <w:spacing w:val="-2"/>
        </w:rPr>
        <w:t>Responsiveness</w:t>
      </w:r>
    </w:p>
    <w:p w:rsidR="007F6DF9" w:rsidRDefault="00A43FBC">
      <w:pPr>
        <w:pStyle w:val="ListParagraph"/>
        <w:numPr>
          <w:ilvl w:val="1"/>
          <w:numId w:val="203"/>
        </w:numPr>
        <w:tabs>
          <w:tab w:val="left" w:pos="1407"/>
          <w:tab w:val="left" w:pos="1416"/>
        </w:tabs>
        <w:spacing w:before="240" w:line="232" w:lineRule="auto"/>
        <w:ind w:left="1416" w:right="842" w:hanging="577"/>
        <w:jc w:val="both"/>
      </w:pPr>
      <w:r>
        <w:rPr>
          <w:color w:val="221F1F"/>
        </w:rPr>
        <w:t>The Procuring Entity's</w:t>
      </w:r>
      <w:r>
        <w:rPr>
          <w:color w:val="221F1F"/>
          <w:spacing w:val="-1"/>
        </w:rPr>
        <w:t xml:space="preserve"> </w:t>
      </w:r>
      <w:r>
        <w:rPr>
          <w:color w:val="221F1F"/>
        </w:rPr>
        <w:t>determination of</w:t>
      </w:r>
      <w:r>
        <w:rPr>
          <w:color w:val="221F1F"/>
          <w:spacing w:val="-1"/>
        </w:rPr>
        <w:t xml:space="preserve"> </w:t>
      </w:r>
      <w:r>
        <w:rPr>
          <w:color w:val="221F1F"/>
        </w:rPr>
        <w:t>a Tender's responsiveness is</w:t>
      </w:r>
      <w:r>
        <w:rPr>
          <w:color w:val="221F1F"/>
          <w:spacing w:val="-1"/>
        </w:rPr>
        <w:t xml:space="preserve"> </w:t>
      </w:r>
      <w:r>
        <w:rPr>
          <w:color w:val="221F1F"/>
        </w:rPr>
        <w:t>to be based</w:t>
      </w:r>
      <w:r>
        <w:rPr>
          <w:color w:val="221F1F"/>
          <w:spacing w:val="-1"/>
        </w:rPr>
        <w:t xml:space="preserve"> </w:t>
      </w:r>
      <w:r>
        <w:rPr>
          <w:color w:val="221F1F"/>
        </w:rPr>
        <w:t>on the contents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 itself, as defined in ITT 11.</w:t>
      </w:r>
    </w:p>
    <w:p w:rsidR="007F6DF9" w:rsidRDefault="00A43FBC">
      <w:pPr>
        <w:pStyle w:val="ListParagraph"/>
        <w:numPr>
          <w:ilvl w:val="1"/>
          <w:numId w:val="203"/>
        </w:numPr>
        <w:tabs>
          <w:tab w:val="left" w:pos="1416"/>
        </w:tabs>
        <w:spacing w:before="244" w:line="230" w:lineRule="auto"/>
        <w:ind w:left="1416" w:right="834" w:hanging="577"/>
        <w:jc w:val="both"/>
      </w:pPr>
      <w:r>
        <w:rPr>
          <w:color w:val="221F1F"/>
        </w:rPr>
        <w:t>A</w:t>
      </w:r>
      <w:r>
        <w:rPr>
          <w:color w:val="221F1F"/>
          <w:spacing w:val="-3"/>
        </w:rPr>
        <w:t xml:space="preserve"> </w:t>
      </w:r>
      <w:r>
        <w:rPr>
          <w:color w:val="221F1F"/>
        </w:rPr>
        <w:t>substantially</w:t>
      </w:r>
      <w:r>
        <w:rPr>
          <w:color w:val="221F1F"/>
          <w:spacing w:val="-5"/>
        </w:rPr>
        <w:t xml:space="preserve"> </w:t>
      </w:r>
      <w:r>
        <w:rPr>
          <w:color w:val="221F1F"/>
        </w:rPr>
        <w:t>responsive</w:t>
      </w:r>
      <w:r>
        <w:rPr>
          <w:color w:val="221F1F"/>
          <w:spacing w:val="-2"/>
        </w:rPr>
        <w:t xml:space="preserve"> </w:t>
      </w:r>
      <w:r>
        <w:rPr>
          <w:color w:val="221F1F"/>
        </w:rPr>
        <w:t>Tender</w:t>
      </w:r>
      <w:r>
        <w:rPr>
          <w:color w:val="221F1F"/>
          <w:spacing w:val="-8"/>
        </w:rPr>
        <w:t xml:space="preserve"> </w:t>
      </w:r>
      <w:r>
        <w:rPr>
          <w:color w:val="221F1F"/>
        </w:rPr>
        <w:t>is</w:t>
      </w:r>
      <w:r>
        <w:rPr>
          <w:color w:val="221F1F"/>
          <w:spacing w:val="-2"/>
        </w:rPr>
        <w:t xml:space="preserve"> </w:t>
      </w:r>
      <w:r>
        <w:rPr>
          <w:color w:val="221F1F"/>
        </w:rPr>
        <w:t>one</w:t>
      </w:r>
      <w:r>
        <w:rPr>
          <w:color w:val="221F1F"/>
          <w:spacing w:val="-4"/>
        </w:rPr>
        <w:t xml:space="preserve"> </w:t>
      </w:r>
      <w:r>
        <w:rPr>
          <w:color w:val="221F1F"/>
        </w:rPr>
        <w:t>that</w:t>
      </w:r>
      <w:r>
        <w:rPr>
          <w:color w:val="221F1F"/>
          <w:spacing w:val="-1"/>
        </w:rPr>
        <w:t xml:space="preserve"> </w:t>
      </w:r>
      <w:r>
        <w:rPr>
          <w:color w:val="221F1F"/>
        </w:rPr>
        <w:t>meets</w:t>
      </w:r>
      <w:r>
        <w:rPr>
          <w:color w:val="221F1F"/>
          <w:spacing w:val="-4"/>
        </w:rPr>
        <w:t xml:space="preserve"> </w:t>
      </w:r>
      <w:r>
        <w:rPr>
          <w:color w:val="221F1F"/>
        </w:rPr>
        <w:t>the</w:t>
      </w:r>
      <w:r>
        <w:rPr>
          <w:color w:val="221F1F"/>
          <w:spacing w:val="-2"/>
        </w:rPr>
        <w:t xml:space="preserve"> </w:t>
      </w:r>
      <w:r>
        <w:rPr>
          <w:color w:val="221F1F"/>
        </w:rPr>
        <w:t>requirements</w:t>
      </w:r>
      <w:r>
        <w:rPr>
          <w:color w:val="221F1F"/>
          <w:spacing w:val="-2"/>
        </w:rPr>
        <w:t xml:space="preserve"> </w:t>
      </w:r>
      <w:r>
        <w:rPr>
          <w:color w:val="221F1F"/>
        </w:rPr>
        <w:t>of</w:t>
      </w:r>
      <w:r>
        <w:rPr>
          <w:color w:val="221F1F"/>
          <w:spacing w:val="-1"/>
        </w:rPr>
        <w:t xml:space="preserve"> </w:t>
      </w:r>
      <w:r>
        <w:rPr>
          <w:color w:val="221F1F"/>
        </w:rPr>
        <w:t>the Tender</w:t>
      </w:r>
      <w:r>
        <w:rPr>
          <w:color w:val="221F1F"/>
          <w:spacing w:val="-8"/>
        </w:rPr>
        <w:t xml:space="preserve"> </w:t>
      </w:r>
      <w:r>
        <w:rPr>
          <w:color w:val="221F1F"/>
        </w:rPr>
        <w:t>document</w:t>
      </w:r>
      <w:r>
        <w:rPr>
          <w:color w:val="221F1F"/>
          <w:spacing w:val="-1"/>
        </w:rPr>
        <w:t xml:space="preserve"> </w:t>
      </w:r>
      <w:proofErr w:type="spellStart"/>
      <w:r>
        <w:rPr>
          <w:color w:val="221F1F"/>
        </w:rPr>
        <w:t>withoutmaterial</w:t>
      </w:r>
      <w:proofErr w:type="spellEnd"/>
      <w:r>
        <w:rPr>
          <w:color w:val="221F1F"/>
        </w:rPr>
        <w:t xml:space="preserve"> deviation, reservation, or omission. A material deviation, reservation, or omission is one that, if accepted, </w:t>
      </w:r>
      <w:r>
        <w:rPr>
          <w:color w:val="221F1F"/>
          <w:spacing w:val="-2"/>
        </w:rPr>
        <w:t>would:</w:t>
      </w:r>
    </w:p>
    <w:p w:rsidR="007F6DF9" w:rsidRDefault="00A43FBC">
      <w:pPr>
        <w:pStyle w:val="ListParagraph"/>
        <w:numPr>
          <w:ilvl w:val="2"/>
          <w:numId w:val="203"/>
        </w:numPr>
        <w:tabs>
          <w:tab w:val="left" w:pos="1836"/>
        </w:tabs>
        <w:spacing w:before="40"/>
      </w:pPr>
      <w:proofErr w:type="spellStart"/>
      <w:r>
        <w:rPr>
          <w:color w:val="221F1F"/>
        </w:rPr>
        <w:t>Affec</w:t>
      </w:r>
      <w:proofErr w:type="spellEnd"/>
      <w:r>
        <w:rPr>
          <w:color w:val="221F1F"/>
          <w:spacing w:val="-7"/>
        </w:rPr>
        <w:t xml:space="preserve"> </w:t>
      </w:r>
      <w:r>
        <w:rPr>
          <w:color w:val="221F1F"/>
        </w:rPr>
        <w:t>tin</w:t>
      </w:r>
      <w:r>
        <w:rPr>
          <w:color w:val="221F1F"/>
          <w:spacing w:val="-5"/>
        </w:rPr>
        <w:t xml:space="preserve"> </w:t>
      </w:r>
      <w:r>
        <w:rPr>
          <w:color w:val="221F1F"/>
        </w:rPr>
        <w:t>any</w:t>
      </w:r>
      <w:r>
        <w:rPr>
          <w:color w:val="221F1F"/>
          <w:spacing w:val="-7"/>
        </w:rPr>
        <w:t xml:space="preserve"> </w:t>
      </w:r>
      <w:r>
        <w:rPr>
          <w:color w:val="221F1F"/>
        </w:rPr>
        <w:t>substantial</w:t>
      </w:r>
      <w:r>
        <w:rPr>
          <w:color w:val="221F1F"/>
          <w:spacing w:val="-3"/>
        </w:rPr>
        <w:t xml:space="preserve"> </w:t>
      </w:r>
      <w:r>
        <w:rPr>
          <w:color w:val="221F1F"/>
        </w:rPr>
        <w:t>way</w:t>
      </w:r>
      <w:r>
        <w:rPr>
          <w:color w:val="221F1F"/>
          <w:spacing w:val="-5"/>
        </w:rPr>
        <w:t xml:space="preserve"> </w:t>
      </w:r>
      <w:r>
        <w:rPr>
          <w:color w:val="221F1F"/>
        </w:rPr>
        <w:t>the</w:t>
      </w:r>
      <w:r>
        <w:rPr>
          <w:color w:val="221F1F"/>
          <w:spacing w:val="-5"/>
        </w:rPr>
        <w:t xml:space="preserve"> </w:t>
      </w:r>
      <w:r>
        <w:rPr>
          <w:color w:val="221F1F"/>
        </w:rPr>
        <w:t>scope,</w:t>
      </w:r>
      <w:r>
        <w:rPr>
          <w:color w:val="221F1F"/>
          <w:spacing w:val="-5"/>
        </w:rPr>
        <w:t xml:space="preserve"> </w:t>
      </w:r>
      <w:r>
        <w:rPr>
          <w:color w:val="221F1F"/>
        </w:rPr>
        <w:t>quality,</w:t>
      </w:r>
      <w:r>
        <w:rPr>
          <w:color w:val="221F1F"/>
          <w:spacing w:val="-5"/>
        </w:rPr>
        <w:t xml:space="preserve"> </w:t>
      </w:r>
      <w:r>
        <w:rPr>
          <w:color w:val="221F1F"/>
        </w:rPr>
        <w:t>or</w:t>
      </w:r>
      <w:r>
        <w:rPr>
          <w:color w:val="221F1F"/>
          <w:spacing w:val="-6"/>
        </w:rPr>
        <w:t xml:space="preserve"> </w:t>
      </w:r>
      <w:r>
        <w:rPr>
          <w:color w:val="221F1F"/>
        </w:rPr>
        <w:t>performance</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specified</w:t>
      </w:r>
      <w:r>
        <w:rPr>
          <w:color w:val="221F1F"/>
          <w:spacing w:val="-6"/>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spacing w:val="-2"/>
        </w:rPr>
        <w:t>Contract;</w:t>
      </w:r>
    </w:p>
    <w:p w:rsidR="007F6DF9" w:rsidRDefault="00A43FBC">
      <w:pPr>
        <w:pStyle w:val="ListParagraph"/>
        <w:numPr>
          <w:ilvl w:val="2"/>
          <w:numId w:val="203"/>
        </w:numPr>
        <w:tabs>
          <w:tab w:val="left" w:pos="1836"/>
          <w:tab w:val="left" w:pos="1848"/>
        </w:tabs>
        <w:spacing w:before="48" w:line="230" w:lineRule="auto"/>
        <w:ind w:left="1848" w:right="1066" w:hanging="444"/>
      </w:pPr>
      <w:r>
        <w:rPr>
          <w:color w:val="221F1F"/>
        </w:rPr>
        <w:t>limit</w:t>
      </w:r>
      <w:r>
        <w:rPr>
          <w:color w:val="221F1F"/>
          <w:spacing w:val="-2"/>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substantial</w:t>
      </w:r>
      <w:r>
        <w:rPr>
          <w:color w:val="221F1F"/>
          <w:spacing w:val="-1"/>
        </w:rPr>
        <w:t xml:space="preserve"> </w:t>
      </w:r>
      <w:r>
        <w:rPr>
          <w:color w:val="221F1F"/>
        </w:rPr>
        <w:t>way,</w:t>
      </w:r>
      <w:r>
        <w:rPr>
          <w:color w:val="221F1F"/>
          <w:spacing w:val="-12"/>
        </w:rPr>
        <w:t xml:space="preserve"> </w:t>
      </w:r>
      <w:r>
        <w:rPr>
          <w:color w:val="221F1F"/>
        </w:rPr>
        <w:t>inconsistent</w:t>
      </w:r>
      <w:r>
        <w:rPr>
          <w:color w:val="221F1F"/>
          <w:spacing w:val="-2"/>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6"/>
        </w:rPr>
        <w:t xml:space="preserve"> </w:t>
      </w:r>
      <w:r>
        <w:rPr>
          <w:color w:val="221F1F"/>
        </w:rPr>
        <w:t>the</w:t>
      </w:r>
      <w:r>
        <w:rPr>
          <w:color w:val="221F1F"/>
          <w:spacing w:val="-3"/>
        </w:rPr>
        <w:t xml:space="preserve"> </w:t>
      </w:r>
      <w:r>
        <w:rPr>
          <w:color w:val="221F1F"/>
        </w:rPr>
        <w:t>Procuring</w:t>
      </w:r>
      <w:r>
        <w:rPr>
          <w:color w:val="221F1F"/>
          <w:spacing w:val="-6"/>
        </w:rPr>
        <w:t xml:space="preserve"> </w:t>
      </w:r>
      <w:r>
        <w:rPr>
          <w:color w:val="221F1F"/>
        </w:rPr>
        <w:t>Entity's</w:t>
      </w:r>
      <w:r>
        <w:rPr>
          <w:color w:val="221F1F"/>
          <w:spacing w:val="-3"/>
        </w:rPr>
        <w:t xml:space="preserve"> </w:t>
      </w:r>
      <w:r>
        <w:rPr>
          <w:color w:val="221F1F"/>
        </w:rPr>
        <w:t>rights</w:t>
      </w:r>
      <w:r>
        <w:rPr>
          <w:color w:val="221F1F"/>
          <w:spacing w:val="-3"/>
        </w:rPr>
        <w:t xml:space="preserve"> </w:t>
      </w:r>
      <w:r>
        <w:rPr>
          <w:color w:val="221F1F"/>
        </w:rPr>
        <w:t>or</w:t>
      </w:r>
      <w:r>
        <w:rPr>
          <w:color w:val="221F1F"/>
          <w:spacing w:val="-3"/>
        </w:rPr>
        <w:t xml:space="preserve"> </w:t>
      </w:r>
      <w:r>
        <w:rPr>
          <w:color w:val="221F1F"/>
        </w:rPr>
        <w:t>the tenderer's obligations under the proposed contract;</w:t>
      </w:r>
    </w:p>
    <w:p w:rsidR="007F6DF9" w:rsidRDefault="00A43FBC">
      <w:pPr>
        <w:pStyle w:val="ListParagraph"/>
        <w:numPr>
          <w:ilvl w:val="2"/>
          <w:numId w:val="203"/>
        </w:numPr>
        <w:tabs>
          <w:tab w:val="left" w:pos="1836"/>
          <w:tab w:val="left" w:pos="1848"/>
        </w:tabs>
        <w:spacing w:before="48" w:line="230" w:lineRule="auto"/>
        <w:ind w:left="1848" w:right="1271" w:hanging="444"/>
      </w:pPr>
      <w:r>
        <w:rPr>
          <w:color w:val="221F1F"/>
        </w:rPr>
        <w:t>if</w:t>
      </w:r>
      <w:r>
        <w:rPr>
          <w:color w:val="221F1F"/>
          <w:spacing w:val="-5"/>
        </w:rPr>
        <w:t xml:space="preserve"> </w:t>
      </w:r>
      <w:r>
        <w:rPr>
          <w:color w:val="221F1F"/>
        </w:rPr>
        <w:t>rectified,</w:t>
      </w:r>
      <w:r>
        <w:rPr>
          <w:color w:val="221F1F"/>
          <w:spacing w:val="-3"/>
        </w:rPr>
        <w:t xml:space="preserve"> </w:t>
      </w:r>
      <w:r>
        <w:rPr>
          <w:color w:val="221F1F"/>
        </w:rPr>
        <w:t>would</w:t>
      </w:r>
      <w:r>
        <w:rPr>
          <w:color w:val="221F1F"/>
          <w:spacing w:val="-3"/>
        </w:rPr>
        <w:t xml:space="preserve"> </w:t>
      </w:r>
      <w:r>
        <w:rPr>
          <w:color w:val="221F1F"/>
        </w:rPr>
        <w:t>unfairly</w:t>
      </w:r>
      <w:r>
        <w:rPr>
          <w:color w:val="221F1F"/>
          <w:spacing w:val="-6"/>
        </w:rPr>
        <w:t xml:space="preserve"> </w:t>
      </w:r>
      <w:r>
        <w:rPr>
          <w:color w:val="221F1F"/>
        </w:rPr>
        <w:t>affect</w:t>
      </w:r>
      <w:r>
        <w:rPr>
          <w:color w:val="221F1F"/>
          <w:spacing w:val="-5"/>
        </w:rPr>
        <w:t xml:space="preserve"> </w:t>
      </w:r>
      <w:r>
        <w:rPr>
          <w:color w:val="221F1F"/>
        </w:rPr>
        <w:t>the</w:t>
      </w:r>
      <w:r>
        <w:rPr>
          <w:color w:val="221F1F"/>
          <w:spacing w:val="-5"/>
        </w:rPr>
        <w:t xml:space="preserve"> </w:t>
      </w:r>
      <w:r>
        <w:rPr>
          <w:color w:val="221F1F"/>
        </w:rPr>
        <w:t>competitive</w:t>
      </w:r>
      <w:r>
        <w:rPr>
          <w:color w:val="221F1F"/>
          <w:spacing w:val="-3"/>
        </w:rPr>
        <w:t xml:space="preserve"> </w:t>
      </w:r>
      <w:r>
        <w:rPr>
          <w:color w:val="221F1F"/>
        </w:rPr>
        <w:t>position</w:t>
      </w:r>
      <w:r>
        <w:rPr>
          <w:color w:val="221F1F"/>
          <w:spacing w:val="-3"/>
        </w:rPr>
        <w:t xml:space="preserve"> </w:t>
      </w:r>
      <w:r>
        <w:rPr>
          <w:color w:val="221F1F"/>
        </w:rPr>
        <w:t>of</w:t>
      </w:r>
      <w:r>
        <w:rPr>
          <w:color w:val="221F1F"/>
          <w:spacing w:val="-3"/>
        </w:rPr>
        <w:t xml:space="preserve"> </w:t>
      </w:r>
      <w:r>
        <w:rPr>
          <w:color w:val="221F1F"/>
        </w:rPr>
        <w:t>other</w:t>
      </w:r>
      <w:r>
        <w:rPr>
          <w:color w:val="221F1F"/>
          <w:spacing w:val="-5"/>
        </w:rPr>
        <w:t xml:space="preserve"> </w:t>
      </w:r>
      <w:r>
        <w:rPr>
          <w:color w:val="221F1F"/>
        </w:rPr>
        <w:t>tenderers</w:t>
      </w:r>
      <w:r>
        <w:rPr>
          <w:color w:val="221F1F"/>
          <w:spacing w:val="-5"/>
        </w:rPr>
        <w:t xml:space="preserve"> </w:t>
      </w:r>
      <w:r>
        <w:rPr>
          <w:color w:val="221F1F"/>
        </w:rPr>
        <w:t>presenting</w:t>
      </w:r>
      <w:r>
        <w:rPr>
          <w:color w:val="221F1F"/>
          <w:spacing w:val="-3"/>
        </w:rPr>
        <w:t xml:space="preserve"> </w:t>
      </w:r>
      <w:r>
        <w:rPr>
          <w:color w:val="221F1F"/>
        </w:rPr>
        <w:t xml:space="preserve">substantially </w:t>
      </w:r>
      <w:proofErr w:type="spellStart"/>
      <w:r>
        <w:rPr>
          <w:color w:val="221F1F"/>
          <w:spacing w:val="-2"/>
        </w:rPr>
        <w:t>responsivetenders</w:t>
      </w:r>
      <w:proofErr w:type="spellEnd"/>
      <w:r>
        <w:rPr>
          <w:color w:val="221F1F"/>
          <w:spacing w:val="-2"/>
        </w:rPr>
        <w:t>.</w:t>
      </w:r>
    </w:p>
    <w:p w:rsidR="007F6DF9" w:rsidRDefault="00A43FBC">
      <w:pPr>
        <w:pStyle w:val="ListParagraph"/>
        <w:numPr>
          <w:ilvl w:val="1"/>
          <w:numId w:val="203"/>
        </w:numPr>
        <w:tabs>
          <w:tab w:val="left" w:pos="1407"/>
          <w:tab w:val="left" w:pos="1416"/>
        </w:tabs>
        <w:spacing w:before="244" w:line="230" w:lineRule="auto"/>
        <w:ind w:left="1416" w:right="831" w:hanging="577"/>
        <w:jc w:val="both"/>
      </w:pPr>
      <w:r>
        <w:rPr>
          <w:color w:val="221F1F"/>
        </w:rPr>
        <w:t>The Procuring Entity shall examine the technical aspects of the tender submitted in accordance with ITT 16, to confirm that all requirements of Section VII, Works' Requirements have been met without any material deviation, reservation or omission.</w:t>
      </w:r>
    </w:p>
    <w:p w:rsidR="007F6DF9" w:rsidRDefault="00A43FBC">
      <w:pPr>
        <w:pStyle w:val="ListParagraph"/>
        <w:numPr>
          <w:ilvl w:val="1"/>
          <w:numId w:val="203"/>
        </w:numPr>
        <w:tabs>
          <w:tab w:val="left" w:pos="1407"/>
          <w:tab w:val="left" w:pos="1416"/>
        </w:tabs>
        <w:spacing w:before="246" w:line="230" w:lineRule="auto"/>
        <w:ind w:left="1416" w:right="831" w:hanging="577"/>
        <w:jc w:val="both"/>
      </w:pPr>
      <w:r>
        <w:rPr>
          <w:color w:val="221F1F"/>
        </w:rPr>
        <w:t>If</w:t>
      </w:r>
      <w:r>
        <w:rPr>
          <w:color w:val="221F1F"/>
          <w:spacing w:val="-5"/>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not</w:t>
      </w:r>
      <w:r>
        <w:rPr>
          <w:color w:val="221F1F"/>
          <w:spacing w:val="-5"/>
        </w:rPr>
        <w:t xml:space="preserve"> </w:t>
      </w:r>
      <w:r>
        <w:rPr>
          <w:color w:val="221F1F"/>
        </w:rPr>
        <w:t>substantially</w:t>
      </w:r>
      <w:r>
        <w:rPr>
          <w:color w:val="221F1F"/>
          <w:spacing w:val="-5"/>
        </w:rPr>
        <w:t xml:space="preserve"> </w:t>
      </w:r>
      <w:r>
        <w:rPr>
          <w:color w:val="221F1F"/>
        </w:rPr>
        <w:t>responsive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requirements</w:t>
      </w:r>
      <w:r>
        <w:rPr>
          <w:color w:val="221F1F"/>
          <w:spacing w:val="-5"/>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document,</w:t>
      </w:r>
      <w:r>
        <w:rPr>
          <w:color w:val="221F1F"/>
          <w:spacing w:val="-8"/>
        </w:rPr>
        <w:t xml:space="preserve"> </w:t>
      </w:r>
      <w:r>
        <w:rPr>
          <w:color w:val="221F1F"/>
        </w:rPr>
        <w:t>it</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rejected</w:t>
      </w:r>
      <w:r>
        <w:rPr>
          <w:color w:val="221F1F"/>
          <w:spacing w:val="-5"/>
        </w:rPr>
        <w:t xml:space="preserve"> </w:t>
      </w:r>
      <w:r>
        <w:rPr>
          <w:color w:val="221F1F"/>
        </w:rPr>
        <w:t>by</w:t>
      </w:r>
      <w:r>
        <w:rPr>
          <w:color w:val="221F1F"/>
          <w:spacing w:val="-6"/>
        </w:rPr>
        <w:t xml:space="preserve"> </w:t>
      </w:r>
      <w:r>
        <w:rPr>
          <w:color w:val="221F1F"/>
        </w:rPr>
        <w:t>the Procuring Entity and may not subsequently be made responsive by correction of the material deviation, reservation, or omission.</w:t>
      </w:r>
    </w:p>
    <w:p w:rsidR="007F6DF9" w:rsidRDefault="00A43FBC">
      <w:pPr>
        <w:pStyle w:val="Heading9"/>
        <w:numPr>
          <w:ilvl w:val="1"/>
          <w:numId w:val="202"/>
        </w:numPr>
        <w:tabs>
          <w:tab w:val="left" w:pos="1409"/>
        </w:tabs>
        <w:spacing w:before="237"/>
        <w:ind w:hanging="569"/>
      </w:pPr>
      <w:bookmarkStart w:id="31" w:name="_bookmark30"/>
      <w:bookmarkEnd w:id="31"/>
      <w:r>
        <w:rPr>
          <w:color w:val="221F1F"/>
        </w:rPr>
        <w:t>Non-material</w:t>
      </w:r>
      <w:r>
        <w:rPr>
          <w:color w:val="221F1F"/>
          <w:spacing w:val="-13"/>
        </w:rPr>
        <w:t xml:space="preserve"> </w:t>
      </w:r>
      <w:r>
        <w:rPr>
          <w:color w:val="221F1F"/>
        </w:rPr>
        <w:t>Non-</w:t>
      </w:r>
      <w:r>
        <w:rPr>
          <w:color w:val="221F1F"/>
          <w:spacing w:val="-2"/>
        </w:rPr>
        <w:t>conformities</w:t>
      </w:r>
    </w:p>
    <w:p w:rsidR="007F6DF9" w:rsidRDefault="00A43FBC">
      <w:pPr>
        <w:pStyle w:val="ListParagraph"/>
        <w:numPr>
          <w:ilvl w:val="1"/>
          <w:numId w:val="202"/>
        </w:numPr>
        <w:tabs>
          <w:tab w:val="left" w:pos="1407"/>
          <w:tab w:val="left" w:pos="1416"/>
        </w:tabs>
        <w:spacing w:before="243" w:line="230" w:lineRule="auto"/>
        <w:ind w:left="1416" w:right="833" w:hanging="577"/>
        <w:jc w:val="both"/>
        <w:rPr>
          <w:i/>
        </w:rPr>
      </w:pPr>
      <w:r>
        <w:rPr>
          <w:color w:val="221F1F"/>
        </w:rPr>
        <w:t>Provided</w:t>
      </w:r>
      <w:r>
        <w:rPr>
          <w:color w:val="221F1F"/>
          <w:spacing w:val="-6"/>
        </w:rPr>
        <w:t xml:space="preserve"> </w:t>
      </w:r>
      <w:r>
        <w:rPr>
          <w:color w:val="221F1F"/>
        </w:rPr>
        <w:t>that</w:t>
      </w:r>
      <w:r>
        <w:rPr>
          <w:color w:val="221F1F"/>
          <w:spacing w:val="-2"/>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substantially</w:t>
      </w:r>
      <w:r>
        <w:rPr>
          <w:color w:val="221F1F"/>
          <w:spacing w:val="-5"/>
        </w:rPr>
        <w:t xml:space="preserve"> </w:t>
      </w:r>
      <w:r>
        <w:rPr>
          <w:color w:val="221F1F"/>
        </w:rPr>
        <w:t>responsive,</w:t>
      </w:r>
      <w:r>
        <w:rPr>
          <w:color w:val="221F1F"/>
          <w:spacing w:val="-5"/>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3"/>
        </w:rPr>
        <w:t xml:space="preserve"> </w:t>
      </w:r>
      <w:r>
        <w:rPr>
          <w:color w:val="221F1F"/>
        </w:rPr>
        <w:t>may</w:t>
      </w:r>
      <w:r>
        <w:rPr>
          <w:color w:val="221F1F"/>
          <w:spacing w:val="-3"/>
        </w:rPr>
        <w:t xml:space="preserve"> </w:t>
      </w:r>
      <w:r>
        <w:rPr>
          <w:color w:val="221F1F"/>
        </w:rPr>
        <w:t>waive</w:t>
      </w:r>
      <w:r>
        <w:rPr>
          <w:color w:val="221F1F"/>
          <w:spacing w:val="-3"/>
        </w:rPr>
        <w:t xml:space="preserve"> </w:t>
      </w:r>
      <w:r>
        <w:rPr>
          <w:color w:val="221F1F"/>
        </w:rPr>
        <w:t>any</w:t>
      </w:r>
      <w:r>
        <w:rPr>
          <w:color w:val="221F1F"/>
          <w:spacing w:val="-3"/>
        </w:rPr>
        <w:t xml:space="preserve"> </w:t>
      </w:r>
      <w:r>
        <w:rPr>
          <w:color w:val="221F1F"/>
        </w:rPr>
        <w:t>non-conformities</w:t>
      </w:r>
      <w:r>
        <w:rPr>
          <w:color w:val="221F1F"/>
          <w:spacing w:val="-5"/>
        </w:rPr>
        <w:t xml:space="preserve"> </w:t>
      </w:r>
      <w:r>
        <w:rPr>
          <w:color w:val="221F1F"/>
        </w:rPr>
        <w:t>in</w:t>
      </w:r>
      <w:r>
        <w:rPr>
          <w:color w:val="221F1F"/>
          <w:spacing w:val="-4"/>
        </w:rPr>
        <w:t xml:space="preserve"> </w:t>
      </w:r>
      <w:r>
        <w:rPr>
          <w:color w:val="221F1F"/>
        </w:rPr>
        <w:t xml:space="preserve">the </w:t>
      </w:r>
      <w:r>
        <w:rPr>
          <w:color w:val="221F1F"/>
          <w:spacing w:val="-2"/>
        </w:rPr>
        <w:t>tender</w:t>
      </w:r>
      <w:r>
        <w:rPr>
          <w:i/>
          <w:color w:val="221F1F"/>
          <w:spacing w:val="-2"/>
        </w:rPr>
        <w:t>.</w:t>
      </w:r>
    </w:p>
    <w:p w:rsidR="007F6DF9" w:rsidRDefault="00A43FBC">
      <w:pPr>
        <w:pStyle w:val="ListParagraph"/>
        <w:numPr>
          <w:ilvl w:val="1"/>
          <w:numId w:val="202"/>
        </w:numPr>
        <w:tabs>
          <w:tab w:val="left" w:pos="1407"/>
          <w:tab w:val="left" w:pos="1416"/>
        </w:tabs>
        <w:spacing w:before="244" w:line="230" w:lineRule="auto"/>
        <w:ind w:left="1416" w:right="831" w:hanging="577"/>
        <w:jc w:val="both"/>
      </w:pPr>
      <w:r>
        <w:rPr>
          <w:color w:val="221F1F"/>
        </w:rPr>
        <w:t>Provided that a Tender is substantially responsive, the Procuring Entity may request that the tenderer submit the necessary information or documentation, within a reasonable period of time, to rectify non-material non-conformities in the tender related to documentation requirements. Requesting information or documentation on</w:t>
      </w:r>
      <w:r>
        <w:rPr>
          <w:color w:val="221F1F"/>
          <w:spacing w:val="-4"/>
        </w:rPr>
        <w:t xml:space="preserve"> </w:t>
      </w:r>
      <w:r>
        <w:rPr>
          <w:color w:val="221F1F"/>
        </w:rPr>
        <w:t>such</w:t>
      </w:r>
      <w:r>
        <w:rPr>
          <w:color w:val="221F1F"/>
          <w:spacing w:val="-4"/>
        </w:rPr>
        <w:t xml:space="preserve"> </w:t>
      </w:r>
      <w:r>
        <w:rPr>
          <w:color w:val="221F1F"/>
        </w:rPr>
        <w:t>non-conformities</w:t>
      </w:r>
      <w:r>
        <w:rPr>
          <w:color w:val="221F1F"/>
          <w:spacing w:val="-3"/>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be</w:t>
      </w:r>
      <w:r>
        <w:rPr>
          <w:color w:val="221F1F"/>
          <w:spacing w:val="-3"/>
        </w:rPr>
        <w:t xml:space="preserve"> </w:t>
      </w:r>
      <w:r>
        <w:rPr>
          <w:color w:val="221F1F"/>
        </w:rPr>
        <w:t>related</w:t>
      </w:r>
      <w:r>
        <w:rPr>
          <w:color w:val="221F1F"/>
          <w:spacing w:val="-6"/>
        </w:rPr>
        <w:t xml:space="preserve"> </w:t>
      </w:r>
      <w:r>
        <w:rPr>
          <w:color w:val="221F1F"/>
        </w:rPr>
        <w:t>to</w:t>
      </w:r>
      <w:r>
        <w:rPr>
          <w:color w:val="221F1F"/>
          <w:spacing w:val="-4"/>
        </w:rPr>
        <w:t xml:space="preserve"> </w:t>
      </w:r>
      <w:r>
        <w:rPr>
          <w:color w:val="221F1F"/>
        </w:rPr>
        <w:t>any</w:t>
      </w:r>
      <w:r>
        <w:rPr>
          <w:color w:val="221F1F"/>
          <w:spacing w:val="-3"/>
        </w:rPr>
        <w:t xml:space="preserve"> </w:t>
      </w:r>
      <w:r>
        <w:rPr>
          <w:color w:val="221F1F"/>
        </w:rPr>
        <w:t>aspect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price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r>
        <w:rPr>
          <w:color w:val="221F1F"/>
          <w:spacing w:val="-4"/>
        </w:rPr>
        <w:t xml:space="preserve"> </w:t>
      </w:r>
      <w:r>
        <w:rPr>
          <w:color w:val="221F1F"/>
        </w:rPr>
        <w:t>Failure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tenderer</w:t>
      </w:r>
      <w:r>
        <w:rPr>
          <w:color w:val="221F1F"/>
          <w:spacing w:val="-5"/>
        </w:rPr>
        <w:t xml:space="preserve"> </w:t>
      </w:r>
      <w:r>
        <w:rPr>
          <w:color w:val="221F1F"/>
        </w:rPr>
        <w:t>to comply with the request may result in the rejection of its tender.</w:t>
      </w:r>
    </w:p>
    <w:p w:rsidR="007F6DF9" w:rsidRDefault="00A43FBC">
      <w:pPr>
        <w:pStyle w:val="ListParagraph"/>
        <w:numPr>
          <w:ilvl w:val="1"/>
          <w:numId w:val="202"/>
        </w:numPr>
        <w:tabs>
          <w:tab w:val="left" w:pos="1407"/>
          <w:tab w:val="left" w:pos="1411"/>
        </w:tabs>
        <w:spacing w:before="245" w:line="230" w:lineRule="auto"/>
        <w:ind w:left="1411" w:right="834" w:hanging="572"/>
        <w:jc w:val="both"/>
        <w:rPr>
          <w:b/>
        </w:rPr>
      </w:pPr>
      <w:r>
        <w:rPr>
          <w:color w:val="221F1F"/>
        </w:rPr>
        <w:t>Provided that a tender is substantially responsive, the Procuring Entity shall rectify quantifiable non-material non-conformities</w:t>
      </w:r>
      <w:r>
        <w:rPr>
          <w:color w:val="221F1F"/>
          <w:spacing w:val="-10"/>
        </w:rPr>
        <w:t xml:space="preserve"> </w:t>
      </w:r>
      <w:r>
        <w:rPr>
          <w:color w:val="221F1F"/>
        </w:rPr>
        <w:t>related</w:t>
      </w:r>
      <w:r>
        <w:rPr>
          <w:color w:val="221F1F"/>
          <w:spacing w:val="-6"/>
        </w:rPr>
        <w:t xml:space="preserve"> </w:t>
      </w:r>
      <w:r>
        <w:rPr>
          <w:color w:val="221F1F"/>
        </w:rPr>
        <w:t>to</w:t>
      </w:r>
      <w:r>
        <w:rPr>
          <w:color w:val="221F1F"/>
          <w:spacing w:val="-7"/>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Price.</w:t>
      </w:r>
      <w:r>
        <w:rPr>
          <w:color w:val="221F1F"/>
          <w:spacing w:val="-4"/>
        </w:rPr>
        <w:t xml:space="preserve"> </w:t>
      </w:r>
      <w:r>
        <w:rPr>
          <w:color w:val="221F1F"/>
        </w:rPr>
        <w:t>To</w:t>
      </w:r>
      <w:r>
        <w:rPr>
          <w:color w:val="221F1F"/>
          <w:spacing w:val="-14"/>
        </w:rPr>
        <w:t xml:space="preserve"> </w:t>
      </w:r>
      <w:r>
        <w:rPr>
          <w:color w:val="221F1F"/>
        </w:rPr>
        <w:t>this</w:t>
      </w:r>
      <w:r>
        <w:rPr>
          <w:color w:val="221F1F"/>
          <w:spacing w:val="-4"/>
        </w:rPr>
        <w:t xml:space="preserve"> </w:t>
      </w:r>
      <w:r>
        <w:rPr>
          <w:color w:val="221F1F"/>
        </w:rPr>
        <w:t>effect,</w:t>
      </w:r>
      <w:r>
        <w:rPr>
          <w:color w:val="221F1F"/>
          <w:spacing w:val="-7"/>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Price</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adjusted,</w:t>
      </w:r>
      <w:r>
        <w:rPr>
          <w:color w:val="221F1F"/>
          <w:spacing w:val="-4"/>
        </w:rPr>
        <w:t xml:space="preserve"> </w:t>
      </w:r>
      <w:r>
        <w:rPr>
          <w:color w:val="221F1F"/>
        </w:rPr>
        <w:t>for</w:t>
      </w:r>
      <w:r>
        <w:rPr>
          <w:color w:val="221F1F"/>
          <w:spacing w:val="-4"/>
        </w:rPr>
        <w:t xml:space="preserve"> </w:t>
      </w:r>
      <w:r>
        <w:rPr>
          <w:color w:val="221F1F"/>
        </w:rPr>
        <w:t>comparison purposes only,</w:t>
      </w:r>
      <w:r>
        <w:rPr>
          <w:color w:val="221F1F"/>
          <w:spacing w:val="-6"/>
        </w:rPr>
        <w:t xml:space="preserve"> </w:t>
      </w:r>
      <w:r>
        <w:rPr>
          <w:color w:val="221F1F"/>
        </w:rPr>
        <w:t>to</w:t>
      </w:r>
      <w:r>
        <w:rPr>
          <w:color w:val="221F1F"/>
          <w:spacing w:val="-1"/>
        </w:rPr>
        <w:t xml:space="preserve"> </w:t>
      </w:r>
      <w:r>
        <w:rPr>
          <w:color w:val="221F1F"/>
        </w:rPr>
        <w:t>reflect the price of a missing or non-conforming item or component in</w:t>
      </w:r>
      <w:r>
        <w:rPr>
          <w:color w:val="221F1F"/>
          <w:spacing w:val="-1"/>
        </w:rPr>
        <w:t xml:space="preserve"> </w:t>
      </w:r>
      <w:r>
        <w:rPr>
          <w:color w:val="221F1F"/>
        </w:rPr>
        <w:t xml:space="preserve">the manner specified </w:t>
      </w:r>
      <w:r>
        <w:rPr>
          <w:b/>
          <w:color w:val="221F1F"/>
        </w:rPr>
        <w:t>in the TDS.</w:t>
      </w:r>
    </w:p>
    <w:p w:rsidR="007F6DF9" w:rsidRDefault="007F6DF9">
      <w:pPr>
        <w:pStyle w:val="BodyText"/>
        <w:spacing w:before="245"/>
        <w:rPr>
          <w:b/>
        </w:rPr>
      </w:pPr>
    </w:p>
    <w:p w:rsidR="007F6DF9" w:rsidRDefault="00A43FBC">
      <w:pPr>
        <w:pStyle w:val="Heading9"/>
        <w:numPr>
          <w:ilvl w:val="1"/>
          <w:numId w:val="201"/>
        </w:numPr>
        <w:tabs>
          <w:tab w:val="left" w:pos="1406"/>
        </w:tabs>
        <w:ind w:left="1406" w:hanging="566"/>
        <w:rPr>
          <w:sz w:val="26"/>
        </w:rPr>
      </w:pPr>
      <w:bookmarkStart w:id="32" w:name="_bookmark31"/>
      <w:bookmarkEnd w:id="32"/>
      <w:r>
        <w:rPr>
          <w:color w:val="221F1F"/>
        </w:rPr>
        <w:t>Arithmetical</w:t>
      </w:r>
      <w:r>
        <w:rPr>
          <w:color w:val="221F1F"/>
          <w:spacing w:val="-8"/>
        </w:rPr>
        <w:t xml:space="preserve"> </w:t>
      </w:r>
      <w:r>
        <w:rPr>
          <w:color w:val="221F1F"/>
          <w:spacing w:val="-2"/>
        </w:rPr>
        <w:t>Errors</w:t>
      </w:r>
    </w:p>
    <w:p w:rsidR="007F6DF9" w:rsidRDefault="00A43FBC">
      <w:pPr>
        <w:pStyle w:val="ListParagraph"/>
        <w:numPr>
          <w:ilvl w:val="1"/>
          <w:numId w:val="201"/>
        </w:numPr>
        <w:tabs>
          <w:tab w:val="left" w:pos="1415"/>
          <w:tab w:val="left" w:pos="1426"/>
        </w:tabs>
        <w:spacing w:before="121" w:line="230" w:lineRule="auto"/>
        <w:ind w:left="1426" w:right="844" w:hanging="577"/>
        <w:jc w:val="both"/>
        <w:rPr>
          <w:b/>
          <w:color w:val="221F1F"/>
        </w:rPr>
      </w:pPr>
      <w:r>
        <w:rPr>
          <w:color w:val="221F1F"/>
        </w:rPr>
        <w:t>The tender sum as submitted and read out during the tender opening shall be absolute and final and shall not be the subject of correction, adjustment or amendment in any way by any person or entity.</w:t>
      </w:r>
    </w:p>
    <w:p w:rsidR="007F6DF9" w:rsidRDefault="007F6DF9">
      <w:pPr>
        <w:pStyle w:val="BodyText"/>
        <w:spacing w:before="41"/>
      </w:pPr>
    </w:p>
    <w:p w:rsidR="007F6DF9" w:rsidRDefault="00A43FBC">
      <w:pPr>
        <w:pStyle w:val="ListParagraph"/>
        <w:numPr>
          <w:ilvl w:val="1"/>
          <w:numId w:val="201"/>
        </w:numPr>
        <w:tabs>
          <w:tab w:val="left" w:pos="1415"/>
          <w:tab w:val="left" w:pos="1426"/>
        </w:tabs>
        <w:spacing w:line="230" w:lineRule="auto"/>
        <w:ind w:left="1426" w:right="850" w:hanging="577"/>
        <w:jc w:val="both"/>
        <w:rPr>
          <w:b/>
          <w:color w:val="221F1F"/>
        </w:rPr>
      </w:pPr>
      <w:r>
        <w:rPr>
          <w:color w:val="221F1F"/>
        </w:rPr>
        <w:t>Provided</w:t>
      </w:r>
      <w:r>
        <w:rPr>
          <w:color w:val="221F1F"/>
          <w:spacing w:val="-2"/>
        </w:rPr>
        <w:t xml:space="preserve"> </w:t>
      </w:r>
      <w:r>
        <w:rPr>
          <w:color w:val="221F1F"/>
        </w:rPr>
        <w:t>that the Tender</w:t>
      </w:r>
      <w:r>
        <w:rPr>
          <w:color w:val="221F1F"/>
          <w:spacing w:val="-6"/>
        </w:rPr>
        <w:t xml:space="preserve"> </w:t>
      </w:r>
      <w:r>
        <w:rPr>
          <w:color w:val="221F1F"/>
        </w:rPr>
        <w:t>is</w:t>
      </w:r>
      <w:r>
        <w:rPr>
          <w:color w:val="221F1F"/>
          <w:spacing w:val="-2"/>
        </w:rPr>
        <w:t xml:space="preserve"> </w:t>
      </w:r>
      <w:r>
        <w:rPr>
          <w:color w:val="221F1F"/>
        </w:rPr>
        <w:t>substantially responsive, the Procuring Entity shall handle</w:t>
      </w:r>
      <w:r>
        <w:rPr>
          <w:color w:val="221F1F"/>
          <w:spacing w:val="-2"/>
        </w:rPr>
        <w:t xml:space="preserve"> </w:t>
      </w:r>
      <w:r>
        <w:rPr>
          <w:color w:val="221F1F"/>
        </w:rPr>
        <w:t>errors</w:t>
      </w:r>
      <w:r>
        <w:rPr>
          <w:color w:val="221F1F"/>
          <w:spacing w:val="-2"/>
        </w:rPr>
        <w:t xml:space="preserve"> </w:t>
      </w:r>
      <w:r>
        <w:rPr>
          <w:color w:val="221F1F"/>
        </w:rPr>
        <w:t>on</w:t>
      </w:r>
      <w:r>
        <w:rPr>
          <w:color w:val="221F1F"/>
          <w:spacing w:val="-2"/>
        </w:rPr>
        <w:t xml:space="preserve"> </w:t>
      </w:r>
      <w:r>
        <w:rPr>
          <w:color w:val="221F1F"/>
        </w:rPr>
        <w:t>the</w:t>
      </w:r>
      <w:r>
        <w:rPr>
          <w:color w:val="221F1F"/>
          <w:spacing w:val="-2"/>
        </w:rPr>
        <w:t xml:space="preserve"> </w:t>
      </w:r>
      <w:r>
        <w:rPr>
          <w:color w:val="221F1F"/>
        </w:rPr>
        <w:t>following basis: -</w:t>
      </w:r>
    </w:p>
    <w:p w:rsidR="007F6DF9" w:rsidRDefault="00A43FBC">
      <w:pPr>
        <w:pStyle w:val="ListParagraph"/>
        <w:numPr>
          <w:ilvl w:val="2"/>
          <w:numId w:val="201"/>
        </w:numPr>
        <w:tabs>
          <w:tab w:val="left" w:pos="1829"/>
        </w:tabs>
        <w:spacing w:line="230" w:lineRule="auto"/>
        <w:ind w:right="854"/>
        <w:jc w:val="both"/>
      </w:pPr>
      <w:r>
        <w:rPr>
          <w:color w:val="221F1F"/>
        </w:rPr>
        <w:t xml:space="preserve">Any error detected if considered a major deviation that affects the substance of the tender, shall lead to </w:t>
      </w:r>
      <w:proofErr w:type="spellStart"/>
      <w:r>
        <w:rPr>
          <w:color w:val="221F1F"/>
          <w:spacing w:val="-2"/>
        </w:rPr>
        <w:t>disqualificationofthetenderasnon</w:t>
      </w:r>
      <w:proofErr w:type="spellEnd"/>
      <w:r>
        <w:rPr>
          <w:color w:val="221F1F"/>
          <w:spacing w:val="-2"/>
        </w:rPr>
        <w:t>-responsive.</w:t>
      </w:r>
    </w:p>
    <w:p w:rsidR="007F6DF9" w:rsidRDefault="00A43FBC">
      <w:pPr>
        <w:pStyle w:val="ListParagraph"/>
        <w:numPr>
          <w:ilvl w:val="2"/>
          <w:numId w:val="201"/>
        </w:numPr>
        <w:tabs>
          <w:tab w:val="left" w:pos="1829"/>
        </w:tabs>
        <w:spacing w:line="230" w:lineRule="auto"/>
        <w:ind w:right="843"/>
        <w:jc w:val="both"/>
      </w:pPr>
      <w:r>
        <w:rPr>
          <w:color w:val="221F1F"/>
        </w:rPr>
        <w:t>Any</w:t>
      </w:r>
      <w:r>
        <w:rPr>
          <w:color w:val="221F1F"/>
          <w:spacing w:val="-2"/>
        </w:rPr>
        <w:t xml:space="preserve"> </w:t>
      </w:r>
      <w:r>
        <w:rPr>
          <w:color w:val="221F1F"/>
        </w:rPr>
        <w:t>errors</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submitted</w:t>
      </w:r>
      <w:r>
        <w:rPr>
          <w:color w:val="221F1F"/>
          <w:spacing w:val="-3"/>
        </w:rPr>
        <w:t xml:space="preserve"> </w:t>
      </w:r>
      <w:r>
        <w:rPr>
          <w:color w:val="221F1F"/>
        </w:rPr>
        <w:t>tender</w:t>
      </w:r>
      <w:r>
        <w:rPr>
          <w:color w:val="221F1F"/>
          <w:spacing w:val="-3"/>
        </w:rPr>
        <w:t xml:space="preserve"> </w:t>
      </w:r>
      <w:r>
        <w:rPr>
          <w:color w:val="221F1F"/>
        </w:rPr>
        <w:t>arising</w:t>
      </w:r>
      <w:r>
        <w:rPr>
          <w:color w:val="221F1F"/>
          <w:spacing w:val="-4"/>
        </w:rPr>
        <w:t xml:space="preserve"> </w:t>
      </w:r>
      <w:r>
        <w:rPr>
          <w:color w:val="221F1F"/>
        </w:rPr>
        <w:t>from</w:t>
      </w:r>
      <w:r>
        <w:rPr>
          <w:color w:val="221F1F"/>
          <w:spacing w:val="-1"/>
        </w:rPr>
        <w:t xml:space="preserve"> </w:t>
      </w:r>
      <w:r>
        <w:rPr>
          <w:color w:val="221F1F"/>
        </w:rPr>
        <w:t>a</w:t>
      </w:r>
      <w:r>
        <w:rPr>
          <w:color w:val="221F1F"/>
          <w:spacing w:val="-4"/>
        </w:rPr>
        <w:t xml:space="preserve"> </w:t>
      </w:r>
      <w:r>
        <w:rPr>
          <w:color w:val="221F1F"/>
        </w:rPr>
        <w:t>miscalculation</w:t>
      </w:r>
      <w:r>
        <w:rPr>
          <w:color w:val="221F1F"/>
          <w:spacing w:val="-1"/>
        </w:rPr>
        <w:t xml:space="preserve"> </w:t>
      </w:r>
      <w:r>
        <w:rPr>
          <w:color w:val="221F1F"/>
        </w:rPr>
        <w:t>of</w:t>
      </w:r>
      <w:r>
        <w:rPr>
          <w:color w:val="221F1F"/>
          <w:spacing w:val="-4"/>
        </w:rPr>
        <w:t xml:space="preserve"> </w:t>
      </w:r>
      <w:r>
        <w:rPr>
          <w:color w:val="221F1F"/>
        </w:rPr>
        <w:t>unit</w:t>
      </w:r>
      <w:r>
        <w:rPr>
          <w:color w:val="221F1F"/>
          <w:spacing w:val="-1"/>
        </w:rPr>
        <w:t xml:space="preserve"> </w:t>
      </w:r>
      <w:r>
        <w:rPr>
          <w:color w:val="221F1F"/>
        </w:rPr>
        <w:t>price,</w:t>
      </w:r>
      <w:r>
        <w:rPr>
          <w:color w:val="221F1F"/>
          <w:spacing w:val="-2"/>
        </w:rPr>
        <w:t xml:space="preserve"> </w:t>
      </w:r>
      <w:r>
        <w:rPr>
          <w:color w:val="221F1F"/>
        </w:rPr>
        <w:t>quantity,</w:t>
      </w:r>
      <w:r>
        <w:rPr>
          <w:color w:val="221F1F"/>
          <w:spacing w:val="-4"/>
        </w:rPr>
        <w:t xml:space="preserve"> </w:t>
      </w:r>
      <w:r>
        <w:rPr>
          <w:color w:val="221F1F"/>
        </w:rPr>
        <w:t>subtotal</w:t>
      </w:r>
      <w:r>
        <w:rPr>
          <w:color w:val="221F1F"/>
          <w:spacing w:val="-1"/>
        </w:rPr>
        <w:t xml:space="preserve"> </w:t>
      </w:r>
      <w:r>
        <w:rPr>
          <w:color w:val="221F1F"/>
        </w:rPr>
        <w:t>and</w:t>
      </w:r>
      <w:r>
        <w:rPr>
          <w:color w:val="221F1F"/>
          <w:spacing w:val="-2"/>
        </w:rPr>
        <w:t xml:space="preserve"> </w:t>
      </w:r>
      <w:r>
        <w:rPr>
          <w:color w:val="221F1F"/>
        </w:rPr>
        <w:t xml:space="preserve">total </w:t>
      </w:r>
      <w:proofErr w:type="spellStart"/>
      <w:r>
        <w:rPr>
          <w:color w:val="221F1F"/>
        </w:rPr>
        <w:t>bidpriceshallbe</w:t>
      </w:r>
      <w:proofErr w:type="spellEnd"/>
      <w:r>
        <w:rPr>
          <w:color w:val="221F1F"/>
        </w:rPr>
        <w:t xml:space="preserve"> considered as a major deviation that affects the substance of the tender and shall lead to disqualification of the tender as non-responsive. and</w:t>
      </w:r>
    </w:p>
    <w:p w:rsidR="007F6DF9" w:rsidRDefault="00A43FBC">
      <w:pPr>
        <w:pStyle w:val="ListParagraph"/>
        <w:numPr>
          <w:ilvl w:val="2"/>
          <w:numId w:val="201"/>
        </w:numPr>
        <w:tabs>
          <w:tab w:val="left" w:pos="1828"/>
        </w:tabs>
        <w:spacing w:line="251" w:lineRule="exact"/>
        <w:ind w:left="1828" w:hanging="419"/>
        <w:jc w:val="both"/>
      </w:pPr>
      <w:r>
        <w:rPr>
          <w:color w:val="221F1F"/>
        </w:rPr>
        <w:t>if</w:t>
      </w:r>
      <w:r>
        <w:rPr>
          <w:color w:val="221F1F"/>
          <w:spacing w:val="-6"/>
        </w:rPr>
        <w:t xml:space="preserve"> </w:t>
      </w:r>
      <w:r>
        <w:rPr>
          <w:color w:val="221F1F"/>
        </w:rPr>
        <w:t>there</w:t>
      </w:r>
      <w:r>
        <w:rPr>
          <w:color w:val="221F1F"/>
          <w:spacing w:val="-4"/>
        </w:rPr>
        <w:t xml:space="preserve"> </w:t>
      </w:r>
      <w:r>
        <w:rPr>
          <w:color w:val="221F1F"/>
        </w:rPr>
        <w:t>is</w:t>
      </w:r>
      <w:r>
        <w:rPr>
          <w:color w:val="221F1F"/>
          <w:spacing w:val="-3"/>
        </w:rPr>
        <w:t xml:space="preserve"> </w:t>
      </w:r>
      <w:r>
        <w:rPr>
          <w:color w:val="221F1F"/>
        </w:rPr>
        <w:t>a</w:t>
      </w:r>
      <w:r>
        <w:rPr>
          <w:color w:val="221F1F"/>
          <w:spacing w:val="-4"/>
        </w:rPr>
        <w:t xml:space="preserve"> </w:t>
      </w:r>
      <w:r>
        <w:rPr>
          <w:color w:val="221F1F"/>
        </w:rPr>
        <w:t>discrepancy</w:t>
      </w:r>
      <w:r>
        <w:rPr>
          <w:color w:val="221F1F"/>
          <w:spacing w:val="-3"/>
        </w:rPr>
        <w:t xml:space="preserve"> </w:t>
      </w:r>
      <w:r>
        <w:rPr>
          <w:color w:val="221F1F"/>
        </w:rPr>
        <w:t>between</w:t>
      </w:r>
      <w:r>
        <w:rPr>
          <w:color w:val="221F1F"/>
          <w:spacing w:val="-3"/>
        </w:rPr>
        <w:t xml:space="preserve"> </w:t>
      </w:r>
      <w:r>
        <w:rPr>
          <w:color w:val="221F1F"/>
        </w:rPr>
        <w:t>words</w:t>
      </w:r>
      <w:r>
        <w:rPr>
          <w:color w:val="221F1F"/>
          <w:spacing w:val="-4"/>
        </w:rPr>
        <w:t xml:space="preserve"> </w:t>
      </w:r>
      <w:r>
        <w:rPr>
          <w:color w:val="221F1F"/>
        </w:rPr>
        <w:t>and</w:t>
      </w:r>
      <w:r>
        <w:rPr>
          <w:color w:val="221F1F"/>
          <w:spacing w:val="-4"/>
        </w:rPr>
        <w:t xml:space="preserve"> </w:t>
      </w:r>
      <w:r>
        <w:rPr>
          <w:color w:val="221F1F"/>
        </w:rPr>
        <w:t>figures,</w:t>
      </w:r>
      <w:r>
        <w:rPr>
          <w:color w:val="221F1F"/>
          <w:spacing w:val="-5"/>
        </w:rPr>
        <w:t xml:space="preserve"> </w:t>
      </w:r>
      <w:r>
        <w:rPr>
          <w:color w:val="221F1F"/>
        </w:rPr>
        <w:t>the</w:t>
      </w:r>
      <w:r>
        <w:rPr>
          <w:color w:val="221F1F"/>
          <w:spacing w:val="-4"/>
        </w:rPr>
        <w:t xml:space="preserve"> </w:t>
      </w:r>
      <w:r>
        <w:rPr>
          <w:color w:val="221F1F"/>
        </w:rPr>
        <w:t>amount</w:t>
      </w:r>
      <w:r>
        <w:rPr>
          <w:color w:val="221F1F"/>
          <w:spacing w:val="-5"/>
        </w:rPr>
        <w:t xml:space="preserve"> </w:t>
      </w:r>
      <w:r>
        <w:rPr>
          <w:color w:val="221F1F"/>
        </w:rPr>
        <w:t>in</w:t>
      </w:r>
      <w:r>
        <w:rPr>
          <w:color w:val="221F1F"/>
          <w:spacing w:val="-3"/>
        </w:rPr>
        <w:t xml:space="preserve"> </w:t>
      </w:r>
      <w:r>
        <w:rPr>
          <w:color w:val="221F1F"/>
        </w:rPr>
        <w:t>words</w:t>
      </w:r>
      <w:r>
        <w:rPr>
          <w:color w:val="221F1F"/>
          <w:spacing w:val="-6"/>
        </w:rPr>
        <w:t xml:space="preserve"> </w:t>
      </w:r>
      <w:r>
        <w:rPr>
          <w:color w:val="221F1F"/>
        </w:rPr>
        <w:t>shall</w:t>
      </w:r>
      <w:r>
        <w:rPr>
          <w:color w:val="221F1F"/>
          <w:spacing w:val="-3"/>
        </w:rPr>
        <w:t xml:space="preserve"> </w:t>
      </w:r>
      <w:r>
        <w:rPr>
          <w:color w:val="221F1F"/>
          <w:spacing w:val="-2"/>
        </w:rPr>
        <w:t>prevail</w:t>
      </w:r>
    </w:p>
    <w:p w:rsidR="007F6DF9" w:rsidRDefault="00A43FBC">
      <w:pPr>
        <w:pStyle w:val="ListParagraph"/>
        <w:numPr>
          <w:ilvl w:val="1"/>
          <w:numId w:val="201"/>
        </w:numPr>
        <w:tabs>
          <w:tab w:val="left" w:pos="1389"/>
        </w:tabs>
        <w:spacing w:before="236"/>
        <w:ind w:left="1389" w:hanging="540"/>
        <w:rPr>
          <w:b/>
          <w:color w:val="221F1F"/>
        </w:rPr>
      </w:pPr>
      <w:r>
        <w:rPr>
          <w:color w:val="221F1F"/>
        </w:rPr>
        <w:t>Tenderers</w:t>
      </w:r>
      <w:r>
        <w:rPr>
          <w:color w:val="221F1F"/>
          <w:spacing w:val="-4"/>
        </w:rPr>
        <w:t xml:space="preserve"> </w:t>
      </w:r>
      <w:r>
        <w:rPr>
          <w:color w:val="221F1F"/>
        </w:rPr>
        <w:t>shall</w:t>
      </w:r>
      <w:r>
        <w:rPr>
          <w:color w:val="221F1F"/>
          <w:spacing w:val="-5"/>
        </w:rPr>
        <w:t xml:space="preserve"> </w:t>
      </w:r>
      <w:r>
        <w:rPr>
          <w:color w:val="221F1F"/>
        </w:rPr>
        <w:t>be</w:t>
      </w:r>
      <w:r>
        <w:rPr>
          <w:color w:val="221F1F"/>
          <w:spacing w:val="-4"/>
        </w:rPr>
        <w:t xml:space="preserve"> </w:t>
      </w:r>
      <w:r>
        <w:rPr>
          <w:color w:val="221F1F"/>
        </w:rPr>
        <w:t>notified</w:t>
      </w:r>
      <w:r>
        <w:rPr>
          <w:color w:val="221F1F"/>
          <w:spacing w:val="-6"/>
        </w:rPr>
        <w:t xml:space="preserve"> </w:t>
      </w:r>
      <w:r>
        <w:rPr>
          <w:color w:val="221F1F"/>
        </w:rPr>
        <w:t>of</w:t>
      </w:r>
      <w:r>
        <w:rPr>
          <w:color w:val="221F1F"/>
          <w:spacing w:val="-3"/>
        </w:rPr>
        <w:t xml:space="preserve"> </w:t>
      </w:r>
      <w:r>
        <w:rPr>
          <w:color w:val="221F1F"/>
        </w:rPr>
        <w:t>any</w:t>
      </w:r>
      <w:r>
        <w:rPr>
          <w:color w:val="221F1F"/>
          <w:spacing w:val="-6"/>
        </w:rPr>
        <w:t xml:space="preserve"> </w:t>
      </w:r>
      <w:r>
        <w:rPr>
          <w:color w:val="221F1F"/>
        </w:rPr>
        <w:t>error</w:t>
      </w:r>
      <w:r>
        <w:rPr>
          <w:color w:val="221F1F"/>
          <w:spacing w:val="-6"/>
        </w:rPr>
        <w:t xml:space="preserve"> </w:t>
      </w:r>
      <w:r>
        <w:rPr>
          <w:color w:val="221F1F"/>
        </w:rPr>
        <w:t>detected</w:t>
      </w:r>
      <w:r>
        <w:rPr>
          <w:color w:val="221F1F"/>
          <w:spacing w:val="-5"/>
        </w:rPr>
        <w:t xml:space="preserve"> </w:t>
      </w:r>
      <w:r>
        <w:rPr>
          <w:color w:val="221F1F"/>
        </w:rPr>
        <w:t>in</w:t>
      </w:r>
      <w:r>
        <w:rPr>
          <w:color w:val="221F1F"/>
          <w:spacing w:val="-4"/>
        </w:rPr>
        <w:t xml:space="preserve"> </w:t>
      </w:r>
      <w:r>
        <w:rPr>
          <w:color w:val="221F1F"/>
        </w:rPr>
        <w:t>their</w:t>
      </w:r>
      <w:r>
        <w:rPr>
          <w:color w:val="221F1F"/>
          <w:spacing w:val="-3"/>
        </w:rPr>
        <w:t xml:space="preserve"> </w:t>
      </w:r>
      <w:r>
        <w:rPr>
          <w:color w:val="221F1F"/>
        </w:rPr>
        <w:t>bid</w:t>
      </w:r>
      <w:r>
        <w:rPr>
          <w:color w:val="221F1F"/>
          <w:spacing w:val="-7"/>
        </w:rPr>
        <w:t xml:space="preserve"> </w:t>
      </w:r>
      <w:r>
        <w:rPr>
          <w:color w:val="221F1F"/>
        </w:rPr>
        <w:t>during</w:t>
      </w:r>
      <w:r>
        <w:rPr>
          <w:color w:val="221F1F"/>
          <w:spacing w:val="-7"/>
        </w:rPr>
        <w:t xml:space="preserve"> </w:t>
      </w:r>
      <w:r>
        <w:rPr>
          <w:color w:val="221F1F"/>
        </w:rPr>
        <w:t>the</w:t>
      </w:r>
      <w:r>
        <w:rPr>
          <w:color w:val="221F1F"/>
          <w:spacing w:val="-4"/>
        </w:rPr>
        <w:t xml:space="preserve"> </w:t>
      </w:r>
      <w:r>
        <w:rPr>
          <w:color w:val="221F1F"/>
        </w:rPr>
        <w:t>notification</w:t>
      </w:r>
      <w:r>
        <w:rPr>
          <w:color w:val="221F1F"/>
          <w:spacing w:val="-6"/>
        </w:rPr>
        <w:t xml:space="preserve"> </w:t>
      </w:r>
      <w:r>
        <w:rPr>
          <w:color w:val="221F1F"/>
        </w:rPr>
        <w:t>of</w:t>
      </w:r>
      <w:r>
        <w:rPr>
          <w:color w:val="221F1F"/>
          <w:spacing w:val="-3"/>
        </w:rPr>
        <w:t xml:space="preserve"> </w:t>
      </w:r>
      <w:r>
        <w:rPr>
          <w:color w:val="221F1F"/>
          <w:spacing w:val="-2"/>
        </w:rPr>
        <w:t>award.</w:t>
      </w:r>
    </w:p>
    <w:p w:rsidR="007F6DF9" w:rsidRDefault="00A43FBC">
      <w:pPr>
        <w:pStyle w:val="Heading9"/>
        <w:numPr>
          <w:ilvl w:val="0"/>
          <w:numId w:val="200"/>
        </w:numPr>
        <w:tabs>
          <w:tab w:val="left" w:pos="1440"/>
        </w:tabs>
        <w:spacing w:before="234"/>
      </w:pPr>
      <w:r>
        <w:rPr>
          <w:color w:val="221F1F"/>
        </w:rPr>
        <w:t>Conversion</w:t>
      </w:r>
      <w:r>
        <w:rPr>
          <w:color w:val="221F1F"/>
          <w:spacing w:val="-5"/>
        </w:rPr>
        <w:t xml:space="preserve"> </w:t>
      </w:r>
      <w:r>
        <w:rPr>
          <w:color w:val="221F1F"/>
        </w:rPr>
        <w:t>to</w:t>
      </w:r>
      <w:r>
        <w:rPr>
          <w:color w:val="221F1F"/>
          <w:spacing w:val="-3"/>
        </w:rPr>
        <w:t xml:space="preserve"> </w:t>
      </w:r>
      <w:r>
        <w:rPr>
          <w:color w:val="221F1F"/>
        </w:rPr>
        <w:t>Single</w:t>
      </w:r>
      <w:r>
        <w:rPr>
          <w:color w:val="221F1F"/>
          <w:spacing w:val="-3"/>
        </w:rPr>
        <w:t xml:space="preserve"> </w:t>
      </w:r>
      <w:r>
        <w:rPr>
          <w:color w:val="221F1F"/>
          <w:spacing w:val="-2"/>
        </w:rPr>
        <w:t>Currency</w:t>
      </w:r>
    </w:p>
    <w:p w:rsidR="007F6DF9" w:rsidRDefault="00A43FBC">
      <w:pPr>
        <w:pStyle w:val="BodyText"/>
        <w:spacing w:before="242" w:line="230" w:lineRule="auto"/>
        <w:ind w:left="1402" w:right="651" w:hanging="12"/>
      </w:pPr>
      <w:r>
        <w:rPr>
          <w:color w:val="221F1F"/>
        </w:rPr>
        <w:t>For</w:t>
      </w:r>
      <w:r>
        <w:rPr>
          <w:color w:val="221F1F"/>
          <w:spacing w:val="-2"/>
        </w:rPr>
        <w:t xml:space="preserve"> </w:t>
      </w:r>
      <w:r>
        <w:rPr>
          <w:color w:val="221F1F"/>
        </w:rPr>
        <w:t>evaluation</w:t>
      </w:r>
      <w:r>
        <w:rPr>
          <w:color w:val="221F1F"/>
          <w:spacing w:val="-2"/>
        </w:rPr>
        <w:t xml:space="preserve"> </w:t>
      </w:r>
      <w:r>
        <w:rPr>
          <w:color w:val="221F1F"/>
        </w:rPr>
        <w:t>and</w:t>
      </w:r>
      <w:r>
        <w:rPr>
          <w:color w:val="221F1F"/>
          <w:spacing w:val="-2"/>
        </w:rPr>
        <w:t xml:space="preserve"> </w:t>
      </w:r>
      <w:r>
        <w:rPr>
          <w:color w:val="221F1F"/>
        </w:rPr>
        <w:t>comparison</w:t>
      </w:r>
      <w:r>
        <w:rPr>
          <w:color w:val="221F1F"/>
          <w:spacing w:val="-1"/>
        </w:rPr>
        <w:t xml:space="preserve"> </w:t>
      </w:r>
      <w:r>
        <w:rPr>
          <w:color w:val="221F1F"/>
        </w:rPr>
        <w:t>purposes,</w:t>
      </w:r>
      <w:r>
        <w:rPr>
          <w:color w:val="221F1F"/>
          <w:spacing w:val="-4"/>
        </w:rPr>
        <w:t xml:space="preserve"> </w:t>
      </w:r>
      <w:r>
        <w:rPr>
          <w:color w:val="221F1F"/>
        </w:rPr>
        <w:t>the</w:t>
      </w:r>
      <w:r>
        <w:rPr>
          <w:color w:val="221F1F"/>
          <w:spacing w:val="-2"/>
        </w:rPr>
        <w:t xml:space="preserve"> </w:t>
      </w:r>
      <w:r>
        <w:rPr>
          <w:color w:val="221F1F"/>
        </w:rPr>
        <w:t>currency(</w:t>
      </w:r>
      <w:proofErr w:type="spellStart"/>
      <w:r>
        <w:rPr>
          <w:color w:val="221F1F"/>
        </w:rPr>
        <w:t>ies</w:t>
      </w:r>
      <w:proofErr w:type="spellEnd"/>
      <w:r>
        <w:rPr>
          <w:color w:val="221F1F"/>
        </w:rPr>
        <w:t>) of</w:t>
      </w:r>
      <w:r>
        <w:rPr>
          <w:color w:val="221F1F"/>
          <w:spacing w:val="-4"/>
        </w:rPr>
        <w:t xml:space="preserve"> </w:t>
      </w:r>
      <w:r>
        <w:rPr>
          <w:color w:val="221F1F"/>
        </w:rPr>
        <w:t>the</w:t>
      </w:r>
      <w:r>
        <w:rPr>
          <w:color w:val="221F1F"/>
          <w:spacing w:val="-4"/>
        </w:rPr>
        <w:t xml:space="preserve"> </w:t>
      </w:r>
      <w:r>
        <w:rPr>
          <w:color w:val="221F1F"/>
        </w:rPr>
        <w:t>Tender</w:t>
      </w:r>
      <w:r>
        <w:rPr>
          <w:color w:val="221F1F"/>
          <w:spacing w:val="-9"/>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converted</w:t>
      </w:r>
      <w:r>
        <w:rPr>
          <w:color w:val="221F1F"/>
          <w:spacing w:val="-4"/>
        </w:rPr>
        <w:t xml:space="preserve"> </w:t>
      </w:r>
      <w:r>
        <w:rPr>
          <w:color w:val="221F1F"/>
        </w:rPr>
        <w:t>in</w:t>
      </w:r>
      <w:r>
        <w:rPr>
          <w:color w:val="221F1F"/>
          <w:spacing w:val="-5"/>
        </w:rPr>
        <w:t xml:space="preserve"> </w:t>
      </w:r>
      <w:r>
        <w:rPr>
          <w:color w:val="221F1F"/>
        </w:rPr>
        <w:t>to</w:t>
      </w:r>
      <w:r>
        <w:rPr>
          <w:color w:val="221F1F"/>
          <w:spacing w:val="-2"/>
        </w:rPr>
        <w:t xml:space="preserve"> </w:t>
      </w:r>
      <w:r>
        <w:rPr>
          <w:color w:val="221F1F"/>
        </w:rPr>
        <w:t>a</w:t>
      </w:r>
      <w:r>
        <w:rPr>
          <w:color w:val="221F1F"/>
          <w:spacing w:val="-4"/>
        </w:rPr>
        <w:t xml:space="preserve"> </w:t>
      </w:r>
      <w:r>
        <w:rPr>
          <w:color w:val="221F1F"/>
        </w:rPr>
        <w:t xml:space="preserve">single currency </w:t>
      </w:r>
      <w:proofErr w:type="spellStart"/>
      <w:r>
        <w:rPr>
          <w:color w:val="221F1F"/>
        </w:rPr>
        <w:t>asspecified</w:t>
      </w:r>
      <w:proofErr w:type="spellEnd"/>
      <w:r>
        <w:rPr>
          <w:color w:val="221F1F"/>
        </w:rPr>
        <w:t xml:space="preserve"> in the </w:t>
      </w:r>
      <w:r>
        <w:rPr>
          <w:b/>
          <w:color w:val="221F1F"/>
        </w:rPr>
        <w:t>TDS</w:t>
      </w:r>
      <w:r>
        <w:rPr>
          <w:color w:val="221F1F"/>
        </w:rPr>
        <w:t>.</w:t>
      </w:r>
    </w:p>
    <w:p w:rsidR="007F6DF9" w:rsidRDefault="007F6DF9">
      <w:pPr>
        <w:pStyle w:val="BodyText"/>
        <w:spacing w:line="230" w:lineRule="auto"/>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Heading9"/>
        <w:numPr>
          <w:ilvl w:val="0"/>
          <w:numId w:val="200"/>
        </w:numPr>
        <w:tabs>
          <w:tab w:val="left" w:pos="1392"/>
        </w:tabs>
        <w:ind w:left="1392" w:hanging="543"/>
      </w:pPr>
      <w:bookmarkStart w:id="33" w:name="_bookmark32"/>
      <w:bookmarkEnd w:id="33"/>
      <w:r>
        <w:rPr>
          <w:color w:val="221F1F"/>
        </w:rPr>
        <w:t>Margin</w:t>
      </w:r>
      <w:r>
        <w:rPr>
          <w:color w:val="221F1F"/>
          <w:spacing w:val="-3"/>
        </w:rPr>
        <w:t xml:space="preserve"> </w:t>
      </w:r>
      <w:r>
        <w:rPr>
          <w:color w:val="221F1F"/>
        </w:rPr>
        <w:t>of</w:t>
      </w:r>
      <w:r>
        <w:rPr>
          <w:color w:val="221F1F"/>
          <w:spacing w:val="-2"/>
        </w:rPr>
        <w:t xml:space="preserve"> </w:t>
      </w:r>
      <w:r>
        <w:rPr>
          <w:color w:val="221F1F"/>
        </w:rPr>
        <w:t>Preference</w:t>
      </w:r>
      <w:r>
        <w:rPr>
          <w:color w:val="221F1F"/>
          <w:spacing w:val="-2"/>
        </w:rPr>
        <w:t xml:space="preserve"> </w:t>
      </w:r>
      <w:r>
        <w:rPr>
          <w:color w:val="221F1F"/>
        </w:rPr>
        <w:t>and</w:t>
      </w:r>
      <w:r>
        <w:rPr>
          <w:color w:val="221F1F"/>
          <w:spacing w:val="-5"/>
        </w:rPr>
        <w:t xml:space="preserve"> </w:t>
      </w:r>
      <w:r>
        <w:rPr>
          <w:color w:val="221F1F"/>
          <w:spacing w:val="-2"/>
        </w:rPr>
        <w:t>Reservations</w:t>
      </w:r>
    </w:p>
    <w:p w:rsidR="007F6DF9" w:rsidRDefault="00A43FBC">
      <w:pPr>
        <w:pStyle w:val="ListParagraph"/>
        <w:numPr>
          <w:ilvl w:val="1"/>
          <w:numId w:val="200"/>
        </w:numPr>
        <w:tabs>
          <w:tab w:val="left" w:pos="1389"/>
          <w:tab w:val="left" w:pos="1402"/>
        </w:tabs>
        <w:spacing w:before="243" w:line="230" w:lineRule="auto"/>
        <w:ind w:right="845" w:hanging="553"/>
        <w:jc w:val="both"/>
      </w:pPr>
      <w:r>
        <w:rPr>
          <w:color w:val="221F1F"/>
        </w:rPr>
        <w:t>A margin of preference</w:t>
      </w:r>
      <w:r>
        <w:rPr>
          <w:color w:val="221F1F"/>
          <w:spacing w:val="-1"/>
        </w:rPr>
        <w:t xml:space="preserve"> </w:t>
      </w:r>
      <w:r>
        <w:rPr>
          <w:color w:val="221F1F"/>
        </w:rPr>
        <w:t>may be allowed</w:t>
      </w:r>
      <w:r>
        <w:rPr>
          <w:color w:val="221F1F"/>
          <w:spacing w:val="-1"/>
        </w:rPr>
        <w:t xml:space="preserve"> </w:t>
      </w:r>
      <w:r>
        <w:rPr>
          <w:color w:val="221F1F"/>
        </w:rPr>
        <w:t>only when the</w:t>
      </w:r>
      <w:r>
        <w:rPr>
          <w:color w:val="221F1F"/>
          <w:spacing w:val="-1"/>
        </w:rPr>
        <w:t xml:space="preserve"> </w:t>
      </w:r>
      <w:r>
        <w:rPr>
          <w:color w:val="221F1F"/>
        </w:rPr>
        <w:t>contract is open</w:t>
      </w:r>
      <w:r>
        <w:rPr>
          <w:color w:val="221F1F"/>
          <w:spacing w:val="-1"/>
        </w:rPr>
        <w:t xml:space="preserve"> </w:t>
      </w:r>
      <w:r>
        <w:rPr>
          <w:color w:val="221F1F"/>
        </w:rPr>
        <w:t>to international competitive tendering where foreign contractors are expected to participate in the tendering process and where the contract exceeds the value/threshold specified in the Regulations.</w:t>
      </w:r>
    </w:p>
    <w:p w:rsidR="007F6DF9" w:rsidRDefault="00A43FBC">
      <w:pPr>
        <w:pStyle w:val="ListParagraph"/>
        <w:numPr>
          <w:ilvl w:val="1"/>
          <w:numId w:val="200"/>
        </w:numPr>
        <w:tabs>
          <w:tab w:val="left" w:pos="1389"/>
        </w:tabs>
        <w:spacing w:before="199"/>
        <w:ind w:left="1389" w:hanging="540"/>
      </w:pPr>
      <w:r>
        <w:rPr>
          <w:color w:val="221F1F"/>
        </w:rPr>
        <w:t>A</w:t>
      </w:r>
      <w:r>
        <w:rPr>
          <w:color w:val="221F1F"/>
          <w:spacing w:val="-4"/>
        </w:rPr>
        <w:t xml:space="preserve"> </w:t>
      </w:r>
      <w:r>
        <w:rPr>
          <w:color w:val="221F1F"/>
        </w:rPr>
        <w:t>margin</w:t>
      </w:r>
      <w:r>
        <w:rPr>
          <w:color w:val="221F1F"/>
          <w:spacing w:val="-3"/>
        </w:rPr>
        <w:t xml:space="preserve"> </w:t>
      </w:r>
      <w:r>
        <w:rPr>
          <w:color w:val="221F1F"/>
        </w:rPr>
        <w:t>of</w:t>
      </w:r>
      <w:r>
        <w:rPr>
          <w:color w:val="221F1F"/>
          <w:spacing w:val="-2"/>
        </w:rPr>
        <w:t xml:space="preserve"> </w:t>
      </w:r>
      <w:r>
        <w:rPr>
          <w:color w:val="221F1F"/>
        </w:rPr>
        <w:t>preference</w:t>
      </w:r>
      <w:r>
        <w:rPr>
          <w:color w:val="221F1F"/>
          <w:spacing w:val="-5"/>
        </w:rPr>
        <w:t xml:space="preserve"> </w:t>
      </w:r>
      <w:r>
        <w:rPr>
          <w:color w:val="221F1F"/>
        </w:rPr>
        <w:t>shall</w:t>
      </w:r>
      <w:r>
        <w:rPr>
          <w:color w:val="221F1F"/>
          <w:spacing w:val="-1"/>
        </w:rPr>
        <w:t xml:space="preserve"> </w:t>
      </w:r>
      <w:r>
        <w:rPr>
          <w:color w:val="221F1F"/>
        </w:rPr>
        <w:t>not</w:t>
      </w:r>
      <w:r>
        <w:rPr>
          <w:color w:val="221F1F"/>
          <w:spacing w:val="-2"/>
        </w:rPr>
        <w:t xml:space="preserve"> </w:t>
      </w:r>
      <w:r>
        <w:rPr>
          <w:color w:val="221F1F"/>
        </w:rPr>
        <w:t>be</w:t>
      </w:r>
      <w:r>
        <w:rPr>
          <w:color w:val="221F1F"/>
          <w:spacing w:val="-3"/>
        </w:rPr>
        <w:t xml:space="preserve"> </w:t>
      </w:r>
      <w:r>
        <w:rPr>
          <w:color w:val="221F1F"/>
        </w:rPr>
        <w:t>allowed</w:t>
      </w:r>
      <w:r>
        <w:rPr>
          <w:color w:val="221F1F"/>
          <w:spacing w:val="-5"/>
        </w:rPr>
        <w:t xml:space="preserve"> </w:t>
      </w:r>
      <w:r>
        <w:rPr>
          <w:color w:val="221F1F"/>
        </w:rPr>
        <w:t>unless</w:t>
      </w:r>
      <w:r>
        <w:rPr>
          <w:color w:val="221F1F"/>
          <w:spacing w:val="-5"/>
        </w:rPr>
        <w:t xml:space="preserve"> </w:t>
      </w:r>
      <w:r>
        <w:rPr>
          <w:color w:val="221F1F"/>
        </w:rPr>
        <w:t>it</w:t>
      </w:r>
      <w:r>
        <w:rPr>
          <w:color w:val="221F1F"/>
          <w:spacing w:val="-5"/>
        </w:rPr>
        <w:t xml:space="preserve"> </w:t>
      </w:r>
      <w:r>
        <w:rPr>
          <w:color w:val="221F1F"/>
        </w:rPr>
        <w:t>is</w:t>
      </w:r>
      <w:r>
        <w:rPr>
          <w:color w:val="221F1F"/>
          <w:spacing w:val="-2"/>
        </w:rPr>
        <w:t xml:space="preserve"> </w:t>
      </w:r>
      <w:r>
        <w:rPr>
          <w:color w:val="221F1F"/>
        </w:rPr>
        <w:t>specified</w:t>
      </w:r>
      <w:r>
        <w:rPr>
          <w:color w:val="221F1F"/>
          <w:spacing w:val="-2"/>
        </w:rPr>
        <w:t xml:space="preserve"> </w:t>
      </w:r>
      <w:r>
        <w:rPr>
          <w:color w:val="221F1F"/>
        </w:rPr>
        <w:t>so</w:t>
      </w:r>
      <w:r>
        <w:rPr>
          <w:color w:val="221F1F"/>
          <w:spacing w:val="-6"/>
        </w:rPr>
        <w:t xml:space="preserve"> </w:t>
      </w:r>
      <w:r>
        <w:rPr>
          <w:color w:val="221F1F"/>
        </w:rPr>
        <w:t>in</w:t>
      </w:r>
      <w:r>
        <w:rPr>
          <w:color w:val="221F1F"/>
          <w:spacing w:val="-3"/>
        </w:rPr>
        <w:t xml:space="preserve"> </w:t>
      </w:r>
      <w:r>
        <w:rPr>
          <w:color w:val="221F1F"/>
        </w:rPr>
        <w:t>the</w:t>
      </w:r>
      <w:r>
        <w:rPr>
          <w:color w:val="221F1F"/>
          <w:spacing w:val="-3"/>
        </w:rPr>
        <w:t xml:space="preserve"> </w:t>
      </w:r>
      <w:r>
        <w:rPr>
          <w:b/>
          <w:color w:val="221F1F"/>
          <w:spacing w:val="-4"/>
        </w:rPr>
        <w:t>TDS</w:t>
      </w:r>
      <w:r>
        <w:rPr>
          <w:color w:val="221F1F"/>
          <w:spacing w:val="-4"/>
        </w:rPr>
        <w:t>.</w:t>
      </w:r>
    </w:p>
    <w:p w:rsidR="007F6DF9" w:rsidRDefault="00A43FBC">
      <w:pPr>
        <w:pStyle w:val="ListParagraph"/>
        <w:numPr>
          <w:ilvl w:val="1"/>
          <w:numId w:val="200"/>
        </w:numPr>
        <w:tabs>
          <w:tab w:val="left" w:pos="1389"/>
          <w:tab w:val="left" w:pos="1402"/>
        </w:tabs>
        <w:spacing w:before="199" w:line="230" w:lineRule="auto"/>
        <w:ind w:right="844" w:hanging="553"/>
        <w:jc w:val="both"/>
      </w:pPr>
      <w:r>
        <w:rPr>
          <w:color w:val="221F1F"/>
        </w:rPr>
        <w:t>Contracts</w:t>
      </w:r>
      <w:r>
        <w:rPr>
          <w:color w:val="221F1F"/>
          <w:spacing w:val="-11"/>
        </w:rPr>
        <w:t xml:space="preserve"> </w:t>
      </w:r>
      <w:r>
        <w:rPr>
          <w:color w:val="221F1F"/>
        </w:rPr>
        <w:t>procured</w:t>
      </w:r>
      <w:r>
        <w:rPr>
          <w:color w:val="221F1F"/>
          <w:spacing w:val="-13"/>
        </w:rPr>
        <w:t xml:space="preserve"> </w:t>
      </w:r>
      <w:r>
        <w:rPr>
          <w:color w:val="221F1F"/>
        </w:rPr>
        <w:t>on</w:t>
      </w:r>
      <w:r>
        <w:rPr>
          <w:color w:val="221F1F"/>
          <w:spacing w:val="-12"/>
        </w:rPr>
        <w:t xml:space="preserve"> </w:t>
      </w:r>
      <w:r>
        <w:rPr>
          <w:color w:val="221F1F"/>
        </w:rPr>
        <w:t>basis</w:t>
      </w:r>
      <w:r>
        <w:rPr>
          <w:color w:val="221F1F"/>
          <w:spacing w:val="-13"/>
        </w:rPr>
        <w:t xml:space="preserve"> </w:t>
      </w:r>
      <w:r>
        <w:rPr>
          <w:color w:val="221F1F"/>
        </w:rPr>
        <w:t>of</w:t>
      </w:r>
      <w:r>
        <w:rPr>
          <w:color w:val="221F1F"/>
          <w:spacing w:val="-13"/>
        </w:rPr>
        <w:t xml:space="preserve"> </w:t>
      </w:r>
      <w:r>
        <w:rPr>
          <w:color w:val="221F1F"/>
        </w:rPr>
        <w:t>international</w:t>
      </w:r>
      <w:r>
        <w:rPr>
          <w:color w:val="221F1F"/>
          <w:spacing w:val="-12"/>
        </w:rPr>
        <w:t xml:space="preserve"> </w:t>
      </w:r>
      <w:r>
        <w:rPr>
          <w:color w:val="221F1F"/>
        </w:rPr>
        <w:t>competitive</w:t>
      </w:r>
      <w:r>
        <w:rPr>
          <w:color w:val="221F1F"/>
          <w:spacing w:val="-10"/>
        </w:rPr>
        <w:t xml:space="preserve"> </w:t>
      </w:r>
      <w:r>
        <w:rPr>
          <w:color w:val="221F1F"/>
        </w:rPr>
        <w:t>tendering</w:t>
      </w:r>
      <w:r>
        <w:rPr>
          <w:color w:val="221F1F"/>
          <w:spacing w:val="-14"/>
        </w:rPr>
        <w:t xml:space="preserve"> </w:t>
      </w:r>
      <w:r>
        <w:rPr>
          <w:color w:val="221F1F"/>
        </w:rPr>
        <w:t>shall</w:t>
      </w:r>
      <w:r>
        <w:rPr>
          <w:color w:val="221F1F"/>
          <w:spacing w:val="-11"/>
        </w:rPr>
        <w:t xml:space="preserve"> </w:t>
      </w:r>
      <w:r>
        <w:rPr>
          <w:color w:val="221F1F"/>
        </w:rPr>
        <w:t>not</w:t>
      </w:r>
      <w:r>
        <w:rPr>
          <w:color w:val="221F1F"/>
          <w:spacing w:val="-11"/>
        </w:rPr>
        <w:t xml:space="preserve"> </w:t>
      </w:r>
      <w:r>
        <w:rPr>
          <w:color w:val="221F1F"/>
        </w:rPr>
        <w:t>be</w:t>
      </w:r>
      <w:r>
        <w:rPr>
          <w:color w:val="221F1F"/>
          <w:spacing w:val="-11"/>
        </w:rPr>
        <w:t xml:space="preserve"> </w:t>
      </w:r>
      <w:r>
        <w:rPr>
          <w:color w:val="221F1F"/>
        </w:rPr>
        <w:t>subject</w:t>
      </w:r>
      <w:r>
        <w:rPr>
          <w:color w:val="221F1F"/>
          <w:spacing w:val="-12"/>
        </w:rPr>
        <w:t xml:space="preserve"> </w:t>
      </w:r>
      <w:r>
        <w:rPr>
          <w:color w:val="221F1F"/>
        </w:rPr>
        <w:t>to</w:t>
      </w:r>
      <w:r>
        <w:rPr>
          <w:color w:val="221F1F"/>
          <w:spacing w:val="-14"/>
        </w:rPr>
        <w:t xml:space="preserve"> </w:t>
      </w:r>
      <w:r>
        <w:rPr>
          <w:color w:val="221F1F"/>
        </w:rPr>
        <w:t>reservations</w:t>
      </w:r>
      <w:r>
        <w:rPr>
          <w:color w:val="221F1F"/>
          <w:spacing w:val="-11"/>
        </w:rPr>
        <w:t xml:space="preserve"> </w:t>
      </w:r>
      <w:r>
        <w:rPr>
          <w:color w:val="221F1F"/>
        </w:rPr>
        <w:t>exclusive to specific groups as provided in ITT 33.4.</w:t>
      </w:r>
    </w:p>
    <w:p w:rsidR="007F6DF9" w:rsidRDefault="00A43FBC">
      <w:pPr>
        <w:pStyle w:val="ListParagraph"/>
        <w:numPr>
          <w:ilvl w:val="1"/>
          <w:numId w:val="200"/>
        </w:numPr>
        <w:tabs>
          <w:tab w:val="left" w:pos="1389"/>
          <w:tab w:val="left" w:pos="1402"/>
        </w:tabs>
        <w:spacing w:before="199" w:line="230" w:lineRule="auto"/>
        <w:ind w:right="843" w:hanging="553"/>
        <w:jc w:val="both"/>
      </w:pPr>
      <w:r>
        <w:rPr>
          <w:color w:val="221F1F"/>
        </w:rPr>
        <w:t>Where</w:t>
      </w:r>
      <w:r>
        <w:rPr>
          <w:color w:val="221F1F"/>
          <w:spacing w:val="-9"/>
        </w:rPr>
        <w:t xml:space="preserve"> </w:t>
      </w:r>
      <w:r>
        <w:rPr>
          <w:color w:val="221F1F"/>
        </w:rPr>
        <w:t>it</w:t>
      </w:r>
      <w:r>
        <w:rPr>
          <w:color w:val="221F1F"/>
          <w:spacing w:val="-8"/>
        </w:rPr>
        <w:t xml:space="preserve"> </w:t>
      </w:r>
      <w:r>
        <w:rPr>
          <w:color w:val="221F1F"/>
        </w:rPr>
        <w:t>is</w:t>
      </w:r>
      <w:r>
        <w:rPr>
          <w:color w:val="221F1F"/>
          <w:spacing w:val="-9"/>
        </w:rPr>
        <w:t xml:space="preserve"> </w:t>
      </w:r>
      <w:r>
        <w:rPr>
          <w:color w:val="221F1F"/>
        </w:rPr>
        <w:t>intended</w:t>
      </w:r>
      <w:r>
        <w:rPr>
          <w:color w:val="221F1F"/>
          <w:spacing w:val="-11"/>
        </w:rPr>
        <w:t xml:space="preserve"> </w:t>
      </w:r>
      <w:r>
        <w:rPr>
          <w:color w:val="221F1F"/>
        </w:rPr>
        <w:t>to</w:t>
      </w:r>
      <w:r>
        <w:rPr>
          <w:color w:val="221F1F"/>
          <w:spacing w:val="-12"/>
        </w:rPr>
        <w:t xml:space="preserve"> </w:t>
      </w:r>
      <w:r>
        <w:rPr>
          <w:color w:val="221F1F"/>
        </w:rPr>
        <w:t>reserve</w:t>
      </w:r>
      <w:r>
        <w:rPr>
          <w:color w:val="221F1F"/>
          <w:spacing w:val="-8"/>
        </w:rPr>
        <w:t xml:space="preserve"> </w:t>
      </w:r>
      <w:r>
        <w:rPr>
          <w:color w:val="221F1F"/>
        </w:rPr>
        <w:t>a</w:t>
      </w:r>
      <w:r>
        <w:rPr>
          <w:color w:val="221F1F"/>
          <w:spacing w:val="-9"/>
        </w:rPr>
        <w:t xml:space="preserve"> </w:t>
      </w:r>
      <w:r>
        <w:rPr>
          <w:color w:val="221F1F"/>
        </w:rPr>
        <w:t>contract</w:t>
      </w:r>
      <w:r>
        <w:rPr>
          <w:color w:val="221F1F"/>
          <w:spacing w:val="-8"/>
        </w:rPr>
        <w:t xml:space="preserve"> </w:t>
      </w:r>
      <w:r>
        <w:rPr>
          <w:color w:val="221F1F"/>
        </w:rPr>
        <w:t>to</w:t>
      </w:r>
      <w:r>
        <w:rPr>
          <w:color w:val="221F1F"/>
          <w:spacing w:val="-12"/>
        </w:rPr>
        <w:t xml:space="preserve"> </w:t>
      </w:r>
      <w:r>
        <w:rPr>
          <w:color w:val="221F1F"/>
        </w:rPr>
        <w:t>as</w:t>
      </w:r>
      <w:r>
        <w:rPr>
          <w:color w:val="221F1F"/>
          <w:spacing w:val="-9"/>
        </w:rPr>
        <w:t xml:space="preserve"> </w:t>
      </w:r>
      <w:proofErr w:type="spellStart"/>
      <w:r>
        <w:rPr>
          <w:color w:val="221F1F"/>
        </w:rPr>
        <w:t>pecific</w:t>
      </w:r>
      <w:proofErr w:type="spellEnd"/>
      <w:r>
        <w:rPr>
          <w:color w:val="221F1F"/>
          <w:spacing w:val="-9"/>
        </w:rPr>
        <w:t xml:space="preserve"> </w:t>
      </w:r>
      <w:r>
        <w:rPr>
          <w:color w:val="221F1F"/>
        </w:rPr>
        <w:t>group</w:t>
      </w:r>
      <w:r>
        <w:rPr>
          <w:color w:val="221F1F"/>
          <w:spacing w:val="-9"/>
        </w:rPr>
        <w:t xml:space="preserve"> </w:t>
      </w:r>
      <w:r>
        <w:rPr>
          <w:color w:val="221F1F"/>
        </w:rPr>
        <w:t>of</w:t>
      </w:r>
      <w:r>
        <w:rPr>
          <w:color w:val="221F1F"/>
          <w:spacing w:val="-9"/>
        </w:rPr>
        <w:t xml:space="preserve"> </w:t>
      </w:r>
      <w:r>
        <w:rPr>
          <w:color w:val="221F1F"/>
        </w:rPr>
        <w:t>businesses</w:t>
      </w:r>
      <w:r>
        <w:rPr>
          <w:color w:val="221F1F"/>
          <w:spacing w:val="-11"/>
        </w:rPr>
        <w:t xml:space="preserve"> </w:t>
      </w:r>
      <w:r>
        <w:rPr>
          <w:color w:val="221F1F"/>
        </w:rPr>
        <w:t>(these</w:t>
      </w:r>
      <w:r>
        <w:rPr>
          <w:color w:val="221F1F"/>
          <w:spacing w:val="-11"/>
        </w:rPr>
        <w:t xml:space="preserve"> </w:t>
      </w:r>
      <w:r>
        <w:rPr>
          <w:color w:val="221F1F"/>
        </w:rPr>
        <w:t>groups</w:t>
      </w:r>
      <w:r>
        <w:rPr>
          <w:color w:val="221F1F"/>
          <w:spacing w:val="-8"/>
        </w:rPr>
        <w:t xml:space="preserve"> </w:t>
      </w:r>
      <w:r>
        <w:rPr>
          <w:color w:val="221F1F"/>
        </w:rPr>
        <w:t>are</w:t>
      </w:r>
      <w:r>
        <w:rPr>
          <w:color w:val="221F1F"/>
          <w:spacing w:val="-9"/>
        </w:rPr>
        <w:t xml:space="preserve"> </w:t>
      </w:r>
      <w:r>
        <w:rPr>
          <w:color w:val="221F1F"/>
        </w:rPr>
        <w:t>Small</w:t>
      </w:r>
      <w:r>
        <w:rPr>
          <w:color w:val="221F1F"/>
          <w:spacing w:val="-8"/>
        </w:rPr>
        <w:t xml:space="preserve"> </w:t>
      </w:r>
      <w:r>
        <w:rPr>
          <w:color w:val="221F1F"/>
        </w:rPr>
        <w:t>and</w:t>
      </w:r>
      <w:r>
        <w:rPr>
          <w:color w:val="221F1F"/>
          <w:spacing w:val="-10"/>
        </w:rPr>
        <w:t xml:space="preserve"> </w:t>
      </w:r>
      <w:r>
        <w:rPr>
          <w:color w:val="221F1F"/>
        </w:rPr>
        <w:t xml:space="preserve">Medium Enterprises, Women Enterprises, Youth Enterprises and Enterprises of persons living with disability, as the case may be), and who are appropriately registered as such by the authority to be specified in the </w:t>
      </w:r>
      <w:r>
        <w:rPr>
          <w:b/>
          <w:color w:val="221F1F"/>
        </w:rPr>
        <w:t>TDS</w:t>
      </w:r>
      <w:r>
        <w:rPr>
          <w:color w:val="221F1F"/>
        </w:rPr>
        <w:t>, a procuring entity shall ensure that the invitation to tender specifically indicates that only businesses or firms belonging to the specified group are eligible to tender. No tender shall be reserved to more than one group. If not so stated in the Invitation to Tender and in the Tender</w:t>
      </w:r>
      <w:r>
        <w:rPr>
          <w:color w:val="221F1F"/>
          <w:spacing w:val="-1"/>
        </w:rPr>
        <w:t xml:space="preserve"> </w:t>
      </w:r>
      <w:r>
        <w:rPr>
          <w:color w:val="221F1F"/>
        </w:rPr>
        <w:t>documents, the invitation to tender will be open to all interested tenderers.</w:t>
      </w:r>
    </w:p>
    <w:p w:rsidR="007F6DF9" w:rsidRDefault="00A43FBC">
      <w:pPr>
        <w:pStyle w:val="Heading9"/>
        <w:numPr>
          <w:ilvl w:val="0"/>
          <w:numId w:val="200"/>
        </w:numPr>
        <w:tabs>
          <w:tab w:val="left" w:pos="1389"/>
        </w:tabs>
        <w:spacing w:before="198"/>
        <w:ind w:left="1389" w:hanging="540"/>
      </w:pPr>
      <w:bookmarkStart w:id="34" w:name="_bookmark33"/>
      <w:bookmarkEnd w:id="34"/>
      <w:r>
        <w:rPr>
          <w:color w:val="221F1F"/>
        </w:rPr>
        <w:t>Nominated</w:t>
      </w:r>
      <w:r>
        <w:rPr>
          <w:color w:val="221F1F"/>
          <w:spacing w:val="-5"/>
        </w:rPr>
        <w:t xml:space="preserve"> </w:t>
      </w:r>
      <w:r>
        <w:rPr>
          <w:color w:val="221F1F"/>
          <w:spacing w:val="-2"/>
        </w:rPr>
        <w:t>Subcontractors</w:t>
      </w:r>
    </w:p>
    <w:p w:rsidR="007F6DF9" w:rsidRDefault="00A43FBC">
      <w:pPr>
        <w:pStyle w:val="ListParagraph"/>
        <w:numPr>
          <w:ilvl w:val="1"/>
          <w:numId w:val="200"/>
        </w:numPr>
        <w:tabs>
          <w:tab w:val="left" w:pos="1387"/>
          <w:tab w:val="left" w:pos="1390"/>
        </w:tabs>
        <w:spacing w:before="199" w:line="230" w:lineRule="auto"/>
        <w:ind w:left="1390" w:right="847" w:hanging="541"/>
        <w:jc w:val="both"/>
      </w:pPr>
      <w:r>
        <w:rPr>
          <w:color w:val="221F1F"/>
        </w:rPr>
        <w:t xml:space="preserve">Unless otherwise stated in the </w:t>
      </w:r>
      <w:r>
        <w:rPr>
          <w:b/>
          <w:color w:val="221F1F"/>
        </w:rPr>
        <w:t xml:space="preserve">TDS, </w:t>
      </w:r>
      <w:r>
        <w:rPr>
          <w:color w:val="221F1F"/>
        </w:rPr>
        <w:t>the Procuring Entity does not intend to execute any specific elements of the</w:t>
      </w:r>
      <w:r>
        <w:rPr>
          <w:color w:val="221F1F"/>
          <w:spacing w:val="-14"/>
        </w:rPr>
        <w:t xml:space="preserve"> </w:t>
      </w:r>
      <w:r>
        <w:rPr>
          <w:color w:val="221F1F"/>
        </w:rPr>
        <w:t>Works</w:t>
      </w:r>
      <w:r>
        <w:rPr>
          <w:color w:val="221F1F"/>
          <w:spacing w:val="-14"/>
        </w:rPr>
        <w:t xml:space="preserve"> </w:t>
      </w:r>
      <w:r>
        <w:rPr>
          <w:color w:val="221F1F"/>
        </w:rPr>
        <w:t>by</w:t>
      </w:r>
      <w:r>
        <w:rPr>
          <w:color w:val="221F1F"/>
          <w:spacing w:val="-14"/>
        </w:rPr>
        <w:t xml:space="preserve"> </w:t>
      </w:r>
      <w:r>
        <w:rPr>
          <w:color w:val="221F1F"/>
        </w:rPr>
        <w:t>subcontractors</w:t>
      </w:r>
      <w:r>
        <w:rPr>
          <w:color w:val="221F1F"/>
          <w:spacing w:val="-13"/>
        </w:rPr>
        <w:t xml:space="preserve"> </w:t>
      </w:r>
      <w:r>
        <w:rPr>
          <w:color w:val="221F1F"/>
        </w:rPr>
        <w:t>selected/nominated</w:t>
      </w:r>
      <w:r>
        <w:rPr>
          <w:color w:val="221F1F"/>
          <w:spacing w:val="-14"/>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Procuring</w:t>
      </w:r>
      <w:r>
        <w:rPr>
          <w:color w:val="221F1F"/>
          <w:spacing w:val="-13"/>
        </w:rPr>
        <w:t xml:space="preserve"> </w:t>
      </w:r>
      <w:r>
        <w:rPr>
          <w:color w:val="221F1F"/>
        </w:rPr>
        <w:t>Entity.</w:t>
      </w:r>
      <w:r>
        <w:rPr>
          <w:color w:val="221F1F"/>
          <w:spacing w:val="-14"/>
        </w:rPr>
        <w:t xml:space="preserve"> </w:t>
      </w:r>
      <w:proofErr w:type="spellStart"/>
      <w:r>
        <w:rPr>
          <w:color w:val="221F1F"/>
        </w:rPr>
        <w:t>Incase</w:t>
      </w:r>
      <w:proofErr w:type="spellEnd"/>
      <w:r>
        <w:rPr>
          <w:color w:val="221F1F"/>
          <w:spacing w:val="-14"/>
        </w:rPr>
        <w:t xml:space="preserve"> </w:t>
      </w:r>
      <w:r>
        <w:rPr>
          <w:color w:val="221F1F"/>
        </w:rPr>
        <w:t>the</w:t>
      </w:r>
      <w:r>
        <w:rPr>
          <w:color w:val="221F1F"/>
          <w:spacing w:val="-14"/>
        </w:rPr>
        <w:t xml:space="preserve"> </w:t>
      </w:r>
      <w:proofErr w:type="spellStart"/>
      <w:r>
        <w:rPr>
          <w:color w:val="221F1F"/>
        </w:rPr>
        <w:t>ProcuringEntity</w:t>
      </w:r>
      <w:proofErr w:type="spellEnd"/>
      <w:r>
        <w:rPr>
          <w:color w:val="221F1F"/>
          <w:spacing w:val="-12"/>
        </w:rPr>
        <w:t xml:space="preserve"> </w:t>
      </w:r>
      <w:r>
        <w:rPr>
          <w:color w:val="221F1F"/>
        </w:rPr>
        <w:t>nominates a</w:t>
      </w:r>
      <w:r>
        <w:rPr>
          <w:color w:val="221F1F"/>
          <w:spacing w:val="-3"/>
        </w:rPr>
        <w:t xml:space="preserve"> </w:t>
      </w:r>
      <w:r>
        <w:rPr>
          <w:color w:val="221F1F"/>
        </w:rPr>
        <w:t>subcontractor,</w:t>
      </w:r>
      <w:r>
        <w:rPr>
          <w:color w:val="221F1F"/>
          <w:spacing w:val="-6"/>
        </w:rPr>
        <w:t xml:space="preserve"> </w:t>
      </w:r>
      <w:r>
        <w:rPr>
          <w:color w:val="221F1F"/>
        </w:rPr>
        <w:t>the</w:t>
      </w:r>
      <w:r>
        <w:rPr>
          <w:color w:val="221F1F"/>
          <w:spacing w:val="-3"/>
        </w:rPr>
        <w:t xml:space="preserve"> </w:t>
      </w:r>
      <w:r>
        <w:rPr>
          <w:color w:val="221F1F"/>
        </w:rPr>
        <w:t>subcontract</w:t>
      </w:r>
      <w:r>
        <w:rPr>
          <w:color w:val="221F1F"/>
          <w:spacing w:val="-2"/>
        </w:rPr>
        <w:t xml:space="preserve"> </w:t>
      </w:r>
      <w:r>
        <w:rPr>
          <w:color w:val="221F1F"/>
        </w:rPr>
        <w:t>agreement</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signed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Subcontractor</w:t>
      </w:r>
      <w:r>
        <w:rPr>
          <w:color w:val="221F1F"/>
          <w:spacing w:val="-3"/>
        </w:rPr>
        <w:t xml:space="preserve"> </w:t>
      </w:r>
      <w:r>
        <w:rPr>
          <w:color w:val="221F1F"/>
        </w:rPr>
        <w:t>and</w:t>
      </w:r>
      <w:r>
        <w:rPr>
          <w:color w:val="221F1F"/>
          <w:spacing w:val="-3"/>
        </w:rPr>
        <w:t xml:space="preserve"> </w:t>
      </w:r>
      <w:r>
        <w:rPr>
          <w:color w:val="221F1F"/>
        </w:rPr>
        <w:t>the</w:t>
      </w:r>
      <w:r>
        <w:rPr>
          <w:color w:val="221F1F"/>
          <w:spacing w:val="-3"/>
        </w:rPr>
        <w:t xml:space="preserve"> </w:t>
      </w:r>
      <w:r>
        <w:rPr>
          <w:color w:val="221F1F"/>
        </w:rPr>
        <w:t>Procuring Entity.</w:t>
      </w:r>
      <w:r>
        <w:rPr>
          <w:color w:val="221F1F"/>
          <w:spacing w:val="-8"/>
        </w:rPr>
        <w:t xml:space="preserve"> </w:t>
      </w:r>
      <w:r>
        <w:rPr>
          <w:color w:val="221F1F"/>
        </w:rPr>
        <w:t xml:space="preserve">The main contract shall specify the working arrangements between the main contractor and the nominated </w:t>
      </w:r>
      <w:r>
        <w:rPr>
          <w:color w:val="221F1F"/>
          <w:spacing w:val="-2"/>
        </w:rPr>
        <w:t>subcontractor.</w:t>
      </w:r>
    </w:p>
    <w:p w:rsidR="007F6DF9" w:rsidRDefault="00A43FBC">
      <w:pPr>
        <w:pStyle w:val="ListParagraph"/>
        <w:numPr>
          <w:ilvl w:val="1"/>
          <w:numId w:val="200"/>
        </w:numPr>
        <w:tabs>
          <w:tab w:val="left" w:pos="1387"/>
          <w:tab w:val="left" w:pos="1390"/>
        </w:tabs>
        <w:spacing w:before="199" w:line="230" w:lineRule="auto"/>
        <w:ind w:left="1390" w:right="846" w:hanging="541"/>
        <w:jc w:val="both"/>
      </w:pPr>
      <w:r>
        <w:rPr>
          <w:color w:val="221F1F"/>
        </w:rPr>
        <w:t>Tenderers</w:t>
      </w:r>
      <w:r>
        <w:rPr>
          <w:color w:val="221F1F"/>
          <w:spacing w:val="-6"/>
        </w:rPr>
        <w:t xml:space="preserve"> </w:t>
      </w:r>
      <w:r>
        <w:rPr>
          <w:color w:val="221F1F"/>
        </w:rPr>
        <w:t>may</w:t>
      </w:r>
      <w:r>
        <w:rPr>
          <w:color w:val="221F1F"/>
          <w:spacing w:val="-6"/>
        </w:rPr>
        <w:t xml:space="preserve"> </w:t>
      </w:r>
      <w:r>
        <w:rPr>
          <w:color w:val="221F1F"/>
        </w:rPr>
        <w:t>propose</w:t>
      </w:r>
      <w:r>
        <w:rPr>
          <w:color w:val="221F1F"/>
          <w:spacing w:val="-5"/>
        </w:rPr>
        <w:t xml:space="preserve"> </w:t>
      </w:r>
      <w:r>
        <w:rPr>
          <w:color w:val="221F1F"/>
        </w:rPr>
        <w:t>sub-contracting</w:t>
      </w:r>
      <w:r>
        <w:rPr>
          <w:color w:val="221F1F"/>
          <w:spacing w:val="-5"/>
        </w:rPr>
        <w:t xml:space="preserve"> </w:t>
      </w:r>
      <w:r>
        <w:rPr>
          <w:color w:val="221F1F"/>
        </w:rPr>
        <w:t>up</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percentage</w:t>
      </w:r>
      <w:r>
        <w:rPr>
          <w:color w:val="221F1F"/>
          <w:spacing w:val="-5"/>
        </w:rPr>
        <w:t xml:space="preserve"> </w:t>
      </w:r>
      <w:r>
        <w:rPr>
          <w:color w:val="221F1F"/>
        </w:rPr>
        <w:t>of</w:t>
      </w:r>
      <w:r>
        <w:rPr>
          <w:color w:val="221F1F"/>
          <w:spacing w:val="-5"/>
        </w:rPr>
        <w:t xml:space="preserve"> </w:t>
      </w:r>
      <w:r>
        <w:rPr>
          <w:color w:val="221F1F"/>
        </w:rPr>
        <w:t>total</w:t>
      </w:r>
      <w:r>
        <w:rPr>
          <w:color w:val="221F1F"/>
          <w:spacing w:val="-4"/>
        </w:rPr>
        <w:t xml:space="preserve"> </w:t>
      </w:r>
      <w:r>
        <w:rPr>
          <w:color w:val="221F1F"/>
        </w:rPr>
        <w:t>value</w:t>
      </w:r>
      <w:r>
        <w:rPr>
          <w:color w:val="221F1F"/>
          <w:spacing w:val="-6"/>
        </w:rPr>
        <w:t xml:space="preserve"> </w:t>
      </w:r>
      <w:r>
        <w:rPr>
          <w:color w:val="221F1F"/>
        </w:rPr>
        <w:t>of</w:t>
      </w:r>
      <w:r>
        <w:rPr>
          <w:color w:val="221F1F"/>
          <w:spacing w:val="-5"/>
        </w:rPr>
        <w:t xml:space="preserve"> </w:t>
      </w:r>
      <w:r>
        <w:rPr>
          <w:color w:val="221F1F"/>
        </w:rPr>
        <w:t>contracts</w:t>
      </w:r>
      <w:r>
        <w:rPr>
          <w:color w:val="221F1F"/>
          <w:spacing w:val="-4"/>
        </w:rPr>
        <w:t xml:space="preserve"> </w:t>
      </w:r>
      <w:r>
        <w:rPr>
          <w:color w:val="221F1F"/>
        </w:rPr>
        <w:t>or</w:t>
      </w:r>
      <w:r>
        <w:rPr>
          <w:color w:val="221F1F"/>
          <w:spacing w:val="-5"/>
        </w:rPr>
        <w:t xml:space="preserve"> </w:t>
      </w:r>
      <w:r>
        <w:rPr>
          <w:color w:val="221F1F"/>
        </w:rPr>
        <w:t>the</w:t>
      </w:r>
      <w:r>
        <w:rPr>
          <w:color w:val="221F1F"/>
          <w:spacing w:val="-6"/>
        </w:rPr>
        <w:t xml:space="preserve"> </w:t>
      </w:r>
      <w:r>
        <w:rPr>
          <w:color w:val="221F1F"/>
        </w:rPr>
        <w:t>volume</w:t>
      </w:r>
      <w:r>
        <w:rPr>
          <w:color w:val="221F1F"/>
          <w:spacing w:val="-5"/>
        </w:rPr>
        <w:t xml:space="preserve"> </w:t>
      </w:r>
      <w:r>
        <w:rPr>
          <w:color w:val="221F1F"/>
        </w:rPr>
        <w:t>of</w:t>
      </w:r>
      <w:r>
        <w:rPr>
          <w:color w:val="221F1F"/>
          <w:spacing w:val="-5"/>
        </w:rPr>
        <w:t xml:space="preserve"> </w:t>
      </w:r>
      <w:r>
        <w:rPr>
          <w:color w:val="221F1F"/>
        </w:rPr>
        <w:t>works as specified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b/>
          <w:color w:val="221F1F"/>
        </w:rPr>
        <w:t>TDS</w:t>
      </w:r>
      <w:r>
        <w:rPr>
          <w:color w:val="221F1F"/>
        </w:rPr>
        <w:t>.</w:t>
      </w:r>
      <w:r>
        <w:rPr>
          <w:color w:val="221F1F"/>
          <w:spacing w:val="-1"/>
        </w:rPr>
        <w:t xml:space="preserve"> </w:t>
      </w:r>
      <w:r>
        <w:rPr>
          <w:color w:val="221F1F"/>
        </w:rPr>
        <w:t>Subcontractors proposed</w:t>
      </w:r>
      <w:r>
        <w:rPr>
          <w:color w:val="221F1F"/>
          <w:spacing w:val="-3"/>
        </w:rPr>
        <w:t xml:space="preserve"> </w:t>
      </w:r>
      <w:r>
        <w:rPr>
          <w:color w:val="221F1F"/>
        </w:rPr>
        <w:t>by</w:t>
      </w:r>
      <w:r>
        <w:rPr>
          <w:color w:val="221F1F"/>
          <w:spacing w:val="-1"/>
        </w:rPr>
        <w:t xml:space="preserve"> </w:t>
      </w:r>
      <w:r>
        <w:rPr>
          <w:color w:val="221F1F"/>
        </w:rPr>
        <w:t>the Tenderer shall be fully</w:t>
      </w:r>
      <w:r>
        <w:rPr>
          <w:color w:val="221F1F"/>
          <w:spacing w:val="-1"/>
        </w:rPr>
        <w:t xml:space="preserve"> </w:t>
      </w:r>
      <w:r>
        <w:rPr>
          <w:color w:val="221F1F"/>
        </w:rPr>
        <w:t>qualified</w:t>
      </w:r>
      <w:r>
        <w:rPr>
          <w:color w:val="221F1F"/>
          <w:spacing w:val="-2"/>
        </w:rPr>
        <w:t xml:space="preserve"> </w:t>
      </w:r>
      <w:r>
        <w:rPr>
          <w:color w:val="221F1F"/>
        </w:rPr>
        <w:t>for</w:t>
      </w:r>
      <w:r>
        <w:rPr>
          <w:color w:val="221F1F"/>
          <w:spacing w:val="-2"/>
        </w:rPr>
        <w:t xml:space="preserve"> </w:t>
      </w:r>
      <w:r>
        <w:rPr>
          <w:color w:val="221F1F"/>
        </w:rPr>
        <w:t>their parts of</w:t>
      </w:r>
      <w:r>
        <w:rPr>
          <w:color w:val="221F1F"/>
          <w:spacing w:val="-2"/>
        </w:rPr>
        <w:t xml:space="preserve"> </w:t>
      </w:r>
      <w:r>
        <w:rPr>
          <w:color w:val="221F1F"/>
        </w:rPr>
        <w:t xml:space="preserve">the </w:t>
      </w:r>
      <w:r>
        <w:rPr>
          <w:color w:val="221F1F"/>
          <w:spacing w:val="-2"/>
        </w:rPr>
        <w:t>Works.</w:t>
      </w:r>
    </w:p>
    <w:p w:rsidR="007F6DF9" w:rsidRDefault="00A43FBC">
      <w:pPr>
        <w:pStyle w:val="ListParagraph"/>
        <w:numPr>
          <w:ilvl w:val="1"/>
          <w:numId w:val="200"/>
        </w:numPr>
        <w:tabs>
          <w:tab w:val="left" w:pos="1387"/>
          <w:tab w:val="left" w:pos="1390"/>
        </w:tabs>
        <w:spacing w:before="198" w:line="230" w:lineRule="auto"/>
        <w:ind w:left="1390" w:right="844" w:hanging="541"/>
        <w:jc w:val="both"/>
      </w:pPr>
      <w:r>
        <w:rPr>
          <w:color w:val="221F1F"/>
        </w:rPr>
        <w:t>Domestic</w:t>
      </w:r>
      <w:r>
        <w:rPr>
          <w:color w:val="221F1F"/>
          <w:spacing w:val="-3"/>
        </w:rPr>
        <w:t xml:space="preserve"> </w:t>
      </w:r>
      <w:r>
        <w:rPr>
          <w:color w:val="221F1F"/>
        </w:rPr>
        <w:t>subcontractor's</w:t>
      </w:r>
      <w:r>
        <w:rPr>
          <w:color w:val="221F1F"/>
          <w:spacing w:val="-3"/>
        </w:rPr>
        <w:t xml:space="preserve"> </w:t>
      </w:r>
      <w:r>
        <w:rPr>
          <w:color w:val="221F1F"/>
        </w:rPr>
        <w:t>qualifications</w:t>
      </w:r>
      <w:r>
        <w:rPr>
          <w:color w:val="221F1F"/>
          <w:spacing w:val="-3"/>
        </w:rPr>
        <w:t xml:space="preserve"> </w:t>
      </w:r>
      <w:r>
        <w:rPr>
          <w:color w:val="221F1F"/>
        </w:rPr>
        <w:t>shall</w:t>
      </w:r>
      <w:r>
        <w:rPr>
          <w:color w:val="221F1F"/>
          <w:spacing w:val="-2"/>
        </w:rPr>
        <w:t xml:space="preserve"> </w:t>
      </w:r>
      <w:r>
        <w:rPr>
          <w:color w:val="221F1F"/>
        </w:rPr>
        <w:t>not</w:t>
      </w:r>
      <w:r>
        <w:rPr>
          <w:color w:val="221F1F"/>
          <w:spacing w:val="-2"/>
        </w:rPr>
        <w:t xml:space="preserve"> </w:t>
      </w:r>
      <w:r>
        <w:rPr>
          <w:color w:val="221F1F"/>
        </w:rPr>
        <w:t>be</w:t>
      </w:r>
      <w:r>
        <w:rPr>
          <w:color w:val="221F1F"/>
          <w:spacing w:val="-3"/>
        </w:rPr>
        <w:t xml:space="preserve"> </w:t>
      </w:r>
      <w:r>
        <w:rPr>
          <w:color w:val="221F1F"/>
        </w:rPr>
        <w:t>used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Tenderer</w:t>
      </w:r>
      <w:r>
        <w:rPr>
          <w:color w:val="221F1F"/>
          <w:spacing w:val="-2"/>
        </w:rPr>
        <w:t xml:space="preserve"> </w:t>
      </w:r>
      <w:r>
        <w:rPr>
          <w:color w:val="221F1F"/>
        </w:rPr>
        <w:t>to</w:t>
      </w:r>
      <w:r>
        <w:rPr>
          <w:color w:val="221F1F"/>
          <w:spacing w:val="-3"/>
        </w:rPr>
        <w:t xml:space="preserve"> </w:t>
      </w:r>
      <w:r>
        <w:rPr>
          <w:color w:val="221F1F"/>
        </w:rPr>
        <w:t>qualify</w:t>
      </w:r>
      <w:r>
        <w:rPr>
          <w:color w:val="221F1F"/>
          <w:spacing w:val="-3"/>
        </w:rPr>
        <w:t xml:space="preserve"> </w:t>
      </w:r>
      <w:r>
        <w:rPr>
          <w:color w:val="221F1F"/>
        </w:rPr>
        <w:t>for</w:t>
      </w:r>
      <w:r>
        <w:rPr>
          <w:color w:val="221F1F"/>
          <w:spacing w:val="-3"/>
        </w:rPr>
        <w:t xml:space="preserve"> </w:t>
      </w:r>
      <w:r>
        <w:rPr>
          <w:color w:val="221F1F"/>
        </w:rPr>
        <w:t>the Works</w:t>
      </w:r>
      <w:r>
        <w:rPr>
          <w:color w:val="221F1F"/>
          <w:spacing w:val="-12"/>
        </w:rPr>
        <w:t xml:space="preserve"> </w:t>
      </w:r>
      <w:r>
        <w:rPr>
          <w:color w:val="221F1F"/>
        </w:rPr>
        <w:t>unless</w:t>
      </w:r>
      <w:r>
        <w:rPr>
          <w:color w:val="221F1F"/>
          <w:spacing w:val="-3"/>
        </w:rPr>
        <w:t xml:space="preserve"> </w:t>
      </w:r>
      <w:r>
        <w:rPr>
          <w:color w:val="221F1F"/>
        </w:rPr>
        <w:t>their specialized</w:t>
      </w:r>
      <w:r>
        <w:rPr>
          <w:color w:val="221F1F"/>
          <w:spacing w:val="-6"/>
        </w:rPr>
        <w:t xml:space="preserve"> </w:t>
      </w:r>
      <w:r>
        <w:rPr>
          <w:color w:val="221F1F"/>
        </w:rPr>
        <w:t>parts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were</w:t>
      </w:r>
      <w:r>
        <w:rPr>
          <w:color w:val="221F1F"/>
          <w:spacing w:val="-6"/>
        </w:rPr>
        <w:t xml:space="preserve"> </w:t>
      </w:r>
      <w:r>
        <w:rPr>
          <w:color w:val="221F1F"/>
        </w:rPr>
        <w:t>previously</w:t>
      </w:r>
      <w:r>
        <w:rPr>
          <w:color w:val="221F1F"/>
          <w:spacing w:val="-6"/>
        </w:rPr>
        <w:t xml:space="preserve"> </w:t>
      </w:r>
      <w:r>
        <w:rPr>
          <w:color w:val="221F1F"/>
        </w:rPr>
        <w:t>designated</w:t>
      </w:r>
      <w:r>
        <w:rPr>
          <w:color w:val="221F1F"/>
          <w:spacing w:val="-6"/>
        </w:rPr>
        <w:t xml:space="preserve"> </w:t>
      </w:r>
      <w:r>
        <w:rPr>
          <w:color w:val="221F1F"/>
        </w:rPr>
        <w:t>so</w:t>
      </w:r>
      <w:r>
        <w:rPr>
          <w:color w:val="221F1F"/>
          <w:spacing w:val="-7"/>
        </w:rPr>
        <w:t xml:space="preserve"> </w:t>
      </w:r>
      <w:r>
        <w:rPr>
          <w:color w:val="221F1F"/>
        </w:rPr>
        <w:t>by</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b/>
          <w:color w:val="221F1F"/>
        </w:rPr>
        <w:t>TDS</w:t>
      </w:r>
      <w:r>
        <w:rPr>
          <w:b/>
          <w:color w:val="221F1F"/>
          <w:spacing w:val="-8"/>
        </w:rPr>
        <w:t xml:space="preserve"> </w:t>
      </w:r>
      <w:r>
        <w:rPr>
          <w:color w:val="221F1F"/>
        </w:rPr>
        <w:t>a</w:t>
      </w:r>
      <w:r>
        <w:rPr>
          <w:color w:val="221F1F"/>
          <w:spacing w:val="-7"/>
        </w:rPr>
        <w:t xml:space="preserve"> </w:t>
      </w:r>
      <w:r>
        <w:rPr>
          <w:color w:val="221F1F"/>
        </w:rPr>
        <w:t>scan</w:t>
      </w:r>
      <w:r>
        <w:rPr>
          <w:color w:val="221F1F"/>
          <w:spacing w:val="-7"/>
        </w:rPr>
        <w:t xml:space="preserve"> </w:t>
      </w:r>
      <w:r>
        <w:rPr>
          <w:color w:val="221F1F"/>
        </w:rPr>
        <w:t>be</w:t>
      </w:r>
      <w:r>
        <w:rPr>
          <w:color w:val="221F1F"/>
          <w:spacing w:val="-7"/>
        </w:rPr>
        <w:t xml:space="preserve"> </w:t>
      </w:r>
      <w:r>
        <w:rPr>
          <w:color w:val="221F1F"/>
        </w:rPr>
        <w:t>met by subcontractors referred to hereafter as 'Specialized</w:t>
      </w:r>
      <w:r>
        <w:rPr>
          <w:color w:val="221F1F"/>
          <w:spacing w:val="-2"/>
        </w:rPr>
        <w:t xml:space="preserve"> </w:t>
      </w:r>
      <w:r>
        <w:rPr>
          <w:color w:val="221F1F"/>
        </w:rPr>
        <w:t xml:space="preserve">Subcontractors', in which case, the qualifications of the Specialized </w:t>
      </w:r>
      <w:proofErr w:type="spellStart"/>
      <w:r>
        <w:rPr>
          <w:color w:val="221F1F"/>
        </w:rPr>
        <w:t>Subcontractorsproposed</w:t>
      </w:r>
      <w:proofErr w:type="spellEnd"/>
      <w:r>
        <w:rPr>
          <w:color w:val="221F1F"/>
        </w:rPr>
        <w:t xml:space="preserve"> by the Tenderer may be added to the qualifications of the Tenderer.</w:t>
      </w:r>
    </w:p>
    <w:p w:rsidR="007F6DF9" w:rsidRDefault="00A43FBC">
      <w:pPr>
        <w:pStyle w:val="Heading9"/>
        <w:numPr>
          <w:ilvl w:val="0"/>
          <w:numId w:val="199"/>
        </w:numPr>
        <w:tabs>
          <w:tab w:val="left" w:pos="1416"/>
        </w:tabs>
        <w:spacing w:before="199"/>
      </w:pPr>
      <w:r>
        <w:rPr>
          <w:color w:val="221F1F"/>
        </w:rPr>
        <w:t>Evaluation</w:t>
      </w:r>
      <w:r>
        <w:rPr>
          <w:color w:val="221F1F"/>
          <w:spacing w:val="-3"/>
        </w:rPr>
        <w:t xml:space="preserve"> </w:t>
      </w:r>
      <w:r>
        <w:rPr>
          <w:color w:val="221F1F"/>
        </w:rPr>
        <w:t>of</w:t>
      </w:r>
      <w:r>
        <w:rPr>
          <w:color w:val="221F1F"/>
          <w:spacing w:val="-2"/>
        </w:rPr>
        <w:t xml:space="preserve"> Tenders</w:t>
      </w:r>
    </w:p>
    <w:p w:rsidR="007F6DF9" w:rsidRDefault="00A43FBC">
      <w:pPr>
        <w:pStyle w:val="ListParagraph"/>
        <w:numPr>
          <w:ilvl w:val="1"/>
          <w:numId w:val="199"/>
        </w:numPr>
        <w:tabs>
          <w:tab w:val="left" w:pos="1387"/>
          <w:tab w:val="left" w:pos="1390"/>
        </w:tabs>
        <w:spacing w:before="199" w:line="230" w:lineRule="auto"/>
        <w:ind w:right="844"/>
        <w:jc w:val="both"/>
      </w:pPr>
      <w:proofErr w:type="spellStart"/>
      <w:r>
        <w:rPr>
          <w:color w:val="221F1F"/>
        </w:rPr>
        <w:t>TheProcuring</w:t>
      </w:r>
      <w:proofErr w:type="spellEnd"/>
      <w:r>
        <w:rPr>
          <w:color w:val="221F1F"/>
          <w:spacing w:val="-1"/>
        </w:rPr>
        <w:t xml:space="preserve"> </w:t>
      </w:r>
      <w:r>
        <w:rPr>
          <w:color w:val="221F1F"/>
        </w:rPr>
        <w:t>Entity</w:t>
      </w:r>
      <w:r>
        <w:rPr>
          <w:color w:val="221F1F"/>
          <w:spacing w:val="-1"/>
        </w:rPr>
        <w:t xml:space="preserve"> </w:t>
      </w:r>
      <w:r>
        <w:rPr>
          <w:color w:val="221F1F"/>
        </w:rPr>
        <w:t>shall use the</w:t>
      </w:r>
      <w:r>
        <w:rPr>
          <w:color w:val="221F1F"/>
          <w:spacing w:val="-1"/>
        </w:rPr>
        <w:t xml:space="preserve"> </w:t>
      </w:r>
      <w:r>
        <w:rPr>
          <w:color w:val="221F1F"/>
        </w:rPr>
        <w:t>criteria</w:t>
      </w:r>
      <w:r>
        <w:rPr>
          <w:color w:val="221F1F"/>
          <w:spacing w:val="-3"/>
        </w:rPr>
        <w:t xml:space="preserve"> </w:t>
      </w:r>
      <w:r>
        <w:rPr>
          <w:color w:val="221F1F"/>
        </w:rPr>
        <w:t>and</w:t>
      </w:r>
      <w:r>
        <w:rPr>
          <w:color w:val="221F1F"/>
          <w:spacing w:val="-3"/>
        </w:rPr>
        <w:t xml:space="preserve"> </w:t>
      </w:r>
      <w:r>
        <w:rPr>
          <w:color w:val="221F1F"/>
        </w:rPr>
        <w:t>methodologies</w:t>
      </w:r>
      <w:r>
        <w:rPr>
          <w:color w:val="221F1F"/>
          <w:spacing w:val="-2"/>
        </w:rPr>
        <w:t xml:space="preserve"> </w:t>
      </w:r>
      <w:r>
        <w:rPr>
          <w:color w:val="221F1F"/>
        </w:rPr>
        <w:t>listed</w:t>
      </w:r>
      <w:r>
        <w:rPr>
          <w:color w:val="221F1F"/>
          <w:spacing w:val="-3"/>
        </w:rPr>
        <w:t xml:space="preserve"> </w:t>
      </w:r>
      <w:r>
        <w:rPr>
          <w:color w:val="221F1F"/>
        </w:rPr>
        <w:t>in</w:t>
      </w:r>
      <w:r>
        <w:rPr>
          <w:color w:val="221F1F"/>
          <w:spacing w:val="-1"/>
        </w:rPr>
        <w:t xml:space="preserve"> </w:t>
      </w:r>
      <w:r>
        <w:rPr>
          <w:color w:val="221F1F"/>
        </w:rPr>
        <w:t>this</w:t>
      </w:r>
      <w:r>
        <w:rPr>
          <w:color w:val="221F1F"/>
          <w:spacing w:val="-3"/>
        </w:rPr>
        <w:t xml:space="preserve"> </w:t>
      </w:r>
      <w:r>
        <w:rPr>
          <w:color w:val="221F1F"/>
        </w:rPr>
        <w:t>ITT</w:t>
      </w:r>
      <w:r>
        <w:rPr>
          <w:color w:val="221F1F"/>
          <w:spacing w:val="-2"/>
        </w:rPr>
        <w:t xml:space="preserve"> </w:t>
      </w:r>
      <w:r>
        <w:rPr>
          <w:color w:val="221F1F"/>
        </w:rPr>
        <w:t>and</w:t>
      </w:r>
      <w:r>
        <w:rPr>
          <w:color w:val="221F1F"/>
          <w:spacing w:val="-3"/>
        </w:rPr>
        <w:t xml:space="preserve"> </w:t>
      </w:r>
      <w:r>
        <w:rPr>
          <w:color w:val="221F1F"/>
        </w:rPr>
        <w:t>Section III,</w:t>
      </w:r>
      <w:r>
        <w:rPr>
          <w:color w:val="221F1F"/>
          <w:spacing w:val="-1"/>
        </w:rPr>
        <w:t xml:space="preserve"> </w:t>
      </w:r>
      <w:r>
        <w:rPr>
          <w:color w:val="221F1F"/>
        </w:rPr>
        <w:t>Evaluation</w:t>
      </w:r>
      <w:r>
        <w:rPr>
          <w:color w:val="221F1F"/>
          <w:spacing w:val="-1"/>
        </w:rPr>
        <w:t xml:space="preserve"> </w:t>
      </w:r>
      <w:r>
        <w:rPr>
          <w:color w:val="221F1F"/>
        </w:rPr>
        <w:t>and Qualification</w:t>
      </w:r>
      <w:r>
        <w:rPr>
          <w:color w:val="221F1F"/>
          <w:spacing w:val="-10"/>
        </w:rPr>
        <w:t xml:space="preserve"> </w:t>
      </w:r>
      <w:r>
        <w:rPr>
          <w:color w:val="221F1F"/>
        </w:rPr>
        <w:t>Criteria</w:t>
      </w:r>
      <w:r>
        <w:rPr>
          <w:color w:val="221F1F"/>
          <w:spacing w:val="-9"/>
        </w:rPr>
        <w:t xml:space="preserve"> </w:t>
      </w:r>
      <w:r>
        <w:rPr>
          <w:color w:val="221F1F"/>
        </w:rPr>
        <w:t>No</w:t>
      </w:r>
      <w:r>
        <w:rPr>
          <w:color w:val="221F1F"/>
          <w:spacing w:val="-13"/>
        </w:rPr>
        <w:t xml:space="preserve"> </w:t>
      </w:r>
      <w:r>
        <w:rPr>
          <w:color w:val="221F1F"/>
        </w:rPr>
        <w:t>other</w:t>
      </w:r>
      <w:r>
        <w:rPr>
          <w:color w:val="221F1F"/>
          <w:spacing w:val="-9"/>
        </w:rPr>
        <w:t xml:space="preserve"> </w:t>
      </w:r>
      <w:r>
        <w:rPr>
          <w:color w:val="221F1F"/>
        </w:rPr>
        <w:t>evaluation</w:t>
      </w:r>
      <w:r>
        <w:rPr>
          <w:color w:val="221F1F"/>
          <w:spacing w:val="-10"/>
        </w:rPr>
        <w:t xml:space="preserve"> </w:t>
      </w:r>
      <w:r>
        <w:rPr>
          <w:color w:val="221F1F"/>
        </w:rPr>
        <w:t>criteria</w:t>
      </w:r>
      <w:r>
        <w:rPr>
          <w:color w:val="221F1F"/>
          <w:spacing w:val="-10"/>
        </w:rPr>
        <w:t xml:space="preserve"> </w:t>
      </w:r>
      <w:r>
        <w:rPr>
          <w:color w:val="221F1F"/>
        </w:rPr>
        <w:t>or</w:t>
      </w:r>
      <w:r>
        <w:rPr>
          <w:color w:val="221F1F"/>
          <w:spacing w:val="-12"/>
        </w:rPr>
        <w:t xml:space="preserve"> </w:t>
      </w:r>
      <w:r>
        <w:rPr>
          <w:color w:val="221F1F"/>
        </w:rPr>
        <w:t>methodologies</w:t>
      </w:r>
      <w:r>
        <w:rPr>
          <w:color w:val="221F1F"/>
          <w:spacing w:val="-9"/>
        </w:rPr>
        <w:t xml:space="preserve"> </w:t>
      </w:r>
      <w:r>
        <w:rPr>
          <w:color w:val="221F1F"/>
        </w:rPr>
        <w:t>shall</w:t>
      </w:r>
      <w:r>
        <w:rPr>
          <w:color w:val="221F1F"/>
          <w:spacing w:val="-12"/>
        </w:rPr>
        <w:t xml:space="preserve"> </w:t>
      </w:r>
      <w:r>
        <w:rPr>
          <w:color w:val="221F1F"/>
        </w:rPr>
        <w:t>be</w:t>
      </w:r>
      <w:r>
        <w:rPr>
          <w:color w:val="221F1F"/>
          <w:spacing w:val="-10"/>
        </w:rPr>
        <w:t xml:space="preserve"> </w:t>
      </w:r>
      <w:r>
        <w:rPr>
          <w:color w:val="221F1F"/>
        </w:rPr>
        <w:t>permitted.</w:t>
      </w:r>
      <w:r>
        <w:rPr>
          <w:color w:val="221F1F"/>
          <w:spacing w:val="-9"/>
        </w:rPr>
        <w:t xml:space="preserve"> </w:t>
      </w:r>
      <w:r>
        <w:rPr>
          <w:color w:val="221F1F"/>
        </w:rPr>
        <w:t>By</w:t>
      </w:r>
      <w:r>
        <w:rPr>
          <w:color w:val="221F1F"/>
          <w:spacing w:val="-10"/>
        </w:rPr>
        <w:t xml:space="preserve"> </w:t>
      </w:r>
      <w:r>
        <w:rPr>
          <w:color w:val="221F1F"/>
        </w:rPr>
        <w:t>applying</w:t>
      </w:r>
      <w:r>
        <w:rPr>
          <w:color w:val="221F1F"/>
          <w:spacing w:val="-10"/>
        </w:rPr>
        <w:t xml:space="preserve"> </w:t>
      </w:r>
      <w:r>
        <w:rPr>
          <w:color w:val="221F1F"/>
        </w:rPr>
        <w:t>the</w:t>
      </w:r>
      <w:r>
        <w:rPr>
          <w:color w:val="221F1F"/>
          <w:spacing w:val="-10"/>
        </w:rPr>
        <w:t xml:space="preserve"> </w:t>
      </w:r>
      <w:r>
        <w:rPr>
          <w:color w:val="221F1F"/>
        </w:rPr>
        <w:t xml:space="preserve">criteria and methodologies the Procuring Entity shall determine </w:t>
      </w:r>
      <w:proofErr w:type="spellStart"/>
      <w:r>
        <w:rPr>
          <w:color w:val="221F1F"/>
        </w:rPr>
        <w:t>theLowest</w:t>
      </w:r>
      <w:proofErr w:type="spellEnd"/>
      <w:r>
        <w:rPr>
          <w:color w:val="221F1F"/>
        </w:rPr>
        <w:t xml:space="preserve"> Evaluated Tender</w:t>
      </w:r>
      <w:r>
        <w:rPr>
          <w:color w:val="221F1F"/>
          <w:spacing w:val="-3"/>
        </w:rPr>
        <w:t xml:space="preserve"> </w:t>
      </w:r>
      <w:r>
        <w:rPr>
          <w:color w:val="221F1F"/>
        </w:rPr>
        <w:t xml:space="preserve">in accordance with ITT </w:t>
      </w:r>
      <w:r>
        <w:rPr>
          <w:color w:val="221F1F"/>
          <w:spacing w:val="-4"/>
        </w:rPr>
        <w:t>40.</w:t>
      </w:r>
    </w:p>
    <w:p w:rsidR="007F6DF9" w:rsidRDefault="00A43FBC">
      <w:pPr>
        <w:pStyle w:val="ListParagraph"/>
        <w:numPr>
          <w:ilvl w:val="1"/>
          <w:numId w:val="199"/>
        </w:numPr>
        <w:tabs>
          <w:tab w:val="left" w:pos="1416"/>
        </w:tabs>
        <w:spacing w:before="187"/>
        <w:ind w:left="1416" w:hanging="567"/>
      </w:pPr>
      <w:r>
        <w:rPr>
          <w:color w:val="221F1F"/>
        </w:rPr>
        <w:t>To</w:t>
      </w:r>
      <w:r>
        <w:rPr>
          <w:color w:val="221F1F"/>
          <w:spacing w:val="-19"/>
        </w:rPr>
        <w:t xml:space="preserve"> </w:t>
      </w:r>
      <w:r>
        <w:rPr>
          <w:color w:val="221F1F"/>
        </w:rPr>
        <w:t>evaluate</w:t>
      </w:r>
      <w:r>
        <w:rPr>
          <w:color w:val="221F1F"/>
          <w:spacing w:val="-13"/>
        </w:rPr>
        <w:t xml:space="preserve"> </w:t>
      </w:r>
      <w:r>
        <w:rPr>
          <w:color w:val="221F1F"/>
        </w:rPr>
        <w:t>a</w:t>
      </w:r>
      <w:r>
        <w:rPr>
          <w:color w:val="221F1F"/>
          <w:spacing w:val="-7"/>
        </w:rPr>
        <w:t xml:space="preserve"> </w:t>
      </w:r>
      <w:r>
        <w:rPr>
          <w:color w:val="221F1F"/>
        </w:rPr>
        <w:t>Tender,</w:t>
      </w:r>
      <w:r>
        <w:rPr>
          <w:color w:val="221F1F"/>
          <w:spacing w:val="-14"/>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7"/>
        </w:rPr>
        <w:t xml:space="preserve"> </w:t>
      </w:r>
      <w:r>
        <w:rPr>
          <w:color w:val="221F1F"/>
        </w:rPr>
        <w:t>shall</w:t>
      </w:r>
      <w:r>
        <w:rPr>
          <w:color w:val="221F1F"/>
          <w:spacing w:val="-6"/>
        </w:rPr>
        <w:t xml:space="preserve"> </w:t>
      </w:r>
      <w:r>
        <w:rPr>
          <w:color w:val="221F1F"/>
        </w:rPr>
        <w:t>consider</w:t>
      </w:r>
      <w:r>
        <w:rPr>
          <w:color w:val="221F1F"/>
          <w:spacing w:val="-6"/>
        </w:rPr>
        <w:t xml:space="preserve"> </w:t>
      </w:r>
      <w:r>
        <w:rPr>
          <w:color w:val="221F1F"/>
        </w:rPr>
        <w:t>the</w:t>
      </w:r>
      <w:r>
        <w:rPr>
          <w:color w:val="221F1F"/>
          <w:spacing w:val="-6"/>
        </w:rPr>
        <w:t xml:space="preserve"> </w:t>
      </w:r>
      <w:r>
        <w:rPr>
          <w:color w:val="221F1F"/>
          <w:spacing w:val="-2"/>
        </w:rPr>
        <w:t>following:</w:t>
      </w:r>
    </w:p>
    <w:p w:rsidR="007F6DF9" w:rsidRDefault="00A43FBC">
      <w:pPr>
        <w:pStyle w:val="ListParagraph"/>
        <w:numPr>
          <w:ilvl w:val="2"/>
          <w:numId w:val="199"/>
        </w:numPr>
        <w:tabs>
          <w:tab w:val="left" w:pos="1985"/>
        </w:tabs>
        <w:spacing w:before="48" w:line="230" w:lineRule="auto"/>
        <w:ind w:right="1157"/>
      </w:pPr>
      <w:proofErr w:type="spellStart"/>
      <w:r>
        <w:rPr>
          <w:color w:val="221F1F"/>
        </w:rPr>
        <w:t>priceadjustment</w:t>
      </w:r>
      <w:proofErr w:type="spellEnd"/>
      <w:r>
        <w:rPr>
          <w:color w:val="221F1F"/>
        </w:rPr>
        <w:t xml:space="preserve"> in</w:t>
      </w:r>
      <w:r>
        <w:rPr>
          <w:color w:val="221F1F"/>
          <w:spacing w:val="-5"/>
        </w:rPr>
        <w:t xml:space="preserve"> </w:t>
      </w:r>
      <w:r>
        <w:rPr>
          <w:color w:val="221F1F"/>
        </w:rPr>
        <w:t>accordance with</w:t>
      </w:r>
      <w:r>
        <w:rPr>
          <w:color w:val="221F1F"/>
          <w:spacing w:val="-2"/>
        </w:rPr>
        <w:t xml:space="preserve"> </w:t>
      </w:r>
      <w:r>
        <w:rPr>
          <w:color w:val="221F1F"/>
        </w:rPr>
        <w:t>ITT</w:t>
      </w:r>
      <w:r>
        <w:rPr>
          <w:color w:val="221F1F"/>
          <w:spacing w:val="-3"/>
        </w:rPr>
        <w:t xml:space="preserve"> </w:t>
      </w:r>
      <w:r>
        <w:rPr>
          <w:color w:val="221F1F"/>
        </w:rPr>
        <w:t>31.1</w:t>
      </w:r>
      <w:r>
        <w:rPr>
          <w:color w:val="221F1F"/>
          <w:spacing w:val="-5"/>
        </w:rPr>
        <w:t xml:space="preserve"> </w:t>
      </w:r>
      <w:r>
        <w:rPr>
          <w:color w:val="221F1F"/>
        </w:rPr>
        <w:t>(iii);</w:t>
      </w:r>
      <w:r>
        <w:rPr>
          <w:color w:val="221F1F"/>
          <w:spacing w:val="-3"/>
        </w:rPr>
        <w:t xml:space="preserve"> </w:t>
      </w:r>
      <w:r>
        <w:rPr>
          <w:color w:val="221F1F"/>
        </w:rPr>
        <w:t>excluding</w:t>
      </w:r>
      <w:r>
        <w:rPr>
          <w:color w:val="221F1F"/>
          <w:spacing w:val="-2"/>
        </w:rPr>
        <w:t xml:space="preserve"> </w:t>
      </w:r>
      <w:r>
        <w:rPr>
          <w:color w:val="221F1F"/>
        </w:rPr>
        <w:t>provisional</w:t>
      </w:r>
      <w:r>
        <w:rPr>
          <w:color w:val="221F1F"/>
          <w:spacing w:val="-1"/>
        </w:rPr>
        <w:t xml:space="preserve"> </w:t>
      </w:r>
      <w:r>
        <w:rPr>
          <w:color w:val="221F1F"/>
        </w:rPr>
        <w:t>sums</w:t>
      </w:r>
      <w:r>
        <w:rPr>
          <w:color w:val="221F1F"/>
          <w:spacing w:val="-3"/>
        </w:rPr>
        <w:t xml:space="preserve"> </w:t>
      </w:r>
      <w:r>
        <w:rPr>
          <w:color w:val="221F1F"/>
        </w:rPr>
        <w:t>and</w:t>
      </w:r>
      <w:r>
        <w:rPr>
          <w:color w:val="221F1F"/>
          <w:spacing w:val="-4"/>
        </w:rPr>
        <w:t xml:space="preserve"> </w:t>
      </w:r>
      <w:r>
        <w:rPr>
          <w:color w:val="221F1F"/>
        </w:rPr>
        <w:t>contingencies,</w:t>
      </w:r>
      <w:r>
        <w:rPr>
          <w:color w:val="221F1F"/>
          <w:spacing w:val="-4"/>
        </w:rPr>
        <w:t xml:space="preserve"> </w:t>
      </w:r>
      <w:r>
        <w:rPr>
          <w:color w:val="221F1F"/>
        </w:rPr>
        <w:t xml:space="preserve">if any, but including </w:t>
      </w:r>
      <w:proofErr w:type="spellStart"/>
      <w:r>
        <w:rPr>
          <w:color w:val="221F1F"/>
        </w:rPr>
        <w:t>Daywork</w:t>
      </w:r>
      <w:proofErr w:type="spellEnd"/>
      <w:r>
        <w:rPr>
          <w:color w:val="221F1F"/>
        </w:rPr>
        <w:t xml:space="preserve"> items, where priced competitively;</w:t>
      </w:r>
    </w:p>
    <w:p w:rsidR="007F6DF9" w:rsidRDefault="00A43FBC">
      <w:pPr>
        <w:pStyle w:val="ListParagraph"/>
        <w:numPr>
          <w:ilvl w:val="2"/>
          <w:numId w:val="199"/>
        </w:numPr>
        <w:tabs>
          <w:tab w:val="left" w:pos="1985"/>
        </w:tabs>
        <w:spacing w:before="42"/>
      </w:pPr>
      <w:r>
        <w:rPr>
          <w:color w:val="221F1F"/>
        </w:rPr>
        <w:t>price</w:t>
      </w:r>
      <w:r>
        <w:rPr>
          <w:color w:val="221F1F"/>
          <w:spacing w:val="-4"/>
        </w:rPr>
        <w:t xml:space="preserve"> </w:t>
      </w:r>
      <w:r>
        <w:rPr>
          <w:color w:val="221F1F"/>
        </w:rPr>
        <w:t>adjustment</w:t>
      </w:r>
      <w:r>
        <w:rPr>
          <w:color w:val="221F1F"/>
          <w:spacing w:val="-2"/>
        </w:rPr>
        <w:t xml:space="preserve"> </w:t>
      </w:r>
      <w:r>
        <w:rPr>
          <w:color w:val="221F1F"/>
        </w:rPr>
        <w:t>due</w:t>
      </w:r>
      <w:r>
        <w:rPr>
          <w:color w:val="221F1F"/>
          <w:spacing w:val="-4"/>
        </w:rPr>
        <w:t xml:space="preserve"> </w:t>
      </w:r>
      <w:r>
        <w:rPr>
          <w:color w:val="221F1F"/>
        </w:rPr>
        <w:t>to</w:t>
      </w:r>
      <w:r>
        <w:rPr>
          <w:color w:val="221F1F"/>
          <w:spacing w:val="-3"/>
        </w:rPr>
        <w:t xml:space="preserve"> </w:t>
      </w:r>
      <w:r>
        <w:rPr>
          <w:color w:val="221F1F"/>
        </w:rPr>
        <w:t>discounts</w:t>
      </w:r>
      <w:r>
        <w:rPr>
          <w:color w:val="221F1F"/>
          <w:spacing w:val="-3"/>
        </w:rPr>
        <w:t xml:space="preserve"> </w:t>
      </w:r>
      <w:r>
        <w:rPr>
          <w:color w:val="221F1F"/>
        </w:rPr>
        <w:t>offered</w:t>
      </w:r>
      <w:r>
        <w:rPr>
          <w:color w:val="221F1F"/>
          <w:spacing w:val="-4"/>
        </w:rPr>
        <w:t xml:space="preserve"> </w:t>
      </w:r>
      <w:r>
        <w:rPr>
          <w:color w:val="221F1F"/>
        </w:rPr>
        <w:t>in</w:t>
      </w:r>
      <w:r>
        <w:rPr>
          <w:color w:val="221F1F"/>
          <w:spacing w:val="-3"/>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ITT</w:t>
      </w:r>
      <w:r>
        <w:rPr>
          <w:color w:val="221F1F"/>
          <w:spacing w:val="-3"/>
        </w:rPr>
        <w:t xml:space="preserve"> </w:t>
      </w:r>
      <w:r>
        <w:rPr>
          <w:color w:val="221F1F"/>
          <w:spacing w:val="-2"/>
        </w:rPr>
        <w:t>14.4;</w:t>
      </w:r>
    </w:p>
    <w:p w:rsidR="007F6DF9" w:rsidRDefault="00A43FBC">
      <w:pPr>
        <w:pStyle w:val="ListParagraph"/>
        <w:numPr>
          <w:ilvl w:val="2"/>
          <w:numId w:val="199"/>
        </w:numPr>
        <w:tabs>
          <w:tab w:val="left" w:pos="1985"/>
        </w:tabs>
        <w:spacing w:before="46" w:line="230" w:lineRule="auto"/>
        <w:ind w:right="1174"/>
      </w:pPr>
      <w:r>
        <w:rPr>
          <w:color w:val="221F1F"/>
        </w:rPr>
        <w:t>converting</w:t>
      </w:r>
      <w:r>
        <w:rPr>
          <w:color w:val="221F1F"/>
          <w:spacing w:val="-4"/>
        </w:rPr>
        <w:t xml:space="preserve"> </w:t>
      </w:r>
      <w:r>
        <w:rPr>
          <w:color w:val="221F1F"/>
        </w:rPr>
        <w:t>the</w:t>
      </w:r>
      <w:r>
        <w:rPr>
          <w:color w:val="221F1F"/>
          <w:spacing w:val="-1"/>
        </w:rPr>
        <w:t xml:space="preserve"> </w:t>
      </w:r>
      <w:r>
        <w:rPr>
          <w:color w:val="221F1F"/>
        </w:rPr>
        <w:t>amount</w:t>
      </w:r>
      <w:r>
        <w:rPr>
          <w:color w:val="221F1F"/>
          <w:spacing w:val="-3"/>
        </w:rPr>
        <w:t xml:space="preserve"> </w:t>
      </w:r>
      <w:r>
        <w:rPr>
          <w:color w:val="221F1F"/>
        </w:rPr>
        <w:t>resulting</w:t>
      </w:r>
      <w:r>
        <w:rPr>
          <w:color w:val="221F1F"/>
          <w:spacing w:val="-1"/>
        </w:rPr>
        <w:t xml:space="preserve"> </w:t>
      </w:r>
      <w:r>
        <w:rPr>
          <w:color w:val="221F1F"/>
        </w:rPr>
        <w:t>from applying</w:t>
      </w:r>
      <w:r>
        <w:rPr>
          <w:color w:val="221F1F"/>
          <w:spacing w:val="-4"/>
        </w:rPr>
        <w:t xml:space="preserve"> </w:t>
      </w:r>
      <w:r>
        <w:rPr>
          <w:color w:val="221F1F"/>
        </w:rPr>
        <w:t>(a)</w:t>
      </w:r>
      <w:r>
        <w:rPr>
          <w:color w:val="221F1F"/>
          <w:spacing w:val="-3"/>
        </w:rPr>
        <w:t xml:space="preserve"> </w:t>
      </w:r>
      <w:r>
        <w:rPr>
          <w:color w:val="221F1F"/>
        </w:rPr>
        <w:t>and</w:t>
      </w:r>
      <w:r>
        <w:rPr>
          <w:color w:val="221F1F"/>
          <w:spacing w:val="-3"/>
        </w:rPr>
        <w:t xml:space="preserve"> </w:t>
      </w:r>
      <w:r>
        <w:rPr>
          <w:color w:val="221F1F"/>
        </w:rPr>
        <w:t>(b)</w:t>
      </w:r>
      <w:r>
        <w:rPr>
          <w:color w:val="221F1F"/>
          <w:spacing w:val="-1"/>
        </w:rPr>
        <w:t xml:space="preserve"> </w:t>
      </w:r>
      <w:r>
        <w:rPr>
          <w:color w:val="221F1F"/>
        </w:rPr>
        <w:t>above,</w:t>
      </w:r>
      <w:r>
        <w:rPr>
          <w:color w:val="221F1F"/>
          <w:spacing w:val="-3"/>
        </w:rPr>
        <w:t xml:space="preserve"> </w:t>
      </w:r>
      <w:r>
        <w:rPr>
          <w:color w:val="221F1F"/>
        </w:rPr>
        <w:t>if relevant,</w:t>
      </w:r>
      <w:r>
        <w:rPr>
          <w:color w:val="221F1F"/>
          <w:spacing w:val="-4"/>
        </w:rPr>
        <w:t xml:space="preserve"> </w:t>
      </w:r>
      <w:r>
        <w:rPr>
          <w:color w:val="221F1F"/>
        </w:rPr>
        <w:t>to</w:t>
      </w:r>
      <w:r>
        <w:rPr>
          <w:color w:val="221F1F"/>
          <w:spacing w:val="-4"/>
        </w:rPr>
        <w:t xml:space="preserve"> </w:t>
      </w:r>
      <w:r>
        <w:rPr>
          <w:color w:val="221F1F"/>
        </w:rPr>
        <w:t>a</w:t>
      </w:r>
      <w:r>
        <w:rPr>
          <w:color w:val="221F1F"/>
          <w:spacing w:val="-1"/>
        </w:rPr>
        <w:t xml:space="preserve"> </w:t>
      </w:r>
      <w:r>
        <w:rPr>
          <w:color w:val="221F1F"/>
        </w:rPr>
        <w:t>single</w:t>
      </w:r>
      <w:r>
        <w:rPr>
          <w:color w:val="221F1F"/>
          <w:spacing w:val="-1"/>
        </w:rPr>
        <w:t xml:space="preserve"> </w:t>
      </w:r>
      <w:r>
        <w:rPr>
          <w:color w:val="221F1F"/>
        </w:rPr>
        <w:t>currency</w:t>
      </w:r>
      <w:r>
        <w:rPr>
          <w:color w:val="221F1F"/>
          <w:spacing w:val="-4"/>
        </w:rPr>
        <w:t xml:space="preserve"> </w:t>
      </w:r>
      <w:r>
        <w:rPr>
          <w:color w:val="221F1F"/>
        </w:rPr>
        <w:t>in accordance with ITT 32;</w:t>
      </w:r>
    </w:p>
    <w:p w:rsidR="007F6DF9" w:rsidRDefault="00A43FBC">
      <w:pPr>
        <w:pStyle w:val="ListParagraph"/>
        <w:numPr>
          <w:ilvl w:val="2"/>
          <w:numId w:val="199"/>
        </w:numPr>
        <w:tabs>
          <w:tab w:val="left" w:pos="1985"/>
        </w:tabs>
        <w:spacing w:before="41"/>
      </w:pPr>
      <w:proofErr w:type="spellStart"/>
      <w:r>
        <w:rPr>
          <w:color w:val="221F1F"/>
        </w:rPr>
        <w:t>pricea</w:t>
      </w:r>
      <w:proofErr w:type="spellEnd"/>
      <w:r>
        <w:rPr>
          <w:color w:val="221F1F"/>
          <w:spacing w:val="-4"/>
        </w:rPr>
        <w:t xml:space="preserve"> </w:t>
      </w:r>
      <w:proofErr w:type="spellStart"/>
      <w:r>
        <w:rPr>
          <w:color w:val="221F1F"/>
        </w:rPr>
        <w:t>djustment</w:t>
      </w:r>
      <w:proofErr w:type="spellEnd"/>
      <w:r>
        <w:rPr>
          <w:color w:val="221F1F"/>
          <w:spacing w:val="-4"/>
        </w:rPr>
        <w:t xml:space="preserve"> </w:t>
      </w:r>
      <w:r>
        <w:rPr>
          <w:color w:val="221F1F"/>
        </w:rPr>
        <w:t>due</w:t>
      </w:r>
      <w:r>
        <w:rPr>
          <w:color w:val="221F1F"/>
          <w:spacing w:val="-7"/>
        </w:rPr>
        <w:t xml:space="preserve"> </w:t>
      </w:r>
      <w:r>
        <w:rPr>
          <w:color w:val="221F1F"/>
        </w:rPr>
        <w:t>to</w:t>
      </w:r>
      <w:r>
        <w:rPr>
          <w:color w:val="221F1F"/>
          <w:spacing w:val="-5"/>
        </w:rPr>
        <w:t xml:space="preserve"> </w:t>
      </w:r>
      <w:r>
        <w:rPr>
          <w:color w:val="221F1F"/>
        </w:rPr>
        <w:t>quantifiable</w:t>
      </w:r>
      <w:r>
        <w:rPr>
          <w:color w:val="221F1F"/>
          <w:spacing w:val="-5"/>
        </w:rPr>
        <w:t xml:space="preserve"> </w:t>
      </w:r>
      <w:r>
        <w:rPr>
          <w:color w:val="221F1F"/>
        </w:rPr>
        <w:t>non</w:t>
      </w:r>
      <w:r>
        <w:rPr>
          <w:color w:val="221F1F"/>
          <w:spacing w:val="-7"/>
        </w:rPr>
        <w:t xml:space="preserve"> </w:t>
      </w:r>
      <w:proofErr w:type="spellStart"/>
      <w:r>
        <w:rPr>
          <w:color w:val="221F1F"/>
        </w:rPr>
        <w:t>materialnon</w:t>
      </w:r>
      <w:proofErr w:type="spellEnd"/>
      <w:r>
        <w:rPr>
          <w:color w:val="221F1F"/>
        </w:rPr>
        <w:t>-conformities</w:t>
      </w:r>
      <w:r>
        <w:rPr>
          <w:color w:val="221F1F"/>
          <w:spacing w:val="-6"/>
        </w:rPr>
        <w:t xml:space="preserve"> </w:t>
      </w:r>
      <w:r>
        <w:rPr>
          <w:color w:val="221F1F"/>
        </w:rPr>
        <w:t>in</w:t>
      </w:r>
      <w:r>
        <w:rPr>
          <w:color w:val="221F1F"/>
          <w:spacing w:val="-7"/>
        </w:rPr>
        <w:t xml:space="preserve"> </w:t>
      </w:r>
      <w:r>
        <w:rPr>
          <w:color w:val="221F1F"/>
        </w:rPr>
        <w:t>accordance</w:t>
      </w:r>
      <w:r>
        <w:rPr>
          <w:color w:val="221F1F"/>
          <w:spacing w:val="-6"/>
        </w:rPr>
        <w:t xml:space="preserve"> </w:t>
      </w:r>
      <w:r>
        <w:rPr>
          <w:color w:val="221F1F"/>
        </w:rPr>
        <w:t>with</w:t>
      </w:r>
      <w:r>
        <w:rPr>
          <w:color w:val="221F1F"/>
          <w:spacing w:val="-5"/>
        </w:rPr>
        <w:t xml:space="preserve"> </w:t>
      </w:r>
      <w:r>
        <w:rPr>
          <w:color w:val="221F1F"/>
        </w:rPr>
        <w:t>ITT</w:t>
      </w:r>
      <w:r>
        <w:rPr>
          <w:color w:val="221F1F"/>
          <w:spacing w:val="-6"/>
        </w:rPr>
        <w:t xml:space="preserve"> </w:t>
      </w:r>
      <w:r>
        <w:rPr>
          <w:color w:val="221F1F"/>
        </w:rPr>
        <w:t>30.3;</w:t>
      </w:r>
      <w:r>
        <w:rPr>
          <w:color w:val="221F1F"/>
          <w:spacing w:val="-4"/>
        </w:rPr>
        <w:t xml:space="preserve"> </w:t>
      </w:r>
      <w:r>
        <w:rPr>
          <w:color w:val="221F1F"/>
          <w:spacing w:val="-5"/>
        </w:rPr>
        <w:t>and</w:t>
      </w:r>
    </w:p>
    <w:p w:rsidR="007F6DF9" w:rsidRDefault="00A43FBC">
      <w:pPr>
        <w:pStyle w:val="ListParagraph"/>
        <w:numPr>
          <w:ilvl w:val="2"/>
          <w:numId w:val="199"/>
        </w:numPr>
        <w:tabs>
          <w:tab w:val="left" w:pos="1985"/>
        </w:tabs>
        <w:spacing w:before="48" w:line="230" w:lineRule="auto"/>
        <w:ind w:right="1169"/>
      </w:pPr>
      <w:r>
        <w:rPr>
          <w:color w:val="221F1F"/>
        </w:rPr>
        <w:t>any</w:t>
      </w:r>
      <w:r>
        <w:rPr>
          <w:color w:val="221F1F"/>
          <w:spacing w:val="-4"/>
        </w:rPr>
        <w:t xml:space="preserve"> </w:t>
      </w:r>
      <w:r>
        <w:rPr>
          <w:color w:val="221F1F"/>
        </w:rPr>
        <w:t>additional</w:t>
      </w:r>
      <w:r>
        <w:rPr>
          <w:color w:val="221F1F"/>
          <w:spacing w:val="-5"/>
        </w:rPr>
        <w:t xml:space="preserve"> </w:t>
      </w:r>
      <w:r>
        <w:rPr>
          <w:color w:val="221F1F"/>
        </w:rPr>
        <w:t>evaluation</w:t>
      </w:r>
      <w:r>
        <w:rPr>
          <w:color w:val="221F1F"/>
          <w:spacing w:val="-6"/>
        </w:rPr>
        <w:t xml:space="preserve"> </w:t>
      </w:r>
      <w:r>
        <w:rPr>
          <w:color w:val="221F1F"/>
        </w:rPr>
        <w:t>factors</w:t>
      </w:r>
      <w:r>
        <w:rPr>
          <w:color w:val="221F1F"/>
          <w:spacing w:val="-4"/>
        </w:rPr>
        <w:t xml:space="preserve"> </w:t>
      </w:r>
      <w:r>
        <w:rPr>
          <w:color w:val="221F1F"/>
        </w:rPr>
        <w:t>specified</w:t>
      </w:r>
      <w:r>
        <w:rPr>
          <w:color w:val="221F1F"/>
          <w:spacing w:val="-6"/>
        </w:rPr>
        <w:t xml:space="preserve"> </w:t>
      </w:r>
      <w:r>
        <w:rPr>
          <w:color w:val="221F1F"/>
        </w:rPr>
        <w:t>in</w:t>
      </w:r>
      <w:r>
        <w:rPr>
          <w:color w:val="221F1F"/>
          <w:spacing w:val="-4"/>
        </w:rPr>
        <w:t xml:space="preserve"> </w:t>
      </w:r>
      <w:r>
        <w:rPr>
          <w:color w:val="221F1F"/>
        </w:rPr>
        <w:t>the</w:t>
      </w:r>
      <w:r>
        <w:rPr>
          <w:color w:val="221F1F"/>
          <w:spacing w:val="-1"/>
        </w:rPr>
        <w:t xml:space="preserve"> </w:t>
      </w:r>
      <w:r>
        <w:rPr>
          <w:b/>
          <w:color w:val="221F1F"/>
        </w:rPr>
        <w:t>TDS</w:t>
      </w:r>
      <w:r>
        <w:rPr>
          <w:b/>
          <w:color w:val="221F1F"/>
          <w:spacing w:val="-4"/>
        </w:rPr>
        <w:t xml:space="preserve"> </w:t>
      </w:r>
      <w:r>
        <w:rPr>
          <w:color w:val="221F1F"/>
        </w:rPr>
        <w:t>and</w:t>
      </w:r>
      <w:r>
        <w:rPr>
          <w:color w:val="221F1F"/>
          <w:spacing w:val="-4"/>
        </w:rPr>
        <w:t xml:space="preserve"> </w:t>
      </w:r>
      <w:r>
        <w:rPr>
          <w:color w:val="221F1F"/>
        </w:rPr>
        <w:t>Section</w:t>
      </w:r>
      <w:r>
        <w:rPr>
          <w:color w:val="221F1F"/>
          <w:spacing w:val="-6"/>
        </w:rPr>
        <w:t xml:space="preserve"> </w:t>
      </w:r>
      <w:r>
        <w:rPr>
          <w:color w:val="221F1F"/>
        </w:rPr>
        <w:t>III,</w:t>
      </w:r>
      <w:r>
        <w:rPr>
          <w:color w:val="221F1F"/>
          <w:spacing w:val="-4"/>
        </w:rPr>
        <w:t xml:space="preserve"> </w:t>
      </w:r>
      <w:r>
        <w:rPr>
          <w:color w:val="221F1F"/>
        </w:rPr>
        <w:t>Evaluation</w:t>
      </w:r>
      <w:r>
        <w:rPr>
          <w:color w:val="221F1F"/>
          <w:spacing w:val="-4"/>
        </w:rPr>
        <w:t xml:space="preserve"> </w:t>
      </w:r>
      <w:r>
        <w:rPr>
          <w:color w:val="221F1F"/>
        </w:rPr>
        <w:t>and</w:t>
      </w:r>
      <w:r>
        <w:rPr>
          <w:color w:val="221F1F"/>
          <w:spacing w:val="-3"/>
        </w:rPr>
        <w:t xml:space="preserve"> </w:t>
      </w:r>
      <w:r>
        <w:rPr>
          <w:color w:val="221F1F"/>
        </w:rPr>
        <w:t xml:space="preserve">Qualification </w:t>
      </w:r>
      <w:r>
        <w:rPr>
          <w:color w:val="221F1F"/>
          <w:spacing w:val="-2"/>
        </w:rPr>
        <w:t>Criteria.</w:t>
      </w:r>
    </w:p>
    <w:p w:rsidR="007F6DF9" w:rsidRDefault="00A43FBC">
      <w:pPr>
        <w:pStyle w:val="ListParagraph"/>
        <w:numPr>
          <w:ilvl w:val="1"/>
          <w:numId w:val="199"/>
        </w:numPr>
        <w:tabs>
          <w:tab w:val="left" w:pos="1411"/>
          <w:tab w:val="left" w:pos="1414"/>
        </w:tabs>
        <w:spacing w:before="244" w:line="230" w:lineRule="auto"/>
        <w:ind w:left="1414" w:right="833" w:hanging="565"/>
        <w:jc w:val="both"/>
      </w:pPr>
      <w:r>
        <w:rPr>
          <w:color w:val="221F1F"/>
        </w:rPr>
        <w:t>The estimated</w:t>
      </w:r>
      <w:r>
        <w:rPr>
          <w:color w:val="221F1F"/>
          <w:spacing w:val="-1"/>
        </w:rPr>
        <w:t xml:space="preserve"> </w:t>
      </w:r>
      <w:r>
        <w:rPr>
          <w:color w:val="221F1F"/>
        </w:rPr>
        <w:t>effect of the</w:t>
      </w:r>
      <w:r>
        <w:rPr>
          <w:color w:val="221F1F"/>
          <w:spacing w:val="-1"/>
        </w:rPr>
        <w:t xml:space="preserve"> </w:t>
      </w:r>
      <w:r>
        <w:rPr>
          <w:color w:val="221F1F"/>
        </w:rPr>
        <w:t>price adjustment provisions</w:t>
      </w:r>
      <w:r>
        <w:rPr>
          <w:color w:val="221F1F"/>
          <w:spacing w:val="-1"/>
        </w:rPr>
        <w:t xml:space="preserve"> </w:t>
      </w:r>
      <w:r>
        <w:rPr>
          <w:color w:val="221F1F"/>
        </w:rPr>
        <w:t>of</w:t>
      </w:r>
      <w:r>
        <w:rPr>
          <w:color w:val="221F1F"/>
          <w:spacing w:val="-1"/>
        </w:rPr>
        <w:t xml:space="preserve"> </w:t>
      </w:r>
      <w:r>
        <w:rPr>
          <w:color w:val="221F1F"/>
        </w:rPr>
        <w:t>the Conditions of Contract,</w:t>
      </w:r>
      <w:r>
        <w:rPr>
          <w:color w:val="221F1F"/>
          <w:spacing w:val="-1"/>
        </w:rPr>
        <w:t xml:space="preserve"> </w:t>
      </w:r>
      <w:r>
        <w:rPr>
          <w:color w:val="221F1F"/>
        </w:rPr>
        <w:t>applied over</w:t>
      </w:r>
      <w:r>
        <w:rPr>
          <w:color w:val="221F1F"/>
          <w:spacing w:val="-1"/>
        </w:rPr>
        <w:t xml:space="preserve"> </w:t>
      </w:r>
      <w:r>
        <w:rPr>
          <w:color w:val="221F1F"/>
        </w:rPr>
        <w:t xml:space="preserve">the period of execution of the Contract, shall not be </w:t>
      </w:r>
      <w:r w:rsidR="00FC371B">
        <w:rPr>
          <w:color w:val="221F1F"/>
        </w:rPr>
        <w:t>considered in</w:t>
      </w:r>
      <w:r>
        <w:rPr>
          <w:color w:val="221F1F"/>
        </w:rPr>
        <w:t xml:space="preserve"> Tender evaluation.</w:t>
      </w:r>
    </w:p>
    <w:p w:rsidR="007F6DF9" w:rsidRDefault="00A43FBC">
      <w:pPr>
        <w:pStyle w:val="ListParagraph"/>
        <w:numPr>
          <w:ilvl w:val="1"/>
          <w:numId w:val="199"/>
        </w:numPr>
        <w:tabs>
          <w:tab w:val="left" w:pos="1411"/>
          <w:tab w:val="left" w:pos="1414"/>
        </w:tabs>
        <w:spacing w:before="244" w:line="230" w:lineRule="auto"/>
        <w:ind w:left="1414" w:right="832" w:hanging="565"/>
        <w:jc w:val="both"/>
      </w:pPr>
      <w:r>
        <w:rPr>
          <w:color w:val="221F1F"/>
        </w:rPr>
        <w:t>Where</w:t>
      </w:r>
      <w:r>
        <w:rPr>
          <w:color w:val="221F1F"/>
          <w:spacing w:val="-8"/>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involves</w:t>
      </w:r>
      <w:r>
        <w:rPr>
          <w:color w:val="221F1F"/>
          <w:spacing w:val="-9"/>
        </w:rPr>
        <w:t xml:space="preserve"> </w:t>
      </w:r>
      <w:r>
        <w:rPr>
          <w:color w:val="221F1F"/>
        </w:rPr>
        <w:t>multiple</w:t>
      </w:r>
      <w:r>
        <w:rPr>
          <w:color w:val="221F1F"/>
          <w:spacing w:val="-8"/>
        </w:rPr>
        <w:t xml:space="preserve"> </w:t>
      </w:r>
      <w:r>
        <w:rPr>
          <w:color w:val="221F1F"/>
        </w:rPr>
        <w:t>lots</w:t>
      </w:r>
      <w:r>
        <w:rPr>
          <w:color w:val="221F1F"/>
          <w:spacing w:val="-8"/>
        </w:rPr>
        <w:t xml:space="preserve"> </w:t>
      </w:r>
      <w:r>
        <w:rPr>
          <w:color w:val="221F1F"/>
        </w:rPr>
        <w:t>or</w:t>
      </w:r>
      <w:r>
        <w:rPr>
          <w:color w:val="221F1F"/>
          <w:spacing w:val="-8"/>
        </w:rPr>
        <w:t xml:space="preserve"> </w:t>
      </w:r>
      <w:r>
        <w:rPr>
          <w:color w:val="221F1F"/>
        </w:rPr>
        <w:t>contracts,</w:t>
      </w:r>
      <w:r>
        <w:rPr>
          <w:color w:val="221F1F"/>
          <w:spacing w:val="-8"/>
        </w:rPr>
        <w:t xml:space="preserve"> </w:t>
      </w:r>
      <w:r>
        <w:rPr>
          <w:color w:val="221F1F"/>
        </w:rPr>
        <w:t>the</w:t>
      </w:r>
      <w:r>
        <w:rPr>
          <w:color w:val="221F1F"/>
          <w:spacing w:val="-5"/>
        </w:rPr>
        <w:t xml:space="preserve"> </w:t>
      </w:r>
      <w:r>
        <w:rPr>
          <w:color w:val="221F1F"/>
        </w:rPr>
        <w:t>tenderer</w:t>
      </w:r>
      <w:r>
        <w:rPr>
          <w:color w:val="221F1F"/>
          <w:spacing w:val="-7"/>
        </w:rPr>
        <w:t xml:space="preserve"> </w:t>
      </w:r>
      <w:r>
        <w:rPr>
          <w:color w:val="221F1F"/>
        </w:rPr>
        <w:t>will</w:t>
      </w:r>
      <w:r>
        <w:rPr>
          <w:color w:val="221F1F"/>
          <w:spacing w:val="-7"/>
        </w:rPr>
        <w:t xml:space="preserve"> </w:t>
      </w:r>
      <w:r>
        <w:rPr>
          <w:color w:val="221F1F"/>
        </w:rPr>
        <w:t>be</w:t>
      </w:r>
      <w:r>
        <w:rPr>
          <w:color w:val="221F1F"/>
          <w:spacing w:val="-8"/>
        </w:rPr>
        <w:t xml:space="preserve"> </w:t>
      </w:r>
      <w:r>
        <w:rPr>
          <w:color w:val="221F1F"/>
        </w:rPr>
        <w:t>allowed</w:t>
      </w:r>
      <w:r>
        <w:rPr>
          <w:color w:val="221F1F"/>
          <w:spacing w:val="-8"/>
        </w:rPr>
        <w:t xml:space="preserve"> </w:t>
      </w:r>
      <w:r>
        <w:rPr>
          <w:color w:val="221F1F"/>
        </w:rPr>
        <w:t>to</w:t>
      </w:r>
      <w:r>
        <w:rPr>
          <w:color w:val="221F1F"/>
          <w:spacing w:val="-6"/>
        </w:rPr>
        <w:t xml:space="preserve"> </w:t>
      </w:r>
      <w:r>
        <w:rPr>
          <w:color w:val="221F1F"/>
        </w:rPr>
        <w:t>tender</w:t>
      </w:r>
      <w:r>
        <w:rPr>
          <w:color w:val="221F1F"/>
          <w:spacing w:val="-4"/>
        </w:rPr>
        <w:t xml:space="preserve"> </w:t>
      </w:r>
      <w:r>
        <w:rPr>
          <w:color w:val="221F1F"/>
        </w:rPr>
        <w:t>for</w:t>
      </w:r>
      <w:r>
        <w:rPr>
          <w:color w:val="221F1F"/>
          <w:spacing w:val="-8"/>
        </w:rPr>
        <w:t xml:space="preserve"> </w:t>
      </w:r>
      <w:r>
        <w:rPr>
          <w:color w:val="221F1F"/>
        </w:rPr>
        <w:t>one</w:t>
      </w:r>
      <w:r>
        <w:rPr>
          <w:color w:val="221F1F"/>
          <w:spacing w:val="-8"/>
        </w:rPr>
        <w:t xml:space="preserve"> </w:t>
      </w:r>
      <w:r>
        <w:rPr>
          <w:color w:val="221F1F"/>
        </w:rPr>
        <w:t>or</w:t>
      </w:r>
      <w:r>
        <w:rPr>
          <w:color w:val="221F1F"/>
          <w:spacing w:val="-8"/>
        </w:rPr>
        <w:t xml:space="preserve"> </w:t>
      </w:r>
      <w:r>
        <w:rPr>
          <w:color w:val="221F1F"/>
        </w:rPr>
        <w:t>more</w:t>
      </w:r>
      <w:r>
        <w:rPr>
          <w:color w:val="221F1F"/>
          <w:spacing w:val="-8"/>
        </w:rPr>
        <w:t xml:space="preserve"> </w:t>
      </w:r>
      <w:r>
        <w:rPr>
          <w:color w:val="221F1F"/>
        </w:rPr>
        <w:t>lots (contracts).</w:t>
      </w:r>
      <w:r>
        <w:rPr>
          <w:color w:val="221F1F"/>
          <w:spacing w:val="-5"/>
        </w:rPr>
        <w:t xml:space="preserve"> </w:t>
      </w:r>
      <w:r>
        <w:rPr>
          <w:color w:val="221F1F"/>
        </w:rPr>
        <w:t>Each</w:t>
      </w:r>
      <w:r>
        <w:rPr>
          <w:color w:val="221F1F"/>
          <w:spacing w:val="-6"/>
        </w:rPr>
        <w:t xml:space="preserve"> </w:t>
      </w:r>
      <w:r>
        <w:rPr>
          <w:color w:val="221F1F"/>
        </w:rPr>
        <w:t>lot</w:t>
      </w:r>
      <w:r>
        <w:rPr>
          <w:color w:val="221F1F"/>
          <w:spacing w:val="-5"/>
        </w:rPr>
        <w:t xml:space="preserve"> </w:t>
      </w:r>
      <w:r>
        <w:rPr>
          <w:color w:val="221F1F"/>
        </w:rPr>
        <w:t>or</w:t>
      </w:r>
      <w:r>
        <w:rPr>
          <w:color w:val="221F1F"/>
          <w:spacing w:val="-5"/>
        </w:rPr>
        <w:t xml:space="preserve"> </w:t>
      </w:r>
      <w:r>
        <w:rPr>
          <w:color w:val="221F1F"/>
        </w:rPr>
        <w:t>contract</w:t>
      </w:r>
      <w:r>
        <w:rPr>
          <w:color w:val="221F1F"/>
          <w:spacing w:val="-4"/>
        </w:rPr>
        <w:t xml:space="preserve"> </w:t>
      </w:r>
      <w:r>
        <w:rPr>
          <w:color w:val="221F1F"/>
        </w:rPr>
        <w:t>will</w:t>
      </w:r>
      <w:r>
        <w:rPr>
          <w:color w:val="221F1F"/>
          <w:spacing w:val="-5"/>
        </w:rPr>
        <w:t xml:space="preserve"> </w:t>
      </w:r>
      <w:r>
        <w:rPr>
          <w:color w:val="221F1F"/>
        </w:rPr>
        <w:t>be</w:t>
      </w:r>
      <w:r>
        <w:rPr>
          <w:color w:val="221F1F"/>
          <w:spacing w:val="-6"/>
        </w:rPr>
        <w:t xml:space="preserve"> </w:t>
      </w:r>
      <w:r>
        <w:rPr>
          <w:color w:val="221F1F"/>
        </w:rPr>
        <w:t>evaluated</w:t>
      </w:r>
      <w:r>
        <w:rPr>
          <w:color w:val="221F1F"/>
          <w:spacing w:val="-8"/>
        </w:rPr>
        <w:t xml:space="preserve"> </w:t>
      </w:r>
      <w:r>
        <w:rPr>
          <w:color w:val="221F1F"/>
        </w:rPr>
        <w:t>in</w:t>
      </w:r>
      <w:r>
        <w:rPr>
          <w:color w:val="221F1F"/>
          <w:spacing w:val="-6"/>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ITT</w:t>
      </w:r>
      <w:r>
        <w:rPr>
          <w:color w:val="221F1F"/>
          <w:spacing w:val="-7"/>
        </w:rPr>
        <w:t xml:space="preserve"> </w:t>
      </w:r>
      <w:r>
        <w:rPr>
          <w:color w:val="221F1F"/>
        </w:rPr>
        <w:t>35.2.</w:t>
      </w:r>
      <w:r>
        <w:rPr>
          <w:color w:val="221F1F"/>
          <w:spacing w:val="-6"/>
        </w:rPr>
        <w:t xml:space="preserve"> </w:t>
      </w:r>
      <w:r>
        <w:rPr>
          <w:color w:val="221F1F"/>
        </w:rPr>
        <w:t>The</w:t>
      </w:r>
      <w:r>
        <w:rPr>
          <w:color w:val="221F1F"/>
          <w:spacing w:val="-6"/>
        </w:rPr>
        <w:t xml:space="preserve"> </w:t>
      </w:r>
      <w:r>
        <w:rPr>
          <w:color w:val="221F1F"/>
        </w:rPr>
        <w:t>methodology</w:t>
      </w:r>
      <w:r>
        <w:rPr>
          <w:color w:val="221F1F"/>
          <w:spacing w:val="-5"/>
        </w:rPr>
        <w:t xml:space="preserve"> </w:t>
      </w:r>
      <w:r>
        <w:rPr>
          <w:color w:val="221F1F"/>
        </w:rPr>
        <w:t>to</w:t>
      </w:r>
      <w:r>
        <w:rPr>
          <w:color w:val="221F1F"/>
          <w:spacing w:val="-6"/>
        </w:rPr>
        <w:t xml:space="preserve"> </w:t>
      </w:r>
      <w:r>
        <w:rPr>
          <w:color w:val="221F1F"/>
        </w:rPr>
        <w:t>determine the</w:t>
      </w:r>
      <w:r>
        <w:rPr>
          <w:color w:val="221F1F"/>
          <w:spacing w:val="-13"/>
        </w:rPr>
        <w:t xml:space="preserve"> </w:t>
      </w:r>
      <w:r>
        <w:rPr>
          <w:color w:val="221F1F"/>
        </w:rPr>
        <w:t>lowest</w:t>
      </w:r>
      <w:r>
        <w:rPr>
          <w:color w:val="221F1F"/>
          <w:spacing w:val="-12"/>
        </w:rPr>
        <w:t xml:space="preserve"> </w:t>
      </w:r>
      <w:r>
        <w:rPr>
          <w:color w:val="221F1F"/>
        </w:rPr>
        <w:t>evaluated</w:t>
      </w:r>
      <w:r>
        <w:rPr>
          <w:color w:val="221F1F"/>
          <w:spacing w:val="-12"/>
        </w:rPr>
        <w:t xml:space="preserve"> </w:t>
      </w:r>
      <w:r>
        <w:rPr>
          <w:color w:val="221F1F"/>
        </w:rPr>
        <w:t>tenderer</w:t>
      </w:r>
      <w:r>
        <w:rPr>
          <w:color w:val="221F1F"/>
          <w:spacing w:val="-9"/>
        </w:rPr>
        <w:t xml:space="preserve"> </w:t>
      </w:r>
      <w:r>
        <w:rPr>
          <w:color w:val="221F1F"/>
        </w:rPr>
        <w:t>or</w:t>
      </w:r>
      <w:r>
        <w:rPr>
          <w:color w:val="221F1F"/>
          <w:spacing w:val="-12"/>
        </w:rPr>
        <w:t xml:space="preserve"> </w:t>
      </w:r>
      <w:r>
        <w:rPr>
          <w:color w:val="221F1F"/>
        </w:rPr>
        <w:t>tenderers</w:t>
      </w:r>
      <w:r>
        <w:rPr>
          <w:color w:val="221F1F"/>
          <w:spacing w:val="-13"/>
        </w:rPr>
        <w:t xml:space="preserve"> </w:t>
      </w:r>
      <w:r>
        <w:rPr>
          <w:color w:val="221F1F"/>
        </w:rPr>
        <w:t>base</w:t>
      </w:r>
      <w:r>
        <w:rPr>
          <w:color w:val="221F1F"/>
          <w:spacing w:val="-12"/>
        </w:rPr>
        <w:t xml:space="preserve"> </w:t>
      </w:r>
      <w:r>
        <w:rPr>
          <w:color w:val="221F1F"/>
        </w:rPr>
        <w:t>done</w:t>
      </w:r>
      <w:r>
        <w:rPr>
          <w:color w:val="221F1F"/>
          <w:spacing w:val="-13"/>
        </w:rPr>
        <w:t xml:space="preserve"> </w:t>
      </w:r>
      <w:r>
        <w:rPr>
          <w:color w:val="221F1F"/>
        </w:rPr>
        <w:t>lot</w:t>
      </w:r>
      <w:r>
        <w:rPr>
          <w:color w:val="221F1F"/>
          <w:spacing w:val="-12"/>
        </w:rPr>
        <w:t xml:space="preserve"> </w:t>
      </w:r>
      <w:r>
        <w:rPr>
          <w:color w:val="221F1F"/>
        </w:rPr>
        <w:t>(contract)</w:t>
      </w:r>
      <w:r>
        <w:rPr>
          <w:color w:val="221F1F"/>
          <w:spacing w:val="-12"/>
        </w:rPr>
        <w:t xml:space="preserve"> </w:t>
      </w:r>
      <w:r>
        <w:rPr>
          <w:color w:val="221F1F"/>
        </w:rPr>
        <w:t>or</w:t>
      </w:r>
      <w:r>
        <w:rPr>
          <w:color w:val="221F1F"/>
          <w:spacing w:val="-12"/>
        </w:rPr>
        <w:t xml:space="preserve"> </w:t>
      </w:r>
      <w:r>
        <w:rPr>
          <w:color w:val="221F1F"/>
        </w:rPr>
        <w:t>based</w:t>
      </w:r>
      <w:r>
        <w:rPr>
          <w:color w:val="221F1F"/>
          <w:spacing w:val="-13"/>
        </w:rPr>
        <w:t xml:space="preserve"> </w:t>
      </w:r>
      <w:r>
        <w:rPr>
          <w:color w:val="221F1F"/>
        </w:rPr>
        <w:t>on</w:t>
      </w:r>
      <w:r>
        <w:rPr>
          <w:color w:val="221F1F"/>
          <w:spacing w:val="-13"/>
        </w:rPr>
        <w:t xml:space="preserve"> </w:t>
      </w:r>
      <w:r>
        <w:rPr>
          <w:color w:val="221F1F"/>
        </w:rPr>
        <w:t>a</w:t>
      </w:r>
      <w:r>
        <w:rPr>
          <w:color w:val="221F1F"/>
          <w:spacing w:val="-10"/>
        </w:rPr>
        <w:t xml:space="preserve"> </w:t>
      </w:r>
      <w:r>
        <w:rPr>
          <w:color w:val="221F1F"/>
        </w:rPr>
        <w:t>combination</w:t>
      </w:r>
      <w:r>
        <w:rPr>
          <w:color w:val="221F1F"/>
          <w:spacing w:val="-12"/>
        </w:rPr>
        <w:t xml:space="preserve"> </w:t>
      </w:r>
      <w:r>
        <w:rPr>
          <w:color w:val="221F1F"/>
        </w:rPr>
        <w:t>of</w:t>
      </w:r>
      <w:r>
        <w:rPr>
          <w:color w:val="221F1F"/>
          <w:spacing w:val="-12"/>
        </w:rPr>
        <w:t xml:space="preserve"> </w:t>
      </w:r>
      <w:r>
        <w:rPr>
          <w:color w:val="221F1F"/>
        </w:rPr>
        <w:t>lots</w:t>
      </w:r>
      <w:r>
        <w:rPr>
          <w:color w:val="221F1F"/>
          <w:spacing w:val="-12"/>
        </w:rPr>
        <w:t xml:space="preserve"> </w:t>
      </w:r>
      <w:r>
        <w:rPr>
          <w:color w:val="221F1F"/>
        </w:rPr>
        <w:t>(contracts), will</w:t>
      </w:r>
      <w:r>
        <w:rPr>
          <w:color w:val="221F1F"/>
          <w:spacing w:val="-1"/>
        </w:rPr>
        <w:t xml:space="preserve"> </w:t>
      </w:r>
      <w:r>
        <w:rPr>
          <w:color w:val="221F1F"/>
        </w:rPr>
        <w:t>be specified</w:t>
      </w:r>
      <w:r>
        <w:rPr>
          <w:color w:val="221F1F"/>
          <w:spacing w:val="-2"/>
        </w:rPr>
        <w:t xml:space="preserve"> </w:t>
      </w:r>
      <w:r>
        <w:rPr>
          <w:color w:val="221F1F"/>
        </w:rPr>
        <w:t>in Section</w:t>
      </w:r>
      <w:r>
        <w:rPr>
          <w:color w:val="221F1F"/>
          <w:spacing w:val="-2"/>
        </w:rPr>
        <w:t xml:space="preserve"> </w:t>
      </w:r>
      <w:r>
        <w:rPr>
          <w:color w:val="221F1F"/>
        </w:rPr>
        <w:t>III, Evaluation</w:t>
      </w:r>
      <w:r>
        <w:rPr>
          <w:color w:val="221F1F"/>
          <w:spacing w:val="-3"/>
        </w:rPr>
        <w:t xml:space="preserve"> </w:t>
      </w:r>
      <w:r>
        <w:rPr>
          <w:color w:val="221F1F"/>
        </w:rPr>
        <w:t>and Qualification Criteria. In the case of multiple</w:t>
      </w:r>
      <w:r>
        <w:rPr>
          <w:color w:val="221F1F"/>
          <w:spacing w:val="-2"/>
        </w:rPr>
        <w:t xml:space="preserve"> </w:t>
      </w:r>
      <w:r>
        <w:rPr>
          <w:color w:val="221F1F"/>
        </w:rPr>
        <w:t>lots or</w:t>
      </w:r>
      <w:r>
        <w:rPr>
          <w:color w:val="221F1F"/>
          <w:spacing w:val="-2"/>
        </w:rPr>
        <w:t xml:space="preserve"> </w:t>
      </w:r>
      <w:r>
        <w:rPr>
          <w:color w:val="221F1F"/>
        </w:rPr>
        <w:t>contracts, tenderer will be will be required to prepare the Eligibility and Qualification Criteria Form for each Lot.</w:t>
      </w:r>
    </w:p>
    <w:p w:rsidR="007F6DF9" w:rsidRDefault="007F6DF9">
      <w:pPr>
        <w:pStyle w:val="ListParagraph"/>
        <w:spacing w:line="230" w:lineRule="auto"/>
        <w:jc w:val="both"/>
        <w:sectPr w:rsidR="007F6DF9">
          <w:pgSz w:w="11920" w:h="16850"/>
          <w:pgMar w:top="360" w:right="0" w:bottom="620" w:left="0" w:header="0" w:footer="437" w:gutter="0"/>
          <w:pgNumType w:start="13"/>
          <w:cols w:space="720"/>
        </w:sectPr>
      </w:pPr>
    </w:p>
    <w:p w:rsidR="007F6DF9" w:rsidRDefault="007F6DF9">
      <w:pPr>
        <w:pStyle w:val="BodyText"/>
        <w:spacing w:before="17"/>
      </w:pPr>
    </w:p>
    <w:p w:rsidR="007F6DF9" w:rsidRDefault="00A43FBC">
      <w:pPr>
        <w:pStyle w:val="Heading9"/>
        <w:numPr>
          <w:ilvl w:val="0"/>
          <w:numId w:val="198"/>
        </w:numPr>
        <w:tabs>
          <w:tab w:val="left" w:pos="1440"/>
        </w:tabs>
      </w:pPr>
      <w:bookmarkStart w:id="35" w:name="_bookmark34"/>
      <w:bookmarkEnd w:id="35"/>
      <w:r>
        <w:rPr>
          <w:color w:val="221F1F"/>
        </w:rPr>
        <w:t>Comparison</w:t>
      </w:r>
      <w:r>
        <w:rPr>
          <w:color w:val="221F1F"/>
          <w:spacing w:val="-4"/>
        </w:rPr>
        <w:t xml:space="preserve"> </w:t>
      </w:r>
      <w:r>
        <w:rPr>
          <w:color w:val="221F1F"/>
        </w:rPr>
        <w:t>of</w:t>
      </w:r>
      <w:r>
        <w:rPr>
          <w:color w:val="221F1F"/>
          <w:spacing w:val="-4"/>
        </w:rPr>
        <w:t xml:space="preserve"> </w:t>
      </w:r>
      <w:r>
        <w:rPr>
          <w:color w:val="221F1F"/>
          <w:spacing w:val="-2"/>
        </w:rPr>
        <w:t>tenders</w:t>
      </w:r>
    </w:p>
    <w:p w:rsidR="007F6DF9" w:rsidRDefault="00A43FBC">
      <w:pPr>
        <w:pStyle w:val="BodyText"/>
        <w:spacing w:before="243" w:line="230" w:lineRule="auto"/>
        <w:ind w:left="1414" w:firstLine="43"/>
      </w:pPr>
      <w:r>
        <w:rPr>
          <w:color w:val="221F1F"/>
        </w:rPr>
        <w:t>The Procuring Entity shall compare the evaluated costs of all substantially responsive Tenders established in accordance with ITT 35.2 to determine the Tender that has the lowest evaluated cost.</w:t>
      </w:r>
    </w:p>
    <w:p w:rsidR="007F6DF9" w:rsidRDefault="00A43FBC">
      <w:pPr>
        <w:pStyle w:val="Heading9"/>
        <w:numPr>
          <w:ilvl w:val="0"/>
          <w:numId w:val="198"/>
        </w:numPr>
        <w:tabs>
          <w:tab w:val="left" w:pos="1413"/>
        </w:tabs>
        <w:spacing w:before="238" w:line="463" w:lineRule="auto"/>
        <w:ind w:left="849" w:right="5446" w:firstLine="0"/>
      </w:pPr>
      <w:r>
        <w:rPr>
          <w:color w:val="221F1F"/>
        </w:rPr>
        <w:t>Abnormally</w:t>
      </w:r>
      <w:r>
        <w:rPr>
          <w:color w:val="221F1F"/>
          <w:spacing w:val="-7"/>
        </w:rPr>
        <w:t xml:space="preserve"> </w:t>
      </w:r>
      <w:r>
        <w:rPr>
          <w:color w:val="221F1F"/>
        </w:rPr>
        <w:t>low</w:t>
      </w:r>
      <w:r>
        <w:rPr>
          <w:color w:val="221F1F"/>
          <w:spacing w:val="-4"/>
        </w:rPr>
        <w:t xml:space="preserve"> </w:t>
      </w:r>
      <w:r>
        <w:rPr>
          <w:color w:val="221F1F"/>
        </w:rPr>
        <w:t>tenders</w:t>
      </w:r>
      <w:r>
        <w:rPr>
          <w:color w:val="221F1F"/>
          <w:spacing w:val="-4"/>
        </w:rPr>
        <w:t xml:space="preserve"> </w:t>
      </w:r>
      <w:r>
        <w:rPr>
          <w:color w:val="221F1F"/>
        </w:rPr>
        <w:t>and</w:t>
      </w:r>
      <w:r>
        <w:rPr>
          <w:color w:val="221F1F"/>
          <w:spacing w:val="-6"/>
        </w:rPr>
        <w:t xml:space="preserve"> </w:t>
      </w:r>
      <w:r>
        <w:rPr>
          <w:color w:val="221F1F"/>
        </w:rPr>
        <w:t>abnormally</w:t>
      </w:r>
      <w:r>
        <w:rPr>
          <w:color w:val="221F1F"/>
          <w:spacing w:val="-5"/>
        </w:rPr>
        <w:t xml:space="preserve"> </w:t>
      </w:r>
      <w:r>
        <w:rPr>
          <w:color w:val="221F1F"/>
        </w:rPr>
        <w:t>high</w:t>
      </w:r>
      <w:r>
        <w:rPr>
          <w:color w:val="221F1F"/>
          <w:spacing w:val="-6"/>
        </w:rPr>
        <w:t xml:space="preserve"> </w:t>
      </w:r>
      <w:r>
        <w:rPr>
          <w:color w:val="221F1F"/>
        </w:rPr>
        <w:t xml:space="preserve">tenders Abnormally </w:t>
      </w:r>
      <w:r w:rsidR="00FC371B">
        <w:rPr>
          <w:color w:val="221F1F"/>
        </w:rPr>
        <w:t>Low Tenders</w:t>
      </w:r>
    </w:p>
    <w:p w:rsidR="007F6DF9" w:rsidRDefault="00A43FBC">
      <w:pPr>
        <w:pStyle w:val="ListParagraph"/>
        <w:numPr>
          <w:ilvl w:val="1"/>
          <w:numId w:val="198"/>
        </w:numPr>
        <w:tabs>
          <w:tab w:val="left" w:pos="1411"/>
          <w:tab w:val="left" w:pos="1414"/>
        </w:tabs>
        <w:spacing w:before="4" w:line="230" w:lineRule="auto"/>
        <w:ind w:right="829"/>
        <w:jc w:val="both"/>
      </w:pPr>
      <w:r>
        <w:rPr>
          <w:color w:val="221F1F"/>
        </w:rPr>
        <w:t>An</w:t>
      </w:r>
      <w:r>
        <w:rPr>
          <w:color w:val="221F1F"/>
          <w:spacing w:val="-3"/>
        </w:rPr>
        <w:t xml:space="preserve"> </w:t>
      </w:r>
      <w:r>
        <w:rPr>
          <w:color w:val="221F1F"/>
        </w:rPr>
        <w:t>Abnormally</w:t>
      </w:r>
      <w:r>
        <w:rPr>
          <w:color w:val="221F1F"/>
          <w:spacing w:val="-3"/>
        </w:rPr>
        <w:t xml:space="preserve"> </w:t>
      </w:r>
      <w:r>
        <w:rPr>
          <w:color w:val="221F1F"/>
        </w:rPr>
        <w:t>Low</w:t>
      </w:r>
      <w:r>
        <w:rPr>
          <w:color w:val="221F1F"/>
          <w:spacing w:val="-6"/>
        </w:rPr>
        <w:t xml:space="preserve"> </w:t>
      </w:r>
      <w:r>
        <w:rPr>
          <w:color w:val="221F1F"/>
        </w:rPr>
        <w:t>Tender</w:t>
      </w:r>
      <w:r>
        <w:rPr>
          <w:color w:val="221F1F"/>
          <w:spacing w:val="-8"/>
        </w:rPr>
        <w:t xml:space="preserve"> </w:t>
      </w:r>
      <w:r>
        <w:rPr>
          <w:color w:val="221F1F"/>
        </w:rPr>
        <w:t>is</w:t>
      </w:r>
      <w:r>
        <w:rPr>
          <w:color w:val="221F1F"/>
          <w:spacing w:val="-5"/>
        </w:rPr>
        <w:t xml:space="preserve"> </w:t>
      </w:r>
      <w:r>
        <w:rPr>
          <w:color w:val="221F1F"/>
        </w:rPr>
        <w:t>one</w:t>
      </w:r>
      <w:r>
        <w:rPr>
          <w:color w:val="221F1F"/>
          <w:spacing w:val="-3"/>
        </w:rPr>
        <w:t xml:space="preserve"> </w:t>
      </w:r>
      <w:r>
        <w:rPr>
          <w:color w:val="221F1F"/>
        </w:rPr>
        <w:t>where</w:t>
      </w:r>
      <w:r>
        <w:rPr>
          <w:color w:val="221F1F"/>
          <w:spacing w:val="-5"/>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price,</w:t>
      </w:r>
      <w:r>
        <w:rPr>
          <w:color w:val="221F1F"/>
          <w:spacing w:val="-5"/>
        </w:rPr>
        <w:t xml:space="preserve"> </w:t>
      </w:r>
      <w:r>
        <w:rPr>
          <w:color w:val="221F1F"/>
        </w:rPr>
        <w:t>in</w:t>
      </w:r>
      <w:r>
        <w:rPr>
          <w:color w:val="221F1F"/>
          <w:spacing w:val="-6"/>
        </w:rPr>
        <w:t xml:space="preserve"> </w:t>
      </w:r>
      <w:r>
        <w:rPr>
          <w:color w:val="221F1F"/>
        </w:rPr>
        <w:t>combination</w:t>
      </w:r>
      <w:r>
        <w:rPr>
          <w:color w:val="221F1F"/>
          <w:spacing w:val="-6"/>
        </w:rPr>
        <w:t xml:space="preserve"> </w:t>
      </w:r>
      <w:r>
        <w:rPr>
          <w:color w:val="221F1F"/>
        </w:rPr>
        <w:t>with</w:t>
      </w:r>
      <w:r>
        <w:rPr>
          <w:color w:val="221F1F"/>
          <w:spacing w:val="-5"/>
        </w:rPr>
        <w:t xml:space="preserve"> </w:t>
      </w:r>
      <w:r>
        <w:rPr>
          <w:color w:val="221F1F"/>
        </w:rPr>
        <w:t>other</w:t>
      </w:r>
      <w:r>
        <w:rPr>
          <w:color w:val="221F1F"/>
          <w:spacing w:val="-4"/>
        </w:rPr>
        <w:t xml:space="preserve"> </w:t>
      </w:r>
      <w:r>
        <w:rPr>
          <w:color w:val="221F1F"/>
        </w:rPr>
        <w:t>elements</w:t>
      </w:r>
      <w:r>
        <w:rPr>
          <w:color w:val="221F1F"/>
          <w:spacing w:val="-3"/>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 appears so low</w:t>
      </w:r>
      <w:r>
        <w:rPr>
          <w:color w:val="221F1F"/>
          <w:spacing w:val="-2"/>
        </w:rPr>
        <w:t xml:space="preserve"> </w:t>
      </w:r>
      <w:r>
        <w:rPr>
          <w:color w:val="221F1F"/>
        </w:rPr>
        <w:t>that it raises</w:t>
      </w:r>
      <w:r>
        <w:rPr>
          <w:color w:val="221F1F"/>
          <w:spacing w:val="-1"/>
        </w:rPr>
        <w:t xml:space="preserve"> </w:t>
      </w:r>
      <w:r>
        <w:rPr>
          <w:color w:val="221F1F"/>
        </w:rPr>
        <w:t>material concerns as to the</w:t>
      </w:r>
      <w:r>
        <w:rPr>
          <w:color w:val="221F1F"/>
          <w:spacing w:val="-1"/>
        </w:rPr>
        <w:t xml:space="preserve"> </w:t>
      </w:r>
      <w:r>
        <w:rPr>
          <w:color w:val="221F1F"/>
        </w:rPr>
        <w:t>capability of</w:t>
      </w:r>
      <w:r>
        <w:rPr>
          <w:color w:val="221F1F"/>
          <w:spacing w:val="-1"/>
        </w:rPr>
        <w:t xml:space="preserve"> </w:t>
      </w:r>
      <w:r>
        <w:rPr>
          <w:color w:val="221F1F"/>
        </w:rPr>
        <w:t>the Tenderer</w:t>
      </w:r>
      <w:r>
        <w:rPr>
          <w:color w:val="221F1F"/>
          <w:spacing w:val="-1"/>
        </w:rPr>
        <w:t xml:space="preserve"> </w:t>
      </w:r>
      <w:r>
        <w:rPr>
          <w:color w:val="221F1F"/>
        </w:rPr>
        <w:t>in regards</w:t>
      </w:r>
      <w:r>
        <w:rPr>
          <w:color w:val="221F1F"/>
          <w:spacing w:val="-1"/>
        </w:rPr>
        <w:t xml:space="preserve"> </w:t>
      </w:r>
      <w:r>
        <w:rPr>
          <w:color w:val="221F1F"/>
        </w:rPr>
        <w:t>to the Tenderer's ability to perform the Contract for the offered Tender</w:t>
      </w:r>
      <w:r>
        <w:rPr>
          <w:color w:val="221F1F"/>
          <w:spacing w:val="-2"/>
        </w:rPr>
        <w:t xml:space="preserve"> </w:t>
      </w:r>
      <w:r>
        <w:rPr>
          <w:color w:val="221F1F"/>
        </w:rPr>
        <w:t xml:space="preserve">Price or that genuine competition between </w:t>
      </w:r>
      <w:r w:rsidR="00FC371B">
        <w:rPr>
          <w:color w:val="221F1F"/>
        </w:rPr>
        <w:t>Tenderers is</w:t>
      </w:r>
      <w:r>
        <w:rPr>
          <w:color w:val="221F1F"/>
        </w:rPr>
        <w:t xml:space="preserve"> </w:t>
      </w:r>
      <w:r>
        <w:rPr>
          <w:color w:val="221F1F"/>
          <w:spacing w:val="-2"/>
        </w:rPr>
        <w:t>compromised.</w:t>
      </w:r>
    </w:p>
    <w:p w:rsidR="007F6DF9" w:rsidRDefault="00A43FBC">
      <w:pPr>
        <w:pStyle w:val="ListParagraph"/>
        <w:numPr>
          <w:ilvl w:val="1"/>
          <w:numId w:val="198"/>
        </w:numPr>
        <w:tabs>
          <w:tab w:val="left" w:pos="1411"/>
          <w:tab w:val="left" w:pos="1414"/>
        </w:tabs>
        <w:spacing w:before="245" w:line="230" w:lineRule="auto"/>
        <w:ind w:right="835"/>
        <w:jc w:val="both"/>
      </w:pPr>
      <w:r>
        <w:rPr>
          <w:color w:val="221F1F"/>
        </w:rPr>
        <w:t>In the</w:t>
      </w:r>
      <w:r>
        <w:rPr>
          <w:color w:val="221F1F"/>
          <w:spacing w:val="-2"/>
        </w:rPr>
        <w:t xml:space="preserve"> </w:t>
      </w:r>
      <w:r>
        <w:rPr>
          <w:color w:val="221F1F"/>
        </w:rPr>
        <w:t>event of</w:t>
      </w:r>
      <w:r>
        <w:rPr>
          <w:color w:val="221F1F"/>
          <w:spacing w:val="-1"/>
        </w:rPr>
        <w:t xml:space="preserve"> </w:t>
      </w:r>
      <w:r>
        <w:rPr>
          <w:color w:val="221F1F"/>
        </w:rPr>
        <w:t>identification of</w:t>
      </w:r>
      <w:r>
        <w:rPr>
          <w:color w:val="221F1F"/>
          <w:spacing w:val="-1"/>
        </w:rPr>
        <w:t xml:space="preserve"> </w:t>
      </w:r>
      <w:r>
        <w:rPr>
          <w:color w:val="221F1F"/>
        </w:rPr>
        <w:t>a potentially Abnormally</w:t>
      </w:r>
      <w:r>
        <w:rPr>
          <w:color w:val="221F1F"/>
          <w:spacing w:val="-2"/>
        </w:rPr>
        <w:t xml:space="preserve"> </w:t>
      </w:r>
      <w:r>
        <w:rPr>
          <w:color w:val="221F1F"/>
        </w:rPr>
        <w:t>Low Tender,</w:t>
      </w:r>
      <w:r>
        <w:rPr>
          <w:color w:val="221F1F"/>
          <w:spacing w:val="-9"/>
        </w:rPr>
        <w:t xml:space="preserve"> </w:t>
      </w:r>
      <w:r>
        <w:rPr>
          <w:color w:val="221F1F"/>
        </w:rPr>
        <w:t>the Procuring Entity shall seek written clarifications from</w:t>
      </w:r>
      <w:r>
        <w:rPr>
          <w:color w:val="221F1F"/>
          <w:spacing w:val="-2"/>
        </w:rPr>
        <w:t xml:space="preserve"> </w:t>
      </w:r>
      <w:r>
        <w:rPr>
          <w:color w:val="221F1F"/>
        </w:rPr>
        <w:t>the Tenderer,</w:t>
      </w:r>
      <w:r>
        <w:rPr>
          <w:color w:val="221F1F"/>
          <w:spacing w:val="-7"/>
        </w:rPr>
        <w:t xml:space="preserve"> </w:t>
      </w:r>
      <w:r>
        <w:rPr>
          <w:color w:val="221F1F"/>
        </w:rPr>
        <w:t>including</w:t>
      </w:r>
      <w:r>
        <w:rPr>
          <w:color w:val="221F1F"/>
          <w:spacing w:val="-1"/>
        </w:rPr>
        <w:t xml:space="preserve"> </w:t>
      </w:r>
      <w:r>
        <w:rPr>
          <w:color w:val="221F1F"/>
        </w:rPr>
        <w:t>detailed price analyses of its Tender</w:t>
      </w:r>
      <w:r>
        <w:rPr>
          <w:color w:val="221F1F"/>
          <w:spacing w:val="-7"/>
        </w:rPr>
        <w:t xml:space="preserve"> </w:t>
      </w:r>
      <w:r>
        <w:rPr>
          <w:color w:val="221F1F"/>
        </w:rPr>
        <w:t>price in</w:t>
      </w:r>
      <w:r>
        <w:rPr>
          <w:color w:val="221F1F"/>
          <w:spacing w:val="-3"/>
        </w:rPr>
        <w:t xml:space="preserve"> </w:t>
      </w:r>
      <w:r>
        <w:rPr>
          <w:color w:val="221F1F"/>
        </w:rPr>
        <w:t>relation</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subject matter</w:t>
      </w:r>
      <w:r>
        <w:rPr>
          <w:color w:val="221F1F"/>
          <w:spacing w:val="-3"/>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contract,</w:t>
      </w:r>
      <w:r>
        <w:rPr>
          <w:color w:val="221F1F"/>
          <w:spacing w:val="-4"/>
        </w:rPr>
        <w:t xml:space="preserve"> </w:t>
      </w:r>
      <w:r>
        <w:rPr>
          <w:color w:val="221F1F"/>
        </w:rPr>
        <w:t>scope,</w:t>
      </w:r>
      <w:r>
        <w:rPr>
          <w:color w:val="221F1F"/>
          <w:spacing w:val="-4"/>
        </w:rPr>
        <w:t xml:space="preserve"> </w:t>
      </w:r>
      <w:r>
        <w:rPr>
          <w:color w:val="221F1F"/>
        </w:rPr>
        <w:t>proposed</w:t>
      </w:r>
      <w:r>
        <w:rPr>
          <w:color w:val="221F1F"/>
          <w:spacing w:val="-7"/>
        </w:rPr>
        <w:t xml:space="preserve"> </w:t>
      </w:r>
      <w:r>
        <w:rPr>
          <w:color w:val="221F1F"/>
        </w:rPr>
        <w:t>methodology,</w:t>
      </w:r>
      <w:r>
        <w:rPr>
          <w:color w:val="221F1F"/>
          <w:spacing w:val="-7"/>
        </w:rPr>
        <w:t xml:space="preserve"> </w:t>
      </w:r>
      <w:r>
        <w:rPr>
          <w:color w:val="221F1F"/>
        </w:rPr>
        <w:t>schedule,</w:t>
      </w:r>
      <w:r>
        <w:rPr>
          <w:color w:val="221F1F"/>
          <w:spacing w:val="-6"/>
        </w:rPr>
        <w:t xml:space="preserve"> </w:t>
      </w:r>
      <w:r>
        <w:rPr>
          <w:color w:val="221F1F"/>
        </w:rPr>
        <w:t>allocation</w:t>
      </w:r>
      <w:r>
        <w:rPr>
          <w:color w:val="221F1F"/>
          <w:spacing w:val="-6"/>
        </w:rPr>
        <w:t xml:space="preserve"> </w:t>
      </w:r>
      <w:r>
        <w:rPr>
          <w:color w:val="221F1F"/>
        </w:rPr>
        <w:t>of</w:t>
      </w:r>
      <w:r>
        <w:rPr>
          <w:color w:val="221F1F"/>
          <w:spacing w:val="-6"/>
        </w:rPr>
        <w:t xml:space="preserve"> </w:t>
      </w:r>
      <w:r>
        <w:rPr>
          <w:color w:val="221F1F"/>
        </w:rPr>
        <w:t>risks</w:t>
      </w:r>
      <w:r>
        <w:rPr>
          <w:color w:val="221F1F"/>
          <w:spacing w:val="-8"/>
        </w:rPr>
        <w:t xml:space="preserve"> </w:t>
      </w:r>
      <w:r>
        <w:rPr>
          <w:color w:val="221F1F"/>
        </w:rPr>
        <w:t>and</w:t>
      </w:r>
      <w:r>
        <w:rPr>
          <w:color w:val="221F1F"/>
          <w:spacing w:val="-4"/>
        </w:rPr>
        <w:t xml:space="preserve"> </w:t>
      </w:r>
      <w:r>
        <w:rPr>
          <w:color w:val="221F1F"/>
        </w:rPr>
        <w:t>responsibilities</w:t>
      </w:r>
      <w:r>
        <w:rPr>
          <w:color w:val="221F1F"/>
          <w:spacing w:val="-6"/>
        </w:rPr>
        <w:t xml:space="preserve"> </w:t>
      </w:r>
      <w:r>
        <w:rPr>
          <w:color w:val="221F1F"/>
        </w:rPr>
        <w:t>and</w:t>
      </w:r>
      <w:r>
        <w:rPr>
          <w:color w:val="221F1F"/>
          <w:spacing w:val="-7"/>
        </w:rPr>
        <w:t xml:space="preserve"> </w:t>
      </w:r>
      <w:r>
        <w:rPr>
          <w:color w:val="221F1F"/>
        </w:rPr>
        <w:t xml:space="preserve">any </w:t>
      </w:r>
      <w:r w:rsidR="00FC371B">
        <w:rPr>
          <w:color w:val="221F1F"/>
        </w:rPr>
        <w:t>other requirements</w:t>
      </w:r>
      <w:r>
        <w:rPr>
          <w:color w:val="221F1F"/>
        </w:rPr>
        <w:t xml:space="preserve"> of the Tender document.</w:t>
      </w:r>
    </w:p>
    <w:p w:rsidR="007F6DF9" w:rsidRDefault="00A43FBC">
      <w:pPr>
        <w:pStyle w:val="ListParagraph"/>
        <w:numPr>
          <w:ilvl w:val="1"/>
          <w:numId w:val="198"/>
        </w:numPr>
        <w:tabs>
          <w:tab w:val="left" w:pos="1411"/>
          <w:tab w:val="left" w:pos="1414"/>
        </w:tabs>
        <w:spacing w:before="246" w:line="230" w:lineRule="auto"/>
        <w:ind w:right="833"/>
        <w:jc w:val="both"/>
      </w:pPr>
      <w:r>
        <w:rPr>
          <w:color w:val="221F1F"/>
        </w:rPr>
        <w:t>After evaluation of the price analyses, in the event that the Procuring Entity determines that the Tenderer has failed to demonstrate its capability to perform the Contract for the offered Tender</w:t>
      </w:r>
      <w:r>
        <w:rPr>
          <w:color w:val="221F1F"/>
          <w:spacing w:val="-2"/>
        </w:rPr>
        <w:t xml:space="preserve"> </w:t>
      </w:r>
      <w:r>
        <w:rPr>
          <w:color w:val="221F1F"/>
        </w:rPr>
        <w:t xml:space="preserve">Price, the Procuring Entity </w:t>
      </w:r>
      <w:bookmarkStart w:id="36" w:name="_bookmark35"/>
      <w:bookmarkEnd w:id="36"/>
      <w:r>
        <w:rPr>
          <w:color w:val="221F1F"/>
        </w:rPr>
        <w:t>shall reject the Tender.</w:t>
      </w:r>
    </w:p>
    <w:p w:rsidR="007F6DF9" w:rsidRDefault="00A43FBC">
      <w:pPr>
        <w:pStyle w:val="Heading9"/>
        <w:spacing w:before="235"/>
        <w:ind w:left="849" w:firstLine="0"/>
      </w:pPr>
      <w:r>
        <w:rPr>
          <w:color w:val="221F1F"/>
        </w:rPr>
        <w:t>Abnormally</w:t>
      </w:r>
      <w:r>
        <w:rPr>
          <w:color w:val="221F1F"/>
          <w:spacing w:val="-5"/>
        </w:rPr>
        <w:t xml:space="preserve"> </w:t>
      </w:r>
      <w:r>
        <w:rPr>
          <w:color w:val="221F1F"/>
        </w:rPr>
        <w:t>high</w:t>
      </w:r>
      <w:r>
        <w:rPr>
          <w:color w:val="221F1F"/>
          <w:spacing w:val="-6"/>
        </w:rPr>
        <w:t xml:space="preserve"> </w:t>
      </w:r>
      <w:r>
        <w:rPr>
          <w:color w:val="221F1F"/>
          <w:spacing w:val="-2"/>
        </w:rPr>
        <w:t>tenders</w:t>
      </w:r>
    </w:p>
    <w:p w:rsidR="007F6DF9" w:rsidRDefault="00FC371B">
      <w:pPr>
        <w:pStyle w:val="ListParagraph"/>
        <w:numPr>
          <w:ilvl w:val="1"/>
          <w:numId w:val="198"/>
        </w:numPr>
        <w:tabs>
          <w:tab w:val="left" w:pos="1411"/>
          <w:tab w:val="left" w:pos="1414"/>
        </w:tabs>
        <w:spacing w:before="243" w:line="230" w:lineRule="auto"/>
        <w:ind w:right="834"/>
        <w:jc w:val="both"/>
      </w:pPr>
      <w:r>
        <w:rPr>
          <w:color w:val="221F1F"/>
        </w:rPr>
        <w:t>An abnormally</w:t>
      </w:r>
      <w:r w:rsidR="00A43FBC">
        <w:rPr>
          <w:color w:val="221F1F"/>
          <w:spacing w:val="-3"/>
        </w:rPr>
        <w:t xml:space="preserve"> </w:t>
      </w:r>
      <w:r w:rsidR="00A43FBC">
        <w:rPr>
          <w:color w:val="221F1F"/>
        </w:rPr>
        <w:t>high</w:t>
      </w:r>
      <w:r w:rsidR="00A43FBC">
        <w:rPr>
          <w:color w:val="221F1F"/>
          <w:spacing w:val="-4"/>
        </w:rPr>
        <w:t xml:space="preserve"> </w:t>
      </w:r>
      <w:r w:rsidR="00A43FBC">
        <w:rPr>
          <w:color w:val="221F1F"/>
        </w:rPr>
        <w:t>tender</w:t>
      </w:r>
      <w:r w:rsidR="00A43FBC">
        <w:rPr>
          <w:color w:val="221F1F"/>
          <w:spacing w:val="-2"/>
        </w:rPr>
        <w:t xml:space="preserve"> </w:t>
      </w:r>
      <w:r w:rsidR="00A43FBC">
        <w:rPr>
          <w:color w:val="221F1F"/>
        </w:rPr>
        <w:t>price</w:t>
      </w:r>
      <w:r w:rsidR="00A43FBC">
        <w:rPr>
          <w:color w:val="221F1F"/>
          <w:spacing w:val="-1"/>
        </w:rPr>
        <w:t xml:space="preserve"> </w:t>
      </w:r>
      <w:r w:rsidR="00A43FBC">
        <w:rPr>
          <w:color w:val="221F1F"/>
        </w:rPr>
        <w:t>is</w:t>
      </w:r>
      <w:r w:rsidR="00A43FBC">
        <w:rPr>
          <w:color w:val="221F1F"/>
          <w:spacing w:val="-1"/>
        </w:rPr>
        <w:t xml:space="preserve"> </w:t>
      </w:r>
      <w:r w:rsidR="00A43FBC">
        <w:rPr>
          <w:color w:val="221F1F"/>
        </w:rPr>
        <w:t>one</w:t>
      </w:r>
      <w:r w:rsidR="00A43FBC">
        <w:rPr>
          <w:color w:val="221F1F"/>
          <w:spacing w:val="-1"/>
        </w:rPr>
        <w:t xml:space="preserve"> </w:t>
      </w:r>
      <w:r w:rsidR="00A43FBC">
        <w:rPr>
          <w:color w:val="221F1F"/>
        </w:rPr>
        <w:t>where</w:t>
      </w:r>
      <w:r w:rsidR="00A43FBC">
        <w:rPr>
          <w:color w:val="221F1F"/>
          <w:spacing w:val="-3"/>
        </w:rPr>
        <w:t xml:space="preserve"> </w:t>
      </w:r>
      <w:r w:rsidR="00A43FBC">
        <w:rPr>
          <w:color w:val="221F1F"/>
        </w:rPr>
        <w:t>the</w:t>
      </w:r>
      <w:r w:rsidR="00A43FBC">
        <w:rPr>
          <w:color w:val="221F1F"/>
          <w:spacing w:val="-3"/>
        </w:rPr>
        <w:t xml:space="preserve"> </w:t>
      </w:r>
      <w:r w:rsidR="00A43FBC">
        <w:rPr>
          <w:color w:val="221F1F"/>
        </w:rPr>
        <w:t>tender price,</w:t>
      </w:r>
      <w:r w:rsidR="00A43FBC">
        <w:rPr>
          <w:color w:val="221F1F"/>
          <w:spacing w:val="-1"/>
        </w:rPr>
        <w:t xml:space="preserve"> </w:t>
      </w:r>
      <w:r w:rsidR="00A43FBC">
        <w:rPr>
          <w:color w:val="221F1F"/>
        </w:rPr>
        <w:t>in</w:t>
      </w:r>
      <w:r w:rsidR="00A43FBC">
        <w:rPr>
          <w:color w:val="221F1F"/>
          <w:spacing w:val="-1"/>
        </w:rPr>
        <w:t xml:space="preserve"> </w:t>
      </w:r>
      <w:r w:rsidR="00A43FBC">
        <w:rPr>
          <w:color w:val="221F1F"/>
        </w:rPr>
        <w:t>combination</w:t>
      </w:r>
      <w:r w:rsidR="00A43FBC">
        <w:rPr>
          <w:color w:val="221F1F"/>
          <w:spacing w:val="-1"/>
        </w:rPr>
        <w:t xml:space="preserve"> </w:t>
      </w:r>
      <w:r w:rsidR="00A43FBC">
        <w:rPr>
          <w:color w:val="221F1F"/>
        </w:rPr>
        <w:t>with</w:t>
      </w:r>
      <w:r w:rsidR="00A43FBC">
        <w:rPr>
          <w:color w:val="221F1F"/>
          <w:spacing w:val="-1"/>
        </w:rPr>
        <w:t xml:space="preserve"> </w:t>
      </w:r>
      <w:r w:rsidR="00A43FBC">
        <w:rPr>
          <w:color w:val="221F1F"/>
        </w:rPr>
        <w:t>other constituent</w:t>
      </w:r>
      <w:r w:rsidR="00A43FBC">
        <w:rPr>
          <w:color w:val="221F1F"/>
          <w:spacing w:val="-2"/>
        </w:rPr>
        <w:t xml:space="preserve"> </w:t>
      </w:r>
      <w:r w:rsidR="00A43FBC">
        <w:rPr>
          <w:color w:val="221F1F"/>
        </w:rPr>
        <w:t>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rsidR="007F6DF9" w:rsidRDefault="00FC371B">
      <w:pPr>
        <w:pStyle w:val="ListParagraph"/>
        <w:numPr>
          <w:ilvl w:val="1"/>
          <w:numId w:val="198"/>
        </w:numPr>
        <w:tabs>
          <w:tab w:val="left" w:pos="1411"/>
          <w:tab w:val="left" w:pos="1414"/>
        </w:tabs>
        <w:spacing w:before="247" w:line="230" w:lineRule="auto"/>
        <w:ind w:right="834"/>
        <w:jc w:val="both"/>
      </w:pPr>
      <w:r>
        <w:rPr>
          <w:color w:val="221F1F"/>
        </w:rPr>
        <w:t>In case</w:t>
      </w:r>
      <w:r w:rsidR="00A43FBC">
        <w:rPr>
          <w:color w:val="221F1F"/>
          <w:spacing w:val="-5"/>
        </w:rPr>
        <w:t xml:space="preserve"> </w:t>
      </w:r>
      <w:r w:rsidR="00A43FBC">
        <w:rPr>
          <w:color w:val="221F1F"/>
        </w:rPr>
        <w:t>of</w:t>
      </w:r>
      <w:r w:rsidR="00A43FBC">
        <w:rPr>
          <w:color w:val="221F1F"/>
          <w:spacing w:val="-5"/>
        </w:rPr>
        <w:t xml:space="preserve"> </w:t>
      </w:r>
      <w:r w:rsidR="00A43FBC">
        <w:rPr>
          <w:color w:val="221F1F"/>
        </w:rPr>
        <w:t>a</w:t>
      </w:r>
      <w:r w:rsidR="00A43FBC">
        <w:rPr>
          <w:color w:val="221F1F"/>
          <w:spacing w:val="-6"/>
        </w:rPr>
        <w:t xml:space="preserve"> </w:t>
      </w:r>
      <w:r w:rsidR="00A43FBC">
        <w:rPr>
          <w:color w:val="221F1F"/>
        </w:rPr>
        <w:t>nab</w:t>
      </w:r>
      <w:r w:rsidR="00A43FBC">
        <w:rPr>
          <w:color w:val="221F1F"/>
          <w:spacing w:val="-6"/>
        </w:rPr>
        <w:t xml:space="preserve"> </w:t>
      </w:r>
      <w:r w:rsidR="00A43FBC">
        <w:rPr>
          <w:color w:val="221F1F"/>
        </w:rPr>
        <w:t>normally</w:t>
      </w:r>
      <w:r w:rsidR="00A43FBC">
        <w:rPr>
          <w:color w:val="221F1F"/>
          <w:spacing w:val="-6"/>
        </w:rPr>
        <w:t xml:space="preserve"> </w:t>
      </w:r>
      <w:r w:rsidR="00A43FBC">
        <w:rPr>
          <w:color w:val="221F1F"/>
        </w:rPr>
        <w:t>high</w:t>
      </w:r>
      <w:r w:rsidR="00A43FBC">
        <w:rPr>
          <w:color w:val="221F1F"/>
          <w:spacing w:val="-6"/>
        </w:rPr>
        <w:t xml:space="preserve"> </w:t>
      </w:r>
      <w:r w:rsidR="00A43FBC">
        <w:rPr>
          <w:color w:val="221F1F"/>
        </w:rPr>
        <w:t>price,</w:t>
      </w:r>
      <w:r w:rsidR="00A43FBC">
        <w:rPr>
          <w:color w:val="221F1F"/>
          <w:spacing w:val="-8"/>
        </w:rPr>
        <w:t xml:space="preserve"> </w:t>
      </w:r>
      <w:r w:rsidR="00A43FBC">
        <w:rPr>
          <w:color w:val="221F1F"/>
        </w:rPr>
        <w:t>the</w:t>
      </w:r>
      <w:r w:rsidR="00A43FBC">
        <w:rPr>
          <w:color w:val="221F1F"/>
          <w:spacing w:val="-6"/>
        </w:rPr>
        <w:t xml:space="preserve"> </w:t>
      </w:r>
      <w:r w:rsidR="00A43FBC">
        <w:rPr>
          <w:color w:val="221F1F"/>
        </w:rPr>
        <w:t>Procuring</w:t>
      </w:r>
      <w:r w:rsidR="00A43FBC">
        <w:rPr>
          <w:color w:val="221F1F"/>
          <w:spacing w:val="-6"/>
        </w:rPr>
        <w:t xml:space="preserve"> </w:t>
      </w:r>
      <w:r w:rsidR="00A43FBC">
        <w:rPr>
          <w:color w:val="221F1F"/>
        </w:rPr>
        <w:t>Entity</w:t>
      </w:r>
      <w:r w:rsidR="00A43FBC">
        <w:rPr>
          <w:color w:val="221F1F"/>
          <w:spacing w:val="-5"/>
        </w:rPr>
        <w:t xml:space="preserve"> </w:t>
      </w:r>
      <w:r w:rsidR="00A43FBC">
        <w:rPr>
          <w:color w:val="221F1F"/>
        </w:rPr>
        <w:t>shall</w:t>
      </w:r>
      <w:r w:rsidR="00A43FBC">
        <w:rPr>
          <w:color w:val="221F1F"/>
          <w:spacing w:val="-5"/>
        </w:rPr>
        <w:t xml:space="preserve"> </w:t>
      </w:r>
      <w:r w:rsidR="00A43FBC">
        <w:rPr>
          <w:color w:val="221F1F"/>
        </w:rPr>
        <w:t>make</w:t>
      </w:r>
      <w:r w:rsidR="00A43FBC">
        <w:rPr>
          <w:color w:val="221F1F"/>
          <w:spacing w:val="-5"/>
        </w:rPr>
        <w:t xml:space="preserve"> </w:t>
      </w:r>
      <w:r w:rsidR="00A43FBC">
        <w:rPr>
          <w:color w:val="221F1F"/>
        </w:rPr>
        <w:t>a</w:t>
      </w:r>
      <w:r w:rsidR="00A43FBC">
        <w:rPr>
          <w:color w:val="221F1F"/>
          <w:spacing w:val="-8"/>
        </w:rPr>
        <w:t xml:space="preserve"> </w:t>
      </w:r>
      <w:r w:rsidR="00A43FBC">
        <w:rPr>
          <w:color w:val="221F1F"/>
        </w:rPr>
        <w:t>survey</w:t>
      </w:r>
      <w:r w:rsidR="00A43FBC">
        <w:rPr>
          <w:color w:val="221F1F"/>
          <w:spacing w:val="-6"/>
        </w:rPr>
        <w:t xml:space="preserve"> </w:t>
      </w:r>
      <w:r w:rsidR="00A43FBC">
        <w:rPr>
          <w:color w:val="221F1F"/>
        </w:rPr>
        <w:t>of</w:t>
      </w:r>
      <w:r w:rsidR="00A43FBC">
        <w:rPr>
          <w:color w:val="221F1F"/>
          <w:spacing w:val="-5"/>
        </w:rPr>
        <w:t xml:space="preserve"> </w:t>
      </w:r>
      <w:r w:rsidR="00A43FBC">
        <w:rPr>
          <w:color w:val="221F1F"/>
        </w:rPr>
        <w:t>the</w:t>
      </w:r>
      <w:r w:rsidR="00A43FBC">
        <w:rPr>
          <w:color w:val="221F1F"/>
          <w:spacing w:val="-5"/>
        </w:rPr>
        <w:t xml:space="preserve"> </w:t>
      </w:r>
      <w:r w:rsidR="00A43FBC">
        <w:rPr>
          <w:color w:val="221F1F"/>
        </w:rPr>
        <w:t>market</w:t>
      </w:r>
      <w:r w:rsidR="00A43FBC">
        <w:rPr>
          <w:color w:val="221F1F"/>
          <w:spacing w:val="-4"/>
        </w:rPr>
        <w:t xml:space="preserve"> </w:t>
      </w:r>
      <w:r w:rsidR="00A43FBC">
        <w:rPr>
          <w:color w:val="221F1F"/>
        </w:rPr>
        <w:t>prices,</w:t>
      </w:r>
      <w:r w:rsidR="00A43FBC">
        <w:rPr>
          <w:color w:val="221F1F"/>
          <w:spacing w:val="-6"/>
        </w:rPr>
        <w:t xml:space="preserve"> </w:t>
      </w:r>
      <w:r w:rsidR="00A43FBC">
        <w:rPr>
          <w:color w:val="221F1F"/>
        </w:rPr>
        <w:t>check</w:t>
      </w:r>
      <w:r w:rsidR="00A43FBC">
        <w:rPr>
          <w:color w:val="221F1F"/>
          <w:spacing w:val="-8"/>
        </w:rPr>
        <w:t xml:space="preserve"> </w:t>
      </w:r>
      <w:r w:rsidR="00A43FBC">
        <w:rPr>
          <w:color w:val="221F1F"/>
        </w:rPr>
        <w:t>if</w:t>
      </w:r>
      <w:r w:rsidR="00A43FBC">
        <w:rPr>
          <w:color w:val="221F1F"/>
          <w:spacing w:val="-8"/>
        </w:rPr>
        <w:t xml:space="preserve"> </w:t>
      </w:r>
      <w:r w:rsidR="00A43FBC">
        <w:rPr>
          <w:color w:val="221F1F"/>
        </w:rPr>
        <w:t>the estimated</w:t>
      </w:r>
      <w:r w:rsidR="00A43FBC">
        <w:rPr>
          <w:color w:val="221F1F"/>
          <w:spacing w:val="-5"/>
        </w:rPr>
        <w:t xml:space="preserve"> </w:t>
      </w:r>
      <w:r w:rsidR="00A43FBC">
        <w:rPr>
          <w:color w:val="221F1F"/>
        </w:rPr>
        <w:t>cost</w:t>
      </w:r>
      <w:r w:rsidR="00A43FBC">
        <w:rPr>
          <w:color w:val="221F1F"/>
          <w:spacing w:val="-5"/>
        </w:rPr>
        <w:t xml:space="preserve"> </w:t>
      </w:r>
      <w:r w:rsidR="00A43FBC">
        <w:rPr>
          <w:color w:val="221F1F"/>
        </w:rPr>
        <w:t>of</w:t>
      </w:r>
      <w:r w:rsidR="00A43FBC">
        <w:rPr>
          <w:color w:val="221F1F"/>
          <w:spacing w:val="-5"/>
        </w:rPr>
        <w:t xml:space="preserve"> </w:t>
      </w:r>
      <w:r w:rsidR="00A43FBC">
        <w:rPr>
          <w:color w:val="221F1F"/>
        </w:rPr>
        <w:t>the</w:t>
      </w:r>
      <w:r w:rsidR="00A43FBC">
        <w:rPr>
          <w:color w:val="221F1F"/>
          <w:spacing w:val="-5"/>
        </w:rPr>
        <w:t xml:space="preserve"> </w:t>
      </w:r>
      <w:r w:rsidR="00A43FBC">
        <w:rPr>
          <w:color w:val="221F1F"/>
        </w:rPr>
        <w:t>contract</w:t>
      </w:r>
      <w:r w:rsidR="00A43FBC">
        <w:rPr>
          <w:color w:val="221F1F"/>
          <w:spacing w:val="-3"/>
        </w:rPr>
        <w:t xml:space="preserve"> </w:t>
      </w:r>
      <w:r w:rsidR="00A43FBC">
        <w:rPr>
          <w:color w:val="221F1F"/>
        </w:rPr>
        <w:t>is</w:t>
      </w:r>
      <w:r w:rsidR="00A43FBC">
        <w:rPr>
          <w:color w:val="221F1F"/>
          <w:spacing w:val="-5"/>
        </w:rPr>
        <w:t xml:space="preserve"> </w:t>
      </w:r>
      <w:r w:rsidR="00A43FBC">
        <w:rPr>
          <w:color w:val="221F1F"/>
        </w:rPr>
        <w:t>correct</w:t>
      </w:r>
      <w:r w:rsidR="00A43FBC">
        <w:rPr>
          <w:color w:val="221F1F"/>
          <w:spacing w:val="-4"/>
        </w:rPr>
        <w:t xml:space="preserve"> </w:t>
      </w:r>
      <w:r w:rsidR="00A43FBC">
        <w:rPr>
          <w:color w:val="221F1F"/>
        </w:rPr>
        <w:t>and</w:t>
      </w:r>
      <w:r w:rsidR="00A43FBC">
        <w:rPr>
          <w:color w:val="221F1F"/>
          <w:spacing w:val="-5"/>
        </w:rPr>
        <w:t xml:space="preserve"> </w:t>
      </w:r>
      <w:r w:rsidR="00A43FBC">
        <w:rPr>
          <w:color w:val="221F1F"/>
        </w:rPr>
        <w:t>review</w:t>
      </w:r>
      <w:r w:rsidR="00A43FBC">
        <w:rPr>
          <w:color w:val="221F1F"/>
          <w:spacing w:val="-6"/>
        </w:rPr>
        <w:t xml:space="preserve"> </w:t>
      </w:r>
      <w:r w:rsidR="00A43FBC">
        <w:rPr>
          <w:color w:val="221F1F"/>
        </w:rPr>
        <w:t>the</w:t>
      </w:r>
      <w:r w:rsidR="00A43FBC">
        <w:rPr>
          <w:color w:val="221F1F"/>
          <w:spacing w:val="-5"/>
        </w:rPr>
        <w:t xml:space="preserve"> </w:t>
      </w:r>
      <w:r w:rsidR="00A43FBC">
        <w:rPr>
          <w:color w:val="221F1F"/>
        </w:rPr>
        <w:t>Tender</w:t>
      </w:r>
      <w:r w:rsidR="00A43FBC">
        <w:rPr>
          <w:color w:val="221F1F"/>
          <w:spacing w:val="-10"/>
        </w:rPr>
        <w:t xml:space="preserve"> </w:t>
      </w:r>
      <w:r w:rsidR="00A43FBC">
        <w:rPr>
          <w:color w:val="221F1F"/>
        </w:rPr>
        <w:t>Documents</w:t>
      </w:r>
      <w:r w:rsidR="00A43FBC">
        <w:rPr>
          <w:color w:val="221F1F"/>
          <w:spacing w:val="-5"/>
        </w:rPr>
        <w:t xml:space="preserve"> </w:t>
      </w:r>
      <w:r w:rsidR="00A43FBC">
        <w:rPr>
          <w:color w:val="221F1F"/>
        </w:rPr>
        <w:t>to</w:t>
      </w:r>
      <w:r w:rsidR="00A43FBC">
        <w:rPr>
          <w:color w:val="221F1F"/>
          <w:spacing w:val="-6"/>
        </w:rPr>
        <w:t xml:space="preserve"> </w:t>
      </w:r>
      <w:r w:rsidR="00A43FBC">
        <w:rPr>
          <w:color w:val="221F1F"/>
        </w:rPr>
        <w:t>check</w:t>
      </w:r>
      <w:r w:rsidR="00A43FBC">
        <w:rPr>
          <w:color w:val="221F1F"/>
          <w:spacing w:val="-7"/>
        </w:rPr>
        <w:t xml:space="preserve"> </w:t>
      </w:r>
      <w:r w:rsidR="00A43FBC">
        <w:rPr>
          <w:color w:val="221F1F"/>
        </w:rPr>
        <w:t>if</w:t>
      </w:r>
      <w:r w:rsidR="00A43FBC">
        <w:rPr>
          <w:color w:val="221F1F"/>
          <w:spacing w:val="-4"/>
        </w:rPr>
        <w:t xml:space="preserve"> </w:t>
      </w:r>
      <w:r w:rsidR="00A43FBC">
        <w:rPr>
          <w:color w:val="221F1F"/>
        </w:rPr>
        <w:t>the</w:t>
      </w:r>
      <w:r w:rsidR="00A43FBC">
        <w:rPr>
          <w:color w:val="221F1F"/>
          <w:spacing w:val="-5"/>
        </w:rPr>
        <w:t xml:space="preserve"> </w:t>
      </w:r>
      <w:r w:rsidR="00A43FBC">
        <w:rPr>
          <w:color w:val="221F1F"/>
        </w:rPr>
        <w:t>specifications,</w:t>
      </w:r>
      <w:r w:rsidR="00A43FBC">
        <w:rPr>
          <w:color w:val="221F1F"/>
          <w:spacing w:val="-5"/>
        </w:rPr>
        <w:t xml:space="preserve"> </w:t>
      </w:r>
      <w:r w:rsidR="00A43FBC">
        <w:rPr>
          <w:color w:val="221F1F"/>
        </w:rPr>
        <w:t>scope of</w:t>
      </w:r>
      <w:r w:rsidR="00A43FBC">
        <w:rPr>
          <w:color w:val="221F1F"/>
          <w:spacing w:val="-1"/>
        </w:rPr>
        <w:t xml:space="preserve"> </w:t>
      </w:r>
      <w:r w:rsidR="00A43FBC">
        <w:rPr>
          <w:color w:val="221F1F"/>
        </w:rPr>
        <w:t>work</w:t>
      </w:r>
      <w:r w:rsidR="00A43FBC">
        <w:rPr>
          <w:color w:val="221F1F"/>
          <w:spacing w:val="-1"/>
        </w:rPr>
        <w:t xml:space="preserve"> </w:t>
      </w:r>
      <w:r w:rsidR="00A43FBC">
        <w:rPr>
          <w:color w:val="221F1F"/>
        </w:rPr>
        <w:t>and</w:t>
      </w:r>
      <w:r w:rsidR="00A43FBC">
        <w:rPr>
          <w:color w:val="221F1F"/>
          <w:spacing w:val="-1"/>
        </w:rPr>
        <w:t xml:space="preserve"> </w:t>
      </w:r>
      <w:r w:rsidR="00A43FBC">
        <w:rPr>
          <w:color w:val="221F1F"/>
        </w:rPr>
        <w:t>conditions</w:t>
      </w:r>
      <w:r w:rsidR="00A43FBC">
        <w:rPr>
          <w:color w:val="221F1F"/>
          <w:spacing w:val="-1"/>
        </w:rPr>
        <w:t xml:space="preserve"> </w:t>
      </w:r>
      <w:r w:rsidR="00A43FBC">
        <w:rPr>
          <w:color w:val="221F1F"/>
        </w:rPr>
        <w:t>of contract</w:t>
      </w:r>
      <w:r w:rsidR="00A43FBC">
        <w:rPr>
          <w:color w:val="221F1F"/>
          <w:spacing w:val="-2"/>
        </w:rPr>
        <w:t xml:space="preserve"> </w:t>
      </w:r>
      <w:r w:rsidR="00A43FBC">
        <w:rPr>
          <w:color w:val="221F1F"/>
        </w:rPr>
        <w:t>are</w:t>
      </w:r>
      <w:r w:rsidR="00A43FBC">
        <w:rPr>
          <w:color w:val="221F1F"/>
          <w:spacing w:val="-3"/>
        </w:rPr>
        <w:t xml:space="preserve"> </w:t>
      </w:r>
      <w:r w:rsidR="00A43FBC">
        <w:rPr>
          <w:color w:val="221F1F"/>
        </w:rPr>
        <w:t>contributory</w:t>
      </w:r>
      <w:r w:rsidR="00A43FBC">
        <w:rPr>
          <w:color w:val="221F1F"/>
          <w:spacing w:val="-1"/>
        </w:rPr>
        <w:t xml:space="preserve"> </w:t>
      </w:r>
      <w:r w:rsidR="00A43FBC">
        <w:rPr>
          <w:color w:val="221F1F"/>
        </w:rPr>
        <w:t>to</w:t>
      </w:r>
      <w:r w:rsidR="00A43FBC">
        <w:rPr>
          <w:color w:val="221F1F"/>
          <w:spacing w:val="-1"/>
        </w:rPr>
        <w:t xml:space="preserve"> </w:t>
      </w:r>
      <w:r w:rsidR="00A43FBC">
        <w:rPr>
          <w:color w:val="221F1F"/>
        </w:rPr>
        <w:t>the</w:t>
      </w:r>
      <w:r w:rsidR="00A43FBC">
        <w:rPr>
          <w:color w:val="221F1F"/>
          <w:spacing w:val="-1"/>
        </w:rPr>
        <w:t xml:space="preserve"> </w:t>
      </w:r>
      <w:r w:rsidR="00A43FBC">
        <w:rPr>
          <w:color w:val="221F1F"/>
        </w:rPr>
        <w:t>abnormally</w:t>
      </w:r>
      <w:r w:rsidR="00A43FBC">
        <w:rPr>
          <w:color w:val="221F1F"/>
          <w:spacing w:val="-1"/>
        </w:rPr>
        <w:t xml:space="preserve"> </w:t>
      </w:r>
      <w:r w:rsidR="00A43FBC">
        <w:rPr>
          <w:color w:val="221F1F"/>
        </w:rPr>
        <w:t>high</w:t>
      </w:r>
      <w:r w:rsidR="00A43FBC">
        <w:rPr>
          <w:color w:val="221F1F"/>
          <w:spacing w:val="-1"/>
        </w:rPr>
        <w:t xml:space="preserve"> </w:t>
      </w:r>
      <w:r w:rsidR="00A43FBC">
        <w:rPr>
          <w:color w:val="221F1F"/>
        </w:rPr>
        <w:t>tenders.</w:t>
      </w:r>
      <w:r w:rsidR="00A43FBC">
        <w:rPr>
          <w:color w:val="221F1F"/>
          <w:spacing w:val="-1"/>
        </w:rPr>
        <w:t xml:space="preserve"> </w:t>
      </w:r>
      <w:r w:rsidR="00A43FBC">
        <w:rPr>
          <w:color w:val="221F1F"/>
        </w:rPr>
        <w:t>The</w:t>
      </w:r>
      <w:r w:rsidR="00A43FBC">
        <w:rPr>
          <w:color w:val="221F1F"/>
          <w:spacing w:val="-1"/>
        </w:rPr>
        <w:t xml:space="preserve"> </w:t>
      </w:r>
      <w:r w:rsidR="00A43FBC">
        <w:rPr>
          <w:color w:val="221F1F"/>
        </w:rPr>
        <w:t>Procuring</w:t>
      </w:r>
      <w:r w:rsidR="00A43FBC">
        <w:rPr>
          <w:color w:val="221F1F"/>
          <w:spacing w:val="-1"/>
        </w:rPr>
        <w:t xml:space="preserve"> </w:t>
      </w:r>
      <w:r w:rsidR="00A43FBC">
        <w:rPr>
          <w:color w:val="221F1F"/>
        </w:rPr>
        <w:t>Entity</w:t>
      </w:r>
      <w:r w:rsidR="00A43FBC">
        <w:rPr>
          <w:color w:val="221F1F"/>
          <w:spacing w:val="-3"/>
        </w:rPr>
        <w:t xml:space="preserve"> </w:t>
      </w:r>
      <w:r w:rsidR="00A43FBC">
        <w:rPr>
          <w:color w:val="221F1F"/>
        </w:rPr>
        <w:t>may also seek written clarification from the tenderer on the reason for the high tender price. The Procuring Entity shall proceed as follows:</w:t>
      </w:r>
    </w:p>
    <w:p w:rsidR="007F6DF9" w:rsidRDefault="00A43FBC">
      <w:pPr>
        <w:pStyle w:val="ListParagraph"/>
        <w:numPr>
          <w:ilvl w:val="2"/>
          <w:numId w:val="198"/>
        </w:numPr>
        <w:tabs>
          <w:tab w:val="left" w:pos="1849"/>
          <w:tab w:val="left" w:pos="1858"/>
        </w:tabs>
        <w:spacing w:before="49" w:line="230" w:lineRule="auto"/>
        <w:ind w:right="836" w:hanging="444"/>
        <w:jc w:val="both"/>
      </w:pPr>
      <w:r>
        <w:rPr>
          <w:color w:val="221F1F"/>
        </w:rPr>
        <w:t>If</w:t>
      </w:r>
      <w:r>
        <w:rPr>
          <w:color w:val="221F1F"/>
          <w:spacing w:val="-3"/>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price</w:t>
      </w:r>
      <w:r>
        <w:rPr>
          <w:color w:val="221F1F"/>
          <w:spacing w:val="-3"/>
        </w:rPr>
        <w:t xml:space="preserve"> </w:t>
      </w:r>
      <w:r>
        <w:rPr>
          <w:color w:val="221F1F"/>
        </w:rPr>
        <w:t>is</w:t>
      </w:r>
      <w:r>
        <w:rPr>
          <w:color w:val="221F1F"/>
          <w:spacing w:val="-3"/>
        </w:rPr>
        <w:t xml:space="preserve"> </w:t>
      </w:r>
      <w:r>
        <w:rPr>
          <w:color w:val="221F1F"/>
        </w:rPr>
        <w:t>abnormally</w:t>
      </w:r>
      <w:r>
        <w:rPr>
          <w:color w:val="221F1F"/>
          <w:spacing w:val="-3"/>
        </w:rPr>
        <w:t xml:space="preserve"> </w:t>
      </w:r>
      <w:r>
        <w:rPr>
          <w:color w:val="221F1F"/>
        </w:rPr>
        <w:t>high</w:t>
      </w:r>
      <w:r>
        <w:rPr>
          <w:color w:val="221F1F"/>
          <w:spacing w:val="-3"/>
        </w:rPr>
        <w:t xml:space="preserve"> </w:t>
      </w:r>
      <w:r>
        <w:rPr>
          <w:color w:val="221F1F"/>
        </w:rPr>
        <w:t>based</w:t>
      </w:r>
      <w:r>
        <w:rPr>
          <w:color w:val="221F1F"/>
          <w:spacing w:val="-3"/>
        </w:rPr>
        <w:t xml:space="preserve"> </w:t>
      </w:r>
      <w:r>
        <w:rPr>
          <w:color w:val="221F1F"/>
        </w:rPr>
        <w:t>on</w:t>
      </w:r>
      <w:r>
        <w:rPr>
          <w:color w:val="221F1F"/>
          <w:spacing w:val="-4"/>
        </w:rPr>
        <w:t xml:space="preserve"> </w:t>
      </w:r>
      <w:r>
        <w:rPr>
          <w:color w:val="221F1F"/>
        </w:rPr>
        <w:t>wrong</w:t>
      </w:r>
      <w:r>
        <w:rPr>
          <w:color w:val="221F1F"/>
          <w:spacing w:val="-6"/>
        </w:rPr>
        <w:t xml:space="preserve"> </w:t>
      </w:r>
      <w:r>
        <w:rPr>
          <w:color w:val="221F1F"/>
        </w:rPr>
        <w:t>estimated</w:t>
      </w:r>
      <w:r>
        <w:rPr>
          <w:color w:val="221F1F"/>
          <w:spacing w:val="-3"/>
        </w:rPr>
        <w:t xml:space="preserve"> </w:t>
      </w:r>
      <w:r>
        <w:rPr>
          <w:color w:val="221F1F"/>
        </w:rPr>
        <w:t>cost</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sidR="00FC371B">
        <w:rPr>
          <w:color w:val="221F1F"/>
        </w:rPr>
        <w:t>Entity may accept or not a</w:t>
      </w:r>
      <w:r>
        <w:rPr>
          <w:color w:val="221F1F"/>
        </w:rPr>
        <w:t>ccept the tender depending on the Procuring Entity's budget considerations.</w:t>
      </w:r>
    </w:p>
    <w:p w:rsidR="007F6DF9" w:rsidRDefault="00A43FBC">
      <w:pPr>
        <w:pStyle w:val="ListParagraph"/>
        <w:numPr>
          <w:ilvl w:val="2"/>
          <w:numId w:val="198"/>
        </w:numPr>
        <w:tabs>
          <w:tab w:val="left" w:pos="1848"/>
          <w:tab w:val="left" w:pos="1855"/>
        </w:tabs>
        <w:spacing w:before="49" w:line="230" w:lineRule="auto"/>
        <w:ind w:left="1855" w:right="833" w:hanging="444"/>
        <w:jc w:val="both"/>
      </w:pPr>
      <w:r>
        <w:rPr>
          <w:color w:val="221F1F"/>
        </w:rPr>
        <w:t xml:space="preserve">If specifications, scope of work and/or conditions of contract are contributory to the abnormally high </w:t>
      </w:r>
      <w:r>
        <w:t xml:space="preserve">tender prices, the Procuring Entity shall reject all tenders and may retender for the contract based on revised estimates, specifications, scope of work and conditions </w:t>
      </w:r>
      <w:r>
        <w:rPr>
          <w:color w:val="221F1F"/>
        </w:rPr>
        <w:t>of contract, as the case may be.</w:t>
      </w:r>
    </w:p>
    <w:p w:rsidR="007F6DF9" w:rsidRDefault="00A43FBC">
      <w:pPr>
        <w:pStyle w:val="ListParagraph"/>
        <w:numPr>
          <w:ilvl w:val="1"/>
          <w:numId w:val="198"/>
        </w:numPr>
        <w:tabs>
          <w:tab w:val="left" w:pos="1401"/>
          <w:tab w:val="left" w:pos="1409"/>
        </w:tabs>
        <w:spacing w:before="196" w:line="230" w:lineRule="auto"/>
        <w:ind w:left="1409" w:right="844" w:hanging="560"/>
        <w:jc w:val="both"/>
      </w:pPr>
      <w:r>
        <w:rPr>
          <w:color w:val="221F1F"/>
        </w:rPr>
        <w:t>If the Procuring Entity determines that the Tender Price is abnormally too high because genuine competition between tenderers is compromised (</w:t>
      </w:r>
      <w:r>
        <w:rPr>
          <w:i/>
          <w:color w:val="221F1F"/>
        </w:rPr>
        <w:t>often due to collusion, corruption or other manipulations</w:t>
      </w:r>
      <w:r>
        <w:rPr>
          <w:color w:val="221F1F"/>
        </w:rPr>
        <w:t>), the Procuring Entity shall reject all Tenders and shall institute or cause competent Government Agencies to institute an investigation on the cause of the compromise, before retendering.</w:t>
      </w:r>
    </w:p>
    <w:p w:rsidR="007F6DF9" w:rsidRDefault="00A43FBC">
      <w:pPr>
        <w:pStyle w:val="Heading9"/>
        <w:numPr>
          <w:ilvl w:val="1"/>
          <w:numId w:val="197"/>
        </w:numPr>
        <w:tabs>
          <w:tab w:val="left" w:pos="1404"/>
        </w:tabs>
        <w:spacing w:before="238"/>
      </w:pPr>
      <w:bookmarkStart w:id="37" w:name="_bookmark36"/>
      <w:bookmarkEnd w:id="37"/>
      <w:r>
        <w:rPr>
          <w:color w:val="221F1F"/>
        </w:rPr>
        <w:t>Unbalanced</w:t>
      </w:r>
      <w:r>
        <w:rPr>
          <w:color w:val="221F1F"/>
          <w:spacing w:val="-7"/>
        </w:rPr>
        <w:t xml:space="preserve"> </w:t>
      </w:r>
      <w:r>
        <w:rPr>
          <w:color w:val="221F1F"/>
        </w:rPr>
        <w:t>and/</w:t>
      </w:r>
      <w:r>
        <w:rPr>
          <w:color w:val="221F1F"/>
          <w:spacing w:val="-2"/>
        </w:rPr>
        <w:t xml:space="preserve"> </w:t>
      </w:r>
      <w:r>
        <w:rPr>
          <w:color w:val="221F1F"/>
        </w:rPr>
        <w:t>or</w:t>
      </w:r>
      <w:r>
        <w:rPr>
          <w:color w:val="221F1F"/>
          <w:spacing w:val="-3"/>
        </w:rPr>
        <w:t xml:space="preserve"> </w:t>
      </w:r>
      <w:r>
        <w:rPr>
          <w:color w:val="221F1F"/>
        </w:rPr>
        <w:t>front-loaded</w:t>
      </w:r>
      <w:r>
        <w:rPr>
          <w:color w:val="221F1F"/>
          <w:spacing w:val="-3"/>
        </w:rPr>
        <w:t xml:space="preserve"> </w:t>
      </w:r>
      <w:r>
        <w:rPr>
          <w:color w:val="221F1F"/>
          <w:spacing w:val="-2"/>
        </w:rPr>
        <w:t>tenders</w:t>
      </w:r>
    </w:p>
    <w:p w:rsidR="007F6DF9" w:rsidRDefault="00A43FBC">
      <w:pPr>
        <w:pStyle w:val="ListParagraph"/>
        <w:numPr>
          <w:ilvl w:val="1"/>
          <w:numId w:val="197"/>
        </w:numPr>
        <w:tabs>
          <w:tab w:val="left" w:pos="1401"/>
          <w:tab w:val="left" w:pos="1409"/>
        </w:tabs>
        <w:spacing w:before="242" w:line="230" w:lineRule="auto"/>
        <w:ind w:left="1409" w:right="843" w:hanging="560"/>
        <w:jc w:val="both"/>
      </w:pPr>
      <w:r>
        <w:rPr>
          <w:color w:val="221F1F"/>
        </w:rPr>
        <w:t>If in the Procuring Entity's opinion, the Tender that is evaluated as the lowest evaluated price is seriously unbalanced</w:t>
      </w:r>
      <w:r>
        <w:rPr>
          <w:color w:val="221F1F"/>
          <w:spacing w:val="-10"/>
        </w:rPr>
        <w:t xml:space="preserve"> </w:t>
      </w:r>
      <w:r>
        <w:rPr>
          <w:color w:val="221F1F"/>
        </w:rPr>
        <w:t>and/or</w:t>
      </w:r>
      <w:r>
        <w:rPr>
          <w:color w:val="221F1F"/>
          <w:spacing w:val="-12"/>
        </w:rPr>
        <w:t xml:space="preserve"> </w:t>
      </w:r>
      <w:r>
        <w:rPr>
          <w:color w:val="221F1F"/>
        </w:rPr>
        <w:t>frontloaded,</w:t>
      </w:r>
      <w:r>
        <w:rPr>
          <w:color w:val="221F1F"/>
          <w:spacing w:val="-9"/>
        </w:rPr>
        <w:t xml:space="preserve"> </w:t>
      </w:r>
      <w:r>
        <w:rPr>
          <w:color w:val="221F1F"/>
        </w:rPr>
        <w:t>the</w:t>
      </w:r>
      <w:r>
        <w:rPr>
          <w:color w:val="221F1F"/>
          <w:spacing w:val="-10"/>
        </w:rPr>
        <w:t xml:space="preserve"> </w:t>
      </w:r>
      <w:r>
        <w:rPr>
          <w:color w:val="221F1F"/>
        </w:rPr>
        <w:t>Procuring</w:t>
      </w:r>
      <w:r>
        <w:rPr>
          <w:color w:val="221F1F"/>
          <w:spacing w:val="-10"/>
        </w:rPr>
        <w:t xml:space="preserve"> </w:t>
      </w:r>
      <w:r>
        <w:rPr>
          <w:color w:val="221F1F"/>
        </w:rPr>
        <w:t>Entity</w:t>
      </w:r>
      <w:r>
        <w:rPr>
          <w:color w:val="221F1F"/>
          <w:spacing w:val="-13"/>
        </w:rPr>
        <w:t xml:space="preserve"> </w:t>
      </w:r>
      <w:r>
        <w:rPr>
          <w:color w:val="221F1F"/>
        </w:rPr>
        <w:t>may</w:t>
      </w:r>
      <w:r>
        <w:rPr>
          <w:color w:val="221F1F"/>
          <w:spacing w:val="-10"/>
        </w:rPr>
        <w:t xml:space="preserve"> </w:t>
      </w:r>
      <w:r>
        <w:rPr>
          <w:color w:val="221F1F"/>
        </w:rPr>
        <w:t>require</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9"/>
        </w:rPr>
        <w:t xml:space="preserve"> </w:t>
      </w:r>
      <w:r>
        <w:rPr>
          <w:color w:val="221F1F"/>
        </w:rPr>
        <w:t>to</w:t>
      </w:r>
      <w:r>
        <w:rPr>
          <w:color w:val="221F1F"/>
          <w:spacing w:val="-10"/>
        </w:rPr>
        <w:t xml:space="preserve"> </w:t>
      </w:r>
      <w:r>
        <w:rPr>
          <w:color w:val="221F1F"/>
        </w:rPr>
        <w:t>provide</w:t>
      </w:r>
      <w:r>
        <w:rPr>
          <w:color w:val="221F1F"/>
          <w:spacing w:val="-9"/>
        </w:rPr>
        <w:t xml:space="preserve"> </w:t>
      </w:r>
      <w:r>
        <w:rPr>
          <w:color w:val="221F1F"/>
        </w:rPr>
        <w:t>written</w:t>
      </w:r>
      <w:r>
        <w:rPr>
          <w:color w:val="221F1F"/>
          <w:spacing w:val="-10"/>
        </w:rPr>
        <w:t xml:space="preserve"> </w:t>
      </w:r>
      <w:r>
        <w:rPr>
          <w:color w:val="221F1F"/>
        </w:rPr>
        <w:t>clarifications. Clarifications</w:t>
      </w:r>
      <w:r>
        <w:rPr>
          <w:color w:val="221F1F"/>
          <w:spacing w:val="-4"/>
        </w:rPr>
        <w:t xml:space="preserve"> </w:t>
      </w:r>
      <w:r>
        <w:rPr>
          <w:color w:val="221F1F"/>
        </w:rPr>
        <w:t>may</w:t>
      </w:r>
      <w:r>
        <w:rPr>
          <w:color w:val="221F1F"/>
          <w:spacing w:val="-2"/>
        </w:rPr>
        <w:t xml:space="preserve"> </w:t>
      </w:r>
      <w:r>
        <w:rPr>
          <w:color w:val="221F1F"/>
        </w:rPr>
        <w:t>include</w:t>
      </w:r>
      <w:r>
        <w:rPr>
          <w:color w:val="221F1F"/>
          <w:spacing w:val="-4"/>
        </w:rPr>
        <w:t xml:space="preserve"> </w:t>
      </w:r>
      <w:r>
        <w:rPr>
          <w:color w:val="221F1F"/>
        </w:rPr>
        <w:t>detailed</w:t>
      </w:r>
      <w:r>
        <w:rPr>
          <w:color w:val="221F1F"/>
          <w:spacing w:val="-2"/>
        </w:rPr>
        <w:t xml:space="preserve"> </w:t>
      </w:r>
      <w:r>
        <w:rPr>
          <w:color w:val="221F1F"/>
        </w:rPr>
        <w:t>price</w:t>
      </w:r>
      <w:r>
        <w:rPr>
          <w:color w:val="221F1F"/>
          <w:spacing w:val="-4"/>
        </w:rPr>
        <w:t xml:space="preserve"> </w:t>
      </w:r>
      <w:r>
        <w:rPr>
          <w:color w:val="221F1F"/>
        </w:rPr>
        <w:t>analyses</w:t>
      </w:r>
      <w:r>
        <w:rPr>
          <w:color w:val="221F1F"/>
          <w:spacing w:val="-2"/>
        </w:rPr>
        <w:t xml:space="preserve"> </w:t>
      </w:r>
      <w:r>
        <w:rPr>
          <w:color w:val="221F1F"/>
        </w:rPr>
        <w:t>to</w:t>
      </w:r>
      <w:r>
        <w:rPr>
          <w:color w:val="221F1F"/>
          <w:spacing w:val="-2"/>
        </w:rPr>
        <w:t xml:space="preserve"> </w:t>
      </w:r>
      <w:r>
        <w:rPr>
          <w:color w:val="221F1F"/>
        </w:rPr>
        <w:t>demonstrate</w:t>
      </w:r>
      <w:r>
        <w:rPr>
          <w:color w:val="221F1F"/>
          <w:spacing w:val="-2"/>
        </w:rPr>
        <w:t xml:space="preserve"> </w:t>
      </w:r>
      <w:r>
        <w:rPr>
          <w:color w:val="221F1F"/>
        </w:rPr>
        <w:t>the consistency</w:t>
      </w:r>
      <w:r>
        <w:rPr>
          <w:color w:val="221F1F"/>
          <w:spacing w:val="-4"/>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tender</w:t>
      </w:r>
      <w:r>
        <w:rPr>
          <w:color w:val="221F1F"/>
          <w:spacing w:val="-1"/>
        </w:rPr>
        <w:t xml:space="preserve"> </w:t>
      </w:r>
      <w:r>
        <w:rPr>
          <w:color w:val="221F1F"/>
        </w:rPr>
        <w:t>prices</w:t>
      </w:r>
      <w:r>
        <w:rPr>
          <w:color w:val="221F1F"/>
          <w:spacing w:val="-2"/>
        </w:rPr>
        <w:t xml:space="preserve"> </w:t>
      </w:r>
      <w:r>
        <w:rPr>
          <w:color w:val="221F1F"/>
        </w:rPr>
        <w:t>with</w:t>
      </w:r>
      <w:r>
        <w:rPr>
          <w:color w:val="221F1F"/>
          <w:spacing w:val="-2"/>
        </w:rPr>
        <w:t xml:space="preserve"> </w:t>
      </w:r>
      <w:r>
        <w:rPr>
          <w:color w:val="221F1F"/>
        </w:rPr>
        <w:t>the scope of works, proposed methodology, schedule and any other requirements of the Tender document.</w:t>
      </w:r>
    </w:p>
    <w:p w:rsidR="007F6DF9" w:rsidRDefault="00A43FBC">
      <w:pPr>
        <w:pStyle w:val="ListParagraph"/>
        <w:numPr>
          <w:ilvl w:val="1"/>
          <w:numId w:val="197"/>
        </w:numPr>
        <w:tabs>
          <w:tab w:val="left" w:pos="1390"/>
        </w:tabs>
        <w:spacing w:before="245" w:line="230" w:lineRule="auto"/>
        <w:ind w:left="1390" w:right="846" w:hanging="541"/>
      </w:pPr>
      <w:r>
        <w:rPr>
          <w:color w:val="221F1F"/>
        </w:rPr>
        <w:t>After the evaluation of the information and detailed price analyses presented by the Tenderer, the Procuring Entity may as appropriate:</w:t>
      </w:r>
    </w:p>
    <w:p w:rsidR="007F6DF9" w:rsidRDefault="00A43FBC">
      <w:pPr>
        <w:pStyle w:val="ListParagraph"/>
        <w:numPr>
          <w:ilvl w:val="2"/>
          <w:numId w:val="197"/>
        </w:numPr>
        <w:tabs>
          <w:tab w:val="left" w:pos="1929"/>
        </w:tabs>
        <w:spacing w:before="42"/>
        <w:ind w:left="1929" w:hanging="527"/>
      </w:pPr>
      <w:r>
        <w:rPr>
          <w:color w:val="221F1F"/>
        </w:rPr>
        <w:t>accept</w:t>
      </w:r>
      <w:r>
        <w:rPr>
          <w:color w:val="221F1F"/>
          <w:spacing w:val="-4"/>
        </w:rPr>
        <w:t xml:space="preserve"> </w:t>
      </w:r>
      <w:r w:rsidR="00FC371B">
        <w:rPr>
          <w:color w:val="221F1F"/>
          <w:spacing w:val="-2"/>
        </w:rPr>
        <w:t>the Tender</w:t>
      </w:r>
      <w:r>
        <w:rPr>
          <w:color w:val="221F1F"/>
          <w:spacing w:val="-2"/>
        </w:rPr>
        <w:t>;</w:t>
      </w:r>
    </w:p>
    <w:p w:rsidR="007F6DF9" w:rsidRDefault="00A43FBC">
      <w:pPr>
        <w:pStyle w:val="ListParagraph"/>
        <w:numPr>
          <w:ilvl w:val="2"/>
          <w:numId w:val="197"/>
        </w:numPr>
        <w:tabs>
          <w:tab w:val="left" w:pos="1929"/>
          <w:tab w:val="left" w:pos="1966"/>
        </w:tabs>
        <w:spacing w:before="48" w:line="230" w:lineRule="auto"/>
        <w:ind w:left="1966" w:right="863" w:hanging="564"/>
      </w:pPr>
      <w:r>
        <w:rPr>
          <w:color w:val="221F1F"/>
        </w:rPr>
        <w:t>require</w:t>
      </w:r>
      <w:r>
        <w:rPr>
          <w:color w:val="221F1F"/>
          <w:spacing w:val="-3"/>
        </w:rPr>
        <w:t xml:space="preserve"> </w:t>
      </w:r>
      <w:r>
        <w:rPr>
          <w:color w:val="221F1F"/>
        </w:rPr>
        <w:t>that</w:t>
      </w:r>
      <w:r>
        <w:rPr>
          <w:color w:val="221F1F"/>
          <w:spacing w:val="-2"/>
        </w:rPr>
        <w:t xml:space="preserve"> </w:t>
      </w:r>
      <w:r>
        <w:rPr>
          <w:color w:val="221F1F"/>
        </w:rPr>
        <w:t>the</w:t>
      </w:r>
      <w:r>
        <w:rPr>
          <w:color w:val="221F1F"/>
          <w:spacing w:val="-3"/>
        </w:rPr>
        <w:t xml:space="preserve"> </w:t>
      </w:r>
      <w:r>
        <w:rPr>
          <w:color w:val="221F1F"/>
        </w:rPr>
        <w:t>total</w:t>
      </w:r>
      <w:r>
        <w:rPr>
          <w:color w:val="221F1F"/>
          <w:spacing w:val="-1"/>
        </w:rPr>
        <w:t xml:space="preserve"> </w:t>
      </w:r>
      <w:r>
        <w:rPr>
          <w:color w:val="221F1F"/>
        </w:rPr>
        <w:t>amount of</w:t>
      </w:r>
      <w:r>
        <w:rPr>
          <w:color w:val="221F1F"/>
          <w:spacing w:val="-3"/>
        </w:rPr>
        <w:t xml:space="preserve"> </w:t>
      </w:r>
      <w:r>
        <w:rPr>
          <w:color w:val="221F1F"/>
        </w:rPr>
        <w:t>the</w:t>
      </w:r>
      <w:r>
        <w:rPr>
          <w:color w:val="221F1F"/>
          <w:spacing w:val="-1"/>
        </w:rPr>
        <w:t xml:space="preserve"> </w:t>
      </w:r>
      <w:r>
        <w:rPr>
          <w:color w:val="221F1F"/>
        </w:rPr>
        <w:t>Performance Security be</w:t>
      </w:r>
      <w:r>
        <w:rPr>
          <w:color w:val="221F1F"/>
          <w:spacing w:val="-3"/>
        </w:rPr>
        <w:t xml:space="preserve"> </w:t>
      </w:r>
      <w:r>
        <w:rPr>
          <w:color w:val="221F1F"/>
        </w:rPr>
        <w:t>increased</w:t>
      </w:r>
      <w:r>
        <w:rPr>
          <w:color w:val="221F1F"/>
          <w:spacing w:val="-3"/>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expense of</w:t>
      </w:r>
      <w:r>
        <w:rPr>
          <w:color w:val="221F1F"/>
          <w:spacing w:val="-3"/>
        </w:rPr>
        <w:t xml:space="preserve"> </w:t>
      </w:r>
      <w:r>
        <w:rPr>
          <w:color w:val="221F1F"/>
        </w:rPr>
        <w:t>the</w:t>
      </w:r>
      <w:r>
        <w:rPr>
          <w:color w:val="221F1F"/>
          <w:spacing w:val="-3"/>
        </w:rPr>
        <w:t xml:space="preserve"> </w:t>
      </w:r>
      <w:r>
        <w:rPr>
          <w:color w:val="221F1F"/>
        </w:rPr>
        <w:t>Tenderer to a level not exceeding a 30% of the Contract Price;</w:t>
      </w:r>
    </w:p>
    <w:p w:rsidR="007F6DF9" w:rsidRDefault="00A43FBC">
      <w:pPr>
        <w:pStyle w:val="ListParagraph"/>
        <w:numPr>
          <w:ilvl w:val="2"/>
          <w:numId w:val="197"/>
        </w:numPr>
        <w:tabs>
          <w:tab w:val="left" w:pos="1929"/>
          <w:tab w:val="left" w:pos="1966"/>
        </w:tabs>
        <w:spacing w:before="50" w:line="230" w:lineRule="auto"/>
        <w:ind w:left="1966" w:right="970" w:hanging="564"/>
      </w:pPr>
      <w:r>
        <w:rPr>
          <w:color w:val="221F1F"/>
        </w:rPr>
        <w:t>agree</w:t>
      </w:r>
      <w:r>
        <w:rPr>
          <w:color w:val="221F1F"/>
          <w:spacing w:val="-1"/>
        </w:rPr>
        <w:t xml:space="preserve"> </w:t>
      </w:r>
      <w:r>
        <w:rPr>
          <w:color w:val="221F1F"/>
        </w:rPr>
        <w:t>on</w:t>
      </w:r>
      <w:r>
        <w:rPr>
          <w:color w:val="221F1F"/>
          <w:spacing w:val="-1"/>
        </w:rPr>
        <w:t xml:space="preserve"> </w:t>
      </w:r>
      <w:r>
        <w:rPr>
          <w:color w:val="221F1F"/>
        </w:rPr>
        <w:t>a</w:t>
      </w:r>
      <w:r>
        <w:rPr>
          <w:color w:val="221F1F"/>
          <w:spacing w:val="-3"/>
        </w:rPr>
        <w:t xml:space="preserve"> </w:t>
      </w:r>
      <w:r>
        <w:rPr>
          <w:color w:val="221F1F"/>
        </w:rPr>
        <w:t>payment</w:t>
      </w:r>
      <w:r>
        <w:rPr>
          <w:color w:val="221F1F"/>
          <w:spacing w:val="-3"/>
        </w:rPr>
        <w:t xml:space="preserve"> </w:t>
      </w:r>
      <w:r>
        <w:rPr>
          <w:color w:val="221F1F"/>
        </w:rPr>
        <w:t>mode</w:t>
      </w:r>
      <w:r>
        <w:rPr>
          <w:color w:val="221F1F"/>
          <w:spacing w:val="-3"/>
        </w:rPr>
        <w:t xml:space="preserve"> </w:t>
      </w:r>
      <w:r>
        <w:rPr>
          <w:color w:val="221F1F"/>
        </w:rPr>
        <w:t>that eliminates</w:t>
      </w:r>
      <w:r>
        <w:rPr>
          <w:color w:val="221F1F"/>
          <w:spacing w:val="-3"/>
        </w:rPr>
        <w:t xml:space="preserve"> </w:t>
      </w:r>
      <w:r>
        <w:rPr>
          <w:color w:val="221F1F"/>
        </w:rPr>
        <w:t>the</w:t>
      </w:r>
      <w:r>
        <w:rPr>
          <w:color w:val="221F1F"/>
          <w:spacing w:val="-3"/>
        </w:rPr>
        <w:t xml:space="preserve"> </w:t>
      </w:r>
      <w:r>
        <w:rPr>
          <w:color w:val="221F1F"/>
        </w:rPr>
        <w:t>inherent</w:t>
      </w:r>
      <w:r>
        <w:rPr>
          <w:color w:val="221F1F"/>
          <w:spacing w:val="-3"/>
        </w:rPr>
        <w:t xml:space="preserve"> </w:t>
      </w:r>
      <w:r>
        <w:rPr>
          <w:color w:val="221F1F"/>
        </w:rPr>
        <w:t>risk</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4"/>
        </w:rPr>
        <w:t xml:space="preserve"> </w:t>
      </w:r>
      <w:r>
        <w:rPr>
          <w:color w:val="221F1F"/>
        </w:rPr>
        <w:t>paying</w:t>
      </w:r>
      <w:r>
        <w:rPr>
          <w:color w:val="221F1F"/>
          <w:spacing w:val="-4"/>
        </w:rPr>
        <w:t xml:space="preserve"> </w:t>
      </w:r>
      <w:r>
        <w:rPr>
          <w:color w:val="221F1F"/>
        </w:rPr>
        <w:t>too</w:t>
      </w:r>
      <w:r>
        <w:rPr>
          <w:color w:val="221F1F"/>
          <w:spacing w:val="-4"/>
        </w:rPr>
        <w:t xml:space="preserve"> </w:t>
      </w:r>
      <w:r>
        <w:rPr>
          <w:color w:val="221F1F"/>
        </w:rPr>
        <w:t>much</w:t>
      </w:r>
      <w:r>
        <w:rPr>
          <w:color w:val="221F1F"/>
          <w:spacing w:val="-1"/>
        </w:rPr>
        <w:t xml:space="preserve"> </w:t>
      </w:r>
      <w:r>
        <w:rPr>
          <w:color w:val="221F1F"/>
        </w:rPr>
        <w:t>for undelivered works;</w:t>
      </w:r>
    </w:p>
    <w:p w:rsidR="007F6DF9" w:rsidRDefault="00A43FBC">
      <w:pPr>
        <w:pStyle w:val="ListParagraph"/>
        <w:numPr>
          <w:ilvl w:val="2"/>
          <w:numId w:val="197"/>
        </w:numPr>
        <w:tabs>
          <w:tab w:val="left" w:pos="1929"/>
        </w:tabs>
        <w:spacing w:before="41"/>
        <w:ind w:left="1929" w:hanging="527"/>
      </w:pPr>
      <w:r>
        <w:rPr>
          <w:color w:val="221F1F"/>
        </w:rPr>
        <w:t>reject</w:t>
      </w:r>
      <w:r>
        <w:rPr>
          <w:color w:val="221F1F"/>
          <w:spacing w:val="-4"/>
        </w:rPr>
        <w:t xml:space="preserve"> </w:t>
      </w:r>
      <w:r>
        <w:rPr>
          <w:color w:val="221F1F"/>
        </w:rPr>
        <w:t>the</w:t>
      </w:r>
      <w:r>
        <w:rPr>
          <w:color w:val="221F1F"/>
          <w:spacing w:val="-2"/>
        </w:rPr>
        <w:t xml:space="preserve"> Tender,</w:t>
      </w:r>
    </w:p>
    <w:p w:rsidR="007F6DF9" w:rsidRDefault="007F6DF9">
      <w:pPr>
        <w:pStyle w:val="ListParagraph"/>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Heading9"/>
        <w:numPr>
          <w:ilvl w:val="1"/>
          <w:numId w:val="196"/>
        </w:numPr>
        <w:tabs>
          <w:tab w:val="left" w:pos="1404"/>
        </w:tabs>
      </w:pPr>
      <w:bookmarkStart w:id="38" w:name="_bookmark37"/>
      <w:bookmarkEnd w:id="38"/>
      <w:r>
        <w:rPr>
          <w:color w:val="221F1F"/>
        </w:rPr>
        <w:t>Qualifications</w:t>
      </w:r>
      <w:r>
        <w:rPr>
          <w:color w:val="221F1F"/>
          <w:spacing w:val="-10"/>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spacing w:val="-2"/>
        </w:rPr>
        <w:t>tenderer</w:t>
      </w:r>
    </w:p>
    <w:p w:rsidR="007F6DF9" w:rsidRDefault="00A43FBC">
      <w:pPr>
        <w:pStyle w:val="ListParagraph"/>
        <w:numPr>
          <w:ilvl w:val="1"/>
          <w:numId w:val="196"/>
        </w:numPr>
        <w:tabs>
          <w:tab w:val="left" w:pos="1403"/>
          <w:tab w:val="left" w:pos="1409"/>
        </w:tabs>
        <w:spacing w:before="243" w:line="230" w:lineRule="auto"/>
        <w:ind w:left="1409" w:right="843" w:hanging="560"/>
        <w:jc w:val="both"/>
      </w:pP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6"/>
        </w:rPr>
        <w:t xml:space="preserve"> </w:t>
      </w:r>
      <w:r>
        <w:rPr>
          <w:color w:val="221F1F"/>
        </w:rPr>
        <w:t>shall</w:t>
      </w:r>
      <w:r>
        <w:rPr>
          <w:color w:val="221F1F"/>
          <w:spacing w:val="-7"/>
        </w:rPr>
        <w:t xml:space="preserve"> </w:t>
      </w:r>
      <w:r>
        <w:rPr>
          <w:color w:val="221F1F"/>
        </w:rPr>
        <w:t>determine</w:t>
      </w:r>
      <w:r>
        <w:rPr>
          <w:color w:val="221F1F"/>
          <w:spacing w:val="-5"/>
        </w:rPr>
        <w:t xml:space="preserve"> </w:t>
      </w:r>
      <w:r>
        <w:rPr>
          <w:color w:val="221F1F"/>
        </w:rPr>
        <w:t>to</w:t>
      </w:r>
      <w:r>
        <w:rPr>
          <w:color w:val="221F1F"/>
          <w:spacing w:val="-6"/>
        </w:rPr>
        <w:t xml:space="preserve"> </w:t>
      </w:r>
      <w:r>
        <w:rPr>
          <w:color w:val="221F1F"/>
        </w:rPr>
        <w:t>its</w:t>
      </w:r>
      <w:r>
        <w:rPr>
          <w:color w:val="221F1F"/>
          <w:spacing w:val="-5"/>
        </w:rPr>
        <w:t xml:space="preserve"> </w:t>
      </w:r>
      <w:r>
        <w:rPr>
          <w:color w:val="221F1F"/>
        </w:rPr>
        <w:t>satisfaction</w:t>
      </w:r>
      <w:r>
        <w:rPr>
          <w:color w:val="221F1F"/>
          <w:spacing w:val="-5"/>
        </w:rPr>
        <w:t xml:space="preserve"> </w:t>
      </w:r>
      <w:r>
        <w:rPr>
          <w:color w:val="221F1F"/>
        </w:rPr>
        <w:t>whether</w:t>
      </w:r>
      <w:r>
        <w:rPr>
          <w:color w:val="221F1F"/>
          <w:spacing w:val="-4"/>
        </w:rPr>
        <w:t xml:space="preserve"> </w:t>
      </w:r>
      <w:r>
        <w:rPr>
          <w:color w:val="221F1F"/>
        </w:rPr>
        <w:t>the</w:t>
      </w:r>
      <w:r>
        <w:rPr>
          <w:color w:val="221F1F"/>
          <w:spacing w:val="-6"/>
        </w:rPr>
        <w:t xml:space="preserve"> </w:t>
      </w:r>
      <w:r>
        <w:rPr>
          <w:color w:val="221F1F"/>
        </w:rPr>
        <w:t>eligible</w:t>
      </w:r>
      <w:r>
        <w:rPr>
          <w:color w:val="221F1F"/>
          <w:spacing w:val="-3"/>
        </w:rPr>
        <w:t xml:space="preserve"> </w:t>
      </w:r>
      <w:r>
        <w:rPr>
          <w:color w:val="221F1F"/>
        </w:rPr>
        <w:t>Tenderer</w:t>
      </w:r>
      <w:r>
        <w:rPr>
          <w:color w:val="221F1F"/>
          <w:spacing w:val="-4"/>
        </w:rPr>
        <w:t xml:space="preserve"> </w:t>
      </w:r>
      <w:r>
        <w:rPr>
          <w:color w:val="221F1F"/>
        </w:rPr>
        <w:t>that</w:t>
      </w:r>
      <w:r>
        <w:rPr>
          <w:color w:val="221F1F"/>
          <w:spacing w:val="-5"/>
        </w:rPr>
        <w:t xml:space="preserve"> </w:t>
      </w:r>
      <w:r>
        <w:rPr>
          <w:color w:val="221F1F"/>
        </w:rPr>
        <w:t>is</w:t>
      </w:r>
      <w:r>
        <w:rPr>
          <w:color w:val="221F1F"/>
          <w:spacing w:val="-6"/>
        </w:rPr>
        <w:t xml:space="preserve"> </w:t>
      </w:r>
      <w:r>
        <w:rPr>
          <w:color w:val="221F1F"/>
        </w:rPr>
        <w:t>selected</w:t>
      </w:r>
      <w:r>
        <w:rPr>
          <w:color w:val="221F1F"/>
          <w:spacing w:val="-5"/>
        </w:rPr>
        <w:t xml:space="preserve"> </w:t>
      </w:r>
      <w:r>
        <w:rPr>
          <w:color w:val="221F1F"/>
        </w:rPr>
        <w:t>as</w:t>
      </w:r>
      <w:r>
        <w:rPr>
          <w:color w:val="221F1F"/>
          <w:spacing w:val="-3"/>
        </w:rPr>
        <w:t xml:space="preserve"> </w:t>
      </w:r>
      <w:r>
        <w:rPr>
          <w:color w:val="221F1F"/>
        </w:rPr>
        <w:t>having submitted</w:t>
      </w:r>
      <w:r>
        <w:rPr>
          <w:color w:val="221F1F"/>
          <w:spacing w:val="-14"/>
        </w:rPr>
        <w:t xml:space="preserve"> </w:t>
      </w:r>
      <w:r>
        <w:rPr>
          <w:color w:val="221F1F"/>
        </w:rPr>
        <w:t>the</w:t>
      </w:r>
      <w:r>
        <w:rPr>
          <w:color w:val="221F1F"/>
          <w:spacing w:val="-14"/>
        </w:rPr>
        <w:t xml:space="preserve"> </w:t>
      </w:r>
      <w:r>
        <w:rPr>
          <w:color w:val="221F1F"/>
        </w:rPr>
        <w:t>lowest</w:t>
      </w:r>
      <w:r>
        <w:rPr>
          <w:color w:val="221F1F"/>
          <w:spacing w:val="-10"/>
        </w:rPr>
        <w:t xml:space="preserve"> </w:t>
      </w:r>
      <w:r>
        <w:rPr>
          <w:color w:val="221F1F"/>
        </w:rPr>
        <w:t>evaluated</w:t>
      </w:r>
      <w:r>
        <w:rPr>
          <w:color w:val="221F1F"/>
          <w:spacing w:val="-10"/>
        </w:rPr>
        <w:t xml:space="preserve"> </w:t>
      </w:r>
      <w:r>
        <w:rPr>
          <w:color w:val="221F1F"/>
        </w:rPr>
        <w:t>cost</w:t>
      </w:r>
      <w:r>
        <w:rPr>
          <w:color w:val="221F1F"/>
          <w:spacing w:val="-10"/>
        </w:rPr>
        <w:t xml:space="preserve"> </w:t>
      </w:r>
      <w:r>
        <w:rPr>
          <w:color w:val="221F1F"/>
        </w:rPr>
        <w:t>and</w:t>
      </w:r>
      <w:r>
        <w:rPr>
          <w:color w:val="221F1F"/>
          <w:spacing w:val="-11"/>
        </w:rPr>
        <w:t xml:space="preserve"> </w:t>
      </w:r>
      <w:r>
        <w:rPr>
          <w:color w:val="221F1F"/>
        </w:rPr>
        <w:t>substantially</w:t>
      </w:r>
      <w:r>
        <w:rPr>
          <w:color w:val="221F1F"/>
          <w:spacing w:val="-13"/>
        </w:rPr>
        <w:t xml:space="preserve"> </w:t>
      </w:r>
      <w:r>
        <w:rPr>
          <w:color w:val="221F1F"/>
        </w:rPr>
        <w:t>responsive</w:t>
      </w:r>
      <w:r>
        <w:rPr>
          <w:color w:val="221F1F"/>
          <w:spacing w:val="-10"/>
        </w:rPr>
        <w:t xml:space="preserve"> </w:t>
      </w:r>
      <w:r>
        <w:rPr>
          <w:color w:val="221F1F"/>
        </w:rPr>
        <w:t>Tender,</w:t>
      </w:r>
      <w:r>
        <w:rPr>
          <w:color w:val="221F1F"/>
          <w:spacing w:val="-14"/>
        </w:rPr>
        <w:t xml:space="preserve"> </w:t>
      </w:r>
      <w:r>
        <w:rPr>
          <w:color w:val="221F1F"/>
        </w:rPr>
        <w:t>meets</w:t>
      </w:r>
      <w:r>
        <w:rPr>
          <w:color w:val="221F1F"/>
          <w:spacing w:val="-11"/>
        </w:rPr>
        <w:t xml:space="preserve"> </w:t>
      </w:r>
      <w:r>
        <w:rPr>
          <w:color w:val="221F1F"/>
        </w:rPr>
        <w:t>the</w:t>
      </w:r>
      <w:r>
        <w:rPr>
          <w:color w:val="221F1F"/>
          <w:spacing w:val="-11"/>
        </w:rPr>
        <w:t xml:space="preserve"> </w:t>
      </w:r>
      <w:r>
        <w:rPr>
          <w:color w:val="221F1F"/>
        </w:rPr>
        <w:t>qualifying</w:t>
      </w:r>
      <w:r>
        <w:rPr>
          <w:color w:val="221F1F"/>
          <w:spacing w:val="-10"/>
        </w:rPr>
        <w:t xml:space="preserve"> </w:t>
      </w:r>
      <w:r>
        <w:rPr>
          <w:color w:val="221F1F"/>
        </w:rPr>
        <w:t>criteria</w:t>
      </w:r>
      <w:r>
        <w:rPr>
          <w:color w:val="221F1F"/>
          <w:spacing w:val="-11"/>
        </w:rPr>
        <w:t xml:space="preserve"> </w:t>
      </w:r>
      <w:r>
        <w:rPr>
          <w:color w:val="221F1F"/>
        </w:rPr>
        <w:t>specified in Section III, Evaluation and Qualification Criteria.</w:t>
      </w:r>
    </w:p>
    <w:p w:rsidR="007F6DF9" w:rsidRDefault="00A43FBC">
      <w:pPr>
        <w:pStyle w:val="ListParagraph"/>
        <w:numPr>
          <w:ilvl w:val="1"/>
          <w:numId w:val="196"/>
        </w:numPr>
        <w:tabs>
          <w:tab w:val="left" w:pos="1342"/>
          <w:tab w:val="left" w:pos="1406"/>
        </w:tabs>
        <w:spacing w:before="243" w:line="230" w:lineRule="auto"/>
        <w:ind w:left="1406" w:right="845" w:hanging="558"/>
        <w:jc w:val="both"/>
      </w:pPr>
      <w:r>
        <w:rPr>
          <w:color w:val="221F1F"/>
        </w:rPr>
        <w:t>The determination shall be based upon an examination of the documentary evidence of the Tenderer's qualifications submitted by the Tenderer, pursuant to ITT 17. The determination shall not take into consideration the qualifications of other firms such as the Tenderer's subsidiaries, parent entities, affiliates, subcontractors (other than Specialized Sub-contractors if permitted in the Tender document), or any other firm(s) different from the Tenderer.</w:t>
      </w:r>
    </w:p>
    <w:p w:rsidR="007F6DF9" w:rsidRDefault="00A43FBC">
      <w:pPr>
        <w:pStyle w:val="ListParagraph"/>
        <w:numPr>
          <w:ilvl w:val="1"/>
          <w:numId w:val="196"/>
        </w:numPr>
        <w:tabs>
          <w:tab w:val="left" w:pos="1308"/>
          <w:tab w:val="left" w:pos="1406"/>
        </w:tabs>
        <w:spacing w:before="248" w:line="230" w:lineRule="auto"/>
        <w:ind w:left="1406" w:right="847" w:hanging="558"/>
        <w:jc w:val="both"/>
      </w:pPr>
      <w:r>
        <w:rPr>
          <w:color w:val="221F1F"/>
        </w:rPr>
        <w:t>An affirmative determination shall be a prerequisite for award of the Contract to the Tenderer. A negative determination shall result in disqualification of the Tender,</w:t>
      </w:r>
      <w:r>
        <w:rPr>
          <w:color w:val="221F1F"/>
          <w:spacing w:val="-6"/>
        </w:rPr>
        <w:t xml:space="preserve"> </w:t>
      </w:r>
      <w:r>
        <w:rPr>
          <w:color w:val="221F1F"/>
        </w:rPr>
        <w:t xml:space="preserve">in which event the </w:t>
      </w:r>
      <w:proofErr w:type="spellStart"/>
      <w:r>
        <w:rPr>
          <w:color w:val="221F1F"/>
        </w:rPr>
        <w:t>ProcuringEntityshallproceedto</w:t>
      </w:r>
      <w:proofErr w:type="spellEnd"/>
      <w:r>
        <w:rPr>
          <w:color w:val="221F1F"/>
        </w:rPr>
        <w:t xml:space="preserve"> the Tenderer who offers a substantially responsive Tender with the next lowest evaluated price to make a </w:t>
      </w:r>
      <w:bookmarkStart w:id="39" w:name="_bookmark38"/>
      <w:bookmarkEnd w:id="39"/>
      <w:r>
        <w:rPr>
          <w:color w:val="221F1F"/>
        </w:rPr>
        <w:t>similar determination of that Tenderer's qualifications to perform satisfactorily.</w:t>
      </w:r>
    </w:p>
    <w:p w:rsidR="007F6DF9" w:rsidRDefault="00A43FBC">
      <w:pPr>
        <w:pStyle w:val="Heading9"/>
        <w:numPr>
          <w:ilvl w:val="1"/>
          <w:numId w:val="195"/>
        </w:numPr>
        <w:tabs>
          <w:tab w:val="left" w:pos="1401"/>
        </w:tabs>
        <w:spacing w:before="235"/>
        <w:ind w:left="1401" w:hanging="552"/>
      </w:pPr>
      <w:r>
        <w:rPr>
          <w:color w:val="221F1F"/>
        </w:rPr>
        <w:t>Lowest</w:t>
      </w:r>
      <w:r>
        <w:rPr>
          <w:color w:val="221F1F"/>
          <w:spacing w:val="-4"/>
        </w:rPr>
        <w:t xml:space="preserve"> </w:t>
      </w:r>
      <w:r>
        <w:rPr>
          <w:color w:val="221F1F"/>
        </w:rPr>
        <w:t>evaluated</w:t>
      </w:r>
      <w:r>
        <w:rPr>
          <w:color w:val="221F1F"/>
          <w:spacing w:val="-5"/>
        </w:rPr>
        <w:t xml:space="preserve"> </w:t>
      </w:r>
      <w:r>
        <w:rPr>
          <w:color w:val="221F1F"/>
          <w:spacing w:val="-2"/>
        </w:rPr>
        <w:t>tender</w:t>
      </w:r>
    </w:p>
    <w:p w:rsidR="007F6DF9" w:rsidRDefault="00A43FBC">
      <w:pPr>
        <w:pStyle w:val="BodyText"/>
        <w:spacing w:before="242" w:line="230" w:lineRule="auto"/>
        <w:ind w:left="1406" w:right="846" w:hanging="5"/>
        <w:jc w:val="both"/>
      </w:pPr>
      <w:r>
        <w:rPr>
          <w:color w:val="221F1F"/>
        </w:rPr>
        <w:t>Having</w:t>
      </w:r>
      <w:r>
        <w:rPr>
          <w:color w:val="221F1F"/>
          <w:spacing w:val="-2"/>
        </w:rPr>
        <w:t xml:space="preserve"> </w:t>
      </w:r>
      <w:r>
        <w:rPr>
          <w:color w:val="221F1F"/>
        </w:rPr>
        <w:t>compared</w:t>
      </w:r>
      <w:r>
        <w:rPr>
          <w:color w:val="221F1F"/>
          <w:spacing w:val="-2"/>
        </w:rPr>
        <w:t xml:space="preserve"> </w:t>
      </w:r>
      <w:r>
        <w:rPr>
          <w:color w:val="221F1F"/>
        </w:rPr>
        <w:t>the</w:t>
      </w:r>
      <w:r>
        <w:rPr>
          <w:color w:val="221F1F"/>
          <w:spacing w:val="-2"/>
        </w:rPr>
        <w:t xml:space="preserve"> </w:t>
      </w:r>
      <w:r>
        <w:rPr>
          <w:color w:val="221F1F"/>
        </w:rPr>
        <w:t>evaluated</w:t>
      </w:r>
      <w:r>
        <w:rPr>
          <w:color w:val="221F1F"/>
          <w:spacing w:val="-2"/>
        </w:rPr>
        <w:t xml:space="preserve"> </w:t>
      </w:r>
      <w:r>
        <w:rPr>
          <w:color w:val="221F1F"/>
        </w:rPr>
        <w:t>prices of Tenders,</w:t>
      </w:r>
      <w:r>
        <w:rPr>
          <w:color w:val="221F1F"/>
          <w:spacing w:val="-2"/>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 shall determine</w:t>
      </w:r>
      <w:r>
        <w:rPr>
          <w:color w:val="221F1F"/>
          <w:spacing w:val="-2"/>
        </w:rPr>
        <w:t xml:space="preserve"> </w:t>
      </w:r>
      <w:r>
        <w:rPr>
          <w:color w:val="221F1F"/>
        </w:rPr>
        <w:t>the Lowest</w:t>
      </w:r>
      <w:r>
        <w:rPr>
          <w:color w:val="221F1F"/>
          <w:spacing w:val="-1"/>
        </w:rPr>
        <w:t xml:space="preserve"> </w:t>
      </w:r>
      <w:r>
        <w:rPr>
          <w:color w:val="221F1F"/>
        </w:rPr>
        <w:t>Evaluated Tender. The Lowest Evaluated Tender is the Tender of the Tenderer that meets the Qualification Criteria and whose Tender has been determined to be:</w:t>
      </w:r>
    </w:p>
    <w:p w:rsidR="007F6DF9" w:rsidRDefault="00A43FBC">
      <w:pPr>
        <w:pStyle w:val="ListParagraph"/>
        <w:numPr>
          <w:ilvl w:val="2"/>
          <w:numId w:val="195"/>
        </w:numPr>
        <w:tabs>
          <w:tab w:val="left" w:pos="1965"/>
        </w:tabs>
        <w:spacing w:before="44"/>
        <w:ind w:left="1965" w:hanging="563"/>
        <w:jc w:val="both"/>
      </w:pPr>
      <w:r>
        <w:rPr>
          <w:color w:val="221F1F"/>
        </w:rPr>
        <w:t>Most</w:t>
      </w:r>
      <w:r>
        <w:rPr>
          <w:color w:val="221F1F"/>
          <w:spacing w:val="-6"/>
        </w:rPr>
        <w:t xml:space="preserve"> </w:t>
      </w:r>
      <w:r>
        <w:rPr>
          <w:color w:val="221F1F"/>
        </w:rPr>
        <w:t>responsive</w:t>
      </w:r>
      <w:r>
        <w:rPr>
          <w:color w:val="221F1F"/>
          <w:spacing w:val="-5"/>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Tender</w:t>
      </w:r>
      <w:r>
        <w:rPr>
          <w:color w:val="221F1F"/>
          <w:spacing w:val="-9"/>
        </w:rPr>
        <w:t xml:space="preserve"> </w:t>
      </w:r>
      <w:r>
        <w:rPr>
          <w:color w:val="221F1F"/>
        </w:rPr>
        <w:t>document;</w:t>
      </w:r>
      <w:r>
        <w:rPr>
          <w:color w:val="221F1F"/>
          <w:spacing w:val="-5"/>
        </w:rPr>
        <w:t xml:space="preserve"> and</w:t>
      </w:r>
    </w:p>
    <w:p w:rsidR="007F6DF9" w:rsidRDefault="00A43FBC">
      <w:pPr>
        <w:pStyle w:val="ListParagraph"/>
        <w:numPr>
          <w:ilvl w:val="2"/>
          <w:numId w:val="195"/>
        </w:numPr>
        <w:tabs>
          <w:tab w:val="left" w:pos="1965"/>
        </w:tabs>
        <w:spacing w:before="40"/>
        <w:ind w:left="1965" w:hanging="563"/>
        <w:jc w:val="both"/>
      </w:pPr>
      <w:r>
        <w:rPr>
          <w:color w:val="221F1F"/>
        </w:rPr>
        <w:t>the</w:t>
      </w:r>
      <w:r>
        <w:rPr>
          <w:color w:val="221F1F"/>
          <w:spacing w:val="-7"/>
        </w:rPr>
        <w:t xml:space="preserve"> </w:t>
      </w:r>
      <w:r>
        <w:rPr>
          <w:color w:val="221F1F"/>
        </w:rPr>
        <w:t>lowest</w:t>
      </w:r>
      <w:r>
        <w:rPr>
          <w:color w:val="221F1F"/>
          <w:spacing w:val="-2"/>
        </w:rPr>
        <w:t xml:space="preserve"> </w:t>
      </w:r>
      <w:r>
        <w:rPr>
          <w:color w:val="221F1F"/>
        </w:rPr>
        <w:t>evaluated</w:t>
      </w:r>
      <w:r>
        <w:rPr>
          <w:color w:val="221F1F"/>
          <w:spacing w:val="-2"/>
        </w:rPr>
        <w:t xml:space="preserve"> price.</w:t>
      </w:r>
    </w:p>
    <w:p w:rsidR="007F6DF9" w:rsidRDefault="00A43FBC">
      <w:pPr>
        <w:pStyle w:val="Heading9"/>
        <w:numPr>
          <w:ilvl w:val="1"/>
          <w:numId w:val="194"/>
        </w:numPr>
        <w:tabs>
          <w:tab w:val="left" w:pos="1440"/>
        </w:tabs>
        <w:spacing w:before="234"/>
      </w:pPr>
      <w:bookmarkStart w:id="40" w:name="_bookmark39"/>
      <w:bookmarkEnd w:id="40"/>
      <w:r>
        <w:rPr>
          <w:color w:val="221F1F"/>
        </w:rPr>
        <w:t>Procuring</w:t>
      </w:r>
      <w:r>
        <w:rPr>
          <w:color w:val="221F1F"/>
          <w:spacing w:val="-4"/>
        </w:rPr>
        <w:t xml:space="preserve"> </w:t>
      </w:r>
      <w:r>
        <w:rPr>
          <w:color w:val="221F1F"/>
        </w:rPr>
        <w:t>entity's</w:t>
      </w:r>
      <w:r>
        <w:rPr>
          <w:color w:val="221F1F"/>
          <w:spacing w:val="-2"/>
        </w:rPr>
        <w:t xml:space="preserve"> </w:t>
      </w:r>
      <w:r>
        <w:rPr>
          <w:color w:val="221F1F"/>
        </w:rPr>
        <w:t>right</w:t>
      </w:r>
      <w:r>
        <w:rPr>
          <w:color w:val="221F1F"/>
          <w:spacing w:val="-4"/>
        </w:rPr>
        <w:t xml:space="preserve"> </w:t>
      </w:r>
      <w:r>
        <w:rPr>
          <w:color w:val="221F1F"/>
        </w:rPr>
        <w:t>to</w:t>
      </w:r>
      <w:r>
        <w:rPr>
          <w:color w:val="221F1F"/>
          <w:spacing w:val="-5"/>
        </w:rPr>
        <w:t xml:space="preserve"> </w:t>
      </w:r>
      <w:r>
        <w:rPr>
          <w:color w:val="221F1F"/>
        </w:rPr>
        <w:t>accept</w:t>
      </w:r>
      <w:r>
        <w:rPr>
          <w:color w:val="221F1F"/>
          <w:spacing w:val="-2"/>
        </w:rPr>
        <w:t xml:space="preserve"> </w:t>
      </w:r>
      <w:r>
        <w:rPr>
          <w:color w:val="221F1F"/>
        </w:rPr>
        <w:t>any</w:t>
      </w:r>
      <w:r>
        <w:rPr>
          <w:color w:val="221F1F"/>
          <w:spacing w:val="-5"/>
        </w:rPr>
        <w:t xml:space="preserve"> </w:t>
      </w:r>
      <w:r>
        <w:rPr>
          <w:color w:val="221F1F"/>
        </w:rPr>
        <w:t>tender,</w:t>
      </w:r>
      <w:r>
        <w:rPr>
          <w:color w:val="221F1F"/>
          <w:spacing w:val="-2"/>
        </w:rPr>
        <w:t xml:space="preserve"> </w:t>
      </w:r>
      <w:r>
        <w:rPr>
          <w:color w:val="221F1F"/>
        </w:rPr>
        <w:t>and</w:t>
      </w:r>
      <w:r>
        <w:rPr>
          <w:color w:val="221F1F"/>
          <w:spacing w:val="-5"/>
        </w:rPr>
        <w:t xml:space="preserve"> </w:t>
      </w:r>
      <w:r>
        <w:rPr>
          <w:color w:val="221F1F"/>
        </w:rPr>
        <w:t>to</w:t>
      </w:r>
      <w:r>
        <w:rPr>
          <w:color w:val="221F1F"/>
          <w:spacing w:val="-5"/>
        </w:rPr>
        <w:t xml:space="preserve"> </w:t>
      </w:r>
      <w:r>
        <w:rPr>
          <w:color w:val="221F1F"/>
        </w:rPr>
        <w:t>reject</w:t>
      </w:r>
      <w:r>
        <w:rPr>
          <w:color w:val="221F1F"/>
          <w:spacing w:val="-4"/>
        </w:rPr>
        <w:t xml:space="preserve"> </w:t>
      </w:r>
      <w:r>
        <w:rPr>
          <w:color w:val="221F1F"/>
        </w:rPr>
        <w:t>any</w:t>
      </w:r>
      <w:r>
        <w:rPr>
          <w:color w:val="221F1F"/>
          <w:spacing w:val="-2"/>
        </w:rPr>
        <w:t xml:space="preserve"> </w:t>
      </w:r>
      <w:r>
        <w:rPr>
          <w:color w:val="221F1F"/>
        </w:rPr>
        <w:t>or</w:t>
      </w:r>
      <w:r>
        <w:rPr>
          <w:color w:val="221F1F"/>
          <w:spacing w:val="-1"/>
        </w:rPr>
        <w:t xml:space="preserve"> </w:t>
      </w:r>
      <w:r>
        <w:rPr>
          <w:color w:val="221F1F"/>
        </w:rPr>
        <w:t>all</w:t>
      </w:r>
      <w:r>
        <w:rPr>
          <w:color w:val="221F1F"/>
          <w:spacing w:val="-1"/>
        </w:rPr>
        <w:t xml:space="preserve"> </w:t>
      </w:r>
      <w:r>
        <w:rPr>
          <w:color w:val="221F1F"/>
          <w:spacing w:val="-2"/>
        </w:rPr>
        <w:t>tenders.</w:t>
      </w:r>
    </w:p>
    <w:p w:rsidR="007F6DF9" w:rsidRDefault="00A43FBC">
      <w:pPr>
        <w:pStyle w:val="BodyText"/>
        <w:spacing w:before="242" w:line="230" w:lineRule="auto"/>
        <w:ind w:left="1406" w:right="843" w:hanging="5"/>
        <w:jc w:val="both"/>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reserves</w:t>
      </w:r>
      <w:r>
        <w:rPr>
          <w:color w:val="221F1F"/>
          <w:spacing w:val="-13"/>
        </w:rPr>
        <w:t xml:space="preserve"> </w:t>
      </w:r>
      <w:r>
        <w:rPr>
          <w:color w:val="221F1F"/>
        </w:rPr>
        <w:t>the</w:t>
      </w:r>
      <w:r>
        <w:rPr>
          <w:color w:val="221F1F"/>
          <w:spacing w:val="-13"/>
        </w:rPr>
        <w:t xml:space="preserve"> </w:t>
      </w:r>
      <w:r>
        <w:rPr>
          <w:color w:val="221F1F"/>
        </w:rPr>
        <w:t>right</w:t>
      </w:r>
      <w:r>
        <w:rPr>
          <w:color w:val="221F1F"/>
          <w:spacing w:val="-13"/>
        </w:rPr>
        <w:t xml:space="preserve"> </w:t>
      </w:r>
      <w:r>
        <w:rPr>
          <w:color w:val="221F1F"/>
        </w:rPr>
        <w:t>to</w:t>
      </w:r>
      <w:r>
        <w:rPr>
          <w:color w:val="221F1F"/>
          <w:spacing w:val="-13"/>
        </w:rPr>
        <w:t xml:space="preserve"> </w:t>
      </w:r>
      <w:r>
        <w:rPr>
          <w:color w:val="221F1F"/>
        </w:rPr>
        <w:t>accept</w:t>
      </w:r>
      <w:r>
        <w:rPr>
          <w:color w:val="221F1F"/>
          <w:spacing w:val="-12"/>
        </w:rPr>
        <w:t xml:space="preserve"> </w:t>
      </w:r>
      <w:r>
        <w:rPr>
          <w:color w:val="221F1F"/>
        </w:rPr>
        <w:t>or</w:t>
      </w:r>
      <w:r>
        <w:rPr>
          <w:color w:val="221F1F"/>
          <w:spacing w:val="-12"/>
        </w:rPr>
        <w:t xml:space="preserve"> </w:t>
      </w:r>
      <w:r>
        <w:rPr>
          <w:color w:val="221F1F"/>
        </w:rPr>
        <w:t>reject</w:t>
      </w:r>
      <w:r>
        <w:rPr>
          <w:color w:val="221F1F"/>
          <w:spacing w:val="-11"/>
        </w:rPr>
        <w:t xml:space="preserve"> </w:t>
      </w:r>
      <w:r>
        <w:rPr>
          <w:color w:val="221F1F"/>
        </w:rPr>
        <w:t>any</w:t>
      </w:r>
      <w:r>
        <w:rPr>
          <w:color w:val="221F1F"/>
          <w:spacing w:val="-14"/>
        </w:rPr>
        <w:t xml:space="preserve"> </w:t>
      </w:r>
      <w:r>
        <w:rPr>
          <w:color w:val="221F1F"/>
        </w:rPr>
        <w:t>Tender</w:t>
      </w:r>
      <w:r>
        <w:rPr>
          <w:color w:val="221F1F"/>
          <w:spacing w:val="-14"/>
        </w:rPr>
        <w:t xml:space="preserve"> </w:t>
      </w:r>
      <w:r>
        <w:rPr>
          <w:color w:val="221F1F"/>
        </w:rPr>
        <w:t>and</w:t>
      </w:r>
      <w:r>
        <w:rPr>
          <w:color w:val="221F1F"/>
          <w:spacing w:val="-14"/>
        </w:rPr>
        <w:t xml:space="preserve"> </w:t>
      </w:r>
      <w:r>
        <w:rPr>
          <w:color w:val="221F1F"/>
        </w:rPr>
        <w:t>to</w:t>
      </w:r>
      <w:r>
        <w:rPr>
          <w:color w:val="221F1F"/>
          <w:spacing w:val="-12"/>
        </w:rPr>
        <w:t xml:space="preserve"> </w:t>
      </w:r>
      <w:r>
        <w:rPr>
          <w:color w:val="221F1F"/>
        </w:rPr>
        <w:t>annul</w:t>
      </w:r>
      <w:r>
        <w:rPr>
          <w:color w:val="221F1F"/>
          <w:spacing w:val="-12"/>
        </w:rPr>
        <w:t xml:space="preserve"> </w:t>
      </w:r>
      <w:r>
        <w:rPr>
          <w:color w:val="221F1F"/>
        </w:rPr>
        <w:t>the</w:t>
      </w:r>
      <w:r>
        <w:rPr>
          <w:color w:val="221F1F"/>
          <w:spacing w:val="-12"/>
        </w:rPr>
        <w:t xml:space="preserve"> </w:t>
      </w:r>
      <w:r>
        <w:rPr>
          <w:color w:val="221F1F"/>
        </w:rPr>
        <w:t>Tender</w:t>
      </w:r>
      <w:r>
        <w:rPr>
          <w:color w:val="221F1F"/>
          <w:spacing w:val="-14"/>
        </w:rPr>
        <w:t xml:space="preserve"> </w:t>
      </w:r>
      <w:r>
        <w:rPr>
          <w:color w:val="221F1F"/>
        </w:rPr>
        <w:t>process</w:t>
      </w:r>
      <w:r>
        <w:rPr>
          <w:color w:val="221F1F"/>
          <w:spacing w:val="-13"/>
        </w:rPr>
        <w:t xml:space="preserve"> </w:t>
      </w:r>
      <w:r>
        <w:rPr>
          <w:color w:val="221F1F"/>
        </w:rPr>
        <w:t>and</w:t>
      </w:r>
      <w:r>
        <w:rPr>
          <w:color w:val="221F1F"/>
          <w:spacing w:val="-14"/>
        </w:rPr>
        <w:t xml:space="preserve"> </w:t>
      </w:r>
      <w:r>
        <w:rPr>
          <w:color w:val="221F1F"/>
        </w:rPr>
        <w:t>reject all</w:t>
      </w:r>
      <w:r>
        <w:rPr>
          <w:color w:val="221F1F"/>
          <w:spacing w:val="-13"/>
        </w:rPr>
        <w:t xml:space="preserve"> </w:t>
      </w:r>
      <w:r>
        <w:rPr>
          <w:color w:val="221F1F"/>
        </w:rPr>
        <w:t>Tenders</w:t>
      </w:r>
      <w:r>
        <w:rPr>
          <w:color w:val="221F1F"/>
          <w:spacing w:val="-12"/>
        </w:rPr>
        <w:t xml:space="preserve"> </w:t>
      </w:r>
      <w:r>
        <w:rPr>
          <w:color w:val="221F1F"/>
        </w:rPr>
        <w:t>at</w:t>
      </w:r>
      <w:r>
        <w:rPr>
          <w:color w:val="221F1F"/>
          <w:spacing w:val="-7"/>
        </w:rPr>
        <w:t xml:space="preserve"> </w:t>
      </w:r>
      <w:r>
        <w:rPr>
          <w:color w:val="221F1F"/>
        </w:rPr>
        <w:t>any</w:t>
      </w:r>
      <w:r>
        <w:rPr>
          <w:color w:val="221F1F"/>
          <w:spacing w:val="-10"/>
        </w:rPr>
        <w:t xml:space="preserve"> </w:t>
      </w:r>
      <w:r>
        <w:rPr>
          <w:color w:val="221F1F"/>
        </w:rPr>
        <w:t>time</w:t>
      </w:r>
      <w:r>
        <w:rPr>
          <w:color w:val="221F1F"/>
          <w:spacing w:val="-8"/>
        </w:rPr>
        <w:t xml:space="preserve"> </w:t>
      </w:r>
      <w:r>
        <w:rPr>
          <w:color w:val="221F1F"/>
        </w:rPr>
        <w:t>prior</w:t>
      </w:r>
      <w:r>
        <w:rPr>
          <w:color w:val="221F1F"/>
          <w:spacing w:val="-9"/>
        </w:rPr>
        <w:t xml:space="preserve"> </w:t>
      </w:r>
      <w:r>
        <w:rPr>
          <w:color w:val="221F1F"/>
        </w:rPr>
        <w:t>to</w:t>
      </w:r>
      <w:r>
        <w:rPr>
          <w:color w:val="221F1F"/>
          <w:spacing w:val="-8"/>
        </w:rPr>
        <w:t xml:space="preserve"> </w:t>
      </w:r>
      <w:r>
        <w:rPr>
          <w:color w:val="221F1F"/>
        </w:rPr>
        <w:t>Contract</w:t>
      </w:r>
      <w:r>
        <w:rPr>
          <w:color w:val="221F1F"/>
          <w:spacing w:val="-7"/>
        </w:rPr>
        <w:t xml:space="preserve"> </w:t>
      </w:r>
      <w:r>
        <w:rPr>
          <w:color w:val="221F1F"/>
        </w:rPr>
        <w:t>Award,</w:t>
      </w:r>
      <w:r>
        <w:rPr>
          <w:color w:val="221F1F"/>
          <w:spacing w:val="-14"/>
        </w:rPr>
        <w:t xml:space="preserve"> </w:t>
      </w:r>
      <w:r>
        <w:rPr>
          <w:color w:val="221F1F"/>
        </w:rPr>
        <w:t>without</w:t>
      </w:r>
      <w:r>
        <w:rPr>
          <w:color w:val="221F1F"/>
          <w:spacing w:val="-9"/>
        </w:rPr>
        <w:t xml:space="preserve"> </w:t>
      </w:r>
      <w:r>
        <w:rPr>
          <w:color w:val="221F1F"/>
        </w:rPr>
        <w:t>there</w:t>
      </w:r>
      <w:r>
        <w:rPr>
          <w:color w:val="221F1F"/>
          <w:spacing w:val="-8"/>
        </w:rPr>
        <w:t xml:space="preserve"> </w:t>
      </w:r>
      <w:r>
        <w:rPr>
          <w:color w:val="221F1F"/>
        </w:rPr>
        <w:t>by</w:t>
      </w:r>
      <w:r>
        <w:rPr>
          <w:color w:val="221F1F"/>
          <w:spacing w:val="-10"/>
        </w:rPr>
        <w:t xml:space="preserve"> </w:t>
      </w:r>
      <w:r>
        <w:rPr>
          <w:color w:val="221F1F"/>
        </w:rPr>
        <w:t>incurring</w:t>
      </w:r>
      <w:r>
        <w:rPr>
          <w:color w:val="221F1F"/>
          <w:spacing w:val="-8"/>
        </w:rPr>
        <w:t xml:space="preserve"> </w:t>
      </w:r>
      <w:r>
        <w:rPr>
          <w:color w:val="221F1F"/>
        </w:rPr>
        <w:t>any</w:t>
      </w:r>
      <w:r>
        <w:rPr>
          <w:color w:val="221F1F"/>
          <w:spacing w:val="-8"/>
        </w:rPr>
        <w:t xml:space="preserve"> </w:t>
      </w:r>
      <w:r>
        <w:rPr>
          <w:color w:val="221F1F"/>
        </w:rPr>
        <w:t>liability</w:t>
      </w:r>
      <w:r>
        <w:rPr>
          <w:color w:val="221F1F"/>
          <w:spacing w:val="-7"/>
        </w:rPr>
        <w:t xml:space="preserve"> </w:t>
      </w:r>
      <w:r>
        <w:rPr>
          <w:color w:val="221F1F"/>
        </w:rPr>
        <w:t>to</w:t>
      </w:r>
      <w:r>
        <w:rPr>
          <w:color w:val="221F1F"/>
          <w:spacing w:val="-8"/>
        </w:rPr>
        <w:t xml:space="preserve"> </w:t>
      </w:r>
      <w:r>
        <w:rPr>
          <w:color w:val="221F1F"/>
        </w:rPr>
        <w:t>Tenderers.</w:t>
      </w:r>
      <w:r>
        <w:rPr>
          <w:color w:val="221F1F"/>
          <w:spacing w:val="-7"/>
        </w:rPr>
        <w:t xml:space="preserve"> </w:t>
      </w:r>
      <w:proofErr w:type="spellStart"/>
      <w:r>
        <w:rPr>
          <w:color w:val="221F1F"/>
        </w:rPr>
        <w:t>Incase</w:t>
      </w:r>
      <w:proofErr w:type="spellEnd"/>
      <w:r>
        <w:rPr>
          <w:color w:val="221F1F"/>
          <w:spacing w:val="-7"/>
        </w:rPr>
        <w:t xml:space="preserve"> </w:t>
      </w:r>
      <w:r>
        <w:rPr>
          <w:color w:val="221F1F"/>
        </w:rPr>
        <w:t xml:space="preserve">of annulment, all Tenders submitted and specifically, Tender securities, shall be promptly returned to the </w:t>
      </w:r>
      <w:r>
        <w:rPr>
          <w:color w:val="221F1F"/>
          <w:spacing w:val="-2"/>
        </w:rPr>
        <w:t>Tenderers.</w:t>
      </w:r>
    </w:p>
    <w:p w:rsidR="007F6DF9" w:rsidRDefault="00A43FBC">
      <w:pPr>
        <w:pStyle w:val="Heading8"/>
        <w:numPr>
          <w:ilvl w:val="0"/>
          <w:numId w:val="225"/>
        </w:numPr>
        <w:tabs>
          <w:tab w:val="left" w:pos="1440"/>
        </w:tabs>
        <w:spacing w:before="238"/>
        <w:ind w:left="1440" w:hanging="591"/>
      </w:pPr>
      <w:bookmarkStart w:id="41" w:name="_bookmark40"/>
      <w:bookmarkEnd w:id="41"/>
      <w:r>
        <w:rPr>
          <w:color w:val="221F1F"/>
          <w:u w:val="single" w:color="221F1F"/>
        </w:rPr>
        <w:t>AWARD</w:t>
      </w:r>
      <w:r>
        <w:rPr>
          <w:color w:val="221F1F"/>
          <w:spacing w:val="-4"/>
          <w:u w:val="single" w:color="221F1F"/>
        </w:rPr>
        <w:t xml:space="preserve"> </w:t>
      </w:r>
      <w:r>
        <w:rPr>
          <w:color w:val="221F1F"/>
          <w:u w:val="single" w:color="221F1F"/>
        </w:rPr>
        <w:t>OF</w:t>
      </w:r>
      <w:r>
        <w:rPr>
          <w:color w:val="221F1F"/>
          <w:spacing w:val="-3"/>
          <w:u w:val="single" w:color="221F1F"/>
        </w:rPr>
        <w:t xml:space="preserve"> </w:t>
      </w:r>
      <w:r>
        <w:rPr>
          <w:color w:val="221F1F"/>
          <w:spacing w:val="-2"/>
          <w:u w:val="single" w:color="221F1F"/>
        </w:rPr>
        <w:t>CONTRACT</w:t>
      </w:r>
    </w:p>
    <w:p w:rsidR="007F6DF9" w:rsidRDefault="00A43FBC">
      <w:pPr>
        <w:pStyle w:val="Heading9"/>
        <w:numPr>
          <w:ilvl w:val="0"/>
          <w:numId w:val="193"/>
        </w:numPr>
        <w:tabs>
          <w:tab w:val="left" w:pos="1440"/>
        </w:tabs>
        <w:spacing w:before="232"/>
      </w:pPr>
      <w:bookmarkStart w:id="42" w:name="_bookmark41"/>
      <w:bookmarkEnd w:id="42"/>
      <w:r>
        <w:rPr>
          <w:color w:val="221F1F"/>
        </w:rPr>
        <w:t>Award</w:t>
      </w:r>
      <w:r>
        <w:rPr>
          <w:color w:val="221F1F"/>
          <w:spacing w:val="-1"/>
        </w:rPr>
        <w:t xml:space="preserve"> </w:t>
      </w:r>
      <w:r>
        <w:rPr>
          <w:color w:val="221F1F"/>
          <w:spacing w:val="-2"/>
        </w:rPr>
        <w:t>criteria</w:t>
      </w:r>
    </w:p>
    <w:p w:rsidR="007F6DF9" w:rsidRDefault="00A43FBC">
      <w:pPr>
        <w:pStyle w:val="BodyText"/>
        <w:spacing w:before="240" w:line="232" w:lineRule="auto"/>
        <w:ind w:left="1406" w:right="851" w:hanging="5"/>
        <w:jc w:val="both"/>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3"/>
        </w:rPr>
        <w:t xml:space="preserve"> </w:t>
      </w:r>
      <w:r>
        <w:rPr>
          <w:color w:val="221F1F"/>
        </w:rPr>
        <w:t>award</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successful</w:t>
      </w:r>
      <w:r>
        <w:rPr>
          <w:color w:val="221F1F"/>
          <w:spacing w:val="-3"/>
        </w:rPr>
        <w:t xml:space="preserve"> </w:t>
      </w:r>
      <w:r>
        <w:rPr>
          <w:color w:val="221F1F"/>
        </w:rPr>
        <w:t>tenderer</w:t>
      </w:r>
      <w:r>
        <w:rPr>
          <w:color w:val="221F1F"/>
          <w:spacing w:val="-1"/>
        </w:rPr>
        <w:t xml:space="preserve"> </w:t>
      </w:r>
      <w:r>
        <w:rPr>
          <w:color w:val="221F1F"/>
        </w:rPr>
        <w:t>whose</w:t>
      </w:r>
      <w:r>
        <w:rPr>
          <w:color w:val="221F1F"/>
          <w:spacing w:val="-2"/>
        </w:rPr>
        <w:t xml:space="preserve"> </w:t>
      </w:r>
      <w:r>
        <w:rPr>
          <w:color w:val="221F1F"/>
        </w:rPr>
        <w:t>tender has</w:t>
      </w:r>
      <w:r>
        <w:rPr>
          <w:color w:val="221F1F"/>
          <w:spacing w:val="-1"/>
        </w:rPr>
        <w:t xml:space="preserve"> </w:t>
      </w:r>
      <w:r>
        <w:rPr>
          <w:color w:val="221F1F"/>
        </w:rPr>
        <w:t>been</w:t>
      </w:r>
      <w:r>
        <w:rPr>
          <w:color w:val="221F1F"/>
          <w:spacing w:val="-2"/>
        </w:rPr>
        <w:t xml:space="preserve"> </w:t>
      </w:r>
      <w:r>
        <w:rPr>
          <w:color w:val="221F1F"/>
        </w:rPr>
        <w:t>determined</w:t>
      </w:r>
      <w:r>
        <w:rPr>
          <w:color w:val="221F1F"/>
          <w:spacing w:val="-1"/>
        </w:rPr>
        <w:t xml:space="preserve"> </w:t>
      </w:r>
      <w:r>
        <w:rPr>
          <w:color w:val="221F1F"/>
        </w:rPr>
        <w:t>to be the Lowest Evaluated Tender.</w:t>
      </w:r>
    </w:p>
    <w:p w:rsidR="007F6DF9" w:rsidRDefault="007F6DF9">
      <w:pPr>
        <w:pStyle w:val="BodyText"/>
        <w:spacing w:before="183"/>
      </w:pPr>
    </w:p>
    <w:p w:rsidR="007F6DF9" w:rsidRDefault="00A43FBC">
      <w:pPr>
        <w:pStyle w:val="Heading9"/>
        <w:numPr>
          <w:ilvl w:val="0"/>
          <w:numId w:val="193"/>
        </w:numPr>
        <w:tabs>
          <w:tab w:val="left" w:pos="1416"/>
        </w:tabs>
        <w:spacing w:before="1"/>
        <w:ind w:left="1416" w:hanging="567"/>
      </w:pPr>
      <w:bookmarkStart w:id="43" w:name="_bookmark42"/>
      <w:bookmarkEnd w:id="43"/>
      <w:r>
        <w:rPr>
          <w:color w:val="221F1F"/>
        </w:rPr>
        <w:t>Notice</w:t>
      </w:r>
      <w:r>
        <w:rPr>
          <w:color w:val="221F1F"/>
          <w:spacing w:val="-4"/>
        </w:rPr>
        <w:t xml:space="preserve"> </w:t>
      </w:r>
      <w:r>
        <w:rPr>
          <w:color w:val="221F1F"/>
        </w:rPr>
        <w:t>of</w:t>
      </w:r>
      <w:r>
        <w:rPr>
          <w:color w:val="221F1F"/>
          <w:spacing w:val="-6"/>
        </w:rPr>
        <w:t xml:space="preserve"> </w:t>
      </w:r>
      <w:r>
        <w:rPr>
          <w:color w:val="221F1F"/>
        </w:rPr>
        <w:t>Intention</w:t>
      </w:r>
      <w:r>
        <w:rPr>
          <w:color w:val="221F1F"/>
          <w:spacing w:val="-5"/>
        </w:rPr>
        <w:t xml:space="preserve"> </w:t>
      </w:r>
      <w:r>
        <w:rPr>
          <w:color w:val="221F1F"/>
        </w:rPr>
        <w:t>to</w:t>
      </w:r>
      <w:r>
        <w:rPr>
          <w:color w:val="221F1F"/>
          <w:spacing w:val="-4"/>
        </w:rPr>
        <w:t xml:space="preserve"> </w:t>
      </w:r>
      <w:r>
        <w:rPr>
          <w:color w:val="221F1F"/>
        </w:rPr>
        <w:t>Enter</w:t>
      </w:r>
      <w:r>
        <w:rPr>
          <w:color w:val="221F1F"/>
          <w:spacing w:val="-3"/>
        </w:rPr>
        <w:t xml:space="preserve"> </w:t>
      </w:r>
      <w:r>
        <w:rPr>
          <w:color w:val="221F1F"/>
        </w:rPr>
        <w:t>into</w:t>
      </w:r>
      <w:r>
        <w:rPr>
          <w:color w:val="221F1F"/>
          <w:spacing w:val="-4"/>
        </w:rPr>
        <w:t xml:space="preserve"> </w:t>
      </w:r>
      <w:r>
        <w:rPr>
          <w:color w:val="221F1F"/>
        </w:rPr>
        <w:t>a</w:t>
      </w:r>
      <w:r>
        <w:rPr>
          <w:color w:val="221F1F"/>
          <w:spacing w:val="-4"/>
        </w:rPr>
        <w:t xml:space="preserve"> </w:t>
      </w:r>
      <w:r>
        <w:rPr>
          <w:color w:val="221F1F"/>
        </w:rPr>
        <w:t>Contract/Notification</w:t>
      </w:r>
      <w:r>
        <w:rPr>
          <w:color w:val="221F1F"/>
          <w:spacing w:val="-7"/>
        </w:rPr>
        <w:t xml:space="preserve"> </w:t>
      </w:r>
      <w:r>
        <w:rPr>
          <w:color w:val="221F1F"/>
        </w:rPr>
        <w:t>of</w:t>
      </w:r>
      <w:r>
        <w:rPr>
          <w:color w:val="221F1F"/>
          <w:spacing w:val="-3"/>
        </w:rPr>
        <w:t xml:space="preserve"> </w:t>
      </w:r>
      <w:r>
        <w:rPr>
          <w:color w:val="221F1F"/>
          <w:spacing w:val="-2"/>
        </w:rPr>
        <w:t>Award</w:t>
      </w:r>
    </w:p>
    <w:p w:rsidR="007F6DF9" w:rsidRDefault="00FC371B">
      <w:pPr>
        <w:pStyle w:val="BodyText"/>
        <w:spacing w:before="242" w:line="230" w:lineRule="auto"/>
        <w:ind w:left="1414" w:right="846"/>
        <w:jc w:val="both"/>
      </w:pPr>
      <w:r>
        <w:rPr>
          <w:color w:val="221F1F"/>
        </w:rPr>
        <w:t>Upon award</w:t>
      </w:r>
      <w:r w:rsidR="00A43FBC">
        <w:rPr>
          <w:color w:val="221F1F"/>
          <w:spacing w:val="-14"/>
        </w:rPr>
        <w:t xml:space="preserve"> </w:t>
      </w:r>
      <w:r w:rsidR="00A43FBC">
        <w:rPr>
          <w:color w:val="221F1F"/>
        </w:rPr>
        <w:t>of</w:t>
      </w:r>
      <w:r w:rsidR="00A43FBC">
        <w:rPr>
          <w:color w:val="221F1F"/>
          <w:spacing w:val="-14"/>
        </w:rPr>
        <w:t xml:space="preserve"> </w:t>
      </w:r>
      <w:r w:rsidR="00A43FBC">
        <w:rPr>
          <w:color w:val="221F1F"/>
        </w:rPr>
        <w:t>the</w:t>
      </w:r>
      <w:r w:rsidR="00A43FBC">
        <w:rPr>
          <w:color w:val="221F1F"/>
          <w:spacing w:val="-14"/>
        </w:rPr>
        <w:t xml:space="preserve"> </w:t>
      </w:r>
      <w:r w:rsidR="00A43FBC">
        <w:rPr>
          <w:color w:val="221F1F"/>
        </w:rPr>
        <w:t>contract</w:t>
      </w:r>
      <w:r w:rsidR="00A43FBC">
        <w:rPr>
          <w:color w:val="221F1F"/>
          <w:spacing w:val="-13"/>
        </w:rPr>
        <w:t xml:space="preserve"> </w:t>
      </w:r>
      <w:r w:rsidR="00A43FBC">
        <w:rPr>
          <w:color w:val="221F1F"/>
        </w:rPr>
        <w:t>and</w:t>
      </w:r>
      <w:r w:rsidR="00A43FBC">
        <w:rPr>
          <w:color w:val="221F1F"/>
          <w:spacing w:val="-13"/>
        </w:rPr>
        <w:t xml:space="preserve"> </w:t>
      </w:r>
      <w:r w:rsidR="00A43FBC">
        <w:rPr>
          <w:color w:val="221F1F"/>
        </w:rPr>
        <w:t>Prior</w:t>
      </w:r>
      <w:r w:rsidR="00A43FBC">
        <w:rPr>
          <w:color w:val="221F1F"/>
          <w:spacing w:val="-12"/>
        </w:rPr>
        <w:t xml:space="preserve"> </w:t>
      </w:r>
      <w:r w:rsidR="00A43FBC">
        <w:rPr>
          <w:color w:val="221F1F"/>
        </w:rPr>
        <w:t>to</w:t>
      </w:r>
      <w:r w:rsidR="00A43FBC">
        <w:rPr>
          <w:color w:val="221F1F"/>
          <w:spacing w:val="-13"/>
        </w:rPr>
        <w:t xml:space="preserve"> </w:t>
      </w:r>
      <w:r w:rsidR="00A43FBC">
        <w:rPr>
          <w:color w:val="221F1F"/>
        </w:rPr>
        <w:t>the</w:t>
      </w:r>
      <w:r w:rsidR="00A43FBC">
        <w:rPr>
          <w:color w:val="221F1F"/>
          <w:spacing w:val="-11"/>
        </w:rPr>
        <w:t xml:space="preserve"> </w:t>
      </w:r>
      <w:r w:rsidR="00A43FBC">
        <w:rPr>
          <w:color w:val="221F1F"/>
        </w:rPr>
        <w:t>expiry</w:t>
      </w:r>
      <w:r w:rsidR="00A43FBC">
        <w:rPr>
          <w:color w:val="221F1F"/>
          <w:spacing w:val="-11"/>
        </w:rPr>
        <w:t xml:space="preserve"> </w:t>
      </w:r>
      <w:r w:rsidR="00A43FBC">
        <w:rPr>
          <w:color w:val="221F1F"/>
        </w:rPr>
        <w:t>of</w:t>
      </w:r>
      <w:r w:rsidR="00A43FBC">
        <w:rPr>
          <w:color w:val="221F1F"/>
          <w:spacing w:val="-12"/>
        </w:rPr>
        <w:t xml:space="preserve"> </w:t>
      </w:r>
      <w:r w:rsidR="00A43FBC">
        <w:rPr>
          <w:color w:val="221F1F"/>
        </w:rPr>
        <w:t>the</w:t>
      </w:r>
      <w:r w:rsidR="00A43FBC">
        <w:rPr>
          <w:color w:val="221F1F"/>
          <w:spacing w:val="-10"/>
        </w:rPr>
        <w:t xml:space="preserve"> </w:t>
      </w:r>
      <w:r w:rsidR="00A43FBC">
        <w:rPr>
          <w:color w:val="221F1F"/>
        </w:rPr>
        <w:t>Tender</w:t>
      </w:r>
      <w:r w:rsidR="00A43FBC">
        <w:rPr>
          <w:color w:val="221F1F"/>
          <w:spacing w:val="-14"/>
        </w:rPr>
        <w:t xml:space="preserve"> </w:t>
      </w:r>
      <w:r w:rsidR="00A43FBC">
        <w:rPr>
          <w:color w:val="221F1F"/>
        </w:rPr>
        <w:t>Validity</w:t>
      </w:r>
      <w:r w:rsidR="00A43FBC">
        <w:rPr>
          <w:color w:val="221F1F"/>
          <w:spacing w:val="-14"/>
        </w:rPr>
        <w:t xml:space="preserve"> </w:t>
      </w:r>
      <w:r w:rsidR="00A43FBC">
        <w:rPr>
          <w:color w:val="221F1F"/>
        </w:rPr>
        <w:t>Period</w:t>
      </w:r>
      <w:r w:rsidR="00A43FBC">
        <w:rPr>
          <w:color w:val="221F1F"/>
          <w:spacing w:val="-13"/>
        </w:rPr>
        <w:t xml:space="preserve"> </w:t>
      </w:r>
      <w:r w:rsidR="00A43FBC">
        <w:rPr>
          <w:color w:val="221F1F"/>
        </w:rPr>
        <w:t>the</w:t>
      </w:r>
      <w:r w:rsidR="00A43FBC">
        <w:rPr>
          <w:color w:val="221F1F"/>
          <w:spacing w:val="-12"/>
        </w:rPr>
        <w:t xml:space="preserve"> </w:t>
      </w:r>
      <w:r w:rsidR="00A43FBC">
        <w:rPr>
          <w:color w:val="221F1F"/>
        </w:rPr>
        <w:t>Procuring</w:t>
      </w:r>
      <w:r w:rsidR="00A43FBC">
        <w:rPr>
          <w:color w:val="221F1F"/>
          <w:spacing w:val="-10"/>
        </w:rPr>
        <w:t xml:space="preserve"> </w:t>
      </w:r>
      <w:r w:rsidR="00A43FBC">
        <w:rPr>
          <w:color w:val="221F1F"/>
        </w:rPr>
        <w:t>Entity</w:t>
      </w:r>
      <w:r w:rsidR="00A43FBC">
        <w:rPr>
          <w:color w:val="221F1F"/>
          <w:spacing w:val="-11"/>
        </w:rPr>
        <w:t xml:space="preserve"> </w:t>
      </w:r>
      <w:r w:rsidR="00A43FBC">
        <w:rPr>
          <w:color w:val="221F1F"/>
        </w:rPr>
        <w:t>shall</w:t>
      </w:r>
      <w:r w:rsidR="00A43FBC">
        <w:rPr>
          <w:color w:val="221F1F"/>
          <w:spacing w:val="-12"/>
        </w:rPr>
        <w:t xml:space="preserve"> </w:t>
      </w:r>
      <w:r w:rsidR="00A43FBC">
        <w:rPr>
          <w:color w:val="221F1F"/>
        </w:rPr>
        <w:t>issue a Notification of Intention to Enter into a Contract/Notification of award to all tenderers which shall contain, at a minimum, the following information:</w:t>
      </w:r>
    </w:p>
    <w:p w:rsidR="007F6DF9" w:rsidRDefault="00A43FBC">
      <w:pPr>
        <w:pStyle w:val="ListParagraph"/>
        <w:numPr>
          <w:ilvl w:val="0"/>
          <w:numId w:val="192"/>
        </w:numPr>
        <w:tabs>
          <w:tab w:val="left" w:pos="1929"/>
        </w:tabs>
        <w:spacing w:before="44"/>
        <w:ind w:left="1929" w:hanging="515"/>
        <w:jc w:val="both"/>
      </w:pPr>
      <w:r>
        <w:rPr>
          <w:color w:val="221F1F"/>
        </w:rPr>
        <w:t>the</w:t>
      </w:r>
      <w:r>
        <w:rPr>
          <w:color w:val="221F1F"/>
          <w:spacing w:val="-3"/>
        </w:rPr>
        <w:t xml:space="preserve"> </w:t>
      </w:r>
      <w:r>
        <w:rPr>
          <w:color w:val="221F1F"/>
        </w:rPr>
        <w:t>name</w:t>
      </w:r>
      <w:r>
        <w:rPr>
          <w:color w:val="221F1F"/>
          <w:spacing w:val="-2"/>
        </w:rPr>
        <w:t xml:space="preserve"> </w:t>
      </w:r>
      <w:r>
        <w:rPr>
          <w:color w:val="221F1F"/>
        </w:rPr>
        <w:t>and</w:t>
      </w:r>
      <w:r>
        <w:rPr>
          <w:color w:val="221F1F"/>
          <w:spacing w:val="-4"/>
        </w:rPr>
        <w:t xml:space="preserve"> </w:t>
      </w:r>
      <w:r>
        <w:rPr>
          <w:color w:val="221F1F"/>
        </w:rPr>
        <w:t>address</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Tenderer</w:t>
      </w:r>
      <w:r>
        <w:rPr>
          <w:color w:val="221F1F"/>
          <w:spacing w:val="-3"/>
        </w:rPr>
        <w:t xml:space="preserve"> </w:t>
      </w:r>
      <w:r>
        <w:rPr>
          <w:color w:val="221F1F"/>
        </w:rPr>
        <w:t>submitting</w:t>
      </w:r>
      <w:r>
        <w:rPr>
          <w:color w:val="221F1F"/>
          <w:spacing w:val="-4"/>
        </w:rPr>
        <w:t xml:space="preserve"> </w:t>
      </w:r>
      <w:r>
        <w:rPr>
          <w:color w:val="221F1F"/>
        </w:rPr>
        <w:t>the</w:t>
      </w:r>
      <w:r>
        <w:rPr>
          <w:color w:val="221F1F"/>
          <w:spacing w:val="-4"/>
        </w:rPr>
        <w:t xml:space="preserve"> </w:t>
      </w:r>
      <w:r>
        <w:rPr>
          <w:color w:val="221F1F"/>
        </w:rPr>
        <w:t>successful</w:t>
      </w:r>
      <w:r>
        <w:rPr>
          <w:color w:val="221F1F"/>
          <w:spacing w:val="-1"/>
        </w:rPr>
        <w:t xml:space="preserve"> </w:t>
      </w:r>
      <w:r>
        <w:rPr>
          <w:color w:val="221F1F"/>
          <w:spacing w:val="-2"/>
        </w:rPr>
        <w:t>tender;</w:t>
      </w:r>
    </w:p>
    <w:p w:rsidR="007F6DF9" w:rsidRDefault="00A43FBC">
      <w:pPr>
        <w:pStyle w:val="ListParagraph"/>
        <w:numPr>
          <w:ilvl w:val="0"/>
          <w:numId w:val="192"/>
        </w:numPr>
        <w:tabs>
          <w:tab w:val="left" w:pos="1929"/>
        </w:tabs>
        <w:spacing w:before="40"/>
        <w:ind w:left="1929" w:hanging="515"/>
        <w:jc w:val="both"/>
      </w:pPr>
      <w:r>
        <w:rPr>
          <w:color w:val="221F1F"/>
        </w:rPr>
        <w:t>the</w:t>
      </w:r>
      <w:r>
        <w:rPr>
          <w:color w:val="221F1F"/>
          <w:spacing w:val="-3"/>
        </w:rPr>
        <w:t xml:space="preserve"> </w:t>
      </w:r>
      <w:r>
        <w:rPr>
          <w:color w:val="221F1F"/>
        </w:rPr>
        <w:t>Contract</w:t>
      </w:r>
      <w:r>
        <w:rPr>
          <w:color w:val="221F1F"/>
          <w:spacing w:val="-4"/>
        </w:rPr>
        <w:t xml:space="preserve"> </w:t>
      </w:r>
      <w:r>
        <w:rPr>
          <w:color w:val="221F1F"/>
        </w:rPr>
        <w:t>price</w:t>
      </w:r>
      <w:r>
        <w:rPr>
          <w:color w:val="221F1F"/>
          <w:spacing w:val="-5"/>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successful</w:t>
      </w:r>
      <w:r>
        <w:rPr>
          <w:color w:val="221F1F"/>
          <w:spacing w:val="-1"/>
        </w:rPr>
        <w:t xml:space="preserve"> </w:t>
      </w:r>
      <w:r>
        <w:rPr>
          <w:color w:val="221F1F"/>
          <w:spacing w:val="-2"/>
        </w:rPr>
        <w:t>tender;</w:t>
      </w:r>
    </w:p>
    <w:p w:rsidR="007F6DF9" w:rsidRDefault="00A43FBC">
      <w:pPr>
        <w:pStyle w:val="ListParagraph"/>
        <w:numPr>
          <w:ilvl w:val="0"/>
          <w:numId w:val="192"/>
        </w:numPr>
        <w:tabs>
          <w:tab w:val="left" w:pos="1929"/>
          <w:tab w:val="left" w:pos="1942"/>
        </w:tabs>
        <w:spacing w:before="48" w:line="230" w:lineRule="auto"/>
        <w:ind w:left="1942" w:right="931" w:hanging="528"/>
      </w:pPr>
      <w:r>
        <w:rPr>
          <w:color w:val="221F1F"/>
        </w:rPr>
        <w:t>a</w:t>
      </w:r>
      <w:r>
        <w:rPr>
          <w:color w:val="221F1F"/>
          <w:spacing w:val="-2"/>
        </w:rPr>
        <w:t xml:space="preserve"> </w:t>
      </w:r>
      <w:r>
        <w:rPr>
          <w:color w:val="221F1F"/>
        </w:rPr>
        <w:t>statement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reason(s)</w:t>
      </w:r>
      <w:r>
        <w:rPr>
          <w:color w:val="221F1F"/>
          <w:spacing w:val="-3"/>
        </w:rPr>
        <w:t xml:space="preserve"> </w:t>
      </w:r>
      <w:r>
        <w:rPr>
          <w:color w:val="221F1F"/>
        </w:rPr>
        <w:t>the</w:t>
      </w:r>
      <w:r>
        <w:rPr>
          <w:color w:val="221F1F"/>
          <w:spacing w:val="-4"/>
        </w:rPr>
        <w:t xml:space="preserve"> </w:t>
      </w:r>
      <w:r>
        <w:rPr>
          <w:color w:val="221F1F"/>
        </w:rPr>
        <w:t>tender</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unsuccessful</w:t>
      </w:r>
      <w:r>
        <w:rPr>
          <w:color w:val="221F1F"/>
          <w:spacing w:val="-4"/>
        </w:rPr>
        <w:t xml:space="preserve"> </w:t>
      </w:r>
      <w:r>
        <w:rPr>
          <w:color w:val="221F1F"/>
        </w:rPr>
        <w:t>tenderer</w:t>
      </w:r>
      <w:r>
        <w:rPr>
          <w:color w:val="221F1F"/>
          <w:spacing w:val="-4"/>
        </w:rPr>
        <w:t xml:space="preserve"> </w:t>
      </w:r>
      <w:r>
        <w:rPr>
          <w:color w:val="221F1F"/>
        </w:rPr>
        <w:t>to</w:t>
      </w:r>
      <w:r>
        <w:rPr>
          <w:color w:val="221F1F"/>
          <w:spacing w:val="-2"/>
        </w:rPr>
        <w:t xml:space="preserve"> </w:t>
      </w:r>
      <w:r>
        <w:rPr>
          <w:color w:val="221F1F"/>
        </w:rPr>
        <w:t>whom</w:t>
      </w:r>
      <w:r>
        <w:rPr>
          <w:color w:val="221F1F"/>
          <w:spacing w:val="-1"/>
        </w:rPr>
        <w:t xml:space="preserve"> </w:t>
      </w:r>
      <w:r>
        <w:rPr>
          <w:color w:val="221F1F"/>
        </w:rPr>
        <w:t>the</w:t>
      </w:r>
      <w:r>
        <w:rPr>
          <w:color w:val="221F1F"/>
          <w:spacing w:val="-2"/>
        </w:rPr>
        <w:t xml:space="preserve"> </w:t>
      </w:r>
      <w:r>
        <w:rPr>
          <w:color w:val="221F1F"/>
        </w:rPr>
        <w:t>letter</w:t>
      </w:r>
      <w:r>
        <w:rPr>
          <w:color w:val="221F1F"/>
          <w:spacing w:val="-4"/>
        </w:rPr>
        <w:t xml:space="preserve"> </w:t>
      </w:r>
      <w:r>
        <w:rPr>
          <w:color w:val="221F1F"/>
        </w:rPr>
        <w:t>is</w:t>
      </w:r>
      <w:r>
        <w:rPr>
          <w:color w:val="221F1F"/>
          <w:spacing w:val="-4"/>
        </w:rPr>
        <w:t xml:space="preserve"> </w:t>
      </w:r>
      <w:r>
        <w:rPr>
          <w:color w:val="221F1F"/>
        </w:rPr>
        <w:t>addressed</w:t>
      </w:r>
      <w:r>
        <w:rPr>
          <w:color w:val="221F1F"/>
          <w:spacing w:val="-2"/>
        </w:rPr>
        <w:t xml:space="preserve"> </w:t>
      </w:r>
      <w:r>
        <w:rPr>
          <w:color w:val="221F1F"/>
        </w:rPr>
        <w:t>was unsuccessful, unless the price information in (c) above already reveals the reason;</w:t>
      </w:r>
    </w:p>
    <w:p w:rsidR="007F6DF9" w:rsidRDefault="00A43FBC">
      <w:pPr>
        <w:pStyle w:val="ListParagraph"/>
        <w:numPr>
          <w:ilvl w:val="0"/>
          <w:numId w:val="192"/>
        </w:numPr>
        <w:tabs>
          <w:tab w:val="left" w:pos="1929"/>
        </w:tabs>
        <w:spacing w:before="39"/>
        <w:ind w:left="1929" w:hanging="515"/>
      </w:pPr>
      <w:r>
        <w:rPr>
          <w:color w:val="221F1F"/>
        </w:rPr>
        <w:t>the</w:t>
      </w:r>
      <w:r>
        <w:rPr>
          <w:color w:val="221F1F"/>
          <w:spacing w:val="-3"/>
        </w:rPr>
        <w:t xml:space="preserve"> </w:t>
      </w:r>
      <w:r>
        <w:rPr>
          <w:color w:val="221F1F"/>
        </w:rPr>
        <w:t>expiry</w:t>
      </w:r>
      <w:r>
        <w:rPr>
          <w:color w:val="221F1F"/>
          <w:spacing w:val="-2"/>
        </w:rPr>
        <w:t xml:space="preserve"> </w:t>
      </w:r>
      <w:r>
        <w:rPr>
          <w:color w:val="221F1F"/>
        </w:rPr>
        <w:t>date</w:t>
      </w:r>
      <w:r>
        <w:rPr>
          <w:color w:val="221F1F"/>
          <w:spacing w:val="-5"/>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Standstill</w:t>
      </w:r>
      <w:r>
        <w:rPr>
          <w:color w:val="221F1F"/>
          <w:spacing w:val="-3"/>
        </w:rPr>
        <w:t xml:space="preserve"> </w:t>
      </w:r>
      <w:r>
        <w:rPr>
          <w:color w:val="221F1F"/>
        </w:rPr>
        <w:t>Period;</w:t>
      </w:r>
      <w:r>
        <w:rPr>
          <w:color w:val="221F1F"/>
          <w:spacing w:val="-1"/>
        </w:rPr>
        <w:t xml:space="preserve"> </w:t>
      </w:r>
      <w:r>
        <w:rPr>
          <w:color w:val="221F1F"/>
          <w:spacing w:val="-5"/>
        </w:rPr>
        <w:t>and</w:t>
      </w:r>
    </w:p>
    <w:p w:rsidR="007F6DF9" w:rsidRDefault="00A43FBC">
      <w:pPr>
        <w:pStyle w:val="ListParagraph"/>
        <w:numPr>
          <w:ilvl w:val="0"/>
          <w:numId w:val="192"/>
        </w:numPr>
        <w:tabs>
          <w:tab w:val="left" w:pos="1929"/>
        </w:tabs>
        <w:spacing w:before="39"/>
        <w:ind w:left="1929" w:hanging="515"/>
      </w:pPr>
      <w:r>
        <w:rPr>
          <w:color w:val="221F1F"/>
        </w:rPr>
        <w:t>instruction</w:t>
      </w:r>
      <w:r>
        <w:rPr>
          <w:color w:val="221F1F"/>
          <w:spacing w:val="-4"/>
        </w:rPr>
        <w:t xml:space="preserve"> </w:t>
      </w:r>
      <w:r>
        <w:rPr>
          <w:color w:val="221F1F"/>
        </w:rPr>
        <w:t>son</w:t>
      </w:r>
      <w:r>
        <w:rPr>
          <w:color w:val="221F1F"/>
          <w:spacing w:val="-4"/>
        </w:rPr>
        <w:t xml:space="preserve"> </w:t>
      </w:r>
      <w:r>
        <w:rPr>
          <w:color w:val="221F1F"/>
        </w:rPr>
        <w:t>how</w:t>
      </w:r>
      <w:r>
        <w:rPr>
          <w:color w:val="221F1F"/>
          <w:spacing w:val="-4"/>
        </w:rPr>
        <w:t xml:space="preserve"> </w:t>
      </w:r>
      <w:r>
        <w:rPr>
          <w:color w:val="221F1F"/>
        </w:rPr>
        <w:t>to</w:t>
      </w:r>
      <w:r>
        <w:rPr>
          <w:color w:val="221F1F"/>
          <w:spacing w:val="-4"/>
        </w:rPr>
        <w:t xml:space="preserve"> </w:t>
      </w:r>
      <w:r>
        <w:rPr>
          <w:color w:val="221F1F"/>
        </w:rPr>
        <w:t>request</w:t>
      </w:r>
      <w:r>
        <w:rPr>
          <w:color w:val="221F1F"/>
          <w:spacing w:val="-4"/>
        </w:rPr>
        <w:t xml:space="preserve"> </w:t>
      </w:r>
      <w:r>
        <w:rPr>
          <w:color w:val="221F1F"/>
        </w:rPr>
        <w:t>a</w:t>
      </w:r>
      <w:r>
        <w:rPr>
          <w:color w:val="221F1F"/>
          <w:spacing w:val="-4"/>
        </w:rPr>
        <w:t xml:space="preserve"> </w:t>
      </w:r>
      <w:r>
        <w:rPr>
          <w:color w:val="221F1F"/>
        </w:rPr>
        <w:t>debriefing</w:t>
      </w:r>
      <w:r>
        <w:rPr>
          <w:color w:val="221F1F"/>
          <w:spacing w:val="-3"/>
        </w:rPr>
        <w:t xml:space="preserve"> </w:t>
      </w:r>
      <w:r>
        <w:rPr>
          <w:color w:val="221F1F"/>
        </w:rPr>
        <w:t>and/</w:t>
      </w:r>
      <w:r>
        <w:rPr>
          <w:color w:val="221F1F"/>
          <w:spacing w:val="-3"/>
        </w:rPr>
        <w:t xml:space="preserve"> </w:t>
      </w:r>
      <w:r>
        <w:rPr>
          <w:color w:val="221F1F"/>
        </w:rPr>
        <w:t>or</w:t>
      </w:r>
      <w:r>
        <w:rPr>
          <w:color w:val="221F1F"/>
          <w:spacing w:val="-3"/>
        </w:rPr>
        <w:t xml:space="preserve"> </w:t>
      </w:r>
      <w:r>
        <w:rPr>
          <w:color w:val="221F1F"/>
        </w:rPr>
        <w:t>submit</w:t>
      </w:r>
      <w:r>
        <w:rPr>
          <w:color w:val="221F1F"/>
          <w:spacing w:val="-2"/>
        </w:rPr>
        <w:t xml:space="preserve"> </w:t>
      </w:r>
      <w:r>
        <w:rPr>
          <w:color w:val="221F1F"/>
        </w:rPr>
        <w:t>a</w:t>
      </w:r>
      <w:r>
        <w:rPr>
          <w:color w:val="221F1F"/>
          <w:spacing w:val="-6"/>
        </w:rPr>
        <w:t xml:space="preserve"> </w:t>
      </w:r>
      <w:r>
        <w:rPr>
          <w:color w:val="221F1F"/>
        </w:rPr>
        <w:t>complaint</w:t>
      </w:r>
      <w:r>
        <w:rPr>
          <w:color w:val="221F1F"/>
          <w:spacing w:val="-2"/>
        </w:rPr>
        <w:t xml:space="preserve"> </w:t>
      </w:r>
      <w:r>
        <w:rPr>
          <w:color w:val="221F1F"/>
        </w:rPr>
        <w:t>during</w:t>
      </w:r>
      <w:r>
        <w:rPr>
          <w:color w:val="221F1F"/>
          <w:spacing w:val="-6"/>
        </w:rPr>
        <w:t xml:space="preserve"> </w:t>
      </w:r>
      <w:r>
        <w:rPr>
          <w:color w:val="221F1F"/>
        </w:rPr>
        <w:t>the</w:t>
      </w:r>
      <w:r>
        <w:rPr>
          <w:color w:val="221F1F"/>
          <w:spacing w:val="-7"/>
        </w:rPr>
        <w:t xml:space="preserve"> </w:t>
      </w:r>
      <w:r>
        <w:rPr>
          <w:color w:val="221F1F"/>
        </w:rPr>
        <w:t>stand</w:t>
      </w:r>
      <w:r>
        <w:rPr>
          <w:color w:val="221F1F"/>
          <w:spacing w:val="-5"/>
        </w:rPr>
        <w:t xml:space="preserve"> </w:t>
      </w:r>
      <w:r>
        <w:rPr>
          <w:color w:val="221F1F"/>
        </w:rPr>
        <w:t>still</w:t>
      </w:r>
      <w:r>
        <w:rPr>
          <w:color w:val="221F1F"/>
          <w:spacing w:val="-3"/>
        </w:rPr>
        <w:t xml:space="preserve"> </w:t>
      </w:r>
      <w:r>
        <w:rPr>
          <w:color w:val="221F1F"/>
          <w:spacing w:val="-2"/>
        </w:rPr>
        <w:t>period;</w:t>
      </w:r>
    </w:p>
    <w:p w:rsidR="007F6DF9" w:rsidRDefault="00A43FBC">
      <w:pPr>
        <w:pStyle w:val="Heading9"/>
        <w:numPr>
          <w:ilvl w:val="0"/>
          <w:numId w:val="193"/>
        </w:numPr>
        <w:tabs>
          <w:tab w:val="left" w:pos="1413"/>
        </w:tabs>
        <w:spacing w:before="235"/>
        <w:ind w:left="1413" w:hanging="564"/>
      </w:pPr>
      <w:bookmarkStart w:id="44" w:name="_bookmark43"/>
      <w:bookmarkEnd w:id="44"/>
      <w:r>
        <w:rPr>
          <w:color w:val="221F1F"/>
        </w:rPr>
        <w:t>Stand</w:t>
      </w:r>
      <w:r>
        <w:rPr>
          <w:color w:val="221F1F"/>
          <w:spacing w:val="-3"/>
        </w:rPr>
        <w:t xml:space="preserve"> </w:t>
      </w:r>
      <w:r>
        <w:rPr>
          <w:color w:val="221F1F"/>
        </w:rPr>
        <w:t>still</w:t>
      </w:r>
      <w:r>
        <w:rPr>
          <w:color w:val="221F1F"/>
          <w:spacing w:val="-1"/>
        </w:rPr>
        <w:t xml:space="preserve"> </w:t>
      </w:r>
      <w:r>
        <w:rPr>
          <w:color w:val="221F1F"/>
          <w:spacing w:val="-2"/>
        </w:rPr>
        <w:t>Period</w:t>
      </w:r>
    </w:p>
    <w:p w:rsidR="007F6DF9" w:rsidRDefault="00A43FBC">
      <w:pPr>
        <w:pStyle w:val="ListParagraph"/>
        <w:numPr>
          <w:ilvl w:val="1"/>
          <w:numId w:val="193"/>
        </w:numPr>
        <w:tabs>
          <w:tab w:val="left" w:pos="1413"/>
        </w:tabs>
        <w:spacing w:before="234" w:line="248" w:lineRule="exact"/>
        <w:ind w:left="1413" w:hanging="564"/>
        <w:rPr>
          <w:b/>
        </w:rPr>
      </w:pPr>
      <w:r>
        <w:t>The</w:t>
      </w:r>
      <w:r>
        <w:rPr>
          <w:spacing w:val="-3"/>
        </w:rPr>
        <w:t xml:space="preserve"> </w:t>
      </w:r>
      <w:r>
        <w:t>Contract</w:t>
      </w:r>
      <w:r>
        <w:rPr>
          <w:spacing w:val="-1"/>
        </w:rPr>
        <w:t xml:space="preserve"> </w:t>
      </w:r>
      <w:r>
        <w:t>shall</w:t>
      </w:r>
      <w:r>
        <w:rPr>
          <w:spacing w:val="-1"/>
        </w:rPr>
        <w:t xml:space="preserve"> </w:t>
      </w:r>
      <w:r>
        <w:t>not</w:t>
      </w:r>
      <w:r>
        <w:rPr>
          <w:spacing w:val="-1"/>
        </w:rPr>
        <w:t xml:space="preserve"> </w:t>
      </w:r>
      <w:r>
        <w:t>be</w:t>
      </w:r>
      <w:r>
        <w:rPr>
          <w:spacing w:val="-4"/>
        </w:rPr>
        <w:t xml:space="preserve"> </w:t>
      </w:r>
      <w:r>
        <w:t>signed</w:t>
      </w:r>
      <w:r>
        <w:rPr>
          <w:spacing w:val="-1"/>
        </w:rPr>
        <w:t xml:space="preserve"> </w:t>
      </w:r>
      <w:r>
        <w:t>earlier</w:t>
      </w:r>
      <w:r>
        <w:rPr>
          <w:spacing w:val="-1"/>
        </w:rPr>
        <w:t xml:space="preserve"> </w:t>
      </w:r>
      <w:r>
        <w:t>than</w:t>
      </w:r>
      <w:r>
        <w:rPr>
          <w:spacing w:val="-4"/>
        </w:rPr>
        <w:t xml:space="preserve"> </w:t>
      </w:r>
      <w:r>
        <w:t>the</w:t>
      </w:r>
      <w:r>
        <w:rPr>
          <w:spacing w:val="-4"/>
        </w:rPr>
        <w:t xml:space="preserve"> </w:t>
      </w:r>
      <w:r>
        <w:t>expiry</w:t>
      </w:r>
      <w:r>
        <w:rPr>
          <w:spacing w:val="-4"/>
        </w:rPr>
        <w:t xml:space="preserve"> </w:t>
      </w:r>
      <w:r>
        <w:t>of</w:t>
      </w:r>
      <w:r>
        <w:rPr>
          <w:spacing w:val="-1"/>
        </w:rPr>
        <w:t xml:space="preserve"> </w:t>
      </w:r>
      <w:r>
        <w:t>a</w:t>
      </w:r>
      <w:r>
        <w:rPr>
          <w:spacing w:val="-2"/>
        </w:rPr>
        <w:t xml:space="preserve"> </w:t>
      </w:r>
      <w:r>
        <w:t>Standstill</w:t>
      </w:r>
      <w:r>
        <w:rPr>
          <w:spacing w:val="-1"/>
        </w:rPr>
        <w:t xml:space="preserve"> </w:t>
      </w:r>
      <w:r>
        <w:t>Period</w:t>
      </w:r>
      <w:r>
        <w:rPr>
          <w:spacing w:val="-2"/>
        </w:rPr>
        <w:t xml:space="preserve"> </w:t>
      </w:r>
      <w:r>
        <w:t>of</w:t>
      </w:r>
      <w:r>
        <w:rPr>
          <w:spacing w:val="-4"/>
        </w:rPr>
        <w:t xml:space="preserve"> </w:t>
      </w:r>
      <w:r>
        <w:t>14</w:t>
      </w:r>
      <w:r>
        <w:rPr>
          <w:spacing w:val="-5"/>
        </w:rPr>
        <w:t xml:space="preserve"> </w:t>
      </w:r>
      <w:r>
        <w:t>days</w:t>
      </w:r>
      <w:r>
        <w:rPr>
          <w:spacing w:val="-3"/>
        </w:rPr>
        <w:t xml:space="preserve"> </w:t>
      </w:r>
      <w:r>
        <w:t>to</w:t>
      </w:r>
      <w:r>
        <w:rPr>
          <w:spacing w:val="-2"/>
        </w:rPr>
        <w:t xml:space="preserve"> </w:t>
      </w:r>
      <w:r>
        <w:t>allow</w:t>
      </w:r>
      <w:r>
        <w:rPr>
          <w:spacing w:val="-4"/>
        </w:rPr>
        <w:t xml:space="preserve"> </w:t>
      </w:r>
      <w:r>
        <w:rPr>
          <w:spacing w:val="-5"/>
        </w:rPr>
        <w:t>any</w:t>
      </w:r>
    </w:p>
    <w:p w:rsidR="007F6DF9" w:rsidRDefault="00A43FBC">
      <w:pPr>
        <w:pStyle w:val="BodyText"/>
        <w:spacing w:before="3" w:line="230" w:lineRule="auto"/>
        <w:ind w:left="1414" w:right="954"/>
        <w:jc w:val="both"/>
      </w:pPr>
      <w:r>
        <w:t>dissatisfied</w:t>
      </w:r>
      <w:r>
        <w:rPr>
          <w:spacing w:val="-3"/>
        </w:rPr>
        <w:t xml:space="preserve"> </w:t>
      </w:r>
      <w:r>
        <w:t>tender</w:t>
      </w:r>
      <w:r>
        <w:rPr>
          <w:spacing w:val="-2"/>
        </w:rPr>
        <w:t xml:space="preserve"> </w:t>
      </w:r>
      <w:r>
        <w:t>to</w:t>
      </w:r>
      <w:r>
        <w:rPr>
          <w:spacing w:val="-6"/>
        </w:rPr>
        <w:t xml:space="preserve"> </w:t>
      </w:r>
      <w:r>
        <w:t>launch</w:t>
      </w:r>
      <w:r>
        <w:rPr>
          <w:spacing w:val="-5"/>
        </w:rPr>
        <w:t xml:space="preserve"> </w:t>
      </w:r>
      <w:r>
        <w:t>a</w:t>
      </w:r>
      <w:r>
        <w:rPr>
          <w:spacing w:val="-3"/>
        </w:rPr>
        <w:t xml:space="preserve"> </w:t>
      </w:r>
      <w:r>
        <w:t>complaint.</w:t>
      </w:r>
      <w:r>
        <w:rPr>
          <w:spacing w:val="-5"/>
        </w:rPr>
        <w:t xml:space="preserve"> </w:t>
      </w:r>
      <w:r>
        <w:t>Where</w:t>
      </w:r>
      <w:r>
        <w:rPr>
          <w:spacing w:val="-3"/>
        </w:rPr>
        <w:t xml:space="preserve"> </w:t>
      </w:r>
      <w:r>
        <w:t>only</w:t>
      </w:r>
      <w:r>
        <w:rPr>
          <w:spacing w:val="-3"/>
        </w:rPr>
        <w:t xml:space="preserve"> </w:t>
      </w:r>
      <w:r>
        <w:t>one</w:t>
      </w:r>
      <w:r>
        <w:rPr>
          <w:spacing w:val="-2"/>
        </w:rPr>
        <w:t xml:space="preserve"> </w:t>
      </w:r>
      <w:r>
        <w:t>Tender</w:t>
      </w:r>
      <w:r>
        <w:rPr>
          <w:spacing w:val="-10"/>
        </w:rPr>
        <w:t xml:space="preserve"> </w:t>
      </w:r>
      <w:r>
        <w:t>is</w:t>
      </w:r>
      <w:r>
        <w:rPr>
          <w:spacing w:val="-3"/>
        </w:rPr>
        <w:t xml:space="preserve"> </w:t>
      </w:r>
      <w:r>
        <w:t>submitted,</w:t>
      </w:r>
      <w:r>
        <w:rPr>
          <w:spacing w:val="-5"/>
        </w:rPr>
        <w:t xml:space="preserve"> </w:t>
      </w:r>
      <w:r>
        <w:t>the</w:t>
      </w:r>
      <w:r>
        <w:rPr>
          <w:spacing w:val="-5"/>
        </w:rPr>
        <w:t xml:space="preserve"> </w:t>
      </w:r>
      <w:r>
        <w:t>Standstill</w:t>
      </w:r>
      <w:r>
        <w:rPr>
          <w:spacing w:val="-1"/>
        </w:rPr>
        <w:t xml:space="preserve"> </w:t>
      </w:r>
      <w:r>
        <w:t>Period</w:t>
      </w:r>
      <w:r>
        <w:rPr>
          <w:spacing w:val="-5"/>
        </w:rPr>
        <w:t xml:space="preserve"> </w:t>
      </w:r>
      <w:r>
        <w:t>shall</w:t>
      </w:r>
      <w:r>
        <w:rPr>
          <w:spacing w:val="-4"/>
        </w:rPr>
        <w:t xml:space="preserve"> </w:t>
      </w:r>
      <w:r>
        <w:t xml:space="preserve">not </w:t>
      </w:r>
      <w:r>
        <w:rPr>
          <w:spacing w:val="-2"/>
        </w:rPr>
        <w:t>apply.</w:t>
      </w:r>
    </w:p>
    <w:p w:rsidR="007F6DF9" w:rsidRDefault="00A43FBC">
      <w:pPr>
        <w:pStyle w:val="ListParagraph"/>
        <w:numPr>
          <w:ilvl w:val="1"/>
          <w:numId w:val="193"/>
        </w:numPr>
        <w:tabs>
          <w:tab w:val="left" w:pos="1414"/>
        </w:tabs>
        <w:spacing w:before="244" w:line="230" w:lineRule="auto"/>
        <w:ind w:left="1414" w:right="1400" w:hanging="565"/>
        <w:rPr>
          <w:b/>
          <w:color w:val="221F1F"/>
        </w:rPr>
      </w:pPr>
      <w:r>
        <w:t>Where</w:t>
      </w:r>
      <w:r>
        <w:rPr>
          <w:spacing w:val="-2"/>
        </w:rPr>
        <w:t xml:space="preserve"> </w:t>
      </w:r>
      <w:r>
        <w:t>a</w:t>
      </w:r>
      <w:r>
        <w:rPr>
          <w:spacing w:val="-2"/>
        </w:rPr>
        <w:t xml:space="preserve"> </w:t>
      </w:r>
      <w:r>
        <w:t>Standstill</w:t>
      </w:r>
      <w:r>
        <w:rPr>
          <w:spacing w:val="-1"/>
        </w:rPr>
        <w:t xml:space="preserve"> </w:t>
      </w:r>
      <w:r>
        <w:t>Period</w:t>
      </w:r>
      <w:r>
        <w:rPr>
          <w:spacing w:val="-1"/>
        </w:rPr>
        <w:t xml:space="preserve"> </w:t>
      </w:r>
      <w:r>
        <w:t>applies,</w:t>
      </w:r>
      <w:r>
        <w:rPr>
          <w:spacing w:val="-4"/>
        </w:rPr>
        <w:t xml:space="preserve"> </w:t>
      </w:r>
      <w:r>
        <w:t>it</w:t>
      </w:r>
      <w:r>
        <w:rPr>
          <w:spacing w:val="-4"/>
        </w:rPr>
        <w:t xml:space="preserve"> </w:t>
      </w:r>
      <w:r>
        <w:t>shall</w:t>
      </w:r>
      <w:r>
        <w:rPr>
          <w:spacing w:val="-3"/>
        </w:rPr>
        <w:t xml:space="preserve"> </w:t>
      </w:r>
      <w:r>
        <w:t>commence</w:t>
      </w:r>
      <w:r>
        <w:rPr>
          <w:spacing w:val="-1"/>
        </w:rPr>
        <w:t xml:space="preserve"> </w:t>
      </w:r>
      <w:r>
        <w:t>when</w:t>
      </w:r>
      <w:r>
        <w:rPr>
          <w:spacing w:val="-2"/>
        </w:rPr>
        <w:t xml:space="preserve"> </w:t>
      </w:r>
      <w:r>
        <w:t>the</w:t>
      </w:r>
      <w:r>
        <w:rPr>
          <w:spacing w:val="-2"/>
        </w:rPr>
        <w:t xml:space="preserve"> </w:t>
      </w:r>
      <w:r>
        <w:t>Procuring</w:t>
      </w:r>
      <w:r>
        <w:rPr>
          <w:spacing w:val="-2"/>
        </w:rPr>
        <w:t xml:space="preserve"> </w:t>
      </w:r>
      <w:r>
        <w:t>Entity</w:t>
      </w:r>
      <w:r>
        <w:rPr>
          <w:spacing w:val="-4"/>
        </w:rPr>
        <w:t xml:space="preserve"> </w:t>
      </w:r>
      <w:r>
        <w:t>has</w:t>
      </w:r>
      <w:r>
        <w:rPr>
          <w:spacing w:val="-1"/>
        </w:rPr>
        <w:t xml:space="preserve"> </w:t>
      </w:r>
      <w:r>
        <w:t>transmitted</w:t>
      </w:r>
      <w:r>
        <w:rPr>
          <w:spacing w:val="-4"/>
        </w:rPr>
        <w:t xml:space="preserve"> </w:t>
      </w:r>
      <w:r>
        <w:t>to</w:t>
      </w:r>
      <w:r>
        <w:rPr>
          <w:spacing w:val="-2"/>
        </w:rPr>
        <w:t xml:space="preserve"> </w:t>
      </w:r>
      <w:r>
        <w:t>each Tenderer the Notification of Intention to Enter into a Contract with the successful Tenderer</w:t>
      </w:r>
      <w:r>
        <w:rPr>
          <w:color w:val="221F1F"/>
        </w:rPr>
        <w:t>.</w:t>
      </w:r>
    </w:p>
    <w:p w:rsidR="007F6DF9" w:rsidRDefault="007F6DF9">
      <w:pPr>
        <w:pStyle w:val="ListParagraph"/>
        <w:spacing w:line="230" w:lineRule="auto"/>
        <w:rPr>
          <w:b/>
        </w:rPr>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Heading9"/>
        <w:numPr>
          <w:ilvl w:val="0"/>
          <w:numId w:val="193"/>
        </w:numPr>
        <w:tabs>
          <w:tab w:val="left" w:pos="1413"/>
        </w:tabs>
        <w:ind w:left="1413" w:hanging="564"/>
      </w:pPr>
      <w:bookmarkStart w:id="45" w:name="_bookmark44"/>
      <w:bookmarkEnd w:id="45"/>
      <w:r>
        <w:rPr>
          <w:color w:val="221F1F"/>
        </w:rPr>
        <w:t>Debriefing</w:t>
      </w:r>
      <w:r>
        <w:rPr>
          <w:color w:val="221F1F"/>
          <w:spacing w:val="-9"/>
        </w:rPr>
        <w:t xml:space="preserve"> </w:t>
      </w:r>
      <w:r>
        <w:rPr>
          <w:color w:val="221F1F"/>
        </w:rPr>
        <w:t>by</w:t>
      </w:r>
      <w:r>
        <w:rPr>
          <w:color w:val="221F1F"/>
          <w:spacing w:val="-5"/>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spacing w:val="-2"/>
        </w:rPr>
        <w:t>Entity</w:t>
      </w:r>
    </w:p>
    <w:p w:rsidR="007F6DF9" w:rsidRDefault="00A43FBC">
      <w:pPr>
        <w:pStyle w:val="ListParagraph"/>
        <w:numPr>
          <w:ilvl w:val="1"/>
          <w:numId w:val="193"/>
        </w:numPr>
        <w:tabs>
          <w:tab w:val="left" w:pos="1411"/>
          <w:tab w:val="left" w:pos="1414"/>
        </w:tabs>
        <w:spacing w:before="243" w:line="230" w:lineRule="auto"/>
        <w:ind w:left="1414" w:right="844" w:hanging="565"/>
        <w:jc w:val="both"/>
        <w:rPr>
          <w:b/>
          <w:color w:val="221F1F"/>
        </w:rPr>
      </w:pPr>
      <w:r>
        <w:rPr>
          <w:color w:val="221F1F"/>
        </w:rPr>
        <w:t>On</w:t>
      </w:r>
      <w:r>
        <w:rPr>
          <w:color w:val="221F1F"/>
          <w:spacing w:val="-2"/>
        </w:rPr>
        <w:t xml:space="preserve"> </w:t>
      </w:r>
      <w:r>
        <w:rPr>
          <w:color w:val="221F1F"/>
        </w:rPr>
        <w:t>receipt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2"/>
        </w:rPr>
        <w:t xml:space="preserve"> </w:t>
      </w:r>
      <w:r>
        <w:rPr>
          <w:color w:val="221F1F"/>
        </w:rPr>
        <w:t>Notification</w:t>
      </w:r>
      <w:r>
        <w:rPr>
          <w:color w:val="221F1F"/>
          <w:spacing w:val="-2"/>
        </w:rPr>
        <w:t xml:space="preserve"> </w:t>
      </w:r>
      <w:r>
        <w:rPr>
          <w:color w:val="221F1F"/>
        </w:rPr>
        <w:t>of</w:t>
      </w:r>
      <w:r>
        <w:rPr>
          <w:color w:val="221F1F"/>
          <w:spacing w:val="-2"/>
        </w:rPr>
        <w:t xml:space="preserve"> </w:t>
      </w:r>
      <w:r>
        <w:rPr>
          <w:color w:val="221F1F"/>
        </w:rPr>
        <w:t>Intention</w:t>
      </w:r>
      <w:r>
        <w:rPr>
          <w:color w:val="221F1F"/>
          <w:spacing w:val="-2"/>
        </w:rPr>
        <w:t xml:space="preserve"> </w:t>
      </w:r>
      <w:r>
        <w:rPr>
          <w:color w:val="221F1F"/>
        </w:rPr>
        <w:t>to</w:t>
      </w:r>
      <w:r>
        <w:rPr>
          <w:color w:val="221F1F"/>
          <w:spacing w:val="-2"/>
        </w:rPr>
        <w:t xml:space="preserve"> </w:t>
      </w:r>
      <w:r>
        <w:rPr>
          <w:color w:val="221F1F"/>
        </w:rPr>
        <w:t>Enter</w:t>
      </w:r>
      <w:r>
        <w:rPr>
          <w:color w:val="221F1F"/>
          <w:spacing w:val="-2"/>
        </w:rPr>
        <w:t xml:space="preserve"> </w:t>
      </w:r>
      <w:r>
        <w:rPr>
          <w:color w:val="221F1F"/>
        </w:rPr>
        <w:t>into</w:t>
      </w:r>
      <w:r>
        <w:rPr>
          <w:color w:val="221F1F"/>
          <w:spacing w:val="-2"/>
        </w:rPr>
        <w:t xml:space="preserve"> </w:t>
      </w:r>
      <w:r>
        <w:rPr>
          <w:color w:val="221F1F"/>
        </w:rPr>
        <w:t>a</w:t>
      </w:r>
      <w:r>
        <w:rPr>
          <w:color w:val="221F1F"/>
          <w:spacing w:val="-2"/>
        </w:rPr>
        <w:t xml:space="preserve"> </w:t>
      </w:r>
      <w:r>
        <w:rPr>
          <w:color w:val="221F1F"/>
        </w:rPr>
        <w:t>Contract</w:t>
      </w:r>
      <w:r>
        <w:rPr>
          <w:color w:val="221F1F"/>
          <w:spacing w:val="-1"/>
        </w:rPr>
        <w:t xml:space="preserve"> </w:t>
      </w:r>
      <w:r>
        <w:rPr>
          <w:color w:val="221F1F"/>
        </w:rPr>
        <w:t>referred</w:t>
      </w:r>
      <w:r>
        <w:rPr>
          <w:color w:val="221F1F"/>
          <w:spacing w:val="-2"/>
        </w:rPr>
        <w:t xml:space="preserve"> </w:t>
      </w:r>
      <w:r>
        <w:rPr>
          <w:color w:val="221F1F"/>
        </w:rPr>
        <w:t>to</w:t>
      </w:r>
      <w:r>
        <w:rPr>
          <w:color w:val="221F1F"/>
          <w:spacing w:val="-4"/>
        </w:rPr>
        <w:t xml:space="preserve"> </w:t>
      </w:r>
      <w:r>
        <w:rPr>
          <w:color w:val="221F1F"/>
        </w:rPr>
        <w:t>in</w:t>
      </w:r>
      <w:r>
        <w:rPr>
          <w:color w:val="221F1F"/>
          <w:spacing w:val="-2"/>
        </w:rPr>
        <w:t xml:space="preserve"> </w:t>
      </w:r>
      <w:r>
        <w:rPr>
          <w:color w:val="221F1F"/>
        </w:rPr>
        <w:t>ITT 43,</w:t>
      </w:r>
      <w:r>
        <w:rPr>
          <w:color w:val="221F1F"/>
          <w:spacing w:val="-2"/>
        </w:rPr>
        <w:t xml:space="preserve"> </w:t>
      </w:r>
      <w:r>
        <w:rPr>
          <w:color w:val="221F1F"/>
        </w:rPr>
        <w:t>an unsuccessful</w:t>
      </w:r>
      <w:r>
        <w:rPr>
          <w:color w:val="221F1F"/>
          <w:spacing w:val="-4"/>
        </w:rPr>
        <w:t xml:space="preserve"> </w:t>
      </w:r>
      <w:r>
        <w:rPr>
          <w:color w:val="221F1F"/>
        </w:rPr>
        <w:t>tenderer</w:t>
      </w:r>
      <w:r>
        <w:rPr>
          <w:color w:val="221F1F"/>
          <w:spacing w:val="-7"/>
        </w:rPr>
        <w:t xml:space="preserve"> </w:t>
      </w:r>
      <w:r>
        <w:rPr>
          <w:color w:val="221F1F"/>
        </w:rPr>
        <w:t>may</w:t>
      </w:r>
      <w:r>
        <w:rPr>
          <w:color w:val="221F1F"/>
          <w:spacing w:val="-7"/>
        </w:rPr>
        <w:t xml:space="preserve"> </w:t>
      </w:r>
      <w:r>
        <w:rPr>
          <w:color w:val="221F1F"/>
        </w:rPr>
        <w:t>make</w:t>
      </w:r>
      <w:r>
        <w:rPr>
          <w:color w:val="221F1F"/>
          <w:spacing w:val="-7"/>
        </w:rPr>
        <w:t xml:space="preserve"> </w:t>
      </w:r>
      <w:r>
        <w:rPr>
          <w:color w:val="221F1F"/>
        </w:rPr>
        <w:t>a</w:t>
      </w:r>
      <w:r>
        <w:rPr>
          <w:color w:val="221F1F"/>
          <w:spacing w:val="-5"/>
        </w:rPr>
        <w:t xml:space="preserve"> </w:t>
      </w:r>
      <w:r>
        <w:rPr>
          <w:color w:val="221F1F"/>
        </w:rPr>
        <w:t>written</w:t>
      </w:r>
      <w:r>
        <w:rPr>
          <w:color w:val="221F1F"/>
          <w:spacing w:val="-7"/>
        </w:rPr>
        <w:t xml:space="preserve"> </w:t>
      </w:r>
      <w:r>
        <w:rPr>
          <w:color w:val="221F1F"/>
        </w:rPr>
        <w:t>request</w:t>
      </w:r>
      <w:r>
        <w:rPr>
          <w:color w:val="221F1F"/>
          <w:spacing w:val="-6"/>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for</w:t>
      </w:r>
      <w:r>
        <w:rPr>
          <w:color w:val="221F1F"/>
          <w:spacing w:val="-5"/>
        </w:rPr>
        <w:t xml:space="preserve"> </w:t>
      </w:r>
      <w:r>
        <w:rPr>
          <w:color w:val="221F1F"/>
        </w:rPr>
        <w:t>a</w:t>
      </w:r>
      <w:r>
        <w:rPr>
          <w:color w:val="221F1F"/>
          <w:spacing w:val="-5"/>
        </w:rPr>
        <w:t xml:space="preserve"> </w:t>
      </w:r>
      <w:r>
        <w:rPr>
          <w:color w:val="221F1F"/>
        </w:rPr>
        <w:t>debriefing</w:t>
      </w:r>
      <w:r>
        <w:rPr>
          <w:color w:val="221F1F"/>
          <w:spacing w:val="-5"/>
        </w:rPr>
        <w:t xml:space="preserve"> </w:t>
      </w:r>
      <w:r>
        <w:rPr>
          <w:color w:val="221F1F"/>
        </w:rPr>
        <w:t>on</w:t>
      </w:r>
      <w:r>
        <w:rPr>
          <w:color w:val="221F1F"/>
          <w:spacing w:val="-6"/>
        </w:rPr>
        <w:t xml:space="preserve"> </w:t>
      </w:r>
      <w:r>
        <w:rPr>
          <w:color w:val="221F1F"/>
        </w:rPr>
        <w:t>specific</w:t>
      </w:r>
      <w:r>
        <w:rPr>
          <w:color w:val="221F1F"/>
          <w:spacing w:val="-5"/>
        </w:rPr>
        <w:t xml:space="preserve"> </w:t>
      </w:r>
      <w:r>
        <w:rPr>
          <w:color w:val="221F1F"/>
        </w:rPr>
        <w:t>issues</w:t>
      </w:r>
      <w:r>
        <w:rPr>
          <w:color w:val="221F1F"/>
          <w:spacing w:val="-5"/>
        </w:rPr>
        <w:t xml:space="preserve"> </w:t>
      </w:r>
      <w:r>
        <w:rPr>
          <w:color w:val="221F1F"/>
        </w:rPr>
        <w:t>or concerns regarding their tender. The Procuring Entity shall provide the debriefing within five days of receipt of the request.</w:t>
      </w:r>
    </w:p>
    <w:p w:rsidR="007F6DF9" w:rsidRDefault="00A43FBC">
      <w:pPr>
        <w:pStyle w:val="ListParagraph"/>
        <w:numPr>
          <w:ilvl w:val="1"/>
          <w:numId w:val="193"/>
        </w:numPr>
        <w:tabs>
          <w:tab w:val="left" w:pos="1414"/>
        </w:tabs>
        <w:spacing w:before="245" w:line="230" w:lineRule="auto"/>
        <w:ind w:left="1414" w:right="1102" w:hanging="565"/>
        <w:rPr>
          <w:b/>
          <w:color w:val="221F1F"/>
        </w:rPr>
      </w:pPr>
      <w:r>
        <w:rPr>
          <w:color w:val="221F1F"/>
        </w:rPr>
        <w:t>Debriefings</w:t>
      </w:r>
      <w:r>
        <w:rPr>
          <w:color w:val="221F1F"/>
          <w:spacing w:val="-3"/>
        </w:rPr>
        <w:t xml:space="preserve"> </w:t>
      </w:r>
      <w:r>
        <w:rPr>
          <w:color w:val="221F1F"/>
        </w:rPr>
        <w:t>of</w:t>
      </w:r>
      <w:r>
        <w:rPr>
          <w:color w:val="221F1F"/>
          <w:spacing w:val="-2"/>
        </w:rPr>
        <w:t xml:space="preserve"> </w:t>
      </w:r>
      <w:r>
        <w:rPr>
          <w:color w:val="221F1F"/>
        </w:rPr>
        <w:t>unsuccessful</w:t>
      </w:r>
      <w:r>
        <w:rPr>
          <w:color w:val="221F1F"/>
          <w:spacing w:val="-3"/>
        </w:rPr>
        <w:t xml:space="preserve"> </w:t>
      </w:r>
      <w:r>
        <w:rPr>
          <w:color w:val="221F1F"/>
        </w:rPr>
        <w:t>Tenderers</w:t>
      </w:r>
      <w:r>
        <w:rPr>
          <w:color w:val="221F1F"/>
          <w:spacing w:val="-3"/>
        </w:rPr>
        <w:t xml:space="preserve"> </w:t>
      </w:r>
      <w:r>
        <w:rPr>
          <w:color w:val="221F1F"/>
        </w:rPr>
        <w:t>may</w:t>
      </w:r>
      <w:r>
        <w:rPr>
          <w:color w:val="221F1F"/>
          <w:spacing w:val="-3"/>
        </w:rPr>
        <w:t xml:space="preserve"> </w:t>
      </w:r>
      <w:r>
        <w:rPr>
          <w:color w:val="221F1F"/>
        </w:rPr>
        <w:t>be</w:t>
      </w:r>
      <w:r>
        <w:rPr>
          <w:color w:val="221F1F"/>
          <w:spacing w:val="-5"/>
        </w:rPr>
        <w:t xml:space="preserve"> </w:t>
      </w:r>
      <w:r>
        <w:rPr>
          <w:color w:val="221F1F"/>
        </w:rPr>
        <w:t>done</w:t>
      </w:r>
      <w:r>
        <w:rPr>
          <w:color w:val="221F1F"/>
          <w:spacing w:val="-5"/>
        </w:rPr>
        <w:t xml:space="preserve"> </w:t>
      </w:r>
      <w:r>
        <w:rPr>
          <w:color w:val="221F1F"/>
        </w:rPr>
        <w:t>in</w:t>
      </w:r>
      <w:r>
        <w:rPr>
          <w:color w:val="221F1F"/>
          <w:spacing w:val="-5"/>
        </w:rPr>
        <w:t xml:space="preserve"> </w:t>
      </w:r>
      <w:r>
        <w:rPr>
          <w:color w:val="221F1F"/>
        </w:rPr>
        <w:t>writing</w:t>
      </w:r>
      <w:r>
        <w:rPr>
          <w:color w:val="221F1F"/>
          <w:spacing w:val="-3"/>
        </w:rPr>
        <w:t xml:space="preserve"> </w:t>
      </w:r>
      <w:r>
        <w:rPr>
          <w:color w:val="221F1F"/>
        </w:rPr>
        <w:t>or</w:t>
      </w:r>
      <w:r>
        <w:rPr>
          <w:color w:val="221F1F"/>
          <w:spacing w:val="-2"/>
        </w:rPr>
        <w:t xml:space="preserve"> </w:t>
      </w:r>
      <w:r>
        <w:rPr>
          <w:color w:val="221F1F"/>
        </w:rPr>
        <w:t>verbally.</w:t>
      </w:r>
      <w:r>
        <w:rPr>
          <w:color w:val="221F1F"/>
          <w:spacing w:val="-3"/>
        </w:rPr>
        <w:t xml:space="preserve"> </w:t>
      </w:r>
      <w:r>
        <w:rPr>
          <w:color w:val="221F1F"/>
        </w:rPr>
        <w:t>The</w:t>
      </w:r>
      <w:r>
        <w:rPr>
          <w:color w:val="221F1F"/>
          <w:spacing w:val="-3"/>
        </w:rPr>
        <w:t xml:space="preserve"> </w:t>
      </w:r>
      <w:r>
        <w:rPr>
          <w:color w:val="221F1F"/>
        </w:rPr>
        <w:t>Tenderer</w:t>
      </w:r>
      <w:r>
        <w:rPr>
          <w:color w:val="221F1F"/>
          <w:spacing w:val="-2"/>
        </w:rPr>
        <w:t xml:space="preserve"> </w:t>
      </w:r>
      <w:r>
        <w:rPr>
          <w:color w:val="221F1F"/>
        </w:rPr>
        <w:t>shall</w:t>
      </w:r>
      <w:r>
        <w:rPr>
          <w:color w:val="221F1F"/>
          <w:spacing w:val="-2"/>
        </w:rPr>
        <w:t xml:space="preserve"> </w:t>
      </w:r>
      <w:r>
        <w:rPr>
          <w:color w:val="221F1F"/>
        </w:rPr>
        <w:t>bear</w:t>
      </w:r>
      <w:r>
        <w:rPr>
          <w:color w:val="221F1F"/>
          <w:spacing w:val="-4"/>
        </w:rPr>
        <w:t xml:space="preserve"> </w:t>
      </w:r>
      <w:r>
        <w:rPr>
          <w:color w:val="221F1F"/>
        </w:rPr>
        <w:t>its</w:t>
      </w:r>
      <w:r>
        <w:rPr>
          <w:color w:val="221F1F"/>
          <w:spacing w:val="-3"/>
        </w:rPr>
        <w:t xml:space="preserve"> </w:t>
      </w:r>
      <w:r>
        <w:rPr>
          <w:color w:val="221F1F"/>
        </w:rPr>
        <w:t>own costs of attending such a debriefing meeting.</w:t>
      </w:r>
    </w:p>
    <w:p w:rsidR="007F6DF9" w:rsidRDefault="00A43FBC">
      <w:pPr>
        <w:pStyle w:val="Heading9"/>
        <w:numPr>
          <w:ilvl w:val="0"/>
          <w:numId w:val="193"/>
        </w:numPr>
        <w:tabs>
          <w:tab w:val="left" w:pos="1440"/>
        </w:tabs>
        <w:spacing w:before="236"/>
      </w:pPr>
      <w:bookmarkStart w:id="46" w:name="_bookmark45"/>
      <w:bookmarkEnd w:id="46"/>
      <w:r>
        <w:rPr>
          <w:color w:val="221F1F"/>
        </w:rPr>
        <w:t>Letter</w:t>
      </w:r>
      <w:r>
        <w:rPr>
          <w:color w:val="221F1F"/>
          <w:spacing w:val="-3"/>
        </w:rPr>
        <w:t xml:space="preserve"> </w:t>
      </w:r>
      <w:r>
        <w:rPr>
          <w:color w:val="221F1F"/>
        </w:rPr>
        <w:t>of</w:t>
      </w:r>
      <w:r>
        <w:rPr>
          <w:color w:val="221F1F"/>
          <w:spacing w:val="-2"/>
        </w:rPr>
        <w:t xml:space="preserve"> Award</w:t>
      </w:r>
    </w:p>
    <w:p w:rsidR="007F6DF9" w:rsidRDefault="00A43FBC">
      <w:pPr>
        <w:pStyle w:val="BodyText"/>
        <w:spacing w:before="242" w:line="230" w:lineRule="auto"/>
        <w:ind w:left="1414" w:right="842"/>
        <w:jc w:val="both"/>
      </w:pPr>
      <w:r>
        <w:rPr>
          <w:color w:val="221F1F"/>
        </w:rPr>
        <w:t>Prior</w:t>
      </w:r>
      <w:r>
        <w:rPr>
          <w:color w:val="221F1F"/>
          <w:spacing w:val="-10"/>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expiry</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Tender</w:t>
      </w:r>
      <w:r>
        <w:rPr>
          <w:color w:val="221F1F"/>
          <w:spacing w:val="-12"/>
        </w:rPr>
        <w:t xml:space="preserve"> </w:t>
      </w:r>
      <w:r>
        <w:rPr>
          <w:color w:val="221F1F"/>
        </w:rPr>
        <w:t>Validity</w:t>
      </w:r>
      <w:r>
        <w:rPr>
          <w:color w:val="221F1F"/>
          <w:spacing w:val="-14"/>
        </w:rPr>
        <w:t xml:space="preserve"> </w:t>
      </w:r>
      <w:r>
        <w:rPr>
          <w:color w:val="221F1F"/>
        </w:rPr>
        <w:t>Period</w:t>
      </w:r>
      <w:r>
        <w:rPr>
          <w:color w:val="221F1F"/>
          <w:spacing w:val="-9"/>
        </w:rPr>
        <w:t xml:space="preserve"> </w:t>
      </w:r>
      <w:r>
        <w:rPr>
          <w:color w:val="221F1F"/>
        </w:rPr>
        <w:t>and</w:t>
      </w:r>
      <w:r>
        <w:rPr>
          <w:color w:val="221F1F"/>
          <w:spacing w:val="-8"/>
        </w:rPr>
        <w:t xml:space="preserve"> </w:t>
      </w:r>
      <w:r>
        <w:rPr>
          <w:color w:val="221F1F"/>
        </w:rPr>
        <w:t>upon</w:t>
      </w:r>
      <w:r>
        <w:rPr>
          <w:color w:val="221F1F"/>
          <w:spacing w:val="-7"/>
        </w:rPr>
        <w:t xml:space="preserve"> </w:t>
      </w:r>
      <w:r>
        <w:rPr>
          <w:color w:val="221F1F"/>
        </w:rPr>
        <w:t>expiry</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Standstill</w:t>
      </w:r>
      <w:r>
        <w:rPr>
          <w:color w:val="221F1F"/>
          <w:spacing w:val="-6"/>
        </w:rPr>
        <w:t xml:space="preserve"> </w:t>
      </w:r>
      <w:r>
        <w:rPr>
          <w:color w:val="221F1F"/>
        </w:rPr>
        <w:t>Period</w:t>
      </w:r>
      <w:r>
        <w:rPr>
          <w:color w:val="221F1F"/>
          <w:spacing w:val="-7"/>
        </w:rPr>
        <w:t xml:space="preserve"> </w:t>
      </w:r>
      <w:r>
        <w:rPr>
          <w:color w:val="221F1F"/>
        </w:rPr>
        <w:t>specified</w:t>
      </w:r>
      <w:r>
        <w:rPr>
          <w:color w:val="221F1F"/>
          <w:spacing w:val="-9"/>
        </w:rPr>
        <w:t xml:space="preserve"> </w:t>
      </w:r>
      <w:r>
        <w:rPr>
          <w:color w:val="221F1F"/>
        </w:rPr>
        <w:t>in</w:t>
      </w:r>
      <w:r>
        <w:rPr>
          <w:color w:val="221F1F"/>
          <w:spacing w:val="-8"/>
        </w:rPr>
        <w:t xml:space="preserve"> </w:t>
      </w:r>
      <w:r>
        <w:rPr>
          <w:color w:val="221F1F"/>
        </w:rPr>
        <w:t>ITT</w:t>
      </w:r>
      <w:r>
        <w:rPr>
          <w:color w:val="221F1F"/>
          <w:spacing w:val="-8"/>
        </w:rPr>
        <w:t xml:space="preserve"> </w:t>
      </w:r>
      <w:r>
        <w:rPr>
          <w:color w:val="221F1F"/>
        </w:rPr>
        <w:t>42.1, upon</w:t>
      </w:r>
      <w:r>
        <w:rPr>
          <w:color w:val="221F1F"/>
          <w:spacing w:val="-13"/>
        </w:rPr>
        <w:t xml:space="preserve"> </w:t>
      </w:r>
      <w:r>
        <w:rPr>
          <w:color w:val="221F1F"/>
        </w:rPr>
        <w:t>addressing</w:t>
      </w:r>
      <w:r>
        <w:rPr>
          <w:color w:val="221F1F"/>
          <w:spacing w:val="-14"/>
        </w:rPr>
        <w:t xml:space="preserve"> </w:t>
      </w:r>
      <w:r>
        <w:rPr>
          <w:color w:val="221F1F"/>
        </w:rPr>
        <w:t>a</w:t>
      </w:r>
      <w:r>
        <w:rPr>
          <w:color w:val="221F1F"/>
          <w:spacing w:val="-14"/>
        </w:rPr>
        <w:t xml:space="preserve"> </w:t>
      </w:r>
      <w:r>
        <w:rPr>
          <w:color w:val="221F1F"/>
        </w:rPr>
        <w:t>complaint</w:t>
      </w:r>
      <w:r>
        <w:rPr>
          <w:color w:val="221F1F"/>
          <w:spacing w:val="-12"/>
        </w:rPr>
        <w:t xml:space="preserve"> </w:t>
      </w:r>
      <w:r>
        <w:rPr>
          <w:color w:val="221F1F"/>
        </w:rPr>
        <w:t>that</w:t>
      </w:r>
      <w:r>
        <w:rPr>
          <w:color w:val="221F1F"/>
          <w:spacing w:val="-11"/>
        </w:rPr>
        <w:t xml:space="preserve"> </w:t>
      </w:r>
      <w:r>
        <w:rPr>
          <w:color w:val="221F1F"/>
        </w:rPr>
        <w:t>has</w:t>
      </w:r>
      <w:r>
        <w:rPr>
          <w:color w:val="221F1F"/>
          <w:spacing w:val="-11"/>
        </w:rPr>
        <w:t xml:space="preserve"> </w:t>
      </w:r>
      <w:r>
        <w:rPr>
          <w:color w:val="221F1F"/>
        </w:rPr>
        <w:t>been</w:t>
      </w:r>
      <w:r>
        <w:rPr>
          <w:color w:val="221F1F"/>
          <w:spacing w:val="-14"/>
        </w:rPr>
        <w:t xml:space="preserve"> </w:t>
      </w:r>
      <w:r>
        <w:rPr>
          <w:color w:val="221F1F"/>
        </w:rPr>
        <w:t>filed</w:t>
      </w:r>
      <w:r>
        <w:rPr>
          <w:color w:val="221F1F"/>
          <w:spacing w:val="-12"/>
        </w:rPr>
        <w:t xml:space="preserve"> </w:t>
      </w:r>
      <w:r>
        <w:rPr>
          <w:color w:val="221F1F"/>
        </w:rPr>
        <w:t>with</w:t>
      </w:r>
      <w:r>
        <w:rPr>
          <w:color w:val="221F1F"/>
          <w:spacing w:val="-14"/>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Standstill</w:t>
      </w:r>
      <w:r>
        <w:rPr>
          <w:color w:val="221F1F"/>
          <w:spacing w:val="-11"/>
        </w:rPr>
        <w:t xml:space="preserve"> </w:t>
      </w:r>
      <w:r>
        <w:rPr>
          <w:color w:val="221F1F"/>
        </w:rPr>
        <w:t>Period,</w:t>
      </w:r>
      <w:r>
        <w:rPr>
          <w:color w:val="221F1F"/>
          <w:spacing w:val="-14"/>
        </w:rPr>
        <w:t xml:space="preserve"> </w:t>
      </w:r>
      <w:r>
        <w:rPr>
          <w:color w:val="221F1F"/>
        </w:rPr>
        <w:t>the</w:t>
      </w:r>
      <w:r>
        <w:rPr>
          <w:color w:val="221F1F"/>
          <w:spacing w:val="-14"/>
        </w:rPr>
        <w:t xml:space="preserve"> </w:t>
      </w:r>
      <w:r>
        <w:rPr>
          <w:color w:val="221F1F"/>
        </w:rPr>
        <w:t>Procuring</w:t>
      </w:r>
      <w:r>
        <w:rPr>
          <w:color w:val="221F1F"/>
          <w:spacing w:val="-11"/>
        </w:rPr>
        <w:t xml:space="preserve"> </w:t>
      </w:r>
      <w:r>
        <w:rPr>
          <w:color w:val="221F1F"/>
        </w:rPr>
        <w:t>Entity</w:t>
      </w:r>
      <w:r>
        <w:rPr>
          <w:color w:val="221F1F"/>
          <w:spacing w:val="-14"/>
        </w:rPr>
        <w:t xml:space="preserve"> </w:t>
      </w:r>
      <w:r>
        <w:rPr>
          <w:color w:val="221F1F"/>
        </w:rPr>
        <w:t>shall</w:t>
      </w:r>
      <w:r>
        <w:rPr>
          <w:color w:val="221F1F"/>
          <w:spacing w:val="-13"/>
        </w:rPr>
        <w:t xml:space="preserve"> </w:t>
      </w:r>
      <w:r>
        <w:rPr>
          <w:color w:val="221F1F"/>
        </w:rPr>
        <w:t xml:space="preserve">transmit the Letter of Award to the successful Tenderer. The letter of award shall request the successful tenderer to </w:t>
      </w:r>
      <w:bookmarkStart w:id="47" w:name="_bookmark46"/>
      <w:bookmarkEnd w:id="47"/>
      <w:r>
        <w:rPr>
          <w:color w:val="221F1F"/>
        </w:rPr>
        <w:t>furnish the Performance Security within 21 days of the date of the letter.</w:t>
      </w:r>
    </w:p>
    <w:p w:rsidR="007F6DF9" w:rsidRDefault="00A43FBC">
      <w:pPr>
        <w:pStyle w:val="Heading9"/>
        <w:numPr>
          <w:ilvl w:val="0"/>
          <w:numId w:val="193"/>
        </w:numPr>
        <w:tabs>
          <w:tab w:val="left" w:pos="1413"/>
        </w:tabs>
        <w:spacing w:before="238"/>
        <w:ind w:left="1413" w:hanging="564"/>
      </w:pPr>
      <w:r>
        <w:rPr>
          <w:color w:val="221F1F"/>
        </w:rPr>
        <w:t>Signing</w:t>
      </w:r>
      <w:r>
        <w:rPr>
          <w:color w:val="221F1F"/>
          <w:spacing w:val="-3"/>
        </w:rPr>
        <w:t xml:space="preserve"> </w:t>
      </w:r>
      <w:r>
        <w:rPr>
          <w:color w:val="221F1F"/>
        </w:rPr>
        <w:t>of</w:t>
      </w:r>
      <w:r>
        <w:rPr>
          <w:color w:val="221F1F"/>
          <w:spacing w:val="2"/>
        </w:rPr>
        <w:t xml:space="preserve"> </w:t>
      </w:r>
      <w:r>
        <w:rPr>
          <w:color w:val="221F1F"/>
          <w:spacing w:val="-2"/>
        </w:rPr>
        <w:t>Contract</w:t>
      </w:r>
    </w:p>
    <w:p w:rsidR="007F6DF9" w:rsidRDefault="00A43FBC">
      <w:pPr>
        <w:pStyle w:val="ListParagraph"/>
        <w:numPr>
          <w:ilvl w:val="1"/>
          <w:numId w:val="193"/>
        </w:numPr>
        <w:tabs>
          <w:tab w:val="left" w:pos="1411"/>
          <w:tab w:val="left" w:pos="1414"/>
        </w:tabs>
        <w:spacing w:before="243" w:line="230" w:lineRule="auto"/>
        <w:ind w:left="1414" w:right="844" w:hanging="565"/>
        <w:jc w:val="both"/>
        <w:rPr>
          <w:b/>
          <w:color w:val="221F1F"/>
        </w:rPr>
      </w:pPr>
      <w:r>
        <w:rPr>
          <w:color w:val="221F1F"/>
        </w:rPr>
        <w:t>Upon</w:t>
      </w:r>
      <w:r>
        <w:rPr>
          <w:color w:val="221F1F"/>
          <w:spacing w:val="-7"/>
        </w:rPr>
        <w:t xml:space="preserve"> </w:t>
      </w:r>
      <w:r>
        <w:rPr>
          <w:color w:val="221F1F"/>
        </w:rPr>
        <w:t>the</w:t>
      </w:r>
      <w:r>
        <w:rPr>
          <w:color w:val="221F1F"/>
          <w:spacing w:val="-9"/>
        </w:rPr>
        <w:t xml:space="preserve"> </w:t>
      </w:r>
      <w:r>
        <w:rPr>
          <w:color w:val="221F1F"/>
        </w:rPr>
        <w:t>expiry</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fourteen</w:t>
      </w:r>
      <w:r>
        <w:rPr>
          <w:color w:val="221F1F"/>
          <w:spacing w:val="-6"/>
        </w:rPr>
        <w:t xml:space="preserve"> </w:t>
      </w:r>
      <w:r>
        <w:rPr>
          <w:color w:val="221F1F"/>
        </w:rPr>
        <w:t>days</w:t>
      </w:r>
      <w:r>
        <w:rPr>
          <w:color w:val="221F1F"/>
          <w:spacing w:val="-9"/>
        </w:rPr>
        <w:t xml:space="preserve"> </w:t>
      </w:r>
      <w:r>
        <w:rPr>
          <w:color w:val="221F1F"/>
        </w:rPr>
        <w:t>of</w:t>
      </w:r>
      <w:r>
        <w:rPr>
          <w:color w:val="221F1F"/>
          <w:spacing w:val="-9"/>
        </w:rPr>
        <w:t xml:space="preserve"> </w:t>
      </w:r>
      <w:r>
        <w:rPr>
          <w:color w:val="221F1F"/>
        </w:rPr>
        <w:t>the</w:t>
      </w:r>
      <w:r>
        <w:rPr>
          <w:color w:val="221F1F"/>
          <w:spacing w:val="-7"/>
        </w:rPr>
        <w:t xml:space="preserve"> </w:t>
      </w:r>
      <w:r>
        <w:rPr>
          <w:color w:val="221F1F"/>
        </w:rPr>
        <w:t>Notification</w:t>
      </w:r>
      <w:r>
        <w:rPr>
          <w:color w:val="221F1F"/>
          <w:spacing w:val="-8"/>
        </w:rPr>
        <w:t xml:space="preserve"> </w:t>
      </w:r>
      <w:r>
        <w:rPr>
          <w:color w:val="221F1F"/>
        </w:rPr>
        <w:t>of</w:t>
      </w:r>
      <w:r>
        <w:rPr>
          <w:color w:val="221F1F"/>
          <w:spacing w:val="-9"/>
        </w:rPr>
        <w:t xml:space="preserve"> </w:t>
      </w:r>
      <w:r>
        <w:rPr>
          <w:color w:val="221F1F"/>
        </w:rPr>
        <w:t>Intention</w:t>
      </w:r>
      <w:r>
        <w:rPr>
          <w:color w:val="221F1F"/>
          <w:spacing w:val="-9"/>
        </w:rPr>
        <w:t xml:space="preserve"> </w:t>
      </w:r>
      <w:r>
        <w:rPr>
          <w:color w:val="221F1F"/>
        </w:rPr>
        <w:t>to</w:t>
      </w:r>
      <w:r>
        <w:rPr>
          <w:color w:val="221F1F"/>
          <w:spacing w:val="-9"/>
        </w:rPr>
        <w:t xml:space="preserve"> </w:t>
      </w:r>
      <w:r>
        <w:rPr>
          <w:color w:val="221F1F"/>
        </w:rPr>
        <w:t>enter</w:t>
      </w:r>
      <w:r>
        <w:rPr>
          <w:color w:val="221F1F"/>
          <w:spacing w:val="-8"/>
        </w:rPr>
        <w:t xml:space="preserve"> </w:t>
      </w:r>
      <w:r>
        <w:rPr>
          <w:color w:val="221F1F"/>
        </w:rPr>
        <w:t>in</w:t>
      </w:r>
      <w:r>
        <w:rPr>
          <w:color w:val="221F1F"/>
          <w:spacing w:val="-9"/>
        </w:rPr>
        <w:t xml:space="preserve"> </w:t>
      </w:r>
      <w:r>
        <w:rPr>
          <w:color w:val="221F1F"/>
        </w:rPr>
        <w:t>to</w:t>
      </w:r>
      <w:r>
        <w:rPr>
          <w:color w:val="221F1F"/>
          <w:spacing w:val="-7"/>
        </w:rPr>
        <w:t xml:space="preserve"> </w:t>
      </w:r>
      <w:r>
        <w:rPr>
          <w:color w:val="221F1F"/>
        </w:rPr>
        <w:t>contract</w:t>
      </w:r>
      <w:r>
        <w:rPr>
          <w:color w:val="221F1F"/>
          <w:spacing w:val="-7"/>
        </w:rPr>
        <w:t xml:space="preserve"> </w:t>
      </w:r>
      <w:r>
        <w:rPr>
          <w:color w:val="221F1F"/>
        </w:rPr>
        <w:t>and</w:t>
      </w:r>
      <w:r>
        <w:rPr>
          <w:color w:val="221F1F"/>
          <w:spacing w:val="-7"/>
        </w:rPr>
        <w:t xml:space="preserve"> </w:t>
      </w:r>
      <w:r>
        <w:rPr>
          <w:color w:val="221F1F"/>
        </w:rPr>
        <w:t>upon</w:t>
      </w:r>
      <w:r>
        <w:rPr>
          <w:color w:val="221F1F"/>
          <w:spacing w:val="-9"/>
        </w:rPr>
        <w:t xml:space="preserve"> </w:t>
      </w:r>
      <w:r>
        <w:rPr>
          <w:color w:val="221F1F"/>
        </w:rPr>
        <w:t>the</w:t>
      </w:r>
      <w:r>
        <w:rPr>
          <w:color w:val="221F1F"/>
          <w:spacing w:val="-9"/>
        </w:rPr>
        <w:t xml:space="preserve"> </w:t>
      </w:r>
      <w:r>
        <w:rPr>
          <w:color w:val="221F1F"/>
        </w:rPr>
        <w:t>parties meeting their respective statutory requirements, the Procuring Entity shall send the successful Tenderer the Contract Agreement.</w:t>
      </w:r>
    </w:p>
    <w:p w:rsidR="007F6DF9" w:rsidRDefault="00A43FBC">
      <w:pPr>
        <w:pStyle w:val="ListParagraph"/>
        <w:numPr>
          <w:ilvl w:val="1"/>
          <w:numId w:val="193"/>
        </w:numPr>
        <w:tabs>
          <w:tab w:val="left" w:pos="1414"/>
        </w:tabs>
        <w:spacing w:before="245" w:line="230" w:lineRule="auto"/>
        <w:ind w:left="1414" w:right="938" w:hanging="565"/>
        <w:rPr>
          <w:b/>
          <w:color w:val="221F1F"/>
        </w:rPr>
      </w:pPr>
      <w:r>
        <w:rPr>
          <w:color w:val="221F1F"/>
        </w:rPr>
        <w:t>Within</w:t>
      </w:r>
      <w:r>
        <w:rPr>
          <w:color w:val="221F1F"/>
          <w:spacing w:val="-5"/>
        </w:rPr>
        <w:t xml:space="preserve"> </w:t>
      </w:r>
      <w:r>
        <w:rPr>
          <w:color w:val="221F1F"/>
        </w:rPr>
        <w:t>fourteen</w:t>
      </w:r>
      <w:r>
        <w:rPr>
          <w:color w:val="221F1F"/>
          <w:spacing w:val="-5"/>
        </w:rPr>
        <w:t xml:space="preserve"> </w:t>
      </w:r>
      <w:r>
        <w:rPr>
          <w:color w:val="221F1F"/>
        </w:rPr>
        <w:t>(14)</w:t>
      </w:r>
      <w:r>
        <w:rPr>
          <w:color w:val="221F1F"/>
          <w:spacing w:val="-4"/>
        </w:rPr>
        <w:t xml:space="preserve"> </w:t>
      </w:r>
      <w:r>
        <w:rPr>
          <w:color w:val="221F1F"/>
        </w:rPr>
        <w:t>days</w:t>
      </w:r>
      <w:r>
        <w:rPr>
          <w:color w:val="221F1F"/>
          <w:spacing w:val="-4"/>
        </w:rPr>
        <w:t xml:space="preserve"> </w:t>
      </w:r>
      <w:r>
        <w:rPr>
          <w:color w:val="221F1F"/>
        </w:rPr>
        <w:t>of</w:t>
      </w:r>
      <w:r>
        <w:rPr>
          <w:color w:val="221F1F"/>
          <w:spacing w:val="-2"/>
        </w:rPr>
        <w:t xml:space="preserve"> </w:t>
      </w:r>
      <w:r>
        <w:rPr>
          <w:color w:val="221F1F"/>
        </w:rPr>
        <w:t>receipt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Agreement,</w:t>
      </w:r>
      <w:r>
        <w:rPr>
          <w:color w:val="221F1F"/>
          <w:spacing w:val="-2"/>
        </w:rPr>
        <w:t xml:space="preserve"> </w:t>
      </w:r>
      <w:r>
        <w:rPr>
          <w:color w:val="221F1F"/>
        </w:rPr>
        <w:t>the</w:t>
      </w:r>
      <w:r>
        <w:rPr>
          <w:color w:val="221F1F"/>
          <w:spacing w:val="-2"/>
        </w:rPr>
        <w:t xml:space="preserve"> </w:t>
      </w:r>
      <w:r>
        <w:rPr>
          <w:color w:val="221F1F"/>
        </w:rPr>
        <w:t>successful</w:t>
      </w:r>
      <w:r>
        <w:rPr>
          <w:color w:val="221F1F"/>
          <w:spacing w:val="-1"/>
        </w:rPr>
        <w:t xml:space="preserve"> </w:t>
      </w:r>
      <w:r>
        <w:rPr>
          <w:color w:val="221F1F"/>
        </w:rPr>
        <w:t>Tenderer</w:t>
      </w:r>
      <w:r>
        <w:rPr>
          <w:color w:val="221F1F"/>
          <w:spacing w:val="-2"/>
        </w:rPr>
        <w:t xml:space="preserve"> </w:t>
      </w:r>
      <w:r>
        <w:rPr>
          <w:color w:val="221F1F"/>
        </w:rPr>
        <w:t>shall</w:t>
      </w:r>
      <w:r>
        <w:rPr>
          <w:color w:val="221F1F"/>
          <w:spacing w:val="-1"/>
        </w:rPr>
        <w:t xml:space="preserve"> </w:t>
      </w:r>
      <w:r>
        <w:rPr>
          <w:color w:val="221F1F"/>
        </w:rPr>
        <w:t>sign,</w:t>
      </w:r>
      <w:r>
        <w:rPr>
          <w:color w:val="221F1F"/>
          <w:spacing w:val="-2"/>
        </w:rPr>
        <w:t xml:space="preserve"> </w:t>
      </w:r>
      <w:r>
        <w:rPr>
          <w:color w:val="221F1F"/>
        </w:rPr>
        <w:t>date,</w:t>
      </w:r>
      <w:r>
        <w:rPr>
          <w:color w:val="221F1F"/>
          <w:spacing w:val="-4"/>
        </w:rPr>
        <w:t xml:space="preserve"> </w:t>
      </w:r>
      <w:r>
        <w:rPr>
          <w:color w:val="221F1F"/>
        </w:rPr>
        <w:t xml:space="preserve">and </w:t>
      </w:r>
      <w:proofErr w:type="spellStart"/>
      <w:r>
        <w:rPr>
          <w:color w:val="221F1F"/>
          <w:spacing w:val="-2"/>
        </w:rPr>
        <w:t>returnittotheProcuringEntity</w:t>
      </w:r>
      <w:proofErr w:type="spellEnd"/>
      <w:r>
        <w:rPr>
          <w:color w:val="221F1F"/>
          <w:spacing w:val="-2"/>
        </w:rPr>
        <w:t>.</w:t>
      </w:r>
    </w:p>
    <w:p w:rsidR="007F6DF9" w:rsidRDefault="00A43FBC">
      <w:pPr>
        <w:pStyle w:val="ListParagraph"/>
        <w:numPr>
          <w:ilvl w:val="1"/>
          <w:numId w:val="193"/>
        </w:numPr>
        <w:tabs>
          <w:tab w:val="left" w:pos="1414"/>
        </w:tabs>
        <w:spacing w:before="244" w:line="230" w:lineRule="auto"/>
        <w:ind w:left="1414" w:right="1059" w:hanging="565"/>
        <w:rPr>
          <w:b/>
          <w:color w:val="221F1F"/>
        </w:rPr>
      </w:pPr>
      <w:r>
        <w:rPr>
          <w:color w:val="221F1F"/>
        </w:rPr>
        <w:t>The</w:t>
      </w:r>
      <w:r>
        <w:rPr>
          <w:color w:val="221F1F"/>
          <w:spacing w:val="-3"/>
        </w:rPr>
        <w:t xml:space="preserve"> </w:t>
      </w:r>
      <w:r>
        <w:rPr>
          <w:color w:val="221F1F"/>
        </w:rPr>
        <w:t>written</w:t>
      </w:r>
      <w:r>
        <w:rPr>
          <w:color w:val="221F1F"/>
          <w:spacing w:val="-3"/>
        </w:rPr>
        <w:t xml:space="preserve"> </w:t>
      </w:r>
      <w:r>
        <w:rPr>
          <w:color w:val="221F1F"/>
        </w:rPr>
        <w:t>contract</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entered</w:t>
      </w:r>
      <w:r>
        <w:rPr>
          <w:color w:val="221F1F"/>
          <w:spacing w:val="-3"/>
        </w:rPr>
        <w:t xml:space="preserve"> </w:t>
      </w:r>
      <w:r>
        <w:rPr>
          <w:color w:val="221F1F"/>
        </w:rPr>
        <w:t>into</w:t>
      </w:r>
      <w:r>
        <w:rPr>
          <w:color w:val="221F1F"/>
          <w:spacing w:val="-3"/>
        </w:rPr>
        <w:t xml:space="preserve"> </w:t>
      </w:r>
      <w:r>
        <w:rPr>
          <w:color w:val="221F1F"/>
        </w:rPr>
        <w:t>within</w:t>
      </w:r>
      <w:r>
        <w:rPr>
          <w:color w:val="221F1F"/>
          <w:spacing w:val="-6"/>
        </w:rPr>
        <w:t xml:space="preserve"> </w:t>
      </w:r>
      <w:r>
        <w:rPr>
          <w:color w:val="221F1F"/>
        </w:rPr>
        <w:t>the</w:t>
      </w:r>
      <w:r>
        <w:rPr>
          <w:color w:val="221F1F"/>
          <w:spacing w:val="-3"/>
        </w:rPr>
        <w:t xml:space="preserve"> </w:t>
      </w:r>
      <w:r>
        <w:rPr>
          <w:color w:val="221F1F"/>
        </w:rPr>
        <w:t>period</w:t>
      </w:r>
      <w:r>
        <w:rPr>
          <w:color w:val="221F1F"/>
          <w:spacing w:val="-6"/>
        </w:rPr>
        <w:t xml:space="preserve"> </w:t>
      </w:r>
      <w:r>
        <w:rPr>
          <w:color w:val="221F1F"/>
        </w:rPr>
        <w:t>specified</w:t>
      </w:r>
      <w:r>
        <w:rPr>
          <w:color w:val="221F1F"/>
          <w:spacing w:val="-3"/>
        </w:rPr>
        <w:t xml:space="preserve"> </w:t>
      </w:r>
      <w:r>
        <w:rPr>
          <w:color w:val="221F1F"/>
        </w:rPr>
        <w:t>in</w:t>
      </w:r>
      <w:r>
        <w:rPr>
          <w:color w:val="221F1F"/>
          <w:spacing w:val="-6"/>
        </w:rPr>
        <w:t xml:space="preserve"> </w:t>
      </w:r>
      <w:r>
        <w:rPr>
          <w:color w:val="221F1F"/>
        </w:rPr>
        <w:t>the</w:t>
      </w:r>
      <w:r>
        <w:rPr>
          <w:color w:val="221F1F"/>
          <w:spacing w:val="-5"/>
        </w:rPr>
        <w:t xml:space="preserve"> </w:t>
      </w:r>
      <w:r>
        <w:rPr>
          <w:color w:val="221F1F"/>
        </w:rPr>
        <w:t>notification</w:t>
      </w:r>
      <w:r>
        <w:rPr>
          <w:color w:val="221F1F"/>
          <w:spacing w:val="-6"/>
        </w:rPr>
        <w:t xml:space="preserve"> </w:t>
      </w:r>
      <w:r>
        <w:rPr>
          <w:color w:val="221F1F"/>
        </w:rPr>
        <w:t>of</w:t>
      </w:r>
      <w:r>
        <w:rPr>
          <w:color w:val="221F1F"/>
          <w:spacing w:val="-3"/>
        </w:rPr>
        <w:t xml:space="preserve"> </w:t>
      </w:r>
      <w:r>
        <w:rPr>
          <w:color w:val="221F1F"/>
        </w:rPr>
        <w:t>award</w:t>
      </w:r>
      <w:r>
        <w:rPr>
          <w:color w:val="221F1F"/>
          <w:spacing w:val="-6"/>
        </w:rPr>
        <w:t xml:space="preserve"> </w:t>
      </w:r>
      <w:r>
        <w:rPr>
          <w:color w:val="221F1F"/>
        </w:rPr>
        <w:t>and</w:t>
      </w:r>
      <w:r>
        <w:rPr>
          <w:color w:val="221F1F"/>
          <w:spacing w:val="-3"/>
        </w:rPr>
        <w:t xml:space="preserve"> </w:t>
      </w:r>
      <w:r>
        <w:rPr>
          <w:color w:val="221F1F"/>
        </w:rPr>
        <w:t>before expiry of the tender validity period.</w:t>
      </w:r>
    </w:p>
    <w:p w:rsidR="007F6DF9" w:rsidRDefault="00A43FBC">
      <w:pPr>
        <w:pStyle w:val="Heading9"/>
        <w:numPr>
          <w:ilvl w:val="0"/>
          <w:numId w:val="193"/>
        </w:numPr>
        <w:tabs>
          <w:tab w:val="left" w:pos="1411"/>
        </w:tabs>
        <w:spacing w:before="236"/>
        <w:ind w:left="1411" w:hanging="562"/>
      </w:pPr>
      <w:bookmarkStart w:id="48" w:name="_bookmark47"/>
      <w:bookmarkEnd w:id="48"/>
      <w:r>
        <w:rPr>
          <w:color w:val="221F1F"/>
        </w:rPr>
        <w:t>Performance</w:t>
      </w:r>
      <w:r>
        <w:rPr>
          <w:color w:val="221F1F"/>
          <w:spacing w:val="-4"/>
        </w:rPr>
        <w:t xml:space="preserve"> </w:t>
      </w:r>
      <w:r>
        <w:rPr>
          <w:color w:val="221F1F"/>
          <w:spacing w:val="-2"/>
        </w:rPr>
        <w:t>Security</w:t>
      </w:r>
    </w:p>
    <w:p w:rsidR="007F6DF9" w:rsidRDefault="00A43FBC">
      <w:pPr>
        <w:pStyle w:val="ListParagraph"/>
        <w:numPr>
          <w:ilvl w:val="1"/>
          <w:numId w:val="193"/>
        </w:numPr>
        <w:tabs>
          <w:tab w:val="left" w:pos="1409"/>
          <w:tab w:val="left" w:pos="1411"/>
        </w:tabs>
        <w:spacing w:before="243" w:line="230" w:lineRule="auto"/>
        <w:ind w:left="1411" w:right="844" w:hanging="563"/>
        <w:jc w:val="both"/>
        <w:rPr>
          <w:b/>
          <w:color w:val="221F1F"/>
        </w:rPr>
      </w:pPr>
      <w:r>
        <w:rPr>
          <w:color w:val="221F1F"/>
        </w:rPr>
        <w:t>Within twenty-one (21) days of the receipt of the Letter of Award</w:t>
      </w:r>
      <w:r>
        <w:rPr>
          <w:color w:val="221F1F"/>
          <w:spacing w:val="-1"/>
        </w:rPr>
        <w:t xml:space="preserve"> </w:t>
      </w:r>
      <w:r>
        <w:rPr>
          <w:color w:val="221F1F"/>
        </w:rPr>
        <w:t>from the Procuring Entity, the successful Tenderer</w:t>
      </w:r>
      <w:r>
        <w:rPr>
          <w:color w:val="221F1F"/>
          <w:spacing w:val="-6"/>
        </w:rPr>
        <w:t xml:space="preserve"> </w:t>
      </w:r>
      <w:r>
        <w:rPr>
          <w:color w:val="221F1F"/>
        </w:rPr>
        <w:t>shall</w:t>
      </w:r>
      <w:r>
        <w:rPr>
          <w:color w:val="221F1F"/>
          <w:spacing w:val="-6"/>
        </w:rPr>
        <w:t xml:space="preserve"> </w:t>
      </w:r>
      <w:r>
        <w:rPr>
          <w:color w:val="221F1F"/>
        </w:rPr>
        <w:t>furnish</w:t>
      </w:r>
      <w:r>
        <w:rPr>
          <w:color w:val="221F1F"/>
          <w:spacing w:val="-6"/>
        </w:rPr>
        <w:t xml:space="preserve"> </w:t>
      </w:r>
      <w:r>
        <w:rPr>
          <w:color w:val="221F1F"/>
        </w:rPr>
        <w:t>the</w:t>
      </w:r>
      <w:r>
        <w:rPr>
          <w:color w:val="221F1F"/>
          <w:spacing w:val="-3"/>
        </w:rPr>
        <w:t xml:space="preserve"> </w:t>
      </w:r>
      <w:r>
        <w:rPr>
          <w:color w:val="221F1F"/>
        </w:rPr>
        <w:t>Performance</w:t>
      </w:r>
      <w:r>
        <w:rPr>
          <w:color w:val="221F1F"/>
          <w:spacing w:val="-3"/>
        </w:rPr>
        <w:t xml:space="preserve"> </w:t>
      </w:r>
      <w:r>
        <w:rPr>
          <w:color w:val="221F1F"/>
        </w:rPr>
        <w:t>Security</w:t>
      </w:r>
      <w:r>
        <w:rPr>
          <w:color w:val="221F1F"/>
          <w:spacing w:val="-5"/>
        </w:rPr>
        <w:t xml:space="preserve"> </w:t>
      </w:r>
      <w:r>
        <w:rPr>
          <w:color w:val="221F1F"/>
        </w:rPr>
        <w:t>and,</w:t>
      </w:r>
      <w:r>
        <w:rPr>
          <w:color w:val="221F1F"/>
          <w:spacing w:val="-5"/>
        </w:rPr>
        <w:t xml:space="preserve"> </w:t>
      </w:r>
      <w:r>
        <w:rPr>
          <w:color w:val="221F1F"/>
        </w:rPr>
        <w:t>any</w:t>
      </w:r>
      <w:r>
        <w:rPr>
          <w:color w:val="221F1F"/>
          <w:spacing w:val="-4"/>
        </w:rPr>
        <w:t xml:space="preserve"> </w:t>
      </w:r>
      <w:r>
        <w:rPr>
          <w:color w:val="221F1F"/>
        </w:rPr>
        <w:t>other</w:t>
      </w:r>
      <w:r>
        <w:rPr>
          <w:color w:val="221F1F"/>
          <w:spacing w:val="-6"/>
        </w:rPr>
        <w:t xml:space="preserve"> </w:t>
      </w:r>
      <w:r>
        <w:rPr>
          <w:color w:val="221F1F"/>
        </w:rPr>
        <w:t>documents</w:t>
      </w:r>
      <w:r>
        <w:rPr>
          <w:color w:val="221F1F"/>
          <w:spacing w:val="-4"/>
        </w:rPr>
        <w:t xml:space="preserve"> </w:t>
      </w:r>
      <w:r>
        <w:rPr>
          <w:color w:val="221F1F"/>
        </w:rPr>
        <w:t>required</w:t>
      </w:r>
      <w:r>
        <w:rPr>
          <w:color w:val="221F1F"/>
          <w:spacing w:val="-4"/>
        </w:rPr>
        <w:t xml:space="preserve"> </w:t>
      </w:r>
      <w:r>
        <w:rPr>
          <w:color w:val="221F1F"/>
        </w:rPr>
        <w:t>in</w:t>
      </w:r>
      <w:r>
        <w:rPr>
          <w:color w:val="221F1F"/>
          <w:spacing w:val="-6"/>
        </w:rPr>
        <w:t xml:space="preserve"> </w:t>
      </w:r>
      <w:r>
        <w:rPr>
          <w:color w:val="221F1F"/>
        </w:rPr>
        <w:t>the</w:t>
      </w:r>
      <w:r>
        <w:rPr>
          <w:color w:val="221F1F"/>
          <w:spacing w:val="-4"/>
        </w:rPr>
        <w:t xml:space="preserve"> </w:t>
      </w:r>
      <w:r>
        <w:rPr>
          <w:b/>
          <w:color w:val="221F1F"/>
        </w:rPr>
        <w:t>TDS</w:t>
      </w:r>
      <w:r>
        <w:rPr>
          <w:color w:val="221F1F"/>
        </w:rPr>
        <w:t>,</w:t>
      </w:r>
      <w:r>
        <w:rPr>
          <w:color w:val="221F1F"/>
          <w:spacing w:val="-7"/>
        </w:rPr>
        <w:t xml:space="preserve"> </w:t>
      </w:r>
      <w:r>
        <w:rPr>
          <w:color w:val="221F1F"/>
        </w:rPr>
        <w:t>in</w:t>
      </w:r>
      <w:r>
        <w:rPr>
          <w:color w:val="221F1F"/>
          <w:spacing w:val="-7"/>
        </w:rPr>
        <w:t xml:space="preserve"> </w:t>
      </w:r>
      <w:r>
        <w:rPr>
          <w:color w:val="221F1F"/>
        </w:rPr>
        <w:t>accordance with the General Conditions of Contract, subject to ITT 38.2 (b), using the Performance Security and other Forms included in Section X, Contract Forms, or another form acceptable to the Procuring Entity. A foreign institution</w:t>
      </w:r>
      <w:r>
        <w:rPr>
          <w:color w:val="221F1F"/>
          <w:spacing w:val="-7"/>
        </w:rPr>
        <w:t xml:space="preserve"> </w:t>
      </w:r>
      <w:r>
        <w:rPr>
          <w:color w:val="221F1F"/>
        </w:rPr>
        <w:t>providing</w:t>
      </w:r>
      <w:r>
        <w:rPr>
          <w:color w:val="221F1F"/>
          <w:spacing w:val="-7"/>
        </w:rPr>
        <w:t xml:space="preserve"> </w:t>
      </w:r>
      <w:r>
        <w:rPr>
          <w:color w:val="221F1F"/>
        </w:rPr>
        <w:t>a</w:t>
      </w:r>
      <w:r>
        <w:rPr>
          <w:color w:val="221F1F"/>
          <w:spacing w:val="-8"/>
        </w:rPr>
        <w:t xml:space="preserve"> </w:t>
      </w:r>
      <w:r>
        <w:rPr>
          <w:color w:val="221F1F"/>
        </w:rPr>
        <w:t>bank</w:t>
      </w:r>
      <w:r>
        <w:rPr>
          <w:color w:val="221F1F"/>
          <w:spacing w:val="-9"/>
        </w:rPr>
        <w:t xml:space="preserve"> </w:t>
      </w:r>
      <w:r>
        <w:rPr>
          <w:color w:val="221F1F"/>
        </w:rPr>
        <w:t>guarantee</w:t>
      </w:r>
      <w:r>
        <w:rPr>
          <w:color w:val="221F1F"/>
          <w:spacing w:val="-7"/>
        </w:rPr>
        <w:t xml:space="preserve"> </w:t>
      </w:r>
      <w:r>
        <w:rPr>
          <w:color w:val="221F1F"/>
        </w:rPr>
        <w:t>shall</w:t>
      </w:r>
      <w:r>
        <w:rPr>
          <w:color w:val="221F1F"/>
          <w:spacing w:val="-7"/>
        </w:rPr>
        <w:t xml:space="preserve"> </w:t>
      </w:r>
      <w:r>
        <w:rPr>
          <w:color w:val="221F1F"/>
        </w:rPr>
        <w:t>have</w:t>
      </w:r>
      <w:r>
        <w:rPr>
          <w:color w:val="221F1F"/>
          <w:spacing w:val="-7"/>
        </w:rPr>
        <w:t xml:space="preserve"> </w:t>
      </w:r>
      <w:r>
        <w:rPr>
          <w:color w:val="221F1F"/>
        </w:rPr>
        <w:t>a</w:t>
      </w:r>
      <w:r>
        <w:rPr>
          <w:color w:val="221F1F"/>
          <w:spacing w:val="-10"/>
        </w:rPr>
        <w:t xml:space="preserve"> </w:t>
      </w:r>
      <w:r>
        <w:rPr>
          <w:color w:val="221F1F"/>
        </w:rPr>
        <w:t>correspondent</w:t>
      </w:r>
      <w:r>
        <w:rPr>
          <w:color w:val="221F1F"/>
          <w:spacing w:val="-6"/>
        </w:rPr>
        <w:t xml:space="preserve"> </w:t>
      </w:r>
      <w:r>
        <w:rPr>
          <w:color w:val="221F1F"/>
        </w:rPr>
        <w:t>financial</w:t>
      </w:r>
      <w:r>
        <w:rPr>
          <w:color w:val="221F1F"/>
          <w:spacing w:val="-7"/>
        </w:rPr>
        <w:t xml:space="preserve"> </w:t>
      </w:r>
      <w:r>
        <w:rPr>
          <w:color w:val="221F1F"/>
        </w:rPr>
        <w:t>institution</w:t>
      </w:r>
      <w:r>
        <w:rPr>
          <w:color w:val="221F1F"/>
          <w:spacing w:val="-7"/>
        </w:rPr>
        <w:t xml:space="preserve"> </w:t>
      </w:r>
      <w:r>
        <w:rPr>
          <w:color w:val="221F1F"/>
        </w:rPr>
        <w:t>located</w:t>
      </w:r>
      <w:r>
        <w:rPr>
          <w:color w:val="221F1F"/>
          <w:spacing w:val="-8"/>
        </w:rPr>
        <w:t xml:space="preserve"> </w:t>
      </w:r>
      <w:r>
        <w:rPr>
          <w:color w:val="221F1F"/>
        </w:rPr>
        <w:t>in</w:t>
      </w:r>
      <w:r>
        <w:rPr>
          <w:color w:val="221F1F"/>
          <w:spacing w:val="-8"/>
        </w:rPr>
        <w:t xml:space="preserve"> </w:t>
      </w:r>
      <w:r>
        <w:rPr>
          <w:color w:val="221F1F"/>
        </w:rPr>
        <w:t>Kenya,</w:t>
      </w:r>
      <w:r>
        <w:rPr>
          <w:color w:val="221F1F"/>
          <w:spacing w:val="-8"/>
        </w:rPr>
        <w:t xml:space="preserve"> </w:t>
      </w:r>
      <w:r>
        <w:rPr>
          <w:color w:val="221F1F"/>
        </w:rPr>
        <w:t>unless the Procuring Entity has agreed in writing that a correspondent bank is not required.</w:t>
      </w:r>
    </w:p>
    <w:p w:rsidR="007F6DF9" w:rsidRDefault="00A43FBC">
      <w:pPr>
        <w:pStyle w:val="ListParagraph"/>
        <w:numPr>
          <w:ilvl w:val="1"/>
          <w:numId w:val="193"/>
        </w:numPr>
        <w:tabs>
          <w:tab w:val="left" w:pos="1412"/>
          <w:tab w:val="left" w:pos="1421"/>
        </w:tabs>
        <w:spacing w:before="189" w:line="230" w:lineRule="auto"/>
        <w:ind w:left="1421" w:right="843" w:hanging="565"/>
        <w:jc w:val="both"/>
        <w:rPr>
          <w:b/>
        </w:rPr>
      </w:pPr>
      <w:r>
        <w:rPr>
          <w:color w:val="221F1F"/>
        </w:rPr>
        <w:t xml:space="preserve">Failure of the successful Tenderer to submit the above-mentioned Performance Security and </w:t>
      </w:r>
      <w:proofErr w:type="spellStart"/>
      <w:r>
        <w:rPr>
          <w:color w:val="221F1F"/>
        </w:rPr>
        <w:t>otherdocuments</w:t>
      </w:r>
      <w:proofErr w:type="spellEnd"/>
      <w:r>
        <w:rPr>
          <w:color w:val="221F1F"/>
        </w:rPr>
        <w:t xml:space="preserve"> required</w:t>
      </w:r>
      <w:r>
        <w:rPr>
          <w:color w:val="221F1F"/>
          <w:spacing w:val="-7"/>
        </w:rPr>
        <w:t xml:space="preserve"> </w:t>
      </w:r>
      <w:r>
        <w:rPr>
          <w:color w:val="221F1F"/>
        </w:rPr>
        <w:t>in</w:t>
      </w:r>
      <w:r>
        <w:rPr>
          <w:color w:val="221F1F"/>
          <w:spacing w:val="-9"/>
        </w:rPr>
        <w:t xml:space="preserve"> </w:t>
      </w:r>
      <w:r>
        <w:rPr>
          <w:color w:val="221F1F"/>
        </w:rPr>
        <w:t>the</w:t>
      </w:r>
      <w:r>
        <w:rPr>
          <w:color w:val="221F1F"/>
          <w:spacing w:val="-7"/>
        </w:rPr>
        <w:t xml:space="preserve"> </w:t>
      </w:r>
      <w:r>
        <w:rPr>
          <w:b/>
          <w:color w:val="221F1F"/>
        </w:rPr>
        <w:t>TDS</w:t>
      </w:r>
      <w:r>
        <w:rPr>
          <w:b/>
          <w:color w:val="221F1F"/>
          <w:spacing w:val="-8"/>
        </w:rPr>
        <w:t xml:space="preserve"> </w:t>
      </w:r>
      <w:r>
        <w:rPr>
          <w:color w:val="221F1F"/>
        </w:rPr>
        <w:t>or</w:t>
      </w:r>
      <w:r>
        <w:rPr>
          <w:color w:val="221F1F"/>
          <w:spacing w:val="-6"/>
        </w:rPr>
        <w:t xml:space="preserve"> </w:t>
      </w:r>
      <w:r>
        <w:rPr>
          <w:color w:val="221F1F"/>
        </w:rPr>
        <w:t>sign</w:t>
      </w:r>
      <w:r>
        <w:rPr>
          <w:color w:val="221F1F"/>
          <w:spacing w:val="-9"/>
        </w:rPr>
        <w:t xml:space="preserve"> </w:t>
      </w:r>
      <w:r>
        <w:rPr>
          <w:color w:val="221F1F"/>
        </w:rPr>
        <w:t>the</w:t>
      </w:r>
      <w:r>
        <w:rPr>
          <w:color w:val="221F1F"/>
          <w:spacing w:val="-7"/>
        </w:rPr>
        <w:t xml:space="preserve"> </w:t>
      </w:r>
      <w:r>
        <w:rPr>
          <w:color w:val="221F1F"/>
        </w:rPr>
        <w:t>Contract</w:t>
      </w:r>
      <w:r>
        <w:rPr>
          <w:color w:val="221F1F"/>
          <w:spacing w:val="-8"/>
        </w:rPr>
        <w:t xml:space="preserve"> </w:t>
      </w:r>
      <w:r>
        <w:rPr>
          <w:color w:val="221F1F"/>
        </w:rPr>
        <w:t>shall</w:t>
      </w:r>
      <w:r>
        <w:rPr>
          <w:color w:val="221F1F"/>
          <w:spacing w:val="-8"/>
        </w:rPr>
        <w:t xml:space="preserve"> </w:t>
      </w:r>
      <w:r>
        <w:rPr>
          <w:color w:val="221F1F"/>
        </w:rPr>
        <w:t>constitute</w:t>
      </w:r>
      <w:r>
        <w:rPr>
          <w:color w:val="221F1F"/>
          <w:spacing w:val="-8"/>
        </w:rPr>
        <w:t xml:space="preserve"> </w:t>
      </w:r>
      <w:r>
        <w:rPr>
          <w:color w:val="221F1F"/>
        </w:rPr>
        <w:t>sufficient</w:t>
      </w:r>
      <w:r>
        <w:rPr>
          <w:color w:val="221F1F"/>
          <w:spacing w:val="-6"/>
        </w:rPr>
        <w:t xml:space="preserve"> </w:t>
      </w:r>
      <w:r>
        <w:rPr>
          <w:color w:val="221F1F"/>
        </w:rPr>
        <w:t>grounds</w:t>
      </w:r>
      <w:r>
        <w:rPr>
          <w:color w:val="221F1F"/>
          <w:spacing w:val="-6"/>
        </w:rPr>
        <w:t xml:space="preserve"> </w:t>
      </w:r>
      <w:r>
        <w:rPr>
          <w:color w:val="221F1F"/>
        </w:rPr>
        <w:t>for</w:t>
      </w:r>
      <w:r>
        <w:rPr>
          <w:color w:val="221F1F"/>
          <w:spacing w:val="-6"/>
        </w:rPr>
        <w:t xml:space="preserve"> </w:t>
      </w:r>
      <w:r>
        <w:rPr>
          <w:color w:val="221F1F"/>
        </w:rPr>
        <w:t>the</w:t>
      </w:r>
      <w:r>
        <w:rPr>
          <w:color w:val="221F1F"/>
          <w:spacing w:val="-6"/>
        </w:rPr>
        <w:t xml:space="preserve"> </w:t>
      </w:r>
      <w:r>
        <w:rPr>
          <w:color w:val="221F1F"/>
        </w:rPr>
        <w:t>annulment</w:t>
      </w:r>
      <w:r>
        <w:rPr>
          <w:color w:val="221F1F"/>
          <w:spacing w:val="-5"/>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award</w:t>
      </w:r>
      <w:r>
        <w:rPr>
          <w:color w:val="221F1F"/>
          <w:spacing w:val="-7"/>
        </w:rPr>
        <w:t xml:space="preserve"> </w:t>
      </w:r>
      <w:r>
        <w:rPr>
          <w:color w:val="221F1F"/>
        </w:rPr>
        <w:t>and forfeiture of the Tender Security. In that event the Procuring Entity may award the Contract to the Tenderer offering the next Best Evaluated Tender.</w:t>
      </w:r>
    </w:p>
    <w:p w:rsidR="007F6DF9" w:rsidRDefault="00A43FBC">
      <w:pPr>
        <w:pStyle w:val="ListParagraph"/>
        <w:numPr>
          <w:ilvl w:val="1"/>
          <w:numId w:val="193"/>
        </w:numPr>
        <w:tabs>
          <w:tab w:val="left" w:pos="1416"/>
          <w:tab w:val="left" w:pos="1421"/>
        </w:tabs>
        <w:spacing w:before="245" w:line="230" w:lineRule="auto"/>
        <w:ind w:left="1421" w:right="877" w:hanging="565"/>
        <w:rPr>
          <w:b/>
          <w:color w:val="221F1F"/>
        </w:rPr>
      </w:pPr>
      <w:r>
        <w:rPr>
          <w:color w:val="221F1F"/>
        </w:rPr>
        <w:t>Performance</w:t>
      </w:r>
      <w:r>
        <w:rPr>
          <w:color w:val="221F1F"/>
          <w:spacing w:val="-2"/>
        </w:rPr>
        <w:t xml:space="preserve"> </w:t>
      </w:r>
      <w:r>
        <w:rPr>
          <w:color w:val="221F1F"/>
        </w:rPr>
        <w:t>security</w:t>
      </w:r>
      <w:r>
        <w:rPr>
          <w:color w:val="221F1F"/>
          <w:spacing w:val="-2"/>
        </w:rPr>
        <w:t xml:space="preserve"> </w:t>
      </w:r>
      <w:r>
        <w:rPr>
          <w:color w:val="221F1F"/>
        </w:rPr>
        <w:t>shall</w:t>
      </w:r>
      <w:r>
        <w:rPr>
          <w:color w:val="221F1F"/>
          <w:spacing w:val="-4"/>
        </w:rPr>
        <w:t xml:space="preserve"> </w:t>
      </w:r>
      <w:r>
        <w:rPr>
          <w:color w:val="221F1F"/>
        </w:rPr>
        <w:t>not</w:t>
      </w:r>
      <w:r>
        <w:rPr>
          <w:color w:val="221F1F"/>
          <w:spacing w:val="-1"/>
        </w:rPr>
        <w:t xml:space="preserve"> </w:t>
      </w:r>
      <w:r>
        <w:rPr>
          <w:color w:val="221F1F"/>
        </w:rPr>
        <w:t>be</w:t>
      </w:r>
      <w:r>
        <w:rPr>
          <w:color w:val="221F1F"/>
          <w:spacing w:val="-4"/>
        </w:rPr>
        <w:t xml:space="preserve"> </w:t>
      </w:r>
      <w:r>
        <w:rPr>
          <w:color w:val="221F1F"/>
        </w:rPr>
        <w:t>required</w:t>
      </w:r>
      <w:r>
        <w:rPr>
          <w:color w:val="221F1F"/>
          <w:spacing w:val="-4"/>
        </w:rPr>
        <w:t xml:space="preserve"> </w:t>
      </w:r>
      <w:r>
        <w:rPr>
          <w:color w:val="221F1F"/>
        </w:rPr>
        <w:t>for</w:t>
      </w:r>
      <w:r>
        <w:rPr>
          <w:color w:val="221F1F"/>
          <w:spacing w:val="-4"/>
        </w:rPr>
        <w:t xml:space="preserve"> </w:t>
      </w:r>
      <w:r>
        <w:rPr>
          <w:color w:val="221F1F"/>
        </w:rPr>
        <w:t>contracts</w:t>
      </w:r>
      <w:r>
        <w:rPr>
          <w:color w:val="221F1F"/>
          <w:spacing w:val="-2"/>
        </w:rPr>
        <w:t xml:space="preserve"> </w:t>
      </w:r>
      <w:r>
        <w:rPr>
          <w:color w:val="221F1F"/>
        </w:rPr>
        <w:t>estimated</w:t>
      </w:r>
      <w:r>
        <w:rPr>
          <w:color w:val="221F1F"/>
          <w:spacing w:val="-4"/>
        </w:rPr>
        <w:t xml:space="preserve"> </w:t>
      </w:r>
      <w:r>
        <w:rPr>
          <w:color w:val="221F1F"/>
        </w:rPr>
        <w:t>to</w:t>
      </w:r>
      <w:r>
        <w:rPr>
          <w:color w:val="221F1F"/>
          <w:spacing w:val="-2"/>
        </w:rPr>
        <w:t xml:space="preserve"> </w:t>
      </w:r>
      <w:r>
        <w:rPr>
          <w:color w:val="221F1F"/>
        </w:rPr>
        <w:t>cost</w:t>
      </w:r>
      <w:r>
        <w:rPr>
          <w:color w:val="221F1F"/>
          <w:spacing w:val="-3"/>
        </w:rPr>
        <w:t xml:space="preserve"> </w:t>
      </w:r>
      <w:r>
        <w:rPr>
          <w:color w:val="221F1F"/>
        </w:rPr>
        <w:t>less</w:t>
      </w:r>
      <w:r>
        <w:rPr>
          <w:color w:val="221F1F"/>
          <w:spacing w:val="-1"/>
        </w:rPr>
        <w:t xml:space="preserve"> </w:t>
      </w:r>
      <w:r>
        <w:rPr>
          <w:color w:val="221F1F"/>
        </w:rPr>
        <w:t>than</w:t>
      </w:r>
      <w:r>
        <w:rPr>
          <w:color w:val="221F1F"/>
          <w:spacing w:val="-4"/>
        </w:rPr>
        <w:t xml:space="preserve"> </w:t>
      </w:r>
      <w:r>
        <w:rPr>
          <w:color w:val="221F1F"/>
        </w:rPr>
        <w:t>the</w:t>
      </w:r>
      <w:r>
        <w:rPr>
          <w:color w:val="221F1F"/>
          <w:spacing w:val="-2"/>
        </w:rPr>
        <w:t xml:space="preserve"> </w:t>
      </w:r>
      <w:r>
        <w:rPr>
          <w:color w:val="221F1F"/>
        </w:rPr>
        <w:t>amount</w:t>
      </w:r>
      <w:r>
        <w:rPr>
          <w:color w:val="221F1F"/>
          <w:spacing w:val="-4"/>
        </w:rPr>
        <w:t xml:space="preserve"> </w:t>
      </w:r>
      <w:r>
        <w:rPr>
          <w:color w:val="221F1F"/>
        </w:rPr>
        <w:t>specified</w:t>
      </w:r>
      <w:r>
        <w:rPr>
          <w:color w:val="221F1F"/>
          <w:spacing w:val="-5"/>
        </w:rPr>
        <w:t xml:space="preserve"> </w:t>
      </w:r>
      <w:proofErr w:type="spellStart"/>
      <w:r>
        <w:rPr>
          <w:color w:val="221F1F"/>
        </w:rPr>
        <w:t>inthe</w:t>
      </w:r>
      <w:proofErr w:type="spellEnd"/>
      <w:r>
        <w:rPr>
          <w:color w:val="221F1F"/>
        </w:rPr>
        <w:t xml:space="preserve"> </w:t>
      </w:r>
      <w:r>
        <w:rPr>
          <w:color w:val="221F1F"/>
          <w:spacing w:val="-2"/>
        </w:rPr>
        <w:t>Regulations.</w:t>
      </w:r>
    </w:p>
    <w:p w:rsidR="007F6DF9" w:rsidRDefault="00A43FBC">
      <w:pPr>
        <w:pStyle w:val="Heading9"/>
        <w:numPr>
          <w:ilvl w:val="0"/>
          <w:numId w:val="193"/>
        </w:numPr>
        <w:tabs>
          <w:tab w:val="left" w:pos="1413"/>
        </w:tabs>
        <w:spacing w:before="237"/>
        <w:ind w:left="1413" w:hanging="557"/>
      </w:pPr>
      <w:bookmarkStart w:id="49" w:name="_bookmark48"/>
      <w:bookmarkEnd w:id="49"/>
      <w:r>
        <w:rPr>
          <w:color w:val="221F1F"/>
        </w:rPr>
        <w:t>Publication</w:t>
      </w:r>
      <w:r>
        <w:rPr>
          <w:color w:val="221F1F"/>
          <w:spacing w:val="-4"/>
        </w:rPr>
        <w:t xml:space="preserve"> </w:t>
      </w:r>
      <w:r>
        <w:rPr>
          <w:color w:val="221F1F"/>
        </w:rPr>
        <w:t>of</w:t>
      </w:r>
      <w:r>
        <w:rPr>
          <w:color w:val="221F1F"/>
          <w:spacing w:val="-6"/>
        </w:rPr>
        <w:t xml:space="preserve"> </w:t>
      </w:r>
      <w:r>
        <w:rPr>
          <w:color w:val="221F1F"/>
        </w:rPr>
        <w:t>Procurement</w:t>
      </w:r>
      <w:r>
        <w:rPr>
          <w:color w:val="221F1F"/>
          <w:spacing w:val="-2"/>
        </w:rPr>
        <w:t xml:space="preserve"> Contract</w:t>
      </w:r>
    </w:p>
    <w:p w:rsidR="007F6DF9" w:rsidRDefault="00A43FBC">
      <w:pPr>
        <w:pStyle w:val="BodyText"/>
        <w:spacing w:before="242" w:line="230" w:lineRule="auto"/>
        <w:ind w:left="1418" w:right="846" w:hanging="5"/>
        <w:jc w:val="both"/>
      </w:pPr>
      <w:r>
        <w:rPr>
          <w:color w:val="221F1F"/>
        </w:rPr>
        <w:t>Within fourteen days after signing the contract, the Procuring Entity shall publish the awarded contract at its notice</w:t>
      </w:r>
      <w:r>
        <w:rPr>
          <w:color w:val="221F1F"/>
          <w:spacing w:val="-4"/>
        </w:rPr>
        <w:t xml:space="preserve"> </w:t>
      </w:r>
      <w:r>
        <w:rPr>
          <w:color w:val="221F1F"/>
        </w:rPr>
        <w:t>boards</w:t>
      </w:r>
      <w:r>
        <w:rPr>
          <w:color w:val="221F1F"/>
          <w:spacing w:val="-4"/>
        </w:rPr>
        <w:t xml:space="preserve"> </w:t>
      </w:r>
      <w:r>
        <w:rPr>
          <w:color w:val="221F1F"/>
        </w:rPr>
        <w:t>and</w:t>
      </w:r>
      <w:r>
        <w:rPr>
          <w:color w:val="221F1F"/>
          <w:spacing w:val="-2"/>
        </w:rPr>
        <w:t xml:space="preserve"> </w:t>
      </w:r>
      <w:r>
        <w:rPr>
          <w:color w:val="221F1F"/>
        </w:rPr>
        <w:t>websites;</w:t>
      </w:r>
      <w:r>
        <w:rPr>
          <w:color w:val="221F1F"/>
          <w:spacing w:val="-3"/>
        </w:rPr>
        <w:t xml:space="preserve"> </w:t>
      </w:r>
      <w:r>
        <w:rPr>
          <w:color w:val="221F1F"/>
        </w:rPr>
        <w:t>and</w:t>
      </w:r>
      <w:r>
        <w:rPr>
          <w:color w:val="221F1F"/>
          <w:spacing w:val="-4"/>
        </w:rPr>
        <w:t xml:space="preserve"> </w:t>
      </w:r>
      <w:r>
        <w:rPr>
          <w:color w:val="221F1F"/>
        </w:rPr>
        <w:t>on</w:t>
      </w:r>
      <w:r>
        <w:rPr>
          <w:color w:val="221F1F"/>
          <w:spacing w:val="-5"/>
        </w:rPr>
        <w:t xml:space="preserve"> </w:t>
      </w:r>
      <w:r>
        <w:rPr>
          <w:color w:val="221F1F"/>
        </w:rPr>
        <w:t>the</w:t>
      </w:r>
      <w:r>
        <w:rPr>
          <w:color w:val="221F1F"/>
          <w:spacing w:val="-3"/>
        </w:rPr>
        <w:t xml:space="preserve"> </w:t>
      </w:r>
      <w:r>
        <w:rPr>
          <w:color w:val="221F1F"/>
        </w:rPr>
        <w:t>Website</w:t>
      </w:r>
      <w:r>
        <w:rPr>
          <w:color w:val="221F1F"/>
          <w:spacing w:val="-9"/>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Authority.</w:t>
      </w:r>
      <w:r>
        <w:rPr>
          <w:color w:val="221F1F"/>
          <w:spacing w:val="-2"/>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minimum,</w:t>
      </w:r>
      <w:r>
        <w:rPr>
          <w:color w:val="221F1F"/>
          <w:spacing w:val="-2"/>
        </w:rPr>
        <w:t xml:space="preserve"> </w:t>
      </w:r>
      <w:r>
        <w:rPr>
          <w:color w:val="221F1F"/>
        </w:rPr>
        <w:t>the</w:t>
      </w:r>
      <w:r>
        <w:rPr>
          <w:color w:val="221F1F"/>
          <w:spacing w:val="-4"/>
        </w:rPr>
        <w:t xml:space="preserve"> </w:t>
      </w:r>
      <w:r>
        <w:rPr>
          <w:color w:val="221F1F"/>
        </w:rPr>
        <w:t>notice</w:t>
      </w:r>
      <w:r>
        <w:rPr>
          <w:color w:val="221F1F"/>
          <w:spacing w:val="-2"/>
        </w:rPr>
        <w:t xml:space="preserve"> </w:t>
      </w:r>
      <w:r>
        <w:rPr>
          <w:color w:val="221F1F"/>
        </w:rPr>
        <w:t>shall</w:t>
      </w:r>
      <w:r>
        <w:rPr>
          <w:color w:val="221F1F"/>
          <w:spacing w:val="-4"/>
        </w:rPr>
        <w:t xml:space="preserve"> </w:t>
      </w:r>
      <w:r>
        <w:rPr>
          <w:color w:val="221F1F"/>
        </w:rPr>
        <w:t>contain the following information:</w:t>
      </w:r>
    </w:p>
    <w:p w:rsidR="007F6DF9" w:rsidRDefault="00A43FBC">
      <w:pPr>
        <w:pStyle w:val="ListParagraph"/>
        <w:numPr>
          <w:ilvl w:val="0"/>
          <w:numId w:val="191"/>
        </w:numPr>
        <w:tabs>
          <w:tab w:val="left" w:pos="1874"/>
        </w:tabs>
        <w:spacing w:before="41"/>
        <w:ind w:hanging="460"/>
      </w:pPr>
      <w:r>
        <w:rPr>
          <w:color w:val="221F1F"/>
        </w:rPr>
        <w:t>name</w:t>
      </w:r>
      <w:r>
        <w:rPr>
          <w:color w:val="221F1F"/>
          <w:spacing w:val="-4"/>
        </w:rPr>
        <w:t xml:space="preserve"> </w:t>
      </w:r>
      <w:r>
        <w:rPr>
          <w:color w:val="221F1F"/>
        </w:rPr>
        <w:t>and</w:t>
      </w:r>
      <w:r>
        <w:rPr>
          <w:color w:val="221F1F"/>
          <w:spacing w:val="-3"/>
        </w:rPr>
        <w:t xml:space="preserve"> </w:t>
      </w:r>
      <w:r>
        <w:rPr>
          <w:color w:val="221F1F"/>
        </w:rPr>
        <w:t>address</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spacing w:val="-2"/>
        </w:rPr>
        <w:t>Entity;</w:t>
      </w:r>
    </w:p>
    <w:p w:rsidR="007F6DF9" w:rsidRDefault="00A43FBC">
      <w:pPr>
        <w:pStyle w:val="ListParagraph"/>
        <w:numPr>
          <w:ilvl w:val="0"/>
          <w:numId w:val="191"/>
        </w:numPr>
        <w:tabs>
          <w:tab w:val="left" w:pos="1874"/>
          <w:tab w:val="left" w:pos="1882"/>
        </w:tabs>
        <w:spacing w:before="50" w:line="230" w:lineRule="auto"/>
        <w:ind w:left="1882" w:right="1239" w:hanging="468"/>
      </w:pPr>
      <w:r>
        <w:rPr>
          <w:color w:val="221F1F"/>
        </w:rPr>
        <w:t>name</w:t>
      </w:r>
      <w:r>
        <w:rPr>
          <w:color w:val="221F1F"/>
          <w:spacing w:val="-3"/>
        </w:rPr>
        <w:t xml:space="preserve"> </w:t>
      </w:r>
      <w:r>
        <w:rPr>
          <w:color w:val="221F1F"/>
        </w:rPr>
        <w:t>and</w:t>
      </w:r>
      <w:r>
        <w:rPr>
          <w:color w:val="221F1F"/>
          <w:spacing w:val="-3"/>
        </w:rPr>
        <w:t xml:space="preserve"> </w:t>
      </w:r>
      <w:r>
        <w:rPr>
          <w:color w:val="221F1F"/>
        </w:rPr>
        <w:t>reference</w:t>
      </w:r>
      <w:r>
        <w:rPr>
          <w:color w:val="221F1F"/>
          <w:spacing w:val="-3"/>
        </w:rPr>
        <w:t xml:space="preserve"> </w:t>
      </w:r>
      <w:r>
        <w:rPr>
          <w:color w:val="221F1F"/>
        </w:rPr>
        <w:t>number</w:t>
      </w:r>
      <w:r>
        <w:rPr>
          <w:color w:val="221F1F"/>
          <w:spacing w:val="-2"/>
        </w:rPr>
        <w:t xml:space="preserve"> </w:t>
      </w:r>
      <w:r>
        <w:rPr>
          <w:color w:val="221F1F"/>
        </w:rPr>
        <w:t>of the</w:t>
      </w:r>
      <w:r>
        <w:rPr>
          <w:color w:val="221F1F"/>
          <w:spacing w:val="-1"/>
        </w:rPr>
        <w:t xml:space="preserve"> </w:t>
      </w:r>
      <w:r>
        <w:rPr>
          <w:color w:val="221F1F"/>
        </w:rPr>
        <w:t>contract being</w:t>
      </w:r>
      <w:r>
        <w:rPr>
          <w:color w:val="221F1F"/>
          <w:spacing w:val="-1"/>
        </w:rPr>
        <w:t xml:space="preserve"> </w:t>
      </w:r>
      <w:r>
        <w:rPr>
          <w:color w:val="221F1F"/>
        </w:rPr>
        <w:t>awarded,</w:t>
      </w:r>
      <w:r>
        <w:rPr>
          <w:color w:val="221F1F"/>
          <w:spacing w:val="-1"/>
        </w:rPr>
        <w:t xml:space="preserve"> </w:t>
      </w:r>
      <w:r>
        <w:rPr>
          <w:color w:val="221F1F"/>
        </w:rPr>
        <w:t>a</w:t>
      </w:r>
      <w:r>
        <w:rPr>
          <w:color w:val="221F1F"/>
          <w:spacing w:val="-3"/>
        </w:rPr>
        <w:t xml:space="preserve"> </w:t>
      </w:r>
      <w:r>
        <w:rPr>
          <w:color w:val="221F1F"/>
        </w:rPr>
        <w:t>summary</w:t>
      </w:r>
      <w:r>
        <w:rPr>
          <w:color w:val="221F1F"/>
          <w:spacing w:val="-1"/>
        </w:rPr>
        <w:t xml:space="preserve"> </w:t>
      </w:r>
      <w:r>
        <w:rPr>
          <w:color w:val="221F1F"/>
        </w:rPr>
        <w:t>of its</w:t>
      </w:r>
      <w:r>
        <w:rPr>
          <w:color w:val="221F1F"/>
          <w:spacing w:val="-3"/>
        </w:rPr>
        <w:t xml:space="preserve"> </w:t>
      </w:r>
      <w:r>
        <w:rPr>
          <w:color w:val="221F1F"/>
        </w:rPr>
        <w:t>scope</w:t>
      </w:r>
      <w:r>
        <w:rPr>
          <w:color w:val="221F1F"/>
          <w:spacing w:val="-2"/>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selection method used;</w:t>
      </w:r>
    </w:p>
    <w:p w:rsidR="007F6DF9" w:rsidRDefault="00A43FBC">
      <w:pPr>
        <w:pStyle w:val="ListParagraph"/>
        <w:numPr>
          <w:ilvl w:val="0"/>
          <w:numId w:val="191"/>
        </w:numPr>
        <w:tabs>
          <w:tab w:val="left" w:pos="1874"/>
        </w:tabs>
        <w:spacing w:before="42"/>
        <w:ind w:hanging="460"/>
      </w:pPr>
      <w:r>
        <w:rPr>
          <w:color w:val="221F1F"/>
        </w:rPr>
        <w:t>the</w:t>
      </w:r>
      <w:r>
        <w:rPr>
          <w:color w:val="221F1F"/>
          <w:spacing w:val="-6"/>
        </w:rPr>
        <w:t xml:space="preserve"> </w:t>
      </w:r>
      <w:r>
        <w:rPr>
          <w:color w:val="221F1F"/>
        </w:rPr>
        <w:t>name</w:t>
      </w:r>
      <w:r>
        <w:rPr>
          <w:color w:val="221F1F"/>
          <w:spacing w:val="-6"/>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successful</w:t>
      </w:r>
      <w:r>
        <w:rPr>
          <w:color w:val="221F1F"/>
          <w:spacing w:val="-6"/>
        </w:rPr>
        <w:t xml:space="preserve"> </w:t>
      </w:r>
      <w:r>
        <w:rPr>
          <w:color w:val="221F1F"/>
        </w:rPr>
        <w:t>Tenderer,</w:t>
      </w:r>
      <w:r>
        <w:rPr>
          <w:color w:val="221F1F"/>
          <w:spacing w:val="-10"/>
        </w:rPr>
        <w:t xml:space="preserve"> </w:t>
      </w:r>
      <w:r>
        <w:rPr>
          <w:color w:val="221F1F"/>
        </w:rPr>
        <w:t>the</w:t>
      </w:r>
      <w:r>
        <w:rPr>
          <w:color w:val="221F1F"/>
          <w:spacing w:val="-6"/>
        </w:rPr>
        <w:t xml:space="preserve"> </w:t>
      </w:r>
      <w:r>
        <w:rPr>
          <w:color w:val="221F1F"/>
        </w:rPr>
        <w:t>final</w:t>
      </w:r>
      <w:r>
        <w:rPr>
          <w:color w:val="221F1F"/>
          <w:spacing w:val="-7"/>
        </w:rPr>
        <w:t xml:space="preserve"> </w:t>
      </w:r>
      <w:r>
        <w:rPr>
          <w:color w:val="221F1F"/>
        </w:rPr>
        <w:t>total</w:t>
      </w:r>
      <w:r>
        <w:rPr>
          <w:color w:val="221F1F"/>
          <w:spacing w:val="-7"/>
        </w:rPr>
        <w:t xml:space="preserve"> </w:t>
      </w:r>
      <w:r>
        <w:rPr>
          <w:color w:val="221F1F"/>
        </w:rPr>
        <w:t>contract</w:t>
      </w:r>
      <w:r>
        <w:rPr>
          <w:color w:val="221F1F"/>
          <w:spacing w:val="-4"/>
        </w:rPr>
        <w:t xml:space="preserve"> </w:t>
      </w:r>
      <w:r>
        <w:rPr>
          <w:color w:val="221F1F"/>
        </w:rPr>
        <w:t>price,</w:t>
      </w:r>
      <w:r>
        <w:rPr>
          <w:color w:val="221F1F"/>
          <w:spacing w:val="-8"/>
        </w:rPr>
        <w:t xml:space="preserve"> </w:t>
      </w:r>
      <w:r>
        <w:rPr>
          <w:color w:val="221F1F"/>
        </w:rPr>
        <w:t>the</w:t>
      </w:r>
      <w:r>
        <w:rPr>
          <w:color w:val="221F1F"/>
          <w:spacing w:val="-7"/>
        </w:rPr>
        <w:t xml:space="preserve"> </w:t>
      </w:r>
      <w:r>
        <w:rPr>
          <w:color w:val="221F1F"/>
        </w:rPr>
        <w:t>contract</w:t>
      </w:r>
      <w:r>
        <w:rPr>
          <w:color w:val="221F1F"/>
          <w:spacing w:val="-4"/>
        </w:rPr>
        <w:t xml:space="preserve"> </w:t>
      </w:r>
      <w:r>
        <w:rPr>
          <w:color w:val="221F1F"/>
          <w:spacing w:val="-2"/>
        </w:rPr>
        <w:t>duration;</w:t>
      </w:r>
    </w:p>
    <w:p w:rsidR="007F6DF9" w:rsidRDefault="00A43FBC">
      <w:pPr>
        <w:pStyle w:val="ListParagraph"/>
        <w:numPr>
          <w:ilvl w:val="0"/>
          <w:numId w:val="191"/>
        </w:numPr>
        <w:tabs>
          <w:tab w:val="left" w:pos="1874"/>
        </w:tabs>
        <w:spacing w:before="37"/>
        <w:ind w:hanging="460"/>
      </w:pPr>
      <w:r>
        <w:rPr>
          <w:color w:val="221F1F"/>
        </w:rPr>
        <w:t>dates</w:t>
      </w:r>
      <w:r>
        <w:rPr>
          <w:color w:val="221F1F"/>
          <w:spacing w:val="-4"/>
        </w:rPr>
        <w:t xml:space="preserve"> </w:t>
      </w:r>
      <w:r>
        <w:rPr>
          <w:color w:val="221F1F"/>
        </w:rPr>
        <w:t>of</w:t>
      </w:r>
      <w:r>
        <w:rPr>
          <w:color w:val="221F1F"/>
          <w:spacing w:val="-5"/>
        </w:rPr>
        <w:t xml:space="preserve"> </w:t>
      </w:r>
      <w:r>
        <w:rPr>
          <w:color w:val="221F1F"/>
        </w:rPr>
        <w:t>signature,</w:t>
      </w:r>
      <w:r>
        <w:rPr>
          <w:color w:val="221F1F"/>
          <w:spacing w:val="-5"/>
        </w:rPr>
        <w:t xml:space="preserve"> </w:t>
      </w:r>
      <w:r>
        <w:rPr>
          <w:color w:val="221F1F"/>
        </w:rPr>
        <w:t>commencement</w:t>
      </w:r>
      <w:r>
        <w:rPr>
          <w:color w:val="221F1F"/>
          <w:spacing w:val="-3"/>
        </w:rPr>
        <w:t xml:space="preserve"> </w:t>
      </w:r>
      <w:r>
        <w:rPr>
          <w:color w:val="221F1F"/>
        </w:rPr>
        <w:t>and</w:t>
      </w:r>
      <w:r>
        <w:rPr>
          <w:color w:val="221F1F"/>
          <w:spacing w:val="-3"/>
        </w:rPr>
        <w:t xml:space="preserve"> </w:t>
      </w:r>
      <w:r>
        <w:rPr>
          <w:color w:val="221F1F"/>
        </w:rPr>
        <w:t>completion</w:t>
      </w:r>
      <w:r>
        <w:rPr>
          <w:color w:val="221F1F"/>
          <w:spacing w:val="-2"/>
        </w:rPr>
        <w:t xml:space="preserve"> </w:t>
      </w:r>
      <w:r>
        <w:rPr>
          <w:color w:val="221F1F"/>
        </w:rPr>
        <w:t>of</w:t>
      </w:r>
      <w:r>
        <w:rPr>
          <w:color w:val="221F1F"/>
          <w:spacing w:val="-5"/>
        </w:rPr>
        <w:t xml:space="preserve"> </w:t>
      </w:r>
      <w:r>
        <w:rPr>
          <w:color w:val="221F1F"/>
          <w:spacing w:val="-2"/>
        </w:rPr>
        <w:t>contract;</w:t>
      </w:r>
    </w:p>
    <w:p w:rsidR="007F6DF9" w:rsidRDefault="00A43FBC">
      <w:pPr>
        <w:pStyle w:val="ListParagraph"/>
        <w:numPr>
          <w:ilvl w:val="0"/>
          <w:numId w:val="191"/>
        </w:numPr>
        <w:tabs>
          <w:tab w:val="left" w:pos="1874"/>
        </w:tabs>
        <w:spacing w:before="40"/>
        <w:ind w:hanging="460"/>
      </w:pPr>
      <w:r>
        <w:rPr>
          <w:color w:val="221F1F"/>
        </w:rPr>
        <w:t>names</w:t>
      </w:r>
      <w:r>
        <w:rPr>
          <w:color w:val="221F1F"/>
          <w:spacing w:val="-6"/>
        </w:rPr>
        <w:t xml:space="preserve"> </w:t>
      </w:r>
      <w:r>
        <w:rPr>
          <w:color w:val="221F1F"/>
        </w:rPr>
        <w:t>of</w:t>
      </w:r>
      <w:r>
        <w:rPr>
          <w:color w:val="221F1F"/>
          <w:spacing w:val="-4"/>
        </w:rPr>
        <w:t xml:space="preserve"> </w:t>
      </w:r>
      <w:r>
        <w:rPr>
          <w:color w:val="221F1F"/>
        </w:rPr>
        <w:t>all</w:t>
      </w:r>
      <w:r>
        <w:rPr>
          <w:color w:val="221F1F"/>
          <w:spacing w:val="-5"/>
        </w:rPr>
        <w:t xml:space="preserve"> </w:t>
      </w:r>
      <w:r>
        <w:rPr>
          <w:color w:val="221F1F"/>
        </w:rPr>
        <w:t>Tenderers</w:t>
      </w:r>
      <w:r>
        <w:rPr>
          <w:color w:val="221F1F"/>
          <w:spacing w:val="-5"/>
        </w:rPr>
        <w:t xml:space="preserve"> </w:t>
      </w:r>
      <w:r>
        <w:rPr>
          <w:color w:val="221F1F"/>
        </w:rPr>
        <w:t>that</w:t>
      </w:r>
      <w:r>
        <w:rPr>
          <w:color w:val="221F1F"/>
          <w:spacing w:val="-6"/>
        </w:rPr>
        <w:t xml:space="preserve"> </w:t>
      </w:r>
      <w:r>
        <w:rPr>
          <w:color w:val="221F1F"/>
        </w:rPr>
        <w:t>submitted</w:t>
      </w:r>
      <w:r>
        <w:rPr>
          <w:color w:val="221F1F"/>
          <w:spacing w:val="-5"/>
        </w:rPr>
        <w:t xml:space="preserve"> </w:t>
      </w:r>
      <w:r>
        <w:rPr>
          <w:color w:val="221F1F"/>
        </w:rPr>
        <w:t>Tenders,</w:t>
      </w:r>
      <w:r>
        <w:rPr>
          <w:color w:val="221F1F"/>
          <w:spacing w:val="-8"/>
        </w:rPr>
        <w:t xml:space="preserve"> </w:t>
      </w:r>
      <w:r>
        <w:rPr>
          <w:color w:val="221F1F"/>
        </w:rPr>
        <w:t>and</w:t>
      </w:r>
      <w:r>
        <w:rPr>
          <w:color w:val="221F1F"/>
          <w:spacing w:val="-7"/>
        </w:rPr>
        <w:t xml:space="preserve"> </w:t>
      </w:r>
      <w:r>
        <w:rPr>
          <w:color w:val="221F1F"/>
        </w:rPr>
        <w:t>their</w:t>
      </w:r>
      <w:r>
        <w:rPr>
          <w:color w:val="221F1F"/>
          <w:spacing w:val="-4"/>
        </w:rPr>
        <w:t xml:space="preserve"> </w:t>
      </w:r>
      <w:r>
        <w:rPr>
          <w:color w:val="221F1F"/>
        </w:rPr>
        <w:t>Tender</w:t>
      </w:r>
      <w:r>
        <w:rPr>
          <w:color w:val="221F1F"/>
          <w:spacing w:val="-12"/>
        </w:rPr>
        <w:t xml:space="preserve"> </w:t>
      </w:r>
      <w:r>
        <w:rPr>
          <w:color w:val="221F1F"/>
        </w:rPr>
        <w:t>prices</w:t>
      </w:r>
      <w:r>
        <w:rPr>
          <w:color w:val="221F1F"/>
          <w:spacing w:val="-5"/>
        </w:rPr>
        <w:t xml:space="preserve"> </w:t>
      </w:r>
      <w:r>
        <w:rPr>
          <w:color w:val="221F1F"/>
        </w:rPr>
        <w:t>as</w:t>
      </w:r>
      <w:r>
        <w:rPr>
          <w:color w:val="221F1F"/>
          <w:spacing w:val="-5"/>
        </w:rPr>
        <w:t xml:space="preserve"> </w:t>
      </w:r>
      <w:r>
        <w:rPr>
          <w:color w:val="221F1F"/>
        </w:rPr>
        <w:t>readout</w:t>
      </w:r>
      <w:r>
        <w:rPr>
          <w:color w:val="221F1F"/>
          <w:spacing w:val="-4"/>
        </w:rPr>
        <w:t xml:space="preserve"> </w:t>
      </w:r>
      <w:r>
        <w:rPr>
          <w:color w:val="221F1F"/>
        </w:rPr>
        <w:t>at</w:t>
      </w:r>
      <w:r>
        <w:rPr>
          <w:color w:val="221F1F"/>
          <w:spacing w:val="-4"/>
        </w:rPr>
        <w:t xml:space="preserve"> </w:t>
      </w:r>
      <w:r>
        <w:rPr>
          <w:color w:val="221F1F"/>
        </w:rPr>
        <w:t>Tender</w:t>
      </w:r>
      <w:r>
        <w:rPr>
          <w:color w:val="221F1F"/>
          <w:spacing w:val="-9"/>
        </w:rPr>
        <w:t xml:space="preserve"> </w:t>
      </w:r>
      <w:r>
        <w:rPr>
          <w:color w:val="221F1F"/>
          <w:spacing w:val="-2"/>
        </w:rPr>
        <w:t>opening.</w:t>
      </w:r>
    </w:p>
    <w:p w:rsidR="007F6DF9" w:rsidRDefault="007F6DF9">
      <w:pPr>
        <w:pStyle w:val="BodyText"/>
        <w:spacing w:before="29"/>
      </w:pPr>
    </w:p>
    <w:p w:rsidR="007F6DF9" w:rsidRDefault="00A43FBC">
      <w:pPr>
        <w:pStyle w:val="Heading9"/>
        <w:numPr>
          <w:ilvl w:val="0"/>
          <w:numId w:val="193"/>
        </w:numPr>
        <w:tabs>
          <w:tab w:val="left" w:pos="1439"/>
        </w:tabs>
        <w:spacing w:before="1"/>
        <w:ind w:left="1439" w:hanging="585"/>
      </w:pPr>
      <w:bookmarkStart w:id="50" w:name="_bookmark49"/>
      <w:bookmarkEnd w:id="50"/>
      <w:r>
        <w:rPr>
          <w:color w:val="221F1F"/>
        </w:rPr>
        <w:t>Procurement</w:t>
      </w:r>
      <w:r>
        <w:rPr>
          <w:color w:val="221F1F"/>
          <w:spacing w:val="-9"/>
        </w:rPr>
        <w:t xml:space="preserve"> </w:t>
      </w:r>
      <w:r>
        <w:rPr>
          <w:color w:val="221F1F"/>
        </w:rPr>
        <w:t>related</w:t>
      </w:r>
      <w:r>
        <w:rPr>
          <w:color w:val="221F1F"/>
          <w:spacing w:val="-6"/>
        </w:rPr>
        <w:t xml:space="preserve"> </w:t>
      </w:r>
      <w:r>
        <w:rPr>
          <w:color w:val="221F1F"/>
        </w:rPr>
        <w:t>Complaints</w:t>
      </w:r>
      <w:r>
        <w:rPr>
          <w:color w:val="221F1F"/>
          <w:spacing w:val="-6"/>
        </w:rPr>
        <w:t xml:space="preserve"> </w:t>
      </w:r>
      <w:r>
        <w:rPr>
          <w:color w:val="221F1F"/>
        </w:rPr>
        <w:t>and</w:t>
      </w:r>
      <w:r>
        <w:rPr>
          <w:color w:val="221F1F"/>
          <w:spacing w:val="-7"/>
        </w:rPr>
        <w:t xml:space="preserve"> </w:t>
      </w:r>
      <w:r>
        <w:t>Administrative</w:t>
      </w:r>
      <w:r>
        <w:rPr>
          <w:spacing w:val="-4"/>
        </w:rPr>
        <w:t xml:space="preserve"> </w:t>
      </w:r>
      <w:r>
        <w:rPr>
          <w:color w:val="221F1F"/>
          <w:spacing w:val="-2"/>
        </w:rPr>
        <w:t>Review</w:t>
      </w:r>
    </w:p>
    <w:p w:rsidR="007F6DF9" w:rsidRDefault="00A43FBC">
      <w:pPr>
        <w:pStyle w:val="ListParagraph"/>
        <w:numPr>
          <w:ilvl w:val="1"/>
          <w:numId w:val="193"/>
        </w:numPr>
        <w:tabs>
          <w:tab w:val="left" w:pos="1619"/>
        </w:tabs>
        <w:spacing w:before="1"/>
        <w:ind w:left="1619" w:hanging="448"/>
        <w:rPr>
          <w:color w:val="221F1F"/>
        </w:rPr>
      </w:pPr>
      <w:r>
        <w:rPr>
          <w:color w:val="221F1F"/>
        </w:rPr>
        <w:t>The</w:t>
      </w:r>
      <w:r>
        <w:rPr>
          <w:color w:val="221F1F"/>
          <w:spacing w:val="-5"/>
        </w:rPr>
        <w:t xml:space="preserve"> </w:t>
      </w:r>
      <w:r>
        <w:rPr>
          <w:color w:val="221F1F"/>
        </w:rPr>
        <w:t>procedures</w:t>
      </w:r>
      <w:r>
        <w:rPr>
          <w:color w:val="221F1F"/>
          <w:spacing w:val="-7"/>
        </w:rPr>
        <w:t xml:space="preserve"> </w:t>
      </w:r>
      <w:r>
        <w:rPr>
          <w:color w:val="221F1F"/>
        </w:rPr>
        <w:t>for</w:t>
      </w:r>
      <w:r>
        <w:rPr>
          <w:color w:val="221F1F"/>
          <w:spacing w:val="-5"/>
        </w:rPr>
        <w:t xml:space="preserve"> </w:t>
      </w:r>
      <w:r>
        <w:rPr>
          <w:color w:val="221F1F"/>
        </w:rPr>
        <w:t>making</w:t>
      </w:r>
      <w:r>
        <w:rPr>
          <w:color w:val="221F1F"/>
          <w:spacing w:val="-7"/>
        </w:rPr>
        <w:t xml:space="preserve"> </w:t>
      </w:r>
      <w:r>
        <w:rPr>
          <w:color w:val="221F1F"/>
        </w:rPr>
        <w:t>Procurement-related</w:t>
      </w:r>
      <w:r>
        <w:rPr>
          <w:color w:val="221F1F"/>
          <w:spacing w:val="-5"/>
        </w:rPr>
        <w:t xml:space="preserve"> </w:t>
      </w:r>
      <w:r>
        <w:rPr>
          <w:color w:val="221F1F"/>
        </w:rPr>
        <w:t>Complaints</w:t>
      </w:r>
      <w:r>
        <w:rPr>
          <w:color w:val="221F1F"/>
          <w:spacing w:val="-5"/>
        </w:rPr>
        <w:t xml:space="preserve"> </w:t>
      </w:r>
      <w:r>
        <w:rPr>
          <w:color w:val="221F1F"/>
        </w:rPr>
        <w:t>are</w:t>
      </w:r>
      <w:r>
        <w:rPr>
          <w:color w:val="221F1F"/>
          <w:spacing w:val="-5"/>
        </w:rPr>
        <w:t xml:space="preserve"> </w:t>
      </w:r>
      <w:r>
        <w:rPr>
          <w:color w:val="221F1F"/>
        </w:rPr>
        <w:t>as</w:t>
      </w:r>
      <w:r>
        <w:rPr>
          <w:color w:val="221F1F"/>
          <w:spacing w:val="-4"/>
        </w:rPr>
        <w:t xml:space="preserve"> </w:t>
      </w:r>
      <w:r>
        <w:rPr>
          <w:color w:val="221F1F"/>
        </w:rPr>
        <w:t>specified</w:t>
      </w:r>
      <w:r>
        <w:rPr>
          <w:color w:val="221F1F"/>
          <w:spacing w:val="-7"/>
        </w:rPr>
        <w:t xml:space="preserve"> </w:t>
      </w:r>
      <w:r>
        <w:rPr>
          <w:color w:val="221F1F"/>
        </w:rPr>
        <w:t>in</w:t>
      </w:r>
      <w:r>
        <w:rPr>
          <w:color w:val="221F1F"/>
          <w:spacing w:val="-5"/>
        </w:rPr>
        <w:t xml:space="preserve"> </w:t>
      </w:r>
      <w:r>
        <w:rPr>
          <w:color w:val="221F1F"/>
        </w:rPr>
        <w:t>the</w:t>
      </w:r>
      <w:r>
        <w:rPr>
          <w:color w:val="221F1F"/>
          <w:spacing w:val="-4"/>
        </w:rPr>
        <w:t xml:space="preserve"> </w:t>
      </w:r>
      <w:r>
        <w:rPr>
          <w:b/>
          <w:color w:val="221F1F"/>
          <w:spacing w:val="-4"/>
        </w:rPr>
        <w:t>TDS.</w:t>
      </w:r>
    </w:p>
    <w:p w:rsidR="007F6DF9" w:rsidRDefault="007F6DF9">
      <w:pPr>
        <w:pStyle w:val="BodyText"/>
        <w:rPr>
          <w:b/>
        </w:rPr>
      </w:pPr>
    </w:p>
    <w:p w:rsidR="007F6DF9" w:rsidRDefault="00A43FBC">
      <w:pPr>
        <w:pStyle w:val="ListParagraph"/>
        <w:numPr>
          <w:ilvl w:val="1"/>
          <w:numId w:val="193"/>
        </w:numPr>
        <w:tabs>
          <w:tab w:val="left" w:pos="1730"/>
        </w:tabs>
        <w:ind w:left="1730" w:hanging="559"/>
        <w:rPr>
          <w:color w:val="221F1F"/>
        </w:rPr>
      </w:pPr>
      <w:r>
        <w:t>A</w:t>
      </w:r>
      <w:r>
        <w:rPr>
          <w:spacing w:val="-6"/>
        </w:rPr>
        <w:t xml:space="preserve"> </w:t>
      </w:r>
      <w:r>
        <w:t>request</w:t>
      </w:r>
      <w:r>
        <w:rPr>
          <w:spacing w:val="-4"/>
        </w:rPr>
        <w:t xml:space="preserve"> </w:t>
      </w:r>
      <w:r>
        <w:t>for</w:t>
      </w:r>
      <w:r>
        <w:rPr>
          <w:spacing w:val="-2"/>
        </w:rPr>
        <w:t xml:space="preserve"> </w:t>
      </w:r>
      <w:r>
        <w:t>administrative</w:t>
      </w:r>
      <w:r>
        <w:rPr>
          <w:spacing w:val="-1"/>
        </w:rPr>
        <w:t xml:space="preserve"> </w:t>
      </w:r>
      <w:r>
        <w:t>review</w:t>
      </w:r>
      <w:r>
        <w:rPr>
          <w:spacing w:val="-6"/>
        </w:rPr>
        <w:t xml:space="preserve"> </w:t>
      </w:r>
      <w:r>
        <w:t>shall</w:t>
      </w:r>
      <w:r>
        <w:rPr>
          <w:spacing w:val="-2"/>
        </w:rPr>
        <w:t xml:space="preserve"> </w:t>
      </w:r>
      <w:r>
        <w:t>be</w:t>
      </w:r>
      <w:r>
        <w:rPr>
          <w:spacing w:val="-3"/>
        </w:rPr>
        <w:t xml:space="preserve"> </w:t>
      </w:r>
      <w:r>
        <w:t>made</w:t>
      </w:r>
      <w:r>
        <w:rPr>
          <w:spacing w:val="-4"/>
        </w:rPr>
        <w:t xml:space="preserve"> </w:t>
      </w:r>
      <w:r>
        <w:t>in</w:t>
      </w:r>
      <w:r>
        <w:rPr>
          <w:spacing w:val="-6"/>
        </w:rPr>
        <w:t xml:space="preserve"> </w:t>
      </w:r>
      <w:r>
        <w:t>the</w:t>
      </w:r>
      <w:r>
        <w:rPr>
          <w:spacing w:val="-5"/>
        </w:rPr>
        <w:t xml:space="preserve"> </w:t>
      </w:r>
      <w:r>
        <w:t>form</w:t>
      </w:r>
      <w:r>
        <w:rPr>
          <w:spacing w:val="-2"/>
        </w:rPr>
        <w:t xml:space="preserve"> </w:t>
      </w:r>
      <w:r>
        <w:t>provided</w:t>
      </w:r>
      <w:r>
        <w:rPr>
          <w:spacing w:val="-3"/>
        </w:rPr>
        <w:t xml:space="preserve"> </w:t>
      </w:r>
      <w:r>
        <w:t>under</w:t>
      </w:r>
      <w:r>
        <w:rPr>
          <w:spacing w:val="-2"/>
        </w:rPr>
        <w:t xml:space="preserve"> </w:t>
      </w:r>
      <w:r>
        <w:rPr>
          <w:color w:val="221F1F"/>
        </w:rPr>
        <w:t>contract</w:t>
      </w:r>
      <w:r>
        <w:rPr>
          <w:color w:val="221F1F"/>
          <w:spacing w:val="-4"/>
        </w:rPr>
        <w:t xml:space="preserve"> </w:t>
      </w:r>
      <w:r>
        <w:rPr>
          <w:color w:val="221F1F"/>
          <w:spacing w:val="-2"/>
        </w:rPr>
        <w:t>forms.</w:t>
      </w:r>
    </w:p>
    <w:p w:rsidR="007F6DF9" w:rsidRDefault="007F6DF9">
      <w:pPr>
        <w:pStyle w:val="ListParagraph"/>
        <w:sectPr w:rsidR="007F6DF9">
          <w:pgSz w:w="11920" w:h="16850"/>
          <w:pgMar w:top="360" w:right="0" w:bottom="620" w:left="0" w:header="0" w:footer="437" w:gutter="0"/>
          <w:cols w:space="720"/>
        </w:sectPr>
      </w:pPr>
    </w:p>
    <w:p w:rsidR="007F6DF9" w:rsidRDefault="0074681E">
      <w:pPr>
        <w:pStyle w:val="BodyText"/>
      </w:pPr>
      <w:r>
        <w:rPr>
          <w:noProof/>
        </w:rPr>
        <w:lastRenderedPageBreak/>
        <mc:AlternateContent>
          <mc:Choice Requires="wps">
            <w:drawing>
              <wp:anchor distT="0" distB="0" distL="0" distR="0" simplePos="0" relativeHeight="251631104" behindDoc="0" locked="0" layoutInCell="1" allowOverlap="1" wp14:anchorId="13B1D9AF" wp14:editId="28F8C234">
                <wp:simplePos x="0" y="0"/>
                <wp:positionH relativeFrom="page">
                  <wp:posOffset>114753</wp:posOffset>
                </wp:positionH>
                <wp:positionV relativeFrom="paragraph">
                  <wp:posOffset>-1256484</wp:posOffset>
                </wp:positionV>
                <wp:extent cx="7668259" cy="8642349"/>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8259" cy="864234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04"/>
                              <w:gridCol w:w="1524"/>
                              <w:gridCol w:w="8898"/>
                              <w:gridCol w:w="829"/>
                            </w:tblGrid>
                            <w:tr w:rsidR="00883FED">
                              <w:trPr>
                                <w:trHeight w:val="234"/>
                              </w:trPr>
                              <w:tc>
                                <w:tcPr>
                                  <w:tcW w:w="704" w:type="dxa"/>
                                  <w:vMerge w:val="restart"/>
                                  <w:tcBorders>
                                    <w:right w:val="single" w:sz="12" w:space="0" w:color="000000"/>
                                  </w:tcBorders>
                                </w:tcPr>
                                <w:p w:rsidR="00883FED" w:rsidRDefault="00883FED">
                                  <w:pPr>
                                    <w:pStyle w:val="TableParagraph"/>
                                    <w:rPr>
                                      <w:rFonts w:ascii="Times New Roman"/>
                                    </w:rPr>
                                  </w:pPr>
                                </w:p>
                              </w:tc>
                              <w:tc>
                                <w:tcPr>
                                  <w:tcW w:w="1524" w:type="dxa"/>
                                  <w:tcBorders>
                                    <w:top w:val="single" w:sz="4" w:space="0" w:color="000000"/>
                                    <w:left w:val="single" w:sz="4" w:space="0" w:color="000000"/>
                                    <w:right w:val="single" w:sz="4" w:space="0" w:color="000000"/>
                                  </w:tcBorders>
                                </w:tcPr>
                                <w:p w:rsidR="00883FED" w:rsidRDefault="00883FED">
                                  <w:pPr>
                                    <w:pStyle w:val="TableParagraph"/>
                                    <w:spacing w:line="215" w:lineRule="exact"/>
                                    <w:ind w:left="103"/>
                                    <w:rPr>
                                      <w:rFonts w:ascii="Times New Roman"/>
                                      <w:b/>
                                      <w:sz w:val="20"/>
                                    </w:rPr>
                                  </w:pPr>
                                  <w:r>
                                    <w:rPr>
                                      <w:rFonts w:ascii="Times New Roman"/>
                                      <w:b/>
                                      <w:sz w:val="20"/>
                                    </w:rPr>
                                    <w:t>Reference</w:t>
                                  </w:r>
                                  <w:r>
                                    <w:rPr>
                                      <w:rFonts w:ascii="Times New Roman"/>
                                      <w:b/>
                                      <w:spacing w:val="-8"/>
                                      <w:sz w:val="20"/>
                                    </w:rPr>
                                    <w:t xml:space="preserve"> </w:t>
                                  </w:r>
                                  <w:r>
                                    <w:rPr>
                                      <w:rFonts w:ascii="Times New Roman"/>
                                      <w:b/>
                                      <w:spacing w:val="-5"/>
                                      <w:sz w:val="20"/>
                                    </w:rPr>
                                    <w:t>to</w:t>
                                  </w:r>
                                </w:p>
                              </w:tc>
                              <w:tc>
                                <w:tcPr>
                                  <w:tcW w:w="8898" w:type="dxa"/>
                                  <w:tcBorders>
                                    <w:top w:val="single" w:sz="4" w:space="0" w:color="000000"/>
                                    <w:left w:val="single" w:sz="4" w:space="0" w:color="000000"/>
                                    <w:right w:val="single" w:sz="4" w:space="0" w:color="000000"/>
                                  </w:tcBorders>
                                </w:tcPr>
                                <w:p w:rsidR="00883FED" w:rsidRDefault="00883FED">
                                  <w:pPr>
                                    <w:pStyle w:val="TableParagraph"/>
                                    <w:spacing w:line="215" w:lineRule="exact"/>
                                    <w:ind w:left="103"/>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c>
                                <w:tcPr>
                                  <w:tcW w:w="829" w:type="dxa"/>
                                  <w:vMerge w:val="restart"/>
                                  <w:tcBorders>
                                    <w:left w:val="single" w:sz="18" w:space="0" w:color="000000"/>
                                  </w:tcBorders>
                                </w:tcPr>
                                <w:p w:rsidR="00883FED" w:rsidRDefault="00883FED">
                                  <w:pPr>
                                    <w:pStyle w:val="TableParagraph"/>
                                    <w:rPr>
                                      <w:rFonts w:ascii="Times New Roman"/>
                                    </w:rPr>
                                  </w:pPr>
                                </w:p>
                              </w:tc>
                            </w:tr>
                            <w:tr w:rsidR="00883FED">
                              <w:trPr>
                                <w:trHeight w:val="225"/>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4" w:space="0" w:color="000000"/>
                                    <w:bottom w:val="single" w:sz="4" w:space="0" w:color="000000"/>
                                    <w:right w:val="single" w:sz="4" w:space="0" w:color="000000"/>
                                  </w:tcBorders>
                                </w:tcPr>
                                <w:p w:rsidR="00883FED" w:rsidRDefault="00883FED">
                                  <w:pPr>
                                    <w:pStyle w:val="TableParagraph"/>
                                    <w:spacing w:line="205" w:lineRule="exact"/>
                                    <w:ind w:left="103"/>
                                    <w:rPr>
                                      <w:rFonts w:ascii="Times New Roman"/>
                                      <w:b/>
                                      <w:sz w:val="20"/>
                                    </w:rPr>
                                  </w:pPr>
                                  <w:r>
                                    <w:rPr>
                                      <w:rFonts w:ascii="Times New Roman"/>
                                      <w:b/>
                                      <w:sz w:val="20"/>
                                    </w:rPr>
                                    <w:t>ITC</w:t>
                                  </w:r>
                                  <w:r>
                                    <w:rPr>
                                      <w:rFonts w:ascii="Times New Roman"/>
                                      <w:b/>
                                      <w:spacing w:val="-6"/>
                                      <w:sz w:val="20"/>
                                    </w:rPr>
                                    <w:t xml:space="preserve"> </w:t>
                                  </w:r>
                                  <w:r>
                                    <w:rPr>
                                      <w:rFonts w:ascii="Times New Roman"/>
                                      <w:b/>
                                      <w:spacing w:val="-2"/>
                                      <w:sz w:val="20"/>
                                    </w:rPr>
                                    <w:t>Clause</w:t>
                                  </w:r>
                                </w:p>
                              </w:tc>
                              <w:tc>
                                <w:tcPr>
                                  <w:tcW w:w="8898" w:type="dxa"/>
                                  <w:tcBorders>
                                    <w:left w:val="single" w:sz="4" w:space="0" w:color="000000"/>
                                    <w:bottom w:val="single" w:sz="4" w:space="0" w:color="000000"/>
                                    <w:right w:val="single" w:sz="4" w:space="0" w:color="000000"/>
                                  </w:tcBorders>
                                </w:tcPr>
                                <w:p w:rsidR="00883FED" w:rsidRDefault="00883FED">
                                  <w:pPr>
                                    <w:pStyle w:val="TableParagraph"/>
                                    <w:rPr>
                                      <w:rFonts w:ascii="Times New Roman"/>
                                      <w:sz w:val="16"/>
                                    </w:rPr>
                                  </w:pPr>
                                </w:p>
                              </w:tc>
                              <w:tc>
                                <w:tcPr>
                                  <w:tcW w:w="829" w:type="dxa"/>
                                  <w:vMerge/>
                                  <w:tcBorders>
                                    <w:top w:val="nil"/>
                                    <w:left w:val="single" w:sz="18" w:space="0" w:color="000000"/>
                                  </w:tcBorders>
                                </w:tcPr>
                                <w:p w:rsidR="00883FED" w:rsidRDefault="00883FED">
                                  <w:pPr>
                                    <w:rPr>
                                      <w:sz w:val="2"/>
                                      <w:szCs w:val="2"/>
                                    </w:rPr>
                                  </w:pPr>
                                </w:p>
                              </w:tc>
                            </w:tr>
                            <w:tr w:rsidR="00883FED">
                              <w:trPr>
                                <w:trHeight w:val="251"/>
                              </w:trPr>
                              <w:tc>
                                <w:tcPr>
                                  <w:tcW w:w="704" w:type="dxa"/>
                                  <w:vMerge/>
                                  <w:tcBorders>
                                    <w:top w:val="nil"/>
                                    <w:right w:val="single" w:sz="12" w:space="0" w:color="000000"/>
                                  </w:tcBorders>
                                </w:tcPr>
                                <w:p w:rsidR="00883FED" w:rsidRDefault="00883FED">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883FED" w:rsidRDefault="00883FED">
                                  <w:pPr>
                                    <w:pStyle w:val="TableParagraph"/>
                                    <w:spacing w:line="232" w:lineRule="exact"/>
                                    <w:ind w:left="103"/>
                                    <w:rPr>
                                      <w:rFonts w:ascii="Times New Roman"/>
                                      <w:b/>
                                    </w:rPr>
                                  </w:pPr>
                                  <w:r>
                                    <w:rPr>
                                      <w:rFonts w:ascii="Times New Roman"/>
                                      <w:b/>
                                    </w:rPr>
                                    <w:t>A.</w:t>
                                  </w:r>
                                  <w:r>
                                    <w:rPr>
                                      <w:rFonts w:ascii="Times New Roman"/>
                                      <w:b/>
                                      <w:spacing w:val="53"/>
                                    </w:rPr>
                                    <w:t xml:space="preserve"> </w:t>
                                  </w:r>
                                  <w:r>
                                    <w:rPr>
                                      <w:rFonts w:ascii="Times New Roman"/>
                                      <w:b/>
                                      <w:spacing w:val="-2"/>
                                    </w:rPr>
                                    <w:t>General</w:t>
                                  </w:r>
                                </w:p>
                              </w:tc>
                              <w:tc>
                                <w:tcPr>
                                  <w:tcW w:w="829" w:type="dxa"/>
                                  <w:vMerge/>
                                  <w:tcBorders>
                                    <w:top w:val="nil"/>
                                    <w:left w:val="single" w:sz="18" w:space="0" w:color="000000"/>
                                  </w:tcBorders>
                                </w:tcPr>
                                <w:p w:rsidR="00883FED" w:rsidRDefault="00883FED">
                                  <w:pPr>
                                    <w:rPr>
                                      <w:sz w:val="2"/>
                                      <w:szCs w:val="2"/>
                                    </w:rPr>
                                  </w:pPr>
                                </w:p>
                              </w:tc>
                            </w:tr>
                            <w:tr w:rsidR="00883FED">
                              <w:trPr>
                                <w:trHeight w:val="278"/>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4" w:space="0" w:color="000000"/>
                                    <w:left w:val="single" w:sz="12" w:space="0" w:color="000000"/>
                                    <w:right w:val="single" w:sz="12" w:space="0" w:color="000000"/>
                                  </w:tcBorders>
                                </w:tcPr>
                                <w:p w:rsidR="00883FED" w:rsidRDefault="00883FED">
                                  <w:pPr>
                                    <w:pStyle w:val="TableParagraph"/>
                                    <w:spacing w:line="251"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1.1</w:t>
                                  </w:r>
                                </w:p>
                              </w:tc>
                              <w:tc>
                                <w:tcPr>
                                  <w:tcW w:w="8898" w:type="dxa"/>
                                  <w:tcBorders>
                                    <w:top w:val="single" w:sz="4" w:space="0" w:color="000000"/>
                                    <w:left w:val="single" w:sz="12" w:space="0" w:color="000000"/>
                                    <w:right w:val="single" w:sz="12" w:space="0" w:color="000000"/>
                                  </w:tcBorders>
                                </w:tcPr>
                                <w:p w:rsidR="00883FED" w:rsidRDefault="00883FED">
                                  <w:pPr>
                                    <w:pStyle w:val="TableParagraph"/>
                                    <w:tabs>
                                      <w:tab w:val="left" w:pos="2763"/>
                                    </w:tabs>
                                    <w:spacing w:line="259" w:lineRule="exact"/>
                                    <w:ind w:left="93"/>
                                    <w:rPr>
                                      <w:rFonts w:ascii="Times New Roman"/>
                                    </w:rPr>
                                  </w:pPr>
                                  <w:r>
                                    <w:rPr>
                                      <w:rFonts w:ascii="Times New Roman"/>
                                    </w:rPr>
                                    <w:t>The</w:t>
                                  </w:r>
                                  <w:r>
                                    <w:rPr>
                                      <w:rFonts w:ascii="Times New Roman"/>
                                      <w:spacing w:val="-3"/>
                                    </w:rPr>
                                    <w:t xml:space="preserve"> </w:t>
                                  </w:r>
                                  <w:r>
                                    <w:rPr>
                                      <w:rFonts w:ascii="Times New Roman"/>
                                    </w:rPr>
                                    <w:t>name</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1"/>
                                    </w:rPr>
                                    <w:t xml:space="preserve"> </w:t>
                                  </w:r>
                                  <w:r>
                                    <w:rPr>
                                      <w:rFonts w:ascii="Times New Roman"/>
                                      <w:spacing w:val="-5"/>
                                    </w:rPr>
                                    <w:t>is</w:t>
                                  </w:r>
                                  <w:r>
                                    <w:rPr>
                                      <w:rFonts w:ascii="Times New Roman"/>
                                      <w:u w:val="single"/>
                                    </w:rPr>
                                    <w:tab/>
                                  </w:r>
                                  <w:r>
                                    <w:rPr>
                                      <w:rFonts w:ascii="Times New Roman"/>
                                    </w:rPr>
                                    <w:t>PROPOSED</w:t>
                                  </w:r>
                                  <w:r>
                                    <w:rPr>
                                      <w:rFonts w:ascii="Times New Roman"/>
                                      <w:spacing w:val="-6"/>
                                    </w:rPr>
                                    <w:t xml:space="preserve"> </w:t>
                                  </w:r>
                                  <w:r>
                                    <w:rPr>
                                      <w:rFonts w:ascii="Times New Roman"/>
                                      <w:color w:val="221F1F"/>
                                      <w:sz w:val="24"/>
                                    </w:rPr>
                                    <w:t>COLD</w:t>
                                  </w:r>
                                  <w:r>
                                    <w:rPr>
                                      <w:rFonts w:ascii="Times New Roman"/>
                                      <w:color w:val="221F1F"/>
                                      <w:spacing w:val="-3"/>
                                      <w:sz w:val="24"/>
                                    </w:rPr>
                                    <w:t xml:space="preserve"> </w:t>
                                  </w:r>
                                  <w:r>
                                    <w:rPr>
                                      <w:rFonts w:ascii="Times New Roman"/>
                                      <w:color w:val="221F1F"/>
                                      <w:sz w:val="24"/>
                                    </w:rPr>
                                    <w:t>ROOM</w:t>
                                  </w:r>
                                  <w:r>
                                    <w:rPr>
                                      <w:rFonts w:ascii="Times New Roman"/>
                                      <w:color w:val="221F1F"/>
                                      <w:spacing w:val="-3"/>
                                      <w:sz w:val="24"/>
                                    </w:rPr>
                                    <w:t xml:space="preserve"> </w:t>
                                  </w:r>
                                  <w:r>
                                    <w:rPr>
                                      <w:rFonts w:ascii="Times New Roman"/>
                                      <w:color w:val="221F1F"/>
                                      <w:sz w:val="24"/>
                                    </w:rPr>
                                    <w:t>.</w:t>
                                  </w:r>
                                  <w:r>
                                    <w:rPr>
                                      <w:rFonts w:ascii="Times New Roman"/>
                                    </w:rPr>
                                    <w:t>The</w:t>
                                  </w:r>
                                  <w:r>
                                    <w:rPr>
                                      <w:rFonts w:ascii="Times New Roman"/>
                                      <w:spacing w:val="-2"/>
                                    </w:rPr>
                                    <w:t xml:space="preserve"> </w:t>
                                  </w:r>
                                  <w:r>
                                    <w:rPr>
                                      <w:rFonts w:ascii="Times New Roman"/>
                                    </w:rPr>
                                    <w:t>reference</w:t>
                                  </w:r>
                                  <w:r>
                                    <w:rPr>
                                      <w:rFonts w:ascii="Times New Roman"/>
                                      <w:spacing w:val="-4"/>
                                    </w:rPr>
                                    <w:t xml:space="preserve"> </w:t>
                                  </w:r>
                                  <w:r>
                                    <w:rPr>
                                      <w:rFonts w:ascii="Times New Roman"/>
                                    </w:rPr>
                                    <w:t>number</w:t>
                                  </w:r>
                                  <w:r>
                                    <w:rPr>
                                      <w:rFonts w:ascii="Times New Roman"/>
                                      <w:spacing w:val="-2"/>
                                    </w:rPr>
                                    <w:t xml:space="preserve"> </w:t>
                                  </w:r>
                                  <w:r>
                                    <w:rPr>
                                      <w:rFonts w:ascii="Times New Roman"/>
                                    </w:rPr>
                                    <w:t>of</w:t>
                                  </w:r>
                                  <w:r>
                                    <w:rPr>
                                      <w:rFonts w:ascii="Times New Roman"/>
                                      <w:spacing w:val="-4"/>
                                    </w:rPr>
                                    <w:t xml:space="preserve"> </w:t>
                                  </w:r>
                                  <w:r>
                                    <w:rPr>
                                      <w:rFonts w:ascii="Times New Roman"/>
                                      <w:spacing w:val="-5"/>
                                    </w:rPr>
                                    <w:t>the</w:t>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spacing w:line="248" w:lineRule="exact"/>
                                    <w:ind w:left="93"/>
                                    <w:rPr>
                                      <w:rFonts w:ascii="Times New Roman"/>
                                    </w:rPr>
                                  </w:pPr>
                                  <w:r>
                                    <w:rPr>
                                      <w:rFonts w:ascii="Times New Roman"/>
                                    </w:rPr>
                                    <w:t>Contract</w:t>
                                  </w:r>
                                  <w:r>
                                    <w:rPr>
                                      <w:rFonts w:ascii="Times New Roman"/>
                                      <w:spacing w:val="-5"/>
                                    </w:rPr>
                                    <w:t xml:space="preserve"> </w:t>
                                  </w:r>
                                  <w:r>
                                    <w:rPr>
                                      <w:rFonts w:ascii="Times New Roman"/>
                                    </w:rPr>
                                    <w:t>is_</w:t>
                                  </w:r>
                                  <w:r>
                                    <w:rPr>
                                      <w:rFonts w:ascii="Times New Roman"/>
                                      <w:spacing w:val="-3"/>
                                    </w:rPr>
                                    <w:t xml:space="preserve"> </w:t>
                                  </w:r>
                                  <w:r>
                                    <w:rPr>
                                      <w:rFonts w:ascii="Times New Roman"/>
                                    </w:rPr>
                                    <w:t>W.P.</w:t>
                                  </w:r>
                                  <w:r>
                                    <w:rPr>
                                      <w:rFonts w:ascii="Times New Roman"/>
                                      <w:spacing w:val="-3"/>
                                    </w:rPr>
                                    <w:t xml:space="preserve"> </w:t>
                                  </w:r>
                                  <w:r>
                                    <w:rPr>
                                      <w:rFonts w:ascii="Times New Roman"/>
                                    </w:rPr>
                                    <w:t>ITEM</w:t>
                                  </w:r>
                                  <w:r>
                                    <w:rPr>
                                      <w:rFonts w:ascii="Times New Roman"/>
                                      <w:spacing w:val="-2"/>
                                    </w:rPr>
                                    <w:t xml:space="preserve"> </w:t>
                                  </w:r>
                                  <w:r>
                                    <w:rPr>
                                      <w:rFonts w:ascii="Times New Roman"/>
                                    </w:rPr>
                                    <w:t>NO.</w:t>
                                  </w:r>
                                  <w:r>
                                    <w:rPr>
                                      <w:rFonts w:ascii="Times New Roman"/>
                                      <w:spacing w:val="-2"/>
                                    </w:rPr>
                                    <w:t xml:space="preserve"> D1081/JOOTRH/02/2026</w:t>
                                  </w:r>
                                </w:p>
                              </w:tc>
                              <w:tc>
                                <w:tcPr>
                                  <w:tcW w:w="829" w:type="dxa"/>
                                  <w:vMerge/>
                                  <w:tcBorders>
                                    <w:top w:val="nil"/>
                                    <w:left w:val="single" w:sz="18" w:space="0" w:color="000000"/>
                                  </w:tcBorders>
                                </w:tcPr>
                                <w:p w:rsidR="00883FED" w:rsidRDefault="00883FED">
                                  <w:pPr>
                                    <w:rPr>
                                      <w:sz w:val="2"/>
                                      <w:szCs w:val="2"/>
                                    </w:rPr>
                                  </w:pPr>
                                </w:p>
                              </w:tc>
                            </w:tr>
                            <w:tr w:rsidR="00883FED">
                              <w:trPr>
                                <w:trHeight w:val="380"/>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spacing w:before="122" w:line="238" w:lineRule="exact"/>
                                    <w:ind w:left="93"/>
                                    <w:rPr>
                                      <w:rFonts w:ascii="Times New Roman"/>
                                    </w:rPr>
                                  </w:pPr>
                                  <w:r>
                                    <w:rPr>
                                      <w:rFonts w:ascii="Times New Roman"/>
                                    </w:rPr>
                                    <w:t>The</w:t>
                                  </w:r>
                                  <w:r>
                                    <w:rPr>
                                      <w:rFonts w:ascii="Times New Roman"/>
                                      <w:spacing w:val="-7"/>
                                    </w:rPr>
                                    <w:t xml:space="preserve"> </w:t>
                                  </w:r>
                                  <w:r>
                                    <w:rPr>
                                      <w:rFonts w:ascii="Times New Roman"/>
                                    </w:rPr>
                                    <w:t>number</w:t>
                                  </w:r>
                                  <w:r>
                                    <w:rPr>
                                      <w:rFonts w:ascii="Times New Roman"/>
                                      <w:spacing w:val="-4"/>
                                    </w:rPr>
                                    <w:t xml:space="preserve"> </w:t>
                                  </w:r>
                                  <w:r>
                                    <w:rPr>
                                      <w:rFonts w:ascii="Times New Roman"/>
                                    </w:rPr>
                                    <w:t>and</w:t>
                                  </w:r>
                                  <w:r>
                                    <w:rPr>
                                      <w:rFonts w:ascii="Times New Roman"/>
                                      <w:spacing w:val="-6"/>
                                    </w:rPr>
                                    <w:t xml:space="preserve"> </w:t>
                                  </w:r>
                                  <w:r>
                                    <w:rPr>
                                      <w:rFonts w:ascii="Times New Roman"/>
                                    </w:rPr>
                                    <w:t>identification</w:t>
                                  </w:r>
                                  <w:r>
                                    <w:rPr>
                                      <w:rFonts w:ascii="Times New Roman"/>
                                      <w:spacing w:val="-4"/>
                                    </w:rPr>
                                    <w:t xml:space="preserve"> </w:t>
                                  </w:r>
                                  <w:r>
                                    <w:rPr>
                                      <w:rFonts w:ascii="Times New Roman"/>
                                    </w:rPr>
                                    <w:t>of</w:t>
                                  </w:r>
                                  <w:r>
                                    <w:rPr>
                                      <w:rFonts w:ascii="Times New Roman"/>
                                      <w:spacing w:val="-4"/>
                                    </w:rPr>
                                    <w:t xml:space="preserve"> </w:t>
                                  </w:r>
                                  <w:r>
                                    <w:rPr>
                                      <w:rFonts w:ascii="Times New Roman"/>
                                    </w:rPr>
                                    <w:t>lots</w:t>
                                  </w:r>
                                  <w:r>
                                    <w:rPr>
                                      <w:rFonts w:ascii="Times New Roman"/>
                                      <w:spacing w:val="-4"/>
                                    </w:rPr>
                                    <w:t xml:space="preserve"> </w:t>
                                  </w:r>
                                  <w:r>
                                    <w:rPr>
                                      <w:rFonts w:ascii="Times New Roman"/>
                                    </w:rPr>
                                    <w:t>(contracts)</w:t>
                                  </w:r>
                                  <w:r>
                                    <w:rPr>
                                      <w:rFonts w:ascii="Times New Roman"/>
                                      <w:spacing w:val="-2"/>
                                    </w:rPr>
                                    <w:t xml:space="preserve"> </w:t>
                                  </w:r>
                                  <w:r>
                                    <w:rPr>
                                      <w:rFonts w:ascii="Times New Roman"/>
                                    </w:rPr>
                                    <w:t>comprising</w:t>
                                  </w:r>
                                  <w:r>
                                    <w:rPr>
                                      <w:rFonts w:ascii="Times New Roman"/>
                                      <w:spacing w:val="-4"/>
                                    </w:rPr>
                                    <w:t xml:space="preserve"> </w:t>
                                  </w:r>
                                  <w:r>
                                    <w:rPr>
                                      <w:rFonts w:ascii="Times New Roman"/>
                                    </w:rPr>
                                    <w:t>this</w:t>
                                  </w:r>
                                  <w:r>
                                    <w:rPr>
                                      <w:rFonts w:ascii="Times New Roman"/>
                                      <w:spacing w:val="-4"/>
                                    </w:rPr>
                                    <w:t xml:space="preserve"> </w:t>
                                  </w:r>
                                  <w:r>
                                    <w:rPr>
                                      <w:rFonts w:ascii="Times New Roman"/>
                                    </w:rPr>
                                    <w:t>Tender</w:t>
                                  </w:r>
                                  <w:r>
                                    <w:rPr>
                                      <w:rFonts w:ascii="Times New Roman"/>
                                      <w:spacing w:val="-4"/>
                                    </w:rPr>
                                    <w:t xml:space="preserve"> </w:t>
                                  </w:r>
                                  <w:r>
                                    <w:rPr>
                                      <w:rFonts w:ascii="Times New Roman"/>
                                      <w:spacing w:val="-5"/>
                                    </w:rPr>
                                    <w:t>are</w:t>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spacing w:line="249" w:lineRule="exact"/>
                                    <w:ind w:left="93"/>
                                    <w:rPr>
                                      <w:rFonts w:ascii="Times New Roman"/>
                                      <w:i/>
                                    </w:rPr>
                                  </w:pPr>
                                  <w:r>
                                    <w:rPr>
                                      <w:rFonts w:ascii="Times New Roman"/>
                                      <w:i/>
                                    </w:rPr>
                                    <w:t>[insert</w:t>
                                  </w:r>
                                  <w:r>
                                    <w:rPr>
                                      <w:rFonts w:ascii="Times New Roman"/>
                                      <w:i/>
                                      <w:spacing w:val="-3"/>
                                    </w:rPr>
                                    <w:t xml:space="preserve"> </w:t>
                                  </w:r>
                                  <w:r>
                                    <w:rPr>
                                      <w:rFonts w:ascii="Times New Roman"/>
                                      <w:i/>
                                    </w:rPr>
                                    <w:t>number</w:t>
                                  </w:r>
                                  <w:r>
                                    <w:rPr>
                                      <w:rFonts w:ascii="Times New Roman"/>
                                      <w:i/>
                                      <w:spacing w:val="-4"/>
                                    </w:rPr>
                                    <w:t xml:space="preserve"> </w:t>
                                  </w:r>
                                  <w:r>
                                    <w:rPr>
                                      <w:rFonts w:ascii="Times New Roman"/>
                                      <w:i/>
                                    </w:rPr>
                                    <w:t>and</w:t>
                                  </w:r>
                                  <w:r>
                                    <w:rPr>
                                      <w:rFonts w:ascii="Times New Roman"/>
                                      <w:i/>
                                      <w:spacing w:val="-5"/>
                                    </w:rPr>
                                    <w:t xml:space="preserve"> </w:t>
                                  </w:r>
                                  <w:r>
                                    <w:rPr>
                                      <w:rFonts w:ascii="Times New Roman"/>
                                      <w:i/>
                                    </w:rPr>
                                    <w:t>identification</w:t>
                                  </w:r>
                                  <w:r>
                                    <w:rPr>
                                      <w:rFonts w:ascii="Times New Roman"/>
                                      <w:i/>
                                      <w:spacing w:val="-4"/>
                                    </w:rPr>
                                    <w:t xml:space="preserve"> </w:t>
                                  </w:r>
                                  <w:r>
                                    <w:rPr>
                                      <w:rFonts w:ascii="Times New Roman"/>
                                      <w:i/>
                                    </w:rPr>
                                    <w:t>of</w:t>
                                  </w:r>
                                  <w:r>
                                    <w:rPr>
                                      <w:rFonts w:ascii="Times New Roman"/>
                                      <w:i/>
                                      <w:spacing w:val="-2"/>
                                    </w:rPr>
                                    <w:t xml:space="preserve"> </w:t>
                                  </w:r>
                                  <w:r>
                                    <w:rPr>
                                      <w:rFonts w:ascii="Times New Roman"/>
                                      <w:i/>
                                    </w:rPr>
                                    <w:t>lots</w:t>
                                  </w:r>
                                  <w:r>
                                    <w:rPr>
                                      <w:rFonts w:ascii="Times New Roman"/>
                                      <w:i/>
                                      <w:spacing w:val="-5"/>
                                    </w:rPr>
                                    <w:t xml:space="preserve"> </w:t>
                                  </w:r>
                                  <w:r>
                                    <w:rPr>
                                      <w:rFonts w:ascii="Times New Roman"/>
                                      <w:i/>
                                      <w:spacing w:val="-2"/>
                                    </w:rPr>
                                    <w:t>(contracts)]</w:t>
                                  </w:r>
                                </w:p>
                              </w:tc>
                              <w:tc>
                                <w:tcPr>
                                  <w:tcW w:w="829" w:type="dxa"/>
                                  <w:vMerge/>
                                  <w:tcBorders>
                                    <w:top w:val="nil"/>
                                    <w:left w:val="single" w:sz="18" w:space="0" w:color="000000"/>
                                  </w:tcBorders>
                                </w:tcPr>
                                <w:p w:rsidR="00883FED" w:rsidRDefault="00883FED">
                                  <w:pPr>
                                    <w:rPr>
                                      <w:sz w:val="2"/>
                                      <w:szCs w:val="2"/>
                                    </w:rPr>
                                  </w:pPr>
                                </w:p>
                              </w:tc>
                            </w:tr>
                            <w:tr w:rsidR="00883FED">
                              <w:trPr>
                                <w:trHeight w:val="505"/>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tabs>
                                      <w:tab w:val="left" w:pos="4847"/>
                                    </w:tabs>
                                    <w:spacing w:before="121"/>
                                    <w:ind w:left="93"/>
                                    <w:rPr>
                                      <w:rFonts w:ascii="Times New Roman"/>
                                    </w:rPr>
                                  </w:pPr>
                                  <w:r>
                                    <w:rPr>
                                      <w:rFonts w:ascii="Times New Roman"/>
                                    </w:rPr>
                                    <w:t xml:space="preserve">Lot 1- Name </w:t>
                                  </w:r>
                                  <w:r>
                                    <w:rPr>
                                      <w:rFonts w:ascii="Times New Roman"/>
                                      <w:u w:val="single"/>
                                    </w:rPr>
                                    <w:tab/>
                                  </w:r>
                                </w:p>
                              </w:tc>
                              <w:tc>
                                <w:tcPr>
                                  <w:tcW w:w="829" w:type="dxa"/>
                                  <w:vMerge/>
                                  <w:tcBorders>
                                    <w:top w:val="nil"/>
                                    <w:left w:val="single" w:sz="18" w:space="0" w:color="000000"/>
                                  </w:tcBorders>
                                </w:tcPr>
                                <w:p w:rsidR="00883FED" w:rsidRDefault="00883FED">
                                  <w:pPr>
                                    <w:rPr>
                                      <w:sz w:val="2"/>
                                      <w:szCs w:val="2"/>
                                    </w:rPr>
                                  </w:pPr>
                                </w:p>
                              </w:tc>
                            </w:tr>
                            <w:tr w:rsidR="00883FED">
                              <w:trPr>
                                <w:trHeight w:val="506"/>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tabs>
                                      <w:tab w:val="left" w:pos="5063"/>
                                    </w:tabs>
                                    <w:spacing w:before="122"/>
                                    <w:ind w:left="93"/>
                                    <w:rPr>
                                      <w:rFonts w:ascii="Times New Roman"/>
                                    </w:rPr>
                                  </w:pPr>
                                  <w:r>
                                    <w:rPr>
                                      <w:rFonts w:ascii="Times New Roman"/>
                                    </w:rPr>
                                    <w:t xml:space="preserve">Lot 2- Name </w:t>
                                  </w:r>
                                  <w:r>
                                    <w:rPr>
                                      <w:rFonts w:ascii="Times New Roman"/>
                                      <w:u w:val="single"/>
                                    </w:rPr>
                                    <w:tab/>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tabs>
                                      <w:tab w:val="left" w:pos="5596"/>
                                    </w:tabs>
                                    <w:spacing w:before="122" w:line="237" w:lineRule="exact"/>
                                    <w:ind w:left="93"/>
                                    <w:rPr>
                                      <w:rFonts w:ascii="Times New Roman" w:hAnsi="Times New Roman"/>
                                    </w:rPr>
                                  </w:pPr>
                                  <w:r>
                                    <w:rPr>
                                      <w:rFonts w:ascii="Times New Roman" w:hAnsi="Times New Roman"/>
                                    </w:rPr>
                                    <w:t xml:space="preserve">Lot… Name </w:t>
                                  </w:r>
                                  <w:r>
                                    <w:rPr>
                                      <w:rFonts w:ascii="Times New Roman" w:hAnsi="Times New Roman"/>
                                      <w:u w:val="single"/>
                                    </w:rPr>
                                    <w:tab/>
                                  </w:r>
                                </w:p>
                              </w:tc>
                              <w:tc>
                                <w:tcPr>
                                  <w:tcW w:w="829" w:type="dxa"/>
                                  <w:vMerge/>
                                  <w:tcBorders>
                                    <w:top w:val="nil"/>
                                    <w:left w:val="single" w:sz="18" w:space="0" w:color="000000"/>
                                  </w:tcBorders>
                                </w:tcPr>
                                <w:p w:rsidR="00883FED" w:rsidRDefault="00883FED">
                                  <w:pPr>
                                    <w:rPr>
                                      <w:sz w:val="2"/>
                                      <w:szCs w:val="2"/>
                                    </w:rPr>
                                  </w:pPr>
                                </w:p>
                              </w:tc>
                            </w:tr>
                            <w:tr w:rsidR="00883FED">
                              <w:trPr>
                                <w:trHeight w:val="250"/>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sz w:val="18"/>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spacing w:line="230" w:lineRule="exact"/>
                                    <w:ind w:left="93"/>
                                    <w:rPr>
                                      <w:rFonts w:ascii="Times New Roman"/>
                                    </w:rPr>
                                  </w:pPr>
                                  <w:r>
                                    <w:rPr>
                                      <w:rFonts w:ascii="Times New Roman"/>
                                      <w:spacing w:val="-4"/>
                                    </w:rPr>
                                    <w:t>ETC.</w:t>
                                  </w:r>
                                </w:p>
                              </w:tc>
                              <w:tc>
                                <w:tcPr>
                                  <w:tcW w:w="829" w:type="dxa"/>
                                  <w:vMerge/>
                                  <w:tcBorders>
                                    <w:top w:val="nil"/>
                                    <w:left w:val="single" w:sz="18" w:space="0" w:color="000000"/>
                                  </w:tcBorders>
                                </w:tcPr>
                                <w:p w:rsidR="00883FED" w:rsidRDefault="00883FED">
                                  <w:pPr>
                                    <w:rPr>
                                      <w:sz w:val="2"/>
                                      <w:szCs w:val="2"/>
                                    </w:rPr>
                                  </w:pPr>
                                </w:p>
                              </w:tc>
                            </w:tr>
                            <w:tr w:rsidR="00883FED">
                              <w:trPr>
                                <w:trHeight w:val="555"/>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line="251"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2.4</w:t>
                                  </w:r>
                                </w:p>
                              </w:tc>
                              <w:tc>
                                <w:tcPr>
                                  <w:tcW w:w="8898"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ind w:left="93"/>
                                    <w:rPr>
                                      <w:rFonts w:ascii="Times New Roman"/>
                                    </w:rPr>
                                  </w:pPr>
                                  <w:r>
                                    <w:rPr>
                                      <w:rFonts w:ascii="Times New Roman"/>
                                    </w:rPr>
                                    <w:t>The</w:t>
                                  </w:r>
                                  <w:r>
                                    <w:rPr>
                                      <w:rFonts w:ascii="Times New Roman"/>
                                      <w:spacing w:val="-5"/>
                                    </w:rPr>
                                    <w:t xml:space="preserve"> </w:t>
                                  </w:r>
                                  <w:r>
                                    <w:rPr>
                                      <w:rFonts w:ascii="Times New Roman"/>
                                    </w:rPr>
                                    <w:t>Information</w:t>
                                  </w:r>
                                  <w:r>
                                    <w:rPr>
                                      <w:rFonts w:ascii="Times New Roman"/>
                                      <w:spacing w:val="-3"/>
                                    </w:rPr>
                                    <w:t xml:space="preserve"> </w:t>
                                  </w:r>
                                  <w:r>
                                    <w:rPr>
                                      <w:rFonts w:ascii="Times New Roman"/>
                                    </w:rPr>
                                    <w:t>made</w:t>
                                  </w:r>
                                  <w:r>
                                    <w:rPr>
                                      <w:rFonts w:ascii="Times New Roman"/>
                                      <w:spacing w:val="-5"/>
                                    </w:rPr>
                                    <w:t xml:space="preserve"> </w:t>
                                  </w:r>
                                  <w:r>
                                    <w:rPr>
                                      <w:rFonts w:ascii="Times New Roman"/>
                                    </w:rPr>
                                    <w:t>available</w:t>
                                  </w:r>
                                  <w:r>
                                    <w:rPr>
                                      <w:rFonts w:ascii="Times New Roman"/>
                                      <w:spacing w:val="-3"/>
                                    </w:rPr>
                                    <w:t xml:space="preserve"> </w:t>
                                  </w:r>
                                  <w:r>
                                    <w:rPr>
                                      <w:rFonts w:ascii="Times New Roman"/>
                                    </w:rPr>
                                    <w:t>on</w:t>
                                  </w:r>
                                  <w:r>
                                    <w:rPr>
                                      <w:rFonts w:ascii="Times New Roman"/>
                                      <w:spacing w:val="-3"/>
                                    </w:rPr>
                                    <w:t xml:space="preserve"> </w:t>
                                  </w:r>
                                  <w:r>
                                    <w:rPr>
                                      <w:rFonts w:ascii="Times New Roman"/>
                                    </w:rPr>
                                    <w:t>competing</w:t>
                                  </w:r>
                                  <w:r>
                                    <w:rPr>
                                      <w:rFonts w:ascii="Times New Roman"/>
                                      <w:spacing w:val="-5"/>
                                    </w:rPr>
                                    <w:t xml:space="preserve"> </w:t>
                                  </w:r>
                                  <w:r>
                                    <w:rPr>
                                      <w:rFonts w:ascii="Times New Roman"/>
                                    </w:rPr>
                                    <w:t>firms</w:t>
                                  </w:r>
                                  <w:r>
                                    <w:rPr>
                                      <w:rFonts w:ascii="Times New Roman"/>
                                      <w:spacing w:val="-5"/>
                                    </w:rPr>
                                    <w:t xml:space="preserve"> </w:t>
                                  </w:r>
                                  <w:r>
                                    <w:rPr>
                                      <w:rFonts w:ascii="Times New Roman"/>
                                    </w:rPr>
                                    <w:t>is</w:t>
                                  </w:r>
                                  <w:r>
                                    <w:rPr>
                                      <w:rFonts w:ascii="Times New Roman"/>
                                      <w:spacing w:val="-5"/>
                                    </w:rPr>
                                    <w:t xml:space="preserve"> </w:t>
                                  </w:r>
                                  <w:r>
                                    <w:rPr>
                                      <w:rFonts w:ascii="Times New Roman"/>
                                    </w:rPr>
                                    <w:t>as</w:t>
                                  </w:r>
                                  <w:r>
                                    <w:rPr>
                                      <w:rFonts w:ascii="Times New Roman"/>
                                      <w:spacing w:val="-2"/>
                                    </w:rPr>
                                    <w:t xml:space="preserve"> follows:</w:t>
                                  </w:r>
                                </w:p>
                              </w:tc>
                              <w:tc>
                                <w:tcPr>
                                  <w:tcW w:w="829" w:type="dxa"/>
                                  <w:vMerge/>
                                  <w:tcBorders>
                                    <w:top w:val="nil"/>
                                    <w:left w:val="single" w:sz="18" w:space="0" w:color="000000"/>
                                  </w:tcBorders>
                                </w:tcPr>
                                <w:p w:rsidR="00883FED" w:rsidRDefault="00883FED">
                                  <w:pPr>
                                    <w:rPr>
                                      <w:sz w:val="2"/>
                                      <w:szCs w:val="2"/>
                                    </w:rPr>
                                  </w:pPr>
                                </w:p>
                              </w:tc>
                            </w:tr>
                            <w:tr w:rsidR="00883FED">
                              <w:trPr>
                                <w:trHeight w:val="258"/>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pPr>
                                    <w:pStyle w:val="TableParagraph"/>
                                    <w:spacing w:line="238"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2.4</w:t>
                                  </w:r>
                                </w:p>
                              </w:tc>
                              <w:tc>
                                <w:tcPr>
                                  <w:tcW w:w="8898" w:type="dxa"/>
                                  <w:tcBorders>
                                    <w:top w:val="single" w:sz="12" w:space="0" w:color="000000"/>
                                    <w:left w:val="single" w:sz="12" w:space="0" w:color="000000"/>
                                    <w:right w:val="single" w:sz="12" w:space="0" w:color="000000"/>
                                  </w:tcBorders>
                                </w:tcPr>
                                <w:p w:rsidR="00883FED" w:rsidRDefault="00883FED">
                                  <w:pPr>
                                    <w:pStyle w:val="TableParagraph"/>
                                    <w:spacing w:line="238" w:lineRule="exact"/>
                                    <w:ind w:left="93"/>
                                    <w:rPr>
                                      <w:rFonts w:ascii="Times New Roman"/>
                                    </w:rPr>
                                  </w:pPr>
                                  <w:r>
                                    <w:rPr>
                                      <w:rFonts w:ascii="Times New Roman"/>
                                    </w:rPr>
                                    <w:t>The</w:t>
                                  </w:r>
                                  <w:r>
                                    <w:rPr>
                                      <w:rFonts w:ascii="Times New Roman"/>
                                      <w:spacing w:val="-6"/>
                                    </w:rPr>
                                    <w:t xml:space="preserve"> </w:t>
                                  </w:r>
                                  <w:r>
                                    <w:rPr>
                                      <w:rFonts w:ascii="Times New Roman"/>
                                    </w:rPr>
                                    <w:t>firms</w:t>
                                  </w:r>
                                  <w:r>
                                    <w:rPr>
                                      <w:rFonts w:ascii="Times New Roman"/>
                                      <w:spacing w:val="-5"/>
                                    </w:rPr>
                                    <w:t xml:space="preserve"> </w:t>
                                  </w:r>
                                  <w:r>
                                    <w:rPr>
                                      <w:rFonts w:ascii="Times New Roman"/>
                                    </w:rPr>
                                    <w:t>that</w:t>
                                  </w:r>
                                  <w:r>
                                    <w:rPr>
                                      <w:rFonts w:ascii="Times New Roman"/>
                                      <w:spacing w:val="-3"/>
                                    </w:rPr>
                                    <w:t xml:space="preserve"> </w:t>
                                  </w:r>
                                  <w:r>
                                    <w:rPr>
                                      <w:rFonts w:ascii="Times New Roman"/>
                                    </w:rPr>
                                    <w:t>provided</w:t>
                                  </w:r>
                                  <w:r>
                                    <w:rPr>
                                      <w:rFonts w:ascii="Times New Roman"/>
                                      <w:spacing w:val="-3"/>
                                    </w:rPr>
                                    <w:t xml:space="preserve"> </w:t>
                                  </w:r>
                                  <w:r>
                                    <w:rPr>
                                      <w:rFonts w:ascii="Times New Roman"/>
                                    </w:rPr>
                                    <w:t>consulting</w:t>
                                  </w:r>
                                  <w:r>
                                    <w:rPr>
                                      <w:rFonts w:ascii="Times New Roman"/>
                                      <w:spacing w:val="-6"/>
                                    </w:rPr>
                                    <w:t xml:space="preserve"> </w:t>
                                  </w:r>
                                  <w:r>
                                    <w:rPr>
                                      <w:rFonts w:ascii="Times New Roman"/>
                                    </w:rPr>
                                    <w:t>services</w:t>
                                  </w:r>
                                  <w:r>
                                    <w:rPr>
                                      <w:rFonts w:ascii="Times New Roman"/>
                                      <w:spacing w:val="-5"/>
                                    </w:rPr>
                                    <w:t xml:space="preserve"> </w:t>
                                  </w:r>
                                  <w:r>
                                    <w:rPr>
                                      <w:rFonts w:ascii="Times New Roman"/>
                                    </w:rPr>
                                    <w:t>for</w:t>
                                  </w:r>
                                  <w:r>
                                    <w:rPr>
                                      <w:rFonts w:ascii="Times New Roman"/>
                                      <w:spacing w:val="-6"/>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3"/>
                                    </w:rPr>
                                    <w:t xml:space="preserve"> </w:t>
                                  </w:r>
                                  <w:r>
                                    <w:rPr>
                                      <w:rFonts w:ascii="Times New Roman"/>
                                    </w:rPr>
                                    <w:t>being</w:t>
                                  </w:r>
                                  <w:r>
                                    <w:rPr>
                                      <w:rFonts w:ascii="Times New Roman"/>
                                      <w:spacing w:val="-6"/>
                                    </w:rPr>
                                    <w:t xml:space="preserve"> </w:t>
                                  </w:r>
                                  <w:r>
                                    <w:rPr>
                                      <w:rFonts w:ascii="Times New Roman"/>
                                    </w:rPr>
                                    <w:t>tendered</w:t>
                                  </w:r>
                                  <w:r>
                                    <w:rPr>
                                      <w:rFonts w:ascii="Times New Roman"/>
                                      <w:spacing w:val="-3"/>
                                    </w:rPr>
                                    <w:t xml:space="preserve"> </w:t>
                                  </w:r>
                                  <w:r>
                                    <w:rPr>
                                      <w:rFonts w:ascii="Times New Roman"/>
                                    </w:rPr>
                                    <w:t>for</w:t>
                                  </w:r>
                                  <w:r>
                                    <w:rPr>
                                      <w:rFonts w:ascii="Times New Roman"/>
                                      <w:spacing w:val="-3"/>
                                    </w:rPr>
                                    <w:t xml:space="preserve"> </w:t>
                                  </w:r>
                                  <w:r>
                                    <w:rPr>
                                      <w:rFonts w:ascii="Times New Roman"/>
                                      <w:spacing w:val="-4"/>
                                    </w:rPr>
                                    <w:t>are:</w:t>
                                  </w:r>
                                </w:p>
                              </w:tc>
                              <w:tc>
                                <w:tcPr>
                                  <w:tcW w:w="829" w:type="dxa"/>
                                  <w:vMerge/>
                                  <w:tcBorders>
                                    <w:top w:val="nil"/>
                                    <w:left w:val="single" w:sz="18" w:space="0" w:color="000000"/>
                                  </w:tcBorders>
                                </w:tcPr>
                                <w:p w:rsidR="00883FED" w:rsidRDefault="00883FED">
                                  <w:pPr>
                                    <w:rPr>
                                      <w:sz w:val="2"/>
                                      <w:szCs w:val="2"/>
                                    </w:rPr>
                                  </w:pPr>
                                </w:p>
                              </w:tc>
                            </w:tr>
                            <w:tr w:rsidR="00883FED">
                              <w:trPr>
                                <w:trHeight w:val="551"/>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spacing w:line="249" w:lineRule="exact"/>
                                    <w:ind w:left="93"/>
                                    <w:rPr>
                                      <w:rFonts w:ascii="Times New Roman"/>
                                      <w:b/>
                                    </w:rPr>
                                  </w:pPr>
                                  <w:r>
                                    <w:rPr>
                                      <w:rFonts w:ascii="Times New Roman"/>
                                      <w:b/>
                                    </w:rPr>
                                    <w:t>STATE</w:t>
                                  </w:r>
                                  <w:r>
                                    <w:rPr>
                                      <w:rFonts w:ascii="Times New Roman"/>
                                      <w:b/>
                                      <w:spacing w:val="-6"/>
                                    </w:rPr>
                                    <w:t xml:space="preserve"> </w:t>
                                  </w:r>
                                  <w:r>
                                    <w:rPr>
                                      <w:rFonts w:ascii="Times New Roman"/>
                                      <w:b/>
                                    </w:rPr>
                                    <w:t>DEPARTMENT</w:t>
                                  </w:r>
                                  <w:r>
                                    <w:rPr>
                                      <w:rFonts w:ascii="Times New Roman"/>
                                      <w:b/>
                                      <w:spacing w:val="-2"/>
                                    </w:rPr>
                                    <w:t xml:space="preserve"> </w:t>
                                  </w:r>
                                  <w:r>
                                    <w:rPr>
                                      <w:rFonts w:ascii="Times New Roman"/>
                                      <w:b/>
                                    </w:rPr>
                                    <w:t>FOR</w:t>
                                  </w:r>
                                  <w:r>
                                    <w:rPr>
                                      <w:rFonts w:ascii="Times New Roman"/>
                                      <w:b/>
                                      <w:spacing w:val="-5"/>
                                    </w:rPr>
                                    <w:t xml:space="preserve"> </w:t>
                                  </w:r>
                                  <w:r>
                                    <w:rPr>
                                      <w:rFonts w:ascii="Times New Roman"/>
                                      <w:b/>
                                    </w:rPr>
                                    <w:t>PUBLIC</w:t>
                                  </w:r>
                                  <w:r>
                                    <w:rPr>
                                      <w:rFonts w:ascii="Times New Roman"/>
                                      <w:b/>
                                      <w:spacing w:val="-4"/>
                                    </w:rPr>
                                    <w:t xml:space="preserve"> </w:t>
                                  </w:r>
                                  <w:r>
                                    <w:rPr>
                                      <w:rFonts w:ascii="Times New Roman"/>
                                      <w:b/>
                                    </w:rPr>
                                    <w:t>WORKS,</w:t>
                                  </w:r>
                                  <w:r>
                                    <w:rPr>
                                      <w:rFonts w:ascii="Times New Roman"/>
                                      <w:b/>
                                      <w:spacing w:val="-7"/>
                                    </w:rPr>
                                    <w:t xml:space="preserve"> </w:t>
                                  </w:r>
                                  <w:r>
                                    <w:rPr>
                                      <w:rFonts w:ascii="Times New Roman"/>
                                      <w:b/>
                                    </w:rPr>
                                    <w:t>P.O.BOX</w:t>
                                  </w:r>
                                  <w:r>
                                    <w:rPr>
                                      <w:rFonts w:ascii="Times New Roman"/>
                                      <w:b/>
                                      <w:spacing w:val="-4"/>
                                    </w:rPr>
                                    <w:t xml:space="preserve"> </w:t>
                                  </w:r>
                                  <w:r>
                                    <w:rPr>
                                      <w:rFonts w:ascii="Times New Roman"/>
                                      <w:b/>
                                    </w:rPr>
                                    <w:t>821-40100</w:t>
                                  </w:r>
                                  <w:r>
                                    <w:rPr>
                                      <w:rFonts w:ascii="Times New Roman"/>
                                      <w:b/>
                                      <w:spacing w:val="-6"/>
                                    </w:rPr>
                                    <w:t xml:space="preserve"> </w:t>
                                  </w:r>
                                  <w:r>
                                    <w:rPr>
                                      <w:rFonts w:ascii="Times New Roman"/>
                                      <w:b/>
                                      <w:spacing w:val="-2"/>
                                    </w:rPr>
                                    <w:t>KISUMU</w:t>
                                  </w:r>
                                </w:p>
                              </w:tc>
                              <w:tc>
                                <w:tcPr>
                                  <w:tcW w:w="829" w:type="dxa"/>
                                  <w:vMerge/>
                                  <w:tcBorders>
                                    <w:top w:val="nil"/>
                                    <w:left w:val="single" w:sz="18" w:space="0" w:color="000000"/>
                                  </w:tcBorders>
                                </w:tcPr>
                                <w:p w:rsidR="00883FED" w:rsidRDefault="00883FED">
                                  <w:pPr>
                                    <w:rPr>
                                      <w:sz w:val="2"/>
                                      <w:szCs w:val="2"/>
                                    </w:rPr>
                                  </w:pPr>
                                </w:p>
                              </w:tc>
                            </w:tr>
                            <w:tr w:rsidR="00883FED">
                              <w:trPr>
                                <w:trHeight w:val="250"/>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rPr>
                                      <w:rFonts w:ascii="Times New Roman"/>
                                      <w:sz w:val="18"/>
                                    </w:rPr>
                                  </w:pPr>
                                </w:p>
                              </w:tc>
                              <w:tc>
                                <w:tcPr>
                                  <w:tcW w:w="8898"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rPr>
                                      <w:rFonts w:ascii="Times New Roman"/>
                                      <w:sz w:val="18"/>
                                    </w:rPr>
                                  </w:pPr>
                                </w:p>
                              </w:tc>
                              <w:tc>
                                <w:tcPr>
                                  <w:tcW w:w="829" w:type="dxa"/>
                                  <w:vMerge/>
                                  <w:tcBorders>
                                    <w:top w:val="nil"/>
                                    <w:left w:val="single" w:sz="18" w:space="0" w:color="000000"/>
                                  </w:tcBorders>
                                </w:tcPr>
                                <w:p w:rsidR="00883FED" w:rsidRDefault="00883FED">
                                  <w:pPr>
                                    <w:rPr>
                                      <w:sz w:val="2"/>
                                      <w:szCs w:val="2"/>
                                    </w:rPr>
                                  </w:pPr>
                                </w:p>
                              </w:tc>
                            </w:tr>
                            <w:tr w:rsidR="00883FED">
                              <w:trPr>
                                <w:trHeight w:val="284"/>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before="1"/>
                                    <w:ind w:left="93"/>
                                    <w:rPr>
                                      <w:rFonts w:ascii="Times New Roman"/>
                                      <w:b/>
                                    </w:rPr>
                                  </w:pPr>
                                  <w:r>
                                    <w:rPr>
                                      <w:rFonts w:ascii="Times New Roman"/>
                                      <w:b/>
                                    </w:rPr>
                                    <w:t>ITT</w:t>
                                  </w:r>
                                  <w:r>
                                    <w:rPr>
                                      <w:rFonts w:ascii="Times New Roman"/>
                                      <w:b/>
                                      <w:spacing w:val="-2"/>
                                    </w:rPr>
                                    <w:t xml:space="preserve"> </w:t>
                                  </w:r>
                                  <w:r>
                                    <w:rPr>
                                      <w:rFonts w:ascii="Times New Roman"/>
                                      <w:b/>
                                      <w:spacing w:val="-5"/>
                                    </w:rPr>
                                    <w:t>3.1</w:t>
                                  </w:r>
                                </w:p>
                              </w:tc>
                              <w:tc>
                                <w:tcPr>
                                  <w:tcW w:w="8898"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before="3" w:line="262" w:lineRule="exact"/>
                                    <w:ind w:left="93"/>
                                    <w:rPr>
                                      <w:rFonts w:ascii="Times New Roman"/>
                                      <w:b/>
                                      <w:i/>
                                      <w:position w:val="-2"/>
                                    </w:rPr>
                                  </w:pPr>
                                  <w:r>
                                    <w:rPr>
                                      <w:rFonts w:ascii="Times New Roman"/>
                                    </w:rPr>
                                    <w:t>Maximum</w:t>
                                  </w:r>
                                  <w:r>
                                    <w:rPr>
                                      <w:rFonts w:ascii="Times New Roman"/>
                                      <w:spacing w:val="-3"/>
                                    </w:rPr>
                                    <w:t xml:space="preserve"> </w:t>
                                  </w:r>
                                  <w:r>
                                    <w:rPr>
                                      <w:rFonts w:ascii="Times New Roman"/>
                                    </w:rPr>
                                    <w:t>number</w:t>
                                  </w:r>
                                  <w:r>
                                    <w:rPr>
                                      <w:rFonts w:ascii="Times New Roman"/>
                                      <w:spacing w:val="-2"/>
                                    </w:rPr>
                                    <w:t xml:space="preserve"> </w:t>
                                  </w:r>
                                  <w:r>
                                    <w:rPr>
                                      <w:rFonts w:ascii="Times New Roman"/>
                                    </w:rPr>
                                    <w:t>of</w:t>
                                  </w:r>
                                  <w:r>
                                    <w:rPr>
                                      <w:rFonts w:ascii="Times New Roman"/>
                                      <w:spacing w:val="-6"/>
                                    </w:rPr>
                                    <w:t xml:space="preserve"> </w:t>
                                  </w:r>
                                  <w:r>
                                    <w:rPr>
                                      <w:rFonts w:ascii="Times New Roman"/>
                                    </w:rPr>
                                    <w:t>members</w:t>
                                  </w:r>
                                  <w:r>
                                    <w:rPr>
                                      <w:rFonts w:ascii="Times New Roman"/>
                                      <w:spacing w:val="-5"/>
                                    </w:rPr>
                                    <w:t xml:space="preserve"> </w:t>
                                  </w:r>
                                  <w:r>
                                    <w:rPr>
                                      <w:rFonts w:ascii="Times New Roman"/>
                                    </w:rPr>
                                    <w:t>in</w:t>
                                  </w:r>
                                  <w:r>
                                    <w:rPr>
                                      <w:rFonts w:ascii="Times New Roman"/>
                                      <w:spacing w:val="-6"/>
                                    </w:rPr>
                                    <w:t xml:space="preserve"> </w:t>
                                  </w:r>
                                  <w:r>
                                    <w:rPr>
                                      <w:rFonts w:ascii="Times New Roman"/>
                                    </w:rPr>
                                    <w:t>the</w:t>
                                  </w:r>
                                  <w:r>
                                    <w:rPr>
                                      <w:rFonts w:ascii="Times New Roman"/>
                                      <w:spacing w:val="-6"/>
                                    </w:rPr>
                                    <w:t xml:space="preserve"> </w:t>
                                  </w:r>
                                  <w:r>
                                    <w:rPr>
                                      <w:rFonts w:ascii="Times New Roman"/>
                                    </w:rPr>
                                    <w:t>Joint</w:t>
                                  </w:r>
                                  <w:r>
                                    <w:rPr>
                                      <w:rFonts w:ascii="Times New Roman"/>
                                      <w:spacing w:val="-2"/>
                                    </w:rPr>
                                    <w:t xml:space="preserve"> </w:t>
                                  </w:r>
                                  <w:r>
                                    <w:rPr>
                                      <w:rFonts w:ascii="Times New Roman"/>
                                    </w:rPr>
                                    <w:t>Venture</w:t>
                                  </w:r>
                                  <w:r>
                                    <w:rPr>
                                      <w:rFonts w:ascii="Times New Roman"/>
                                      <w:spacing w:val="-3"/>
                                    </w:rPr>
                                    <w:t xml:space="preserve"> </w:t>
                                  </w:r>
                                  <w:r>
                                    <w:rPr>
                                      <w:rFonts w:ascii="Times New Roman"/>
                                    </w:rPr>
                                    <w:t>(JV)</w:t>
                                  </w:r>
                                  <w:r>
                                    <w:rPr>
                                      <w:rFonts w:ascii="Times New Roman"/>
                                      <w:spacing w:val="-4"/>
                                    </w:rPr>
                                    <w:t xml:space="preserve"> </w:t>
                                  </w:r>
                                  <w:r>
                                    <w:rPr>
                                      <w:rFonts w:ascii="Times New Roman"/>
                                    </w:rPr>
                                    <w:t>shall</w:t>
                                  </w:r>
                                  <w:r>
                                    <w:rPr>
                                      <w:rFonts w:ascii="Times New Roman"/>
                                      <w:spacing w:val="-2"/>
                                    </w:rPr>
                                    <w:t xml:space="preserve"> </w:t>
                                  </w:r>
                                  <w:r>
                                    <w:rPr>
                                      <w:rFonts w:ascii="Times New Roman"/>
                                    </w:rPr>
                                    <w:t>be:</w:t>
                                  </w:r>
                                  <w:r>
                                    <w:rPr>
                                      <w:rFonts w:ascii="Times New Roman"/>
                                      <w:spacing w:val="1"/>
                                    </w:rPr>
                                    <w:t xml:space="preserve"> </w:t>
                                  </w:r>
                                  <w:r>
                                    <w:rPr>
                                      <w:rFonts w:ascii="Times New Roman"/>
                                      <w:b/>
                                      <w:i/>
                                      <w:position w:val="-2"/>
                                    </w:rPr>
                                    <w:t>Not</w:t>
                                  </w:r>
                                  <w:r>
                                    <w:rPr>
                                      <w:rFonts w:ascii="Times New Roman"/>
                                      <w:b/>
                                      <w:i/>
                                      <w:spacing w:val="-2"/>
                                      <w:position w:val="-2"/>
                                    </w:rPr>
                                    <w:t xml:space="preserve"> applicable</w:t>
                                  </w:r>
                                </w:p>
                              </w:tc>
                              <w:tc>
                                <w:tcPr>
                                  <w:tcW w:w="829" w:type="dxa"/>
                                  <w:vMerge/>
                                  <w:tcBorders>
                                    <w:top w:val="nil"/>
                                    <w:left w:val="single" w:sz="18" w:space="0" w:color="000000"/>
                                  </w:tcBorders>
                                </w:tcPr>
                                <w:p w:rsidR="00883FED" w:rsidRDefault="00883FED">
                                  <w:pPr>
                                    <w:rPr>
                                      <w:sz w:val="2"/>
                                      <w:szCs w:val="2"/>
                                    </w:rPr>
                                  </w:pPr>
                                </w:p>
                              </w:tc>
                            </w:tr>
                            <w:tr w:rsidR="00883FED">
                              <w:trPr>
                                <w:trHeight w:val="253"/>
                              </w:trPr>
                              <w:tc>
                                <w:tcPr>
                                  <w:tcW w:w="704" w:type="dxa"/>
                                  <w:vMerge/>
                                  <w:tcBorders>
                                    <w:top w:val="nil"/>
                                    <w:right w:val="single" w:sz="12" w:space="0" w:color="000000"/>
                                  </w:tcBorders>
                                </w:tcPr>
                                <w:p w:rsidR="00883FED" w:rsidRDefault="00883FED">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line="233" w:lineRule="exact"/>
                                    <w:ind w:left="93"/>
                                    <w:rPr>
                                      <w:rFonts w:ascii="Times New Roman"/>
                                      <w:b/>
                                    </w:rPr>
                                  </w:pPr>
                                  <w:r>
                                    <w:rPr>
                                      <w:rFonts w:ascii="Times New Roman"/>
                                      <w:b/>
                                    </w:rPr>
                                    <w:t>B.</w:t>
                                  </w:r>
                                  <w:r>
                                    <w:rPr>
                                      <w:rFonts w:ascii="Times New Roman"/>
                                      <w:b/>
                                      <w:spacing w:val="51"/>
                                    </w:rPr>
                                    <w:t xml:space="preserve"> </w:t>
                                  </w:r>
                                  <w:r>
                                    <w:rPr>
                                      <w:rFonts w:ascii="Times New Roman"/>
                                      <w:b/>
                                    </w:rPr>
                                    <w:t>Contents</w:t>
                                  </w:r>
                                  <w:r>
                                    <w:rPr>
                                      <w:rFonts w:ascii="Times New Roman"/>
                                      <w:b/>
                                      <w:spacing w:val="-2"/>
                                    </w:rPr>
                                    <w:t xml:space="preserve"> </w:t>
                                  </w:r>
                                  <w:r>
                                    <w:rPr>
                                      <w:rFonts w:ascii="Times New Roman"/>
                                      <w:b/>
                                    </w:rPr>
                                    <w:t>of</w:t>
                                  </w:r>
                                  <w:r>
                                    <w:rPr>
                                      <w:rFonts w:ascii="Times New Roman"/>
                                      <w:b/>
                                      <w:spacing w:val="-1"/>
                                    </w:rPr>
                                    <w:t xml:space="preserve"> </w:t>
                                  </w:r>
                                  <w:r>
                                    <w:rPr>
                                      <w:rFonts w:ascii="Times New Roman"/>
                                      <w:b/>
                                    </w:rPr>
                                    <w:t>Tender</w:t>
                                  </w:r>
                                  <w:r>
                                    <w:rPr>
                                      <w:rFonts w:ascii="Times New Roman"/>
                                      <w:b/>
                                      <w:spacing w:val="-1"/>
                                    </w:rPr>
                                    <w:t xml:space="preserve"> </w:t>
                                  </w:r>
                                  <w:r>
                                    <w:rPr>
                                      <w:rFonts w:ascii="Times New Roman"/>
                                      <w:b/>
                                      <w:spacing w:val="-2"/>
                                    </w:rPr>
                                    <w:t>Document</w:t>
                                  </w:r>
                                </w:p>
                              </w:tc>
                              <w:tc>
                                <w:tcPr>
                                  <w:tcW w:w="829" w:type="dxa"/>
                                  <w:vMerge/>
                                  <w:tcBorders>
                                    <w:top w:val="nil"/>
                                    <w:left w:val="single" w:sz="18" w:space="0" w:color="000000"/>
                                  </w:tcBorders>
                                </w:tcPr>
                                <w:p w:rsidR="00883FED" w:rsidRDefault="00883FED">
                                  <w:pPr>
                                    <w:rPr>
                                      <w:sz w:val="2"/>
                                      <w:szCs w:val="2"/>
                                    </w:rPr>
                                  </w:pPr>
                                </w:p>
                              </w:tc>
                            </w:tr>
                            <w:tr w:rsidR="00883FED">
                              <w:trPr>
                                <w:trHeight w:val="256"/>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pPr>
                                    <w:pStyle w:val="TableParagraph"/>
                                    <w:spacing w:line="236"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7.1</w:t>
                                  </w:r>
                                </w:p>
                              </w:tc>
                              <w:tc>
                                <w:tcPr>
                                  <w:tcW w:w="8898" w:type="dxa"/>
                                  <w:tcBorders>
                                    <w:top w:val="single" w:sz="12" w:space="0" w:color="000000"/>
                                    <w:left w:val="single" w:sz="12" w:space="0" w:color="000000"/>
                                    <w:right w:val="single" w:sz="12" w:space="0" w:color="000000"/>
                                  </w:tcBorders>
                                </w:tcPr>
                                <w:p w:rsidR="00883FED" w:rsidRDefault="00883FED">
                                  <w:pPr>
                                    <w:pStyle w:val="TableParagraph"/>
                                    <w:spacing w:line="236" w:lineRule="exact"/>
                                    <w:ind w:left="93"/>
                                    <w:rPr>
                                      <w:rFonts w:ascii="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5"/>
                                    </w:rPr>
                                    <w:t xml:space="preserve"> </w:t>
                                  </w:r>
                                  <w:r>
                                    <w:rPr>
                                      <w:rFonts w:ascii="Times New Roman"/>
                                    </w:rPr>
                                    <w:t>The</w:t>
                                  </w:r>
                                  <w:r>
                                    <w:rPr>
                                      <w:rFonts w:ascii="Times New Roman"/>
                                      <w:spacing w:val="-3"/>
                                    </w:rPr>
                                    <w:t xml:space="preserve"> </w:t>
                                  </w:r>
                                  <w:r>
                                    <w:rPr>
                                      <w:rFonts w:ascii="Times New Roman"/>
                                    </w:rPr>
                                    <w:t>Tenderer</w:t>
                                  </w:r>
                                  <w:r>
                                    <w:rPr>
                                      <w:rFonts w:ascii="Times New Roman"/>
                                      <w:spacing w:val="-2"/>
                                    </w:rPr>
                                    <w:t xml:space="preserve"> </w:t>
                                  </w:r>
                                  <w:r>
                                    <w:rPr>
                                      <w:rFonts w:ascii="Times New Roman"/>
                                    </w:rPr>
                                    <w:t>will</w:t>
                                  </w:r>
                                  <w:r>
                                    <w:rPr>
                                      <w:rFonts w:ascii="Times New Roman"/>
                                      <w:spacing w:val="-2"/>
                                    </w:rPr>
                                    <w:t xml:space="preserve"> </w:t>
                                  </w:r>
                                  <w:r>
                                    <w:rPr>
                                      <w:rFonts w:ascii="Times New Roman"/>
                                    </w:rPr>
                                    <w:t>submit</w:t>
                                  </w:r>
                                  <w:r>
                                    <w:rPr>
                                      <w:rFonts w:ascii="Times New Roman"/>
                                      <w:spacing w:val="-3"/>
                                    </w:rPr>
                                    <w:t xml:space="preserve"> </w:t>
                                  </w:r>
                                  <w:r>
                                    <w:rPr>
                                      <w:rFonts w:ascii="Times New Roman"/>
                                    </w:rPr>
                                    <w:t>any</w:t>
                                  </w:r>
                                  <w:r>
                                    <w:rPr>
                                      <w:rFonts w:ascii="Times New Roman"/>
                                      <w:spacing w:val="-5"/>
                                    </w:rPr>
                                    <w:t xml:space="preserve"> </w:t>
                                  </w:r>
                                  <w:r>
                                    <w:rPr>
                                      <w:rFonts w:ascii="Times New Roman"/>
                                    </w:rPr>
                                    <w:t>request</w:t>
                                  </w:r>
                                  <w:r>
                                    <w:rPr>
                                      <w:rFonts w:ascii="Times New Roman"/>
                                      <w:spacing w:val="-3"/>
                                    </w:rPr>
                                    <w:t xml:space="preserve"> </w:t>
                                  </w:r>
                                  <w:r>
                                    <w:rPr>
                                      <w:rFonts w:ascii="Times New Roman"/>
                                    </w:rPr>
                                    <w:t>for</w:t>
                                  </w:r>
                                  <w:r>
                                    <w:rPr>
                                      <w:rFonts w:ascii="Times New Roman"/>
                                      <w:spacing w:val="-3"/>
                                    </w:rPr>
                                    <w:t xml:space="preserve"> </w:t>
                                  </w:r>
                                  <w:r>
                                    <w:rPr>
                                      <w:rFonts w:ascii="Times New Roman"/>
                                    </w:rPr>
                                    <w:t>clarifications</w:t>
                                  </w:r>
                                  <w:r>
                                    <w:rPr>
                                      <w:rFonts w:ascii="Times New Roman"/>
                                      <w:spacing w:val="-2"/>
                                    </w:rPr>
                                    <w:t xml:space="preserve"> </w:t>
                                  </w:r>
                                  <w:r>
                                    <w:rPr>
                                      <w:rFonts w:ascii="Times New Roman"/>
                                    </w:rPr>
                                    <w:t>in</w:t>
                                  </w:r>
                                  <w:r>
                                    <w:rPr>
                                      <w:rFonts w:ascii="Times New Roman"/>
                                      <w:spacing w:val="-3"/>
                                    </w:rPr>
                                    <w:t xml:space="preserve"> </w:t>
                                  </w:r>
                                  <w:r>
                                    <w:rPr>
                                      <w:rFonts w:ascii="Times New Roman"/>
                                    </w:rPr>
                                    <w:t>writing</w:t>
                                  </w:r>
                                  <w:r>
                                    <w:rPr>
                                      <w:rFonts w:ascii="Times New Roman"/>
                                      <w:spacing w:val="-4"/>
                                    </w:rPr>
                                    <w:t xml:space="preserve"> </w:t>
                                  </w:r>
                                  <w:r>
                                    <w:rPr>
                                      <w:rFonts w:ascii="Times New Roman"/>
                                    </w:rPr>
                                    <w:t>at</w:t>
                                  </w:r>
                                  <w:r>
                                    <w:rPr>
                                      <w:rFonts w:ascii="Times New Roman"/>
                                      <w:spacing w:val="-4"/>
                                    </w:rPr>
                                    <w:t xml:space="preserve"> </w:t>
                                  </w:r>
                                  <w:r>
                                    <w:rPr>
                                      <w:rFonts w:ascii="Times New Roman"/>
                                    </w:rPr>
                                    <w:t>the</w:t>
                                  </w:r>
                                  <w:r>
                                    <w:rPr>
                                      <w:rFonts w:ascii="Times New Roman"/>
                                      <w:spacing w:val="-4"/>
                                    </w:rPr>
                                    <w:t xml:space="preserve"> </w:t>
                                  </w:r>
                                  <w:r>
                                    <w:rPr>
                                      <w:rFonts w:ascii="Times New Roman"/>
                                    </w:rPr>
                                    <w:t>Address</w:t>
                                  </w:r>
                                  <w:r>
                                    <w:rPr>
                                      <w:rFonts w:ascii="Times New Roman"/>
                                      <w:spacing w:val="-4"/>
                                    </w:rPr>
                                    <w:t xml:space="preserve"> </w:t>
                                  </w:r>
                                  <w:r>
                                    <w:rPr>
                                      <w:rFonts w:ascii="Times New Roman"/>
                                    </w:rPr>
                                    <w:t>:</w:t>
                                  </w:r>
                                  <w:r>
                                    <w:rPr>
                                      <w:rFonts w:ascii="Times New Roman"/>
                                      <w:spacing w:val="-2"/>
                                    </w:rPr>
                                    <w:t xml:space="preserve"> </w:t>
                                  </w:r>
                                  <w:r>
                                    <w:rPr>
                                      <w:rFonts w:ascii="Times New Roman"/>
                                      <w:spacing w:val="-5"/>
                                    </w:rPr>
                                    <w:t>OF</w:t>
                                  </w:r>
                                </w:p>
                              </w:tc>
                              <w:tc>
                                <w:tcPr>
                                  <w:tcW w:w="829" w:type="dxa"/>
                                  <w:vMerge/>
                                  <w:tcBorders>
                                    <w:top w:val="nil"/>
                                    <w:left w:val="single" w:sz="18" w:space="0" w:color="000000"/>
                                  </w:tcBorders>
                                </w:tcPr>
                                <w:p w:rsidR="00883FED" w:rsidRDefault="00883FED">
                                  <w:pPr>
                                    <w:rPr>
                                      <w:sz w:val="2"/>
                                      <w:szCs w:val="2"/>
                                    </w:rPr>
                                  </w:pPr>
                                </w:p>
                              </w:tc>
                            </w:tr>
                            <w:tr w:rsidR="00883FED">
                              <w:trPr>
                                <w:trHeight w:val="253"/>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pPr>
                                    <w:pStyle w:val="TableParagraph"/>
                                    <w:spacing w:line="233" w:lineRule="exact"/>
                                    <w:ind w:left="93"/>
                                    <w:rPr>
                                      <w:rFonts w:ascii="Times New Roman"/>
                                    </w:rPr>
                                  </w:pPr>
                                  <w:r>
                                    <w:rPr>
                                      <w:rFonts w:ascii="Times New Roman"/>
                                    </w:rPr>
                                    <w:t>PROCURING</w:t>
                                  </w:r>
                                  <w:r>
                                    <w:rPr>
                                      <w:rFonts w:ascii="Times New Roman"/>
                                      <w:spacing w:val="-11"/>
                                    </w:rPr>
                                    <w:t xml:space="preserve"> </w:t>
                                  </w:r>
                                  <w:r>
                                    <w:rPr>
                                      <w:rFonts w:ascii="Times New Roman"/>
                                      <w:spacing w:val="-2"/>
                                    </w:rPr>
                                    <w:t>ENTITY</w:t>
                                  </w:r>
                                </w:p>
                              </w:tc>
                              <w:tc>
                                <w:tcPr>
                                  <w:tcW w:w="829" w:type="dxa"/>
                                  <w:vMerge/>
                                  <w:tcBorders>
                                    <w:top w:val="nil"/>
                                    <w:left w:val="single" w:sz="18" w:space="0" w:color="000000"/>
                                  </w:tcBorders>
                                </w:tcPr>
                                <w:p w:rsidR="00883FED" w:rsidRDefault="00883FED">
                                  <w:pPr>
                                    <w:rPr>
                                      <w:sz w:val="2"/>
                                      <w:szCs w:val="2"/>
                                    </w:rPr>
                                  </w:pPr>
                                </w:p>
                              </w:tc>
                            </w:tr>
                            <w:tr w:rsidR="00883FED">
                              <w:trPr>
                                <w:trHeight w:val="253"/>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rsidP="00B22BD9">
                                  <w:pPr>
                                    <w:pStyle w:val="TableParagraph"/>
                                    <w:tabs>
                                      <w:tab w:val="left" w:pos="4188"/>
                                    </w:tabs>
                                    <w:spacing w:line="233" w:lineRule="exact"/>
                                    <w:ind w:left="93"/>
                                    <w:rPr>
                                      <w:rFonts w:ascii="Times New Roman"/>
                                      <w:b/>
                                      <w:i/>
                                    </w:rPr>
                                  </w:pPr>
                                  <w:r>
                                    <w:rPr>
                                      <w:rFonts w:ascii="Times New Roman"/>
                                    </w:rPr>
                                    <w:t>to</w:t>
                                  </w:r>
                                  <w:r>
                                    <w:rPr>
                                      <w:rFonts w:ascii="Times New Roman"/>
                                      <w:spacing w:val="-3"/>
                                    </w:rPr>
                                    <w:t xml:space="preserve"> </w:t>
                                  </w:r>
                                  <w:r>
                                    <w:rPr>
                                      <w:rFonts w:ascii="Times New Roman"/>
                                    </w:rPr>
                                    <w:t>reach</w:t>
                                  </w:r>
                                  <w:r>
                                    <w:rPr>
                                      <w:rFonts w:ascii="Times New Roman"/>
                                      <w:spacing w:val="-4"/>
                                    </w:rPr>
                                    <w:t xml:space="preserve"> </w:t>
                                  </w:r>
                                  <w:r>
                                    <w:rPr>
                                      <w:rFonts w:ascii="Times New Roman"/>
                                    </w:rPr>
                                    <w:t>the</w:t>
                                  </w:r>
                                  <w:r>
                                    <w:rPr>
                                      <w:rFonts w:ascii="Times New Roman"/>
                                      <w:spacing w:val="-4"/>
                                    </w:rPr>
                                    <w:t xml:space="preserve"> </w:t>
                                  </w:r>
                                  <w:r>
                                    <w:rPr>
                                      <w:rFonts w:ascii="Times New Roman"/>
                                    </w:rPr>
                                    <w:t>Procuring</w:t>
                                  </w:r>
                                  <w:r>
                                    <w:rPr>
                                      <w:rFonts w:ascii="Times New Roman"/>
                                      <w:spacing w:val="-2"/>
                                    </w:rPr>
                                    <w:t xml:space="preserve"> </w:t>
                                  </w:r>
                                  <w:r>
                                    <w:rPr>
                                      <w:rFonts w:ascii="Times New Roman"/>
                                    </w:rPr>
                                    <w:t>Entity</w:t>
                                  </w:r>
                                  <w:r>
                                    <w:rPr>
                                      <w:rFonts w:ascii="Times New Roman"/>
                                      <w:spacing w:val="-2"/>
                                    </w:rPr>
                                    <w:t xml:space="preserve"> </w:t>
                                  </w:r>
                                  <w:r>
                                    <w:rPr>
                                      <w:rFonts w:ascii="Times New Roman"/>
                                    </w:rPr>
                                    <w:t>not</w:t>
                                  </w:r>
                                  <w:r>
                                    <w:rPr>
                                      <w:rFonts w:ascii="Times New Roman"/>
                                      <w:spacing w:val="-4"/>
                                    </w:rPr>
                                    <w:t xml:space="preserve"> </w:t>
                                  </w:r>
                                  <w:r>
                                    <w:rPr>
                                      <w:rFonts w:ascii="Times New Roman"/>
                                    </w:rPr>
                                    <w:t>later</w:t>
                                  </w:r>
                                  <w:r>
                                    <w:rPr>
                                      <w:rFonts w:ascii="Times New Roman"/>
                                      <w:spacing w:val="-4"/>
                                    </w:rPr>
                                    <w:t xml:space="preserve"> than</w:t>
                                  </w:r>
                                  <w:r>
                                    <w:rPr>
                                      <w:rFonts w:ascii="Times New Roman"/>
                                    </w:rPr>
                                    <w:t xml:space="preserve"> </w:t>
                                  </w:r>
                                  <w:r w:rsidR="00715D2C">
                                    <w:rPr>
                                      <w:rFonts w:ascii="Times New Roman"/>
                                      <w:b/>
                                    </w:rPr>
                                    <w:t>16</w:t>
                                  </w:r>
                                  <w:r w:rsidRPr="00B22BD9">
                                    <w:rPr>
                                      <w:rFonts w:ascii="Times New Roman"/>
                                      <w:b/>
                                      <w:vertAlign w:val="superscript"/>
                                    </w:rPr>
                                    <w:t>th</w:t>
                                  </w:r>
                                  <w:r w:rsidRPr="00B22BD9">
                                    <w:rPr>
                                      <w:rFonts w:ascii="Times New Roman"/>
                                      <w:b/>
                                    </w:rPr>
                                    <w:t xml:space="preserve"> April,2026</w:t>
                                  </w:r>
                                  <w:r>
                                    <w:rPr>
                                      <w:rFonts w:ascii="Times New Roman"/>
                                      <w:b/>
                                      <w:i/>
                                      <w:color w:val="302E2E"/>
                                      <w:spacing w:val="38"/>
                                    </w:rPr>
                                    <w:t xml:space="preserve"> </w:t>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rsidP="0074681E">
                                  <w:pPr>
                                    <w:pStyle w:val="TableParagraph"/>
                                    <w:tabs>
                                      <w:tab w:val="left" w:pos="3912"/>
                                    </w:tabs>
                                    <w:spacing w:line="249" w:lineRule="exact"/>
                                    <w:rPr>
                                      <w:rFonts w:ascii="Times New Roman"/>
                                      <w:b/>
                                      <w:i/>
                                    </w:rPr>
                                  </w:pPr>
                                  <w:r>
                                    <w:rPr>
                                      <w:rFonts w:ascii="Times New Roman"/>
                                      <w:b/>
                                      <w:i/>
                                      <w:color w:val="302E2E"/>
                                      <w:u w:val="single" w:color="2F2D2D"/>
                                    </w:rPr>
                                    <w:tab/>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spacing w:before="121" w:line="238" w:lineRule="exact"/>
                                    <w:ind w:left="93"/>
                                    <w:rPr>
                                      <w:rFonts w:ascii="Times New Roman"/>
                                      <w:b/>
                                      <w:i/>
                                    </w:rPr>
                                  </w:pPr>
                                  <w:r>
                                    <w:rPr>
                                      <w:rFonts w:ascii="Times New Roman"/>
                                    </w:rPr>
                                    <w:t>(ii)</w:t>
                                  </w:r>
                                  <w:r>
                                    <w:rPr>
                                      <w:rFonts w:ascii="Times New Roman"/>
                                      <w:spacing w:val="6"/>
                                    </w:rPr>
                                    <w:t xml:space="preserve"> </w:t>
                                  </w:r>
                                  <w:r>
                                    <w:rPr>
                                      <w:rFonts w:ascii="Times New Roman"/>
                                    </w:rPr>
                                    <w:t>The</w:t>
                                  </w:r>
                                  <w:r>
                                    <w:rPr>
                                      <w:rFonts w:ascii="Times New Roman"/>
                                      <w:spacing w:val="7"/>
                                    </w:rPr>
                                    <w:t xml:space="preserve"> </w:t>
                                  </w:r>
                                  <w:r>
                                    <w:rPr>
                                      <w:rFonts w:ascii="Times New Roman"/>
                                    </w:rPr>
                                    <w:t>Procuring</w:t>
                                  </w:r>
                                  <w:r>
                                    <w:rPr>
                                      <w:rFonts w:ascii="Times New Roman"/>
                                      <w:spacing w:val="6"/>
                                    </w:rPr>
                                    <w:t xml:space="preserve"> </w:t>
                                  </w:r>
                                  <w:r>
                                    <w:rPr>
                                      <w:rFonts w:ascii="Times New Roman"/>
                                    </w:rPr>
                                    <w:t>Entity</w:t>
                                  </w:r>
                                  <w:r>
                                    <w:rPr>
                                      <w:rFonts w:ascii="Times New Roman"/>
                                      <w:spacing w:val="4"/>
                                    </w:rPr>
                                    <w:t xml:space="preserve"> </w:t>
                                  </w:r>
                                  <w:r>
                                    <w:rPr>
                                      <w:rFonts w:ascii="Times New Roman"/>
                                    </w:rPr>
                                    <w:t>shall</w:t>
                                  </w:r>
                                  <w:r>
                                    <w:rPr>
                                      <w:rFonts w:ascii="Times New Roman"/>
                                      <w:spacing w:val="6"/>
                                    </w:rPr>
                                    <w:t xml:space="preserve"> </w:t>
                                  </w:r>
                                  <w:r>
                                    <w:rPr>
                                      <w:rFonts w:ascii="Times New Roman"/>
                                    </w:rPr>
                                    <w:t>publish</w:t>
                                  </w:r>
                                  <w:r>
                                    <w:rPr>
                                      <w:rFonts w:ascii="Times New Roman"/>
                                      <w:spacing w:val="5"/>
                                    </w:rPr>
                                    <w:t xml:space="preserve"> </w:t>
                                  </w:r>
                                  <w:r>
                                    <w:rPr>
                                      <w:rFonts w:ascii="Times New Roman"/>
                                    </w:rPr>
                                    <w:t>its</w:t>
                                  </w:r>
                                  <w:r>
                                    <w:rPr>
                                      <w:rFonts w:ascii="Times New Roman"/>
                                      <w:spacing w:val="4"/>
                                    </w:rPr>
                                    <w:t xml:space="preserve"> </w:t>
                                  </w:r>
                                  <w:r>
                                    <w:rPr>
                                      <w:rFonts w:ascii="Times New Roman"/>
                                    </w:rPr>
                                    <w:t>response</w:t>
                                  </w:r>
                                  <w:r>
                                    <w:rPr>
                                      <w:rFonts w:ascii="Times New Roman"/>
                                      <w:spacing w:val="5"/>
                                    </w:rPr>
                                    <w:t xml:space="preserve"> </w:t>
                                  </w:r>
                                  <w:r>
                                    <w:rPr>
                                      <w:rFonts w:ascii="Times New Roman"/>
                                    </w:rPr>
                                    <w:t>at</w:t>
                                  </w:r>
                                  <w:r>
                                    <w:rPr>
                                      <w:rFonts w:ascii="Times New Roman"/>
                                      <w:spacing w:val="4"/>
                                    </w:rPr>
                                    <w:t xml:space="preserve"> </w:t>
                                  </w:r>
                                  <w:r>
                                    <w:rPr>
                                      <w:rFonts w:ascii="Times New Roman"/>
                                    </w:rPr>
                                    <w:t>the</w:t>
                                  </w:r>
                                  <w:r>
                                    <w:rPr>
                                      <w:rFonts w:ascii="Times New Roman"/>
                                      <w:spacing w:val="7"/>
                                    </w:rPr>
                                    <w:t xml:space="preserve"> </w:t>
                                  </w:r>
                                  <w:r>
                                    <w:rPr>
                                      <w:rFonts w:ascii="Times New Roman"/>
                                    </w:rPr>
                                    <w:t>website</w:t>
                                  </w:r>
                                  <w:r>
                                    <w:rPr>
                                      <w:rFonts w:ascii="Times New Roman"/>
                                      <w:spacing w:val="4"/>
                                    </w:rPr>
                                    <w:t xml:space="preserve"> </w:t>
                                  </w:r>
                                  <w:r>
                                    <w:rPr>
                                      <w:rFonts w:ascii="Times New Roman"/>
                                    </w:rPr>
                                    <w:t>_</w:t>
                                  </w:r>
                                  <w:r>
                                    <w:rPr>
                                      <w:rFonts w:ascii="Times New Roman"/>
                                      <w:b/>
                                      <w:i/>
                                      <w:color w:val="302E2E"/>
                                      <w:spacing w:val="11"/>
                                      <w:u w:val="single" w:color="302E2E"/>
                                    </w:rPr>
                                    <w:t xml:space="preserve"> </w:t>
                                  </w:r>
                                  <w:r>
                                    <w:rPr>
                                      <w:rFonts w:ascii="Times New Roman"/>
                                      <w:b/>
                                      <w:i/>
                                      <w:color w:val="302E2E"/>
                                      <w:u w:val="single" w:color="302E2E"/>
                                    </w:rPr>
                                    <w:t>as</w:t>
                                  </w:r>
                                  <w:r>
                                    <w:rPr>
                                      <w:rFonts w:ascii="Times New Roman"/>
                                      <w:b/>
                                      <w:i/>
                                      <w:color w:val="302E2E"/>
                                      <w:spacing w:val="13"/>
                                      <w:u w:val="single" w:color="302E2E"/>
                                    </w:rPr>
                                    <w:t xml:space="preserve"> </w:t>
                                  </w:r>
                                  <w:r>
                                    <w:rPr>
                                      <w:rFonts w:ascii="Times New Roman"/>
                                      <w:b/>
                                      <w:i/>
                                      <w:color w:val="302E2E"/>
                                      <w:u w:val="single" w:color="302E2E"/>
                                    </w:rPr>
                                    <w:t>indicated</w:t>
                                  </w:r>
                                  <w:r>
                                    <w:rPr>
                                      <w:rFonts w:ascii="Times New Roman"/>
                                      <w:b/>
                                      <w:i/>
                                      <w:color w:val="302E2E"/>
                                      <w:spacing w:val="12"/>
                                      <w:u w:val="single" w:color="302E2E"/>
                                    </w:rPr>
                                    <w:t xml:space="preserve"> </w:t>
                                  </w:r>
                                  <w:r>
                                    <w:rPr>
                                      <w:rFonts w:ascii="Times New Roman"/>
                                      <w:b/>
                                      <w:i/>
                                      <w:color w:val="302E2E"/>
                                      <w:u w:val="single" w:color="302E2E"/>
                                    </w:rPr>
                                    <w:t>in</w:t>
                                  </w:r>
                                  <w:r>
                                    <w:rPr>
                                      <w:rFonts w:ascii="Times New Roman"/>
                                      <w:b/>
                                      <w:i/>
                                      <w:color w:val="302E2E"/>
                                      <w:spacing w:val="11"/>
                                      <w:u w:val="single" w:color="302E2E"/>
                                    </w:rPr>
                                    <w:t xml:space="preserve"> </w:t>
                                  </w:r>
                                  <w:r>
                                    <w:rPr>
                                      <w:rFonts w:ascii="Times New Roman"/>
                                      <w:b/>
                                      <w:i/>
                                      <w:color w:val="302E2E"/>
                                      <w:u w:val="single" w:color="302E2E"/>
                                    </w:rPr>
                                    <w:t>the</w:t>
                                  </w:r>
                                  <w:r>
                                    <w:rPr>
                                      <w:rFonts w:ascii="Times New Roman"/>
                                      <w:b/>
                                      <w:i/>
                                      <w:color w:val="302E2E"/>
                                      <w:spacing w:val="11"/>
                                      <w:u w:val="single" w:color="302E2E"/>
                                    </w:rPr>
                                    <w:t xml:space="preserve"> </w:t>
                                  </w:r>
                                  <w:r>
                                    <w:rPr>
                                      <w:rFonts w:ascii="Times New Roman"/>
                                      <w:b/>
                                      <w:i/>
                                      <w:color w:val="302E2E"/>
                                      <w:spacing w:val="-2"/>
                                      <w:u w:val="single" w:color="302E2E"/>
                                    </w:rPr>
                                    <w:t>tender</w:t>
                                  </w:r>
                                  <w:r>
                                    <w:rPr>
                                      <w:rFonts w:ascii="Times New Roman"/>
                                      <w:b/>
                                      <w:i/>
                                      <w:color w:val="302E2E"/>
                                      <w:spacing w:val="40"/>
                                      <w:u w:val="single" w:color="302E2E"/>
                                    </w:rPr>
                                    <w:t xml:space="preserve"> </w:t>
                                  </w:r>
                                </w:p>
                              </w:tc>
                              <w:tc>
                                <w:tcPr>
                                  <w:tcW w:w="829" w:type="dxa"/>
                                  <w:vMerge/>
                                  <w:tcBorders>
                                    <w:top w:val="nil"/>
                                    <w:left w:val="single" w:sz="18" w:space="0" w:color="000000"/>
                                  </w:tcBorders>
                                </w:tcPr>
                                <w:p w:rsidR="00883FED" w:rsidRDefault="00883FED">
                                  <w:pPr>
                                    <w:rPr>
                                      <w:sz w:val="2"/>
                                      <w:szCs w:val="2"/>
                                    </w:rPr>
                                  </w:pPr>
                                </w:p>
                              </w:tc>
                            </w:tr>
                            <w:tr w:rsidR="00883FED">
                              <w:trPr>
                                <w:trHeight w:val="503"/>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tabs>
                                      <w:tab w:val="left" w:pos="2921"/>
                                    </w:tabs>
                                    <w:spacing w:line="249" w:lineRule="exact"/>
                                    <w:ind w:left="93"/>
                                    <w:rPr>
                                      <w:rFonts w:ascii="Times New Roman"/>
                                      <w:b/>
                                      <w:i/>
                                    </w:rPr>
                                  </w:pPr>
                                  <w:r>
                                    <w:rPr>
                                      <w:rFonts w:ascii="Times New Roman"/>
                                      <w:b/>
                                      <w:i/>
                                      <w:color w:val="302E2E"/>
                                      <w:spacing w:val="-2"/>
                                      <w:w w:val="110"/>
                                      <w:u w:val="thick" w:color="2F2D2D"/>
                                    </w:rPr>
                                    <w:t>advertisement</w:t>
                                  </w:r>
                                  <w:r>
                                    <w:rPr>
                                      <w:rFonts w:ascii="Times New Roman"/>
                                      <w:b/>
                                      <w:i/>
                                      <w:color w:val="302E2E"/>
                                      <w:u w:val="thick" w:color="2F2D2D"/>
                                    </w:rPr>
                                    <w:tab/>
                                  </w:r>
                                </w:p>
                              </w:tc>
                              <w:tc>
                                <w:tcPr>
                                  <w:tcW w:w="829" w:type="dxa"/>
                                  <w:vMerge/>
                                  <w:tcBorders>
                                    <w:top w:val="nil"/>
                                    <w:left w:val="single" w:sz="18" w:space="0" w:color="000000"/>
                                  </w:tcBorders>
                                </w:tcPr>
                                <w:p w:rsidR="00883FED" w:rsidRDefault="00883FED">
                                  <w:pPr>
                                    <w:rPr>
                                      <w:sz w:val="2"/>
                                      <w:szCs w:val="2"/>
                                    </w:rPr>
                                  </w:pPr>
                                </w:p>
                              </w:tc>
                            </w:tr>
                            <w:tr w:rsidR="00883FED">
                              <w:trPr>
                                <w:trHeight w:val="254"/>
                              </w:trPr>
                              <w:tc>
                                <w:tcPr>
                                  <w:tcW w:w="704" w:type="dxa"/>
                                  <w:vMerge/>
                                  <w:tcBorders>
                                    <w:top w:val="nil"/>
                                    <w:right w:val="single" w:sz="12" w:space="0" w:color="000000"/>
                                  </w:tcBorders>
                                </w:tcPr>
                                <w:p w:rsidR="00883FED" w:rsidRDefault="00883FED" w:rsidP="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rsidP="00883FED">
                                  <w:pPr>
                                    <w:pStyle w:val="TableParagraph"/>
                                    <w:spacing w:line="235"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7.2</w:t>
                                  </w:r>
                                </w:p>
                              </w:tc>
                              <w:tc>
                                <w:tcPr>
                                  <w:tcW w:w="8898" w:type="dxa"/>
                                  <w:tcBorders>
                                    <w:top w:val="single" w:sz="12" w:space="0" w:color="000000"/>
                                    <w:left w:val="single" w:sz="12" w:space="0" w:color="000000"/>
                                    <w:right w:val="single" w:sz="12" w:space="0" w:color="000000"/>
                                  </w:tcBorders>
                                </w:tcPr>
                                <w:p w:rsidR="00883FED" w:rsidRDefault="00883FED" w:rsidP="00883FED">
                                  <w:pPr>
                                    <w:pStyle w:val="TableParagraph"/>
                                    <w:spacing w:line="235" w:lineRule="exact"/>
                                    <w:ind w:left="95"/>
                                  </w:pPr>
                                </w:p>
                                <w:p w:rsidR="00883FED" w:rsidRDefault="00883FED" w:rsidP="00883FED">
                                  <w:pPr>
                                    <w:pStyle w:val="TableParagraph"/>
                                    <w:spacing w:line="235" w:lineRule="exact"/>
                                    <w:ind w:left="95"/>
                                  </w:pPr>
                                  <w:r>
                                    <w:t>(A)</w:t>
                                  </w:r>
                                  <w:r>
                                    <w:rPr>
                                      <w:spacing w:val="-7"/>
                                    </w:rPr>
                                    <w:t xml:space="preserve"> </w:t>
                                  </w:r>
                                  <w:r>
                                    <w:t>A</w:t>
                                  </w:r>
                                  <w:r>
                                    <w:rPr>
                                      <w:spacing w:val="-1"/>
                                    </w:rPr>
                                    <w:t xml:space="preserve"> </w:t>
                                  </w:r>
                                  <w:r>
                                    <w:t>pre-arranged</w:t>
                                  </w:r>
                                  <w:r>
                                    <w:rPr>
                                      <w:spacing w:val="-1"/>
                                    </w:rPr>
                                    <w:t xml:space="preserve"> </w:t>
                                  </w:r>
                                  <w:r>
                                    <w:t>pretender</w:t>
                                  </w:r>
                                  <w:r>
                                    <w:rPr>
                                      <w:spacing w:val="-1"/>
                                    </w:rPr>
                                    <w:t xml:space="preserve"> </w:t>
                                  </w:r>
                                  <w:r>
                                    <w:t>site</w:t>
                                  </w:r>
                                  <w:r>
                                    <w:rPr>
                                      <w:spacing w:val="-5"/>
                                    </w:rPr>
                                    <w:t xml:space="preserve"> </w:t>
                                  </w:r>
                                  <w:r>
                                    <w:t>visit</w:t>
                                  </w:r>
                                  <w:r>
                                    <w:rPr>
                                      <w:spacing w:val="-3"/>
                                    </w:rPr>
                                    <w:t xml:space="preserve"> </w:t>
                                  </w:r>
                                  <w:r>
                                    <w:rPr>
                                      <w:i/>
                                    </w:rPr>
                                    <w:t>SHALL</w:t>
                                  </w:r>
                                  <w:r>
                                    <w:rPr>
                                      <w:i/>
                                      <w:spacing w:val="49"/>
                                    </w:rPr>
                                    <w:t xml:space="preserve"> </w:t>
                                  </w:r>
                                  <w:r>
                                    <w:t>take</w:t>
                                  </w:r>
                                  <w:r>
                                    <w:rPr>
                                      <w:spacing w:val="-4"/>
                                    </w:rPr>
                                    <w:t xml:space="preserve"> </w:t>
                                  </w:r>
                                  <w:r>
                                    <w:t>place</w:t>
                                  </w:r>
                                  <w:r>
                                    <w:rPr>
                                      <w:spacing w:val="-4"/>
                                    </w:rPr>
                                    <w:t xml:space="preserve"> </w:t>
                                  </w:r>
                                  <w:r>
                                    <w:t>at</w:t>
                                  </w:r>
                                  <w:r>
                                    <w:rPr>
                                      <w:spacing w:val="-4"/>
                                    </w:rPr>
                                    <w:t xml:space="preserve"> </w:t>
                                  </w:r>
                                  <w:r>
                                    <w:t>the</w:t>
                                  </w:r>
                                  <w:r>
                                    <w:rPr>
                                      <w:spacing w:val="-5"/>
                                    </w:rPr>
                                    <w:t xml:space="preserve"> </w:t>
                                  </w:r>
                                  <w:r>
                                    <w:t>following</w:t>
                                  </w:r>
                                  <w:r>
                                    <w:rPr>
                                      <w:spacing w:val="-1"/>
                                    </w:rPr>
                                    <w:t xml:space="preserve"> </w:t>
                                  </w:r>
                                  <w:r>
                                    <w:t>date,</w:t>
                                  </w:r>
                                  <w:r>
                                    <w:rPr>
                                      <w:spacing w:val="-2"/>
                                    </w:rPr>
                                    <w:t xml:space="preserve"> </w:t>
                                  </w:r>
                                  <w:r>
                                    <w:t>time</w:t>
                                  </w:r>
                                  <w:r>
                                    <w:rPr>
                                      <w:spacing w:val="-4"/>
                                    </w:rPr>
                                    <w:t xml:space="preserve"> </w:t>
                                  </w:r>
                                  <w:r>
                                    <w:t>and</w:t>
                                  </w:r>
                                  <w:r>
                                    <w:rPr>
                                      <w:spacing w:val="-1"/>
                                    </w:rPr>
                                    <w:t xml:space="preserve"> </w:t>
                                  </w:r>
                                  <w:r>
                                    <w:rPr>
                                      <w:spacing w:val="-2"/>
                                    </w:rPr>
                                    <w:t>place:</w:t>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253"/>
                              </w:trPr>
                              <w:tc>
                                <w:tcPr>
                                  <w:tcW w:w="704" w:type="dxa"/>
                                  <w:vMerge/>
                                  <w:tcBorders>
                                    <w:top w:val="nil"/>
                                    <w:right w:val="single" w:sz="12" w:space="0" w:color="000000"/>
                                  </w:tcBorders>
                                </w:tcPr>
                                <w:p w:rsidR="00883FED" w:rsidRDefault="00883FED" w:rsidP="00883FED">
                                  <w:pPr>
                                    <w:rPr>
                                      <w:sz w:val="2"/>
                                      <w:szCs w:val="2"/>
                                    </w:rPr>
                                  </w:pPr>
                                </w:p>
                              </w:tc>
                              <w:tc>
                                <w:tcPr>
                                  <w:tcW w:w="1524" w:type="dxa"/>
                                  <w:tcBorders>
                                    <w:left w:val="single" w:sz="12" w:space="0" w:color="000000"/>
                                    <w:right w:val="single" w:sz="12" w:space="0" w:color="000000"/>
                                  </w:tcBorders>
                                </w:tcPr>
                                <w:p w:rsidR="00883FED" w:rsidRDefault="00883FED" w:rsidP="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rsidP="00883FED">
                                  <w:pPr>
                                    <w:pStyle w:val="TableParagraph"/>
                                    <w:spacing w:line="234" w:lineRule="exact"/>
                                    <w:ind w:left="95"/>
                                    <w:rPr>
                                      <w:b/>
                                      <w:i/>
                                    </w:rPr>
                                  </w:pPr>
                                  <w:r>
                                    <w:rPr>
                                      <w:b/>
                                      <w:i/>
                                      <w:color w:val="302E2E"/>
                                      <w:u w:val="single" w:color="302E2E"/>
                                    </w:rPr>
                                    <w:t>As</w:t>
                                  </w:r>
                                  <w:r>
                                    <w:rPr>
                                      <w:b/>
                                      <w:i/>
                                      <w:color w:val="302E2E"/>
                                      <w:spacing w:val="6"/>
                                      <w:u w:val="single" w:color="302E2E"/>
                                    </w:rPr>
                                    <w:t xml:space="preserve"> </w:t>
                                  </w:r>
                                  <w:r>
                                    <w:rPr>
                                      <w:b/>
                                      <w:i/>
                                      <w:color w:val="302E2E"/>
                                      <w:u w:val="single" w:color="302E2E"/>
                                    </w:rPr>
                                    <w:t>indicated</w:t>
                                  </w:r>
                                  <w:r>
                                    <w:rPr>
                                      <w:b/>
                                      <w:i/>
                                      <w:color w:val="302E2E"/>
                                      <w:spacing w:val="6"/>
                                      <w:u w:val="single" w:color="302E2E"/>
                                    </w:rPr>
                                    <w:t xml:space="preserve"> </w:t>
                                  </w:r>
                                  <w:r>
                                    <w:rPr>
                                      <w:b/>
                                      <w:i/>
                                      <w:color w:val="302E2E"/>
                                      <w:u w:val="single" w:color="302E2E"/>
                                    </w:rPr>
                                    <w:t>in</w:t>
                                  </w:r>
                                  <w:r>
                                    <w:rPr>
                                      <w:b/>
                                      <w:i/>
                                      <w:color w:val="302E2E"/>
                                      <w:spacing w:val="6"/>
                                      <w:u w:val="single" w:color="302E2E"/>
                                    </w:rPr>
                                    <w:t xml:space="preserve"> </w:t>
                                  </w:r>
                                  <w:r>
                                    <w:rPr>
                                      <w:b/>
                                      <w:i/>
                                      <w:color w:val="302E2E"/>
                                      <w:u w:val="single" w:color="302E2E"/>
                                    </w:rPr>
                                    <w:t>the</w:t>
                                  </w:r>
                                  <w:r>
                                    <w:rPr>
                                      <w:b/>
                                      <w:i/>
                                      <w:color w:val="302E2E"/>
                                      <w:spacing w:val="3"/>
                                      <w:u w:val="single" w:color="302E2E"/>
                                    </w:rPr>
                                    <w:t xml:space="preserve"> </w:t>
                                  </w:r>
                                  <w:r>
                                    <w:rPr>
                                      <w:b/>
                                      <w:i/>
                                      <w:color w:val="302E2E"/>
                                      <w:u w:val="single" w:color="302E2E"/>
                                    </w:rPr>
                                    <w:t>tender</w:t>
                                  </w:r>
                                  <w:r>
                                    <w:rPr>
                                      <w:b/>
                                      <w:i/>
                                      <w:color w:val="302E2E"/>
                                      <w:spacing w:val="3"/>
                                      <w:u w:val="single" w:color="302E2E"/>
                                    </w:rPr>
                                    <w:t xml:space="preserve"> </w:t>
                                  </w:r>
                                  <w:r>
                                    <w:rPr>
                                      <w:b/>
                                      <w:i/>
                                      <w:color w:val="302E2E"/>
                                      <w:spacing w:val="-2"/>
                                      <w:u w:val="single" w:color="302E2E"/>
                                    </w:rPr>
                                    <w:t>advertisement</w:t>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253"/>
                              </w:trPr>
                              <w:tc>
                                <w:tcPr>
                                  <w:tcW w:w="704" w:type="dxa"/>
                                  <w:vMerge/>
                                  <w:tcBorders>
                                    <w:top w:val="nil"/>
                                    <w:right w:val="single" w:sz="12" w:space="0" w:color="000000"/>
                                  </w:tcBorders>
                                </w:tcPr>
                                <w:p w:rsidR="00883FED" w:rsidRDefault="00883FED" w:rsidP="00883FED">
                                  <w:pPr>
                                    <w:rPr>
                                      <w:sz w:val="2"/>
                                      <w:szCs w:val="2"/>
                                    </w:rPr>
                                  </w:pPr>
                                </w:p>
                              </w:tc>
                              <w:tc>
                                <w:tcPr>
                                  <w:tcW w:w="1524" w:type="dxa"/>
                                  <w:tcBorders>
                                    <w:left w:val="single" w:sz="12" w:space="0" w:color="000000"/>
                                    <w:right w:val="single" w:sz="12" w:space="0" w:color="000000"/>
                                  </w:tcBorders>
                                </w:tcPr>
                                <w:p w:rsidR="00883FED" w:rsidRDefault="00883FED" w:rsidP="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rsidP="00883FED">
                                  <w:pPr>
                                    <w:pStyle w:val="TableParagraph"/>
                                    <w:tabs>
                                      <w:tab w:val="left" w:pos="3025"/>
                                    </w:tabs>
                                    <w:spacing w:line="234" w:lineRule="exact"/>
                                    <w:ind w:left="95"/>
                                  </w:pPr>
                                  <w:r>
                                    <w:t xml:space="preserve">Date: </w:t>
                                  </w:r>
                                  <w:r>
                                    <w:rPr>
                                      <w:rFonts w:ascii="Times New Roman"/>
                                      <w:b/>
                                    </w:rPr>
                                    <w:t>14</w:t>
                                  </w:r>
                                  <w:r w:rsidRPr="00B22BD9">
                                    <w:rPr>
                                      <w:rFonts w:ascii="Times New Roman"/>
                                      <w:b/>
                                      <w:vertAlign w:val="superscript"/>
                                    </w:rPr>
                                    <w:t>th</w:t>
                                  </w:r>
                                  <w:r w:rsidRPr="00B22BD9">
                                    <w:rPr>
                                      <w:rFonts w:ascii="Times New Roman"/>
                                      <w:b/>
                                    </w:rPr>
                                    <w:t xml:space="preserve"> April,2026</w:t>
                                  </w:r>
                                  <w:r>
                                    <w:rPr>
                                      <w:u w:val="single"/>
                                    </w:rPr>
                                    <w:tab/>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253"/>
                              </w:trPr>
                              <w:tc>
                                <w:tcPr>
                                  <w:tcW w:w="704" w:type="dxa"/>
                                  <w:vMerge/>
                                  <w:tcBorders>
                                    <w:top w:val="nil"/>
                                    <w:right w:val="single" w:sz="12" w:space="0" w:color="000000"/>
                                  </w:tcBorders>
                                </w:tcPr>
                                <w:p w:rsidR="00883FED" w:rsidRDefault="00883FED" w:rsidP="00883FED">
                                  <w:pPr>
                                    <w:rPr>
                                      <w:sz w:val="2"/>
                                      <w:szCs w:val="2"/>
                                    </w:rPr>
                                  </w:pPr>
                                </w:p>
                              </w:tc>
                              <w:tc>
                                <w:tcPr>
                                  <w:tcW w:w="1524" w:type="dxa"/>
                                  <w:tcBorders>
                                    <w:left w:val="single" w:sz="12" w:space="0" w:color="000000"/>
                                    <w:right w:val="single" w:sz="12" w:space="0" w:color="000000"/>
                                  </w:tcBorders>
                                </w:tcPr>
                                <w:p w:rsidR="00883FED" w:rsidRDefault="00883FED" w:rsidP="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rsidP="00883FED">
                                  <w:pPr>
                                    <w:pStyle w:val="TableParagraph"/>
                                    <w:tabs>
                                      <w:tab w:val="left" w:pos="3025"/>
                                    </w:tabs>
                                    <w:spacing w:line="232" w:lineRule="exact"/>
                                    <w:ind w:left="95"/>
                                  </w:pPr>
                                  <w:r>
                                    <w:t xml:space="preserve">Time: </w:t>
                                  </w:r>
                                  <w:r w:rsidRPr="00883FED">
                                    <w:rPr>
                                      <w:rFonts w:ascii="Times New Roman"/>
                                      <w:b/>
                                    </w:rPr>
                                    <w:t>11:00 a.m.</w:t>
                                  </w:r>
                                  <w:r>
                                    <w:rPr>
                                      <w:u w:val="single"/>
                                    </w:rPr>
                                    <w:tab/>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380"/>
                              </w:trPr>
                              <w:tc>
                                <w:tcPr>
                                  <w:tcW w:w="704" w:type="dxa"/>
                                  <w:vMerge/>
                                  <w:tcBorders>
                                    <w:top w:val="nil"/>
                                    <w:right w:val="single" w:sz="12" w:space="0" w:color="000000"/>
                                  </w:tcBorders>
                                </w:tcPr>
                                <w:p w:rsidR="00883FED" w:rsidRDefault="00883FED" w:rsidP="00883FED">
                                  <w:pPr>
                                    <w:rPr>
                                      <w:sz w:val="2"/>
                                      <w:szCs w:val="2"/>
                                    </w:rPr>
                                  </w:pPr>
                                </w:p>
                              </w:tc>
                              <w:tc>
                                <w:tcPr>
                                  <w:tcW w:w="1524" w:type="dxa"/>
                                  <w:tcBorders>
                                    <w:left w:val="single" w:sz="12" w:space="0" w:color="000000"/>
                                    <w:right w:val="single" w:sz="12" w:space="0" w:color="000000"/>
                                  </w:tcBorders>
                                </w:tcPr>
                                <w:p w:rsidR="00883FED" w:rsidRDefault="00883FED" w:rsidP="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rsidP="00883FED">
                                  <w:pPr>
                                    <w:pStyle w:val="TableParagraph"/>
                                    <w:tabs>
                                      <w:tab w:val="left" w:pos="3025"/>
                                    </w:tabs>
                                    <w:spacing w:line="248" w:lineRule="exact"/>
                                    <w:ind w:left="95"/>
                                  </w:pPr>
                                  <w:r>
                                    <w:t xml:space="preserve">Place: </w:t>
                                  </w:r>
                                  <w:r>
                                    <w:rPr>
                                      <w:b/>
                                    </w:rPr>
                                    <w:t>JOOTRH WAREHOUSE</w:t>
                                  </w:r>
                                  <w:r>
                                    <w:rPr>
                                      <w:u w:val="single"/>
                                    </w:rPr>
                                    <w:tab/>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760"/>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ind w:left="93"/>
                                    <w:rPr>
                                      <w:rFonts w:ascii="Times New Roman"/>
                                      <w:b/>
                                    </w:rPr>
                                  </w:pPr>
                                  <w:r>
                                    <w:rPr>
                                      <w:rFonts w:ascii="Times New Roman"/>
                                      <w:b/>
                                    </w:rPr>
                                    <w:t>ITT</w:t>
                                  </w:r>
                                  <w:r>
                                    <w:rPr>
                                      <w:rFonts w:ascii="Times New Roman"/>
                                      <w:b/>
                                      <w:spacing w:val="-2"/>
                                    </w:rPr>
                                    <w:t xml:space="preserve"> </w:t>
                                  </w:r>
                                  <w:r>
                                    <w:rPr>
                                      <w:rFonts w:ascii="Times New Roman"/>
                                      <w:b/>
                                      <w:spacing w:val="-5"/>
                                    </w:rPr>
                                    <w:t>7.3</w:t>
                                  </w:r>
                                </w:p>
                              </w:tc>
                              <w:tc>
                                <w:tcPr>
                                  <w:tcW w:w="8898"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line="252" w:lineRule="exact"/>
                                    <w:ind w:left="93"/>
                                    <w:rPr>
                                      <w:rFonts w:ascii="Times New Roman"/>
                                    </w:rPr>
                                  </w:pPr>
                                  <w:r>
                                    <w:rPr>
                                      <w:rFonts w:ascii="Times New Roman"/>
                                    </w:rPr>
                                    <w:t>The</w:t>
                                  </w:r>
                                  <w:r>
                                    <w:rPr>
                                      <w:rFonts w:ascii="Times New Roman"/>
                                      <w:spacing w:val="-3"/>
                                    </w:rPr>
                                    <w:t xml:space="preserve"> </w:t>
                                  </w:r>
                                  <w:r>
                                    <w:rPr>
                                      <w:rFonts w:ascii="Times New Roman"/>
                                    </w:rPr>
                                    <w:t>Tenderer</w:t>
                                  </w:r>
                                  <w:r>
                                    <w:rPr>
                                      <w:rFonts w:ascii="Times New Roman"/>
                                      <w:spacing w:val="-2"/>
                                    </w:rPr>
                                    <w:t xml:space="preserve"> </w:t>
                                  </w:r>
                                  <w:r>
                                    <w:rPr>
                                      <w:rFonts w:ascii="Times New Roman"/>
                                    </w:rPr>
                                    <w:t>will</w:t>
                                  </w:r>
                                  <w:r>
                                    <w:rPr>
                                      <w:rFonts w:ascii="Times New Roman"/>
                                      <w:spacing w:val="-5"/>
                                    </w:rPr>
                                    <w:t xml:space="preserve"> </w:t>
                                  </w:r>
                                  <w:r>
                                    <w:rPr>
                                      <w:rFonts w:ascii="Times New Roman"/>
                                    </w:rPr>
                                    <w:t>submit</w:t>
                                  </w:r>
                                  <w:r>
                                    <w:rPr>
                                      <w:rFonts w:ascii="Times New Roman"/>
                                      <w:spacing w:val="-2"/>
                                    </w:rPr>
                                    <w:t xml:space="preserve"> </w:t>
                                  </w:r>
                                  <w:r>
                                    <w:rPr>
                                      <w:rFonts w:ascii="Times New Roman"/>
                                    </w:rPr>
                                    <w:t>any</w:t>
                                  </w:r>
                                  <w:r>
                                    <w:rPr>
                                      <w:rFonts w:ascii="Times New Roman"/>
                                      <w:spacing w:val="-3"/>
                                    </w:rPr>
                                    <w:t xml:space="preserve"> </w:t>
                                  </w:r>
                                  <w:r>
                                    <w:rPr>
                                      <w:rFonts w:ascii="Times New Roman"/>
                                    </w:rPr>
                                    <w:t>questions</w:t>
                                  </w:r>
                                  <w:r>
                                    <w:rPr>
                                      <w:rFonts w:ascii="Times New Roman"/>
                                      <w:spacing w:val="-5"/>
                                    </w:rPr>
                                    <w:t xml:space="preserve"> </w:t>
                                  </w:r>
                                  <w:r>
                                    <w:rPr>
                                      <w:rFonts w:ascii="Times New Roman"/>
                                    </w:rPr>
                                    <w:t>in</w:t>
                                  </w:r>
                                  <w:r>
                                    <w:rPr>
                                      <w:rFonts w:ascii="Times New Roman"/>
                                      <w:spacing w:val="-3"/>
                                    </w:rPr>
                                    <w:t xml:space="preserve"> </w:t>
                                  </w:r>
                                  <w:r>
                                    <w:rPr>
                                      <w:rFonts w:ascii="Times New Roman"/>
                                    </w:rPr>
                                    <w:t>writing,</w:t>
                                  </w:r>
                                  <w:r>
                                    <w:rPr>
                                      <w:rFonts w:ascii="Times New Roman"/>
                                      <w:spacing w:val="-5"/>
                                    </w:rPr>
                                    <w:t xml:space="preserve"> </w:t>
                                  </w:r>
                                  <w:r>
                                    <w:rPr>
                                      <w:rFonts w:ascii="Times New Roman"/>
                                    </w:rPr>
                                    <w:t>to</w:t>
                                  </w:r>
                                  <w:r>
                                    <w:rPr>
                                      <w:rFonts w:ascii="Times New Roman"/>
                                      <w:spacing w:val="-6"/>
                                    </w:rPr>
                                    <w:t xml:space="preserve"> </w:t>
                                  </w:r>
                                  <w:r>
                                    <w:rPr>
                                      <w:rFonts w:ascii="Times New Roman"/>
                                    </w:rPr>
                                    <w:t>reach</w:t>
                                  </w:r>
                                  <w:r>
                                    <w:rPr>
                                      <w:rFonts w:ascii="Times New Roman"/>
                                      <w:spacing w:val="-5"/>
                                    </w:rPr>
                                    <w:t xml:space="preserve"> </w:t>
                                  </w:r>
                                  <w:r>
                                    <w:rPr>
                                      <w:rFonts w:ascii="Times New Roman"/>
                                    </w:rPr>
                                    <w:t>the</w:t>
                                  </w:r>
                                  <w:r>
                                    <w:rPr>
                                      <w:rFonts w:ascii="Times New Roman"/>
                                      <w:spacing w:val="-3"/>
                                    </w:rPr>
                                    <w:t xml:space="preserve"> </w:t>
                                  </w:r>
                                  <w:r>
                                    <w:rPr>
                                      <w:rFonts w:ascii="Times New Roman"/>
                                    </w:rPr>
                                    <w:t>Procuring</w:t>
                                  </w:r>
                                  <w:r>
                                    <w:rPr>
                                      <w:rFonts w:ascii="Times New Roman"/>
                                      <w:spacing w:val="-3"/>
                                    </w:rPr>
                                    <w:t xml:space="preserve"> </w:t>
                                  </w:r>
                                  <w:r>
                                    <w:rPr>
                                      <w:rFonts w:ascii="Times New Roman"/>
                                    </w:rPr>
                                    <w:t>Entity</w:t>
                                  </w:r>
                                  <w:r>
                                    <w:rPr>
                                      <w:rFonts w:ascii="Times New Roman"/>
                                      <w:spacing w:val="-3"/>
                                    </w:rPr>
                                    <w:t xml:space="preserve"> </w:t>
                                  </w:r>
                                  <w:r>
                                    <w:rPr>
                                      <w:rFonts w:ascii="Times New Roman"/>
                                    </w:rPr>
                                    <w:t>not</w:t>
                                  </w:r>
                                  <w:r>
                                    <w:rPr>
                                      <w:rFonts w:ascii="Times New Roman"/>
                                      <w:spacing w:val="-2"/>
                                    </w:rPr>
                                    <w:t xml:space="preserve"> </w:t>
                                  </w:r>
                                  <w:r>
                                    <w:rPr>
                                      <w:rFonts w:ascii="Times New Roman"/>
                                    </w:rPr>
                                    <w:t>later</w:t>
                                  </w:r>
                                  <w:r>
                                    <w:rPr>
                                      <w:rFonts w:ascii="Times New Roman"/>
                                      <w:spacing w:val="-4"/>
                                    </w:rPr>
                                    <w:t xml:space="preserve"> than</w:t>
                                  </w:r>
                                </w:p>
                                <w:p w:rsidR="00883FED" w:rsidRDefault="00883FED">
                                  <w:pPr>
                                    <w:pStyle w:val="TableParagraph"/>
                                    <w:tabs>
                                      <w:tab w:val="left" w:pos="6383"/>
                                    </w:tabs>
                                    <w:spacing w:line="252" w:lineRule="exact"/>
                                    <w:ind w:left="811"/>
                                    <w:rPr>
                                      <w:rFonts w:ascii="Times New Roman"/>
                                    </w:rPr>
                                  </w:pPr>
                                  <w:r>
                                    <w:rPr>
                                      <w:rFonts w:ascii="Times New Roman"/>
                                      <w:b/>
                                      <w:i/>
                                      <w:color w:val="302E2E"/>
                                    </w:rPr>
                                    <w:t>As</w:t>
                                  </w:r>
                                  <w:r>
                                    <w:rPr>
                                      <w:rFonts w:ascii="Times New Roman"/>
                                      <w:b/>
                                      <w:i/>
                                      <w:color w:val="302E2E"/>
                                      <w:spacing w:val="8"/>
                                    </w:rPr>
                                    <w:t xml:space="preserve"> </w:t>
                                  </w:r>
                                  <w:r>
                                    <w:rPr>
                                      <w:rFonts w:ascii="Times New Roman"/>
                                      <w:b/>
                                      <w:i/>
                                      <w:color w:val="302E2E"/>
                                    </w:rPr>
                                    <w:t>indicated</w:t>
                                  </w:r>
                                  <w:r>
                                    <w:rPr>
                                      <w:rFonts w:ascii="Times New Roman"/>
                                      <w:b/>
                                      <w:i/>
                                      <w:color w:val="302E2E"/>
                                      <w:spacing w:val="6"/>
                                    </w:rPr>
                                    <w:t xml:space="preserve"> </w:t>
                                  </w:r>
                                  <w:r>
                                    <w:rPr>
                                      <w:rFonts w:ascii="Times New Roman"/>
                                      <w:b/>
                                      <w:i/>
                                      <w:color w:val="302E2E"/>
                                    </w:rPr>
                                    <w:t>in</w:t>
                                  </w:r>
                                  <w:r>
                                    <w:rPr>
                                      <w:rFonts w:ascii="Times New Roman"/>
                                      <w:b/>
                                      <w:i/>
                                      <w:color w:val="302E2E"/>
                                      <w:spacing w:val="6"/>
                                    </w:rPr>
                                    <w:t xml:space="preserve"> </w:t>
                                  </w:r>
                                  <w:r>
                                    <w:rPr>
                                      <w:rFonts w:ascii="Times New Roman"/>
                                      <w:b/>
                                      <w:i/>
                                      <w:color w:val="302E2E"/>
                                    </w:rPr>
                                    <w:t>the</w:t>
                                  </w:r>
                                  <w:r>
                                    <w:rPr>
                                      <w:rFonts w:ascii="Times New Roman"/>
                                      <w:b/>
                                      <w:i/>
                                      <w:color w:val="302E2E"/>
                                      <w:spacing w:val="8"/>
                                    </w:rPr>
                                    <w:t xml:space="preserve"> </w:t>
                                  </w:r>
                                  <w:r>
                                    <w:rPr>
                                      <w:rFonts w:ascii="Times New Roman"/>
                                      <w:b/>
                                      <w:i/>
                                      <w:color w:val="302E2E"/>
                                    </w:rPr>
                                    <w:t>tender</w:t>
                                  </w:r>
                                  <w:r>
                                    <w:rPr>
                                      <w:rFonts w:ascii="Times New Roman"/>
                                      <w:b/>
                                      <w:i/>
                                      <w:color w:val="302E2E"/>
                                      <w:spacing w:val="11"/>
                                    </w:rPr>
                                    <w:t xml:space="preserve"> </w:t>
                                  </w:r>
                                  <w:r>
                                    <w:rPr>
                                      <w:rFonts w:ascii="Times New Roman"/>
                                      <w:b/>
                                      <w:i/>
                                      <w:color w:val="302E2E"/>
                                    </w:rPr>
                                    <w:t>advertisement</w:t>
                                  </w:r>
                                  <w:r>
                                    <w:rPr>
                                      <w:rFonts w:ascii="Times New Roman"/>
                                      <w:b/>
                                      <w:i/>
                                      <w:color w:val="302E2E"/>
                                      <w:spacing w:val="16"/>
                                    </w:rPr>
                                    <w:t xml:space="preserve"> </w:t>
                                  </w:r>
                                  <w:r>
                                    <w:rPr>
                                      <w:rFonts w:ascii="Times New Roman"/>
                                      <w:b/>
                                      <w:i/>
                                      <w:color w:val="302E2E"/>
                                      <w:u w:val="single" w:color="000000"/>
                                    </w:rPr>
                                    <w:tab/>
                                  </w:r>
                                  <w:r>
                                    <w:rPr>
                                      <w:rFonts w:ascii="Times New Roman"/>
                                    </w:rPr>
                                    <w:t>before</w:t>
                                  </w:r>
                                  <w:r>
                                    <w:rPr>
                                      <w:rFonts w:ascii="Times New Roman"/>
                                      <w:spacing w:val="-7"/>
                                    </w:rPr>
                                    <w:t xml:space="preserve"> </w:t>
                                  </w:r>
                                  <w:r>
                                    <w:rPr>
                                      <w:rFonts w:ascii="Times New Roman"/>
                                    </w:rPr>
                                    <w:t>the</w:t>
                                  </w:r>
                                  <w:r>
                                    <w:rPr>
                                      <w:rFonts w:ascii="Times New Roman"/>
                                      <w:spacing w:val="-4"/>
                                    </w:rPr>
                                    <w:t xml:space="preserve"> </w:t>
                                  </w:r>
                                  <w:r>
                                    <w:rPr>
                                      <w:rFonts w:ascii="Times New Roman"/>
                                      <w:spacing w:val="-2"/>
                                    </w:rPr>
                                    <w:t>meeting.</w:t>
                                  </w:r>
                                </w:p>
                              </w:tc>
                              <w:tc>
                                <w:tcPr>
                                  <w:tcW w:w="829" w:type="dxa"/>
                                  <w:vMerge/>
                                  <w:tcBorders>
                                    <w:top w:val="nil"/>
                                    <w:left w:val="single" w:sz="18" w:space="0" w:color="000000"/>
                                  </w:tcBorders>
                                </w:tcPr>
                                <w:p w:rsidR="00883FED" w:rsidRDefault="00883FED">
                                  <w:pPr>
                                    <w:rPr>
                                      <w:sz w:val="2"/>
                                      <w:szCs w:val="2"/>
                                    </w:rPr>
                                  </w:pPr>
                                </w:p>
                              </w:tc>
                            </w:tr>
                            <w:tr w:rsidR="00883FED">
                              <w:trPr>
                                <w:trHeight w:val="257"/>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pPr>
                                    <w:pStyle w:val="TableParagraph"/>
                                    <w:spacing w:line="237"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7.5</w:t>
                                  </w:r>
                                </w:p>
                              </w:tc>
                              <w:tc>
                                <w:tcPr>
                                  <w:tcW w:w="8898" w:type="dxa"/>
                                  <w:tcBorders>
                                    <w:top w:val="single" w:sz="12" w:space="0" w:color="000000"/>
                                    <w:left w:val="single" w:sz="12" w:space="0" w:color="000000"/>
                                    <w:right w:val="single" w:sz="12" w:space="0" w:color="000000"/>
                                  </w:tcBorders>
                                </w:tcPr>
                                <w:p w:rsidR="00883FED" w:rsidRDefault="00883FED">
                                  <w:pPr>
                                    <w:pStyle w:val="TableParagraph"/>
                                    <w:spacing w:line="237" w:lineRule="exact"/>
                                    <w:ind w:left="93"/>
                                    <w:rPr>
                                      <w:rFonts w:ascii="Times New Roman" w:hAnsi="Times New Roman"/>
                                    </w:rPr>
                                  </w:pPr>
                                  <w:r>
                                    <w:rPr>
                                      <w:rFonts w:ascii="Times New Roman" w:hAnsi="Times New Roman"/>
                                    </w:rPr>
                                    <w:t>The</w:t>
                                  </w:r>
                                  <w:r>
                                    <w:rPr>
                                      <w:rFonts w:ascii="Times New Roman" w:hAnsi="Times New Roman"/>
                                      <w:spacing w:val="-5"/>
                                    </w:rPr>
                                    <w:t xml:space="preserve"> </w:t>
                                  </w:r>
                                  <w:r>
                                    <w:rPr>
                                      <w:rFonts w:ascii="Times New Roman" w:hAnsi="Times New Roman"/>
                                    </w:rPr>
                                    <w:t>Procuring</w:t>
                                  </w:r>
                                  <w:r>
                                    <w:rPr>
                                      <w:rFonts w:ascii="Times New Roman" w:hAnsi="Times New Roman"/>
                                      <w:spacing w:val="-3"/>
                                    </w:rPr>
                                    <w:t xml:space="preserve"> </w:t>
                                  </w:r>
                                  <w:r>
                                    <w:rPr>
                                      <w:rFonts w:ascii="Times New Roman" w:hAnsi="Times New Roman"/>
                                    </w:rPr>
                                    <w:t>Entity’s</w:t>
                                  </w:r>
                                  <w:r>
                                    <w:rPr>
                                      <w:rFonts w:ascii="Times New Roman" w:hAnsi="Times New Roman"/>
                                      <w:spacing w:val="-3"/>
                                    </w:rPr>
                                    <w:t xml:space="preserve"> </w:t>
                                  </w:r>
                                  <w:r>
                                    <w:rPr>
                                      <w:rFonts w:ascii="Times New Roman" w:hAnsi="Times New Roman"/>
                                    </w:rPr>
                                    <w:t>website</w:t>
                                  </w:r>
                                  <w:r>
                                    <w:rPr>
                                      <w:rFonts w:ascii="Times New Roman" w:hAnsi="Times New Roman"/>
                                      <w:spacing w:val="-2"/>
                                    </w:rPr>
                                    <w:t xml:space="preserve"> </w:t>
                                  </w:r>
                                  <w:r>
                                    <w:rPr>
                                      <w:rFonts w:ascii="Times New Roman" w:hAnsi="Times New Roman"/>
                                    </w:rPr>
                                    <w:t>where</w:t>
                                  </w:r>
                                  <w:r>
                                    <w:rPr>
                                      <w:rFonts w:ascii="Times New Roman" w:hAnsi="Times New Roman"/>
                                      <w:spacing w:val="-3"/>
                                    </w:rPr>
                                    <w:t xml:space="preserve"> </w:t>
                                  </w:r>
                                  <w:r>
                                    <w:rPr>
                                      <w:rFonts w:ascii="Times New Roman" w:hAnsi="Times New Roman"/>
                                    </w:rPr>
                                    <w:t>Minutes</w:t>
                                  </w:r>
                                  <w:r>
                                    <w:rPr>
                                      <w:rFonts w:ascii="Times New Roman" w:hAnsi="Times New Roman"/>
                                      <w:spacing w:val="-5"/>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pre-Tender</w:t>
                                  </w:r>
                                  <w:r>
                                    <w:rPr>
                                      <w:rFonts w:ascii="Times New Roman" w:hAnsi="Times New Roman"/>
                                      <w:spacing w:val="-3"/>
                                    </w:rPr>
                                    <w:t xml:space="preserve"> </w:t>
                                  </w:r>
                                  <w:r>
                                    <w:rPr>
                                      <w:rFonts w:ascii="Times New Roman" w:hAnsi="Times New Roman"/>
                                    </w:rPr>
                                    <w:t>meeting</w:t>
                                  </w:r>
                                  <w:r>
                                    <w:rPr>
                                      <w:rFonts w:ascii="Times New Roman" w:hAnsi="Times New Roman"/>
                                      <w:spacing w:val="-5"/>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pre-</w:t>
                                  </w:r>
                                  <w:r>
                                    <w:rPr>
                                      <w:rFonts w:ascii="Times New Roman" w:hAnsi="Times New Roman"/>
                                      <w:spacing w:val="-2"/>
                                    </w:rPr>
                                    <w:t>arranged</w:t>
                                  </w:r>
                                </w:p>
                              </w:tc>
                              <w:tc>
                                <w:tcPr>
                                  <w:tcW w:w="829" w:type="dxa"/>
                                  <w:vMerge/>
                                  <w:tcBorders>
                                    <w:top w:val="nil"/>
                                    <w:left w:val="single" w:sz="18" w:space="0" w:color="000000"/>
                                  </w:tcBorders>
                                </w:tcPr>
                                <w:p w:rsidR="00883FED" w:rsidRDefault="00883FED">
                                  <w:pPr>
                                    <w:rPr>
                                      <w:sz w:val="2"/>
                                      <w:szCs w:val="2"/>
                                    </w:rPr>
                                  </w:pPr>
                                </w:p>
                              </w:tc>
                            </w:tr>
                            <w:tr w:rsidR="00883FED">
                              <w:trPr>
                                <w:trHeight w:val="502"/>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tabs>
                                      <w:tab w:val="left" w:pos="5002"/>
                                    </w:tabs>
                                    <w:spacing w:line="248" w:lineRule="exact"/>
                                    <w:ind w:left="93"/>
                                    <w:rPr>
                                      <w:rFonts w:ascii="Times New Roman"/>
                                    </w:rPr>
                                  </w:pPr>
                                  <w:r>
                                    <w:rPr>
                                      <w:rFonts w:ascii="Times New Roman"/>
                                    </w:rPr>
                                    <w:t>pretender will</w:t>
                                  </w:r>
                                  <w:r>
                                    <w:rPr>
                                      <w:rFonts w:ascii="Times New Roman"/>
                                      <w:spacing w:val="-2"/>
                                    </w:rPr>
                                    <w:t xml:space="preserve"> </w:t>
                                  </w:r>
                                  <w:r>
                                    <w:rPr>
                                      <w:rFonts w:ascii="Times New Roman"/>
                                    </w:rPr>
                                    <w:t>be published</w:t>
                                  </w:r>
                                  <w:r>
                                    <w:rPr>
                                      <w:rFonts w:ascii="Times New Roman"/>
                                      <w:spacing w:val="-3"/>
                                    </w:rPr>
                                    <w:t xml:space="preserve"> </w:t>
                                  </w:r>
                                  <w:r>
                                    <w:rPr>
                                      <w:rFonts w:ascii="Times New Roman"/>
                                    </w:rPr>
                                    <w:t xml:space="preserve">is </w:t>
                                  </w:r>
                                  <w:r>
                                    <w:rPr>
                                      <w:rFonts w:ascii="Times New Roman"/>
                                      <w:u w:val="single"/>
                                    </w:rPr>
                                    <w:tab/>
                                    <w:t>N/A</w:t>
                                  </w:r>
                                </w:p>
                              </w:tc>
                              <w:tc>
                                <w:tcPr>
                                  <w:tcW w:w="829" w:type="dxa"/>
                                  <w:vMerge/>
                                  <w:tcBorders>
                                    <w:top w:val="nil"/>
                                    <w:left w:val="single" w:sz="18" w:space="0" w:color="000000"/>
                                  </w:tcBorders>
                                </w:tcPr>
                                <w:p w:rsidR="00883FED" w:rsidRDefault="00883FED">
                                  <w:pPr>
                                    <w:rPr>
                                      <w:sz w:val="2"/>
                                      <w:szCs w:val="2"/>
                                    </w:rPr>
                                  </w:pPr>
                                </w:p>
                              </w:tc>
                            </w:tr>
                            <w:tr w:rsidR="00883FED">
                              <w:trPr>
                                <w:trHeight w:val="256"/>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pPr>
                                    <w:pStyle w:val="TableParagraph"/>
                                    <w:spacing w:line="236" w:lineRule="exact"/>
                                    <w:ind w:left="93"/>
                                    <w:rPr>
                                      <w:rFonts w:ascii="Times New Roman"/>
                                      <w:b/>
                                    </w:rPr>
                                  </w:pPr>
                                  <w:r>
                                    <w:rPr>
                                      <w:rFonts w:ascii="Times New Roman"/>
                                      <w:b/>
                                    </w:rPr>
                                    <w:t>ITT</w:t>
                                  </w:r>
                                  <w:r>
                                    <w:rPr>
                                      <w:rFonts w:ascii="Times New Roman"/>
                                      <w:b/>
                                      <w:spacing w:val="-1"/>
                                    </w:rPr>
                                    <w:t xml:space="preserve"> </w:t>
                                  </w:r>
                                  <w:r>
                                    <w:rPr>
                                      <w:rFonts w:ascii="Times New Roman"/>
                                      <w:b/>
                                      <w:spacing w:val="-5"/>
                                    </w:rPr>
                                    <w:t>9.1</w:t>
                                  </w:r>
                                </w:p>
                              </w:tc>
                              <w:tc>
                                <w:tcPr>
                                  <w:tcW w:w="8898" w:type="dxa"/>
                                  <w:tcBorders>
                                    <w:top w:val="single" w:sz="12" w:space="0" w:color="000000"/>
                                    <w:left w:val="single" w:sz="12" w:space="0" w:color="000000"/>
                                    <w:right w:val="single" w:sz="12" w:space="0" w:color="000000"/>
                                  </w:tcBorders>
                                </w:tcPr>
                                <w:p w:rsidR="00883FED" w:rsidRDefault="00883FED" w:rsidP="00B22BD9">
                                  <w:pPr>
                                    <w:pStyle w:val="TableParagraph"/>
                                    <w:spacing w:line="236" w:lineRule="exact"/>
                                    <w:ind w:left="93"/>
                                    <w:rPr>
                                      <w:rFonts w:ascii="Times New Roman"/>
                                    </w:rPr>
                                  </w:pPr>
                                  <w:r>
                                    <w:rPr>
                                      <w:rFonts w:ascii="Times New Roman"/>
                                    </w:rPr>
                                    <w:t>For</w:t>
                                  </w:r>
                                  <w:r>
                                    <w:rPr>
                                      <w:rFonts w:ascii="Times New Roman"/>
                                      <w:spacing w:val="-14"/>
                                    </w:rPr>
                                    <w:t xml:space="preserve"> </w:t>
                                  </w:r>
                                  <w:r>
                                    <w:rPr>
                                      <w:rFonts w:ascii="Times New Roman"/>
                                    </w:rPr>
                                    <w:t>Clarification</w:t>
                                  </w:r>
                                  <w:r>
                                    <w:rPr>
                                      <w:rFonts w:ascii="Times New Roman"/>
                                      <w:spacing w:val="-14"/>
                                    </w:rPr>
                                    <w:t xml:space="preserve"> </w:t>
                                  </w:r>
                                  <w:r>
                                    <w:rPr>
                                      <w:rFonts w:ascii="Times New Roman"/>
                                    </w:rPr>
                                    <w:t>of</w:t>
                                  </w:r>
                                  <w:r>
                                    <w:rPr>
                                      <w:rFonts w:ascii="Times New Roman"/>
                                      <w:spacing w:val="-11"/>
                                    </w:rPr>
                                    <w:t xml:space="preserve"> </w:t>
                                  </w:r>
                                  <w:r>
                                    <w:rPr>
                                      <w:rFonts w:ascii="Times New Roman"/>
                                    </w:rPr>
                                    <w:t>Tender</w:t>
                                  </w:r>
                                  <w:r>
                                    <w:rPr>
                                      <w:rFonts w:ascii="Times New Roman"/>
                                      <w:spacing w:val="-12"/>
                                    </w:rPr>
                                    <w:t xml:space="preserve"> </w:t>
                                  </w:r>
                                  <w:r>
                                    <w:rPr>
                                      <w:rFonts w:ascii="Times New Roman"/>
                                    </w:rPr>
                                    <w:t>purposes,</w:t>
                                  </w:r>
                                  <w:r>
                                    <w:rPr>
                                      <w:rFonts w:ascii="Times New Roman"/>
                                      <w:spacing w:val="-11"/>
                                    </w:rPr>
                                    <w:t xml:space="preserve"> </w:t>
                                  </w:r>
                                  <w:r>
                                    <w:rPr>
                                      <w:rFonts w:ascii="Times New Roman"/>
                                    </w:rPr>
                                    <w:t>for</w:t>
                                  </w:r>
                                  <w:r>
                                    <w:rPr>
                                      <w:rFonts w:ascii="Times New Roman"/>
                                      <w:spacing w:val="-10"/>
                                    </w:rPr>
                                    <w:t xml:space="preserve"> </w:t>
                                  </w:r>
                                  <w:r>
                                    <w:rPr>
                                      <w:rFonts w:ascii="Times New Roman"/>
                                    </w:rPr>
                                    <w:t>obtaining</w:t>
                                  </w:r>
                                  <w:r>
                                    <w:rPr>
                                      <w:rFonts w:ascii="Times New Roman"/>
                                      <w:spacing w:val="-14"/>
                                    </w:rPr>
                                    <w:t xml:space="preserve"> </w:t>
                                  </w:r>
                                  <w:r>
                                    <w:rPr>
                                      <w:rFonts w:ascii="Times New Roman"/>
                                    </w:rPr>
                                    <w:t>further</w:t>
                                  </w:r>
                                  <w:r>
                                    <w:rPr>
                                      <w:rFonts w:ascii="Times New Roman"/>
                                      <w:spacing w:val="-13"/>
                                    </w:rPr>
                                    <w:t xml:space="preserve"> </w:t>
                                  </w:r>
                                  <w:r>
                                    <w:rPr>
                                      <w:rFonts w:ascii="Times New Roman"/>
                                    </w:rPr>
                                    <w:t>information</w:t>
                                  </w:r>
                                  <w:r>
                                    <w:rPr>
                                      <w:rFonts w:ascii="Times New Roman"/>
                                      <w:spacing w:val="-14"/>
                                    </w:rPr>
                                    <w:t xml:space="preserve"> </w:t>
                                  </w:r>
                                  <w:r>
                                    <w:rPr>
                                      <w:rFonts w:ascii="Times New Roman"/>
                                    </w:rPr>
                                    <w:t>and</w:t>
                                  </w:r>
                                  <w:r>
                                    <w:rPr>
                                      <w:rFonts w:ascii="Times New Roman"/>
                                      <w:spacing w:val="-14"/>
                                    </w:rPr>
                                    <w:t xml:space="preserve"> </w:t>
                                  </w:r>
                                  <w:r>
                                    <w:rPr>
                                      <w:rFonts w:ascii="Times New Roman"/>
                                    </w:rPr>
                                    <w:t>for</w:t>
                                  </w:r>
                                  <w:r>
                                    <w:rPr>
                                      <w:rFonts w:ascii="Times New Roman"/>
                                      <w:spacing w:val="-14"/>
                                    </w:rPr>
                                    <w:t xml:space="preserve"> </w:t>
                                  </w:r>
                                  <w:r>
                                    <w:rPr>
                                      <w:rFonts w:ascii="Times New Roman"/>
                                    </w:rPr>
                                    <w:t>obtaining</w:t>
                                  </w:r>
                                  <w:r>
                                    <w:rPr>
                                      <w:rFonts w:ascii="Times New Roman"/>
                                      <w:spacing w:val="-13"/>
                                    </w:rPr>
                                    <w:t xml:space="preserve"> </w:t>
                                  </w:r>
                                  <w:r>
                                    <w:rPr>
                                      <w:rFonts w:ascii="Times New Roman"/>
                                      <w:spacing w:val="-2"/>
                                    </w:rPr>
                                    <w:t>tender</w:t>
                                  </w:r>
                                </w:p>
                              </w:tc>
                              <w:tc>
                                <w:tcPr>
                                  <w:tcW w:w="829" w:type="dxa"/>
                                  <w:vMerge/>
                                  <w:tcBorders>
                                    <w:top w:val="nil"/>
                                    <w:left w:val="single" w:sz="18" w:space="0" w:color="000000"/>
                                  </w:tcBorders>
                                </w:tcPr>
                                <w:p w:rsidR="00883FED" w:rsidRDefault="00883FED">
                                  <w:pPr>
                                    <w:rPr>
                                      <w:sz w:val="2"/>
                                      <w:szCs w:val="2"/>
                                    </w:rPr>
                                  </w:pPr>
                                </w:p>
                              </w:tc>
                            </w:tr>
                            <w:tr w:rsidR="00883FED">
                              <w:trPr>
                                <w:trHeight w:val="251"/>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sz w:val="18"/>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spacing w:line="231" w:lineRule="exact"/>
                                    <w:ind w:left="93"/>
                                    <w:rPr>
                                      <w:rFonts w:ascii="Times New Roman" w:hAnsi="Times New Roman"/>
                                    </w:rPr>
                                  </w:pPr>
                                  <w:r>
                                    <w:rPr>
                                      <w:rFonts w:ascii="Times New Roman" w:hAnsi="Times New Roman"/>
                                    </w:rPr>
                                    <w:t>documents,</w:t>
                                  </w:r>
                                  <w:r>
                                    <w:rPr>
                                      <w:rFonts w:ascii="Times New Roman" w:hAnsi="Times New Roman"/>
                                      <w:spacing w:val="-14"/>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Procuring</w:t>
                                  </w:r>
                                  <w:r>
                                    <w:rPr>
                                      <w:rFonts w:ascii="Times New Roman" w:hAnsi="Times New Roman"/>
                                      <w:spacing w:val="-8"/>
                                    </w:rPr>
                                    <w:t xml:space="preserve"> </w:t>
                                  </w:r>
                                  <w:r>
                                    <w:rPr>
                                      <w:rFonts w:ascii="Times New Roman" w:hAnsi="Times New Roman"/>
                                    </w:rPr>
                                    <w:t>Entity’s</w:t>
                                  </w:r>
                                  <w:r>
                                    <w:rPr>
                                      <w:rFonts w:ascii="Times New Roman" w:hAnsi="Times New Roman"/>
                                      <w:spacing w:val="-9"/>
                                    </w:rPr>
                                    <w:t xml:space="preserve"> </w:t>
                                  </w:r>
                                  <w:r>
                                    <w:rPr>
                                      <w:rFonts w:ascii="Times New Roman" w:hAnsi="Times New Roman"/>
                                    </w:rPr>
                                    <w:t>address</w:t>
                                  </w:r>
                                  <w:r>
                                    <w:rPr>
                                      <w:rFonts w:ascii="Times New Roman" w:hAnsi="Times New Roman"/>
                                      <w:spacing w:val="-7"/>
                                    </w:rPr>
                                    <w:t xml:space="preserve"> </w:t>
                                  </w:r>
                                  <w:r>
                                    <w:rPr>
                                      <w:rFonts w:ascii="Times New Roman" w:hAnsi="Times New Roman"/>
                                      <w:spacing w:val="-5"/>
                                    </w:rPr>
                                    <w:t>is:</w:t>
                                  </w:r>
                                </w:p>
                              </w:tc>
                              <w:tc>
                                <w:tcPr>
                                  <w:tcW w:w="829" w:type="dxa"/>
                                  <w:vMerge/>
                                  <w:tcBorders>
                                    <w:top w:val="nil"/>
                                    <w:left w:val="single" w:sz="18" w:space="0" w:color="000000"/>
                                  </w:tcBorders>
                                </w:tcPr>
                                <w:p w:rsidR="00883FED" w:rsidRDefault="00883FED">
                                  <w:pPr>
                                    <w:rPr>
                                      <w:sz w:val="2"/>
                                      <w:szCs w:val="2"/>
                                    </w:rPr>
                                  </w:pPr>
                                </w:p>
                              </w:tc>
                            </w:tr>
                          </w:tbl>
                          <w:p w:rsidR="00883FED" w:rsidRDefault="00883FED">
                            <w:pPr>
                              <w:pStyle w:val="BodyText"/>
                            </w:pPr>
                          </w:p>
                        </w:txbxContent>
                      </wps:txbx>
                      <wps:bodyPr wrap="square" lIns="0" tIns="0" rIns="0" bIns="0" rtlCol="0">
                        <a:noAutofit/>
                      </wps:bodyPr>
                    </wps:wsp>
                  </a:graphicData>
                </a:graphic>
              </wp:anchor>
            </w:drawing>
          </mc:Choice>
          <mc:Fallback>
            <w:pict>
              <v:shape w14:anchorId="13B1D9AF" id="Textbox 98" o:spid="_x0000_s1031" type="#_x0000_t202" style="position:absolute;margin-left:9.05pt;margin-top:-98.95pt;width:603.8pt;height:680.5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04"/>
                        <w:gridCol w:w="1524"/>
                        <w:gridCol w:w="8898"/>
                        <w:gridCol w:w="829"/>
                      </w:tblGrid>
                      <w:tr w:rsidR="00883FED">
                        <w:trPr>
                          <w:trHeight w:val="234"/>
                        </w:trPr>
                        <w:tc>
                          <w:tcPr>
                            <w:tcW w:w="704" w:type="dxa"/>
                            <w:vMerge w:val="restart"/>
                            <w:tcBorders>
                              <w:right w:val="single" w:sz="12" w:space="0" w:color="000000"/>
                            </w:tcBorders>
                          </w:tcPr>
                          <w:p w:rsidR="00883FED" w:rsidRDefault="00883FED">
                            <w:pPr>
                              <w:pStyle w:val="TableParagraph"/>
                              <w:rPr>
                                <w:rFonts w:ascii="Times New Roman"/>
                              </w:rPr>
                            </w:pPr>
                          </w:p>
                        </w:tc>
                        <w:tc>
                          <w:tcPr>
                            <w:tcW w:w="1524" w:type="dxa"/>
                            <w:tcBorders>
                              <w:top w:val="single" w:sz="4" w:space="0" w:color="000000"/>
                              <w:left w:val="single" w:sz="4" w:space="0" w:color="000000"/>
                              <w:right w:val="single" w:sz="4" w:space="0" w:color="000000"/>
                            </w:tcBorders>
                          </w:tcPr>
                          <w:p w:rsidR="00883FED" w:rsidRDefault="00883FED">
                            <w:pPr>
                              <w:pStyle w:val="TableParagraph"/>
                              <w:spacing w:line="215" w:lineRule="exact"/>
                              <w:ind w:left="103"/>
                              <w:rPr>
                                <w:rFonts w:ascii="Times New Roman"/>
                                <w:b/>
                                <w:sz w:val="20"/>
                              </w:rPr>
                            </w:pPr>
                            <w:r>
                              <w:rPr>
                                <w:rFonts w:ascii="Times New Roman"/>
                                <w:b/>
                                <w:sz w:val="20"/>
                              </w:rPr>
                              <w:t>Reference</w:t>
                            </w:r>
                            <w:r>
                              <w:rPr>
                                <w:rFonts w:ascii="Times New Roman"/>
                                <w:b/>
                                <w:spacing w:val="-8"/>
                                <w:sz w:val="20"/>
                              </w:rPr>
                              <w:t xml:space="preserve"> </w:t>
                            </w:r>
                            <w:r>
                              <w:rPr>
                                <w:rFonts w:ascii="Times New Roman"/>
                                <w:b/>
                                <w:spacing w:val="-5"/>
                                <w:sz w:val="20"/>
                              </w:rPr>
                              <w:t>to</w:t>
                            </w:r>
                          </w:p>
                        </w:tc>
                        <w:tc>
                          <w:tcPr>
                            <w:tcW w:w="8898" w:type="dxa"/>
                            <w:tcBorders>
                              <w:top w:val="single" w:sz="4" w:space="0" w:color="000000"/>
                              <w:left w:val="single" w:sz="4" w:space="0" w:color="000000"/>
                              <w:right w:val="single" w:sz="4" w:space="0" w:color="000000"/>
                            </w:tcBorders>
                          </w:tcPr>
                          <w:p w:rsidR="00883FED" w:rsidRDefault="00883FED">
                            <w:pPr>
                              <w:pStyle w:val="TableParagraph"/>
                              <w:spacing w:line="215" w:lineRule="exact"/>
                              <w:ind w:left="103"/>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c>
                          <w:tcPr>
                            <w:tcW w:w="829" w:type="dxa"/>
                            <w:vMerge w:val="restart"/>
                            <w:tcBorders>
                              <w:left w:val="single" w:sz="18" w:space="0" w:color="000000"/>
                            </w:tcBorders>
                          </w:tcPr>
                          <w:p w:rsidR="00883FED" w:rsidRDefault="00883FED">
                            <w:pPr>
                              <w:pStyle w:val="TableParagraph"/>
                              <w:rPr>
                                <w:rFonts w:ascii="Times New Roman"/>
                              </w:rPr>
                            </w:pPr>
                          </w:p>
                        </w:tc>
                      </w:tr>
                      <w:tr w:rsidR="00883FED">
                        <w:trPr>
                          <w:trHeight w:val="225"/>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4" w:space="0" w:color="000000"/>
                              <w:bottom w:val="single" w:sz="4" w:space="0" w:color="000000"/>
                              <w:right w:val="single" w:sz="4" w:space="0" w:color="000000"/>
                            </w:tcBorders>
                          </w:tcPr>
                          <w:p w:rsidR="00883FED" w:rsidRDefault="00883FED">
                            <w:pPr>
                              <w:pStyle w:val="TableParagraph"/>
                              <w:spacing w:line="205" w:lineRule="exact"/>
                              <w:ind w:left="103"/>
                              <w:rPr>
                                <w:rFonts w:ascii="Times New Roman"/>
                                <w:b/>
                                <w:sz w:val="20"/>
                              </w:rPr>
                            </w:pPr>
                            <w:r>
                              <w:rPr>
                                <w:rFonts w:ascii="Times New Roman"/>
                                <w:b/>
                                <w:sz w:val="20"/>
                              </w:rPr>
                              <w:t>ITC</w:t>
                            </w:r>
                            <w:r>
                              <w:rPr>
                                <w:rFonts w:ascii="Times New Roman"/>
                                <w:b/>
                                <w:spacing w:val="-6"/>
                                <w:sz w:val="20"/>
                              </w:rPr>
                              <w:t xml:space="preserve"> </w:t>
                            </w:r>
                            <w:r>
                              <w:rPr>
                                <w:rFonts w:ascii="Times New Roman"/>
                                <w:b/>
                                <w:spacing w:val="-2"/>
                                <w:sz w:val="20"/>
                              </w:rPr>
                              <w:t>Clause</w:t>
                            </w:r>
                          </w:p>
                        </w:tc>
                        <w:tc>
                          <w:tcPr>
                            <w:tcW w:w="8898" w:type="dxa"/>
                            <w:tcBorders>
                              <w:left w:val="single" w:sz="4" w:space="0" w:color="000000"/>
                              <w:bottom w:val="single" w:sz="4" w:space="0" w:color="000000"/>
                              <w:right w:val="single" w:sz="4" w:space="0" w:color="000000"/>
                            </w:tcBorders>
                          </w:tcPr>
                          <w:p w:rsidR="00883FED" w:rsidRDefault="00883FED">
                            <w:pPr>
                              <w:pStyle w:val="TableParagraph"/>
                              <w:rPr>
                                <w:rFonts w:ascii="Times New Roman"/>
                                <w:sz w:val="16"/>
                              </w:rPr>
                            </w:pPr>
                          </w:p>
                        </w:tc>
                        <w:tc>
                          <w:tcPr>
                            <w:tcW w:w="829" w:type="dxa"/>
                            <w:vMerge/>
                            <w:tcBorders>
                              <w:top w:val="nil"/>
                              <w:left w:val="single" w:sz="18" w:space="0" w:color="000000"/>
                            </w:tcBorders>
                          </w:tcPr>
                          <w:p w:rsidR="00883FED" w:rsidRDefault="00883FED">
                            <w:pPr>
                              <w:rPr>
                                <w:sz w:val="2"/>
                                <w:szCs w:val="2"/>
                              </w:rPr>
                            </w:pPr>
                          </w:p>
                        </w:tc>
                      </w:tr>
                      <w:tr w:rsidR="00883FED">
                        <w:trPr>
                          <w:trHeight w:val="251"/>
                        </w:trPr>
                        <w:tc>
                          <w:tcPr>
                            <w:tcW w:w="704" w:type="dxa"/>
                            <w:vMerge/>
                            <w:tcBorders>
                              <w:top w:val="nil"/>
                              <w:right w:val="single" w:sz="12" w:space="0" w:color="000000"/>
                            </w:tcBorders>
                          </w:tcPr>
                          <w:p w:rsidR="00883FED" w:rsidRDefault="00883FED">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883FED" w:rsidRDefault="00883FED">
                            <w:pPr>
                              <w:pStyle w:val="TableParagraph"/>
                              <w:spacing w:line="232" w:lineRule="exact"/>
                              <w:ind w:left="103"/>
                              <w:rPr>
                                <w:rFonts w:ascii="Times New Roman"/>
                                <w:b/>
                              </w:rPr>
                            </w:pPr>
                            <w:r>
                              <w:rPr>
                                <w:rFonts w:ascii="Times New Roman"/>
                                <w:b/>
                              </w:rPr>
                              <w:t>A.</w:t>
                            </w:r>
                            <w:r>
                              <w:rPr>
                                <w:rFonts w:ascii="Times New Roman"/>
                                <w:b/>
                                <w:spacing w:val="53"/>
                              </w:rPr>
                              <w:t xml:space="preserve"> </w:t>
                            </w:r>
                            <w:r>
                              <w:rPr>
                                <w:rFonts w:ascii="Times New Roman"/>
                                <w:b/>
                                <w:spacing w:val="-2"/>
                              </w:rPr>
                              <w:t>General</w:t>
                            </w:r>
                          </w:p>
                        </w:tc>
                        <w:tc>
                          <w:tcPr>
                            <w:tcW w:w="829" w:type="dxa"/>
                            <w:vMerge/>
                            <w:tcBorders>
                              <w:top w:val="nil"/>
                              <w:left w:val="single" w:sz="18" w:space="0" w:color="000000"/>
                            </w:tcBorders>
                          </w:tcPr>
                          <w:p w:rsidR="00883FED" w:rsidRDefault="00883FED">
                            <w:pPr>
                              <w:rPr>
                                <w:sz w:val="2"/>
                                <w:szCs w:val="2"/>
                              </w:rPr>
                            </w:pPr>
                          </w:p>
                        </w:tc>
                      </w:tr>
                      <w:tr w:rsidR="00883FED">
                        <w:trPr>
                          <w:trHeight w:val="278"/>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4" w:space="0" w:color="000000"/>
                              <w:left w:val="single" w:sz="12" w:space="0" w:color="000000"/>
                              <w:right w:val="single" w:sz="12" w:space="0" w:color="000000"/>
                            </w:tcBorders>
                          </w:tcPr>
                          <w:p w:rsidR="00883FED" w:rsidRDefault="00883FED">
                            <w:pPr>
                              <w:pStyle w:val="TableParagraph"/>
                              <w:spacing w:line="251"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1.1</w:t>
                            </w:r>
                          </w:p>
                        </w:tc>
                        <w:tc>
                          <w:tcPr>
                            <w:tcW w:w="8898" w:type="dxa"/>
                            <w:tcBorders>
                              <w:top w:val="single" w:sz="4" w:space="0" w:color="000000"/>
                              <w:left w:val="single" w:sz="12" w:space="0" w:color="000000"/>
                              <w:right w:val="single" w:sz="12" w:space="0" w:color="000000"/>
                            </w:tcBorders>
                          </w:tcPr>
                          <w:p w:rsidR="00883FED" w:rsidRDefault="00883FED">
                            <w:pPr>
                              <w:pStyle w:val="TableParagraph"/>
                              <w:tabs>
                                <w:tab w:val="left" w:pos="2763"/>
                              </w:tabs>
                              <w:spacing w:line="259" w:lineRule="exact"/>
                              <w:ind w:left="93"/>
                              <w:rPr>
                                <w:rFonts w:ascii="Times New Roman"/>
                              </w:rPr>
                            </w:pPr>
                            <w:r>
                              <w:rPr>
                                <w:rFonts w:ascii="Times New Roman"/>
                              </w:rPr>
                              <w:t>The</w:t>
                            </w:r>
                            <w:r>
                              <w:rPr>
                                <w:rFonts w:ascii="Times New Roman"/>
                                <w:spacing w:val="-3"/>
                              </w:rPr>
                              <w:t xml:space="preserve"> </w:t>
                            </w:r>
                            <w:r>
                              <w:rPr>
                                <w:rFonts w:ascii="Times New Roman"/>
                              </w:rPr>
                              <w:t>name</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1"/>
                              </w:rPr>
                              <w:t xml:space="preserve"> </w:t>
                            </w:r>
                            <w:r>
                              <w:rPr>
                                <w:rFonts w:ascii="Times New Roman"/>
                                <w:spacing w:val="-5"/>
                              </w:rPr>
                              <w:t>is</w:t>
                            </w:r>
                            <w:r>
                              <w:rPr>
                                <w:rFonts w:ascii="Times New Roman"/>
                                <w:u w:val="single"/>
                              </w:rPr>
                              <w:tab/>
                            </w:r>
                            <w:r>
                              <w:rPr>
                                <w:rFonts w:ascii="Times New Roman"/>
                              </w:rPr>
                              <w:t>PROPOSED</w:t>
                            </w:r>
                            <w:r>
                              <w:rPr>
                                <w:rFonts w:ascii="Times New Roman"/>
                                <w:spacing w:val="-6"/>
                              </w:rPr>
                              <w:t xml:space="preserve"> </w:t>
                            </w:r>
                            <w:r>
                              <w:rPr>
                                <w:rFonts w:ascii="Times New Roman"/>
                                <w:color w:val="221F1F"/>
                                <w:sz w:val="24"/>
                              </w:rPr>
                              <w:t>COLD</w:t>
                            </w:r>
                            <w:r>
                              <w:rPr>
                                <w:rFonts w:ascii="Times New Roman"/>
                                <w:color w:val="221F1F"/>
                                <w:spacing w:val="-3"/>
                                <w:sz w:val="24"/>
                              </w:rPr>
                              <w:t xml:space="preserve"> </w:t>
                            </w:r>
                            <w:r>
                              <w:rPr>
                                <w:rFonts w:ascii="Times New Roman"/>
                                <w:color w:val="221F1F"/>
                                <w:sz w:val="24"/>
                              </w:rPr>
                              <w:t>ROOM</w:t>
                            </w:r>
                            <w:r>
                              <w:rPr>
                                <w:rFonts w:ascii="Times New Roman"/>
                                <w:color w:val="221F1F"/>
                                <w:spacing w:val="-3"/>
                                <w:sz w:val="24"/>
                              </w:rPr>
                              <w:t xml:space="preserve"> </w:t>
                            </w:r>
                            <w:r>
                              <w:rPr>
                                <w:rFonts w:ascii="Times New Roman"/>
                                <w:color w:val="221F1F"/>
                                <w:sz w:val="24"/>
                              </w:rPr>
                              <w:t>.</w:t>
                            </w:r>
                            <w:r>
                              <w:rPr>
                                <w:rFonts w:ascii="Times New Roman"/>
                              </w:rPr>
                              <w:t>The</w:t>
                            </w:r>
                            <w:r>
                              <w:rPr>
                                <w:rFonts w:ascii="Times New Roman"/>
                                <w:spacing w:val="-2"/>
                              </w:rPr>
                              <w:t xml:space="preserve"> </w:t>
                            </w:r>
                            <w:r>
                              <w:rPr>
                                <w:rFonts w:ascii="Times New Roman"/>
                              </w:rPr>
                              <w:t>reference</w:t>
                            </w:r>
                            <w:r>
                              <w:rPr>
                                <w:rFonts w:ascii="Times New Roman"/>
                                <w:spacing w:val="-4"/>
                              </w:rPr>
                              <w:t xml:space="preserve"> </w:t>
                            </w:r>
                            <w:r>
                              <w:rPr>
                                <w:rFonts w:ascii="Times New Roman"/>
                              </w:rPr>
                              <w:t>number</w:t>
                            </w:r>
                            <w:r>
                              <w:rPr>
                                <w:rFonts w:ascii="Times New Roman"/>
                                <w:spacing w:val="-2"/>
                              </w:rPr>
                              <w:t xml:space="preserve"> </w:t>
                            </w:r>
                            <w:r>
                              <w:rPr>
                                <w:rFonts w:ascii="Times New Roman"/>
                              </w:rPr>
                              <w:t>of</w:t>
                            </w:r>
                            <w:r>
                              <w:rPr>
                                <w:rFonts w:ascii="Times New Roman"/>
                                <w:spacing w:val="-4"/>
                              </w:rPr>
                              <w:t xml:space="preserve"> </w:t>
                            </w:r>
                            <w:r>
                              <w:rPr>
                                <w:rFonts w:ascii="Times New Roman"/>
                                <w:spacing w:val="-5"/>
                              </w:rPr>
                              <w:t>the</w:t>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spacing w:line="248" w:lineRule="exact"/>
                              <w:ind w:left="93"/>
                              <w:rPr>
                                <w:rFonts w:ascii="Times New Roman"/>
                              </w:rPr>
                            </w:pPr>
                            <w:r>
                              <w:rPr>
                                <w:rFonts w:ascii="Times New Roman"/>
                              </w:rPr>
                              <w:t>Contract</w:t>
                            </w:r>
                            <w:r>
                              <w:rPr>
                                <w:rFonts w:ascii="Times New Roman"/>
                                <w:spacing w:val="-5"/>
                              </w:rPr>
                              <w:t xml:space="preserve"> </w:t>
                            </w:r>
                            <w:r>
                              <w:rPr>
                                <w:rFonts w:ascii="Times New Roman"/>
                              </w:rPr>
                              <w:t>is_</w:t>
                            </w:r>
                            <w:r>
                              <w:rPr>
                                <w:rFonts w:ascii="Times New Roman"/>
                                <w:spacing w:val="-3"/>
                              </w:rPr>
                              <w:t xml:space="preserve"> </w:t>
                            </w:r>
                            <w:r>
                              <w:rPr>
                                <w:rFonts w:ascii="Times New Roman"/>
                              </w:rPr>
                              <w:t>W.P.</w:t>
                            </w:r>
                            <w:r>
                              <w:rPr>
                                <w:rFonts w:ascii="Times New Roman"/>
                                <w:spacing w:val="-3"/>
                              </w:rPr>
                              <w:t xml:space="preserve"> </w:t>
                            </w:r>
                            <w:r>
                              <w:rPr>
                                <w:rFonts w:ascii="Times New Roman"/>
                              </w:rPr>
                              <w:t>ITEM</w:t>
                            </w:r>
                            <w:r>
                              <w:rPr>
                                <w:rFonts w:ascii="Times New Roman"/>
                                <w:spacing w:val="-2"/>
                              </w:rPr>
                              <w:t xml:space="preserve"> </w:t>
                            </w:r>
                            <w:r>
                              <w:rPr>
                                <w:rFonts w:ascii="Times New Roman"/>
                              </w:rPr>
                              <w:t>NO.</w:t>
                            </w:r>
                            <w:r>
                              <w:rPr>
                                <w:rFonts w:ascii="Times New Roman"/>
                                <w:spacing w:val="-2"/>
                              </w:rPr>
                              <w:t xml:space="preserve"> D1081/JOOTRH/02/2026</w:t>
                            </w:r>
                          </w:p>
                        </w:tc>
                        <w:tc>
                          <w:tcPr>
                            <w:tcW w:w="829" w:type="dxa"/>
                            <w:vMerge/>
                            <w:tcBorders>
                              <w:top w:val="nil"/>
                              <w:left w:val="single" w:sz="18" w:space="0" w:color="000000"/>
                            </w:tcBorders>
                          </w:tcPr>
                          <w:p w:rsidR="00883FED" w:rsidRDefault="00883FED">
                            <w:pPr>
                              <w:rPr>
                                <w:sz w:val="2"/>
                                <w:szCs w:val="2"/>
                              </w:rPr>
                            </w:pPr>
                          </w:p>
                        </w:tc>
                      </w:tr>
                      <w:tr w:rsidR="00883FED">
                        <w:trPr>
                          <w:trHeight w:val="380"/>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spacing w:before="122" w:line="238" w:lineRule="exact"/>
                              <w:ind w:left="93"/>
                              <w:rPr>
                                <w:rFonts w:ascii="Times New Roman"/>
                              </w:rPr>
                            </w:pPr>
                            <w:r>
                              <w:rPr>
                                <w:rFonts w:ascii="Times New Roman"/>
                              </w:rPr>
                              <w:t>The</w:t>
                            </w:r>
                            <w:r>
                              <w:rPr>
                                <w:rFonts w:ascii="Times New Roman"/>
                                <w:spacing w:val="-7"/>
                              </w:rPr>
                              <w:t xml:space="preserve"> </w:t>
                            </w:r>
                            <w:r>
                              <w:rPr>
                                <w:rFonts w:ascii="Times New Roman"/>
                              </w:rPr>
                              <w:t>number</w:t>
                            </w:r>
                            <w:r>
                              <w:rPr>
                                <w:rFonts w:ascii="Times New Roman"/>
                                <w:spacing w:val="-4"/>
                              </w:rPr>
                              <w:t xml:space="preserve"> </w:t>
                            </w:r>
                            <w:r>
                              <w:rPr>
                                <w:rFonts w:ascii="Times New Roman"/>
                              </w:rPr>
                              <w:t>and</w:t>
                            </w:r>
                            <w:r>
                              <w:rPr>
                                <w:rFonts w:ascii="Times New Roman"/>
                                <w:spacing w:val="-6"/>
                              </w:rPr>
                              <w:t xml:space="preserve"> </w:t>
                            </w:r>
                            <w:r>
                              <w:rPr>
                                <w:rFonts w:ascii="Times New Roman"/>
                              </w:rPr>
                              <w:t>identification</w:t>
                            </w:r>
                            <w:r>
                              <w:rPr>
                                <w:rFonts w:ascii="Times New Roman"/>
                                <w:spacing w:val="-4"/>
                              </w:rPr>
                              <w:t xml:space="preserve"> </w:t>
                            </w:r>
                            <w:r>
                              <w:rPr>
                                <w:rFonts w:ascii="Times New Roman"/>
                              </w:rPr>
                              <w:t>of</w:t>
                            </w:r>
                            <w:r>
                              <w:rPr>
                                <w:rFonts w:ascii="Times New Roman"/>
                                <w:spacing w:val="-4"/>
                              </w:rPr>
                              <w:t xml:space="preserve"> </w:t>
                            </w:r>
                            <w:r>
                              <w:rPr>
                                <w:rFonts w:ascii="Times New Roman"/>
                              </w:rPr>
                              <w:t>lots</w:t>
                            </w:r>
                            <w:r>
                              <w:rPr>
                                <w:rFonts w:ascii="Times New Roman"/>
                                <w:spacing w:val="-4"/>
                              </w:rPr>
                              <w:t xml:space="preserve"> </w:t>
                            </w:r>
                            <w:r>
                              <w:rPr>
                                <w:rFonts w:ascii="Times New Roman"/>
                              </w:rPr>
                              <w:t>(contracts)</w:t>
                            </w:r>
                            <w:r>
                              <w:rPr>
                                <w:rFonts w:ascii="Times New Roman"/>
                                <w:spacing w:val="-2"/>
                              </w:rPr>
                              <w:t xml:space="preserve"> </w:t>
                            </w:r>
                            <w:r>
                              <w:rPr>
                                <w:rFonts w:ascii="Times New Roman"/>
                              </w:rPr>
                              <w:t>comprising</w:t>
                            </w:r>
                            <w:r>
                              <w:rPr>
                                <w:rFonts w:ascii="Times New Roman"/>
                                <w:spacing w:val="-4"/>
                              </w:rPr>
                              <w:t xml:space="preserve"> </w:t>
                            </w:r>
                            <w:r>
                              <w:rPr>
                                <w:rFonts w:ascii="Times New Roman"/>
                              </w:rPr>
                              <w:t>this</w:t>
                            </w:r>
                            <w:r>
                              <w:rPr>
                                <w:rFonts w:ascii="Times New Roman"/>
                                <w:spacing w:val="-4"/>
                              </w:rPr>
                              <w:t xml:space="preserve"> </w:t>
                            </w:r>
                            <w:r>
                              <w:rPr>
                                <w:rFonts w:ascii="Times New Roman"/>
                              </w:rPr>
                              <w:t>Tender</w:t>
                            </w:r>
                            <w:r>
                              <w:rPr>
                                <w:rFonts w:ascii="Times New Roman"/>
                                <w:spacing w:val="-4"/>
                              </w:rPr>
                              <w:t xml:space="preserve"> </w:t>
                            </w:r>
                            <w:r>
                              <w:rPr>
                                <w:rFonts w:ascii="Times New Roman"/>
                                <w:spacing w:val="-5"/>
                              </w:rPr>
                              <w:t>are</w:t>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spacing w:line="249" w:lineRule="exact"/>
                              <w:ind w:left="93"/>
                              <w:rPr>
                                <w:rFonts w:ascii="Times New Roman"/>
                                <w:i/>
                              </w:rPr>
                            </w:pPr>
                            <w:r>
                              <w:rPr>
                                <w:rFonts w:ascii="Times New Roman"/>
                                <w:i/>
                              </w:rPr>
                              <w:t>[insert</w:t>
                            </w:r>
                            <w:r>
                              <w:rPr>
                                <w:rFonts w:ascii="Times New Roman"/>
                                <w:i/>
                                <w:spacing w:val="-3"/>
                              </w:rPr>
                              <w:t xml:space="preserve"> </w:t>
                            </w:r>
                            <w:r>
                              <w:rPr>
                                <w:rFonts w:ascii="Times New Roman"/>
                                <w:i/>
                              </w:rPr>
                              <w:t>number</w:t>
                            </w:r>
                            <w:r>
                              <w:rPr>
                                <w:rFonts w:ascii="Times New Roman"/>
                                <w:i/>
                                <w:spacing w:val="-4"/>
                              </w:rPr>
                              <w:t xml:space="preserve"> </w:t>
                            </w:r>
                            <w:r>
                              <w:rPr>
                                <w:rFonts w:ascii="Times New Roman"/>
                                <w:i/>
                              </w:rPr>
                              <w:t>and</w:t>
                            </w:r>
                            <w:r>
                              <w:rPr>
                                <w:rFonts w:ascii="Times New Roman"/>
                                <w:i/>
                                <w:spacing w:val="-5"/>
                              </w:rPr>
                              <w:t xml:space="preserve"> </w:t>
                            </w:r>
                            <w:r>
                              <w:rPr>
                                <w:rFonts w:ascii="Times New Roman"/>
                                <w:i/>
                              </w:rPr>
                              <w:t>identification</w:t>
                            </w:r>
                            <w:r>
                              <w:rPr>
                                <w:rFonts w:ascii="Times New Roman"/>
                                <w:i/>
                                <w:spacing w:val="-4"/>
                              </w:rPr>
                              <w:t xml:space="preserve"> </w:t>
                            </w:r>
                            <w:r>
                              <w:rPr>
                                <w:rFonts w:ascii="Times New Roman"/>
                                <w:i/>
                              </w:rPr>
                              <w:t>of</w:t>
                            </w:r>
                            <w:r>
                              <w:rPr>
                                <w:rFonts w:ascii="Times New Roman"/>
                                <w:i/>
                                <w:spacing w:val="-2"/>
                              </w:rPr>
                              <w:t xml:space="preserve"> </w:t>
                            </w:r>
                            <w:r>
                              <w:rPr>
                                <w:rFonts w:ascii="Times New Roman"/>
                                <w:i/>
                              </w:rPr>
                              <w:t>lots</w:t>
                            </w:r>
                            <w:r>
                              <w:rPr>
                                <w:rFonts w:ascii="Times New Roman"/>
                                <w:i/>
                                <w:spacing w:val="-5"/>
                              </w:rPr>
                              <w:t xml:space="preserve"> </w:t>
                            </w:r>
                            <w:r>
                              <w:rPr>
                                <w:rFonts w:ascii="Times New Roman"/>
                                <w:i/>
                                <w:spacing w:val="-2"/>
                              </w:rPr>
                              <w:t>(contracts)]</w:t>
                            </w:r>
                          </w:p>
                        </w:tc>
                        <w:tc>
                          <w:tcPr>
                            <w:tcW w:w="829" w:type="dxa"/>
                            <w:vMerge/>
                            <w:tcBorders>
                              <w:top w:val="nil"/>
                              <w:left w:val="single" w:sz="18" w:space="0" w:color="000000"/>
                            </w:tcBorders>
                          </w:tcPr>
                          <w:p w:rsidR="00883FED" w:rsidRDefault="00883FED">
                            <w:pPr>
                              <w:rPr>
                                <w:sz w:val="2"/>
                                <w:szCs w:val="2"/>
                              </w:rPr>
                            </w:pPr>
                          </w:p>
                        </w:tc>
                      </w:tr>
                      <w:tr w:rsidR="00883FED">
                        <w:trPr>
                          <w:trHeight w:val="505"/>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tabs>
                                <w:tab w:val="left" w:pos="4847"/>
                              </w:tabs>
                              <w:spacing w:before="121"/>
                              <w:ind w:left="93"/>
                              <w:rPr>
                                <w:rFonts w:ascii="Times New Roman"/>
                              </w:rPr>
                            </w:pPr>
                            <w:r>
                              <w:rPr>
                                <w:rFonts w:ascii="Times New Roman"/>
                              </w:rPr>
                              <w:t xml:space="preserve">Lot 1- Name </w:t>
                            </w:r>
                            <w:r>
                              <w:rPr>
                                <w:rFonts w:ascii="Times New Roman"/>
                                <w:u w:val="single"/>
                              </w:rPr>
                              <w:tab/>
                            </w:r>
                          </w:p>
                        </w:tc>
                        <w:tc>
                          <w:tcPr>
                            <w:tcW w:w="829" w:type="dxa"/>
                            <w:vMerge/>
                            <w:tcBorders>
                              <w:top w:val="nil"/>
                              <w:left w:val="single" w:sz="18" w:space="0" w:color="000000"/>
                            </w:tcBorders>
                          </w:tcPr>
                          <w:p w:rsidR="00883FED" w:rsidRDefault="00883FED">
                            <w:pPr>
                              <w:rPr>
                                <w:sz w:val="2"/>
                                <w:szCs w:val="2"/>
                              </w:rPr>
                            </w:pPr>
                          </w:p>
                        </w:tc>
                      </w:tr>
                      <w:tr w:rsidR="00883FED">
                        <w:trPr>
                          <w:trHeight w:val="506"/>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tabs>
                                <w:tab w:val="left" w:pos="5063"/>
                              </w:tabs>
                              <w:spacing w:before="122"/>
                              <w:ind w:left="93"/>
                              <w:rPr>
                                <w:rFonts w:ascii="Times New Roman"/>
                              </w:rPr>
                            </w:pPr>
                            <w:r>
                              <w:rPr>
                                <w:rFonts w:ascii="Times New Roman"/>
                              </w:rPr>
                              <w:t xml:space="preserve">Lot 2- Name </w:t>
                            </w:r>
                            <w:r>
                              <w:rPr>
                                <w:rFonts w:ascii="Times New Roman"/>
                                <w:u w:val="single"/>
                              </w:rPr>
                              <w:tab/>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tabs>
                                <w:tab w:val="left" w:pos="5596"/>
                              </w:tabs>
                              <w:spacing w:before="122" w:line="237" w:lineRule="exact"/>
                              <w:ind w:left="93"/>
                              <w:rPr>
                                <w:rFonts w:ascii="Times New Roman" w:hAnsi="Times New Roman"/>
                              </w:rPr>
                            </w:pPr>
                            <w:r>
                              <w:rPr>
                                <w:rFonts w:ascii="Times New Roman" w:hAnsi="Times New Roman"/>
                              </w:rPr>
                              <w:t xml:space="preserve">Lot… Name </w:t>
                            </w:r>
                            <w:r>
                              <w:rPr>
                                <w:rFonts w:ascii="Times New Roman" w:hAnsi="Times New Roman"/>
                                <w:u w:val="single"/>
                              </w:rPr>
                              <w:tab/>
                            </w:r>
                          </w:p>
                        </w:tc>
                        <w:tc>
                          <w:tcPr>
                            <w:tcW w:w="829" w:type="dxa"/>
                            <w:vMerge/>
                            <w:tcBorders>
                              <w:top w:val="nil"/>
                              <w:left w:val="single" w:sz="18" w:space="0" w:color="000000"/>
                            </w:tcBorders>
                          </w:tcPr>
                          <w:p w:rsidR="00883FED" w:rsidRDefault="00883FED">
                            <w:pPr>
                              <w:rPr>
                                <w:sz w:val="2"/>
                                <w:szCs w:val="2"/>
                              </w:rPr>
                            </w:pPr>
                          </w:p>
                        </w:tc>
                      </w:tr>
                      <w:tr w:rsidR="00883FED">
                        <w:trPr>
                          <w:trHeight w:val="250"/>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sz w:val="18"/>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spacing w:line="230" w:lineRule="exact"/>
                              <w:ind w:left="93"/>
                              <w:rPr>
                                <w:rFonts w:ascii="Times New Roman"/>
                              </w:rPr>
                            </w:pPr>
                            <w:r>
                              <w:rPr>
                                <w:rFonts w:ascii="Times New Roman"/>
                                <w:spacing w:val="-4"/>
                              </w:rPr>
                              <w:t>ETC.</w:t>
                            </w:r>
                          </w:p>
                        </w:tc>
                        <w:tc>
                          <w:tcPr>
                            <w:tcW w:w="829" w:type="dxa"/>
                            <w:vMerge/>
                            <w:tcBorders>
                              <w:top w:val="nil"/>
                              <w:left w:val="single" w:sz="18" w:space="0" w:color="000000"/>
                            </w:tcBorders>
                          </w:tcPr>
                          <w:p w:rsidR="00883FED" w:rsidRDefault="00883FED">
                            <w:pPr>
                              <w:rPr>
                                <w:sz w:val="2"/>
                                <w:szCs w:val="2"/>
                              </w:rPr>
                            </w:pPr>
                          </w:p>
                        </w:tc>
                      </w:tr>
                      <w:tr w:rsidR="00883FED">
                        <w:trPr>
                          <w:trHeight w:val="555"/>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line="251"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2.4</w:t>
                            </w:r>
                          </w:p>
                        </w:tc>
                        <w:tc>
                          <w:tcPr>
                            <w:tcW w:w="8898"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ind w:left="93"/>
                              <w:rPr>
                                <w:rFonts w:ascii="Times New Roman"/>
                              </w:rPr>
                            </w:pPr>
                            <w:r>
                              <w:rPr>
                                <w:rFonts w:ascii="Times New Roman"/>
                              </w:rPr>
                              <w:t>The</w:t>
                            </w:r>
                            <w:r>
                              <w:rPr>
                                <w:rFonts w:ascii="Times New Roman"/>
                                <w:spacing w:val="-5"/>
                              </w:rPr>
                              <w:t xml:space="preserve"> </w:t>
                            </w:r>
                            <w:r>
                              <w:rPr>
                                <w:rFonts w:ascii="Times New Roman"/>
                              </w:rPr>
                              <w:t>Information</w:t>
                            </w:r>
                            <w:r>
                              <w:rPr>
                                <w:rFonts w:ascii="Times New Roman"/>
                                <w:spacing w:val="-3"/>
                              </w:rPr>
                              <w:t xml:space="preserve"> </w:t>
                            </w:r>
                            <w:r>
                              <w:rPr>
                                <w:rFonts w:ascii="Times New Roman"/>
                              </w:rPr>
                              <w:t>made</w:t>
                            </w:r>
                            <w:r>
                              <w:rPr>
                                <w:rFonts w:ascii="Times New Roman"/>
                                <w:spacing w:val="-5"/>
                              </w:rPr>
                              <w:t xml:space="preserve"> </w:t>
                            </w:r>
                            <w:r>
                              <w:rPr>
                                <w:rFonts w:ascii="Times New Roman"/>
                              </w:rPr>
                              <w:t>available</w:t>
                            </w:r>
                            <w:r>
                              <w:rPr>
                                <w:rFonts w:ascii="Times New Roman"/>
                                <w:spacing w:val="-3"/>
                              </w:rPr>
                              <w:t xml:space="preserve"> </w:t>
                            </w:r>
                            <w:r>
                              <w:rPr>
                                <w:rFonts w:ascii="Times New Roman"/>
                              </w:rPr>
                              <w:t>on</w:t>
                            </w:r>
                            <w:r>
                              <w:rPr>
                                <w:rFonts w:ascii="Times New Roman"/>
                                <w:spacing w:val="-3"/>
                              </w:rPr>
                              <w:t xml:space="preserve"> </w:t>
                            </w:r>
                            <w:r>
                              <w:rPr>
                                <w:rFonts w:ascii="Times New Roman"/>
                              </w:rPr>
                              <w:t>competing</w:t>
                            </w:r>
                            <w:r>
                              <w:rPr>
                                <w:rFonts w:ascii="Times New Roman"/>
                                <w:spacing w:val="-5"/>
                              </w:rPr>
                              <w:t xml:space="preserve"> </w:t>
                            </w:r>
                            <w:r>
                              <w:rPr>
                                <w:rFonts w:ascii="Times New Roman"/>
                              </w:rPr>
                              <w:t>firms</w:t>
                            </w:r>
                            <w:r>
                              <w:rPr>
                                <w:rFonts w:ascii="Times New Roman"/>
                                <w:spacing w:val="-5"/>
                              </w:rPr>
                              <w:t xml:space="preserve"> </w:t>
                            </w:r>
                            <w:r>
                              <w:rPr>
                                <w:rFonts w:ascii="Times New Roman"/>
                              </w:rPr>
                              <w:t>is</w:t>
                            </w:r>
                            <w:r>
                              <w:rPr>
                                <w:rFonts w:ascii="Times New Roman"/>
                                <w:spacing w:val="-5"/>
                              </w:rPr>
                              <w:t xml:space="preserve"> </w:t>
                            </w:r>
                            <w:r>
                              <w:rPr>
                                <w:rFonts w:ascii="Times New Roman"/>
                              </w:rPr>
                              <w:t>as</w:t>
                            </w:r>
                            <w:r>
                              <w:rPr>
                                <w:rFonts w:ascii="Times New Roman"/>
                                <w:spacing w:val="-2"/>
                              </w:rPr>
                              <w:t xml:space="preserve"> follows:</w:t>
                            </w:r>
                          </w:p>
                        </w:tc>
                        <w:tc>
                          <w:tcPr>
                            <w:tcW w:w="829" w:type="dxa"/>
                            <w:vMerge/>
                            <w:tcBorders>
                              <w:top w:val="nil"/>
                              <w:left w:val="single" w:sz="18" w:space="0" w:color="000000"/>
                            </w:tcBorders>
                          </w:tcPr>
                          <w:p w:rsidR="00883FED" w:rsidRDefault="00883FED">
                            <w:pPr>
                              <w:rPr>
                                <w:sz w:val="2"/>
                                <w:szCs w:val="2"/>
                              </w:rPr>
                            </w:pPr>
                          </w:p>
                        </w:tc>
                      </w:tr>
                      <w:tr w:rsidR="00883FED">
                        <w:trPr>
                          <w:trHeight w:val="258"/>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pPr>
                              <w:pStyle w:val="TableParagraph"/>
                              <w:spacing w:line="238"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2.4</w:t>
                            </w:r>
                          </w:p>
                        </w:tc>
                        <w:tc>
                          <w:tcPr>
                            <w:tcW w:w="8898" w:type="dxa"/>
                            <w:tcBorders>
                              <w:top w:val="single" w:sz="12" w:space="0" w:color="000000"/>
                              <w:left w:val="single" w:sz="12" w:space="0" w:color="000000"/>
                              <w:right w:val="single" w:sz="12" w:space="0" w:color="000000"/>
                            </w:tcBorders>
                          </w:tcPr>
                          <w:p w:rsidR="00883FED" w:rsidRDefault="00883FED">
                            <w:pPr>
                              <w:pStyle w:val="TableParagraph"/>
                              <w:spacing w:line="238" w:lineRule="exact"/>
                              <w:ind w:left="93"/>
                              <w:rPr>
                                <w:rFonts w:ascii="Times New Roman"/>
                              </w:rPr>
                            </w:pPr>
                            <w:r>
                              <w:rPr>
                                <w:rFonts w:ascii="Times New Roman"/>
                              </w:rPr>
                              <w:t>The</w:t>
                            </w:r>
                            <w:r>
                              <w:rPr>
                                <w:rFonts w:ascii="Times New Roman"/>
                                <w:spacing w:val="-6"/>
                              </w:rPr>
                              <w:t xml:space="preserve"> </w:t>
                            </w:r>
                            <w:r>
                              <w:rPr>
                                <w:rFonts w:ascii="Times New Roman"/>
                              </w:rPr>
                              <w:t>firms</w:t>
                            </w:r>
                            <w:r>
                              <w:rPr>
                                <w:rFonts w:ascii="Times New Roman"/>
                                <w:spacing w:val="-5"/>
                              </w:rPr>
                              <w:t xml:space="preserve"> </w:t>
                            </w:r>
                            <w:r>
                              <w:rPr>
                                <w:rFonts w:ascii="Times New Roman"/>
                              </w:rPr>
                              <w:t>that</w:t>
                            </w:r>
                            <w:r>
                              <w:rPr>
                                <w:rFonts w:ascii="Times New Roman"/>
                                <w:spacing w:val="-3"/>
                              </w:rPr>
                              <w:t xml:space="preserve"> </w:t>
                            </w:r>
                            <w:r>
                              <w:rPr>
                                <w:rFonts w:ascii="Times New Roman"/>
                              </w:rPr>
                              <w:t>provided</w:t>
                            </w:r>
                            <w:r>
                              <w:rPr>
                                <w:rFonts w:ascii="Times New Roman"/>
                                <w:spacing w:val="-3"/>
                              </w:rPr>
                              <w:t xml:space="preserve"> </w:t>
                            </w:r>
                            <w:r>
                              <w:rPr>
                                <w:rFonts w:ascii="Times New Roman"/>
                              </w:rPr>
                              <w:t>consulting</w:t>
                            </w:r>
                            <w:r>
                              <w:rPr>
                                <w:rFonts w:ascii="Times New Roman"/>
                                <w:spacing w:val="-6"/>
                              </w:rPr>
                              <w:t xml:space="preserve"> </w:t>
                            </w:r>
                            <w:r>
                              <w:rPr>
                                <w:rFonts w:ascii="Times New Roman"/>
                              </w:rPr>
                              <w:t>services</w:t>
                            </w:r>
                            <w:r>
                              <w:rPr>
                                <w:rFonts w:ascii="Times New Roman"/>
                                <w:spacing w:val="-5"/>
                              </w:rPr>
                              <w:t xml:space="preserve"> </w:t>
                            </w:r>
                            <w:r>
                              <w:rPr>
                                <w:rFonts w:ascii="Times New Roman"/>
                              </w:rPr>
                              <w:t>for</w:t>
                            </w:r>
                            <w:r>
                              <w:rPr>
                                <w:rFonts w:ascii="Times New Roman"/>
                                <w:spacing w:val="-6"/>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3"/>
                              </w:rPr>
                              <w:t xml:space="preserve"> </w:t>
                            </w:r>
                            <w:r>
                              <w:rPr>
                                <w:rFonts w:ascii="Times New Roman"/>
                              </w:rPr>
                              <w:t>being</w:t>
                            </w:r>
                            <w:r>
                              <w:rPr>
                                <w:rFonts w:ascii="Times New Roman"/>
                                <w:spacing w:val="-6"/>
                              </w:rPr>
                              <w:t xml:space="preserve"> </w:t>
                            </w:r>
                            <w:r>
                              <w:rPr>
                                <w:rFonts w:ascii="Times New Roman"/>
                              </w:rPr>
                              <w:t>tendered</w:t>
                            </w:r>
                            <w:r>
                              <w:rPr>
                                <w:rFonts w:ascii="Times New Roman"/>
                                <w:spacing w:val="-3"/>
                              </w:rPr>
                              <w:t xml:space="preserve"> </w:t>
                            </w:r>
                            <w:r>
                              <w:rPr>
                                <w:rFonts w:ascii="Times New Roman"/>
                              </w:rPr>
                              <w:t>for</w:t>
                            </w:r>
                            <w:r>
                              <w:rPr>
                                <w:rFonts w:ascii="Times New Roman"/>
                                <w:spacing w:val="-3"/>
                              </w:rPr>
                              <w:t xml:space="preserve"> </w:t>
                            </w:r>
                            <w:r>
                              <w:rPr>
                                <w:rFonts w:ascii="Times New Roman"/>
                                <w:spacing w:val="-4"/>
                              </w:rPr>
                              <w:t>are:</w:t>
                            </w:r>
                          </w:p>
                        </w:tc>
                        <w:tc>
                          <w:tcPr>
                            <w:tcW w:w="829" w:type="dxa"/>
                            <w:vMerge/>
                            <w:tcBorders>
                              <w:top w:val="nil"/>
                              <w:left w:val="single" w:sz="18" w:space="0" w:color="000000"/>
                            </w:tcBorders>
                          </w:tcPr>
                          <w:p w:rsidR="00883FED" w:rsidRDefault="00883FED">
                            <w:pPr>
                              <w:rPr>
                                <w:sz w:val="2"/>
                                <w:szCs w:val="2"/>
                              </w:rPr>
                            </w:pPr>
                          </w:p>
                        </w:tc>
                      </w:tr>
                      <w:tr w:rsidR="00883FED">
                        <w:trPr>
                          <w:trHeight w:val="551"/>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spacing w:line="249" w:lineRule="exact"/>
                              <w:ind w:left="93"/>
                              <w:rPr>
                                <w:rFonts w:ascii="Times New Roman"/>
                                <w:b/>
                              </w:rPr>
                            </w:pPr>
                            <w:r>
                              <w:rPr>
                                <w:rFonts w:ascii="Times New Roman"/>
                                <w:b/>
                              </w:rPr>
                              <w:t>STATE</w:t>
                            </w:r>
                            <w:r>
                              <w:rPr>
                                <w:rFonts w:ascii="Times New Roman"/>
                                <w:b/>
                                <w:spacing w:val="-6"/>
                              </w:rPr>
                              <w:t xml:space="preserve"> </w:t>
                            </w:r>
                            <w:r>
                              <w:rPr>
                                <w:rFonts w:ascii="Times New Roman"/>
                                <w:b/>
                              </w:rPr>
                              <w:t>DEPARTMENT</w:t>
                            </w:r>
                            <w:r>
                              <w:rPr>
                                <w:rFonts w:ascii="Times New Roman"/>
                                <w:b/>
                                <w:spacing w:val="-2"/>
                              </w:rPr>
                              <w:t xml:space="preserve"> </w:t>
                            </w:r>
                            <w:r>
                              <w:rPr>
                                <w:rFonts w:ascii="Times New Roman"/>
                                <w:b/>
                              </w:rPr>
                              <w:t>FOR</w:t>
                            </w:r>
                            <w:r>
                              <w:rPr>
                                <w:rFonts w:ascii="Times New Roman"/>
                                <w:b/>
                                <w:spacing w:val="-5"/>
                              </w:rPr>
                              <w:t xml:space="preserve"> </w:t>
                            </w:r>
                            <w:r>
                              <w:rPr>
                                <w:rFonts w:ascii="Times New Roman"/>
                                <w:b/>
                              </w:rPr>
                              <w:t>PUBLIC</w:t>
                            </w:r>
                            <w:r>
                              <w:rPr>
                                <w:rFonts w:ascii="Times New Roman"/>
                                <w:b/>
                                <w:spacing w:val="-4"/>
                              </w:rPr>
                              <w:t xml:space="preserve"> </w:t>
                            </w:r>
                            <w:r>
                              <w:rPr>
                                <w:rFonts w:ascii="Times New Roman"/>
                                <w:b/>
                              </w:rPr>
                              <w:t>WORKS,</w:t>
                            </w:r>
                            <w:r>
                              <w:rPr>
                                <w:rFonts w:ascii="Times New Roman"/>
                                <w:b/>
                                <w:spacing w:val="-7"/>
                              </w:rPr>
                              <w:t xml:space="preserve"> </w:t>
                            </w:r>
                            <w:r>
                              <w:rPr>
                                <w:rFonts w:ascii="Times New Roman"/>
                                <w:b/>
                              </w:rPr>
                              <w:t>P.O.BOX</w:t>
                            </w:r>
                            <w:r>
                              <w:rPr>
                                <w:rFonts w:ascii="Times New Roman"/>
                                <w:b/>
                                <w:spacing w:val="-4"/>
                              </w:rPr>
                              <w:t xml:space="preserve"> </w:t>
                            </w:r>
                            <w:r>
                              <w:rPr>
                                <w:rFonts w:ascii="Times New Roman"/>
                                <w:b/>
                              </w:rPr>
                              <w:t>821-40100</w:t>
                            </w:r>
                            <w:r>
                              <w:rPr>
                                <w:rFonts w:ascii="Times New Roman"/>
                                <w:b/>
                                <w:spacing w:val="-6"/>
                              </w:rPr>
                              <w:t xml:space="preserve"> </w:t>
                            </w:r>
                            <w:r>
                              <w:rPr>
                                <w:rFonts w:ascii="Times New Roman"/>
                                <w:b/>
                                <w:spacing w:val="-2"/>
                              </w:rPr>
                              <w:t>KISUMU</w:t>
                            </w:r>
                          </w:p>
                        </w:tc>
                        <w:tc>
                          <w:tcPr>
                            <w:tcW w:w="829" w:type="dxa"/>
                            <w:vMerge/>
                            <w:tcBorders>
                              <w:top w:val="nil"/>
                              <w:left w:val="single" w:sz="18" w:space="0" w:color="000000"/>
                            </w:tcBorders>
                          </w:tcPr>
                          <w:p w:rsidR="00883FED" w:rsidRDefault="00883FED">
                            <w:pPr>
                              <w:rPr>
                                <w:sz w:val="2"/>
                                <w:szCs w:val="2"/>
                              </w:rPr>
                            </w:pPr>
                          </w:p>
                        </w:tc>
                      </w:tr>
                      <w:tr w:rsidR="00883FED">
                        <w:trPr>
                          <w:trHeight w:val="250"/>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rPr>
                                <w:rFonts w:ascii="Times New Roman"/>
                                <w:sz w:val="18"/>
                              </w:rPr>
                            </w:pPr>
                          </w:p>
                        </w:tc>
                        <w:tc>
                          <w:tcPr>
                            <w:tcW w:w="8898"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rPr>
                                <w:rFonts w:ascii="Times New Roman"/>
                                <w:sz w:val="18"/>
                              </w:rPr>
                            </w:pPr>
                          </w:p>
                        </w:tc>
                        <w:tc>
                          <w:tcPr>
                            <w:tcW w:w="829" w:type="dxa"/>
                            <w:vMerge/>
                            <w:tcBorders>
                              <w:top w:val="nil"/>
                              <w:left w:val="single" w:sz="18" w:space="0" w:color="000000"/>
                            </w:tcBorders>
                          </w:tcPr>
                          <w:p w:rsidR="00883FED" w:rsidRDefault="00883FED">
                            <w:pPr>
                              <w:rPr>
                                <w:sz w:val="2"/>
                                <w:szCs w:val="2"/>
                              </w:rPr>
                            </w:pPr>
                          </w:p>
                        </w:tc>
                      </w:tr>
                      <w:tr w:rsidR="00883FED">
                        <w:trPr>
                          <w:trHeight w:val="284"/>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before="1"/>
                              <w:ind w:left="93"/>
                              <w:rPr>
                                <w:rFonts w:ascii="Times New Roman"/>
                                <w:b/>
                              </w:rPr>
                            </w:pPr>
                            <w:r>
                              <w:rPr>
                                <w:rFonts w:ascii="Times New Roman"/>
                                <w:b/>
                              </w:rPr>
                              <w:t>ITT</w:t>
                            </w:r>
                            <w:r>
                              <w:rPr>
                                <w:rFonts w:ascii="Times New Roman"/>
                                <w:b/>
                                <w:spacing w:val="-2"/>
                              </w:rPr>
                              <w:t xml:space="preserve"> </w:t>
                            </w:r>
                            <w:r>
                              <w:rPr>
                                <w:rFonts w:ascii="Times New Roman"/>
                                <w:b/>
                                <w:spacing w:val="-5"/>
                              </w:rPr>
                              <w:t>3.1</w:t>
                            </w:r>
                          </w:p>
                        </w:tc>
                        <w:tc>
                          <w:tcPr>
                            <w:tcW w:w="8898"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before="3" w:line="262" w:lineRule="exact"/>
                              <w:ind w:left="93"/>
                              <w:rPr>
                                <w:rFonts w:ascii="Times New Roman"/>
                                <w:b/>
                                <w:i/>
                                <w:position w:val="-2"/>
                              </w:rPr>
                            </w:pPr>
                            <w:r>
                              <w:rPr>
                                <w:rFonts w:ascii="Times New Roman"/>
                              </w:rPr>
                              <w:t>Maximum</w:t>
                            </w:r>
                            <w:r>
                              <w:rPr>
                                <w:rFonts w:ascii="Times New Roman"/>
                                <w:spacing w:val="-3"/>
                              </w:rPr>
                              <w:t xml:space="preserve"> </w:t>
                            </w:r>
                            <w:r>
                              <w:rPr>
                                <w:rFonts w:ascii="Times New Roman"/>
                              </w:rPr>
                              <w:t>number</w:t>
                            </w:r>
                            <w:r>
                              <w:rPr>
                                <w:rFonts w:ascii="Times New Roman"/>
                                <w:spacing w:val="-2"/>
                              </w:rPr>
                              <w:t xml:space="preserve"> </w:t>
                            </w:r>
                            <w:r>
                              <w:rPr>
                                <w:rFonts w:ascii="Times New Roman"/>
                              </w:rPr>
                              <w:t>of</w:t>
                            </w:r>
                            <w:r>
                              <w:rPr>
                                <w:rFonts w:ascii="Times New Roman"/>
                                <w:spacing w:val="-6"/>
                              </w:rPr>
                              <w:t xml:space="preserve"> </w:t>
                            </w:r>
                            <w:r>
                              <w:rPr>
                                <w:rFonts w:ascii="Times New Roman"/>
                              </w:rPr>
                              <w:t>members</w:t>
                            </w:r>
                            <w:r>
                              <w:rPr>
                                <w:rFonts w:ascii="Times New Roman"/>
                                <w:spacing w:val="-5"/>
                              </w:rPr>
                              <w:t xml:space="preserve"> </w:t>
                            </w:r>
                            <w:r>
                              <w:rPr>
                                <w:rFonts w:ascii="Times New Roman"/>
                              </w:rPr>
                              <w:t>in</w:t>
                            </w:r>
                            <w:r>
                              <w:rPr>
                                <w:rFonts w:ascii="Times New Roman"/>
                                <w:spacing w:val="-6"/>
                              </w:rPr>
                              <w:t xml:space="preserve"> </w:t>
                            </w:r>
                            <w:r>
                              <w:rPr>
                                <w:rFonts w:ascii="Times New Roman"/>
                              </w:rPr>
                              <w:t>the</w:t>
                            </w:r>
                            <w:r>
                              <w:rPr>
                                <w:rFonts w:ascii="Times New Roman"/>
                                <w:spacing w:val="-6"/>
                              </w:rPr>
                              <w:t xml:space="preserve"> </w:t>
                            </w:r>
                            <w:r>
                              <w:rPr>
                                <w:rFonts w:ascii="Times New Roman"/>
                              </w:rPr>
                              <w:t>Joint</w:t>
                            </w:r>
                            <w:r>
                              <w:rPr>
                                <w:rFonts w:ascii="Times New Roman"/>
                                <w:spacing w:val="-2"/>
                              </w:rPr>
                              <w:t xml:space="preserve"> </w:t>
                            </w:r>
                            <w:r>
                              <w:rPr>
                                <w:rFonts w:ascii="Times New Roman"/>
                              </w:rPr>
                              <w:t>Venture</w:t>
                            </w:r>
                            <w:r>
                              <w:rPr>
                                <w:rFonts w:ascii="Times New Roman"/>
                                <w:spacing w:val="-3"/>
                              </w:rPr>
                              <w:t xml:space="preserve"> </w:t>
                            </w:r>
                            <w:r>
                              <w:rPr>
                                <w:rFonts w:ascii="Times New Roman"/>
                              </w:rPr>
                              <w:t>(JV)</w:t>
                            </w:r>
                            <w:r>
                              <w:rPr>
                                <w:rFonts w:ascii="Times New Roman"/>
                                <w:spacing w:val="-4"/>
                              </w:rPr>
                              <w:t xml:space="preserve"> </w:t>
                            </w:r>
                            <w:r>
                              <w:rPr>
                                <w:rFonts w:ascii="Times New Roman"/>
                              </w:rPr>
                              <w:t>shall</w:t>
                            </w:r>
                            <w:r>
                              <w:rPr>
                                <w:rFonts w:ascii="Times New Roman"/>
                                <w:spacing w:val="-2"/>
                              </w:rPr>
                              <w:t xml:space="preserve"> </w:t>
                            </w:r>
                            <w:r>
                              <w:rPr>
                                <w:rFonts w:ascii="Times New Roman"/>
                              </w:rPr>
                              <w:t>be:</w:t>
                            </w:r>
                            <w:r>
                              <w:rPr>
                                <w:rFonts w:ascii="Times New Roman"/>
                                <w:spacing w:val="1"/>
                              </w:rPr>
                              <w:t xml:space="preserve"> </w:t>
                            </w:r>
                            <w:r>
                              <w:rPr>
                                <w:rFonts w:ascii="Times New Roman"/>
                                <w:b/>
                                <w:i/>
                                <w:position w:val="-2"/>
                              </w:rPr>
                              <w:t>Not</w:t>
                            </w:r>
                            <w:r>
                              <w:rPr>
                                <w:rFonts w:ascii="Times New Roman"/>
                                <w:b/>
                                <w:i/>
                                <w:spacing w:val="-2"/>
                                <w:position w:val="-2"/>
                              </w:rPr>
                              <w:t xml:space="preserve"> applicable</w:t>
                            </w:r>
                          </w:p>
                        </w:tc>
                        <w:tc>
                          <w:tcPr>
                            <w:tcW w:w="829" w:type="dxa"/>
                            <w:vMerge/>
                            <w:tcBorders>
                              <w:top w:val="nil"/>
                              <w:left w:val="single" w:sz="18" w:space="0" w:color="000000"/>
                            </w:tcBorders>
                          </w:tcPr>
                          <w:p w:rsidR="00883FED" w:rsidRDefault="00883FED">
                            <w:pPr>
                              <w:rPr>
                                <w:sz w:val="2"/>
                                <w:szCs w:val="2"/>
                              </w:rPr>
                            </w:pPr>
                          </w:p>
                        </w:tc>
                      </w:tr>
                      <w:tr w:rsidR="00883FED">
                        <w:trPr>
                          <w:trHeight w:val="253"/>
                        </w:trPr>
                        <w:tc>
                          <w:tcPr>
                            <w:tcW w:w="704" w:type="dxa"/>
                            <w:vMerge/>
                            <w:tcBorders>
                              <w:top w:val="nil"/>
                              <w:right w:val="single" w:sz="12" w:space="0" w:color="000000"/>
                            </w:tcBorders>
                          </w:tcPr>
                          <w:p w:rsidR="00883FED" w:rsidRDefault="00883FED">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line="233" w:lineRule="exact"/>
                              <w:ind w:left="93"/>
                              <w:rPr>
                                <w:rFonts w:ascii="Times New Roman"/>
                                <w:b/>
                              </w:rPr>
                            </w:pPr>
                            <w:r>
                              <w:rPr>
                                <w:rFonts w:ascii="Times New Roman"/>
                                <w:b/>
                              </w:rPr>
                              <w:t>B.</w:t>
                            </w:r>
                            <w:r>
                              <w:rPr>
                                <w:rFonts w:ascii="Times New Roman"/>
                                <w:b/>
                                <w:spacing w:val="51"/>
                              </w:rPr>
                              <w:t xml:space="preserve"> </w:t>
                            </w:r>
                            <w:r>
                              <w:rPr>
                                <w:rFonts w:ascii="Times New Roman"/>
                                <w:b/>
                              </w:rPr>
                              <w:t>Contents</w:t>
                            </w:r>
                            <w:r>
                              <w:rPr>
                                <w:rFonts w:ascii="Times New Roman"/>
                                <w:b/>
                                <w:spacing w:val="-2"/>
                              </w:rPr>
                              <w:t xml:space="preserve"> </w:t>
                            </w:r>
                            <w:r>
                              <w:rPr>
                                <w:rFonts w:ascii="Times New Roman"/>
                                <w:b/>
                              </w:rPr>
                              <w:t>of</w:t>
                            </w:r>
                            <w:r>
                              <w:rPr>
                                <w:rFonts w:ascii="Times New Roman"/>
                                <w:b/>
                                <w:spacing w:val="-1"/>
                              </w:rPr>
                              <w:t xml:space="preserve"> </w:t>
                            </w:r>
                            <w:r>
                              <w:rPr>
                                <w:rFonts w:ascii="Times New Roman"/>
                                <w:b/>
                              </w:rPr>
                              <w:t>Tender</w:t>
                            </w:r>
                            <w:r>
                              <w:rPr>
                                <w:rFonts w:ascii="Times New Roman"/>
                                <w:b/>
                                <w:spacing w:val="-1"/>
                              </w:rPr>
                              <w:t xml:space="preserve"> </w:t>
                            </w:r>
                            <w:r>
                              <w:rPr>
                                <w:rFonts w:ascii="Times New Roman"/>
                                <w:b/>
                                <w:spacing w:val="-2"/>
                              </w:rPr>
                              <w:t>Document</w:t>
                            </w:r>
                          </w:p>
                        </w:tc>
                        <w:tc>
                          <w:tcPr>
                            <w:tcW w:w="829" w:type="dxa"/>
                            <w:vMerge/>
                            <w:tcBorders>
                              <w:top w:val="nil"/>
                              <w:left w:val="single" w:sz="18" w:space="0" w:color="000000"/>
                            </w:tcBorders>
                          </w:tcPr>
                          <w:p w:rsidR="00883FED" w:rsidRDefault="00883FED">
                            <w:pPr>
                              <w:rPr>
                                <w:sz w:val="2"/>
                                <w:szCs w:val="2"/>
                              </w:rPr>
                            </w:pPr>
                          </w:p>
                        </w:tc>
                      </w:tr>
                      <w:tr w:rsidR="00883FED">
                        <w:trPr>
                          <w:trHeight w:val="256"/>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pPr>
                              <w:pStyle w:val="TableParagraph"/>
                              <w:spacing w:line="236"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7.1</w:t>
                            </w:r>
                          </w:p>
                        </w:tc>
                        <w:tc>
                          <w:tcPr>
                            <w:tcW w:w="8898" w:type="dxa"/>
                            <w:tcBorders>
                              <w:top w:val="single" w:sz="12" w:space="0" w:color="000000"/>
                              <w:left w:val="single" w:sz="12" w:space="0" w:color="000000"/>
                              <w:right w:val="single" w:sz="12" w:space="0" w:color="000000"/>
                            </w:tcBorders>
                          </w:tcPr>
                          <w:p w:rsidR="00883FED" w:rsidRDefault="00883FED">
                            <w:pPr>
                              <w:pStyle w:val="TableParagraph"/>
                              <w:spacing w:line="236" w:lineRule="exact"/>
                              <w:ind w:left="93"/>
                              <w:rPr>
                                <w:rFonts w:ascii="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5"/>
                              </w:rPr>
                              <w:t xml:space="preserve"> </w:t>
                            </w:r>
                            <w:r>
                              <w:rPr>
                                <w:rFonts w:ascii="Times New Roman"/>
                              </w:rPr>
                              <w:t>The</w:t>
                            </w:r>
                            <w:r>
                              <w:rPr>
                                <w:rFonts w:ascii="Times New Roman"/>
                                <w:spacing w:val="-3"/>
                              </w:rPr>
                              <w:t xml:space="preserve"> </w:t>
                            </w:r>
                            <w:r>
                              <w:rPr>
                                <w:rFonts w:ascii="Times New Roman"/>
                              </w:rPr>
                              <w:t>Tenderer</w:t>
                            </w:r>
                            <w:r>
                              <w:rPr>
                                <w:rFonts w:ascii="Times New Roman"/>
                                <w:spacing w:val="-2"/>
                              </w:rPr>
                              <w:t xml:space="preserve"> </w:t>
                            </w:r>
                            <w:r>
                              <w:rPr>
                                <w:rFonts w:ascii="Times New Roman"/>
                              </w:rPr>
                              <w:t>will</w:t>
                            </w:r>
                            <w:r>
                              <w:rPr>
                                <w:rFonts w:ascii="Times New Roman"/>
                                <w:spacing w:val="-2"/>
                              </w:rPr>
                              <w:t xml:space="preserve"> </w:t>
                            </w:r>
                            <w:r>
                              <w:rPr>
                                <w:rFonts w:ascii="Times New Roman"/>
                              </w:rPr>
                              <w:t>submit</w:t>
                            </w:r>
                            <w:r>
                              <w:rPr>
                                <w:rFonts w:ascii="Times New Roman"/>
                                <w:spacing w:val="-3"/>
                              </w:rPr>
                              <w:t xml:space="preserve"> </w:t>
                            </w:r>
                            <w:r>
                              <w:rPr>
                                <w:rFonts w:ascii="Times New Roman"/>
                              </w:rPr>
                              <w:t>any</w:t>
                            </w:r>
                            <w:r>
                              <w:rPr>
                                <w:rFonts w:ascii="Times New Roman"/>
                                <w:spacing w:val="-5"/>
                              </w:rPr>
                              <w:t xml:space="preserve"> </w:t>
                            </w:r>
                            <w:r>
                              <w:rPr>
                                <w:rFonts w:ascii="Times New Roman"/>
                              </w:rPr>
                              <w:t>request</w:t>
                            </w:r>
                            <w:r>
                              <w:rPr>
                                <w:rFonts w:ascii="Times New Roman"/>
                                <w:spacing w:val="-3"/>
                              </w:rPr>
                              <w:t xml:space="preserve"> </w:t>
                            </w:r>
                            <w:r>
                              <w:rPr>
                                <w:rFonts w:ascii="Times New Roman"/>
                              </w:rPr>
                              <w:t>for</w:t>
                            </w:r>
                            <w:r>
                              <w:rPr>
                                <w:rFonts w:ascii="Times New Roman"/>
                                <w:spacing w:val="-3"/>
                              </w:rPr>
                              <w:t xml:space="preserve"> </w:t>
                            </w:r>
                            <w:r>
                              <w:rPr>
                                <w:rFonts w:ascii="Times New Roman"/>
                              </w:rPr>
                              <w:t>clarifications</w:t>
                            </w:r>
                            <w:r>
                              <w:rPr>
                                <w:rFonts w:ascii="Times New Roman"/>
                                <w:spacing w:val="-2"/>
                              </w:rPr>
                              <w:t xml:space="preserve"> </w:t>
                            </w:r>
                            <w:r>
                              <w:rPr>
                                <w:rFonts w:ascii="Times New Roman"/>
                              </w:rPr>
                              <w:t>in</w:t>
                            </w:r>
                            <w:r>
                              <w:rPr>
                                <w:rFonts w:ascii="Times New Roman"/>
                                <w:spacing w:val="-3"/>
                              </w:rPr>
                              <w:t xml:space="preserve"> </w:t>
                            </w:r>
                            <w:r>
                              <w:rPr>
                                <w:rFonts w:ascii="Times New Roman"/>
                              </w:rPr>
                              <w:t>writing</w:t>
                            </w:r>
                            <w:r>
                              <w:rPr>
                                <w:rFonts w:ascii="Times New Roman"/>
                                <w:spacing w:val="-4"/>
                              </w:rPr>
                              <w:t xml:space="preserve"> </w:t>
                            </w:r>
                            <w:r>
                              <w:rPr>
                                <w:rFonts w:ascii="Times New Roman"/>
                              </w:rPr>
                              <w:t>at</w:t>
                            </w:r>
                            <w:r>
                              <w:rPr>
                                <w:rFonts w:ascii="Times New Roman"/>
                                <w:spacing w:val="-4"/>
                              </w:rPr>
                              <w:t xml:space="preserve"> </w:t>
                            </w:r>
                            <w:r>
                              <w:rPr>
                                <w:rFonts w:ascii="Times New Roman"/>
                              </w:rPr>
                              <w:t>the</w:t>
                            </w:r>
                            <w:r>
                              <w:rPr>
                                <w:rFonts w:ascii="Times New Roman"/>
                                <w:spacing w:val="-4"/>
                              </w:rPr>
                              <w:t xml:space="preserve"> </w:t>
                            </w:r>
                            <w:r>
                              <w:rPr>
                                <w:rFonts w:ascii="Times New Roman"/>
                              </w:rPr>
                              <w:t>Address</w:t>
                            </w:r>
                            <w:r>
                              <w:rPr>
                                <w:rFonts w:ascii="Times New Roman"/>
                                <w:spacing w:val="-4"/>
                              </w:rPr>
                              <w:t xml:space="preserve"> </w:t>
                            </w:r>
                            <w:r>
                              <w:rPr>
                                <w:rFonts w:ascii="Times New Roman"/>
                              </w:rPr>
                              <w:t>:</w:t>
                            </w:r>
                            <w:r>
                              <w:rPr>
                                <w:rFonts w:ascii="Times New Roman"/>
                                <w:spacing w:val="-2"/>
                              </w:rPr>
                              <w:t xml:space="preserve"> </w:t>
                            </w:r>
                            <w:r>
                              <w:rPr>
                                <w:rFonts w:ascii="Times New Roman"/>
                                <w:spacing w:val="-5"/>
                              </w:rPr>
                              <w:t>OF</w:t>
                            </w:r>
                          </w:p>
                        </w:tc>
                        <w:tc>
                          <w:tcPr>
                            <w:tcW w:w="829" w:type="dxa"/>
                            <w:vMerge/>
                            <w:tcBorders>
                              <w:top w:val="nil"/>
                              <w:left w:val="single" w:sz="18" w:space="0" w:color="000000"/>
                            </w:tcBorders>
                          </w:tcPr>
                          <w:p w:rsidR="00883FED" w:rsidRDefault="00883FED">
                            <w:pPr>
                              <w:rPr>
                                <w:sz w:val="2"/>
                                <w:szCs w:val="2"/>
                              </w:rPr>
                            </w:pPr>
                          </w:p>
                        </w:tc>
                      </w:tr>
                      <w:tr w:rsidR="00883FED">
                        <w:trPr>
                          <w:trHeight w:val="253"/>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pPr>
                              <w:pStyle w:val="TableParagraph"/>
                              <w:spacing w:line="233" w:lineRule="exact"/>
                              <w:ind w:left="93"/>
                              <w:rPr>
                                <w:rFonts w:ascii="Times New Roman"/>
                              </w:rPr>
                            </w:pPr>
                            <w:r>
                              <w:rPr>
                                <w:rFonts w:ascii="Times New Roman"/>
                              </w:rPr>
                              <w:t>PROCURING</w:t>
                            </w:r>
                            <w:r>
                              <w:rPr>
                                <w:rFonts w:ascii="Times New Roman"/>
                                <w:spacing w:val="-11"/>
                              </w:rPr>
                              <w:t xml:space="preserve"> </w:t>
                            </w:r>
                            <w:r>
                              <w:rPr>
                                <w:rFonts w:ascii="Times New Roman"/>
                                <w:spacing w:val="-2"/>
                              </w:rPr>
                              <w:t>ENTITY</w:t>
                            </w:r>
                          </w:p>
                        </w:tc>
                        <w:tc>
                          <w:tcPr>
                            <w:tcW w:w="829" w:type="dxa"/>
                            <w:vMerge/>
                            <w:tcBorders>
                              <w:top w:val="nil"/>
                              <w:left w:val="single" w:sz="18" w:space="0" w:color="000000"/>
                            </w:tcBorders>
                          </w:tcPr>
                          <w:p w:rsidR="00883FED" w:rsidRDefault="00883FED">
                            <w:pPr>
                              <w:rPr>
                                <w:sz w:val="2"/>
                                <w:szCs w:val="2"/>
                              </w:rPr>
                            </w:pPr>
                          </w:p>
                        </w:tc>
                      </w:tr>
                      <w:tr w:rsidR="00883FED">
                        <w:trPr>
                          <w:trHeight w:val="253"/>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rsidP="00B22BD9">
                            <w:pPr>
                              <w:pStyle w:val="TableParagraph"/>
                              <w:tabs>
                                <w:tab w:val="left" w:pos="4188"/>
                              </w:tabs>
                              <w:spacing w:line="233" w:lineRule="exact"/>
                              <w:ind w:left="93"/>
                              <w:rPr>
                                <w:rFonts w:ascii="Times New Roman"/>
                                <w:b/>
                                <w:i/>
                              </w:rPr>
                            </w:pPr>
                            <w:r>
                              <w:rPr>
                                <w:rFonts w:ascii="Times New Roman"/>
                              </w:rPr>
                              <w:t>to</w:t>
                            </w:r>
                            <w:r>
                              <w:rPr>
                                <w:rFonts w:ascii="Times New Roman"/>
                                <w:spacing w:val="-3"/>
                              </w:rPr>
                              <w:t xml:space="preserve"> </w:t>
                            </w:r>
                            <w:r>
                              <w:rPr>
                                <w:rFonts w:ascii="Times New Roman"/>
                              </w:rPr>
                              <w:t>reach</w:t>
                            </w:r>
                            <w:r>
                              <w:rPr>
                                <w:rFonts w:ascii="Times New Roman"/>
                                <w:spacing w:val="-4"/>
                              </w:rPr>
                              <w:t xml:space="preserve"> </w:t>
                            </w:r>
                            <w:r>
                              <w:rPr>
                                <w:rFonts w:ascii="Times New Roman"/>
                              </w:rPr>
                              <w:t>the</w:t>
                            </w:r>
                            <w:r>
                              <w:rPr>
                                <w:rFonts w:ascii="Times New Roman"/>
                                <w:spacing w:val="-4"/>
                              </w:rPr>
                              <w:t xml:space="preserve"> </w:t>
                            </w:r>
                            <w:r>
                              <w:rPr>
                                <w:rFonts w:ascii="Times New Roman"/>
                              </w:rPr>
                              <w:t>Procuring</w:t>
                            </w:r>
                            <w:r>
                              <w:rPr>
                                <w:rFonts w:ascii="Times New Roman"/>
                                <w:spacing w:val="-2"/>
                              </w:rPr>
                              <w:t xml:space="preserve"> </w:t>
                            </w:r>
                            <w:r>
                              <w:rPr>
                                <w:rFonts w:ascii="Times New Roman"/>
                              </w:rPr>
                              <w:t>Entity</w:t>
                            </w:r>
                            <w:r>
                              <w:rPr>
                                <w:rFonts w:ascii="Times New Roman"/>
                                <w:spacing w:val="-2"/>
                              </w:rPr>
                              <w:t xml:space="preserve"> </w:t>
                            </w:r>
                            <w:r>
                              <w:rPr>
                                <w:rFonts w:ascii="Times New Roman"/>
                              </w:rPr>
                              <w:t>not</w:t>
                            </w:r>
                            <w:r>
                              <w:rPr>
                                <w:rFonts w:ascii="Times New Roman"/>
                                <w:spacing w:val="-4"/>
                              </w:rPr>
                              <w:t xml:space="preserve"> </w:t>
                            </w:r>
                            <w:r>
                              <w:rPr>
                                <w:rFonts w:ascii="Times New Roman"/>
                              </w:rPr>
                              <w:t>later</w:t>
                            </w:r>
                            <w:r>
                              <w:rPr>
                                <w:rFonts w:ascii="Times New Roman"/>
                                <w:spacing w:val="-4"/>
                              </w:rPr>
                              <w:t xml:space="preserve"> than</w:t>
                            </w:r>
                            <w:r>
                              <w:rPr>
                                <w:rFonts w:ascii="Times New Roman"/>
                              </w:rPr>
                              <w:t xml:space="preserve"> </w:t>
                            </w:r>
                            <w:r w:rsidR="00715D2C">
                              <w:rPr>
                                <w:rFonts w:ascii="Times New Roman"/>
                                <w:b/>
                              </w:rPr>
                              <w:t>16</w:t>
                            </w:r>
                            <w:r w:rsidRPr="00B22BD9">
                              <w:rPr>
                                <w:rFonts w:ascii="Times New Roman"/>
                                <w:b/>
                                <w:vertAlign w:val="superscript"/>
                              </w:rPr>
                              <w:t>th</w:t>
                            </w:r>
                            <w:r w:rsidRPr="00B22BD9">
                              <w:rPr>
                                <w:rFonts w:ascii="Times New Roman"/>
                                <w:b/>
                              </w:rPr>
                              <w:t xml:space="preserve"> April,2026</w:t>
                            </w:r>
                            <w:r>
                              <w:rPr>
                                <w:rFonts w:ascii="Times New Roman"/>
                                <w:b/>
                                <w:i/>
                                <w:color w:val="302E2E"/>
                                <w:spacing w:val="38"/>
                              </w:rPr>
                              <w:t xml:space="preserve"> </w:t>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rsidP="0074681E">
                            <w:pPr>
                              <w:pStyle w:val="TableParagraph"/>
                              <w:tabs>
                                <w:tab w:val="left" w:pos="3912"/>
                              </w:tabs>
                              <w:spacing w:line="249" w:lineRule="exact"/>
                              <w:rPr>
                                <w:rFonts w:ascii="Times New Roman"/>
                                <w:b/>
                                <w:i/>
                              </w:rPr>
                            </w:pPr>
                            <w:r>
                              <w:rPr>
                                <w:rFonts w:ascii="Times New Roman"/>
                                <w:b/>
                                <w:i/>
                                <w:color w:val="302E2E"/>
                                <w:u w:val="single" w:color="2F2D2D"/>
                              </w:rPr>
                              <w:tab/>
                            </w:r>
                          </w:p>
                        </w:tc>
                        <w:tc>
                          <w:tcPr>
                            <w:tcW w:w="829" w:type="dxa"/>
                            <w:vMerge/>
                            <w:tcBorders>
                              <w:top w:val="nil"/>
                              <w:left w:val="single" w:sz="18" w:space="0" w:color="000000"/>
                            </w:tcBorders>
                          </w:tcPr>
                          <w:p w:rsidR="00883FED" w:rsidRDefault="00883FED">
                            <w:pPr>
                              <w:rPr>
                                <w:sz w:val="2"/>
                                <w:szCs w:val="2"/>
                              </w:rPr>
                            </w:pPr>
                          </w:p>
                        </w:tc>
                      </w:tr>
                      <w:tr w:rsidR="00883FED">
                        <w:trPr>
                          <w:trHeight w:val="379"/>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pPr>
                              <w:pStyle w:val="TableParagraph"/>
                              <w:spacing w:before="121" w:line="238" w:lineRule="exact"/>
                              <w:ind w:left="93"/>
                              <w:rPr>
                                <w:rFonts w:ascii="Times New Roman"/>
                                <w:b/>
                                <w:i/>
                              </w:rPr>
                            </w:pPr>
                            <w:r>
                              <w:rPr>
                                <w:rFonts w:ascii="Times New Roman"/>
                              </w:rPr>
                              <w:t>(ii)</w:t>
                            </w:r>
                            <w:r>
                              <w:rPr>
                                <w:rFonts w:ascii="Times New Roman"/>
                                <w:spacing w:val="6"/>
                              </w:rPr>
                              <w:t xml:space="preserve"> </w:t>
                            </w:r>
                            <w:r>
                              <w:rPr>
                                <w:rFonts w:ascii="Times New Roman"/>
                              </w:rPr>
                              <w:t>The</w:t>
                            </w:r>
                            <w:r>
                              <w:rPr>
                                <w:rFonts w:ascii="Times New Roman"/>
                                <w:spacing w:val="7"/>
                              </w:rPr>
                              <w:t xml:space="preserve"> </w:t>
                            </w:r>
                            <w:r>
                              <w:rPr>
                                <w:rFonts w:ascii="Times New Roman"/>
                              </w:rPr>
                              <w:t>Procuring</w:t>
                            </w:r>
                            <w:r>
                              <w:rPr>
                                <w:rFonts w:ascii="Times New Roman"/>
                                <w:spacing w:val="6"/>
                              </w:rPr>
                              <w:t xml:space="preserve"> </w:t>
                            </w:r>
                            <w:r>
                              <w:rPr>
                                <w:rFonts w:ascii="Times New Roman"/>
                              </w:rPr>
                              <w:t>Entity</w:t>
                            </w:r>
                            <w:r>
                              <w:rPr>
                                <w:rFonts w:ascii="Times New Roman"/>
                                <w:spacing w:val="4"/>
                              </w:rPr>
                              <w:t xml:space="preserve"> </w:t>
                            </w:r>
                            <w:r>
                              <w:rPr>
                                <w:rFonts w:ascii="Times New Roman"/>
                              </w:rPr>
                              <w:t>shall</w:t>
                            </w:r>
                            <w:r>
                              <w:rPr>
                                <w:rFonts w:ascii="Times New Roman"/>
                                <w:spacing w:val="6"/>
                              </w:rPr>
                              <w:t xml:space="preserve"> </w:t>
                            </w:r>
                            <w:r>
                              <w:rPr>
                                <w:rFonts w:ascii="Times New Roman"/>
                              </w:rPr>
                              <w:t>publish</w:t>
                            </w:r>
                            <w:r>
                              <w:rPr>
                                <w:rFonts w:ascii="Times New Roman"/>
                                <w:spacing w:val="5"/>
                              </w:rPr>
                              <w:t xml:space="preserve"> </w:t>
                            </w:r>
                            <w:r>
                              <w:rPr>
                                <w:rFonts w:ascii="Times New Roman"/>
                              </w:rPr>
                              <w:t>its</w:t>
                            </w:r>
                            <w:r>
                              <w:rPr>
                                <w:rFonts w:ascii="Times New Roman"/>
                                <w:spacing w:val="4"/>
                              </w:rPr>
                              <w:t xml:space="preserve"> </w:t>
                            </w:r>
                            <w:r>
                              <w:rPr>
                                <w:rFonts w:ascii="Times New Roman"/>
                              </w:rPr>
                              <w:t>response</w:t>
                            </w:r>
                            <w:r>
                              <w:rPr>
                                <w:rFonts w:ascii="Times New Roman"/>
                                <w:spacing w:val="5"/>
                              </w:rPr>
                              <w:t xml:space="preserve"> </w:t>
                            </w:r>
                            <w:r>
                              <w:rPr>
                                <w:rFonts w:ascii="Times New Roman"/>
                              </w:rPr>
                              <w:t>at</w:t>
                            </w:r>
                            <w:r>
                              <w:rPr>
                                <w:rFonts w:ascii="Times New Roman"/>
                                <w:spacing w:val="4"/>
                              </w:rPr>
                              <w:t xml:space="preserve"> </w:t>
                            </w:r>
                            <w:r>
                              <w:rPr>
                                <w:rFonts w:ascii="Times New Roman"/>
                              </w:rPr>
                              <w:t>the</w:t>
                            </w:r>
                            <w:r>
                              <w:rPr>
                                <w:rFonts w:ascii="Times New Roman"/>
                                <w:spacing w:val="7"/>
                              </w:rPr>
                              <w:t xml:space="preserve"> </w:t>
                            </w:r>
                            <w:r>
                              <w:rPr>
                                <w:rFonts w:ascii="Times New Roman"/>
                              </w:rPr>
                              <w:t>website</w:t>
                            </w:r>
                            <w:r>
                              <w:rPr>
                                <w:rFonts w:ascii="Times New Roman"/>
                                <w:spacing w:val="4"/>
                              </w:rPr>
                              <w:t xml:space="preserve"> </w:t>
                            </w:r>
                            <w:r>
                              <w:rPr>
                                <w:rFonts w:ascii="Times New Roman"/>
                              </w:rPr>
                              <w:t>_</w:t>
                            </w:r>
                            <w:r>
                              <w:rPr>
                                <w:rFonts w:ascii="Times New Roman"/>
                                <w:b/>
                                <w:i/>
                                <w:color w:val="302E2E"/>
                                <w:spacing w:val="11"/>
                                <w:u w:val="single" w:color="302E2E"/>
                              </w:rPr>
                              <w:t xml:space="preserve"> </w:t>
                            </w:r>
                            <w:r>
                              <w:rPr>
                                <w:rFonts w:ascii="Times New Roman"/>
                                <w:b/>
                                <w:i/>
                                <w:color w:val="302E2E"/>
                                <w:u w:val="single" w:color="302E2E"/>
                              </w:rPr>
                              <w:t>as</w:t>
                            </w:r>
                            <w:r>
                              <w:rPr>
                                <w:rFonts w:ascii="Times New Roman"/>
                                <w:b/>
                                <w:i/>
                                <w:color w:val="302E2E"/>
                                <w:spacing w:val="13"/>
                                <w:u w:val="single" w:color="302E2E"/>
                              </w:rPr>
                              <w:t xml:space="preserve"> </w:t>
                            </w:r>
                            <w:r>
                              <w:rPr>
                                <w:rFonts w:ascii="Times New Roman"/>
                                <w:b/>
                                <w:i/>
                                <w:color w:val="302E2E"/>
                                <w:u w:val="single" w:color="302E2E"/>
                              </w:rPr>
                              <w:t>indicated</w:t>
                            </w:r>
                            <w:r>
                              <w:rPr>
                                <w:rFonts w:ascii="Times New Roman"/>
                                <w:b/>
                                <w:i/>
                                <w:color w:val="302E2E"/>
                                <w:spacing w:val="12"/>
                                <w:u w:val="single" w:color="302E2E"/>
                              </w:rPr>
                              <w:t xml:space="preserve"> </w:t>
                            </w:r>
                            <w:r>
                              <w:rPr>
                                <w:rFonts w:ascii="Times New Roman"/>
                                <w:b/>
                                <w:i/>
                                <w:color w:val="302E2E"/>
                                <w:u w:val="single" w:color="302E2E"/>
                              </w:rPr>
                              <w:t>in</w:t>
                            </w:r>
                            <w:r>
                              <w:rPr>
                                <w:rFonts w:ascii="Times New Roman"/>
                                <w:b/>
                                <w:i/>
                                <w:color w:val="302E2E"/>
                                <w:spacing w:val="11"/>
                                <w:u w:val="single" w:color="302E2E"/>
                              </w:rPr>
                              <w:t xml:space="preserve"> </w:t>
                            </w:r>
                            <w:r>
                              <w:rPr>
                                <w:rFonts w:ascii="Times New Roman"/>
                                <w:b/>
                                <w:i/>
                                <w:color w:val="302E2E"/>
                                <w:u w:val="single" w:color="302E2E"/>
                              </w:rPr>
                              <w:t>the</w:t>
                            </w:r>
                            <w:r>
                              <w:rPr>
                                <w:rFonts w:ascii="Times New Roman"/>
                                <w:b/>
                                <w:i/>
                                <w:color w:val="302E2E"/>
                                <w:spacing w:val="11"/>
                                <w:u w:val="single" w:color="302E2E"/>
                              </w:rPr>
                              <w:t xml:space="preserve"> </w:t>
                            </w:r>
                            <w:r>
                              <w:rPr>
                                <w:rFonts w:ascii="Times New Roman"/>
                                <w:b/>
                                <w:i/>
                                <w:color w:val="302E2E"/>
                                <w:spacing w:val="-2"/>
                                <w:u w:val="single" w:color="302E2E"/>
                              </w:rPr>
                              <w:t>tender</w:t>
                            </w:r>
                            <w:r>
                              <w:rPr>
                                <w:rFonts w:ascii="Times New Roman"/>
                                <w:b/>
                                <w:i/>
                                <w:color w:val="302E2E"/>
                                <w:spacing w:val="40"/>
                                <w:u w:val="single" w:color="302E2E"/>
                              </w:rPr>
                              <w:t xml:space="preserve"> </w:t>
                            </w:r>
                          </w:p>
                        </w:tc>
                        <w:tc>
                          <w:tcPr>
                            <w:tcW w:w="829" w:type="dxa"/>
                            <w:vMerge/>
                            <w:tcBorders>
                              <w:top w:val="nil"/>
                              <w:left w:val="single" w:sz="18" w:space="0" w:color="000000"/>
                            </w:tcBorders>
                          </w:tcPr>
                          <w:p w:rsidR="00883FED" w:rsidRDefault="00883FED">
                            <w:pPr>
                              <w:rPr>
                                <w:sz w:val="2"/>
                                <w:szCs w:val="2"/>
                              </w:rPr>
                            </w:pPr>
                          </w:p>
                        </w:tc>
                      </w:tr>
                      <w:tr w:rsidR="00883FED">
                        <w:trPr>
                          <w:trHeight w:val="503"/>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tabs>
                                <w:tab w:val="left" w:pos="2921"/>
                              </w:tabs>
                              <w:spacing w:line="249" w:lineRule="exact"/>
                              <w:ind w:left="93"/>
                              <w:rPr>
                                <w:rFonts w:ascii="Times New Roman"/>
                                <w:b/>
                                <w:i/>
                              </w:rPr>
                            </w:pPr>
                            <w:r>
                              <w:rPr>
                                <w:rFonts w:ascii="Times New Roman"/>
                                <w:b/>
                                <w:i/>
                                <w:color w:val="302E2E"/>
                                <w:spacing w:val="-2"/>
                                <w:w w:val="110"/>
                                <w:u w:val="thick" w:color="2F2D2D"/>
                              </w:rPr>
                              <w:t>advertisement</w:t>
                            </w:r>
                            <w:r>
                              <w:rPr>
                                <w:rFonts w:ascii="Times New Roman"/>
                                <w:b/>
                                <w:i/>
                                <w:color w:val="302E2E"/>
                                <w:u w:val="thick" w:color="2F2D2D"/>
                              </w:rPr>
                              <w:tab/>
                            </w:r>
                          </w:p>
                        </w:tc>
                        <w:tc>
                          <w:tcPr>
                            <w:tcW w:w="829" w:type="dxa"/>
                            <w:vMerge/>
                            <w:tcBorders>
                              <w:top w:val="nil"/>
                              <w:left w:val="single" w:sz="18" w:space="0" w:color="000000"/>
                            </w:tcBorders>
                          </w:tcPr>
                          <w:p w:rsidR="00883FED" w:rsidRDefault="00883FED">
                            <w:pPr>
                              <w:rPr>
                                <w:sz w:val="2"/>
                                <w:szCs w:val="2"/>
                              </w:rPr>
                            </w:pPr>
                          </w:p>
                        </w:tc>
                      </w:tr>
                      <w:tr w:rsidR="00883FED">
                        <w:trPr>
                          <w:trHeight w:val="254"/>
                        </w:trPr>
                        <w:tc>
                          <w:tcPr>
                            <w:tcW w:w="704" w:type="dxa"/>
                            <w:vMerge/>
                            <w:tcBorders>
                              <w:top w:val="nil"/>
                              <w:right w:val="single" w:sz="12" w:space="0" w:color="000000"/>
                            </w:tcBorders>
                          </w:tcPr>
                          <w:p w:rsidR="00883FED" w:rsidRDefault="00883FED" w:rsidP="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rsidP="00883FED">
                            <w:pPr>
                              <w:pStyle w:val="TableParagraph"/>
                              <w:spacing w:line="235"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7.2</w:t>
                            </w:r>
                          </w:p>
                        </w:tc>
                        <w:tc>
                          <w:tcPr>
                            <w:tcW w:w="8898" w:type="dxa"/>
                            <w:tcBorders>
                              <w:top w:val="single" w:sz="12" w:space="0" w:color="000000"/>
                              <w:left w:val="single" w:sz="12" w:space="0" w:color="000000"/>
                              <w:right w:val="single" w:sz="12" w:space="0" w:color="000000"/>
                            </w:tcBorders>
                          </w:tcPr>
                          <w:p w:rsidR="00883FED" w:rsidRDefault="00883FED" w:rsidP="00883FED">
                            <w:pPr>
                              <w:pStyle w:val="TableParagraph"/>
                              <w:spacing w:line="235" w:lineRule="exact"/>
                              <w:ind w:left="95"/>
                            </w:pPr>
                          </w:p>
                          <w:p w:rsidR="00883FED" w:rsidRDefault="00883FED" w:rsidP="00883FED">
                            <w:pPr>
                              <w:pStyle w:val="TableParagraph"/>
                              <w:spacing w:line="235" w:lineRule="exact"/>
                              <w:ind w:left="95"/>
                            </w:pPr>
                            <w:r>
                              <w:t>(A)</w:t>
                            </w:r>
                            <w:r>
                              <w:rPr>
                                <w:spacing w:val="-7"/>
                              </w:rPr>
                              <w:t xml:space="preserve"> </w:t>
                            </w:r>
                            <w:r>
                              <w:t>A</w:t>
                            </w:r>
                            <w:r>
                              <w:rPr>
                                <w:spacing w:val="-1"/>
                              </w:rPr>
                              <w:t xml:space="preserve"> </w:t>
                            </w:r>
                            <w:r>
                              <w:t>pre-arranged</w:t>
                            </w:r>
                            <w:r>
                              <w:rPr>
                                <w:spacing w:val="-1"/>
                              </w:rPr>
                              <w:t xml:space="preserve"> </w:t>
                            </w:r>
                            <w:r>
                              <w:t>pretender</w:t>
                            </w:r>
                            <w:r>
                              <w:rPr>
                                <w:spacing w:val="-1"/>
                              </w:rPr>
                              <w:t xml:space="preserve"> </w:t>
                            </w:r>
                            <w:r>
                              <w:t>site</w:t>
                            </w:r>
                            <w:r>
                              <w:rPr>
                                <w:spacing w:val="-5"/>
                              </w:rPr>
                              <w:t xml:space="preserve"> </w:t>
                            </w:r>
                            <w:r>
                              <w:t>visit</w:t>
                            </w:r>
                            <w:r>
                              <w:rPr>
                                <w:spacing w:val="-3"/>
                              </w:rPr>
                              <w:t xml:space="preserve"> </w:t>
                            </w:r>
                            <w:r>
                              <w:rPr>
                                <w:i/>
                              </w:rPr>
                              <w:t>SHALL</w:t>
                            </w:r>
                            <w:r>
                              <w:rPr>
                                <w:i/>
                                <w:spacing w:val="49"/>
                              </w:rPr>
                              <w:t xml:space="preserve"> </w:t>
                            </w:r>
                            <w:r>
                              <w:t>take</w:t>
                            </w:r>
                            <w:r>
                              <w:rPr>
                                <w:spacing w:val="-4"/>
                              </w:rPr>
                              <w:t xml:space="preserve"> </w:t>
                            </w:r>
                            <w:r>
                              <w:t>place</w:t>
                            </w:r>
                            <w:r>
                              <w:rPr>
                                <w:spacing w:val="-4"/>
                              </w:rPr>
                              <w:t xml:space="preserve"> </w:t>
                            </w:r>
                            <w:r>
                              <w:t>at</w:t>
                            </w:r>
                            <w:r>
                              <w:rPr>
                                <w:spacing w:val="-4"/>
                              </w:rPr>
                              <w:t xml:space="preserve"> </w:t>
                            </w:r>
                            <w:r>
                              <w:t>the</w:t>
                            </w:r>
                            <w:r>
                              <w:rPr>
                                <w:spacing w:val="-5"/>
                              </w:rPr>
                              <w:t xml:space="preserve"> </w:t>
                            </w:r>
                            <w:r>
                              <w:t>following</w:t>
                            </w:r>
                            <w:r>
                              <w:rPr>
                                <w:spacing w:val="-1"/>
                              </w:rPr>
                              <w:t xml:space="preserve"> </w:t>
                            </w:r>
                            <w:r>
                              <w:t>date,</w:t>
                            </w:r>
                            <w:r>
                              <w:rPr>
                                <w:spacing w:val="-2"/>
                              </w:rPr>
                              <w:t xml:space="preserve"> </w:t>
                            </w:r>
                            <w:r>
                              <w:t>time</w:t>
                            </w:r>
                            <w:r>
                              <w:rPr>
                                <w:spacing w:val="-4"/>
                              </w:rPr>
                              <w:t xml:space="preserve"> </w:t>
                            </w:r>
                            <w:r>
                              <w:t>and</w:t>
                            </w:r>
                            <w:r>
                              <w:rPr>
                                <w:spacing w:val="-1"/>
                              </w:rPr>
                              <w:t xml:space="preserve"> </w:t>
                            </w:r>
                            <w:r>
                              <w:rPr>
                                <w:spacing w:val="-2"/>
                              </w:rPr>
                              <w:t>place:</w:t>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253"/>
                        </w:trPr>
                        <w:tc>
                          <w:tcPr>
                            <w:tcW w:w="704" w:type="dxa"/>
                            <w:vMerge/>
                            <w:tcBorders>
                              <w:top w:val="nil"/>
                              <w:right w:val="single" w:sz="12" w:space="0" w:color="000000"/>
                            </w:tcBorders>
                          </w:tcPr>
                          <w:p w:rsidR="00883FED" w:rsidRDefault="00883FED" w:rsidP="00883FED">
                            <w:pPr>
                              <w:rPr>
                                <w:sz w:val="2"/>
                                <w:szCs w:val="2"/>
                              </w:rPr>
                            </w:pPr>
                          </w:p>
                        </w:tc>
                        <w:tc>
                          <w:tcPr>
                            <w:tcW w:w="1524" w:type="dxa"/>
                            <w:tcBorders>
                              <w:left w:val="single" w:sz="12" w:space="0" w:color="000000"/>
                              <w:right w:val="single" w:sz="12" w:space="0" w:color="000000"/>
                            </w:tcBorders>
                          </w:tcPr>
                          <w:p w:rsidR="00883FED" w:rsidRDefault="00883FED" w:rsidP="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rsidP="00883FED">
                            <w:pPr>
                              <w:pStyle w:val="TableParagraph"/>
                              <w:spacing w:line="234" w:lineRule="exact"/>
                              <w:ind w:left="95"/>
                              <w:rPr>
                                <w:b/>
                                <w:i/>
                              </w:rPr>
                            </w:pPr>
                            <w:r>
                              <w:rPr>
                                <w:b/>
                                <w:i/>
                                <w:color w:val="302E2E"/>
                                <w:u w:val="single" w:color="302E2E"/>
                              </w:rPr>
                              <w:t>As</w:t>
                            </w:r>
                            <w:r>
                              <w:rPr>
                                <w:b/>
                                <w:i/>
                                <w:color w:val="302E2E"/>
                                <w:spacing w:val="6"/>
                                <w:u w:val="single" w:color="302E2E"/>
                              </w:rPr>
                              <w:t xml:space="preserve"> </w:t>
                            </w:r>
                            <w:r>
                              <w:rPr>
                                <w:b/>
                                <w:i/>
                                <w:color w:val="302E2E"/>
                                <w:u w:val="single" w:color="302E2E"/>
                              </w:rPr>
                              <w:t>indicated</w:t>
                            </w:r>
                            <w:r>
                              <w:rPr>
                                <w:b/>
                                <w:i/>
                                <w:color w:val="302E2E"/>
                                <w:spacing w:val="6"/>
                                <w:u w:val="single" w:color="302E2E"/>
                              </w:rPr>
                              <w:t xml:space="preserve"> </w:t>
                            </w:r>
                            <w:r>
                              <w:rPr>
                                <w:b/>
                                <w:i/>
                                <w:color w:val="302E2E"/>
                                <w:u w:val="single" w:color="302E2E"/>
                              </w:rPr>
                              <w:t>in</w:t>
                            </w:r>
                            <w:r>
                              <w:rPr>
                                <w:b/>
                                <w:i/>
                                <w:color w:val="302E2E"/>
                                <w:spacing w:val="6"/>
                                <w:u w:val="single" w:color="302E2E"/>
                              </w:rPr>
                              <w:t xml:space="preserve"> </w:t>
                            </w:r>
                            <w:r>
                              <w:rPr>
                                <w:b/>
                                <w:i/>
                                <w:color w:val="302E2E"/>
                                <w:u w:val="single" w:color="302E2E"/>
                              </w:rPr>
                              <w:t>the</w:t>
                            </w:r>
                            <w:r>
                              <w:rPr>
                                <w:b/>
                                <w:i/>
                                <w:color w:val="302E2E"/>
                                <w:spacing w:val="3"/>
                                <w:u w:val="single" w:color="302E2E"/>
                              </w:rPr>
                              <w:t xml:space="preserve"> </w:t>
                            </w:r>
                            <w:r>
                              <w:rPr>
                                <w:b/>
                                <w:i/>
                                <w:color w:val="302E2E"/>
                                <w:u w:val="single" w:color="302E2E"/>
                              </w:rPr>
                              <w:t>tender</w:t>
                            </w:r>
                            <w:r>
                              <w:rPr>
                                <w:b/>
                                <w:i/>
                                <w:color w:val="302E2E"/>
                                <w:spacing w:val="3"/>
                                <w:u w:val="single" w:color="302E2E"/>
                              </w:rPr>
                              <w:t xml:space="preserve"> </w:t>
                            </w:r>
                            <w:r>
                              <w:rPr>
                                <w:b/>
                                <w:i/>
                                <w:color w:val="302E2E"/>
                                <w:spacing w:val="-2"/>
                                <w:u w:val="single" w:color="302E2E"/>
                              </w:rPr>
                              <w:t>advertisement</w:t>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253"/>
                        </w:trPr>
                        <w:tc>
                          <w:tcPr>
                            <w:tcW w:w="704" w:type="dxa"/>
                            <w:vMerge/>
                            <w:tcBorders>
                              <w:top w:val="nil"/>
                              <w:right w:val="single" w:sz="12" w:space="0" w:color="000000"/>
                            </w:tcBorders>
                          </w:tcPr>
                          <w:p w:rsidR="00883FED" w:rsidRDefault="00883FED" w:rsidP="00883FED">
                            <w:pPr>
                              <w:rPr>
                                <w:sz w:val="2"/>
                                <w:szCs w:val="2"/>
                              </w:rPr>
                            </w:pPr>
                          </w:p>
                        </w:tc>
                        <w:tc>
                          <w:tcPr>
                            <w:tcW w:w="1524" w:type="dxa"/>
                            <w:tcBorders>
                              <w:left w:val="single" w:sz="12" w:space="0" w:color="000000"/>
                              <w:right w:val="single" w:sz="12" w:space="0" w:color="000000"/>
                            </w:tcBorders>
                          </w:tcPr>
                          <w:p w:rsidR="00883FED" w:rsidRDefault="00883FED" w:rsidP="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rsidP="00883FED">
                            <w:pPr>
                              <w:pStyle w:val="TableParagraph"/>
                              <w:tabs>
                                <w:tab w:val="left" w:pos="3025"/>
                              </w:tabs>
                              <w:spacing w:line="234" w:lineRule="exact"/>
                              <w:ind w:left="95"/>
                            </w:pPr>
                            <w:r>
                              <w:t xml:space="preserve">Date: </w:t>
                            </w:r>
                            <w:r>
                              <w:rPr>
                                <w:rFonts w:ascii="Times New Roman"/>
                                <w:b/>
                              </w:rPr>
                              <w:t>14</w:t>
                            </w:r>
                            <w:r w:rsidRPr="00B22BD9">
                              <w:rPr>
                                <w:rFonts w:ascii="Times New Roman"/>
                                <w:b/>
                                <w:vertAlign w:val="superscript"/>
                              </w:rPr>
                              <w:t>th</w:t>
                            </w:r>
                            <w:r w:rsidRPr="00B22BD9">
                              <w:rPr>
                                <w:rFonts w:ascii="Times New Roman"/>
                                <w:b/>
                              </w:rPr>
                              <w:t xml:space="preserve"> April,2026</w:t>
                            </w:r>
                            <w:r>
                              <w:rPr>
                                <w:u w:val="single"/>
                              </w:rPr>
                              <w:tab/>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253"/>
                        </w:trPr>
                        <w:tc>
                          <w:tcPr>
                            <w:tcW w:w="704" w:type="dxa"/>
                            <w:vMerge/>
                            <w:tcBorders>
                              <w:top w:val="nil"/>
                              <w:right w:val="single" w:sz="12" w:space="0" w:color="000000"/>
                            </w:tcBorders>
                          </w:tcPr>
                          <w:p w:rsidR="00883FED" w:rsidRDefault="00883FED" w:rsidP="00883FED">
                            <w:pPr>
                              <w:rPr>
                                <w:sz w:val="2"/>
                                <w:szCs w:val="2"/>
                              </w:rPr>
                            </w:pPr>
                          </w:p>
                        </w:tc>
                        <w:tc>
                          <w:tcPr>
                            <w:tcW w:w="1524" w:type="dxa"/>
                            <w:tcBorders>
                              <w:left w:val="single" w:sz="12" w:space="0" w:color="000000"/>
                              <w:right w:val="single" w:sz="12" w:space="0" w:color="000000"/>
                            </w:tcBorders>
                          </w:tcPr>
                          <w:p w:rsidR="00883FED" w:rsidRDefault="00883FED" w:rsidP="00883FED">
                            <w:pPr>
                              <w:pStyle w:val="TableParagraph"/>
                              <w:rPr>
                                <w:rFonts w:ascii="Times New Roman"/>
                                <w:sz w:val="18"/>
                              </w:rPr>
                            </w:pPr>
                          </w:p>
                        </w:tc>
                        <w:tc>
                          <w:tcPr>
                            <w:tcW w:w="8898" w:type="dxa"/>
                            <w:tcBorders>
                              <w:left w:val="single" w:sz="12" w:space="0" w:color="000000"/>
                              <w:right w:val="single" w:sz="12" w:space="0" w:color="000000"/>
                            </w:tcBorders>
                          </w:tcPr>
                          <w:p w:rsidR="00883FED" w:rsidRDefault="00883FED" w:rsidP="00883FED">
                            <w:pPr>
                              <w:pStyle w:val="TableParagraph"/>
                              <w:tabs>
                                <w:tab w:val="left" w:pos="3025"/>
                              </w:tabs>
                              <w:spacing w:line="232" w:lineRule="exact"/>
                              <w:ind w:left="95"/>
                            </w:pPr>
                            <w:r>
                              <w:t xml:space="preserve">Time: </w:t>
                            </w:r>
                            <w:r w:rsidRPr="00883FED">
                              <w:rPr>
                                <w:rFonts w:ascii="Times New Roman"/>
                                <w:b/>
                              </w:rPr>
                              <w:t>11:00 a.m.</w:t>
                            </w:r>
                            <w:r>
                              <w:rPr>
                                <w:u w:val="single"/>
                              </w:rPr>
                              <w:tab/>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380"/>
                        </w:trPr>
                        <w:tc>
                          <w:tcPr>
                            <w:tcW w:w="704" w:type="dxa"/>
                            <w:vMerge/>
                            <w:tcBorders>
                              <w:top w:val="nil"/>
                              <w:right w:val="single" w:sz="12" w:space="0" w:color="000000"/>
                            </w:tcBorders>
                          </w:tcPr>
                          <w:p w:rsidR="00883FED" w:rsidRDefault="00883FED" w:rsidP="00883FED">
                            <w:pPr>
                              <w:rPr>
                                <w:sz w:val="2"/>
                                <w:szCs w:val="2"/>
                              </w:rPr>
                            </w:pPr>
                          </w:p>
                        </w:tc>
                        <w:tc>
                          <w:tcPr>
                            <w:tcW w:w="1524" w:type="dxa"/>
                            <w:tcBorders>
                              <w:left w:val="single" w:sz="12" w:space="0" w:color="000000"/>
                              <w:right w:val="single" w:sz="12" w:space="0" w:color="000000"/>
                            </w:tcBorders>
                          </w:tcPr>
                          <w:p w:rsidR="00883FED" w:rsidRDefault="00883FED" w:rsidP="00883FED">
                            <w:pPr>
                              <w:pStyle w:val="TableParagraph"/>
                              <w:rPr>
                                <w:rFonts w:ascii="Times New Roman"/>
                              </w:rPr>
                            </w:pPr>
                          </w:p>
                        </w:tc>
                        <w:tc>
                          <w:tcPr>
                            <w:tcW w:w="8898" w:type="dxa"/>
                            <w:tcBorders>
                              <w:left w:val="single" w:sz="12" w:space="0" w:color="000000"/>
                              <w:right w:val="single" w:sz="12" w:space="0" w:color="000000"/>
                            </w:tcBorders>
                          </w:tcPr>
                          <w:p w:rsidR="00883FED" w:rsidRDefault="00883FED" w:rsidP="00883FED">
                            <w:pPr>
                              <w:pStyle w:val="TableParagraph"/>
                              <w:tabs>
                                <w:tab w:val="left" w:pos="3025"/>
                              </w:tabs>
                              <w:spacing w:line="248" w:lineRule="exact"/>
                              <w:ind w:left="95"/>
                            </w:pPr>
                            <w:r>
                              <w:t xml:space="preserve">Place: </w:t>
                            </w:r>
                            <w:r>
                              <w:rPr>
                                <w:b/>
                              </w:rPr>
                              <w:t>JOOTRH WAREHOUSE</w:t>
                            </w:r>
                            <w:r>
                              <w:rPr>
                                <w:u w:val="single"/>
                              </w:rPr>
                              <w:tab/>
                            </w:r>
                          </w:p>
                        </w:tc>
                        <w:tc>
                          <w:tcPr>
                            <w:tcW w:w="829" w:type="dxa"/>
                            <w:vMerge/>
                            <w:tcBorders>
                              <w:top w:val="nil"/>
                              <w:left w:val="single" w:sz="18" w:space="0" w:color="000000"/>
                            </w:tcBorders>
                          </w:tcPr>
                          <w:p w:rsidR="00883FED" w:rsidRDefault="00883FED" w:rsidP="00883FED">
                            <w:pPr>
                              <w:rPr>
                                <w:sz w:val="2"/>
                                <w:szCs w:val="2"/>
                              </w:rPr>
                            </w:pPr>
                          </w:p>
                        </w:tc>
                      </w:tr>
                      <w:tr w:rsidR="00883FED">
                        <w:trPr>
                          <w:trHeight w:val="760"/>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ind w:left="93"/>
                              <w:rPr>
                                <w:rFonts w:ascii="Times New Roman"/>
                                <w:b/>
                              </w:rPr>
                            </w:pPr>
                            <w:r>
                              <w:rPr>
                                <w:rFonts w:ascii="Times New Roman"/>
                                <w:b/>
                              </w:rPr>
                              <w:t>ITT</w:t>
                            </w:r>
                            <w:r>
                              <w:rPr>
                                <w:rFonts w:ascii="Times New Roman"/>
                                <w:b/>
                                <w:spacing w:val="-2"/>
                              </w:rPr>
                              <w:t xml:space="preserve"> </w:t>
                            </w:r>
                            <w:r>
                              <w:rPr>
                                <w:rFonts w:ascii="Times New Roman"/>
                                <w:b/>
                                <w:spacing w:val="-5"/>
                              </w:rPr>
                              <w:t>7.3</w:t>
                            </w:r>
                          </w:p>
                        </w:tc>
                        <w:tc>
                          <w:tcPr>
                            <w:tcW w:w="8898" w:type="dxa"/>
                            <w:tcBorders>
                              <w:top w:val="single" w:sz="12" w:space="0" w:color="000000"/>
                              <w:left w:val="single" w:sz="12" w:space="0" w:color="000000"/>
                              <w:bottom w:val="single" w:sz="12" w:space="0" w:color="000000"/>
                              <w:right w:val="single" w:sz="12" w:space="0" w:color="000000"/>
                            </w:tcBorders>
                          </w:tcPr>
                          <w:p w:rsidR="00883FED" w:rsidRDefault="00883FED">
                            <w:pPr>
                              <w:pStyle w:val="TableParagraph"/>
                              <w:spacing w:line="252" w:lineRule="exact"/>
                              <w:ind w:left="93"/>
                              <w:rPr>
                                <w:rFonts w:ascii="Times New Roman"/>
                              </w:rPr>
                            </w:pPr>
                            <w:r>
                              <w:rPr>
                                <w:rFonts w:ascii="Times New Roman"/>
                              </w:rPr>
                              <w:t>The</w:t>
                            </w:r>
                            <w:r>
                              <w:rPr>
                                <w:rFonts w:ascii="Times New Roman"/>
                                <w:spacing w:val="-3"/>
                              </w:rPr>
                              <w:t xml:space="preserve"> </w:t>
                            </w:r>
                            <w:r>
                              <w:rPr>
                                <w:rFonts w:ascii="Times New Roman"/>
                              </w:rPr>
                              <w:t>Tenderer</w:t>
                            </w:r>
                            <w:r>
                              <w:rPr>
                                <w:rFonts w:ascii="Times New Roman"/>
                                <w:spacing w:val="-2"/>
                              </w:rPr>
                              <w:t xml:space="preserve"> </w:t>
                            </w:r>
                            <w:r>
                              <w:rPr>
                                <w:rFonts w:ascii="Times New Roman"/>
                              </w:rPr>
                              <w:t>will</w:t>
                            </w:r>
                            <w:r>
                              <w:rPr>
                                <w:rFonts w:ascii="Times New Roman"/>
                                <w:spacing w:val="-5"/>
                              </w:rPr>
                              <w:t xml:space="preserve"> </w:t>
                            </w:r>
                            <w:r>
                              <w:rPr>
                                <w:rFonts w:ascii="Times New Roman"/>
                              </w:rPr>
                              <w:t>submit</w:t>
                            </w:r>
                            <w:r>
                              <w:rPr>
                                <w:rFonts w:ascii="Times New Roman"/>
                                <w:spacing w:val="-2"/>
                              </w:rPr>
                              <w:t xml:space="preserve"> </w:t>
                            </w:r>
                            <w:r>
                              <w:rPr>
                                <w:rFonts w:ascii="Times New Roman"/>
                              </w:rPr>
                              <w:t>any</w:t>
                            </w:r>
                            <w:r>
                              <w:rPr>
                                <w:rFonts w:ascii="Times New Roman"/>
                                <w:spacing w:val="-3"/>
                              </w:rPr>
                              <w:t xml:space="preserve"> </w:t>
                            </w:r>
                            <w:r>
                              <w:rPr>
                                <w:rFonts w:ascii="Times New Roman"/>
                              </w:rPr>
                              <w:t>questions</w:t>
                            </w:r>
                            <w:r>
                              <w:rPr>
                                <w:rFonts w:ascii="Times New Roman"/>
                                <w:spacing w:val="-5"/>
                              </w:rPr>
                              <w:t xml:space="preserve"> </w:t>
                            </w:r>
                            <w:r>
                              <w:rPr>
                                <w:rFonts w:ascii="Times New Roman"/>
                              </w:rPr>
                              <w:t>in</w:t>
                            </w:r>
                            <w:r>
                              <w:rPr>
                                <w:rFonts w:ascii="Times New Roman"/>
                                <w:spacing w:val="-3"/>
                              </w:rPr>
                              <w:t xml:space="preserve"> </w:t>
                            </w:r>
                            <w:r>
                              <w:rPr>
                                <w:rFonts w:ascii="Times New Roman"/>
                              </w:rPr>
                              <w:t>writing,</w:t>
                            </w:r>
                            <w:r>
                              <w:rPr>
                                <w:rFonts w:ascii="Times New Roman"/>
                                <w:spacing w:val="-5"/>
                              </w:rPr>
                              <w:t xml:space="preserve"> </w:t>
                            </w:r>
                            <w:r>
                              <w:rPr>
                                <w:rFonts w:ascii="Times New Roman"/>
                              </w:rPr>
                              <w:t>to</w:t>
                            </w:r>
                            <w:r>
                              <w:rPr>
                                <w:rFonts w:ascii="Times New Roman"/>
                                <w:spacing w:val="-6"/>
                              </w:rPr>
                              <w:t xml:space="preserve"> </w:t>
                            </w:r>
                            <w:r>
                              <w:rPr>
                                <w:rFonts w:ascii="Times New Roman"/>
                              </w:rPr>
                              <w:t>reach</w:t>
                            </w:r>
                            <w:r>
                              <w:rPr>
                                <w:rFonts w:ascii="Times New Roman"/>
                                <w:spacing w:val="-5"/>
                              </w:rPr>
                              <w:t xml:space="preserve"> </w:t>
                            </w:r>
                            <w:r>
                              <w:rPr>
                                <w:rFonts w:ascii="Times New Roman"/>
                              </w:rPr>
                              <w:t>the</w:t>
                            </w:r>
                            <w:r>
                              <w:rPr>
                                <w:rFonts w:ascii="Times New Roman"/>
                                <w:spacing w:val="-3"/>
                              </w:rPr>
                              <w:t xml:space="preserve"> </w:t>
                            </w:r>
                            <w:r>
                              <w:rPr>
                                <w:rFonts w:ascii="Times New Roman"/>
                              </w:rPr>
                              <w:t>Procuring</w:t>
                            </w:r>
                            <w:r>
                              <w:rPr>
                                <w:rFonts w:ascii="Times New Roman"/>
                                <w:spacing w:val="-3"/>
                              </w:rPr>
                              <w:t xml:space="preserve"> </w:t>
                            </w:r>
                            <w:r>
                              <w:rPr>
                                <w:rFonts w:ascii="Times New Roman"/>
                              </w:rPr>
                              <w:t>Entity</w:t>
                            </w:r>
                            <w:r>
                              <w:rPr>
                                <w:rFonts w:ascii="Times New Roman"/>
                                <w:spacing w:val="-3"/>
                              </w:rPr>
                              <w:t xml:space="preserve"> </w:t>
                            </w:r>
                            <w:r>
                              <w:rPr>
                                <w:rFonts w:ascii="Times New Roman"/>
                              </w:rPr>
                              <w:t>not</w:t>
                            </w:r>
                            <w:r>
                              <w:rPr>
                                <w:rFonts w:ascii="Times New Roman"/>
                                <w:spacing w:val="-2"/>
                              </w:rPr>
                              <w:t xml:space="preserve"> </w:t>
                            </w:r>
                            <w:r>
                              <w:rPr>
                                <w:rFonts w:ascii="Times New Roman"/>
                              </w:rPr>
                              <w:t>later</w:t>
                            </w:r>
                            <w:r>
                              <w:rPr>
                                <w:rFonts w:ascii="Times New Roman"/>
                                <w:spacing w:val="-4"/>
                              </w:rPr>
                              <w:t xml:space="preserve"> than</w:t>
                            </w:r>
                          </w:p>
                          <w:p w:rsidR="00883FED" w:rsidRDefault="00883FED">
                            <w:pPr>
                              <w:pStyle w:val="TableParagraph"/>
                              <w:tabs>
                                <w:tab w:val="left" w:pos="6383"/>
                              </w:tabs>
                              <w:spacing w:line="252" w:lineRule="exact"/>
                              <w:ind w:left="811"/>
                              <w:rPr>
                                <w:rFonts w:ascii="Times New Roman"/>
                              </w:rPr>
                            </w:pPr>
                            <w:r>
                              <w:rPr>
                                <w:rFonts w:ascii="Times New Roman"/>
                                <w:b/>
                                <w:i/>
                                <w:color w:val="302E2E"/>
                              </w:rPr>
                              <w:t>As</w:t>
                            </w:r>
                            <w:r>
                              <w:rPr>
                                <w:rFonts w:ascii="Times New Roman"/>
                                <w:b/>
                                <w:i/>
                                <w:color w:val="302E2E"/>
                                <w:spacing w:val="8"/>
                              </w:rPr>
                              <w:t xml:space="preserve"> </w:t>
                            </w:r>
                            <w:r>
                              <w:rPr>
                                <w:rFonts w:ascii="Times New Roman"/>
                                <w:b/>
                                <w:i/>
                                <w:color w:val="302E2E"/>
                              </w:rPr>
                              <w:t>indicated</w:t>
                            </w:r>
                            <w:r>
                              <w:rPr>
                                <w:rFonts w:ascii="Times New Roman"/>
                                <w:b/>
                                <w:i/>
                                <w:color w:val="302E2E"/>
                                <w:spacing w:val="6"/>
                              </w:rPr>
                              <w:t xml:space="preserve"> </w:t>
                            </w:r>
                            <w:r>
                              <w:rPr>
                                <w:rFonts w:ascii="Times New Roman"/>
                                <w:b/>
                                <w:i/>
                                <w:color w:val="302E2E"/>
                              </w:rPr>
                              <w:t>in</w:t>
                            </w:r>
                            <w:r>
                              <w:rPr>
                                <w:rFonts w:ascii="Times New Roman"/>
                                <w:b/>
                                <w:i/>
                                <w:color w:val="302E2E"/>
                                <w:spacing w:val="6"/>
                              </w:rPr>
                              <w:t xml:space="preserve"> </w:t>
                            </w:r>
                            <w:r>
                              <w:rPr>
                                <w:rFonts w:ascii="Times New Roman"/>
                                <w:b/>
                                <w:i/>
                                <w:color w:val="302E2E"/>
                              </w:rPr>
                              <w:t>the</w:t>
                            </w:r>
                            <w:r>
                              <w:rPr>
                                <w:rFonts w:ascii="Times New Roman"/>
                                <w:b/>
                                <w:i/>
                                <w:color w:val="302E2E"/>
                                <w:spacing w:val="8"/>
                              </w:rPr>
                              <w:t xml:space="preserve"> </w:t>
                            </w:r>
                            <w:r>
                              <w:rPr>
                                <w:rFonts w:ascii="Times New Roman"/>
                                <w:b/>
                                <w:i/>
                                <w:color w:val="302E2E"/>
                              </w:rPr>
                              <w:t>tender</w:t>
                            </w:r>
                            <w:r>
                              <w:rPr>
                                <w:rFonts w:ascii="Times New Roman"/>
                                <w:b/>
                                <w:i/>
                                <w:color w:val="302E2E"/>
                                <w:spacing w:val="11"/>
                              </w:rPr>
                              <w:t xml:space="preserve"> </w:t>
                            </w:r>
                            <w:r>
                              <w:rPr>
                                <w:rFonts w:ascii="Times New Roman"/>
                                <w:b/>
                                <w:i/>
                                <w:color w:val="302E2E"/>
                              </w:rPr>
                              <w:t>advertisement</w:t>
                            </w:r>
                            <w:r>
                              <w:rPr>
                                <w:rFonts w:ascii="Times New Roman"/>
                                <w:b/>
                                <w:i/>
                                <w:color w:val="302E2E"/>
                                <w:spacing w:val="16"/>
                              </w:rPr>
                              <w:t xml:space="preserve"> </w:t>
                            </w:r>
                            <w:r>
                              <w:rPr>
                                <w:rFonts w:ascii="Times New Roman"/>
                                <w:b/>
                                <w:i/>
                                <w:color w:val="302E2E"/>
                                <w:u w:val="single" w:color="000000"/>
                              </w:rPr>
                              <w:tab/>
                            </w:r>
                            <w:r>
                              <w:rPr>
                                <w:rFonts w:ascii="Times New Roman"/>
                              </w:rPr>
                              <w:t>before</w:t>
                            </w:r>
                            <w:r>
                              <w:rPr>
                                <w:rFonts w:ascii="Times New Roman"/>
                                <w:spacing w:val="-7"/>
                              </w:rPr>
                              <w:t xml:space="preserve"> </w:t>
                            </w:r>
                            <w:r>
                              <w:rPr>
                                <w:rFonts w:ascii="Times New Roman"/>
                              </w:rPr>
                              <w:t>the</w:t>
                            </w:r>
                            <w:r>
                              <w:rPr>
                                <w:rFonts w:ascii="Times New Roman"/>
                                <w:spacing w:val="-4"/>
                              </w:rPr>
                              <w:t xml:space="preserve"> </w:t>
                            </w:r>
                            <w:r>
                              <w:rPr>
                                <w:rFonts w:ascii="Times New Roman"/>
                                <w:spacing w:val="-2"/>
                              </w:rPr>
                              <w:t>meeting.</w:t>
                            </w:r>
                          </w:p>
                        </w:tc>
                        <w:tc>
                          <w:tcPr>
                            <w:tcW w:w="829" w:type="dxa"/>
                            <w:vMerge/>
                            <w:tcBorders>
                              <w:top w:val="nil"/>
                              <w:left w:val="single" w:sz="18" w:space="0" w:color="000000"/>
                            </w:tcBorders>
                          </w:tcPr>
                          <w:p w:rsidR="00883FED" w:rsidRDefault="00883FED">
                            <w:pPr>
                              <w:rPr>
                                <w:sz w:val="2"/>
                                <w:szCs w:val="2"/>
                              </w:rPr>
                            </w:pPr>
                          </w:p>
                        </w:tc>
                      </w:tr>
                      <w:tr w:rsidR="00883FED">
                        <w:trPr>
                          <w:trHeight w:val="257"/>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pPr>
                              <w:pStyle w:val="TableParagraph"/>
                              <w:spacing w:line="237"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7.5</w:t>
                            </w:r>
                          </w:p>
                        </w:tc>
                        <w:tc>
                          <w:tcPr>
                            <w:tcW w:w="8898" w:type="dxa"/>
                            <w:tcBorders>
                              <w:top w:val="single" w:sz="12" w:space="0" w:color="000000"/>
                              <w:left w:val="single" w:sz="12" w:space="0" w:color="000000"/>
                              <w:right w:val="single" w:sz="12" w:space="0" w:color="000000"/>
                            </w:tcBorders>
                          </w:tcPr>
                          <w:p w:rsidR="00883FED" w:rsidRDefault="00883FED">
                            <w:pPr>
                              <w:pStyle w:val="TableParagraph"/>
                              <w:spacing w:line="237" w:lineRule="exact"/>
                              <w:ind w:left="93"/>
                              <w:rPr>
                                <w:rFonts w:ascii="Times New Roman" w:hAnsi="Times New Roman"/>
                              </w:rPr>
                            </w:pPr>
                            <w:r>
                              <w:rPr>
                                <w:rFonts w:ascii="Times New Roman" w:hAnsi="Times New Roman"/>
                              </w:rPr>
                              <w:t>The</w:t>
                            </w:r>
                            <w:r>
                              <w:rPr>
                                <w:rFonts w:ascii="Times New Roman" w:hAnsi="Times New Roman"/>
                                <w:spacing w:val="-5"/>
                              </w:rPr>
                              <w:t xml:space="preserve"> </w:t>
                            </w:r>
                            <w:r>
                              <w:rPr>
                                <w:rFonts w:ascii="Times New Roman" w:hAnsi="Times New Roman"/>
                              </w:rPr>
                              <w:t>Procuring</w:t>
                            </w:r>
                            <w:r>
                              <w:rPr>
                                <w:rFonts w:ascii="Times New Roman" w:hAnsi="Times New Roman"/>
                                <w:spacing w:val="-3"/>
                              </w:rPr>
                              <w:t xml:space="preserve"> </w:t>
                            </w:r>
                            <w:r>
                              <w:rPr>
                                <w:rFonts w:ascii="Times New Roman" w:hAnsi="Times New Roman"/>
                              </w:rPr>
                              <w:t>Entity’s</w:t>
                            </w:r>
                            <w:r>
                              <w:rPr>
                                <w:rFonts w:ascii="Times New Roman" w:hAnsi="Times New Roman"/>
                                <w:spacing w:val="-3"/>
                              </w:rPr>
                              <w:t xml:space="preserve"> </w:t>
                            </w:r>
                            <w:r>
                              <w:rPr>
                                <w:rFonts w:ascii="Times New Roman" w:hAnsi="Times New Roman"/>
                              </w:rPr>
                              <w:t>website</w:t>
                            </w:r>
                            <w:r>
                              <w:rPr>
                                <w:rFonts w:ascii="Times New Roman" w:hAnsi="Times New Roman"/>
                                <w:spacing w:val="-2"/>
                              </w:rPr>
                              <w:t xml:space="preserve"> </w:t>
                            </w:r>
                            <w:r>
                              <w:rPr>
                                <w:rFonts w:ascii="Times New Roman" w:hAnsi="Times New Roman"/>
                              </w:rPr>
                              <w:t>where</w:t>
                            </w:r>
                            <w:r>
                              <w:rPr>
                                <w:rFonts w:ascii="Times New Roman" w:hAnsi="Times New Roman"/>
                                <w:spacing w:val="-3"/>
                              </w:rPr>
                              <w:t xml:space="preserve"> </w:t>
                            </w:r>
                            <w:r>
                              <w:rPr>
                                <w:rFonts w:ascii="Times New Roman" w:hAnsi="Times New Roman"/>
                              </w:rPr>
                              <w:t>Minutes</w:t>
                            </w:r>
                            <w:r>
                              <w:rPr>
                                <w:rFonts w:ascii="Times New Roman" w:hAnsi="Times New Roman"/>
                                <w:spacing w:val="-5"/>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pre-Tender</w:t>
                            </w:r>
                            <w:r>
                              <w:rPr>
                                <w:rFonts w:ascii="Times New Roman" w:hAnsi="Times New Roman"/>
                                <w:spacing w:val="-3"/>
                              </w:rPr>
                              <w:t xml:space="preserve"> </w:t>
                            </w:r>
                            <w:r>
                              <w:rPr>
                                <w:rFonts w:ascii="Times New Roman" w:hAnsi="Times New Roman"/>
                              </w:rPr>
                              <w:t>meeting</w:t>
                            </w:r>
                            <w:r>
                              <w:rPr>
                                <w:rFonts w:ascii="Times New Roman" w:hAnsi="Times New Roman"/>
                                <w:spacing w:val="-5"/>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pre-</w:t>
                            </w:r>
                            <w:r>
                              <w:rPr>
                                <w:rFonts w:ascii="Times New Roman" w:hAnsi="Times New Roman"/>
                                <w:spacing w:val="-2"/>
                              </w:rPr>
                              <w:t>arranged</w:t>
                            </w:r>
                          </w:p>
                        </w:tc>
                        <w:tc>
                          <w:tcPr>
                            <w:tcW w:w="829" w:type="dxa"/>
                            <w:vMerge/>
                            <w:tcBorders>
                              <w:top w:val="nil"/>
                              <w:left w:val="single" w:sz="18" w:space="0" w:color="000000"/>
                            </w:tcBorders>
                          </w:tcPr>
                          <w:p w:rsidR="00883FED" w:rsidRDefault="00883FED">
                            <w:pPr>
                              <w:rPr>
                                <w:sz w:val="2"/>
                                <w:szCs w:val="2"/>
                              </w:rPr>
                            </w:pPr>
                          </w:p>
                        </w:tc>
                      </w:tr>
                      <w:tr w:rsidR="00883FED">
                        <w:trPr>
                          <w:trHeight w:val="502"/>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tabs>
                                <w:tab w:val="left" w:pos="5002"/>
                              </w:tabs>
                              <w:spacing w:line="248" w:lineRule="exact"/>
                              <w:ind w:left="93"/>
                              <w:rPr>
                                <w:rFonts w:ascii="Times New Roman"/>
                              </w:rPr>
                            </w:pPr>
                            <w:r>
                              <w:rPr>
                                <w:rFonts w:ascii="Times New Roman"/>
                              </w:rPr>
                              <w:t>pretender will</w:t>
                            </w:r>
                            <w:r>
                              <w:rPr>
                                <w:rFonts w:ascii="Times New Roman"/>
                                <w:spacing w:val="-2"/>
                              </w:rPr>
                              <w:t xml:space="preserve"> </w:t>
                            </w:r>
                            <w:r>
                              <w:rPr>
                                <w:rFonts w:ascii="Times New Roman"/>
                              </w:rPr>
                              <w:t>be published</w:t>
                            </w:r>
                            <w:r>
                              <w:rPr>
                                <w:rFonts w:ascii="Times New Roman"/>
                                <w:spacing w:val="-3"/>
                              </w:rPr>
                              <w:t xml:space="preserve"> </w:t>
                            </w:r>
                            <w:r>
                              <w:rPr>
                                <w:rFonts w:ascii="Times New Roman"/>
                              </w:rPr>
                              <w:t xml:space="preserve">is </w:t>
                            </w:r>
                            <w:r>
                              <w:rPr>
                                <w:rFonts w:ascii="Times New Roman"/>
                                <w:u w:val="single"/>
                              </w:rPr>
                              <w:tab/>
                              <w:t>N/A</w:t>
                            </w:r>
                          </w:p>
                        </w:tc>
                        <w:tc>
                          <w:tcPr>
                            <w:tcW w:w="829" w:type="dxa"/>
                            <w:vMerge/>
                            <w:tcBorders>
                              <w:top w:val="nil"/>
                              <w:left w:val="single" w:sz="18" w:space="0" w:color="000000"/>
                            </w:tcBorders>
                          </w:tcPr>
                          <w:p w:rsidR="00883FED" w:rsidRDefault="00883FED">
                            <w:pPr>
                              <w:rPr>
                                <w:sz w:val="2"/>
                                <w:szCs w:val="2"/>
                              </w:rPr>
                            </w:pPr>
                          </w:p>
                        </w:tc>
                      </w:tr>
                      <w:tr w:rsidR="00883FED">
                        <w:trPr>
                          <w:trHeight w:val="256"/>
                        </w:trPr>
                        <w:tc>
                          <w:tcPr>
                            <w:tcW w:w="704" w:type="dxa"/>
                            <w:vMerge/>
                            <w:tcBorders>
                              <w:top w:val="nil"/>
                              <w:right w:val="single" w:sz="12" w:space="0" w:color="000000"/>
                            </w:tcBorders>
                          </w:tcPr>
                          <w:p w:rsidR="00883FED" w:rsidRDefault="00883FED">
                            <w:pPr>
                              <w:rPr>
                                <w:sz w:val="2"/>
                                <w:szCs w:val="2"/>
                              </w:rPr>
                            </w:pPr>
                          </w:p>
                        </w:tc>
                        <w:tc>
                          <w:tcPr>
                            <w:tcW w:w="1524" w:type="dxa"/>
                            <w:tcBorders>
                              <w:top w:val="single" w:sz="12" w:space="0" w:color="000000"/>
                              <w:left w:val="single" w:sz="12" w:space="0" w:color="000000"/>
                              <w:right w:val="single" w:sz="12" w:space="0" w:color="000000"/>
                            </w:tcBorders>
                          </w:tcPr>
                          <w:p w:rsidR="00883FED" w:rsidRDefault="00883FED">
                            <w:pPr>
                              <w:pStyle w:val="TableParagraph"/>
                              <w:spacing w:line="236" w:lineRule="exact"/>
                              <w:ind w:left="93"/>
                              <w:rPr>
                                <w:rFonts w:ascii="Times New Roman"/>
                                <w:b/>
                              </w:rPr>
                            </w:pPr>
                            <w:r>
                              <w:rPr>
                                <w:rFonts w:ascii="Times New Roman"/>
                                <w:b/>
                              </w:rPr>
                              <w:t>ITT</w:t>
                            </w:r>
                            <w:r>
                              <w:rPr>
                                <w:rFonts w:ascii="Times New Roman"/>
                                <w:b/>
                                <w:spacing w:val="-1"/>
                              </w:rPr>
                              <w:t xml:space="preserve"> </w:t>
                            </w:r>
                            <w:r>
                              <w:rPr>
                                <w:rFonts w:ascii="Times New Roman"/>
                                <w:b/>
                                <w:spacing w:val="-5"/>
                              </w:rPr>
                              <w:t>9.1</w:t>
                            </w:r>
                          </w:p>
                        </w:tc>
                        <w:tc>
                          <w:tcPr>
                            <w:tcW w:w="8898" w:type="dxa"/>
                            <w:tcBorders>
                              <w:top w:val="single" w:sz="12" w:space="0" w:color="000000"/>
                              <w:left w:val="single" w:sz="12" w:space="0" w:color="000000"/>
                              <w:right w:val="single" w:sz="12" w:space="0" w:color="000000"/>
                            </w:tcBorders>
                          </w:tcPr>
                          <w:p w:rsidR="00883FED" w:rsidRDefault="00883FED" w:rsidP="00B22BD9">
                            <w:pPr>
                              <w:pStyle w:val="TableParagraph"/>
                              <w:spacing w:line="236" w:lineRule="exact"/>
                              <w:ind w:left="93"/>
                              <w:rPr>
                                <w:rFonts w:ascii="Times New Roman"/>
                              </w:rPr>
                            </w:pPr>
                            <w:r>
                              <w:rPr>
                                <w:rFonts w:ascii="Times New Roman"/>
                              </w:rPr>
                              <w:t>For</w:t>
                            </w:r>
                            <w:r>
                              <w:rPr>
                                <w:rFonts w:ascii="Times New Roman"/>
                                <w:spacing w:val="-14"/>
                              </w:rPr>
                              <w:t xml:space="preserve"> </w:t>
                            </w:r>
                            <w:r>
                              <w:rPr>
                                <w:rFonts w:ascii="Times New Roman"/>
                              </w:rPr>
                              <w:t>Clarification</w:t>
                            </w:r>
                            <w:r>
                              <w:rPr>
                                <w:rFonts w:ascii="Times New Roman"/>
                                <w:spacing w:val="-14"/>
                              </w:rPr>
                              <w:t xml:space="preserve"> </w:t>
                            </w:r>
                            <w:r>
                              <w:rPr>
                                <w:rFonts w:ascii="Times New Roman"/>
                              </w:rPr>
                              <w:t>of</w:t>
                            </w:r>
                            <w:r>
                              <w:rPr>
                                <w:rFonts w:ascii="Times New Roman"/>
                                <w:spacing w:val="-11"/>
                              </w:rPr>
                              <w:t xml:space="preserve"> </w:t>
                            </w:r>
                            <w:r>
                              <w:rPr>
                                <w:rFonts w:ascii="Times New Roman"/>
                              </w:rPr>
                              <w:t>Tender</w:t>
                            </w:r>
                            <w:r>
                              <w:rPr>
                                <w:rFonts w:ascii="Times New Roman"/>
                                <w:spacing w:val="-12"/>
                              </w:rPr>
                              <w:t xml:space="preserve"> </w:t>
                            </w:r>
                            <w:r>
                              <w:rPr>
                                <w:rFonts w:ascii="Times New Roman"/>
                              </w:rPr>
                              <w:t>purposes,</w:t>
                            </w:r>
                            <w:r>
                              <w:rPr>
                                <w:rFonts w:ascii="Times New Roman"/>
                                <w:spacing w:val="-11"/>
                              </w:rPr>
                              <w:t xml:space="preserve"> </w:t>
                            </w:r>
                            <w:r>
                              <w:rPr>
                                <w:rFonts w:ascii="Times New Roman"/>
                              </w:rPr>
                              <w:t>for</w:t>
                            </w:r>
                            <w:r>
                              <w:rPr>
                                <w:rFonts w:ascii="Times New Roman"/>
                                <w:spacing w:val="-10"/>
                              </w:rPr>
                              <w:t xml:space="preserve"> </w:t>
                            </w:r>
                            <w:r>
                              <w:rPr>
                                <w:rFonts w:ascii="Times New Roman"/>
                              </w:rPr>
                              <w:t>obtaining</w:t>
                            </w:r>
                            <w:r>
                              <w:rPr>
                                <w:rFonts w:ascii="Times New Roman"/>
                                <w:spacing w:val="-14"/>
                              </w:rPr>
                              <w:t xml:space="preserve"> </w:t>
                            </w:r>
                            <w:r>
                              <w:rPr>
                                <w:rFonts w:ascii="Times New Roman"/>
                              </w:rPr>
                              <w:t>further</w:t>
                            </w:r>
                            <w:r>
                              <w:rPr>
                                <w:rFonts w:ascii="Times New Roman"/>
                                <w:spacing w:val="-13"/>
                              </w:rPr>
                              <w:t xml:space="preserve"> </w:t>
                            </w:r>
                            <w:r>
                              <w:rPr>
                                <w:rFonts w:ascii="Times New Roman"/>
                              </w:rPr>
                              <w:t>information</w:t>
                            </w:r>
                            <w:r>
                              <w:rPr>
                                <w:rFonts w:ascii="Times New Roman"/>
                                <w:spacing w:val="-14"/>
                              </w:rPr>
                              <w:t xml:space="preserve"> </w:t>
                            </w:r>
                            <w:r>
                              <w:rPr>
                                <w:rFonts w:ascii="Times New Roman"/>
                              </w:rPr>
                              <w:t>and</w:t>
                            </w:r>
                            <w:r>
                              <w:rPr>
                                <w:rFonts w:ascii="Times New Roman"/>
                                <w:spacing w:val="-14"/>
                              </w:rPr>
                              <w:t xml:space="preserve"> </w:t>
                            </w:r>
                            <w:r>
                              <w:rPr>
                                <w:rFonts w:ascii="Times New Roman"/>
                              </w:rPr>
                              <w:t>for</w:t>
                            </w:r>
                            <w:r>
                              <w:rPr>
                                <w:rFonts w:ascii="Times New Roman"/>
                                <w:spacing w:val="-14"/>
                              </w:rPr>
                              <w:t xml:space="preserve"> </w:t>
                            </w:r>
                            <w:r>
                              <w:rPr>
                                <w:rFonts w:ascii="Times New Roman"/>
                              </w:rPr>
                              <w:t>obtaining</w:t>
                            </w:r>
                            <w:r>
                              <w:rPr>
                                <w:rFonts w:ascii="Times New Roman"/>
                                <w:spacing w:val="-13"/>
                              </w:rPr>
                              <w:t xml:space="preserve"> </w:t>
                            </w:r>
                            <w:r>
                              <w:rPr>
                                <w:rFonts w:ascii="Times New Roman"/>
                                <w:spacing w:val="-2"/>
                              </w:rPr>
                              <w:t>tender</w:t>
                            </w:r>
                          </w:p>
                        </w:tc>
                        <w:tc>
                          <w:tcPr>
                            <w:tcW w:w="829" w:type="dxa"/>
                            <w:vMerge/>
                            <w:tcBorders>
                              <w:top w:val="nil"/>
                              <w:left w:val="single" w:sz="18" w:space="0" w:color="000000"/>
                            </w:tcBorders>
                          </w:tcPr>
                          <w:p w:rsidR="00883FED" w:rsidRDefault="00883FED">
                            <w:pPr>
                              <w:rPr>
                                <w:sz w:val="2"/>
                                <w:szCs w:val="2"/>
                              </w:rPr>
                            </w:pPr>
                          </w:p>
                        </w:tc>
                      </w:tr>
                      <w:tr w:rsidR="00883FED">
                        <w:trPr>
                          <w:trHeight w:val="251"/>
                        </w:trPr>
                        <w:tc>
                          <w:tcPr>
                            <w:tcW w:w="704" w:type="dxa"/>
                            <w:vMerge/>
                            <w:tcBorders>
                              <w:top w:val="nil"/>
                              <w:right w:val="single" w:sz="12" w:space="0" w:color="000000"/>
                            </w:tcBorders>
                          </w:tcPr>
                          <w:p w:rsidR="00883FED" w:rsidRDefault="00883FED">
                            <w:pPr>
                              <w:rPr>
                                <w:sz w:val="2"/>
                                <w:szCs w:val="2"/>
                              </w:rPr>
                            </w:pPr>
                          </w:p>
                        </w:tc>
                        <w:tc>
                          <w:tcPr>
                            <w:tcW w:w="1524" w:type="dxa"/>
                            <w:tcBorders>
                              <w:left w:val="single" w:sz="12" w:space="0" w:color="000000"/>
                              <w:bottom w:val="single" w:sz="12" w:space="0" w:color="000000"/>
                              <w:right w:val="single" w:sz="12" w:space="0" w:color="000000"/>
                            </w:tcBorders>
                          </w:tcPr>
                          <w:p w:rsidR="00883FED" w:rsidRDefault="00883FED">
                            <w:pPr>
                              <w:pStyle w:val="TableParagraph"/>
                              <w:rPr>
                                <w:rFonts w:ascii="Times New Roman"/>
                                <w:sz w:val="18"/>
                              </w:rPr>
                            </w:pPr>
                          </w:p>
                        </w:tc>
                        <w:tc>
                          <w:tcPr>
                            <w:tcW w:w="8898" w:type="dxa"/>
                            <w:tcBorders>
                              <w:left w:val="single" w:sz="12" w:space="0" w:color="000000"/>
                              <w:bottom w:val="single" w:sz="12" w:space="0" w:color="000000"/>
                              <w:right w:val="single" w:sz="12" w:space="0" w:color="000000"/>
                            </w:tcBorders>
                          </w:tcPr>
                          <w:p w:rsidR="00883FED" w:rsidRDefault="00883FED">
                            <w:pPr>
                              <w:pStyle w:val="TableParagraph"/>
                              <w:spacing w:line="231" w:lineRule="exact"/>
                              <w:ind w:left="93"/>
                              <w:rPr>
                                <w:rFonts w:ascii="Times New Roman" w:hAnsi="Times New Roman"/>
                              </w:rPr>
                            </w:pPr>
                            <w:r>
                              <w:rPr>
                                <w:rFonts w:ascii="Times New Roman" w:hAnsi="Times New Roman"/>
                              </w:rPr>
                              <w:t>documents,</w:t>
                            </w:r>
                            <w:r>
                              <w:rPr>
                                <w:rFonts w:ascii="Times New Roman" w:hAnsi="Times New Roman"/>
                                <w:spacing w:val="-14"/>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Procuring</w:t>
                            </w:r>
                            <w:r>
                              <w:rPr>
                                <w:rFonts w:ascii="Times New Roman" w:hAnsi="Times New Roman"/>
                                <w:spacing w:val="-8"/>
                              </w:rPr>
                              <w:t xml:space="preserve"> </w:t>
                            </w:r>
                            <w:r>
                              <w:rPr>
                                <w:rFonts w:ascii="Times New Roman" w:hAnsi="Times New Roman"/>
                              </w:rPr>
                              <w:t>Entity’s</w:t>
                            </w:r>
                            <w:r>
                              <w:rPr>
                                <w:rFonts w:ascii="Times New Roman" w:hAnsi="Times New Roman"/>
                                <w:spacing w:val="-9"/>
                              </w:rPr>
                              <w:t xml:space="preserve"> </w:t>
                            </w:r>
                            <w:r>
                              <w:rPr>
                                <w:rFonts w:ascii="Times New Roman" w:hAnsi="Times New Roman"/>
                              </w:rPr>
                              <w:t>address</w:t>
                            </w:r>
                            <w:r>
                              <w:rPr>
                                <w:rFonts w:ascii="Times New Roman" w:hAnsi="Times New Roman"/>
                                <w:spacing w:val="-7"/>
                              </w:rPr>
                              <w:t xml:space="preserve"> </w:t>
                            </w:r>
                            <w:r>
                              <w:rPr>
                                <w:rFonts w:ascii="Times New Roman" w:hAnsi="Times New Roman"/>
                                <w:spacing w:val="-5"/>
                              </w:rPr>
                              <w:t>is:</w:t>
                            </w:r>
                          </w:p>
                        </w:tc>
                        <w:tc>
                          <w:tcPr>
                            <w:tcW w:w="829" w:type="dxa"/>
                            <w:vMerge/>
                            <w:tcBorders>
                              <w:top w:val="nil"/>
                              <w:left w:val="single" w:sz="18" w:space="0" w:color="000000"/>
                            </w:tcBorders>
                          </w:tcPr>
                          <w:p w:rsidR="00883FED" w:rsidRDefault="00883FED">
                            <w:pPr>
                              <w:rPr>
                                <w:sz w:val="2"/>
                                <w:szCs w:val="2"/>
                              </w:rPr>
                            </w:pPr>
                          </w:p>
                        </w:tc>
                      </w:tr>
                    </w:tbl>
                    <w:p w:rsidR="00883FED" w:rsidRDefault="00883FED">
                      <w:pPr>
                        <w:pStyle w:val="BodyText"/>
                      </w:pPr>
                    </w:p>
                  </w:txbxContent>
                </v:textbox>
                <w10:wrap anchorx="page"/>
              </v:shape>
            </w:pict>
          </mc:Fallback>
        </mc:AlternateContent>
      </w:r>
    </w:p>
    <w:p w:rsidR="007F6DF9" w:rsidRDefault="007F6DF9">
      <w:pPr>
        <w:pStyle w:val="BodyText"/>
        <w:spacing w:before="222"/>
      </w:pPr>
    </w:p>
    <w:p w:rsidR="007F6DF9" w:rsidRDefault="00A43FBC">
      <w:pPr>
        <w:spacing w:before="1"/>
        <w:ind w:left="559"/>
        <w:rPr>
          <w:b/>
        </w:rPr>
      </w:pPr>
      <w:bookmarkStart w:id="51" w:name="_TOC_250000"/>
      <w:r>
        <w:rPr>
          <w:b/>
          <w:u w:val="single"/>
        </w:rPr>
        <w:t>Section</w:t>
      </w:r>
      <w:r>
        <w:rPr>
          <w:b/>
          <w:spacing w:val="-3"/>
          <w:u w:val="single"/>
        </w:rPr>
        <w:t xml:space="preserve"> </w:t>
      </w:r>
      <w:r>
        <w:rPr>
          <w:b/>
          <w:u w:val="single"/>
        </w:rPr>
        <w:t>II</w:t>
      </w:r>
      <w:r>
        <w:rPr>
          <w:b/>
          <w:spacing w:val="-2"/>
          <w:u w:val="single"/>
        </w:rPr>
        <w:t xml:space="preserve"> </w:t>
      </w:r>
      <w:r>
        <w:rPr>
          <w:b/>
          <w:u w:val="single"/>
        </w:rPr>
        <w:t>-</w:t>
      </w:r>
      <w:r>
        <w:rPr>
          <w:b/>
          <w:spacing w:val="-1"/>
          <w:u w:val="single"/>
        </w:rPr>
        <w:t xml:space="preserve"> </w:t>
      </w:r>
      <w:r>
        <w:rPr>
          <w:b/>
          <w:u w:val="single"/>
        </w:rPr>
        <w:t>Tender</w:t>
      </w:r>
      <w:r>
        <w:rPr>
          <w:b/>
          <w:spacing w:val="-3"/>
          <w:u w:val="single"/>
        </w:rPr>
        <w:t xml:space="preserve"> </w:t>
      </w:r>
      <w:r>
        <w:rPr>
          <w:b/>
          <w:u w:val="single"/>
        </w:rPr>
        <w:t>Data</w:t>
      </w:r>
      <w:r>
        <w:rPr>
          <w:b/>
          <w:spacing w:val="-5"/>
          <w:u w:val="single"/>
        </w:rPr>
        <w:t xml:space="preserve"> </w:t>
      </w:r>
      <w:r>
        <w:rPr>
          <w:b/>
          <w:u w:val="single"/>
        </w:rPr>
        <w:t>Sheet</w:t>
      </w:r>
      <w:bookmarkEnd w:id="51"/>
      <w:r>
        <w:rPr>
          <w:b/>
          <w:spacing w:val="-4"/>
          <w:u w:val="single"/>
        </w:rPr>
        <w:t xml:space="preserve"> (TDS)</w:t>
      </w:r>
    </w:p>
    <w:p w:rsidR="007F6DF9" w:rsidRDefault="007F6DF9">
      <w:pPr>
        <w:pStyle w:val="BodyText"/>
        <w:rPr>
          <w:b/>
        </w:rPr>
      </w:pPr>
    </w:p>
    <w:p w:rsidR="007F6DF9" w:rsidRDefault="00A43FBC">
      <w:pPr>
        <w:pStyle w:val="BodyText"/>
        <w:ind w:left="451"/>
      </w:pPr>
      <w:r>
        <w:t>The</w:t>
      </w:r>
      <w:r>
        <w:rPr>
          <w:spacing w:val="-2"/>
        </w:rPr>
        <w:t xml:space="preserve"> </w:t>
      </w:r>
      <w:r>
        <w:t>following</w:t>
      </w:r>
      <w:r>
        <w:rPr>
          <w:spacing w:val="-2"/>
        </w:rPr>
        <w:t xml:space="preserve"> </w:t>
      </w:r>
      <w:r>
        <w:t>specific</w:t>
      </w:r>
      <w:r>
        <w:rPr>
          <w:spacing w:val="-2"/>
        </w:rPr>
        <w:t xml:space="preserve"> </w:t>
      </w:r>
      <w:r>
        <w:t>data</w:t>
      </w:r>
      <w:r>
        <w:rPr>
          <w:spacing w:val="-2"/>
        </w:rPr>
        <w:t xml:space="preserve"> </w:t>
      </w:r>
      <w:r>
        <w:t>shall</w:t>
      </w:r>
      <w:r>
        <w:rPr>
          <w:spacing w:val="-1"/>
        </w:rPr>
        <w:t xml:space="preserve"> </w:t>
      </w:r>
      <w:r>
        <w:t>complement,</w:t>
      </w:r>
      <w:r>
        <w:rPr>
          <w:spacing w:val="-2"/>
        </w:rPr>
        <w:t xml:space="preserve"> </w:t>
      </w:r>
      <w:r>
        <w:t>supplement,</w:t>
      </w:r>
      <w:r>
        <w:rPr>
          <w:spacing w:val="-2"/>
        </w:rPr>
        <w:t xml:space="preserve"> </w:t>
      </w:r>
      <w:r>
        <w:t>or</w:t>
      </w:r>
      <w:r>
        <w:rPr>
          <w:spacing w:val="-4"/>
        </w:rPr>
        <w:t xml:space="preserve"> </w:t>
      </w:r>
      <w:r>
        <w:t>amend</w:t>
      </w:r>
      <w:r>
        <w:rPr>
          <w:spacing w:val="-4"/>
        </w:rPr>
        <w:t xml:space="preserve"> </w:t>
      </w:r>
      <w:r>
        <w:t>the</w:t>
      </w:r>
      <w:r>
        <w:rPr>
          <w:spacing w:val="-4"/>
        </w:rPr>
        <w:t xml:space="preserve"> </w:t>
      </w:r>
      <w:r>
        <w:t>provisions</w:t>
      </w:r>
      <w:r>
        <w:rPr>
          <w:spacing w:val="-2"/>
        </w:rPr>
        <w:t xml:space="preserve"> </w:t>
      </w:r>
      <w:r>
        <w:t>in</w:t>
      </w:r>
      <w:r>
        <w:rPr>
          <w:spacing w:val="-5"/>
        </w:rPr>
        <w:t xml:space="preserve"> </w:t>
      </w:r>
      <w:r>
        <w:t>the</w:t>
      </w:r>
      <w:r>
        <w:rPr>
          <w:spacing w:val="-2"/>
        </w:rPr>
        <w:t xml:space="preserve"> </w:t>
      </w:r>
      <w:r>
        <w:t>Instructions</w:t>
      </w:r>
      <w:r>
        <w:rPr>
          <w:spacing w:val="-2"/>
        </w:rPr>
        <w:t xml:space="preserve"> </w:t>
      </w:r>
      <w:r>
        <w:t>to</w:t>
      </w:r>
      <w:r>
        <w:rPr>
          <w:spacing w:val="-2"/>
        </w:rPr>
        <w:t xml:space="preserve"> </w:t>
      </w:r>
      <w:r>
        <w:t>Tenderers</w:t>
      </w:r>
      <w:r>
        <w:rPr>
          <w:spacing w:val="-2"/>
        </w:rPr>
        <w:t xml:space="preserve"> </w:t>
      </w:r>
      <w:r>
        <w:t>(ITT). Whenever there is a conflict, the provisions herein shall prevail over those in ITT.</w: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155"/>
        <w:rPr>
          <w:sz w:val="20"/>
        </w:rPr>
      </w:pPr>
      <w:r>
        <w:rPr>
          <w:noProof/>
          <w:sz w:val="20"/>
        </w:rPr>
        <mc:AlternateContent>
          <mc:Choice Requires="wps">
            <w:drawing>
              <wp:anchor distT="0" distB="0" distL="0" distR="0" simplePos="0" relativeHeight="251664896" behindDoc="1" locked="0" layoutInCell="1" allowOverlap="1">
                <wp:simplePos x="0" y="0"/>
                <wp:positionH relativeFrom="page">
                  <wp:posOffset>1449577</wp:posOffset>
                </wp:positionH>
                <wp:positionV relativeFrom="paragraph">
                  <wp:posOffset>259766</wp:posOffset>
                </wp:positionV>
                <wp:extent cx="5549900" cy="1841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18415"/>
                        </a:xfrm>
                        <a:custGeom>
                          <a:avLst/>
                          <a:gdLst/>
                          <a:ahLst/>
                          <a:cxnLst/>
                          <a:rect l="l" t="t" r="r" b="b"/>
                          <a:pathLst>
                            <a:path w="5549900" h="18415">
                              <a:moveTo>
                                <a:pt x="5549773" y="0"/>
                              </a:moveTo>
                              <a:lnTo>
                                <a:pt x="0" y="0"/>
                              </a:lnTo>
                              <a:lnTo>
                                <a:pt x="0" y="18287"/>
                              </a:lnTo>
                              <a:lnTo>
                                <a:pt x="5549773" y="18287"/>
                              </a:lnTo>
                              <a:lnTo>
                                <a:pt x="55497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42C5A9" id="Graphic 99" o:spid="_x0000_s1026" style="position:absolute;margin-left:114.15pt;margin-top:20.45pt;width:437pt;height:1.45pt;z-index:-251651584;visibility:visible;mso-wrap-style:square;mso-wrap-distance-left:0;mso-wrap-distance-top:0;mso-wrap-distance-right:0;mso-wrap-distance-bottom:0;mso-position-horizontal:absolute;mso-position-horizontal-relative:page;mso-position-vertical:absolute;mso-position-vertical-relative:text;v-text-anchor:top" coordsize="55499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" path="m5549773,l,,,18287r5549773,l5549773,xe" fillcolor="black" stroked="f">
                <v:path arrowok="t"/>
                <w10:wrap type="topAndBottom" anchorx="page"/>
              </v:shape>
            </w:pict>
          </mc:Fallback>
        </mc:AlternateContent>
      </w:r>
    </w:p>
    <w:p w:rsidR="007F6DF9" w:rsidRDefault="007F6DF9">
      <w:pPr>
        <w:pStyle w:val="BodyText"/>
        <w:rPr>
          <w:sz w:val="20"/>
        </w:rPr>
      </w:pPr>
    </w:p>
    <w:p w:rsidR="007F6DF9" w:rsidRDefault="007F6DF9">
      <w:pPr>
        <w:pStyle w:val="BodyText"/>
        <w:rPr>
          <w:sz w:val="20"/>
        </w:rPr>
      </w:pPr>
    </w:p>
    <w:p w:rsidR="007F6DF9" w:rsidRDefault="00A43FBC">
      <w:pPr>
        <w:pStyle w:val="BodyText"/>
        <w:spacing w:before="94"/>
        <w:rPr>
          <w:sz w:val="20"/>
        </w:rPr>
      </w:pPr>
      <w:r>
        <w:rPr>
          <w:noProof/>
          <w:sz w:val="20"/>
        </w:rPr>
        <mc:AlternateContent>
          <mc:Choice Requires="wps">
            <w:drawing>
              <wp:anchor distT="0" distB="0" distL="0" distR="0" simplePos="0" relativeHeight="251665920" behindDoc="1" locked="0" layoutInCell="1" allowOverlap="1">
                <wp:simplePos x="0" y="0"/>
                <wp:positionH relativeFrom="page">
                  <wp:posOffset>1449577</wp:posOffset>
                </wp:positionH>
                <wp:positionV relativeFrom="paragraph">
                  <wp:posOffset>221512</wp:posOffset>
                </wp:positionV>
                <wp:extent cx="5549900" cy="1841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18415"/>
                        </a:xfrm>
                        <a:custGeom>
                          <a:avLst/>
                          <a:gdLst/>
                          <a:ahLst/>
                          <a:cxnLst/>
                          <a:rect l="l" t="t" r="r" b="b"/>
                          <a:pathLst>
                            <a:path w="5549900" h="18415">
                              <a:moveTo>
                                <a:pt x="5549773" y="0"/>
                              </a:moveTo>
                              <a:lnTo>
                                <a:pt x="0" y="0"/>
                              </a:lnTo>
                              <a:lnTo>
                                <a:pt x="0" y="18287"/>
                              </a:lnTo>
                              <a:lnTo>
                                <a:pt x="5549773" y="18287"/>
                              </a:lnTo>
                              <a:lnTo>
                                <a:pt x="55497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6C7BA7" id="Graphic 100" o:spid="_x0000_s1026" style="position:absolute;margin-left:114.15pt;margin-top:17.45pt;width:437pt;height:1.45pt;z-index:-251650560;visibility:visible;mso-wrap-style:square;mso-wrap-distance-left:0;mso-wrap-distance-top:0;mso-wrap-distance-right:0;mso-wrap-distance-bottom:0;mso-position-horizontal:absolute;mso-position-horizontal-relative:page;mso-position-vertical:absolute;mso-position-vertical-relative:text;v-text-anchor:top" coordsize="55499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" path="m5549773,l,,,18287r5549773,l5549773,xe" fillcolor="black" stroked="f">
                <v:path arrowok="t"/>
                <w10:wrap type="topAndBottom" anchorx="page"/>
              </v:shape>
            </w:pict>
          </mc:Fallback>
        </mc:AlternateConten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32"/>
        <w:rPr>
          <w:sz w:val="20"/>
        </w:rPr>
      </w:pPr>
      <w:r>
        <w:rPr>
          <w:noProof/>
          <w:sz w:val="20"/>
        </w:rPr>
        <mc:AlternateContent>
          <mc:Choice Requires="wpg">
            <w:drawing>
              <wp:anchor distT="0" distB="0" distL="0" distR="0" simplePos="0" relativeHeight="251666944" behindDoc="1" locked="0" layoutInCell="1" allowOverlap="1">
                <wp:simplePos x="0" y="0"/>
                <wp:positionH relativeFrom="page">
                  <wp:posOffset>3889883</wp:posOffset>
                </wp:positionH>
                <wp:positionV relativeFrom="paragraph">
                  <wp:posOffset>181950</wp:posOffset>
                </wp:positionV>
                <wp:extent cx="1811020" cy="1524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020" cy="15240"/>
                          <a:chOff x="0" y="0"/>
                          <a:chExt cx="1811020" cy="15240"/>
                        </a:xfrm>
                      </wpg:grpSpPr>
                      <wps:wsp>
                        <wps:cNvPr id="102" name="Graphic 102"/>
                        <wps:cNvSpPr/>
                        <wps:spPr>
                          <a:xfrm>
                            <a:off x="0" y="12198"/>
                            <a:ext cx="140335" cy="1270"/>
                          </a:xfrm>
                          <a:custGeom>
                            <a:avLst/>
                            <a:gdLst/>
                            <a:ahLst/>
                            <a:cxnLst/>
                            <a:rect l="l" t="t" r="r" b="b"/>
                            <a:pathLst>
                              <a:path w="140335">
                                <a:moveTo>
                                  <a:pt x="0" y="0"/>
                                </a:moveTo>
                                <a:lnTo>
                                  <a:pt x="140208" y="0"/>
                                </a:lnTo>
                              </a:path>
                            </a:pathLst>
                          </a:custGeom>
                          <a:ln w="5691">
                            <a:solidFill>
                              <a:srgbClr val="000000"/>
                            </a:solidFill>
                            <a:prstDash val="solid"/>
                          </a:ln>
                        </wps:spPr>
                        <wps:bodyPr wrap="square" lIns="0" tIns="0" rIns="0" bIns="0" rtlCol="0">
                          <a:prstTxWarp prst="textNoShape">
                            <a:avLst/>
                          </a:prstTxWarp>
                          <a:noAutofit/>
                        </wps:bodyPr>
                      </wps:wsp>
                      <wps:wsp>
                        <wps:cNvPr id="103" name="Graphic 103"/>
                        <wps:cNvSpPr/>
                        <wps:spPr>
                          <a:xfrm>
                            <a:off x="140462" y="0"/>
                            <a:ext cx="1670685" cy="13970"/>
                          </a:xfrm>
                          <a:custGeom>
                            <a:avLst/>
                            <a:gdLst/>
                            <a:ahLst/>
                            <a:cxnLst/>
                            <a:rect l="l" t="t" r="r" b="b"/>
                            <a:pathLst>
                              <a:path w="1670685" h="13970">
                                <a:moveTo>
                                  <a:pt x="1670557" y="0"/>
                                </a:moveTo>
                                <a:lnTo>
                                  <a:pt x="0" y="0"/>
                                </a:lnTo>
                                <a:lnTo>
                                  <a:pt x="0" y="13715"/>
                                </a:lnTo>
                                <a:lnTo>
                                  <a:pt x="1670557" y="13715"/>
                                </a:lnTo>
                                <a:lnTo>
                                  <a:pt x="1670557" y="0"/>
                                </a:lnTo>
                                <a:close/>
                              </a:path>
                            </a:pathLst>
                          </a:custGeom>
                          <a:solidFill>
                            <a:srgbClr val="302E2E"/>
                          </a:solidFill>
                        </wps:spPr>
                        <wps:bodyPr wrap="square" lIns="0" tIns="0" rIns="0" bIns="0" rtlCol="0">
                          <a:prstTxWarp prst="textNoShape">
                            <a:avLst/>
                          </a:prstTxWarp>
                          <a:noAutofit/>
                        </wps:bodyPr>
                      </wps:wsp>
                    </wpg:wgp>
                  </a:graphicData>
                </a:graphic>
              </wp:anchor>
            </w:drawing>
          </mc:Choice>
          <mc:Fallback>
            <w:pict>
              <v:group w14:anchorId="6B97A8F5" id="Group 101" o:spid="_x0000_s1026" style="position:absolute;margin-left:306.3pt;margin-top:14.35pt;width:142.6pt;height:1.2pt;z-index:-251649536;mso-wrap-distance-left:0;mso-wrap-distance-right:0;mso-position-horizontal-relative:page" coordsize="1811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">
                <v:shape id="Graphic 102" o:spid="_x0000_s1027" style="position:absolute;top:121;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" path="m,l140208,e" filled="f" strokeweight=".15808mm">
                  <v:path arrowok="t"/>
                </v:shape>
                <v:shape id="Graphic 103" o:spid="_x0000_s1028" style="position:absolute;left:1404;width:16707;height:139;visibility:visible;mso-wrap-style:square;v-text-anchor:top" coordsize="16706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" path="m1670557,l,,,13715r1670557,l1670557,xe" fillcolor="#302e2e" stroked="f">
                  <v:path arrowok="t"/>
                </v:shape>
                <w10:wrap type="topAndBottom" anchorx="page"/>
              </v:group>
            </w:pict>
          </mc:Fallback>
        </mc:AlternateConten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120"/>
        <w:rPr>
          <w:sz w:val="20"/>
        </w:rPr>
      </w:pPr>
      <w:r>
        <w:rPr>
          <w:noProof/>
          <w:sz w:val="20"/>
        </w:rPr>
        <mc:AlternateContent>
          <mc:Choice Requires="wps">
            <w:drawing>
              <wp:anchor distT="0" distB="0" distL="0" distR="0" simplePos="0" relativeHeight="251667968" behindDoc="1" locked="0" layoutInCell="1" allowOverlap="1">
                <wp:simplePos x="0" y="0"/>
                <wp:positionH relativeFrom="page">
                  <wp:posOffset>6802881</wp:posOffset>
                </wp:positionH>
                <wp:positionV relativeFrom="paragraph">
                  <wp:posOffset>237747</wp:posOffset>
                </wp:positionV>
                <wp:extent cx="35560" cy="139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3970"/>
                        </a:xfrm>
                        <a:custGeom>
                          <a:avLst/>
                          <a:gdLst/>
                          <a:ahLst/>
                          <a:cxnLst/>
                          <a:rect l="l" t="t" r="r" b="b"/>
                          <a:pathLst>
                            <a:path w="35560" h="13970">
                              <a:moveTo>
                                <a:pt x="35051" y="0"/>
                              </a:moveTo>
                              <a:lnTo>
                                <a:pt x="0" y="0"/>
                              </a:lnTo>
                              <a:lnTo>
                                <a:pt x="0" y="13715"/>
                              </a:lnTo>
                              <a:lnTo>
                                <a:pt x="35051" y="13715"/>
                              </a:lnTo>
                              <a:lnTo>
                                <a:pt x="35051" y="0"/>
                              </a:lnTo>
                              <a:close/>
                            </a:path>
                          </a:pathLst>
                        </a:custGeom>
                        <a:solidFill>
                          <a:srgbClr val="302E2E"/>
                        </a:solidFill>
                      </wps:spPr>
                      <wps:bodyPr wrap="square" lIns="0" tIns="0" rIns="0" bIns="0" rtlCol="0">
                        <a:prstTxWarp prst="textNoShape">
                          <a:avLst/>
                        </a:prstTxWarp>
                        <a:noAutofit/>
                      </wps:bodyPr>
                    </wps:wsp>
                  </a:graphicData>
                </a:graphic>
              </wp:anchor>
            </w:drawing>
          </mc:Choice>
          <mc:Fallback>
            <w:pict>
              <v:shape w14:anchorId="4750083A" id="Graphic 104" o:spid="_x0000_s1026" style="position:absolute;margin-left:535.65pt;margin-top:18.7pt;width:2.8pt;height:1.1pt;z-index:-251648512;visibility:visible;mso-wrap-style:square;mso-wrap-distance-left:0;mso-wrap-distance-top:0;mso-wrap-distance-right:0;mso-wrap-distance-bottom:0;mso-position-horizontal:absolute;mso-position-horizontal-relative:page;mso-position-vertical:absolute;mso-position-vertical-relative:text;v-text-anchor:top" coordsize="355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" path="m35051,l,,,13715r35051,l35051,xe" fillcolor="#302e2e" stroked="f">
                <v:path arrowok="t"/>
                <w10:wrap type="topAndBottom" anchorx="page"/>
              </v:shape>
            </w:pict>
          </mc:Fallback>
        </mc:AlternateConten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76"/>
        <w:rPr>
          <w:sz w:val="20"/>
        </w:rPr>
      </w:pPr>
      <w:r>
        <w:rPr>
          <w:noProof/>
          <w:sz w:val="20"/>
        </w:rPr>
        <mc:AlternateContent>
          <mc:Choice Requires="wpg">
            <w:drawing>
              <wp:anchor distT="0" distB="0" distL="0" distR="0" simplePos="0" relativeHeight="251668992" behindDoc="1" locked="0" layoutInCell="1" allowOverlap="1">
                <wp:simplePos x="0" y="0"/>
                <wp:positionH relativeFrom="page">
                  <wp:posOffset>1467866</wp:posOffset>
                </wp:positionH>
                <wp:positionV relativeFrom="paragraph">
                  <wp:posOffset>209537</wp:posOffset>
                </wp:positionV>
                <wp:extent cx="2809875" cy="1524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15240"/>
                          <a:chOff x="0" y="0"/>
                          <a:chExt cx="2809875" cy="15240"/>
                        </a:xfrm>
                      </wpg:grpSpPr>
                      <wps:wsp>
                        <wps:cNvPr id="106" name="Graphic 106"/>
                        <wps:cNvSpPr/>
                        <wps:spPr>
                          <a:xfrm>
                            <a:off x="0" y="12199"/>
                            <a:ext cx="421005" cy="1270"/>
                          </a:xfrm>
                          <a:custGeom>
                            <a:avLst/>
                            <a:gdLst/>
                            <a:ahLst/>
                            <a:cxnLst/>
                            <a:rect l="l" t="t" r="r" b="b"/>
                            <a:pathLst>
                              <a:path w="421005">
                                <a:moveTo>
                                  <a:pt x="0" y="0"/>
                                </a:moveTo>
                                <a:lnTo>
                                  <a:pt x="420624" y="0"/>
                                </a:lnTo>
                              </a:path>
                            </a:pathLst>
                          </a:custGeom>
                          <a:ln w="5691">
                            <a:solidFill>
                              <a:srgbClr val="000000"/>
                            </a:solidFill>
                            <a:prstDash val="solid"/>
                          </a:ln>
                        </wps:spPr>
                        <wps:bodyPr wrap="square" lIns="0" tIns="0" rIns="0" bIns="0" rtlCol="0">
                          <a:prstTxWarp prst="textNoShape">
                            <a:avLst/>
                          </a:prstTxWarp>
                          <a:noAutofit/>
                        </wps:bodyPr>
                      </wps:wsp>
                      <wps:wsp>
                        <wps:cNvPr id="107" name="Graphic 107"/>
                        <wps:cNvSpPr/>
                        <wps:spPr>
                          <a:xfrm>
                            <a:off x="419100" y="0"/>
                            <a:ext cx="2390775" cy="13970"/>
                          </a:xfrm>
                          <a:custGeom>
                            <a:avLst/>
                            <a:gdLst/>
                            <a:ahLst/>
                            <a:cxnLst/>
                            <a:rect l="l" t="t" r="r" b="b"/>
                            <a:pathLst>
                              <a:path w="2390775" h="13970">
                                <a:moveTo>
                                  <a:pt x="2390267" y="0"/>
                                </a:moveTo>
                                <a:lnTo>
                                  <a:pt x="0" y="0"/>
                                </a:lnTo>
                                <a:lnTo>
                                  <a:pt x="0" y="13716"/>
                                </a:lnTo>
                                <a:lnTo>
                                  <a:pt x="2390267" y="13716"/>
                                </a:lnTo>
                                <a:lnTo>
                                  <a:pt x="2390267" y="0"/>
                                </a:lnTo>
                                <a:close/>
                              </a:path>
                            </a:pathLst>
                          </a:custGeom>
                          <a:solidFill>
                            <a:srgbClr val="302E2E"/>
                          </a:solidFill>
                        </wps:spPr>
                        <wps:bodyPr wrap="square" lIns="0" tIns="0" rIns="0" bIns="0" rtlCol="0">
                          <a:prstTxWarp prst="textNoShape">
                            <a:avLst/>
                          </a:prstTxWarp>
                          <a:noAutofit/>
                        </wps:bodyPr>
                      </wps:wsp>
                    </wpg:wgp>
                  </a:graphicData>
                </a:graphic>
              </wp:anchor>
            </w:drawing>
          </mc:Choice>
          <mc:Fallback>
            <w:pict>
              <v:group w14:anchorId="3CA2D163" id="Group 105" o:spid="_x0000_s1026" style="position:absolute;margin-left:115.6pt;margin-top:16.5pt;width:221.25pt;height:1.2pt;z-index:-251647488;mso-wrap-distance-left:0;mso-wrap-distance-right:0;mso-position-horizontal-relative:page" coordsize="2809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">
                <v:shape id="Graphic 106" o:spid="_x0000_s1027" style="position:absolute;top:121;width:4210;height:13;visibility:visible;mso-wrap-style:square;v-text-anchor:top" coordsize="421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" path="m,l420624,e" filled="f" strokeweight=".15808mm">
                  <v:path arrowok="t"/>
                </v:shape>
                <v:shape id="Graphic 107" o:spid="_x0000_s1028" style="position:absolute;left:4191;width:23907;height:139;visibility:visible;mso-wrap-style:square;v-text-anchor:top" coordsize="23907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" path="m2390267,l,,,13716r2390267,l2390267,xe" fillcolor="#302e2e" stroked="f">
                  <v:path arrowok="t"/>
                </v:shape>
                <w10:wrap type="topAndBottom" anchorx="page"/>
              </v:group>
            </w:pict>
          </mc:Fallback>
        </mc:AlternateContent>
      </w:r>
    </w:p>
    <w:p w:rsidR="007F6DF9" w:rsidRDefault="007F6DF9">
      <w:pPr>
        <w:pStyle w:val="BodyText"/>
        <w:rPr>
          <w:sz w:val="20"/>
        </w:rPr>
        <w:sectPr w:rsidR="007F6DF9">
          <w:pgSz w:w="11920" w:h="16850"/>
          <w:pgMar w:top="360" w:right="0" w:bottom="480" w:left="0" w:header="0" w:footer="299" w:gutter="0"/>
          <w:pgNumType w:start="17"/>
          <w:cols w:space="720"/>
        </w:sectPr>
      </w:pPr>
    </w:p>
    <w:p w:rsidR="007F6DF9" w:rsidRDefault="007F6DF9">
      <w:pPr>
        <w:pStyle w:val="BodyText"/>
        <w:spacing w:before="32"/>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7F6DF9">
        <w:trPr>
          <w:trHeight w:val="457"/>
        </w:trPr>
        <w:tc>
          <w:tcPr>
            <w:tcW w:w="1524" w:type="dxa"/>
            <w:tcBorders>
              <w:bottom w:val="single" w:sz="12" w:space="0" w:color="000000"/>
            </w:tcBorders>
          </w:tcPr>
          <w:p w:rsidR="007F6DF9" w:rsidRDefault="00A43FBC">
            <w:pPr>
              <w:pStyle w:val="TableParagraph"/>
              <w:spacing w:line="228" w:lineRule="exact"/>
              <w:ind w:left="117" w:right="318"/>
              <w:rPr>
                <w:rFonts w:ascii="Times New Roman"/>
                <w:b/>
                <w:sz w:val="20"/>
              </w:rPr>
            </w:pPr>
            <w:r>
              <w:rPr>
                <w:rFonts w:ascii="Times New Roman"/>
                <w:b/>
                <w:sz w:val="20"/>
              </w:rPr>
              <w:t>Reference</w:t>
            </w:r>
            <w:r>
              <w:rPr>
                <w:rFonts w:ascii="Times New Roman"/>
                <w:b/>
                <w:spacing w:val="-13"/>
                <w:sz w:val="20"/>
              </w:rPr>
              <w:t xml:space="preserve"> </w:t>
            </w:r>
            <w:r>
              <w:rPr>
                <w:rFonts w:ascii="Times New Roman"/>
                <w:b/>
                <w:sz w:val="20"/>
              </w:rPr>
              <w:t>to ITC Clause</w:t>
            </w:r>
          </w:p>
        </w:tc>
        <w:tc>
          <w:tcPr>
            <w:tcW w:w="8898" w:type="dxa"/>
            <w:tcBorders>
              <w:bottom w:val="single" w:sz="12" w:space="0" w:color="000000"/>
            </w:tcBorders>
          </w:tcPr>
          <w:p w:rsidR="007F6DF9" w:rsidRDefault="00A43FBC">
            <w:pPr>
              <w:pStyle w:val="TableParagraph"/>
              <w:ind w:left="117"/>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r>
      <w:tr w:rsidR="007F6DF9">
        <w:trPr>
          <w:trHeight w:val="2783"/>
        </w:trPr>
        <w:tc>
          <w:tcPr>
            <w:tcW w:w="1524" w:type="dxa"/>
            <w:tcBorders>
              <w:top w:val="single" w:sz="12" w:space="0" w:color="000000"/>
              <w:left w:val="single" w:sz="12" w:space="0" w:color="000000"/>
              <w:bottom w:val="single" w:sz="12" w:space="0" w:color="000000"/>
              <w:right w:val="single" w:sz="12" w:space="0" w:color="000000"/>
            </w:tcBorders>
          </w:tcPr>
          <w:p w:rsidR="007F6DF9" w:rsidRDefault="007F6DF9">
            <w:pPr>
              <w:pStyle w:val="TableParagraph"/>
              <w:rPr>
                <w:rFonts w:ascii="Times New Roman"/>
              </w:rPr>
            </w:pP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numPr>
                <w:ilvl w:val="0"/>
                <w:numId w:val="190"/>
              </w:numPr>
              <w:tabs>
                <w:tab w:val="left" w:pos="1101"/>
              </w:tabs>
              <w:spacing w:before="253"/>
              <w:ind w:right="565" w:firstLine="0"/>
              <w:rPr>
                <w:rFonts w:ascii="Times New Roman"/>
                <w:b/>
              </w:rPr>
            </w:pPr>
            <w:r>
              <w:rPr>
                <w:rFonts w:ascii="Times New Roman"/>
              </w:rPr>
              <w:t xml:space="preserve">Name of Procuring Entity </w:t>
            </w:r>
            <w:r>
              <w:rPr>
                <w:rFonts w:ascii="Times New Roman"/>
                <w:b/>
                <w:color w:val="302E2E"/>
              </w:rPr>
              <w:t>JARAMOGI OGINGA ODINGA TEACHING &amp; REFERRAL HOSPITAL</w:t>
            </w:r>
          </w:p>
          <w:p w:rsidR="007F6DF9" w:rsidRPr="00B22BD9" w:rsidRDefault="00A43FBC">
            <w:pPr>
              <w:pStyle w:val="TableParagraph"/>
              <w:numPr>
                <w:ilvl w:val="0"/>
                <w:numId w:val="190"/>
              </w:numPr>
              <w:tabs>
                <w:tab w:val="left" w:pos="1101"/>
              </w:tabs>
              <w:ind w:right="785" w:firstLine="0"/>
              <w:rPr>
                <w:rFonts w:ascii="Times New Roman" w:hAnsi="Times New Roman"/>
                <w:b/>
              </w:rPr>
            </w:pPr>
            <w:r>
              <w:rPr>
                <w:rFonts w:ascii="Times New Roman" w:hAnsi="Times New Roman"/>
              </w:rPr>
              <w:t>Physical</w:t>
            </w:r>
            <w:r>
              <w:rPr>
                <w:rFonts w:ascii="Times New Roman" w:hAnsi="Times New Roman"/>
                <w:spacing w:val="-4"/>
              </w:rPr>
              <w:t xml:space="preserve"> </w:t>
            </w:r>
            <w:r>
              <w:rPr>
                <w:rFonts w:ascii="Times New Roman" w:hAnsi="Times New Roman"/>
              </w:rPr>
              <w:t>address</w:t>
            </w:r>
            <w:r>
              <w:rPr>
                <w:rFonts w:ascii="Times New Roman" w:hAnsi="Times New Roman"/>
                <w:spacing w:val="-4"/>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hand</w:t>
            </w:r>
            <w:r>
              <w:rPr>
                <w:rFonts w:ascii="Times New Roman" w:hAnsi="Times New Roman"/>
                <w:spacing w:val="-2"/>
              </w:rPr>
              <w:t xml:space="preserve"> </w:t>
            </w:r>
            <w:r>
              <w:rPr>
                <w:rFonts w:ascii="Times New Roman" w:hAnsi="Times New Roman"/>
              </w:rPr>
              <w:t>Courier</w:t>
            </w:r>
            <w:r>
              <w:rPr>
                <w:rFonts w:ascii="Times New Roman" w:hAnsi="Times New Roman"/>
                <w:spacing w:val="-1"/>
              </w:rPr>
              <w:t xml:space="preserve"> </w:t>
            </w:r>
            <w:r>
              <w:rPr>
                <w:rFonts w:ascii="Times New Roman" w:hAnsi="Times New Roman"/>
              </w:rPr>
              <w:t>Delivery</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an</w:t>
            </w:r>
            <w:r>
              <w:rPr>
                <w:rFonts w:ascii="Times New Roman" w:hAnsi="Times New Roman"/>
                <w:spacing w:val="-2"/>
              </w:rPr>
              <w:t xml:space="preserve"> </w:t>
            </w:r>
            <w:r>
              <w:rPr>
                <w:rFonts w:ascii="Times New Roman" w:hAnsi="Times New Roman"/>
              </w:rPr>
              <w:t>office</w:t>
            </w:r>
            <w:r>
              <w:rPr>
                <w:rFonts w:ascii="Times New Roman" w:hAnsi="Times New Roman"/>
                <w:spacing w:val="-4"/>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Tender</w:t>
            </w:r>
            <w:r>
              <w:rPr>
                <w:rFonts w:ascii="Times New Roman" w:hAnsi="Times New Roman"/>
                <w:spacing w:val="-1"/>
              </w:rPr>
              <w:t xml:space="preserve"> </w:t>
            </w:r>
            <w:r>
              <w:rPr>
                <w:rFonts w:ascii="Times New Roman" w:hAnsi="Times New Roman"/>
              </w:rPr>
              <w:t>Box</w:t>
            </w:r>
            <w:r>
              <w:rPr>
                <w:rFonts w:ascii="Times New Roman" w:hAnsi="Times New Roman"/>
                <w:spacing w:val="-5"/>
              </w:rPr>
              <w:t xml:space="preserve"> </w:t>
            </w:r>
            <w:r>
              <w:rPr>
                <w:rFonts w:ascii="Times New Roman" w:hAnsi="Times New Roman"/>
              </w:rPr>
              <w:t>(</w:t>
            </w:r>
            <w:r w:rsidR="00B22BD9" w:rsidRPr="00B22BD9">
              <w:rPr>
                <w:rFonts w:ascii="Times New Roman" w:hAnsi="Times New Roman"/>
                <w:b/>
              </w:rPr>
              <w:t>JOOTRH WAREHOUSE-HEAD OF SUPPLY CHAIN OFFICE)</w:t>
            </w:r>
          </w:p>
          <w:p w:rsidR="007F6DF9" w:rsidRPr="00B22BD9" w:rsidRDefault="00A43FBC">
            <w:pPr>
              <w:pStyle w:val="TableParagraph"/>
              <w:numPr>
                <w:ilvl w:val="0"/>
                <w:numId w:val="190"/>
              </w:numPr>
              <w:tabs>
                <w:tab w:val="left" w:pos="1101"/>
              </w:tabs>
              <w:spacing w:before="252"/>
              <w:ind w:left="1101"/>
              <w:rPr>
                <w:rFonts w:ascii="Times New Roman"/>
                <w:b/>
                <w:i/>
              </w:rPr>
            </w:pPr>
            <w:r w:rsidRPr="00B22BD9">
              <w:rPr>
                <w:rFonts w:ascii="Times New Roman"/>
                <w:b/>
              </w:rPr>
              <w:t>Postal</w:t>
            </w:r>
            <w:r w:rsidRPr="00B22BD9">
              <w:rPr>
                <w:rFonts w:ascii="Times New Roman"/>
                <w:b/>
                <w:spacing w:val="4"/>
              </w:rPr>
              <w:t xml:space="preserve"> </w:t>
            </w:r>
            <w:r w:rsidRPr="00B22BD9">
              <w:rPr>
                <w:rFonts w:ascii="Times New Roman"/>
                <w:b/>
              </w:rPr>
              <w:t>Address</w:t>
            </w:r>
            <w:r w:rsidRPr="00B22BD9">
              <w:rPr>
                <w:rFonts w:ascii="Times New Roman"/>
                <w:b/>
                <w:spacing w:val="5"/>
              </w:rPr>
              <w:t xml:space="preserve"> </w:t>
            </w:r>
            <w:r w:rsidRPr="00B22BD9">
              <w:rPr>
                <w:rFonts w:ascii="Times New Roman"/>
                <w:b/>
                <w:i/>
                <w:color w:val="302E2E"/>
              </w:rPr>
              <w:t>P.O</w:t>
            </w:r>
            <w:r w:rsidRPr="00B22BD9">
              <w:rPr>
                <w:rFonts w:ascii="Times New Roman"/>
                <w:b/>
                <w:i/>
                <w:color w:val="302E2E"/>
                <w:spacing w:val="6"/>
              </w:rPr>
              <w:t xml:space="preserve"> </w:t>
            </w:r>
            <w:r w:rsidRPr="00B22BD9">
              <w:rPr>
                <w:rFonts w:ascii="Times New Roman"/>
                <w:b/>
                <w:i/>
                <w:color w:val="302E2E"/>
              </w:rPr>
              <w:t>BOX</w:t>
            </w:r>
            <w:r w:rsidRPr="00B22BD9">
              <w:rPr>
                <w:rFonts w:ascii="Times New Roman"/>
                <w:b/>
                <w:i/>
                <w:color w:val="302E2E"/>
                <w:spacing w:val="38"/>
              </w:rPr>
              <w:t xml:space="preserve">  </w:t>
            </w:r>
            <w:r w:rsidRPr="00B22BD9">
              <w:rPr>
                <w:rFonts w:ascii="Times New Roman"/>
                <w:b/>
                <w:i/>
                <w:color w:val="221F1F"/>
              </w:rPr>
              <w:t>849-40100,</w:t>
            </w:r>
            <w:r w:rsidRPr="00B22BD9">
              <w:rPr>
                <w:rFonts w:ascii="Times New Roman"/>
                <w:b/>
                <w:i/>
                <w:color w:val="221F1F"/>
                <w:spacing w:val="4"/>
              </w:rPr>
              <w:t xml:space="preserve"> </w:t>
            </w:r>
            <w:r w:rsidRPr="00B22BD9">
              <w:rPr>
                <w:rFonts w:ascii="Times New Roman"/>
                <w:b/>
                <w:i/>
                <w:color w:val="221F1F"/>
                <w:spacing w:val="-2"/>
              </w:rPr>
              <w:t>KISUMU</w:t>
            </w:r>
          </w:p>
          <w:p w:rsidR="007F6DF9" w:rsidRDefault="007F6DF9">
            <w:pPr>
              <w:pStyle w:val="TableParagraph"/>
              <w:spacing w:before="1"/>
              <w:rPr>
                <w:rFonts w:ascii="Times New Roman"/>
              </w:rPr>
            </w:pPr>
          </w:p>
          <w:p w:rsidR="007F6DF9" w:rsidRDefault="00A43FBC">
            <w:pPr>
              <w:pStyle w:val="TableParagraph"/>
              <w:numPr>
                <w:ilvl w:val="0"/>
                <w:numId w:val="190"/>
              </w:numPr>
              <w:tabs>
                <w:tab w:val="left" w:pos="1101"/>
              </w:tabs>
              <w:ind w:left="1101"/>
              <w:rPr>
                <w:rFonts w:ascii="Times New Roman"/>
              </w:rPr>
            </w:pPr>
            <w:r>
              <w:rPr>
                <w:rFonts w:ascii="Times New Roman"/>
                <w:noProof/>
              </w:rPr>
              <mc:AlternateContent>
                <mc:Choice Requires="wpg">
                  <w:drawing>
                    <wp:anchor distT="0" distB="0" distL="0" distR="0" simplePos="0" relativeHeight="251644416" behindDoc="1" locked="0" layoutInCell="1" allowOverlap="1">
                      <wp:simplePos x="0" y="0"/>
                      <wp:positionH relativeFrom="column">
                        <wp:posOffset>68580</wp:posOffset>
                      </wp:positionH>
                      <wp:positionV relativeFrom="paragraph">
                        <wp:posOffset>255372</wp:posOffset>
                      </wp:positionV>
                      <wp:extent cx="408305" cy="1079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 cy="10795"/>
                                <a:chOff x="0" y="0"/>
                                <a:chExt cx="408305" cy="10795"/>
                              </a:xfrm>
                            </wpg:grpSpPr>
                            <wps:wsp>
                              <wps:cNvPr id="113" name="Graphic 109"/>
                              <wps:cNvSpPr/>
                              <wps:spPr>
                                <a:xfrm>
                                  <a:off x="0" y="5173"/>
                                  <a:ext cx="408305" cy="1270"/>
                                </a:xfrm>
                                <a:custGeom>
                                  <a:avLst/>
                                  <a:gdLst/>
                                  <a:ahLst/>
                                  <a:cxnLst/>
                                  <a:rect l="l" t="t" r="r" b="b"/>
                                  <a:pathLst>
                                    <a:path w="408305">
                                      <a:moveTo>
                                        <a:pt x="0" y="0"/>
                                      </a:moveTo>
                                      <a:lnTo>
                                        <a:pt x="407734" y="0"/>
                                      </a:lnTo>
                                    </a:path>
                                  </a:pathLst>
                                </a:custGeom>
                                <a:ln w="1034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09218E25" id="Group 108" o:spid="_x0000_s1026" style="position:absolute;margin-left:5.4pt;margin-top:20.1pt;width:32.15pt;height:.85pt;z-index:-251672064;mso-wrap-distance-left:0;mso-wrap-distance-right:0" coordsize="4083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">
                      <v:shape id="Graphic 109" o:spid="_x0000_s1027" style="position:absolute;top:5173;width:408305;height:1270;visibility:visible;mso-wrap-style:square;v-text-anchor:top" coordsize="40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" path="m,l407734,e" filled="f" strokeweight=".28739mm">
                        <v:stroke dashstyle="3 1"/>
                        <v:path arrowok="t"/>
                      </v:shape>
                    </v:group>
                  </w:pict>
                </mc:Fallback>
              </mc:AlternateContent>
            </w:r>
            <w:r>
              <w:rPr>
                <w:rFonts w:ascii="Times New Roman"/>
                <w:spacing w:val="-2"/>
              </w:rPr>
              <w:t>Insert</w:t>
            </w:r>
            <w:r>
              <w:rPr>
                <w:rFonts w:ascii="Times New Roman"/>
                <w:spacing w:val="-6"/>
              </w:rPr>
              <w:t xml:space="preserve"> </w:t>
            </w:r>
            <w:r>
              <w:rPr>
                <w:rFonts w:ascii="Times New Roman"/>
                <w:spacing w:val="-2"/>
              </w:rPr>
              <w:t>name,</w:t>
            </w:r>
            <w:r>
              <w:rPr>
                <w:rFonts w:ascii="Times New Roman"/>
                <w:spacing w:val="-6"/>
              </w:rPr>
              <w:t xml:space="preserve"> </w:t>
            </w:r>
            <w:r>
              <w:rPr>
                <w:rFonts w:ascii="Times New Roman"/>
                <w:spacing w:val="-2"/>
              </w:rPr>
              <w:t>telephone</w:t>
            </w:r>
            <w:r>
              <w:rPr>
                <w:rFonts w:ascii="Times New Roman"/>
                <w:spacing w:val="-7"/>
              </w:rPr>
              <w:t xml:space="preserve"> </w:t>
            </w:r>
            <w:r>
              <w:rPr>
                <w:rFonts w:ascii="Times New Roman"/>
                <w:spacing w:val="-2"/>
              </w:rPr>
              <w:t>number</w:t>
            </w:r>
            <w:r>
              <w:rPr>
                <w:rFonts w:ascii="Times New Roman"/>
                <w:spacing w:val="-5"/>
              </w:rPr>
              <w:t xml:space="preserve"> </w:t>
            </w:r>
            <w:r>
              <w:rPr>
                <w:rFonts w:ascii="Times New Roman"/>
                <w:spacing w:val="-2"/>
              </w:rPr>
              <w:t>and</w:t>
            </w:r>
            <w:r>
              <w:rPr>
                <w:rFonts w:ascii="Times New Roman"/>
                <w:spacing w:val="-6"/>
              </w:rPr>
              <w:t xml:space="preserve"> </w:t>
            </w:r>
            <w:r>
              <w:rPr>
                <w:rFonts w:ascii="Times New Roman"/>
                <w:spacing w:val="-2"/>
              </w:rPr>
              <w:t>e-mail</w:t>
            </w:r>
            <w:r>
              <w:rPr>
                <w:rFonts w:ascii="Times New Roman"/>
                <w:spacing w:val="-6"/>
              </w:rPr>
              <w:t xml:space="preserve"> </w:t>
            </w:r>
            <w:r>
              <w:rPr>
                <w:rFonts w:ascii="Times New Roman"/>
                <w:spacing w:val="-2"/>
              </w:rPr>
              <w:t>address</w:t>
            </w:r>
            <w:r>
              <w:rPr>
                <w:rFonts w:ascii="Times New Roman"/>
                <w:spacing w:val="-6"/>
              </w:rPr>
              <w:t xml:space="preserve"> </w:t>
            </w:r>
            <w:r>
              <w:rPr>
                <w:rFonts w:ascii="Times New Roman"/>
                <w:spacing w:val="-2"/>
              </w:rPr>
              <w:t>of</w:t>
            </w:r>
            <w:r>
              <w:rPr>
                <w:rFonts w:ascii="Times New Roman"/>
                <w:spacing w:val="-9"/>
              </w:rPr>
              <w:t xml:space="preserve"> </w:t>
            </w:r>
            <w:r>
              <w:rPr>
                <w:rFonts w:ascii="Times New Roman"/>
                <w:spacing w:val="-2"/>
              </w:rPr>
              <w:t>the</w:t>
            </w:r>
            <w:r>
              <w:rPr>
                <w:rFonts w:ascii="Times New Roman"/>
                <w:spacing w:val="-6"/>
              </w:rPr>
              <w:t xml:space="preserve"> </w:t>
            </w:r>
            <w:r>
              <w:rPr>
                <w:rFonts w:ascii="Times New Roman"/>
                <w:spacing w:val="-2"/>
              </w:rPr>
              <w:t>officer</w:t>
            </w:r>
            <w:r>
              <w:rPr>
                <w:rFonts w:ascii="Times New Roman"/>
                <w:spacing w:val="-5"/>
              </w:rPr>
              <w:t xml:space="preserve"> </w:t>
            </w:r>
            <w:r>
              <w:rPr>
                <w:rFonts w:ascii="Times New Roman"/>
                <w:spacing w:val="-2"/>
              </w:rPr>
              <w:t>to</w:t>
            </w:r>
            <w:r>
              <w:rPr>
                <w:rFonts w:ascii="Times New Roman"/>
                <w:spacing w:val="-7"/>
              </w:rPr>
              <w:t xml:space="preserve"> </w:t>
            </w:r>
            <w:r>
              <w:rPr>
                <w:rFonts w:ascii="Times New Roman"/>
                <w:spacing w:val="-2"/>
              </w:rPr>
              <w:t>be</w:t>
            </w:r>
            <w:r>
              <w:rPr>
                <w:rFonts w:ascii="Times New Roman"/>
                <w:spacing w:val="-6"/>
              </w:rPr>
              <w:t xml:space="preserve"> </w:t>
            </w:r>
            <w:r>
              <w:rPr>
                <w:rFonts w:ascii="Times New Roman"/>
                <w:spacing w:val="-2"/>
              </w:rPr>
              <w:t>contacted.</w:t>
            </w:r>
            <w:r>
              <w:rPr>
                <w:rFonts w:ascii="Times New Roman"/>
                <w:spacing w:val="-5"/>
              </w:rPr>
              <w:t xml:space="preserve"> </w:t>
            </w:r>
            <w:r w:rsidR="00B22BD9">
              <w:rPr>
                <w:rFonts w:ascii="Times New Roman"/>
                <w:spacing w:val="-2"/>
              </w:rPr>
              <w:t>–</w:t>
            </w:r>
            <w:r w:rsidR="00B22BD9" w:rsidRPr="00B22BD9">
              <w:rPr>
                <w:rFonts w:ascii="Times New Roman"/>
                <w:b/>
                <w:spacing w:val="-2"/>
              </w:rPr>
              <w:t>MR.STEPHEN GEORGE ONDUU-TEL NO.0741403113,EMAIL- stephenonduu@jootrh.go.ke</w:t>
            </w:r>
            <w:r>
              <w:rPr>
                <w:rFonts w:ascii="Times New Roman"/>
                <w:spacing w:val="-2"/>
              </w:rPr>
              <w:t>-------</w:t>
            </w:r>
            <w:r>
              <w:rPr>
                <w:rFonts w:ascii="Times New Roman"/>
                <w:spacing w:val="-10"/>
              </w:rPr>
              <w:t>-</w:t>
            </w:r>
          </w:p>
        </w:tc>
      </w:tr>
      <w:tr w:rsidR="007F6DF9">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rPr>
            </w:pPr>
            <w:r>
              <w:rPr>
                <w:rFonts w:ascii="Times New Roman"/>
                <w:b/>
              </w:rPr>
              <w:t>C.</w:t>
            </w:r>
            <w:r>
              <w:rPr>
                <w:rFonts w:ascii="Times New Roman"/>
                <w:b/>
                <w:spacing w:val="52"/>
              </w:rPr>
              <w:t xml:space="preserve"> </w:t>
            </w:r>
            <w:r>
              <w:rPr>
                <w:rFonts w:ascii="Times New Roman"/>
                <w:b/>
              </w:rPr>
              <w:t>Preparation</w:t>
            </w:r>
            <w:r>
              <w:rPr>
                <w:rFonts w:ascii="Times New Roman"/>
                <w:b/>
                <w:spacing w:val="-4"/>
              </w:rPr>
              <w:t xml:space="preserve"> </w:t>
            </w:r>
            <w:r>
              <w:rPr>
                <w:rFonts w:ascii="Times New Roman"/>
                <w:b/>
              </w:rPr>
              <w:t>of</w:t>
            </w:r>
            <w:r>
              <w:rPr>
                <w:rFonts w:ascii="Times New Roman"/>
                <w:b/>
                <w:spacing w:val="-1"/>
              </w:rPr>
              <w:t xml:space="preserve"> </w:t>
            </w:r>
            <w:r>
              <w:rPr>
                <w:rFonts w:ascii="Times New Roman"/>
                <w:b/>
                <w:spacing w:val="-2"/>
              </w:rPr>
              <w:t>Tenders</w:t>
            </w:r>
          </w:p>
        </w:tc>
      </w:tr>
      <w:tr w:rsidR="007F6DF9">
        <w:trPr>
          <w:trHeight w:val="50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rPr>
            </w:pPr>
            <w:r>
              <w:rPr>
                <w:rFonts w:ascii="Times New Roman"/>
              </w:rPr>
              <w:t>ITT</w:t>
            </w:r>
            <w:r>
              <w:rPr>
                <w:rFonts w:ascii="Times New Roman"/>
                <w:spacing w:val="-4"/>
              </w:rPr>
              <w:t xml:space="preserve"> </w:t>
            </w:r>
            <w:r>
              <w:rPr>
                <w:rFonts w:ascii="Times New Roman"/>
              </w:rPr>
              <w:t>11.1</w:t>
            </w:r>
            <w:r>
              <w:rPr>
                <w:rFonts w:ascii="Times New Roman"/>
                <w:spacing w:val="-1"/>
              </w:rPr>
              <w:t xml:space="preserve"> </w:t>
            </w:r>
            <w:r>
              <w:rPr>
                <w:rFonts w:ascii="Times New Roman"/>
                <w:spacing w:val="-5"/>
              </w:rPr>
              <w:t>(h)</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i/>
              </w:rPr>
            </w:pPr>
            <w:r>
              <w:rPr>
                <w:rFonts w:ascii="Times New Roman"/>
              </w:rPr>
              <w:t>The</w:t>
            </w:r>
            <w:r>
              <w:rPr>
                <w:rFonts w:ascii="Times New Roman"/>
                <w:spacing w:val="-4"/>
              </w:rPr>
              <w:t xml:space="preserve"> </w:t>
            </w:r>
            <w:r>
              <w:rPr>
                <w:rFonts w:ascii="Times New Roman"/>
              </w:rPr>
              <w:t>Tenderer</w:t>
            </w:r>
            <w:r>
              <w:rPr>
                <w:rFonts w:ascii="Times New Roman"/>
                <w:spacing w:val="-3"/>
              </w:rPr>
              <w:t xml:space="preserve"> </w:t>
            </w:r>
            <w:r>
              <w:rPr>
                <w:rFonts w:ascii="Times New Roman"/>
              </w:rPr>
              <w:t>shall</w:t>
            </w:r>
            <w:r>
              <w:rPr>
                <w:rFonts w:ascii="Times New Roman"/>
                <w:spacing w:val="-2"/>
              </w:rPr>
              <w:t xml:space="preserve"> </w:t>
            </w:r>
            <w:r>
              <w:rPr>
                <w:rFonts w:ascii="Times New Roman"/>
              </w:rPr>
              <w:t>submit</w:t>
            </w:r>
            <w:r>
              <w:rPr>
                <w:rFonts w:ascii="Times New Roman"/>
                <w:spacing w:val="-5"/>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3"/>
              </w:rPr>
              <w:t xml:space="preserve"> </w:t>
            </w:r>
            <w:r>
              <w:rPr>
                <w:rFonts w:ascii="Times New Roman"/>
              </w:rPr>
              <w:t>additional</w:t>
            </w:r>
            <w:r>
              <w:rPr>
                <w:rFonts w:ascii="Times New Roman"/>
                <w:spacing w:val="-2"/>
              </w:rPr>
              <w:t xml:space="preserve"> </w:t>
            </w:r>
            <w:r>
              <w:rPr>
                <w:rFonts w:ascii="Times New Roman"/>
              </w:rPr>
              <w:t>documents</w:t>
            </w:r>
            <w:r>
              <w:rPr>
                <w:rFonts w:ascii="Times New Roman"/>
                <w:spacing w:val="-5"/>
              </w:rPr>
              <w:t xml:space="preserve"> </w:t>
            </w:r>
            <w:r>
              <w:rPr>
                <w:rFonts w:ascii="Times New Roman"/>
              </w:rPr>
              <w:t>in</w:t>
            </w:r>
            <w:r>
              <w:rPr>
                <w:rFonts w:ascii="Times New Roman"/>
                <w:spacing w:val="-6"/>
              </w:rPr>
              <w:t xml:space="preserve"> </w:t>
            </w:r>
            <w:r>
              <w:rPr>
                <w:rFonts w:ascii="Times New Roman"/>
              </w:rPr>
              <w:t>its</w:t>
            </w:r>
            <w:r>
              <w:rPr>
                <w:rFonts w:ascii="Times New Roman"/>
                <w:spacing w:val="-5"/>
              </w:rPr>
              <w:t xml:space="preserve"> </w:t>
            </w:r>
            <w:r>
              <w:rPr>
                <w:rFonts w:ascii="Times New Roman"/>
              </w:rPr>
              <w:t xml:space="preserve">Tender: </w:t>
            </w:r>
            <w:r>
              <w:rPr>
                <w:rFonts w:ascii="Times New Roman"/>
                <w:i/>
              </w:rPr>
              <w:t>Program</w:t>
            </w:r>
            <w:r>
              <w:rPr>
                <w:rFonts w:ascii="Times New Roman"/>
                <w:i/>
                <w:spacing w:val="-4"/>
              </w:rPr>
              <w:t xml:space="preserve"> </w:t>
            </w:r>
            <w:r>
              <w:rPr>
                <w:rFonts w:ascii="Times New Roman"/>
                <w:i/>
              </w:rPr>
              <w:t>of</w:t>
            </w:r>
            <w:r>
              <w:rPr>
                <w:rFonts w:ascii="Times New Roman"/>
                <w:i/>
                <w:spacing w:val="-2"/>
              </w:rPr>
              <w:t xml:space="preserve"> works</w:t>
            </w:r>
          </w:p>
        </w:tc>
      </w:tr>
      <w:tr w:rsidR="007F6DF9">
        <w:trPr>
          <w:trHeight w:val="50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2"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13.1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4456"/>
              </w:tabs>
              <w:spacing w:line="252" w:lineRule="exact"/>
              <w:ind w:left="107"/>
              <w:rPr>
                <w:rFonts w:ascii="Times New Roman" w:hAnsi="Times New Roman"/>
              </w:rPr>
            </w:pPr>
            <w:r>
              <w:rPr>
                <w:rFonts w:ascii="Times New Roman" w:hAnsi="Times New Roman"/>
              </w:rPr>
              <w:t>Alternative</w:t>
            </w:r>
            <w:r>
              <w:rPr>
                <w:rFonts w:ascii="Times New Roman" w:hAnsi="Times New Roman"/>
                <w:spacing w:val="-1"/>
              </w:rPr>
              <w:t xml:space="preserve"> </w:t>
            </w:r>
            <w:r>
              <w:rPr>
                <w:rFonts w:ascii="Times New Roman" w:hAnsi="Times New Roman"/>
              </w:rPr>
              <w:t>Tenders</w:t>
            </w:r>
            <w:r>
              <w:rPr>
                <w:rFonts w:ascii="Times New Roman" w:hAnsi="Times New Roman"/>
                <w:spacing w:val="-1"/>
              </w:rPr>
              <w:t xml:space="preserve"> </w:t>
            </w:r>
            <w:r>
              <w:rPr>
                <w:rFonts w:ascii="Times New Roman" w:hAnsi="Times New Roman"/>
                <w:i/>
              </w:rPr>
              <w:t>[“</w:t>
            </w:r>
            <w:r w:rsidRPr="00B22BD9">
              <w:rPr>
                <w:rFonts w:ascii="Times New Roman" w:hAnsi="Times New Roman"/>
                <w:b/>
                <w:i/>
              </w:rPr>
              <w:t>shall</w:t>
            </w:r>
            <w:r w:rsidRPr="00B22BD9">
              <w:rPr>
                <w:rFonts w:ascii="Times New Roman" w:hAnsi="Times New Roman"/>
                <w:b/>
                <w:i/>
                <w:spacing w:val="-3"/>
              </w:rPr>
              <w:t xml:space="preserve"> </w:t>
            </w:r>
            <w:r w:rsidRPr="00B22BD9">
              <w:rPr>
                <w:rFonts w:ascii="Times New Roman" w:hAnsi="Times New Roman"/>
                <w:b/>
                <w:i/>
              </w:rPr>
              <w:t>not be</w:t>
            </w:r>
            <w:r>
              <w:rPr>
                <w:rFonts w:ascii="Times New Roman" w:hAnsi="Times New Roman"/>
                <w:i/>
              </w:rPr>
              <w:t>”]</w:t>
            </w:r>
            <w:r>
              <w:rPr>
                <w:rFonts w:ascii="Times New Roman" w:hAnsi="Times New Roman"/>
                <w:i/>
                <w:spacing w:val="-1"/>
              </w:rPr>
              <w:t xml:space="preserve"> </w:t>
            </w:r>
            <w:r>
              <w:rPr>
                <w:rFonts w:ascii="Times New Roman" w:hAnsi="Times New Roman"/>
                <w:u w:val="single"/>
              </w:rPr>
              <w:tab/>
            </w:r>
            <w:r>
              <w:rPr>
                <w:rFonts w:ascii="Times New Roman" w:hAnsi="Times New Roman"/>
                <w:spacing w:val="-2"/>
              </w:rPr>
              <w:t>considered.</w:t>
            </w:r>
          </w:p>
        </w:tc>
      </w:tr>
      <w:tr w:rsidR="007F6DF9">
        <w:trPr>
          <w:trHeight w:val="50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rPr>
            </w:pPr>
            <w:r>
              <w:rPr>
                <w:rFonts w:ascii="Times New Roman"/>
              </w:rPr>
              <w:t>ITT</w:t>
            </w:r>
            <w:r>
              <w:rPr>
                <w:rFonts w:ascii="Times New Roman"/>
                <w:spacing w:val="-3"/>
              </w:rPr>
              <w:t xml:space="preserve"> </w:t>
            </w:r>
            <w:r>
              <w:rPr>
                <w:rFonts w:ascii="Times New Roman"/>
                <w:spacing w:val="-4"/>
              </w:rPr>
              <w:t>13.2</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5201"/>
              </w:tabs>
              <w:ind w:left="107"/>
              <w:rPr>
                <w:rFonts w:ascii="Times New Roman" w:hAnsi="Times New Roman"/>
              </w:rPr>
            </w:pPr>
            <w:r>
              <w:rPr>
                <w:rFonts w:ascii="Times New Roman" w:hAnsi="Times New Roman"/>
              </w:rPr>
              <w:t>Alternative</w:t>
            </w:r>
            <w:r>
              <w:rPr>
                <w:rFonts w:ascii="Times New Roman" w:hAnsi="Times New Roman"/>
                <w:spacing w:val="-2"/>
              </w:rPr>
              <w:t xml:space="preserve"> </w:t>
            </w:r>
            <w:r>
              <w:rPr>
                <w:rFonts w:ascii="Times New Roman" w:hAnsi="Times New Roman"/>
              </w:rPr>
              <w:t>times</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 xml:space="preserve">completion </w:t>
            </w:r>
            <w:r w:rsidRPr="00B22BD9">
              <w:rPr>
                <w:rFonts w:ascii="Times New Roman" w:hAnsi="Times New Roman"/>
                <w:b/>
                <w:i/>
              </w:rPr>
              <w:t>[“shall</w:t>
            </w:r>
            <w:r w:rsidRPr="00B22BD9">
              <w:rPr>
                <w:rFonts w:ascii="Times New Roman" w:hAnsi="Times New Roman"/>
                <w:b/>
                <w:i/>
                <w:spacing w:val="-1"/>
              </w:rPr>
              <w:t xml:space="preserve"> </w:t>
            </w:r>
            <w:r w:rsidRPr="00B22BD9">
              <w:rPr>
                <w:rFonts w:ascii="Times New Roman" w:hAnsi="Times New Roman"/>
                <w:b/>
                <w:i/>
              </w:rPr>
              <w:t>not</w:t>
            </w:r>
            <w:r w:rsidRPr="00B22BD9">
              <w:rPr>
                <w:rFonts w:ascii="Times New Roman" w:hAnsi="Times New Roman"/>
                <w:b/>
                <w:i/>
                <w:spacing w:val="-1"/>
              </w:rPr>
              <w:t xml:space="preserve"> </w:t>
            </w:r>
            <w:r w:rsidRPr="00B22BD9">
              <w:rPr>
                <w:rFonts w:ascii="Times New Roman" w:hAnsi="Times New Roman"/>
                <w:b/>
                <w:i/>
              </w:rPr>
              <w:t>be</w:t>
            </w:r>
            <w:r>
              <w:rPr>
                <w:rFonts w:ascii="Times New Roman" w:hAnsi="Times New Roman"/>
                <w:i/>
              </w:rPr>
              <w:t>”]</w:t>
            </w:r>
            <w:r>
              <w:rPr>
                <w:rFonts w:ascii="Times New Roman" w:hAnsi="Times New Roman"/>
                <w:i/>
                <w:spacing w:val="-1"/>
              </w:rPr>
              <w:t xml:space="preserve"> </w:t>
            </w:r>
            <w:r>
              <w:rPr>
                <w:rFonts w:ascii="Times New Roman" w:hAnsi="Times New Roman"/>
                <w:u w:val="single"/>
              </w:rPr>
              <w:tab/>
            </w:r>
            <w:r>
              <w:rPr>
                <w:rFonts w:ascii="Times New Roman" w:hAnsi="Times New Roman"/>
                <w:spacing w:val="-2"/>
              </w:rPr>
              <w:t>permitted.</w:t>
            </w:r>
          </w:p>
        </w:tc>
      </w:tr>
      <w:tr w:rsidR="007F6DF9">
        <w:trPr>
          <w:trHeight w:val="50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rPr>
            </w:pPr>
            <w:r>
              <w:rPr>
                <w:rFonts w:ascii="Times New Roman"/>
              </w:rPr>
              <w:t>ITT</w:t>
            </w:r>
            <w:r>
              <w:rPr>
                <w:rFonts w:ascii="Times New Roman"/>
                <w:spacing w:val="-3"/>
              </w:rPr>
              <w:t xml:space="preserve"> </w:t>
            </w:r>
            <w:r>
              <w:rPr>
                <w:rFonts w:ascii="Times New Roman"/>
                <w:spacing w:val="-4"/>
              </w:rPr>
              <w:t>13.4</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2" w:lineRule="exact"/>
              <w:ind w:left="107"/>
              <w:rPr>
                <w:rFonts w:ascii="Times New Roman"/>
                <w:b/>
                <w:i/>
              </w:rPr>
            </w:pPr>
            <w:r>
              <w:rPr>
                <w:rFonts w:ascii="Times New Roman"/>
              </w:rPr>
              <w:t>Alternative</w:t>
            </w:r>
            <w:r>
              <w:rPr>
                <w:rFonts w:ascii="Times New Roman"/>
                <w:spacing w:val="-3"/>
              </w:rPr>
              <w:t xml:space="preserve"> </w:t>
            </w:r>
            <w:r>
              <w:rPr>
                <w:rFonts w:ascii="Times New Roman"/>
              </w:rPr>
              <w:t>technical</w:t>
            </w:r>
            <w:r>
              <w:rPr>
                <w:rFonts w:ascii="Times New Roman"/>
                <w:spacing w:val="-2"/>
              </w:rPr>
              <w:t xml:space="preserve"> </w:t>
            </w:r>
            <w:r>
              <w:rPr>
                <w:rFonts w:ascii="Times New Roman"/>
              </w:rPr>
              <w:t>solutions</w:t>
            </w:r>
            <w:r>
              <w:rPr>
                <w:rFonts w:ascii="Times New Roman"/>
                <w:spacing w:val="-3"/>
              </w:rPr>
              <w:t xml:space="preserve"> </w:t>
            </w:r>
            <w:r>
              <w:rPr>
                <w:rFonts w:ascii="Times New Roman"/>
              </w:rPr>
              <w:t>shall</w:t>
            </w:r>
            <w:r>
              <w:rPr>
                <w:rFonts w:ascii="Times New Roman"/>
                <w:spacing w:val="-2"/>
              </w:rPr>
              <w:t xml:space="preserve"> </w:t>
            </w:r>
            <w:r>
              <w:rPr>
                <w:rFonts w:ascii="Times New Roman"/>
              </w:rPr>
              <w:t>be</w:t>
            </w:r>
            <w:r>
              <w:rPr>
                <w:rFonts w:ascii="Times New Roman"/>
                <w:spacing w:val="-3"/>
              </w:rPr>
              <w:t xml:space="preserve"> </w:t>
            </w:r>
            <w:r>
              <w:rPr>
                <w:rFonts w:ascii="Times New Roman"/>
              </w:rPr>
              <w:t>permitted</w:t>
            </w:r>
            <w:r>
              <w:rPr>
                <w:rFonts w:ascii="Times New Roman"/>
                <w:spacing w:val="-3"/>
              </w:rPr>
              <w:t xml:space="preserve"> </w:t>
            </w:r>
            <w:r>
              <w:rPr>
                <w:rFonts w:ascii="Times New Roman"/>
              </w:rPr>
              <w:t>for</w:t>
            </w:r>
            <w:r>
              <w:rPr>
                <w:rFonts w:ascii="Times New Roman"/>
                <w:spacing w:val="-5"/>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3"/>
              </w:rPr>
              <w:t xml:space="preserve"> </w:t>
            </w:r>
            <w:r>
              <w:rPr>
                <w:rFonts w:ascii="Times New Roman"/>
              </w:rPr>
              <w:t>parts</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 xml:space="preserve">Works: </w:t>
            </w:r>
            <w:r>
              <w:rPr>
                <w:rFonts w:ascii="Times New Roman"/>
                <w:b/>
                <w:i/>
                <w:color w:val="504D4F"/>
              </w:rPr>
              <w:t xml:space="preserve">Not </w:t>
            </w:r>
            <w:r>
              <w:rPr>
                <w:rFonts w:ascii="Times New Roman"/>
                <w:b/>
                <w:i/>
                <w:color w:val="504D4F"/>
                <w:spacing w:val="-2"/>
              </w:rPr>
              <w:t>applicable</w:t>
            </w:r>
          </w:p>
        </w:tc>
      </w:tr>
      <w:tr w:rsidR="007F6DF9">
        <w:trPr>
          <w:trHeight w:val="253"/>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14.5</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i/>
              </w:rPr>
            </w:pPr>
            <w:r>
              <w:rPr>
                <w:rFonts w:ascii="Times New Roman"/>
              </w:rPr>
              <w:t>The</w:t>
            </w:r>
            <w:r>
              <w:rPr>
                <w:rFonts w:ascii="Times New Roman"/>
                <w:spacing w:val="-3"/>
              </w:rPr>
              <w:t xml:space="preserve"> </w:t>
            </w:r>
            <w:r>
              <w:rPr>
                <w:rFonts w:ascii="Times New Roman"/>
              </w:rPr>
              <w:t>prices</w:t>
            </w:r>
            <w:r>
              <w:rPr>
                <w:rFonts w:ascii="Times New Roman"/>
                <w:spacing w:val="-3"/>
              </w:rPr>
              <w:t xml:space="preserve"> </w:t>
            </w:r>
            <w:r>
              <w:rPr>
                <w:rFonts w:ascii="Times New Roman"/>
              </w:rPr>
              <w:t>quoted</w:t>
            </w:r>
            <w:r>
              <w:rPr>
                <w:rFonts w:ascii="Times New Roman"/>
                <w:spacing w:val="-2"/>
              </w:rPr>
              <w:t xml:space="preserve"> </w:t>
            </w:r>
            <w:r>
              <w:rPr>
                <w:rFonts w:ascii="Times New Roman"/>
              </w:rPr>
              <w:t>by</w:t>
            </w:r>
            <w:r>
              <w:rPr>
                <w:rFonts w:ascii="Times New Roman"/>
                <w:spacing w:val="-3"/>
              </w:rPr>
              <w:t xml:space="preserve"> </w:t>
            </w:r>
            <w:r>
              <w:rPr>
                <w:rFonts w:ascii="Times New Roman"/>
              </w:rPr>
              <w:t>the</w:t>
            </w:r>
            <w:r>
              <w:rPr>
                <w:rFonts w:ascii="Times New Roman"/>
                <w:spacing w:val="-3"/>
              </w:rPr>
              <w:t xml:space="preserve"> </w:t>
            </w:r>
            <w:r>
              <w:rPr>
                <w:rFonts w:ascii="Times New Roman"/>
              </w:rPr>
              <w:t>Tenderer</w:t>
            </w:r>
            <w:r>
              <w:rPr>
                <w:rFonts w:ascii="Times New Roman"/>
                <w:spacing w:val="-4"/>
              </w:rPr>
              <w:t xml:space="preserve"> </w:t>
            </w:r>
            <w:r>
              <w:rPr>
                <w:rFonts w:ascii="Times New Roman"/>
              </w:rPr>
              <w:t>shall</w:t>
            </w:r>
            <w:r>
              <w:rPr>
                <w:rFonts w:ascii="Times New Roman"/>
                <w:spacing w:val="-2"/>
              </w:rPr>
              <w:t xml:space="preserve"> </w:t>
            </w:r>
            <w:r>
              <w:rPr>
                <w:rFonts w:ascii="Times New Roman"/>
              </w:rPr>
              <w:t>be:</w:t>
            </w:r>
            <w:r>
              <w:rPr>
                <w:rFonts w:ascii="Times New Roman"/>
                <w:spacing w:val="2"/>
              </w:rPr>
              <w:t xml:space="preserve"> </w:t>
            </w:r>
            <w:r>
              <w:rPr>
                <w:rFonts w:ascii="Times New Roman"/>
                <w:b/>
                <w:i/>
                <w:color w:val="302E2E"/>
                <w:spacing w:val="-4"/>
              </w:rPr>
              <w:t>Fixed</w:t>
            </w:r>
          </w:p>
        </w:tc>
      </w:tr>
      <w:tr w:rsidR="007F6DF9">
        <w:trPr>
          <w:trHeight w:val="250"/>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1" w:lineRule="exact"/>
              <w:ind w:left="107"/>
              <w:rPr>
                <w:rFonts w:ascii="Times New Roman"/>
                <w:b/>
              </w:rPr>
            </w:pPr>
            <w:r>
              <w:rPr>
                <w:rFonts w:ascii="Times New Roman"/>
                <w:b/>
              </w:rPr>
              <w:t>ITT</w:t>
            </w:r>
            <w:r>
              <w:rPr>
                <w:rFonts w:ascii="Times New Roman"/>
                <w:b/>
                <w:spacing w:val="-2"/>
              </w:rPr>
              <w:t xml:space="preserve"> </w:t>
            </w:r>
            <w:r>
              <w:rPr>
                <w:rFonts w:ascii="Times New Roman"/>
                <w:b/>
              </w:rPr>
              <w:t xml:space="preserve">15.2 </w:t>
            </w:r>
            <w:r>
              <w:rPr>
                <w:rFonts w:ascii="Times New Roman"/>
                <w:b/>
                <w:spacing w:val="-5"/>
              </w:rPr>
              <w:t>(a)</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1" w:lineRule="exact"/>
              <w:ind w:left="107"/>
              <w:rPr>
                <w:rFonts w:ascii="Times New Roman"/>
                <w:b/>
              </w:rPr>
            </w:pPr>
            <w:r>
              <w:rPr>
                <w:rFonts w:ascii="Times New Roman"/>
              </w:rPr>
              <w:t>Foreign</w:t>
            </w:r>
            <w:r>
              <w:rPr>
                <w:rFonts w:ascii="Times New Roman"/>
                <w:spacing w:val="-7"/>
              </w:rPr>
              <w:t xml:space="preserve"> </w:t>
            </w:r>
            <w:r>
              <w:rPr>
                <w:rFonts w:ascii="Times New Roman"/>
              </w:rPr>
              <w:t>currency</w:t>
            </w:r>
            <w:r>
              <w:rPr>
                <w:rFonts w:ascii="Times New Roman"/>
                <w:spacing w:val="-7"/>
              </w:rPr>
              <w:t xml:space="preserve"> </w:t>
            </w:r>
            <w:r>
              <w:rPr>
                <w:rFonts w:ascii="Times New Roman"/>
              </w:rPr>
              <w:t>requirements</w:t>
            </w:r>
            <w:r>
              <w:rPr>
                <w:rFonts w:ascii="Times New Roman"/>
                <w:spacing w:val="-2"/>
              </w:rPr>
              <w:t xml:space="preserve"> </w:t>
            </w:r>
            <w:r>
              <w:rPr>
                <w:rFonts w:ascii="Times New Roman"/>
                <w:b/>
              </w:rPr>
              <w:t>not</w:t>
            </w:r>
            <w:r>
              <w:rPr>
                <w:rFonts w:ascii="Times New Roman"/>
                <w:b/>
                <w:spacing w:val="-4"/>
              </w:rPr>
              <w:t xml:space="preserve"> </w:t>
            </w:r>
            <w:r>
              <w:rPr>
                <w:rFonts w:ascii="Times New Roman"/>
                <w:b/>
                <w:spacing w:val="-2"/>
              </w:rPr>
              <w:t>allowed.</w:t>
            </w:r>
          </w:p>
        </w:tc>
      </w:tr>
      <w:tr w:rsidR="007F6DF9">
        <w:trPr>
          <w:trHeight w:val="50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18.1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4080"/>
              </w:tabs>
              <w:ind w:left="107"/>
              <w:rPr>
                <w:rFonts w:ascii="Times New Roman"/>
              </w:rPr>
            </w:pPr>
            <w:r>
              <w:rPr>
                <w:rFonts w:ascii="Times New Roman"/>
              </w:rPr>
              <w:t>The</w:t>
            </w:r>
            <w:r>
              <w:rPr>
                <w:rFonts w:ascii="Times New Roman"/>
                <w:spacing w:val="-1"/>
              </w:rPr>
              <w:t xml:space="preserve"> </w:t>
            </w:r>
            <w:r>
              <w:rPr>
                <w:rFonts w:ascii="Times New Roman"/>
              </w:rPr>
              <w:t>Tender validity</w:t>
            </w:r>
            <w:r>
              <w:rPr>
                <w:rFonts w:ascii="Times New Roman"/>
                <w:spacing w:val="-1"/>
              </w:rPr>
              <w:t xml:space="preserve"> </w:t>
            </w:r>
            <w:r>
              <w:rPr>
                <w:rFonts w:ascii="Times New Roman"/>
              </w:rPr>
              <w:t>period</w:t>
            </w:r>
            <w:r>
              <w:rPr>
                <w:rFonts w:ascii="Times New Roman"/>
                <w:spacing w:val="-4"/>
              </w:rPr>
              <w:t xml:space="preserve"> </w:t>
            </w:r>
            <w:r>
              <w:rPr>
                <w:rFonts w:ascii="Times New Roman"/>
              </w:rPr>
              <w:t>shall be</w:t>
            </w:r>
            <w:r>
              <w:rPr>
                <w:rFonts w:ascii="Times New Roman"/>
                <w:spacing w:val="-3"/>
              </w:rPr>
              <w:t xml:space="preserve"> </w:t>
            </w:r>
            <w:r>
              <w:rPr>
                <w:rFonts w:ascii="Times New Roman"/>
                <w:u w:val="single"/>
              </w:rPr>
              <w:tab/>
            </w:r>
            <w:r w:rsidRPr="00B22BD9">
              <w:rPr>
                <w:rFonts w:ascii="Times New Roman"/>
                <w:b/>
                <w:i/>
              </w:rPr>
              <w:t xml:space="preserve">120 </w:t>
            </w:r>
            <w:r w:rsidRPr="00B22BD9">
              <w:rPr>
                <w:rFonts w:ascii="Times New Roman"/>
                <w:b/>
                <w:spacing w:val="-2"/>
              </w:rPr>
              <w:t>days.</w:t>
            </w:r>
          </w:p>
        </w:tc>
      </w:tr>
      <w:tr w:rsidR="007F6DF9">
        <w:trPr>
          <w:trHeight w:val="303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18.3</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numPr>
                <w:ilvl w:val="0"/>
                <w:numId w:val="189"/>
              </w:numPr>
              <w:tabs>
                <w:tab w:val="left" w:pos="463"/>
              </w:tabs>
              <w:spacing w:line="251" w:lineRule="exact"/>
              <w:ind w:left="463" w:hanging="356"/>
              <w:rPr>
                <w:rFonts w:ascii="Times New Roman"/>
              </w:rPr>
            </w:pPr>
            <w:r>
              <w:rPr>
                <w:rFonts w:ascii="Times New Roman"/>
              </w:rPr>
              <w:t>The</w:t>
            </w:r>
            <w:r>
              <w:rPr>
                <w:rFonts w:ascii="Times New Roman"/>
                <w:spacing w:val="-4"/>
              </w:rPr>
              <w:t xml:space="preserve"> </w:t>
            </w:r>
            <w:r>
              <w:rPr>
                <w:rFonts w:ascii="Times New Roman"/>
              </w:rPr>
              <w:t>Number</w:t>
            </w:r>
            <w:r>
              <w:rPr>
                <w:rFonts w:ascii="Times New Roman"/>
                <w:spacing w:val="-3"/>
              </w:rPr>
              <w:t xml:space="preserve"> </w:t>
            </w:r>
            <w:r>
              <w:rPr>
                <w:rFonts w:ascii="Times New Roman"/>
              </w:rPr>
              <w:t>of</w:t>
            </w:r>
            <w:r>
              <w:rPr>
                <w:rFonts w:ascii="Times New Roman"/>
                <w:spacing w:val="-5"/>
              </w:rPr>
              <w:t xml:space="preserve"> </w:t>
            </w:r>
            <w:r>
              <w:rPr>
                <w:rFonts w:ascii="Times New Roman"/>
              </w:rPr>
              <w:t>days</w:t>
            </w:r>
            <w:r>
              <w:rPr>
                <w:rFonts w:ascii="Times New Roman"/>
                <w:spacing w:val="-3"/>
              </w:rPr>
              <w:t xml:space="preserve"> </w:t>
            </w:r>
            <w:r>
              <w:rPr>
                <w:rFonts w:ascii="Times New Roman"/>
              </w:rPr>
              <w:t>beyond</w:t>
            </w:r>
            <w:r>
              <w:rPr>
                <w:rFonts w:ascii="Times New Roman"/>
                <w:spacing w:val="-3"/>
              </w:rPr>
              <w:t xml:space="preserve"> </w:t>
            </w:r>
            <w:r>
              <w:rPr>
                <w:rFonts w:ascii="Times New Roman"/>
              </w:rPr>
              <w:t>the</w:t>
            </w:r>
            <w:r>
              <w:rPr>
                <w:rFonts w:ascii="Times New Roman"/>
                <w:spacing w:val="-3"/>
              </w:rPr>
              <w:t xml:space="preserve"> </w:t>
            </w:r>
            <w:r>
              <w:rPr>
                <w:rFonts w:ascii="Times New Roman"/>
              </w:rPr>
              <w:t>expiry</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5"/>
              </w:rPr>
              <w:t xml:space="preserve"> </w:t>
            </w:r>
            <w:r>
              <w:rPr>
                <w:rFonts w:ascii="Times New Roman"/>
              </w:rPr>
              <w:t>initial tender</w:t>
            </w:r>
            <w:r>
              <w:rPr>
                <w:rFonts w:ascii="Times New Roman"/>
                <w:spacing w:val="-3"/>
              </w:rPr>
              <w:t xml:space="preserve"> </w:t>
            </w:r>
            <w:r>
              <w:rPr>
                <w:rFonts w:ascii="Times New Roman"/>
              </w:rPr>
              <w:t>validity</w:t>
            </w:r>
            <w:r>
              <w:rPr>
                <w:rFonts w:ascii="Times New Roman"/>
                <w:spacing w:val="-2"/>
              </w:rPr>
              <w:t xml:space="preserve"> </w:t>
            </w:r>
            <w:r>
              <w:rPr>
                <w:rFonts w:ascii="Times New Roman"/>
              </w:rPr>
              <w:t>period</w:t>
            </w:r>
            <w:r>
              <w:rPr>
                <w:rFonts w:ascii="Times New Roman"/>
                <w:spacing w:val="-6"/>
              </w:rPr>
              <w:t xml:space="preserve"> </w:t>
            </w:r>
            <w:r>
              <w:rPr>
                <w:rFonts w:ascii="Times New Roman"/>
              </w:rPr>
              <w:t>will</w:t>
            </w:r>
            <w:r>
              <w:rPr>
                <w:rFonts w:ascii="Times New Roman"/>
                <w:spacing w:val="-3"/>
              </w:rPr>
              <w:t xml:space="preserve"> </w:t>
            </w:r>
            <w:r>
              <w:rPr>
                <w:rFonts w:ascii="Times New Roman"/>
                <w:spacing w:val="-5"/>
              </w:rPr>
              <w:t>be</w:t>
            </w:r>
          </w:p>
          <w:p w:rsidR="007F6DF9" w:rsidRDefault="00A43FBC">
            <w:pPr>
              <w:pStyle w:val="TableParagraph"/>
              <w:tabs>
                <w:tab w:val="left" w:pos="1098"/>
                <w:tab w:val="left" w:pos="1650"/>
              </w:tabs>
              <w:spacing w:before="1"/>
              <w:ind w:left="107"/>
              <w:rPr>
                <w:rFonts w:ascii="Times New Roman"/>
              </w:rPr>
            </w:pPr>
            <w:r>
              <w:rPr>
                <w:rFonts w:ascii="Times New Roman"/>
                <w:u w:val="single"/>
              </w:rPr>
              <w:tab/>
            </w:r>
            <w:r>
              <w:rPr>
                <w:rFonts w:ascii="Times New Roman"/>
                <w:spacing w:val="-5"/>
              </w:rPr>
              <w:t>30</w:t>
            </w:r>
            <w:r>
              <w:rPr>
                <w:rFonts w:ascii="Times New Roman"/>
                <w:u w:val="single"/>
              </w:rPr>
              <w:tab/>
            </w:r>
            <w:r>
              <w:rPr>
                <w:rFonts w:ascii="Times New Roman"/>
                <w:spacing w:val="-2"/>
              </w:rPr>
              <w:t>days.</w:t>
            </w:r>
          </w:p>
          <w:p w:rsidR="007F6DF9" w:rsidRDefault="00A43FBC">
            <w:pPr>
              <w:pStyle w:val="TableParagraph"/>
              <w:numPr>
                <w:ilvl w:val="0"/>
                <w:numId w:val="189"/>
              </w:numPr>
              <w:tabs>
                <w:tab w:val="left" w:pos="420"/>
              </w:tabs>
              <w:spacing w:before="252"/>
              <w:ind w:left="420" w:hanging="313"/>
              <w:rPr>
                <w:rFonts w:ascii="Times New Roman"/>
              </w:rPr>
            </w:pPr>
            <w:r>
              <w:rPr>
                <w:rFonts w:ascii="Times New Roman"/>
              </w:rPr>
              <w:t>The</w:t>
            </w:r>
            <w:r>
              <w:rPr>
                <w:rFonts w:ascii="Times New Roman"/>
                <w:spacing w:val="-4"/>
              </w:rPr>
              <w:t xml:space="preserve"> </w:t>
            </w:r>
            <w:r>
              <w:rPr>
                <w:rFonts w:ascii="Times New Roman"/>
              </w:rPr>
              <w:t>Tender</w:t>
            </w:r>
            <w:r>
              <w:rPr>
                <w:rFonts w:ascii="Times New Roman"/>
                <w:spacing w:val="-2"/>
              </w:rPr>
              <w:t xml:space="preserve"> </w:t>
            </w:r>
            <w:r>
              <w:rPr>
                <w:rFonts w:ascii="Times New Roman"/>
              </w:rPr>
              <w:t>price</w:t>
            </w:r>
            <w:r>
              <w:rPr>
                <w:rFonts w:ascii="Times New Roman"/>
                <w:spacing w:val="-3"/>
              </w:rPr>
              <w:t xml:space="preserve"> </w:t>
            </w:r>
            <w:r>
              <w:rPr>
                <w:rFonts w:ascii="Times New Roman"/>
              </w:rPr>
              <w:t>shall</w:t>
            </w:r>
            <w:r>
              <w:rPr>
                <w:rFonts w:ascii="Times New Roman"/>
                <w:spacing w:val="-5"/>
              </w:rPr>
              <w:t xml:space="preserve"> </w:t>
            </w:r>
            <w:r>
              <w:rPr>
                <w:rFonts w:ascii="Times New Roman"/>
              </w:rPr>
              <w:t>be</w:t>
            </w:r>
            <w:r>
              <w:rPr>
                <w:rFonts w:ascii="Times New Roman"/>
                <w:spacing w:val="-3"/>
              </w:rPr>
              <w:t xml:space="preserve"> </w:t>
            </w:r>
            <w:r>
              <w:rPr>
                <w:rFonts w:ascii="Times New Roman"/>
              </w:rPr>
              <w:t>adjusted</w:t>
            </w:r>
            <w:r>
              <w:rPr>
                <w:rFonts w:ascii="Times New Roman"/>
                <w:spacing w:val="-4"/>
              </w:rPr>
              <w:t xml:space="preserve"> </w:t>
            </w:r>
            <w:r>
              <w:rPr>
                <w:rFonts w:ascii="Times New Roman"/>
              </w:rPr>
              <w:t>by</w:t>
            </w:r>
            <w:r>
              <w:rPr>
                <w:rFonts w:ascii="Times New Roman"/>
                <w:spacing w:val="-5"/>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3"/>
              </w:rPr>
              <w:t xml:space="preserve"> </w:t>
            </w:r>
            <w:r>
              <w:rPr>
                <w:rFonts w:ascii="Times New Roman"/>
              </w:rPr>
              <w:t>percentages</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1"/>
              </w:rPr>
              <w:t xml:space="preserve"> </w:t>
            </w:r>
            <w:r>
              <w:rPr>
                <w:rFonts w:ascii="Times New Roman"/>
              </w:rPr>
              <w:t>tender</w:t>
            </w:r>
            <w:r>
              <w:rPr>
                <w:rFonts w:ascii="Times New Roman"/>
                <w:spacing w:val="-6"/>
              </w:rPr>
              <w:t xml:space="preserve"> </w:t>
            </w:r>
            <w:r>
              <w:rPr>
                <w:rFonts w:ascii="Times New Roman"/>
                <w:spacing w:val="-2"/>
              </w:rPr>
              <w:t>price:</w:t>
            </w:r>
          </w:p>
          <w:p w:rsidR="007F6DF9" w:rsidRDefault="007F6DF9">
            <w:pPr>
              <w:pStyle w:val="TableParagraph"/>
              <w:rPr>
                <w:rFonts w:ascii="Times New Roman"/>
              </w:rPr>
            </w:pPr>
          </w:p>
          <w:p w:rsidR="007F6DF9" w:rsidRDefault="00A43FBC">
            <w:pPr>
              <w:pStyle w:val="TableParagraph"/>
              <w:numPr>
                <w:ilvl w:val="1"/>
                <w:numId w:val="189"/>
              </w:numPr>
              <w:tabs>
                <w:tab w:val="left" w:pos="423"/>
                <w:tab w:val="left" w:pos="1125"/>
                <w:tab w:val="left" w:pos="3211"/>
              </w:tabs>
              <w:ind w:right="180" w:firstLine="0"/>
              <w:rPr>
                <w:rFonts w:ascii="Times New Roman"/>
              </w:rPr>
            </w:pPr>
            <w:r>
              <w:rPr>
                <w:rFonts w:ascii="Times New Roman"/>
                <w:noProof/>
              </w:rPr>
              <mc:AlternateContent>
                <mc:Choice Requires="wpg">
                  <w:drawing>
                    <wp:anchor distT="0" distB="0" distL="0" distR="0" simplePos="0" relativeHeight="251645440" behindDoc="1" locked="0" layoutInCell="1" allowOverlap="1">
                      <wp:simplePos x="0" y="0"/>
                      <wp:positionH relativeFrom="column">
                        <wp:posOffset>469131</wp:posOffset>
                      </wp:positionH>
                      <wp:positionV relativeFrom="paragraph">
                        <wp:posOffset>145663</wp:posOffset>
                      </wp:positionV>
                      <wp:extent cx="1572260" cy="1524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260" cy="15240"/>
                                <a:chOff x="0" y="0"/>
                                <a:chExt cx="1572260" cy="15240"/>
                              </a:xfrm>
                            </wpg:grpSpPr>
                            <wps:wsp>
                              <wps:cNvPr id="115" name="Graphic 111"/>
                              <wps:cNvSpPr/>
                              <wps:spPr>
                                <a:xfrm>
                                  <a:off x="0" y="12199"/>
                                  <a:ext cx="1572260" cy="1270"/>
                                </a:xfrm>
                                <a:custGeom>
                                  <a:avLst/>
                                  <a:gdLst/>
                                  <a:ahLst/>
                                  <a:cxnLst/>
                                  <a:rect l="l" t="t" r="r" b="b"/>
                                  <a:pathLst>
                                    <a:path w="1572260">
                                      <a:moveTo>
                                        <a:pt x="0" y="0"/>
                                      </a:moveTo>
                                      <a:lnTo>
                                        <a:pt x="210312" y="0"/>
                                      </a:lnTo>
                                    </a:path>
                                    <a:path w="1572260">
                                      <a:moveTo>
                                        <a:pt x="1151261" y="0"/>
                                      </a:moveTo>
                                      <a:lnTo>
                                        <a:pt x="1571885" y="0"/>
                                      </a:lnTo>
                                    </a:path>
                                  </a:pathLst>
                                </a:custGeom>
                                <a:ln w="5691">
                                  <a:solidFill>
                                    <a:srgbClr val="000000"/>
                                  </a:solidFill>
                                  <a:prstDash val="solid"/>
                                </a:ln>
                              </wps:spPr>
                              <wps:bodyPr wrap="square" lIns="0" tIns="0" rIns="0" bIns="0" rtlCol="0">
                                <a:prstTxWarp prst="textNoShape">
                                  <a:avLst/>
                                </a:prstTxWarp>
                                <a:noAutofit/>
                              </wps:bodyPr>
                            </wps:wsp>
                            <wps:wsp>
                              <wps:cNvPr id="116" name="Graphic 112"/>
                              <wps:cNvSpPr/>
                              <wps:spPr>
                                <a:xfrm>
                                  <a:off x="210572" y="0"/>
                                  <a:ext cx="941069" cy="6350"/>
                                </a:xfrm>
                                <a:custGeom>
                                  <a:avLst/>
                                  <a:gdLst/>
                                  <a:ahLst/>
                                  <a:cxnLst/>
                                  <a:rect l="l" t="t" r="r" b="b"/>
                                  <a:pathLst>
                                    <a:path w="941069" h="6350">
                                      <a:moveTo>
                                        <a:pt x="940612" y="0"/>
                                      </a:moveTo>
                                      <a:lnTo>
                                        <a:pt x="0" y="0"/>
                                      </a:lnTo>
                                      <a:lnTo>
                                        <a:pt x="0" y="6095"/>
                                      </a:lnTo>
                                      <a:lnTo>
                                        <a:pt x="940612" y="6095"/>
                                      </a:lnTo>
                                      <a:lnTo>
                                        <a:pt x="940612" y="0"/>
                                      </a:lnTo>
                                      <a:close/>
                                    </a:path>
                                  </a:pathLst>
                                </a:custGeom>
                                <a:solidFill>
                                  <a:srgbClr val="302C2E"/>
                                </a:solidFill>
                              </wps:spPr>
                              <wps:bodyPr wrap="square" lIns="0" tIns="0" rIns="0" bIns="0" rtlCol="0">
                                <a:prstTxWarp prst="textNoShape">
                                  <a:avLst/>
                                </a:prstTxWarp>
                                <a:noAutofit/>
                              </wps:bodyPr>
                            </wps:wsp>
                          </wpg:wgp>
                        </a:graphicData>
                      </a:graphic>
                    </wp:anchor>
                  </w:drawing>
                </mc:Choice>
                <mc:Fallback>
                  <w:pict>
                    <v:group w14:anchorId="3AD15372" id="Group 110" o:spid="_x0000_s1026" style="position:absolute;margin-left:36.95pt;margin-top:11.45pt;width:123.8pt;height:1.2pt;z-index:-251671040;mso-wrap-distance-left:0;mso-wrap-distance-right:0" coordsize="157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">
                      <v:shape id="Graphic 111" o:spid="_x0000_s1027" style="position:absolute;top:121;width:15722;height:13;visibility:visible;mso-wrap-style:square;v-text-anchor:top" coordsize="1572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" path="m,l210312,em1151261,r420624,e" filled="f" strokeweight=".15808mm">
                        <v:path arrowok="t"/>
                      </v:shape>
                      <v:shape id="Graphic 112" o:spid="_x0000_s1028" style="position:absolute;left:2105;width:9411;height:63;visibility:visible;mso-wrap-style:square;v-text-anchor:top" coordsize="9410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" path="m940612,l,,,6095r940612,l940612,xe" fillcolor="#302c2e" stroked="f">
                        <v:path arrowok="t"/>
                      </v:shape>
                    </v:group>
                  </w:pict>
                </mc:Fallback>
              </mc:AlternateContent>
            </w:r>
            <w:r>
              <w:rPr>
                <w:rFonts w:ascii="Times New Roman"/>
                <w:spacing w:val="-6"/>
              </w:rPr>
              <w:t>By</w:t>
            </w:r>
            <w:r>
              <w:rPr>
                <w:rFonts w:ascii="Times New Roman"/>
              </w:rPr>
              <w:tab/>
            </w:r>
            <w:r>
              <w:rPr>
                <w:rFonts w:ascii="Times New Roman"/>
                <w:i/>
                <w:color w:val="302C2E"/>
              </w:rPr>
              <w:t>Not applicable)</w:t>
            </w:r>
            <w:r>
              <w:rPr>
                <w:rFonts w:ascii="Times New Roman"/>
                <w:i/>
                <w:color w:val="302C2E"/>
              </w:rPr>
              <w:tab/>
            </w:r>
            <w:r>
              <w:rPr>
                <w:rFonts w:ascii="Times New Roman"/>
              </w:rPr>
              <w:t>%</w:t>
            </w:r>
            <w:r>
              <w:rPr>
                <w:rFonts w:ascii="Times New Roman"/>
                <w:spacing w:val="-4"/>
              </w:rPr>
              <w:t xml:space="preserve"> </w:t>
            </w:r>
            <w:r>
              <w:rPr>
                <w:rFonts w:ascii="Times New Roman"/>
              </w:rPr>
              <w:t>of</w:t>
            </w:r>
            <w:r>
              <w:rPr>
                <w:rFonts w:ascii="Times New Roman"/>
                <w:spacing w:val="-5"/>
              </w:rPr>
              <w:t xml:space="preserve"> </w:t>
            </w:r>
            <w:r>
              <w:rPr>
                <w:rFonts w:ascii="Times New Roman"/>
              </w:rPr>
              <w:t>t</w:t>
            </w:r>
            <w:r>
              <w:rPr>
                <w:rFonts w:ascii="Times New Roman"/>
                <w:i/>
              </w:rPr>
              <w:t>he</w:t>
            </w:r>
            <w:r>
              <w:rPr>
                <w:rFonts w:ascii="Times New Roman"/>
                <w:i/>
                <w:spacing w:val="-5"/>
              </w:rPr>
              <w:t xml:space="preserve"> </w:t>
            </w:r>
            <w:r>
              <w:rPr>
                <w:rFonts w:ascii="Times New Roman"/>
                <w:i/>
              </w:rPr>
              <w:t>local</w:t>
            </w:r>
            <w:r>
              <w:rPr>
                <w:rFonts w:ascii="Times New Roman"/>
                <w:i/>
                <w:spacing w:val="-5"/>
              </w:rPr>
              <w:t xml:space="preserve"> </w:t>
            </w:r>
            <w:r>
              <w:rPr>
                <w:rFonts w:ascii="Times New Roman"/>
                <w:i/>
              </w:rPr>
              <w:t>currency</w:t>
            </w:r>
            <w:r>
              <w:rPr>
                <w:rFonts w:ascii="Times New Roman"/>
                <w:i/>
                <w:spacing w:val="-4"/>
              </w:rPr>
              <w:t xml:space="preserve"> </w:t>
            </w:r>
            <w:r>
              <w:rPr>
                <w:rFonts w:ascii="Times New Roman"/>
                <w:i/>
              </w:rPr>
              <w:t>portion</w:t>
            </w:r>
            <w:r>
              <w:rPr>
                <w:rFonts w:ascii="Times New Roman"/>
                <w:i/>
                <w:spacing w:val="-4"/>
              </w:rPr>
              <w:t xml:space="preserve"> </w:t>
            </w:r>
            <w:r>
              <w:rPr>
                <w:rFonts w:ascii="Times New Roman"/>
                <w:i/>
              </w:rPr>
              <w:t>of</w:t>
            </w:r>
            <w:r>
              <w:rPr>
                <w:rFonts w:ascii="Times New Roman"/>
                <w:i/>
                <w:spacing w:val="-3"/>
              </w:rPr>
              <w:t xml:space="preserve"> </w:t>
            </w:r>
            <w:r>
              <w:rPr>
                <w:rFonts w:ascii="Times New Roman"/>
                <w:i/>
              </w:rPr>
              <w:t>the</w:t>
            </w:r>
            <w:r>
              <w:rPr>
                <w:rFonts w:ascii="Times New Roman"/>
                <w:i/>
                <w:spacing w:val="-4"/>
              </w:rPr>
              <w:t xml:space="preserve"> </w:t>
            </w:r>
            <w:r>
              <w:rPr>
                <w:rFonts w:ascii="Times New Roman"/>
                <w:i/>
              </w:rPr>
              <w:t>Contract</w:t>
            </w:r>
            <w:r>
              <w:rPr>
                <w:rFonts w:ascii="Times New Roman"/>
                <w:i/>
                <w:spacing w:val="-5"/>
              </w:rPr>
              <w:t xml:space="preserve"> </w:t>
            </w:r>
            <w:r>
              <w:rPr>
                <w:rFonts w:ascii="Times New Roman"/>
                <w:i/>
              </w:rPr>
              <w:t>price</w:t>
            </w:r>
            <w:r>
              <w:rPr>
                <w:rFonts w:ascii="Times New Roman"/>
                <w:i/>
                <w:spacing w:val="-4"/>
              </w:rPr>
              <w:t xml:space="preserve"> </w:t>
            </w:r>
            <w:r>
              <w:rPr>
                <w:rFonts w:ascii="Times New Roman"/>
                <w:i/>
              </w:rPr>
              <w:t>adjusted to reflect local inflation during the period of extension,</w:t>
            </w:r>
          </w:p>
          <w:p w:rsidR="007F6DF9" w:rsidRDefault="00A43FBC">
            <w:pPr>
              <w:pStyle w:val="TableParagraph"/>
              <w:ind w:left="107"/>
              <w:rPr>
                <w:rFonts w:ascii="Times New Roman"/>
                <w:i/>
              </w:rPr>
            </w:pPr>
            <w:r>
              <w:rPr>
                <w:rFonts w:ascii="Times New Roman"/>
                <w:i/>
                <w:spacing w:val="-5"/>
              </w:rPr>
              <w:t>and</w:t>
            </w:r>
          </w:p>
          <w:p w:rsidR="007F6DF9" w:rsidRDefault="007F6DF9">
            <w:pPr>
              <w:pStyle w:val="TableParagraph"/>
              <w:spacing w:before="1"/>
              <w:rPr>
                <w:rFonts w:ascii="Times New Roman"/>
              </w:rPr>
            </w:pPr>
          </w:p>
          <w:p w:rsidR="007F6DF9" w:rsidRDefault="00A43FBC">
            <w:pPr>
              <w:pStyle w:val="TableParagraph"/>
              <w:numPr>
                <w:ilvl w:val="1"/>
                <w:numId w:val="189"/>
              </w:numPr>
              <w:tabs>
                <w:tab w:val="left" w:pos="429"/>
                <w:tab w:val="left" w:pos="1161"/>
                <w:tab w:val="left" w:pos="3360"/>
              </w:tabs>
              <w:ind w:right="873" w:firstLine="0"/>
              <w:rPr>
                <w:rFonts w:ascii="Times New Roman"/>
                <w:i/>
              </w:rPr>
            </w:pPr>
            <w:r>
              <w:rPr>
                <w:rFonts w:ascii="Times New Roman"/>
                <w:i/>
                <w:noProof/>
              </w:rPr>
              <mc:AlternateContent>
                <mc:Choice Requires="wpg">
                  <w:drawing>
                    <wp:anchor distT="0" distB="0" distL="0" distR="0" simplePos="0" relativeHeight="251646464" behindDoc="1" locked="0" layoutInCell="1" allowOverlap="1">
                      <wp:simplePos x="0" y="0"/>
                      <wp:positionH relativeFrom="column">
                        <wp:posOffset>421675</wp:posOffset>
                      </wp:positionH>
                      <wp:positionV relativeFrom="paragraph">
                        <wp:posOffset>145662</wp:posOffset>
                      </wp:positionV>
                      <wp:extent cx="1713864" cy="152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3864" cy="15240"/>
                                <a:chOff x="0" y="0"/>
                                <a:chExt cx="1713864" cy="15240"/>
                              </a:xfrm>
                            </wpg:grpSpPr>
                            <wps:wsp>
                              <wps:cNvPr id="19" name="Graphic 114"/>
                              <wps:cNvSpPr/>
                              <wps:spPr>
                                <a:xfrm>
                                  <a:off x="0" y="12170"/>
                                  <a:ext cx="1713864" cy="1270"/>
                                </a:xfrm>
                                <a:custGeom>
                                  <a:avLst/>
                                  <a:gdLst/>
                                  <a:ahLst/>
                                  <a:cxnLst/>
                                  <a:rect l="l" t="t" r="r" b="b"/>
                                  <a:pathLst>
                                    <a:path w="1713864">
                                      <a:moveTo>
                                        <a:pt x="0" y="0"/>
                                      </a:moveTo>
                                      <a:lnTo>
                                        <a:pt x="280416" y="0"/>
                                      </a:lnTo>
                                    </a:path>
                                    <a:path w="1713864">
                                      <a:moveTo>
                                        <a:pt x="1223101" y="0"/>
                                      </a:moveTo>
                                      <a:lnTo>
                                        <a:pt x="1713829" y="0"/>
                                      </a:lnTo>
                                    </a:path>
                                  </a:pathLst>
                                </a:custGeom>
                                <a:ln w="5748">
                                  <a:solidFill>
                                    <a:srgbClr val="000000"/>
                                  </a:solidFill>
                                  <a:prstDash val="solid"/>
                                </a:ln>
                              </wps:spPr>
                              <wps:bodyPr wrap="square" lIns="0" tIns="0" rIns="0" bIns="0" rtlCol="0">
                                <a:prstTxWarp prst="textNoShape">
                                  <a:avLst/>
                                </a:prstTxWarp>
                                <a:noAutofit/>
                              </wps:bodyPr>
                            </wps:wsp>
                            <wps:wsp>
                              <wps:cNvPr id="20" name="Graphic 115"/>
                              <wps:cNvSpPr/>
                              <wps:spPr>
                                <a:xfrm>
                                  <a:off x="280888" y="0"/>
                                  <a:ext cx="942340" cy="6350"/>
                                </a:xfrm>
                                <a:custGeom>
                                  <a:avLst/>
                                  <a:gdLst/>
                                  <a:ahLst/>
                                  <a:cxnLst/>
                                  <a:rect l="l" t="t" r="r" b="b"/>
                                  <a:pathLst>
                                    <a:path w="942340" h="6350">
                                      <a:moveTo>
                                        <a:pt x="942136" y="0"/>
                                      </a:moveTo>
                                      <a:lnTo>
                                        <a:pt x="0" y="0"/>
                                      </a:lnTo>
                                      <a:lnTo>
                                        <a:pt x="0" y="6096"/>
                                      </a:lnTo>
                                      <a:lnTo>
                                        <a:pt x="942136" y="6096"/>
                                      </a:lnTo>
                                      <a:lnTo>
                                        <a:pt x="942136" y="0"/>
                                      </a:lnTo>
                                      <a:close/>
                                    </a:path>
                                  </a:pathLst>
                                </a:custGeom>
                                <a:solidFill>
                                  <a:srgbClr val="302C2E"/>
                                </a:solidFill>
                              </wps:spPr>
                              <wps:bodyPr wrap="square" lIns="0" tIns="0" rIns="0" bIns="0" rtlCol="0">
                                <a:prstTxWarp prst="textNoShape">
                                  <a:avLst/>
                                </a:prstTxWarp>
                                <a:noAutofit/>
                              </wps:bodyPr>
                            </wps:wsp>
                          </wpg:wgp>
                        </a:graphicData>
                      </a:graphic>
                    </wp:anchor>
                  </w:drawing>
                </mc:Choice>
                <mc:Fallback>
                  <w:pict>
                    <v:group w14:anchorId="4596BCF3" id="Group 2" o:spid="_x0000_s1026" style="position:absolute;margin-left:33.2pt;margin-top:11.45pt;width:134.95pt;height:1.2pt;z-index:-251670016;mso-wrap-distance-left:0;mso-wrap-distance-right:0" coordsize="1713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">
                      <v:shape id="Graphic 114" o:spid="_x0000_s1027" style="position:absolute;top:121;width:17138;height:13;visibility:visible;mso-wrap-style:square;v-text-anchor:top" coordsize="17138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" path="m,l280416,em1223101,r490728,e" filled="f" strokeweight=".15967mm">
                        <v:path arrowok="t"/>
                      </v:shape>
                      <v:shape id="Graphic 115" o:spid="_x0000_s1028" style="position:absolute;left:2808;width:9424;height:63;visibility:visible;mso-wrap-style:square;v-text-anchor:top" coordsize="94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" path="m942136,l,,,6096r942136,l942136,xe" fillcolor="#302c2e" stroked="f">
                        <v:path arrowok="t"/>
                      </v:shape>
                    </v:group>
                  </w:pict>
                </mc:Fallback>
              </mc:AlternateContent>
            </w:r>
            <w:r>
              <w:rPr>
                <w:rFonts w:ascii="Times New Roman"/>
                <w:i/>
                <w:spacing w:val="-6"/>
              </w:rPr>
              <w:t>By</w:t>
            </w:r>
            <w:r>
              <w:rPr>
                <w:rFonts w:ascii="Times New Roman"/>
                <w:i/>
              </w:rPr>
              <w:tab/>
            </w:r>
            <w:r>
              <w:rPr>
                <w:rFonts w:ascii="Times New Roman"/>
                <w:i/>
                <w:color w:val="302C2E"/>
              </w:rPr>
              <w:t>Not applicable)</w:t>
            </w:r>
            <w:r>
              <w:rPr>
                <w:rFonts w:ascii="Times New Roman"/>
                <w:i/>
                <w:color w:val="302C2E"/>
              </w:rPr>
              <w:tab/>
            </w:r>
            <w:r>
              <w:rPr>
                <w:rFonts w:ascii="Times New Roman"/>
                <w:i/>
              </w:rPr>
              <w:t>%</w:t>
            </w:r>
            <w:r>
              <w:rPr>
                <w:rFonts w:ascii="Times New Roman"/>
                <w:i/>
                <w:spacing w:val="-4"/>
              </w:rPr>
              <w:t xml:space="preserve"> </w:t>
            </w:r>
            <w:r>
              <w:rPr>
                <w:rFonts w:ascii="Times New Roman"/>
                <w:i/>
              </w:rPr>
              <w:t>the</w:t>
            </w:r>
            <w:r>
              <w:rPr>
                <w:rFonts w:ascii="Times New Roman"/>
                <w:i/>
                <w:spacing w:val="-6"/>
              </w:rPr>
              <w:t xml:space="preserve"> </w:t>
            </w:r>
            <w:r>
              <w:rPr>
                <w:rFonts w:ascii="Times New Roman"/>
                <w:i/>
              </w:rPr>
              <w:t>foreign</w:t>
            </w:r>
            <w:r>
              <w:rPr>
                <w:rFonts w:ascii="Times New Roman"/>
                <w:i/>
                <w:spacing w:val="-7"/>
              </w:rPr>
              <w:t xml:space="preserve"> </w:t>
            </w:r>
            <w:r>
              <w:rPr>
                <w:rFonts w:ascii="Times New Roman"/>
                <w:i/>
              </w:rPr>
              <w:t>currency</w:t>
            </w:r>
            <w:r>
              <w:rPr>
                <w:rFonts w:ascii="Times New Roman"/>
                <w:i/>
                <w:spacing w:val="-6"/>
              </w:rPr>
              <w:t xml:space="preserve"> </w:t>
            </w:r>
            <w:r>
              <w:rPr>
                <w:rFonts w:ascii="Times New Roman"/>
                <w:i/>
              </w:rPr>
              <w:t>portion</w:t>
            </w:r>
            <w:r>
              <w:rPr>
                <w:rFonts w:ascii="Times New Roman"/>
                <w:i/>
                <w:spacing w:val="-4"/>
              </w:rPr>
              <w:t xml:space="preserve"> </w:t>
            </w:r>
            <w:r>
              <w:rPr>
                <w:rFonts w:ascii="Times New Roman"/>
                <w:i/>
              </w:rPr>
              <w:t>of</w:t>
            </w:r>
            <w:r>
              <w:rPr>
                <w:rFonts w:ascii="Times New Roman"/>
                <w:i/>
                <w:spacing w:val="-6"/>
              </w:rPr>
              <w:t xml:space="preserve"> </w:t>
            </w:r>
            <w:r>
              <w:rPr>
                <w:rFonts w:ascii="Times New Roman"/>
                <w:i/>
              </w:rPr>
              <w:t>the</w:t>
            </w:r>
            <w:r>
              <w:rPr>
                <w:rFonts w:ascii="Times New Roman"/>
                <w:i/>
                <w:spacing w:val="-2"/>
              </w:rPr>
              <w:t xml:space="preserve"> </w:t>
            </w:r>
            <w:r>
              <w:rPr>
                <w:rFonts w:ascii="Times New Roman"/>
                <w:i/>
              </w:rPr>
              <w:t>Contract</w:t>
            </w:r>
            <w:r>
              <w:rPr>
                <w:rFonts w:ascii="Times New Roman"/>
                <w:i/>
                <w:spacing w:val="-4"/>
              </w:rPr>
              <w:t xml:space="preserve"> </w:t>
            </w:r>
            <w:r>
              <w:rPr>
                <w:rFonts w:ascii="Times New Roman"/>
                <w:i/>
              </w:rPr>
              <w:t>price adjusted to reflect the international inflation during the period of extension.</w:t>
            </w:r>
          </w:p>
        </w:tc>
      </w:tr>
      <w:tr w:rsidR="007F6DF9">
        <w:trPr>
          <w:trHeight w:val="50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19.1</w:t>
            </w:r>
          </w:p>
        </w:tc>
        <w:tc>
          <w:tcPr>
            <w:tcW w:w="8898" w:type="dxa"/>
            <w:tcBorders>
              <w:top w:val="single" w:sz="12" w:space="0" w:color="000000"/>
              <w:left w:val="single" w:sz="12" w:space="0" w:color="000000"/>
              <w:bottom w:val="single" w:sz="12" w:space="0" w:color="000000"/>
              <w:right w:val="single" w:sz="12" w:space="0" w:color="000000"/>
            </w:tcBorders>
          </w:tcPr>
          <w:p w:rsidR="00B22BD9" w:rsidRPr="00B22BD9" w:rsidRDefault="00A43FBC" w:rsidP="00B22BD9">
            <w:pPr>
              <w:tabs>
                <w:tab w:val="left" w:pos="1337"/>
              </w:tabs>
              <w:spacing w:before="245"/>
              <w:rPr>
                <w:b/>
                <w:i/>
                <w:color w:val="221F1F"/>
              </w:rPr>
            </w:pPr>
            <w:r>
              <w:t>Tender</w:t>
            </w:r>
            <w:r w:rsidRPr="00B22BD9">
              <w:rPr>
                <w:spacing w:val="-3"/>
              </w:rPr>
              <w:t xml:space="preserve"> </w:t>
            </w:r>
            <w:r>
              <w:t>shall</w:t>
            </w:r>
            <w:r w:rsidRPr="00B22BD9">
              <w:rPr>
                <w:spacing w:val="-4"/>
              </w:rPr>
              <w:t xml:space="preserve"> </w:t>
            </w:r>
            <w:r>
              <w:t>provide</w:t>
            </w:r>
            <w:r w:rsidRPr="00B22BD9">
              <w:rPr>
                <w:spacing w:val="-3"/>
              </w:rPr>
              <w:t xml:space="preserve"> </w:t>
            </w:r>
            <w:r w:rsidRPr="00B22BD9">
              <w:rPr>
                <w:b/>
              </w:rPr>
              <w:t>a</w:t>
            </w:r>
            <w:r w:rsidRPr="00B22BD9">
              <w:rPr>
                <w:b/>
                <w:spacing w:val="-2"/>
              </w:rPr>
              <w:t xml:space="preserve"> </w:t>
            </w:r>
            <w:r w:rsidRPr="00B22BD9">
              <w:rPr>
                <w:b/>
              </w:rPr>
              <w:t>Tender</w:t>
            </w:r>
            <w:r w:rsidRPr="00B22BD9">
              <w:rPr>
                <w:b/>
                <w:spacing w:val="-1"/>
              </w:rPr>
              <w:t xml:space="preserve"> </w:t>
            </w:r>
            <w:r w:rsidRPr="00B22BD9">
              <w:rPr>
                <w:b/>
                <w:spacing w:val="-2"/>
              </w:rPr>
              <w:t>Security</w:t>
            </w:r>
            <w:r w:rsidR="00B22BD9" w:rsidRPr="00B22BD9">
              <w:rPr>
                <w:b/>
                <w:spacing w:val="-2"/>
              </w:rPr>
              <w:t xml:space="preserve"> </w:t>
            </w:r>
            <w:r w:rsidR="00B22BD9">
              <w:rPr>
                <w:b/>
                <w:spacing w:val="-2"/>
              </w:rPr>
              <w:t xml:space="preserve">of </w:t>
            </w:r>
            <w:proofErr w:type="gramStart"/>
            <w:r w:rsidR="00B22BD9">
              <w:rPr>
                <w:b/>
              </w:rPr>
              <w:t>shs.1</w:t>
            </w:r>
            <w:r w:rsidR="00B22BD9" w:rsidRPr="00B22BD9">
              <w:rPr>
                <w:b/>
              </w:rPr>
              <w:t>90,000</w:t>
            </w:r>
            <w:proofErr w:type="gramEnd"/>
            <w:r w:rsidR="00B22BD9" w:rsidRPr="00B22BD9">
              <w:rPr>
                <w:b/>
                <w:i/>
                <w:spacing w:val="-5"/>
              </w:rPr>
              <w:t xml:space="preserve"> </w:t>
            </w:r>
            <w:r w:rsidR="00B22BD9" w:rsidRPr="00B22BD9">
              <w:rPr>
                <w:b/>
                <w:i/>
              </w:rPr>
              <w:t>of</w:t>
            </w:r>
            <w:r w:rsidR="00B22BD9" w:rsidRPr="00B22BD9">
              <w:rPr>
                <w:b/>
                <w:i/>
                <w:spacing w:val="-4"/>
              </w:rPr>
              <w:t xml:space="preserve"> </w:t>
            </w:r>
            <w:r w:rsidR="00B22BD9" w:rsidRPr="00B22BD9">
              <w:rPr>
                <w:b/>
                <w:i/>
              </w:rPr>
              <w:t>the</w:t>
            </w:r>
            <w:r w:rsidR="00B22BD9" w:rsidRPr="00B22BD9">
              <w:rPr>
                <w:b/>
                <w:i/>
                <w:spacing w:val="-5"/>
              </w:rPr>
              <w:t xml:space="preserve"> </w:t>
            </w:r>
            <w:r w:rsidR="00B22BD9" w:rsidRPr="00B22BD9">
              <w:rPr>
                <w:b/>
                <w:i/>
              </w:rPr>
              <w:t>quoted</w:t>
            </w:r>
            <w:r w:rsidR="00B22BD9" w:rsidRPr="00B22BD9">
              <w:rPr>
                <w:b/>
                <w:i/>
                <w:spacing w:val="-4"/>
              </w:rPr>
              <w:t xml:space="preserve"> </w:t>
            </w:r>
            <w:r w:rsidR="00B22BD9" w:rsidRPr="00B22BD9">
              <w:rPr>
                <w:b/>
                <w:i/>
                <w:spacing w:val="-5"/>
              </w:rPr>
              <w:t xml:space="preserve">sum in the form of </w:t>
            </w:r>
            <w:proofErr w:type="spellStart"/>
            <w:r w:rsidR="00B22BD9" w:rsidRPr="00B22BD9">
              <w:rPr>
                <w:b/>
                <w:i/>
                <w:spacing w:val="-5"/>
              </w:rPr>
              <w:t>cash,Bank</w:t>
            </w:r>
            <w:proofErr w:type="spellEnd"/>
            <w:r w:rsidR="00B22BD9" w:rsidRPr="00B22BD9">
              <w:rPr>
                <w:b/>
                <w:i/>
                <w:spacing w:val="-5"/>
              </w:rPr>
              <w:t xml:space="preserve"> </w:t>
            </w:r>
            <w:proofErr w:type="spellStart"/>
            <w:r w:rsidR="00B22BD9" w:rsidRPr="00B22BD9">
              <w:rPr>
                <w:b/>
                <w:i/>
                <w:spacing w:val="-5"/>
              </w:rPr>
              <w:t>Guarantee,a</w:t>
            </w:r>
            <w:proofErr w:type="spellEnd"/>
            <w:r w:rsidR="00B22BD9" w:rsidRPr="00B22BD9">
              <w:rPr>
                <w:b/>
                <w:i/>
                <w:spacing w:val="-5"/>
              </w:rPr>
              <w:t xml:space="preserve"> </w:t>
            </w:r>
            <w:proofErr w:type="spellStart"/>
            <w:r w:rsidR="00B22BD9" w:rsidRPr="00B22BD9">
              <w:rPr>
                <w:b/>
                <w:i/>
                <w:spacing w:val="-5"/>
              </w:rPr>
              <w:t>Gurantee</w:t>
            </w:r>
            <w:proofErr w:type="spellEnd"/>
            <w:r w:rsidR="00B22BD9" w:rsidRPr="00B22BD9">
              <w:rPr>
                <w:b/>
                <w:i/>
                <w:spacing w:val="-5"/>
              </w:rPr>
              <w:t xml:space="preserve"> by an Insurance Company registered and Licensed by the Insurance Regulatory Authority listed by the Authority or a Guarantee issued by a Financial Institution approved and licensed by the Central Bank of Kenya.</w:t>
            </w:r>
          </w:p>
          <w:p w:rsidR="007F6DF9" w:rsidRDefault="007F6DF9" w:rsidP="00B22BD9">
            <w:pPr>
              <w:pStyle w:val="TableParagraph"/>
              <w:spacing w:line="232" w:lineRule="exact"/>
              <w:rPr>
                <w:rFonts w:ascii="Times New Roman"/>
                <w:b/>
                <w:i/>
              </w:rPr>
            </w:pPr>
          </w:p>
        </w:tc>
      </w:tr>
      <w:tr w:rsidR="007F6DF9">
        <w:trPr>
          <w:trHeight w:val="253"/>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20.1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i/>
              </w:rPr>
            </w:pPr>
            <w:r>
              <w:rPr>
                <w:rFonts w:ascii="Times New Roman"/>
              </w:rPr>
              <w:t>In</w:t>
            </w:r>
            <w:r>
              <w:rPr>
                <w:rFonts w:ascii="Times New Roman"/>
                <w:spacing w:val="-2"/>
              </w:rPr>
              <w:t xml:space="preserve"> </w:t>
            </w:r>
            <w:r>
              <w:rPr>
                <w:rFonts w:ascii="Times New Roman"/>
              </w:rPr>
              <w:t>addition</w:t>
            </w:r>
            <w:r>
              <w:rPr>
                <w:rFonts w:ascii="Times New Roman"/>
                <w:spacing w:val="-4"/>
              </w:rPr>
              <w:t xml:space="preserve"> </w:t>
            </w:r>
            <w:r>
              <w:rPr>
                <w:rFonts w:ascii="Times New Roman"/>
              </w:rPr>
              <w:t>to</w:t>
            </w:r>
            <w:r>
              <w:rPr>
                <w:rFonts w:ascii="Times New Roman"/>
                <w:spacing w:val="-4"/>
              </w:rPr>
              <w:t xml:space="preserve"> </w:t>
            </w:r>
            <w:r>
              <w:rPr>
                <w:rFonts w:ascii="Times New Roman"/>
              </w:rPr>
              <w:t>the</w:t>
            </w:r>
            <w:r>
              <w:rPr>
                <w:rFonts w:ascii="Times New Roman"/>
                <w:spacing w:val="-1"/>
              </w:rPr>
              <w:t xml:space="preserve"> </w:t>
            </w:r>
            <w:r>
              <w:rPr>
                <w:rFonts w:ascii="Times New Roman"/>
              </w:rPr>
              <w:t>original of</w:t>
            </w:r>
            <w:r>
              <w:rPr>
                <w:rFonts w:ascii="Times New Roman"/>
                <w:spacing w:val="-2"/>
              </w:rPr>
              <w:t xml:space="preserve"> </w:t>
            </w:r>
            <w:r>
              <w:rPr>
                <w:rFonts w:ascii="Times New Roman"/>
              </w:rPr>
              <w:t>the</w:t>
            </w:r>
            <w:r>
              <w:rPr>
                <w:rFonts w:ascii="Times New Roman"/>
                <w:spacing w:val="-1"/>
              </w:rPr>
              <w:t xml:space="preserve"> </w:t>
            </w:r>
            <w:r>
              <w:rPr>
                <w:rFonts w:ascii="Times New Roman"/>
              </w:rPr>
              <w:t>Tender,</w:t>
            </w:r>
            <w:r>
              <w:rPr>
                <w:rFonts w:ascii="Times New Roman"/>
                <w:spacing w:val="-4"/>
              </w:rPr>
              <w:t xml:space="preserve"> </w:t>
            </w:r>
            <w:r>
              <w:rPr>
                <w:rFonts w:ascii="Times New Roman"/>
              </w:rPr>
              <w:t>the</w:t>
            </w:r>
            <w:r>
              <w:rPr>
                <w:rFonts w:ascii="Times New Roman"/>
                <w:spacing w:val="-1"/>
              </w:rPr>
              <w:t xml:space="preserve"> </w:t>
            </w:r>
            <w:r>
              <w:rPr>
                <w:rFonts w:ascii="Times New Roman"/>
              </w:rPr>
              <w:t>number</w:t>
            </w:r>
            <w:r>
              <w:rPr>
                <w:rFonts w:ascii="Times New Roman"/>
                <w:spacing w:val="-3"/>
              </w:rPr>
              <w:t xml:space="preserve"> </w:t>
            </w:r>
            <w:r>
              <w:rPr>
                <w:rFonts w:ascii="Times New Roman"/>
              </w:rPr>
              <w:t>of</w:t>
            </w:r>
            <w:r>
              <w:rPr>
                <w:rFonts w:ascii="Times New Roman"/>
                <w:spacing w:val="-3"/>
              </w:rPr>
              <w:t xml:space="preserve"> </w:t>
            </w:r>
            <w:r>
              <w:rPr>
                <w:rFonts w:ascii="Times New Roman"/>
              </w:rPr>
              <w:t>copies</w:t>
            </w:r>
            <w:r>
              <w:rPr>
                <w:rFonts w:ascii="Times New Roman"/>
                <w:spacing w:val="-2"/>
              </w:rPr>
              <w:t xml:space="preserve"> </w:t>
            </w:r>
            <w:r>
              <w:rPr>
                <w:rFonts w:ascii="Times New Roman"/>
              </w:rPr>
              <w:t>is:</w:t>
            </w:r>
            <w:r>
              <w:rPr>
                <w:rFonts w:ascii="Times New Roman"/>
                <w:spacing w:val="5"/>
              </w:rPr>
              <w:t xml:space="preserve"> </w:t>
            </w:r>
            <w:r>
              <w:rPr>
                <w:rFonts w:ascii="Times New Roman"/>
                <w:b/>
                <w:i/>
                <w:color w:val="302C2E"/>
              </w:rPr>
              <w:t>One</w:t>
            </w:r>
            <w:r>
              <w:rPr>
                <w:rFonts w:ascii="Times New Roman"/>
                <w:b/>
                <w:i/>
                <w:color w:val="302C2E"/>
                <w:spacing w:val="1"/>
              </w:rPr>
              <w:t xml:space="preserve"> </w:t>
            </w:r>
            <w:r>
              <w:rPr>
                <w:rFonts w:ascii="Times New Roman"/>
                <w:b/>
                <w:i/>
                <w:color w:val="302C2E"/>
                <w:spacing w:val="-5"/>
              </w:rPr>
              <w:t>(1)</w:t>
            </w:r>
          </w:p>
        </w:tc>
      </w:tr>
      <w:tr w:rsidR="007F6DF9">
        <w:trPr>
          <w:trHeight w:val="508"/>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b/>
              </w:rPr>
            </w:pPr>
            <w:r>
              <w:rPr>
                <w:rFonts w:ascii="Times New Roman"/>
                <w:b/>
              </w:rPr>
              <w:t>ITT</w:t>
            </w:r>
            <w:r>
              <w:rPr>
                <w:rFonts w:ascii="Times New Roman"/>
                <w:b/>
                <w:spacing w:val="-2"/>
              </w:rPr>
              <w:t xml:space="preserve"> </w:t>
            </w:r>
            <w:r>
              <w:rPr>
                <w:rFonts w:ascii="Times New Roman"/>
                <w:b/>
                <w:spacing w:val="-4"/>
              </w:rPr>
              <w:t>20.3</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2" w:lineRule="exact"/>
              <w:ind w:left="107" w:right="153"/>
              <w:rPr>
                <w:rFonts w:ascii="Times New Roman"/>
                <w:b/>
                <w:i/>
              </w:rPr>
            </w:pPr>
            <w:r>
              <w:rPr>
                <w:rFonts w:ascii="Times New Roman"/>
              </w:rPr>
              <w:t>The</w:t>
            </w:r>
            <w:r>
              <w:rPr>
                <w:rFonts w:ascii="Times New Roman"/>
                <w:spacing w:val="-1"/>
              </w:rPr>
              <w:t xml:space="preserve"> </w:t>
            </w:r>
            <w:r>
              <w:rPr>
                <w:rFonts w:ascii="Times New Roman"/>
              </w:rPr>
              <w:t>written</w:t>
            </w:r>
            <w:r>
              <w:rPr>
                <w:rFonts w:ascii="Times New Roman"/>
                <w:spacing w:val="-1"/>
              </w:rPr>
              <w:t xml:space="preserve"> </w:t>
            </w:r>
            <w:r>
              <w:rPr>
                <w:rFonts w:ascii="Times New Roman"/>
              </w:rPr>
              <w:t>confirmation</w:t>
            </w:r>
            <w:r>
              <w:rPr>
                <w:rFonts w:ascii="Times New Roman"/>
                <w:spacing w:val="-4"/>
              </w:rPr>
              <w:t xml:space="preserve"> </w:t>
            </w:r>
            <w:r>
              <w:rPr>
                <w:rFonts w:ascii="Times New Roman"/>
              </w:rPr>
              <w:t>of</w:t>
            </w:r>
            <w:r>
              <w:rPr>
                <w:rFonts w:ascii="Times New Roman"/>
                <w:spacing w:val="-3"/>
              </w:rPr>
              <w:t xml:space="preserve"> </w:t>
            </w:r>
            <w:r>
              <w:rPr>
                <w:rFonts w:ascii="Times New Roman"/>
              </w:rPr>
              <w:t>authorization</w:t>
            </w:r>
            <w:r>
              <w:rPr>
                <w:rFonts w:ascii="Times New Roman"/>
                <w:spacing w:val="-4"/>
              </w:rPr>
              <w:t xml:space="preserve"> </w:t>
            </w:r>
            <w:r>
              <w:rPr>
                <w:rFonts w:ascii="Times New Roman"/>
              </w:rPr>
              <w:t>to</w:t>
            </w:r>
            <w:r>
              <w:rPr>
                <w:rFonts w:ascii="Times New Roman"/>
                <w:spacing w:val="-4"/>
              </w:rPr>
              <w:t xml:space="preserve"> </w:t>
            </w:r>
            <w:r>
              <w:rPr>
                <w:rFonts w:ascii="Times New Roman"/>
              </w:rPr>
              <w:t>sign</w:t>
            </w:r>
            <w:r>
              <w:rPr>
                <w:rFonts w:ascii="Times New Roman"/>
                <w:spacing w:val="-4"/>
              </w:rPr>
              <w:t xml:space="preserve"> </w:t>
            </w:r>
            <w:r>
              <w:rPr>
                <w:rFonts w:ascii="Times New Roman"/>
              </w:rPr>
              <w:t>on</w:t>
            </w:r>
            <w:r>
              <w:rPr>
                <w:rFonts w:ascii="Times New Roman"/>
                <w:spacing w:val="-1"/>
              </w:rPr>
              <w:t xml:space="preserve"> </w:t>
            </w:r>
            <w:r>
              <w:rPr>
                <w:rFonts w:ascii="Times New Roman"/>
              </w:rPr>
              <w:t>behalf</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1"/>
              </w:rPr>
              <w:t xml:space="preserve"> </w:t>
            </w:r>
            <w:r>
              <w:rPr>
                <w:rFonts w:ascii="Times New Roman"/>
              </w:rPr>
              <w:t>Tenderer</w:t>
            </w:r>
            <w:r>
              <w:rPr>
                <w:rFonts w:ascii="Times New Roman"/>
                <w:spacing w:val="-1"/>
              </w:rPr>
              <w:t xml:space="preserve"> </w:t>
            </w:r>
            <w:r>
              <w:rPr>
                <w:rFonts w:ascii="Times New Roman"/>
              </w:rPr>
              <w:t xml:space="preserve">shall consist of: </w:t>
            </w:r>
            <w:r>
              <w:rPr>
                <w:rFonts w:ascii="Times New Roman"/>
                <w:b/>
                <w:i/>
              </w:rPr>
              <w:t>proof of Power of attorney</w:t>
            </w:r>
          </w:p>
        </w:tc>
      </w:tr>
      <w:tr w:rsidR="007F6DF9">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rPr>
            </w:pPr>
            <w:r>
              <w:rPr>
                <w:rFonts w:ascii="Times New Roman"/>
                <w:b/>
              </w:rPr>
              <w:t>D.</w:t>
            </w:r>
            <w:r>
              <w:rPr>
                <w:rFonts w:ascii="Times New Roman"/>
                <w:b/>
                <w:spacing w:val="50"/>
              </w:rPr>
              <w:t xml:space="preserve"> </w:t>
            </w:r>
            <w:r>
              <w:rPr>
                <w:rFonts w:ascii="Times New Roman"/>
                <w:b/>
              </w:rPr>
              <w:t>Submission</w:t>
            </w:r>
            <w:r>
              <w:rPr>
                <w:rFonts w:ascii="Times New Roman"/>
                <w:b/>
                <w:spacing w:val="-2"/>
              </w:rPr>
              <w:t xml:space="preserve"> </w:t>
            </w:r>
            <w:r>
              <w:rPr>
                <w:rFonts w:ascii="Times New Roman"/>
                <w:b/>
              </w:rPr>
              <w:t>and</w:t>
            </w:r>
            <w:r>
              <w:rPr>
                <w:rFonts w:ascii="Times New Roman"/>
                <w:b/>
                <w:spacing w:val="-4"/>
              </w:rPr>
              <w:t xml:space="preserve"> </w:t>
            </w:r>
            <w:r>
              <w:rPr>
                <w:rFonts w:ascii="Times New Roman"/>
                <w:b/>
              </w:rPr>
              <w:t>Opening</w:t>
            </w:r>
            <w:r>
              <w:rPr>
                <w:rFonts w:ascii="Times New Roman"/>
                <w:b/>
                <w:spacing w:val="-2"/>
              </w:rPr>
              <w:t xml:space="preserve"> </w:t>
            </w:r>
            <w:r>
              <w:rPr>
                <w:rFonts w:ascii="Times New Roman"/>
                <w:b/>
              </w:rPr>
              <w:t>of</w:t>
            </w:r>
            <w:r>
              <w:rPr>
                <w:rFonts w:ascii="Times New Roman"/>
                <w:b/>
                <w:spacing w:val="-2"/>
              </w:rPr>
              <w:t xml:space="preserve"> Tenders</w:t>
            </w:r>
          </w:p>
        </w:tc>
      </w:tr>
      <w:tr w:rsidR="007F6DF9">
        <w:trPr>
          <w:trHeight w:val="2528"/>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22.1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numPr>
                <w:ilvl w:val="0"/>
                <w:numId w:val="188"/>
              </w:numPr>
              <w:tabs>
                <w:tab w:val="left" w:pos="466"/>
              </w:tabs>
              <w:spacing w:line="251" w:lineRule="exact"/>
              <w:ind w:left="466" w:hanging="359"/>
              <w:rPr>
                <w:rFonts w:ascii="Times New Roman" w:hAnsi="Times New Roman"/>
              </w:rPr>
            </w:pPr>
            <w:r>
              <w:rPr>
                <w:rFonts w:ascii="Times New Roman" w:hAnsi="Times New Roman"/>
              </w:rPr>
              <w:t>For</w:t>
            </w:r>
            <w:r>
              <w:rPr>
                <w:rFonts w:ascii="Times New Roman" w:hAnsi="Times New Roman"/>
                <w:spacing w:val="-8"/>
              </w:rPr>
              <w:t xml:space="preserve"> </w:t>
            </w:r>
            <w:r>
              <w:rPr>
                <w:rFonts w:ascii="Times New Roman" w:hAnsi="Times New Roman"/>
                <w:u w:val="single"/>
              </w:rPr>
              <w:t>Tender</w:t>
            </w:r>
            <w:r>
              <w:rPr>
                <w:rFonts w:ascii="Times New Roman" w:hAnsi="Times New Roman"/>
                <w:spacing w:val="-3"/>
                <w:u w:val="single"/>
              </w:rPr>
              <w:t xml:space="preserve"> </w:t>
            </w:r>
            <w:r>
              <w:rPr>
                <w:rFonts w:ascii="Times New Roman" w:hAnsi="Times New Roman"/>
                <w:u w:val="single"/>
              </w:rPr>
              <w:t>submission</w:t>
            </w:r>
            <w:r>
              <w:rPr>
                <w:rFonts w:ascii="Times New Roman" w:hAnsi="Times New Roman"/>
                <w:spacing w:val="-8"/>
                <w:u w:val="single"/>
              </w:rPr>
              <w:t xml:space="preserve"> </w:t>
            </w:r>
            <w:r>
              <w:rPr>
                <w:rFonts w:ascii="Times New Roman" w:hAnsi="Times New Roman"/>
                <w:u w:val="single"/>
              </w:rPr>
              <w:t>purposes</w:t>
            </w:r>
            <w:r>
              <w:rPr>
                <w:rFonts w:ascii="Times New Roman" w:hAnsi="Times New Roman"/>
                <w:spacing w:val="-2"/>
                <w:u w:val="single"/>
              </w:rPr>
              <w:t xml:space="preserve"> </w:t>
            </w:r>
            <w:r>
              <w:rPr>
                <w:rFonts w:ascii="Times New Roman" w:hAnsi="Times New Roman"/>
              </w:rPr>
              <w:t>only,</w:t>
            </w:r>
            <w:r>
              <w:rPr>
                <w:rFonts w:ascii="Times New Roman" w:hAnsi="Times New Roman"/>
                <w:spacing w:val="-6"/>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Procuring</w:t>
            </w:r>
            <w:r>
              <w:rPr>
                <w:rFonts w:ascii="Times New Roman" w:hAnsi="Times New Roman"/>
                <w:spacing w:val="-3"/>
              </w:rPr>
              <w:t xml:space="preserve"> </w:t>
            </w:r>
            <w:r>
              <w:rPr>
                <w:rFonts w:ascii="Times New Roman" w:hAnsi="Times New Roman"/>
              </w:rPr>
              <w:t>Entity’s</w:t>
            </w:r>
            <w:r>
              <w:rPr>
                <w:rFonts w:ascii="Times New Roman" w:hAnsi="Times New Roman"/>
                <w:spacing w:val="-4"/>
              </w:rPr>
              <w:t xml:space="preserve"> </w:t>
            </w:r>
            <w:r>
              <w:rPr>
                <w:rFonts w:ascii="Times New Roman" w:hAnsi="Times New Roman"/>
              </w:rPr>
              <w:t>address</w:t>
            </w:r>
            <w:r>
              <w:rPr>
                <w:rFonts w:ascii="Times New Roman" w:hAnsi="Times New Roman"/>
                <w:spacing w:val="-5"/>
              </w:rPr>
              <w:t xml:space="preserve"> is:</w:t>
            </w:r>
          </w:p>
          <w:p w:rsidR="007F6DF9" w:rsidRDefault="007F6DF9">
            <w:pPr>
              <w:pStyle w:val="TableParagraph"/>
              <w:rPr>
                <w:rFonts w:ascii="Times New Roman"/>
              </w:rPr>
            </w:pPr>
          </w:p>
          <w:p w:rsidR="007F6DF9" w:rsidRDefault="00A43FBC">
            <w:pPr>
              <w:pStyle w:val="TableParagraph"/>
              <w:numPr>
                <w:ilvl w:val="1"/>
                <w:numId w:val="188"/>
              </w:numPr>
              <w:tabs>
                <w:tab w:val="left" w:pos="827"/>
              </w:tabs>
              <w:rPr>
                <w:rFonts w:ascii="Times New Roman"/>
              </w:rPr>
            </w:pPr>
            <w:r>
              <w:rPr>
                <w:rFonts w:ascii="Times New Roman"/>
              </w:rPr>
              <w:t>Name</w:t>
            </w:r>
            <w:r>
              <w:rPr>
                <w:rFonts w:ascii="Times New Roman"/>
                <w:spacing w:val="-3"/>
              </w:rPr>
              <w:t xml:space="preserve"> </w:t>
            </w:r>
            <w:r>
              <w:rPr>
                <w:rFonts w:ascii="Times New Roman"/>
              </w:rPr>
              <w:t>of</w:t>
            </w:r>
            <w:r>
              <w:rPr>
                <w:rFonts w:ascii="Times New Roman"/>
                <w:spacing w:val="-2"/>
              </w:rPr>
              <w:t xml:space="preserve"> </w:t>
            </w:r>
            <w:r>
              <w:rPr>
                <w:rFonts w:ascii="Times New Roman"/>
              </w:rPr>
              <w:t>Procuring</w:t>
            </w:r>
            <w:r>
              <w:rPr>
                <w:rFonts w:ascii="Times New Roman"/>
                <w:spacing w:val="-2"/>
              </w:rPr>
              <w:t xml:space="preserve"> Entity</w:t>
            </w:r>
            <w:r w:rsidR="00BD67AA">
              <w:rPr>
                <w:rFonts w:ascii="Times New Roman"/>
                <w:spacing w:val="-2"/>
              </w:rPr>
              <w:t>-</w:t>
            </w:r>
            <w:proofErr w:type="spellStart"/>
            <w:r w:rsidR="00BD67AA" w:rsidRPr="00BD67AA">
              <w:rPr>
                <w:rFonts w:ascii="Times New Roman"/>
                <w:b/>
                <w:spacing w:val="-2"/>
              </w:rPr>
              <w:t>Jaramogi</w:t>
            </w:r>
            <w:proofErr w:type="spellEnd"/>
            <w:r w:rsidR="00BD67AA" w:rsidRPr="00BD67AA">
              <w:rPr>
                <w:rFonts w:ascii="Times New Roman"/>
                <w:b/>
                <w:spacing w:val="-2"/>
              </w:rPr>
              <w:t xml:space="preserve"> </w:t>
            </w:r>
            <w:proofErr w:type="spellStart"/>
            <w:r w:rsidR="00BD67AA" w:rsidRPr="00BD67AA">
              <w:rPr>
                <w:rFonts w:ascii="Times New Roman"/>
                <w:b/>
                <w:spacing w:val="-2"/>
              </w:rPr>
              <w:t>Oginga</w:t>
            </w:r>
            <w:proofErr w:type="spellEnd"/>
            <w:r w:rsidR="00BD67AA" w:rsidRPr="00BD67AA">
              <w:rPr>
                <w:rFonts w:ascii="Times New Roman"/>
                <w:b/>
                <w:spacing w:val="-2"/>
              </w:rPr>
              <w:t xml:space="preserve"> </w:t>
            </w:r>
            <w:proofErr w:type="spellStart"/>
            <w:r w:rsidR="00BD67AA" w:rsidRPr="00BD67AA">
              <w:rPr>
                <w:rFonts w:ascii="Times New Roman"/>
                <w:b/>
                <w:spacing w:val="-2"/>
              </w:rPr>
              <w:t>Odinga</w:t>
            </w:r>
            <w:proofErr w:type="spellEnd"/>
            <w:r w:rsidR="00BD67AA" w:rsidRPr="00BD67AA">
              <w:rPr>
                <w:rFonts w:ascii="Times New Roman"/>
                <w:b/>
                <w:spacing w:val="-2"/>
              </w:rPr>
              <w:t xml:space="preserve"> Teaching </w:t>
            </w:r>
            <w:proofErr w:type="gramStart"/>
            <w:r w:rsidR="00BD67AA" w:rsidRPr="00BD67AA">
              <w:rPr>
                <w:rFonts w:ascii="Times New Roman"/>
                <w:b/>
                <w:spacing w:val="-2"/>
              </w:rPr>
              <w:t>And</w:t>
            </w:r>
            <w:proofErr w:type="gramEnd"/>
            <w:r w:rsidR="00BD67AA" w:rsidRPr="00BD67AA">
              <w:rPr>
                <w:rFonts w:ascii="Times New Roman"/>
                <w:b/>
                <w:spacing w:val="-2"/>
              </w:rPr>
              <w:t xml:space="preserve"> Referral Hospital</w:t>
            </w:r>
          </w:p>
          <w:p w:rsidR="007F6DF9" w:rsidRDefault="007F6DF9">
            <w:pPr>
              <w:pStyle w:val="TableParagraph"/>
              <w:rPr>
                <w:rFonts w:ascii="Times New Roman"/>
              </w:rPr>
            </w:pPr>
          </w:p>
          <w:p w:rsidR="007F6DF9" w:rsidRDefault="00A43FBC">
            <w:pPr>
              <w:pStyle w:val="TableParagraph"/>
              <w:numPr>
                <w:ilvl w:val="1"/>
                <w:numId w:val="188"/>
              </w:numPr>
              <w:tabs>
                <w:tab w:val="left" w:pos="827"/>
              </w:tabs>
              <w:spacing w:before="1" w:line="252" w:lineRule="exact"/>
              <w:rPr>
                <w:rFonts w:ascii="Times New Roman"/>
                <w:b/>
                <w:i/>
              </w:rPr>
            </w:pPr>
            <w:r>
              <w:rPr>
                <w:rFonts w:ascii="Times New Roman"/>
              </w:rPr>
              <w:t>Postal</w:t>
            </w:r>
            <w:r>
              <w:rPr>
                <w:rFonts w:ascii="Times New Roman"/>
                <w:spacing w:val="4"/>
              </w:rPr>
              <w:t xml:space="preserve"> </w:t>
            </w:r>
            <w:r>
              <w:rPr>
                <w:rFonts w:ascii="Times New Roman"/>
              </w:rPr>
              <w:t>Address</w:t>
            </w:r>
            <w:r>
              <w:rPr>
                <w:rFonts w:ascii="Times New Roman"/>
                <w:spacing w:val="5"/>
              </w:rPr>
              <w:t xml:space="preserve"> </w:t>
            </w:r>
            <w:r>
              <w:rPr>
                <w:rFonts w:ascii="Times New Roman"/>
                <w:b/>
                <w:i/>
                <w:color w:val="302E2E"/>
              </w:rPr>
              <w:t>P.O</w:t>
            </w:r>
            <w:r>
              <w:rPr>
                <w:rFonts w:ascii="Times New Roman"/>
                <w:b/>
                <w:i/>
                <w:color w:val="302E2E"/>
                <w:spacing w:val="6"/>
              </w:rPr>
              <w:t xml:space="preserve"> </w:t>
            </w:r>
            <w:r>
              <w:rPr>
                <w:rFonts w:ascii="Times New Roman"/>
                <w:b/>
                <w:i/>
                <w:color w:val="302E2E"/>
              </w:rPr>
              <w:t>BOX</w:t>
            </w:r>
            <w:r>
              <w:rPr>
                <w:rFonts w:ascii="Times New Roman"/>
                <w:b/>
                <w:i/>
                <w:color w:val="302E2E"/>
                <w:spacing w:val="38"/>
              </w:rPr>
              <w:t xml:space="preserve">  </w:t>
            </w:r>
            <w:r>
              <w:rPr>
                <w:rFonts w:ascii="Times New Roman"/>
                <w:b/>
                <w:i/>
                <w:color w:val="221F1F"/>
              </w:rPr>
              <w:t>849-40100,</w:t>
            </w:r>
            <w:r>
              <w:rPr>
                <w:rFonts w:ascii="Times New Roman"/>
                <w:b/>
                <w:i/>
                <w:color w:val="221F1F"/>
                <w:spacing w:val="4"/>
              </w:rPr>
              <w:t xml:space="preserve"> </w:t>
            </w:r>
            <w:r>
              <w:rPr>
                <w:rFonts w:ascii="Times New Roman"/>
                <w:b/>
                <w:i/>
                <w:color w:val="221F1F"/>
                <w:spacing w:val="-2"/>
              </w:rPr>
              <w:t>KISUMU</w:t>
            </w:r>
          </w:p>
          <w:p w:rsidR="007F6DF9" w:rsidRDefault="00A43FBC">
            <w:pPr>
              <w:pStyle w:val="TableParagraph"/>
              <w:numPr>
                <w:ilvl w:val="1"/>
                <w:numId w:val="188"/>
              </w:numPr>
              <w:tabs>
                <w:tab w:val="left" w:pos="827"/>
              </w:tabs>
              <w:spacing w:line="252" w:lineRule="exact"/>
              <w:rPr>
                <w:rFonts w:ascii="Times New Roman"/>
              </w:rPr>
            </w:pPr>
            <w:r>
              <w:rPr>
                <w:rFonts w:ascii="Times New Roman"/>
              </w:rPr>
              <w:t>Physical</w:t>
            </w:r>
            <w:r>
              <w:rPr>
                <w:rFonts w:ascii="Times New Roman"/>
                <w:spacing w:val="-5"/>
              </w:rPr>
              <w:t xml:space="preserve"> </w:t>
            </w:r>
            <w:r>
              <w:rPr>
                <w:rFonts w:ascii="Times New Roman"/>
              </w:rPr>
              <w:t>address</w:t>
            </w:r>
            <w:r>
              <w:rPr>
                <w:rFonts w:ascii="Times New Roman"/>
                <w:spacing w:val="-4"/>
              </w:rPr>
              <w:t xml:space="preserve"> </w:t>
            </w:r>
            <w:r>
              <w:rPr>
                <w:rFonts w:ascii="Times New Roman"/>
              </w:rPr>
              <w:t>for</w:t>
            </w:r>
            <w:r>
              <w:rPr>
                <w:rFonts w:ascii="Times New Roman"/>
                <w:spacing w:val="-3"/>
              </w:rPr>
              <w:t xml:space="preserve"> </w:t>
            </w:r>
            <w:r>
              <w:rPr>
                <w:rFonts w:ascii="Times New Roman"/>
              </w:rPr>
              <w:t>hand</w:t>
            </w:r>
            <w:r>
              <w:rPr>
                <w:rFonts w:ascii="Times New Roman"/>
                <w:spacing w:val="-2"/>
              </w:rPr>
              <w:t xml:space="preserve"> </w:t>
            </w:r>
            <w:r>
              <w:rPr>
                <w:rFonts w:ascii="Times New Roman"/>
              </w:rPr>
              <w:t>Courier</w:t>
            </w:r>
            <w:r>
              <w:rPr>
                <w:rFonts w:ascii="Times New Roman"/>
                <w:spacing w:val="-2"/>
              </w:rPr>
              <w:t xml:space="preserve"> </w:t>
            </w:r>
            <w:r>
              <w:rPr>
                <w:rFonts w:ascii="Times New Roman"/>
              </w:rPr>
              <w:t>Delivery</w:t>
            </w:r>
            <w:r>
              <w:rPr>
                <w:rFonts w:ascii="Times New Roman"/>
                <w:spacing w:val="-5"/>
              </w:rPr>
              <w:t xml:space="preserve"> </w:t>
            </w:r>
            <w:proofErr w:type="gramStart"/>
            <w:r>
              <w:rPr>
                <w:rFonts w:ascii="Times New Roman"/>
              </w:rPr>
              <w:t>to</w:t>
            </w:r>
            <w:r>
              <w:rPr>
                <w:rFonts w:ascii="Times New Roman"/>
                <w:spacing w:val="-2"/>
              </w:rPr>
              <w:t xml:space="preserve"> </w:t>
            </w:r>
            <w:r>
              <w:rPr>
                <w:rFonts w:ascii="Times New Roman"/>
              </w:rPr>
              <w:t>:</w:t>
            </w:r>
            <w:proofErr w:type="gramEnd"/>
            <w:r>
              <w:rPr>
                <w:rFonts w:ascii="Times New Roman"/>
                <w:spacing w:val="-1"/>
              </w:rPr>
              <w:t xml:space="preserve"> </w:t>
            </w:r>
            <w:r w:rsidR="00BD67AA">
              <w:rPr>
                <w:rFonts w:ascii="Times New Roman"/>
              </w:rPr>
              <w:t>JOOTRH WAREHOUSE</w:t>
            </w:r>
          </w:p>
          <w:p w:rsidR="007F6DF9" w:rsidRDefault="00A43FBC">
            <w:pPr>
              <w:pStyle w:val="TableParagraph"/>
              <w:spacing w:before="1" w:line="252" w:lineRule="exact"/>
              <w:ind w:left="107"/>
              <w:rPr>
                <w:rFonts w:ascii="Times New Roman" w:hAnsi="Times New Roman"/>
                <w:b/>
                <w:i/>
              </w:rPr>
            </w:pPr>
            <w:r>
              <w:rPr>
                <w:rFonts w:ascii="Times New Roman" w:hAnsi="Times New Roman"/>
              </w:rPr>
              <w:t>Date</w:t>
            </w:r>
            <w:r>
              <w:rPr>
                <w:rFonts w:ascii="Times New Roman" w:hAnsi="Times New Roman"/>
                <w:spacing w:val="5"/>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time</w:t>
            </w:r>
            <w:r>
              <w:rPr>
                <w:rFonts w:ascii="Times New Roman" w:hAnsi="Times New Roman"/>
                <w:spacing w:val="6"/>
              </w:rPr>
              <w:t xml:space="preserve"> </w:t>
            </w:r>
            <w:r>
              <w:rPr>
                <w:rFonts w:ascii="Times New Roman" w:hAnsi="Times New Roman"/>
              </w:rPr>
              <w:t>for</w:t>
            </w:r>
            <w:r>
              <w:rPr>
                <w:rFonts w:ascii="Times New Roman" w:hAnsi="Times New Roman"/>
                <w:spacing w:val="6"/>
              </w:rPr>
              <w:t xml:space="preserve"> </w:t>
            </w:r>
            <w:r>
              <w:rPr>
                <w:rFonts w:ascii="Times New Roman" w:hAnsi="Times New Roman"/>
              </w:rPr>
              <w:t>submission</w:t>
            </w:r>
            <w:r>
              <w:rPr>
                <w:rFonts w:ascii="Times New Roman" w:hAnsi="Times New Roman"/>
                <w:spacing w:val="6"/>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Tenders…</w:t>
            </w:r>
            <w:r>
              <w:rPr>
                <w:rFonts w:ascii="Times New Roman" w:hAnsi="Times New Roman"/>
                <w:spacing w:val="10"/>
              </w:rPr>
              <w:t xml:space="preserve"> </w:t>
            </w:r>
            <w:r>
              <w:rPr>
                <w:rFonts w:ascii="Times New Roman" w:hAnsi="Times New Roman"/>
                <w:b/>
                <w:i/>
                <w:color w:val="302C2E"/>
              </w:rPr>
              <w:t>As</w:t>
            </w:r>
            <w:r>
              <w:rPr>
                <w:rFonts w:ascii="Times New Roman" w:hAnsi="Times New Roman"/>
                <w:b/>
                <w:i/>
                <w:color w:val="302C2E"/>
                <w:spacing w:val="10"/>
              </w:rPr>
              <w:t xml:space="preserve"> </w:t>
            </w:r>
            <w:r>
              <w:rPr>
                <w:rFonts w:ascii="Times New Roman" w:hAnsi="Times New Roman"/>
                <w:b/>
                <w:i/>
                <w:color w:val="302C2E"/>
              </w:rPr>
              <w:t>indicated</w:t>
            </w:r>
            <w:r>
              <w:rPr>
                <w:rFonts w:ascii="Times New Roman" w:hAnsi="Times New Roman"/>
                <w:b/>
                <w:i/>
                <w:color w:val="302C2E"/>
                <w:spacing w:val="8"/>
              </w:rPr>
              <w:t xml:space="preserve"> </w:t>
            </w:r>
            <w:r>
              <w:rPr>
                <w:rFonts w:ascii="Times New Roman" w:hAnsi="Times New Roman"/>
                <w:b/>
                <w:i/>
                <w:color w:val="302C2E"/>
              </w:rPr>
              <w:t>in</w:t>
            </w:r>
            <w:r>
              <w:rPr>
                <w:rFonts w:ascii="Times New Roman" w:hAnsi="Times New Roman"/>
                <w:b/>
                <w:i/>
                <w:color w:val="302C2E"/>
                <w:spacing w:val="9"/>
              </w:rPr>
              <w:t xml:space="preserve"> </w:t>
            </w:r>
            <w:r>
              <w:rPr>
                <w:rFonts w:ascii="Times New Roman" w:hAnsi="Times New Roman"/>
                <w:b/>
                <w:i/>
                <w:color w:val="302C2E"/>
              </w:rPr>
              <w:t>tender</w:t>
            </w:r>
            <w:r>
              <w:rPr>
                <w:rFonts w:ascii="Times New Roman" w:hAnsi="Times New Roman"/>
                <w:b/>
                <w:i/>
                <w:color w:val="302C2E"/>
                <w:spacing w:val="12"/>
              </w:rPr>
              <w:t xml:space="preserve"> </w:t>
            </w:r>
            <w:proofErr w:type="spellStart"/>
            <w:r>
              <w:rPr>
                <w:rFonts w:ascii="Times New Roman" w:hAnsi="Times New Roman"/>
                <w:b/>
                <w:i/>
                <w:color w:val="302C2E"/>
                <w:spacing w:val="-2"/>
              </w:rPr>
              <w:t>advertisment</w:t>
            </w:r>
            <w:proofErr w:type="spellEnd"/>
          </w:p>
          <w:p w:rsidR="007F6DF9" w:rsidRDefault="00A43FBC">
            <w:pPr>
              <w:pStyle w:val="TableParagraph"/>
              <w:spacing w:line="252" w:lineRule="exact"/>
              <w:ind w:left="107"/>
              <w:rPr>
                <w:rFonts w:ascii="Times New Roman" w:hAnsi="Times New Roman"/>
              </w:rPr>
            </w:pPr>
            <w:r>
              <w:rPr>
                <w:rFonts w:ascii="Times New Roman" w:hAnsi="Times New Roman"/>
                <w:spacing w:val="-2"/>
              </w:rPr>
              <w:t>………………….</w:t>
            </w:r>
          </w:p>
          <w:p w:rsidR="007F6DF9" w:rsidRDefault="007F6DF9">
            <w:pPr>
              <w:pStyle w:val="TableParagraph"/>
              <w:rPr>
                <w:rFonts w:ascii="Times New Roman"/>
              </w:rPr>
            </w:pPr>
          </w:p>
          <w:p w:rsidR="007F6DF9" w:rsidRDefault="00A43FBC" w:rsidP="00BD67AA">
            <w:pPr>
              <w:pStyle w:val="TableParagraph"/>
              <w:numPr>
                <w:ilvl w:val="1"/>
                <w:numId w:val="188"/>
              </w:numPr>
              <w:tabs>
                <w:tab w:val="left" w:pos="475"/>
              </w:tabs>
              <w:spacing w:line="233" w:lineRule="exact"/>
              <w:ind w:left="475" w:hanging="368"/>
              <w:rPr>
                <w:rFonts w:ascii="Times New Roman"/>
              </w:rPr>
            </w:pPr>
            <w:r>
              <w:rPr>
                <w:rFonts w:ascii="Times New Roman"/>
              </w:rPr>
              <w:t>Tenders</w:t>
            </w:r>
            <w:r>
              <w:rPr>
                <w:rFonts w:ascii="Times New Roman"/>
                <w:spacing w:val="-3"/>
              </w:rPr>
              <w:t xml:space="preserve"> </w:t>
            </w:r>
            <w:r>
              <w:rPr>
                <w:rFonts w:ascii="Times New Roman"/>
              </w:rPr>
              <w:t>shall</w:t>
            </w:r>
            <w:r>
              <w:rPr>
                <w:rFonts w:ascii="Times New Roman"/>
                <w:spacing w:val="-1"/>
              </w:rPr>
              <w:t xml:space="preserve"> </w:t>
            </w:r>
            <w:r>
              <w:rPr>
                <w:rFonts w:ascii="Times New Roman"/>
                <w:b/>
              </w:rPr>
              <w:t>be</w:t>
            </w:r>
            <w:r>
              <w:rPr>
                <w:rFonts w:ascii="Times New Roman"/>
                <w:b/>
                <w:spacing w:val="-5"/>
              </w:rPr>
              <w:t xml:space="preserve"> </w:t>
            </w:r>
            <w:r>
              <w:rPr>
                <w:rFonts w:ascii="Times New Roman"/>
                <w:b/>
              </w:rPr>
              <w:t>submitted</w:t>
            </w:r>
            <w:r>
              <w:rPr>
                <w:rFonts w:ascii="Times New Roman"/>
                <w:b/>
                <w:spacing w:val="48"/>
              </w:rPr>
              <w:t xml:space="preserve"> </w:t>
            </w:r>
            <w:r w:rsidR="00BD67AA">
              <w:rPr>
                <w:rFonts w:ascii="Times New Roman"/>
                <w:spacing w:val="-2"/>
              </w:rPr>
              <w:t>Physically.</w:t>
            </w:r>
          </w:p>
        </w:tc>
      </w:tr>
      <w:tr w:rsidR="007F6DF9">
        <w:trPr>
          <w:trHeight w:val="1266"/>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b/>
              </w:rPr>
            </w:pPr>
            <w:r>
              <w:rPr>
                <w:rFonts w:ascii="Times New Roman"/>
                <w:b/>
              </w:rPr>
              <w:lastRenderedPageBreak/>
              <w:t>ITT</w:t>
            </w:r>
            <w:r>
              <w:rPr>
                <w:rFonts w:ascii="Times New Roman"/>
                <w:b/>
                <w:spacing w:val="-2"/>
              </w:rPr>
              <w:t xml:space="preserve"> </w:t>
            </w:r>
            <w:r>
              <w:rPr>
                <w:rFonts w:ascii="Times New Roman"/>
                <w:b/>
                <w:spacing w:val="-4"/>
              </w:rPr>
              <w:t>25.1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b/>
                <w:i/>
              </w:rPr>
            </w:pPr>
            <w:r>
              <w:rPr>
                <w:rFonts w:ascii="Times New Roman"/>
              </w:rPr>
              <w:t>The</w:t>
            </w:r>
            <w:r>
              <w:rPr>
                <w:rFonts w:ascii="Times New Roman"/>
                <w:spacing w:val="-2"/>
              </w:rPr>
              <w:t xml:space="preserve"> </w:t>
            </w:r>
            <w:r>
              <w:rPr>
                <w:rFonts w:ascii="Times New Roman"/>
              </w:rPr>
              <w:t>Tender</w:t>
            </w:r>
            <w:r>
              <w:rPr>
                <w:rFonts w:ascii="Times New Roman"/>
                <w:spacing w:val="-1"/>
              </w:rPr>
              <w:t xml:space="preserve"> </w:t>
            </w:r>
            <w:r>
              <w:rPr>
                <w:rFonts w:ascii="Times New Roman"/>
              </w:rPr>
              <w:t>opening</w:t>
            </w:r>
            <w:r>
              <w:rPr>
                <w:rFonts w:ascii="Times New Roman"/>
                <w:spacing w:val="-2"/>
              </w:rPr>
              <w:t xml:space="preserve"> </w:t>
            </w:r>
            <w:r>
              <w:rPr>
                <w:rFonts w:ascii="Times New Roman"/>
              </w:rPr>
              <w:t>shall</w:t>
            </w:r>
            <w:r>
              <w:rPr>
                <w:rFonts w:ascii="Times New Roman"/>
                <w:spacing w:val="-1"/>
              </w:rPr>
              <w:t xml:space="preserve"> </w:t>
            </w:r>
            <w:r>
              <w:rPr>
                <w:rFonts w:ascii="Times New Roman"/>
              </w:rPr>
              <w:t>take</w:t>
            </w:r>
            <w:r>
              <w:rPr>
                <w:rFonts w:ascii="Times New Roman"/>
                <w:spacing w:val="-2"/>
              </w:rPr>
              <w:t xml:space="preserve"> </w:t>
            </w:r>
            <w:r>
              <w:rPr>
                <w:rFonts w:ascii="Times New Roman"/>
              </w:rPr>
              <w:t>place</w:t>
            </w:r>
            <w:r>
              <w:rPr>
                <w:rFonts w:ascii="Times New Roman"/>
                <w:spacing w:val="-4"/>
              </w:rPr>
              <w:t xml:space="preserve"> </w:t>
            </w:r>
            <w:r>
              <w:rPr>
                <w:rFonts w:ascii="Times New Roman"/>
              </w:rPr>
              <w:t>at</w:t>
            </w:r>
            <w:r>
              <w:rPr>
                <w:rFonts w:ascii="Times New Roman"/>
                <w:spacing w:val="-4"/>
              </w:rPr>
              <w:t xml:space="preserve"> </w:t>
            </w:r>
            <w:r>
              <w:rPr>
                <w:rFonts w:ascii="Times New Roman"/>
              </w:rPr>
              <w:t>the</w:t>
            </w:r>
            <w:r>
              <w:rPr>
                <w:rFonts w:ascii="Times New Roman"/>
                <w:spacing w:val="-4"/>
              </w:rPr>
              <w:t xml:space="preserve"> </w:t>
            </w:r>
            <w:r>
              <w:rPr>
                <w:rFonts w:ascii="Times New Roman"/>
              </w:rPr>
              <w:t>time</w:t>
            </w:r>
            <w:r>
              <w:rPr>
                <w:rFonts w:ascii="Times New Roman"/>
                <w:spacing w:val="-2"/>
              </w:rPr>
              <w:t xml:space="preserve"> </w:t>
            </w:r>
            <w:r>
              <w:rPr>
                <w:rFonts w:ascii="Times New Roman"/>
              </w:rPr>
              <w:t>and</w:t>
            </w:r>
            <w:r>
              <w:rPr>
                <w:rFonts w:ascii="Times New Roman"/>
                <w:spacing w:val="-5"/>
              </w:rPr>
              <w:t xml:space="preserve"> </w:t>
            </w:r>
            <w:r>
              <w:rPr>
                <w:rFonts w:ascii="Times New Roman"/>
              </w:rPr>
              <w:t>the</w:t>
            </w:r>
            <w:r>
              <w:rPr>
                <w:rFonts w:ascii="Times New Roman"/>
                <w:spacing w:val="-2"/>
              </w:rPr>
              <w:t xml:space="preserve"> </w:t>
            </w:r>
            <w:r>
              <w:rPr>
                <w:rFonts w:ascii="Times New Roman"/>
              </w:rPr>
              <w:t>address</w:t>
            </w:r>
            <w:r>
              <w:rPr>
                <w:rFonts w:ascii="Times New Roman"/>
                <w:spacing w:val="-4"/>
              </w:rPr>
              <w:t xml:space="preserve"> </w:t>
            </w:r>
            <w:r>
              <w:rPr>
                <w:rFonts w:ascii="Times New Roman"/>
              </w:rPr>
              <w:t>for</w:t>
            </w:r>
            <w:r>
              <w:rPr>
                <w:rFonts w:ascii="Times New Roman"/>
                <w:spacing w:val="-2"/>
              </w:rPr>
              <w:t xml:space="preserve"> </w:t>
            </w:r>
            <w:r>
              <w:rPr>
                <w:rFonts w:ascii="Times New Roman"/>
              </w:rPr>
              <w:t>Opening</w:t>
            </w:r>
            <w:r>
              <w:rPr>
                <w:rFonts w:ascii="Times New Roman"/>
                <w:spacing w:val="-2"/>
              </w:rPr>
              <w:t xml:space="preserve"> </w:t>
            </w:r>
            <w:r>
              <w:rPr>
                <w:rFonts w:ascii="Times New Roman"/>
              </w:rPr>
              <w:t>of</w:t>
            </w:r>
            <w:r>
              <w:rPr>
                <w:rFonts w:ascii="Times New Roman"/>
                <w:spacing w:val="-2"/>
              </w:rPr>
              <w:t xml:space="preserve"> </w:t>
            </w:r>
            <w:r>
              <w:rPr>
                <w:rFonts w:ascii="Times New Roman"/>
              </w:rPr>
              <w:t>Tenders</w:t>
            </w:r>
            <w:r>
              <w:rPr>
                <w:rFonts w:ascii="Times New Roman"/>
                <w:spacing w:val="-2"/>
              </w:rPr>
              <w:t xml:space="preserve"> </w:t>
            </w:r>
            <w:r>
              <w:rPr>
                <w:rFonts w:ascii="Times New Roman"/>
              </w:rPr>
              <w:t xml:space="preserve">provided below: </w:t>
            </w:r>
            <w:r>
              <w:rPr>
                <w:rFonts w:ascii="Times New Roman"/>
                <w:b/>
                <w:i/>
                <w:color w:val="302C2E"/>
              </w:rPr>
              <w:t xml:space="preserve">As indicated in the tender </w:t>
            </w:r>
            <w:proofErr w:type="spellStart"/>
            <w:r>
              <w:rPr>
                <w:rFonts w:ascii="Times New Roman"/>
                <w:b/>
                <w:i/>
                <w:color w:val="302C2E"/>
              </w:rPr>
              <w:t>advertisment</w:t>
            </w:r>
            <w:proofErr w:type="spellEnd"/>
          </w:p>
          <w:p w:rsidR="007F6DF9" w:rsidRDefault="00A43FBC">
            <w:pPr>
              <w:pStyle w:val="TableParagraph"/>
              <w:numPr>
                <w:ilvl w:val="0"/>
                <w:numId w:val="187"/>
              </w:numPr>
              <w:tabs>
                <w:tab w:val="left" w:pos="1101"/>
              </w:tabs>
              <w:spacing w:before="235" w:line="252" w:lineRule="exact"/>
              <w:ind w:right="516" w:firstLine="0"/>
              <w:rPr>
                <w:rFonts w:ascii="Times New Roman"/>
                <w:b/>
              </w:rPr>
            </w:pPr>
            <w:r>
              <w:rPr>
                <w:rFonts w:ascii="Times New Roman"/>
              </w:rPr>
              <w:t xml:space="preserve">Name of Procuring </w:t>
            </w:r>
            <w:r>
              <w:rPr>
                <w:rFonts w:ascii="Times New Roman"/>
                <w:b/>
              </w:rPr>
              <w:t xml:space="preserve">Entity </w:t>
            </w:r>
            <w:r>
              <w:rPr>
                <w:rFonts w:ascii="Times New Roman"/>
                <w:b/>
                <w:color w:val="302E2E"/>
              </w:rPr>
              <w:t>JARAMOGI OGINGA ODINGA TEACHING &amp; REFERRAL HOSPITAL</w:t>
            </w:r>
          </w:p>
        </w:tc>
      </w:tr>
    </w:tbl>
    <w:p w:rsidR="007F6DF9" w:rsidRDefault="007F6DF9">
      <w:pPr>
        <w:pStyle w:val="TableParagraph"/>
        <w:spacing w:line="252" w:lineRule="exact"/>
        <w:rPr>
          <w:rFonts w:ascii="Times New Roman"/>
          <w:b/>
        </w:rPr>
        <w:sectPr w:rsidR="007F6DF9">
          <w:pgSz w:w="11920" w:h="16850"/>
          <w:pgMar w:top="360" w:right="0" w:bottom="620" w:left="0" w:header="0" w:footer="437" w:gutter="0"/>
          <w:cols w:space="720"/>
        </w:sectPr>
      </w:pPr>
    </w:p>
    <w:p w:rsidR="007F6DF9" w:rsidRDefault="007F6DF9">
      <w:pPr>
        <w:pStyle w:val="BodyText"/>
        <w:spacing w:before="32"/>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7F6DF9">
        <w:trPr>
          <w:trHeight w:val="457"/>
        </w:trPr>
        <w:tc>
          <w:tcPr>
            <w:tcW w:w="1524" w:type="dxa"/>
            <w:tcBorders>
              <w:bottom w:val="single" w:sz="12" w:space="0" w:color="000000"/>
            </w:tcBorders>
          </w:tcPr>
          <w:p w:rsidR="007F6DF9" w:rsidRDefault="00A43FBC">
            <w:pPr>
              <w:pStyle w:val="TableParagraph"/>
              <w:spacing w:line="228" w:lineRule="exact"/>
              <w:ind w:left="117" w:right="318"/>
              <w:rPr>
                <w:rFonts w:ascii="Times New Roman"/>
                <w:b/>
                <w:sz w:val="20"/>
              </w:rPr>
            </w:pPr>
            <w:r>
              <w:rPr>
                <w:rFonts w:ascii="Times New Roman"/>
                <w:b/>
                <w:sz w:val="20"/>
              </w:rPr>
              <w:t>Reference</w:t>
            </w:r>
            <w:r>
              <w:rPr>
                <w:rFonts w:ascii="Times New Roman"/>
                <w:b/>
                <w:spacing w:val="-13"/>
                <w:sz w:val="20"/>
              </w:rPr>
              <w:t xml:space="preserve"> </w:t>
            </w:r>
            <w:r>
              <w:rPr>
                <w:rFonts w:ascii="Times New Roman"/>
                <w:b/>
                <w:sz w:val="20"/>
              </w:rPr>
              <w:t>to ITC Clause</w:t>
            </w:r>
          </w:p>
        </w:tc>
        <w:tc>
          <w:tcPr>
            <w:tcW w:w="8898" w:type="dxa"/>
            <w:tcBorders>
              <w:bottom w:val="single" w:sz="12" w:space="0" w:color="000000"/>
            </w:tcBorders>
          </w:tcPr>
          <w:p w:rsidR="007F6DF9" w:rsidRDefault="00A43FBC">
            <w:pPr>
              <w:pStyle w:val="TableParagraph"/>
              <w:ind w:left="117"/>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r>
      <w:tr w:rsidR="007F6DF9">
        <w:trPr>
          <w:trHeight w:val="1518"/>
        </w:trPr>
        <w:tc>
          <w:tcPr>
            <w:tcW w:w="1524" w:type="dxa"/>
            <w:tcBorders>
              <w:top w:val="single" w:sz="12" w:space="0" w:color="000000"/>
              <w:left w:val="single" w:sz="12" w:space="0" w:color="000000"/>
              <w:bottom w:val="single" w:sz="12" w:space="0" w:color="000000"/>
              <w:right w:val="single" w:sz="12" w:space="0" w:color="000000"/>
            </w:tcBorders>
          </w:tcPr>
          <w:p w:rsidR="007F6DF9" w:rsidRDefault="007F6DF9">
            <w:pPr>
              <w:pStyle w:val="TableParagraph"/>
              <w:rPr>
                <w:rFonts w:ascii="Times New Roman"/>
              </w:rPr>
            </w:pP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numPr>
                <w:ilvl w:val="0"/>
                <w:numId w:val="186"/>
              </w:numPr>
              <w:tabs>
                <w:tab w:val="left" w:pos="827"/>
              </w:tabs>
              <w:spacing w:before="253"/>
              <w:rPr>
                <w:rFonts w:ascii="Times New Roman"/>
                <w:b/>
              </w:rPr>
            </w:pPr>
            <w:r>
              <w:rPr>
                <w:rFonts w:ascii="Times New Roman"/>
              </w:rPr>
              <w:t>Physical</w:t>
            </w:r>
            <w:r>
              <w:rPr>
                <w:rFonts w:ascii="Times New Roman"/>
                <w:spacing w:val="-5"/>
              </w:rPr>
              <w:t xml:space="preserve"> </w:t>
            </w:r>
            <w:r>
              <w:rPr>
                <w:rFonts w:ascii="Times New Roman"/>
              </w:rPr>
              <w:t>address</w:t>
            </w:r>
            <w:r>
              <w:rPr>
                <w:rFonts w:ascii="Times New Roman"/>
                <w:spacing w:val="-5"/>
              </w:rPr>
              <w:t xml:space="preserve"> </w:t>
            </w:r>
            <w:r>
              <w:rPr>
                <w:rFonts w:ascii="Times New Roman"/>
              </w:rPr>
              <w:t>for</w:t>
            </w:r>
            <w:r>
              <w:rPr>
                <w:rFonts w:ascii="Times New Roman"/>
                <w:spacing w:val="-2"/>
              </w:rPr>
              <w:t xml:space="preserve"> </w:t>
            </w:r>
            <w:r>
              <w:rPr>
                <w:rFonts w:ascii="Times New Roman"/>
              </w:rPr>
              <w:t>the</w:t>
            </w:r>
            <w:r>
              <w:rPr>
                <w:rFonts w:ascii="Times New Roman"/>
                <w:spacing w:val="-3"/>
              </w:rPr>
              <w:t xml:space="preserve"> </w:t>
            </w:r>
            <w:r>
              <w:rPr>
                <w:rFonts w:ascii="Times New Roman"/>
              </w:rPr>
              <w:t>location:</w:t>
            </w:r>
            <w:r>
              <w:rPr>
                <w:rFonts w:ascii="Times New Roman"/>
                <w:spacing w:val="-1"/>
              </w:rPr>
              <w:t xml:space="preserve"> </w:t>
            </w:r>
            <w:r>
              <w:rPr>
                <w:rFonts w:ascii="Times New Roman"/>
                <w:b/>
                <w:spacing w:val="-2"/>
              </w:rPr>
              <w:t>JOOTRH</w:t>
            </w:r>
          </w:p>
          <w:p w:rsidR="007F6DF9" w:rsidRDefault="00A43FBC">
            <w:pPr>
              <w:pStyle w:val="TableParagraph"/>
              <w:numPr>
                <w:ilvl w:val="0"/>
                <w:numId w:val="186"/>
              </w:numPr>
              <w:tabs>
                <w:tab w:val="left" w:pos="805"/>
              </w:tabs>
              <w:spacing w:before="1"/>
              <w:ind w:left="805" w:hanging="698"/>
              <w:rPr>
                <w:rFonts w:ascii="Times New Roman"/>
                <w:b/>
                <w:i/>
              </w:rPr>
            </w:pPr>
            <w:r>
              <w:rPr>
                <w:rFonts w:ascii="Times New Roman"/>
              </w:rPr>
              <w:t>State</w:t>
            </w:r>
            <w:r>
              <w:rPr>
                <w:rFonts w:ascii="Times New Roman"/>
                <w:spacing w:val="3"/>
              </w:rPr>
              <w:t xml:space="preserve"> </w:t>
            </w:r>
            <w:r>
              <w:rPr>
                <w:rFonts w:ascii="Times New Roman"/>
              </w:rPr>
              <w:t>date</w:t>
            </w:r>
            <w:r>
              <w:rPr>
                <w:rFonts w:ascii="Times New Roman"/>
                <w:spacing w:val="6"/>
              </w:rPr>
              <w:t xml:space="preserve"> </w:t>
            </w:r>
            <w:r>
              <w:rPr>
                <w:rFonts w:ascii="Times New Roman"/>
              </w:rPr>
              <w:t>and</w:t>
            </w:r>
            <w:r>
              <w:rPr>
                <w:rFonts w:ascii="Times New Roman"/>
                <w:spacing w:val="6"/>
              </w:rPr>
              <w:t xml:space="preserve"> </w:t>
            </w:r>
            <w:r>
              <w:rPr>
                <w:rFonts w:ascii="Times New Roman"/>
              </w:rPr>
              <w:t>time</w:t>
            </w:r>
            <w:r>
              <w:rPr>
                <w:rFonts w:ascii="Times New Roman"/>
                <w:spacing w:val="4"/>
              </w:rPr>
              <w:t xml:space="preserve"> </w:t>
            </w:r>
            <w:r>
              <w:rPr>
                <w:rFonts w:ascii="Times New Roman"/>
              </w:rPr>
              <w:t>of</w:t>
            </w:r>
            <w:r>
              <w:rPr>
                <w:rFonts w:ascii="Times New Roman"/>
                <w:spacing w:val="6"/>
              </w:rPr>
              <w:t xml:space="preserve"> </w:t>
            </w:r>
            <w:r>
              <w:rPr>
                <w:rFonts w:ascii="Times New Roman"/>
              </w:rPr>
              <w:t>tender</w:t>
            </w:r>
            <w:r>
              <w:rPr>
                <w:rFonts w:ascii="Times New Roman"/>
                <w:spacing w:val="6"/>
              </w:rPr>
              <w:t xml:space="preserve"> </w:t>
            </w:r>
            <w:r>
              <w:rPr>
                <w:rFonts w:ascii="Times New Roman"/>
              </w:rPr>
              <w:t>opening.</w:t>
            </w:r>
            <w:r>
              <w:rPr>
                <w:rFonts w:ascii="Times New Roman"/>
                <w:spacing w:val="11"/>
              </w:rPr>
              <w:t xml:space="preserve"> </w:t>
            </w:r>
            <w:r>
              <w:rPr>
                <w:rFonts w:ascii="Times New Roman"/>
                <w:b/>
                <w:i/>
                <w:color w:val="302C2E"/>
              </w:rPr>
              <w:t>As</w:t>
            </w:r>
            <w:r>
              <w:rPr>
                <w:rFonts w:ascii="Times New Roman"/>
                <w:b/>
                <w:i/>
                <w:color w:val="302C2E"/>
                <w:spacing w:val="8"/>
              </w:rPr>
              <w:t xml:space="preserve"> </w:t>
            </w:r>
            <w:r>
              <w:rPr>
                <w:rFonts w:ascii="Times New Roman"/>
                <w:b/>
                <w:i/>
                <w:color w:val="302C2E"/>
              </w:rPr>
              <w:t>indicated</w:t>
            </w:r>
            <w:r>
              <w:rPr>
                <w:rFonts w:ascii="Times New Roman"/>
                <w:b/>
                <w:i/>
                <w:color w:val="302C2E"/>
                <w:spacing w:val="7"/>
              </w:rPr>
              <w:t xml:space="preserve"> </w:t>
            </w:r>
            <w:r>
              <w:rPr>
                <w:rFonts w:ascii="Times New Roman"/>
                <w:b/>
                <w:i/>
                <w:color w:val="302C2E"/>
              </w:rPr>
              <w:t>in</w:t>
            </w:r>
            <w:r>
              <w:rPr>
                <w:rFonts w:ascii="Times New Roman"/>
                <w:b/>
                <w:i/>
                <w:color w:val="302C2E"/>
                <w:spacing w:val="7"/>
              </w:rPr>
              <w:t xml:space="preserve"> </w:t>
            </w:r>
            <w:r>
              <w:rPr>
                <w:rFonts w:ascii="Times New Roman"/>
                <w:b/>
                <w:i/>
                <w:color w:val="302C2E"/>
              </w:rPr>
              <w:t>the</w:t>
            </w:r>
            <w:r>
              <w:rPr>
                <w:rFonts w:ascii="Times New Roman"/>
                <w:b/>
                <w:i/>
                <w:color w:val="302C2E"/>
                <w:spacing w:val="8"/>
              </w:rPr>
              <w:t xml:space="preserve"> </w:t>
            </w:r>
            <w:r>
              <w:rPr>
                <w:rFonts w:ascii="Times New Roman"/>
                <w:b/>
                <w:i/>
                <w:color w:val="302C2E"/>
              </w:rPr>
              <w:t>tender</w:t>
            </w:r>
            <w:r>
              <w:rPr>
                <w:rFonts w:ascii="Times New Roman"/>
                <w:b/>
                <w:i/>
                <w:color w:val="302C2E"/>
                <w:spacing w:val="19"/>
              </w:rPr>
              <w:t xml:space="preserve"> </w:t>
            </w:r>
            <w:r>
              <w:rPr>
                <w:rFonts w:ascii="Times New Roman"/>
                <w:b/>
                <w:i/>
                <w:color w:val="302C2E"/>
                <w:spacing w:val="-2"/>
              </w:rPr>
              <w:t>advertisement</w:t>
            </w:r>
          </w:p>
          <w:p w:rsidR="007F6DF9" w:rsidRDefault="007F6DF9">
            <w:pPr>
              <w:pStyle w:val="TableParagraph"/>
              <w:rPr>
                <w:rFonts w:ascii="Times New Roman"/>
              </w:rPr>
            </w:pPr>
          </w:p>
          <w:p w:rsidR="007F6DF9" w:rsidRDefault="00A931E2" w:rsidP="00A931E2">
            <w:pPr>
              <w:pStyle w:val="TableParagraph"/>
              <w:ind w:left="770"/>
              <w:rPr>
                <w:rFonts w:ascii="Times New Roman"/>
              </w:rPr>
            </w:pPr>
            <w:r>
              <w:t>Tenders shall be opened physically in the presence of bidders or their representatives who choose to attend.</w:t>
            </w:r>
          </w:p>
        </w:tc>
      </w:tr>
      <w:tr w:rsidR="007F6DF9">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4" w:lineRule="exact"/>
              <w:ind w:left="107"/>
              <w:rPr>
                <w:rFonts w:ascii="Times New Roman"/>
                <w:b/>
              </w:rPr>
            </w:pPr>
            <w:r>
              <w:rPr>
                <w:rFonts w:ascii="Times New Roman"/>
                <w:b/>
              </w:rPr>
              <w:t>E.</w:t>
            </w:r>
            <w:r>
              <w:rPr>
                <w:rFonts w:ascii="Times New Roman"/>
                <w:b/>
                <w:spacing w:val="50"/>
              </w:rPr>
              <w:t xml:space="preserve"> </w:t>
            </w:r>
            <w:r>
              <w:rPr>
                <w:rFonts w:ascii="Times New Roman"/>
                <w:b/>
              </w:rPr>
              <w:t>Evaluation,</w:t>
            </w:r>
            <w:r>
              <w:rPr>
                <w:rFonts w:ascii="Times New Roman"/>
                <w:b/>
                <w:spacing w:val="-2"/>
              </w:rPr>
              <w:t xml:space="preserve"> </w:t>
            </w:r>
            <w:r>
              <w:rPr>
                <w:rFonts w:ascii="Times New Roman"/>
                <w:b/>
              </w:rPr>
              <w:t>and</w:t>
            </w:r>
            <w:r>
              <w:rPr>
                <w:rFonts w:ascii="Times New Roman"/>
                <w:b/>
                <w:spacing w:val="-3"/>
              </w:rPr>
              <w:t xml:space="preserve"> </w:t>
            </w:r>
            <w:r>
              <w:rPr>
                <w:rFonts w:ascii="Times New Roman"/>
                <w:b/>
              </w:rPr>
              <w:t>Comparison</w:t>
            </w:r>
            <w:r>
              <w:rPr>
                <w:rFonts w:ascii="Times New Roman"/>
                <w:b/>
                <w:spacing w:val="-2"/>
              </w:rPr>
              <w:t xml:space="preserve"> </w:t>
            </w:r>
            <w:r>
              <w:rPr>
                <w:rFonts w:ascii="Times New Roman"/>
                <w:b/>
              </w:rPr>
              <w:t>of</w:t>
            </w:r>
            <w:r>
              <w:rPr>
                <w:rFonts w:ascii="Times New Roman"/>
                <w:b/>
                <w:spacing w:val="-2"/>
              </w:rPr>
              <w:t xml:space="preserve"> Tenders</w:t>
            </w:r>
          </w:p>
        </w:tc>
      </w:tr>
      <w:tr w:rsidR="007F6DF9">
        <w:trPr>
          <w:trHeight w:val="1011"/>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30.3</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4785"/>
              </w:tabs>
              <w:ind w:left="107" w:right="153"/>
              <w:rPr>
                <w:rFonts w:ascii="Times New Roman" w:hAnsi="Times New Roman"/>
              </w:rPr>
            </w:pPr>
            <w:r>
              <w:rPr>
                <w:rFonts w:ascii="Times New Roman" w:hAnsi="Times New Roman"/>
              </w:rPr>
              <w:t xml:space="preserve">The adjustment shall be based on the </w:t>
            </w:r>
            <w:r>
              <w:rPr>
                <w:rFonts w:ascii="Times New Roman" w:hAnsi="Times New Roman"/>
                <w:u w:val="single"/>
              </w:rPr>
              <w:tab/>
            </w:r>
            <w:r>
              <w:rPr>
                <w:rFonts w:ascii="Times New Roman" w:hAnsi="Times New Roman"/>
                <w:i/>
              </w:rPr>
              <w:t>[insert</w:t>
            </w:r>
            <w:r>
              <w:rPr>
                <w:rFonts w:ascii="Times New Roman" w:hAnsi="Times New Roman"/>
                <w:i/>
                <w:spacing w:val="-5"/>
              </w:rPr>
              <w:t xml:space="preserve"> </w:t>
            </w:r>
            <w:r>
              <w:rPr>
                <w:rFonts w:ascii="Times New Roman" w:hAnsi="Times New Roman"/>
                <w:i/>
              </w:rPr>
              <w:t>“average”</w:t>
            </w:r>
            <w:r>
              <w:rPr>
                <w:rFonts w:ascii="Times New Roman" w:hAnsi="Times New Roman"/>
                <w:i/>
                <w:spacing w:val="-6"/>
              </w:rPr>
              <w:t xml:space="preserve"> </w:t>
            </w:r>
            <w:r>
              <w:rPr>
                <w:rFonts w:ascii="Times New Roman" w:hAnsi="Times New Roman"/>
                <w:i/>
              </w:rPr>
              <w:t>or</w:t>
            </w:r>
            <w:r>
              <w:rPr>
                <w:rFonts w:ascii="Times New Roman" w:hAnsi="Times New Roman"/>
                <w:i/>
                <w:spacing w:val="-5"/>
              </w:rPr>
              <w:t xml:space="preserve"> </w:t>
            </w:r>
            <w:r>
              <w:rPr>
                <w:rFonts w:ascii="Times New Roman" w:hAnsi="Times New Roman"/>
                <w:i/>
              </w:rPr>
              <w:t>“highest”]</w:t>
            </w:r>
            <w:r>
              <w:rPr>
                <w:rFonts w:ascii="Times New Roman" w:hAnsi="Times New Roman"/>
                <w:i/>
                <w:spacing w:val="-6"/>
              </w:rPr>
              <w:t xml:space="preserve"> </w:t>
            </w:r>
            <w:r>
              <w:rPr>
                <w:rFonts w:ascii="Times New Roman" w:hAnsi="Times New Roman"/>
              </w:rPr>
              <w:t>price</w:t>
            </w:r>
            <w:r>
              <w:rPr>
                <w:rFonts w:ascii="Times New Roman" w:hAnsi="Times New Roman"/>
                <w:spacing w:val="-6"/>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the item or component as quoted in other substantially</w:t>
            </w:r>
            <w:r>
              <w:rPr>
                <w:rFonts w:ascii="Times New Roman" w:hAnsi="Times New Roman"/>
                <w:spacing w:val="-1"/>
              </w:rPr>
              <w:t xml:space="preserve"> </w:t>
            </w:r>
            <w:r>
              <w:rPr>
                <w:rFonts w:ascii="Times New Roman" w:hAnsi="Times New Roman"/>
              </w:rPr>
              <w:t>responsive Tenders. If the price of the item or</w:t>
            </w:r>
          </w:p>
          <w:p w:rsidR="007F6DF9" w:rsidRDefault="00A43FBC">
            <w:pPr>
              <w:pStyle w:val="TableParagraph"/>
              <w:spacing w:line="252" w:lineRule="exact"/>
              <w:ind w:left="107" w:right="153"/>
              <w:rPr>
                <w:rFonts w:ascii="Times New Roman"/>
              </w:rPr>
            </w:pPr>
            <w:r>
              <w:rPr>
                <w:rFonts w:ascii="Times New Roman"/>
              </w:rPr>
              <w:t>component</w:t>
            </w:r>
            <w:r>
              <w:rPr>
                <w:rFonts w:ascii="Times New Roman"/>
                <w:spacing w:val="-2"/>
              </w:rPr>
              <w:t xml:space="preserve"> </w:t>
            </w:r>
            <w:r>
              <w:rPr>
                <w:rFonts w:ascii="Times New Roman"/>
              </w:rPr>
              <w:t>cannot</w:t>
            </w:r>
            <w:r>
              <w:rPr>
                <w:rFonts w:ascii="Times New Roman"/>
                <w:spacing w:val="-5"/>
              </w:rPr>
              <w:t xml:space="preserve"> </w:t>
            </w:r>
            <w:r>
              <w:rPr>
                <w:rFonts w:ascii="Times New Roman"/>
              </w:rPr>
              <w:t>be</w:t>
            </w:r>
            <w:r>
              <w:rPr>
                <w:rFonts w:ascii="Times New Roman"/>
                <w:spacing w:val="-3"/>
              </w:rPr>
              <w:t xml:space="preserve"> </w:t>
            </w:r>
            <w:r>
              <w:rPr>
                <w:rFonts w:ascii="Times New Roman"/>
              </w:rPr>
              <w:t>derived</w:t>
            </w:r>
            <w:r>
              <w:rPr>
                <w:rFonts w:ascii="Times New Roman"/>
                <w:spacing w:val="-3"/>
              </w:rPr>
              <w:t xml:space="preserve"> </w:t>
            </w:r>
            <w:r>
              <w:rPr>
                <w:rFonts w:ascii="Times New Roman"/>
              </w:rPr>
              <w:t>from</w:t>
            </w:r>
            <w:r>
              <w:rPr>
                <w:rFonts w:ascii="Times New Roman"/>
                <w:spacing w:val="-5"/>
              </w:rPr>
              <w:t xml:space="preserve"> </w:t>
            </w:r>
            <w:r>
              <w:rPr>
                <w:rFonts w:ascii="Times New Roman"/>
              </w:rPr>
              <w:t>the</w:t>
            </w:r>
            <w:r>
              <w:rPr>
                <w:rFonts w:ascii="Times New Roman"/>
                <w:spacing w:val="-5"/>
              </w:rPr>
              <w:t xml:space="preserve"> </w:t>
            </w:r>
            <w:r>
              <w:rPr>
                <w:rFonts w:ascii="Times New Roman"/>
              </w:rPr>
              <w:t>price</w:t>
            </w:r>
            <w:r>
              <w:rPr>
                <w:rFonts w:ascii="Times New Roman"/>
                <w:spacing w:val="-5"/>
              </w:rPr>
              <w:t xml:space="preserve"> </w:t>
            </w:r>
            <w:r>
              <w:rPr>
                <w:rFonts w:ascii="Times New Roman"/>
              </w:rPr>
              <w:t>of</w:t>
            </w:r>
            <w:r>
              <w:rPr>
                <w:rFonts w:ascii="Times New Roman"/>
                <w:spacing w:val="-3"/>
              </w:rPr>
              <w:t xml:space="preserve"> </w:t>
            </w:r>
            <w:r>
              <w:rPr>
                <w:rFonts w:ascii="Times New Roman"/>
              </w:rPr>
              <w:t>other</w:t>
            </w:r>
            <w:r>
              <w:rPr>
                <w:rFonts w:ascii="Times New Roman"/>
                <w:spacing w:val="-3"/>
              </w:rPr>
              <w:t xml:space="preserve"> </w:t>
            </w:r>
            <w:r>
              <w:rPr>
                <w:rFonts w:ascii="Times New Roman"/>
              </w:rPr>
              <w:t>substantially</w:t>
            </w:r>
            <w:r>
              <w:rPr>
                <w:rFonts w:ascii="Times New Roman"/>
                <w:spacing w:val="-6"/>
              </w:rPr>
              <w:t xml:space="preserve"> </w:t>
            </w:r>
            <w:r>
              <w:rPr>
                <w:rFonts w:ascii="Times New Roman"/>
              </w:rPr>
              <w:t>responsive</w:t>
            </w:r>
            <w:r>
              <w:rPr>
                <w:rFonts w:ascii="Times New Roman"/>
                <w:spacing w:val="-3"/>
              </w:rPr>
              <w:t xml:space="preserve"> </w:t>
            </w:r>
            <w:r>
              <w:rPr>
                <w:rFonts w:ascii="Times New Roman"/>
              </w:rPr>
              <w:t>Tenders,</w:t>
            </w:r>
            <w:r>
              <w:rPr>
                <w:rFonts w:ascii="Times New Roman"/>
                <w:spacing w:val="-5"/>
              </w:rPr>
              <w:t xml:space="preserve"> </w:t>
            </w:r>
            <w:r>
              <w:rPr>
                <w:rFonts w:ascii="Times New Roman"/>
              </w:rPr>
              <w:t>the Procuring Entity shall use its best estimate.</w:t>
            </w:r>
          </w:p>
        </w:tc>
      </w:tr>
      <w:tr w:rsidR="007F6DF9">
        <w:trPr>
          <w:trHeight w:val="549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TT</w:t>
            </w:r>
            <w:r>
              <w:rPr>
                <w:rFonts w:ascii="Times New Roman"/>
                <w:b/>
                <w:spacing w:val="-2"/>
              </w:rPr>
              <w:t xml:space="preserve"> </w:t>
            </w:r>
            <w:r>
              <w:rPr>
                <w:rFonts w:ascii="Times New Roman"/>
                <w:b/>
                <w:spacing w:val="-4"/>
              </w:rPr>
              <w:t>32.1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1743"/>
              </w:tabs>
              <w:ind w:left="107" w:right="163"/>
              <w:rPr>
                <w:rFonts w:ascii="Times New Roman"/>
                <w:i/>
              </w:rPr>
            </w:pPr>
            <w:r>
              <w:rPr>
                <w:rFonts w:ascii="Times New Roman"/>
              </w:rPr>
              <w:t>The</w:t>
            </w:r>
            <w:r>
              <w:rPr>
                <w:rFonts w:ascii="Times New Roman"/>
                <w:spacing w:val="-3"/>
              </w:rPr>
              <w:t xml:space="preserve"> </w:t>
            </w:r>
            <w:r>
              <w:rPr>
                <w:rFonts w:ascii="Times New Roman"/>
              </w:rPr>
              <w:t>currency</w:t>
            </w:r>
            <w:r>
              <w:rPr>
                <w:rFonts w:ascii="Times New Roman"/>
                <w:spacing w:val="-5"/>
              </w:rPr>
              <w:t xml:space="preserve"> </w:t>
            </w:r>
            <w:r>
              <w:rPr>
                <w:rFonts w:ascii="Times New Roman"/>
              </w:rPr>
              <w:t>that</w:t>
            </w:r>
            <w:r>
              <w:rPr>
                <w:rFonts w:ascii="Times New Roman"/>
                <w:spacing w:val="-2"/>
              </w:rPr>
              <w:t xml:space="preserve"> </w:t>
            </w:r>
            <w:r>
              <w:rPr>
                <w:rFonts w:ascii="Times New Roman"/>
              </w:rPr>
              <w:t>shall</w:t>
            </w:r>
            <w:r>
              <w:rPr>
                <w:rFonts w:ascii="Times New Roman"/>
                <w:spacing w:val="-5"/>
              </w:rPr>
              <w:t xml:space="preserve"> </w:t>
            </w:r>
            <w:r>
              <w:rPr>
                <w:rFonts w:ascii="Times New Roman"/>
              </w:rPr>
              <w:t>be</w:t>
            </w:r>
            <w:r>
              <w:rPr>
                <w:rFonts w:ascii="Times New Roman"/>
                <w:spacing w:val="-3"/>
              </w:rPr>
              <w:t xml:space="preserve"> </w:t>
            </w:r>
            <w:r>
              <w:rPr>
                <w:rFonts w:ascii="Times New Roman"/>
              </w:rPr>
              <w:t>used</w:t>
            </w:r>
            <w:r>
              <w:rPr>
                <w:rFonts w:ascii="Times New Roman"/>
                <w:spacing w:val="-3"/>
              </w:rPr>
              <w:t xml:space="preserve"> </w:t>
            </w:r>
            <w:r>
              <w:rPr>
                <w:rFonts w:ascii="Times New Roman"/>
              </w:rPr>
              <w:t>for</w:t>
            </w:r>
            <w:r>
              <w:rPr>
                <w:rFonts w:ascii="Times New Roman"/>
                <w:spacing w:val="-3"/>
              </w:rPr>
              <w:t xml:space="preserve"> </w:t>
            </w:r>
            <w:r>
              <w:rPr>
                <w:rFonts w:ascii="Times New Roman"/>
              </w:rPr>
              <w:t>Tender</w:t>
            </w:r>
            <w:r>
              <w:rPr>
                <w:rFonts w:ascii="Times New Roman"/>
                <w:spacing w:val="-4"/>
              </w:rPr>
              <w:t xml:space="preserve"> </w:t>
            </w:r>
            <w:r>
              <w:rPr>
                <w:rFonts w:ascii="Times New Roman"/>
              </w:rPr>
              <w:t>evaluation</w:t>
            </w:r>
            <w:r>
              <w:rPr>
                <w:rFonts w:ascii="Times New Roman"/>
                <w:spacing w:val="-3"/>
              </w:rPr>
              <w:t xml:space="preserve"> </w:t>
            </w:r>
            <w:r>
              <w:rPr>
                <w:rFonts w:ascii="Times New Roman"/>
              </w:rPr>
              <w:t>and</w:t>
            </w:r>
            <w:r>
              <w:rPr>
                <w:rFonts w:ascii="Times New Roman"/>
                <w:spacing w:val="-3"/>
              </w:rPr>
              <w:t xml:space="preserve"> </w:t>
            </w:r>
            <w:r>
              <w:rPr>
                <w:rFonts w:ascii="Times New Roman"/>
              </w:rPr>
              <w:t>comparison</w:t>
            </w:r>
            <w:r>
              <w:rPr>
                <w:rFonts w:ascii="Times New Roman"/>
                <w:spacing w:val="-3"/>
              </w:rPr>
              <w:t xml:space="preserve"> </w:t>
            </w:r>
            <w:r>
              <w:rPr>
                <w:rFonts w:ascii="Times New Roman"/>
              </w:rPr>
              <w:t>purposes</w:t>
            </w:r>
            <w:r>
              <w:rPr>
                <w:rFonts w:ascii="Times New Roman"/>
                <w:spacing w:val="-3"/>
              </w:rPr>
              <w:t xml:space="preserve"> </w:t>
            </w:r>
            <w:r>
              <w:rPr>
                <w:rFonts w:ascii="Times New Roman"/>
              </w:rPr>
              <w:t>only</w:t>
            </w:r>
            <w:r>
              <w:rPr>
                <w:rFonts w:ascii="Times New Roman"/>
                <w:spacing w:val="-3"/>
              </w:rPr>
              <w:t xml:space="preserve"> </w:t>
            </w:r>
            <w:r>
              <w:rPr>
                <w:rFonts w:ascii="Times New Roman"/>
              </w:rPr>
              <w:t>to</w:t>
            </w:r>
            <w:r>
              <w:rPr>
                <w:rFonts w:ascii="Times New Roman"/>
                <w:spacing w:val="-6"/>
              </w:rPr>
              <w:t xml:space="preserve"> </w:t>
            </w:r>
            <w:r>
              <w:rPr>
                <w:rFonts w:ascii="Times New Roman"/>
              </w:rPr>
              <w:t>convert</w:t>
            </w:r>
            <w:r>
              <w:rPr>
                <w:rFonts w:ascii="Times New Roman"/>
                <w:spacing w:val="-2"/>
              </w:rPr>
              <w:t xml:space="preserve"> </w:t>
            </w:r>
            <w:r>
              <w:rPr>
                <w:rFonts w:ascii="Times New Roman"/>
              </w:rPr>
              <w:t xml:space="preserve">at the selling exchange rate all Tender prices expressed in various currencies into a single currency is: </w:t>
            </w:r>
            <w:r>
              <w:rPr>
                <w:rFonts w:ascii="Times New Roman"/>
                <w:u w:val="single"/>
              </w:rPr>
              <w:tab/>
            </w:r>
            <w:r>
              <w:rPr>
                <w:rFonts w:ascii="Times New Roman"/>
                <w:i/>
              </w:rPr>
              <w:t>[insert name of currency]</w:t>
            </w:r>
          </w:p>
          <w:p w:rsidR="007F6DF9" w:rsidRDefault="00A43FBC">
            <w:pPr>
              <w:pStyle w:val="TableParagraph"/>
              <w:spacing w:before="252"/>
              <w:ind w:left="107"/>
              <w:rPr>
                <w:rFonts w:ascii="Times New Roman"/>
              </w:rPr>
            </w:pPr>
            <w:r>
              <w:rPr>
                <w:rFonts w:ascii="Times New Roman"/>
              </w:rPr>
              <w:t>The</w:t>
            </w:r>
            <w:r>
              <w:rPr>
                <w:rFonts w:ascii="Times New Roman"/>
                <w:spacing w:val="-5"/>
              </w:rPr>
              <w:t xml:space="preserve"> </w:t>
            </w:r>
            <w:r>
              <w:rPr>
                <w:rFonts w:ascii="Times New Roman"/>
              </w:rPr>
              <w:t>source</w:t>
            </w:r>
            <w:r>
              <w:rPr>
                <w:rFonts w:ascii="Times New Roman"/>
                <w:spacing w:val="-4"/>
              </w:rPr>
              <w:t xml:space="preserve"> </w:t>
            </w:r>
            <w:r>
              <w:rPr>
                <w:rFonts w:ascii="Times New Roman"/>
              </w:rPr>
              <w:t>of</w:t>
            </w:r>
            <w:r>
              <w:rPr>
                <w:rFonts w:ascii="Times New Roman"/>
                <w:spacing w:val="-2"/>
              </w:rPr>
              <w:t xml:space="preserve"> </w:t>
            </w:r>
            <w:r>
              <w:rPr>
                <w:rFonts w:ascii="Times New Roman"/>
              </w:rPr>
              <w:t>exchange</w:t>
            </w:r>
            <w:r>
              <w:rPr>
                <w:rFonts w:ascii="Times New Roman"/>
                <w:spacing w:val="-4"/>
              </w:rPr>
              <w:t xml:space="preserve"> </w:t>
            </w:r>
            <w:r>
              <w:rPr>
                <w:rFonts w:ascii="Times New Roman"/>
              </w:rPr>
              <w:t>rate</w:t>
            </w:r>
            <w:r>
              <w:rPr>
                <w:rFonts w:ascii="Times New Roman"/>
                <w:spacing w:val="-2"/>
              </w:rPr>
              <w:t xml:space="preserve"> </w:t>
            </w:r>
            <w:r>
              <w:rPr>
                <w:rFonts w:ascii="Times New Roman"/>
              </w:rPr>
              <w:t>shall</w:t>
            </w:r>
            <w:r>
              <w:rPr>
                <w:rFonts w:ascii="Times New Roman"/>
                <w:spacing w:val="-1"/>
              </w:rPr>
              <w:t xml:space="preserve"> </w:t>
            </w:r>
            <w:r>
              <w:rPr>
                <w:rFonts w:ascii="Times New Roman"/>
              </w:rPr>
              <w:t>be:</w:t>
            </w:r>
            <w:r>
              <w:rPr>
                <w:rFonts w:ascii="Times New Roman"/>
                <w:spacing w:val="1"/>
              </w:rPr>
              <w:t xml:space="preserve"> </w:t>
            </w:r>
            <w:r>
              <w:rPr>
                <w:rFonts w:ascii="Times New Roman"/>
                <w:b/>
              </w:rPr>
              <w:t>The</w:t>
            </w:r>
            <w:r>
              <w:rPr>
                <w:rFonts w:ascii="Times New Roman"/>
                <w:b/>
                <w:spacing w:val="-2"/>
              </w:rPr>
              <w:t xml:space="preserve"> </w:t>
            </w:r>
            <w:r>
              <w:rPr>
                <w:rFonts w:ascii="Times New Roman"/>
                <w:b/>
              </w:rPr>
              <w:t>Central</w:t>
            </w:r>
            <w:r>
              <w:rPr>
                <w:rFonts w:ascii="Times New Roman"/>
                <w:b/>
                <w:spacing w:val="-1"/>
              </w:rPr>
              <w:t xml:space="preserve"> </w:t>
            </w:r>
            <w:r>
              <w:rPr>
                <w:rFonts w:ascii="Times New Roman"/>
                <w:b/>
              </w:rPr>
              <w:t>bank</w:t>
            </w:r>
            <w:r>
              <w:rPr>
                <w:rFonts w:ascii="Times New Roman"/>
                <w:b/>
                <w:spacing w:val="-3"/>
              </w:rPr>
              <w:t xml:space="preserve"> </w:t>
            </w:r>
            <w:r>
              <w:rPr>
                <w:rFonts w:ascii="Times New Roman"/>
                <w:b/>
              </w:rPr>
              <w:t>of</w:t>
            </w:r>
            <w:r>
              <w:rPr>
                <w:rFonts w:ascii="Times New Roman"/>
                <w:b/>
                <w:spacing w:val="-4"/>
              </w:rPr>
              <w:t xml:space="preserve"> </w:t>
            </w:r>
            <w:r>
              <w:rPr>
                <w:rFonts w:ascii="Times New Roman"/>
                <w:b/>
              </w:rPr>
              <w:t>Kenya</w:t>
            </w:r>
            <w:r>
              <w:rPr>
                <w:rFonts w:ascii="Times New Roman"/>
                <w:b/>
                <w:spacing w:val="-3"/>
              </w:rPr>
              <w:t xml:space="preserve"> </w:t>
            </w:r>
            <w:r>
              <w:rPr>
                <w:rFonts w:ascii="Times New Roman"/>
              </w:rPr>
              <w:t>(mean</w:t>
            </w:r>
            <w:r>
              <w:rPr>
                <w:rFonts w:ascii="Times New Roman"/>
                <w:spacing w:val="-5"/>
              </w:rPr>
              <w:t xml:space="preserve"> </w:t>
            </w:r>
            <w:r>
              <w:rPr>
                <w:rFonts w:ascii="Times New Roman"/>
                <w:spacing w:val="-2"/>
              </w:rPr>
              <w:t>rate)</w:t>
            </w:r>
          </w:p>
          <w:p w:rsidR="007F6DF9" w:rsidRDefault="007F6DF9">
            <w:pPr>
              <w:pStyle w:val="TableParagraph"/>
              <w:rPr>
                <w:rFonts w:ascii="Times New Roman"/>
              </w:rPr>
            </w:pPr>
          </w:p>
          <w:p w:rsidR="007F6DF9" w:rsidRDefault="00A43FBC">
            <w:pPr>
              <w:pStyle w:val="TableParagraph"/>
              <w:ind w:left="107"/>
              <w:rPr>
                <w:rFonts w:ascii="Times New Roman"/>
                <w:b/>
              </w:rPr>
            </w:pPr>
            <w:r>
              <w:rPr>
                <w:rFonts w:ascii="Times New Roman"/>
              </w:rPr>
              <w:t>The</w:t>
            </w:r>
            <w:r>
              <w:rPr>
                <w:rFonts w:ascii="Times New Roman"/>
                <w:spacing w:val="-2"/>
              </w:rPr>
              <w:t xml:space="preserve"> </w:t>
            </w:r>
            <w:r>
              <w:rPr>
                <w:rFonts w:ascii="Times New Roman"/>
              </w:rPr>
              <w:t>date</w:t>
            </w:r>
            <w:r>
              <w:rPr>
                <w:rFonts w:ascii="Times New Roman"/>
                <w:spacing w:val="-2"/>
              </w:rPr>
              <w:t xml:space="preserve"> </w:t>
            </w:r>
            <w:r>
              <w:rPr>
                <w:rFonts w:ascii="Times New Roman"/>
              </w:rPr>
              <w:t>for</w:t>
            </w:r>
            <w:r>
              <w:rPr>
                <w:rFonts w:ascii="Times New Roman"/>
                <w:spacing w:val="-4"/>
              </w:rPr>
              <w:t xml:space="preserve"> </w:t>
            </w:r>
            <w:r>
              <w:rPr>
                <w:rFonts w:ascii="Times New Roman"/>
              </w:rPr>
              <w:t>the</w:t>
            </w:r>
            <w:r>
              <w:rPr>
                <w:rFonts w:ascii="Times New Roman"/>
                <w:spacing w:val="-4"/>
              </w:rPr>
              <w:t xml:space="preserve"> </w:t>
            </w:r>
            <w:r>
              <w:rPr>
                <w:rFonts w:ascii="Times New Roman"/>
              </w:rPr>
              <w:t>exchange</w:t>
            </w:r>
            <w:r>
              <w:rPr>
                <w:rFonts w:ascii="Times New Roman"/>
                <w:spacing w:val="-4"/>
              </w:rPr>
              <w:t xml:space="preserve"> </w:t>
            </w:r>
            <w:r>
              <w:rPr>
                <w:rFonts w:ascii="Times New Roman"/>
              </w:rPr>
              <w:t>rate</w:t>
            </w:r>
            <w:r>
              <w:rPr>
                <w:rFonts w:ascii="Times New Roman"/>
                <w:spacing w:val="-4"/>
              </w:rPr>
              <w:t xml:space="preserve"> </w:t>
            </w:r>
            <w:r>
              <w:rPr>
                <w:rFonts w:ascii="Times New Roman"/>
              </w:rPr>
              <w:t>shall</w:t>
            </w:r>
            <w:r>
              <w:rPr>
                <w:rFonts w:ascii="Times New Roman"/>
                <w:spacing w:val="-1"/>
              </w:rPr>
              <w:t xml:space="preserve"> </w:t>
            </w:r>
            <w:r>
              <w:rPr>
                <w:rFonts w:ascii="Times New Roman"/>
              </w:rPr>
              <w:t>be</w:t>
            </w:r>
            <w:r>
              <w:rPr>
                <w:rFonts w:ascii="Times New Roman"/>
                <w:i/>
              </w:rPr>
              <w:t>:</w:t>
            </w:r>
            <w:r>
              <w:rPr>
                <w:rFonts w:ascii="Times New Roman"/>
                <w:i/>
                <w:spacing w:val="-4"/>
              </w:rPr>
              <w:t xml:space="preserve"> </w:t>
            </w:r>
            <w:r>
              <w:rPr>
                <w:rFonts w:ascii="Times New Roman"/>
                <w:b/>
              </w:rPr>
              <w:t>the</w:t>
            </w:r>
            <w:r>
              <w:rPr>
                <w:rFonts w:ascii="Times New Roman"/>
                <w:b/>
                <w:spacing w:val="-2"/>
              </w:rPr>
              <w:t xml:space="preserve"> </w:t>
            </w:r>
            <w:r>
              <w:rPr>
                <w:rFonts w:ascii="Times New Roman"/>
                <w:b/>
              </w:rPr>
              <w:t>deadline</w:t>
            </w:r>
            <w:r>
              <w:rPr>
                <w:rFonts w:ascii="Times New Roman"/>
                <w:b/>
                <w:spacing w:val="-2"/>
              </w:rPr>
              <w:t xml:space="preserve"> </w:t>
            </w:r>
            <w:r>
              <w:rPr>
                <w:rFonts w:ascii="Times New Roman"/>
                <w:b/>
              </w:rPr>
              <w:t>date</w:t>
            </w:r>
            <w:r>
              <w:rPr>
                <w:rFonts w:ascii="Times New Roman"/>
                <w:b/>
                <w:spacing w:val="-2"/>
              </w:rPr>
              <w:t xml:space="preserve"> </w:t>
            </w:r>
            <w:r>
              <w:rPr>
                <w:rFonts w:ascii="Times New Roman"/>
                <w:b/>
              </w:rPr>
              <w:t>for</w:t>
            </w:r>
            <w:r>
              <w:rPr>
                <w:rFonts w:ascii="Times New Roman"/>
                <w:b/>
                <w:spacing w:val="-2"/>
              </w:rPr>
              <w:t xml:space="preserve"> </w:t>
            </w:r>
            <w:r>
              <w:rPr>
                <w:rFonts w:ascii="Times New Roman"/>
                <w:b/>
              </w:rPr>
              <w:t>Submission</w:t>
            </w:r>
            <w:r>
              <w:rPr>
                <w:rFonts w:ascii="Times New Roman"/>
                <w:b/>
                <w:spacing w:val="-2"/>
              </w:rPr>
              <w:t xml:space="preserve"> </w:t>
            </w:r>
            <w:r>
              <w:rPr>
                <w:rFonts w:ascii="Times New Roman"/>
                <w:b/>
              </w:rPr>
              <w:t>of</w:t>
            </w:r>
            <w:r>
              <w:rPr>
                <w:rFonts w:ascii="Times New Roman"/>
                <w:b/>
                <w:spacing w:val="-4"/>
              </w:rPr>
              <w:t xml:space="preserve"> </w:t>
            </w:r>
            <w:r>
              <w:rPr>
                <w:rFonts w:ascii="Times New Roman"/>
                <w:b/>
              </w:rPr>
              <w:t>the</w:t>
            </w:r>
            <w:r>
              <w:rPr>
                <w:rFonts w:ascii="Times New Roman"/>
                <w:b/>
                <w:spacing w:val="-4"/>
              </w:rPr>
              <w:t xml:space="preserve"> </w:t>
            </w:r>
            <w:r>
              <w:rPr>
                <w:rFonts w:ascii="Times New Roman"/>
                <w:b/>
                <w:spacing w:val="-2"/>
              </w:rPr>
              <w:t>Tenders.</w:t>
            </w:r>
          </w:p>
          <w:p w:rsidR="007F6DF9" w:rsidRDefault="00A43FBC">
            <w:pPr>
              <w:pStyle w:val="TableParagraph"/>
              <w:spacing w:before="251"/>
              <w:ind w:left="107" w:right="153"/>
              <w:rPr>
                <w:rFonts w:ascii="Times New Roman"/>
                <w:i/>
              </w:rPr>
            </w:pPr>
            <w:r>
              <w:rPr>
                <w:rFonts w:ascii="Times New Roman"/>
                <w:i/>
              </w:rPr>
              <w:t>For</w:t>
            </w:r>
            <w:r>
              <w:rPr>
                <w:rFonts w:ascii="Times New Roman"/>
                <w:i/>
                <w:spacing w:val="-2"/>
              </w:rPr>
              <w:t xml:space="preserve"> </w:t>
            </w:r>
            <w:r>
              <w:rPr>
                <w:rFonts w:ascii="Times New Roman"/>
                <w:i/>
              </w:rPr>
              <w:t>comparison</w:t>
            </w:r>
            <w:r>
              <w:rPr>
                <w:rFonts w:ascii="Times New Roman"/>
                <w:i/>
                <w:spacing w:val="-2"/>
              </w:rPr>
              <w:t xml:space="preserve"> </w:t>
            </w:r>
            <w:r>
              <w:rPr>
                <w:rFonts w:ascii="Times New Roman"/>
                <w:i/>
              </w:rPr>
              <w:t>of</w:t>
            </w:r>
            <w:r>
              <w:rPr>
                <w:rFonts w:ascii="Times New Roman"/>
                <w:i/>
                <w:spacing w:val="-4"/>
              </w:rPr>
              <w:t xml:space="preserve"> </w:t>
            </w:r>
            <w:r>
              <w:rPr>
                <w:rFonts w:ascii="Times New Roman"/>
                <w:i/>
              </w:rPr>
              <w:t>Tenders,</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Tender</w:t>
            </w:r>
            <w:r>
              <w:rPr>
                <w:rFonts w:ascii="Times New Roman"/>
                <w:i/>
                <w:spacing w:val="-2"/>
              </w:rPr>
              <w:t xml:space="preserve"> </w:t>
            </w:r>
            <w:r>
              <w:rPr>
                <w:rFonts w:ascii="Times New Roman"/>
                <w:i/>
              </w:rPr>
              <w:t>Price,</w:t>
            </w:r>
            <w:r>
              <w:rPr>
                <w:rFonts w:ascii="Times New Roman"/>
                <w:i/>
                <w:spacing w:val="-3"/>
              </w:rPr>
              <w:t xml:space="preserve"> </w:t>
            </w:r>
            <w:r>
              <w:rPr>
                <w:rFonts w:ascii="Times New Roman"/>
                <w:i/>
              </w:rPr>
              <w:t>corrected</w:t>
            </w:r>
            <w:r>
              <w:rPr>
                <w:rFonts w:ascii="Times New Roman"/>
                <w:i/>
                <w:spacing w:val="-2"/>
              </w:rPr>
              <w:t xml:space="preserve"> </w:t>
            </w:r>
            <w:r>
              <w:rPr>
                <w:rFonts w:ascii="Times New Roman"/>
                <w:i/>
              </w:rPr>
              <w:t>pursuant</w:t>
            </w:r>
            <w:r>
              <w:rPr>
                <w:rFonts w:ascii="Times New Roman"/>
                <w:i/>
                <w:spacing w:val="-4"/>
              </w:rPr>
              <w:t xml:space="preserve"> </w:t>
            </w:r>
            <w:r>
              <w:rPr>
                <w:rFonts w:ascii="Times New Roman"/>
                <w:i/>
              </w:rPr>
              <w:t>to</w:t>
            </w:r>
            <w:r>
              <w:rPr>
                <w:rFonts w:ascii="Times New Roman"/>
                <w:i/>
                <w:spacing w:val="-5"/>
              </w:rPr>
              <w:t xml:space="preserve"> </w:t>
            </w:r>
            <w:r>
              <w:rPr>
                <w:rFonts w:ascii="Times New Roman"/>
                <w:i/>
              </w:rPr>
              <w:t>ITT</w:t>
            </w:r>
            <w:r>
              <w:rPr>
                <w:rFonts w:ascii="Times New Roman"/>
                <w:i/>
                <w:spacing w:val="-3"/>
              </w:rPr>
              <w:t xml:space="preserve"> </w:t>
            </w:r>
            <w:r>
              <w:rPr>
                <w:rFonts w:ascii="Times New Roman"/>
                <w:i/>
              </w:rPr>
              <w:t>31,</w:t>
            </w:r>
            <w:r>
              <w:rPr>
                <w:rFonts w:ascii="Times New Roman"/>
                <w:i/>
                <w:spacing w:val="-2"/>
              </w:rPr>
              <w:t xml:space="preserve"> </w:t>
            </w:r>
            <w:r>
              <w:rPr>
                <w:rFonts w:ascii="Times New Roman"/>
                <w:i/>
              </w:rPr>
              <w:t>shall</w:t>
            </w:r>
            <w:r>
              <w:rPr>
                <w:rFonts w:ascii="Times New Roman"/>
                <w:i/>
                <w:spacing w:val="-4"/>
              </w:rPr>
              <w:t xml:space="preserve"> </w:t>
            </w:r>
            <w:r>
              <w:rPr>
                <w:rFonts w:ascii="Times New Roman"/>
                <w:i/>
              </w:rPr>
              <w:t>first</w:t>
            </w:r>
            <w:r>
              <w:rPr>
                <w:rFonts w:ascii="Times New Roman"/>
                <w:i/>
                <w:spacing w:val="-1"/>
              </w:rPr>
              <w:t xml:space="preserve"> </w:t>
            </w:r>
            <w:r>
              <w:rPr>
                <w:rFonts w:ascii="Times New Roman"/>
                <w:i/>
              </w:rPr>
              <w:t>be</w:t>
            </w:r>
            <w:r>
              <w:rPr>
                <w:rFonts w:ascii="Times New Roman"/>
                <w:i/>
                <w:spacing w:val="-2"/>
              </w:rPr>
              <w:t xml:space="preserve"> </w:t>
            </w:r>
            <w:r>
              <w:rPr>
                <w:rFonts w:ascii="Times New Roman"/>
                <w:i/>
              </w:rPr>
              <w:t>broken down into the respective amounts payable in various currencies by using the selling exchange rates specified by the Tenderer in accordance with ITT 15.1.</w:t>
            </w:r>
          </w:p>
          <w:p w:rsidR="007F6DF9" w:rsidRDefault="007F6DF9">
            <w:pPr>
              <w:pStyle w:val="TableParagraph"/>
              <w:spacing w:before="1"/>
              <w:rPr>
                <w:rFonts w:ascii="Times New Roman"/>
              </w:rPr>
            </w:pPr>
          </w:p>
          <w:p w:rsidR="007F6DF9" w:rsidRDefault="00A43FBC">
            <w:pPr>
              <w:pStyle w:val="TableParagraph"/>
              <w:ind w:left="107" w:right="153"/>
              <w:rPr>
                <w:rFonts w:ascii="Times New Roman"/>
                <w:i/>
              </w:rPr>
            </w:pPr>
            <w:r>
              <w:rPr>
                <w:rFonts w:ascii="Times New Roman"/>
                <w:i/>
              </w:rPr>
              <w:t>In</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second</w:t>
            </w:r>
            <w:r>
              <w:rPr>
                <w:rFonts w:ascii="Times New Roman"/>
                <w:i/>
                <w:spacing w:val="-4"/>
              </w:rPr>
              <w:t xml:space="preserve"> </w:t>
            </w:r>
            <w:r>
              <w:rPr>
                <w:rFonts w:ascii="Times New Roman"/>
                <w:i/>
              </w:rPr>
              <w:t>step,</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Procuring</w:t>
            </w:r>
            <w:r>
              <w:rPr>
                <w:rFonts w:ascii="Times New Roman"/>
                <w:i/>
                <w:spacing w:val="-2"/>
              </w:rPr>
              <w:t xml:space="preserve"> </w:t>
            </w:r>
            <w:r>
              <w:rPr>
                <w:rFonts w:ascii="Times New Roman"/>
                <w:i/>
              </w:rPr>
              <w:t>Entity</w:t>
            </w:r>
            <w:r>
              <w:rPr>
                <w:rFonts w:ascii="Times New Roman"/>
                <w:i/>
                <w:spacing w:val="-4"/>
              </w:rPr>
              <w:t xml:space="preserve"> </w:t>
            </w:r>
            <w:r>
              <w:rPr>
                <w:rFonts w:ascii="Times New Roman"/>
                <w:i/>
              </w:rPr>
              <w:t>will</w:t>
            </w:r>
            <w:r>
              <w:rPr>
                <w:rFonts w:ascii="Times New Roman"/>
                <w:i/>
                <w:spacing w:val="-2"/>
              </w:rPr>
              <w:t xml:space="preserve"> </w:t>
            </w:r>
            <w:r>
              <w:rPr>
                <w:rFonts w:ascii="Times New Roman"/>
                <w:i/>
              </w:rPr>
              <w:t>convert</w:t>
            </w:r>
            <w:r>
              <w:rPr>
                <w:rFonts w:ascii="Times New Roman"/>
                <w:i/>
                <w:spacing w:val="-3"/>
              </w:rPr>
              <w:t xml:space="preserve"> </w:t>
            </w:r>
            <w:r>
              <w:rPr>
                <w:rFonts w:ascii="Times New Roman"/>
                <w:i/>
              </w:rPr>
              <w:t>the</w:t>
            </w:r>
            <w:r>
              <w:rPr>
                <w:rFonts w:ascii="Times New Roman"/>
                <w:i/>
                <w:spacing w:val="-2"/>
              </w:rPr>
              <w:t xml:space="preserve"> </w:t>
            </w:r>
            <w:r>
              <w:rPr>
                <w:rFonts w:ascii="Times New Roman"/>
                <w:i/>
              </w:rPr>
              <w:t>amounts</w:t>
            </w:r>
            <w:r>
              <w:rPr>
                <w:rFonts w:ascii="Times New Roman"/>
                <w:i/>
                <w:spacing w:val="-2"/>
              </w:rPr>
              <w:t xml:space="preserve"> </w:t>
            </w:r>
            <w:r>
              <w:rPr>
                <w:rFonts w:ascii="Times New Roman"/>
                <w:i/>
              </w:rPr>
              <w:t>in</w:t>
            </w:r>
            <w:r>
              <w:rPr>
                <w:rFonts w:ascii="Times New Roman"/>
                <w:i/>
                <w:spacing w:val="-5"/>
              </w:rPr>
              <w:t xml:space="preserve"> </w:t>
            </w:r>
            <w:r>
              <w:rPr>
                <w:rFonts w:ascii="Times New Roman"/>
                <w:i/>
              </w:rPr>
              <w:t>various</w:t>
            </w:r>
            <w:r>
              <w:rPr>
                <w:rFonts w:ascii="Times New Roman"/>
                <w:i/>
                <w:spacing w:val="-2"/>
              </w:rPr>
              <w:t xml:space="preserve"> </w:t>
            </w:r>
            <w:r>
              <w:rPr>
                <w:rFonts w:ascii="Times New Roman"/>
                <w:i/>
              </w:rPr>
              <w:t>currencies</w:t>
            </w:r>
            <w:r>
              <w:rPr>
                <w:rFonts w:ascii="Times New Roman"/>
                <w:i/>
                <w:spacing w:val="-2"/>
              </w:rPr>
              <w:t xml:space="preserve"> </w:t>
            </w:r>
            <w:r>
              <w:rPr>
                <w:rFonts w:ascii="Times New Roman"/>
                <w:i/>
              </w:rPr>
              <w:t>in</w:t>
            </w:r>
            <w:r>
              <w:rPr>
                <w:rFonts w:ascii="Times New Roman"/>
                <w:i/>
                <w:spacing w:val="-2"/>
              </w:rPr>
              <w:t xml:space="preserve"> </w:t>
            </w:r>
            <w:r>
              <w:rPr>
                <w:rFonts w:ascii="Times New Roman"/>
                <w:i/>
              </w:rPr>
              <w:t xml:space="preserve">which the Tender Price is payable (excluding Provisional Sums but including </w:t>
            </w:r>
            <w:proofErr w:type="spellStart"/>
            <w:r>
              <w:rPr>
                <w:rFonts w:ascii="Times New Roman"/>
                <w:i/>
              </w:rPr>
              <w:t>Daywork</w:t>
            </w:r>
            <w:proofErr w:type="spellEnd"/>
            <w:r>
              <w:rPr>
                <w:rFonts w:ascii="Times New Roman"/>
                <w:i/>
              </w:rPr>
              <w:t xml:space="preserve"> where priced competitively) to the single</w:t>
            </w:r>
            <w:r>
              <w:rPr>
                <w:rFonts w:ascii="Times New Roman"/>
                <w:i/>
                <w:spacing w:val="-1"/>
              </w:rPr>
              <w:t xml:space="preserve"> </w:t>
            </w:r>
            <w:r>
              <w:rPr>
                <w:rFonts w:ascii="Times New Roman"/>
                <w:i/>
              </w:rPr>
              <w:t>currency</w:t>
            </w:r>
            <w:r>
              <w:rPr>
                <w:rFonts w:ascii="Times New Roman"/>
                <w:i/>
                <w:spacing w:val="-1"/>
              </w:rPr>
              <w:t xml:space="preserve"> </w:t>
            </w:r>
            <w:r>
              <w:rPr>
                <w:rFonts w:ascii="Times New Roman"/>
                <w:i/>
              </w:rPr>
              <w:t>identified above at the selling</w:t>
            </w:r>
            <w:r>
              <w:rPr>
                <w:rFonts w:ascii="Times New Roman"/>
                <w:i/>
                <w:spacing w:val="-2"/>
              </w:rPr>
              <w:t xml:space="preserve"> </w:t>
            </w:r>
            <w:r>
              <w:rPr>
                <w:rFonts w:ascii="Times New Roman"/>
                <w:i/>
              </w:rPr>
              <w:t>rates established for similar transactions by the authority specified and, on the date, stipulated above.</w:t>
            </w:r>
          </w:p>
        </w:tc>
      </w:tr>
      <w:tr w:rsidR="007F6DF9">
        <w:trPr>
          <w:trHeight w:val="906"/>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b/>
              </w:rPr>
            </w:pPr>
            <w:r>
              <w:rPr>
                <w:rFonts w:ascii="Times New Roman"/>
                <w:b/>
              </w:rPr>
              <w:t>ITT</w:t>
            </w:r>
            <w:r>
              <w:rPr>
                <w:rFonts w:ascii="Times New Roman"/>
                <w:b/>
                <w:spacing w:val="-2"/>
              </w:rPr>
              <w:t xml:space="preserve"> </w:t>
            </w:r>
            <w:r>
              <w:rPr>
                <w:rFonts w:ascii="Times New Roman"/>
                <w:b/>
                <w:spacing w:val="-4"/>
              </w:rPr>
              <w:t>33.2</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rPr>
            </w:pPr>
            <w:r>
              <w:rPr>
                <w:rFonts w:ascii="Times New Roman"/>
              </w:rPr>
              <w:t>A</w:t>
            </w:r>
            <w:r>
              <w:rPr>
                <w:rFonts w:ascii="Times New Roman"/>
                <w:spacing w:val="-5"/>
              </w:rPr>
              <w:t xml:space="preserve"> </w:t>
            </w:r>
            <w:r>
              <w:rPr>
                <w:rFonts w:ascii="Times New Roman"/>
              </w:rPr>
              <w:t>margin</w:t>
            </w:r>
            <w:r>
              <w:rPr>
                <w:rFonts w:ascii="Times New Roman"/>
                <w:spacing w:val="-3"/>
              </w:rPr>
              <w:t xml:space="preserve"> </w:t>
            </w:r>
            <w:r>
              <w:rPr>
                <w:rFonts w:ascii="Times New Roman"/>
              </w:rPr>
              <w:t>of</w:t>
            </w:r>
            <w:r>
              <w:rPr>
                <w:rFonts w:ascii="Times New Roman"/>
                <w:spacing w:val="-3"/>
              </w:rPr>
              <w:t xml:space="preserve"> </w:t>
            </w:r>
            <w:r>
              <w:rPr>
                <w:rFonts w:ascii="Times New Roman"/>
              </w:rPr>
              <w:t>preference</w:t>
            </w:r>
            <w:r>
              <w:rPr>
                <w:rFonts w:ascii="Times New Roman"/>
                <w:spacing w:val="-4"/>
              </w:rPr>
              <w:t xml:space="preserve"> </w:t>
            </w:r>
            <w:r>
              <w:rPr>
                <w:rFonts w:ascii="Times New Roman"/>
              </w:rPr>
              <w:t>shall</w:t>
            </w:r>
            <w:r>
              <w:rPr>
                <w:rFonts w:ascii="Times New Roman"/>
                <w:spacing w:val="-2"/>
              </w:rPr>
              <w:t xml:space="preserve"> </w:t>
            </w:r>
            <w:r>
              <w:rPr>
                <w:rFonts w:ascii="Times New Roman"/>
                <w:b/>
                <w:i/>
              </w:rPr>
              <w:t>Not</w:t>
            </w:r>
            <w:r>
              <w:rPr>
                <w:rFonts w:ascii="Times New Roman"/>
                <w:b/>
                <w:i/>
                <w:spacing w:val="-2"/>
              </w:rPr>
              <w:t xml:space="preserve"> </w:t>
            </w:r>
            <w:r>
              <w:rPr>
                <w:rFonts w:ascii="Times New Roman"/>
                <w:spacing w:val="-2"/>
              </w:rPr>
              <w:t>apply.</w:t>
            </w:r>
          </w:p>
        </w:tc>
      </w:tr>
      <w:tr w:rsidR="007F6DF9">
        <w:trPr>
          <w:trHeight w:val="1013"/>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33.4</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6092"/>
                <w:tab w:val="left" w:pos="8368"/>
              </w:tabs>
              <w:ind w:left="107" w:right="156"/>
              <w:rPr>
                <w:rFonts w:ascii="Times New Roman"/>
                <w:b/>
                <w:i/>
              </w:rPr>
            </w:pPr>
            <w:r>
              <w:rPr>
                <w:rFonts w:ascii="Times New Roman"/>
                <w:b/>
                <w:i/>
                <w:noProof/>
              </w:rPr>
              <mc:AlternateContent>
                <mc:Choice Requires="wpg">
                  <w:drawing>
                    <wp:anchor distT="0" distB="0" distL="0" distR="0" simplePos="0" relativeHeight="251652608" behindDoc="1" locked="0" layoutInCell="1" allowOverlap="1">
                      <wp:simplePos x="0" y="0"/>
                      <wp:positionH relativeFrom="column">
                        <wp:posOffset>68580</wp:posOffset>
                      </wp:positionH>
                      <wp:positionV relativeFrom="paragraph">
                        <wp:posOffset>476580</wp:posOffset>
                      </wp:positionV>
                      <wp:extent cx="4331335" cy="571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1335" cy="5715"/>
                                <a:chOff x="0" y="0"/>
                                <a:chExt cx="4331335" cy="5715"/>
                              </a:xfrm>
                            </wpg:grpSpPr>
                            <wps:wsp>
                              <wps:cNvPr id="131" name="Graphic 131"/>
                              <wps:cNvSpPr/>
                              <wps:spPr>
                                <a:xfrm>
                                  <a:off x="0" y="2845"/>
                                  <a:ext cx="4331335" cy="1270"/>
                                </a:xfrm>
                                <a:custGeom>
                                  <a:avLst/>
                                  <a:gdLst/>
                                  <a:ahLst/>
                                  <a:cxnLst/>
                                  <a:rect l="l" t="t" r="r" b="b"/>
                                  <a:pathLst>
                                    <a:path w="4331335">
                                      <a:moveTo>
                                        <a:pt x="0" y="0"/>
                                      </a:moveTo>
                                      <a:lnTo>
                                        <a:pt x="4331025" y="0"/>
                                      </a:lnTo>
                                    </a:path>
                                  </a:pathLst>
                                </a:custGeom>
                                <a:ln w="56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878D06" id="Group 130" o:spid="_x0000_s1026" style="position:absolute;margin-left:5.4pt;margin-top:37.55pt;width:341.05pt;height:.45pt;z-index:-251663872;mso-wrap-distance-left:0;mso-wrap-distance-right:0" coordsize="433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">
                      <v:shape id="Graphic 131" o:spid="_x0000_s1027" style="position:absolute;top:28;width:43313;height:13;visibility:visible;mso-wrap-style:square;v-text-anchor:top" coordsize="4331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" path="m,l4331025,e" filled="f" strokeweight=".15808mm">
                        <v:path arrowok="t"/>
                      </v:shape>
                    </v:group>
                  </w:pict>
                </mc:Fallback>
              </mc:AlternateContent>
            </w:r>
            <w:r>
              <w:rPr>
                <w:rFonts w:ascii="Times New Roman"/>
              </w:rPr>
              <w:t xml:space="preserve">The invitation to tender is extended to the following group that qualify for Reservations </w:t>
            </w:r>
            <w:r>
              <w:rPr>
                <w:rFonts w:ascii="Times New Roman"/>
                <w:u w:val="single"/>
              </w:rPr>
              <w:tab/>
            </w:r>
            <w:r>
              <w:rPr>
                <w:rFonts w:ascii="Times New Roman"/>
                <w:b/>
                <w:i/>
                <w:spacing w:val="-4"/>
              </w:rPr>
              <w:t xml:space="preserve">Not </w:t>
            </w:r>
            <w:r>
              <w:rPr>
                <w:rFonts w:ascii="Times New Roman"/>
                <w:b/>
                <w:i/>
              </w:rPr>
              <w:t xml:space="preserve">applicable </w:t>
            </w:r>
            <w:r>
              <w:rPr>
                <w:rFonts w:ascii="Times New Roman"/>
                <w:b/>
                <w:i/>
                <w:u w:val="single"/>
              </w:rPr>
              <w:tab/>
            </w:r>
          </w:p>
        </w:tc>
      </w:tr>
      <w:tr w:rsidR="007F6DF9">
        <w:trPr>
          <w:trHeight w:val="50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34.1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4487"/>
              </w:tabs>
              <w:spacing w:line="254" w:lineRule="exact"/>
              <w:ind w:left="107" w:right="365"/>
              <w:rPr>
                <w:rFonts w:ascii="Times New Roman" w:hAnsi="Times New Roman"/>
              </w:rPr>
            </w:pPr>
            <w:r>
              <w:rPr>
                <w:rFonts w:ascii="Times New Roman" w:hAnsi="Times New Roman"/>
              </w:rPr>
              <w:t xml:space="preserve">At this time, the Procuring Entity </w:t>
            </w:r>
            <w:r>
              <w:rPr>
                <w:rFonts w:ascii="Times New Roman" w:hAnsi="Times New Roman"/>
                <w:u w:val="single"/>
              </w:rPr>
              <w:tab/>
            </w:r>
            <w:r>
              <w:rPr>
                <w:rFonts w:ascii="Times New Roman" w:hAnsi="Times New Roman"/>
                <w:i/>
                <w:spacing w:val="-2"/>
              </w:rPr>
              <w:t>[“does</w:t>
            </w:r>
            <w:r>
              <w:rPr>
                <w:rFonts w:ascii="Times New Roman" w:hAnsi="Times New Roman"/>
                <w:i/>
                <w:spacing w:val="-8"/>
              </w:rPr>
              <w:t xml:space="preserve"> </w:t>
            </w:r>
            <w:r>
              <w:rPr>
                <w:rFonts w:ascii="Times New Roman" w:hAnsi="Times New Roman"/>
                <w:i/>
                <w:spacing w:val="-2"/>
              </w:rPr>
              <w:t>not</w:t>
            </w:r>
            <w:r>
              <w:rPr>
                <w:rFonts w:ascii="Times New Roman" w:hAnsi="Times New Roman"/>
                <w:i/>
                <w:spacing w:val="-3"/>
              </w:rPr>
              <w:t xml:space="preserve"> </w:t>
            </w:r>
            <w:r>
              <w:rPr>
                <w:rFonts w:ascii="Times New Roman" w:hAnsi="Times New Roman"/>
                <w:i/>
                <w:spacing w:val="-2"/>
              </w:rPr>
              <w:t>intend”]</w:t>
            </w:r>
            <w:r>
              <w:rPr>
                <w:rFonts w:ascii="Times New Roman" w:hAnsi="Times New Roman"/>
                <w:i/>
                <w:spacing w:val="-3"/>
              </w:rPr>
              <w:t xml:space="preserve"> </w:t>
            </w:r>
            <w:r>
              <w:rPr>
                <w:rFonts w:ascii="Times New Roman" w:hAnsi="Times New Roman"/>
                <w:spacing w:val="-2"/>
              </w:rPr>
              <w:t>to</w:t>
            </w:r>
            <w:r>
              <w:rPr>
                <w:rFonts w:ascii="Times New Roman" w:hAnsi="Times New Roman"/>
                <w:spacing w:val="-12"/>
              </w:rPr>
              <w:t xml:space="preserve"> </w:t>
            </w:r>
            <w:r>
              <w:rPr>
                <w:rFonts w:ascii="Times New Roman" w:hAnsi="Times New Roman"/>
                <w:spacing w:val="-2"/>
              </w:rPr>
              <w:t>execute</w:t>
            </w:r>
            <w:r>
              <w:rPr>
                <w:rFonts w:ascii="Times New Roman" w:hAnsi="Times New Roman"/>
                <w:spacing w:val="-12"/>
              </w:rPr>
              <w:t xml:space="preserve"> </w:t>
            </w:r>
            <w:r>
              <w:rPr>
                <w:rFonts w:ascii="Times New Roman" w:hAnsi="Times New Roman"/>
                <w:spacing w:val="-2"/>
              </w:rPr>
              <w:t>certain</w:t>
            </w:r>
            <w:r>
              <w:rPr>
                <w:rFonts w:ascii="Times New Roman" w:hAnsi="Times New Roman"/>
                <w:spacing w:val="-12"/>
              </w:rPr>
              <w:t xml:space="preserve"> </w:t>
            </w:r>
            <w:r>
              <w:rPr>
                <w:rFonts w:ascii="Times New Roman" w:hAnsi="Times New Roman"/>
                <w:spacing w:val="-2"/>
              </w:rPr>
              <w:t xml:space="preserve">specific </w:t>
            </w:r>
            <w:r>
              <w:rPr>
                <w:rFonts w:ascii="Times New Roman" w:hAnsi="Times New Roman"/>
              </w:rPr>
              <w:t>parts</w:t>
            </w:r>
            <w:r>
              <w:rPr>
                <w:rFonts w:ascii="Times New Roman" w:hAnsi="Times New Roman"/>
                <w:spacing w:val="-10"/>
              </w:rPr>
              <w:t xml:space="preserve"> </w:t>
            </w:r>
            <w:r>
              <w:rPr>
                <w:rFonts w:ascii="Times New Roman" w:hAnsi="Times New Roman"/>
              </w:rPr>
              <w:t>of</w:t>
            </w:r>
            <w:r>
              <w:rPr>
                <w:rFonts w:ascii="Times New Roman" w:hAnsi="Times New Roman"/>
                <w:spacing w:val="-10"/>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Works</w:t>
            </w:r>
            <w:r>
              <w:rPr>
                <w:rFonts w:ascii="Times New Roman" w:hAnsi="Times New Roman"/>
                <w:spacing w:val="-10"/>
              </w:rPr>
              <w:t xml:space="preserve"> </w:t>
            </w:r>
            <w:r>
              <w:rPr>
                <w:rFonts w:ascii="Times New Roman" w:hAnsi="Times New Roman"/>
              </w:rPr>
              <w:t>by</w:t>
            </w:r>
            <w:r>
              <w:rPr>
                <w:rFonts w:ascii="Times New Roman" w:hAnsi="Times New Roman"/>
                <w:spacing w:val="-7"/>
              </w:rPr>
              <w:t xml:space="preserve"> </w:t>
            </w:r>
            <w:r>
              <w:rPr>
                <w:rFonts w:ascii="Times New Roman" w:hAnsi="Times New Roman"/>
              </w:rPr>
              <w:t>subcontractors</w:t>
            </w:r>
            <w:r>
              <w:rPr>
                <w:rFonts w:ascii="Times New Roman" w:hAnsi="Times New Roman"/>
                <w:spacing w:val="-10"/>
              </w:rPr>
              <w:t xml:space="preserve"> </w:t>
            </w:r>
            <w:r>
              <w:rPr>
                <w:rFonts w:ascii="Times New Roman" w:hAnsi="Times New Roman"/>
              </w:rPr>
              <w:t>selected</w:t>
            </w:r>
            <w:r>
              <w:rPr>
                <w:rFonts w:ascii="Times New Roman" w:hAnsi="Times New Roman"/>
                <w:spacing w:val="-11"/>
              </w:rPr>
              <w:t xml:space="preserve"> </w:t>
            </w:r>
            <w:r>
              <w:rPr>
                <w:rFonts w:ascii="Times New Roman" w:hAnsi="Times New Roman"/>
              </w:rPr>
              <w:t>in</w:t>
            </w:r>
            <w:r>
              <w:rPr>
                <w:rFonts w:ascii="Times New Roman" w:hAnsi="Times New Roman"/>
                <w:spacing w:val="-11"/>
              </w:rPr>
              <w:t xml:space="preserve"> </w:t>
            </w:r>
            <w:r>
              <w:rPr>
                <w:rFonts w:ascii="Times New Roman" w:hAnsi="Times New Roman"/>
              </w:rPr>
              <w:t>advance.</w:t>
            </w:r>
          </w:p>
        </w:tc>
      </w:tr>
      <w:tr w:rsidR="007F6DF9">
        <w:trPr>
          <w:trHeight w:val="138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48"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34.2</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48" w:lineRule="exact"/>
              <w:ind w:left="107"/>
              <w:rPr>
                <w:rFonts w:ascii="Times New Roman" w:hAnsi="Times New Roman"/>
              </w:rPr>
            </w:pPr>
            <w:r>
              <w:rPr>
                <w:rFonts w:ascii="Times New Roman" w:hAnsi="Times New Roman"/>
                <w:spacing w:val="-4"/>
              </w:rPr>
              <w:t>Contractor’s</w:t>
            </w:r>
            <w:r>
              <w:rPr>
                <w:rFonts w:ascii="Times New Roman" w:hAnsi="Times New Roman"/>
                <w:spacing w:val="-10"/>
              </w:rPr>
              <w:t xml:space="preserve"> </w:t>
            </w:r>
            <w:r>
              <w:rPr>
                <w:rFonts w:ascii="Times New Roman" w:hAnsi="Times New Roman"/>
                <w:spacing w:val="-4"/>
              </w:rPr>
              <w:t>may</w:t>
            </w:r>
            <w:r>
              <w:rPr>
                <w:rFonts w:ascii="Times New Roman" w:hAnsi="Times New Roman"/>
                <w:spacing w:val="-10"/>
              </w:rPr>
              <w:t xml:space="preserve"> </w:t>
            </w:r>
            <w:r>
              <w:rPr>
                <w:rFonts w:ascii="Times New Roman" w:hAnsi="Times New Roman"/>
                <w:spacing w:val="-4"/>
              </w:rPr>
              <w:t>propose</w:t>
            </w:r>
            <w:r>
              <w:rPr>
                <w:rFonts w:ascii="Times New Roman" w:hAnsi="Times New Roman"/>
                <w:spacing w:val="-10"/>
              </w:rPr>
              <w:t xml:space="preserve"> </w:t>
            </w:r>
            <w:r>
              <w:rPr>
                <w:rFonts w:ascii="Times New Roman" w:hAnsi="Times New Roman"/>
                <w:spacing w:val="-4"/>
              </w:rPr>
              <w:t>subcontracting:</w:t>
            </w:r>
            <w:r>
              <w:rPr>
                <w:rFonts w:ascii="Times New Roman" w:hAnsi="Times New Roman"/>
                <w:spacing w:val="-10"/>
              </w:rPr>
              <w:t xml:space="preserve"> </w:t>
            </w:r>
            <w:r>
              <w:rPr>
                <w:rFonts w:ascii="Times New Roman" w:hAnsi="Times New Roman"/>
                <w:spacing w:val="-4"/>
              </w:rPr>
              <w:t>Maximum</w:t>
            </w:r>
            <w:r>
              <w:rPr>
                <w:rFonts w:ascii="Times New Roman" w:hAnsi="Times New Roman"/>
                <w:spacing w:val="-10"/>
              </w:rPr>
              <w:t xml:space="preserve"> </w:t>
            </w:r>
            <w:r>
              <w:rPr>
                <w:rFonts w:ascii="Times New Roman" w:hAnsi="Times New Roman"/>
                <w:spacing w:val="-4"/>
              </w:rPr>
              <w:t>percentage</w:t>
            </w:r>
            <w:r>
              <w:rPr>
                <w:rFonts w:ascii="Times New Roman" w:hAnsi="Times New Roman"/>
                <w:spacing w:val="-10"/>
              </w:rPr>
              <w:t xml:space="preserve"> </w:t>
            </w:r>
            <w:r>
              <w:rPr>
                <w:rFonts w:ascii="Times New Roman" w:hAnsi="Times New Roman"/>
                <w:spacing w:val="-4"/>
              </w:rPr>
              <w:t>of</w:t>
            </w:r>
            <w:r>
              <w:rPr>
                <w:rFonts w:ascii="Times New Roman" w:hAnsi="Times New Roman"/>
                <w:spacing w:val="-9"/>
              </w:rPr>
              <w:t xml:space="preserve"> </w:t>
            </w:r>
            <w:r>
              <w:rPr>
                <w:rFonts w:ascii="Times New Roman" w:hAnsi="Times New Roman"/>
                <w:spacing w:val="-4"/>
              </w:rPr>
              <w:t>subcontracting</w:t>
            </w:r>
            <w:r>
              <w:rPr>
                <w:rFonts w:ascii="Times New Roman" w:hAnsi="Times New Roman"/>
                <w:spacing w:val="-9"/>
              </w:rPr>
              <w:t xml:space="preserve"> </w:t>
            </w:r>
            <w:r>
              <w:rPr>
                <w:rFonts w:ascii="Times New Roman" w:hAnsi="Times New Roman"/>
                <w:spacing w:val="-4"/>
              </w:rPr>
              <w:t>permitted</w:t>
            </w:r>
            <w:r>
              <w:rPr>
                <w:rFonts w:ascii="Times New Roman" w:hAnsi="Times New Roman"/>
                <w:spacing w:val="-10"/>
              </w:rPr>
              <w:t xml:space="preserve"> </w:t>
            </w:r>
            <w:r>
              <w:rPr>
                <w:rFonts w:ascii="Times New Roman" w:hAnsi="Times New Roman"/>
                <w:spacing w:val="-5"/>
              </w:rPr>
              <w:t>is:</w:t>
            </w:r>
          </w:p>
          <w:p w:rsidR="007F6DF9" w:rsidRDefault="00A43FBC">
            <w:pPr>
              <w:pStyle w:val="TableParagraph"/>
              <w:tabs>
                <w:tab w:val="left" w:pos="1060"/>
              </w:tabs>
              <w:spacing w:before="1"/>
              <w:ind w:left="107" w:right="132"/>
              <w:rPr>
                <w:rFonts w:ascii="Times New Roman"/>
              </w:rPr>
            </w:pPr>
            <w:r>
              <w:rPr>
                <w:rFonts w:ascii="Times New Roman"/>
                <w:i/>
                <w:spacing w:val="80"/>
                <w:w w:val="150"/>
                <w:u w:val="single"/>
              </w:rPr>
              <w:t xml:space="preserve"> </w:t>
            </w:r>
            <w:r>
              <w:rPr>
                <w:rFonts w:ascii="Times New Roman"/>
                <w:i/>
              </w:rPr>
              <w:t>10</w:t>
            </w:r>
            <w:r>
              <w:rPr>
                <w:rFonts w:ascii="Times New Roman"/>
                <w:i/>
                <w:u w:val="single"/>
              </w:rPr>
              <w:tab/>
            </w:r>
            <w:r>
              <w:rPr>
                <w:rFonts w:ascii="Times New Roman"/>
                <w:i/>
                <w:spacing w:val="-2"/>
              </w:rPr>
              <w:t>%</w:t>
            </w:r>
            <w:r>
              <w:rPr>
                <w:rFonts w:ascii="Times New Roman"/>
                <w:i/>
                <w:spacing w:val="-8"/>
              </w:rPr>
              <w:t xml:space="preserve"> </w:t>
            </w:r>
            <w:r>
              <w:rPr>
                <w:rFonts w:ascii="Times New Roman"/>
                <w:i/>
                <w:spacing w:val="-2"/>
              </w:rPr>
              <w:t>of</w:t>
            </w:r>
            <w:r>
              <w:rPr>
                <w:rFonts w:ascii="Times New Roman"/>
                <w:i/>
                <w:spacing w:val="-8"/>
              </w:rPr>
              <w:t xml:space="preserve"> </w:t>
            </w:r>
            <w:r>
              <w:rPr>
                <w:rFonts w:ascii="Times New Roman"/>
                <w:i/>
                <w:spacing w:val="-2"/>
              </w:rPr>
              <w:t>the</w:t>
            </w:r>
            <w:r>
              <w:rPr>
                <w:rFonts w:ascii="Times New Roman"/>
                <w:i/>
                <w:spacing w:val="-9"/>
              </w:rPr>
              <w:t xml:space="preserve"> </w:t>
            </w:r>
            <w:r>
              <w:rPr>
                <w:rFonts w:ascii="Times New Roman"/>
                <w:i/>
                <w:spacing w:val="-2"/>
              </w:rPr>
              <w:t>total</w:t>
            </w:r>
            <w:r>
              <w:rPr>
                <w:rFonts w:ascii="Times New Roman"/>
                <w:i/>
                <w:spacing w:val="-8"/>
              </w:rPr>
              <w:t xml:space="preserve"> </w:t>
            </w:r>
            <w:r>
              <w:rPr>
                <w:rFonts w:ascii="Times New Roman"/>
                <w:i/>
                <w:spacing w:val="-2"/>
              </w:rPr>
              <w:t>contract</w:t>
            </w:r>
            <w:r>
              <w:rPr>
                <w:rFonts w:ascii="Times New Roman"/>
                <w:i/>
                <w:spacing w:val="-8"/>
              </w:rPr>
              <w:t xml:space="preserve"> </w:t>
            </w:r>
            <w:r>
              <w:rPr>
                <w:rFonts w:ascii="Times New Roman"/>
                <w:i/>
                <w:spacing w:val="-2"/>
              </w:rPr>
              <w:t>amount.</w:t>
            </w:r>
            <w:r>
              <w:rPr>
                <w:rFonts w:ascii="Times New Roman"/>
                <w:i/>
                <w:spacing w:val="-5"/>
              </w:rPr>
              <w:t xml:space="preserve"> </w:t>
            </w:r>
            <w:r>
              <w:rPr>
                <w:rFonts w:ascii="Times New Roman"/>
                <w:spacing w:val="-2"/>
              </w:rPr>
              <w:t>Tenderers</w:t>
            </w:r>
            <w:r>
              <w:rPr>
                <w:rFonts w:ascii="Times New Roman"/>
                <w:spacing w:val="-8"/>
              </w:rPr>
              <w:t xml:space="preserve"> </w:t>
            </w:r>
            <w:r>
              <w:rPr>
                <w:rFonts w:ascii="Times New Roman"/>
                <w:spacing w:val="-2"/>
              </w:rPr>
              <w:t>planning</w:t>
            </w:r>
            <w:r>
              <w:rPr>
                <w:rFonts w:ascii="Times New Roman"/>
                <w:spacing w:val="-9"/>
              </w:rPr>
              <w:t xml:space="preserve"> </w:t>
            </w:r>
            <w:r>
              <w:rPr>
                <w:rFonts w:ascii="Times New Roman"/>
                <w:spacing w:val="-2"/>
              </w:rPr>
              <w:t>to</w:t>
            </w:r>
            <w:r>
              <w:rPr>
                <w:rFonts w:ascii="Times New Roman"/>
                <w:spacing w:val="-9"/>
              </w:rPr>
              <w:t xml:space="preserve"> </w:t>
            </w:r>
            <w:r>
              <w:rPr>
                <w:rFonts w:ascii="Times New Roman"/>
                <w:spacing w:val="-2"/>
              </w:rPr>
              <w:t>subcontract</w:t>
            </w:r>
            <w:r>
              <w:rPr>
                <w:rFonts w:ascii="Times New Roman"/>
                <w:spacing w:val="-8"/>
              </w:rPr>
              <w:t xml:space="preserve"> </w:t>
            </w:r>
            <w:r>
              <w:rPr>
                <w:rFonts w:ascii="Times New Roman"/>
                <w:spacing w:val="-2"/>
              </w:rPr>
              <w:t>more</w:t>
            </w:r>
            <w:r>
              <w:rPr>
                <w:rFonts w:ascii="Times New Roman"/>
                <w:spacing w:val="-9"/>
              </w:rPr>
              <w:t xml:space="preserve"> </w:t>
            </w:r>
            <w:r>
              <w:rPr>
                <w:rFonts w:ascii="Times New Roman"/>
                <w:spacing w:val="-2"/>
              </w:rPr>
              <w:t>than</w:t>
            </w:r>
            <w:r>
              <w:rPr>
                <w:rFonts w:ascii="Times New Roman"/>
                <w:spacing w:val="-9"/>
              </w:rPr>
              <w:t xml:space="preserve"> </w:t>
            </w:r>
            <w:r>
              <w:rPr>
                <w:rFonts w:ascii="Times New Roman"/>
                <w:spacing w:val="-2"/>
              </w:rPr>
              <w:t>10%</w:t>
            </w:r>
            <w:r>
              <w:rPr>
                <w:rFonts w:ascii="Times New Roman"/>
                <w:spacing w:val="-8"/>
              </w:rPr>
              <w:t xml:space="preserve"> </w:t>
            </w:r>
            <w:r>
              <w:rPr>
                <w:rFonts w:ascii="Times New Roman"/>
                <w:spacing w:val="-2"/>
              </w:rPr>
              <w:t>of</w:t>
            </w:r>
            <w:r>
              <w:rPr>
                <w:rFonts w:ascii="Times New Roman"/>
                <w:spacing w:val="-8"/>
              </w:rPr>
              <w:t xml:space="preserve"> </w:t>
            </w:r>
            <w:r>
              <w:rPr>
                <w:rFonts w:ascii="Times New Roman"/>
                <w:spacing w:val="-2"/>
              </w:rPr>
              <w:t xml:space="preserve">total </w:t>
            </w:r>
            <w:r>
              <w:rPr>
                <w:rFonts w:ascii="Times New Roman"/>
              </w:rPr>
              <w:t>volume</w:t>
            </w:r>
            <w:r>
              <w:rPr>
                <w:rFonts w:ascii="Times New Roman"/>
                <w:spacing w:val="-14"/>
              </w:rPr>
              <w:t xml:space="preserve"> </w:t>
            </w:r>
            <w:r>
              <w:rPr>
                <w:rFonts w:ascii="Times New Roman"/>
              </w:rPr>
              <w:t>of</w:t>
            </w:r>
            <w:r>
              <w:rPr>
                <w:rFonts w:ascii="Times New Roman"/>
                <w:spacing w:val="-14"/>
              </w:rPr>
              <w:t xml:space="preserve"> </w:t>
            </w:r>
            <w:r>
              <w:rPr>
                <w:rFonts w:ascii="Times New Roman"/>
              </w:rPr>
              <w:t>work</w:t>
            </w:r>
            <w:r>
              <w:rPr>
                <w:rFonts w:ascii="Times New Roman"/>
                <w:spacing w:val="-14"/>
              </w:rPr>
              <w:t xml:space="preserve"> </w:t>
            </w:r>
            <w:r>
              <w:rPr>
                <w:rFonts w:ascii="Times New Roman"/>
              </w:rPr>
              <w:t>shall</w:t>
            </w:r>
            <w:r>
              <w:rPr>
                <w:rFonts w:ascii="Times New Roman"/>
                <w:spacing w:val="-13"/>
              </w:rPr>
              <w:t xml:space="preserve"> </w:t>
            </w:r>
            <w:r>
              <w:rPr>
                <w:rFonts w:ascii="Times New Roman"/>
              </w:rPr>
              <w:t>specify,</w:t>
            </w:r>
            <w:r>
              <w:rPr>
                <w:rFonts w:ascii="Times New Roman"/>
                <w:spacing w:val="-14"/>
              </w:rPr>
              <w:t xml:space="preserve"> </w:t>
            </w:r>
            <w:r>
              <w:rPr>
                <w:rFonts w:ascii="Times New Roman"/>
              </w:rPr>
              <w:t>in</w:t>
            </w:r>
            <w:r>
              <w:rPr>
                <w:rFonts w:ascii="Times New Roman"/>
                <w:spacing w:val="-14"/>
              </w:rPr>
              <w:t xml:space="preserve"> </w:t>
            </w:r>
            <w:r>
              <w:rPr>
                <w:rFonts w:ascii="Times New Roman"/>
              </w:rPr>
              <w:t>the</w:t>
            </w:r>
            <w:r>
              <w:rPr>
                <w:rFonts w:ascii="Times New Roman"/>
                <w:spacing w:val="-14"/>
              </w:rPr>
              <w:t xml:space="preserve"> </w:t>
            </w:r>
            <w:r>
              <w:rPr>
                <w:rFonts w:ascii="Times New Roman"/>
              </w:rPr>
              <w:t>Form</w:t>
            </w:r>
            <w:r>
              <w:rPr>
                <w:rFonts w:ascii="Times New Roman"/>
                <w:spacing w:val="-13"/>
              </w:rPr>
              <w:t xml:space="preserve"> </w:t>
            </w:r>
            <w:r>
              <w:rPr>
                <w:rFonts w:ascii="Times New Roman"/>
              </w:rPr>
              <w:t>of</w:t>
            </w:r>
            <w:r>
              <w:rPr>
                <w:rFonts w:ascii="Times New Roman"/>
                <w:spacing w:val="-14"/>
              </w:rPr>
              <w:t xml:space="preserve"> </w:t>
            </w:r>
            <w:r>
              <w:rPr>
                <w:rFonts w:ascii="Times New Roman"/>
              </w:rPr>
              <w:t>Tender,</w:t>
            </w:r>
            <w:r>
              <w:rPr>
                <w:rFonts w:ascii="Times New Roman"/>
                <w:spacing w:val="-14"/>
              </w:rPr>
              <w:t xml:space="preserve"> </w:t>
            </w:r>
            <w:r>
              <w:rPr>
                <w:rFonts w:ascii="Times New Roman"/>
              </w:rPr>
              <w:t>the</w:t>
            </w:r>
            <w:r>
              <w:rPr>
                <w:rFonts w:ascii="Times New Roman"/>
                <w:spacing w:val="-14"/>
              </w:rPr>
              <w:t xml:space="preserve"> </w:t>
            </w:r>
            <w:r>
              <w:rPr>
                <w:rFonts w:ascii="Times New Roman"/>
              </w:rPr>
              <w:t>activity</w:t>
            </w:r>
            <w:r>
              <w:rPr>
                <w:rFonts w:ascii="Times New Roman"/>
                <w:spacing w:val="-13"/>
              </w:rPr>
              <w:t xml:space="preserve"> </w:t>
            </w:r>
            <w:r>
              <w:rPr>
                <w:rFonts w:ascii="Times New Roman"/>
              </w:rPr>
              <w:t>(</w:t>
            </w:r>
            <w:proofErr w:type="spellStart"/>
            <w:r>
              <w:rPr>
                <w:rFonts w:ascii="Times New Roman"/>
              </w:rPr>
              <w:t>ies</w:t>
            </w:r>
            <w:proofErr w:type="spellEnd"/>
            <w:r>
              <w:rPr>
                <w:rFonts w:ascii="Times New Roman"/>
              </w:rPr>
              <w:t>)</w:t>
            </w:r>
            <w:r>
              <w:rPr>
                <w:rFonts w:ascii="Times New Roman"/>
                <w:spacing w:val="-14"/>
              </w:rPr>
              <w:t xml:space="preserve"> </w:t>
            </w:r>
            <w:r>
              <w:rPr>
                <w:rFonts w:ascii="Times New Roman"/>
              </w:rPr>
              <w:t>or</w:t>
            </w:r>
            <w:r>
              <w:rPr>
                <w:rFonts w:ascii="Times New Roman"/>
                <w:spacing w:val="-14"/>
              </w:rPr>
              <w:t xml:space="preserve"> </w:t>
            </w:r>
            <w:r>
              <w:rPr>
                <w:rFonts w:ascii="Times New Roman"/>
              </w:rPr>
              <w:t>parts</w:t>
            </w:r>
            <w:r>
              <w:rPr>
                <w:rFonts w:ascii="Times New Roman"/>
                <w:spacing w:val="-14"/>
              </w:rPr>
              <w:t xml:space="preserve"> </w:t>
            </w:r>
            <w:r>
              <w:rPr>
                <w:rFonts w:ascii="Times New Roman"/>
              </w:rPr>
              <w:t>of</w:t>
            </w:r>
            <w:r>
              <w:rPr>
                <w:rFonts w:ascii="Times New Roman"/>
                <w:spacing w:val="-13"/>
              </w:rPr>
              <w:t xml:space="preserve"> </w:t>
            </w:r>
            <w:r>
              <w:rPr>
                <w:rFonts w:ascii="Times New Roman"/>
              </w:rPr>
              <w:t>the</w:t>
            </w:r>
            <w:r>
              <w:rPr>
                <w:rFonts w:ascii="Times New Roman"/>
                <w:spacing w:val="-13"/>
              </w:rPr>
              <w:t xml:space="preserve"> </w:t>
            </w:r>
            <w:r>
              <w:rPr>
                <w:rFonts w:ascii="Times New Roman"/>
              </w:rPr>
              <w:t>Works</w:t>
            </w:r>
            <w:r>
              <w:rPr>
                <w:rFonts w:ascii="Times New Roman"/>
                <w:spacing w:val="-14"/>
              </w:rPr>
              <w:t xml:space="preserve"> </w:t>
            </w:r>
            <w:r>
              <w:rPr>
                <w:rFonts w:ascii="Times New Roman"/>
              </w:rPr>
              <w:t>to</w:t>
            </w:r>
            <w:r>
              <w:rPr>
                <w:rFonts w:ascii="Times New Roman"/>
                <w:spacing w:val="-13"/>
              </w:rPr>
              <w:t xml:space="preserve"> </w:t>
            </w:r>
            <w:r>
              <w:rPr>
                <w:rFonts w:ascii="Times New Roman"/>
              </w:rPr>
              <w:t xml:space="preserve">be </w:t>
            </w:r>
            <w:r>
              <w:rPr>
                <w:rFonts w:ascii="Times New Roman"/>
                <w:spacing w:val="-4"/>
              </w:rPr>
              <w:t>subcontracted</w:t>
            </w:r>
            <w:r>
              <w:rPr>
                <w:rFonts w:ascii="Times New Roman"/>
                <w:spacing w:val="-8"/>
              </w:rPr>
              <w:t xml:space="preserve"> </w:t>
            </w:r>
            <w:r>
              <w:rPr>
                <w:rFonts w:ascii="Times New Roman"/>
                <w:spacing w:val="-4"/>
              </w:rPr>
              <w:t>along</w:t>
            </w:r>
            <w:r>
              <w:rPr>
                <w:rFonts w:ascii="Times New Roman"/>
                <w:spacing w:val="-6"/>
              </w:rPr>
              <w:t xml:space="preserve"> </w:t>
            </w:r>
            <w:r>
              <w:rPr>
                <w:rFonts w:ascii="Times New Roman"/>
                <w:spacing w:val="-4"/>
              </w:rPr>
              <w:t>with</w:t>
            </w:r>
            <w:r>
              <w:rPr>
                <w:rFonts w:ascii="Times New Roman"/>
                <w:spacing w:val="-8"/>
              </w:rPr>
              <w:t xml:space="preserve"> </w:t>
            </w:r>
            <w:r>
              <w:rPr>
                <w:rFonts w:ascii="Times New Roman"/>
                <w:spacing w:val="-4"/>
              </w:rPr>
              <w:t>complete</w:t>
            </w:r>
            <w:r>
              <w:rPr>
                <w:rFonts w:ascii="Times New Roman"/>
                <w:spacing w:val="-8"/>
              </w:rPr>
              <w:t xml:space="preserve"> </w:t>
            </w:r>
            <w:r>
              <w:rPr>
                <w:rFonts w:ascii="Times New Roman"/>
                <w:spacing w:val="-4"/>
              </w:rPr>
              <w:t>details</w:t>
            </w:r>
            <w:r>
              <w:rPr>
                <w:rFonts w:ascii="Times New Roman"/>
                <w:spacing w:val="-7"/>
              </w:rPr>
              <w:t xml:space="preserve"> </w:t>
            </w:r>
            <w:r>
              <w:rPr>
                <w:rFonts w:ascii="Times New Roman"/>
                <w:spacing w:val="-4"/>
              </w:rPr>
              <w:t>of</w:t>
            </w:r>
            <w:r>
              <w:rPr>
                <w:rFonts w:ascii="Times New Roman"/>
                <w:spacing w:val="-7"/>
              </w:rPr>
              <w:t xml:space="preserve"> </w:t>
            </w:r>
            <w:r>
              <w:rPr>
                <w:rFonts w:ascii="Times New Roman"/>
                <w:spacing w:val="-4"/>
              </w:rPr>
              <w:t>the</w:t>
            </w:r>
            <w:r>
              <w:rPr>
                <w:rFonts w:ascii="Times New Roman"/>
                <w:spacing w:val="-8"/>
              </w:rPr>
              <w:t xml:space="preserve"> </w:t>
            </w:r>
            <w:r>
              <w:rPr>
                <w:rFonts w:ascii="Times New Roman"/>
                <w:spacing w:val="-4"/>
              </w:rPr>
              <w:t>subcontractors</w:t>
            </w:r>
            <w:r>
              <w:rPr>
                <w:rFonts w:ascii="Times New Roman"/>
                <w:spacing w:val="-7"/>
              </w:rPr>
              <w:t xml:space="preserve"> </w:t>
            </w:r>
            <w:r>
              <w:rPr>
                <w:rFonts w:ascii="Times New Roman"/>
                <w:spacing w:val="-4"/>
              </w:rPr>
              <w:t>and</w:t>
            </w:r>
            <w:r>
              <w:rPr>
                <w:rFonts w:ascii="Times New Roman"/>
                <w:spacing w:val="-8"/>
              </w:rPr>
              <w:t xml:space="preserve"> </w:t>
            </w:r>
            <w:r>
              <w:rPr>
                <w:rFonts w:ascii="Times New Roman"/>
                <w:spacing w:val="-4"/>
              </w:rPr>
              <w:t>their</w:t>
            </w:r>
            <w:r>
              <w:rPr>
                <w:rFonts w:ascii="Times New Roman"/>
                <w:spacing w:val="-7"/>
              </w:rPr>
              <w:t xml:space="preserve"> </w:t>
            </w:r>
            <w:r>
              <w:rPr>
                <w:rFonts w:ascii="Times New Roman"/>
                <w:spacing w:val="-4"/>
              </w:rPr>
              <w:t>qualification</w:t>
            </w:r>
            <w:r>
              <w:rPr>
                <w:rFonts w:ascii="Times New Roman"/>
                <w:spacing w:val="-8"/>
              </w:rPr>
              <w:t xml:space="preserve"> </w:t>
            </w:r>
            <w:r>
              <w:rPr>
                <w:rFonts w:ascii="Times New Roman"/>
                <w:spacing w:val="-4"/>
              </w:rPr>
              <w:t>and</w:t>
            </w:r>
            <w:r>
              <w:rPr>
                <w:rFonts w:ascii="Times New Roman"/>
                <w:spacing w:val="-8"/>
              </w:rPr>
              <w:t xml:space="preserve"> </w:t>
            </w:r>
            <w:r>
              <w:rPr>
                <w:rFonts w:ascii="Times New Roman"/>
                <w:spacing w:val="-4"/>
              </w:rPr>
              <w:t>experience.</w:t>
            </w:r>
          </w:p>
        </w:tc>
      </w:tr>
    </w:tbl>
    <w:p w:rsidR="007F6DF9" w:rsidRDefault="007F6DF9">
      <w:pPr>
        <w:pStyle w:val="TableParagraph"/>
        <w:rPr>
          <w:rFonts w:ascii="Times New Roman"/>
        </w:rPr>
        <w:sectPr w:rsidR="007F6DF9">
          <w:pgSz w:w="11920" w:h="16850"/>
          <w:pgMar w:top="360" w:right="0" w:bottom="620" w:left="0" w:header="0" w:footer="437" w:gutter="0"/>
          <w:pgNumType w:start="19"/>
          <w:cols w:space="720"/>
        </w:sectPr>
      </w:pPr>
    </w:p>
    <w:p w:rsidR="007F6DF9" w:rsidRDefault="007F6DF9">
      <w:pPr>
        <w:pStyle w:val="BodyText"/>
        <w:spacing w:before="32"/>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7F6DF9">
        <w:trPr>
          <w:trHeight w:val="457"/>
        </w:trPr>
        <w:tc>
          <w:tcPr>
            <w:tcW w:w="1524" w:type="dxa"/>
            <w:tcBorders>
              <w:bottom w:val="single" w:sz="12" w:space="0" w:color="000000"/>
            </w:tcBorders>
          </w:tcPr>
          <w:p w:rsidR="007F6DF9" w:rsidRDefault="00A43FBC">
            <w:pPr>
              <w:pStyle w:val="TableParagraph"/>
              <w:spacing w:line="228" w:lineRule="exact"/>
              <w:ind w:left="117" w:right="318"/>
              <w:rPr>
                <w:rFonts w:ascii="Times New Roman"/>
                <w:b/>
                <w:sz w:val="20"/>
              </w:rPr>
            </w:pPr>
            <w:r>
              <w:rPr>
                <w:rFonts w:ascii="Times New Roman"/>
                <w:b/>
                <w:sz w:val="20"/>
              </w:rPr>
              <w:t>Reference</w:t>
            </w:r>
            <w:r>
              <w:rPr>
                <w:rFonts w:ascii="Times New Roman"/>
                <w:b/>
                <w:spacing w:val="-13"/>
                <w:sz w:val="20"/>
              </w:rPr>
              <w:t xml:space="preserve"> </w:t>
            </w:r>
            <w:r>
              <w:rPr>
                <w:rFonts w:ascii="Times New Roman"/>
                <w:b/>
                <w:sz w:val="20"/>
              </w:rPr>
              <w:t>to ITC Clause</w:t>
            </w:r>
          </w:p>
        </w:tc>
        <w:tc>
          <w:tcPr>
            <w:tcW w:w="8898" w:type="dxa"/>
            <w:tcBorders>
              <w:bottom w:val="single" w:sz="12" w:space="0" w:color="000000"/>
            </w:tcBorders>
          </w:tcPr>
          <w:p w:rsidR="007F6DF9" w:rsidRDefault="00A43FBC">
            <w:pPr>
              <w:pStyle w:val="TableParagraph"/>
              <w:ind w:left="117"/>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r>
      <w:tr w:rsidR="007F6DF9">
        <w:trPr>
          <w:trHeight w:val="2279"/>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34.3</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253"/>
              <w:ind w:left="107"/>
              <w:rPr>
                <w:rFonts w:ascii="Times New Roman"/>
              </w:rPr>
            </w:pPr>
            <w:r>
              <w:rPr>
                <w:rFonts w:ascii="Times New Roman"/>
                <w:spacing w:val="-4"/>
              </w:rPr>
              <w:t>The</w:t>
            </w:r>
            <w:r>
              <w:rPr>
                <w:rFonts w:ascii="Times New Roman"/>
                <w:spacing w:val="-8"/>
              </w:rPr>
              <w:t xml:space="preserve"> </w:t>
            </w:r>
            <w:r>
              <w:rPr>
                <w:rFonts w:ascii="Times New Roman"/>
                <w:spacing w:val="-4"/>
              </w:rPr>
              <w:t>parts</w:t>
            </w:r>
            <w:r>
              <w:rPr>
                <w:rFonts w:ascii="Times New Roman"/>
                <w:spacing w:val="-7"/>
              </w:rPr>
              <w:t xml:space="preserve"> </w:t>
            </w:r>
            <w:r>
              <w:rPr>
                <w:rFonts w:ascii="Times New Roman"/>
                <w:spacing w:val="-4"/>
              </w:rPr>
              <w:t>of</w:t>
            </w:r>
            <w:r>
              <w:rPr>
                <w:rFonts w:ascii="Times New Roman"/>
                <w:spacing w:val="-7"/>
              </w:rPr>
              <w:t xml:space="preserve"> </w:t>
            </w:r>
            <w:r>
              <w:rPr>
                <w:rFonts w:ascii="Times New Roman"/>
                <w:spacing w:val="-4"/>
              </w:rPr>
              <w:t>the</w:t>
            </w:r>
            <w:r>
              <w:rPr>
                <w:rFonts w:ascii="Times New Roman"/>
                <w:spacing w:val="-8"/>
              </w:rPr>
              <w:t xml:space="preserve"> </w:t>
            </w:r>
            <w:r>
              <w:rPr>
                <w:rFonts w:ascii="Times New Roman"/>
                <w:spacing w:val="-4"/>
              </w:rPr>
              <w:t>Works</w:t>
            </w:r>
            <w:r>
              <w:rPr>
                <w:rFonts w:ascii="Times New Roman"/>
                <w:spacing w:val="-7"/>
              </w:rPr>
              <w:t xml:space="preserve"> </w:t>
            </w:r>
            <w:r>
              <w:rPr>
                <w:rFonts w:ascii="Times New Roman"/>
                <w:spacing w:val="-4"/>
              </w:rPr>
              <w:t>for</w:t>
            </w:r>
            <w:r>
              <w:rPr>
                <w:rFonts w:ascii="Times New Roman"/>
                <w:spacing w:val="-7"/>
              </w:rPr>
              <w:t xml:space="preserve"> </w:t>
            </w:r>
            <w:r>
              <w:rPr>
                <w:rFonts w:ascii="Times New Roman"/>
                <w:spacing w:val="-4"/>
              </w:rPr>
              <w:t>which</w:t>
            </w:r>
            <w:r>
              <w:rPr>
                <w:rFonts w:ascii="Times New Roman"/>
                <w:spacing w:val="-8"/>
              </w:rPr>
              <w:t xml:space="preserve"> </w:t>
            </w:r>
            <w:r>
              <w:rPr>
                <w:rFonts w:ascii="Times New Roman"/>
                <w:spacing w:val="-4"/>
              </w:rPr>
              <w:t>the</w:t>
            </w:r>
            <w:r>
              <w:rPr>
                <w:rFonts w:ascii="Times New Roman"/>
                <w:spacing w:val="-8"/>
              </w:rPr>
              <w:t xml:space="preserve"> </w:t>
            </w:r>
            <w:r>
              <w:rPr>
                <w:rFonts w:ascii="Times New Roman"/>
                <w:spacing w:val="-4"/>
              </w:rPr>
              <w:t>Procuring Entity</w:t>
            </w:r>
            <w:r>
              <w:rPr>
                <w:rFonts w:ascii="Times New Roman"/>
                <w:spacing w:val="-8"/>
              </w:rPr>
              <w:t xml:space="preserve"> </w:t>
            </w:r>
            <w:r>
              <w:rPr>
                <w:rFonts w:ascii="Times New Roman"/>
                <w:spacing w:val="-4"/>
              </w:rPr>
              <w:t>permits</w:t>
            </w:r>
            <w:r>
              <w:rPr>
                <w:rFonts w:ascii="Times New Roman"/>
                <w:spacing w:val="-7"/>
              </w:rPr>
              <w:t xml:space="preserve"> </w:t>
            </w:r>
            <w:r>
              <w:rPr>
                <w:rFonts w:ascii="Times New Roman"/>
                <w:spacing w:val="-4"/>
              </w:rPr>
              <w:t>Tenderers</w:t>
            </w:r>
            <w:r>
              <w:rPr>
                <w:rFonts w:ascii="Times New Roman"/>
                <w:spacing w:val="-7"/>
              </w:rPr>
              <w:t xml:space="preserve"> </w:t>
            </w:r>
            <w:r>
              <w:rPr>
                <w:rFonts w:ascii="Times New Roman"/>
                <w:spacing w:val="-4"/>
              </w:rPr>
              <w:t>to</w:t>
            </w:r>
            <w:r>
              <w:rPr>
                <w:rFonts w:ascii="Times New Roman"/>
                <w:spacing w:val="-8"/>
              </w:rPr>
              <w:t xml:space="preserve"> </w:t>
            </w:r>
            <w:r>
              <w:rPr>
                <w:rFonts w:ascii="Times New Roman"/>
                <w:spacing w:val="-4"/>
              </w:rPr>
              <w:t>propose</w:t>
            </w:r>
            <w:r>
              <w:rPr>
                <w:rFonts w:ascii="Times New Roman"/>
                <w:spacing w:val="-5"/>
              </w:rPr>
              <w:t xml:space="preserve"> </w:t>
            </w:r>
            <w:r>
              <w:rPr>
                <w:rFonts w:ascii="Times New Roman"/>
                <w:spacing w:val="-4"/>
              </w:rPr>
              <w:t xml:space="preserve">Specialized </w:t>
            </w:r>
            <w:r>
              <w:rPr>
                <w:rFonts w:ascii="Times New Roman"/>
              </w:rPr>
              <w:t>Subcontractors</w:t>
            </w:r>
            <w:r>
              <w:rPr>
                <w:rFonts w:ascii="Times New Roman"/>
                <w:spacing w:val="-4"/>
              </w:rPr>
              <w:t xml:space="preserve"> </w:t>
            </w:r>
            <w:r>
              <w:rPr>
                <w:rFonts w:ascii="Times New Roman"/>
              </w:rPr>
              <w:t>are</w:t>
            </w:r>
            <w:r>
              <w:rPr>
                <w:rFonts w:ascii="Times New Roman"/>
                <w:spacing w:val="-5"/>
              </w:rPr>
              <w:t xml:space="preserve"> </w:t>
            </w:r>
            <w:r>
              <w:rPr>
                <w:rFonts w:ascii="Times New Roman"/>
              </w:rPr>
              <w:t>designated</w:t>
            </w:r>
            <w:r>
              <w:rPr>
                <w:rFonts w:ascii="Times New Roman"/>
                <w:spacing w:val="-5"/>
              </w:rPr>
              <w:t xml:space="preserve"> </w:t>
            </w:r>
            <w:r>
              <w:rPr>
                <w:rFonts w:ascii="Times New Roman"/>
              </w:rPr>
              <w:t>as</w:t>
            </w:r>
            <w:r>
              <w:rPr>
                <w:rFonts w:ascii="Times New Roman"/>
                <w:spacing w:val="-4"/>
              </w:rPr>
              <w:t xml:space="preserve"> </w:t>
            </w:r>
            <w:r>
              <w:rPr>
                <w:rFonts w:ascii="Times New Roman"/>
              </w:rPr>
              <w:t>follows:</w:t>
            </w:r>
          </w:p>
          <w:p w:rsidR="007F6DF9" w:rsidRDefault="00A43FBC">
            <w:pPr>
              <w:pStyle w:val="TableParagraph"/>
              <w:tabs>
                <w:tab w:val="left" w:pos="474"/>
                <w:tab w:val="left" w:pos="4490"/>
              </w:tabs>
              <w:ind w:left="107"/>
              <w:rPr>
                <w:rFonts w:ascii="Times New Roman"/>
                <w:b/>
                <w:i/>
              </w:rPr>
            </w:pPr>
            <w:r>
              <w:rPr>
                <w:rFonts w:ascii="Times New Roman"/>
                <w:b/>
                <w:i/>
                <w:u w:val="single"/>
              </w:rPr>
              <w:tab/>
            </w:r>
            <w:r>
              <w:rPr>
                <w:rFonts w:ascii="Times New Roman"/>
                <w:b/>
                <w:i/>
              </w:rPr>
              <w:t>Electrical Installation</w:t>
            </w:r>
            <w:r>
              <w:rPr>
                <w:rFonts w:ascii="Times New Roman"/>
                <w:b/>
                <w:i/>
                <w:spacing w:val="-3"/>
              </w:rPr>
              <w:t xml:space="preserve"> </w:t>
            </w:r>
            <w:r>
              <w:rPr>
                <w:rFonts w:ascii="Times New Roman"/>
                <w:b/>
                <w:i/>
              </w:rPr>
              <w:t>Works</w:t>
            </w:r>
            <w:r>
              <w:rPr>
                <w:rFonts w:ascii="Times New Roman"/>
                <w:b/>
                <w:i/>
                <w:spacing w:val="-1"/>
              </w:rPr>
              <w:t xml:space="preserve"> </w:t>
            </w:r>
            <w:r>
              <w:rPr>
                <w:rFonts w:ascii="Times New Roman"/>
                <w:b/>
                <w:i/>
                <w:u w:val="single"/>
              </w:rPr>
              <w:tab/>
            </w:r>
          </w:p>
          <w:p w:rsidR="007F6DF9" w:rsidRDefault="00A43FBC">
            <w:pPr>
              <w:pStyle w:val="TableParagraph"/>
              <w:tabs>
                <w:tab w:val="left" w:pos="4458"/>
              </w:tabs>
              <w:spacing w:before="1"/>
              <w:ind w:left="107"/>
              <w:rPr>
                <w:rFonts w:ascii="Times New Roman"/>
                <w:b/>
                <w:i/>
              </w:rPr>
            </w:pPr>
            <w:r>
              <w:rPr>
                <w:rFonts w:ascii="Times New Roman"/>
                <w:b/>
                <w:i/>
                <w:spacing w:val="62"/>
                <w:u w:val="single"/>
              </w:rPr>
              <w:t xml:space="preserve">  </w:t>
            </w:r>
            <w:r>
              <w:rPr>
                <w:rFonts w:ascii="Times New Roman"/>
                <w:b/>
                <w:i/>
                <w:spacing w:val="-6"/>
              </w:rPr>
              <w:t>Mechanical</w:t>
            </w:r>
            <w:r>
              <w:rPr>
                <w:rFonts w:ascii="Times New Roman"/>
                <w:b/>
                <w:i/>
                <w:spacing w:val="-3"/>
              </w:rPr>
              <w:t xml:space="preserve"> </w:t>
            </w:r>
            <w:r>
              <w:rPr>
                <w:rFonts w:ascii="Times New Roman"/>
                <w:b/>
                <w:i/>
                <w:spacing w:val="-6"/>
              </w:rPr>
              <w:t>Installation</w:t>
            </w:r>
            <w:r>
              <w:rPr>
                <w:rFonts w:ascii="Times New Roman"/>
                <w:b/>
                <w:i/>
              </w:rPr>
              <w:t xml:space="preserve"> </w:t>
            </w:r>
            <w:r>
              <w:rPr>
                <w:rFonts w:ascii="Times New Roman"/>
                <w:b/>
                <w:i/>
                <w:spacing w:val="-6"/>
              </w:rPr>
              <w:t>Works</w:t>
            </w:r>
            <w:r>
              <w:rPr>
                <w:rFonts w:ascii="Times New Roman"/>
                <w:b/>
                <w:i/>
                <w:u w:val="single"/>
              </w:rPr>
              <w:tab/>
            </w:r>
          </w:p>
          <w:p w:rsidR="007F6DF9" w:rsidRDefault="00A43FBC">
            <w:pPr>
              <w:pStyle w:val="TableParagraph"/>
              <w:spacing w:before="251"/>
              <w:ind w:left="107"/>
              <w:rPr>
                <w:rFonts w:ascii="Times New Roman"/>
              </w:rPr>
            </w:pPr>
            <w:r>
              <w:rPr>
                <w:rFonts w:ascii="Times New Roman"/>
                <w:spacing w:val="-4"/>
              </w:rPr>
              <w:t>For</w:t>
            </w:r>
            <w:r>
              <w:rPr>
                <w:rFonts w:ascii="Times New Roman"/>
                <w:spacing w:val="-9"/>
              </w:rPr>
              <w:t xml:space="preserve"> </w:t>
            </w:r>
            <w:r>
              <w:rPr>
                <w:rFonts w:ascii="Times New Roman"/>
                <w:spacing w:val="-4"/>
              </w:rPr>
              <w:t>the</w:t>
            </w:r>
            <w:r>
              <w:rPr>
                <w:rFonts w:ascii="Times New Roman"/>
                <w:spacing w:val="-9"/>
              </w:rPr>
              <w:t xml:space="preserve"> </w:t>
            </w:r>
            <w:r>
              <w:rPr>
                <w:rFonts w:ascii="Times New Roman"/>
                <w:spacing w:val="-4"/>
              </w:rPr>
              <w:t>above-designated</w:t>
            </w:r>
            <w:r>
              <w:rPr>
                <w:rFonts w:ascii="Times New Roman"/>
                <w:spacing w:val="-9"/>
              </w:rPr>
              <w:t xml:space="preserve"> </w:t>
            </w:r>
            <w:r>
              <w:rPr>
                <w:rFonts w:ascii="Times New Roman"/>
                <w:spacing w:val="-4"/>
              </w:rPr>
              <w:t>parts</w:t>
            </w:r>
            <w:r>
              <w:rPr>
                <w:rFonts w:ascii="Times New Roman"/>
                <w:spacing w:val="-8"/>
              </w:rPr>
              <w:t xml:space="preserve"> </w:t>
            </w:r>
            <w:r>
              <w:rPr>
                <w:rFonts w:ascii="Times New Roman"/>
                <w:spacing w:val="-4"/>
              </w:rPr>
              <w:t>of</w:t>
            </w:r>
            <w:r>
              <w:rPr>
                <w:rFonts w:ascii="Times New Roman"/>
                <w:spacing w:val="-8"/>
              </w:rPr>
              <w:t xml:space="preserve"> </w:t>
            </w:r>
            <w:r>
              <w:rPr>
                <w:rFonts w:ascii="Times New Roman"/>
                <w:spacing w:val="-4"/>
              </w:rPr>
              <w:t>the</w:t>
            </w:r>
            <w:r>
              <w:rPr>
                <w:rFonts w:ascii="Times New Roman"/>
                <w:spacing w:val="-9"/>
              </w:rPr>
              <w:t xml:space="preserve"> </w:t>
            </w:r>
            <w:r>
              <w:rPr>
                <w:rFonts w:ascii="Times New Roman"/>
                <w:spacing w:val="-4"/>
              </w:rPr>
              <w:t>Works</w:t>
            </w:r>
            <w:r>
              <w:rPr>
                <w:rFonts w:ascii="Times New Roman"/>
                <w:spacing w:val="-9"/>
              </w:rPr>
              <w:t xml:space="preserve"> </w:t>
            </w:r>
            <w:r>
              <w:rPr>
                <w:rFonts w:ascii="Times New Roman"/>
                <w:spacing w:val="-4"/>
              </w:rPr>
              <w:t>that</w:t>
            </w:r>
            <w:r>
              <w:rPr>
                <w:rFonts w:ascii="Times New Roman"/>
                <w:spacing w:val="-8"/>
              </w:rPr>
              <w:t xml:space="preserve"> </w:t>
            </w:r>
            <w:r>
              <w:rPr>
                <w:rFonts w:ascii="Times New Roman"/>
                <w:spacing w:val="-4"/>
              </w:rPr>
              <w:t>may</w:t>
            </w:r>
            <w:r>
              <w:rPr>
                <w:rFonts w:ascii="Times New Roman"/>
                <w:spacing w:val="-9"/>
              </w:rPr>
              <w:t xml:space="preserve"> </w:t>
            </w:r>
            <w:r>
              <w:rPr>
                <w:rFonts w:ascii="Times New Roman"/>
                <w:spacing w:val="-4"/>
              </w:rPr>
              <w:t>require</w:t>
            </w:r>
            <w:r>
              <w:rPr>
                <w:rFonts w:ascii="Times New Roman"/>
                <w:spacing w:val="-9"/>
              </w:rPr>
              <w:t xml:space="preserve"> </w:t>
            </w:r>
            <w:r>
              <w:rPr>
                <w:rFonts w:ascii="Times New Roman"/>
                <w:spacing w:val="-4"/>
              </w:rPr>
              <w:t>Specialized</w:t>
            </w:r>
            <w:r>
              <w:rPr>
                <w:rFonts w:ascii="Times New Roman"/>
                <w:spacing w:val="-7"/>
              </w:rPr>
              <w:t xml:space="preserve"> </w:t>
            </w:r>
            <w:r>
              <w:rPr>
                <w:rFonts w:ascii="Times New Roman"/>
                <w:spacing w:val="-4"/>
              </w:rPr>
              <w:t>Subcontractors,</w:t>
            </w:r>
            <w:r>
              <w:rPr>
                <w:rFonts w:ascii="Times New Roman"/>
                <w:spacing w:val="-9"/>
              </w:rPr>
              <w:t xml:space="preserve"> </w:t>
            </w:r>
            <w:r>
              <w:rPr>
                <w:rFonts w:ascii="Times New Roman"/>
                <w:spacing w:val="-4"/>
              </w:rPr>
              <w:t>the</w:t>
            </w:r>
            <w:r>
              <w:rPr>
                <w:rFonts w:ascii="Times New Roman"/>
                <w:spacing w:val="-9"/>
              </w:rPr>
              <w:t xml:space="preserve"> </w:t>
            </w:r>
            <w:r>
              <w:rPr>
                <w:rFonts w:ascii="Times New Roman"/>
                <w:spacing w:val="-4"/>
              </w:rPr>
              <w:t>relevant</w:t>
            </w:r>
          </w:p>
          <w:p w:rsidR="007F6DF9" w:rsidRDefault="00A43FBC">
            <w:pPr>
              <w:pStyle w:val="TableParagraph"/>
              <w:spacing w:line="252" w:lineRule="exact"/>
              <w:ind w:left="107"/>
              <w:rPr>
                <w:rFonts w:ascii="Times New Roman"/>
              </w:rPr>
            </w:pPr>
            <w:r>
              <w:rPr>
                <w:rFonts w:ascii="Times New Roman"/>
                <w:spacing w:val="-4"/>
              </w:rPr>
              <w:t>qualifications</w:t>
            </w:r>
            <w:r>
              <w:rPr>
                <w:rFonts w:ascii="Times New Roman"/>
                <w:spacing w:val="-7"/>
              </w:rPr>
              <w:t xml:space="preserve"> </w:t>
            </w:r>
            <w:r>
              <w:rPr>
                <w:rFonts w:ascii="Times New Roman"/>
                <w:spacing w:val="-4"/>
              </w:rPr>
              <w:t>of</w:t>
            </w:r>
            <w:r>
              <w:rPr>
                <w:rFonts w:ascii="Times New Roman"/>
                <w:spacing w:val="-7"/>
              </w:rPr>
              <w:t xml:space="preserve"> </w:t>
            </w:r>
            <w:r>
              <w:rPr>
                <w:rFonts w:ascii="Times New Roman"/>
                <w:spacing w:val="-4"/>
              </w:rPr>
              <w:t>the</w:t>
            </w:r>
            <w:r>
              <w:rPr>
                <w:rFonts w:ascii="Times New Roman"/>
                <w:spacing w:val="-8"/>
              </w:rPr>
              <w:t xml:space="preserve"> </w:t>
            </w:r>
            <w:r>
              <w:rPr>
                <w:rFonts w:ascii="Times New Roman"/>
                <w:spacing w:val="-4"/>
              </w:rPr>
              <w:t>proposed</w:t>
            </w:r>
            <w:r>
              <w:rPr>
                <w:rFonts w:ascii="Times New Roman"/>
                <w:spacing w:val="-8"/>
              </w:rPr>
              <w:t xml:space="preserve"> </w:t>
            </w:r>
            <w:r>
              <w:rPr>
                <w:rFonts w:ascii="Times New Roman"/>
                <w:spacing w:val="-4"/>
              </w:rPr>
              <w:t>Specialized</w:t>
            </w:r>
            <w:r>
              <w:rPr>
                <w:rFonts w:ascii="Times New Roman"/>
                <w:spacing w:val="-8"/>
              </w:rPr>
              <w:t xml:space="preserve"> </w:t>
            </w:r>
            <w:r>
              <w:rPr>
                <w:rFonts w:ascii="Times New Roman"/>
                <w:spacing w:val="-4"/>
              </w:rPr>
              <w:t>Subcontractors</w:t>
            </w:r>
            <w:r>
              <w:rPr>
                <w:rFonts w:ascii="Times New Roman"/>
                <w:spacing w:val="-7"/>
              </w:rPr>
              <w:t xml:space="preserve"> </w:t>
            </w:r>
            <w:r>
              <w:rPr>
                <w:rFonts w:ascii="Times New Roman"/>
                <w:spacing w:val="-4"/>
              </w:rPr>
              <w:t>will</w:t>
            </w:r>
            <w:r>
              <w:rPr>
                <w:rFonts w:ascii="Times New Roman"/>
                <w:spacing w:val="-7"/>
              </w:rPr>
              <w:t xml:space="preserve"> </w:t>
            </w:r>
            <w:r>
              <w:rPr>
                <w:rFonts w:ascii="Times New Roman"/>
                <w:spacing w:val="-4"/>
              </w:rPr>
              <w:t>be</w:t>
            </w:r>
            <w:r>
              <w:rPr>
                <w:rFonts w:ascii="Times New Roman"/>
                <w:spacing w:val="-8"/>
              </w:rPr>
              <w:t xml:space="preserve"> </w:t>
            </w:r>
            <w:r>
              <w:rPr>
                <w:rFonts w:ascii="Times New Roman"/>
                <w:spacing w:val="-4"/>
              </w:rPr>
              <w:t>added</w:t>
            </w:r>
            <w:r>
              <w:rPr>
                <w:rFonts w:ascii="Times New Roman"/>
                <w:spacing w:val="-6"/>
              </w:rPr>
              <w:t xml:space="preserve"> </w:t>
            </w:r>
            <w:r>
              <w:rPr>
                <w:rFonts w:ascii="Times New Roman"/>
                <w:spacing w:val="-4"/>
              </w:rPr>
              <w:t>to</w:t>
            </w:r>
            <w:r>
              <w:rPr>
                <w:rFonts w:ascii="Times New Roman"/>
                <w:spacing w:val="-8"/>
              </w:rPr>
              <w:t xml:space="preserve"> </w:t>
            </w:r>
            <w:r>
              <w:rPr>
                <w:rFonts w:ascii="Times New Roman"/>
                <w:spacing w:val="-4"/>
              </w:rPr>
              <w:t>the</w:t>
            </w:r>
            <w:r>
              <w:rPr>
                <w:rFonts w:ascii="Times New Roman"/>
                <w:spacing w:val="-8"/>
              </w:rPr>
              <w:t xml:space="preserve"> </w:t>
            </w:r>
            <w:r>
              <w:rPr>
                <w:rFonts w:ascii="Times New Roman"/>
                <w:spacing w:val="-4"/>
              </w:rPr>
              <w:t>qualifications</w:t>
            </w:r>
            <w:r>
              <w:rPr>
                <w:rFonts w:ascii="Times New Roman"/>
                <w:spacing w:val="-7"/>
              </w:rPr>
              <w:t xml:space="preserve"> </w:t>
            </w:r>
            <w:r>
              <w:rPr>
                <w:rFonts w:ascii="Times New Roman"/>
                <w:spacing w:val="-4"/>
              </w:rPr>
              <w:t>of</w:t>
            </w:r>
            <w:r>
              <w:rPr>
                <w:rFonts w:ascii="Times New Roman"/>
                <w:spacing w:val="-7"/>
              </w:rPr>
              <w:t xml:space="preserve"> </w:t>
            </w:r>
            <w:r>
              <w:rPr>
                <w:rFonts w:ascii="Times New Roman"/>
                <w:spacing w:val="-4"/>
              </w:rPr>
              <w:t xml:space="preserve">the </w:t>
            </w:r>
            <w:r>
              <w:rPr>
                <w:rFonts w:ascii="Times New Roman"/>
              </w:rPr>
              <w:t>Tenderer</w:t>
            </w:r>
            <w:r>
              <w:rPr>
                <w:rFonts w:ascii="Times New Roman"/>
                <w:spacing w:val="-1"/>
              </w:rPr>
              <w:t xml:space="preserve"> </w:t>
            </w:r>
            <w:r>
              <w:rPr>
                <w:rFonts w:ascii="Times New Roman"/>
              </w:rPr>
              <w:t>for</w:t>
            </w:r>
            <w:r>
              <w:rPr>
                <w:rFonts w:ascii="Times New Roman"/>
                <w:spacing w:val="-1"/>
              </w:rPr>
              <w:t xml:space="preserve"> </w:t>
            </w:r>
            <w:r>
              <w:rPr>
                <w:rFonts w:ascii="Times New Roman"/>
              </w:rPr>
              <w:t>the</w:t>
            </w:r>
            <w:r>
              <w:rPr>
                <w:rFonts w:ascii="Times New Roman"/>
                <w:spacing w:val="-2"/>
              </w:rPr>
              <w:t xml:space="preserve"> </w:t>
            </w:r>
            <w:r>
              <w:rPr>
                <w:rFonts w:ascii="Times New Roman"/>
              </w:rPr>
              <w:t>purpose</w:t>
            </w:r>
            <w:r>
              <w:rPr>
                <w:rFonts w:ascii="Times New Roman"/>
                <w:spacing w:val="-2"/>
              </w:rPr>
              <w:t xml:space="preserve"> </w:t>
            </w:r>
            <w:r>
              <w:rPr>
                <w:rFonts w:ascii="Times New Roman"/>
              </w:rPr>
              <w:t>of</w:t>
            </w:r>
            <w:r>
              <w:rPr>
                <w:rFonts w:ascii="Times New Roman"/>
                <w:spacing w:val="-1"/>
              </w:rPr>
              <w:t xml:space="preserve"> </w:t>
            </w:r>
            <w:r>
              <w:rPr>
                <w:rFonts w:ascii="Times New Roman"/>
              </w:rPr>
              <w:t>evaluation.</w:t>
            </w:r>
          </w:p>
        </w:tc>
      </w:tr>
      <w:tr w:rsidR="007F6DF9">
        <w:trPr>
          <w:trHeight w:val="75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rPr>
              <w:t xml:space="preserve">35.2 </w:t>
            </w:r>
            <w:r>
              <w:rPr>
                <w:rFonts w:ascii="Times New Roman"/>
                <w:b/>
                <w:spacing w:val="-5"/>
              </w:rPr>
              <w:t>(e)</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ight="153"/>
              <w:rPr>
                <w:rFonts w:ascii="Times New Roman"/>
              </w:rPr>
            </w:pPr>
            <w:r>
              <w:rPr>
                <w:rFonts w:ascii="Times New Roman"/>
              </w:rPr>
              <w:t>Additional</w:t>
            </w:r>
            <w:r>
              <w:rPr>
                <w:rFonts w:ascii="Times New Roman"/>
                <w:spacing w:val="-2"/>
              </w:rPr>
              <w:t xml:space="preserve"> </w:t>
            </w:r>
            <w:r>
              <w:rPr>
                <w:rFonts w:ascii="Times New Roman"/>
              </w:rPr>
              <w:t>requirements</w:t>
            </w:r>
            <w:r>
              <w:rPr>
                <w:rFonts w:ascii="Times New Roman"/>
                <w:spacing w:val="-5"/>
              </w:rPr>
              <w:t xml:space="preserve"> </w:t>
            </w:r>
            <w:r>
              <w:rPr>
                <w:rFonts w:ascii="Times New Roman"/>
              </w:rPr>
              <w:t>apply.</w:t>
            </w:r>
            <w:r>
              <w:rPr>
                <w:rFonts w:ascii="Times New Roman"/>
                <w:spacing w:val="-3"/>
              </w:rPr>
              <w:t xml:space="preserve"> </w:t>
            </w:r>
            <w:r>
              <w:rPr>
                <w:rFonts w:ascii="Times New Roman"/>
              </w:rPr>
              <w:t>These</w:t>
            </w:r>
            <w:r>
              <w:rPr>
                <w:rFonts w:ascii="Times New Roman"/>
                <w:spacing w:val="-5"/>
              </w:rPr>
              <w:t xml:space="preserve"> </w:t>
            </w:r>
            <w:r>
              <w:rPr>
                <w:rFonts w:ascii="Times New Roman"/>
              </w:rPr>
              <w:t>are</w:t>
            </w:r>
            <w:r>
              <w:rPr>
                <w:rFonts w:ascii="Times New Roman"/>
                <w:spacing w:val="-5"/>
              </w:rPr>
              <w:t xml:space="preserve"> </w:t>
            </w:r>
            <w:r>
              <w:rPr>
                <w:rFonts w:ascii="Times New Roman"/>
              </w:rPr>
              <w:t>detailed</w:t>
            </w:r>
            <w:r>
              <w:rPr>
                <w:rFonts w:ascii="Times New Roman"/>
                <w:spacing w:val="-5"/>
              </w:rPr>
              <w:t xml:space="preserve"> </w:t>
            </w:r>
            <w:r>
              <w:rPr>
                <w:rFonts w:ascii="Times New Roman"/>
              </w:rPr>
              <w:t>in</w:t>
            </w:r>
            <w:r>
              <w:rPr>
                <w:rFonts w:ascii="Times New Roman"/>
                <w:spacing w:val="-6"/>
              </w:rPr>
              <w:t xml:space="preserve"> </w:t>
            </w:r>
            <w:r>
              <w:rPr>
                <w:rFonts w:ascii="Times New Roman"/>
              </w:rPr>
              <w:t>the evaluation</w:t>
            </w:r>
            <w:r>
              <w:rPr>
                <w:rFonts w:ascii="Times New Roman"/>
                <w:spacing w:val="-3"/>
              </w:rPr>
              <w:t xml:space="preserve"> </w:t>
            </w:r>
            <w:r>
              <w:rPr>
                <w:rFonts w:ascii="Times New Roman"/>
              </w:rPr>
              <w:t>criteria</w:t>
            </w:r>
            <w:r>
              <w:rPr>
                <w:rFonts w:ascii="Times New Roman"/>
                <w:spacing w:val="-5"/>
              </w:rPr>
              <w:t xml:space="preserve"> </w:t>
            </w:r>
            <w:r>
              <w:rPr>
                <w:rFonts w:ascii="Times New Roman"/>
              </w:rPr>
              <w:t>in</w:t>
            </w:r>
            <w:r>
              <w:rPr>
                <w:rFonts w:ascii="Times New Roman"/>
                <w:spacing w:val="-3"/>
              </w:rPr>
              <w:t xml:space="preserve"> </w:t>
            </w:r>
            <w:r>
              <w:rPr>
                <w:rFonts w:ascii="Times New Roman"/>
              </w:rPr>
              <w:t>Section</w:t>
            </w:r>
            <w:r>
              <w:rPr>
                <w:rFonts w:ascii="Times New Roman"/>
                <w:spacing w:val="-3"/>
              </w:rPr>
              <w:t xml:space="preserve"> </w:t>
            </w:r>
            <w:r>
              <w:rPr>
                <w:rFonts w:ascii="Times New Roman"/>
              </w:rPr>
              <w:t>III, Evaluation and Qualification Criteria.</w:t>
            </w:r>
          </w:p>
        </w:tc>
      </w:tr>
      <w:tr w:rsidR="007F6DF9">
        <w:trPr>
          <w:trHeight w:val="760"/>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48.1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2" w:lineRule="exact"/>
              <w:ind w:left="107"/>
              <w:rPr>
                <w:rFonts w:ascii="Times New Roman"/>
              </w:rPr>
            </w:pPr>
            <w:r>
              <w:rPr>
                <w:rFonts w:ascii="Times New Roman"/>
              </w:rPr>
              <w:t>Other</w:t>
            </w:r>
            <w:r>
              <w:rPr>
                <w:rFonts w:ascii="Times New Roman"/>
                <w:spacing w:val="-8"/>
              </w:rPr>
              <w:t xml:space="preserve"> </w:t>
            </w:r>
            <w:r>
              <w:rPr>
                <w:rFonts w:ascii="Times New Roman"/>
              </w:rPr>
              <w:t>documents</w:t>
            </w:r>
            <w:r>
              <w:rPr>
                <w:rFonts w:ascii="Times New Roman"/>
                <w:spacing w:val="-5"/>
              </w:rPr>
              <w:t xml:space="preserve"> </w:t>
            </w:r>
            <w:r>
              <w:rPr>
                <w:rFonts w:ascii="Times New Roman"/>
              </w:rPr>
              <w:t>required</w:t>
            </w:r>
            <w:r>
              <w:rPr>
                <w:rFonts w:ascii="Times New Roman"/>
                <w:spacing w:val="-4"/>
              </w:rPr>
              <w:t xml:space="preserve"> </w:t>
            </w:r>
            <w:r>
              <w:rPr>
                <w:rFonts w:ascii="Times New Roman"/>
              </w:rPr>
              <w:t>in</w:t>
            </w:r>
            <w:r>
              <w:rPr>
                <w:rFonts w:ascii="Times New Roman"/>
                <w:spacing w:val="-4"/>
              </w:rPr>
              <w:t xml:space="preserve"> </w:t>
            </w:r>
            <w:r>
              <w:rPr>
                <w:rFonts w:ascii="Times New Roman"/>
              </w:rPr>
              <w:t>addition</w:t>
            </w:r>
            <w:r>
              <w:rPr>
                <w:rFonts w:ascii="Times New Roman"/>
                <w:spacing w:val="-3"/>
              </w:rPr>
              <w:t xml:space="preserve"> </w:t>
            </w:r>
            <w:r>
              <w:rPr>
                <w:rFonts w:ascii="Times New Roman"/>
              </w:rPr>
              <w:t>to</w:t>
            </w:r>
            <w:r>
              <w:rPr>
                <w:rFonts w:ascii="Times New Roman"/>
                <w:spacing w:val="-4"/>
              </w:rPr>
              <w:t xml:space="preserve"> </w:t>
            </w:r>
            <w:r>
              <w:rPr>
                <w:rFonts w:ascii="Times New Roman"/>
              </w:rPr>
              <w:t>the</w:t>
            </w:r>
            <w:r>
              <w:rPr>
                <w:rFonts w:ascii="Times New Roman"/>
                <w:spacing w:val="-4"/>
              </w:rPr>
              <w:t xml:space="preserve"> </w:t>
            </w:r>
            <w:r>
              <w:rPr>
                <w:rFonts w:ascii="Times New Roman"/>
              </w:rPr>
              <w:t>Performance</w:t>
            </w:r>
            <w:r>
              <w:rPr>
                <w:rFonts w:ascii="Times New Roman"/>
                <w:spacing w:val="-4"/>
              </w:rPr>
              <w:t xml:space="preserve"> </w:t>
            </w:r>
            <w:r>
              <w:rPr>
                <w:rFonts w:ascii="Times New Roman"/>
              </w:rPr>
              <w:t>Security</w:t>
            </w:r>
            <w:r>
              <w:rPr>
                <w:rFonts w:ascii="Times New Roman"/>
                <w:spacing w:val="-6"/>
              </w:rPr>
              <w:t xml:space="preserve"> </w:t>
            </w:r>
            <w:r>
              <w:rPr>
                <w:rFonts w:ascii="Times New Roman"/>
                <w:spacing w:val="-5"/>
              </w:rPr>
              <w:t>are</w:t>
            </w:r>
          </w:p>
          <w:p w:rsidR="007F6DF9" w:rsidRDefault="00A43FBC">
            <w:pPr>
              <w:pStyle w:val="TableParagraph"/>
              <w:tabs>
                <w:tab w:val="left" w:pos="1101"/>
                <w:tab w:val="left" w:pos="5488"/>
              </w:tabs>
              <w:spacing w:line="252" w:lineRule="exact"/>
              <w:ind w:left="107"/>
              <w:rPr>
                <w:rFonts w:ascii="Times New Roman"/>
              </w:rPr>
            </w:pPr>
            <w:r>
              <w:rPr>
                <w:rFonts w:ascii="Times New Roman"/>
                <w:u w:val="single"/>
              </w:rPr>
              <w:tab/>
            </w:r>
            <w:r>
              <w:rPr>
                <w:rFonts w:ascii="Times New Roman"/>
                <w:spacing w:val="-5"/>
              </w:rPr>
              <w:t>N/A</w:t>
            </w:r>
            <w:r>
              <w:rPr>
                <w:rFonts w:ascii="Times New Roman"/>
                <w:u w:val="single"/>
              </w:rPr>
              <w:tab/>
            </w:r>
          </w:p>
        </w:tc>
      </w:tr>
      <w:tr w:rsidR="007F6DF9">
        <w:trPr>
          <w:trHeight w:val="556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1"/>
              </w:rPr>
              <w:t xml:space="preserve"> </w:t>
            </w:r>
            <w:r>
              <w:rPr>
                <w:rFonts w:ascii="Times New Roman"/>
                <w:b/>
                <w:spacing w:val="-4"/>
              </w:rPr>
              <w:t>50.1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ight="153"/>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procedures</w:t>
            </w:r>
            <w:r>
              <w:rPr>
                <w:rFonts w:ascii="Times New Roman" w:hAnsi="Times New Roman"/>
                <w:spacing w:val="-4"/>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making</w:t>
            </w:r>
            <w:r>
              <w:rPr>
                <w:rFonts w:ascii="Times New Roman" w:hAnsi="Times New Roman"/>
                <w:spacing w:val="-5"/>
              </w:rPr>
              <w:t xml:space="preserve"> </w:t>
            </w:r>
            <w:r>
              <w:rPr>
                <w:rFonts w:ascii="Times New Roman" w:hAnsi="Times New Roman"/>
              </w:rPr>
              <w:t>a</w:t>
            </w:r>
            <w:r>
              <w:rPr>
                <w:rFonts w:ascii="Times New Roman" w:hAnsi="Times New Roman"/>
                <w:spacing w:val="-2"/>
              </w:rPr>
              <w:t xml:space="preserve"> </w:t>
            </w:r>
            <w:r>
              <w:rPr>
                <w:rFonts w:ascii="Times New Roman" w:hAnsi="Times New Roman"/>
              </w:rPr>
              <w:t>Procurement-related</w:t>
            </w:r>
            <w:r>
              <w:rPr>
                <w:rFonts w:ascii="Times New Roman" w:hAnsi="Times New Roman"/>
                <w:spacing w:val="-2"/>
              </w:rPr>
              <w:t xml:space="preserve"> </w:t>
            </w:r>
            <w:r>
              <w:rPr>
                <w:rFonts w:ascii="Times New Roman" w:hAnsi="Times New Roman"/>
              </w:rPr>
              <w:t>Complaint</w:t>
            </w:r>
            <w:r>
              <w:rPr>
                <w:rFonts w:ascii="Times New Roman" w:hAnsi="Times New Roman"/>
                <w:spacing w:val="-4"/>
              </w:rPr>
              <w:t xml:space="preserve"> </w:t>
            </w:r>
            <w:r>
              <w:rPr>
                <w:rFonts w:ascii="Times New Roman" w:hAnsi="Times New Roman"/>
              </w:rPr>
              <w:t>are</w:t>
            </w:r>
            <w:r>
              <w:rPr>
                <w:rFonts w:ascii="Times New Roman" w:hAnsi="Times New Roman"/>
                <w:spacing w:val="-4"/>
              </w:rPr>
              <w:t xml:space="preserve"> </w:t>
            </w:r>
            <w:r>
              <w:rPr>
                <w:rFonts w:ascii="Times New Roman" w:hAnsi="Times New Roman"/>
              </w:rPr>
              <w:t>detailed</w:t>
            </w:r>
            <w:r>
              <w:rPr>
                <w:rFonts w:ascii="Times New Roman" w:hAnsi="Times New Roman"/>
                <w:spacing w:val="-4"/>
              </w:rPr>
              <w:t xml:space="preserve"> </w:t>
            </w:r>
            <w:r>
              <w:rPr>
                <w:rFonts w:ascii="Times New Roman" w:hAnsi="Times New Roman"/>
              </w:rPr>
              <w:t>in</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“Notice</w:t>
            </w:r>
            <w:r>
              <w:rPr>
                <w:rFonts w:ascii="Times New Roman" w:hAnsi="Times New Roman"/>
                <w:spacing w:val="-2"/>
              </w:rPr>
              <w:t xml:space="preserve"> </w:t>
            </w:r>
            <w:r>
              <w:rPr>
                <w:rFonts w:ascii="Times New Roman" w:hAnsi="Times New Roman"/>
              </w:rPr>
              <w:t xml:space="preserve">of Intention to Award the Contract” herein and are also available from the PPRA Website </w:t>
            </w:r>
            <w:hyperlink r:id="rId15">
              <w:r>
                <w:rPr>
                  <w:rFonts w:ascii="Times New Roman" w:hAnsi="Times New Roman"/>
                  <w:color w:val="0000FF"/>
                  <w:u w:val="single" w:color="0000FF"/>
                </w:rPr>
                <w:t>www.ppra.go.ke</w:t>
              </w:r>
            </w:hyperlink>
            <w:r>
              <w:rPr>
                <w:rFonts w:ascii="Times New Roman" w:hAnsi="Times New Roman"/>
                <w:color w:val="0000FF"/>
              </w:rPr>
              <w:t xml:space="preserve"> </w:t>
            </w:r>
            <w:r>
              <w:rPr>
                <w:rFonts w:ascii="Times New Roman" w:hAnsi="Times New Roman"/>
              </w:rPr>
              <w:t xml:space="preserve">or email </w:t>
            </w:r>
            <w:hyperlink r:id="rId16">
              <w:r>
                <w:rPr>
                  <w:rFonts w:ascii="Times New Roman" w:hAnsi="Times New Roman"/>
                  <w:color w:val="0000FF"/>
                  <w:u w:val="single" w:color="0000FF"/>
                </w:rPr>
                <w:t>complaints@ppra.go.ke</w:t>
              </w:r>
              <w:r>
                <w:rPr>
                  <w:rFonts w:ascii="Times New Roman" w:hAnsi="Times New Roman"/>
                </w:rPr>
                <w:t>.</w:t>
              </w:r>
            </w:hyperlink>
          </w:p>
          <w:p w:rsidR="007F6DF9" w:rsidRDefault="00A43FBC">
            <w:pPr>
              <w:pStyle w:val="TableParagraph"/>
              <w:spacing w:before="252"/>
              <w:ind w:left="107" w:right="188"/>
              <w:rPr>
                <w:rFonts w:ascii="Times New Roman"/>
              </w:rPr>
            </w:pPr>
            <w:r>
              <w:rPr>
                <w:rFonts w:ascii="Times New Roman"/>
              </w:rPr>
              <w:t>If a Tenderer wishes to make a Procurement-related Complaint, the Tenderer should submit its complaint</w:t>
            </w:r>
            <w:r>
              <w:rPr>
                <w:rFonts w:ascii="Times New Roman"/>
                <w:spacing w:val="-4"/>
              </w:rPr>
              <w:t xml:space="preserve"> </w:t>
            </w:r>
            <w:r>
              <w:rPr>
                <w:rFonts w:ascii="Times New Roman"/>
              </w:rPr>
              <w:t>following</w:t>
            </w:r>
            <w:r>
              <w:rPr>
                <w:rFonts w:ascii="Times New Roman"/>
                <w:spacing w:val="-3"/>
              </w:rPr>
              <w:t xml:space="preserve"> </w:t>
            </w:r>
            <w:r>
              <w:rPr>
                <w:rFonts w:ascii="Times New Roman"/>
              </w:rPr>
              <w:t>these</w:t>
            </w:r>
            <w:r>
              <w:rPr>
                <w:rFonts w:ascii="Times New Roman"/>
                <w:spacing w:val="-4"/>
              </w:rPr>
              <w:t xml:space="preserve"> </w:t>
            </w:r>
            <w:r>
              <w:rPr>
                <w:rFonts w:ascii="Times New Roman"/>
              </w:rPr>
              <w:t>procedures,</w:t>
            </w:r>
            <w:r>
              <w:rPr>
                <w:rFonts w:ascii="Times New Roman"/>
                <w:spacing w:val="-5"/>
              </w:rPr>
              <w:t xml:space="preserve"> </w:t>
            </w:r>
            <w:r>
              <w:rPr>
                <w:rFonts w:ascii="Times New Roman"/>
              </w:rPr>
              <w:t>in</w:t>
            </w:r>
            <w:r>
              <w:rPr>
                <w:rFonts w:ascii="Times New Roman"/>
                <w:spacing w:val="-2"/>
              </w:rPr>
              <w:t xml:space="preserve"> </w:t>
            </w:r>
            <w:r>
              <w:rPr>
                <w:rFonts w:ascii="Times New Roman"/>
              </w:rPr>
              <w:t>writing</w:t>
            </w:r>
            <w:r>
              <w:rPr>
                <w:rFonts w:ascii="Times New Roman"/>
                <w:spacing w:val="-5"/>
              </w:rPr>
              <w:t xml:space="preserve"> </w:t>
            </w:r>
            <w:r>
              <w:rPr>
                <w:rFonts w:ascii="Times New Roman"/>
              </w:rPr>
              <w:t>(by</w:t>
            </w:r>
            <w:r>
              <w:rPr>
                <w:rFonts w:ascii="Times New Roman"/>
                <w:spacing w:val="-2"/>
              </w:rPr>
              <w:t xml:space="preserve"> </w:t>
            </w:r>
            <w:r>
              <w:rPr>
                <w:rFonts w:ascii="Times New Roman"/>
              </w:rPr>
              <w:t>the</w:t>
            </w:r>
            <w:r>
              <w:rPr>
                <w:rFonts w:ascii="Times New Roman"/>
                <w:spacing w:val="-2"/>
              </w:rPr>
              <w:t xml:space="preserve"> </w:t>
            </w:r>
            <w:r>
              <w:rPr>
                <w:rFonts w:ascii="Times New Roman"/>
              </w:rPr>
              <w:t>quickest</w:t>
            </w:r>
            <w:r>
              <w:rPr>
                <w:rFonts w:ascii="Times New Roman"/>
                <w:spacing w:val="-3"/>
              </w:rPr>
              <w:t xml:space="preserve"> </w:t>
            </w:r>
            <w:r>
              <w:rPr>
                <w:rFonts w:ascii="Times New Roman"/>
              </w:rPr>
              <w:t>means</w:t>
            </w:r>
            <w:r>
              <w:rPr>
                <w:rFonts w:ascii="Times New Roman"/>
                <w:spacing w:val="-2"/>
              </w:rPr>
              <w:t xml:space="preserve"> </w:t>
            </w:r>
            <w:r>
              <w:rPr>
                <w:rFonts w:ascii="Times New Roman"/>
              </w:rPr>
              <w:t>available,</w:t>
            </w:r>
            <w:r>
              <w:rPr>
                <w:rFonts w:ascii="Times New Roman"/>
                <w:spacing w:val="-2"/>
              </w:rPr>
              <w:t xml:space="preserve"> </w:t>
            </w:r>
            <w:r>
              <w:rPr>
                <w:rFonts w:ascii="Times New Roman"/>
              </w:rPr>
              <w:t>that</w:t>
            </w:r>
            <w:r>
              <w:rPr>
                <w:rFonts w:ascii="Times New Roman"/>
                <w:spacing w:val="-4"/>
              </w:rPr>
              <w:t xml:space="preserve"> </w:t>
            </w:r>
            <w:r>
              <w:rPr>
                <w:rFonts w:ascii="Times New Roman"/>
              </w:rPr>
              <w:t>is</w:t>
            </w:r>
            <w:r>
              <w:rPr>
                <w:rFonts w:ascii="Times New Roman"/>
                <w:spacing w:val="-2"/>
              </w:rPr>
              <w:t xml:space="preserve"> </w:t>
            </w:r>
            <w:r>
              <w:rPr>
                <w:rFonts w:ascii="Times New Roman"/>
              </w:rPr>
              <w:t>either by hand delivery or email to:</w:t>
            </w:r>
          </w:p>
          <w:p w:rsidR="007F6DF9" w:rsidRDefault="007F6DF9">
            <w:pPr>
              <w:pStyle w:val="TableParagraph"/>
              <w:rPr>
                <w:rFonts w:ascii="Times New Roman"/>
              </w:rPr>
            </w:pPr>
          </w:p>
          <w:p w:rsidR="007F6DF9" w:rsidRDefault="00A43FBC">
            <w:pPr>
              <w:pStyle w:val="TableParagraph"/>
              <w:ind w:left="107"/>
              <w:rPr>
                <w:rFonts w:ascii="Times New Roman"/>
                <w:i/>
              </w:rPr>
            </w:pPr>
            <w:r>
              <w:rPr>
                <w:rFonts w:ascii="Times New Roman"/>
              </w:rPr>
              <w:t>For</w:t>
            </w:r>
            <w:r>
              <w:rPr>
                <w:rFonts w:ascii="Times New Roman"/>
                <w:spacing w:val="-3"/>
              </w:rPr>
              <w:t xml:space="preserve"> </w:t>
            </w:r>
            <w:r>
              <w:rPr>
                <w:rFonts w:ascii="Times New Roman"/>
              </w:rPr>
              <w:t>the</w:t>
            </w:r>
            <w:r>
              <w:rPr>
                <w:rFonts w:ascii="Times New Roman"/>
                <w:spacing w:val="-3"/>
              </w:rPr>
              <w:t xml:space="preserve"> </w:t>
            </w:r>
            <w:r>
              <w:rPr>
                <w:rFonts w:ascii="Times New Roman"/>
              </w:rPr>
              <w:t>attention:</w:t>
            </w:r>
            <w:r>
              <w:rPr>
                <w:rFonts w:ascii="Times New Roman"/>
                <w:spacing w:val="-1"/>
              </w:rPr>
              <w:t xml:space="preserve"> </w:t>
            </w:r>
            <w:r>
              <w:rPr>
                <w:rFonts w:ascii="Times New Roman"/>
                <w:i/>
              </w:rPr>
              <w:t>[insert</w:t>
            </w:r>
            <w:r>
              <w:rPr>
                <w:rFonts w:ascii="Times New Roman"/>
                <w:i/>
                <w:spacing w:val="-4"/>
              </w:rPr>
              <w:t xml:space="preserve"> </w:t>
            </w:r>
            <w:r>
              <w:rPr>
                <w:rFonts w:ascii="Times New Roman"/>
                <w:i/>
              </w:rPr>
              <w:t>full</w:t>
            </w:r>
            <w:r>
              <w:rPr>
                <w:rFonts w:ascii="Times New Roman"/>
                <w:i/>
                <w:spacing w:val="-2"/>
              </w:rPr>
              <w:t xml:space="preserve"> </w:t>
            </w:r>
            <w:r>
              <w:rPr>
                <w:rFonts w:ascii="Times New Roman"/>
                <w:i/>
              </w:rPr>
              <w:t>name</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person</w:t>
            </w:r>
            <w:r>
              <w:rPr>
                <w:rFonts w:ascii="Times New Roman"/>
                <w:i/>
                <w:spacing w:val="-6"/>
              </w:rPr>
              <w:t xml:space="preserve"> </w:t>
            </w:r>
            <w:r>
              <w:rPr>
                <w:rFonts w:ascii="Times New Roman"/>
                <w:i/>
              </w:rPr>
              <w:t>receiving</w:t>
            </w:r>
            <w:r>
              <w:rPr>
                <w:rFonts w:ascii="Times New Roman"/>
                <w:i/>
                <w:spacing w:val="-5"/>
              </w:rPr>
              <w:t xml:space="preserve"> </w:t>
            </w:r>
            <w:r>
              <w:rPr>
                <w:rFonts w:ascii="Times New Roman"/>
                <w:i/>
                <w:spacing w:val="-2"/>
              </w:rPr>
              <w:t>complaints]</w:t>
            </w:r>
          </w:p>
          <w:p w:rsidR="007F6DF9" w:rsidRDefault="007F6DF9">
            <w:pPr>
              <w:pStyle w:val="TableParagraph"/>
              <w:spacing w:before="1"/>
              <w:rPr>
                <w:rFonts w:ascii="Times New Roman"/>
              </w:rPr>
            </w:pPr>
          </w:p>
          <w:p w:rsidR="007F6DF9" w:rsidRDefault="00A43FBC">
            <w:pPr>
              <w:pStyle w:val="TableParagraph"/>
              <w:ind w:left="107"/>
              <w:rPr>
                <w:rFonts w:ascii="Times New Roman"/>
                <w:i/>
              </w:rPr>
            </w:pPr>
            <w:r>
              <w:rPr>
                <w:rFonts w:ascii="Times New Roman"/>
              </w:rPr>
              <w:t>Title/position:</w:t>
            </w:r>
            <w:r>
              <w:rPr>
                <w:rFonts w:ascii="Times New Roman"/>
                <w:spacing w:val="-5"/>
              </w:rPr>
              <w:t xml:space="preserve"> </w:t>
            </w:r>
            <w:r>
              <w:rPr>
                <w:rFonts w:ascii="Times New Roman"/>
                <w:i/>
              </w:rPr>
              <w:t>[insert</w:t>
            </w:r>
            <w:r>
              <w:rPr>
                <w:rFonts w:ascii="Times New Roman"/>
                <w:i/>
                <w:spacing w:val="-7"/>
              </w:rPr>
              <w:t xml:space="preserve"> </w:t>
            </w:r>
            <w:r>
              <w:rPr>
                <w:rFonts w:ascii="Times New Roman"/>
                <w:i/>
                <w:spacing w:val="-2"/>
              </w:rPr>
              <w:t>title/position]</w:t>
            </w:r>
          </w:p>
          <w:p w:rsidR="007F6DF9" w:rsidRDefault="00A43FBC">
            <w:pPr>
              <w:pStyle w:val="TableParagraph"/>
              <w:spacing w:before="251"/>
              <w:ind w:left="107"/>
              <w:rPr>
                <w:rFonts w:ascii="Times New Roman"/>
                <w:i/>
              </w:rPr>
            </w:pPr>
            <w:r>
              <w:rPr>
                <w:rFonts w:ascii="Times New Roman"/>
              </w:rPr>
              <w:t>Procuring</w:t>
            </w:r>
            <w:r>
              <w:rPr>
                <w:rFonts w:ascii="Times New Roman"/>
                <w:spacing w:val="-7"/>
              </w:rPr>
              <w:t xml:space="preserve"> </w:t>
            </w:r>
            <w:r>
              <w:rPr>
                <w:rFonts w:ascii="Times New Roman"/>
              </w:rPr>
              <w:t>Entity:</w:t>
            </w:r>
            <w:r>
              <w:rPr>
                <w:rFonts w:ascii="Times New Roman"/>
                <w:spacing w:val="-1"/>
              </w:rPr>
              <w:t xml:space="preserve"> </w:t>
            </w:r>
            <w:r>
              <w:rPr>
                <w:rFonts w:ascii="Times New Roman"/>
                <w:i/>
              </w:rPr>
              <w:t>[insert</w:t>
            </w:r>
            <w:r>
              <w:rPr>
                <w:rFonts w:ascii="Times New Roman"/>
                <w:i/>
                <w:spacing w:val="-3"/>
              </w:rPr>
              <w:t xml:space="preserve"> </w:t>
            </w:r>
            <w:r>
              <w:rPr>
                <w:rFonts w:ascii="Times New Roman"/>
                <w:i/>
              </w:rPr>
              <w:t>name</w:t>
            </w:r>
            <w:r>
              <w:rPr>
                <w:rFonts w:ascii="Times New Roman"/>
                <w:i/>
                <w:spacing w:val="-4"/>
              </w:rPr>
              <w:t xml:space="preserve"> </w:t>
            </w:r>
            <w:r>
              <w:rPr>
                <w:rFonts w:ascii="Times New Roman"/>
                <w:i/>
              </w:rPr>
              <w:t>of</w:t>
            </w:r>
            <w:r>
              <w:rPr>
                <w:rFonts w:ascii="Times New Roman"/>
                <w:i/>
                <w:spacing w:val="-4"/>
              </w:rPr>
              <w:t xml:space="preserve"> </w:t>
            </w:r>
            <w:r>
              <w:rPr>
                <w:rFonts w:ascii="Times New Roman"/>
                <w:i/>
              </w:rPr>
              <w:t>Procuring</w:t>
            </w:r>
            <w:r>
              <w:rPr>
                <w:rFonts w:ascii="Times New Roman"/>
                <w:i/>
                <w:spacing w:val="-3"/>
              </w:rPr>
              <w:t xml:space="preserve"> </w:t>
            </w:r>
            <w:r>
              <w:rPr>
                <w:rFonts w:ascii="Times New Roman"/>
                <w:i/>
                <w:spacing w:val="-2"/>
              </w:rPr>
              <w:t>Entity]</w:t>
            </w:r>
          </w:p>
          <w:p w:rsidR="007F6DF9" w:rsidRDefault="007F6DF9">
            <w:pPr>
              <w:pStyle w:val="TableParagraph"/>
              <w:spacing w:before="1"/>
              <w:rPr>
                <w:rFonts w:ascii="Times New Roman"/>
              </w:rPr>
            </w:pPr>
          </w:p>
          <w:p w:rsidR="007F6DF9" w:rsidRDefault="00A43FBC">
            <w:pPr>
              <w:pStyle w:val="TableParagraph"/>
              <w:ind w:left="107"/>
              <w:rPr>
                <w:rFonts w:ascii="Times New Roman"/>
                <w:i/>
              </w:rPr>
            </w:pPr>
            <w:r>
              <w:rPr>
                <w:rFonts w:ascii="Times New Roman"/>
              </w:rPr>
              <w:t>Email</w:t>
            </w:r>
            <w:r>
              <w:rPr>
                <w:rFonts w:ascii="Times New Roman"/>
                <w:spacing w:val="-3"/>
              </w:rPr>
              <w:t xml:space="preserve"> </w:t>
            </w:r>
            <w:r>
              <w:rPr>
                <w:rFonts w:ascii="Times New Roman"/>
              </w:rPr>
              <w:t>address</w:t>
            </w:r>
            <w:r>
              <w:rPr>
                <w:rFonts w:ascii="Times New Roman"/>
                <w:i/>
              </w:rPr>
              <w:t>:</w:t>
            </w:r>
            <w:r>
              <w:rPr>
                <w:rFonts w:ascii="Times New Roman"/>
                <w:i/>
                <w:spacing w:val="-4"/>
              </w:rPr>
              <w:t xml:space="preserve"> </w:t>
            </w:r>
            <w:r>
              <w:rPr>
                <w:rFonts w:ascii="Times New Roman"/>
                <w:i/>
              </w:rPr>
              <w:t>[insert</w:t>
            </w:r>
            <w:r>
              <w:rPr>
                <w:rFonts w:ascii="Times New Roman"/>
                <w:i/>
                <w:spacing w:val="-4"/>
              </w:rPr>
              <w:t xml:space="preserve"> </w:t>
            </w:r>
            <w:r>
              <w:rPr>
                <w:rFonts w:ascii="Times New Roman"/>
                <w:i/>
              </w:rPr>
              <w:t>email</w:t>
            </w:r>
            <w:r>
              <w:rPr>
                <w:rFonts w:ascii="Times New Roman"/>
                <w:i/>
                <w:spacing w:val="-2"/>
              </w:rPr>
              <w:t xml:space="preserve"> address]</w:t>
            </w:r>
          </w:p>
          <w:p w:rsidR="007F6DF9" w:rsidRDefault="007F6DF9">
            <w:pPr>
              <w:pStyle w:val="TableParagraph"/>
              <w:rPr>
                <w:rFonts w:ascii="Times New Roman"/>
              </w:rPr>
            </w:pPr>
          </w:p>
          <w:p w:rsidR="007F6DF9" w:rsidRDefault="00A43FBC">
            <w:pPr>
              <w:pStyle w:val="TableParagraph"/>
              <w:ind w:left="107" w:right="163"/>
              <w:rPr>
                <w:rFonts w:ascii="Times New Roman"/>
              </w:rPr>
            </w:pPr>
            <w:r>
              <w:rPr>
                <w:rFonts w:ascii="Times New Roman"/>
              </w:rPr>
              <w:t>In</w:t>
            </w:r>
            <w:r>
              <w:rPr>
                <w:rFonts w:ascii="Times New Roman"/>
                <w:spacing w:val="-3"/>
              </w:rPr>
              <w:t xml:space="preserve"> </w:t>
            </w:r>
            <w:r>
              <w:rPr>
                <w:rFonts w:ascii="Times New Roman"/>
              </w:rPr>
              <w:t>summary,</w:t>
            </w:r>
            <w:r>
              <w:rPr>
                <w:rFonts w:ascii="Times New Roman"/>
                <w:spacing w:val="-3"/>
              </w:rPr>
              <w:t xml:space="preserve"> </w:t>
            </w:r>
            <w:r>
              <w:rPr>
                <w:rFonts w:ascii="Times New Roman"/>
              </w:rPr>
              <w:t>a</w:t>
            </w:r>
            <w:r>
              <w:rPr>
                <w:rFonts w:ascii="Times New Roman"/>
                <w:spacing w:val="-3"/>
              </w:rPr>
              <w:t xml:space="preserve"> </w:t>
            </w:r>
            <w:r>
              <w:rPr>
                <w:rFonts w:ascii="Times New Roman"/>
              </w:rPr>
              <w:t>Procurement-related</w:t>
            </w:r>
            <w:r>
              <w:rPr>
                <w:rFonts w:ascii="Times New Roman"/>
                <w:spacing w:val="-3"/>
              </w:rPr>
              <w:t xml:space="preserve"> </w:t>
            </w:r>
            <w:r>
              <w:rPr>
                <w:rFonts w:ascii="Times New Roman"/>
              </w:rPr>
              <w:t>Complaint</w:t>
            </w:r>
            <w:r>
              <w:rPr>
                <w:rFonts w:ascii="Times New Roman"/>
                <w:spacing w:val="-5"/>
              </w:rPr>
              <w:t xml:space="preserve"> </w:t>
            </w:r>
            <w:r>
              <w:rPr>
                <w:rFonts w:ascii="Times New Roman"/>
              </w:rPr>
              <w:t>may</w:t>
            </w:r>
            <w:r>
              <w:rPr>
                <w:rFonts w:ascii="Times New Roman"/>
                <w:spacing w:val="-5"/>
              </w:rPr>
              <w:t xml:space="preserve"> </w:t>
            </w:r>
            <w:r>
              <w:rPr>
                <w:rFonts w:ascii="Times New Roman"/>
              </w:rPr>
              <w:t>challenge</w:t>
            </w:r>
            <w:r>
              <w:rPr>
                <w:rFonts w:ascii="Times New Roman"/>
                <w:spacing w:val="-3"/>
              </w:rPr>
              <w:t xml:space="preserve"> </w:t>
            </w:r>
            <w:r>
              <w:rPr>
                <w:rFonts w:ascii="Times New Roman"/>
              </w:rPr>
              <w:t>any</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6"/>
              </w:rPr>
              <w:t xml:space="preserve"> </w:t>
            </w:r>
            <w:r>
              <w:rPr>
                <w:rFonts w:ascii="Times New Roman"/>
              </w:rPr>
              <w:t xml:space="preserve">(among </w:t>
            </w:r>
            <w:r>
              <w:rPr>
                <w:rFonts w:ascii="Times New Roman"/>
                <w:spacing w:val="-2"/>
              </w:rPr>
              <w:t>others):</w:t>
            </w:r>
          </w:p>
          <w:p w:rsidR="007F6DF9" w:rsidRDefault="00A43FBC">
            <w:pPr>
              <w:pStyle w:val="TableParagraph"/>
              <w:numPr>
                <w:ilvl w:val="0"/>
                <w:numId w:val="185"/>
              </w:numPr>
              <w:tabs>
                <w:tab w:val="left" w:pos="368"/>
              </w:tabs>
              <w:spacing w:before="253"/>
              <w:ind w:left="368" w:hanging="261"/>
              <w:rPr>
                <w:rFonts w:ascii="Times New Roman"/>
              </w:rPr>
            </w:pPr>
            <w:r>
              <w:rPr>
                <w:rFonts w:ascii="Times New Roman"/>
              </w:rPr>
              <w:t>the</w:t>
            </w:r>
            <w:r>
              <w:rPr>
                <w:rFonts w:ascii="Times New Roman"/>
                <w:spacing w:val="-4"/>
              </w:rPr>
              <w:t xml:space="preserve"> </w:t>
            </w:r>
            <w:r>
              <w:rPr>
                <w:rFonts w:ascii="Times New Roman"/>
              </w:rPr>
              <w:t>terms</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Tender</w:t>
            </w:r>
            <w:r>
              <w:rPr>
                <w:rFonts w:ascii="Times New Roman"/>
                <w:spacing w:val="-5"/>
              </w:rPr>
              <w:t xml:space="preserve"> </w:t>
            </w:r>
            <w:r>
              <w:rPr>
                <w:rFonts w:ascii="Times New Roman"/>
              </w:rPr>
              <w:t>Documents;</w:t>
            </w:r>
            <w:r>
              <w:rPr>
                <w:rFonts w:ascii="Times New Roman"/>
                <w:spacing w:val="-2"/>
              </w:rPr>
              <w:t xml:space="preserve"> </w:t>
            </w:r>
            <w:r>
              <w:rPr>
                <w:rFonts w:ascii="Times New Roman"/>
                <w:spacing w:val="-5"/>
              </w:rPr>
              <w:t>and</w:t>
            </w:r>
          </w:p>
          <w:p w:rsidR="007F6DF9" w:rsidRDefault="007F6DF9">
            <w:pPr>
              <w:pStyle w:val="TableParagraph"/>
              <w:rPr>
                <w:rFonts w:ascii="Times New Roman"/>
              </w:rPr>
            </w:pPr>
          </w:p>
          <w:p w:rsidR="007F6DF9" w:rsidRDefault="00A43FBC">
            <w:pPr>
              <w:pStyle w:val="TableParagraph"/>
              <w:numPr>
                <w:ilvl w:val="0"/>
                <w:numId w:val="185"/>
              </w:numPr>
              <w:tabs>
                <w:tab w:val="left" w:pos="427"/>
              </w:tabs>
              <w:spacing w:line="235" w:lineRule="exact"/>
              <w:ind w:left="427" w:hanging="320"/>
              <w:rPr>
                <w:rFonts w:ascii="Times New Roman" w:hAnsi="Times New Roman"/>
              </w:rPr>
            </w:pPr>
            <w:r>
              <w:rPr>
                <w:rFonts w:ascii="Times New Roman" w:hAnsi="Times New Roman"/>
              </w:rPr>
              <w:t>the</w:t>
            </w:r>
            <w:r>
              <w:rPr>
                <w:rFonts w:ascii="Times New Roman" w:hAnsi="Times New Roman"/>
                <w:spacing w:val="-4"/>
              </w:rPr>
              <w:t xml:space="preserve"> </w:t>
            </w:r>
            <w:r>
              <w:rPr>
                <w:rFonts w:ascii="Times New Roman" w:hAnsi="Times New Roman"/>
              </w:rPr>
              <w:t>Procuring</w:t>
            </w:r>
            <w:r>
              <w:rPr>
                <w:rFonts w:ascii="Times New Roman" w:hAnsi="Times New Roman"/>
                <w:spacing w:val="-3"/>
              </w:rPr>
              <w:t xml:space="preserve"> </w:t>
            </w:r>
            <w:r>
              <w:rPr>
                <w:rFonts w:ascii="Times New Roman" w:hAnsi="Times New Roman"/>
              </w:rPr>
              <w:t>Entity’s</w:t>
            </w:r>
            <w:r>
              <w:rPr>
                <w:rFonts w:ascii="Times New Roman" w:hAnsi="Times New Roman"/>
                <w:spacing w:val="-5"/>
              </w:rPr>
              <w:t xml:space="preserve"> </w:t>
            </w:r>
            <w:r>
              <w:rPr>
                <w:rFonts w:ascii="Times New Roman" w:hAnsi="Times New Roman"/>
              </w:rPr>
              <w:t>decision</w:t>
            </w:r>
            <w:r>
              <w:rPr>
                <w:rFonts w:ascii="Times New Roman" w:hAnsi="Times New Roman"/>
                <w:spacing w:val="-6"/>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award</w:t>
            </w:r>
            <w:r>
              <w:rPr>
                <w:rFonts w:ascii="Times New Roman" w:hAnsi="Times New Roman"/>
                <w:spacing w:val="-6"/>
              </w:rPr>
              <w:t xml:space="preserve"> </w:t>
            </w:r>
            <w:r>
              <w:rPr>
                <w:rFonts w:ascii="Times New Roman" w:hAnsi="Times New Roman"/>
              </w:rPr>
              <w:t>the</w:t>
            </w:r>
            <w:r>
              <w:rPr>
                <w:rFonts w:ascii="Times New Roman" w:hAnsi="Times New Roman"/>
                <w:spacing w:val="-5"/>
              </w:rPr>
              <w:t xml:space="preserve"> </w:t>
            </w:r>
            <w:r>
              <w:rPr>
                <w:rFonts w:ascii="Times New Roman" w:hAnsi="Times New Roman"/>
                <w:spacing w:val="-2"/>
              </w:rPr>
              <w:t>contract.</w:t>
            </w:r>
          </w:p>
        </w:tc>
      </w:tr>
    </w:tbl>
    <w:p w:rsidR="007F6DF9" w:rsidRDefault="007F6DF9">
      <w:pPr>
        <w:pStyle w:val="TableParagraph"/>
        <w:spacing w:line="235" w:lineRule="exact"/>
        <w:rPr>
          <w:rFonts w:ascii="Times New Roman" w:hAnsi="Times New Roman"/>
        </w:rPr>
        <w:sectPr w:rsidR="007F6DF9">
          <w:pgSz w:w="11920" w:h="16850"/>
          <w:pgMar w:top="360" w:right="0" w:bottom="620" w:left="0" w:header="0" w:footer="437" w:gutter="0"/>
          <w:cols w:space="720"/>
        </w:sectPr>
      </w:pPr>
    </w:p>
    <w:p w:rsidR="007F6DF9" w:rsidRDefault="007F6DF9">
      <w:pPr>
        <w:pStyle w:val="BodyText"/>
      </w:pPr>
    </w:p>
    <w:p w:rsidR="007F6DF9" w:rsidRDefault="007F6DF9">
      <w:pPr>
        <w:pStyle w:val="BodyText"/>
        <w:spacing w:before="177"/>
      </w:pPr>
    </w:p>
    <w:p w:rsidR="007F6DF9" w:rsidRDefault="00A43FBC">
      <w:pPr>
        <w:pStyle w:val="Heading8"/>
        <w:ind w:left="852"/>
      </w:pPr>
      <w:bookmarkStart w:id="52" w:name="_bookmark50"/>
      <w:bookmarkEnd w:id="52"/>
      <w:r>
        <w:rPr>
          <w:color w:val="221F1F"/>
          <w:u w:val="single" w:color="221F1F"/>
        </w:rPr>
        <w:t>SECTION</w:t>
      </w:r>
      <w:r>
        <w:rPr>
          <w:color w:val="221F1F"/>
          <w:spacing w:val="-6"/>
          <w:u w:val="single" w:color="221F1F"/>
        </w:rPr>
        <w:t xml:space="preserve"> </w:t>
      </w:r>
      <w:r>
        <w:rPr>
          <w:color w:val="221F1F"/>
          <w:u w:val="single" w:color="221F1F"/>
        </w:rPr>
        <w:t>III</w:t>
      </w:r>
      <w:r>
        <w:rPr>
          <w:color w:val="221F1F"/>
          <w:spacing w:val="-6"/>
          <w:u w:val="single" w:color="221F1F"/>
        </w:rPr>
        <w:t xml:space="preserve"> </w:t>
      </w:r>
      <w:r>
        <w:rPr>
          <w:color w:val="221F1F"/>
          <w:u w:val="single" w:color="221F1F"/>
        </w:rPr>
        <w:t>-</w:t>
      </w:r>
      <w:r>
        <w:rPr>
          <w:color w:val="221F1F"/>
          <w:spacing w:val="-4"/>
          <w:u w:val="single" w:color="221F1F"/>
        </w:rPr>
        <w:t xml:space="preserve"> </w:t>
      </w:r>
      <w:r>
        <w:rPr>
          <w:color w:val="221F1F"/>
          <w:u w:val="single" w:color="221F1F"/>
        </w:rPr>
        <w:t>EVALUATION</w:t>
      </w:r>
      <w:r>
        <w:rPr>
          <w:color w:val="221F1F"/>
          <w:spacing w:val="-5"/>
          <w:u w:val="single" w:color="221F1F"/>
        </w:rPr>
        <w:t xml:space="preserve"> </w:t>
      </w:r>
      <w:r>
        <w:rPr>
          <w:color w:val="221F1F"/>
          <w:u w:val="single" w:color="221F1F"/>
        </w:rPr>
        <w:t>AND</w:t>
      </w:r>
      <w:r>
        <w:rPr>
          <w:color w:val="221F1F"/>
          <w:spacing w:val="-5"/>
          <w:u w:val="single" w:color="221F1F"/>
        </w:rPr>
        <w:t xml:space="preserve"> </w:t>
      </w:r>
      <w:r>
        <w:rPr>
          <w:color w:val="221F1F"/>
          <w:u w:val="single" w:color="221F1F"/>
        </w:rPr>
        <w:t>QUALIFICATION</w:t>
      </w:r>
      <w:r>
        <w:rPr>
          <w:color w:val="221F1F"/>
          <w:spacing w:val="-5"/>
          <w:u w:val="single" w:color="221F1F"/>
        </w:rPr>
        <w:t xml:space="preserve"> </w:t>
      </w:r>
      <w:r>
        <w:rPr>
          <w:color w:val="221F1F"/>
          <w:spacing w:val="-2"/>
          <w:u w:val="single" w:color="221F1F"/>
        </w:rPr>
        <w:t>CRITERIA</w:t>
      </w:r>
    </w:p>
    <w:p w:rsidR="007F6DF9" w:rsidRDefault="00A43FBC">
      <w:pPr>
        <w:pStyle w:val="ListParagraph"/>
        <w:numPr>
          <w:ilvl w:val="1"/>
          <w:numId w:val="184"/>
        </w:numPr>
        <w:tabs>
          <w:tab w:val="left" w:pos="1421"/>
        </w:tabs>
        <w:spacing w:before="237"/>
        <w:ind w:hanging="569"/>
        <w:rPr>
          <w:b/>
        </w:rPr>
      </w:pPr>
      <w:r>
        <w:rPr>
          <w:b/>
          <w:color w:val="221F1F"/>
        </w:rPr>
        <w:t>GENERAL</w:t>
      </w:r>
      <w:r>
        <w:rPr>
          <w:b/>
          <w:color w:val="221F1F"/>
          <w:spacing w:val="-9"/>
        </w:rPr>
        <w:t xml:space="preserve"> </w:t>
      </w:r>
      <w:r>
        <w:rPr>
          <w:b/>
          <w:color w:val="221F1F"/>
          <w:spacing w:val="-2"/>
        </w:rPr>
        <w:t>PROVISIONS</w:t>
      </w:r>
    </w:p>
    <w:p w:rsidR="007F6DF9" w:rsidRDefault="00A43FBC">
      <w:pPr>
        <w:pStyle w:val="ListParagraph"/>
        <w:numPr>
          <w:ilvl w:val="1"/>
          <w:numId w:val="184"/>
        </w:numPr>
        <w:tabs>
          <w:tab w:val="left" w:pos="1420"/>
          <w:tab w:val="left" w:pos="1433"/>
        </w:tabs>
        <w:spacing w:before="242" w:line="230" w:lineRule="auto"/>
        <w:ind w:left="1433" w:right="843" w:hanging="582"/>
        <w:jc w:val="both"/>
      </w:pPr>
      <w:r>
        <w:rPr>
          <w:color w:val="221F1F"/>
        </w:rPr>
        <w:t>This</w:t>
      </w:r>
      <w:r>
        <w:rPr>
          <w:color w:val="221F1F"/>
          <w:spacing w:val="-7"/>
        </w:rPr>
        <w:t xml:space="preserve"> </w:t>
      </w:r>
      <w:r>
        <w:rPr>
          <w:color w:val="221F1F"/>
        </w:rPr>
        <w:t>section</w:t>
      </w:r>
      <w:r>
        <w:rPr>
          <w:color w:val="221F1F"/>
          <w:spacing w:val="-6"/>
        </w:rPr>
        <w:t xml:space="preserve"> </w:t>
      </w:r>
      <w:r>
        <w:rPr>
          <w:color w:val="221F1F"/>
        </w:rPr>
        <w:t>contains</w:t>
      </w:r>
      <w:r>
        <w:rPr>
          <w:color w:val="221F1F"/>
          <w:spacing w:val="-8"/>
        </w:rPr>
        <w:t xml:space="preserve"> </w:t>
      </w:r>
      <w:r>
        <w:rPr>
          <w:color w:val="221F1F"/>
        </w:rPr>
        <w:t>the</w:t>
      </w:r>
      <w:r>
        <w:rPr>
          <w:color w:val="221F1F"/>
          <w:spacing w:val="-8"/>
        </w:rPr>
        <w:t xml:space="preserve"> </w:t>
      </w:r>
      <w:r>
        <w:rPr>
          <w:color w:val="221F1F"/>
        </w:rPr>
        <w:t>criteria</w:t>
      </w:r>
      <w:r>
        <w:rPr>
          <w:color w:val="221F1F"/>
          <w:spacing w:val="-7"/>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Employer</w:t>
      </w:r>
      <w:r>
        <w:rPr>
          <w:color w:val="221F1F"/>
          <w:spacing w:val="-5"/>
        </w:rPr>
        <w:t xml:space="preserve"> </w:t>
      </w:r>
      <w:r>
        <w:rPr>
          <w:color w:val="221F1F"/>
        </w:rPr>
        <w:t>shall</w:t>
      </w:r>
      <w:r>
        <w:rPr>
          <w:color w:val="221F1F"/>
          <w:spacing w:val="-4"/>
        </w:rPr>
        <w:t xml:space="preserve"> </w:t>
      </w:r>
      <w:r>
        <w:rPr>
          <w:color w:val="221F1F"/>
        </w:rPr>
        <w:t>use</w:t>
      </w:r>
      <w:r>
        <w:rPr>
          <w:color w:val="221F1F"/>
          <w:spacing w:val="-6"/>
        </w:rPr>
        <w:t xml:space="preserve"> </w:t>
      </w:r>
      <w:r>
        <w:rPr>
          <w:color w:val="221F1F"/>
        </w:rPr>
        <w:t>to</w:t>
      </w:r>
      <w:r>
        <w:rPr>
          <w:color w:val="221F1F"/>
          <w:spacing w:val="-8"/>
        </w:rPr>
        <w:t xml:space="preserve"> </w:t>
      </w:r>
      <w:r>
        <w:rPr>
          <w:color w:val="221F1F"/>
        </w:rPr>
        <w:t>evaluate</w:t>
      </w:r>
      <w:r>
        <w:rPr>
          <w:color w:val="221F1F"/>
          <w:spacing w:val="-8"/>
        </w:rPr>
        <w:t xml:space="preserve"> </w:t>
      </w:r>
      <w:r>
        <w:rPr>
          <w:color w:val="221F1F"/>
        </w:rPr>
        <w:t>tender</w:t>
      </w:r>
      <w:r>
        <w:rPr>
          <w:color w:val="221F1F"/>
          <w:spacing w:val="-7"/>
        </w:rPr>
        <w:t xml:space="preserve"> </w:t>
      </w:r>
      <w:r>
        <w:rPr>
          <w:color w:val="221F1F"/>
        </w:rPr>
        <w:t>and</w:t>
      </w:r>
      <w:r>
        <w:rPr>
          <w:color w:val="221F1F"/>
          <w:spacing w:val="-8"/>
        </w:rPr>
        <w:t xml:space="preserve"> </w:t>
      </w:r>
      <w:r>
        <w:rPr>
          <w:color w:val="221F1F"/>
        </w:rPr>
        <w:t>qualify</w:t>
      </w:r>
      <w:r>
        <w:rPr>
          <w:color w:val="221F1F"/>
          <w:spacing w:val="-7"/>
        </w:rPr>
        <w:t xml:space="preserve"> </w:t>
      </w:r>
      <w:r>
        <w:rPr>
          <w:color w:val="221F1F"/>
        </w:rPr>
        <w:t>tenderers.</w:t>
      </w:r>
      <w:r>
        <w:rPr>
          <w:color w:val="221F1F"/>
          <w:spacing w:val="-6"/>
        </w:rPr>
        <w:t xml:space="preserve"> </w:t>
      </w:r>
      <w:r>
        <w:rPr>
          <w:color w:val="221F1F"/>
        </w:rPr>
        <w:t>No</w:t>
      </w:r>
      <w:r>
        <w:rPr>
          <w:color w:val="221F1F"/>
          <w:spacing w:val="-6"/>
        </w:rPr>
        <w:t xml:space="preserve"> </w:t>
      </w:r>
      <w:r>
        <w:rPr>
          <w:color w:val="221F1F"/>
        </w:rPr>
        <w:t>other factors, methods or criteria shall be used other than specified in this tender document. The Tenderer shall provide all the information requested in the forms included in Section IV,</w:t>
      </w:r>
      <w:r>
        <w:rPr>
          <w:color w:val="221F1F"/>
          <w:spacing w:val="-7"/>
        </w:rPr>
        <w:t xml:space="preserve"> </w:t>
      </w:r>
      <w:r>
        <w:rPr>
          <w:color w:val="221F1F"/>
        </w:rPr>
        <w:t xml:space="preserve">Tendering Forms. The Procuring Entity shall use </w:t>
      </w:r>
      <w:r>
        <w:rPr>
          <w:b/>
          <w:color w:val="221F1F"/>
          <w:u w:val="single" w:color="221F1F"/>
        </w:rPr>
        <w:t>the Standard Tender</w:t>
      </w:r>
      <w:r>
        <w:rPr>
          <w:b/>
          <w:color w:val="221F1F"/>
          <w:spacing w:val="-10"/>
          <w:u w:val="single" w:color="221F1F"/>
        </w:rPr>
        <w:t xml:space="preserve"> </w:t>
      </w:r>
      <w:r>
        <w:rPr>
          <w:b/>
          <w:color w:val="221F1F"/>
          <w:u w:val="single" w:color="221F1F"/>
        </w:rPr>
        <w:t>Evaluation Document</w:t>
      </w:r>
      <w:r>
        <w:rPr>
          <w:b/>
          <w:color w:val="221F1F"/>
          <w:spacing w:val="-2"/>
          <w:u w:val="single" w:color="221F1F"/>
        </w:rPr>
        <w:t xml:space="preserve"> </w:t>
      </w:r>
      <w:r>
        <w:rPr>
          <w:b/>
          <w:color w:val="221F1F"/>
          <w:u w:val="single" w:color="221F1F"/>
        </w:rPr>
        <w:t>for</w:t>
      </w:r>
      <w:r>
        <w:rPr>
          <w:b/>
          <w:color w:val="221F1F"/>
          <w:spacing w:val="-2"/>
          <w:u w:val="single" w:color="221F1F"/>
        </w:rPr>
        <w:t xml:space="preserve"> </w:t>
      </w:r>
      <w:r>
        <w:rPr>
          <w:b/>
          <w:color w:val="221F1F"/>
          <w:u w:val="single" w:color="221F1F"/>
        </w:rPr>
        <w:t>Goods and</w:t>
      </w:r>
      <w:r>
        <w:rPr>
          <w:b/>
          <w:color w:val="221F1F"/>
          <w:spacing w:val="-3"/>
          <w:u w:val="single" w:color="221F1F"/>
        </w:rPr>
        <w:t xml:space="preserve"> </w:t>
      </w:r>
      <w:r>
        <w:rPr>
          <w:b/>
          <w:color w:val="221F1F"/>
          <w:u w:val="single" w:color="221F1F"/>
        </w:rPr>
        <w:t>Works</w:t>
      </w:r>
      <w:r>
        <w:rPr>
          <w:b/>
          <w:color w:val="221F1F"/>
          <w:spacing w:val="-6"/>
        </w:rPr>
        <w:t xml:space="preserve"> </w:t>
      </w:r>
      <w:r>
        <w:rPr>
          <w:color w:val="221F1F"/>
        </w:rPr>
        <w:t xml:space="preserve">for </w:t>
      </w:r>
      <w:proofErr w:type="spellStart"/>
      <w:r>
        <w:rPr>
          <w:color w:val="221F1F"/>
        </w:rPr>
        <w:t>evaluatingTenders</w:t>
      </w:r>
      <w:proofErr w:type="spellEnd"/>
      <w:r>
        <w:rPr>
          <w:color w:val="221F1F"/>
        </w:rPr>
        <w:t>.</w:t>
      </w:r>
    </w:p>
    <w:p w:rsidR="007F6DF9" w:rsidRDefault="00A43FBC">
      <w:pPr>
        <w:pStyle w:val="ListParagraph"/>
        <w:numPr>
          <w:ilvl w:val="1"/>
          <w:numId w:val="184"/>
        </w:numPr>
        <w:tabs>
          <w:tab w:val="left" w:pos="1418"/>
          <w:tab w:val="left" w:pos="1433"/>
        </w:tabs>
        <w:spacing w:before="246" w:line="230" w:lineRule="auto"/>
        <w:ind w:left="1433" w:right="1107" w:hanging="584"/>
        <w:jc w:val="both"/>
      </w:pPr>
      <w:r>
        <w:rPr>
          <w:color w:val="221F1F"/>
        </w:rPr>
        <w:t>Wherever</w:t>
      </w:r>
      <w:r>
        <w:rPr>
          <w:color w:val="221F1F"/>
          <w:spacing w:val="-1"/>
        </w:rPr>
        <w:t xml:space="preserve"> </w:t>
      </w:r>
      <w:r>
        <w:rPr>
          <w:color w:val="221F1F"/>
        </w:rPr>
        <w:t>a</w:t>
      </w:r>
      <w:r>
        <w:rPr>
          <w:color w:val="221F1F"/>
          <w:spacing w:val="-1"/>
        </w:rPr>
        <w:t xml:space="preserve"> </w:t>
      </w:r>
      <w:r>
        <w:rPr>
          <w:color w:val="221F1F"/>
        </w:rPr>
        <w:t>Tenderer</w:t>
      </w:r>
      <w:r>
        <w:rPr>
          <w:color w:val="221F1F"/>
          <w:spacing w:val="-3"/>
        </w:rPr>
        <w:t xml:space="preserve"> </w:t>
      </w:r>
      <w:r>
        <w:rPr>
          <w:color w:val="221F1F"/>
        </w:rPr>
        <w:t>is</w:t>
      </w:r>
      <w:r>
        <w:rPr>
          <w:color w:val="221F1F"/>
          <w:spacing w:val="-3"/>
        </w:rPr>
        <w:t xml:space="preserve"> </w:t>
      </w:r>
      <w:r>
        <w:rPr>
          <w:color w:val="221F1F"/>
        </w:rPr>
        <w:t>required</w:t>
      </w:r>
      <w:r>
        <w:rPr>
          <w:color w:val="221F1F"/>
          <w:spacing w:val="-1"/>
        </w:rPr>
        <w:t xml:space="preserve"> </w:t>
      </w:r>
      <w:r>
        <w:rPr>
          <w:color w:val="221F1F"/>
        </w:rPr>
        <w:t>to</w:t>
      </w:r>
      <w:r>
        <w:rPr>
          <w:color w:val="221F1F"/>
          <w:spacing w:val="-4"/>
        </w:rPr>
        <w:t xml:space="preserve"> </w:t>
      </w:r>
      <w:r>
        <w:rPr>
          <w:color w:val="221F1F"/>
        </w:rPr>
        <w:t>state</w:t>
      </w:r>
      <w:r>
        <w:rPr>
          <w:color w:val="221F1F"/>
          <w:spacing w:val="-1"/>
        </w:rPr>
        <w:t xml:space="preserve"> </w:t>
      </w:r>
      <w:r>
        <w:rPr>
          <w:color w:val="221F1F"/>
        </w:rPr>
        <w:t>a</w:t>
      </w:r>
      <w:r>
        <w:rPr>
          <w:color w:val="221F1F"/>
          <w:spacing w:val="-3"/>
        </w:rPr>
        <w:t xml:space="preserve"> </w:t>
      </w:r>
      <w:r>
        <w:rPr>
          <w:color w:val="221F1F"/>
        </w:rPr>
        <w:t>monetary</w:t>
      </w:r>
      <w:r>
        <w:rPr>
          <w:color w:val="221F1F"/>
          <w:spacing w:val="-1"/>
        </w:rPr>
        <w:t xml:space="preserve"> </w:t>
      </w:r>
      <w:r>
        <w:rPr>
          <w:color w:val="221F1F"/>
        </w:rPr>
        <w:t>amount,</w:t>
      </w:r>
      <w:r>
        <w:rPr>
          <w:color w:val="221F1F"/>
          <w:spacing w:val="-1"/>
        </w:rPr>
        <w:t xml:space="preserve"> </w:t>
      </w:r>
      <w:r>
        <w:rPr>
          <w:color w:val="221F1F"/>
        </w:rPr>
        <w:t>Tenderers</w:t>
      </w:r>
      <w:r>
        <w:rPr>
          <w:color w:val="221F1F"/>
          <w:spacing w:val="-3"/>
        </w:rPr>
        <w:t xml:space="preserve"> </w:t>
      </w:r>
      <w:r>
        <w:rPr>
          <w:color w:val="221F1F"/>
        </w:rPr>
        <w:t>should</w:t>
      </w:r>
      <w:r>
        <w:rPr>
          <w:color w:val="221F1F"/>
          <w:spacing w:val="-4"/>
        </w:rPr>
        <w:t xml:space="preserve"> </w:t>
      </w:r>
      <w:r>
        <w:rPr>
          <w:color w:val="221F1F"/>
        </w:rPr>
        <w:t>indicate</w:t>
      </w:r>
      <w:r>
        <w:rPr>
          <w:color w:val="221F1F"/>
          <w:spacing w:val="-3"/>
        </w:rPr>
        <w:t xml:space="preserve"> </w:t>
      </w:r>
      <w:r>
        <w:rPr>
          <w:color w:val="221F1F"/>
        </w:rPr>
        <w:t>the</w:t>
      </w:r>
      <w:r>
        <w:rPr>
          <w:color w:val="221F1F"/>
          <w:spacing w:val="-1"/>
        </w:rPr>
        <w:t xml:space="preserve"> </w:t>
      </w:r>
      <w:r>
        <w:rPr>
          <w:color w:val="221F1F"/>
        </w:rPr>
        <w:t>Kenya</w:t>
      </w:r>
      <w:r>
        <w:rPr>
          <w:color w:val="221F1F"/>
          <w:spacing w:val="-1"/>
        </w:rPr>
        <w:t xml:space="preserve"> </w:t>
      </w:r>
      <w:r>
        <w:rPr>
          <w:color w:val="221F1F"/>
        </w:rPr>
        <w:t>Shilling equivalent using the rate of exchange determined as follows:</w:t>
      </w:r>
    </w:p>
    <w:p w:rsidR="007F6DF9" w:rsidRDefault="00A43FBC">
      <w:pPr>
        <w:pStyle w:val="ListParagraph"/>
        <w:numPr>
          <w:ilvl w:val="2"/>
          <w:numId w:val="184"/>
        </w:numPr>
        <w:tabs>
          <w:tab w:val="left" w:pos="1904"/>
          <w:tab w:val="left" w:pos="1906"/>
        </w:tabs>
        <w:spacing w:before="49" w:line="230" w:lineRule="auto"/>
        <w:ind w:right="846"/>
        <w:jc w:val="both"/>
      </w:pPr>
      <w:r>
        <w:rPr>
          <w:color w:val="221F1F"/>
        </w:rPr>
        <w:t>For construction turnover or financial data required for each year - Exchange rate prevailing on the last day</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respective</w:t>
      </w:r>
      <w:r>
        <w:rPr>
          <w:color w:val="221F1F"/>
          <w:spacing w:val="-3"/>
        </w:rPr>
        <w:t xml:space="preserve"> </w:t>
      </w:r>
      <w:r>
        <w:rPr>
          <w:color w:val="221F1F"/>
        </w:rPr>
        <w:t>calendar</w:t>
      </w:r>
      <w:r>
        <w:rPr>
          <w:color w:val="221F1F"/>
          <w:spacing w:val="-3"/>
        </w:rPr>
        <w:t xml:space="preserve"> </w:t>
      </w:r>
      <w:r>
        <w:rPr>
          <w:color w:val="221F1F"/>
        </w:rPr>
        <w:t>year</w:t>
      </w:r>
      <w:r>
        <w:rPr>
          <w:color w:val="221F1F"/>
          <w:spacing w:val="-5"/>
        </w:rPr>
        <w:t xml:space="preserve"> </w:t>
      </w:r>
      <w:r>
        <w:rPr>
          <w:color w:val="221F1F"/>
        </w:rPr>
        <w:t>(in</w:t>
      </w:r>
      <w:r>
        <w:rPr>
          <w:color w:val="221F1F"/>
          <w:spacing w:val="-6"/>
        </w:rPr>
        <w:t xml:space="preserve"> </w:t>
      </w:r>
      <w:r>
        <w:rPr>
          <w:color w:val="221F1F"/>
        </w:rPr>
        <w:t>which</w:t>
      </w:r>
      <w:r>
        <w:rPr>
          <w:color w:val="221F1F"/>
          <w:spacing w:val="-4"/>
        </w:rPr>
        <w:t xml:space="preserve"> </w:t>
      </w:r>
      <w:r>
        <w:rPr>
          <w:color w:val="221F1F"/>
        </w:rPr>
        <w:t>the</w:t>
      </w:r>
      <w:r>
        <w:rPr>
          <w:color w:val="221F1F"/>
          <w:spacing w:val="-3"/>
        </w:rPr>
        <w:t xml:space="preserve"> </w:t>
      </w:r>
      <w:r>
        <w:rPr>
          <w:color w:val="221F1F"/>
        </w:rPr>
        <w:t>amounts</w:t>
      </w:r>
      <w:r>
        <w:rPr>
          <w:color w:val="221F1F"/>
          <w:spacing w:val="-5"/>
        </w:rPr>
        <w:t xml:space="preserve"> </w:t>
      </w:r>
      <w:r>
        <w:rPr>
          <w:color w:val="221F1F"/>
        </w:rPr>
        <w:t>for</w:t>
      </w:r>
      <w:r>
        <w:rPr>
          <w:color w:val="221F1F"/>
          <w:spacing w:val="-5"/>
        </w:rPr>
        <w:t xml:space="preserve"> </w:t>
      </w:r>
      <w:r>
        <w:rPr>
          <w:color w:val="221F1F"/>
        </w:rPr>
        <w:t>that</w:t>
      </w:r>
      <w:r>
        <w:rPr>
          <w:color w:val="221F1F"/>
          <w:spacing w:val="-3"/>
        </w:rPr>
        <w:t xml:space="preserve"> </w:t>
      </w:r>
      <w:r>
        <w:rPr>
          <w:color w:val="221F1F"/>
        </w:rPr>
        <w:t>year</w:t>
      </w:r>
      <w:r>
        <w:rPr>
          <w:color w:val="221F1F"/>
          <w:spacing w:val="-5"/>
        </w:rPr>
        <w:t xml:space="preserve"> </w:t>
      </w:r>
      <w:r>
        <w:rPr>
          <w:color w:val="221F1F"/>
        </w:rPr>
        <w:t>is</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converted)</w:t>
      </w:r>
      <w:r>
        <w:rPr>
          <w:color w:val="221F1F"/>
          <w:spacing w:val="-5"/>
        </w:rPr>
        <w:t xml:space="preserve"> </w:t>
      </w:r>
      <w:r>
        <w:rPr>
          <w:color w:val="221F1F"/>
        </w:rPr>
        <w:t>was</w:t>
      </w:r>
      <w:r>
        <w:rPr>
          <w:color w:val="221F1F"/>
          <w:spacing w:val="-3"/>
        </w:rPr>
        <w:t xml:space="preserve"> </w:t>
      </w:r>
      <w:r>
        <w:rPr>
          <w:color w:val="221F1F"/>
        </w:rPr>
        <w:t xml:space="preserve">originally </w:t>
      </w:r>
      <w:r>
        <w:rPr>
          <w:color w:val="221F1F"/>
          <w:spacing w:val="-2"/>
        </w:rPr>
        <w:t>established.</w:t>
      </w:r>
    </w:p>
    <w:p w:rsidR="007F6DF9" w:rsidRDefault="00A43FBC">
      <w:pPr>
        <w:pStyle w:val="ListParagraph"/>
        <w:numPr>
          <w:ilvl w:val="2"/>
          <w:numId w:val="184"/>
        </w:numPr>
        <w:tabs>
          <w:tab w:val="left" w:pos="1904"/>
        </w:tabs>
        <w:spacing w:before="41"/>
        <w:ind w:left="1904" w:hanging="483"/>
        <w:jc w:val="both"/>
      </w:pPr>
      <w:r>
        <w:rPr>
          <w:color w:val="221F1F"/>
        </w:rPr>
        <w:t>Value</w:t>
      </w:r>
      <w:r>
        <w:rPr>
          <w:color w:val="221F1F"/>
          <w:spacing w:val="-16"/>
        </w:rPr>
        <w:t xml:space="preserve"> </w:t>
      </w:r>
      <w:r>
        <w:rPr>
          <w:color w:val="221F1F"/>
        </w:rPr>
        <w:t>of</w:t>
      </w:r>
      <w:r>
        <w:rPr>
          <w:color w:val="221F1F"/>
          <w:spacing w:val="-6"/>
        </w:rPr>
        <w:t xml:space="preserve"> </w:t>
      </w:r>
      <w:r>
        <w:rPr>
          <w:color w:val="221F1F"/>
        </w:rPr>
        <w:t>single</w:t>
      </w:r>
      <w:r>
        <w:rPr>
          <w:color w:val="221F1F"/>
          <w:spacing w:val="-6"/>
        </w:rPr>
        <w:t xml:space="preserve"> </w:t>
      </w:r>
      <w:r>
        <w:rPr>
          <w:color w:val="221F1F"/>
        </w:rPr>
        <w:t>contract</w:t>
      </w:r>
      <w:r>
        <w:rPr>
          <w:color w:val="221F1F"/>
          <w:spacing w:val="-3"/>
        </w:rPr>
        <w:t xml:space="preserve"> </w:t>
      </w:r>
      <w:r>
        <w:rPr>
          <w:color w:val="221F1F"/>
        </w:rPr>
        <w:t>-</w:t>
      </w:r>
      <w:r>
        <w:rPr>
          <w:color w:val="221F1F"/>
          <w:spacing w:val="-6"/>
        </w:rPr>
        <w:t xml:space="preserve"> </w:t>
      </w:r>
      <w:r>
        <w:rPr>
          <w:color w:val="221F1F"/>
        </w:rPr>
        <w:t>Exchange</w:t>
      </w:r>
      <w:r>
        <w:rPr>
          <w:color w:val="221F1F"/>
          <w:spacing w:val="-4"/>
        </w:rPr>
        <w:t xml:space="preserve"> </w:t>
      </w:r>
      <w:r>
        <w:rPr>
          <w:color w:val="221F1F"/>
        </w:rPr>
        <w:t>rate</w:t>
      </w:r>
      <w:r>
        <w:rPr>
          <w:color w:val="221F1F"/>
          <w:spacing w:val="-6"/>
        </w:rPr>
        <w:t xml:space="preserve"> </w:t>
      </w:r>
      <w:r>
        <w:rPr>
          <w:color w:val="221F1F"/>
        </w:rPr>
        <w:t>prevailing</w:t>
      </w:r>
      <w:r>
        <w:rPr>
          <w:color w:val="221F1F"/>
          <w:spacing w:val="-4"/>
        </w:rPr>
        <w:t xml:space="preserve"> </w:t>
      </w:r>
      <w:r>
        <w:rPr>
          <w:color w:val="221F1F"/>
        </w:rPr>
        <w:t>on</w:t>
      </w:r>
      <w:r>
        <w:rPr>
          <w:color w:val="221F1F"/>
          <w:spacing w:val="-7"/>
        </w:rPr>
        <w:t xml:space="preserve"> </w:t>
      </w:r>
      <w:r>
        <w:rPr>
          <w:color w:val="221F1F"/>
        </w:rPr>
        <w:t>the</w:t>
      </w:r>
      <w:r>
        <w:rPr>
          <w:color w:val="221F1F"/>
          <w:spacing w:val="-4"/>
        </w:rPr>
        <w:t xml:space="preserve"> </w:t>
      </w:r>
      <w:r>
        <w:rPr>
          <w:color w:val="221F1F"/>
        </w:rPr>
        <w:t>date</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spacing w:val="-2"/>
        </w:rPr>
        <w:t>signature.</w:t>
      </w:r>
    </w:p>
    <w:p w:rsidR="007F6DF9" w:rsidRDefault="00A43FBC">
      <w:pPr>
        <w:pStyle w:val="ListParagraph"/>
        <w:numPr>
          <w:ilvl w:val="0"/>
          <w:numId w:val="228"/>
        </w:numPr>
        <w:tabs>
          <w:tab w:val="left" w:pos="1906"/>
        </w:tabs>
        <w:spacing w:before="49" w:line="230" w:lineRule="auto"/>
        <w:ind w:left="1906" w:right="869" w:hanging="485"/>
        <w:jc w:val="both"/>
      </w:pPr>
      <w:r>
        <w:rPr>
          <w:color w:val="221F1F"/>
        </w:rPr>
        <w:t>Exchange</w:t>
      </w:r>
      <w:r>
        <w:rPr>
          <w:color w:val="221F1F"/>
          <w:spacing w:val="-2"/>
        </w:rPr>
        <w:t xml:space="preserve"> </w:t>
      </w:r>
      <w:r>
        <w:rPr>
          <w:color w:val="221F1F"/>
        </w:rPr>
        <w:t>rates</w:t>
      </w:r>
      <w:r>
        <w:rPr>
          <w:color w:val="221F1F"/>
          <w:spacing w:val="-2"/>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taken</w:t>
      </w:r>
      <w:r>
        <w:rPr>
          <w:color w:val="221F1F"/>
          <w:spacing w:val="-2"/>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publicly</w:t>
      </w:r>
      <w:r>
        <w:rPr>
          <w:color w:val="221F1F"/>
          <w:spacing w:val="-2"/>
        </w:rPr>
        <w:t xml:space="preserve"> </w:t>
      </w:r>
      <w:r>
        <w:rPr>
          <w:color w:val="221F1F"/>
        </w:rPr>
        <w:t>available</w:t>
      </w:r>
      <w:r>
        <w:rPr>
          <w:color w:val="221F1F"/>
          <w:spacing w:val="-2"/>
        </w:rPr>
        <w:t xml:space="preserve"> </w:t>
      </w:r>
      <w:r>
        <w:rPr>
          <w:color w:val="221F1F"/>
        </w:rPr>
        <w:t>source</w:t>
      </w:r>
      <w:r>
        <w:rPr>
          <w:color w:val="221F1F"/>
          <w:spacing w:val="-2"/>
        </w:rPr>
        <w:t xml:space="preserve"> </w:t>
      </w:r>
      <w:r>
        <w:rPr>
          <w:color w:val="221F1F"/>
        </w:rPr>
        <w:t>identified</w:t>
      </w:r>
      <w:r>
        <w:rPr>
          <w:color w:val="221F1F"/>
          <w:spacing w:val="-2"/>
        </w:rPr>
        <w:t xml:space="preserve"> </w:t>
      </w:r>
      <w:r>
        <w:rPr>
          <w:color w:val="221F1F"/>
        </w:rPr>
        <w:t>in</w:t>
      </w:r>
      <w:r>
        <w:rPr>
          <w:color w:val="221F1F"/>
          <w:spacing w:val="-5"/>
        </w:rPr>
        <w:t xml:space="preserve"> </w:t>
      </w:r>
      <w:r>
        <w:rPr>
          <w:color w:val="221F1F"/>
        </w:rPr>
        <w:t>the</w:t>
      </w:r>
      <w:r>
        <w:rPr>
          <w:color w:val="221F1F"/>
          <w:spacing w:val="-7"/>
        </w:rPr>
        <w:t xml:space="preserve"> </w:t>
      </w:r>
      <w:r>
        <w:rPr>
          <w:color w:val="221F1F"/>
        </w:rPr>
        <w:t>ITT</w:t>
      </w:r>
      <w:r>
        <w:rPr>
          <w:color w:val="221F1F"/>
          <w:spacing w:val="-3"/>
        </w:rPr>
        <w:t xml:space="preserve"> </w:t>
      </w:r>
      <w:r>
        <w:rPr>
          <w:color w:val="221F1F"/>
        </w:rPr>
        <w:t>14.3.</w:t>
      </w:r>
      <w:r>
        <w:rPr>
          <w:color w:val="221F1F"/>
          <w:spacing w:val="-2"/>
        </w:rPr>
        <w:t xml:space="preserve"> </w:t>
      </w:r>
      <w:r>
        <w:rPr>
          <w:color w:val="221F1F"/>
        </w:rPr>
        <w:t>Any</w:t>
      </w:r>
      <w:r>
        <w:rPr>
          <w:color w:val="221F1F"/>
          <w:spacing w:val="-2"/>
        </w:rPr>
        <w:t xml:space="preserve"> </w:t>
      </w:r>
      <w:r>
        <w:rPr>
          <w:color w:val="221F1F"/>
        </w:rPr>
        <w:t>error</w:t>
      </w:r>
      <w:r>
        <w:rPr>
          <w:color w:val="221F1F"/>
          <w:spacing w:val="-4"/>
        </w:rPr>
        <w:t xml:space="preserve"> </w:t>
      </w:r>
      <w:r>
        <w:rPr>
          <w:color w:val="221F1F"/>
        </w:rPr>
        <w:t>in determining the exchange rates in the Tender may be corrected by the Procuring Entity.</w:t>
      </w:r>
    </w:p>
    <w:p w:rsidR="007F6DF9" w:rsidRDefault="00A43FBC">
      <w:pPr>
        <w:pStyle w:val="Heading8"/>
        <w:numPr>
          <w:ilvl w:val="1"/>
          <w:numId w:val="184"/>
        </w:numPr>
        <w:tabs>
          <w:tab w:val="left" w:pos="1421"/>
        </w:tabs>
        <w:spacing w:before="235"/>
        <w:ind w:hanging="572"/>
      </w:pPr>
      <w:r>
        <w:rPr>
          <w:color w:val="221F1F"/>
          <w:spacing w:val="-4"/>
        </w:rPr>
        <w:t>EVALUATION</w:t>
      </w:r>
      <w:r>
        <w:rPr>
          <w:color w:val="221F1F"/>
          <w:spacing w:val="-10"/>
        </w:rPr>
        <w:t xml:space="preserve"> </w:t>
      </w:r>
      <w:r>
        <w:rPr>
          <w:color w:val="221F1F"/>
          <w:spacing w:val="-4"/>
        </w:rPr>
        <w:t>AND</w:t>
      </w:r>
      <w:r>
        <w:rPr>
          <w:color w:val="221F1F"/>
          <w:spacing w:val="1"/>
        </w:rPr>
        <w:t xml:space="preserve"> </w:t>
      </w:r>
      <w:r>
        <w:rPr>
          <w:color w:val="221F1F"/>
          <w:spacing w:val="-4"/>
        </w:rPr>
        <w:t>CONTRACT</w:t>
      </w:r>
      <w:r>
        <w:rPr>
          <w:color w:val="221F1F"/>
          <w:spacing w:val="-5"/>
        </w:rPr>
        <w:t xml:space="preserve"> </w:t>
      </w:r>
      <w:r>
        <w:rPr>
          <w:color w:val="221F1F"/>
          <w:spacing w:val="-4"/>
        </w:rPr>
        <w:t>AWARD</w:t>
      </w:r>
      <w:r>
        <w:rPr>
          <w:color w:val="221F1F"/>
          <w:spacing w:val="-7"/>
        </w:rPr>
        <w:t xml:space="preserve"> </w:t>
      </w:r>
      <w:r>
        <w:rPr>
          <w:color w:val="221F1F"/>
          <w:spacing w:val="-4"/>
        </w:rPr>
        <w:t>CRITERIA</w:t>
      </w:r>
    </w:p>
    <w:p w:rsidR="007F6DF9" w:rsidRDefault="00A43FBC">
      <w:pPr>
        <w:pStyle w:val="BodyText"/>
        <w:spacing w:before="243" w:line="230" w:lineRule="auto"/>
        <w:ind w:left="1433" w:right="843" w:hanging="12"/>
        <w:jc w:val="both"/>
      </w:pPr>
      <w:proofErr w:type="spellStart"/>
      <w:r>
        <w:rPr>
          <w:color w:val="221F1F"/>
        </w:rPr>
        <w:t>TheProcuring</w:t>
      </w:r>
      <w:proofErr w:type="spellEnd"/>
      <w:r>
        <w:rPr>
          <w:color w:val="221F1F"/>
          <w:spacing w:val="-16"/>
        </w:rPr>
        <w:t xml:space="preserve"> </w:t>
      </w:r>
      <w:r>
        <w:rPr>
          <w:color w:val="221F1F"/>
        </w:rPr>
        <w:t>Entity</w:t>
      </w:r>
      <w:r>
        <w:rPr>
          <w:color w:val="221F1F"/>
          <w:spacing w:val="-14"/>
        </w:rPr>
        <w:t xml:space="preserve"> </w:t>
      </w:r>
      <w:r>
        <w:rPr>
          <w:color w:val="221F1F"/>
        </w:rPr>
        <w:t>shall</w:t>
      </w:r>
      <w:r>
        <w:rPr>
          <w:color w:val="221F1F"/>
          <w:spacing w:val="-14"/>
        </w:rPr>
        <w:t xml:space="preserve"> </w:t>
      </w:r>
      <w:r>
        <w:rPr>
          <w:color w:val="221F1F"/>
        </w:rPr>
        <w:t>use</w:t>
      </w:r>
      <w:r>
        <w:rPr>
          <w:color w:val="221F1F"/>
          <w:spacing w:val="-13"/>
        </w:rPr>
        <w:t xml:space="preserve"> </w:t>
      </w:r>
      <w:r>
        <w:rPr>
          <w:color w:val="221F1F"/>
        </w:rPr>
        <w:t>the</w:t>
      </w:r>
      <w:r>
        <w:rPr>
          <w:color w:val="221F1F"/>
          <w:spacing w:val="-14"/>
        </w:rPr>
        <w:t xml:space="preserve"> </w:t>
      </w:r>
      <w:r>
        <w:rPr>
          <w:color w:val="221F1F"/>
        </w:rPr>
        <w:t>criteria</w:t>
      </w:r>
      <w:r>
        <w:rPr>
          <w:color w:val="221F1F"/>
          <w:spacing w:val="-14"/>
        </w:rPr>
        <w:t xml:space="preserve"> </w:t>
      </w:r>
      <w:r>
        <w:rPr>
          <w:color w:val="221F1F"/>
        </w:rPr>
        <w:t>and</w:t>
      </w:r>
      <w:r>
        <w:rPr>
          <w:color w:val="221F1F"/>
          <w:spacing w:val="-14"/>
        </w:rPr>
        <w:t xml:space="preserve"> </w:t>
      </w:r>
      <w:r>
        <w:rPr>
          <w:color w:val="221F1F"/>
        </w:rPr>
        <w:t>methodologies</w:t>
      </w:r>
      <w:r>
        <w:rPr>
          <w:color w:val="221F1F"/>
          <w:spacing w:val="-13"/>
        </w:rPr>
        <w:t xml:space="preserve"> </w:t>
      </w:r>
      <w:r>
        <w:rPr>
          <w:color w:val="221F1F"/>
        </w:rPr>
        <w:t>listed</w:t>
      </w:r>
      <w:r>
        <w:rPr>
          <w:color w:val="221F1F"/>
          <w:spacing w:val="-14"/>
        </w:rPr>
        <w:t xml:space="preserve"> </w:t>
      </w:r>
      <w:r>
        <w:rPr>
          <w:color w:val="221F1F"/>
        </w:rPr>
        <w:t>in</w:t>
      </w:r>
      <w:r>
        <w:rPr>
          <w:color w:val="221F1F"/>
          <w:spacing w:val="-14"/>
        </w:rPr>
        <w:t xml:space="preserve"> </w:t>
      </w:r>
      <w:r>
        <w:rPr>
          <w:color w:val="221F1F"/>
        </w:rPr>
        <w:t>this</w:t>
      </w:r>
      <w:r>
        <w:rPr>
          <w:color w:val="221F1F"/>
          <w:spacing w:val="-14"/>
        </w:rPr>
        <w:t xml:space="preserve"> </w:t>
      </w:r>
      <w:r>
        <w:rPr>
          <w:color w:val="221F1F"/>
        </w:rPr>
        <w:t>Section</w:t>
      </w:r>
      <w:r>
        <w:rPr>
          <w:color w:val="221F1F"/>
          <w:spacing w:val="-13"/>
        </w:rPr>
        <w:t xml:space="preserve"> </w:t>
      </w:r>
      <w:r>
        <w:rPr>
          <w:color w:val="221F1F"/>
        </w:rPr>
        <w:t>to</w:t>
      </w:r>
      <w:r>
        <w:rPr>
          <w:color w:val="221F1F"/>
          <w:spacing w:val="-14"/>
        </w:rPr>
        <w:t xml:space="preserve"> </w:t>
      </w:r>
      <w:r>
        <w:rPr>
          <w:color w:val="221F1F"/>
        </w:rPr>
        <w:t>evaluate</w:t>
      </w:r>
      <w:r>
        <w:rPr>
          <w:color w:val="221F1F"/>
          <w:spacing w:val="-14"/>
        </w:rPr>
        <w:t xml:space="preserve"> </w:t>
      </w:r>
      <w:r>
        <w:rPr>
          <w:color w:val="221F1F"/>
        </w:rPr>
        <w:t>tenders</w:t>
      </w:r>
      <w:r>
        <w:rPr>
          <w:color w:val="221F1F"/>
          <w:spacing w:val="-14"/>
        </w:rPr>
        <w:t xml:space="preserve"> </w:t>
      </w:r>
      <w:r>
        <w:rPr>
          <w:color w:val="221F1F"/>
        </w:rPr>
        <w:t>and</w:t>
      </w:r>
      <w:r>
        <w:rPr>
          <w:color w:val="221F1F"/>
          <w:spacing w:val="-13"/>
        </w:rPr>
        <w:t xml:space="preserve"> </w:t>
      </w:r>
      <w:r>
        <w:rPr>
          <w:color w:val="221F1F"/>
        </w:rPr>
        <w:t>arrive at</w:t>
      </w:r>
      <w:r>
        <w:rPr>
          <w:color w:val="221F1F"/>
          <w:spacing w:val="-3"/>
        </w:rPr>
        <w:t xml:space="preserve"> </w:t>
      </w:r>
      <w:r>
        <w:rPr>
          <w:color w:val="221F1F"/>
        </w:rPr>
        <w:t>the</w:t>
      </w:r>
      <w:r>
        <w:rPr>
          <w:color w:val="221F1F"/>
          <w:spacing w:val="-4"/>
        </w:rPr>
        <w:t xml:space="preserve"> </w:t>
      </w:r>
      <w:r>
        <w:rPr>
          <w:color w:val="221F1F"/>
        </w:rPr>
        <w:t>Lowest</w:t>
      </w:r>
      <w:r>
        <w:rPr>
          <w:color w:val="221F1F"/>
          <w:spacing w:val="-1"/>
        </w:rPr>
        <w:t xml:space="preserve"> </w:t>
      </w:r>
      <w:r>
        <w:rPr>
          <w:color w:val="221F1F"/>
        </w:rPr>
        <w:t>Evaluated</w:t>
      </w:r>
      <w:r>
        <w:rPr>
          <w:color w:val="221F1F"/>
          <w:spacing w:val="-3"/>
        </w:rPr>
        <w:t xml:space="preserve"> </w:t>
      </w:r>
      <w:r>
        <w:rPr>
          <w:color w:val="221F1F"/>
        </w:rPr>
        <w:t>Tender.</w:t>
      </w:r>
      <w:r>
        <w:rPr>
          <w:color w:val="221F1F"/>
          <w:spacing w:val="-11"/>
        </w:rPr>
        <w:t xml:space="preserve"> </w:t>
      </w:r>
      <w:r>
        <w:rPr>
          <w:color w:val="221F1F"/>
        </w:rPr>
        <w:t>The</w:t>
      </w:r>
      <w:r>
        <w:rPr>
          <w:color w:val="221F1F"/>
          <w:spacing w:val="-1"/>
        </w:rPr>
        <w:t xml:space="preserve"> </w:t>
      </w:r>
      <w:r>
        <w:rPr>
          <w:color w:val="221F1F"/>
        </w:rPr>
        <w:t>tender</w:t>
      </w:r>
      <w:r>
        <w:rPr>
          <w:color w:val="221F1F"/>
          <w:spacing w:val="-3"/>
        </w:rPr>
        <w:t xml:space="preserve"> </w:t>
      </w:r>
      <w:r>
        <w:rPr>
          <w:color w:val="221F1F"/>
        </w:rPr>
        <w:t>that(</w:t>
      </w:r>
      <w:proofErr w:type="spellStart"/>
      <w:r>
        <w:rPr>
          <w:color w:val="221F1F"/>
        </w:rPr>
        <w:t>i</w:t>
      </w:r>
      <w:proofErr w:type="spellEnd"/>
      <w:r>
        <w:rPr>
          <w:color w:val="221F1F"/>
        </w:rPr>
        <w:t>)</w:t>
      </w:r>
      <w:r>
        <w:rPr>
          <w:color w:val="221F1F"/>
          <w:spacing w:val="-3"/>
        </w:rPr>
        <w:t xml:space="preserve"> </w:t>
      </w:r>
      <w:r>
        <w:rPr>
          <w:color w:val="221F1F"/>
        </w:rPr>
        <w:t>meets</w:t>
      </w:r>
      <w:r>
        <w:rPr>
          <w:color w:val="221F1F"/>
          <w:spacing w:val="-3"/>
        </w:rPr>
        <w:t xml:space="preserve"> </w:t>
      </w:r>
      <w:r>
        <w:rPr>
          <w:color w:val="221F1F"/>
        </w:rPr>
        <w:t>the</w:t>
      </w:r>
      <w:r>
        <w:rPr>
          <w:color w:val="221F1F"/>
          <w:spacing w:val="-4"/>
        </w:rPr>
        <w:t xml:space="preserve"> </w:t>
      </w:r>
      <w:r>
        <w:rPr>
          <w:color w:val="221F1F"/>
        </w:rPr>
        <w:t>qualification</w:t>
      </w:r>
      <w:r>
        <w:rPr>
          <w:color w:val="221F1F"/>
          <w:spacing w:val="-4"/>
        </w:rPr>
        <w:t xml:space="preserve"> </w:t>
      </w:r>
      <w:r>
        <w:rPr>
          <w:color w:val="221F1F"/>
        </w:rPr>
        <w:t>criteria,</w:t>
      </w:r>
      <w:r>
        <w:rPr>
          <w:color w:val="221F1F"/>
          <w:spacing w:val="-4"/>
        </w:rPr>
        <w:t xml:space="preserve"> </w:t>
      </w:r>
      <w:r>
        <w:rPr>
          <w:color w:val="221F1F"/>
        </w:rPr>
        <w:t>(ii)</w:t>
      </w:r>
      <w:r>
        <w:rPr>
          <w:color w:val="221F1F"/>
          <w:spacing w:val="-2"/>
        </w:rPr>
        <w:t xml:space="preserve"> </w:t>
      </w:r>
      <w:r>
        <w:rPr>
          <w:color w:val="221F1F"/>
        </w:rPr>
        <w:t>has</w:t>
      </w:r>
      <w:r>
        <w:rPr>
          <w:color w:val="221F1F"/>
          <w:spacing w:val="-3"/>
        </w:rPr>
        <w:t xml:space="preserve"> </w:t>
      </w:r>
      <w:r>
        <w:rPr>
          <w:color w:val="221F1F"/>
        </w:rPr>
        <w:t>been</w:t>
      </w:r>
      <w:r>
        <w:rPr>
          <w:color w:val="221F1F"/>
          <w:spacing w:val="-4"/>
        </w:rPr>
        <w:t xml:space="preserve"> </w:t>
      </w:r>
      <w:r>
        <w:rPr>
          <w:color w:val="221F1F"/>
        </w:rPr>
        <w:t>determined</w:t>
      </w:r>
      <w:r>
        <w:rPr>
          <w:color w:val="221F1F"/>
          <w:spacing w:val="-3"/>
        </w:rPr>
        <w:t xml:space="preserve"> </w:t>
      </w:r>
      <w:r>
        <w:rPr>
          <w:color w:val="221F1F"/>
        </w:rPr>
        <w:t>to be substantially responsive to the Tender Documents, and (iii) is determined to have the Lowest Evaluated Tender price shall be selected for award of contract.</w:t>
      </w:r>
    </w:p>
    <w:p w:rsidR="007F6DF9" w:rsidRDefault="00A43FBC">
      <w:pPr>
        <w:pStyle w:val="Heading8"/>
        <w:numPr>
          <w:ilvl w:val="1"/>
          <w:numId w:val="183"/>
        </w:numPr>
        <w:tabs>
          <w:tab w:val="left" w:pos="1452"/>
        </w:tabs>
        <w:spacing w:before="239"/>
      </w:pPr>
      <w:r>
        <w:rPr>
          <w:color w:val="221F1F"/>
        </w:rPr>
        <w:t>PRELIMINARY</w:t>
      </w:r>
      <w:r>
        <w:rPr>
          <w:color w:val="221F1F"/>
          <w:spacing w:val="-8"/>
        </w:rPr>
        <w:t xml:space="preserve"> </w:t>
      </w:r>
      <w:r>
        <w:rPr>
          <w:color w:val="221F1F"/>
        </w:rPr>
        <w:t>EXAMINATION</w:t>
      </w:r>
      <w:r>
        <w:rPr>
          <w:color w:val="221F1F"/>
          <w:spacing w:val="-8"/>
        </w:rPr>
        <w:t xml:space="preserve"> </w:t>
      </w:r>
      <w:r>
        <w:rPr>
          <w:color w:val="221F1F"/>
        </w:rPr>
        <w:t>FOR</w:t>
      </w:r>
      <w:r>
        <w:rPr>
          <w:color w:val="221F1F"/>
          <w:spacing w:val="-8"/>
        </w:rPr>
        <w:t xml:space="preserve"> </w:t>
      </w:r>
      <w:r>
        <w:rPr>
          <w:color w:val="221F1F"/>
        </w:rPr>
        <w:t>DETERMINATION</w:t>
      </w:r>
      <w:r>
        <w:rPr>
          <w:color w:val="221F1F"/>
          <w:spacing w:val="-7"/>
        </w:rPr>
        <w:t xml:space="preserve"> </w:t>
      </w:r>
      <w:r>
        <w:rPr>
          <w:color w:val="221F1F"/>
          <w:spacing w:val="-5"/>
        </w:rPr>
        <w:t>OF</w:t>
      </w:r>
    </w:p>
    <w:p w:rsidR="007F6DF9" w:rsidRDefault="00A43FBC">
      <w:pPr>
        <w:pStyle w:val="Heading9"/>
        <w:spacing w:before="235"/>
        <w:ind w:left="1421" w:firstLine="0"/>
        <w:jc w:val="both"/>
      </w:pPr>
      <w:r>
        <w:rPr>
          <w:color w:val="221F1F"/>
        </w:rPr>
        <w:t>RESPONSIVENESS</w:t>
      </w:r>
      <w:r>
        <w:rPr>
          <w:color w:val="221F1F"/>
          <w:spacing w:val="-7"/>
        </w:rPr>
        <w:t xml:space="preserve"> </w:t>
      </w:r>
      <w:r>
        <w:rPr>
          <w:color w:val="221F1F"/>
        </w:rPr>
        <w:t>Preliminary</w:t>
      </w:r>
      <w:r>
        <w:rPr>
          <w:color w:val="221F1F"/>
          <w:spacing w:val="-7"/>
        </w:rPr>
        <w:t xml:space="preserve"> </w:t>
      </w:r>
      <w:r>
        <w:rPr>
          <w:color w:val="221F1F"/>
        </w:rPr>
        <w:t>examination</w:t>
      </w:r>
      <w:r>
        <w:rPr>
          <w:color w:val="221F1F"/>
          <w:spacing w:val="-6"/>
        </w:rPr>
        <w:t xml:space="preserve"> </w:t>
      </w:r>
      <w:r>
        <w:rPr>
          <w:color w:val="221F1F"/>
        </w:rPr>
        <w:t>for</w:t>
      </w:r>
      <w:r>
        <w:rPr>
          <w:color w:val="221F1F"/>
          <w:spacing w:val="-7"/>
        </w:rPr>
        <w:t xml:space="preserve"> </w:t>
      </w:r>
      <w:r>
        <w:rPr>
          <w:color w:val="221F1F"/>
        </w:rPr>
        <w:t>Determination</w:t>
      </w:r>
      <w:r>
        <w:rPr>
          <w:color w:val="221F1F"/>
          <w:spacing w:val="-5"/>
        </w:rPr>
        <w:t xml:space="preserve"> </w:t>
      </w:r>
      <w:r>
        <w:rPr>
          <w:color w:val="221F1F"/>
        </w:rPr>
        <w:t>of</w:t>
      </w:r>
      <w:r>
        <w:rPr>
          <w:color w:val="221F1F"/>
          <w:spacing w:val="-7"/>
        </w:rPr>
        <w:t xml:space="preserve"> </w:t>
      </w:r>
      <w:r>
        <w:rPr>
          <w:color w:val="221F1F"/>
          <w:spacing w:val="-2"/>
        </w:rPr>
        <w:t>Responsiveness</w:t>
      </w:r>
    </w:p>
    <w:p w:rsidR="007F6DF9" w:rsidRDefault="00A43FBC">
      <w:pPr>
        <w:pStyle w:val="BodyText"/>
        <w:spacing w:before="240" w:line="230" w:lineRule="auto"/>
        <w:ind w:left="1433" w:right="844" w:hanging="12"/>
        <w:jc w:val="both"/>
        <w:rPr>
          <w:color w:val="221F1F"/>
        </w:rPr>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will</w:t>
      </w:r>
      <w:r>
        <w:rPr>
          <w:color w:val="221F1F"/>
          <w:spacing w:val="-13"/>
        </w:rPr>
        <w:t xml:space="preserve"> </w:t>
      </w:r>
      <w:r>
        <w:rPr>
          <w:color w:val="221F1F"/>
        </w:rPr>
        <w:t>start</w:t>
      </w:r>
      <w:r>
        <w:rPr>
          <w:color w:val="221F1F"/>
          <w:spacing w:val="-14"/>
        </w:rPr>
        <w:t xml:space="preserve"> </w:t>
      </w:r>
      <w:r>
        <w:rPr>
          <w:color w:val="221F1F"/>
        </w:rPr>
        <w:t>by</w:t>
      </w:r>
      <w:r>
        <w:rPr>
          <w:color w:val="221F1F"/>
          <w:spacing w:val="-14"/>
        </w:rPr>
        <w:t xml:space="preserve"> </w:t>
      </w:r>
      <w:r>
        <w:rPr>
          <w:color w:val="221F1F"/>
        </w:rPr>
        <w:t>examining</w:t>
      </w:r>
      <w:r>
        <w:rPr>
          <w:color w:val="221F1F"/>
          <w:spacing w:val="-14"/>
        </w:rPr>
        <w:t xml:space="preserve"> </w:t>
      </w:r>
      <w:r>
        <w:rPr>
          <w:color w:val="221F1F"/>
        </w:rPr>
        <w:t>all</w:t>
      </w:r>
      <w:r>
        <w:rPr>
          <w:color w:val="221F1F"/>
          <w:spacing w:val="-13"/>
        </w:rPr>
        <w:t xml:space="preserve"> </w:t>
      </w:r>
      <w:r>
        <w:rPr>
          <w:color w:val="221F1F"/>
        </w:rPr>
        <w:t>tenders</w:t>
      </w:r>
      <w:r>
        <w:rPr>
          <w:color w:val="221F1F"/>
          <w:spacing w:val="-14"/>
        </w:rPr>
        <w:t xml:space="preserve"> </w:t>
      </w:r>
      <w:r>
        <w:rPr>
          <w:color w:val="221F1F"/>
        </w:rPr>
        <w:t>to</w:t>
      </w:r>
      <w:r>
        <w:rPr>
          <w:color w:val="221F1F"/>
          <w:spacing w:val="-14"/>
        </w:rPr>
        <w:t xml:space="preserve"> </w:t>
      </w:r>
      <w:r>
        <w:rPr>
          <w:color w:val="221F1F"/>
        </w:rPr>
        <w:t>ensure</w:t>
      </w:r>
      <w:r>
        <w:rPr>
          <w:color w:val="221F1F"/>
          <w:spacing w:val="-14"/>
        </w:rPr>
        <w:t xml:space="preserve"> </w:t>
      </w:r>
      <w:r>
        <w:rPr>
          <w:color w:val="221F1F"/>
        </w:rPr>
        <w:t>they</w:t>
      </w:r>
      <w:r>
        <w:rPr>
          <w:color w:val="221F1F"/>
          <w:spacing w:val="-13"/>
        </w:rPr>
        <w:t xml:space="preserve"> </w:t>
      </w:r>
      <w:r>
        <w:rPr>
          <w:color w:val="221F1F"/>
        </w:rPr>
        <w:t>meet</w:t>
      </w:r>
      <w:r>
        <w:rPr>
          <w:color w:val="221F1F"/>
          <w:spacing w:val="-14"/>
        </w:rPr>
        <w:t xml:space="preserve"> </w:t>
      </w:r>
      <w:r>
        <w:rPr>
          <w:color w:val="221F1F"/>
        </w:rPr>
        <w:t>in</w:t>
      </w:r>
      <w:r>
        <w:rPr>
          <w:color w:val="221F1F"/>
          <w:spacing w:val="-14"/>
        </w:rPr>
        <w:t xml:space="preserve"> </w:t>
      </w:r>
      <w:r>
        <w:rPr>
          <w:color w:val="221F1F"/>
        </w:rPr>
        <w:t>all</w:t>
      </w:r>
      <w:r>
        <w:rPr>
          <w:color w:val="221F1F"/>
          <w:spacing w:val="-14"/>
        </w:rPr>
        <w:t xml:space="preserve"> </w:t>
      </w:r>
      <w:r>
        <w:rPr>
          <w:color w:val="221F1F"/>
        </w:rPr>
        <w:t>respects</w:t>
      </w:r>
      <w:r>
        <w:rPr>
          <w:color w:val="221F1F"/>
          <w:spacing w:val="-12"/>
        </w:rPr>
        <w:t xml:space="preserve"> </w:t>
      </w:r>
      <w:r>
        <w:rPr>
          <w:color w:val="221F1F"/>
        </w:rPr>
        <w:t>the</w:t>
      </w:r>
      <w:r>
        <w:rPr>
          <w:color w:val="221F1F"/>
          <w:spacing w:val="-14"/>
        </w:rPr>
        <w:t xml:space="preserve"> </w:t>
      </w:r>
      <w:r>
        <w:rPr>
          <w:color w:val="221F1F"/>
        </w:rPr>
        <w:t>eligibility</w:t>
      </w:r>
      <w:r>
        <w:rPr>
          <w:color w:val="221F1F"/>
          <w:spacing w:val="-13"/>
        </w:rPr>
        <w:t xml:space="preserve"> </w:t>
      </w:r>
      <w:r>
        <w:rPr>
          <w:color w:val="221F1F"/>
        </w:rPr>
        <w:t>criteria and other mandatory requirements in the ITT, and that the tender is complete in all aspects in meeting the requirements provided for in the preliminary evaluation criteria outlined below. The Standard Tender Evaluation Report Document for Goods and Works</w:t>
      </w:r>
      <w:r>
        <w:rPr>
          <w:color w:val="221F1F"/>
          <w:spacing w:val="-6"/>
        </w:rPr>
        <w:t xml:space="preserve"> </w:t>
      </w:r>
      <w:r>
        <w:rPr>
          <w:color w:val="221F1F"/>
        </w:rPr>
        <w:t>for evaluating Tenders</w:t>
      </w:r>
      <w:r>
        <w:rPr>
          <w:color w:val="221F1F"/>
          <w:spacing w:val="-4"/>
        </w:rPr>
        <w:t xml:space="preserve"> </w:t>
      </w:r>
      <w:r>
        <w:rPr>
          <w:color w:val="221F1F"/>
        </w:rPr>
        <w:t>provides very clear guide on how to deal with review of these requirements. Tenders that do not pass the Preliminary Examination will be considered non- responsive and will not be considered further.</w:t>
      </w: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pPr>
    </w:p>
    <w:p w:rsidR="007F6DF9" w:rsidRDefault="007F6DF9">
      <w:pPr>
        <w:pStyle w:val="BodyText"/>
        <w:spacing w:before="9"/>
        <w:rPr>
          <w:sz w:val="18"/>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10195"/>
      </w:tblGrid>
      <w:tr w:rsidR="007F6DF9">
        <w:trPr>
          <w:trHeight w:val="505"/>
        </w:trPr>
        <w:tc>
          <w:tcPr>
            <w:tcW w:w="812" w:type="dxa"/>
          </w:tcPr>
          <w:p w:rsidR="007F6DF9" w:rsidRDefault="00A43FBC">
            <w:pPr>
              <w:pStyle w:val="TableParagraph"/>
              <w:spacing w:before="253" w:line="233" w:lineRule="exact"/>
              <w:ind w:left="107"/>
              <w:rPr>
                <w:rFonts w:ascii="Times New Roman"/>
                <w:b/>
              </w:rPr>
            </w:pPr>
            <w:r>
              <w:rPr>
                <w:rFonts w:ascii="Times New Roman"/>
                <w:b/>
                <w:spacing w:val="-4"/>
              </w:rPr>
              <w:t>S/No</w:t>
            </w:r>
          </w:p>
        </w:tc>
        <w:tc>
          <w:tcPr>
            <w:tcW w:w="10195" w:type="dxa"/>
          </w:tcPr>
          <w:p w:rsidR="007F6DF9" w:rsidRDefault="00A43FBC">
            <w:pPr>
              <w:pStyle w:val="TableParagraph"/>
              <w:spacing w:line="254" w:lineRule="exact"/>
              <w:ind w:left="105"/>
              <w:rPr>
                <w:rFonts w:ascii="Times New Roman"/>
                <w:b/>
              </w:rPr>
            </w:pPr>
            <w:r>
              <w:rPr>
                <w:rFonts w:ascii="Times New Roman"/>
                <w:b/>
              </w:rPr>
              <w:t>PRELIMINARY</w:t>
            </w:r>
            <w:r>
              <w:rPr>
                <w:rFonts w:ascii="Times New Roman"/>
                <w:b/>
                <w:spacing w:val="-6"/>
              </w:rPr>
              <w:t xml:space="preserve"> </w:t>
            </w:r>
            <w:r>
              <w:rPr>
                <w:rFonts w:ascii="Times New Roman"/>
                <w:b/>
              </w:rPr>
              <w:t>EVALUATION</w:t>
            </w:r>
            <w:r>
              <w:rPr>
                <w:rFonts w:ascii="Times New Roman"/>
                <w:b/>
                <w:spacing w:val="-6"/>
              </w:rPr>
              <w:t xml:space="preserve"> </w:t>
            </w:r>
            <w:r>
              <w:rPr>
                <w:rFonts w:ascii="Times New Roman"/>
                <w:b/>
              </w:rPr>
              <w:t>CRITERIA</w:t>
            </w:r>
            <w:r>
              <w:rPr>
                <w:rFonts w:ascii="Times New Roman"/>
                <w:b/>
                <w:spacing w:val="-5"/>
              </w:rPr>
              <w:t xml:space="preserve"> </w:t>
            </w:r>
            <w:r>
              <w:rPr>
                <w:rFonts w:ascii="Times New Roman"/>
                <w:b/>
              </w:rPr>
              <w:t>/</w:t>
            </w:r>
            <w:r>
              <w:rPr>
                <w:rFonts w:ascii="Times New Roman"/>
                <w:b/>
                <w:spacing w:val="-5"/>
              </w:rPr>
              <w:t xml:space="preserve"> </w:t>
            </w:r>
            <w:r>
              <w:rPr>
                <w:rFonts w:ascii="Times New Roman"/>
                <w:b/>
              </w:rPr>
              <w:t>MANDATORY</w:t>
            </w:r>
            <w:r>
              <w:rPr>
                <w:rFonts w:ascii="Times New Roman"/>
                <w:b/>
                <w:spacing w:val="-6"/>
              </w:rPr>
              <w:t xml:space="preserve"> </w:t>
            </w:r>
            <w:r>
              <w:rPr>
                <w:rFonts w:ascii="Times New Roman"/>
                <w:b/>
              </w:rPr>
              <w:t>REQUIREMENTS</w:t>
            </w:r>
            <w:r>
              <w:rPr>
                <w:rFonts w:ascii="Times New Roman"/>
                <w:b/>
                <w:spacing w:val="-3"/>
              </w:rPr>
              <w:t xml:space="preserve"> </w:t>
            </w:r>
            <w:r>
              <w:rPr>
                <w:rFonts w:ascii="Times New Roman"/>
                <w:b/>
              </w:rPr>
              <w:t>FOR</w:t>
            </w:r>
            <w:r>
              <w:rPr>
                <w:rFonts w:ascii="Times New Roman"/>
                <w:b/>
                <w:spacing w:val="-5"/>
              </w:rPr>
              <w:t xml:space="preserve"> </w:t>
            </w:r>
            <w:r>
              <w:rPr>
                <w:rFonts w:ascii="Times New Roman"/>
                <w:b/>
              </w:rPr>
              <w:t xml:space="preserve">MAIN </w:t>
            </w:r>
            <w:r>
              <w:rPr>
                <w:rFonts w:ascii="Times New Roman"/>
                <w:b/>
                <w:spacing w:val="-2"/>
              </w:rPr>
              <w:t>CONTRACTOR</w:t>
            </w:r>
          </w:p>
        </w:tc>
      </w:tr>
      <w:tr w:rsidR="007F6DF9">
        <w:trPr>
          <w:trHeight w:val="254"/>
        </w:trPr>
        <w:tc>
          <w:tcPr>
            <w:tcW w:w="812" w:type="dxa"/>
          </w:tcPr>
          <w:p w:rsidR="007F6DF9" w:rsidRDefault="00A43FBC">
            <w:pPr>
              <w:pStyle w:val="TableParagraph"/>
              <w:spacing w:line="234" w:lineRule="exact"/>
              <w:ind w:left="107"/>
              <w:rPr>
                <w:rFonts w:ascii="Times New Roman"/>
              </w:rPr>
            </w:pPr>
            <w:r>
              <w:rPr>
                <w:rFonts w:ascii="Times New Roman"/>
                <w:spacing w:val="-5"/>
              </w:rPr>
              <w:t>MR1</w:t>
            </w:r>
          </w:p>
        </w:tc>
        <w:tc>
          <w:tcPr>
            <w:tcW w:w="10195" w:type="dxa"/>
          </w:tcPr>
          <w:p w:rsidR="007F6DF9" w:rsidRDefault="00A43FBC">
            <w:pPr>
              <w:pStyle w:val="TableParagraph"/>
              <w:spacing w:line="234" w:lineRule="exact"/>
              <w:ind w:left="105"/>
              <w:rPr>
                <w:rFonts w:ascii="Times New Roman"/>
              </w:rPr>
            </w:pPr>
            <w:r>
              <w:rPr>
                <w:rFonts w:ascii="Times New Roman"/>
              </w:rPr>
              <w:t>Dully</w:t>
            </w:r>
            <w:r>
              <w:rPr>
                <w:rFonts w:ascii="Times New Roman"/>
                <w:spacing w:val="-8"/>
              </w:rPr>
              <w:t xml:space="preserve"> </w:t>
            </w:r>
            <w:r>
              <w:rPr>
                <w:rFonts w:ascii="Times New Roman"/>
              </w:rPr>
              <w:t>filled</w:t>
            </w:r>
            <w:r>
              <w:rPr>
                <w:rFonts w:ascii="Times New Roman"/>
                <w:spacing w:val="-3"/>
              </w:rPr>
              <w:t xml:space="preserve"> </w:t>
            </w:r>
            <w:r>
              <w:rPr>
                <w:rFonts w:ascii="Times New Roman"/>
              </w:rPr>
              <w:t>and</w:t>
            </w:r>
            <w:r>
              <w:rPr>
                <w:rFonts w:ascii="Times New Roman"/>
                <w:spacing w:val="-2"/>
              </w:rPr>
              <w:t xml:space="preserve"> </w:t>
            </w:r>
            <w:r>
              <w:rPr>
                <w:rFonts w:ascii="Times New Roman"/>
              </w:rPr>
              <w:t>signed</w:t>
            </w:r>
            <w:r>
              <w:rPr>
                <w:rFonts w:ascii="Times New Roman"/>
                <w:spacing w:val="-5"/>
              </w:rPr>
              <w:t xml:space="preserve"> </w:t>
            </w:r>
            <w:r>
              <w:rPr>
                <w:rFonts w:ascii="Times New Roman"/>
              </w:rPr>
              <w:t>form</w:t>
            </w:r>
            <w:r>
              <w:rPr>
                <w:rFonts w:ascii="Times New Roman"/>
                <w:spacing w:val="-2"/>
              </w:rPr>
              <w:t xml:space="preserve"> </w:t>
            </w:r>
            <w:r>
              <w:rPr>
                <w:rFonts w:ascii="Times New Roman"/>
              </w:rPr>
              <w:t>of</w:t>
            </w:r>
            <w:r>
              <w:rPr>
                <w:rFonts w:ascii="Times New Roman"/>
                <w:spacing w:val="-4"/>
              </w:rPr>
              <w:t xml:space="preserve"> </w:t>
            </w:r>
            <w:r>
              <w:rPr>
                <w:rFonts w:ascii="Times New Roman"/>
              </w:rPr>
              <w:t>tender</w:t>
            </w:r>
            <w:r>
              <w:rPr>
                <w:rFonts w:ascii="Times New Roman"/>
                <w:spacing w:val="-2"/>
              </w:rPr>
              <w:t xml:space="preserve"> </w:t>
            </w:r>
            <w:r>
              <w:rPr>
                <w:rFonts w:ascii="Times New Roman"/>
              </w:rPr>
              <w:t>prepared</w:t>
            </w:r>
            <w:r>
              <w:rPr>
                <w:rFonts w:ascii="Times New Roman"/>
                <w:spacing w:val="-3"/>
              </w:rPr>
              <w:t xml:space="preserve"> </w:t>
            </w:r>
            <w:r>
              <w:rPr>
                <w:rFonts w:ascii="Times New Roman"/>
              </w:rPr>
              <w:t>in</w:t>
            </w:r>
            <w:r>
              <w:rPr>
                <w:rFonts w:ascii="Times New Roman"/>
                <w:spacing w:val="-2"/>
              </w:rPr>
              <w:t xml:space="preserve"> </w:t>
            </w:r>
            <w:r>
              <w:rPr>
                <w:rFonts w:ascii="Times New Roman"/>
              </w:rPr>
              <w:t>accordance</w:t>
            </w:r>
            <w:r>
              <w:rPr>
                <w:rFonts w:ascii="Times New Roman"/>
                <w:spacing w:val="-3"/>
              </w:rPr>
              <w:t xml:space="preserve"> </w:t>
            </w:r>
            <w:r>
              <w:rPr>
                <w:rFonts w:ascii="Times New Roman"/>
              </w:rPr>
              <w:t>with</w:t>
            </w:r>
            <w:r>
              <w:rPr>
                <w:rFonts w:ascii="Times New Roman"/>
                <w:spacing w:val="-3"/>
              </w:rPr>
              <w:t xml:space="preserve"> </w:t>
            </w:r>
            <w:r>
              <w:rPr>
                <w:rFonts w:ascii="Times New Roman"/>
              </w:rPr>
              <w:t>ITT</w:t>
            </w:r>
            <w:r>
              <w:rPr>
                <w:rFonts w:ascii="Times New Roman"/>
                <w:spacing w:val="-3"/>
              </w:rPr>
              <w:t xml:space="preserve"> </w:t>
            </w:r>
            <w:r>
              <w:rPr>
                <w:rFonts w:ascii="Times New Roman"/>
                <w:spacing w:val="-5"/>
              </w:rPr>
              <w:t>12</w:t>
            </w:r>
          </w:p>
        </w:tc>
      </w:tr>
      <w:tr w:rsidR="007F6DF9">
        <w:trPr>
          <w:trHeight w:val="544"/>
        </w:trPr>
        <w:tc>
          <w:tcPr>
            <w:tcW w:w="812" w:type="dxa"/>
          </w:tcPr>
          <w:p w:rsidR="007F6DF9" w:rsidRDefault="00A43FBC">
            <w:pPr>
              <w:pStyle w:val="TableParagraph"/>
              <w:spacing w:line="251" w:lineRule="exact"/>
              <w:ind w:left="107"/>
              <w:rPr>
                <w:rFonts w:ascii="Times New Roman"/>
              </w:rPr>
            </w:pPr>
            <w:r>
              <w:rPr>
                <w:rFonts w:ascii="Times New Roman"/>
                <w:spacing w:val="-5"/>
              </w:rPr>
              <w:t>MR2</w:t>
            </w:r>
          </w:p>
        </w:tc>
        <w:tc>
          <w:tcPr>
            <w:tcW w:w="10195" w:type="dxa"/>
          </w:tcPr>
          <w:p w:rsidR="007F6DF9" w:rsidRDefault="00A43FBC">
            <w:pPr>
              <w:pStyle w:val="TableParagraph"/>
              <w:spacing w:before="1"/>
              <w:ind w:left="105"/>
              <w:rPr>
                <w:rFonts w:ascii="Times New Roman"/>
              </w:rPr>
            </w:pPr>
            <w:r>
              <w:rPr>
                <w:rFonts w:ascii="Times New Roman"/>
              </w:rPr>
              <w:t>Provide</w:t>
            </w:r>
            <w:r>
              <w:rPr>
                <w:rFonts w:ascii="Times New Roman"/>
                <w:spacing w:val="-6"/>
              </w:rPr>
              <w:t xml:space="preserve"> </w:t>
            </w:r>
            <w:r>
              <w:rPr>
                <w:rFonts w:ascii="Times New Roman"/>
              </w:rPr>
              <w:t>proof</w:t>
            </w:r>
            <w:r>
              <w:rPr>
                <w:rFonts w:ascii="Times New Roman"/>
                <w:spacing w:val="-6"/>
              </w:rPr>
              <w:t xml:space="preserve"> </w:t>
            </w:r>
            <w:r>
              <w:rPr>
                <w:rFonts w:ascii="Times New Roman"/>
              </w:rPr>
              <w:t>of</w:t>
            </w:r>
            <w:r>
              <w:rPr>
                <w:rFonts w:ascii="Times New Roman"/>
                <w:spacing w:val="-5"/>
              </w:rPr>
              <w:t xml:space="preserve"> </w:t>
            </w:r>
            <w:r>
              <w:rPr>
                <w:rFonts w:ascii="Times New Roman"/>
              </w:rPr>
              <w:t>registration</w:t>
            </w:r>
            <w:r>
              <w:rPr>
                <w:rFonts w:ascii="Times New Roman"/>
                <w:spacing w:val="-4"/>
              </w:rPr>
              <w:t xml:space="preserve"> </w:t>
            </w:r>
            <w:r>
              <w:rPr>
                <w:rFonts w:ascii="Times New Roman"/>
              </w:rPr>
              <w:t>with</w:t>
            </w:r>
            <w:r>
              <w:rPr>
                <w:rFonts w:ascii="Times New Roman"/>
                <w:spacing w:val="-6"/>
              </w:rPr>
              <w:t xml:space="preserve"> </w:t>
            </w:r>
            <w:r>
              <w:rPr>
                <w:rFonts w:ascii="Times New Roman"/>
              </w:rPr>
              <w:t>the</w:t>
            </w:r>
            <w:r>
              <w:rPr>
                <w:rFonts w:ascii="Times New Roman"/>
                <w:spacing w:val="-4"/>
              </w:rPr>
              <w:t xml:space="preserve"> </w:t>
            </w:r>
            <w:r>
              <w:rPr>
                <w:rFonts w:ascii="Times New Roman"/>
              </w:rPr>
              <w:t>National</w:t>
            </w:r>
            <w:r>
              <w:rPr>
                <w:rFonts w:ascii="Times New Roman"/>
                <w:spacing w:val="-2"/>
              </w:rPr>
              <w:t xml:space="preserve"> </w:t>
            </w:r>
            <w:r>
              <w:rPr>
                <w:rFonts w:ascii="Times New Roman"/>
              </w:rPr>
              <w:t>Construction</w:t>
            </w:r>
            <w:r>
              <w:rPr>
                <w:rFonts w:ascii="Times New Roman"/>
                <w:spacing w:val="-4"/>
              </w:rPr>
              <w:t xml:space="preserve"> </w:t>
            </w:r>
            <w:r>
              <w:rPr>
                <w:rFonts w:ascii="Times New Roman"/>
              </w:rPr>
              <w:t>Authority</w:t>
            </w:r>
            <w:r>
              <w:rPr>
                <w:rFonts w:ascii="Times New Roman"/>
                <w:spacing w:val="-2"/>
              </w:rPr>
              <w:t xml:space="preserve"> </w:t>
            </w:r>
            <w:r>
              <w:rPr>
                <w:rFonts w:ascii="Times New Roman"/>
                <w:b/>
              </w:rPr>
              <w:t>(NCA)</w:t>
            </w:r>
            <w:r>
              <w:rPr>
                <w:rFonts w:ascii="Times New Roman"/>
                <w:b/>
                <w:spacing w:val="-3"/>
              </w:rPr>
              <w:t xml:space="preserve"> </w:t>
            </w:r>
            <w:r>
              <w:rPr>
                <w:rFonts w:ascii="Times New Roman"/>
                <w:b/>
              </w:rPr>
              <w:t>category</w:t>
            </w:r>
            <w:r>
              <w:rPr>
                <w:rFonts w:ascii="Times New Roman"/>
                <w:b/>
                <w:spacing w:val="-3"/>
              </w:rPr>
              <w:t xml:space="preserve"> </w:t>
            </w:r>
            <w:r>
              <w:rPr>
                <w:rFonts w:ascii="Times New Roman"/>
                <w:b/>
              </w:rPr>
              <w:t>7</w:t>
            </w:r>
            <w:r>
              <w:rPr>
                <w:rFonts w:ascii="Times New Roman"/>
                <w:b/>
                <w:spacing w:val="-6"/>
              </w:rPr>
              <w:t xml:space="preserve"> </w:t>
            </w:r>
            <w:r>
              <w:rPr>
                <w:rFonts w:ascii="Times New Roman"/>
                <w:b/>
              </w:rPr>
              <w:t>and</w:t>
            </w:r>
            <w:r>
              <w:rPr>
                <w:rFonts w:ascii="Times New Roman"/>
                <w:b/>
                <w:spacing w:val="-5"/>
              </w:rPr>
              <w:t xml:space="preserve"> </w:t>
            </w:r>
            <w:r>
              <w:rPr>
                <w:rFonts w:ascii="Times New Roman"/>
                <w:b/>
              </w:rPr>
              <w:t>above</w:t>
            </w:r>
            <w:r>
              <w:rPr>
                <w:rFonts w:ascii="Times New Roman"/>
                <w:b/>
                <w:spacing w:val="-3"/>
              </w:rPr>
              <w:t xml:space="preserve"> </w:t>
            </w:r>
            <w:r>
              <w:rPr>
                <w:rFonts w:ascii="Times New Roman"/>
                <w:spacing w:val="-2"/>
              </w:rPr>
              <w:t>under</w:t>
            </w:r>
          </w:p>
          <w:p w:rsidR="007F6DF9" w:rsidRDefault="00A43FBC">
            <w:pPr>
              <w:pStyle w:val="TableParagraph"/>
              <w:spacing w:before="18" w:line="252" w:lineRule="exact"/>
              <w:ind w:left="105"/>
              <w:rPr>
                <w:rFonts w:ascii="Times New Roman"/>
              </w:rPr>
            </w:pPr>
            <w:r>
              <w:rPr>
                <w:rFonts w:ascii="Times New Roman"/>
              </w:rPr>
              <w:t>builders</w:t>
            </w:r>
            <w:r>
              <w:rPr>
                <w:rFonts w:ascii="Times New Roman"/>
                <w:spacing w:val="-5"/>
              </w:rPr>
              <w:t xml:space="preserve"> </w:t>
            </w:r>
            <w:r>
              <w:rPr>
                <w:rFonts w:ascii="Times New Roman"/>
              </w:rPr>
              <w:t>works</w:t>
            </w:r>
            <w:r>
              <w:rPr>
                <w:rFonts w:ascii="Times New Roman"/>
                <w:spacing w:val="-5"/>
              </w:rPr>
              <w:t xml:space="preserve"> </w:t>
            </w:r>
            <w:r>
              <w:rPr>
                <w:rFonts w:ascii="Times New Roman"/>
              </w:rPr>
              <w:t>category</w:t>
            </w:r>
            <w:r>
              <w:rPr>
                <w:rFonts w:ascii="Times New Roman"/>
                <w:spacing w:val="-5"/>
              </w:rPr>
              <w:t xml:space="preserve"> </w:t>
            </w:r>
            <w:r>
              <w:rPr>
                <w:rFonts w:ascii="Times New Roman"/>
              </w:rPr>
              <w:t>with</w:t>
            </w:r>
            <w:r>
              <w:rPr>
                <w:rFonts w:ascii="Times New Roman"/>
                <w:spacing w:val="-5"/>
              </w:rPr>
              <w:t xml:space="preserve"> </w:t>
            </w:r>
            <w:r>
              <w:rPr>
                <w:rFonts w:ascii="Times New Roman"/>
              </w:rPr>
              <w:t>current</w:t>
            </w:r>
            <w:r>
              <w:rPr>
                <w:rFonts w:ascii="Times New Roman"/>
                <w:spacing w:val="-4"/>
              </w:rPr>
              <w:t xml:space="preserve"> </w:t>
            </w:r>
            <w:r>
              <w:rPr>
                <w:rFonts w:ascii="Times New Roman"/>
              </w:rPr>
              <w:t>annual</w:t>
            </w:r>
            <w:r>
              <w:rPr>
                <w:rFonts w:ascii="Times New Roman"/>
                <w:spacing w:val="-6"/>
              </w:rPr>
              <w:t xml:space="preserve"> </w:t>
            </w:r>
            <w:r>
              <w:rPr>
                <w:rFonts w:ascii="Times New Roman"/>
              </w:rPr>
              <w:t>contractors</w:t>
            </w:r>
            <w:r>
              <w:rPr>
                <w:rFonts w:ascii="Times New Roman"/>
                <w:spacing w:val="-5"/>
              </w:rPr>
              <w:t xml:space="preserve"> </w:t>
            </w:r>
            <w:r>
              <w:rPr>
                <w:rFonts w:ascii="Times New Roman"/>
              </w:rPr>
              <w:t>practicing</w:t>
            </w:r>
            <w:r>
              <w:rPr>
                <w:rFonts w:ascii="Times New Roman"/>
                <w:spacing w:val="-7"/>
              </w:rPr>
              <w:t xml:space="preserve"> </w:t>
            </w:r>
            <w:r>
              <w:rPr>
                <w:rFonts w:ascii="Times New Roman"/>
                <w:spacing w:val="-2"/>
              </w:rPr>
              <w:t>license</w:t>
            </w:r>
          </w:p>
        </w:tc>
      </w:tr>
      <w:tr w:rsidR="007F6DF9">
        <w:trPr>
          <w:trHeight w:val="821"/>
        </w:trPr>
        <w:tc>
          <w:tcPr>
            <w:tcW w:w="812" w:type="dxa"/>
          </w:tcPr>
          <w:p w:rsidR="007F6DF9" w:rsidRDefault="007F6DF9">
            <w:pPr>
              <w:pStyle w:val="TableParagraph"/>
              <w:spacing w:before="29"/>
              <w:rPr>
                <w:rFonts w:ascii="Times New Roman"/>
              </w:rPr>
            </w:pPr>
          </w:p>
          <w:p w:rsidR="007F6DF9" w:rsidRDefault="00A43FBC">
            <w:pPr>
              <w:pStyle w:val="TableParagraph"/>
              <w:ind w:left="107"/>
              <w:rPr>
                <w:rFonts w:ascii="Times New Roman"/>
              </w:rPr>
            </w:pPr>
            <w:r>
              <w:rPr>
                <w:rFonts w:ascii="Times New Roman"/>
                <w:spacing w:val="-5"/>
              </w:rPr>
              <w:t>MR3</w:t>
            </w:r>
          </w:p>
        </w:tc>
        <w:tc>
          <w:tcPr>
            <w:tcW w:w="10195" w:type="dxa"/>
          </w:tcPr>
          <w:p w:rsidR="007F6DF9" w:rsidRDefault="00A43FBC">
            <w:pPr>
              <w:pStyle w:val="TableParagraph"/>
              <w:spacing w:before="1" w:line="259" w:lineRule="auto"/>
              <w:ind w:left="105"/>
              <w:rPr>
                <w:rFonts w:ascii="Times New Roman"/>
              </w:rPr>
            </w:pPr>
            <w:r>
              <w:rPr>
                <w:rFonts w:ascii="Times New Roman"/>
              </w:rPr>
              <w:t>Must</w:t>
            </w:r>
            <w:r>
              <w:rPr>
                <w:rFonts w:ascii="Times New Roman"/>
                <w:spacing w:val="-2"/>
              </w:rPr>
              <w:t xml:space="preserve"> </w:t>
            </w:r>
            <w:r>
              <w:rPr>
                <w:rFonts w:ascii="Times New Roman"/>
              </w:rPr>
              <w:t>submit</w:t>
            </w:r>
            <w:r>
              <w:rPr>
                <w:rFonts w:ascii="Times New Roman"/>
                <w:spacing w:val="-2"/>
              </w:rPr>
              <w:t xml:space="preserve"> </w:t>
            </w:r>
            <w:r>
              <w:rPr>
                <w:rFonts w:ascii="Times New Roman"/>
                <w:b/>
              </w:rPr>
              <w:t>one</w:t>
            </w:r>
            <w:r>
              <w:rPr>
                <w:rFonts w:ascii="Times New Roman"/>
                <w:b/>
                <w:spacing w:val="-3"/>
              </w:rPr>
              <w:t xml:space="preserve"> </w:t>
            </w:r>
            <w:r>
              <w:rPr>
                <w:rFonts w:ascii="Times New Roman"/>
                <w:b/>
              </w:rPr>
              <w:t>original</w:t>
            </w:r>
            <w:r>
              <w:rPr>
                <w:rFonts w:ascii="Times New Roman"/>
                <w:b/>
                <w:spacing w:val="-2"/>
              </w:rPr>
              <w:t xml:space="preserve"> </w:t>
            </w:r>
            <w:r>
              <w:rPr>
                <w:rFonts w:ascii="Times New Roman"/>
              </w:rPr>
              <w:t>copy</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3"/>
              </w:rPr>
              <w:t xml:space="preserve"> </w:t>
            </w:r>
            <w:r>
              <w:rPr>
                <w:rFonts w:ascii="Times New Roman"/>
              </w:rPr>
              <w:t>Tender</w:t>
            </w:r>
            <w:r>
              <w:rPr>
                <w:rFonts w:ascii="Times New Roman"/>
                <w:spacing w:val="-3"/>
              </w:rPr>
              <w:t xml:space="preserve"> </w:t>
            </w:r>
            <w:r>
              <w:rPr>
                <w:rFonts w:ascii="Times New Roman"/>
              </w:rPr>
              <w:t>Document</w:t>
            </w:r>
            <w:r>
              <w:rPr>
                <w:rFonts w:ascii="Times New Roman"/>
                <w:spacing w:val="-2"/>
              </w:rPr>
              <w:t xml:space="preserve"> </w:t>
            </w:r>
            <w:r>
              <w:rPr>
                <w:rFonts w:ascii="Times New Roman"/>
              </w:rPr>
              <w:t>and</w:t>
            </w:r>
            <w:r>
              <w:rPr>
                <w:rFonts w:ascii="Times New Roman"/>
                <w:spacing w:val="-3"/>
              </w:rPr>
              <w:t xml:space="preserve"> </w:t>
            </w:r>
            <w:r>
              <w:rPr>
                <w:rFonts w:ascii="Times New Roman"/>
                <w:b/>
              </w:rPr>
              <w:t>one</w:t>
            </w:r>
            <w:r>
              <w:rPr>
                <w:rFonts w:ascii="Times New Roman"/>
                <w:b/>
                <w:spacing w:val="-3"/>
              </w:rPr>
              <w:t xml:space="preserve"> </w:t>
            </w:r>
            <w:r>
              <w:rPr>
                <w:rFonts w:ascii="Times New Roman"/>
                <w:b/>
              </w:rPr>
              <w:t>copy</w:t>
            </w:r>
            <w:r>
              <w:rPr>
                <w:rFonts w:ascii="Times New Roman"/>
              </w:rPr>
              <w:t>.</w:t>
            </w:r>
            <w:r>
              <w:rPr>
                <w:rFonts w:ascii="Times New Roman"/>
                <w:spacing w:val="-3"/>
              </w:rPr>
              <w:t xml:space="preserve"> </w:t>
            </w:r>
            <w:r>
              <w:rPr>
                <w:rFonts w:ascii="Times New Roman"/>
              </w:rPr>
              <w:t>Submission</w:t>
            </w:r>
            <w:r>
              <w:rPr>
                <w:rFonts w:ascii="Times New Roman"/>
                <w:spacing w:val="-3"/>
              </w:rPr>
              <w:t xml:space="preserve"> </w:t>
            </w:r>
            <w:r>
              <w:rPr>
                <w:rFonts w:ascii="Times New Roman"/>
              </w:rPr>
              <w:t>of</w:t>
            </w:r>
            <w:r>
              <w:rPr>
                <w:rFonts w:ascii="Times New Roman"/>
                <w:spacing w:val="-3"/>
              </w:rPr>
              <w:t xml:space="preserve"> </w:t>
            </w:r>
            <w:r>
              <w:rPr>
                <w:rFonts w:ascii="Times New Roman"/>
              </w:rPr>
              <w:t>Original</w:t>
            </w:r>
            <w:r>
              <w:rPr>
                <w:rFonts w:ascii="Times New Roman"/>
                <w:spacing w:val="-4"/>
              </w:rPr>
              <w:t xml:space="preserve"> </w:t>
            </w:r>
            <w:r>
              <w:rPr>
                <w:rFonts w:ascii="Times New Roman"/>
              </w:rPr>
              <w:t>and</w:t>
            </w:r>
            <w:r>
              <w:rPr>
                <w:rFonts w:ascii="Times New Roman"/>
                <w:spacing w:val="-3"/>
              </w:rPr>
              <w:t xml:space="preserve"> </w:t>
            </w:r>
            <w:r>
              <w:rPr>
                <w:rFonts w:ascii="Times New Roman"/>
              </w:rPr>
              <w:t>Copy</w:t>
            </w:r>
            <w:r>
              <w:rPr>
                <w:rFonts w:ascii="Times New Roman"/>
                <w:spacing w:val="-3"/>
              </w:rPr>
              <w:t xml:space="preserve"> </w:t>
            </w:r>
            <w:r>
              <w:rPr>
                <w:rFonts w:ascii="Times New Roman"/>
              </w:rPr>
              <w:t>(all Volumes) in</w:t>
            </w:r>
            <w:r>
              <w:rPr>
                <w:rFonts w:ascii="Times New Roman"/>
                <w:spacing w:val="-2"/>
              </w:rPr>
              <w:t xml:space="preserve"> </w:t>
            </w:r>
            <w:r>
              <w:rPr>
                <w:rFonts w:ascii="Times New Roman"/>
              </w:rPr>
              <w:t>the format required by</w:t>
            </w:r>
            <w:r>
              <w:rPr>
                <w:rFonts w:ascii="Times New Roman"/>
                <w:spacing w:val="-2"/>
              </w:rPr>
              <w:t xml:space="preserve"> </w:t>
            </w:r>
            <w:r>
              <w:rPr>
                <w:rFonts w:ascii="Times New Roman"/>
              </w:rPr>
              <w:t xml:space="preserve">the procuring entity and all the tender document (all volumes) </w:t>
            </w:r>
            <w:r>
              <w:rPr>
                <w:rFonts w:ascii="Times New Roman"/>
                <w:b/>
              </w:rPr>
              <w:t xml:space="preserve">MUST </w:t>
            </w:r>
            <w:r>
              <w:rPr>
                <w:rFonts w:ascii="Times New Roman"/>
              </w:rPr>
              <w:t>be</w:t>
            </w:r>
          </w:p>
          <w:p w:rsidR="007F6DF9" w:rsidRDefault="00A43FBC">
            <w:pPr>
              <w:pStyle w:val="TableParagraph"/>
              <w:spacing w:before="1" w:line="252" w:lineRule="exact"/>
              <w:ind w:left="105"/>
              <w:rPr>
                <w:rFonts w:ascii="Times New Roman" w:hAnsi="Times New Roman"/>
                <w:b/>
              </w:rPr>
            </w:pPr>
            <w:r>
              <w:rPr>
                <w:rFonts w:ascii="Times New Roman" w:hAnsi="Times New Roman"/>
                <w:b/>
              </w:rPr>
              <w:t>TAPE</w:t>
            </w:r>
            <w:r>
              <w:rPr>
                <w:rFonts w:ascii="Times New Roman" w:hAnsi="Times New Roman"/>
                <w:b/>
                <w:spacing w:val="-6"/>
              </w:rPr>
              <w:t xml:space="preserve"> </w:t>
            </w:r>
            <w:r>
              <w:rPr>
                <w:rFonts w:ascii="Times New Roman" w:hAnsi="Times New Roman"/>
                <w:b/>
              </w:rPr>
              <w:t>BOUND</w:t>
            </w:r>
            <w:r>
              <w:rPr>
                <w:rFonts w:ascii="Times New Roman" w:hAnsi="Times New Roman"/>
                <w:b/>
                <w:spacing w:val="-4"/>
              </w:rPr>
              <w:t xml:space="preserve"> </w:t>
            </w:r>
            <w:r>
              <w:rPr>
                <w:rFonts w:ascii="Times New Roman" w:hAnsi="Times New Roman"/>
                <w:b/>
              </w:rPr>
              <w:t>–</w:t>
            </w:r>
            <w:r>
              <w:rPr>
                <w:rFonts w:ascii="Times New Roman" w:hAnsi="Times New Roman"/>
                <w:b/>
                <w:spacing w:val="-4"/>
              </w:rPr>
              <w:t xml:space="preserve"> </w:t>
            </w:r>
            <w:r>
              <w:rPr>
                <w:rFonts w:ascii="Times New Roman" w:hAnsi="Times New Roman"/>
                <w:b/>
              </w:rPr>
              <w:t>Electronic</w:t>
            </w:r>
            <w:r>
              <w:rPr>
                <w:rFonts w:ascii="Times New Roman" w:hAnsi="Times New Roman"/>
                <w:b/>
                <w:spacing w:val="-2"/>
              </w:rPr>
              <w:t xml:space="preserve"> </w:t>
            </w:r>
            <w:r>
              <w:rPr>
                <w:rFonts w:ascii="Times New Roman" w:hAnsi="Times New Roman"/>
                <w:b/>
              </w:rPr>
              <w:t>submission</w:t>
            </w:r>
            <w:r>
              <w:rPr>
                <w:rFonts w:ascii="Times New Roman" w:hAnsi="Times New Roman"/>
                <w:b/>
                <w:spacing w:val="-6"/>
              </w:rPr>
              <w:t xml:space="preserve"> </w:t>
            </w:r>
            <w:r>
              <w:rPr>
                <w:rFonts w:ascii="Times New Roman" w:hAnsi="Times New Roman"/>
                <w:b/>
              </w:rPr>
              <w:t>will</w:t>
            </w:r>
            <w:r>
              <w:rPr>
                <w:rFonts w:ascii="Times New Roman" w:hAnsi="Times New Roman"/>
                <w:b/>
                <w:spacing w:val="-3"/>
              </w:rPr>
              <w:t xml:space="preserve"> </w:t>
            </w:r>
            <w:r>
              <w:rPr>
                <w:rFonts w:ascii="Times New Roman" w:hAnsi="Times New Roman"/>
                <w:b/>
              </w:rPr>
              <w:t>be</w:t>
            </w:r>
            <w:r>
              <w:rPr>
                <w:rFonts w:ascii="Times New Roman" w:hAnsi="Times New Roman"/>
                <w:b/>
                <w:spacing w:val="-3"/>
              </w:rPr>
              <w:t xml:space="preserve"> </w:t>
            </w:r>
            <w:r>
              <w:rPr>
                <w:rFonts w:ascii="Times New Roman" w:hAnsi="Times New Roman"/>
                <w:b/>
                <w:spacing w:val="-2"/>
              </w:rPr>
              <w:t>mandatory</w:t>
            </w:r>
          </w:p>
        </w:tc>
      </w:tr>
      <w:tr w:rsidR="007F6DF9">
        <w:trPr>
          <w:trHeight w:val="1010"/>
        </w:trPr>
        <w:tc>
          <w:tcPr>
            <w:tcW w:w="812" w:type="dxa"/>
          </w:tcPr>
          <w:p w:rsidR="007F6DF9" w:rsidRDefault="00A43FBC">
            <w:pPr>
              <w:pStyle w:val="TableParagraph"/>
              <w:spacing w:line="251" w:lineRule="exact"/>
              <w:ind w:left="107"/>
              <w:rPr>
                <w:rFonts w:ascii="Times New Roman"/>
              </w:rPr>
            </w:pPr>
            <w:r>
              <w:rPr>
                <w:rFonts w:ascii="Times New Roman"/>
                <w:spacing w:val="-5"/>
              </w:rPr>
              <w:t>MR4</w:t>
            </w:r>
          </w:p>
        </w:tc>
        <w:tc>
          <w:tcPr>
            <w:tcW w:w="10195" w:type="dxa"/>
          </w:tcPr>
          <w:p w:rsidR="007F6DF9" w:rsidRDefault="00A43FBC">
            <w:pPr>
              <w:pStyle w:val="TableParagraph"/>
              <w:ind w:left="105"/>
              <w:rPr>
                <w:rFonts w:ascii="Times New Roman"/>
              </w:rPr>
            </w:pPr>
            <w:r>
              <w:rPr>
                <w:rFonts w:ascii="Times New Roman"/>
              </w:rPr>
              <w:t>Properly</w:t>
            </w:r>
            <w:r>
              <w:rPr>
                <w:rFonts w:ascii="Times New Roman"/>
                <w:spacing w:val="-5"/>
              </w:rPr>
              <w:t xml:space="preserve"> </w:t>
            </w:r>
            <w:r>
              <w:rPr>
                <w:rFonts w:ascii="Times New Roman"/>
              </w:rPr>
              <w:t>bound,</w:t>
            </w:r>
            <w:r>
              <w:rPr>
                <w:rFonts w:ascii="Times New Roman"/>
                <w:spacing w:val="-5"/>
              </w:rPr>
              <w:t xml:space="preserve"> </w:t>
            </w:r>
            <w:r>
              <w:rPr>
                <w:rFonts w:ascii="Times New Roman"/>
              </w:rPr>
              <w:t>perfect</w:t>
            </w:r>
            <w:r>
              <w:rPr>
                <w:rFonts w:ascii="Times New Roman"/>
                <w:spacing w:val="-1"/>
              </w:rPr>
              <w:t xml:space="preserve"> </w:t>
            </w:r>
            <w:r>
              <w:rPr>
                <w:rFonts w:ascii="Times New Roman"/>
              </w:rPr>
              <w:t>cover,</w:t>
            </w:r>
            <w:r>
              <w:rPr>
                <w:rFonts w:ascii="Times New Roman"/>
                <w:spacing w:val="-2"/>
              </w:rPr>
              <w:t xml:space="preserve"> </w:t>
            </w:r>
            <w:r>
              <w:rPr>
                <w:rFonts w:ascii="Times New Roman"/>
              </w:rPr>
              <w:t>hard</w:t>
            </w:r>
            <w:r>
              <w:rPr>
                <w:rFonts w:ascii="Times New Roman"/>
                <w:spacing w:val="-2"/>
              </w:rPr>
              <w:t xml:space="preserve"> </w:t>
            </w:r>
            <w:r>
              <w:rPr>
                <w:rFonts w:ascii="Times New Roman"/>
              </w:rPr>
              <w:t>cover</w:t>
            </w:r>
            <w:r>
              <w:rPr>
                <w:rFonts w:ascii="Times New Roman"/>
                <w:spacing w:val="-2"/>
              </w:rPr>
              <w:t xml:space="preserve"> </w:t>
            </w:r>
            <w:r>
              <w:rPr>
                <w:rFonts w:ascii="Times New Roman"/>
              </w:rPr>
              <w:t>or</w:t>
            </w:r>
            <w:r>
              <w:rPr>
                <w:rFonts w:ascii="Times New Roman"/>
                <w:spacing w:val="-4"/>
              </w:rPr>
              <w:t xml:space="preserve"> </w:t>
            </w:r>
            <w:r>
              <w:rPr>
                <w:rFonts w:ascii="Times New Roman"/>
              </w:rPr>
              <w:t>case</w:t>
            </w:r>
            <w:r>
              <w:rPr>
                <w:rFonts w:ascii="Times New Roman"/>
                <w:spacing w:val="-2"/>
              </w:rPr>
              <w:t xml:space="preserve"> </w:t>
            </w:r>
            <w:r>
              <w:rPr>
                <w:rFonts w:ascii="Times New Roman"/>
              </w:rPr>
              <w:t>bound (documents</w:t>
            </w:r>
            <w:r>
              <w:rPr>
                <w:rFonts w:ascii="Times New Roman"/>
                <w:spacing w:val="-2"/>
              </w:rPr>
              <w:t xml:space="preserve"> </w:t>
            </w:r>
            <w:r>
              <w:rPr>
                <w:rFonts w:ascii="Times New Roman"/>
              </w:rPr>
              <w:t>submitted</w:t>
            </w:r>
            <w:r>
              <w:rPr>
                <w:rFonts w:ascii="Times New Roman"/>
                <w:spacing w:val="-4"/>
              </w:rPr>
              <w:t xml:space="preserve"> </w:t>
            </w:r>
            <w:r>
              <w:rPr>
                <w:rFonts w:ascii="Times New Roman"/>
              </w:rPr>
              <w:t>in</w:t>
            </w:r>
            <w:r>
              <w:rPr>
                <w:rFonts w:ascii="Times New Roman"/>
                <w:spacing w:val="-4"/>
              </w:rPr>
              <w:t xml:space="preserve"> </w:t>
            </w:r>
            <w:r>
              <w:rPr>
                <w:rFonts w:ascii="Times New Roman"/>
              </w:rPr>
              <w:t>loose</w:t>
            </w:r>
            <w:r>
              <w:rPr>
                <w:rFonts w:ascii="Times New Roman"/>
                <w:spacing w:val="-4"/>
              </w:rPr>
              <w:t xml:space="preserve"> </w:t>
            </w:r>
            <w:r>
              <w:rPr>
                <w:rFonts w:ascii="Times New Roman"/>
              </w:rPr>
              <w:t>or</w:t>
            </w:r>
            <w:r>
              <w:rPr>
                <w:rFonts w:ascii="Times New Roman"/>
                <w:spacing w:val="-3"/>
              </w:rPr>
              <w:t xml:space="preserve"> </w:t>
            </w:r>
            <w:r>
              <w:rPr>
                <w:rFonts w:ascii="Times New Roman"/>
              </w:rPr>
              <w:t>spiral</w:t>
            </w:r>
            <w:r>
              <w:rPr>
                <w:rFonts w:ascii="Times New Roman"/>
                <w:spacing w:val="-1"/>
              </w:rPr>
              <w:t xml:space="preserve"> </w:t>
            </w:r>
            <w:r>
              <w:rPr>
                <w:rFonts w:ascii="Times New Roman"/>
              </w:rPr>
              <w:t>binding</w:t>
            </w:r>
            <w:r>
              <w:rPr>
                <w:rFonts w:ascii="Times New Roman"/>
                <w:spacing w:val="-2"/>
              </w:rPr>
              <w:t xml:space="preserve"> </w:t>
            </w:r>
            <w:r>
              <w:rPr>
                <w:rFonts w:ascii="Times New Roman"/>
              </w:rPr>
              <w:t>will</w:t>
            </w:r>
            <w:r>
              <w:rPr>
                <w:rFonts w:ascii="Times New Roman"/>
                <w:spacing w:val="-4"/>
              </w:rPr>
              <w:t xml:space="preserve"> </w:t>
            </w:r>
            <w:r>
              <w:rPr>
                <w:rFonts w:ascii="Times New Roman"/>
              </w:rPr>
              <w:t xml:space="preserve">be automatically disqualified) paginated, </w:t>
            </w:r>
            <w:r>
              <w:rPr>
                <w:rFonts w:ascii="Times New Roman"/>
                <w:b/>
              </w:rPr>
              <w:t xml:space="preserve">serialized tender document </w:t>
            </w:r>
            <w:r>
              <w:rPr>
                <w:rFonts w:ascii="Times New Roman"/>
              </w:rPr>
              <w:t>(each page of the tender submission must</w:t>
            </w:r>
          </w:p>
          <w:p w:rsidR="007F6DF9" w:rsidRDefault="00A43FBC">
            <w:pPr>
              <w:pStyle w:val="TableParagraph"/>
              <w:spacing w:line="252" w:lineRule="exact"/>
              <w:ind w:left="105"/>
              <w:rPr>
                <w:rFonts w:ascii="Times New Roman" w:hAnsi="Times New Roman"/>
              </w:rPr>
            </w:pPr>
            <w:r>
              <w:rPr>
                <w:rFonts w:ascii="Times New Roman" w:hAnsi="Times New Roman"/>
              </w:rPr>
              <w:t>have a</w:t>
            </w:r>
            <w:r>
              <w:rPr>
                <w:rFonts w:ascii="Times New Roman" w:hAnsi="Times New Roman"/>
                <w:spacing w:val="-1"/>
              </w:rPr>
              <w:t xml:space="preserve"> </w:t>
            </w:r>
            <w:r>
              <w:rPr>
                <w:rFonts w:ascii="Times New Roman" w:hAnsi="Times New Roman"/>
              </w:rPr>
              <w:t>number</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the numbers</w:t>
            </w:r>
            <w:r>
              <w:rPr>
                <w:rFonts w:ascii="Times New Roman" w:hAnsi="Times New Roman"/>
                <w:spacing w:val="-1"/>
              </w:rPr>
              <w:t xml:space="preserve"> </w:t>
            </w:r>
            <w:r>
              <w:rPr>
                <w:rFonts w:ascii="Times New Roman" w:hAnsi="Times New Roman"/>
              </w:rPr>
              <w:t>must be in</w:t>
            </w:r>
            <w:r>
              <w:rPr>
                <w:rFonts w:ascii="Times New Roman" w:hAnsi="Times New Roman"/>
                <w:spacing w:val="-2"/>
              </w:rPr>
              <w:t xml:space="preserve"> </w:t>
            </w:r>
            <w:r>
              <w:rPr>
                <w:rFonts w:ascii="Times New Roman" w:hAnsi="Times New Roman"/>
              </w:rPr>
              <w:t xml:space="preserve">chronological order and not hand-written). </w:t>
            </w:r>
            <w:r>
              <w:rPr>
                <w:rFonts w:ascii="Times New Roman" w:hAnsi="Times New Roman"/>
                <w:b/>
              </w:rPr>
              <w:t>For pagination, Arabic Numerals</w:t>
            </w:r>
            <w:r>
              <w:rPr>
                <w:rFonts w:ascii="Times New Roman" w:hAnsi="Times New Roman"/>
                <w:b/>
                <w:spacing w:val="-2"/>
              </w:rPr>
              <w:t xml:space="preserve"> </w:t>
            </w:r>
            <w:r>
              <w:rPr>
                <w:rFonts w:ascii="Times New Roman" w:hAnsi="Times New Roman"/>
                <w:b/>
              </w:rPr>
              <w:t>shall</w:t>
            </w:r>
            <w:r>
              <w:rPr>
                <w:rFonts w:ascii="Times New Roman" w:hAnsi="Times New Roman"/>
                <w:b/>
                <w:spacing w:val="-1"/>
              </w:rPr>
              <w:t xml:space="preserve"> </w:t>
            </w:r>
            <w:r>
              <w:rPr>
                <w:rFonts w:ascii="Times New Roman" w:hAnsi="Times New Roman"/>
                <w:b/>
              </w:rPr>
              <w:t>be</w:t>
            </w:r>
            <w:r>
              <w:rPr>
                <w:rFonts w:ascii="Times New Roman" w:hAnsi="Times New Roman"/>
                <w:b/>
                <w:spacing w:val="-2"/>
              </w:rPr>
              <w:t xml:space="preserve"> </w:t>
            </w:r>
            <w:r>
              <w:rPr>
                <w:rFonts w:ascii="Times New Roman" w:hAnsi="Times New Roman"/>
                <w:b/>
              </w:rPr>
              <w:t>used,</w:t>
            </w:r>
            <w:r>
              <w:rPr>
                <w:rFonts w:ascii="Times New Roman" w:hAnsi="Times New Roman"/>
                <w:b/>
                <w:spacing w:val="-5"/>
              </w:rPr>
              <w:t xml:space="preserve"> </w:t>
            </w:r>
            <w:r>
              <w:rPr>
                <w:rFonts w:ascii="Times New Roman" w:hAnsi="Times New Roman"/>
                <w:b/>
              </w:rPr>
              <w:t>i.e.</w:t>
            </w:r>
            <w:r>
              <w:rPr>
                <w:rFonts w:ascii="Times New Roman" w:hAnsi="Times New Roman"/>
                <w:b/>
                <w:spacing w:val="-2"/>
              </w:rPr>
              <w:t xml:space="preserve"> </w:t>
            </w:r>
            <w:r>
              <w:rPr>
                <w:rFonts w:ascii="Times New Roman" w:hAnsi="Times New Roman"/>
                <w:b/>
              </w:rPr>
              <w:t>1,2,3,4,5,6,7,8,9,10…..n</w:t>
            </w:r>
            <w:r>
              <w:rPr>
                <w:rFonts w:ascii="Times New Roman" w:hAnsi="Times New Roman"/>
                <w:b/>
                <w:spacing w:val="-4"/>
              </w:rPr>
              <w:t xml:space="preserve"> </w:t>
            </w:r>
            <w:r>
              <w:rPr>
                <w:rFonts w:ascii="Times New Roman" w:hAnsi="Times New Roman"/>
              </w:rPr>
              <w:t>(</w:t>
            </w:r>
            <w:r>
              <w:rPr>
                <w:rFonts w:ascii="Times New Roman" w:hAnsi="Times New Roman"/>
                <w:spacing w:val="-2"/>
              </w:rPr>
              <w:t xml:space="preserve"> </w:t>
            </w:r>
            <w:r>
              <w:rPr>
                <w:rFonts w:ascii="Times New Roman" w:hAnsi="Times New Roman"/>
              </w:rPr>
              <w:t>n</w:t>
            </w:r>
            <w:r>
              <w:rPr>
                <w:rFonts w:ascii="Times New Roman" w:hAnsi="Times New Roman"/>
                <w:spacing w:val="-2"/>
              </w:rPr>
              <w:t xml:space="preserve"> </w:t>
            </w:r>
            <w:r>
              <w:rPr>
                <w:rFonts w:ascii="Times New Roman" w:hAnsi="Times New Roman"/>
              </w:rPr>
              <w:t>being</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last</w:t>
            </w:r>
            <w:r>
              <w:rPr>
                <w:rFonts w:ascii="Times New Roman" w:hAnsi="Times New Roman"/>
                <w:spacing w:val="-1"/>
              </w:rPr>
              <w:t xml:space="preserve"> </w:t>
            </w:r>
            <w:r>
              <w:rPr>
                <w:rFonts w:ascii="Times New Roman" w:hAnsi="Times New Roman"/>
              </w:rPr>
              <w:t>numerical</w:t>
            </w:r>
            <w:r>
              <w:rPr>
                <w:rFonts w:ascii="Times New Roman" w:hAnsi="Times New Roman"/>
                <w:spacing w:val="-4"/>
              </w:rPr>
              <w:t xml:space="preserve"> </w:t>
            </w:r>
            <w:r>
              <w:rPr>
                <w:rFonts w:ascii="Times New Roman" w:hAnsi="Times New Roman"/>
              </w:rPr>
              <w:t>page</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tender</w:t>
            </w:r>
            <w:r>
              <w:rPr>
                <w:rFonts w:ascii="Times New Roman" w:hAnsi="Times New Roman"/>
                <w:spacing w:val="-2"/>
              </w:rPr>
              <w:t xml:space="preserve"> </w:t>
            </w:r>
            <w:r>
              <w:rPr>
                <w:rFonts w:ascii="Times New Roman" w:hAnsi="Times New Roman"/>
              </w:rPr>
              <w:t>document)</w:t>
            </w:r>
          </w:p>
        </w:tc>
      </w:tr>
      <w:tr w:rsidR="007F6DF9">
        <w:trPr>
          <w:trHeight w:val="760"/>
        </w:trPr>
        <w:tc>
          <w:tcPr>
            <w:tcW w:w="812" w:type="dxa"/>
          </w:tcPr>
          <w:p w:rsidR="007F6DF9" w:rsidRDefault="00A43FBC">
            <w:pPr>
              <w:pStyle w:val="TableParagraph"/>
              <w:spacing w:before="1"/>
              <w:ind w:left="107"/>
              <w:rPr>
                <w:rFonts w:ascii="Times New Roman"/>
              </w:rPr>
            </w:pPr>
            <w:r>
              <w:rPr>
                <w:rFonts w:ascii="Times New Roman"/>
                <w:spacing w:val="-5"/>
              </w:rPr>
              <w:t>MR5</w:t>
            </w:r>
          </w:p>
        </w:tc>
        <w:tc>
          <w:tcPr>
            <w:tcW w:w="10195" w:type="dxa"/>
          </w:tcPr>
          <w:p w:rsidR="007F6DF9" w:rsidRDefault="00A43FBC">
            <w:pPr>
              <w:pStyle w:val="TableParagraph"/>
              <w:spacing w:line="252" w:lineRule="exact"/>
              <w:ind w:left="105" w:right="270"/>
              <w:jc w:val="both"/>
              <w:rPr>
                <w:rFonts w:ascii="Times New Roman"/>
              </w:rPr>
            </w:pPr>
            <w:r w:rsidRPr="00A931E2">
              <w:rPr>
                <w:rFonts w:ascii="Times New Roman"/>
                <w:sz w:val="20"/>
                <w:szCs w:val="20"/>
              </w:rPr>
              <w:t>Tender</w:t>
            </w:r>
            <w:r w:rsidRPr="00A931E2">
              <w:rPr>
                <w:rFonts w:ascii="Times New Roman"/>
                <w:spacing w:val="-1"/>
                <w:sz w:val="20"/>
                <w:szCs w:val="20"/>
              </w:rPr>
              <w:t xml:space="preserve"> </w:t>
            </w:r>
            <w:r w:rsidRPr="00A931E2">
              <w:rPr>
                <w:rFonts w:ascii="Times New Roman"/>
                <w:sz w:val="20"/>
                <w:szCs w:val="20"/>
              </w:rPr>
              <w:t>Security</w:t>
            </w:r>
            <w:r w:rsidRPr="00A931E2">
              <w:rPr>
                <w:rFonts w:ascii="Times New Roman"/>
                <w:spacing w:val="-2"/>
                <w:sz w:val="20"/>
                <w:szCs w:val="20"/>
              </w:rPr>
              <w:t xml:space="preserve"> </w:t>
            </w:r>
            <w:r w:rsidRPr="00A931E2">
              <w:rPr>
                <w:rFonts w:ascii="Times New Roman"/>
                <w:sz w:val="20"/>
                <w:szCs w:val="20"/>
              </w:rPr>
              <w:t>in accordance with ITT 19.1</w:t>
            </w:r>
            <w:r w:rsidRPr="00FC371B">
              <w:rPr>
                <w:rFonts w:ascii="Times New Roman"/>
                <w:sz w:val="20"/>
                <w:szCs w:val="20"/>
              </w:rPr>
              <w:t xml:space="preserve">; </w:t>
            </w:r>
            <w:r w:rsidR="00A931E2" w:rsidRPr="00FC371B">
              <w:rPr>
                <w:sz w:val="20"/>
                <w:szCs w:val="20"/>
              </w:rPr>
              <w:t>Tender</w:t>
            </w:r>
            <w:r w:rsidR="00A931E2" w:rsidRPr="00FC371B">
              <w:rPr>
                <w:spacing w:val="-1"/>
                <w:sz w:val="20"/>
                <w:szCs w:val="20"/>
              </w:rPr>
              <w:t xml:space="preserve"> </w:t>
            </w:r>
            <w:r w:rsidR="00A931E2" w:rsidRPr="00FC371B">
              <w:rPr>
                <w:spacing w:val="-2"/>
                <w:sz w:val="20"/>
                <w:szCs w:val="20"/>
              </w:rPr>
              <w:t xml:space="preserve">Security of </w:t>
            </w:r>
            <w:r w:rsidR="00A931E2" w:rsidRPr="00FC371B">
              <w:rPr>
                <w:sz w:val="20"/>
                <w:szCs w:val="20"/>
              </w:rPr>
              <w:t>shs.190,000</w:t>
            </w:r>
            <w:r w:rsidR="00A931E2" w:rsidRPr="00FC371B">
              <w:rPr>
                <w:spacing w:val="-5"/>
                <w:sz w:val="20"/>
                <w:szCs w:val="20"/>
              </w:rPr>
              <w:t xml:space="preserve"> </w:t>
            </w:r>
            <w:r w:rsidR="00A931E2" w:rsidRPr="00FC371B">
              <w:rPr>
                <w:sz w:val="20"/>
                <w:szCs w:val="20"/>
              </w:rPr>
              <w:t>of</w:t>
            </w:r>
            <w:r w:rsidR="00A931E2" w:rsidRPr="00FC371B">
              <w:rPr>
                <w:spacing w:val="-4"/>
                <w:sz w:val="20"/>
                <w:szCs w:val="20"/>
              </w:rPr>
              <w:t xml:space="preserve"> </w:t>
            </w:r>
            <w:r w:rsidR="00A931E2" w:rsidRPr="00FC371B">
              <w:rPr>
                <w:sz w:val="20"/>
                <w:szCs w:val="20"/>
              </w:rPr>
              <w:t>the</w:t>
            </w:r>
            <w:r w:rsidR="00A931E2" w:rsidRPr="00FC371B">
              <w:rPr>
                <w:spacing w:val="-5"/>
                <w:sz w:val="20"/>
                <w:szCs w:val="20"/>
              </w:rPr>
              <w:t xml:space="preserve"> </w:t>
            </w:r>
            <w:r w:rsidR="00A931E2" w:rsidRPr="00FC371B">
              <w:rPr>
                <w:sz w:val="20"/>
                <w:szCs w:val="20"/>
              </w:rPr>
              <w:t>quoted</w:t>
            </w:r>
            <w:r w:rsidR="00A931E2" w:rsidRPr="00FC371B">
              <w:rPr>
                <w:spacing w:val="-4"/>
                <w:sz w:val="20"/>
                <w:szCs w:val="20"/>
              </w:rPr>
              <w:t xml:space="preserve"> </w:t>
            </w:r>
            <w:r w:rsidR="00A931E2" w:rsidRPr="00FC371B">
              <w:rPr>
                <w:spacing w:val="-5"/>
                <w:sz w:val="20"/>
                <w:szCs w:val="20"/>
              </w:rPr>
              <w:t xml:space="preserve">sum in the form of </w:t>
            </w:r>
            <w:r w:rsidR="00FC371B" w:rsidRPr="00FC371B">
              <w:rPr>
                <w:spacing w:val="-5"/>
                <w:sz w:val="20"/>
                <w:szCs w:val="20"/>
              </w:rPr>
              <w:t>cash, Bank</w:t>
            </w:r>
            <w:r w:rsidR="00A931E2" w:rsidRPr="00FC371B">
              <w:rPr>
                <w:spacing w:val="-5"/>
                <w:sz w:val="20"/>
                <w:szCs w:val="20"/>
              </w:rPr>
              <w:t xml:space="preserve"> Guarantee, a Guarantee by an Insurance Company registered and Licensed by the Insurance Regulatory Authority listed by the Authority or a Guarantee issued by a Financial Institution approved and licensed by the Central Bank of Kenya.</w:t>
            </w:r>
          </w:p>
        </w:tc>
      </w:tr>
      <w:tr w:rsidR="007F6DF9">
        <w:trPr>
          <w:trHeight w:val="254"/>
        </w:trPr>
        <w:tc>
          <w:tcPr>
            <w:tcW w:w="812" w:type="dxa"/>
          </w:tcPr>
          <w:p w:rsidR="007F6DF9" w:rsidRDefault="00A43FBC">
            <w:pPr>
              <w:pStyle w:val="TableParagraph"/>
              <w:spacing w:line="234" w:lineRule="exact"/>
              <w:ind w:left="107"/>
              <w:rPr>
                <w:rFonts w:ascii="Times New Roman"/>
              </w:rPr>
            </w:pPr>
            <w:r>
              <w:rPr>
                <w:rFonts w:ascii="Times New Roman"/>
                <w:spacing w:val="-5"/>
              </w:rPr>
              <w:t>MR6</w:t>
            </w:r>
          </w:p>
        </w:tc>
        <w:tc>
          <w:tcPr>
            <w:tcW w:w="10195" w:type="dxa"/>
          </w:tcPr>
          <w:p w:rsidR="007F6DF9" w:rsidRDefault="00A43FBC">
            <w:pPr>
              <w:pStyle w:val="TableParagraph"/>
              <w:spacing w:before="1" w:line="233" w:lineRule="exact"/>
              <w:ind w:left="105"/>
              <w:rPr>
                <w:rFonts w:ascii="Times New Roman"/>
                <w:b/>
              </w:rPr>
            </w:pPr>
            <w:r>
              <w:rPr>
                <w:rFonts w:ascii="Times New Roman"/>
              </w:rPr>
              <w:t>Provide</w:t>
            </w:r>
            <w:r>
              <w:rPr>
                <w:rFonts w:ascii="Times New Roman"/>
                <w:spacing w:val="-3"/>
              </w:rPr>
              <w:t xml:space="preserve"> </w:t>
            </w:r>
            <w:r>
              <w:rPr>
                <w:rFonts w:ascii="Times New Roman"/>
              </w:rPr>
              <w:t>proof</w:t>
            </w:r>
            <w:r>
              <w:rPr>
                <w:rFonts w:ascii="Times New Roman"/>
                <w:spacing w:val="-5"/>
              </w:rPr>
              <w:t xml:space="preserve"> </w:t>
            </w:r>
            <w:r>
              <w:rPr>
                <w:rFonts w:ascii="Times New Roman"/>
              </w:rPr>
              <w:t>of</w:t>
            </w:r>
            <w:r>
              <w:rPr>
                <w:rFonts w:ascii="Times New Roman"/>
                <w:spacing w:val="-3"/>
              </w:rPr>
              <w:t xml:space="preserve"> </w:t>
            </w:r>
            <w:r>
              <w:rPr>
                <w:rFonts w:ascii="Times New Roman"/>
              </w:rPr>
              <w:t>power</w:t>
            </w:r>
            <w:r>
              <w:rPr>
                <w:rFonts w:ascii="Times New Roman"/>
                <w:spacing w:val="-2"/>
              </w:rPr>
              <w:t xml:space="preserve"> </w:t>
            </w:r>
            <w:r>
              <w:rPr>
                <w:rFonts w:ascii="Times New Roman"/>
              </w:rPr>
              <w:t>of</w:t>
            </w:r>
            <w:r>
              <w:rPr>
                <w:rFonts w:ascii="Times New Roman"/>
                <w:spacing w:val="-1"/>
              </w:rPr>
              <w:t xml:space="preserve"> </w:t>
            </w:r>
            <w:r>
              <w:rPr>
                <w:rFonts w:ascii="Times New Roman"/>
              </w:rPr>
              <w:t>attorney</w:t>
            </w:r>
            <w:r>
              <w:rPr>
                <w:rFonts w:ascii="Times New Roman"/>
                <w:spacing w:val="-4"/>
              </w:rPr>
              <w:t xml:space="preserve"> </w:t>
            </w:r>
            <w:r>
              <w:rPr>
                <w:rFonts w:ascii="Times New Roman"/>
                <w:b/>
              </w:rPr>
              <w:t>(of</w:t>
            </w:r>
            <w:r>
              <w:rPr>
                <w:rFonts w:ascii="Times New Roman"/>
                <w:b/>
                <w:spacing w:val="-3"/>
              </w:rPr>
              <w:t xml:space="preserve"> </w:t>
            </w:r>
            <w:r>
              <w:rPr>
                <w:rFonts w:ascii="Times New Roman"/>
                <w:b/>
              </w:rPr>
              <w:t>tender</w:t>
            </w:r>
            <w:r>
              <w:rPr>
                <w:rFonts w:ascii="Times New Roman"/>
                <w:b/>
                <w:spacing w:val="-3"/>
              </w:rPr>
              <w:t xml:space="preserve"> </w:t>
            </w:r>
            <w:r>
              <w:rPr>
                <w:rFonts w:ascii="Times New Roman"/>
                <w:b/>
              </w:rPr>
              <w:t>signatory</w:t>
            </w:r>
            <w:r>
              <w:rPr>
                <w:rFonts w:ascii="Times New Roman"/>
                <w:b/>
                <w:spacing w:val="-3"/>
              </w:rPr>
              <w:t xml:space="preserve"> </w:t>
            </w:r>
            <w:r>
              <w:rPr>
                <w:rFonts w:ascii="Times New Roman"/>
                <w:b/>
              </w:rPr>
              <w:t>if</w:t>
            </w:r>
            <w:r>
              <w:rPr>
                <w:rFonts w:ascii="Times New Roman"/>
                <w:b/>
                <w:spacing w:val="-3"/>
              </w:rPr>
              <w:t xml:space="preserve"> </w:t>
            </w:r>
            <w:r>
              <w:rPr>
                <w:rFonts w:ascii="Times New Roman"/>
                <w:b/>
              </w:rPr>
              <w:t>not</w:t>
            </w:r>
            <w:r>
              <w:rPr>
                <w:rFonts w:ascii="Times New Roman"/>
                <w:b/>
                <w:spacing w:val="-3"/>
              </w:rPr>
              <w:t xml:space="preserve"> </w:t>
            </w:r>
            <w:r>
              <w:rPr>
                <w:rFonts w:ascii="Times New Roman"/>
                <w:b/>
              </w:rPr>
              <w:t>director</w:t>
            </w:r>
            <w:r>
              <w:rPr>
                <w:rFonts w:ascii="Times New Roman"/>
                <w:b/>
                <w:spacing w:val="-4"/>
              </w:rPr>
              <w:t xml:space="preserve"> </w:t>
            </w:r>
            <w:r>
              <w:rPr>
                <w:rFonts w:ascii="Times New Roman"/>
                <w:b/>
              </w:rPr>
              <w:t>of</w:t>
            </w:r>
            <w:r>
              <w:rPr>
                <w:rFonts w:ascii="Times New Roman"/>
                <w:b/>
                <w:spacing w:val="-5"/>
              </w:rPr>
              <w:t xml:space="preserve"> </w:t>
            </w:r>
            <w:r>
              <w:rPr>
                <w:rFonts w:ascii="Times New Roman"/>
                <w:b/>
              </w:rPr>
              <w:t>the company/</w:t>
            </w:r>
            <w:r>
              <w:rPr>
                <w:rFonts w:ascii="Times New Roman"/>
                <w:b/>
                <w:spacing w:val="-2"/>
              </w:rPr>
              <w:t xml:space="preserve"> </w:t>
            </w:r>
            <w:r>
              <w:rPr>
                <w:rFonts w:ascii="Times New Roman"/>
                <w:b/>
              </w:rPr>
              <w:t>partner,</w:t>
            </w:r>
            <w:r>
              <w:rPr>
                <w:rFonts w:ascii="Times New Roman"/>
                <w:b/>
                <w:spacing w:val="-5"/>
              </w:rPr>
              <w:t xml:space="preserve"> </w:t>
            </w:r>
            <w:r>
              <w:rPr>
                <w:rFonts w:ascii="Times New Roman"/>
                <w:b/>
              </w:rPr>
              <w:t>signed</w:t>
            </w:r>
            <w:r>
              <w:rPr>
                <w:rFonts w:ascii="Times New Roman"/>
                <w:b/>
                <w:spacing w:val="51"/>
              </w:rPr>
              <w:t xml:space="preserve"> </w:t>
            </w:r>
            <w:r>
              <w:rPr>
                <w:rFonts w:ascii="Times New Roman"/>
                <w:b/>
                <w:spacing w:val="-10"/>
              </w:rPr>
              <w:t>)</w:t>
            </w:r>
          </w:p>
        </w:tc>
      </w:tr>
      <w:tr w:rsidR="007F6DF9">
        <w:trPr>
          <w:trHeight w:val="256"/>
        </w:trPr>
        <w:tc>
          <w:tcPr>
            <w:tcW w:w="812" w:type="dxa"/>
          </w:tcPr>
          <w:p w:rsidR="007F6DF9" w:rsidRDefault="00A43FBC">
            <w:pPr>
              <w:pStyle w:val="TableParagraph"/>
              <w:spacing w:line="236" w:lineRule="exact"/>
              <w:ind w:left="107"/>
              <w:rPr>
                <w:rFonts w:ascii="Times New Roman"/>
              </w:rPr>
            </w:pPr>
            <w:r>
              <w:rPr>
                <w:rFonts w:ascii="Times New Roman"/>
                <w:spacing w:val="-5"/>
              </w:rPr>
              <w:t>MR7</w:t>
            </w:r>
          </w:p>
        </w:tc>
        <w:tc>
          <w:tcPr>
            <w:tcW w:w="10195" w:type="dxa"/>
          </w:tcPr>
          <w:p w:rsidR="007F6DF9" w:rsidRDefault="00A43FBC">
            <w:pPr>
              <w:pStyle w:val="TableParagraph"/>
              <w:spacing w:before="1" w:line="236" w:lineRule="exact"/>
              <w:ind w:left="105"/>
              <w:rPr>
                <w:rFonts w:ascii="Times New Roman"/>
              </w:rPr>
            </w:pPr>
            <w:r>
              <w:rPr>
                <w:rFonts w:ascii="Times New Roman"/>
              </w:rPr>
              <w:t>Valid</w:t>
            </w:r>
            <w:r>
              <w:rPr>
                <w:rFonts w:ascii="Times New Roman"/>
                <w:spacing w:val="-5"/>
              </w:rPr>
              <w:t xml:space="preserve"> </w:t>
            </w:r>
            <w:r>
              <w:rPr>
                <w:rFonts w:ascii="Times New Roman"/>
              </w:rPr>
              <w:t>Copy</w:t>
            </w:r>
            <w:r>
              <w:rPr>
                <w:rFonts w:ascii="Times New Roman"/>
                <w:spacing w:val="-4"/>
              </w:rPr>
              <w:t xml:space="preserve"> </w:t>
            </w:r>
            <w:r>
              <w:rPr>
                <w:rFonts w:ascii="Times New Roman"/>
              </w:rPr>
              <w:t>of</w:t>
            </w:r>
            <w:r>
              <w:rPr>
                <w:rFonts w:ascii="Times New Roman"/>
                <w:spacing w:val="-5"/>
              </w:rPr>
              <w:t xml:space="preserve"> </w:t>
            </w:r>
            <w:r>
              <w:rPr>
                <w:rFonts w:ascii="Times New Roman"/>
              </w:rPr>
              <w:t>Certificate</w:t>
            </w:r>
            <w:r>
              <w:rPr>
                <w:rFonts w:ascii="Times New Roman"/>
                <w:spacing w:val="-4"/>
              </w:rPr>
              <w:t xml:space="preserve"> </w:t>
            </w:r>
            <w:r>
              <w:rPr>
                <w:rFonts w:ascii="Times New Roman"/>
              </w:rPr>
              <w:t>of</w:t>
            </w:r>
            <w:r>
              <w:rPr>
                <w:rFonts w:ascii="Times New Roman"/>
                <w:spacing w:val="-2"/>
              </w:rPr>
              <w:t xml:space="preserve"> </w:t>
            </w:r>
            <w:r>
              <w:rPr>
                <w:rFonts w:ascii="Times New Roman"/>
              </w:rPr>
              <w:t>Incorporation/</w:t>
            </w:r>
            <w:r>
              <w:rPr>
                <w:rFonts w:ascii="Times New Roman"/>
                <w:spacing w:val="-3"/>
              </w:rPr>
              <w:t xml:space="preserve"> </w:t>
            </w:r>
            <w:r>
              <w:rPr>
                <w:rFonts w:ascii="Times New Roman"/>
                <w:spacing w:val="-2"/>
              </w:rPr>
              <w:t>Registration.</w:t>
            </w:r>
          </w:p>
        </w:tc>
      </w:tr>
      <w:tr w:rsidR="007F6DF9">
        <w:trPr>
          <w:trHeight w:val="311"/>
        </w:trPr>
        <w:tc>
          <w:tcPr>
            <w:tcW w:w="812" w:type="dxa"/>
          </w:tcPr>
          <w:p w:rsidR="007F6DF9" w:rsidRDefault="00A43FBC">
            <w:pPr>
              <w:pStyle w:val="TableParagraph"/>
              <w:spacing w:line="251" w:lineRule="exact"/>
              <w:ind w:left="107"/>
              <w:rPr>
                <w:rFonts w:ascii="Times New Roman"/>
              </w:rPr>
            </w:pPr>
            <w:r>
              <w:rPr>
                <w:rFonts w:ascii="Times New Roman"/>
                <w:spacing w:val="-5"/>
              </w:rPr>
              <w:t>MR8</w:t>
            </w:r>
          </w:p>
        </w:tc>
        <w:tc>
          <w:tcPr>
            <w:tcW w:w="10195" w:type="dxa"/>
          </w:tcPr>
          <w:p w:rsidR="007F6DF9" w:rsidRDefault="00A43FBC">
            <w:pPr>
              <w:pStyle w:val="TableParagraph"/>
              <w:spacing w:line="251" w:lineRule="exact"/>
              <w:ind w:left="105"/>
              <w:rPr>
                <w:rFonts w:ascii="Times New Roman"/>
              </w:rPr>
            </w:pPr>
            <w:r>
              <w:rPr>
                <w:rFonts w:ascii="Times New Roman"/>
              </w:rPr>
              <w:t>Valid</w:t>
            </w:r>
            <w:r>
              <w:rPr>
                <w:rFonts w:ascii="Times New Roman"/>
                <w:spacing w:val="-5"/>
              </w:rPr>
              <w:t xml:space="preserve"> </w:t>
            </w:r>
            <w:r>
              <w:rPr>
                <w:rFonts w:ascii="Times New Roman"/>
              </w:rPr>
              <w:t>Current</w:t>
            </w:r>
            <w:r>
              <w:rPr>
                <w:rFonts w:ascii="Times New Roman"/>
                <w:spacing w:val="-3"/>
              </w:rPr>
              <w:t xml:space="preserve"> </w:t>
            </w:r>
            <w:r>
              <w:rPr>
                <w:rFonts w:ascii="Times New Roman"/>
              </w:rPr>
              <w:t>Tax</w:t>
            </w:r>
            <w:r>
              <w:rPr>
                <w:rFonts w:ascii="Times New Roman"/>
                <w:spacing w:val="-4"/>
              </w:rPr>
              <w:t xml:space="preserve"> </w:t>
            </w:r>
            <w:r>
              <w:rPr>
                <w:rFonts w:ascii="Times New Roman"/>
              </w:rPr>
              <w:t>Compliance</w:t>
            </w:r>
            <w:r>
              <w:rPr>
                <w:rFonts w:ascii="Times New Roman"/>
                <w:spacing w:val="-4"/>
              </w:rPr>
              <w:t xml:space="preserve"> </w:t>
            </w:r>
            <w:r>
              <w:rPr>
                <w:rFonts w:ascii="Times New Roman"/>
                <w:spacing w:val="-2"/>
              </w:rPr>
              <w:t>Certificate</w:t>
            </w:r>
            <w:r w:rsidR="00A931E2">
              <w:rPr>
                <w:rFonts w:ascii="Times New Roman"/>
                <w:spacing w:val="-2"/>
              </w:rPr>
              <w:t xml:space="preserve"> subject to KRA TCC Checker</w:t>
            </w:r>
          </w:p>
        </w:tc>
      </w:tr>
      <w:tr w:rsidR="007F6DF9">
        <w:trPr>
          <w:trHeight w:val="256"/>
        </w:trPr>
        <w:tc>
          <w:tcPr>
            <w:tcW w:w="812" w:type="dxa"/>
          </w:tcPr>
          <w:p w:rsidR="007F6DF9" w:rsidRDefault="00A43FBC">
            <w:pPr>
              <w:pStyle w:val="TableParagraph"/>
              <w:spacing w:line="237" w:lineRule="exact"/>
              <w:ind w:left="107"/>
              <w:rPr>
                <w:rFonts w:ascii="Times New Roman"/>
              </w:rPr>
            </w:pPr>
            <w:r>
              <w:rPr>
                <w:rFonts w:ascii="Times New Roman"/>
                <w:spacing w:val="-5"/>
              </w:rPr>
              <w:t>MR9</w:t>
            </w:r>
          </w:p>
        </w:tc>
        <w:tc>
          <w:tcPr>
            <w:tcW w:w="10195" w:type="dxa"/>
          </w:tcPr>
          <w:p w:rsidR="007F6DF9" w:rsidRDefault="00A43FBC">
            <w:pPr>
              <w:pStyle w:val="TableParagraph"/>
              <w:spacing w:before="1" w:line="236" w:lineRule="exact"/>
              <w:ind w:left="105"/>
              <w:rPr>
                <w:rFonts w:ascii="Times New Roman"/>
              </w:rPr>
            </w:pPr>
            <w:r>
              <w:rPr>
                <w:rFonts w:ascii="Times New Roman"/>
              </w:rPr>
              <w:t>Dully</w:t>
            </w:r>
            <w:r>
              <w:rPr>
                <w:rFonts w:ascii="Times New Roman"/>
                <w:spacing w:val="-10"/>
              </w:rPr>
              <w:t xml:space="preserve"> </w:t>
            </w:r>
            <w:r>
              <w:rPr>
                <w:rFonts w:ascii="Times New Roman"/>
              </w:rPr>
              <w:t>filled,</w:t>
            </w:r>
            <w:r>
              <w:rPr>
                <w:rFonts w:ascii="Times New Roman"/>
                <w:spacing w:val="-4"/>
              </w:rPr>
              <w:t xml:space="preserve"> </w:t>
            </w:r>
            <w:r>
              <w:rPr>
                <w:rFonts w:ascii="Times New Roman"/>
              </w:rPr>
              <w:t>signed</w:t>
            </w:r>
            <w:r>
              <w:rPr>
                <w:rFonts w:ascii="Times New Roman"/>
                <w:spacing w:val="-4"/>
              </w:rPr>
              <w:t xml:space="preserve"> </w:t>
            </w:r>
            <w:r>
              <w:rPr>
                <w:rFonts w:ascii="Times New Roman"/>
              </w:rPr>
              <w:t>and</w:t>
            </w:r>
            <w:r>
              <w:rPr>
                <w:rFonts w:ascii="Times New Roman"/>
                <w:spacing w:val="-6"/>
              </w:rPr>
              <w:t xml:space="preserve"> </w:t>
            </w:r>
            <w:r>
              <w:rPr>
                <w:rFonts w:ascii="Times New Roman"/>
              </w:rPr>
              <w:t>stamped</w:t>
            </w:r>
            <w:r>
              <w:rPr>
                <w:rFonts w:ascii="Times New Roman"/>
                <w:spacing w:val="-4"/>
              </w:rPr>
              <w:t xml:space="preserve"> </w:t>
            </w:r>
            <w:r>
              <w:rPr>
                <w:rFonts w:ascii="Times New Roman"/>
              </w:rPr>
              <w:t>Confidential</w:t>
            </w:r>
            <w:r>
              <w:rPr>
                <w:rFonts w:ascii="Times New Roman"/>
                <w:spacing w:val="-2"/>
              </w:rPr>
              <w:t xml:space="preserve"> </w:t>
            </w:r>
            <w:r>
              <w:rPr>
                <w:rFonts w:ascii="Times New Roman"/>
              </w:rPr>
              <w:t>Business</w:t>
            </w:r>
            <w:r>
              <w:rPr>
                <w:rFonts w:ascii="Times New Roman"/>
                <w:spacing w:val="-3"/>
              </w:rPr>
              <w:t xml:space="preserve"> </w:t>
            </w:r>
            <w:r>
              <w:rPr>
                <w:rFonts w:ascii="Times New Roman"/>
                <w:spacing w:val="-2"/>
              </w:rPr>
              <w:t>Questionnaire</w:t>
            </w:r>
          </w:p>
        </w:tc>
      </w:tr>
      <w:tr w:rsidR="007F6DF9">
        <w:trPr>
          <w:trHeight w:val="253"/>
        </w:trPr>
        <w:tc>
          <w:tcPr>
            <w:tcW w:w="812" w:type="dxa"/>
          </w:tcPr>
          <w:p w:rsidR="007F6DF9" w:rsidRDefault="00A43FBC">
            <w:pPr>
              <w:pStyle w:val="TableParagraph"/>
              <w:spacing w:line="234" w:lineRule="exact"/>
              <w:ind w:left="107"/>
              <w:rPr>
                <w:rFonts w:ascii="Times New Roman"/>
              </w:rPr>
            </w:pPr>
            <w:r>
              <w:rPr>
                <w:rFonts w:ascii="Times New Roman"/>
                <w:spacing w:val="-4"/>
              </w:rPr>
              <w:t>MR10</w:t>
            </w:r>
          </w:p>
        </w:tc>
        <w:tc>
          <w:tcPr>
            <w:tcW w:w="10195" w:type="dxa"/>
          </w:tcPr>
          <w:p w:rsidR="007F6DF9" w:rsidRDefault="00A43FBC">
            <w:pPr>
              <w:pStyle w:val="TableParagraph"/>
              <w:spacing w:before="1" w:line="233" w:lineRule="exact"/>
              <w:ind w:left="105"/>
              <w:rPr>
                <w:rFonts w:ascii="Times New Roman"/>
              </w:rPr>
            </w:pPr>
            <w:r>
              <w:rPr>
                <w:rFonts w:ascii="Times New Roman"/>
              </w:rPr>
              <w:t>Valid</w:t>
            </w:r>
            <w:r>
              <w:rPr>
                <w:rFonts w:ascii="Times New Roman"/>
                <w:spacing w:val="-3"/>
              </w:rPr>
              <w:t xml:space="preserve"> </w:t>
            </w:r>
            <w:r>
              <w:rPr>
                <w:rFonts w:ascii="Times New Roman"/>
              </w:rPr>
              <w:t>Copy</w:t>
            </w:r>
            <w:r>
              <w:rPr>
                <w:rFonts w:ascii="Times New Roman"/>
                <w:spacing w:val="-3"/>
              </w:rPr>
              <w:t xml:space="preserve"> </w:t>
            </w:r>
            <w:r>
              <w:rPr>
                <w:rFonts w:ascii="Times New Roman"/>
              </w:rPr>
              <w:t>of</w:t>
            </w:r>
            <w:r>
              <w:rPr>
                <w:rFonts w:ascii="Times New Roman"/>
                <w:spacing w:val="-4"/>
              </w:rPr>
              <w:t xml:space="preserve"> </w:t>
            </w:r>
            <w:r>
              <w:rPr>
                <w:rFonts w:ascii="Times New Roman"/>
              </w:rPr>
              <w:t>Current</w:t>
            </w:r>
            <w:r>
              <w:rPr>
                <w:rFonts w:ascii="Times New Roman"/>
                <w:spacing w:val="-2"/>
              </w:rPr>
              <w:t xml:space="preserve"> </w:t>
            </w:r>
            <w:r>
              <w:rPr>
                <w:rFonts w:ascii="Times New Roman"/>
              </w:rPr>
              <w:t>Single Business</w:t>
            </w:r>
            <w:r>
              <w:rPr>
                <w:rFonts w:ascii="Times New Roman"/>
                <w:spacing w:val="-2"/>
              </w:rPr>
              <w:t xml:space="preserve"> </w:t>
            </w:r>
            <w:r>
              <w:rPr>
                <w:rFonts w:ascii="Times New Roman"/>
              </w:rPr>
              <w:t>permit</w:t>
            </w:r>
            <w:r>
              <w:rPr>
                <w:rFonts w:ascii="Times New Roman"/>
                <w:spacing w:val="-1"/>
              </w:rPr>
              <w:t xml:space="preserve"> </w:t>
            </w:r>
            <w:r>
              <w:rPr>
                <w:rFonts w:ascii="Times New Roman"/>
              </w:rPr>
              <w:t>(for</w:t>
            </w:r>
            <w:r>
              <w:rPr>
                <w:rFonts w:ascii="Times New Roman"/>
                <w:spacing w:val="-5"/>
              </w:rPr>
              <w:t xml:space="preserve"> </w:t>
            </w:r>
            <w:r>
              <w:rPr>
                <w:rFonts w:ascii="Times New Roman"/>
              </w:rPr>
              <w:t>the</w:t>
            </w:r>
            <w:r>
              <w:rPr>
                <w:rFonts w:ascii="Times New Roman"/>
                <w:spacing w:val="-7"/>
              </w:rPr>
              <w:t xml:space="preserve"> </w:t>
            </w:r>
            <w:r>
              <w:rPr>
                <w:rFonts w:ascii="Times New Roman"/>
              </w:rPr>
              <w:t>year</w:t>
            </w:r>
            <w:r>
              <w:rPr>
                <w:rFonts w:ascii="Times New Roman"/>
                <w:spacing w:val="-4"/>
              </w:rPr>
              <w:t xml:space="preserve"> </w:t>
            </w:r>
            <w:r w:rsidR="00A931E2">
              <w:rPr>
                <w:rFonts w:ascii="Times New Roman"/>
                <w:spacing w:val="-2"/>
              </w:rPr>
              <w:t>2026</w:t>
            </w:r>
            <w:r>
              <w:rPr>
                <w:rFonts w:ascii="Times New Roman"/>
                <w:spacing w:val="-2"/>
              </w:rPr>
              <w:t>)</w:t>
            </w:r>
          </w:p>
        </w:tc>
      </w:tr>
      <w:tr w:rsidR="007F6DF9">
        <w:trPr>
          <w:trHeight w:val="510"/>
        </w:trPr>
        <w:tc>
          <w:tcPr>
            <w:tcW w:w="812" w:type="dxa"/>
          </w:tcPr>
          <w:p w:rsidR="007F6DF9" w:rsidRDefault="00A43FBC">
            <w:pPr>
              <w:pStyle w:val="TableParagraph"/>
              <w:spacing w:line="251" w:lineRule="exact"/>
              <w:ind w:left="107"/>
              <w:rPr>
                <w:rFonts w:ascii="Times New Roman"/>
              </w:rPr>
            </w:pPr>
            <w:r>
              <w:rPr>
                <w:rFonts w:ascii="Times New Roman"/>
                <w:spacing w:val="-4"/>
              </w:rPr>
              <w:t>MR11</w:t>
            </w:r>
          </w:p>
        </w:tc>
        <w:tc>
          <w:tcPr>
            <w:tcW w:w="10195" w:type="dxa"/>
          </w:tcPr>
          <w:p w:rsidR="007F6DF9" w:rsidRDefault="00A43FBC">
            <w:pPr>
              <w:pStyle w:val="TableParagraph"/>
              <w:spacing w:line="252" w:lineRule="exact"/>
              <w:ind w:left="105"/>
              <w:rPr>
                <w:rFonts w:ascii="Times New Roman"/>
              </w:rPr>
            </w:pPr>
            <w:r>
              <w:rPr>
                <w:rFonts w:ascii="Times New Roman"/>
              </w:rPr>
              <w:t>Submission</w:t>
            </w:r>
            <w:r>
              <w:rPr>
                <w:rFonts w:ascii="Times New Roman"/>
                <w:spacing w:val="-2"/>
              </w:rPr>
              <w:t xml:space="preserve"> </w:t>
            </w:r>
            <w:r>
              <w:rPr>
                <w:rFonts w:ascii="Times New Roman"/>
              </w:rPr>
              <w:t>of</w:t>
            </w:r>
            <w:r>
              <w:rPr>
                <w:rFonts w:ascii="Times New Roman"/>
                <w:spacing w:val="-2"/>
              </w:rPr>
              <w:t xml:space="preserve"> </w:t>
            </w:r>
            <w:r>
              <w:rPr>
                <w:rFonts w:ascii="Times New Roman"/>
              </w:rPr>
              <w:t>valid</w:t>
            </w:r>
            <w:r>
              <w:rPr>
                <w:rFonts w:ascii="Times New Roman"/>
                <w:spacing w:val="-2"/>
              </w:rPr>
              <w:t xml:space="preserve"> </w:t>
            </w:r>
            <w:r>
              <w:rPr>
                <w:rFonts w:ascii="Times New Roman"/>
              </w:rPr>
              <w:t>CR12</w:t>
            </w:r>
            <w:r>
              <w:rPr>
                <w:rFonts w:ascii="Times New Roman"/>
                <w:spacing w:val="-5"/>
              </w:rPr>
              <w:t xml:space="preserve"> </w:t>
            </w:r>
            <w:r>
              <w:rPr>
                <w:rFonts w:ascii="Times New Roman"/>
              </w:rPr>
              <w:t>form</w:t>
            </w:r>
            <w:r>
              <w:rPr>
                <w:rFonts w:ascii="Times New Roman"/>
                <w:spacing w:val="-1"/>
              </w:rPr>
              <w:t xml:space="preserve"> </w:t>
            </w:r>
            <w:r>
              <w:rPr>
                <w:rFonts w:ascii="Times New Roman"/>
              </w:rPr>
              <w:t>showing</w:t>
            </w:r>
            <w:r>
              <w:rPr>
                <w:rFonts w:ascii="Times New Roman"/>
                <w:spacing w:val="-5"/>
              </w:rPr>
              <w:t xml:space="preserve"> </w:t>
            </w:r>
            <w:r>
              <w:rPr>
                <w:rFonts w:ascii="Times New Roman"/>
              </w:rPr>
              <w:t>the</w:t>
            </w:r>
            <w:r>
              <w:rPr>
                <w:rFonts w:ascii="Times New Roman"/>
                <w:spacing w:val="-4"/>
              </w:rPr>
              <w:t xml:space="preserve"> </w:t>
            </w:r>
            <w:r>
              <w:rPr>
                <w:rFonts w:ascii="Times New Roman"/>
              </w:rPr>
              <w:t>list</w:t>
            </w:r>
            <w:r>
              <w:rPr>
                <w:rFonts w:ascii="Times New Roman"/>
                <w:spacing w:val="-3"/>
              </w:rPr>
              <w:t xml:space="preserve"> </w:t>
            </w:r>
            <w:r>
              <w:rPr>
                <w:rFonts w:ascii="Times New Roman"/>
              </w:rPr>
              <w:t>of</w:t>
            </w:r>
            <w:r>
              <w:rPr>
                <w:rFonts w:ascii="Times New Roman"/>
                <w:spacing w:val="-2"/>
              </w:rPr>
              <w:t xml:space="preserve"> </w:t>
            </w:r>
            <w:r>
              <w:rPr>
                <w:rFonts w:ascii="Times New Roman"/>
              </w:rPr>
              <w:t>directors</w:t>
            </w:r>
            <w:r>
              <w:rPr>
                <w:rFonts w:ascii="Times New Roman"/>
                <w:spacing w:val="-4"/>
              </w:rPr>
              <w:t xml:space="preserve"> </w:t>
            </w:r>
            <w:r>
              <w:rPr>
                <w:rFonts w:ascii="Times New Roman"/>
              </w:rPr>
              <w:t>/shareholding</w:t>
            </w:r>
            <w:r>
              <w:rPr>
                <w:rFonts w:ascii="Times New Roman"/>
                <w:spacing w:val="-5"/>
              </w:rPr>
              <w:t xml:space="preserve"> </w:t>
            </w:r>
            <w:r>
              <w:rPr>
                <w:rFonts w:ascii="Times New Roman"/>
              </w:rPr>
              <w:t>(issued</w:t>
            </w:r>
            <w:r>
              <w:rPr>
                <w:rFonts w:ascii="Times New Roman"/>
                <w:spacing w:val="-5"/>
              </w:rPr>
              <w:t xml:space="preserve"> </w:t>
            </w:r>
            <w:r>
              <w:rPr>
                <w:rFonts w:ascii="Times New Roman"/>
              </w:rPr>
              <w:t>within</w:t>
            </w:r>
            <w:r>
              <w:rPr>
                <w:rFonts w:ascii="Times New Roman"/>
                <w:spacing w:val="-2"/>
              </w:rPr>
              <w:t xml:space="preserve"> </w:t>
            </w:r>
            <w:r>
              <w:rPr>
                <w:rFonts w:ascii="Times New Roman"/>
              </w:rPr>
              <w:t>the</w:t>
            </w:r>
            <w:r>
              <w:rPr>
                <w:rFonts w:ascii="Times New Roman"/>
                <w:spacing w:val="-2"/>
              </w:rPr>
              <w:t xml:space="preserve"> </w:t>
            </w:r>
            <w:r>
              <w:rPr>
                <w:rFonts w:ascii="Times New Roman"/>
              </w:rPr>
              <w:t>last</w:t>
            </w:r>
            <w:r>
              <w:rPr>
                <w:rFonts w:ascii="Times New Roman"/>
                <w:spacing w:val="-1"/>
              </w:rPr>
              <w:t xml:space="preserve"> </w:t>
            </w:r>
            <w:r>
              <w:rPr>
                <w:rFonts w:ascii="Times New Roman"/>
              </w:rPr>
              <w:t>12months)</w:t>
            </w:r>
            <w:r>
              <w:rPr>
                <w:rFonts w:ascii="Times New Roman"/>
                <w:spacing w:val="-4"/>
              </w:rPr>
              <w:t xml:space="preserve"> </w:t>
            </w:r>
            <w:r>
              <w:rPr>
                <w:rFonts w:ascii="Times New Roman"/>
              </w:rPr>
              <w:t>or National Identity Card(s) for Sole Proprietorship/ Partnership</w:t>
            </w:r>
          </w:p>
        </w:tc>
      </w:tr>
      <w:tr w:rsidR="007F6DF9">
        <w:trPr>
          <w:trHeight w:val="254"/>
        </w:trPr>
        <w:tc>
          <w:tcPr>
            <w:tcW w:w="812" w:type="dxa"/>
          </w:tcPr>
          <w:p w:rsidR="007F6DF9" w:rsidRDefault="00A43FBC">
            <w:pPr>
              <w:pStyle w:val="TableParagraph"/>
              <w:spacing w:line="234" w:lineRule="exact"/>
              <w:ind w:left="107"/>
              <w:rPr>
                <w:rFonts w:ascii="Times New Roman"/>
              </w:rPr>
            </w:pPr>
            <w:r>
              <w:rPr>
                <w:rFonts w:ascii="Times New Roman"/>
                <w:spacing w:val="-4"/>
              </w:rPr>
              <w:t>MR12</w:t>
            </w:r>
          </w:p>
        </w:tc>
        <w:tc>
          <w:tcPr>
            <w:tcW w:w="10195" w:type="dxa"/>
          </w:tcPr>
          <w:p w:rsidR="007F6DF9" w:rsidRDefault="00A43FBC">
            <w:pPr>
              <w:pStyle w:val="TableParagraph"/>
              <w:spacing w:before="1" w:line="233" w:lineRule="exact"/>
              <w:ind w:left="105"/>
              <w:rPr>
                <w:rFonts w:ascii="Times New Roman" w:hAnsi="Times New Roman"/>
              </w:rPr>
            </w:pPr>
            <w:r>
              <w:rPr>
                <w:rFonts w:ascii="Times New Roman" w:hAnsi="Times New Roman"/>
              </w:rPr>
              <w:t>Letter</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authority</w:t>
            </w:r>
            <w:r>
              <w:rPr>
                <w:rFonts w:ascii="Times New Roman" w:hAnsi="Times New Roman"/>
                <w:spacing w:val="-6"/>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seek</w:t>
            </w:r>
            <w:r>
              <w:rPr>
                <w:rFonts w:ascii="Times New Roman" w:hAnsi="Times New Roman"/>
                <w:spacing w:val="-2"/>
              </w:rPr>
              <w:t xml:space="preserve"> </w:t>
            </w:r>
            <w:r>
              <w:rPr>
                <w:rFonts w:ascii="Times New Roman" w:hAnsi="Times New Roman"/>
              </w:rPr>
              <w:t>references</w:t>
            </w:r>
            <w:r>
              <w:rPr>
                <w:rFonts w:ascii="Times New Roman" w:hAnsi="Times New Roman"/>
                <w:spacing w:val="-6"/>
              </w:rPr>
              <w:t xml:space="preserve"> </w:t>
            </w:r>
            <w:r>
              <w:rPr>
                <w:rFonts w:ascii="Times New Roman" w:hAnsi="Times New Roman"/>
              </w:rPr>
              <w:t>from</w:t>
            </w:r>
            <w:r>
              <w:rPr>
                <w:rFonts w:ascii="Times New Roman" w:hAnsi="Times New Roman"/>
                <w:spacing w:val="-2"/>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Tenderer’s</w:t>
            </w:r>
            <w:r>
              <w:rPr>
                <w:rFonts w:ascii="Times New Roman" w:hAnsi="Times New Roman"/>
                <w:spacing w:val="-5"/>
              </w:rPr>
              <w:t xml:space="preserve"> </w:t>
            </w:r>
            <w:r>
              <w:rPr>
                <w:rFonts w:ascii="Times New Roman" w:hAnsi="Times New Roman"/>
                <w:spacing w:val="-2"/>
              </w:rPr>
              <w:t>bankers.</w:t>
            </w:r>
          </w:p>
        </w:tc>
      </w:tr>
    </w:tbl>
    <w:p w:rsidR="007F6DF9" w:rsidRDefault="007F6DF9">
      <w:pPr>
        <w:pStyle w:val="TableParagraph"/>
        <w:spacing w:line="233" w:lineRule="exact"/>
        <w:rPr>
          <w:rFonts w:ascii="Times New Roman" w:hAnsi="Times New Roman"/>
        </w:rPr>
        <w:sectPr w:rsidR="007F6DF9">
          <w:pgSz w:w="11920" w:h="16850"/>
          <w:pgMar w:top="360" w:right="0" w:bottom="620" w:left="0" w:header="0" w:footer="437" w:gutter="0"/>
          <w:cols w:space="720"/>
        </w:sectPr>
      </w:pPr>
    </w:p>
    <w:p w:rsidR="007F6DF9" w:rsidRDefault="007F6DF9">
      <w:pPr>
        <w:pStyle w:val="BodyText"/>
        <w:spacing w:before="41" w:after="1"/>
        <w:rPr>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10195"/>
      </w:tblGrid>
      <w:tr w:rsidR="007F6DF9">
        <w:trPr>
          <w:trHeight w:val="253"/>
        </w:trPr>
        <w:tc>
          <w:tcPr>
            <w:tcW w:w="812" w:type="dxa"/>
          </w:tcPr>
          <w:p w:rsidR="007F6DF9" w:rsidRDefault="00A43FBC">
            <w:pPr>
              <w:pStyle w:val="TableParagraph"/>
              <w:spacing w:line="234" w:lineRule="exact"/>
              <w:ind w:right="20"/>
              <w:jc w:val="center"/>
              <w:rPr>
                <w:rFonts w:ascii="Times New Roman"/>
              </w:rPr>
            </w:pPr>
            <w:r>
              <w:rPr>
                <w:rFonts w:ascii="Times New Roman"/>
                <w:spacing w:val="-4"/>
              </w:rPr>
              <w:t>MR13</w:t>
            </w:r>
          </w:p>
        </w:tc>
        <w:tc>
          <w:tcPr>
            <w:tcW w:w="10195" w:type="dxa"/>
          </w:tcPr>
          <w:p w:rsidR="007F6DF9" w:rsidRDefault="00A43FBC">
            <w:pPr>
              <w:pStyle w:val="TableParagraph"/>
              <w:spacing w:before="1" w:line="233" w:lineRule="exact"/>
              <w:ind w:left="105"/>
              <w:rPr>
                <w:rFonts w:ascii="Times New Roman"/>
              </w:rPr>
            </w:pPr>
            <w:r>
              <w:rPr>
                <w:rFonts w:ascii="Times New Roman"/>
              </w:rPr>
              <w:t>Must</w:t>
            </w:r>
            <w:r>
              <w:rPr>
                <w:rFonts w:ascii="Times New Roman"/>
                <w:spacing w:val="-5"/>
              </w:rPr>
              <w:t xml:space="preserve"> </w:t>
            </w:r>
            <w:r>
              <w:rPr>
                <w:rFonts w:ascii="Times New Roman"/>
              </w:rPr>
              <w:t>fill</w:t>
            </w:r>
            <w:r>
              <w:rPr>
                <w:rFonts w:ascii="Times New Roman"/>
                <w:spacing w:val="-3"/>
              </w:rPr>
              <w:t xml:space="preserve"> </w:t>
            </w:r>
            <w:r>
              <w:rPr>
                <w:rFonts w:ascii="Times New Roman"/>
              </w:rPr>
              <w:t>and</w:t>
            </w:r>
            <w:r>
              <w:rPr>
                <w:rFonts w:ascii="Times New Roman"/>
                <w:spacing w:val="-6"/>
              </w:rPr>
              <w:t xml:space="preserve"> </w:t>
            </w:r>
            <w:r>
              <w:rPr>
                <w:rFonts w:ascii="Times New Roman"/>
              </w:rPr>
              <w:t>submit</w:t>
            </w:r>
            <w:r>
              <w:rPr>
                <w:rFonts w:ascii="Times New Roman"/>
                <w:spacing w:val="-3"/>
              </w:rPr>
              <w:t xml:space="preserve"> </w:t>
            </w:r>
            <w:r>
              <w:rPr>
                <w:rFonts w:ascii="Times New Roman"/>
              </w:rPr>
              <w:t>the</w:t>
            </w:r>
            <w:r>
              <w:rPr>
                <w:rFonts w:ascii="Times New Roman"/>
                <w:spacing w:val="-4"/>
              </w:rPr>
              <w:t xml:space="preserve"> </w:t>
            </w:r>
            <w:r>
              <w:rPr>
                <w:rFonts w:ascii="Times New Roman"/>
              </w:rPr>
              <w:t>Certificate</w:t>
            </w:r>
            <w:r>
              <w:rPr>
                <w:rFonts w:ascii="Times New Roman"/>
                <w:spacing w:val="-4"/>
              </w:rPr>
              <w:t xml:space="preserve"> </w:t>
            </w:r>
            <w:r>
              <w:rPr>
                <w:rFonts w:ascii="Times New Roman"/>
              </w:rPr>
              <w:t>of</w:t>
            </w:r>
            <w:r>
              <w:rPr>
                <w:rFonts w:ascii="Times New Roman"/>
                <w:spacing w:val="-4"/>
              </w:rPr>
              <w:t xml:space="preserve"> </w:t>
            </w:r>
            <w:r>
              <w:rPr>
                <w:rFonts w:ascii="Times New Roman"/>
              </w:rPr>
              <w:t>Independent</w:t>
            </w:r>
            <w:r>
              <w:rPr>
                <w:rFonts w:ascii="Times New Roman"/>
                <w:spacing w:val="-3"/>
              </w:rPr>
              <w:t xml:space="preserve"> </w:t>
            </w:r>
            <w:r>
              <w:rPr>
                <w:rFonts w:ascii="Times New Roman"/>
              </w:rPr>
              <w:t>Tender</w:t>
            </w:r>
            <w:r>
              <w:rPr>
                <w:rFonts w:ascii="Times New Roman"/>
                <w:spacing w:val="-3"/>
              </w:rPr>
              <w:t xml:space="preserve"> </w:t>
            </w:r>
            <w:r>
              <w:rPr>
                <w:rFonts w:ascii="Times New Roman"/>
              </w:rPr>
              <w:t>Determination</w:t>
            </w:r>
            <w:r>
              <w:rPr>
                <w:rFonts w:ascii="Times New Roman"/>
                <w:spacing w:val="-4"/>
              </w:rPr>
              <w:t xml:space="preserve"> </w:t>
            </w:r>
            <w:r>
              <w:rPr>
                <w:rFonts w:ascii="Times New Roman"/>
              </w:rPr>
              <w:t>in</w:t>
            </w:r>
            <w:r>
              <w:rPr>
                <w:rFonts w:ascii="Times New Roman"/>
                <w:spacing w:val="-7"/>
              </w:rPr>
              <w:t xml:space="preserve"> </w:t>
            </w:r>
            <w:r>
              <w:rPr>
                <w:rFonts w:ascii="Times New Roman"/>
              </w:rPr>
              <w:t>the</w:t>
            </w:r>
            <w:r>
              <w:rPr>
                <w:rFonts w:ascii="Times New Roman"/>
                <w:spacing w:val="-4"/>
              </w:rPr>
              <w:t xml:space="preserve"> </w:t>
            </w:r>
            <w:r>
              <w:rPr>
                <w:rFonts w:ascii="Times New Roman"/>
              </w:rPr>
              <w:t>format</w:t>
            </w:r>
            <w:r>
              <w:rPr>
                <w:rFonts w:ascii="Times New Roman"/>
                <w:spacing w:val="-2"/>
              </w:rPr>
              <w:t xml:space="preserve"> provided</w:t>
            </w:r>
          </w:p>
        </w:tc>
      </w:tr>
      <w:tr w:rsidR="007F6DF9">
        <w:trPr>
          <w:trHeight w:val="506"/>
        </w:trPr>
        <w:tc>
          <w:tcPr>
            <w:tcW w:w="812" w:type="dxa"/>
          </w:tcPr>
          <w:p w:rsidR="007F6DF9" w:rsidRDefault="00A43FBC">
            <w:pPr>
              <w:pStyle w:val="TableParagraph"/>
              <w:spacing w:line="251" w:lineRule="exact"/>
              <w:ind w:right="20"/>
              <w:jc w:val="center"/>
              <w:rPr>
                <w:rFonts w:ascii="Times New Roman"/>
              </w:rPr>
            </w:pPr>
            <w:r>
              <w:rPr>
                <w:rFonts w:ascii="Times New Roman"/>
                <w:spacing w:val="-4"/>
              </w:rPr>
              <w:t>MR14</w:t>
            </w:r>
          </w:p>
        </w:tc>
        <w:tc>
          <w:tcPr>
            <w:tcW w:w="10195" w:type="dxa"/>
          </w:tcPr>
          <w:p w:rsidR="007F6DF9" w:rsidRDefault="00A43FBC">
            <w:pPr>
              <w:pStyle w:val="TableParagraph"/>
              <w:spacing w:line="254" w:lineRule="exact"/>
              <w:ind w:left="105"/>
              <w:rPr>
                <w:rFonts w:ascii="Times New Roman"/>
                <w:b/>
              </w:rPr>
            </w:pPr>
            <w:r>
              <w:rPr>
                <w:rFonts w:ascii="Times New Roman"/>
              </w:rPr>
              <w:t>Must</w:t>
            </w:r>
            <w:r>
              <w:rPr>
                <w:rFonts w:ascii="Times New Roman"/>
                <w:spacing w:val="-1"/>
              </w:rPr>
              <w:t xml:space="preserve"> </w:t>
            </w:r>
            <w:r>
              <w:rPr>
                <w:rFonts w:ascii="Times New Roman"/>
              </w:rPr>
              <w:t>fill</w:t>
            </w:r>
            <w:r>
              <w:rPr>
                <w:rFonts w:ascii="Times New Roman"/>
                <w:spacing w:val="-1"/>
              </w:rPr>
              <w:t xml:space="preserve"> </w:t>
            </w:r>
            <w:r>
              <w:rPr>
                <w:rFonts w:ascii="Times New Roman"/>
              </w:rPr>
              <w:t>and</w:t>
            </w:r>
            <w:r>
              <w:rPr>
                <w:rFonts w:ascii="Times New Roman"/>
                <w:spacing w:val="-4"/>
              </w:rPr>
              <w:t xml:space="preserve"> </w:t>
            </w:r>
            <w:r>
              <w:rPr>
                <w:rFonts w:ascii="Times New Roman"/>
              </w:rPr>
              <w:t>submit</w:t>
            </w:r>
            <w:r>
              <w:rPr>
                <w:rFonts w:ascii="Times New Roman"/>
                <w:spacing w:val="-1"/>
              </w:rPr>
              <w:t xml:space="preserve"> </w:t>
            </w:r>
            <w:r>
              <w:rPr>
                <w:rFonts w:ascii="Times New Roman"/>
              </w:rPr>
              <w:t>the</w:t>
            </w:r>
            <w:r>
              <w:rPr>
                <w:rFonts w:ascii="Times New Roman"/>
                <w:spacing w:val="-2"/>
              </w:rPr>
              <w:t xml:space="preserve"> </w:t>
            </w:r>
            <w:r>
              <w:rPr>
                <w:rFonts w:ascii="Times New Roman"/>
              </w:rPr>
              <w:t>Self-declaration</w:t>
            </w:r>
            <w:r>
              <w:rPr>
                <w:rFonts w:ascii="Times New Roman"/>
                <w:spacing w:val="-2"/>
              </w:rPr>
              <w:t xml:space="preserve"> </w:t>
            </w:r>
            <w:r>
              <w:rPr>
                <w:rFonts w:ascii="Times New Roman"/>
              </w:rPr>
              <w:t>form</w:t>
            </w:r>
            <w:r>
              <w:rPr>
                <w:rFonts w:ascii="Times New Roman"/>
                <w:spacing w:val="-1"/>
              </w:rPr>
              <w:t xml:space="preserve"> </w:t>
            </w:r>
            <w:r>
              <w:rPr>
                <w:rFonts w:ascii="Times New Roman"/>
              </w:rPr>
              <w:t>that</w:t>
            </w:r>
            <w:r>
              <w:rPr>
                <w:rFonts w:ascii="Times New Roman"/>
                <w:spacing w:val="-4"/>
              </w:rPr>
              <w:t xml:space="preserve"> </w:t>
            </w:r>
            <w:r>
              <w:rPr>
                <w:rFonts w:ascii="Times New Roman"/>
              </w:rPr>
              <w:t>the</w:t>
            </w:r>
            <w:r>
              <w:rPr>
                <w:rFonts w:ascii="Times New Roman"/>
                <w:spacing w:val="-4"/>
              </w:rPr>
              <w:t xml:space="preserve"> </w:t>
            </w:r>
            <w:r>
              <w:rPr>
                <w:rFonts w:ascii="Times New Roman"/>
              </w:rPr>
              <w:t>person/tenderer</w:t>
            </w:r>
            <w:r>
              <w:rPr>
                <w:rFonts w:ascii="Times New Roman"/>
                <w:spacing w:val="-2"/>
              </w:rPr>
              <w:t xml:space="preserve"> </w:t>
            </w:r>
            <w:r>
              <w:rPr>
                <w:rFonts w:ascii="Times New Roman"/>
              </w:rPr>
              <w:t>is</w:t>
            </w:r>
            <w:r>
              <w:rPr>
                <w:rFonts w:ascii="Times New Roman"/>
                <w:spacing w:val="-2"/>
              </w:rPr>
              <w:t xml:space="preserve"> </w:t>
            </w:r>
            <w:r>
              <w:rPr>
                <w:rFonts w:ascii="Times New Roman"/>
              </w:rPr>
              <w:t>not</w:t>
            </w:r>
            <w:r>
              <w:rPr>
                <w:rFonts w:ascii="Times New Roman"/>
                <w:spacing w:val="-1"/>
              </w:rPr>
              <w:t xml:space="preserve"> </w:t>
            </w:r>
            <w:r>
              <w:rPr>
                <w:rFonts w:ascii="Times New Roman"/>
              </w:rPr>
              <w:t>debarred</w:t>
            </w:r>
            <w:r>
              <w:rPr>
                <w:rFonts w:ascii="Times New Roman"/>
                <w:spacing w:val="-4"/>
              </w:rPr>
              <w:t xml:space="preserve"> </w:t>
            </w:r>
            <w:r>
              <w:rPr>
                <w:rFonts w:ascii="Times New Roman"/>
              </w:rPr>
              <w:t>in</w:t>
            </w:r>
            <w:r>
              <w:rPr>
                <w:rFonts w:ascii="Times New Roman"/>
                <w:spacing w:val="-2"/>
              </w:rPr>
              <w:t xml:space="preserve"> </w:t>
            </w:r>
            <w:r>
              <w:rPr>
                <w:rFonts w:ascii="Times New Roman"/>
              </w:rPr>
              <w:t>the</w:t>
            </w:r>
            <w:r>
              <w:rPr>
                <w:rFonts w:ascii="Times New Roman"/>
                <w:spacing w:val="-4"/>
              </w:rPr>
              <w:t xml:space="preserve"> </w:t>
            </w:r>
            <w:r>
              <w:rPr>
                <w:rFonts w:ascii="Times New Roman"/>
              </w:rPr>
              <w:t>matter</w:t>
            </w:r>
            <w:r>
              <w:rPr>
                <w:rFonts w:ascii="Times New Roman"/>
                <w:spacing w:val="-2"/>
              </w:rPr>
              <w:t xml:space="preserve"> </w:t>
            </w:r>
            <w:r>
              <w:rPr>
                <w:rFonts w:ascii="Times New Roman"/>
              </w:rPr>
              <w:t>of</w:t>
            </w:r>
            <w:r>
              <w:rPr>
                <w:rFonts w:ascii="Times New Roman"/>
                <w:spacing w:val="-4"/>
              </w:rPr>
              <w:t xml:space="preserve"> </w:t>
            </w:r>
            <w:r>
              <w:rPr>
                <w:rFonts w:ascii="Times New Roman"/>
              </w:rPr>
              <w:t>the</w:t>
            </w:r>
            <w:r>
              <w:rPr>
                <w:rFonts w:ascii="Times New Roman"/>
                <w:spacing w:val="-2"/>
              </w:rPr>
              <w:t xml:space="preserve"> </w:t>
            </w:r>
            <w:r>
              <w:rPr>
                <w:rFonts w:ascii="Times New Roman"/>
              </w:rPr>
              <w:t xml:space="preserve">Public Procurement and Asset Disposal Act 2015 in the format provided </w:t>
            </w:r>
            <w:r>
              <w:rPr>
                <w:rFonts w:ascii="Times New Roman"/>
                <w:b/>
              </w:rPr>
              <w:t>- Form SD1.</w:t>
            </w:r>
          </w:p>
        </w:tc>
      </w:tr>
      <w:tr w:rsidR="007F6DF9">
        <w:trPr>
          <w:trHeight w:val="482"/>
        </w:trPr>
        <w:tc>
          <w:tcPr>
            <w:tcW w:w="812" w:type="dxa"/>
          </w:tcPr>
          <w:p w:rsidR="007F6DF9" w:rsidRDefault="00A43FBC">
            <w:pPr>
              <w:pStyle w:val="TableParagraph"/>
              <w:spacing w:line="250" w:lineRule="exact"/>
              <w:ind w:right="20"/>
              <w:jc w:val="center"/>
              <w:rPr>
                <w:rFonts w:ascii="Times New Roman"/>
              </w:rPr>
            </w:pPr>
            <w:r>
              <w:rPr>
                <w:rFonts w:ascii="Times New Roman"/>
                <w:spacing w:val="-4"/>
              </w:rPr>
              <w:t>MR15</w:t>
            </w:r>
          </w:p>
        </w:tc>
        <w:tc>
          <w:tcPr>
            <w:tcW w:w="10195" w:type="dxa"/>
          </w:tcPr>
          <w:p w:rsidR="007F6DF9" w:rsidRDefault="00A43FBC">
            <w:pPr>
              <w:pStyle w:val="TableParagraph"/>
              <w:spacing w:line="242" w:lineRule="exact"/>
              <w:ind w:left="105"/>
              <w:rPr>
                <w:rFonts w:ascii="Times New Roman"/>
                <w:b/>
              </w:rPr>
            </w:pPr>
            <w:r>
              <w:rPr>
                <w:rFonts w:ascii="Times New Roman"/>
              </w:rPr>
              <w:t>Must</w:t>
            </w:r>
            <w:r>
              <w:rPr>
                <w:rFonts w:ascii="Times New Roman"/>
                <w:spacing w:val="-2"/>
              </w:rPr>
              <w:t xml:space="preserve"> </w:t>
            </w:r>
            <w:r>
              <w:rPr>
                <w:rFonts w:ascii="Times New Roman"/>
              </w:rPr>
              <w:t>fill</w:t>
            </w:r>
            <w:r>
              <w:rPr>
                <w:rFonts w:ascii="Times New Roman"/>
                <w:spacing w:val="-2"/>
              </w:rPr>
              <w:t xml:space="preserve"> </w:t>
            </w:r>
            <w:r>
              <w:rPr>
                <w:rFonts w:ascii="Times New Roman"/>
              </w:rPr>
              <w:t>and</w:t>
            </w:r>
            <w:r>
              <w:rPr>
                <w:rFonts w:ascii="Times New Roman"/>
                <w:spacing w:val="-5"/>
              </w:rPr>
              <w:t xml:space="preserve"> </w:t>
            </w:r>
            <w:r>
              <w:rPr>
                <w:rFonts w:ascii="Times New Roman"/>
              </w:rPr>
              <w:t>submit</w:t>
            </w:r>
            <w:r>
              <w:rPr>
                <w:rFonts w:ascii="Times New Roman"/>
                <w:spacing w:val="-2"/>
              </w:rPr>
              <w:t xml:space="preserve"> </w:t>
            </w:r>
            <w:r>
              <w:rPr>
                <w:rFonts w:ascii="Times New Roman"/>
              </w:rPr>
              <w:t>the</w:t>
            </w:r>
            <w:r>
              <w:rPr>
                <w:rFonts w:ascii="Times New Roman"/>
                <w:spacing w:val="-3"/>
              </w:rPr>
              <w:t xml:space="preserve"> </w:t>
            </w:r>
            <w:r>
              <w:rPr>
                <w:rFonts w:ascii="Times New Roman"/>
              </w:rPr>
              <w:t>Self-declaration</w:t>
            </w:r>
            <w:r>
              <w:rPr>
                <w:rFonts w:ascii="Times New Roman"/>
                <w:spacing w:val="-3"/>
              </w:rPr>
              <w:t xml:space="preserve"> </w:t>
            </w:r>
            <w:r>
              <w:rPr>
                <w:rFonts w:ascii="Times New Roman"/>
              </w:rPr>
              <w:t>that</w:t>
            </w:r>
            <w:r>
              <w:rPr>
                <w:rFonts w:ascii="Times New Roman"/>
                <w:spacing w:val="-5"/>
              </w:rPr>
              <w:t xml:space="preserve"> </w:t>
            </w:r>
            <w:r>
              <w:rPr>
                <w:rFonts w:ascii="Times New Roman"/>
              </w:rPr>
              <w:t>the</w:t>
            </w:r>
            <w:r>
              <w:rPr>
                <w:rFonts w:ascii="Times New Roman"/>
                <w:spacing w:val="-5"/>
              </w:rPr>
              <w:t xml:space="preserve"> </w:t>
            </w:r>
            <w:r>
              <w:rPr>
                <w:rFonts w:ascii="Times New Roman"/>
              </w:rPr>
              <w:t>person/tenderer</w:t>
            </w:r>
            <w:r>
              <w:rPr>
                <w:rFonts w:ascii="Times New Roman"/>
                <w:spacing w:val="-4"/>
              </w:rPr>
              <w:t xml:space="preserve"> </w:t>
            </w:r>
            <w:r>
              <w:rPr>
                <w:rFonts w:ascii="Times New Roman"/>
              </w:rPr>
              <w:t>will</w:t>
            </w:r>
            <w:r>
              <w:rPr>
                <w:rFonts w:ascii="Times New Roman"/>
                <w:spacing w:val="-2"/>
              </w:rPr>
              <w:t xml:space="preserve"> </w:t>
            </w:r>
            <w:r>
              <w:rPr>
                <w:rFonts w:ascii="Times New Roman"/>
              </w:rPr>
              <w:t>not</w:t>
            </w:r>
            <w:r>
              <w:rPr>
                <w:rFonts w:ascii="Times New Roman"/>
                <w:spacing w:val="-2"/>
              </w:rPr>
              <w:t xml:space="preserve"> </w:t>
            </w:r>
            <w:r>
              <w:rPr>
                <w:rFonts w:ascii="Times New Roman"/>
              </w:rPr>
              <w:t>engage</w:t>
            </w:r>
            <w:r>
              <w:rPr>
                <w:rFonts w:ascii="Times New Roman"/>
                <w:spacing w:val="-5"/>
              </w:rPr>
              <w:t xml:space="preserve"> </w:t>
            </w:r>
            <w:r>
              <w:rPr>
                <w:rFonts w:ascii="Times New Roman"/>
              </w:rPr>
              <w:t>in</w:t>
            </w:r>
            <w:r>
              <w:rPr>
                <w:rFonts w:ascii="Times New Roman"/>
                <w:spacing w:val="-3"/>
              </w:rPr>
              <w:t xml:space="preserve"> </w:t>
            </w:r>
            <w:r>
              <w:rPr>
                <w:rFonts w:ascii="Times New Roman"/>
              </w:rPr>
              <w:t>any</w:t>
            </w:r>
            <w:r>
              <w:rPr>
                <w:rFonts w:ascii="Times New Roman"/>
                <w:spacing w:val="-3"/>
              </w:rPr>
              <w:t xml:space="preserve"> </w:t>
            </w:r>
            <w:r>
              <w:rPr>
                <w:rFonts w:ascii="Times New Roman"/>
              </w:rPr>
              <w:t>corrupt</w:t>
            </w:r>
            <w:r>
              <w:rPr>
                <w:rFonts w:ascii="Times New Roman"/>
                <w:spacing w:val="-2"/>
              </w:rPr>
              <w:t xml:space="preserve"> </w:t>
            </w:r>
            <w:r>
              <w:rPr>
                <w:rFonts w:ascii="Times New Roman"/>
              </w:rPr>
              <w:t>or</w:t>
            </w:r>
            <w:r>
              <w:rPr>
                <w:rFonts w:ascii="Times New Roman"/>
                <w:spacing w:val="-5"/>
              </w:rPr>
              <w:t xml:space="preserve"> </w:t>
            </w:r>
            <w:r>
              <w:rPr>
                <w:rFonts w:ascii="Times New Roman"/>
              </w:rPr>
              <w:t xml:space="preserve">fraudulent practice in the format provided </w:t>
            </w:r>
            <w:r>
              <w:rPr>
                <w:rFonts w:ascii="Times New Roman"/>
                <w:b/>
              </w:rPr>
              <w:t>- Form SD2</w:t>
            </w:r>
          </w:p>
        </w:tc>
      </w:tr>
      <w:tr w:rsidR="007F6DF9">
        <w:trPr>
          <w:trHeight w:val="255"/>
        </w:trPr>
        <w:tc>
          <w:tcPr>
            <w:tcW w:w="812" w:type="dxa"/>
          </w:tcPr>
          <w:p w:rsidR="007F6DF9" w:rsidRDefault="00A43FBC">
            <w:pPr>
              <w:pStyle w:val="TableParagraph"/>
              <w:spacing w:line="235" w:lineRule="exact"/>
              <w:ind w:right="20"/>
              <w:jc w:val="center"/>
              <w:rPr>
                <w:rFonts w:ascii="Times New Roman"/>
              </w:rPr>
            </w:pPr>
            <w:r>
              <w:rPr>
                <w:rFonts w:ascii="Times New Roman"/>
                <w:spacing w:val="-4"/>
              </w:rPr>
              <w:t>MR16</w:t>
            </w:r>
          </w:p>
        </w:tc>
        <w:tc>
          <w:tcPr>
            <w:tcW w:w="10195" w:type="dxa"/>
          </w:tcPr>
          <w:p w:rsidR="007F6DF9" w:rsidRDefault="00A43FBC">
            <w:pPr>
              <w:pStyle w:val="TableParagraph"/>
              <w:spacing w:line="235" w:lineRule="exact"/>
              <w:ind w:left="105"/>
              <w:rPr>
                <w:rFonts w:ascii="Times New Roman"/>
              </w:rPr>
            </w:pPr>
            <w:r>
              <w:rPr>
                <w:rFonts w:ascii="Times New Roman"/>
              </w:rPr>
              <w:t>Must</w:t>
            </w:r>
            <w:r>
              <w:rPr>
                <w:rFonts w:ascii="Times New Roman"/>
                <w:spacing w:val="-3"/>
              </w:rPr>
              <w:t xml:space="preserve"> </w:t>
            </w:r>
            <w:r>
              <w:rPr>
                <w:rFonts w:ascii="Times New Roman"/>
              </w:rPr>
              <w:t>fill</w:t>
            </w:r>
            <w:r>
              <w:rPr>
                <w:rFonts w:ascii="Times New Roman"/>
                <w:spacing w:val="-2"/>
              </w:rPr>
              <w:t xml:space="preserve"> </w:t>
            </w:r>
            <w:r>
              <w:rPr>
                <w:rFonts w:ascii="Times New Roman"/>
              </w:rPr>
              <w:t>and</w:t>
            </w:r>
            <w:r>
              <w:rPr>
                <w:rFonts w:ascii="Times New Roman"/>
                <w:spacing w:val="-5"/>
              </w:rPr>
              <w:t xml:space="preserve"> </w:t>
            </w:r>
            <w:r>
              <w:rPr>
                <w:rFonts w:ascii="Times New Roman"/>
              </w:rPr>
              <w:t>submit</w:t>
            </w:r>
            <w:r>
              <w:rPr>
                <w:rFonts w:ascii="Times New Roman"/>
                <w:spacing w:val="-2"/>
              </w:rPr>
              <w:t xml:space="preserve"> </w:t>
            </w:r>
            <w:r>
              <w:rPr>
                <w:rFonts w:ascii="Times New Roman"/>
              </w:rPr>
              <w:t>Declaration</w:t>
            </w:r>
            <w:r>
              <w:rPr>
                <w:rFonts w:ascii="Times New Roman"/>
                <w:spacing w:val="-4"/>
              </w:rPr>
              <w:t xml:space="preserve"> </w:t>
            </w:r>
            <w:r>
              <w:rPr>
                <w:rFonts w:ascii="Times New Roman"/>
              </w:rPr>
              <w:t>and</w:t>
            </w:r>
            <w:r>
              <w:rPr>
                <w:rFonts w:ascii="Times New Roman"/>
                <w:spacing w:val="-3"/>
              </w:rPr>
              <w:t xml:space="preserve"> </w:t>
            </w:r>
            <w:r>
              <w:rPr>
                <w:rFonts w:ascii="Times New Roman"/>
              </w:rPr>
              <w:t>Commitment</w:t>
            </w:r>
            <w:r>
              <w:rPr>
                <w:rFonts w:ascii="Times New Roman"/>
                <w:spacing w:val="-2"/>
              </w:rPr>
              <w:t xml:space="preserve"> </w:t>
            </w:r>
            <w:r>
              <w:rPr>
                <w:rFonts w:ascii="Times New Roman"/>
              </w:rPr>
              <w:t>to</w:t>
            </w:r>
            <w:r>
              <w:rPr>
                <w:rFonts w:ascii="Times New Roman"/>
                <w:spacing w:val="-6"/>
              </w:rPr>
              <w:t xml:space="preserve"> </w:t>
            </w:r>
            <w:r>
              <w:rPr>
                <w:rFonts w:ascii="Times New Roman"/>
              </w:rPr>
              <w:t>The</w:t>
            </w:r>
            <w:r>
              <w:rPr>
                <w:rFonts w:ascii="Times New Roman"/>
                <w:spacing w:val="-3"/>
              </w:rPr>
              <w:t xml:space="preserve"> </w:t>
            </w:r>
            <w:r>
              <w:rPr>
                <w:rFonts w:ascii="Times New Roman"/>
              </w:rPr>
              <w:t>Code</w:t>
            </w:r>
            <w:r>
              <w:rPr>
                <w:rFonts w:ascii="Times New Roman"/>
                <w:spacing w:val="-4"/>
              </w:rPr>
              <w:t xml:space="preserve"> </w:t>
            </w:r>
            <w:r>
              <w:rPr>
                <w:rFonts w:ascii="Times New Roman"/>
              </w:rPr>
              <w:t>of</w:t>
            </w:r>
            <w:r>
              <w:rPr>
                <w:rFonts w:ascii="Times New Roman"/>
                <w:spacing w:val="-3"/>
              </w:rPr>
              <w:t xml:space="preserve"> </w:t>
            </w:r>
            <w:r>
              <w:rPr>
                <w:rFonts w:ascii="Times New Roman"/>
              </w:rPr>
              <w:t>Ethics</w:t>
            </w:r>
            <w:r>
              <w:rPr>
                <w:rFonts w:ascii="Times New Roman"/>
                <w:spacing w:val="-3"/>
              </w:rPr>
              <w:t xml:space="preserve"> </w:t>
            </w:r>
            <w:r>
              <w:rPr>
                <w:rFonts w:ascii="Times New Roman"/>
              </w:rPr>
              <w:t>in</w:t>
            </w:r>
            <w:r>
              <w:rPr>
                <w:rFonts w:ascii="Times New Roman"/>
                <w:spacing w:val="-6"/>
              </w:rPr>
              <w:t xml:space="preserve"> </w:t>
            </w:r>
            <w:r>
              <w:rPr>
                <w:rFonts w:ascii="Times New Roman"/>
              </w:rPr>
              <w:t>the</w:t>
            </w:r>
            <w:r>
              <w:rPr>
                <w:rFonts w:ascii="Times New Roman"/>
                <w:spacing w:val="-3"/>
              </w:rPr>
              <w:t xml:space="preserve"> </w:t>
            </w:r>
            <w:r>
              <w:rPr>
                <w:rFonts w:ascii="Times New Roman"/>
              </w:rPr>
              <w:t>format</w:t>
            </w:r>
            <w:r>
              <w:rPr>
                <w:rFonts w:ascii="Times New Roman"/>
                <w:spacing w:val="-2"/>
              </w:rPr>
              <w:t xml:space="preserve"> provided</w:t>
            </w:r>
          </w:p>
        </w:tc>
      </w:tr>
      <w:tr w:rsidR="007F6DF9">
        <w:trPr>
          <w:trHeight w:val="254"/>
        </w:trPr>
        <w:tc>
          <w:tcPr>
            <w:tcW w:w="812" w:type="dxa"/>
          </w:tcPr>
          <w:p w:rsidR="007F6DF9" w:rsidRDefault="00A43FBC">
            <w:pPr>
              <w:pStyle w:val="TableParagraph"/>
              <w:spacing w:line="234" w:lineRule="exact"/>
              <w:ind w:right="20"/>
              <w:jc w:val="center"/>
              <w:rPr>
                <w:rFonts w:ascii="Times New Roman"/>
              </w:rPr>
            </w:pPr>
            <w:r>
              <w:rPr>
                <w:rFonts w:ascii="Times New Roman"/>
                <w:spacing w:val="-4"/>
              </w:rPr>
              <w:t>MR17</w:t>
            </w:r>
          </w:p>
        </w:tc>
        <w:tc>
          <w:tcPr>
            <w:tcW w:w="10195" w:type="dxa"/>
          </w:tcPr>
          <w:p w:rsidR="007F6DF9" w:rsidRDefault="00A43FBC">
            <w:pPr>
              <w:pStyle w:val="TableParagraph"/>
              <w:spacing w:before="1" w:line="233" w:lineRule="exact"/>
              <w:ind w:left="105"/>
              <w:rPr>
                <w:rFonts w:ascii="Times New Roman"/>
              </w:rPr>
            </w:pPr>
            <w:r>
              <w:rPr>
                <w:rFonts w:ascii="Times New Roman"/>
              </w:rPr>
              <w:t>Pre-</w:t>
            </w:r>
            <w:r>
              <w:rPr>
                <w:rFonts w:ascii="Times New Roman"/>
                <w:spacing w:val="-4"/>
              </w:rPr>
              <w:t xml:space="preserve"> </w:t>
            </w:r>
            <w:r>
              <w:rPr>
                <w:rFonts w:ascii="Times New Roman"/>
              </w:rPr>
              <w:t>tender</w:t>
            </w:r>
            <w:r>
              <w:rPr>
                <w:rFonts w:ascii="Times New Roman"/>
                <w:spacing w:val="-4"/>
              </w:rPr>
              <w:t xml:space="preserve"> </w:t>
            </w:r>
            <w:r>
              <w:rPr>
                <w:rFonts w:ascii="Times New Roman"/>
              </w:rPr>
              <w:t>site</w:t>
            </w:r>
            <w:r>
              <w:rPr>
                <w:rFonts w:ascii="Times New Roman"/>
                <w:spacing w:val="-2"/>
              </w:rPr>
              <w:t xml:space="preserve"> </w:t>
            </w:r>
            <w:r>
              <w:rPr>
                <w:rFonts w:ascii="Times New Roman"/>
              </w:rPr>
              <w:t>visit</w:t>
            </w:r>
            <w:r>
              <w:rPr>
                <w:rFonts w:ascii="Times New Roman"/>
                <w:spacing w:val="-3"/>
              </w:rPr>
              <w:t xml:space="preserve"> </w:t>
            </w:r>
            <w:r>
              <w:rPr>
                <w:rFonts w:ascii="Times New Roman"/>
                <w:spacing w:val="-2"/>
              </w:rPr>
              <w:t>certificate</w:t>
            </w:r>
          </w:p>
        </w:tc>
      </w:tr>
      <w:tr w:rsidR="007F6DF9">
        <w:trPr>
          <w:trHeight w:val="2277"/>
        </w:trPr>
        <w:tc>
          <w:tcPr>
            <w:tcW w:w="812" w:type="dxa"/>
          </w:tcPr>
          <w:p w:rsidR="007F6DF9" w:rsidRDefault="00A43FBC">
            <w:pPr>
              <w:pStyle w:val="TableParagraph"/>
              <w:spacing w:line="251" w:lineRule="exact"/>
              <w:ind w:right="20"/>
              <w:jc w:val="center"/>
              <w:rPr>
                <w:rFonts w:ascii="Times New Roman"/>
              </w:rPr>
            </w:pPr>
            <w:r>
              <w:rPr>
                <w:rFonts w:ascii="Times New Roman"/>
                <w:spacing w:val="-4"/>
              </w:rPr>
              <w:t>MR18</w:t>
            </w:r>
          </w:p>
        </w:tc>
        <w:tc>
          <w:tcPr>
            <w:tcW w:w="10195" w:type="dxa"/>
          </w:tcPr>
          <w:p w:rsidR="007F6DF9" w:rsidRDefault="00A43FBC">
            <w:pPr>
              <w:pStyle w:val="TableParagraph"/>
              <w:ind w:left="105" w:right="77"/>
              <w:rPr>
                <w:rFonts w:ascii="Times New Roman" w:hAnsi="Times New Roman"/>
              </w:rPr>
            </w:pPr>
            <w:r>
              <w:rPr>
                <w:rFonts w:ascii="Times New Roman" w:hAnsi="Times New Roman"/>
              </w:rPr>
              <w:t>Domestic</w:t>
            </w:r>
            <w:r>
              <w:rPr>
                <w:rFonts w:ascii="Times New Roman" w:hAnsi="Times New Roman"/>
                <w:spacing w:val="-3"/>
              </w:rPr>
              <w:t xml:space="preserve"> </w:t>
            </w:r>
            <w:r>
              <w:rPr>
                <w:rFonts w:ascii="Times New Roman" w:hAnsi="Times New Roman"/>
              </w:rPr>
              <w:t>Contractor’s</w:t>
            </w:r>
            <w:r>
              <w:rPr>
                <w:rFonts w:ascii="Times New Roman" w:hAnsi="Times New Roman"/>
                <w:spacing w:val="-3"/>
              </w:rPr>
              <w:t xml:space="preserve"> </w:t>
            </w:r>
            <w:r>
              <w:rPr>
                <w:rFonts w:ascii="Times New Roman" w:hAnsi="Times New Roman"/>
              </w:rPr>
              <w:t>Agreement</w:t>
            </w:r>
            <w:r>
              <w:rPr>
                <w:rFonts w:ascii="Times New Roman" w:hAnsi="Times New Roman"/>
                <w:spacing w:val="-3"/>
              </w:rPr>
              <w:t xml:space="preserve"> </w:t>
            </w:r>
            <w:r w:rsidR="00FC371B">
              <w:rPr>
                <w:rFonts w:ascii="Times New Roman" w:hAnsi="Times New Roman"/>
              </w:rPr>
              <w:t>(</w:t>
            </w:r>
            <w:r w:rsidR="00FC371B">
              <w:rPr>
                <w:rFonts w:ascii="Times New Roman" w:hAnsi="Times New Roman"/>
                <w:spacing w:val="-3"/>
              </w:rPr>
              <w:t>Joint</w:t>
            </w:r>
            <w:r>
              <w:rPr>
                <w:rFonts w:ascii="Times New Roman" w:hAnsi="Times New Roman"/>
                <w:spacing w:val="-2"/>
              </w:rPr>
              <w:t xml:space="preserve"> </w:t>
            </w:r>
            <w:r>
              <w:rPr>
                <w:rFonts w:ascii="Times New Roman" w:hAnsi="Times New Roman"/>
              </w:rPr>
              <w:t>Venture)-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duly</w:t>
            </w:r>
            <w:r>
              <w:rPr>
                <w:rFonts w:ascii="Times New Roman" w:hAnsi="Times New Roman"/>
                <w:spacing w:val="-3"/>
              </w:rPr>
              <w:t xml:space="preserve"> </w:t>
            </w:r>
            <w:r>
              <w:rPr>
                <w:rFonts w:ascii="Times New Roman" w:hAnsi="Times New Roman"/>
              </w:rPr>
              <w:t>signed</w:t>
            </w:r>
            <w:r>
              <w:rPr>
                <w:rFonts w:ascii="Times New Roman" w:hAnsi="Times New Roman"/>
                <w:spacing w:val="-3"/>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stamped</w:t>
            </w:r>
            <w:r>
              <w:rPr>
                <w:rFonts w:ascii="Times New Roman" w:hAnsi="Times New Roman"/>
                <w:spacing w:val="-3"/>
              </w:rPr>
              <w:t xml:space="preserve"> </w:t>
            </w:r>
            <w:r>
              <w:rPr>
                <w:rFonts w:ascii="Times New Roman" w:hAnsi="Times New Roman"/>
              </w:rPr>
              <w:t>Agreement</w:t>
            </w:r>
            <w:r>
              <w:rPr>
                <w:rFonts w:ascii="Times New Roman" w:hAnsi="Times New Roman"/>
                <w:spacing w:val="-2"/>
              </w:rPr>
              <w:t xml:space="preserve"> </w:t>
            </w:r>
            <w:r>
              <w:rPr>
                <w:rFonts w:ascii="Times New Roman" w:hAnsi="Times New Roman"/>
              </w:rPr>
              <w:t>dated</w:t>
            </w:r>
            <w:r>
              <w:rPr>
                <w:rFonts w:ascii="Times New Roman" w:hAnsi="Times New Roman"/>
                <w:spacing w:val="-3"/>
              </w:rPr>
              <w:t xml:space="preserve"> </w:t>
            </w:r>
            <w:r>
              <w:rPr>
                <w:rFonts w:ascii="Times New Roman" w:hAnsi="Times New Roman"/>
              </w:rPr>
              <w:t>within</w:t>
            </w:r>
            <w:r>
              <w:rPr>
                <w:rFonts w:ascii="Times New Roman" w:hAnsi="Times New Roman"/>
                <w:spacing w:val="-5"/>
              </w:rPr>
              <w:t xml:space="preserve"> </w:t>
            </w:r>
            <w:r>
              <w:rPr>
                <w:rFonts w:ascii="Times New Roman" w:hAnsi="Times New Roman"/>
              </w:rPr>
              <w:t>the period of tender for this works between the Main contractor and the</w:t>
            </w:r>
          </w:p>
          <w:p w:rsidR="007F6DF9" w:rsidRDefault="00A43FBC">
            <w:pPr>
              <w:pStyle w:val="TableParagraph"/>
              <w:numPr>
                <w:ilvl w:val="0"/>
                <w:numId w:val="182"/>
              </w:numPr>
              <w:tabs>
                <w:tab w:val="left" w:pos="2010"/>
              </w:tabs>
              <w:rPr>
                <w:rFonts w:ascii="Times New Roman"/>
                <w:b/>
              </w:rPr>
            </w:pPr>
            <w:r>
              <w:rPr>
                <w:rFonts w:ascii="Times New Roman"/>
              </w:rPr>
              <w:t>Electrical</w:t>
            </w:r>
            <w:r>
              <w:rPr>
                <w:rFonts w:ascii="Times New Roman"/>
                <w:spacing w:val="-4"/>
              </w:rPr>
              <w:t xml:space="preserve"> </w:t>
            </w:r>
            <w:r>
              <w:rPr>
                <w:rFonts w:ascii="Times New Roman"/>
              </w:rPr>
              <w:t>Installation</w:t>
            </w:r>
            <w:r>
              <w:rPr>
                <w:rFonts w:ascii="Times New Roman"/>
                <w:spacing w:val="-6"/>
              </w:rPr>
              <w:t xml:space="preserve"> </w:t>
            </w:r>
            <w:r>
              <w:rPr>
                <w:rFonts w:ascii="Times New Roman"/>
              </w:rPr>
              <w:t>works</w:t>
            </w:r>
            <w:r>
              <w:rPr>
                <w:rFonts w:ascii="Times New Roman"/>
                <w:spacing w:val="-5"/>
              </w:rPr>
              <w:t xml:space="preserve"> </w:t>
            </w:r>
            <w:r>
              <w:rPr>
                <w:rFonts w:ascii="Times New Roman"/>
              </w:rPr>
              <w:t>subcontractor</w:t>
            </w:r>
            <w:r>
              <w:rPr>
                <w:rFonts w:ascii="Times New Roman"/>
                <w:spacing w:val="-5"/>
              </w:rPr>
              <w:t xml:space="preserve"> </w:t>
            </w:r>
            <w:r>
              <w:rPr>
                <w:rFonts w:ascii="Times New Roman"/>
                <w:b/>
              </w:rPr>
              <w:t>(NCA</w:t>
            </w:r>
            <w:r>
              <w:rPr>
                <w:rFonts w:ascii="Times New Roman"/>
                <w:b/>
                <w:spacing w:val="-5"/>
              </w:rPr>
              <w:t xml:space="preserve"> </w:t>
            </w:r>
            <w:r>
              <w:rPr>
                <w:rFonts w:ascii="Times New Roman"/>
                <w:b/>
              </w:rPr>
              <w:t>8</w:t>
            </w:r>
            <w:r>
              <w:rPr>
                <w:rFonts w:ascii="Times New Roman"/>
                <w:b/>
                <w:spacing w:val="-4"/>
              </w:rPr>
              <w:t xml:space="preserve"> </w:t>
            </w:r>
            <w:r>
              <w:rPr>
                <w:rFonts w:ascii="Times New Roman"/>
                <w:b/>
              </w:rPr>
              <w:t>and</w:t>
            </w:r>
            <w:r>
              <w:rPr>
                <w:rFonts w:ascii="Times New Roman"/>
                <w:b/>
                <w:spacing w:val="-4"/>
              </w:rPr>
              <w:t xml:space="preserve"> </w:t>
            </w:r>
            <w:r>
              <w:rPr>
                <w:rFonts w:ascii="Times New Roman"/>
                <w:b/>
                <w:spacing w:val="-2"/>
              </w:rPr>
              <w:t>above)</w:t>
            </w:r>
          </w:p>
          <w:p w:rsidR="007F6DF9" w:rsidRDefault="00A43FBC">
            <w:pPr>
              <w:pStyle w:val="TableParagraph"/>
              <w:numPr>
                <w:ilvl w:val="0"/>
                <w:numId w:val="182"/>
              </w:numPr>
              <w:tabs>
                <w:tab w:val="left" w:pos="2010"/>
              </w:tabs>
              <w:spacing w:before="252" w:line="252" w:lineRule="exact"/>
              <w:rPr>
                <w:rFonts w:ascii="Times New Roman"/>
                <w:b/>
              </w:rPr>
            </w:pPr>
            <w:r>
              <w:rPr>
                <w:rFonts w:ascii="Times New Roman"/>
              </w:rPr>
              <w:t>Mechanical</w:t>
            </w:r>
            <w:r>
              <w:rPr>
                <w:rFonts w:ascii="Times New Roman"/>
                <w:spacing w:val="-6"/>
              </w:rPr>
              <w:t xml:space="preserve"> </w:t>
            </w:r>
            <w:r>
              <w:rPr>
                <w:rFonts w:ascii="Times New Roman"/>
              </w:rPr>
              <w:t>Installation</w:t>
            </w:r>
            <w:r>
              <w:rPr>
                <w:rFonts w:ascii="Times New Roman"/>
                <w:spacing w:val="-7"/>
              </w:rPr>
              <w:t xml:space="preserve"> </w:t>
            </w:r>
            <w:r>
              <w:rPr>
                <w:rFonts w:ascii="Times New Roman"/>
              </w:rPr>
              <w:t>Works</w:t>
            </w:r>
            <w:r>
              <w:rPr>
                <w:rFonts w:ascii="Times New Roman"/>
                <w:spacing w:val="-3"/>
              </w:rPr>
              <w:t xml:space="preserve"> </w:t>
            </w:r>
            <w:r>
              <w:rPr>
                <w:rFonts w:ascii="Times New Roman"/>
              </w:rPr>
              <w:t>Subcontractor</w:t>
            </w:r>
            <w:r>
              <w:rPr>
                <w:rFonts w:ascii="Times New Roman"/>
                <w:spacing w:val="-1"/>
              </w:rPr>
              <w:t xml:space="preserve"> </w:t>
            </w:r>
            <w:r>
              <w:rPr>
                <w:rFonts w:ascii="Times New Roman"/>
                <w:b/>
              </w:rPr>
              <w:t>(NCA</w:t>
            </w:r>
            <w:r>
              <w:rPr>
                <w:rFonts w:ascii="Times New Roman"/>
                <w:b/>
                <w:spacing w:val="-4"/>
              </w:rPr>
              <w:t xml:space="preserve"> </w:t>
            </w:r>
            <w:r>
              <w:rPr>
                <w:rFonts w:ascii="Times New Roman"/>
                <w:b/>
              </w:rPr>
              <w:t>8</w:t>
            </w:r>
            <w:r>
              <w:rPr>
                <w:rFonts w:ascii="Times New Roman"/>
                <w:b/>
                <w:spacing w:val="-7"/>
              </w:rPr>
              <w:t xml:space="preserve"> </w:t>
            </w:r>
            <w:r>
              <w:rPr>
                <w:rFonts w:ascii="Times New Roman"/>
                <w:b/>
              </w:rPr>
              <w:t>and</w:t>
            </w:r>
            <w:r>
              <w:rPr>
                <w:rFonts w:ascii="Times New Roman"/>
                <w:b/>
                <w:spacing w:val="-4"/>
              </w:rPr>
              <w:t xml:space="preserve"> </w:t>
            </w:r>
            <w:r>
              <w:rPr>
                <w:rFonts w:ascii="Times New Roman"/>
                <w:b/>
                <w:spacing w:val="-2"/>
              </w:rPr>
              <w:t>above)</w:t>
            </w:r>
          </w:p>
          <w:p w:rsidR="007F6DF9" w:rsidRDefault="00A43FBC">
            <w:pPr>
              <w:pStyle w:val="TableParagraph"/>
              <w:ind w:left="105"/>
              <w:rPr>
                <w:rFonts w:ascii="Times New Roman"/>
              </w:rPr>
            </w:pPr>
            <w:r>
              <w:rPr>
                <w:rFonts w:ascii="Times New Roman"/>
              </w:rPr>
              <w:t>Stating</w:t>
            </w:r>
            <w:r>
              <w:rPr>
                <w:rFonts w:ascii="Times New Roman"/>
                <w:spacing w:val="-4"/>
              </w:rPr>
              <w:t xml:space="preserve"> </w:t>
            </w:r>
            <w:r>
              <w:rPr>
                <w:rFonts w:ascii="Times New Roman"/>
              </w:rPr>
              <w:t>that</w:t>
            </w:r>
            <w:r>
              <w:rPr>
                <w:rFonts w:ascii="Times New Roman"/>
                <w:spacing w:val="-1"/>
              </w:rPr>
              <w:t xml:space="preserve"> </w:t>
            </w:r>
            <w:r>
              <w:rPr>
                <w:rFonts w:ascii="Times New Roman"/>
              </w:rPr>
              <w:t>if</w:t>
            </w:r>
            <w:r>
              <w:rPr>
                <w:rFonts w:ascii="Times New Roman"/>
                <w:spacing w:val="-3"/>
              </w:rPr>
              <w:t xml:space="preserve"> </w:t>
            </w:r>
            <w:r>
              <w:rPr>
                <w:rFonts w:ascii="Times New Roman"/>
              </w:rPr>
              <w:t>the</w:t>
            </w:r>
            <w:r>
              <w:rPr>
                <w:rFonts w:ascii="Times New Roman"/>
                <w:spacing w:val="-3"/>
              </w:rPr>
              <w:t xml:space="preserve"> </w:t>
            </w:r>
            <w:r>
              <w:rPr>
                <w:rFonts w:ascii="Times New Roman"/>
              </w:rPr>
              <w:t>main</w:t>
            </w:r>
            <w:r>
              <w:rPr>
                <w:rFonts w:ascii="Times New Roman"/>
                <w:spacing w:val="-1"/>
              </w:rPr>
              <w:t xml:space="preserve"> </w:t>
            </w:r>
            <w:r>
              <w:rPr>
                <w:rFonts w:ascii="Times New Roman"/>
              </w:rPr>
              <w:t>contractor</w:t>
            </w:r>
            <w:r>
              <w:rPr>
                <w:rFonts w:ascii="Times New Roman"/>
                <w:spacing w:val="-3"/>
              </w:rPr>
              <w:t xml:space="preserve"> </w:t>
            </w:r>
            <w:r>
              <w:rPr>
                <w:rFonts w:ascii="Times New Roman"/>
              </w:rPr>
              <w:t>is</w:t>
            </w:r>
            <w:r>
              <w:rPr>
                <w:rFonts w:ascii="Times New Roman"/>
                <w:spacing w:val="-3"/>
              </w:rPr>
              <w:t xml:space="preserve"> </w:t>
            </w:r>
            <w:r>
              <w:rPr>
                <w:rFonts w:ascii="Times New Roman"/>
              </w:rPr>
              <w:t>awarded</w:t>
            </w:r>
            <w:r>
              <w:rPr>
                <w:rFonts w:ascii="Times New Roman"/>
                <w:spacing w:val="-1"/>
              </w:rPr>
              <w:t xml:space="preserve"> </w:t>
            </w:r>
            <w:r>
              <w:rPr>
                <w:rFonts w:ascii="Times New Roman"/>
              </w:rPr>
              <w:t>the</w:t>
            </w:r>
            <w:r>
              <w:rPr>
                <w:rFonts w:ascii="Times New Roman"/>
                <w:spacing w:val="-1"/>
              </w:rPr>
              <w:t xml:space="preserve"> </w:t>
            </w:r>
            <w:r>
              <w:rPr>
                <w:rFonts w:ascii="Times New Roman"/>
              </w:rPr>
              <w:t>contract,</w:t>
            </w:r>
            <w:r>
              <w:rPr>
                <w:rFonts w:ascii="Times New Roman"/>
                <w:spacing w:val="-1"/>
              </w:rPr>
              <w:t xml:space="preserve"> </w:t>
            </w:r>
            <w:r>
              <w:rPr>
                <w:rFonts w:ascii="Times New Roman"/>
              </w:rPr>
              <w:t>he</w:t>
            </w:r>
            <w:r>
              <w:rPr>
                <w:rFonts w:ascii="Times New Roman"/>
                <w:spacing w:val="-3"/>
              </w:rPr>
              <w:t xml:space="preserve"> </w:t>
            </w:r>
            <w:r>
              <w:rPr>
                <w:rFonts w:ascii="Times New Roman"/>
              </w:rPr>
              <w:t>shall</w:t>
            </w:r>
            <w:r>
              <w:rPr>
                <w:rFonts w:ascii="Times New Roman"/>
                <w:spacing w:val="-1"/>
              </w:rPr>
              <w:t xml:space="preserve"> </w:t>
            </w:r>
            <w:r>
              <w:rPr>
                <w:rFonts w:ascii="Times New Roman"/>
              </w:rPr>
              <w:t>work</w:t>
            </w:r>
            <w:r>
              <w:rPr>
                <w:rFonts w:ascii="Times New Roman"/>
                <w:spacing w:val="-1"/>
              </w:rPr>
              <w:t xml:space="preserve"> </w:t>
            </w:r>
            <w:r>
              <w:rPr>
                <w:rFonts w:ascii="Times New Roman"/>
              </w:rPr>
              <w:t>with</w:t>
            </w:r>
            <w:r>
              <w:rPr>
                <w:rFonts w:ascii="Times New Roman"/>
                <w:spacing w:val="-4"/>
              </w:rPr>
              <w:t xml:space="preserve"> </w:t>
            </w:r>
            <w:r>
              <w:rPr>
                <w:rFonts w:ascii="Times New Roman"/>
              </w:rPr>
              <w:t>the</w:t>
            </w:r>
            <w:r>
              <w:rPr>
                <w:rFonts w:ascii="Times New Roman"/>
                <w:spacing w:val="-3"/>
              </w:rPr>
              <w:t xml:space="preserve"> </w:t>
            </w:r>
            <w:r>
              <w:rPr>
                <w:rFonts w:ascii="Times New Roman"/>
              </w:rPr>
              <w:t>firms</w:t>
            </w:r>
            <w:r>
              <w:rPr>
                <w:rFonts w:ascii="Times New Roman"/>
                <w:spacing w:val="-3"/>
              </w:rPr>
              <w:t xml:space="preserve"> </w:t>
            </w:r>
            <w:r>
              <w:rPr>
                <w:rFonts w:ascii="Times New Roman"/>
              </w:rPr>
              <w:t>as</w:t>
            </w:r>
            <w:r>
              <w:rPr>
                <w:rFonts w:ascii="Times New Roman"/>
                <w:spacing w:val="-3"/>
              </w:rPr>
              <w:t xml:space="preserve"> </w:t>
            </w:r>
            <w:r>
              <w:rPr>
                <w:rFonts w:ascii="Times New Roman"/>
              </w:rPr>
              <w:t>their</w:t>
            </w:r>
            <w:r>
              <w:rPr>
                <w:rFonts w:ascii="Times New Roman"/>
                <w:spacing w:val="-3"/>
              </w:rPr>
              <w:t xml:space="preserve"> </w:t>
            </w:r>
            <w:r>
              <w:rPr>
                <w:rFonts w:ascii="Times New Roman"/>
              </w:rPr>
              <w:t xml:space="preserve">domestic </w:t>
            </w:r>
            <w:r>
              <w:rPr>
                <w:rFonts w:ascii="Times New Roman"/>
                <w:spacing w:val="-2"/>
              </w:rPr>
              <w:t>subcontractors</w:t>
            </w:r>
          </w:p>
          <w:p w:rsidR="007F6DF9" w:rsidRDefault="00A43FBC">
            <w:pPr>
              <w:pStyle w:val="TableParagraph"/>
              <w:ind w:left="105"/>
              <w:rPr>
                <w:rFonts w:ascii="Times New Roman"/>
              </w:rPr>
            </w:pPr>
            <w:r>
              <w:rPr>
                <w:rFonts w:ascii="Times New Roman"/>
              </w:rPr>
              <w:t>The</w:t>
            </w:r>
            <w:r>
              <w:rPr>
                <w:rFonts w:ascii="Times New Roman"/>
                <w:spacing w:val="-3"/>
              </w:rPr>
              <w:t xml:space="preserve"> </w:t>
            </w:r>
            <w:r>
              <w:rPr>
                <w:rFonts w:ascii="Times New Roman"/>
              </w:rPr>
              <w:t>agreement</w:t>
            </w:r>
            <w:r>
              <w:rPr>
                <w:rFonts w:ascii="Times New Roman"/>
                <w:spacing w:val="-5"/>
              </w:rPr>
              <w:t xml:space="preserve"> </w:t>
            </w:r>
            <w:r>
              <w:rPr>
                <w:rFonts w:ascii="Times New Roman"/>
              </w:rPr>
              <w:t>must</w:t>
            </w:r>
            <w:r>
              <w:rPr>
                <w:rFonts w:ascii="Times New Roman"/>
                <w:spacing w:val="-2"/>
              </w:rPr>
              <w:t xml:space="preserve"> </w:t>
            </w:r>
            <w:r>
              <w:rPr>
                <w:rFonts w:ascii="Times New Roman"/>
              </w:rPr>
              <w:t>be</w:t>
            </w:r>
            <w:r>
              <w:rPr>
                <w:rFonts w:ascii="Times New Roman"/>
                <w:spacing w:val="-2"/>
              </w:rPr>
              <w:t xml:space="preserve"> </w:t>
            </w:r>
            <w:r>
              <w:rPr>
                <w:rFonts w:ascii="Times New Roman"/>
              </w:rPr>
              <w:t>witnessed</w:t>
            </w:r>
            <w:r>
              <w:rPr>
                <w:rFonts w:ascii="Times New Roman"/>
                <w:spacing w:val="-3"/>
              </w:rPr>
              <w:t xml:space="preserve"> </w:t>
            </w:r>
            <w:r>
              <w:rPr>
                <w:rFonts w:ascii="Times New Roman"/>
              </w:rPr>
              <w:t>by</w:t>
            </w:r>
            <w:r>
              <w:rPr>
                <w:rFonts w:ascii="Times New Roman"/>
                <w:spacing w:val="-3"/>
              </w:rPr>
              <w:t xml:space="preserve"> </w:t>
            </w:r>
            <w:r>
              <w:rPr>
                <w:rFonts w:ascii="Times New Roman"/>
              </w:rPr>
              <w:t>an</w:t>
            </w:r>
            <w:r>
              <w:rPr>
                <w:rFonts w:ascii="Times New Roman"/>
                <w:spacing w:val="-2"/>
              </w:rPr>
              <w:t xml:space="preserve"> attorney/advocate</w:t>
            </w:r>
          </w:p>
          <w:p w:rsidR="007F6DF9" w:rsidRDefault="00A43FBC">
            <w:pPr>
              <w:pStyle w:val="TableParagraph"/>
              <w:spacing w:before="1" w:line="233" w:lineRule="exact"/>
              <w:ind w:left="105"/>
              <w:rPr>
                <w:rFonts w:ascii="Times New Roman"/>
              </w:rPr>
            </w:pPr>
            <w:r>
              <w:rPr>
                <w:rFonts w:ascii="Times New Roman"/>
              </w:rPr>
              <w:t>(Not</w:t>
            </w:r>
            <w:r>
              <w:rPr>
                <w:rFonts w:ascii="Times New Roman"/>
                <w:spacing w:val="-3"/>
              </w:rPr>
              <w:t xml:space="preserve"> </w:t>
            </w:r>
            <w:r>
              <w:rPr>
                <w:rFonts w:ascii="Times New Roman"/>
              </w:rPr>
              <w:t>necessary</w:t>
            </w:r>
            <w:r>
              <w:rPr>
                <w:rFonts w:ascii="Times New Roman"/>
                <w:spacing w:val="-3"/>
              </w:rPr>
              <w:t xml:space="preserve"> </w:t>
            </w:r>
            <w:r>
              <w:rPr>
                <w:rFonts w:ascii="Times New Roman"/>
              </w:rPr>
              <w:t>if</w:t>
            </w:r>
            <w:r>
              <w:rPr>
                <w:rFonts w:ascii="Times New Roman"/>
                <w:spacing w:val="-3"/>
              </w:rPr>
              <w:t xml:space="preserve"> </w:t>
            </w:r>
            <w:r>
              <w:rPr>
                <w:rFonts w:ascii="Times New Roman"/>
              </w:rPr>
              <w:t>the</w:t>
            </w:r>
            <w:r>
              <w:rPr>
                <w:rFonts w:ascii="Times New Roman"/>
                <w:spacing w:val="-5"/>
              </w:rPr>
              <w:t xml:space="preserve"> </w:t>
            </w:r>
            <w:r>
              <w:rPr>
                <w:rFonts w:ascii="Times New Roman"/>
              </w:rPr>
              <w:t>main</w:t>
            </w:r>
            <w:r>
              <w:rPr>
                <w:rFonts w:ascii="Times New Roman"/>
                <w:spacing w:val="-6"/>
              </w:rPr>
              <w:t xml:space="preserve"> </w:t>
            </w:r>
            <w:r>
              <w:rPr>
                <w:rFonts w:ascii="Times New Roman"/>
              </w:rPr>
              <w:t>contractor</w:t>
            </w:r>
            <w:r>
              <w:rPr>
                <w:rFonts w:ascii="Times New Roman"/>
                <w:spacing w:val="-5"/>
              </w:rPr>
              <w:t xml:space="preserve"> </w:t>
            </w:r>
            <w:r>
              <w:rPr>
                <w:rFonts w:ascii="Times New Roman"/>
              </w:rPr>
              <w:t>is</w:t>
            </w:r>
            <w:r>
              <w:rPr>
                <w:rFonts w:ascii="Times New Roman"/>
                <w:spacing w:val="-5"/>
              </w:rPr>
              <w:t xml:space="preserve"> </w:t>
            </w:r>
            <w:r>
              <w:rPr>
                <w:rFonts w:ascii="Times New Roman"/>
              </w:rPr>
              <w:t>registered</w:t>
            </w:r>
            <w:r>
              <w:rPr>
                <w:rFonts w:ascii="Times New Roman"/>
                <w:spacing w:val="-5"/>
              </w:rPr>
              <w:t xml:space="preserve"> </w:t>
            </w:r>
            <w:r>
              <w:rPr>
                <w:rFonts w:ascii="Times New Roman"/>
              </w:rPr>
              <w:t>for</w:t>
            </w:r>
            <w:r>
              <w:rPr>
                <w:rFonts w:ascii="Times New Roman"/>
                <w:spacing w:val="-5"/>
              </w:rPr>
              <w:t xml:space="preserve"> </w:t>
            </w:r>
            <w:r>
              <w:rPr>
                <w:rFonts w:ascii="Times New Roman"/>
              </w:rPr>
              <w:t>specialist</w:t>
            </w:r>
            <w:r>
              <w:rPr>
                <w:rFonts w:ascii="Times New Roman"/>
                <w:spacing w:val="-2"/>
              </w:rPr>
              <w:t xml:space="preserve"> work)</w:t>
            </w:r>
          </w:p>
        </w:tc>
      </w:tr>
      <w:tr w:rsidR="00A931E2" w:rsidTr="00A931E2">
        <w:trPr>
          <w:trHeight w:val="305"/>
        </w:trPr>
        <w:tc>
          <w:tcPr>
            <w:tcW w:w="812" w:type="dxa"/>
          </w:tcPr>
          <w:p w:rsidR="00A931E2" w:rsidRDefault="00A931E2">
            <w:pPr>
              <w:pStyle w:val="TableParagraph"/>
              <w:spacing w:line="251" w:lineRule="exact"/>
              <w:ind w:right="20"/>
              <w:jc w:val="center"/>
              <w:rPr>
                <w:rFonts w:ascii="Times New Roman"/>
                <w:spacing w:val="-4"/>
              </w:rPr>
            </w:pPr>
            <w:r>
              <w:rPr>
                <w:rFonts w:ascii="Times New Roman"/>
                <w:spacing w:val="-4"/>
              </w:rPr>
              <w:t>MR 19</w:t>
            </w:r>
          </w:p>
        </w:tc>
        <w:tc>
          <w:tcPr>
            <w:tcW w:w="10195" w:type="dxa"/>
          </w:tcPr>
          <w:p w:rsidR="00A931E2" w:rsidRDefault="00A931E2">
            <w:pPr>
              <w:pStyle w:val="TableParagraph"/>
              <w:ind w:left="105" w:right="77"/>
              <w:rPr>
                <w:rFonts w:ascii="Times New Roman" w:hAnsi="Times New Roman"/>
              </w:rPr>
            </w:pPr>
            <w:r>
              <w:rPr>
                <w:rFonts w:ascii="Times New Roman" w:hAnsi="Times New Roman"/>
              </w:rPr>
              <w:t>Must attach KRA PIN Certificate with VAT Obligation subject to KRA PIN Checker</w:t>
            </w:r>
          </w:p>
        </w:tc>
      </w:tr>
      <w:tr w:rsidR="007F6DF9">
        <w:trPr>
          <w:trHeight w:val="3859"/>
        </w:trPr>
        <w:tc>
          <w:tcPr>
            <w:tcW w:w="812" w:type="dxa"/>
          </w:tcPr>
          <w:p w:rsidR="007F6DF9" w:rsidRDefault="007F6DF9">
            <w:pPr>
              <w:pStyle w:val="TableParagraph"/>
              <w:rPr>
                <w:rFonts w:ascii="Times New Roman"/>
              </w:rPr>
            </w:pPr>
          </w:p>
        </w:tc>
        <w:tc>
          <w:tcPr>
            <w:tcW w:w="10195" w:type="dxa"/>
          </w:tcPr>
          <w:p w:rsidR="007F6DF9" w:rsidRDefault="00A43FBC">
            <w:pPr>
              <w:pStyle w:val="TableParagraph"/>
              <w:spacing w:line="252" w:lineRule="exact"/>
              <w:ind w:left="105"/>
              <w:rPr>
                <w:rFonts w:ascii="Times New Roman"/>
              </w:rPr>
            </w:pPr>
            <w:r>
              <w:rPr>
                <w:rFonts w:ascii="Times New Roman"/>
                <w:spacing w:val="-5"/>
              </w:rPr>
              <w:t>NB:</w:t>
            </w:r>
          </w:p>
          <w:p w:rsidR="007F6DF9" w:rsidRDefault="00A43FBC">
            <w:pPr>
              <w:pStyle w:val="TableParagraph"/>
              <w:numPr>
                <w:ilvl w:val="0"/>
                <w:numId w:val="181"/>
              </w:numPr>
              <w:tabs>
                <w:tab w:val="left" w:pos="825"/>
              </w:tabs>
              <w:ind w:right="695"/>
              <w:rPr>
                <w:rFonts w:ascii="Times New Roman" w:hAnsi="Times New Roman"/>
                <w:b/>
                <w:i/>
              </w:rPr>
            </w:pPr>
            <w:r>
              <w:rPr>
                <w:rFonts w:ascii="Times New Roman" w:hAnsi="Times New Roman"/>
                <w:b/>
                <w:i/>
              </w:rPr>
              <w:t>The</w:t>
            </w:r>
            <w:r>
              <w:rPr>
                <w:rFonts w:ascii="Times New Roman" w:hAnsi="Times New Roman"/>
                <w:b/>
                <w:i/>
                <w:spacing w:val="-2"/>
              </w:rPr>
              <w:t xml:space="preserve"> </w:t>
            </w:r>
            <w:r>
              <w:rPr>
                <w:rFonts w:ascii="Times New Roman" w:hAnsi="Times New Roman"/>
                <w:b/>
                <w:i/>
              </w:rPr>
              <w:t>criteria</w:t>
            </w:r>
            <w:r>
              <w:rPr>
                <w:rFonts w:ascii="Times New Roman" w:hAnsi="Times New Roman"/>
                <w:b/>
                <w:i/>
                <w:spacing w:val="-5"/>
              </w:rPr>
              <w:t xml:space="preserve"> </w:t>
            </w:r>
            <w:r>
              <w:rPr>
                <w:rFonts w:ascii="Times New Roman" w:hAnsi="Times New Roman"/>
                <w:b/>
                <w:i/>
              </w:rPr>
              <w:t>for</w:t>
            </w:r>
            <w:r>
              <w:rPr>
                <w:rFonts w:ascii="Times New Roman" w:hAnsi="Times New Roman"/>
                <w:b/>
                <w:i/>
                <w:spacing w:val="-4"/>
              </w:rPr>
              <w:t xml:space="preserve"> </w:t>
            </w:r>
            <w:r>
              <w:rPr>
                <w:rFonts w:ascii="Times New Roman" w:hAnsi="Times New Roman"/>
                <w:b/>
                <w:i/>
              </w:rPr>
              <w:t>the</w:t>
            </w:r>
            <w:r>
              <w:rPr>
                <w:rFonts w:ascii="Times New Roman" w:hAnsi="Times New Roman"/>
                <w:b/>
                <w:i/>
                <w:spacing w:val="-5"/>
              </w:rPr>
              <w:t xml:space="preserve"> </w:t>
            </w:r>
            <w:r>
              <w:rPr>
                <w:rFonts w:ascii="Times New Roman" w:hAnsi="Times New Roman"/>
                <w:b/>
                <w:i/>
              </w:rPr>
              <w:t>subcontract</w:t>
            </w:r>
            <w:r>
              <w:rPr>
                <w:rFonts w:ascii="Times New Roman" w:hAnsi="Times New Roman"/>
                <w:b/>
                <w:i/>
                <w:spacing w:val="-1"/>
              </w:rPr>
              <w:t xml:space="preserve"> </w:t>
            </w:r>
            <w:r>
              <w:rPr>
                <w:rFonts w:ascii="Times New Roman" w:hAnsi="Times New Roman"/>
                <w:b/>
                <w:i/>
              </w:rPr>
              <w:t>bids</w:t>
            </w:r>
            <w:r>
              <w:rPr>
                <w:rFonts w:ascii="Times New Roman" w:hAnsi="Times New Roman"/>
                <w:b/>
                <w:i/>
                <w:spacing w:val="-4"/>
              </w:rPr>
              <w:t xml:space="preserve"> </w:t>
            </w:r>
            <w:r>
              <w:rPr>
                <w:rFonts w:ascii="Times New Roman" w:hAnsi="Times New Roman"/>
                <w:b/>
                <w:i/>
              </w:rPr>
              <w:t>shall</w:t>
            </w:r>
            <w:r>
              <w:rPr>
                <w:rFonts w:ascii="Times New Roman" w:hAnsi="Times New Roman"/>
                <w:b/>
                <w:i/>
                <w:spacing w:val="-1"/>
              </w:rPr>
              <w:t xml:space="preserve"> </w:t>
            </w:r>
            <w:r>
              <w:rPr>
                <w:rFonts w:ascii="Times New Roman" w:hAnsi="Times New Roman"/>
                <w:b/>
                <w:i/>
              </w:rPr>
              <w:t>be</w:t>
            </w:r>
            <w:r>
              <w:rPr>
                <w:rFonts w:ascii="Times New Roman" w:hAnsi="Times New Roman"/>
                <w:b/>
                <w:i/>
                <w:spacing w:val="-4"/>
              </w:rPr>
              <w:t xml:space="preserve"> </w:t>
            </w:r>
            <w:r>
              <w:rPr>
                <w:rFonts w:ascii="Times New Roman" w:hAnsi="Times New Roman"/>
                <w:b/>
                <w:i/>
              </w:rPr>
              <w:t>referred</w:t>
            </w:r>
            <w:r>
              <w:rPr>
                <w:rFonts w:ascii="Times New Roman" w:hAnsi="Times New Roman"/>
                <w:b/>
                <w:i/>
                <w:spacing w:val="-4"/>
              </w:rPr>
              <w:t xml:space="preserve"> </w:t>
            </w:r>
            <w:r>
              <w:rPr>
                <w:rFonts w:ascii="Times New Roman" w:hAnsi="Times New Roman"/>
                <w:b/>
                <w:i/>
              </w:rPr>
              <w:t>from</w:t>
            </w:r>
            <w:r>
              <w:rPr>
                <w:rFonts w:ascii="Times New Roman" w:hAnsi="Times New Roman"/>
                <w:b/>
                <w:i/>
                <w:spacing w:val="-1"/>
              </w:rPr>
              <w:t xml:space="preserve"> </w:t>
            </w:r>
            <w:r>
              <w:rPr>
                <w:rFonts w:ascii="Times New Roman" w:hAnsi="Times New Roman"/>
                <w:b/>
                <w:i/>
              </w:rPr>
              <w:t>the</w:t>
            </w:r>
            <w:r>
              <w:rPr>
                <w:rFonts w:ascii="Times New Roman" w:hAnsi="Times New Roman"/>
                <w:b/>
                <w:i/>
                <w:spacing w:val="-2"/>
              </w:rPr>
              <w:t xml:space="preserve"> </w:t>
            </w:r>
            <w:r>
              <w:rPr>
                <w:rFonts w:ascii="Times New Roman" w:hAnsi="Times New Roman"/>
                <w:b/>
                <w:i/>
              </w:rPr>
              <w:t>Mechanical</w:t>
            </w:r>
            <w:r>
              <w:rPr>
                <w:rFonts w:ascii="Times New Roman" w:hAnsi="Times New Roman"/>
                <w:b/>
                <w:i/>
                <w:spacing w:val="-1"/>
              </w:rPr>
              <w:t xml:space="preserve"> </w:t>
            </w:r>
            <w:r>
              <w:rPr>
                <w:rFonts w:ascii="Times New Roman" w:hAnsi="Times New Roman"/>
                <w:b/>
                <w:i/>
              </w:rPr>
              <w:t>and</w:t>
            </w:r>
            <w:r>
              <w:rPr>
                <w:rFonts w:ascii="Times New Roman" w:hAnsi="Times New Roman"/>
                <w:b/>
                <w:i/>
                <w:spacing w:val="-5"/>
              </w:rPr>
              <w:t xml:space="preserve"> </w:t>
            </w:r>
            <w:r>
              <w:rPr>
                <w:rFonts w:ascii="Times New Roman" w:hAnsi="Times New Roman"/>
                <w:b/>
                <w:i/>
              </w:rPr>
              <w:t>Electrical</w:t>
            </w:r>
            <w:r>
              <w:rPr>
                <w:rFonts w:ascii="Times New Roman" w:hAnsi="Times New Roman"/>
                <w:b/>
                <w:i/>
                <w:spacing w:val="-4"/>
              </w:rPr>
              <w:t xml:space="preserve"> </w:t>
            </w:r>
            <w:r>
              <w:rPr>
                <w:rFonts w:ascii="Times New Roman" w:hAnsi="Times New Roman"/>
                <w:b/>
                <w:i/>
              </w:rPr>
              <w:t xml:space="preserve">folios </w:t>
            </w:r>
            <w:r w:rsidR="00FC371B">
              <w:rPr>
                <w:rFonts w:ascii="Times New Roman" w:hAnsi="Times New Roman"/>
                <w:b/>
                <w:i/>
              </w:rPr>
              <w:t>respectively. (N</w:t>
            </w:r>
            <w:r>
              <w:rPr>
                <w:rFonts w:ascii="Times New Roman" w:hAnsi="Times New Roman"/>
                <w:b/>
                <w:i/>
              </w:rPr>
              <w:t>/A)</w:t>
            </w:r>
          </w:p>
          <w:p w:rsidR="007F6DF9" w:rsidRDefault="00A43FBC">
            <w:pPr>
              <w:pStyle w:val="TableParagraph"/>
              <w:numPr>
                <w:ilvl w:val="0"/>
                <w:numId w:val="181"/>
              </w:numPr>
              <w:tabs>
                <w:tab w:val="left" w:pos="825"/>
              </w:tabs>
              <w:spacing w:before="252"/>
              <w:ind w:right="329"/>
              <w:rPr>
                <w:rFonts w:ascii="Times New Roman" w:hAnsi="Times New Roman"/>
              </w:rPr>
            </w:pPr>
            <w:r>
              <w:rPr>
                <w:rFonts w:ascii="Times New Roman" w:hAnsi="Times New Roman"/>
              </w:rPr>
              <w:t>Bidders</w:t>
            </w:r>
            <w:r>
              <w:rPr>
                <w:rFonts w:ascii="Times New Roman" w:hAnsi="Times New Roman"/>
                <w:spacing w:val="-2"/>
              </w:rPr>
              <w:t xml:space="preserve"> </w:t>
            </w:r>
            <w:r>
              <w:rPr>
                <w:rFonts w:ascii="Times New Roman" w:hAnsi="Times New Roman"/>
              </w:rPr>
              <w:t>who</w:t>
            </w:r>
            <w:r>
              <w:rPr>
                <w:rFonts w:ascii="Times New Roman" w:hAnsi="Times New Roman"/>
                <w:spacing w:val="-2"/>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not</w:t>
            </w:r>
            <w:r>
              <w:rPr>
                <w:rFonts w:ascii="Times New Roman" w:hAnsi="Times New Roman"/>
                <w:spacing w:val="-4"/>
              </w:rPr>
              <w:t xml:space="preserve"> </w:t>
            </w:r>
            <w:r>
              <w:rPr>
                <w:rFonts w:ascii="Times New Roman" w:hAnsi="Times New Roman"/>
              </w:rPr>
              <w:t>satisfy</w:t>
            </w:r>
            <w:r>
              <w:rPr>
                <w:rFonts w:ascii="Times New Roman" w:hAnsi="Times New Roman"/>
                <w:spacing w:val="-5"/>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above</w:t>
            </w:r>
            <w:r>
              <w:rPr>
                <w:rFonts w:ascii="Times New Roman" w:hAnsi="Times New Roman"/>
                <w:spacing w:val="-2"/>
              </w:rPr>
              <w:t xml:space="preserve"> </w:t>
            </w:r>
            <w:r>
              <w:rPr>
                <w:rFonts w:ascii="Times New Roman" w:hAnsi="Times New Roman"/>
              </w:rPr>
              <w:t>requirements</w:t>
            </w:r>
            <w:r>
              <w:rPr>
                <w:rFonts w:ascii="Times New Roman" w:hAnsi="Times New Roman"/>
                <w:spacing w:val="-2"/>
              </w:rPr>
              <w:t xml:space="preserve"> </w:t>
            </w:r>
            <w:r>
              <w:rPr>
                <w:rFonts w:ascii="Times New Roman" w:hAnsi="Times New Roman"/>
              </w:rPr>
              <w:t>shall</w:t>
            </w:r>
            <w:r>
              <w:rPr>
                <w:rFonts w:ascii="Times New Roman" w:hAnsi="Times New Roman"/>
                <w:spacing w:val="-1"/>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considered</w:t>
            </w:r>
            <w:r>
              <w:rPr>
                <w:rFonts w:ascii="Times New Roman" w:hAnsi="Times New Roman"/>
                <w:spacing w:val="-2"/>
              </w:rPr>
              <w:t xml:space="preserve"> </w:t>
            </w:r>
            <w:r>
              <w:rPr>
                <w:rFonts w:ascii="Times New Roman" w:hAnsi="Times New Roman"/>
              </w:rPr>
              <w:t>non</w:t>
            </w:r>
            <w:r>
              <w:rPr>
                <w:rFonts w:ascii="Times New Roman" w:hAnsi="Times New Roman"/>
                <w:spacing w:val="-5"/>
              </w:rPr>
              <w:t xml:space="preserve"> </w:t>
            </w:r>
            <w:r>
              <w:rPr>
                <w:rFonts w:ascii="Times New Roman" w:hAnsi="Times New Roman"/>
              </w:rPr>
              <w:t>responsive</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their tenders will not be evaluated further.</w:t>
            </w:r>
          </w:p>
          <w:p w:rsidR="007F6DF9" w:rsidRDefault="007F6DF9">
            <w:pPr>
              <w:pStyle w:val="TableParagraph"/>
              <w:rPr>
                <w:rFonts w:ascii="Times New Roman"/>
              </w:rPr>
            </w:pPr>
          </w:p>
          <w:p w:rsidR="007F6DF9" w:rsidRDefault="00A43FBC">
            <w:pPr>
              <w:pStyle w:val="TableParagraph"/>
              <w:numPr>
                <w:ilvl w:val="0"/>
                <w:numId w:val="181"/>
              </w:numPr>
              <w:tabs>
                <w:tab w:val="left" w:pos="825"/>
              </w:tabs>
              <w:ind w:right="409"/>
              <w:rPr>
                <w:rFonts w:ascii="Times New Roman" w:hAnsi="Times New Roman"/>
              </w:rPr>
            </w:pPr>
            <w:r>
              <w:rPr>
                <w:rFonts w:ascii="Times New Roman" w:hAnsi="Times New Roman"/>
                <w:b/>
                <w:i/>
              </w:rPr>
              <w:t>Preliminary</w:t>
            </w:r>
            <w:r>
              <w:rPr>
                <w:rFonts w:ascii="Times New Roman" w:hAnsi="Times New Roman"/>
                <w:b/>
                <w:i/>
                <w:spacing w:val="-2"/>
              </w:rPr>
              <w:t xml:space="preserve"> </w:t>
            </w:r>
            <w:r>
              <w:rPr>
                <w:rFonts w:ascii="Times New Roman" w:hAnsi="Times New Roman"/>
                <w:b/>
                <w:i/>
              </w:rPr>
              <w:t>Evaluation</w:t>
            </w:r>
            <w:r>
              <w:rPr>
                <w:rFonts w:ascii="Times New Roman" w:hAnsi="Times New Roman"/>
                <w:b/>
                <w:i/>
                <w:spacing w:val="-4"/>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proposed</w:t>
            </w:r>
            <w:r>
              <w:rPr>
                <w:rFonts w:ascii="Times New Roman" w:hAnsi="Times New Roman"/>
                <w:spacing w:val="-2"/>
              </w:rPr>
              <w:t xml:space="preserve"> </w:t>
            </w:r>
            <w:r>
              <w:rPr>
                <w:rFonts w:ascii="Times New Roman" w:hAnsi="Times New Roman"/>
              </w:rPr>
              <w:t>specialist</w:t>
            </w:r>
            <w:r>
              <w:rPr>
                <w:rFonts w:ascii="Times New Roman" w:hAnsi="Times New Roman"/>
                <w:spacing w:val="-1"/>
              </w:rPr>
              <w:t xml:space="preserve"> </w:t>
            </w:r>
            <w:r>
              <w:rPr>
                <w:rFonts w:ascii="Times New Roman" w:hAnsi="Times New Roman"/>
              </w:rPr>
              <w:t>works</w:t>
            </w:r>
            <w:r>
              <w:rPr>
                <w:rFonts w:ascii="Times New Roman" w:hAnsi="Times New Roman"/>
                <w:spacing w:val="-4"/>
              </w:rPr>
              <w:t xml:space="preserve"> </w:t>
            </w:r>
            <w:r>
              <w:rPr>
                <w:rFonts w:ascii="Times New Roman" w:hAnsi="Times New Roman"/>
              </w:rPr>
              <w:t>listed</w:t>
            </w:r>
            <w:r>
              <w:rPr>
                <w:rFonts w:ascii="Times New Roman" w:hAnsi="Times New Roman"/>
                <w:spacing w:val="-4"/>
              </w:rPr>
              <w:t xml:space="preserve"> </w:t>
            </w:r>
            <w:r>
              <w:rPr>
                <w:rFonts w:ascii="Times New Roman" w:hAnsi="Times New Roman"/>
              </w:rPr>
              <w:t>under</w:t>
            </w:r>
            <w:r>
              <w:rPr>
                <w:rFonts w:ascii="Times New Roman" w:hAnsi="Times New Roman"/>
                <w:spacing w:val="-2"/>
              </w:rPr>
              <w:t xml:space="preserve"> </w:t>
            </w:r>
            <w:r>
              <w:rPr>
                <w:rFonts w:ascii="Times New Roman" w:hAnsi="Times New Roman"/>
              </w:rPr>
              <w:t>ITT</w:t>
            </w:r>
            <w:r>
              <w:rPr>
                <w:rFonts w:ascii="Times New Roman" w:hAnsi="Times New Roman"/>
                <w:spacing w:val="-3"/>
              </w:rPr>
              <w:t xml:space="preserve"> </w:t>
            </w:r>
            <w:r>
              <w:rPr>
                <w:rFonts w:ascii="Times New Roman" w:hAnsi="Times New Roman"/>
              </w:rPr>
              <w:t>34.3</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 xml:space="preserve">as </w:t>
            </w:r>
            <w:r>
              <w:rPr>
                <w:rFonts w:ascii="Times New Roman" w:hAnsi="Times New Roman"/>
                <w:b/>
                <w:i/>
              </w:rPr>
              <w:t>contained</w:t>
            </w:r>
            <w:r>
              <w:rPr>
                <w:rFonts w:ascii="Times New Roman" w:hAnsi="Times New Roman"/>
                <w:b/>
                <w:i/>
                <w:spacing w:val="-2"/>
              </w:rPr>
              <w:t xml:space="preserve"> </w:t>
            </w:r>
            <w:r>
              <w:rPr>
                <w:rFonts w:ascii="Times New Roman" w:hAnsi="Times New Roman"/>
                <w:b/>
                <w:i/>
              </w:rPr>
              <w:t xml:space="preserve">in this volume </w:t>
            </w:r>
            <w:r>
              <w:rPr>
                <w:rFonts w:ascii="Times New Roman" w:hAnsi="Times New Roman"/>
              </w:rPr>
              <w:t>as per the section below.</w:t>
            </w:r>
          </w:p>
          <w:p w:rsidR="007F6DF9" w:rsidRDefault="007F6DF9">
            <w:pPr>
              <w:pStyle w:val="TableParagraph"/>
              <w:rPr>
                <w:rFonts w:ascii="Times New Roman"/>
              </w:rPr>
            </w:pPr>
          </w:p>
          <w:p w:rsidR="007F6DF9" w:rsidRDefault="00A43FBC">
            <w:pPr>
              <w:pStyle w:val="TableParagraph"/>
              <w:numPr>
                <w:ilvl w:val="0"/>
                <w:numId w:val="181"/>
              </w:numPr>
              <w:tabs>
                <w:tab w:val="left" w:pos="824"/>
              </w:tabs>
              <w:spacing w:line="269" w:lineRule="exact"/>
              <w:ind w:left="824" w:hanging="359"/>
              <w:rPr>
                <w:rFonts w:ascii="Times New Roman" w:hAnsi="Times New Roman"/>
              </w:rPr>
            </w:pPr>
            <w:r>
              <w:rPr>
                <w:rFonts w:ascii="Times New Roman" w:hAnsi="Times New Roman"/>
              </w:rPr>
              <w:t>Order</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evaluation</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works</w:t>
            </w:r>
            <w:r>
              <w:rPr>
                <w:rFonts w:ascii="Times New Roman" w:hAnsi="Times New Roman"/>
                <w:spacing w:val="-2"/>
              </w:rPr>
              <w:t xml:space="preserve"> </w:t>
            </w:r>
            <w:r>
              <w:rPr>
                <w:rFonts w:ascii="Times New Roman" w:hAnsi="Times New Roman"/>
              </w:rPr>
              <w:t>will</w:t>
            </w:r>
            <w:r>
              <w:rPr>
                <w:rFonts w:ascii="Times New Roman" w:hAnsi="Times New Roman"/>
                <w:spacing w:val="-2"/>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as</w:t>
            </w:r>
            <w:r>
              <w:rPr>
                <w:rFonts w:ascii="Times New Roman" w:hAnsi="Times New Roman"/>
                <w:spacing w:val="-4"/>
              </w:rPr>
              <w:t xml:space="preserve"> </w:t>
            </w:r>
            <w:r>
              <w:rPr>
                <w:rFonts w:ascii="Times New Roman" w:hAnsi="Times New Roman"/>
                <w:spacing w:val="-2"/>
              </w:rPr>
              <w:t>follows:</w:t>
            </w:r>
          </w:p>
          <w:p w:rsidR="007F6DF9" w:rsidRDefault="00A43FBC">
            <w:pPr>
              <w:pStyle w:val="TableParagraph"/>
              <w:numPr>
                <w:ilvl w:val="1"/>
                <w:numId w:val="181"/>
              </w:numPr>
              <w:tabs>
                <w:tab w:val="left" w:pos="2089"/>
              </w:tabs>
              <w:spacing w:line="252" w:lineRule="exact"/>
              <w:ind w:hanging="568"/>
              <w:rPr>
                <w:rFonts w:ascii="Times New Roman"/>
              </w:rPr>
            </w:pPr>
            <w:r>
              <w:rPr>
                <w:rFonts w:ascii="Times New Roman"/>
              </w:rPr>
              <w:t>Preliminary</w:t>
            </w:r>
            <w:r>
              <w:rPr>
                <w:rFonts w:ascii="Times New Roman"/>
                <w:spacing w:val="-6"/>
              </w:rPr>
              <w:t xml:space="preserve"> </w:t>
            </w:r>
            <w:r>
              <w:rPr>
                <w:rFonts w:ascii="Times New Roman"/>
              </w:rPr>
              <w:t>evaluation</w:t>
            </w:r>
            <w:r>
              <w:rPr>
                <w:rFonts w:ascii="Times New Roman"/>
                <w:spacing w:val="-5"/>
              </w:rPr>
              <w:t xml:space="preserve"> </w:t>
            </w:r>
            <w:r>
              <w:rPr>
                <w:rFonts w:ascii="Times New Roman"/>
              </w:rPr>
              <w:t>of</w:t>
            </w:r>
            <w:r>
              <w:rPr>
                <w:rFonts w:ascii="Times New Roman"/>
                <w:spacing w:val="-5"/>
              </w:rPr>
              <w:t xml:space="preserve"> </w:t>
            </w:r>
            <w:r>
              <w:rPr>
                <w:rFonts w:ascii="Times New Roman"/>
              </w:rPr>
              <w:t>Main</w:t>
            </w:r>
            <w:r>
              <w:rPr>
                <w:rFonts w:ascii="Times New Roman"/>
                <w:spacing w:val="-5"/>
              </w:rPr>
              <w:t xml:space="preserve"> </w:t>
            </w:r>
            <w:r>
              <w:rPr>
                <w:rFonts w:ascii="Times New Roman"/>
                <w:spacing w:val="-2"/>
              </w:rPr>
              <w:t>Works</w:t>
            </w:r>
          </w:p>
          <w:p w:rsidR="007F6DF9" w:rsidRDefault="00A43FBC">
            <w:pPr>
              <w:pStyle w:val="TableParagraph"/>
              <w:numPr>
                <w:ilvl w:val="1"/>
                <w:numId w:val="181"/>
              </w:numPr>
              <w:tabs>
                <w:tab w:val="left" w:pos="2089"/>
              </w:tabs>
              <w:spacing w:line="252" w:lineRule="exact"/>
              <w:ind w:hanging="568"/>
              <w:rPr>
                <w:rFonts w:ascii="Times New Roman"/>
              </w:rPr>
            </w:pPr>
            <w:r>
              <w:rPr>
                <w:rFonts w:ascii="Times New Roman"/>
              </w:rPr>
              <w:t>Technical</w:t>
            </w:r>
            <w:r>
              <w:rPr>
                <w:rFonts w:ascii="Times New Roman"/>
                <w:spacing w:val="-4"/>
              </w:rPr>
              <w:t xml:space="preserve"> </w:t>
            </w:r>
            <w:r>
              <w:rPr>
                <w:rFonts w:ascii="Times New Roman"/>
              </w:rPr>
              <w:t>Evaluation</w:t>
            </w:r>
            <w:r>
              <w:rPr>
                <w:rFonts w:ascii="Times New Roman"/>
                <w:spacing w:val="-4"/>
              </w:rPr>
              <w:t xml:space="preserve"> </w:t>
            </w:r>
            <w:r>
              <w:rPr>
                <w:rFonts w:ascii="Times New Roman"/>
              </w:rPr>
              <w:t>of</w:t>
            </w:r>
            <w:r>
              <w:rPr>
                <w:rFonts w:ascii="Times New Roman"/>
                <w:spacing w:val="-7"/>
              </w:rPr>
              <w:t xml:space="preserve"> </w:t>
            </w:r>
            <w:r>
              <w:rPr>
                <w:rFonts w:ascii="Times New Roman"/>
              </w:rPr>
              <w:t>Main</w:t>
            </w:r>
            <w:r>
              <w:rPr>
                <w:rFonts w:ascii="Times New Roman"/>
                <w:spacing w:val="-8"/>
              </w:rPr>
              <w:t xml:space="preserve"> </w:t>
            </w:r>
            <w:r>
              <w:rPr>
                <w:rFonts w:ascii="Times New Roman"/>
              </w:rPr>
              <w:t>Works</w:t>
            </w:r>
            <w:r>
              <w:rPr>
                <w:rFonts w:ascii="Times New Roman"/>
                <w:spacing w:val="-3"/>
              </w:rPr>
              <w:t xml:space="preserve"> </w:t>
            </w:r>
            <w:r>
              <w:rPr>
                <w:rFonts w:ascii="Times New Roman"/>
              </w:rPr>
              <w:t>(</w:t>
            </w:r>
            <w:r w:rsidR="00FC371B">
              <w:rPr>
                <w:rFonts w:ascii="Times New Roman"/>
              </w:rPr>
              <w:t>Qualification</w:t>
            </w:r>
            <w:r>
              <w:rPr>
                <w:rFonts w:ascii="Times New Roman"/>
                <w:spacing w:val="-4"/>
              </w:rPr>
              <w:t xml:space="preserve"> Form)</w:t>
            </w:r>
          </w:p>
          <w:p w:rsidR="007F6DF9" w:rsidRDefault="00A43FBC">
            <w:pPr>
              <w:pStyle w:val="TableParagraph"/>
              <w:numPr>
                <w:ilvl w:val="1"/>
                <w:numId w:val="181"/>
              </w:numPr>
              <w:tabs>
                <w:tab w:val="left" w:pos="2089"/>
              </w:tabs>
              <w:spacing w:before="2"/>
              <w:ind w:hanging="568"/>
              <w:rPr>
                <w:rFonts w:ascii="Times New Roman"/>
              </w:rPr>
            </w:pPr>
            <w:r>
              <w:rPr>
                <w:rFonts w:ascii="Times New Roman"/>
              </w:rPr>
              <w:t>Financial</w:t>
            </w:r>
            <w:r>
              <w:rPr>
                <w:rFonts w:ascii="Times New Roman"/>
                <w:spacing w:val="-4"/>
              </w:rPr>
              <w:t xml:space="preserve"> </w:t>
            </w:r>
            <w:r>
              <w:rPr>
                <w:rFonts w:ascii="Times New Roman"/>
              </w:rPr>
              <w:t>Evaluation</w:t>
            </w:r>
            <w:r>
              <w:rPr>
                <w:rFonts w:ascii="Times New Roman"/>
                <w:spacing w:val="-3"/>
              </w:rPr>
              <w:t xml:space="preserve"> </w:t>
            </w:r>
            <w:r>
              <w:rPr>
                <w:rFonts w:ascii="Times New Roman"/>
              </w:rPr>
              <w:t>of</w:t>
            </w:r>
            <w:r>
              <w:rPr>
                <w:rFonts w:ascii="Times New Roman"/>
                <w:spacing w:val="-4"/>
              </w:rPr>
              <w:t xml:space="preserve"> </w:t>
            </w:r>
            <w:r>
              <w:rPr>
                <w:rFonts w:ascii="Times New Roman"/>
              </w:rPr>
              <w:t>Main</w:t>
            </w:r>
            <w:r>
              <w:rPr>
                <w:rFonts w:ascii="Times New Roman"/>
                <w:spacing w:val="-3"/>
              </w:rPr>
              <w:t xml:space="preserve"> </w:t>
            </w:r>
            <w:r>
              <w:rPr>
                <w:rFonts w:ascii="Times New Roman"/>
                <w:spacing w:val="-4"/>
              </w:rPr>
              <w:t>works</w:t>
            </w:r>
          </w:p>
        </w:tc>
      </w:tr>
    </w:tbl>
    <w:p w:rsidR="007F6DF9" w:rsidRDefault="00A43FBC">
      <w:pPr>
        <w:pStyle w:val="BodyText"/>
        <w:spacing w:before="239"/>
        <w:ind w:left="1418"/>
      </w:pPr>
      <w:r>
        <w:rPr>
          <w:b/>
        </w:rPr>
        <w:t>NOTE:</w:t>
      </w:r>
      <w:r>
        <w:rPr>
          <w:b/>
          <w:spacing w:val="-5"/>
        </w:rPr>
        <w:t xml:space="preserve"> </w:t>
      </w:r>
      <w:r>
        <w:rPr>
          <w:b/>
        </w:rPr>
        <w:t>1</w:t>
      </w:r>
      <w:r>
        <w:t>)</w:t>
      </w:r>
      <w:r>
        <w:rPr>
          <w:spacing w:val="-4"/>
        </w:rPr>
        <w:t xml:space="preserve"> </w:t>
      </w:r>
      <w:r>
        <w:t>Non-</w:t>
      </w:r>
      <w:r w:rsidR="00FC371B">
        <w:t>compliance</w:t>
      </w:r>
      <w:r>
        <w:rPr>
          <w:spacing w:val="-3"/>
        </w:rPr>
        <w:t xml:space="preserve"> </w:t>
      </w:r>
      <w:r>
        <w:t>to</w:t>
      </w:r>
      <w:r>
        <w:rPr>
          <w:spacing w:val="-7"/>
        </w:rPr>
        <w:t xml:space="preserve"> </w:t>
      </w:r>
      <w:r>
        <w:t>the</w:t>
      </w:r>
      <w:r>
        <w:rPr>
          <w:spacing w:val="-5"/>
        </w:rPr>
        <w:t xml:space="preserve"> </w:t>
      </w:r>
      <w:r>
        <w:t>requirements</w:t>
      </w:r>
      <w:r>
        <w:rPr>
          <w:spacing w:val="-4"/>
        </w:rPr>
        <w:t xml:space="preserve"> </w:t>
      </w:r>
      <w:r>
        <w:t>shall</w:t>
      </w:r>
      <w:r>
        <w:rPr>
          <w:spacing w:val="-5"/>
        </w:rPr>
        <w:t xml:space="preserve"> </w:t>
      </w:r>
      <w:r>
        <w:t>lead</w:t>
      </w:r>
      <w:r>
        <w:rPr>
          <w:spacing w:val="-7"/>
        </w:rPr>
        <w:t xml:space="preserve"> </w:t>
      </w:r>
      <w:r>
        <w:t>to</w:t>
      </w:r>
      <w:r>
        <w:rPr>
          <w:spacing w:val="-6"/>
        </w:rPr>
        <w:t xml:space="preserve"> </w:t>
      </w:r>
      <w:r>
        <w:t>automatic</w:t>
      </w:r>
      <w:r>
        <w:rPr>
          <w:spacing w:val="-3"/>
        </w:rPr>
        <w:t xml:space="preserve"> </w:t>
      </w:r>
      <w:r>
        <w:rPr>
          <w:spacing w:val="-2"/>
        </w:rPr>
        <w:t>disqualification</w:t>
      </w:r>
    </w:p>
    <w:p w:rsidR="007F6DF9" w:rsidRDefault="00A43FBC">
      <w:pPr>
        <w:pStyle w:val="ListParagraph"/>
        <w:numPr>
          <w:ilvl w:val="2"/>
          <w:numId w:val="183"/>
        </w:numPr>
        <w:tabs>
          <w:tab w:val="left" w:pos="2366"/>
        </w:tabs>
        <w:spacing w:before="239"/>
        <w:ind w:left="2366" w:hanging="235"/>
      </w:pPr>
      <w:r>
        <w:t>Due</w:t>
      </w:r>
      <w:r>
        <w:rPr>
          <w:spacing w:val="-4"/>
        </w:rPr>
        <w:t xml:space="preserve"> </w:t>
      </w:r>
      <w:r>
        <w:t>diligence</w:t>
      </w:r>
      <w:r>
        <w:rPr>
          <w:spacing w:val="-3"/>
        </w:rPr>
        <w:t xml:space="preserve"> </w:t>
      </w:r>
      <w:r>
        <w:t>shall</w:t>
      </w:r>
      <w:r>
        <w:rPr>
          <w:spacing w:val="-2"/>
        </w:rPr>
        <w:t xml:space="preserve"> </w:t>
      </w:r>
      <w:r>
        <w:t>be</w:t>
      </w:r>
      <w:r>
        <w:rPr>
          <w:spacing w:val="-3"/>
        </w:rPr>
        <w:t xml:space="preserve"> </w:t>
      </w:r>
      <w:r>
        <w:rPr>
          <w:spacing w:val="-2"/>
        </w:rPr>
        <w:t>conducted</w:t>
      </w:r>
    </w:p>
    <w:p w:rsidR="007F6DF9" w:rsidRDefault="00A43FBC">
      <w:pPr>
        <w:pStyle w:val="ListParagraph"/>
        <w:numPr>
          <w:ilvl w:val="2"/>
          <w:numId w:val="183"/>
        </w:numPr>
        <w:tabs>
          <w:tab w:val="left" w:pos="2366"/>
        </w:tabs>
        <w:spacing w:before="236"/>
        <w:ind w:left="2366" w:hanging="235"/>
      </w:pPr>
      <w:r>
        <w:t>Digital</w:t>
      </w:r>
      <w:r>
        <w:rPr>
          <w:spacing w:val="-4"/>
        </w:rPr>
        <w:t xml:space="preserve"> </w:t>
      </w:r>
      <w:r>
        <w:t>verification</w:t>
      </w:r>
      <w:r>
        <w:rPr>
          <w:spacing w:val="-5"/>
        </w:rPr>
        <w:t xml:space="preserve"> </w:t>
      </w:r>
      <w:r>
        <w:t>of</w:t>
      </w:r>
      <w:r>
        <w:rPr>
          <w:spacing w:val="-7"/>
        </w:rPr>
        <w:t xml:space="preserve"> </w:t>
      </w:r>
      <w:r>
        <w:t>documents</w:t>
      </w:r>
      <w:r>
        <w:rPr>
          <w:spacing w:val="-5"/>
        </w:rPr>
        <w:t xml:space="preserve"> </w:t>
      </w:r>
      <w:r>
        <w:t>shall</w:t>
      </w:r>
      <w:r>
        <w:rPr>
          <w:spacing w:val="-4"/>
        </w:rPr>
        <w:t xml:space="preserve"> </w:t>
      </w:r>
      <w:r>
        <w:t>be</w:t>
      </w:r>
      <w:r>
        <w:rPr>
          <w:spacing w:val="-4"/>
        </w:rPr>
        <w:t xml:space="preserve"> done</w:t>
      </w:r>
    </w:p>
    <w:p w:rsidR="007F6DF9" w:rsidRPr="00A931E2" w:rsidRDefault="00A43FBC">
      <w:pPr>
        <w:pStyle w:val="ListParagraph"/>
        <w:numPr>
          <w:ilvl w:val="2"/>
          <w:numId w:val="183"/>
        </w:numPr>
        <w:tabs>
          <w:tab w:val="left" w:pos="2312"/>
        </w:tabs>
        <w:spacing w:before="239"/>
        <w:ind w:left="2312" w:hanging="236"/>
      </w:pPr>
      <w:r>
        <w:t>MR</w:t>
      </w:r>
      <w:r>
        <w:rPr>
          <w:spacing w:val="-2"/>
        </w:rPr>
        <w:t xml:space="preserve"> </w:t>
      </w:r>
      <w:r>
        <w:t>18</w:t>
      </w:r>
      <w:r>
        <w:rPr>
          <w:spacing w:val="-1"/>
        </w:rPr>
        <w:t xml:space="preserve"> </w:t>
      </w:r>
      <w:r>
        <w:t>does</w:t>
      </w:r>
      <w:r>
        <w:rPr>
          <w:spacing w:val="-2"/>
        </w:rPr>
        <w:t xml:space="preserve"> </w:t>
      </w:r>
      <w:r>
        <w:t>not</w:t>
      </w:r>
      <w:r>
        <w:rPr>
          <w:spacing w:val="-2"/>
        </w:rPr>
        <w:t xml:space="preserve"> </w:t>
      </w:r>
      <w:r>
        <w:rPr>
          <w:spacing w:val="-4"/>
        </w:rPr>
        <w:t>apply</w:t>
      </w:r>
    </w:p>
    <w:p w:rsidR="00A931E2" w:rsidRDefault="00A931E2">
      <w:pPr>
        <w:pStyle w:val="ListParagraph"/>
        <w:numPr>
          <w:ilvl w:val="2"/>
          <w:numId w:val="183"/>
        </w:numPr>
        <w:tabs>
          <w:tab w:val="left" w:pos="2312"/>
        </w:tabs>
        <w:spacing w:before="239"/>
        <w:ind w:left="2312" w:hanging="236"/>
      </w:pPr>
      <w:r>
        <w:rPr>
          <w:spacing w:val="-4"/>
        </w:rPr>
        <w:t>MR 17 is not a Must</w:t>
      </w:r>
    </w:p>
    <w:p w:rsidR="007F6DF9" w:rsidRDefault="007F6DF9">
      <w:pPr>
        <w:pStyle w:val="ListParagraph"/>
      </w:pPr>
    </w:p>
    <w:p w:rsidR="00A931E2" w:rsidRDefault="00A931E2">
      <w:pPr>
        <w:pStyle w:val="ListParagraph"/>
        <w:sectPr w:rsidR="00A931E2">
          <w:pgSz w:w="11920" w:h="16850"/>
          <w:pgMar w:top="360" w:right="0" w:bottom="620" w:left="0" w:header="0" w:footer="437" w:gutter="0"/>
          <w:cols w:space="720"/>
        </w:sectPr>
      </w:pPr>
    </w:p>
    <w:p w:rsidR="007F6DF9" w:rsidRDefault="007F6DF9">
      <w:pPr>
        <w:pStyle w:val="BodyText"/>
      </w:pPr>
    </w:p>
    <w:p w:rsidR="007F6DF9" w:rsidRDefault="007F6DF9">
      <w:pPr>
        <w:pStyle w:val="BodyText"/>
      </w:pPr>
    </w:p>
    <w:p w:rsidR="007F6DF9" w:rsidRDefault="007F6DF9">
      <w:pPr>
        <w:pStyle w:val="BodyText"/>
        <w:spacing w:before="3"/>
      </w:pPr>
    </w:p>
    <w:p w:rsidR="007F6DF9" w:rsidRDefault="00A43FBC">
      <w:pPr>
        <w:pStyle w:val="Heading8"/>
        <w:numPr>
          <w:ilvl w:val="1"/>
          <w:numId w:val="180"/>
        </w:numPr>
        <w:tabs>
          <w:tab w:val="left" w:pos="1418"/>
        </w:tabs>
        <w:ind w:hanging="569"/>
      </w:pPr>
      <w:r>
        <w:rPr>
          <w:color w:val="221F1F"/>
          <w:spacing w:val="-2"/>
        </w:rPr>
        <w:t>TENDER</w:t>
      </w:r>
      <w:r>
        <w:rPr>
          <w:color w:val="221F1F"/>
          <w:spacing w:val="-11"/>
        </w:rPr>
        <w:t xml:space="preserve"> </w:t>
      </w:r>
      <w:r>
        <w:rPr>
          <w:color w:val="221F1F"/>
          <w:spacing w:val="-2"/>
        </w:rPr>
        <w:t>EVALUATION</w:t>
      </w:r>
      <w:r>
        <w:rPr>
          <w:color w:val="221F1F"/>
          <w:spacing w:val="-11"/>
        </w:rPr>
        <w:t xml:space="preserve"> </w:t>
      </w:r>
      <w:r>
        <w:rPr>
          <w:color w:val="221F1F"/>
          <w:spacing w:val="-2"/>
        </w:rPr>
        <w:t>(ITT</w:t>
      </w:r>
      <w:r>
        <w:rPr>
          <w:color w:val="221F1F"/>
          <w:spacing w:val="-6"/>
        </w:rPr>
        <w:t xml:space="preserve"> </w:t>
      </w:r>
      <w:r>
        <w:rPr>
          <w:color w:val="221F1F"/>
          <w:spacing w:val="-5"/>
        </w:rPr>
        <w:t>35)</w:t>
      </w:r>
    </w:p>
    <w:p w:rsidR="007F6DF9" w:rsidRDefault="00A43FBC">
      <w:pPr>
        <w:pStyle w:val="BodyText"/>
        <w:spacing w:before="235"/>
        <w:ind w:left="1418"/>
      </w:pPr>
      <w:r>
        <w:rPr>
          <w:color w:val="221F1F"/>
        </w:rPr>
        <w:t>Price</w:t>
      </w:r>
      <w:r>
        <w:rPr>
          <w:color w:val="221F1F"/>
          <w:spacing w:val="-3"/>
        </w:rPr>
        <w:t xml:space="preserve"> </w:t>
      </w:r>
      <w:r>
        <w:rPr>
          <w:color w:val="221F1F"/>
        </w:rPr>
        <w:t>evaluation:</w:t>
      </w:r>
      <w:r>
        <w:rPr>
          <w:color w:val="221F1F"/>
          <w:spacing w:val="-5"/>
        </w:rPr>
        <w:t xml:space="preserve"> </w:t>
      </w:r>
      <w:r>
        <w:rPr>
          <w:color w:val="221F1F"/>
        </w:rPr>
        <w:t>in</w:t>
      </w:r>
      <w:r>
        <w:rPr>
          <w:color w:val="221F1F"/>
          <w:spacing w:val="-6"/>
        </w:rPr>
        <w:t xml:space="preserve"> </w:t>
      </w:r>
      <w:r>
        <w:rPr>
          <w:color w:val="221F1F"/>
        </w:rPr>
        <w:t>addition</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criteria</w:t>
      </w:r>
      <w:r>
        <w:rPr>
          <w:color w:val="221F1F"/>
          <w:spacing w:val="-3"/>
        </w:rPr>
        <w:t xml:space="preserve"> </w:t>
      </w:r>
      <w:r>
        <w:rPr>
          <w:color w:val="221F1F"/>
        </w:rPr>
        <w:t>listed</w:t>
      </w:r>
      <w:r>
        <w:rPr>
          <w:color w:val="221F1F"/>
          <w:spacing w:val="-5"/>
        </w:rPr>
        <w:t xml:space="preserve"> </w:t>
      </w:r>
      <w:r>
        <w:rPr>
          <w:color w:val="221F1F"/>
        </w:rPr>
        <w:t>in</w:t>
      </w:r>
      <w:r>
        <w:rPr>
          <w:color w:val="221F1F"/>
          <w:spacing w:val="-3"/>
        </w:rPr>
        <w:t xml:space="preserve"> </w:t>
      </w:r>
      <w:r>
        <w:rPr>
          <w:color w:val="221F1F"/>
        </w:rPr>
        <w:t>ITT</w:t>
      </w:r>
      <w:r>
        <w:rPr>
          <w:color w:val="221F1F"/>
          <w:spacing w:val="-4"/>
        </w:rPr>
        <w:t xml:space="preserve"> </w:t>
      </w:r>
      <w:r>
        <w:rPr>
          <w:color w:val="221F1F"/>
        </w:rPr>
        <w:t>35.2</w:t>
      </w:r>
      <w:r>
        <w:rPr>
          <w:color w:val="221F1F"/>
          <w:spacing w:val="-3"/>
        </w:rPr>
        <w:t xml:space="preserve"> </w:t>
      </w:r>
      <w:r>
        <w:rPr>
          <w:color w:val="221F1F"/>
        </w:rPr>
        <w:t>(a)</w:t>
      </w:r>
      <w:r>
        <w:rPr>
          <w:color w:val="221F1F"/>
          <w:spacing w:val="3"/>
        </w:rPr>
        <w:t xml:space="preserve"> </w:t>
      </w:r>
      <w:r>
        <w:rPr>
          <w:color w:val="221F1F"/>
        </w:rPr>
        <w:t>–</w:t>
      </w:r>
      <w:r>
        <w:rPr>
          <w:color w:val="221F1F"/>
          <w:spacing w:val="-6"/>
        </w:rPr>
        <w:t xml:space="preserve"> </w:t>
      </w:r>
      <w:r>
        <w:rPr>
          <w:color w:val="221F1F"/>
        </w:rPr>
        <w:t>(d)</w:t>
      </w:r>
      <w:r>
        <w:rPr>
          <w:color w:val="221F1F"/>
          <w:spacing w:val="-5"/>
        </w:rPr>
        <w:t xml:space="preserve"> </w:t>
      </w:r>
      <w:r>
        <w:rPr>
          <w:color w:val="221F1F"/>
        </w:rPr>
        <w:t>the</w:t>
      </w:r>
      <w:r>
        <w:rPr>
          <w:color w:val="221F1F"/>
          <w:spacing w:val="-3"/>
        </w:rPr>
        <w:t xml:space="preserve"> </w:t>
      </w:r>
      <w:r>
        <w:rPr>
          <w:color w:val="221F1F"/>
        </w:rPr>
        <w:t>following</w:t>
      </w:r>
      <w:r>
        <w:rPr>
          <w:color w:val="221F1F"/>
          <w:spacing w:val="-2"/>
        </w:rPr>
        <w:t xml:space="preserve"> </w:t>
      </w:r>
      <w:r>
        <w:rPr>
          <w:color w:val="221F1F"/>
        </w:rPr>
        <w:t>criteria</w:t>
      </w:r>
      <w:r>
        <w:rPr>
          <w:color w:val="221F1F"/>
          <w:spacing w:val="-3"/>
        </w:rPr>
        <w:t xml:space="preserve"> </w:t>
      </w:r>
      <w:r>
        <w:rPr>
          <w:color w:val="221F1F"/>
        </w:rPr>
        <w:t>shall</w:t>
      </w:r>
      <w:r>
        <w:rPr>
          <w:color w:val="221F1F"/>
          <w:spacing w:val="-2"/>
        </w:rPr>
        <w:t xml:space="preserve"> apply:</w:t>
      </w:r>
    </w:p>
    <w:p w:rsidR="007F6DF9" w:rsidRDefault="00A43FBC">
      <w:pPr>
        <w:pStyle w:val="ListParagraph"/>
        <w:numPr>
          <w:ilvl w:val="2"/>
          <w:numId w:val="180"/>
        </w:numPr>
        <w:tabs>
          <w:tab w:val="left" w:pos="1901"/>
        </w:tabs>
        <w:spacing w:before="104" w:line="251" w:lineRule="exact"/>
      </w:pPr>
      <w:r>
        <w:rPr>
          <w:color w:val="221F1F"/>
        </w:rPr>
        <w:t>Alternative</w:t>
      </w:r>
      <w:r>
        <w:rPr>
          <w:color w:val="221F1F"/>
          <w:spacing w:val="26"/>
        </w:rPr>
        <w:t xml:space="preserve"> </w:t>
      </w:r>
      <w:r>
        <w:rPr>
          <w:color w:val="221F1F"/>
        </w:rPr>
        <w:t>Completion</w:t>
      </w:r>
      <w:r>
        <w:rPr>
          <w:color w:val="221F1F"/>
          <w:spacing w:val="29"/>
        </w:rPr>
        <w:t xml:space="preserve"> </w:t>
      </w:r>
      <w:r>
        <w:rPr>
          <w:color w:val="221F1F"/>
        </w:rPr>
        <w:t>Times,</w:t>
      </w:r>
      <w:r>
        <w:rPr>
          <w:color w:val="221F1F"/>
          <w:spacing w:val="22"/>
        </w:rPr>
        <w:t xml:space="preserve"> </w:t>
      </w:r>
      <w:r>
        <w:rPr>
          <w:color w:val="221F1F"/>
        </w:rPr>
        <w:t>if</w:t>
      </w:r>
      <w:r>
        <w:rPr>
          <w:color w:val="221F1F"/>
          <w:spacing w:val="20"/>
        </w:rPr>
        <w:t xml:space="preserve"> </w:t>
      </w:r>
      <w:r>
        <w:rPr>
          <w:color w:val="221F1F"/>
        </w:rPr>
        <w:t>permitted</w:t>
      </w:r>
      <w:r>
        <w:rPr>
          <w:color w:val="221F1F"/>
          <w:spacing w:val="28"/>
        </w:rPr>
        <w:t xml:space="preserve"> </w:t>
      </w:r>
      <w:r>
        <w:rPr>
          <w:color w:val="221F1F"/>
        </w:rPr>
        <w:t>under</w:t>
      </w:r>
      <w:r>
        <w:rPr>
          <w:color w:val="221F1F"/>
          <w:spacing w:val="23"/>
        </w:rPr>
        <w:t xml:space="preserve"> </w:t>
      </w:r>
      <w:r>
        <w:rPr>
          <w:color w:val="221F1F"/>
        </w:rPr>
        <w:t>ITT13.2,</w:t>
      </w:r>
      <w:r>
        <w:rPr>
          <w:color w:val="221F1F"/>
          <w:spacing w:val="21"/>
        </w:rPr>
        <w:t xml:space="preserve"> </w:t>
      </w:r>
      <w:r>
        <w:rPr>
          <w:color w:val="221F1F"/>
        </w:rPr>
        <w:t>will</w:t>
      </w:r>
      <w:r>
        <w:rPr>
          <w:color w:val="221F1F"/>
          <w:spacing w:val="23"/>
        </w:rPr>
        <w:t xml:space="preserve"> </w:t>
      </w:r>
      <w:r>
        <w:rPr>
          <w:color w:val="221F1F"/>
        </w:rPr>
        <w:t>be</w:t>
      </w:r>
      <w:r>
        <w:rPr>
          <w:color w:val="221F1F"/>
          <w:spacing w:val="20"/>
        </w:rPr>
        <w:t xml:space="preserve"> </w:t>
      </w:r>
      <w:r>
        <w:rPr>
          <w:color w:val="221F1F"/>
        </w:rPr>
        <w:t>evaluated</w:t>
      </w:r>
      <w:r>
        <w:rPr>
          <w:color w:val="221F1F"/>
          <w:spacing w:val="26"/>
        </w:rPr>
        <w:t xml:space="preserve"> </w:t>
      </w:r>
      <w:r>
        <w:rPr>
          <w:color w:val="221F1F"/>
        </w:rPr>
        <w:t>as</w:t>
      </w:r>
      <w:r>
        <w:rPr>
          <w:color w:val="221F1F"/>
          <w:spacing w:val="21"/>
        </w:rPr>
        <w:t xml:space="preserve"> </w:t>
      </w:r>
      <w:r>
        <w:rPr>
          <w:color w:val="221F1F"/>
          <w:spacing w:val="-2"/>
        </w:rPr>
        <w:t>follows:</w:t>
      </w:r>
    </w:p>
    <w:p w:rsidR="007F6DF9" w:rsidRDefault="00A43FBC">
      <w:pPr>
        <w:spacing w:line="251" w:lineRule="exact"/>
        <w:ind w:left="1906"/>
      </w:pPr>
      <w:r>
        <w:rPr>
          <w:color w:val="221F1F"/>
          <w:spacing w:val="-2"/>
        </w:rPr>
        <w:t>…………………………………………………………………</w:t>
      </w:r>
    </w:p>
    <w:p w:rsidR="007F6DF9" w:rsidRDefault="00A43FBC">
      <w:pPr>
        <w:pStyle w:val="ListParagraph"/>
        <w:numPr>
          <w:ilvl w:val="2"/>
          <w:numId w:val="180"/>
        </w:numPr>
        <w:tabs>
          <w:tab w:val="left" w:pos="1898"/>
          <w:tab w:val="left" w:pos="1906"/>
        </w:tabs>
        <w:spacing w:before="72" w:line="230" w:lineRule="auto"/>
        <w:ind w:left="1906" w:right="1148" w:hanging="488"/>
      </w:pPr>
      <w:r>
        <w:rPr>
          <w:color w:val="221F1F"/>
        </w:rPr>
        <w:t>Alternative</w:t>
      </w:r>
      <w:r>
        <w:rPr>
          <w:color w:val="221F1F"/>
          <w:spacing w:val="-3"/>
        </w:rPr>
        <w:t xml:space="preserve"> </w:t>
      </w:r>
      <w:r>
        <w:rPr>
          <w:color w:val="221F1F"/>
        </w:rPr>
        <w:t>Technical</w:t>
      </w:r>
      <w:r>
        <w:rPr>
          <w:color w:val="221F1F"/>
          <w:spacing w:val="-3"/>
        </w:rPr>
        <w:t xml:space="preserve"> </w:t>
      </w:r>
      <w:r>
        <w:rPr>
          <w:color w:val="221F1F"/>
        </w:rPr>
        <w:t>Solutions</w:t>
      </w:r>
      <w:r>
        <w:rPr>
          <w:color w:val="221F1F"/>
          <w:spacing w:val="-6"/>
        </w:rPr>
        <w:t xml:space="preserve"> </w:t>
      </w:r>
      <w:r>
        <w:rPr>
          <w:color w:val="221F1F"/>
        </w:rPr>
        <w:t>for</w:t>
      </w:r>
      <w:r>
        <w:rPr>
          <w:color w:val="221F1F"/>
          <w:spacing w:val="-6"/>
        </w:rPr>
        <w:t xml:space="preserve"> </w:t>
      </w:r>
      <w:r>
        <w:rPr>
          <w:color w:val="221F1F"/>
        </w:rPr>
        <w:t>specified</w:t>
      </w:r>
      <w:r>
        <w:rPr>
          <w:color w:val="221F1F"/>
          <w:spacing w:val="-4"/>
        </w:rPr>
        <w:t xml:space="preserve"> </w:t>
      </w:r>
      <w:r>
        <w:rPr>
          <w:color w:val="221F1F"/>
        </w:rPr>
        <w:t>parts</w:t>
      </w:r>
      <w:r>
        <w:rPr>
          <w:color w:val="221F1F"/>
          <w:spacing w:val="-6"/>
        </w:rPr>
        <w:t xml:space="preserve"> </w:t>
      </w:r>
      <w:r>
        <w:rPr>
          <w:color w:val="221F1F"/>
        </w:rPr>
        <w:t>of</w:t>
      </w:r>
      <w:r>
        <w:rPr>
          <w:color w:val="221F1F"/>
          <w:spacing w:val="-6"/>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if</w:t>
      </w:r>
      <w:r>
        <w:rPr>
          <w:color w:val="221F1F"/>
          <w:spacing w:val="-4"/>
        </w:rPr>
        <w:t xml:space="preserve"> </w:t>
      </w:r>
      <w:r>
        <w:rPr>
          <w:color w:val="221F1F"/>
        </w:rPr>
        <w:t>permitted</w:t>
      </w:r>
      <w:r>
        <w:rPr>
          <w:color w:val="221F1F"/>
          <w:spacing w:val="-4"/>
        </w:rPr>
        <w:t xml:space="preserve"> </w:t>
      </w:r>
      <w:r>
        <w:rPr>
          <w:color w:val="221F1F"/>
        </w:rPr>
        <w:t>under</w:t>
      </w:r>
      <w:r>
        <w:rPr>
          <w:color w:val="221F1F"/>
          <w:spacing w:val="-4"/>
        </w:rPr>
        <w:t xml:space="preserve"> </w:t>
      </w:r>
      <w:r>
        <w:rPr>
          <w:color w:val="221F1F"/>
        </w:rPr>
        <w:t>ITT</w:t>
      </w:r>
      <w:r>
        <w:rPr>
          <w:color w:val="221F1F"/>
          <w:spacing w:val="-5"/>
        </w:rPr>
        <w:t xml:space="preserve"> </w:t>
      </w:r>
      <w:r>
        <w:rPr>
          <w:color w:val="221F1F"/>
        </w:rPr>
        <w:t>13.4,</w:t>
      </w:r>
      <w:r>
        <w:rPr>
          <w:color w:val="221F1F"/>
          <w:spacing w:val="-4"/>
        </w:rPr>
        <w:t xml:space="preserve"> </w:t>
      </w:r>
      <w:r>
        <w:rPr>
          <w:color w:val="221F1F"/>
        </w:rPr>
        <w:t>will</w:t>
      </w:r>
      <w:r>
        <w:rPr>
          <w:color w:val="221F1F"/>
          <w:spacing w:val="-3"/>
        </w:rPr>
        <w:t xml:space="preserve"> </w:t>
      </w:r>
      <w:r>
        <w:rPr>
          <w:color w:val="221F1F"/>
        </w:rPr>
        <w:t xml:space="preserve">be evaluated as </w:t>
      </w:r>
      <w:proofErr w:type="gramStart"/>
      <w:r>
        <w:rPr>
          <w:color w:val="221F1F"/>
        </w:rPr>
        <w:t>follows:…</w:t>
      </w:r>
      <w:proofErr w:type="gramEnd"/>
      <w:r>
        <w:rPr>
          <w:color w:val="221F1F"/>
        </w:rPr>
        <w:t>……………………………………</w:t>
      </w:r>
    </w:p>
    <w:p w:rsidR="007F6DF9" w:rsidRDefault="00A43FBC">
      <w:pPr>
        <w:pStyle w:val="ListParagraph"/>
        <w:numPr>
          <w:ilvl w:val="2"/>
          <w:numId w:val="180"/>
        </w:numPr>
        <w:tabs>
          <w:tab w:val="left" w:pos="1895"/>
        </w:tabs>
        <w:spacing w:before="66"/>
        <w:ind w:left="1895" w:hanging="477"/>
      </w:pPr>
      <w:r>
        <w:rPr>
          <w:color w:val="221F1F"/>
        </w:rPr>
        <w:t>Other</w:t>
      </w:r>
      <w:r>
        <w:rPr>
          <w:color w:val="221F1F"/>
          <w:spacing w:val="-3"/>
        </w:rPr>
        <w:t xml:space="preserve"> </w:t>
      </w:r>
      <w:r>
        <w:rPr>
          <w:color w:val="221F1F"/>
        </w:rPr>
        <w:t>Criteria;</w:t>
      </w:r>
      <w:r>
        <w:rPr>
          <w:color w:val="221F1F"/>
          <w:spacing w:val="-5"/>
        </w:rPr>
        <w:t xml:space="preserve"> </w:t>
      </w:r>
      <w:r>
        <w:rPr>
          <w:color w:val="221F1F"/>
        </w:rPr>
        <w:t>if</w:t>
      </w:r>
      <w:r>
        <w:rPr>
          <w:color w:val="221F1F"/>
          <w:spacing w:val="-3"/>
        </w:rPr>
        <w:t xml:space="preserve"> </w:t>
      </w:r>
      <w:r>
        <w:rPr>
          <w:color w:val="221F1F"/>
        </w:rPr>
        <w:t>permitted</w:t>
      </w:r>
      <w:r>
        <w:rPr>
          <w:color w:val="221F1F"/>
          <w:spacing w:val="-4"/>
        </w:rPr>
        <w:t xml:space="preserve"> </w:t>
      </w:r>
      <w:r>
        <w:rPr>
          <w:color w:val="221F1F"/>
        </w:rPr>
        <w:t>under</w:t>
      </w:r>
      <w:r>
        <w:rPr>
          <w:color w:val="221F1F"/>
          <w:spacing w:val="-3"/>
        </w:rPr>
        <w:t xml:space="preserve"> </w:t>
      </w:r>
      <w:r>
        <w:rPr>
          <w:color w:val="221F1F"/>
        </w:rPr>
        <w:t>ITT</w:t>
      </w:r>
      <w:r>
        <w:rPr>
          <w:color w:val="221F1F"/>
          <w:spacing w:val="-4"/>
        </w:rPr>
        <w:t xml:space="preserve"> </w:t>
      </w:r>
      <w:r>
        <w:rPr>
          <w:color w:val="221F1F"/>
          <w:spacing w:val="-2"/>
        </w:rPr>
        <w:t>35.2(j):</w:t>
      </w:r>
    </w:p>
    <w:p w:rsidR="007F6DF9" w:rsidRDefault="00A43FBC">
      <w:pPr>
        <w:spacing w:before="64"/>
        <w:ind w:left="1898"/>
      </w:pPr>
      <w:r>
        <w:rPr>
          <w:color w:val="221F1F"/>
          <w:spacing w:val="-2"/>
        </w:rPr>
        <w:t>…………………………………………………………………………………………………</w:t>
      </w:r>
    </w:p>
    <w:p w:rsidR="007F6DF9" w:rsidRDefault="00A43FBC">
      <w:pPr>
        <w:pStyle w:val="Heading8"/>
        <w:numPr>
          <w:ilvl w:val="1"/>
          <w:numId w:val="179"/>
        </w:numPr>
        <w:tabs>
          <w:tab w:val="left" w:pos="1418"/>
        </w:tabs>
        <w:spacing w:before="234"/>
        <w:ind w:hanging="569"/>
      </w:pPr>
      <w:r>
        <w:rPr>
          <w:color w:val="221F1F"/>
          <w:spacing w:val="-4"/>
        </w:rPr>
        <w:t>MULTIPLE</w:t>
      </w:r>
      <w:r>
        <w:rPr>
          <w:color w:val="221F1F"/>
          <w:spacing w:val="1"/>
        </w:rPr>
        <w:t xml:space="preserve"> </w:t>
      </w:r>
      <w:r>
        <w:rPr>
          <w:color w:val="221F1F"/>
          <w:spacing w:val="-2"/>
        </w:rPr>
        <w:t>CONTRACTS</w:t>
      </w:r>
    </w:p>
    <w:p w:rsidR="007F6DF9" w:rsidRDefault="00A43FBC">
      <w:pPr>
        <w:pStyle w:val="ListParagraph"/>
        <w:numPr>
          <w:ilvl w:val="1"/>
          <w:numId w:val="179"/>
        </w:numPr>
        <w:tabs>
          <w:tab w:val="left" w:pos="1417"/>
          <w:tab w:val="left" w:pos="1430"/>
        </w:tabs>
        <w:spacing w:before="242" w:line="230" w:lineRule="auto"/>
        <w:ind w:left="1430" w:right="843" w:hanging="582"/>
        <w:jc w:val="both"/>
      </w:pPr>
      <w:r>
        <w:rPr>
          <w:color w:val="221F1F"/>
        </w:rPr>
        <w:t>Multiple</w:t>
      </w:r>
      <w:r>
        <w:rPr>
          <w:color w:val="221F1F"/>
          <w:spacing w:val="-10"/>
        </w:rPr>
        <w:t xml:space="preserve"> </w:t>
      </w:r>
      <w:r>
        <w:rPr>
          <w:color w:val="221F1F"/>
        </w:rPr>
        <w:t>contracts</w:t>
      </w:r>
      <w:r>
        <w:rPr>
          <w:color w:val="221F1F"/>
          <w:spacing w:val="-8"/>
        </w:rPr>
        <w:t xml:space="preserve"> </w:t>
      </w:r>
      <w:r>
        <w:rPr>
          <w:color w:val="221F1F"/>
        </w:rPr>
        <w:t>will</w:t>
      </w:r>
      <w:r>
        <w:rPr>
          <w:color w:val="221F1F"/>
          <w:spacing w:val="-8"/>
        </w:rPr>
        <w:t xml:space="preserve"> </w:t>
      </w:r>
      <w:r>
        <w:rPr>
          <w:color w:val="221F1F"/>
        </w:rPr>
        <w:t>be</w:t>
      </w:r>
      <w:r>
        <w:rPr>
          <w:color w:val="221F1F"/>
          <w:spacing w:val="-9"/>
        </w:rPr>
        <w:t xml:space="preserve"> </w:t>
      </w:r>
      <w:r>
        <w:rPr>
          <w:color w:val="221F1F"/>
        </w:rPr>
        <w:t>permitted</w:t>
      </w:r>
      <w:r>
        <w:rPr>
          <w:color w:val="221F1F"/>
          <w:spacing w:val="-8"/>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10"/>
        </w:rPr>
        <w:t xml:space="preserve"> </w:t>
      </w:r>
      <w:r>
        <w:rPr>
          <w:color w:val="221F1F"/>
        </w:rPr>
        <w:t>ITT</w:t>
      </w:r>
      <w:r>
        <w:rPr>
          <w:color w:val="221F1F"/>
          <w:spacing w:val="-9"/>
        </w:rPr>
        <w:t xml:space="preserve"> </w:t>
      </w:r>
      <w:r>
        <w:rPr>
          <w:color w:val="221F1F"/>
        </w:rPr>
        <w:t>35.4.</w:t>
      </w:r>
      <w:r>
        <w:rPr>
          <w:color w:val="221F1F"/>
          <w:spacing w:val="-9"/>
        </w:rPr>
        <w:t xml:space="preserve"> </w:t>
      </w:r>
      <w:r>
        <w:rPr>
          <w:color w:val="221F1F"/>
        </w:rPr>
        <w:t>Tenderers</w:t>
      </w:r>
      <w:r>
        <w:rPr>
          <w:color w:val="221F1F"/>
          <w:spacing w:val="-9"/>
        </w:rPr>
        <w:t xml:space="preserve"> </w:t>
      </w:r>
      <w:r>
        <w:rPr>
          <w:color w:val="221F1F"/>
        </w:rPr>
        <w:t>are</w:t>
      </w:r>
      <w:r>
        <w:rPr>
          <w:color w:val="221F1F"/>
          <w:spacing w:val="-9"/>
        </w:rPr>
        <w:t xml:space="preserve"> </w:t>
      </w:r>
      <w:r>
        <w:rPr>
          <w:color w:val="221F1F"/>
        </w:rPr>
        <w:t>evaluated</w:t>
      </w:r>
      <w:r>
        <w:rPr>
          <w:color w:val="221F1F"/>
          <w:spacing w:val="-8"/>
        </w:rPr>
        <w:t xml:space="preserve"> </w:t>
      </w:r>
      <w:r>
        <w:rPr>
          <w:color w:val="221F1F"/>
        </w:rPr>
        <w:t>on</w:t>
      </w:r>
      <w:r>
        <w:rPr>
          <w:color w:val="221F1F"/>
          <w:spacing w:val="-9"/>
        </w:rPr>
        <w:t xml:space="preserve"> </w:t>
      </w:r>
      <w:r>
        <w:rPr>
          <w:color w:val="221F1F"/>
        </w:rPr>
        <w:t>basis</w:t>
      </w:r>
      <w:r>
        <w:rPr>
          <w:color w:val="221F1F"/>
          <w:spacing w:val="-9"/>
        </w:rPr>
        <w:t xml:space="preserve"> </w:t>
      </w:r>
      <w:r>
        <w:rPr>
          <w:color w:val="221F1F"/>
        </w:rPr>
        <w:t>of</w:t>
      </w:r>
      <w:r>
        <w:rPr>
          <w:color w:val="221F1F"/>
          <w:spacing w:val="-9"/>
        </w:rPr>
        <w:t xml:space="preserve"> </w:t>
      </w:r>
      <w:r>
        <w:rPr>
          <w:color w:val="221F1F"/>
        </w:rPr>
        <w:t>Lots</w:t>
      </w:r>
      <w:r>
        <w:rPr>
          <w:color w:val="221F1F"/>
          <w:spacing w:val="-9"/>
        </w:rPr>
        <w:t xml:space="preserve"> </w:t>
      </w:r>
      <w:r>
        <w:rPr>
          <w:color w:val="221F1F"/>
        </w:rPr>
        <w:t>and a lowest evaluated tenderer identified for each Lot. The Procuring Entity will select one Option of the two Options listed below for award of Contracts.</w:t>
      </w:r>
    </w:p>
    <w:p w:rsidR="007F6DF9" w:rsidRDefault="00A43FBC">
      <w:pPr>
        <w:pStyle w:val="Heading8"/>
        <w:spacing w:before="231" w:line="252" w:lineRule="exact"/>
        <w:ind w:left="849"/>
      </w:pPr>
      <w:r>
        <w:rPr>
          <w:color w:val="221F1F"/>
          <w:u w:val="single" w:color="221F1F"/>
        </w:rPr>
        <w:t>OPTION</w:t>
      </w:r>
      <w:r>
        <w:rPr>
          <w:color w:val="221F1F"/>
          <w:spacing w:val="-4"/>
          <w:u w:val="single" w:color="221F1F"/>
        </w:rPr>
        <w:t xml:space="preserve"> </w:t>
      </w:r>
      <w:r>
        <w:rPr>
          <w:color w:val="221F1F"/>
          <w:spacing w:val="-10"/>
          <w:u w:val="single" w:color="221F1F"/>
        </w:rPr>
        <w:t>1</w:t>
      </w:r>
    </w:p>
    <w:p w:rsidR="007F6DF9" w:rsidRDefault="00A43FBC">
      <w:pPr>
        <w:pStyle w:val="ListParagraph"/>
        <w:numPr>
          <w:ilvl w:val="2"/>
          <w:numId w:val="179"/>
        </w:numPr>
        <w:tabs>
          <w:tab w:val="left" w:pos="1977"/>
          <w:tab w:val="left" w:pos="1990"/>
        </w:tabs>
        <w:spacing w:before="8" w:line="230" w:lineRule="auto"/>
        <w:ind w:right="1400" w:hanging="572"/>
        <w:jc w:val="left"/>
      </w:pPr>
      <w:r>
        <w:rPr>
          <w:color w:val="221F1F"/>
        </w:rPr>
        <w:t>If</w:t>
      </w:r>
      <w:r>
        <w:rPr>
          <w:color w:val="221F1F"/>
          <w:spacing w:val="-2"/>
        </w:rPr>
        <w:t xml:space="preserve"> </w:t>
      </w:r>
      <w:r>
        <w:rPr>
          <w:color w:val="221F1F"/>
        </w:rPr>
        <w:t>a</w:t>
      </w:r>
      <w:r>
        <w:rPr>
          <w:color w:val="221F1F"/>
          <w:spacing w:val="-2"/>
        </w:rPr>
        <w:t xml:space="preserve"> </w:t>
      </w:r>
      <w:r>
        <w:rPr>
          <w:color w:val="221F1F"/>
        </w:rPr>
        <w:t>tenderer</w:t>
      </w:r>
      <w:r>
        <w:rPr>
          <w:color w:val="221F1F"/>
          <w:spacing w:val="-1"/>
        </w:rPr>
        <w:t xml:space="preserve"> </w:t>
      </w:r>
      <w:r>
        <w:rPr>
          <w:color w:val="221F1F"/>
        </w:rPr>
        <w:t>wins</w:t>
      </w:r>
      <w:r>
        <w:rPr>
          <w:color w:val="221F1F"/>
          <w:spacing w:val="-2"/>
        </w:rPr>
        <w:t xml:space="preserve"> </w:t>
      </w:r>
      <w:r>
        <w:rPr>
          <w:color w:val="221F1F"/>
        </w:rPr>
        <w:t>only</w:t>
      </w:r>
      <w:r>
        <w:rPr>
          <w:color w:val="221F1F"/>
          <w:spacing w:val="-1"/>
        </w:rPr>
        <w:t xml:space="preserve"> </w:t>
      </w:r>
      <w:r>
        <w:rPr>
          <w:color w:val="221F1F"/>
        </w:rPr>
        <w:t>one</w:t>
      </w:r>
      <w:r>
        <w:rPr>
          <w:color w:val="221F1F"/>
          <w:spacing w:val="-4"/>
        </w:rPr>
        <w:t xml:space="preserve"> </w:t>
      </w:r>
      <w:r>
        <w:rPr>
          <w:color w:val="221F1F"/>
        </w:rPr>
        <w:t>Lot,</w:t>
      </w:r>
      <w:r>
        <w:rPr>
          <w:color w:val="221F1F"/>
          <w:spacing w:val="-2"/>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awarded</w:t>
      </w:r>
      <w:r>
        <w:rPr>
          <w:color w:val="221F1F"/>
          <w:spacing w:val="-4"/>
        </w:rPr>
        <w:t xml:space="preserve"> </w:t>
      </w:r>
      <w:r>
        <w:rPr>
          <w:color w:val="221F1F"/>
        </w:rPr>
        <w:t>a</w:t>
      </w:r>
      <w:r>
        <w:rPr>
          <w:color w:val="221F1F"/>
          <w:spacing w:val="-2"/>
        </w:rPr>
        <w:t xml:space="preserve"> </w:t>
      </w:r>
      <w:r>
        <w:rPr>
          <w:color w:val="221F1F"/>
        </w:rPr>
        <w:t>contract</w:t>
      </w:r>
      <w:r>
        <w:rPr>
          <w:color w:val="221F1F"/>
          <w:spacing w:val="-1"/>
        </w:rPr>
        <w:t xml:space="preserve"> </w:t>
      </w:r>
      <w:r>
        <w:rPr>
          <w:color w:val="221F1F"/>
        </w:rPr>
        <w:t>for</w:t>
      </w:r>
      <w:r>
        <w:rPr>
          <w:color w:val="221F1F"/>
          <w:spacing w:val="-1"/>
        </w:rPr>
        <w:t xml:space="preserve"> </w:t>
      </w:r>
      <w:r>
        <w:rPr>
          <w:color w:val="221F1F"/>
        </w:rPr>
        <w:t>that</w:t>
      </w:r>
      <w:r>
        <w:rPr>
          <w:color w:val="221F1F"/>
          <w:spacing w:val="-3"/>
        </w:rPr>
        <w:t xml:space="preserve"> </w:t>
      </w:r>
      <w:r>
        <w:rPr>
          <w:color w:val="221F1F"/>
        </w:rPr>
        <w:t>Lot,</w:t>
      </w:r>
      <w:r>
        <w:rPr>
          <w:color w:val="221F1F"/>
          <w:spacing w:val="-2"/>
        </w:rPr>
        <w:t xml:space="preserve"> </w:t>
      </w:r>
      <w:r>
        <w:rPr>
          <w:color w:val="221F1F"/>
        </w:rPr>
        <w:t>provided</w:t>
      </w:r>
      <w:r>
        <w:rPr>
          <w:color w:val="221F1F"/>
          <w:spacing w:val="-1"/>
        </w:rPr>
        <w:t xml:space="preserve"> </w:t>
      </w:r>
      <w:r>
        <w:rPr>
          <w:color w:val="221F1F"/>
        </w:rPr>
        <w:t>the tenderer meets the Eligibility and Qualification Criteria for that Lot.</w:t>
      </w:r>
    </w:p>
    <w:p w:rsidR="007F6DF9" w:rsidRDefault="007F6DF9">
      <w:pPr>
        <w:pStyle w:val="ListParagraph"/>
        <w:spacing w:line="230" w:lineRule="auto"/>
        <w:sectPr w:rsidR="007F6DF9">
          <w:pgSz w:w="11920" w:h="16850"/>
          <w:pgMar w:top="360" w:right="0" w:bottom="620" w:left="0" w:header="0" w:footer="437" w:gutter="0"/>
          <w:cols w:space="720"/>
        </w:sectPr>
      </w:pPr>
    </w:p>
    <w:p w:rsidR="007F6DF9" w:rsidRDefault="007F6DF9">
      <w:pPr>
        <w:pStyle w:val="BodyText"/>
        <w:spacing w:before="212"/>
      </w:pPr>
    </w:p>
    <w:p w:rsidR="007F6DF9" w:rsidRDefault="00A43FBC">
      <w:pPr>
        <w:pStyle w:val="ListParagraph"/>
        <w:numPr>
          <w:ilvl w:val="2"/>
          <w:numId w:val="179"/>
        </w:numPr>
        <w:tabs>
          <w:tab w:val="left" w:pos="1419"/>
          <w:tab w:val="left" w:pos="1433"/>
        </w:tabs>
        <w:spacing w:before="1" w:line="230" w:lineRule="auto"/>
        <w:ind w:left="1433" w:right="843" w:hanging="582"/>
        <w:jc w:val="both"/>
      </w:pPr>
      <w:r>
        <w:rPr>
          <w:color w:val="221F1F"/>
        </w:rPr>
        <w:t>If a tenderer wins more than one Lot, the tender will be awarded a contract for all won Lots, provided the tenderer meets the aggregate Eligibility and Qualification Criteria for all the won Lots. The tenderer will be awarded</w:t>
      </w:r>
      <w:r>
        <w:rPr>
          <w:color w:val="221F1F"/>
          <w:spacing w:val="-2"/>
        </w:rPr>
        <w:t xml:space="preserve"> </w:t>
      </w:r>
      <w:r>
        <w:rPr>
          <w:color w:val="221F1F"/>
        </w:rPr>
        <w:t>only</w:t>
      </w:r>
      <w:r>
        <w:rPr>
          <w:color w:val="221F1F"/>
          <w:spacing w:val="-5"/>
        </w:rPr>
        <w:t xml:space="preserve"> </w:t>
      </w:r>
      <w:r>
        <w:rPr>
          <w:color w:val="221F1F"/>
        </w:rPr>
        <w:t>the</w:t>
      </w:r>
      <w:r>
        <w:rPr>
          <w:color w:val="221F1F"/>
          <w:spacing w:val="-1"/>
        </w:rPr>
        <w:t xml:space="preserve"> </w:t>
      </w:r>
      <w:r>
        <w:rPr>
          <w:color w:val="221F1F"/>
        </w:rPr>
        <w:t>combinations</w:t>
      </w:r>
      <w:r>
        <w:rPr>
          <w:color w:val="221F1F"/>
          <w:spacing w:val="-3"/>
        </w:rPr>
        <w:t xml:space="preserve"> </w:t>
      </w:r>
      <w:r>
        <w:rPr>
          <w:color w:val="221F1F"/>
        </w:rPr>
        <w:t>for</w:t>
      </w:r>
      <w:r>
        <w:rPr>
          <w:color w:val="221F1F"/>
          <w:spacing w:val="-4"/>
        </w:rPr>
        <w:t xml:space="preserve"> </w:t>
      </w:r>
      <w:r>
        <w:rPr>
          <w:color w:val="221F1F"/>
        </w:rPr>
        <w:t>which</w:t>
      </w:r>
      <w:r>
        <w:rPr>
          <w:color w:val="221F1F"/>
          <w:spacing w:val="-4"/>
        </w:rPr>
        <w:t xml:space="preserve"> </w:t>
      </w:r>
      <w:r>
        <w:rPr>
          <w:color w:val="221F1F"/>
        </w:rPr>
        <w:t>the</w:t>
      </w:r>
      <w:r>
        <w:rPr>
          <w:color w:val="221F1F"/>
          <w:spacing w:val="-4"/>
        </w:rPr>
        <w:t xml:space="preserve"> </w:t>
      </w:r>
      <w:r>
        <w:rPr>
          <w:color w:val="221F1F"/>
        </w:rPr>
        <w:t>tenderer</w:t>
      </w:r>
      <w:r>
        <w:rPr>
          <w:color w:val="221F1F"/>
          <w:spacing w:val="-5"/>
        </w:rPr>
        <w:t xml:space="preserve"> </w:t>
      </w:r>
      <w:r>
        <w:rPr>
          <w:color w:val="221F1F"/>
        </w:rPr>
        <w:t>qualifies</w:t>
      </w:r>
      <w:r>
        <w:rPr>
          <w:color w:val="221F1F"/>
          <w:spacing w:val="-4"/>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others</w:t>
      </w:r>
      <w:r>
        <w:rPr>
          <w:color w:val="221F1F"/>
          <w:spacing w:val="-4"/>
        </w:rPr>
        <w:t xml:space="preserve"> </w:t>
      </w:r>
      <w:r>
        <w:rPr>
          <w:color w:val="221F1F"/>
        </w:rPr>
        <w:t>will</w:t>
      </w:r>
      <w:r>
        <w:rPr>
          <w:color w:val="221F1F"/>
          <w:spacing w:val="-3"/>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for</w:t>
      </w:r>
      <w:r>
        <w:rPr>
          <w:color w:val="221F1F"/>
          <w:spacing w:val="-4"/>
        </w:rPr>
        <w:t xml:space="preserve"> </w:t>
      </w:r>
      <w:r>
        <w:rPr>
          <w:color w:val="221F1F"/>
        </w:rPr>
        <w:t>award</w:t>
      </w:r>
      <w:r>
        <w:rPr>
          <w:color w:val="221F1F"/>
          <w:spacing w:val="-5"/>
        </w:rPr>
        <w:t xml:space="preserve"> </w:t>
      </w:r>
      <w:r>
        <w:rPr>
          <w:color w:val="221F1F"/>
        </w:rPr>
        <w:t>to second lowest the tenderers.</w:t>
      </w:r>
    </w:p>
    <w:p w:rsidR="007F6DF9" w:rsidRDefault="00A43FBC">
      <w:pPr>
        <w:pStyle w:val="Heading8"/>
        <w:spacing w:before="235"/>
        <w:ind w:left="849"/>
      </w:pPr>
      <w:r>
        <w:rPr>
          <w:color w:val="221F1F"/>
          <w:spacing w:val="-2"/>
          <w:u w:val="single" w:color="221F1F"/>
        </w:rPr>
        <w:t>OPTION2</w:t>
      </w:r>
    </w:p>
    <w:p w:rsidR="007F6DF9" w:rsidRDefault="00A43FBC">
      <w:pPr>
        <w:pStyle w:val="BodyText"/>
        <w:spacing w:before="242" w:line="230" w:lineRule="auto"/>
        <w:ind w:left="1433" w:right="841" w:hanging="12"/>
        <w:jc w:val="both"/>
      </w:pPr>
      <w:r>
        <w:rPr>
          <w:color w:val="221F1F"/>
        </w:rPr>
        <w:t>The Procuring Entity will consider all possible combinations of won Lots [contract(s)] and determine the combination</w:t>
      </w:r>
      <w:r>
        <w:rPr>
          <w:color w:val="221F1F"/>
          <w:spacing w:val="-7"/>
        </w:rPr>
        <w:t xml:space="preserve"> </w:t>
      </w:r>
      <w:r>
        <w:rPr>
          <w:color w:val="221F1F"/>
        </w:rPr>
        <w:t>with</w:t>
      </w:r>
      <w:r>
        <w:rPr>
          <w:color w:val="221F1F"/>
          <w:spacing w:val="-8"/>
        </w:rPr>
        <w:t xml:space="preserve"> </w:t>
      </w:r>
      <w:r>
        <w:rPr>
          <w:color w:val="221F1F"/>
        </w:rPr>
        <w:t>the</w:t>
      </w:r>
      <w:r>
        <w:rPr>
          <w:color w:val="221F1F"/>
          <w:spacing w:val="-10"/>
        </w:rPr>
        <w:t xml:space="preserve"> </w:t>
      </w:r>
      <w:r>
        <w:rPr>
          <w:color w:val="221F1F"/>
        </w:rPr>
        <w:t>lowest</w:t>
      </w:r>
      <w:r>
        <w:rPr>
          <w:color w:val="221F1F"/>
          <w:spacing w:val="-6"/>
        </w:rPr>
        <w:t xml:space="preserve"> </w:t>
      </w:r>
      <w:r>
        <w:rPr>
          <w:color w:val="221F1F"/>
        </w:rPr>
        <w:t>evaluated</w:t>
      </w:r>
      <w:r>
        <w:rPr>
          <w:color w:val="221F1F"/>
          <w:spacing w:val="-7"/>
        </w:rPr>
        <w:t xml:space="preserve"> </w:t>
      </w:r>
      <w:r>
        <w:rPr>
          <w:color w:val="221F1F"/>
        </w:rPr>
        <w:t>price.</w:t>
      </w:r>
      <w:r>
        <w:rPr>
          <w:color w:val="221F1F"/>
          <w:spacing w:val="-8"/>
        </w:rPr>
        <w:t xml:space="preserve"> </w:t>
      </w:r>
      <w:r>
        <w:rPr>
          <w:color w:val="221F1F"/>
        </w:rPr>
        <w:t>Tenders</w:t>
      </w:r>
      <w:r>
        <w:rPr>
          <w:color w:val="221F1F"/>
          <w:spacing w:val="-11"/>
        </w:rPr>
        <w:t xml:space="preserve"> </w:t>
      </w:r>
      <w:r>
        <w:rPr>
          <w:color w:val="221F1F"/>
        </w:rPr>
        <w:t>will</w:t>
      </w:r>
      <w:r>
        <w:rPr>
          <w:color w:val="221F1F"/>
          <w:spacing w:val="-7"/>
        </w:rPr>
        <w:t xml:space="preserve"> </w:t>
      </w:r>
      <w:r>
        <w:rPr>
          <w:color w:val="221F1F"/>
        </w:rPr>
        <w:t>then</w:t>
      </w:r>
      <w:r>
        <w:rPr>
          <w:color w:val="221F1F"/>
          <w:spacing w:val="-8"/>
        </w:rPr>
        <w:t xml:space="preserve"> </w:t>
      </w:r>
      <w:r>
        <w:rPr>
          <w:color w:val="221F1F"/>
        </w:rPr>
        <w:t>be</w:t>
      </w:r>
      <w:r>
        <w:rPr>
          <w:color w:val="221F1F"/>
          <w:spacing w:val="-8"/>
        </w:rPr>
        <w:t xml:space="preserve"> </w:t>
      </w:r>
      <w:r>
        <w:rPr>
          <w:color w:val="221F1F"/>
        </w:rPr>
        <w:t>awarded</w:t>
      </w:r>
      <w:r>
        <w:rPr>
          <w:color w:val="221F1F"/>
          <w:spacing w:val="-10"/>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Tenderer</w:t>
      </w:r>
      <w:r>
        <w:rPr>
          <w:color w:val="221F1F"/>
          <w:spacing w:val="-6"/>
        </w:rPr>
        <w:t xml:space="preserve"> </w:t>
      </w:r>
      <w:r>
        <w:rPr>
          <w:color w:val="221F1F"/>
        </w:rPr>
        <w:t>or</w:t>
      </w:r>
      <w:r>
        <w:rPr>
          <w:color w:val="221F1F"/>
          <w:spacing w:val="-7"/>
        </w:rPr>
        <w:t xml:space="preserve"> </w:t>
      </w:r>
      <w:r>
        <w:rPr>
          <w:color w:val="221F1F"/>
        </w:rPr>
        <w:t>Tenderers</w:t>
      </w:r>
      <w:r>
        <w:rPr>
          <w:color w:val="221F1F"/>
          <w:spacing w:val="-7"/>
        </w:rPr>
        <w:t xml:space="preserve"> </w:t>
      </w:r>
      <w:r>
        <w:rPr>
          <w:color w:val="221F1F"/>
        </w:rPr>
        <w:t>in</w:t>
      </w:r>
      <w:r>
        <w:rPr>
          <w:color w:val="221F1F"/>
          <w:spacing w:val="-8"/>
        </w:rPr>
        <w:t xml:space="preserve"> </w:t>
      </w:r>
      <w:r>
        <w:rPr>
          <w:color w:val="221F1F"/>
        </w:rPr>
        <w:t xml:space="preserve">the combination provided the tenderer meets the aggregate Eligibility and Qualification Criteria for all the won </w:t>
      </w:r>
      <w:r>
        <w:rPr>
          <w:color w:val="221F1F"/>
          <w:spacing w:val="-2"/>
        </w:rPr>
        <w:t>Lots.</w:t>
      </w:r>
    </w:p>
    <w:p w:rsidR="007F6DF9" w:rsidRDefault="00A43FBC">
      <w:pPr>
        <w:pStyle w:val="Heading8"/>
        <w:tabs>
          <w:tab w:val="left" w:pos="1296"/>
        </w:tabs>
        <w:spacing w:line="253" w:lineRule="exact"/>
        <w:ind w:left="720"/>
      </w:pPr>
      <w:r>
        <w:rPr>
          <w:color w:val="221F1F"/>
          <w:spacing w:val="-5"/>
        </w:rPr>
        <w:t>5.0</w:t>
      </w:r>
      <w:r>
        <w:rPr>
          <w:color w:val="221F1F"/>
        </w:rPr>
        <w:tab/>
      </w:r>
      <w:r>
        <w:rPr>
          <w:color w:val="221F1F"/>
          <w:spacing w:val="-2"/>
        </w:rPr>
        <w:t>ALTERNATIVE</w:t>
      </w:r>
      <w:r>
        <w:rPr>
          <w:color w:val="221F1F"/>
          <w:spacing w:val="-12"/>
        </w:rPr>
        <w:t xml:space="preserve"> </w:t>
      </w:r>
      <w:r>
        <w:rPr>
          <w:color w:val="221F1F"/>
          <w:spacing w:val="-2"/>
        </w:rPr>
        <w:t>TENDERS</w:t>
      </w:r>
      <w:r>
        <w:rPr>
          <w:color w:val="221F1F"/>
          <w:spacing w:val="-7"/>
        </w:rPr>
        <w:t xml:space="preserve"> </w:t>
      </w:r>
      <w:r>
        <w:rPr>
          <w:color w:val="221F1F"/>
          <w:spacing w:val="-2"/>
        </w:rPr>
        <w:t>(ITT</w:t>
      </w:r>
      <w:r>
        <w:rPr>
          <w:color w:val="221F1F"/>
          <w:spacing w:val="-5"/>
        </w:rPr>
        <w:t xml:space="preserve"> </w:t>
      </w:r>
      <w:r>
        <w:rPr>
          <w:color w:val="221F1F"/>
          <w:spacing w:val="-2"/>
        </w:rPr>
        <w:t>13.1)</w:t>
      </w:r>
    </w:p>
    <w:p w:rsidR="007F6DF9" w:rsidRDefault="00A43FBC">
      <w:pPr>
        <w:pStyle w:val="Heading9"/>
        <w:spacing w:before="237"/>
        <w:ind w:left="1296" w:firstLine="0"/>
      </w:pPr>
      <w:r>
        <w:rPr>
          <w:color w:val="221F1F"/>
        </w:rPr>
        <w:t>Alternative</w:t>
      </w:r>
      <w:r>
        <w:rPr>
          <w:color w:val="221F1F"/>
          <w:spacing w:val="-13"/>
        </w:rPr>
        <w:t xml:space="preserve"> </w:t>
      </w:r>
      <w:r>
        <w:rPr>
          <w:color w:val="221F1F"/>
        </w:rPr>
        <w:t>Tenders</w:t>
      </w:r>
      <w:r>
        <w:rPr>
          <w:color w:val="221F1F"/>
          <w:spacing w:val="-14"/>
        </w:rPr>
        <w:t xml:space="preserve"> </w:t>
      </w:r>
      <w:r>
        <w:rPr>
          <w:color w:val="221F1F"/>
        </w:rPr>
        <w:t>(ITT</w:t>
      </w:r>
      <w:r>
        <w:rPr>
          <w:color w:val="221F1F"/>
          <w:spacing w:val="-13"/>
        </w:rPr>
        <w:t xml:space="preserve"> </w:t>
      </w:r>
      <w:r>
        <w:rPr>
          <w:color w:val="221F1F"/>
          <w:spacing w:val="-2"/>
        </w:rPr>
        <w:t>13.1)</w:t>
      </w:r>
    </w:p>
    <w:p w:rsidR="007F6DF9" w:rsidRDefault="00A43FBC">
      <w:pPr>
        <w:spacing w:before="234"/>
        <w:ind w:left="1296"/>
        <w:rPr>
          <w:i/>
        </w:rPr>
      </w:pPr>
      <w:proofErr w:type="spellStart"/>
      <w:r>
        <w:rPr>
          <w:i/>
          <w:color w:val="221F1F"/>
        </w:rPr>
        <w:t>Analternative</w:t>
      </w:r>
      <w:proofErr w:type="spellEnd"/>
      <w:r>
        <w:rPr>
          <w:i/>
          <w:color w:val="221F1F"/>
          <w:spacing w:val="-7"/>
        </w:rPr>
        <w:t xml:space="preserve"> </w:t>
      </w:r>
      <w:r>
        <w:rPr>
          <w:i/>
          <w:color w:val="221F1F"/>
        </w:rPr>
        <w:t>if</w:t>
      </w:r>
      <w:r>
        <w:rPr>
          <w:i/>
          <w:color w:val="221F1F"/>
          <w:spacing w:val="-2"/>
        </w:rPr>
        <w:t xml:space="preserve"> </w:t>
      </w:r>
      <w:r>
        <w:rPr>
          <w:i/>
          <w:color w:val="221F1F"/>
        </w:rPr>
        <w:t>permitted</w:t>
      </w:r>
      <w:r>
        <w:rPr>
          <w:i/>
          <w:color w:val="221F1F"/>
          <w:spacing w:val="-2"/>
        </w:rPr>
        <w:t xml:space="preserve"> </w:t>
      </w:r>
      <w:r>
        <w:rPr>
          <w:i/>
          <w:color w:val="221F1F"/>
        </w:rPr>
        <w:t>under</w:t>
      </w:r>
      <w:r>
        <w:rPr>
          <w:i/>
          <w:color w:val="221F1F"/>
          <w:spacing w:val="-4"/>
        </w:rPr>
        <w:t xml:space="preserve"> </w:t>
      </w:r>
      <w:r>
        <w:rPr>
          <w:i/>
          <w:color w:val="221F1F"/>
        </w:rPr>
        <w:t>ITT</w:t>
      </w:r>
      <w:r>
        <w:rPr>
          <w:i/>
          <w:color w:val="221F1F"/>
          <w:spacing w:val="-4"/>
        </w:rPr>
        <w:t xml:space="preserve"> </w:t>
      </w:r>
      <w:r>
        <w:rPr>
          <w:i/>
          <w:color w:val="221F1F"/>
        </w:rPr>
        <w:t>3.1,</w:t>
      </w:r>
      <w:r>
        <w:rPr>
          <w:i/>
          <w:color w:val="221F1F"/>
          <w:spacing w:val="-4"/>
        </w:rPr>
        <w:t xml:space="preserve"> </w:t>
      </w:r>
      <w:r>
        <w:rPr>
          <w:i/>
          <w:color w:val="221F1F"/>
        </w:rPr>
        <w:t>will</w:t>
      </w:r>
      <w:r>
        <w:rPr>
          <w:i/>
          <w:color w:val="221F1F"/>
          <w:spacing w:val="-2"/>
        </w:rPr>
        <w:t xml:space="preserve"> </w:t>
      </w:r>
      <w:r>
        <w:rPr>
          <w:i/>
          <w:color w:val="221F1F"/>
        </w:rPr>
        <w:t>be</w:t>
      </w:r>
      <w:r>
        <w:rPr>
          <w:i/>
          <w:color w:val="221F1F"/>
          <w:spacing w:val="-5"/>
        </w:rPr>
        <w:t xml:space="preserve"> </w:t>
      </w:r>
      <w:r>
        <w:rPr>
          <w:i/>
          <w:color w:val="221F1F"/>
        </w:rPr>
        <w:t>evaluated</w:t>
      </w:r>
      <w:r>
        <w:rPr>
          <w:i/>
          <w:color w:val="221F1F"/>
          <w:spacing w:val="-2"/>
        </w:rPr>
        <w:t xml:space="preserve"> </w:t>
      </w:r>
      <w:r>
        <w:rPr>
          <w:i/>
          <w:color w:val="221F1F"/>
        </w:rPr>
        <w:t>as</w:t>
      </w:r>
      <w:r>
        <w:rPr>
          <w:i/>
          <w:color w:val="221F1F"/>
          <w:spacing w:val="-3"/>
        </w:rPr>
        <w:t xml:space="preserve"> </w:t>
      </w:r>
      <w:r>
        <w:rPr>
          <w:i/>
          <w:color w:val="221F1F"/>
          <w:spacing w:val="-2"/>
        </w:rPr>
        <w:t>follows:</w:t>
      </w:r>
    </w:p>
    <w:p w:rsidR="007F6DF9" w:rsidRDefault="00A43FBC">
      <w:pPr>
        <w:pStyle w:val="BodyText"/>
        <w:spacing w:before="238" w:line="230" w:lineRule="auto"/>
        <w:ind w:left="1433" w:right="843" w:hanging="12"/>
        <w:jc w:val="both"/>
      </w:pPr>
      <w:r>
        <w:rPr>
          <w:color w:val="221F1F"/>
          <w:spacing w:val="-2"/>
        </w:rPr>
        <w:t>The</w:t>
      </w:r>
      <w:r>
        <w:rPr>
          <w:color w:val="221F1F"/>
          <w:spacing w:val="-4"/>
        </w:rPr>
        <w:t xml:space="preserve"> </w:t>
      </w:r>
      <w:r>
        <w:rPr>
          <w:color w:val="221F1F"/>
          <w:spacing w:val="-2"/>
        </w:rPr>
        <w:t>Procuring</w:t>
      </w:r>
      <w:r>
        <w:rPr>
          <w:color w:val="221F1F"/>
          <w:spacing w:val="-4"/>
        </w:rPr>
        <w:t xml:space="preserve"> </w:t>
      </w:r>
      <w:r>
        <w:rPr>
          <w:color w:val="221F1F"/>
          <w:spacing w:val="-2"/>
        </w:rPr>
        <w:t>Entity</w:t>
      </w:r>
      <w:r>
        <w:rPr>
          <w:color w:val="221F1F"/>
          <w:spacing w:val="-4"/>
        </w:rPr>
        <w:t xml:space="preserve"> </w:t>
      </w:r>
      <w:r>
        <w:rPr>
          <w:color w:val="221F1F"/>
          <w:spacing w:val="-2"/>
        </w:rPr>
        <w:t>shall consider</w:t>
      </w:r>
      <w:r>
        <w:rPr>
          <w:color w:val="221F1F"/>
          <w:spacing w:val="-3"/>
        </w:rPr>
        <w:t xml:space="preserve"> </w:t>
      </w:r>
      <w:r>
        <w:rPr>
          <w:color w:val="221F1F"/>
          <w:spacing w:val="-2"/>
        </w:rPr>
        <w:t>Tenders</w:t>
      </w:r>
      <w:r>
        <w:rPr>
          <w:color w:val="221F1F"/>
          <w:spacing w:val="-9"/>
        </w:rPr>
        <w:t xml:space="preserve"> </w:t>
      </w:r>
      <w:r>
        <w:rPr>
          <w:color w:val="221F1F"/>
          <w:spacing w:val="-2"/>
        </w:rPr>
        <w:t>offered</w:t>
      </w:r>
      <w:r>
        <w:rPr>
          <w:color w:val="221F1F"/>
          <w:spacing w:val="-6"/>
        </w:rPr>
        <w:t xml:space="preserve"> </w:t>
      </w:r>
      <w:r>
        <w:rPr>
          <w:color w:val="221F1F"/>
          <w:spacing w:val="-2"/>
        </w:rPr>
        <w:t>for</w:t>
      </w:r>
      <w:r>
        <w:rPr>
          <w:color w:val="221F1F"/>
          <w:spacing w:val="-5"/>
        </w:rPr>
        <w:t xml:space="preserve"> </w:t>
      </w:r>
      <w:r>
        <w:rPr>
          <w:color w:val="221F1F"/>
          <w:spacing w:val="-2"/>
        </w:rPr>
        <w:t>alternatives</w:t>
      </w:r>
      <w:r>
        <w:rPr>
          <w:color w:val="221F1F"/>
          <w:spacing w:val="-5"/>
        </w:rPr>
        <w:t xml:space="preserve"> </w:t>
      </w:r>
      <w:r>
        <w:rPr>
          <w:color w:val="221F1F"/>
          <w:spacing w:val="-2"/>
        </w:rPr>
        <w:t>as</w:t>
      </w:r>
      <w:r>
        <w:rPr>
          <w:color w:val="221F1F"/>
          <w:spacing w:val="-4"/>
        </w:rPr>
        <w:t xml:space="preserve"> </w:t>
      </w:r>
      <w:r>
        <w:rPr>
          <w:color w:val="221F1F"/>
          <w:spacing w:val="-2"/>
        </w:rPr>
        <w:t>specified</w:t>
      </w:r>
      <w:r>
        <w:rPr>
          <w:color w:val="221F1F"/>
          <w:spacing w:val="-4"/>
        </w:rPr>
        <w:t xml:space="preserve"> </w:t>
      </w:r>
      <w:r>
        <w:rPr>
          <w:color w:val="221F1F"/>
          <w:spacing w:val="-2"/>
        </w:rPr>
        <w:t>in</w:t>
      </w:r>
      <w:r>
        <w:rPr>
          <w:color w:val="221F1F"/>
          <w:spacing w:val="-4"/>
        </w:rPr>
        <w:t xml:space="preserve"> </w:t>
      </w:r>
      <w:r>
        <w:rPr>
          <w:color w:val="221F1F"/>
          <w:spacing w:val="-2"/>
        </w:rPr>
        <w:t>Part 2</w:t>
      </w:r>
      <w:r>
        <w:rPr>
          <w:color w:val="221F1F"/>
          <w:spacing w:val="-4"/>
        </w:rPr>
        <w:t xml:space="preserve"> </w:t>
      </w:r>
      <w:r>
        <w:rPr>
          <w:color w:val="221F1F"/>
          <w:spacing w:val="-2"/>
        </w:rPr>
        <w:t>-</w:t>
      </w:r>
      <w:r>
        <w:rPr>
          <w:color w:val="221F1F"/>
          <w:spacing w:val="-6"/>
        </w:rPr>
        <w:t xml:space="preserve"> </w:t>
      </w:r>
      <w:r>
        <w:rPr>
          <w:color w:val="221F1F"/>
          <w:spacing w:val="-2"/>
        </w:rPr>
        <w:t>Works</w:t>
      </w:r>
      <w:r>
        <w:rPr>
          <w:color w:val="221F1F"/>
          <w:spacing w:val="-12"/>
        </w:rPr>
        <w:t xml:space="preserve"> </w:t>
      </w:r>
      <w:r>
        <w:rPr>
          <w:color w:val="221F1F"/>
          <w:spacing w:val="-2"/>
        </w:rPr>
        <w:t xml:space="preserve">requirements. </w:t>
      </w:r>
      <w:r>
        <w:rPr>
          <w:color w:val="221F1F"/>
        </w:rPr>
        <w:t>Only</w:t>
      </w:r>
      <w:r>
        <w:rPr>
          <w:color w:val="221F1F"/>
          <w:spacing w:val="-8"/>
        </w:rPr>
        <w:t xml:space="preserve"> </w:t>
      </w:r>
      <w:r>
        <w:rPr>
          <w:color w:val="221F1F"/>
        </w:rPr>
        <w:t>the</w:t>
      </w:r>
      <w:r>
        <w:rPr>
          <w:color w:val="221F1F"/>
          <w:spacing w:val="-8"/>
        </w:rPr>
        <w:t xml:space="preserve"> </w:t>
      </w:r>
      <w:r>
        <w:rPr>
          <w:color w:val="221F1F"/>
        </w:rPr>
        <w:t>technical</w:t>
      </w:r>
      <w:r>
        <w:rPr>
          <w:color w:val="221F1F"/>
          <w:spacing w:val="-6"/>
        </w:rPr>
        <w:t xml:space="preserve"> </w:t>
      </w:r>
      <w:r>
        <w:rPr>
          <w:color w:val="221F1F"/>
        </w:rPr>
        <w:t>alternatives,</w:t>
      </w:r>
      <w:r>
        <w:rPr>
          <w:color w:val="221F1F"/>
          <w:spacing w:val="-7"/>
        </w:rPr>
        <w:t xml:space="preserve"> </w:t>
      </w:r>
      <w:r>
        <w:rPr>
          <w:color w:val="221F1F"/>
        </w:rPr>
        <w:t>if</w:t>
      </w:r>
      <w:r>
        <w:rPr>
          <w:color w:val="221F1F"/>
          <w:spacing w:val="-7"/>
        </w:rPr>
        <w:t xml:space="preserve"> </w:t>
      </w:r>
      <w:r>
        <w:rPr>
          <w:color w:val="221F1F"/>
        </w:rPr>
        <w:t>any,</w:t>
      </w:r>
      <w:r>
        <w:rPr>
          <w:color w:val="221F1F"/>
          <w:spacing w:val="-14"/>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Tenderer</w:t>
      </w:r>
      <w:r>
        <w:rPr>
          <w:color w:val="221F1F"/>
          <w:spacing w:val="-7"/>
        </w:rPr>
        <w:t xml:space="preserve"> </w:t>
      </w:r>
      <w:r>
        <w:rPr>
          <w:color w:val="221F1F"/>
        </w:rPr>
        <w:t>with</w:t>
      </w:r>
      <w:r>
        <w:rPr>
          <w:color w:val="221F1F"/>
          <w:spacing w:val="-7"/>
        </w:rPr>
        <w:t xml:space="preserve"> </w:t>
      </w:r>
      <w:r>
        <w:rPr>
          <w:color w:val="221F1F"/>
        </w:rPr>
        <w:t>the</w:t>
      </w:r>
      <w:r>
        <w:rPr>
          <w:color w:val="221F1F"/>
          <w:spacing w:val="-7"/>
        </w:rPr>
        <w:t xml:space="preserve"> </w:t>
      </w:r>
      <w:r>
        <w:rPr>
          <w:color w:val="221F1F"/>
        </w:rPr>
        <w:t>Best</w:t>
      </w:r>
      <w:r>
        <w:rPr>
          <w:color w:val="221F1F"/>
          <w:spacing w:val="-7"/>
        </w:rPr>
        <w:t xml:space="preserve"> </w:t>
      </w:r>
      <w:r>
        <w:rPr>
          <w:color w:val="221F1F"/>
        </w:rPr>
        <w:t>Evaluated</w:t>
      </w:r>
      <w:r>
        <w:rPr>
          <w:color w:val="221F1F"/>
          <w:spacing w:val="-7"/>
        </w:rPr>
        <w:t xml:space="preserve"> </w:t>
      </w:r>
      <w:r>
        <w:rPr>
          <w:color w:val="221F1F"/>
        </w:rPr>
        <w:t>Tender</w:t>
      </w:r>
      <w:r>
        <w:rPr>
          <w:color w:val="221F1F"/>
          <w:spacing w:val="-11"/>
        </w:rPr>
        <w:t xml:space="preserve"> </w:t>
      </w:r>
      <w:r>
        <w:rPr>
          <w:color w:val="221F1F"/>
        </w:rPr>
        <w:t>conforming</w:t>
      </w:r>
      <w:r>
        <w:rPr>
          <w:color w:val="221F1F"/>
          <w:spacing w:val="-8"/>
        </w:rPr>
        <w:t xml:space="preserve"> </w:t>
      </w:r>
      <w:r>
        <w:rPr>
          <w:color w:val="221F1F"/>
        </w:rPr>
        <w:t>to</w:t>
      </w:r>
      <w:r>
        <w:rPr>
          <w:color w:val="221F1F"/>
          <w:spacing w:val="-10"/>
        </w:rPr>
        <w:t xml:space="preserve"> </w:t>
      </w:r>
      <w:r>
        <w:rPr>
          <w:color w:val="221F1F"/>
        </w:rPr>
        <w:t>the</w:t>
      </w:r>
      <w:r>
        <w:rPr>
          <w:color w:val="221F1F"/>
          <w:spacing w:val="-8"/>
        </w:rPr>
        <w:t xml:space="preserve"> </w:t>
      </w:r>
      <w:r>
        <w:rPr>
          <w:color w:val="221F1F"/>
        </w:rPr>
        <w:t>basic technical requirements shall be considered by the Procuring Entity.</w:t>
      </w:r>
    </w:p>
    <w:p w:rsidR="007F6DF9" w:rsidRDefault="00A43FBC">
      <w:pPr>
        <w:pStyle w:val="Heading8"/>
        <w:numPr>
          <w:ilvl w:val="1"/>
          <w:numId w:val="178"/>
        </w:numPr>
        <w:tabs>
          <w:tab w:val="left" w:pos="1421"/>
        </w:tabs>
        <w:spacing w:before="238"/>
        <w:rPr>
          <w:color w:val="221F1F"/>
        </w:rPr>
      </w:pPr>
      <w:r>
        <w:rPr>
          <w:color w:val="221F1F"/>
        </w:rPr>
        <w:t>MARGIN</w:t>
      </w:r>
      <w:r>
        <w:rPr>
          <w:color w:val="221F1F"/>
          <w:spacing w:val="-4"/>
        </w:rPr>
        <w:t xml:space="preserve"> </w:t>
      </w:r>
      <w:r>
        <w:rPr>
          <w:color w:val="221F1F"/>
        </w:rPr>
        <w:t>OF</w:t>
      </w:r>
      <w:r>
        <w:rPr>
          <w:color w:val="221F1F"/>
          <w:spacing w:val="-1"/>
        </w:rPr>
        <w:t xml:space="preserve"> </w:t>
      </w:r>
      <w:r>
        <w:rPr>
          <w:color w:val="221F1F"/>
          <w:spacing w:val="-2"/>
        </w:rPr>
        <w:t>PREFERENCE</w:t>
      </w:r>
    </w:p>
    <w:p w:rsidR="007F6DF9" w:rsidRDefault="00A43FBC">
      <w:pPr>
        <w:pStyle w:val="ListParagraph"/>
        <w:numPr>
          <w:ilvl w:val="1"/>
          <w:numId w:val="178"/>
        </w:numPr>
        <w:tabs>
          <w:tab w:val="left" w:pos="1419"/>
          <w:tab w:val="left" w:pos="1433"/>
        </w:tabs>
        <w:spacing w:before="242" w:line="230" w:lineRule="auto"/>
        <w:ind w:left="1433" w:right="846" w:hanging="584"/>
        <w:jc w:val="both"/>
        <w:rPr>
          <w:b/>
          <w:color w:val="221F1F"/>
        </w:rPr>
      </w:pPr>
      <w:r>
        <w:rPr>
          <w:color w:val="221F1F"/>
        </w:rPr>
        <w:t>If the TDS so specifies, the Procuring Entity will grant a margin of preference of fifteen percent (15%) to be loaded</w:t>
      </w:r>
      <w:r>
        <w:rPr>
          <w:color w:val="221F1F"/>
          <w:spacing w:val="-11"/>
        </w:rPr>
        <w:t xml:space="preserve"> </w:t>
      </w:r>
      <w:r>
        <w:rPr>
          <w:color w:val="221F1F"/>
        </w:rPr>
        <w:t>on</w:t>
      </w:r>
      <w:r>
        <w:rPr>
          <w:color w:val="221F1F"/>
          <w:spacing w:val="-11"/>
        </w:rPr>
        <w:t xml:space="preserve"> </w:t>
      </w:r>
      <w:r>
        <w:rPr>
          <w:color w:val="221F1F"/>
        </w:rPr>
        <w:t>evaluated</w:t>
      </w:r>
      <w:r>
        <w:rPr>
          <w:color w:val="221F1F"/>
          <w:spacing w:val="-10"/>
        </w:rPr>
        <w:t xml:space="preserve"> </w:t>
      </w:r>
      <w:r>
        <w:rPr>
          <w:color w:val="221F1F"/>
        </w:rPr>
        <w:t>prices</w:t>
      </w:r>
      <w:r>
        <w:rPr>
          <w:color w:val="221F1F"/>
          <w:spacing w:val="-12"/>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foreign</w:t>
      </w:r>
      <w:r>
        <w:rPr>
          <w:color w:val="221F1F"/>
          <w:spacing w:val="-13"/>
        </w:rPr>
        <w:t xml:space="preserve"> </w:t>
      </w:r>
      <w:r>
        <w:rPr>
          <w:color w:val="221F1F"/>
        </w:rPr>
        <w:t>tenderers,</w:t>
      </w:r>
      <w:r>
        <w:rPr>
          <w:color w:val="221F1F"/>
          <w:spacing w:val="-10"/>
        </w:rPr>
        <w:t xml:space="preserve"> </w:t>
      </w:r>
      <w:r>
        <w:rPr>
          <w:color w:val="221F1F"/>
        </w:rPr>
        <w:t>where</w:t>
      </w:r>
      <w:r>
        <w:rPr>
          <w:color w:val="221F1F"/>
          <w:spacing w:val="-10"/>
        </w:rPr>
        <w:t xml:space="preserve"> </w:t>
      </w:r>
      <w:r>
        <w:rPr>
          <w:color w:val="221F1F"/>
        </w:rPr>
        <w:t>the</w:t>
      </w:r>
      <w:r>
        <w:rPr>
          <w:color w:val="221F1F"/>
          <w:spacing w:val="-10"/>
        </w:rPr>
        <w:t xml:space="preserve"> </w:t>
      </w:r>
      <w:r>
        <w:rPr>
          <w:color w:val="221F1F"/>
        </w:rPr>
        <w:t>percentage</w:t>
      </w:r>
      <w:r>
        <w:rPr>
          <w:color w:val="221F1F"/>
          <w:spacing w:val="-10"/>
        </w:rPr>
        <w:t xml:space="preserve"> </w:t>
      </w:r>
      <w:r>
        <w:rPr>
          <w:color w:val="221F1F"/>
        </w:rPr>
        <w:t>of</w:t>
      </w:r>
      <w:r>
        <w:rPr>
          <w:color w:val="221F1F"/>
          <w:spacing w:val="-10"/>
        </w:rPr>
        <w:t xml:space="preserve"> </w:t>
      </w:r>
      <w:proofErr w:type="spellStart"/>
      <w:r>
        <w:rPr>
          <w:color w:val="221F1F"/>
        </w:rPr>
        <w:t>share</w:t>
      </w:r>
      <w:r>
        <w:rPr>
          <w:color w:val="221F1F"/>
          <w:spacing w:val="-13"/>
        </w:rPr>
        <w:t xml:space="preserve"> </w:t>
      </w:r>
      <w:r>
        <w:rPr>
          <w:color w:val="221F1F"/>
        </w:rPr>
        <w:t>holding</w:t>
      </w:r>
      <w:proofErr w:type="spellEnd"/>
      <w:r>
        <w:rPr>
          <w:color w:val="221F1F"/>
          <w:spacing w:val="-10"/>
        </w:rPr>
        <w:t xml:space="preserve"> </w:t>
      </w:r>
      <w:r>
        <w:rPr>
          <w:color w:val="221F1F"/>
        </w:rPr>
        <w:t>of</w:t>
      </w:r>
      <w:r>
        <w:rPr>
          <w:color w:val="221F1F"/>
          <w:spacing w:val="-10"/>
        </w:rPr>
        <w:t xml:space="preserve"> </w:t>
      </w:r>
      <w:r>
        <w:rPr>
          <w:color w:val="221F1F"/>
        </w:rPr>
        <w:t>Kenyan</w:t>
      </w:r>
      <w:r>
        <w:rPr>
          <w:color w:val="221F1F"/>
          <w:spacing w:val="-10"/>
        </w:rPr>
        <w:t xml:space="preserve"> </w:t>
      </w:r>
      <w:proofErr w:type="spellStart"/>
      <w:r>
        <w:rPr>
          <w:color w:val="221F1F"/>
        </w:rPr>
        <w:t>citizensis</w:t>
      </w:r>
      <w:proofErr w:type="spellEnd"/>
      <w:r>
        <w:rPr>
          <w:color w:val="221F1F"/>
        </w:rPr>
        <w:t xml:space="preserve"> less than fifty- one percent (51%).</w:t>
      </w:r>
    </w:p>
    <w:p w:rsidR="007F6DF9" w:rsidRDefault="00A43FBC">
      <w:pPr>
        <w:pStyle w:val="ListParagraph"/>
        <w:numPr>
          <w:ilvl w:val="1"/>
          <w:numId w:val="178"/>
        </w:numPr>
        <w:tabs>
          <w:tab w:val="left" w:pos="1419"/>
          <w:tab w:val="left" w:pos="1433"/>
        </w:tabs>
        <w:spacing w:before="246" w:line="230" w:lineRule="auto"/>
        <w:ind w:left="1433" w:right="846" w:hanging="584"/>
        <w:jc w:val="both"/>
        <w:rPr>
          <w:b/>
          <w:color w:val="221F1F"/>
        </w:rPr>
      </w:pPr>
      <w:r>
        <w:rPr>
          <w:color w:val="221F1F"/>
        </w:rPr>
        <w:t>Contractors shall be asked to provide, as part of the data for qualification, such</w:t>
      </w:r>
      <w:r>
        <w:rPr>
          <w:color w:val="221F1F"/>
          <w:spacing w:val="-2"/>
        </w:rPr>
        <w:t xml:space="preserve"> </w:t>
      </w:r>
      <w:r>
        <w:rPr>
          <w:color w:val="221F1F"/>
        </w:rPr>
        <w:t>information, including details of ownership, as shall be required to determine whether, according to the classification established by the Procuring Entity,</w:t>
      </w:r>
      <w:r>
        <w:rPr>
          <w:color w:val="221F1F"/>
          <w:spacing w:val="-1"/>
        </w:rPr>
        <w:t xml:space="preserve"> </w:t>
      </w:r>
      <w:r>
        <w:rPr>
          <w:color w:val="221F1F"/>
        </w:rPr>
        <w:t>a particular contractor or group of contractors qualifies for a margin of preference.</w:t>
      </w:r>
    </w:p>
    <w:p w:rsidR="007F6DF9" w:rsidRDefault="00A43FBC">
      <w:pPr>
        <w:pStyle w:val="ListParagraph"/>
        <w:numPr>
          <w:ilvl w:val="1"/>
          <w:numId w:val="178"/>
        </w:numPr>
        <w:tabs>
          <w:tab w:val="left" w:pos="1419"/>
          <w:tab w:val="left" w:pos="1433"/>
        </w:tabs>
        <w:spacing w:before="244" w:line="230" w:lineRule="auto"/>
        <w:ind w:left="1433" w:right="845" w:hanging="584"/>
        <w:jc w:val="both"/>
        <w:rPr>
          <w:b/>
          <w:color w:val="221F1F"/>
        </w:rPr>
      </w:pPr>
      <w:r>
        <w:rPr>
          <w:color w:val="221F1F"/>
        </w:rPr>
        <w:t>After</w:t>
      </w:r>
      <w:r>
        <w:rPr>
          <w:color w:val="221F1F"/>
          <w:spacing w:val="-2"/>
        </w:rPr>
        <w:t xml:space="preserve"> </w:t>
      </w:r>
      <w:r>
        <w:rPr>
          <w:color w:val="221F1F"/>
        </w:rPr>
        <w:t>Tenders</w:t>
      </w:r>
      <w:r>
        <w:rPr>
          <w:color w:val="221F1F"/>
          <w:spacing w:val="-7"/>
        </w:rPr>
        <w:t xml:space="preserve"> </w:t>
      </w:r>
      <w:r>
        <w:rPr>
          <w:color w:val="221F1F"/>
        </w:rPr>
        <w:t>have</w:t>
      </w:r>
      <w:r>
        <w:rPr>
          <w:color w:val="221F1F"/>
          <w:spacing w:val="-3"/>
        </w:rPr>
        <w:t xml:space="preserve"> </w:t>
      </w:r>
      <w:r>
        <w:rPr>
          <w:color w:val="221F1F"/>
        </w:rPr>
        <w:t>been</w:t>
      </w:r>
      <w:r>
        <w:rPr>
          <w:color w:val="221F1F"/>
          <w:spacing w:val="-3"/>
        </w:rPr>
        <w:t xml:space="preserve"> </w:t>
      </w:r>
      <w:r>
        <w:rPr>
          <w:color w:val="221F1F"/>
        </w:rPr>
        <w:t>received</w:t>
      </w:r>
      <w:r>
        <w:rPr>
          <w:color w:val="221F1F"/>
          <w:spacing w:val="-2"/>
        </w:rPr>
        <w:t xml:space="preserve"> </w:t>
      </w:r>
      <w:r>
        <w:rPr>
          <w:color w:val="221F1F"/>
        </w:rPr>
        <w:t>and</w:t>
      </w:r>
      <w:r>
        <w:rPr>
          <w:color w:val="221F1F"/>
          <w:spacing w:val="-2"/>
        </w:rPr>
        <w:t xml:space="preserve"> </w:t>
      </w:r>
      <w:r>
        <w:rPr>
          <w:color w:val="221F1F"/>
        </w:rPr>
        <w:t>reviewed</w:t>
      </w:r>
      <w:r>
        <w:rPr>
          <w:color w:val="221F1F"/>
          <w:spacing w:val="-3"/>
        </w:rPr>
        <w:t xml:space="preserve"> </w:t>
      </w:r>
      <w:r>
        <w:rPr>
          <w:color w:val="221F1F"/>
        </w:rPr>
        <w:t>by</w:t>
      </w:r>
      <w:r>
        <w:rPr>
          <w:color w:val="221F1F"/>
          <w:spacing w:val="-3"/>
        </w:rPr>
        <w:t xml:space="preserve"> </w:t>
      </w:r>
      <w:r>
        <w:rPr>
          <w:color w:val="221F1F"/>
        </w:rPr>
        <w:t>the</w:t>
      </w:r>
      <w:r>
        <w:rPr>
          <w:color w:val="221F1F"/>
          <w:spacing w:val="-5"/>
        </w:rPr>
        <w:t xml:space="preserve"> </w:t>
      </w:r>
      <w:r>
        <w:rPr>
          <w:color w:val="221F1F"/>
        </w:rPr>
        <w:t>Procuring</w:t>
      </w:r>
      <w:r>
        <w:rPr>
          <w:color w:val="221F1F"/>
          <w:spacing w:val="-2"/>
        </w:rPr>
        <w:t xml:space="preserve"> </w:t>
      </w:r>
      <w:r>
        <w:rPr>
          <w:color w:val="221F1F"/>
        </w:rPr>
        <w:t>Entity,</w:t>
      </w:r>
      <w:r>
        <w:rPr>
          <w:color w:val="221F1F"/>
          <w:spacing w:val="-8"/>
        </w:rPr>
        <w:t xml:space="preserve"> </w:t>
      </w:r>
      <w:r>
        <w:rPr>
          <w:color w:val="221F1F"/>
        </w:rPr>
        <w:t>responsive</w:t>
      </w:r>
      <w:r>
        <w:rPr>
          <w:color w:val="221F1F"/>
          <w:spacing w:val="-2"/>
        </w:rPr>
        <w:t xml:space="preserve"> </w:t>
      </w:r>
      <w:r>
        <w:rPr>
          <w:color w:val="221F1F"/>
        </w:rPr>
        <w:t>Tenders</w:t>
      </w:r>
      <w:r>
        <w:rPr>
          <w:color w:val="221F1F"/>
          <w:spacing w:val="-7"/>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assessed to ascertain their percentage of shareholding of Kenyan citizens. Responsive tenders shall be classified into the following groups:</w:t>
      </w:r>
    </w:p>
    <w:p w:rsidR="007F6DF9" w:rsidRDefault="00A43FBC">
      <w:pPr>
        <w:pStyle w:val="ListParagraph"/>
        <w:numPr>
          <w:ilvl w:val="2"/>
          <w:numId w:val="178"/>
        </w:numPr>
        <w:tabs>
          <w:tab w:val="left" w:pos="1781"/>
        </w:tabs>
        <w:spacing w:before="1" w:line="230" w:lineRule="auto"/>
        <w:ind w:right="846"/>
        <w:jc w:val="both"/>
      </w:pPr>
      <w:r>
        <w:rPr>
          <w:i/>
          <w:color w:val="221F1F"/>
        </w:rPr>
        <w:t xml:space="preserve">Group A: </w:t>
      </w:r>
      <w:r>
        <w:rPr>
          <w:color w:val="221F1F"/>
        </w:rPr>
        <w:t>tenders offered by Kenyan Contractors and</w:t>
      </w:r>
      <w:r>
        <w:rPr>
          <w:color w:val="221F1F"/>
          <w:spacing w:val="-1"/>
        </w:rPr>
        <w:t xml:space="preserve"> </w:t>
      </w:r>
      <w:r>
        <w:rPr>
          <w:color w:val="221F1F"/>
        </w:rPr>
        <w:t xml:space="preserve">other Tenderers where Kenyan citizens hold shares of over </w:t>
      </w:r>
      <w:proofErr w:type="gramStart"/>
      <w:r>
        <w:rPr>
          <w:color w:val="221F1F"/>
        </w:rPr>
        <w:t>fifty one</w:t>
      </w:r>
      <w:proofErr w:type="gramEnd"/>
      <w:r>
        <w:rPr>
          <w:color w:val="221F1F"/>
        </w:rPr>
        <w:t xml:space="preserve"> percent (51%).</w:t>
      </w:r>
    </w:p>
    <w:p w:rsidR="007F6DF9" w:rsidRDefault="00A43FBC">
      <w:pPr>
        <w:pStyle w:val="ListParagraph"/>
        <w:numPr>
          <w:ilvl w:val="2"/>
          <w:numId w:val="178"/>
        </w:numPr>
        <w:tabs>
          <w:tab w:val="left" w:pos="1779"/>
          <w:tab w:val="left" w:pos="1781"/>
        </w:tabs>
        <w:spacing w:line="232" w:lineRule="auto"/>
        <w:ind w:right="846"/>
        <w:jc w:val="both"/>
      </w:pPr>
      <w:r>
        <w:rPr>
          <w:i/>
          <w:color w:val="221F1F"/>
        </w:rPr>
        <w:t xml:space="preserve">Group B: </w:t>
      </w:r>
      <w:r>
        <w:rPr>
          <w:color w:val="221F1F"/>
        </w:rPr>
        <w:t xml:space="preserve">tenders offered by foreign Contractors and other Tenderers where Kenyan citizens hold shares of less than </w:t>
      </w:r>
      <w:proofErr w:type="gramStart"/>
      <w:r>
        <w:rPr>
          <w:color w:val="221F1F"/>
        </w:rPr>
        <w:t>fifty one</w:t>
      </w:r>
      <w:proofErr w:type="gramEnd"/>
      <w:r>
        <w:rPr>
          <w:color w:val="221F1F"/>
        </w:rPr>
        <w:t xml:space="preserve"> percent (51%).</w:t>
      </w:r>
    </w:p>
    <w:p w:rsidR="007F6DF9" w:rsidRDefault="00A43FBC">
      <w:pPr>
        <w:pStyle w:val="ListParagraph"/>
        <w:numPr>
          <w:ilvl w:val="1"/>
          <w:numId w:val="178"/>
        </w:numPr>
        <w:tabs>
          <w:tab w:val="left" w:pos="1418"/>
          <w:tab w:val="left" w:pos="1430"/>
        </w:tabs>
        <w:spacing w:before="240" w:line="230" w:lineRule="auto"/>
        <w:ind w:left="1430" w:right="845" w:hanging="582"/>
        <w:jc w:val="both"/>
        <w:rPr>
          <w:b/>
        </w:rPr>
      </w:pPr>
      <w:r>
        <w:t>All</w:t>
      </w:r>
      <w:r>
        <w:rPr>
          <w:spacing w:val="-13"/>
        </w:rPr>
        <w:t xml:space="preserve"> </w:t>
      </w:r>
      <w:r>
        <w:t>evaluated</w:t>
      </w:r>
      <w:r>
        <w:rPr>
          <w:spacing w:val="-13"/>
        </w:rPr>
        <w:t xml:space="preserve"> </w:t>
      </w:r>
      <w:r>
        <w:t>tenders</w:t>
      </w:r>
      <w:r>
        <w:rPr>
          <w:spacing w:val="-13"/>
        </w:rPr>
        <w:t xml:space="preserve"> </w:t>
      </w:r>
      <w:r>
        <w:t>in</w:t>
      </w:r>
      <w:r>
        <w:rPr>
          <w:spacing w:val="-14"/>
        </w:rPr>
        <w:t xml:space="preserve"> </w:t>
      </w:r>
      <w:r>
        <w:t>each</w:t>
      </w:r>
      <w:r>
        <w:rPr>
          <w:spacing w:val="-10"/>
        </w:rPr>
        <w:t xml:space="preserve"> </w:t>
      </w:r>
      <w:r>
        <w:t>group</w:t>
      </w:r>
      <w:r>
        <w:rPr>
          <w:spacing w:val="-14"/>
        </w:rPr>
        <w:t xml:space="preserve"> </w:t>
      </w:r>
      <w:r>
        <w:t>shall,</w:t>
      </w:r>
      <w:r>
        <w:rPr>
          <w:spacing w:val="-13"/>
        </w:rPr>
        <w:t xml:space="preserve"> </w:t>
      </w:r>
      <w:r>
        <w:t>as</w:t>
      </w:r>
      <w:r>
        <w:rPr>
          <w:spacing w:val="-14"/>
        </w:rPr>
        <w:t xml:space="preserve"> </w:t>
      </w:r>
      <w:r>
        <w:t>a</w:t>
      </w:r>
      <w:r>
        <w:rPr>
          <w:spacing w:val="-13"/>
        </w:rPr>
        <w:t xml:space="preserve"> </w:t>
      </w:r>
      <w:r>
        <w:t>first</w:t>
      </w:r>
      <w:r>
        <w:rPr>
          <w:spacing w:val="-13"/>
        </w:rPr>
        <w:t xml:space="preserve"> </w:t>
      </w:r>
      <w:r>
        <w:t>evaluation</w:t>
      </w:r>
      <w:r>
        <w:rPr>
          <w:spacing w:val="-13"/>
        </w:rPr>
        <w:t xml:space="preserve"> </w:t>
      </w:r>
      <w:r>
        <w:t>step,</w:t>
      </w:r>
      <w:r>
        <w:rPr>
          <w:spacing w:val="-11"/>
        </w:rPr>
        <w:t xml:space="preserve"> </w:t>
      </w:r>
      <w:r>
        <w:t>be</w:t>
      </w:r>
      <w:r>
        <w:rPr>
          <w:spacing w:val="-14"/>
        </w:rPr>
        <w:t xml:space="preserve"> </w:t>
      </w:r>
      <w:r>
        <w:t>compared</w:t>
      </w:r>
      <w:r>
        <w:rPr>
          <w:spacing w:val="-13"/>
        </w:rPr>
        <w:t xml:space="preserve"> </w:t>
      </w:r>
      <w:r>
        <w:t>to</w:t>
      </w:r>
      <w:r>
        <w:rPr>
          <w:spacing w:val="-14"/>
        </w:rPr>
        <w:t xml:space="preserve"> </w:t>
      </w:r>
      <w:r>
        <w:t>determine</w:t>
      </w:r>
      <w:r>
        <w:rPr>
          <w:spacing w:val="-14"/>
        </w:rPr>
        <w:t xml:space="preserve"> </w:t>
      </w:r>
      <w:r>
        <w:t>the</w:t>
      </w:r>
      <w:r>
        <w:rPr>
          <w:spacing w:val="-13"/>
        </w:rPr>
        <w:t xml:space="preserve"> </w:t>
      </w:r>
      <w:r>
        <w:t>lowest</w:t>
      </w:r>
      <w:r>
        <w:rPr>
          <w:spacing w:val="-13"/>
        </w:rPr>
        <w:t xml:space="preserve"> </w:t>
      </w:r>
      <w:r>
        <w:t>tender, and the lowest</w:t>
      </w:r>
      <w:r>
        <w:rPr>
          <w:spacing w:val="-1"/>
        </w:rPr>
        <w:t xml:space="preserve"> </w:t>
      </w:r>
      <w:r>
        <w:t>evaluated</w:t>
      </w:r>
      <w:r>
        <w:rPr>
          <w:spacing w:val="-2"/>
        </w:rPr>
        <w:t xml:space="preserve"> </w:t>
      </w:r>
      <w:r>
        <w:t>tender</w:t>
      </w:r>
      <w:r>
        <w:rPr>
          <w:spacing w:val="-1"/>
        </w:rPr>
        <w:t xml:space="preserve"> </w:t>
      </w:r>
      <w:r>
        <w:t>in each group</w:t>
      </w:r>
      <w:r>
        <w:rPr>
          <w:spacing w:val="-2"/>
        </w:rPr>
        <w:t xml:space="preserve"> </w:t>
      </w:r>
      <w:r>
        <w:t>shall</w:t>
      </w:r>
      <w:r>
        <w:rPr>
          <w:spacing w:val="-1"/>
        </w:rPr>
        <w:t xml:space="preserve"> </w:t>
      </w:r>
      <w:r>
        <w:t>be</w:t>
      </w:r>
      <w:r>
        <w:rPr>
          <w:spacing w:val="-2"/>
        </w:rPr>
        <w:t xml:space="preserve"> </w:t>
      </w:r>
      <w:r>
        <w:t>further compared with</w:t>
      </w:r>
      <w:r>
        <w:rPr>
          <w:spacing w:val="-2"/>
        </w:rPr>
        <w:t xml:space="preserve"> </w:t>
      </w:r>
      <w:r>
        <w:t>each other.</w:t>
      </w:r>
      <w:r>
        <w:rPr>
          <w:spacing w:val="-5"/>
        </w:rPr>
        <w:t xml:space="preserve"> </w:t>
      </w:r>
      <w:r>
        <w:t>If, as</w:t>
      </w:r>
      <w:r>
        <w:rPr>
          <w:spacing w:val="-2"/>
        </w:rPr>
        <w:t xml:space="preserve"> </w:t>
      </w:r>
      <w:r>
        <w:t>a result</w:t>
      </w:r>
      <w:r>
        <w:rPr>
          <w:spacing w:val="-1"/>
        </w:rPr>
        <w:t xml:space="preserve"> </w:t>
      </w:r>
      <w:r>
        <w:t>of</w:t>
      </w:r>
      <w:r>
        <w:rPr>
          <w:spacing w:val="-2"/>
        </w:rPr>
        <w:t xml:space="preserve"> </w:t>
      </w:r>
      <w:r>
        <w:t>this comparison,</w:t>
      </w:r>
      <w:r>
        <w:rPr>
          <w:spacing w:val="-8"/>
        </w:rPr>
        <w:t xml:space="preserve"> </w:t>
      </w:r>
      <w:r>
        <w:t>a</w:t>
      </w:r>
      <w:r>
        <w:rPr>
          <w:spacing w:val="-10"/>
        </w:rPr>
        <w:t xml:space="preserve"> </w:t>
      </w:r>
      <w:r>
        <w:t>tender</w:t>
      </w:r>
      <w:r>
        <w:rPr>
          <w:spacing w:val="-7"/>
        </w:rPr>
        <w:t xml:space="preserve"> </w:t>
      </w:r>
      <w:r>
        <w:t>from</w:t>
      </w:r>
      <w:r>
        <w:rPr>
          <w:spacing w:val="-7"/>
        </w:rPr>
        <w:t xml:space="preserve"> </w:t>
      </w:r>
      <w:r>
        <w:t>Group</w:t>
      </w:r>
      <w:r>
        <w:rPr>
          <w:spacing w:val="-8"/>
        </w:rPr>
        <w:t xml:space="preserve"> </w:t>
      </w:r>
      <w:r>
        <w:t>A</w:t>
      </w:r>
      <w:r>
        <w:rPr>
          <w:spacing w:val="-10"/>
        </w:rPr>
        <w:t xml:space="preserve"> </w:t>
      </w:r>
      <w:r>
        <w:t>is</w:t>
      </w:r>
      <w:r>
        <w:rPr>
          <w:spacing w:val="-8"/>
        </w:rPr>
        <w:t xml:space="preserve"> </w:t>
      </w:r>
      <w:r>
        <w:t>the</w:t>
      </w:r>
      <w:r>
        <w:rPr>
          <w:spacing w:val="-8"/>
        </w:rPr>
        <w:t xml:space="preserve"> </w:t>
      </w:r>
      <w:r>
        <w:t>lowest,</w:t>
      </w:r>
      <w:r>
        <w:rPr>
          <w:spacing w:val="-8"/>
        </w:rPr>
        <w:t xml:space="preserve"> </w:t>
      </w:r>
      <w:r>
        <w:t>it</w:t>
      </w:r>
      <w:r>
        <w:rPr>
          <w:spacing w:val="-7"/>
        </w:rPr>
        <w:t xml:space="preserve"> </w:t>
      </w:r>
      <w:r>
        <w:t>shall</w:t>
      </w:r>
      <w:r>
        <w:rPr>
          <w:spacing w:val="-7"/>
        </w:rPr>
        <w:t xml:space="preserve"> </w:t>
      </w:r>
      <w:r>
        <w:t>be</w:t>
      </w:r>
      <w:r>
        <w:rPr>
          <w:spacing w:val="-8"/>
        </w:rPr>
        <w:t xml:space="preserve"> </w:t>
      </w:r>
      <w:r>
        <w:t>selected</w:t>
      </w:r>
      <w:r>
        <w:rPr>
          <w:spacing w:val="-8"/>
        </w:rPr>
        <w:t xml:space="preserve"> </w:t>
      </w:r>
      <w:r>
        <w:t>for</w:t>
      </w:r>
      <w:r>
        <w:rPr>
          <w:spacing w:val="-7"/>
        </w:rPr>
        <w:t xml:space="preserve"> </w:t>
      </w:r>
      <w:r>
        <w:t>the</w:t>
      </w:r>
      <w:r>
        <w:rPr>
          <w:spacing w:val="-8"/>
        </w:rPr>
        <w:t xml:space="preserve"> </w:t>
      </w:r>
      <w:r>
        <w:t>award</w:t>
      </w:r>
      <w:r>
        <w:rPr>
          <w:spacing w:val="-10"/>
        </w:rPr>
        <w:t xml:space="preserve"> </w:t>
      </w:r>
      <w:r>
        <w:t>of</w:t>
      </w:r>
      <w:r>
        <w:rPr>
          <w:spacing w:val="-7"/>
        </w:rPr>
        <w:t xml:space="preserve"> </w:t>
      </w:r>
      <w:r>
        <w:t>contract.</w:t>
      </w:r>
      <w:r>
        <w:rPr>
          <w:spacing w:val="-8"/>
        </w:rPr>
        <w:t xml:space="preserve"> </w:t>
      </w:r>
      <w:r>
        <w:t>If</w:t>
      </w:r>
      <w:r>
        <w:rPr>
          <w:spacing w:val="-8"/>
        </w:rPr>
        <w:t xml:space="preserve"> </w:t>
      </w:r>
      <w:r>
        <w:t>a</w:t>
      </w:r>
      <w:r>
        <w:rPr>
          <w:spacing w:val="-8"/>
        </w:rPr>
        <w:t xml:space="preserve"> </w:t>
      </w:r>
      <w:r>
        <w:t>tender</w:t>
      </w:r>
      <w:r>
        <w:rPr>
          <w:spacing w:val="-9"/>
        </w:rPr>
        <w:t xml:space="preserve"> </w:t>
      </w:r>
      <w:r>
        <w:t>from Group B is</w:t>
      </w:r>
      <w:r>
        <w:rPr>
          <w:spacing w:val="-1"/>
        </w:rPr>
        <w:t xml:space="preserve"> </w:t>
      </w:r>
      <w:r>
        <w:t>the</w:t>
      </w:r>
      <w:r>
        <w:rPr>
          <w:spacing w:val="-1"/>
        </w:rPr>
        <w:t xml:space="preserve"> </w:t>
      </w:r>
      <w:r>
        <w:t>lowest, an amount equal to the percentage indicated</w:t>
      </w:r>
      <w:r>
        <w:rPr>
          <w:spacing w:val="-1"/>
        </w:rPr>
        <w:t xml:space="preserve"> </w:t>
      </w:r>
      <w:r>
        <w:t>in Item 6.1 of</w:t>
      </w:r>
      <w:r>
        <w:rPr>
          <w:spacing w:val="-1"/>
        </w:rPr>
        <w:t xml:space="preserve"> </w:t>
      </w:r>
      <w:r>
        <w:t>the respective tender price, including unconditional discounts and excluding provisional sums and the cost of day works, if any,</w:t>
      </w:r>
      <w:r>
        <w:rPr>
          <w:spacing w:val="-5"/>
        </w:rPr>
        <w:t xml:space="preserve"> </w:t>
      </w:r>
      <w:r>
        <w:t>shall be added to the evaluated price offered in each tender from Group B. All tenders shall then be compared using new prices with added prices to Group B and the lowest evaluated tender from Group A. If the tender from Group</w:t>
      </w:r>
      <w:r>
        <w:rPr>
          <w:spacing w:val="-6"/>
        </w:rPr>
        <w:t xml:space="preserve"> </w:t>
      </w:r>
      <w:r>
        <w:t>A</w:t>
      </w:r>
      <w:r>
        <w:rPr>
          <w:spacing w:val="-7"/>
        </w:rPr>
        <w:t xml:space="preserve"> </w:t>
      </w:r>
      <w:r>
        <w:t>is</w:t>
      </w:r>
      <w:r>
        <w:rPr>
          <w:spacing w:val="-5"/>
        </w:rPr>
        <w:t xml:space="preserve"> </w:t>
      </w:r>
      <w:r>
        <w:t>still</w:t>
      </w:r>
      <w:r>
        <w:rPr>
          <w:spacing w:val="-5"/>
        </w:rPr>
        <w:t xml:space="preserve"> </w:t>
      </w:r>
      <w:r>
        <w:t>the</w:t>
      </w:r>
      <w:r>
        <w:rPr>
          <w:spacing w:val="-5"/>
        </w:rPr>
        <w:t xml:space="preserve"> </w:t>
      </w:r>
      <w:r>
        <w:t>lowest</w:t>
      </w:r>
      <w:r>
        <w:rPr>
          <w:spacing w:val="-4"/>
        </w:rPr>
        <w:t xml:space="preserve"> </w:t>
      </w:r>
      <w:r>
        <w:t>tender,</w:t>
      </w:r>
      <w:r>
        <w:rPr>
          <w:spacing w:val="-6"/>
        </w:rPr>
        <w:t xml:space="preserve"> </w:t>
      </w:r>
      <w:r>
        <w:t>it</w:t>
      </w:r>
      <w:r>
        <w:rPr>
          <w:spacing w:val="-5"/>
        </w:rPr>
        <w:t xml:space="preserve"> </w:t>
      </w:r>
      <w:r>
        <w:t>shall</w:t>
      </w:r>
      <w:r>
        <w:rPr>
          <w:spacing w:val="-5"/>
        </w:rPr>
        <w:t xml:space="preserve"> </w:t>
      </w:r>
      <w:r>
        <w:t>be</w:t>
      </w:r>
      <w:r>
        <w:rPr>
          <w:spacing w:val="-6"/>
        </w:rPr>
        <w:t xml:space="preserve"> </w:t>
      </w:r>
      <w:r>
        <w:t>selected</w:t>
      </w:r>
      <w:r>
        <w:rPr>
          <w:spacing w:val="-8"/>
        </w:rPr>
        <w:t xml:space="preserve"> </w:t>
      </w:r>
      <w:proofErr w:type="spellStart"/>
      <w:r>
        <w:t>foraward</w:t>
      </w:r>
      <w:proofErr w:type="spellEnd"/>
      <w:r>
        <w:t>.</w:t>
      </w:r>
      <w:r>
        <w:rPr>
          <w:spacing w:val="-5"/>
        </w:rPr>
        <w:t xml:space="preserve"> </w:t>
      </w:r>
      <w:r>
        <w:t>If</w:t>
      </w:r>
      <w:r>
        <w:rPr>
          <w:spacing w:val="-5"/>
        </w:rPr>
        <w:t xml:space="preserve"> </w:t>
      </w:r>
      <w:r>
        <w:t>not,</w:t>
      </w:r>
      <w:r>
        <w:rPr>
          <w:spacing w:val="-6"/>
        </w:rPr>
        <w:t xml:space="preserve"> </w:t>
      </w:r>
      <w:r>
        <w:t>the</w:t>
      </w:r>
      <w:r>
        <w:rPr>
          <w:spacing w:val="-5"/>
        </w:rPr>
        <w:t xml:space="preserve"> </w:t>
      </w:r>
      <w:r>
        <w:t>lowest</w:t>
      </w:r>
      <w:r>
        <w:rPr>
          <w:spacing w:val="-5"/>
        </w:rPr>
        <w:t xml:space="preserve"> </w:t>
      </w:r>
      <w:r>
        <w:t>evaluated</w:t>
      </w:r>
      <w:r>
        <w:rPr>
          <w:spacing w:val="-7"/>
        </w:rPr>
        <w:t xml:space="preserve"> </w:t>
      </w:r>
      <w:r>
        <w:t>tender</w:t>
      </w:r>
      <w:r>
        <w:rPr>
          <w:spacing w:val="-5"/>
        </w:rPr>
        <w:t xml:space="preserve"> </w:t>
      </w:r>
      <w:r>
        <w:t>from</w:t>
      </w:r>
      <w:r>
        <w:rPr>
          <w:spacing w:val="-5"/>
        </w:rPr>
        <w:t xml:space="preserve"> </w:t>
      </w:r>
      <w:r>
        <w:t>Group B based on the first evaluation price shall be selected.</w:t>
      </w:r>
    </w:p>
    <w:p w:rsidR="007F6DF9" w:rsidRDefault="007F6DF9">
      <w:pPr>
        <w:pStyle w:val="ListParagraph"/>
        <w:spacing w:line="230" w:lineRule="auto"/>
        <w:jc w:val="both"/>
        <w:rPr>
          <w:b/>
        </w:rPr>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Heading9"/>
        <w:numPr>
          <w:ilvl w:val="0"/>
          <w:numId w:val="177"/>
        </w:numPr>
        <w:tabs>
          <w:tab w:val="left" w:pos="1417"/>
        </w:tabs>
        <w:ind w:left="1417" w:hanging="568"/>
        <w:jc w:val="both"/>
      </w:pPr>
      <w:r>
        <w:rPr>
          <w:color w:val="221F1F"/>
        </w:rPr>
        <w:t>Post</w:t>
      </w:r>
      <w:r>
        <w:rPr>
          <w:color w:val="221F1F"/>
          <w:spacing w:val="-4"/>
        </w:rPr>
        <w:t xml:space="preserve"> </w:t>
      </w:r>
      <w:r>
        <w:rPr>
          <w:color w:val="221F1F"/>
        </w:rPr>
        <w:t>qualification</w:t>
      </w:r>
      <w:r>
        <w:rPr>
          <w:color w:val="221F1F"/>
          <w:spacing w:val="-5"/>
        </w:rPr>
        <w:t xml:space="preserve"> </w:t>
      </w:r>
      <w:r>
        <w:rPr>
          <w:color w:val="221F1F"/>
        </w:rPr>
        <w:t>and</w:t>
      </w:r>
      <w:r>
        <w:rPr>
          <w:color w:val="221F1F"/>
          <w:spacing w:val="-5"/>
        </w:rPr>
        <w:t xml:space="preserve"> </w:t>
      </w:r>
      <w:r>
        <w:rPr>
          <w:color w:val="221F1F"/>
        </w:rPr>
        <w:t>Contract</w:t>
      </w:r>
      <w:r>
        <w:rPr>
          <w:color w:val="221F1F"/>
          <w:spacing w:val="-6"/>
        </w:rPr>
        <w:t xml:space="preserve"> </w:t>
      </w:r>
      <w:r>
        <w:rPr>
          <w:color w:val="221F1F"/>
        </w:rPr>
        <w:t>ward</w:t>
      </w:r>
      <w:r>
        <w:rPr>
          <w:color w:val="221F1F"/>
          <w:spacing w:val="-7"/>
        </w:rPr>
        <w:t xml:space="preserve"> </w:t>
      </w:r>
      <w:r>
        <w:rPr>
          <w:color w:val="221F1F"/>
        </w:rPr>
        <w:t>(ITT</w:t>
      </w:r>
      <w:r>
        <w:rPr>
          <w:color w:val="221F1F"/>
          <w:spacing w:val="-5"/>
        </w:rPr>
        <w:t xml:space="preserve"> </w:t>
      </w:r>
      <w:r>
        <w:rPr>
          <w:color w:val="221F1F"/>
        </w:rPr>
        <w:t>39),</w:t>
      </w:r>
      <w:r>
        <w:rPr>
          <w:color w:val="221F1F"/>
          <w:spacing w:val="-5"/>
        </w:rPr>
        <w:t xml:space="preserve"> </w:t>
      </w:r>
      <w:r>
        <w:rPr>
          <w:color w:val="221F1F"/>
        </w:rPr>
        <w:t>more</w:t>
      </w:r>
      <w:r>
        <w:rPr>
          <w:color w:val="221F1F"/>
          <w:spacing w:val="-4"/>
        </w:rPr>
        <w:t xml:space="preserve"> </w:t>
      </w:r>
      <w:r>
        <w:rPr>
          <w:color w:val="221F1F"/>
          <w:spacing w:val="-2"/>
        </w:rPr>
        <w:t>specifically,</w:t>
      </w:r>
    </w:p>
    <w:p w:rsidR="007F6DF9" w:rsidRDefault="00A43FBC">
      <w:pPr>
        <w:pStyle w:val="ListParagraph"/>
        <w:numPr>
          <w:ilvl w:val="1"/>
          <w:numId w:val="177"/>
        </w:numPr>
        <w:tabs>
          <w:tab w:val="left" w:pos="1820"/>
          <w:tab w:val="left" w:pos="1822"/>
        </w:tabs>
        <w:spacing w:before="48" w:line="230" w:lineRule="auto"/>
        <w:ind w:right="850"/>
        <w:jc w:val="both"/>
      </w:pPr>
      <w:r>
        <w:rPr>
          <w:color w:val="221F1F"/>
        </w:rPr>
        <w:t xml:space="preserve">In case the tender </w:t>
      </w:r>
      <w:r>
        <w:rPr>
          <w:color w:val="221F1F"/>
          <w:u w:val="single" w:color="221F1F"/>
        </w:rPr>
        <w:t>was subject</w:t>
      </w:r>
      <w:r>
        <w:rPr>
          <w:color w:val="221F1F"/>
          <w:spacing w:val="-1"/>
          <w:u w:val="single" w:color="221F1F"/>
        </w:rPr>
        <w:t xml:space="preserve"> </w:t>
      </w:r>
      <w:r>
        <w:rPr>
          <w:color w:val="221F1F"/>
          <w:u w:val="single" w:color="221F1F"/>
        </w:rPr>
        <w:t>to post-qualification</w:t>
      </w:r>
      <w:r>
        <w:rPr>
          <w:color w:val="221F1F"/>
        </w:rPr>
        <w:t>,</w:t>
      </w:r>
      <w:r>
        <w:rPr>
          <w:color w:val="221F1F"/>
          <w:spacing w:val="-2"/>
        </w:rPr>
        <w:t xml:space="preserve"> </w:t>
      </w:r>
      <w:r>
        <w:rPr>
          <w:color w:val="221F1F"/>
        </w:rPr>
        <w:t>the contract shall be awarded</w:t>
      </w:r>
      <w:r>
        <w:rPr>
          <w:color w:val="221F1F"/>
          <w:spacing w:val="-3"/>
        </w:rPr>
        <w:t xml:space="preserve"> </w:t>
      </w:r>
      <w:r>
        <w:rPr>
          <w:color w:val="221F1F"/>
        </w:rPr>
        <w:t>to the lowest evaluated tenderer, subject to confirmation of pre-qualification data, if so required.</w:t>
      </w:r>
    </w:p>
    <w:p w:rsidR="007F6DF9" w:rsidRDefault="00A43FBC">
      <w:pPr>
        <w:pStyle w:val="ListParagraph"/>
        <w:numPr>
          <w:ilvl w:val="1"/>
          <w:numId w:val="177"/>
        </w:numPr>
        <w:tabs>
          <w:tab w:val="left" w:pos="1820"/>
          <w:tab w:val="left" w:pos="1822"/>
        </w:tabs>
        <w:spacing w:before="50" w:line="230" w:lineRule="auto"/>
        <w:ind w:right="846"/>
        <w:jc w:val="both"/>
      </w:pPr>
      <w:proofErr w:type="spellStart"/>
      <w:r>
        <w:rPr>
          <w:color w:val="221F1F"/>
        </w:rPr>
        <w:t>Incase</w:t>
      </w:r>
      <w:proofErr w:type="spellEnd"/>
      <w:r>
        <w:rPr>
          <w:color w:val="221F1F"/>
          <w:spacing w:val="-11"/>
        </w:rPr>
        <w:t xml:space="preserve"> </w:t>
      </w:r>
      <w:r>
        <w:rPr>
          <w:color w:val="221F1F"/>
        </w:rPr>
        <w:t>the</w:t>
      </w:r>
      <w:r>
        <w:rPr>
          <w:color w:val="221F1F"/>
          <w:spacing w:val="-12"/>
        </w:rPr>
        <w:t xml:space="preserve"> </w:t>
      </w:r>
      <w:r>
        <w:rPr>
          <w:color w:val="221F1F"/>
        </w:rPr>
        <w:t>tender</w:t>
      </w:r>
      <w:r>
        <w:rPr>
          <w:color w:val="221F1F"/>
          <w:spacing w:val="-11"/>
        </w:rPr>
        <w:t xml:space="preserve"> </w:t>
      </w:r>
      <w:r>
        <w:rPr>
          <w:color w:val="221F1F"/>
          <w:u w:val="single" w:color="221F1F"/>
        </w:rPr>
        <w:t>was</w:t>
      </w:r>
      <w:r>
        <w:rPr>
          <w:color w:val="221F1F"/>
          <w:spacing w:val="-10"/>
          <w:u w:val="single" w:color="221F1F"/>
        </w:rPr>
        <w:t xml:space="preserve"> </w:t>
      </w:r>
      <w:r>
        <w:rPr>
          <w:color w:val="221F1F"/>
          <w:u w:val="single" w:color="221F1F"/>
        </w:rPr>
        <w:t>not</w:t>
      </w:r>
      <w:r>
        <w:rPr>
          <w:color w:val="221F1F"/>
          <w:spacing w:val="-11"/>
          <w:u w:val="single" w:color="221F1F"/>
        </w:rPr>
        <w:t xml:space="preserve"> </w:t>
      </w:r>
      <w:r>
        <w:rPr>
          <w:color w:val="221F1F"/>
          <w:u w:val="single" w:color="221F1F"/>
        </w:rPr>
        <w:t>subject</w:t>
      </w:r>
      <w:r>
        <w:rPr>
          <w:color w:val="221F1F"/>
          <w:spacing w:val="-10"/>
          <w:u w:val="single" w:color="221F1F"/>
        </w:rPr>
        <w:t xml:space="preserve"> </w:t>
      </w:r>
      <w:r>
        <w:rPr>
          <w:color w:val="221F1F"/>
          <w:u w:val="single" w:color="221F1F"/>
        </w:rPr>
        <w:t>to</w:t>
      </w:r>
      <w:r>
        <w:rPr>
          <w:color w:val="221F1F"/>
          <w:spacing w:val="-14"/>
          <w:u w:val="single" w:color="221F1F"/>
        </w:rPr>
        <w:t xml:space="preserve"> </w:t>
      </w:r>
      <w:r>
        <w:rPr>
          <w:color w:val="221F1F"/>
          <w:u w:val="single" w:color="221F1F"/>
        </w:rPr>
        <w:t>post-qualification</w:t>
      </w:r>
      <w:r>
        <w:rPr>
          <w:color w:val="221F1F"/>
        </w:rPr>
        <w:t>,</w:t>
      </w:r>
      <w:r>
        <w:rPr>
          <w:color w:val="221F1F"/>
          <w:spacing w:val="-12"/>
        </w:rPr>
        <w:t xml:space="preserve"> </w:t>
      </w:r>
      <w:r>
        <w:rPr>
          <w:color w:val="221F1F"/>
        </w:rPr>
        <w:t>the</w:t>
      </w:r>
      <w:r>
        <w:rPr>
          <w:color w:val="221F1F"/>
          <w:spacing w:val="-12"/>
        </w:rPr>
        <w:t xml:space="preserve"> </w:t>
      </w:r>
      <w:r>
        <w:rPr>
          <w:color w:val="221F1F"/>
        </w:rPr>
        <w:t>tender</w:t>
      </w:r>
      <w:r>
        <w:rPr>
          <w:color w:val="221F1F"/>
          <w:spacing w:val="-13"/>
        </w:rPr>
        <w:t xml:space="preserve"> </w:t>
      </w:r>
      <w:r>
        <w:rPr>
          <w:color w:val="221F1F"/>
        </w:rPr>
        <w:t>that</w:t>
      </w:r>
      <w:r>
        <w:rPr>
          <w:color w:val="221F1F"/>
          <w:spacing w:val="-11"/>
        </w:rPr>
        <w:t xml:space="preserve"> </w:t>
      </w:r>
      <w:r>
        <w:rPr>
          <w:color w:val="221F1F"/>
        </w:rPr>
        <w:t>has</w:t>
      </w:r>
      <w:r>
        <w:rPr>
          <w:color w:val="221F1F"/>
          <w:spacing w:val="-11"/>
        </w:rPr>
        <w:t xml:space="preserve"> </w:t>
      </w:r>
      <w:r>
        <w:rPr>
          <w:color w:val="221F1F"/>
        </w:rPr>
        <w:t>been</w:t>
      </w:r>
      <w:r>
        <w:rPr>
          <w:color w:val="221F1F"/>
          <w:spacing w:val="-14"/>
        </w:rPr>
        <w:t xml:space="preserve"> </w:t>
      </w:r>
      <w:r>
        <w:rPr>
          <w:color w:val="221F1F"/>
        </w:rPr>
        <w:t>determined</w:t>
      </w:r>
      <w:r>
        <w:rPr>
          <w:color w:val="221F1F"/>
          <w:spacing w:val="-13"/>
        </w:rPr>
        <w:t xml:space="preserve"> </w:t>
      </w:r>
      <w:r>
        <w:rPr>
          <w:color w:val="221F1F"/>
        </w:rPr>
        <w:t>to</w:t>
      </w:r>
      <w:r>
        <w:rPr>
          <w:color w:val="221F1F"/>
          <w:spacing w:val="-12"/>
        </w:rPr>
        <w:t xml:space="preserve"> </w:t>
      </w:r>
      <w:r>
        <w:rPr>
          <w:color w:val="221F1F"/>
        </w:rPr>
        <w:t>be</w:t>
      </w:r>
      <w:r>
        <w:rPr>
          <w:color w:val="221F1F"/>
          <w:spacing w:val="-14"/>
        </w:rPr>
        <w:t xml:space="preserve"> </w:t>
      </w:r>
      <w:r>
        <w:rPr>
          <w:color w:val="221F1F"/>
        </w:rPr>
        <w:t>the</w:t>
      </w:r>
      <w:r>
        <w:rPr>
          <w:color w:val="221F1F"/>
          <w:spacing w:val="-14"/>
        </w:rPr>
        <w:t xml:space="preserve"> </w:t>
      </w:r>
      <w:r>
        <w:rPr>
          <w:color w:val="221F1F"/>
        </w:rPr>
        <w:t xml:space="preserve">lowest evaluated tenderer shall be considered for contract award, subject to </w:t>
      </w:r>
      <w:r>
        <w:rPr>
          <w:color w:val="221F1F"/>
          <w:u w:val="single" w:color="221F1F"/>
        </w:rPr>
        <w:t>meeting each of the following</w:t>
      </w:r>
      <w:r>
        <w:rPr>
          <w:color w:val="221F1F"/>
        </w:rPr>
        <w:t xml:space="preserve"> </w:t>
      </w:r>
      <w:r>
        <w:rPr>
          <w:color w:val="221F1F"/>
          <w:spacing w:val="-2"/>
          <w:u w:val="single" w:color="221F1F"/>
        </w:rPr>
        <w:t>conditions</w:t>
      </w:r>
      <w:r>
        <w:rPr>
          <w:color w:val="221F1F"/>
          <w:spacing w:val="-2"/>
        </w:rPr>
        <w:t>.</w:t>
      </w:r>
    </w:p>
    <w:p w:rsidR="007F6DF9" w:rsidRDefault="00A43FBC">
      <w:pPr>
        <w:pStyle w:val="ListParagraph"/>
        <w:numPr>
          <w:ilvl w:val="2"/>
          <w:numId w:val="177"/>
        </w:numPr>
        <w:tabs>
          <w:tab w:val="left" w:pos="2280"/>
          <w:tab w:val="left" w:pos="2282"/>
        </w:tabs>
        <w:spacing w:before="49" w:line="230" w:lineRule="auto"/>
        <w:ind w:right="990"/>
        <w:jc w:val="both"/>
        <w:rPr>
          <w:color w:val="221F1F"/>
        </w:rPr>
      </w:pPr>
      <w:r>
        <w:rPr>
          <w:color w:val="221F1F"/>
        </w:rPr>
        <w:t>The</w:t>
      </w:r>
      <w:r>
        <w:rPr>
          <w:color w:val="221F1F"/>
          <w:spacing w:val="-2"/>
        </w:rPr>
        <w:t xml:space="preserve"> </w:t>
      </w:r>
      <w:r>
        <w:rPr>
          <w:color w:val="221F1F"/>
        </w:rPr>
        <w:t>Tenderer</w:t>
      </w:r>
      <w:r>
        <w:rPr>
          <w:color w:val="221F1F"/>
          <w:spacing w:val="-1"/>
        </w:rPr>
        <w:t xml:space="preserve"> </w:t>
      </w:r>
      <w:r>
        <w:rPr>
          <w:color w:val="221F1F"/>
        </w:rPr>
        <w:t>shall demonstrate</w:t>
      </w:r>
      <w:r>
        <w:rPr>
          <w:color w:val="221F1F"/>
          <w:spacing w:val="-4"/>
        </w:rPr>
        <w:t xml:space="preserve"> </w:t>
      </w:r>
      <w:r>
        <w:rPr>
          <w:color w:val="221F1F"/>
        </w:rPr>
        <w:t>that</w:t>
      </w:r>
      <w:r>
        <w:rPr>
          <w:color w:val="221F1F"/>
          <w:spacing w:val="-1"/>
        </w:rPr>
        <w:t xml:space="preserve"> </w:t>
      </w:r>
      <w:r>
        <w:rPr>
          <w:color w:val="221F1F"/>
        </w:rPr>
        <w:t>it</w:t>
      </w:r>
      <w:r>
        <w:rPr>
          <w:color w:val="221F1F"/>
          <w:spacing w:val="-1"/>
        </w:rPr>
        <w:t xml:space="preserve"> </w:t>
      </w:r>
      <w:r>
        <w:rPr>
          <w:color w:val="221F1F"/>
        </w:rPr>
        <w:t>has</w:t>
      </w:r>
      <w:r>
        <w:rPr>
          <w:color w:val="221F1F"/>
          <w:spacing w:val="-2"/>
        </w:rPr>
        <w:t xml:space="preserve"> </w:t>
      </w:r>
      <w:r>
        <w:rPr>
          <w:color w:val="221F1F"/>
        </w:rPr>
        <w:t>access</w:t>
      </w:r>
      <w:r>
        <w:rPr>
          <w:color w:val="221F1F"/>
          <w:spacing w:val="-1"/>
        </w:rPr>
        <w:t xml:space="preserve"> </w:t>
      </w:r>
      <w:r>
        <w:rPr>
          <w:color w:val="221F1F"/>
        </w:rPr>
        <w:t>to,</w:t>
      </w:r>
      <w:r>
        <w:rPr>
          <w:color w:val="221F1F"/>
          <w:spacing w:val="-2"/>
        </w:rPr>
        <w:t xml:space="preserve"> </w:t>
      </w:r>
      <w:r>
        <w:rPr>
          <w:color w:val="221F1F"/>
        </w:rPr>
        <w:t>or</w:t>
      </w:r>
      <w:r>
        <w:rPr>
          <w:color w:val="221F1F"/>
          <w:spacing w:val="-4"/>
        </w:rPr>
        <w:t xml:space="preserve"> </w:t>
      </w:r>
      <w:r>
        <w:rPr>
          <w:color w:val="221F1F"/>
        </w:rPr>
        <w:t>has</w:t>
      </w:r>
      <w:r>
        <w:rPr>
          <w:color w:val="221F1F"/>
          <w:spacing w:val="-1"/>
        </w:rPr>
        <w:t xml:space="preserve"> </w:t>
      </w:r>
      <w:r>
        <w:rPr>
          <w:color w:val="221F1F"/>
        </w:rPr>
        <w:t>available,</w:t>
      </w:r>
      <w:r>
        <w:rPr>
          <w:color w:val="221F1F"/>
          <w:spacing w:val="-4"/>
        </w:rPr>
        <w:t xml:space="preserve"> </w:t>
      </w:r>
      <w:r>
        <w:rPr>
          <w:color w:val="221F1F"/>
        </w:rPr>
        <w:t>liquid</w:t>
      </w:r>
      <w:r>
        <w:rPr>
          <w:color w:val="221F1F"/>
          <w:spacing w:val="-4"/>
        </w:rPr>
        <w:t xml:space="preserve"> </w:t>
      </w:r>
      <w:r>
        <w:rPr>
          <w:color w:val="221F1F"/>
        </w:rPr>
        <w:t>assets,</w:t>
      </w:r>
      <w:r>
        <w:rPr>
          <w:color w:val="221F1F"/>
          <w:spacing w:val="-4"/>
        </w:rPr>
        <w:t xml:space="preserve"> </w:t>
      </w:r>
      <w:r>
        <w:rPr>
          <w:color w:val="221F1F"/>
        </w:rPr>
        <w:t>unencumbered real assets, lines of credit, and other financial means (independent of any contractual advance</w:t>
      </w:r>
    </w:p>
    <w:p w:rsidR="007F6DF9" w:rsidRDefault="00A43FBC">
      <w:pPr>
        <w:tabs>
          <w:tab w:val="left" w:pos="11257"/>
        </w:tabs>
        <w:spacing w:line="230" w:lineRule="auto"/>
        <w:ind w:left="2282" w:right="651"/>
        <w:rPr>
          <w:b/>
          <w:i/>
        </w:rPr>
      </w:pPr>
      <w:r>
        <w:rPr>
          <w:color w:val="221F1F"/>
        </w:rPr>
        <w:t xml:space="preserve">payment) sufficient to meet the construction cash flow of Kenya </w:t>
      </w:r>
      <w:r>
        <w:rPr>
          <w:i/>
          <w:color w:val="221F1F"/>
        </w:rPr>
        <w:t xml:space="preserve">Shillings </w:t>
      </w:r>
      <w:r>
        <w:rPr>
          <w:b/>
          <w:color w:val="221F1F"/>
        </w:rPr>
        <w:t>7,500,000.00</w:t>
      </w:r>
      <w:r>
        <w:rPr>
          <w:b/>
          <w:i/>
          <w:color w:val="221F1F"/>
        </w:rPr>
        <w:t xml:space="preserve">(Attach evidence in form of letter from bank, overdraft facility, current bank statements for the last 6 </w:t>
      </w:r>
      <w:r>
        <w:rPr>
          <w:b/>
          <w:i/>
          <w:color w:val="221F1F"/>
          <w:spacing w:val="-2"/>
        </w:rPr>
        <w:t>months)</w:t>
      </w:r>
      <w:r>
        <w:rPr>
          <w:b/>
          <w:i/>
          <w:color w:val="221F1F"/>
          <w:u w:val="single" w:color="211E1F"/>
        </w:rPr>
        <w:tab/>
      </w:r>
    </w:p>
    <w:p w:rsidR="007F6DF9" w:rsidRDefault="00A43FBC">
      <w:pPr>
        <w:pStyle w:val="ListParagraph"/>
        <w:numPr>
          <w:ilvl w:val="2"/>
          <w:numId w:val="177"/>
        </w:numPr>
        <w:tabs>
          <w:tab w:val="left" w:pos="2279"/>
          <w:tab w:val="left" w:pos="2282"/>
        </w:tabs>
        <w:spacing w:before="48" w:line="230" w:lineRule="auto"/>
        <w:ind w:right="845"/>
        <w:jc w:val="both"/>
        <w:rPr>
          <w:color w:val="221F1F"/>
        </w:rPr>
      </w:pPr>
      <w:r>
        <w:rPr>
          <w:color w:val="221F1F"/>
        </w:rPr>
        <w:t xml:space="preserve">Minimum </w:t>
      </w:r>
      <w:r>
        <w:rPr>
          <w:color w:val="221F1F"/>
          <w:u w:val="single" w:color="221F1F"/>
        </w:rPr>
        <w:t>average</w:t>
      </w:r>
      <w:r>
        <w:rPr>
          <w:color w:val="221F1F"/>
        </w:rPr>
        <w:t xml:space="preserve"> annual construction turnover of Kenya Shillings </w:t>
      </w:r>
      <w:r w:rsidR="000809BB">
        <w:rPr>
          <w:b/>
          <w:i/>
          <w:color w:val="221F1F"/>
        </w:rPr>
        <w:t>1</w:t>
      </w:r>
      <w:r>
        <w:rPr>
          <w:b/>
          <w:i/>
          <w:color w:val="221F1F"/>
        </w:rPr>
        <w:t>0,</w:t>
      </w:r>
      <w:r w:rsidR="000809BB">
        <w:rPr>
          <w:b/>
          <w:i/>
          <w:color w:val="221F1F"/>
        </w:rPr>
        <w:t>0</w:t>
      </w:r>
      <w:r>
        <w:rPr>
          <w:b/>
          <w:i/>
          <w:color w:val="221F1F"/>
        </w:rPr>
        <w:t xml:space="preserve">00,000.00 </w:t>
      </w:r>
      <w:r>
        <w:rPr>
          <w:color w:val="221F1F"/>
        </w:rPr>
        <w:t>equivalent calculated</w:t>
      </w:r>
      <w:r>
        <w:rPr>
          <w:color w:val="221F1F"/>
          <w:spacing w:val="-5"/>
        </w:rPr>
        <w:t xml:space="preserve"> </w:t>
      </w:r>
      <w:r>
        <w:rPr>
          <w:color w:val="221F1F"/>
        </w:rPr>
        <w:t>as</w:t>
      </w:r>
      <w:r>
        <w:rPr>
          <w:color w:val="221F1F"/>
          <w:spacing w:val="-3"/>
        </w:rPr>
        <w:t xml:space="preserve"> </w:t>
      </w:r>
      <w:r>
        <w:rPr>
          <w:color w:val="221F1F"/>
        </w:rPr>
        <w:t>total</w:t>
      </w:r>
      <w:r>
        <w:rPr>
          <w:color w:val="221F1F"/>
          <w:spacing w:val="-2"/>
        </w:rPr>
        <w:t xml:space="preserve"> </w:t>
      </w:r>
      <w:r>
        <w:rPr>
          <w:color w:val="221F1F"/>
        </w:rPr>
        <w:t>certified</w:t>
      </w:r>
      <w:r>
        <w:rPr>
          <w:color w:val="221F1F"/>
          <w:spacing w:val="-6"/>
        </w:rPr>
        <w:t xml:space="preserve"> </w:t>
      </w:r>
      <w:r>
        <w:rPr>
          <w:color w:val="221F1F"/>
        </w:rPr>
        <w:t>payments</w:t>
      </w:r>
      <w:r>
        <w:rPr>
          <w:color w:val="221F1F"/>
          <w:spacing w:val="-3"/>
        </w:rPr>
        <w:t xml:space="preserve"> </w:t>
      </w:r>
      <w:r>
        <w:rPr>
          <w:color w:val="221F1F"/>
        </w:rPr>
        <w:t>received</w:t>
      </w:r>
      <w:r>
        <w:rPr>
          <w:color w:val="221F1F"/>
          <w:spacing w:val="-3"/>
        </w:rPr>
        <w:t xml:space="preserve"> </w:t>
      </w:r>
      <w:r>
        <w:rPr>
          <w:color w:val="221F1F"/>
        </w:rPr>
        <w:t>for</w:t>
      </w:r>
      <w:r>
        <w:rPr>
          <w:color w:val="221F1F"/>
          <w:spacing w:val="-3"/>
        </w:rPr>
        <w:t xml:space="preserve"> </w:t>
      </w:r>
      <w:r>
        <w:rPr>
          <w:color w:val="221F1F"/>
        </w:rPr>
        <w:t>contracts</w:t>
      </w:r>
      <w:r>
        <w:rPr>
          <w:color w:val="221F1F"/>
          <w:spacing w:val="-3"/>
        </w:rPr>
        <w:t xml:space="preserve"> </w:t>
      </w:r>
      <w:r>
        <w:rPr>
          <w:color w:val="221F1F"/>
        </w:rPr>
        <w:t>in</w:t>
      </w:r>
      <w:r>
        <w:rPr>
          <w:color w:val="221F1F"/>
          <w:spacing w:val="-3"/>
        </w:rPr>
        <w:t xml:space="preserve"> </w:t>
      </w:r>
      <w:r>
        <w:rPr>
          <w:color w:val="221F1F"/>
        </w:rPr>
        <w:t>progress</w:t>
      </w:r>
      <w:r>
        <w:rPr>
          <w:color w:val="221F1F"/>
          <w:spacing w:val="-3"/>
        </w:rPr>
        <w:t xml:space="preserve"> </w:t>
      </w:r>
      <w:r>
        <w:rPr>
          <w:color w:val="221F1F"/>
        </w:rPr>
        <w:t>and/or completed</w:t>
      </w:r>
      <w:r>
        <w:rPr>
          <w:color w:val="221F1F"/>
          <w:spacing w:val="-3"/>
        </w:rPr>
        <w:t xml:space="preserve"> </w:t>
      </w:r>
      <w:r>
        <w:rPr>
          <w:color w:val="221F1F"/>
        </w:rPr>
        <w:t>within</w:t>
      </w:r>
      <w:r>
        <w:rPr>
          <w:color w:val="221F1F"/>
          <w:spacing w:val="-2"/>
        </w:rPr>
        <w:t xml:space="preserve"> </w:t>
      </w:r>
      <w:r>
        <w:rPr>
          <w:color w:val="221F1F"/>
        </w:rPr>
        <w:t xml:space="preserve">the last </w:t>
      </w:r>
      <w:r>
        <w:rPr>
          <w:b/>
          <w:color w:val="221F1F"/>
        </w:rPr>
        <w:t xml:space="preserve">4 </w:t>
      </w:r>
      <w:r>
        <w:rPr>
          <w:color w:val="221F1F"/>
        </w:rPr>
        <w:t>years.</w:t>
      </w:r>
    </w:p>
    <w:p w:rsidR="007F6DF9" w:rsidRDefault="00A43FBC">
      <w:pPr>
        <w:spacing w:before="1" w:line="230" w:lineRule="auto"/>
        <w:ind w:right="-15"/>
        <w:jc w:val="both"/>
        <w:rPr>
          <w:b/>
          <w:i/>
        </w:rPr>
      </w:pPr>
      <w:r>
        <w:t>(</w:t>
      </w:r>
      <w:r>
        <w:rPr>
          <w:b/>
          <w:i/>
        </w:rPr>
        <w:t>Attach</w:t>
      </w:r>
      <w:r>
        <w:rPr>
          <w:b/>
          <w:i/>
          <w:spacing w:val="-4"/>
        </w:rPr>
        <w:t xml:space="preserve"> </w:t>
      </w:r>
      <w:r>
        <w:rPr>
          <w:b/>
          <w:i/>
        </w:rPr>
        <w:t>evidence</w:t>
      </w:r>
      <w:r>
        <w:rPr>
          <w:b/>
          <w:i/>
          <w:spacing w:val="-5"/>
        </w:rPr>
        <w:t xml:space="preserve"> </w:t>
      </w:r>
      <w:r>
        <w:rPr>
          <w:b/>
          <w:i/>
        </w:rPr>
        <w:t>in</w:t>
      </w:r>
      <w:r>
        <w:rPr>
          <w:b/>
          <w:i/>
          <w:spacing w:val="-6"/>
        </w:rPr>
        <w:t xml:space="preserve"> </w:t>
      </w:r>
      <w:r>
        <w:rPr>
          <w:b/>
          <w:i/>
        </w:rPr>
        <w:t>form</w:t>
      </w:r>
      <w:r>
        <w:rPr>
          <w:b/>
          <w:i/>
          <w:spacing w:val="-3"/>
        </w:rPr>
        <w:t xml:space="preserve"> </w:t>
      </w:r>
      <w:r>
        <w:rPr>
          <w:b/>
          <w:i/>
        </w:rPr>
        <w:t>of</w:t>
      </w:r>
      <w:r>
        <w:rPr>
          <w:b/>
          <w:i/>
          <w:spacing w:val="-3"/>
        </w:rPr>
        <w:t xml:space="preserve"> </w:t>
      </w:r>
      <w:r>
        <w:rPr>
          <w:b/>
          <w:i/>
        </w:rPr>
        <w:t>audited</w:t>
      </w:r>
      <w:r>
        <w:rPr>
          <w:b/>
          <w:i/>
          <w:spacing w:val="-4"/>
        </w:rPr>
        <w:t xml:space="preserve"> </w:t>
      </w:r>
      <w:r>
        <w:rPr>
          <w:b/>
          <w:i/>
        </w:rPr>
        <w:t>accounts</w:t>
      </w:r>
      <w:r>
        <w:rPr>
          <w:b/>
          <w:i/>
          <w:spacing w:val="80"/>
        </w:rPr>
        <w:t xml:space="preserve"> </w:t>
      </w:r>
      <w:r>
        <w:rPr>
          <w:b/>
          <w:i/>
        </w:rPr>
        <w:t>serialized</w:t>
      </w:r>
      <w:r>
        <w:rPr>
          <w:b/>
          <w:i/>
          <w:spacing w:val="-4"/>
        </w:rPr>
        <w:t xml:space="preserve"> </w:t>
      </w:r>
      <w:r>
        <w:rPr>
          <w:b/>
          <w:i/>
        </w:rPr>
        <w:t>on</w:t>
      </w:r>
      <w:r>
        <w:rPr>
          <w:b/>
          <w:i/>
          <w:spacing w:val="-6"/>
        </w:rPr>
        <w:t xml:space="preserve"> </w:t>
      </w:r>
      <w:r>
        <w:rPr>
          <w:b/>
          <w:i/>
        </w:rPr>
        <w:t>every</w:t>
      </w:r>
      <w:r>
        <w:rPr>
          <w:b/>
          <w:i/>
          <w:spacing w:val="-3"/>
        </w:rPr>
        <w:t xml:space="preserve"> </w:t>
      </w:r>
      <w:proofErr w:type="gramStart"/>
      <w:r>
        <w:rPr>
          <w:b/>
          <w:i/>
        </w:rPr>
        <w:t>page</w:t>
      </w:r>
      <w:r>
        <w:rPr>
          <w:b/>
          <w:i/>
          <w:spacing w:val="-6"/>
        </w:rPr>
        <w:t xml:space="preserve"> </w:t>
      </w:r>
      <w:r>
        <w:rPr>
          <w:b/>
          <w:i/>
        </w:rPr>
        <w:t>;</w:t>
      </w:r>
      <w:proofErr w:type="gramEnd"/>
      <w:r>
        <w:rPr>
          <w:b/>
          <w:i/>
          <w:spacing w:val="-3"/>
        </w:rPr>
        <w:t xml:space="preserve"> </w:t>
      </w:r>
      <w:r>
        <w:rPr>
          <w:b/>
          <w:i/>
        </w:rPr>
        <w:t>duly</w:t>
      </w:r>
      <w:r>
        <w:rPr>
          <w:b/>
          <w:i/>
          <w:spacing w:val="-6"/>
        </w:rPr>
        <w:t xml:space="preserve"> </w:t>
      </w:r>
      <w:r>
        <w:rPr>
          <w:b/>
          <w:i/>
        </w:rPr>
        <w:t>signed</w:t>
      </w:r>
      <w:r>
        <w:rPr>
          <w:b/>
          <w:i/>
          <w:spacing w:val="-4"/>
        </w:rPr>
        <w:t xml:space="preserve"> </w:t>
      </w:r>
      <w:r>
        <w:rPr>
          <w:b/>
          <w:i/>
        </w:rPr>
        <w:t>and</w:t>
      </w:r>
      <w:r>
        <w:rPr>
          <w:b/>
          <w:i/>
          <w:spacing w:val="-6"/>
        </w:rPr>
        <w:t xml:space="preserve"> </w:t>
      </w:r>
      <w:r>
        <w:rPr>
          <w:b/>
          <w:i/>
        </w:rPr>
        <w:t>stamped</w:t>
      </w:r>
      <w:r>
        <w:rPr>
          <w:b/>
          <w:i/>
          <w:spacing w:val="-3"/>
        </w:rPr>
        <w:t xml:space="preserve"> </w:t>
      </w:r>
      <w:r>
        <w:rPr>
          <w:b/>
          <w:i/>
        </w:rPr>
        <w:t>by</w:t>
      </w:r>
      <w:r>
        <w:rPr>
          <w:b/>
          <w:i/>
          <w:spacing w:val="-3"/>
        </w:rPr>
        <w:t xml:space="preserve"> </w:t>
      </w:r>
      <w:r>
        <w:rPr>
          <w:b/>
          <w:i/>
        </w:rPr>
        <w:t>a</w:t>
      </w:r>
      <w:r>
        <w:rPr>
          <w:b/>
          <w:i/>
          <w:spacing w:val="-6"/>
        </w:rPr>
        <w:t xml:space="preserve"> </w:t>
      </w:r>
      <w:r>
        <w:rPr>
          <w:b/>
          <w:i/>
        </w:rPr>
        <w:t>registered</w:t>
      </w:r>
      <w:r>
        <w:rPr>
          <w:b/>
          <w:i/>
          <w:spacing w:val="40"/>
        </w:rPr>
        <w:t xml:space="preserve"> </w:t>
      </w:r>
      <w:r>
        <w:rPr>
          <w:b/>
          <w:i/>
        </w:rPr>
        <w:t>auditor</w:t>
      </w:r>
      <w:r>
        <w:rPr>
          <w:b/>
          <w:i/>
          <w:spacing w:val="-5"/>
        </w:rPr>
        <w:t xml:space="preserve"> </w:t>
      </w:r>
      <w:r>
        <w:rPr>
          <w:b/>
          <w:i/>
        </w:rPr>
        <w:t>/audit</w:t>
      </w:r>
      <w:r>
        <w:rPr>
          <w:b/>
          <w:i/>
          <w:spacing w:val="-5"/>
        </w:rPr>
        <w:t xml:space="preserve"> </w:t>
      </w:r>
      <w:r>
        <w:rPr>
          <w:b/>
          <w:i/>
        </w:rPr>
        <w:t>firm (ICPAK REGISTERED)</w:t>
      </w:r>
    </w:p>
    <w:p w:rsidR="007F6DF9" w:rsidRDefault="007F6DF9">
      <w:pPr>
        <w:spacing w:line="230" w:lineRule="auto"/>
        <w:jc w:val="both"/>
        <w:rPr>
          <w:b/>
          <w:i/>
        </w:rPr>
        <w:sectPr w:rsidR="007F6DF9">
          <w:pgSz w:w="11920" w:h="16850"/>
          <w:pgMar w:top="360" w:right="0" w:bottom="620" w:left="0" w:header="0" w:footer="437" w:gutter="0"/>
          <w:cols w:space="720"/>
        </w:sectPr>
      </w:pPr>
    </w:p>
    <w:p w:rsidR="007F6DF9" w:rsidRDefault="007F6DF9">
      <w:pPr>
        <w:pStyle w:val="BodyText"/>
        <w:spacing w:before="217"/>
        <w:rPr>
          <w:b/>
          <w:i/>
        </w:rPr>
      </w:pPr>
    </w:p>
    <w:p w:rsidR="007F6DF9" w:rsidRDefault="00A43FBC">
      <w:pPr>
        <w:pStyle w:val="ListParagraph"/>
        <w:numPr>
          <w:ilvl w:val="2"/>
          <w:numId w:val="177"/>
        </w:numPr>
        <w:tabs>
          <w:tab w:val="left" w:pos="2022"/>
          <w:tab w:val="left" w:pos="2026"/>
        </w:tabs>
        <w:spacing w:line="230" w:lineRule="auto"/>
        <w:ind w:left="2026" w:right="849" w:hanging="605"/>
        <w:jc w:val="both"/>
        <w:rPr>
          <w:color w:val="221F1F"/>
        </w:rPr>
      </w:pPr>
      <w:proofErr w:type="spellStart"/>
      <w:r>
        <w:rPr>
          <w:color w:val="221F1F"/>
        </w:rPr>
        <w:t>Atleast</w:t>
      </w:r>
      <w:proofErr w:type="spellEnd"/>
      <w:r>
        <w:rPr>
          <w:color w:val="221F1F"/>
          <w:spacing w:val="-2"/>
        </w:rPr>
        <w:t xml:space="preserve"> </w:t>
      </w:r>
      <w:r w:rsidR="000809BB">
        <w:rPr>
          <w:b/>
          <w:color w:val="221F1F"/>
        </w:rPr>
        <w:t>2</w:t>
      </w:r>
      <w:r>
        <w:rPr>
          <w:b/>
          <w:color w:val="221F1F"/>
          <w:spacing w:val="-1"/>
        </w:rPr>
        <w:t xml:space="preserve"> </w:t>
      </w:r>
      <w:r>
        <w:rPr>
          <w:color w:val="221F1F"/>
        </w:rPr>
        <w:t>of</w:t>
      </w:r>
      <w:r>
        <w:rPr>
          <w:color w:val="221F1F"/>
          <w:spacing w:val="-1"/>
        </w:rPr>
        <w:t xml:space="preserve"> </w:t>
      </w:r>
      <w:r>
        <w:rPr>
          <w:color w:val="221F1F"/>
        </w:rPr>
        <w:t>contract(s)</w:t>
      </w:r>
      <w:r>
        <w:rPr>
          <w:color w:val="221F1F"/>
          <w:spacing w:val="-3"/>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similar</w:t>
      </w:r>
      <w:r>
        <w:rPr>
          <w:color w:val="221F1F"/>
          <w:spacing w:val="-1"/>
        </w:rPr>
        <w:t xml:space="preserve"> </w:t>
      </w:r>
      <w:r>
        <w:rPr>
          <w:color w:val="221F1F"/>
        </w:rPr>
        <w:t>nature</w:t>
      </w:r>
      <w:r>
        <w:rPr>
          <w:color w:val="221F1F"/>
          <w:spacing w:val="-3"/>
        </w:rPr>
        <w:t xml:space="preserve"> </w:t>
      </w:r>
      <w:r>
        <w:rPr>
          <w:color w:val="221F1F"/>
        </w:rPr>
        <w:t>executed</w:t>
      </w:r>
      <w:r>
        <w:rPr>
          <w:color w:val="221F1F"/>
          <w:spacing w:val="-1"/>
        </w:rPr>
        <w:t xml:space="preserve"> </w:t>
      </w:r>
      <w:r>
        <w:rPr>
          <w:color w:val="221F1F"/>
        </w:rPr>
        <w:t>within</w:t>
      </w:r>
      <w:r>
        <w:rPr>
          <w:color w:val="221F1F"/>
          <w:spacing w:val="-1"/>
        </w:rPr>
        <w:t xml:space="preserve"> </w:t>
      </w:r>
      <w:r>
        <w:rPr>
          <w:color w:val="221F1F"/>
        </w:rPr>
        <w:t>Kenya,</w:t>
      </w:r>
      <w:r>
        <w:rPr>
          <w:color w:val="221F1F"/>
          <w:spacing w:val="-1"/>
        </w:rPr>
        <w:t xml:space="preserve"> </w:t>
      </w:r>
      <w:r>
        <w:rPr>
          <w:color w:val="221F1F"/>
        </w:rPr>
        <w:t>or</w:t>
      </w:r>
      <w:r>
        <w:rPr>
          <w:color w:val="221F1F"/>
          <w:spacing w:val="-3"/>
        </w:rPr>
        <w:t xml:space="preserve"> </w:t>
      </w:r>
      <w:r>
        <w:rPr>
          <w:color w:val="221F1F"/>
        </w:rPr>
        <w:t>the</w:t>
      </w:r>
      <w:r>
        <w:rPr>
          <w:color w:val="221F1F"/>
          <w:spacing w:val="-3"/>
        </w:rPr>
        <w:t xml:space="preserve"> </w:t>
      </w:r>
      <w:r>
        <w:rPr>
          <w:color w:val="221F1F"/>
        </w:rPr>
        <w:t>East African</w:t>
      </w:r>
      <w:r>
        <w:rPr>
          <w:color w:val="221F1F"/>
          <w:spacing w:val="-1"/>
        </w:rPr>
        <w:t xml:space="preserve"> </w:t>
      </w:r>
      <w:r>
        <w:rPr>
          <w:color w:val="221F1F"/>
        </w:rPr>
        <w:t>Community</w:t>
      </w:r>
      <w:r>
        <w:rPr>
          <w:color w:val="221F1F"/>
          <w:spacing w:val="-4"/>
        </w:rPr>
        <w:t xml:space="preserve"> </w:t>
      </w:r>
      <w:r>
        <w:rPr>
          <w:color w:val="221F1F"/>
        </w:rPr>
        <w:t>or</w:t>
      </w:r>
      <w:r>
        <w:rPr>
          <w:color w:val="221F1F"/>
          <w:spacing w:val="-3"/>
        </w:rPr>
        <w:t xml:space="preserve"> </w:t>
      </w:r>
      <w:r>
        <w:rPr>
          <w:color w:val="221F1F"/>
        </w:rPr>
        <w:t>a broad, that have been satisfactorily and substantially completed as a prime contractor, or joint venture member or sub-contractor each of minimum value Kenya shillings</w:t>
      </w:r>
      <w:r>
        <w:rPr>
          <w:b/>
          <w:i/>
          <w:color w:val="221F1F"/>
          <w:spacing w:val="-14"/>
          <w:u w:val="single" w:color="211E1F"/>
        </w:rPr>
        <w:t xml:space="preserve"> </w:t>
      </w:r>
      <w:r>
        <w:rPr>
          <w:b/>
          <w:i/>
          <w:color w:val="221F1F"/>
          <w:u w:val="single" w:color="211E1F"/>
        </w:rPr>
        <w:t>5,000,000.00</w:t>
      </w:r>
      <w:r>
        <w:rPr>
          <w:b/>
          <w:i/>
          <w:color w:val="221F1F"/>
          <w:spacing w:val="80"/>
          <w:w w:val="150"/>
          <w:u w:val="single" w:color="211E1F"/>
        </w:rPr>
        <w:t xml:space="preserve"> </w:t>
      </w:r>
      <w:proofErr w:type="gramStart"/>
      <w:r>
        <w:rPr>
          <w:color w:val="221F1F"/>
        </w:rPr>
        <w:t>equivalent</w:t>
      </w:r>
      <w:r>
        <w:rPr>
          <w:b/>
          <w:i/>
          <w:color w:val="221F1F"/>
        </w:rPr>
        <w:t>.(</w:t>
      </w:r>
      <w:proofErr w:type="gramEnd"/>
      <w:r>
        <w:rPr>
          <w:b/>
          <w:i/>
          <w:color w:val="221F1F"/>
        </w:rPr>
        <w:t>Attach evidence</w:t>
      </w:r>
      <w:r>
        <w:rPr>
          <w:b/>
          <w:i/>
          <w:color w:val="221F1F"/>
          <w:spacing w:val="-9"/>
        </w:rPr>
        <w:t xml:space="preserve"> </w:t>
      </w:r>
      <w:r>
        <w:rPr>
          <w:b/>
          <w:i/>
          <w:color w:val="221F1F"/>
        </w:rPr>
        <w:t>of</w:t>
      </w:r>
      <w:r>
        <w:rPr>
          <w:b/>
          <w:i/>
          <w:color w:val="221F1F"/>
          <w:spacing w:val="-9"/>
        </w:rPr>
        <w:t xml:space="preserve"> </w:t>
      </w:r>
      <w:r>
        <w:rPr>
          <w:b/>
          <w:i/>
          <w:color w:val="221F1F"/>
        </w:rPr>
        <w:t>letter</w:t>
      </w:r>
      <w:r>
        <w:rPr>
          <w:b/>
          <w:i/>
          <w:color w:val="221F1F"/>
          <w:spacing w:val="-6"/>
        </w:rPr>
        <w:t xml:space="preserve"> </w:t>
      </w:r>
      <w:r>
        <w:rPr>
          <w:b/>
          <w:i/>
          <w:color w:val="221F1F"/>
        </w:rPr>
        <w:t>of</w:t>
      </w:r>
      <w:r>
        <w:rPr>
          <w:b/>
          <w:i/>
          <w:color w:val="221F1F"/>
          <w:spacing w:val="-6"/>
        </w:rPr>
        <w:t xml:space="preserve"> </w:t>
      </w:r>
      <w:r>
        <w:rPr>
          <w:b/>
          <w:i/>
          <w:color w:val="221F1F"/>
        </w:rPr>
        <w:t>award,</w:t>
      </w:r>
      <w:r>
        <w:rPr>
          <w:b/>
          <w:i/>
          <w:color w:val="221F1F"/>
          <w:spacing w:val="-7"/>
        </w:rPr>
        <w:t xml:space="preserve"> </w:t>
      </w:r>
      <w:r>
        <w:rPr>
          <w:b/>
          <w:i/>
          <w:color w:val="221F1F"/>
        </w:rPr>
        <w:t>acceptance</w:t>
      </w:r>
      <w:r>
        <w:rPr>
          <w:b/>
          <w:i/>
          <w:color w:val="221F1F"/>
          <w:spacing w:val="-7"/>
        </w:rPr>
        <w:t xml:space="preserve"> </w:t>
      </w:r>
      <w:r>
        <w:rPr>
          <w:b/>
          <w:i/>
          <w:color w:val="221F1F"/>
        </w:rPr>
        <w:t>letter,</w:t>
      </w:r>
      <w:r>
        <w:rPr>
          <w:b/>
          <w:i/>
          <w:color w:val="221F1F"/>
          <w:spacing w:val="-7"/>
        </w:rPr>
        <w:t xml:space="preserve"> </w:t>
      </w:r>
      <w:r>
        <w:rPr>
          <w:b/>
          <w:i/>
          <w:color w:val="221F1F"/>
        </w:rPr>
        <w:t>contract</w:t>
      </w:r>
      <w:r>
        <w:rPr>
          <w:b/>
          <w:i/>
          <w:color w:val="221F1F"/>
          <w:spacing w:val="-8"/>
        </w:rPr>
        <w:t xml:space="preserve"> </w:t>
      </w:r>
      <w:r>
        <w:rPr>
          <w:b/>
          <w:i/>
          <w:color w:val="221F1F"/>
        </w:rPr>
        <w:t>signed</w:t>
      </w:r>
      <w:r>
        <w:rPr>
          <w:b/>
          <w:i/>
          <w:color w:val="221F1F"/>
          <w:spacing w:val="-7"/>
        </w:rPr>
        <w:t xml:space="preserve"> </w:t>
      </w:r>
      <w:r>
        <w:rPr>
          <w:b/>
          <w:i/>
          <w:color w:val="221F1F"/>
        </w:rPr>
        <w:t>and</w:t>
      </w:r>
      <w:r>
        <w:rPr>
          <w:b/>
          <w:i/>
          <w:color w:val="221F1F"/>
          <w:spacing w:val="-10"/>
        </w:rPr>
        <w:t xml:space="preserve"> </w:t>
      </w:r>
      <w:r>
        <w:rPr>
          <w:b/>
          <w:i/>
          <w:color w:val="221F1F"/>
        </w:rPr>
        <w:t>certificate</w:t>
      </w:r>
      <w:r>
        <w:rPr>
          <w:b/>
          <w:i/>
          <w:color w:val="221F1F"/>
          <w:spacing w:val="-7"/>
        </w:rPr>
        <w:t xml:space="preserve"> </w:t>
      </w:r>
      <w:r>
        <w:rPr>
          <w:b/>
          <w:i/>
          <w:color w:val="221F1F"/>
        </w:rPr>
        <w:t>of</w:t>
      </w:r>
      <w:r>
        <w:rPr>
          <w:b/>
          <w:i/>
          <w:color w:val="221F1F"/>
          <w:spacing w:val="-6"/>
        </w:rPr>
        <w:t xml:space="preserve"> </w:t>
      </w:r>
      <w:r>
        <w:rPr>
          <w:b/>
          <w:i/>
          <w:color w:val="221F1F"/>
        </w:rPr>
        <w:t>practical</w:t>
      </w:r>
      <w:r>
        <w:rPr>
          <w:b/>
          <w:i/>
          <w:color w:val="221F1F"/>
          <w:spacing w:val="-6"/>
        </w:rPr>
        <w:t xml:space="preserve"> </w:t>
      </w:r>
      <w:r>
        <w:rPr>
          <w:b/>
          <w:i/>
          <w:color w:val="221F1F"/>
        </w:rPr>
        <w:t>completion)</w:t>
      </w:r>
    </w:p>
    <w:p w:rsidR="007F6DF9" w:rsidRDefault="00A43FBC">
      <w:pPr>
        <w:pStyle w:val="ListParagraph"/>
        <w:numPr>
          <w:ilvl w:val="2"/>
          <w:numId w:val="177"/>
        </w:numPr>
        <w:tabs>
          <w:tab w:val="left" w:pos="2049"/>
          <w:tab w:val="left" w:pos="11212"/>
        </w:tabs>
        <w:spacing w:before="91"/>
        <w:ind w:left="2049" w:hanging="628"/>
        <w:jc w:val="left"/>
        <w:rPr>
          <w:color w:val="221F1F"/>
        </w:rPr>
      </w:pPr>
      <w:r>
        <w:rPr>
          <w:color w:val="221F1F"/>
        </w:rPr>
        <w:t>Contractor's</w:t>
      </w:r>
      <w:r>
        <w:rPr>
          <w:color w:val="221F1F"/>
          <w:spacing w:val="-6"/>
        </w:rPr>
        <w:t xml:space="preserve"> </w:t>
      </w:r>
      <w:r>
        <w:rPr>
          <w:color w:val="221F1F"/>
        </w:rPr>
        <w:t>Representative</w:t>
      </w:r>
      <w:r>
        <w:rPr>
          <w:color w:val="221F1F"/>
          <w:spacing w:val="-8"/>
        </w:rPr>
        <w:t xml:space="preserve"> </w:t>
      </w:r>
      <w:r>
        <w:rPr>
          <w:color w:val="221F1F"/>
        </w:rPr>
        <w:t>and</w:t>
      </w:r>
      <w:r>
        <w:rPr>
          <w:color w:val="221F1F"/>
          <w:spacing w:val="-6"/>
        </w:rPr>
        <w:t xml:space="preserve"> </w:t>
      </w:r>
      <w:r>
        <w:rPr>
          <w:color w:val="221F1F"/>
        </w:rPr>
        <w:t>Key</w:t>
      </w:r>
      <w:r>
        <w:rPr>
          <w:color w:val="221F1F"/>
          <w:spacing w:val="-5"/>
        </w:rPr>
        <w:t xml:space="preserve"> </w:t>
      </w:r>
      <w:r>
        <w:rPr>
          <w:color w:val="221F1F"/>
        </w:rPr>
        <w:t>Personnel,</w:t>
      </w:r>
      <w:r>
        <w:rPr>
          <w:color w:val="221F1F"/>
          <w:spacing w:val="-6"/>
        </w:rPr>
        <w:t xml:space="preserve"> </w:t>
      </w:r>
      <w:r>
        <w:rPr>
          <w:color w:val="221F1F"/>
        </w:rPr>
        <w:t>which</w:t>
      </w:r>
      <w:r>
        <w:rPr>
          <w:color w:val="221F1F"/>
          <w:spacing w:val="-8"/>
        </w:rPr>
        <w:t xml:space="preserve"> </w:t>
      </w:r>
      <w:r>
        <w:rPr>
          <w:color w:val="221F1F"/>
        </w:rPr>
        <w:t>are</w:t>
      </w:r>
      <w:r>
        <w:rPr>
          <w:color w:val="221F1F"/>
          <w:spacing w:val="-6"/>
        </w:rPr>
        <w:t xml:space="preserve"> </w:t>
      </w:r>
      <w:proofErr w:type="spellStart"/>
      <w:r>
        <w:rPr>
          <w:color w:val="221F1F"/>
        </w:rPr>
        <w:t>specifiedas</w:t>
      </w:r>
      <w:proofErr w:type="spellEnd"/>
      <w:r>
        <w:rPr>
          <w:color w:val="221F1F"/>
          <w:spacing w:val="-7"/>
        </w:rPr>
        <w:t xml:space="preserve"> </w:t>
      </w:r>
      <w:r>
        <w:rPr>
          <w:color w:val="221F1F"/>
        </w:rPr>
        <w:t>listed</w:t>
      </w:r>
      <w:r>
        <w:rPr>
          <w:color w:val="221F1F"/>
          <w:spacing w:val="-8"/>
        </w:rPr>
        <w:t xml:space="preserve"> </w:t>
      </w:r>
      <w:r>
        <w:rPr>
          <w:color w:val="221F1F"/>
        </w:rPr>
        <w:t>in</w:t>
      </w:r>
      <w:r>
        <w:rPr>
          <w:color w:val="221F1F"/>
          <w:spacing w:val="-6"/>
        </w:rPr>
        <w:t xml:space="preserve"> </w:t>
      </w:r>
      <w:r>
        <w:rPr>
          <w:color w:val="221F1F"/>
        </w:rPr>
        <w:t>qualification</w:t>
      </w:r>
      <w:r>
        <w:rPr>
          <w:color w:val="221F1F"/>
          <w:spacing w:val="-8"/>
        </w:rPr>
        <w:t xml:space="preserve"> </w:t>
      </w:r>
      <w:r>
        <w:rPr>
          <w:color w:val="221F1F"/>
          <w:spacing w:val="-4"/>
        </w:rPr>
        <w:t>form</w:t>
      </w:r>
      <w:r>
        <w:rPr>
          <w:color w:val="221F1F"/>
          <w:u w:val="single" w:color="211E1F"/>
        </w:rPr>
        <w:tab/>
      </w:r>
    </w:p>
    <w:p w:rsidR="007F6DF9" w:rsidRDefault="00A43FBC">
      <w:pPr>
        <w:pStyle w:val="ListParagraph"/>
        <w:numPr>
          <w:ilvl w:val="2"/>
          <w:numId w:val="177"/>
        </w:numPr>
        <w:tabs>
          <w:tab w:val="left" w:pos="2026"/>
          <w:tab w:val="left" w:pos="11260"/>
        </w:tabs>
        <w:spacing w:before="97" w:line="230" w:lineRule="auto"/>
        <w:ind w:left="2026" w:right="650" w:hanging="605"/>
        <w:jc w:val="left"/>
        <w:rPr>
          <w:i/>
          <w:color w:val="221F1F"/>
        </w:rPr>
      </w:pPr>
      <w:r>
        <w:rPr>
          <w:color w:val="221F1F"/>
        </w:rPr>
        <w:t xml:space="preserve">Contractors key equipment listed on the table “Contractor's Equipment” below and more specifically listed as </w:t>
      </w:r>
      <w:r>
        <w:rPr>
          <w:i/>
          <w:color w:val="221F1F"/>
        </w:rPr>
        <w:t>listed in qualification form</w:t>
      </w:r>
      <w:r>
        <w:rPr>
          <w:i/>
          <w:color w:val="221F1F"/>
          <w:u w:val="single" w:color="211E1F"/>
        </w:rPr>
        <w:tab/>
      </w:r>
    </w:p>
    <w:p w:rsidR="007F6DF9" w:rsidRDefault="00A43FBC">
      <w:pPr>
        <w:pStyle w:val="ListParagraph"/>
        <w:numPr>
          <w:ilvl w:val="0"/>
          <w:numId w:val="213"/>
        </w:numPr>
        <w:tabs>
          <w:tab w:val="left" w:pos="2025"/>
        </w:tabs>
        <w:spacing w:before="89"/>
        <w:ind w:left="2025" w:hanging="604"/>
      </w:pPr>
      <w:r>
        <w:rPr>
          <w:color w:val="221F1F"/>
        </w:rPr>
        <w:t>Other</w:t>
      </w:r>
      <w:r>
        <w:rPr>
          <w:color w:val="221F1F"/>
          <w:spacing w:val="-5"/>
        </w:rPr>
        <w:t xml:space="preserve"> </w:t>
      </w:r>
      <w:r>
        <w:rPr>
          <w:color w:val="221F1F"/>
        </w:rPr>
        <w:t>conditions</w:t>
      </w:r>
      <w:r>
        <w:rPr>
          <w:color w:val="221F1F"/>
          <w:spacing w:val="-5"/>
        </w:rPr>
        <w:t xml:space="preserve"> </w:t>
      </w:r>
      <w:r>
        <w:rPr>
          <w:color w:val="221F1F"/>
        </w:rPr>
        <w:t>depending</w:t>
      </w:r>
      <w:r>
        <w:rPr>
          <w:color w:val="221F1F"/>
          <w:spacing w:val="-5"/>
        </w:rPr>
        <w:t xml:space="preserve"> </w:t>
      </w:r>
      <w:r>
        <w:rPr>
          <w:color w:val="221F1F"/>
        </w:rPr>
        <w:t>on</w:t>
      </w:r>
      <w:r>
        <w:rPr>
          <w:color w:val="221F1F"/>
          <w:spacing w:val="-3"/>
        </w:rPr>
        <w:t xml:space="preserve"> </w:t>
      </w:r>
      <w:r>
        <w:rPr>
          <w:color w:val="221F1F"/>
        </w:rPr>
        <w:t>their</w:t>
      </w:r>
      <w:r>
        <w:rPr>
          <w:color w:val="221F1F"/>
          <w:spacing w:val="-4"/>
        </w:rPr>
        <w:t xml:space="preserve"> </w:t>
      </w:r>
      <w:r>
        <w:rPr>
          <w:color w:val="221F1F"/>
          <w:spacing w:val="-2"/>
        </w:rPr>
        <w:t>seriousness.</w:t>
      </w:r>
    </w:p>
    <w:p w:rsidR="007F6DF9" w:rsidRDefault="00A43FBC">
      <w:pPr>
        <w:pStyle w:val="Heading9"/>
        <w:numPr>
          <w:ilvl w:val="1"/>
          <w:numId w:val="213"/>
        </w:numPr>
        <w:tabs>
          <w:tab w:val="left" w:pos="2493"/>
        </w:tabs>
        <w:spacing w:before="234"/>
        <w:ind w:left="2493" w:hanging="467"/>
        <w:rPr>
          <w:b w:val="0"/>
          <w:color w:val="221F1F"/>
        </w:rPr>
      </w:pPr>
      <w:r>
        <w:rPr>
          <w:color w:val="221F1F"/>
        </w:rPr>
        <w:t>History</w:t>
      </w:r>
      <w:r>
        <w:rPr>
          <w:color w:val="221F1F"/>
          <w:spacing w:val="-6"/>
        </w:rPr>
        <w:t xml:space="preserve"> </w:t>
      </w:r>
      <w:r>
        <w:rPr>
          <w:color w:val="221F1F"/>
        </w:rPr>
        <w:t>of</w:t>
      </w:r>
      <w:r>
        <w:rPr>
          <w:color w:val="221F1F"/>
          <w:spacing w:val="-5"/>
        </w:rPr>
        <w:t xml:space="preserve"> </w:t>
      </w:r>
      <w:r>
        <w:rPr>
          <w:color w:val="221F1F"/>
        </w:rPr>
        <w:t>non-performing</w:t>
      </w:r>
      <w:r>
        <w:rPr>
          <w:color w:val="221F1F"/>
          <w:spacing w:val="-5"/>
        </w:rPr>
        <w:t xml:space="preserve"> </w:t>
      </w:r>
      <w:r>
        <w:rPr>
          <w:color w:val="221F1F"/>
          <w:spacing w:val="-2"/>
        </w:rPr>
        <w:t>contracts</w:t>
      </w:r>
      <w:r>
        <w:rPr>
          <w:b w:val="0"/>
          <w:color w:val="221F1F"/>
          <w:spacing w:val="-2"/>
        </w:rPr>
        <w:t>:</w:t>
      </w:r>
    </w:p>
    <w:p w:rsidR="007F6DF9" w:rsidRDefault="00A43FBC">
      <w:pPr>
        <w:pStyle w:val="BodyText"/>
        <w:spacing w:before="242" w:line="230" w:lineRule="auto"/>
        <w:ind w:left="2494" w:right="844"/>
        <w:jc w:val="both"/>
      </w:pPr>
      <w:r>
        <w:rPr>
          <w:color w:val="221F1F"/>
        </w:rPr>
        <w:t>Tenderer and each member of JV in case the Tenderer is a JV, shall demonstrate that Non-performance of a contract did not occur because of the</w:t>
      </w:r>
      <w:r>
        <w:rPr>
          <w:color w:val="221F1F"/>
          <w:spacing w:val="-1"/>
        </w:rPr>
        <w:t xml:space="preserve"> </w:t>
      </w:r>
      <w:r>
        <w:rPr>
          <w:color w:val="221F1F"/>
        </w:rPr>
        <w:t>default of the Tenderer,</w:t>
      </w:r>
      <w:r>
        <w:rPr>
          <w:color w:val="221F1F"/>
          <w:spacing w:val="-3"/>
        </w:rPr>
        <w:t xml:space="preserve"> </w:t>
      </w:r>
      <w:r>
        <w:rPr>
          <w:color w:val="221F1F"/>
        </w:rPr>
        <w:t xml:space="preserve">or the member of a JV in the last </w:t>
      </w:r>
      <w:r>
        <w:rPr>
          <w:b/>
          <w:i/>
          <w:color w:val="221F1F"/>
        </w:rPr>
        <w:t xml:space="preserve">3 years </w:t>
      </w:r>
      <w:r>
        <w:rPr>
          <w:color w:val="221F1F"/>
        </w:rPr>
        <w:t>The required information shall be furnished in the appropriate form.</w:t>
      </w:r>
    </w:p>
    <w:p w:rsidR="007F6DF9" w:rsidRDefault="00A43FBC">
      <w:pPr>
        <w:pStyle w:val="Heading9"/>
        <w:numPr>
          <w:ilvl w:val="1"/>
          <w:numId w:val="213"/>
        </w:numPr>
        <w:tabs>
          <w:tab w:val="left" w:pos="2493"/>
        </w:tabs>
        <w:spacing w:before="239"/>
        <w:ind w:left="2493" w:hanging="467"/>
        <w:rPr>
          <w:color w:val="221F1F"/>
        </w:rPr>
      </w:pPr>
      <w:r>
        <w:rPr>
          <w:color w:val="221F1F"/>
        </w:rPr>
        <w:t>Pending</w:t>
      </w:r>
      <w:r>
        <w:rPr>
          <w:color w:val="221F1F"/>
          <w:spacing w:val="-1"/>
        </w:rPr>
        <w:t xml:space="preserve"> </w:t>
      </w:r>
      <w:r>
        <w:rPr>
          <w:color w:val="221F1F"/>
          <w:spacing w:val="-2"/>
        </w:rPr>
        <w:t>Litigation</w:t>
      </w:r>
    </w:p>
    <w:p w:rsidR="007F6DF9" w:rsidRDefault="00A43FBC">
      <w:pPr>
        <w:pStyle w:val="BodyText"/>
        <w:spacing w:before="242" w:line="230" w:lineRule="auto"/>
        <w:ind w:left="2494" w:right="849"/>
        <w:jc w:val="both"/>
      </w:pPr>
      <w:r>
        <w:rPr>
          <w:color w:val="221F1F"/>
        </w:rPr>
        <w:t>Financialpositionandprospectivelong-termprofit</w:t>
      </w:r>
      <w:r>
        <w:rPr>
          <w:color w:val="221F1F"/>
          <w:spacing w:val="-5"/>
        </w:rPr>
        <w:t xml:space="preserve"> </w:t>
      </w:r>
      <w:r>
        <w:rPr>
          <w:color w:val="221F1F"/>
        </w:rPr>
        <w:t>ability</w:t>
      </w:r>
      <w:r>
        <w:rPr>
          <w:color w:val="221F1F"/>
          <w:spacing w:val="-9"/>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Single</w:t>
      </w:r>
      <w:r>
        <w:rPr>
          <w:color w:val="221F1F"/>
          <w:spacing w:val="-4"/>
        </w:rPr>
        <w:t xml:space="preserve"> </w:t>
      </w:r>
      <w:r>
        <w:rPr>
          <w:color w:val="221F1F"/>
        </w:rPr>
        <w:t>Tenderer,</w:t>
      </w:r>
      <w:r>
        <w:rPr>
          <w:color w:val="221F1F"/>
          <w:spacing w:val="-9"/>
        </w:rPr>
        <w:t xml:space="preserve"> </w:t>
      </w:r>
      <w:r>
        <w:rPr>
          <w:color w:val="221F1F"/>
        </w:rPr>
        <w:t>and</w:t>
      </w:r>
      <w:r>
        <w:rPr>
          <w:color w:val="221F1F"/>
          <w:spacing w:val="-8"/>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case</w:t>
      </w:r>
      <w:r>
        <w:rPr>
          <w:color w:val="221F1F"/>
          <w:spacing w:val="-6"/>
        </w:rPr>
        <w:t xml:space="preserve"> </w:t>
      </w:r>
      <w:r>
        <w:rPr>
          <w:color w:val="221F1F"/>
        </w:rPr>
        <w:t>the Tenderer is a JV,</w:t>
      </w:r>
      <w:r>
        <w:rPr>
          <w:color w:val="221F1F"/>
          <w:spacing w:val="-14"/>
        </w:rPr>
        <w:t xml:space="preserve"> </w:t>
      </w:r>
      <w:r>
        <w:rPr>
          <w:color w:val="221F1F"/>
        </w:rPr>
        <w:t>of each member of the JV,</w:t>
      </w:r>
      <w:r>
        <w:rPr>
          <w:color w:val="221F1F"/>
          <w:spacing w:val="-14"/>
        </w:rPr>
        <w:t xml:space="preserve"> </w:t>
      </w:r>
      <w:r>
        <w:rPr>
          <w:color w:val="221F1F"/>
        </w:rPr>
        <w:t>shall remain sound according to criteria established with respect to Financial Capability under Paragraph (</w:t>
      </w:r>
      <w:proofErr w:type="spellStart"/>
      <w:r>
        <w:rPr>
          <w:color w:val="221F1F"/>
        </w:rPr>
        <w:t>i</w:t>
      </w:r>
      <w:proofErr w:type="spellEnd"/>
      <w:r>
        <w:rPr>
          <w:color w:val="221F1F"/>
        </w:rPr>
        <w:t>) above if all pending litigation will be resolved against the Tenderer. Tenderer shall provide information on pending litigations in the appropriate form.</w:t>
      </w:r>
    </w:p>
    <w:p w:rsidR="007F6DF9" w:rsidRDefault="00A43FBC">
      <w:pPr>
        <w:pStyle w:val="Heading9"/>
        <w:numPr>
          <w:ilvl w:val="1"/>
          <w:numId w:val="213"/>
        </w:numPr>
        <w:tabs>
          <w:tab w:val="left" w:pos="2493"/>
        </w:tabs>
        <w:spacing w:before="237"/>
        <w:ind w:left="2493" w:hanging="467"/>
        <w:rPr>
          <w:color w:val="221F1F"/>
        </w:rPr>
      </w:pPr>
      <w:proofErr w:type="spellStart"/>
      <w:r>
        <w:rPr>
          <w:color w:val="221F1F"/>
          <w:spacing w:val="-2"/>
        </w:rPr>
        <w:t>LitigationHistory</w:t>
      </w:r>
      <w:proofErr w:type="spellEnd"/>
    </w:p>
    <w:p w:rsidR="007F6DF9" w:rsidRDefault="00A43FBC">
      <w:pPr>
        <w:pStyle w:val="BodyText"/>
        <w:spacing w:before="235" w:line="232" w:lineRule="auto"/>
        <w:ind w:left="2494" w:right="532"/>
      </w:pPr>
      <w:r>
        <w:rPr>
          <w:color w:val="221F1F"/>
        </w:rPr>
        <w:t>There</w:t>
      </w:r>
      <w:r>
        <w:rPr>
          <w:color w:val="221F1F"/>
          <w:spacing w:val="-4"/>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no</w:t>
      </w:r>
      <w:r>
        <w:rPr>
          <w:color w:val="221F1F"/>
          <w:spacing w:val="-4"/>
        </w:rPr>
        <w:t xml:space="preserve"> </w:t>
      </w:r>
      <w:r>
        <w:rPr>
          <w:color w:val="221F1F"/>
        </w:rPr>
        <w:t>consistent</w:t>
      </w:r>
      <w:r>
        <w:rPr>
          <w:color w:val="221F1F"/>
          <w:spacing w:val="-4"/>
        </w:rPr>
        <w:t xml:space="preserve"> </w:t>
      </w:r>
      <w:r>
        <w:rPr>
          <w:color w:val="221F1F"/>
        </w:rPr>
        <w:t>history</w:t>
      </w:r>
      <w:r>
        <w:rPr>
          <w:color w:val="221F1F"/>
          <w:spacing w:val="-5"/>
        </w:rPr>
        <w:t xml:space="preserve"> </w:t>
      </w:r>
      <w:r>
        <w:rPr>
          <w:color w:val="221F1F"/>
        </w:rPr>
        <w:t>of</w:t>
      </w:r>
      <w:r>
        <w:rPr>
          <w:color w:val="221F1F"/>
          <w:spacing w:val="-4"/>
        </w:rPr>
        <w:t xml:space="preserve"> </w:t>
      </w:r>
      <w:r>
        <w:rPr>
          <w:color w:val="221F1F"/>
        </w:rPr>
        <w:t>court/arbitral</w:t>
      </w:r>
      <w:r>
        <w:rPr>
          <w:color w:val="221F1F"/>
          <w:spacing w:val="-1"/>
        </w:rPr>
        <w:t xml:space="preserve"> </w:t>
      </w:r>
      <w:r>
        <w:rPr>
          <w:color w:val="221F1F"/>
        </w:rPr>
        <w:t>award</w:t>
      </w:r>
      <w:r>
        <w:rPr>
          <w:color w:val="221F1F"/>
          <w:spacing w:val="-2"/>
        </w:rPr>
        <w:t xml:space="preserve"> </w:t>
      </w:r>
      <w:r>
        <w:rPr>
          <w:color w:val="221F1F"/>
        </w:rPr>
        <w:t>decisions</w:t>
      </w:r>
      <w:r>
        <w:rPr>
          <w:color w:val="221F1F"/>
          <w:spacing w:val="-2"/>
        </w:rPr>
        <w:t xml:space="preserve"> </w:t>
      </w:r>
      <w:r>
        <w:rPr>
          <w:color w:val="221F1F"/>
        </w:rPr>
        <w:t>against</w:t>
      </w:r>
      <w:r>
        <w:rPr>
          <w:color w:val="221F1F"/>
          <w:spacing w:val="-3"/>
        </w:rPr>
        <w:t xml:space="preserve"> </w:t>
      </w:r>
      <w:r>
        <w:rPr>
          <w:color w:val="221F1F"/>
        </w:rPr>
        <w:t>the</w:t>
      </w:r>
      <w:r>
        <w:rPr>
          <w:color w:val="221F1F"/>
          <w:spacing w:val="-2"/>
        </w:rPr>
        <w:t xml:space="preserve"> </w:t>
      </w:r>
      <w:r>
        <w:rPr>
          <w:color w:val="221F1F"/>
        </w:rPr>
        <w:t>Tenderer,</w:t>
      </w:r>
      <w:r>
        <w:rPr>
          <w:color w:val="221F1F"/>
          <w:spacing w:val="-5"/>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 xml:space="preserve">last </w:t>
      </w:r>
      <w:r>
        <w:rPr>
          <w:b/>
          <w:i/>
          <w:color w:val="221F1F"/>
        </w:rPr>
        <w:t>3 years</w:t>
      </w:r>
      <w:r>
        <w:rPr>
          <w:i/>
          <w:color w:val="221F1F"/>
        </w:rPr>
        <w:t xml:space="preserve">. </w:t>
      </w:r>
      <w:r>
        <w:rPr>
          <w:color w:val="221F1F"/>
        </w:rPr>
        <w:t xml:space="preserve">All parties to the contract shall furnish the information in the appropriate form about any litigation or arbitration resulting from contracts completed or on going </w:t>
      </w:r>
      <w:proofErr w:type="spellStart"/>
      <w:r>
        <w:rPr>
          <w:color w:val="221F1F"/>
        </w:rPr>
        <w:t>unde</w:t>
      </w:r>
      <w:proofErr w:type="spellEnd"/>
      <w:r>
        <w:rPr>
          <w:color w:val="221F1F"/>
        </w:rPr>
        <w:t xml:space="preserve"> </w:t>
      </w:r>
      <w:proofErr w:type="spellStart"/>
      <w:r>
        <w:rPr>
          <w:color w:val="221F1F"/>
        </w:rPr>
        <w:t>rits</w:t>
      </w:r>
      <w:proofErr w:type="spellEnd"/>
      <w:r>
        <w:rPr>
          <w:color w:val="221F1F"/>
        </w:rPr>
        <w:t xml:space="preserve"> execution over</w:t>
      </w:r>
    </w:p>
    <w:p w:rsidR="007F6DF9" w:rsidRDefault="00A43FBC">
      <w:pPr>
        <w:pStyle w:val="BodyText"/>
        <w:spacing w:before="1" w:line="230" w:lineRule="auto"/>
        <w:ind w:left="2494" w:right="849"/>
      </w:pPr>
      <w:r>
        <w:rPr>
          <w:color w:val="221F1F"/>
        </w:rPr>
        <w:t xml:space="preserve">the years specified. A consistent history of awards against the Tenderer or any member of a </w:t>
      </w:r>
      <w:proofErr w:type="gramStart"/>
      <w:r>
        <w:rPr>
          <w:color w:val="221F1F"/>
        </w:rPr>
        <w:t xml:space="preserve">JV </w:t>
      </w:r>
      <w:r w:rsidR="006A3869">
        <w:rPr>
          <w:color w:val="221F1F"/>
        </w:rPr>
        <w:t>.</w:t>
      </w:r>
      <w:r>
        <w:rPr>
          <w:color w:val="221F1F"/>
        </w:rPr>
        <w:t>may</w:t>
      </w:r>
      <w:proofErr w:type="gramEnd"/>
      <w:r>
        <w:rPr>
          <w:color w:val="221F1F"/>
        </w:rPr>
        <w:t xml:space="preserve"> result in rejection of the tender.</w:t>
      </w:r>
    </w:p>
    <w:p w:rsidR="007F6DF9" w:rsidRDefault="007F6DF9">
      <w:pPr>
        <w:pStyle w:val="BodyText"/>
        <w:spacing w:line="230" w:lineRule="auto"/>
        <w:sectPr w:rsidR="007F6DF9">
          <w:pgSz w:w="11920" w:h="16850"/>
          <w:pgMar w:top="360" w:right="0" w:bottom="620" w:left="0" w:header="0" w:footer="437" w:gutter="0"/>
          <w:cols w:space="720"/>
        </w:sectPr>
      </w:pPr>
    </w:p>
    <w:p w:rsidR="007F6DF9" w:rsidRDefault="00A43FBC">
      <w:pPr>
        <w:pStyle w:val="BodyText"/>
        <w:rPr>
          <w:sz w:val="24"/>
        </w:rPr>
      </w:pPr>
      <w:r>
        <w:rPr>
          <w:noProof/>
          <w:sz w:val="24"/>
        </w:rPr>
        <w:lastRenderedPageBreak/>
        <mc:AlternateContent>
          <mc:Choice Requires="wpg">
            <w:drawing>
              <wp:anchor distT="0" distB="0" distL="0" distR="0" simplePos="0" relativeHeight="251653632" behindDoc="1" locked="0" layoutInCell="1" allowOverlap="1">
                <wp:simplePos x="0" y="0"/>
                <wp:positionH relativeFrom="page">
                  <wp:posOffset>0</wp:posOffset>
                </wp:positionH>
                <wp:positionV relativeFrom="page">
                  <wp:posOffset>0</wp:posOffset>
                </wp:positionV>
                <wp:extent cx="7560309" cy="756158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1580"/>
                          <a:chOff x="0" y="0"/>
                          <a:chExt cx="7560309" cy="7561580"/>
                        </a:xfrm>
                      </wpg:grpSpPr>
                      <wps:wsp>
                        <wps:cNvPr id="133" name="Graphic 133"/>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wps:wsp>
                        <wps:cNvPr id="134" name="Graphic 134"/>
                        <wps:cNvSpPr/>
                        <wps:spPr>
                          <a:xfrm>
                            <a:off x="445008" y="678179"/>
                            <a:ext cx="6350" cy="6765290"/>
                          </a:xfrm>
                          <a:custGeom>
                            <a:avLst/>
                            <a:gdLst/>
                            <a:ahLst/>
                            <a:cxnLst/>
                            <a:rect l="l" t="t" r="r" b="b"/>
                            <a:pathLst>
                              <a:path w="6350" h="6765290">
                                <a:moveTo>
                                  <a:pt x="6083" y="4896066"/>
                                </a:moveTo>
                                <a:lnTo>
                                  <a:pt x="0" y="4896066"/>
                                </a:lnTo>
                                <a:lnTo>
                                  <a:pt x="0" y="4902403"/>
                                </a:lnTo>
                                <a:lnTo>
                                  <a:pt x="0" y="6109411"/>
                                </a:lnTo>
                                <a:lnTo>
                                  <a:pt x="0" y="6115507"/>
                                </a:lnTo>
                                <a:lnTo>
                                  <a:pt x="0" y="6758940"/>
                                </a:lnTo>
                                <a:lnTo>
                                  <a:pt x="0" y="6765036"/>
                                </a:lnTo>
                                <a:lnTo>
                                  <a:pt x="6083" y="6765036"/>
                                </a:lnTo>
                                <a:lnTo>
                                  <a:pt x="6083" y="4902403"/>
                                </a:lnTo>
                                <a:lnTo>
                                  <a:pt x="6083" y="4896066"/>
                                </a:lnTo>
                                <a:close/>
                              </a:path>
                              <a:path w="6350" h="6765290">
                                <a:moveTo>
                                  <a:pt x="6083" y="3925201"/>
                                </a:moveTo>
                                <a:lnTo>
                                  <a:pt x="0" y="3925201"/>
                                </a:lnTo>
                                <a:lnTo>
                                  <a:pt x="0" y="4568317"/>
                                </a:lnTo>
                                <a:lnTo>
                                  <a:pt x="0" y="4574413"/>
                                </a:lnTo>
                                <a:lnTo>
                                  <a:pt x="0" y="4895977"/>
                                </a:lnTo>
                                <a:lnTo>
                                  <a:pt x="6083" y="4895977"/>
                                </a:lnTo>
                                <a:lnTo>
                                  <a:pt x="6083" y="4574413"/>
                                </a:lnTo>
                                <a:lnTo>
                                  <a:pt x="6083" y="4568317"/>
                                </a:lnTo>
                                <a:lnTo>
                                  <a:pt x="6083" y="3925201"/>
                                </a:lnTo>
                                <a:close/>
                              </a:path>
                              <a:path w="6350" h="6765290">
                                <a:moveTo>
                                  <a:pt x="6083" y="3109607"/>
                                </a:moveTo>
                                <a:lnTo>
                                  <a:pt x="0" y="3109607"/>
                                </a:lnTo>
                                <a:lnTo>
                                  <a:pt x="0" y="3115640"/>
                                </a:lnTo>
                                <a:lnTo>
                                  <a:pt x="0" y="3919093"/>
                                </a:lnTo>
                                <a:lnTo>
                                  <a:pt x="0" y="3925189"/>
                                </a:lnTo>
                                <a:lnTo>
                                  <a:pt x="6083" y="3925189"/>
                                </a:lnTo>
                                <a:lnTo>
                                  <a:pt x="6083" y="3919093"/>
                                </a:lnTo>
                                <a:lnTo>
                                  <a:pt x="6083" y="3115691"/>
                                </a:lnTo>
                                <a:lnTo>
                                  <a:pt x="6083" y="3109607"/>
                                </a:lnTo>
                                <a:close/>
                              </a:path>
                              <a:path w="6350" h="6765290">
                                <a:moveTo>
                                  <a:pt x="6083" y="1644726"/>
                                </a:moveTo>
                                <a:lnTo>
                                  <a:pt x="0" y="1644726"/>
                                </a:lnTo>
                                <a:lnTo>
                                  <a:pt x="0" y="1966595"/>
                                </a:lnTo>
                                <a:lnTo>
                                  <a:pt x="0" y="1972691"/>
                                </a:lnTo>
                                <a:lnTo>
                                  <a:pt x="0" y="3109595"/>
                                </a:lnTo>
                                <a:lnTo>
                                  <a:pt x="6083" y="3109595"/>
                                </a:lnTo>
                                <a:lnTo>
                                  <a:pt x="6083" y="1966595"/>
                                </a:lnTo>
                                <a:lnTo>
                                  <a:pt x="6083" y="1644726"/>
                                </a:lnTo>
                                <a:close/>
                              </a:path>
                              <a:path w="6350" h="6765290">
                                <a:moveTo>
                                  <a:pt x="6083" y="0"/>
                                </a:moveTo>
                                <a:lnTo>
                                  <a:pt x="0" y="0"/>
                                </a:lnTo>
                                <a:lnTo>
                                  <a:pt x="0" y="6045"/>
                                </a:lnTo>
                                <a:lnTo>
                                  <a:pt x="0" y="6096"/>
                                </a:lnTo>
                                <a:lnTo>
                                  <a:pt x="0" y="1644650"/>
                                </a:lnTo>
                                <a:lnTo>
                                  <a:pt x="6083" y="1644650"/>
                                </a:lnTo>
                                <a:lnTo>
                                  <a:pt x="6083" y="6045"/>
                                </a:lnTo>
                                <a:lnTo>
                                  <a:pt x="6083"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142875" y="6613525"/>
                            <a:ext cx="307975" cy="946150"/>
                          </a:xfrm>
                          <a:custGeom>
                            <a:avLst/>
                            <a:gdLst/>
                            <a:ahLst/>
                            <a:cxnLst/>
                            <a:rect l="l" t="t" r="r" b="b"/>
                            <a:pathLst>
                              <a:path w="307975" h="946150">
                                <a:moveTo>
                                  <a:pt x="307975" y="0"/>
                                </a:moveTo>
                                <a:lnTo>
                                  <a:pt x="153670" y="0"/>
                                </a:lnTo>
                                <a:lnTo>
                                  <a:pt x="105410" y="7619"/>
                                </a:lnTo>
                                <a:lnTo>
                                  <a:pt x="62864" y="29844"/>
                                </a:lnTo>
                                <a:lnTo>
                                  <a:pt x="29844" y="62864"/>
                                </a:lnTo>
                                <a:lnTo>
                                  <a:pt x="7619" y="105409"/>
                                </a:lnTo>
                                <a:lnTo>
                                  <a:pt x="0" y="153669"/>
                                </a:lnTo>
                                <a:lnTo>
                                  <a:pt x="0" y="946149"/>
                                </a:lnTo>
                                <a:lnTo>
                                  <a:pt x="307975" y="946149"/>
                                </a:lnTo>
                                <a:lnTo>
                                  <a:pt x="307975" y="0"/>
                                </a:lnTo>
                                <a:close/>
                              </a:path>
                            </a:pathLst>
                          </a:custGeom>
                          <a:solidFill>
                            <a:srgbClr val="011F5E"/>
                          </a:solidFill>
                        </wps:spPr>
                        <wps:bodyPr wrap="square" lIns="0" tIns="0" rIns="0" bIns="0" rtlCol="0">
                          <a:prstTxWarp prst="textNoShape">
                            <a:avLst/>
                          </a:prstTxWarp>
                          <a:noAutofit/>
                        </wps:bodyPr>
                      </wps:wsp>
                      <wps:wsp>
                        <wps:cNvPr id="136" name="Graphic 136"/>
                        <wps:cNvSpPr/>
                        <wps:spPr>
                          <a:xfrm>
                            <a:off x="142875" y="0"/>
                            <a:ext cx="308610" cy="7560309"/>
                          </a:xfrm>
                          <a:custGeom>
                            <a:avLst/>
                            <a:gdLst/>
                            <a:ahLst/>
                            <a:cxnLst/>
                            <a:rect l="l" t="t" r="r" b="b"/>
                            <a:pathLst>
                              <a:path w="308610" h="7560309">
                                <a:moveTo>
                                  <a:pt x="307975" y="6613525"/>
                                </a:moveTo>
                                <a:lnTo>
                                  <a:pt x="307975" y="7559675"/>
                                </a:lnTo>
                                <a:lnTo>
                                  <a:pt x="0" y="7559675"/>
                                </a:lnTo>
                                <a:lnTo>
                                  <a:pt x="0" y="6767194"/>
                                </a:lnTo>
                                <a:lnTo>
                                  <a:pt x="7619" y="6718934"/>
                                </a:lnTo>
                                <a:lnTo>
                                  <a:pt x="29844" y="6676389"/>
                                </a:lnTo>
                                <a:lnTo>
                                  <a:pt x="62864" y="6643369"/>
                                </a:lnTo>
                                <a:lnTo>
                                  <a:pt x="105410" y="6621144"/>
                                </a:lnTo>
                                <a:lnTo>
                                  <a:pt x="153670" y="6613525"/>
                                </a:lnTo>
                                <a:lnTo>
                                  <a:pt x="307975" y="6613525"/>
                                </a:lnTo>
                              </a:path>
                              <a:path w="308610" h="7560309">
                                <a:moveTo>
                                  <a:pt x="308609" y="0"/>
                                </a:moveTo>
                                <a:lnTo>
                                  <a:pt x="308609" y="7560309"/>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5A81727D" id="Group 132" o:spid="_x0000_s1026" style="position:absolute;margin-left:0;margin-top:0;width:595.3pt;height:595.4pt;z-index:-251662848;mso-wrap-distance-left:0;mso-wrap-distance-right:0;mso-position-horizontal-relative:page;mso-position-vertical-relative:page" coordsize="75603,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">
                <v:shape id="Graphic 133" o:spid="_x0000_s1027" style="position:absolute;width:75603;height:2343;visibility:visible;mso-wrap-style:square;v-text-anchor:top" coordsize="7560309,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" path="m7560309,l,,,234315r7560309,l7560309,xe" fillcolor="#ec1c23" stroked="f">
                  <v:path arrowok="t"/>
                </v:shape>
                <v:shape id="Graphic 134" o:spid="_x0000_s1028" style="position:absolute;left:4450;top:6781;width:63;height:67653;visibility:visible;mso-wrap-style:square;v-text-anchor:top" coordsize="6350,67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" path="m6083,4896066r-6083,l,4902403,,6109411r,6096l,6758940r,6096l6083,6765036r,-1862633l6083,4896066xem6083,3925201r-6083,l,4568317r,6096l,4895977r6083,l6083,4574413r,-6096l6083,3925201xem6083,3109607r-6083,l,3115640r,803453l,3925189r6083,l6083,3919093r,-803402l6083,3109607xem6083,1644726r-6083,l,1966595r,6096l,3109595r6083,l6083,1966595r,-321869xem6083,l,,,6045r,51l,1644650r6083,l6083,6045,6083,xe" fillcolor="black" stroked="f">
                  <v:path arrowok="t"/>
                </v:shape>
                <v:shape id="Graphic 135" o:spid="_x0000_s1029" style="position:absolute;left:1428;top:66135;width:3080;height:9461;visibility:visible;mso-wrap-style:square;v-text-anchor:top" coordsize="30797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" path="m307975,l153670,,105410,7619,62864,29844,29844,62864,7619,105409,,153669,,946149r307975,l307975,xe" fillcolor="#011f5e" stroked="f">
                  <v:path arrowok="t"/>
                </v:shape>
                <v:shape id="Graphic 136" o:spid="_x0000_s1030" style="position:absolute;left:1428;width:3086;height:75603;visibility:visible;mso-wrap-style:square;v-text-anchor:top" coordsize="3086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" path="m307975,6613525r,946150l,7559675,,6767194r7619,-48260l29844,6676389r33020,-33020l105410,6621144r48260,-7619l307975,6613525em308609,r,7560309e" filled="f" strokecolor="#011f5e" strokeweight=".07617mm">
                  <v:path arrowok="t"/>
                </v:shape>
                <w10:wrap anchorx="page" anchory="page"/>
              </v:group>
            </w:pict>
          </mc:Fallback>
        </mc:AlternateContent>
      </w:r>
      <w:r>
        <w:rPr>
          <w:noProof/>
          <w:sz w:val="24"/>
        </w:rPr>
        <mc:AlternateContent>
          <mc:Choice Requires="wps">
            <w:drawing>
              <wp:anchor distT="0" distB="0" distL="0" distR="0" simplePos="0" relativeHeight="251632128" behindDoc="0" locked="0" layoutInCell="1" allowOverlap="1">
                <wp:simplePos x="0" y="0"/>
                <wp:positionH relativeFrom="page">
                  <wp:posOffset>10457815</wp:posOffset>
                </wp:positionH>
                <wp:positionV relativeFrom="page">
                  <wp:posOffset>0</wp:posOffset>
                </wp:positionV>
                <wp:extent cx="234315" cy="7560309"/>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7560309"/>
                        </a:xfrm>
                        <a:custGeom>
                          <a:avLst/>
                          <a:gdLst/>
                          <a:ahLst/>
                          <a:cxnLst/>
                          <a:rect l="l" t="t" r="r" b="b"/>
                          <a:pathLst>
                            <a:path w="234315" h="7560309">
                              <a:moveTo>
                                <a:pt x="234315" y="0"/>
                              </a:moveTo>
                              <a:lnTo>
                                <a:pt x="0" y="0"/>
                              </a:lnTo>
                              <a:lnTo>
                                <a:pt x="0" y="7560309"/>
                              </a:lnTo>
                              <a:lnTo>
                                <a:pt x="234315" y="7560309"/>
                              </a:lnTo>
                              <a:lnTo>
                                <a:pt x="234315" y="0"/>
                              </a:lnTo>
                              <a:close/>
                            </a:path>
                          </a:pathLst>
                        </a:custGeom>
                        <a:solidFill>
                          <a:srgbClr val="011F5E"/>
                        </a:solidFill>
                      </wps:spPr>
                      <wps:bodyPr wrap="square" lIns="0" tIns="0" rIns="0" bIns="0" rtlCol="0">
                        <a:prstTxWarp prst="textNoShape">
                          <a:avLst/>
                        </a:prstTxWarp>
                        <a:noAutofit/>
                      </wps:bodyPr>
                    </wps:wsp>
                  </a:graphicData>
                </a:graphic>
              </wp:anchor>
            </w:drawing>
          </mc:Choice>
          <mc:Fallback>
            <w:pict>
              <v:shape w14:anchorId="1954AA29" id="Graphic 137" o:spid="_x0000_s1026" style="position:absolute;margin-left:823.45pt;margin-top:0;width:18.45pt;height:595.3pt;z-index:251632128;visibility:visible;mso-wrap-style:square;mso-wrap-distance-left:0;mso-wrap-distance-top:0;mso-wrap-distance-right:0;mso-wrap-distance-bottom:0;mso-position-horizontal:absolute;mso-position-horizontal-relative:page;mso-position-vertical:absolute;mso-position-vertical-relative:page;v-text-anchor:top" coordsize="23431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" path="m234315,l,,,7560309r234315,l234315,xe" fillcolor="#011f5e" stroked="f">
                <v:path arrowok="t"/>
                <w10:wrap anchorx="page" anchory="page"/>
              </v:shape>
            </w:pict>
          </mc:Fallback>
        </mc:AlternateContent>
      </w:r>
      <w:r>
        <w:rPr>
          <w:noProof/>
          <w:sz w:val="24"/>
        </w:rPr>
        <mc:AlternateContent>
          <mc:Choice Requires="wps">
            <w:drawing>
              <wp:anchor distT="0" distB="0" distL="0" distR="0" simplePos="0" relativeHeight="251633152" behindDoc="0" locked="0" layoutInCell="1" allowOverlap="1">
                <wp:simplePos x="0" y="0"/>
                <wp:positionH relativeFrom="page">
                  <wp:posOffset>221853</wp:posOffset>
                </wp:positionH>
                <wp:positionV relativeFrom="page">
                  <wp:posOffset>6866331</wp:posOffset>
                </wp:positionV>
                <wp:extent cx="220345" cy="18415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84150"/>
                        </a:xfrm>
                        <a:prstGeom prst="rect">
                          <a:avLst/>
                        </a:prstGeom>
                      </wps:spPr>
                      <wps:txbx>
                        <w:txbxContent>
                          <w:p w:rsidR="00883FED" w:rsidRDefault="00883FED">
                            <w:pPr>
                              <w:spacing w:before="20"/>
                              <w:ind w:left="20"/>
                              <w:rPr>
                                <w:rFonts w:ascii="Segoe UI"/>
                                <w:sz w:val="23"/>
                              </w:rPr>
                            </w:pPr>
                            <w:r>
                              <w:rPr>
                                <w:rFonts w:ascii="Segoe UI"/>
                                <w:color w:val="FFFFFF"/>
                                <w:spacing w:val="-5"/>
                                <w:sz w:val="23"/>
                              </w:rPr>
                              <w:t>25</w:t>
                            </w:r>
                          </w:p>
                        </w:txbxContent>
                      </wps:txbx>
                      <wps:bodyPr vert="vert" wrap="square" lIns="0" tIns="0" rIns="0" bIns="0" rtlCol="0">
                        <a:noAutofit/>
                      </wps:bodyPr>
                    </wps:wsp>
                  </a:graphicData>
                </a:graphic>
              </wp:anchor>
            </w:drawing>
          </mc:Choice>
          <mc:Fallback>
            <w:pict>
              <v:shape id="Textbox 138" o:spid="_x0000_s1032" type="#_x0000_t202" style="position:absolute;margin-left:17.45pt;margin-top:540.65pt;width:17.35pt;height:14.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" filled="f" stroked="f">
                <v:path arrowok="t"/>
                <v:textbox style="layout-flow:vertical" inset="0,0,0,0">
                  <w:txbxContent>
                    <w:p w:rsidR="00883FED" w:rsidRDefault="00883FED">
                      <w:pPr>
                        <w:spacing w:before="20"/>
                        <w:ind w:left="20"/>
                        <w:rPr>
                          <w:rFonts w:ascii="Segoe UI"/>
                          <w:sz w:val="23"/>
                        </w:rPr>
                      </w:pPr>
                      <w:r>
                        <w:rPr>
                          <w:rFonts w:ascii="Segoe UI"/>
                          <w:color w:val="FFFFFF"/>
                          <w:spacing w:val="-5"/>
                          <w:sz w:val="23"/>
                        </w:rPr>
                        <w:t>25</w:t>
                      </w:r>
                    </w:p>
                  </w:txbxContent>
                </v:textbox>
                <w10:wrap anchorx="page" anchory="page"/>
              </v:shape>
            </w:pict>
          </mc:Fallback>
        </mc:AlternateContent>
      </w:r>
    </w:p>
    <w:p w:rsidR="007F6DF9" w:rsidRDefault="007F6DF9">
      <w:pPr>
        <w:pStyle w:val="BodyText"/>
        <w:spacing w:before="227"/>
        <w:rPr>
          <w:sz w:val="24"/>
        </w:rPr>
      </w:pPr>
    </w:p>
    <w:p w:rsidR="007F6DF9" w:rsidRDefault="00A43FBC">
      <w:pPr>
        <w:pStyle w:val="Heading6"/>
        <w:spacing w:before="1"/>
        <w:ind w:left="398"/>
      </w:pPr>
      <w:r>
        <w:rPr>
          <w:color w:val="221F1F"/>
        </w:rPr>
        <w:t xml:space="preserve">QUALIFICATION </w:t>
      </w:r>
      <w:r>
        <w:rPr>
          <w:color w:val="221F1F"/>
          <w:spacing w:val="-2"/>
        </w:rPr>
        <w:t>FORM*</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2554"/>
        <w:gridCol w:w="5528"/>
        <w:gridCol w:w="2979"/>
        <w:gridCol w:w="2549"/>
      </w:tblGrid>
      <w:tr w:rsidR="007F6DF9">
        <w:trPr>
          <w:trHeight w:val="251"/>
        </w:trPr>
        <w:tc>
          <w:tcPr>
            <w:tcW w:w="698" w:type="dxa"/>
            <w:tcBorders>
              <w:left w:val="nil"/>
            </w:tcBorders>
          </w:tcPr>
          <w:p w:rsidR="007F6DF9" w:rsidRDefault="00A43FBC">
            <w:pPr>
              <w:pStyle w:val="TableParagraph"/>
              <w:spacing w:line="232" w:lineRule="exact"/>
              <w:ind w:left="107"/>
              <w:rPr>
                <w:rFonts w:ascii="Times New Roman"/>
                <w:b/>
              </w:rPr>
            </w:pPr>
            <w:r>
              <w:rPr>
                <w:rFonts w:ascii="Times New Roman"/>
                <w:b/>
                <w:spacing w:val="-10"/>
              </w:rPr>
              <w:t>1</w:t>
            </w:r>
          </w:p>
        </w:tc>
        <w:tc>
          <w:tcPr>
            <w:tcW w:w="2554" w:type="dxa"/>
          </w:tcPr>
          <w:p w:rsidR="007F6DF9" w:rsidRDefault="00A43FBC">
            <w:pPr>
              <w:pStyle w:val="TableParagraph"/>
              <w:spacing w:line="232" w:lineRule="exact"/>
              <w:ind w:left="108"/>
              <w:rPr>
                <w:rFonts w:ascii="Times New Roman"/>
                <w:b/>
              </w:rPr>
            </w:pPr>
            <w:r>
              <w:rPr>
                <w:rFonts w:ascii="Times New Roman"/>
                <w:b/>
                <w:spacing w:val="-10"/>
              </w:rPr>
              <w:t>2</w:t>
            </w:r>
          </w:p>
        </w:tc>
        <w:tc>
          <w:tcPr>
            <w:tcW w:w="5528" w:type="dxa"/>
          </w:tcPr>
          <w:p w:rsidR="007F6DF9" w:rsidRDefault="00A43FBC">
            <w:pPr>
              <w:pStyle w:val="TableParagraph"/>
              <w:spacing w:line="232" w:lineRule="exact"/>
              <w:ind w:left="105"/>
              <w:rPr>
                <w:rFonts w:ascii="Times New Roman"/>
                <w:b/>
              </w:rPr>
            </w:pPr>
            <w:r>
              <w:rPr>
                <w:rFonts w:ascii="Times New Roman"/>
                <w:b/>
                <w:spacing w:val="-10"/>
              </w:rPr>
              <w:t>3</w:t>
            </w:r>
          </w:p>
        </w:tc>
        <w:tc>
          <w:tcPr>
            <w:tcW w:w="2979" w:type="dxa"/>
          </w:tcPr>
          <w:p w:rsidR="007F6DF9" w:rsidRDefault="00A43FBC">
            <w:pPr>
              <w:pStyle w:val="TableParagraph"/>
              <w:spacing w:line="232" w:lineRule="exact"/>
              <w:ind w:left="108"/>
              <w:rPr>
                <w:rFonts w:ascii="Times New Roman"/>
                <w:b/>
                <w:i/>
              </w:rPr>
            </w:pPr>
            <w:r>
              <w:rPr>
                <w:rFonts w:ascii="Times New Roman"/>
                <w:b/>
                <w:i/>
                <w:spacing w:val="-10"/>
              </w:rPr>
              <w:t>4</w:t>
            </w:r>
          </w:p>
        </w:tc>
        <w:tc>
          <w:tcPr>
            <w:tcW w:w="2549" w:type="dxa"/>
          </w:tcPr>
          <w:p w:rsidR="007F6DF9" w:rsidRDefault="00A43FBC">
            <w:pPr>
              <w:pStyle w:val="TableParagraph"/>
              <w:spacing w:line="232" w:lineRule="exact"/>
              <w:ind w:left="105"/>
              <w:rPr>
                <w:rFonts w:ascii="Times New Roman"/>
                <w:b/>
                <w:i/>
              </w:rPr>
            </w:pPr>
            <w:r>
              <w:rPr>
                <w:rFonts w:ascii="Times New Roman"/>
                <w:b/>
                <w:i/>
                <w:spacing w:val="-10"/>
              </w:rPr>
              <w:t>5</w:t>
            </w:r>
          </w:p>
        </w:tc>
      </w:tr>
      <w:tr w:rsidR="007F6DF9">
        <w:trPr>
          <w:trHeight w:val="760"/>
        </w:trPr>
        <w:tc>
          <w:tcPr>
            <w:tcW w:w="698" w:type="dxa"/>
            <w:tcBorders>
              <w:left w:val="nil"/>
            </w:tcBorders>
          </w:tcPr>
          <w:p w:rsidR="007F6DF9" w:rsidRDefault="00A43FBC">
            <w:pPr>
              <w:pStyle w:val="TableParagraph"/>
              <w:ind w:left="107"/>
              <w:rPr>
                <w:rFonts w:ascii="Times New Roman"/>
                <w:b/>
              </w:rPr>
            </w:pPr>
            <w:r>
              <w:rPr>
                <w:rFonts w:ascii="Times New Roman"/>
                <w:b/>
                <w:spacing w:val="-4"/>
              </w:rPr>
              <w:t>Item No.</w:t>
            </w:r>
          </w:p>
        </w:tc>
        <w:tc>
          <w:tcPr>
            <w:tcW w:w="2554" w:type="dxa"/>
          </w:tcPr>
          <w:p w:rsidR="007F6DF9" w:rsidRDefault="00A43FBC">
            <w:pPr>
              <w:pStyle w:val="TableParagraph"/>
              <w:spacing w:line="251" w:lineRule="exact"/>
              <w:ind w:left="108"/>
              <w:rPr>
                <w:rFonts w:ascii="Times New Roman"/>
                <w:b/>
              </w:rPr>
            </w:pPr>
            <w:r>
              <w:rPr>
                <w:rFonts w:ascii="Times New Roman"/>
                <w:b/>
              </w:rPr>
              <w:t>Qualification</w:t>
            </w:r>
            <w:r>
              <w:rPr>
                <w:rFonts w:ascii="Times New Roman"/>
                <w:b/>
                <w:spacing w:val="-8"/>
              </w:rPr>
              <w:t xml:space="preserve"> </w:t>
            </w:r>
            <w:r>
              <w:rPr>
                <w:rFonts w:ascii="Times New Roman"/>
                <w:b/>
                <w:spacing w:val="-2"/>
              </w:rPr>
              <w:t>Subject</w:t>
            </w:r>
          </w:p>
        </w:tc>
        <w:tc>
          <w:tcPr>
            <w:tcW w:w="5528" w:type="dxa"/>
          </w:tcPr>
          <w:p w:rsidR="007F6DF9" w:rsidRDefault="00A43FBC">
            <w:pPr>
              <w:pStyle w:val="TableParagraph"/>
              <w:spacing w:line="251" w:lineRule="exact"/>
              <w:ind w:left="105"/>
              <w:rPr>
                <w:rFonts w:ascii="Times New Roman"/>
                <w:b/>
              </w:rPr>
            </w:pPr>
            <w:r>
              <w:rPr>
                <w:rFonts w:ascii="Times New Roman"/>
                <w:b/>
              </w:rPr>
              <w:t>Qualification</w:t>
            </w:r>
            <w:r>
              <w:rPr>
                <w:rFonts w:ascii="Times New Roman"/>
                <w:b/>
                <w:spacing w:val="-8"/>
              </w:rPr>
              <w:t xml:space="preserve"> </w:t>
            </w:r>
            <w:r>
              <w:rPr>
                <w:rFonts w:ascii="Times New Roman"/>
                <w:b/>
                <w:spacing w:val="-2"/>
              </w:rPr>
              <w:t>Requirement</w:t>
            </w:r>
          </w:p>
        </w:tc>
        <w:tc>
          <w:tcPr>
            <w:tcW w:w="2979" w:type="dxa"/>
          </w:tcPr>
          <w:p w:rsidR="007F6DF9" w:rsidRDefault="00A43FBC">
            <w:pPr>
              <w:pStyle w:val="TableParagraph"/>
              <w:ind w:left="108" w:right="187"/>
              <w:rPr>
                <w:rFonts w:ascii="Times New Roman"/>
                <w:b/>
                <w:i/>
              </w:rPr>
            </w:pPr>
            <w:r>
              <w:rPr>
                <w:rFonts w:ascii="Times New Roman"/>
                <w:b/>
                <w:i/>
              </w:rPr>
              <w:t>Document</w:t>
            </w:r>
            <w:r>
              <w:rPr>
                <w:rFonts w:ascii="Times New Roman"/>
                <w:b/>
                <w:i/>
                <w:spacing w:val="-12"/>
              </w:rPr>
              <w:t xml:space="preserve"> </w:t>
            </w:r>
            <w:r>
              <w:rPr>
                <w:rFonts w:ascii="Times New Roman"/>
                <w:b/>
                <w:i/>
              </w:rPr>
              <w:t>To</w:t>
            </w:r>
            <w:r>
              <w:rPr>
                <w:rFonts w:ascii="Times New Roman"/>
                <w:b/>
                <w:i/>
                <w:spacing w:val="-13"/>
              </w:rPr>
              <w:t xml:space="preserve"> </w:t>
            </w:r>
            <w:r>
              <w:rPr>
                <w:rFonts w:ascii="Times New Roman"/>
                <w:b/>
                <w:i/>
              </w:rPr>
              <w:t>be</w:t>
            </w:r>
            <w:r>
              <w:rPr>
                <w:rFonts w:ascii="Times New Roman"/>
                <w:b/>
                <w:i/>
                <w:spacing w:val="-13"/>
              </w:rPr>
              <w:t xml:space="preserve"> </w:t>
            </w:r>
            <w:r>
              <w:rPr>
                <w:rFonts w:ascii="Times New Roman"/>
                <w:b/>
                <w:i/>
              </w:rPr>
              <w:t>Completed by Tenderer</w:t>
            </w:r>
          </w:p>
        </w:tc>
        <w:tc>
          <w:tcPr>
            <w:tcW w:w="2549" w:type="dxa"/>
          </w:tcPr>
          <w:p w:rsidR="007F6DF9" w:rsidRDefault="00A43FBC">
            <w:pPr>
              <w:pStyle w:val="TableParagraph"/>
              <w:spacing w:line="251" w:lineRule="exact"/>
              <w:ind w:left="105"/>
              <w:rPr>
                <w:rFonts w:ascii="Times New Roman" w:hAnsi="Times New Roman"/>
                <w:b/>
                <w:i/>
              </w:rPr>
            </w:pPr>
            <w:r>
              <w:rPr>
                <w:rFonts w:ascii="Times New Roman" w:hAnsi="Times New Roman"/>
                <w:b/>
                <w:i/>
              </w:rPr>
              <w:t>For</w:t>
            </w:r>
            <w:r>
              <w:rPr>
                <w:rFonts w:ascii="Times New Roman" w:hAnsi="Times New Roman"/>
                <w:b/>
                <w:i/>
                <w:spacing w:val="-2"/>
              </w:rPr>
              <w:t xml:space="preserve"> </w:t>
            </w:r>
            <w:r>
              <w:rPr>
                <w:rFonts w:ascii="Times New Roman" w:hAnsi="Times New Roman"/>
                <w:b/>
                <w:i/>
              </w:rPr>
              <w:t>Procuring</w:t>
            </w:r>
            <w:r>
              <w:rPr>
                <w:rFonts w:ascii="Times New Roman" w:hAnsi="Times New Roman"/>
                <w:b/>
                <w:i/>
                <w:spacing w:val="-1"/>
              </w:rPr>
              <w:t xml:space="preserve"> </w:t>
            </w:r>
            <w:r>
              <w:rPr>
                <w:rFonts w:ascii="Times New Roman" w:hAnsi="Times New Roman"/>
                <w:b/>
                <w:i/>
                <w:spacing w:val="-2"/>
              </w:rPr>
              <w:t>Entity’s</w:t>
            </w:r>
          </w:p>
          <w:p w:rsidR="007F6DF9" w:rsidRDefault="00A43FBC">
            <w:pPr>
              <w:pStyle w:val="TableParagraph"/>
              <w:spacing w:line="252" w:lineRule="exact"/>
              <w:ind w:left="105"/>
              <w:rPr>
                <w:rFonts w:ascii="Times New Roman"/>
                <w:b/>
                <w:i/>
              </w:rPr>
            </w:pPr>
            <w:r>
              <w:rPr>
                <w:rFonts w:ascii="Times New Roman"/>
                <w:b/>
                <w:i/>
              </w:rPr>
              <w:t>Use</w:t>
            </w:r>
            <w:r>
              <w:rPr>
                <w:rFonts w:ascii="Times New Roman"/>
                <w:b/>
                <w:i/>
                <w:spacing w:val="-11"/>
              </w:rPr>
              <w:t xml:space="preserve"> </w:t>
            </w:r>
            <w:r>
              <w:rPr>
                <w:rFonts w:ascii="Times New Roman"/>
                <w:b/>
                <w:i/>
              </w:rPr>
              <w:t>(Qualification</w:t>
            </w:r>
            <w:r>
              <w:rPr>
                <w:rFonts w:ascii="Times New Roman"/>
                <w:b/>
                <w:i/>
                <w:spacing w:val="-14"/>
              </w:rPr>
              <w:t xml:space="preserve"> </w:t>
            </w:r>
            <w:r>
              <w:rPr>
                <w:rFonts w:ascii="Times New Roman"/>
                <w:b/>
                <w:i/>
              </w:rPr>
              <w:t>met</w:t>
            </w:r>
            <w:r>
              <w:rPr>
                <w:rFonts w:ascii="Times New Roman"/>
                <w:b/>
                <w:i/>
                <w:spacing w:val="-13"/>
              </w:rPr>
              <w:t xml:space="preserve"> </w:t>
            </w:r>
            <w:r>
              <w:rPr>
                <w:rFonts w:ascii="Times New Roman"/>
                <w:b/>
                <w:i/>
              </w:rPr>
              <w:t>or Not Met)</w:t>
            </w:r>
          </w:p>
        </w:tc>
      </w:tr>
      <w:tr w:rsidR="007F6DF9">
        <w:trPr>
          <w:trHeight w:val="506"/>
        </w:trPr>
        <w:tc>
          <w:tcPr>
            <w:tcW w:w="698" w:type="dxa"/>
            <w:tcBorders>
              <w:left w:val="nil"/>
            </w:tcBorders>
          </w:tcPr>
          <w:p w:rsidR="007F6DF9" w:rsidRDefault="00A43FBC">
            <w:pPr>
              <w:pStyle w:val="TableParagraph"/>
              <w:spacing w:line="251" w:lineRule="exact"/>
              <w:ind w:left="107"/>
              <w:rPr>
                <w:rFonts w:ascii="Times New Roman"/>
              </w:rPr>
            </w:pPr>
            <w:r>
              <w:rPr>
                <w:rFonts w:ascii="Times New Roman"/>
                <w:spacing w:val="-10"/>
              </w:rPr>
              <w:t>1</w:t>
            </w:r>
          </w:p>
        </w:tc>
        <w:tc>
          <w:tcPr>
            <w:tcW w:w="2554" w:type="dxa"/>
          </w:tcPr>
          <w:p w:rsidR="007F6DF9" w:rsidRDefault="00A43FBC">
            <w:pPr>
              <w:pStyle w:val="TableParagraph"/>
              <w:spacing w:line="251" w:lineRule="exact"/>
              <w:ind w:left="108"/>
              <w:rPr>
                <w:rFonts w:ascii="Times New Roman"/>
              </w:rPr>
            </w:pPr>
            <w:r>
              <w:rPr>
                <w:rFonts w:ascii="Times New Roman"/>
                <w:spacing w:val="-2"/>
              </w:rPr>
              <w:t>Nationality</w:t>
            </w:r>
          </w:p>
        </w:tc>
        <w:tc>
          <w:tcPr>
            <w:tcW w:w="5528" w:type="dxa"/>
          </w:tcPr>
          <w:p w:rsidR="007F6DF9" w:rsidRDefault="00A43FBC">
            <w:pPr>
              <w:pStyle w:val="TableParagraph"/>
              <w:spacing w:line="251" w:lineRule="exact"/>
              <w:ind w:left="105"/>
              <w:rPr>
                <w:rFonts w:ascii="Times New Roman"/>
              </w:rPr>
            </w:pPr>
            <w:r>
              <w:rPr>
                <w:rFonts w:ascii="Times New Roman"/>
              </w:rPr>
              <w:t>Nationality</w:t>
            </w:r>
            <w:r>
              <w:rPr>
                <w:rFonts w:ascii="Times New Roman"/>
                <w:spacing w:val="-4"/>
              </w:rPr>
              <w:t xml:space="preserve"> </w:t>
            </w:r>
            <w:r>
              <w:rPr>
                <w:rFonts w:ascii="Times New Roman"/>
              </w:rPr>
              <w:t>in</w:t>
            </w:r>
            <w:r>
              <w:rPr>
                <w:rFonts w:ascii="Times New Roman"/>
                <w:spacing w:val="-6"/>
              </w:rPr>
              <w:t xml:space="preserve"> </w:t>
            </w:r>
            <w:r>
              <w:rPr>
                <w:rFonts w:ascii="Times New Roman"/>
              </w:rPr>
              <w:t>accordance</w:t>
            </w:r>
            <w:r>
              <w:rPr>
                <w:rFonts w:ascii="Times New Roman"/>
                <w:spacing w:val="-5"/>
              </w:rPr>
              <w:t xml:space="preserve"> </w:t>
            </w:r>
            <w:r>
              <w:rPr>
                <w:rFonts w:ascii="Times New Roman"/>
              </w:rPr>
              <w:t>with</w:t>
            </w:r>
            <w:r>
              <w:rPr>
                <w:rFonts w:ascii="Times New Roman"/>
                <w:spacing w:val="-3"/>
              </w:rPr>
              <w:t xml:space="preserve"> </w:t>
            </w:r>
            <w:r>
              <w:rPr>
                <w:rFonts w:ascii="Times New Roman"/>
              </w:rPr>
              <w:t>ITT</w:t>
            </w:r>
            <w:r>
              <w:rPr>
                <w:rFonts w:ascii="Times New Roman"/>
                <w:spacing w:val="-4"/>
              </w:rPr>
              <w:t xml:space="preserve"> </w:t>
            </w:r>
            <w:r>
              <w:rPr>
                <w:rFonts w:ascii="Times New Roman"/>
                <w:spacing w:val="-5"/>
              </w:rPr>
              <w:t>3.6</w:t>
            </w:r>
          </w:p>
        </w:tc>
        <w:tc>
          <w:tcPr>
            <w:tcW w:w="2979" w:type="dxa"/>
          </w:tcPr>
          <w:p w:rsidR="007F6DF9" w:rsidRDefault="00A43FBC">
            <w:pPr>
              <w:pStyle w:val="TableParagraph"/>
              <w:spacing w:line="252" w:lineRule="exact"/>
              <w:ind w:left="108"/>
              <w:rPr>
                <w:rFonts w:ascii="Times New Roman" w:hAnsi="Times New Roman"/>
              </w:rPr>
            </w:pPr>
            <w:r>
              <w:rPr>
                <w:rFonts w:ascii="Times New Roman" w:hAnsi="Times New Roman"/>
              </w:rPr>
              <w:t>Forms</w:t>
            </w:r>
            <w:r>
              <w:rPr>
                <w:rFonts w:ascii="Times New Roman" w:hAnsi="Times New Roman"/>
                <w:spacing w:val="-6"/>
              </w:rPr>
              <w:t xml:space="preserve"> </w:t>
            </w:r>
            <w:r>
              <w:rPr>
                <w:rFonts w:ascii="Times New Roman" w:hAnsi="Times New Roman"/>
              </w:rPr>
              <w:t>ELI</w:t>
            </w:r>
            <w:r>
              <w:rPr>
                <w:rFonts w:ascii="Times New Roman" w:hAnsi="Times New Roman"/>
                <w:spacing w:val="-8"/>
              </w:rPr>
              <w:t xml:space="preserve"> </w:t>
            </w:r>
            <w:r>
              <w:rPr>
                <w:rFonts w:ascii="Times New Roman" w:hAnsi="Times New Roman"/>
              </w:rPr>
              <w:t>–</w:t>
            </w:r>
            <w:r>
              <w:rPr>
                <w:rFonts w:ascii="Times New Roman" w:hAnsi="Times New Roman"/>
                <w:spacing w:val="-6"/>
              </w:rPr>
              <w:t xml:space="preserve"> </w:t>
            </w:r>
            <w:r>
              <w:rPr>
                <w:rFonts w:ascii="Times New Roman" w:hAnsi="Times New Roman"/>
              </w:rPr>
              <w:t>1.1</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1.2,</w:t>
            </w:r>
            <w:r>
              <w:rPr>
                <w:rFonts w:ascii="Times New Roman" w:hAnsi="Times New Roman"/>
                <w:spacing w:val="-6"/>
              </w:rPr>
              <w:t xml:space="preserve"> </w:t>
            </w:r>
            <w:r>
              <w:rPr>
                <w:rFonts w:ascii="Times New Roman" w:hAnsi="Times New Roman"/>
              </w:rPr>
              <w:t xml:space="preserve">with </w:t>
            </w:r>
            <w:r>
              <w:rPr>
                <w:rFonts w:ascii="Times New Roman" w:hAnsi="Times New Roman"/>
                <w:spacing w:val="-2"/>
              </w:rPr>
              <w:t>attachments</w:t>
            </w:r>
          </w:p>
        </w:tc>
        <w:tc>
          <w:tcPr>
            <w:tcW w:w="2549" w:type="dxa"/>
          </w:tcPr>
          <w:p w:rsidR="007F6DF9" w:rsidRDefault="007F6DF9">
            <w:pPr>
              <w:pStyle w:val="TableParagraph"/>
              <w:rPr>
                <w:rFonts w:ascii="Times New Roman"/>
                <w:sz w:val="20"/>
              </w:rPr>
            </w:pPr>
          </w:p>
        </w:tc>
      </w:tr>
      <w:tr w:rsidR="007F6DF9">
        <w:trPr>
          <w:trHeight w:val="757"/>
        </w:trPr>
        <w:tc>
          <w:tcPr>
            <w:tcW w:w="698" w:type="dxa"/>
            <w:tcBorders>
              <w:left w:val="nil"/>
            </w:tcBorders>
          </w:tcPr>
          <w:p w:rsidR="007F6DF9" w:rsidRDefault="00A43FBC">
            <w:pPr>
              <w:pStyle w:val="TableParagraph"/>
              <w:spacing w:line="251" w:lineRule="exact"/>
              <w:ind w:left="107"/>
              <w:rPr>
                <w:rFonts w:ascii="Times New Roman"/>
              </w:rPr>
            </w:pPr>
            <w:r>
              <w:rPr>
                <w:rFonts w:ascii="Times New Roman"/>
                <w:spacing w:val="-10"/>
              </w:rPr>
              <w:t>2</w:t>
            </w:r>
          </w:p>
        </w:tc>
        <w:tc>
          <w:tcPr>
            <w:tcW w:w="2554" w:type="dxa"/>
          </w:tcPr>
          <w:p w:rsidR="007F6DF9" w:rsidRDefault="00A43FBC">
            <w:pPr>
              <w:pStyle w:val="TableParagraph"/>
              <w:ind w:left="108" w:right="532"/>
              <w:rPr>
                <w:rFonts w:ascii="Times New Roman"/>
              </w:rPr>
            </w:pPr>
            <w:r>
              <w:rPr>
                <w:rFonts w:ascii="Times New Roman"/>
              </w:rPr>
              <w:t>Tax</w:t>
            </w:r>
            <w:r>
              <w:rPr>
                <w:rFonts w:ascii="Times New Roman"/>
                <w:spacing w:val="-14"/>
              </w:rPr>
              <w:t xml:space="preserve"> </w:t>
            </w:r>
            <w:r>
              <w:rPr>
                <w:rFonts w:ascii="Times New Roman"/>
              </w:rPr>
              <w:t>Obligations</w:t>
            </w:r>
            <w:r>
              <w:rPr>
                <w:rFonts w:ascii="Times New Roman"/>
                <w:spacing w:val="-14"/>
              </w:rPr>
              <w:t xml:space="preserve"> </w:t>
            </w:r>
            <w:r>
              <w:rPr>
                <w:rFonts w:ascii="Times New Roman"/>
              </w:rPr>
              <w:t>for Kenyan Tenderers</w:t>
            </w:r>
          </w:p>
        </w:tc>
        <w:tc>
          <w:tcPr>
            <w:tcW w:w="5528" w:type="dxa"/>
          </w:tcPr>
          <w:p w:rsidR="007F6DF9" w:rsidRDefault="00A43FBC">
            <w:pPr>
              <w:pStyle w:val="TableParagraph"/>
              <w:ind w:left="105"/>
              <w:rPr>
                <w:rFonts w:ascii="Times New Roman"/>
              </w:rPr>
            </w:pPr>
            <w:r>
              <w:rPr>
                <w:rFonts w:ascii="Times New Roman"/>
              </w:rPr>
              <w:t>Has produced a current tax clearance certificate or tax exemption</w:t>
            </w:r>
            <w:r>
              <w:rPr>
                <w:rFonts w:ascii="Times New Roman"/>
                <w:spacing w:val="-7"/>
              </w:rPr>
              <w:t xml:space="preserve"> </w:t>
            </w:r>
            <w:r>
              <w:rPr>
                <w:rFonts w:ascii="Times New Roman"/>
              </w:rPr>
              <w:t>certificate</w:t>
            </w:r>
            <w:r>
              <w:rPr>
                <w:rFonts w:ascii="Times New Roman"/>
                <w:spacing w:val="-7"/>
              </w:rPr>
              <w:t xml:space="preserve"> </w:t>
            </w:r>
            <w:r>
              <w:rPr>
                <w:rFonts w:ascii="Times New Roman"/>
              </w:rPr>
              <w:t>issued</w:t>
            </w:r>
            <w:r>
              <w:rPr>
                <w:rFonts w:ascii="Times New Roman"/>
                <w:spacing w:val="-7"/>
              </w:rPr>
              <w:t xml:space="preserve"> </w:t>
            </w:r>
            <w:r>
              <w:rPr>
                <w:rFonts w:ascii="Times New Roman"/>
              </w:rPr>
              <w:t>by</w:t>
            </w:r>
            <w:r>
              <w:rPr>
                <w:rFonts w:ascii="Times New Roman"/>
                <w:spacing w:val="-5"/>
              </w:rPr>
              <w:t xml:space="preserve"> </w:t>
            </w:r>
            <w:r>
              <w:rPr>
                <w:rFonts w:ascii="Times New Roman"/>
              </w:rPr>
              <w:t>Kenya</w:t>
            </w:r>
            <w:r>
              <w:rPr>
                <w:rFonts w:ascii="Times New Roman"/>
                <w:spacing w:val="-7"/>
              </w:rPr>
              <w:t xml:space="preserve"> </w:t>
            </w:r>
            <w:r>
              <w:rPr>
                <w:rFonts w:ascii="Times New Roman"/>
              </w:rPr>
              <w:t>Revenue</w:t>
            </w:r>
            <w:r>
              <w:rPr>
                <w:rFonts w:ascii="Times New Roman"/>
                <w:spacing w:val="-7"/>
              </w:rPr>
              <w:t xml:space="preserve"> </w:t>
            </w:r>
            <w:r>
              <w:rPr>
                <w:rFonts w:ascii="Times New Roman"/>
              </w:rPr>
              <w:t>Authority</w:t>
            </w:r>
          </w:p>
          <w:p w:rsidR="007F6DF9" w:rsidRDefault="00A43FBC">
            <w:pPr>
              <w:pStyle w:val="TableParagraph"/>
              <w:spacing w:line="233" w:lineRule="exact"/>
              <w:ind w:left="105"/>
              <w:rPr>
                <w:rFonts w:ascii="Times New Roman"/>
              </w:rPr>
            </w:pPr>
            <w:r>
              <w:rPr>
                <w:rFonts w:ascii="Times New Roman"/>
              </w:rPr>
              <w:t>in</w:t>
            </w:r>
            <w:r>
              <w:rPr>
                <w:rFonts w:ascii="Times New Roman"/>
                <w:spacing w:val="-5"/>
              </w:rPr>
              <w:t xml:space="preserve"> </w:t>
            </w:r>
            <w:r>
              <w:rPr>
                <w:rFonts w:ascii="Times New Roman"/>
              </w:rPr>
              <w:t>accordance</w:t>
            </w:r>
            <w:r>
              <w:rPr>
                <w:rFonts w:ascii="Times New Roman"/>
                <w:spacing w:val="-3"/>
              </w:rPr>
              <w:t xml:space="preserve"> </w:t>
            </w:r>
            <w:r>
              <w:rPr>
                <w:rFonts w:ascii="Times New Roman"/>
              </w:rPr>
              <w:t>with</w:t>
            </w:r>
            <w:r>
              <w:rPr>
                <w:rFonts w:ascii="Times New Roman"/>
                <w:spacing w:val="-2"/>
              </w:rPr>
              <w:t xml:space="preserve"> </w:t>
            </w:r>
            <w:r>
              <w:rPr>
                <w:rFonts w:ascii="Times New Roman"/>
              </w:rPr>
              <w:t>ITT</w:t>
            </w:r>
            <w:r>
              <w:rPr>
                <w:rFonts w:ascii="Times New Roman"/>
                <w:spacing w:val="-3"/>
              </w:rPr>
              <w:t xml:space="preserve"> </w:t>
            </w:r>
            <w:r>
              <w:rPr>
                <w:rFonts w:ascii="Times New Roman"/>
                <w:spacing w:val="-4"/>
              </w:rPr>
              <w:t>3.14.</w:t>
            </w:r>
          </w:p>
        </w:tc>
        <w:tc>
          <w:tcPr>
            <w:tcW w:w="2979" w:type="dxa"/>
          </w:tcPr>
          <w:p w:rsidR="007F6DF9" w:rsidRDefault="00A43FBC">
            <w:pPr>
              <w:pStyle w:val="TableParagraph"/>
              <w:spacing w:line="251" w:lineRule="exact"/>
              <w:ind w:left="108"/>
              <w:rPr>
                <w:rFonts w:ascii="Times New Roman"/>
              </w:rPr>
            </w:pPr>
            <w:r>
              <w:rPr>
                <w:rFonts w:ascii="Times New Roman"/>
                <w:spacing w:val="-2"/>
              </w:rPr>
              <w:t>Attachment</w:t>
            </w:r>
          </w:p>
        </w:tc>
        <w:tc>
          <w:tcPr>
            <w:tcW w:w="2549" w:type="dxa"/>
          </w:tcPr>
          <w:p w:rsidR="007F6DF9" w:rsidRDefault="007F6DF9">
            <w:pPr>
              <w:pStyle w:val="TableParagraph"/>
              <w:rPr>
                <w:rFonts w:ascii="Times New Roman"/>
                <w:sz w:val="20"/>
              </w:rPr>
            </w:pPr>
          </w:p>
        </w:tc>
      </w:tr>
      <w:tr w:rsidR="007F6DF9">
        <w:trPr>
          <w:trHeight w:val="253"/>
        </w:trPr>
        <w:tc>
          <w:tcPr>
            <w:tcW w:w="698" w:type="dxa"/>
            <w:tcBorders>
              <w:left w:val="nil"/>
            </w:tcBorders>
          </w:tcPr>
          <w:p w:rsidR="007F6DF9" w:rsidRDefault="00A43FBC">
            <w:pPr>
              <w:pStyle w:val="TableParagraph"/>
              <w:spacing w:line="234" w:lineRule="exact"/>
              <w:ind w:left="107"/>
              <w:rPr>
                <w:rFonts w:ascii="Times New Roman"/>
              </w:rPr>
            </w:pPr>
            <w:r>
              <w:rPr>
                <w:rFonts w:ascii="Times New Roman"/>
                <w:spacing w:val="-10"/>
              </w:rPr>
              <w:t>3</w:t>
            </w:r>
          </w:p>
        </w:tc>
        <w:tc>
          <w:tcPr>
            <w:tcW w:w="2554" w:type="dxa"/>
          </w:tcPr>
          <w:p w:rsidR="007F6DF9" w:rsidRDefault="00A43FBC">
            <w:pPr>
              <w:pStyle w:val="TableParagraph"/>
              <w:spacing w:line="234" w:lineRule="exact"/>
              <w:ind w:left="108"/>
              <w:rPr>
                <w:rFonts w:ascii="Times New Roman"/>
              </w:rPr>
            </w:pPr>
            <w:r>
              <w:rPr>
                <w:rFonts w:ascii="Times New Roman"/>
              </w:rPr>
              <w:t>Conflict</w:t>
            </w:r>
            <w:r>
              <w:rPr>
                <w:rFonts w:ascii="Times New Roman"/>
                <w:spacing w:val="-2"/>
              </w:rPr>
              <w:t xml:space="preserve"> </w:t>
            </w:r>
            <w:r>
              <w:rPr>
                <w:rFonts w:ascii="Times New Roman"/>
              </w:rPr>
              <w:t>of</w:t>
            </w:r>
            <w:r>
              <w:rPr>
                <w:rFonts w:ascii="Times New Roman"/>
                <w:spacing w:val="-2"/>
              </w:rPr>
              <w:t xml:space="preserve"> Interest</w:t>
            </w:r>
          </w:p>
        </w:tc>
        <w:tc>
          <w:tcPr>
            <w:tcW w:w="5528" w:type="dxa"/>
          </w:tcPr>
          <w:p w:rsidR="007F6DF9" w:rsidRDefault="00A43FBC">
            <w:pPr>
              <w:pStyle w:val="TableParagraph"/>
              <w:spacing w:line="234" w:lineRule="exact"/>
              <w:ind w:left="105"/>
              <w:rPr>
                <w:rFonts w:ascii="Times New Roman"/>
              </w:rPr>
            </w:pPr>
            <w:r>
              <w:rPr>
                <w:rFonts w:ascii="Times New Roman"/>
              </w:rPr>
              <w:t>No</w:t>
            </w:r>
            <w:r>
              <w:rPr>
                <w:rFonts w:ascii="Times New Roman"/>
                <w:spacing w:val="-3"/>
              </w:rPr>
              <w:t xml:space="preserve"> </w:t>
            </w:r>
            <w:r>
              <w:rPr>
                <w:rFonts w:ascii="Times New Roman"/>
              </w:rPr>
              <w:t>conflicts</w:t>
            </w:r>
            <w:r>
              <w:rPr>
                <w:rFonts w:ascii="Times New Roman"/>
                <w:spacing w:val="-4"/>
              </w:rPr>
              <w:t xml:space="preserve"> </w:t>
            </w:r>
            <w:r>
              <w:rPr>
                <w:rFonts w:ascii="Times New Roman"/>
              </w:rPr>
              <w:t>of</w:t>
            </w:r>
            <w:r>
              <w:rPr>
                <w:rFonts w:ascii="Times New Roman"/>
                <w:spacing w:val="-4"/>
              </w:rPr>
              <w:t xml:space="preserve"> </w:t>
            </w:r>
            <w:r>
              <w:rPr>
                <w:rFonts w:ascii="Times New Roman"/>
              </w:rPr>
              <w:t>interest</w:t>
            </w:r>
            <w:r>
              <w:rPr>
                <w:rFonts w:ascii="Times New Roman"/>
                <w:spacing w:val="-3"/>
              </w:rPr>
              <w:t xml:space="preserve"> </w:t>
            </w:r>
            <w:r>
              <w:rPr>
                <w:rFonts w:ascii="Times New Roman"/>
              </w:rPr>
              <w:t>in</w:t>
            </w:r>
            <w:r>
              <w:rPr>
                <w:rFonts w:ascii="Times New Roman"/>
                <w:spacing w:val="-5"/>
              </w:rPr>
              <w:t xml:space="preserve"> </w:t>
            </w:r>
            <w:r>
              <w:rPr>
                <w:rFonts w:ascii="Times New Roman"/>
              </w:rPr>
              <w:t>accordance</w:t>
            </w:r>
            <w:r>
              <w:rPr>
                <w:rFonts w:ascii="Times New Roman"/>
                <w:spacing w:val="-2"/>
              </w:rPr>
              <w:t xml:space="preserve"> </w:t>
            </w:r>
            <w:r>
              <w:rPr>
                <w:rFonts w:ascii="Times New Roman"/>
              </w:rPr>
              <w:t>with</w:t>
            </w:r>
            <w:r>
              <w:rPr>
                <w:rFonts w:ascii="Times New Roman"/>
                <w:spacing w:val="-2"/>
              </w:rPr>
              <w:t xml:space="preserve"> </w:t>
            </w:r>
            <w:r>
              <w:rPr>
                <w:rFonts w:ascii="Times New Roman"/>
              </w:rPr>
              <w:t>ITT</w:t>
            </w:r>
            <w:r>
              <w:rPr>
                <w:rFonts w:ascii="Times New Roman"/>
                <w:spacing w:val="50"/>
              </w:rPr>
              <w:t xml:space="preserve"> </w:t>
            </w:r>
            <w:r>
              <w:rPr>
                <w:rFonts w:ascii="Times New Roman"/>
                <w:spacing w:val="-5"/>
              </w:rPr>
              <w:t>3.3</w:t>
            </w:r>
          </w:p>
        </w:tc>
        <w:tc>
          <w:tcPr>
            <w:tcW w:w="2979" w:type="dxa"/>
          </w:tcPr>
          <w:p w:rsidR="007F6DF9" w:rsidRDefault="00A43FBC">
            <w:pPr>
              <w:pStyle w:val="TableParagraph"/>
              <w:spacing w:line="234" w:lineRule="exact"/>
              <w:ind w:left="108"/>
              <w:rPr>
                <w:rFonts w:ascii="Times New Roman"/>
              </w:rPr>
            </w:pPr>
            <w:r>
              <w:rPr>
                <w:rFonts w:ascii="Times New Roman"/>
              </w:rPr>
              <w:t>Form</w:t>
            </w:r>
            <w:r>
              <w:rPr>
                <w:rFonts w:ascii="Times New Roman"/>
                <w:spacing w:val="-1"/>
              </w:rPr>
              <w:t xml:space="preserve"> </w:t>
            </w:r>
            <w:r>
              <w:rPr>
                <w:rFonts w:ascii="Times New Roman"/>
              </w:rPr>
              <w:t xml:space="preserve">of </w:t>
            </w:r>
            <w:r>
              <w:rPr>
                <w:rFonts w:ascii="Times New Roman"/>
                <w:spacing w:val="-2"/>
              </w:rPr>
              <w:t>Tender</w:t>
            </w:r>
          </w:p>
        </w:tc>
        <w:tc>
          <w:tcPr>
            <w:tcW w:w="2549" w:type="dxa"/>
          </w:tcPr>
          <w:p w:rsidR="007F6DF9" w:rsidRDefault="007F6DF9">
            <w:pPr>
              <w:pStyle w:val="TableParagraph"/>
              <w:rPr>
                <w:rFonts w:ascii="Times New Roman"/>
                <w:sz w:val="18"/>
              </w:rPr>
            </w:pPr>
          </w:p>
        </w:tc>
      </w:tr>
      <w:tr w:rsidR="007F6DF9">
        <w:trPr>
          <w:trHeight w:val="506"/>
        </w:trPr>
        <w:tc>
          <w:tcPr>
            <w:tcW w:w="698" w:type="dxa"/>
            <w:tcBorders>
              <w:left w:val="nil"/>
            </w:tcBorders>
          </w:tcPr>
          <w:p w:rsidR="007F6DF9" w:rsidRDefault="00A43FBC">
            <w:pPr>
              <w:pStyle w:val="TableParagraph"/>
              <w:spacing w:line="252" w:lineRule="exact"/>
              <w:ind w:left="107"/>
              <w:rPr>
                <w:rFonts w:ascii="Times New Roman"/>
              </w:rPr>
            </w:pPr>
            <w:r>
              <w:rPr>
                <w:rFonts w:ascii="Times New Roman"/>
                <w:spacing w:val="-10"/>
              </w:rPr>
              <w:t>4</w:t>
            </w:r>
          </w:p>
        </w:tc>
        <w:tc>
          <w:tcPr>
            <w:tcW w:w="2554" w:type="dxa"/>
          </w:tcPr>
          <w:p w:rsidR="007F6DF9" w:rsidRDefault="00A43FBC">
            <w:pPr>
              <w:pStyle w:val="TableParagraph"/>
              <w:spacing w:line="252" w:lineRule="exact"/>
              <w:ind w:left="108"/>
              <w:rPr>
                <w:rFonts w:ascii="Times New Roman"/>
              </w:rPr>
            </w:pPr>
            <w:r>
              <w:rPr>
                <w:rFonts w:ascii="Times New Roman"/>
              </w:rPr>
              <w:t>PPRA</w:t>
            </w:r>
            <w:r>
              <w:rPr>
                <w:rFonts w:ascii="Times New Roman"/>
                <w:spacing w:val="-5"/>
              </w:rPr>
              <w:t xml:space="preserve"> </w:t>
            </w:r>
            <w:r>
              <w:rPr>
                <w:rFonts w:ascii="Times New Roman"/>
                <w:spacing w:val="-2"/>
              </w:rPr>
              <w:t>Eligibility</w:t>
            </w:r>
          </w:p>
        </w:tc>
        <w:tc>
          <w:tcPr>
            <w:tcW w:w="5528" w:type="dxa"/>
          </w:tcPr>
          <w:p w:rsidR="007F6DF9" w:rsidRDefault="00A43FBC">
            <w:pPr>
              <w:pStyle w:val="TableParagraph"/>
              <w:spacing w:line="252" w:lineRule="exact"/>
              <w:ind w:left="105" w:right="165"/>
              <w:rPr>
                <w:rFonts w:ascii="Times New Roman"/>
              </w:rPr>
            </w:pPr>
            <w:r>
              <w:rPr>
                <w:rFonts w:ascii="Times New Roman"/>
              </w:rPr>
              <w:t>Not</w:t>
            </w:r>
            <w:r>
              <w:rPr>
                <w:rFonts w:ascii="Times New Roman"/>
                <w:spacing w:val="-4"/>
              </w:rPr>
              <w:t xml:space="preserve"> </w:t>
            </w:r>
            <w:r>
              <w:rPr>
                <w:rFonts w:ascii="Times New Roman"/>
              </w:rPr>
              <w:t>having</w:t>
            </w:r>
            <w:r>
              <w:rPr>
                <w:rFonts w:ascii="Times New Roman"/>
                <w:spacing w:val="-5"/>
              </w:rPr>
              <w:t xml:space="preserve"> </w:t>
            </w:r>
            <w:r>
              <w:rPr>
                <w:rFonts w:ascii="Times New Roman"/>
              </w:rPr>
              <w:t>been</w:t>
            </w:r>
            <w:r>
              <w:rPr>
                <w:rFonts w:ascii="Times New Roman"/>
                <w:spacing w:val="-5"/>
              </w:rPr>
              <w:t xml:space="preserve"> </w:t>
            </w:r>
            <w:r>
              <w:rPr>
                <w:rFonts w:ascii="Times New Roman"/>
              </w:rPr>
              <w:t>declared</w:t>
            </w:r>
            <w:r>
              <w:rPr>
                <w:rFonts w:ascii="Times New Roman"/>
                <w:spacing w:val="-5"/>
              </w:rPr>
              <w:t xml:space="preserve"> </w:t>
            </w:r>
            <w:r>
              <w:rPr>
                <w:rFonts w:ascii="Times New Roman"/>
              </w:rPr>
              <w:t>ineligible</w:t>
            </w:r>
            <w:r>
              <w:rPr>
                <w:rFonts w:ascii="Times New Roman"/>
                <w:spacing w:val="-5"/>
              </w:rPr>
              <w:t xml:space="preserve"> </w:t>
            </w:r>
            <w:r>
              <w:rPr>
                <w:rFonts w:ascii="Times New Roman"/>
              </w:rPr>
              <w:t>by</w:t>
            </w:r>
            <w:r>
              <w:rPr>
                <w:rFonts w:ascii="Times New Roman"/>
                <w:spacing w:val="-5"/>
              </w:rPr>
              <w:t xml:space="preserve"> </w:t>
            </w:r>
            <w:r>
              <w:rPr>
                <w:rFonts w:ascii="Times New Roman"/>
              </w:rPr>
              <w:t>the</w:t>
            </w:r>
            <w:r>
              <w:rPr>
                <w:rFonts w:ascii="Times New Roman"/>
                <w:spacing w:val="-5"/>
              </w:rPr>
              <w:t xml:space="preserve"> </w:t>
            </w:r>
            <w:r>
              <w:rPr>
                <w:rFonts w:ascii="Times New Roman"/>
              </w:rPr>
              <w:t>PPRA</w:t>
            </w:r>
            <w:r>
              <w:rPr>
                <w:rFonts w:ascii="Times New Roman"/>
                <w:spacing w:val="-6"/>
              </w:rPr>
              <w:t xml:space="preserve"> </w:t>
            </w:r>
            <w:r>
              <w:rPr>
                <w:rFonts w:ascii="Times New Roman"/>
              </w:rPr>
              <w:t>as described in ITT 3.7</w:t>
            </w:r>
          </w:p>
        </w:tc>
        <w:tc>
          <w:tcPr>
            <w:tcW w:w="2979" w:type="dxa"/>
          </w:tcPr>
          <w:p w:rsidR="007F6DF9" w:rsidRDefault="00A43FBC">
            <w:pPr>
              <w:pStyle w:val="TableParagraph"/>
              <w:spacing w:line="252" w:lineRule="exact"/>
              <w:ind w:left="108"/>
              <w:rPr>
                <w:rFonts w:ascii="Times New Roman"/>
              </w:rPr>
            </w:pPr>
            <w:r>
              <w:rPr>
                <w:rFonts w:ascii="Times New Roman"/>
              </w:rPr>
              <w:t>Form</w:t>
            </w:r>
            <w:r>
              <w:rPr>
                <w:rFonts w:ascii="Times New Roman"/>
                <w:spacing w:val="-1"/>
              </w:rPr>
              <w:t xml:space="preserve"> </w:t>
            </w:r>
            <w:r>
              <w:rPr>
                <w:rFonts w:ascii="Times New Roman"/>
              </w:rPr>
              <w:t xml:space="preserve">of </w:t>
            </w:r>
            <w:r>
              <w:rPr>
                <w:rFonts w:ascii="Times New Roman"/>
                <w:spacing w:val="-2"/>
              </w:rPr>
              <w:t>Tender</w:t>
            </w:r>
          </w:p>
        </w:tc>
        <w:tc>
          <w:tcPr>
            <w:tcW w:w="2549" w:type="dxa"/>
          </w:tcPr>
          <w:p w:rsidR="007F6DF9" w:rsidRDefault="007F6DF9">
            <w:pPr>
              <w:pStyle w:val="TableParagraph"/>
              <w:rPr>
                <w:rFonts w:ascii="Times New Roman"/>
                <w:sz w:val="20"/>
              </w:rPr>
            </w:pPr>
          </w:p>
        </w:tc>
      </w:tr>
      <w:tr w:rsidR="007F6DF9">
        <w:trPr>
          <w:trHeight w:val="506"/>
        </w:trPr>
        <w:tc>
          <w:tcPr>
            <w:tcW w:w="698" w:type="dxa"/>
            <w:tcBorders>
              <w:left w:val="nil"/>
            </w:tcBorders>
          </w:tcPr>
          <w:p w:rsidR="007F6DF9" w:rsidRDefault="00A43FBC">
            <w:pPr>
              <w:pStyle w:val="TableParagraph"/>
              <w:spacing w:line="251" w:lineRule="exact"/>
              <w:ind w:left="107"/>
              <w:rPr>
                <w:rFonts w:ascii="Times New Roman"/>
              </w:rPr>
            </w:pPr>
            <w:r>
              <w:rPr>
                <w:rFonts w:ascii="Times New Roman"/>
                <w:spacing w:val="-10"/>
              </w:rPr>
              <w:t>5</w:t>
            </w:r>
          </w:p>
        </w:tc>
        <w:tc>
          <w:tcPr>
            <w:tcW w:w="2554" w:type="dxa"/>
          </w:tcPr>
          <w:p w:rsidR="007F6DF9" w:rsidRDefault="00A43FBC">
            <w:pPr>
              <w:pStyle w:val="TableParagraph"/>
              <w:spacing w:line="251" w:lineRule="exact"/>
              <w:ind w:left="108"/>
              <w:rPr>
                <w:rFonts w:ascii="Times New Roman"/>
              </w:rPr>
            </w:pPr>
            <w:r>
              <w:rPr>
                <w:rFonts w:ascii="Times New Roman"/>
              </w:rPr>
              <w:t>State-</w:t>
            </w:r>
            <w:r>
              <w:rPr>
                <w:rFonts w:ascii="Times New Roman"/>
                <w:spacing w:val="-4"/>
              </w:rPr>
              <w:t xml:space="preserve"> </w:t>
            </w:r>
            <w:r>
              <w:rPr>
                <w:rFonts w:ascii="Times New Roman"/>
              </w:rPr>
              <w:t>owned</w:t>
            </w:r>
            <w:r>
              <w:rPr>
                <w:rFonts w:ascii="Times New Roman"/>
                <w:spacing w:val="-1"/>
              </w:rPr>
              <w:t xml:space="preserve"> </w:t>
            </w:r>
            <w:r>
              <w:rPr>
                <w:rFonts w:ascii="Times New Roman"/>
                <w:spacing w:val="-2"/>
              </w:rPr>
              <w:t>Enterprise</w:t>
            </w:r>
          </w:p>
        </w:tc>
        <w:tc>
          <w:tcPr>
            <w:tcW w:w="5528" w:type="dxa"/>
          </w:tcPr>
          <w:p w:rsidR="007F6DF9" w:rsidRDefault="00A43FBC">
            <w:pPr>
              <w:pStyle w:val="TableParagraph"/>
              <w:spacing w:line="251" w:lineRule="exact"/>
              <w:ind w:left="105"/>
              <w:rPr>
                <w:rFonts w:ascii="Times New Roman"/>
              </w:rPr>
            </w:pPr>
            <w:r>
              <w:rPr>
                <w:rFonts w:ascii="Times New Roman"/>
              </w:rPr>
              <w:t>Meets</w:t>
            </w:r>
            <w:r>
              <w:rPr>
                <w:rFonts w:ascii="Times New Roman"/>
                <w:spacing w:val="-4"/>
              </w:rPr>
              <w:t xml:space="preserve"> </w:t>
            </w:r>
            <w:r>
              <w:rPr>
                <w:rFonts w:ascii="Times New Roman"/>
              </w:rPr>
              <w:t>conditions</w:t>
            </w:r>
            <w:r>
              <w:rPr>
                <w:rFonts w:ascii="Times New Roman"/>
                <w:spacing w:val="-3"/>
              </w:rPr>
              <w:t xml:space="preserve"> </w:t>
            </w:r>
            <w:r>
              <w:rPr>
                <w:rFonts w:ascii="Times New Roman"/>
              </w:rPr>
              <w:t>of</w:t>
            </w:r>
            <w:r>
              <w:rPr>
                <w:rFonts w:ascii="Times New Roman"/>
                <w:spacing w:val="-3"/>
              </w:rPr>
              <w:t xml:space="preserve"> </w:t>
            </w:r>
            <w:r>
              <w:rPr>
                <w:rFonts w:ascii="Times New Roman"/>
              </w:rPr>
              <w:t>ITT</w:t>
            </w:r>
            <w:r>
              <w:rPr>
                <w:rFonts w:ascii="Times New Roman"/>
                <w:spacing w:val="-3"/>
              </w:rPr>
              <w:t xml:space="preserve"> </w:t>
            </w:r>
            <w:r>
              <w:rPr>
                <w:rFonts w:ascii="Times New Roman"/>
                <w:spacing w:val="-5"/>
              </w:rPr>
              <w:t>3.8</w:t>
            </w:r>
          </w:p>
        </w:tc>
        <w:tc>
          <w:tcPr>
            <w:tcW w:w="2979" w:type="dxa"/>
          </w:tcPr>
          <w:p w:rsidR="007F6DF9" w:rsidRDefault="00A43FBC">
            <w:pPr>
              <w:pStyle w:val="TableParagraph"/>
              <w:spacing w:line="252" w:lineRule="exact"/>
              <w:ind w:left="108"/>
              <w:rPr>
                <w:rFonts w:ascii="Times New Roman" w:hAnsi="Times New Roman"/>
              </w:rPr>
            </w:pPr>
            <w:r>
              <w:rPr>
                <w:rFonts w:ascii="Times New Roman" w:hAnsi="Times New Roman"/>
              </w:rPr>
              <w:t>Forms</w:t>
            </w:r>
            <w:r>
              <w:rPr>
                <w:rFonts w:ascii="Times New Roman" w:hAnsi="Times New Roman"/>
                <w:spacing w:val="-6"/>
              </w:rPr>
              <w:t xml:space="preserve"> </w:t>
            </w:r>
            <w:r>
              <w:rPr>
                <w:rFonts w:ascii="Times New Roman" w:hAnsi="Times New Roman"/>
              </w:rPr>
              <w:t>ELI</w:t>
            </w:r>
            <w:r>
              <w:rPr>
                <w:rFonts w:ascii="Times New Roman" w:hAnsi="Times New Roman"/>
                <w:spacing w:val="-8"/>
              </w:rPr>
              <w:t xml:space="preserve"> </w:t>
            </w:r>
            <w:r>
              <w:rPr>
                <w:rFonts w:ascii="Times New Roman" w:hAnsi="Times New Roman"/>
              </w:rPr>
              <w:t>–</w:t>
            </w:r>
            <w:r>
              <w:rPr>
                <w:rFonts w:ascii="Times New Roman" w:hAnsi="Times New Roman"/>
                <w:spacing w:val="-6"/>
              </w:rPr>
              <w:t xml:space="preserve"> </w:t>
            </w:r>
            <w:r>
              <w:rPr>
                <w:rFonts w:ascii="Times New Roman" w:hAnsi="Times New Roman"/>
              </w:rPr>
              <w:t>1.1</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1.2,</w:t>
            </w:r>
            <w:r>
              <w:rPr>
                <w:rFonts w:ascii="Times New Roman" w:hAnsi="Times New Roman"/>
                <w:spacing w:val="-6"/>
              </w:rPr>
              <w:t xml:space="preserve"> </w:t>
            </w:r>
            <w:r>
              <w:rPr>
                <w:rFonts w:ascii="Times New Roman" w:hAnsi="Times New Roman"/>
              </w:rPr>
              <w:t xml:space="preserve">with </w:t>
            </w:r>
            <w:r>
              <w:rPr>
                <w:rFonts w:ascii="Times New Roman" w:hAnsi="Times New Roman"/>
                <w:spacing w:val="-2"/>
              </w:rPr>
              <w:t>attachments</w:t>
            </w:r>
          </w:p>
        </w:tc>
        <w:tc>
          <w:tcPr>
            <w:tcW w:w="2549" w:type="dxa"/>
          </w:tcPr>
          <w:p w:rsidR="007F6DF9" w:rsidRDefault="007F6DF9">
            <w:pPr>
              <w:pStyle w:val="TableParagraph"/>
              <w:rPr>
                <w:rFonts w:ascii="Times New Roman"/>
                <w:sz w:val="20"/>
              </w:rPr>
            </w:pPr>
          </w:p>
        </w:tc>
      </w:tr>
      <w:tr w:rsidR="007F6DF9">
        <w:trPr>
          <w:trHeight w:val="757"/>
        </w:trPr>
        <w:tc>
          <w:tcPr>
            <w:tcW w:w="698" w:type="dxa"/>
            <w:tcBorders>
              <w:left w:val="nil"/>
            </w:tcBorders>
          </w:tcPr>
          <w:p w:rsidR="007F6DF9" w:rsidRDefault="00A43FBC">
            <w:pPr>
              <w:pStyle w:val="TableParagraph"/>
              <w:spacing w:line="251" w:lineRule="exact"/>
              <w:ind w:left="107"/>
              <w:rPr>
                <w:rFonts w:ascii="Times New Roman"/>
              </w:rPr>
            </w:pPr>
            <w:r>
              <w:rPr>
                <w:rFonts w:ascii="Times New Roman"/>
                <w:spacing w:val="-10"/>
              </w:rPr>
              <w:t>6</w:t>
            </w:r>
          </w:p>
        </w:tc>
        <w:tc>
          <w:tcPr>
            <w:tcW w:w="2554" w:type="dxa"/>
          </w:tcPr>
          <w:p w:rsidR="007F6DF9" w:rsidRDefault="00A43FBC">
            <w:pPr>
              <w:pStyle w:val="TableParagraph"/>
              <w:ind w:left="108"/>
              <w:rPr>
                <w:rFonts w:ascii="Times New Roman"/>
              </w:rPr>
            </w:pPr>
            <w:r>
              <w:rPr>
                <w:rFonts w:ascii="Times New Roman"/>
              </w:rPr>
              <w:t>Goods,</w:t>
            </w:r>
            <w:r>
              <w:rPr>
                <w:rFonts w:ascii="Times New Roman"/>
                <w:spacing w:val="-13"/>
              </w:rPr>
              <w:t xml:space="preserve"> </w:t>
            </w:r>
            <w:r>
              <w:rPr>
                <w:rFonts w:ascii="Times New Roman"/>
              </w:rPr>
              <w:t>equipment</w:t>
            </w:r>
            <w:r>
              <w:rPr>
                <w:rFonts w:ascii="Times New Roman"/>
                <w:spacing w:val="-13"/>
              </w:rPr>
              <w:t xml:space="preserve"> </w:t>
            </w:r>
            <w:r>
              <w:rPr>
                <w:rFonts w:ascii="Times New Roman"/>
              </w:rPr>
              <w:t>and services</w:t>
            </w:r>
            <w:r>
              <w:rPr>
                <w:rFonts w:ascii="Times New Roman"/>
                <w:spacing w:val="-2"/>
              </w:rPr>
              <w:t xml:space="preserve"> </w:t>
            </w:r>
            <w:r>
              <w:rPr>
                <w:rFonts w:ascii="Times New Roman"/>
              </w:rPr>
              <w:t>to</w:t>
            </w:r>
            <w:r>
              <w:rPr>
                <w:rFonts w:ascii="Times New Roman"/>
                <w:spacing w:val="-2"/>
              </w:rPr>
              <w:t xml:space="preserve"> </w:t>
            </w:r>
            <w:r>
              <w:rPr>
                <w:rFonts w:ascii="Times New Roman"/>
              </w:rPr>
              <w:t>be</w:t>
            </w:r>
            <w:r>
              <w:rPr>
                <w:rFonts w:ascii="Times New Roman"/>
                <w:spacing w:val="-2"/>
              </w:rPr>
              <w:t xml:space="preserve"> supplied</w:t>
            </w:r>
          </w:p>
          <w:p w:rsidR="007F6DF9" w:rsidRDefault="00A43FBC">
            <w:pPr>
              <w:pStyle w:val="TableParagraph"/>
              <w:spacing w:line="233" w:lineRule="exact"/>
              <w:ind w:left="108"/>
              <w:rPr>
                <w:rFonts w:ascii="Times New Roman"/>
              </w:rPr>
            </w:pPr>
            <w:r>
              <w:rPr>
                <w:rFonts w:ascii="Times New Roman"/>
              </w:rPr>
              <w:t>under</w:t>
            </w:r>
            <w:r>
              <w:rPr>
                <w:rFonts w:ascii="Times New Roman"/>
                <w:spacing w:val="-2"/>
              </w:rPr>
              <w:t xml:space="preserve"> </w:t>
            </w:r>
            <w:r>
              <w:rPr>
                <w:rFonts w:ascii="Times New Roman"/>
              </w:rPr>
              <w:t>the</w:t>
            </w:r>
            <w:r>
              <w:rPr>
                <w:rFonts w:ascii="Times New Roman"/>
                <w:spacing w:val="-2"/>
              </w:rPr>
              <w:t xml:space="preserve"> contract</w:t>
            </w:r>
          </w:p>
        </w:tc>
        <w:tc>
          <w:tcPr>
            <w:tcW w:w="5528" w:type="dxa"/>
          </w:tcPr>
          <w:p w:rsidR="007F6DF9" w:rsidRDefault="00A43FBC">
            <w:pPr>
              <w:pStyle w:val="TableParagraph"/>
              <w:ind w:left="105"/>
              <w:rPr>
                <w:rFonts w:ascii="Times New Roman"/>
              </w:rPr>
            </w:pPr>
            <w:r>
              <w:rPr>
                <w:rFonts w:ascii="Times New Roman"/>
              </w:rPr>
              <w:t>To</w:t>
            </w:r>
            <w:r>
              <w:rPr>
                <w:rFonts w:ascii="Times New Roman"/>
                <w:spacing w:val="-3"/>
              </w:rPr>
              <w:t xml:space="preserve"> </w:t>
            </w:r>
            <w:r>
              <w:rPr>
                <w:rFonts w:ascii="Times New Roman"/>
              </w:rPr>
              <w:t>have</w:t>
            </w:r>
            <w:r>
              <w:rPr>
                <w:rFonts w:ascii="Times New Roman"/>
                <w:spacing w:val="-5"/>
              </w:rPr>
              <w:t xml:space="preserve"> </w:t>
            </w:r>
            <w:r>
              <w:rPr>
                <w:rFonts w:ascii="Times New Roman"/>
              </w:rPr>
              <w:t>their</w:t>
            </w:r>
            <w:r>
              <w:rPr>
                <w:rFonts w:ascii="Times New Roman"/>
                <w:spacing w:val="-5"/>
              </w:rPr>
              <w:t xml:space="preserve"> </w:t>
            </w:r>
            <w:r>
              <w:rPr>
                <w:rFonts w:ascii="Times New Roman"/>
              </w:rPr>
              <w:t>origin</w:t>
            </w:r>
            <w:r>
              <w:rPr>
                <w:rFonts w:ascii="Times New Roman"/>
                <w:spacing w:val="-6"/>
              </w:rPr>
              <w:t xml:space="preserve"> </w:t>
            </w:r>
            <w:r>
              <w:rPr>
                <w:rFonts w:ascii="Times New Roman"/>
              </w:rPr>
              <w:t>in</w:t>
            </w:r>
            <w:r>
              <w:rPr>
                <w:rFonts w:ascii="Times New Roman"/>
                <w:spacing w:val="-6"/>
              </w:rPr>
              <w:t xml:space="preserve"> </w:t>
            </w:r>
            <w:r>
              <w:rPr>
                <w:rFonts w:ascii="Times New Roman"/>
              </w:rPr>
              <w:t>any</w:t>
            </w:r>
            <w:r>
              <w:rPr>
                <w:rFonts w:ascii="Times New Roman"/>
                <w:spacing w:val="-5"/>
              </w:rPr>
              <w:t xml:space="preserve"> </w:t>
            </w:r>
            <w:r>
              <w:rPr>
                <w:rFonts w:ascii="Times New Roman"/>
              </w:rPr>
              <w:t>country</w:t>
            </w:r>
            <w:r>
              <w:rPr>
                <w:rFonts w:ascii="Times New Roman"/>
                <w:spacing w:val="-6"/>
              </w:rPr>
              <w:t xml:space="preserve"> </w:t>
            </w:r>
            <w:r>
              <w:rPr>
                <w:rFonts w:ascii="Times New Roman"/>
              </w:rPr>
              <w:t>that</w:t>
            </w:r>
            <w:r>
              <w:rPr>
                <w:rFonts w:ascii="Times New Roman"/>
                <w:spacing w:val="-2"/>
              </w:rPr>
              <w:t xml:space="preserve"> </w:t>
            </w:r>
            <w:r>
              <w:rPr>
                <w:rFonts w:ascii="Times New Roman"/>
              </w:rPr>
              <w:t>is</w:t>
            </w:r>
            <w:r>
              <w:rPr>
                <w:rFonts w:ascii="Times New Roman"/>
                <w:spacing w:val="-3"/>
              </w:rPr>
              <w:t xml:space="preserve"> </w:t>
            </w:r>
            <w:r>
              <w:rPr>
                <w:rFonts w:ascii="Times New Roman"/>
              </w:rPr>
              <w:t>not</w:t>
            </w:r>
            <w:r>
              <w:rPr>
                <w:rFonts w:ascii="Times New Roman"/>
                <w:spacing w:val="-4"/>
              </w:rPr>
              <w:t xml:space="preserve"> </w:t>
            </w:r>
            <w:r>
              <w:rPr>
                <w:rFonts w:ascii="Times New Roman"/>
              </w:rPr>
              <w:t>determined ineligible under ITT 4.1</w:t>
            </w:r>
          </w:p>
        </w:tc>
        <w:tc>
          <w:tcPr>
            <w:tcW w:w="2979" w:type="dxa"/>
          </w:tcPr>
          <w:p w:rsidR="007F6DF9" w:rsidRDefault="00A43FBC">
            <w:pPr>
              <w:pStyle w:val="TableParagraph"/>
              <w:ind w:left="108"/>
              <w:rPr>
                <w:rFonts w:ascii="Times New Roman" w:hAnsi="Times New Roman"/>
              </w:rPr>
            </w:pPr>
            <w:r>
              <w:rPr>
                <w:rFonts w:ascii="Times New Roman" w:hAnsi="Times New Roman"/>
              </w:rPr>
              <w:t>Forms</w:t>
            </w:r>
            <w:r>
              <w:rPr>
                <w:rFonts w:ascii="Times New Roman" w:hAnsi="Times New Roman"/>
                <w:spacing w:val="-6"/>
              </w:rPr>
              <w:t xml:space="preserve"> </w:t>
            </w:r>
            <w:r>
              <w:rPr>
                <w:rFonts w:ascii="Times New Roman" w:hAnsi="Times New Roman"/>
              </w:rPr>
              <w:t>ELI</w:t>
            </w:r>
            <w:r>
              <w:rPr>
                <w:rFonts w:ascii="Times New Roman" w:hAnsi="Times New Roman"/>
                <w:spacing w:val="-8"/>
              </w:rPr>
              <w:t xml:space="preserve"> </w:t>
            </w:r>
            <w:r>
              <w:rPr>
                <w:rFonts w:ascii="Times New Roman" w:hAnsi="Times New Roman"/>
              </w:rPr>
              <w:t>–</w:t>
            </w:r>
            <w:r>
              <w:rPr>
                <w:rFonts w:ascii="Times New Roman" w:hAnsi="Times New Roman"/>
                <w:spacing w:val="-6"/>
              </w:rPr>
              <w:t xml:space="preserve"> </w:t>
            </w:r>
            <w:r>
              <w:rPr>
                <w:rFonts w:ascii="Times New Roman" w:hAnsi="Times New Roman"/>
              </w:rPr>
              <w:t>1.1</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1.2,</w:t>
            </w:r>
            <w:r>
              <w:rPr>
                <w:rFonts w:ascii="Times New Roman" w:hAnsi="Times New Roman"/>
                <w:spacing w:val="-6"/>
              </w:rPr>
              <w:t xml:space="preserve"> </w:t>
            </w:r>
            <w:r>
              <w:rPr>
                <w:rFonts w:ascii="Times New Roman" w:hAnsi="Times New Roman"/>
              </w:rPr>
              <w:t xml:space="preserve">with </w:t>
            </w:r>
            <w:r>
              <w:rPr>
                <w:rFonts w:ascii="Times New Roman" w:hAnsi="Times New Roman"/>
                <w:spacing w:val="-2"/>
              </w:rPr>
              <w:t>attachments</w:t>
            </w:r>
          </w:p>
        </w:tc>
        <w:tc>
          <w:tcPr>
            <w:tcW w:w="2549" w:type="dxa"/>
          </w:tcPr>
          <w:p w:rsidR="007F6DF9" w:rsidRDefault="007F6DF9">
            <w:pPr>
              <w:pStyle w:val="TableParagraph"/>
              <w:rPr>
                <w:rFonts w:ascii="Times New Roman"/>
                <w:sz w:val="20"/>
              </w:rPr>
            </w:pPr>
          </w:p>
        </w:tc>
      </w:tr>
      <w:tr w:rsidR="007F6DF9">
        <w:trPr>
          <w:trHeight w:val="506"/>
        </w:trPr>
        <w:tc>
          <w:tcPr>
            <w:tcW w:w="698" w:type="dxa"/>
            <w:tcBorders>
              <w:left w:val="nil"/>
            </w:tcBorders>
          </w:tcPr>
          <w:p w:rsidR="007F6DF9" w:rsidRDefault="00A43FBC">
            <w:pPr>
              <w:pStyle w:val="TableParagraph"/>
              <w:spacing w:line="251" w:lineRule="exact"/>
              <w:ind w:left="107"/>
              <w:rPr>
                <w:rFonts w:ascii="Times New Roman"/>
              </w:rPr>
            </w:pPr>
            <w:r>
              <w:rPr>
                <w:rFonts w:ascii="Times New Roman"/>
                <w:spacing w:val="-10"/>
              </w:rPr>
              <w:t>7</w:t>
            </w:r>
          </w:p>
        </w:tc>
        <w:tc>
          <w:tcPr>
            <w:tcW w:w="2554" w:type="dxa"/>
          </w:tcPr>
          <w:p w:rsidR="007F6DF9" w:rsidRDefault="00A43FBC">
            <w:pPr>
              <w:pStyle w:val="TableParagraph"/>
              <w:spacing w:line="254" w:lineRule="exact"/>
              <w:ind w:left="108" w:right="532"/>
              <w:rPr>
                <w:rFonts w:ascii="Times New Roman"/>
              </w:rPr>
            </w:pPr>
            <w:r>
              <w:rPr>
                <w:rFonts w:ascii="Times New Roman"/>
              </w:rPr>
              <w:t>History of Non-Performing</w:t>
            </w:r>
            <w:r>
              <w:rPr>
                <w:rFonts w:ascii="Times New Roman"/>
                <w:spacing w:val="-14"/>
              </w:rPr>
              <w:t xml:space="preserve"> </w:t>
            </w:r>
            <w:r>
              <w:rPr>
                <w:rFonts w:ascii="Times New Roman"/>
              </w:rPr>
              <w:t>Contracts</w:t>
            </w:r>
          </w:p>
        </w:tc>
        <w:tc>
          <w:tcPr>
            <w:tcW w:w="5528" w:type="dxa"/>
          </w:tcPr>
          <w:p w:rsidR="007F6DF9" w:rsidRDefault="00A43FBC">
            <w:pPr>
              <w:pStyle w:val="TableParagraph"/>
              <w:spacing w:line="254" w:lineRule="exact"/>
              <w:ind w:left="105"/>
              <w:rPr>
                <w:rFonts w:ascii="Times New Roman" w:hAnsi="Times New Roman"/>
              </w:rPr>
            </w:pPr>
            <w:r>
              <w:rPr>
                <w:rFonts w:ascii="Times New Roman" w:hAnsi="Times New Roman"/>
              </w:rPr>
              <w:t>Non-performance</w:t>
            </w:r>
            <w:r>
              <w:rPr>
                <w:rFonts w:ascii="Times New Roman" w:hAnsi="Times New Roman"/>
                <w:spacing w:val="-6"/>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a</w:t>
            </w:r>
            <w:r>
              <w:rPr>
                <w:rFonts w:ascii="Times New Roman" w:hAnsi="Times New Roman"/>
                <w:spacing w:val="-4"/>
              </w:rPr>
              <w:t xml:space="preserve"> </w:t>
            </w:r>
            <w:r>
              <w:rPr>
                <w:rFonts w:ascii="Times New Roman" w:hAnsi="Times New Roman"/>
              </w:rPr>
              <w:t>contract</w:t>
            </w:r>
            <w:r>
              <w:rPr>
                <w:rFonts w:ascii="Times New Roman" w:hAnsi="Times New Roman"/>
                <w:spacing w:val="-3"/>
              </w:rPr>
              <w:t xml:space="preserve"> </w:t>
            </w:r>
            <w:r>
              <w:rPr>
                <w:rFonts w:ascii="Times New Roman" w:hAnsi="Times New Roman"/>
              </w:rPr>
              <w:t>did</w:t>
            </w:r>
            <w:r>
              <w:rPr>
                <w:rFonts w:ascii="Times New Roman" w:hAnsi="Times New Roman"/>
                <w:spacing w:val="-4"/>
              </w:rPr>
              <w:t xml:space="preserve"> </w:t>
            </w:r>
            <w:r>
              <w:rPr>
                <w:rFonts w:ascii="Times New Roman" w:hAnsi="Times New Roman"/>
              </w:rPr>
              <w:t>not</w:t>
            </w:r>
            <w:r>
              <w:rPr>
                <w:rFonts w:ascii="Times New Roman" w:hAnsi="Times New Roman"/>
                <w:spacing w:val="-6"/>
              </w:rPr>
              <w:t xml:space="preserve"> </w:t>
            </w:r>
            <w:r>
              <w:rPr>
                <w:rFonts w:ascii="Times New Roman" w:hAnsi="Times New Roman"/>
              </w:rPr>
              <w:t>occur</w:t>
            </w:r>
            <w:r>
              <w:rPr>
                <w:rFonts w:ascii="Times New Roman" w:hAnsi="Times New Roman"/>
                <w:spacing w:val="-4"/>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result</w:t>
            </w:r>
            <w:r>
              <w:rPr>
                <w:rFonts w:ascii="Times New Roman" w:hAnsi="Times New Roman"/>
                <w:spacing w:val="-3"/>
              </w:rPr>
              <w:t xml:space="preserve"> </w:t>
            </w:r>
            <w:r>
              <w:rPr>
                <w:rFonts w:ascii="Times New Roman" w:hAnsi="Times New Roman"/>
              </w:rPr>
              <w:t>of contractor default since 1</w:t>
            </w:r>
            <w:r>
              <w:rPr>
                <w:rFonts w:ascii="Times New Roman" w:hAnsi="Times New Roman"/>
                <w:vertAlign w:val="superscript"/>
              </w:rPr>
              <w:t>st</w:t>
            </w:r>
            <w:r>
              <w:rPr>
                <w:rFonts w:ascii="Times New Roman" w:hAnsi="Times New Roman"/>
              </w:rPr>
              <w:t xml:space="preserve"> January […….</w:t>
            </w:r>
            <w:r>
              <w:rPr>
                <w:rFonts w:ascii="Times New Roman" w:hAnsi="Times New Roman"/>
                <w:i/>
              </w:rPr>
              <w:t>]</w:t>
            </w:r>
            <w:r>
              <w:rPr>
                <w:rFonts w:ascii="Times New Roman" w:hAnsi="Times New Roman"/>
              </w:rPr>
              <w:t>.</w:t>
            </w:r>
          </w:p>
        </w:tc>
        <w:tc>
          <w:tcPr>
            <w:tcW w:w="2979" w:type="dxa"/>
          </w:tcPr>
          <w:p w:rsidR="007F6DF9" w:rsidRDefault="00A43FBC">
            <w:pPr>
              <w:pStyle w:val="TableParagraph"/>
              <w:spacing w:line="251" w:lineRule="exact"/>
              <w:ind w:left="108"/>
              <w:rPr>
                <w:rFonts w:ascii="Times New Roman"/>
              </w:rPr>
            </w:pPr>
            <w:r>
              <w:rPr>
                <w:rFonts w:ascii="Times New Roman"/>
              </w:rPr>
              <w:t>Form</w:t>
            </w:r>
            <w:r>
              <w:rPr>
                <w:rFonts w:ascii="Times New Roman"/>
                <w:spacing w:val="-5"/>
              </w:rPr>
              <w:t xml:space="preserve"> </w:t>
            </w:r>
            <w:r>
              <w:rPr>
                <w:rFonts w:ascii="Times New Roman"/>
              </w:rPr>
              <w:t>CON-</w:t>
            </w:r>
            <w:r>
              <w:rPr>
                <w:rFonts w:ascii="Times New Roman"/>
                <w:spacing w:val="-10"/>
              </w:rPr>
              <w:t>2</w:t>
            </w:r>
          </w:p>
        </w:tc>
        <w:tc>
          <w:tcPr>
            <w:tcW w:w="2549" w:type="dxa"/>
          </w:tcPr>
          <w:p w:rsidR="007F6DF9" w:rsidRDefault="007F6DF9">
            <w:pPr>
              <w:pStyle w:val="TableParagraph"/>
              <w:rPr>
                <w:rFonts w:ascii="Times New Roman"/>
                <w:sz w:val="20"/>
              </w:rPr>
            </w:pPr>
          </w:p>
        </w:tc>
      </w:tr>
      <w:tr w:rsidR="007F6DF9">
        <w:trPr>
          <w:trHeight w:val="1262"/>
        </w:trPr>
        <w:tc>
          <w:tcPr>
            <w:tcW w:w="698" w:type="dxa"/>
            <w:tcBorders>
              <w:left w:val="nil"/>
            </w:tcBorders>
          </w:tcPr>
          <w:p w:rsidR="007F6DF9" w:rsidRDefault="00A43FBC">
            <w:pPr>
              <w:pStyle w:val="TableParagraph"/>
              <w:spacing w:line="249" w:lineRule="exact"/>
              <w:ind w:left="107"/>
              <w:rPr>
                <w:rFonts w:ascii="Times New Roman"/>
              </w:rPr>
            </w:pPr>
            <w:r>
              <w:rPr>
                <w:rFonts w:ascii="Times New Roman"/>
                <w:spacing w:val="-10"/>
              </w:rPr>
              <w:t>8</w:t>
            </w:r>
          </w:p>
        </w:tc>
        <w:tc>
          <w:tcPr>
            <w:tcW w:w="2554" w:type="dxa"/>
          </w:tcPr>
          <w:p w:rsidR="007F6DF9" w:rsidRDefault="00A43FBC">
            <w:pPr>
              <w:pStyle w:val="TableParagraph"/>
              <w:ind w:left="108" w:right="138"/>
              <w:rPr>
                <w:rFonts w:ascii="Times New Roman"/>
              </w:rPr>
            </w:pPr>
            <w:r>
              <w:rPr>
                <w:rFonts w:ascii="Times New Roman"/>
              </w:rPr>
              <w:t>Suspension Based on Execution of Tender/Proposal</w:t>
            </w:r>
            <w:r>
              <w:rPr>
                <w:rFonts w:ascii="Times New Roman"/>
                <w:spacing w:val="-14"/>
              </w:rPr>
              <w:t xml:space="preserve"> </w:t>
            </w:r>
            <w:r>
              <w:rPr>
                <w:rFonts w:ascii="Times New Roman"/>
              </w:rPr>
              <w:t>Securing</w:t>
            </w:r>
          </w:p>
          <w:p w:rsidR="007F6DF9" w:rsidRDefault="00A43FBC">
            <w:pPr>
              <w:pStyle w:val="TableParagraph"/>
              <w:spacing w:line="254" w:lineRule="exact"/>
              <w:ind w:left="108"/>
              <w:rPr>
                <w:rFonts w:ascii="Times New Roman"/>
              </w:rPr>
            </w:pPr>
            <w:r>
              <w:rPr>
                <w:rFonts w:ascii="Times New Roman"/>
              </w:rPr>
              <w:t>Declaration</w:t>
            </w:r>
            <w:r>
              <w:rPr>
                <w:rFonts w:ascii="Times New Roman"/>
                <w:spacing w:val="-14"/>
              </w:rPr>
              <w:t xml:space="preserve"> </w:t>
            </w:r>
            <w:r>
              <w:rPr>
                <w:rFonts w:ascii="Times New Roman"/>
              </w:rPr>
              <w:t>by</w:t>
            </w:r>
            <w:r>
              <w:rPr>
                <w:rFonts w:ascii="Times New Roman"/>
                <w:spacing w:val="-14"/>
              </w:rPr>
              <w:t xml:space="preserve"> </w:t>
            </w:r>
            <w:r>
              <w:rPr>
                <w:rFonts w:ascii="Times New Roman"/>
              </w:rPr>
              <w:t>the Procuring Entity</w:t>
            </w:r>
          </w:p>
        </w:tc>
        <w:tc>
          <w:tcPr>
            <w:tcW w:w="5528" w:type="dxa"/>
          </w:tcPr>
          <w:p w:rsidR="007F6DF9" w:rsidRDefault="00A43FBC">
            <w:pPr>
              <w:pStyle w:val="TableParagraph"/>
              <w:spacing w:line="242" w:lineRule="auto"/>
              <w:ind w:left="105"/>
              <w:rPr>
                <w:rFonts w:ascii="Times New Roman"/>
              </w:rPr>
            </w:pPr>
            <w:r>
              <w:rPr>
                <w:rFonts w:ascii="Times New Roman"/>
              </w:rPr>
              <w:t>Not under suspension based on-execution of a Tender/Proposal</w:t>
            </w:r>
            <w:r>
              <w:rPr>
                <w:rFonts w:ascii="Times New Roman"/>
                <w:spacing w:val="-5"/>
              </w:rPr>
              <w:t xml:space="preserve"> </w:t>
            </w:r>
            <w:r>
              <w:rPr>
                <w:rFonts w:ascii="Times New Roman"/>
              </w:rPr>
              <w:t>Securing</w:t>
            </w:r>
            <w:r>
              <w:rPr>
                <w:rFonts w:ascii="Times New Roman"/>
                <w:spacing w:val="-9"/>
              </w:rPr>
              <w:t xml:space="preserve"> </w:t>
            </w:r>
            <w:r>
              <w:rPr>
                <w:rFonts w:ascii="Times New Roman"/>
              </w:rPr>
              <w:t>Declaration</w:t>
            </w:r>
            <w:r>
              <w:rPr>
                <w:rFonts w:ascii="Times New Roman"/>
                <w:spacing w:val="-9"/>
              </w:rPr>
              <w:t xml:space="preserve"> </w:t>
            </w:r>
            <w:r>
              <w:rPr>
                <w:rFonts w:ascii="Times New Roman"/>
              </w:rPr>
              <w:t>pursuant</w:t>
            </w:r>
            <w:r>
              <w:rPr>
                <w:rFonts w:ascii="Times New Roman"/>
                <w:spacing w:val="-5"/>
              </w:rPr>
              <w:t xml:space="preserve"> </w:t>
            </w:r>
            <w:r>
              <w:rPr>
                <w:rFonts w:ascii="Times New Roman"/>
              </w:rPr>
              <w:t>to</w:t>
            </w:r>
            <w:r>
              <w:rPr>
                <w:rFonts w:ascii="Times New Roman"/>
                <w:spacing w:val="-6"/>
              </w:rPr>
              <w:t xml:space="preserve"> </w:t>
            </w:r>
            <w:r>
              <w:rPr>
                <w:rFonts w:ascii="Times New Roman"/>
              </w:rPr>
              <w:t>ITT</w:t>
            </w:r>
            <w:r>
              <w:rPr>
                <w:rFonts w:ascii="Times New Roman"/>
                <w:spacing w:val="-7"/>
              </w:rPr>
              <w:t xml:space="preserve"> </w:t>
            </w:r>
            <w:r>
              <w:rPr>
                <w:rFonts w:ascii="Times New Roman"/>
              </w:rPr>
              <w:t>19.9</w:t>
            </w:r>
          </w:p>
        </w:tc>
        <w:tc>
          <w:tcPr>
            <w:tcW w:w="2979" w:type="dxa"/>
          </w:tcPr>
          <w:p w:rsidR="007F6DF9" w:rsidRDefault="00A43FBC">
            <w:pPr>
              <w:pStyle w:val="TableParagraph"/>
              <w:spacing w:line="249" w:lineRule="exact"/>
              <w:ind w:left="108"/>
              <w:rPr>
                <w:rFonts w:ascii="Times New Roman"/>
              </w:rPr>
            </w:pPr>
            <w:r>
              <w:rPr>
                <w:rFonts w:ascii="Times New Roman"/>
              </w:rPr>
              <w:t>Form</w:t>
            </w:r>
            <w:r>
              <w:rPr>
                <w:rFonts w:ascii="Times New Roman"/>
                <w:spacing w:val="-1"/>
              </w:rPr>
              <w:t xml:space="preserve"> </w:t>
            </w:r>
            <w:r>
              <w:rPr>
                <w:rFonts w:ascii="Times New Roman"/>
              </w:rPr>
              <w:t xml:space="preserve">of </w:t>
            </w:r>
            <w:r>
              <w:rPr>
                <w:rFonts w:ascii="Times New Roman"/>
                <w:spacing w:val="-2"/>
              </w:rPr>
              <w:t>Tender</w:t>
            </w:r>
          </w:p>
        </w:tc>
        <w:tc>
          <w:tcPr>
            <w:tcW w:w="2549" w:type="dxa"/>
          </w:tcPr>
          <w:p w:rsidR="007F6DF9" w:rsidRDefault="007F6DF9">
            <w:pPr>
              <w:pStyle w:val="TableParagraph"/>
              <w:rPr>
                <w:rFonts w:ascii="Times New Roman"/>
                <w:sz w:val="20"/>
              </w:rPr>
            </w:pPr>
          </w:p>
        </w:tc>
      </w:tr>
      <w:tr w:rsidR="007F6DF9">
        <w:trPr>
          <w:trHeight w:val="1008"/>
        </w:trPr>
        <w:tc>
          <w:tcPr>
            <w:tcW w:w="698" w:type="dxa"/>
            <w:tcBorders>
              <w:left w:val="nil"/>
            </w:tcBorders>
          </w:tcPr>
          <w:p w:rsidR="007F6DF9" w:rsidRDefault="00A43FBC">
            <w:pPr>
              <w:pStyle w:val="TableParagraph"/>
              <w:spacing w:line="247" w:lineRule="exact"/>
              <w:ind w:left="107"/>
              <w:rPr>
                <w:rFonts w:ascii="Times New Roman"/>
              </w:rPr>
            </w:pPr>
            <w:r>
              <w:rPr>
                <w:rFonts w:ascii="Times New Roman"/>
                <w:spacing w:val="-10"/>
              </w:rPr>
              <w:t>9</w:t>
            </w:r>
          </w:p>
        </w:tc>
        <w:tc>
          <w:tcPr>
            <w:tcW w:w="2554" w:type="dxa"/>
          </w:tcPr>
          <w:p w:rsidR="007F6DF9" w:rsidRDefault="00A43FBC">
            <w:pPr>
              <w:pStyle w:val="TableParagraph"/>
              <w:spacing w:line="247" w:lineRule="exact"/>
              <w:ind w:left="108"/>
              <w:rPr>
                <w:rFonts w:ascii="Times New Roman"/>
              </w:rPr>
            </w:pPr>
            <w:r>
              <w:rPr>
                <w:rFonts w:ascii="Times New Roman"/>
              </w:rPr>
              <w:t>Pending</w:t>
            </w:r>
            <w:r>
              <w:rPr>
                <w:rFonts w:ascii="Times New Roman"/>
                <w:spacing w:val="-3"/>
              </w:rPr>
              <w:t xml:space="preserve"> </w:t>
            </w:r>
            <w:r>
              <w:rPr>
                <w:rFonts w:ascii="Times New Roman"/>
                <w:spacing w:val="-2"/>
              </w:rPr>
              <w:t>Litigation</w:t>
            </w:r>
          </w:p>
        </w:tc>
        <w:tc>
          <w:tcPr>
            <w:tcW w:w="5528" w:type="dxa"/>
          </w:tcPr>
          <w:p w:rsidR="007F6DF9" w:rsidRDefault="00A43FBC">
            <w:pPr>
              <w:pStyle w:val="TableParagraph"/>
              <w:spacing w:line="242" w:lineRule="auto"/>
              <w:ind w:left="105"/>
              <w:rPr>
                <w:rFonts w:ascii="Times New Roman" w:hAnsi="Times New Roman"/>
              </w:rPr>
            </w:pPr>
            <w:r>
              <w:rPr>
                <w:rFonts w:ascii="Times New Roman" w:hAnsi="Times New Roman"/>
              </w:rPr>
              <w:t>Tender’s financial position and prospective long-term profitability</w:t>
            </w:r>
            <w:r>
              <w:rPr>
                <w:rFonts w:ascii="Times New Roman" w:hAnsi="Times New Roman"/>
                <w:spacing w:val="-6"/>
              </w:rPr>
              <w:t xml:space="preserve"> </w:t>
            </w:r>
            <w:r>
              <w:rPr>
                <w:rFonts w:ascii="Times New Roman" w:hAnsi="Times New Roman"/>
              </w:rPr>
              <w:t>still</w:t>
            </w:r>
            <w:r>
              <w:rPr>
                <w:rFonts w:ascii="Times New Roman" w:hAnsi="Times New Roman"/>
                <w:spacing w:val="-5"/>
              </w:rPr>
              <w:t xml:space="preserve"> </w:t>
            </w:r>
            <w:r>
              <w:rPr>
                <w:rFonts w:ascii="Times New Roman" w:hAnsi="Times New Roman"/>
              </w:rPr>
              <w:t>sound</w:t>
            </w:r>
            <w:r>
              <w:rPr>
                <w:rFonts w:ascii="Times New Roman" w:hAnsi="Times New Roman"/>
                <w:spacing w:val="-6"/>
              </w:rPr>
              <w:t xml:space="preserve"> </w:t>
            </w:r>
            <w:r>
              <w:rPr>
                <w:rFonts w:ascii="Times New Roman" w:hAnsi="Times New Roman"/>
              </w:rPr>
              <w:t>according</w:t>
            </w:r>
            <w:r>
              <w:rPr>
                <w:rFonts w:ascii="Times New Roman" w:hAnsi="Times New Roman"/>
                <w:spacing w:val="-6"/>
              </w:rPr>
              <w:t xml:space="preserve"> </w:t>
            </w:r>
            <w:r>
              <w:rPr>
                <w:rFonts w:ascii="Times New Roman" w:hAnsi="Times New Roman"/>
              </w:rPr>
              <w:t>to</w:t>
            </w:r>
            <w:r>
              <w:rPr>
                <w:rFonts w:ascii="Times New Roman" w:hAnsi="Times New Roman"/>
                <w:spacing w:val="-8"/>
              </w:rPr>
              <w:t xml:space="preserve"> </w:t>
            </w:r>
            <w:r>
              <w:rPr>
                <w:rFonts w:ascii="Times New Roman" w:hAnsi="Times New Roman"/>
              </w:rPr>
              <w:t>criteria</w:t>
            </w:r>
            <w:r>
              <w:rPr>
                <w:rFonts w:ascii="Times New Roman" w:hAnsi="Times New Roman"/>
                <w:spacing w:val="-6"/>
              </w:rPr>
              <w:t xml:space="preserve"> </w:t>
            </w:r>
            <w:r>
              <w:rPr>
                <w:rFonts w:ascii="Times New Roman" w:hAnsi="Times New Roman"/>
              </w:rPr>
              <w:t>established</w:t>
            </w:r>
            <w:r>
              <w:rPr>
                <w:rFonts w:ascii="Times New Roman" w:hAnsi="Times New Roman"/>
                <w:spacing w:val="-6"/>
              </w:rPr>
              <w:t xml:space="preserve"> </w:t>
            </w:r>
            <w:r>
              <w:rPr>
                <w:rFonts w:ascii="Times New Roman" w:hAnsi="Times New Roman"/>
              </w:rPr>
              <w:t>in</w:t>
            </w:r>
          </w:p>
          <w:p w:rsidR="007F6DF9" w:rsidRDefault="00A43FBC">
            <w:pPr>
              <w:pStyle w:val="TableParagraph"/>
              <w:spacing w:line="248" w:lineRule="exact"/>
              <w:ind w:left="105"/>
              <w:rPr>
                <w:rFonts w:ascii="Times New Roman"/>
              </w:rPr>
            </w:pPr>
            <w:r>
              <w:rPr>
                <w:rFonts w:ascii="Times New Roman"/>
              </w:rPr>
              <w:t>3.1</w:t>
            </w:r>
            <w:r>
              <w:rPr>
                <w:rFonts w:ascii="Times New Roman"/>
                <w:spacing w:val="-4"/>
              </w:rPr>
              <w:t xml:space="preserve"> </w:t>
            </w:r>
            <w:r>
              <w:rPr>
                <w:rFonts w:ascii="Times New Roman"/>
              </w:rPr>
              <w:t>and</w:t>
            </w:r>
            <w:r>
              <w:rPr>
                <w:rFonts w:ascii="Times New Roman"/>
                <w:spacing w:val="-5"/>
              </w:rPr>
              <w:t xml:space="preserve"> </w:t>
            </w:r>
            <w:r>
              <w:rPr>
                <w:rFonts w:ascii="Times New Roman"/>
              </w:rPr>
              <w:t>assuming</w:t>
            </w:r>
            <w:r>
              <w:rPr>
                <w:rFonts w:ascii="Times New Roman"/>
                <w:spacing w:val="-3"/>
              </w:rPr>
              <w:t xml:space="preserve"> </w:t>
            </w:r>
            <w:r>
              <w:rPr>
                <w:rFonts w:ascii="Times New Roman"/>
              </w:rPr>
              <w:t>that</w:t>
            </w:r>
            <w:r>
              <w:rPr>
                <w:rFonts w:ascii="Times New Roman"/>
                <w:spacing w:val="-4"/>
              </w:rPr>
              <w:t xml:space="preserve"> </w:t>
            </w:r>
            <w:r>
              <w:rPr>
                <w:rFonts w:ascii="Times New Roman"/>
              </w:rPr>
              <w:t>all</w:t>
            </w:r>
            <w:r>
              <w:rPr>
                <w:rFonts w:ascii="Times New Roman"/>
                <w:spacing w:val="-3"/>
              </w:rPr>
              <w:t xml:space="preserve"> </w:t>
            </w:r>
            <w:r>
              <w:rPr>
                <w:rFonts w:ascii="Times New Roman"/>
              </w:rPr>
              <w:t>pending</w:t>
            </w:r>
            <w:r>
              <w:rPr>
                <w:rFonts w:ascii="Times New Roman"/>
                <w:spacing w:val="-6"/>
              </w:rPr>
              <w:t xml:space="preserve"> </w:t>
            </w:r>
            <w:r>
              <w:rPr>
                <w:rFonts w:ascii="Times New Roman"/>
              </w:rPr>
              <w:t>litigation</w:t>
            </w:r>
            <w:r>
              <w:rPr>
                <w:rFonts w:ascii="Times New Roman"/>
                <w:spacing w:val="-3"/>
              </w:rPr>
              <w:t xml:space="preserve"> </w:t>
            </w:r>
            <w:r>
              <w:rPr>
                <w:rFonts w:ascii="Times New Roman"/>
              </w:rPr>
              <w:t>will</w:t>
            </w:r>
            <w:r>
              <w:rPr>
                <w:rFonts w:ascii="Times New Roman"/>
                <w:spacing w:val="-2"/>
              </w:rPr>
              <w:t xml:space="preserve"> </w:t>
            </w:r>
            <w:r>
              <w:rPr>
                <w:rFonts w:ascii="Times New Roman"/>
              </w:rPr>
              <w:t>NOT</w:t>
            </w:r>
            <w:r>
              <w:rPr>
                <w:rFonts w:ascii="Times New Roman"/>
                <w:spacing w:val="-3"/>
              </w:rPr>
              <w:t xml:space="preserve"> </w:t>
            </w:r>
            <w:r>
              <w:rPr>
                <w:rFonts w:ascii="Times New Roman"/>
                <w:spacing w:val="-5"/>
              </w:rPr>
              <w:t>be</w:t>
            </w:r>
          </w:p>
          <w:p w:rsidR="007F6DF9" w:rsidRDefault="00A43FBC">
            <w:pPr>
              <w:pStyle w:val="TableParagraph"/>
              <w:spacing w:line="233" w:lineRule="exact"/>
              <w:ind w:left="105"/>
              <w:rPr>
                <w:rFonts w:ascii="Times New Roman"/>
              </w:rPr>
            </w:pPr>
            <w:r>
              <w:rPr>
                <w:rFonts w:ascii="Times New Roman"/>
              </w:rPr>
              <w:t>resolved</w:t>
            </w:r>
            <w:r>
              <w:rPr>
                <w:rFonts w:ascii="Times New Roman"/>
                <w:spacing w:val="-5"/>
              </w:rPr>
              <w:t xml:space="preserve"> </w:t>
            </w:r>
            <w:r>
              <w:rPr>
                <w:rFonts w:ascii="Times New Roman"/>
              </w:rPr>
              <w:t>against</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Tenderer.</w:t>
            </w:r>
          </w:p>
        </w:tc>
        <w:tc>
          <w:tcPr>
            <w:tcW w:w="2979" w:type="dxa"/>
          </w:tcPr>
          <w:p w:rsidR="007F6DF9" w:rsidRDefault="00A43FBC">
            <w:pPr>
              <w:pStyle w:val="TableParagraph"/>
              <w:spacing w:line="247" w:lineRule="exact"/>
              <w:ind w:left="108"/>
              <w:rPr>
                <w:rFonts w:ascii="Times New Roman" w:hAnsi="Times New Roman"/>
              </w:rPr>
            </w:pPr>
            <w:r>
              <w:rPr>
                <w:rFonts w:ascii="Times New Roman" w:hAnsi="Times New Roman"/>
              </w:rPr>
              <w:t>Form</w:t>
            </w:r>
            <w:r>
              <w:rPr>
                <w:rFonts w:ascii="Times New Roman" w:hAnsi="Times New Roman"/>
                <w:spacing w:val="-3"/>
              </w:rPr>
              <w:t xml:space="preserve"> </w:t>
            </w:r>
            <w:r>
              <w:rPr>
                <w:rFonts w:ascii="Times New Roman" w:hAnsi="Times New Roman"/>
              </w:rPr>
              <w:t>CON</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10"/>
              </w:rPr>
              <w:t>2</w:t>
            </w:r>
          </w:p>
        </w:tc>
        <w:tc>
          <w:tcPr>
            <w:tcW w:w="2549" w:type="dxa"/>
          </w:tcPr>
          <w:p w:rsidR="007F6DF9" w:rsidRDefault="007F6DF9">
            <w:pPr>
              <w:pStyle w:val="TableParagraph"/>
              <w:rPr>
                <w:rFonts w:ascii="Times New Roman"/>
                <w:sz w:val="20"/>
              </w:rPr>
            </w:pPr>
          </w:p>
        </w:tc>
      </w:tr>
      <w:tr w:rsidR="007F6DF9">
        <w:trPr>
          <w:trHeight w:val="506"/>
        </w:trPr>
        <w:tc>
          <w:tcPr>
            <w:tcW w:w="698" w:type="dxa"/>
            <w:tcBorders>
              <w:left w:val="nil"/>
            </w:tcBorders>
          </w:tcPr>
          <w:p w:rsidR="007F6DF9" w:rsidRDefault="00A43FBC">
            <w:pPr>
              <w:pStyle w:val="TableParagraph"/>
              <w:spacing w:line="251" w:lineRule="exact"/>
              <w:ind w:left="107"/>
              <w:rPr>
                <w:rFonts w:ascii="Times New Roman"/>
              </w:rPr>
            </w:pPr>
            <w:r>
              <w:rPr>
                <w:rFonts w:ascii="Times New Roman"/>
                <w:spacing w:val="-5"/>
              </w:rPr>
              <w:t>10</w:t>
            </w:r>
          </w:p>
        </w:tc>
        <w:tc>
          <w:tcPr>
            <w:tcW w:w="2554" w:type="dxa"/>
          </w:tcPr>
          <w:p w:rsidR="007F6DF9" w:rsidRDefault="00A43FBC">
            <w:pPr>
              <w:pStyle w:val="TableParagraph"/>
              <w:spacing w:line="251" w:lineRule="exact"/>
              <w:ind w:left="108"/>
              <w:rPr>
                <w:rFonts w:ascii="Times New Roman"/>
              </w:rPr>
            </w:pPr>
            <w:r>
              <w:rPr>
                <w:rFonts w:ascii="Times New Roman"/>
              </w:rPr>
              <w:t>Litigation</w:t>
            </w:r>
            <w:r>
              <w:rPr>
                <w:rFonts w:ascii="Times New Roman"/>
                <w:spacing w:val="-6"/>
              </w:rPr>
              <w:t xml:space="preserve"> </w:t>
            </w:r>
            <w:r>
              <w:rPr>
                <w:rFonts w:ascii="Times New Roman"/>
                <w:spacing w:val="-2"/>
              </w:rPr>
              <w:t>History</w:t>
            </w:r>
          </w:p>
        </w:tc>
        <w:tc>
          <w:tcPr>
            <w:tcW w:w="5528" w:type="dxa"/>
          </w:tcPr>
          <w:p w:rsidR="007F6DF9" w:rsidRDefault="00A43FBC">
            <w:pPr>
              <w:pStyle w:val="TableParagraph"/>
              <w:spacing w:line="254" w:lineRule="exact"/>
              <w:ind w:left="105" w:right="165"/>
              <w:rPr>
                <w:rFonts w:ascii="Times New Roman"/>
              </w:rPr>
            </w:pPr>
            <w:r>
              <w:rPr>
                <w:rFonts w:ascii="Times New Roman"/>
              </w:rPr>
              <w:t>No</w:t>
            </w:r>
            <w:r>
              <w:rPr>
                <w:rFonts w:ascii="Times New Roman"/>
                <w:spacing w:val="-6"/>
              </w:rPr>
              <w:t xml:space="preserve"> </w:t>
            </w:r>
            <w:r>
              <w:rPr>
                <w:rFonts w:ascii="Times New Roman"/>
              </w:rPr>
              <w:t>consistent</w:t>
            </w:r>
            <w:r>
              <w:rPr>
                <w:rFonts w:ascii="Times New Roman"/>
                <w:spacing w:val="-8"/>
              </w:rPr>
              <w:t xml:space="preserve"> </w:t>
            </w:r>
            <w:r>
              <w:rPr>
                <w:rFonts w:ascii="Times New Roman"/>
              </w:rPr>
              <w:t>history</w:t>
            </w:r>
            <w:r>
              <w:rPr>
                <w:rFonts w:ascii="Times New Roman"/>
                <w:spacing w:val="-6"/>
              </w:rPr>
              <w:t xml:space="preserve"> </w:t>
            </w:r>
            <w:r>
              <w:rPr>
                <w:rFonts w:ascii="Times New Roman"/>
              </w:rPr>
              <w:t>of</w:t>
            </w:r>
            <w:r>
              <w:rPr>
                <w:rFonts w:ascii="Times New Roman"/>
                <w:spacing w:val="-6"/>
              </w:rPr>
              <w:t xml:space="preserve"> </w:t>
            </w:r>
            <w:r>
              <w:rPr>
                <w:rFonts w:ascii="Times New Roman"/>
              </w:rPr>
              <w:t>court/arbitral</w:t>
            </w:r>
            <w:r>
              <w:rPr>
                <w:rFonts w:ascii="Times New Roman"/>
                <w:spacing w:val="-6"/>
              </w:rPr>
              <w:t xml:space="preserve"> </w:t>
            </w:r>
            <w:r>
              <w:rPr>
                <w:rFonts w:ascii="Times New Roman"/>
              </w:rPr>
              <w:t>award</w:t>
            </w:r>
            <w:r>
              <w:rPr>
                <w:rFonts w:ascii="Times New Roman"/>
                <w:spacing w:val="-6"/>
              </w:rPr>
              <w:t xml:space="preserve"> </w:t>
            </w:r>
            <w:r>
              <w:rPr>
                <w:rFonts w:ascii="Times New Roman"/>
              </w:rPr>
              <w:t>decisions against the Tenderer since 1</w:t>
            </w:r>
            <w:r>
              <w:rPr>
                <w:rFonts w:ascii="Times New Roman"/>
                <w:vertAlign w:val="superscript"/>
              </w:rPr>
              <w:t>st</w:t>
            </w:r>
            <w:r>
              <w:rPr>
                <w:rFonts w:ascii="Times New Roman"/>
              </w:rPr>
              <w:t xml:space="preserve"> January </w:t>
            </w:r>
            <w:r>
              <w:rPr>
                <w:rFonts w:ascii="Times New Roman"/>
                <w:i/>
              </w:rPr>
              <w:t>[insert year]</w:t>
            </w:r>
            <w:r>
              <w:rPr>
                <w:rFonts w:ascii="Times New Roman"/>
              </w:rPr>
              <w:t>.</w:t>
            </w:r>
          </w:p>
        </w:tc>
        <w:tc>
          <w:tcPr>
            <w:tcW w:w="2979" w:type="dxa"/>
          </w:tcPr>
          <w:p w:rsidR="007F6DF9" w:rsidRDefault="00A43FBC">
            <w:pPr>
              <w:pStyle w:val="TableParagraph"/>
              <w:spacing w:line="251" w:lineRule="exact"/>
              <w:ind w:left="108"/>
              <w:rPr>
                <w:rFonts w:ascii="Times New Roman" w:hAnsi="Times New Roman"/>
              </w:rPr>
            </w:pPr>
            <w:r>
              <w:rPr>
                <w:rFonts w:ascii="Times New Roman" w:hAnsi="Times New Roman"/>
              </w:rPr>
              <w:t>Form</w:t>
            </w:r>
            <w:r>
              <w:rPr>
                <w:rFonts w:ascii="Times New Roman" w:hAnsi="Times New Roman"/>
                <w:spacing w:val="-3"/>
              </w:rPr>
              <w:t xml:space="preserve"> </w:t>
            </w:r>
            <w:r>
              <w:rPr>
                <w:rFonts w:ascii="Times New Roman" w:hAnsi="Times New Roman"/>
              </w:rPr>
              <w:t>CON</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10"/>
              </w:rPr>
              <w:t>2</w:t>
            </w:r>
          </w:p>
        </w:tc>
        <w:tc>
          <w:tcPr>
            <w:tcW w:w="2549" w:type="dxa"/>
          </w:tcPr>
          <w:p w:rsidR="007F6DF9" w:rsidRDefault="007F6DF9">
            <w:pPr>
              <w:pStyle w:val="TableParagraph"/>
              <w:rPr>
                <w:rFonts w:ascii="Times New Roman"/>
                <w:sz w:val="20"/>
              </w:rPr>
            </w:pPr>
          </w:p>
        </w:tc>
      </w:tr>
      <w:tr w:rsidR="007F6DF9">
        <w:trPr>
          <w:trHeight w:val="1898"/>
        </w:trPr>
        <w:tc>
          <w:tcPr>
            <w:tcW w:w="14308" w:type="dxa"/>
            <w:gridSpan w:val="5"/>
            <w:tcBorders>
              <w:left w:val="nil"/>
            </w:tcBorders>
          </w:tcPr>
          <w:p w:rsidR="007F6DF9" w:rsidRDefault="004C3752">
            <w:pPr>
              <w:pStyle w:val="TableParagraph"/>
              <w:numPr>
                <w:ilvl w:val="0"/>
                <w:numId w:val="176"/>
              </w:numPr>
              <w:tabs>
                <w:tab w:val="left" w:pos="467"/>
                <w:tab w:val="left" w:pos="645"/>
              </w:tabs>
              <w:spacing w:before="1" w:line="237" w:lineRule="auto"/>
              <w:ind w:left="467" w:right="101" w:hanging="89"/>
              <w:rPr>
                <w:rFonts w:ascii="Times New Roman"/>
                <w:sz w:val="20"/>
              </w:rPr>
            </w:pPr>
            <w:proofErr w:type="spellStart"/>
            <w:r>
              <w:rPr>
                <w:rFonts w:ascii="Times New Roman"/>
                <w:sz w:val="20"/>
              </w:rPr>
              <w:t>Non performance</w:t>
            </w:r>
            <w:proofErr w:type="spellEnd"/>
            <w:r w:rsidR="00A43FBC">
              <w:rPr>
                <w:rFonts w:ascii="Times New Roman"/>
                <w:sz w:val="20"/>
              </w:rPr>
              <w:t>, as decided by the Employer, shall include all contracts where (a) nonperformance was not challenged by the contractor, including through referral to the</w:t>
            </w:r>
            <w:r w:rsidR="00A43FBC">
              <w:rPr>
                <w:rFonts w:ascii="Times New Roman"/>
                <w:spacing w:val="-1"/>
                <w:sz w:val="20"/>
              </w:rPr>
              <w:t xml:space="preserve"> </w:t>
            </w:r>
            <w:r w:rsidR="00A43FBC">
              <w:rPr>
                <w:rFonts w:ascii="Times New Roman"/>
                <w:sz w:val="20"/>
              </w:rPr>
              <w:t>dispute</w:t>
            </w:r>
            <w:r w:rsidR="00A43FBC">
              <w:rPr>
                <w:rFonts w:ascii="Times New Roman"/>
                <w:spacing w:val="-2"/>
                <w:sz w:val="20"/>
              </w:rPr>
              <w:t xml:space="preserve"> </w:t>
            </w:r>
            <w:r w:rsidR="00A43FBC">
              <w:rPr>
                <w:rFonts w:ascii="Times New Roman"/>
                <w:sz w:val="20"/>
              </w:rPr>
              <w:t>resolution</w:t>
            </w:r>
            <w:r w:rsidR="00A43FBC">
              <w:rPr>
                <w:rFonts w:ascii="Times New Roman"/>
                <w:spacing w:val="-2"/>
                <w:sz w:val="20"/>
              </w:rPr>
              <w:t xml:space="preserve"> </w:t>
            </w:r>
            <w:r w:rsidR="00A43FBC">
              <w:rPr>
                <w:rFonts w:ascii="Times New Roman"/>
                <w:sz w:val="20"/>
              </w:rPr>
              <w:t>mechanism</w:t>
            </w:r>
            <w:r w:rsidR="00A43FBC">
              <w:rPr>
                <w:rFonts w:ascii="Times New Roman"/>
                <w:spacing w:val="-1"/>
                <w:sz w:val="20"/>
              </w:rPr>
              <w:t xml:space="preserve"> </w:t>
            </w:r>
            <w:r w:rsidR="00A43FBC">
              <w:rPr>
                <w:rFonts w:ascii="Times New Roman"/>
                <w:sz w:val="20"/>
              </w:rPr>
              <w:t>under</w:t>
            </w:r>
            <w:r w:rsidR="00A43FBC">
              <w:rPr>
                <w:rFonts w:ascii="Times New Roman"/>
                <w:spacing w:val="-1"/>
                <w:sz w:val="20"/>
              </w:rPr>
              <w:t xml:space="preserve"> </w:t>
            </w:r>
            <w:r w:rsidR="00A43FBC">
              <w:rPr>
                <w:rFonts w:ascii="Times New Roman"/>
                <w:sz w:val="20"/>
              </w:rPr>
              <w:t>the</w:t>
            </w:r>
            <w:r w:rsidR="00A43FBC">
              <w:rPr>
                <w:rFonts w:ascii="Times New Roman"/>
                <w:spacing w:val="-2"/>
                <w:sz w:val="20"/>
              </w:rPr>
              <w:t xml:space="preserve"> </w:t>
            </w:r>
            <w:r w:rsidR="00A43FBC">
              <w:rPr>
                <w:rFonts w:ascii="Times New Roman"/>
                <w:sz w:val="20"/>
              </w:rPr>
              <w:t>respective</w:t>
            </w:r>
            <w:r w:rsidR="00A43FBC">
              <w:rPr>
                <w:rFonts w:ascii="Times New Roman"/>
                <w:spacing w:val="-2"/>
                <w:sz w:val="20"/>
              </w:rPr>
              <w:t xml:space="preserve"> </w:t>
            </w:r>
            <w:r w:rsidR="00A43FBC">
              <w:rPr>
                <w:rFonts w:ascii="Times New Roman"/>
                <w:sz w:val="20"/>
              </w:rPr>
              <w:t>contract,</w:t>
            </w:r>
            <w:r w:rsidR="00A43FBC">
              <w:rPr>
                <w:rFonts w:ascii="Times New Roman"/>
                <w:spacing w:val="-2"/>
                <w:sz w:val="20"/>
              </w:rPr>
              <w:t xml:space="preserve"> </w:t>
            </w:r>
            <w:r w:rsidR="00A43FBC">
              <w:rPr>
                <w:rFonts w:ascii="Times New Roman"/>
                <w:sz w:val="20"/>
              </w:rPr>
              <w:t>and</w:t>
            </w:r>
            <w:r w:rsidR="00A43FBC">
              <w:rPr>
                <w:rFonts w:ascii="Times New Roman"/>
                <w:spacing w:val="-1"/>
                <w:sz w:val="20"/>
              </w:rPr>
              <w:t xml:space="preserve"> </w:t>
            </w:r>
            <w:r w:rsidR="00A43FBC">
              <w:rPr>
                <w:rFonts w:ascii="Times New Roman"/>
                <w:sz w:val="20"/>
              </w:rPr>
              <w:t>(b) contracts</w:t>
            </w:r>
            <w:r w:rsidR="00A43FBC">
              <w:rPr>
                <w:rFonts w:ascii="Times New Roman"/>
                <w:spacing w:val="-3"/>
                <w:sz w:val="20"/>
              </w:rPr>
              <w:t xml:space="preserve"> </w:t>
            </w:r>
            <w:r w:rsidR="00A43FBC">
              <w:rPr>
                <w:rFonts w:ascii="Times New Roman"/>
                <w:sz w:val="20"/>
              </w:rPr>
              <w:t>that</w:t>
            </w:r>
            <w:r w:rsidR="00A43FBC">
              <w:rPr>
                <w:rFonts w:ascii="Times New Roman"/>
                <w:spacing w:val="-2"/>
                <w:sz w:val="20"/>
              </w:rPr>
              <w:t xml:space="preserve"> </w:t>
            </w:r>
            <w:r w:rsidR="00A43FBC">
              <w:rPr>
                <w:rFonts w:ascii="Times New Roman"/>
                <w:sz w:val="20"/>
              </w:rPr>
              <w:t>were</w:t>
            </w:r>
            <w:r w:rsidR="00A43FBC">
              <w:rPr>
                <w:rFonts w:ascii="Times New Roman"/>
                <w:spacing w:val="-2"/>
                <w:sz w:val="20"/>
              </w:rPr>
              <w:t xml:space="preserve"> </w:t>
            </w:r>
            <w:r w:rsidR="00A43FBC">
              <w:rPr>
                <w:rFonts w:ascii="Times New Roman"/>
                <w:sz w:val="20"/>
              </w:rPr>
              <w:t>so</w:t>
            </w:r>
            <w:r w:rsidR="00A43FBC">
              <w:rPr>
                <w:rFonts w:ascii="Times New Roman"/>
                <w:spacing w:val="-1"/>
                <w:sz w:val="20"/>
              </w:rPr>
              <w:t xml:space="preserve"> </w:t>
            </w:r>
            <w:r w:rsidR="00A43FBC">
              <w:rPr>
                <w:rFonts w:ascii="Times New Roman"/>
                <w:sz w:val="20"/>
              </w:rPr>
              <w:t>challenged</w:t>
            </w:r>
            <w:r w:rsidR="00A43FBC">
              <w:rPr>
                <w:rFonts w:ascii="Times New Roman"/>
                <w:spacing w:val="-2"/>
                <w:sz w:val="20"/>
              </w:rPr>
              <w:t xml:space="preserve"> </w:t>
            </w:r>
            <w:r w:rsidR="00A43FBC">
              <w:rPr>
                <w:rFonts w:ascii="Times New Roman"/>
                <w:sz w:val="20"/>
              </w:rPr>
              <w:t>but</w:t>
            </w:r>
            <w:r w:rsidR="00A43FBC">
              <w:rPr>
                <w:rFonts w:ascii="Times New Roman"/>
                <w:spacing w:val="-2"/>
                <w:sz w:val="20"/>
              </w:rPr>
              <w:t xml:space="preserve"> </w:t>
            </w:r>
            <w:r w:rsidR="00A43FBC">
              <w:rPr>
                <w:rFonts w:ascii="Times New Roman"/>
                <w:sz w:val="20"/>
              </w:rPr>
              <w:t>fully</w:t>
            </w:r>
            <w:r w:rsidR="00A43FBC">
              <w:rPr>
                <w:rFonts w:ascii="Times New Roman"/>
                <w:spacing w:val="-2"/>
                <w:sz w:val="20"/>
              </w:rPr>
              <w:t xml:space="preserve"> </w:t>
            </w:r>
            <w:r w:rsidR="00A43FBC">
              <w:rPr>
                <w:rFonts w:ascii="Times New Roman"/>
                <w:sz w:val="20"/>
              </w:rPr>
              <w:t>settled against</w:t>
            </w:r>
            <w:r w:rsidR="00A43FBC">
              <w:rPr>
                <w:rFonts w:ascii="Times New Roman"/>
                <w:spacing w:val="-3"/>
                <w:sz w:val="20"/>
              </w:rPr>
              <w:t xml:space="preserve"> </w:t>
            </w:r>
            <w:r w:rsidR="00A43FBC">
              <w:rPr>
                <w:rFonts w:ascii="Times New Roman"/>
                <w:sz w:val="20"/>
              </w:rPr>
              <w:t>the</w:t>
            </w:r>
            <w:r w:rsidR="00A43FBC">
              <w:rPr>
                <w:rFonts w:ascii="Times New Roman"/>
                <w:spacing w:val="-2"/>
                <w:sz w:val="20"/>
              </w:rPr>
              <w:t xml:space="preserve"> </w:t>
            </w:r>
            <w:r w:rsidR="00A43FBC">
              <w:rPr>
                <w:rFonts w:ascii="Times New Roman"/>
                <w:sz w:val="20"/>
              </w:rPr>
              <w:t>contractor.</w:t>
            </w:r>
            <w:r w:rsidR="00A43FBC">
              <w:rPr>
                <w:rFonts w:ascii="Times New Roman"/>
                <w:spacing w:val="-1"/>
                <w:sz w:val="20"/>
              </w:rPr>
              <w:t xml:space="preserve"> </w:t>
            </w:r>
            <w:proofErr w:type="spellStart"/>
            <w:r w:rsidR="00A43FBC">
              <w:rPr>
                <w:rFonts w:ascii="Times New Roman"/>
                <w:sz w:val="20"/>
              </w:rPr>
              <w:t>Non</w:t>
            </w:r>
            <w:r w:rsidR="00A43FBC">
              <w:rPr>
                <w:rFonts w:ascii="Times New Roman"/>
                <w:spacing w:val="-3"/>
                <w:sz w:val="20"/>
              </w:rPr>
              <w:t xml:space="preserve"> </w:t>
            </w:r>
            <w:r w:rsidR="00A43FBC">
              <w:rPr>
                <w:rFonts w:ascii="Times New Roman"/>
                <w:sz w:val="20"/>
              </w:rPr>
              <w:t>performance</w:t>
            </w:r>
            <w:proofErr w:type="spellEnd"/>
            <w:r w:rsidR="00A43FBC">
              <w:rPr>
                <w:rFonts w:ascii="Times New Roman"/>
                <w:spacing w:val="-2"/>
                <w:sz w:val="20"/>
              </w:rPr>
              <w:t xml:space="preserve"> </w:t>
            </w:r>
            <w:r w:rsidR="00A43FBC">
              <w:rPr>
                <w:rFonts w:ascii="Times New Roman"/>
                <w:sz w:val="20"/>
              </w:rPr>
              <w:t>shall</w:t>
            </w:r>
            <w:r w:rsidR="00A43FBC">
              <w:rPr>
                <w:rFonts w:ascii="Times New Roman"/>
                <w:spacing w:val="-2"/>
                <w:sz w:val="20"/>
              </w:rPr>
              <w:t xml:space="preserve"> </w:t>
            </w:r>
            <w:r w:rsidR="00A43FBC">
              <w:rPr>
                <w:rFonts w:ascii="Times New Roman"/>
                <w:sz w:val="20"/>
              </w:rPr>
              <w:t xml:space="preserve">not include contracts where Employers decision was overruled by the dispute resolution mechanism. </w:t>
            </w:r>
            <w:proofErr w:type="spellStart"/>
            <w:r w:rsidR="00A43FBC">
              <w:rPr>
                <w:rFonts w:ascii="Times New Roman"/>
                <w:sz w:val="20"/>
              </w:rPr>
              <w:t>Non performance</w:t>
            </w:r>
            <w:proofErr w:type="spellEnd"/>
            <w:r w:rsidR="00A43FBC">
              <w:rPr>
                <w:rFonts w:ascii="Times New Roman"/>
                <w:sz w:val="20"/>
              </w:rPr>
              <w:t xml:space="preserve"> must be based on</w:t>
            </w:r>
            <w:r w:rsidR="00A43FBC">
              <w:rPr>
                <w:rFonts w:ascii="Times New Roman"/>
                <w:spacing w:val="15"/>
                <w:sz w:val="20"/>
              </w:rPr>
              <w:t xml:space="preserve"> </w:t>
            </w:r>
            <w:r w:rsidR="00A43FBC">
              <w:rPr>
                <w:rFonts w:ascii="Times New Roman"/>
                <w:sz w:val="20"/>
              </w:rPr>
              <w:t>all information on fully settled disputes or litigation, i.e. dispute or litigation that has been resolved in accordance with the dispute resolution mechanism under the respective contract and where all</w:t>
            </w:r>
            <w:r w:rsidR="00A43FBC">
              <w:rPr>
                <w:rFonts w:ascii="Times New Roman"/>
                <w:spacing w:val="40"/>
                <w:sz w:val="20"/>
              </w:rPr>
              <w:t xml:space="preserve"> </w:t>
            </w:r>
            <w:r w:rsidR="00A43FBC">
              <w:rPr>
                <w:rFonts w:ascii="Times New Roman"/>
                <w:sz w:val="20"/>
              </w:rPr>
              <w:t>appeal instances available to the Bidder have been exhausted.</w:t>
            </w:r>
          </w:p>
          <w:p w:rsidR="007F6DF9" w:rsidRDefault="00A43FBC">
            <w:pPr>
              <w:pStyle w:val="TableParagraph"/>
              <w:numPr>
                <w:ilvl w:val="0"/>
                <w:numId w:val="176"/>
              </w:numPr>
              <w:tabs>
                <w:tab w:val="left" w:pos="646"/>
              </w:tabs>
              <w:spacing w:before="6"/>
              <w:ind w:left="646" w:hanging="267"/>
              <w:rPr>
                <w:rFonts w:ascii="Times New Roman"/>
                <w:sz w:val="20"/>
              </w:rPr>
            </w:pPr>
            <w:r>
              <w:rPr>
                <w:rFonts w:ascii="Times New Roman"/>
                <w:sz w:val="20"/>
              </w:rPr>
              <w:t>This</w:t>
            </w:r>
            <w:r>
              <w:rPr>
                <w:rFonts w:ascii="Times New Roman"/>
                <w:spacing w:val="-5"/>
                <w:sz w:val="20"/>
              </w:rPr>
              <w:t xml:space="preserve"> </w:t>
            </w:r>
            <w:r>
              <w:rPr>
                <w:rFonts w:ascii="Times New Roman"/>
                <w:sz w:val="20"/>
              </w:rPr>
              <w:t>requirement</w:t>
            </w:r>
            <w:r>
              <w:rPr>
                <w:rFonts w:ascii="Times New Roman"/>
                <w:spacing w:val="-5"/>
                <w:sz w:val="20"/>
              </w:rPr>
              <w:t xml:space="preserve"> </w:t>
            </w:r>
            <w:r>
              <w:rPr>
                <w:rFonts w:ascii="Times New Roman"/>
                <w:sz w:val="20"/>
              </w:rPr>
              <w:t>also</w:t>
            </w:r>
            <w:r>
              <w:rPr>
                <w:rFonts w:ascii="Times New Roman"/>
                <w:spacing w:val="-3"/>
                <w:sz w:val="20"/>
              </w:rPr>
              <w:t xml:space="preserve"> </w:t>
            </w:r>
            <w:r>
              <w:rPr>
                <w:rFonts w:ascii="Times New Roman"/>
                <w:sz w:val="20"/>
              </w:rPr>
              <w:t>applies</w:t>
            </w:r>
            <w:r>
              <w:rPr>
                <w:rFonts w:ascii="Times New Roman"/>
                <w:spacing w:val="-7"/>
                <w:sz w:val="20"/>
              </w:rPr>
              <w:t xml:space="preserve"> </w:t>
            </w:r>
            <w:r>
              <w:rPr>
                <w:rFonts w:ascii="Times New Roman"/>
                <w:sz w:val="20"/>
              </w:rPr>
              <w:t>to</w:t>
            </w:r>
            <w:r>
              <w:rPr>
                <w:rFonts w:ascii="Times New Roman"/>
                <w:spacing w:val="-2"/>
                <w:sz w:val="20"/>
              </w:rPr>
              <w:t xml:space="preserve"> </w:t>
            </w:r>
            <w:r>
              <w:rPr>
                <w:rFonts w:ascii="Times New Roman"/>
                <w:sz w:val="20"/>
              </w:rPr>
              <w:t>contracts</w:t>
            </w:r>
            <w:r>
              <w:rPr>
                <w:rFonts w:ascii="Times New Roman"/>
                <w:spacing w:val="-5"/>
                <w:sz w:val="20"/>
              </w:rPr>
              <w:t xml:space="preserve"> </w:t>
            </w:r>
            <w:r>
              <w:rPr>
                <w:rFonts w:ascii="Times New Roman"/>
                <w:sz w:val="20"/>
              </w:rPr>
              <w:t>executed</w:t>
            </w:r>
            <w:r>
              <w:rPr>
                <w:rFonts w:ascii="Times New Roman"/>
                <w:spacing w:val="-3"/>
                <w:sz w:val="20"/>
              </w:rPr>
              <w:t xml:space="preserve"> </w:t>
            </w:r>
            <w:r>
              <w:rPr>
                <w:rFonts w:ascii="Times New Roman"/>
                <w:sz w:val="20"/>
              </w:rPr>
              <w:t>by</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Bidder</w:t>
            </w:r>
            <w:r>
              <w:rPr>
                <w:rFonts w:ascii="Times New Roman"/>
                <w:spacing w:val="-3"/>
                <w:sz w:val="20"/>
              </w:rPr>
              <w:t xml:space="preserve"> </w:t>
            </w:r>
            <w:r>
              <w:rPr>
                <w:rFonts w:ascii="Times New Roman"/>
                <w:sz w:val="20"/>
              </w:rPr>
              <w:t>as</w:t>
            </w:r>
            <w:r>
              <w:rPr>
                <w:rFonts w:ascii="Times New Roman"/>
                <w:spacing w:val="-4"/>
                <w:sz w:val="20"/>
              </w:rPr>
              <w:t xml:space="preserve"> </w:t>
            </w:r>
            <w:r>
              <w:rPr>
                <w:rFonts w:ascii="Times New Roman"/>
                <w:sz w:val="20"/>
              </w:rPr>
              <w:t>JV</w:t>
            </w:r>
            <w:r>
              <w:rPr>
                <w:rFonts w:ascii="Times New Roman"/>
                <w:spacing w:val="-5"/>
                <w:sz w:val="20"/>
              </w:rPr>
              <w:t xml:space="preserve"> </w:t>
            </w:r>
            <w:r>
              <w:rPr>
                <w:rFonts w:ascii="Times New Roman"/>
                <w:spacing w:val="-2"/>
                <w:sz w:val="20"/>
              </w:rPr>
              <w:t>member.</w:t>
            </w:r>
          </w:p>
        </w:tc>
      </w:tr>
      <w:tr w:rsidR="007F6DF9">
        <w:trPr>
          <w:trHeight w:val="1012"/>
        </w:trPr>
        <w:tc>
          <w:tcPr>
            <w:tcW w:w="698" w:type="dxa"/>
            <w:tcBorders>
              <w:left w:val="nil"/>
            </w:tcBorders>
          </w:tcPr>
          <w:p w:rsidR="007F6DF9" w:rsidRDefault="00A43FBC">
            <w:pPr>
              <w:pStyle w:val="TableParagraph"/>
              <w:spacing w:line="251" w:lineRule="exact"/>
              <w:ind w:left="107"/>
              <w:rPr>
                <w:rFonts w:ascii="Times New Roman"/>
              </w:rPr>
            </w:pPr>
            <w:r>
              <w:rPr>
                <w:rFonts w:ascii="Times New Roman"/>
                <w:spacing w:val="-5"/>
              </w:rPr>
              <w:t>11</w:t>
            </w:r>
          </w:p>
        </w:tc>
        <w:tc>
          <w:tcPr>
            <w:tcW w:w="2554" w:type="dxa"/>
          </w:tcPr>
          <w:p w:rsidR="007F6DF9" w:rsidRDefault="00A43FBC">
            <w:pPr>
              <w:pStyle w:val="TableParagraph"/>
              <w:spacing w:line="251" w:lineRule="exact"/>
              <w:ind w:left="108"/>
              <w:rPr>
                <w:rFonts w:ascii="Times New Roman"/>
              </w:rPr>
            </w:pPr>
            <w:r>
              <w:rPr>
                <w:rFonts w:ascii="Times New Roman"/>
              </w:rPr>
              <w:t>Financial</w:t>
            </w:r>
            <w:r>
              <w:rPr>
                <w:rFonts w:ascii="Times New Roman"/>
                <w:spacing w:val="-3"/>
              </w:rPr>
              <w:t xml:space="preserve"> </w:t>
            </w:r>
            <w:r>
              <w:rPr>
                <w:rFonts w:ascii="Times New Roman"/>
                <w:spacing w:val="-2"/>
              </w:rPr>
              <w:t>Capabilities</w:t>
            </w:r>
          </w:p>
        </w:tc>
        <w:tc>
          <w:tcPr>
            <w:tcW w:w="5528" w:type="dxa"/>
          </w:tcPr>
          <w:p w:rsidR="00CD0F3D" w:rsidRDefault="00CD0F3D" w:rsidP="00CD0F3D">
            <w:pPr>
              <w:pStyle w:val="TableParagraph"/>
              <w:ind w:right="165"/>
              <w:rPr>
                <w:rFonts w:ascii="Times New Roman"/>
              </w:rPr>
            </w:pPr>
          </w:p>
          <w:p w:rsidR="007F6DF9" w:rsidRDefault="007F6DF9">
            <w:pPr>
              <w:pStyle w:val="TableParagraph"/>
              <w:spacing w:line="236" w:lineRule="exact"/>
              <w:ind w:left="105"/>
              <w:rPr>
                <w:rFonts w:ascii="Times New Roman"/>
              </w:rPr>
            </w:pPr>
          </w:p>
        </w:tc>
        <w:tc>
          <w:tcPr>
            <w:tcW w:w="2979" w:type="dxa"/>
          </w:tcPr>
          <w:p w:rsidR="007F6DF9" w:rsidRDefault="00A43FBC">
            <w:pPr>
              <w:pStyle w:val="TableParagraph"/>
              <w:ind w:left="108" w:right="187"/>
              <w:rPr>
                <w:rFonts w:ascii="Times New Roman" w:hAnsi="Times New Roman"/>
              </w:rPr>
            </w:pPr>
            <w:r>
              <w:rPr>
                <w:rFonts w:ascii="Times New Roman" w:hAnsi="Times New Roman"/>
              </w:rPr>
              <w:t>Form</w:t>
            </w:r>
            <w:r>
              <w:rPr>
                <w:rFonts w:ascii="Times New Roman" w:hAnsi="Times New Roman"/>
                <w:spacing w:val="-9"/>
              </w:rPr>
              <w:t xml:space="preserve"> </w:t>
            </w:r>
            <w:r>
              <w:rPr>
                <w:rFonts w:ascii="Times New Roman" w:hAnsi="Times New Roman"/>
              </w:rPr>
              <w:t>FIN</w:t>
            </w:r>
            <w:r>
              <w:rPr>
                <w:rFonts w:ascii="Times New Roman" w:hAnsi="Times New Roman"/>
                <w:spacing w:val="-10"/>
              </w:rPr>
              <w:t xml:space="preserve"> </w:t>
            </w:r>
            <w:r>
              <w:rPr>
                <w:rFonts w:ascii="Times New Roman" w:hAnsi="Times New Roman"/>
              </w:rPr>
              <w:t>–</w:t>
            </w:r>
            <w:r>
              <w:rPr>
                <w:rFonts w:ascii="Times New Roman" w:hAnsi="Times New Roman"/>
                <w:spacing w:val="-9"/>
              </w:rPr>
              <w:t xml:space="preserve"> </w:t>
            </w:r>
            <w:r>
              <w:rPr>
                <w:rFonts w:ascii="Times New Roman" w:hAnsi="Times New Roman"/>
              </w:rPr>
              <w:t>3.1,</w:t>
            </w:r>
            <w:r>
              <w:rPr>
                <w:rFonts w:ascii="Times New Roman" w:hAnsi="Times New Roman"/>
                <w:spacing w:val="-9"/>
              </w:rPr>
              <w:t xml:space="preserve"> </w:t>
            </w:r>
            <w:r>
              <w:rPr>
                <w:rFonts w:ascii="Times New Roman" w:hAnsi="Times New Roman"/>
              </w:rPr>
              <w:t xml:space="preserve">with </w:t>
            </w:r>
            <w:r>
              <w:rPr>
                <w:rFonts w:ascii="Times New Roman" w:hAnsi="Times New Roman"/>
                <w:spacing w:val="-2"/>
              </w:rPr>
              <w:t>attachments</w:t>
            </w:r>
          </w:p>
        </w:tc>
        <w:tc>
          <w:tcPr>
            <w:tcW w:w="2549" w:type="dxa"/>
          </w:tcPr>
          <w:p w:rsidR="007F6DF9" w:rsidRDefault="007F6DF9">
            <w:pPr>
              <w:pStyle w:val="TableParagraph"/>
              <w:rPr>
                <w:rFonts w:ascii="Times New Roman"/>
                <w:sz w:val="20"/>
              </w:rPr>
            </w:pPr>
          </w:p>
        </w:tc>
      </w:tr>
    </w:tbl>
    <w:p w:rsidR="007F6DF9" w:rsidRDefault="007F6DF9">
      <w:pPr>
        <w:pStyle w:val="TableParagraph"/>
        <w:rPr>
          <w:rFonts w:ascii="Times New Roman"/>
          <w:sz w:val="20"/>
        </w:rPr>
        <w:sectPr w:rsidR="007F6DF9">
          <w:headerReference w:type="default" r:id="rId17"/>
          <w:footerReference w:type="default" r:id="rId18"/>
          <w:pgSz w:w="16850" w:h="11920" w:orient="landscape"/>
          <w:pgMar w:top="0" w:right="850" w:bottom="0" w:left="566" w:header="0" w:footer="0"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554"/>
        <w:gridCol w:w="5528"/>
        <w:gridCol w:w="2979"/>
        <w:gridCol w:w="2549"/>
      </w:tblGrid>
      <w:tr w:rsidR="007F6DF9">
        <w:trPr>
          <w:trHeight w:val="251"/>
        </w:trPr>
        <w:tc>
          <w:tcPr>
            <w:tcW w:w="703" w:type="dxa"/>
          </w:tcPr>
          <w:p w:rsidR="007F6DF9" w:rsidRDefault="00A43FBC">
            <w:pPr>
              <w:pStyle w:val="TableParagraph"/>
              <w:spacing w:line="232" w:lineRule="exact"/>
              <w:ind w:left="107"/>
              <w:rPr>
                <w:rFonts w:ascii="Times New Roman"/>
                <w:b/>
              </w:rPr>
            </w:pPr>
            <w:r>
              <w:rPr>
                <w:rFonts w:ascii="Times New Roman"/>
                <w:b/>
                <w:spacing w:val="-10"/>
              </w:rPr>
              <w:lastRenderedPageBreak/>
              <w:t>1</w:t>
            </w:r>
          </w:p>
        </w:tc>
        <w:tc>
          <w:tcPr>
            <w:tcW w:w="2554" w:type="dxa"/>
          </w:tcPr>
          <w:p w:rsidR="007F6DF9" w:rsidRDefault="00A43FBC">
            <w:pPr>
              <w:pStyle w:val="TableParagraph"/>
              <w:spacing w:line="232" w:lineRule="exact"/>
              <w:ind w:left="108"/>
              <w:rPr>
                <w:rFonts w:ascii="Times New Roman"/>
                <w:b/>
              </w:rPr>
            </w:pPr>
            <w:r>
              <w:rPr>
                <w:rFonts w:ascii="Times New Roman"/>
                <w:b/>
                <w:spacing w:val="-10"/>
              </w:rPr>
              <w:t>2</w:t>
            </w:r>
          </w:p>
        </w:tc>
        <w:tc>
          <w:tcPr>
            <w:tcW w:w="5528" w:type="dxa"/>
          </w:tcPr>
          <w:p w:rsidR="007F6DF9" w:rsidRDefault="00A43FBC">
            <w:pPr>
              <w:pStyle w:val="TableParagraph"/>
              <w:spacing w:line="232" w:lineRule="exact"/>
              <w:ind w:left="105"/>
              <w:rPr>
                <w:rFonts w:ascii="Times New Roman"/>
                <w:b/>
              </w:rPr>
            </w:pPr>
            <w:r>
              <w:rPr>
                <w:rFonts w:ascii="Times New Roman"/>
                <w:b/>
                <w:spacing w:val="-10"/>
              </w:rPr>
              <w:t>3</w:t>
            </w:r>
          </w:p>
        </w:tc>
        <w:tc>
          <w:tcPr>
            <w:tcW w:w="2979" w:type="dxa"/>
          </w:tcPr>
          <w:p w:rsidR="007F6DF9" w:rsidRDefault="00A43FBC">
            <w:pPr>
              <w:pStyle w:val="TableParagraph"/>
              <w:spacing w:line="232" w:lineRule="exact"/>
              <w:ind w:left="108"/>
              <w:rPr>
                <w:rFonts w:ascii="Times New Roman"/>
                <w:b/>
                <w:i/>
              </w:rPr>
            </w:pPr>
            <w:r>
              <w:rPr>
                <w:rFonts w:ascii="Times New Roman"/>
                <w:b/>
                <w:i/>
                <w:spacing w:val="-10"/>
              </w:rPr>
              <w:t>4</w:t>
            </w:r>
          </w:p>
        </w:tc>
        <w:tc>
          <w:tcPr>
            <w:tcW w:w="2549" w:type="dxa"/>
          </w:tcPr>
          <w:p w:rsidR="007F6DF9" w:rsidRDefault="00A43FBC">
            <w:pPr>
              <w:pStyle w:val="TableParagraph"/>
              <w:spacing w:line="232" w:lineRule="exact"/>
              <w:ind w:left="105"/>
              <w:rPr>
                <w:rFonts w:ascii="Times New Roman"/>
                <w:b/>
                <w:i/>
              </w:rPr>
            </w:pPr>
            <w:r>
              <w:rPr>
                <w:rFonts w:ascii="Times New Roman"/>
                <w:b/>
                <w:i/>
                <w:spacing w:val="-10"/>
              </w:rPr>
              <w:t>5</w:t>
            </w:r>
          </w:p>
        </w:tc>
      </w:tr>
      <w:tr w:rsidR="007F6DF9">
        <w:trPr>
          <w:trHeight w:val="760"/>
        </w:trPr>
        <w:tc>
          <w:tcPr>
            <w:tcW w:w="703" w:type="dxa"/>
          </w:tcPr>
          <w:p w:rsidR="007F6DF9" w:rsidRDefault="00A43FBC">
            <w:pPr>
              <w:pStyle w:val="TableParagraph"/>
              <w:spacing w:line="242" w:lineRule="auto"/>
              <w:ind w:left="107"/>
              <w:rPr>
                <w:rFonts w:ascii="Times New Roman"/>
                <w:b/>
              </w:rPr>
            </w:pPr>
            <w:r>
              <w:rPr>
                <w:rFonts w:ascii="Times New Roman"/>
                <w:b/>
                <w:spacing w:val="-4"/>
              </w:rPr>
              <w:t>Item No.</w:t>
            </w:r>
          </w:p>
        </w:tc>
        <w:tc>
          <w:tcPr>
            <w:tcW w:w="2554" w:type="dxa"/>
          </w:tcPr>
          <w:p w:rsidR="007F6DF9" w:rsidRDefault="00A43FBC">
            <w:pPr>
              <w:pStyle w:val="TableParagraph"/>
              <w:spacing w:line="243" w:lineRule="exact"/>
              <w:ind w:left="108"/>
              <w:rPr>
                <w:rFonts w:ascii="Times New Roman"/>
                <w:b/>
              </w:rPr>
            </w:pPr>
            <w:r>
              <w:rPr>
                <w:rFonts w:ascii="Times New Roman"/>
                <w:b/>
              </w:rPr>
              <w:t>Qualification</w:t>
            </w:r>
            <w:r>
              <w:rPr>
                <w:rFonts w:ascii="Times New Roman"/>
                <w:b/>
                <w:spacing w:val="-8"/>
              </w:rPr>
              <w:t xml:space="preserve"> </w:t>
            </w:r>
            <w:r>
              <w:rPr>
                <w:rFonts w:ascii="Times New Roman"/>
                <w:b/>
                <w:spacing w:val="-2"/>
              </w:rPr>
              <w:t>Subject</w:t>
            </w:r>
          </w:p>
        </w:tc>
        <w:tc>
          <w:tcPr>
            <w:tcW w:w="5528" w:type="dxa"/>
          </w:tcPr>
          <w:p w:rsidR="007F6DF9" w:rsidRDefault="00A43FBC">
            <w:pPr>
              <w:pStyle w:val="TableParagraph"/>
              <w:spacing w:line="243" w:lineRule="exact"/>
              <w:ind w:left="105"/>
              <w:rPr>
                <w:rFonts w:ascii="Times New Roman"/>
                <w:b/>
              </w:rPr>
            </w:pPr>
            <w:r>
              <w:rPr>
                <w:rFonts w:ascii="Times New Roman"/>
                <w:b/>
              </w:rPr>
              <w:t>Qualification</w:t>
            </w:r>
            <w:r>
              <w:rPr>
                <w:rFonts w:ascii="Times New Roman"/>
                <w:b/>
                <w:spacing w:val="-8"/>
              </w:rPr>
              <w:t xml:space="preserve"> </w:t>
            </w:r>
            <w:r>
              <w:rPr>
                <w:rFonts w:ascii="Times New Roman"/>
                <w:b/>
                <w:spacing w:val="-2"/>
              </w:rPr>
              <w:t>Requirement</w:t>
            </w:r>
          </w:p>
        </w:tc>
        <w:tc>
          <w:tcPr>
            <w:tcW w:w="2979" w:type="dxa"/>
          </w:tcPr>
          <w:p w:rsidR="007F6DF9" w:rsidRDefault="00A43FBC">
            <w:pPr>
              <w:pStyle w:val="TableParagraph"/>
              <w:spacing w:line="242" w:lineRule="auto"/>
              <w:ind w:left="108" w:right="187"/>
              <w:rPr>
                <w:rFonts w:ascii="Times New Roman"/>
                <w:b/>
                <w:i/>
              </w:rPr>
            </w:pPr>
            <w:r>
              <w:rPr>
                <w:rFonts w:ascii="Times New Roman"/>
                <w:b/>
                <w:i/>
              </w:rPr>
              <w:t>Document</w:t>
            </w:r>
            <w:r>
              <w:rPr>
                <w:rFonts w:ascii="Times New Roman"/>
                <w:b/>
                <w:i/>
                <w:spacing w:val="-12"/>
              </w:rPr>
              <w:t xml:space="preserve"> </w:t>
            </w:r>
            <w:r>
              <w:rPr>
                <w:rFonts w:ascii="Times New Roman"/>
                <w:b/>
                <w:i/>
              </w:rPr>
              <w:t>To</w:t>
            </w:r>
            <w:r>
              <w:rPr>
                <w:rFonts w:ascii="Times New Roman"/>
                <w:b/>
                <w:i/>
                <w:spacing w:val="-13"/>
              </w:rPr>
              <w:t xml:space="preserve"> </w:t>
            </w:r>
            <w:r>
              <w:rPr>
                <w:rFonts w:ascii="Times New Roman"/>
                <w:b/>
                <w:i/>
              </w:rPr>
              <w:t>be</w:t>
            </w:r>
            <w:r>
              <w:rPr>
                <w:rFonts w:ascii="Times New Roman"/>
                <w:b/>
                <w:i/>
                <w:spacing w:val="-13"/>
              </w:rPr>
              <w:t xml:space="preserve"> </w:t>
            </w:r>
            <w:r>
              <w:rPr>
                <w:rFonts w:ascii="Times New Roman"/>
                <w:b/>
                <w:i/>
              </w:rPr>
              <w:t>Completed by Tenderer</w:t>
            </w:r>
          </w:p>
        </w:tc>
        <w:tc>
          <w:tcPr>
            <w:tcW w:w="2549" w:type="dxa"/>
          </w:tcPr>
          <w:p w:rsidR="007F6DF9" w:rsidRDefault="00A43FBC">
            <w:pPr>
              <w:pStyle w:val="TableParagraph"/>
              <w:spacing w:line="243" w:lineRule="exact"/>
              <w:ind w:left="105"/>
              <w:rPr>
                <w:rFonts w:ascii="Times New Roman" w:hAnsi="Times New Roman"/>
                <w:b/>
                <w:i/>
              </w:rPr>
            </w:pPr>
            <w:r>
              <w:rPr>
                <w:rFonts w:ascii="Times New Roman" w:hAnsi="Times New Roman"/>
                <w:b/>
                <w:i/>
              </w:rPr>
              <w:t>For</w:t>
            </w:r>
            <w:r>
              <w:rPr>
                <w:rFonts w:ascii="Times New Roman" w:hAnsi="Times New Roman"/>
                <w:b/>
                <w:i/>
                <w:spacing w:val="-2"/>
              </w:rPr>
              <w:t xml:space="preserve"> </w:t>
            </w:r>
            <w:r>
              <w:rPr>
                <w:rFonts w:ascii="Times New Roman" w:hAnsi="Times New Roman"/>
                <w:b/>
                <w:i/>
              </w:rPr>
              <w:t>Procuring</w:t>
            </w:r>
            <w:r>
              <w:rPr>
                <w:rFonts w:ascii="Times New Roman" w:hAnsi="Times New Roman"/>
                <w:b/>
                <w:i/>
                <w:spacing w:val="-1"/>
              </w:rPr>
              <w:t xml:space="preserve"> </w:t>
            </w:r>
            <w:r>
              <w:rPr>
                <w:rFonts w:ascii="Times New Roman" w:hAnsi="Times New Roman"/>
                <w:b/>
                <w:i/>
                <w:spacing w:val="-2"/>
              </w:rPr>
              <w:t>Entity’s</w:t>
            </w:r>
          </w:p>
          <w:p w:rsidR="007F6DF9" w:rsidRDefault="00A43FBC">
            <w:pPr>
              <w:pStyle w:val="TableParagraph"/>
              <w:spacing w:line="252" w:lineRule="exact"/>
              <w:ind w:left="105"/>
              <w:rPr>
                <w:rFonts w:ascii="Times New Roman"/>
                <w:b/>
                <w:i/>
              </w:rPr>
            </w:pPr>
            <w:r>
              <w:rPr>
                <w:rFonts w:ascii="Times New Roman"/>
                <w:b/>
                <w:i/>
              </w:rPr>
              <w:t>Use</w:t>
            </w:r>
            <w:r>
              <w:rPr>
                <w:rFonts w:ascii="Times New Roman"/>
                <w:b/>
                <w:i/>
                <w:spacing w:val="-11"/>
              </w:rPr>
              <w:t xml:space="preserve"> </w:t>
            </w:r>
            <w:r>
              <w:rPr>
                <w:rFonts w:ascii="Times New Roman"/>
                <w:b/>
                <w:i/>
              </w:rPr>
              <w:t>(Qualification</w:t>
            </w:r>
            <w:r>
              <w:rPr>
                <w:rFonts w:ascii="Times New Roman"/>
                <w:b/>
                <w:i/>
                <w:spacing w:val="-14"/>
              </w:rPr>
              <w:t xml:space="preserve"> </w:t>
            </w:r>
            <w:r>
              <w:rPr>
                <w:rFonts w:ascii="Times New Roman"/>
                <w:b/>
                <w:i/>
              </w:rPr>
              <w:t>met</w:t>
            </w:r>
            <w:r>
              <w:rPr>
                <w:rFonts w:ascii="Times New Roman"/>
                <w:b/>
                <w:i/>
                <w:spacing w:val="-13"/>
              </w:rPr>
              <w:t xml:space="preserve"> </w:t>
            </w:r>
            <w:r>
              <w:rPr>
                <w:rFonts w:ascii="Times New Roman"/>
                <w:b/>
                <w:i/>
              </w:rPr>
              <w:t>or Not Met)</w:t>
            </w:r>
          </w:p>
        </w:tc>
      </w:tr>
      <w:tr w:rsidR="007F6DF9">
        <w:trPr>
          <w:trHeight w:val="4301"/>
        </w:trPr>
        <w:tc>
          <w:tcPr>
            <w:tcW w:w="703" w:type="dxa"/>
          </w:tcPr>
          <w:p w:rsidR="007F6DF9" w:rsidRDefault="007F6DF9">
            <w:pPr>
              <w:pStyle w:val="TableParagraph"/>
              <w:rPr>
                <w:rFonts w:ascii="Times New Roman"/>
                <w:sz w:val="20"/>
              </w:rPr>
            </w:pPr>
          </w:p>
        </w:tc>
        <w:tc>
          <w:tcPr>
            <w:tcW w:w="2554" w:type="dxa"/>
          </w:tcPr>
          <w:p w:rsidR="007F6DF9" w:rsidRDefault="007F6DF9">
            <w:pPr>
              <w:pStyle w:val="TableParagraph"/>
              <w:rPr>
                <w:rFonts w:ascii="Times New Roman"/>
                <w:sz w:val="20"/>
              </w:rPr>
            </w:pPr>
          </w:p>
        </w:tc>
        <w:tc>
          <w:tcPr>
            <w:tcW w:w="5528" w:type="dxa"/>
          </w:tcPr>
          <w:p w:rsidR="007F6DF9" w:rsidRDefault="00A43FBC" w:rsidP="00CD0F3D">
            <w:pPr>
              <w:pStyle w:val="TableParagraph"/>
              <w:numPr>
                <w:ilvl w:val="0"/>
                <w:numId w:val="249"/>
              </w:numPr>
              <w:tabs>
                <w:tab w:val="left" w:pos="427"/>
              </w:tabs>
              <w:spacing w:before="241"/>
              <w:ind w:right="139"/>
              <w:rPr>
                <w:rFonts w:ascii="Times New Roman"/>
              </w:rPr>
            </w:pPr>
            <w:r>
              <w:rPr>
                <w:rFonts w:ascii="Times New Roman"/>
              </w:rPr>
              <w:t>The</w:t>
            </w:r>
            <w:r>
              <w:rPr>
                <w:rFonts w:ascii="Times New Roman"/>
                <w:spacing w:val="-4"/>
              </w:rPr>
              <w:t xml:space="preserve"> </w:t>
            </w:r>
            <w:r>
              <w:rPr>
                <w:rFonts w:ascii="Times New Roman"/>
              </w:rPr>
              <w:t>Tenderers</w:t>
            </w:r>
            <w:r>
              <w:rPr>
                <w:rFonts w:ascii="Times New Roman"/>
                <w:spacing w:val="-6"/>
              </w:rPr>
              <w:t xml:space="preserve"> </w:t>
            </w:r>
            <w:r>
              <w:rPr>
                <w:rFonts w:ascii="Times New Roman"/>
              </w:rPr>
              <w:t>shall</w:t>
            </w:r>
            <w:r>
              <w:rPr>
                <w:rFonts w:ascii="Times New Roman"/>
                <w:spacing w:val="-6"/>
              </w:rPr>
              <w:t xml:space="preserve"> </w:t>
            </w:r>
            <w:r>
              <w:rPr>
                <w:rFonts w:ascii="Times New Roman"/>
              </w:rPr>
              <w:t>demonstrate,</w:t>
            </w:r>
            <w:r>
              <w:rPr>
                <w:rFonts w:ascii="Times New Roman"/>
                <w:spacing w:val="-6"/>
              </w:rPr>
              <w:t xml:space="preserve"> </w:t>
            </w:r>
            <w:r>
              <w:rPr>
                <w:rFonts w:ascii="Times New Roman"/>
              </w:rPr>
              <w:t>to</w:t>
            </w:r>
            <w:r>
              <w:rPr>
                <w:rFonts w:ascii="Times New Roman"/>
                <w:spacing w:val="-7"/>
              </w:rPr>
              <w:t xml:space="preserve"> </w:t>
            </w:r>
            <w:r>
              <w:rPr>
                <w:rFonts w:ascii="Times New Roman"/>
              </w:rPr>
              <w:t>the</w:t>
            </w:r>
            <w:r>
              <w:rPr>
                <w:rFonts w:ascii="Times New Roman"/>
                <w:spacing w:val="-6"/>
              </w:rPr>
              <w:t xml:space="preserve"> </w:t>
            </w:r>
            <w:r>
              <w:rPr>
                <w:rFonts w:ascii="Times New Roman"/>
              </w:rPr>
              <w:t>satisfaction of the Procuring Entity, that it has adequate sources of finance to meet the cash flow requirements on works currently in progress and for future contract commitments.</w:t>
            </w:r>
          </w:p>
          <w:p w:rsidR="007F6DF9" w:rsidRDefault="007F6DF9">
            <w:pPr>
              <w:pStyle w:val="TableParagraph"/>
              <w:rPr>
                <w:rFonts w:ascii="Times New Roman"/>
                <w:b/>
              </w:rPr>
            </w:pPr>
          </w:p>
          <w:p w:rsidR="007F6DF9" w:rsidRPr="00CD0F3D" w:rsidRDefault="00A43FBC" w:rsidP="00CD0F3D">
            <w:pPr>
              <w:pStyle w:val="TableParagraph"/>
              <w:numPr>
                <w:ilvl w:val="0"/>
                <w:numId w:val="249"/>
              </w:numPr>
              <w:tabs>
                <w:tab w:val="left" w:pos="487"/>
              </w:tabs>
              <w:ind w:right="340"/>
              <w:rPr>
                <w:rFonts w:ascii="Times New Roman" w:hAnsi="Times New Roman"/>
              </w:rPr>
            </w:pPr>
            <w:r>
              <w:rPr>
                <w:rFonts w:ascii="Times New Roman" w:hAnsi="Times New Roman"/>
              </w:rPr>
              <w:t>The audited balance sheets or, if not required by the laws</w:t>
            </w:r>
            <w:r>
              <w:rPr>
                <w:rFonts w:ascii="Times New Roman" w:hAnsi="Times New Roman"/>
                <w:spacing w:val="-5"/>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Tenderer’s</w:t>
            </w:r>
            <w:r>
              <w:rPr>
                <w:rFonts w:ascii="Times New Roman" w:hAnsi="Times New Roman"/>
                <w:spacing w:val="-5"/>
              </w:rPr>
              <w:t xml:space="preserve"> </w:t>
            </w:r>
            <w:r>
              <w:rPr>
                <w:rFonts w:ascii="Times New Roman" w:hAnsi="Times New Roman"/>
              </w:rPr>
              <w:t>country,</w:t>
            </w:r>
            <w:r>
              <w:rPr>
                <w:rFonts w:ascii="Times New Roman" w:hAnsi="Times New Roman"/>
                <w:spacing w:val="-5"/>
              </w:rPr>
              <w:t xml:space="preserve"> </w:t>
            </w:r>
            <w:r>
              <w:rPr>
                <w:rFonts w:ascii="Times New Roman" w:hAnsi="Times New Roman"/>
              </w:rPr>
              <w:t>other</w:t>
            </w:r>
            <w:r>
              <w:rPr>
                <w:rFonts w:ascii="Times New Roman" w:hAnsi="Times New Roman"/>
                <w:spacing w:val="-7"/>
              </w:rPr>
              <w:t xml:space="preserve"> </w:t>
            </w:r>
            <w:r>
              <w:rPr>
                <w:rFonts w:ascii="Times New Roman" w:hAnsi="Times New Roman"/>
              </w:rPr>
              <w:t>financial</w:t>
            </w:r>
            <w:r>
              <w:rPr>
                <w:rFonts w:ascii="Times New Roman" w:hAnsi="Times New Roman"/>
                <w:spacing w:val="-7"/>
              </w:rPr>
              <w:t xml:space="preserve"> </w:t>
            </w:r>
            <w:r>
              <w:rPr>
                <w:rFonts w:ascii="Times New Roman" w:hAnsi="Times New Roman"/>
              </w:rPr>
              <w:t xml:space="preserve">statements acceptable to the Procuring Entity, for the last </w:t>
            </w:r>
            <w:r>
              <w:rPr>
                <w:rFonts w:ascii="Times New Roman" w:hAnsi="Times New Roman"/>
                <w:i/>
              </w:rPr>
              <w:t xml:space="preserve">[3] </w:t>
            </w:r>
            <w:proofErr w:type="gramStart"/>
            <w:r>
              <w:rPr>
                <w:rFonts w:ascii="Times New Roman" w:hAnsi="Times New Roman"/>
              </w:rPr>
              <w:t>years</w:t>
            </w:r>
            <w:r w:rsidR="00085147">
              <w:rPr>
                <w:rFonts w:ascii="Times New Roman" w:hAnsi="Times New Roman"/>
              </w:rPr>
              <w:t>(</w:t>
            </w:r>
            <w:proofErr w:type="gramEnd"/>
            <w:r w:rsidR="00085147">
              <w:rPr>
                <w:rFonts w:ascii="Times New Roman" w:hAnsi="Times New Roman"/>
              </w:rPr>
              <w:t>2023,2024 &amp; 2025)</w:t>
            </w:r>
            <w:r>
              <w:rPr>
                <w:rFonts w:ascii="Times New Roman" w:hAnsi="Times New Roman"/>
              </w:rPr>
              <w:t xml:space="preserve"> shall be submitted and must demonstrate the current</w:t>
            </w:r>
            <w:r w:rsidR="00CD0F3D">
              <w:rPr>
                <w:rFonts w:ascii="Times New Roman" w:hAnsi="Times New Roman"/>
              </w:rPr>
              <w:t xml:space="preserve"> </w:t>
            </w:r>
            <w:r w:rsidRPr="00CD0F3D">
              <w:rPr>
                <w:rFonts w:ascii="Times New Roman" w:hAnsi="Times New Roman"/>
              </w:rPr>
              <w:t>soundness</w:t>
            </w:r>
            <w:r w:rsidRPr="00CD0F3D">
              <w:rPr>
                <w:rFonts w:ascii="Times New Roman" w:hAnsi="Times New Roman"/>
                <w:spacing w:val="-4"/>
              </w:rPr>
              <w:t xml:space="preserve"> </w:t>
            </w:r>
            <w:r w:rsidRPr="00CD0F3D">
              <w:rPr>
                <w:rFonts w:ascii="Times New Roman" w:hAnsi="Times New Roman"/>
              </w:rPr>
              <w:t>of</w:t>
            </w:r>
            <w:r w:rsidRPr="00CD0F3D">
              <w:rPr>
                <w:rFonts w:ascii="Times New Roman" w:hAnsi="Times New Roman"/>
                <w:spacing w:val="-5"/>
              </w:rPr>
              <w:t xml:space="preserve"> </w:t>
            </w:r>
            <w:r w:rsidRPr="00CD0F3D">
              <w:rPr>
                <w:rFonts w:ascii="Times New Roman" w:hAnsi="Times New Roman"/>
              </w:rPr>
              <w:t>the</w:t>
            </w:r>
            <w:r w:rsidRPr="00CD0F3D">
              <w:rPr>
                <w:rFonts w:ascii="Times New Roman" w:hAnsi="Times New Roman"/>
                <w:spacing w:val="-5"/>
              </w:rPr>
              <w:t xml:space="preserve"> </w:t>
            </w:r>
            <w:r w:rsidRPr="00CD0F3D">
              <w:rPr>
                <w:rFonts w:ascii="Times New Roman" w:hAnsi="Times New Roman"/>
              </w:rPr>
              <w:t>Tenderer’s</w:t>
            </w:r>
            <w:r w:rsidRPr="00CD0F3D">
              <w:rPr>
                <w:rFonts w:ascii="Times New Roman" w:hAnsi="Times New Roman"/>
                <w:spacing w:val="-5"/>
              </w:rPr>
              <w:t xml:space="preserve"> </w:t>
            </w:r>
            <w:r w:rsidRPr="00CD0F3D">
              <w:rPr>
                <w:rFonts w:ascii="Times New Roman" w:hAnsi="Times New Roman"/>
              </w:rPr>
              <w:t>financial</w:t>
            </w:r>
            <w:r w:rsidRPr="00CD0F3D">
              <w:rPr>
                <w:rFonts w:ascii="Times New Roman" w:hAnsi="Times New Roman"/>
                <w:spacing w:val="-4"/>
              </w:rPr>
              <w:t xml:space="preserve"> </w:t>
            </w:r>
            <w:r w:rsidRPr="00CD0F3D">
              <w:rPr>
                <w:rFonts w:ascii="Times New Roman" w:hAnsi="Times New Roman"/>
              </w:rPr>
              <w:t>position</w:t>
            </w:r>
            <w:r w:rsidRPr="00CD0F3D">
              <w:rPr>
                <w:rFonts w:ascii="Times New Roman" w:hAnsi="Times New Roman"/>
                <w:spacing w:val="-8"/>
              </w:rPr>
              <w:t xml:space="preserve"> </w:t>
            </w:r>
            <w:r w:rsidRPr="00CD0F3D">
              <w:rPr>
                <w:rFonts w:ascii="Times New Roman" w:hAnsi="Times New Roman"/>
              </w:rPr>
              <w:t>and</w:t>
            </w:r>
            <w:r w:rsidRPr="00CD0F3D">
              <w:rPr>
                <w:rFonts w:ascii="Times New Roman" w:hAnsi="Times New Roman"/>
                <w:spacing w:val="-7"/>
              </w:rPr>
              <w:t xml:space="preserve"> </w:t>
            </w:r>
            <w:r w:rsidRPr="00CD0F3D">
              <w:rPr>
                <w:rFonts w:ascii="Times New Roman" w:hAnsi="Times New Roman"/>
              </w:rPr>
              <w:t xml:space="preserve">indicate its prospective long-term profitability. </w:t>
            </w:r>
            <w:r w:rsidRPr="00CD0F3D">
              <w:rPr>
                <w:rFonts w:ascii="Times New Roman" w:hAnsi="Times New Roman"/>
                <w:b/>
                <w:i/>
                <w:color w:val="221F1F"/>
              </w:rPr>
              <w:t>Attach evidence in form of letter from bank, overdraft facility, current bank</w:t>
            </w:r>
          </w:p>
          <w:p w:rsidR="007F6DF9" w:rsidRDefault="00A43FBC">
            <w:pPr>
              <w:pStyle w:val="TableParagraph"/>
              <w:tabs>
                <w:tab w:val="left" w:pos="3756"/>
              </w:tabs>
              <w:spacing w:line="244" w:lineRule="exact"/>
              <w:ind w:left="105"/>
              <w:rPr>
                <w:rFonts w:ascii="Times New Roman"/>
                <w:b/>
                <w:i/>
              </w:rPr>
            </w:pPr>
            <w:r>
              <w:rPr>
                <w:rFonts w:ascii="Times New Roman"/>
                <w:b/>
                <w:i/>
                <w:color w:val="221F1F"/>
              </w:rPr>
              <w:t>statements</w:t>
            </w:r>
            <w:r>
              <w:rPr>
                <w:rFonts w:ascii="Times New Roman"/>
                <w:b/>
                <w:i/>
                <w:color w:val="221F1F"/>
                <w:spacing w:val="-3"/>
              </w:rPr>
              <w:t xml:space="preserve"> </w:t>
            </w:r>
            <w:r>
              <w:rPr>
                <w:rFonts w:ascii="Times New Roman"/>
                <w:b/>
                <w:i/>
                <w:color w:val="221F1F"/>
              </w:rPr>
              <w:t>for</w:t>
            </w:r>
            <w:r>
              <w:rPr>
                <w:rFonts w:ascii="Times New Roman"/>
                <w:b/>
                <w:i/>
                <w:color w:val="221F1F"/>
                <w:spacing w:val="-2"/>
              </w:rPr>
              <w:t xml:space="preserve"> </w:t>
            </w:r>
            <w:r>
              <w:rPr>
                <w:rFonts w:ascii="Times New Roman"/>
                <w:b/>
                <w:i/>
                <w:color w:val="221F1F"/>
              </w:rPr>
              <w:t>the</w:t>
            </w:r>
            <w:r>
              <w:rPr>
                <w:rFonts w:ascii="Times New Roman"/>
                <w:b/>
                <w:i/>
                <w:color w:val="221F1F"/>
                <w:spacing w:val="-3"/>
              </w:rPr>
              <w:t xml:space="preserve"> </w:t>
            </w:r>
            <w:r>
              <w:rPr>
                <w:rFonts w:ascii="Times New Roman"/>
                <w:b/>
                <w:i/>
                <w:color w:val="221F1F"/>
              </w:rPr>
              <w:t>last</w:t>
            </w:r>
            <w:r>
              <w:rPr>
                <w:rFonts w:ascii="Times New Roman"/>
                <w:b/>
                <w:i/>
                <w:color w:val="221F1F"/>
                <w:spacing w:val="-3"/>
              </w:rPr>
              <w:t xml:space="preserve"> </w:t>
            </w:r>
            <w:r>
              <w:rPr>
                <w:rFonts w:ascii="Times New Roman"/>
                <w:b/>
                <w:i/>
                <w:color w:val="221F1F"/>
              </w:rPr>
              <w:t>6</w:t>
            </w:r>
            <w:r>
              <w:rPr>
                <w:rFonts w:ascii="Times New Roman"/>
                <w:b/>
                <w:i/>
                <w:color w:val="221F1F"/>
                <w:spacing w:val="-2"/>
              </w:rPr>
              <w:t xml:space="preserve"> months)</w:t>
            </w:r>
            <w:r>
              <w:rPr>
                <w:rFonts w:ascii="Times New Roman"/>
                <w:b/>
                <w:i/>
                <w:color w:val="221F1F"/>
                <w:u w:val="single" w:color="211E1F"/>
              </w:rPr>
              <w:tab/>
            </w:r>
          </w:p>
        </w:tc>
        <w:tc>
          <w:tcPr>
            <w:tcW w:w="2979" w:type="dxa"/>
          </w:tcPr>
          <w:p w:rsidR="007F6DF9" w:rsidRDefault="007F6DF9">
            <w:pPr>
              <w:pStyle w:val="TableParagraph"/>
              <w:rPr>
                <w:rFonts w:ascii="Times New Roman"/>
                <w:sz w:val="20"/>
              </w:rPr>
            </w:pPr>
          </w:p>
        </w:tc>
        <w:tc>
          <w:tcPr>
            <w:tcW w:w="2549" w:type="dxa"/>
          </w:tcPr>
          <w:p w:rsidR="007F6DF9" w:rsidRDefault="007F6DF9">
            <w:pPr>
              <w:pStyle w:val="TableParagraph"/>
              <w:rPr>
                <w:rFonts w:ascii="Times New Roman"/>
                <w:sz w:val="20"/>
              </w:rPr>
            </w:pPr>
          </w:p>
        </w:tc>
      </w:tr>
      <w:tr w:rsidR="007F6DF9">
        <w:trPr>
          <w:trHeight w:val="2445"/>
        </w:trPr>
        <w:tc>
          <w:tcPr>
            <w:tcW w:w="703" w:type="dxa"/>
          </w:tcPr>
          <w:p w:rsidR="007F6DF9" w:rsidRDefault="00A43FBC">
            <w:pPr>
              <w:pStyle w:val="TableParagraph"/>
              <w:spacing w:line="243" w:lineRule="exact"/>
              <w:ind w:left="107"/>
              <w:rPr>
                <w:rFonts w:ascii="Times New Roman"/>
              </w:rPr>
            </w:pPr>
            <w:r>
              <w:rPr>
                <w:rFonts w:ascii="Times New Roman"/>
                <w:spacing w:val="-5"/>
              </w:rPr>
              <w:t>12</w:t>
            </w:r>
          </w:p>
        </w:tc>
        <w:tc>
          <w:tcPr>
            <w:tcW w:w="2554" w:type="dxa"/>
          </w:tcPr>
          <w:p w:rsidR="007F6DF9" w:rsidRDefault="00A43FBC">
            <w:pPr>
              <w:pStyle w:val="TableParagraph"/>
              <w:ind w:left="108" w:right="419"/>
              <w:rPr>
                <w:rFonts w:ascii="Times New Roman"/>
              </w:rPr>
            </w:pPr>
            <w:r>
              <w:rPr>
                <w:rFonts w:ascii="Times New Roman"/>
              </w:rPr>
              <w:t>Average Annual Construction</w:t>
            </w:r>
            <w:r>
              <w:rPr>
                <w:rFonts w:ascii="Times New Roman"/>
                <w:spacing w:val="-14"/>
              </w:rPr>
              <w:t xml:space="preserve"> </w:t>
            </w:r>
            <w:r>
              <w:rPr>
                <w:rFonts w:ascii="Times New Roman"/>
              </w:rPr>
              <w:t>Turnover</w:t>
            </w:r>
          </w:p>
        </w:tc>
        <w:tc>
          <w:tcPr>
            <w:tcW w:w="5528" w:type="dxa"/>
          </w:tcPr>
          <w:p w:rsidR="007F6DF9" w:rsidRDefault="00A43FBC">
            <w:pPr>
              <w:pStyle w:val="TableParagraph"/>
              <w:spacing w:line="230" w:lineRule="auto"/>
              <w:ind w:left="105" w:right="96"/>
              <w:jc w:val="both"/>
              <w:rPr>
                <w:rFonts w:ascii="Times New Roman"/>
                <w:b/>
                <w:i/>
              </w:rPr>
            </w:pPr>
            <w:r>
              <w:rPr>
                <w:rFonts w:ascii="Times New Roman"/>
              </w:rPr>
              <w:t xml:space="preserve">Minimum average annual construction turnover of Kenya Shillings </w:t>
            </w:r>
            <w:r w:rsidR="00085147">
              <w:rPr>
                <w:rFonts w:ascii="Times New Roman"/>
                <w:b/>
                <w:i/>
              </w:rPr>
              <w:t>10,000</w:t>
            </w:r>
            <w:r>
              <w:rPr>
                <w:rFonts w:ascii="Times New Roman"/>
                <w:b/>
                <w:i/>
              </w:rPr>
              <w:t>,000.00</w:t>
            </w:r>
            <w:r>
              <w:rPr>
                <w:rFonts w:ascii="Times New Roman"/>
                <w:b/>
              </w:rPr>
              <w:t xml:space="preserve">, </w:t>
            </w:r>
            <w:r>
              <w:rPr>
                <w:rFonts w:ascii="Times New Roman"/>
              </w:rPr>
              <w:t>equivalent calculated as total certified payments received for contracts in progress and/or completed</w:t>
            </w:r>
            <w:r>
              <w:rPr>
                <w:rFonts w:ascii="Times New Roman"/>
                <w:spacing w:val="-2"/>
              </w:rPr>
              <w:t xml:space="preserve"> </w:t>
            </w:r>
            <w:r>
              <w:rPr>
                <w:rFonts w:ascii="Times New Roman"/>
              </w:rPr>
              <w:t>within</w:t>
            </w:r>
            <w:r>
              <w:rPr>
                <w:rFonts w:ascii="Times New Roman"/>
                <w:spacing w:val="-2"/>
              </w:rPr>
              <w:t xml:space="preserve"> </w:t>
            </w:r>
            <w:r>
              <w:rPr>
                <w:rFonts w:ascii="Times New Roman"/>
              </w:rPr>
              <w:t>the</w:t>
            </w:r>
            <w:r>
              <w:rPr>
                <w:rFonts w:ascii="Times New Roman"/>
                <w:spacing w:val="-2"/>
              </w:rPr>
              <w:t xml:space="preserve"> </w:t>
            </w:r>
            <w:r>
              <w:rPr>
                <w:rFonts w:ascii="Times New Roman"/>
              </w:rPr>
              <w:t>last</w:t>
            </w:r>
            <w:r>
              <w:rPr>
                <w:rFonts w:ascii="Times New Roman"/>
                <w:spacing w:val="-1"/>
              </w:rPr>
              <w:t xml:space="preserve"> </w:t>
            </w:r>
            <w:r>
              <w:rPr>
                <w:rFonts w:ascii="Times New Roman"/>
                <w:i/>
              </w:rPr>
              <w:t>3</w:t>
            </w:r>
            <w:r>
              <w:rPr>
                <w:rFonts w:ascii="Times New Roman"/>
                <w:i/>
                <w:spacing w:val="-3"/>
              </w:rPr>
              <w:t xml:space="preserve"> </w:t>
            </w:r>
            <w:r>
              <w:rPr>
                <w:rFonts w:ascii="Times New Roman"/>
              </w:rPr>
              <w:t>years,</w:t>
            </w:r>
            <w:r>
              <w:rPr>
                <w:rFonts w:ascii="Times New Roman"/>
                <w:spacing w:val="-2"/>
              </w:rPr>
              <w:t xml:space="preserve"> </w:t>
            </w:r>
            <w:r>
              <w:rPr>
                <w:rFonts w:ascii="Times New Roman"/>
              </w:rPr>
              <w:t>divided</w:t>
            </w:r>
            <w:r>
              <w:rPr>
                <w:rFonts w:ascii="Times New Roman"/>
                <w:spacing w:val="-2"/>
              </w:rPr>
              <w:t xml:space="preserve"> </w:t>
            </w:r>
            <w:r>
              <w:rPr>
                <w:rFonts w:ascii="Times New Roman"/>
              </w:rPr>
              <w:t>by</w:t>
            </w:r>
            <w:r>
              <w:rPr>
                <w:rFonts w:ascii="Times New Roman"/>
                <w:spacing w:val="-1"/>
              </w:rPr>
              <w:t xml:space="preserve"> </w:t>
            </w:r>
            <w:r>
              <w:rPr>
                <w:rFonts w:ascii="Times New Roman"/>
                <w:i/>
              </w:rPr>
              <w:t>3</w:t>
            </w:r>
            <w:r>
              <w:rPr>
                <w:rFonts w:ascii="Times New Roman"/>
                <w:i/>
                <w:spacing w:val="-1"/>
              </w:rPr>
              <w:t xml:space="preserve"> </w:t>
            </w:r>
            <w:r>
              <w:rPr>
                <w:rFonts w:ascii="Times New Roman"/>
              </w:rPr>
              <w:t>years</w:t>
            </w:r>
            <w:r>
              <w:rPr>
                <w:rFonts w:ascii="Times New Roman"/>
                <w:spacing w:val="-1"/>
              </w:rPr>
              <w:t xml:space="preserve"> </w:t>
            </w:r>
            <w:r>
              <w:rPr>
                <w:rFonts w:ascii="Times New Roman"/>
                <w:b/>
                <w:i/>
              </w:rPr>
              <w:t>Attach evidence in form of audited accounts</w:t>
            </w:r>
            <w:r>
              <w:rPr>
                <w:rFonts w:ascii="Times New Roman"/>
                <w:b/>
                <w:i/>
                <w:spacing w:val="80"/>
              </w:rPr>
              <w:t xml:space="preserve"> </w:t>
            </w:r>
            <w:r>
              <w:rPr>
                <w:rFonts w:ascii="Times New Roman"/>
                <w:b/>
                <w:i/>
              </w:rPr>
              <w:t xml:space="preserve">serialized on every </w:t>
            </w:r>
            <w:proofErr w:type="gramStart"/>
            <w:r>
              <w:rPr>
                <w:rFonts w:ascii="Times New Roman"/>
                <w:b/>
                <w:i/>
              </w:rPr>
              <w:t>page</w:t>
            </w:r>
            <w:r>
              <w:rPr>
                <w:rFonts w:ascii="Times New Roman"/>
                <w:b/>
                <w:i/>
                <w:spacing w:val="29"/>
              </w:rPr>
              <w:t xml:space="preserve"> </w:t>
            </w:r>
            <w:r>
              <w:rPr>
                <w:rFonts w:ascii="Times New Roman"/>
                <w:b/>
                <w:i/>
              </w:rPr>
              <w:t>;</w:t>
            </w:r>
            <w:proofErr w:type="gramEnd"/>
            <w:r>
              <w:rPr>
                <w:rFonts w:ascii="Times New Roman"/>
                <w:b/>
                <w:i/>
                <w:spacing w:val="32"/>
              </w:rPr>
              <w:t xml:space="preserve"> </w:t>
            </w:r>
            <w:r>
              <w:rPr>
                <w:rFonts w:ascii="Times New Roman"/>
                <w:b/>
                <w:i/>
              </w:rPr>
              <w:t>duly</w:t>
            </w:r>
            <w:r>
              <w:rPr>
                <w:rFonts w:ascii="Times New Roman"/>
                <w:b/>
                <w:i/>
                <w:spacing w:val="30"/>
              </w:rPr>
              <w:t xml:space="preserve"> </w:t>
            </w:r>
            <w:r>
              <w:rPr>
                <w:rFonts w:ascii="Times New Roman"/>
                <w:b/>
                <w:i/>
              </w:rPr>
              <w:t>signed</w:t>
            </w:r>
            <w:r>
              <w:rPr>
                <w:rFonts w:ascii="Times New Roman"/>
                <w:b/>
                <w:i/>
                <w:spacing w:val="29"/>
              </w:rPr>
              <w:t xml:space="preserve"> </w:t>
            </w:r>
            <w:r>
              <w:rPr>
                <w:rFonts w:ascii="Times New Roman"/>
                <w:b/>
                <w:i/>
              </w:rPr>
              <w:t>and</w:t>
            </w:r>
            <w:r>
              <w:rPr>
                <w:rFonts w:ascii="Times New Roman"/>
                <w:b/>
                <w:i/>
                <w:spacing w:val="29"/>
              </w:rPr>
              <w:t xml:space="preserve"> </w:t>
            </w:r>
            <w:r>
              <w:rPr>
                <w:rFonts w:ascii="Times New Roman"/>
                <w:b/>
                <w:i/>
              </w:rPr>
              <w:t>stamped</w:t>
            </w:r>
            <w:r>
              <w:rPr>
                <w:rFonts w:ascii="Times New Roman"/>
                <w:b/>
                <w:i/>
                <w:spacing w:val="29"/>
              </w:rPr>
              <w:t xml:space="preserve"> </w:t>
            </w:r>
            <w:r>
              <w:rPr>
                <w:rFonts w:ascii="Times New Roman"/>
                <w:b/>
                <w:i/>
              </w:rPr>
              <w:t>by</w:t>
            </w:r>
            <w:r>
              <w:rPr>
                <w:rFonts w:ascii="Times New Roman"/>
                <w:b/>
                <w:i/>
                <w:spacing w:val="29"/>
              </w:rPr>
              <w:t xml:space="preserve"> </w:t>
            </w:r>
            <w:r>
              <w:rPr>
                <w:rFonts w:ascii="Times New Roman"/>
                <w:b/>
                <w:i/>
              </w:rPr>
              <w:t>a</w:t>
            </w:r>
            <w:r>
              <w:rPr>
                <w:rFonts w:ascii="Times New Roman"/>
                <w:b/>
                <w:i/>
                <w:spacing w:val="30"/>
              </w:rPr>
              <w:t xml:space="preserve"> </w:t>
            </w:r>
            <w:r>
              <w:rPr>
                <w:rFonts w:ascii="Times New Roman"/>
                <w:b/>
                <w:i/>
              </w:rPr>
              <w:t>registered</w:t>
            </w:r>
            <w:r>
              <w:rPr>
                <w:rFonts w:ascii="Times New Roman"/>
                <w:b/>
                <w:i/>
                <w:spacing w:val="30"/>
              </w:rPr>
              <w:t xml:space="preserve">  </w:t>
            </w:r>
            <w:r>
              <w:rPr>
                <w:rFonts w:ascii="Times New Roman"/>
                <w:b/>
                <w:i/>
                <w:spacing w:val="-2"/>
              </w:rPr>
              <w:t>auditor</w:t>
            </w:r>
          </w:p>
          <w:p w:rsidR="007F6DF9" w:rsidRDefault="00A43FBC">
            <w:pPr>
              <w:pStyle w:val="TableParagraph"/>
              <w:spacing w:line="237" w:lineRule="exact"/>
              <w:ind w:left="105"/>
              <w:jc w:val="both"/>
              <w:rPr>
                <w:rFonts w:ascii="Times New Roman"/>
                <w:b/>
                <w:i/>
              </w:rPr>
            </w:pPr>
            <w:r>
              <w:rPr>
                <w:rFonts w:ascii="Times New Roman"/>
                <w:b/>
                <w:i/>
              </w:rPr>
              <w:t>/audit</w:t>
            </w:r>
            <w:r>
              <w:rPr>
                <w:rFonts w:ascii="Times New Roman"/>
                <w:b/>
                <w:i/>
                <w:spacing w:val="-1"/>
              </w:rPr>
              <w:t xml:space="preserve"> </w:t>
            </w:r>
            <w:r>
              <w:rPr>
                <w:rFonts w:ascii="Times New Roman"/>
                <w:b/>
                <w:i/>
                <w:spacing w:val="-4"/>
              </w:rPr>
              <w:t>firm</w:t>
            </w:r>
          </w:p>
          <w:p w:rsidR="007F6DF9" w:rsidRDefault="00A43FBC">
            <w:pPr>
              <w:pStyle w:val="TableParagraph"/>
              <w:spacing w:line="248" w:lineRule="exact"/>
              <w:ind w:left="105"/>
              <w:jc w:val="both"/>
              <w:rPr>
                <w:rFonts w:ascii="Times New Roman"/>
                <w:b/>
                <w:i/>
              </w:rPr>
            </w:pPr>
            <w:r>
              <w:rPr>
                <w:rFonts w:ascii="Times New Roman"/>
                <w:b/>
                <w:i/>
              </w:rPr>
              <w:t>(ICPAK</w:t>
            </w:r>
            <w:r>
              <w:rPr>
                <w:rFonts w:ascii="Times New Roman"/>
                <w:b/>
                <w:i/>
                <w:spacing w:val="-4"/>
              </w:rPr>
              <w:t xml:space="preserve"> </w:t>
            </w:r>
            <w:r>
              <w:rPr>
                <w:rFonts w:ascii="Times New Roman"/>
                <w:b/>
                <w:i/>
                <w:spacing w:val="-2"/>
              </w:rPr>
              <w:t>REGISTERED)</w:t>
            </w:r>
          </w:p>
        </w:tc>
        <w:tc>
          <w:tcPr>
            <w:tcW w:w="2979" w:type="dxa"/>
          </w:tcPr>
          <w:p w:rsidR="007F6DF9" w:rsidRDefault="00A43FBC">
            <w:pPr>
              <w:pStyle w:val="TableParagraph"/>
              <w:spacing w:line="243" w:lineRule="exact"/>
              <w:ind w:left="108"/>
              <w:rPr>
                <w:rFonts w:ascii="Times New Roman" w:hAnsi="Times New Roman"/>
              </w:rPr>
            </w:pPr>
            <w:r>
              <w:rPr>
                <w:rFonts w:ascii="Times New Roman" w:hAnsi="Times New Roman"/>
              </w:rPr>
              <w:t>Form FIN</w:t>
            </w:r>
            <w:r>
              <w:rPr>
                <w:rFonts w:ascii="Times New Roman" w:hAnsi="Times New Roman"/>
                <w:spacing w:val="-2"/>
              </w:rPr>
              <w:t xml:space="preserve"> </w:t>
            </w:r>
            <w:r>
              <w:rPr>
                <w:rFonts w:ascii="Times New Roman" w:hAnsi="Times New Roman"/>
              </w:rPr>
              <w:t xml:space="preserve">– </w:t>
            </w:r>
            <w:r>
              <w:rPr>
                <w:rFonts w:ascii="Times New Roman" w:hAnsi="Times New Roman"/>
                <w:spacing w:val="-5"/>
              </w:rPr>
              <w:t>3.2</w:t>
            </w:r>
          </w:p>
        </w:tc>
        <w:tc>
          <w:tcPr>
            <w:tcW w:w="2549" w:type="dxa"/>
          </w:tcPr>
          <w:p w:rsidR="007F6DF9" w:rsidRDefault="007F6DF9">
            <w:pPr>
              <w:pStyle w:val="TableParagraph"/>
              <w:rPr>
                <w:rFonts w:ascii="Times New Roman"/>
                <w:sz w:val="20"/>
              </w:rPr>
            </w:pPr>
          </w:p>
        </w:tc>
      </w:tr>
      <w:tr w:rsidR="007F6DF9">
        <w:trPr>
          <w:trHeight w:val="1012"/>
        </w:trPr>
        <w:tc>
          <w:tcPr>
            <w:tcW w:w="703" w:type="dxa"/>
          </w:tcPr>
          <w:p w:rsidR="007F6DF9" w:rsidRDefault="00A43FBC">
            <w:pPr>
              <w:pStyle w:val="TableParagraph"/>
              <w:spacing w:line="243" w:lineRule="exact"/>
              <w:ind w:left="107"/>
              <w:rPr>
                <w:rFonts w:ascii="Times New Roman"/>
              </w:rPr>
            </w:pPr>
            <w:r>
              <w:rPr>
                <w:rFonts w:ascii="Times New Roman"/>
                <w:spacing w:val="-5"/>
              </w:rPr>
              <w:t>13</w:t>
            </w:r>
          </w:p>
        </w:tc>
        <w:tc>
          <w:tcPr>
            <w:tcW w:w="2554" w:type="dxa"/>
          </w:tcPr>
          <w:p w:rsidR="007F6DF9" w:rsidRDefault="00A43FBC">
            <w:pPr>
              <w:pStyle w:val="TableParagraph"/>
              <w:ind w:left="108" w:right="542"/>
              <w:rPr>
                <w:rFonts w:ascii="Times New Roman"/>
              </w:rPr>
            </w:pPr>
            <w:r>
              <w:rPr>
                <w:rFonts w:ascii="Times New Roman"/>
              </w:rPr>
              <w:t>General</w:t>
            </w:r>
            <w:r>
              <w:rPr>
                <w:rFonts w:ascii="Times New Roman"/>
                <w:spacing w:val="-14"/>
              </w:rPr>
              <w:t xml:space="preserve"> </w:t>
            </w:r>
            <w:r>
              <w:rPr>
                <w:rFonts w:ascii="Times New Roman"/>
              </w:rPr>
              <w:t xml:space="preserve">Construction </w:t>
            </w:r>
            <w:r>
              <w:rPr>
                <w:rFonts w:ascii="Times New Roman"/>
                <w:spacing w:val="-2"/>
              </w:rPr>
              <w:t>Experience</w:t>
            </w:r>
          </w:p>
        </w:tc>
        <w:tc>
          <w:tcPr>
            <w:tcW w:w="5528" w:type="dxa"/>
          </w:tcPr>
          <w:p w:rsidR="007F6DF9" w:rsidRDefault="00A43FBC">
            <w:pPr>
              <w:pStyle w:val="TableParagraph"/>
              <w:ind w:left="105"/>
              <w:rPr>
                <w:rFonts w:ascii="Times New Roman"/>
              </w:rPr>
            </w:pPr>
            <w:r>
              <w:rPr>
                <w:rFonts w:ascii="Times New Roman"/>
              </w:rPr>
              <w:t>Experience</w:t>
            </w:r>
            <w:r>
              <w:rPr>
                <w:rFonts w:ascii="Times New Roman"/>
                <w:spacing w:val="-4"/>
              </w:rPr>
              <w:t xml:space="preserve"> </w:t>
            </w:r>
            <w:r>
              <w:rPr>
                <w:rFonts w:ascii="Times New Roman"/>
              </w:rPr>
              <w:t>under</w:t>
            </w:r>
            <w:r>
              <w:rPr>
                <w:rFonts w:ascii="Times New Roman"/>
                <w:spacing w:val="-4"/>
              </w:rPr>
              <w:t xml:space="preserve"> </w:t>
            </w:r>
            <w:r>
              <w:rPr>
                <w:rFonts w:ascii="Times New Roman"/>
              </w:rPr>
              <w:t>construction</w:t>
            </w:r>
            <w:r>
              <w:rPr>
                <w:rFonts w:ascii="Times New Roman"/>
                <w:spacing w:val="-4"/>
              </w:rPr>
              <w:t xml:space="preserve"> </w:t>
            </w:r>
            <w:r>
              <w:rPr>
                <w:rFonts w:ascii="Times New Roman"/>
              </w:rPr>
              <w:t>contracts</w:t>
            </w:r>
            <w:r>
              <w:rPr>
                <w:rFonts w:ascii="Times New Roman"/>
                <w:spacing w:val="-6"/>
              </w:rPr>
              <w:t xml:space="preserve"> </w:t>
            </w:r>
            <w:r>
              <w:rPr>
                <w:rFonts w:ascii="Times New Roman"/>
              </w:rPr>
              <w:t>in</w:t>
            </w:r>
            <w:r>
              <w:rPr>
                <w:rFonts w:ascii="Times New Roman"/>
                <w:spacing w:val="-4"/>
              </w:rPr>
              <w:t xml:space="preserve"> </w:t>
            </w:r>
            <w:r>
              <w:rPr>
                <w:rFonts w:ascii="Times New Roman"/>
              </w:rPr>
              <w:t>the</w:t>
            </w:r>
            <w:r>
              <w:rPr>
                <w:rFonts w:ascii="Times New Roman"/>
                <w:spacing w:val="-4"/>
              </w:rPr>
              <w:t xml:space="preserve"> </w:t>
            </w:r>
            <w:r>
              <w:rPr>
                <w:rFonts w:ascii="Times New Roman"/>
              </w:rPr>
              <w:t>role</w:t>
            </w:r>
            <w:r>
              <w:rPr>
                <w:rFonts w:ascii="Times New Roman"/>
                <w:spacing w:val="-6"/>
              </w:rPr>
              <w:t xml:space="preserve"> </w:t>
            </w:r>
            <w:r>
              <w:rPr>
                <w:rFonts w:ascii="Times New Roman"/>
              </w:rPr>
              <w:t>of</w:t>
            </w:r>
            <w:r>
              <w:rPr>
                <w:rFonts w:ascii="Times New Roman"/>
                <w:spacing w:val="-6"/>
              </w:rPr>
              <w:t xml:space="preserve"> </w:t>
            </w:r>
            <w:r>
              <w:rPr>
                <w:rFonts w:ascii="Times New Roman"/>
              </w:rPr>
              <w:t xml:space="preserve">prime contractor, JV member, sub-contractor, or management contractor for at least the last </w:t>
            </w:r>
            <w:r>
              <w:rPr>
                <w:rFonts w:ascii="Times New Roman"/>
                <w:i/>
              </w:rPr>
              <w:t xml:space="preserve">3 </w:t>
            </w:r>
            <w:r>
              <w:rPr>
                <w:rFonts w:ascii="Times New Roman"/>
              </w:rPr>
              <w:t>years, starting 1</w:t>
            </w:r>
            <w:r>
              <w:rPr>
                <w:rFonts w:ascii="Times New Roman"/>
                <w:vertAlign w:val="superscript"/>
              </w:rPr>
              <w:t>st</w:t>
            </w:r>
            <w:r>
              <w:rPr>
                <w:rFonts w:ascii="Times New Roman"/>
              </w:rPr>
              <w:t xml:space="preserve"> January</w:t>
            </w:r>
          </w:p>
          <w:p w:rsidR="007F6DF9" w:rsidRDefault="004C3752">
            <w:pPr>
              <w:pStyle w:val="TableParagraph"/>
              <w:spacing w:line="244" w:lineRule="exact"/>
              <w:ind w:left="105"/>
              <w:rPr>
                <w:rFonts w:ascii="Times New Roman"/>
              </w:rPr>
            </w:pPr>
            <w:r>
              <w:rPr>
                <w:rFonts w:ascii="Times New Roman"/>
                <w:i/>
                <w:spacing w:val="-2"/>
              </w:rPr>
              <w:t>2023</w:t>
            </w:r>
            <w:r w:rsidR="00A43FBC">
              <w:rPr>
                <w:rFonts w:ascii="Times New Roman"/>
                <w:spacing w:val="-2"/>
              </w:rPr>
              <w:t>.</w:t>
            </w:r>
          </w:p>
        </w:tc>
        <w:tc>
          <w:tcPr>
            <w:tcW w:w="2979" w:type="dxa"/>
          </w:tcPr>
          <w:p w:rsidR="007F6DF9" w:rsidRDefault="00A43FBC">
            <w:pPr>
              <w:pStyle w:val="TableParagraph"/>
              <w:spacing w:line="243" w:lineRule="exact"/>
              <w:ind w:left="329"/>
              <w:rPr>
                <w:rFonts w:ascii="Times New Roman" w:hAnsi="Times New Roman"/>
              </w:rPr>
            </w:pPr>
            <w:r>
              <w:rPr>
                <w:rFonts w:ascii="Times New Roman" w:hAnsi="Times New Roman"/>
              </w:rPr>
              <w:t>Form</w:t>
            </w:r>
            <w:r>
              <w:rPr>
                <w:rFonts w:ascii="Times New Roman" w:hAnsi="Times New Roman"/>
                <w:spacing w:val="-3"/>
              </w:rPr>
              <w:t xml:space="preserve"> </w:t>
            </w:r>
            <w:r>
              <w:rPr>
                <w:rFonts w:ascii="Times New Roman" w:hAnsi="Times New Roman"/>
              </w:rPr>
              <w:t>EXP</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5"/>
              </w:rPr>
              <w:t>4.1</w:t>
            </w:r>
          </w:p>
        </w:tc>
        <w:tc>
          <w:tcPr>
            <w:tcW w:w="2549" w:type="dxa"/>
          </w:tcPr>
          <w:p w:rsidR="007F6DF9" w:rsidRDefault="007F6DF9">
            <w:pPr>
              <w:pStyle w:val="TableParagraph"/>
              <w:rPr>
                <w:rFonts w:ascii="Times New Roman"/>
                <w:sz w:val="20"/>
              </w:rPr>
            </w:pPr>
          </w:p>
        </w:tc>
      </w:tr>
      <w:tr w:rsidR="007F6DF9">
        <w:trPr>
          <w:trHeight w:val="2997"/>
        </w:trPr>
        <w:tc>
          <w:tcPr>
            <w:tcW w:w="703" w:type="dxa"/>
          </w:tcPr>
          <w:p w:rsidR="007F6DF9" w:rsidRDefault="00A43FBC">
            <w:pPr>
              <w:pStyle w:val="TableParagraph"/>
              <w:spacing w:line="243" w:lineRule="exact"/>
              <w:ind w:left="107"/>
              <w:rPr>
                <w:rFonts w:ascii="Times New Roman"/>
              </w:rPr>
            </w:pPr>
            <w:r>
              <w:rPr>
                <w:rFonts w:ascii="Times New Roman"/>
                <w:spacing w:val="-5"/>
              </w:rPr>
              <w:t>14</w:t>
            </w:r>
          </w:p>
        </w:tc>
        <w:tc>
          <w:tcPr>
            <w:tcW w:w="2554" w:type="dxa"/>
          </w:tcPr>
          <w:p w:rsidR="007F6DF9" w:rsidRDefault="00A43FBC">
            <w:pPr>
              <w:pStyle w:val="TableParagraph"/>
              <w:ind w:left="108"/>
              <w:rPr>
                <w:rFonts w:ascii="Times New Roman"/>
              </w:rPr>
            </w:pPr>
            <w:r>
              <w:rPr>
                <w:rFonts w:ascii="Times New Roman"/>
              </w:rPr>
              <w:t>Specific</w:t>
            </w:r>
            <w:r>
              <w:rPr>
                <w:rFonts w:ascii="Times New Roman"/>
                <w:spacing w:val="-14"/>
              </w:rPr>
              <w:t xml:space="preserve"> </w:t>
            </w:r>
            <w:r>
              <w:rPr>
                <w:rFonts w:ascii="Times New Roman"/>
              </w:rPr>
              <w:t>Construction</w:t>
            </w:r>
            <w:r>
              <w:rPr>
                <w:rFonts w:ascii="Times New Roman"/>
                <w:spacing w:val="-14"/>
              </w:rPr>
              <w:t xml:space="preserve"> </w:t>
            </w:r>
            <w:r>
              <w:rPr>
                <w:rFonts w:ascii="Times New Roman"/>
              </w:rPr>
              <w:t xml:space="preserve">&amp; Contract Management </w:t>
            </w:r>
            <w:r>
              <w:rPr>
                <w:rFonts w:ascii="Times New Roman"/>
                <w:spacing w:val="-2"/>
              </w:rPr>
              <w:t>Experience</w:t>
            </w:r>
          </w:p>
        </w:tc>
        <w:tc>
          <w:tcPr>
            <w:tcW w:w="5528" w:type="dxa"/>
          </w:tcPr>
          <w:p w:rsidR="007F6DF9" w:rsidRDefault="00A43FBC">
            <w:pPr>
              <w:pStyle w:val="TableParagraph"/>
              <w:ind w:left="105" w:right="165"/>
              <w:rPr>
                <w:rFonts w:ascii="Times New Roman" w:hAnsi="Times New Roman"/>
              </w:rPr>
            </w:pPr>
            <w:r>
              <w:rPr>
                <w:rFonts w:ascii="Times New Roman" w:hAnsi="Times New Roman"/>
              </w:rPr>
              <w:t xml:space="preserve">A minimum number of </w:t>
            </w:r>
            <w:r>
              <w:rPr>
                <w:rFonts w:ascii="Times New Roman" w:hAnsi="Times New Roman"/>
                <w:i/>
              </w:rPr>
              <w:t>3</w:t>
            </w:r>
            <w:r>
              <w:rPr>
                <w:rFonts w:ascii="Times New Roman" w:hAnsi="Times New Roman"/>
                <w:i/>
                <w:spacing w:val="-1"/>
              </w:rPr>
              <w:t xml:space="preserve"> </w:t>
            </w:r>
            <w:r>
              <w:rPr>
                <w:rFonts w:ascii="Times New Roman" w:hAnsi="Times New Roman"/>
              </w:rPr>
              <w:t>similar contracts specified below that</w:t>
            </w:r>
            <w:r>
              <w:rPr>
                <w:rFonts w:ascii="Times New Roman" w:hAnsi="Times New Roman"/>
                <w:spacing w:val="-5"/>
              </w:rPr>
              <w:t xml:space="preserve"> </w:t>
            </w:r>
            <w:r>
              <w:rPr>
                <w:rFonts w:ascii="Times New Roman" w:hAnsi="Times New Roman"/>
              </w:rPr>
              <w:t>have</w:t>
            </w:r>
            <w:r>
              <w:rPr>
                <w:rFonts w:ascii="Times New Roman" w:hAnsi="Times New Roman"/>
                <w:spacing w:val="-6"/>
              </w:rPr>
              <w:t xml:space="preserve"> </w:t>
            </w:r>
            <w:r>
              <w:rPr>
                <w:rFonts w:ascii="Times New Roman" w:hAnsi="Times New Roman"/>
              </w:rPr>
              <w:t>been</w:t>
            </w:r>
            <w:r>
              <w:rPr>
                <w:rFonts w:ascii="Times New Roman" w:hAnsi="Times New Roman"/>
                <w:spacing w:val="-6"/>
              </w:rPr>
              <w:t xml:space="preserve"> </w:t>
            </w:r>
            <w:r>
              <w:rPr>
                <w:rFonts w:ascii="Times New Roman" w:hAnsi="Times New Roman"/>
              </w:rPr>
              <w:t>satisfactorily</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substantially</w:t>
            </w:r>
            <w:r>
              <w:rPr>
                <w:rFonts w:ascii="Times New Roman" w:hAnsi="Times New Roman"/>
                <w:spacing w:val="-6"/>
              </w:rPr>
              <w:t xml:space="preserve"> </w:t>
            </w:r>
            <w:r>
              <w:rPr>
                <w:rFonts w:ascii="Times New Roman" w:hAnsi="Times New Roman"/>
              </w:rPr>
              <w:t>completed</w:t>
            </w:r>
            <w:r>
              <w:rPr>
                <w:rFonts w:ascii="Times New Roman" w:hAnsi="Times New Roman"/>
                <w:spacing w:val="-6"/>
              </w:rPr>
              <w:t xml:space="preserve"> </w:t>
            </w:r>
            <w:r>
              <w:rPr>
                <w:rFonts w:ascii="Times New Roman" w:hAnsi="Times New Roman"/>
              </w:rPr>
              <w:t>as a prime contractor, joint venture member, management contractor or sub-contractor between 1st Januar</w:t>
            </w:r>
            <w:r w:rsidR="00085147">
              <w:rPr>
                <w:rFonts w:ascii="Times New Roman" w:hAnsi="Times New Roman"/>
              </w:rPr>
              <w:t>y 2020</w:t>
            </w:r>
            <w:r>
              <w:rPr>
                <w:rFonts w:ascii="Times New Roman" w:hAnsi="Times New Roman"/>
                <w:spacing w:val="-3"/>
              </w:rPr>
              <w:t xml:space="preserve"> </w:t>
            </w:r>
            <w:r>
              <w:rPr>
                <w:rFonts w:ascii="Times New Roman" w:hAnsi="Times New Roman"/>
              </w:rPr>
              <w:t>and ten</w:t>
            </w:r>
            <w:r w:rsidR="003E2BF5">
              <w:rPr>
                <w:rFonts w:ascii="Times New Roman" w:hAnsi="Times New Roman"/>
              </w:rPr>
              <w:t>der submission deadline i.e. ….2</w:t>
            </w:r>
            <w:r>
              <w:rPr>
                <w:rFonts w:ascii="Times New Roman" w:hAnsi="Times New Roman"/>
                <w:spacing w:val="40"/>
              </w:rPr>
              <w:t xml:space="preserve"> </w:t>
            </w:r>
            <w:r>
              <w:rPr>
                <w:rFonts w:ascii="Times New Roman" w:hAnsi="Times New Roman"/>
              </w:rPr>
              <w:t>(contracts, each of minimum value Kenya shillings……</w:t>
            </w:r>
            <w:r>
              <w:rPr>
                <w:rFonts w:ascii="Times New Roman" w:hAnsi="Times New Roman"/>
                <w:b/>
                <w:i/>
              </w:rPr>
              <w:t xml:space="preserve">5,000,000.00……... </w:t>
            </w:r>
            <w:r>
              <w:rPr>
                <w:rFonts w:ascii="Times New Roman" w:hAnsi="Times New Roman"/>
                <w:spacing w:val="-2"/>
              </w:rPr>
              <w:t>equivalent.</w:t>
            </w:r>
          </w:p>
          <w:p w:rsidR="007F6DF9" w:rsidRDefault="00A43FBC">
            <w:pPr>
              <w:pStyle w:val="TableParagraph"/>
              <w:ind w:left="206"/>
              <w:rPr>
                <w:rFonts w:ascii="Times New Roman"/>
                <w:sz w:val="20"/>
              </w:rPr>
            </w:pPr>
            <w:r>
              <w:rPr>
                <w:rFonts w:ascii="Times New Roman"/>
              </w:rPr>
              <w:t>[</w:t>
            </w:r>
            <w:r>
              <w:rPr>
                <w:rFonts w:ascii="Times New Roman"/>
                <w:sz w:val="20"/>
              </w:rPr>
              <w:t>Bidders</w:t>
            </w:r>
            <w:r>
              <w:rPr>
                <w:rFonts w:ascii="Times New Roman"/>
                <w:spacing w:val="16"/>
                <w:sz w:val="20"/>
              </w:rPr>
              <w:t xml:space="preserve"> </w:t>
            </w:r>
            <w:r>
              <w:rPr>
                <w:rFonts w:ascii="Times New Roman"/>
                <w:sz w:val="20"/>
              </w:rPr>
              <w:t>shall</w:t>
            </w:r>
            <w:r>
              <w:rPr>
                <w:rFonts w:ascii="Times New Roman"/>
                <w:spacing w:val="18"/>
                <w:sz w:val="20"/>
              </w:rPr>
              <w:t xml:space="preserve"> </w:t>
            </w:r>
            <w:r>
              <w:rPr>
                <w:rFonts w:ascii="Times New Roman"/>
                <w:sz w:val="20"/>
              </w:rPr>
              <w:t>attach</w:t>
            </w:r>
            <w:r>
              <w:rPr>
                <w:rFonts w:ascii="Times New Roman"/>
                <w:spacing w:val="22"/>
                <w:sz w:val="20"/>
              </w:rPr>
              <w:t xml:space="preserve"> </w:t>
            </w:r>
            <w:r>
              <w:rPr>
                <w:rFonts w:ascii="Times New Roman"/>
                <w:color w:val="302C2E"/>
                <w:sz w:val="20"/>
              </w:rPr>
              <w:t>copies</w:t>
            </w:r>
            <w:r>
              <w:rPr>
                <w:rFonts w:ascii="Times New Roman"/>
                <w:color w:val="302C2E"/>
                <w:spacing w:val="17"/>
                <w:sz w:val="20"/>
              </w:rPr>
              <w:t xml:space="preserve"> </w:t>
            </w:r>
            <w:r>
              <w:rPr>
                <w:rFonts w:ascii="Times New Roman"/>
                <w:color w:val="302C2E"/>
                <w:sz w:val="20"/>
              </w:rPr>
              <w:t>of</w:t>
            </w:r>
            <w:r>
              <w:rPr>
                <w:rFonts w:ascii="Times New Roman"/>
                <w:color w:val="302C2E"/>
                <w:spacing w:val="16"/>
                <w:sz w:val="20"/>
              </w:rPr>
              <w:t xml:space="preserve"> </w:t>
            </w:r>
            <w:r>
              <w:rPr>
                <w:rFonts w:ascii="Times New Roman"/>
                <w:color w:val="302C2E"/>
                <w:sz w:val="20"/>
              </w:rPr>
              <w:t>the</w:t>
            </w:r>
            <w:r>
              <w:rPr>
                <w:rFonts w:ascii="Times New Roman"/>
                <w:color w:val="302C2E"/>
                <w:spacing w:val="14"/>
                <w:sz w:val="20"/>
              </w:rPr>
              <w:t xml:space="preserve"> </w:t>
            </w:r>
            <w:r>
              <w:rPr>
                <w:rFonts w:ascii="Times New Roman"/>
                <w:color w:val="302C2E"/>
                <w:spacing w:val="-2"/>
                <w:sz w:val="20"/>
              </w:rPr>
              <w:t>following:</w:t>
            </w:r>
          </w:p>
          <w:p w:rsidR="007F6DF9" w:rsidRDefault="00A43FBC">
            <w:pPr>
              <w:pStyle w:val="TableParagraph"/>
              <w:numPr>
                <w:ilvl w:val="0"/>
                <w:numId w:val="174"/>
              </w:numPr>
              <w:tabs>
                <w:tab w:val="left" w:pos="926"/>
              </w:tabs>
              <w:spacing w:before="5"/>
              <w:ind w:left="926" w:hanging="360"/>
              <w:rPr>
                <w:rFonts w:ascii="Times New Roman"/>
                <w:sz w:val="20"/>
              </w:rPr>
            </w:pPr>
            <w:r>
              <w:rPr>
                <w:rFonts w:ascii="Times New Roman"/>
                <w:sz w:val="20"/>
              </w:rPr>
              <w:t>Letters</w:t>
            </w:r>
            <w:r>
              <w:rPr>
                <w:rFonts w:ascii="Times New Roman"/>
                <w:spacing w:val="-5"/>
                <w:sz w:val="20"/>
              </w:rPr>
              <w:t xml:space="preserve"> </w:t>
            </w:r>
            <w:r>
              <w:rPr>
                <w:rFonts w:ascii="Times New Roman"/>
                <w:sz w:val="20"/>
              </w:rPr>
              <w:t>of</w:t>
            </w:r>
            <w:r>
              <w:rPr>
                <w:rFonts w:ascii="Times New Roman"/>
                <w:spacing w:val="-4"/>
                <w:sz w:val="20"/>
              </w:rPr>
              <w:t xml:space="preserve"> </w:t>
            </w:r>
            <w:r>
              <w:rPr>
                <w:rFonts w:ascii="Times New Roman"/>
                <w:sz w:val="20"/>
              </w:rPr>
              <w:t>Award</w:t>
            </w:r>
            <w:r>
              <w:rPr>
                <w:rFonts w:ascii="Times New Roman"/>
                <w:spacing w:val="-2"/>
                <w:sz w:val="20"/>
              </w:rPr>
              <w:t xml:space="preserve"> </w:t>
            </w:r>
            <w:r>
              <w:rPr>
                <w:rFonts w:ascii="Times New Roman"/>
                <w:spacing w:val="-5"/>
                <w:sz w:val="20"/>
              </w:rPr>
              <w:t>or,</w:t>
            </w:r>
          </w:p>
          <w:p w:rsidR="007F6DF9" w:rsidRDefault="00A43FBC">
            <w:pPr>
              <w:pStyle w:val="TableParagraph"/>
              <w:numPr>
                <w:ilvl w:val="0"/>
                <w:numId w:val="174"/>
              </w:numPr>
              <w:tabs>
                <w:tab w:val="left" w:pos="925"/>
                <w:tab w:val="left" w:pos="927"/>
              </w:tabs>
              <w:spacing w:before="15" w:line="254" w:lineRule="auto"/>
              <w:ind w:right="491"/>
              <w:rPr>
                <w:rFonts w:ascii="Times New Roman"/>
                <w:sz w:val="20"/>
              </w:rPr>
            </w:pPr>
            <w:r>
              <w:rPr>
                <w:rFonts w:ascii="Times New Roman"/>
                <w:sz w:val="20"/>
              </w:rPr>
              <w:t>Signed</w:t>
            </w:r>
            <w:r>
              <w:rPr>
                <w:rFonts w:ascii="Times New Roman"/>
                <w:spacing w:val="-6"/>
                <w:sz w:val="20"/>
              </w:rPr>
              <w:t xml:space="preserve"> </w:t>
            </w:r>
            <w:r>
              <w:rPr>
                <w:rFonts w:ascii="Times New Roman"/>
                <w:sz w:val="20"/>
              </w:rPr>
              <w:t>Contract</w:t>
            </w:r>
            <w:r>
              <w:rPr>
                <w:rFonts w:ascii="Times New Roman"/>
                <w:spacing w:val="-8"/>
                <w:sz w:val="20"/>
              </w:rPr>
              <w:t xml:space="preserve"> </w:t>
            </w:r>
            <w:r>
              <w:rPr>
                <w:rFonts w:ascii="Times New Roman"/>
                <w:sz w:val="20"/>
              </w:rPr>
              <w:t>and</w:t>
            </w:r>
            <w:r>
              <w:rPr>
                <w:rFonts w:ascii="Times New Roman"/>
                <w:spacing w:val="-6"/>
                <w:sz w:val="20"/>
              </w:rPr>
              <w:t xml:space="preserve"> </w:t>
            </w:r>
            <w:r>
              <w:rPr>
                <w:rFonts w:ascii="Times New Roman"/>
                <w:sz w:val="20"/>
              </w:rPr>
              <w:t>Completion</w:t>
            </w:r>
            <w:r>
              <w:rPr>
                <w:rFonts w:ascii="Times New Roman"/>
                <w:spacing w:val="-6"/>
                <w:sz w:val="20"/>
              </w:rPr>
              <w:t xml:space="preserve"> </w:t>
            </w:r>
            <w:r>
              <w:rPr>
                <w:rFonts w:ascii="Times New Roman"/>
                <w:sz w:val="20"/>
              </w:rPr>
              <w:t>Certificate</w:t>
            </w:r>
            <w:r>
              <w:rPr>
                <w:rFonts w:ascii="Times New Roman"/>
                <w:spacing w:val="-7"/>
                <w:sz w:val="20"/>
              </w:rPr>
              <w:t xml:space="preserve"> </w:t>
            </w:r>
            <w:r>
              <w:rPr>
                <w:rFonts w:ascii="Times New Roman"/>
                <w:sz w:val="20"/>
              </w:rPr>
              <w:t>for</w:t>
            </w:r>
            <w:r>
              <w:rPr>
                <w:rFonts w:ascii="Times New Roman"/>
                <w:spacing w:val="-7"/>
                <w:sz w:val="20"/>
              </w:rPr>
              <w:t xml:space="preserve"> </w:t>
            </w:r>
            <w:r>
              <w:rPr>
                <w:rFonts w:ascii="Times New Roman"/>
                <w:sz w:val="20"/>
              </w:rPr>
              <w:t>the respective projects. or</w:t>
            </w:r>
          </w:p>
          <w:p w:rsidR="007F6DF9" w:rsidRDefault="00A43FBC">
            <w:pPr>
              <w:pStyle w:val="TableParagraph"/>
              <w:spacing w:line="216" w:lineRule="exact"/>
              <w:ind w:left="105"/>
              <w:rPr>
                <w:rFonts w:ascii="Times New Roman"/>
                <w:sz w:val="20"/>
              </w:rPr>
            </w:pPr>
            <w:r>
              <w:rPr>
                <w:rFonts w:ascii="Times New Roman"/>
                <w:sz w:val="20"/>
              </w:rPr>
              <w:t>If</w:t>
            </w:r>
            <w:r>
              <w:rPr>
                <w:rFonts w:ascii="Times New Roman"/>
                <w:spacing w:val="-4"/>
                <w:sz w:val="20"/>
              </w:rPr>
              <w:t xml:space="preserve"> </w:t>
            </w:r>
            <w:r>
              <w:rPr>
                <w:rFonts w:ascii="Times New Roman"/>
                <w:sz w:val="20"/>
              </w:rPr>
              <w:t>project</w:t>
            </w:r>
            <w:r>
              <w:rPr>
                <w:rFonts w:ascii="Times New Roman"/>
                <w:spacing w:val="-3"/>
                <w:sz w:val="20"/>
              </w:rPr>
              <w:t xml:space="preserve"> </w:t>
            </w:r>
            <w:r>
              <w:rPr>
                <w:rFonts w:ascii="Times New Roman"/>
                <w:sz w:val="20"/>
              </w:rPr>
              <w:t>is</w:t>
            </w:r>
            <w:r>
              <w:rPr>
                <w:rFonts w:ascii="Times New Roman"/>
                <w:spacing w:val="-5"/>
                <w:sz w:val="20"/>
              </w:rPr>
              <w:t xml:space="preserve"> </w:t>
            </w:r>
            <w:r>
              <w:rPr>
                <w:rFonts w:ascii="Times New Roman"/>
                <w:sz w:val="20"/>
              </w:rPr>
              <w:t>ongoing</w:t>
            </w:r>
            <w:r>
              <w:rPr>
                <w:rFonts w:ascii="Times New Roman"/>
                <w:spacing w:val="-2"/>
                <w:sz w:val="20"/>
              </w:rPr>
              <w:t xml:space="preserve"> </w:t>
            </w:r>
            <w:r>
              <w:rPr>
                <w:rFonts w:ascii="Times New Roman"/>
                <w:sz w:val="20"/>
              </w:rPr>
              <w:t>it</w:t>
            </w:r>
            <w:r>
              <w:rPr>
                <w:rFonts w:ascii="Times New Roman"/>
                <w:spacing w:val="-4"/>
                <w:sz w:val="20"/>
              </w:rPr>
              <w:t xml:space="preserve"> </w:t>
            </w:r>
            <w:r>
              <w:rPr>
                <w:rFonts w:ascii="Times New Roman"/>
                <w:sz w:val="20"/>
              </w:rPr>
              <w:t>must</w:t>
            </w:r>
            <w:r>
              <w:rPr>
                <w:rFonts w:ascii="Times New Roman"/>
                <w:spacing w:val="-5"/>
                <w:sz w:val="20"/>
              </w:rPr>
              <w:t xml:space="preserve"> </w:t>
            </w:r>
            <w:r>
              <w:rPr>
                <w:rFonts w:ascii="Times New Roman"/>
                <w:sz w:val="20"/>
              </w:rPr>
              <w:t>be</w:t>
            </w:r>
            <w:r>
              <w:rPr>
                <w:rFonts w:ascii="Times New Roman"/>
                <w:spacing w:val="-3"/>
                <w:sz w:val="20"/>
              </w:rPr>
              <w:t xml:space="preserve"> </w:t>
            </w:r>
            <w:r>
              <w:rPr>
                <w:rFonts w:ascii="Times New Roman"/>
                <w:sz w:val="20"/>
              </w:rPr>
              <w:t>at</w:t>
            </w:r>
            <w:r>
              <w:rPr>
                <w:rFonts w:ascii="Times New Roman"/>
                <w:spacing w:val="-4"/>
                <w:sz w:val="20"/>
              </w:rPr>
              <w:t xml:space="preserve"> </w:t>
            </w:r>
            <w:r>
              <w:rPr>
                <w:rFonts w:ascii="Times New Roman"/>
                <w:sz w:val="20"/>
              </w:rPr>
              <w:t>least</w:t>
            </w:r>
            <w:r>
              <w:rPr>
                <w:rFonts w:ascii="Times New Roman"/>
                <w:spacing w:val="-4"/>
                <w:sz w:val="20"/>
              </w:rPr>
              <w:t xml:space="preserve"> </w:t>
            </w:r>
            <w:r>
              <w:rPr>
                <w:rFonts w:ascii="Times New Roman"/>
                <w:sz w:val="20"/>
              </w:rPr>
              <w:t>80%</w:t>
            </w:r>
            <w:r>
              <w:rPr>
                <w:rFonts w:ascii="Times New Roman"/>
                <w:spacing w:val="-4"/>
                <w:sz w:val="20"/>
              </w:rPr>
              <w:t xml:space="preserve"> </w:t>
            </w:r>
            <w:r>
              <w:rPr>
                <w:rFonts w:ascii="Times New Roman"/>
                <w:sz w:val="20"/>
              </w:rPr>
              <w:t>complete.</w:t>
            </w:r>
            <w:r>
              <w:rPr>
                <w:rFonts w:ascii="Times New Roman"/>
                <w:spacing w:val="-3"/>
                <w:sz w:val="20"/>
              </w:rPr>
              <w:t xml:space="preserve"> </w:t>
            </w:r>
            <w:r>
              <w:rPr>
                <w:rFonts w:ascii="Times New Roman"/>
                <w:sz w:val="20"/>
              </w:rPr>
              <w:t>Bidder</w:t>
            </w:r>
            <w:r>
              <w:rPr>
                <w:rFonts w:ascii="Times New Roman"/>
                <w:spacing w:val="-2"/>
                <w:sz w:val="20"/>
              </w:rPr>
              <w:t xml:space="preserve"> </w:t>
            </w:r>
            <w:r>
              <w:rPr>
                <w:rFonts w:ascii="Times New Roman"/>
                <w:spacing w:val="-5"/>
                <w:sz w:val="20"/>
              </w:rPr>
              <w:t>to</w:t>
            </w:r>
          </w:p>
        </w:tc>
        <w:tc>
          <w:tcPr>
            <w:tcW w:w="2979" w:type="dxa"/>
          </w:tcPr>
          <w:p w:rsidR="007F6DF9" w:rsidRDefault="00A43FBC">
            <w:pPr>
              <w:pStyle w:val="TableParagraph"/>
              <w:spacing w:line="243" w:lineRule="exact"/>
              <w:ind w:left="108"/>
              <w:rPr>
                <w:rFonts w:ascii="Times New Roman"/>
              </w:rPr>
            </w:pPr>
            <w:r>
              <w:rPr>
                <w:rFonts w:ascii="Times New Roman"/>
              </w:rPr>
              <w:t>Form</w:t>
            </w:r>
            <w:r>
              <w:rPr>
                <w:rFonts w:ascii="Times New Roman"/>
                <w:spacing w:val="-2"/>
              </w:rPr>
              <w:t xml:space="preserve"> </w:t>
            </w:r>
            <w:r>
              <w:rPr>
                <w:rFonts w:ascii="Times New Roman"/>
              </w:rPr>
              <w:t>EXP</w:t>
            </w:r>
            <w:r>
              <w:rPr>
                <w:rFonts w:ascii="Times New Roman"/>
                <w:spacing w:val="-1"/>
              </w:rPr>
              <w:t xml:space="preserve"> </w:t>
            </w:r>
            <w:r>
              <w:rPr>
                <w:rFonts w:ascii="Times New Roman"/>
                <w:spacing w:val="-2"/>
              </w:rPr>
              <w:t>4.2(a)</w:t>
            </w:r>
          </w:p>
        </w:tc>
        <w:tc>
          <w:tcPr>
            <w:tcW w:w="2549" w:type="dxa"/>
          </w:tcPr>
          <w:p w:rsidR="007F6DF9" w:rsidRDefault="007F6DF9">
            <w:pPr>
              <w:pStyle w:val="TableParagraph"/>
              <w:rPr>
                <w:rFonts w:ascii="Times New Roman"/>
                <w:sz w:val="20"/>
              </w:rPr>
            </w:pPr>
          </w:p>
        </w:tc>
      </w:tr>
    </w:tbl>
    <w:p w:rsidR="007F6DF9" w:rsidRDefault="007F6DF9">
      <w:pPr>
        <w:pStyle w:val="TableParagraph"/>
        <w:rPr>
          <w:rFonts w:ascii="Times New Roman"/>
          <w:sz w:val="20"/>
        </w:rPr>
        <w:sectPr w:rsidR="007F6DF9">
          <w:headerReference w:type="even" r:id="rId19"/>
          <w:footerReference w:type="even" r:id="rId20"/>
          <w:pgSz w:w="16850" w:h="11920" w:orient="landscape"/>
          <w:pgMar w:top="0" w:right="850" w:bottom="0" w:left="566" w:header="0" w:footer="0"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554"/>
        <w:gridCol w:w="5528"/>
        <w:gridCol w:w="2979"/>
        <w:gridCol w:w="2549"/>
      </w:tblGrid>
      <w:tr w:rsidR="007F6DF9">
        <w:trPr>
          <w:trHeight w:val="251"/>
        </w:trPr>
        <w:tc>
          <w:tcPr>
            <w:tcW w:w="703" w:type="dxa"/>
            <w:shd w:val="clear" w:color="auto" w:fill="EC1C23"/>
          </w:tcPr>
          <w:p w:rsidR="007F6DF9" w:rsidRDefault="00A43FBC">
            <w:pPr>
              <w:pStyle w:val="TableParagraph"/>
              <w:spacing w:line="232" w:lineRule="exact"/>
              <w:ind w:left="107"/>
              <w:rPr>
                <w:rFonts w:ascii="Times New Roman"/>
                <w:b/>
              </w:rPr>
            </w:pPr>
            <w:r>
              <w:rPr>
                <w:rFonts w:ascii="Times New Roman"/>
                <w:b/>
                <w:spacing w:val="-10"/>
              </w:rPr>
              <w:lastRenderedPageBreak/>
              <w:t>1</w:t>
            </w:r>
          </w:p>
        </w:tc>
        <w:tc>
          <w:tcPr>
            <w:tcW w:w="2554" w:type="dxa"/>
            <w:shd w:val="clear" w:color="auto" w:fill="EC1C23"/>
          </w:tcPr>
          <w:p w:rsidR="007F6DF9" w:rsidRDefault="00A43FBC">
            <w:pPr>
              <w:pStyle w:val="TableParagraph"/>
              <w:spacing w:line="232" w:lineRule="exact"/>
              <w:ind w:left="108"/>
              <w:rPr>
                <w:rFonts w:ascii="Times New Roman"/>
                <w:b/>
              </w:rPr>
            </w:pPr>
            <w:r>
              <w:rPr>
                <w:rFonts w:ascii="Times New Roman"/>
                <w:b/>
                <w:spacing w:val="-10"/>
              </w:rPr>
              <w:t>2</w:t>
            </w:r>
          </w:p>
        </w:tc>
        <w:tc>
          <w:tcPr>
            <w:tcW w:w="5528" w:type="dxa"/>
            <w:shd w:val="clear" w:color="auto" w:fill="EC1C23"/>
          </w:tcPr>
          <w:p w:rsidR="007F6DF9" w:rsidRDefault="00A43FBC">
            <w:pPr>
              <w:pStyle w:val="TableParagraph"/>
              <w:spacing w:line="232" w:lineRule="exact"/>
              <w:ind w:left="105"/>
              <w:rPr>
                <w:rFonts w:ascii="Times New Roman"/>
                <w:b/>
              </w:rPr>
            </w:pPr>
            <w:r>
              <w:rPr>
                <w:rFonts w:ascii="Times New Roman"/>
                <w:b/>
                <w:spacing w:val="-10"/>
              </w:rPr>
              <w:t>3</w:t>
            </w:r>
          </w:p>
        </w:tc>
        <w:tc>
          <w:tcPr>
            <w:tcW w:w="2979" w:type="dxa"/>
            <w:shd w:val="clear" w:color="auto" w:fill="EC1C23"/>
          </w:tcPr>
          <w:p w:rsidR="007F6DF9" w:rsidRDefault="00A43FBC">
            <w:pPr>
              <w:pStyle w:val="TableParagraph"/>
              <w:spacing w:line="232" w:lineRule="exact"/>
              <w:ind w:left="108"/>
              <w:rPr>
                <w:rFonts w:ascii="Times New Roman"/>
                <w:b/>
                <w:i/>
              </w:rPr>
            </w:pPr>
            <w:r>
              <w:rPr>
                <w:rFonts w:ascii="Times New Roman"/>
                <w:b/>
                <w:i/>
                <w:spacing w:val="-10"/>
              </w:rPr>
              <w:t>4</w:t>
            </w:r>
          </w:p>
        </w:tc>
        <w:tc>
          <w:tcPr>
            <w:tcW w:w="2549" w:type="dxa"/>
          </w:tcPr>
          <w:p w:rsidR="007F6DF9" w:rsidRDefault="00A43FBC">
            <w:pPr>
              <w:pStyle w:val="TableParagraph"/>
              <w:spacing w:line="232" w:lineRule="exact"/>
              <w:ind w:left="105"/>
              <w:rPr>
                <w:rFonts w:ascii="Times New Roman"/>
                <w:b/>
                <w:i/>
              </w:rPr>
            </w:pPr>
            <w:r>
              <w:rPr>
                <w:rFonts w:ascii="Times New Roman"/>
                <w:b/>
                <w:i/>
                <w:spacing w:val="-10"/>
              </w:rPr>
              <w:t>5</w:t>
            </w:r>
          </w:p>
        </w:tc>
      </w:tr>
      <w:tr w:rsidR="007F6DF9">
        <w:trPr>
          <w:trHeight w:val="760"/>
        </w:trPr>
        <w:tc>
          <w:tcPr>
            <w:tcW w:w="703" w:type="dxa"/>
          </w:tcPr>
          <w:p w:rsidR="007F6DF9" w:rsidRDefault="00A43FBC">
            <w:pPr>
              <w:pStyle w:val="TableParagraph"/>
              <w:ind w:left="107"/>
              <w:rPr>
                <w:rFonts w:ascii="Times New Roman"/>
                <w:b/>
              </w:rPr>
            </w:pPr>
            <w:r>
              <w:rPr>
                <w:rFonts w:ascii="Times New Roman"/>
                <w:b/>
                <w:spacing w:val="-4"/>
              </w:rPr>
              <w:t>Item No.</w:t>
            </w:r>
          </w:p>
        </w:tc>
        <w:tc>
          <w:tcPr>
            <w:tcW w:w="2554" w:type="dxa"/>
          </w:tcPr>
          <w:p w:rsidR="007F6DF9" w:rsidRDefault="00A43FBC">
            <w:pPr>
              <w:pStyle w:val="TableParagraph"/>
              <w:spacing w:line="251" w:lineRule="exact"/>
              <w:ind w:left="108"/>
              <w:rPr>
                <w:rFonts w:ascii="Times New Roman"/>
                <w:b/>
              </w:rPr>
            </w:pPr>
            <w:r>
              <w:rPr>
                <w:rFonts w:ascii="Times New Roman"/>
                <w:b/>
              </w:rPr>
              <w:t>Qualification</w:t>
            </w:r>
            <w:r>
              <w:rPr>
                <w:rFonts w:ascii="Times New Roman"/>
                <w:b/>
                <w:spacing w:val="-8"/>
              </w:rPr>
              <w:t xml:space="preserve"> </w:t>
            </w:r>
            <w:r>
              <w:rPr>
                <w:rFonts w:ascii="Times New Roman"/>
                <w:b/>
                <w:spacing w:val="-2"/>
              </w:rPr>
              <w:t>Subject</w:t>
            </w:r>
          </w:p>
        </w:tc>
        <w:tc>
          <w:tcPr>
            <w:tcW w:w="5528" w:type="dxa"/>
          </w:tcPr>
          <w:p w:rsidR="007F6DF9" w:rsidRDefault="00A43FBC">
            <w:pPr>
              <w:pStyle w:val="TableParagraph"/>
              <w:spacing w:line="251" w:lineRule="exact"/>
              <w:ind w:left="105"/>
              <w:rPr>
                <w:rFonts w:ascii="Times New Roman"/>
                <w:b/>
              </w:rPr>
            </w:pPr>
            <w:r>
              <w:rPr>
                <w:rFonts w:ascii="Times New Roman"/>
                <w:b/>
              </w:rPr>
              <w:t>Qualification</w:t>
            </w:r>
            <w:r>
              <w:rPr>
                <w:rFonts w:ascii="Times New Roman"/>
                <w:b/>
                <w:spacing w:val="-8"/>
              </w:rPr>
              <w:t xml:space="preserve"> </w:t>
            </w:r>
            <w:r>
              <w:rPr>
                <w:rFonts w:ascii="Times New Roman"/>
                <w:b/>
                <w:spacing w:val="-2"/>
              </w:rPr>
              <w:t>Requirement</w:t>
            </w:r>
          </w:p>
        </w:tc>
        <w:tc>
          <w:tcPr>
            <w:tcW w:w="2979" w:type="dxa"/>
          </w:tcPr>
          <w:p w:rsidR="007F6DF9" w:rsidRDefault="00A43FBC">
            <w:pPr>
              <w:pStyle w:val="TableParagraph"/>
              <w:ind w:left="108" w:right="187"/>
              <w:rPr>
                <w:rFonts w:ascii="Times New Roman"/>
                <w:b/>
                <w:i/>
              </w:rPr>
            </w:pPr>
            <w:r>
              <w:rPr>
                <w:rFonts w:ascii="Times New Roman"/>
                <w:b/>
                <w:i/>
              </w:rPr>
              <w:t>Document</w:t>
            </w:r>
            <w:r>
              <w:rPr>
                <w:rFonts w:ascii="Times New Roman"/>
                <w:b/>
                <w:i/>
                <w:spacing w:val="-12"/>
              </w:rPr>
              <w:t xml:space="preserve"> </w:t>
            </w:r>
            <w:r>
              <w:rPr>
                <w:rFonts w:ascii="Times New Roman"/>
                <w:b/>
                <w:i/>
              </w:rPr>
              <w:t>To</w:t>
            </w:r>
            <w:r>
              <w:rPr>
                <w:rFonts w:ascii="Times New Roman"/>
                <w:b/>
                <w:i/>
                <w:spacing w:val="-13"/>
              </w:rPr>
              <w:t xml:space="preserve"> </w:t>
            </w:r>
            <w:r>
              <w:rPr>
                <w:rFonts w:ascii="Times New Roman"/>
                <w:b/>
                <w:i/>
              </w:rPr>
              <w:t>be</w:t>
            </w:r>
            <w:r>
              <w:rPr>
                <w:rFonts w:ascii="Times New Roman"/>
                <w:b/>
                <w:i/>
                <w:spacing w:val="-13"/>
              </w:rPr>
              <w:t xml:space="preserve"> </w:t>
            </w:r>
            <w:r>
              <w:rPr>
                <w:rFonts w:ascii="Times New Roman"/>
                <w:b/>
                <w:i/>
              </w:rPr>
              <w:t>Completed by Tenderer</w:t>
            </w:r>
          </w:p>
        </w:tc>
        <w:tc>
          <w:tcPr>
            <w:tcW w:w="2549" w:type="dxa"/>
          </w:tcPr>
          <w:p w:rsidR="007F6DF9" w:rsidRDefault="00A43FBC">
            <w:pPr>
              <w:pStyle w:val="TableParagraph"/>
              <w:spacing w:line="251" w:lineRule="exact"/>
              <w:ind w:left="105"/>
              <w:rPr>
                <w:rFonts w:ascii="Times New Roman" w:hAnsi="Times New Roman"/>
                <w:b/>
                <w:i/>
              </w:rPr>
            </w:pPr>
            <w:r>
              <w:rPr>
                <w:rFonts w:ascii="Times New Roman" w:hAnsi="Times New Roman"/>
                <w:b/>
                <w:i/>
              </w:rPr>
              <w:t>For</w:t>
            </w:r>
            <w:r>
              <w:rPr>
                <w:rFonts w:ascii="Times New Roman" w:hAnsi="Times New Roman"/>
                <w:b/>
                <w:i/>
                <w:spacing w:val="-2"/>
              </w:rPr>
              <w:t xml:space="preserve"> </w:t>
            </w:r>
            <w:r>
              <w:rPr>
                <w:rFonts w:ascii="Times New Roman" w:hAnsi="Times New Roman"/>
                <w:b/>
                <w:i/>
              </w:rPr>
              <w:t>Procuring</w:t>
            </w:r>
            <w:r>
              <w:rPr>
                <w:rFonts w:ascii="Times New Roman" w:hAnsi="Times New Roman"/>
                <w:b/>
                <w:i/>
                <w:spacing w:val="-1"/>
              </w:rPr>
              <w:t xml:space="preserve"> </w:t>
            </w:r>
            <w:r>
              <w:rPr>
                <w:rFonts w:ascii="Times New Roman" w:hAnsi="Times New Roman"/>
                <w:b/>
                <w:i/>
                <w:spacing w:val="-2"/>
              </w:rPr>
              <w:t>Entity’s</w:t>
            </w:r>
          </w:p>
          <w:p w:rsidR="007F6DF9" w:rsidRDefault="00A43FBC">
            <w:pPr>
              <w:pStyle w:val="TableParagraph"/>
              <w:spacing w:line="252" w:lineRule="exact"/>
              <w:ind w:left="105"/>
              <w:rPr>
                <w:rFonts w:ascii="Times New Roman"/>
                <w:b/>
                <w:i/>
              </w:rPr>
            </w:pPr>
            <w:r>
              <w:rPr>
                <w:rFonts w:ascii="Times New Roman"/>
                <w:b/>
                <w:i/>
              </w:rPr>
              <w:t>Use</w:t>
            </w:r>
            <w:r>
              <w:rPr>
                <w:rFonts w:ascii="Times New Roman"/>
                <w:b/>
                <w:i/>
                <w:spacing w:val="-11"/>
              </w:rPr>
              <w:t xml:space="preserve"> </w:t>
            </w:r>
            <w:r>
              <w:rPr>
                <w:rFonts w:ascii="Times New Roman"/>
                <w:b/>
                <w:i/>
              </w:rPr>
              <w:t>(Qualification</w:t>
            </w:r>
            <w:r>
              <w:rPr>
                <w:rFonts w:ascii="Times New Roman"/>
                <w:b/>
                <w:i/>
                <w:spacing w:val="-14"/>
              </w:rPr>
              <w:t xml:space="preserve"> </w:t>
            </w:r>
            <w:r>
              <w:rPr>
                <w:rFonts w:ascii="Times New Roman"/>
                <w:b/>
                <w:i/>
              </w:rPr>
              <w:t>met</w:t>
            </w:r>
            <w:r>
              <w:rPr>
                <w:rFonts w:ascii="Times New Roman"/>
                <w:b/>
                <w:i/>
                <w:spacing w:val="-13"/>
              </w:rPr>
              <w:t xml:space="preserve"> </w:t>
            </w:r>
            <w:r>
              <w:rPr>
                <w:rFonts w:ascii="Times New Roman"/>
                <w:b/>
                <w:i/>
              </w:rPr>
              <w:t>or Not Met)</w:t>
            </w:r>
          </w:p>
        </w:tc>
      </w:tr>
      <w:tr w:rsidR="007F6DF9">
        <w:trPr>
          <w:trHeight w:val="2023"/>
        </w:trPr>
        <w:tc>
          <w:tcPr>
            <w:tcW w:w="703" w:type="dxa"/>
          </w:tcPr>
          <w:p w:rsidR="007F6DF9" w:rsidRDefault="007F6DF9">
            <w:pPr>
              <w:pStyle w:val="TableParagraph"/>
              <w:rPr>
                <w:rFonts w:ascii="Times New Roman"/>
                <w:sz w:val="20"/>
              </w:rPr>
            </w:pPr>
          </w:p>
        </w:tc>
        <w:tc>
          <w:tcPr>
            <w:tcW w:w="2554" w:type="dxa"/>
          </w:tcPr>
          <w:p w:rsidR="007F6DF9" w:rsidRDefault="007F6DF9">
            <w:pPr>
              <w:pStyle w:val="TableParagraph"/>
              <w:rPr>
                <w:rFonts w:ascii="Times New Roman"/>
                <w:sz w:val="20"/>
              </w:rPr>
            </w:pPr>
          </w:p>
        </w:tc>
        <w:tc>
          <w:tcPr>
            <w:tcW w:w="5528" w:type="dxa"/>
          </w:tcPr>
          <w:p w:rsidR="007F6DF9" w:rsidRDefault="00A43FBC">
            <w:pPr>
              <w:pStyle w:val="TableParagraph"/>
              <w:ind w:left="105" w:right="165"/>
              <w:rPr>
                <w:rFonts w:ascii="Times New Roman"/>
                <w:i/>
              </w:rPr>
            </w:pPr>
            <w:r>
              <w:rPr>
                <w:rFonts w:ascii="Times New Roman"/>
                <w:sz w:val="20"/>
              </w:rPr>
              <w:t xml:space="preserve">attach copies of interim payment </w:t>
            </w:r>
            <w:proofErr w:type="spellStart"/>
            <w:r>
              <w:rPr>
                <w:rFonts w:ascii="Times New Roman"/>
                <w:sz w:val="20"/>
              </w:rPr>
              <w:t>certificates</w:t>
            </w:r>
            <w:r>
              <w:rPr>
                <w:rFonts w:ascii="Times New Roman"/>
              </w:rPr>
              <w:t>The</w:t>
            </w:r>
            <w:proofErr w:type="spellEnd"/>
            <w:r>
              <w:rPr>
                <w:rFonts w:ascii="Times New Roman"/>
              </w:rPr>
              <w:t xml:space="preserve"> similarity of the contracts shall be based on the following: [</w:t>
            </w:r>
            <w:r>
              <w:rPr>
                <w:rFonts w:ascii="Times New Roman"/>
                <w:i/>
              </w:rPr>
              <w:t>Based on Section VII, Scope of Works, specify the minimum key requirements in terms of physical size, complexity, construction method, technology and/or other characteristics</w:t>
            </w:r>
            <w:r>
              <w:rPr>
                <w:rFonts w:ascii="Times New Roman"/>
                <w:i/>
                <w:spacing w:val="-7"/>
              </w:rPr>
              <w:t xml:space="preserve"> </w:t>
            </w:r>
            <w:r>
              <w:rPr>
                <w:rFonts w:ascii="Times New Roman"/>
                <w:i/>
              </w:rPr>
              <w:t>including</w:t>
            </w:r>
            <w:r>
              <w:rPr>
                <w:rFonts w:ascii="Times New Roman"/>
                <w:i/>
                <w:spacing w:val="-6"/>
              </w:rPr>
              <w:t xml:space="preserve"> </w:t>
            </w:r>
            <w:r>
              <w:rPr>
                <w:rFonts w:ascii="Times New Roman"/>
                <w:i/>
              </w:rPr>
              <w:t>part</w:t>
            </w:r>
            <w:r>
              <w:rPr>
                <w:rFonts w:ascii="Times New Roman"/>
                <w:i/>
                <w:spacing w:val="-5"/>
              </w:rPr>
              <w:t xml:space="preserve"> </w:t>
            </w:r>
            <w:r>
              <w:rPr>
                <w:rFonts w:ascii="Times New Roman"/>
                <w:i/>
              </w:rPr>
              <w:t>of</w:t>
            </w:r>
            <w:r>
              <w:rPr>
                <w:rFonts w:ascii="Times New Roman"/>
                <w:i/>
                <w:spacing w:val="-5"/>
              </w:rPr>
              <w:t xml:space="preserve"> </w:t>
            </w:r>
            <w:r>
              <w:rPr>
                <w:rFonts w:ascii="Times New Roman"/>
                <w:i/>
              </w:rPr>
              <w:t>the</w:t>
            </w:r>
            <w:r>
              <w:rPr>
                <w:rFonts w:ascii="Times New Roman"/>
                <w:i/>
                <w:spacing w:val="-6"/>
              </w:rPr>
              <w:t xml:space="preserve"> </w:t>
            </w:r>
            <w:r>
              <w:rPr>
                <w:rFonts w:ascii="Times New Roman"/>
                <w:i/>
              </w:rPr>
              <w:t>requirements</w:t>
            </w:r>
            <w:r>
              <w:rPr>
                <w:rFonts w:ascii="Times New Roman"/>
                <w:i/>
                <w:spacing w:val="-7"/>
              </w:rPr>
              <w:t xml:space="preserve"> </w:t>
            </w:r>
            <w:r>
              <w:rPr>
                <w:rFonts w:ascii="Times New Roman"/>
                <w:i/>
              </w:rPr>
              <w:t>that</w:t>
            </w:r>
            <w:r>
              <w:rPr>
                <w:rFonts w:ascii="Times New Roman"/>
                <w:i/>
                <w:spacing w:val="-7"/>
              </w:rPr>
              <w:t xml:space="preserve"> </w:t>
            </w:r>
            <w:r>
              <w:rPr>
                <w:rFonts w:ascii="Times New Roman"/>
                <w:i/>
              </w:rPr>
              <w:t>may be met by specialized subcontractors, if permitted in</w:t>
            </w:r>
          </w:p>
          <w:p w:rsidR="007F6DF9" w:rsidRDefault="00A43FBC">
            <w:pPr>
              <w:pStyle w:val="TableParagraph"/>
              <w:spacing w:line="233" w:lineRule="exact"/>
              <w:ind w:left="105"/>
              <w:rPr>
                <w:rFonts w:ascii="Times New Roman"/>
                <w:i/>
              </w:rPr>
            </w:pPr>
            <w:r>
              <w:rPr>
                <w:rFonts w:ascii="Times New Roman"/>
                <w:i/>
              </w:rPr>
              <w:t>accordance</w:t>
            </w:r>
            <w:r>
              <w:rPr>
                <w:rFonts w:ascii="Times New Roman"/>
                <w:i/>
                <w:spacing w:val="-3"/>
              </w:rPr>
              <w:t xml:space="preserve"> </w:t>
            </w:r>
            <w:r>
              <w:rPr>
                <w:rFonts w:ascii="Times New Roman"/>
                <w:i/>
              </w:rPr>
              <w:t>with</w:t>
            </w:r>
            <w:r>
              <w:rPr>
                <w:rFonts w:ascii="Times New Roman"/>
                <w:i/>
                <w:spacing w:val="-3"/>
              </w:rPr>
              <w:t xml:space="preserve"> </w:t>
            </w:r>
            <w:r>
              <w:rPr>
                <w:rFonts w:ascii="Times New Roman"/>
                <w:i/>
              </w:rPr>
              <w:t>ITT</w:t>
            </w:r>
            <w:r>
              <w:rPr>
                <w:rFonts w:ascii="Times New Roman"/>
                <w:i/>
                <w:spacing w:val="-3"/>
              </w:rPr>
              <w:t xml:space="preserve"> </w:t>
            </w:r>
            <w:r>
              <w:rPr>
                <w:rFonts w:ascii="Times New Roman"/>
                <w:i/>
                <w:spacing w:val="-2"/>
              </w:rPr>
              <w:t>34.3]</w:t>
            </w:r>
          </w:p>
        </w:tc>
        <w:tc>
          <w:tcPr>
            <w:tcW w:w="2979" w:type="dxa"/>
          </w:tcPr>
          <w:p w:rsidR="007F6DF9" w:rsidRDefault="007F6DF9">
            <w:pPr>
              <w:pStyle w:val="TableParagraph"/>
              <w:rPr>
                <w:rFonts w:ascii="Times New Roman"/>
                <w:sz w:val="20"/>
              </w:rPr>
            </w:pPr>
          </w:p>
        </w:tc>
        <w:tc>
          <w:tcPr>
            <w:tcW w:w="2549" w:type="dxa"/>
          </w:tcPr>
          <w:p w:rsidR="007F6DF9" w:rsidRDefault="007F6DF9">
            <w:pPr>
              <w:pStyle w:val="TableParagraph"/>
              <w:rPr>
                <w:rFonts w:ascii="Times New Roman"/>
                <w:sz w:val="20"/>
              </w:rPr>
            </w:pPr>
          </w:p>
        </w:tc>
      </w:tr>
    </w:tbl>
    <w:p w:rsidR="007F6DF9" w:rsidRDefault="00A43FBC">
      <w:pPr>
        <w:pStyle w:val="BodyText"/>
        <w:rPr>
          <w:b/>
          <w:sz w:val="20"/>
        </w:rPr>
      </w:pPr>
      <w:r>
        <w:rPr>
          <w:b/>
          <w:noProof/>
          <w:sz w:val="20"/>
        </w:rPr>
        <mc:AlternateContent>
          <mc:Choice Requires="wps">
            <w:drawing>
              <wp:anchor distT="0" distB="0" distL="0" distR="0" simplePos="0" relativeHeight="251654656" behindDoc="1" locked="0" layoutInCell="1" allowOverlap="1">
                <wp:simplePos x="0" y="0"/>
                <wp:positionH relativeFrom="page">
                  <wp:posOffset>0</wp:posOffset>
                </wp:positionH>
                <wp:positionV relativeFrom="page">
                  <wp:posOffset>0</wp:posOffset>
                </wp:positionV>
                <wp:extent cx="7560309" cy="23431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a:graphicData>
                </a:graphic>
              </wp:anchor>
            </w:drawing>
          </mc:Choice>
          <mc:Fallback>
            <w:pict>
              <v:shape w14:anchorId="59BCAFFF" id="Graphic 139" o:spid="_x0000_s1026" style="position:absolute;margin-left:0;margin-top:0;width:595.3pt;height:18.45pt;z-index:-251661824;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" path="m7560309,l,,,234315r7560309,l7560309,xe" fillcolor="#ec1c23" stroked="f">
                <v:path arrowok="t"/>
                <w10:wrap anchorx="page" anchory="page"/>
              </v:shape>
            </w:pict>
          </mc:Fallback>
        </mc:AlternateContent>
      </w:r>
    </w:p>
    <w:p w:rsidR="007F6DF9" w:rsidRDefault="007F6DF9">
      <w:pPr>
        <w:pStyle w:val="BodyText"/>
        <w:rPr>
          <w:b/>
          <w:sz w:val="20"/>
        </w:rPr>
      </w:pPr>
    </w:p>
    <w:p w:rsidR="007F6DF9" w:rsidRDefault="007F6DF9">
      <w:pPr>
        <w:pStyle w:val="BodyText"/>
        <w:spacing w:before="51"/>
        <w:rPr>
          <w:b/>
          <w:sz w:val="20"/>
        </w:rPr>
      </w:pPr>
    </w:p>
    <w:p w:rsidR="007F6DF9" w:rsidRDefault="00A43FBC">
      <w:pPr>
        <w:pStyle w:val="ListParagraph"/>
        <w:numPr>
          <w:ilvl w:val="0"/>
          <w:numId w:val="173"/>
        </w:numPr>
        <w:tabs>
          <w:tab w:val="left" w:pos="854"/>
        </w:tabs>
        <w:spacing w:before="1"/>
        <w:ind w:right="468"/>
        <w:rPr>
          <w:sz w:val="20"/>
        </w:rPr>
      </w:pPr>
      <w:r>
        <w:rPr>
          <w:sz w:val="20"/>
        </w:rPr>
        <w:t>The</w:t>
      </w:r>
      <w:r>
        <w:rPr>
          <w:spacing w:val="-2"/>
          <w:sz w:val="20"/>
        </w:rPr>
        <w:t xml:space="preserve"> </w:t>
      </w:r>
      <w:r>
        <w:rPr>
          <w:sz w:val="20"/>
        </w:rPr>
        <w:t>similarity</w:t>
      </w:r>
      <w:r>
        <w:rPr>
          <w:spacing w:val="-2"/>
          <w:sz w:val="20"/>
        </w:rPr>
        <w:t xml:space="preserve"> </w:t>
      </w:r>
      <w:r>
        <w:rPr>
          <w:sz w:val="20"/>
        </w:rPr>
        <w:t>shall</w:t>
      </w:r>
      <w:r>
        <w:rPr>
          <w:spacing w:val="-2"/>
          <w:sz w:val="20"/>
        </w:rPr>
        <w:t xml:space="preserve"> </w:t>
      </w:r>
      <w:r>
        <w:rPr>
          <w:sz w:val="20"/>
        </w:rPr>
        <w:t>be</w:t>
      </w:r>
      <w:r>
        <w:rPr>
          <w:spacing w:val="-2"/>
          <w:sz w:val="20"/>
        </w:rPr>
        <w:t xml:space="preserve"> </w:t>
      </w:r>
      <w:r>
        <w:rPr>
          <w:sz w:val="20"/>
        </w:rPr>
        <w:t>based</w:t>
      </w:r>
      <w:r>
        <w:rPr>
          <w:spacing w:val="-1"/>
          <w:sz w:val="20"/>
        </w:rPr>
        <w:t xml:space="preserve"> </w:t>
      </w:r>
      <w:r>
        <w:rPr>
          <w:sz w:val="20"/>
        </w:rPr>
        <w:t>on</w:t>
      </w:r>
      <w:r>
        <w:rPr>
          <w:spacing w:val="-1"/>
          <w:sz w:val="20"/>
        </w:rPr>
        <w:t xml:space="preserve"> </w:t>
      </w:r>
      <w:r>
        <w:rPr>
          <w:sz w:val="20"/>
        </w:rPr>
        <w:t>the</w:t>
      </w:r>
      <w:r>
        <w:rPr>
          <w:spacing w:val="-2"/>
          <w:sz w:val="20"/>
        </w:rPr>
        <w:t xml:space="preserve"> </w:t>
      </w:r>
      <w:r>
        <w:rPr>
          <w:sz w:val="20"/>
        </w:rPr>
        <w:t>physical</w:t>
      </w:r>
      <w:r>
        <w:rPr>
          <w:spacing w:val="-2"/>
          <w:sz w:val="20"/>
        </w:rPr>
        <w:t xml:space="preserve"> </w:t>
      </w:r>
      <w:r>
        <w:rPr>
          <w:sz w:val="20"/>
        </w:rPr>
        <w:t>size,</w:t>
      </w:r>
      <w:r>
        <w:rPr>
          <w:spacing w:val="-1"/>
          <w:sz w:val="20"/>
        </w:rPr>
        <w:t xml:space="preserve"> </w:t>
      </w:r>
      <w:r>
        <w:rPr>
          <w:sz w:val="20"/>
        </w:rPr>
        <w:t>complexity,</w:t>
      </w:r>
      <w:r>
        <w:rPr>
          <w:spacing w:val="-2"/>
          <w:sz w:val="20"/>
        </w:rPr>
        <w:t xml:space="preserve"> </w:t>
      </w:r>
      <w:r>
        <w:rPr>
          <w:sz w:val="20"/>
        </w:rPr>
        <w:t>methods/technology</w:t>
      </w:r>
      <w:r>
        <w:rPr>
          <w:spacing w:val="-1"/>
          <w:sz w:val="20"/>
        </w:rPr>
        <w:t xml:space="preserve"> </w:t>
      </w:r>
      <w:r>
        <w:rPr>
          <w:sz w:val="20"/>
        </w:rPr>
        <w:t>and/or</w:t>
      </w:r>
      <w:r>
        <w:rPr>
          <w:spacing w:val="-4"/>
          <w:sz w:val="20"/>
        </w:rPr>
        <w:t xml:space="preserve"> </w:t>
      </w:r>
      <w:r>
        <w:rPr>
          <w:sz w:val="20"/>
        </w:rPr>
        <w:t>other</w:t>
      </w:r>
      <w:r>
        <w:rPr>
          <w:spacing w:val="-1"/>
          <w:sz w:val="20"/>
        </w:rPr>
        <w:t xml:space="preserve"> </w:t>
      </w:r>
      <w:r>
        <w:rPr>
          <w:sz w:val="20"/>
        </w:rPr>
        <w:t>characteristics</w:t>
      </w:r>
      <w:r>
        <w:rPr>
          <w:spacing w:val="-3"/>
          <w:sz w:val="20"/>
        </w:rPr>
        <w:t xml:space="preserve"> </w:t>
      </w:r>
      <w:r>
        <w:rPr>
          <w:sz w:val="20"/>
        </w:rPr>
        <w:t>described in</w:t>
      </w:r>
      <w:r>
        <w:rPr>
          <w:spacing w:val="-1"/>
          <w:sz w:val="20"/>
        </w:rPr>
        <w:t xml:space="preserve"> </w:t>
      </w:r>
      <w:r>
        <w:rPr>
          <w:sz w:val="20"/>
        </w:rPr>
        <w:t>the</w:t>
      </w:r>
      <w:r>
        <w:rPr>
          <w:spacing w:val="-2"/>
          <w:sz w:val="20"/>
        </w:rPr>
        <w:t xml:space="preserve"> </w:t>
      </w:r>
      <w:r>
        <w:rPr>
          <w:sz w:val="20"/>
        </w:rPr>
        <w:t>Bills</w:t>
      </w:r>
      <w:r>
        <w:rPr>
          <w:spacing w:val="-3"/>
          <w:sz w:val="20"/>
        </w:rPr>
        <w:t xml:space="preserve"> </w:t>
      </w:r>
      <w:r>
        <w:rPr>
          <w:sz w:val="20"/>
        </w:rPr>
        <w:t>of</w:t>
      </w:r>
      <w:r>
        <w:rPr>
          <w:spacing w:val="-2"/>
          <w:sz w:val="20"/>
        </w:rPr>
        <w:t xml:space="preserve"> </w:t>
      </w:r>
      <w:r>
        <w:rPr>
          <w:sz w:val="20"/>
        </w:rPr>
        <w:t>Quantities</w:t>
      </w:r>
      <w:r>
        <w:rPr>
          <w:spacing w:val="-3"/>
          <w:sz w:val="20"/>
        </w:rPr>
        <w:t xml:space="preserve"> </w:t>
      </w:r>
      <w:r>
        <w:rPr>
          <w:sz w:val="20"/>
        </w:rPr>
        <w:t>and</w:t>
      </w:r>
      <w:r>
        <w:rPr>
          <w:spacing w:val="-3"/>
          <w:sz w:val="20"/>
        </w:rPr>
        <w:t xml:space="preserve"> </w:t>
      </w:r>
      <w:r>
        <w:rPr>
          <w:sz w:val="20"/>
        </w:rPr>
        <w:t>Drawings.</w:t>
      </w:r>
      <w:r>
        <w:rPr>
          <w:spacing w:val="-2"/>
          <w:sz w:val="20"/>
        </w:rPr>
        <w:t xml:space="preserve"> </w:t>
      </w:r>
      <w:r>
        <w:rPr>
          <w:sz w:val="20"/>
        </w:rPr>
        <w:t>Summation</w:t>
      </w:r>
      <w:r>
        <w:rPr>
          <w:spacing w:val="-1"/>
          <w:sz w:val="20"/>
        </w:rPr>
        <w:t xml:space="preserve"> </w:t>
      </w:r>
      <w:r>
        <w:rPr>
          <w:sz w:val="20"/>
        </w:rPr>
        <w:t>of number of small value contracts (less than the value specified under requirement) to meet the overall requirement will not be accepted.</w:t>
      </w:r>
    </w:p>
    <w:p w:rsidR="007F6DF9" w:rsidRDefault="00A43FBC">
      <w:pPr>
        <w:pStyle w:val="ListParagraph"/>
        <w:numPr>
          <w:ilvl w:val="0"/>
          <w:numId w:val="173"/>
        </w:numPr>
        <w:tabs>
          <w:tab w:val="left" w:pos="854"/>
        </w:tabs>
        <w:spacing w:line="228" w:lineRule="exact"/>
        <w:rPr>
          <w:sz w:val="20"/>
        </w:rPr>
      </w:pPr>
      <w:r>
        <w:rPr>
          <w:sz w:val="20"/>
        </w:rPr>
        <w:t>Substantial</w:t>
      </w:r>
      <w:r>
        <w:rPr>
          <w:spacing w:val="-6"/>
          <w:sz w:val="20"/>
        </w:rPr>
        <w:t xml:space="preserve"> </w:t>
      </w:r>
      <w:r>
        <w:rPr>
          <w:sz w:val="20"/>
        </w:rPr>
        <w:t>completion</w:t>
      </w:r>
      <w:r>
        <w:rPr>
          <w:spacing w:val="-3"/>
          <w:sz w:val="20"/>
        </w:rPr>
        <w:t xml:space="preserve"> </w:t>
      </w:r>
      <w:r>
        <w:rPr>
          <w:sz w:val="20"/>
        </w:rPr>
        <w:t>shall</w:t>
      </w:r>
      <w:r>
        <w:rPr>
          <w:spacing w:val="-4"/>
          <w:sz w:val="20"/>
        </w:rPr>
        <w:t xml:space="preserve"> </w:t>
      </w:r>
      <w:r>
        <w:rPr>
          <w:sz w:val="20"/>
        </w:rPr>
        <w:t>be</w:t>
      </w:r>
      <w:r>
        <w:rPr>
          <w:spacing w:val="-4"/>
          <w:sz w:val="20"/>
        </w:rPr>
        <w:t xml:space="preserve"> </w:t>
      </w:r>
      <w:r>
        <w:rPr>
          <w:sz w:val="20"/>
        </w:rPr>
        <w:t>based</w:t>
      </w:r>
      <w:r>
        <w:rPr>
          <w:spacing w:val="-4"/>
          <w:sz w:val="20"/>
        </w:rPr>
        <w:t xml:space="preserve"> </w:t>
      </w:r>
      <w:r>
        <w:rPr>
          <w:sz w:val="20"/>
        </w:rPr>
        <w:t>on</w:t>
      </w:r>
      <w:r>
        <w:rPr>
          <w:spacing w:val="-5"/>
          <w:sz w:val="20"/>
        </w:rPr>
        <w:t xml:space="preserve"> </w:t>
      </w:r>
      <w:r>
        <w:rPr>
          <w:sz w:val="20"/>
        </w:rPr>
        <w:t>80%</w:t>
      </w:r>
      <w:r>
        <w:rPr>
          <w:spacing w:val="-5"/>
          <w:sz w:val="20"/>
        </w:rPr>
        <w:t xml:space="preserve"> </w:t>
      </w:r>
      <w:r>
        <w:rPr>
          <w:sz w:val="20"/>
        </w:rPr>
        <w:t>or</w:t>
      </w:r>
      <w:r>
        <w:rPr>
          <w:spacing w:val="-6"/>
          <w:sz w:val="20"/>
        </w:rPr>
        <w:t xml:space="preserve"> </w:t>
      </w:r>
      <w:r>
        <w:rPr>
          <w:sz w:val="20"/>
        </w:rPr>
        <w:t>more</w:t>
      </w:r>
      <w:r>
        <w:rPr>
          <w:spacing w:val="-4"/>
          <w:sz w:val="20"/>
        </w:rPr>
        <w:t xml:space="preserve"> </w:t>
      </w:r>
      <w:r>
        <w:rPr>
          <w:sz w:val="20"/>
        </w:rPr>
        <w:t>works</w:t>
      </w:r>
      <w:r>
        <w:rPr>
          <w:spacing w:val="-6"/>
          <w:sz w:val="20"/>
        </w:rPr>
        <w:t xml:space="preserve"> </w:t>
      </w:r>
      <w:r>
        <w:rPr>
          <w:sz w:val="20"/>
        </w:rPr>
        <w:t>completed</w:t>
      </w:r>
      <w:r>
        <w:rPr>
          <w:spacing w:val="-3"/>
          <w:sz w:val="20"/>
        </w:rPr>
        <w:t xml:space="preserve"> </w:t>
      </w:r>
      <w:r>
        <w:rPr>
          <w:sz w:val="20"/>
        </w:rPr>
        <w:t>under</w:t>
      </w:r>
      <w:r>
        <w:rPr>
          <w:spacing w:val="-3"/>
          <w:sz w:val="20"/>
        </w:rPr>
        <w:t xml:space="preserve"> </w:t>
      </w:r>
      <w:r>
        <w:rPr>
          <w:sz w:val="20"/>
        </w:rPr>
        <w:t>the</w:t>
      </w:r>
      <w:r>
        <w:rPr>
          <w:spacing w:val="-6"/>
          <w:sz w:val="20"/>
        </w:rPr>
        <w:t xml:space="preserve"> </w:t>
      </w:r>
      <w:r>
        <w:rPr>
          <w:spacing w:val="-2"/>
          <w:sz w:val="20"/>
        </w:rPr>
        <w:t>contract.</w:t>
      </w:r>
    </w:p>
    <w:p w:rsidR="007F6DF9" w:rsidRDefault="00A43FBC">
      <w:pPr>
        <w:pStyle w:val="ListParagraph"/>
        <w:numPr>
          <w:ilvl w:val="0"/>
          <w:numId w:val="173"/>
        </w:numPr>
        <w:tabs>
          <w:tab w:val="left" w:pos="854"/>
        </w:tabs>
        <w:rPr>
          <w:sz w:val="20"/>
        </w:rPr>
      </w:pPr>
      <w:r>
        <w:rPr>
          <w:sz w:val="20"/>
        </w:rPr>
        <w:t>For</w:t>
      </w:r>
      <w:r>
        <w:rPr>
          <w:spacing w:val="-5"/>
          <w:sz w:val="20"/>
        </w:rPr>
        <w:t xml:space="preserve"> </w:t>
      </w:r>
      <w:r>
        <w:rPr>
          <w:sz w:val="20"/>
        </w:rPr>
        <w:t>contracts</w:t>
      </w:r>
      <w:r>
        <w:rPr>
          <w:spacing w:val="-5"/>
          <w:sz w:val="20"/>
        </w:rPr>
        <w:t xml:space="preserve"> </w:t>
      </w:r>
      <w:r>
        <w:rPr>
          <w:sz w:val="20"/>
        </w:rPr>
        <w:t>under which</w:t>
      </w:r>
      <w:r>
        <w:rPr>
          <w:spacing w:val="-5"/>
          <w:sz w:val="20"/>
        </w:rPr>
        <w:t xml:space="preserve"> </w:t>
      </w:r>
      <w:r>
        <w:rPr>
          <w:sz w:val="20"/>
        </w:rPr>
        <w:t>the</w:t>
      </w:r>
      <w:r>
        <w:rPr>
          <w:spacing w:val="-6"/>
          <w:sz w:val="20"/>
        </w:rPr>
        <w:t xml:space="preserve"> </w:t>
      </w:r>
      <w:r>
        <w:rPr>
          <w:sz w:val="20"/>
        </w:rPr>
        <w:t>Bidder</w:t>
      </w:r>
      <w:r>
        <w:rPr>
          <w:spacing w:val="-3"/>
          <w:sz w:val="20"/>
        </w:rPr>
        <w:t xml:space="preserve"> </w:t>
      </w:r>
      <w:r>
        <w:rPr>
          <w:sz w:val="20"/>
        </w:rPr>
        <w:t>participated</w:t>
      </w:r>
      <w:r>
        <w:rPr>
          <w:spacing w:val="-3"/>
          <w:sz w:val="20"/>
        </w:rPr>
        <w:t xml:space="preserve"> </w:t>
      </w:r>
      <w:r>
        <w:rPr>
          <w:sz w:val="20"/>
        </w:rPr>
        <w:t>as</w:t>
      </w:r>
      <w:r>
        <w:rPr>
          <w:spacing w:val="-5"/>
          <w:sz w:val="20"/>
        </w:rPr>
        <w:t xml:space="preserve"> </w:t>
      </w:r>
      <w:r>
        <w:rPr>
          <w:sz w:val="20"/>
        </w:rPr>
        <w:t>a</w:t>
      </w:r>
      <w:r>
        <w:rPr>
          <w:spacing w:val="-4"/>
          <w:sz w:val="20"/>
        </w:rPr>
        <w:t xml:space="preserve"> </w:t>
      </w:r>
      <w:r>
        <w:rPr>
          <w:sz w:val="20"/>
        </w:rPr>
        <w:t>joint</w:t>
      </w:r>
      <w:r>
        <w:rPr>
          <w:spacing w:val="-7"/>
          <w:sz w:val="20"/>
        </w:rPr>
        <w:t xml:space="preserve"> </w:t>
      </w:r>
      <w:r>
        <w:rPr>
          <w:sz w:val="20"/>
        </w:rPr>
        <w:t>venture</w:t>
      </w:r>
      <w:r>
        <w:rPr>
          <w:spacing w:val="-4"/>
          <w:sz w:val="20"/>
        </w:rPr>
        <w:t xml:space="preserve"> </w:t>
      </w:r>
      <w:r>
        <w:rPr>
          <w:sz w:val="20"/>
        </w:rPr>
        <w:t>member</w:t>
      </w:r>
      <w:r>
        <w:rPr>
          <w:spacing w:val="-5"/>
          <w:sz w:val="20"/>
        </w:rPr>
        <w:t xml:space="preserve"> </w:t>
      </w:r>
      <w:r>
        <w:rPr>
          <w:sz w:val="20"/>
        </w:rPr>
        <w:t>or</w:t>
      </w:r>
      <w:r>
        <w:rPr>
          <w:spacing w:val="-5"/>
          <w:sz w:val="20"/>
        </w:rPr>
        <w:t xml:space="preserve"> </w:t>
      </w:r>
      <w:r>
        <w:rPr>
          <w:sz w:val="20"/>
        </w:rPr>
        <w:t>sub-contractor,</w:t>
      </w:r>
      <w:r>
        <w:rPr>
          <w:spacing w:val="-4"/>
          <w:sz w:val="20"/>
        </w:rPr>
        <w:t xml:space="preserve"> </w:t>
      </w:r>
      <w:r>
        <w:rPr>
          <w:sz w:val="20"/>
        </w:rPr>
        <w:t>only</w:t>
      </w:r>
      <w:r>
        <w:rPr>
          <w:spacing w:val="-3"/>
          <w:sz w:val="20"/>
        </w:rPr>
        <w:t xml:space="preserve"> </w:t>
      </w:r>
      <w:r>
        <w:rPr>
          <w:sz w:val="20"/>
        </w:rPr>
        <w:t>the</w:t>
      </w:r>
      <w:r>
        <w:rPr>
          <w:spacing w:val="-4"/>
          <w:sz w:val="20"/>
        </w:rPr>
        <w:t xml:space="preserve"> </w:t>
      </w:r>
      <w:r>
        <w:rPr>
          <w:sz w:val="20"/>
        </w:rPr>
        <w:t>Bidder’s</w:t>
      </w:r>
      <w:r>
        <w:rPr>
          <w:spacing w:val="-5"/>
          <w:sz w:val="20"/>
        </w:rPr>
        <w:t xml:space="preserve"> </w:t>
      </w:r>
      <w:r>
        <w:rPr>
          <w:sz w:val="20"/>
        </w:rPr>
        <w:t>share,</w:t>
      </w:r>
      <w:r>
        <w:rPr>
          <w:spacing w:val="-6"/>
          <w:sz w:val="20"/>
        </w:rPr>
        <w:t xml:space="preserve"> </w:t>
      </w:r>
      <w:r>
        <w:rPr>
          <w:sz w:val="20"/>
        </w:rPr>
        <w:t>by</w:t>
      </w:r>
      <w:r>
        <w:rPr>
          <w:spacing w:val="-3"/>
          <w:sz w:val="20"/>
        </w:rPr>
        <w:t xml:space="preserve"> </w:t>
      </w:r>
      <w:r>
        <w:rPr>
          <w:sz w:val="20"/>
        </w:rPr>
        <w:t>value,</w:t>
      </w:r>
      <w:r>
        <w:rPr>
          <w:spacing w:val="-4"/>
          <w:sz w:val="20"/>
        </w:rPr>
        <w:t xml:space="preserve"> </w:t>
      </w:r>
      <w:r>
        <w:rPr>
          <w:sz w:val="20"/>
        </w:rPr>
        <w:t>shall</w:t>
      </w:r>
      <w:r>
        <w:rPr>
          <w:spacing w:val="-4"/>
          <w:sz w:val="20"/>
        </w:rPr>
        <w:t xml:space="preserve"> </w:t>
      </w:r>
      <w:r>
        <w:rPr>
          <w:sz w:val="20"/>
        </w:rPr>
        <w:t>be</w:t>
      </w:r>
      <w:r>
        <w:rPr>
          <w:spacing w:val="-4"/>
          <w:sz w:val="20"/>
        </w:rPr>
        <w:t xml:space="preserve"> </w:t>
      </w:r>
      <w:r>
        <w:rPr>
          <w:sz w:val="20"/>
        </w:rPr>
        <w:t>considered</w:t>
      </w:r>
      <w:r>
        <w:rPr>
          <w:spacing w:val="-4"/>
          <w:sz w:val="20"/>
        </w:rPr>
        <w:t xml:space="preserve"> </w:t>
      </w:r>
      <w:r>
        <w:rPr>
          <w:sz w:val="20"/>
        </w:rPr>
        <w:t>to</w:t>
      </w:r>
      <w:r>
        <w:rPr>
          <w:spacing w:val="-3"/>
          <w:sz w:val="20"/>
        </w:rPr>
        <w:t xml:space="preserve"> </w:t>
      </w:r>
      <w:r>
        <w:rPr>
          <w:sz w:val="20"/>
        </w:rPr>
        <w:t>meet</w:t>
      </w:r>
      <w:r>
        <w:rPr>
          <w:spacing w:val="-5"/>
          <w:sz w:val="20"/>
        </w:rPr>
        <w:t xml:space="preserve"> </w:t>
      </w:r>
      <w:r>
        <w:rPr>
          <w:sz w:val="20"/>
        </w:rPr>
        <w:t>this</w:t>
      </w:r>
      <w:r>
        <w:rPr>
          <w:spacing w:val="-5"/>
          <w:sz w:val="20"/>
        </w:rPr>
        <w:t xml:space="preserve"> </w:t>
      </w:r>
      <w:r>
        <w:rPr>
          <w:spacing w:val="-2"/>
          <w:sz w:val="20"/>
        </w:rPr>
        <w:t>requirement.</w:t>
      </w:r>
    </w:p>
    <w:p w:rsidR="007F6DF9" w:rsidRDefault="00A43FBC">
      <w:pPr>
        <w:pStyle w:val="ListParagraph"/>
        <w:numPr>
          <w:ilvl w:val="0"/>
          <w:numId w:val="173"/>
        </w:numPr>
        <w:tabs>
          <w:tab w:val="left" w:pos="854"/>
        </w:tabs>
        <w:ind w:right="131"/>
        <w:rPr>
          <w:sz w:val="20"/>
        </w:rPr>
      </w:pPr>
      <w:r>
        <w:rPr>
          <w:sz w:val="20"/>
        </w:rPr>
        <w:t>In the case of</w:t>
      </w:r>
      <w:r>
        <w:rPr>
          <w:spacing w:val="-2"/>
          <w:sz w:val="20"/>
        </w:rPr>
        <w:t xml:space="preserve"> </w:t>
      </w:r>
      <w:r>
        <w:rPr>
          <w:sz w:val="20"/>
        </w:rPr>
        <w:t>JV, the value</w:t>
      </w:r>
      <w:r>
        <w:rPr>
          <w:spacing w:val="-2"/>
          <w:sz w:val="20"/>
        </w:rPr>
        <w:t xml:space="preserve"> </w:t>
      </w:r>
      <w:r>
        <w:rPr>
          <w:sz w:val="20"/>
        </w:rPr>
        <w:t>of</w:t>
      </w:r>
      <w:r>
        <w:rPr>
          <w:spacing w:val="-2"/>
          <w:sz w:val="20"/>
        </w:rPr>
        <w:t xml:space="preserve"> </w:t>
      </w:r>
      <w:r>
        <w:rPr>
          <w:sz w:val="20"/>
        </w:rPr>
        <w:t>contracts</w:t>
      </w:r>
      <w:r>
        <w:rPr>
          <w:spacing w:val="-1"/>
          <w:sz w:val="20"/>
        </w:rPr>
        <w:t xml:space="preserve"> </w:t>
      </w:r>
      <w:r>
        <w:rPr>
          <w:sz w:val="20"/>
        </w:rPr>
        <w:t>completed</w:t>
      </w:r>
      <w:r>
        <w:rPr>
          <w:spacing w:val="-1"/>
          <w:sz w:val="20"/>
        </w:rPr>
        <w:t xml:space="preserve"> </w:t>
      </w:r>
      <w:r>
        <w:rPr>
          <w:sz w:val="20"/>
        </w:rPr>
        <w:t>by its</w:t>
      </w:r>
      <w:r>
        <w:rPr>
          <w:spacing w:val="-1"/>
          <w:sz w:val="20"/>
        </w:rPr>
        <w:t xml:space="preserve"> </w:t>
      </w:r>
      <w:r>
        <w:rPr>
          <w:sz w:val="20"/>
        </w:rPr>
        <w:t>members</w:t>
      </w:r>
      <w:r>
        <w:rPr>
          <w:spacing w:val="-1"/>
          <w:sz w:val="20"/>
        </w:rPr>
        <w:t xml:space="preserve"> </w:t>
      </w:r>
      <w:r>
        <w:rPr>
          <w:sz w:val="20"/>
        </w:rPr>
        <w:t>shall not</w:t>
      </w:r>
      <w:r>
        <w:rPr>
          <w:spacing w:val="-1"/>
          <w:sz w:val="20"/>
        </w:rPr>
        <w:t xml:space="preserve"> </w:t>
      </w:r>
      <w:r>
        <w:rPr>
          <w:sz w:val="20"/>
        </w:rPr>
        <w:t>be aggregated</w:t>
      </w:r>
      <w:r>
        <w:rPr>
          <w:spacing w:val="-1"/>
          <w:sz w:val="20"/>
        </w:rPr>
        <w:t xml:space="preserve"> </w:t>
      </w:r>
      <w:r>
        <w:rPr>
          <w:sz w:val="20"/>
        </w:rPr>
        <w:t>to determine whether the</w:t>
      </w:r>
      <w:r>
        <w:rPr>
          <w:spacing w:val="-2"/>
          <w:sz w:val="20"/>
        </w:rPr>
        <w:t xml:space="preserve"> </w:t>
      </w:r>
      <w:r>
        <w:rPr>
          <w:sz w:val="20"/>
        </w:rPr>
        <w:t>requirement</w:t>
      </w:r>
      <w:r>
        <w:rPr>
          <w:spacing w:val="-1"/>
          <w:sz w:val="20"/>
        </w:rPr>
        <w:t xml:space="preserve"> </w:t>
      </w:r>
      <w:r>
        <w:rPr>
          <w:sz w:val="20"/>
        </w:rPr>
        <w:t>of</w:t>
      </w:r>
      <w:r>
        <w:rPr>
          <w:spacing w:val="-2"/>
          <w:sz w:val="20"/>
        </w:rPr>
        <w:t xml:space="preserve"> </w:t>
      </w:r>
      <w:r>
        <w:rPr>
          <w:sz w:val="20"/>
        </w:rPr>
        <w:t>the minimum value</w:t>
      </w:r>
      <w:r>
        <w:rPr>
          <w:spacing w:val="-4"/>
          <w:sz w:val="20"/>
        </w:rPr>
        <w:t xml:space="preserve"> </w:t>
      </w:r>
      <w:r>
        <w:rPr>
          <w:sz w:val="20"/>
        </w:rPr>
        <w:t>of a single contract</w:t>
      </w:r>
      <w:r>
        <w:rPr>
          <w:spacing w:val="-1"/>
          <w:sz w:val="20"/>
        </w:rPr>
        <w:t xml:space="preserve"> </w:t>
      </w:r>
      <w:r>
        <w:rPr>
          <w:sz w:val="20"/>
        </w:rPr>
        <w:t>has</w:t>
      </w:r>
      <w:r>
        <w:rPr>
          <w:spacing w:val="-1"/>
          <w:sz w:val="20"/>
        </w:rPr>
        <w:t xml:space="preserve"> </w:t>
      </w:r>
      <w:r>
        <w:rPr>
          <w:sz w:val="20"/>
        </w:rPr>
        <w:t>been met. Instead, each contract performed by each member shall satisfy the minimum value of a single contract as required for single entity. In determining whether the JV meets the requirement</w:t>
      </w:r>
      <w:r>
        <w:rPr>
          <w:spacing w:val="-2"/>
          <w:sz w:val="20"/>
        </w:rPr>
        <w:t xml:space="preserve"> </w:t>
      </w:r>
      <w:r>
        <w:rPr>
          <w:sz w:val="20"/>
        </w:rPr>
        <w:t>of</w:t>
      </w:r>
      <w:r>
        <w:rPr>
          <w:spacing w:val="-1"/>
          <w:sz w:val="20"/>
        </w:rPr>
        <w:t xml:space="preserve"> </w:t>
      </w:r>
      <w:r>
        <w:rPr>
          <w:sz w:val="20"/>
        </w:rPr>
        <w:t>total</w:t>
      </w:r>
      <w:r>
        <w:rPr>
          <w:spacing w:val="-3"/>
          <w:sz w:val="20"/>
        </w:rPr>
        <w:t xml:space="preserve"> </w:t>
      </w:r>
      <w:r>
        <w:rPr>
          <w:sz w:val="20"/>
        </w:rPr>
        <w:t>number of</w:t>
      </w:r>
      <w:r>
        <w:rPr>
          <w:spacing w:val="-1"/>
          <w:sz w:val="20"/>
        </w:rPr>
        <w:t xml:space="preserve"> </w:t>
      </w:r>
      <w:r>
        <w:rPr>
          <w:sz w:val="20"/>
        </w:rPr>
        <w:t>contracts,</w:t>
      </w:r>
      <w:r>
        <w:rPr>
          <w:spacing w:val="-1"/>
          <w:sz w:val="20"/>
        </w:rPr>
        <w:t xml:space="preserve"> </w:t>
      </w:r>
      <w:r>
        <w:rPr>
          <w:sz w:val="20"/>
        </w:rPr>
        <w:t>only the</w:t>
      </w:r>
      <w:r>
        <w:rPr>
          <w:spacing w:val="-3"/>
          <w:sz w:val="20"/>
        </w:rPr>
        <w:t xml:space="preserve"> </w:t>
      </w:r>
      <w:r>
        <w:rPr>
          <w:sz w:val="20"/>
        </w:rPr>
        <w:t>number</w:t>
      </w:r>
      <w:r>
        <w:rPr>
          <w:spacing w:val="-1"/>
          <w:sz w:val="20"/>
        </w:rPr>
        <w:t xml:space="preserve"> </w:t>
      </w:r>
      <w:r>
        <w:rPr>
          <w:sz w:val="20"/>
        </w:rPr>
        <w:t>of</w:t>
      </w:r>
      <w:r>
        <w:rPr>
          <w:spacing w:val="-1"/>
          <w:sz w:val="20"/>
        </w:rPr>
        <w:t xml:space="preserve"> </w:t>
      </w:r>
      <w:r>
        <w:rPr>
          <w:sz w:val="20"/>
        </w:rPr>
        <w:t>contracts</w:t>
      </w:r>
      <w:r>
        <w:rPr>
          <w:spacing w:val="-2"/>
          <w:sz w:val="20"/>
        </w:rPr>
        <w:t xml:space="preserve"> </w:t>
      </w:r>
      <w:r>
        <w:rPr>
          <w:sz w:val="20"/>
        </w:rPr>
        <w:t>completed by</w:t>
      </w:r>
      <w:r>
        <w:rPr>
          <w:spacing w:val="-2"/>
          <w:sz w:val="20"/>
        </w:rPr>
        <w:t xml:space="preserve"> </w:t>
      </w:r>
      <w:r>
        <w:rPr>
          <w:sz w:val="20"/>
        </w:rPr>
        <w:t>all</w:t>
      </w:r>
      <w:r>
        <w:rPr>
          <w:spacing w:val="-1"/>
          <w:sz w:val="20"/>
        </w:rPr>
        <w:t xml:space="preserve"> </w:t>
      </w:r>
      <w:r>
        <w:rPr>
          <w:sz w:val="20"/>
        </w:rPr>
        <w:t>members</w:t>
      </w:r>
      <w:r>
        <w:rPr>
          <w:spacing w:val="-2"/>
          <w:sz w:val="20"/>
        </w:rPr>
        <w:t xml:space="preserve"> </w:t>
      </w:r>
      <w:r>
        <w:rPr>
          <w:sz w:val="20"/>
        </w:rPr>
        <w:t>each of</w:t>
      </w:r>
      <w:r>
        <w:rPr>
          <w:spacing w:val="-1"/>
          <w:sz w:val="20"/>
        </w:rPr>
        <w:t xml:space="preserve"> </w:t>
      </w:r>
      <w:r>
        <w:rPr>
          <w:sz w:val="20"/>
        </w:rPr>
        <w:t>value</w:t>
      </w:r>
      <w:r>
        <w:rPr>
          <w:spacing w:val="-1"/>
          <w:sz w:val="20"/>
        </w:rPr>
        <w:t xml:space="preserve"> </w:t>
      </w:r>
      <w:r>
        <w:rPr>
          <w:sz w:val="20"/>
        </w:rPr>
        <w:t>equal</w:t>
      </w:r>
      <w:r>
        <w:rPr>
          <w:spacing w:val="-1"/>
          <w:sz w:val="20"/>
        </w:rPr>
        <w:t xml:space="preserve"> </w:t>
      </w:r>
      <w:r>
        <w:rPr>
          <w:sz w:val="20"/>
        </w:rPr>
        <w:t>or</w:t>
      </w:r>
      <w:r>
        <w:rPr>
          <w:spacing w:val="-3"/>
          <w:sz w:val="20"/>
        </w:rPr>
        <w:t xml:space="preserve"> </w:t>
      </w:r>
      <w:r>
        <w:rPr>
          <w:sz w:val="20"/>
        </w:rPr>
        <w:t>more</w:t>
      </w:r>
      <w:r>
        <w:rPr>
          <w:spacing w:val="-1"/>
          <w:sz w:val="20"/>
        </w:rPr>
        <w:t xml:space="preserve"> </w:t>
      </w:r>
      <w:r>
        <w:rPr>
          <w:sz w:val="20"/>
        </w:rPr>
        <w:t>than</w:t>
      </w:r>
      <w:r>
        <w:rPr>
          <w:spacing w:val="-2"/>
          <w:sz w:val="20"/>
        </w:rPr>
        <w:t xml:space="preserve"> </w:t>
      </w:r>
      <w:r>
        <w:rPr>
          <w:sz w:val="20"/>
        </w:rPr>
        <w:t>the</w:t>
      </w:r>
      <w:r>
        <w:rPr>
          <w:spacing w:val="-1"/>
          <w:sz w:val="20"/>
        </w:rPr>
        <w:t xml:space="preserve"> </w:t>
      </w:r>
      <w:r>
        <w:rPr>
          <w:sz w:val="20"/>
        </w:rPr>
        <w:t>minimum value</w:t>
      </w:r>
      <w:r>
        <w:rPr>
          <w:spacing w:val="-3"/>
          <w:sz w:val="20"/>
        </w:rPr>
        <w:t xml:space="preserve"> </w:t>
      </w:r>
      <w:r>
        <w:rPr>
          <w:sz w:val="20"/>
        </w:rPr>
        <w:t>required shall</w:t>
      </w:r>
      <w:r>
        <w:rPr>
          <w:spacing w:val="-1"/>
          <w:sz w:val="20"/>
        </w:rPr>
        <w:t xml:space="preserve"> </w:t>
      </w:r>
      <w:r>
        <w:rPr>
          <w:sz w:val="20"/>
        </w:rPr>
        <w:t>be</w:t>
      </w:r>
      <w:r>
        <w:rPr>
          <w:spacing w:val="-1"/>
          <w:sz w:val="20"/>
        </w:rPr>
        <w:t xml:space="preserve"> </w:t>
      </w:r>
      <w:r>
        <w:rPr>
          <w:sz w:val="20"/>
        </w:rPr>
        <w:t>aggregated.</w:t>
      </w:r>
    </w:p>
    <w:p w:rsidR="007F6DF9" w:rsidRDefault="007F6DF9">
      <w:pPr>
        <w:pStyle w:val="ListParagraph"/>
        <w:rPr>
          <w:sz w:val="20"/>
        </w:rPr>
        <w:sectPr w:rsidR="007F6DF9">
          <w:headerReference w:type="default" r:id="rId21"/>
          <w:footerReference w:type="default" r:id="rId22"/>
          <w:pgSz w:w="16850" w:h="11920" w:orient="landscape"/>
          <w:pgMar w:top="0" w:right="850" w:bottom="280" w:left="566" w:header="0" w:footer="0" w:gutter="0"/>
          <w:cols w:space="720"/>
        </w:sectPr>
      </w:pPr>
    </w:p>
    <w:p w:rsidR="007F6DF9" w:rsidRDefault="007F6DF9">
      <w:pPr>
        <w:pStyle w:val="BodyText"/>
        <w:rPr>
          <w:sz w:val="20"/>
        </w:rPr>
      </w:pPr>
    </w:p>
    <w:p w:rsidR="007F6DF9" w:rsidRDefault="007F6DF9">
      <w:pPr>
        <w:pStyle w:val="BodyText"/>
        <w:spacing w:before="30"/>
        <w:rPr>
          <w:sz w:val="20"/>
        </w:rPr>
      </w:pPr>
    </w:p>
    <w:tbl>
      <w:tblPr>
        <w:tblW w:w="0" w:type="auto"/>
        <w:tblInd w:w="67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7"/>
        <w:gridCol w:w="2680"/>
        <w:gridCol w:w="5223"/>
        <w:gridCol w:w="2520"/>
        <w:gridCol w:w="2971"/>
      </w:tblGrid>
      <w:tr w:rsidR="007F6DF9">
        <w:trPr>
          <w:trHeight w:val="918"/>
        </w:trPr>
        <w:tc>
          <w:tcPr>
            <w:tcW w:w="737" w:type="dxa"/>
          </w:tcPr>
          <w:p w:rsidR="007F6DF9" w:rsidRDefault="00A43FBC">
            <w:pPr>
              <w:pStyle w:val="TableParagraph"/>
              <w:spacing w:before="46" w:line="252" w:lineRule="auto"/>
              <w:ind w:left="100" w:right="226" w:hanging="3"/>
              <w:rPr>
                <w:rFonts w:ascii="Times New Roman"/>
                <w:b/>
                <w:sz w:val="20"/>
              </w:rPr>
            </w:pPr>
            <w:r>
              <w:rPr>
                <w:rFonts w:ascii="Times New Roman"/>
                <w:b/>
                <w:color w:val="302C2E"/>
                <w:spacing w:val="-4"/>
                <w:sz w:val="20"/>
              </w:rPr>
              <w:t>Item No.</w:t>
            </w:r>
          </w:p>
        </w:tc>
        <w:tc>
          <w:tcPr>
            <w:tcW w:w="2680" w:type="dxa"/>
          </w:tcPr>
          <w:p w:rsidR="007F6DF9" w:rsidRDefault="00A43FBC">
            <w:pPr>
              <w:pStyle w:val="TableParagraph"/>
              <w:spacing w:before="46"/>
              <w:ind w:left="98"/>
              <w:rPr>
                <w:rFonts w:ascii="Times New Roman"/>
                <w:b/>
                <w:sz w:val="20"/>
              </w:rPr>
            </w:pPr>
            <w:r>
              <w:rPr>
                <w:rFonts w:ascii="Times New Roman"/>
                <w:b/>
                <w:color w:val="302C2E"/>
                <w:sz w:val="20"/>
              </w:rPr>
              <w:t>Qualification</w:t>
            </w:r>
            <w:r>
              <w:rPr>
                <w:rFonts w:ascii="Times New Roman"/>
                <w:b/>
                <w:color w:val="302C2E"/>
                <w:spacing w:val="41"/>
                <w:sz w:val="20"/>
              </w:rPr>
              <w:t xml:space="preserve"> </w:t>
            </w:r>
            <w:r>
              <w:rPr>
                <w:rFonts w:ascii="Times New Roman"/>
                <w:b/>
                <w:color w:val="302C2E"/>
                <w:spacing w:val="-2"/>
                <w:sz w:val="20"/>
              </w:rPr>
              <w:t>Subject</w:t>
            </w:r>
          </w:p>
        </w:tc>
        <w:tc>
          <w:tcPr>
            <w:tcW w:w="5223" w:type="dxa"/>
          </w:tcPr>
          <w:p w:rsidR="007F6DF9" w:rsidRDefault="00A43FBC">
            <w:pPr>
              <w:pStyle w:val="TableParagraph"/>
              <w:spacing w:before="46"/>
              <w:ind w:left="104"/>
              <w:rPr>
                <w:rFonts w:ascii="Times New Roman"/>
                <w:b/>
                <w:sz w:val="20"/>
              </w:rPr>
            </w:pPr>
            <w:r>
              <w:rPr>
                <w:rFonts w:ascii="Times New Roman"/>
                <w:b/>
                <w:color w:val="302C2E"/>
                <w:sz w:val="20"/>
              </w:rPr>
              <w:t>Qualification</w:t>
            </w:r>
            <w:r>
              <w:rPr>
                <w:rFonts w:ascii="Times New Roman"/>
                <w:b/>
                <w:color w:val="302C2E"/>
                <w:spacing w:val="41"/>
                <w:sz w:val="20"/>
              </w:rPr>
              <w:t xml:space="preserve"> </w:t>
            </w:r>
            <w:r>
              <w:rPr>
                <w:rFonts w:ascii="Times New Roman"/>
                <w:b/>
                <w:color w:val="302C2E"/>
                <w:spacing w:val="-2"/>
                <w:sz w:val="20"/>
              </w:rPr>
              <w:t>Requirement</w:t>
            </w:r>
          </w:p>
        </w:tc>
        <w:tc>
          <w:tcPr>
            <w:tcW w:w="2520" w:type="dxa"/>
            <w:tcBorders>
              <w:right w:val="single" w:sz="6" w:space="0" w:color="221F1F"/>
            </w:tcBorders>
          </w:tcPr>
          <w:p w:rsidR="007F6DF9" w:rsidRDefault="00A43FBC">
            <w:pPr>
              <w:pStyle w:val="TableParagraph"/>
              <w:spacing w:before="46" w:line="247" w:lineRule="auto"/>
              <w:ind w:left="106" w:right="175" w:firstLine="2"/>
              <w:rPr>
                <w:rFonts w:ascii="Times New Roman"/>
                <w:b/>
                <w:i/>
                <w:sz w:val="20"/>
              </w:rPr>
            </w:pPr>
            <w:r>
              <w:rPr>
                <w:rFonts w:ascii="Times New Roman"/>
                <w:b/>
                <w:i/>
                <w:color w:val="302C2E"/>
                <w:sz w:val="20"/>
              </w:rPr>
              <w:t>Document To be Completed by Tenderer</w:t>
            </w:r>
          </w:p>
        </w:tc>
        <w:tc>
          <w:tcPr>
            <w:tcW w:w="2971" w:type="dxa"/>
            <w:tcBorders>
              <w:left w:val="single" w:sz="6" w:space="0" w:color="221F1F"/>
            </w:tcBorders>
          </w:tcPr>
          <w:p w:rsidR="007F6DF9" w:rsidRDefault="00A43FBC">
            <w:pPr>
              <w:pStyle w:val="TableParagraph"/>
              <w:spacing w:before="41" w:line="247" w:lineRule="auto"/>
              <w:ind w:left="104"/>
              <w:rPr>
                <w:rFonts w:ascii="Times New Roman"/>
                <w:b/>
                <w:i/>
                <w:sz w:val="20"/>
              </w:rPr>
            </w:pPr>
            <w:r>
              <w:rPr>
                <w:rFonts w:ascii="Times New Roman"/>
                <w:b/>
                <w:i/>
                <w:color w:val="302C2E"/>
                <w:sz w:val="20"/>
              </w:rPr>
              <w:t>For Procuring Entity's Use (Qualification met or Not Met)</w:t>
            </w:r>
          </w:p>
        </w:tc>
      </w:tr>
      <w:tr w:rsidR="007F6DF9">
        <w:trPr>
          <w:trHeight w:val="330"/>
        </w:trPr>
        <w:tc>
          <w:tcPr>
            <w:tcW w:w="14131" w:type="dxa"/>
            <w:gridSpan w:val="5"/>
          </w:tcPr>
          <w:p w:rsidR="007F6DF9" w:rsidRDefault="00A43FBC">
            <w:pPr>
              <w:pStyle w:val="TableParagraph"/>
              <w:tabs>
                <w:tab w:val="left" w:pos="1456"/>
              </w:tabs>
              <w:spacing w:before="46"/>
              <w:ind w:left="1097"/>
              <w:rPr>
                <w:rFonts w:ascii="Times New Roman"/>
                <w:b/>
                <w:sz w:val="20"/>
              </w:rPr>
            </w:pPr>
            <w:r>
              <w:rPr>
                <w:rFonts w:ascii="Times New Roman"/>
                <w:b/>
                <w:color w:val="302C2E"/>
                <w:spacing w:val="-5"/>
                <w:sz w:val="20"/>
              </w:rPr>
              <w:t>5.</w:t>
            </w:r>
            <w:r>
              <w:rPr>
                <w:rFonts w:ascii="Times New Roman"/>
                <w:b/>
                <w:color w:val="302C2E"/>
                <w:sz w:val="20"/>
              </w:rPr>
              <w:tab/>
            </w:r>
            <w:r>
              <w:rPr>
                <w:rFonts w:ascii="Times New Roman"/>
                <w:b/>
                <w:color w:val="302C2E"/>
                <w:spacing w:val="-2"/>
                <w:sz w:val="20"/>
              </w:rPr>
              <w:t>Equipment</w:t>
            </w:r>
          </w:p>
        </w:tc>
      </w:tr>
      <w:tr w:rsidR="007F6DF9">
        <w:trPr>
          <w:trHeight w:val="8353"/>
        </w:trPr>
        <w:tc>
          <w:tcPr>
            <w:tcW w:w="737" w:type="dxa"/>
          </w:tcPr>
          <w:p w:rsidR="007F6DF9" w:rsidRDefault="00A43FBC">
            <w:pPr>
              <w:pStyle w:val="TableParagraph"/>
              <w:spacing w:before="77"/>
              <w:ind w:left="91"/>
              <w:rPr>
                <w:rFonts w:ascii="Times New Roman"/>
                <w:sz w:val="20"/>
              </w:rPr>
            </w:pPr>
            <w:r>
              <w:rPr>
                <w:rFonts w:ascii="Times New Roman"/>
                <w:spacing w:val="-5"/>
                <w:w w:val="110"/>
                <w:sz w:val="20"/>
              </w:rPr>
              <w:t>15</w:t>
            </w:r>
          </w:p>
        </w:tc>
        <w:tc>
          <w:tcPr>
            <w:tcW w:w="2680" w:type="dxa"/>
          </w:tcPr>
          <w:p w:rsidR="007F6DF9" w:rsidRDefault="00A43FBC">
            <w:pPr>
              <w:pStyle w:val="TableParagraph"/>
              <w:spacing w:before="77"/>
              <w:ind w:left="91"/>
              <w:rPr>
                <w:rFonts w:ascii="Times New Roman"/>
                <w:sz w:val="20"/>
              </w:rPr>
            </w:pPr>
            <w:r>
              <w:rPr>
                <w:rFonts w:ascii="Times New Roman"/>
                <w:sz w:val="20"/>
              </w:rPr>
              <w:t>Contractors</w:t>
            </w:r>
            <w:r>
              <w:rPr>
                <w:rFonts w:ascii="Times New Roman"/>
                <w:spacing w:val="-6"/>
                <w:sz w:val="20"/>
              </w:rPr>
              <w:t xml:space="preserve"> </w:t>
            </w:r>
            <w:r>
              <w:rPr>
                <w:rFonts w:ascii="Times New Roman"/>
                <w:sz w:val="20"/>
              </w:rPr>
              <w:t>key</w:t>
            </w:r>
            <w:r>
              <w:rPr>
                <w:rFonts w:ascii="Times New Roman"/>
                <w:spacing w:val="-5"/>
                <w:sz w:val="20"/>
              </w:rPr>
              <w:t xml:space="preserve"> </w:t>
            </w:r>
            <w:r>
              <w:rPr>
                <w:rFonts w:ascii="Times New Roman"/>
                <w:spacing w:val="-2"/>
                <w:sz w:val="20"/>
              </w:rPr>
              <w:t>equipment</w:t>
            </w:r>
          </w:p>
        </w:tc>
        <w:tc>
          <w:tcPr>
            <w:tcW w:w="5223" w:type="dxa"/>
          </w:tcPr>
          <w:p w:rsidR="007F6DF9" w:rsidRDefault="00A43FBC">
            <w:pPr>
              <w:pStyle w:val="TableParagraph"/>
              <w:numPr>
                <w:ilvl w:val="0"/>
                <w:numId w:val="172"/>
              </w:numPr>
              <w:tabs>
                <w:tab w:val="left" w:pos="832"/>
              </w:tabs>
              <w:spacing w:before="1"/>
              <w:ind w:left="832" w:hanging="361"/>
              <w:rPr>
                <w:rFonts w:ascii="Times New Roman" w:hAnsi="Times New Roman"/>
                <w:sz w:val="20"/>
              </w:rPr>
            </w:pPr>
            <w:r>
              <w:rPr>
                <w:rFonts w:ascii="Times New Roman" w:hAnsi="Times New Roman"/>
                <w:sz w:val="20"/>
              </w:rPr>
              <w:t>Pick</w:t>
            </w:r>
            <w:r>
              <w:rPr>
                <w:rFonts w:ascii="Times New Roman" w:hAnsi="Times New Roman"/>
                <w:spacing w:val="-3"/>
                <w:sz w:val="20"/>
              </w:rPr>
              <w:t xml:space="preserve"> </w:t>
            </w:r>
            <w:r>
              <w:rPr>
                <w:rFonts w:ascii="Times New Roman" w:hAnsi="Times New Roman"/>
                <w:sz w:val="20"/>
              </w:rPr>
              <w:t>up</w:t>
            </w:r>
            <w:r>
              <w:rPr>
                <w:rFonts w:ascii="Times New Roman" w:hAnsi="Times New Roman"/>
                <w:spacing w:val="-2"/>
                <w:sz w:val="20"/>
              </w:rPr>
              <w:t xml:space="preserve"> </w:t>
            </w:r>
            <w:r>
              <w:rPr>
                <w:rFonts w:ascii="Times New Roman" w:hAnsi="Times New Roman"/>
                <w:sz w:val="20"/>
              </w:rPr>
              <w:t>(2</w:t>
            </w:r>
            <w:r>
              <w:rPr>
                <w:rFonts w:ascii="Times New Roman" w:hAnsi="Times New Roman"/>
                <w:spacing w:val="-4"/>
                <w:sz w:val="20"/>
              </w:rPr>
              <w:t xml:space="preserve"> </w:t>
            </w:r>
            <w:proofErr w:type="spellStart"/>
            <w:r>
              <w:rPr>
                <w:rFonts w:ascii="Times New Roman" w:hAnsi="Times New Roman"/>
                <w:sz w:val="20"/>
              </w:rPr>
              <w:t>tonne</w:t>
            </w:r>
            <w:proofErr w:type="spellEnd"/>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Four</w:t>
            </w:r>
            <w:r>
              <w:rPr>
                <w:rFonts w:ascii="Times New Roman" w:hAnsi="Times New Roman"/>
                <w:spacing w:val="-3"/>
                <w:sz w:val="20"/>
              </w:rPr>
              <w:t xml:space="preserve"> </w:t>
            </w:r>
            <w:r>
              <w:rPr>
                <w:rFonts w:ascii="Times New Roman" w:hAnsi="Times New Roman"/>
                <w:spacing w:val="-5"/>
                <w:sz w:val="20"/>
              </w:rPr>
              <w:t>(4)</w:t>
            </w:r>
          </w:p>
          <w:p w:rsidR="007F6DF9" w:rsidRDefault="00A43FBC">
            <w:pPr>
              <w:pStyle w:val="TableParagraph"/>
              <w:numPr>
                <w:ilvl w:val="0"/>
                <w:numId w:val="172"/>
              </w:numPr>
              <w:tabs>
                <w:tab w:val="left" w:pos="832"/>
              </w:tabs>
              <w:spacing w:before="30"/>
              <w:ind w:left="832" w:hanging="361"/>
              <w:rPr>
                <w:rFonts w:ascii="Times New Roman"/>
                <w:sz w:val="20"/>
              </w:rPr>
            </w:pPr>
            <w:r>
              <w:rPr>
                <w:rFonts w:ascii="Times New Roman"/>
                <w:sz w:val="20"/>
              </w:rPr>
              <w:t>Diesel</w:t>
            </w:r>
            <w:r>
              <w:rPr>
                <w:rFonts w:ascii="Times New Roman"/>
                <w:spacing w:val="-8"/>
                <w:sz w:val="20"/>
              </w:rPr>
              <w:t xml:space="preserve"> </w:t>
            </w:r>
            <w:r>
              <w:rPr>
                <w:rFonts w:ascii="Times New Roman"/>
                <w:sz w:val="20"/>
              </w:rPr>
              <w:t>generator(200kVA)-</w:t>
            </w:r>
            <w:r>
              <w:rPr>
                <w:rFonts w:ascii="Times New Roman"/>
                <w:spacing w:val="-5"/>
                <w:sz w:val="20"/>
              </w:rPr>
              <w:t xml:space="preserve"> </w:t>
            </w:r>
            <w:r>
              <w:rPr>
                <w:rFonts w:ascii="Times New Roman"/>
                <w:sz w:val="20"/>
              </w:rPr>
              <w:t>One</w:t>
            </w:r>
            <w:r>
              <w:rPr>
                <w:rFonts w:ascii="Times New Roman"/>
                <w:spacing w:val="-6"/>
                <w:sz w:val="20"/>
              </w:rPr>
              <w:t xml:space="preserve"> </w:t>
            </w:r>
            <w:r>
              <w:rPr>
                <w:rFonts w:ascii="Times New Roman"/>
                <w:spacing w:val="-5"/>
                <w:sz w:val="20"/>
              </w:rPr>
              <w:t>(1)</w:t>
            </w:r>
          </w:p>
          <w:p w:rsidR="007F6DF9" w:rsidRDefault="00A43FBC">
            <w:pPr>
              <w:pStyle w:val="TableParagraph"/>
              <w:numPr>
                <w:ilvl w:val="0"/>
                <w:numId w:val="172"/>
              </w:numPr>
              <w:tabs>
                <w:tab w:val="left" w:pos="832"/>
              </w:tabs>
              <w:spacing w:before="31"/>
              <w:ind w:left="832" w:hanging="361"/>
              <w:rPr>
                <w:rFonts w:ascii="Times New Roman"/>
                <w:sz w:val="20"/>
              </w:rPr>
            </w:pPr>
            <w:r>
              <w:rPr>
                <w:rFonts w:ascii="Times New Roman"/>
                <w:sz w:val="20"/>
              </w:rPr>
              <w:t>Tippers-</w:t>
            </w:r>
            <w:r>
              <w:rPr>
                <w:rFonts w:ascii="Times New Roman"/>
                <w:spacing w:val="-4"/>
                <w:sz w:val="20"/>
              </w:rPr>
              <w:t xml:space="preserve"> </w:t>
            </w:r>
            <w:r>
              <w:rPr>
                <w:rFonts w:ascii="Times New Roman"/>
                <w:sz w:val="20"/>
              </w:rPr>
              <w:t>Two</w:t>
            </w:r>
            <w:r>
              <w:rPr>
                <w:rFonts w:ascii="Times New Roman"/>
                <w:spacing w:val="-10"/>
                <w:sz w:val="20"/>
              </w:rPr>
              <w:t xml:space="preserve"> </w:t>
            </w:r>
            <w:r>
              <w:rPr>
                <w:rFonts w:ascii="Times New Roman"/>
                <w:spacing w:val="-5"/>
                <w:sz w:val="20"/>
              </w:rPr>
              <w:t>(2)</w:t>
            </w:r>
          </w:p>
          <w:p w:rsidR="007F6DF9" w:rsidRDefault="00A43FBC">
            <w:pPr>
              <w:pStyle w:val="TableParagraph"/>
              <w:spacing w:before="190"/>
              <w:ind w:left="113"/>
              <w:rPr>
                <w:rFonts w:ascii="Times New Roman"/>
                <w:b/>
                <w:sz w:val="20"/>
              </w:rPr>
            </w:pPr>
            <w:r>
              <w:rPr>
                <w:rFonts w:ascii="Times New Roman"/>
                <w:b/>
                <w:spacing w:val="-2"/>
                <w:sz w:val="20"/>
              </w:rPr>
              <w:t>Notes</w:t>
            </w:r>
          </w:p>
          <w:p w:rsidR="007F6DF9" w:rsidRDefault="00A43FBC">
            <w:pPr>
              <w:pStyle w:val="TableParagraph"/>
              <w:numPr>
                <w:ilvl w:val="1"/>
                <w:numId w:val="172"/>
              </w:numPr>
              <w:tabs>
                <w:tab w:val="left" w:pos="815"/>
              </w:tabs>
              <w:spacing w:before="23" w:line="230" w:lineRule="auto"/>
              <w:ind w:right="373"/>
              <w:rPr>
                <w:rFonts w:ascii="Times New Roman" w:hAnsi="Times New Roman"/>
                <w:sz w:val="20"/>
              </w:rPr>
            </w:pPr>
            <w:r>
              <w:rPr>
                <w:rFonts w:ascii="Times New Roman" w:hAnsi="Times New Roman"/>
                <w:sz w:val="20"/>
              </w:rPr>
              <w:t>If the</w:t>
            </w:r>
            <w:r>
              <w:rPr>
                <w:rFonts w:ascii="Times New Roman" w:hAnsi="Times New Roman"/>
                <w:spacing w:val="-1"/>
                <w:sz w:val="20"/>
              </w:rPr>
              <w:t xml:space="preserve"> </w:t>
            </w:r>
            <w:r>
              <w:rPr>
                <w:rFonts w:ascii="Times New Roman" w:hAnsi="Times New Roman"/>
                <w:sz w:val="20"/>
              </w:rPr>
              <w:t>equipment is</w:t>
            </w:r>
            <w:r>
              <w:rPr>
                <w:rFonts w:ascii="Times New Roman" w:hAnsi="Times New Roman"/>
                <w:spacing w:val="-4"/>
                <w:sz w:val="20"/>
              </w:rPr>
              <w:t xml:space="preserve"> </w:t>
            </w:r>
            <w:r>
              <w:rPr>
                <w:rFonts w:ascii="Times New Roman" w:hAnsi="Times New Roman"/>
                <w:sz w:val="20"/>
              </w:rPr>
              <w:t>owned, must</w:t>
            </w:r>
            <w:r>
              <w:rPr>
                <w:rFonts w:ascii="Times New Roman" w:hAnsi="Times New Roman"/>
                <w:spacing w:val="-1"/>
                <w:sz w:val="20"/>
              </w:rPr>
              <w:t xml:space="preserve"> </w:t>
            </w:r>
            <w:r>
              <w:rPr>
                <w:rFonts w:ascii="Times New Roman" w:hAnsi="Times New Roman"/>
                <w:sz w:val="20"/>
              </w:rPr>
              <w:t xml:space="preserve">provide </w:t>
            </w:r>
            <w:r>
              <w:rPr>
                <w:rFonts w:ascii="Times New Roman" w:hAnsi="Times New Roman"/>
                <w:b/>
                <w:sz w:val="20"/>
              </w:rPr>
              <w:t xml:space="preserve">CLEAR </w:t>
            </w:r>
            <w:r>
              <w:rPr>
                <w:rFonts w:ascii="Times New Roman" w:hAnsi="Times New Roman"/>
                <w:sz w:val="20"/>
              </w:rPr>
              <w:t>copies of logbook or proof of ownership.</w:t>
            </w:r>
          </w:p>
          <w:p w:rsidR="007F6DF9" w:rsidRDefault="007F6DF9">
            <w:pPr>
              <w:pStyle w:val="TableParagraph"/>
              <w:spacing w:before="15"/>
              <w:rPr>
                <w:rFonts w:ascii="Times New Roman"/>
                <w:sz w:val="20"/>
              </w:rPr>
            </w:pPr>
          </w:p>
          <w:p w:rsidR="007F6DF9" w:rsidRDefault="00A43FBC">
            <w:pPr>
              <w:pStyle w:val="TableParagraph"/>
              <w:numPr>
                <w:ilvl w:val="1"/>
                <w:numId w:val="172"/>
              </w:numPr>
              <w:tabs>
                <w:tab w:val="left" w:pos="815"/>
              </w:tabs>
              <w:spacing w:line="237" w:lineRule="auto"/>
              <w:ind w:right="374"/>
              <w:jc w:val="both"/>
              <w:rPr>
                <w:rFonts w:ascii="Times New Roman" w:hAnsi="Times New Roman"/>
                <w:sz w:val="20"/>
              </w:rPr>
            </w:pPr>
            <w:r>
              <w:rPr>
                <w:rFonts w:ascii="Times New Roman" w:hAnsi="Times New Roman"/>
                <w:sz w:val="20"/>
              </w:rPr>
              <w:t xml:space="preserve">If equipment is hired or leased Provide a commitment letter from the lessor of the equipment addressed to the </w:t>
            </w:r>
            <w:r>
              <w:rPr>
                <w:rFonts w:ascii="Times New Roman" w:hAnsi="Times New Roman"/>
                <w:b/>
                <w:sz w:val="20"/>
              </w:rPr>
              <w:t xml:space="preserve">MEDIA COUNCIL OF KENYA </w:t>
            </w:r>
            <w:r>
              <w:rPr>
                <w:rFonts w:ascii="Times New Roman" w:hAnsi="Times New Roman"/>
                <w:sz w:val="20"/>
              </w:rPr>
              <w:t xml:space="preserve">indicating that the lessor shall avail </w:t>
            </w:r>
            <w:r>
              <w:rPr>
                <w:rFonts w:ascii="Times New Roman" w:hAnsi="Times New Roman"/>
                <w:spacing w:val="-2"/>
                <w:sz w:val="20"/>
              </w:rPr>
              <w:t>the</w:t>
            </w:r>
            <w:r>
              <w:rPr>
                <w:rFonts w:ascii="Times New Roman" w:hAnsi="Times New Roman"/>
                <w:spacing w:val="-7"/>
                <w:sz w:val="20"/>
              </w:rPr>
              <w:t xml:space="preserve"> </w:t>
            </w:r>
            <w:r>
              <w:rPr>
                <w:rFonts w:ascii="Times New Roman" w:hAnsi="Times New Roman"/>
                <w:spacing w:val="-2"/>
                <w:sz w:val="20"/>
              </w:rPr>
              <w:t>equipment</w:t>
            </w:r>
            <w:r>
              <w:rPr>
                <w:rFonts w:ascii="Times New Roman" w:hAnsi="Times New Roman"/>
                <w:spacing w:val="-7"/>
                <w:sz w:val="20"/>
              </w:rPr>
              <w:t xml:space="preserve"> </w:t>
            </w:r>
            <w:r>
              <w:rPr>
                <w:rFonts w:ascii="Times New Roman" w:hAnsi="Times New Roman"/>
                <w:spacing w:val="-2"/>
                <w:sz w:val="20"/>
              </w:rPr>
              <w:t>upon</w:t>
            </w:r>
            <w:r>
              <w:rPr>
                <w:rFonts w:ascii="Times New Roman" w:hAnsi="Times New Roman"/>
                <w:spacing w:val="-8"/>
                <w:sz w:val="20"/>
              </w:rPr>
              <w:t xml:space="preserve"> </w:t>
            </w:r>
            <w:r>
              <w:rPr>
                <w:rFonts w:ascii="Times New Roman" w:hAnsi="Times New Roman"/>
                <w:spacing w:val="-2"/>
                <w:sz w:val="20"/>
              </w:rPr>
              <w:t>award</w:t>
            </w:r>
            <w:r>
              <w:rPr>
                <w:rFonts w:ascii="Times New Roman" w:hAnsi="Times New Roman"/>
                <w:spacing w:val="-8"/>
                <w:sz w:val="20"/>
              </w:rPr>
              <w:t xml:space="preserve"> </w:t>
            </w:r>
            <w:r>
              <w:rPr>
                <w:rFonts w:ascii="Times New Roman" w:hAnsi="Times New Roman"/>
                <w:spacing w:val="-2"/>
                <w:sz w:val="20"/>
              </w:rPr>
              <w:t>of</w:t>
            </w:r>
            <w:r>
              <w:rPr>
                <w:rFonts w:ascii="Times New Roman" w:hAnsi="Times New Roman"/>
                <w:spacing w:val="-6"/>
                <w:sz w:val="20"/>
              </w:rPr>
              <w:t xml:space="preserve"> </w:t>
            </w:r>
            <w:r>
              <w:rPr>
                <w:rFonts w:ascii="Times New Roman" w:hAnsi="Times New Roman"/>
                <w:spacing w:val="-2"/>
                <w:sz w:val="20"/>
              </w:rPr>
              <w:t>the</w:t>
            </w:r>
            <w:r>
              <w:rPr>
                <w:rFonts w:ascii="Times New Roman" w:hAnsi="Times New Roman"/>
                <w:spacing w:val="-7"/>
                <w:sz w:val="20"/>
              </w:rPr>
              <w:t xml:space="preserve"> </w:t>
            </w:r>
            <w:r>
              <w:rPr>
                <w:rFonts w:ascii="Times New Roman" w:hAnsi="Times New Roman"/>
                <w:spacing w:val="-2"/>
                <w:sz w:val="20"/>
              </w:rPr>
              <w:t>tender</w:t>
            </w:r>
            <w:r>
              <w:rPr>
                <w:rFonts w:ascii="Times New Roman" w:hAnsi="Times New Roman"/>
                <w:spacing w:val="-8"/>
                <w:sz w:val="20"/>
              </w:rPr>
              <w:t xml:space="preserve"> </w:t>
            </w:r>
            <w:r>
              <w:rPr>
                <w:rFonts w:ascii="Times New Roman" w:hAnsi="Times New Roman"/>
                <w:spacing w:val="-2"/>
                <w:sz w:val="20"/>
              </w:rPr>
              <w:t>and</w:t>
            </w:r>
            <w:r>
              <w:rPr>
                <w:rFonts w:ascii="Times New Roman" w:hAnsi="Times New Roman"/>
                <w:spacing w:val="-8"/>
                <w:sz w:val="20"/>
              </w:rPr>
              <w:t xml:space="preserve"> </w:t>
            </w:r>
            <w:r>
              <w:rPr>
                <w:rFonts w:ascii="Times New Roman" w:hAnsi="Times New Roman"/>
                <w:spacing w:val="-2"/>
                <w:sz w:val="20"/>
              </w:rPr>
              <w:t xml:space="preserve">submit </w:t>
            </w:r>
            <w:r>
              <w:rPr>
                <w:rFonts w:ascii="Times New Roman" w:hAnsi="Times New Roman"/>
                <w:sz w:val="20"/>
              </w:rPr>
              <w:t>a copy of a written agreement to lease between lessee and lessor indicating list of equipment and their</w:t>
            </w:r>
            <w:r>
              <w:rPr>
                <w:rFonts w:ascii="Times New Roman" w:hAnsi="Times New Roman"/>
                <w:spacing w:val="-13"/>
                <w:sz w:val="20"/>
              </w:rPr>
              <w:t xml:space="preserve"> </w:t>
            </w:r>
            <w:r>
              <w:rPr>
                <w:rFonts w:ascii="Times New Roman" w:hAnsi="Times New Roman"/>
                <w:sz w:val="20"/>
              </w:rPr>
              <w:t>corresponding</w:t>
            </w:r>
            <w:r>
              <w:rPr>
                <w:rFonts w:ascii="Times New Roman" w:hAnsi="Times New Roman"/>
                <w:spacing w:val="-12"/>
                <w:sz w:val="20"/>
              </w:rPr>
              <w:t xml:space="preserve"> </w:t>
            </w:r>
            <w:r>
              <w:rPr>
                <w:rFonts w:ascii="Times New Roman" w:hAnsi="Times New Roman"/>
                <w:sz w:val="20"/>
              </w:rPr>
              <w:t>copies</w:t>
            </w:r>
            <w:r>
              <w:rPr>
                <w:rFonts w:ascii="Times New Roman" w:hAnsi="Times New Roman"/>
                <w:spacing w:val="-13"/>
                <w:sz w:val="20"/>
              </w:rPr>
              <w:t xml:space="preserve"> </w:t>
            </w:r>
            <w:r>
              <w:rPr>
                <w:rFonts w:ascii="Times New Roman" w:hAnsi="Times New Roman"/>
                <w:sz w:val="20"/>
              </w:rPr>
              <w:t>of</w:t>
            </w:r>
            <w:r>
              <w:rPr>
                <w:rFonts w:ascii="Times New Roman" w:hAnsi="Times New Roman"/>
                <w:spacing w:val="-12"/>
                <w:sz w:val="20"/>
              </w:rPr>
              <w:t xml:space="preserve"> </w:t>
            </w:r>
            <w:r>
              <w:rPr>
                <w:rFonts w:ascii="Times New Roman" w:hAnsi="Times New Roman"/>
                <w:sz w:val="20"/>
              </w:rPr>
              <w:t>log</w:t>
            </w:r>
            <w:r>
              <w:rPr>
                <w:rFonts w:ascii="Times New Roman" w:hAnsi="Times New Roman"/>
                <w:spacing w:val="-13"/>
                <w:sz w:val="20"/>
              </w:rPr>
              <w:t xml:space="preserve"> </w:t>
            </w:r>
            <w:r>
              <w:rPr>
                <w:rFonts w:ascii="Times New Roman" w:hAnsi="Times New Roman"/>
                <w:sz w:val="20"/>
              </w:rPr>
              <w:t>books</w:t>
            </w:r>
            <w:r>
              <w:rPr>
                <w:rFonts w:ascii="Times New Roman" w:hAnsi="Times New Roman"/>
                <w:spacing w:val="-12"/>
                <w:sz w:val="20"/>
              </w:rPr>
              <w:t xml:space="preserve"> </w:t>
            </w:r>
            <w:r>
              <w:rPr>
                <w:rFonts w:ascii="Times New Roman" w:hAnsi="Times New Roman"/>
                <w:sz w:val="20"/>
              </w:rPr>
              <w:t>or</w:t>
            </w:r>
            <w:r>
              <w:rPr>
                <w:rFonts w:ascii="Times New Roman" w:hAnsi="Times New Roman"/>
                <w:spacing w:val="-13"/>
                <w:sz w:val="20"/>
              </w:rPr>
              <w:t xml:space="preserve"> </w:t>
            </w:r>
            <w:r>
              <w:rPr>
                <w:rFonts w:ascii="Times New Roman" w:hAnsi="Times New Roman"/>
                <w:sz w:val="20"/>
              </w:rPr>
              <w:t>proof</w:t>
            </w:r>
            <w:r>
              <w:rPr>
                <w:rFonts w:ascii="Times New Roman" w:hAnsi="Times New Roman"/>
                <w:spacing w:val="-12"/>
                <w:sz w:val="20"/>
              </w:rPr>
              <w:t xml:space="preserve"> </w:t>
            </w:r>
            <w:r>
              <w:rPr>
                <w:rFonts w:ascii="Times New Roman" w:hAnsi="Times New Roman"/>
                <w:sz w:val="20"/>
              </w:rPr>
              <w:t>of ownership by lessor;</w:t>
            </w:r>
          </w:p>
          <w:p w:rsidR="007F6DF9" w:rsidRDefault="007F6DF9">
            <w:pPr>
              <w:pStyle w:val="TableParagraph"/>
              <w:spacing w:before="29"/>
              <w:rPr>
                <w:rFonts w:ascii="Times New Roman"/>
                <w:sz w:val="20"/>
              </w:rPr>
            </w:pPr>
          </w:p>
          <w:p w:rsidR="007F6DF9" w:rsidRDefault="00A43FBC">
            <w:pPr>
              <w:pStyle w:val="TableParagraph"/>
              <w:numPr>
                <w:ilvl w:val="1"/>
                <w:numId w:val="172"/>
              </w:numPr>
              <w:tabs>
                <w:tab w:val="left" w:pos="815"/>
              </w:tabs>
              <w:spacing w:before="1" w:line="230" w:lineRule="auto"/>
              <w:ind w:right="374"/>
              <w:jc w:val="both"/>
              <w:rPr>
                <w:rFonts w:ascii="Times New Roman" w:hAnsi="Times New Roman"/>
                <w:sz w:val="20"/>
              </w:rPr>
            </w:pPr>
            <w:r>
              <w:rPr>
                <w:rFonts w:ascii="Times New Roman" w:hAnsi="Times New Roman"/>
                <w:sz w:val="20"/>
              </w:rPr>
              <w:t>The equipment listed shall be available on site when</w:t>
            </w:r>
            <w:r>
              <w:rPr>
                <w:rFonts w:ascii="Times New Roman" w:hAnsi="Times New Roman"/>
                <w:spacing w:val="-3"/>
                <w:sz w:val="20"/>
              </w:rPr>
              <w:t xml:space="preserve"> </w:t>
            </w:r>
            <w:r>
              <w:rPr>
                <w:rFonts w:ascii="Times New Roman" w:hAnsi="Times New Roman"/>
                <w:sz w:val="20"/>
              </w:rPr>
              <w:t>required</w:t>
            </w:r>
          </w:p>
        </w:tc>
        <w:tc>
          <w:tcPr>
            <w:tcW w:w="2520" w:type="dxa"/>
            <w:tcBorders>
              <w:right w:val="single" w:sz="6" w:space="0" w:color="221F1F"/>
            </w:tcBorders>
          </w:tcPr>
          <w:p w:rsidR="007F6DF9" w:rsidRDefault="00A43FBC">
            <w:pPr>
              <w:pStyle w:val="TableParagraph"/>
              <w:spacing w:before="77"/>
              <w:ind w:left="102"/>
              <w:rPr>
                <w:rFonts w:ascii="Times New Roman"/>
                <w:sz w:val="20"/>
              </w:rPr>
            </w:pPr>
            <w:r>
              <w:rPr>
                <w:rFonts w:ascii="Times New Roman"/>
                <w:sz w:val="20"/>
              </w:rPr>
              <w:t>Form</w:t>
            </w:r>
            <w:r>
              <w:rPr>
                <w:rFonts w:ascii="Times New Roman"/>
                <w:spacing w:val="18"/>
                <w:sz w:val="20"/>
              </w:rPr>
              <w:t xml:space="preserve"> </w:t>
            </w:r>
            <w:r>
              <w:rPr>
                <w:rFonts w:ascii="Times New Roman"/>
                <w:sz w:val="20"/>
              </w:rPr>
              <w:t>EQU:</w:t>
            </w:r>
            <w:r>
              <w:rPr>
                <w:rFonts w:ascii="Times New Roman"/>
                <w:spacing w:val="18"/>
                <w:sz w:val="20"/>
              </w:rPr>
              <w:t xml:space="preserve"> </w:t>
            </w:r>
            <w:r>
              <w:rPr>
                <w:rFonts w:ascii="Times New Roman"/>
                <w:spacing w:val="-2"/>
                <w:sz w:val="20"/>
              </w:rPr>
              <w:t>Equipment</w:t>
            </w:r>
          </w:p>
        </w:tc>
        <w:tc>
          <w:tcPr>
            <w:tcW w:w="2971" w:type="dxa"/>
            <w:tcBorders>
              <w:left w:val="single" w:sz="6" w:space="0" w:color="221F1F"/>
            </w:tcBorders>
          </w:tcPr>
          <w:p w:rsidR="007F6DF9" w:rsidRDefault="007F6DF9">
            <w:pPr>
              <w:pStyle w:val="TableParagraph"/>
              <w:rPr>
                <w:rFonts w:ascii="Times New Roman"/>
                <w:sz w:val="20"/>
              </w:rPr>
            </w:pPr>
          </w:p>
        </w:tc>
      </w:tr>
    </w:tbl>
    <w:p w:rsidR="007F6DF9" w:rsidRDefault="007F6DF9">
      <w:pPr>
        <w:pStyle w:val="TableParagraph"/>
        <w:rPr>
          <w:rFonts w:ascii="Times New Roman"/>
          <w:sz w:val="20"/>
        </w:rPr>
        <w:sectPr w:rsidR="007F6DF9">
          <w:headerReference w:type="even" r:id="rId23"/>
          <w:footerReference w:type="even" r:id="rId24"/>
          <w:pgSz w:w="16850" w:h="11920" w:orient="landscape"/>
          <w:pgMar w:top="1340" w:right="850" w:bottom="280" w:left="566" w:header="0" w:footer="0" w:gutter="0"/>
          <w:cols w:space="720"/>
        </w:sectPr>
      </w:pPr>
    </w:p>
    <w:p w:rsidR="007F6DF9" w:rsidRDefault="00A43FBC">
      <w:pPr>
        <w:pStyle w:val="BodyText"/>
        <w:spacing w:before="2"/>
        <w:rPr>
          <w:sz w:val="18"/>
        </w:rPr>
      </w:pPr>
      <w:r>
        <w:rPr>
          <w:noProof/>
          <w:sz w:val="18"/>
        </w:rPr>
        <w:lastRenderedPageBreak/>
        <mc:AlternateContent>
          <mc:Choice Requires="wpg">
            <w:drawing>
              <wp:anchor distT="0" distB="0" distL="0" distR="0" simplePos="0" relativeHeight="251655680" behindDoc="1" locked="0" layoutInCell="1" allowOverlap="1">
                <wp:simplePos x="0" y="0"/>
                <wp:positionH relativeFrom="page">
                  <wp:posOffset>0</wp:posOffset>
                </wp:positionH>
                <wp:positionV relativeFrom="page">
                  <wp:posOffset>-1371</wp:posOffset>
                </wp:positionV>
                <wp:extent cx="7560309" cy="756221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2215"/>
                          <a:chOff x="0" y="0"/>
                          <a:chExt cx="7560309" cy="7562215"/>
                        </a:xfrm>
                      </wpg:grpSpPr>
                      <wps:wsp>
                        <wps:cNvPr id="141" name="Graphic 141"/>
                        <wps:cNvSpPr/>
                        <wps:spPr>
                          <a:xfrm>
                            <a:off x="0" y="1371"/>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wps:wsp>
                        <wps:cNvPr id="142" name="Graphic 142"/>
                        <wps:cNvSpPr/>
                        <wps:spPr>
                          <a:xfrm>
                            <a:off x="142875" y="1371"/>
                            <a:ext cx="307975" cy="944880"/>
                          </a:xfrm>
                          <a:custGeom>
                            <a:avLst/>
                            <a:gdLst/>
                            <a:ahLst/>
                            <a:cxnLst/>
                            <a:rect l="l" t="t" r="r" b="b"/>
                            <a:pathLst>
                              <a:path w="307975" h="944880">
                                <a:moveTo>
                                  <a:pt x="307975" y="0"/>
                                </a:moveTo>
                                <a:lnTo>
                                  <a:pt x="0" y="0"/>
                                </a:lnTo>
                                <a:lnTo>
                                  <a:pt x="0" y="790575"/>
                                </a:lnTo>
                                <a:lnTo>
                                  <a:pt x="7619" y="839469"/>
                                </a:lnTo>
                                <a:lnTo>
                                  <a:pt x="29844" y="881379"/>
                                </a:lnTo>
                                <a:lnTo>
                                  <a:pt x="62864" y="915034"/>
                                </a:lnTo>
                                <a:lnTo>
                                  <a:pt x="105410" y="937259"/>
                                </a:lnTo>
                                <a:lnTo>
                                  <a:pt x="153670" y="944879"/>
                                </a:lnTo>
                                <a:lnTo>
                                  <a:pt x="307975" y="944879"/>
                                </a:lnTo>
                                <a:lnTo>
                                  <a:pt x="307975" y="0"/>
                                </a:lnTo>
                                <a:close/>
                              </a:path>
                            </a:pathLst>
                          </a:custGeom>
                          <a:solidFill>
                            <a:srgbClr val="00A650"/>
                          </a:solidFill>
                        </wps:spPr>
                        <wps:bodyPr wrap="square" lIns="0" tIns="0" rIns="0" bIns="0" rtlCol="0">
                          <a:prstTxWarp prst="textNoShape">
                            <a:avLst/>
                          </a:prstTxWarp>
                          <a:noAutofit/>
                        </wps:bodyPr>
                      </wps:wsp>
                      <wps:wsp>
                        <wps:cNvPr id="143" name="Graphic 143"/>
                        <wps:cNvSpPr/>
                        <wps:spPr>
                          <a:xfrm>
                            <a:off x="142875" y="1371"/>
                            <a:ext cx="308610" cy="7560309"/>
                          </a:xfrm>
                          <a:custGeom>
                            <a:avLst/>
                            <a:gdLst/>
                            <a:ahLst/>
                            <a:cxnLst/>
                            <a:rect l="l" t="t" r="r" b="b"/>
                            <a:pathLst>
                              <a:path w="308610" h="7560309">
                                <a:moveTo>
                                  <a:pt x="307975" y="944879"/>
                                </a:moveTo>
                                <a:lnTo>
                                  <a:pt x="307975" y="0"/>
                                </a:lnTo>
                                <a:lnTo>
                                  <a:pt x="0" y="0"/>
                                </a:lnTo>
                                <a:lnTo>
                                  <a:pt x="0" y="790575"/>
                                </a:lnTo>
                                <a:lnTo>
                                  <a:pt x="7619" y="839469"/>
                                </a:lnTo>
                                <a:lnTo>
                                  <a:pt x="29844" y="881379"/>
                                </a:lnTo>
                                <a:lnTo>
                                  <a:pt x="62864" y="915034"/>
                                </a:lnTo>
                                <a:lnTo>
                                  <a:pt x="105410" y="937259"/>
                                </a:lnTo>
                                <a:lnTo>
                                  <a:pt x="153670" y="944879"/>
                                </a:lnTo>
                                <a:lnTo>
                                  <a:pt x="307975" y="944879"/>
                                </a:lnTo>
                              </a:path>
                              <a:path w="308610" h="7560309">
                                <a:moveTo>
                                  <a:pt x="308609" y="0"/>
                                </a:moveTo>
                                <a:lnTo>
                                  <a:pt x="308609" y="7560309"/>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653D4679" id="Group 140" o:spid="_x0000_s1026" style="position:absolute;margin-left:0;margin-top:-.1pt;width:595.3pt;height:595.45pt;z-index:-251660800;mso-wrap-distance-left:0;mso-wrap-distance-right:0;mso-position-horizontal-relative:page;mso-position-vertical-relative:page" coordsize="75603,7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">
                <v:shape id="Graphic 141" o:spid="_x0000_s1027" style="position:absolute;top:13;width:75603;height:2343;visibility:visible;mso-wrap-style:square;v-text-anchor:top" coordsize="7560309,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" path="m7560309,l,,,234315r7560309,l7560309,xe" fillcolor="#ec1c23" stroked="f">
                  <v:path arrowok="t"/>
                </v:shape>
                <v:shape id="Graphic 142" o:spid="_x0000_s1028" style="position:absolute;left:1428;top:13;width:3080;height:9449;visibility:visible;mso-wrap-style:square;v-text-anchor:top" coordsize="307975,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" path="m307975,l,,,790575r7619,48894l29844,881379r33020,33655l105410,937259r48260,7620l307975,944879,307975,xe" fillcolor="#00a650" stroked="f">
                  <v:path arrowok="t"/>
                </v:shape>
                <v:shape id="Graphic 143" o:spid="_x0000_s1029" style="position:absolute;left:1428;top:13;width:3086;height:75603;visibility:visible;mso-wrap-style:square;v-text-anchor:top" coordsize="3086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" path="m307975,944879l307975,,,,,790575r7619,48894l29844,881379r33020,33655l105410,937259r48260,7620l307975,944879em308609,r,7560309e" filled="f" strokecolor="#00a650" strokeweight=".07617mm">
                  <v:path arrowok="t"/>
                </v:shape>
                <w10:wrap anchorx="page" anchory="page"/>
              </v:group>
            </w:pict>
          </mc:Fallback>
        </mc:AlternateContent>
      </w:r>
      <w:r>
        <w:rPr>
          <w:noProof/>
          <w:sz w:val="18"/>
        </w:rPr>
        <mc:AlternateContent>
          <mc:Choice Requires="wps">
            <w:drawing>
              <wp:anchor distT="0" distB="0" distL="0" distR="0" simplePos="0" relativeHeight="251634176" behindDoc="0" locked="0" layoutInCell="1" allowOverlap="1">
                <wp:simplePos x="0" y="0"/>
                <wp:positionH relativeFrom="page">
                  <wp:posOffset>10457815</wp:posOffset>
                </wp:positionH>
                <wp:positionV relativeFrom="page">
                  <wp:posOffset>0</wp:posOffset>
                </wp:positionV>
                <wp:extent cx="234315" cy="7560309"/>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7560309"/>
                        </a:xfrm>
                        <a:custGeom>
                          <a:avLst/>
                          <a:gdLst/>
                          <a:ahLst/>
                          <a:cxnLst/>
                          <a:rect l="l" t="t" r="r" b="b"/>
                          <a:pathLst>
                            <a:path w="234315" h="7560309">
                              <a:moveTo>
                                <a:pt x="234315" y="0"/>
                              </a:moveTo>
                              <a:lnTo>
                                <a:pt x="0" y="0"/>
                              </a:lnTo>
                              <a:lnTo>
                                <a:pt x="0" y="7560309"/>
                              </a:lnTo>
                              <a:lnTo>
                                <a:pt x="234315" y="7560309"/>
                              </a:lnTo>
                              <a:lnTo>
                                <a:pt x="234315" y="0"/>
                              </a:lnTo>
                              <a:close/>
                            </a:path>
                          </a:pathLst>
                        </a:custGeom>
                        <a:solidFill>
                          <a:srgbClr val="EC1C23"/>
                        </a:solidFill>
                      </wps:spPr>
                      <wps:bodyPr wrap="square" lIns="0" tIns="0" rIns="0" bIns="0" rtlCol="0">
                        <a:prstTxWarp prst="textNoShape">
                          <a:avLst/>
                        </a:prstTxWarp>
                        <a:noAutofit/>
                      </wps:bodyPr>
                    </wps:wsp>
                  </a:graphicData>
                </a:graphic>
              </wp:anchor>
            </w:drawing>
          </mc:Choice>
          <mc:Fallback>
            <w:pict>
              <v:shape w14:anchorId="5E72E8C2" id="Graphic 144" o:spid="_x0000_s1026" style="position:absolute;margin-left:823.45pt;margin-top:0;width:18.45pt;height:595.3pt;z-index:251634176;visibility:visible;mso-wrap-style:square;mso-wrap-distance-left:0;mso-wrap-distance-top:0;mso-wrap-distance-right:0;mso-wrap-distance-bottom:0;mso-position-horizontal:absolute;mso-position-horizontal-relative:page;mso-position-vertical:absolute;mso-position-vertical-relative:page;v-text-anchor:top" coordsize="23431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" path="m234315,l,,,7560309r234315,l234315,xe" fillcolor="#ec1c23" stroked="f">
                <v:path arrowok="t"/>
                <w10:wrap anchorx="page" anchory="page"/>
              </v:shape>
            </w:pict>
          </mc:Fallback>
        </mc:AlternateContent>
      </w:r>
      <w:r>
        <w:rPr>
          <w:noProof/>
          <w:sz w:val="18"/>
        </w:rPr>
        <mc:AlternateContent>
          <mc:Choice Requires="wps">
            <w:drawing>
              <wp:anchor distT="0" distB="0" distL="0" distR="0" simplePos="0" relativeHeight="251635200" behindDoc="0" locked="0" layoutInCell="1" allowOverlap="1">
                <wp:simplePos x="0" y="0"/>
                <wp:positionH relativeFrom="page">
                  <wp:posOffset>221853</wp:posOffset>
                </wp:positionH>
                <wp:positionV relativeFrom="page">
                  <wp:posOffset>519175</wp:posOffset>
                </wp:positionV>
                <wp:extent cx="220345" cy="18415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84150"/>
                        </a:xfrm>
                        <a:prstGeom prst="rect">
                          <a:avLst/>
                        </a:prstGeom>
                      </wps:spPr>
                      <wps:txbx>
                        <w:txbxContent>
                          <w:p w:rsidR="00883FED" w:rsidRDefault="00883FED">
                            <w:pPr>
                              <w:spacing w:before="20"/>
                              <w:ind w:left="20"/>
                              <w:rPr>
                                <w:rFonts w:ascii="Segoe UI"/>
                                <w:sz w:val="23"/>
                              </w:rPr>
                            </w:pPr>
                            <w:r>
                              <w:rPr>
                                <w:rFonts w:ascii="Segoe UI"/>
                                <w:color w:val="FFFFFF"/>
                                <w:spacing w:val="-5"/>
                                <w:sz w:val="23"/>
                              </w:rPr>
                              <w:t>26</w:t>
                            </w:r>
                          </w:p>
                        </w:txbxContent>
                      </wps:txbx>
                      <wps:bodyPr vert="vert" wrap="square" lIns="0" tIns="0" rIns="0" bIns="0" rtlCol="0">
                        <a:noAutofit/>
                      </wps:bodyPr>
                    </wps:wsp>
                  </a:graphicData>
                </a:graphic>
              </wp:anchor>
            </w:drawing>
          </mc:Choice>
          <mc:Fallback>
            <w:pict>
              <v:shape id="Textbox 145" o:spid="_x0000_s1033" type="#_x0000_t202" style="position:absolute;margin-left:17.45pt;margin-top:40.9pt;width:17.35pt;height:14.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" filled="f" stroked="f">
                <v:path arrowok="t"/>
                <v:textbox style="layout-flow:vertical" inset="0,0,0,0">
                  <w:txbxContent>
                    <w:p w:rsidR="00883FED" w:rsidRDefault="00883FED">
                      <w:pPr>
                        <w:spacing w:before="20"/>
                        <w:ind w:left="20"/>
                        <w:rPr>
                          <w:rFonts w:ascii="Segoe UI"/>
                          <w:sz w:val="23"/>
                        </w:rPr>
                      </w:pPr>
                      <w:r>
                        <w:rPr>
                          <w:rFonts w:ascii="Segoe UI"/>
                          <w:color w:val="FFFFFF"/>
                          <w:spacing w:val="-5"/>
                          <w:sz w:val="23"/>
                        </w:rPr>
                        <w:t>26</w:t>
                      </w:r>
                    </w:p>
                  </w:txbxContent>
                </v:textbox>
                <w10:wrap anchorx="page" anchory="page"/>
              </v:shape>
            </w:pict>
          </mc:Fallback>
        </mc:AlternateContent>
      </w:r>
    </w:p>
    <w:tbl>
      <w:tblPr>
        <w:tblW w:w="0" w:type="auto"/>
        <w:tblInd w:w="67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7"/>
        <w:gridCol w:w="2680"/>
        <w:gridCol w:w="5223"/>
        <w:gridCol w:w="2520"/>
        <w:gridCol w:w="2971"/>
      </w:tblGrid>
      <w:tr w:rsidR="007F6DF9">
        <w:trPr>
          <w:trHeight w:val="916"/>
        </w:trPr>
        <w:tc>
          <w:tcPr>
            <w:tcW w:w="737" w:type="dxa"/>
          </w:tcPr>
          <w:p w:rsidR="007F6DF9" w:rsidRDefault="00A43FBC">
            <w:pPr>
              <w:pStyle w:val="TableParagraph"/>
              <w:spacing w:before="46" w:line="252" w:lineRule="auto"/>
              <w:ind w:left="100" w:right="226" w:hanging="3"/>
              <w:rPr>
                <w:rFonts w:ascii="Times New Roman"/>
                <w:b/>
                <w:sz w:val="20"/>
              </w:rPr>
            </w:pPr>
            <w:r>
              <w:rPr>
                <w:rFonts w:ascii="Times New Roman"/>
                <w:b/>
                <w:color w:val="302C2E"/>
                <w:spacing w:val="-4"/>
                <w:sz w:val="20"/>
              </w:rPr>
              <w:t>Item No.</w:t>
            </w:r>
          </w:p>
        </w:tc>
        <w:tc>
          <w:tcPr>
            <w:tcW w:w="2680" w:type="dxa"/>
          </w:tcPr>
          <w:p w:rsidR="007F6DF9" w:rsidRDefault="00A43FBC">
            <w:pPr>
              <w:pStyle w:val="TableParagraph"/>
              <w:spacing w:before="46"/>
              <w:ind w:left="98"/>
              <w:rPr>
                <w:rFonts w:ascii="Times New Roman"/>
                <w:b/>
                <w:sz w:val="20"/>
              </w:rPr>
            </w:pPr>
            <w:r>
              <w:rPr>
                <w:rFonts w:ascii="Times New Roman"/>
                <w:b/>
                <w:color w:val="302C2E"/>
                <w:sz w:val="20"/>
              </w:rPr>
              <w:t>Qualification</w:t>
            </w:r>
            <w:r>
              <w:rPr>
                <w:rFonts w:ascii="Times New Roman"/>
                <w:b/>
                <w:color w:val="302C2E"/>
                <w:spacing w:val="41"/>
                <w:sz w:val="20"/>
              </w:rPr>
              <w:t xml:space="preserve"> </w:t>
            </w:r>
            <w:r>
              <w:rPr>
                <w:rFonts w:ascii="Times New Roman"/>
                <w:b/>
                <w:color w:val="302C2E"/>
                <w:spacing w:val="-2"/>
                <w:sz w:val="20"/>
              </w:rPr>
              <w:t>Subject</w:t>
            </w:r>
          </w:p>
        </w:tc>
        <w:tc>
          <w:tcPr>
            <w:tcW w:w="5223" w:type="dxa"/>
          </w:tcPr>
          <w:p w:rsidR="007F6DF9" w:rsidRDefault="00A43FBC">
            <w:pPr>
              <w:pStyle w:val="TableParagraph"/>
              <w:spacing w:before="46"/>
              <w:ind w:left="104"/>
              <w:rPr>
                <w:rFonts w:ascii="Times New Roman"/>
                <w:b/>
                <w:sz w:val="20"/>
              </w:rPr>
            </w:pPr>
            <w:r>
              <w:rPr>
                <w:rFonts w:ascii="Times New Roman"/>
                <w:b/>
                <w:color w:val="302C2E"/>
                <w:sz w:val="20"/>
              </w:rPr>
              <w:t>Qualification</w:t>
            </w:r>
            <w:r>
              <w:rPr>
                <w:rFonts w:ascii="Times New Roman"/>
                <w:b/>
                <w:color w:val="302C2E"/>
                <w:spacing w:val="41"/>
                <w:sz w:val="20"/>
              </w:rPr>
              <w:t xml:space="preserve"> </w:t>
            </w:r>
            <w:r>
              <w:rPr>
                <w:rFonts w:ascii="Times New Roman"/>
                <w:b/>
                <w:color w:val="302C2E"/>
                <w:spacing w:val="-2"/>
                <w:sz w:val="20"/>
              </w:rPr>
              <w:t>Requirement</w:t>
            </w:r>
          </w:p>
        </w:tc>
        <w:tc>
          <w:tcPr>
            <w:tcW w:w="2520" w:type="dxa"/>
            <w:tcBorders>
              <w:right w:val="single" w:sz="6" w:space="0" w:color="221F1F"/>
            </w:tcBorders>
          </w:tcPr>
          <w:p w:rsidR="007F6DF9" w:rsidRDefault="00A43FBC">
            <w:pPr>
              <w:pStyle w:val="TableParagraph"/>
              <w:spacing w:before="46" w:line="247" w:lineRule="auto"/>
              <w:ind w:left="106" w:right="175" w:firstLine="2"/>
              <w:rPr>
                <w:rFonts w:ascii="Times New Roman"/>
                <w:b/>
                <w:i/>
                <w:sz w:val="20"/>
              </w:rPr>
            </w:pPr>
            <w:r>
              <w:rPr>
                <w:rFonts w:ascii="Times New Roman"/>
                <w:b/>
                <w:i/>
                <w:color w:val="302C2E"/>
                <w:sz w:val="20"/>
              </w:rPr>
              <w:t>Document To be Completed by Tenderer</w:t>
            </w:r>
          </w:p>
        </w:tc>
        <w:tc>
          <w:tcPr>
            <w:tcW w:w="2971" w:type="dxa"/>
            <w:tcBorders>
              <w:left w:val="single" w:sz="6" w:space="0" w:color="221F1F"/>
            </w:tcBorders>
          </w:tcPr>
          <w:p w:rsidR="007F6DF9" w:rsidRDefault="00A43FBC">
            <w:pPr>
              <w:pStyle w:val="TableParagraph"/>
              <w:spacing w:before="41" w:line="247" w:lineRule="auto"/>
              <w:ind w:left="104"/>
              <w:rPr>
                <w:rFonts w:ascii="Times New Roman"/>
                <w:b/>
                <w:i/>
                <w:sz w:val="20"/>
              </w:rPr>
            </w:pPr>
            <w:r>
              <w:rPr>
                <w:rFonts w:ascii="Times New Roman"/>
                <w:b/>
                <w:i/>
                <w:color w:val="302C2E"/>
                <w:sz w:val="20"/>
              </w:rPr>
              <w:t>For Procuring Entity's Use (Qualification met or Not Met)</w:t>
            </w:r>
          </w:p>
        </w:tc>
      </w:tr>
      <w:tr w:rsidR="007F6DF9">
        <w:trPr>
          <w:trHeight w:val="290"/>
        </w:trPr>
        <w:tc>
          <w:tcPr>
            <w:tcW w:w="14131" w:type="dxa"/>
            <w:gridSpan w:val="5"/>
          </w:tcPr>
          <w:p w:rsidR="007F6DF9" w:rsidRDefault="00A43FBC">
            <w:pPr>
              <w:pStyle w:val="TableParagraph"/>
              <w:tabs>
                <w:tab w:val="left" w:pos="1456"/>
              </w:tabs>
              <w:spacing w:before="46" w:line="224" w:lineRule="exact"/>
              <w:ind w:left="1097"/>
              <w:rPr>
                <w:rFonts w:ascii="Times New Roman"/>
                <w:b/>
                <w:sz w:val="20"/>
              </w:rPr>
            </w:pPr>
            <w:r>
              <w:rPr>
                <w:rFonts w:ascii="Times New Roman"/>
                <w:b/>
                <w:color w:val="302C2E"/>
                <w:spacing w:val="-5"/>
                <w:sz w:val="20"/>
              </w:rPr>
              <w:t>6.</w:t>
            </w:r>
            <w:r>
              <w:rPr>
                <w:rFonts w:ascii="Times New Roman"/>
                <w:b/>
                <w:color w:val="302C2E"/>
                <w:sz w:val="20"/>
              </w:rPr>
              <w:tab/>
              <w:t>Key</w:t>
            </w:r>
            <w:r>
              <w:rPr>
                <w:rFonts w:ascii="Times New Roman"/>
                <w:b/>
                <w:color w:val="302C2E"/>
                <w:spacing w:val="16"/>
                <w:sz w:val="20"/>
              </w:rPr>
              <w:t xml:space="preserve"> </w:t>
            </w:r>
            <w:r>
              <w:rPr>
                <w:rFonts w:ascii="Times New Roman"/>
                <w:b/>
                <w:color w:val="302C2E"/>
                <w:spacing w:val="-2"/>
                <w:sz w:val="20"/>
              </w:rPr>
              <w:t>Personnel</w:t>
            </w:r>
          </w:p>
        </w:tc>
      </w:tr>
      <w:tr w:rsidR="007F6DF9">
        <w:trPr>
          <w:trHeight w:val="8907"/>
        </w:trPr>
        <w:tc>
          <w:tcPr>
            <w:tcW w:w="737" w:type="dxa"/>
          </w:tcPr>
          <w:p w:rsidR="007F6DF9" w:rsidRDefault="00A43FBC">
            <w:pPr>
              <w:pStyle w:val="TableParagraph"/>
              <w:spacing w:before="77"/>
              <w:ind w:left="91"/>
              <w:rPr>
                <w:rFonts w:ascii="Times New Roman"/>
                <w:sz w:val="20"/>
              </w:rPr>
            </w:pPr>
            <w:r>
              <w:rPr>
                <w:rFonts w:ascii="Times New Roman"/>
                <w:color w:val="302C2E"/>
                <w:spacing w:val="-5"/>
                <w:w w:val="110"/>
                <w:sz w:val="20"/>
              </w:rPr>
              <w:t>6.1</w:t>
            </w:r>
          </w:p>
        </w:tc>
        <w:tc>
          <w:tcPr>
            <w:tcW w:w="2680" w:type="dxa"/>
          </w:tcPr>
          <w:p w:rsidR="007F6DF9" w:rsidRDefault="00A43FBC">
            <w:pPr>
              <w:pStyle w:val="TableParagraph"/>
              <w:spacing w:before="77" w:line="249" w:lineRule="auto"/>
              <w:ind w:left="91" w:right="364"/>
              <w:rPr>
                <w:rFonts w:ascii="Times New Roman"/>
                <w:sz w:val="20"/>
              </w:rPr>
            </w:pPr>
            <w:r>
              <w:rPr>
                <w:rFonts w:ascii="Times New Roman"/>
                <w:color w:val="221F1F"/>
                <w:sz w:val="20"/>
              </w:rPr>
              <w:t>Contractor's</w:t>
            </w:r>
            <w:r>
              <w:rPr>
                <w:rFonts w:ascii="Times New Roman"/>
                <w:color w:val="221F1F"/>
                <w:spacing w:val="-13"/>
                <w:sz w:val="20"/>
              </w:rPr>
              <w:t xml:space="preserve"> </w:t>
            </w:r>
            <w:r>
              <w:rPr>
                <w:rFonts w:ascii="Times New Roman"/>
                <w:color w:val="221F1F"/>
                <w:sz w:val="20"/>
              </w:rPr>
              <w:t>Representative and Key Personnel</w:t>
            </w:r>
          </w:p>
        </w:tc>
        <w:tc>
          <w:tcPr>
            <w:tcW w:w="5223" w:type="dxa"/>
          </w:tcPr>
          <w:p w:rsidR="007F6DF9" w:rsidRDefault="00A43FBC">
            <w:pPr>
              <w:pStyle w:val="TableParagraph"/>
              <w:spacing w:line="247" w:lineRule="exact"/>
              <w:ind w:left="474"/>
              <w:jc w:val="both"/>
              <w:rPr>
                <w:rFonts w:ascii="Times New Roman"/>
                <w:b/>
                <w:sz w:val="20"/>
              </w:rPr>
            </w:pPr>
            <w:r>
              <w:rPr>
                <w:rFonts w:ascii="Times New Roman"/>
                <w:b/>
                <w:color w:val="221F1F"/>
              </w:rPr>
              <w:t>a)</w:t>
            </w:r>
            <w:r>
              <w:rPr>
                <w:rFonts w:ascii="Times New Roman"/>
                <w:b/>
                <w:color w:val="221F1F"/>
                <w:spacing w:val="30"/>
              </w:rPr>
              <w:t xml:space="preserve">  </w:t>
            </w:r>
            <w:r>
              <w:rPr>
                <w:rFonts w:ascii="Times New Roman"/>
                <w:b/>
                <w:sz w:val="20"/>
              </w:rPr>
              <w:t xml:space="preserve">Project </w:t>
            </w:r>
            <w:r>
              <w:rPr>
                <w:rFonts w:ascii="Times New Roman"/>
                <w:b/>
                <w:spacing w:val="-2"/>
                <w:sz w:val="20"/>
              </w:rPr>
              <w:t>Manager</w:t>
            </w:r>
          </w:p>
          <w:p w:rsidR="007F6DF9" w:rsidRDefault="00A43FBC">
            <w:pPr>
              <w:pStyle w:val="TableParagraph"/>
              <w:spacing w:before="15"/>
              <w:ind w:left="474"/>
              <w:jc w:val="both"/>
              <w:rPr>
                <w:rFonts w:ascii="Times New Roman"/>
                <w:sz w:val="20"/>
              </w:rPr>
            </w:pPr>
            <w:r>
              <w:rPr>
                <w:rFonts w:ascii="Times New Roman"/>
                <w:sz w:val="20"/>
                <w:u w:val="single"/>
              </w:rPr>
              <w:t>Minimum</w:t>
            </w:r>
            <w:r>
              <w:rPr>
                <w:rFonts w:ascii="Times New Roman"/>
                <w:spacing w:val="-6"/>
                <w:sz w:val="20"/>
                <w:u w:val="single"/>
              </w:rPr>
              <w:t xml:space="preserve"> </w:t>
            </w:r>
            <w:r>
              <w:rPr>
                <w:rFonts w:ascii="Times New Roman"/>
                <w:sz w:val="20"/>
                <w:u w:val="single"/>
              </w:rPr>
              <w:t>qualifications</w:t>
            </w:r>
            <w:r>
              <w:rPr>
                <w:rFonts w:ascii="Times New Roman"/>
                <w:spacing w:val="-7"/>
                <w:sz w:val="20"/>
                <w:u w:val="single"/>
              </w:rPr>
              <w:t xml:space="preserve"> </w:t>
            </w:r>
            <w:r>
              <w:rPr>
                <w:rFonts w:ascii="Times New Roman"/>
                <w:sz w:val="20"/>
                <w:u w:val="single"/>
              </w:rPr>
              <w:t>and</w:t>
            </w:r>
            <w:r>
              <w:rPr>
                <w:rFonts w:ascii="Times New Roman"/>
                <w:spacing w:val="-5"/>
                <w:sz w:val="20"/>
                <w:u w:val="single"/>
              </w:rPr>
              <w:t xml:space="preserve"> </w:t>
            </w:r>
            <w:r>
              <w:rPr>
                <w:rFonts w:ascii="Times New Roman"/>
                <w:sz w:val="20"/>
                <w:u w:val="single"/>
              </w:rPr>
              <w:t>technical</w:t>
            </w:r>
            <w:r>
              <w:rPr>
                <w:rFonts w:ascii="Times New Roman"/>
                <w:spacing w:val="-6"/>
                <w:sz w:val="20"/>
                <w:u w:val="single"/>
              </w:rPr>
              <w:t xml:space="preserve"> </w:t>
            </w:r>
            <w:r>
              <w:rPr>
                <w:rFonts w:ascii="Times New Roman"/>
                <w:spacing w:val="-2"/>
                <w:sz w:val="20"/>
                <w:u w:val="single"/>
              </w:rPr>
              <w:t>experience</w:t>
            </w:r>
          </w:p>
          <w:p w:rsidR="007F6DF9" w:rsidRDefault="00A43FBC">
            <w:pPr>
              <w:pStyle w:val="TableParagraph"/>
              <w:numPr>
                <w:ilvl w:val="0"/>
                <w:numId w:val="171"/>
              </w:numPr>
              <w:tabs>
                <w:tab w:val="left" w:pos="453"/>
                <w:tab w:val="left" w:pos="455"/>
              </w:tabs>
              <w:spacing w:before="10" w:line="237" w:lineRule="auto"/>
              <w:ind w:right="370"/>
              <w:jc w:val="both"/>
              <w:rPr>
                <w:rFonts w:ascii="Times New Roman" w:hAnsi="Times New Roman"/>
                <w:sz w:val="20"/>
              </w:rPr>
            </w:pPr>
            <w:r>
              <w:rPr>
                <w:rFonts w:ascii="Times New Roman" w:hAnsi="Times New Roman"/>
                <w:sz w:val="20"/>
              </w:rPr>
              <w:t>Bachelor</w:t>
            </w:r>
            <w:r>
              <w:rPr>
                <w:rFonts w:ascii="Arial MT" w:hAnsi="Arial MT"/>
                <w:sz w:val="20"/>
              </w:rPr>
              <w:t>’</w:t>
            </w:r>
            <w:r>
              <w:rPr>
                <w:rFonts w:ascii="Times New Roman" w:hAnsi="Times New Roman"/>
                <w:sz w:val="20"/>
              </w:rPr>
              <w:t>s</w:t>
            </w:r>
            <w:r>
              <w:rPr>
                <w:rFonts w:ascii="Times New Roman" w:hAnsi="Times New Roman"/>
                <w:spacing w:val="-12"/>
                <w:sz w:val="20"/>
              </w:rPr>
              <w:t xml:space="preserve"> </w:t>
            </w:r>
            <w:r>
              <w:rPr>
                <w:rFonts w:ascii="Times New Roman" w:hAnsi="Times New Roman"/>
                <w:sz w:val="20"/>
              </w:rPr>
              <w:t>degree</w:t>
            </w:r>
            <w:r>
              <w:rPr>
                <w:rFonts w:ascii="Times New Roman" w:hAnsi="Times New Roman"/>
                <w:spacing w:val="-11"/>
                <w:sz w:val="20"/>
              </w:rPr>
              <w:t xml:space="preserve"> </w:t>
            </w:r>
            <w:r>
              <w:rPr>
                <w:rFonts w:ascii="Times New Roman" w:hAnsi="Times New Roman"/>
                <w:sz w:val="20"/>
              </w:rPr>
              <w:t>in</w:t>
            </w:r>
            <w:r>
              <w:rPr>
                <w:rFonts w:ascii="Times New Roman" w:hAnsi="Times New Roman"/>
                <w:spacing w:val="-11"/>
                <w:sz w:val="20"/>
              </w:rPr>
              <w:t xml:space="preserve"> </w:t>
            </w:r>
            <w:r>
              <w:rPr>
                <w:rFonts w:ascii="Times New Roman" w:hAnsi="Times New Roman"/>
                <w:sz w:val="20"/>
              </w:rPr>
              <w:t>Architecture,</w:t>
            </w:r>
            <w:r>
              <w:rPr>
                <w:rFonts w:ascii="Times New Roman" w:hAnsi="Times New Roman"/>
                <w:spacing w:val="-11"/>
                <w:sz w:val="20"/>
              </w:rPr>
              <w:t xml:space="preserve"> </w:t>
            </w:r>
            <w:r>
              <w:rPr>
                <w:rFonts w:ascii="Times New Roman" w:hAnsi="Times New Roman"/>
                <w:sz w:val="20"/>
              </w:rPr>
              <w:t>Quantity</w:t>
            </w:r>
            <w:r>
              <w:rPr>
                <w:rFonts w:ascii="Times New Roman" w:hAnsi="Times New Roman"/>
                <w:spacing w:val="-11"/>
                <w:sz w:val="20"/>
              </w:rPr>
              <w:t xml:space="preserve"> </w:t>
            </w:r>
            <w:r>
              <w:rPr>
                <w:rFonts w:ascii="Times New Roman" w:hAnsi="Times New Roman"/>
                <w:sz w:val="20"/>
              </w:rPr>
              <w:t xml:space="preserve">Surveying, Construction Management or Civil / Structural </w:t>
            </w:r>
            <w:r>
              <w:rPr>
                <w:rFonts w:ascii="Times New Roman" w:hAnsi="Times New Roman"/>
                <w:spacing w:val="-2"/>
                <w:sz w:val="20"/>
              </w:rPr>
              <w:t>Engineering.</w:t>
            </w:r>
          </w:p>
          <w:p w:rsidR="007F6DF9" w:rsidRDefault="00A43FBC">
            <w:pPr>
              <w:pStyle w:val="TableParagraph"/>
              <w:numPr>
                <w:ilvl w:val="0"/>
                <w:numId w:val="171"/>
              </w:numPr>
              <w:tabs>
                <w:tab w:val="left" w:pos="453"/>
              </w:tabs>
              <w:spacing w:line="251" w:lineRule="exact"/>
              <w:ind w:left="453" w:hanging="285"/>
              <w:jc w:val="both"/>
              <w:rPr>
                <w:rFonts w:ascii="Times New Roman" w:hAnsi="Times New Roman"/>
                <w:sz w:val="20"/>
              </w:rPr>
            </w:pPr>
            <w:r>
              <w:rPr>
                <w:rFonts w:ascii="Times New Roman" w:hAnsi="Times New Roman"/>
                <w:sz w:val="20"/>
              </w:rPr>
              <w:t>General</w:t>
            </w:r>
            <w:r>
              <w:rPr>
                <w:rFonts w:ascii="Times New Roman" w:hAnsi="Times New Roman"/>
                <w:spacing w:val="-5"/>
                <w:sz w:val="20"/>
              </w:rPr>
              <w:t xml:space="preserve"> </w:t>
            </w:r>
            <w:r>
              <w:rPr>
                <w:rFonts w:ascii="Times New Roman" w:hAnsi="Times New Roman"/>
                <w:sz w:val="20"/>
              </w:rPr>
              <w:t>Experience</w:t>
            </w:r>
            <w:r>
              <w:rPr>
                <w:rFonts w:ascii="Times New Roman" w:hAnsi="Times New Roman"/>
                <w:spacing w:val="-2"/>
                <w:sz w:val="20"/>
              </w:rPr>
              <w:t xml:space="preserve"> </w:t>
            </w:r>
            <w:r>
              <w:rPr>
                <w:rFonts w:ascii="Times New Roman" w:hAnsi="Times New Roman"/>
                <w:sz w:val="20"/>
              </w:rPr>
              <w:t>–2</w:t>
            </w:r>
            <w:r>
              <w:rPr>
                <w:rFonts w:ascii="Times New Roman" w:hAnsi="Times New Roman"/>
                <w:spacing w:val="-10"/>
                <w:sz w:val="20"/>
              </w:rPr>
              <w:t xml:space="preserve"> </w:t>
            </w:r>
            <w:r>
              <w:rPr>
                <w:rFonts w:ascii="Times New Roman" w:hAnsi="Times New Roman"/>
                <w:spacing w:val="-2"/>
                <w:sz w:val="20"/>
              </w:rPr>
              <w:t>years.</w:t>
            </w:r>
          </w:p>
          <w:p w:rsidR="007F6DF9" w:rsidRDefault="00A43FBC">
            <w:pPr>
              <w:pStyle w:val="TableParagraph"/>
              <w:numPr>
                <w:ilvl w:val="0"/>
                <w:numId w:val="171"/>
              </w:numPr>
              <w:tabs>
                <w:tab w:val="left" w:pos="452"/>
              </w:tabs>
              <w:spacing w:before="3" w:line="235" w:lineRule="auto"/>
              <w:ind w:left="452" w:right="79" w:hanging="289"/>
              <w:jc w:val="both"/>
              <w:rPr>
                <w:rFonts w:ascii="Times New Roman" w:hAnsi="Times New Roman"/>
                <w:sz w:val="20"/>
              </w:rPr>
            </w:pPr>
            <w:r>
              <w:rPr>
                <w:rFonts w:ascii="Times New Roman" w:hAnsi="Times New Roman"/>
                <w:sz w:val="20"/>
              </w:rPr>
              <w:t>Specific</w:t>
            </w:r>
            <w:r>
              <w:rPr>
                <w:rFonts w:ascii="Times New Roman" w:hAnsi="Times New Roman"/>
                <w:spacing w:val="-6"/>
                <w:sz w:val="20"/>
              </w:rPr>
              <w:t xml:space="preserve"> </w:t>
            </w:r>
            <w:r>
              <w:rPr>
                <w:rFonts w:ascii="Times New Roman" w:hAnsi="Times New Roman"/>
                <w:sz w:val="20"/>
              </w:rPr>
              <w:t>experience</w:t>
            </w:r>
            <w:r>
              <w:rPr>
                <w:rFonts w:ascii="Times New Roman" w:hAnsi="Times New Roman"/>
                <w:spacing w:val="-7"/>
                <w:sz w:val="20"/>
              </w:rPr>
              <w:t xml:space="preserve"> </w:t>
            </w:r>
            <w:r>
              <w:rPr>
                <w:rFonts w:ascii="Times New Roman" w:hAnsi="Times New Roman"/>
                <w:sz w:val="20"/>
              </w:rPr>
              <w:t>on</w:t>
            </w:r>
            <w:r>
              <w:rPr>
                <w:rFonts w:ascii="Times New Roman" w:hAnsi="Times New Roman"/>
                <w:spacing w:val="-5"/>
                <w:sz w:val="20"/>
              </w:rPr>
              <w:t xml:space="preserve"> </w:t>
            </w:r>
            <w:r>
              <w:rPr>
                <w:rFonts w:ascii="Times New Roman" w:hAnsi="Times New Roman"/>
                <w:sz w:val="20"/>
              </w:rPr>
              <w:t>Construction</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7"/>
                <w:sz w:val="20"/>
              </w:rPr>
              <w:t xml:space="preserve"> </w:t>
            </w:r>
            <w:r>
              <w:rPr>
                <w:rFonts w:ascii="Times New Roman" w:hAnsi="Times New Roman"/>
                <w:sz w:val="20"/>
              </w:rPr>
              <w:t>building</w:t>
            </w:r>
            <w:r>
              <w:rPr>
                <w:rFonts w:ascii="Times New Roman" w:hAnsi="Times New Roman"/>
                <w:spacing w:val="-5"/>
                <w:sz w:val="20"/>
              </w:rPr>
              <w:t xml:space="preserve"> </w:t>
            </w:r>
            <w:r>
              <w:rPr>
                <w:rFonts w:ascii="Times New Roman" w:hAnsi="Times New Roman"/>
                <w:sz w:val="20"/>
              </w:rPr>
              <w:t>works –</w:t>
            </w:r>
            <w:r>
              <w:rPr>
                <w:rFonts w:ascii="Times New Roman" w:hAnsi="Times New Roman"/>
                <w:spacing w:val="-5"/>
                <w:sz w:val="20"/>
              </w:rPr>
              <w:t xml:space="preserve"> </w:t>
            </w:r>
            <w:r>
              <w:rPr>
                <w:rFonts w:ascii="Times New Roman" w:hAnsi="Times New Roman"/>
                <w:sz w:val="20"/>
              </w:rPr>
              <w:t xml:space="preserve">2 </w:t>
            </w:r>
            <w:r>
              <w:rPr>
                <w:rFonts w:ascii="Times New Roman" w:hAnsi="Times New Roman"/>
                <w:spacing w:val="-2"/>
                <w:sz w:val="20"/>
              </w:rPr>
              <w:t>years.</w:t>
            </w:r>
          </w:p>
          <w:p w:rsidR="007F6DF9" w:rsidRDefault="00A43FBC">
            <w:pPr>
              <w:pStyle w:val="TableParagraph"/>
              <w:spacing w:before="115"/>
              <w:ind w:left="474"/>
              <w:jc w:val="both"/>
              <w:rPr>
                <w:rFonts w:ascii="Times New Roman"/>
                <w:b/>
                <w:sz w:val="20"/>
              </w:rPr>
            </w:pPr>
            <w:r>
              <w:rPr>
                <w:rFonts w:ascii="Times New Roman"/>
                <w:b/>
                <w:color w:val="221F1F"/>
              </w:rPr>
              <w:t>b)</w:t>
            </w:r>
            <w:r>
              <w:rPr>
                <w:rFonts w:ascii="Times New Roman"/>
                <w:b/>
                <w:color w:val="221F1F"/>
                <w:spacing w:val="78"/>
                <w:w w:val="150"/>
              </w:rPr>
              <w:t xml:space="preserve"> </w:t>
            </w:r>
            <w:r>
              <w:rPr>
                <w:rFonts w:ascii="Times New Roman"/>
                <w:b/>
                <w:sz w:val="20"/>
              </w:rPr>
              <w:t>Site</w:t>
            </w:r>
            <w:r>
              <w:rPr>
                <w:rFonts w:ascii="Times New Roman"/>
                <w:b/>
                <w:spacing w:val="-1"/>
                <w:sz w:val="20"/>
              </w:rPr>
              <w:t xml:space="preserve"> </w:t>
            </w:r>
            <w:r>
              <w:rPr>
                <w:rFonts w:ascii="Times New Roman"/>
                <w:b/>
                <w:spacing w:val="-2"/>
                <w:sz w:val="20"/>
              </w:rPr>
              <w:t>Agent</w:t>
            </w:r>
          </w:p>
          <w:p w:rsidR="007F6DF9" w:rsidRDefault="00A43FBC">
            <w:pPr>
              <w:pStyle w:val="TableParagraph"/>
              <w:spacing w:before="16"/>
              <w:ind w:left="474"/>
              <w:jc w:val="both"/>
              <w:rPr>
                <w:rFonts w:ascii="Times New Roman"/>
                <w:sz w:val="20"/>
              </w:rPr>
            </w:pPr>
            <w:r>
              <w:rPr>
                <w:rFonts w:ascii="Times New Roman"/>
                <w:sz w:val="20"/>
                <w:u w:val="single"/>
              </w:rPr>
              <w:t>Minimum</w:t>
            </w:r>
            <w:r>
              <w:rPr>
                <w:rFonts w:ascii="Times New Roman"/>
                <w:spacing w:val="-6"/>
                <w:sz w:val="20"/>
                <w:u w:val="single"/>
              </w:rPr>
              <w:t xml:space="preserve"> </w:t>
            </w:r>
            <w:r>
              <w:rPr>
                <w:rFonts w:ascii="Times New Roman"/>
                <w:sz w:val="20"/>
                <w:u w:val="single"/>
              </w:rPr>
              <w:t>qualifications</w:t>
            </w:r>
            <w:r>
              <w:rPr>
                <w:rFonts w:ascii="Times New Roman"/>
                <w:spacing w:val="-7"/>
                <w:sz w:val="20"/>
                <w:u w:val="single"/>
              </w:rPr>
              <w:t xml:space="preserve"> </w:t>
            </w:r>
            <w:r>
              <w:rPr>
                <w:rFonts w:ascii="Times New Roman"/>
                <w:sz w:val="20"/>
                <w:u w:val="single"/>
              </w:rPr>
              <w:t>and</w:t>
            </w:r>
            <w:r>
              <w:rPr>
                <w:rFonts w:ascii="Times New Roman"/>
                <w:spacing w:val="-5"/>
                <w:sz w:val="20"/>
                <w:u w:val="single"/>
              </w:rPr>
              <w:t xml:space="preserve"> </w:t>
            </w:r>
            <w:r>
              <w:rPr>
                <w:rFonts w:ascii="Times New Roman"/>
                <w:sz w:val="20"/>
                <w:u w:val="single"/>
              </w:rPr>
              <w:t>technical</w:t>
            </w:r>
            <w:r>
              <w:rPr>
                <w:rFonts w:ascii="Times New Roman"/>
                <w:spacing w:val="-6"/>
                <w:sz w:val="20"/>
                <w:u w:val="single"/>
              </w:rPr>
              <w:t xml:space="preserve"> </w:t>
            </w:r>
            <w:r>
              <w:rPr>
                <w:rFonts w:ascii="Times New Roman"/>
                <w:spacing w:val="-2"/>
                <w:sz w:val="20"/>
                <w:u w:val="single"/>
              </w:rPr>
              <w:t>experience</w:t>
            </w:r>
          </w:p>
          <w:p w:rsidR="007F6DF9" w:rsidRDefault="00A43FBC">
            <w:pPr>
              <w:pStyle w:val="TableParagraph"/>
              <w:numPr>
                <w:ilvl w:val="0"/>
                <w:numId w:val="170"/>
              </w:numPr>
              <w:tabs>
                <w:tab w:val="left" w:pos="453"/>
                <w:tab w:val="left" w:pos="455"/>
              </w:tabs>
              <w:spacing w:before="14" w:line="232" w:lineRule="auto"/>
              <w:ind w:right="381"/>
              <w:jc w:val="both"/>
              <w:rPr>
                <w:rFonts w:ascii="Times New Roman"/>
                <w:sz w:val="20"/>
              </w:rPr>
            </w:pPr>
            <w:r>
              <w:rPr>
                <w:rFonts w:ascii="Times New Roman"/>
                <w:sz w:val="20"/>
              </w:rPr>
              <w:t xml:space="preserve">Higher Diploma in Building Construction or </w:t>
            </w:r>
            <w:r>
              <w:rPr>
                <w:rFonts w:ascii="Times New Roman"/>
                <w:spacing w:val="-2"/>
                <w:sz w:val="20"/>
              </w:rPr>
              <w:t>equivalent.</w:t>
            </w:r>
          </w:p>
          <w:p w:rsidR="007F6DF9" w:rsidRDefault="00A43FBC">
            <w:pPr>
              <w:pStyle w:val="TableParagraph"/>
              <w:numPr>
                <w:ilvl w:val="0"/>
                <w:numId w:val="170"/>
              </w:numPr>
              <w:tabs>
                <w:tab w:val="left" w:pos="453"/>
                <w:tab w:val="left" w:pos="455"/>
              </w:tabs>
              <w:spacing w:before="7" w:line="235" w:lineRule="auto"/>
              <w:ind w:right="381"/>
              <w:jc w:val="both"/>
              <w:rPr>
                <w:rFonts w:ascii="Times New Roman" w:hAnsi="Times New Roman"/>
                <w:sz w:val="20"/>
              </w:rPr>
            </w:pPr>
            <w:r>
              <w:rPr>
                <w:rFonts w:ascii="Times New Roman" w:hAnsi="Times New Roman"/>
                <w:sz w:val="20"/>
              </w:rPr>
              <w:t>Specific</w:t>
            </w:r>
            <w:r>
              <w:rPr>
                <w:rFonts w:ascii="Times New Roman" w:hAnsi="Times New Roman"/>
                <w:spacing w:val="-7"/>
                <w:sz w:val="20"/>
              </w:rPr>
              <w:t xml:space="preserve"> </w:t>
            </w:r>
            <w:r>
              <w:rPr>
                <w:rFonts w:ascii="Times New Roman" w:hAnsi="Times New Roman"/>
                <w:sz w:val="20"/>
              </w:rPr>
              <w:t>experience</w:t>
            </w:r>
            <w:r>
              <w:rPr>
                <w:rFonts w:ascii="Times New Roman" w:hAnsi="Times New Roman"/>
                <w:spacing w:val="-7"/>
                <w:sz w:val="20"/>
              </w:rPr>
              <w:t xml:space="preserve"> </w:t>
            </w:r>
            <w:r>
              <w:rPr>
                <w:rFonts w:ascii="Times New Roman" w:hAnsi="Times New Roman"/>
                <w:sz w:val="20"/>
              </w:rPr>
              <w:t>on</w:t>
            </w:r>
            <w:r>
              <w:rPr>
                <w:rFonts w:ascii="Times New Roman" w:hAnsi="Times New Roman"/>
                <w:spacing w:val="-6"/>
                <w:sz w:val="20"/>
              </w:rPr>
              <w:t xml:space="preserve"> </w:t>
            </w:r>
            <w:r>
              <w:rPr>
                <w:rFonts w:ascii="Times New Roman" w:hAnsi="Times New Roman"/>
                <w:sz w:val="20"/>
              </w:rPr>
              <w:t>Construction</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9"/>
                <w:sz w:val="20"/>
              </w:rPr>
              <w:t xml:space="preserve"> </w:t>
            </w:r>
            <w:r>
              <w:rPr>
                <w:rFonts w:ascii="Times New Roman" w:hAnsi="Times New Roman"/>
                <w:sz w:val="20"/>
              </w:rPr>
              <w:t>building</w:t>
            </w:r>
            <w:r>
              <w:rPr>
                <w:rFonts w:ascii="Times New Roman" w:hAnsi="Times New Roman"/>
                <w:spacing w:val="-6"/>
                <w:sz w:val="20"/>
              </w:rPr>
              <w:t xml:space="preserve"> </w:t>
            </w:r>
            <w:r>
              <w:rPr>
                <w:rFonts w:ascii="Times New Roman" w:hAnsi="Times New Roman"/>
                <w:sz w:val="20"/>
              </w:rPr>
              <w:t>works – 2 years.</w:t>
            </w:r>
          </w:p>
          <w:p w:rsidR="007F6DF9" w:rsidRDefault="00A43FBC">
            <w:pPr>
              <w:pStyle w:val="TableParagraph"/>
              <w:spacing w:before="116"/>
              <w:ind w:left="467"/>
              <w:jc w:val="both"/>
              <w:rPr>
                <w:rFonts w:ascii="Times New Roman"/>
                <w:b/>
                <w:sz w:val="20"/>
              </w:rPr>
            </w:pPr>
            <w:r>
              <w:rPr>
                <w:rFonts w:ascii="Times New Roman"/>
                <w:b/>
                <w:color w:val="221F1F"/>
              </w:rPr>
              <w:t>c)</w:t>
            </w:r>
            <w:r>
              <w:rPr>
                <w:rFonts w:ascii="Times New Roman"/>
                <w:b/>
                <w:color w:val="221F1F"/>
                <w:spacing w:val="37"/>
              </w:rPr>
              <w:t xml:space="preserve">  </w:t>
            </w:r>
            <w:r>
              <w:rPr>
                <w:rFonts w:ascii="Times New Roman"/>
                <w:b/>
                <w:spacing w:val="-2"/>
                <w:sz w:val="20"/>
              </w:rPr>
              <w:t>Foreman</w:t>
            </w:r>
          </w:p>
          <w:p w:rsidR="007F6DF9" w:rsidRDefault="00A43FBC">
            <w:pPr>
              <w:pStyle w:val="TableParagraph"/>
              <w:spacing w:before="15"/>
              <w:ind w:left="474"/>
              <w:jc w:val="both"/>
              <w:rPr>
                <w:rFonts w:ascii="Times New Roman"/>
                <w:sz w:val="20"/>
              </w:rPr>
            </w:pPr>
            <w:r>
              <w:rPr>
                <w:rFonts w:ascii="Times New Roman"/>
                <w:sz w:val="20"/>
                <w:u w:val="single"/>
              </w:rPr>
              <w:t>Minimum</w:t>
            </w:r>
            <w:r>
              <w:rPr>
                <w:rFonts w:ascii="Times New Roman"/>
                <w:spacing w:val="-6"/>
                <w:sz w:val="20"/>
                <w:u w:val="single"/>
              </w:rPr>
              <w:t xml:space="preserve"> </w:t>
            </w:r>
            <w:r>
              <w:rPr>
                <w:rFonts w:ascii="Times New Roman"/>
                <w:sz w:val="20"/>
                <w:u w:val="single"/>
              </w:rPr>
              <w:t>qualifications</w:t>
            </w:r>
            <w:r>
              <w:rPr>
                <w:rFonts w:ascii="Times New Roman"/>
                <w:spacing w:val="-7"/>
                <w:sz w:val="20"/>
                <w:u w:val="single"/>
              </w:rPr>
              <w:t xml:space="preserve"> </w:t>
            </w:r>
            <w:r>
              <w:rPr>
                <w:rFonts w:ascii="Times New Roman"/>
                <w:sz w:val="20"/>
                <w:u w:val="single"/>
              </w:rPr>
              <w:t>and</w:t>
            </w:r>
            <w:r>
              <w:rPr>
                <w:rFonts w:ascii="Times New Roman"/>
                <w:spacing w:val="-5"/>
                <w:sz w:val="20"/>
                <w:u w:val="single"/>
              </w:rPr>
              <w:t xml:space="preserve"> </w:t>
            </w:r>
            <w:r>
              <w:rPr>
                <w:rFonts w:ascii="Times New Roman"/>
                <w:sz w:val="20"/>
                <w:u w:val="single"/>
              </w:rPr>
              <w:t>technical</w:t>
            </w:r>
            <w:r>
              <w:rPr>
                <w:rFonts w:ascii="Times New Roman"/>
                <w:spacing w:val="-6"/>
                <w:sz w:val="20"/>
                <w:u w:val="single"/>
              </w:rPr>
              <w:t xml:space="preserve"> </w:t>
            </w:r>
            <w:r>
              <w:rPr>
                <w:rFonts w:ascii="Times New Roman"/>
                <w:spacing w:val="-2"/>
                <w:sz w:val="20"/>
                <w:u w:val="single"/>
              </w:rPr>
              <w:t>experience</w:t>
            </w:r>
          </w:p>
          <w:p w:rsidR="007F6DF9" w:rsidRDefault="00A43FBC">
            <w:pPr>
              <w:pStyle w:val="TableParagraph"/>
              <w:numPr>
                <w:ilvl w:val="0"/>
                <w:numId w:val="169"/>
              </w:numPr>
              <w:tabs>
                <w:tab w:val="left" w:pos="334"/>
              </w:tabs>
              <w:spacing w:before="1" w:line="251" w:lineRule="exact"/>
              <w:ind w:left="334" w:hanging="223"/>
              <w:jc w:val="both"/>
              <w:rPr>
                <w:rFonts w:ascii="Times New Roman"/>
                <w:sz w:val="20"/>
              </w:rPr>
            </w:pPr>
            <w:r>
              <w:rPr>
                <w:rFonts w:ascii="Times New Roman"/>
                <w:sz w:val="20"/>
              </w:rPr>
              <w:t>Certificate-</w:t>
            </w:r>
            <w:r>
              <w:rPr>
                <w:rFonts w:ascii="Times New Roman"/>
                <w:spacing w:val="-7"/>
                <w:sz w:val="20"/>
              </w:rPr>
              <w:t xml:space="preserve"> </w:t>
            </w:r>
            <w:r>
              <w:rPr>
                <w:rFonts w:ascii="Times New Roman"/>
                <w:sz w:val="20"/>
              </w:rPr>
              <w:t>Building</w:t>
            </w:r>
            <w:r>
              <w:rPr>
                <w:rFonts w:ascii="Times New Roman"/>
                <w:spacing w:val="-7"/>
                <w:sz w:val="20"/>
              </w:rPr>
              <w:t xml:space="preserve"> </w:t>
            </w:r>
            <w:r>
              <w:rPr>
                <w:rFonts w:ascii="Times New Roman"/>
                <w:sz w:val="20"/>
              </w:rPr>
              <w:t>Construction,</w:t>
            </w:r>
            <w:r>
              <w:rPr>
                <w:rFonts w:ascii="Times New Roman"/>
                <w:spacing w:val="-7"/>
                <w:sz w:val="20"/>
              </w:rPr>
              <w:t xml:space="preserve"> </w:t>
            </w:r>
            <w:r>
              <w:rPr>
                <w:rFonts w:ascii="Times New Roman"/>
                <w:sz w:val="20"/>
              </w:rPr>
              <w:t>Electrical,</w:t>
            </w:r>
            <w:r>
              <w:rPr>
                <w:rFonts w:ascii="Times New Roman"/>
                <w:spacing w:val="-7"/>
                <w:sz w:val="20"/>
              </w:rPr>
              <w:t xml:space="preserve"> </w:t>
            </w:r>
            <w:r>
              <w:rPr>
                <w:rFonts w:ascii="Times New Roman"/>
                <w:spacing w:val="-2"/>
                <w:sz w:val="20"/>
              </w:rPr>
              <w:t>Mechanical</w:t>
            </w:r>
          </w:p>
          <w:p w:rsidR="007F6DF9" w:rsidRDefault="00A43FBC">
            <w:pPr>
              <w:pStyle w:val="TableParagraph"/>
              <w:numPr>
                <w:ilvl w:val="0"/>
                <w:numId w:val="169"/>
              </w:numPr>
              <w:tabs>
                <w:tab w:val="left" w:pos="334"/>
              </w:tabs>
              <w:spacing w:line="251" w:lineRule="exact"/>
              <w:ind w:left="334" w:hanging="223"/>
              <w:jc w:val="both"/>
              <w:rPr>
                <w:rFonts w:ascii="Times New Roman" w:hAnsi="Times New Roman"/>
                <w:sz w:val="20"/>
              </w:rPr>
            </w:pPr>
            <w:r>
              <w:rPr>
                <w:rFonts w:ascii="Times New Roman" w:hAnsi="Times New Roman"/>
                <w:sz w:val="20"/>
              </w:rPr>
              <w:t>Experience</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b/>
                <w:sz w:val="20"/>
              </w:rPr>
              <w:t>1</w:t>
            </w:r>
            <w:r>
              <w:rPr>
                <w:rFonts w:ascii="Times New Roman" w:hAnsi="Times New Roman"/>
                <w:b/>
                <w:spacing w:val="-6"/>
                <w:sz w:val="20"/>
              </w:rPr>
              <w:t xml:space="preserve"> </w:t>
            </w:r>
            <w:r>
              <w:rPr>
                <w:rFonts w:ascii="Times New Roman" w:hAnsi="Times New Roman"/>
                <w:spacing w:val="-2"/>
                <w:sz w:val="20"/>
              </w:rPr>
              <w:t>years</w:t>
            </w:r>
          </w:p>
          <w:p w:rsidR="007F6DF9" w:rsidRDefault="007F6DF9">
            <w:pPr>
              <w:pStyle w:val="TableParagraph"/>
              <w:spacing w:before="19"/>
              <w:rPr>
                <w:rFonts w:ascii="Times New Roman"/>
                <w:sz w:val="20"/>
              </w:rPr>
            </w:pPr>
          </w:p>
          <w:p w:rsidR="007F6DF9" w:rsidRDefault="00A43FBC">
            <w:pPr>
              <w:pStyle w:val="TableParagraph"/>
              <w:ind w:left="474"/>
              <w:rPr>
                <w:rFonts w:ascii="Times New Roman"/>
                <w:b/>
                <w:sz w:val="20"/>
              </w:rPr>
            </w:pPr>
            <w:r>
              <w:rPr>
                <w:rFonts w:ascii="Times New Roman"/>
                <w:b/>
                <w:color w:val="221F1F"/>
              </w:rPr>
              <w:t>d)</w:t>
            </w:r>
            <w:r>
              <w:rPr>
                <w:rFonts w:ascii="Times New Roman"/>
                <w:b/>
                <w:color w:val="221F1F"/>
                <w:spacing w:val="26"/>
              </w:rPr>
              <w:t xml:space="preserve">  </w:t>
            </w:r>
            <w:r>
              <w:rPr>
                <w:rFonts w:ascii="Times New Roman"/>
                <w:b/>
                <w:spacing w:val="-2"/>
                <w:sz w:val="20"/>
              </w:rPr>
              <w:t>Artisans</w:t>
            </w:r>
          </w:p>
          <w:p w:rsidR="007F6DF9" w:rsidRDefault="00A43FBC">
            <w:pPr>
              <w:pStyle w:val="TableParagraph"/>
              <w:spacing w:before="15"/>
              <w:ind w:left="474"/>
              <w:rPr>
                <w:rFonts w:ascii="Times New Roman"/>
                <w:sz w:val="20"/>
              </w:rPr>
            </w:pPr>
            <w:r>
              <w:rPr>
                <w:rFonts w:ascii="Times New Roman"/>
                <w:sz w:val="20"/>
                <w:u w:val="single"/>
              </w:rPr>
              <w:t>Minimum</w:t>
            </w:r>
            <w:r>
              <w:rPr>
                <w:rFonts w:ascii="Times New Roman"/>
                <w:spacing w:val="-6"/>
                <w:sz w:val="20"/>
                <w:u w:val="single"/>
              </w:rPr>
              <w:t xml:space="preserve"> </w:t>
            </w:r>
            <w:r>
              <w:rPr>
                <w:rFonts w:ascii="Times New Roman"/>
                <w:sz w:val="20"/>
                <w:u w:val="single"/>
              </w:rPr>
              <w:t>qualifications</w:t>
            </w:r>
            <w:r>
              <w:rPr>
                <w:rFonts w:ascii="Times New Roman"/>
                <w:spacing w:val="-7"/>
                <w:sz w:val="20"/>
                <w:u w:val="single"/>
              </w:rPr>
              <w:t xml:space="preserve"> </w:t>
            </w:r>
            <w:r>
              <w:rPr>
                <w:rFonts w:ascii="Times New Roman"/>
                <w:sz w:val="20"/>
                <w:u w:val="single"/>
              </w:rPr>
              <w:t>and</w:t>
            </w:r>
            <w:r>
              <w:rPr>
                <w:rFonts w:ascii="Times New Roman"/>
                <w:spacing w:val="-2"/>
                <w:sz w:val="20"/>
                <w:u w:val="single"/>
              </w:rPr>
              <w:t xml:space="preserve"> </w:t>
            </w:r>
            <w:r>
              <w:rPr>
                <w:rFonts w:ascii="Times New Roman"/>
                <w:sz w:val="20"/>
                <w:u w:val="single"/>
              </w:rPr>
              <w:t>technical</w:t>
            </w:r>
            <w:r>
              <w:rPr>
                <w:rFonts w:ascii="Times New Roman"/>
                <w:spacing w:val="-6"/>
                <w:sz w:val="20"/>
                <w:u w:val="single"/>
              </w:rPr>
              <w:t xml:space="preserve"> </w:t>
            </w:r>
            <w:r>
              <w:rPr>
                <w:rFonts w:ascii="Times New Roman"/>
                <w:spacing w:val="-2"/>
                <w:sz w:val="20"/>
                <w:u w:val="single"/>
              </w:rPr>
              <w:t>experience</w:t>
            </w:r>
          </w:p>
          <w:p w:rsidR="007F6DF9" w:rsidRDefault="00A43FBC">
            <w:pPr>
              <w:pStyle w:val="TableParagraph"/>
              <w:numPr>
                <w:ilvl w:val="0"/>
                <w:numId w:val="168"/>
              </w:numPr>
              <w:tabs>
                <w:tab w:val="left" w:pos="155"/>
              </w:tabs>
              <w:spacing w:before="20"/>
              <w:ind w:left="155" w:hanging="150"/>
              <w:rPr>
                <w:rFonts w:ascii="Times New Roman"/>
                <w:sz w:val="20"/>
              </w:rPr>
            </w:pPr>
            <w:r>
              <w:rPr>
                <w:rFonts w:ascii="Times New Roman"/>
                <w:sz w:val="20"/>
              </w:rPr>
              <w:t>Trade</w:t>
            </w:r>
            <w:r>
              <w:rPr>
                <w:rFonts w:ascii="Times New Roman"/>
                <w:spacing w:val="-5"/>
                <w:sz w:val="20"/>
              </w:rPr>
              <w:t xml:space="preserve"> </w:t>
            </w:r>
            <w:r>
              <w:rPr>
                <w:rFonts w:ascii="Times New Roman"/>
                <w:sz w:val="20"/>
              </w:rPr>
              <w:t>Test</w:t>
            </w:r>
            <w:r>
              <w:rPr>
                <w:rFonts w:ascii="Times New Roman"/>
                <w:spacing w:val="-6"/>
                <w:sz w:val="20"/>
              </w:rPr>
              <w:t xml:space="preserve"> </w:t>
            </w:r>
            <w:r>
              <w:rPr>
                <w:rFonts w:ascii="Times New Roman"/>
                <w:sz w:val="20"/>
              </w:rPr>
              <w:t>certificate</w:t>
            </w:r>
            <w:r>
              <w:rPr>
                <w:rFonts w:ascii="Times New Roman"/>
                <w:spacing w:val="-4"/>
                <w:sz w:val="20"/>
              </w:rPr>
              <w:t xml:space="preserve"> </w:t>
            </w:r>
            <w:r>
              <w:rPr>
                <w:rFonts w:ascii="Times New Roman"/>
                <w:sz w:val="20"/>
              </w:rPr>
              <w:t>in</w:t>
            </w:r>
            <w:r>
              <w:rPr>
                <w:rFonts w:ascii="Times New Roman"/>
                <w:spacing w:val="-7"/>
                <w:sz w:val="20"/>
              </w:rPr>
              <w:t xml:space="preserve"> </w:t>
            </w:r>
            <w:r>
              <w:rPr>
                <w:rFonts w:ascii="Times New Roman"/>
                <w:sz w:val="20"/>
              </w:rPr>
              <w:t>relevant</w:t>
            </w:r>
            <w:r>
              <w:rPr>
                <w:rFonts w:ascii="Times New Roman"/>
                <w:spacing w:val="-6"/>
                <w:sz w:val="20"/>
              </w:rPr>
              <w:t xml:space="preserve"> </w:t>
            </w:r>
            <w:r>
              <w:rPr>
                <w:rFonts w:ascii="Times New Roman"/>
                <w:spacing w:val="-2"/>
                <w:sz w:val="20"/>
              </w:rPr>
              <w:t>field</w:t>
            </w:r>
          </w:p>
          <w:p w:rsidR="007F6DF9" w:rsidRDefault="00A43FBC">
            <w:pPr>
              <w:pStyle w:val="TableParagraph"/>
              <w:numPr>
                <w:ilvl w:val="0"/>
                <w:numId w:val="168"/>
              </w:numPr>
              <w:tabs>
                <w:tab w:val="left" w:pos="155"/>
              </w:tabs>
              <w:spacing w:before="20"/>
              <w:ind w:left="155" w:hanging="150"/>
              <w:rPr>
                <w:rFonts w:ascii="Times New Roman"/>
                <w:sz w:val="20"/>
              </w:rPr>
            </w:pPr>
            <w:r>
              <w:rPr>
                <w:rFonts w:ascii="Times New Roman"/>
                <w:noProof/>
                <w:sz w:val="20"/>
              </w:rPr>
              <mc:AlternateContent>
                <mc:Choice Requires="wpg">
                  <w:drawing>
                    <wp:anchor distT="0" distB="0" distL="0" distR="0" simplePos="0" relativeHeight="251656704" behindDoc="1" locked="0" layoutInCell="1" allowOverlap="1">
                      <wp:simplePos x="0" y="0"/>
                      <wp:positionH relativeFrom="column">
                        <wp:posOffset>67055</wp:posOffset>
                      </wp:positionH>
                      <wp:positionV relativeFrom="paragraph">
                        <wp:posOffset>144982</wp:posOffset>
                      </wp:positionV>
                      <wp:extent cx="32384" cy="635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6350"/>
                                <a:chOff x="0" y="0"/>
                                <a:chExt cx="32384" cy="6350"/>
                              </a:xfrm>
                            </wpg:grpSpPr>
                            <wps:wsp>
                              <wps:cNvPr id="147" name="Graphic 147"/>
                              <wps:cNvSpPr/>
                              <wps:spPr>
                                <a:xfrm>
                                  <a:off x="0" y="0"/>
                                  <a:ext cx="32384" cy="6350"/>
                                </a:xfrm>
                                <a:custGeom>
                                  <a:avLst/>
                                  <a:gdLst/>
                                  <a:ahLst/>
                                  <a:cxnLst/>
                                  <a:rect l="l" t="t" r="r" b="b"/>
                                  <a:pathLst>
                                    <a:path w="32384" h="6350">
                                      <a:moveTo>
                                        <a:pt x="32004" y="0"/>
                                      </a:moveTo>
                                      <a:lnTo>
                                        <a:pt x="0" y="0"/>
                                      </a:lnTo>
                                      <a:lnTo>
                                        <a:pt x="0" y="6095"/>
                                      </a:lnTo>
                                      <a:lnTo>
                                        <a:pt x="32004" y="6095"/>
                                      </a:lnTo>
                                      <a:lnTo>
                                        <a:pt x="320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C0D546" id="Group 146" o:spid="_x0000_s1026" style="position:absolute;margin-left:5.3pt;margin-top:11.4pt;width:2.55pt;height:.5pt;z-index:-251659776;mso-wrap-distance-left:0;mso-wrap-distance-right:0" coordsize="323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">
                      <v:shape id="Graphic 147" o:spid="_x0000_s1027" style="position:absolute;width:32384;height:6350;visibility:visible;mso-wrap-style:square;v-text-anchor:top" coordsize="3238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" path="m32004,l,,,6095r32004,l32004,xe" fillcolor="black" stroked="f">
                        <v:path arrowok="t"/>
                      </v:shape>
                    </v:group>
                  </w:pict>
                </mc:Fallback>
              </mc:AlternateContent>
            </w:r>
            <w:r>
              <w:rPr>
                <w:rFonts w:ascii="Times New Roman"/>
                <w:sz w:val="20"/>
              </w:rPr>
              <w:t>Experience-1</w:t>
            </w:r>
            <w:r>
              <w:rPr>
                <w:rFonts w:ascii="Times New Roman"/>
                <w:spacing w:val="-9"/>
                <w:sz w:val="20"/>
              </w:rPr>
              <w:t xml:space="preserve"> </w:t>
            </w:r>
            <w:r>
              <w:rPr>
                <w:rFonts w:ascii="Times New Roman"/>
                <w:spacing w:val="-2"/>
                <w:sz w:val="20"/>
              </w:rPr>
              <w:t>years</w:t>
            </w:r>
          </w:p>
          <w:p w:rsidR="007F6DF9" w:rsidRDefault="00A43FBC">
            <w:pPr>
              <w:pStyle w:val="TableParagraph"/>
              <w:spacing w:before="121"/>
              <w:ind w:left="467"/>
              <w:rPr>
                <w:rFonts w:ascii="Times New Roman"/>
                <w:b/>
                <w:sz w:val="20"/>
              </w:rPr>
            </w:pPr>
            <w:r>
              <w:rPr>
                <w:rFonts w:ascii="Times New Roman"/>
                <w:b/>
                <w:color w:val="221F1F"/>
              </w:rPr>
              <w:t>e)</w:t>
            </w:r>
            <w:r>
              <w:rPr>
                <w:rFonts w:ascii="Times New Roman"/>
                <w:b/>
                <w:color w:val="221F1F"/>
                <w:spacing w:val="33"/>
              </w:rPr>
              <w:t xml:space="preserve">  </w:t>
            </w:r>
            <w:r>
              <w:rPr>
                <w:rFonts w:ascii="Times New Roman"/>
                <w:b/>
                <w:sz w:val="20"/>
              </w:rPr>
              <w:t>Occupational</w:t>
            </w:r>
            <w:r>
              <w:rPr>
                <w:rFonts w:ascii="Times New Roman"/>
                <w:b/>
                <w:spacing w:val="-3"/>
                <w:sz w:val="20"/>
              </w:rPr>
              <w:t xml:space="preserve"> </w:t>
            </w:r>
            <w:r>
              <w:rPr>
                <w:rFonts w:ascii="Times New Roman"/>
                <w:b/>
                <w:sz w:val="20"/>
              </w:rPr>
              <w:t>Health</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Safety</w:t>
            </w:r>
            <w:r>
              <w:rPr>
                <w:rFonts w:ascii="Times New Roman"/>
                <w:b/>
                <w:spacing w:val="-2"/>
                <w:sz w:val="20"/>
              </w:rPr>
              <w:t xml:space="preserve"> Personnel</w:t>
            </w:r>
          </w:p>
          <w:p w:rsidR="007F6DF9" w:rsidRDefault="00A43FBC">
            <w:pPr>
              <w:pStyle w:val="TableParagraph"/>
              <w:spacing w:before="15"/>
              <w:ind w:left="474"/>
              <w:rPr>
                <w:rFonts w:ascii="Times New Roman"/>
                <w:sz w:val="20"/>
              </w:rPr>
            </w:pPr>
            <w:r>
              <w:rPr>
                <w:rFonts w:ascii="Times New Roman"/>
                <w:sz w:val="20"/>
                <w:u w:val="single"/>
              </w:rPr>
              <w:t>Qualifications</w:t>
            </w:r>
            <w:r>
              <w:rPr>
                <w:rFonts w:ascii="Times New Roman"/>
                <w:spacing w:val="-7"/>
                <w:sz w:val="20"/>
                <w:u w:val="single"/>
              </w:rPr>
              <w:t xml:space="preserve"> </w:t>
            </w:r>
            <w:r>
              <w:rPr>
                <w:rFonts w:ascii="Times New Roman"/>
                <w:sz w:val="20"/>
                <w:u w:val="single"/>
              </w:rPr>
              <w:t>and</w:t>
            </w:r>
            <w:r>
              <w:rPr>
                <w:rFonts w:ascii="Times New Roman"/>
                <w:spacing w:val="-4"/>
                <w:sz w:val="20"/>
                <w:u w:val="single"/>
              </w:rPr>
              <w:t xml:space="preserve"> </w:t>
            </w:r>
            <w:r>
              <w:rPr>
                <w:rFonts w:ascii="Times New Roman"/>
                <w:sz w:val="20"/>
                <w:u w:val="single"/>
              </w:rPr>
              <w:t>technical</w:t>
            </w:r>
            <w:r>
              <w:rPr>
                <w:rFonts w:ascii="Times New Roman"/>
                <w:spacing w:val="-5"/>
                <w:sz w:val="20"/>
                <w:u w:val="single"/>
              </w:rPr>
              <w:t xml:space="preserve"> </w:t>
            </w:r>
            <w:r>
              <w:rPr>
                <w:rFonts w:ascii="Times New Roman"/>
                <w:spacing w:val="-2"/>
                <w:sz w:val="20"/>
                <w:u w:val="single"/>
              </w:rPr>
              <w:t>experience</w:t>
            </w:r>
          </w:p>
          <w:p w:rsidR="007F6DF9" w:rsidRDefault="00A43FBC">
            <w:pPr>
              <w:pStyle w:val="TableParagraph"/>
              <w:numPr>
                <w:ilvl w:val="1"/>
                <w:numId w:val="168"/>
              </w:numPr>
              <w:tabs>
                <w:tab w:val="left" w:pos="333"/>
              </w:tabs>
              <w:spacing w:before="3" w:line="251" w:lineRule="exact"/>
              <w:ind w:left="333" w:hanging="220"/>
              <w:rPr>
                <w:rFonts w:ascii="Times New Roman"/>
                <w:sz w:val="20"/>
              </w:rPr>
            </w:pPr>
            <w:r>
              <w:rPr>
                <w:rFonts w:ascii="Times New Roman"/>
                <w:sz w:val="20"/>
              </w:rPr>
              <w:t>Certificate-</w:t>
            </w:r>
            <w:r>
              <w:rPr>
                <w:rFonts w:ascii="Times New Roman"/>
                <w:spacing w:val="-5"/>
                <w:sz w:val="20"/>
              </w:rPr>
              <w:t xml:space="preserve"> </w:t>
            </w:r>
            <w:r>
              <w:rPr>
                <w:rFonts w:ascii="Times New Roman"/>
                <w:sz w:val="20"/>
              </w:rPr>
              <w:t>Occupational</w:t>
            </w:r>
            <w:r>
              <w:rPr>
                <w:rFonts w:ascii="Times New Roman"/>
                <w:spacing w:val="-6"/>
                <w:sz w:val="20"/>
              </w:rPr>
              <w:t xml:space="preserve"> </w:t>
            </w:r>
            <w:r>
              <w:rPr>
                <w:rFonts w:ascii="Times New Roman"/>
                <w:sz w:val="20"/>
              </w:rPr>
              <w:t>Safety</w:t>
            </w:r>
            <w:r>
              <w:rPr>
                <w:rFonts w:ascii="Times New Roman"/>
                <w:spacing w:val="-5"/>
                <w:sz w:val="20"/>
              </w:rPr>
              <w:t xml:space="preserve"> </w:t>
            </w:r>
            <w:r>
              <w:rPr>
                <w:rFonts w:ascii="Times New Roman"/>
                <w:sz w:val="20"/>
              </w:rPr>
              <w:t>and</w:t>
            </w:r>
            <w:r>
              <w:rPr>
                <w:rFonts w:ascii="Times New Roman"/>
                <w:spacing w:val="-5"/>
                <w:sz w:val="20"/>
              </w:rPr>
              <w:t xml:space="preserve"> </w:t>
            </w:r>
            <w:r>
              <w:rPr>
                <w:rFonts w:ascii="Times New Roman"/>
                <w:spacing w:val="-2"/>
                <w:sz w:val="20"/>
              </w:rPr>
              <w:t>Health</w:t>
            </w:r>
          </w:p>
          <w:p w:rsidR="007F6DF9" w:rsidRDefault="00A43FBC">
            <w:pPr>
              <w:pStyle w:val="TableParagraph"/>
              <w:numPr>
                <w:ilvl w:val="1"/>
                <w:numId w:val="168"/>
              </w:numPr>
              <w:tabs>
                <w:tab w:val="left" w:pos="334"/>
              </w:tabs>
              <w:spacing w:line="251" w:lineRule="exact"/>
              <w:ind w:left="334" w:hanging="223"/>
              <w:rPr>
                <w:rFonts w:ascii="Times New Roman" w:hAnsi="Times New Roman"/>
                <w:sz w:val="20"/>
              </w:rPr>
            </w:pPr>
            <w:r>
              <w:rPr>
                <w:rFonts w:ascii="Times New Roman" w:hAnsi="Times New Roman"/>
                <w:sz w:val="20"/>
              </w:rPr>
              <w:t>Experience</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b/>
                <w:sz w:val="20"/>
              </w:rPr>
              <w:t>1</w:t>
            </w:r>
            <w:r>
              <w:rPr>
                <w:rFonts w:ascii="Times New Roman" w:hAnsi="Times New Roman"/>
                <w:b/>
                <w:spacing w:val="-6"/>
                <w:sz w:val="20"/>
              </w:rPr>
              <w:t xml:space="preserve"> </w:t>
            </w:r>
            <w:r>
              <w:rPr>
                <w:rFonts w:ascii="Times New Roman" w:hAnsi="Times New Roman"/>
                <w:spacing w:val="-2"/>
                <w:sz w:val="20"/>
              </w:rPr>
              <w:t>years</w:t>
            </w:r>
          </w:p>
          <w:p w:rsidR="007F6DF9" w:rsidRDefault="007F6DF9">
            <w:pPr>
              <w:pStyle w:val="TableParagraph"/>
              <w:spacing w:before="17"/>
              <w:rPr>
                <w:rFonts w:ascii="Times New Roman"/>
                <w:sz w:val="20"/>
              </w:rPr>
            </w:pPr>
          </w:p>
          <w:p w:rsidR="007F6DF9" w:rsidRDefault="00A43FBC">
            <w:pPr>
              <w:pStyle w:val="TableParagraph"/>
              <w:tabs>
                <w:tab w:val="left" w:pos="834"/>
              </w:tabs>
              <w:ind w:left="474"/>
              <w:rPr>
                <w:rFonts w:ascii="Times New Roman"/>
                <w:b/>
                <w:sz w:val="20"/>
              </w:rPr>
            </w:pPr>
            <w:r>
              <w:rPr>
                <w:rFonts w:ascii="Times New Roman"/>
                <w:b/>
                <w:color w:val="221F1F"/>
                <w:spacing w:val="-5"/>
              </w:rPr>
              <w:t>f)</w:t>
            </w:r>
            <w:r>
              <w:rPr>
                <w:rFonts w:ascii="Times New Roman"/>
                <w:b/>
                <w:color w:val="221F1F"/>
              </w:rPr>
              <w:tab/>
            </w:r>
            <w:r>
              <w:rPr>
                <w:rFonts w:ascii="Times New Roman"/>
                <w:b/>
                <w:sz w:val="20"/>
              </w:rPr>
              <w:t>ICT</w:t>
            </w:r>
            <w:r>
              <w:rPr>
                <w:rFonts w:ascii="Times New Roman"/>
                <w:b/>
                <w:spacing w:val="-5"/>
                <w:sz w:val="20"/>
              </w:rPr>
              <w:t xml:space="preserve"> </w:t>
            </w:r>
            <w:r>
              <w:rPr>
                <w:rFonts w:ascii="Times New Roman"/>
                <w:b/>
                <w:sz w:val="20"/>
              </w:rPr>
              <w:t>Works</w:t>
            </w:r>
            <w:r>
              <w:rPr>
                <w:rFonts w:ascii="Times New Roman"/>
                <w:b/>
                <w:spacing w:val="-4"/>
                <w:sz w:val="20"/>
              </w:rPr>
              <w:t xml:space="preserve"> </w:t>
            </w:r>
            <w:r>
              <w:rPr>
                <w:rFonts w:ascii="Times New Roman"/>
                <w:b/>
                <w:sz w:val="20"/>
              </w:rPr>
              <w:t>Supervisor</w:t>
            </w:r>
            <w:r>
              <w:rPr>
                <w:rFonts w:ascii="Times New Roman"/>
                <w:b/>
                <w:spacing w:val="-3"/>
                <w:sz w:val="20"/>
              </w:rPr>
              <w:t xml:space="preserve"> </w:t>
            </w:r>
            <w:proofErr w:type="gramStart"/>
            <w:r>
              <w:rPr>
                <w:rFonts w:ascii="Times New Roman"/>
                <w:b/>
                <w:sz w:val="20"/>
              </w:rPr>
              <w:t>(</w:t>
            </w:r>
            <w:r>
              <w:rPr>
                <w:rFonts w:ascii="Times New Roman"/>
                <w:b/>
                <w:spacing w:val="-4"/>
                <w:sz w:val="20"/>
              </w:rPr>
              <w:t xml:space="preserve"> N</w:t>
            </w:r>
            <w:proofErr w:type="gramEnd"/>
            <w:r>
              <w:rPr>
                <w:rFonts w:ascii="Times New Roman"/>
                <w:b/>
                <w:spacing w:val="-4"/>
                <w:sz w:val="20"/>
              </w:rPr>
              <w:t>/A)</w:t>
            </w:r>
          </w:p>
          <w:p w:rsidR="007F6DF9" w:rsidRDefault="00A43FBC">
            <w:pPr>
              <w:pStyle w:val="TableParagraph"/>
              <w:spacing w:before="15"/>
              <w:ind w:left="474"/>
              <w:rPr>
                <w:rFonts w:ascii="Times New Roman"/>
                <w:sz w:val="20"/>
              </w:rPr>
            </w:pPr>
            <w:r>
              <w:rPr>
                <w:rFonts w:ascii="Times New Roman"/>
                <w:sz w:val="20"/>
                <w:u w:val="single"/>
              </w:rPr>
              <w:t>Minimum</w:t>
            </w:r>
            <w:r>
              <w:rPr>
                <w:rFonts w:ascii="Times New Roman"/>
                <w:spacing w:val="-6"/>
                <w:sz w:val="20"/>
                <w:u w:val="single"/>
              </w:rPr>
              <w:t xml:space="preserve"> </w:t>
            </w:r>
            <w:r>
              <w:rPr>
                <w:rFonts w:ascii="Times New Roman"/>
                <w:sz w:val="20"/>
                <w:u w:val="single"/>
              </w:rPr>
              <w:t>qualifications</w:t>
            </w:r>
            <w:r>
              <w:rPr>
                <w:rFonts w:ascii="Times New Roman"/>
                <w:spacing w:val="-7"/>
                <w:sz w:val="20"/>
                <w:u w:val="single"/>
              </w:rPr>
              <w:t xml:space="preserve"> </w:t>
            </w:r>
            <w:r>
              <w:rPr>
                <w:rFonts w:ascii="Times New Roman"/>
                <w:sz w:val="20"/>
                <w:u w:val="single"/>
              </w:rPr>
              <w:t>and</w:t>
            </w:r>
            <w:r>
              <w:rPr>
                <w:rFonts w:ascii="Times New Roman"/>
                <w:spacing w:val="-5"/>
                <w:sz w:val="20"/>
                <w:u w:val="single"/>
              </w:rPr>
              <w:t xml:space="preserve"> </w:t>
            </w:r>
            <w:r>
              <w:rPr>
                <w:rFonts w:ascii="Times New Roman"/>
                <w:sz w:val="20"/>
                <w:u w:val="single"/>
              </w:rPr>
              <w:t>technical</w:t>
            </w:r>
            <w:r>
              <w:rPr>
                <w:rFonts w:ascii="Times New Roman"/>
                <w:spacing w:val="-6"/>
                <w:sz w:val="20"/>
                <w:u w:val="single"/>
              </w:rPr>
              <w:t xml:space="preserve"> </w:t>
            </w:r>
            <w:r>
              <w:rPr>
                <w:rFonts w:ascii="Times New Roman"/>
                <w:spacing w:val="-2"/>
                <w:sz w:val="20"/>
                <w:u w:val="single"/>
              </w:rPr>
              <w:t>experience</w:t>
            </w:r>
          </w:p>
          <w:p w:rsidR="007F6DF9" w:rsidRDefault="00A43FBC">
            <w:pPr>
              <w:pStyle w:val="TableParagraph"/>
              <w:numPr>
                <w:ilvl w:val="0"/>
                <w:numId w:val="167"/>
              </w:numPr>
              <w:tabs>
                <w:tab w:val="left" w:pos="438"/>
                <w:tab w:val="left" w:pos="1514"/>
                <w:tab w:val="left" w:pos="3039"/>
                <w:tab w:val="left" w:pos="3828"/>
                <w:tab w:val="left" w:pos="4262"/>
              </w:tabs>
              <w:spacing w:before="20" w:line="264" w:lineRule="auto"/>
              <w:ind w:right="-15" w:firstLine="0"/>
              <w:rPr>
                <w:rFonts w:ascii="Times New Roman"/>
                <w:sz w:val="20"/>
              </w:rPr>
            </w:pPr>
            <w:proofErr w:type="spellStart"/>
            <w:r>
              <w:rPr>
                <w:rFonts w:ascii="Times New Roman"/>
                <w:spacing w:val="-2"/>
                <w:sz w:val="20"/>
              </w:rPr>
              <w:t>Bachelors</w:t>
            </w:r>
            <w:proofErr w:type="spellEnd"/>
            <w:r>
              <w:rPr>
                <w:rFonts w:ascii="Times New Roman"/>
                <w:sz w:val="20"/>
              </w:rPr>
              <w:tab/>
            </w:r>
            <w:r>
              <w:rPr>
                <w:rFonts w:ascii="Times New Roman"/>
                <w:spacing w:val="-2"/>
                <w:sz w:val="20"/>
              </w:rPr>
              <w:t>degree/diploma</w:t>
            </w:r>
            <w:r>
              <w:rPr>
                <w:rFonts w:ascii="Times New Roman"/>
                <w:sz w:val="20"/>
              </w:rPr>
              <w:tab/>
            </w:r>
            <w:r>
              <w:rPr>
                <w:rFonts w:ascii="Times New Roman"/>
                <w:spacing w:val="-2"/>
                <w:sz w:val="20"/>
              </w:rPr>
              <w:t>holder</w:t>
            </w:r>
            <w:r>
              <w:rPr>
                <w:rFonts w:ascii="Times New Roman"/>
                <w:sz w:val="20"/>
              </w:rPr>
              <w:tab/>
            </w:r>
            <w:r>
              <w:rPr>
                <w:rFonts w:ascii="Times New Roman"/>
                <w:spacing w:val="-6"/>
                <w:sz w:val="20"/>
              </w:rPr>
              <w:t>in</w:t>
            </w:r>
            <w:r>
              <w:rPr>
                <w:rFonts w:ascii="Times New Roman"/>
                <w:sz w:val="20"/>
              </w:rPr>
              <w:tab/>
            </w:r>
            <w:r>
              <w:rPr>
                <w:rFonts w:ascii="Times New Roman"/>
                <w:spacing w:val="-2"/>
                <w:sz w:val="20"/>
              </w:rPr>
              <w:t xml:space="preserve">Information </w:t>
            </w:r>
            <w:r>
              <w:rPr>
                <w:rFonts w:ascii="Times New Roman"/>
                <w:sz w:val="20"/>
              </w:rPr>
              <w:t>Technology/Computer Science/Computer Engineering</w:t>
            </w:r>
          </w:p>
          <w:p w:rsidR="007F6DF9" w:rsidRDefault="00A43FBC">
            <w:pPr>
              <w:pStyle w:val="TableParagraph"/>
              <w:numPr>
                <w:ilvl w:val="0"/>
                <w:numId w:val="167"/>
              </w:numPr>
              <w:tabs>
                <w:tab w:val="left" w:pos="205"/>
              </w:tabs>
              <w:spacing w:line="226" w:lineRule="exact"/>
              <w:ind w:left="205" w:hanging="200"/>
              <w:rPr>
                <w:rFonts w:ascii="Times New Roman"/>
                <w:sz w:val="20"/>
              </w:rPr>
            </w:pPr>
            <w:r>
              <w:rPr>
                <w:rFonts w:ascii="Times New Roman"/>
                <w:sz w:val="20"/>
              </w:rPr>
              <w:t>Experience-2</w:t>
            </w:r>
            <w:r>
              <w:rPr>
                <w:rFonts w:ascii="Times New Roman"/>
                <w:spacing w:val="-8"/>
                <w:sz w:val="20"/>
              </w:rPr>
              <w:t xml:space="preserve"> </w:t>
            </w:r>
            <w:r>
              <w:rPr>
                <w:rFonts w:ascii="Times New Roman"/>
                <w:spacing w:val="-2"/>
                <w:sz w:val="20"/>
              </w:rPr>
              <w:t>years</w:t>
            </w:r>
          </w:p>
        </w:tc>
        <w:tc>
          <w:tcPr>
            <w:tcW w:w="2520" w:type="dxa"/>
            <w:tcBorders>
              <w:right w:val="single" w:sz="6" w:space="0" w:color="221F1F"/>
            </w:tcBorders>
          </w:tcPr>
          <w:p w:rsidR="007F6DF9" w:rsidRDefault="00A43FBC">
            <w:pPr>
              <w:pStyle w:val="TableParagraph"/>
              <w:spacing w:before="77" w:line="321" w:lineRule="auto"/>
              <w:ind w:left="102" w:right="1213"/>
              <w:rPr>
                <w:rFonts w:ascii="Times New Roman"/>
                <w:sz w:val="20"/>
              </w:rPr>
            </w:pPr>
            <w:r>
              <w:rPr>
                <w:rFonts w:ascii="Times New Roman"/>
                <w:color w:val="302C2E"/>
                <w:sz w:val="20"/>
              </w:rPr>
              <w:t xml:space="preserve">Form PER -1 </w:t>
            </w:r>
            <w:r>
              <w:rPr>
                <w:rFonts w:ascii="Times New Roman"/>
                <w:color w:val="302C2E"/>
                <w:spacing w:val="-10"/>
                <w:sz w:val="20"/>
              </w:rPr>
              <w:t>&amp;</w:t>
            </w:r>
          </w:p>
          <w:p w:rsidR="007F6DF9" w:rsidRDefault="00A43FBC">
            <w:pPr>
              <w:pStyle w:val="TableParagraph"/>
              <w:ind w:left="102"/>
              <w:rPr>
                <w:rFonts w:ascii="Times New Roman"/>
                <w:sz w:val="20"/>
              </w:rPr>
            </w:pPr>
            <w:r>
              <w:rPr>
                <w:rFonts w:ascii="Times New Roman"/>
                <w:color w:val="302C2E"/>
                <w:sz w:val="20"/>
              </w:rPr>
              <w:t>Form</w:t>
            </w:r>
            <w:r>
              <w:rPr>
                <w:rFonts w:ascii="Times New Roman"/>
                <w:color w:val="302C2E"/>
                <w:spacing w:val="19"/>
                <w:sz w:val="20"/>
              </w:rPr>
              <w:t xml:space="preserve"> </w:t>
            </w:r>
            <w:r>
              <w:rPr>
                <w:rFonts w:ascii="Times New Roman"/>
                <w:color w:val="302C2E"/>
                <w:sz w:val="20"/>
              </w:rPr>
              <w:t>PER</w:t>
            </w:r>
            <w:r>
              <w:rPr>
                <w:rFonts w:ascii="Times New Roman"/>
                <w:color w:val="302C2E"/>
                <w:spacing w:val="18"/>
                <w:sz w:val="20"/>
              </w:rPr>
              <w:t xml:space="preserve"> </w:t>
            </w:r>
            <w:r>
              <w:rPr>
                <w:rFonts w:ascii="Times New Roman"/>
                <w:color w:val="302C2E"/>
                <w:sz w:val="20"/>
              </w:rPr>
              <w:t>-</w:t>
            </w:r>
            <w:r>
              <w:rPr>
                <w:rFonts w:ascii="Times New Roman"/>
                <w:color w:val="302C2E"/>
                <w:spacing w:val="-10"/>
                <w:sz w:val="20"/>
              </w:rPr>
              <w:t>2</w:t>
            </w:r>
          </w:p>
        </w:tc>
        <w:tc>
          <w:tcPr>
            <w:tcW w:w="2971" w:type="dxa"/>
            <w:tcBorders>
              <w:left w:val="single" w:sz="6" w:space="0" w:color="221F1F"/>
            </w:tcBorders>
          </w:tcPr>
          <w:p w:rsidR="007F6DF9" w:rsidRDefault="007F6DF9">
            <w:pPr>
              <w:pStyle w:val="TableParagraph"/>
              <w:rPr>
                <w:rFonts w:ascii="Times New Roman"/>
                <w:sz w:val="20"/>
              </w:rPr>
            </w:pPr>
          </w:p>
        </w:tc>
      </w:tr>
    </w:tbl>
    <w:p w:rsidR="007F6DF9" w:rsidRDefault="007F6DF9">
      <w:pPr>
        <w:pStyle w:val="TableParagraph"/>
        <w:rPr>
          <w:rFonts w:ascii="Times New Roman"/>
          <w:sz w:val="20"/>
        </w:rPr>
        <w:sectPr w:rsidR="007F6DF9">
          <w:headerReference w:type="default" r:id="rId25"/>
          <w:footerReference w:type="default" r:id="rId26"/>
          <w:pgSz w:w="16850" w:h="11920" w:orient="landscape"/>
          <w:pgMar w:top="0" w:right="850" w:bottom="0" w:left="566" w:header="0" w:footer="0" w:gutter="0"/>
          <w:cols w:space="720"/>
        </w:sectPr>
      </w:pPr>
    </w:p>
    <w:p w:rsidR="007F6DF9" w:rsidRDefault="00A43FBC">
      <w:pPr>
        <w:pStyle w:val="BodyText"/>
        <w:rPr>
          <w:sz w:val="24"/>
        </w:rPr>
      </w:pPr>
      <w:r>
        <w:rPr>
          <w:noProof/>
          <w:sz w:val="24"/>
        </w:rPr>
        <w:lastRenderedPageBreak/>
        <mc:AlternateContent>
          <mc:Choice Requires="wpg">
            <w:drawing>
              <wp:anchor distT="0" distB="0" distL="0" distR="0" simplePos="0" relativeHeight="251657728" behindDoc="1" locked="0" layoutInCell="1" allowOverlap="1">
                <wp:simplePos x="0" y="0"/>
                <wp:positionH relativeFrom="page">
                  <wp:posOffset>0</wp:posOffset>
                </wp:positionH>
                <wp:positionV relativeFrom="page">
                  <wp:posOffset>0</wp:posOffset>
                </wp:positionV>
                <wp:extent cx="7560309" cy="756158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1580"/>
                          <a:chOff x="0" y="0"/>
                          <a:chExt cx="7560309" cy="7561580"/>
                        </a:xfrm>
                      </wpg:grpSpPr>
                      <wps:wsp>
                        <wps:cNvPr id="157" name="Graphic 157"/>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wps:wsp>
                        <wps:cNvPr id="158" name="Graphic 158"/>
                        <wps:cNvSpPr/>
                        <wps:spPr>
                          <a:xfrm>
                            <a:off x="142875" y="6613525"/>
                            <a:ext cx="307975" cy="946150"/>
                          </a:xfrm>
                          <a:custGeom>
                            <a:avLst/>
                            <a:gdLst/>
                            <a:ahLst/>
                            <a:cxnLst/>
                            <a:rect l="l" t="t" r="r" b="b"/>
                            <a:pathLst>
                              <a:path w="307975" h="946150">
                                <a:moveTo>
                                  <a:pt x="307975" y="0"/>
                                </a:moveTo>
                                <a:lnTo>
                                  <a:pt x="153670" y="0"/>
                                </a:lnTo>
                                <a:lnTo>
                                  <a:pt x="105410" y="7619"/>
                                </a:lnTo>
                                <a:lnTo>
                                  <a:pt x="62864" y="29844"/>
                                </a:lnTo>
                                <a:lnTo>
                                  <a:pt x="29844" y="62864"/>
                                </a:lnTo>
                                <a:lnTo>
                                  <a:pt x="7619" y="105409"/>
                                </a:lnTo>
                                <a:lnTo>
                                  <a:pt x="0" y="153669"/>
                                </a:lnTo>
                                <a:lnTo>
                                  <a:pt x="0" y="946149"/>
                                </a:lnTo>
                                <a:lnTo>
                                  <a:pt x="307975" y="946149"/>
                                </a:lnTo>
                                <a:lnTo>
                                  <a:pt x="307975" y="0"/>
                                </a:lnTo>
                                <a:close/>
                              </a:path>
                            </a:pathLst>
                          </a:custGeom>
                          <a:solidFill>
                            <a:srgbClr val="011F5E"/>
                          </a:solidFill>
                        </wps:spPr>
                        <wps:bodyPr wrap="square" lIns="0" tIns="0" rIns="0" bIns="0" rtlCol="0">
                          <a:prstTxWarp prst="textNoShape">
                            <a:avLst/>
                          </a:prstTxWarp>
                          <a:noAutofit/>
                        </wps:bodyPr>
                      </wps:wsp>
                      <wps:wsp>
                        <wps:cNvPr id="159" name="Graphic 159"/>
                        <wps:cNvSpPr/>
                        <wps:spPr>
                          <a:xfrm>
                            <a:off x="142875" y="0"/>
                            <a:ext cx="308610" cy="7560309"/>
                          </a:xfrm>
                          <a:custGeom>
                            <a:avLst/>
                            <a:gdLst/>
                            <a:ahLst/>
                            <a:cxnLst/>
                            <a:rect l="l" t="t" r="r" b="b"/>
                            <a:pathLst>
                              <a:path w="308610" h="7560309">
                                <a:moveTo>
                                  <a:pt x="307975" y="6613525"/>
                                </a:moveTo>
                                <a:lnTo>
                                  <a:pt x="307975" y="7559675"/>
                                </a:lnTo>
                                <a:lnTo>
                                  <a:pt x="0" y="7559675"/>
                                </a:lnTo>
                                <a:lnTo>
                                  <a:pt x="0" y="6767194"/>
                                </a:lnTo>
                                <a:lnTo>
                                  <a:pt x="7619" y="6718934"/>
                                </a:lnTo>
                                <a:lnTo>
                                  <a:pt x="29844" y="6676390"/>
                                </a:lnTo>
                                <a:lnTo>
                                  <a:pt x="62864" y="6643369"/>
                                </a:lnTo>
                                <a:lnTo>
                                  <a:pt x="105410" y="6621144"/>
                                </a:lnTo>
                                <a:lnTo>
                                  <a:pt x="153670" y="6613525"/>
                                </a:lnTo>
                                <a:lnTo>
                                  <a:pt x="307975" y="6613525"/>
                                </a:lnTo>
                              </a:path>
                              <a:path w="308610" h="7560309">
                                <a:moveTo>
                                  <a:pt x="308609" y="0"/>
                                </a:moveTo>
                                <a:lnTo>
                                  <a:pt x="308609" y="7560309"/>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045A24DE" id="Group 156" o:spid="_x0000_s1026" style="position:absolute;margin-left:0;margin-top:0;width:595.3pt;height:595.4pt;z-index:-251658752;mso-wrap-distance-left:0;mso-wrap-distance-right:0;mso-position-horizontal-relative:page;mso-position-vertical-relative:page" coordsize="75603,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">
                <v:shape id="Graphic 157" o:spid="_x0000_s1027" style="position:absolute;width:75603;height:2343;visibility:visible;mso-wrap-style:square;v-text-anchor:top" coordsize="7560309,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" path="m7560309,l,,,234315r7560309,l7560309,xe" fillcolor="#ec1c23" stroked="f">
                  <v:path arrowok="t"/>
                </v:shape>
                <v:shape id="Graphic 158" o:spid="_x0000_s1028" style="position:absolute;left:1428;top:66135;width:3080;height:9461;visibility:visible;mso-wrap-style:square;v-text-anchor:top" coordsize="30797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" path="m307975,l153670,,105410,7619,62864,29844,29844,62864,7619,105409,,153669,,946149r307975,l307975,xe" fillcolor="#011f5e" stroked="f">
                  <v:path arrowok="t"/>
                </v:shape>
                <v:shape id="Graphic 159" o:spid="_x0000_s1029" style="position:absolute;left:1428;width:3086;height:75603;visibility:visible;mso-wrap-style:square;v-text-anchor:top" coordsize="3086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" path="m307975,6613525r,946150l,7559675,,6767194r7619,-48260l29844,6676390r33020,-33021l105410,6621144r48260,-7619l307975,6613525em308609,r,7560309e" filled="f" strokecolor="#011f5e" strokeweight=".07617mm">
                  <v:path arrowok="t"/>
                </v:shape>
                <w10:wrap anchorx="page" anchory="page"/>
              </v:group>
            </w:pict>
          </mc:Fallback>
        </mc:AlternateContent>
      </w:r>
      <w:r>
        <w:rPr>
          <w:noProof/>
          <w:sz w:val="24"/>
        </w:rPr>
        <mc:AlternateContent>
          <mc:Choice Requires="wps">
            <w:drawing>
              <wp:anchor distT="0" distB="0" distL="0" distR="0" simplePos="0" relativeHeight="251636224" behindDoc="0" locked="0" layoutInCell="1" allowOverlap="1">
                <wp:simplePos x="0" y="0"/>
                <wp:positionH relativeFrom="page">
                  <wp:posOffset>221853</wp:posOffset>
                </wp:positionH>
                <wp:positionV relativeFrom="page">
                  <wp:posOffset>6866001</wp:posOffset>
                </wp:positionV>
                <wp:extent cx="220345" cy="1841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84150"/>
                        </a:xfrm>
                        <a:prstGeom prst="rect">
                          <a:avLst/>
                        </a:prstGeom>
                      </wps:spPr>
                      <wps:txbx>
                        <w:txbxContent>
                          <w:p w:rsidR="00883FED" w:rsidRDefault="00883FED">
                            <w:pPr>
                              <w:spacing w:before="20"/>
                              <w:ind w:left="20"/>
                              <w:rPr>
                                <w:rFonts w:ascii="Segoe UI"/>
                                <w:sz w:val="23"/>
                              </w:rPr>
                            </w:pPr>
                            <w:r>
                              <w:rPr>
                                <w:rFonts w:ascii="Segoe UI"/>
                                <w:color w:val="FFFFFF"/>
                                <w:spacing w:val="-5"/>
                                <w:sz w:val="23"/>
                              </w:rPr>
                              <w:t>27</w:t>
                            </w:r>
                          </w:p>
                        </w:txbxContent>
                      </wps:txbx>
                      <wps:bodyPr vert="vert" wrap="square" lIns="0" tIns="0" rIns="0" bIns="0" rtlCol="0">
                        <a:noAutofit/>
                      </wps:bodyPr>
                    </wps:wsp>
                  </a:graphicData>
                </a:graphic>
              </wp:anchor>
            </w:drawing>
          </mc:Choice>
          <mc:Fallback>
            <w:pict>
              <v:shape id="Textbox 160" o:spid="_x0000_s1034" type="#_x0000_t202" style="position:absolute;margin-left:17.45pt;margin-top:540.65pt;width:17.35pt;height:14.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" filled="f" stroked="f">
                <v:path arrowok="t"/>
                <v:textbox style="layout-flow:vertical" inset="0,0,0,0">
                  <w:txbxContent>
                    <w:p w:rsidR="00883FED" w:rsidRDefault="00883FED">
                      <w:pPr>
                        <w:spacing w:before="20"/>
                        <w:ind w:left="20"/>
                        <w:rPr>
                          <w:rFonts w:ascii="Segoe UI"/>
                          <w:sz w:val="23"/>
                        </w:rPr>
                      </w:pPr>
                      <w:r>
                        <w:rPr>
                          <w:rFonts w:ascii="Segoe UI"/>
                          <w:color w:val="FFFFFF"/>
                          <w:spacing w:val="-5"/>
                          <w:sz w:val="23"/>
                        </w:rPr>
                        <w:t>27</w:t>
                      </w:r>
                    </w:p>
                  </w:txbxContent>
                </v:textbox>
                <w10:wrap anchorx="page" anchory="page"/>
              </v:shape>
            </w:pict>
          </mc:Fallback>
        </mc:AlternateContent>
      </w:r>
    </w:p>
    <w:p w:rsidR="007F6DF9" w:rsidRDefault="007F6DF9">
      <w:pPr>
        <w:pStyle w:val="BodyText"/>
        <w:rPr>
          <w:sz w:val="24"/>
        </w:rPr>
      </w:pPr>
    </w:p>
    <w:p w:rsidR="007F6DF9" w:rsidRDefault="007F6DF9">
      <w:pPr>
        <w:pStyle w:val="BodyText"/>
        <w:rPr>
          <w:sz w:val="24"/>
        </w:rPr>
      </w:pPr>
    </w:p>
    <w:p w:rsidR="007F6DF9" w:rsidRDefault="007F6DF9">
      <w:pPr>
        <w:pStyle w:val="BodyText"/>
        <w:spacing w:before="180"/>
        <w:rPr>
          <w:sz w:val="24"/>
        </w:rPr>
      </w:pPr>
    </w:p>
    <w:p w:rsidR="007F6DF9" w:rsidRDefault="00A43FBC">
      <w:pPr>
        <w:pStyle w:val="Heading6"/>
        <w:spacing w:before="1"/>
      </w:pPr>
      <w:r>
        <w:rPr>
          <w:color w:val="221F1F"/>
        </w:rPr>
        <w:t>SECTION</w:t>
      </w:r>
      <w:r>
        <w:rPr>
          <w:color w:val="221F1F"/>
          <w:spacing w:val="-1"/>
        </w:rPr>
        <w:t xml:space="preserve"> </w:t>
      </w:r>
      <w:r>
        <w:rPr>
          <w:color w:val="221F1F"/>
        </w:rPr>
        <w:t>IV</w:t>
      </w:r>
      <w:r>
        <w:rPr>
          <w:color w:val="221F1F"/>
          <w:spacing w:val="-1"/>
        </w:rPr>
        <w:t xml:space="preserve"> </w:t>
      </w:r>
      <w:r>
        <w:rPr>
          <w:color w:val="221F1F"/>
        </w:rPr>
        <w:t>-</w:t>
      </w:r>
      <w:r>
        <w:rPr>
          <w:color w:val="221F1F"/>
          <w:spacing w:val="-2"/>
        </w:rPr>
        <w:t xml:space="preserve"> </w:t>
      </w:r>
      <w:r>
        <w:rPr>
          <w:color w:val="221F1F"/>
        </w:rPr>
        <w:t>TENDERING</w:t>
      </w:r>
      <w:r>
        <w:rPr>
          <w:color w:val="221F1F"/>
          <w:spacing w:val="-1"/>
        </w:rPr>
        <w:t xml:space="preserve"> </w:t>
      </w:r>
      <w:r>
        <w:rPr>
          <w:color w:val="221F1F"/>
          <w:spacing w:val="-2"/>
        </w:rPr>
        <w:t>FORMS</w:t>
      </w:r>
    </w:p>
    <w:p w:rsidR="007F6DF9" w:rsidRDefault="00A43FBC">
      <w:pPr>
        <w:pStyle w:val="Heading8"/>
        <w:spacing w:before="256"/>
        <w:ind w:left="711"/>
      </w:pPr>
      <w:r>
        <w:rPr>
          <w:color w:val="221F1F"/>
        </w:rPr>
        <w:t>QUALIFICATION</w:t>
      </w:r>
      <w:r>
        <w:rPr>
          <w:color w:val="221F1F"/>
          <w:spacing w:val="-8"/>
        </w:rPr>
        <w:t xml:space="preserve"> </w:t>
      </w:r>
      <w:r>
        <w:rPr>
          <w:color w:val="221F1F"/>
          <w:spacing w:val="-4"/>
        </w:rPr>
        <w:t>FORMS</w:t>
      </w:r>
    </w:p>
    <w:p w:rsidR="007F6DF9" w:rsidRDefault="00A43FBC">
      <w:pPr>
        <w:pStyle w:val="ListParagraph"/>
        <w:numPr>
          <w:ilvl w:val="0"/>
          <w:numId w:val="166"/>
        </w:numPr>
        <w:tabs>
          <w:tab w:val="left" w:pos="989"/>
        </w:tabs>
        <w:spacing w:before="234"/>
        <w:ind w:hanging="278"/>
        <w:rPr>
          <w:b/>
          <w:color w:val="221F1F"/>
        </w:rPr>
      </w:pPr>
      <w:r>
        <w:rPr>
          <w:b/>
          <w:color w:val="221F1F"/>
        </w:rPr>
        <w:t>FOREIGN</w:t>
      </w:r>
      <w:r>
        <w:rPr>
          <w:b/>
          <w:color w:val="221F1F"/>
          <w:spacing w:val="-8"/>
        </w:rPr>
        <w:t xml:space="preserve"> </w:t>
      </w:r>
      <w:r>
        <w:rPr>
          <w:b/>
          <w:color w:val="221F1F"/>
        </w:rPr>
        <w:t>TENDERERS</w:t>
      </w:r>
      <w:r>
        <w:rPr>
          <w:b/>
          <w:color w:val="221F1F"/>
          <w:spacing w:val="-6"/>
        </w:rPr>
        <w:t xml:space="preserve"> </w:t>
      </w:r>
      <w:r>
        <w:rPr>
          <w:b/>
          <w:color w:val="221F1F"/>
          <w:spacing w:val="-2"/>
        </w:rPr>
        <w:t>40%RULE</w:t>
      </w:r>
    </w:p>
    <w:p w:rsidR="007F6DF9" w:rsidRDefault="00A43FBC">
      <w:pPr>
        <w:pStyle w:val="BodyText"/>
        <w:spacing w:before="237"/>
        <w:ind w:left="711"/>
      </w:pPr>
      <w:r>
        <w:rPr>
          <w:color w:val="221F1F"/>
        </w:rPr>
        <w:t>Pursuant</w:t>
      </w:r>
      <w:r>
        <w:rPr>
          <w:color w:val="221F1F"/>
          <w:spacing w:val="-6"/>
        </w:rPr>
        <w:t xml:space="preserve"> </w:t>
      </w:r>
      <w:r>
        <w:rPr>
          <w:color w:val="221F1F"/>
        </w:rPr>
        <w:t>to</w:t>
      </w:r>
      <w:r>
        <w:rPr>
          <w:color w:val="221F1F"/>
          <w:spacing w:val="-4"/>
        </w:rPr>
        <w:t xml:space="preserve"> </w:t>
      </w:r>
      <w:r>
        <w:rPr>
          <w:color w:val="221F1F"/>
        </w:rPr>
        <w:t>ITT</w:t>
      </w:r>
      <w:r>
        <w:rPr>
          <w:color w:val="221F1F"/>
          <w:spacing w:val="-5"/>
        </w:rPr>
        <w:t xml:space="preserve"> </w:t>
      </w:r>
      <w:r>
        <w:rPr>
          <w:color w:val="221F1F"/>
        </w:rPr>
        <w:t>3.9,</w:t>
      </w:r>
      <w:r>
        <w:rPr>
          <w:color w:val="221F1F"/>
          <w:spacing w:val="-4"/>
        </w:rPr>
        <w:t xml:space="preserve"> </w:t>
      </w:r>
      <w:r>
        <w:rPr>
          <w:color w:val="221F1F"/>
        </w:rPr>
        <w:t>a</w:t>
      </w:r>
      <w:r>
        <w:rPr>
          <w:color w:val="221F1F"/>
          <w:spacing w:val="-5"/>
        </w:rPr>
        <w:t xml:space="preserve"> </w:t>
      </w:r>
      <w:r>
        <w:rPr>
          <w:color w:val="221F1F"/>
        </w:rPr>
        <w:t>foreign</w:t>
      </w:r>
      <w:r>
        <w:rPr>
          <w:color w:val="221F1F"/>
          <w:spacing w:val="-4"/>
        </w:rPr>
        <w:t xml:space="preserve"> </w:t>
      </w:r>
      <w:r>
        <w:rPr>
          <w:color w:val="221F1F"/>
        </w:rPr>
        <w:t>tenderer</w:t>
      </w:r>
      <w:r>
        <w:rPr>
          <w:color w:val="221F1F"/>
          <w:spacing w:val="-6"/>
        </w:rPr>
        <w:t xml:space="preserve"> </w:t>
      </w:r>
      <w:r>
        <w:rPr>
          <w:color w:val="221F1F"/>
        </w:rPr>
        <w:t>must</w:t>
      </w:r>
      <w:r>
        <w:rPr>
          <w:color w:val="221F1F"/>
          <w:spacing w:val="-3"/>
        </w:rPr>
        <w:t xml:space="preserve"> </w:t>
      </w:r>
      <w:r>
        <w:rPr>
          <w:color w:val="221F1F"/>
        </w:rPr>
        <w:t>complete</w:t>
      </w:r>
      <w:r>
        <w:rPr>
          <w:color w:val="221F1F"/>
          <w:spacing w:val="-5"/>
        </w:rPr>
        <w:t xml:space="preserve"> </w:t>
      </w:r>
      <w:r>
        <w:rPr>
          <w:color w:val="221F1F"/>
        </w:rPr>
        <w:t>this</w:t>
      </w:r>
      <w:r>
        <w:rPr>
          <w:color w:val="221F1F"/>
          <w:spacing w:val="-6"/>
        </w:rPr>
        <w:t xml:space="preserve"> </w:t>
      </w:r>
      <w:r>
        <w:rPr>
          <w:color w:val="221F1F"/>
        </w:rPr>
        <w:t>form</w:t>
      </w:r>
      <w:r>
        <w:rPr>
          <w:color w:val="221F1F"/>
          <w:spacing w:val="-6"/>
        </w:rPr>
        <w:t xml:space="preserve"> </w:t>
      </w:r>
      <w:r>
        <w:rPr>
          <w:color w:val="221F1F"/>
        </w:rPr>
        <w:t>to</w:t>
      </w:r>
      <w:r>
        <w:rPr>
          <w:color w:val="221F1F"/>
          <w:spacing w:val="-3"/>
        </w:rPr>
        <w:t xml:space="preserve"> </w:t>
      </w:r>
      <w:r>
        <w:rPr>
          <w:color w:val="221F1F"/>
        </w:rPr>
        <w:t>demonstrate</w:t>
      </w:r>
      <w:r>
        <w:rPr>
          <w:color w:val="221F1F"/>
          <w:spacing w:val="-4"/>
        </w:rPr>
        <w:t xml:space="preserve"> </w:t>
      </w:r>
      <w:r>
        <w:rPr>
          <w:color w:val="221F1F"/>
        </w:rPr>
        <w:t>that</w:t>
      </w:r>
      <w:r>
        <w:rPr>
          <w:color w:val="221F1F"/>
          <w:spacing w:val="-3"/>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fulfils</w:t>
      </w:r>
      <w:r>
        <w:rPr>
          <w:color w:val="221F1F"/>
          <w:spacing w:val="-4"/>
        </w:rPr>
        <w:t xml:space="preserve"> </w:t>
      </w:r>
      <w:r>
        <w:rPr>
          <w:color w:val="221F1F"/>
        </w:rPr>
        <w:t>this</w:t>
      </w:r>
      <w:r>
        <w:rPr>
          <w:color w:val="221F1F"/>
          <w:spacing w:val="-5"/>
        </w:rPr>
        <w:t xml:space="preserve"> </w:t>
      </w:r>
      <w:r>
        <w:rPr>
          <w:color w:val="221F1F"/>
          <w:spacing w:val="-2"/>
        </w:rPr>
        <w:t>condition.</w:t>
      </w:r>
    </w:p>
    <w:p w:rsidR="007F6DF9" w:rsidRDefault="007F6DF9">
      <w:pPr>
        <w:pStyle w:val="BodyText"/>
        <w:spacing w:before="9"/>
        <w:rPr>
          <w:sz w:val="18"/>
        </w:rPr>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79"/>
        <w:gridCol w:w="2187"/>
        <w:gridCol w:w="1602"/>
        <w:gridCol w:w="1899"/>
      </w:tblGrid>
      <w:tr w:rsidR="007F6DF9">
        <w:trPr>
          <w:trHeight w:val="506"/>
        </w:trPr>
        <w:tc>
          <w:tcPr>
            <w:tcW w:w="804" w:type="dxa"/>
            <w:shd w:val="clear" w:color="auto" w:fill="D0CECE"/>
          </w:tcPr>
          <w:p w:rsidR="007F6DF9" w:rsidRDefault="00A43FBC">
            <w:pPr>
              <w:pStyle w:val="TableParagraph"/>
              <w:spacing w:line="251" w:lineRule="exact"/>
              <w:ind w:left="107"/>
              <w:rPr>
                <w:rFonts w:ascii="Times New Roman"/>
                <w:b/>
              </w:rPr>
            </w:pPr>
            <w:r>
              <w:rPr>
                <w:rFonts w:ascii="Times New Roman"/>
                <w:b/>
                <w:spacing w:val="-4"/>
              </w:rPr>
              <w:t>ITEM</w:t>
            </w:r>
          </w:p>
        </w:tc>
        <w:tc>
          <w:tcPr>
            <w:tcW w:w="2979" w:type="dxa"/>
            <w:shd w:val="clear" w:color="auto" w:fill="D0CECE"/>
          </w:tcPr>
          <w:p w:rsidR="007F6DF9" w:rsidRDefault="00A43FBC">
            <w:pPr>
              <w:pStyle w:val="TableParagraph"/>
              <w:spacing w:line="251" w:lineRule="exact"/>
              <w:ind w:left="107"/>
              <w:rPr>
                <w:rFonts w:ascii="Times New Roman"/>
                <w:b/>
              </w:rPr>
            </w:pPr>
            <w:r>
              <w:rPr>
                <w:rFonts w:ascii="Times New Roman"/>
                <w:b/>
              </w:rPr>
              <w:t>Description</w:t>
            </w:r>
            <w:r>
              <w:rPr>
                <w:rFonts w:ascii="Times New Roman"/>
                <w:b/>
                <w:spacing w:val="-5"/>
              </w:rPr>
              <w:t xml:space="preserve"> </w:t>
            </w:r>
            <w:r>
              <w:rPr>
                <w:rFonts w:ascii="Times New Roman"/>
                <w:b/>
              </w:rPr>
              <w:t>of</w:t>
            </w:r>
            <w:r>
              <w:rPr>
                <w:rFonts w:ascii="Times New Roman"/>
                <w:b/>
                <w:spacing w:val="-4"/>
              </w:rPr>
              <w:t xml:space="preserve"> </w:t>
            </w:r>
            <w:r>
              <w:rPr>
                <w:rFonts w:ascii="Times New Roman"/>
                <w:b/>
              </w:rPr>
              <w:t>Work</w:t>
            </w:r>
            <w:r>
              <w:rPr>
                <w:rFonts w:ascii="Times New Roman"/>
                <w:b/>
                <w:spacing w:val="-4"/>
              </w:rPr>
              <w:t xml:space="preserve"> Item</w:t>
            </w:r>
          </w:p>
        </w:tc>
        <w:tc>
          <w:tcPr>
            <w:tcW w:w="2187" w:type="dxa"/>
            <w:shd w:val="clear" w:color="auto" w:fill="D0CECE"/>
          </w:tcPr>
          <w:p w:rsidR="007F6DF9" w:rsidRDefault="00A43FBC">
            <w:pPr>
              <w:pStyle w:val="TableParagraph"/>
              <w:spacing w:line="254" w:lineRule="exact"/>
              <w:ind w:left="107" w:right="209"/>
              <w:rPr>
                <w:rFonts w:ascii="Times New Roman"/>
                <w:b/>
              </w:rPr>
            </w:pPr>
            <w:r>
              <w:rPr>
                <w:rFonts w:ascii="Times New Roman"/>
                <w:b/>
              </w:rPr>
              <w:t>Describe</w:t>
            </w:r>
            <w:r>
              <w:rPr>
                <w:rFonts w:ascii="Times New Roman"/>
                <w:b/>
                <w:spacing w:val="-14"/>
              </w:rPr>
              <w:t xml:space="preserve"> </w:t>
            </w:r>
            <w:r>
              <w:rPr>
                <w:rFonts w:ascii="Times New Roman"/>
                <w:b/>
              </w:rPr>
              <w:t>location</w:t>
            </w:r>
            <w:r>
              <w:rPr>
                <w:rFonts w:ascii="Times New Roman"/>
                <w:b/>
                <w:spacing w:val="-14"/>
              </w:rPr>
              <w:t xml:space="preserve"> </w:t>
            </w:r>
            <w:r>
              <w:rPr>
                <w:rFonts w:ascii="Times New Roman"/>
                <w:b/>
              </w:rPr>
              <w:t xml:space="preserve">of </w:t>
            </w:r>
            <w:r>
              <w:rPr>
                <w:rFonts w:ascii="Times New Roman"/>
                <w:b/>
                <w:spacing w:val="-2"/>
              </w:rPr>
              <w:t>Source</w:t>
            </w:r>
          </w:p>
        </w:tc>
        <w:tc>
          <w:tcPr>
            <w:tcW w:w="1602" w:type="dxa"/>
            <w:shd w:val="clear" w:color="auto" w:fill="D0CECE"/>
          </w:tcPr>
          <w:p w:rsidR="007F6DF9" w:rsidRDefault="00A43FBC">
            <w:pPr>
              <w:pStyle w:val="TableParagraph"/>
              <w:spacing w:line="251" w:lineRule="exact"/>
              <w:ind w:left="107"/>
              <w:rPr>
                <w:rFonts w:ascii="Times New Roman"/>
                <w:b/>
              </w:rPr>
            </w:pPr>
            <w:r>
              <w:rPr>
                <w:rFonts w:ascii="Times New Roman"/>
                <w:b/>
              </w:rPr>
              <w:t>COST</w:t>
            </w:r>
            <w:r>
              <w:rPr>
                <w:rFonts w:ascii="Times New Roman"/>
                <w:b/>
                <w:spacing w:val="-3"/>
              </w:rPr>
              <w:t xml:space="preserve"> </w:t>
            </w:r>
            <w:r>
              <w:rPr>
                <w:rFonts w:ascii="Times New Roman"/>
                <w:b/>
                <w:spacing w:val="-5"/>
              </w:rPr>
              <w:t>in</w:t>
            </w:r>
          </w:p>
          <w:p w:rsidR="007F6DF9" w:rsidRDefault="00A43FBC">
            <w:pPr>
              <w:pStyle w:val="TableParagraph"/>
              <w:spacing w:before="1" w:line="233" w:lineRule="exact"/>
              <w:ind w:left="107"/>
              <w:rPr>
                <w:rFonts w:ascii="Times New Roman"/>
                <w:b/>
              </w:rPr>
            </w:pPr>
            <w:r>
              <w:rPr>
                <w:rFonts w:ascii="Times New Roman"/>
                <w:b/>
              </w:rPr>
              <w:t>K.</w:t>
            </w:r>
            <w:r>
              <w:rPr>
                <w:rFonts w:ascii="Times New Roman"/>
                <w:b/>
                <w:spacing w:val="-2"/>
              </w:rPr>
              <w:t xml:space="preserve"> shillings</w:t>
            </w:r>
          </w:p>
        </w:tc>
        <w:tc>
          <w:tcPr>
            <w:tcW w:w="1899" w:type="dxa"/>
            <w:shd w:val="clear" w:color="auto" w:fill="D0CECE"/>
          </w:tcPr>
          <w:p w:rsidR="007F6DF9" w:rsidRDefault="00A43FBC">
            <w:pPr>
              <w:pStyle w:val="TableParagraph"/>
              <w:spacing w:line="251" w:lineRule="exact"/>
              <w:ind w:left="106"/>
              <w:rPr>
                <w:rFonts w:ascii="Times New Roman"/>
                <w:b/>
              </w:rPr>
            </w:pPr>
            <w:r>
              <w:rPr>
                <w:rFonts w:ascii="Times New Roman"/>
                <w:b/>
              </w:rPr>
              <w:t>Comments,</w:t>
            </w:r>
            <w:r>
              <w:rPr>
                <w:rFonts w:ascii="Times New Roman"/>
                <w:b/>
                <w:spacing w:val="-5"/>
              </w:rPr>
              <w:t xml:space="preserve"> </w:t>
            </w:r>
            <w:r>
              <w:rPr>
                <w:rFonts w:ascii="Times New Roman"/>
                <w:b/>
              </w:rPr>
              <w:t>if</w:t>
            </w:r>
            <w:r>
              <w:rPr>
                <w:rFonts w:ascii="Times New Roman"/>
                <w:b/>
                <w:spacing w:val="-3"/>
              </w:rPr>
              <w:t xml:space="preserve"> </w:t>
            </w:r>
            <w:r>
              <w:rPr>
                <w:rFonts w:ascii="Times New Roman"/>
                <w:b/>
                <w:spacing w:val="-5"/>
              </w:rPr>
              <w:t>any</w:t>
            </w:r>
          </w:p>
        </w:tc>
      </w:tr>
      <w:tr w:rsidR="007F6DF9">
        <w:trPr>
          <w:trHeight w:val="251"/>
        </w:trPr>
        <w:tc>
          <w:tcPr>
            <w:tcW w:w="804" w:type="dxa"/>
            <w:shd w:val="clear" w:color="auto" w:fill="F1F1F1"/>
          </w:tcPr>
          <w:p w:rsidR="007F6DF9" w:rsidRDefault="00A43FBC">
            <w:pPr>
              <w:pStyle w:val="TableParagraph"/>
              <w:spacing w:line="232" w:lineRule="exact"/>
              <w:ind w:left="107"/>
              <w:rPr>
                <w:rFonts w:ascii="Times New Roman"/>
              </w:rPr>
            </w:pPr>
            <w:r>
              <w:rPr>
                <w:rFonts w:ascii="Times New Roman"/>
                <w:spacing w:val="-10"/>
              </w:rPr>
              <w:t>A</w:t>
            </w:r>
          </w:p>
        </w:tc>
        <w:tc>
          <w:tcPr>
            <w:tcW w:w="8667" w:type="dxa"/>
            <w:gridSpan w:val="4"/>
            <w:shd w:val="clear" w:color="auto" w:fill="F1F1F1"/>
          </w:tcPr>
          <w:p w:rsidR="007F6DF9" w:rsidRDefault="00A43FBC">
            <w:pPr>
              <w:pStyle w:val="TableParagraph"/>
              <w:spacing w:line="232" w:lineRule="exact"/>
              <w:ind w:left="107"/>
              <w:rPr>
                <w:rFonts w:ascii="Times New Roman"/>
              </w:rPr>
            </w:pPr>
            <w:r>
              <w:rPr>
                <w:rFonts w:ascii="Times New Roman"/>
              </w:rPr>
              <w:t>Local</w:t>
            </w:r>
            <w:r>
              <w:rPr>
                <w:rFonts w:ascii="Times New Roman"/>
                <w:spacing w:val="1"/>
              </w:rPr>
              <w:t xml:space="preserve"> </w:t>
            </w:r>
            <w:r>
              <w:rPr>
                <w:rFonts w:ascii="Times New Roman"/>
                <w:spacing w:val="-2"/>
              </w:rPr>
              <w:t>Labor</w:t>
            </w: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A43FBC">
            <w:pPr>
              <w:pStyle w:val="TableParagraph"/>
              <w:spacing w:before="1" w:line="233"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A43FBC">
            <w:pPr>
              <w:pStyle w:val="TableParagraph"/>
              <w:spacing w:line="234"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shd w:val="clear" w:color="auto" w:fill="F1F1F1"/>
          </w:tcPr>
          <w:p w:rsidR="007F6DF9" w:rsidRDefault="00A43FBC">
            <w:pPr>
              <w:pStyle w:val="TableParagraph"/>
              <w:spacing w:line="232" w:lineRule="exact"/>
              <w:ind w:left="107"/>
              <w:rPr>
                <w:rFonts w:ascii="Times New Roman"/>
              </w:rPr>
            </w:pPr>
            <w:r>
              <w:rPr>
                <w:rFonts w:ascii="Times New Roman"/>
                <w:spacing w:val="-10"/>
              </w:rPr>
              <w:t>B</w:t>
            </w:r>
          </w:p>
        </w:tc>
        <w:tc>
          <w:tcPr>
            <w:tcW w:w="8667" w:type="dxa"/>
            <w:gridSpan w:val="4"/>
            <w:shd w:val="clear" w:color="auto" w:fill="F1F1F1"/>
          </w:tcPr>
          <w:p w:rsidR="007F6DF9" w:rsidRDefault="00A43FBC">
            <w:pPr>
              <w:pStyle w:val="TableParagraph"/>
              <w:spacing w:line="232" w:lineRule="exact"/>
              <w:ind w:left="107"/>
              <w:rPr>
                <w:rFonts w:ascii="Times New Roman"/>
              </w:rPr>
            </w:pPr>
            <w:r>
              <w:rPr>
                <w:rFonts w:ascii="Times New Roman"/>
              </w:rPr>
              <w:t>Sub</w:t>
            </w:r>
            <w:r>
              <w:rPr>
                <w:rFonts w:ascii="Times New Roman"/>
                <w:spacing w:val="-4"/>
              </w:rPr>
              <w:t xml:space="preserve"> </w:t>
            </w:r>
            <w:r>
              <w:rPr>
                <w:rFonts w:ascii="Times New Roman"/>
              </w:rPr>
              <w:t>contracts</w:t>
            </w:r>
            <w:r>
              <w:rPr>
                <w:rFonts w:ascii="Times New Roman"/>
                <w:spacing w:val="-3"/>
              </w:rPr>
              <w:t xml:space="preserve"> </w:t>
            </w:r>
            <w:r>
              <w:rPr>
                <w:rFonts w:ascii="Times New Roman"/>
              </w:rPr>
              <w:t>from</w:t>
            </w:r>
            <w:r>
              <w:rPr>
                <w:rFonts w:ascii="Times New Roman"/>
                <w:spacing w:val="-4"/>
              </w:rPr>
              <w:t xml:space="preserve"> </w:t>
            </w:r>
            <w:r>
              <w:rPr>
                <w:rFonts w:ascii="Times New Roman"/>
              </w:rPr>
              <w:t>Local</w:t>
            </w:r>
            <w:r>
              <w:rPr>
                <w:rFonts w:ascii="Times New Roman"/>
                <w:spacing w:val="-2"/>
              </w:rPr>
              <w:t xml:space="preserve"> sources</w:t>
            </w: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before="1" w:line="233"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C</w:t>
            </w:r>
          </w:p>
        </w:tc>
        <w:tc>
          <w:tcPr>
            <w:tcW w:w="2979" w:type="dxa"/>
          </w:tcPr>
          <w:p w:rsidR="007F6DF9" w:rsidRDefault="00A43FBC">
            <w:pPr>
              <w:pStyle w:val="TableParagraph"/>
              <w:spacing w:line="234" w:lineRule="exact"/>
              <w:ind w:left="107"/>
              <w:rPr>
                <w:rFonts w:ascii="Times New Roman"/>
              </w:rPr>
            </w:pPr>
            <w:r>
              <w:rPr>
                <w:rFonts w:ascii="Times New Roman"/>
              </w:rPr>
              <w:t>Local</w:t>
            </w:r>
            <w:r>
              <w:rPr>
                <w:rFonts w:ascii="Times New Roman"/>
                <w:spacing w:val="-2"/>
              </w:rPr>
              <w:t xml:space="preserve"> materials</w:t>
            </w: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A43FBC">
            <w:pPr>
              <w:pStyle w:val="TableParagraph"/>
              <w:spacing w:line="234"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shd w:val="clear" w:color="auto" w:fill="F1F1F1"/>
          </w:tcPr>
          <w:p w:rsidR="007F6DF9" w:rsidRDefault="00A43FBC">
            <w:pPr>
              <w:pStyle w:val="TableParagraph"/>
              <w:spacing w:before="1" w:line="233" w:lineRule="exact"/>
              <w:ind w:left="107"/>
              <w:rPr>
                <w:rFonts w:ascii="Times New Roman"/>
              </w:rPr>
            </w:pPr>
            <w:r>
              <w:rPr>
                <w:rFonts w:ascii="Times New Roman"/>
                <w:spacing w:val="-10"/>
              </w:rPr>
              <w:t>D</w:t>
            </w:r>
          </w:p>
        </w:tc>
        <w:tc>
          <w:tcPr>
            <w:tcW w:w="8667" w:type="dxa"/>
            <w:gridSpan w:val="4"/>
            <w:shd w:val="clear" w:color="auto" w:fill="F1F1F1"/>
          </w:tcPr>
          <w:p w:rsidR="007F6DF9" w:rsidRDefault="00A43FBC">
            <w:pPr>
              <w:pStyle w:val="TableParagraph"/>
              <w:spacing w:before="1" w:line="233" w:lineRule="exact"/>
              <w:ind w:left="107"/>
              <w:rPr>
                <w:rFonts w:ascii="Times New Roman"/>
              </w:rPr>
            </w:pPr>
            <w:r>
              <w:rPr>
                <w:rFonts w:ascii="Times New Roman"/>
              </w:rPr>
              <w:t>Use</w:t>
            </w:r>
            <w:r>
              <w:rPr>
                <w:rFonts w:ascii="Times New Roman"/>
                <w:spacing w:val="-2"/>
              </w:rPr>
              <w:t xml:space="preserve"> </w:t>
            </w:r>
            <w:r>
              <w:rPr>
                <w:rFonts w:ascii="Times New Roman"/>
              </w:rPr>
              <w:t>of</w:t>
            </w:r>
            <w:r>
              <w:rPr>
                <w:rFonts w:ascii="Times New Roman"/>
                <w:spacing w:val="-2"/>
              </w:rPr>
              <w:t xml:space="preserve"> </w:t>
            </w:r>
            <w:r>
              <w:rPr>
                <w:rFonts w:ascii="Times New Roman"/>
              </w:rPr>
              <w:t>Local</w:t>
            </w:r>
            <w:r>
              <w:rPr>
                <w:rFonts w:ascii="Times New Roman"/>
                <w:spacing w:val="-1"/>
              </w:rPr>
              <w:t xml:space="preserve"> </w:t>
            </w:r>
            <w:r>
              <w:rPr>
                <w:rFonts w:ascii="Times New Roman"/>
              </w:rPr>
              <w:t>Plant</w:t>
            </w:r>
            <w:r>
              <w:rPr>
                <w:rFonts w:ascii="Times New Roman"/>
                <w:spacing w:val="-4"/>
              </w:rPr>
              <w:t xml:space="preserve"> </w:t>
            </w:r>
            <w:r>
              <w:rPr>
                <w:rFonts w:ascii="Times New Roman"/>
              </w:rPr>
              <w:t>and</w:t>
            </w:r>
            <w:r>
              <w:rPr>
                <w:rFonts w:ascii="Times New Roman"/>
                <w:spacing w:val="1"/>
              </w:rPr>
              <w:t xml:space="preserve"> </w:t>
            </w:r>
            <w:r>
              <w:rPr>
                <w:rFonts w:ascii="Times New Roman"/>
                <w:spacing w:val="-2"/>
              </w:rPr>
              <w:t>Equipment</w:t>
            </w: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shd w:val="clear" w:color="auto" w:fill="D0CECE"/>
          </w:tcPr>
          <w:p w:rsidR="007F6DF9" w:rsidRDefault="00A43FBC">
            <w:pPr>
              <w:pStyle w:val="TableParagraph"/>
              <w:spacing w:line="232" w:lineRule="exact"/>
              <w:ind w:left="107"/>
              <w:rPr>
                <w:rFonts w:ascii="Times New Roman"/>
              </w:rPr>
            </w:pPr>
            <w:r>
              <w:rPr>
                <w:rFonts w:ascii="Times New Roman"/>
                <w:spacing w:val="-10"/>
              </w:rPr>
              <w:t>E</w:t>
            </w:r>
          </w:p>
        </w:tc>
        <w:tc>
          <w:tcPr>
            <w:tcW w:w="8667" w:type="dxa"/>
            <w:gridSpan w:val="4"/>
            <w:shd w:val="clear" w:color="auto" w:fill="D0CECE"/>
          </w:tcPr>
          <w:p w:rsidR="007F6DF9" w:rsidRDefault="00A43FBC">
            <w:pPr>
              <w:pStyle w:val="TableParagraph"/>
              <w:spacing w:line="232" w:lineRule="exact"/>
              <w:ind w:left="107"/>
              <w:rPr>
                <w:rFonts w:ascii="Times New Roman"/>
              </w:rPr>
            </w:pPr>
            <w:r>
              <w:rPr>
                <w:rFonts w:ascii="Times New Roman"/>
              </w:rPr>
              <w:t>Add</w:t>
            </w:r>
            <w:r>
              <w:rPr>
                <w:rFonts w:ascii="Times New Roman"/>
                <w:spacing w:val="-4"/>
              </w:rPr>
              <w:t xml:space="preserve"> </w:t>
            </w:r>
            <w:r>
              <w:rPr>
                <w:rFonts w:ascii="Times New Roman"/>
              </w:rPr>
              <w:t>any</w:t>
            </w:r>
            <w:r>
              <w:rPr>
                <w:rFonts w:ascii="Times New Roman"/>
                <w:spacing w:val="-2"/>
              </w:rPr>
              <w:t xml:space="preserve"> </w:t>
            </w:r>
            <w:r>
              <w:rPr>
                <w:rFonts w:ascii="Times New Roman"/>
              </w:rPr>
              <w:t>other</w:t>
            </w:r>
            <w:r>
              <w:rPr>
                <w:rFonts w:ascii="Times New Roman"/>
                <w:spacing w:val="-2"/>
              </w:rPr>
              <w:t xml:space="preserve"> </w:t>
            </w:r>
            <w:r>
              <w:rPr>
                <w:rFonts w:ascii="Times New Roman"/>
                <w:spacing w:val="-4"/>
              </w:rPr>
              <w:t>items</w:t>
            </w:r>
          </w:p>
        </w:tc>
      </w:tr>
      <w:tr w:rsidR="007F6DF9">
        <w:trPr>
          <w:trHeight w:val="253"/>
        </w:trPr>
        <w:tc>
          <w:tcPr>
            <w:tcW w:w="804" w:type="dxa"/>
          </w:tcPr>
          <w:p w:rsidR="007F6DF9" w:rsidRDefault="00A43FBC">
            <w:pPr>
              <w:pStyle w:val="TableParagraph"/>
              <w:spacing w:before="1" w:line="233"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2"/>
        </w:trPr>
        <w:tc>
          <w:tcPr>
            <w:tcW w:w="804" w:type="dxa"/>
          </w:tcPr>
          <w:p w:rsidR="007F6DF9" w:rsidRDefault="00A43FBC">
            <w:pPr>
              <w:pStyle w:val="TableParagraph"/>
              <w:spacing w:line="232"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A43FBC">
            <w:pPr>
              <w:pStyle w:val="TableParagraph"/>
              <w:spacing w:before="1" w:line="233" w:lineRule="exact"/>
              <w:ind w:left="107"/>
              <w:rPr>
                <w:rFonts w:ascii="Times New Roman"/>
              </w:rPr>
            </w:pPr>
            <w:r>
              <w:rPr>
                <w:rFonts w:ascii="Times New Roman"/>
                <w:spacing w:val="-10"/>
              </w:rPr>
              <w:t>6</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7F6DF9">
            <w:pPr>
              <w:pStyle w:val="TableParagraph"/>
              <w:rPr>
                <w:rFonts w:ascii="Times New Roman"/>
                <w:sz w:val="18"/>
              </w:rPr>
            </w:pPr>
          </w:p>
        </w:tc>
        <w:tc>
          <w:tcPr>
            <w:tcW w:w="5166" w:type="dxa"/>
            <w:gridSpan w:val="2"/>
          </w:tcPr>
          <w:p w:rsidR="007F6DF9" w:rsidRDefault="00A43FBC">
            <w:pPr>
              <w:pStyle w:val="TableParagraph"/>
              <w:spacing w:line="232" w:lineRule="exact"/>
              <w:ind w:left="107"/>
              <w:rPr>
                <w:rFonts w:ascii="Times New Roman"/>
              </w:rPr>
            </w:pPr>
            <w:r>
              <w:rPr>
                <w:rFonts w:ascii="Times New Roman"/>
              </w:rPr>
              <w:t>TOTAL</w:t>
            </w:r>
            <w:r>
              <w:rPr>
                <w:rFonts w:ascii="Times New Roman"/>
                <w:spacing w:val="-5"/>
              </w:rPr>
              <w:t xml:space="preserve"> </w:t>
            </w:r>
            <w:r>
              <w:rPr>
                <w:rFonts w:ascii="Times New Roman"/>
              </w:rPr>
              <w:t>COST</w:t>
            </w:r>
            <w:r>
              <w:rPr>
                <w:rFonts w:ascii="Times New Roman"/>
                <w:spacing w:val="-5"/>
              </w:rPr>
              <w:t xml:space="preserve"> </w:t>
            </w:r>
            <w:r>
              <w:rPr>
                <w:rFonts w:ascii="Times New Roman"/>
              </w:rPr>
              <w:t>LOCAL</w:t>
            </w:r>
            <w:r>
              <w:rPr>
                <w:rFonts w:ascii="Times New Roman"/>
                <w:spacing w:val="-4"/>
              </w:rPr>
              <w:t xml:space="preserve"> </w:t>
            </w:r>
            <w:r>
              <w:rPr>
                <w:rFonts w:ascii="Times New Roman"/>
                <w:spacing w:val="-2"/>
              </w:rPr>
              <w:t>CONTENT</w:t>
            </w: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7F6DF9">
            <w:pPr>
              <w:pStyle w:val="TableParagraph"/>
              <w:rPr>
                <w:rFonts w:ascii="Times New Roman"/>
                <w:sz w:val="18"/>
              </w:rPr>
            </w:pPr>
          </w:p>
        </w:tc>
        <w:tc>
          <w:tcPr>
            <w:tcW w:w="5166" w:type="dxa"/>
            <w:gridSpan w:val="2"/>
          </w:tcPr>
          <w:p w:rsidR="007F6DF9" w:rsidRDefault="00A43FBC">
            <w:pPr>
              <w:pStyle w:val="TableParagraph"/>
              <w:spacing w:before="1" w:line="233" w:lineRule="exact"/>
              <w:ind w:left="107"/>
              <w:rPr>
                <w:rFonts w:ascii="Times New Roman"/>
              </w:rPr>
            </w:pPr>
            <w:r>
              <w:rPr>
                <w:rFonts w:ascii="Times New Roman"/>
              </w:rPr>
              <w:t>PERCENTAGE</w:t>
            </w:r>
            <w:r>
              <w:rPr>
                <w:rFonts w:ascii="Times New Roman"/>
                <w:spacing w:val="-7"/>
              </w:rPr>
              <w:t xml:space="preserve"> </w:t>
            </w:r>
            <w:r>
              <w:rPr>
                <w:rFonts w:ascii="Times New Roman"/>
              </w:rPr>
              <w:t>OF</w:t>
            </w:r>
            <w:r>
              <w:rPr>
                <w:rFonts w:ascii="Times New Roman"/>
                <w:spacing w:val="-7"/>
              </w:rPr>
              <w:t xml:space="preserve"> </w:t>
            </w:r>
            <w:r>
              <w:rPr>
                <w:rFonts w:ascii="Times New Roman"/>
              </w:rPr>
              <w:t>CONTRACT</w:t>
            </w:r>
            <w:r>
              <w:rPr>
                <w:rFonts w:ascii="Times New Roman"/>
                <w:spacing w:val="-6"/>
              </w:rPr>
              <w:t xml:space="preserve"> </w:t>
            </w:r>
            <w:r>
              <w:rPr>
                <w:rFonts w:ascii="Times New Roman"/>
                <w:spacing w:val="-4"/>
              </w:rPr>
              <w:t>PRICE</w:t>
            </w: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headerReference w:type="even" r:id="rId27"/>
          <w:pgSz w:w="11920" w:h="16850"/>
          <w:pgMar w:top="0" w:right="283" w:bottom="620" w:left="141" w:header="0" w:footer="437" w:gutter="0"/>
          <w:pgNumType w:start="28"/>
          <w:cols w:space="720"/>
        </w:sectPr>
      </w:pPr>
    </w:p>
    <w:p w:rsidR="007F6DF9" w:rsidRDefault="00A43FBC">
      <w:pPr>
        <w:pStyle w:val="BodyText"/>
      </w:pPr>
      <w:r>
        <w:rPr>
          <w:noProof/>
        </w:rPr>
        <w:lastRenderedPageBreak/>
        <mc:AlternateContent>
          <mc:Choice Requires="wps">
            <w:drawing>
              <wp:anchor distT="0" distB="0" distL="0" distR="0" simplePos="0" relativeHeight="251637248" behindDoc="0" locked="0" layoutInCell="1" allowOverlap="1">
                <wp:simplePos x="0" y="0"/>
                <wp:positionH relativeFrom="page">
                  <wp:posOffset>0</wp:posOffset>
                </wp:positionH>
                <wp:positionV relativeFrom="page">
                  <wp:posOffset>0</wp:posOffset>
                </wp:positionV>
                <wp:extent cx="7560309" cy="23431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w:pict>
              <v:shape w14:anchorId="6BD077F5" id="Graphic 161" o:spid="_x0000_s1026" style="position:absolute;margin-left:0;margin-top:0;width:595.3pt;height:18.45pt;z-index:25163724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L4hpfQ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p w:rsidR="007F6DF9" w:rsidRDefault="007F6DF9">
      <w:pPr>
        <w:pStyle w:val="BodyText"/>
      </w:pPr>
    </w:p>
    <w:p w:rsidR="007F6DF9" w:rsidRDefault="007F6DF9">
      <w:pPr>
        <w:pStyle w:val="BodyText"/>
        <w:spacing w:before="83"/>
      </w:pPr>
    </w:p>
    <w:p w:rsidR="007F6DF9" w:rsidRDefault="00A43FBC">
      <w:pPr>
        <w:pStyle w:val="Heading8"/>
        <w:numPr>
          <w:ilvl w:val="0"/>
          <w:numId w:val="166"/>
        </w:numPr>
        <w:tabs>
          <w:tab w:val="left" w:pos="1100"/>
        </w:tabs>
        <w:ind w:left="1100" w:hanging="389"/>
        <w:rPr>
          <w:color w:val="221F1F"/>
        </w:rPr>
      </w:pPr>
      <w:r>
        <w:rPr>
          <w:color w:val="221F1F"/>
          <w:u w:val="single" w:color="221F1F"/>
        </w:rPr>
        <w:t>FORMEQU:</w:t>
      </w:r>
      <w:r>
        <w:rPr>
          <w:color w:val="221F1F"/>
          <w:spacing w:val="-5"/>
          <w:u w:val="single" w:color="221F1F"/>
        </w:rPr>
        <w:t xml:space="preserve"> </w:t>
      </w:r>
      <w:r>
        <w:rPr>
          <w:color w:val="221F1F"/>
          <w:spacing w:val="-2"/>
          <w:u w:val="single" w:color="221F1F"/>
        </w:rPr>
        <w:t>EQUIPMENT</w:t>
      </w:r>
    </w:p>
    <w:p w:rsidR="007F6DF9" w:rsidRDefault="00A43FBC">
      <w:pPr>
        <w:pStyle w:val="BodyText"/>
        <w:spacing w:before="243" w:line="230" w:lineRule="auto"/>
        <w:ind w:left="711" w:right="559"/>
        <w:jc w:val="both"/>
      </w:pPr>
      <w:r>
        <w:rPr>
          <w:color w:val="221F1F"/>
        </w:rPr>
        <w:t>The Tenderer shall provide adequate information to demonstrate clearly that it has the capability to meet the requirements</w:t>
      </w:r>
      <w:r>
        <w:rPr>
          <w:color w:val="221F1F"/>
          <w:spacing w:val="-9"/>
        </w:rPr>
        <w:t xml:space="preserve"> </w:t>
      </w:r>
      <w:r>
        <w:rPr>
          <w:color w:val="221F1F"/>
        </w:rPr>
        <w:t>for</w:t>
      </w:r>
      <w:r>
        <w:rPr>
          <w:color w:val="221F1F"/>
          <w:spacing w:val="-9"/>
        </w:rPr>
        <w:t xml:space="preserve"> </w:t>
      </w:r>
      <w:r>
        <w:rPr>
          <w:color w:val="221F1F"/>
        </w:rPr>
        <w:t>the</w:t>
      </w:r>
      <w:r>
        <w:rPr>
          <w:color w:val="221F1F"/>
          <w:spacing w:val="-10"/>
        </w:rPr>
        <w:t xml:space="preserve"> </w:t>
      </w:r>
      <w:r>
        <w:rPr>
          <w:color w:val="221F1F"/>
        </w:rPr>
        <w:t>key</w:t>
      </w:r>
      <w:r>
        <w:rPr>
          <w:color w:val="221F1F"/>
          <w:spacing w:val="-10"/>
        </w:rPr>
        <w:t xml:space="preserve"> </w:t>
      </w:r>
      <w:r>
        <w:rPr>
          <w:color w:val="221F1F"/>
        </w:rPr>
        <w:t>equipment</w:t>
      </w:r>
      <w:r>
        <w:rPr>
          <w:color w:val="221F1F"/>
          <w:spacing w:val="-6"/>
        </w:rPr>
        <w:t xml:space="preserve"> </w:t>
      </w:r>
      <w:r>
        <w:rPr>
          <w:color w:val="221F1F"/>
        </w:rPr>
        <w:t>listed</w:t>
      </w:r>
      <w:r>
        <w:rPr>
          <w:color w:val="221F1F"/>
          <w:spacing w:val="-10"/>
        </w:rPr>
        <w:t xml:space="preserve"> </w:t>
      </w:r>
      <w:r>
        <w:rPr>
          <w:color w:val="221F1F"/>
        </w:rPr>
        <w:t>in</w:t>
      </w:r>
      <w:r>
        <w:rPr>
          <w:color w:val="221F1F"/>
          <w:spacing w:val="-10"/>
        </w:rPr>
        <w:t xml:space="preserve"> </w:t>
      </w:r>
      <w:r>
        <w:rPr>
          <w:color w:val="221F1F"/>
        </w:rPr>
        <w:t>Section</w:t>
      </w:r>
      <w:r>
        <w:rPr>
          <w:color w:val="221F1F"/>
          <w:spacing w:val="-8"/>
        </w:rPr>
        <w:t xml:space="preserve"> </w:t>
      </w:r>
      <w:r>
        <w:rPr>
          <w:color w:val="221F1F"/>
        </w:rPr>
        <w:t>III,</w:t>
      </w:r>
      <w:r>
        <w:rPr>
          <w:color w:val="221F1F"/>
          <w:spacing w:val="-8"/>
        </w:rPr>
        <w:t xml:space="preserve"> </w:t>
      </w:r>
      <w:r>
        <w:rPr>
          <w:color w:val="221F1F"/>
        </w:rPr>
        <w:t>Evaluation</w:t>
      </w:r>
      <w:r>
        <w:rPr>
          <w:color w:val="221F1F"/>
          <w:spacing w:val="-10"/>
        </w:rPr>
        <w:t xml:space="preserve"> </w:t>
      </w:r>
      <w:r>
        <w:rPr>
          <w:color w:val="221F1F"/>
        </w:rPr>
        <w:t>and</w:t>
      </w:r>
      <w:r>
        <w:rPr>
          <w:color w:val="221F1F"/>
          <w:spacing w:val="-10"/>
        </w:rPr>
        <w:t xml:space="preserve"> </w:t>
      </w:r>
      <w:r>
        <w:rPr>
          <w:color w:val="221F1F"/>
        </w:rPr>
        <w:t>Qualification</w:t>
      </w:r>
      <w:r>
        <w:rPr>
          <w:color w:val="221F1F"/>
          <w:spacing w:val="-8"/>
        </w:rPr>
        <w:t xml:space="preserve"> </w:t>
      </w:r>
      <w:r>
        <w:rPr>
          <w:color w:val="221F1F"/>
        </w:rPr>
        <w:t>Criteria.</w:t>
      </w:r>
      <w:r>
        <w:rPr>
          <w:color w:val="221F1F"/>
          <w:spacing w:val="-7"/>
        </w:rPr>
        <w:t xml:space="preserve"> </w:t>
      </w:r>
      <w:r>
        <w:rPr>
          <w:color w:val="221F1F"/>
        </w:rPr>
        <w:t>A</w:t>
      </w:r>
      <w:r>
        <w:rPr>
          <w:color w:val="221F1F"/>
          <w:spacing w:val="-11"/>
        </w:rPr>
        <w:t xml:space="preserve"> </w:t>
      </w:r>
      <w:r>
        <w:rPr>
          <w:color w:val="221F1F"/>
        </w:rPr>
        <w:t>separate</w:t>
      </w:r>
      <w:r>
        <w:rPr>
          <w:color w:val="221F1F"/>
          <w:spacing w:val="-7"/>
        </w:rPr>
        <w:t xml:space="preserve"> </w:t>
      </w:r>
      <w:r>
        <w:rPr>
          <w:color w:val="221F1F"/>
        </w:rPr>
        <w:t>Form</w:t>
      </w:r>
      <w:r>
        <w:rPr>
          <w:color w:val="221F1F"/>
          <w:spacing w:val="-7"/>
        </w:rPr>
        <w:t xml:space="preserve"> </w:t>
      </w:r>
      <w:r>
        <w:rPr>
          <w:color w:val="221F1F"/>
        </w:rPr>
        <w:t xml:space="preserve">shall be prepared for each item of equipment listed, or </w:t>
      </w:r>
      <w:proofErr w:type="spellStart"/>
      <w:r>
        <w:rPr>
          <w:color w:val="221F1F"/>
        </w:rPr>
        <w:t>fo</w:t>
      </w:r>
      <w:proofErr w:type="spellEnd"/>
      <w:r>
        <w:rPr>
          <w:color w:val="221F1F"/>
        </w:rPr>
        <w:t xml:space="preserve"> </w:t>
      </w:r>
      <w:proofErr w:type="spellStart"/>
      <w:r>
        <w:rPr>
          <w:color w:val="221F1F"/>
        </w:rPr>
        <w:t>ralternative</w:t>
      </w:r>
      <w:proofErr w:type="spellEnd"/>
      <w:r>
        <w:rPr>
          <w:color w:val="221F1F"/>
        </w:rPr>
        <w:t xml:space="preserve"> equipment proposed by the Tenderer.</w:t>
      </w:r>
    </w:p>
    <w:p w:rsidR="007F6DF9" w:rsidRDefault="007F6DF9">
      <w:pPr>
        <w:pStyle w:val="BodyText"/>
        <w:spacing w:before="11"/>
        <w:rPr>
          <w:sz w:val="19"/>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6"/>
        <w:gridCol w:w="3955"/>
        <w:gridCol w:w="3692"/>
      </w:tblGrid>
      <w:tr w:rsidR="007F6DF9">
        <w:trPr>
          <w:trHeight w:val="505"/>
        </w:trPr>
        <w:tc>
          <w:tcPr>
            <w:tcW w:w="9093" w:type="dxa"/>
            <w:gridSpan w:val="3"/>
          </w:tcPr>
          <w:p w:rsidR="007F6DF9" w:rsidRDefault="00A43FBC">
            <w:pPr>
              <w:pStyle w:val="TableParagraph"/>
              <w:spacing w:line="251" w:lineRule="exact"/>
              <w:ind w:left="71"/>
              <w:rPr>
                <w:rFonts w:ascii="Times New Roman"/>
              </w:rPr>
            </w:pPr>
            <w:r>
              <w:rPr>
                <w:rFonts w:ascii="Times New Roman"/>
              </w:rPr>
              <w:t>Item</w:t>
            </w:r>
            <w:r>
              <w:rPr>
                <w:rFonts w:ascii="Times New Roman"/>
                <w:spacing w:val="-10"/>
              </w:rPr>
              <w:t xml:space="preserve"> </w:t>
            </w:r>
            <w:r>
              <w:rPr>
                <w:rFonts w:ascii="Times New Roman"/>
              </w:rPr>
              <w:t>of</w:t>
            </w:r>
            <w:r>
              <w:rPr>
                <w:rFonts w:ascii="Times New Roman"/>
                <w:spacing w:val="-9"/>
              </w:rPr>
              <w:t xml:space="preserve"> </w:t>
            </w:r>
            <w:r>
              <w:rPr>
                <w:rFonts w:ascii="Times New Roman"/>
                <w:spacing w:val="-2"/>
              </w:rPr>
              <w:t>equipment</w:t>
            </w:r>
          </w:p>
        </w:tc>
      </w:tr>
      <w:tr w:rsidR="007F6DF9">
        <w:trPr>
          <w:trHeight w:val="505"/>
        </w:trPr>
        <w:tc>
          <w:tcPr>
            <w:tcW w:w="1446" w:type="dxa"/>
            <w:vMerge w:val="restart"/>
          </w:tcPr>
          <w:p w:rsidR="007F6DF9" w:rsidRDefault="00A43FBC">
            <w:pPr>
              <w:pStyle w:val="TableParagraph"/>
              <w:ind w:left="71"/>
              <w:rPr>
                <w:rFonts w:ascii="Times New Roman"/>
              </w:rPr>
            </w:pPr>
            <w:r>
              <w:rPr>
                <w:rFonts w:ascii="Times New Roman"/>
                <w:spacing w:val="-2"/>
              </w:rPr>
              <w:t xml:space="preserve">Equipment </w:t>
            </w:r>
            <w:r>
              <w:rPr>
                <w:rFonts w:ascii="Times New Roman"/>
                <w:spacing w:val="-4"/>
              </w:rPr>
              <w:t>information</w:t>
            </w:r>
          </w:p>
        </w:tc>
        <w:tc>
          <w:tcPr>
            <w:tcW w:w="3955" w:type="dxa"/>
          </w:tcPr>
          <w:p w:rsidR="007F6DF9" w:rsidRDefault="00A43FBC">
            <w:pPr>
              <w:pStyle w:val="TableParagraph"/>
              <w:spacing w:line="251" w:lineRule="exact"/>
              <w:ind w:left="66"/>
              <w:rPr>
                <w:rFonts w:ascii="Times New Roman"/>
              </w:rPr>
            </w:pPr>
            <w:r>
              <w:rPr>
                <w:rFonts w:ascii="Times New Roman"/>
              </w:rPr>
              <w:t>Name</w:t>
            </w:r>
            <w:r>
              <w:rPr>
                <w:rFonts w:ascii="Times New Roman"/>
                <w:spacing w:val="-13"/>
              </w:rPr>
              <w:t xml:space="preserve"> </w:t>
            </w:r>
            <w:r>
              <w:rPr>
                <w:rFonts w:ascii="Times New Roman"/>
              </w:rPr>
              <w:t>of</w:t>
            </w:r>
            <w:r>
              <w:rPr>
                <w:rFonts w:ascii="Times New Roman"/>
                <w:spacing w:val="-9"/>
              </w:rPr>
              <w:t xml:space="preserve"> </w:t>
            </w:r>
            <w:r>
              <w:rPr>
                <w:rFonts w:ascii="Times New Roman"/>
                <w:spacing w:val="-2"/>
              </w:rPr>
              <w:t>manufacturer</w:t>
            </w:r>
          </w:p>
        </w:tc>
        <w:tc>
          <w:tcPr>
            <w:tcW w:w="3692" w:type="dxa"/>
          </w:tcPr>
          <w:p w:rsidR="007F6DF9" w:rsidRDefault="00A43FBC">
            <w:pPr>
              <w:pStyle w:val="TableParagraph"/>
              <w:spacing w:line="251" w:lineRule="exact"/>
              <w:ind w:left="72"/>
              <w:rPr>
                <w:rFonts w:ascii="Times New Roman"/>
              </w:rPr>
            </w:pPr>
            <w:r>
              <w:rPr>
                <w:rFonts w:ascii="Times New Roman"/>
              </w:rPr>
              <w:t>Model</w:t>
            </w:r>
            <w:r>
              <w:rPr>
                <w:rFonts w:ascii="Times New Roman"/>
                <w:spacing w:val="-14"/>
              </w:rPr>
              <w:t xml:space="preserve"> </w:t>
            </w:r>
            <w:r>
              <w:rPr>
                <w:rFonts w:ascii="Times New Roman"/>
              </w:rPr>
              <w:t>and</w:t>
            </w:r>
            <w:r>
              <w:rPr>
                <w:rFonts w:ascii="Times New Roman"/>
                <w:spacing w:val="-13"/>
              </w:rPr>
              <w:t xml:space="preserve"> </w:t>
            </w:r>
            <w:r>
              <w:rPr>
                <w:rFonts w:ascii="Times New Roman"/>
              </w:rPr>
              <w:t>power</w:t>
            </w:r>
            <w:r>
              <w:rPr>
                <w:rFonts w:ascii="Times New Roman"/>
                <w:spacing w:val="-13"/>
              </w:rPr>
              <w:t xml:space="preserve"> </w:t>
            </w:r>
            <w:r>
              <w:rPr>
                <w:rFonts w:ascii="Times New Roman"/>
                <w:spacing w:val="-2"/>
              </w:rPr>
              <w:t>rating</w:t>
            </w:r>
          </w:p>
        </w:tc>
      </w:tr>
      <w:tr w:rsidR="007F6DF9">
        <w:trPr>
          <w:trHeight w:val="505"/>
        </w:trPr>
        <w:tc>
          <w:tcPr>
            <w:tcW w:w="1446" w:type="dxa"/>
            <w:vMerge/>
            <w:tcBorders>
              <w:top w:val="nil"/>
            </w:tcBorders>
          </w:tcPr>
          <w:p w:rsidR="007F6DF9" w:rsidRDefault="007F6DF9">
            <w:pPr>
              <w:rPr>
                <w:sz w:val="2"/>
                <w:szCs w:val="2"/>
              </w:rPr>
            </w:pPr>
          </w:p>
        </w:tc>
        <w:tc>
          <w:tcPr>
            <w:tcW w:w="3955" w:type="dxa"/>
          </w:tcPr>
          <w:p w:rsidR="007F6DF9" w:rsidRDefault="00A43FBC">
            <w:pPr>
              <w:pStyle w:val="TableParagraph"/>
              <w:spacing w:line="251" w:lineRule="exact"/>
              <w:ind w:left="66"/>
              <w:rPr>
                <w:rFonts w:ascii="Times New Roman"/>
              </w:rPr>
            </w:pPr>
            <w:r>
              <w:rPr>
                <w:rFonts w:ascii="Times New Roman"/>
                <w:spacing w:val="-2"/>
              </w:rPr>
              <w:t>Capacity</w:t>
            </w:r>
          </w:p>
        </w:tc>
        <w:tc>
          <w:tcPr>
            <w:tcW w:w="3692" w:type="dxa"/>
          </w:tcPr>
          <w:p w:rsidR="007F6DF9" w:rsidRDefault="00A43FBC">
            <w:pPr>
              <w:pStyle w:val="TableParagraph"/>
              <w:spacing w:line="251" w:lineRule="exact"/>
              <w:ind w:left="72"/>
              <w:rPr>
                <w:rFonts w:ascii="Times New Roman"/>
              </w:rPr>
            </w:pPr>
            <w:r>
              <w:rPr>
                <w:rFonts w:ascii="Times New Roman"/>
              </w:rPr>
              <w:t>Year</w:t>
            </w:r>
            <w:r>
              <w:rPr>
                <w:rFonts w:ascii="Times New Roman"/>
                <w:spacing w:val="-10"/>
              </w:rPr>
              <w:t xml:space="preserve"> </w:t>
            </w:r>
            <w:r>
              <w:rPr>
                <w:rFonts w:ascii="Times New Roman"/>
              </w:rPr>
              <w:t>of</w:t>
            </w:r>
            <w:r>
              <w:rPr>
                <w:rFonts w:ascii="Times New Roman"/>
                <w:spacing w:val="-9"/>
              </w:rPr>
              <w:t xml:space="preserve"> </w:t>
            </w:r>
            <w:r>
              <w:rPr>
                <w:rFonts w:ascii="Times New Roman"/>
                <w:spacing w:val="-2"/>
              </w:rPr>
              <w:t>manufacture</w:t>
            </w:r>
          </w:p>
        </w:tc>
      </w:tr>
      <w:tr w:rsidR="007F6DF9">
        <w:trPr>
          <w:trHeight w:val="505"/>
        </w:trPr>
        <w:tc>
          <w:tcPr>
            <w:tcW w:w="1446" w:type="dxa"/>
            <w:vMerge w:val="restart"/>
          </w:tcPr>
          <w:p w:rsidR="007F6DF9" w:rsidRDefault="00A43FBC">
            <w:pPr>
              <w:pStyle w:val="TableParagraph"/>
              <w:spacing w:line="251" w:lineRule="exact"/>
              <w:ind w:left="71"/>
              <w:rPr>
                <w:rFonts w:ascii="Times New Roman"/>
              </w:rPr>
            </w:pPr>
            <w:r>
              <w:rPr>
                <w:rFonts w:ascii="Times New Roman"/>
                <w:spacing w:val="-2"/>
              </w:rPr>
              <w:t>Current</w:t>
            </w:r>
            <w:r>
              <w:rPr>
                <w:rFonts w:ascii="Times New Roman"/>
                <w:spacing w:val="-8"/>
              </w:rPr>
              <w:t xml:space="preserve"> </w:t>
            </w:r>
            <w:r>
              <w:rPr>
                <w:rFonts w:ascii="Times New Roman"/>
                <w:spacing w:val="-2"/>
              </w:rPr>
              <w:t>status</w:t>
            </w:r>
          </w:p>
        </w:tc>
        <w:tc>
          <w:tcPr>
            <w:tcW w:w="7647" w:type="dxa"/>
            <w:gridSpan w:val="2"/>
          </w:tcPr>
          <w:p w:rsidR="007F6DF9" w:rsidRDefault="00A43FBC">
            <w:pPr>
              <w:pStyle w:val="TableParagraph"/>
              <w:spacing w:line="251" w:lineRule="exact"/>
              <w:ind w:left="66"/>
              <w:rPr>
                <w:rFonts w:ascii="Times New Roman"/>
              </w:rPr>
            </w:pPr>
            <w:r>
              <w:rPr>
                <w:rFonts w:ascii="Times New Roman"/>
                <w:spacing w:val="-2"/>
              </w:rPr>
              <w:t>Current</w:t>
            </w:r>
            <w:r>
              <w:rPr>
                <w:rFonts w:ascii="Times New Roman"/>
                <w:spacing w:val="-8"/>
              </w:rPr>
              <w:t xml:space="preserve"> </w:t>
            </w:r>
            <w:r>
              <w:rPr>
                <w:rFonts w:ascii="Times New Roman"/>
                <w:spacing w:val="-2"/>
              </w:rPr>
              <w:t>location</w:t>
            </w:r>
          </w:p>
        </w:tc>
      </w:tr>
      <w:tr w:rsidR="007F6DF9">
        <w:trPr>
          <w:trHeight w:val="760"/>
        </w:trPr>
        <w:tc>
          <w:tcPr>
            <w:tcW w:w="1446" w:type="dxa"/>
            <w:vMerge/>
            <w:tcBorders>
              <w:top w:val="nil"/>
            </w:tcBorders>
          </w:tcPr>
          <w:p w:rsidR="007F6DF9" w:rsidRDefault="007F6DF9">
            <w:pPr>
              <w:rPr>
                <w:sz w:val="2"/>
                <w:szCs w:val="2"/>
              </w:rPr>
            </w:pPr>
          </w:p>
        </w:tc>
        <w:tc>
          <w:tcPr>
            <w:tcW w:w="7647" w:type="dxa"/>
            <w:gridSpan w:val="2"/>
          </w:tcPr>
          <w:p w:rsidR="007F6DF9" w:rsidRDefault="00A43FBC">
            <w:pPr>
              <w:pStyle w:val="TableParagraph"/>
              <w:spacing w:line="251" w:lineRule="exact"/>
              <w:ind w:left="66"/>
              <w:rPr>
                <w:rFonts w:ascii="Times New Roman"/>
              </w:rPr>
            </w:pPr>
            <w:r>
              <w:rPr>
                <w:rFonts w:ascii="Times New Roman"/>
                <w:spacing w:val="-2"/>
              </w:rPr>
              <w:t>Details</w:t>
            </w:r>
            <w:r>
              <w:rPr>
                <w:rFonts w:ascii="Times New Roman"/>
                <w:spacing w:val="-6"/>
              </w:rPr>
              <w:t xml:space="preserve"> </w:t>
            </w:r>
            <w:r>
              <w:rPr>
                <w:rFonts w:ascii="Times New Roman"/>
                <w:spacing w:val="-2"/>
              </w:rPr>
              <w:t>of</w:t>
            </w:r>
            <w:r>
              <w:rPr>
                <w:rFonts w:ascii="Times New Roman"/>
                <w:spacing w:val="-5"/>
              </w:rPr>
              <w:t xml:space="preserve"> </w:t>
            </w:r>
            <w:r>
              <w:rPr>
                <w:rFonts w:ascii="Times New Roman"/>
                <w:spacing w:val="-2"/>
              </w:rPr>
              <w:t>current</w:t>
            </w:r>
            <w:r>
              <w:rPr>
                <w:rFonts w:ascii="Times New Roman"/>
                <w:spacing w:val="-5"/>
              </w:rPr>
              <w:t xml:space="preserve"> </w:t>
            </w:r>
            <w:r>
              <w:rPr>
                <w:rFonts w:ascii="Times New Roman"/>
                <w:spacing w:val="-2"/>
              </w:rPr>
              <w:t>commitments</w:t>
            </w:r>
          </w:p>
        </w:tc>
      </w:tr>
      <w:tr w:rsidR="007F6DF9">
        <w:trPr>
          <w:trHeight w:val="517"/>
        </w:trPr>
        <w:tc>
          <w:tcPr>
            <w:tcW w:w="1446" w:type="dxa"/>
          </w:tcPr>
          <w:p w:rsidR="007F6DF9" w:rsidRDefault="00A43FBC">
            <w:pPr>
              <w:pStyle w:val="TableParagraph"/>
              <w:spacing w:line="251" w:lineRule="exact"/>
              <w:ind w:left="71"/>
              <w:rPr>
                <w:rFonts w:ascii="Times New Roman"/>
              </w:rPr>
            </w:pPr>
            <w:r>
              <w:rPr>
                <w:rFonts w:ascii="Times New Roman"/>
                <w:spacing w:val="-2"/>
              </w:rPr>
              <w:t>Source</w:t>
            </w:r>
          </w:p>
        </w:tc>
        <w:tc>
          <w:tcPr>
            <w:tcW w:w="7647" w:type="dxa"/>
            <w:gridSpan w:val="2"/>
          </w:tcPr>
          <w:p w:rsidR="007F6DF9" w:rsidRDefault="00A43FBC">
            <w:pPr>
              <w:pStyle w:val="TableParagraph"/>
              <w:spacing w:line="251" w:lineRule="exact"/>
              <w:ind w:left="66"/>
              <w:rPr>
                <w:rFonts w:ascii="Times New Roman"/>
              </w:rPr>
            </w:pPr>
            <w:r>
              <w:rPr>
                <w:rFonts w:ascii="Times New Roman"/>
                <w:spacing w:val="-2"/>
              </w:rPr>
              <w:t>Indicate</w:t>
            </w:r>
            <w:r>
              <w:rPr>
                <w:rFonts w:ascii="Times New Roman"/>
                <w:spacing w:val="-5"/>
              </w:rPr>
              <w:t xml:space="preserve"> </w:t>
            </w:r>
            <w:r>
              <w:rPr>
                <w:rFonts w:ascii="Times New Roman"/>
                <w:spacing w:val="-2"/>
              </w:rPr>
              <w:t>source</w:t>
            </w:r>
            <w:r>
              <w:rPr>
                <w:rFonts w:ascii="Times New Roman"/>
                <w:spacing w:val="-5"/>
              </w:rPr>
              <w:t xml:space="preserve"> </w:t>
            </w:r>
            <w:r>
              <w:rPr>
                <w:rFonts w:ascii="Times New Roman"/>
                <w:spacing w:val="-2"/>
              </w:rPr>
              <w:t>of</w:t>
            </w:r>
            <w:r>
              <w:rPr>
                <w:rFonts w:ascii="Times New Roman"/>
                <w:spacing w:val="-7"/>
              </w:rPr>
              <w:t xml:space="preserve"> </w:t>
            </w:r>
            <w:r>
              <w:rPr>
                <w:rFonts w:ascii="Times New Roman"/>
                <w:spacing w:val="-2"/>
              </w:rPr>
              <w:t>the</w:t>
            </w:r>
            <w:r>
              <w:rPr>
                <w:rFonts w:ascii="Times New Roman"/>
                <w:spacing w:val="-5"/>
              </w:rPr>
              <w:t xml:space="preserve"> </w:t>
            </w:r>
            <w:r>
              <w:rPr>
                <w:rFonts w:ascii="Times New Roman"/>
                <w:spacing w:val="-2"/>
              </w:rPr>
              <w:t>equipment</w:t>
            </w:r>
          </w:p>
          <w:p w:rsidR="007F6DF9" w:rsidRDefault="00A43FBC">
            <w:pPr>
              <w:pStyle w:val="TableParagraph"/>
              <w:tabs>
                <w:tab w:val="left" w:pos="1703"/>
                <w:tab w:val="left" w:pos="2963"/>
                <w:tab w:val="left" w:pos="4403"/>
              </w:tabs>
              <w:spacing w:line="246" w:lineRule="exact"/>
              <w:ind w:left="354"/>
              <w:rPr>
                <w:rFonts w:ascii="Times New Roman" w:hAnsi="Times New Roman"/>
              </w:rPr>
            </w:pPr>
            <w:r>
              <w:rPr>
                <w:rFonts w:ascii="Wingdings" w:hAnsi="Wingdings"/>
                <w:sz w:val="24"/>
              </w:rPr>
              <w:t></w:t>
            </w:r>
            <w:r>
              <w:rPr>
                <w:rFonts w:ascii="Times New Roman" w:hAnsi="Times New Roman"/>
                <w:spacing w:val="-12"/>
                <w:sz w:val="24"/>
              </w:rPr>
              <w:t xml:space="preserve"> </w:t>
            </w:r>
            <w:r>
              <w:rPr>
                <w:rFonts w:ascii="Times New Roman" w:hAnsi="Times New Roman"/>
                <w:spacing w:val="-2"/>
              </w:rPr>
              <w:t>Owned</w:t>
            </w:r>
            <w:r>
              <w:rPr>
                <w:rFonts w:ascii="Times New Roman" w:hAnsi="Times New Roman"/>
              </w:rPr>
              <w:tab/>
            </w:r>
            <w:r>
              <w:rPr>
                <w:rFonts w:ascii="Wingdings" w:hAnsi="Wingdings"/>
                <w:sz w:val="24"/>
              </w:rPr>
              <w:t></w:t>
            </w:r>
            <w:r>
              <w:rPr>
                <w:rFonts w:ascii="Times New Roman" w:hAnsi="Times New Roman"/>
                <w:spacing w:val="-10"/>
                <w:sz w:val="24"/>
              </w:rPr>
              <w:t xml:space="preserve"> </w:t>
            </w:r>
            <w:r>
              <w:rPr>
                <w:rFonts w:ascii="Times New Roman" w:hAnsi="Times New Roman"/>
                <w:spacing w:val="-2"/>
              </w:rPr>
              <w:t>Rented</w:t>
            </w:r>
            <w:r>
              <w:rPr>
                <w:rFonts w:ascii="Times New Roman" w:hAnsi="Times New Roman"/>
              </w:rPr>
              <w:tab/>
            </w:r>
            <w:r>
              <w:rPr>
                <w:rFonts w:ascii="Wingdings" w:hAnsi="Wingdings"/>
                <w:sz w:val="24"/>
              </w:rPr>
              <w:t></w:t>
            </w:r>
            <w:r>
              <w:rPr>
                <w:rFonts w:ascii="Times New Roman" w:hAnsi="Times New Roman"/>
                <w:spacing w:val="-10"/>
                <w:sz w:val="24"/>
              </w:rPr>
              <w:t xml:space="preserve"> </w:t>
            </w:r>
            <w:r>
              <w:rPr>
                <w:rFonts w:ascii="Times New Roman" w:hAnsi="Times New Roman"/>
                <w:spacing w:val="-2"/>
              </w:rPr>
              <w:t>Leased</w:t>
            </w:r>
            <w:r>
              <w:rPr>
                <w:rFonts w:ascii="Times New Roman" w:hAnsi="Times New Roman"/>
              </w:rPr>
              <w:tab/>
            </w:r>
            <w:r>
              <w:rPr>
                <w:rFonts w:ascii="Wingdings" w:hAnsi="Wingdings"/>
                <w:spacing w:val="-2"/>
                <w:sz w:val="24"/>
              </w:rPr>
              <w:t></w:t>
            </w:r>
            <w:r>
              <w:rPr>
                <w:rFonts w:ascii="Times New Roman" w:hAnsi="Times New Roman"/>
                <w:spacing w:val="-11"/>
                <w:sz w:val="24"/>
              </w:rPr>
              <w:t xml:space="preserve"> </w:t>
            </w:r>
            <w:r>
              <w:rPr>
                <w:rFonts w:ascii="Times New Roman" w:hAnsi="Times New Roman"/>
                <w:spacing w:val="-2"/>
              </w:rPr>
              <w:t>Specially</w:t>
            </w:r>
            <w:r>
              <w:rPr>
                <w:rFonts w:ascii="Times New Roman" w:hAnsi="Times New Roman"/>
                <w:spacing w:val="-7"/>
              </w:rPr>
              <w:t xml:space="preserve"> </w:t>
            </w:r>
            <w:r>
              <w:rPr>
                <w:rFonts w:ascii="Times New Roman" w:hAnsi="Times New Roman"/>
                <w:spacing w:val="-2"/>
              </w:rPr>
              <w:t>manufactured</w:t>
            </w:r>
          </w:p>
        </w:tc>
      </w:tr>
    </w:tbl>
    <w:p w:rsidR="007F6DF9" w:rsidRDefault="007F6DF9">
      <w:pPr>
        <w:pStyle w:val="BodyText"/>
      </w:pPr>
    </w:p>
    <w:p w:rsidR="007F6DF9" w:rsidRDefault="007F6DF9">
      <w:pPr>
        <w:pStyle w:val="BodyText"/>
        <w:spacing w:before="188"/>
      </w:pPr>
    </w:p>
    <w:p w:rsidR="007F6DF9" w:rsidRDefault="00A43FBC">
      <w:pPr>
        <w:pStyle w:val="BodyText"/>
        <w:ind w:left="559"/>
      </w:pPr>
      <w:r>
        <w:rPr>
          <w:spacing w:val="-2"/>
        </w:rPr>
        <w:t>Omit</w:t>
      </w:r>
      <w:r>
        <w:rPr>
          <w:spacing w:val="-6"/>
        </w:rPr>
        <w:t xml:space="preserve"> </w:t>
      </w:r>
      <w:r>
        <w:rPr>
          <w:spacing w:val="-2"/>
        </w:rPr>
        <w:t>the</w:t>
      </w:r>
      <w:r>
        <w:rPr>
          <w:spacing w:val="-8"/>
        </w:rPr>
        <w:t xml:space="preserve"> </w:t>
      </w:r>
      <w:r>
        <w:rPr>
          <w:spacing w:val="-2"/>
        </w:rPr>
        <w:t>following</w:t>
      </w:r>
      <w:r>
        <w:rPr>
          <w:spacing w:val="-9"/>
        </w:rPr>
        <w:t xml:space="preserve"> </w:t>
      </w:r>
      <w:r>
        <w:rPr>
          <w:spacing w:val="-2"/>
        </w:rPr>
        <w:t>information</w:t>
      </w:r>
      <w:r>
        <w:rPr>
          <w:spacing w:val="-6"/>
        </w:rPr>
        <w:t xml:space="preserve"> </w:t>
      </w:r>
      <w:r>
        <w:rPr>
          <w:spacing w:val="-2"/>
        </w:rPr>
        <w:t>for</w:t>
      </w:r>
      <w:r>
        <w:rPr>
          <w:spacing w:val="-5"/>
        </w:rPr>
        <w:t xml:space="preserve"> </w:t>
      </w:r>
      <w:r>
        <w:rPr>
          <w:spacing w:val="-2"/>
        </w:rPr>
        <w:t>equipment</w:t>
      </w:r>
      <w:r>
        <w:rPr>
          <w:spacing w:val="-5"/>
        </w:rPr>
        <w:t xml:space="preserve"> </w:t>
      </w:r>
      <w:r>
        <w:rPr>
          <w:spacing w:val="-2"/>
        </w:rPr>
        <w:t>owned</w:t>
      </w:r>
      <w:r>
        <w:rPr>
          <w:spacing w:val="-6"/>
        </w:rPr>
        <w:t xml:space="preserve"> </w:t>
      </w:r>
      <w:r>
        <w:rPr>
          <w:spacing w:val="-2"/>
        </w:rPr>
        <w:t>by</w:t>
      </w:r>
      <w:r>
        <w:rPr>
          <w:spacing w:val="-9"/>
        </w:rPr>
        <w:t xml:space="preserve"> </w:t>
      </w:r>
      <w:r>
        <w:rPr>
          <w:spacing w:val="-2"/>
        </w:rPr>
        <w:t>the</w:t>
      </w:r>
      <w:r>
        <w:rPr>
          <w:spacing w:val="-6"/>
        </w:rPr>
        <w:t xml:space="preserve"> </w:t>
      </w:r>
      <w:r>
        <w:rPr>
          <w:spacing w:val="-2"/>
        </w:rPr>
        <w:t>Tenderer.</w:t>
      </w: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0"/>
        <w:gridCol w:w="3692"/>
      </w:tblGrid>
      <w:tr w:rsidR="007F6DF9">
        <w:trPr>
          <w:trHeight w:val="253"/>
        </w:trPr>
        <w:tc>
          <w:tcPr>
            <w:tcW w:w="1440" w:type="dxa"/>
            <w:vMerge w:val="restart"/>
            <w:tcBorders>
              <w:bottom w:val="single" w:sz="4" w:space="0" w:color="000000"/>
            </w:tcBorders>
          </w:tcPr>
          <w:p w:rsidR="007F6DF9" w:rsidRDefault="00A43FBC">
            <w:pPr>
              <w:pStyle w:val="TableParagraph"/>
              <w:ind w:left="71"/>
              <w:rPr>
                <w:rFonts w:ascii="Times New Roman"/>
              </w:rPr>
            </w:pPr>
            <w:r>
              <w:rPr>
                <w:rFonts w:ascii="Times New Roman"/>
                <w:spacing w:val="-2"/>
              </w:rPr>
              <w:t>Owner</w:t>
            </w:r>
          </w:p>
        </w:tc>
        <w:tc>
          <w:tcPr>
            <w:tcW w:w="7652" w:type="dxa"/>
            <w:gridSpan w:val="2"/>
          </w:tcPr>
          <w:p w:rsidR="007F6DF9" w:rsidRDefault="00A43FBC">
            <w:pPr>
              <w:pStyle w:val="TableParagraph"/>
              <w:spacing w:line="233" w:lineRule="exact"/>
              <w:ind w:left="72"/>
              <w:rPr>
                <w:rFonts w:ascii="Times New Roman"/>
              </w:rPr>
            </w:pPr>
            <w:r>
              <w:rPr>
                <w:rFonts w:ascii="Times New Roman"/>
              </w:rPr>
              <w:t>Name</w:t>
            </w:r>
            <w:r>
              <w:rPr>
                <w:rFonts w:ascii="Times New Roman"/>
                <w:spacing w:val="-11"/>
              </w:rPr>
              <w:t xml:space="preserve"> </w:t>
            </w:r>
            <w:r>
              <w:rPr>
                <w:rFonts w:ascii="Times New Roman"/>
              </w:rPr>
              <w:t>of</w:t>
            </w:r>
            <w:r>
              <w:rPr>
                <w:rFonts w:ascii="Times New Roman"/>
                <w:spacing w:val="-9"/>
              </w:rPr>
              <w:t xml:space="preserve"> </w:t>
            </w:r>
            <w:r>
              <w:rPr>
                <w:rFonts w:ascii="Times New Roman"/>
                <w:spacing w:val="-2"/>
              </w:rPr>
              <w:t>owner</w:t>
            </w:r>
          </w:p>
        </w:tc>
      </w:tr>
      <w:tr w:rsidR="007F6DF9">
        <w:trPr>
          <w:trHeight w:val="757"/>
        </w:trPr>
        <w:tc>
          <w:tcPr>
            <w:tcW w:w="1440" w:type="dxa"/>
            <w:vMerge/>
            <w:tcBorders>
              <w:top w:val="nil"/>
              <w:bottom w:val="single" w:sz="4" w:space="0" w:color="000000"/>
            </w:tcBorders>
          </w:tcPr>
          <w:p w:rsidR="007F6DF9" w:rsidRDefault="007F6DF9">
            <w:pPr>
              <w:rPr>
                <w:sz w:val="2"/>
                <w:szCs w:val="2"/>
              </w:rPr>
            </w:pPr>
          </w:p>
        </w:tc>
        <w:tc>
          <w:tcPr>
            <w:tcW w:w="7652" w:type="dxa"/>
            <w:gridSpan w:val="2"/>
          </w:tcPr>
          <w:p w:rsidR="007F6DF9" w:rsidRDefault="00A43FBC">
            <w:pPr>
              <w:pStyle w:val="TableParagraph"/>
              <w:spacing w:line="251" w:lineRule="exact"/>
              <w:ind w:left="72"/>
              <w:rPr>
                <w:rFonts w:ascii="Times New Roman"/>
              </w:rPr>
            </w:pPr>
            <w:r>
              <w:rPr>
                <w:rFonts w:ascii="Times New Roman"/>
                <w:spacing w:val="-2"/>
              </w:rPr>
              <w:t>Address</w:t>
            </w:r>
            <w:r>
              <w:rPr>
                <w:rFonts w:ascii="Times New Roman"/>
                <w:spacing w:val="-8"/>
              </w:rPr>
              <w:t xml:space="preserve"> </w:t>
            </w:r>
            <w:r>
              <w:rPr>
                <w:rFonts w:ascii="Times New Roman"/>
                <w:spacing w:val="-2"/>
              </w:rPr>
              <w:t>of</w:t>
            </w:r>
            <w:r>
              <w:rPr>
                <w:rFonts w:ascii="Times New Roman"/>
                <w:spacing w:val="-4"/>
              </w:rPr>
              <w:t xml:space="preserve"> owner</w:t>
            </w:r>
          </w:p>
        </w:tc>
      </w:tr>
      <w:tr w:rsidR="007F6DF9">
        <w:trPr>
          <w:trHeight w:val="253"/>
        </w:trPr>
        <w:tc>
          <w:tcPr>
            <w:tcW w:w="1440" w:type="dxa"/>
            <w:vMerge/>
            <w:tcBorders>
              <w:top w:val="nil"/>
              <w:bottom w:val="single" w:sz="4" w:space="0" w:color="000000"/>
            </w:tcBorders>
          </w:tcPr>
          <w:p w:rsidR="007F6DF9" w:rsidRDefault="007F6DF9">
            <w:pPr>
              <w:rPr>
                <w:sz w:val="2"/>
                <w:szCs w:val="2"/>
              </w:rPr>
            </w:pPr>
          </w:p>
        </w:tc>
        <w:tc>
          <w:tcPr>
            <w:tcW w:w="3960" w:type="dxa"/>
          </w:tcPr>
          <w:p w:rsidR="007F6DF9" w:rsidRDefault="00A43FBC">
            <w:pPr>
              <w:pStyle w:val="TableParagraph"/>
              <w:spacing w:line="233" w:lineRule="exact"/>
              <w:ind w:left="72"/>
              <w:rPr>
                <w:rFonts w:ascii="Times New Roman"/>
              </w:rPr>
            </w:pPr>
            <w:r>
              <w:rPr>
                <w:rFonts w:ascii="Times New Roman"/>
                <w:spacing w:val="-2"/>
              </w:rPr>
              <w:t>Telephone</w:t>
            </w:r>
          </w:p>
        </w:tc>
        <w:tc>
          <w:tcPr>
            <w:tcW w:w="3692" w:type="dxa"/>
          </w:tcPr>
          <w:p w:rsidR="007F6DF9" w:rsidRDefault="00A43FBC">
            <w:pPr>
              <w:pStyle w:val="TableParagraph"/>
              <w:spacing w:line="233" w:lineRule="exact"/>
              <w:ind w:left="73"/>
              <w:rPr>
                <w:rFonts w:ascii="Times New Roman"/>
              </w:rPr>
            </w:pPr>
            <w:r>
              <w:rPr>
                <w:rFonts w:ascii="Times New Roman"/>
                <w:spacing w:val="-2"/>
              </w:rPr>
              <w:t>Contact</w:t>
            </w:r>
            <w:r>
              <w:rPr>
                <w:rFonts w:ascii="Times New Roman"/>
                <w:spacing w:val="-6"/>
              </w:rPr>
              <w:t xml:space="preserve"> </w:t>
            </w:r>
            <w:r>
              <w:rPr>
                <w:rFonts w:ascii="Times New Roman"/>
                <w:spacing w:val="-2"/>
              </w:rPr>
              <w:t>name</w:t>
            </w:r>
            <w:r>
              <w:rPr>
                <w:rFonts w:ascii="Times New Roman"/>
                <w:spacing w:val="-5"/>
              </w:rPr>
              <w:t xml:space="preserve"> </w:t>
            </w:r>
            <w:r>
              <w:rPr>
                <w:rFonts w:ascii="Times New Roman"/>
                <w:spacing w:val="-2"/>
              </w:rPr>
              <w:t>and</w:t>
            </w:r>
            <w:r>
              <w:rPr>
                <w:rFonts w:ascii="Times New Roman"/>
                <w:spacing w:val="-8"/>
              </w:rPr>
              <w:t xml:space="preserve"> </w:t>
            </w:r>
            <w:r>
              <w:rPr>
                <w:rFonts w:ascii="Times New Roman"/>
                <w:spacing w:val="-4"/>
              </w:rPr>
              <w:t>title</w:t>
            </w:r>
          </w:p>
        </w:tc>
      </w:tr>
      <w:tr w:rsidR="007F6DF9">
        <w:trPr>
          <w:trHeight w:val="254"/>
        </w:trPr>
        <w:tc>
          <w:tcPr>
            <w:tcW w:w="1440" w:type="dxa"/>
            <w:vMerge/>
            <w:tcBorders>
              <w:top w:val="nil"/>
              <w:bottom w:val="single" w:sz="4" w:space="0" w:color="000000"/>
            </w:tcBorders>
          </w:tcPr>
          <w:p w:rsidR="007F6DF9" w:rsidRDefault="007F6DF9">
            <w:pPr>
              <w:rPr>
                <w:sz w:val="2"/>
                <w:szCs w:val="2"/>
              </w:rPr>
            </w:pPr>
          </w:p>
        </w:tc>
        <w:tc>
          <w:tcPr>
            <w:tcW w:w="3960" w:type="dxa"/>
            <w:tcBorders>
              <w:bottom w:val="single" w:sz="4" w:space="0" w:color="000000"/>
            </w:tcBorders>
          </w:tcPr>
          <w:p w:rsidR="007F6DF9" w:rsidRDefault="00A43FBC">
            <w:pPr>
              <w:pStyle w:val="TableParagraph"/>
              <w:spacing w:line="234" w:lineRule="exact"/>
              <w:ind w:left="72"/>
              <w:rPr>
                <w:rFonts w:ascii="Times New Roman"/>
              </w:rPr>
            </w:pPr>
            <w:r>
              <w:rPr>
                <w:rFonts w:ascii="Times New Roman"/>
                <w:spacing w:val="-5"/>
              </w:rPr>
              <w:t>Fax</w:t>
            </w:r>
          </w:p>
        </w:tc>
        <w:tc>
          <w:tcPr>
            <w:tcW w:w="3692" w:type="dxa"/>
            <w:tcBorders>
              <w:bottom w:val="single" w:sz="4" w:space="0" w:color="000000"/>
            </w:tcBorders>
          </w:tcPr>
          <w:p w:rsidR="007F6DF9" w:rsidRDefault="00A43FBC">
            <w:pPr>
              <w:pStyle w:val="TableParagraph"/>
              <w:spacing w:line="234" w:lineRule="exact"/>
              <w:ind w:left="73"/>
              <w:rPr>
                <w:rFonts w:ascii="Times New Roman"/>
              </w:rPr>
            </w:pPr>
            <w:r>
              <w:rPr>
                <w:rFonts w:ascii="Times New Roman"/>
                <w:spacing w:val="-2"/>
              </w:rPr>
              <w:t>Telex</w:t>
            </w:r>
          </w:p>
        </w:tc>
      </w:tr>
      <w:tr w:rsidR="007F6DF9">
        <w:trPr>
          <w:trHeight w:val="505"/>
        </w:trPr>
        <w:tc>
          <w:tcPr>
            <w:tcW w:w="1440" w:type="dxa"/>
            <w:tcBorders>
              <w:top w:val="single" w:sz="4" w:space="0" w:color="000000"/>
              <w:left w:val="single" w:sz="4" w:space="0" w:color="000000"/>
              <w:bottom w:val="single" w:sz="4" w:space="0" w:color="000000"/>
              <w:right w:val="single" w:sz="4" w:space="0" w:color="000000"/>
            </w:tcBorders>
          </w:tcPr>
          <w:p w:rsidR="007F6DF9" w:rsidRDefault="00A43FBC">
            <w:pPr>
              <w:pStyle w:val="TableParagraph"/>
              <w:spacing w:line="251" w:lineRule="exact"/>
              <w:ind w:left="74"/>
              <w:rPr>
                <w:rFonts w:ascii="Times New Roman"/>
              </w:rPr>
            </w:pPr>
            <w:r>
              <w:rPr>
                <w:rFonts w:ascii="Times New Roman"/>
                <w:spacing w:val="-2"/>
              </w:rPr>
              <w:t>Agreements</w:t>
            </w:r>
          </w:p>
        </w:tc>
        <w:tc>
          <w:tcPr>
            <w:tcW w:w="7652" w:type="dxa"/>
            <w:gridSpan w:val="2"/>
            <w:tcBorders>
              <w:top w:val="single" w:sz="4" w:space="0" w:color="000000"/>
              <w:left w:val="single" w:sz="4" w:space="0" w:color="000000"/>
              <w:bottom w:val="single" w:sz="4" w:space="0" w:color="000000"/>
              <w:right w:val="single" w:sz="4" w:space="0" w:color="000000"/>
            </w:tcBorders>
          </w:tcPr>
          <w:p w:rsidR="007F6DF9" w:rsidRDefault="00A43FBC">
            <w:pPr>
              <w:pStyle w:val="TableParagraph"/>
              <w:spacing w:line="251" w:lineRule="exact"/>
              <w:ind w:left="74"/>
              <w:rPr>
                <w:rFonts w:ascii="Times New Roman"/>
              </w:rPr>
            </w:pPr>
            <w:r>
              <w:rPr>
                <w:rFonts w:ascii="Times New Roman"/>
                <w:spacing w:val="-2"/>
              </w:rPr>
              <w:t>Details</w:t>
            </w:r>
            <w:r>
              <w:rPr>
                <w:rFonts w:ascii="Times New Roman"/>
                <w:spacing w:val="-6"/>
              </w:rPr>
              <w:t xml:space="preserve"> </w:t>
            </w:r>
            <w:r>
              <w:rPr>
                <w:rFonts w:ascii="Times New Roman"/>
                <w:spacing w:val="-2"/>
              </w:rPr>
              <w:t>of</w:t>
            </w:r>
            <w:r>
              <w:rPr>
                <w:rFonts w:ascii="Times New Roman"/>
                <w:spacing w:val="-8"/>
              </w:rPr>
              <w:t xml:space="preserve"> </w:t>
            </w:r>
            <w:r>
              <w:rPr>
                <w:rFonts w:ascii="Times New Roman"/>
                <w:spacing w:val="-2"/>
              </w:rPr>
              <w:t>rental</w:t>
            </w:r>
            <w:r>
              <w:rPr>
                <w:rFonts w:ascii="Times New Roman"/>
                <w:spacing w:val="-5"/>
              </w:rPr>
              <w:t xml:space="preserve"> </w:t>
            </w:r>
            <w:r>
              <w:rPr>
                <w:rFonts w:ascii="Times New Roman"/>
                <w:spacing w:val="-2"/>
              </w:rPr>
              <w:t>/</w:t>
            </w:r>
            <w:r>
              <w:rPr>
                <w:rFonts w:ascii="Times New Roman"/>
                <w:spacing w:val="-4"/>
              </w:rPr>
              <w:t xml:space="preserve"> </w:t>
            </w:r>
            <w:r>
              <w:rPr>
                <w:rFonts w:ascii="Times New Roman"/>
                <w:spacing w:val="-2"/>
              </w:rPr>
              <w:t>lease</w:t>
            </w:r>
            <w:r>
              <w:rPr>
                <w:rFonts w:ascii="Times New Roman"/>
                <w:spacing w:val="-6"/>
              </w:rPr>
              <w:t xml:space="preserve"> </w:t>
            </w:r>
            <w:r>
              <w:rPr>
                <w:rFonts w:ascii="Times New Roman"/>
                <w:spacing w:val="-2"/>
              </w:rPr>
              <w:t>/</w:t>
            </w:r>
            <w:r>
              <w:rPr>
                <w:rFonts w:ascii="Times New Roman"/>
                <w:spacing w:val="-7"/>
              </w:rPr>
              <w:t xml:space="preserve"> </w:t>
            </w:r>
            <w:r>
              <w:rPr>
                <w:rFonts w:ascii="Times New Roman"/>
                <w:spacing w:val="-2"/>
              </w:rPr>
              <w:t>manufacture</w:t>
            </w:r>
            <w:r>
              <w:rPr>
                <w:rFonts w:ascii="Times New Roman"/>
                <w:spacing w:val="-5"/>
              </w:rPr>
              <w:t xml:space="preserve"> </w:t>
            </w:r>
            <w:r>
              <w:rPr>
                <w:rFonts w:ascii="Times New Roman"/>
                <w:spacing w:val="-2"/>
              </w:rPr>
              <w:t>agreements</w:t>
            </w:r>
            <w:r>
              <w:rPr>
                <w:rFonts w:ascii="Times New Roman"/>
                <w:spacing w:val="-5"/>
              </w:rPr>
              <w:t xml:space="preserve"> </w:t>
            </w:r>
            <w:r>
              <w:rPr>
                <w:rFonts w:ascii="Times New Roman"/>
                <w:spacing w:val="-2"/>
              </w:rPr>
              <w:t>specific</w:t>
            </w:r>
            <w:r>
              <w:rPr>
                <w:rFonts w:ascii="Times New Roman"/>
                <w:spacing w:val="-6"/>
              </w:rPr>
              <w:t xml:space="preserve"> </w:t>
            </w:r>
            <w:r>
              <w:rPr>
                <w:rFonts w:ascii="Times New Roman"/>
                <w:spacing w:val="-2"/>
              </w:rPr>
              <w:t>to</w:t>
            </w:r>
            <w:r>
              <w:rPr>
                <w:rFonts w:ascii="Times New Roman"/>
                <w:spacing w:val="-6"/>
              </w:rPr>
              <w:t xml:space="preserve"> </w:t>
            </w:r>
            <w:r>
              <w:rPr>
                <w:rFonts w:ascii="Times New Roman"/>
                <w:spacing w:val="-2"/>
              </w:rPr>
              <w:t>the</w:t>
            </w:r>
            <w:r>
              <w:rPr>
                <w:rFonts w:ascii="Times New Roman"/>
                <w:spacing w:val="-5"/>
              </w:rPr>
              <w:t xml:space="preserve"> </w:t>
            </w:r>
            <w:r>
              <w:rPr>
                <w:rFonts w:ascii="Times New Roman"/>
                <w:spacing w:val="-2"/>
              </w:rPr>
              <w:t>project</w:t>
            </w:r>
          </w:p>
        </w:tc>
      </w:tr>
      <w:tr w:rsidR="007F6DF9">
        <w:trPr>
          <w:trHeight w:val="251"/>
        </w:trPr>
        <w:tc>
          <w:tcPr>
            <w:tcW w:w="1440" w:type="dxa"/>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sz w:val="18"/>
              </w:rPr>
            </w:pPr>
          </w:p>
        </w:tc>
        <w:tc>
          <w:tcPr>
            <w:tcW w:w="7652" w:type="dxa"/>
            <w:gridSpan w:val="2"/>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sz w:val="18"/>
              </w:rPr>
            </w:pPr>
          </w:p>
        </w:tc>
      </w:tr>
      <w:tr w:rsidR="007F6DF9">
        <w:trPr>
          <w:trHeight w:val="253"/>
        </w:trPr>
        <w:tc>
          <w:tcPr>
            <w:tcW w:w="1440" w:type="dxa"/>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sz w:val="18"/>
              </w:rPr>
            </w:pPr>
          </w:p>
        </w:tc>
        <w:tc>
          <w:tcPr>
            <w:tcW w:w="7652" w:type="dxa"/>
            <w:gridSpan w:val="2"/>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headerReference w:type="default" r:id="rId28"/>
          <w:pgSz w:w="11920" w:h="16850"/>
          <w:pgMar w:top="0" w:right="283" w:bottom="620" w:left="141" w:header="0" w:footer="0" w:gutter="0"/>
          <w:cols w:space="720"/>
        </w:sectPr>
      </w:pPr>
    </w:p>
    <w:p w:rsidR="007F6DF9" w:rsidRDefault="007F6DF9">
      <w:pPr>
        <w:pStyle w:val="BodyText"/>
        <w:spacing w:before="200"/>
        <w:rPr>
          <w:sz w:val="24"/>
        </w:rPr>
      </w:pPr>
    </w:p>
    <w:p w:rsidR="007F6DF9" w:rsidRDefault="00A43FBC">
      <w:pPr>
        <w:pStyle w:val="Heading6"/>
        <w:numPr>
          <w:ilvl w:val="0"/>
          <w:numId w:val="166"/>
        </w:numPr>
        <w:tabs>
          <w:tab w:val="left" w:pos="1272"/>
        </w:tabs>
        <w:ind w:left="1272" w:hanging="566"/>
        <w:rPr>
          <w:color w:val="221F1F"/>
        </w:rPr>
      </w:pPr>
      <w:r>
        <w:rPr>
          <w:color w:val="221F1F"/>
          <w:u w:val="single" w:color="221F1F"/>
        </w:rPr>
        <w:t>FORM</w:t>
      </w:r>
      <w:r>
        <w:rPr>
          <w:color w:val="221F1F"/>
          <w:spacing w:val="-3"/>
          <w:u w:val="single" w:color="221F1F"/>
        </w:rPr>
        <w:t xml:space="preserve"> </w:t>
      </w:r>
      <w:r>
        <w:rPr>
          <w:color w:val="221F1F"/>
          <w:u w:val="single" w:color="221F1F"/>
        </w:rPr>
        <w:t>PER -</w:t>
      </w:r>
      <w:r>
        <w:rPr>
          <w:color w:val="221F1F"/>
          <w:spacing w:val="-10"/>
          <w:u w:val="single" w:color="221F1F"/>
        </w:rPr>
        <w:t>1</w:t>
      </w:r>
    </w:p>
    <w:p w:rsidR="007F6DF9" w:rsidRDefault="00A43FBC">
      <w:pPr>
        <w:pStyle w:val="Heading9"/>
        <w:spacing w:before="204"/>
        <w:ind w:left="703" w:firstLine="0"/>
        <w:jc w:val="both"/>
      </w:pPr>
      <w:r>
        <w:rPr>
          <w:color w:val="221F1F"/>
        </w:rPr>
        <w:t>Contractor's</w:t>
      </w:r>
      <w:r>
        <w:rPr>
          <w:color w:val="221F1F"/>
          <w:spacing w:val="-4"/>
        </w:rPr>
        <w:t xml:space="preserve"> </w:t>
      </w:r>
      <w:r>
        <w:rPr>
          <w:color w:val="221F1F"/>
        </w:rPr>
        <w:t>Representative</w:t>
      </w:r>
      <w:r>
        <w:rPr>
          <w:color w:val="221F1F"/>
          <w:spacing w:val="-4"/>
        </w:rPr>
        <w:t xml:space="preserve"> </w:t>
      </w:r>
      <w:r>
        <w:rPr>
          <w:color w:val="221F1F"/>
        </w:rPr>
        <w:t>and</w:t>
      </w:r>
      <w:r>
        <w:rPr>
          <w:color w:val="221F1F"/>
          <w:spacing w:val="-8"/>
        </w:rPr>
        <w:t xml:space="preserve"> </w:t>
      </w:r>
      <w:r>
        <w:rPr>
          <w:color w:val="221F1F"/>
        </w:rPr>
        <w:t>Key</w:t>
      </w:r>
      <w:r>
        <w:rPr>
          <w:color w:val="221F1F"/>
          <w:spacing w:val="-5"/>
        </w:rPr>
        <w:t xml:space="preserve"> </w:t>
      </w:r>
      <w:r>
        <w:rPr>
          <w:color w:val="221F1F"/>
        </w:rPr>
        <w:t>Personnel</w:t>
      </w:r>
      <w:r>
        <w:rPr>
          <w:color w:val="221F1F"/>
          <w:spacing w:val="-3"/>
        </w:rPr>
        <w:t xml:space="preserve"> </w:t>
      </w:r>
      <w:r>
        <w:rPr>
          <w:color w:val="221F1F"/>
          <w:spacing w:val="-2"/>
        </w:rPr>
        <w:t>Schedule</w:t>
      </w:r>
    </w:p>
    <w:p w:rsidR="007F6DF9" w:rsidRDefault="00A43FBC">
      <w:pPr>
        <w:pStyle w:val="BodyText"/>
        <w:spacing w:before="245" w:line="230" w:lineRule="auto"/>
        <w:ind w:left="706" w:right="561"/>
        <w:jc w:val="both"/>
      </w:pPr>
      <w:r>
        <w:rPr>
          <w:color w:val="221F1F"/>
        </w:rPr>
        <w:t>Tenderers should provide the names and details of the suitably qualified Contractor's Re presentative and Key Personnel</w:t>
      </w:r>
      <w:r>
        <w:rPr>
          <w:color w:val="221F1F"/>
          <w:spacing w:val="-5"/>
        </w:rPr>
        <w:t xml:space="preserve"> </w:t>
      </w:r>
      <w:r>
        <w:rPr>
          <w:color w:val="221F1F"/>
        </w:rPr>
        <w:t>to</w:t>
      </w:r>
      <w:r>
        <w:rPr>
          <w:color w:val="221F1F"/>
          <w:spacing w:val="-4"/>
        </w:rPr>
        <w:t xml:space="preserve"> </w:t>
      </w:r>
      <w:r>
        <w:rPr>
          <w:color w:val="221F1F"/>
        </w:rPr>
        <w:t>perform</w:t>
      </w:r>
      <w:r>
        <w:rPr>
          <w:color w:val="221F1F"/>
          <w:spacing w:val="-3"/>
        </w:rPr>
        <w:t xml:space="preserve"> </w:t>
      </w:r>
      <w:r>
        <w:rPr>
          <w:color w:val="221F1F"/>
        </w:rPr>
        <w:t>the</w:t>
      </w:r>
      <w:r>
        <w:rPr>
          <w:color w:val="221F1F"/>
          <w:spacing w:val="-3"/>
        </w:rPr>
        <w:t xml:space="preserve"> </w:t>
      </w:r>
      <w:r>
        <w:rPr>
          <w:color w:val="221F1F"/>
        </w:rPr>
        <w:t>Contract.</w:t>
      </w:r>
      <w:r>
        <w:rPr>
          <w:color w:val="221F1F"/>
          <w:spacing w:val="-4"/>
        </w:rPr>
        <w:t xml:space="preserve"> </w:t>
      </w:r>
      <w:r>
        <w:rPr>
          <w:color w:val="221F1F"/>
        </w:rPr>
        <w:t>The</w:t>
      </w:r>
      <w:r>
        <w:rPr>
          <w:color w:val="221F1F"/>
          <w:spacing w:val="-4"/>
        </w:rPr>
        <w:t xml:space="preserve"> </w:t>
      </w:r>
      <w:r>
        <w:rPr>
          <w:color w:val="221F1F"/>
        </w:rPr>
        <w:t>data</w:t>
      </w:r>
      <w:r>
        <w:rPr>
          <w:color w:val="221F1F"/>
          <w:spacing w:val="-3"/>
        </w:rPr>
        <w:t xml:space="preserve"> </w:t>
      </w:r>
      <w:r>
        <w:rPr>
          <w:color w:val="221F1F"/>
        </w:rPr>
        <w:t>on</w:t>
      </w:r>
      <w:r>
        <w:rPr>
          <w:color w:val="221F1F"/>
          <w:spacing w:val="-6"/>
        </w:rPr>
        <w:t xml:space="preserve"> </w:t>
      </w:r>
      <w:r>
        <w:rPr>
          <w:color w:val="221F1F"/>
        </w:rPr>
        <w:t>their</w:t>
      </w:r>
      <w:r>
        <w:rPr>
          <w:color w:val="221F1F"/>
          <w:spacing w:val="-3"/>
        </w:rPr>
        <w:t xml:space="preserve"> </w:t>
      </w:r>
      <w:r>
        <w:rPr>
          <w:color w:val="221F1F"/>
        </w:rPr>
        <w:t>experience</w:t>
      </w:r>
      <w:r>
        <w:rPr>
          <w:color w:val="221F1F"/>
          <w:spacing w:val="-3"/>
        </w:rPr>
        <w:t xml:space="preserve"> </w:t>
      </w:r>
      <w:r>
        <w:rPr>
          <w:color w:val="221F1F"/>
        </w:rPr>
        <w:t>should</w:t>
      </w:r>
      <w:r>
        <w:rPr>
          <w:color w:val="221F1F"/>
          <w:spacing w:val="-4"/>
        </w:rPr>
        <w:t xml:space="preserve"> </w:t>
      </w:r>
      <w:r>
        <w:rPr>
          <w:color w:val="221F1F"/>
        </w:rPr>
        <w:t>be</w:t>
      </w:r>
      <w:r>
        <w:rPr>
          <w:color w:val="221F1F"/>
          <w:spacing w:val="-6"/>
        </w:rPr>
        <w:t xml:space="preserve"> </w:t>
      </w:r>
      <w:r>
        <w:rPr>
          <w:color w:val="221F1F"/>
        </w:rPr>
        <w:t>supplied</w:t>
      </w:r>
      <w:r>
        <w:rPr>
          <w:color w:val="221F1F"/>
          <w:spacing w:val="-4"/>
        </w:rPr>
        <w:t xml:space="preserve"> </w:t>
      </w:r>
      <w:r>
        <w:rPr>
          <w:color w:val="221F1F"/>
        </w:rPr>
        <w:t>using</w:t>
      </w:r>
      <w:r>
        <w:rPr>
          <w:color w:val="221F1F"/>
          <w:spacing w:val="-6"/>
        </w:rPr>
        <w:t xml:space="preserve"> </w:t>
      </w:r>
      <w:r>
        <w:rPr>
          <w:color w:val="221F1F"/>
        </w:rPr>
        <w:t>the</w:t>
      </w:r>
      <w:r>
        <w:rPr>
          <w:color w:val="221F1F"/>
          <w:spacing w:val="-3"/>
        </w:rPr>
        <w:t xml:space="preserve"> </w:t>
      </w:r>
      <w:r>
        <w:rPr>
          <w:color w:val="221F1F"/>
        </w:rPr>
        <w:t>Form</w:t>
      </w:r>
      <w:r>
        <w:rPr>
          <w:color w:val="221F1F"/>
          <w:spacing w:val="-3"/>
        </w:rPr>
        <w:t xml:space="preserve"> </w:t>
      </w:r>
      <w:r>
        <w:rPr>
          <w:color w:val="221F1F"/>
        </w:rPr>
        <w:t>PER-2</w:t>
      </w:r>
      <w:r>
        <w:rPr>
          <w:color w:val="221F1F"/>
          <w:spacing w:val="-4"/>
        </w:rPr>
        <w:t xml:space="preserve"> </w:t>
      </w:r>
      <w:r>
        <w:rPr>
          <w:color w:val="221F1F"/>
        </w:rPr>
        <w:t>below</w:t>
      </w:r>
      <w:r>
        <w:rPr>
          <w:color w:val="221F1F"/>
          <w:spacing w:val="-5"/>
        </w:rPr>
        <w:t xml:space="preserve"> </w:t>
      </w:r>
      <w:r>
        <w:rPr>
          <w:color w:val="221F1F"/>
        </w:rPr>
        <w:t>for each candidate.</w:t>
      </w:r>
    </w:p>
    <w:p w:rsidR="007F6DF9" w:rsidRDefault="00A43FBC">
      <w:pPr>
        <w:pStyle w:val="Heading9"/>
        <w:spacing w:before="235"/>
        <w:ind w:left="706" w:firstLine="0"/>
        <w:jc w:val="both"/>
      </w:pPr>
      <w:r>
        <w:rPr>
          <w:color w:val="221F1F"/>
        </w:rPr>
        <w:t>Contractor'</w:t>
      </w:r>
      <w:r>
        <w:rPr>
          <w:color w:val="221F1F"/>
          <w:spacing w:val="-6"/>
        </w:rPr>
        <w:t xml:space="preserve"> </w:t>
      </w:r>
      <w:r>
        <w:rPr>
          <w:color w:val="221F1F"/>
        </w:rPr>
        <w:t>Representative</w:t>
      </w:r>
      <w:r>
        <w:rPr>
          <w:color w:val="221F1F"/>
          <w:spacing w:val="-4"/>
        </w:rPr>
        <w:t xml:space="preserve"> </w:t>
      </w:r>
      <w:r>
        <w:rPr>
          <w:color w:val="221F1F"/>
        </w:rPr>
        <w:t>and</w:t>
      </w:r>
      <w:r>
        <w:rPr>
          <w:color w:val="221F1F"/>
          <w:spacing w:val="-7"/>
        </w:rPr>
        <w:t xml:space="preserve"> </w:t>
      </w:r>
      <w:r>
        <w:rPr>
          <w:color w:val="221F1F"/>
        </w:rPr>
        <w:t>Key</w:t>
      </w:r>
      <w:r>
        <w:rPr>
          <w:color w:val="221F1F"/>
          <w:spacing w:val="-4"/>
        </w:rPr>
        <w:t xml:space="preserve"> </w:t>
      </w:r>
      <w:r>
        <w:rPr>
          <w:color w:val="221F1F"/>
          <w:spacing w:val="-2"/>
        </w:rPr>
        <w:t>Personnel</w:t>
      </w:r>
    </w:p>
    <w:p w:rsidR="007F6DF9" w:rsidRDefault="007F6DF9">
      <w:pPr>
        <w:pStyle w:val="BodyText"/>
        <w:spacing w:before="25"/>
        <w:rPr>
          <w:b/>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2532"/>
        <w:gridCol w:w="7020"/>
      </w:tblGrid>
      <w:tr w:rsidR="007F6DF9">
        <w:trPr>
          <w:trHeight w:val="251"/>
        </w:trPr>
        <w:tc>
          <w:tcPr>
            <w:tcW w:w="720" w:type="dxa"/>
            <w:vMerge w:val="restart"/>
          </w:tcPr>
          <w:p w:rsidR="007F6DF9" w:rsidRDefault="00A43FBC">
            <w:pPr>
              <w:pStyle w:val="TableParagraph"/>
              <w:spacing w:line="251" w:lineRule="exact"/>
              <w:ind w:left="71"/>
              <w:rPr>
                <w:rFonts w:ascii="Times New Roman"/>
                <w:b/>
              </w:rPr>
            </w:pPr>
            <w:r>
              <w:rPr>
                <w:rFonts w:ascii="Times New Roman"/>
                <w:b/>
                <w:spacing w:val="-5"/>
              </w:rPr>
              <w:t>1.</w:t>
            </w:r>
          </w:p>
        </w:tc>
        <w:tc>
          <w:tcPr>
            <w:tcW w:w="9552" w:type="dxa"/>
            <w:gridSpan w:val="2"/>
          </w:tcPr>
          <w:p w:rsidR="007F6DF9" w:rsidRDefault="00A43FBC">
            <w:pPr>
              <w:pStyle w:val="TableParagraph"/>
              <w:spacing w:line="231" w:lineRule="exact"/>
              <w:ind w:left="72"/>
              <w:rPr>
                <w:rFonts w:ascii="Times New Roman" w:hAnsi="Times New Roman"/>
              </w:rPr>
            </w:pPr>
            <w:r>
              <w:rPr>
                <w:rFonts w:ascii="Times New Roman" w:hAnsi="Times New Roman"/>
                <w:b/>
                <w:spacing w:val="-2"/>
              </w:rPr>
              <w:t>Title</w:t>
            </w:r>
            <w:r>
              <w:rPr>
                <w:rFonts w:ascii="Times New Roman" w:hAnsi="Times New Roman"/>
                <w:b/>
                <w:spacing w:val="-8"/>
              </w:rPr>
              <w:t xml:space="preserve"> </w:t>
            </w:r>
            <w:r>
              <w:rPr>
                <w:rFonts w:ascii="Times New Roman" w:hAnsi="Times New Roman"/>
                <w:b/>
                <w:spacing w:val="-2"/>
              </w:rPr>
              <w:t>of</w:t>
            </w:r>
            <w:r>
              <w:rPr>
                <w:rFonts w:ascii="Times New Roman" w:hAnsi="Times New Roman"/>
                <w:b/>
                <w:spacing w:val="-6"/>
              </w:rPr>
              <w:t xml:space="preserve"> </w:t>
            </w:r>
            <w:r>
              <w:rPr>
                <w:rFonts w:ascii="Times New Roman" w:hAnsi="Times New Roman"/>
                <w:b/>
                <w:spacing w:val="-2"/>
              </w:rPr>
              <w:t>position:</w:t>
            </w:r>
            <w:r>
              <w:rPr>
                <w:rFonts w:ascii="Times New Roman" w:hAnsi="Times New Roman"/>
                <w:b/>
                <w:spacing w:val="-7"/>
              </w:rPr>
              <w:t xml:space="preserve"> </w:t>
            </w:r>
            <w:r>
              <w:rPr>
                <w:rFonts w:ascii="Times New Roman" w:hAnsi="Times New Roman"/>
                <w:spacing w:val="-2"/>
              </w:rPr>
              <w:t>Contractor’s</w:t>
            </w:r>
            <w:r>
              <w:rPr>
                <w:rFonts w:ascii="Times New Roman" w:hAnsi="Times New Roman"/>
                <w:spacing w:val="-7"/>
              </w:rPr>
              <w:t xml:space="preserve"> </w:t>
            </w:r>
            <w:r>
              <w:rPr>
                <w:rFonts w:ascii="Times New Roman" w:hAnsi="Times New Roman"/>
                <w:spacing w:val="-2"/>
              </w:rPr>
              <w:t>Representative</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3"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4"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4"/>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49" w:lineRule="exact"/>
              <w:ind w:left="72"/>
              <w:rPr>
                <w:rFonts w:ascii="Times New Roman"/>
                <w:b/>
              </w:rPr>
            </w:pPr>
            <w:r>
              <w:rPr>
                <w:rFonts w:ascii="Times New Roman"/>
                <w:b/>
              </w:rPr>
              <w:t>Time</w:t>
            </w:r>
            <w:r>
              <w:rPr>
                <w:rFonts w:ascii="Times New Roman"/>
                <w:b/>
                <w:spacing w:val="-9"/>
              </w:rPr>
              <w:t xml:space="preserve"> </w:t>
            </w:r>
            <w:r>
              <w:rPr>
                <w:rFonts w:ascii="Times New Roman"/>
                <w:b/>
              </w:rPr>
              <w:t>commitment:</w:t>
            </w:r>
            <w:r>
              <w:rPr>
                <w:rFonts w:ascii="Times New Roman"/>
                <w:b/>
                <w:spacing w:val="-7"/>
              </w:rPr>
              <w:t xml:space="preserve"> </w:t>
            </w:r>
            <w:r>
              <w:rPr>
                <w:rFonts w:ascii="Times New Roman"/>
                <w:b/>
                <w:spacing w:val="-5"/>
              </w:rPr>
              <w:t>for</w:t>
            </w:r>
          </w:p>
          <w:p w:rsidR="007F6DF9" w:rsidRDefault="00A43FBC">
            <w:pPr>
              <w:pStyle w:val="TableParagraph"/>
              <w:spacing w:before="1" w:line="234" w:lineRule="exact"/>
              <w:ind w:left="72"/>
              <w:rPr>
                <w:rFonts w:ascii="Times New Roman"/>
                <w:b/>
              </w:rPr>
            </w:pPr>
            <w:r>
              <w:rPr>
                <w:rFonts w:ascii="Times New Roman"/>
                <w:b/>
              </w:rPr>
              <w:t>this</w:t>
            </w:r>
            <w:r>
              <w:rPr>
                <w:rFonts w:ascii="Times New Roman"/>
                <w:b/>
                <w:spacing w:val="1"/>
              </w:rPr>
              <w:t xml:space="preserve"> </w:t>
            </w:r>
            <w:r>
              <w:rPr>
                <w:rFonts w:ascii="Times New Roman"/>
                <w:b/>
                <w:spacing w:val="-2"/>
              </w:rPr>
              <w:t>position:</w:t>
            </w:r>
          </w:p>
        </w:tc>
        <w:tc>
          <w:tcPr>
            <w:tcW w:w="7020" w:type="dxa"/>
          </w:tcPr>
          <w:p w:rsidR="007F6DF9" w:rsidRDefault="00A43FBC">
            <w:pPr>
              <w:pStyle w:val="TableParagraph"/>
              <w:spacing w:line="249" w:lineRule="exact"/>
              <w:ind w:left="70"/>
              <w:rPr>
                <w:rFonts w:ascii="Times New Roman"/>
                <w:i/>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5"/>
              </w:rPr>
              <w:t xml:space="preserve"> </w:t>
            </w:r>
            <w:r>
              <w:rPr>
                <w:rFonts w:ascii="Times New Roman"/>
                <w:i/>
              </w:rPr>
              <w:t>that</w:t>
            </w:r>
            <w:r>
              <w:rPr>
                <w:rFonts w:ascii="Times New Roman"/>
                <w:i/>
                <w:spacing w:val="-5"/>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spacing w:val="-4"/>
              </w:rPr>
              <w:t>this</w:t>
            </w:r>
          </w:p>
          <w:p w:rsidR="007F6DF9" w:rsidRDefault="00A43FBC">
            <w:pPr>
              <w:pStyle w:val="TableParagraph"/>
              <w:spacing w:before="1" w:line="234" w:lineRule="exact"/>
              <w:ind w:left="70"/>
              <w:rPr>
                <w:rFonts w:ascii="Times New Roman"/>
              </w:rPr>
            </w:pPr>
            <w:r>
              <w:rPr>
                <w:rFonts w:ascii="Times New Roman"/>
                <w:i/>
                <w:spacing w:val="-2"/>
              </w:rPr>
              <w:t>position</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4"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r w:rsidR="007F6DF9">
        <w:trPr>
          <w:trHeight w:val="251"/>
        </w:trPr>
        <w:tc>
          <w:tcPr>
            <w:tcW w:w="720" w:type="dxa"/>
            <w:vMerge w:val="restart"/>
          </w:tcPr>
          <w:p w:rsidR="007F6DF9" w:rsidRDefault="00A43FBC">
            <w:pPr>
              <w:pStyle w:val="TableParagraph"/>
              <w:spacing w:line="249" w:lineRule="exact"/>
              <w:ind w:left="71"/>
              <w:rPr>
                <w:rFonts w:ascii="Times New Roman"/>
                <w:b/>
              </w:rPr>
            </w:pPr>
            <w:r>
              <w:rPr>
                <w:rFonts w:ascii="Times New Roman"/>
                <w:b/>
                <w:spacing w:val="-5"/>
              </w:rPr>
              <w:t>2.</w:t>
            </w:r>
          </w:p>
        </w:tc>
        <w:tc>
          <w:tcPr>
            <w:tcW w:w="9552" w:type="dxa"/>
            <w:gridSpan w:val="2"/>
            <w:tcBorders>
              <w:bottom w:val="nil"/>
            </w:tcBorders>
          </w:tcPr>
          <w:p w:rsidR="007F6DF9" w:rsidRDefault="00A43FBC">
            <w:pPr>
              <w:pStyle w:val="TableParagraph"/>
              <w:tabs>
                <w:tab w:val="left" w:pos="4100"/>
              </w:tabs>
              <w:spacing w:line="232" w:lineRule="exact"/>
              <w:ind w:left="72"/>
              <w:rPr>
                <w:rFonts w:ascii="Times New Roman"/>
                <w:i/>
              </w:rPr>
            </w:pPr>
            <w:r>
              <w:rPr>
                <w:rFonts w:ascii="Times New Roman"/>
                <w:b/>
                <w:spacing w:val="-2"/>
              </w:rPr>
              <w:t>Title</w:t>
            </w:r>
            <w:r>
              <w:rPr>
                <w:rFonts w:ascii="Times New Roman"/>
                <w:b/>
                <w:spacing w:val="-8"/>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5"/>
              </w:rPr>
              <w:t xml:space="preserve"> </w:t>
            </w:r>
            <w:r>
              <w:rPr>
                <w:rFonts w:ascii="Times New Roman"/>
                <w:i/>
                <w:spacing w:val="-10"/>
              </w:rPr>
              <w:t>[</w:t>
            </w:r>
            <w:r>
              <w:rPr>
                <w:rFonts w:ascii="Times New Roman"/>
                <w:i/>
              </w:rPr>
              <w:tab/>
            </w:r>
            <w:r>
              <w:rPr>
                <w:rFonts w:ascii="Times New Roman"/>
                <w:i/>
                <w:spacing w:val="-10"/>
              </w:rPr>
              <w:t>]</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4"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2"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Time</w:t>
            </w:r>
            <w:r>
              <w:rPr>
                <w:rFonts w:ascii="Times New Roman"/>
                <w:b/>
                <w:spacing w:val="-14"/>
              </w:rPr>
              <w:t xml:space="preserve"> </w:t>
            </w:r>
            <w:r>
              <w:rPr>
                <w:rFonts w:ascii="Times New Roman"/>
                <w:b/>
              </w:rPr>
              <w:t>commitment:</w:t>
            </w:r>
            <w:r>
              <w:rPr>
                <w:rFonts w:ascii="Times New Roman"/>
                <w:b/>
                <w:spacing w:val="-14"/>
              </w:rPr>
              <w:t xml:space="preserve"> </w:t>
            </w:r>
            <w:r>
              <w:rPr>
                <w:rFonts w:ascii="Times New Roman"/>
                <w:b/>
              </w:rPr>
              <w:t>for this position:</w:t>
            </w:r>
          </w:p>
        </w:tc>
        <w:tc>
          <w:tcPr>
            <w:tcW w:w="7020" w:type="dxa"/>
          </w:tcPr>
          <w:p w:rsidR="007F6DF9" w:rsidRDefault="00A43FBC">
            <w:pPr>
              <w:pStyle w:val="TableParagraph"/>
              <w:spacing w:line="252" w:lineRule="exact"/>
              <w:ind w:left="70"/>
              <w:rPr>
                <w:rFonts w:ascii="Times New Roman"/>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4"/>
              </w:rPr>
              <w:t xml:space="preserve"> </w:t>
            </w:r>
            <w:r>
              <w:rPr>
                <w:rFonts w:ascii="Times New Roman"/>
                <w:i/>
              </w:rPr>
              <w:t>number</w:t>
            </w:r>
            <w:r>
              <w:rPr>
                <w:rFonts w:ascii="Times New Roman"/>
                <w:i/>
                <w:spacing w:val="-4"/>
              </w:rPr>
              <w:t xml:space="preserve"> </w:t>
            </w:r>
            <w:r>
              <w:rPr>
                <w:rFonts w:ascii="Times New Roman"/>
                <w:i/>
              </w:rPr>
              <w:t>of</w:t>
            </w:r>
            <w:r>
              <w:rPr>
                <w:rFonts w:ascii="Times New Roman"/>
                <w:i/>
                <w:spacing w:val="-3"/>
              </w:rPr>
              <w:t xml:space="preserve"> </w:t>
            </w:r>
            <w:r>
              <w:rPr>
                <w:rFonts w:ascii="Times New Roman"/>
                <w:i/>
              </w:rPr>
              <w:t>days/week/months/</w:t>
            </w:r>
            <w:r>
              <w:rPr>
                <w:rFonts w:ascii="Times New Roman"/>
                <w:i/>
                <w:spacing w:val="-6"/>
              </w:rPr>
              <w:t xml:space="preserve"> </w:t>
            </w:r>
            <w:r>
              <w:rPr>
                <w:rFonts w:ascii="Times New Roman"/>
                <w:i/>
              </w:rPr>
              <w:t>that</w:t>
            </w:r>
            <w:r>
              <w:rPr>
                <w:rFonts w:ascii="Times New Roman"/>
                <w:i/>
                <w:spacing w:val="-6"/>
              </w:rPr>
              <w:t xml:space="preserve"> </w:t>
            </w:r>
            <w:r>
              <w:rPr>
                <w:rFonts w:ascii="Times New Roman"/>
                <w:i/>
              </w:rPr>
              <w:t>has</w:t>
            </w:r>
            <w:r>
              <w:rPr>
                <w:rFonts w:ascii="Times New Roman"/>
                <w:i/>
                <w:spacing w:val="-4"/>
              </w:rPr>
              <w:t xml:space="preserve"> </w:t>
            </w:r>
            <w:r>
              <w:rPr>
                <w:rFonts w:ascii="Times New Roman"/>
                <w:i/>
              </w:rPr>
              <w:t>been</w:t>
            </w:r>
            <w:r>
              <w:rPr>
                <w:rFonts w:ascii="Times New Roman"/>
                <w:i/>
                <w:spacing w:val="-7"/>
              </w:rPr>
              <w:t xml:space="preserve"> </w:t>
            </w:r>
            <w:r>
              <w:rPr>
                <w:rFonts w:ascii="Times New Roman"/>
                <w:i/>
              </w:rPr>
              <w:t>scheduled</w:t>
            </w:r>
            <w:r>
              <w:rPr>
                <w:rFonts w:ascii="Times New Roman"/>
                <w:i/>
                <w:spacing w:val="-4"/>
              </w:rPr>
              <w:t xml:space="preserve"> </w:t>
            </w:r>
            <w:r>
              <w:rPr>
                <w:rFonts w:ascii="Times New Roman"/>
                <w:i/>
              </w:rPr>
              <w:t>for</w:t>
            </w:r>
            <w:r>
              <w:rPr>
                <w:rFonts w:ascii="Times New Roman"/>
                <w:i/>
                <w:spacing w:val="-4"/>
              </w:rPr>
              <w:t xml:space="preserve"> </w:t>
            </w:r>
            <w:r>
              <w:rPr>
                <w:rFonts w:ascii="Times New Roman"/>
                <w:i/>
              </w:rPr>
              <w:t xml:space="preserve">this </w:t>
            </w:r>
            <w:r>
              <w:rPr>
                <w:rFonts w:ascii="Times New Roman"/>
                <w:i/>
                <w:spacing w:val="-2"/>
              </w:rPr>
              <w:t>position</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2"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r w:rsidR="007F6DF9">
        <w:trPr>
          <w:trHeight w:val="251"/>
        </w:trPr>
        <w:tc>
          <w:tcPr>
            <w:tcW w:w="720" w:type="dxa"/>
            <w:vMerge w:val="restart"/>
          </w:tcPr>
          <w:p w:rsidR="007F6DF9" w:rsidRDefault="00A43FBC">
            <w:pPr>
              <w:pStyle w:val="TableParagraph"/>
              <w:spacing w:line="251" w:lineRule="exact"/>
              <w:ind w:left="71"/>
              <w:rPr>
                <w:rFonts w:ascii="Times New Roman"/>
                <w:b/>
              </w:rPr>
            </w:pPr>
            <w:r>
              <w:rPr>
                <w:rFonts w:ascii="Times New Roman"/>
                <w:b/>
                <w:spacing w:val="-5"/>
              </w:rPr>
              <w:t>3.</w:t>
            </w:r>
          </w:p>
        </w:tc>
        <w:tc>
          <w:tcPr>
            <w:tcW w:w="9552" w:type="dxa"/>
            <w:gridSpan w:val="2"/>
            <w:tcBorders>
              <w:bottom w:val="nil"/>
            </w:tcBorders>
          </w:tcPr>
          <w:p w:rsidR="007F6DF9" w:rsidRDefault="00A43FBC">
            <w:pPr>
              <w:pStyle w:val="TableParagraph"/>
              <w:tabs>
                <w:tab w:val="left" w:pos="4100"/>
              </w:tabs>
              <w:spacing w:line="231" w:lineRule="exact"/>
              <w:ind w:left="72"/>
              <w:rPr>
                <w:rFonts w:ascii="Times New Roman"/>
                <w:i/>
              </w:rPr>
            </w:pPr>
            <w:r>
              <w:rPr>
                <w:rFonts w:ascii="Times New Roman"/>
                <w:b/>
                <w:spacing w:val="-2"/>
              </w:rPr>
              <w:t>Title</w:t>
            </w:r>
            <w:r>
              <w:rPr>
                <w:rFonts w:ascii="Times New Roman"/>
                <w:b/>
                <w:spacing w:val="-8"/>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5"/>
              </w:rPr>
              <w:t xml:space="preserve"> </w:t>
            </w:r>
            <w:r>
              <w:rPr>
                <w:rFonts w:ascii="Times New Roman"/>
                <w:i/>
                <w:spacing w:val="-10"/>
              </w:rPr>
              <w:t>[</w:t>
            </w:r>
            <w:r>
              <w:rPr>
                <w:rFonts w:ascii="Times New Roman"/>
                <w:i/>
              </w:rPr>
              <w:tab/>
            </w:r>
            <w:r>
              <w:rPr>
                <w:rFonts w:ascii="Times New Roman"/>
                <w:i/>
                <w:spacing w:val="-10"/>
              </w:rPr>
              <w:t>]</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3"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6"/>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4"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3"/>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49" w:lineRule="exact"/>
              <w:ind w:left="72"/>
              <w:rPr>
                <w:rFonts w:ascii="Times New Roman"/>
                <w:b/>
              </w:rPr>
            </w:pPr>
            <w:r>
              <w:rPr>
                <w:rFonts w:ascii="Times New Roman"/>
                <w:b/>
              </w:rPr>
              <w:t>Time</w:t>
            </w:r>
            <w:r>
              <w:rPr>
                <w:rFonts w:ascii="Times New Roman"/>
                <w:b/>
                <w:spacing w:val="-9"/>
              </w:rPr>
              <w:t xml:space="preserve"> </w:t>
            </w:r>
            <w:r>
              <w:rPr>
                <w:rFonts w:ascii="Times New Roman"/>
                <w:b/>
              </w:rPr>
              <w:t>commitment:</w:t>
            </w:r>
            <w:r>
              <w:rPr>
                <w:rFonts w:ascii="Times New Roman"/>
                <w:b/>
                <w:spacing w:val="-7"/>
              </w:rPr>
              <w:t xml:space="preserve"> </w:t>
            </w:r>
            <w:r>
              <w:rPr>
                <w:rFonts w:ascii="Times New Roman"/>
                <w:b/>
                <w:spacing w:val="-5"/>
              </w:rPr>
              <w:t>for</w:t>
            </w:r>
          </w:p>
          <w:p w:rsidR="007F6DF9" w:rsidRDefault="00A43FBC">
            <w:pPr>
              <w:pStyle w:val="TableParagraph"/>
              <w:spacing w:before="1" w:line="233" w:lineRule="exact"/>
              <w:ind w:left="72"/>
              <w:rPr>
                <w:rFonts w:ascii="Times New Roman"/>
                <w:b/>
              </w:rPr>
            </w:pPr>
            <w:r>
              <w:rPr>
                <w:rFonts w:ascii="Times New Roman"/>
                <w:b/>
              </w:rPr>
              <w:t>this</w:t>
            </w:r>
            <w:r>
              <w:rPr>
                <w:rFonts w:ascii="Times New Roman"/>
                <w:b/>
                <w:spacing w:val="1"/>
              </w:rPr>
              <w:t xml:space="preserve"> </w:t>
            </w:r>
            <w:r>
              <w:rPr>
                <w:rFonts w:ascii="Times New Roman"/>
                <w:b/>
                <w:spacing w:val="-2"/>
              </w:rPr>
              <w:t>position:</w:t>
            </w:r>
          </w:p>
        </w:tc>
        <w:tc>
          <w:tcPr>
            <w:tcW w:w="7020" w:type="dxa"/>
          </w:tcPr>
          <w:p w:rsidR="007F6DF9" w:rsidRDefault="00A43FBC">
            <w:pPr>
              <w:pStyle w:val="TableParagraph"/>
              <w:spacing w:line="249" w:lineRule="exact"/>
              <w:ind w:left="70"/>
              <w:rPr>
                <w:rFonts w:ascii="Times New Roman"/>
                <w:i/>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5"/>
              </w:rPr>
              <w:t xml:space="preserve"> </w:t>
            </w:r>
            <w:r>
              <w:rPr>
                <w:rFonts w:ascii="Times New Roman"/>
                <w:i/>
              </w:rPr>
              <w:t>that</w:t>
            </w:r>
            <w:r>
              <w:rPr>
                <w:rFonts w:ascii="Times New Roman"/>
                <w:i/>
                <w:spacing w:val="-5"/>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spacing w:val="-4"/>
              </w:rPr>
              <w:t>this</w:t>
            </w:r>
          </w:p>
          <w:p w:rsidR="007F6DF9" w:rsidRDefault="00A43FBC">
            <w:pPr>
              <w:pStyle w:val="TableParagraph"/>
              <w:spacing w:before="1" w:line="233" w:lineRule="exact"/>
              <w:ind w:left="70"/>
              <w:rPr>
                <w:rFonts w:ascii="Times New Roman"/>
              </w:rPr>
            </w:pPr>
            <w:r>
              <w:rPr>
                <w:rFonts w:ascii="Times New Roman"/>
                <w:i/>
                <w:spacing w:val="-2"/>
              </w:rPr>
              <w:t>position</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4"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r w:rsidR="007F6DF9">
        <w:trPr>
          <w:trHeight w:val="251"/>
        </w:trPr>
        <w:tc>
          <w:tcPr>
            <w:tcW w:w="720" w:type="dxa"/>
            <w:vMerge w:val="restart"/>
          </w:tcPr>
          <w:p w:rsidR="007F6DF9" w:rsidRDefault="00A43FBC">
            <w:pPr>
              <w:pStyle w:val="TableParagraph"/>
              <w:spacing w:line="249" w:lineRule="exact"/>
              <w:ind w:left="71"/>
              <w:rPr>
                <w:rFonts w:ascii="Times New Roman"/>
                <w:b/>
              </w:rPr>
            </w:pPr>
            <w:r>
              <w:rPr>
                <w:rFonts w:ascii="Times New Roman"/>
                <w:b/>
                <w:spacing w:val="-5"/>
              </w:rPr>
              <w:t>4.</w:t>
            </w:r>
          </w:p>
        </w:tc>
        <w:tc>
          <w:tcPr>
            <w:tcW w:w="9552" w:type="dxa"/>
            <w:gridSpan w:val="2"/>
            <w:tcBorders>
              <w:bottom w:val="nil"/>
            </w:tcBorders>
          </w:tcPr>
          <w:p w:rsidR="007F6DF9" w:rsidRDefault="00A43FBC">
            <w:pPr>
              <w:pStyle w:val="TableParagraph"/>
              <w:tabs>
                <w:tab w:val="left" w:pos="4100"/>
              </w:tabs>
              <w:spacing w:line="232" w:lineRule="exact"/>
              <w:ind w:left="72"/>
              <w:rPr>
                <w:rFonts w:ascii="Times New Roman"/>
                <w:i/>
              </w:rPr>
            </w:pPr>
            <w:r>
              <w:rPr>
                <w:rFonts w:ascii="Times New Roman"/>
                <w:b/>
                <w:spacing w:val="-2"/>
              </w:rPr>
              <w:t>Title</w:t>
            </w:r>
            <w:r>
              <w:rPr>
                <w:rFonts w:ascii="Times New Roman"/>
                <w:b/>
                <w:spacing w:val="-8"/>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5"/>
              </w:rPr>
              <w:t xml:space="preserve"> </w:t>
            </w:r>
            <w:r>
              <w:rPr>
                <w:rFonts w:ascii="Times New Roman"/>
                <w:i/>
                <w:spacing w:val="-10"/>
              </w:rPr>
              <w:t>[</w:t>
            </w:r>
            <w:r>
              <w:rPr>
                <w:rFonts w:ascii="Times New Roman"/>
                <w:i/>
              </w:rPr>
              <w:tab/>
            </w:r>
            <w:r>
              <w:rPr>
                <w:rFonts w:ascii="Times New Roman"/>
                <w:i/>
                <w:spacing w:val="-10"/>
              </w:rPr>
              <w:t>]</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4"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2"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Time</w:t>
            </w:r>
            <w:r>
              <w:rPr>
                <w:rFonts w:ascii="Times New Roman"/>
                <w:b/>
                <w:spacing w:val="-14"/>
              </w:rPr>
              <w:t xml:space="preserve"> </w:t>
            </w:r>
            <w:r>
              <w:rPr>
                <w:rFonts w:ascii="Times New Roman"/>
                <w:b/>
              </w:rPr>
              <w:t>commitment:</w:t>
            </w:r>
            <w:r>
              <w:rPr>
                <w:rFonts w:ascii="Times New Roman"/>
                <w:b/>
                <w:spacing w:val="-14"/>
              </w:rPr>
              <w:t xml:space="preserve"> </w:t>
            </w:r>
            <w:r>
              <w:rPr>
                <w:rFonts w:ascii="Times New Roman"/>
                <w:b/>
              </w:rPr>
              <w:t>for this position:</w:t>
            </w:r>
          </w:p>
        </w:tc>
        <w:tc>
          <w:tcPr>
            <w:tcW w:w="7020" w:type="dxa"/>
          </w:tcPr>
          <w:p w:rsidR="007F6DF9" w:rsidRDefault="00A43FBC">
            <w:pPr>
              <w:pStyle w:val="TableParagraph"/>
              <w:spacing w:line="252" w:lineRule="exact"/>
              <w:ind w:left="70"/>
              <w:rPr>
                <w:rFonts w:ascii="Times New Roman"/>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4"/>
              </w:rPr>
              <w:t xml:space="preserve"> </w:t>
            </w:r>
            <w:r>
              <w:rPr>
                <w:rFonts w:ascii="Times New Roman"/>
                <w:i/>
              </w:rPr>
              <w:t>number</w:t>
            </w:r>
            <w:r>
              <w:rPr>
                <w:rFonts w:ascii="Times New Roman"/>
                <w:i/>
                <w:spacing w:val="-4"/>
              </w:rPr>
              <w:t xml:space="preserve"> </w:t>
            </w:r>
            <w:r>
              <w:rPr>
                <w:rFonts w:ascii="Times New Roman"/>
                <w:i/>
              </w:rPr>
              <w:t>of</w:t>
            </w:r>
            <w:r>
              <w:rPr>
                <w:rFonts w:ascii="Times New Roman"/>
                <w:i/>
                <w:spacing w:val="-3"/>
              </w:rPr>
              <w:t xml:space="preserve"> </w:t>
            </w:r>
            <w:r>
              <w:rPr>
                <w:rFonts w:ascii="Times New Roman"/>
                <w:i/>
              </w:rPr>
              <w:t>days/week/months/</w:t>
            </w:r>
            <w:r>
              <w:rPr>
                <w:rFonts w:ascii="Times New Roman"/>
                <w:i/>
                <w:spacing w:val="-6"/>
              </w:rPr>
              <w:t xml:space="preserve"> </w:t>
            </w:r>
            <w:r>
              <w:rPr>
                <w:rFonts w:ascii="Times New Roman"/>
                <w:i/>
              </w:rPr>
              <w:t>that</w:t>
            </w:r>
            <w:r>
              <w:rPr>
                <w:rFonts w:ascii="Times New Roman"/>
                <w:i/>
                <w:spacing w:val="-6"/>
              </w:rPr>
              <w:t xml:space="preserve"> </w:t>
            </w:r>
            <w:r>
              <w:rPr>
                <w:rFonts w:ascii="Times New Roman"/>
                <w:i/>
              </w:rPr>
              <w:t>has</w:t>
            </w:r>
            <w:r>
              <w:rPr>
                <w:rFonts w:ascii="Times New Roman"/>
                <w:i/>
                <w:spacing w:val="-4"/>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4"/>
              </w:rPr>
              <w:t xml:space="preserve"> </w:t>
            </w:r>
            <w:r>
              <w:rPr>
                <w:rFonts w:ascii="Times New Roman"/>
                <w:i/>
              </w:rPr>
              <w:t>for</w:t>
            </w:r>
            <w:r>
              <w:rPr>
                <w:rFonts w:ascii="Times New Roman"/>
                <w:i/>
                <w:spacing w:val="-4"/>
              </w:rPr>
              <w:t xml:space="preserve"> </w:t>
            </w:r>
            <w:r>
              <w:rPr>
                <w:rFonts w:ascii="Times New Roman"/>
                <w:i/>
              </w:rPr>
              <w:t xml:space="preserve">this </w:t>
            </w:r>
            <w:r>
              <w:rPr>
                <w:rFonts w:ascii="Times New Roman"/>
                <w:i/>
                <w:spacing w:val="-2"/>
              </w:rPr>
              <w:t>position</w:t>
            </w:r>
            <w:r>
              <w:rPr>
                <w:rFonts w:ascii="Times New Roman"/>
                <w:spacing w:val="-2"/>
              </w:rPr>
              <w:t>]</w:t>
            </w:r>
          </w:p>
        </w:tc>
      </w:tr>
      <w:tr w:rsidR="007F6DF9">
        <w:trPr>
          <w:trHeight w:val="506"/>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2"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r w:rsidR="007F6DF9">
        <w:trPr>
          <w:trHeight w:val="251"/>
        </w:trPr>
        <w:tc>
          <w:tcPr>
            <w:tcW w:w="720" w:type="dxa"/>
            <w:vMerge w:val="restart"/>
          </w:tcPr>
          <w:p w:rsidR="007F6DF9" w:rsidRDefault="00A43FBC">
            <w:pPr>
              <w:pStyle w:val="TableParagraph"/>
              <w:spacing w:line="251" w:lineRule="exact"/>
              <w:ind w:left="71"/>
              <w:rPr>
                <w:rFonts w:ascii="Times New Roman"/>
                <w:b/>
              </w:rPr>
            </w:pPr>
            <w:r>
              <w:rPr>
                <w:rFonts w:ascii="Times New Roman"/>
                <w:b/>
                <w:spacing w:val="-5"/>
              </w:rPr>
              <w:t>5.</w:t>
            </w:r>
          </w:p>
        </w:tc>
        <w:tc>
          <w:tcPr>
            <w:tcW w:w="9552" w:type="dxa"/>
            <w:gridSpan w:val="2"/>
          </w:tcPr>
          <w:p w:rsidR="007F6DF9" w:rsidRDefault="00A43FBC">
            <w:pPr>
              <w:pStyle w:val="TableParagraph"/>
              <w:spacing w:line="231" w:lineRule="exact"/>
              <w:ind w:left="72"/>
              <w:rPr>
                <w:rFonts w:ascii="Times New Roman"/>
                <w:i/>
              </w:rPr>
            </w:pPr>
            <w:r>
              <w:rPr>
                <w:rFonts w:ascii="Times New Roman"/>
                <w:b/>
                <w:spacing w:val="-2"/>
              </w:rPr>
              <w:t>Title</w:t>
            </w:r>
            <w:r>
              <w:rPr>
                <w:rFonts w:ascii="Times New Roman"/>
                <w:b/>
                <w:spacing w:val="-9"/>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5"/>
              </w:rPr>
              <w:t xml:space="preserve"> </w:t>
            </w:r>
            <w:r>
              <w:rPr>
                <w:rFonts w:ascii="Times New Roman"/>
                <w:i/>
                <w:spacing w:val="-2"/>
              </w:rPr>
              <w:t>[insert</w:t>
            </w:r>
            <w:r>
              <w:rPr>
                <w:rFonts w:ascii="Times New Roman"/>
                <w:i/>
                <w:spacing w:val="-7"/>
              </w:rPr>
              <w:t xml:space="preserve"> </w:t>
            </w:r>
            <w:r>
              <w:rPr>
                <w:rFonts w:ascii="Times New Roman"/>
                <w:i/>
                <w:spacing w:val="-2"/>
              </w:rPr>
              <w:t>title]</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3"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4"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3"/>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49" w:lineRule="exact"/>
              <w:ind w:left="72"/>
              <w:rPr>
                <w:rFonts w:ascii="Times New Roman"/>
                <w:b/>
              </w:rPr>
            </w:pPr>
            <w:r>
              <w:rPr>
                <w:rFonts w:ascii="Times New Roman"/>
                <w:b/>
              </w:rPr>
              <w:t>Time</w:t>
            </w:r>
            <w:r>
              <w:rPr>
                <w:rFonts w:ascii="Times New Roman"/>
                <w:b/>
                <w:spacing w:val="-9"/>
              </w:rPr>
              <w:t xml:space="preserve"> </w:t>
            </w:r>
            <w:r>
              <w:rPr>
                <w:rFonts w:ascii="Times New Roman"/>
                <w:b/>
              </w:rPr>
              <w:t>commitment:</w:t>
            </w:r>
            <w:r>
              <w:rPr>
                <w:rFonts w:ascii="Times New Roman"/>
                <w:b/>
                <w:spacing w:val="-7"/>
              </w:rPr>
              <w:t xml:space="preserve"> </w:t>
            </w:r>
            <w:r>
              <w:rPr>
                <w:rFonts w:ascii="Times New Roman"/>
                <w:b/>
                <w:spacing w:val="-5"/>
              </w:rPr>
              <w:t>for</w:t>
            </w:r>
          </w:p>
          <w:p w:rsidR="007F6DF9" w:rsidRDefault="00A43FBC">
            <w:pPr>
              <w:pStyle w:val="TableParagraph"/>
              <w:spacing w:before="1" w:line="233" w:lineRule="exact"/>
              <w:ind w:left="72"/>
              <w:rPr>
                <w:rFonts w:ascii="Times New Roman"/>
                <w:b/>
              </w:rPr>
            </w:pPr>
            <w:r>
              <w:rPr>
                <w:rFonts w:ascii="Times New Roman"/>
                <w:b/>
              </w:rPr>
              <w:t>this</w:t>
            </w:r>
            <w:r>
              <w:rPr>
                <w:rFonts w:ascii="Times New Roman"/>
                <w:b/>
                <w:spacing w:val="1"/>
              </w:rPr>
              <w:t xml:space="preserve"> </w:t>
            </w:r>
            <w:r>
              <w:rPr>
                <w:rFonts w:ascii="Times New Roman"/>
                <w:b/>
                <w:spacing w:val="-2"/>
              </w:rPr>
              <w:t>position:</w:t>
            </w:r>
          </w:p>
        </w:tc>
        <w:tc>
          <w:tcPr>
            <w:tcW w:w="7020" w:type="dxa"/>
          </w:tcPr>
          <w:p w:rsidR="007F6DF9" w:rsidRDefault="00A43FBC">
            <w:pPr>
              <w:pStyle w:val="TableParagraph"/>
              <w:spacing w:line="249" w:lineRule="exact"/>
              <w:ind w:left="70"/>
              <w:rPr>
                <w:rFonts w:ascii="Times New Roman"/>
                <w:i/>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5"/>
              </w:rPr>
              <w:t xml:space="preserve"> </w:t>
            </w:r>
            <w:r>
              <w:rPr>
                <w:rFonts w:ascii="Times New Roman"/>
                <w:i/>
              </w:rPr>
              <w:t>that</w:t>
            </w:r>
            <w:r>
              <w:rPr>
                <w:rFonts w:ascii="Times New Roman"/>
                <w:i/>
                <w:spacing w:val="-5"/>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spacing w:val="-4"/>
              </w:rPr>
              <w:t>this</w:t>
            </w:r>
          </w:p>
          <w:p w:rsidR="007F6DF9" w:rsidRDefault="00A43FBC">
            <w:pPr>
              <w:pStyle w:val="TableParagraph"/>
              <w:spacing w:before="1" w:line="233" w:lineRule="exact"/>
              <w:ind w:left="70"/>
              <w:rPr>
                <w:rFonts w:ascii="Times New Roman"/>
              </w:rPr>
            </w:pPr>
            <w:r>
              <w:rPr>
                <w:rFonts w:ascii="Times New Roman"/>
                <w:i/>
                <w:spacing w:val="-2"/>
              </w:rPr>
              <w:t>position</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4"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bl>
    <w:p w:rsidR="007F6DF9" w:rsidRDefault="007F6DF9">
      <w:pPr>
        <w:pStyle w:val="TableParagraph"/>
        <w:spacing w:line="254" w:lineRule="exact"/>
        <w:rPr>
          <w:rFonts w:ascii="Times New Roman"/>
        </w:rPr>
        <w:sectPr w:rsidR="007F6DF9">
          <w:pgSz w:w="11920" w:h="16850"/>
          <w:pgMar w:top="360" w:right="283" w:bottom="620" w:left="141" w:header="0" w:footer="437" w:gutter="0"/>
          <w:pgNumType w:start="30"/>
          <w:cols w:space="720"/>
        </w:sectPr>
      </w:pPr>
    </w:p>
    <w:p w:rsidR="007F6DF9" w:rsidRDefault="007F6DF9">
      <w:pPr>
        <w:pStyle w:val="BodyText"/>
        <w:spacing w:before="176"/>
        <w:rPr>
          <w:b/>
          <w:sz w:val="24"/>
        </w:rPr>
      </w:pPr>
    </w:p>
    <w:p w:rsidR="007F6DF9" w:rsidRDefault="00A43FBC">
      <w:pPr>
        <w:pStyle w:val="Heading6"/>
        <w:numPr>
          <w:ilvl w:val="0"/>
          <w:numId w:val="166"/>
        </w:numPr>
        <w:tabs>
          <w:tab w:val="left" w:pos="1112"/>
        </w:tabs>
        <w:ind w:left="1112" w:hanging="401"/>
        <w:rPr>
          <w:color w:val="221F1F"/>
        </w:rPr>
      </w:pPr>
      <w:r>
        <w:rPr>
          <w:color w:val="221F1F"/>
          <w:u w:val="single" w:color="221F1F"/>
        </w:rPr>
        <w:t>FORM</w:t>
      </w:r>
      <w:r>
        <w:rPr>
          <w:color w:val="221F1F"/>
          <w:spacing w:val="-2"/>
          <w:u w:val="single" w:color="221F1F"/>
        </w:rPr>
        <w:t xml:space="preserve"> </w:t>
      </w:r>
      <w:r>
        <w:rPr>
          <w:color w:val="221F1F"/>
          <w:u w:val="single" w:color="221F1F"/>
        </w:rPr>
        <w:t>PER -</w:t>
      </w:r>
      <w:r>
        <w:rPr>
          <w:color w:val="221F1F"/>
          <w:spacing w:val="-1"/>
          <w:u w:val="single" w:color="221F1F"/>
        </w:rPr>
        <w:t xml:space="preserve"> </w:t>
      </w:r>
      <w:r>
        <w:rPr>
          <w:color w:val="221F1F"/>
          <w:spacing w:val="-5"/>
          <w:u w:val="single" w:color="221F1F"/>
        </w:rPr>
        <w:t>2:</w:t>
      </w:r>
    </w:p>
    <w:p w:rsidR="007F6DF9" w:rsidRDefault="007F6DF9">
      <w:pPr>
        <w:pStyle w:val="BodyText"/>
        <w:spacing w:before="4"/>
        <w:rPr>
          <w:b/>
        </w:rPr>
      </w:pPr>
    </w:p>
    <w:p w:rsidR="007F6DF9" w:rsidRDefault="00A43FBC">
      <w:pPr>
        <w:pStyle w:val="BodyText"/>
        <w:ind w:left="711"/>
      </w:pPr>
      <w:r>
        <w:rPr>
          <w:color w:val="221F1F"/>
        </w:rPr>
        <w:t>Resume</w:t>
      </w:r>
      <w:r>
        <w:rPr>
          <w:color w:val="221F1F"/>
          <w:spacing w:val="-6"/>
        </w:rPr>
        <w:t xml:space="preserve"> </w:t>
      </w:r>
      <w:r>
        <w:rPr>
          <w:color w:val="221F1F"/>
        </w:rPr>
        <w:t>and</w:t>
      </w:r>
      <w:r>
        <w:rPr>
          <w:color w:val="221F1F"/>
          <w:spacing w:val="-4"/>
        </w:rPr>
        <w:t xml:space="preserve"> </w:t>
      </w:r>
      <w:r>
        <w:rPr>
          <w:color w:val="221F1F"/>
        </w:rPr>
        <w:t>Declaration</w:t>
      </w:r>
      <w:r>
        <w:rPr>
          <w:color w:val="221F1F"/>
          <w:spacing w:val="-2"/>
        </w:rPr>
        <w:t xml:space="preserve"> </w:t>
      </w:r>
      <w:r>
        <w:rPr>
          <w:color w:val="221F1F"/>
        </w:rPr>
        <w:t>-</w:t>
      </w:r>
      <w:r>
        <w:rPr>
          <w:color w:val="221F1F"/>
          <w:spacing w:val="-7"/>
        </w:rPr>
        <w:t xml:space="preserve"> </w:t>
      </w:r>
      <w:r>
        <w:rPr>
          <w:color w:val="221F1F"/>
        </w:rPr>
        <w:t>Contractor's</w:t>
      </w:r>
      <w:r>
        <w:rPr>
          <w:color w:val="221F1F"/>
          <w:spacing w:val="-4"/>
        </w:rPr>
        <w:t xml:space="preserve"> </w:t>
      </w:r>
      <w:r>
        <w:rPr>
          <w:color w:val="221F1F"/>
        </w:rPr>
        <w:t>Representative</w:t>
      </w:r>
      <w:r>
        <w:rPr>
          <w:color w:val="221F1F"/>
          <w:spacing w:val="-5"/>
        </w:rPr>
        <w:t xml:space="preserve"> </w:t>
      </w:r>
      <w:r>
        <w:rPr>
          <w:color w:val="221F1F"/>
        </w:rPr>
        <w:t>and</w:t>
      </w:r>
      <w:r>
        <w:rPr>
          <w:color w:val="221F1F"/>
          <w:spacing w:val="-4"/>
        </w:rPr>
        <w:t xml:space="preserve"> </w:t>
      </w:r>
      <w:r>
        <w:rPr>
          <w:color w:val="221F1F"/>
        </w:rPr>
        <w:t>Key</w:t>
      </w:r>
      <w:r>
        <w:rPr>
          <w:color w:val="221F1F"/>
          <w:spacing w:val="-3"/>
        </w:rPr>
        <w:t xml:space="preserve"> </w:t>
      </w:r>
      <w:r>
        <w:rPr>
          <w:color w:val="221F1F"/>
          <w:spacing w:val="-2"/>
        </w:rPr>
        <w:t>Personnel.</w:t>
      </w:r>
    </w:p>
    <w:p w:rsidR="007F6DF9" w:rsidRDefault="007F6DF9">
      <w:pPr>
        <w:pStyle w:val="BodyText"/>
        <w:rPr>
          <w:sz w:val="20"/>
        </w:rPr>
      </w:pPr>
    </w:p>
    <w:p w:rsidR="007F6DF9" w:rsidRDefault="00A43FBC">
      <w:pPr>
        <w:pStyle w:val="BodyText"/>
        <w:spacing w:before="36"/>
        <w:rPr>
          <w:sz w:val="20"/>
        </w:rPr>
      </w:pPr>
      <w:r>
        <w:rPr>
          <w:noProof/>
          <w:sz w:val="20"/>
        </w:rPr>
        <mc:AlternateContent>
          <mc:Choice Requires="wps">
            <w:drawing>
              <wp:anchor distT="0" distB="0" distL="0" distR="0" simplePos="0" relativeHeight="251670016" behindDoc="1" locked="0" layoutInCell="1" allowOverlap="1">
                <wp:simplePos x="0" y="0"/>
                <wp:positionH relativeFrom="page">
                  <wp:posOffset>495300</wp:posOffset>
                </wp:positionH>
                <wp:positionV relativeFrom="paragraph">
                  <wp:posOffset>189780</wp:posOffset>
                </wp:positionV>
                <wp:extent cx="5774690" cy="330835"/>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690" cy="330835"/>
                        </a:xfrm>
                        <a:prstGeom prst="rect">
                          <a:avLst/>
                        </a:prstGeom>
                        <a:ln w="9144">
                          <a:solidFill>
                            <a:srgbClr val="000000"/>
                          </a:solidFill>
                          <a:prstDash val="solid"/>
                        </a:ln>
                      </wps:spPr>
                      <wps:txbx>
                        <w:txbxContent>
                          <w:p w:rsidR="00883FED" w:rsidRDefault="00883FED">
                            <w:pPr>
                              <w:pStyle w:val="BodyText"/>
                              <w:spacing w:line="252" w:lineRule="exact"/>
                              <w:ind w:left="64"/>
                            </w:pPr>
                            <w:r>
                              <w:t>Name</w:t>
                            </w:r>
                            <w:r>
                              <w:rPr>
                                <w:spacing w:val="-11"/>
                              </w:rPr>
                              <w:t xml:space="preserve"> </w:t>
                            </w:r>
                            <w:r>
                              <w:t>of</w:t>
                            </w:r>
                            <w:r>
                              <w:rPr>
                                <w:spacing w:val="-9"/>
                              </w:rPr>
                              <w:t xml:space="preserve"> </w:t>
                            </w:r>
                            <w:r>
                              <w:rPr>
                                <w:spacing w:val="-2"/>
                              </w:rPr>
                              <w:t>Tenderer</w:t>
                            </w:r>
                          </w:p>
                        </w:txbxContent>
                      </wps:txbx>
                      <wps:bodyPr wrap="square" lIns="0" tIns="0" rIns="0" bIns="0" rtlCol="0">
                        <a:noAutofit/>
                      </wps:bodyPr>
                    </wps:wsp>
                  </a:graphicData>
                </a:graphic>
              </wp:anchor>
            </w:drawing>
          </mc:Choice>
          <mc:Fallback>
            <w:pict>
              <v:shape id="Textbox 172" o:spid="_x0000_s1035" type="#_x0000_t202" style="position:absolute;margin-left:39pt;margin-top:14.95pt;width:454.7pt;height:26.0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" filled="f" strokeweight=".72pt">
                <v:path arrowok="t"/>
                <v:textbox inset="0,0,0,0">
                  <w:txbxContent>
                    <w:p w:rsidR="00883FED" w:rsidRDefault="00883FED">
                      <w:pPr>
                        <w:pStyle w:val="BodyText"/>
                        <w:spacing w:line="252" w:lineRule="exact"/>
                        <w:ind w:left="64"/>
                      </w:pPr>
                      <w:r>
                        <w:t>Name</w:t>
                      </w:r>
                      <w:r>
                        <w:rPr>
                          <w:spacing w:val="-11"/>
                        </w:rPr>
                        <w:t xml:space="preserve"> </w:t>
                      </w:r>
                      <w:r>
                        <w:t>of</w:t>
                      </w:r>
                      <w:r>
                        <w:rPr>
                          <w:spacing w:val="-9"/>
                        </w:rPr>
                        <w:t xml:space="preserve"> </w:t>
                      </w:r>
                      <w:r>
                        <w:rPr>
                          <w:spacing w:val="-2"/>
                        </w:rPr>
                        <w:t>Tenderer</w:t>
                      </w:r>
                    </w:p>
                  </w:txbxContent>
                </v:textbox>
                <w10:wrap type="topAndBottom" anchorx="page"/>
              </v:shape>
            </w:pict>
          </mc:Fallback>
        </mc:AlternateContent>
      </w:r>
    </w:p>
    <w:p w:rsidR="007F6DF9" w:rsidRDefault="007F6DF9">
      <w:pPr>
        <w:pStyle w:val="BodyText"/>
        <w:spacing w:before="7"/>
        <w:rPr>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0"/>
        <w:gridCol w:w="3692"/>
      </w:tblGrid>
      <w:tr w:rsidR="007F6DF9">
        <w:trPr>
          <w:trHeight w:val="505"/>
        </w:trPr>
        <w:tc>
          <w:tcPr>
            <w:tcW w:w="9092" w:type="dxa"/>
            <w:gridSpan w:val="3"/>
          </w:tcPr>
          <w:p w:rsidR="007F6DF9" w:rsidRDefault="00A43FBC">
            <w:pPr>
              <w:pStyle w:val="TableParagraph"/>
              <w:spacing w:line="251" w:lineRule="exact"/>
              <w:ind w:left="71"/>
              <w:rPr>
                <w:rFonts w:ascii="Times New Roman"/>
              </w:rPr>
            </w:pPr>
            <w:r>
              <w:rPr>
                <w:rFonts w:ascii="Times New Roman"/>
                <w:spacing w:val="-2"/>
              </w:rPr>
              <w:t>Position</w:t>
            </w:r>
            <w:r>
              <w:rPr>
                <w:rFonts w:ascii="Times New Roman"/>
                <w:spacing w:val="-7"/>
              </w:rPr>
              <w:t xml:space="preserve"> </w:t>
            </w:r>
            <w:r>
              <w:rPr>
                <w:rFonts w:ascii="Times New Roman"/>
                <w:spacing w:val="-2"/>
              </w:rPr>
              <w:t>[#</w:t>
            </w:r>
            <w:r>
              <w:rPr>
                <w:rFonts w:ascii="Times New Roman"/>
                <w:i/>
                <w:spacing w:val="-2"/>
              </w:rPr>
              <w:t>1</w:t>
            </w:r>
            <w:r>
              <w:rPr>
                <w:rFonts w:ascii="Times New Roman"/>
                <w:spacing w:val="-2"/>
              </w:rPr>
              <w:t>]:</w:t>
            </w:r>
            <w:r>
              <w:rPr>
                <w:rFonts w:ascii="Times New Roman"/>
                <w:spacing w:val="-6"/>
              </w:rPr>
              <w:t xml:space="preserve"> </w:t>
            </w:r>
            <w:r>
              <w:rPr>
                <w:rFonts w:ascii="Times New Roman"/>
                <w:spacing w:val="-2"/>
              </w:rPr>
              <w:t>[</w:t>
            </w:r>
            <w:r>
              <w:rPr>
                <w:rFonts w:ascii="Times New Roman"/>
                <w:i/>
                <w:spacing w:val="-2"/>
              </w:rPr>
              <w:t>title</w:t>
            </w:r>
            <w:r>
              <w:rPr>
                <w:rFonts w:ascii="Times New Roman"/>
                <w:i/>
                <w:spacing w:val="-6"/>
              </w:rPr>
              <w:t xml:space="preserve"> </w:t>
            </w:r>
            <w:r>
              <w:rPr>
                <w:rFonts w:ascii="Times New Roman"/>
                <w:i/>
                <w:spacing w:val="-2"/>
              </w:rPr>
              <w:t>of</w:t>
            </w:r>
            <w:r>
              <w:rPr>
                <w:rFonts w:ascii="Times New Roman"/>
                <w:i/>
                <w:spacing w:val="-6"/>
              </w:rPr>
              <w:t xml:space="preserve"> </w:t>
            </w:r>
            <w:r>
              <w:rPr>
                <w:rFonts w:ascii="Times New Roman"/>
                <w:i/>
                <w:spacing w:val="-2"/>
              </w:rPr>
              <w:t>position</w:t>
            </w:r>
            <w:r>
              <w:rPr>
                <w:rFonts w:ascii="Times New Roman"/>
                <w:i/>
                <w:spacing w:val="-6"/>
              </w:rPr>
              <w:t xml:space="preserve"> </w:t>
            </w:r>
            <w:r>
              <w:rPr>
                <w:rFonts w:ascii="Times New Roman"/>
                <w:i/>
                <w:spacing w:val="-2"/>
              </w:rPr>
              <w:t>from</w:t>
            </w:r>
            <w:r>
              <w:rPr>
                <w:rFonts w:ascii="Times New Roman"/>
                <w:i/>
                <w:spacing w:val="-8"/>
              </w:rPr>
              <w:t xml:space="preserve"> </w:t>
            </w:r>
            <w:r>
              <w:rPr>
                <w:rFonts w:ascii="Times New Roman"/>
                <w:i/>
                <w:spacing w:val="-2"/>
              </w:rPr>
              <w:t>Form</w:t>
            </w:r>
            <w:r>
              <w:rPr>
                <w:rFonts w:ascii="Times New Roman"/>
                <w:i/>
                <w:spacing w:val="-7"/>
              </w:rPr>
              <w:t xml:space="preserve"> </w:t>
            </w:r>
            <w:r>
              <w:rPr>
                <w:rFonts w:ascii="Times New Roman"/>
                <w:i/>
                <w:spacing w:val="-2"/>
              </w:rPr>
              <w:t>PER-</w:t>
            </w:r>
            <w:r>
              <w:rPr>
                <w:rFonts w:ascii="Times New Roman"/>
                <w:i/>
                <w:spacing w:val="-5"/>
              </w:rPr>
              <w:t>1</w:t>
            </w:r>
            <w:r>
              <w:rPr>
                <w:rFonts w:ascii="Times New Roman"/>
                <w:spacing w:val="-5"/>
              </w:rPr>
              <w:t>]</w:t>
            </w:r>
          </w:p>
        </w:tc>
      </w:tr>
      <w:tr w:rsidR="007F6DF9">
        <w:trPr>
          <w:trHeight w:val="505"/>
        </w:trPr>
        <w:tc>
          <w:tcPr>
            <w:tcW w:w="1440" w:type="dxa"/>
          </w:tcPr>
          <w:p w:rsidR="007F6DF9" w:rsidRDefault="00A43FBC">
            <w:pPr>
              <w:pStyle w:val="TableParagraph"/>
              <w:spacing w:line="252" w:lineRule="exact"/>
              <w:ind w:left="71"/>
              <w:rPr>
                <w:rFonts w:ascii="Times New Roman"/>
              </w:rPr>
            </w:pPr>
            <w:r>
              <w:rPr>
                <w:rFonts w:ascii="Times New Roman"/>
                <w:spacing w:val="-2"/>
              </w:rPr>
              <w:t xml:space="preserve">Personnel </w:t>
            </w:r>
            <w:r>
              <w:rPr>
                <w:rFonts w:ascii="Times New Roman"/>
                <w:spacing w:val="-4"/>
              </w:rPr>
              <w:t>information</w:t>
            </w:r>
          </w:p>
        </w:tc>
        <w:tc>
          <w:tcPr>
            <w:tcW w:w="3960" w:type="dxa"/>
          </w:tcPr>
          <w:p w:rsidR="007F6DF9" w:rsidRDefault="00A43FBC">
            <w:pPr>
              <w:pStyle w:val="TableParagraph"/>
              <w:spacing w:line="251" w:lineRule="exact"/>
              <w:ind w:left="72"/>
              <w:rPr>
                <w:rFonts w:ascii="Times New Roman"/>
              </w:rPr>
            </w:pPr>
            <w:r>
              <w:rPr>
                <w:rFonts w:ascii="Times New Roman"/>
                <w:spacing w:val="-2"/>
              </w:rPr>
              <w:t>Name:</w:t>
            </w:r>
          </w:p>
        </w:tc>
        <w:tc>
          <w:tcPr>
            <w:tcW w:w="3692" w:type="dxa"/>
          </w:tcPr>
          <w:p w:rsidR="007F6DF9" w:rsidRDefault="00A43FBC">
            <w:pPr>
              <w:pStyle w:val="TableParagraph"/>
              <w:spacing w:line="251" w:lineRule="exact"/>
              <w:ind w:left="73"/>
              <w:rPr>
                <w:rFonts w:ascii="Times New Roman"/>
              </w:rPr>
            </w:pPr>
            <w:r>
              <w:rPr>
                <w:rFonts w:ascii="Times New Roman"/>
              </w:rPr>
              <w:t>Date</w:t>
            </w:r>
            <w:r>
              <w:rPr>
                <w:rFonts w:ascii="Times New Roman"/>
                <w:spacing w:val="-13"/>
              </w:rPr>
              <w:t xml:space="preserve"> </w:t>
            </w:r>
            <w:r>
              <w:rPr>
                <w:rFonts w:ascii="Times New Roman"/>
              </w:rPr>
              <w:t>of</w:t>
            </w:r>
            <w:r>
              <w:rPr>
                <w:rFonts w:ascii="Times New Roman"/>
                <w:spacing w:val="-9"/>
              </w:rPr>
              <w:t xml:space="preserve"> </w:t>
            </w:r>
            <w:r>
              <w:rPr>
                <w:rFonts w:ascii="Times New Roman"/>
                <w:spacing w:val="-2"/>
              </w:rPr>
              <w:t>birth:</w:t>
            </w:r>
          </w:p>
        </w:tc>
      </w:tr>
      <w:tr w:rsidR="007F6DF9">
        <w:trPr>
          <w:trHeight w:val="505"/>
        </w:trPr>
        <w:tc>
          <w:tcPr>
            <w:tcW w:w="1440" w:type="dxa"/>
          </w:tcPr>
          <w:p w:rsidR="007F6DF9" w:rsidRDefault="007F6DF9">
            <w:pPr>
              <w:pStyle w:val="TableParagraph"/>
              <w:rPr>
                <w:rFonts w:ascii="Times New Roman"/>
              </w:rPr>
            </w:pPr>
          </w:p>
        </w:tc>
        <w:tc>
          <w:tcPr>
            <w:tcW w:w="3960" w:type="dxa"/>
          </w:tcPr>
          <w:p w:rsidR="007F6DF9" w:rsidRDefault="00A43FBC">
            <w:pPr>
              <w:pStyle w:val="TableParagraph"/>
              <w:spacing w:line="251" w:lineRule="exact"/>
              <w:ind w:left="72"/>
              <w:rPr>
                <w:rFonts w:ascii="Times New Roman"/>
              </w:rPr>
            </w:pPr>
            <w:r>
              <w:rPr>
                <w:rFonts w:ascii="Times New Roman"/>
                <w:spacing w:val="-2"/>
              </w:rPr>
              <w:t>Address:</w:t>
            </w:r>
          </w:p>
        </w:tc>
        <w:tc>
          <w:tcPr>
            <w:tcW w:w="3692" w:type="dxa"/>
          </w:tcPr>
          <w:p w:rsidR="007F6DF9" w:rsidRDefault="00A43FBC">
            <w:pPr>
              <w:pStyle w:val="TableParagraph"/>
              <w:spacing w:line="251" w:lineRule="exact"/>
              <w:ind w:left="73"/>
              <w:rPr>
                <w:rFonts w:ascii="Times New Roman"/>
              </w:rPr>
            </w:pPr>
            <w:r>
              <w:rPr>
                <w:rFonts w:ascii="Times New Roman"/>
                <w:spacing w:val="-5"/>
              </w:rPr>
              <w:t>E-</w:t>
            </w:r>
            <w:r>
              <w:rPr>
                <w:rFonts w:ascii="Times New Roman"/>
                <w:spacing w:val="-2"/>
              </w:rPr>
              <w:t>mail:</w:t>
            </w:r>
          </w:p>
        </w:tc>
      </w:tr>
      <w:tr w:rsidR="007F6DF9">
        <w:trPr>
          <w:trHeight w:val="253"/>
        </w:trPr>
        <w:tc>
          <w:tcPr>
            <w:tcW w:w="1440" w:type="dxa"/>
            <w:vMerge w:val="restart"/>
          </w:tcPr>
          <w:p w:rsidR="007F6DF9" w:rsidRDefault="007F6DF9">
            <w:pPr>
              <w:pStyle w:val="TableParagraph"/>
              <w:rPr>
                <w:rFonts w:ascii="Times New Roman"/>
              </w:rPr>
            </w:pPr>
          </w:p>
        </w:tc>
        <w:tc>
          <w:tcPr>
            <w:tcW w:w="3960" w:type="dxa"/>
          </w:tcPr>
          <w:p w:rsidR="007F6DF9" w:rsidRDefault="007F6DF9">
            <w:pPr>
              <w:pStyle w:val="TableParagraph"/>
              <w:rPr>
                <w:rFonts w:ascii="Times New Roman"/>
                <w:sz w:val="18"/>
              </w:rPr>
            </w:pPr>
          </w:p>
        </w:tc>
        <w:tc>
          <w:tcPr>
            <w:tcW w:w="3692" w:type="dxa"/>
          </w:tcPr>
          <w:p w:rsidR="007F6DF9" w:rsidRDefault="007F6DF9">
            <w:pPr>
              <w:pStyle w:val="TableParagraph"/>
              <w:rPr>
                <w:rFonts w:ascii="Times New Roman"/>
                <w:sz w:val="18"/>
              </w:rPr>
            </w:pPr>
          </w:p>
        </w:tc>
      </w:tr>
      <w:tr w:rsidR="007F6DF9">
        <w:trPr>
          <w:trHeight w:val="506"/>
        </w:trPr>
        <w:tc>
          <w:tcPr>
            <w:tcW w:w="1440" w:type="dxa"/>
            <w:vMerge/>
            <w:tcBorders>
              <w:top w:val="nil"/>
            </w:tcBorders>
          </w:tcPr>
          <w:p w:rsidR="007F6DF9" w:rsidRDefault="007F6DF9">
            <w:pPr>
              <w:rPr>
                <w:sz w:val="2"/>
                <w:szCs w:val="2"/>
              </w:rPr>
            </w:pPr>
          </w:p>
        </w:tc>
        <w:tc>
          <w:tcPr>
            <w:tcW w:w="7652" w:type="dxa"/>
            <w:gridSpan w:val="2"/>
          </w:tcPr>
          <w:p w:rsidR="007F6DF9" w:rsidRDefault="00A43FBC">
            <w:pPr>
              <w:pStyle w:val="TableParagraph"/>
              <w:spacing w:line="252" w:lineRule="exact"/>
              <w:ind w:left="72"/>
              <w:rPr>
                <w:rFonts w:ascii="Times New Roman"/>
              </w:rPr>
            </w:pPr>
            <w:r>
              <w:rPr>
                <w:rFonts w:ascii="Times New Roman"/>
                <w:spacing w:val="-2"/>
              </w:rPr>
              <w:t>Professional</w:t>
            </w:r>
            <w:r>
              <w:rPr>
                <w:rFonts w:ascii="Times New Roman"/>
                <w:spacing w:val="-9"/>
              </w:rPr>
              <w:t xml:space="preserve"> </w:t>
            </w:r>
            <w:r>
              <w:rPr>
                <w:rFonts w:ascii="Times New Roman"/>
                <w:spacing w:val="-2"/>
              </w:rPr>
              <w:t>qualifications:</w:t>
            </w:r>
          </w:p>
        </w:tc>
      </w:tr>
      <w:tr w:rsidR="007F6DF9">
        <w:trPr>
          <w:trHeight w:val="505"/>
        </w:trPr>
        <w:tc>
          <w:tcPr>
            <w:tcW w:w="1440" w:type="dxa"/>
            <w:vMerge/>
            <w:tcBorders>
              <w:top w:val="nil"/>
            </w:tcBorders>
          </w:tcPr>
          <w:p w:rsidR="007F6DF9" w:rsidRDefault="007F6DF9">
            <w:pPr>
              <w:rPr>
                <w:sz w:val="2"/>
                <w:szCs w:val="2"/>
              </w:rPr>
            </w:pPr>
          </w:p>
        </w:tc>
        <w:tc>
          <w:tcPr>
            <w:tcW w:w="7652" w:type="dxa"/>
            <w:gridSpan w:val="2"/>
          </w:tcPr>
          <w:p w:rsidR="007F6DF9" w:rsidRDefault="00A43FBC">
            <w:pPr>
              <w:pStyle w:val="TableParagraph"/>
              <w:spacing w:line="251" w:lineRule="exact"/>
              <w:ind w:left="72"/>
              <w:rPr>
                <w:rFonts w:ascii="Times New Roman"/>
              </w:rPr>
            </w:pPr>
            <w:r>
              <w:rPr>
                <w:rFonts w:ascii="Times New Roman"/>
                <w:spacing w:val="-2"/>
              </w:rPr>
              <w:t>Academic</w:t>
            </w:r>
            <w:r>
              <w:rPr>
                <w:rFonts w:ascii="Times New Roman"/>
                <w:spacing w:val="-6"/>
              </w:rPr>
              <w:t xml:space="preserve"> </w:t>
            </w:r>
            <w:r>
              <w:rPr>
                <w:rFonts w:ascii="Times New Roman"/>
                <w:spacing w:val="-2"/>
              </w:rPr>
              <w:t>qualifications:</w:t>
            </w:r>
          </w:p>
        </w:tc>
      </w:tr>
      <w:tr w:rsidR="007F6DF9">
        <w:trPr>
          <w:trHeight w:val="505"/>
        </w:trPr>
        <w:tc>
          <w:tcPr>
            <w:tcW w:w="1440" w:type="dxa"/>
            <w:vMerge/>
            <w:tcBorders>
              <w:top w:val="nil"/>
            </w:tcBorders>
          </w:tcPr>
          <w:p w:rsidR="007F6DF9" w:rsidRDefault="007F6DF9">
            <w:pPr>
              <w:rPr>
                <w:sz w:val="2"/>
                <w:szCs w:val="2"/>
              </w:rPr>
            </w:pPr>
          </w:p>
        </w:tc>
        <w:tc>
          <w:tcPr>
            <w:tcW w:w="7652" w:type="dxa"/>
            <w:gridSpan w:val="2"/>
          </w:tcPr>
          <w:p w:rsidR="007F6DF9" w:rsidRDefault="00A43FBC">
            <w:pPr>
              <w:pStyle w:val="TableParagraph"/>
              <w:spacing w:line="251" w:lineRule="exact"/>
              <w:ind w:left="72"/>
              <w:rPr>
                <w:rFonts w:ascii="Times New Roman"/>
                <w:i/>
              </w:rPr>
            </w:pPr>
            <w:r>
              <w:rPr>
                <w:rFonts w:ascii="Times New Roman"/>
                <w:spacing w:val="-2"/>
              </w:rPr>
              <w:t>Language</w:t>
            </w:r>
            <w:r>
              <w:rPr>
                <w:rFonts w:ascii="Times New Roman"/>
                <w:spacing w:val="-10"/>
              </w:rPr>
              <w:t xml:space="preserve"> </w:t>
            </w:r>
            <w:r>
              <w:rPr>
                <w:rFonts w:ascii="Times New Roman"/>
                <w:spacing w:val="-2"/>
              </w:rPr>
              <w:t>proficiency:</w:t>
            </w:r>
            <w:r>
              <w:rPr>
                <w:rFonts w:ascii="Times New Roman"/>
                <w:spacing w:val="-5"/>
              </w:rPr>
              <w:t xml:space="preserve"> </w:t>
            </w:r>
            <w:r>
              <w:rPr>
                <w:rFonts w:ascii="Times New Roman"/>
                <w:i/>
                <w:spacing w:val="-2"/>
              </w:rPr>
              <w:t>[language</w:t>
            </w:r>
            <w:r>
              <w:rPr>
                <w:rFonts w:ascii="Times New Roman"/>
                <w:i/>
                <w:spacing w:val="-7"/>
              </w:rPr>
              <w:t xml:space="preserve"> </w:t>
            </w:r>
            <w:r>
              <w:rPr>
                <w:rFonts w:ascii="Times New Roman"/>
                <w:i/>
                <w:spacing w:val="-2"/>
              </w:rPr>
              <w:t>and</w:t>
            </w:r>
            <w:r>
              <w:rPr>
                <w:rFonts w:ascii="Times New Roman"/>
                <w:i/>
                <w:spacing w:val="-7"/>
              </w:rPr>
              <w:t xml:space="preserve"> </w:t>
            </w:r>
            <w:r>
              <w:rPr>
                <w:rFonts w:ascii="Times New Roman"/>
                <w:i/>
                <w:spacing w:val="-2"/>
              </w:rPr>
              <w:t>levels</w:t>
            </w:r>
            <w:r>
              <w:rPr>
                <w:rFonts w:ascii="Times New Roman"/>
                <w:i/>
                <w:spacing w:val="-8"/>
              </w:rPr>
              <w:t xml:space="preserve"> </w:t>
            </w:r>
            <w:r>
              <w:rPr>
                <w:rFonts w:ascii="Times New Roman"/>
                <w:i/>
                <w:spacing w:val="-2"/>
              </w:rPr>
              <w:t>of</w:t>
            </w:r>
            <w:r>
              <w:rPr>
                <w:rFonts w:ascii="Times New Roman"/>
                <w:i/>
                <w:spacing w:val="-6"/>
              </w:rPr>
              <w:t xml:space="preserve"> </w:t>
            </w:r>
            <w:r>
              <w:rPr>
                <w:rFonts w:ascii="Times New Roman"/>
                <w:i/>
                <w:spacing w:val="-2"/>
              </w:rPr>
              <w:t>speaking,</w:t>
            </w:r>
            <w:r>
              <w:rPr>
                <w:rFonts w:ascii="Times New Roman"/>
                <w:i/>
                <w:spacing w:val="-7"/>
              </w:rPr>
              <w:t xml:space="preserve"> </w:t>
            </w:r>
            <w:r>
              <w:rPr>
                <w:rFonts w:ascii="Times New Roman"/>
                <w:i/>
                <w:spacing w:val="-2"/>
              </w:rPr>
              <w:t>reading</w:t>
            </w:r>
            <w:r>
              <w:rPr>
                <w:rFonts w:ascii="Times New Roman"/>
                <w:i/>
                <w:spacing w:val="-7"/>
              </w:rPr>
              <w:t xml:space="preserve"> </w:t>
            </w:r>
            <w:r>
              <w:rPr>
                <w:rFonts w:ascii="Times New Roman"/>
                <w:i/>
                <w:spacing w:val="-2"/>
              </w:rPr>
              <w:t>and</w:t>
            </w:r>
            <w:r>
              <w:rPr>
                <w:rFonts w:ascii="Times New Roman"/>
                <w:i/>
                <w:spacing w:val="-7"/>
              </w:rPr>
              <w:t xml:space="preserve"> </w:t>
            </w:r>
            <w:r>
              <w:rPr>
                <w:rFonts w:ascii="Times New Roman"/>
                <w:i/>
                <w:spacing w:val="-2"/>
              </w:rPr>
              <w:t>writing</w:t>
            </w:r>
            <w:r>
              <w:rPr>
                <w:rFonts w:ascii="Times New Roman"/>
                <w:i/>
                <w:spacing w:val="-7"/>
              </w:rPr>
              <w:t xml:space="preserve"> </w:t>
            </w:r>
            <w:r>
              <w:rPr>
                <w:rFonts w:ascii="Times New Roman"/>
                <w:i/>
                <w:spacing w:val="-2"/>
              </w:rPr>
              <w:t>skills]</w:t>
            </w:r>
          </w:p>
        </w:tc>
      </w:tr>
      <w:tr w:rsidR="007F6DF9">
        <w:trPr>
          <w:trHeight w:val="251"/>
        </w:trPr>
        <w:tc>
          <w:tcPr>
            <w:tcW w:w="1440" w:type="dxa"/>
            <w:vMerge w:val="restart"/>
          </w:tcPr>
          <w:p w:rsidR="007F6DF9" w:rsidRDefault="00A43FBC">
            <w:pPr>
              <w:pStyle w:val="TableParagraph"/>
              <w:spacing w:line="251" w:lineRule="exact"/>
              <w:ind w:left="71"/>
              <w:rPr>
                <w:rFonts w:ascii="Times New Roman"/>
              </w:rPr>
            </w:pPr>
            <w:r>
              <w:rPr>
                <w:rFonts w:ascii="Times New Roman"/>
                <w:spacing w:val="-2"/>
              </w:rPr>
              <w:t>Details</w:t>
            </w:r>
          </w:p>
        </w:tc>
        <w:tc>
          <w:tcPr>
            <w:tcW w:w="7652" w:type="dxa"/>
            <w:gridSpan w:val="2"/>
          </w:tcPr>
          <w:p w:rsidR="007F6DF9" w:rsidRDefault="007F6DF9">
            <w:pPr>
              <w:pStyle w:val="TableParagraph"/>
              <w:rPr>
                <w:rFonts w:ascii="Times New Roman"/>
                <w:sz w:val="18"/>
              </w:rPr>
            </w:pPr>
          </w:p>
        </w:tc>
      </w:tr>
      <w:tr w:rsidR="007F6DF9">
        <w:trPr>
          <w:trHeight w:val="505"/>
        </w:trPr>
        <w:tc>
          <w:tcPr>
            <w:tcW w:w="1440" w:type="dxa"/>
            <w:vMerge/>
            <w:tcBorders>
              <w:top w:val="nil"/>
            </w:tcBorders>
          </w:tcPr>
          <w:p w:rsidR="007F6DF9" w:rsidRDefault="007F6DF9">
            <w:pPr>
              <w:rPr>
                <w:sz w:val="2"/>
                <w:szCs w:val="2"/>
              </w:rPr>
            </w:pPr>
          </w:p>
        </w:tc>
        <w:tc>
          <w:tcPr>
            <w:tcW w:w="7652" w:type="dxa"/>
            <w:gridSpan w:val="2"/>
          </w:tcPr>
          <w:p w:rsidR="007F6DF9" w:rsidRDefault="00A43FBC">
            <w:pPr>
              <w:pStyle w:val="TableParagraph"/>
              <w:ind w:left="72"/>
              <w:rPr>
                <w:rFonts w:ascii="Times New Roman"/>
              </w:rPr>
            </w:pPr>
            <w:r>
              <w:rPr>
                <w:rFonts w:ascii="Times New Roman"/>
                <w:spacing w:val="-2"/>
              </w:rPr>
              <w:t>Address</w:t>
            </w:r>
            <w:r>
              <w:rPr>
                <w:rFonts w:ascii="Times New Roman"/>
                <w:spacing w:val="-6"/>
              </w:rPr>
              <w:t xml:space="preserve"> </w:t>
            </w:r>
            <w:r>
              <w:rPr>
                <w:rFonts w:ascii="Times New Roman"/>
                <w:spacing w:val="-2"/>
              </w:rPr>
              <w:t>of</w:t>
            </w:r>
            <w:r>
              <w:rPr>
                <w:rFonts w:ascii="Times New Roman"/>
                <w:spacing w:val="-5"/>
              </w:rPr>
              <w:t xml:space="preserve"> </w:t>
            </w:r>
            <w:r>
              <w:rPr>
                <w:rFonts w:ascii="Times New Roman"/>
                <w:spacing w:val="-2"/>
              </w:rPr>
              <w:t>Procuring</w:t>
            </w:r>
            <w:r>
              <w:rPr>
                <w:rFonts w:ascii="Times New Roman"/>
                <w:spacing w:val="-6"/>
              </w:rPr>
              <w:t xml:space="preserve"> </w:t>
            </w:r>
            <w:r>
              <w:rPr>
                <w:rFonts w:ascii="Times New Roman"/>
                <w:spacing w:val="-2"/>
              </w:rPr>
              <w:t>Entity:</w:t>
            </w:r>
          </w:p>
        </w:tc>
      </w:tr>
      <w:tr w:rsidR="007F6DF9">
        <w:trPr>
          <w:trHeight w:val="508"/>
        </w:trPr>
        <w:tc>
          <w:tcPr>
            <w:tcW w:w="1440" w:type="dxa"/>
            <w:vMerge/>
            <w:tcBorders>
              <w:top w:val="nil"/>
            </w:tcBorders>
          </w:tcPr>
          <w:p w:rsidR="007F6DF9" w:rsidRDefault="007F6DF9">
            <w:pPr>
              <w:rPr>
                <w:sz w:val="2"/>
                <w:szCs w:val="2"/>
              </w:rPr>
            </w:pPr>
          </w:p>
        </w:tc>
        <w:tc>
          <w:tcPr>
            <w:tcW w:w="3960" w:type="dxa"/>
          </w:tcPr>
          <w:p w:rsidR="007F6DF9" w:rsidRDefault="00A43FBC">
            <w:pPr>
              <w:pStyle w:val="TableParagraph"/>
              <w:ind w:left="72"/>
              <w:rPr>
                <w:rFonts w:ascii="Times New Roman"/>
              </w:rPr>
            </w:pPr>
            <w:r>
              <w:rPr>
                <w:rFonts w:ascii="Times New Roman"/>
                <w:spacing w:val="-2"/>
              </w:rPr>
              <w:t>Telephone:</w:t>
            </w:r>
          </w:p>
        </w:tc>
        <w:tc>
          <w:tcPr>
            <w:tcW w:w="3692" w:type="dxa"/>
          </w:tcPr>
          <w:p w:rsidR="007F6DF9" w:rsidRDefault="00A43FBC">
            <w:pPr>
              <w:pStyle w:val="TableParagraph"/>
              <w:ind w:left="73"/>
              <w:rPr>
                <w:rFonts w:ascii="Times New Roman"/>
              </w:rPr>
            </w:pPr>
            <w:r>
              <w:rPr>
                <w:rFonts w:ascii="Times New Roman"/>
                <w:spacing w:val="-2"/>
              </w:rPr>
              <w:t>Contact</w:t>
            </w:r>
            <w:r>
              <w:rPr>
                <w:rFonts w:ascii="Times New Roman"/>
                <w:spacing w:val="-6"/>
              </w:rPr>
              <w:t xml:space="preserve"> </w:t>
            </w:r>
            <w:r>
              <w:rPr>
                <w:rFonts w:ascii="Times New Roman"/>
                <w:spacing w:val="-2"/>
              </w:rPr>
              <w:t>(manager</w:t>
            </w:r>
            <w:r>
              <w:rPr>
                <w:rFonts w:ascii="Times New Roman"/>
                <w:spacing w:val="-6"/>
              </w:rPr>
              <w:t xml:space="preserve"> </w:t>
            </w:r>
            <w:r>
              <w:rPr>
                <w:rFonts w:ascii="Times New Roman"/>
                <w:spacing w:val="-2"/>
              </w:rPr>
              <w:t>/</w:t>
            </w:r>
            <w:r>
              <w:rPr>
                <w:rFonts w:ascii="Times New Roman"/>
                <w:spacing w:val="-6"/>
              </w:rPr>
              <w:t xml:space="preserve"> </w:t>
            </w:r>
            <w:r>
              <w:rPr>
                <w:rFonts w:ascii="Times New Roman"/>
                <w:spacing w:val="-2"/>
              </w:rPr>
              <w:t>personnel</w:t>
            </w:r>
            <w:r>
              <w:rPr>
                <w:rFonts w:ascii="Times New Roman"/>
                <w:spacing w:val="-6"/>
              </w:rPr>
              <w:t xml:space="preserve"> </w:t>
            </w:r>
            <w:r>
              <w:rPr>
                <w:rFonts w:ascii="Times New Roman"/>
                <w:spacing w:val="-2"/>
              </w:rPr>
              <w:t>officer):</w:t>
            </w:r>
          </w:p>
        </w:tc>
      </w:tr>
      <w:tr w:rsidR="007F6DF9">
        <w:trPr>
          <w:trHeight w:val="505"/>
        </w:trPr>
        <w:tc>
          <w:tcPr>
            <w:tcW w:w="1440" w:type="dxa"/>
            <w:vMerge/>
            <w:tcBorders>
              <w:top w:val="nil"/>
            </w:tcBorders>
          </w:tcPr>
          <w:p w:rsidR="007F6DF9" w:rsidRDefault="007F6DF9">
            <w:pPr>
              <w:rPr>
                <w:sz w:val="2"/>
                <w:szCs w:val="2"/>
              </w:rPr>
            </w:pPr>
          </w:p>
        </w:tc>
        <w:tc>
          <w:tcPr>
            <w:tcW w:w="3960" w:type="dxa"/>
          </w:tcPr>
          <w:p w:rsidR="007F6DF9" w:rsidRDefault="00A43FBC">
            <w:pPr>
              <w:pStyle w:val="TableParagraph"/>
              <w:spacing w:line="251" w:lineRule="exact"/>
              <w:ind w:left="72"/>
              <w:rPr>
                <w:rFonts w:ascii="Times New Roman"/>
              </w:rPr>
            </w:pPr>
            <w:r>
              <w:rPr>
                <w:rFonts w:ascii="Times New Roman"/>
                <w:spacing w:val="-4"/>
              </w:rPr>
              <w:t>Fax:</w:t>
            </w:r>
          </w:p>
        </w:tc>
        <w:tc>
          <w:tcPr>
            <w:tcW w:w="3692" w:type="dxa"/>
          </w:tcPr>
          <w:p w:rsidR="007F6DF9" w:rsidRDefault="007F6DF9">
            <w:pPr>
              <w:pStyle w:val="TableParagraph"/>
              <w:rPr>
                <w:rFonts w:ascii="Times New Roman"/>
              </w:rPr>
            </w:pPr>
          </w:p>
        </w:tc>
      </w:tr>
      <w:tr w:rsidR="007F6DF9">
        <w:trPr>
          <w:trHeight w:val="506"/>
        </w:trPr>
        <w:tc>
          <w:tcPr>
            <w:tcW w:w="1440" w:type="dxa"/>
            <w:vMerge/>
            <w:tcBorders>
              <w:top w:val="nil"/>
            </w:tcBorders>
          </w:tcPr>
          <w:p w:rsidR="007F6DF9" w:rsidRDefault="007F6DF9">
            <w:pPr>
              <w:rPr>
                <w:sz w:val="2"/>
                <w:szCs w:val="2"/>
              </w:rPr>
            </w:pPr>
          </w:p>
        </w:tc>
        <w:tc>
          <w:tcPr>
            <w:tcW w:w="3960" w:type="dxa"/>
          </w:tcPr>
          <w:p w:rsidR="007F6DF9" w:rsidRDefault="00A43FBC">
            <w:pPr>
              <w:pStyle w:val="TableParagraph"/>
              <w:spacing w:line="252" w:lineRule="exact"/>
              <w:ind w:left="72"/>
              <w:rPr>
                <w:rFonts w:ascii="Times New Roman"/>
              </w:rPr>
            </w:pPr>
            <w:r>
              <w:rPr>
                <w:rFonts w:ascii="Times New Roman"/>
              </w:rPr>
              <w:t>Job</w:t>
            </w:r>
            <w:r>
              <w:rPr>
                <w:rFonts w:ascii="Times New Roman"/>
                <w:spacing w:val="-10"/>
              </w:rPr>
              <w:t xml:space="preserve"> </w:t>
            </w:r>
            <w:r>
              <w:rPr>
                <w:rFonts w:ascii="Times New Roman"/>
                <w:spacing w:val="-2"/>
              </w:rPr>
              <w:t>title:</w:t>
            </w:r>
          </w:p>
        </w:tc>
        <w:tc>
          <w:tcPr>
            <w:tcW w:w="3692" w:type="dxa"/>
          </w:tcPr>
          <w:p w:rsidR="007F6DF9" w:rsidRDefault="00A43FBC">
            <w:pPr>
              <w:pStyle w:val="TableParagraph"/>
              <w:spacing w:line="252" w:lineRule="exact"/>
              <w:ind w:left="73"/>
              <w:rPr>
                <w:rFonts w:ascii="Times New Roman"/>
              </w:rPr>
            </w:pPr>
            <w:r>
              <w:rPr>
                <w:rFonts w:ascii="Times New Roman"/>
                <w:spacing w:val="-2"/>
              </w:rPr>
              <w:t>Years</w:t>
            </w:r>
            <w:r>
              <w:rPr>
                <w:rFonts w:ascii="Times New Roman"/>
                <w:spacing w:val="-7"/>
              </w:rPr>
              <w:t xml:space="preserve"> </w:t>
            </w:r>
            <w:r>
              <w:rPr>
                <w:rFonts w:ascii="Times New Roman"/>
                <w:spacing w:val="-2"/>
              </w:rPr>
              <w:t>with</w:t>
            </w:r>
            <w:r>
              <w:rPr>
                <w:rFonts w:ascii="Times New Roman"/>
                <w:spacing w:val="-7"/>
              </w:rPr>
              <w:t xml:space="preserve"> </w:t>
            </w:r>
            <w:r>
              <w:rPr>
                <w:rFonts w:ascii="Times New Roman"/>
                <w:spacing w:val="-2"/>
              </w:rPr>
              <w:t>present</w:t>
            </w:r>
            <w:r>
              <w:rPr>
                <w:rFonts w:ascii="Times New Roman"/>
                <w:spacing w:val="-6"/>
              </w:rPr>
              <w:t xml:space="preserve"> </w:t>
            </w:r>
            <w:r>
              <w:rPr>
                <w:rFonts w:ascii="Times New Roman"/>
                <w:spacing w:val="-2"/>
              </w:rPr>
              <w:t>Procuring</w:t>
            </w:r>
            <w:r>
              <w:rPr>
                <w:rFonts w:ascii="Times New Roman"/>
                <w:spacing w:val="-7"/>
              </w:rPr>
              <w:t xml:space="preserve"> </w:t>
            </w:r>
            <w:r>
              <w:rPr>
                <w:rFonts w:ascii="Times New Roman"/>
                <w:spacing w:val="-2"/>
              </w:rPr>
              <w:t>Entity:</w:t>
            </w:r>
          </w:p>
        </w:tc>
      </w:tr>
    </w:tbl>
    <w:p w:rsidR="007F6DF9" w:rsidRDefault="00A43FBC">
      <w:pPr>
        <w:pStyle w:val="BodyText"/>
        <w:spacing w:before="236"/>
        <w:ind w:left="559"/>
      </w:pPr>
      <w:r>
        <w:rPr>
          <w:spacing w:val="-2"/>
        </w:rPr>
        <w:t>Summarize</w:t>
      </w:r>
      <w:r>
        <w:rPr>
          <w:spacing w:val="-5"/>
        </w:rPr>
        <w:t xml:space="preserve"> </w:t>
      </w:r>
      <w:r>
        <w:rPr>
          <w:spacing w:val="-2"/>
        </w:rPr>
        <w:t>professional</w:t>
      </w:r>
      <w:r>
        <w:rPr>
          <w:spacing w:val="-3"/>
        </w:rPr>
        <w:t xml:space="preserve"> </w:t>
      </w:r>
      <w:r>
        <w:rPr>
          <w:spacing w:val="-2"/>
        </w:rPr>
        <w:t>experience</w:t>
      </w:r>
      <w:r>
        <w:rPr>
          <w:spacing w:val="-7"/>
        </w:rPr>
        <w:t xml:space="preserve"> </w:t>
      </w:r>
      <w:r>
        <w:rPr>
          <w:spacing w:val="-2"/>
        </w:rPr>
        <w:t>in</w:t>
      </w:r>
      <w:r>
        <w:rPr>
          <w:spacing w:val="-5"/>
        </w:rPr>
        <w:t xml:space="preserve"> </w:t>
      </w:r>
      <w:r>
        <w:rPr>
          <w:spacing w:val="-2"/>
        </w:rPr>
        <w:t>reverse</w:t>
      </w:r>
      <w:r>
        <w:rPr>
          <w:spacing w:val="-5"/>
        </w:rPr>
        <w:t xml:space="preserve"> </w:t>
      </w:r>
      <w:r>
        <w:rPr>
          <w:spacing w:val="-2"/>
        </w:rPr>
        <w:t>chronological</w:t>
      </w:r>
      <w:r>
        <w:rPr>
          <w:spacing w:val="-4"/>
        </w:rPr>
        <w:t xml:space="preserve"> </w:t>
      </w:r>
      <w:r>
        <w:rPr>
          <w:spacing w:val="-2"/>
        </w:rPr>
        <w:t>order.</w:t>
      </w:r>
      <w:r>
        <w:rPr>
          <w:spacing w:val="-5"/>
        </w:rPr>
        <w:t xml:space="preserve"> </w:t>
      </w:r>
      <w:r>
        <w:rPr>
          <w:spacing w:val="-2"/>
        </w:rPr>
        <w:t>Indicate</w:t>
      </w:r>
      <w:r>
        <w:rPr>
          <w:spacing w:val="-5"/>
        </w:rPr>
        <w:t xml:space="preserve"> </w:t>
      </w:r>
      <w:r>
        <w:rPr>
          <w:spacing w:val="-2"/>
        </w:rPr>
        <w:t>particular</w:t>
      </w:r>
      <w:r>
        <w:rPr>
          <w:spacing w:val="-4"/>
        </w:rPr>
        <w:t xml:space="preserve"> </w:t>
      </w:r>
      <w:r>
        <w:rPr>
          <w:spacing w:val="-2"/>
        </w:rPr>
        <w:t>technical</w:t>
      </w:r>
      <w:r>
        <w:rPr>
          <w:spacing w:val="-4"/>
        </w:rPr>
        <w:t xml:space="preserve"> </w:t>
      </w:r>
      <w:r>
        <w:rPr>
          <w:spacing w:val="-2"/>
        </w:rPr>
        <w:t>and</w:t>
      </w:r>
      <w:r>
        <w:rPr>
          <w:spacing w:val="-5"/>
        </w:rPr>
        <w:t xml:space="preserve"> </w:t>
      </w:r>
      <w:r>
        <w:rPr>
          <w:spacing w:val="-2"/>
        </w:rPr>
        <w:t>managerial</w:t>
      </w:r>
      <w:r>
        <w:rPr>
          <w:spacing w:val="-4"/>
        </w:rPr>
        <w:t xml:space="preserve"> </w:t>
      </w:r>
      <w:r>
        <w:rPr>
          <w:spacing w:val="-2"/>
        </w:rPr>
        <w:t xml:space="preserve">experience </w:t>
      </w:r>
      <w:r>
        <w:t>relevant to the project.</w:t>
      </w:r>
    </w:p>
    <w:p w:rsidR="007F6DF9" w:rsidRDefault="007F6DF9">
      <w:pPr>
        <w:pStyle w:val="BodyText"/>
        <w:spacing w:before="23" w:after="1"/>
        <w:rPr>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2261"/>
        <w:gridCol w:w="1440"/>
        <w:gridCol w:w="4232"/>
      </w:tblGrid>
      <w:tr w:rsidR="007F6DF9">
        <w:trPr>
          <w:trHeight w:val="505"/>
        </w:trPr>
        <w:tc>
          <w:tcPr>
            <w:tcW w:w="1080" w:type="dxa"/>
          </w:tcPr>
          <w:p w:rsidR="007F6DF9" w:rsidRDefault="00A43FBC">
            <w:pPr>
              <w:pStyle w:val="TableParagraph"/>
              <w:spacing w:before="125"/>
              <w:ind w:left="71"/>
              <w:rPr>
                <w:rFonts w:ascii="Times New Roman"/>
              </w:rPr>
            </w:pPr>
            <w:r>
              <w:rPr>
                <w:rFonts w:ascii="Times New Roman"/>
                <w:spacing w:val="-2"/>
              </w:rPr>
              <w:t>Project</w:t>
            </w:r>
          </w:p>
        </w:tc>
        <w:tc>
          <w:tcPr>
            <w:tcW w:w="2261" w:type="dxa"/>
          </w:tcPr>
          <w:p w:rsidR="007F6DF9" w:rsidRDefault="00A43FBC">
            <w:pPr>
              <w:pStyle w:val="TableParagraph"/>
              <w:spacing w:before="125"/>
              <w:ind w:left="72"/>
              <w:rPr>
                <w:rFonts w:ascii="Times New Roman"/>
              </w:rPr>
            </w:pPr>
            <w:r>
              <w:rPr>
                <w:rFonts w:ascii="Times New Roman"/>
                <w:spacing w:val="-4"/>
              </w:rPr>
              <w:t>Role</w:t>
            </w:r>
          </w:p>
        </w:tc>
        <w:tc>
          <w:tcPr>
            <w:tcW w:w="1440" w:type="dxa"/>
          </w:tcPr>
          <w:p w:rsidR="007F6DF9" w:rsidRDefault="00A43FBC">
            <w:pPr>
              <w:pStyle w:val="TableParagraph"/>
              <w:spacing w:line="254" w:lineRule="exact"/>
              <w:ind w:left="72"/>
              <w:rPr>
                <w:rFonts w:ascii="Times New Roman"/>
              </w:rPr>
            </w:pPr>
            <w:r>
              <w:rPr>
                <w:rFonts w:ascii="Times New Roman"/>
              </w:rPr>
              <w:t xml:space="preserve">Duration of </w:t>
            </w:r>
            <w:r>
              <w:rPr>
                <w:rFonts w:ascii="Times New Roman"/>
                <w:spacing w:val="-4"/>
              </w:rPr>
              <w:t>involvement</w:t>
            </w:r>
          </w:p>
        </w:tc>
        <w:tc>
          <w:tcPr>
            <w:tcW w:w="4232" w:type="dxa"/>
          </w:tcPr>
          <w:p w:rsidR="007F6DF9" w:rsidRDefault="00A43FBC">
            <w:pPr>
              <w:pStyle w:val="TableParagraph"/>
              <w:spacing w:before="125"/>
              <w:ind w:left="72"/>
              <w:rPr>
                <w:rFonts w:ascii="Times New Roman"/>
              </w:rPr>
            </w:pPr>
            <w:r>
              <w:rPr>
                <w:rFonts w:ascii="Times New Roman"/>
                <w:spacing w:val="-2"/>
              </w:rPr>
              <w:t>Relevant</w:t>
            </w:r>
            <w:r>
              <w:rPr>
                <w:rFonts w:ascii="Times New Roman"/>
                <w:spacing w:val="-6"/>
              </w:rPr>
              <w:t xml:space="preserve"> </w:t>
            </w:r>
            <w:r>
              <w:rPr>
                <w:rFonts w:ascii="Times New Roman"/>
                <w:spacing w:val="-2"/>
              </w:rPr>
              <w:t>experience</w:t>
            </w:r>
          </w:p>
        </w:tc>
      </w:tr>
      <w:tr w:rsidR="007F6DF9">
        <w:trPr>
          <w:trHeight w:val="758"/>
        </w:trPr>
        <w:tc>
          <w:tcPr>
            <w:tcW w:w="1080" w:type="dxa"/>
          </w:tcPr>
          <w:p w:rsidR="007F6DF9" w:rsidRDefault="00A43FBC">
            <w:pPr>
              <w:pStyle w:val="TableParagraph"/>
              <w:spacing w:line="249" w:lineRule="exact"/>
              <w:ind w:left="71"/>
              <w:rPr>
                <w:rFonts w:ascii="Times New Roman"/>
                <w:i/>
              </w:rPr>
            </w:pPr>
            <w:r>
              <w:rPr>
                <w:rFonts w:ascii="Times New Roman"/>
                <w:i/>
                <w:spacing w:val="-2"/>
              </w:rPr>
              <w:t>[main</w:t>
            </w:r>
          </w:p>
          <w:p w:rsidR="007F6DF9" w:rsidRDefault="00A43FBC">
            <w:pPr>
              <w:pStyle w:val="TableParagraph"/>
              <w:spacing w:line="252" w:lineRule="exact"/>
              <w:ind w:left="71"/>
              <w:rPr>
                <w:rFonts w:ascii="Times New Roman"/>
                <w:i/>
              </w:rPr>
            </w:pPr>
            <w:r>
              <w:rPr>
                <w:rFonts w:ascii="Times New Roman"/>
                <w:i/>
                <w:spacing w:val="-2"/>
              </w:rPr>
              <w:t xml:space="preserve">project </w:t>
            </w:r>
            <w:r>
              <w:rPr>
                <w:rFonts w:ascii="Times New Roman"/>
                <w:i/>
                <w:spacing w:val="-4"/>
              </w:rPr>
              <w:t>details]</w:t>
            </w:r>
          </w:p>
        </w:tc>
        <w:tc>
          <w:tcPr>
            <w:tcW w:w="2261" w:type="dxa"/>
          </w:tcPr>
          <w:p w:rsidR="007F6DF9" w:rsidRDefault="00A43FBC">
            <w:pPr>
              <w:pStyle w:val="TableParagraph"/>
              <w:spacing w:line="249" w:lineRule="exact"/>
              <w:ind w:left="72"/>
              <w:rPr>
                <w:rFonts w:ascii="Times New Roman"/>
                <w:i/>
              </w:rPr>
            </w:pPr>
            <w:r>
              <w:rPr>
                <w:rFonts w:ascii="Times New Roman"/>
                <w:i/>
                <w:spacing w:val="-2"/>
              </w:rPr>
              <w:t>[role</w:t>
            </w:r>
            <w:r>
              <w:rPr>
                <w:rFonts w:ascii="Times New Roman"/>
                <w:i/>
                <w:spacing w:val="-4"/>
              </w:rPr>
              <w:t xml:space="preserve"> </w:t>
            </w:r>
            <w:r>
              <w:rPr>
                <w:rFonts w:ascii="Times New Roman"/>
                <w:i/>
                <w:spacing w:val="-5"/>
              </w:rPr>
              <w:t>and</w:t>
            </w:r>
          </w:p>
          <w:p w:rsidR="007F6DF9" w:rsidRDefault="00A43FBC">
            <w:pPr>
              <w:pStyle w:val="TableParagraph"/>
              <w:spacing w:line="252" w:lineRule="exact"/>
              <w:ind w:left="72"/>
              <w:rPr>
                <w:rFonts w:ascii="Times New Roman"/>
                <w:i/>
              </w:rPr>
            </w:pPr>
            <w:r>
              <w:rPr>
                <w:rFonts w:ascii="Times New Roman"/>
                <w:i/>
                <w:spacing w:val="-2"/>
              </w:rPr>
              <w:t>responsibilities</w:t>
            </w:r>
            <w:r>
              <w:rPr>
                <w:rFonts w:ascii="Times New Roman"/>
                <w:i/>
                <w:spacing w:val="-12"/>
              </w:rPr>
              <w:t xml:space="preserve"> </w:t>
            </w:r>
            <w:r>
              <w:rPr>
                <w:rFonts w:ascii="Times New Roman"/>
                <w:i/>
                <w:spacing w:val="-2"/>
              </w:rPr>
              <w:t>on</w:t>
            </w:r>
            <w:r>
              <w:rPr>
                <w:rFonts w:ascii="Times New Roman"/>
                <w:i/>
                <w:spacing w:val="-12"/>
              </w:rPr>
              <w:t xml:space="preserve"> </w:t>
            </w:r>
            <w:r>
              <w:rPr>
                <w:rFonts w:ascii="Times New Roman"/>
                <w:i/>
                <w:spacing w:val="-2"/>
              </w:rPr>
              <w:t>the project]</w:t>
            </w:r>
          </w:p>
        </w:tc>
        <w:tc>
          <w:tcPr>
            <w:tcW w:w="1440" w:type="dxa"/>
          </w:tcPr>
          <w:p w:rsidR="007F6DF9" w:rsidRDefault="00A43FBC">
            <w:pPr>
              <w:pStyle w:val="TableParagraph"/>
              <w:spacing w:before="250"/>
              <w:ind w:left="72"/>
              <w:rPr>
                <w:rFonts w:ascii="Times New Roman"/>
                <w:i/>
              </w:rPr>
            </w:pPr>
            <w:r>
              <w:rPr>
                <w:rFonts w:ascii="Times New Roman"/>
                <w:i/>
              </w:rPr>
              <w:t>[time</w:t>
            </w:r>
            <w:r>
              <w:rPr>
                <w:rFonts w:ascii="Times New Roman"/>
                <w:i/>
                <w:spacing w:val="-13"/>
              </w:rPr>
              <w:t xml:space="preserve"> </w:t>
            </w:r>
            <w:r>
              <w:rPr>
                <w:rFonts w:ascii="Times New Roman"/>
                <w:i/>
              </w:rPr>
              <w:t>in</w:t>
            </w:r>
            <w:r>
              <w:rPr>
                <w:rFonts w:ascii="Times New Roman"/>
                <w:i/>
                <w:spacing w:val="-11"/>
              </w:rPr>
              <w:t xml:space="preserve"> </w:t>
            </w:r>
            <w:r>
              <w:rPr>
                <w:rFonts w:ascii="Times New Roman"/>
                <w:i/>
                <w:spacing w:val="-2"/>
              </w:rPr>
              <w:t>role]</w:t>
            </w:r>
          </w:p>
        </w:tc>
        <w:tc>
          <w:tcPr>
            <w:tcW w:w="4232" w:type="dxa"/>
          </w:tcPr>
          <w:p w:rsidR="007F6DF9" w:rsidRDefault="00A43FBC">
            <w:pPr>
              <w:pStyle w:val="TableParagraph"/>
              <w:spacing w:before="123"/>
              <w:ind w:left="72" w:right="684"/>
              <w:rPr>
                <w:rFonts w:ascii="Times New Roman"/>
                <w:i/>
              </w:rPr>
            </w:pPr>
            <w:r>
              <w:rPr>
                <w:rFonts w:ascii="Times New Roman"/>
                <w:i/>
                <w:spacing w:val="-2"/>
              </w:rPr>
              <w:t>[describe</w:t>
            </w:r>
            <w:r>
              <w:rPr>
                <w:rFonts w:ascii="Times New Roman"/>
                <w:i/>
                <w:spacing w:val="-11"/>
              </w:rPr>
              <w:t xml:space="preserve"> </w:t>
            </w:r>
            <w:r>
              <w:rPr>
                <w:rFonts w:ascii="Times New Roman"/>
                <w:i/>
                <w:spacing w:val="-2"/>
              </w:rPr>
              <w:t>the</w:t>
            </w:r>
            <w:r>
              <w:rPr>
                <w:rFonts w:ascii="Times New Roman"/>
                <w:i/>
                <w:spacing w:val="-9"/>
              </w:rPr>
              <w:t xml:space="preserve"> </w:t>
            </w:r>
            <w:r>
              <w:rPr>
                <w:rFonts w:ascii="Times New Roman"/>
                <w:i/>
                <w:spacing w:val="-2"/>
              </w:rPr>
              <w:t>experience</w:t>
            </w:r>
            <w:r>
              <w:rPr>
                <w:rFonts w:ascii="Times New Roman"/>
                <w:i/>
                <w:spacing w:val="-9"/>
              </w:rPr>
              <w:t xml:space="preserve"> </w:t>
            </w:r>
            <w:r>
              <w:rPr>
                <w:rFonts w:ascii="Times New Roman"/>
                <w:i/>
                <w:spacing w:val="-2"/>
              </w:rPr>
              <w:t>relevant</w:t>
            </w:r>
            <w:r>
              <w:rPr>
                <w:rFonts w:ascii="Times New Roman"/>
                <w:i/>
                <w:spacing w:val="-8"/>
              </w:rPr>
              <w:t xml:space="preserve"> </w:t>
            </w:r>
            <w:r>
              <w:rPr>
                <w:rFonts w:ascii="Times New Roman"/>
                <w:i/>
                <w:spacing w:val="-2"/>
              </w:rPr>
              <w:t>to</w:t>
            </w:r>
            <w:r>
              <w:rPr>
                <w:rFonts w:ascii="Times New Roman"/>
                <w:i/>
                <w:spacing w:val="-9"/>
              </w:rPr>
              <w:t xml:space="preserve"> </w:t>
            </w:r>
            <w:r>
              <w:rPr>
                <w:rFonts w:ascii="Times New Roman"/>
                <w:i/>
                <w:spacing w:val="-2"/>
              </w:rPr>
              <w:t>this position]</w:t>
            </w:r>
          </w:p>
        </w:tc>
      </w:tr>
      <w:tr w:rsidR="007F6DF9">
        <w:trPr>
          <w:trHeight w:val="251"/>
        </w:trPr>
        <w:tc>
          <w:tcPr>
            <w:tcW w:w="1080" w:type="dxa"/>
            <w:tcBorders>
              <w:bottom w:val="dotted" w:sz="4" w:space="0" w:color="000000"/>
            </w:tcBorders>
          </w:tcPr>
          <w:p w:rsidR="007F6DF9" w:rsidRDefault="007F6DF9">
            <w:pPr>
              <w:pStyle w:val="TableParagraph"/>
              <w:rPr>
                <w:rFonts w:ascii="Times New Roman"/>
                <w:sz w:val="18"/>
              </w:rPr>
            </w:pPr>
          </w:p>
        </w:tc>
        <w:tc>
          <w:tcPr>
            <w:tcW w:w="2261" w:type="dxa"/>
            <w:tcBorders>
              <w:bottom w:val="dotted" w:sz="4" w:space="0" w:color="000000"/>
            </w:tcBorders>
          </w:tcPr>
          <w:p w:rsidR="007F6DF9" w:rsidRDefault="007F6DF9">
            <w:pPr>
              <w:pStyle w:val="TableParagraph"/>
              <w:rPr>
                <w:rFonts w:ascii="Times New Roman"/>
                <w:sz w:val="18"/>
              </w:rPr>
            </w:pPr>
          </w:p>
        </w:tc>
        <w:tc>
          <w:tcPr>
            <w:tcW w:w="1440" w:type="dxa"/>
            <w:tcBorders>
              <w:bottom w:val="dotted" w:sz="4" w:space="0" w:color="000000"/>
            </w:tcBorders>
          </w:tcPr>
          <w:p w:rsidR="007F6DF9" w:rsidRDefault="007F6DF9">
            <w:pPr>
              <w:pStyle w:val="TableParagraph"/>
              <w:rPr>
                <w:rFonts w:ascii="Times New Roman"/>
                <w:sz w:val="18"/>
              </w:rPr>
            </w:pPr>
          </w:p>
        </w:tc>
        <w:tc>
          <w:tcPr>
            <w:tcW w:w="4232" w:type="dxa"/>
            <w:tcBorders>
              <w:bottom w:val="dotted" w:sz="4" w:space="0" w:color="000000"/>
            </w:tcBorders>
          </w:tcPr>
          <w:p w:rsidR="007F6DF9" w:rsidRDefault="007F6DF9">
            <w:pPr>
              <w:pStyle w:val="TableParagraph"/>
              <w:rPr>
                <w:rFonts w:ascii="Times New Roman"/>
                <w:sz w:val="18"/>
              </w:rPr>
            </w:pPr>
          </w:p>
        </w:tc>
      </w:tr>
      <w:tr w:rsidR="007F6DF9">
        <w:trPr>
          <w:trHeight w:val="253"/>
        </w:trPr>
        <w:tc>
          <w:tcPr>
            <w:tcW w:w="1080" w:type="dxa"/>
            <w:tcBorders>
              <w:top w:val="dotted" w:sz="4" w:space="0" w:color="000000"/>
              <w:bottom w:val="dotted" w:sz="4" w:space="0" w:color="000000"/>
            </w:tcBorders>
          </w:tcPr>
          <w:p w:rsidR="007F6DF9" w:rsidRDefault="007F6DF9">
            <w:pPr>
              <w:pStyle w:val="TableParagraph"/>
              <w:rPr>
                <w:rFonts w:ascii="Times New Roman"/>
                <w:sz w:val="18"/>
              </w:rPr>
            </w:pPr>
          </w:p>
        </w:tc>
        <w:tc>
          <w:tcPr>
            <w:tcW w:w="2261" w:type="dxa"/>
            <w:tcBorders>
              <w:top w:val="dotted" w:sz="4" w:space="0" w:color="000000"/>
              <w:bottom w:val="dotted" w:sz="4" w:space="0" w:color="000000"/>
            </w:tcBorders>
          </w:tcPr>
          <w:p w:rsidR="007F6DF9" w:rsidRDefault="007F6DF9">
            <w:pPr>
              <w:pStyle w:val="TableParagraph"/>
              <w:rPr>
                <w:rFonts w:ascii="Times New Roman"/>
                <w:sz w:val="18"/>
              </w:rPr>
            </w:pPr>
          </w:p>
        </w:tc>
        <w:tc>
          <w:tcPr>
            <w:tcW w:w="1440" w:type="dxa"/>
            <w:tcBorders>
              <w:top w:val="dotted" w:sz="4" w:space="0" w:color="000000"/>
              <w:bottom w:val="dotted" w:sz="4" w:space="0" w:color="000000"/>
            </w:tcBorders>
          </w:tcPr>
          <w:p w:rsidR="007F6DF9" w:rsidRDefault="007F6DF9">
            <w:pPr>
              <w:pStyle w:val="TableParagraph"/>
              <w:rPr>
                <w:rFonts w:ascii="Times New Roman"/>
                <w:sz w:val="18"/>
              </w:rPr>
            </w:pPr>
          </w:p>
        </w:tc>
        <w:tc>
          <w:tcPr>
            <w:tcW w:w="4232" w:type="dxa"/>
            <w:tcBorders>
              <w:top w:val="dotted" w:sz="4" w:space="0" w:color="000000"/>
              <w:bottom w:val="dotted" w:sz="4" w:space="0" w:color="000000"/>
            </w:tcBorders>
          </w:tcPr>
          <w:p w:rsidR="007F6DF9" w:rsidRDefault="007F6DF9">
            <w:pPr>
              <w:pStyle w:val="TableParagraph"/>
              <w:rPr>
                <w:rFonts w:ascii="Times New Roman"/>
                <w:sz w:val="18"/>
              </w:rPr>
            </w:pPr>
          </w:p>
        </w:tc>
      </w:tr>
      <w:tr w:rsidR="007F6DF9">
        <w:trPr>
          <w:trHeight w:val="252"/>
        </w:trPr>
        <w:tc>
          <w:tcPr>
            <w:tcW w:w="1080" w:type="dxa"/>
            <w:tcBorders>
              <w:top w:val="dotted" w:sz="4" w:space="0" w:color="000000"/>
              <w:bottom w:val="dotted" w:sz="4" w:space="0" w:color="000000"/>
            </w:tcBorders>
          </w:tcPr>
          <w:p w:rsidR="007F6DF9" w:rsidRDefault="007F6DF9">
            <w:pPr>
              <w:pStyle w:val="TableParagraph"/>
              <w:rPr>
                <w:rFonts w:ascii="Times New Roman"/>
                <w:sz w:val="18"/>
              </w:rPr>
            </w:pPr>
          </w:p>
        </w:tc>
        <w:tc>
          <w:tcPr>
            <w:tcW w:w="2261" w:type="dxa"/>
            <w:tcBorders>
              <w:top w:val="dotted" w:sz="4" w:space="0" w:color="000000"/>
              <w:bottom w:val="dotted" w:sz="4" w:space="0" w:color="000000"/>
            </w:tcBorders>
          </w:tcPr>
          <w:p w:rsidR="007F6DF9" w:rsidRDefault="007F6DF9">
            <w:pPr>
              <w:pStyle w:val="TableParagraph"/>
              <w:rPr>
                <w:rFonts w:ascii="Times New Roman"/>
                <w:sz w:val="18"/>
              </w:rPr>
            </w:pPr>
          </w:p>
        </w:tc>
        <w:tc>
          <w:tcPr>
            <w:tcW w:w="1440" w:type="dxa"/>
            <w:tcBorders>
              <w:top w:val="dotted" w:sz="4" w:space="0" w:color="000000"/>
              <w:bottom w:val="dotted" w:sz="4" w:space="0" w:color="000000"/>
            </w:tcBorders>
          </w:tcPr>
          <w:p w:rsidR="007F6DF9" w:rsidRDefault="007F6DF9">
            <w:pPr>
              <w:pStyle w:val="TableParagraph"/>
              <w:rPr>
                <w:rFonts w:ascii="Times New Roman"/>
                <w:sz w:val="18"/>
              </w:rPr>
            </w:pPr>
          </w:p>
        </w:tc>
        <w:tc>
          <w:tcPr>
            <w:tcW w:w="4232" w:type="dxa"/>
            <w:tcBorders>
              <w:top w:val="dotted" w:sz="4" w:space="0" w:color="000000"/>
              <w:bottom w:val="dotted" w:sz="4" w:space="0" w:color="000000"/>
            </w:tcBorders>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pgSz w:w="11920" w:h="16850"/>
          <w:pgMar w:top="360" w:right="283" w:bottom="620" w:left="141" w:header="0" w:footer="437" w:gutter="0"/>
          <w:cols w:space="720"/>
        </w:sectPr>
      </w:pPr>
    </w:p>
    <w:p w:rsidR="007F6DF9" w:rsidRDefault="007F6DF9">
      <w:pPr>
        <w:pStyle w:val="BodyText"/>
      </w:pPr>
    </w:p>
    <w:p w:rsidR="007F6DF9" w:rsidRDefault="007F6DF9">
      <w:pPr>
        <w:pStyle w:val="BodyText"/>
        <w:spacing w:before="23"/>
      </w:pPr>
    </w:p>
    <w:p w:rsidR="007F6DF9" w:rsidRDefault="00A43FBC">
      <w:pPr>
        <w:pStyle w:val="Heading9"/>
        <w:ind w:left="713" w:firstLine="0"/>
      </w:pPr>
      <w:r>
        <w:rPr>
          <w:color w:val="221F1F"/>
          <w:spacing w:val="-2"/>
        </w:rPr>
        <w:t>Declaration</w:t>
      </w:r>
    </w:p>
    <w:p w:rsidR="007F6DF9" w:rsidRDefault="00A43FBC">
      <w:pPr>
        <w:spacing w:before="242"/>
        <w:ind w:left="559" w:right="332"/>
      </w:pPr>
      <w:r>
        <w:t>I,</w:t>
      </w:r>
      <w:r>
        <w:rPr>
          <w:spacing w:val="-2"/>
        </w:rPr>
        <w:t xml:space="preserve"> </w:t>
      </w:r>
      <w:r>
        <w:t>the</w:t>
      </w:r>
      <w:r>
        <w:rPr>
          <w:spacing w:val="-2"/>
        </w:rPr>
        <w:t xml:space="preserve"> </w:t>
      </w:r>
      <w:r>
        <w:t>undersigned</w:t>
      </w:r>
      <w:r>
        <w:rPr>
          <w:spacing w:val="-1"/>
        </w:rPr>
        <w:t xml:space="preserve"> </w:t>
      </w:r>
      <w:r>
        <w:rPr>
          <w:i/>
        </w:rPr>
        <w:t>[insert</w:t>
      </w:r>
      <w:r>
        <w:rPr>
          <w:i/>
          <w:spacing w:val="-3"/>
        </w:rPr>
        <w:t xml:space="preserve"> </w:t>
      </w:r>
      <w:r>
        <w:rPr>
          <w:i/>
        </w:rPr>
        <w:t>either</w:t>
      </w:r>
      <w:r>
        <w:rPr>
          <w:i/>
          <w:spacing w:val="-2"/>
        </w:rPr>
        <w:t xml:space="preserve"> </w:t>
      </w:r>
      <w:r>
        <w:rPr>
          <w:i/>
        </w:rPr>
        <w:t>“Contractor’s</w:t>
      </w:r>
      <w:r>
        <w:rPr>
          <w:i/>
          <w:spacing w:val="-2"/>
        </w:rPr>
        <w:t xml:space="preserve"> </w:t>
      </w:r>
      <w:r>
        <w:rPr>
          <w:i/>
        </w:rPr>
        <w:t>Representative”</w:t>
      </w:r>
      <w:r>
        <w:rPr>
          <w:i/>
          <w:spacing w:val="-2"/>
        </w:rPr>
        <w:t xml:space="preserve"> </w:t>
      </w:r>
      <w:r>
        <w:rPr>
          <w:i/>
        </w:rPr>
        <w:t>or</w:t>
      </w:r>
      <w:r>
        <w:rPr>
          <w:i/>
          <w:spacing w:val="-2"/>
        </w:rPr>
        <w:t xml:space="preserve"> </w:t>
      </w:r>
      <w:r>
        <w:rPr>
          <w:i/>
        </w:rPr>
        <w:t>“Key</w:t>
      </w:r>
      <w:r>
        <w:rPr>
          <w:i/>
          <w:spacing w:val="-2"/>
        </w:rPr>
        <w:t xml:space="preserve"> </w:t>
      </w:r>
      <w:r>
        <w:rPr>
          <w:i/>
        </w:rPr>
        <w:t>Personnel”</w:t>
      </w:r>
      <w:r>
        <w:rPr>
          <w:i/>
          <w:spacing w:val="-2"/>
        </w:rPr>
        <w:t xml:space="preserve"> </w:t>
      </w:r>
      <w:r>
        <w:rPr>
          <w:i/>
        </w:rPr>
        <w:t>as</w:t>
      </w:r>
      <w:r>
        <w:rPr>
          <w:i/>
          <w:spacing w:val="-2"/>
        </w:rPr>
        <w:t xml:space="preserve"> </w:t>
      </w:r>
      <w:r>
        <w:rPr>
          <w:i/>
        </w:rPr>
        <w:t>applicable]</w:t>
      </w:r>
      <w:r>
        <w:t>,</w:t>
      </w:r>
      <w:r>
        <w:rPr>
          <w:spacing w:val="-2"/>
        </w:rPr>
        <w:t xml:space="preserve"> </w:t>
      </w:r>
      <w:r>
        <w:t>certify</w:t>
      </w:r>
      <w:r>
        <w:rPr>
          <w:spacing w:val="-5"/>
        </w:rPr>
        <w:t xml:space="preserve"> </w:t>
      </w:r>
      <w:r>
        <w:t>that</w:t>
      </w:r>
      <w:r>
        <w:rPr>
          <w:spacing w:val="-1"/>
        </w:rPr>
        <w:t xml:space="preserve"> </w:t>
      </w:r>
      <w:r>
        <w:t>to</w:t>
      </w:r>
      <w:r>
        <w:rPr>
          <w:spacing w:val="-5"/>
        </w:rPr>
        <w:t xml:space="preserve"> </w:t>
      </w:r>
      <w:r>
        <w:t>the best of my knowledge and belief, the information contained in this Form PER-2 correctly describes myself, my qualifications and my experience.</w:t>
      </w:r>
    </w:p>
    <w:p w:rsidR="007F6DF9" w:rsidRDefault="007F6DF9">
      <w:pPr>
        <w:pStyle w:val="BodyText"/>
        <w:spacing w:before="1"/>
      </w:pPr>
    </w:p>
    <w:p w:rsidR="007F6DF9" w:rsidRDefault="00A43FBC">
      <w:pPr>
        <w:pStyle w:val="BodyText"/>
        <w:ind w:left="559" w:right="332"/>
      </w:pPr>
      <w:r>
        <w:t>I</w:t>
      </w:r>
      <w:r>
        <w:rPr>
          <w:spacing w:val="-3"/>
        </w:rPr>
        <w:t xml:space="preserve"> </w:t>
      </w:r>
      <w:r>
        <w:t>confirm</w:t>
      </w:r>
      <w:r>
        <w:rPr>
          <w:spacing w:val="-3"/>
        </w:rPr>
        <w:t xml:space="preserve"> </w:t>
      </w:r>
      <w:r>
        <w:t>that I</w:t>
      </w:r>
      <w:r>
        <w:rPr>
          <w:spacing w:val="-3"/>
        </w:rPr>
        <w:t xml:space="preserve"> </w:t>
      </w:r>
      <w:r>
        <w:t>am available</w:t>
      </w:r>
      <w:r>
        <w:rPr>
          <w:spacing w:val="-1"/>
        </w:rPr>
        <w:t xml:space="preserve"> </w:t>
      </w:r>
      <w:r>
        <w:t>as</w:t>
      </w:r>
      <w:r>
        <w:rPr>
          <w:spacing w:val="-1"/>
        </w:rPr>
        <w:t xml:space="preserve"> </w:t>
      </w:r>
      <w:r>
        <w:t>certified</w:t>
      </w:r>
      <w:r>
        <w:rPr>
          <w:spacing w:val="-1"/>
        </w:rPr>
        <w:t xml:space="preserve"> </w:t>
      </w:r>
      <w:r>
        <w:t>in</w:t>
      </w:r>
      <w:r>
        <w:rPr>
          <w:spacing w:val="-1"/>
        </w:rPr>
        <w:t xml:space="preserve"> </w:t>
      </w:r>
      <w:r>
        <w:t>the</w:t>
      </w:r>
      <w:r>
        <w:rPr>
          <w:spacing w:val="-1"/>
        </w:rPr>
        <w:t xml:space="preserve"> </w:t>
      </w:r>
      <w:r>
        <w:t>following</w:t>
      </w:r>
      <w:r>
        <w:rPr>
          <w:spacing w:val="-1"/>
        </w:rPr>
        <w:t xml:space="preserve"> </w:t>
      </w:r>
      <w:r>
        <w:t>table</w:t>
      </w:r>
      <w:r>
        <w:rPr>
          <w:spacing w:val="-3"/>
        </w:rPr>
        <w:t xml:space="preserve"> </w:t>
      </w:r>
      <w:r>
        <w:t>and</w:t>
      </w:r>
      <w:r>
        <w:rPr>
          <w:spacing w:val="-3"/>
        </w:rPr>
        <w:t xml:space="preserve"> </w:t>
      </w:r>
      <w:r>
        <w:t>throughout the</w:t>
      </w:r>
      <w:r>
        <w:rPr>
          <w:spacing w:val="-3"/>
        </w:rPr>
        <w:t xml:space="preserve"> </w:t>
      </w:r>
      <w:r>
        <w:t>expected</w:t>
      </w:r>
      <w:r>
        <w:rPr>
          <w:spacing w:val="-3"/>
        </w:rPr>
        <w:t xml:space="preserve"> </w:t>
      </w:r>
      <w:r>
        <w:t>time</w:t>
      </w:r>
      <w:r>
        <w:rPr>
          <w:spacing w:val="-3"/>
        </w:rPr>
        <w:t xml:space="preserve"> </w:t>
      </w:r>
      <w:r>
        <w:t>schedule</w:t>
      </w:r>
      <w:r>
        <w:rPr>
          <w:spacing w:val="-1"/>
        </w:rPr>
        <w:t xml:space="preserve"> </w:t>
      </w:r>
      <w:r>
        <w:t>for</w:t>
      </w:r>
      <w:r>
        <w:rPr>
          <w:spacing w:val="-3"/>
        </w:rPr>
        <w:t xml:space="preserve"> </w:t>
      </w:r>
      <w:r>
        <w:t>this position as provided in the Tender:</w:t>
      </w:r>
    </w:p>
    <w:p w:rsidR="007F6DF9" w:rsidRDefault="007F6DF9">
      <w:pPr>
        <w:pStyle w:val="BodyText"/>
        <w:spacing w:before="24"/>
        <w:rPr>
          <w:sz w:val="20"/>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5487"/>
      </w:tblGrid>
      <w:tr w:rsidR="007F6DF9">
        <w:trPr>
          <w:trHeight w:val="251"/>
        </w:trPr>
        <w:tc>
          <w:tcPr>
            <w:tcW w:w="3615" w:type="dxa"/>
          </w:tcPr>
          <w:p w:rsidR="007F6DF9" w:rsidRDefault="00A43FBC">
            <w:pPr>
              <w:pStyle w:val="TableParagraph"/>
              <w:spacing w:line="232" w:lineRule="exact"/>
              <w:ind w:left="71"/>
              <w:rPr>
                <w:rFonts w:ascii="Times New Roman"/>
                <w:b/>
              </w:rPr>
            </w:pPr>
            <w:r>
              <w:rPr>
                <w:rFonts w:ascii="Times New Roman"/>
                <w:b/>
                <w:spacing w:val="-2"/>
              </w:rPr>
              <w:t>Commitment</w:t>
            </w:r>
          </w:p>
        </w:tc>
        <w:tc>
          <w:tcPr>
            <w:tcW w:w="5487" w:type="dxa"/>
          </w:tcPr>
          <w:p w:rsidR="007F6DF9" w:rsidRDefault="00A43FBC">
            <w:pPr>
              <w:pStyle w:val="TableParagraph"/>
              <w:spacing w:line="232" w:lineRule="exact"/>
              <w:ind w:left="69"/>
              <w:rPr>
                <w:rFonts w:ascii="Times New Roman"/>
                <w:b/>
              </w:rPr>
            </w:pPr>
            <w:r>
              <w:rPr>
                <w:rFonts w:ascii="Times New Roman"/>
                <w:b/>
                <w:spacing w:val="-2"/>
              </w:rPr>
              <w:t>Details</w:t>
            </w:r>
          </w:p>
        </w:tc>
      </w:tr>
      <w:tr w:rsidR="007F6DF9">
        <w:trPr>
          <w:trHeight w:val="760"/>
        </w:trPr>
        <w:tc>
          <w:tcPr>
            <w:tcW w:w="3615" w:type="dxa"/>
          </w:tcPr>
          <w:p w:rsidR="007F6DF9" w:rsidRDefault="00A43FBC">
            <w:pPr>
              <w:pStyle w:val="TableParagraph"/>
              <w:spacing w:before="1"/>
              <w:ind w:left="71"/>
              <w:rPr>
                <w:rFonts w:ascii="Times New Roman"/>
              </w:rPr>
            </w:pPr>
            <w:r>
              <w:rPr>
                <w:rFonts w:ascii="Times New Roman"/>
                <w:spacing w:val="-2"/>
              </w:rPr>
              <w:t>Commitment</w:t>
            </w:r>
            <w:r>
              <w:rPr>
                <w:rFonts w:ascii="Times New Roman"/>
                <w:spacing w:val="-6"/>
              </w:rPr>
              <w:t xml:space="preserve"> </w:t>
            </w:r>
            <w:r>
              <w:rPr>
                <w:rFonts w:ascii="Times New Roman"/>
                <w:spacing w:val="-2"/>
              </w:rPr>
              <w:t>to</w:t>
            </w:r>
            <w:r>
              <w:rPr>
                <w:rFonts w:ascii="Times New Roman"/>
                <w:spacing w:val="-7"/>
              </w:rPr>
              <w:t xml:space="preserve"> </w:t>
            </w:r>
            <w:r>
              <w:rPr>
                <w:rFonts w:ascii="Times New Roman"/>
                <w:spacing w:val="-2"/>
              </w:rPr>
              <w:t>duration</w:t>
            </w:r>
            <w:r>
              <w:rPr>
                <w:rFonts w:ascii="Times New Roman"/>
                <w:spacing w:val="-7"/>
              </w:rPr>
              <w:t xml:space="preserve"> </w:t>
            </w:r>
            <w:r>
              <w:rPr>
                <w:rFonts w:ascii="Times New Roman"/>
                <w:spacing w:val="-2"/>
              </w:rPr>
              <w:t>of</w:t>
            </w:r>
            <w:r>
              <w:rPr>
                <w:rFonts w:ascii="Times New Roman"/>
                <w:spacing w:val="-8"/>
              </w:rPr>
              <w:t xml:space="preserve"> </w:t>
            </w:r>
            <w:r>
              <w:rPr>
                <w:rFonts w:ascii="Times New Roman"/>
                <w:spacing w:val="-2"/>
              </w:rPr>
              <w:t>contract:</w:t>
            </w:r>
          </w:p>
        </w:tc>
        <w:tc>
          <w:tcPr>
            <w:tcW w:w="5487" w:type="dxa"/>
          </w:tcPr>
          <w:p w:rsidR="007F6DF9" w:rsidRDefault="00A43FBC">
            <w:pPr>
              <w:pStyle w:val="TableParagraph"/>
              <w:spacing w:before="1" w:line="252" w:lineRule="exact"/>
              <w:ind w:left="69"/>
              <w:rPr>
                <w:rFonts w:ascii="Times New Roman"/>
                <w:i/>
              </w:rPr>
            </w:pPr>
            <w:r>
              <w:rPr>
                <w:rFonts w:ascii="Times New Roman"/>
                <w:i/>
                <w:spacing w:val="-2"/>
              </w:rPr>
              <w:t>[insert</w:t>
            </w:r>
            <w:r>
              <w:rPr>
                <w:rFonts w:ascii="Times New Roman"/>
                <w:i/>
                <w:spacing w:val="-5"/>
              </w:rPr>
              <w:t xml:space="preserve"> </w:t>
            </w:r>
            <w:r>
              <w:rPr>
                <w:rFonts w:ascii="Times New Roman"/>
                <w:i/>
                <w:spacing w:val="-2"/>
              </w:rPr>
              <w:t>period</w:t>
            </w:r>
            <w:r>
              <w:rPr>
                <w:rFonts w:ascii="Times New Roman"/>
                <w:i/>
                <w:spacing w:val="-5"/>
              </w:rPr>
              <w:t xml:space="preserve"> </w:t>
            </w:r>
            <w:r>
              <w:rPr>
                <w:rFonts w:ascii="Times New Roman"/>
                <w:i/>
                <w:spacing w:val="-2"/>
              </w:rPr>
              <w:t>(start</w:t>
            </w:r>
            <w:r>
              <w:rPr>
                <w:rFonts w:ascii="Times New Roman"/>
                <w:i/>
                <w:spacing w:val="-5"/>
              </w:rPr>
              <w:t xml:space="preserve"> </w:t>
            </w:r>
            <w:r>
              <w:rPr>
                <w:rFonts w:ascii="Times New Roman"/>
                <w:i/>
                <w:spacing w:val="-2"/>
              </w:rPr>
              <w:t>and</w:t>
            </w:r>
            <w:r>
              <w:rPr>
                <w:rFonts w:ascii="Times New Roman"/>
                <w:i/>
                <w:spacing w:val="-5"/>
              </w:rPr>
              <w:t xml:space="preserve"> </w:t>
            </w:r>
            <w:r>
              <w:rPr>
                <w:rFonts w:ascii="Times New Roman"/>
                <w:i/>
                <w:spacing w:val="-2"/>
              </w:rPr>
              <w:t>end</w:t>
            </w:r>
            <w:r>
              <w:rPr>
                <w:rFonts w:ascii="Times New Roman"/>
                <w:i/>
                <w:spacing w:val="-8"/>
              </w:rPr>
              <w:t xml:space="preserve"> </w:t>
            </w:r>
            <w:r>
              <w:rPr>
                <w:rFonts w:ascii="Times New Roman"/>
                <w:i/>
                <w:spacing w:val="-2"/>
              </w:rPr>
              <w:t>dates)</w:t>
            </w:r>
            <w:r>
              <w:rPr>
                <w:rFonts w:ascii="Times New Roman"/>
                <w:i/>
                <w:spacing w:val="-5"/>
              </w:rPr>
              <w:t xml:space="preserve"> </w:t>
            </w:r>
            <w:r>
              <w:rPr>
                <w:rFonts w:ascii="Times New Roman"/>
                <w:i/>
                <w:spacing w:val="-2"/>
              </w:rPr>
              <w:t>for</w:t>
            </w:r>
            <w:r>
              <w:rPr>
                <w:rFonts w:ascii="Times New Roman"/>
                <w:i/>
                <w:spacing w:val="-5"/>
              </w:rPr>
              <w:t xml:space="preserve"> </w:t>
            </w:r>
            <w:r>
              <w:rPr>
                <w:rFonts w:ascii="Times New Roman"/>
                <w:i/>
                <w:spacing w:val="-2"/>
              </w:rPr>
              <w:t>which</w:t>
            </w:r>
            <w:r>
              <w:rPr>
                <w:rFonts w:ascii="Times New Roman"/>
                <w:i/>
                <w:spacing w:val="-8"/>
              </w:rPr>
              <w:t xml:space="preserve"> </w:t>
            </w:r>
            <w:r>
              <w:rPr>
                <w:rFonts w:ascii="Times New Roman"/>
                <w:i/>
                <w:spacing w:val="-4"/>
              </w:rPr>
              <w:t>this</w:t>
            </w:r>
          </w:p>
          <w:p w:rsidR="007F6DF9" w:rsidRDefault="00A43FBC">
            <w:pPr>
              <w:pStyle w:val="TableParagraph"/>
              <w:spacing w:line="252" w:lineRule="exact"/>
              <w:ind w:left="69" w:right="166"/>
              <w:rPr>
                <w:rFonts w:ascii="Times New Roman" w:hAnsi="Times New Roman"/>
                <w:i/>
              </w:rPr>
            </w:pPr>
            <w:r>
              <w:rPr>
                <w:rFonts w:ascii="Times New Roman" w:hAnsi="Times New Roman"/>
                <w:i/>
              </w:rPr>
              <w:t>Contractor’s</w:t>
            </w:r>
            <w:r>
              <w:rPr>
                <w:rFonts w:ascii="Times New Roman" w:hAnsi="Times New Roman"/>
                <w:i/>
                <w:spacing w:val="-14"/>
              </w:rPr>
              <w:t xml:space="preserve"> </w:t>
            </w:r>
            <w:r>
              <w:rPr>
                <w:rFonts w:ascii="Times New Roman" w:hAnsi="Times New Roman"/>
                <w:i/>
              </w:rPr>
              <w:t>Representative</w:t>
            </w:r>
            <w:r>
              <w:rPr>
                <w:rFonts w:ascii="Times New Roman" w:hAnsi="Times New Roman"/>
                <w:i/>
                <w:spacing w:val="-13"/>
              </w:rPr>
              <w:t xml:space="preserve"> </w:t>
            </w:r>
            <w:r>
              <w:rPr>
                <w:rFonts w:ascii="Times New Roman" w:hAnsi="Times New Roman"/>
                <w:i/>
              </w:rPr>
              <w:t>or</w:t>
            </w:r>
            <w:r>
              <w:rPr>
                <w:rFonts w:ascii="Times New Roman" w:hAnsi="Times New Roman"/>
                <w:i/>
                <w:spacing w:val="-12"/>
              </w:rPr>
              <w:t xml:space="preserve"> </w:t>
            </w:r>
            <w:r>
              <w:rPr>
                <w:rFonts w:ascii="Times New Roman" w:hAnsi="Times New Roman"/>
                <w:i/>
              </w:rPr>
              <w:t>Key</w:t>
            </w:r>
            <w:r>
              <w:rPr>
                <w:rFonts w:ascii="Times New Roman" w:hAnsi="Times New Roman"/>
                <w:i/>
                <w:spacing w:val="-12"/>
              </w:rPr>
              <w:t xml:space="preserve"> </w:t>
            </w:r>
            <w:r>
              <w:rPr>
                <w:rFonts w:ascii="Times New Roman" w:hAnsi="Times New Roman"/>
                <w:i/>
              </w:rPr>
              <w:t>Personnel</w:t>
            </w:r>
            <w:r>
              <w:rPr>
                <w:rFonts w:ascii="Times New Roman" w:hAnsi="Times New Roman"/>
                <w:i/>
                <w:spacing w:val="-14"/>
              </w:rPr>
              <w:t xml:space="preserve"> </w:t>
            </w:r>
            <w:r>
              <w:rPr>
                <w:rFonts w:ascii="Times New Roman" w:hAnsi="Times New Roman"/>
                <w:i/>
              </w:rPr>
              <w:t>is</w:t>
            </w:r>
            <w:r>
              <w:rPr>
                <w:rFonts w:ascii="Times New Roman" w:hAnsi="Times New Roman"/>
                <w:i/>
                <w:spacing w:val="-14"/>
              </w:rPr>
              <w:t xml:space="preserve"> </w:t>
            </w:r>
            <w:r>
              <w:rPr>
                <w:rFonts w:ascii="Times New Roman" w:hAnsi="Times New Roman"/>
                <w:i/>
              </w:rPr>
              <w:t>available to work on this contract]</w:t>
            </w:r>
          </w:p>
        </w:tc>
      </w:tr>
      <w:tr w:rsidR="007F6DF9">
        <w:trPr>
          <w:trHeight w:val="758"/>
        </w:trPr>
        <w:tc>
          <w:tcPr>
            <w:tcW w:w="3615" w:type="dxa"/>
          </w:tcPr>
          <w:p w:rsidR="007F6DF9" w:rsidRDefault="00A43FBC">
            <w:pPr>
              <w:pStyle w:val="TableParagraph"/>
              <w:spacing w:line="251" w:lineRule="exact"/>
              <w:ind w:left="71"/>
              <w:rPr>
                <w:rFonts w:ascii="Times New Roman"/>
              </w:rPr>
            </w:pPr>
            <w:r>
              <w:rPr>
                <w:rFonts w:ascii="Times New Roman"/>
              </w:rPr>
              <w:t>Time</w:t>
            </w:r>
            <w:r>
              <w:rPr>
                <w:rFonts w:ascii="Times New Roman"/>
                <w:spacing w:val="-12"/>
              </w:rPr>
              <w:t xml:space="preserve"> </w:t>
            </w:r>
            <w:r>
              <w:rPr>
                <w:rFonts w:ascii="Times New Roman"/>
                <w:spacing w:val="-2"/>
              </w:rPr>
              <w:t>commitment:</w:t>
            </w:r>
          </w:p>
        </w:tc>
        <w:tc>
          <w:tcPr>
            <w:tcW w:w="5487" w:type="dxa"/>
          </w:tcPr>
          <w:p w:rsidR="007F6DF9" w:rsidRDefault="00A43FBC">
            <w:pPr>
              <w:pStyle w:val="TableParagraph"/>
              <w:spacing w:line="251" w:lineRule="exact"/>
              <w:ind w:left="69"/>
              <w:rPr>
                <w:rFonts w:ascii="Times New Roman"/>
                <w:i/>
              </w:rPr>
            </w:pPr>
            <w:r>
              <w:rPr>
                <w:rFonts w:ascii="Times New Roman"/>
                <w:i/>
                <w:spacing w:val="-2"/>
              </w:rPr>
              <w:t>[insert</w:t>
            </w:r>
            <w:r>
              <w:rPr>
                <w:rFonts w:ascii="Times New Roman"/>
                <w:i/>
                <w:spacing w:val="-5"/>
              </w:rPr>
              <w:t xml:space="preserve"> </w:t>
            </w:r>
            <w:r>
              <w:rPr>
                <w:rFonts w:ascii="Times New Roman"/>
                <w:i/>
                <w:spacing w:val="-2"/>
              </w:rPr>
              <w:t>period</w:t>
            </w:r>
            <w:r>
              <w:rPr>
                <w:rFonts w:ascii="Times New Roman"/>
                <w:i/>
                <w:spacing w:val="-5"/>
              </w:rPr>
              <w:t xml:space="preserve"> </w:t>
            </w:r>
            <w:r>
              <w:rPr>
                <w:rFonts w:ascii="Times New Roman"/>
                <w:i/>
                <w:spacing w:val="-2"/>
              </w:rPr>
              <w:t>(start</w:t>
            </w:r>
            <w:r>
              <w:rPr>
                <w:rFonts w:ascii="Times New Roman"/>
                <w:i/>
                <w:spacing w:val="-5"/>
              </w:rPr>
              <w:t xml:space="preserve"> </w:t>
            </w:r>
            <w:r>
              <w:rPr>
                <w:rFonts w:ascii="Times New Roman"/>
                <w:i/>
                <w:spacing w:val="-2"/>
              </w:rPr>
              <w:t>and</w:t>
            </w:r>
            <w:r>
              <w:rPr>
                <w:rFonts w:ascii="Times New Roman"/>
                <w:i/>
                <w:spacing w:val="-5"/>
              </w:rPr>
              <w:t xml:space="preserve"> </w:t>
            </w:r>
            <w:r>
              <w:rPr>
                <w:rFonts w:ascii="Times New Roman"/>
                <w:i/>
                <w:spacing w:val="-2"/>
              </w:rPr>
              <w:t>end</w:t>
            </w:r>
            <w:r>
              <w:rPr>
                <w:rFonts w:ascii="Times New Roman"/>
                <w:i/>
                <w:spacing w:val="-8"/>
              </w:rPr>
              <w:t xml:space="preserve"> </w:t>
            </w:r>
            <w:r>
              <w:rPr>
                <w:rFonts w:ascii="Times New Roman"/>
                <w:i/>
                <w:spacing w:val="-2"/>
              </w:rPr>
              <w:t>dates)</w:t>
            </w:r>
            <w:r>
              <w:rPr>
                <w:rFonts w:ascii="Times New Roman"/>
                <w:i/>
                <w:spacing w:val="-5"/>
              </w:rPr>
              <w:t xml:space="preserve"> </w:t>
            </w:r>
            <w:r>
              <w:rPr>
                <w:rFonts w:ascii="Times New Roman"/>
                <w:i/>
                <w:spacing w:val="-2"/>
              </w:rPr>
              <w:t>for</w:t>
            </w:r>
            <w:r>
              <w:rPr>
                <w:rFonts w:ascii="Times New Roman"/>
                <w:i/>
                <w:spacing w:val="-5"/>
              </w:rPr>
              <w:t xml:space="preserve"> </w:t>
            </w:r>
            <w:r>
              <w:rPr>
                <w:rFonts w:ascii="Times New Roman"/>
                <w:i/>
                <w:spacing w:val="-2"/>
              </w:rPr>
              <w:t>which</w:t>
            </w:r>
            <w:r>
              <w:rPr>
                <w:rFonts w:ascii="Times New Roman"/>
                <w:i/>
                <w:spacing w:val="-8"/>
              </w:rPr>
              <w:t xml:space="preserve"> </w:t>
            </w:r>
            <w:r>
              <w:rPr>
                <w:rFonts w:ascii="Times New Roman"/>
                <w:i/>
                <w:spacing w:val="-4"/>
              </w:rPr>
              <w:t>this</w:t>
            </w:r>
          </w:p>
          <w:p w:rsidR="007F6DF9" w:rsidRDefault="00A43FBC">
            <w:pPr>
              <w:pStyle w:val="TableParagraph"/>
              <w:spacing w:line="256" w:lineRule="exact"/>
              <w:ind w:left="69" w:right="166"/>
              <w:rPr>
                <w:rFonts w:ascii="Times New Roman" w:hAnsi="Times New Roman"/>
                <w:i/>
              </w:rPr>
            </w:pPr>
            <w:r>
              <w:rPr>
                <w:rFonts w:ascii="Times New Roman" w:hAnsi="Times New Roman"/>
                <w:i/>
              </w:rPr>
              <w:t>Contractor’s</w:t>
            </w:r>
            <w:r>
              <w:rPr>
                <w:rFonts w:ascii="Times New Roman" w:hAnsi="Times New Roman"/>
                <w:i/>
                <w:spacing w:val="-14"/>
              </w:rPr>
              <w:t xml:space="preserve"> </w:t>
            </w:r>
            <w:r>
              <w:rPr>
                <w:rFonts w:ascii="Times New Roman" w:hAnsi="Times New Roman"/>
                <w:i/>
              </w:rPr>
              <w:t>Representative</w:t>
            </w:r>
            <w:r>
              <w:rPr>
                <w:rFonts w:ascii="Times New Roman" w:hAnsi="Times New Roman"/>
                <w:i/>
                <w:spacing w:val="-13"/>
              </w:rPr>
              <w:t xml:space="preserve"> </w:t>
            </w:r>
            <w:r>
              <w:rPr>
                <w:rFonts w:ascii="Times New Roman" w:hAnsi="Times New Roman"/>
                <w:i/>
              </w:rPr>
              <w:t>or</w:t>
            </w:r>
            <w:r>
              <w:rPr>
                <w:rFonts w:ascii="Times New Roman" w:hAnsi="Times New Roman"/>
                <w:i/>
                <w:spacing w:val="-12"/>
              </w:rPr>
              <w:t xml:space="preserve"> </w:t>
            </w:r>
            <w:r>
              <w:rPr>
                <w:rFonts w:ascii="Times New Roman" w:hAnsi="Times New Roman"/>
                <w:i/>
              </w:rPr>
              <w:t>Key</w:t>
            </w:r>
            <w:r>
              <w:rPr>
                <w:rFonts w:ascii="Times New Roman" w:hAnsi="Times New Roman"/>
                <w:i/>
                <w:spacing w:val="-12"/>
              </w:rPr>
              <w:t xml:space="preserve"> </w:t>
            </w:r>
            <w:r>
              <w:rPr>
                <w:rFonts w:ascii="Times New Roman" w:hAnsi="Times New Roman"/>
                <w:i/>
              </w:rPr>
              <w:t>Personnel</w:t>
            </w:r>
            <w:r>
              <w:rPr>
                <w:rFonts w:ascii="Times New Roman" w:hAnsi="Times New Roman"/>
                <w:i/>
                <w:spacing w:val="-14"/>
              </w:rPr>
              <w:t xml:space="preserve"> </w:t>
            </w:r>
            <w:r>
              <w:rPr>
                <w:rFonts w:ascii="Times New Roman" w:hAnsi="Times New Roman"/>
                <w:i/>
              </w:rPr>
              <w:t>is</w:t>
            </w:r>
            <w:r>
              <w:rPr>
                <w:rFonts w:ascii="Times New Roman" w:hAnsi="Times New Roman"/>
                <w:i/>
                <w:spacing w:val="-14"/>
              </w:rPr>
              <w:t xml:space="preserve"> </w:t>
            </w:r>
            <w:r>
              <w:rPr>
                <w:rFonts w:ascii="Times New Roman" w:hAnsi="Times New Roman"/>
                <w:i/>
              </w:rPr>
              <w:t>available to work on this contract]</w:t>
            </w:r>
          </w:p>
        </w:tc>
      </w:tr>
    </w:tbl>
    <w:p w:rsidR="007F6DF9" w:rsidRDefault="007F6DF9">
      <w:pPr>
        <w:pStyle w:val="BodyText"/>
        <w:spacing w:before="1"/>
      </w:pPr>
    </w:p>
    <w:p w:rsidR="007F6DF9" w:rsidRDefault="00A43FBC">
      <w:pPr>
        <w:pStyle w:val="BodyText"/>
        <w:ind w:left="559"/>
      </w:pPr>
      <w:r>
        <w:t>I</w:t>
      </w:r>
      <w:r>
        <w:rPr>
          <w:spacing w:val="-6"/>
        </w:rPr>
        <w:t xml:space="preserve"> </w:t>
      </w:r>
      <w:r>
        <w:t>understand</w:t>
      </w:r>
      <w:r>
        <w:rPr>
          <w:spacing w:val="-5"/>
        </w:rPr>
        <w:t xml:space="preserve"> </w:t>
      </w:r>
      <w:r>
        <w:t>that</w:t>
      </w:r>
      <w:r>
        <w:rPr>
          <w:spacing w:val="-2"/>
        </w:rPr>
        <w:t xml:space="preserve"> </w:t>
      </w:r>
      <w:r>
        <w:t>any</w:t>
      </w:r>
      <w:r>
        <w:rPr>
          <w:spacing w:val="-2"/>
        </w:rPr>
        <w:t xml:space="preserve"> </w:t>
      </w:r>
      <w:r>
        <w:t>misrepresentation</w:t>
      </w:r>
      <w:r>
        <w:rPr>
          <w:spacing w:val="-3"/>
        </w:rPr>
        <w:t xml:space="preserve"> </w:t>
      </w:r>
      <w:r>
        <w:t>or</w:t>
      </w:r>
      <w:r>
        <w:rPr>
          <w:spacing w:val="-3"/>
        </w:rPr>
        <w:t xml:space="preserve"> </w:t>
      </w:r>
      <w:r>
        <w:t>omission</w:t>
      </w:r>
      <w:r>
        <w:rPr>
          <w:spacing w:val="-3"/>
        </w:rPr>
        <w:t xml:space="preserve"> </w:t>
      </w:r>
      <w:r>
        <w:t>in</w:t>
      </w:r>
      <w:r>
        <w:rPr>
          <w:spacing w:val="-8"/>
        </w:rPr>
        <w:t xml:space="preserve"> </w:t>
      </w:r>
      <w:r>
        <w:t>this</w:t>
      </w:r>
      <w:r>
        <w:rPr>
          <w:spacing w:val="-3"/>
        </w:rPr>
        <w:t xml:space="preserve"> </w:t>
      </w:r>
      <w:r>
        <w:t>Form</w:t>
      </w:r>
      <w:r>
        <w:rPr>
          <w:spacing w:val="-5"/>
        </w:rPr>
        <w:t xml:space="preserve"> </w:t>
      </w:r>
      <w:r>
        <w:rPr>
          <w:spacing w:val="-4"/>
        </w:rPr>
        <w:t>may:</w:t>
      </w:r>
    </w:p>
    <w:p w:rsidR="007F6DF9" w:rsidRDefault="007F6DF9">
      <w:pPr>
        <w:pStyle w:val="BodyText"/>
      </w:pPr>
    </w:p>
    <w:p w:rsidR="007F6DF9" w:rsidRDefault="00A43FBC">
      <w:pPr>
        <w:pStyle w:val="ListParagraph"/>
        <w:numPr>
          <w:ilvl w:val="0"/>
          <w:numId w:val="165"/>
        </w:numPr>
        <w:tabs>
          <w:tab w:val="left" w:pos="1280"/>
        </w:tabs>
        <w:spacing w:line="252" w:lineRule="exact"/>
      </w:pPr>
      <w:r>
        <w:t>be</w:t>
      </w:r>
      <w:r>
        <w:rPr>
          <w:spacing w:val="-3"/>
        </w:rPr>
        <w:t xml:space="preserve"> </w:t>
      </w:r>
      <w:r>
        <w:t>taken</w:t>
      </w:r>
      <w:r>
        <w:rPr>
          <w:spacing w:val="-5"/>
        </w:rPr>
        <w:t xml:space="preserve"> </w:t>
      </w:r>
      <w:r>
        <w:t>into</w:t>
      </w:r>
      <w:r>
        <w:rPr>
          <w:spacing w:val="-3"/>
        </w:rPr>
        <w:t xml:space="preserve"> </w:t>
      </w:r>
      <w:r>
        <w:t>consideration</w:t>
      </w:r>
      <w:r>
        <w:rPr>
          <w:spacing w:val="-5"/>
        </w:rPr>
        <w:t xml:space="preserve"> </w:t>
      </w:r>
      <w:r>
        <w:t>during</w:t>
      </w:r>
      <w:r>
        <w:rPr>
          <w:spacing w:val="-3"/>
        </w:rPr>
        <w:t xml:space="preserve"> </w:t>
      </w:r>
      <w:r>
        <w:t>Tender</w:t>
      </w:r>
      <w:r>
        <w:rPr>
          <w:spacing w:val="-4"/>
        </w:rPr>
        <w:t xml:space="preserve"> </w:t>
      </w:r>
      <w:r>
        <w:rPr>
          <w:spacing w:val="-2"/>
        </w:rPr>
        <w:t>evaluation;</w:t>
      </w:r>
    </w:p>
    <w:p w:rsidR="007F6DF9" w:rsidRDefault="00A43FBC">
      <w:pPr>
        <w:pStyle w:val="ListParagraph"/>
        <w:numPr>
          <w:ilvl w:val="0"/>
          <w:numId w:val="165"/>
        </w:numPr>
        <w:tabs>
          <w:tab w:val="left" w:pos="1280"/>
        </w:tabs>
        <w:spacing w:line="252" w:lineRule="exact"/>
      </w:pPr>
      <w:r>
        <w:t>result</w:t>
      </w:r>
      <w:r>
        <w:rPr>
          <w:spacing w:val="-7"/>
        </w:rPr>
        <w:t xml:space="preserve"> </w:t>
      </w:r>
      <w:r>
        <w:t>in</w:t>
      </w:r>
      <w:r>
        <w:rPr>
          <w:spacing w:val="-8"/>
        </w:rPr>
        <w:t xml:space="preserve"> </w:t>
      </w:r>
      <w:r>
        <w:t>my</w:t>
      </w:r>
      <w:r>
        <w:rPr>
          <w:spacing w:val="-4"/>
        </w:rPr>
        <w:t xml:space="preserve"> </w:t>
      </w:r>
      <w:r>
        <w:t>disqualification</w:t>
      </w:r>
      <w:r>
        <w:rPr>
          <w:spacing w:val="-5"/>
        </w:rPr>
        <w:t xml:space="preserve"> </w:t>
      </w:r>
      <w:r>
        <w:t>from</w:t>
      </w:r>
      <w:r>
        <w:rPr>
          <w:spacing w:val="-4"/>
        </w:rPr>
        <w:t xml:space="preserve"> </w:t>
      </w:r>
      <w:r>
        <w:t>participating</w:t>
      </w:r>
      <w:r>
        <w:rPr>
          <w:spacing w:val="-5"/>
        </w:rPr>
        <w:t xml:space="preserve"> </w:t>
      </w:r>
      <w:r>
        <w:t>in</w:t>
      </w:r>
      <w:r>
        <w:rPr>
          <w:spacing w:val="-5"/>
        </w:rPr>
        <w:t xml:space="preserve"> </w:t>
      </w:r>
      <w:r>
        <w:t>the</w:t>
      </w:r>
      <w:r>
        <w:rPr>
          <w:spacing w:val="-6"/>
        </w:rPr>
        <w:t xml:space="preserve"> </w:t>
      </w:r>
      <w:r>
        <w:rPr>
          <w:spacing w:val="-2"/>
        </w:rPr>
        <w:t>Tender;</w:t>
      </w:r>
    </w:p>
    <w:p w:rsidR="007F6DF9" w:rsidRDefault="00A43FBC">
      <w:pPr>
        <w:pStyle w:val="ListParagraph"/>
        <w:numPr>
          <w:ilvl w:val="0"/>
          <w:numId w:val="165"/>
        </w:numPr>
        <w:tabs>
          <w:tab w:val="left" w:pos="1280"/>
        </w:tabs>
        <w:spacing w:line="252" w:lineRule="exact"/>
      </w:pPr>
      <w:r>
        <w:t>result</w:t>
      </w:r>
      <w:r>
        <w:rPr>
          <w:spacing w:val="-5"/>
        </w:rPr>
        <w:t xml:space="preserve"> </w:t>
      </w:r>
      <w:r>
        <w:t>in</w:t>
      </w:r>
      <w:r>
        <w:rPr>
          <w:spacing w:val="-6"/>
        </w:rPr>
        <w:t xml:space="preserve"> </w:t>
      </w:r>
      <w:r>
        <w:t>my</w:t>
      </w:r>
      <w:r>
        <w:rPr>
          <w:spacing w:val="-3"/>
        </w:rPr>
        <w:t xml:space="preserve"> </w:t>
      </w:r>
      <w:r>
        <w:t>dismissal</w:t>
      </w:r>
      <w:r>
        <w:rPr>
          <w:spacing w:val="-2"/>
        </w:rPr>
        <w:t xml:space="preserve"> </w:t>
      </w:r>
      <w:r>
        <w:t>from</w:t>
      </w:r>
      <w:r>
        <w:rPr>
          <w:spacing w:val="-5"/>
        </w:rPr>
        <w:t xml:space="preserve"> </w:t>
      </w:r>
      <w:r>
        <w:t>the</w:t>
      </w:r>
      <w:r>
        <w:rPr>
          <w:spacing w:val="-2"/>
        </w:rPr>
        <w:t xml:space="preserve"> contract.</w:t>
      </w:r>
    </w:p>
    <w:p w:rsidR="007F6DF9" w:rsidRDefault="007F6DF9">
      <w:pPr>
        <w:pStyle w:val="BodyText"/>
      </w:pPr>
    </w:p>
    <w:p w:rsidR="007F6DF9" w:rsidRDefault="007F6DF9">
      <w:pPr>
        <w:pStyle w:val="BodyText"/>
        <w:spacing w:before="2"/>
      </w:pPr>
    </w:p>
    <w:p w:rsidR="007F6DF9" w:rsidRDefault="00A43FBC">
      <w:pPr>
        <w:pStyle w:val="BodyText"/>
        <w:ind w:left="559"/>
      </w:pPr>
      <w:r>
        <w:t>Name</w:t>
      </w:r>
      <w:r>
        <w:rPr>
          <w:spacing w:val="-5"/>
        </w:rPr>
        <w:t xml:space="preserve"> </w:t>
      </w:r>
      <w:r>
        <w:t>of</w:t>
      </w:r>
      <w:r>
        <w:rPr>
          <w:spacing w:val="-4"/>
        </w:rPr>
        <w:t xml:space="preserve"> </w:t>
      </w:r>
      <w:r>
        <w:t>Contractor’s</w:t>
      </w:r>
      <w:r>
        <w:rPr>
          <w:spacing w:val="-5"/>
        </w:rPr>
        <w:t xml:space="preserve"> </w:t>
      </w:r>
      <w:r>
        <w:t>Representative</w:t>
      </w:r>
      <w:r>
        <w:rPr>
          <w:spacing w:val="-6"/>
        </w:rPr>
        <w:t xml:space="preserve"> </w:t>
      </w:r>
      <w:r>
        <w:t>or</w:t>
      </w:r>
      <w:r>
        <w:rPr>
          <w:spacing w:val="-5"/>
        </w:rPr>
        <w:t xml:space="preserve"> </w:t>
      </w:r>
      <w:r>
        <w:t>Key</w:t>
      </w:r>
      <w:r>
        <w:rPr>
          <w:spacing w:val="-3"/>
        </w:rPr>
        <w:t xml:space="preserve"> </w:t>
      </w:r>
      <w:r>
        <w:t>Personnel:</w:t>
      </w:r>
      <w:r>
        <w:rPr>
          <w:spacing w:val="-7"/>
        </w:rPr>
        <w:t xml:space="preserve"> </w:t>
      </w:r>
      <w:r>
        <w:t>[</w:t>
      </w:r>
      <w:r>
        <w:rPr>
          <w:i/>
        </w:rPr>
        <w:t>insert</w:t>
      </w:r>
      <w:r>
        <w:rPr>
          <w:i/>
          <w:spacing w:val="-3"/>
        </w:rPr>
        <w:t xml:space="preserve"> </w:t>
      </w:r>
      <w:r>
        <w:rPr>
          <w:i/>
          <w:spacing w:val="-2"/>
        </w:rPr>
        <w:t>name</w:t>
      </w:r>
      <w:r>
        <w:rPr>
          <w:spacing w:val="-2"/>
        </w:rPr>
        <w:t>]</w:t>
      </w:r>
    </w:p>
    <w:p w:rsidR="007F6DF9" w:rsidRDefault="00A43FBC">
      <w:pPr>
        <w:pStyle w:val="BodyText"/>
        <w:tabs>
          <w:tab w:val="left" w:pos="7948"/>
        </w:tabs>
        <w:spacing w:before="251"/>
        <w:ind w:left="559"/>
      </w:pPr>
      <w:r>
        <w:t xml:space="preserve">Signature: </w:t>
      </w:r>
      <w:r>
        <w:rPr>
          <w:u w:val="single"/>
        </w:rPr>
        <w:tab/>
      </w:r>
    </w:p>
    <w:p w:rsidR="007F6DF9" w:rsidRDefault="007F6DF9">
      <w:pPr>
        <w:pStyle w:val="BodyText"/>
        <w:spacing w:before="1"/>
      </w:pPr>
    </w:p>
    <w:p w:rsidR="007F6DF9" w:rsidRDefault="00A43FBC">
      <w:pPr>
        <w:pStyle w:val="BodyText"/>
        <w:tabs>
          <w:tab w:val="left" w:pos="7939"/>
        </w:tabs>
        <w:ind w:left="559"/>
      </w:pPr>
      <w:r>
        <w:t>Date: (day month</w:t>
      </w:r>
      <w:r>
        <w:rPr>
          <w:spacing w:val="-1"/>
        </w:rPr>
        <w:t xml:space="preserve"> </w:t>
      </w:r>
      <w:r>
        <w:t xml:space="preserve">year): </w:t>
      </w:r>
      <w:r>
        <w:rPr>
          <w:u w:val="single"/>
        </w:rPr>
        <w:tab/>
      </w:r>
    </w:p>
    <w:p w:rsidR="007F6DF9" w:rsidRDefault="007F6DF9">
      <w:pPr>
        <w:pStyle w:val="BodyText"/>
      </w:pPr>
    </w:p>
    <w:p w:rsidR="007F6DF9" w:rsidRDefault="00A43FBC">
      <w:pPr>
        <w:pStyle w:val="BodyText"/>
        <w:spacing w:before="1"/>
        <w:ind w:left="559"/>
      </w:pPr>
      <w:r>
        <w:t>Countersignature</w:t>
      </w:r>
      <w:r>
        <w:rPr>
          <w:spacing w:val="-5"/>
        </w:rPr>
        <w:t xml:space="preserve"> </w:t>
      </w:r>
      <w:r>
        <w:t>of</w:t>
      </w:r>
      <w:r>
        <w:rPr>
          <w:spacing w:val="-7"/>
        </w:rPr>
        <w:t xml:space="preserve"> </w:t>
      </w:r>
      <w:r>
        <w:t>authorized</w:t>
      </w:r>
      <w:r>
        <w:rPr>
          <w:spacing w:val="-5"/>
        </w:rPr>
        <w:t xml:space="preserve"> </w:t>
      </w:r>
      <w:r>
        <w:t>representative</w:t>
      </w:r>
      <w:r>
        <w:rPr>
          <w:spacing w:val="-5"/>
        </w:rPr>
        <w:t xml:space="preserve"> </w:t>
      </w:r>
      <w:r>
        <w:t>of</w:t>
      </w:r>
      <w:r>
        <w:rPr>
          <w:spacing w:val="-6"/>
        </w:rPr>
        <w:t xml:space="preserve"> </w:t>
      </w:r>
      <w:r>
        <w:t>the</w:t>
      </w:r>
      <w:r>
        <w:rPr>
          <w:spacing w:val="-4"/>
        </w:rPr>
        <w:t xml:space="preserve"> </w:t>
      </w:r>
      <w:r>
        <w:rPr>
          <w:spacing w:val="-2"/>
        </w:rPr>
        <w:t>Tenderer:</w:t>
      </w:r>
    </w:p>
    <w:p w:rsidR="007F6DF9" w:rsidRDefault="007F6DF9">
      <w:pPr>
        <w:pStyle w:val="BodyText"/>
      </w:pPr>
    </w:p>
    <w:p w:rsidR="007F6DF9" w:rsidRDefault="00A43FBC">
      <w:pPr>
        <w:pStyle w:val="BodyText"/>
        <w:tabs>
          <w:tab w:val="left" w:pos="7733"/>
        </w:tabs>
        <w:ind w:left="559"/>
      </w:pPr>
      <w:r>
        <w:t xml:space="preserve">Signature: </w:t>
      </w:r>
      <w:r>
        <w:rPr>
          <w:u w:val="single"/>
        </w:rPr>
        <w:tab/>
      </w:r>
    </w:p>
    <w:p w:rsidR="007F6DF9" w:rsidRDefault="007F6DF9">
      <w:pPr>
        <w:pStyle w:val="BodyText"/>
      </w:pPr>
    </w:p>
    <w:p w:rsidR="007F6DF9" w:rsidRDefault="00A43FBC">
      <w:pPr>
        <w:pStyle w:val="BodyText"/>
        <w:tabs>
          <w:tab w:val="left" w:pos="7831"/>
        </w:tabs>
        <w:ind w:left="559"/>
      </w:pPr>
      <w:r>
        <w:t>Date: (day month</w:t>
      </w:r>
      <w:r>
        <w:rPr>
          <w:spacing w:val="-1"/>
        </w:rPr>
        <w:t xml:space="preserve"> </w:t>
      </w:r>
      <w:r>
        <w:t xml:space="preserve">year): </w:t>
      </w:r>
      <w:r>
        <w:rPr>
          <w:u w:val="single"/>
        </w:rPr>
        <w:tab/>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rPr>
          <w:sz w:val="28"/>
        </w:rPr>
      </w:pPr>
    </w:p>
    <w:p w:rsidR="007F6DF9" w:rsidRDefault="007F6DF9">
      <w:pPr>
        <w:pStyle w:val="BodyText"/>
        <w:spacing w:before="93"/>
        <w:rPr>
          <w:sz w:val="28"/>
        </w:rPr>
      </w:pPr>
    </w:p>
    <w:p w:rsidR="007F6DF9" w:rsidRDefault="00A43FBC">
      <w:pPr>
        <w:pStyle w:val="Heading4"/>
        <w:numPr>
          <w:ilvl w:val="0"/>
          <w:numId w:val="166"/>
        </w:numPr>
        <w:tabs>
          <w:tab w:val="left" w:pos="1232"/>
        </w:tabs>
        <w:ind w:left="1232" w:hanging="521"/>
        <w:rPr>
          <w:color w:val="221F1F"/>
        </w:rPr>
      </w:pPr>
      <w:r>
        <w:rPr>
          <w:color w:val="221F1F"/>
        </w:rPr>
        <w:t>TENDERERS</w:t>
      </w:r>
      <w:r>
        <w:rPr>
          <w:color w:val="221F1F"/>
          <w:spacing w:val="-11"/>
        </w:rPr>
        <w:t xml:space="preserve"> </w:t>
      </w:r>
      <w:r>
        <w:rPr>
          <w:color w:val="221F1F"/>
        </w:rPr>
        <w:t>QUALIFICATION</w:t>
      </w:r>
      <w:r>
        <w:rPr>
          <w:color w:val="221F1F"/>
          <w:spacing w:val="-8"/>
        </w:rPr>
        <w:t xml:space="preserve"> </w:t>
      </w:r>
      <w:r>
        <w:rPr>
          <w:color w:val="221F1F"/>
        </w:rPr>
        <w:t>WITHOUT</w:t>
      </w:r>
      <w:r>
        <w:rPr>
          <w:color w:val="221F1F"/>
          <w:spacing w:val="-10"/>
        </w:rPr>
        <w:t xml:space="preserve"> </w:t>
      </w:r>
      <w:r>
        <w:rPr>
          <w:color w:val="221F1F"/>
          <w:spacing w:val="-2"/>
        </w:rPr>
        <w:t>PREQUALIFICATION</w:t>
      </w:r>
    </w:p>
    <w:p w:rsidR="007F6DF9" w:rsidRDefault="00A43FBC">
      <w:pPr>
        <w:pStyle w:val="BodyText"/>
        <w:spacing w:before="242" w:line="230" w:lineRule="auto"/>
        <w:ind w:left="711" w:right="570"/>
        <w:jc w:val="both"/>
      </w:pPr>
      <w:r>
        <w:rPr>
          <w:color w:val="221F1F"/>
        </w:rPr>
        <w:t xml:space="preserve">To establish its qualifications to perform the contract in accordance with Section III, Evaluation and Qualification Criteria the Tenderer shall provide the information requested in the corresponding Information Sheets included </w:t>
      </w:r>
      <w:r>
        <w:rPr>
          <w:color w:val="221F1F"/>
          <w:spacing w:val="-2"/>
        </w:rPr>
        <w:t>hereunder.</w:t>
      </w:r>
    </w:p>
    <w:p w:rsidR="007F6DF9" w:rsidRDefault="007F6DF9">
      <w:pPr>
        <w:pStyle w:val="BodyText"/>
        <w:spacing w:before="81"/>
      </w:pPr>
    </w:p>
    <w:p w:rsidR="007F6DF9" w:rsidRDefault="00A43FBC">
      <w:pPr>
        <w:pStyle w:val="Heading8"/>
        <w:numPr>
          <w:ilvl w:val="1"/>
          <w:numId w:val="166"/>
        </w:numPr>
        <w:tabs>
          <w:tab w:val="left" w:pos="1232"/>
        </w:tabs>
        <w:ind w:hanging="521"/>
        <w:jc w:val="left"/>
        <w:rPr>
          <w:color w:val="221F1F"/>
        </w:rPr>
      </w:pPr>
      <w:r>
        <w:rPr>
          <w:color w:val="221F1F"/>
        </w:rPr>
        <w:t>FORM</w:t>
      </w:r>
      <w:r>
        <w:rPr>
          <w:color w:val="221F1F"/>
          <w:spacing w:val="-2"/>
        </w:rPr>
        <w:t xml:space="preserve"> </w:t>
      </w:r>
      <w:r>
        <w:rPr>
          <w:color w:val="221F1F"/>
        </w:rPr>
        <w:t>ELI</w:t>
      </w:r>
      <w:r>
        <w:rPr>
          <w:color w:val="221F1F"/>
          <w:spacing w:val="-3"/>
        </w:rPr>
        <w:t xml:space="preserve"> </w:t>
      </w:r>
      <w:r>
        <w:rPr>
          <w:color w:val="221F1F"/>
        </w:rPr>
        <w:t>-</w:t>
      </w:r>
      <w:r>
        <w:rPr>
          <w:color w:val="221F1F"/>
          <w:spacing w:val="-5"/>
        </w:rPr>
        <w:t>1.1</w:t>
      </w:r>
    </w:p>
    <w:p w:rsidR="007F6DF9" w:rsidRDefault="00A43FBC">
      <w:pPr>
        <w:pStyle w:val="Heading9"/>
        <w:spacing w:before="234"/>
        <w:ind w:left="711" w:firstLine="0"/>
        <w:jc w:val="both"/>
      </w:pPr>
      <w:r>
        <w:rPr>
          <w:color w:val="221F1F"/>
          <w:spacing w:val="-6"/>
        </w:rPr>
        <w:t>Tenderer</w:t>
      </w:r>
      <w:r>
        <w:rPr>
          <w:color w:val="221F1F"/>
          <w:spacing w:val="1"/>
        </w:rPr>
        <w:t xml:space="preserve"> </w:t>
      </w:r>
      <w:proofErr w:type="spellStart"/>
      <w:r>
        <w:rPr>
          <w:color w:val="221F1F"/>
          <w:spacing w:val="-2"/>
        </w:rPr>
        <w:t>InformationForm</w:t>
      </w:r>
      <w:proofErr w:type="spellEnd"/>
    </w:p>
    <w:p w:rsidR="007F6DF9" w:rsidRDefault="00A43FBC">
      <w:pPr>
        <w:pStyle w:val="BodyText"/>
        <w:tabs>
          <w:tab w:val="left" w:pos="6443"/>
          <w:tab w:val="left" w:pos="6524"/>
        </w:tabs>
        <w:spacing w:before="237" w:line="463" w:lineRule="auto"/>
        <w:ind w:left="711" w:right="4960"/>
      </w:pPr>
      <w:r>
        <w:rPr>
          <w:color w:val="221F1F"/>
          <w:spacing w:val="-2"/>
        </w:rPr>
        <w:t>Date:</w:t>
      </w:r>
      <w:r>
        <w:rPr>
          <w:color w:val="221F1F"/>
          <w:u w:val="single" w:color="211E1F"/>
        </w:rPr>
        <w:tab/>
      </w:r>
      <w:r>
        <w:rPr>
          <w:color w:val="221F1F"/>
        </w:rPr>
        <w:t xml:space="preserve"> ITT No. and title:</w:t>
      </w:r>
      <w:r>
        <w:rPr>
          <w:color w:val="221F1F"/>
          <w:u w:val="single" w:color="211E1F"/>
        </w:rPr>
        <w:tab/>
      </w:r>
      <w:r>
        <w:rPr>
          <w:color w:val="221F1F"/>
          <w:u w:val="single" w:color="211E1F"/>
        </w:rPr>
        <w:tab/>
      </w: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80"/>
      </w:tblGrid>
      <w:tr w:rsidR="007F6DF9">
        <w:trPr>
          <w:trHeight w:val="254"/>
        </w:trPr>
        <w:tc>
          <w:tcPr>
            <w:tcW w:w="9280" w:type="dxa"/>
          </w:tcPr>
          <w:p w:rsidR="007F6DF9" w:rsidRDefault="00A43FBC">
            <w:pPr>
              <w:pStyle w:val="TableParagraph"/>
              <w:spacing w:line="235" w:lineRule="exact"/>
              <w:ind w:left="-1"/>
              <w:rPr>
                <w:rFonts w:ascii="Times New Roman"/>
              </w:rPr>
            </w:pPr>
            <w:r>
              <w:rPr>
                <w:rFonts w:ascii="Times New Roman"/>
                <w:spacing w:val="-2"/>
              </w:rPr>
              <w:t>Tenderer's</w:t>
            </w:r>
            <w:r>
              <w:rPr>
                <w:rFonts w:ascii="Times New Roman"/>
                <w:spacing w:val="-10"/>
              </w:rPr>
              <w:t xml:space="preserve"> </w:t>
            </w:r>
            <w:r>
              <w:rPr>
                <w:rFonts w:ascii="Times New Roman"/>
                <w:spacing w:val="-4"/>
              </w:rPr>
              <w:t>name</w:t>
            </w:r>
          </w:p>
        </w:tc>
      </w:tr>
      <w:tr w:rsidR="007F6DF9">
        <w:trPr>
          <w:trHeight w:val="251"/>
        </w:trPr>
        <w:tc>
          <w:tcPr>
            <w:tcW w:w="9280" w:type="dxa"/>
          </w:tcPr>
          <w:p w:rsidR="007F6DF9" w:rsidRDefault="00A43FBC">
            <w:pPr>
              <w:pStyle w:val="TableParagraph"/>
              <w:spacing w:line="232" w:lineRule="exact"/>
              <w:ind w:left="-1"/>
              <w:rPr>
                <w:rFonts w:ascii="Times New Roman"/>
              </w:rPr>
            </w:pPr>
            <w:r>
              <w:rPr>
                <w:rFonts w:ascii="Times New Roman"/>
                <w:spacing w:val="-4"/>
              </w:rPr>
              <w:t>In case</w:t>
            </w:r>
            <w:r>
              <w:rPr>
                <w:rFonts w:ascii="Times New Roman"/>
                <w:spacing w:val="-3"/>
              </w:rPr>
              <w:t xml:space="preserve"> </w:t>
            </w:r>
            <w:r>
              <w:rPr>
                <w:rFonts w:ascii="Times New Roman"/>
                <w:spacing w:val="-4"/>
              </w:rPr>
              <w:t>of</w:t>
            </w:r>
            <w:r>
              <w:rPr>
                <w:rFonts w:ascii="Times New Roman"/>
                <w:spacing w:val="-2"/>
              </w:rPr>
              <w:t xml:space="preserve"> </w:t>
            </w:r>
            <w:r>
              <w:rPr>
                <w:rFonts w:ascii="Times New Roman"/>
                <w:spacing w:val="-4"/>
              </w:rPr>
              <w:t>Joint</w:t>
            </w:r>
            <w:r>
              <w:rPr>
                <w:rFonts w:ascii="Times New Roman"/>
                <w:spacing w:val="-2"/>
              </w:rPr>
              <w:t xml:space="preserve"> </w:t>
            </w:r>
            <w:r>
              <w:rPr>
                <w:rFonts w:ascii="Times New Roman"/>
                <w:spacing w:val="-4"/>
              </w:rPr>
              <w:t>Venture</w:t>
            </w:r>
            <w:r>
              <w:rPr>
                <w:rFonts w:ascii="Times New Roman"/>
                <w:spacing w:val="-6"/>
              </w:rPr>
              <w:t xml:space="preserve"> </w:t>
            </w:r>
            <w:r>
              <w:rPr>
                <w:rFonts w:ascii="Times New Roman"/>
                <w:spacing w:val="-4"/>
              </w:rPr>
              <w:t>(JV),</w:t>
            </w:r>
            <w:r>
              <w:rPr>
                <w:rFonts w:ascii="Times New Roman"/>
                <w:spacing w:val="-2"/>
              </w:rPr>
              <w:t xml:space="preserve"> </w:t>
            </w:r>
            <w:r>
              <w:rPr>
                <w:rFonts w:ascii="Times New Roman"/>
                <w:spacing w:val="-4"/>
              </w:rPr>
              <w:t>name</w:t>
            </w:r>
            <w:r>
              <w:rPr>
                <w:rFonts w:ascii="Times New Roman"/>
                <w:spacing w:val="-20"/>
              </w:rPr>
              <w:t xml:space="preserve"> </w:t>
            </w:r>
            <w:r>
              <w:rPr>
                <w:rFonts w:ascii="Times New Roman"/>
                <w:spacing w:val="-4"/>
              </w:rPr>
              <w:t>of</w:t>
            </w:r>
            <w:r>
              <w:rPr>
                <w:rFonts w:ascii="Times New Roman"/>
                <w:spacing w:val="-18"/>
              </w:rPr>
              <w:t xml:space="preserve"> </w:t>
            </w:r>
            <w:r>
              <w:rPr>
                <w:rFonts w:ascii="Times New Roman"/>
                <w:spacing w:val="-4"/>
              </w:rPr>
              <w:t>each</w:t>
            </w:r>
            <w:r>
              <w:rPr>
                <w:rFonts w:ascii="Times New Roman"/>
                <w:spacing w:val="-20"/>
              </w:rPr>
              <w:t xml:space="preserve"> </w:t>
            </w:r>
            <w:r>
              <w:rPr>
                <w:rFonts w:ascii="Times New Roman"/>
                <w:spacing w:val="-4"/>
              </w:rPr>
              <w:t>member:</w:t>
            </w:r>
          </w:p>
        </w:tc>
      </w:tr>
      <w:tr w:rsidR="007F6DF9">
        <w:trPr>
          <w:trHeight w:val="506"/>
        </w:trPr>
        <w:tc>
          <w:tcPr>
            <w:tcW w:w="9280" w:type="dxa"/>
          </w:tcPr>
          <w:p w:rsidR="007F6DF9" w:rsidRDefault="00A43FBC">
            <w:pPr>
              <w:pStyle w:val="TableParagraph"/>
              <w:spacing w:line="248" w:lineRule="exact"/>
              <w:ind w:left="-1"/>
              <w:rPr>
                <w:rFonts w:ascii="Times New Roman"/>
              </w:rPr>
            </w:pPr>
            <w:r>
              <w:rPr>
                <w:rFonts w:ascii="Times New Roman"/>
                <w:spacing w:val="-8"/>
              </w:rPr>
              <w:t>Tenderer's</w:t>
            </w:r>
            <w:r>
              <w:rPr>
                <w:rFonts w:ascii="Times New Roman"/>
                <w:spacing w:val="-15"/>
              </w:rPr>
              <w:t xml:space="preserve"> </w:t>
            </w:r>
            <w:r>
              <w:rPr>
                <w:rFonts w:ascii="Times New Roman"/>
                <w:spacing w:val="-8"/>
              </w:rPr>
              <w:t>actual</w:t>
            </w:r>
            <w:r>
              <w:rPr>
                <w:rFonts w:ascii="Times New Roman"/>
                <w:spacing w:val="-12"/>
              </w:rPr>
              <w:t xml:space="preserve"> </w:t>
            </w:r>
            <w:r>
              <w:rPr>
                <w:rFonts w:ascii="Times New Roman"/>
                <w:spacing w:val="-8"/>
              </w:rPr>
              <w:t>or</w:t>
            </w:r>
            <w:r>
              <w:rPr>
                <w:rFonts w:ascii="Times New Roman"/>
                <w:spacing w:val="-12"/>
              </w:rPr>
              <w:t xml:space="preserve"> </w:t>
            </w:r>
            <w:r>
              <w:rPr>
                <w:rFonts w:ascii="Times New Roman"/>
                <w:spacing w:val="-8"/>
              </w:rPr>
              <w:t>intended</w:t>
            </w:r>
            <w:r>
              <w:rPr>
                <w:rFonts w:ascii="Times New Roman"/>
                <w:spacing w:val="-13"/>
              </w:rPr>
              <w:t xml:space="preserve"> </w:t>
            </w:r>
            <w:r>
              <w:rPr>
                <w:rFonts w:ascii="Times New Roman"/>
                <w:spacing w:val="-8"/>
              </w:rPr>
              <w:t>country</w:t>
            </w:r>
            <w:r>
              <w:rPr>
                <w:rFonts w:ascii="Times New Roman"/>
                <w:spacing w:val="-13"/>
              </w:rPr>
              <w:t xml:space="preserve"> </w:t>
            </w:r>
            <w:r>
              <w:rPr>
                <w:rFonts w:ascii="Times New Roman"/>
                <w:spacing w:val="-8"/>
              </w:rPr>
              <w:t>of</w:t>
            </w:r>
            <w:r>
              <w:rPr>
                <w:rFonts w:ascii="Times New Roman"/>
                <w:spacing w:val="-15"/>
              </w:rPr>
              <w:t xml:space="preserve"> </w:t>
            </w:r>
            <w:r>
              <w:rPr>
                <w:rFonts w:ascii="Times New Roman"/>
                <w:spacing w:val="-8"/>
              </w:rPr>
              <w:t>registration:</w:t>
            </w:r>
          </w:p>
          <w:p w:rsidR="007F6DF9" w:rsidRDefault="00A43FBC">
            <w:pPr>
              <w:pStyle w:val="TableParagraph"/>
              <w:spacing w:before="1" w:line="236" w:lineRule="exact"/>
              <w:ind w:left="-1"/>
              <w:rPr>
                <w:rFonts w:ascii="Times New Roman"/>
                <w:i/>
              </w:rPr>
            </w:pPr>
            <w:r>
              <w:rPr>
                <w:rFonts w:ascii="Times New Roman"/>
                <w:i/>
              </w:rPr>
              <w:t>[indicate</w:t>
            </w:r>
            <w:r>
              <w:rPr>
                <w:rFonts w:ascii="Times New Roman"/>
                <w:i/>
                <w:spacing w:val="36"/>
              </w:rPr>
              <w:t xml:space="preserve"> </w:t>
            </w:r>
            <w:r>
              <w:rPr>
                <w:rFonts w:ascii="Times New Roman"/>
                <w:i/>
              </w:rPr>
              <w:t>country</w:t>
            </w:r>
            <w:r>
              <w:rPr>
                <w:rFonts w:ascii="Times New Roman"/>
                <w:i/>
                <w:spacing w:val="36"/>
              </w:rPr>
              <w:t xml:space="preserve"> </w:t>
            </w:r>
            <w:r>
              <w:rPr>
                <w:rFonts w:ascii="Times New Roman"/>
                <w:i/>
              </w:rPr>
              <w:t>of</w:t>
            </w:r>
            <w:r>
              <w:rPr>
                <w:rFonts w:ascii="Times New Roman"/>
                <w:i/>
                <w:spacing w:val="36"/>
              </w:rPr>
              <w:t xml:space="preserve"> </w:t>
            </w:r>
            <w:r>
              <w:rPr>
                <w:rFonts w:ascii="Times New Roman"/>
                <w:i/>
                <w:spacing w:val="-2"/>
              </w:rPr>
              <w:t>Constitution]</w:t>
            </w:r>
          </w:p>
        </w:tc>
      </w:tr>
      <w:tr w:rsidR="007F6DF9">
        <w:trPr>
          <w:trHeight w:val="506"/>
        </w:trPr>
        <w:tc>
          <w:tcPr>
            <w:tcW w:w="9280" w:type="dxa"/>
          </w:tcPr>
          <w:p w:rsidR="007F6DF9" w:rsidRDefault="00A43FBC">
            <w:pPr>
              <w:pStyle w:val="TableParagraph"/>
              <w:spacing w:line="248" w:lineRule="exact"/>
              <w:ind w:left="-1"/>
              <w:rPr>
                <w:rFonts w:ascii="Times New Roman"/>
              </w:rPr>
            </w:pPr>
            <w:r>
              <w:rPr>
                <w:rFonts w:ascii="Times New Roman"/>
                <w:spacing w:val="-8"/>
              </w:rPr>
              <w:t>Tenderer's</w:t>
            </w:r>
            <w:r>
              <w:rPr>
                <w:rFonts w:ascii="Times New Roman"/>
                <w:spacing w:val="-16"/>
              </w:rPr>
              <w:t xml:space="preserve"> </w:t>
            </w:r>
            <w:r>
              <w:rPr>
                <w:rFonts w:ascii="Times New Roman"/>
                <w:spacing w:val="-8"/>
              </w:rPr>
              <w:t>actual</w:t>
            </w:r>
            <w:r>
              <w:rPr>
                <w:rFonts w:ascii="Times New Roman"/>
                <w:spacing w:val="-11"/>
              </w:rPr>
              <w:t xml:space="preserve"> </w:t>
            </w:r>
            <w:r>
              <w:rPr>
                <w:rFonts w:ascii="Times New Roman"/>
                <w:spacing w:val="-8"/>
              </w:rPr>
              <w:t>or</w:t>
            </w:r>
            <w:r>
              <w:rPr>
                <w:rFonts w:ascii="Times New Roman"/>
                <w:spacing w:val="-12"/>
              </w:rPr>
              <w:t xml:space="preserve"> </w:t>
            </w:r>
            <w:r>
              <w:rPr>
                <w:rFonts w:ascii="Times New Roman"/>
                <w:spacing w:val="-8"/>
              </w:rPr>
              <w:t>intended</w:t>
            </w:r>
            <w:r>
              <w:rPr>
                <w:rFonts w:ascii="Times New Roman"/>
                <w:spacing w:val="-13"/>
              </w:rPr>
              <w:t xml:space="preserve"> </w:t>
            </w:r>
            <w:r>
              <w:rPr>
                <w:rFonts w:ascii="Times New Roman"/>
                <w:spacing w:val="-8"/>
              </w:rPr>
              <w:t>year</w:t>
            </w:r>
            <w:r>
              <w:rPr>
                <w:rFonts w:ascii="Times New Roman"/>
                <w:spacing w:val="-10"/>
              </w:rPr>
              <w:t xml:space="preserve"> </w:t>
            </w:r>
            <w:r>
              <w:rPr>
                <w:rFonts w:ascii="Times New Roman"/>
                <w:spacing w:val="-8"/>
              </w:rPr>
              <w:t>of</w:t>
            </w:r>
            <w:r>
              <w:rPr>
                <w:rFonts w:ascii="Times New Roman"/>
                <w:spacing w:val="-15"/>
              </w:rPr>
              <w:t xml:space="preserve"> </w:t>
            </w:r>
            <w:r>
              <w:rPr>
                <w:rFonts w:ascii="Times New Roman"/>
                <w:spacing w:val="-8"/>
              </w:rPr>
              <w:t>incorporation:</w:t>
            </w:r>
          </w:p>
        </w:tc>
      </w:tr>
      <w:tr w:rsidR="007F6DF9">
        <w:trPr>
          <w:trHeight w:val="506"/>
        </w:trPr>
        <w:tc>
          <w:tcPr>
            <w:tcW w:w="9280" w:type="dxa"/>
          </w:tcPr>
          <w:p w:rsidR="007F6DF9" w:rsidRDefault="00A43FBC">
            <w:pPr>
              <w:pStyle w:val="TableParagraph"/>
              <w:spacing w:line="248" w:lineRule="exact"/>
              <w:ind w:left="-1"/>
              <w:rPr>
                <w:rFonts w:ascii="Times New Roman"/>
              </w:rPr>
            </w:pPr>
            <w:r>
              <w:rPr>
                <w:rFonts w:ascii="Times New Roman"/>
                <w:spacing w:val="-2"/>
              </w:rPr>
              <w:t>Tenderer's</w:t>
            </w:r>
            <w:r>
              <w:rPr>
                <w:rFonts w:ascii="Times New Roman"/>
                <w:spacing w:val="-6"/>
              </w:rPr>
              <w:t xml:space="preserve"> </w:t>
            </w:r>
            <w:r>
              <w:rPr>
                <w:rFonts w:ascii="Times New Roman"/>
                <w:spacing w:val="-2"/>
              </w:rPr>
              <w:t>legal</w:t>
            </w:r>
            <w:r>
              <w:rPr>
                <w:rFonts w:ascii="Times New Roman"/>
                <w:spacing w:val="-5"/>
              </w:rPr>
              <w:t xml:space="preserve"> </w:t>
            </w:r>
            <w:r>
              <w:rPr>
                <w:rFonts w:ascii="Times New Roman"/>
                <w:spacing w:val="-2"/>
              </w:rPr>
              <w:t>address</w:t>
            </w:r>
            <w:r>
              <w:rPr>
                <w:rFonts w:ascii="Times New Roman"/>
                <w:spacing w:val="-6"/>
              </w:rPr>
              <w:t xml:space="preserve"> </w:t>
            </w:r>
            <w:r>
              <w:rPr>
                <w:rFonts w:ascii="Times New Roman"/>
                <w:spacing w:val="-2"/>
              </w:rPr>
              <w:t>[in</w:t>
            </w:r>
            <w:r>
              <w:rPr>
                <w:rFonts w:ascii="Times New Roman"/>
                <w:spacing w:val="-8"/>
              </w:rPr>
              <w:t xml:space="preserve"> </w:t>
            </w:r>
            <w:r>
              <w:rPr>
                <w:rFonts w:ascii="Times New Roman"/>
                <w:spacing w:val="-2"/>
              </w:rPr>
              <w:t>country</w:t>
            </w:r>
            <w:r>
              <w:rPr>
                <w:rFonts w:ascii="Times New Roman"/>
                <w:spacing w:val="-6"/>
              </w:rPr>
              <w:t xml:space="preserve"> </w:t>
            </w:r>
            <w:r>
              <w:rPr>
                <w:rFonts w:ascii="Times New Roman"/>
                <w:spacing w:val="-2"/>
              </w:rPr>
              <w:t>of</w:t>
            </w:r>
            <w:r>
              <w:rPr>
                <w:rFonts w:ascii="Times New Roman"/>
                <w:spacing w:val="-3"/>
              </w:rPr>
              <w:t xml:space="preserve"> </w:t>
            </w:r>
            <w:r>
              <w:rPr>
                <w:rFonts w:ascii="Times New Roman"/>
                <w:spacing w:val="-2"/>
              </w:rPr>
              <w:t>registration]:</w:t>
            </w:r>
          </w:p>
        </w:tc>
      </w:tr>
      <w:tr w:rsidR="007F6DF9">
        <w:trPr>
          <w:trHeight w:val="1259"/>
        </w:trPr>
        <w:tc>
          <w:tcPr>
            <w:tcW w:w="9280" w:type="dxa"/>
            <w:tcBorders>
              <w:bottom w:val="single" w:sz="6" w:space="0" w:color="000000"/>
            </w:tcBorders>
          </w:tcPr>
          <w:p w:rsidR="007F6DF9" w:rsidRDefault="00A43FBC">
            <w:pPr>
              <w:pStyle w:val="TableParagraph"/>
              <w:tabs>
                <w:tab w:val="left" w:pos="4676"/>
                <w:tab w:val="left" w:pos="4750"/>
              </w:tabs>
              <w:ind w:left="-1" w:right="4487"/>
              <w:rPr>
                <w:rFonts w:ascii="Times New Roman"/>
              </w:rPr>
            </w:pPr>
            <w:r>
              <w:rPr>
                <w:rFonts w:ascii="Times New Roman"/>
              </w:rPr>
              <w:t xml:space="preserve">Tenderer's authorized representative information Name: </w:t>
            </w:r>
            <w:r>
              <w:rPr>
                <w:rFonts w:ascii="Times New Roman"/>
                <w:u w:val="single"/>
              </w:rPr>
              <w:tab/>
            </w:r>
            <w:r>
              <w:rPr>
                <w:rFonts w:ascii="Times New Roman"/>
              </w:rPr>
              <w:t xml:space="preserve"> Address: </w:t>
            </w:r>
            <w:r>
              <w:rPr>
                <w:rFonts w:ascii="Times New Roman"/>
                <w:u w:val="single"/>
              </w:rPr>
              <w:tab/>
            </w:r>
            <w:r>
              <w:rPr>
                <w:rFonts w:ascii="Times New Roman"/>
                <w:u w:val="single"/>
              </w:rPr>
              <w:tab/>
            </w:r>
            <w:r>
              <w:rPr>
                <w:rFonts w:ascii="Times New Roman"/>
              </w:rPr>
              <w:t xml:space="preserve"> </w:t>
            </w:r>
            <w:r>
              <w:rPr>
                <w:rFonts w:ascii="Times New Roman"/>
                <w:spacing w:val="-2"/>
              </w:rPr>
              <w:t xml:space="preserve">Telephone/Fax </w:t>
            </w:r>
            <w:r>
              <w:rPr>
                <w:rFonts w:ascii="Times New Roman"/>
              </w:rPr>
              <w:t xml:space="preserve">numbers: </w:t>
            </w:r>
            <w:r>
              <w:rPr>
                <w:rFonts w:ascii="Times New Roman"/>
                <w:u w:val="single"/>
              </w:rPr>
              <w:tab/>
            </w:r>
            <w:r>
              <w:rPr>
                <w:rFonts w:ascii="Times New Roman"/>
                <w:u w:val="single"/>
              </w:rPr>
              <w:tab/>
            </w:r>
            <w:r>
              <w:rPr>
                <w:rFonts w:ascii="Times New Roman"/>
                <w:spacing w:val="40"/>
                <w:u w:val="single"/>
              </w:rPr>
              <w:t xml:space="preserve"> </w:t>
            </w:r>
          </w:p>
          <w:p w:rsidR="007F6DF9" w:rsidRDefault="00A43FBC">
            <w:pPr>
              <w:pStyle w:val="TableParagraph"/>
              <w:spacing w:line="231" w:lineRule="exact"/>
              <w:ind w:left="-1"/>
              <w:rPr>
                <w:rFonts w:ascii="Times New Roman"/>
              </w:rPr>
            </w:pPr>
            <w:r>
              <w:rPr>
                <w:rFonts w:ascii="Times New Roman"/>
                <w:spacing w:val="-6"/>
              </w:rPr>
              <w:t>E-mail</w:t>
            </w:r>
            <w:r>
              <w:rPr>
                <w:rFonts w:ascii="Times New Roman"/>
                <w:spacing w:val="-14"/>
              </w:rPr>
              <w:t xml:space="preserve"> </w:t>
            </w:r>
            <w:r>
              <w:rPr>
                <w:rFonts w:ascii="Times New Roman"/>
                <w:spacing w:val="-6"/>
              </w:rPr>
              <w:t>address:</w:t>
            </w:r>
          </w:p>
        </w:tc>
      </w:tr>
      <w:tr w:rsidR="007F6DF9">
        <w:trPr>
          <w:trHeight w:val="2558"/>
        </w:trPr>
        <w:tc>
          <w:tcPr>
            <w:tcW w:w="9280" w:type="dxa"/>
            <w:tcBorders>
              <w:top w:val="single" w:sz="6" w:space="0" w:color="000000"/>
            </w:tcBorders>
          </w:tcPr>
          <w:p w:rsidR="007F6DF9" w:rsidRDefault="00A43FBC">
            <w:pPr>
              <w:pStyle w:val="TableParagraph"/>
              <w:numPr>
                <w:ilvl w:val="0"/>
                <w:numId w:val="164"/>
              </w:numPr>
              <w:tabs>
                <w:tab w:val="left" w:pos="211"/>
              </w:tabs>
              <w:spacing w:line="244" w:lineRule="exact"/>
              <w:ind w:left="211" w:hanging="212"/>
              <w:rPr>
                <w:rFonts w:ascii="Times New Roman"/>
              </w:rPr>
            </w:pPr>
            <w:r>
              <w:rPr>
                <w:rFonts w:ascii="Times New Roman"/>
                <w:spacing w:val="-2"/>
              </w:rPr>
              <w:t>Attached</w:t>
            </w:r>
            <w:r>
              <w:rPr>
                <w:rFonts w:ascii="Times New Roman"/>
                <w:spacing w:val="-7"/>
              </w:rPr>
              <w:t xml:space="preserve"> </w:t>
            </w:r>
            <w:r>
              <w:rPr>
                <w:rFonts w:ascii="Times New Roman"/>
                <w:spacing w:val="-2"/>
              </w:rPr>
              <w:t>are</w:t>
            </w:r>
            <w:r>
              <w:rPr>
                <w:rFonts w:ascii="Times New Roman"/>
                <w:spacing w:val="-6"/>
              </w:rPr>
              <w:t xml:space="preserve"> </w:t>
            </w:r>
            <w:r>
              <w:rPr>
                <w:rFonts w:ascii="Times New Roman"/>
                <w:spacing w:val="-2"/>
              </w:rPr>
              <w:t>copies</w:t>
            </w:r>
            <w:r>
              <w:rPr>
                <w:rFonts w:ascii="Times New Roman"/>
                <w:spacing w:val="-7"/>
              </w:rPr>
              <w:t xml:space="preserve"> </w:t>
            </w:r>
            <w:r>
              <w:rPr>
                <w:rFonts w:ascii="Times New Roman"/>
                <w:spacing w:val="-2"/>
              </w:rPr>
              <w:t>of</w:t>
            </w:r>
            <w:r>
              <w:rPr>
                <w:rFonts w:ascii="Times New Roman"/>
                <w:spacing w:val="-5"/>
              </w:rPr>
              <w:t xml:space="preserve"> </w:t>
            </w:r>
            <w:r>
              <w:rPr>
                <w:rFonts w:ascii="Times New Roman"/>
                <w:spacing w:val="-2"/>
              </w:rPr>
              <w:t>original</w:t>
            </w:r>
            <w:r>
              <w:rPr>
                <w:rFonts w:ascii="Times New Roman"/>
                <w:spacing w:val="-6"/>
              </w:rPr>
              <w:t xml:space="preserve"> </w:t>
            </w:r>
            <w:r>
              <w:rPr>
                <w:rFonts w:ascii="Times New Roman"/>
                <w:spacing w:val="-2"/>
              </w:rPr>
              <w:t>documents</w:t>
            </w:r>
            <w:r>
              <w:rPr>
                <w:rFonts w:ascii="Times New Roman"/>
                <w:spacing w:val="-6"/>
              </w:rPr>
              <w:t xml:space="preserve"> </w:t>
            </w:r>
            <w:r>
              <w:rPr>
                <w:rFonts w:ascii="Times New Roman"/>
                <w:spacing w:val="-5"/>
              </w:rPr>
              <w:t>of</w:t>
            </w:r>
          </w:p>
          <w:p w:rsidR="007F6DF9" w:rsidRDefault="00A43FBC">
            <w:pPr>
              <w:pStyle w:val="TableParagraph"/>
              <w:numPr>
                <w:ilvl w:val="1"/>
                <w:numId w:val="164"/>
              </w:numPr>
              <w:tabs>
                <w:tab w:val="left" w:pos="720"/>
              </w:tabs>
              <w:spacing w:before="1"/>
              <w:ind w:right="903" w:firstLine="0"/>
              <w:rPr>
                <w:rFonts w:ascii="Times New Roman" w:hAnsi="Times New Roman"/>
              </w:rPr>
            </w:pPr>
            <w:r>
              <w:rPr>
                <w:rFonts w:ascii="Times New Roman" w:hAnsi="Times New Roman"/>
                <w:spacing w:val="-2"/>
              </w:rPr>
              <w:t>Articles</w:t>
            </w:r>
            <w:r>
              <w:rPr>
                <w:rFonts w:ascii="Times New Roman" w:hAnsi="Times New Roman"/>
                <w:spacing w:val="-6"/>
              </w:rPr>
              <w:t xml:space="preserve"> </w:t>
            </w:r>
            <w:r>
              <w:rPr>
                <w:rFonts w:ascii="Times New Roman" w:hAnsi="Times New Roman"/>
                <w:spacing w:val="-2"/>
              </w:rPr>
              <w:t>of</w:t>
            </w:r>
            <w:r>
              <w:rPr>
                <w:rFonts w:ascii="Times New Roman" w:hAnsi="Times New Roman"/>
                <w:spacing w:val="-5"/>
              </w:rPr>
              <w:t xml:space="preserve"> </w:t>
            </w:r>
            <w:r>
              <w:rPr>
                <w:rFonts w:ascii="Times New Roman" w:hAnsi="Times New Roman"/>
                <w:spacing w:val="-2"/>
              </w:rPr>
              <w:t>Incorporation</w:t>
            </w:r>
            <w:r>
              <w:rPr>
                <w:rFonts w:ascii="Times New Roman" w:hAnsi="Times New Roman"/>
                <w:spacing w:val="-6"/>
              </w:rPr>
              <w:t xml:space="preserve"> </w:t>
            </w:r>
            <w:r>
              <w:rPr>
                <w:rFonts w:ascii="Times New Roman" w:hAnsi="Times New Roman"/>
                <w:spacing w:val="-2"/>
              </w:rPr>
              <w:t>(or</w:t>
            </w:r>
            <w:r>
              <w:rPr>
                <w:rFonts w:ascii="Times New Roman" w:hAnsi="Times New Roman"/>
                <w:spacing w:val="-8"/>
              </w:rPr>
              <w:t xml:space="preserve"> </w:t>
            </w:r>
            <w:r>
              <w:rPr>
                <w:rFonts w:ascii="Times New Roman" w:hAnsi="Times New Roman"/>
                <w:spacing w:val="-2"/>
              </w:rPr>
              <w:t>equivalent</w:t>
            </w:r>
            <w:r>
              <w:rPr>
                <w:rFonts w:ascii="Times New Roman" w:hAnsi="Times New Roman"/>
                <w:spacing w:val="-5"/>
              </w:rPr>
              <w:t xml:space="preserve"> </w:t>
            </w:r>
            <w:r>
              <w:rPr>
                <w:rFonts w:ascii="Times New Roman" w:hAnsi="Times New Roman"/>
                <w:spacing w:val="-2"/>
              </w:rPr>
              <w:t>documents</w:t>
            </w:r>
            <w:r>
              <w:rPr>
                <w:rFonts w:ascii="Times New Roman" w:hAnsi="Times New Roman"/>
                <w:spacing w:val="-6"/>
              </w:rPr>
              <w:t xml:space="preserve"> </w:t>
            </w:r>
            <w:r>
              <w:rPr>
                <w:rFonts w:ascii="Times New Roman" w:hAnsi="Times New Roman"/>
                <w:spacing w:val="-2"/>
              </w:rPr>
              <w:t>of</w:t>
            </w:r>
            <w:r>
              <w:rPr>
                <w:rFonts w:ascii="Times New Roman" w:hAnsi="Times New Roman"/>
                <w:spacing w:val="-5"/>
              </w:rPr>
              <w:t xml:space="preserve"> </w:t>
            </w:r>
            <w:r>
              <w:rPr>
                <w:rFonts w:ascii="Times New Roman" w:hAnsi="Times New Roman"/>
                <w:spacing w:val="-2"/>
              </w:rPr>
              <w:t>constitution</w:t>
            </w:r>
            <w:r>
              <w:rPr>
                <w:rFonts w:ascii="Times New Roman" w:hAnsi="Times New Roman"/>
                <w:spacing w:val="-6"/>
              </w:rPr>
              <w:t xml:space="preserve"> </w:t>
            </w:r>
            <w:r>
              <w:rPr>
                <w:rFonts w:ascii="Times New Roman" w:hAnsi="Times New Roman"/>
                <w:spacing w:val="-2"/>
              </w:rPr>
              <w:t>or</w:t>
            </w:r>
            <w:r>
              <w:rPr>
                <w:rFonts w:ascii="Times New Roman" w:hAnsi="Times New Roman"/>
                <w:spacing w:val="-5"/>
              </w:rPr>
              <w:t xml:space="preserve"> </w:t>
            </w:r>
            <w:r>
              <w:rPr>
                <w:rFonts w:ascii="Times New Roman" w:hAnsi="Times New Roman"/>
                <w:spacing w:val="-2"/>
              </w:rPr>
              <w:t>association),</w:t>
            </w:r>
            <w:r>
              <w:rPr>
                <w:rFonts w:ascii="Times New Roman" w:hAnsi="Times New Roman"/>
                <w:spacing w:val="-6"/>
              </w:rPr>
              <w:t xml:space="preserve"> </w:t>
            </w:r>
            <w:r>
              <w:rPr>
                <w:rFonts w:ascii="Times New Roman" w:hAnsi="Times New Roman"/>
                <w:spacing w:val="-2"/>
              </w:rPr>
              <w:t xml:space="preserve">and/or </w:t>
            </w:r>
            <w:r>
              <w:rPr>
                <w:rFonts w:ascii="Times New Roman" w:hAnsi="Times New Roman"/>
                <w:spacing w:val="-4"/>
              </w:rPr>
              <w:t>documents of registration of the</w:t>
            </w:r>
            <w:r>
              <w:rPr>
                <w:rFonts w:ascii="Times New Roman" w:hAnsi="Times New Roman"/>
                <w:spacing w:val="-12"/>
              </w:rPr>
              <w:t xml:space="preserve"> </w:t>
            </w:r>
            <w:r>
              <w:rPr>
                <w:rFonts w:ascii="Times New Roman" w:hAnsi="Times New Roman"/>
                <w:spacing w:val="-4"/>
              </w:rPr>
              <w:t>legal</w:t>
            </w:r>
            <w:r>
              <w:rPr>
                <w:rFonts w:ascii="Times New Roman" w:hAnsi="Times New Roman"/>
                <w:spacing w:val="-11"/>
              </w:rPr>
              <w:t xml:space="preserve"> </w:t>
            </w:r>
            <w:r>
              <w:rPr>
                <w:rFonts w:ascii="Times New Roman" w:hAnsi="Times New Roman"/>
                <w:spacing w:val="-4"/>
              </w:rPr>
              <w:t>entity</w:t>
            </w:r>
            <w:r>
              <w:rPr>
                <w:rFonts w:ascii="Times New Roman" w:hAnsi="Times New Roman"/>
                <w:spacing w:val="-12"/>
              </w:rPr>
              <w:t xml:space="preserve"> </w:t>
            </w:r>
            <w:r>
              <w:rPr>
                <w:rFonts w:ascii="Times New Roman" w:hAnsi="Times New Roman"/>
                <w:spacing w:val="-4"/>
              </w:rPr>
              <w:t>named</w:t>
            </w:r>
            <w:r>
              <w:rPr>
                <w:rFonts w:ascii="Times New Roman" w:hAnsi="Times New Roman"/>
                <w:spacing w:val="-12"/>
              </w:rPr>
              <w:t xml:space="preserve"> </w:t>
            </w:r>
            <w:r>
              <w:rPr>
                <w:rFonts w:ascii="Times New Roman" w:hAnsi="Times New Roman"/>
                <w:spacing w:val="-4"/>
              </w:rPr>
              <w:t>above,</w:t>
            </w:r>
            <w:r>
              <w:rPr>
                <w:rFonts w:ascii="Times New Roman" w:hAnsi="Times New Roman"/>
                <w:spacing w:val="-12"/>
              </w:rPr>
              <w:t xml:space="preserve"> </w:t>
            </w:r>
            <w:r>
              <w:rPr>
                <w:rFonts w:ascii="Times New Roman" w:hAnsi="Times New Roman"/>
                <w:spacing w:val="-4"/>
              </w:rPr>
              <w:t>in</w:t>
            </w:r>
            <w:r>
              <w:rPr>
                <w:rFonts w:ascii="Times New Roman" w:hAnsi="Times New Roman"/>
                <w:spacing w:val="-12"/>
              </w:rPr>
              <w:t xml:space="preserve"> </w:t>
            </w:r>
            <w:r>
              <w:rPr>
                <w:rFonts w:ascii="Times New Roman" w:hAnsi="Times New Roman"/>
                <w:spacing w:val="-4"/>
              </w:rPr>
              <w:t>accordance</w:t>
            </w:r>
            <w:r>
              <w:rPr>
                <w:rFonts w:ascii="Times New Roman" w:hAnsi="Times New Roman"/>
                <w:spacing w:val="-8"/>
              </w:rPr>
              <w:t xml:space="preserve"> </w:t>
            </w:r>
            <w:r>
              <w:rPr>
                <w:rFonts w:ascii="Times New Roman" w:hAnsi="Times New Roman"/>
                <w:spacing w:val="-4"/>
              </w:rPr>
              <w:t>with</w:t>
            </w:r>
            <w:r>
              <w:rPr>
                <w:rFonts w:ascii="Times New Roman" w:hAnsi="Times New Roman"/>
                <w:spacing w:val="-10"/>
              </w:rPr>
              <w:t xml:space="preserve"> </w:t>
            </w:r>
            <w:r>
              <w:rPr>
                <w:rFonts w:ascii="Times New Roman" w:hAnsi="Times New Roman"/>
                <w:spacing w:val="-4"/>
              </w:rPr>
              <w:t>ITT</w:t>
            </w:r>
            <w:r>
              <w:rPr>
                <w:rFonts w:ascii="Times New Roman" w:hAnsi="Times New Roman"/>
                <w:spacing w:val="-7"/>
              </w:rPr>
              <w:t xml:space="preserve"> </w:t>
            </w:r>
            <w:r>
              <w:rPr>
                <w:rFonts w:ascii="Times New Roman" w:hAnsi="Times New Roman"/>
                <w:spacing w:val="-4"/>
              </w:rPr>
              <w:t>3.6</w:t>
            </w:r>
          </w:p>
          <w:p w:rsidR="007F6DF9" w:rsidRDefault="00A43FBC">
            <w:pPr>
              <w:pStyle w:val="TableParagraph"/>
              <w:numPr>
                <w:ilvl w:val="1"/>
                <w:numId w:val="164"/>
              </w:numPr>
              <w:tabs>
                <w:tab w:val="left" w:pos="720"/>
              </w:tabs>
              <w:spacing w:line="251" w:lineRule="exact"/>
              <w:ind w:left="720"/>
              <w:rPr>
                <w:rFonts w:ascii="Times New Roman" w:hAnsi="Times New Roman"/>
              </w:rPr>
            </w:pPr>
            <w:r>
              <w:rPr>
                <w:rFonts w:ascii="Times New Roman" w:hAnsi="Times New Roman"/>
              </w:rPr>
              <w:t>In</w:t>
            </w:r>
            <w:r>
              <w:rPr>
                <w:rFonts w:ascii="Times New Roman" w:hAnsi="Times New Roman"/>
                <w:spacing w:val="-13"/>
              </w:rPr>
              <w:t xml:space="preserve"> </w:t>
            </w:r>
            <w:r>
              <w:rPr>
                <w:rFonts w:ascii="Times New Roman" w:hAnsi="Times New Roman"/>
              </w:rPr>
              <w:t>case</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JV,</w:t>
            </w:r>
            <w:r>
              <w:rPr>
                <w:rFonts w:ascii="Times New Roman" w:hAnsi="Times New Roman"/>
                <w:spacing w:val="-12"/>
              </w:rPr>
              <w:t xml:space="preserve"> </w:t>
            </w:r>
            <w:r>
              <w:rPr>
                <w:rFonts w:ascii="Times New Roman" w:hAnsi="Times New Roman"/>
              </w:rPr>
              <w:t>letter</w:t>
            </w:r>
            <w:r>
              <w:rPr>
                <w:rFonts w:ascii="Times New Roman" w:hAnsi="Times New Roman"/>
                <w:spacing w:val="-12"/>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intent</w:t>
            </w:r>
            <w:r>
              <w:rPr>
                <w:rFonts w:ascii="Times New Roman" w:hAnsi="Times New Roman"/>
                <w:spacing w:val="-13"/>
              </w:rPr>
              <w:t xml:space="preserve"> </w:t>
            </w:r>
            <w:r>
              <w:rPr>
                <w:rFonts w:ascii="Times New Roman" w:hAnsi="Times New Roman"/>
              </w:rPr>
              <w:t>to</w:t>
            </w:r>
            <w:r>
              <w:rPr>
                <w:rFonts w:ascii="Times New Roman" w:hAnsi="Times New Roman"/>
                <w:spacing w:val="-13"/>
              </w:rPr>
              <w:t xml:space="preserve"> </w:t>
            </w:r>
            <w:r>
              <w:rPr>
                <w:rFonts w:ascii="Times New Roman" w:hAnsi="Times New Roman"/>
              </w:rPr>
              <w:t>form</w:t>
            </w:r>
            <w:r>
              <w:rPr>
                <w:rFonts w:ascii="Times New Roman" w:hAnsi="Times New Roman"/>
                <w:spacing w:val="-11"/>
              </w:rPr>
              <w:t xml:space="preserve"> </w:t>
            </w:r>
            <w:r>
              <w:rPr>
                <w:rFonts w:ascii="Times New Roman" w:hAnsi="Times New Roman"/>
              </w:rPr>
              <w:t>JV</w:t>
            </w:r>
            <w:r>
              <w:rPr>
                <w:rFonts w:ascii="Times New Roman" w:hAnsi="Times New Roman"/>
                <w:spacing w:val="-14"/>
              </w:rPr>
              <w:t xml:space="preserve"> </w:t>
            </w:r>
            <w:r>
              <w:rPr>
                <w:rFonts w:ascii="Times New Roman" w:hAnsi="Times New Roman"/>
              </w:rPr>
              <w:t>or</w:t>
            </w:r>
            <w:r>
              <w:rPr>
                <w:rFonts w:ascii="Times New Roman" w:hAnsi="Times New Roman"/>
                <w:spacing w:val="-11"/>
              </w:rPr>
              <w:t xml:space="preserve"> </w:t>
            </w:r>
            <w:r>
              <w:rPr>
                <w:rFonts w:ascii="Times New Roman" w:hAnsi="Times New Roman"/>
              </w:rPr>
              <w:t>JV</w:t>
            </w:r>
            <w:r>
              <w:rPr>
                <w:rFonts w:ascii="Times New Roman" w:hAnsi="Times New Roman"/>
                <w:spacing w:val="-14"/>
              </w:rPr>
              <w:t xml:space="preserve"> </w:t>
            </w:r>
            <w:r>
              <w:rPr>
                <w:rFonts w:ascii="Times New Roman" w:hAnsi="Times New Roman"/>
              </w:rPr>
              <w:t>agreement,</w:t>
            </w:r>
            <w:r>
              <w:rPr>
                <w:rFonts w:ascii="Times New Roman" w:hAnsi="Times New Roman"/>
                <w:spacing w:val="-12"/>
              </w:rPr>
              <w:t xml:space="preserve"> </w:t>
            </w:r>
            <w:r>
              <w:rPr>
                <w:rFonts w:ascii="Times New Roman" w:hAnsi="Times New Roman"/>
              </w:rPr>
              <w:t>in</w:t>
            </w:r>
            <w:r>
              <w:rPr>
                <w:rFonts w:ascii="Times New Roman" w:hAnsi="Times New Roman"/>
                <w:spacing w:val="-13"/>
              </w:rPr>
              <w:t xml:space="preserve"> </w:t>
            </w:r>
            <w:r>
              <w:rPr>
                <w:rFonts w:ascii="Times New Roman" w:hAnsi="Times New Roman"/>
              </w:rPr>
              <w:t>accordance</w:t>
            </w:r>
            <w:r>
              <w:rPr>
                <w:rFonts w:ascii="Times New Roman" w:hAnsi="Times New Roman"/>
                <w:spacing w:val="-12"/>
              </w:rPr>
              <w:t xml:space="preserve"> </w:t>
            </w:r>
            <w:r>
              <w:rPr>
                <w:rFonts w:ascii="Times New Roman" w:hAnsi="Times New Roman"/>
              </w:rPr>
              <w:t>with</w:t>
            </w:r>
            <w:r>
              <w:rPr>
                <w:rFonts w:ascii="Times New Roman" w:hAnsi="Times New Roman"/>
                <w:spacing w:val="-13"/>
              </w:rPr>
              <w:t xml:space="preserve"> </w:t>
            </w:r>
            <w:r>
              <w:rPr>
                <w:rFonts w:ascii="Times New Roman" w:hAnsi="Times New Roman"/>
              </w:rPr>
              <w:t>ITT</w:t>
            </w:r>
            <w:r>
              <w:rPr>
                <w:rFonts w:ascii="Times New Roman" w:hAnsi="Times New Roman"/>
                <w:spacing w:val="-11"/>
              </w:rPr>
              <w:t xml:space="preserve"> </w:t>
            </w:r>
            <w:r>
              <w:rPr>
                <w:rFonts w:ascii="Times New Roman" w:hAnsi="Times New Roman"/>
                <w:spacing w:val="-5"/>
              </w:rPr>
              <w:t>3.5</w:t>
            </w:r>
          </w:p>
          <w:p w:rsidR="007F6DF9" w:rsidRDefault="00A43FBC">
            <w:pPr>
              <w:pStyle w:val="TableParagraph"/>
              <w:spacing w:before="2"/>
              <w:ind w:left="-1"/>
              <w:rPr>
                <w:rFonts w:ascii="Times New Roman" w:hAnsi="Times New Roman"/>
              </w:rPr>
            </w:pPr>
            <w:r>
              <w:rPr>
                <w:rFonts w:ascii="Wingdings" w:hAnsi="Wingdings"/>
                <w:spacing w:val="-2"/>
              </w:rPr>
              <w:t></w:t>
            </w:r>
            <w:r>
              <w:rPr>
                <w:rFonts w:ascii="Times New Roman" w:hAnsi="Times New Roman"/>
                <w:spacing w:val="-2"/>
              </w:rPr>
              <w:t>In</w:t>
            </w:r>
            <w:r>
              <w:rPr>
                <w:rFonts w:ascii="Times New Roman" w:hAnsi="Times New Roman"/>
                <w:spacing w:val="-9"/>
              </w:rPr>
              <w:t xml:space="preserve"> </w:t>
            </w:r>
            <w:r>
              <w:rPr>
                <w:rFonts w:ascii="Times New Roman" w:hAnsi="Times New Roman"/>
                <w:spacing w:val="-2"/>
              </w:rPr>
              <w:t>case</w:t>
            </w:r>
            <w:r>
              <w:rPr>
                <w:rFonts w:ascii="Times New Roman" w:hAnsi="Times New Roman"/>
                <w:spacing w:val="-6"/>
              </w:rPr>
              <w:t xml:space="preserve"> </w:t>
            </w:r>
            <w:r>
              <w:rPr>
                <w:rFonts w:ascii="Times New Roman" w:hAnsi="Times New Roman"/>
                <w:spacing w:val="-2"/>
              </w:rPr>
              <w:t>of</w:t>
            </w:r>
            <w:r>
              <w:rPr>
                <w:rFonts w:ascii="Times New Roman" w:hAnsi="Times New Roman"/>
                <w:spacing w:val="-5"/>
              </w:rPr>
              <w:t xml:space="preserve"> </w:t>
            </w:r>
            <w:r>
              <w:rPr>
                <w:rFonts w:ascii="Times New Roman" w:hAnsi="Times New Roman"/>
                <w:spacing w:val="-2"/>
              </w:rPr>
              <w:t>state-owned</w:t>
            </w:r>
            <w:r>
              <w:rPr>
                <w:rFonts w:ascii="Times New Roman" w:hAnsi="Times New Roman"/>
                <w:spacing w:val="-7"/>
              </w:rPr>
              <w:t xml:space="preserve"> </w:t>
            </w:r>
            <w:r>
              <w:rPr>
                <w:rFonts w:ascii="Times New Roman" w:hAnsi="Times New Roman"/>
                <w:spacing w:val="-2"/>
              </w:rPr>
              <w:t>enterprise</w:t>
            </w:r>
            <w:r>
              <w:rPr>
                <w:rFonts w:ascii="Times New Roman" w:hAnsi="Times New Roman"/>
                <w:spacing w:val="-6"/>
              </w:rPr>
              <w:t xml:space="preserve"> </w:t>
            </w:r>
            <w:r>
              <w:rPr>
                <w:rFonts w:ascii="Times New Roman" w:hAnsi="Times New Roman"/>
                <w:spacing w:val="-2"/>
              </w:rPr>
              <w:t>or</w:t>
            </w:r>
            <w:r>
              <w:rPr>
                <w:rFonts w:ascii="Times New Roman" w:hAnsi="Times New Roman"/>
                <w:spacing w:val="-5"/>
              </w:rPr>
              <w:t xml:space="preserve"> </w:t>
            </w:r>
            <w:r>
              <w:rPr>
                <w:rFonts w:ascii="Times New Roman" w:hAnsi="Times New Roman"/>
                <w:spacing w:val="-2"/>
              </w:rPr>
              <w:t>institution,</w:t>
            </w:r>
            <w:r>
              <w:rPr>
                <w:rFonts w:ascii="Times New Roman" w:hAnsi="Times New Roman"/>
                <w:spacing w:val="-7"/>
              </w:rPr>
              <w:t xml:space="preserve"> </w:t>
            </w:r>
            <w:r>
              <w:rPr>
                <w:rFonts w:ascii="Times New Roman" w:hAnsi="Times New Roman"/>
                <w:spacing w:val="-2"/>
              </w:rPr>
              <w:t>in</w:t>
            </w:r>
            <w:r>
              <w:rPr>
                <w:rFonts w:ascii="Times New Roman" w:hAnsi="Times New Roman"/>
                <w:spacing w:val="-6"/>
              </w:rPr>
              <w:t xml:space="preserve"> </w:t>
            </w:r>
            <w:r>
              <w:rPr>
                <w:rFonts w:ascii="Times New Roman" w:hAnsi="Times New Roman"/>
                <w:spacing w:val="-2"/>
              </w:rPr>
              <w:t>accordance</w:t>
            </w:r>
            <w:r>
              <w:rPr>
                <w:rFonts w:ascii="Times New Roman" w:hAnsi="Times New Roman"/>
                <w:spacing w:val="-6"/>
              </w:rPr>
              <w:t xml:space="preserve"> </w:t>
            </w:r>
            <w:r>
              <w:rPr>
                <w:rFonts w:ascii="Times New Roman" w:hAnsi="Times New Roman"/>
                <w:spacing w:val="-2"/>
              </w:rPr>
              <w:t>with</w:t>
            </w:r>
            <w:r>
              <w:rPr>
                <w:rFonts w:ascii="Times New Roman" w:hAnsi="Times New Roman"/>
                <w:spacing w:val="-7"/>
              </w:rPr>
              <w:t xml:space="preserve"> </w:t>
            </w:r>
            <w:r>
              <w:rPr>
                <w:rFonts w:ascii="Times New Roman" w:hAnsi="Times New Roman"/>
                <w:spacing w:val="-2"/>
              </w:rPr>
              <w:t>ITT</w:t>
            </w:r>
            <w:r>
              <w:rPr>
                <w:rFonts w:ascii="Times New Roman" w:hAnsi="Times New Roman"/>
                <w:spacing w:val="-5"/>
              </w:rPr>
              <w:t xml:space="preserve"> </w:t>
            </w:r>
            <w:r>
              <w:rPr>
                <w:rFonts w:ascii="Times New Roman" w:hAnsi="Times New Roman"/>
                <w:spacing w:val="-2"/>
              </w:rPr>
              <w:t>3.8,</w:t>
            </w:r>
            <w:r>
              <w:rPr>
                <w:rFonts w:ascii="Times New Roman" w:hAnsi="Times New Roman"/>
                <w:spacing w:val="-6"/>
              </w:rPr>
              <w:t xml:space="preserve"> </w:t>
            </w:r>
            <w:r>
              <w:rPr>
                <w:rFonts w:ascii="Times New Roman" w:hAnsi="Times New Roman"/>
                <w:spacing w:val="-2"/>
              </w:rPr>
              <w:t>documents</w:t>
            </w:r>
            <w:r>
              <w:rPr>
                <w:rFonts w:ascii="Times New Roman" w:hAnsi="Times New Roman"/>
                <w:spacing w:val="-6"/>
              </w:rPr>
              <w:t xml:space="preserve"> </w:t>
            </w:r>
            <w:r>
              <w:rPr>
                <w:rFonts w:ascii="Times New Roman" w:hAnsi="Times New Roman"/>
                <w:spacing w:val="-2"/>
              </w:rPr>
              <w:t>establishing:</w:t>
            </w:r>
          </w:p>
          <w:p w:rsidR="007F6DF9" w:rsidRDefault="00A43FBC">
            <w:pPr>
              <w:pStyle w:val="TableParagraph"/>
              <w:numPr>
                <w:ilvl w:val="0"/>
                <w:numId w:val="163"/>
              </w:numPr>
              <w:tabs>
                <w:tab w:val="left" w:pos="720"/>
              </w:tabs>
              <w:spacing w:line="269" w:lineRule="exact"/>
              <w:rPr>
                <w:rFonts w:ascii="Times New Roman" w:hAnsi="Times New Roman"/>
              </w:rPr>
            </w:pPr>
            <w:r>
              <w:rPr>
                <w:rFonts w:ascii="Times New Roman" w:hAnsi="Times New Roman"/>
                <w:spacing w:val="-2"/>
              </w:rPr>
              <w:t>Legal</w:t>
            </w:r>
            <w:r>
              <w:rPr>
                <w:rFonts w:ascii="Times New Roman" w:hAnsi="Times New Roman"/>
                <w:spacing w:val="-5"/>
              </w:rPr>
              <w:t xml:space="preserve"> </w:t>
            </w:r>
            <w:r>
              <w:rPr>
                <w:rFonts w:ascii="Times New Roman" w:hAnsi="Times New Roman"/>
                <w:spacing w:val="-2"/>
              </w:rPr>
              <w:t>and</w:t>
            </w:r>
            <w:r>
              <w:rPr>
                <w:rFonts w:ascii="Times New Roman" w:hAnsi="Times New Roman"/>
                <w:spacing w:val="-6"/>
              </w:rPr>
              <w:t xml:space="preserve"> </w:t>
            </w:r>
            <w:r>
              <w:rPr>
                <w:rFonts w:ascii="Times New Roman" w:hAnsi="Times New Roman"/>
                <w:spacing w:val="-2"/>
              </w:rPr>
              <w:t>financial</w:t>
            </w:r>
            <w:r>
              <w:rPr>
                <w:rFonts w:ascii="Times New Roman" w:hAnsi="Times New Roman"/>
                <w:spacing w:val="-4"/>
              </w:rPr>
              <w:t xml:space="preserve"> </w:t>
            </w:r>
            <w:r>
              <w:rPr>
                <w:rFonts w:ascii="Times New Roman" w:hAnsi="Times New Roman"/>
                <w:spacing w:val="-2"/>
              </w:rPr>
              <w:t>autonomy</w:t>
            </w:r>
          </w:p>
          <w:p w:rsidR="007F6DF9" w:rsidRDefault="00A43FBC">
            <w:pPr>
              <w:pStyle w:val="TableParagraph"/>
              <w:numPr>
                <w:ilvl w:val="0"/>
                <w:numId w:val="163"/>
              </w:numPr>
              <w:tabs>
                <w:tab w:val="left" w:pos="720"/>
              </w:tabs>
              <w:spacing w:line="268" w:lineRule="exact"/>
              <w:rPr>
                <w:rFonts w:ascii="Times New Roman" w:hAnsi="Times New Roman"/>
              </w:rPr>
            </w:pPr>
            <w:r>
              <w:rPr>
                <w:rFonts w:ascii="Times New Roman" w:hAnsi="Times New Roman"/>
                <w:spacing w:val="-2"/>
              </w:rPr>
              <w:t>Operation</w:t>
            </w:r>
            <w:r>
              <w:rPr>
                <w:rFonts w:ascii="Times New Roman" w:hAnsi="Times New Roman"/>
                <w:spacing w:val="-9"/>
              </w:rPr>
              <w:t xml:space="preserve"> </w:t>
            </w:r>
            <w:r>
              <w:rPr>
                <w:rFonts w:ascii="Times New Roman" w:hAnsi="Times New Roman"/>
                <w:spacing w:val="-2"/>
              </w:rPr>
              <w:t>under</w:t>
            </w:r>
            <w:r>
              <w:rPr>
                <w:rFonts w:ascii="Times New Roman" w:hAnsi="Times New Roman"/>
                <w:spacing w:val="-8"/>
              </w:rPr>
              <w:t xml:space="preserve"> </w:t>
            </w:r>
            <w:r>
              <w:rPr>
                <w:rFonts w:ascii="Times New Roman" w:hAnsi="Times New Roman"/>
                <w:spacing w:val="-2"/>
              </w:rPr>
              <w:t>commercial</w:t>
            </w:r>
            <w:r>
              <w:rPr>
                <w:rFonts w:ascii="Times New Roman" w:hAnsi="Times New Roman"/>
                <w:spacing w:val="-7"/>
              </w:rPr>
              <w:t xml:space="preserve"> </w:t>
            </w:r>
            <w:r>
              <w:rPr>
                <w:rFonts w:ascii="Times New Roman" w:hAnsi="Times New Roman"/>
                <w:spacing w:val="-5"/>
              </w:rPr>
              <w:t>law</w:t>
            </w:r>
          </w:p>
          <w:p w:rsidR="007F6DF9" w:rsidRDefault="00A43FBC">
            <w:pPr>
              <w:pStyle w:val="TableParagraph"/>
              <w:numPr>
                <w:ilvl w:val="1"/>
                <w:numId w:val="163"/>
              </w:numPr>
              <w:tabs>
                <w:tab w:val="left" w:pos="720"/>
              </w:tabs>
              <w:spacing w:line="252" w:lineRule="exact"/>
              <w:rPr>
                <w:rFonts w:ascii="Times New Roman"/>
              </w:rPr>
            </w:pPr>
            <w:r>
              <w:rPr>
                <w:rFonts w:ascii="Times New Roman"/>
                <w:spacing w:val="-2"/>
              </w:rPr>
              <w:t>Establishing</w:t>
            </w:r>
            <w:r>
              <w:rPr>
                <w:rFonts w:ascii="Times New Roman"/>
                <w:spacing w:val="-7"/>
              </w:rPr>
              <w:t xml:space="preserve"> </w:t>
            </w:r>
            <w:r>
              <w:rPr>
                <w:rFonts w:ascii="Times New Roman"/>
                <w:spacing w:val="-2"/>
              </w:rPr>
              <w:t>that</w:t>
            </w:r>
            <w:r>
              <w:rPr>
                <w:rFonts w:ascii="Times New Roman"/>
                <w:spacing w:val="-5"/>
              </w:rPr>
              <w:t xml:space="preserve"> </w:t>
            </w:r>
            <w:r>
              <w:rPr>
                <w:rFonts w:ascii="Times New Roman"/>
                <w:spacing w:val="-2"/>
              </w:rPr>
              <w:t>the</w:t>
            </w:r>
            <w:r>
              <w:rPr>
                <w:rFonts w:ascii="Times New Roman"/>
                <w:spacing w:val="-7"/>
              </w:rPr>
              <w:t xml:space="preserve"> </w:t>
            </w:r>
            <w:r>
              <w:rPr>
                <w:rFonts w:ascii="Times New Roman"/>
                <w:spacing w:val="-2"/>
              </w:rPr>
              <w:t>Tenderer</w:t>
            </w:r>
            <w:r>
              <w:rPr>
                <w:rFonts w:ascii="Times New Roman"/>
                <w:spacing w:val="-5"/>
              </w:rPr>
              <w:t xml:space="preserve"> </w:t>
            </w:r>
            <w:r>
              <w:rPr>
                <w:rFonts w:ascii="Times New Roman"/>
                <w:spacing w:val="-2"/>
              </w:rPr>
              <w:t>is</w:t>
            </w:r>
            <w:r>
              <w:rPr>
                <w:rFonts w:ascii="Times New Roman"/>
                <w:spacing w:val="-7"/>
              </w:rPr>
              <w:t xml:space="preserve"> </w:t>
            </w:r>
            <w:r>
              <w:rPr>
                <w:rFonts w:ascii="Times New Roman"/>
                <w:spacing w:val="-2"/>
              </w:rPr>
              <w:t>not</w:t>
            </w:r>
            <w:r>
              <w:rPr>
                <w:rFonts w:ascii="Times New Roman"/>
                <w:spacing w:val="-5"/>
              </w:rPr>
              <w:t xml:space="preserve"> </w:t>
            </w:r>
            <w:r>
              <w:rPr>
                <w:rFonts w:ascii="Times New Roman"/>
                <w:spacing w:val="-2"/>
              </w:rPr>
              <w:t>under</w:t>
            </w:r>
            <w:r>
              <w:rPr>
                <w:rFonts w:ascii="Times New Roman"/>
                <w:spacing w:val="-5"/>
              </w:rPr>
              <w:t xml:space="preserve"> </w:t>
            </w:r>
            <w:r>
              <w:rPr>
                <w:rFonts w:ascii="Times New Roman"/>
                <w:spacing w:val="-2"/>
              </w:rPr>
              <w:t>the</w:t>
            </w:r>
            <w:r>
              <w:rPr>
                <w:rFonts w:ascii="Times New Roman"/>
                <w:spacing w:val="-7"/>
              </w:rPr>
              <w:t xml:space="preserve"> </w:t>
            </w:r>
            <w:r>
              <w:rPr>
                <w:rFonts w:ascii="Times New Roman"/>
                <w:spacing w:val="-2"/>
              </w:rPr>
              <w:t>supervision</w:t>
            </w:r>
            <w:r>
              <w:rPr>
                <w:rFonts w:ascii="Times New Roman"/>
                <w:spacing w:val="-6"/>
              </w:rPr>
              <w:t xml:space="preserve"> </w:t>
            </w:r>
            <w:r>
              <w:rPr>
                <w:rFonts w:ascii="Times New Roman"/>
                <w:spacing w:val="-2"/>
              </w:rPr>
              <w:t>of</w:t>
            </w:r>
            <w:r>
              <w:rPr>
                <w:rFonts w:ascii="Times New Roman"/>
                <w:spacing w:val="-6"/>
              </w:rPr>
              <w:t xml:space="preserve"> </w:t>
            </w:r>
            <w:r>
              <w:rPr>
                <w:rFonts w:ascii="Times New Roman"/>
                <w:spacing w:val="-2"/>
              </w:rPr>
              <w:t>the</w:t>
            </w:r>
            <w:r>
              <w:rPr>
                <w:rFonts w:ascii="Times New Roman"/>
                <w:spacing w:val="-6"/>
              </w:rPr>
              <w:t xml:space="preserve"> </w:t>
            </w:r>
            <w:r>
              <w:rPr>
                <w:rFonts w:ascii="Times New Roman"/>
                <w:spacing w:val="-2"/>
              </w:rPr>
              <w:t>Procuring</w:t>
            </w:r>
            <w:r>
              <w:rPr>
                <w:rFonts w:ascii="Times New Roman"/>
                <w:spacing w:val="-6"/>
              </w:rPr>
              <w:t xml:space="preserve"> </w:t>
            </w:r>
            <w:r>
              <w:rPr>
                <w:rFonts w:ascii="Times New Roman"/>
                <w:spacing w:val="-2"/>
              </w:rPr>
              <w:t>Entity</w:t>
            </w:r>
          </w:p>
          <w:p w:rsidR="007F6DF9" w:rsidRDefault="007F6DF9">
            <w:pPr>
              <w:pStyle w:val="TableParagraph"/>
              <w:rPr>
                <w:rFonts w:ascii="Times New Roman"/>
              </w:rPr>
            </w:pPr>
          </w:p>
          <w:p w:rsidR="007F6DF9" w:rsidRDefault="00A43FBC">
            <w:pPr>
              <w:pStyle w:val="TableParagraph"/>
              <w:numPr>
                <w:ilvl w:val="1"/>
                <w:numId w:val="163"/>
              </w:numPr>
              <w:tabs>
                <w:tab w:val="left" w:pos="720"/>
              </w:tabs>
              <w:spacing w:line="239" w:lineRule="exact"/>
              <w:rPr>
                <w:rFonts w:ascii="Times New Roman"/>
              </w:rPr>
            </w:pPr>
            <w:r>
              <w:rPr>
                <w:rFonts w:ascii="Times New Roman"/>
              </w:rPr>
              <w:t>Included</w:t>
            </w:r>
            <w:r>
              <w:rPr>
                <w:rFonts w:ascii="Times New Roman"/>
                <w:spacing w:val="-14"/>
              </w:rPr>
              <w:t xml:space="preserve"> </w:t>
            </w:r>
            <w:r>
              <w:rPr>
                <w:rFonts w:ascii="Times New Roman"/>
              </w:rPr>
              <w:t>are</w:t>
            </w:r>
            <w:r>
              <w:rPr>
                <w:rFonts w:ascii="Times New Roman"/>
                <w:spacing w:val="-14"/>
              </w:rPr>
              <w:t xml:space="preserve"> </w:t>
            </w:r>
            <w:r>
              <w:rPr>
                <w:rFonts w:ascii="Times New Roman"/>
              </w:rPr>
              <w:t>the</w:t>
            </w:r>
            <w:r>
              <w:rPr>
                <w:rFonts w:ascii="Times New Roman"/>
                <w:spacing w:val="-14"/>
              </w:rPr>
              <w:t xml:space="preserve"> </w:t>
            </w:r>
            <w:r>
              <w:rPr>
                <w:rFonts w:ascii="Times New Roman"/>
              </w:rPr>
              <w:t>organizational</w:t>
            </w:r>
            <w:r>
              <w:rPr>
                <w:rFonts w:ascii="Times New Roman"/>
                <w:spacing w:val="-13"/>
              </w:rPr>
              <w:t xml:space="preserve"> </w:t>
            </w:r>
            <w:r>
              <w:rPr>
                <w:rFonts w:ascii="Times New Roman"/>
              </w:rPr>
              <w:t>chart</w:t>
            </w:r>
            <w:r>
              <w:rPr>
                <w:rFonts w:ascii="Times New Roman"/>
                <w:spacing w:val="-14"/>
              </w:rPr>
              <w:t xml:space="preserve"> </w:t>
            </w:r>
            <w:r>
              <w:rPr>
                <w:rFonts w:ascii="Times New Roman"/>
              </w:rPr>
              <w:t>and</w:t>
            </w:r>
            <w:r>
              <w:rPr>
                <w:rFonts w:ascii="Times New Roman"/>
                <w:spacing w:val="29"/>
              </w:rPr>
              <w:t xml:space="preserve"> </w:t>
            </w:r>
            <w:r>
              <w:rPr>
                <w:rFonts w:ascii="Times New Roman"/>
              </w:rPr>
              <w:t>a</w:t>
            </w:r>
            <w:r>
              <w:rPr>
                <w:rFonts w:ascii="Times New Roman"/>
                <w:spacing w:val="-14"/>
              </w:rPr>
              <w:t xml:space="preserve"> </w:t>
            </w:r>
            <w:r>
              <w:rPr>
                <w:rFonts w:ascii="Times New Roman"/>
              </w:rPr>
              <w:t>list</w:t>
            </w:r>
            <w:r>
              <w:rPr>
                <w:rFonts w:ascii="Times New Roman"/>
                <w:spacing w:val="-13"/>
              </w:rPr>
              <w:t xml:space="preserve"> </w:t>
            </w:r>
            <w:r>
              <w:rPr>
                <w:rFonts w:ascii="Times New Roman"/>
              </w:rPr>
              <w:t>of</w:t>
            </w:r>
            <w:r>
              <w:rPr>
                <w:rFonts w:ascii="Times New Roman"/>
                <w:spacing w:val="-13"/>
              </w:rPr>
              <w:t xml:space="preserve"> </w:t>
            </w:r>
            <w:r>
              <w:rPr>
                <w:rFonts w:ascii="Times New Roman"/>
              </w:rPr>
              <w:t>Board</w:t>
            </w:r>
            <w:r>
              <w:rPr>
                <w:rFonts w:ascii="Times New Roman"/>
                <w:spacing w:val="-14"/>
              </w:rPr>
              <w:t xml:space="preserve"> </w:t>
            </w:r>
            <w:r>
              <w:rPr>
                <w:rFonts w:ascii="Times New Roman"/>
              </w:rPr>
              <w:t>of</w:t>
            </w:r>
            <w:r>
              <w:rPr>
                <w:rFonts w:ascii="Times New Roman"/>
                <w:spacing w:val="-12"/>
              </w:rPr>
              <w:t xml:space="preserve"> </w:t>
            </w:r>
            <w:r>
              <w:rPr>
                <w:rFonts w:ascii="Times New Roman"/>
                <w:spacing w:val="-2"/>
              </w:rPr>
              <w:t>Directors</w:t>
            </w:r>
          </w:p>
        </w:tc>
      </w:tr>
    </w:tbl>
    <w:p w:rsidR="007F6DF9" w:rsidRDefault="007F6DF9">
      <w:pPr>
        <w:pStyle w:val="TableParagraph"/>
        <w:spacing w:line="239" w:lineRule="exact"/>
        <w:rPr>
          <w:rFonts w:ascii="Times New Roman"/>
        </w:rPr>
        <w:sectPr w:rsidR="007F6DF9">
          <w:pgSz w:w="11920" w:h="16850"/>
          <w:pgMar w:top="360" w:right="283" w:bottom="620" w:left="141" w:header="0" w:footer="437" w:gutter="0"/>
          <w:cols w:space="720"/>
        </w:sectPr>
      </w:pPr>
    </w:p>
    <w:p w:rsidR="007F6DF9" w:rsidRDefault="00A43FBC">
      <w:pPr>
        <w:pStyle w:val="Heading6"/>
        <w:numPr>
          <w:ilvl w:val="1"/>
          <w:numId w:val="166"/>
        </w:numPr>
        <w:tabs>
          <w:tab w:val="left" w:pos="1232"/>
        </w:tabs>
        <w:spacing w:before="220"/>
        <w:ind w:hanging="521"/>
        <w:jc w:val="left"/>
        <w:rPr>
          <w:color w:val="221F1F"/>
        </w:rPr>
      </w:pPr>
      <w:r>
        <w:rPr>
          <w:color w:val="221F1F"/>
        </w:rPr>
        <w:lastRenderedPageBreak/>
        <w:t>FORM</w:t>
      </w:r>
      <w:r>
        <w:rPr>
          <w:color w:val="221F1F"/>
          <w:spacing w:val="-3"/>
        </w:rPr>
        <w:t xml:space="preserve"> </w:t>
      </w:r>
      <w:r>
        <w:rPr>
          <w:color w:val="221F1F"/>
        </w:rPr>
        <w:t>ELI -</w:t>
      </w:r>
      <w:r>
        <w:rPr>
          <w:color w:val="221F1F"/>
          <w:spacing w:val="-5"/>
        </w:rPr>
        <w:t>1.2</w:t>
      </w:r>
    </w:p>
    <w:p w:rsidR="007F6DF9" w:rsidRDefault="007F6DF9">
      <w:pPr>
        <w:pStyle w:val="BodyText"/>
        <w:spacing w:before="230"/>
        <w:rPr>
          <w:b/>
          <w:sz w:val="24"/>
        </w:rPr>
      </w:pPr>
    </w:p>
    <w:p w:rsidR="007F6DF9" w:rsidRDefault="00A43FBC">
      <w:pPr>
        <w:pStyle w:val="Heading9"/>
        <w:spacing w:before="1" w:line="251" w:lineRule="exact"/>
        <w:ind w:left="708" w:firstLine="0"/>
      </w:pPr>
      <w:r>
        <w:rPr>
          <w:color w:val="221F1F"/>
        </w:rPr>
        <w:t>Tenderer's</w:t>
      </w:r>
      <w:r>
        <w:rPr>
          <w:color w:val="221F1F"/>
          <w:spacing w:val="-7"/>
        </w:rPr>
        <w:t xml:space="preserve"> </w:t>
      </w:r>
      <w:r>
        <w:rPr>
          <w:color w:val="221F1F"/>
        </w:rPr>
        <w:t>JV</w:t>
      </w:r>
      <w:r>
        <w:rPr>
          <w:color w:val="221F1F"/>
          <w:spacing w:val="-6"/>
        </w:rPr>
        <w:t xml:space="preserve"> </w:t>
      </w:r>
      <w:r>
        <w:rPr>
          <w:color w:val="221F1F"/>
        </w:rPr>
        <w:t>Information</w:t>
      </w:r>
      <w:r>
        <w:rPr>
          <w:color w:val="221F1F"/>
          <w:spacing w:val="-4"/>
        </w:rPr>
        <w:t xml:space="preserve"> Form</w:t>
      </w:r>
    </w:p>
    <w:p w:rsidR="007F6DF9" w:rsidRDefault="00A43FBC">
      <w:pPr>
        <w:spacing w:line="251" w:lineRule="exact"/>
        <w:ind w:left="708"/>
        <w:rPr>
          <w:b/>
        </w:rPr>
      </w:pPr>
      <w:r>
        <w:rPr>
          <w:b/>
          <w:color w:val="221F1F"/>
        </w:rPr>
        <w:t>(to</w:t>
      </w:r>
      <w:r>
        <w:rPr>
          <w:b/>
          <w:color w:val="221F1F"/>
          <w:spacing w:val="-3"/>
        </w:rPr>
        <w:t xml:space="preserve"> </w:t>
      </w:r>
      <w:r>
        <w:rPr>
          <w:b/>
          <w:color w:val="221F1F"/>
        </w:rPr>
        <w:t>be</w:t>
      </w:r>
      <w:r>
        <w:rPr>
          <w:b/>
          <w:color w:val="221F1F"/>
          <w:spacing w:val="-2"/>
        </w:rPr>
        <w:t xml:space="preserve"> </w:t>
      </w:r>
      <w:r>
        <w:rPr>
          <w:b/>
          <w:color w:val="221F1F"/>
        </w:rPr>
        <w:t>completed</w:t>
      </w:r>
      <w:r>
        <w:rPr>
          <w:b/>
          <w:color w:val="221F1F"/>
          <w:spacing w:val="-5"/>
        </w:rPr>
        <w:t xml:space="preserve"> </w:t>
      </w:r>
      <w:r>
        <w:rPr>
          <w:b/>
          <w:color w:val="221F1F"/>
        </w:rPr>
        <w:t>for</w:t>
      </w:r>
      <w:r>
        <w:rPr>
          <w:b/>
          <w:color w:val="221F1F"/>
          <w:spacing w:val="-4"/>
        </w:rPr>
        <w:t xml:space="preserve"> </w:t>
      </w:r>
      <w:r>
        <w:rPr>
          <w:b/>
          <w:color w:val="221F1F"/>
        </w:rPr>
        <w:t>each</w:t>
      </w:r>
      <w:r>
        <w:rPr>
          <w:b/>
          <w:color w:val="221F1F"/>
          <w:spacing w:val="-3"/>
        </w:rPr>
        <w:t xml:space="preserve"> </w:t>
      </w:r>
      <w:r>
        <w:rPr>
          <w:b/>
          <w:color w:val="221F1F"/>
        </w:rPr>
        <w:t>member</w:t>
      </w:r>
      <w:r>
        <w:rPr>
          <w:b/>
          <w:color w:val="221F1F"/>
          <w:spacing w:val="-2"/>
        </w:rPr>
        <w:t xml:space="preserve"> </w:t>
      </w:r>
      <w:r>
        <w:rPr>
          <w:b/>
          <w:color w:val="221F1F"/>
        </w:rPr>
        <w:t>of</w:t>
      </w:r>
      <w:r>
        <w:rPr>
          <w:b/>
          <w:color w:val="221F1F"/>
          <w:spacing w:val="-2"/>
        </w:rPr>
        <w:t xml:space="preserve"> </w:t>
      </w:r>
      <w:r>
        <w:rPr>
          <w:b/>
          <w:color w:val="221F1F"/>
        </w:rPr>
        <w:t>Tenderer's</w:t>
      </w:r>
      <w:r>
        <w:rPr>
          <w:b/>
          <w:color w:val="221F1F"/>
          <w:spacing w:val="-4"/>
        </w:rPr>
        <w:t xml:space="preserve"> </w:t>
      </w:r>
      <w:r>
        <w:rPr>
          <w:b/>
          <w:color w:val="221F1F"/>
          <w:spacing w:val="-5"/>
        </w:rPr>
        <w:t>JV)</w:t>
      </w:r>
    </w:p>
    <w:p w:rsidR="007F6DF9" w:rsidRDefault="00A43FBC">
      <w:pPr>
        <w:pStyle w:val="BodyText"/>
        <w:tabs>
          <w:tab w:val="left" w:pos="6440"/>
        </w:tabs>
        <w:spacing w:before="234"/>
        <w:ind w:left="708"/>
      </w:pPr>
      <w:r>
        <w:rPr>
          <w:color w:val="221F1F"/>
          <w:spacing w:val="-2"/>
        </w:rPr>
        <w:t>Date:</w:t>
      </w:r>
      <w:r>
        <w:rPr>
          <w:color w:val="221F1F"/>
          <w:u w:val="single" w:color="211E1F"/>
        </w:rPr>
        <w:tab/>
      </w:r>
    </w:p>
    <w:p w:rsidR="007F6DF9" w:rsidRDefault="00A43FBC">
      <w:pPr>
        <w:pStyle w:val="BodyText"/>
        <w:tabs>
          <w:tab w:val="left" w:pos="6522"/>
        </w:tabs>
        <w:spacing w:before="236"/>
        <w:ind w:left="708"/>
      </w:pPr>
      <w:r>
        <w:rPr>
          <w:color w:val="221F1F"/>
        </w:rPr>
        <w:t>ITT</w:t>
      </w:r>
      <w:r>
        <w:rPr>
          <w:color w:val="221F1F"/>
          <w:spacing w:val="-3"/>
        </w:rPr>
        <w:t xml:space="preserve"> </w:t>
      </w:r>
      <w:r>
        <w:rPr>
          <w:color w:val="221F1F"/>
        </w:rPr>
        <w:t>No.</w:t>
      </w:r>
      <w:r>
        <w:rPr>
          <w:color w:val="221F1F"/>
          <w:spacing w:val="-2"/>
        </w:rPr>
        <w:t xml:space="preserve"> </w:t>
      </w:r>
      <w:proofErr w:type="spellStart"/>
      <w:r>
        <w:rPr>
          <w:color w:val="221F1F"/>
          <w:spacing w:val="-2"/>
        </w:rPr>
        <w:t>andtitle</w:t>
      </w:r>
      <w:proofErr w:type="spellEnd"/>
      <w:r>
        <w:rPr>
          <w:color w:val="221F1F"/>
          <w:spacing w:val="-2"/>
        </w:rPr>
        <w:t>:</w:t>
      </w:r>
      <w:r>
        <w:rPr>
          <w:color w:val="221F1F"/>
          <w:u w:val="single" w:color="211E1F"/>
        </w:rPr>
        <w:tab/>
      </w:r>
    </w:p>
    <w:p w:rsidR="007F6DF9" w:rsidRDefault="007F6DF9">
      <w:pPr>
        <w:pStyle w:val="BodyText"/>
        <w:spacing w:before="119"/>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4"/>
      </w:tblGrid>
      <w:tr w:rsidR="007F6DF9">
        <w:trPr>
          <w:trHeight w:val="506"/>
        </w:trPr>
        <w:tc>
          <w:tcPr>
            <w:tcW w:w="9374" w:type="dxa"/>
          </w:tcPr>
          <w:p w:rsidR="007F6DF9" w:rsidRDefault="00A43FBC">
            <w:pPr>
              <w:pStyle w:val="TableParagraph"/>
              <w:spacing w:line="251" w:lineRule="exact"/>
              <w:ind w:left="141"/>
              <w:rPr>
                <w:rFonts w:ascii="Times New Roman" w:hAnsi="Times New Roman"/>
              </w:rPr>
            </w:pPr>
            <w:r>
              <w:rPr>
                <w:rFonts w:ascii="Times New Roman" w:hAnsi="Times New Roman"/>
                <w:spacing w:val="-2"/>
              </w:rPr>
              <w:t>Tenderer’s</w:t>
            </w:r>
            <w:r>
              <w:rPr>
                <w:rFonts w:ascii="Times New Roman" w:hAnsi="Times New Roman"/>
                <w:spacing w:val="-5"/>
              </w:rPr>
              <w:t xml:space="preserve"> </w:t>
            </w:r>
            <w:r>
              <w:rPr>
                <w:rFonts w:ascii="Times New Roman" w:hAnsi="Times New Roman"/>
                <w:spacing w:val="-2"/>
              </w:rPr>
              <w:t>JV</w:t>
            </w:r>
            <w:r>
              <w:rPr>
                <w:rFonts w:ascii="Times New Roman" w:hAnsi="Times New Roman"/>
                <w:spacing w:val="-6"/>
              </w:rPr>
              <w:t xml:space="preserve"> </w:t>
            </w:r>
            <w:r>
              <w:rPr>
                <w:rFonts w:ascii="Times New Roman" w:hAnsi="Times New Roman"/>
                <w:spacing w:val="-4"/>
              </w:rPr>
              <w:t>name:</w:t>
            </w:r>
          </w:p>
        </w:tc>
      </w:tr>
      <w:tr w:rsidR="007F6DF9">
        <w:trPr>
          <w:trHeight w:val="506"/>
        </w:trPr>
        <w:tc>
          <w:tcPr>
            <w:tcW w:w="9374" w:type="dxa"/>
          </w:tcPr>
          <w:p w:rsidR="007F6DF9" w:rsidRDefault="00A43FBC">
            <w:pPr>
              <w:pStyle w:val="TableParagraph"/>
              <w:spacing w:line="251" w:lineRule="exact"/>
              <w:ind w:left="141"/>
              <w:rPr>
                <w:rFonts w:ascii="Times New Roman" w:hAnsi="Times New Roman"/>
              </w:rPr>
            </w:pPr>
            <w:r>
              <w:rPr>
                <w:rFonts w:ascii="Times New Roman" w:hAnsi="Times New Roman"/>
                <w:spacing w:val="-2"/>
              </w:rPr>
              <w:t>JV</w:t>
            </w:r>
            <w:r>
              <w:rPr>
                <w:rFonts w:ascii="Times New Roman" w:hAnsi="Times New Roman"/>
                <w:spacing w:val="-6"/>
              </w:rPr>
              <w:t xml:space="preserve"> </w:t>
            </w:r>
            <w:r>
              <w:rPr>
                <w:rFonts w:ascii="Times New Roman" w:hAnsi="Times New Roman"/>
                <w:spacing w:val="-2"/>
              </w:rPr>
              <w:t>member’s</w:t>
            </w:r>
            <w:r>
              <w:rPr>
                <w:rFonts w:ascii="Times New Roman" w:hAnsi="Times New Roman"/>
                <w:spacing w:val="-5"/>
              </w:rPr>
              <w:t xml:space="preserve"> </w:t>
            </w:r>
            <w:r>
              <w:rPr>
                <w:rFonts w:ascii="Times New Roman" w:hAnsi="Times New Roman"/>
                <w:spacing w:val="-4"/>
              </w:rPr>
              <w:t>name:</w:t>
            </w:r>
          </w:p>
        </w:tc>
      </w:tr>
      <w:tr w:rsidR="007F6DF9">
        <w:trPr>
          <w:trHeight w:val="506"/>
        </w:trPr>
        <w:tc>
          <w:tcPr>
            <w:tcW w:w="9374" w:type="dxa"/>
          </w:tcPr>
          <w:p w:rsidR="007F6DF9" w:rsidRDefault="00A43FBC">
            <w:pPr>
              <w:pStyle w:val="TableParagraph"/>
              <w:spacing w:line="251" w:lineRule="exact"/>
              <w:ind w:left="141"/>
              <w:rPr>
                <w:rFonts w:ascii="Times New Roman" w:hAnsi="Times New Roman"/>
              </w:rPr>
            </w:pPr>
            <w:r>
              <w:rPr>
                <w:rFonts w:ascii="Times New Roman" w:hAnsi="Times New Roman"/>
                <w:spacing w:val="-2"/>
              </w:rPr>
              <w:t>JV</w:t>
            </w:r>
            <w:r>
              <w:rPr>
                <w:rFonts w:ascii="Times New Roman" w:hAnsi="Times New Roman"/>
                <w:spacing w:val="-7"/>
              </w:rPr>
              <w:t xml:space="preserve"> </w:t>
            </w:r>
            <w:r>
              <w:rPr>
                <w:rFonts w:ascii="Times New Roman" w:hAnsi="Times New Roman"/>
                <w:spacing w:val="-2"/>
              </w:rPr>
              <w:t>member’s</w:t>
            </w:r>
            <w:r>
              <w:rPr>
                <w:rFonts w:ascii="Times New Roman" w:hAnsi="Times New Roman"/>
                <w:spacing w:val="-5"/>
              </w:rPr>
              <w:t xml:space="preserve"> </w:t>
            </w:r>
            <w:r>
              <w:rPr>
                <w:rFonts w:ascii="Times New Roman" w:hAnsi="Times New Roman"/>
                <w:spacing w:val="-2"/>
              </w:rPr>
              <w:t>country</w:t>
            </w:r>
            <w:r>
              <w:rPr>
                <w:rFonts w:ascii="Times New Roman" w:hAnsi="Times New Roman"/>
                <w:spacing w:val="-6"/>
              </w:rPr>
              <w:t xml:space="preserve"> </w:t>
            </w:r>
            <w:r>
              <w:rPr>
                <w:rFonts w:ascii="Times New Roman" w:hAnsi="Times New Roman"/>
                <w:spacing w:val="-2"/>
              </w:rPr>
              <w:t>of</w:t>
            </w:r>
            <w:r>
              <w:rPr>
                <w:rFonts w:ascii="Times New Roman" w:hAnsi="Times New Roman"/>
                <w:spacing w:val="-4"/>
              </w:rPr>
              <w:t xml:space="preserve"> </w:t>
            </w:r>
            <w:r>
              <w:rPr>
                <w:rFonts w:ascii="Times New Roman" w:hAnsi="Times New Roman"/>
                <w:spacing w:val="-2"/>
              </w:rPr>
              <w:t>registration:</w:t>
            </w:r>
          </w:p>
        </w:tc>
      </w:tr>
      <w:tr w:rsidR="007F6DF9">
        <w:trPr>
          <w:trHeight w:val="504"/>
        </w:trPr>
        <w:tc>
          <w:tcPr>
            <w:tcW w:w="9374" w:type="dxa"/>
          </w:tcPr>
          <w:p w:rsidR="007F6DF9" w:rsidRDefault="00A43FBC">
            <w:pPr>
              <w:pStyle w:val="TableParagraph"/>
              <w:spacing w:line="252" w:lineRule="exact"/>
              <w:ind w:left="141"/>
              <w:rPr>
                <w:rFonts w:ascii="Times New Roman" w:hAnsi="Times New Roman"/>
              </w:rPr>
            </w:pPr>
            <w:r>
              <w:rPr>
                <w:rFonts w:ascii="Times New Roman" w:hAnsi="Times New Roman"/>
              </w:rPr>
              <w:t>JV</w:t>
            </w:r>
            <w:r>
              <w:rPr>
                <w:rFonts w:ascii="Times New Roman" w:hAnsi="Times New Roman"/>
                <w:spacing w:val="-14"/>
              </w:rPr>
              <w:t xml:space="preserve"> </w:t>
            </w:r>
            <w:r>
              <w:rPr>
                <w:rFonts w:ascii="Times New Roman" w:hAnsi="Times New Roman"/>
              </w:rPr>
              <w:t>member’s</w:t>
            </w:r>
            <w:r>
              <w:rPr>
                <w:rFonts w:ascii="Times New Roman" w:hAnsi="Times New Roman"/>
                <w:spacing w:val="-13"/>
              </w:rPr>
              <w:t xml:space="preserve"> </w:t>
            </w:r>
            <w:r>
              <w:rPr>
                <w:rFonts w:ascii="Times New Roman" w:hAnsi="Times New Roman"/>
              </w:rPr>
              <w:t>year</w:t>
            </w:r>
            <w:r>
              <w:rPr>
                <w:rFonts w:ascii="Times New Roman" w:hAnsi="Times New Roman"/>
                <w:spacing w:val="-12"/>
              </w:rPr>
              <w:t xml:space="preserve"> </w:t>
            </w:r>
            <w:r>
              <w:rPr>
                <w:rFonts w:ascii="Times New Roman" w:hAnsi="Times New Roman"/>
              </w:rPr>
              <w:t>of</w:t>
            </w:r>
            <w:r>
              <w:rPr>
                <w:rFonts w:ascii="Times New Roman" w:hAnsi="Times New Roman"/>
                <w:spacing w:val="-12"/>
              </w:rPr>
              <w:t xml:space="preserve"> </w:t>
            </w:r>
            <w:r>
              <w:rPr>
                <w:rFonts w:ascii="Times New Roman" w:hAnsi="Times New Roman"/>
                <w:spacing w:val="-2"/>
              </w:rPr>
              <w:t>constitution:</w:t>
            </w:r>
          </w:p>
        </w:tc>
      </w:tr>
      <w:tr w:rsidR="007F6DF9">
        <w:trPr>
          <w:trHeight w:val="506"/>
        </w:trPr>
        <w:tc>
          <w:tcPr>
            <w:tcW w:w="9374" w:type="dxa"/>
          </w:tcPr>
          <w:p w:rsidR="007F6DF9" w:rsidRDefault="00A43FBC">
            <w:pPr>
              <w:pStyle w:val="TableParagraph"/>
              <w:spacing w:before="1"/>
              <w:ind w:left="141"/>
              <w:rPr>
                <w:rFonts w:ascii="Times New Roman" w:hAnsi="Times New Roman"/>
              </w:rPr>
            </w:pPr>
            <w:r>
              <w:rPr>
                <w:rFonts w:ascii="Times New Roman" w:hAnsi="Times New Roman"/>
                <w:spacing w:val="-8"/>
              </w:rPr>
              <w:t>JV</w:t>
            </w:r>
            <w:r>
              <w:rPr>
                <w:rFonts w:ascii="Times New Roman" w:hAnsi="Times New Roman"/>
                <w:spacing w:val="-10"/>
              </w:rPr>
              <w:t xml:space="preserve"> </w:t>
            </w:r>
            <w:r>
              <w:rPr>
                <w:rFonts w:ascii="Times New Roman" w:hAnsi="Times New Roman"/>
                <w:spacing w:val="-8"/>
              </w:rPr>
              <w:t>member’s</w:t>
            </w:r>
            <w:r>
              <w:rPr>
                <w:rFonts w:ascii="Times New Roman" w:hAnsi="Times New Roman"/>
                <w:spacing w:val="-5"/>
              </w:rPr>
              <w:t xml:space="preserve"> </w:t>
            </w:r>
            <w:r>
              <w:rPr>
                <w:rFonts w:ascii="Times New Roman" w:hAnsi="Times New Roman"/>
                <w:spacing w:val="-8"/>
              </w:rPr>
              <w:t>legal</w:t>
            </w:r>
            <w:r>
              <w:rPr>
                <w:rFonts w:ascii="Times New Roman" w:hAnsi="Times New Roman"/>
                <w:spacing w:val="-5"/>
              </w:rPr>
              <w:t xml:space="preserve"> </w:t>
            </w:r>
            <w:r>
              <w:rPr>
                <w:rFonts w:ascii="Times New Roman" w:hAnsi="Times New Roman"/>
                <w:spacing w:val="-8"/>
              </w:rPr>
              <w:t>address</w:t>
            </w:r>
            <w:r>
              <w:rPr>
                <w:rFonts w:ascii="Times New Roman" w:hAnsi="Times New Roman"/>
                <w:spacing w:val="-5"/>
              </w:rPr>
              <w:t xml:space="preserve"> </w:t>
            </w:r>
            <w:r>
              <w:rPr>
                <w:rFonts w:ascii="Times New Roman" w:hAnsi="Times New Roman"/>
                <w:spacing w:val="-8"/>
              </w:rPr>
              <w:t>in</w:t>
            </w:r>
            <w:r>
              <w:rPr>
                <w:rFonts w:ascii="Times New Roman" w:hAnsi="Times New Roman"/>
                <w:spacing w:val="-9"/>
              </w:rPr>
              <w:t xml:space="preserve"> </w:t>
            </w:r>
            <w:r>
              <w:rPr>
                <w:rFonts w:ascii="Times New Roman" w:hAnsi="Times New Roman"/>
                <w:spacing w:val="-8"/>
              </w:rPr>
              <w:t>country</w:t>
            </w:r>
            <w:r>
              <w:rPr>
                <w:rFonts w:ascii="Times New Roman" w:hAnsi="Times New Roman"/>
                <w:spacing w:val="-6"/>
              </w:rPr>
              <w:t xml:space="preserve"> </w:t>
            </w:r>
            <w:r>
              <w:rPr>
                <w:rFonts w:ascii="Times New Roman" w:hAnsi="Times New Roman"/>
                <w:spacing w:val="-8"/>
              </w:rPr>
              <w:t>of</w:t>
            </w:r>
            <w:r>
              <w:rPr>
                <w:rFonts w:ascii="Times New Roman" w:hAnsi="Times New Roman"/>
                <w:spacing w:val="-5"/>
              </w:rPr>
              <w:t xml:space="preserve"> </w:t>
            </w:r>
            <w:r>
              <w:rPr>
                <w:rFonts w:ascii="Times New Roman" w:hAnsi="Times New Roman"/>
                <w:spacing w:val="-8"/>
              </w:rPr>
              <w:t>constitution:</w:t>
            </w:r>
          </w:p>
        </w:tc>
      </w:tr>
      <w:tr w:rsidR="007F6DF9">
        <w:trPr>
          <w:trHeight w:val="1249"/>
        </w:trPr>
        <w:tc>
          <w:tcPr>
            <w:tcW w:w="9374" w:type="dxa"/>
            <w:tcBorders>
              <w:bottom w:val="thinThickMediumGap" w:sz="2" w:space="0" w:color="000000"/>
            </w:tcBorders>
          </w:tcPr>
          <w:p w:rsidR="007F6DF9" w:rsidRDefault="00A43FBC">
            <w:pPr>
              <w:pStyle w:val="TableParagraph"/>
              <w:tabs>
                <w:tab w:val="left" w:pos="4683"/>
              </w:tabs>
              <w:ind w:left="141" w:right="4656"/>
              <w:rPr>
                <w:rFonts w:ascii="Times New Roman" w:hAnsi="Times New Roman"/>
              </w:rPr>
            </w:pPr>
            <w:r>
              <w:rPr>
                <w:rFonts w:ascii="Times New Roman" w:hAnsi="Times New Roman"/>
                <w:spacing w:val="-2"/>
              </w:rPr>
              <w:t>JV</w:t>
            </w:r>
            <w:r>
              <w:rPr>
                <w:rFonts w:ascii="Times New Roman" w:hAnsi="Times New Roman"/>
                <w:spacing w:val="-16"/>
              </w:rPr>
              <w:t xml:space="preserve"> </w:t>
            </w:r>
            <w:r>
              <w:rPr>
                <w:rFonts w:ascii="Times New Roman" w:hAnsi="Times New Roman"/>
                <w:spacing w:val="-2"/>
              </w:rPr>
              <w:t>member’s</w:t>
            </w:r>
            <w:r>
              <w:rPr>
                <w:rFonts w:ascii="Times New Roman" w:hAnsi="Times New Roman"/>
                <w:spacing w:val="-14"/>
              </w:rPr>
              <w:t xml:space="preserve"> </w:t>
            </w:r>
            <w:r>
              <w:rPr>
                <w:rFonts w:ascii="Times New Roman" w:hAnsi="Times New Roman"/>
                <w:spacing w:val="-2"/>
              </w:rPr>
              <w:t>authorized</w:t>
            </w:r>
            <w:r>
              <w:rPr>
                <w:rFonts w:ascii="Times New Roman" w:hAnsi="Times New Roman"/>
                <w:spacing w:val="-15"/>
              </w:rPr>
              <w:t xml:space="preserve"> </w:t>
            </w:r>
            <w:r>
              <w:rPr>
                <w:rFonts w:ascii="Times New Roman" w:hAnsi="Times New Roman"/>
                <w:spacing w:val="-2"/>
              </w:rPr>
              <w:t>representative</w:t>
            </w:r>
            <w:r>
              <w:rPr>
                <w:rFonts w:ascii="Times New Roman" w:hAnsi="Times New Roman"/>
                <w:spacing w:val="-14"/>
              </w:rPr>
              <w:t xml:space="preserve"> </w:t>
            </w:r>
            <w:r>
              <w:rPr>
                <w:rFonts w:ascii="Times New Roman" w:hAnsi="Times New Roman"/>
                <w:spacing w:val="-2"/>
              </w:rPr>
              <w:t xml:space="preserve">information </w:t>
            </w:r>
            <w:r>
              <w:rPr>
                <w:rFonts w:ascii="Times New Roman" w:hAnsi="Times New Roman"/>
              </w:rPr>
              <w:t xml:space="preserve">Name: </w:t>
            </w:r>
            <w:proofErr w:type="gramStart"/>
            <w:r>
              <w:rPr>
                <w:rFonts w:ascii="Times New Roman" w:hAnsi="Times New Roman"/>
                <w:u w:val="single"/>
              </w:rPr>
              <w:tab/>
            </w:r>
            <w:r>
              <w:rPr>
                <w:rFonts w:ascii="Times New Roman" w:hAnsi="Times New Roman"/>
                <w:spacing w:val="-46"/>
                <w:u w:val="single"/>
              </w:rPr>
              <w:t xml:space="preserve"> </w:t>
            </w:r>
            <w:r>
              <w:rPr>
                <w:rFonts w:ascii="Times New Roman" w:hAnsi="Times New Roman"/>
              </w:rPr>
              <w:t xml:space="preserve"> Address</w:t>
            </w:r>
            <w:proofErr w:type="gramEnd"/>
            <w:r>
              <w:rPr>
                <w:rFonts w:ascii="Times New Roman" w:hAnsi="Times New Roman"/>
              </w:rPr>
              <w:t xml:space="preserve">: </w:t>
            </w:r>
            <w:r>
              <w:rPr>
                <w:rFonts w:ascii="Times New Roman" w:hAnsi="Times New Roman"/>
                <w:u w:val="single"/>
              </w:rPr>
              <w:tab/>
            </w:r>
          </w:p>
          <w:p w:rsidR="007F6DF9" w:rsidRDefault="00A43FBC">
            <w:pPr>
              <w:pStyle w:val="TableParagraph"/>
              <w:tabs>
                <w:tab w:val="left" w:pos="4664"/>
              </w:tabs>
              <w:spacing w:line="252" w:lineRule="exact"/>
              <w:ind w:left="141" w:right="4702"/>
              <w:rPr>
                <w:rFonts w:ascii="Times New Roman"/>
              </w:rPr>
            </w:pPr>
            <w:r>
              <w:rPr>
                <w:rFonts w:ascii="Times New Roman"/>
              </w:rPr>
              <w:t xml:space="preserve">Telephone/Fax numbers: </w:t>
            </w:r>
            <w:r>
              <w:rPr>
                <w:rFonts w:ascii="Times New Roman"/>
                <w:u w:val="single"/>
              </w:rPr>
              <w:tab/>
            </w:r>
            <w:r>
              <w:rPr>
                <w:rFonts w:ascii="Times New Roman"/>
              </w:rPr>
              <w:t xml:space="preserve"> E-mail</w:t>
            </w:r>
            <w:r>
              <w:rPr>
                <w:rFonts w:ascii="Times New Roman"/>
                <w:spacing w:val="-14"/>
              </w:rPr>
              <w:t xml:space="preserve"> </w:t>
            </w:r>
            <w:r>
              <w:rPr>
                <w:rFonts w:ascii="Times New Roman"/>
              </w:rPr>
              <w:t>address:</w:t>
            </w:r>
          </w:p>
        </w:tc>
      </w:tr>
      <w:tr w:rsidR="007F6DF9">
        <w:trPr>
          <w:trHeight w:val="2499"/>
        </w:trPr>
        <w:tc>
          <w:tcPr>
            <w:tcW w:w="9374" w:type="dxa"/>
            <w:tcBorders>
              <w:top w:val="thickThinMediumGap" w:sz="2" w:space="0" w:color="000000"/>
            </w:tcBorders>
          </w:tcPr>
          <w:p w:rsidR="007F6DF9" w:rsidRDefault="00A43FBC">
            <w:pPr>
              <w:pStyle w:val="TableParagraph"/>
              <w:numPr>
                <w:ilvl w:val="0"/>
                <w:numId w:val="162"/>
              </w:numPr>
              <w:tabs>
                <w:tab w:val="left" w:pos="353"/>
              </w:tabs>
              <w:spacing w:before="219" w:line="252" w:lineRule="exact"/>
              <w:ind w:left="353" w:hanging="212"/>
              <w:jc w:val="both"/>
              <w:rPr>
                <w:rFonts w:ascii="Times New Roman"/>
              </w:rPr>
            </w:pPr>
            <w:r>
              <w:rPr>
                <w:rFonts w:ascii="Times New Roman"/>
                <w:spacing w:val="-2"/>
              </w:rPr>
              <w:t>Attached</w:t>
            </w:r>
            <w:r>
              <w:rPr>
                <w:rFonts w:ascii="Times New Roman"/>
                <w:spacing w:val="-7"/>
              </w:rPr>
              <w:t xml:space="preserve"> </w:t>
            </w:r>
            <w:r>
              <w:rPr>
                <w:rFonts w:ascii="Times New Roman"/>
                <w:spacing w:val="-2"/>
              </w:rPr>
              <w:t>are</w:t>
            </w:r>
            <w:r>
              <w:rPr>
                <w:rFonts w:ascii="Times New Roman"/>
                <w:spacing w:val="-6"/>
              </w:rPr>
              <w:t xml:space="preserve"> </w:t>
            </w:r>
            <w:r>
              <w:rPr>
                <w:rFonts w:ascii="Times New Roman"/>
                <w:spacing w:val="-2"/>
              </w:rPr>
              <w:t>copies</w:t>
            </w:r>
            <w:r>
              <w:rPr>
                <w:rFonts w:ascii="Times New Roman"/>
                <w:spacing w:val="-6"/>
              </w:rPr>
              <w:t xml:space="preserve"> </w:t>
            </w:r>
            <w:r>
              <w:rPr>
                <w:rFonts w:ascii="Times New Roman"/>
                <w:spacing w:val="-2"/>
              </w:rPr>
              <w:t>of</w:t>
            </w:r>
            <w:r>
              <w:rPr>
                <w:rFonts w:ascii="Times New Roman"/>
                <w:spacing w:val="-6"/>
              </w:rPr>
              <w:t xml:space="preserve"> </w:t>
            </w:r>
            <w:r>
              <w:rPr>
                <w:rFonts w:ascii="Times New Roman"/>
                <w:spacing w:val="-2"/>
              </w:rPr>
              <w:t>original</w:t>
            </w:r>
            <w:r>
              <w:rPr>
                <w:rFonts w:ascii="Times New Roman"/>
                <w:spacing w:val="-5"/>
              </w:rPr>
              <w:t xml:space="preserve"> </w:t>
            </w:r>
            <w:r>
              <w:rPr>
                <w:rFonts w:ascii="Times New Roman"/>
                <w:spacing w:val="-2"/>
              </w:rPr>
              <w:t>documents</w:t>
            </w:r>
            <w:r>
              <w:rPr>
                <w:rFonts w:ascii="Times New Roman"/>
                <w:spacing w:val="-6"/>
              </w:rPr>
              <w:t xml:space="preserve"> </w:t>
            </w:r>
            <w:r>
              <w:rPr>
                <w:rFonts w:ascii="Times New Roman"/>
                <w:spacing w:val="-5"/>
              </w:rPr>
              <w:t>of</w:t>
            </w:r>
          </w:p>
          <w:p w:rsidR="007F6DF9" w:rsidRDefault="00A43FBC">
            <w:pPr>
              <w:pStyle w:val="TableParagraph"/>
              <w:numPr>
                <w:ilvl w:val="1"/>
                <w:numId w:val="162"/>
              </w:numPr>
              <w:tabs>
                <w:tab w:val="left" w:pos="387"/>
              </w:tabs>
              <w:ind w:right="298" w:firstLine="0"/>
              <w:jc w:val="both"/>
              <w:rPr>
                <w:rFonts w:ascii="Times New Roman" w:hAnsi="Times New Roman"/>
              </w:rPr>
            </w:pPr>
            <w:r>
              <w:rPr>
                <w:rFonts w:ascii="Times New Roman" w:hAnsi="Times New Roman"/>
                <w:spacing w:val="-2"/>
              </w:rPr>
              <w:t>Articles</w:t>
            </w:r>
            <w:r>
              <w:rPr>
                <w:rFonts w:ascii="Times New Roman" w:hAnsi="Times New Roman"/>
                <w:spacing w:val="-5"/>
              </w:rPr>
              <w:t xml:space="preserve"> </w:t>
            </w:r>
            <w:r>
              <w:rPr>
                <w:rFonts w:ascii="Times New Roman" w:hAnsi="Times New Roman"/>
                <w:spacing w:val="-2"/>
              </w:rPr>
              <w:t>of</w:t>
            </w:r>
            <w:r>
              <w:rPr>
                <w:rFonts w:ascii="Times New Roman" w:hAnsi="Times New Roman"/>
                <w:spacing w:val="-4"/>
              </w:rPr>
              <w:t xml:space="preserve"> </w:t>
            </w:r>
            <w:r>
              <w:rPr>
                <w:rFonts w:ascii="Times New Roman" w:hAnsi="Times New Roman"/>
                <w:spacing w:val="-2"/>
              </w:rPr>
              <w:t>Incorporation</w:t>
            </w:r>
            <w:r>
              <w:rPr>
                <w:rFonts w:ascii="Times New Roman" w:hAnsi="Times New Roman"/>
                <w:spacing w:val="-8"/>
              </w:rPr>
              <w:t xml:space="preserve"> </w:t>
            </w:r>
            <w:r>
              <w:rPr>
                <w:rFonts w:ascii="Times New Roman" w:hAnsi="Times New Roman"/>
                <w:spacing w:val="-2"/>
              </w:rPr>
              <w:t>(or</w:t>
            </w:r>
            <w:r>
              <w:rPr>
                <w:rFonts w:ascii="Times New Roman" w:hAnsi="Times New Roman"/>
                <w:spacing w:val="-4"/>
              </w:rPr>
              <w:t xml:space="preserve"> </w:t>
            </w:r>
            <w:r>
              <w:rPr>
                <w:rFonts w:ascii="Times New Roman" w:hAnsi="Times New Roman"/>
                <w:spacing w:val="-2"/>
              </w:rPr>
              <w:t>equivalent</w:t>
            </w:r>
            <w:r>
              <w:rPr>
                <w:rFonts w:ascii="Times New Roman" w:hAnsi="Times New Roman"/>
                <w:spacing w:val="-4"/>
              </w:rPr>
              <w:t xml:space="preserve"> </w:t>
            </w:r>
            <w:r>
              <w:rPr>
                <w:rFonts w:ascii="Times New Roman" w:hAnsi="Times New Roman"/>
                <w:spacing w:val="-2"/>
              </w:rPr>
              <w:t>documents</w:t>
            </w:r>
            <w:r>
              <w:rPr>
                <w:rFonts w:ascii="Times New Roman" w:hAnsi="Times New Roman"/>
                <w:spacing w:val="-5"/>
              </w:rPr>
              <w:t xml:space="preserve"> </w:t>
            </w:r>
            <w:r>
              <w:rPr>
                <w:rFonts w:ascii="Times New Roman" w:hAnsi="Times New Roman"/>
                <w:spacing w:val="-2"/>
              </w:rPr>
              <w:t>of</w:t>
            </w:r>
            <w:r>
              <w:rPr>
                <w:rFonts w:ascii="Times New Roman" w:hAnsi="Times New Roman"/>
                <w:spacing w:val="-7"/>
              </w:rPr>
              <w:t xml:space="preserve"> </w:t>
            </w:r>
            <w:r>
              <w:rPr>
                <w:rFonts w:ascii="Times New Roman" w:hAnsi="Times New Roman"/>
                <w:spacing w:val="-2"/>
              </w:rPr>
              <w:t>constitution</w:t>
            </w:r>
            <w:r>
              <w:rPr>
                <w:rFonts w:ascii="Times New Roman" w:hAnsi="Times New Roman"/>
                <w:spacing w:val="-5"/>
              </w:rPr>
              <w:t xml:space="preserve"> </w:t>
            </w:r>
            <w:r>
              <w:rPr>
                <w:rFonts w:ascii="Times New Roman" w:hAnsi="Times New Roman"/>
                <w:spacing w:val="-2"/>
              </w:rPr>
              <w:t>or</w:t>
            </w:r>
            <w:r>
              <w:rPr>
                <w:rFonts w:ascii="Times New Roman" w:hAnsi="Times New Roman"/>
                <w:spacing w:val="-4"/>
              </w:rPr>
              <w:t xml:space="preserve"> </w:t>
            </w:r>
            <w:r>
              <w:rPr>
                <w:rFonts w:ascii="Times New Roman" w:hAnsi="Times New Roman"/>
                <w:spacing w:val="-2"/>
              </w:rPr>
              <w:t>association),</w:t>
            </w:r>
            <w:r>
              <w:rPr>
                <w:rFonts w:ascii="Times New Roman" w:hAnsi="Times New Roman"/>
                <w:spacing w:val="-8"/>
              </w:rPr>
              <w:t xml:space="preserve"> </w:t>
            </w:r>
            <w:r>
              <w:rPr>
                <w:rFonts w:ascii="Times New Roman" w:hAnsi="Times New Roman"/>
                <w:spacing w:val="-2"/>
              </w:rPr>
              <w:t>and/or</w:t>
            </w:r>
            <w:r>
              <w:rPr>
                <w:rFonts w:ascii="Times New Roman" w:hAnsi="Times New Roman"/>
                <w:spacing w:val="-4"/>
              </w:rPr>
              <w:t xml:space="preserve"> </w:t>
            </w:r>
            <w:r>
              <w:rPr>
                <w:rFonts w:ascii="Times New Roman" w:hAnsi="Times New Roman"/>
                <w:spacing w:val="-2"/>
              </w:rPr>
              <w:t>registration documents</w:t>
            </w:r>
            <w:r>
              <w:rPr>
                <w:rFonts w:ascii="Times New Roman" w:hAnsi="Times New Roman"/>
                <w:spacing w:val="-12"/>
              </w:rPr>
              <w:t xml:space="preserve"> </w:t>
            </w:r>
            <w:r>
              <w:rPr>
                <w:rFonts w:ascii="Times New Roman" w:hAnsi="Times New Roman"/>
                <w:spacing w:val="-2"/>
              </w:rPr>
              <w:t>of</w:t>
            </w:r>
            <w:r>
              <w:rPr>
                <w:rFonts w:ascii="Times New Roman" w:hAnsi="Times New Roman"/>
                <w:spacing w:val="-12"/>
              </w:rPr>
              <w:t xml:space="preserve"> </w:t>
            </w:r>
            <w:r>
              <w:rPr>
                <w:rFonts w:ascii="Times New Roman" w:hAnsi="Times New Roman"/>
                <w:spacing w:val="-2"/>
              </w:rPr>
              <w:t>the</w:t>
            </w:r>
            <w:r>
              <w:rPr>
                <w:rFonts w:ascii="Times New Roman" w:hAnsi="Times New Roman"/>
                <w:spacing w:val="-12"/>
              </w:rPr>
              <w:t xml:space="preserve"> </w:t>
            </w:r>
            <w:r>
              <w:rPr>
                <w:rFonts w:ascii="Times New Roman" w:hAnsi="Times New Roman"/>
                <w:spacing w:val="-2"/>
              </w:rPr>
              <w:t>legal</w:t>
            </w:r>
            <w:r>
              <w:rPr>
                <w:rFonts w:ascii="Times New Roman" w:hAnsi="Times New Roman"/>
                <w:spacing w:val="-16"/>
              </w:rPr>
              <w:t xml:space="preserve"> </w:t>
            </w:r>
            <w:r>
              <w:rPr>
                <w:rFonts w:ascii="Times New Roman" w:hAnsi="Times New Roman"/>
                <w:spacing w:val="-2"/>
              </w:rPr>
              <w:t>entity</w:t>
            </w:r>
            <w:r>
              <w:rPr>
                <w:rFonts w:ascii="Times New Roman" w:hAnsi="Times New Roman"/>
                <w:spacing w:val="-17"/>
              </w:rPr>
              <w:t xml:space="preserve"> </w:t>
            </w:r>
            <w:r>
              <w:rPr>
                <w:rFonts w:ascii="Times New Roman" w:hAnsi="Times New Roman"/>
                <w:spacing w:val="-2"/>
              </w:rPr>
              <w:t>named</w:t>
            </w:r>
            <w:r>
              <w:rPr>
                <w:rFonts w:ascii="Times New Roman" w:hAnsi="Times New Roman"/>
                <w:spacing w:val="-17"/>
              </w:rPr>
              <w:t xml:space="preserve"> </w:t>
            </w:r>
            <w:r>
              <w:rPr>
                <w:rFonts w:ascii="Times New Roman" w:hAnsi="Times New Roman"/>
                <w:spacing w:val="-2"/>
              </w:rPr>
              <w:t>above,</w:t>
            </w:r>
            <w:r>
              <w:rPr>
                <w:rFonts w:ascii="Times New Roman" w:hAnsi="Times New Roman"/>
                <w:spacing w:val="-19"/>
              </w:rPr>
              <w:t xml:space="preserve"> </w:t>
            </w:r>
            <w:r>
              <w:rPr>
                <w:rFonts w:ascii="Times New Roman" w:hAnsi="Times New Roman"/>
                <w:spacing w:val="-2"/>
              </w:rPr>
              <w:t>in</w:t>
            </w:r>
            <w:r>
              <w:rPr>
                <w:rFonts w:ascii="Times New Roman" w:hAnsi="Times New Roman"/>
                <w:spacing w:val="-17"/>
              </w:rPr>
              <w:t xml:space="preserve"> </w:t>
            </w:r>
            <w:r>
              <w:rPr>
                <w:rFonts w:ascii="Times New Roman" w:hAnsi="Times New Roman"/>
                <w:spacing w:val="-2"/>
              </w:rPr>
              <w:t>accordance</w:t>
            </w:r>
            <w:r>
              <w:rPr>
                <w:rFonts w:ascii="Times New Roman" w:hAnsi="Times New Roman"/>
                <w:spacing w:val="-17"/>
              </w:rPr>
              <w:t xml:space="preserve"> </w:t>
            </w:r>
            <w:r>
              <w:rPr>
                <w:rFonts w:ascii="Times New Roman" w:hAnsi="Times New Roman"/>
                <w:spacing w:val="-2"/>
              </w:rPr>
              <w:t>with</w:t>
            </w:r>
            <w:r>
              <w:rPr>
                <w:rFonts w:ascii="Times New Roman" w:hAnsi="Times New Roman"/>
                <w:spacing w:val="-17"/>
              </w:rPr>
              <w:t xml:space="preserve"> </w:t>
            </w:r>
            <w:r>
              <w:rPr>
                <w:rFonts w:ascii="Times New Roman" w:hAnsi="Times New Roman"/>
                <w:spacing w:val="-2"/>
              </w:rPr>
              <w:t>ITT</w:t>
            </w:r>
            <w:r>
              <w:rPr>
                <w:rFonts w:ascii="Times New Roman" w:hAnsi="Times New Roman"/>
                <w:spacing w:val="-16"/>
              </w:rPr>
              <w:t xml:space="preserve"> </w:t>
            </w:r>
            <w:r>
              <w:rPr>
                <w:rFonts w:ascii="Times New Roman" w:hAnsi="Times New Roman"/>
                <w:spacing w:val="-2"/>
              </w:rPr>
              <w:t>3.6.</w:t>
            </w:r>
          </w:p>
          <w:p w:rsidR="007F6DF9" w:rsidRDefault="00A43FBC">
            <w:pPr>
              <w:pStyle w:val="TableParagraph"/>
              <w:numPr>
                <w:ilvl w:val="1"/>
                <w:numId w:val="162"/>
              </w:numPr>
              <w:tabs>
                <w:tab w:val="left" w:pos="387"/>
              </w:tabs>
              <w:spacing w:before="1"/>
              <w:ind w:right="77" w:firstLine="0"/>
              <w:jc w:val="both"/>
              <w:rPr>
                <w:rFonts w:ascii="Times New Roman" w:hAnsi="Times New Roman"/>
              </w:rPr>
            </w:pPr>
            <w:r>
              <w:rPr>
                <w:rFonts w:ascii="Times New Roman" w:hAnsi="Times New Roman"/>
              </w:rPr>
              <w:t>In</w:t>
            </w:r>
            <w:r>
              <w:rPr>
                <w:rFonts w:ascii="Times New Roman" w:hAnsi="Times New Roman"/>
                <w:spacing w:val="-14"/>
              </w:rPr>
              <w:t xml:space="preserve"> </w:t>
            </w:r>
            <w:r>
              <w:rPr>
                <w:rFonts w:ascii="Times New Roman" w:hAnsi="Times New Roman"/>
              </w:rPr>
              <w:t>case</w:t>
            </w:r>
            <w:r>
              <w:rPr>
                <w:rFonts w:ascii="Times New Roman" w:hAnsi="Times New Roman"/>
                <w:spacing w:val="-14"/>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state-owned</w:t>
            </w:r>
            <w:r>
              <w:rPr>
                <w:rFonts w:ascii="Times New Roman" w:hAnsi="Times New Roman"/>
                <w:spacing w:val="-14"/>
              </w:rPr>
              <w:t xml:space="preserve"> </w:t>
            </w:r>
            <w:r>
              <w:rPr>
                <w:rFonts w:ascii="Times New Roman" w:hAnsi="Times New Roman"/>
              </w:rPr>
              <w:t>enterprise</w:t>
            </w:r>
            <w:r>
              <w:rPr>
                <w:rFonts w:ascii="Times New Roman" w:hAnsi="Times New Roman"/>
                <w:spacing w:val="-14"/>
              </w:rPr>
              <w:t xml:space="preserve"> </w:t>
            </w:r>
            <w:r>
              <w:rPr>
                <w:rFonts w:ascii="Times New Roman" w:hAnsi="Times New Roman"/>
              </w:rPr>
              <w:t>or</w:t>
            </w:r>
            <w:r>
              <w:rPr>
                <w:rFonts w:ascii="Times New Roman" w:hAnsi="Times New Roman"/>
                <w:spacing w:val="-14"/>
              </w:rPr>
              <w:t xml:space="preserve"> </w:t>
            </w:r>
            <w:r>
              <w:rPr>
                <w:rFonts w:ascii="Times New Roman" w:hAnsi="Times New Roman"/>
              </w:rPr>
              <w:t>institution,</w:t>
            </w:r>
            <w:r>
              <w:rPr>
                <w:rFonts w:ascii="Times New Roman" w:hAnsi="Times New Roman"/>
                <w:spacing w:val="-13"/>
              </w:rPr>
              <w:t xml:space="preserve"> </w:t>
            </w:r>
            <w:r>
              <w:rPr>
                <w:rFonts w:ascii="Times New Roman" w:hAnsi="Times New Roman"/>
              </w:rPr>
              <w:t>documents</w:t>
            </w:r>
            <w:r>
              <w:rPr>
                <w:rFonts w:ascii="Times New Roman" w:hAnsi="Times New Roman"/>
                <w:spacing w:val="-14"/>
              </w:rPr>
              <w:t xml:space="preserve"> </w:t>
            </w:r>
            <w:r>
              <w:rPr>
                <w:rFonts w:ascii="Times New Roman" w:hAnsi="Times New Roman"/>
              </w:rPr>
              <w:t>establishing</w:t>
            </w:r>
            <w:r>
              <w:rPr>
                <w:rFonts w:ascii="Times New Roman" w:hAnsi="Times New Roman"/>
                <w:spacing w:val="-14"/>
              </w:rPr>
              <w:t xml:space="preserve"> </w:t>
            </w:r>
            <w:r>
              <w:rPr>
                <w:rFonts w:ascii="Times New Roman" w:hAnsi="Times New Roman"/>
              </w:rPr>
              <w:t>legal</w:t>
            </w:r>
            <w:r>
              <w:rPr>
                <w:rFonts w:ascii="Times New Roman" w:hAnsi="Times New Roman"/>
                <w:spacing w:val="-14"/>
              </w:rPr>
              <w:t xml:space="preserve"> </w:t>
            </w:r>
            <w:r>
              <w:rPr>
                <w:rFonts w:ascii="Times New Roman" w:hAnsi="Times New Roman"/>
              </w:rPr>
              <w:t>and</w:t>
            </w:r>
            <w:r>
              <w:rPr>
                <w:rFonts w:ascii="Times New Roman" w:hAnsi="Times New Roman"/>
                <w:spacing w:val="-13"/>
              </w:rPr>
              <w:t xml:space="preserve"> </w:t>
            </w:r>
            <w:r>
              <w:rPr>
                <w:rFonts w:ascii="Times New Roman" w:hAnsi="Times New Roman"/>
              </w:rPr>
              <w:t>financial</w:t>
            </w:r>
            <w:r>
              <w:rPr>
                <w:rFonts w:ascii="Times New Roman" w:hAnsi="Times New Roman"/>
                <w:spacing w:val="-14"/>
              </w:rPr>
              <w:t xml:space="preserve"> </w:t>
            </w:r>
            <w:r>
              <w:rPr>
                <w:rFonts w:ascii="Times New Roman" w:hAnsi="Times New Roman"/>
              </w:rPr>
              <w:t>autonomy, operation</w:t>
            </w:r>
            <w:r>
              <w:rPr>
                <w:rFonts w:ascii="Times New Roman" w:hAnsi="Times New Roman"/>
                <w:spacing w:val="-16"/>
              </w:rPr>
              <w:t xml:space="preserve"> </w:t>
            </w:r>
            <w:r>
              <w:rPr>
                <w:rFonts w:ascii="Times New Roman" w:hAnsi="Times New Roman"/>
              </w:rPr>
              <w:t>in</w:t>
            </w:r>
            <w:r>
              <w:rPr>
                <w:rFonts w:ascii="Times New Roman" w:hAnsi="Times New Roman"/>
                <w:spacing w:val="-14"/>
              </w:rPr>
              <w:t xml:space="preserve"> </w:t>
            </w:r>
            <w:r>
              <w:rPr>
                <w:rFonts w:ascii="Times New Roman" w:hAnsi="Times New Roman"/>
              </w:rPr>
              <w:t>accordance</w:t>
            </w:r>
            <w:r>
              <w:rPr>
                <w:rFonts w:ascii="Times New Roman" w:hAnsi="Times New Roman"/>
                <w:spacing w:val="-14"/>
              </w:rPr>
              <w:t xml:space="preserve"> </w:t>
            </w:r>
            <w:r>
              <w:rPr>
                <w:rFonts w:ascii="Times New Roman" w:hAnsi="Times New Roman"/>
              </w:rPr>
              <w:t>with</w:t>
            </w:r>
            <w:r>
              <w:rPr>
                <w:rFonts w:ascii="Times New Roman" w:hAnsi="Times New Roman"/>
                <w:spacing w:val="-13"/>
              </w:rPr>
              <w:t xml:space="preserve"> </w:t>
            </w:r>
            <w:r>
              <w:rPr>
                <w:rFonts w:ascii="Times New Roman" w:hAnsi="Times New Roman"/>
              </w:rPr>
              <w:t>commercial</w:t>
            </w:r>
            <w:r>
              <w:rPr>
                <w:rFonts w:ascii="Times New Roman" w:hAnsi="Times New Roman"/>
                <w:spacing w:val="-14"/>
              </w:rPr>
              <w:t xml:space="preserve"> </w:t>
            </w:r>
            <w:r>
              <w:rPr>
                <w:rFonts w:ascii="Times New Roman" w:hAnsi="Times New Roman"/>
              </w:rPr>
              <w:t>law,</w:t>
            </w:r>
            <w:r>
              <w:rPr>
                <w:rFonts w:ascii="Times New Roman" w:hAnsi="Times New Roman"/>
                <w:spacing w:val="-14"/>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that</w:t>
            </w:r>
            <w:r>
              <w:rPr>
                <w:rFonts w:ascii="Times New Roman" w:hAnsi="Times New Roman"/>
                <w:spacing w:val="-13"/>
              </w:rPr>
              <w:t xml:space="preserve"> </w:t>
            </w:r>
            <w:r>
              <w:rPr>
                <w:rFonts w:ascii="Times New Roman" w:hAnsi="Times New Roman"/>
              </w:rPr>
              <w:t>they</w:t>
            </w:r>
            <w:r>
              <w:rPr>
                <w:rFonts w:ascii="Times New Roman" w:hAnsi="Times New Roman"/>
                <w:spacing w:val="-14"/>
              </w:rPr>
              <w:t xml:space="preserve"> </w:t>
            </w:r>
            <w:r>
              <w:rPr>
                <w:rFonts w:ascii="Times New Roman" w:hAnsi="Times New Roman"/>
              </w:rPr>
              <w:t>are</w:t>
            </w:r>
            <w:r>
              <w:rPr>
                <w:rFonts w:ascii="Times New Roman" w:hAnsi="Times New Roman"/>
                <w:spacing w:val="-14"/>
              </w:rPr>
              <w:t xml:space="preserve"> </w:t>
            </w:r>
            <w:r>
              <w:rPr>
                <w:rFonts w:ascii="Times New Roman" w:hAnsi="Times New Roman"/>
              </w:rPr>
              <w:t>not</w:t>
            </w:r>
            <w:r>
              <w:rPr>
                <w:rFonts w:ascii="Times New Roman" w:hAnsi="Times New Roman"/>
                <w:spacing w:val="-14"/>
              </w:rPr>
              <w:t xml:space="preserve"> </w:t>
            </w:r>
            <w:r>
              <w:rPr>
                <w:rFonts w:ascii="Times New Roman" w:hAnsi="Times New Roman"/>
              </w:rPr>
              <w:t>under</w:t>
            </w:r>
            <w:r>
              <w:rPr>
                <w:rFonts w:ascii="Times New Roman" w:hAnsi="Times New Roman"/>
                <w:spacing w:val="-13"/>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supervision</w:t>
            </w:r>
            <w:r>
              <w:rPr>
                <w:rFonts w:ascii="Times New Roman" w:hAnsi="Times New Roman"/>
                <w:spacing w:val="-14"/>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Procuring Entity, in accordance with ITT 3.5.</w:t>
            </w:r>
          </w:p>
          <w:p w:rsidR="007F6DF9" w:rsidRDefault="007F6DF9">
            <w:pPr>
              <w:pStyle w:val="TableParagraph"/>
              <w:rPr>
                <w:rFonts w:ascii="Times New Roman"/>
              </w:rPr>
            </w:pPr>
          </w:p>
          <w:p w:rsidR="007F6DF9" w:rsidRDefault="00A43FBC">
            <w:pPr>
              <w:pStyle w:val="TableParagraph"/>
              <w:spacing w:before="1"/>
              <w:ind w:left="141"/>
              <w:jc w:val="both"/>
              <w:rPr>
                <w:rFonts w:ascii="Times New Roman"/>
              </w:rPr>
            </w:pPr>
            <w:r>
              <w:rPr>
                <w:rFonts w:ascii="Times New Roman"/>
              </w:rPr>
              <w:t>2.</w:t>
            </w:r>
            <w:r>
              <w:rPr>
                <w:rFonts w:ascii="Times New Roman"/>
                <w:spacing w:val="-16"/>
              </w:rPr>
              <w:t xml:space="preserve"> </w:t>
            </w:r>
            <w:r>
              <w:rPr>
                <w:rFonts w:ascii="Times New Roman"/>
              </w:rPr>
              <w:t>Included</w:t>
            </w:r>
            <w:r>
              <w:rPr>
                <w:rFonts w:ascii="Times New Roman"/>
                <w:spacing w:val="-13"/>
              </w:rPr>
              <w:t xml:space="preserve"> </w:t>
            </w:r>
            <w:r>
              <w:rPr>
                <w:rFonts w:ascii="Times New Roman"/>
              </w:rPr>
              <w:t>are</w:t>
            </w:r>
            <w:r>
              <w:rPr>
                <w:rFonts w:ascii="Times New Roman"/>
                <w:spacing w:val="-13"/>
              </w:rPr>
              <w:t xml:space="preserve"> </w:t>
            </w:r>
            <w:r>
              <w:rPr>
                <w:rFonts w:ascii="Times New Roman"/>
              </w:rPr>
              <w:t>the</w:t>
            </w:r>
            <w:r>
              <w:rPr>
                <w:rFonts w:ascii="Times New Roman"/>
                <w:spacing w:val="-14"/>
              </w:rPr>
              <w:t xml:space="preserve"> </w:t>
            </w:r>
            <w:r>
              <w:rPr>
                <w:rFonts w:ascii="Times New Roman"/>
              </w:rPr>
              <w:t>organizational</w:t>
            </w:r>
            <w:r>
              <w:rPr>
                <w:rFonts w:ascii="Times New Roman"/>
                <w:spacing w:val="-12"/>
              </w:rPr>
              <w:t xml:space="preserve"> </w:t>
            </w:r>
            <w:r>
              <w:rPr>
                <w:rFonts w:ascii="Times New Roman"/>
              </w:rPr>
              <w:t>chart</w:t>
            </w:r>
            <w:r>
              <w:rPr>
                <w:rFonts w:ascii="Times New Roman"/>
                <w:spacing w:val="-12"/>
              </w:rPr>
              <w:t xml:space="preserve"> </w:t>
            </w:r>
            <w:r>
              <w:rPr>
                <w:rFonts w:ascii="Times New Roman"/>
              </w:rPr>
              <w:t>and</w:t>
            </w:r>
            <w:r>
              <w:rPr>
                <w:rFonts w:ascii="Times New Roman"/>
                <w:spacing w:val="31"/>
              </w:rPr>
              <w:t xml:space="preserve"> </w:t>
            </w:r>
            <w:r>
              <w:rPr>
                <w:rFonts w:ascii="Times New Roman"/>
              </w:rPr>
              <w:t>a</w:t>
            </w:r>
            <w:r>
              <w:rPr>
                <w:rFonts w:ascii="Times New Roman"/>
                <w:spacing w:val="-13"/>
              </w:rPr>
              <w:t xml:space="preserve"> </w:t>
            </w:r>
            <w:r>
              <w:rPr>
                <w:rFonts w:ascii="Times New Roman"/>
              </w:rPr>
              <w:t>list</w:t>
            </w:r>
            <w:r>
              <w:rPr>
                <w:rFonts w:ascii="Times New Roman"/>
                <w:spacing w:val="-12"/>
              </w:rPr>
              <w:t xml:space="preserve"> </w:t>
            </w:r>
            <w:r>
              <w:rPr>
                <w:rFonts w:ascii="Times New Roman"/>
              </w:rPr>
              <w:t>of</w:t>
            </w:r>
            <w:r>
              <w:rPr>
                <w:rFonts w:ascii="Times New Roman"/>
                <w:spacing w:val="-13"/>
              </w:rPr>
              <w:t xml:space="preserve"> </w:t>
            </w:r>
            <w:r>
              <w:rPr>
                <w:rFonts w:ascii="Times New Roman"/>
              </w:rPr>
              <w:t>Board</w:t>
            </w:r>
            <w:r>
              <w:rPr>
                <w:rFonts w:ascii="Times New Roman"/>
                <w:spacing w:val="-13"/>
              </w:rPr>
              <w:t xml:space="preserve"> </w:t>
            </w:r>
            <w:r>
              <w:rPr>
                <w:rFonts w:ascii="Times New Roman"/>
              </w:rPr>
              <w:t>of</w:t>
            </w:r>
            <w:r>
              <w:rPr>
                <w:rFonts w:ascii="Times New Roman"/>
                <w:spacing w:val="-12"/>
              </w:rPr>
              <w:t xml:space="preserve"> </w:t>
            </w:r>
            <w:r>
              <w:rPr>
                <w:rFonts w:ascii="Times New Roman"/>
                <w:spacing w:val="-2"/>
              </w:rPr>
              <w:t>Directors.</w:t>
            </w:r>
          </w:p>
        </w:tc>
      </w:tr>
    </w:tbl>
    <w:p w:rsidR="007F6DF9" w:rsidRDefault="007F6DF9">
      <w:pPr>
        <w:pStyle w:val="TableParagraph"/>
        <w:jc w:val="both"/>
        <w:rPr>
          <w:rFonts w:ascii="Times New Roman"/>
        </w:rPr>
        <w:sectPr w:rsidR="007F6DF9">
          <w:pgSz w:w="11920" w:h="16850"/>
          <w:pgMar w:top="360" w:right="283" w:bottom="620" w:left="141" w:header="0" w:footer="437" w:gutter="0"/>
          <w:cols w:space="720"/>
        </w:sectPr>
      </w:pPr>
    </w:p>
    <w:p w:rsidR="007F6DF9" w:rsidRDefault="007F6DF9">
      <w:pPr>
        <w:pStyle w:val="BodyText"/>
        <w:spacing w:before="79"/>
      </w:pPr>
    </w:p>
    <w:p w:rsidR="007F6DF9" w:rsidRDefault="00A43FBC">
      <w:pPr>
        <w:pStyle w:val="ListParagraph"/>
        <w:numPr>
          <w:ilvl w:val="1"/>
          <w:numId w:val="166"/>
        </w:numPr>
        <w:tabs>
          <w:tab w:val="left" w:pos="1232"/>
        </w:tabs>
        <w:spacing w:before="1"/>
        <w:ind w:hanging="521"/>
        <w:jc w:val="left"/>
        <w:rPr>
          <w:b/>
          <w:color w:val="221F1F"/>
        </w:rPr>
      </w:pPr>
      <w:r>
        <w:rPr>
          <w:b/>
          <w:color w:val="221F1F"/>
          <w:u w:val="single" w:color="221F1F"/>
        </w:rPr>
        <w:t>FORM</w:t>
      </w:r>
      <w:r>
        <w:rPr>
          <w:b/>
          <w:color w:val="221F1F"/>
          <w:spacing w:val="-3"/>
          <w:u w:val="single" w:color="221F1F"/>
        </w:rPr>
        <w:t xml:space="preserve"> </w:t>
      </w:r>
      <w:r>
        <w:rPr>
          <w:b/>
          <w:color w:val="221F1F"/>
          <w:u w:val="single" w:color="221F1F"/>
        </w:rPr>
        <w:t>CON</w:t>
      </w:r>
      <w:r>
        <w:rPr>
          <w:b/>
          <w:color w:val="221F1F"/>
          <w:spacing w:val="-2"/>
          <w:u w:val="single" w:color="221F1F"/>
        </w:rPr>
        <w:t xml:space="preserve"> </w:t>
      </w:r>
      <w:r>
        <w:rPr>
          <w:b/>
          <w:color w:val="221F1F"/>
          <w:u w:val="single" w:color="221F1F"/>
        </w:rPr>
        <w:t>–</w:t>
      </w:r>
      <w:r>
        <w:rPr>
          <w:b/>
          <w:color w:val="221F1F"/>
          <w:spacing w:val="-10"/>
          <w:u w:val="single" w:color="221F1F"/>
        </w:rPr>
        <w:t>2</w:t>
      </w:r>
    </w:p>
    <w:p w:rsidR="007F6DF9" w:rsidRDefault="00A43FBC">
      <w:pPr>
        <w:pStyle w:val="Heading7"/>
        <w:spacing w:before="234"/>
      </w:pPr>
      <w:r>
        <w:t>Historical</w:t>
      </w:r>
      <w:r>
        <w:rPr>
          <w:spacing w:val="-4"/>
        </w:rPr>
        <w:t xml:space="preserve"> </w:t>
      </w:r>
      <w:r>
        <w:t>Contract</w:t>
      </w:r>
      <w:r>
        <w:rPr>
          <w:spacing w:val="-1"/>
        </w:rPr>
        <w:t xml:space="preserve"> </w:t>
      </w:r>
      <w:r>
        <w:t>Non-Performance,</w:t>
      </w:r>
      <w:r>
        <w:rPr>
          <w:spacing w:val="-2"/>
        </w:rPr>
        <w:t xml:space="preserve"> </w:t>
      </w:r>
      <w:r>
        <w:t>Pending</w:t>
      </w:r>
      <w:r>
        <w:rPr>
          <w:spacing w:val="-2"/>
        </w:rPr>
        <w:t xml:space="preserve"> </w:t>
      </w:r>
      <w:r>
        <w:t>Litigation</w:t>
      </w:r>
      <w:r>
        <w:rPr>
          <w:spacing w:val="-2"/>
        </w:rPr>
        <w:t xml:space="preserve"> </w:t>
      </w:r>
      <w:r>
        <w:t>and</w:t>
      </w:r>
      <w:r>
        <w:rPr>
          <w:spacing w:val="-4"/>
        </w:rPr>
        <w:t xml:space="preserve"> </w:t>
      </w:r>
      <w:r>
        <w:t xml:space="preserve">Litigation </w:t>
      </w:r>
      <w:r>
        <w:rPr>
          <w:spacing w:val="-2"/>
        </w:rPr>
        <w:t>History</w:t>
      </w:r>
    </w:p>
    <w:p w:rsidR="007F6DF9" w:rsidRDefault="00A43FBC">
      <w:pPr>
        <w:pStyle w:val="BodyText"/>
        <w:tabs>
          <w:tab w:val="left" w:pos="3861"/>
        </w:tabs>
        <w:spacing w:before="252" w:line="252" w:lineRule="exact"/>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line="252" w:lineRule="exact"/>
        <w:ind w:left="559"/>
      </w:pPr>
      <w:r>
        <w:t>Date:</w:t>
      </w:r>
      <w:r>
        <w:rPr>
          <w:spacing w:val="-2"/>
        </w:rPr>
        <w:t xml:space="preserve"> </w:t>
      </w:r>
      <w:r>
        <w:rPr>
          <w:u w:val="single"/>
        </w:rPr>
        <w:tab/>
      </w:r>
    </w:p>
    <w:p w:rsidR="007F6DF9" w:rsidRDefault="00A43FBC">
      <w:pPr>
        <w:pStyle w:val="BodyText"/>
        <w:tabs>
          <w:tab w:val="left" w:pos="4952"/>
        </w:tabs>
        <w:spacing w:before="2"/>
        <w:ind w:left="559" w:right="6503"/>
      </w:pPr>
      <w:r>
        <w:t>JV Member’s Name</w:t>
      </w:r>
      <w:proofErr w:type="gramStart"/>
      <w:r>
        <w:rPr>
          <w:u w:val="single"/>
        </w:rPr>
        <w:tab/>
      </w:r>
      <w:r>
        <w:rPr>
          <w:spacing w:val="-44"/>
          <w:u w:val="single"/>
        </w:rPr>
        <w:t xml:space="preserve"> </w:t>
      </w:r>
      <w:r>
        <w:rPr>
          <w:spacing w:val="-4"/>
        </w:rPr>
        <w:t xml:space="preserve"> ITT</w:t>
      </w:r>
      <w:proofErr w:type="gramEnd"/>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7F6DF9">
      <w:pPr>
        <w:pStyle w:val="BodyText"/>
        <w:rPr>
          <w:sz w:val="20"/>
        </w:rPr>
      </w:pPr>
    </w:p>
    <w:p w:rsidR="007F6DF9" w:rsidRDefault="007F6DF9">
      <w:pPr>
        <w:pStyle w:val="BodyText"/>
        <w:spacing w:before="45"/>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8"/>
        <w:gridCol w:w="1529"/>
        <w:gridCol w:w="4969"/>
        <w:gridCol w:w="2609"/>
      </w:tblGrid>
      <w:tr w:rsidR="007F6DF9">
        <w:trPr>
          <w:trHeight w:val="254"/>
        </w:trPr>
        <w:tc>
          <w:tcPr>
            <w:tcW w:w="10075" w:type="dxa"/>
            <w:gridSpan w:val="4"/>
          </w:tcPr>
          <w:p w:rsidR="007F6DF9" w:rsidRDefault="00A43FBC">
            <w:pPr>
              <w:pStyle w:val="TableParagraph"/>
              <w:spacing w:before="1" w:line="233" w:lineRule="exact"/>
              <w:ind w:left="-1"/>
              <w:rPr>
                <w:rFonts w:ascii="Times New Roman"/>
              </w:rPr>
            </w:pPr>
            <w:r>
              <w:rPr>
                <w:rFonts w:ascii="Times New Roman"/>
                <w:spacing w:val="-4"/>
              </w:rPr>
              <w:t>Non-Performed</w:t>
            </w:r>
            <w:r>
              <w:rPr>
                <w:rFonts w:ascii="Times New Roman"/>
                <w:spacing w:val="-10"/>
              </w:rPr>
              <w:t xml:space="preserve"> </w:t>
            </w:r>
            <w:r>
              <w:rPr>
                <w:rFonts w:ascii="Times New Roman"/>
                <w:spacing w:val="-4"/>
              </w:rPr>
              <w:t>Contracts</w:t>
            </w:r>
            <w:r>
              <w:rPr>
                <w:rFonts w:ascii="Times New Roman"/>
                <w:spacing w:val="-10"/>
              </w:rPr>
              <w:t xml:space="preserve"> </w:t>
            </w:r>
            <w:r>
              <w:rPr>
                <w:rFonts w:ascii="Times New Roman"/>
                <w:spacing w:val="-4"/>
              </w:rPr>
              <w:t>in</w:t>
            </w:r>
            <w:r>
              <w:rPr>
                <w:rFonts w:ascii="Times New Roman"/>
                <w:spacing w:val="-10"/>
              </w:rPr>
              <w:t xml:space="preserve"> </w:t>
            </w:r>
            <w:r>
              <w:rPr>
                <w:rFonts w:ascii="Times New Roman"/>
                <w:spacing w:val="-4"/>
              </w:rPr>
              <w:t>accordance</w:t>
            </w:r>
            <w:r>
              <w:rPr>
                <w:rFonts w:ascii="Times New Roman"/>
                <w:spacing w:val="-10"/>
              </w:rPr>
              <w:t xml:space="preserve"> </w:t>
            </w:r>
            <w:r>
              <w:rPr>
                <w:rFonts w:ascii="Times New Roman"/>
                <w:spacing w:val="-4"/>
              </w:rPr>
              <w:t>with</w:t>
            </w:r>
            <w:r>
              <w:rPr>
                <w:rFonts w:ascii="Times New Roman"/>
                <w:spacing w:val="-10"/>
              </w:rPr>
              <w:t xml:space="preserve"> </w:t>
            </w:r>
            <w:r>
              <w:rPr>
                <w:rFonts w:ascii="Times New Roman"/>
                <w:spacing w:val="-4"/>
              </w:rPr>
              <w:t>Section</w:t>
            </w:r>
            <w:r>
              <w:rPr>
                <w:rFonts w:ascii="Times New Roman"/>
                <w:spacing w:val="-9"/>
              </w:rPr>
              <w:t xml:space="preserve"> </w:t>
            </w:r>
            <w:r>
              <w:rPr>
                <w:rFonts w:ascii="Times New Roman"/>
                <w:spacing w:val="-4"/>
              </w:rPr>
              <w:t>III,</w:t>
            </w:r>
            <w:r>
              <w:rPr>
                <w:rFonts w:ascii="Times New Roman"/>
                <w:spacing w:val="-10"/>
              </w:rPr>
              <w:t xml:space="preserve"> </w:t>
            </w:r>
            <w:r>
              <w:rPr>
                <w:rFonts w:ascii="Times New Roman"/>
                <w:spacing w:val="-4"/>
              </w:rPr>
              <w:t>Evaluation</w:t>
            </w:r>
            <w:r>
              <w:rPr>
                <w:rFonts w:ascii="Times New Roman"/>
                <w:spacing w:val="-10"/>
              </w:rPr>
              <w:t xml:space="preserve"> </w:t>
            </w:r>
            <w:r>
              <w:rPr>
                <w:rFonts w:ascii="Times New Roman"/>
                <w:spacing w:val="-4"/>
              </w:rPr>
              <w:t>and</w:t>
            </w:r>
            <w:r>
              <w:rPr>
                <w:rFonts w:ascii="Times New Roman"/>
                <w:spacing w:val="-8"/>
              </w:rPr>
              <w:t xml:space="preserve"> </w:t>
            </w:r>
            <w:r>
              <w:rPr>
                <w:rFonts w:ascii="Times New Roman"/>
                <w:spacing w:val="-4"/>
              </w:rPr>
              <w:t>Qualification</w:t>
            </w:r>
            <w:r>
              <w:rPr>
                <w:rFonts w:ascii="Times New Roman"/>
                <w:spacing w:val="-10"/>
              </w:rPr>
              <w:t xml:space="preserve"> </w:t>
            </w:r>
            <w:r>
              <w:rPr>
                <w:rFonts w:ascii="Times New Roman"/>
                <w:spacing w:val="-4"/>
              </w:rPr>
              <w:t>Criteria</w:t>
            </w:r>
          </w:p>
        </w:tc>
      </w:tr>
      <w:tr w:rsidR="007F6DF9">
        <w:trPr>
          <w:trHeight w:val="2023"/>
        </w:trPr>
        <w:tc>
          <w:tcPr>
            <w:tcW w:w="10075" w:type="dxa"/>
            <w:gridSpan w:val="4"/>
          </w:tcPr>
          <w:p w:rsidR="007F6DF9" w:rsidRDefault="00A43FBC">
            <w:pPr>
              <w:pStyle w:val="TableParagraph"/>
              <w:numPr>
                <w:ilvl w:val="0"/>
                <w:numId w:val="161"/>
              </w:numPr>
              <w:tabs>
                <w:tab w:val="left" w:pos="720"/>
              </w:tabs>
              <w:ind w:right="210" w:firstLine="0"/>
              <w:rPr>
                <w:rFonts w:ascii="Times New Roman" w:hAnsi="Times New Roman"/>
              </w:rPr>
            </w:pPr>
            <w:r>
              <w:rPr>
                <w:rFonts w:ascii="Times New Roman" w:hAnsi="Times New Roman"/>
                <w:spacing w:val="-6"/>
              </w:rPr>
              <w:t>Contract non-performance did</w:t>
            </w:r>
            <w:r>
              <w:rPr>
                <w:rFonts w:ascii="Times New Roman" w:hAnsi="Times New Roman"/>
                <w:spacing w:val="-7"/>
              </w:rPr>
              <w:t xml:space="preserve"> </w:t>
            </w:r>
            <w:r>
              <w:rPr>
                <w:rFonts w:ascii="Times New Roman" w:hAnsi="Times New Roman"/>
                <w:spacing w:val="-6"/>
              </w:rPr>
              <w:t>not occur since 1</w:t>
            </w:r>
            <w:r>
              <w:rPr>
                <w:rFonts w:ascii="Times New Roman" w:hAnsi="Times New Roman"/>
                <w:spacing w:val="-6"/>
                <w:vertAlign w:val="superscript"/>
              </w:rPr>
              <w:t>st</w:t>
            </w:r>
            <w:r>
              <w:rPr>
                <w:rFonts w:ascii="Times New Roman" w:hAnsi="Times New Roman"/>
                <w:spacing w:val="-7"/>
              </w:rPr>
              <w:t xml:space="preserve"> </w:t>
            </w:r>
            <w:r>
              <w:rPr>
                <w:rFonts w:ascii="Times New Roman" w:hAnsi="Times New Roman"/>
                <w:spacing w:val="-6"/>
              </w:rPr>
              <w:t>January</w:t>
            </w:r>
            <w:r>
              <w:rPr>
                <w:rFonts w:ascii="Times New Roman" w:hAnsi="Times New Roman"/>
                <w:spacing w:val="-7"/>
              </w:rPr>
              <w:t xml:space="preserve"> </w:t>
            </w:r>
            <w:r>
              <w:rPr>
                <w:rFonts w:ascii="Times New Roman" w:hAnsi="Times New Roman"/>
                <w:i/>
                <w:spacing w:val="-6"/>
              </w:rPr>
              <w:t xml:space="preserve">[insert year] </w:t>
            </w:r>
            <w:r>
              <w:rPr>
                <w:rFonts w:ascii="Times New Roman" w:hAnsi="Times New Roman"/>
                <w:spacing w:val="-6"/>
              </w:rPr>
              <w:t xml:space="preserve">specified in Section III, Evaluation and </w:t>
            </w:r>
            <w:r>
              <w:rPr>
                <w:rFonts w:ascii="Times New Roman" w:hAnsi="Times New Roman"/>
                <w:spacing w:val="-2"/>
              </w:rPr>
              <w:t>Qualification</w:t>
            </w:r>
            <w:r>
              <w:rPr>
                <w:rFonts w:ascii="Times New Roman" w:hAnsi="Times New Roman"/>
                <w:spacing w:val="-15"/>
              </w:rPr>
              <w:t xml:space="preserve"> </w:t>
            </w:r>
            <w:r>
              <w:rPr>
                <w:rFonts w:ascii="Times New Roman" w:hAnsi="Times New Roman"/>
                <w:spacing w:val="-2"/>
              </w:rPr>
              <w:t>Criteria,</w:t>
            </w:r>
            <w:r>
              <w:rPr>
                <w:rFonts w:ascii="Times New Roman" w:hAnsi="Times New Roman"/>
                <w:spacing w:val="-15"/>
              </w:rPr>
              <w:t xml:space="preserve"> </w:t>
            </w:r>
            <w:r>
              <w:rPr>
                <w:rFonts w:ascii="Times New Roman" w:hAnsi="Times New Roman"/>
                <w:spacing w:val="-2"/>
              </w:rPr>
              <w:t>Sub-Factor</w:t>
            </w:r>
            <w:r>
              <w:rPr>
                <w:rFonts w:ascii="Times New Roman" w:hAnsi="Times New Roman"/>
                <w:spacing w:val="-14"/>
              </w:rPr>
              <w:t xml:space="preserve"> </w:t>
            </w:r>
            <w:r>
              <w:rPr>
                <w:rFonts w:ascii="Times New Roman" w:hAnsi="Times New Roman"/>
                <w:spacing w:val="-2"/>
              </w:rPr>
              <w:t>2.1.</w:t>
            </w:r>
          </w:p>
          <w:p w:rsidR="007F6DF9" w:rsidRDefault="00A43FBC">
            <w:pPr>
              <w:pStyle w:val="TableParagraph"/>
              <w:numPr>
                <w:ilvl w:val="0"/>
                <w:numId w:val="161"/>
              </w:numPr>
              <w:tabs>
                <w:tab w:val="left" w:pos="720"/>
              </w:tabs>
              <w:spacing w:before="251"/>
              <w:ind w:right="158" w:firstLine="0"/>
              <w:rPr>
                <w:rFonts w:ascii="Times New Roman" w:hAnsi="Times New Roman"/>
              </w:rPr>
            </w:pPr>
            <w:r>
              <w:rPr>
                <w:rFonts w:ascii="Times New Roman" w:hAnsi="Times New Roman"/>
                <w:spacing w:val="-4"/>
              </w:rPr>
              <w:t>Contract(s)</w:t>
            </w:r>
            <w:r>
              <w:rPr>
                <w:rFonts w:ascii="Times New Roman" w:hAnsi="Times New Roman"/>
                <w:spacing w:val="-10"/>
              </w:rPr>
              <w:t xml:space="preserve"> </w:t>
            </w:r>
            <w:r>
              <w:rPr>
                <w:rFonts w:ascii="Times New Roman" w:hAnsi="Times New Roman"/>
                <w:spacing w:val="-4"/>
              </w:rPr>
              <w:t>not</w:t>
            </w:r>
            <w:r>
              <w:rPr>
                <w:rFonts w:ascii="Times New Roman" w:hAnsi="Times New Roman"/>
                <w:spacing w:val="-9"/>
              </w:rPr>
              <w:t xml:space="preserve"> </w:t>
            </w:r>
            <w:r>
              <w:rPr>
                <w:rFonts w:ascii="Times New Roman" w:hAnsi="Times New Roman"/>
                <w:spacing w:val="-4"/>
              </w:rPr>
              <w:t>performed</w:t>
            </w:r>
            <w:r>
              <w:rPr>
                <w:rFonts w:ascii="Times New Roman" w:hAnsi="Times New Roman"/>
                <w:spacing w:val="-9"/>
              </w:rPr>
              <w:t xml:space="preserve"> </w:t>
            </w:r>
            <w:r>
              <w:rPr>
                <w:rFonts w:ascii="Times New Roman" w:hAnsi="Times New Roman"/>
                <w:spacing w:val="-4"/>
              </w:rPr>
              <w:t>since</w:t>
            </w:r>
            <w:r>
              <w:rPr>
                <w:rFonts w:ascii="Times New Roman" w:hAnsi="Times New Roman"/>
                <w:spacing w:val="-14"/>
              </w:rPr>
              <w:t xml:space="preserve"> </w:t>
            </w:r>
            <w:r>
              <w:rPr>
                <w:rFonts w:ascii="Times New Roman" w:hAnsi="Times New Roman"/>
                <w:spacing w:val="-4"/>
              </w:rPr>
              <w:t>1</w:t>
            </w:r>
            <w:r>
              <w:rPr>
                <w:rFonts w:ascii="Times New Roman" w:hAnsi="Times New Roman"/>
                <w:spacing w:val="-4"/>
                <w:vertAlign w:val="superscript"/>
              </w:rPr>
              <w:t>st</w:t>
            </w:r>
            <w:r>
              <w:rPr>
                <w:rFonts w:ascii="Times New Roman" w:hAnsi="Times New Roman"/>
                <w:spacing w:val="-13"/>
              </w:rPr>
              <w:t xml:space="preserve"> </w:t>
            </w:r>
            <w:r>
              <w:rPr>
                <w:rFonts w:ascii="Times New Roman" w:hAnsi="Times New Roman"/>
                <w:spacing w:val="-4"/>
              </w:rPr>
              <w:t>January</w:t>
            </w:r>
            <w:r>
              <w:rPr>
                <w:rFonts w:ascii="Times New Roman" w:hAnsi="Times New Roman"/>
                <w:spacing w:val="-12"/>
              </w:rPr>
              <w:t xml:space="preserve"> </w:t>
            </w:r>
            <w:r>
              <w:rPr>
                <w:rFonts w:ascii="Times New Roman" w:hAnsi="Times New Roman"/>
                <w:i/>
                <w:spacing w:val="-4"/>
              </w:rPr>
              <w:t>[insert</w:t>
            </w:r>
            <w:r>
              <w:rPr>
                <w:rFonts w:ascii="Times New Roman" w:hAnsi="Times New Roman"/>
                <w:i/>
                <w:spacing w:val="-14"/>
              </w:rPr>
              <w:t xml:space="preserve"> </w:t>
            </w:r>
            <w:r>
              <w:rPr>
                <w:rFonts w:ascii="Times New Roman" w:hAnsi="Times New Roman"/>
                <w:i/>
                <w:spacing w:val="-4"/>
              </w:rPr>
              <w:t>year]</w:t>
            </w:r>
            <w:r>
              <w:rPr>
                <w:rFonts w:ascii="Times New Roman" w:hAnsi="Times New Roman"/>
                <w:i/>
                <w:spacing w:val="-10"/>
              </w:rPr>
              <w:t xml:space="preserve"> </w:t>
            </w:r>
            <w:r>
              <w:rPr>
                <w:rFonts w:ascii="Times New Roman" w:hAnsi="Times New Roman"/>
                <w:spacing w:val="-4"/>
              </w:rPr>
              <w:t>specified</w:t>
            </w:r>
            <w:r>
              <w:rPr>
                <w:rFonts w:ascii="Times New Roman" w:hAnsi="Times New Roman"/>
                <w:spacing w:val="-10"/>
              </w:rPr>
              <w:t xml:space="preserve"> </w:t>
            </w:r>
            <w:r>
              <w:rPr>
                <w:rFonts w:ascii="Times New Roman" w:hAnsi="Times New Roman"/>
                <w:spacing w:val="-4"/>
              </w:rPr>
              <w:t>in</w:t>
            </w:r>
            <w:r>
              <w:rPr>
                <w:rFonts w:ascii="Times New Roman" w:hAnsi="Times New Roman"/>
                <w:spacing w:val="-10"/>
              </w:rPr>
              <w:t xml:space="preserve"> </w:t>
            </w:r>
            <w:r>
              <w:rPr>
                <w:rFonts w:ascii="Times New Roman" w:hAnsi="Times New Roman"/>
                <w:spacing w:val="-4"/>
              </w:rPr>
              <w:t>Section</w:t>
            </w:r>
            <w:r>
              <w:rPr>
                <w:rFonts w:ascii="Times New Roman" w:hAnsi="Times New Roman"/>
                <w:spacing w:val="-8"/>
              </w:rPr>
              <w:t xml:space="preserve"> </w:t>
            </w:r>
            <w:r>
              <w:rPr>
                <w:rFonts w:ascii="Times New Roman" w:hAnsi="Times New Roman"/>
                <w:spacing w:val="-4"/>
              </w:rPr>
              <w:t>III,</w:t>
            </w:r>
            <w:r>
              <w:rPr>
                <w:rFonts w:ascii="Times New Roman" w:hAnsi="Times New Roman"/>
                <w:spacing w:val="-10"/>
              </w:rPr>
              <w:t xml:space="preserve"> </w:t>
            </w:r>
            <w:r>
              <w:rPr>
                <w:rFonts w:ascii="Times New Roman" w:hAnsi="Times New Roman"/>
                <w:spacing w:val="-4"/>
              </w:rPr>
              <w:t>Evaluation</w:t>
            </w:r>
            <w:r>
              <w:rPr>
                <w:rFonts w:ascii="Times New Roman" w:hAnsi="Times New Roman"/>
                <w:spacing w:val="-10"/>
              </w:rPr>
              <w:t xml:space="preserve"> </w:t>
            </w:r>
            <w:r>
              <w:rPr>
                <w:rFonts w:ascii="Times New Roman" w:hAnsi="Times New Roman"/>
                <w:spacing w:val="-4"/>
              </w:rPr>
              <w:t>and</w:t>
            </w:r>
            <w:r>
              <w:rPr>
                <w:rFonts w:ascii="Times New Roman" w:hAnsi="Times New Roman"/>
                <w:spacing w:val="-10"/>
              </w:rPr>
              <w:t xml:space="preserve"> </w:t>
            </w:r>
            <w:r>
              <w:rPr>
                <w:rFonts w:ascii="Times New Roman" w:hAnsi="Times New Roman"/>
                <w:spacing w:val="-4"/>
              </w:rPr>
              <w:t xml:space="preserve">Qualification </w:t>
            </w:r>
            <w:r>
              <w:rPr>
                <w:rFonts w:ascii="Times New Roman" w:hAnsi="Times New Roman"/>
              </w:rPr>
              <w:t>Criteria, requirement 2.1</w:t>
            </w:r>
          </w:p>
          <w:p w:rsidR="007F6DF9" w:rsidRDefault="00A43FBC">
            <w:pPr>
              <w:pStyle w:val="TableParagraph"/>
              <w:numPr>
                <w:ilvl w:val="0"/>
                <w:numId w:val="161"/>
              </w:numPr>
              <w:tabs>
                <w:tab w:val="left" w:pos="720"/>
              </w:tabs>
              <w:spacing w:before="234" w:line="250" w:lineRule="atLeast"/>
              <w:ind w:right="458" w:firstLine="0"/>
              <w:rPr>
                <w:rFonts w:ascii="Times New Roman" w:hAnsi="Times New Roman"/>
              </w:rPr>
            </w:pPr>
            <w:r>
              <w:rPr>
                <w:rFonts w:ascii="Times New Roman" w:hAnsi="Times New Roman"/>
                <w:spacing w:val="-4"/>
              </w:rPr>
              <w:t>Contract(s)</w:t>
            </w:r>
            <w:r>
              <w:rPr>
                <w:rFonts w:ascii="Times New Roman" w:hAnsi="Times New Roman"/>
                <w:spacing w:val="-10"/>
              </w:rPr>
              <w:t xml:space="preserve"> </w:t>
            </w:r>
            <w:r>
              <w:rPr>
                <w:rFonts w:ascii="Times New Roman" w:hAnsi="Times New Roman"/>
                <w:spacing w:val="-4"/>
              </w:rPr>
              <w:t>withdrawn</w:t>
            </w:r>
            <w:r>
              <w:rPr>
                <w:rFonts w:ascii="Times New Roman" w:hAnsi="Times New Roman"/>
                <w:spacing w:val="-10"/>
              </w:rPr>
              <w:t xml:space="preserve"> </w:t>
            </w:r>
            <w:r>
              <w:rPr>
                <w:rFonts w:ascii="Times New Roman" w:hAnsi="Times New Roman"/>
                <w:spacing w:val="-4"/>
              </w:rPr>
              <w:t>since</w:t>
            </w:r>
            <w:r>
              <w:rPr>
                <w:rFonts w:ascii="Times New Roman" w:hAnsi="Times New Roman"/>
                <w:spacing w:val="-12"/>
              </w:rPr>
              <w:t xml:space="preserve"> </w:t>
            </w:r>
            <w:r>
              <w:rPr>
                <w:rFonts w:ascii="Times New Roman" w:hAnsi="Times New Roman"/>
                <w:spacing w:val="-4"/>
              </w:rPr>
              <w:t>1</w:t>
            </w:r>
            <w:r>
              <w:rPr>
                <w:rFonts w:ascii="Times New Roman" w:hAnsi="Times New Roman"/>
                <w:spacing w:val="-4"/>
                <w:vertAlign w:val="superscript"/>
              </w:rPr>
              <w:t>st</w:t>
            </w:r>
            <w:r>
              <w:rPr>
                <w:rFonts w:ascii="Times New Roman" w:hAnsi="Times New Roman"/>
                <w:spacing w:val="-13"/>
              </w:rPr>
              <w:t xml:space="preserve"> </w:t>
            </w:r>
            <w:r>
              <w:rPr>
                <w:rFonts w:ascii="Times New Roman" w:hAnsi="Times New Roman"/>
                <w:spacing w:val="-4"/>
              </w:rPr>
              <w:t>January</w:t>
            </w:r>
            <w:r>
              <w:rPr>
                <w:rFonts w:ascii="Times New Roman" w:hAnsi="Times New Roman"/>
                <w:spacing w:val="-12"/>
              </w:rPr>
              <w:t xml:space="preserve"> </w:t>
            </w:r>
            <w:r>
              <w:rPr>
                <w:rFonts w:ascii="Times New Roman" w:hAnsi="Times New Roman"/>
                <w:i/>
                <w:spacing w:val="-4"/>
              </w:rPr>
              <w:t>[insert</w:t>
            </w:r>
            <w:r>
              <w:rPr>
                <w:rFonts w:ascii="Times New Roman" w:hAnsi="Times New Roman"/>
                <w:i/>
                <w:spacing w:val="-14"/>
              </w:rPr>
              <w:t xml:space="preserve"> </w:t>
            </w:r>
            <w:r>
              <w:rPr>
                <w:rFonts w:ascii="Times New Roman" w:hAnsi="Times New Roman"/>
                <w:i/>
                <w:spacing w:val="-4"/>
              </w:rPr>
              <w:t>year]</w:t>
            </w:r>
            <w:r>
              <w:rPr>
                <w:rFonts w:ascii="Times New Roman" w:hAnsi="Times New Roman"/>
                <w:i/>
                <w:spacing w:val="-12"/>
              </w:rPr>
              <w:t xml:space="preserve"> </w:t>
            </w:r>
            <w:r>
              <w:rPr>
                <w:rFonts w:ascii="Times New Roman" w:hAnsi="Times New Roman"/>
                <w:spacing w:val="-4"/>
              </w:rPr>
              <w:t>specified</w:t>
            </w:r>
            <w:r>
              <w:rPr>
                <w:rFonts w:ascii="Times New Roman" w:hAnsi="Times New Roman"/>
                <w:spacing w:val="-10"/>
              </w:rPr>
              <w:t xml:space="preserve"> </w:t>
            </w:r>
            <w:r>
              <w:rPr>
                <w:rFonts w:ascii="Times New Roman" w:hAnsi="Times New Roman"/>
                <w:spacing w:val="-4"/>
              </w:rPr>
              <w:t>in</w:t>
            </w:r>
            <w:r>
              <w:rPr>
                <w:rFonts w:ascii="Times New Roman" w:hAnsi="Times New Roman"/>
                <w:spacing w:val="-10"/>
              </w:rPr>
              <w:t xml:space="preserve"> </w:t>
            </w:r>
            <w:r>
              <w:rPr>
                <w:rFonts w:ascii="Times New Roman" w:hAnsi="Times New Roman"/>
                <w:spacing w:val="-4"/>
              </w:rPr>
              <w:t>Section</w:t>
            </w:r>
            <w:r>
              <w:rPr>
                <w:rFonts w:ascii="Times New Roman" w:hAnsi="Times New Roman"/>
                <w:spacing w:val="-10"/>
              </w:rPr>
              <w:t xml:space="preserve"> </w:t>
            </w:r>
            <w:r>
              <w:rPr>
                <w:rFonts w:ascii="Times New Roman" w:hAnsi="Times New Roman"/>
                <w:spacing w:val="-4"/>
              </w:rPr>
              <w:t>III,</w:t>
            </w:r>
            <w:r>
              <w:rPr>
                <w:rFonts w:ascii="Times New Roman" w:hAnsi="Times New Roman"/>
                <w:spacing w:val="-10"/>
              </w:rPr>
              <w:t xml:space="preserve"> </w:t>
            </w:r>
            <w:r>
              <w:rPr>
                <w:rFonts w:ascii="Times New Roman" w:hAnsi="Times New Roman"/>
                <w:spacing w:val="-4"/>
              </w:rPr>
              <w:t>Evaluation</w:t>
            </w:r>
            <w:r>
              <w:rPr>
                <w:rFonts w:ascii="Times New Roman" w:hAnsi="Times New Roman"/>
                <w:spacing w:val="-10"/>
              </w:rPr>
              <w:t xml:space="preserve"> </w:t>
            </w:r>
            <w:r>
              <w:rPr>
                <w:rFonts w:ascii="Times New Roman" w:hAnsi="Times New Roman"/>
                <w:spacing w:val="-4"/>
              </w:rPr>
              <w:t>and</w:t>
            </w:r>
            <w:r>
              <w:rPr>
                <w:rFonts w:ascii="Times New Roman" w:hAnsi="Times New Roman"/>
                <w:spacing w:val="-9"/>
              </w:rPr>
              <w:t xml:space="preserve"> </w:t>
            </w:r>
            <w:r>
              <w:rPr>
                <w:rFonts w:ascii="Times New Roman" w:hAnsi="Times New Roman"/>
                <w:spacing w:val="-4"/>
              </w:rPr>
              <w:t xml:space="preserve">Qualification </w:t>
            </w:r>
            <w:r>
              <w:rPr>
                <w:rFonts w:ascii="Times New Roman" w:hAnsi="Times New Roman"/>
              </w:rPr>
              <w:t>Criteria, requirement 2.1</w:t>
            </w:r>
          </w:p>
        </w:tc>
      </w:tr>
      <w:tr w:rsidR="007F6DF9">
        <w:trPr>
          <w:trHeight w:val="1012"/>
        </w:trPr>
        <w:tc>
          <w:tcPr>
            <w:tcW w:w="968" w:type="dxa"/>
          </w:tcPr>
          <w:p w:rsidR="007F6DF9" w:rsidRDefault="00A43FBC">
            <w:pPr>
              <w:pStyle w:val="TableParagraph"/>
              <w:spacing w:line="251" w:lineRule="exact"/>
              <w:ind w:left="-1"/>
              <w:rPr>
                <w:rFonts w:ascii="Times New Roman"/>
                <w:b/>
              </w:rPr>
            </w:pPr>
            <w:r>
              <w:rPr>
                <w:rFonts w:ascii="Times New Roman"/>
                <w:b/>
                <w:spacing w:val="-4"/>
              </w:rPr>
              <w:t>Year</w:t>
            </w:r>
          </w:p>
        </w:tc>
        <w:tc>
          <w:tcPr>
            <w:tcW w:w="1529" w:type="dxa"/>
          </w:tcPr>
          <w:p w:rsidR="007F6DF9" w:rsidRDefault="00A43FBC">
            <w:pPr>
              <w:pStyle w:val="TableParagraph"/>
              <w:ind w:left="-1" w:right="45"/>
              <w:rPr>
                <w:rFonts w:ascii="Times New Roman"/>
                <w:b/>
              </w:rPr>
            </w:pPr>
            <w:r>
              <w:rPr>
                <w:rFonts w:ascii="Times New Roman"/>
                <w:b/>
                <w:spacing w:val="-4"/>
              </w:rPr>
              <w:t>Non-</w:t>
            </w:r>
            <w:r>
              <w:rPr>
                <w:rFonts w:ascii="Times New Roman"/>
                <w:b/>
                <w:spacing w:val="-10"/>
              </w:rPr>
              <w:t xml:space="preserve"> </w:t>
            </w:r>
            <w:r>
              <w:rPr>
                <w:rFonts w:ascii="Times New Roman"/>
                <w:b/>
                <w:spacing w:val="-4"/>
              </w:rPr>
              <w:t xml:space="preserve">performed </w:t>
            </w:r>
            <w:r>
              <w:rPr>
                <w:rFonts w:ascii="Times New Roman"/>
                <w:b/>
              </w:rPr>
              <w:t>portion</w:t>
            </w:r>
            <w:r>
              <w:rPr>
                <w:rFonts w:ascii="Times New Roman"/>
                <w:b/>
                <w:spacing w:val="-6"/>
              </w:rPr>
              <w:t xml:space="preserve"> </w:t>
            </w:r>
            <w:r>
              <w:rPr>
                <w:rFonts w:ascii="Times New Roman"/>
                <w:b/>
              </w:rPr>
              <w:t xml:space="preserve">of </w:t>
            </w:r>
            <w:r>
              <w:rPr>
                <w:rFonts w:ascii="Times New Roman"/>
                <w:b/>
                <w:spacing w:val="-2"/>
              </w:rPr>
              <w:t>contract</w:t>
            </w:r>
          </w:p>
        </w:tc>
        <w:tc>
          <w:tcPr>
            <w:tcW w:w="4969" w:type="dxa"/>
          </w:tcPr>
          <w:p w:rsidR="007F6DF9" w:rsidRDefault="00A43FBC">
            <w:pPr>
              <w:pStyle w:val="TableParagraph"/>
              <w:spacing w:line="251" w:lineRule="exact"/>
              <w:ind w:left="1"/>
              <w:rPr>
                <w:rFonts w:ascii="Times New Roman"/>
                <w:b/>
              </w:rPr>
            </w:pPr>
            <w:r>
              <w:rPr>
                <w:rFonts w:ascii="Times New Roman"/>
                <w:b/>
                <w:spacing w:val="-5"/>
              </w:rPr>
              <w:t xml:space="preserve">Contract </w:t>
            </w:r>
            <w:r>
              <w:rPr>
                <w:rFonts w:ascii="Times New Roman"/>
                <w:b/>
                <w:spacing w:val="-2"/>
              </w:rPr>
              <w:t>Identification</w:t>
            </w:r>
          </w:p>
        </w:tc>
        <w:tc>
          <w:tcPr>
            <w:tcW w:w="2609" w:type="dxa"/>
          </w:tcPr>
          <w:p w:rsidR="007F6DF9" w:rsidRDefault="00A43FBC">
            <w:pPr>
              <w:pStyle w:val="TableParagraph"/>
              <w:ind w:left="-1" w:right="309"/>
              <w:rPr>
                <w:rFonts w:ascii="Times New Roman"/>
                <w:b/>
              </w:rPr>
            </w:pPr>
            <w:r>
              <w:rPr>
                <w:rFonts w:ascii="Times New Roman"/>
                <w:b/>
              </w:rPr>
              <w:t xml:space="preserve">Total Contract Amount </w:t>
            </w:r>
            <w:r>
              <w:rPr>
                <w:rFonts w:ascii="Times New Roman"/>
                <w:b/>
                <w:spacing w:val="-2"/>
              </w:rPr>
              <w:t>(current</w:t>
            </w:r>
            <w:r>
              <w:rPr>
                <w:rFonts w:ascii="Times New Roman"/>
                <w:b/>
                <w:spacing w:val="-12"/>
              </w:rPr>
              <w:t xml:space="preserve"> </w:t>
            </w:r>
            <w:r>
              <w:rPr>
                <w:rFonts w:ascii="Times New Roman"/>
                <w:b/>
                <w:spacing w:val="-2"/>
              </w:rPr>
              <w:t>value,</w:t>
            </w:r>
            <w:r>
              <w:rPr>
                <w:rFonts w:ascii="Times New Roman"/>
                <w:b/>
                <w:spacing w:val="-12"/>
              </w:rPr>
              <w:t xml:space="preserve"> </w:t>
            </w:r>
            <w:r>
              <w:rPr>
                <w:rFonts w:ascii="Times New Roman"/>
                <w:b/>
                <w:spacing w:val="-2"/>
              </w:rPr>
              <w:t xml:space="preserve">currency, </w:t>
            </w:r>
            <w:r>
              <w:rPr>
                <w:rFonts w:ascii="Times New Roman"/>
                <w:b/>
                <w:spacing w:val="-4"/>
              </w:rPr>
              <w:t>exchange</w:t>
            </w:r>
            <w:r>
              <w:rPr>
                <w:rFonts w:ascii="Times New Roman"/>
                <w:b/>
                <w:spacing w:val="-10"/>
              </w:rPr>
              <w:t xml:space="preserve"> </w:t>
            </w:r>
            <w:r>
              <w:rPr>
                <w:rFonts w:ascii="Times New Roman"/>
                <w:b/>
                <w:spacing w:val="-4"/>
              </w:rPr>
              <w:t>rate</w:t>
            </w:r>
            <w:r>
              <w:rPr>
                <w:rFonts w:ascii="Times New Roman"/>
                <w:b/>
                <w:spacing w:val="-10"/>
              </w:rPr>
              <w:t xml:space="preserve"> </w:t>
            </w:r>
            <w:r>
              <w:rPr>
                <w:rFonts w:ascii="Times New Roman"/>
                <w:b/>
                <w:spacing w:val="-4"/>
              </w:rPr>
              <w:t>and</w:t>
            </w:r>
            <w:r>
              <w:rPr>
                <w:rFonts w:ascii="Times New Roman"/>
                <w:b/>
                <w:spacing w:val="-10"/>
              </w:rPr>
              <w:t xml:space="preserve"> </w:t>
            </w:r>
            <w:r>
              <w:rPr>
                <w:rFonts w:ascii="Times New Roman"/>
                <w:b/>
                <w:spacing w:val="-4"/>
              </w:rPr>
              <w:t>Kenya</w:t>
            </w:r>
          </w:p>
          <w:p w:rsidR="007F6DF9" w:rsidRDefault="00A43FBC">
            <w:pPr>
              <w:pStyle w:val="TableParagraph"/>
              <w:spacing w:line="233" w:lineRule="exact"/>
              <w:ind w:left="-1"/>
              <w:rPr>
                <w:rFonts w:ascii="Times New Roman"/>
                <w:b/>
              </w:rPr>
            </w:pPr>
            <w:r>
              <w:rPr>
                <w:rFonts w:ascii="Times New Roman"/>
                <w:b/>
                <w:spacing w:val="-5"/>
              </w:rPr>
              <w:t>Shilling</w:t>
            </w:r>
            <w:r>
              <w:rPr>
                <w:rFonts w:ascii="Times New Roman"/>
                <w:b/>
                <w:spacing w:val="-4"/>
              </w:rPr>
              <w:t xml:space="preserve"> </w:t>
            </w:r>
            <w:r>
              <w:rPr>
                <w:rFonts w:ascii="Times New Roman"/>
                <w:b/>
                <w:spacing w:val="-2"/>
              </w:rPr>
              <w:t>equivalent)</w:t>
            </w:r>
          </w:p>
        </w:tc>
      </w:tr>
      <w:tr w:rsidR="007F6DF9">
        <w:trPr>
          <w:trHeight w:val="1264"/>
        </w:trPr>
        <w:tc>
          <w:tcPr>
            <w:tcW w:w="968" w:type="dxa"/>
          </w:tcPr>
          <w:p w:rsidR="007F6DF9" w:rsidRDefault="00A43FBC">
            <w:pPr>
              <w:pStyle w:val="TableParagraph"/>
              <w:ind w:left="-1"/>
              <w:rPr>
                <w:rFonts w:ascii="Times New Roman"/>
                <w:i/>
              </w:rPr>
            </w:pPr>
            <w:r>
              <w:rPr>
                <w:rFonts w:ascii="Times New Roman"/>
                <w:i/>
                <w:spacing w:val="-8"/>
              </w:rPr>
              <w:t xml:space="preserve">[insert </w:t>
            </w:r>
            <w:r>
              <w:rPr>
                <w:rFonts w:ascii="Times New Roman"/>
                <w:i/>
                <w:spacing w:val="-2"/>
              </w:rPr>
              <w:t>year]</w:t>
            </w:r>
          </w:p>
        </w:tc>
        <w:tc>
          <w:tcPr>
            <w:tcW w:w="1529" w:type="dxa"/>
          </w:tcPr>
          <w:p w:rsidR="007F6DF9" w:rsidRDefault="00A43FBC">
            <w:pPr>
              <w:pStyle w:val="TableParagraph"/>
              <w:ind w:left="-1" w:right="153"/>
              <w:rPr>
                <w:rFonts w:ascii="Times New Roman"/>
                <w:i/>
              </w:rPr>
            </w:pPr>
            <w:r>
              <w:rPr>
                <w:rFonts w:ascii="Times New Roman"/>
                <w:i/>
              </w:rPr>
              <w:t>[insert</w:t>
            </w:r>
            <w:r>
              <w:rPr>
                <w:rFonts w:ascii="Times New Roman"/>
                <w:i/>
                <w:spacing w:val="-8"/>
              </w:rPr>
              <w:t xml:space="preserve"> </w:t>
            </w:r>
            <w:r>
              <w:rPr>
                <w:rFonts w:ascii="Times New Roman"/>
                <w:i/>
              </w:rPr>
              <w:t xml:space="preserve">amount </w:t>
            </w:r>
            <w:r>
              <w:rPr>
                <w:rFonts w:ascii="Times New Roman"/>
                <w:i/>
                <w:spacing w:val="-6"/>
              </w:rPr>
              <w:t>and</w:t>
            </w:r>
            <w:r>
              <w:rPr>
                <w:rFonts w:ascii="Times New Roman"/>
                <w:i/>
                <w:spacing w:val="-12"/>
              </w:rPr>
              <w:t xml:space="preserve"> </w:t>
            </w:r>
            <w:r>
              <w:rPr>
                <w:rFonts w:ascii="Times New Roman"/>
                <w:i/>
                <w:spacing w:val="-6"/>
              </w:rPr>
              <w:t>percentage]</w:t>
            </w:r>
          </w:p>
        </w:tc>
        <w:tc>
          <w:tcPr>
            <w:tcW w:w="4969" w:type="dxa"/>
          </w:tcPr>
          <w:p w:rsidR="007F6DF9" w:rsidRDefault="00A43FBC">
            <w:pPr>
              <w:pStyle w:val="TableParagraph"/>
              <w:ind w:left="1"/>
              <w:rPr>
                <w:rFonts w:ascii="Times New Roman"/>
                <w:i/>
              </w:rPr>
            </w:pPr>
            <w:r>
              <w:rPr>
                <w:rFonts w:ascii="Times New Roman"/>
                <w:spacing w:val="-6"/>
              </w:rPr>
              <w:t xml:space="preserve">Contract Identification: </w:t>
            </w:r>
            <w:r>
              <w:rPr>
                <w:rFonts w:ascii="Times New Roman"/>
                <w:i/>
                <w:spacing w:val="-6"/>
              </w:rPr>
              <w:t>[indicate</w:t>
            </w:r>
            <w:r>
              <w:rPr>
                <w:rFonts w:ascii="Times New Roman"/>
                <w:i/>
                <w:spacing w:val="-7"/>
              </w:rPr>
              <w:t xml:space="preserve"> </w:t>
            </w:r>
            <w:r>
              <w:rPr>
                <w:rFonts w:ascii="Times New Roman"/>
                <w:i/>
                <w:spacing w:val="-6"/>
              </w:rPr>
              <w:t xml:space="preserve">complete contract name/ </w:t>
            </w:r>
            <w:r>
              <w:rPr>
                <w:rFonts w:ascii="Times New Roman"/>
                <w:i/>
              </w:rPr>
              <w:t>number,</w:t>
            </w:r>
            <w:r>
              <w:rPr>
                <w:rFonts w:ascii="Times New Roman"/>
                <w:i/>
                <w:spacing w:val="-14"/>
              </w:rPr>
              <w:t xml:space="preserve"> </w:t>
            </w:r>
            <w:r>
              <w:rPr>
                <w:rFonts w:ascii="Times New Roman"/>
                <w:i/>
              </w:rPr>
              <w:t>and</w:t>
            </w:r>
            <w:r>
              <w:rPr>
                <w:rFonts w:ascii="Times New Roman"/>
                <w:i/>
                <w:spacing w:val="-14"/>
              </w:rPr>
              <w:t xml:space="preserve"> </w:t>
            </w:r>
            <w:r>
              <w:rPr>
                <w:rFonts w:ascii="Times New Roman"/>
                <w:i/>
              </w:rPr>
              <w:t>any</w:t>
            </w:r>
            <w:r>
              <w:rPr>
                <w:rFonts w:ascii="Times New Roman"/>
                <w:i/>
                <w:spacing w:val="-14"/>
              </w:rPr>
              <w:t xml:space="preserve"> </w:t>
            </w:r>
            <w:r>
              <w:rPr>
                <w:rFonts w:ascii="Times New Roman"/>
                <w:i/>
              </w:rPr>
              <w:t>other</w:t>
            </w:r>
            <w:r>
              <w:rPr>
                <w:rFonts w:ascii="Times New Roman"/>
                <w:i/>
                <w:spacing w:val="-14"/>
              </w:rPr>
              <w:t xml:space="preserve"> </w:t>
            </w:r>
            <w:r>
              <w:rPr>
                <w:rFonts w:ascii="Times New Roman"/>
                <w:i/>
              </w:rPr>
              <w:t>identification]</w:t>
            </w:r>
          </w:p>
          <w:p w:rsidR="007F6DF9" w:rsidRDefault="00A43FBC">
            <w:pPr>
              <w:pStyle w:val="TableParagraph"/>
              <w:spacing w:line="252" w:lineRule="exact"/>
              <w:ind w:left="1"/>
              <w:rPr>
                <w:rFonts w:ascii="Times New Roman"/>
                <w:i/>
              </w:rPr>
            </w:pPr>
            <w:r>
              <w:rPr>
                <w:rFonts w:ascii="Times New Roman"/>
                <w:spacing w:val="-6"/>
              </w:rPr>
              <w:t>Name</w:t>
            </w:r>
            <w:r>
              <w:rPr>
                <w:rFonts w:ascii="Times New Roman"/>
                <w:spacing w:val="-4"/>
              </w:rPr>
              <w:t xml:space="preserve"> </w:t>
            </w:r>
            <w:r>
              <w:rPr>
                <w:rFonts w:ascii="Times New Roman"/>
                <w:spacing w:val="-6"/>
              </w:rPr>
              <w:t>of</w:t>
            </w:r>
            <w:r>
              <w:rPr>
                <w:rFonts w:ascii="Times New Roman"/>
                <w:spacing w:val="1"/>
              </w:rPr>
              <w:t xml:space="preserve"> </w:t>
            </w:r>
            <w:r>
              <w:rPr>
                <w:rFonts w:ascii="Times New Roman"/>
                <w:spacing w:val="-6"/>
              </w:rPr>
              <w:t>Procuring</w:t>
            </w:r>
            <w:r>
              <w:rPr>
                <w:rFonts w:ascii="Times New Roman"/>
                <w:spacing w:val="1"/>
              </w:rPr>
              <w:t xml:space="preserve"> </w:t>
            </w:r>
            <w:r>
              <w:rPr>
                <w:rFonts w:ascii="Times New Roman"/>
                <w:spacing w:val="-6"/>
              </w:rPr>
              <w:t>Entity:</w:t>
            </w:r>
            <w:r>
              <w:rPr>
                <w:rFonts w:ascii="Times New Roman"/>
                <w:spacing w:val="1"/>
              </w:rPr>
              <w:t xml:space="preserve"> </w:t>
            </w:r>
            <w:r>
              <w:rPr>
                <w:rFonts w:ascii="Times New Roman"/>
                <w:i/>
                <w:spacing w:val="-6"/>
              </w:rPr>
              <w:t>[insert full</w:t>
            </w:r>
            <w:r>
              <w:rPr>
                <w:rFonts w:ascii="Times New Roman"/>
                <w:i/>
                <w:spacing w:val="-5"/>
              </w:rPr>
              <w:t xml:space="preserve"> </w:t>
            </w:r>
            <w:r>
              <w:rPr>
                <w:rFonts w:ascii="Times New Roman"/>
                <w:i/>
                <w:spacing w:val="-6"/>
              </w:rPr>
              <w:t>name]</w:t>
            </w:r>
          </w:p>
          <w:p w:rsidR="007F6DF9" w:rsidRDefault="00A43FBC">
            <w:pPr>
              <w:pStyle w:val="TableParagraph"/>
              <w:spacing w:line="252" w:lineRule="exact"/>
              <w:ind w:left="1"/>
              <w:rPr>
                <w:rFonts w:ascii="Times New Roman"/>
                <w:i/>
              </w:rPr>
            </w:pPr>
            <w:r>
              <w:rPr>
                <w:rFonts w:ascii="Times New Roman"/>
                <w:spacing w:val="-6"/>
              </w:rPr>
              <w:t>Address</w:t>
            </w:r>
            <w:r>
              <w:rPr>
                <w:rFonts w:ascii="Times New Roman"/>
                <w:spacing w:val="-1"/>
              </w:rPr>
              <w:t xml:space="preserve"> </w:t>
            </w:r>
            <w:r>
              <w:rPr>
                <w:rFonts w:ascii="Times New Roman"/>
                <w:spacing w:val="-6"/>
              </w:rPr>
              <w:t>of</w:t>
            </w:r>
            <w:r>
              <w:rPr>
                <w:rFonts w:ascii="Times New Roman"/>
                <w:spacing w:val="3"/>
              </w:rPr>
              <w:t xml:space="preserve"> </w:t>
            </w:r>
            <w:r>
              <w:rPr>
                <w:rFonts w:ascii="Times New Roman"/>
                <w:spacing w:val="-6"/>
              </w:rPr>
              <w:t>Procuring</w:t>
            </w:r>
            <w:r>
              <w:rPr>
                <w:rFonts w:ascii="Times New Roman"/>
              </w:rPr>
              <w:t xml:space="preserve"> </w:t>
            </w:r>
            <w:r>
              <w:rPr>
                <w:rFonts w:ascii="Times New Roman"/>
                <w:spacing w:val="-6"/>
              </w:rPr>
              <w:t>Entity:</w:t>
            </w:r>
            <w:r>
              <w:rPr>
                <w:rFonts w:ascii="Times New Roman"/>
                <w:spacing w:val="3"/>
              </w:rPr>
              <w:t xml:space="preserve"> </w:t>
            </w:r>
            <w:r>
              <w:rPr>
                <w:rFonts w:ascii="Times New Roman"/>
                <w:i/>
                <w:spacing w:val="-6"/>
              </w:rPr>
              <w:t>[insert</w:t>
            </w:r>
            <w:r>
              <w:rPr>
                <w:rFonts w:ascii="Times New Roman"/>
                <w:i/>
                <w:spacing w:val="-1"/>
              </w:rPr>
              <w:t xml:space="preserve"> </w:t>
            </w:r>
            <w:r>
              <w:rPr>
                <w:rFonts w:ascii="Times New Roman"/>
                <w:i/>
                <w:spacing w:val="-6"/>
              </w:rPr>
              <w:t>street/city/country]</w:t>
            </w:r>
          </w:p>
          <w:p w:rsidR="007F6DF9" w:rsidRDefault="00A43FBC">
            <w:pPr>
              <w:pStyle w:val="TableParagraph"/>
              <w:spacing w:line="233" w:lineRule="exact"/>
              <w:ind w:left="1"/>
              <w:rPr>
                <w:rFonts w:ascii="Times New Roman"/>
                <w:i/>
              </w:rPr>
            </w:pPr>
            <w:r>
              <w:rPr>
                <w:rFonts w:ascii="Times New Roman"/>
                <w:spacing w:val="-6"/>
              </w:rPr>
              <w:t>Reason(s)</w:t>
            </w:r>
            <w:r>
              <w:rPr>
                <w:rFonts w:ascii="Times New Roman"/>
              </w:rPr>
              <w:t xml:space="preserve"> </w:t>
            </w:r>
            <w:r>
              <w:rPr>
                <w:rFonts w:ascii="Times New Roman"/>
                <w:spacing w:val="-6"/>
              </w:rPr>
              <w:t>for</w:t>
            </w:r>
            <w:r>
              <w:rPr>
                <w:rFonts w:ascii="Times New Roman"/>
                <w:spacing w:val="1"/>
              </w:rPr>
              <w:t xml:space="preserve"> </w:t>
            </w:r>
            <w:r>
              <w:rPr>
                <w:rFonts w:ascii="Times New Roman"/>
                <w:spacing w:val="-6"/>
              </w:rPr>
              <w:t>nonperformance:</w:t>
            </w:r>
            <w:r>
              <w:rPr>
                <w:rFonts w:ascii="Times New Roman"/>
                <w:spacing w:val="3"/>
              </w:rPr>
              <w:t xml:space="preserve"> </w:t>
            </w:r>
            <w:r>
              <w:rPr>
                <w:rFonts w:ascii="Times New Roman"/>
                <w:i/>
                <w:spacing w:val="-6"/>
              </w:rPr>
              <w:t>[indicate</w:t>
            </w:r>
            <w:r>
              <w:rPr>
                <w:rFonts w:ascii="Times New Roman"/>
                <w:i/>
                <w:spacing w:val="-3"/>
              </w:rPr>
              <w:t xml:space="preserve"> </w:t>
            </w:r>
            <w:r>
              <w:rPr>
                <w:rFonts w:ascii="Times New Roman"/>
                <w:i/>
                <w:spacing w:val="-6"/>
              </w:rPr>
              <w:t>main</w:t>
            </w:r>
            <w:r>
              <w:rPr>
                <w:rFonts w:ascii="Times New Roman"/>
                <w:i/>
                <w:spacing w:val="-3"/>
              </w:rPr>
              <w:t xml:space="preserve"> </w:t>
            </w:r>
            <w:r>
              <w:rPr>
                <w:rFonts w:ascii="Times New Roman"/>
                <w:i/>
                <w:spacing w:val="-6"/>
              </w:rPr>
              <w:t>reason(s)]</w:t>
            </w:r>
          </w:p>
        </w:tc>
        <w:tc>
          <w:tcPr>
            <w:tcW w:w="2609" w:type="dxa"/>
          </w:tcPr>
          <w:p w:rsidR="007F6DF9" w:rsidRDefault="00A43FBC">
            <w:pPr>
              <w:pStyle w:val="TableParagraph"/>
              <w:spacing w:line="251" w:lineRule="exact"/>
              <w:ind w:left="-1"/>
              <w:rPr>
                <w:rFonts w:ascii="Times New Roman"/>
                <w:i/>
              </w:rPr>
            </w:pPr>
            <w:r>
              <w:rPr>
                <w:rFonts w:ascii="Times New Roman"/>
                <w:i/>
                <w:spacing w:val="-7"/>
              </w:rPr>
              <w:t>[insert</w:t>
            </w:r>
            <w:r>
              <w:rPr>
                <w:rFonts w:ascii="Times New Roman"/>
                <w:i/>
                <w:spacing w:val="-5"/>
              </w:rPr>
              <w:t xml:space="preserve"> </w:t>
            </w:r>
            <w:r>
              <w:rPr>
                <w:rFonts w:ascii="Times New Roman"/>
                <w:i/>
                <w:spacing w:val="-2"/>
              </w:rPr>
              <w:t>amount]</w:t>
            </w:r>
          </w:p>
        </w:tc>
      </w:tr>
      <w:tr w:rsidR="007F6DF9">
        <w:trPr>
          <w:trHeight w:val="254"/>
        </w:trPr>
        <w:tc>
          <w:tcPr>
            <w:tcW w:w="10075" w:type="dxa"/>
            <w:gridSpan w:val="4"/>
          </w:tcPr>
          <w:p w:rsidR="007F6DF9" w:rsidRDefault="00A43FBC">
            <w:pPr>
              <w:pStyle w:val="TableParagraph"/>
              <w:spacing w:line="234" w:lineRule="exact"/>
              <w:ind w:left="-1"/>
              <w:rPr>
                <w:rFonts w:ascii="Times New Roman"/>
              </w:rPr>
            </w:pPr>
            <w:r>
              <w:rPr>
                <w:rFonts w:ascii="Times New Roman"/>
                <w:spacing w:val="-6"/>
              </w:rPr>
              <w:t>Pending</w:t>
            </w:r>
            <w:r>
              <w:rPr>
                <w:rFonts w:ascii="Times New Roman"/>
                <w:spacing w:val="-13"/>
              </w:rPr>
              <w:t xml:space="preserve"> </w:t>
            </w:r>
            <w:r>
              <w:rPr>
                <w:rFonts w:ascii="Times New Roman"/>
                <w:spacing w:val="-6"/>
              </w:rPr>
              <w:t>Litigation,</w:t>
            </w:r>
            <w:r>
              <w:rPr>
                <w:rFonts w:ascii="Times New Roman"/>
                <w:spacing w:val="-13"/>
              </w:rPr>
              <w:t xml:space="preserve"> </w:t>
            </w:r>
            <w:r>
              <w:rPr>
                <w:rFonts w:ascii="Times New Roman"/>
                <w:spacing w:val="-6"/>
              </w:rPr>
              <w:t>in</w:t>
            </w:r>
            <w:r>
              <w:rPr>
                <w:rFonts w:ascii="Times New Roman"/>
                <w:spacing w:val="-11"/>
              </w:rPr>
              <w:t xml:space="preserve"> </w:t>
            </w:r>
            <w:r>
              <w:rPr>
                <w:rFonts w:ascii="Times New Roman"/>
                <w:spacing w:val="-6"/>
              </w:rPr>
              <w:t>accordance</w:t>
            </w:r>
            <w:r>
              <w:rPr>
                <w:rFonts w:ascii="Times New Roman"/>
                <w:spacing w:val="-8"/>
              </w:rPr>
              <w:t xml:space="preserve"> </w:t>
            </w:r>
            <w:r>
              <w:rPr>
                <w:rFonts w:ascii="Times New Roman"/>
                <w:spacing w:val="-6"/>
              </w:rPr>
              <w:t>with</w:t>
            </w:r>
            <w:r>
              <w:rPr>
                <w:rFonts w:ascii="Times New Roman"/>
                <w:spacing w:val="-8"/>
              </w:rPr>
              <w:t xml:space="preserve"> </w:t>
            </w:r>
            <w:r>
              <w:rPr>
                <w:rFonts w:ascii="Times New Roman"/>
                <w:spacing w:val="-6"/>
              </w:rPr>
              <w:t>Section</w:t>
            </w:r>
            <w:r>
              <w:rPr>
                <w:rFonts w:ascii="Times New Roman"/>
                <w:spacing w:val="-11"/>
              </w:rPr>
              <w:t xml:space="preserve"> </w:t>
            </w:r>
            <w:r>
              <w:rPr>
                <w:rFonts w:ascii="Times New Roman"/>
                <w:spacing w:val="-6"/>
              </w:rPr>
              <w:t>III,</w:t>
            </w:r>
            <w:r>
              <w:rPr>
                <w:rFonts w:ascii="Times New Roman"/>
                <w:spacing w:val="-5"/>
              </w:rPr>
              <w:t xml:space="preserve"> </w:t>
            </w:r>
            <w:r>
              <w:rPr>
                <w:rFonts w:ascii="Times New Roman"/>
                <w:spacing w:val="-6"/>
              </w:rPr>
              <w:t>Evaluation</w:t>
            </w:r>
            <w:r>
              <w:rPr>
                <w:rFonts w:ascii="Times New Roman"/>
                <w:spacing w:val="9"/>
              </w:rPr>
              <w:t xml:space="preserve"> </w:t>
            </w:r>
            <w:r>
              <w:rPr>
                <w:rFonts w:ascii="Times New Roman"/>
                <w:spacing w:val="-6"/>
              </w:rPr>
              <w:t>and</w:t>
            </w:r>
            <w:r>
              <w:rPr>
                <w:rFonts w:ascii="Times New Roman"/>
                <w:spacing w:val="9"/>
              </w:rPr>
              <w:t xml:space="preserve"> </w:t>
            </w:r>
            <w:r>
              <w:rPr>
                <w:rFonts w:ascii="Times New Roman"/>
                <w:spacing w:val="-6"/>
              </w:rPr>
              <w:t>Qualification</w:t>
            </w:r>
            <w:r>
              <w:rPr>
                <w:rFonts w:ascii="Times New Roman"/>
                <w:spacing w:val="6"/>
              </w:rPr>
              <w:t xml:space="preserve"> </w:t>
            </w:r>
            <w:r>
              <w:rPr>
                <w:rFonts w:ascii="Times New Roman"/>
                <w:spacing w:val="-6"/>
              </w:rPr>
              <w:t>Criteria</w:t>
            </w:r>
          </w:p>
        </w:tc>
      </w:tr>
      <w:tr w:rsidR="007F6DF9">
        <w:trPr>
          <w:trHeight w:val="254"/>
        </w:trPr>
        <w:tc>
          <w:tcPr>
            <w:tcW w:w="10075" w:type="dxa"/>
            <w:gridSpan w:val="4"/>
            <w:tcBorders>
              <w:bottom w:val="nil"/>
            </w:tcBorders>
          </w:tcPr>
          <w:p w:rsidR="007F6DF9" w:rsidRDefault="00A43FBC">
            <w:pPr>
              <w:pStyle w:val="TableParagraph"/>
              <w:numPr>
                <w:ilvl w:val="0"/>
                <w:numId w:val="160"/>
              </w:numPr>
              <w:tabs>
                <w:tab w:val="left" w:pos="720"/>
              </w:tabs>
              <w:spacing w:line="235" w:lineRule="exact"/>
              <w:rPr>
                <w:rFonts w:ascii="Times New Roman" w:hAnsi="Times New Roman"/>
              </w:rPr>
            </w:pPr>
            <w:r>
              <w:rPr>
                <w:rFonts w:ascii="Times New Roman" w:hAnsi="Times New Roman"/>
                <w:spacing w:val="-4"/>
              </w:rPr>
              <w:t>No</w:t>
            </w:r>
            <w:r>
              <w:rPr>
                <w:rFonts w:ascii="Times New Roman" w:hAnsi="Times New Roman"/>
                <w:spacing w:val="-11"/>
              </w:rPr>
              <w:t xml:space="preserve"> </w:t>
            </w:r>
            <w:r>
              <w:rPr>
                <w:rFonts w:ascii="Times New Roman" w:hAnsi="Times New Roman"/>
                <w:spacing w:val="-4"/>
              </w:rPr>
              <w:t>pending</w:t>
            </w:r>
            <w:r>
              <w:rPr>
                <w:rFonts w:ascii="Times New Roman" w:hAnsi="Times New Roman"/>
                <w:spacing w:val="-10"/>
              </w:rPr>
              <w:t xml:space="preserve"> </w:t>
            </w:r>
            <w:r>
              <w:rPr>
                <w:rFonts w:ascii="Times New Roman" w:hAnsi="Times New Roman"/>
                <w:spacing w:val="-4"/>
              </w:rPr>
              <w:t>litigation</w:t>
            </w:r>
            <w:r>
              <w:rPr>
                <w:rFonts w:ascii="Times New Roman" w:hAnsi="Times New Roman"/>
                <w:spacing w:val="-13"/>
              </w:rPr>
              <w:t xml:space="preserve"> </w:t>
            </w:r>
            <w:r>
              <w:rPr>
                <w:rFonts w:ascii="Times New Roman" w:hAnsi="Times New Roman"/>
                <w:spacing w:val="-4"/>
              </w:rPr>
              <w:t>in</w:t>
            </w:r>
            <w:r>
              <w:rPr>
                <w:rFonts w:ascii="Times New Roman" w:hAnsi="Times New Roman"/>
                <w:spacing w:val="-13"/>
              </w:rPr>
              <w:t xml:space="preserve"> </w:t>
            </w:r>
            <w:r>
              <w:rPr>
                <w:rFonts w:ascii="Times New Roman" w:hAnsi="Times New Roman"/>
                <w:spacing w:val="-4"/>
              </w:rPr>
              <w:t>accordance</w:t>
            </w:r>
            <w:r>
              <w:rPr>
                <w:rFonts w:ascii="Times New Roman" w:hAnsi="Times New Roman"/>
                <w:spacing w:val="-10"/>
              </w:rPr>
              <w:t xml:space="preserve"> </w:t>
            </w:r>
            <w:r>
              <w:rPr>
                <w:rFonts w:ascii="Times New Roman" w:hAnsi="Times New Roman"/>
                <w:spacing w:val="-4"/>
              </w:rPr>
              <w:t>with</w:t>
            </w:r>
            <w:r>
              <w:rPr>
                <w:rFonts w:ascii="Times New Roman" w:hAnsi="Times New Roman"/>
                <w:spacing w:val="-10"/>
              </w:rPr>
              <w:t xml:space="preserve"> </w:t>
            </w:r>
            <w:r>
              <w:rPr>
                <w:rFonts w:ascii="Times New Roman" w:hAnsi="Times New Roman"/>
                <w:spacing w:val="-4"/>
              </w:rPr>
              <w:t>Section</w:t>
            </w:r>
            <w:r>
              <w:rPr>
                <w:rFonts w:ascii="Times New Roman" w:hAnsi="Times New Roman"/>
                <w:spacing w:val="-9"/>
              </w:rPr>
              <w:t xml:space="preserve"> </w:t>
            </w:r>
            <w:r>
              <w:rPr>
                <w:rFonts w:ascii="Times New Roman" w:hAnsi="Times New Roman"/>
                <w:spacing w:val="-4"/>
              </w:rPr>
              <w:t>III,</w:t>
            </w:r>
            <w:r>
              <w:rPr>
                <w:rFonts w:ascii="Times New Roman" w:hAnsi="Times New Roman"/>
                <w:spacing w:val="-8"/>
              </w:rPr>
              <w:t xml:space="preserve"> </w:t>
            </w:r>
            <w:r>
              <w:rPr>
                <w:rFonts w:ascii="Times New Roman" w:hAnsi="Times New Roman"/>
                <w:spacing w:val="-4"/>
              </w:rPr>
              <w:t>Evaluation</w:t>
            </w:r>
            <w:r>
              <w:rPr>
                <w:rFonts w:ascii="Times New Roman" w:hAnsi="Times New Roman"/>
                <w:spacing w:val="2"/>
              </w:rPr>
              <w:t xml:space="preserve"> </w:t>
            </w:r>
            <w:r>
              <w:rPr>
                <w:rFonts w:ascii="Times New Roman" w:hAnsi="Times New Roman"/>
                <w:spacing w:val="-4"/>
              </w:rPr>
              <w:t>and</w:t>
            </w:r>
            <w:r>
              <w:rPr>
                <w:rFonts w:ascii="Times New Roman" w:hAnsi="Times New Roman"/>
                <w:spacing w:val="3"/>
              </w:rPr>
              <w:t xml:space="preserve"> </w:t>
            </w:r>
            <w:r>
              <w:rPr>
                <w:rFonts w:ascii="Times New Roman" w:hAnsi="Times New Roman"/>
                <w:spacing w:val="-4"/>
              </w:rPr>
              <w:t>Qualification</w:t>
            </w:r>
            <w:r>
              <w:rPr>
                <w:rFonts w:ascii="Times New Roman" w:hAnsi="Times New Roman"/>
                <w:spacing w:val="2"/>
              </w:rPr>
              <w:t xml:space="preserve"> </w:t>
            </w:r>
            <w:r>
              <w:rPr>
                <w:rFonts w:ascii="Times New Roman" w:hAnsi="Times New Roman"/>
                <w:spacing w:val="-4"/>
              </w:rPr>
              <w:t>Criteria,</w:t>
            </w:r>
            <w:r>
              <w:rPr>
                <w:rFonts w:ascii="Times New Roman" w:hAnsi="Times New Roman"/>
                <w:spacing w:val="-8"/>
              </w:rPr>
              <w:t xml:space="preserve"> </w:t>
            </w:r>
            <w:r>
              <w:rPr>
                <w:rFonts w:ascii="Times New Roman" w:hAnsi="Times New Roman"/>
                <w:spacing w:val="-4"/>
              </w:rPr>
              <w:t>Sub-Factor</w:t>
            </w:r>
            <w:r>
              <w:rPr>
                <w:rFonts w:ascii="Times New Roman" w:hAnsi="Times New Roman"/>
                <w:spacing w:val="-6"/>
              </w:rPr>
              <w:t xml:space="preserve"> </w:t>
            </w:r>
            <w:r>
              <w:rPr>
                <w:rFonts w:ascii="Times New Roman" w:hAnsi="Times New Roman"/>
                <w:spacing w:val="-4"/>
              </w:rPr>
              <w:t>2.3.</w:t>
            </w:r>
          </w:p>
        </w:tc>
      </w:tr>
      <w:tr w:rsidR="007F6DF9">
        <w:trPr>
          <w:trHeight w:val="503"/>
        </w:trPr>
        <w:tc>
          <w:tcPr>
            <w:tcW w:w="10075" w:type="dxa"/>
            <w:gridSpan w:val="4"/>
            <w:tcBorders>
              <w:top w:val="nil"/>
            </w:tcBorders>
          </w:tcPr>
          <w:p w:rsidR="007F6DF9" w:rsidRDefault="00A43FBC">
            <w:pPr>
              <w:pStyle w:val="TableParagraph"/>
              <w:numPr>
                <w:ilvl w:val="0"/>
                <w:numId w:val="159"/>
              </w:numPr>
              <w:tabs>
                <w:tab w:val="left" w:pos="720"/>
              </w:tabs>
              <w:spacing w:line="249" w:lineRule="exact"/>
              <w:rPr>
                <w:rFonts w:ascii="Times New Roman" w:hAnsi="Times New Roman"/>
              </w:rPr>
            </w:pPr>
            <w:r>
              <w:rPr>
                <w:rFonts w:ascii="Times New Roman" w:hAnsi="Times New Roman"/>
                <w:spacing w:val="-6"/>
              </w:rPr>
              <w:t>Pending</w:t>
            </w:r>
            <w:r>
              <w:rPr>
                <w:rFonts w:ascii="Times New Roman" w:hAnsi="Times New Roman"/>
                <w:spacing w:val="-18"/>
              </w:rPr>
              <w:t xml:space="preserve"> </w:t>
            </w:r>
            <w:r>
              <w:rPr>
                <w:rFonts w:ascii="Times New Roman" w:hAnsi="Times New Roman"/>
                <w:spacing w:val="-6"/>
              </w:rPr>
              <w:t>litigation</w:t>
            </w:r>
            <w:r>
              <w:rPr>
                <w:rFonts w:ascii="Times New Roman" w:hAnsi="Times New Roman"/>
                <w:spacing w:val="-15"/>
              </w:rPr>
              <w:t xml:space="preserve"> </w:t>
            </w:r>
            <w:r>
              <w:rPr>
                <w:rFonts w:ascii="Times New Roman" w:hAnsi="Times New Roman"/>
                <w:spacing w:val="-6"/>
              </w:rPr>
              <w:t>in</w:t>
            </w:r>
            <w:r>
              <w:rPr>
                <w:rFonts w:ascii="Times New Roman" w:hAnsi="Times New Roman"/>
                <w:spacing w:val="-15"/>
              </w:rPr>
              <w:t xml:space="preserve"> </w:t>
            </w:r>
            <w:r>
              <w:rPr>
                <w:rFonts w:ascii="Times New Roman" w:hAnsi="Times New Roman"/>
                <w:spacing w:val="-6"/>
              </w:rPr>
              <w:t>accordance</w:t>
            </w:r>
            <w:r>
              <w:rPr>
                <w:rFonts w:ascii="Times New Roman" w:hAnsi="Times New Roman"/>
                <w:spacing w:val="-16"/>
              </w:rPr>
              <w:t xml:space="preserve"> </w:t>
            </w:r>
            <w:r>
              <w:rPr>
                <w:rFonts w:ascii="Times New Roman" w:hAnsi="Times New Roman"/>
                <w:spacing w:val="-6"/>
              </w:rPr>
              <w:t>with</w:t>
            </w:r>
            <w:r>
              <w:rPr>
                <w:rFonts w:ascii="Times New Roman" w:hAnsi="Times New Roman"/>
                <w:spacing w:val="-15"/>
              </w:rPr>
              <w:t xml:space="preserve"> </w:t>
            </w:r>
            <w:r>
              <w:rPr>
                <w:rFonts w:ascii="Times New Roman" w:hAnsi="Times New Roman"/>
                <w:spacing w:val="-6"/>
              </w:rPr>
              <w:t>Section</w:t>
            </w:r>
            <w:r>
              <w:rPr>
                <w:rFonts w:ascii="Times New Roman" w:hAnsi="Times New Roman"/>
                <w:spacing w:val="-13"/>
              </w:rPr>
              <w:t xml:space="preserve"> </w:t>
            </w:r>
            <w:r>
              <w:rPr>
                <w:rFonts w:ascii="Times New Roman" w:hAnsi="Times New Roman"/>
                <w:spacing w:val="-6"/>
              </w:rPr>
              <w:t>III,</w:t>
            </w:r>
            <w:r>
              <w:rPr>
                <w:rFonts w:ascii="Times New Roman" w:hAnsi="Times New Roman"/>
                <w:spacing w:val="-12"/>
              </w:rPr>
              <w:t xml:space="preserve"> </w:t>
            </w:r>
            <w:r>
              <w:rPr>
                <w:rFonts w:ascii="Times New Roman" w:hAnsi="Times New Roman"/>
                <w:spacing w:val="-6"/>
              </w:rPr>
              <w:t>Evaluation</w:t>
            </w:r>
            <w:r>
              <w:rPr>
                <w:rFonts w:ascii="Times New Roman" w:hAnsi="Times New Roman"/>
                <w:spacing w:val="-8"/>
              </w:rPr>
              <w:t xml:space="preserve"> </w:t>
            </w:r>
            <w:r>
              <w:rPr>
                <w:rFonts w:ascii="Times New Roman" w:hAnsi="Times New Roman"/>
                <w:spacing w:val="-6"/>
              </w:rPr>
              <w:t>and Qualification</w:t>
            </w:r>
            <w:r>
              <w:rPr>
                <w:rFonts w:ascii="Times New Roman" w:hAnsi="Times New Roman"/>
                <w:spacing w:val="-8"/>
              </w:rPr>
              <w:t xml:space="preserve"> </w:t>
            </w:r>
            <w:r>
              <w:rPr>
                <w:rFonts w:ascii="Times New Roman" w:hAnsi="Times New Roman"/>
                <w:spacing w:val="-6"/>
              </w:rPr>
              <w:t>Criteria,</w:t>
            </w:r>
            <w:r>
              <w:rPr>
                <w:rFonts w:ascii="Times New Roman" w:hAnsi="Times New Roman"/>
                <w:spacing w:val="-8"/>
              </w:rPr>
              <w:t xml:space="preserve"> </w:t>
            </w:r>
            <w:r>
              <w:rPr>
                <w:rFonts w:ascii="Times New Roman" w:hAnsi="Times New Roman"/>
                <w:spacing w:val="-6"/>
              </w:rPr>
              <w:t>Sub-Factor</w:t>
            </w:r>
            <w:r>
              <w:rPr>
                <w:rFonts w:ascii="Times New Roman" w:hAnsi="Times New Roman"/>
                <w:spacing w:val="-7"/>
              </w:rPr>
              <w:t xml:space="preserve"> </w:t>
            </w:r>
            <w:r>
              <w:rPr>
                <w:rFonts w:ascii="Times New Roman" w:hAnsi="Times New Roman"/>
                <w:spacing w:val="-6"/>
              </w:rPr>
              <w:t>2.3</w:t>
            </w:r>
            <w:r>
              <w:rPr>
                <w:rFonts w:ascii="Times New Roman" w:hAnsi="Times New Roman"/>
                <w:spacing w:val="-7"/>
              </w:rPr>
              <w:t xml:space="preserve"> </w:t>
            </w:r>
            <w:r>
              <w:rPr>
                <w:rFonts w:ascii="Times New Roman" w:hAnsi="Times New Roman"/>
                <w:spacing w:val="-6"/>
              </w:rPr>
              <w:t>as</w:t>
            </w:r>
          </w:p>
          <w:p w:rsidR="007F6DF9" w:rsidRDefault="00A43FBC">
            <w:pPr>
              <w:pStyle w:val="TableParagraph"/>
              <w:spacing w:before="1" w:line="233" w:lineRule="exact"/>
              <w:ind w:left="-1"/>
              <w:rPr>
                <w:rFonts w:ascii="Times New Roman"/>
              </w:rPr>
            </w:pPr>
            <w:r>
              <w:rPr>
                <w:rFonts w:ascii="Times New Roman"/>
                <w:spacing w:val="-5"/>
              </w:rPr>
              <w:t>indicated</w:t>
            </w:r>
            <w:r>
              <w:rPr>
                <w:rFonts w:ascii="Times New Roman"/>
                <w:spacing w:val="-2"/>
              </w:rPr>
              <w:t xml:space="preserve"> below.</w:t>
            </w:r>
          </w:p>
        </w:tc>
      </w:tr>
    </w:tbl>
    <w:p w:rsidR="007F6DF9" w:rsidRDefault="007F6DF9">
      <w:pPr>
        <w:pStyle w:val="BodyText"/>
        <w:rPr>
          <w:sz w:val="20"/>
        </w:rPr>
      </w:pPr>
    </w:p>
    <w:p w:rsidR="007F6DF9" w:rsidRDefault="007F6DF9">
      <w:pPr>
        <w:pStyle w:val="BodyText"/>
        <w:spacing w:before="50"/>
        <w:rPr>
          <w:sz w:val="20"/>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2050"/>
        <w:gridCol w:w="3982"/>
        <w:gridCol w:w="2413"/>
      </w:tblGrid>
      <w:tr w:rsidR="007F6DF9">
        <w:trPr>
          <w:trHeight w:val="918"/>
        </w:trPr>
        <w:tc>
          <w:tcPr>
            <w:tcW w:w="1524" w:type="dxa"/>
          </w:tcPr>
          <w:p w:rsidR="007F6DF9" w:rsidRDefault="00A43FBC">
            <w:pPr>
              <w:pStyle w:val="TableParagraph"/>
              <w:ind w:left="107" w:right="761"/>
              <w:rPr>
                <w:rFonts w:ascii="Times New Roman"/>
                <w:b/>
                <w:sz w:val="20"/>
              </w:rPr>
            </w:pPr>
            <w:r>
              <w:rPr>
                <w:rFonts w:ascii="Times New Roman"/>
                <w:b/>
                <w:sz w:val="20"/>
              </w:rPr>
              <w:t>Year</w:t>
            </w:r>
            <w:r>
              <w:rPr>
                <w:rFonts w:ascii="Times New Roman"/>
                <w:b/>
                <w:spacing w:val="-13"/>
                <w:sz w:val="20"/>
              </w:rPr>
              <w:t xml:space="preserve"> </w:t>
            </w:r>
            <w:r>
              <w:rPr>
                <w:rFonts w:ascii="Times New Roman"/>
                <w:b/>
                <w:sz w:val="20"/>
              </w:rPr>
              <w:t xml:space="preserve">of </w:t>
            </w:r>
            <w:r>
              <w:rPr>
                <w:rFonts w:ascii="Times New Roman"/>
                <w:b/>
                <w:spacing w:val="-2"/>
                <w:sz w:val="20"/>
              </w:rPr>
              <w:t>dispute</w:t>
            </w:r>
          </w:p>
        </w:tc>
        <w:tc>
          <w:tcPr>
            <w:tcW w:w="2050" w:type="dxa"/>
          </w:tcPr>
          <w:p w:rsidR="007F6DF9" w:rsidRDefault="00A43FBC">
            <w:pPr>
              <w:pStyle w:val="TableParagraph"/>
              <w:ind w:left="105" w:right="344"/>
              <w:rPr>
                <w:rFonts w:ascii="Times New Roman"/>
                <w:b/>
                <w:sz w:val="20"/>
              </w:rPr>
            </w:pPr>
            <w:r>
              <w:rPr>
                <w:rFonts w:ascii="Times New Roman"/>
                <w:b/>
                <w:sz w:val="20"/>
              </w:rPr>
              <w:t>Amount</w:t>
            </w:r>
            <w:r>
              <w:rPr>
                <w:rFonts w:ascii="Times New Roman"/>
                <w:b/>
                <w:spacing w:val="-13"/>
                <w:sz w:val="20"/>
              </w:rPr>
              <w:t xml:space="preserve"> </w:t>
            </w:r>
            <w:r>
              <w:rPr>
                <w:rFonts w:ascii="Times New Roman"/>
                <w:b/>
                <w:sz w:val="20"/>
              </w:rPr>
              <w:t>in</w:t>
            </w:r>
            <w:r>
              <w:rPr>
                <w:rFonts w:ascii="Times New Roman"/>
                <w:b/>
                <w:spacing w:val="-12"/>
                <w:sz w:val="20"/>
              </w:rPr>
              <w:t xml:space="preserve"> </w:t>
            </w:r>
            <w:r>
              <w:rPr>
                <w:rFonts w:ascii="Times New Roman"/>
                <w:b/>
                <w:sz w:val="20"/>
              </w:rPr>
              <w:t xml:space="preserve">dispute </w:t>
            </w:r>
            <w:r>
              <w:rPr>
                <w:rFonts w:ascii="Times New Roman"/>
                <w:b/>
                <w:spacing w:val="-2"/>
                <w:sz w:val="20"/>
              </w:rPr>
              <w:t>(currency)</w:t>
            </w:r>
          </w:p>
        </w:tc>
        <w:tc>
          <w:tcPr>
            <w:tcW w:w="3982" w:type="dxa"/>
          </w:tcPr>
          <w:p w:rsidR="007F6DF9" w:rsidRDefault="00A43FBC">
            <w:pPr>
              <w:pStyle w:val="TableParagraph"/>
              <w:ind w:left="108"/>
              <w:rPr>
                <w:rFonts w:ascii="Times New Roman"/>
                <w:b/>
                <w:sz w:val="20"/>
              </w:rPr>
            </w:pPr>
            <w:r>
              <w:rPr>
                <w:rFonts w:ascii="Times New Roman"/>
                <w:b/>
                <w:sz w:val="20"/>
              </w:rPr>
              <w:t>Contract</w:t>
            </w:r>
            <w:r>
              <w:rPr>
                <w:rFonts w:ascii="Times New Roman"/>
                <w:b/>
                <w:spacing w:val="-5"/>
                <w:sz w:val="20"/>
              </w:rPr>
              <w:t xml:space="preserve"> </w:t>
            </w:r>
            <w:r>
              <w:rPr>
                <w:rFonts w:ascii="Times New Roman"/>
                <w:b/>
                <w:spacing w:val="-2"/>
                <w:sz w:val="20"/>
              </w:rPr>
              <w:t>Identification</w:t>
            </w:r>
          </w:p>
        </w:tc>
        <w:tc>
          <w:tcPr>
            <w:tcW w:w="2413" w:type="dxa"/>
          </w:tcPr>
          <w:p w:rsidR="007F6DF9" w:rsidRDefault="00A43FBC">
            <w:pPr>
              <w:pStyle w:val="TableParagraph"/>
              <w:ind w:left="108" w:right="103"/>
              <w:rPr>
                <w:rFonts w:ascii="Times New Roman"/>
                <w:b/>
                <w:sz w:val="20"/>
              </w:rPr>
            </w:pPr>
            <w:r>
              <w:rPr>
                <w:rFonts w:ascii="Times New Roman"/>
                <w:b/>
                <w:sz w:val="20"/>
              </w:rPr>
              <w:t>Total</w:t>
            </w:r>
            <w:r>
              <w:rPr>
                <w:rFonts w:ascii="Times New Roman"/>
                <w:b/>
                <w:spacing w:val="-13"/>
                <w:sz w:val="20"/>
              </w:rPr>
              <w:t xml:space="preserve"> </w:t>
            </w:r>
            <w:r>
              <w:rPr>
                <w:rFonts w:ascii="Times New Roman"/>
                <w:b/>
                <w:sz w:val="20"/>
              </w:rPr>
              <w:t>Contract</w:t>
            </w:r>
            <w:r>
              <w:rPr>
                <w:rFonts w:ascii="Times New Roman"/>
                <w:b/>
                <w:spacing w:val="-12"/>
                <w:sz w:val="20"/>
              </w:rPr>
              <w:t xml:space="preserve"> </w:t>
            </w:r>
            <w:r>
              <w:rPr>
                <w:rFonts w:ascii="Times New Roman"/>
                <w:b/>
                <w:sz w:val="20"/>
              </w:rPr>
              <w:t>Amount (currency), Kenya Shilling Equivalent</w:t>
            </w:r>
          </w:p>
          <w:p w:rsidR="007F6DF9" w:rsidRDefault="00A43FBC">
            <w:pPr>
              <w:pStyle w:val="TableParagraph"/>
              <w:spacing w:line="209" w:lineRule="exact"/>
              <w:ind w:left="108"/>
              <w:rPr>
                <w:rFonts w:ascii="Times New Roman"/>
                <w:b/>
                <w:sz w:val="20"/>
              </w:rPr>
            </w:pPr>
            <w:r>
              <w:rPr>
                <w:rFonts w:ascii="Times New Roman"/>
                <w:b/>
                <w:sz w:val="20"/>
              </w:rPr>
              <w:t>(exchange</w:t>
            </w:r>
            <w:r>
              <w:rPr>
                <w:rFonts w:ascii="Times New Roman"/>
                <w:b/>
                <w:spacing w:val="-7"/>
                <w:sz w:val="20"/>
              </w:rPr>
              <w:t xml:space="preserve"> </w:t>
            </w:r>
            <w:r>
              <w:rPr>
                <w:rFonts w:ascii="Times New Roman"/>
                <w:b/>
                <w:spacing w:val="-2"/>
                <w:sz w:val="20"/>
              </w:rPr>
              <w:t>rate)</w:t>
            </w:r>
          </w:p>
        </w:tc>
      </w:tr>
      <w:tr w:rsidR="007F6DF9">
        <w:trPr>
          <w:trHeight w:val="1514"/>
        </w:trPr>
        <w:tc>
          <w:tcPr>
            <w:tcW w:w="1524" w:type="dxa"/>
          </w:tcPr>
          <w:p w:rsidR="007F6DF9" w:rsidRDefault="007F6DF9">
            <w:pPr>
              <w:pStyle w:val="TableParagraph"/>
              <w:rPr>
                <w:rFonts w:ascii="Times New Roman"/>
              </w:rPr>
            </w:pPr>
          </w:p>
        </w:tc>
        <w:tc>
          <w:tcPr>
            <w:tcW w:w="2050" w:type="dxa"/>
          </w:tcPr>
          <w:p w:rsidR="007F6DF9" w:rsidRDefault="007F6DF9">
            <w:pPr>
              <w:pStyle w:val="TableParagraph"/>
              <w:rPr>
                <w:rFonts w:ascii="Times New Roman"/>
              </w:rPr>
            </w:pPr>
          </w:p>
        </w:tc>
        <w:tc>
          <w:tcPr>
            <w:tcW w:w="3982" w:type="dxa"/>
            <w:tcBorders>
              <w:bottom w:val="single" w:sz="8" w:space="0" w:color="000000"/>
            </w:tcBorders>
          </w:tcPr>
          <w:p w:rsidR="007F6DF9" w:rsidRDefault="00A43FBC">
            <w:pPr>
              <w:pStyle w:val="TableParagraph"/>
              <w:tabs>
                <w:tab w:val="left" w:pos="3262"/>
              </w:tabs>
              <w:spacing w:line="251" w:lineRule="exact"/>
              <w:ind w:left="108"/>
              <w:jc w:val="both"/>
              <w:rPr>
                <w:rFonts w:ascii="Times New Roman"/>
              </w:rPr>
            </w:pPr>
            <w:r>
              <w:rPr>
                <w:rFonts w:ascii="Times New Roman"/>
              </w:rPr>
              <w:t xml:space="preserve">Contract Identification: </w:t>
            </w:r>
            <w:r>
              <w:rPr>
                <w:rFonts w:ascii="Times New Roman"/>
                <w:u w:val="single"/>
              </w:rPr>
              <w:tab/>
            </w:r>
          </w:p>
          <w:p w:rsidR="007F6DF9" w:rsidRDefault="00A43FBC">
            <w:pPr>
              <w:pStyle w:val="TableParagraph"/>
              <w:tabs>
                <w:tab w:val="left" w:pos="3321"/>
                <w:tab w:val="left" w:pos="3850"/>
              </w:tabs>
              <w:spacing w:before="1"/>
              <w:ind w:left="108" w:right="95"/>
              <w:jc w:val="both"/>
              <w:rPr>
                <w:rFonts w:ascii="Times New Roman"/>
              </w:rPr>
            </w:pPr>
            <w:r>
              <w:rPr>
                <w:rFonts w:ascii="Times New Roman"/>
              </w:rPr>
              <w:t xml:space="preserve">Name of Procuring Entity: </w:t>
            </w:r>
            <w:r>
              <w:rPr>
                <w:rFonts w:ascii="Times New Roman"/>
                <w:u w:val="single"/>
              </w:rPr>
              <w:tab/>
            </w:r>
            <w:r>
              <w:rPr>
                <w:rFonts w:ascii="Times New Roman"/>
                <w:u w:val="single"/>
              </w:rPr>
              <w:tab/>
            </w:r>
            <w:r>
              <w:rPr>
                <w:rFonts w:ascii="Times New Roman"/>
              </w:rPr>
              <w:t xml:space="preserve"> Address of Procuring Entity: </w:t>
            </w:r>
            <w:r>
              <w:rPr>
                <w:rFonts w:ascii="Times New Roman"/>
                <w:u w:val="single"/>
              </w:rPr>
              <w:tab/>
            </w:r>
            <w:r>
              <w:rPr>
                <w:rFonts w:ascii="Times New Roman"/>
                <w:u w:val="single"/>
              </w:rPr>
              <w:tab/>
            </w:r>
            <w:r>
              <w:rPr>
                <w:rFonts w:ascii="Times New Roman"/>
              </w:rPr>
              <w:t xml:space="preserve"> Matter in dispute: </w:t>
            </w:r>
            <w:r>
              <w:rPr>
                <w:rFonts w:ascii="Times New Roman"/>
                <w:u w:val="single"/>
              </w:rPr>
              <w:tab/>
            </w:r>
          </w:p>
          <w:p w:rsidR="007F6DF9" w:rsidRDefault="00A43FBC">
            <w:pPr>
              <w:pStyle w:val="TableParagraph"/>
              <w:spacing w:line="254" w:lineRule="exact"/>
              <w:ind w:left="108" w:right="565"/>
              <w:jc w:val="both"/>
              <w:rPr>
                <w:rFonts w:ascii="Times New Roman"/>
              </w:rPr>
            </w:pPr>
            <w:r>
              <w:rPr>
                <w:rFonts w:ascii="Times New Roman"/>
              </w:rPr>
              <w:t>Party</w:t>
            </w:r>
            <w:r>
              <w:rPr>
                <w:rFonts w:ascii="Times New Roman"/>
                <w:spacing w:val="-6"/>
              </w:rPr>
              <w:t xml:space="preserve"> </w:t>
            </w:r>
            <w:r>
              <w:rPr>
                <w:rFonts w:ascii="Times New Roman"/>
              </w:rPr>
              <w:t>who</w:t>
            </w:r>
            <w:r>
              <w:rPr>
                <w:rFonts w:ascii="Times New Roman"/>
                <w:spacing w:val="-3"/>
              </w:rPr>
              <w:t xml:space="preserve"> </w:t>
            </w:r>
            <w:r>
              <w:rPr>
                <w:rFonts w:ascii="Times New Roman"/>
              </w:rPr>
              <w:t>initiated</w:t>
            </w:r>
            <w:r>
              <w:rPr>
                <w:rFonts w:ascii="Times New Roman"/>
                <w:spacing w:val="-5"/>
              </w:rPr>
              <w:t xml:space="preserve"> </w:t>
            </w:r>
            <w:r>
              <w:rPr>
                <w:rFonts w:ascii="Times New Roman"/>
              </w:rPr>
              <w:t>the</w:t>
            </w:r>
            <w:r>
              <w:rPr>
                <w:rFonts w:ascii="Times New Roman"/>
                <w:spacing w:val="-5"/>
              </w:rPr>
              <w:t xml:space="preserve"> </w:t>
            </w:r>
            <w:r>
              <w:rPr>
                <w:rFonts w:ascii="Times New Roman"/>
              </w:rPr>
              <w:t>dispute:</w:t>
            </w:r>
            <w:r>
              <w:rPr>
                <w:rFonts w:ascii="Times New Roman"/>
                <w:spacing w:val="-2"/>
              </w:rPr>
              <w:t xml:space="preserve"> </w:t>
            </w:r>
            <w:r>
              <w:rPr>
                <w:rFonts w:ascii="Times New Roman"/>
                <w:spacing w:val="80"/>
                <w:w w:val="150"/>
                <w:u w:val="single"/>
              </w:rPr>
              <w:t xml:space="preserve"> </w:t>
            </w:r>
            <w:r>
              <w:rPr>
                <w:rFonts w:ascii="Times New Roman"/>
                <w:spacing w:val="80"/>
                <w:w w:val="150"/>
              </w:rPr>
              <w:t xml:space="preserve"> </w:t>
            </w:r>
            <w:r>
              <w:rPr>
                <w:rFonts w:ascii="Times New Roman"/>
              </w:rPr>
              <w:t>Status of dispute:</w:t>
            </w:r>
          </w:p>
        </w:tc>
        <w:tc>
          <w:tcPr>
            <w:tcW w:w="2413" w:type="dxa"/>
          </w:tcPr>
          <w:p w:rsidR="007F6DF9" w:rsidRDefault="007F6DF9">
            <w:pPr>
              <w:pStyle w:val="TableParagraph"/>
              <w:rPr>
                <w:rFonts w:ascii="Times New Roman"/>
              </w:rPr>
            </w:pPr>
          </w:p>
        </w:tc>
      </w:tr>
      <w:tr w:rsidR="007F6DF9">
        <w:trPr>
          <w:trHeight w:val="1508"/>
        </w:trPr>
        <w:tc>
          <w:tcPr>
            <w:tcW w:w="1524" w:type="dxa"/>
          </w:tcPr>
          <w:p w:rsidR="007F6DF9" w:rsidRDefault="007F6DF9">
            <w:pPr>
              <w:pStyle w:val="TableParagraph"/>
              <w:rPr>
                <w:rFonts w:ascii="Times New Roman"/>
              </w:rPr>
            </w:pPr>
          </w:p>
        </w:tc>
        <w:tc>
          <w:tcPr>
            <w:tcW w:w="2050" w:type="dxa"/>
          </w:tcPr>
          <w:p w:rsidR="007F6DF9" w:rsidRDefault="007F6DF9">
            <w:pPr>
              <w:pStyle w:val="TableParagraph"/>
              <w:rPr>
                <w:rFonts w:ascii="Times New Roman"/>
              </w:rPr>
            </w:pPr>
          </w:p>
        </w:tc>
        <w:tc>
          <w:tcPr>
            <w:tcW w:w="3982" w:type="dxa"/>
            <w:tcBorders>
              <w:top w:val="single" w:sz="8" w:space="0" w:color="000000"/>
            </w:tcBorders>
          </w:tcPr>
          <w:p w:rsidR="007F6DF9" w:rsidRDefault="00A43FBC">
            <w:pPr>
              <w:pStyle w:val="TableParagraph"/>
              <w:ind w:left="108" w:right="1299"/>
              <w:rPr>
                <w:rFonts w:ascii="Times New Roman"/>
              </w:rPr>
            </w:pPr>
            <w:r>
              <w:rPr>
                <w:rFonts w:ascii="Times New Roman"/>
              </w:rPr>
              <w:t>Contract Identification: Name of Procuring Entity: Address</w:t>
            </w:r>
            <w:r>
              <w:rPr>
                <w:rFonts w:ascii="Times New Roman"/>
                <w:spacing w:val="-13"/>
              </w:rPr>
              <w:t xml:space="preserve"> </w:t>
            </w:r>
            <w:r>
              <w:rPr>
                <w:rFonts w:ascii="Times New Roman"/>
              </w:rPr>
              <w:t>of</w:t>
            </w:r>
            <w:r>
              <w:rPr>
                <w:rFonts w:ascii="Times New Roman"/>
                <w:spacing w:val="-13"/>
              </w:rPr>
              <w:t xml:space="preserve"> </w:t>
            </w:r>
            <w:r>
              <w:rPr>
                <w:rFonts w:ascii="Times New Roman"/>
              </w:rPr>
              <w:t>Procuring</w:t>
            </w:r>
            <w:r>
              <w:rPr>
                <w:rFonts w:ascii="Times New Roman"/>
                <w:spacing w:val="-13"/>
              </w:rPr>
              <w:t xml:space="preserve"> </w:t>
            </w:r>
            <w:r>
              <w:rPr>
                <w:rFonts w:ascii="Times New Roman"/>
              </w:rPr>
              <w:t>Entity: Matter in dispute:</w:t>
            </w:r>
          </w:p>
          <w:p w:rsidR="007F6DF9" w:rsidRDefault="00A43FBC">
            <w:pPr>
              <w:pStyle w:val="TableParagraph"/>
              <w:spacing w:line="252" w:lineRule="exact"/>
              <w:ind w:left="108" w:right="636"/>
              <w:rPr>
                <w:rFonts w:ascii="Times New Roman"/>
              </w:rPr>
            </w:pPr>
            <w:r>
              <w:rPr>
                <w:rFonts w:ascii="Times New Roman"/>
              </w:rPr>
              <w:t>Party</w:t>
            </w:r>
            <w:r>
              <w:rPr>
                <w:rFonts w:ascii="Times New Roman"/>
                <w:spacing w:val="-11"/>
              </w:rPr>
              <w:t xml:space="preserve"> </w:t>
            </w:r>
            <w:r>
              <w:rPr>
                <w:rFonts w:ascii="Times New Roman"/>
              </w:rPr>
              <w:t>who</w:t>
            </w:r>
            <w:r>
              <w:rPr>
                <w:rFonts w:ascii="Times New Roman"/>
                <w:spacing w:val="-9"/>
              </w:rPr>
              <w:t xml:space="preserve"> </w:t>
            </w:r>
            <w:r>
              <w:rPr>
                <w:rFonts w:ascii="Times New Roman"/>
              </w:rPr>
              <w:t>initiated</w:t>
            </w:r>
            <w:r>
              <w:rPr>
                <w:rFonts w:ascii="Times New Roman"/>
                <w:spacing w:val="-10"/>
              </w:rPr>
              <w:t xml:space="preserve"> </w:t>
            </w:r>
            <w:r>
              <w:rPr>
                <w:rFonts w:ascii="Times New Roman"/>
              </w:rPr>
              <w:t>the</w:t>
            </w:r>
            <w:r>
              <w:rPr>
                <w:rFonts w:ascii="Times New Roman"/>
                <w:spacing w:val="-10"/>
              </w:rPr>
              <w:t xml:space="preserve"> </w:t>
            </w:r>
            <w:r>
              <w:rPr>
                <w:rFonts w:ascii="Times New Roman"/>
              </w:rPr>
              <w:t>dispute: Status of dispute:</w:t>
            </w:r>
          </w:p>
        </w:tc>
        <w:tc>
          <w:tcPr>
            <w:tcW w:w="2413" w:type="dxa"/>
          </w:tcPr>
          <w:p w:rsidR="007F6DF9" w:rsidRDefault="007F6DF9">
            <w:pPr>
              <w:pStyle w:val="TableParagraph"/>
              <w:rPr>
                <w:rFonts w:ascii="Times New Roman"/>
              </w:rPr>
            </w:pPr>
          </w:p>
        </w:tc>
      </w:tr>
      <w:tr w:rsidR="007F6DF9">
        <w:trPr>
          <w:trHeight w:val="244"/>
        </w:trPr>
        <w:tc>
          <w:tcPr>
            <w:tcW w:w="9969" w:type="dxa"/>
            <w:gridSpan w:val="4"/>
          </w:tcPr>
          <w:p w:rsidR="007F6DF9" w:rsidRDefault="00A43FBC">
            <w:pPr>
              <w:pStyle w:val="TableParagraph"/>
              <w:spacing w:line="225" w:lineRule="exact"/>
              <w:ind w:left="107"/>
              <w:rPr>
                <w:rFonts w:ascii="Times New Roman"/>
              </w:rPr>
            </w:pPr>
            <w:r>
              <w:rPr>
                <w:rFonts w:ascii="Times New Roman"/>
                <w:spacing w:val="-2"/>
              </w:rPr>
              <w:t>Litigation</w:t>
            </w:r>
            <w:r>
              <w:rPr>
                <w:rFonts w:ascii="Times New Roman"/>
                <w:spacing w:val="-4"/>
              </w:rPr>
              <w:t xml:space="preserve"> </w:t>
            </w:r>
            <w:r>
              <w:rPr>
                <w:rFonts w:ascii="Times New Roman"/>
                <w:spacing w:val="-2"/>
              </w:rPr>
              <w:t>History</w:t>
            </w:r>
            <w:r>
              <w:rPr>
                <w:rFonts w:ascii="Times New Roman"/>
                <w:spacing w:val="2"/>
              </w:rPr>
              <w:t xml:space="preserve"> </w:t>
            </w:r>
            <w:r>
              <w:rPr>
                <w:rFonts w:ascii="Times New Roman"/>
                <w:spacing w:val="-2"/>
              </w:rPr>
              <w:t>in</w:t>
            </w:r>
            <w:r>
              <w:rPr>
                <w:rFonts w:ascii="Times New Roman"/>
                <w:spacing w:val="-9"/>
              </w:rPr>
              <w:t xml:space="preserve"> </w:t>
            </w:r>
            <w:r>
              <w:rPr>
                <w:rFonts w:ascii="Times New Roman"/>
                <w:spacing w:val="-2"/>
              </w:rPr>
              <w:t>accordance</w:t>
            </w:r>
            <w:r>
              <w:rPr>
                <w:rFonts w:ascii="Times New Roman"/>
                <w:spacing w:val="-9"/>
              </w:rPr>
              <w:t xml:space="preserve"> </w:t>
            </w:r>
            <w:r>
              <w:rPr>
                <w:rFonts w:ascii="Times New Roman"/>
                <w:spacing w:val="-2"/>
              </w:rPr>
              <w:t>with</w:t>
            </w:r>
            <w:r>
              <w:rPr>
                <w:rFonts w:ascii="Times New Roman"/>
                <w:spacing w:val="-9"/>
              </w:rPr>
              <w:t xml:space="preserve"> </w:t>
            </w:r>
            <w:r>
              <w:rPr>
                <w:rFonts w:ascii="Times New Roman"/>
                <w:spacing w:val="-2"/>
              </w:rPr>
              <w:t>Section</w:t>
            </w:r>
            <w:r>
              <w:rPr>
                <w:rFonts w:ascii="Times New Roman"/>
                <w:spacing w:val="-7"/>
              </w:rPr>
              <w:t xml:space="preserve"> </w:t>
            </w:r>
            <w:r>
              <w:rPr>
                <w:rFonts w:ascii="Times New Roman"/>
                <w:spacing w:val="-2"/>
              </w:rPr>
              <w:t>III,</w:t>
            </w:r>
            <w:r>
              <w:rPr>
                <w:rFonts w:ascii="Times New Roman"/>
                <w:spacing w:val="-4"/>
              </w:rPr>
              <w:t xml:space="preserve"> </w:t>
            </w:r>
            <w:r>
              <w:rPr>
                <w:rFonts w:ascii="Times New Roman"/>
                <w:spacing w:val="-2"/>
              </w:rPr>
              <w:t>Evaluation</w:t>
            </w:r>
            <w:r>
              <w:rPr>
                <w:rFonts w:ascii="Times New Roman"/>
                <w:spacing w:val="1"/>
              </w:rPr>
              <w:t xml:space="preserve"> </w:t>
            </w:r>
            <w:r>
              <w:rPr>
                <w:rFonts w:ascii="Times New Roman"/>
                <w:spacing w:val="-2"/>
              </w:rPr>
              <w:t>and</w:t>
            </w:r>
            <w:r>
              <w:rPr>
                <w:rFonts w:ascii="Times New Roman"/>
                <w:spacing w:val="1"/>
              </w:rPr>
              <w:t xml:space="preserve"> </w:t>
            </w:r>
            <w:r>
              <w:rPr>
                <w:rFonts w:ascii="Times New Roman"/>
                <w:spacing w:val="-2"/>
              </w:rPr>
              <w:t>Qualification</w:t>
            </w:r>
            <w:r>
              <w:rPr>
                <w:rFonts w:ascii="Times New Roman"/>
                <w:spacing w:val="2"/>
              </w:rPr>
              <w:t xml:space="preserve"> </w:t>
            </w:r>
            <w:r>
              <w:rPr>
                <w:rFonts w:ascii="Times New Roman"/>
                <w:spacing w:val="-2"/>
              </w:rPr>
              <w:t>Criteria</w:t>
            </w:r>
          </w:p>
        </w:tc>
      </w:tr>
      <w:tr w:rsidR="007F6DF9">
        <w:trPr>
          <w:trHeight w:val="1012"/>
        </w:trPr>
        <w:tc>
          <w:tcPr>
            <w:tcW w:w="9969" w:type="dxa"/>
            <w:gridSpan w:val="4"/>
          </w:tcPr>
          <w:p w:rsidR="007F6DF9" w:rsidRDefault="00A43FBC">
            <w:pPr>
              <w:pStyle w:val="TableParagraph"/>
              <w:numPr>
                <w:ilvl w:val="0"/>
                <w:numId w:val="158"/>
              </w:numPr>
              <w:tabs>
                <w:tab w:val="left" w:pos="828"/>
              </w:tabs>
              <w:ind w:right="293" w:firstLine="0"/>
              <w:rPr>
                <w:rFonts w:ascii="Times New Roman" w:hAnsi="Times New Roman"/>
              </w:rPr>
            </w:pPr>
            <w:r>
              <w:rPr>
                <w:rFonts w:ascii="Times New Roman" w:hAnsi="Times New Roman"/>
                <w:spacing w:val="-2"/>
              </w:rPr>
              <w:t>No</w:t>
            </w:r>
            <w:r>
              <w:rPr>
                <w:rFonts w:ascii="Times New Roman" w:hAnsi="Times New Roman"/>
                <w:spacing w:val="-15"/>
              </w:rPr>
              <w:t xml:space="preserve"> </w:t>
            </w:r>
            <w:r>
              <w:rPr>
                <w:rFonts w:ascii="Times New Roman" w:hAnsi="Times New Roman"/>
                <w:spacing w:val="-2"/>
              </w:rPr>
              <w:t>Litigation</w:t>
            </w:r>
            <w:r>
              <w:rPr>
                <w:rFonts w:ascii="Times New Roman" w:hAnsi="Times New Roman"/>
                <w:spacing w:val="-5"/>
              </w:rPr>
              <w:t xml:space="preserve"> </w:t>
            </w:r>
            <w:r>
              <w:rPr>
                <w:rFonts w:ascii="Times New Roman" w:hAnsi="Times New Roman"/>
                <w:spacing w:val="-2"/>
              </w:rPr>
              <w:t>History in</w:t>
            </w:r>
            <w:r>
              <w:rPr>
                <w:rFonts w:ascii="Times New Roman" w:hAnsi="Times New Roman"/>
                <w:spacing w:val="-15"/>
              </w:rPr>
              <w:t xml:space="preserve"> </w:t>
            </w:r>
            <w:r>
              <w:rPr>
                <w:rFonts w:ascii="Times New Roman" w:hAnsi="Times New Roman"/>
                <w:spacing w:val="-2"/>
              </w:rPr>
              <w:t>accordance</w:t>
            </w:r>
            <w:r>
              <w:rPr>
                <w:rFonts w:ascii="Times New Roman" w:hAnsi="Times New Roman"/>
                <w:spacing w:val="-12"/>
              </w:rPr>
              <w:t xml:space="preserve"> </w:t>
            </w:r>
            <w:r>
              <w:rPr>
                <w:rFonts w:ascii="Times New Roman" w:hAnsi="Times New Roman"/>
                <w:spacing w:val="-2"/>
              </w:rPr>
              <w:t>with</w:t>
            </w:r>
            <w:r>
              <w:rPr>
                <w:rFonts w:ascii="Times New Roman" w:hAnsi="Times New Roman"/>
                <w:spacing w:val="-12"/>
              </w:rPr>
              <w:t xml:space="preserve"> </w:t>
            </w:r>
            <w:r>
              <w:rPr>
                <w:rFonts w:ascii="Times New Roman" w:hAnsi="Times New Roman"/>
                <w:spacing w:val="-2"/>
              </w:rPr>
              <w:t>Section</w:t>
            </w:r>
            <w:r>
              <w:rPr>
                <w:rFonts w:ascii="Times New Roman" w:hAnsi="Times New Roman"/>
                <w:spacing w:val="-12"/>
              </w:rPr>
              <w:t xml:space="preserve"> </w:t>
            </w:r>
            <w:r>
              <w:rPr>
                <w:rFonts w:ascii="Times New Roman" w:hAnsi="Times New Roman"/>
                <w:spacing w:val="-2"/>
              </w:rPr>
              <w:t>III,</w:t>
            </w:r>
            <w:r>
              <w:rPr>
                <w:rFonts w:ascii="Times New Roman" w:hAnsi="Times New Roman"/>
                <w:spacing w:val="-11"/>
              </w:rPr>
              <w:t xml:space="preserve"> </w:t>
            </w:r>
            <w:r>
              <w:rPr>
                <w:rFonts w:ascii="Times New Roman" w:hAnsi="Times New Roman"/>
                <w:spacing w:val="-2"/>
              </w:rPr>
              <w:t>Evaluation</w:t>
            </w:r>
            <w:r>
              <w:rPr>
                <w:rFonts w:ascii="Times New Roman" w:hAnsi="Times New Roman"/>
                <w:spacing w:val="-5"/>
              </w:rPr>
              <w:t xml:space="preserve"> </w:t>
            </w:r>
            <w:r>
              <w:rPr>
                <w:rFonts w:ascii="Times New Roman" w:hAnsi="Times New Roman"/>
                <w:spacing w:val="-2"/>
              </w:rPr>
              <w:t>and Qualification Criteria,</w:t>
            </w:r>
            <w:r>
              <w:rPr>
                <w:rFonts w:ascii="Times New Roman" w:hAnsi="Times New Roman"/>
                <w:spacing w:val="-11"/>
              </w:rPr>
              <w:t xml:space="preserve"> </w:t>
            </w:r>
            <w:r>
              <w:rPr>
                <w:rFonts w:ascii="Times New Roman" w:hAnsi="Times New Roman"/>
                <w:spacing w:val="-2"/>
              </w:rPr>
              <w:t xml:space="preserve">Sub-Factor </w:t>
            </w:r>
            <w:r>
              <w:rPr>
                <w:rFonts w:ascii="Times New Roman" w:hAnsi="Times New Roman"/>
                <w:spacing w:val="-4"/>
              </w:rPr>
              <w:t>2.4.</w:t>
            </w:r>
          </w:p>
          <w:p w:rsidR="007F6DF9" w:rsidRDefault="00A43FBC">
            <w:pPr>
              <w:pStyle w:val="TableParagraph"/>
              <w:numPr>
                <w:ilvl w:val="0"/>
                <w:numId w:val="158"/>
              </w:numPr>
              <w:tabs>
                <w:tab w:val="left" w:pos="828"/>
              </w:tabs>
              <w:spacing w:line="252" w:lineRule="exact"/>
              <w:ind w:right="139" w:firstLine="0"/>
              <w:rPr>
                <w:rFonts w:ascii="Times New Roman" w:hAnsi="Times New Roman"/>
              </w:rPr>
            </w:pPr>
            <w:r>
              <w:rPr>
                <w:rFonts w:ascii="Times New Roman" w:hAnsi="Times New Roman"/>
                <w:spacing w:val="-2"/>
              </w:rPr>
              <w:t>Litigation</w:t>
            </w:r>
            <w:r>
              <w:rPr>
                <w:rFonts w:ascii="Times New Roman" w:hAnsi="Times New Roman"/>
                <w:spacing w:val="-14"/>
              </w:rPr>
              <w:t xml:space="preserve"> </w:t>
            </w:r>
            <w:r>
              <w:rPr>
                <w:rFonts w:ascii="Times New Roman" w:hAnsi="Times New Roman"/>
                <w:spacing w:val="-2"/>
              </w:rPr>
              <w:t>History</w:t>
            </w:r>
            <w:r>
              <w:rPr>
                <w:rFonts w:ascii="Times New Roman" w:hAnsi="Times New Roman"/>
                <w:spacing w:val="-12"/>
              </w:rPr>
              <w:t xml:space="preserve"> </w:t>
            </w:r>
            <w:r>
              <w:rPr>
                <w:rFonts w:ascii="Times New Roman" w:hAnsi="Times New Roman"/>
                <w:spacing w:val="-2"/>
              </w:rPr>
              <w:t>in</w:t>
            </w:r>
            <w:r>
              <w:rPr>
                <w:rFonts w:ascii="Times New Roman" w:hAnsi="Times New Roman"/>
                <w:spacing w:val="-17"/>
              </w:rPr>
              <w:t xml:space="preserve"> </w:t>
            </w:r>
            <w:r>
              <w:rPr>
                <w:rFonts w:ascii="Times New Roman" w:hAnsi="Times New Roman"/>
                <w:spacing w:val="-2"/>
              </w:rPr>
              <w:t>accordance</w:t>
            </w:r>
            <w:r>
              <w:rPr>
                <w:rFonts w:ascii="Times New Roman" w:hAnsi="Times New Roman"/>
                <w:spacing w:val="-17"/>
              </w:rPr>
              <w:t xml:space="preserve"> </w:t>
            </w:r>
            <w:r>
              <w:rPr>
                <w:rFonts w:ascii="Times New Roman" w:hAnsi="Times New Roman"/>
                <w:spacing w:val="-2"/>
              </w:rPr>
              <w:t>with</w:t>
            </w:r>
            <w:r>
              <w:rPr>
                <w:rFonts w:ascii="Times New Roman" w:hAnsi="Times New Roman"/>
                <w:spacing w:val="-17"/>
              </w:rPr>
              <w:t xml:space="preserve"> </w:t>
            </w:r>
            <w:r>
              <w:rPr>
                <w:rFonts w:ascii="Times New Roman" w:hAnsi="Times New Roman"/>
                <w:spacing w:val="-2"/>
              </w:rPr>
              <w:t>Section</w:t>
            </w:r>
            <w:r>
              <w:rPr>
                <w:rFonts w:ascii="Times New Roman" w:hAnsi="Times New Roman"/>
                <w:spacing w:val="-15"/>
              </w:rPr>
              <w:t xml:space="preserve"> </w:t>
            </w:r>
            <w:r>
              <w:rPr>
                <w:rFonts w:ascii="Times New Roman" w:hAnsi="Times New Roman"/>
                <w:spacing w:val="-2"/>
              </w:rPr>
              <w:t>III,</w:t>
            </w:r>
            <w:r>
              <w:rPr>
                <w:rFonts w:ascii="Times New Roman" w:hAnsi="Times New Roman"/>
                <w:spacing w:val="-16"/>
              </w:rPr>
              <w:t xml:space="preserve"> </w:t>
            </w:r>
            <w:r>
              <w:rPr>
                <w:rFonts w:ascii="Times New Roman" w:hAnsi="Times New Roman"/>
                <w:spacing w:val="-2"/>
              </w:rPr>
              <w:t>Evaluation</w:t>
            </w:r>
            <w:r>
              <w:rPr>
                <w:rFonts w:ascii="Times New Roman" w:hAnsi="Times New Roman"/>
                <w:spacing w:val="-12"/>
              </w:rPr>
              <w:t xml:space="preserve"> </w:t>
            </w:r>
            <w:r>
              <w:rPr>
                <w:rFonts w:ascii="Times New Roman" w:hAnsi="Times New Roman"/>
                <w:spacing w:val="-2"/>
              </w:rPr>
              <w:t>and</w:t>
            </w:r>
            <w:r>
              <w:rPr>
                <w:rFonts w:ascii="Times New Roman" w:hAnsi="Times New Roman"/>
                <w:spacing w:val="-11"/>
              </w:rPr>
              <w:t xml:space="preserve"> </w:t>
            </w:r>
            <w:r>
              <w:rPr>
                <w:rFonts w:ascii="Times New Roman" w:hAnsi="Times New Roman"/>
                <w:spacing w:val="-2"/>
              </w:rPr>
              <w:t>Qualification</w:t>
            </w:r>
            <w:r>
              <w:rPr>
                <w:rFonts w:ascii="Times New Roman" w:hAnsi="Times New Roman"/>
                <w:spacing w:val="-12"/>
              </w:rPr>
              <w:t xml:space="preserve"> </w:t>
            </w:r>
            <w:r>
              <w:rPr>
                <w:rFonts w:ascii="Times New Roman" w:hAnsi="Times New Roman"/>
                <w:spacing w:val="-2"/>
              </w:rPr>
              <w:t>Criteria,</w:t>
            </w:r>
            <w:r>
              <w:rPr>
                <w:rFonts w:ascii="Times New Roman" w:hAnsi="Times New Roman"/>
                <w:spacing w:val="-12"/>
              </w:rPr>
              <w:t xml:space="preserve"> </w:t>
            </w:r>
            <w:r>
              <w:rPr>
                <w:rFonts w:ascii="Times New Roman" w:hAnsi="Times New Roman"/>
                <w:spacing w:val="-2"/>
              </w:rPr>
              <w:t>Sub-Factor</w:t>
            </w:r>
            <w:r>
              <w:rPr>
                <w:rFonts w:ascii="Times New Roman" w:hAnsi="Times New Roman"/>
                <w:spacing w:val="-12"/>
              </w:rPr>
              <w:t xml:space="preserve"> </w:t>
            </w:r>
            <w:r>
              <w:rPr>
                <w:rFonts w:ascii="Times New Roman" w:hAnsi="Times New Roman"/>
                <w:spacing w:val="-2"/>
              </w:rPr>
              <w:t>2.4</w:t>
            </w:r>
            <w:r>
              <w:rPr>
                <w:rFonts w:ascii="Times New Roman" w:hAnsi="Times New Roman"/>
                <w:spacing w:val="-11"/>
              </w:rPr>
              <w:t xml:space="preserve"> </w:t>
            </w:r>
            <w:r>
              <w:rPr>
                <w:rFonts w:ascii="Times New Roman" w:hAnsi="Times New Roman"/>
                <w:spacing w:val="-2"/>
              </w:rPr>
              <w:t xml:space="preserve">as </w:t>
            </w:r>
            <w:r>
              <w:rPr>
                <w:rFonts w:ascii="Times New Roman" w:hAnsi="Times New Roman"/>
              </w:rPr>
              <w:t>indicated</w:t>
            </w:r>
            <w:r>
              <w:rPr>
                <w:rFonts w:ascii="Times New Roman" w:hAnsi="Times New Roman"/>
                <w:spacing w:val="-6"/>
              </w:rPr>
              <w:t xml:space="preserve"> </w:t>
            </w:r>
            <w:r>
              <w:rPr>
                <w:rFonts w:ascii="Times New Roman" w:hAnsi="Times New Roman"/>
              </w:rPr>
              <w:t>below.</w:t>
            </w:r>
          </w:p>
        </w:tc>
      </w:tr>
    </w:tbl>
    <w:p w:rsidR="007F6DF9" w:rsidRDefault="007F6DF9">
      <w:pPr>
        <w:pStyle w:val="TableParagraph"/>
        <w:spacing w:line="252" w:lineRule="exact"/>
        <w:rPr>
          <w:rFonts w:ascii="Times New Roman" w:hAnsi="Times New Roman"/>
        </w:rPr>
        <w:sectPr w:rsidR="007F6DF9">
          <w:pgSz w:w="11920" w:h="16850"/>
          <w:pgMar w:top="360" w:right="283" w:bottom="1777" w:left="141" w:header="0" w:footer="437" w:gutter="0"/>
          <w:cols w:space="720"/>
        </w:sect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64"/>
        <w:gridCol w:w="1805"/>
        <w:gridCol w:w="244"/>
        <w:gridCol w:w="3981"/>
        <w:gridCol w:w="2412"/>
      </w:tblGrid>
      <w:tr w:rsidR="007F6DF9">
        <w:trPr>
          <w:trHeight w:val="918"/>
        </w:trPr>
        <w:tc>
          <w:tcPr>
            <w:tcW w:w="1524" w:type="dxa"/>
            <w:gridSpan w:val="2"/>
          </w:tcPr>
          <w:p w:rsidR="007F6DF9" w:rsidRDefault="00A43FBC">
            <w:pPr>
              <w:pStyle w:val="TableParagraph"/>
              <w:ind w:left="107" w:right="761"/>
              <w:rPr>
                <w:rFonts w:ascii="Times New Roman"/>
                <w:b/>
                <w:sz w:val="20"/>
              </w:rPr>
            </w:pPr>
            <w:r>
              <w:rPr>
                <w:rFonts w:ascii="Times New Roman"/>
                <w:b/>
                <w:sz w:val="20"/>
              </w:rPr>
              <w:lastRenderedPageBreak/>
              <w:t>Year</w:t>
            </w:r>
            <w:r>
              <w:rPr>
                <w:rFonts w:ascii="Times New Roman"/>
                <w:b/>
                <w:spacing w:val="-13"/>
                <w:sz w:val="20"/>
              </w:rPr>
              <w:t xml:space="preserve"> </w:t>
            </w:r>
            <w:r>
              <w:rPr>
                <w:rFonts w:ascii="Times New Roman"/>
                <w:b/>
                <w:sz w:val="20"/>
              </w:rPr>
              <w:t xml:space="preserve">of </w:t>
            </w:r>
            <w:r>
              <w:rPr>
                <w:rFonts w:ascii="Times New Roman"/>
                <w:b/>
                <w:spacing w:val="-2"/>
                <w:sz w:val="20"/>
              </w:rPr>
              <w:t>dispute</w:t>
            </w:r>
          </w:p>
        </w:tc>
        <w:tc>
          <w:tcPr>
            <w:tcW w:w="2049" w:type="dxa"/>
            <w:gridSpan w:val="2"/>
          </w:tcPr>
          <w:p w:rsidR="007F6DF9" w:rsidRDefault="00A43FBC">
            <w:pPr>
              <w:pStyle w:val="TableParagraph"/>
              <w:ind w:left="105" w:right="343"/>
              <w:rPr>
                <w:rFonts w:ascii="Times New Roman"/>
                <w:b/>
                <w:sz w:val="20"/>
              </w:rPr>
            </w:pPr>
            <w:r>
              <w:rPr>
                <w:rFonts w:ascii="Times New Roman"/>
                <w:b/>
                <w:sz w:val="20"/>
              </w:rPr>
              <w:t>Amount</w:t>
            </w:r>
            <w:r>
              <w:rPr>
                <w:rFonts w:ascii="Times New Roman"/>
                <w:b/>
                <w:spacing w:val="-13"/>
                <w:sz w:val="20"/>
              </w:rPr>
              <w:t xml:space="preserve"> </w:t>
            </w:r>
            <w:r>
              <w:rPr>
                <w:rFonts w:ascii="Times New Roman"/>
                <w:b/>
                <w:sz w:val="20"/>
              </w:rPr>
              <w:t>in</w:t>
            </w:r>
            <w:r>
              <w:rPr>
                <w:rFonts w:ascii="Times New Roman"/>
                <w:b/>
                <w:spacing w:val="-12"/>
                <w:sz w:val="20"/>
              </w:rPr>
              <w:t xml:space="preserve"> </w:t>
            </w:r>
            <w:r>
              <w:rPr>
                <w:rFonts w:ascii="Times New Roman"/>
                <w:b/>
                <w:sz w:val="20"/>
              </w:rPr>
              <w:t xml:space="preserve">dispute </w:t>
            </w:r>
            <w:r>
              <w:rPr>
                <w:rFonts w:ascii="Times New Roman"/>
                <w:b/>
                <w:spacing w:val="-2"/>
                <w:sz w:val="20"/>
              </w:rPr>
              <w:t>(currency)</w:t>
            </w:r>
          </w:p>
        </w:tc>
        <w:tc>
          <w:tcPr>
            <w:tcW w:w="3981" w:type="dxa"/>
          </w:tcPr>
          <w:p w:rsidR="007F6DF9" w:rsidRDefault="00A43FBC">
            <w:pPr>
              <w:pStyle w:val="TableParagraph"/>
              <w:spacing w:line="225" w:lineRule="exact"/>
              <w:ind w:left="109"/>
              <w:rPr>
                <w:rFonts w:ascii="Times New Roman"/>
                <w:b/>
                <w:sz w:val="20"/>
              </w:rPr>
            </w:pPr>
            <w:r>
              <w:rPr>
                <w:rFonts w:ascii="Times New Roman"/>
                <w:b/>
                <w:sz w:val="20"/>
              </w:rPr>
              <w:t>Contract</w:t>
            </w:r>
            <w:r>
              <w:rPr>
                <w:rFonts w:ascii="Times New Roman"/>
                <w:b/>
                <w:spacing w:val="-5"/>
                <w:sz w:val="20"/>
              </w:rPr>
              <w:t xml:space="preserve"> </w:t>
            </w:r>
            <w:r>
              <w:rPr>
                <w:rFonts w:ascii="Times New Roman"/>
                <w:b/>
                <w:spacing w:val="-2"/>
                <w:sz w:val="20"/>
              </w:rPr>
              <w:t>Identification</w:t>
            </w:r>
          </w:p>
        </w:tc>
        <w:tc>
          <w:tcPr>
            <w:tcW w:w="2412" w:type="dxa"/>
          </w:tcPr>
          <w:p w:rsidR="007F6DF9" w:rsidRDefault="00A43FBC">
            <w:pPr>
              <w:pStyle w:val="TableParagraph"/>
              <w:ind w:left="110"/>
              <w:rPr>
                <w:rFonts w:ascii="Times New Roman"/>
                <w:b/>
                <w:sz w:val="20"/>
              </w:rPr>
            </w:pPr>
            <w:r>
              <w:rPr>
                <w:rFonts w:ascii="Times New Roman"/>
                <w:b/>
                <w:sz w:val="20"/>
              </w:rPr>
              <w:t>Total</w:t>
            </w:r>
            <w:r>
              <w:rPr>
                <w:rFonts w:ascii="Times New Roman"/>
                <w:b/>
                <w:spacing w:val="-13"/>
                <w:sz w:val="20"/>
              </w:rPr>
              <w:t xml:space="preserve"> </w:t>
            </w:r>
            <w:r>
              <w:rPr>
                <w:rFonts w:ascii="Times New Roman"/>
                <w:b/>
                <w:sz w:val="20"/>
              </w:rPr>
              <w:t>Contract</w:t>
            </w:r>
            <w:r>
              <w:rPr>
                <w:rFonts w:ascii="Times New Roman"/>
                <w:b/>
                <w:spacing w:val="-12"/>
                <w:sz w:val="20"/>
              </w:rPr>
              <w:t xml:space="preserve"> </w:t>
            </w:r>
            <w:r>
              <w:rPr>
                <w:rFonts w:ascii="Times New Roman"/>
                <w:b/>
                <w:sz w:val="20"/>
              </w:rPr>
              <w:t>Amount (currency), Kenya</w:t>
            </w:r>
          </w:p>
          <w:p w:rsidR="007F6DF9" w:rsidRDefault="00A43FBC">
            <w:pPr>
              <w:pStyle w:val="TableParagraph"/>
              <w:spacing w:line="228" w:lineRule="exact"/>
              <w:ind w:left="110" w:right="645"/>
              <w:rPr>
                <w:rFonts w:ascii="Times New Roman"/>
                <w:b/>
                <w:sz w:val="20"/>
              </w:rPr>
            </w:pPr>
            <w:r>
              <w:rPr>
                <w:rFonts w:ascii="Times New Roman"/>
                <w:b/>
                <w:sz w:val="20"/>
              </w:rPr>
              <w:t>Shilling</w:t>
            </w:r>
            <w:r>
              <w:rPr>
                <w:rFonts w:ascii="Times New Roman"/>
                <w:b/>
                <w:spacing w:val="-13"/>
                <w:sz w:val="20"/>
              </w:rPr>
              <w:t xml:space="preserve"> </w:t>
            </w:r>
            <w:r>
              <w:rPr>
                <w:rFonts w:ascii="Times New Roman"/>
                <w:b/>
                <w:sz w:val="20"/>
              </w:rPr>
              <w:t>Equivalent (exchange rate)</w:t>
            </w:r>
          </w:p>
        </w:tc>
      </w:tr>
      <w:tr w:rsidR="007F6DF9">
        <w:trPr>
          <w:trHeight w:val="3038"/>
        </w:trPr>
        <w:tc>
          <w:tcPr>
            <w:tcW w:w="1260" w:type="dxa"/>
          </w:tcPr>
          <w:p w:rsidR="007F6DF9" w:rsidRDefault="00A43FBC">
            <w:pPr>
              <w:pStyle w:val="TableParagraph"/>
              <w:ind w:left="107" w:right="553"/>
              <w:rPr>
                <w:rFonts w:ascii="Times New Roman"/>
                <w:i/>
              </w:rPr>
            </w:pPr>
            <w:r>
              <w:rPr>
                <w:rFonts w:ascii="Times New Roman"/>
                <w:i/>
                <w:spacing w:val="-2"/>
              </w:rPr>
              <w:t>[insert year]</w:t>
            </w:r>
          </w:p>
        </w:tc>
        <w:tc>
          <w:tcPr>
            <w:tcW w:w="2069" w:type="dxa"/>
            <w:gridSpan w:val="2"/>
          </w:tcPr>
          <w:p w:rsidR="007F6DF9" w:rsidRDefault="00A43FBC">
            <w:pPr>
              <w:pStyle w:val="TableParagraph"/>
              <w:spacing w:line="249" w:lineRule="exact"/>
              <w:ind w:left="105"/>
              <w:rPr>
                <w:rFonts w:ascii="Times New Roman"/>
                <w:i/>
              </w:rPr>
            </w:pPr>
            <w:r>
              <w:rPr>
                <w:rFonts w:ascii="Times New Roman"/>
                <w:i/>
              </w:rPr>
              <w:t>[insert</w:t>
            </w:r>
            <w:r>
              <w:rPr>
                <w:rFonts w:ascii="Times New Roman"/>
                <w:i/>
                <w:spacing w:val="-2"/>
              </w:rPr>
              <w:t xml:space="preserve"> percentage]</w:t>
            </w:r>
          </w:p>
        </w:tc>
        <w:tc>
          <w:tcPr>
            <w:tcW w:w="4225" w:type="dxa"/>
            <w:gridSpan w:val="2"/>
          </w:tcPr>
          <w:p w:rsidR="007F6DF9" w:rsidRDefault="00A43FBC">
            <w:pPr>
              <w:pStyle w:val="TableParagraph"/>
              <w:ind w:left="106"/>
              <w:rPr>
                <w:rFonts w:ascii="Times New Roman"/>
              </w:rPr>
            </w:pPr>
            <w:r>
              <w:rPr>
                <w:rFonts w:ascii="Times New Roman"/>
              </w:rPr>
              <w:t>Contract</w:t>
            </w:r>
            <w:r>
              <w:rPr>
                <w:rFonts w:ascii="Times New Roman"/>
                <w:spacing w:val="-11"/>
              </w:rPr>
              <w:t xml:space="preserve"> </w:t>
            </w:r>
            <w:r>
              <w:rPr>
                <w:rFonts w:ascii="Times New Roman"/>
              </w:rPr>
              <w:t>Identification:</w:t>
            </w:r>
            <w:r>
              <w:rPr>
                <w:rFonts w:ascii="Times New Roman"/>
                <w:spacing w:val="-14"/>
              </w:rPr>
              <w:t xml:space="preserve"> </w:t>
            </w:r>
            <w:r>
              <w:rPr>
                <w:rFonts w:ascii="Times New Roman"/>
              </w:rPr>
              <w:t>[indicate</w:t>
            </w:r>
            <w:r>
              <w:rPr>
                <w:rFonts w:ascii="Times New Roman"/>
                <w:spacing w:val="-13"/>
              </w:rPr>
              <w:t xml:space="preserve"> </w:t>
            </w:r>
            <w:r>
              <w:rPr>
                <w:rFonts w:ascii="Times New Roman"/>
              </w:rPr>
              <w:t xml:space="preserve">complete contract name, number, and any other </w:t>
            </w:r>
            <w:r>
              <w:rPr>
                <w:rFonts w:ascii="Times New Roman"/>
                <w:spacing w:val="-2"/>
              </w:rPr>
              <w:t>identification]</w:t>
            </w:r>
          </w:p>
          <w:p w:rsidR="007F6DF9" w:rsidRDefault="00A43FBC">
            <w:pPr>
              <w:pStyle w:val="TableParagraph"/>
              <w:ind w:left="106"/>
              <w:rPr>
                <w:rFonts w:ascii="Times New Roman"/>
                <w:i/>
              </w:rPr>
            </w:pPr>
            <w:r>
              <w:rPr>
                <w:rFonts w:ascii="Times New Roman"/>
              </w:rPr>
              <w:t>Name</w:t>
            </w:r>
            <w:r>
              <w:rPr>
                <w:rFonts w:ascii="Times New Roman"/>
                <w:spacing w:val="-6"/>
              </w:rPr>
              <w:t xml:space="preserve"> </w:t>
            </w:r>
            <w:r>
              <w:rPr>
                <w:rFonts w:ascii="Times New Roman"/>
              </w:rPr>
              <w:t>of</w:t>
            </w:r>
            <w:r>
              <w:rPr>
                <w:rFonts w:ascii="Times New Roman"/>
                <w:spacing w:val="-6"/>
              </w:rPr>
              <w:t xml:space="preserve"> </w:t>
            </w:r>
            <w:r>
              <w:rPr>
                <w:rFonts w:ascii="Times New Roman"/>
              </w:rPr>
              <w:t>Procuring</w:t>
            </w:r>
            <w:r>
              <w:rPr>
                <w:rFonts w:ascii="Times New Roman"/>
                <w:spacing w:val="-6"/>
              </w:rPr>
              <w:t xml:space="preserve"> </w:t>
            </w:r>
            <w:r>
              <w:rPr>
                <w:rFonts w:ascii="Times New Roman"/>
              </w:rPr>
              <w:t>Entity:</w:t>
            </w:r>
            <w:r>
              <w:rPr>
                <w:rFonts w:ascii="Times New Roman"/>
                <w:spacing w:val="-6"/>
              </w:rPr>
              <w:t xml:space="preserve"> </w:t>
            </w:r>
            <w:r>
              <w:rPr>
                <w:rFonts w:ascii="Times New Roman"/>
                <w:i/>
              </w:rPr>
              <w:t>[insert</w:t>
            </w:r>
            <w:r>
              <w:rPr>
                <w:rFonts w:ascii="Times New Roman"/>
                <w:i/>
                <w:spacing w:val="-5"/>
              </w:rPr>
              <w:t xml:space="preserve"> </w:t>
            </w:r>
            <w:r>
              <w:rPr>
                <w:rFonts w:ascii="Times New Roman"/>
                <w:i/>
              </w:rPr>
              <w:t>full</w:t>
            </w:r>
            <w:r>
              <w:rPr>
                <w:rFonts w:ascii="Times New Roman"/>
                <w:i/>
                <w:spacing w:val="-8"/>
              </w:rPr>
              <w:t xml:space="preserve"> </w:t>
            </w:r>
            <w:r>
              <w:rPr>
                <w:rFonts w:ascii="Times New Roman"/>
                <w:i/>
              </w:rPr>
              <w:t xml:space="preserve">name] </w:t>
            </w:r>
            <w:r>
              <w:rPr>
                <w:rFonts w:ascii="Times New Roman"/>
              </w:rPr>
              <w:t xml:space="preserve">Address of Procuring Entity: </w:t>
            </w:r>
            <w:r>
              <w:rPr>
                <w:rFonts w:ascii="Times New Roman"/>
                <w:i/>
              </w:rPr>
              <w:t xml:space="preserve">[insert </w:t>
            </w:r>
            <w:r>
              <w:rPr>
                <w:rFonts w:ascii="Times New Roman"/>
                <w:i/>
                <w:spacing w:val="-2"/>
              </w:rPr>
              <w:t>street/city/country]</w:t>
            </w:r>
          </w:p>
          <w:p w:rsidR="007F6DF9" w:rsidRDefault="00A43FBC">
            <w:pPr>
              <w:pStyle w:val="TableParagraph"/>
              <w:ind w:left="106"/>
              <w:rPr>
                <w:rFonts w:ascii="Times New Roman"/>
                <w:i/>
              </w:rPr>
            </w:pPr>
            <w:r>
              <w:rPr>
                <w:rFonts w:ascii="Times New Roman"/>
              </w:rPr>
              <w:t>Matter</w:t>
            </w:r>
            <w:r>
              <w:rPr>
                <w:rFonts w:ascii="Times New Roman"/>
                <w:spacing w:val="-6"/>
              </w:rPr>
              <w:t xml:space="preserve"> </w:t>
            </w:r>
            <w:r>
              <w:rPr>
                <w:rFonts w:ascii="Times New Roman"/>
              </w:rPr>
              <w:t>in</w:t>
            </w:r>
            <w:r>
              <w:rPr>
                <w:rFonts w:ascii="Times New Roman"/>
                <w:spacing w:val="-9"/>
              </w:rPr>
              <w:t xml:space="preserve"> </w:t>
            </w:r>
            <w:r>
              <w:rPr>
                <w:rFonts w:ascii="Times New Roman"/>
              </w:rPr>
              <w:t>dispute:</w:t>
            </w:r>
            <w:r>
              <w:rPr>
                <w:rFonts w:ascii="Times New Roman"/>
                <w:spacing w:val="-6"/>
              </w:rPr>
              <w:t xml:space="preserve"> </w:t>
            </w:r>
            <w:r>
              <w:rPr>
                <w:rFonts w:ascii="Times New Roman"/>
                <w:i/>
              </w:rPr>
              <w:t>[indicate</w:t>
            </w:r>
            <w:r>
              <w:rPr>
                <w:rFonts w:ascii="Times New Roman"/>
                <w:i/>
                <w:spacing w:val="-8"/>
              </w:rPr>
              <w:t xml:space="preserve"> </w:t>
            </w:r>
            <w:r>
              <w:rPr>
                <w:rFonts w:ascii="Times New Roman"/>
                <w:i/>
              </w:rPr>
              <w:t>main</w:t>
            </w:r>
            <w:r>
              <w:rPr>
                <w:rFonts w:ascii="Times New Roman"/>
                <w:i/>
                <w:spacing w:val="-6"/>
              </w:rPr>
              <w:t xml:space="preserve"> </w:t>
            </w:r>
            <w:r>
              <w:rPr>
                <w:rFonts w:ascii="Times New Roman"/>
                <w:i/>
              </w:rPr>
              <w:t>issues</w:t>
            </w:r>
            <w:r>
              <w:rPr>
                <w:rFonts w:ascii="Times New Roman"/>
                <w:i/>
                <w:spacing w:val="-6"/>
              </w:rPr>
              <w:t xml:space="preserve"> </w:t>
            </w:r>
            <w:r>
              <w:rPr>
                <w:rFonts w:ascii="Times New Roman"/>
                <w:i/>
              </w:rPr>
              <w:t xml:space="preserve">in </w:t>
            </w:r>
            <w:r>
              <w:rPr>
                <w:rFonts w:ascii="Times New Roman"/>
                <w:i/>
                <w:spacing w:val="-2"/>
              </w:rPr>
              <w:t>dispute]</w:t>
            </w:r>
          </w:p>
          <w:p w:rsidR="007F6DF9" w:rsidRDefault="00A43FBC">
            <w:pPr>
              <w:pStyle w:val="TableParagraph"/>
              <w:ind w:left="106"/>
              <w:rPr>
                <w:rFonts w:ascii="Times New Roman" w:hAnsi="Times New Roman"/>
              </w:rPr>
            </w:pPr>
            <w:r>
              <w:rPr>
                <w:rFonts w:ascii="Times New Roman" w:hAnsi="Times New Roman"/>
              </w:rPr>
              <w:t xml:space="preserve">Party who initiated the dispute: </w:t>
            </w:r>
            <w:r>
              <w:rPr>
                <w:rFonts w:ascii="Times New Roman" w:hAnsi="Times New Roman"/>
                <w:i/>
              </w:rPr>
              <w:t xml:space="preserve">[indicate “Procuring Entity” or “Contractor”] </w:t>
            </w:r>
            <w:r>
              <w:rPr>
                <w:rFonts w:ascii="Times New Roman" w:hAnsi="Times New Roman"/>
                <w:spacing w:val="-4"/>
              </w:rPr>
              <w:t>Reason(s)</w:t>
            </w:r>
            <w:r>
              <w:rPr>
                <w:rFonts w:ascii="Times New Roman" w:hAnsi="Times New Roman"/>
                <w:spacing w:val="-10"/>
              </w:rPr>
              <w:t xml:space="preserve"> </w:t>
            </w:r>
            <w:r>
              <w:rPr>
                <w:rFonts w:ascii="Times New Roman" w:hAnsi="Times New Roman"/>
                <w:spacing w:val="-4"/>
              </w:rPr>
              <w:t>for</w:t>
            </w:r>
            <w:r>
              <w:rPr>
                <w:rFonts w:ascii="Times New Roman" w:hAnsi="Times New Roman"/>
                <w:spacing w:val="-10"/>
              </w:rPr>
              <w:t xml:space="preserve"> </w:t>
            </w:r>
            <w:r>
              <w:rPr>
                <w:rFonts w:ascii="Times New Roman" w:hAnsi="Times New Roman"/>
                <w:spacing w:val="-4"/>
              </w:rPr>
              <w:t>Litigation</w:t>
            </w:r>
            <w:r>
              <w:rPr>
                <w:rFonts w:ascii="Times New Roman" w:hAnsi="Times New Roman"/>
                <w:spacing w:val="-10"/>
              </w:rPr>
              <w:t xml:space="preserve"> </w:t>
            </w:r>
            <w:r>
              <w:rPr>
                <w:rFonts w:ascii="Times New Roman" w:hAnsi="Times New Roman"/>
                <w:spacing w:val="-4"/>
              </w:rPr>
              <w:t>and</w:t>
            </w:r>
            <w:r>
              <w:rPr>
                <w:rFonts w:ascii="Times New Roman" w:hAnsi="Times New Roman"/>
                <w:spacing w:val="-10"/>
              </w:rPr>
              <w:t xml:space="preserve"> </w:t>
            </w:r>
            <w:r>
              <w:rPr>
                <w:rFonts w:ascii="Times New Roman" w:hAnsi="Times New Roman"/>
                <w:spacing w:val="-4"/>
              </w:rPr>
              <w:t>award</w:t>
            </w:r>
            <w:r>
              <w:rPr>
                <w:rFonts w:ascii="Times New Roman" w:hAnsi="Times New Roman"/>
                <w:spacing w:val="-10"/>
              </w:rPr>
              <w:t xml:space="preserve"> </w:t>
            </w:r>
            <w:r>
              <w:rPr>
                <w:rFonts w:ascii="Times New Roman" w:hAnsi="Times New Roman"/>
                <w:spacing w:val="-4"/>
              </w:rPr>
              <w:t>decision</w:t>
            </w:r>
          </w:p>
          <w:p w:rsidR="007F6DF9" w:rsidRDefault="00A43FBC">
            <w:pPr>
              <w:pStyle w:val="TableParagraph"/>
              <w:spacing w:line="240" w:lineRule="exact"/>
              <w:ind w:left="106"/>
              <w:rPr>
                <w:rFonts w:ascii="Times New Roman"/>
                <w:i/>
              </w:rPr>
            </w:pPr>
            <w:r>
              <w:rPr>
                <w:rFonts w:ascii="Times New Roman"/>
                <w:i/>
                <w:spacing w:val="-8"/>
              </w:rPr>
              <w:t>[indicate</w:t>
            </w:r>
            <w:r>
              <w:rPr>
                <w:rFonts w:ascii="Times New Roman"/>
                <w:i/>
                <w:spacing w:val="-2"/>
              </w:rPr>
              <w:t xml:space="preserve"> </w:t>
            </w:r>
            <w:r>
              <w:rPr>
                <w:rFonts w:ascii="Times New Roman"/>
                <w:i/>
                <w:spacing w:val="-8"/>
              </w:rPr>
              <w:t>main</w:t>
            </w:r>
            <w:r>
              <w:rPr>
                <w:rFonts w:ascii="Times New Roman"/>
                <w:i/>
                <w:spacing w:val="-1"/>
              </w:rPr>
              <w:t xml:space="preserve"> </w:t>
            </w:r>
            <w:r>
              <w:rPr>
                <w:rFonts w:ascii="Times New Roman"/>
                <w:i/>
                <w:spacing w:val="-8"/>
              </w:rPr>
              <w:t>reason(s)]</w:t>
            </w:r>
          </w:p>
        </w:tc>
        <w:tc>
          <w:tcPr>
            <w:tcW w:w="2412" w:type="dxa"/>
          </w:tcPr>
          <w:p w:rsidR="007F6DF9" w:rsidRDefault="00A43FBC">
            <w:pPr>
              <w:pStyle w:val="TableParagraph"/>
              <w:spacing w:line="249" w:lineRule="exact"/>
              <w:ind w:left="110"/>
              <w:rPr>
                <w:rFonts w:ascii="Times New Roman"/>
                <w:i/>
              </w:rPr>
            </w:pPr>
            <w:r>
              <w:rPr>
                <w:rFonts w:ascii="Times New Roman"/>
                <w:i/>
              </w:rPr>
              <w:t>[insert</w:t>
            </w:r>
            <w:r>
              <w:rPr>
                <w:rFonts w:ascii="Times New Roman"/>
                <w:i/>
                <w:spacing w:val="-2"/>
              </w:rPr>
              <w:t xml:space="preserve"> amount]</w:t>
            </w:r>
          </w:p>
        </w:tc>
      </w:tr>
    </w:tbl>
    <w:p w:rsidR="007F6DF9" w:rsidRDefault="007F6DF9">
      <w:pPr>
        <w:pStyle w:val="BodyText"/>
        <w:spacing w:before="176"/>
      </w:pPr>
    </w:p>
    <w:p w:rsidR="007F6DF9" w:rsidRDefault="00A43FBC">
      <w:pPr>
        <w:pStyle w:val="BodyText"/>
        <w:spacing w:line="259" w:lineRule="auto"/>
        <w:ind w:left="559"/>
      </w:pPr>
      <w:r>
        <w:t>Include</w:t>
      </w:r>
      <w:r>
        <w:rPr>
          <w:spacing w:val="-2"/>
        </w:rPr>
        <w:t xml:space="preserve"> </w:t>
      </w:r>
      <w:r>
        <w:t>details</w:t>
      </w:r>
      <w:r>
        <w:rPr>
          <w:spacing w:val="-2"/>
        </w:rPr>
        <w:t xml:space="preserve"> </w:t>
      </w:r>
      <w:r>
        <w:t>relating</w:t>
      </w:r>
      <w:r>
        <w:rPr>
          <w:spacing w:val="-5"/>
        </w:rPr>
        <w:t xml:space="preserve"> </w:t>
      </w:r>
      <w:r>
        <w:t>to</w:t>
      </w:r>
      <w:r>
        <w:rPr>
          <w:spacing w:val="-2"/>
        </w:rPr>
        <w:t xml:space="preserve"> </w:t>
      </w:r>
      <w:r>
        <w:t>potential</w:t>
      </w:r>
      <w:r>
        <w:rPr>
          <w:spacing w:val="-1"/>
        </w:rPr>
        <w:t xml:space="preserve"> </w:t>
      </w:r>
      <w:r>
        <w:t>bid-rigging</w:t>
      </w:r>
      <w:r>
        <w:rPr>
          <w:spacing w:val="-2"/>
        </w:rPr>
        <w:t xml:space="preserve"> </w:t>
      </w:r>
      <w:r>
        <w:t>practices</w:t>
      </w:r>
      <w:r>
        <w:rPr>
          <w:spacing w:val="-2"/>
        </w:rPr>
        <w:t xml:space="preserve"> </w:t>
      </w:r>
      <w:r>
        <w:t>such</w:t>
      </w:r>
      <w:r>
        <w:rPr>
          <w:spacing w:val="-4"/>
        </w:rPr>
        <w:t xml:space="preserve"> </w:t>
      </w:r>
      <w:r>
        <w:t>as</w:t>
      </w:r>
      <w:r>
        <w:rPr>
          <w:spacing w:val="-2"/>
        </w:rPr>
        <w:t xml:space="preserve"> </w:t>
      </w:r>
      <w:r>
        <w:t>previous</w:t>
      </w:r>
      <w:r>
        <w:rPr>
          <w:spacing w:val="-4"/>
        </w:rPr>
        <w:t xml:space="preserve"> </w:t>
      </w:r>
      <w:r>
        <w:t>occasions</w:t>
      </w:r>
      <w:r>
        <w:rPr>
          <w:spacing w:val="-2"/>
        </w:rPr>
        <w:t xml:space="preserve"> </w:t>
      </w:r>
      <w:r>
        <w:t>where</w:t>
      </w:r>
      <w:r>
        <w:rPr>
          <w:spacing w:val="-4"/>
        </w:rPr>
        <w:t xml:space="preserve"> </w:t>
      </w:r>
      <w:r>
        <w:t>tenders</w:t>
      </w:r>
      <w:r>
        <w:rPr>
          <w:spacing w:val="-2"/>
        </w:rPr>
        <w:t xml:space="preserve"> </w:t>
      </w:r>
      <w:r>
        <w:t>were</w:t>
      </w:r>
      <w:r>
        <w:rPr>
          <w:spacing w:val="-2"/>
        </w:rPr>
        <w:t xml:space="preserve"> </w:t>
      </w:r>
      <w:r>
        <w:t>withdrawn,</w:t>
      </w:r>
      <w:r>
        <w:rPr>
          <w:spacing w:val="-2"/>
        </w:rPr>
        <w:t xml:space="preserve"> </w:t>
      </w:r>
      <w:r>
        <w:t>joint bids with competitors, subcontracting work to unsuccessful tenderers, etc.</w:t>
      </w:r>
    </w:p>
    <w:p w:rsidR="007F6DF9" w:rsidRDefault="007F6DF9">
      <w:pPr>
        <w:pStyle w:val="BodyText"/>
        <w:spacing w:line="259" w:lineRule="auto"/>
        <w:sectPr w:rsidR="007F6DF9">
          <w:type w:val="continuous"/>
          <w:pgSz w:w="11920" w:h="16850"/>
          <w:pgMar w:top="360" w:right="283" w:bottom="620" w:left="141" w:header="0" w:footer="437" w:gutter="0"/>
          <w:cols w:space="720"/>
        </w:sectPr>
      </w:pPr>
    </w:p>
    <w:p w:rsidR="007F6DF9" w:rsidRDefault="007F6DF9">
      <w:pPr>
        <w:pStyle w:val="BodyText"/>
        <w:spacing w:before="266"/>
        <w:rPr>
          <w:sz w:val="24"/>
        </w:rPr>
      </w:pPr>
    </w:p>
    <w:p w:rsidR="007F6DF9" w:rsidRDefault="00A43FBC">
      <w:pPr>
        <w:pStyle w:val="ListParagraph"/>
        <w:numPr>
          <w:ilvl w:val="1"/>
          <w:numId w:val="166"/>
        </w:numPr>
        <w:tabs>
          <w:tab w:val="left" w:pos="1280"/>
        </w:tabs>
        <w:ind w:left="1280" w:hanging="721"/>
        <w:jc w:val="left"/>
        <w:rPr>
          <w:b/>
          <w:sz w:val="24"/>
        </w:rPr>
      </w:pPr>
      <w:r>
        <w:rPr>
          <w:b/>
          <w:sz w:val="24"/>
          <w:u w:val="single"/>
        </w:rPr>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3.1:</w:t>
      </w:r>
      <w:r>
        <w:rPr>
          <w:b/>
          <w:spacing w:val="40"/>
          <w:sz w:val="24"/>
          <w:u w:val="single"/>
        </w:rPr>
        <w:t xml:space="preserve"> </w:t>
      </w:r>
    </w:p>
    <w:p w:rsidR="007F6DF9" w:rsidRDefault="00A43FBC">
      <w:pPr>
        <w:spacing w:before="252"/>
        <w:ind w:left="559"/>
        <w:rPr>
          <w:b/>
        </w:rPr>
      </w:pPr>
      <w:r>
        <w:rPr>
          <w:b/>
        </w:rPr>
        <w:t>Financial</w:t>
      </w:r>
      <w:r>
        <w:rPr>
          <w:b/>
          <w:spacing w:val="-4"/>
        </w:rPr>
        <w:t xml:space="preserve"> </w:t>
      </w:r>
      <w:r>
        <w:rPr>
          <w:b/>
        </w:rPr>
        <w:t>Situation</w:t>
      </w:r>
      <w:r>
        <w:rPr>
          <w:b/>
          <w:spacing w:val="-3"/>
        </w:rPr>
        <w:t xml:space="preserve"> </w:t>
      </w:r>
      <w:r>
        <w:rPr>
          <w:b/>
        </w:rPr>
        <w:t>and</w:t>
      </w:r>
      <w:r>
        <w:rPr>
          <w:b/>
          <w:spacing w:val="-3"/>
        </w:rPr>
        <w:t xml:space="preserve"> </w:t>
      </w:r>
      <w:r>
        <w:rPr>
          <w:b/>
          <w:spacing w:val="-2"/>
        </w:rPr>
        <w:t>Performance</w:t>
      </w:r>
    </w:p>
    <w:p w:rsidR="007F6DF9" w:rsidRDefault="007F6DF9">
      <w:pPr>
        <w:pStyle w:val="BodyText"/>
        <w:rPr>
          <w:b/>
        </w:rPr>
      </w:pPr>
    </w:p>
    <w:p w:rsidR="007F6DF9" w:rsidRDefault="00A43FBC">
      <w:pPr>
        <w:pStyle w:val="BodyText"/>
        <w:tabs>
          <w:tab w:val="left" w:pos="3861"/>
        </w:tabs>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before="2" w:line="252" w:lineRule="exact"/>
        <w:ind w:left="559"/>
      </w:pPr>
      <w:r>
        <w:t>Date:</w:t>
      </w:r>
      <w:r>
        <w:rPr>
          <w:spacing w:val="-2"/>
        </w:rPr>
        <w:t xml:space="preserve"> </w:t>
      </w:r>
      <w:r>
        <w:rPr>
          <w:u w:val="single"/>
        </w:rPr>
        <w:tab/>
      </w:r>
    </w:p>
    <w:p w:rsidR="007F6DF9" w:rsidRDefault="00A43FBC">
      <w:pPr>
        <w:pStyle w:val="BodyText"/>
        <w:tabs>
          <w:tab w:val="left" w:pos="4952"/>
        </w:tabs>
        <w:ind w:left="559" w:right="6503"/>
      </w:pPr>
      <w:r>
        <w:t>JV Member’s Name</w:t>
      </w:r>
      <w:proofErr w:type="gramStart"/>
      <w:r>
        <w:rPr>
          <w:u w:val="single"/>
        </w:rPr>
        <w:tab/>
      </w:r>
      <w:r>
        <w:rPr>
          <w:spacing w:val="-44"/>
          <w:u w:val="single"/>
        </w:rPr>
        <w:t xml:space="preserve"> </w:t>
      </w:r>
      <w:r>
        <w:rPr>
          <w:spacing w:val="-4"/>
        </w:rPr>
        <w:t xml:space="preserve"> ITT</w:t>
      </w:r>
      <w:proofErr w:type="gramEnd"/>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A43FBC">
      <w:pPr>
        <w:pStyle w:val="ListParagraph"/>
        <w:numPr>
          <w:ilvl w:val="2"/>
          <w:numId w:val="166"/>
        </w:numPr>
        <w:tabs>
          <w:tab w:val="left" w:pos="1280"/>
        </w:tabs>
        <w:spacing w:before="252"/>
        <w:rPr>
          <w:b/>
        </w:rPr>
      </w:pPr>
      <w:r>
        <w:rPr>
          <w:b/>
          <w:spacing w:val="-5"/>
        </w:rPr>
        <w:t>Financial</w:t>
      </w:r>
      <w:r>
        <w:rPr>
          <w:b/>
          <w:spacing w:val="-2"/>
        </w:rPr>
        <w:t xml:space="preserve"> </w:t>
      </w:r>
      <w:r>
        <w:rPr>
          <w:b/>
          <w:spacing w:val="-4"/>
        </w:rPr>
        <w:t>Data</w:t>
      </w:r>
    </w:p>
    <w:p w:rsidR="007F6DF9" w:rsidRDefault="007F6DF9">
      <w:pPr>
        <w:pStyle w:val="BodyText"/>
        <w:spacing w:before="24"/>
        <w:rPr>
          <w:b/>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4"/>
        <w:gridCol w:w="1191"/>
        <w:gridCol w:w="1187"/>
        <w:gridCol w:w="1191"/>
        <w:gridCol w:w="1186"/>
        <w:gridCol w:w="1242"/>
      </w:tblGrid>
      <w:tr w:rsidR="007F6DF9">
        <w:trPr>
          <w:trHeight w:val="496"/>
        </w:trPr>
        <w:tc>
          <w:tcPr>
            <w:tcW w:w="3234" w:type="dxa"/>
            <w:vMerge w:val="restart"/>
          </w:tcPr>
          <w:p w:rsidR="007F6DF9" w:rsidRDefault="00A43FBC">
            <w:pPr>
              <w:pStyle w:val="TableParagraph"/>
              <w:tabs>
                <w:tab w:val="left" w:pos="2184"/>
              </w:tabs>
              <w:ind w:left="-1" w:right="595"/>
              <w:rPr>
                <w:rFonts w:ascii="Times New Roman"/>
                <w:b/>
              </w:rPr>
            </w:pPr>
            <w:r>
              <w:rPr>
                <w:rFonts w:ascii="Times New Roman"/>
                <w:b/>
                <w:spacing w:val="-8"/>
              </w:rPr>
              <w:t>Type</w:t>
            </w:r>
            <w:r>
              <w:rPr>
                <w:rFonts w:ascii="Times New Roman"/>
                <w:b/>
                <w:spacing w:val="-9"/>
              </w:rPr>
              <w:t xml:space="preserve"> </w:t>
            </w:r>
            <w:r>
              <w:rPr>
                <w:rFonts w:ascii="Times New Roman"/>
                <w:b/>
                <w:spacing w:val="-8"/>
              </w:rPr>
              <w:t>of</w:t>
            </w:r>
            <w:r>
              <w:rPr>
                <w:rFonts w:ascii="Times New Roman"/>
                <w:b/>
                <w:spacing w:val="-9"/>
              </w:rPr>
              <w:t xml:space="preserve"> </w:t>
            </w:r>
            <w:r>
              <w:rPr>
                <w:rFonts w:ascii="Times New Roman"/>
                <w:b/>
                <w:spacing w:val="-8"/>
              </w:rPr>
              <w:t>Financial</w:t>
            </w:r>
            <w:r>
              <w:rPr>
                <w:rFonts w:ascii="Times New Roman"/>
                <w:b/>
                <w:spacing w:val="-9"/>
              </w:rPr>
              <w:t xml:space="preserve"> </w:t>
            </w:r>
            <w:r>
              <w:rPr>
                <w:rFonts w:ascii="Times New Roman"/>
                <w:b/>
                <w:spacing w:val="-8"/>
              </w:rPr>
              <w:t xml:space="preserve">information </w:t>
            </w:r>
            <w:r>
              <w:rPr>
                <w:rFonts w:ascii="Times New Roman"/>
                <w:b/>
                <w:spacing w:val="-6"/>
              </w:rPr>
              <w:t>in</w:t>
            </w:r>
            <w:r>
              <w:rPr>
                <w:rFonts w:ascii="Times New Roman"/>
                <w:b/>
                <w:u w:val="single"/>
              </w:rPr>
              <w:tab/>
            </w:r>
            <w:r>
              <w:rPr>
                <w:rFonts w:ascii="Times New Roman"/>
                <w:b/>
              </w:rPr>
              <w:t xml:space="preserve"> </w:t>
            </w:r>
            <w:r>
              <w:rPr>
                <w:rFonts w:ascii="Times New Roman"/>
                <w:b/>
                <w:spacing w:val="-2"/>
              </w:rPr>
              <w:t>(currency)</w:t>
            </w:r>
          </w:p>
        </w:tc>
        <w:tc>
          <w:tcPr>
            <w:tcW w:w="5997" w:type="dxa"/>
            <w:gridSpan w:val="5"/>
            <w:tcBorders>
              <w:bottom w:val="nil"/>
            </w:tcBorders>
          </w:tcPr>
          <w:p w:rsidR="007F6DF9" w:rsidRDefault="00A43FBC">
            <w:pPr>
              <w:pStyle w:val="TableParagraph"/>
              <w:tabs>
                <w:tab w:val="left" w:pos="3937"/>
              </w:tabs>
              <w:spacing w:line="251" w:lineRule="exact"/>
              <w:ind w:left="2"/>
              <w:rPr>
                <w:rFonts w:ascii="Times New Roman"/>
                <w:i/>
              </w:rPr>
            </w:pPr>
            <w:r>
              <w:rPr>
                <w:rFonts w:ascii="Times New Roman"/>
                <w:b/>
                <w:spacing w:val="-8"/>
              </w:rPr>
              <w:t>Historic</w:t>
            </w:r>
            <w:r>
              <w:rPr>
                <w:rFonts w:ascii="Times New Roman"/>
                <w:b/>
                <w:spacing w:val="-3"/>
              </w:rPr>
              <w:t xml:space="preserve"> </w:t>
            </w:r>
            <w:r>
              <w:rPr>
                <w:rFonts w:ascii="Times New Roman"/>
                <w:b/>
                <w:spacing w:val="-8"/>
              </w:rPr>
              <w:t>information</w:t>
            </w:r>
            <w:r>
              <w:rPr>
                <w:rFonts w:ascii="Times New Roman"/>
                <w:b/>
                <w:spacing w:val="-2"/>
              </w:rPr>
              <w:t xml:space="preserve"> </w:t>
            </w:r>
            <w:r>
              <w:rPr>
                <w:rFonts w:ascii="Times New Roman"/>
                <w:b/>
                <w:spacing w:val="-8"/>
              </w:rPr>
              <w:t>for</w:t>
            </w:r>
            <w:r>
              <w:rPr>
                <w:rFonts w:ascii="Times New Roman"/>
                <w:b/>
              </w:rPr>
              <w:t xml:space="preserve"> </w:t>
            </w:r>
            <w:r>
              <w:rPr>
                <w:rFonts w:ascii="Times New Roman"/>
                <w:b/>
                <w:spacing w:val="-8"/>
              </w:rPr>
              <w:t>previous</w:t>
            </w:r>
            <w:r>
              <w:rPr>
                <w:rFonts w:ascii="Times New Roman"/>
                <w:b/>
                <w:spacing w:val="2"/>
              </w:rPr>
              <w:t xml:space="preserve"> </w:t>
            </w:r>
            <w:r>
              <w:rPr>
                <w:rFonts w:ascii="Times New Roman"/>
                <w:i/>
                <w:u w:val="single"/>
              </w:rPr>
              <w:tab/>
            </w:r>
            <w:r>
              <w:rPr>
                <w:rFonts w:ascii="Times New Roman"/>
                <w:i/>
                <w:spacing w:val="-2"/>
              </w:rPr>
              <w:t>years,</w:t>
            </w:r>
          </w:p>
        </w:tc>
      </w:tr>
      <w:tr w:rsidR="007F6DF9">
        <w:trPr>
          <w:trHeight w:val="696"/>
        </w:trPr>
        <w:tc>
          <w:tcPr>
            <w:tcW w:w="3234" w:type="dxa"/>
            <w:vMerge/>
            <w:tcBorders>
              <w:top w:val="nil"/>
            </w:tcBorders>
          </w:tcPr>
          <w:p w:rsidR="007F6DF9" w:rsidRDefault="007F6DF9">
            <w:pPr>
              <w:rPr>
                <w:sz w:val="2"/>
                <w:szCs w:val="2"/>
              </w:rPr>
            </w:pPr>
          </w:p>
        </w:tc>
        <w:tc>
          <w:tcPr>
            <w:tcW w:w="5997" w:type="dxa"/>
            <w:gridSpan w:val="5"/>
            <w:tcBorders>
              <w:top w:val="single" w:sz="4" w:space="0" w:color="000000"/>
            </w:tcBorders>
          </w:tcPr>
          <w:p w:rsidR="007F6DF9" w:rsidRDefault="00A43FBC">
            <w:pPr>
              <w:pStyle w:val="TableParagraph"/>
              <w:spacing w:line="251" w:lineRule="exact"/>
              <w:ind w:left="2"/>
              <w:rPr>
                <w:rFonts w:ascii="Times New Roman"/>
                <w:b/>
              </w:rPr>
            </w:pPr>
            <w:r>
              <w:rPr>
                <w:rFonts w:ascii="Times New Roman"/>
                <w:b/>
                <w:spacing w:val="-6"/>
              </w:rPr>
              <w:t>(amount</w:t>
            </w:r>
            <w:r>
              <w:rPr>
                <w:rFonts w:ascii="Times New Roman"/>
                <w:b/>
                <w:spacing w:val="-19"/>
              </w:rPr>
              <w:t xml:space="preserve"> </w:t>
            </w:r>
            <w:r>
              <w:rPr>
                <w:rFonts w:ascii="Times New Roman"/>
                <w:b/>
                <w:spacing w:val="-6"/>
              </w:rPr>
              <w:t>in</w:t>
            </w:r>
            <w:r>
              <w:rPr>
                <w:rFonts w:ascii="Times New Roman"/>
                <w:b/>
                <w:spacing w:val="-15"/>
              </w:rPr>
              <w:t xml:space="preserve"> </w:t>
            </w:r>
            <w:r>
              <w:rPr>
                <w:rFonts w:ascii="Times New Roman"/>
                <w:b/>
                <w:spacing w:val="-6"/>
              </w:rPr>
              <w:t>currency,</w:t>
            </w:r>
            <w:r>
              <w:rPr>
                <w:rFonts w:ascii="Times New Roman"/>
                <w:b/>
                <w:spacing w:val="-4"/>
              </w:rPr>
              <w:t xml:space="preserve"> </w:t>
            </w:r>
            <w:r>
              <w:rPr>
                <w:rFonts w:ascii="Times New Roman"/>
                <w:b/>
                <w:spacing w:val="-6"/>
              </w:rPr>
              <w:t>currency,</w:t>
            </w:r>
            <w:r>
              <w:rPr>
                <w:rFonts w:ascii="Times New Roman"/>
                <w:b/>
                <w:spacing w:val="-4"/>
              </w:rPr>
              <w:t xml:space="preserve"> </w:t>
            </w:r>
            <w:r>
              <w:rPr>
                <w:rFonts w:ascii="Times New Roman"/>
                <w:b/>
                <w:spacing w:val="-6"/>
              </w:rPr>
              <w:t>exchange</w:t>
            </w:r>
            <w:r>
              <w:rPr>
                <w:rFonts w:ascii="Times New Roman"/>
                <w:b/>
              </w:rPr>
              <w:t xml:space="preserve"> </w:t>
            </w:r>
            <w:r>
              <w:rPr>
                <w:rFonts w:ascii="Times New Roman"/>
                <w:b/>
                <w:spacing w:val="-6"/>
              </w:rPr>
              <w:t>rate*,</w:t>
            </w:r>
            <w:r>
              <w:rPr>
                <w:rFonts w:ascii="Times New Roman"/>
                <w:b/>
                <w:spacing w:val="-2"/>
              </w:rPr>
              <w:t xml:space="preserve"> </w:t>
            </w:r>
            <w:r>
              <w:rPr>
                <w:rFonts w:ascii="Times New Roman"/>
                <w:b/>
                <w:spacing w:val="-6"/>
              </w:rPr>
              <w:t>USD</w:t>
            </w:r>
            <w:r>
              <w:rPr>
                <w:rFonts w:ascii="Times New Roman"/>
                <w:b/>
                <w:spacing w:val="-4"/>
              </w:rPr>
              <w:t xml:space="preserve"> </w:t>
            </w:r>
            <w:r>
              <w:rPr>
                <w:rFonts w:ascii="Times New Roman"/>
                <w:b/>
                <w:spacing w:val="-6"/>
              </w:rPr>
              <w:t>equivalent)</w:t>
            </w:r>
          </w:p>
        </w:tc>
      </w:tr>
      <w:tr w:rsidR="007F6DF9">
        <w:trPr>
          <w:trHeight w:val="515"/>
        </w:trPr>
        <w:tc>
          <w:tcPr>
            <w:tcW w:w="3234" w:type="dxa"/>
          </w:tcPr>
          <w:p w:rsidR="007F6DF9" w:rsidRDefault="007F6DF9">
            <w:pPr>
              <w:pStyle w:val="TableParagraph"/>
              <w:rPr>
                <w:rFonts w:ascii="Times New Roman"/>
              </w:rPr>
            </w:pPr>
          </w:p>
        </w:tc>
        <w:tc>
          <w:tcPr>
            <w:tcW w:w="1191" w:type="dxa"/>
          </w:tcPr>
          <w:p w:rsidR="007F6DF9" w:rsidRDefault="00A43FBC">
            <w:pPr>
              <w:pStyle w:val="TableParagraph"/>
              <w:spacing w:line="251" w:lineRule="exact"/>
              <w:ind w:left="2"/>
              <w:rPr>
                <w:rFonts w:ascii="Times New Roman"/>
              </w:rPr>
            </w:pPr>
            <w:r>
              <w:rPr>
                <w:rFonts w:ascii="Times New Roman"/>
                <w:spacing w:val="-4"/>
              </w:rPr>
              <w:t>Year</w:t>
            </w:r>
            <w:r>
              <w:rPr>
                <w:rFonts w:ascii="Times New Roman"/>
                <w:spacing w:val="-9"/>
              </w:rPr>
              <w:t xml:space="preserve"> </w:t>
            </w:r>
            <w:r>
              <w:rPr>
                <w:rFonts w:ascii="Times New Roman"/>
                <w:spacing w:val="-10"/>
              </w:rPr>
              <w:t>1</w:t>
            </w:r>
          </w:p>
        </w:tc>
        <w:tc>
          <w:tcPr>
            <w:tcW w:w="1187" w:type="dxa"/>
          </w:tcPr>
          <w:p w:rsidR="007F6DF9" w:rsidRDefault="00A43FBC">
            <w:pPr>
              <w:pStyle w:val="TableParagraph"/>
              <w:spacing w:line="251" w:lineRule="exact"/>
              <w:ind w:left="-1"/>
              <w:rPr>
                <w:rFonts w:ascii="Times New Roman"/>
              </w:rPr>
            </w:pPr>
            <w:r>
              <w:rPr>
                <w:rFonts w:ascii="Times New Roman"/>
                <w:spacing w:val="-4"/>
              </w:rPr>
              <w:t>Year</w:t>
            </w:r>
            <w:r>
              <w:rPr>
                <w:rFonts w:ascii="Times New Roman"/>
                <w:spacing w:val="-9"/>
              </w:rPr>
              <w:t xml:space="preserve"> </w:t>
            </w:r>
            <w:r>
              <w:rPr>
                <w:rFonts w:ascii="Times New Roman"/>
                <w:spacing w:val="-10"/>
              </w:rPr>
              <w:t>2</w:t>
            </w:r>
          </w:p>
        </w:tc>
        <w:tc>
          <w:tcPr>
            <w:tcW w:w="1191" w:type="dxa"/>
          </w:tcPr>
          <w:p w:rsidR="007F6DF9" w:rsidRDefault="00A43FBC">
            <w:pPr>
              <w:pStyle w:val="TableParagraph"/>
              <w:spacing w:line="251" w:lineRule="exact"/>
              <w:rPr>
                <w:rFonts w:ascii="Times New Roman"/>
              </w:rPr>
            </w:pPr>
            <w:r>
              <w:rPr>
                <w:rFonts w:ascii="Times New Roman"/>
                <w:spacing w:val="-4"/>
              </w:rPr>
              <w:t>Year</w:t>
            </w:r>
            <w:r>
              <w:rPr>
                <w:rFonts w:ascii="Times New Roman"/>
                <w:spacing w:val="-9"/>
              </w:rPr>
              <w:t xml:space="preserve"> </w:t>
            </w:r>
            <w:r>
              <w:rPr>
                <w:rFonts w:ascii="Times New Roman"/>
                <w:spacing w:val="-10"/>
              </w:rPr>
              <w:t>3</w:t>
            </w:r>
          </w:p>
        </w:tc>
        <w:tc>
          <w:tcPr>
            <w:tcW w:w="1186" w:type="dxa"/>
          </w:tcPr>
          <w:p w:rsidR="007F6DF9" w:rsidRDefault="00A43FBC">
            <w:pPr>
              <w:pStyle w:val="TableParagraph"/>
              <w:spacing w:line="251" w:lineRule="exact"/>
              <w:ind w:left="-3"/>
              <w:rPr>
                <w:rFonts w:ascii="Times New Roman"/>
              </w:rPr>
            </w:pPr>
            <w:r>
              <w:rPr>
                <w:rFonts w:ascii="Times New Roman"/>
                <w:spacing w:val="-4"/>
              </w:rPr>
              <w:t>Year</w:t>
            </w:r>
            <w:r>
              <w:rPr>
                <w:rFonts w:ascii="Times New Roman"/>
                <w:spacing w:val="-9"/>
              </w:rPr>
              <w:t xml:space="preserve"> </w:t>
            </w:r>
            <w:r>
              <w:rPr>
                <w:rFonts w:ascii="Times New Roman"/>
                <w:spacing w:val="-10"/>
              </w:rPr>
              <w:t>4</w:t>
            </w:r>
          </w:p>
        </w:tc>
        <w:tc>
          <w:tcPr>
            <w:tcW w:w="1242" w:type="dxa"/>
          </w:tcPr>
          <w:p w:rsidR="007F6DF9" w:rsidRDefault="00A43FBC">
            <w:pPr>
              <w:pStyle w:val="TableParagraph"/>
              <w:spacing w:line="251" w:lineRule="exact"/>
              <w:ind w:left="-1"/>
              <w:rPr>
                <w:rFonts w:ascii="Times New Roman"/>
              </w:rPr>
            </w:pPr>
            <w:r>
              <w:rPr>
                <w:rFonts w:ascii="Times New Roman"/>
                <w:spacing w:val="-4"/>
              </w:rPr>
              <w:t>Year</w:t>
            </w:r>
            <w:r>
              <w:rPr>
                <w:rFonts w:ascii="Times New Roman"/>
                <w:spacing w:val="-9"/>
              </w:rPr>
              <w:t xml:space="preserve"> </w:t>
            </w:r>
            <w:r>
              <w:rPr>
                <w:rFonts w:ascii="Times New Roman"/>
                <w:spacing w:val="-10"/>
              </w:rPr>
              <w:t>5</w:t>
            </w:r>
          </w:p>
        </w:tc>
      </w:tr>
      <w:tr w:rsidR="007F6DF9">
        <w:trPr>
          <w:trHeight w:val="522"/>
        </w:trPr>
        <w:tc>
          <w:tcPr>
            <w:tcW w:w="9231" w:type="dxa"/>
            <w:gridSpan w:val="6"/>
          </w:tcPr>
          <w:p w:rsidR="007F6DF9" w:rsidRDefault="00A43FBC">
            <w:pPr>
              <w:pStyle w:val="TableParagraph"/>
              <w:spacing w:before="1"/>
              <w:ind w:left="-1"/>
              <w:rPr>
                <w:rFonts w:ascii="Times New Roman"/>
              </w:rPr>
            </w:pPr>
            <w:r>
              <w:rPr>
                <w:rFonts w:ascii="Times New Roman"/>
                <w:spacing w:val="-4"/>
              </w:rPr>
              <w:t>Statement</w:t>
            </w:r>
            <w:r>
              <w:rPr>
                <w:rFonts w:ascii="Times New Roman"/>
                <w:spacing w:val="-9"/>
              </w:rPr>
              <w:t xml:space="preserve"> </w:t>
            </w:r>
            <w:r>
              <w:rPr>
                <w:rFonts w:ascii="Times New Roman"/>
                <w:spacing w:val="-4"/>
              </w:rPr>
              <w:t>of</w:t>
            </w:r>
            <w:r>
              <w:rPr>
                <w:rFonts w:ascii="Times New Roman"/>
                <w:spacing w:val="-9"/>
              </w:rPr>
              <w:t xml:space="preserve"> </w:t>
            </w:r>
            <w:r>
              <w:rPr>
                <w:rFonts w:ascii="Times New Roman"/>
                <w:spacing w:val="-4"/>
              </w:rPr>
              <w:t>Financial</w:t>
            </w:r>
            <w:r>
              <w:rPr>
                <w:rFonts w:ascii="Times New Roman"/>
                <w:spacing w:val="-9"/>
              </w:rPr>
              <w:t xml:space="preserve"> </w:t>
            </w:r>
            <w:r>
              <w:rPr>
                <w:rFonts w:ascii="Times New Roman"/>
                <w:spacing w:val="-4"/>
              </w:rPr>
              <w:t>Position</w:t>
            </w:r>
            <w:r>
              <w:rPr>
                <w:rFonts w:ascii="Times New Roman"/>
                <w:spacing w:val="-10"/>
              </w:rPr>
              <w:t xml:space="preserve"> </w:t>
            </w:r>
            <w:r>
              <w:rPr>
                <w:rFonts w:ascii="Times New Roman"/>
                <w:spacing w:val="-4"/>
              </w:rPr>
              <w:t>(Information</w:t>
            </w:r>
            <w:r>
              <w:rPr>
                <w:rFonts w:ascii="Times New Roman"/>
                <w:spacing w:val="-10"/>
              </w:rPr>
              <w:t xml:space="preserve"> </w:t>
            </w:r>
            <w:r>
              <w:rPr>
                <w:rFonts w:ascii="Times New Roman"/>
                <w:spacing w:val="-4"/>
              </w:rPr>
              <w:t>from</w:t>
            </w:r>
            <w:r>
              <w:rPr>
                <w:rFonts w:ascii="Times New Roman"/>
                <w:spacing w:val="-7"/>
              </w:rPr>
              <w:t xml:space="preserve"> </w:t>
            </w:r>
            <w:r>
              <w:rPr>
                <w:rFonts w:ascii="Times New Roman"/>
                <w:spacing w:val="-4"/>
              </w:rPr>
              <w:t>Balance</w:t>
            </w:r>
            <w:r>
              <w:rPr>
                <w:rFonts w:ascii="Times New Roman"/>
                <w:spacing w:val="-10"/>
              </w:rPr>
              <w:t xml:space="preserve"> </w:t>
            </w:r>
            <w:r>
              <w:rPr>
                <w:rFonts w:ascii="Times New Roman"/>
                <w:spacing w:val="-4"/>
              </w:rPr>
              <w:t>Sheet)</w:t>
            </w:r>
          </w:p>
        </w:tc>
      </w:tr>
      <w:tr w:rsidR="007F6DF9">
        <w:trPr>
          <w:trHeight w:val="679"/>
        </w:trPr>
        <w:tc>
          <w:tcPr>
            <w:tcW w:w="3234" w:type="dxa"/>
          </w:tcPr>
          <w:p w:rsidR="007F6DF9" w:rsidRDefault="00A43FBC">
            <w:pPr>
              <w:pStyle w:val="TableParagraph"/>
              <w:spacing w:before="1"/>
              <w:ind w:left="-1"/>
              <w:rPr>
                <w:rFonts w:ascii="Times New Roman"/>
              </w:rPr>
            </w:pPr>
            <w:r>
              <w:rPr>
                <w:rFonts w:ascii="Times New Roman"/>
                <w:spacing w:val="-4"/>
              </w:rPr>
              <w:t>Total</w:t>
            </w:r>
            <w:r>
              <w:rPr>
                <w:rFonts w:ascii="Times New Roman"/>
                <w:spacing w:val="-12"/>
              </w:rPr>
              <w:t xml:space="preserve"> </w:t>
            </w:r>
            <w:r>
              <w:rPr>
                <w:rFonts w:ascii="Times New Roman"/>
                <w:spacing w:val="-4"/>
              </w:rPr>
              <w:t>Assets</w:t>
            </w:r>
            <w:r>
              <w:rPr>
                <w:rFonts w:ascii="Times New Roman"/>
                <w:spacing w:val="-9"/>
              </w:rPr>
              <w:t xml:space="preserve"> </w:t>
            </w:r>
            <w:r>
              <w:rPr>
                <w:rFonts w:ascii="Times New Roman"/>
                <w:spacing w:val="-4"/>
              </w:rPr>
              <w:t>(TA)</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76"/>
        </w:trPr>
        <w:tc>
          <w:tcPr>
            <w:tcW w:w="3234" w:type="dxa"/>
          </w:tcPr>
          <w:p w:rsidR="007F6DF9" w:rsidRDefault="00A43FBC">
            <w:pPr>
              <w:pStyle w:val="TableParagraph"/>
              <w:spacing w:line="251" w:lineRule="exact"/>
              <w:ind w:left="-1"/>
              <w:rPr>
                <w:rFonts w:ascii="Times New Roman"/>
              </w:rPr>
            </w:pPr>
            <w:r>
              <w:rPr>
                <w:rFonts w:ascii="Times New Roman"/>
                <w:spacing w:val="-4"/>
              </w:rPr>
              <w:t>Total</w:t>
            </w:r>
            <w:r>
              <w:rPr>
                <w:rFonts w:ascii="Times New Roman"/>
                <w:spacing w:val="-12"/>
              </w:rPr>
              <w:t xml:space="preserve"> </w:t>
            </w:r>
            <w:r>
              <w:rPr>
                <w:rFonts w:ascii="Times New Roman"/>
                <w:spacing w:val="-4"/>
              </w:rPr>
              <w:t>Liabilities</w:t>
            </w:r>
            <w:r>
              <w:rPr>
                <w:rFonts w:ascii="Times New Roman"/>
                <w:spacing w:val="-9"/>
              </w:rPr>
              <w:t xml:space="preserve"> </w:t>
            </w:r>
            <w:r>
              <w:rPr>
                <w:rFonts w:ascii="Times New Roman"/>
                <w:spacing w:val="-4"/>
              </w:rPr>
              <w:t>(TL)</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81"/>
        </w:trPr>
        <w:tc>
          <w:tcPr>
            <w:tcW w:w="3234" w:type="dxa"/>
          </w:tcPr>
          <w:p w:rsidR="007F6DF9" w:rsidRDefault="00A43FBC">
            <w:pPr>
              <w:pStyle w:val="TableParagraph"/>
              <w:spacing w:line="251" w:lineRule="exact"/>
              <w:ind w:left="-1"/>
              <w:rPr>
                <w:rFonts w:ascii="Times New Roman"/>
              </w:rPr>
            </w:pPr>
            <w:r>
              <w:rPr>
                <w:rFonts w:ascii="Times New Roman"/>
                <w:spacing w:val="-6"/>
              </w:rPr>
              <w:t>Total</w:t>
            </w:r>
            <w:r>
              <w:rPr>
                <w:rFonts w:ascii="Times New Roman"/>
                <w:spacing w:val="1"/>
              </w:rPr>
              <w:t xml:space="preserve"> </w:t>
            </w:r>
            <w:r>
              <w:rPr>
                <w:rFonts w:ascii="Times New Roman"/>
                <w:spacing w:val="-6"/>
              </w:rPr>
              <w:t>Equity/Net</w:t>
            </w:r>
            <w:r>
              <w:rPr>
                <w:rFonts w:ascii="Times New Roman"/>
                <w:spacing w:val="4"/>
              </w:rPr>
              <w:t xml:space="preserve"> </w:t>
            </w:r>
            <w:r>
              <w:rPr>
                <w:rFonts w:ascii="Times New Roman"/>
                <w:spacing w:val="-6"/>
              </w:rPr>
              <w:t>Worth</w:t>
            </w:r>
            <w:r>
              <w:rPr>
                <w:rFonts w:ascii="Times New Roman"/>
                <w:spacing w:val="3"/>
              </w:rPr>
              <w:t xml:space="preserve"> </w:t>
            </w:r>
            <w:r>
              <w:rPr>
                <w:rFonts w:ascii="Times New Roman"/>
                <w:spacing w:val="-6"/>
              </w:rPr>
              <w:t>(NW)</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77"/>
        </w:trPr>
        <w:tc>
          <w:tcPr>
            <w:tcW w:w="3234" w:type="dxa"/>
          </w:tcPr>
          <w:p w:rsidR="007F6DF9" w:rsidRDefault="00A43FBC">
            <w:pPr>
              <w:pStyle w:val="TableParagraph"/>
              <w:spacing w:line="252" w:lineRule="exact"/>
              <w:ind w:left="-1"/>
              <w:rPr>
                <w:rFonts w:ascii="Times New Roman"/>
              </w:rPr>
            </w:pPr>
            <w:r>
              <w:rPr>
                <w:rFonts w:ascii="Times New Roman"/>
                <w:spacing w:val="-6"/>
              </w:rPr>
              <w:t>Current</w:t>
            </w:r>
            <w:r>
              <w:rPr>
                <w:rFonts w:ascii="Times New Roman"/>
                <w:spacing w:val="1"/>
              </w:rPr>
              <w:t xml:space="preserve"> </w:t>
            </w:r>
            <w:r>
              <w:rPr>
                <w:rFonts w:ascii="Times New Roman"/>
                <w:spacing w:val="-6"/>
              </w:rPr>
              <w:t>Assets</w:t>
            </w:r>
            <w:r>
              <w:rPr>
                <w:rFonts w:ascii="Times New Roman"/>
                <w:spacing w:val="3"/>
              </w:rPr>
              <w:t xml:space="preserve"> </w:t>
            </w:r>
            <w:r>
              <w:rPr>
                <w:rFonts w:ascii="Times New Roman"/>
                <w:spacing w:val="-6"/>
              </w:rPr>
              <w:t>(CA)</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76"/>
        </w:trPr>
        <w:tc>
          <w:tcPr>
            <w:tcW w:w="3234" w:type="dxa"/>
          </w:tcPr>
          <w:p w:rsidR="007F6DF9" w:rsidRDefault="00A43FBC">
            <w:pPr>
              <w:pStyle w:val="TableParagraph"/>
              <w:spacing w:line="251" w:lineRule="exact"/>
              <w:ind w:left="-1"/>
              <w:rPr>
                <w:rFonts w:ascii="Times New Roman"/>
              </w:rPr>
            </w:pPr>
            <w:r>
              <w:rPr>
                <w:rFonts w:ascii="Times New Roman"/>
                <w:spacing w:val="-6"/>
              </w:rPr>
              <w:t>Current</w:t>
            </w:r>
            <w:r>
              <w:rPr>
                <w:rFonts w:ascii="Times New Roman"/>
                <w:spacing w:val="8"/>
              </w:rPr>
              <w:t xml:space="preserve"> </w:t>
            </w:r>
            <w:r>
              <w:rPr>
                <w:rFonts w:ascii="Times New Roman"/>
                <w:spacing w:val="-6"/>
              </w:rPr>
              <w:t>Liabilities</w:t>
            </w:r>
            <w:r>
              <w:rPr>
                <w:rFonts w:ascii="Times New Roman"/>
                <w:spacing w:val="8"/>
              </w:rPr>
              <w:t xml:space="preserve"> </w:t>
            </w:r>
            <w:r>
              <w:rPr>
                <w:rFonts w:ascii="Times New Roman"/>
                <w:spacing w:val="-6"/>
              </w:rPr>
              <w:t>(CL)</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76"/>
        </w:trPr>
        <w:tc>
          <w:tcPr>
            <w:tcW w:w="3234" w:type="dxa"/>
          </w:tcPr>
          <w:p w:rsidR="007F6DF9" w:rsidRDefault="00A43FBC">
            <w:pPr>
              <w:pStyle w:val="TableParagraph"/>
              <w:spacing w:line="251" w:lineRule="exact"/>
              <w:ind w:left="-1"/>
              <w:rPr>
                <w:rFonts w:ascii="Times New Roman"/>
              </w:rPr>
            </w:pPr>
            <w:r>
              <w:rPr>
                <w:rFonts w:ascii="Times New Roman"/>
                <w:spacing w:val="-6"/>
              </w:rPr>
              <w:t>Working</w:t>
            </w:r>
            <w:r>
              <w:rPr>
                <w:rFonts w:ascii="Times New Roman"/>
                <w:spacing w:val="3"/>
              </w:rPr>
              <w:t xml:space="preserve"> </w:t>
            </w:r>
            <w:r>
              <w:rPr>
                <w:rFonts w:ascii="Times New Roman"/>
                <w:spacing w:val="-6"/>
              </w:rPr>
              <w:t>Capital</w:t>
            </w:r>
            <w:r>
              <w:rPr>
                <w:rFonts w:ascii="Times New Roman"/>
                <w:spacing w:val="5"/>
              </w:rPr>
              <w:t xml:space="preserve"> </w:t>
            </w:r>
            <w:r>
              <w:rPr>
                <w:rFonts w:ascii="Times New Roman"/>
                <w:spacing w:val="-6"/>
              </w:rPr>
              <w:t>(WC)</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522"/>
        </w:trPr>
        <w:tc>
          <w:tcPr>
            <w:tcW w:w="9231" w:type="dxa"/>
            <w:gridSpan w:val="6"/>
          </w:tcPr>
          <w:p w:rsidR="007F6DF9" w:rsidRDefault="00A43FBC">
            <w:pPr>
              <w:pStyle w:val="TableParagraph"/>
              <w:spacing w:line="251" w:lineRule="exact"/>
              <w:ind w:left="-1"/>
              <w:rPr>
                <w:rFonts w:ascii="Times New Roman"/>
              </w:rPr>
            </w:pPr>
            <w:r>
              <w:rPr>
                <w:rFonts w:ascii="Times New Roman"/>
                <w:spacing w:val="-4"/>
              </w:rPr>
              <w:t>Information</w:t>
            </w:r>
            <w:r>
              <w:rPr>
                <w:rFonts w:ascii="Times New Roman"/>
                <w:spacing w:val="-10"/>
              </w:rPr>
              <w:t xml:space="preserve"> </w:t>
            </w:r>
            <w:r>
              <w:rPr>
                <w:rFonts w:ascii="Times New Roman"/>
                <w:spacing w:val="-4"/>
              </w:rPr>
              <w:t>from</w:t>
            </w:r>
            <w:r>
              <w:rPr>
                <w:rFonts w:ascii="Times New Roman"/>
                <w:spacing w:val="-9"/>
              </w:rPr>
              <w:t xml:space="preserve"> </w:t>
            </w:r>
            <w:r>
              <w:rPr>
                <w:rFonts w:ascii="Times New Roman"/>
                <w:spacing w:val="-4"/>
              </w:rPr>
              <w:t>Income</w:t>
            </w:r>
            <w:r>
              <w:rPr>
                <w:rFonts w:ascii="Times New Roman"/>
                <w:spacing w:val="-9"/>
              </w:rPr>
              <w:t xml:space="preserve"> </w:t>
            </w:r>
            <w:r>
              <w:rPr>
                <w:rFonts w:ascii="Times New Roman"/>
                <w:spacing w:val="-4"/>
              </w:rPr>
              <w:t>Statement</w:t>
            </w:r>
          </w:p>
        </w:tc>
      </w:tr>
      <w:tr w:rsidR="007F6DF9">
        <w:trPr>
          <w:trHeight w:val="676"/>
        </w:trPr>
        <w:tc>
          <w:tcPr>
            <w:tcW w:w="3234" w:type="dxa"/>
          </w:tcPr>
          <w:p w:rsidR="007F6DF9" w:rsidRDefault="00A43FBC">
            <w:pPr>
              <w:pStyle w:val="TableParagraph"/>
              <w:spacing w:line="251" w:lineRule="exact"/>
              <w:ind w:left="-1"/>
              <w:rPr>
                <w:rFonts w:ascii="Times New Roman"/>
              </w:rPr>
            </w:pPr>
            <w:r>
              <w:rPr>
                <w:rFonts w:ascii="Times New Roman"/>
                <w:spacing w:val="-4"/>
              </w:rPr>
              <w:t>Total</w:t>
            </w:r>
            <w:r>
              <w:rPr>
                <w:rFonts w:ascii="Times New Roman"/>
                <w:spacing w:val="-10"/>
              </w:rPr>
              <w:t xml:space="preserve"> </w:t>
            </w:r>
            <w:r>
              <w:rPr>
                <w:rFonts w:ascii="Times New Roman"/>
                <w:spacing w:val="-4"/>
              </w:rPr>
              <w:t>Revenue</w:t>
            </w:r>
            <w:r>
              <w:rPr>
                <w:rFonts w:ascii="Times New Roman"/>
                <w:spacing w:val="-9"/>
              </w:rPr>
              <w:t xml:space="preserve"> </w:t>
            </w:r>
            <w:r>
              <w:rPr>
                <w:rFonts w:ascii="Times New Roman"/>
                <w:spacing w:val="-4"/>
              </w:rPr>
              <w:t>(TR)</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775"/>
        </w:trPr>
        <w:tc>
          <w:tcPr>
            <w:tcW w:w="3234" w:type="dxa"/>
          </w:tcPr>
          <w:p w:rsidR="007F6DF9" w:rsidRDefault="00A43FBC">
            <w:pPr>
              <w:pStyle w:val="TableParagraph"/>
              <w:spacing w:line="252" w:lineRule="exact"/>
              <w:ind w:left="-1"/>
              <w:rPr>
                <w:rFonts w:ascii="Times New Roman"/>
              </w:rPr>
            </w:pPr>
            <w:r>
              <w:rPr>
                <w:rFonts w:ascii="Times New Roman"/>
                <w:spacing w:val="-4"/>
              </w:rPr>
              <w:t>Profits</w:t>
            </w:r>
            <w:r>
              <w:rPr>
                <w:rFonts w:ascii="Times New Roman"/>
                <w:spacing w:val="-11"/>
              </w:rPr>
              <w:t xml:space="preserve"> </w:t>
            </w:r>
            <w:r>
              <w:rPr>
                <w:rFonts w:ascii="Times New Roman"/>
                <w:spacing w:val="-4"/>
              </w:rPr>
              <w:t>Before</w:t>
            </w:r>
            <w:r>
              <w:rPr>
                <w:rFonts w:ascii="Times New Roman"/>
                <w:spacing w:val="-10"/>
              </w:rPr>
              <w:t xml:space="preserve"> </w:t>
            </w:r>
            <w:r>
              <w:rPr>
                <w:rFonts w:ascii="Times New Roman"/>
                <w:spacing w:val="-4"/>
              </w:rPr>
              <w:t>Taxes</w:t>
            </w:r>
            <w:r>
              <w:rPr>
                <w:rFonts w:ascii="Times New Roman"/>
                <w:spacing w:val="-7"/>
              </w:rPr>
              <w:t xml:space="preserve"> </w:t>
            </w:r>
            <w:r>
              <w:rPr>
                <w:rFonts w:ascii="Times New Roman"/>
                <w:spacing w:val="-4"/>
              </w:rPr>
              <w:t>(PBT)</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522"/>
        </w:trPr>
        <w:tc>
          <w:tcPr>
            <w:tcW w:w="9231" w:type="dxa"/>
            <w:gridSpan w:val="6"/>
          </w:tcPr>
          <w:p w:rsidR="007F6DF9" w:rsidRDefault="00A43FBC">
            <w:pPr>
              <w:pStyle w:val="TableParagraph"/>
              <w:spacing w:line="251" w:lineRule="exact"/>
              <w:ind w:left="-1"/>
              <w:rPr>
                <w:rFonts w:ascii="Times New Roman"/>
              </w:rPr>
            </w:pPr>
            <w:r>
              <w:rPr>
                <w:rFonts w:ascii="Times New Roman"/>
                <w:spacing w:val="-4"/>
              </w:rPr>
              <w:t>Cash</w:t>
            </w:r>
            <w:r>
              <w:rPr>
                <w:rFonts w:ascii="Times New Roman"/>
                <w:spacing w:val="-11"/>
              </w:rPr>
              <w:t xml:space="preserve"> </w:t>
            </w:r>
            <w:r>
              <w:rPr>
                <w:rFonts w:ascii="Times New Roman"/>
                <w:spacing w:val="-4"/>
              </w:rPr>
              <w:t>Flow</w:t>
            </w:r>
            <w:r>
              <w:rPr>
                <w:rFonts w:ascii="Times New Roman"/>
                <w:spacing w:val="-6"/>
              </w:rPr>
              <w:t xml:space="preserve"> </w:t>
            </w:r>
            <w:r>
              <w:rPr>
                <w:rFonts w:ascii="Times New Roman"/>
                <w:spacing w:val="-4"/>
              </w:rPr>
              <w:t>Information</w:t>
            </w:r>
          </w:p>
        </w:tc>
      </w:tr>
      <w:tr w:rsidR="007F6DF9">
        <w:trPr>
          <w:trHeight w:val="678"/>
        </w:trPr>
        <w:tc>
          <w:tcPr>
            <w:tcW w:w="3234" w:type="dxa"/>
          </w:tcPr>
          <w:p w:rsidR="007F6DF9" w:rsidRDefault="00A43FBC">
            <w:pPr>
              <w:pStyle w:val="TableParagraph"/>
              <w:spacing w:line="251" w:lineRule="exact"/>
              <w:ind w:left="-1"/>
              <w:rPr>
                <w:rFonts w:ascii="Times New Roman"/>
              </w:rPr>
            </w:pPr>
            <w:r>
              <w:rPr>
                <w:rFonts w:ascii="Times New Roman"/>
                <w:spacing w:val="-4"/>
              </w:rPr>
              <w:t>Cash</w:t>
            </w:r>
            <w:r>
              <w:rPr>
                <w:rFonts w:ascii="Times New Roman"/>
                <w:spacing w:val="-9"/>
              </w:rPr>
              <w:t xml:space="preserve"> </w:t>
            </w:r>
            <w:r>
              <w:rPr>
                <w:rFonts w:ascii="Times New Roman"/>
                <w:spacing w:val="-4"/>
              </w:rPr>
              <w:t>Flow</w:t>
            </w:r>
            <w:r>
              <w:rPr>
                <w:rFonts w:ascii="Times New Roman"/>
                <w:spacing w:val="-10"/>
              </w:rPr>
              <w:t xml:space="preserve"> </w:t>
            </w:r>
            <w:r>
              <w:rPr>
                <w:rFonts w:ascii="Times New Roman"/>
                <w:spacing w:val="-4"/>
              </w:rPr>
              <w:t>from</w:t>
            </w:r>
            <w:r>
              <w:rPr>
                <w:rFonts w:ascii="Times New Roman"/>
                <w:spacing w:val="-7"/>
              </w:rPr>
              <w:t xml:space="preserve"> </w:t>
            </w:r>
            <w:r>
              <w:rPr>
                <w:rFonts w:ascii="Times New Roman"/>
                <w:spacing w:val="-4"/>
              </w:rPr>
              <w:t>Operating</w:t>
            </w:r>
            <w:r>
              <w:rPr>
                <w:rFonts w:ascii="Times New Roman"/>
                <w:spacing w:val="-6"/>
              </w:rPr>
              <w:t xml:space="preserve"> </w:t>
            </w:r>
            <w:r>
              <w:rPr>
                <w:rFonts w:ascii="Times New Roman"/>
                <w:spacing w:val="-4"/>
              </w:rPr>
              <w:t>Activities</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bl>
    <w:p w:rsidR="007F6DF9" w:rsidRDefault="00A43FBC">
      <w:pPr>
        <w:spacing w:before="8"/>
        <w:ind w:left="559"/>
        <w:rPr>
          <w:sz w:val="24"/>
        </w:rPr>
      </w:pPr>
      <w:r>
        <w:rPr>
          <w:sz w:val="24"/>
        </w:rPr>
        <w:t>*Refer</w:t>
      </w:r>
      <w:r>
        <w:rPr>
          <w:spacing w:val="-14"/>
          <w:sz w:val="24"/>
        </w:rPr>
        <w:t xml:space="preserve"> </w:t>
      </w:r>
      <w:r>
        <w:rPr>
          <w:sz w:val="24"/>
        </w:rPr>
        <w:t>to</w:t>
      </w:r>
      <w:r>
        <w:rPr>
          <w:spacing w:val="-8"/>
          <w:sz w:val="24"/>
        </w:rPr>
        <w:t xml:space="preserve"> </w:t>
      </w:r>
      <w:r>
        <w:rPr>
          <w:sz w:val="24"/>
        </w:rPr>
        <w:t>ITT</w:t>
      </w:r>
      <w:r>
        <w:rPr>
          <w:spacing w:val="-13"/>
          <w:sz w:val="24"/>
        </w:rPr>
        <w:t xml:space="preserve"> </w:t>
      </w:r>
      <w:r>
        <w:rPr>
          <w:sz w:val="24"/>
        </w:rPr>
        <w:t>15</w:t>
      </w:r>
      <w:r>
        <w:rPr>
          <w:spacing w:val="-10"/>
          <w:sz w:val="24"/>
        </w:rPr>
        <w:t xml:space="preserve"> </w:t>
      </w:r>
      <w:r>
        <w:rPr>
          <w:sz w:val="24"/>
        </w:rPr>
        <w:t>for</w:t>
      </w:r>
      <w:r>
        <w:rPr>
          <w:spacing w:val="-14"/>
          <w:sz w:val="24"/>
        </w:rPr>
        <w:t xml:space="preserve"> </w:t>
      </w:r>
      <w:r>
        <w:rPr>
          <w:sz w:val="24"/>
        </w:rPr>
        <w:t>the</w:t>
      </w:r>
      <w:r>
        <w:rPr>
          <w:spacing w:val="-11"/>
          <w:sz w:val="24"/>
        </w:rPr>
        <w:t xml:space="preserve"> </w:t>
      </w:r>
      <w:r>
        <w:rPr>
          <w:sz w:val="24"/>
        </w:rPr>
        <w:t>exchange</w:t>
      </w:r>
      <w:r>
        <w:rPr>
          <w:spacing w:val="-11"/>
          <w:sz w:val="24"/>
        </w:rPr>
        <w:t xml:space="preserve"> </w:t>
      </w:r>
      <w:r>
        <w:rPr>
          <w:spacing w:val="-4"/>
          <w:sz w:val="24"/>
        </w:rPr>
        <w:t>rate</w:t>
      </w:r>
    </w:p>
    <w:p w:rsidR="007F6DF9" w:rsidRDefault="007F6DF9">
      <w:pPr>
        <w:rPr>
          <w:sz w:val="24"/>
        </w:rPr>
        <w:sectPr w:rsidR="007F6DF9">
          <w:pgSz w:w="11920" w:h="16850"/>
          <w:pgMar w:top="360" w:right="283" w:bottom="620" w:left="141" w:header="0" w:footer="437" w:gutter="0"/>
          <w:cols w:space="720"/>
        </w:sectPr>
      </w:pPr>
    </w:p>
    <w:p w:rsidR="007F6DF9" w:rsidRDefault="00A43FBC">
      <w:pPr>
        <w:pStyle w:val="ListParagraph"/>
        <w:numPr>
          <w:ilvl w:val="2"/>
          <w:numId w:val="157"/>
        </w:numPr>
        <w:tabs>
          <w:tab w:val="left" w:pos="1280"/>
        </w:tabs>
        <w:spacing w:before="241"/>
        <w:rPr>
          <w:b/>
        </w:rPr>
      </w:pPr>
      <w:r>
        <w:rPr>
          <w:b/>
          <w:noProof/>
        </w:rPr>
        <w:lastRenderedPageBreak/>
        <mc:AlternateContent>
          <mc:Choice Requires="wpg">
            <w:drawing>
              <wp:anchor distT="0" distB="0" distL="0" distR="0" simplePos="0" relativeHeight="251658752"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181" name="Graphic 181"/>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182" name="Graphic 182"/>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5399E8C4" id="Group 180" o:spid="_x0000_s1026" style="position:absolute;margin-left:-.1pt;margin-top:806.2pt;width:595.45pt;height:24.5pt;z-index:-251657728;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HwKOxJZAwAA3AsAAA4A&#10;AAAAAAAAAAAAAAAALgIAAGRycy9lMm9Eb2MueG1sUEsBAi0AFAAGAAgAAAAhAHX34X/hAAAADAEA&#10;AA8AAAAAAAAAAAAAAAAAswUAAGRycy9kb3ducmV2LnhtbFBLBQYAAAAABAAEAPMAAADBBgAAAAA=&#10;">
                <v:shape id="Graphic 181"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" path="m944880,l,,,307975r790575,l839470,300355r41910,-22225l915035,245110r22225,-42545l944880,153670,944880,xe" fillcolor="#00a650" stroked="f">
                  <v:path arrowok="t"/>
                </v:shape>
                <v:shape id="Graphic 182"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b/>
          <w:spacing w:val="-4"/>
        </w:rPr>
        <w:t>Sources</w:t>
      </w:r>
      <w:r>
        <w:rPr>
          <w:b/>
          <w:spacing w:val="-12"/>
        </w:rPr>
        <w:t xml:space="preserve"> </w:t>
      </w:r>
      <w:r>
        <w:rPr>
          <w:b/>
          <w:spacing w:val="-4"/>
        </w:rPr>
        <w:t>of</w:t>
      </w:r>
      <w:r>
        <w:rPr>
          <w:b/>
          <w:spacing w:val="-7"/>
        </w:rPr>
        <w:t xml:space="preserve"> </w:t>
      </w:r>
      <w:r>
        <w:rPr>
          <w:b/>
          <w:spacing w:val="-4"/>
        </w:rPr>
        <w:t>Finance</w:t>
      </w:r>
    </w:p>
    <w:p w:rsidR="007F6DF9" w:rsidRDefault="007F6DF9">
      <w:pPr>
        <w:pStyle w:val="BodyText"/>
        <w:spacing w:before="1"/>
        <w:rPr>
          <w:b/>
        </w:rPr>
      </w:pPr>
    </w:p>
    <w:p w:rsidR="007F6DF9" w:rsidRDefault="00A43FBC">
      <w:pPr>
        <w:pStyle w:val="BodyText"/>
        <w:ind w:left="559"/>
      </w:pPr>
      <w:r>
        <w:t>Specify</w:t>
      </w:r>
      <w:r>
        <w:rPr>
          <w:spacing w:val="-1"/>
        </w:rPr>
        <w:t xml:space="preserve"> </w:t>
      </w:r>
      <w:r>
        <w:t>sources</w:t>
      </w:r>
      <w:r>
        <w:rPr>
          <w:spacing w:val="-2"/>
        </w:rPr>
        <w:t xml:space="preserve"> </w:t>
      </w:r>
      <w:r>
        <w:t>of</w:t>
      </w:r>
      <w:r>
        <w:rPr>
          <w:spacing w:val="-1"/>
        </w:rPr>
        <w:t xml:space="preserve"> </w:t>
      </w:r>
      <w:r>
        <w:t>finance</w:t>
      </w:r>
      <w:r>
        <w:rPr>
          <w:spacing w:val="-3"/>
        </w:rPr>
        <w:t xml:space="preserve"> </w:t>
      </w:r>
      <w:r>
        <w:t>to</w:t>
      </w:r>
      <w:r>
        <w:rPr>
          <w:spacing w:val="-1"/>
        </w:rPr>
        <w:t xml:space="preserve"> </w:t>
      </w:r>
      <w:r>
        <w:t>meet</w:t>
      </w:r>
      <w:r>
        <w:rPr>
          <w:spacing w:val="-3"/>
        </w:rPr>
        <w:t xml:space="preserve"> </w:t>
      </w:r>
      <w:r>
        <w:t>the</w:t>
      </w:r>
      <w:r>
        <w:rPr>
          <w:spacing w:val="-3"/>
        </w:rPr>
        <w:t xml:space="preserve"> </w:t>
      </w:r>
      <w:r>
        <w:t>cash</w:t>
      </w:r>
      <w:r>
        <w:rPr>
          <w:spacing w:val="-3"/>
        </w:rPr>
        <w:t xml:space="preserve"> </w:t>
      </w:r>
      <w:r>
        <w:t>flow</w:t>
      </w:r>
      <w:r>
        <w:rPr>
          <w:spacing w:val="-2"/>
        </w:rPr>
        <w:t xml:space="preserve"> </w:t>
      </w:r>
      <w:r>
        <w:t>requirements</w:t>
      </w:r>
      <w:r>
        <w:rPr>
          <w:spacing w:val="-3"/>
        </w:rPr>
        <w:t xml:space="preserve"> </w:t>
      </w:r>
      <w:r>
        <w:t>on</w:t>
      </w:r>
      <w:r>
        <w:rPr>
          <w:spacing w:val="-1"/>
        </w:rPr>
        <w:t xml:space="preserve"> </w:t>
      </w:r>
      <w:r>
        <w:t>works currently</w:t>
      </w:r>
      <w:r>
        <w:rPr>
          <w:spacing w:val="-4"/>
        </w:rPr>
        <w:t xml:space="preserve"> </w:t>
      </w:r>
      <w:r>
        <w:t>in</w:t>
      </w:r>
      <w:r>
        <w:rPr>
          <w:spacing w:val="-1"/>
        </w:rPr>
        <w:t xml:space="preserve"> </w:t>
      </w:r>
      <w:r>
        <w:t>progress</w:t>
      </w:r>
      <w:r>
        <w:rPr>
          <w:spacing w:val="-2"/>
        </w:rPr>
        <w:t xml:space="preserve"> </w:t>
      </w:r>
      <w:r>
        <w:t>and</w:t>
      </w:r>
      <w:r>
        <w:rPr>
          <w:spacing w:val="-4"/>
        </w:rPr>
        <w:t xml:space="preserve"> </w:t>
      </w:r>
      <w:r>
        <w:t>for</w:t>
      </w:r>
      <w:r>
        <w:rPr>
          <w:spacing w:val="-1"/>
        </w:rPr>
        <w:t xml:space="preserve"> </w:t>
      </w:r>
      <w:r>
        <w:t>future</w:t>
      </w:r>
      <w:r>
        <w:rPr>
          <w:spacing w:val="-2"/>
        </w:rPr>
        <w:t xml:space="preserve"> </w:t>
      </w:r>
      <w:r>
        <w:t xml:space="preserve">contract </w:t>
      </w:r>
      <w:r>
        <w:rPr>
          <w:spacing w:val="-2"/>
        </w:rPr>
        <w:t>commitments.</w:t>
      </w:r>
    </w:p>
    <w:p w:rsidR="007F6DF9" w:rsidRDefault="007F6DF9">
      <w:pPr>
        <w:pStyle w:val="BodyText"/>
        <w:spacing w:before="2"/>
        <w:rPr>
          <w:sz w:val="20"/>
        </w:rPr>
      </w:pPr>
    </w:p>
    <w:tbl>
      <w:tblPr>
        <w:tblW w:w="0" w:type="auto"/>
        <w:tblInd w:w="1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5761"/>
        <w:gridCol w:w="3241"/>
      </w:tblGrid>
      <w:tr w:rsidR="007F6DF9">
        <w:trPr>
          <w:trHeight w:val="483"/>
        </w:trPr>
        <w:tc>
          <w:tcPr>
            <w:tcW w:w="540" w:type="dxa"/>
            <w:tcBorders>
              <w:right w:val="single" w:sz="6" w:space="0" w:color="000000"/>
            </w:tcBorders>
          </w:tcPr>
          <w:p w:rsidR="007F6DF9" w:rsidRDefault="00A43FBC">
            <w:pPr>
              <w:pStyle w:val="TableParagraph"/>
              <w:spacing w:before="126"/>
              <w:ind w:left="71"/>
              <w:rPr>
                <w:rFonts w:ascii="Arial"/>
                <w:b/>
                <w:sz w:val="20"/>
              </w:rPr>
            </w:pPr>
            <w:r>
              <w:rPr>
                <w:rFonts w:ascii="Arial"/>
                <w:b/>
                <w:spacing w:val="-5"/>
                <w:sz w:val="20"/>
              </w:rPr>
              <w:t>No.</w:t>
            </w:r>
          </w:p>
        </w:tc>
        <w:tc>
          <w:tcPr>
            <w:tcW w:w="5761" w:type="dxa"/>
            <w:tcBorders>
              <w:left w:val="single" w:sz="6" w:space="0" w:color="000000"/>
              <w:right w:val="single" w:sz="6" w:space="0" w:color="000000"/>
            </w:tcBorders>
          </w:tcPr>
          <w:p w:rsidR="007F6DF9" w:rsidRDefault="00A43FBC">
            <w:pPr>
              <w:pStyle w:val="TableParagraph"/>
              <w:spacing w:line="229" w:lineRule="exact"/>
              <w:ind w:left="78"/>
              <w:rPr>
                <w:rFonts w:ascii="Arial"/>
                <w:b/>
                <w:sz w:val="20"/>
              </w:rPr>
            </w:pPr>
            <w:r>
              <w:rPr>
                <w:rFonts w:ascii="Arial"/>
                <w:b/>
                <w:spacing w:val="-2"/>
                <w:sz w:val="20"/>
              </w:rPr>
              <w:t>Source</w:t>
            </w:r>
            <w:r>
              <w:rPr>
                <w:rFonts w:ascii="Arial"/>
                <w:b/>
                <w:spacing w:val="-9"/>
                <w:sz w:val="20"/>
              </w:rPr>
              <w:t xml:space="preserve"> </w:t>
            </w:r>
            <w:r>
              <w:rPr>
                <w:rFonts w:ascii="Arial"/>
                <w:b/>
                <w:spacing w:val="-2"/>
                <w:sz w:val="20"/>
              </w:rPr>
              <w:t>of</w:t>
            </w:r>
            <w:r>
              <w:rPr>
                <w:rFonts w:ascii="Arial"/>
                <w:b/>
                <w:spacing w:val="-7"/>
                <w:sz w:val="20"/>
              </w:rPr>
              <w:t xml:space="preserve"> </w:t>
            </w:r>
            <w:r>
              <w:rPr>
                <w:rFonts w:ascii="Arial"/>
                <w:b/>
                <w:spacing w:val="-2"/>
                <w:sz w:val="20"/>
              </w:rPr>
              <w:t>finance</w:t>
            </w:r>
          </w:p>
        </w:tc>
        <w:tc>
          <w:tcPr>
            <w:tcW w:w="3241" w:type="dxa"/>
            <w:tcBorders>
              <w:left w:val="single" w:sz="6" w:space="0" w:color="000000"/>
            </w:tcBorders>
          </w:tcPr>
          <w:p w:rsidR="007F6DF9" w:rsidRDefault="00A43FBC">
            <w:pPr>
              <w:pStyle w:val="TableParagraph"/>
              <w:spacing w:line="251" w:lineRule="exact"/>
              <w:ind w:left="78"/>
              <w:rPr>
                <w:rFonts w:ascii="Times New Roman"/>
                <w:b/>
              </w:rPr>
            </w:pPr>
            <w:r>
              <w:rPr>
                <w:rFonts w:ascii="Arial"/>
                <w:b/>
                <w:spacing w:val="-4"/>
                <w:sz w:val="20"/>
              </w:rPr>
              <w:t>Amount</w:t>
            </w:r>
            <w:r>
              <w:rPr>
                <w:rFonts w:ascii="Arial"/>
                <w:b/>
                <w:spacing w:val="-2"/>
                <w:sz w:val="20"/>
              </w:rPr>
              <w:t xml:space="preserve"> </w:t>
            </w:r>
            <w:r>
              <w:rPr>
                <w:rFonts w:ascii="Arial"/>
                <w:b/>
                <w:spacing w:val="-4"/>
                <w:sz w:val="20"/>
              </w:rPr>
              <w:t>(</w:t>
            </w:r>
            <w:r>
              <w:rPr>
                <w:rFonts w:ascii="Times New Roman"/>
                <w:b/>
                <w:spacing w:val="-4"/>
              </w:rPr>
              <w:t>Kenya</w:t>
            </w:r>
            <w:r>
              <w:rPr>
                <w:rFonts w:ascii="Times New Roman"/>
                <w:b/>
                <w:spacing w:val="-5"/>
              </w:rPr>
              <w:t xml:space="preserve"> </w:t>
            </w:r>
            <w:r>
              <w:rPr>
                <w:rFonts w:ascii="Times New Roman"/>
                <w:b/>
                <w:spacing w:val="-4"/>
              </w:rPr>
              <w:t>Shilling</w:t>
            </w:r>
          </w:p>
          <w:p w:rsidR="007F6DF9" w:rsidRDefault="00A43FBC">
            <w:pPr>
              <w:pStyle w:val="TableParagraph"/>
              <w:spacing w:before="2" w:line="210" w:lineRule="exact"/>
              <w:ind w:left="78"/>
              <w:rPr>
                <w:rFonts w:ascii="Arial"/>
                <w:b/>
                <w:sz w:val="20"/>
              </w:rPr>
            </w:pPr>
            <w:r>
              <w:rPr>
                <w:rFonts w:ascii="Arial"/>
                <w:b/>
                <w:spacing w:val="-2"/>
                <w:sz w:val="20"/>
              </w:rPr>
              <w:t>equivalent)</w:t>
            </w:r>
          </w:p>
        </w:tc>
      </w:tr>
      <w:tr w:rsidR="007F6DF9">
        <w:trPr>
          <w:trHeight w:val="459"/>
        </w:trPr>
        <w:tc>
          <w:tcPr>
            <w:tcW w:w="540" w:type="dxa"/>
            <w:tcBorders>
              <w:left w:val="single" w:sz="6" w:space="0" w:color="000000"/>
              <w:bottom w:val="single" w:sz="6" w:space="0" w:color="000000"/>
              <w:right w:val="single" w:sz="6" w:space="0" w:color="000000"/>
            </w:tcBorders>
          </w:tcPr>
          <w:p w:rsidR="007F6DF9" w:rsidRDefault="00A43FBC">
            <w:pPr>
              <w:pStyle w:val="TableParagraph"/>
              <w:spacing w:before="114"/>
              <w:ind w:left="78"/>
              <w:rPr>
                <w:rFonts w:ascii="Arial MT"/>
                <w:sz w:val="20"/>
              </w:rPr>
            </w:pPr>
            <w:r>
              <w:rPr>
                <w:rFonts w:ascii="Arial MT"/>
                <w:spacing w:val="-10"/>
                <w:sz w:val="20"/>
              </w:rPr>
              <w:t>1</w:t>
            </w:r>
          </w:p>
        </w:tc>
        <w:tc>
          <w:tcPr>
            <w:tcW w:w="5761" w:type="dxa"/>
            <w:tcBorders>
              <w:left w:val="single" w:sz="6" w:space="0" w:color="000000"/>
              <w:bottom w:val="single" w:sz="6" w:space="0" w:color="000000"/>
              <w:right w:val="single" w:sz="6" w:space="0" w:color="000000"/>
            </w:tcBorders>
          </w:tcPr>
          <w:p w:rsidR="007F6DF9" w:rsidRDefault="007F6DF9">
            <w:pPr>
              <w:pStyle w:val="TableParagraph"/>
              <w:rPr>
                <w:rFonts w:ascii="Times New Roman"/>
              </w:rPr>
            </w:pPr>
          </w:p>
        </w:tc>
        <w:tc>
          <w:tcPr>
            <w:tcW w:w="3241" w:type="dxa"/>
            <w:tcBorders>
              <w:left w:val="single" w:sz="6" w:space="0" w:color="000000"/>
              <w:bottom w:val="single" w:sz="6" w:space="0" w:color="000000"/>
              <w:right w:val="single" w:sz="6" w:space="0" w:color="000000"/>
            </w:tcBorders>
          </w:tcPr>
          <w:p w:rsidR="007F6DF9" w:rsidRDefault="007F6DF9">
            <w:pPr>
              <w:pStyle w:val="TableParagraph"/>
              <w:rPr>
                <w:rFonts w:ascii="Times New Roman"/>
              </w:rPr>
            </w:pPr>
          </w:p>
        </w:tc>
      </w:tr>
      <w:tr w:rsidR="007F6DF9">
        <w:trPr>
          <w:trHeight w:val="460"/>
        </w:trPr>
        <w:tc>
          <w:tcPr>
            <w:tcW w:w="540" w:type="dxa"/>
            <w:tcBorders>
              <w:top w:val="single" w:sz="6" w:space="0" w:color="000000"/>
              <w:left w:val="single" w:sz="6" w:space="0" w:color="000000"/>
              <w:bottom w:val="single" w:sz="4" w:space="0" w:color="000000"/>
              <w:right w:val="single" w:sz="6" w:space="0" w:color="000000"/>
            </w:tcBorders>
          </w:tcPr>
          <w:p w:rsidR="007F6DF9" w:rsidRDefault="00A43FBC">
            <w:pPr>
              <w:pStyle w:val="TableParagraph"/>
              <w:spacing w:before="114"/>
              <w:ind w:left="78"/>
              <w:rPr>
                <w:rFonts w:ascii="Arial MT"/>
                <w:sz w:val="20"/>
              </w:rPr>
            </w:pPr>
            <w:r>
              <w:rPr>
                <w:rFonts w:ascii="Arial MT"/>
                <w:spacing w:val="-10"/>
                <w:sz w:val="20"/>
              </w:rPr>
              <w:t>2</w:t>
            </w:r>
          </w:p>
        </w:tc>
        <w:tc>
          <w:tcPr>
            <w:tcW w:w="5761" w:type="dxa"/>
            <w:tcBorders>
              <w:top w:val="single" w:sz="6" w:space="0" w:color="000000"/>
              <w:left w:val="single" w:sz="6" w:space="0" w:color="000000"/>
              <w:bottom w:val="single" w:sz="4" w:space="0" w:color="000000"/>
              <w:right w:val="single" w:sz="6" w:space="0" w:color="000000"/>
            </w:tcBorders>
          </w:tcPr>
          <w:p w:rsidR="007F6DF9" w:rsidRDefault="007F6DF9">
            <w:pPr>
              <w:pStyle w:val="TableParagraph"/>
              <w:rPr>
                <w:rFonts w:ascii="Times New Roman"/>
              </w:rPr>
            </w:pPr>
          </w:p>
        </w:tc>
        <w:tc>
          <w:tcPr>
            <w:tcW w:w="3241" w:type="dxa"/>
            <w:tcBorders>
              <w:top w:val="single" w:sz="6" w:space="0" w:color="000000"/>
              <w:left w:val="single" w:sz="6" w:space="0" w:color="000000"/>
              <w:bottom w:val="single" w:sz="4" w:space="0" w:color="000000"/>
              <w:right w:val="single" w:sz="6" w:space="0" w:color="000000"/>
            </w:tcBorders>
          </w:tcPr>
          <w:p w:rsidR="007F6DF9" w:rsidRDefault="007F6DF9">
            <w:pPr>
              <w:pStyle w:val="TableParagraph"/>
              <w:rPr>
                <w:rFonts w:ascii="Times New Roman"/>
              </w:rPr>
            </w:pPr>
          </w:p>
        </w:tc>
      </w:tr>
      <w:tr w:rsidR="007F6DF9">
        <w:trPr>
          <w:trHeight w:val="460"/>
        </w:trPr>
        <w:tc>
          <w:tcPr>
            <w:tcW w:w="540" w:type="dxa"/>
            <w:tcBorders>
              <w:top w:val="single" w:sz="4" w:space="0" w:color="000000"/>
              <w:left w:val="single" w:sz="4" w:space="0" w:color="000000"/>
              <w:bottom w:val="single" w:sz="4" w:space="0" w:color="000000"/>
              <w:right w:val="single" w:sz="4" w:space="0" w:color="000000"/>
            </w:tcBorders>
          </w:tcPr>
          <w:p w:rsidR="007F6DF9" w:rsidRDefault="00A43FBC">
            <w:pPr>
              <w:pStyle w:val="TableParagraph"/>
              <w:spacing w:before="114"/>
              <w:ind w:left="81"/>
              <w:rPr>
                <w:rFonts w:ascii="Arial MT"/>
                <w:sz w:val="20"/>
              </w:rPr>
            </w:pPr>
            <w:r>
              <w:rPr>
                <w:rFonts w:ascii="Arial MT"/>
                <w:spacing w:val="-10"/>
                <w:sz w:val="20"/>
              </w:rPr>
              <w:t>3</w:t>
            </w:r>
          </w:p>
        </w:tc>
        <w:tc>
          <w:tcPr>
            <w:tcW w:w="5761" w:type="dxa"/>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rPr>
            </w:pPr>
          </w:p>
        </w:tc>
        <w:tc>
          <w:tcPr>
            <w:tcW w:w="3241" w:type="dxa"/>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rPr>
            </w:pPr>
          </w:p>
        </w:tc>
      </w:tr>
    </w:tbl>
    <w:p w:rsidR="007F6DF9" w:rsidRDefault="007F6DF9">
      <w:pPr>
        <w:pStyle w:val="BodyText"/>
        <w:spacing w:before="23"/>
      </w:pPr>
    </w:p>
    <w:p w:rsidR="007F6DF9" w:rsidRDefault="00A43FBC">
      <w:pPr>
        <w:pStyle w:val="Heading7"/>
        <w:numPr>
          <w:ilvl w:val="2"/>
          <w:numId w:val="157"/>
        </w:numPr>
        <w:tabs>
          <w:tab w:val="left" w:pos="1280"/>
        </w:tabs>
      </w:pPr>
      <w:r>
        <w:rPr>
          <w:spacing w:val="-2"/>
        </w:rPr>
        <w:t>Financial</w:t>
      </w:r>
      <w:r>
        <w:rPr>
          <w:spacing w:val="-8"/>
        </w:rPr>
        <w:t xml:space="preserve"> </w:t>
      </w:r>
      <w:r>
        <w:rPr>
          <w:spacing w:val="-2"/>
        </w:rPr>
        <w:t>documents</w:t>
      </w:r>
    </w:p>
    <w:p w:rsidR="007F6DF9" w:rsidRDefault="00A43FBC">
      <w:pPr>
        <w:pStyle w:val="BodyText"/>
        <w:tabs>
          <w:tab w:val="left" w:pos="8022"/>
        </w:tabs>
        <w:spacing w:before="252"/>
        <w:ind w:left="559" w:right="332"/>
      </w:pPr>
      <w:r>
        <w:t xml:space="preserve">The Tenderer and its parties shall provide copies of financial statements for </w:t>
      </w:r>
      <w:r>
        <w:rPr>
          <w:u w:val="single"/>
        </w:rPr>
        <w:tab/>
      </w:r>
      <w:r>
        <w:rPr>
          <w:spacing w:val="-6"/>
        </w:rPr>
        <w:t xml:space="preserve">years pursuant Section III, Evaluation </w:t>
      </w:r>
      <w:r>
        <w:rPr>
          <w:spacing w:val="-4"/>
        </w:rPr>
        <w:t>and</w:t>
      </w:r>
      <w:r>
        <w:rPr>
          <w:spacing w:val="-6"/>
        </w:rPr>
        <w:t xml:space="preserve"> </w:t>
      </w:r>
      <w:r>
        <w:rPr>
          <w:spacing w:val="-4"/>
        </w:rPr>
        <w:t>Qualifications</w:t>
      </w:r>
      <w:r>
        <w:rPr>
          <w:spacing w:val="-5"/>
        </w:rPr>
        <w:t xml:space="preserve"> </w:t>
      </w:r>
      <w:r>
        <w:rPr>
          <w:spacing w:val="-4"/>
        </w:rPr>
        <w:t>Criteria,</w:t>
      </w:r>
      <w:r>
        <w:rPr>
          <w:spacing w:val="-5"/>
        </w:rPr>
        <w:t xml:space="preserve"> </w:t>
      </w:r>
      <w:r>
        <w:rPr>
          <w:spacing w:val="-4"/>
        </w:rPr>
        <w:t>Sub-factor</w:t>
      </w:r>
      <w:r>
        <w:rPr>
          <w:spacing w:val="-10"/>
        </w:rPr>
        <w:t xml:space="preserve"> </w:t>
      </w:r>
      <w:r>
        <w:rPr>
          <w:spacing w:val="-4"/>
        </w:rPr>
        <w:t>3.1.</w:t>
      </w:r>
      <w:r>
        <w:rPr>
          <w:spacing w:val="-11"/>
        </w:rPr>
        <w:t xml:space="preserve"> </w:t>
      </w:r>
      <w:r>
        <w:rPr>
          <w:spacing w:val="-4"/>
        </w:rPr>
        <w:t>The</w:t>
      </w:r>
      <w:r>
        <w:rPr>
          <w:spacing w:val="-10"/>
        </w:rPr>
        <w:t xml:space="preserve"> </w:t>
      </w:r>
      <w:r>
        <w:rPr>
          <w:spacing w:val="-4"/>
        </w:rPr>
        <w:t>financial</w:t>
      </w:r>
      <w:r>
        <w:rPr>
          <w:spacing w:val="-13"/>
        </w:rPr>
        <w:t xml:space="preserve"> </w:t>
      </w:r>
      <w:r>
        <w:rPr>
          <w:spacing w:val="-4"/>
        </w:rPr>
        <w:t>statements</w:t>
      </w:r>
      <w:r>
        <w:rPr>
          <w:spacing w:val="-10"/>
        </w:rPr>
        <w:t xml:space="preserve"> </w:t>
      </w:r>
      <w:r>
        <w:rPr>
          <w:spacing w:val="-4"/>
        </w:rPr>
        <w:t>shall:</w:t>
      </w:r>
    </w:p>
    <w:p w:rsidR="007F6DF9" w:rsidRDefault="00A43FBC">
      <w:pPr>
        <w:pStyle w:val="ListParagraph"/>
        <w:numPr>
          <w:ilvl w:val="0"/>
          <w:numId w:val="156"/>
        </w:numPr>
        <w:tabs>
          <w:tab w:val="left" w:pos="1280"/>
        </w:tabs>
        <w:spacing w:before="1"/>
        <w:ind w:right="480" w:firstLine="0"/>
        <w:rPr>
          <w:sz w:val="24"/>
        </w:rPr>
      </w:pPr>
      <w:r>
        <w:rPr>
          <w:sz w:val="24"/>
        </w:rPr>
        <w:t>reflect</w:t>
      </w:r>
      <w:r>
        <w:rPr>
          <w:spacing w:val="-14"/>
          <w:sz w:val="24"/>
        </w:rPr>
        <w:t xml:space="preserve"> </w:t>
      </w:r>
      <w:r>
        <w:rPr>
          <w:sz w:val="24"/>
        </w:rPr>
        <w:t>the</w:t>
      </w:r>
      <w:r>
        <w:rPr>
          <w:spacing w:val="-13"/>
          <w:sz w:val="24"/>
        </w:rPr>
        <w:t xml:space="preserve"> </w:t>
      </w:r>
      <w:r>
        <w:rPr>
          <w:sz w:val="24"/>
        </w:rPr>
        <w:t>financial</w:t>
      </w:r>
      <w:r>
        <w:rPr>
          <w:spacing w:val="-14"/>
          <w:sz w:val="24"/>
        </w:rPr>
        <w:t xml:space="preserve"> </w:t>
      </w:r>
      <w:r>
        <w:rPr>
          <w:sz w:val="24"/>
        </w:rPr>
        <w:t>situation</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Tenderer</w:t>
      </w:r>
      <w:r>
        <w:rPr>
          <w:spacing w:val="-13"/>
          <w:sz w:val="24"/>
        </w:rPr>
        <w:t xml:space="preserve"> </w:t>
      </w:r>
      <w:r>
        <w:rPr>
          <w:sz w:val="24"/>
        </w:rPr>
        <w:t>or</w:t>
      </w:r>
      <w:r>
        <w:rPr>
          <w:spacing w:val="-15"/>
          <w:sz w:val="24"/>
        </w:rPr>
        <w:t xml:space="preserve"> </w:t>
      </w:r>
      <w:r>
        <w:rPr>
          <w:sz w:val="24"/>
        </w:rPr>
        <w:t>in</w:t>
      </w:r>
      <w:r>
        <w:rPr>
          <w:spacing w:val="-12"/>
          <w:sz w:val="24"/>
        </w:rPr>
        <w:t xml:space="preserve"> </w:t>
      </w:r>
      <w:r>
        <w:rPr>
          <w:sz w:val="24"/>
        </w:rPr>
        <w:t>case</w:t>
      </w:r>
      <w:r>
        <w:rPr>
          <w:spacing w:val="-13"/>
          <w:sz w:val="24"/>
        </w:rPr>
        <w:t xml:space="preserve"> </w:t>
      </w:r>
      <w:r>
        <w:rPr>
          <w:sz w:val="24"/>
        </w:rPr>
        <w:t>of</w:t>
      </w:r>
      <w:r>
        <w:rPr>
          <w:spacing w:val="-15"/>
          <w:sz w:val="24"/>
        </w:rPr>
        <w:t xml:space="preserve"> </w:t>
      </w:r>
      <w:r>
        <w:rPr>
          <w:sz w:val="24"/>
        </w:rPr>
        <w:t>JV</w:t>
      </w:r>
      <w:r>
        <w:rPr>
          <w:spacing w:val="-15"/>
          <w:sz w:val="24"/>
        </w:rPr>
        <w:t xml:space="preserve"> </w:t>
      </w:r>
      <w:r>
        <w:rPr>
          <w:sz w:val="24"/>
        </w:rPr>
        <w:t>member,</w:t>
      </w:r>
      <w:r>
        <w:rPr>
          <w:spacing w:val="-15"/>
          <w:sz w:val="24"/>
        </w:rPr>
        <w:t xml:space="preserve"> </w:t>
      </w:r>
      <w:r>
        <w:rPr>
          <w:sz w:val="24"/>
        </w:rPr>
        <w:t>and</w:t>
      </w:r>
      <w:r>
        <w:rPr>
          <w:spacing w:val="-14"/>
          <w:sz w:val="24"/>
        </w:rPr>
        <w:t xml:space="preserve"> </w:t>
      </w:r>
      <w:r>
        <w:rPr>
          <w:sz w:val="24"/>
        </w:rPr>
        <w:t>not</w:t>
      </w:r>
      <w:r>
        <w:rPr>
          <w:spacing w:val="-14"/>
          <w:sz w:val="24"/>
        </w:rPr>
        <w:t xml:space="preserve"> </w:t>
      </w:r>
      <w:r>
        <w:rPr>
          <w:sz w:val="24"/>
        </w:rPr>
        <w:t>an</w:t>
      </w:r>
      <w:r>
        <w:rPr>
          <w:spacing w:val="-12"/>
          <w:sz w:val="24"/>
        </w:rPr>
        <w:t xml:space="preserve"> </w:t>
      </w:r>
      <w:r>
        <w:rPr>
          <w:sz w:val="24"/>
        </w:rPr>
        <w:t>affiliated</w:t>
      </w:r>
      <w:r>
        <w:rPr>
          <w:spacing w:val="-14"/>
          <w:sz w:val="24"/>
        </w:rPr>
        <w:t xml:space="preserve"> </w:t>
      </w:r>
      <w:r>
        <w:rPr>
          <w:sz w:val="24"/>
        </w:rPr>
        <w:t>entity</w:t>
      </w:r>
      <w:r>
        <w:rPr>
          <w:spacing w:val="-14"/>
          <w:sz w:val="24"/>
        </w:rPr>
        <w:t xml:space="preserve"> </w:t>
      </w:r>
      <w:r>
        <w:rPr>
          <w:sz w:val="24"/>
        </w:rPr>
        <w:t>(such as parent company or group member).</w:t>
      </w:r>
    </w:p>
    <w:p w:rsidR="007F6DF9" w:rsidRDefault="00A43FBC">
      <w:pPr>
        <w:pStyle w:val="ListParagraph"/>
        <w:numPr>
          <w:ilvl w:val="0"/>
          <w:numId w:val="156"/>
        </w:numPr>
        <w:tabs>
          <w:tab w:val="left" w:pos="1280"/>
        </w:tabs>
        <w:ind w:left="1280"/>
        <w:rPr>
          <w:sz w:val="24"/>
        </w:rPr>
      </w:pPr>
      <w:r>
        <w:rPr>
          <w:spacing w:val="-2"/>
          <w:sz w:val="24"/>
        </w:rPr>
        <w:t>be</w:t>
      </w:r>
      <w:r>
        <w:rPr>
          <w:spacing w:val="-8"/>
          <w:sz w:val="24"/>
        </w:rPr>
        <w:t xml:space="preserve"> </w:t>
      </w:r>
      <w:r>
        <w:rPr>
          <w:spacing w:val="-2"/>
          <w:sz w:val="24"/>
        </w:rPr>
        <w:t>independently</w:t>
      </w:r>
      <w:r>
        <w:rPr>
          <w:spacing w:val="-5"/>
          <w:sz w:val="24"/>
        </w:rPr>
        <w:t xml:space="preserve"> </w:t>
      </w:r>
      <w:r>
        <w:rPr>
          <w:spacing w:val="-2"/>
          <w:sz w:val="24"/>
        </w:rPr>
        <w:t>audited</w:t>
      </w:r>
      <w:r>
        <w:rPr>
          <w:spacing w:val="-3"/>
          <w:sz w:val="24"/>
        </w:rPr>
        <w:t xml:space="preserve"> </w:t>
      </w:r>
      <w:r>
        <w:rPr>
          <w:spacing w:val="-2"/>
          <w:sz w:val="24"/>
        </w:rPr>
        <w:t>or</w:t>
      </w:r>
      <w:r>
        <w:rPr>
          <w:spacing w:val="-6"/>
          <w:sz w:val="24"/>
        </w:rPr>
        <w:t xml:space="preserve"> </w:t>
      </w:r>
      <w:r>
        <w:rPr>
          <w:spacing w:val="-2"/>
          <w:sz w:val="24"/>
        </w:rPr>
        <w:t>certified</w:t>
      </w:r>
      <w:r>
        <w:rPr>
          <w:spacing w:val="-3"/>
          <w:sz w:val="24"/>
        </w:rPr>
        <w:t xml:space="preserve"> </w:t>
      </w:r>
      <w:r>
        <w:rPr>
          <w:spacing w:val="-2"/>
          <w:sz w:val="24"/>
        </w:rPr>
        <w:t>in</w:t>
      </w:r>
      <w:r>
        <w:rPr>
          <w:spacing w:val="-5"/>
          <w:sz w:val="24"/>
        </w:rPr>
        <w:t xml:space="preserve"> </w:t>
      </w:r>
      <w:r>
        <w:rPr>
          <w:spacing w:val="-2"/>
          <w:sz w:val="24"/>
        </w:rPr>
        <w:t>accordance</w:t>
      </w:r>
      <w:r>
        <w:rPr>
          <w:spacing w:val="-4"/>
          <w:sz w:val="24"/>
        </w:rPr>
        <w:t xml:space="preserve"> </w:t>
      </w:r>
      <w:r>
        <w:rPr>
          <w:spacing w:val="-2"/>
          <w:sz w:val="24"/>
        </w:rPr>
        <w:t>with</w:t>
      </w:r>
      <w:r>
        <w:rPr>
          <w:spacing w:val="-5"/>
          <w:sz w:val="24"/>
        </w:rPr>
        <w:t xml:space="preserve"> </w:t>
      </w:r>
      <w:r>
        <w:rPr>
          <w:spacing w:val="-2"/>
          <w:sz w:val="24"/>
        </w:rPr>
        <w:t>local</w:t>
      </w:r>
      <w:r>
        <w:rPr>
          <w:spacing w:val="-5"/>
          <w:sz w:val="24"/>
        </w:rPr>
        <w:t xml:space="preserve"> </w:t>
      </w:r>
      <w:r>
        <w:rPr>
          <w:spacing w:val="-2"/>
          <w:sz w:val="24"/>
        </w:rPr>
        <w:t>legislation.</w:t>
      </w:r>
    </w:p>
    <w:p w:rsidR="007F6DF9" w:rsidRDefault="00A43FBC">
      <w:pPr>
        <w:pStyle w:val="ListParagraph"/>
        <w:numPr>
          <w:ilvl w:val="0"/>
          <w:numId w:val="156"/>
        </w:numPr>
        <w:tabs>
          <w:tab w:val="left" w:pos="1280"/>
        </w:tabs>
        <w:ind w:left="1280"/>
        <w:rPr>
          <w:sz w:val="24"/>
        </w:rPr>
      </w:pPr>
      <w:r>
        <w:rPr>
          <w:sz w:val="24"/>
        </w:rPr>
        <w:t>be</w:t>
      </w:r>
      <w:r>
        <w:rPr>
          <w:spacing w:val="-15"/>
          <w:sz w:val="24"/>
        </w:rPr>
        <w:t xml:space="preserve"> </w:t>
      </w:r>
      <w:r>
        <w:rPr>
          <w:sz w:val="24"/>
        </w:rPr>
        <w:t>complete,</w:t>
      </w:r>
      <w:r>
        <w:rPr>
          <w:spacing w:val="-15"/>
          <w:sz w:val="24"/>
        </w:rPr>
        <w:t xml:space="preserve"> </w:t>
      </w:r>
      <w:r>
        <w:rPr>
          <w:sz w:val="24"/>
        </w:rPr>
        <w:t>including</w:t>
      </w:r>
      <w:r>
        <w:rPr>
          <w:spacing w:val="-15"/>
          <w:sz w:val="24"/>
        </w:rPr>
        <w:t xml:space="preserve"> </w:t>
      </w:r>
      <w:r>
        <w:rPr>
          <w:sz w:val="24"/>
        </w:rPr>
        <w:t>all</w:t>
      </w:r>
      <w:r>
        <w:rPr>
          <w:spacing w:val="-15"/>
          <w:sz w:val="24"/>
        </w:rPr>
        <w:t xml:space="preserve"> </w:t>
      </w:r>
      <w:r>
        <w:rPr>
          <w:sz w:val="24"/>
        </w:rPr>
        <w:t>notes</w:t>
      </w:r>
      <w:r>
        <w:rPr>
          <w:spacing w:val="-15"/>
          <w:sz w:val="24"/>
        </w:rPr>
        <w:t xml:space="preserve"> </w:t>
      </w:r>
      <w:r>
        <w:rPr>
          <w:sz w:val="24"/>
        </w:rPr>
        <w:t>to</w:t>
      </w:r>
      <w:r>
        <w:rPr>
          <w:spacing w:val="-14"/>
          <w:sz w:val="24"/>
        </w:rPr>
        <w:t xml:space="preserve"> </w:t>
      </w:r>
      <w:r>
        <w:rPr>
          <w:sz w:val="24"/>
        </w:rPr>
        <w:t>the</w:t>
      </w:r>
      <w:r>
        <w:rPr>
          <w:spacing w:val="-14"/>
          <w:sz w:val="24"/>
        </w:rPr>
        <w:t xml:space="preserve"> </w:t>
      </w:r>
      <w:r>
        <w:rPr>
          <w:sz w:val="24"/>
        </w:rPr>
        <w:t>financial</w:t>
      </w:r>
      <w:r>
        <w:rPr>
          <w:spacing w:val="-15"/>
          <w:sz w:val="24"/>
        </w:rPr>
        <w:t xml:space="preserve"> </w:t>
      </w:r>
      <w:r>
        <w:rPr>
          <w:spacing w:val="-2"/>
          <w:sz w:val="24"/>
        </w:rPr>
        <w:t>statements.</w:t>
      </w:r>
    </w:p>
    <w:p w:rsidR="007F6DF9" w:rsidRDefault="00A43FBC">
      <w:pPr>
        <w:pStyle w:val="ListParagraph"/>
        <w:numPr>
          <w:ilvl w:val="0"/>
          <w:numId w:val="156"/>
        </w:numPr>
        <w:tabs>
          <w:tab w:val="left" w:pos="1280"/>
        </w:tabs>
        <w:spacing w:line="276" w:lineRule="exact"/>
        <w:ind w:left="1280"/>
        <w:rPr>
          <w:sz w:val="24"/>
        </w:rPr>
      </w:pPr>
      <w:r>
        <w:rPr>
          <w:spacing w:val="-2"/>
          <w:sz w:val="24"/>
        </w:rPr>
        <w:t>correspond</w:t>
      </w:r>
      <w:r>
        <w:rPr>
          <w:spacing w:val="-9"/>
          <w:sz w:val="24"/>
        </w:rPr>
        <w:t xml:space="preserve"> </w:t>
      </w:r>
      <w:r>
        <w:rPr>
          <w:spacing w:val="-2"/>
          <w:sz w:val="24"/>
        </w:rPr>
        <w:t>to</w:t>
      </w:r>
      <w:r>
        <w:rPr>
          <w:spacing w:val="-4"/>
          <w:sz w:val="24"/>
        </w:rPr>
        <w:t xml:space="preserve"> </w:t>
      </w:r>
      <w:r>
        <w:rPr>
          <w:spacing w:val="-2"/>
          <w:sz w:val="24"/>
        </w:rPr>
        <w:t>accounting</w:t>
      </w:r>
      <w:r>
        <w:rPr>
          <w:spacing w:val="-4"/>
          <w:sz w:val="24"/>
        </w:rPr>
        <w:t xml:space="preserve"> </w:t>
      </w:r>
      <w:r>
        <w:rPr>
          <w:spacing w:val="-2"/>
          <w:sz w:val="24"/>
        </w:rPr>
        <w:t>periods</w:t>
      </w:r>
      <w:r>
        <w:rPr>
          <w:spacing w:val="-6"/>
          <w:sz w:val="24"/>
        </w:rPr>
        <w:t xml:space="preserve"> </w:t>
      </w:r>
      <w:r>
        <w:rPr>
          <w:spacing w:val="-2"/>
          <w:sz w:val="24"/>
        </w:rPr>
        <w:t>already</w:t>
      </w:r>
      <w:r>
        <w:rPr>
          <w:spacing w:val="-4"/>
          <w:sz w:val="24"/>
        </w:rPr>
        <w:t xml:space="preserve"> </w:t>
      </w:r>
      <w:r>
        <w:rPr>
          <w:spacing w:val="-2"/>
          <w:sz w:val="24"/>
        </w:rPr>
        <w:t>completed</w:t>
      </w:r>
      <w:r>
        <w:rPr>
          <w:spacing w:val="-6"/>
          <w:sz w:val="24"/>
        </w:rPr>
        <w:t xml:space="preserve"> </w:t>
      </w:r>
      <w:r>
        <w:rPr>
          <w:spacing w:val="-2"/>
          <w:sz w:val="24"/>
        </w:rPr>
        <w:t>and</w:t>
      </w:r>
      <w:r>
        <w:rPr>
          <w:spacing w:val="-4"/>
          <w:sz w:val="24"/>
        </w:rPr>
        <w:t xml:space="preserve"> </w:t>
      </w:r>
      <w:r>
        <w:rPr>
          <w:spacing w:val="-2"/>
          <w:sz w:val="24"/>
        </w:rPr>
        <w:t>audited.</w:t>
      </w:r>
    </w:p>
    <w:p w:rsidR="007F6DF9" w:rsidRDefault="00A43FBC">
      <w:pPr>
        <w:pStyle w:val="ListParagraph"/>
        <w:numPr>
          <w:ilvl w:val="0"/>
          <w:numId w:val="155"/>
        </w:numPr>
        <w:tabs>
          <w:tab w:val="left" w:pos="1280"/>
          <w:tab w:val="left" w:pos="6968"/>
        </w:tabs>
        <w:ind w:right="566" w:firstLine="0"/>
      </w:pPr>
      <w:r>
        <w:t>Attached are copies of financial statements</w:t>
      </w:r>
      <w:r>
        <w:rPr>
          <w:vertAlign w:val="superscript"/>
        </w:rPr>
        <w:t>1</w:t>
      </w:r>
      <w:r>
        <w:rPr>
          <w:spacing w:val="40"/>
        </w:rPr>
        <w:t xml:space="preserve"> </w:t>
      </w:r>
      <w:r>
        <w:t xml:space="preserve">for the </w:t>
      </w:r>
      <w:r>
        <w:rPr>
          <w:u w:val="single"/>
        </w:rPr>
        <w:tab/>
      </w:r>
      <w:r>
        <w:t>years</w:t>
      </w:r>
      <w:r>
        <w:rPr>
          <w:spacing w:val="-14"/>
        </w:rPr>
        <w:t xml:space="preserve"> </w:t>
      </w:r>
      <w:r>
        <w:t>required</w:t>
      </w:r>
      <w:r>
        <w:rPr>
          <w:spacing w:val="-14"/>
        </w:rPr>
        <w:t xml:space="preserve"> </w:t>
      </w:r>
      <w:r>
        <w:t>above;</w:t>
      </w:r>
      <w:r>
        <w:rPr>
          <w:spacing w:val="-14"/>
        </w:rPr>
        <w:t xml:space="preserve"> </w:t>
      </w:r>
      <w:r>
        <w:t>and</w:t>
      </w:r>
      <w:r>
        <w:rPr>
          <w:spacing w:val="-13"/>
        </w:rPr>
        <w:t xml:space="preserve"> </w:t>
      </w:r>
      <w:r>
        <w:t>complying</w:t>
      </w:r>
      <w:r>
        <w:rPr>
          <w:spacing w:val="-14"/>
        </w:rPr>
        <w:t xml:space="preserve"> </w:t>
      </w:r>
      <w:r>
        <w:t>with</w:t>
      </w:r>
      <w:r>
        <w:rPr>
          <w:spacing w:val="-14"/>
        </w:rPr>
        <w:t xml:space="preserve"> </w:t>
      </w:r>
      <w:r>
        <w:t xml:space="preserve">the </w:t>
      </w:r>
      <w:r>
        <w:rPr>
          <w:spacing w:val="-2"/>
        </w:rPr>
        <w:t>requirements</w: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112"/>
        <w:rPr>
          <w:sz w:val="20"/>
        </w:rPr>
      </w:pPr>
      <w:r>
        <w:rPr>
          <w:noProof/>
          <w:sz w:val="20"/>
        </w:rPr>
        <mc:AlternateContent>
          <mc:Choice Requires="wps">
            <w:drawing>
              <wp:anchor distT="0" distB="0" distL="0" distR="0" simplePos="0" relativeHeight="251671040" behindDoc="1" locked="0" layoutInCell="1" allowOverlap="1">
                <wp:simplePos x="0" y="0"/>
                <wp:positionH relativeFrom="page">
                  <wp:posOffset>445008</wp:posOffset>
                </wp:positionH>
                <wp:positionV relativeFrom="paragraph">
                  <wp:posOffset>232920</wp:posOffset>
                </wp:positionV>
                <wp:extent cx="1829435" cy="762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DADB5" id="Graphic 183" o:spid="_x0000_s1026" style="position:absolute;margin-left:35.05pt;margin-top:18.35pt;width:144.05pt;height:.6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" path="m1829054,l,,,7619r1829054,l1829054,xe" fillcolor="black" stroked="f">
                <v:path arrowok="t"/>
                <w10:wrap type="topAndBottom" anchorx="page"/>
              </v:shape>
            </w:pict>
          </mc:Fallback>
        </mc:AlternateContent>
      </w:r>
    </w:p>
    <w:p w:rsidR="007F6DF9" w:rsidRDefault="00A43FBC">
      <w:pPr>
        <w:spacing w:before="96"/>
        <w:ind w:left="739" w:right="332" w:hanging="180"/>
        <w:rPr>
          <w:sz w:val="20"/>
        </w:rPr>
      </w:pPr>
      <w:r>
        <w:rPr>
          <w:sz w:val="20"/>
          <w:vertAlign w:val="superscript"/>
        </w:rPr>
        <w:t>1</w:t>
      </w:r>
      <w:r>
        <w:rPr>
          <w:spacing w:val="-2"/>
          <w:sz w:val="20"/>
        </w:rPr>
        <w:t xml:space="preserve"> </w:t>
      </w:r>
      <w:r>
        <w:rPr>
          <w:sz w:val="20"/>
        </w:rPr>
        <w:t>If</w:t>
      </w:r>
      <w:r>
        <w:rPr>
          <w:spacing w:val="-2"/>
          <w:sz w:val="20"/>
        </w:rPr>
        <w:t xml:space="preserve"> </w:t>
      </w:r>
      <w:r>
        <w:rPr>
          <w:sz w:val="20"/>
        </w:rPr>
        <w:t>the</w:t>
      </w:r>
      <w:r>
        <w:rPr>
          <w:spacing w:val="-2"/>
          <w:sz w:val="20"/>
        </w:rPr>
        <w:t xml:space="preserve"> </w:t>
      </w:r>
      <w:r>
        <w:rPr>
          <w:sz w:val="20"/>
        </w:rPr>
        <w:t>most</w:t>
      </w:r>
      <w:r>
        <w:rPr>
          <w:spacing w:val="-3"/>
          <w:sz w:val="20"/>
        </w:rPr>
        <w:t xml:space="preserve"> </w:t>
      </w:r>
      <w:r>
        <w:rPr>
          <w:sz w:val="20"/>
        </w:rPr>
        <w:t>recent</w:t>
      </w:r>
      <w:r>
        <w:rPr>
          <w:spacing w:val="-3"/>
          <w:sz w:val="20"/>
        </w:rPr>
        <w:t xml:space="preserve"> </w:t>
      </w:r>
      <w:r>
        <w:rPr>
          <w:sz w:val="20"/>
        </w:rPr>
        <w:t>set</w:t>
      </w:r>
      <w:r>
        <w:rPr>
          <w:spacing w:val="-3"/>
          <w:sz w:val="20"/>
        </w:rPr>
        <w:t xml:space="preserve"> </w:t>
      </w:r>
      <w:r>
        <w:rPr>
          <w:sz w:val="20"/>
        </w:rPr>
        <w:t>of</w:t>
      </w:r>
      <w:r>
        <w:rPr>
          <w:spacing w:val="-2"/>
          <w:sz w:val="20"/>
        </w:rPr>
        <w:t xml:space="preserve"> </w:t>
      </w:r>
      <w:r>
        <w:rPr>
          <w:sz w:val="20"/>
        </w:rPr>
        <w:t>financial</w:t>
      </w:r>
      <w:r>
        <w:rPr>
          <w:spacing w:val="-2"/>
          <w:sz w:val="20"/>
        </w:rPr>
        <w:t xml:space="preserve"> </w:t>
      </w:r>
      <w:r>
        <w:rPr>
          <w:sz w:val="20"/>
        </w:rPr>
        <w:t>statements</w:t>
      </w:r>
      <w:r>
        <w:rPr>
          <w:spacing w:val="-3"/>
          <w:sz w:val="20"/>
        </w:rPr>
        <w:t xml:space="preserve"> </w:t>
      </w:r>
      <w:r>
        <w:rPr>
          <w:sz w:val="20"/>
        </w:rPr>
        <w:t>is</w:t>
      </w:r>
      <w:r>
        <w:rPr>
          <w:spacing w:val="-3"/>
          <w:sz w:val="20"/>
        </w:rPr>
        <w:t xml:space="preserve"> </w:t>
      </w:r>
      <w:r>
        <w:rPr>
          <w:sz w:val="20"/>
        </w:rPr>
        <w:t>for</w:t>
      </w:r>
      <w:r>
        <w:rPr>
          <w:spacing w:val="-2"/>
          <w:sz w:val="20"/>
        </w:rPr>
        <w:t xml:space="preserve"> </w:t>
      </w:r>
      <w:r>
        <w:rPr>
          <w:sz w:val="20"/>
        </w:rPr>
        <w:t>a</w:t>
      </w:r>
      <w:r>
        <w:rPr>
          <w:spacing w:val="-2"/>
          <w:sz w:val="20"/>
        </w:rPr>
        <w:t xml:space="preserve"> </w:t>
      </w:r>
      <w:r>
        <w:rPr>
          <w:sz w:val="20"/>
        </w:rPr>
        <w:t>period</w:t>
      </w:r>
      <w:r>
        <w:rPr>
          <w:spacing w:val="-3"/>
          <w:sz w:val="20"/>
        </w:rPr>
        <w:t xml:space="preserve"> </w:t>
      </w:r>
      <w:r>
        <w:rPr>
          <w:sz w:val="20"/>
        </w:rPr>
        <w:t>earlier</w:t>
      </w:r>
      <w:r>
        <w:rPr>
          <w:spacing w:val="-2"/>
          <w:sz w:val="20"/>
        </w:rPr>
        <w:t xml:space="preserve"> </w:t>
      </w:r>
      <w:r>
        <w:rPr>
          <w:sz w:val="20"/>
        </w:rPr>
        <w:t>than</w:t>
      </w:r>
      <w:r>
        <w:rPr>
          <w:spacing w:val="-1"/>
          <w:sz w:val="20"/>
        </w:rPr>
        <w:t xml:space="preserve"> </w:t>
      </w:r>
      <w:r>
        <w:rPr>
          <w:sz w:val="20"/>
        </w:rPr>
        <w:t>12</w:t>
      </w:r>
      <w:r>
        <w:rPr>
          <w:spacing w:val="-1"/>
          <w:sz w:val="20"/>
        </w:rPr>
        <w:t xml:space="preserve"> </w:t>
      </w:r>
      <w:r>
        <w:rPr>
          <w:sz w:val="20"/>
        </w:rPr>
        <w:t>months</w:t>
      </w:r>
      <w:r>
        <w:rPr>
          <w:spacing w:val="-3"/>
          <w:sz w:val="20"/>
        </w:rPr>
        <w:t xml:space="preserve"> </w:t>
      </w:r>
      <w:r>
        <w:rPr>
          <w:sz w:val="20"/>
        </w:rPr>
        <w:t>from</w:t>
      </w:r>
      <w:r>
        <w:rPr>
          <w:spacing w:val="-1"/>
          <w:sz w:val="20"/>
        </w:rPr>
        <w:t xml:space="preserve"> </w:t>
      </w:r>
      <w:r>
        <w:rPr>
          <w:sz w:val="20"/>
        </w:rPr>
        <w:t>the</w:t>
      </w:r>
      <w:r>
        <w:rPr>
          <w:spacing w:val="-2"/>
          <w:sz w:val="20"/>
        </w:rPr>
        <w:t xml:space="preserve"> </w:t>
      </w:r>
      <w:r>
        <w:rPr>
          <w:sz w:val="20"/>
        </w:rPr>
        <w:t>date</w:t>
      </w:r>
      <w:r>
        <w:rPr>
          <w:spacing w:val="-2"/>
          <w:sz w:val="20"/>
        </w:rPr>
        <w:t xml:space="preserve"> </w:t>
      </w:r>
      <w:r>
        <w:rPr>
          <w:sz w:val="20"/>
        </w:rPr>
        <w:t>of</w:t>
      </w:r>
      <w:r>
        <w:rPr>
          <w:spacing w:val="-2"/>
          <w:sz w:val="20"/>
        </w:rPr>
        <w:t xml:space="preserve"> </w:t>
      </w:r>
      <w:r>
        <w:rPr>
          <w:sz w:val="20"/>
        </w:rPr>
        <w:t>Tender,</w:t>
      </w:r>
      <w:r>
        <w:rPr>
          <w:spacing w:val="-4"/>
          <w:sz w:val="20"/>
        </w:rPr>
        <w:t xml:space="preserve"> </w:t>
      </w:r>
      <w:r>
        <w:rPr>
          <w:sz w:val="20"/>
        </w:rPr>
        <w:t>the</w:t>
      </w:r>
      <w:r>
        <w:rPr>
          <w:spacing w:val="-2"/>
          <w:sz w:val="20"/>
        </w:rPr>
        <w:t xml:space="preserve"> </w:t>
      </w:r>
      <w:r>
        <w:rPr>
          <w:sz w:val="20"/>
        </w:rPr>
        <w:t>reason</w:t>
      </w:r>
      <w:r>
        <w:rPr>
          <w:spacing w:val="-3"/>
          <w:sz w:val="20"/>
        </w:rPr>
        <w:t xml:space="preserve"> </w:t>
      </w:r>
      <w:r>
        <w:rPr>
          <w:sz w:val="20"/>
        </w:rPr>
        <w:t>for</w:t>
      </w:r>
      <w:r>
        <w:rPr>
          <w:spacing w:val="15"/>
          <w:sz w:val="20"/>
        </w:rPr>
        <w:t xml:space="preserve"> </w:t>
      </w:r>
      <w:r>
        <w:rPr>
          <w:sz w:val="20"/>
        </w:rPr>
        <w:t>this should be justified.</w:t>
      </w:r>
    </w:p>
    <w:p w:rsidR="007F6DF9" w:rsidRDefault="007F6DF9">
      <w:pPr>
        <w:rPr>
          <w:sz w:val="20"/>
        </w:rPr>
        <w:sectPr w:rsidR="007F6DF9">
          <w:pgSz w:w="11920" w:h="16850"/>
          <w:pgMar w:top="360" w:right="283" w:bottom="520" w:left="141" w:header="0" w:footer="339" w:gutter="0"/>
          <w:pgNumType w:start="38"/>
          <w:cols w:space="720"/>
        </w:sectPr>
      </w:pPr>
    </w:p>
    <w:p w:rsidR="007F6DF9" w:rsidRDefault="00A43FBC">
      <w:pPr>
        <w:pStyle w:val="ListParagraph"/>
        <w:numPr>
          <w:ilvl w:val="1"/>
          <w:numId w:val="166"/>
        </w:numPr>
        <w:tabs>
          <w:tab w:val="left" w:pos="1280"/>
        </w:tabs>
        <w:spacing w:before="241"/>
        <w:ind w:left="1280" w:hanging="721"/>
        <w:jc w:val="left"/>
        <w:rPr>
          <w:b/>
        </w:rPr>
      </w:pPr>
      <w:r>
        <w:rPr>
          <w:b/>
          <w:u w:val="single"/>
        </w:rPr>
        <w:lastRenderedPageBreak/>
        <w:t>FORM FIN</w:t>
      </w:r>
      <w:r>
        <w:rPr>
          <w:b/>
          <w:spacing w:val="-1"/>
          <w:u w:val="single"/>
        </w:rPr>
        <w:t xml:space="preserve"> </w:t>
      </w:r>
      <w:r>
        <w:rPr>
          <w:b/>
          <w:u w:val="single"/>
        </w:rPr>
        <w:t>–</w:t>
      </w:r>
      <w:r>
        <w:rPr>
          <w:b/>
          <w:spacing w:val="-3"/>
          <w:u w:val="single"/>
        </w:rPr>
        <w:t xml:space="preserve"> </w:t>
      </w:r>
      <w:r>
        <w:rPr>
          <w:b/>
          <w:spacing w:val="-4"/>
          <w:u w:val="single"/>
        </w:rPr>
        <w:t>3.2:</w:t>
      </w:r>
    </w:p>
    <w:p w:rsidR="007F6DF9" w:rsidRDefault="007F6DF9">
      <w:pPr>
        <w:pStyle w:val="BodyText"/>
        <w:spacing w:before="1"/>
        <w:rPr>
          <w:b/>
        </w:rPr>
      </w:pPr>
    </w:p>
    <w:p w:rsidR="007F6DF9" w:rsidRDefault="00A43FBC">
      <w:pPr>
        <w:ind w:left="559"/>
        <w:rPr>
          <w:b/>
        </w:rPr>
      </w:pPr>
      <w:r>
        <w:rPr>
          <w:b/>
        </w:rPr>
        <w:t>Average</w:t>
      </w:r>
      <w:r>
        <w:rPr>
          <w:b/>
          <w:spacing w:val="-6"/>
        </w:rPr>
        <w:t xml:space="preserve"> </w:t>
      </w:r>
      <w:r>
        <w:rPr>
          <w:b/>
        </w:rPr>
        <w:t>Annual</w:t>
      </w:r>
      <w:r>
        <w:rPr>
          <w:b/>
          <w:spacing w:val="-4"/>
        </w:rPr>
        <w:t xml:space="preserve"> </w:t>
      </w:r>
      <w:r>
        <w:rPr>
          <w:b/>
        </w:rPr>
        <w:t>Construction</w:t>
      </w:r>
      <w:r>
        <w:rPr>
          <w:b/>
          <w:spacing w:val="-7"/>
        </w:rPr>
        <w:t xml:space="preserve"> </w:t>
      </w:r>
      <w:r>
        <w:rPr>
          <w:b/>
          <w:spacing w:val="-2"/>
        </w:rPr>
        <w:t>Turnover</w:t>
      </w:r>
    </w:p>
    <w:p w:rsidR="007F6DF9" w:rsidRDefault="007F6DF9">
      <w:pPr>
        <w:pStyle w:val="BodyText"/>
        <w:rPr>
          <w:b/>
        </w:rPr>
      </w:pPr>
    </w:p>
    <w:p w:rsidR="007F6DF9" w:rsidRDefault="00A43FBC">
      <w:pPr>
        <w:pStyle w:val="BodyText"/>
        <w:tabs>
          <w:tab w:val="left" w:pos="3861"/>
        </w:tabs>
        <w:spacing w:before="1" w:line="252" w:lineRule="exact"/>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line="252" w:lineRule="exact"/>
        <w:ind w:left="559"/>
      </w:pPr>
      <w:r>
        <w:t>Date:</w:t>
      </w:r>
      <w:r>
        <w:rPr>
          <w:spacing w:val="-2"/>
        </w:rPr>
        <w:t xml:space="preserve"> </w:t>
      </w:r>
      <w:r>
        <w:rPr>
          <w:u w:val="single"/>
        </w:rPr>
        <w:tab/>
      </w:r>
    </w:p>
    <w:p w:rsidR="007F6DF9" w:rsidRDefault="00A43FBC">
      <w:pPr>
        <w:pStyle w:val="BodyText"/>
        <w:tabs>
          <w:tab w:val="left" w:pos="4952"/>
        </w:tabs>
        <w:spacing w:before="1"/>
        <w:ind w:left="559" w:right="6503"/>
      </w:pPr>
      <w:r>
        <w:t>JV Member’s Name</w:t>
      </w:r>
      <w:proofErr w:type="gramStart"/>
      <w:r>
        <w:rPr>
          <w:u w:val="single"/>
        </w:rPr>
        <w:tab/>
      </w:r>
      <w:r>
        <w:rPr>
          <w:spacing w:val="-44"/>
          <w:u w:val="single"/>
        </w:rPr>
        <w:t xml:space="preserve"> </w:t>
      </w:r>
      <w:r>
        <w:rPr>
          <w:spacing w:val="-4"/>
        </w:rPr>
        <w:t xml:space="preserve"> ITT</w:t>
      </w:r>
      <w:proofErr w:type="gramEnd"/>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7F6DF9">
      <w:pPr>
        <w:pStyle w:val="BodyText"/>
        <w:spacing w:before="24"/>
        <w:rPr>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154"/>
        <w:gridCol w:w="2215"/>
        <w:gridCol w:w="2040"/>
        <w:gridCol w:w="2609"/>
      </w:tblGrid>
      <w:tr w:rsidR="007F6DF9">
        <w:trPr>
          <w:trHeight w:val="253"/>
        </w:trPr>
        <w:tc>
          <w:tcPr>
            <w:tcW w:w="2712" w:type="dxa"/>
            <w:gridSpan w:val="2"/>
          </w:tcPr>
          <w:p w:rsidR="007F6DF9" w:rsidRDefault="007F6DF9">
            <w:pPr>
              <w:pStyle w:val="TableParagraph"/>
              <w:rPr>
                <w:rFonts w:ascii="Times New Roman"/>
                <w:sz w:val="18"/>
              </w:rPr>
            </w:pPr>
          </w:p>
        </w:tc>
        <w:tc>
          <w:tcPr>
            <w:tcW w:w="6864" w:type="dxa"/>
            <w:gridSpan w:val="3"/>
          </w:tcPr>
          <w:p w:rsidR="007F6DF9" w:rsidRDefault="00A43FBC">
            <w:pPr>
              <w:pStyle w:val="TableParagraph"/>
              <w:spacing w:line="234" w:lineRule="exact"/>
              <w:ind w:left="108"/>
              <w:rPr>
                <w:rFonts w:ascii="Times New Roman"/>
                <w:b/>
              </w:rPr>
            </w:pPr>
            <w:r>
              <w:rPr>
                <w:rFonts w:ascii="Times New Roman"/>
                <w:b/>
                <w:spacing w:val="-2"/>
              </w:rPr>
              <w:t>Annual</w:t>
            </w:r>
            <w:r>
              <w:rPr>
                <w:rFonts w:ascii="Times New Roman"/>
                <w:b/>
                <w:spacing w:val="-9"/>
              </w:rPr>
              <w:t xml:space="preserve"> </w:t>
            </w:r>
            <w:r>
              <w:rPr>
                <w:rFonts w:ascii="Times New Roman"/>
                <w:b/>
                <w:spacing w:val="-2"/>
              </w:rPr>
              <w:t>turnover</w:t>
            </w:r>
            <w:r>
              <w:rPr>
                <w:rFonts w:ascii="Times New Roman"/>
                <w:b/>
                <w:spacing w:val="-7"/>
              </w:rPr>
              <w:t xml:space="preserve"> </w:t>
            </w:r>
            <w:r>
              <w:rPr>
                <w:rFonts w:ascii="Times New Roman"/>
                <w:b/>
                <w:spacing w:val="-2"/>
              </w:rPr>
              <w:t>data</w:t>
            </w:r>
            <w:r>
              <w:rPr>
                <w:rFonts w:ascii="Times New Roman"/>
                <w:b/>
                <w:spacing w:val="-7"/>
              </w:rPr>
              <w:t xml:space="preserve"> </w:t>
            </w:r>
            <w:r>
              <w:rPr>
                <w:rFonts w:ascii="Times New Roman"/>
                <w:b/>
                <w:spacing w:val="-2"/>
              </w:rPr>
              <w:t>(construction</w:t>
            </w:r>
            <w:r>
              <w:rPr>
                <w:rFonts w:ascii="Times New Roman"/>
                <w:b/>
                <w:spacing w:val="-7"/>
              </w:rPr>
              <w:t xml:space="preserve"> </w:t>
            </w:r>
            <w:r>
              <w:rPr>
                <w:rFonts w:ascii="Times New Roman"/>
                <w:b/>
                <w:spacing w:val="-4"/>
              </w:rPr>
              <w:t>only)</w:t>
            </w:r>
          </w:p>
        </w:tc>
      </w:tr>
      <w:tr w:rsidR="007F6DF9">
        <w:trPr>
          <w:trHeight w:val="506"/>
        </w:trPr>
        <w:tc>
          <w:tcPr>
            <w:tcW w:w="1558" w:type="dxa"/>
          </w:tcPr>
          <w:p w:rsidR="007F6DF9" w:rsidRDefault="00A43FBC">
            <w:pPr>
              <w:pStyle w:val="TableParagraph"/>
              <w:spacing w:line="251" w:lineRule="exact"/>
              <w:ind w:left="107"/>
              <w:rPr>
                <w:rFonts w:ascii="Times New Roman"/>
                <w:b/>
              </w:rPr>
            </w:pPr>
            <w:r>
              <w:rPr>
                <w:rFonts w:ascii="Times New Roman"/>
                <w:b/>
                <w:spacing w:val="-4"/>
              </w:rPr>
              <w:t>Year</w:t>
            </w:r>
          </w:p>
        </w:tc>
        <w:tc>
          <w:tcPr>
            <w:tcW w:w="3369" w:type="dxa"/>
            <w:gridSpan w:val="2"/>
          </w:tcPr>
          <w:p w:rsidR="007F6DF9" w:rsidRDefault="00A43FBC">
            <w:pPr>
              <w:pStyle w:val="TableParagraph"/>
              <w:spacing w:line="252" w:lineRule="exact"/>
              <w:ind w:left="107" w:right="1641"/>
              <w:rPr>
                <w:rFonts w:ascii="Times New Roman"/>
                <w:b/>
              </w:rPr>
            </w:pPr>
            <w:r>
              <w:rPr>
                <w:rFonts w:ascii="Times New Roman"/>
                <w:b/>
                <w:spacing w:val="-2"/>
              </w:rPr>
              <w:t xml:space="preserve">Amount </w:t>
            </w:r>
            <w:r>
              <w:rPr>
                <w:rFonts w:ascii="Times New Roman"/>
                <w:b/>
                <w:spacing w:val="-4"/>
              </w:rPr>
              <w:t>Currency</w:t>
            </w:r>
          </w:p>
        </w:tc>
        <w:tc>
          <w:tcPr>
            <w:tcW w:w="2040" w:type="dxa"/>
          </w:tcPr>
          <w:p w:rsidR="007F6DF9" w:rsidRDefault="00A43FBC">
            <w:pPr>
              <w:pStyle w:val="TableParagraph"/>
              <w:spacing w:line="251" w:lineRule="exact"/>
              <w:ind w:left="106"/>
              <w:rPr>
                <w:rFonts w:ascii="Times New Roman"/>
                <w:b/>
              </w:rPr>
            </w:pPr>
            <w:r>
              <w:rPr>
                <w:rFonts w:ascii="Times New Roman"/>
                <w:b/>
                <w:spacing w:val="-2"/>
              </w:rPr>
              <w:t>Exchange</w:t>
            </w:r>
            <w:r>
              <w:rPr>
                <w:rFonts w:ascii="Times New Roman"/>
                <w:b/>
                <w:spacing w:val="-12"/>
              </w:rPr>
              <w:t xml:space="preserve"> </w:t>
            </w:r>
            <w:r>
              <w:rPr>
                <w:rFonts w:ascii="Times New Roman"/>
                <w:b/>
                <w:spacing w:val="-4"/>
              </w:rPr>
              <w:t>rate</w:t>
            </w:r>
          </w:p>
        </w:tc>
        <w:tc>
          <w:tcPr>
            <w:tcW w:w="2609" w:type="dxa"/>
          </w:tcPr>
          <w:p w:rsidR="007F6DF9" w:rsidRDefault="00A43FBC">
            <w:pPr>
              <w:pStyle w:val="TableParagraph"/>
              <w:spacing w:line="251" w:lineRule="exact"/>
              <w:ind w:left="109"/>
              <w:rPr>
                <w:rFonts w:ascii="Times New Roman"/>
                <w:b/>
              </w:rPr>
            </w:pPr>
            <w:r>
              <w:rPr>
                <w:rFonts w:ascii="Times New Roman"/>
                <w:b/>
                <w:spacing w:val="-2"/>
              </w:rPr>
              <w:t>Kenya</w:t>
            </w:r>
            <w:r>
              <w:rPr>
                <w:rFonts w:ascii="Times New Roman"/>
                <w:b/>
                <w:spacing w:val="-7"/>
              </w:rPr>
              <w:t xml:space="preserve"> </w:t>
            </w:r>
            <w:r>
              <w:rPr>
                <w:rFonts w:ascii="Times New Roman"/>
                <w:b/>
                <w:spacing w:val="-2"/>
              </w:rPr>
              <w:t>Shilling</w:t>
            </w:r>
            <w:r>
              <w:rPr>
                <w:rFonts w:ascii="Times New Roman"/>
                <w:b/>
                <w:spacing w:val="-5"/>
              </w:rPr>
              <w:t xml:space="preserve"> </w:t>
            </w:r>
            <w:r>
              <w:rPr>
                <w:rFonts w:ascii="Times New Roman"/>
                <w:b/>
                <w:spacing w:val="-2"/>
              </w:rPr>
              <w:t>equivalent</w:t>
            </w:r>
          </w:p>
        </w:tc>
      </w:tr>
      <w:tr w:rsidR="007F6DF9">
        <w:trPr>
          <w:trHeight w:val="506"/>
        </w:trPr>
        <w:tc>
          <w:tcPr>
            <w:tcW w:w="1558" w:type="dxa"/>
          </w:tcPr>
          <w:p w:rsidR="007F6DF9" w:rsidRDefault="00A43FBC">
            <w:pPr>
              <w:pStyle w:val="TableParagraph"/>
              <w:spacing w:line="251" w:lineRule="exact"/>
              <w:ind w:left="107"/>
              <w:rPr>
                <w:rFonts w:ascii="Times New Roman"/>
                <w:i/>
              </w:rPr>
            </w:pPr>
            <w:r>
              <w:rPr>
                <w:rFonts w:ascii="Times New Roman"/>
                <w:i/>
                <w:spacing w:val="-6"/>
              </w:rPr>
              <w:t>[indicate</w:t>
            </w:r>
            <w:r>
              <w:rPr>
                <w:rFonts w:ascii="Times New Roman"/>
                <w:i/>
                <w:spacing w:val="-4"/>
              </w:rPr>
              <w:t xml:space="preserve"> </w:t>
            </w:r>
            <w:r>
              <w:rPr>
                <w:rFonts w:ascii="Times New Roman"/>
                <w:i/>
                <w:spacing w:val="-2"/>
              </w:rPr>
              <w:t>year]</w:t>
            </w:r>
          </w:p>
        </w:tc>
        <w:tc>
          <w:tcPr>
            <w:tcW w:w="3369" w:type="dxa"/>
            <w:gridSpan w:val="2"/>
          </w:tcPr>
          <w:p w:rsidR="007F6DF9" w:rsidRDefault="00A43FBC">
            <w:pPr>
              <w:pStyle w:val="TableParagraph"/>
              <w:spacing w:line="252" w:lineRule="exact"/>
              <w:ind w:left="107" w:right="10"/>
              <w:rPr>
                <w:rFonts w:ascii="Times New Roman"/>
                <w:i/>
              </w:rPr>
            </w:pPr>
            <w:r>
              <w:rPr>
                <w:rFonts w:ascii="Times New Roman"/>
                <w:i/>
              </w:rPr>
              <w:t>[insert</w:t>
            </w:r>
            <w:r>
              <w:rPr>
                <w:rFonts w:ascii="Times New Roman"/>
                <w:i/>
                <w:spacing w:val="-12"/>
              </w:rPr>
              <w:t xml:space="preserve"> </w:t>
            </w:r>
            <w:r>
              <w:rPr>
                <w:rFonts w:ascii="Times New Roman"/>
                <w:i/>
              </w:rPr>
              <w:t>amount</w:t>
            </w:r>
            <w:r>
              <w:rPr>
                <w:rFonts w:ascii="Times New Roman"/>
                <w:i/>
                <w:spacing w:val="-12"/>
              </w:rPr>
              <w:t xml:space="preserve"> </w:t>
            </w:r>
            <w:r>
              <w:rPr>
                <w:rFonts w:ascii="Times New Roman"/>
                <w:i/>
              </w:rPr>
              <w:t>and</w:t>
            </w:r>
            <w:r>
              <w:rPr>
                <w:rFonts w:ascii="Times New Roman"/>
                <w:i/>
                <w:spacing w:val="-14"/>
              </w:rPr>
              <w:t xml:space="preserve"> </w:t>
            </w:r>
            <w:r>
              <w:rPr>
                <w:rFonts w:ascii="Times New Roman"/>
                <w:i/>
              </w:rPr>
              <w:t xml:space="preserve">indicate </w:t>
            </w:r>
            <w:r>
              <w:rPr>
                <w:rFonts w:ascii="Times New Roman"/>
                <w:i/>
                <w:spacing w:val="-2"/>
              </w:rPr>
              <w:t>currency]</w:t>
            </w:r>
          </w:p>
        </w:tc>
        <w:tc>
          <w:tcPr>
            <w:tcW w:w="2040" w:type="dxa"/>
          </w:tcPr>
          <w:p w:rsidR="007F6DF9" w:rsidRDefault="007F6DF9">
            <w:pPr>
              <w:pStyle w:val="TableParagraph"/>
              <w:rPr>
                <w:rFonts w:ascii="Times New Roman"/>
              </w:rPr>
            </w:pPr>
          </w:p>
        </w:tc>
        <w:tc>
          <w:tcPr>
            <w:tcW w:w="2609" w:type="dxa"/>
          </w:tcPr>
          <w:p w:rsidR="007F6DF9" w:rsidRDefault="007F6DF9">
            <w:pPr>
              <w:pStyle w:val="TableParagraph"/>
              <w:rPr>
                <w:rFonts w:ascii="Times New Roman"/>
              </w:rPr>
            </w:pPr>
          </w:p>
        </w:tc>
      </w:tr>
      <w:tr w:rsidR="007F6DF9">
        <w:trPr>
          <w:trHeight w:val="251"/>
        </w:trPr>
        <w:tc>
          <w:tcPr>
            <w:tcW w:w="1558" w:type="dxa"/>
          </w:tcPr>
          <w:p w:rsidR="007F6DF9" w:rsidRDefault="007F6DF9">
            <w:pPr>
              <w:pStyle w:val="TableParagraph"/>
              <w:rPr>
                <w:rFonts w:ascii="Times New Roman"/>
                <w:sz w:val="18"/>
              </w:rPr>
            </w:pPr>
          </w:p>
        </w:tc>
        <w:tc>
          <w:tcPr>
            <w:tcW w:w="3369" w:type="dxa"/>
            <w:gridSpan w:val="2"/>
          </w:tcPr>
          <w:p w:rsidR="007F6DF9" w:rsidRDefault="007F6DF9">
            <w:pPr>
              <w:pStyle w:val="TableParagraph"/>
              <w:rPr>
                <w:rFonts w:ascii="Times New Roman"/>
                <w:sz w:val="18"/>
              </w:rPr>
            </w:pPr>
          </w:p>
        </w:tc>
        <w:tc>
          <w:tcPr>
            <w:tcW w:w="2040" w:type="dxa"/>
          </w:tcPr>
          <w:p w:rsidR="007F6DF9" w:rsidRDefault="007F6DF9">
            <w:pPr>
              <w:pStyle w:val="TableParagraph"/>
              <w:rPr>
                <w:rFonts w:ascii="Times New Roman"/>
                <w:sz w:val="18"/>
              </w:rPr>
            </w:pPr>
          </w:p>
        </w:tc>
        <w:tc>
          <w:tcPr>
            <w:tcW w:w="2609" w:type="dxa"/>
          </w:tcPr>
          <w:p w:rsidR="007F6DF9" w:rsidRDefault="007F6DF9">
            <w:pPr>
              <w:pStyle w:val="TableParagraph"/>
              <w:rPr>
                <w:rFonts w:ascii="Times New Roman"/>
                <w:sz w:val="18"/>
              </w:rPr>
            </w:pPr>
          </w:p>
        </w:tc>
      </w:tr>
      <w:tr w:rsidR="007F6DF9">
        <w:trPr>
          <w:trHeight w:val="253"/>
        </w:trPr>
        <w:tc>
          <w:tcPr>
            <w:tcW w:w="1558" w:type="dxa"/>
          </w:tcPr>
          <w:p w:rsidR="007F6DF9" w:rsidRDefault="007F6DF9">
            <w:pPr>
              <w:pStyle w:val="TableParagraph"/>
              <w:rPr>
                <w:rFonts w:ascii="Times New Roman"/>
                <w:sz w:val="18"/>
              </w:rPr>
            </w:pPr>
          </w:p>
        </w:tc>
        <w:tc>
          <w:tcPr>
            <w:tcW w:w="3369" w:type="dxa"/>
            <w:gridSpan w:val="2"/>
          </w:tcPr>
          <w:p w:rsidR="007F6DF9" w:rsidRDefault="007F6DF9">
            <w:pPr>
              <w:pStyle w:val="TableParagraph"/>
              <w:rPr>
                <w:rFonts w:ascii="Times New Roman"/>
                <w:sz w:val="18"/>
              </w:rPr>
            </w:pPr>
          </w:p>
        </w:tc>
        <w:tc>
          <w:tcPr>
            <w:tcW w:w="2040" w:type="dxa"/>
          </w:tcPr>
          <w:p w:rsidR="007F6DF9" w:rsidRDefault="007F6DF9">
            <w:pPr>
              <w:pStyle w:val="TableParagraph"/>
              <w:rPr>
                <w:rFonts w:ascii="Times New Roman"/>
                <w:sz w:val="18"/>
              </w:rPr>
            </w:pPr>
          </w:p>
        </w:tc>
        <w:tc>
          <w:tcPr>
            <w:tcW w:w="2609" w:type="dxa"/>
          </w:tcPr>
          <w:p w:rsidR="007F6DF9" w:rsidRDefault="007F6DF9">
            <w:pPr>
              <w:pStyle w:val="TableParagraph"/>
              <w:rPr>
                <w:rFonts w:ascii="Times New Roman"/>
                <w:sz w:val="18"/>
              </w:rPr>
            </w:pPr>
          </w:p>
        </w:tc>
      </w:tr>
      <w:tr w:rsidR="007F6DF9">
        <w:trPr>
          <w:trHeight w:val="252"/>
        </w:trPr>
        <w:tc>
          <w:tcPr>
            <w:tcW w:w="1558" w:type="dxa"/>
          </w:tcPr>
          <w:p w:rsidR="007F6DF9" w:rsidRDefault="007F6DF9">
            <w:pPr>
              <w:pStyle w:val="TableParagraph"/>
              <w:rPr>
                <w:rFonts w:ascii="Times New Roman"/>
                <w:sz w:val="18"/>
              </w:rPr>
            </w:pPr>
          </w:p>
        </w:tc>
        <w:tc>
          <w:tcPr>
            <w:tcW w:w="3369" w:type="dxa"/>
            <w:gridSpan w:val="2"/>
          </w:tcPr>
          <w:p w:rsidR="007F6DF9" w:rsidRDefault="007F6DF9">
            <w:pPr>
              <w:pStyle w:val="TableParagraph"/>
              <w:rPr>
                <w:rFonts w:ascii="Times New Roman"/>
                <w:sz w:val="18"/>
              </w:rPr>
            </w:pPr>
          </w:p>
        </w:tc>
        <w:tc>
          <w:tcPr>
            <w:tcW w:w="2040" w:type="dxa"/>
          </w:tcPr>
          <w:p w:rsidR="007F6DF9" w:rsidRDefault="007F6DF9">
            <w:pPr>
              <w:pStyle w:val="TableParagraph"/>
              <w:rPr>
                <w:rFonts w:ascii="Times New Roman"/>
                <w:sz w:val="18"/>
              </w:rPr>
            </w:pPr>
          </w:p>
        </w:tc>
        <w:tc>
          <w:tcPr>
            <w:tcW w:w="2609" w:type="dxa"/>
          </w:tcPr>
          <w:p w:rsidR="007F6DF9" w:rsidRDefault="007F6DF9">
            <w:pPr>
              <w:pStyle w:val="TableParagraph"/>
              <w:rPr>
                <w:rFonts w:ascii="Times New Roman"/>
                <w:sz w:val="18"/>
              </w:rPr>
            </w:pPr>
          </w:p>
        </w:tc>
      </w:tr>
      <w:tr w:rsidR="007F6DF9">
        <w:trPr>
          <w:trHeight w:val="253"/>
        </w:trPr>
        <w:tc>
          <w:tcPr>
            <w:tcW w:w="1558" w:type="dxa"/>
          </w:tcPr>
          <w:p w:rsidR="007F6DF9" w:rsidRDefault="007F6DF9">
            <w:pPr>
              <w:pStyle w:val="TableParagraph"/>
              <w:rPr>
                <w:rFonts w:ascii="Times New Roman"/>
                <w:sz w:val="18"/>
              </w:rPr>
            </w:pPr>
          </w:p>
        </w:tc>
        <w:tc>
          <w:tcPr>
            <w:tcW w:w="3369" w:type="dxa"/>
            <w:gridSpan w:val="2"/>
          </w:tcPr>
          <w:p w:rsidR="007F6DF9" w:rsidRDefault="007F6DF9">
            <w:pPr>
              <w:pStyle w:val="TableParagraph"/>
              <w:rPr>
                <w:rFonts w:ascii="Times New Roman"/>
                <w:sz w:val="18"/>
              </w:rPr>
            </w:pPr>
          </w:p>
        </w:tc>
        <w:tc>
          <w:tcPr>
            <w:tcW w:w="2040" w:type="dxa"/>
          </w:tcPr>
          <w:p w:rsidR="007F6DF9" w:rsidRDefault="007F6DF9">
            <w:pPr>
              <w:pStyle w:val="TableParagraph"/>
              <w:rPr>
                <w:rFonts w:ascii="Times New Roman"/>
                <w:sz w:val="18"/>
              </w:rPr>
            </w:pPr>
          </w:p>
        </w:tc>
        <w:tc>
          <w:tcPr>
            <w:tcW w:w="2609" w:type="dxa"/>
          </w:tcPr>
          <w:p w:rsidR="007F6DF9" w:rsidRDefault="007F6DF9">
            <w:pPr>
              <w:pStyle w:val="TableParagraph"/>
              <w:rPr>
                <w:rFonts w:ascii="Times New Roman"/>
                <w:sz w:val="18"/>
              </w:rPr>
            </w:pPr>
          </w:p>
        </w:tc>
      </w:tr>
      <w:tr w:rsidR="007F6DF9">
        <w:trPr>
          <w:trHeight w:val="1012"/>
        </w:trPr>
        <w:tc>
          <w:tcPr>
            <w:tcW w:w="1558" w:type="dxa"/>
          </w:tcPr>
          <w:p w:rsidR="007F6DF9" w:rsidRDefault="00A43FBC">
            <w:pPr>
              <w:pStyle w:val="TableParagraph"/>
              <w:ind w:left="107" w:right="94"/>
              <w:rPr>
                <w:rFonts w:ascii="Times New Roman"/>
              </w:rPr>
            </w:pPr>
            <w:r>
              <w:rPr>
                <w:rFonts w:ascii="Times New Roman"/>
                <w:spacing w:val="-2"/>
              </w:rPr>
              <w:t xml:space="preserve">Average Annual </w:t>
            </w:r>
            <w:r>
              <w:rPr>
                <w:rFonts w:ascii="Times New Roman"/>
                <w:spacing w:val="-4"/>
              </w:rPr>
              <w:t>Construction</w:t>
            </w:r>
          </w:p>
          <w:p w:rsidR="007F6DF9" w:rsidRDefault="00A43FBC">
            <w:pPr>
              <w:pStyle w:val="TableParagraph"/>
              <w:spacing w:line="235" w:lineRule="exact"/>
              <w:ind w:left="107"/>
              <w:rPr>
                <w:rFonts w:ascii="Times New Roman"/>
              </w:rPr>
            </w:pPr>
            <w:r>
              <w:rPr>
                <w:rFonts w:ascii="Times New Roman"/>
                <w:spacing w:val="-2"/>
              </w:rPr>
              <w:t>Turnover</w:t>
            </w:r>
            <w:r>
              <w:rPr>
                <w:rFonts w:ascii="Times New Roman"/>
                <w:spacing w:val="-9"/>
              </w:rPr>
              <w:t xml:space="preserve"> </w:t>
            </w:r>
            <w:r>
              <w:rPr>
                <w:rFonts w:ascii="Times New Roman"/>
                <w:spacing w:val="-10"/>
              </w:rPr>
              <w:t>*</w:t>
            </w:r>
          </w:p>
        </w:tc>
        <w:tc>
          <w:tcPr>
            <w:tcW w:w="3369" w:type="dxa"/>
            <w:gridSpan w:val="2"/>
          </w:tcPr>
          <w:p w:rsidR="007F6DF9" w:rsidRDefault="007F6DF9">
            <w:pPr>
              <w:pStyle w:val="TableParagraph"/>
              <w:rPr>
                <w:rFonts w:ascii="Times New Roman"/>
              </w:rPr>
            </w:pPr>
          </w:p>
        </w:tc>
        <w:tc>
          <w:tcPr>
            <w:tcW w:w="2040" w:type="dxa"/>
          </w:tcPr>
          <w:p w:rsidR="007F6DF9" w:rsidRDefault="007F6DF9">
            <w:pPr>
              <w:pStyle w:val="TableParagraph"/>
              <w:rPr>
                <w:rFonts w:ascii="Times New Roman"/>
              </w:rPr>
            </w:pPr>
          </w:p>
        </w:tc>
        <w:tc>
          <w:tcPr>
            <w:tcW w:w="2609" w:type="dxa"/>
          </w:tcPr>
          <w:p w:rsidR="007F6DF9" w:rsidRDefault="007F6DF9">
            <w:pPr>
              <w:pStyle w:val="TableParagraph"/>
              <w:rPr>
                <w:rFonts w:ascii="Times New Roman"/>
              </w:rPr>
            </w:pPr>
          </w:p>
        </w:tc>
      </w:tr>
    </w:tbl>
    <w:p w:rsidR="007F6DF9" w:rsidRDefault="007F6DF9">
      <w:pPr>
        <w:pStyle w:val="BodyText"/>
        <w:spacing w:before="1"/>
      </w:pPr>
    </w:p>
    <w:p w:rsidR="007F6DF9" w:rsidRDefault="00A43FBC">
      <w:pPr>
        <w:pStyle w:val="BodyText"/>
        <w:tabs>
          <w:tab w:val="left" w:pos="1280"/>
        </w:tabs>
        <w:ind w:left="559"/>
      </w:pPr>
      <w:r>
        <w:rPr>
          <w:spacing w:val="-10"/>
        </w:rPr>
        <w:t>*</w:t>
      </w:r>
      <w:r>
        <w:tab/>
      </w:r>
      <w:r>
        <w:rPr>
          <w:spacing w:val="-2"/>
        </w:rPr>
        <w:t>See</w:t>
      </w:r>
      <w:r>
        <w:rPr>
          <w:spacing w:val="-8"/>
        </w:rPr>
        <w:t xml:space="preserve"> </w:t>
      </w:r>
      <w:r>
        <w:rPr>
          <w:spacing w:val="-2"/>
        </w:rPr>
        <w:t>Section</w:t>
      </w:r>
      <w:r>
        <w:rPr>
          <w:spacing w:val="-7"/>
        </w:rPr>
        <w:t xml:space="preserve"> </w:t>
      </w:r>
      <w:r>
        <w:rPr>
          <w:spacing w:val="-2"/>
        </w:rPr>
        <w:t>III,</w:t>
      </w:r>
      <w:r>
        <w:rPr>
          <w:spacing w:val="-6"/>
        </w:rPr>
        <w:t xml:space="preserve"> </w:t>
      </w:r>
      <w:r>
        <w:rPr>
          <w:spacing w:val="-2"/>
        </w:rPr>
        <w:t>Evaluation</w:t>
      </w:r>
      <w:r>
        <w:rPr>
          <w:spacing w:val="-10"/>
        </w:rPr>
        <w:t xml:space="preserve"> </w:t>
      </w:r>
      <w:r>
        <w:rPr>
          <w:spacing w:val="-2"/>
        </w:rPr>
        <w:t>and</w:t>
      </w:r>
      <w:r>
        <w:rPr>
          <w:spacing w:val="-8"/>
        </w:rPr>
        <w:t xml:space="preserve"> </w:t>
      </w:r>
      <w:r>
        <w:rPr>
          <w:spacing w:val="-2"/>
        </w:rPr>
        <w:t>Qualification</w:t>
      </w:r>
      <w:r>
        <w:rPr>
          <w:spacing w:val="-7"/>
        </w:rPr>
        <w:t xml:space="preserve"> </w:t>
      </w:r>
      <w:r>
        <w:rPr>
          <w:spacing w:val="-2"/>
        </w:rPr>
        <w:t>Criteria,</w:t>
      </w:r>
      <w:r>
        <w:rPr>
          <w:spacing w:val="-8"/>
        </w:rPr>
        <w:t xml:space="preserve"> </w:t>
      </w:r>
      <w:r>
        <w:rPr>
          <w:spacing w:val="-2"/>
        </w:rPr>
        <w:t>Sub-Factor</w:t>
      </w:r>
      <w:r>
        <w:rPr>
          <w:spacing w:val="-6"/>
        </w:rPr>
        <w:t xml:space="preserve"> </w:t>
      </w:r>
      <w:r>
        <w:rPr>
          <w:spacing w:val="-4"/>
        </w:rPr>
        <w:t>3.2.</w:t>
      </w:r>
    </w:p>
    <w:p w:rsidR="007F6DF9" w:rsidRDefault="007F6DF9">
      <w:pPr>
        <w:pStyle w:val="BodyText"/>
        <w:sectPr w:rsidR="007F6DF9">
          <w:pgSz w:w="11920" w:h="16850"/>
          <w:pgMar w:top="360" w:right="283" w:bottom="620" w:left="141" w:header="0" w:footer="437" w:gutter="0"/>
          <w:cols w:space="720"/>
        </w:sectPr>
      </w:pPr>
    </w:p>
    <w:p w:rsidR="007F6DF9" w:rsidRDefault="00A43FBC">
      <w:pPr>
        <w:pStyle w:val="ListParagraph"/>
        <w:numPr>
          <w:ilvl w:val="1"/>
          <w:numId w:val="166"/>
        </w:numPr>
        <w:tabs>
          <w:tab w:val="left" w:pos="1280"/>
        </w:tabs>
        <w:spacing w:line="266" w:lineRule="exact"/>
        <w:ind w:left="1280" w:hanging="721"/>
        <w:jc w:val="left"/>
        <w:rPr>
          <w:b/>
          <w:sz w:val="24"/>
        </w:rPr>
      </w:pPr>
      <w:r>
        <w:rPr>
          <w:b/>
          <w:sz w:val="24"/>
          <w:u w:val="single"/>
        </w:rPr>
        <w:lastRenderedPageBreak/>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3.3:</w:t>
      </w:r>
      <w:r>
        <w:rPr>
          <w:b/>
          <w:spacing w:val="40"/>
          <w:sz w:val="24"/>
          <w:u w:val="single"/>
        </w:rPr>
        <w:t xml:space="preserve"> </w:t>
      </w:r>
    </w:p>
    <w:p w:rsidR="007F6DF9" w:rsidRDefault="00A43FBC">
      <w:pPr>
        <w:spacing w:before="251"/>
        <w:ind w:left="559"/>
        <w:rPr>
          <w:b/>
        </w:rPr>
      </w:pPr>
      <w:r>
        <w:rPr>
          <w:b/>
        </w:rPr>
        <w:t>Financial</w:t>
      </w:r>
      <w:r>
        <w:rPr>
          <w:b/>
          <w:spacing w:val="-2"/>
        </w:rPr>
        <w:t xml:space="preserve"> Resources</w:t>
      </w:r>
    </w:p>
    <w:p w:rsidR="007F6DF9" w:rsidRDefault="007F6DF9">
      <w:pPr>
        <w:pStyle w:val="BodyText"/>
        <w:spacing w:before="1"/>
        <w:rPr>
          <w:b/>
        </w:rPr>
      </w:pPr>
    </w:p>
    <w:p w:rsidR="007F6DF9" w:rsidRDefault="00A43FBC">
      <w:pPr>
        <w:pStyle w:val="BodyText"/>
        <w:ind w:left="559" w:right="332"/>
      </w:pPr>
      <w:r>
        <w:t>Specify proposed sources of financing, such as liquid assets, unencumbered real assets, lines of credit, and other financial</w:t>
      </w:r>
      <w:r>
        <w:rPr>
          <w:spacing w:val="-4"/>
        </w:rPr>
        <w:t xml:space="preserve"> </w:t>
      </w:r>
      <w:r>
        <w:t>means,</w:t>
      </w:r>
      <w:r>
        <w:rPr>
          <w:spacing w:val="-5"/>
        </w:rPr>
        <w:t xml:space="preserve"> </w:t>
      </w:r>
      <w:r>
        <w:t>net</w:t>
      </w:r>
      <w:r>
        <w:rPr>
          <w:spacing w:val="-4"/>
        </w:rPr>
        <w:t xml:space="preserve"> </w:t>
      </w:r>
      <w:r>
        <w:t>of</w:t>
      </w:r>
      <w:r>
        <w:rPr>
          <w:spacing w:val="-2"/>
        </w:rPr>
        <w:t xml:space="preserve"> </w:t>
      </w:r>
      <w:r>
        <w:t>current</w:t>
      </w:r>
      <w:r>
        <w:rPr>
          <w:spacing w:val="-1"/>
        </w:rPr>
        <w:t xml:space="preserve"> </w:t>
      </w:r>
      <w:r>
        <w:t>commitments,</w:t>
      </w:r>
      <w:r>
        <w:rPr>
          <w:spacing w:val="-4"/>
        </w:rPr>
        <w:t xml:space="preserve"> </w:t>
      </w:r>
      <w:r>
        <w:t>available</w:t>
      </w:r>
      <w:r>
        <w:rPr>
          <w:spacing w:val="-4"/>
        </w:rPr>
        <w:t xml:space="preserve"> </w:t>
      </w:r>
      <w:r>
        <w:t>to</w:t>
      </w:r>
      <w:r>
        <w:rPr>
          <w:spacing w:val="-5"/>
        </w:rPr>
        <w:t xml:space="preserve"> </w:t>
      </w:r>
      <w:r>
        <w:t>meet</w:t>
      </w:r>
      <w:r>
        <w:rPr>
          <w:spacing w:val="-1"/>
        </w:rPr>
        <w:t xml:space="preserve"> </w:t>
      </w:r>
      <w:r>
        <w:t>the</w:t>
      </w:r>
      <w:r>
        <w:rPr>
          <w:spacing w:val="-2"/>
        </w:rPr>
        <w:t xml:space="preserve"> </w:t>
      </w:r>
      <w:r>
        <w:t>total</w:t>
      </w:r>
      <w:r>
        <w:rPr>
          <w:spacing w:val="-1"/>
        </w:rPr>
        <w:t xml:space="preserve"> </w:t>
      </w:r>
      <w:r>
        <w:t>construction</w:t>
      </w:r>
      <w:r>
        <w:rPr>
          <w:spacing w:val="-2"/>
        </w:rPr>
        <w:t xml:space="preserve"> </w:t>
      </w:r>
      <w:r>
        <w:t>cash</w:t>
      </w:r>
      <w:r>
        <w:rPr>
          <w:spacing w:val="-2"/>
        </w:rPr>
        <w:t xml:space="preserve"> </w:t>
      </w:r>
      <w:r>
        <w:t>flow</w:t>
      </w:r>
      <w:r>
        <w:rPr>
          <w:spacing w:val="-3"/>
        </w:rPr>
        <w:t xml:space="preserve"> </w:t>
      </w:r>
      <w:r>
        <w:t>demands</w:t>
      </w:r>
      <w:r>
        <w:rPr>
          <w:spacing w:val="-2"/>
        </w:rPr>
        <w:t xml:space="preserve"> </w:t>
      </w:r>
      <w:r>
        <w:t>of</w:t>
      </w:r>
      <w:r>
        <w:rPr>
          <w:spacing w:val="-3"/>
        </w:rPr>
        <w:t xml:space="preserve"> </w:t>
      </w:r>
      <w:r>
        <w:t>the</w:t>
      </w:r>
      <w:r>
        <w:rPr>
          <w:spacing w:val="-2"/>
        </w:rPr>
        <w:t xml:space="preserve"> </w:t>
      </w:r>
      <w:r>
        <w:t>subject contract or contracts as specified in Section III, Evaluation and Qualification Criteria</w:t>
      </w:r>
    </w:p>
    <w:p w:rsidR="007F6DF9" w:rsidRDefault="007F6DF9">
      <w:pPr>
        <w:pStyle w:val="BodyText"/>
        <w:spacing w:before="5" w:after="1"/>
        <w:rPr>
          <w:sz w:val="19"/>
        </w:rPr>
      </w:pPr>
    </w:p>
    <w:tbl>
      <w:tblPr>
        <w:tblW w:w="0" w:type="auto"/>
        <w:tblInd w:w="1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5641"/>
        <w:gridCol w:w="3183"/>
      </w:tblGrid>
      <w:tr w:rsidR="007F6DF9">
        <w:trPr>
          <w:trHeight w:val="275"/>
        </w:trPr>
        <w:tc>
          <w:tcPr>
            <w:tcW w:w="9362" w:type="dxa"/>
            <w:gridSpan w:val="3"/>
            <w:tcBorders>
              <w:top w:val="nil"/>
              <w:bottom w:val="nil"/>
            </w:tcBorders>
            <w:shd w:val="clear" w:color="auto" w:fill="000000"/>
          </w:tcPr>
          <w:p w:rsidR="007F6DF9" w:rsidRDefault="00A43FBC">
            <w:pPr>
              <w:pStyle w:val="TableParagraph"/>
              <w:spacing w:before="15" w:line="240" w:lineRule="exact"/>
              <w:ind w:left="74"/>
              <w:rPr>
                <w:rFonts w:ascii="Times New Roman"/>
                <w:b/>
              </w:rPr>
            </w:pPr>
            <w:r>
              <w:rPr>
                <w:rFonts w:ascii="Times New Roman"/>
                <w:b/>
                <w:color w:val="FFFFFF"/>
              </w:rPr>
              <w:t>Financial</w:t>
            </w:r>
            <w:r>
              <w:rPr>
                <w:rFonts w:ascii="Times New Roman"/>
                <w:b/>
                <w:color w:val="FFFFFF"/>
                <w:spacing w:val="-2"/>
              </w:rPr>
              <w:t xml:space="preserve"> Resources</w:t>
            </w:r>
          </w:p>
        </w:tc>
      </w:tr>
      <w:tr w:rsidR="007F6DF9">
        <w:trPr>
          <w:trHeight w:val="452"/>
        </w:trPr>
        <w:tc>
          <w:tcPr>
            <w:tcW w:w="538" w:type="dxa"/>
          </w:tcPr>
          <w:p w:rsidR="007F6DF9" w:rsidRDefault="00A43FBC">
            <w:pPr>
              <w:pStyle w:val="TableParagraph"/>
              <w:spacing w:before="107"/>
              <w:ind w:left="74"/>
              <w:rPr>
                <w:rFonts w:ascii="Arial"/>
                <w:b/>
                <w:sz w:val="20"/>
              </w:rPr>
            </w:pPr>
            <w:r>
              <w:rPr>
                <w:rFonts w:ascii="Arial"/>
                <w:b/>
                <w:spacing w:val="-5"/>
                <w:sz w:val="20"/>
              </w:rPr>
              <w:t>No.</w:t>
            </w:r>
          </w:p>
        </w:tc>
        <w:tc>
          <w:tcPr>
            <w:tcW w:w="5641" w:type="dxa"/>
          </w:tcPr>
          <w:p w:rsidR="007F6DF9" w:rsidRDefault="00A43FBC">
            <w:pPr>
              <w:pStyle w:val="TableParagraph"/>
              <w:spacing w:line="222" w:lineRule="exact"/>
              <w:ind w:left="71"/>
              <w:rPr>
                <w:rFonts w:ascii="Arial"/>
                <w:b/>
                <w:sz w:val="20"/>
              </w:rPr>
            </w:pPr>
            <w:r>
              <w:rPr>
                <w:rFonts w:ascii="Arial"/>
                <w:b/>
                <w:spacing w:val="-2"/>
                <w:sz w:val="20"/>
              </w:rPr>
              <w:t>Source</w:t>
            </w:r>
            <w:r>
              <w:rPr>
                <w:rFonts w:ascii="Arial"/>
                <w:b/>
                <w:spacing w:val="-9"/>
                <w:sz w:val="20"/>
              </w:rPr>
              <w:t xml:space="preserve"> </w:t>
            </w:r>
            <w:r>
              <w:rPr>
                <w:rFonts w:ascii="Arial"/>
                <w:b/>
                <w:spacing w:val="-2"/>
                <w:sz w:val="20"/>
              </w:rPr>
              <w:t>of</w:t>
            </w:r>
            <w:r>
              <w:rPr>
                <w:rFonts w:ascii="Arial"/>
                <w:b/>
                <w:spacing w:val="-7"/>
                <w:sz w:val="20"/>
              </w:rPr>
              <w:t xml:space="preserve"> </w:t>
            </w:r>
            <w:r>
              <w:rPr>
                <w:rFonts w:ascii="Arial"/>
                <w:b/>
                <w:spacing w:val="-2"/>
                <w:sz w:val="20"/>
              </w:rPr>
              <w:t>financing</w:t>
            </w:r>
          </w:p>
        </w:tc>
        <w:tc>
          <w:tcPr>
            <w:tcW w:w="3183" w:type="dxa"/>
          </w:tcPr>
          <w:p w:rsidR="007F6DF9" w:rsidRDefault="00A43FBC">
            <w:pPr>
              <w:pStyle w:val="TableParagraph"/>
              <w:spacing w:line="222" w:lineRule="exact"/>
              <w:ind w:left="71"/>
              <w:rPr>
                <w:rFonts w:ascii="Arial"/>
                <w:b/>
                <w:sz w:val="20"/>
              </w:rPr>
            </w:pPr>
            <w:r>
              <w:rPr>
                <w:rFonts w:ascii="Arial"/>
                <w:b/>
                <w:spacing w:val="-2"/>
                <w:sz w:val="20"/>
              </w:rPr>
              <w:t>Amount</w:t>
            </w:r>
            <w:r>
              <w:rPr>
                <w:rFonts w:ascii="Arial"/>
                <w:b/>
                <w:spacing w:val="-11"/>
                <w:sz w:val="20"/>
              </w:rPr>
              <w:t xml:space="preserve"> </w:t>
            </w:r>
            <w:r>
              <w:rPr>
                <w:rFonts w:ascii="Arial"/>
                <w:b/>
                <w:spacing w:val="-2"/>
                <w:sz w:val="20"/>
              </w:rPr>
              <w:t>(Kenya</w:t>
            </w:r>
            <w:r>
              <w:rPr>
                <w:rFonts w:ascii="Arial"/>
                <w:b/>
                <w:spacing w:val="-9"/>
                <w:sz w:val="20"/>
              </w:rPr>
              <w:t xml:space="preserve"> </w:t>
            </w:r>
            <w:r>
              <w:rPr>
                <w:rFonts w:ascii="Arial"/>
                <w:b/>
                <w:spacing w:val="-2"/>
                <w:sz w:val="20"/>
              </w:rPr>
              <w:t>Shilling</w:t>
            </w:r>
          </w:p>
          <w:p w:rsidR="007F6DF9" w:rsidRDefault="00A43FBC">
            <w:pPr>
              <w:pStyle w:val="TableParagraph"/>
              <w:spacing w:line="210" w:lineRule="exact"/>
              <w:ind w:left="71"/>
              <w:rPr>
                <w:rFonts w:ascii="Arial"/>
                <w:b/>
                <w:sz w:val="20"/>
              </w:rPr>
            </w:pPr>
            <w:r>
              <w:rPr>
                <w:rFonts w:ascii="Arial"/>
                <w:b/>
                <w:spacing w:val="-2"/>
                <w:sz w:val="20"/>
              </w:rPr>
              <w:t>equivalent)</w:t>
            </w:r>
          </w:p>
        </w:tc>
      </w:tr>
      <w:tr w:rsidR="007F6DF9">
        <w:trPr>
          <w:trHeight w:val="460"/>
        </w:trPr>
        <w:tc>
          <w:tcPr>
            <w:tcW w:w="538" w:type="dxa"/>
          </w:tcPr>
          <w:p w:rsidR="007F6DF9" w:rsidRDefault="00A43FBC">
            <w:pPr>
              <w:pStyle w:val="TableParagraph"/>
              <w:spacing w:before="114"/>
              <w:ind w:left="74"/>
              <w:rPr>
                <w:rFonts w:ascii="Arial MT"/>
                <w:sz w:val="20"/>
              </w:rPr>
            </w:pPr>
            <w:r>
              <w:rPr>
                <w:rFonts w:ascii="Arial MT"/>
                <w:spacing w:val="-10"/>
                <w:sz w:val="20"/>
              </w:rPr>
              <w:t>1</w:t>
            </w:r>
          </w:p>
        </w:tc>
        <w:tc>
          <w:tcPr>
            <w:tcW w:w="5641" w:type="dxa"/>
          </w:tcPr>
          <w:p w:rsidR="007F6DF9" w:rsidRDefault="007F6DF9">
            <w:pPr>
              <w:pStyle w:val="TableParagraph"/>
              <w:rPr>
                <w:rFonts w:ascii="Times New Roman"/>
                <w:sz w:val="20"/>
              </w:rPr>
            </w:pPr>
          </w:p>
        </w:tc>
        <w:tc>
          <w:tcPr>
            <w:tcW w:w="3183" w:type="dxa"/>
          </w:tcPr>
          <w:p w:rsidR="007F6DF9" w:rsidRDefault="007F6DF9">
            <w:pPr>
              <w:pStyle w:val="TableParagraph"/>
              <w:rPr>
                <w:rFonts w:ascii="Times New Roman"/>
                <w:sz w:val="20"/>
              </w:rPr>
            </w:pPr>
          </w:p>
        </w:tc>
      </w:tr>
      <w:tr w:rsidR="007F6DF9">
        <w:trPr>
          <w:trHeight w:val="460"/>
        </w:trPr>
        <w:tc>
          <w:tcPr>
            <w:tcW w:w="538" w:type="dxa"/>
          </w:tcPr>
          <w:p w:rsidR="007F6DF9" w:rsidRDefault="00A43FBC">
            <w:pPr>
              <w:pStyle w:val="TableParagraph"/>
              <w:spacing w:before="114"/>
              <w:ind w:left="74"/>
              <w:rPr>
                <w:rFonts w:ascii="Arial MT"/>
                <w:sz w:val="20"/>
              </w:rPr>
            </w:pPr>
            <w:r>
              <w:rPr>
                <w:rFonts w:ascii="Arial MT"/>
                <w:spacing w:val="-10"/>
                <w:sz w:val="20"/>
              </w:rPr>
              <w:t>2</w:t>
            </w:r>
          </w:p>
        </w:tc>
        <w:tc>
          <w:tcPr>
            <w:tcW w:w="5641" w:type="dxa"/>
          </w:tcPr>
          <w:p w:rsidR="007F6DF9" w:rsidRDefault="007F6DF9">
            <w:pPr>
              <w:pStyle w:val="TableParagraph"/>
              <w:rPr>
                <w:rFonts w:ascii="Times New Roman"/>
                <w:sz w:val="20"/>
              </w:rPr>
            </w:pPr>
          </w:p>
        </w:tc>
        <w:tc>
          <w:tcPr>
            <w:tcW w:w="3183" w:type="dxa"/>
          </w:tcPr>
          <w:p w:rsidR="007F6DF9" w:rsidRDefault="007F6DF9">
            <w:pPr>
              <w:pStyle w:val="TableParagraph"/>
              <w:rPr>
                <w:rFonts w:ascii="Times New Roman"/>
                <w:sz w:val="20"/>
              </w:rPr>
            </w:pPr>
          </w:p>
        </w:tc>
      </w:tr>
      <w:tr w:rsidR="007F6DF9">
        <w:trPr>
          <w:trHeight w:val="460"/>
        </w:trPr>
        <w:tc>
          <w:tcPr>
            <w:tcW w:w="538" w:type="dxa"/>
          </w:tcPr>
          <w:p w:rsidR="007F6DF9" w:rsidRDefault="00A43FBC">
            <w:pPr>
              <w:pStyle w:val="TableParagraph"/>
              <w:spacing w:before="114"/>
              <w:ind w:left="74"/>
              <w:rPr>
                <w:rFonts w:ascii="Arial MT"/>
                <w:sz w:val="20"/>
              </w:rPr>
            </w:pPr>
            <w:r>
              <w:rPr>
                <w:rFonts w:ascii="Arial MT"/>
                <w:spacing w:val="-10"/>
                <w:sz w:val="20"/>
              </w:rPr>
              <w:t>3</w:t>
            </w:r>
          </w:p>
        </w:tc>
        <w:tc>
          <w:tcPr>
            <w:tcW w:w="5641" w:type="dxa"/>
          </w:tcPr>
          <w:p w:rsidR="007F6DF9" w:rsidRDefault="007F6DF9">
            <w:pPr>
              <w:pStyle w:val="TableParagraph"/>
              <w:rPr>
                <w:rFonts w:ascii="Times New Roman"/>
                <w:sz w:val="20"/>
              </w:rPr>
            </w:pPr>
          </w:p>
        </w:tc>
        <w:tc>
          <w:tcPr>
            <w:tcW w:w="3183" w:type="dxa"/>
          </w:tcPr>
          <w:p w:rsidR="007F6DF9" w:rsidRDefault="007F6DF9">
            <w:pPr>
              <w:pStyle w:val="TableParagraph"/>
              <w:rPr>
                <w:rFonts w:ascii="Times New Roman"/>
                <w:sz w:val="20"/>
              </w:rPr>
            </w:pPr>
          </w:p>
        </w:tc>
      </w:tr>
      <w:tr w:rsidR="007F6DF9">
        <w:trPr>
          <w:trHeight w:val="460"/>
        </w:trPr>
        <w:tc>
          <w:tcPr>
            <w:tcW w:w="538" w:type="dxa"/>
          </w:tcPr>
          <w:p w:rsidR="007F6DF9" w:rsidRDefault="007F6DF9">
            <w:pPr>
              <w:pStyle w:val="TableParagraph"/>
              <w:rPr>
                <w:rFonts w:ascii="Times New Roman"/>
                <w:sz w:val="20"/>
              </w:rPr>
            </w:pPr>
          </w:p>
        </w:tc>
        <w:tc>
          <w:tcPr>
            <w:tcW w:w="5641" w:type="dxa"/>
          </w:tcPr>
          <w:p w:rsidR="007F6DF9" w:rsidRDefault="007F6DF9">
            <w:pPr>
              <w:pStyle w:val="TableParagraph"/>
              <w:rPr>
                <w:rFonts w:ascii="Times New Roman"/>
                <w:sz w:val="20"/>
              </w:rPr>
            </w:pPr>
          </w:p>
        </w:tc>
        <w:tc>
          <w:tcPr>
            <w:tcW w:w="3183" w:type="dxa"/>
          </w:tcPr>
          <w:p w:rsidR="007F6DF9" w:rsidRDefault="007F6DF9">
            <w:pPr>
              <w:pStyle w:val="TableParagraph"/>
              <w:rPr>
                <w:rFonts w:ascii="Times New Roman"/>
                <w:sz w:val="20"/>
              </w:rPr>
            </w:pPr>
          </w:p>
        </w:tc>
      </w:tr>
    </w:tbl>
    <w:p w:rsidR="007F6DF9" w:rsidRDefault="007F6DF9">
      <w:pPr>
        <w:pStyle w:val="BodyText"/>
        <w:spacing w:before="32"/>
      </w:pPr>
    </w:p>
    <w:p w:rsidR="007F6DF9" w:rsidRDefault="00A43FBC">
      <w:pPr>
        <w:pStyle w:val="ListParagraph"/>
        <w:numPr>
          <w:ilvl w:val="1"/>
          <w:numId w:val="166"/>
        </w:numPr>
        <w:tabs>
          <w:tab w:val="left" w:pos="1280"/>
        </w:tabs>
        <w:ind w:left="1280" w:hanging="721"/>
        <w:jc w:val="left"/>
        <w:rPr>
          <w:b/>
          <w:sz w:val="24"/>
        </w:rPr>
      </w:pPr>
      <w:r>
        <w:rPr>
          <w:b/>
          <w:sz w:val="24"/>
          <w:u w:val="single"/>
        </w:rPr>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3.4:</w:t>
      </w:r>
      <w:r>
        <w:rPr>
          <w:b/>
          <w:spacing w:val="40"/>
          <w:sz w:val="24"/>
          <w:u w:val="single"/>
        </w:rPr>
        <w:t xml:space="preserve"> </w:t>
      </w:r>
    </w:p>
    <w:p w:rsidR="007F6DF9" w:rsidRDefault="00A43FBC">
      <w:pPr>
        <w:spacing w:before="251"/>
        <w:ind w:left="559"/>
        <w:rPr>
          <w:b/>
        </w:rPr>
      </w:pPr>
      <w:r>
        <w:rPr>
          <w:b/>
        </w:rPr>
        <w:t>Current</w:t>
      </w:r>
      <w:r>
        <w:rPr>
          <w:b/>
          <w:spacing w:val="-4"/>
        </w:rPr>
        <w:t xml:space="preserve"> </w:t>
      </w:r>
      <w:r>
        <w:rPr>
          <w:b/>
        </w:rPr>
        <w:t>Contract</w:t>
      </w:r>
      <w:r>
        <w:rPr>
          <w:b/>
          <w:spacing w:val="-3"/>
        </w:rPr>
        <w:t xml:space="preserve"> </w:t>
      </w:r>
      <w:r>
        <w:rPr>
          <w:b/>
        </w:rPr>
        <w:t>Commitments</w:t>
      </w:r>
      <w:r>
        <w:rPr>
          <w:b/>
          <w:spacing w:val="-6"/>
        </w:rPr>
        <w:t xml:space="preserve"> </w:t>
      </w:r>
      <w:r>
        <w:rPr>
          <w:b/>
        </w:rPr>
        <w:t>/</w:t>
      </w:r>
      <w:r>
        <w:rPr>
          <w:b/>
          <w:spacing w:val="-3"/>
        </w:rPr>
        <w:t xml:space="preserve"> </w:t>
      </w:r>
      <w:r>
        <w:rPr>
          <w:b/>
        </w:rPr>
        <w:t>Works</w:t>
      </w:r>
      <w:r>
        <w:rPr>
          <w:b/>
          <w:spacing w:val="-6"/>
        </w:rPr>
        <w:t xml:space="preserve"> </w:t>
      </w:r>
      <w:r>
        <w:rPr>
          <w:b/>
        </w:rPr>
        <w:t>in</w:t>
      </w:r>
      <w:r>
        <w:rPr>
          <w:b/>
          <w:spacing w:val="-1"/>
        </w:rPr>
        <w:t xml:space="preserve"> </w:t>
      </w:r>
      <w:r>
        <w:rPr>
          <w:b/>
          <w:spacing w:val="-2"/>
        </w:rPr>
        <w:t>Progress</w:t>
      </w:r>
    </w:p>
    <w:p w:rsidR="007F6DF9" w:rsidRDefault="007F6DF9">
      <w:pPr>
        <w:pStyle w:val="BodyText"/>
        <w:spacing w:before="1"/>
        <w:rPr>
          <w:b/>
        </w:rPr>
      </w:pPr>
    </w:p>
    <w:p w:rsidR="007F6DF9" w:rsidRDefault="00A43FBC">
      <w:pPr>
        <w:pStyle w:val="BodyText"/>
        <w:ind w:left="559" w:right="332"/>
      </w:pPr>
      <w:r>
        <w:t>Tenderers</w:t>
      </w:r>
      <w:r>
        <w:rPr>
          <w:spacing w:val="-1"/>
        </w:rPr>
        <w:t xml:space="preserve"> </w:t>
      </w:r>
      <w:r>
        <w:t>and</w:t>
      </w:r>
      <w:r>
        <w:rPr>
          <w:spacing w:val="-4"/>
        </w:rPr>
        <w:t xml:space="preserve"> </w:t>
      </w:r>
      <w:r>
        <w:t>each</w:t>
      </w:r>
      <w:r>
        <w:rPr>
          <w:spacing w:val="-3"/>
        </w:rPr>
        <w:t xml:space="preserve"> </w:t>
      </w:r>
      <w:r>
        <w:t>member</w:t>
      </w:r>
      <w:r>
        <w:rPr>
          <w:spacing w:val="-1"/>
        </w:rPr>
        <w:t xml:space="preserve"> </w:t>
      </w:r>
      <w:r>
        <w:t>to</w:t>
      </w:r>
      <w:r>
        <w:rPr>
          <w:spacing w:val="-4"/>
        </w:rPr>
        <w:t xml:space="preserve"> </w:t>
      </w:r>
      <w:r>
        <w:t>a</w:t>
      </w:r>
      <w:r>
        <w:rPr>
          <w:spacing w:val="-1"/>
        </w:rPr>
        <w:t xml:space="preserve"> </w:t>
      </w:r>
      <w:r>
        <w:t>JV</w:t>
      </w:r>
      <w:r>
        <w:rPr>
          <w:spacing w:val="-2"/>
        </w:rPr>
        <w:t xml:space="preserve"> </w:t>
      </w:r>
      <w:r>
        <w:t>should</w:t>
      </w:r>
      <w:r>
        <w:rPr>
          <w:spacing w:val="-4"/>
        </w:rPr>
        <w:t xml:space="preserve"> </w:t>
      </w:r>
      <w:r>
        <w:t>provide</w:t>
      </w:r>
      <w:r>
        <w:rPr>
          <w:spacing w:val="-3"/>
        </w:rPr>
        <w:t xml:space="preserve"> </w:t>
      </w:r>
      <w:r>
        <w:t>information</w:t>
      </w:r>
      <w:r>
        <w:rPr>
          <w:spacing w:val="-1"/>
        </w:rPr>
        <w:t xml:space="preserve"> </w:t>
      </w:r>
      <w:r>
        <w:t>on</w:t>
      </w:r>
      <w:r>
        <w:rPr>
          <w:spacing w:val="-4"/>
        </w:rPr>
        <w:t xml:space="preserve"> </w:t>
      </w:r>
      <w:r>
        <w:t>their</w:t>
      </w:r>
      <w:r>
        <w:rPr>
          <w:spacing w:val="-1"/>
        </w:rPr>
        <w:t xml:space="preserve"> </w:t>
      </w:r>
      <w:r>
        <w:t>current commitments</w:t>
      </w:r>
      <w:r>
        <w:rPr>
          <w:spacing w:val="-1"/>
        </w:rPr>
        <w:t xml:space="preserve"> </w:t>
      </w:r>
      <w:r>
        <w:t>on</w:t>
      </w:r>
      <w:r>
        <w:rPr>
          <w:spacing w:val="-1"/>
        </w:rPr>
        <w:t xml:space="preserve"> </w:t>
      </w:r>
      <w:r>
        <w:t>all</w:t>
      </w:r>
      <w:r>
        <w:rPr>
          <w:spacing w:val="-3"/>
        </w:rPr>
        <w:t xml:space="preserve"> </w:t>
      </w:r>
      <w:r>
        <w:t>contracts</w:t>
      </w:r>
      <w:r>
        <w:rPr>
          <w:spacing w:val="-1"/>
        </w:rPr>
        <w:t xml:space="preserve"> </w:t>
      </w:r>
      <w:r>
        <w:t>that have been awarded, or for which a letter of intent or acceptance has been received, or for contracts approaching completion, but for which an unqualified, full completion certificate has yet to be issued.</w:t>
      </w:r>
    </w:p>
    <w:p w:rsidR="007F6DF9" w:rsidRDefault="007F6DF9">
      <w:pPr>
        <w:pStyle w:val="BodyText"/>
        <w:spacing w:before="18"/>
        <w:rPr>
          <w:sz w:val="20"/>
        </w:rPr>
      </w:pP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033"/>
        <w:gridCol w:w="2126"/>
        <w:gridCol w:w="1582"/>
        <w:gridCol w:w="1227"/>
        <w:gridCol w:w="1872"/>
      </w:tblGrid>
      <w:tr w:rsidR="007F6DF9">
        <w:trPr>
          <w:trHeight w:val="236"/>
        </w:trPr>
        <w:tc>
          <w:tcPr>
            <w:tcW w:w="9738" w:type="dxa"/>
            <w:gridSpan w:val="6"/>
            <w:tcBorders>
              <w:top w:val="nil"/>
              <w:bottom w:val="single" w:sz="18" w:space="0" w:color="000000"/>
            </w:tcBorders>
          </w:tcPr>
          <w:p w:rsidR="007F6DF9" w:rsidRDefault="00A43FBC">
            <w:pPr>
              <w:pStyle w:val="TableParagraph"/>
              <w:spacing w:line="20" w:lineRule="exact"/>
              <w:ind w:left="65" w:right="-29"/>
              <w:rPr>
                <w:rFonts w:ascii="Times New Roman"/>
                <w:sz w:val="2"/>
              </w:rPr>
            </w:pPr>
            <w:r>
              <w:rPr>
                <w:rFonts w:ascii="Times New Roman"/>
                <w:noProof/>
                <w:sz w:val="2"/>
              </w:rPr>
              <mc:AlternateContent>
                <mc:Choice Requires="wpg">
                  <w:drawing>
                    <wp:inline distT="0" distB="0" distL="0" distR="0">
                      <wp:extent cx="6113780" cy="6350"/>
                      <wp:effectExtent l="0" t="0" r="0" b="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6350"/>
                                <a:chOff x="0" y="0"/>
                                <a:chExt cx="6113780" cy="6350"/>
                              </a:xfrm>
                            </wpg:grpSpPr>
                            <wps:wsp>
                              <wps:cNvPr id="195" name="Graphic 195"/>
                              <wps:cNvSpPr/>
                              <wps:spPr>
                                <a:xfrm>
                                  <a:off x="0" y="0"/>
                                  <a:ext cx="6113780" cy="6350"/>
                                </a:xfrm>
                                <a:custGeom>
                                  <a:avLst/>
                                  <a:gdLst/>
                                  <a:ahLst/>
                                  <a:cxnLst/>
                                  <a:rect l="l" t="t" r="r" b="b"/>
                                  <a:pathLst>
                                    <a:path w="6113780" h="6350">
                                      <a:moveTo>
                                        <a:pt x="6113653" y="0"/>
                                      </a:moveTo>
                                      <a:lnTo>
                                        <a:pt x="0" y="0"/>
                                      </a:lnTo>
                                      <a:lnTo>
                                        <a:pt x="0" y="6096"/>
                                      </a:lnTo>
                                      <a:lnTo>
                                        <a:pt x="6113653" y="6096"/>
                                      </a:lnTo>
                                      <a:lnTo>
                                        <a:pt x="61136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240889" id="Group 194" o:spid="_x0000_s1026" style="width:481.4pt;height:.5pt;mso-position-horizontal-relative:char;mso-position-vertical-relative:line" coordsize="611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">
                      <v:shape id="Graphic 195" o:spid="_x0000_s1027" style="position:absolute;width:61137;height:63;visibility:visible;mso-wrap-style:square;v-text-anchor:top" coordsize="6113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" path="m6113653,l,,,6096r6113653,l6113653,xe" fillcolor="black" stroked="f">
                        <v:path arrowok="t"/>
                      </v:shape>
                      <w10:anchorlock/>
                    </v:group>
                  </w:pict>
                </mc:Fallback>
              </mc:AlternateContent>
            </w:r>
          </w:p>
          <w:p w:rsidR="007F6DF9" w:rsidRDefault="00A43FBC">
            <w:pPr>
              <w:pStyle w:val="TableParagraph"/>
              <w:spacing w:line="196" w:lineRule="exact"/>
              <w:ind w:left="168"/>
              <w:rPr>
                <w:rFonts w:ascii="Times New Roman"/>
                <w:b/>
                <w:sz w:val="20"/>
              </w:rPr>
            </w:pPr>
            <w:r>
              <w:rPr>
                <w:rFonts w:ascii="Times New Roman"/>
                <w:b/>
                <w:sz w:val="20"/>
              </w:rPr>
              <w:t>Current</w:t>
            </w:r>
            <w:r>
              <w:rPr>
                <w:rFonts w:ascii="Times New Roman"/>
                <w:b/>
                <w:spacing w:val="-7"/>
                <w:sz w:val="20"/>
              </w:rPr>
              <w:t xml:space="preserve"> </w:t>
            </w:r>
            <w:r>
              <w:rPr>
                <w:rFonts w:ascii="Times New Roman"/>
                <w:b/>
                <w:sz w:val="20"/>
              </w:rPr>
              <w:t>Contract</w:t>
            </w:r>
            <w:r>
              <w:rPr>
                <w:rFonts w:ascii="Times New Roman"/>
                <w:b/>
                <w:spacing w:val="-5"/>
                <w:sz w:val="20"/>
              </w:rPr>
              <w:t xml:space="preserve"> </w:t>
            </w:r>
            <w:r>
              <w:rPr>
                <w:rFonts w:ascii="Times New Roman"/>
                <w:b/>
                <w:spacing w:val="-2"/>
                <w:sz w:val="20"/>
              </w:rPr>
              <w:t>Commitments</w:t>
            </w:r>
          </w:p>
        </w:tc>
      </w:tr>
      <w:tr w:rsidR="007F6DF9">
        <w:trPr>
          <w:trHeight w:val="1378"/>
        </w:trPr>
        <w:tc>
          <w:tcPr>
            <w:tcW w:w="898" w:type="dxa"/>
            <w:tcBorders>
              <w:top w:val="single" w:sz="18" w:space="0" w:color="000000"/>
              <w:left w:val="single" w:sz="12" w:space="0" w:color="000000"/>
              <w:bottom w:val="single" w:sz="12" w:space="0" w:color="000000"/>
              <w:right w:val="single" w:sz="6" w:space="0" w:color="000000"/>
            </w:tcBorders>
          </w:tcPr>
          <w:p w:rsidR="007F6DF9" w:rsidRDefault="00A43FBC">
            <w:pPr>
              <w:pStyle w:val="TableParagraph"/>
              <w:spacing w:before="124"/>
              <w:ind w:left="71"/>
              <w:rPr>
                <w:rFonts w:ascii="Times New Roman"/>
                <w:b/>
                <w:sz w:val="20"/>
              </w:rPr>
            </w:pPr>
            <w:r>
              <w:rPr>
                <w:rFonts w:ascii="Times New Roman"/>
                <w:b/>
                <w:spacing w:val="-5"/>
                <w:sz w:val="20"/>
              </w:rPr>
              <w:t>No.</w:t>
            </w:r>
          </w:p>
        </w:tc>
        <w:tc>
          <w:tcPr>
            <w:tcW w:w="2033" w:type="dxa"/>
            <w:tcBorders>
              <w:top w:val="single" w:sz="18" w:space="0" w:color="000000"/>
              <w:left w:val="single" w:sz="6" w:space="0" w:color="000000"/>
              <w:bottom w:val="single" w:sz="12" w:space="0" w:color="000000"/>
              <w:right w:val="single" w:sz="6" w:space="0" w:color="000000"/>
            </w:tcBorders>
          </w:tcPr>
          <w:p w:rsidR="007F6DF9" w:rsidRDefault="00A43FBC">
            <w:pPr>
              <w:pStyle w:val="TableParagraph"/>
              <w:spacing w:before="124"/>
              <w:ind w:left="750" w:right="498"/>
              <w:rPr>
                <w:rFonts w:ascii="Times New Roman"/>
                <w:b/>
                <w:sz w:val="20"/>
              </w:rPr>
            </w:pPr>
            <w:r>
              <w:rPr>
                <w:rFonts w:ascii="Times New Roman"/>
                <w:b/>
                <w:sz w:val="20"/>
              </w:rPr>
              <w:t xml:space="preserve">Name of </w:t>
            </w:r>
            <w:r>
              <w:rPr>
                <w:rFonts w:ascii="Times New Roman"/>
                <w:b/>
                <w:spacing w:val="-2"/>
                <w:sz w:val="20"/>
              </w:rPr>
              <w:t>Contract</w:t>
            </w:r>
          </w:p>
        </w:tc>
        <w:tc>
          <w:tcPr>
            <w:tcW w:w="2126" w:type="dxa"/>
            <w:tcBorders>
              <w:top w:val="single" w:sz="18" w:space="0" w:color="000000"/>
              <w:left w:val="single" w:sz="6" w:space="0" w:color="000000"/>
              <w:bottom w:val="single" w:sz="12" w:space="0" w:color="000000"/>
              <w:right w:val="single" w:sz="6" w:space="0" w:color="000000"/>
            </w:tcBorders>
          </w:tcPr>
          <w:p w:rsidR="007F6DF9" w:rsidRDefault="00A43FBC">
            <w:pPr>
              <w:pStyle w:val="TableParagraph"/>
              <w:spacing w:before="124"/>
              <w:ind w:left="751" w:right="492"/>
              <w:rPr>
                <w:rFonts w:ascii="Times New Roman" w:hAnsi="Times New Roman"/>
                <w:b/>
                <w:sz w:val="20"/>
              </w:rPr>
            </w:pPr>
            <w:r>
              <w:rPr>
                <w:rFonts w:ascii="Times New Roman" w:hAnsi="Times New Roman"/>
                <w:b/>
                <w:spacing w:val="-2"/>
                <w:sz w:val="20"/>
              </w:rPr>
              <w:t>Procuring Entity’s</w:t>
            </w:r>
          </w:p>
          <w:p w:rsidR="007F6DF9" w:rsidRDefault="00A43FBC">
            <w:pPr>
              <w:pStyle w:val="TableParagraph"/>
              <w:spacing w:before="1"/>
              <w:ind w:left="79"/>
              <w:rPr>
                <w:rFonts w:ascii="Times New Roman"/>
                <w:b/>
                <w:sz w:val="20"/>
              </w:rPr>
            </w:pPr>
            <w:r>
              <w:rPr>
                <w:rFonts w:ascii="Times New Roman"/>
                <w:b/>
                <w:spacing w:val="-2"/>
                <w:sz w:val="20"/>
              </w:rPr>
              <w:t>Contact</w:t>
            </w:r>
            <w:r>
              <w:rPr>
                <w:rFonts w:ascii="Times New Roman"/>
                <w:b/>
                <w:spacing w:val="-11"/>
                <w:sz w:val="20"/>
              </w:rPr>
              <w:t xml:space="preserve"> </w:t>
            </w:r>
            <w:r>
              <w:rPr>
                <w:rFonts w:ascii="Times New Roman"/>
                <w:b/>
                <w:spacing w:val="-2"/>
                <w:sz w:val="20"/>
              </w:rPr>
              <w:t>Address,</w:t>
            </w:r>
            <w:r>
              <w:rPr>
                <w:rFonts w:ascii="Times New Roman"/>
                <w:b/>
                <w:spacing w:val="-10"/>
                <w:sz w:val="20"/>
              </w:rPr>
              <w:t xml:space="preserve"> </w:t>
            </w:r>
            <w:r>
              <w:rPr>
                <w:rFonts w:ascii="Times New Roman"/>
                <w:b/>
                <w:spacing w:val="-4"/>
                <w:sz w:val="20"/>
              </w:rPr>
              <w:t>Tel,</w:t>
            </w:r>
          </w:p>
        </w:tc>
        <w:tc>
          <w:tcPr>
            <w:tcW w:w="1582" w:type="dxa"/>
            <w:tcBorders>
              <w:top w:val="single" w:sz="18" w:space="0" w:color="000000"/>
              <w:left w:val="single" w:sz="6" w:space="0" w:color="000000"/>
              <w:bottom w:val="single" w:sz="12" w:space="0" w:color="000000"/>
              <w:right w:val="single" w:sz="6" w:space="0" w:color="000000"/>
            </w:tcBorders>
          </w:tcPr>
          <w:p w:rsidR="007F6DF9" w:rsidRDefault="00A43FBC">
            <w:pPr>
              <w:pStyle w:val="TableParagraph"/>
              <w:ind w:left="82"/>
              <w:rPr>
                <w:rFonts w:ascii="Times New Roman"/>
                <w:b/>
                <w:sz w:val="20"/>
              </w:rPr>
            </w:pPr>
            <w:r>
              <w:rPr>
                <w:rFonts w:ascii="Times New Roman"/>
                <w:b/>
                <w:sz w:val="20"/>
              </w:rPr>
              <w:t xml:space="preserve">Value of </w:t>
            </w:r>
            <w:r>
              <w:rPr>
                <w:rFonts w:ascii="Times New Roman"/>
                <w:b/>
                <w:spacing w:val="-4"/>
                <w:sz w:val="20"/>
              </w:rPr>
              <w:t>Outstanding Work</w:t>
            </w:r>
          </w:p>
          <w:p w:rsidR="007F6DF9" w:rsidRDefault="00A43FBC">
            <w:pPr>
              <w:pStyle w:val="TableParagraph"/>
              <w:spacing w:line="230" w:lineRule="atLeast"/>
              <w:ind w:left="82"/>
              <w:rPr>
                <w:rFonts w:ascii="Times New Roman"/>
                <w:b/>
                <w:sz w:val="20"/>
              </w:rPr>
            </w:pPr>
            <w:r>
              <w:rPr>
                <w:rFonts w:ascii="Times New Roman"/>
                <w:b/>
                <w:spacing w:val="-4"/>
                <w:sz w:val="20"/>
              </w:rPr>
              <w:t>[Current</w:t>
            </w:r>
            <w:r>
              <w:rPr>
                <w:rFonts w:ascii="Times New Roman"/>
                <w:b/>
                <w:spacing w:val="-9"/>
                <w:sz w:val="20"/>
              </w:rPr>
              <w:t xml:space="preserve"> </w:t>
            </w:r>
            <w:r>
              <w:rPr>
                <w:rFonts w:ascii="Times New Roman"/>
                <w:b/>
                <w:spacing w:val="-4"/>
                <w:sz w:val="20"/>
              </w:rPr>
              <w:t xml:space="preserve">Kenya </w:t>
            </w:r>
            <w:r>
              <w:rPr>
                <w:rFonts w:ascii="Times New Roman"/>
                <w:b/>
                <w:sz w:val="20"/>
              </w:rPr>
              <w:t>Shilling</w:t>
            </w:r>
            <w:r>
              <w:rPr>
                <w:rFonts w:ascii="Times New Roman"/>
                <w:b/>
                <w:spacing w:val="-13"/>
                <w:sz w:val="20"/>
              </w:rPr>
              <w:t xml:space="preserve"> </w:t>
            </w:r>
            <w:r>
              <w:rPr>
                <w:rFonts w:ascii="Times New Roman"/>
                <w:b/>
                <w:sz w:val="20"/>
              </w:rPr>
              <w:t xml:space="preserve">/month </w:t>
            </w:r>
            <w:r>
              <w:rPr>
                <w:rFonts w:ascii="Times New Roman"/>
                <w:b/>
                <w:spacing w:val="-2"/>
                <w:sz w:val="20"/>
              </w:rPr>
              <w:t>Equivalent]</w:t>
            </w:r>
          </w:p>
        </w:tc>
        <w:tc>
          <w:tcPr>
            <w:tcW w:w="1227" w:type="dxa"/>
            <w:tcBorders>
              <w:top w:val="single" w:sz="18" w:space="0" w:color="000000"/>
              <w:left w:val="single" w:sz="6" w:space="0" w:color="000000"/>
              <w:bottom w:val="single" w:sz="12" w:space="0" w:color="000000"/>
              <w:right w:val="single" w:sz="6" w:space="0" w:color="000000"/>
            </w:tcBorders>
          </w:tcPr>
          <w:p w:rsidR="007F6DF9" w:rsidRDefault="00A43FBC">
            <w:pPr>
              <w:pStyle w:val="TableParagraph"/>
              <w:ind w:left="79" w:right="150"/>
              <w:rPr>
                <w:rFonts w:ascii="Times New Roman"/>
                <w:b/>
                <w:sz w:val="20"/>
              </w:rPr>
            </w:pPr>
            <w:r>
              <w:rPr>
                <w:rFonts w:ascii="Times New Roman"/>
                <w:b/>
                <w:spacing w:val="-2"/>
                <w:sz w:val="20"/>
              </w:rPr>
              <w:t xml:space="preserve">Estimated </w:t>
            </w:r>
            <w:r>
              <w:rPr>
                <w:rFonts w:ascii="Times New Roman"/>
                <w:b/>
                <w:spacing w:val="-4"/>
                <w:sz w:val="20"/>
              </w:rPr>
              <w:t>Completion Date</w:t>
            </w:r>
          </w:p>
        </w:tc>
        <w:tc>
          <w:tcPr>
            <w:tcW w:w="1872" w:type="dxa"/>
            <w:tcBorders>
              <w:top w:val="single" w:sz="18" w:space="0" w:color="000000"/>
              <w:left w:val="single" w:sz="6" w:space="0" w:color="000000"/>
              <w:bottom w:val="single" w:sz="12" w:space="0" w:color="000000"/>
              <w:right w:val="single" w:sz="12" w:space="0" w:color="000000"/>
            </w:tcBorders>
          </w:tcPr>
          <w:p w:rsidR="007F6DF9" w:rsidRDefault="00A43FBC">
            <w:pPr>
              <w:pStyle w:val="TableParagraph"/>
              <w:ind w:left="79" w:right="94"/>
              <w:rPr>
                <w:rFonts w:ascii="Times New Roman"/>
                <w:b/>
                <w:sz w:val="20"/>
              </w:rPr>
            </w:pPr>
            <w:r>
              <w:rPr>
                <w:rFonts w:ascii="Times New Roman"/>
                <w:b/>
                <w:sz w:val="20"/>
              </w:rPr>
              <w:t xml:space="preserve">Average Monthly </w:t>
            </w:r>
            <w:r>
              <w:rPr>
                <w:rFonts w:ascii="Times New Roman"/>
                <w:b/>
                <w:spacing w:val="-2"/>
                <w:sz w:val="20"/>
              </w:rPr>
              <w:t>Invoicing</w:t>
            </w:r>
            <w:r>
              <w:rPr>
                <w:rFonts w:ascii="Times New Roman"/>
                <w:b/>
                <w:spacing w:val="-11"/>
                <w:sz w:val="20"/>
              </w:rPr>
              <w:t xml:space="preserve"> </w:t>
            </w:r>
            <w:r>
              <w:rPr>
                <w:rFonts w:ascii="Times New Roman"/>
                <w:b/>
                <w:spacing w:val="-2"/>
                <w:sz w:val="20"/>
              </w:rPr>
              <w:t>Over</w:t>
            </w:r>
            <w:r>
              <w:rPr>
                <w:rFonts w:ascii="Times New Roman"/>
                <w:b/>
                <w:spacing w:val="-10"/>
                <w:sz w:val="20"/>
              </w:rPr>
              <w:t xml:space="preserve"> </w:t>
            </w:r>
            <w:r>
              <w:rPr>
                <w:rFonts w:ascii="Times New Roman"/>
                <w:b/>
                <w:spacing w:val="-2"/>
                <w:sz w:val="20"/>
              </w:rPr>
              <w:t xml:space="preserve">Last </w:t>
            </w:r>
            <w:r>
              <w:rPr>
                <w:rFonts w:ascii="Times New Roman"/>
                <w:b/>
                <w:sz w:val="20"/>
              </w:rPr>
              <w:t>Six Months</w:t>
            </w:r>
          </w:p>
          <w:p w:rsidR="007F6DF9" w:rsidRDefault="00A43FBC">
            <w:pPr>
              <w:pStyle w:val="TableParagraph"/>
              <w:ind w:left="79"/>
              <w:rPr>
                <w:rFonts w:ascii="Times New Roman"/>
                <w:b/>
                <w:sz w:val="20"/>
              </w:rPr>
            </w:pPr>
            <w:r>
              <w:rPr>
                <w:rFonts w:ascii="Times New Roman"/>
                <w:b/>
                <w:spacing w:val="-5"/>
                <w:sz w:val="20"/>
              </w:rPr>
              <w:t>[Kenya</w:t>
            </w:r>
            <w:r>
              <w:rPr>
                <w:rFonts w:ascii="Times New Roman"/>
                <w:b/>
                <w:spacing w:val="-4"/>
                <w:sz w:val="20"/>
              </w:rPr>
              <w:t xml:space="preserve"> </w:t>
            </w:r>
            <w:r>
              <w:rPr>
                <w:rFonts w:ascii="Times New Roman"/>
                <w:b/>
                <w:spacing w:val="-2"/>
                <w:sz w:val="20"/>
              </w:rPr>
              <w:t>Shilling</w:t>
            </w:r>
          </w:p>
          <w:p w:rsidR="007F6DF9" w:rsidRDefault="00A43FBC">
            <w:pPr>
              <w:pStyle w:val="TableParagraph"/>
              <w:ind w:left="79"/>
              <w:rPr>
                <w:rFonts w:ascii="Times New Roman"/>
                <w:b/>
                <w:sz w:val="20"/>
              </w:rPr>
            </w:pPr>
            <w:r>
              <w:rPr>
                <w:rFonts w:ascii="Times New Roman"/>
                <w:b/>
                <w:spacing w:val="-2"/>
                <w:sz w:val="20"/>
              </w:rPr>
              <w:t>/month)]</w:t>
            </w:r>
          </w:p>
        </w:tc>
      </w:tr>
      <w:tr w:rsidR="007F6DF9">
        <w:trPr>
          <w:trHeight w:val="250"/>
        </w:trPr>
        <w:tc>
          <w:tcPr>
            <w:tcW w:w="898" w:type="dxa"/>
            <w:tcBorders>
              <w:top w:val="single" w:sz="12" w:space="0" w:color="000000"/>
              <w:left w:val="single" w:sz="6" w:space="0" w:color="000000"/>
              <w:bottom w:val="single" w:sz="6" w:space="0" w:color="000000"/>
              <w:right w:val="single" w:sz="6" w:space="0" w:color="000000"/>
            </w:tcBorders>
          </w:tcPr>
          <w:p w:rsidR="007F6DF9" w:rsidRDefault="00A43FBC">
            <w:pPr>
              <w:pStyle w:val="TableParagraph"/>
              <w:spacing w:line="230" w:lineRule="exact"/>
              <w:ind w:left="79"/>
              <w:rPr>
                <w:rFonts w:ascii="Times New Roman"/>
              </w:rPr>
            </w:pPr>
            <w:r>
              <w:rPr>
                <w:rFonts w:ascii="Times New Roman"/>
                <w:spacing w:val="-10"/>
              </w:rPr>
              <w:t>1</w:t>
            </w:r>
          </w:p>
        </w:tc>
        <w:tc>
          <w:tcPr>
            <w:tcW w:w="2033"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3"/>
        </w:trPr>
        <w:tc>
          <w:tcPr>
            <w:tcW w:w="898" w:type="dxa"/>
            <w:tcBorders>
              <w:top w:val="single" w:sz="6" w:space="0" w:color="000000"/>
              <w:left w:val="single" w:sz="6" w:space="0" w:color="000000"/>
              <w:bottom w:val="single" w:sz="6" w:space="0" w:color="000000"/>
              <w:right w:val="single" w:sz="6" w:space="0" w:color="000000"/>
            </w:tcBorders>
          </w:tcPr>
          <w:p w:rsidR="007F6DF9" w:rsidRDefault="00A43FBC">
            <w:pPr>
              <w:pStyle w:val="TableParagraph"/>
              <w:spacing w:line="233" w:lineRule="exact"/>
              <w:ind w:left="79"/>
              <w:rPr>
                <w:rFonts w:ascii="Times New Roman"/>
              </w:rPr>
            </w:pPr>
            <w:r>
              <w:rPr>
                <w:rFonts w:ascii="Times New Roman"/>
                <w:spacing w:val="-10"/>
              </w:rPr>
              <w:t>2</w:t>
            </w: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3"/>
        </w:trPr>
        <w:tc>
          <w:tcPr>
            <w:tcW w:w="898" w:type="dxa"/>
            <w:tcBorders>
              <w:top w:val="single" w:sz="6" w:space="0" w:color="000000"/>
              <w:left w:val="single" w:sz="6" w:space="0" w:color="000000"/>
              <w:bottom w:val="single" w:sz="6" w:space="0" w:color="000000"/>
              <w:right w:val="single" w:sz="6" w:space="0" w:color="000000"/>
            </w:tcBorders>
          </w:tcPr>
          <w:p w:rsidR="007F6DF9" w:rsidRDefault="00A43FBC">
            <w:pPr>
              <w:pStyle w:val="TableParagraph"/>
              <w:spacing w:line="234" w:lineRule="exact"/>
              <w:ind w:left="79"/>
              <w:rPr>
                <w:rFonts w:ascii="Times New Roman"/>
              </w:rPr>
            </w:pPr>
            <w:r>
              <w:rPr>
                <w:rFonts w:ascii="Times New Roman"/>
                <w:spacing w:val="-10"/>
              </w:rPr>
              <w:t>3</w:t>
            </w: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1"/>
        </w:trPr>
        <w:tc>
          <w:tcPr>
            <w:tcW w:w="898" w:type="dxa"/>
            <w:tcBorders>
              <w:top w:val="single" w:sz="6" w:space="0" w:color="000000"/>
              <w:left w:val="single" w:sz="6" w:space="0" w:color="000000"/>
              <w:bottom w:val="single" w:sz="6" w:space="0" w:color="000000"/>
              <w:right w:val="single" w:sz="6" w:space="0" w:color="000000"/>
            </w:tcBorders>
          </w:tcPr>
          <w:p w:rsidR="007F6DF9" w:rsidRDefault="00A43FBC">
            <w:pPr>
              <w:pStyle w:val="TableParagraph"/>
              <w:spacing w:line="231" w:lineRule="exact"/>
              <w:ind w:left="79"/>
              <w:rPr>
                <w:rFonts w:ascii="Times New Roman"/>
              </w:rPr>
            </w:pPr>
            <w:r>
              <w:rPr>
                <w:rFonts w:ascii="Times New Roman"/>
                <w:spacing w:val="-10"/>
              </w:rPr>
              <w:t>4</w:t>
            </w: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3"/>
        </w:trPr>
        <w:tc>
          <w:tcPr>
            <w:tcW w:w="898" w:type="dxa"/>
            <w:tcBorders>
              <w:top w:val="single" w:sz="6" w:space="0" w:color="000000"/>
              <w:left w:val="single" w:sz="6" w:space="0" w:color="000000"/>
              <w:bottom w:val="single" w:sz="6" w:space="0" w:color="000000"/>
              <w:right w:val="single" w:sz="6" w:space="0" w:color="000000"/>
            </w:tcBorders>
          </w:tcPr>
          <w:p w:rsidR="007F6DF9" w:rsidRDefault="00A43FBC">
            <w:pPr>
              <w:pStyle w:val="TableParagraph"/>
              <w:spacing w:line="233" w:lineRule="exact"/>
              <w:ind w:left="79"/>
              <w:rPr>
                <w:rFonts w:ascii="Times New Roman"/>
              </w:rPr>
            </w:pPr>
            <w:r>
              <w:rPr>
                <w:rFonts w:ascii="Times New Roman"/>
                <w:spacing w:val="-10"/>
              </w:rPr>
              <w:t>5</w:t>
            </w: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3"/>
        </w:trPr>
        <w:tc>
          <w:tcPr>
            <w:tcW w:w="898"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pgSz w:w="11920" w:h="16850"/>
          <w:pgMar w:top="360" w:right="283" w:bottom="620" w:left="141" w:header="0" w:footer="437" w:gutter="0"/>
          <w:pgNumType w:start="40"/>
          <w:cols w:space="720"/>
        </w:sectPr>
      </w:pPr>
    </w:p>
    <w:p w:rsidR="007F6DF9" w:rsidRDefault="007F6DF9">
      <w:pPr>
        <w:pStyle w:val="BodyText"/>
        <w:spacing w:before="220"/>
        <w:rPr>
          <w:sz w:val="24"/>
        </w:rPr>
      </w:pPr>
    </w:p>
    <w:p w:rsidR="007F6DF9" w:rsidRDefault="00A43FBC">
      <w:pPr>
        <w:pStyle w:val="ListParagraph"/>
        <w:numPr>
          <w:ilvl w:val="1"/>
          <w:numId w:val="166"/>
        </w:numPr>
        <w:tabs>
          <w:tab w:val="left" w:pos="1280"/>
        </w:tabs>
        <w:ind w:left="1280" w:hanging="721"/>
        <w:jc w:val="left"/>
        <w:rPr>
          <w:b/>
          <w:sz w:val="24"/>
        </w:rPr>
      </w:pPr>
      <w:r>
        <w:rPr>
          <w:b/>
          <w:sz w:val="24"/>
          <w:u w:val="single"/>
        </w:rPr>
        <w:t>FORM</w:t>
      </w:r>
      <w:r>
        <w:rPr>
          <w:b/>
          <w:spacing w:val="-2"/>
          <w:sz w:val="24"/>
          <w:u w:val="single"/>
        </w:rPr>
        <w:t xml:space="preserve"> </w:t>
      </w:r>
      <w:r>
        <w:rPr>
          <w:b/>
          <w:sz w:val="24"/>
          <w:u w:val="single"/>
        </w:rPr>
        <w:t>EXP</w:t>
      </w:r>
      <w:r>
        <w:rPr>
          <w:b/>
          <w:spacing w:val="-1"/>
          <w:sz w:val="24"/>
          <w:u w:val="single"/>
        </w:rPr>
        <w:t xml:space="preserve"> </w:t>
      </w:r>
      <w:r>
        <w:rPr>
          <w:b/>
          <w:sz w:val="24"/>
          <w:u w:val="single"/>
        </w:rPr>
        <w:t>-</w:t>
      </w:r>
      <w:r>
        <w:rPr>
          <w:b/>
          <w:spacing w:val="42"/>
          <w:sz w:val="24"/>
          <w:u w:val="single"/>
        </w:rPr>
        <w:t xml:space="preserve"> </w:t>
      </w:r>
      <w:r>
        <w:rPr>
          <w:b/>
          <w:spacing w:val="10"/>
          <w:sz w:val="24"/>
          <w:u w:val="single"/>
        </w:rPr>
        <w:t>4.</w:t>
      </w:r>
      <w:r>
        <w:rPr>
          <w:b/>
          <w:spacing w:val="-36"/>
          <w:sz w:val="24"/>
          <w:u w:val="single"/>
        </w:rPr>
        <w:t xml:space="preserve"> </w:t>
      </w:r>
      <w:r>
        <w:rPr>
          <w:b/>
          <w:spacing w:val="-10"/>
          <w:sz w:val="24"/>
          <w:u w:val="single"/>
        </w:rPr>
        <w:t>1</w:t>
      </w:r>
    </w:p>
    <w:p w:rsidR="007F6DF9" w:rsidRDefault="007F6DF9">
      <w:pPr>
        <w:pStyle w:val="BodyText"/>
        <w:spacing w:before="1"/>
        <w:rPr>
          <w:b/>
          <w:sz w:val="24"/>
        </w:rPr>
      </w:pPr>
    </w:p>
    <w:p w:rsidR="007F6DF9" w:rsidRDefault="00A43FBC">
      <w:pPr>
        <w:pStyle w:val="Heading7"/>
      </w:pPr>
      <w:r>
        <w:t>General</w:t>
      </w:r>
      <w:r>
        <w:rPr>
          <w:spacing w:val="-3"/>
        </w:rPr>
        <w:t xml:space="preserve"> </w:t>
      </w:r>
      <w:r>
        <w:t>Construction</w:t>
      </w:r>
      <w:r>
        <w:rPr>
          <w:spacing w:val="-2"/>
        </w:rPr>
        <w:t xml:space="preserve"> Experience</w:t>
      </w:r>
    </w:p>
    <w:p w:rsidR="007F6DF9" w:rsidRDefault="00A43FBC">
      <w:pPr>
        <w:pStyle w:val="BodyText"/>
        <w:tabs>
          <w:tab w:val="left" w:pos="3861"/>
        </w:tabs>
        <w:spacing w:before="251"/>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before="2" w:line="252" w:lineRule="exact"/>
        <w:ind w:left="559"/>
      </w:pPr>
      <w:r>
        <w:t>Date:</w:t>
      </w:r>
      <w:r>
        <w:rPr>
          <w:spacing w:val="-2"/>
        </w:rPr>
        <w:t xml:space="preserve"> </w:t>
      </w:r>
      <w:r>
        <w:rPr>
          <w:u w:val="single"/>
        </w:rPr>
        <w:tab/>
      </w:r>
    </w:p>
    <w:p w:rsidR="007F6DF9" w:rsidRDefault="00A43FBC">
      <w:pPr>
        <w:pStyle w:val="BodyText"/>
        <w:tabs>
          <w:tab w:val="left" w:pos="4952"/>
        </w:tabs>
        <w:ind w:left="559" w:right="6503"/>
      </w:pPr>
      <w:r>
        <w:t>JV Member’s Name</w:t>
      </w:r>
      <w:proofErr w:type="gramStart"/>
      <w:r>
        <w:rPr>
          <w:u w:val="single"/>
        </w:rPr>
        <w:tab/>
      </w:r>
      <w:r>
        <w:rPr>
          <w:spacing w:val="-44"/>
          <w:u w:val="single"/>
        </w:rPr>
        <w:t xml:space="preserve"> </w:t>
      </w:r>
      <w:r>
        <w:rPr>
          <w:spacing w:val="-4"/>
        </w:rPr>
        <w:t xml:space="preserve"> ITT</w:t>
      </w:r>
      <w:proofErr w:type="gramEnd"/>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A43FBC">
      <w:pPr>
        <w:pStyle w:val="BodyText"/>
        <w:tabs>
          <w:tab w:val="left" w:pos="2580"/>
          <w:tab w:val="left" w:pos="4263"/>
        </w:tabs>
        <w:spacing w:before="252"/>
        <w:ind w:left="559"/>
      </w:pPr>
      <w:r>
        <w:t>Page</w:t>
      </w:r>
      <w:r>
        <w:rPr>
          <w:spacing w:val="-6"/>
        </w:rPr>
        <w:t xml:space="preserve"> </w:t>
      </w:r>
      <w:r>
        <w:rPr>
          <w:u w:val="single"/>
        </w:rPr>
        <w:tab/>
      </w:r>
      <w:r>
        <w:t>of</w:t>
      </w:r>
      <w:r>
        <w:rPr>
          <w:spacing w:val="-4"/>
        </w:rPr>
        <w:t xml:space="preserve"> </w:t>
      </w:r>
      <w:r>
        <w:rPr>
          <w:u w:val="single"/>
        </w:rPr>
        <w:tab/>
      </w:r>
      <w:r>
        <w:rPr>
          <w:spacing w:val="-4"/>
        </w:rPr>
        <w:t>pages</w:t>
      </w:r>
    </w:p>
    <w:p w:rsidR="007F6DF9" w:rsidRDefault="007F6DF9">
      <w:pPr>
        <w:pStyle w:val="BodyText"/>
        <w:spacing w:before="20"/>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1080"/>
        <w:gridCol w:w="5041"/>
        <w:gridCol w:w="2017"/>
      </w:tblGrid>
      <w:tr w:rsidR="007F6DF9">
        <w:trPr>
          <w:trHeight w:val="1026"/>
        </w:trPr>
        <w:tc>
          <w:tcPr>
            <w:tcW w:w="1121" w:type="dxa"/>
          </w:tcPr>
          <w:p w:rsidR="007F6DF9" w:rsidRDefault="00A43FBC">
            <w:pPr>
              <w:pStyle w:val="TableParagraph"/>
              <w:spacing w:line="251" w:lineRule="exact"/>
              <w:ind w:left="-1"/>
              <w:rPr>
                <w:rFonts w:ascii="Times New Roman"/>
              </w:rPr>
            </w:pPr>
            <w:r>
              <w:rPr>
                <w:rFonts w:ascii="Times New Roman"/>
                <w:spacing w:val="-2"/>
              </w:rPr>
              <w:t>Starting</w:t>
            </w:r>
          </w:p>
          <w:p w:rsidR="007F6DF9" w:rsidRDefault="007F6DF9">
            <w:pPr>
              <w:pStyle w:val="TableParagraph"/>
              <w:rPr>
                <w:rFonts w:ascii="Times New Roman"/>
              </w:rPr>
            </w:pPr>
          </w:p>
          <w:p w:rsidR="007F6DF9" w:rsidRDefault="00A43FBC">
            <w:pPr>
              <w:pStyle w:val="TableParagraph"/>
              <w:ind w:left="-1"/>
              <w:rPr>
                <w:rFonts w:ascii="Times New Roman"/>
              </w:rPr>
            </w:pPr>
            <w:r>
              <w:rPr>
                <w:rFonts w:ascii="Times New Roman"/>
                <w:spacing w:val="-4"/>
              </w:rPr>
              <w:t>Year</w:t>
            </w:r>
          </w:p>
        </w:tc>
        <w:tc>
          <w:tcPr>
            <w:tcW w:w="1080" w:type="dxa"/>
          </w:tcPr>
          <w:p w:rsidR="007F6DF9" w:rsidRDefault="00A43FBC">
            <w:pPr>
              <w:pStyle w:val="TableParagraph"/>
              <w:ind w:left="2" w:right="432"/>
              <w:rPr>
                <w:rFonts w:ascii="Times New Roman"/>
              </w:rPr>
            </w:pPr>
            <w:r>
              <w:rPr>
                <w:rFonts w:ascii="Times New Roman"/>
                <w:spacing w:val="-2"/>
              </w:rPr>
              <w:t xml:space="preserve">Ending </w:t>
            </w:r>
            <w:r>
              <w:rPr>
                <w:rFonts w:ascii="Times New Roman"/>
                <w:spacing w:val="-4"/>
              </w:rPr>
              <w:t>Year</w:t>
            </w:r>
          </w:p>
        </w:tc>
        <w:tc>
          <w:tcPr>
            <w:tcW w:w="5041" w:type="dxa"/>
          </w:tcPr>
          <w:p w:rsidR="007F6DF9" w:rsidRDefault="00A43FBC">
            <w:pPr>
              <w:pStyle w:val="TableParagraph"/>
              <w:spacing w:line="251" w:lineRule="exact"/>
              <w:ind w:left="2"/>
              <w:rPr>
                <w:rFonts w:ascii="Times New Roman"/>
              </w:rPr>
            </w:pPr>
            <w:r>
              <w:rPr>
                <w:rFonts w:ascii="Times New Roman"/>
              </w:rPr>
              <w:t>Contract</w:t>
            </w:r>
            <w:r>
              <w:rPr>
                <w:rFonts w:ascii="Times New Roman"/>
                <w:spacing w:val="-2"/>
              </w:rPr>
              <w:t xml:space="preserve"> Identification</w:t>
            </w:r>
          </w:p>
        </w:tc>
        <w:tc>
          <w:tcPr>
            <w:tcW w:w="2017" w:type="dxa"/>
          </w:tcPr>
          <w:p w:rsidR="007F6DF9" w:rsidRDefault="00A43FBC">
            <w:pPr>
              <w:pStyle w:val="TableParagraph"/>
              <w:ind w:left="2" w:right="1212"/>
              <w:rPr>
                <w:rFonts w:ascii="Times New Roman"/>
              </w:rPr>
            </w:pPr>
            <w:r>
              <w:rPr>
                <w:rFonts w:ascii="Times New Roman"/>
              </w:rPr>
              <w:t xml:space="preserve">Role of </w:t>
            </w:r>
            <w:r>
              <w:rPr>
                <w:rFonts w:ascii="Times New Roman"/>
                <w:spacing w:val="-2"/>
              </w:rPr>
              <w:t>Tenderer</w:t>
            </w:r>
          </w:p>
        </w:tc>
      </w:tr>
      <w:tr w:rsidR="007F6DF9">
        <w:trPr>
          <w:trHeight w:val="1512"/>
        </w:trPr>
        <w:tc>
          <w:tcPr>
            <w:tcW w:w="1121"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5041" w:type="dxa"/>
            <w:tcBorders>
              <w:bottom w:val="single" w:sz="6" w:space="0" w:color="000000"/>
            </w:tcBorders>
          </w:tcPr>
          <w:p w:rsidR="007F6DF9" w:rsidRDefault="00A43FBC">
            <w:pPr>
              <w:pStyle w:val="TableParagraph"/>
              <w:tabs>
                <w:tab w:val="left" w:pos="3525"/>
              </w:tabs>
              <w:spacing w:line="252" w:lineRule="exact"/>
              <w:ind w:left="2"/>
              <w:rPr>
                <w:rFonts w:ascii="Times New Roman"/>
              </w:rPr>
            </w:pPr>
            <w:r>
              <w:rPr>
                <w:rFonts w:ascii="Times New Roman"/>
                <w:spacing w:val="-10"/>
              </w:rPr>
              <w:t>Contract</w:t>
            </w:r>
            <w:r>
              <w:rPr>
                <w:rFonts w:ascii="Times New Roman"/>
                <w:spacing w:val="-13"/>
              </w:rPr>
              <w:t xml:space="preserve"> </w:t>
            </w:r>
            <w:r>
              <w:rPr>
                <w:rFonts w:ascii="Times New Roman"/>
              </w:rPr>
              <w:t>name:</w:t>
            </w:r>
            <w:r>
              <w:rPr>
                <w:rFonts w:ascii="Times New Roman"/>
                <w:spacing w:val="-12"/>
              </w:rPr>
              <w:t xml:space="preserve"> </w:t>
            </w:r>
            <w:r>
              <w:rPr>
                <w:rFonts w:ascii="Times New Roman"/>
                <w:u w:val="single"/>
              </w:rPr>
              <w:tab/>
            </w:r>
          </w:p>
          <w:p w:rsidR="007F6DF9" w:rsidRDefault="00A43FBC">
            <w:pPr>
              <w:pStyle w:val="TableParagraph"/>
              <w:tabs>
                <w:tab w:val="left" w:pos="3945"/>
                <w:tab w:val="left" w:pos="4137"/>
              </w:tabs>
              <w:ind w:left="2" w:right="813"/>
              <w:rPr>
                <w:rFonts w:ascii="Times New Roman"/>
              </w:rPr>
            </w:pPr>
            <w:r>
              <w:rPr>
                <w:rFonts w:ascii="Times New Roman"/>
              </w:rPr>
              <w:t>Brief</w:t>
            </w:r>
            <w:r>
              <w:rPr>
                <w:rFonts w:ascii="Times New Roman"/>
                <w:spacing w:val="-14"/>
              </w:rPr>
              <w:t xml:space="preserve"> </w:t>
            </w:r>
            <w:r>
              <w:rPr>
                <w:rFonts w:ascii="Times New Roman"/>
              </w:rPr>
              <w:t>Description</w:t>
            </w:r>
            <w:r>
              <w:rPr>
                <w:rFonts w:ascii="Times New Roman"/>
                <w:spacing w:val="-14"/>
              </w:rPr>
              <w:t xml:space="preserve"> </w:t>
            </w:r>
            <w:r>
              <w:rPr>
                <w:rFonts w:ascii="Times New Roman"/>
              </w:rPr>
              <w:t>of</w:t>
            </w:r>
            <w:r>
              <w:rPr>
                <w:rFonts w:ascii="Times New Roman"/>
                <w:spacing w:val="-14"/>
              </w:rPr>
              <w:t xml:space="preserve"> </w:t>
            </w:r>
            <w:r>
              <w:rPr>
                <w:rFonts w:ascii="Times New Roman"/>
              </w:rPr>
              <w:t>the</w:t>
            </w:r>
            <w:r>
              <w:rPr>
                <w:rFonts w:ascii="Times New Roman"/>
                <w:spacing w:val="-13"/>
              </w:rPr>
              <w:t xml:space="preserve"> </w:t>
            </w:r>
            <w:r>
              <w:rPr>
                <w:rFonts w:ascii="Times New Roman"/>
              </w:rPr>
              <w:t>Works</w:t>
            </w:r>
            <w:r>
              <w:rPr>
                <w:rFonts w:ascii="Times New Roman"/>
                <w:spacing w:val="-14"/>
              </w:rPr>
              <w:t xml:space="preserve"> </w:t>
            </w:r>
            <w:r>
              <w:rPr>
                <w:rFonts w:ascii="Times New Roman"/>
              </w:rPr>
              <w:t>performed</w:t>
            </w:r>
            <w:r>
              <w:rPr>
                <w:rFonts w:ascii="Times New Roman"/>
                <w:spacing w:val="-14"/>
              </w:rPr>
              <w:t xml:space="preserve"> </w:t>
            </w:r>
            <w:r>
              <w:rPr>
                <w:rFonts w:ascii="Times New Roman"/>
              </w:rPr>
              <w:t>by</w:t>
            </w:r>
            <w:r>
              <w:rPr>
                <w:rFonts w:ascii="Times New Roman"/>
                <w:spacing w:val="-14"/>
              </w:rPr>
              <w:t xml:space="preserve"> </w:t>
            </w:r>
            <w:r>
              <w:rPr>
                <w:rFonts w:ascii="Times New Roman"/>
              </w:rPr>
              <w:t xml:space="preserve">the Tenderer: </w:t>
            </w:r>
            <w:r>
              <w:rPr>
                <w:rFonts w:ascii="Times New Roman"/>
                <w:u w:val="single"/>
              </w:rPr>
              <w:tab/>
            </w:r>
            <w:r>
              <w:rPr>
                <w:rFonts w:ascii="Times New Roman"/>
                <w:u w:val="single"/>
              </w:rPr>
              <w:tab/>
            </w:r>
            <w:r>
              <w:rPr>
                <w:rFonts w:ascii="Times New Roman"/>
              </w:rPr>
              <w:t xml:space="preserve"> Amount of contract: </w:t>
            </w:r>
            <w:r>
              <w:rPr>
                <w:rFonts w:ascii="Times New Roman"/>
                <w:u w:val="single"/>
              </w:rPr>
              <w:tab/>
            </w:r>
          </w:p>
          <w:p w:rsidR="007F6DF9" w:rsidRDefault="00A43FBC">
            <w:pPr>
              <w:pStyle w:val="TableParagraph"/>
              <w:tabs>
                <w:tab w:val="left" w:pos="4598"/>
              </w:tabs>
              <w:spacing w:line="254" w:lineRule="exact"/>
              <w:ind w:left="2" w:right="435"/>
              <w:rPr>
                <w:rFonts w:ascii="Times New Roman"/>
              </w:rPr>
            </w:pPr>
            <w:r>
              <w:rPr>
                <w:rFonts w:ascii="Times New Roman"/>
              </w:rPr>
              <w:t xml:space="preserve">Name of Procuring Entity: </w:t>
            </w:r>
            <w:r>
              <w:rPr>
                <w:rFonts w:ascii="Times New Roman"/>
                <w:u w:val="single"/>
              </w:rPr>
              <w:tab/>
            </w:r>
            <w:r>
              <w:rPr>
                <w:rFonts w:ascii="Times New Roman"/>
              </w:rPr>
              <w:t xml:space="preserve"> </w:t>
            </w:r>
            <w:r>
              <w:rPr>
                <w:rFonts w:ascii="Times New Roman"/>
                <w:spacing w:val="-2"/>
              </w:rPr>
              <w:t>Address:</w:t>
            </w:r>
          </w:p>
        </w:tc>
        <w:tc>
          <w:tcPr>
            <w:tcW w:w="2017" w:type="dxa"/>
          </w:tcPr>
          <w:p w:rsidR="007F6DF9" w:rsidRDefault="007F6DF9">
            <w:pPr>
              <w:pStyle w:val="TableParagraph"/>
              <w:rPr>
                <w:rFonts w:ascii="Times New Roman"/>
              </w:rPr>
            </w:pPr>
          </w:p>
        </w:tc>
      </w:tr>
      <w:tr w:rsidR="007F6DF9">
        <w:trPr>
          <w:trHeight w:val="1490"/>
        </w:trPr>
        <w:tc>
          <w:tcPr>
            <w:tcW w:w="1121"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5041" w:type="dxa"/>
            <w:tcBorders>
              <w:top w:val="single" w:sz="6" w:space="0" w:color="000000"/>
              <w:bottom w:val="thinThickMediumGap" w:sz="2" w:space="0" w:color="000000"/>
            </w:tcBorders>
          </w:tcPr>
          <w:p w:rsidR="007F6DF9" w:rsidRDefault="00A43FBC">
            <w:pPr>
              <w:pStyle w:val="TableParagraph"/>
              <w:tabs>
                <w:tab w:val="left" w:pos="3945"/>
                <w:tab w:val="left" w:pos="4077"/>
                <w:tab w:val="left" w:pos="4137"/>
              </w:tabs>
              <w:ind w:left="2" w:right="545"/>
              <w:rPr>
                <w:rFonts w:ascii="Times New Roman"/>
              </w:rPr>
            </w:pPr>
            <w:r>
              <w:rPr>
                <w:rFonts w:ascii="Times New Roman"/>
              </w:rPr>
              <w:t>Contract</w:t>
            </w:r>
            <w:r>
              <w:rPr>
                <w:rFonts w:ascii="Times New Roman"/>
                <w:spacing w:val="-2"/>
              </w:rPr>
              <w:t xml:space="preserve"> </w:t>
            </w:r>
            <w:r>
              <w:rPr>
                <w:rFonts w:ascii="Times New Roman"/>
              </w:rPr>
              <w:t>name:</w:t>
            </w:r>
            <w:r>
              <w:rPr>
                <w:rFonts w:ascii="Times New Roman"/>
                <w:spacing w:val="-2"/>
              </w:rPr>
              <w:t xml:space="preserve"> </w:t>
            </w:r>
            <w:r>
              <w:rPr>
                <w:rFonts w:ascii="Times New Roman"/>
                <w:u w:val="single"/>
              </w:rPr>
              <w:tab/>
            </w:r>
            <w:r>
              <w:rPr>
                <w:rFonts w:ascii="Times New Roman"/>
                <w:u w:val="single"/>
              </w:rPr>
              <w:tab/>
            </w:r>
            <w:r>
              <w:rPr>
                <w:rFonts w:ascii="Times New Roman"/>
              </w:rPr>
              <w:t xml:space="preserve"> Brief Description of the Works performed by the Tenderer: </w:t>
            </w:r>
            <w:r>
              <w:rPr>
                <w:rFonts w:ascii="Times New Roman"/>
                <w:u w:val="single"/>
              </w:rPr>
              <w:tab/>
            </w:r>
            <w:r>
              <w:rPr>
                <w:rFonts w:ascii="Times New Roman"/>
                <w:u w:val="single"/>
              </w:rPr>
              <w:tab/>
            </w:r>
            <w:r>
              <w:rPr>
                <w:rFonts w:ascii="Times New Roman"/>
                <w:u w:val="single"/>
              </w:rPr>
              <w:tab/>
            </w:r>
            <w:r>
              <w:rPr>
                <w:rFonts w:ascii="Times New Roman"/>
              </w:rPr>
              <w:t xml:space="preserve"> Amount of contract: </w:t>
            </w:r>
            <w:r>
              <w:rPr>
                <w:rFonts w:ascii="Times New Roman"/>
                <w:u w:val="single"/>
              </w:rPr>
              <w:tab/>
            </w:r>
          </w:p>
          <w:p w:rsidR="007F6DF9" w:rsidRDefault="00A43FBC">
            <w:pPr>
              <w:pStyle w:val="TableParagraph"/>
              <w:tabs>
                <w:tab w:val="left" w:pos="4488"/>
              </w:tabs>
              <w:spacing w:line="252" w:lineRule="exact"/>
              <w:ind w:left="2" w:right="545"/>
              <w:rPr>
                <w:rFonts w:ascii="Times New Roman"/>
              </w:rPr>
            </w:pPr>
            <w:r>
              <w:rPr>
                <w:rFonts w:ascii="Times New Roman"/>
              </w:rPr>
              <w:t xml:space="preserve">Name of Procuring Entity: </w:t>
            </w:r>
            <w:r>
              <w:rPr>
                <w:rFonts w:ascii="Times New Roman"/>
                <w:u w:val="single"/>
              </w:rPr>
              <w:tab/>
            </w:r>
            <w:r>
              <w:rPr>
                <w:rFonts w:ascii="Times New Roman"/>
              </w:rPr>
              <w:t xml:space="preserve"> </w:t>
            </w:r>
            <w:r>
              <w:rPr>
                <w:rFonts w:ascii="Times New Roman"/>
                <w:spacing w:val="-2"/>
              </w:rPr>
              <w:t>Address:</w:t>
            </w:r>
          </w:p>
        </w:tc>
        <w:tc>
          <w:tcPr>
            <w:tcW w:w="2017" w:type="dxa"/>
          </w:tcPr>
          <w:p w:rsidR="007F6DF9" w:rsidRDefault="007F6DF9">
            <w:pPr>
              <w:pStyle w:val="TableParagraph"/>
              <w:rPr>
                <w:rFonts w:ascii="Times New Roman"/>
              </w:rPr>
            </w:pPr>
          </w:p>
        </w:tc>
      </w:tr>
      <w:tr w:rsidR="007F6DF9">
        <w:trPr>
          <w:trHeight w:val="1468"/>
        </w:trPr>
        <w:tc>
          <w:tcPr>
            <w:tcW w:w="1121"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5041" w:type="dxa"/>
            <w:tcBorders>
              <w:top w:val="thickThinMediumGap" w:sz="2" w:space="0" w:color="000000"/>
              <w:bottom w:val="single" w:sz="6" w:space="0" w:color="000000"/>
            </w:tcBorders>
          </w:tcPr>
          <w:p w:rsidR="007F6DF9" w:rsidRDefault="00A43FBC">
            <w:pPr>
              <w:pStyle w:val="TableParagraph"/>
              <w:tabs>
                <w:tab w:val="left" w:pos="3967"/>
              </w:tabs>
              <w:spacing w:line="208" w:lineRule="exact"/>
              <w:ind w:left="2"/>
              <w:rPr>
                <w:rFonts w:ascii="Times New Roman"/>
              </w:rPr>
            </w:pPr>
            <w:r>
              <w:rPr>
                <w:rFonts w:ascii="Times New Roman"/>
                <w:spacing w:val="-10"/>
              </w:rPr>
              <w:t>Contract</w:t>
            </w:r>
            <w:r>
              <w:rPr>
                <w:rFonts w:ascii="Times New Roman"/>
                <w:spacing w:val="-13"/>
              </w:rPr>
              <w:t xml:space="preserve"> </w:t>
            </w:r>
            <w:r>
              <w:rPr>
                <w:rFonts w:ascii="Times New Roman"/>
              </w:rPr>
              <w:t>name:</w:t>
            </w:r>
            <w:r>
              <w:rPr>
                <w:rFonts w:ascii="Times New Roman"/>
                <w:spacing w:val="-12"/>
              </w:rPr>
              <w:t xml:space="preserve"> </w:t>
            </w:r>
            <w:r>
              <w:rPr>
                <w:rFonts w:ascii="Times New Roman"/>
                <w:u w:val="single"/>
              </w:rPr>
              <w:tab/>
            </w:r>
          </w:p>
          <w:p w:rsidR="007F6DF9" w:rsidRDefault="00A43FBC">
            <w:pPr>
              <w:pStyle w:val="TableParagraph"/>
              <w:tabs>
                <w:tab w:val="left" w:pos="3806"/>
                <w:tab w:val="left" w:pos="3945"/>
                <w:tab w:val="left" w:pos="4488"/>
              </w:tabs>
              <w:ind w:left="2" w:right="545"/>
              <w:rPr>
                <w:rFonts w:ascii="Times New Roman"/>
              </w:rPr>
            </w:pPr>
            <w:r>
              <w:rPr>
                <w:rFonts w:ascii="Times New Roman"/>
              </w:rPr>
              <w:t xml:space="preserve">Brief Description of the Works performed by the Tenderer: </w:t>
            </w:r>
            <w:r>
              <w:rPr>
                <w:rFonts w:ascii="Times New Roman"/>
                <w:u w:val="single"/>
              </w:rPr>
              <w:tab/>
            </w:r>
            <w:r>
              <w:rPr>
                <w:rFonts w:ascii="Times New Roman"/>
              </w:rPr>
              <w:t xml:space="preserve"> Amount of contract: </w:t>
            </w:r>
            <w:r>
              <w:rPr>
                <w:rFonts w:ascii="Times New Roman"/>
                <w:u w:val="single"/>
              </w:rPr>
              <w:tab/>
            </w:r>
            <w:r>
              <w:rPr>
                <w:rFonts w:ascii="Times New Roman"/>
                <w:u w:val="single"/>
              </w:rPr>
              <w:tab/>
            </w:r>
            <w:r>
              <w:rPr>
                <w:rFonts w:ascii="Times New Roman"/>
                <w:spacing w:val="40"/>
              </w:rPr>
              <w:t xml:space="preserve"> </w:t>
            </w:r>
            <w:r>
              <w:rPr>
                <w:rFonts w:ascii="Times New Roman"/>
              </w:rPr>
              <w:t xml:space="preserve">Name of Procuring Entity: </w:t>
            </w:r>
            <w:r>
              <w:rPr>
                <w:rFonts w:ascii="Times New Roman"/>
                <w:u w:val="single"/>
              </w:rPr>
              <w:tab/>
            </w:r>
            <w:r>
              <w:rPr>
                <w:rFonts w:ascii="Times New Roman"/>
                <w:u w:val="single"/>
              </w:rPr>
              <w:tab/>
            </w:r>
            <w:r>
              <w:rPr>
                <w:rFonts w:ascii="Times New Roman"/>
                <w:u w:val="single"/>
              </w:rPr>
              <w:tab/>
            </w:r>
          </w:p>
          <w:p w:rsidR="007F6DF9" w:rsidRDefault="00A43FBC">
            <w:pPr>
              <w:pStyle w:val="TableParagraph"/>
              <w:spacing w:line="228" w:lineRule="exact"/>
              <w:ind w:left="2"/>
              <w:rPr>
                <w:rFonts w:ascii="Times New Roman"/>
              </w:rPr>
            </w:pPr>
            <w:r>
              <w:rPr>
                <w:rFonts w:ascii="Times New Roman"/>
                <w:spacing w:val="-2"/>
              </w:rPr>
              <w:t>Address:</w:t>
            </w:r>
          </w:p>
        </w:tc>
        <w:tc>
          <w:tcPr>
            <w:tcW w:w="2017" w:type="dxa"/>
          </w:tcPr>
          <w:p w:rsidR="007F6DF9" w:rsidRDefault="007F6DF9">
            <w:pPr>
              <w:pStyle w:val="TableParagraph"/>
              <w:rPr>
                <w:rFonts w:ascii="Times New Roman"/>
              </w:rPr>
            </w:pPr>
          </w:p>
        </w:tc>
      </w:tr>
    </w:tbl>
    <w:p w:rsidR="007F6DF9" w:rsidRDefault="007F6DF9">
      <w:pPr>
        <w:pStyle w:val="TableParagraph"/>
        <w:rPr>
          <w:rFonts w:ascii="Times New Roman"/>
        </w:rPr>
        <w:sectPr w:rsidR="007F6DF9">
          <w:pgSz w:w="11920" w:h="16850"/>
          <w:pgMar w:top="360" w:right="283" w:bottom="620" w:left="141" w:header="0" w:footer="437" w:gutter="0"/>
          <w:cols w:space="720"/>
        </w:sectPr>
      </w:pPr>
    </w:p>
    <w:p w:rsidR="007F6DF9" w:rsidRDefault="00A43FBC">
      <w:pPr>
        <w:pStyle w:val="Heading7"/>
        <w:numPr>
          <w:ilvl w:val="1"/>
          <w:numId w:val="166"/>
        </w:numPr>
        <w:tabs>
          <w:tab w:val="left" w:pos="1280"/>
        </w:tabs>
        <w:spacing w:before="266"/>
        <w:ind w:left="1280" w:hanging="721"/>
        <w:jc w:val="left"/>
      </w:pPr>
      <w:r>
        <w:rPr>
          <w:u w:val="single"/>
        </w:rPr>
        <w:lastRenderedPageBreak/>
        <w:t>FORM</w:t>
      </w:r>
      <w:r>
        <w:rPr>
          <w:spacing w:val="-4"/>
          <w:u w:val="single"/>
        </w:rPr>
        <w:t xml:space="preserve"> </w:t>
      </w:r>
      <w:r>
        <w:rPr>
          <w:u w:val="single"/>
        </w:rPr>
        <w:t>EXP</w:t>
      </w:r>
      <w:r>
        <w:rPr>
          <w:spacing w:val="-1"/>
          <w:u w:val="single"/>
        </w:rPr>
        <w:t xml:space="preserve"> </w:t>
      </w:r>
      <w:r>
        <w:rPr>
          <w:u w:val="single"/>
        </w:rPr>
        <w:t>-</w:t>
      </w:r>
      <w:r>
        <w:rPr>
          <w:spacing w:val="42"/>
          <w:u w:val="single"/>
        </w:rPr>
        <w:t xml:space="preserve"> </w:t>
      </w:r>
      <w:r>
        <w:rPr>
          <w:spacing w:val="7"/>
          <w:u w:val="single"/>
        </w:rPr>
        <w:t>4.2(a)</w:t>
      </w:r>
    </w:p>
    <w:p w:rsidR="007F6DF9" w:rsidRDefault="00A43FBC">
      <w:pPr>
        <w:spacing w:before="251"/>
        <w:ind w:left="559"/>
        <w:rPr>
          <w:b/>
        </w:rPr>
      </w:pPr>
      <w:r>
        <w:rPr>
          <w:b/>
        </w:rPr>
        <w:t>Specific</w:t>
      </w:r>
      <w:r>
        <w:rPr>
          <w:b/>
          <w:spacing w:val="-9"/>
        </w:rPr>
        <w:t xml:space="preserve"> </w:t>
      </w:r>
      <w:r>
        <w:rPr>
          <w:b/>
        </w:rPr>
        <w:t>Construction</w:t>
      </w:r>
      <w:r>
        <w:rPr>
          <w:b/>
          <w:spacing w:val="-4"/>
        </w:rPr>
        <w:t xml:space="preserve"> </w:t>
      </w:r>
      <w:r>
        <w:rPr>
          <w:b/>
        </w:rPr>
        <w:t>and</w:t>
      </w:r>
      <w:r>
        <w:rPr>
          <w:b/>
          <w:spacing w:val="-8"/>
        </w:rPr>
        <w:t xml:space="preserve"> </w:t>
      </w:r>
      <w:r>
        <w:rPr>
          <w:b/>
        </w:rPr>
        <w:t>Contract</w:t>
      </w:r>
      <w:r>
        <w:rPr>
          <w:b/>
          <w:spacing w:val="-4"/>
        </w:rPr>
        <w:t xml:space="preserve"> </w:t>
      </w:r>
      <w:r>
        <w:rPr>
          <w:b/>
        </w:rPr>
        <w:t>Management</w:t>
      </w:r>
      <w:r>
        <w:rPr>
          <w:b/>
          <w:spacing w:val="-4"/>
        </w:rPr>
        <w:t xml:space="preserve"> </w:t>
      </w:r>
      <w:r>
        <w:rPr>
          <w:b/>
          <w:spacing w:val="-2"/>
        </w:rPr>
        <w:t>Experience</w:t>
      </w:r>
    </w:p>
    <w:p w:rsidR="007F6DF9" w:rsidRDefault="007F6DF9">
      <w:pPr>
        <w:pStyle w:val="BodyText"/>
        <w:spacing w:before="1"/>
        <w:rPr>
          <w:b/>
        </w:rPr>
      </w:pPr>
    </w:p>
    <w:p w:rsidR="007F6DF9" w:rsidRDefault="00A43FBC">
      <w:pPr>
        <w:pStyle w:val="BodyText"/>
        <w:tabs>
          <w:tab w:val="left" w:pos="3861"/>
        </w:tabs>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before="2" w:line="252" w:lineRule="exact"/>
        <w:ind w:left="559"/>
      </w:pPr>
      <w:r>
        <w:t>Date:</w:t>
      </w:r>
      <w:r>
        <w:rPr>
          <w:spacing w:val="-2"/>
        </w:rPr>
        <w:t xml:space="preserve"> </w:t>
      </w:r>
      <w:r>
        <w:rPr>
          <w:u w:val="single"/>
        </w:rPr>
        <w:tab/>
      </w:r>
    </w:p>
    <w:p w:rsidR="007F6DF9" w:rsidRDefault="00A43FBC">
      <w:pPr>
        <w:pStyle w:val="BodyText"/>
        <w:tabs>
          <w:tab w:val="left" w:pos="4952"/>
        </w:tabs>
        <w:ind w:left="559" w:right="6503"/>
      </w:pPr>
      <w:r>
        <w:t>JV Member’s Name</w:t>
      </w:r>
      <w:proofErr w:type="gramStart"/>
      <w:r>
        <w:rPr>
          <w:u w:val="single"/>
        </w:rPr>
        <w:tab/>
      </w:r>
      <w:r>
        <w:rPr>
          <w:spacing w:val="-44"/>
          <w:u w:val="single"/>
        </w:rPr>
        <w:t xml:space="preserve"> </w:t>
      </w:r>
      <w:r>
        <w:rPr>
          <w:spacing w:val="-4"/>
        </w:rPr>
        <w:t xml:space="preserve"> ITT</w:t>
      </w:r>
      <w:proofErr w:type="gramEnd"/>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7F6DF9">
      <w:pPr>
        <w:pStyle w:val="BodyText"/>
        <w:spacing w:before="23"/>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2"/>
        <w:gridCol w:w="1945"/>
        <w:gridCol w:w="1025"/>
      </w:tblGrid>
      <w:tr w:rsidR="007F6DF9">
        <w:trPr>
          <w:trHeight w:val="506"/>
        </w:trPr>
        <w:tc>
          <w:tcPr>
            <w:tcW w:w="3558" w:type="dxa"/>
          </w:tcPr>
          <w:p w:rsidR="007F6DF9" w:rsidRDefault="00A43FBC">
            <w:pPr>
              <w:pStyle w:val="TableParagraph"/>
              <w:spacing w:line="251" w:lineRule="exact"/>
              <w:ind w:left="-1"/>
              <w:rPr>
                <w:rFonts w:ascii="Times New Roman"/>
                <w:b/>
              </w:rPr>
            </w:pPr>
            <w:r>
              <w:rPr>
                <w:rFonts w:ascii="Times New Roman"/>
                <w:b/>
              </w:rPr>
              <w:t>Similar</w:t>
            </w:r>
            <w:r>
              <w:rPr>
                <w:rFonts w:ascii="Times New Roman"/>
                <w:b/>
                <w:spacing w:val="26"/>
              </w:rPr>
              <w:t xml:space="preserve"> </w:t>
            </w:r>
            <w:r>
              <w:rPr>
                <w:rFonts w:ascii="Times New Roman"/>
                <w:b/>
              </w:rPr>
              <w:t>Contract</w:t>
            </w:r>
            <w:r>
              <w:rPr>
                <w:rFonts w:ascii="Times New Roman"/>
                <w:b/>
                <w:spacing w:val="30"/>
              </w:rPr>
              <w:t xml:space="preserve"> </w:t>
            </w:r>
            <w:r>
              <w:rPr>
                <w:rFonts w:ascii="Times New Roman"/>
                <w:b/>
                <w:spacing w:val="-5"/>
              </w:rPr>
              <w:t>No.</w:t>
            </w:r>
          </w:p>
        </w:tc>
        <w:tc>
          <w:tcPr>
            <w:tcW w:w="5894" w:type="dxa"/>
            <w:gridSpan w:val="5"/>
          </w:tcPr>
          <w:p w:rsidR="007F6DF9" w:rsidRDefault="00A43FBC">
            <w:pPr>
              <w:pStyle w:val="TableParagraph"/>
              <w:spacing w:line="251" w:lineRule="exact"/>
              <w:ind w:left="2"/>
              <w:rPr>
                <w:rFonts w:ascii="Times New Roman"/>
                <w:b/>
              </w:rPr>
            </w:pPr>
            <w:r>
              <w:rPr>
                <w:rFonts w:ascii="Times New Roman"/>
                <w:b/>
                <w:spacing w:val="-2"/>
              </w:rPr>
              <w:t>Information</w:t>
            </w:r>
          </w:p>
        </w:tc>
      </w:tr>
      <w:tr w:rsidR="007F6DF9">
        <w:trPr>
          <w:trHeight w:val="407"/>
        </w:trPr>
        <w:tc>
          <w:tcPr>
            <w:tcW w:w="3558" w:type="dxa"/>
          </w:tcPr>
          <w:p w:rsidR="007F6DF9" w:rsidRDefault="00A43FBC">
            <w:pPr>
              <w:pStyle w:val="TableParagraph"/>
              <w:spacing w:line="251" w:lineRule="exact"/>
              <w:ind w:left="-1"/>
              <w:rPr>
                <w:rFonts w:ascii="Times New Roman"/>
              </w:rPr>
            </w:pPr>
            <w:r>
              <w:rPr>
                <w:rFonts w:ascii="Times New Roman"/>
                <w:spacing w:val="-9"/>
              </w:rPr>
              <w:t>Contract</w:t>
            </w:r>
            <w:r>
              <w:rPr>
                <w:rFonts w:ascii="Times New Roman"/>
                <w:spacing w:val="-5"/>
              </w:rPr>
              <w:t xml:space="preserve"> </w:t>
            </w:r>
            <w:r>
              <w:rPr>
                <w:rFonts w:ascii="Times New Roman"/>
                <w:spacing w:val="-2"/>
              </w:rPr>
              <w:t>Identification</w:t>
            </w:r>
          </w:p>
        </w:tc>
        <w:tc>
          <w:tcPr>
            <w:tcW w:w="5894" w:type="dxa"/>
            <w:gridSpan w:val="5"/>
          </w:tcPr>
          <w:p w:rsidR="007F6DF9" w:rsidRDefault="007F6DF9">
            <w:pPr>
              <w:pStyle w:val="TableParagraph"/>
              <w:rPr>
                <w:rFonts w:ascii="Times New Roman"/>
              </w:rPr>
            </w:pPr>
          </w:p>
        </w:tc>
      </w:tr>
      <w:tr w:rsidR="007F6DF9">
        <w:trPr>
          <w:trHeight w:val="402"/>
        </w:trPr>
        <w:tc>
          <w:tcPr>
            <w:tcW w:w="3558" w:type="dxa"/>
          </w:tcPr>
          <w:p w:rsidR="007F6DF9" w:rsidRDefault="00A43FBC">
            <w:pPr>
              <w:pStyle w:val="TableParagraph"/>
              <w:spacing w:line="251" w:lineRule="exact"/>
              <w:ind w:left="-1"/>
              <w:rPr>
                <w:rFonts w:ascii="Times New Roman"/>
              </w:rPr>
            </w:pPr>
            <w:r>
              <w:rPr>
                <w:rFonts w:ascii="Times New Roman"/>
                <w:spacing w:val="-10"/>
              </w:rPr>
              <w:t>Award</w:t>
            </w:r>
            <w:r>
              <w:rPr>
                <w:rFonts w:ascii="Times New Roman"/>
                <w:spacing w:val="-13"/>
              </w:rPr>
              <w:t xml:space="preserve"> </w:t>
            </w:r>
            <w:r>
              <w:rPr>
                <w:rFonts w:ascii="Times New Roman"/>
                <w:spacing w:val="-4"/>
              </w:rPr>
              <w:t>date</w:t>
            </w:r>
          </w:p>
        </w:tc>
        <w:tc>
          <w:tcPr>
            <w:tcW w:w="5894" w:type="dxa"/>
            <w:gridSpan w:val="5"/>
          </w:tcPr>
          <w:p w:rsidR="007F6DF9" w:rsidRDefault="007F6DF9">
            <w:pPr>
              <w:pStyle w:val="TableParagraph"/>
              <w:rPr>
                <w:rFonts w:ascii="Times New Roman"/>
              </w:rPr>
            </w:pPr>
          </w:p>
        </w:tc>
      </w:tr>
      <w:tr w:rsidR="007F6DF9">
        <w:trPr>
          <w:trHeight w:val="407"/>
        </w:trPr>
        <w:tc>
          <w:tcPr>
            <w:tcW w:w="3558" w:type="dxa"/>
          </w:tcPr>
          <w:p w:rsidR="007F6DF9" w:rsidRDefault="00A43FBC">
            <w:pPr>
              <w:pStyle w:val="TableParagraph"/>
              <w:spacing w:line="251" w:lineRule="exact"/>
              <w:ind w:left="-1"/>
              <w:rPr>
                <w:rFonts w:ascii="Times New Roman"/>
              </w:rPr>
            </w:pPr>
            <w:r>
              <w:rPr>
                <w:rFonts w:ascii="Times New Roman"/>
                <w:spacing w:val="-5"/>
              </w:rPr>
              <w:t>Completion</w:t>
            </w:r>
            <w:r>
              <w:rPr>
                <w:rFonts w:ascii="Times New Roman"/>
                <w:spacing w:val="-2"/>
              </w:rPr>
              <w:t xml:space="preserve"> </w:t>
            </w:r>
            <w:r>
              <w:rPr>
                <w:rFonts w:ascii="Times New Roman"/>
                <w:spacing w:val="-4"/>
              </w:rPr>
              <w:t>date</w:t>
            </w:r>
          </w:p>
        </w:tc>
        <w:tc>
          <w:tcPr>
            <w:tcW w:w="5894" w:type="dxa"/>
            <w:gridSpan w:val="5"/>
          </w:tcPr>
          <w:p w:rsidR="007F6DF9" w:rsidRDefault="007F6DF9">
            <w:pPr>
              <w:pStyle w:val="TableParagraph"/>
              <w:rPr>
                <w:rFonts w:ascii="Times New Roman"/>
              </w:rPr>
            </w:pPr>
          </w:p>
        </w:tc>
      </w:tr>
      <w:tr w:rsidR="007F6DF9">
        <w:trPr>
          <w:trHeight w:val="845"/>
        </w:trPr>
        <w:tc>
          <w:tcPr>
            <w:tcW w:w="3558" w:type="dxa"/>
          </w:tcPr>
          <w:p w:rsidR="007F6DF9" w:rsidRDefault="00A43FBC">
            <w:pPr>
              <w:pStyle w:val="TableParagraph"/>
              <w:spacing w:line="252" w:lineRule="exact"/>
              <w:ind w:left="-1"/>
              <w:rPr>
                <w:rFonts w:ascii="Times New Roman"/>
              </w:rPr>
            </w:pPr>
            <w:r>
              <w:rPr>
                <w:rFonts w:ascii="Times New Roman"/>
                <w:spacing w:val="-4"/>
              </w:rPr>
              <w:t>Role</w:t>
            </w:r>
            <w:r>
              <w:rPr>
                <w:rFonts w:ascii="Times New Roman"/>
                <w:spacing w:val="-8"/>
              </w:rPr>
              <w:t xml:space="preserve"> </w:t>
            </w:r>
            <w:r>
              <w:rPr>
                <w:rFonts w:ascii="Times New Roman"/>
                <w:spacing w:val="-4"/>
              </w:rPr>
              <w:t>in</w:t>
            </w:r>
            <w:r>
              <w:rPr>
                <w:rFonts w:ascii="Times New Roman"/>
                <w:spacing w:val="-7"/>
              </w:rPr>
              <w:t xml:space="preserve"> </w:t>
            </w:r>
            <w:r>
              <w:rPr>
                <w:rFonts w:ascii="Times New Roman"/>
                <w:spacing w:val="-4"/>
              </w:rPr>
              <w:t>Contract</w:t>
            </w:r>
          </w:p>
        </w:tc>
        <w:tc>
          <w:tcPr>
            <w:tcW w:w="1392" w:type="dxa"/>
            <w:gridSpan w:val="2"/>
          </w:tcPr>
          <w:p w:rsidR="007F6DF9" w:rsidRDefault="00A43FBC">
            <w:pPr>
              <w:pStyle w:val="TableParagraph"/>
              <w:ind w:left="2" w:right="227"/>
              <w:rPr>
                <w:rFonts w:ascii="Wingdings" w:hAnsi="Wingdings"/>
              </w:rPr>
            </w:pPr>
            <w:r>
              <w:rPr>
                <w:rFonts w:ascii="Times New Roman" w:hAnsi="Times New Roman"/>
                <w:spacing w:val="-2"/>
              </w:rPr>
              <w:t xml:space="preserve">Prime </w:t>
            </w:r>
            <w:r>
              <w:rPr>
                <w:rFonts w:ascii="Times New Roman" w:hAnsi="Times New Roman"/>
                <w:spacing w:val="-4"/>
              </w:rPr>
              <w:t>Contractor</w:t>
            </w:r>
            <w:r>
              <w:rPr>
                <w:rFonts w:ascii="Times New Roman" w:hAnsi="Times New Roman"/>
                <w:spacing w:val="-10"/>
              </w:rPr>
              <w:t xml:space="preserve"> </w:t>
            </w:r>
            <w:r>
              <w:rPr>
                <w:rFonts w:ascii="Wingdings" w:hAnsi="Wingdings"/>
                <w:spacing w:val="-4"/>
              </w:rPr>
              <w:t></w:t>
            </w:r>
          </w:p>
        </w:tc>
        <w:tc>
          <w:tcPr>
            <w:tcW w:w="1532" w:type="dxa"/>
          </w:tcPr>
          <w:p w:rsidR="007F6DF9" w:rsidRDefault="00A43FBC">
            <w:pPr>
              <w:pStyle w:val="TableParagraph"/>
              <w:ind w:left="2" w:right="575"/>
              <w:rPr>
                <w:rFonts w:ascii="Times New Roman"/>
              </w:rPr>
            </w:pPr>
            <w:r>
              <w:rPr>
                <w:rFonts w:ascii="Times New Roman"/>
                <w:spacing w:val="-4"/>
              </w:rPr>
              <w:t>Member</w:t>
            </w:r>
            <w:r>
              <w:rPr>
                <w:rFonts w:ascii="Times New Roman"/>
                <w:spacing w:val="-10"/>
              </w:rPr>
              <w:t xml:space="preserve"> </w:t>
            </w:r>
            <w:r>
              <w:rPr>
                <w:rFonts w:ascii="Times New Roman"/>
                <w:spacing w:val="-4"/>
              </w:rPr>
              <w:t xml:space="preserve">in </w:t>
            </w:r>
            <w:r>
              <w:rPr>
                <w:rFonts w:ascii="Times New Roman"/>
                <w:spacing w:val="-6"/>
              </w:rPr>
              <w:t>JV</w:t>
            </w:r>
          </w:p>
          <w:p w:rsidR="007F6DF9" w:rsidRDefault="00A43FBC">
            <w:pPr>
              <w:pStyle w:val="TableParagraph"/>
              <w:numPr>
                <w:ilvl w:val="0"/>
                <w:numId w:val="154"/>
              </w:numPr>
              <w:tabs>
                <w:tab w:val="left" w:pos="198"/>
              </w:tabs>
              <w:spacing w:before="2"/>
              <w:ind w:left="198" w:hanging="196"/>
              <w:rPr>
                <w:rFonts w:ascii="Wingdings" w:hAnsi="Wingdings"/>
              </w:rPr>
            </w:pPr>
            <w:r>
              <w:rPr>
                <w:rFonts w:ascii="Wingdings" w:hAnsi="Wingdings"/>
              </w:rPr>
              <w:t>​</w:t>
            </w:r>
          </w:p>
        </w:tc>
        <w:tc>
          <w:tcPr>
            <w:tcW w:w="1945" w:type="dxa"/>
          </w:tcPr>
          <w:p w:rsidR="007F6DF9" w:rsidRDefault="00A43FBC">
            <w:pPr>
              <w:pStyle w:val="TableParagraph"/>
              <w:ind w:left="-1"/>
              <w:rPr>
                <w:rFonts w:ascii="Times New Roman"/>
              </w:rPr>
            </w:pPr>
            <w:r>
              <w:rPr>
                <w:rFonts w:ascii="Times New Roman"/>
                <w:spacing w:val="-6"/>
              </w:rPr>
              <w:t xml:space="preserve">Management </w:t>
            </w:r>
            <w:r>
              <w:rPr>
                <w:rFonts w:ascii="Times New Roman"/>
                <w:spacing w:val="-2"/>
              </w:rPr>
              <w:t>Contractor</w:t>
            </w:r>
          </w:p>
          <w:p w:rsidR="007F6DF9" w:rsidRDefault="00A43FBC">
            <w:pPr>
              <w:pStyle w:val="TableParagraph"/>
              <w:numPr>
                <w:ilvl w:val="0"/>
                <w:numId w:val="153"/>
              </w:numPr>
              <w:tabs>
                <w:tab w:val="left" w:pos="195"/>
              </w:tabs>
              <w:spacing w:before="2"/>
              <w:ind w:left="195" w:hanging="196"/>
              <w:rPr>
                <w:rFonts w:ascii="Wingdings" w:hAnsi="Wingdings"/>
              </w:rPr>
            </w:pPr>
            <w:r>
              <w:rPr>
                <w:rFonts w:ascii="Wingdings" w:hAnsi="Wingdings"/>
              </w:rPr>
              <w:t>​</w:t>
            </w:r>
          </w:p>
        </w:tc>
        <w:tc>
          <w:tcPr>
            <w:tcW w:w="1025" w:type="dxa"/>
          </w:tcPr>
          <w:p w:rsidR="007F6DF9" w:rsidRDefault="00A43FBC">
            <w:pPr>
              <w:pStyle w:val="TableParagraph"/>
              <w:ind w:left="-2" w:right="163"/>
              <w:rPr>
                <w:rFonts w:ascii="Times New Roman"/>
              </w:rPr>
            </w:pPr>
            <w:r>
              <w:rPr>
                <w:rFonts w:ascii="Times New Roman"/>
              </w:rPr>
              <w:t>Sub-</w:t>
            </w:r>
            <w:r>
              <w:rPr>
                <w:rFonts w:ascii="Times New Roman"/>
                <w:spacing w:val="-6"/>
              </w:rPr>
              <w:t>contractor</w:t>
            </w:r>
          </w:p>
          <w:p w:rsidR="007F6DF9" w:rsidRDefault="00A43FBC">
            <w:pPr>
              <w:pStyle w:val="TableParagraph"/>
              <w:numPr>
                <w:ilvl w:val="0"/>
                <w:numId w:val="152"/>
              </w:numPr>
              <w:tabs>
                <w:tab w:val="left" w:pos="194"/>
              </w:tabs>
              <w:spacing w:before="2"/>
              <w:ind w:left="194" w:hanging="196"/>
              <w:rPr>
                <w:rFonts w:ascii="Wingdings" w:hAnsi="Wingdings"/>
              </w:rPr>
            </w:pPr>
            <w:r>
              <w:rPr>
                <w:rFonts w:ascii="Wingdings" w:hAnsi="Wingdings"/>
              </w:rPr>
              <w:t>​</w:t>
            </w:r>
          </w:p>
        </w:tc>
      </w:tr>
      <w:tr w:rsidR="007F6DF9">
        <w:trPr>
          <w:trHeight w:val="254"/>
        </w:trPr>
        <w:tc>
          <w:tcPr>
            <w:tcW w:w="3558" w:type="dxa"/>
          </w:tcPr>
          <w:p w:rsidR="007F6DF9" w:rsidRDefault="00A43FBC">
            <w:pPr>
              <w:pStyle w:val="TableParagraph"/>
              <w:spacing w:line="234" w:lineRule="exact"/>
              <w:ind w:left="-1"/>
              <w:rPr>
                <w:rFonts w:ascii="Times New Roman"/>
              </w:rPr>
            </w:pPr>
            <w:r>
              <w:rPr>
                <w:rFonts w:ascii="Times New Roman"/>
                <w:spacing w:val="-12"/>
              </w:rPr>
              <w:t>Total Contract</w:t>
            </w:r>
            <w:r>
              <w:rPr>
                <w:rFonts w:ascii="Times New Roman"/>
                <w:spacing w:val="-8"/>
              </w:rPr>
              <w:t xml:space="preserve"> </w:t>
            </w:r>
            <w:r>
              <w:rPr>
                <w:rFonts w:ascii="Times New Roman"/>
                <w:spacing w:val="-12"/>
              </w:rPr>
              <w:t>Amount</w:t>
            </w:r>
          </w:p>
        </w:tc>
        <w:tc>
          <w:tcPr>
            <w:tcW w:w="2924" w:type="dxa"/>
            <w:gridSpan w:val="3"/>
          </w:tcPr>
          <w:p w:rsidR="007F6DF9" w:rsidRDefault="007F6DF9">
            <w:pPr>
              <w:pStyle w:val="TableParagraph"/>
              <w:rPr>
                <w:rFonts w:ascii="Times New Roman"/>
                <w:sz w:val="18"/>
              </w:rPr>
            </w:pPr>
          </w:p>
        </w:tc>
        <w:tc>
          <w:tcPr>
            <w:tcW w:w="2970" w:type="dxa"/>
            <w:gridSpan w:val="2"/>
          </w:tcPr>
          <w:p w:rsidR="007F6DF9" w:rsidRDefault="00A43FBC">
            <w:pPr>
              <w:pStyle w:val="TableParagraph"/>
              <w:spacing w:line="234" w:lineRule="exact"/>
              <w:ind w:left="-1"/>
              <w:rPr>
                <w:rFonts w:ascii="Times New Roman"/>
                <w:b/>
              </w:rPr>
            </w:pPr>
            <w:r>
              <w:rPr>
                <w:rFonts w:ascii="Times New Roman"/>
                <w:b/>
                <w:spacing w:val="-5"/>
              </w:rPr>
              <w:t xml:space="preserve">Kenya </w:t>
            </w:r>
            <w:r>
              <w:rPr>
                <w:rFonts w:ascii="Times New Roman"/>
                <w:b/>
                <w:spacing w:val="-2"/>
              </w:rPr>
              <w:t>Shilling</w:t>
            </w:r>
          </w:p>
        </w:tc>
      </w:tr>
      <w:tr w:rsidR="007F6DF9">
        <w:trPr>
          <w:trHeight w:val="758"/>
        </w:trPr>
        <w:tc>
          <w:tcPr>
            <w:tcW w:w="3558" w:type="dxa"/>
          </w:tcPr>
          <w:p w:rsidR="007F6DF9" w:rsidRDefault="00A43FBC">
            <w:pPr>
              <w:pStyle w:val="TableParagraph"/>
              <w:spacing w:line="252" w:lineRule="exact"/>
              <w:ind w:left="-1"/>
              <w:rPr>
                <w:rFonts w:ascii="Times New Roman"/>
              </w:rPr>
            </w:pPr>
            <w:r>
              <w:rPr>
                <w:rFonts w:ascii="Times New Roman"/>
              </w:rPr>
              <w:t>If member in a JV or sub-contractor, specify</w:t>
            </w:r>
            <w:r>
              <w:rPr>
                <w:rFonts w:ascii="Times New Roman"/>
                <w:spacing w:val="-11"/>
              </w:rPr>
              <w:t xml:space="preserve"> </w:t>
            </w:r>
            <w:r>
              <w:rPr>
                <w:rFonts w:ascii="Times New Roman"/>
              </w:rPr>
              <w:t>participation</w:t>
            </w:r>
            <w:r>
              <w:rPr>
                <w:rFonts w:ascii="Times New Roman"/>
                <w:spacing w:val="-11"/>
              </w:rPr>
              <w:t xml:space="preserve"> </w:t>
            </w:r>
            <w:r>
              <w:rPr>
                <w:rFonts w:ascii="Times New Roman"/>
              </w:rPr>
              <w:t>in</w:t>
            </w:r>
            <w:r>
              <w:rPr>
                <w:rFonts w:ascii="Times New Roman"/>
                <w:spacing w:val="-9"/>
              </w:rPr>
              <w:t xml:space="preserve"> </w:t>
            </w:r>
            <w:r>
              <w:rPr>
                <w:rFonts w:ascii="Times New Roman"/>
              </w:rPr>
              <w:t>total</w:t>
            </w:r>
            <w:r>
              <w:rPr>
                <w:rFonts w:ascii="Times New Roman"/>
                <w:spacing w:val="-8"/>
              </w:rPr>
              <w:t xml:space="preserve"> </w:t>
            </w:r>
            <w:r>
              <w:rPr>
                <w:rFonts w:ascii="Times New Roman"/>
              </w:rPr>
              <w:t xml:space="preserve">Contract </w:t>
            </w:r>
            <w:r>
              <w:rPr>
                <w:rFonts w:ascii="Times New Roman"/>
                <w:spacing w:val="-2"/>
              </w:rPr>
              <w:t>amount</w:t>
            </w:r>
          </w:p>
        </w:tc>
        <w:tc>
          <w:tcPr>
            <w:tcW w:w="1303" w:type="dxa"/>
          </w:tcPr>
          <w:p w:rsidR="007F6DF9" w:rsidRDefault="007F6DF9">
            <w:pPr>
              <w:pStyle w:val="TableParagraph"/>
              <w:rPr>
                <w:rFonts w:ascii="Times New Roman"/>
              </w:rPr>
            </w:pPr>
          </w:p>
        </w:tc>
        <w:tc>
          <w:tcPr>
            <w:tcW w:w="1621" w:type="dxa"/>
            <w:gridSpan w:val="2"/>
          </w:tcPr>
          <w:p w:rsidR="007F6DF9" w:rsidRDefault="007F6DF9">
            <w:pPr>
              <w:pStyle w:val="TableParagraph"/>
              <w:rPr>
                <w:rFonts w:ascii="Times New Roman"/>
              </w:rPr>
            </w:pPr>
          </w:p>
        </w:tc>
        <w:tc>
          <w:tcPr>
            <w:tcW w:w="2970" w:type="dxa"/>
            <w:gridSpan w:val="2"/>
          </w:tcPr>
          <w:p w:rsidR="007F6DF9" w:rsidRDefault="007F6DF9">
            <w:pPr>
              <w:pStyle w:val="TableParagraph"/>
              <w:rPr>
                <w:rFonts w:ascii="Times New Roman"/>
              </w:rPr>
            </w:pPr>
          </w:p>
        </w:tc>
      </w:tr>
      <w:tr w:rsidR="007F6DF9">
        <w:trPr>
          <w:trHeight w:val="251"/>
        </w:trPr>
        <w:tc>
          <w:tcPr>
            <w:tcW w:w="3558" w:type="dxa"/>
          </w:tcPr>
          <w:p w:rsidR="007F6DF9" w:rsidRDefault="00A43FBC">
            <w:pPr>
              <w:pStyle w:val="TableParagraph"/>
              <w:spacing w:line="232" w:lineRule="exact"/>
              <w:ind w:left="-1"/>
              <w:rPr>
                <w:rFonts w:ascii="Times New Roman"/>
              </w:rPr>
            </w:pPr>
            <w:r>
              <w:rPr>
                <w:rFonts w:ascii="Times New Roman"/>
              </w:rPr>
              <w:t>Procuring</w:t>
            </w:r>
            <w:r>
              <w:rPr>
                <w:rFonts w:ascii="Times New Roman"/>
                <w:spacing w:val="-9"/>
              </w:rPr>
              <w:t xml:space="preserve"> </w:t>
            </w:r>
            <w:r>
              <w:rPr>
                <w:rFonts w:ascii="Times New Roman"/>
              </w:rPr>
              <w:t>Entity's</w:t>
            </w:r>
            <w:r>
              <w:rPr>
                <w:rFonts w:ascii="Times New Roman"/>
                <w:spacing w:val="-3"/>
              </w:rPr>
              <w:t xml:space="preserve"> </w:t>
            </w:r>
            <w:r>
              <w:rPr>
                <w:rFonts w:ascii="Times New Roman"/>
                <w:spacing w:val="-4"/>
              </w:rPr>
              <w:t>Name:</w:t>
            </w:r>
          </w:p>
        </w:tc>
        <w:tc>
          <w:tcPr>
            <w:tcW w:w="5894" w:type="dxa"/>
            <w:gridSpan w:val="5"/>
          </w:tcPr>
          <w:p w:rsidR="007F6DF9" w:rsidRDefault="007F6DF9">
            <w:pPr>
              <w:pStyle w:val="TableParagraph"/>
              <w:rPr>
                <w:rFonts w:ascii="Times New Roman"/>
                <w:sz w:val="18"/>
              </w:rPr>
            </w:pPr>
          </w:p>
        </w:tc>
      </w:tr>
      <w:tr w:rsidR="007F6DF9">
        <w:trPr>
          <w:trHeight w:val="760"/>
        </w:trPr>
        <w:tc>
          <w:tcPr>
            <w:tcW w:w="3558" w:type="dxa"/>
          </w:tcPr>
          <w:p w:rsidR="007F6DF9" w:rsidRDefault="00A43FBC">
            <w:pPr>
              <w:pStyle w:val="TableParagraph"/>
              <w:spacing w:line="251" w:lineRule="exact"/>
              <w:ind w:left="-1"/>
              <w:rPr>
                <w:rFonts w:ascii="Times New Roman"/>
              </w:rPr>
            </w:pPr>
            <w:r>
              <w:rPr>
                <w:rFonts w:ascii="Times New Roman"/>
                <w:spacing w:val="-2"/>
              </w:rPr>
              <w:t>Address:</w:t>
            </w:r>
          </w:p>
          <w:p w:rsidR="007F6DF9" w:rsidRDefault="00A43FBC">
            <w:pPr>
              <w:pStyle w:val="TableParagraph"/>
              <w:spacing w:line="252" w:lineRule="exact"/>
              <w:ind w:left="-1" w:right="1553"/>
              <w:rPr>
                <w:rFonts w:ascii="Times New Roman"/>
              </w:rPr>
            </w:pPr>
            <w:r>
              <w:rPr>
                <w:rFonts w:ascii="Times New Roman"/>
              </w:rPr>
              <w:t>Telephone/fax</w:t>
            </w:r>
            <w:r>
              <w:rPr>
                <w:rFonts w:ascii="Times New Roman"/>
                <w:spacing w:val="-14"/>
              </w:rPr>
              <w:t xml:space="preserve"> </w:t>
            </w:r>
            <w:r>
              <w:rPr>
                <w:rFonts w:ascii="Times New Roman"/>
              </w:rPr>
              <w:t xml:space="preserve">number </w:t>
            </w:r>
            <w:r>
              <w:rPr>
                <w:rFonts w:ascii="Times New Roman"/>
                <w:spacing w:val="-2"/>
              </w:rPr>
              <w:t>E-mail:</w:t>
            </w:r>
          </w:p>
        </w:tc>
        <w:tc>
          <w:tcPr>
            <w:tcW w:w="5894" w:type="dxa"/>
            <w:gridSpan w:val="5"/>
          </w:tcPr>
          <w:p w:rsidR="007F6DF9" w:rsidRDefault="007F6DF9">
            <w:pPr>
              <w:pStyle w:val="TableParagraph"/>
              <w:rPr>
                <w:rFonts w:ascii="Times New Roman"/>
              </w:rPr>
            </w:pPr>
          </w:p>
        </w:tc>
      </w:tr>
    </w:tbl>
    <w:p w:rsidR="007F6DF9" w:rsidRDefault="007F6DF9">
      <w:pPr>
        <w:pStyle w:val="BodyText"/>
      </w:pPr>
    </w:p>
    <w:p w:rsidR="007F6DF9" w:rsidRDefault="007F6DF9">
      <w:pPr>
        <w:pStyle w:val="BodyText"/>
        <w:spacing w:before="4"/>
      </w:pPr>
    </w:p>
    <w:p w:rsidR="007F6DF9" w:rsidRDefault="00A43FBC">
      <w:pPr>
        <w:pStyle w:val="Heading7"/>
        <w:tabs>
          <w:tab w:val="left" w:pos="1280"/>
        </w:tabs>
        <w:spacing w:line="276" w:lineRule="exact"/>
      </w:pPr>
      <w:r>
        <w:rPr>
          <w:spacing w:val="-5"/>
        </w:rPr>
        <w:t>5.9</w:t>
      </w:r>
      <w:r>
        <w:tab/>
      </w:r>
      <w:r>
        <w:rPr>
          <w:u w:val="single"/>
        </w:rPr>
        <w:t>FORM</w:t>
      </w:r>
      <w:r>
        <w:rPr>
          <w:spacing w:val="-4"/>
          <w:u w:val="single"/>
        </w:rPr>
        <w:t xml:space="preserve"> </w:t>
      </w:r>
      <w:r>
        <w:rPr>
          <w:u w:val="single"/>
        </w:rPr>
        <w:t>EXP</w:t>
      </w:r>
      <w:r>
        <w:rPr>
          <w:spacing w:val="-1"/>
          <w:u w:val="single"/>
        </w:rPr>
        <w:t xml:space="preserve"> </w:t>
      </w:r>
      <w:r>
        <w:rPr>
          <w:u w:val="single"/>
        </w:rPr>
        <w:t>-</w:t>
      </w:r>
      <w:r>
        <w:rPr>
          <w:spacing w:val="42"/>
          <w:u w:val="single"/>
        </w:rPr>
        <w:t xml:space="preserve"> </w:t>
      </w:r>
      <w:r>
        <w:rPr>
          <w:spacing w:val="7"/>
          <w:u w:val="single"/>
        </w:rPr>
        <w:t>4.2(a)</w:t>
      </w:r>
    </w:p>
    <w:p w:rsidR="007F6DF9" w:rsidRDefault="00A43FBC">
      <w:pPr>
        <w:spacing w:line="253" w:lineRule="exact"/>
        <w:ind w:left="559"/>
        <w:rPr>
          <w:b/>
        </w:rPr>
      </w:pPr>
      <w:r>
        <w:rPr>
          <w:b/>
        </w:rPr>
        <w:t>Specific</w:t>
      </w:r>
      <w:r>
        <w:rPr>
          <w:b/>
          <w:spacing w:val="-8"/>
        </w:rPr>
        <w:t xml:space="preserve"> </w:t>
      </w:r>
      <w:r>
        <w:rPr>
          <w:b/>
        </w:rPr>
        <w:t>Construction</w:t>
      </w:r>
      <w:r>
        <w:rPr>
          <w:b/>
          <w:spacing w:val="-4"/>
        </w:rPr>
        <w:t xml:space="preserve"> </w:t>
      </w:r>
      <w:r>
        <w:rPr>
          <w:b/>
        </w:rPr>
        <w:t>and</w:t>
      </w:r>
      <w:r>
        <w:rPr>
          <w:b/>
          <w:spacing w:val="-8"/>
        </w:rPr>
        <w:t xml:space="preserve"> </w:t>
      </w:r>
      <w:r>
        <w:rPr>
          <w:b/>
        </w:rPr>
        <w:t>Contract</w:t>
      </w:r>
      <w:r>
        <w:rPr>
          <w:b/>
          <w:spacing w:val="-4"/>
        </w:rPr>
        <w:t xml:space="preserve"> </w:t>
      </w:r>
      <w:r>
        <w:rPr>
          <w:b/>
        </w:rPr>
        <w:t>Management</w:t>
      </w:r>
      <w:r>
        <w:rPr>
          <w:b/>
          <w:spacing w:val="-4"/>
        </w:rPr>
        <w:t xml:space="preserve"> </w:t>
      </w:r>
      <w:r>
        <w:rPr>
          <w:b/>
          <w:spacing w:val="-2"/>
        </w:rPr>
        <w:t>Experience</w:t>
      </w:r>
    </w:p>
    <w:p w:rsidR="007F6DF9" w:rsidRDefault="00A43FBC">
      <w:pPr>
        <w:pStyle w:val="BodyText"/>
        <w:tabs>
          <w:tab w:val="left" w:pos="3861"/>
        </w:tabs>
        <w:spacing w:before="251"/>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before="2" w:line="252" w:lineRule="exact"/>
        <w:ind w:left="559"/>
      </w:pPr>
      <w:r>
        <w:t>Date:</w:t>
      </w:r>
      <w:r>
        <w:rPr>
          <w:spacing w:val="-2"/>
        </w:rPr>
        <w:t xml:space="preserve"> </w:t>
      </w:r>
      <w:r>
        <w:rPr>
          <w:u w:val="single"/>
        </w:rPr>
        <w:tab/>
      </w:r>
    </w:p>
    <w:p w:rsidR="007F6DF9" w:rsidRDefault="00A43FBC">
      <w:pPr>
        <w:pStyle w:val="BodyText"/>
        <w:tabs>
          <w:tab w:val="left" w:pos="4952"/>
        </w:tabs>
        <w:ind w:left="559" w:right="6503"/>
      </w:pPr>
      <w:r>
        <w:t>JV Member’s Name</w:t>
      </w:r>
      <w:proofErr w:type="gramStart"/>
      <w:r>
        <w:rPr>
          <w:u w:val="single"/>
        </w:rPr>
        <w:tab/>
      </w:r>
      <w:r>
        <w:rPr>
          <w:spacing w:val="-44"/>
          <w:u w:val="single"/>
        </w:rPr>
        <w:t xml:space="preserve"> </w:t>
      </w:r>
      <w:r>
        <w:rPr>
          <w:spacing w:val="-4"/>
        </w:rPr>
        <w:t xml:space="preserve"> ITT</w:t>
      </w:r>
      <w:proofErr w:type="gramEnd"/>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7F6DF9">
      <w:pPr>
        <w:pStyle w:val="BodyText"/>
        <w:spacing w:before="23"/>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2"/>
        <w:gridCol w:w="1945"/>
        <w:gridCol w:w="1025"/>
      </w:tblGrid>
      <w:tr w:rsidR="007F6DF9">
        <w:trPr>
          <w:trHeight w:val="506"/>
        </w:trPr>
        <w:tc>
          <w:tcPr>
            <w:tcW w:w="3558" w:type="dxa"/>
          </w:tcPr>
          <w:p w:rsidR="007F6DF9" w:rsidRDefault="00A43FBC">
            <w:pPr>
              <w:pStyle w:val="TableParagraph"/>
              <w:spacing w:line="251" w:lineRule="exact"/>
              <w:ind w:left="-1"/>
              <w:rPr>
                <w:rFonts w:ascii="Times New Roman"/>
                <w:b/>
              </w:rPr>
            </w:pPr>
            <w:r>
              <w:rPr>
                <w:rFonts w:ascii="Times New Roman"/>
                <w:b/>
              </w:rPr>
              <w:t>Similar</w:t>
            </w:r>
            <w:r>
              <w:rPr>
                <w:rFonts w:ascii="Times New Roman"/>
                <w:b/>
                <w:spacing w:val="26"/>
              </w:rPr>
              <w:t xml:space="preserve"> </w:t>
            </w:r>
            <w:r>
              <w:rPr>
                <w:rFonts w:ascii="Times New Roman"/>
                <w:b/>
              </w:rPr>
              <w:t>Contract</w:t>
            </w:r>
            <w:r>
              <w:rPr>
                <w:rFonts w:ascii="Times New Roman"/>
                <w:b/>
                <w:spacing w:val="30"/>
              </w:rPr>
              <w:t xml:space="preserve"> </w:t>
            </w:r>
            <w:r>
              <w:rPr>
                <w:rFonts w:ascii="Times New Roman"/>
                <w:b/>
                <w:spacing w:val="-5"/>
              </w:rPr>
              <w:t>No.</w:t>
            </w:r>
          </w:p>
        </w:tc>
        <w:tc>
          <w:tcPr>
            <w:tcW w:w="5894" w:type="dxa"/>
            <w:gridSpan w:val="5"/>
          </w:tcPr>
          <w:p w:rsidR="007F6DF9" w:rsidRDefault="00A43FBC">
            <w:pPr>
              <w:pStyle w:val="TableParagraph"/>
              <w:spacing w:line="251" w:lineRule="exact"/>
              <w:ind w:left="2"/>
              <w:rPr>
                <w:rFonts w:ascii="Times New Roman"/>
                <w:b/>
              </w:rPr>
            </w:pPr>
            <w:r>
              <w:rPr>
                <w:rFonts w:ascii="Times New Roman"/>
                <w:b/>
                <w:spacing w:val="-2"/>
              </w:rPr>
              <w:t>Information</w:t>
            </w:r>
          </w:p>
        </w:tc>
      </w:tr>
      <w:tr w:rsidR="007F6DF9">
        <w:trPr>
          <w:trHeight w:val="407"/>
        </w:trPr>
        <w:tc>
          <w:tcPr>
            <w:tcW w:w="3558" w:type="dxa"/>
          </w:tcPr>
          <w:p w:rsidR="007F6DF9" w:rsidRDefault="00A43FBC">
            <w:pPr>
              <w:pStyle w:val="TableParagraph"/>
              <w:spacing w:line="251" w:lineRule="exact"/>
              <w:ind w:left="-1"/>
              <w:rPr>
                <w:rFonts w:ascii="Times New Roman"/>
              </w:rPr>
            </w:pPr>
            <w:r>
              <w:rPr>
                <w:rFonts w:ascii="Times New Roman"/>
                <w:spacing w:val="-9"/>
              </w:rPr>
              <w:t>Contract</w:t>
            </w:r>
            <w:r>
              <w:rPr>
                <w:rFonts w:ascii="Times New Roman"/>
                <w:spacing w:val="-4"/>
              </w:rPr>
              <w:t xml:space="preserve"> </w:t>
            </w:r>
            <w:r>
              <w:rPr>
                <w:rFonts w:ascii="Times New Roman"/>
                <w:spacing w:val="-2"/>
              </w:rPr>
              <w:t>Identification</w:t>
            </w:r>
          </w:p>
        </w:tc>
        <w:tc>
          <w:tcPr>
            <w:tcW w:w="5894" w:type="dxa"/>
            <w:gridSpan w:val="5"/>
          </w:tcPr>
          <w:p w:rsidR="007F6DF9" w:rsidRDefault="007F6DF9">
            <w:pPr>
              <w:pStyle w:val="TableParagraph"/>
              <w:rPr>
                <w:rFonts w:ascii="Times New Roman"/>
              </w:rPr>
            </w:pPr>
          </w:p>
        </w:tc>
      </w:tr>
      <w:tr w:rsidR="007F6DF9">
        <w:trPr>
          <w:trHeight w:val="402"/>
        </w:trPr>
        <w:tc>
          <w:tcPr>
            <w:tcW w:w="3558" w:type="dxa"/>
          </w:tcPr>
          <w:p w:rsidR="007F6DF9" w:rsidRDefault="00A43FBC">
            <w:pPr>
              <w:pStyle w:val="TableParagraph"/>
              <w:spacing w:line="251" w:lineRule="exact"/>
              <w:ind w:left="-1"/>
              <w:rPr>
                <w:rFonts w:ascii="Times New Roman"/>
              </w:rPr>
            </w:pPr>
            <w:r>
              <w:rPr>
                <w:rFonts w:ascii="Times New Roman"/>
                <w:spacing w:val="-10"/>
              </w:rPr>
              <w:t>Award</w:t>
            </w:r>
            <w:r>
              <w:rPr>
                <w:rFonts w:ascii="Times New Roman"/>
                <w:spacing w:val="-13"/>
              </w:rPr>
              <w:t xml:space="preserve"> </w:t>
            </w:r>
            <w:r>
              <w:rPr>
                <w:rFonts w:ascii="Times New Roman"/>
                <w:spacing w:val="-4"/>
              </w:rPr>
              <w:t>date</w:t>
            </w:r>
          </w:p>
        </w:tc>
        <w:tc>
          <w:tcPr>
            <w:tcW w:w="5894" w:type="dxa"/>
            <w:gridSpan w:val="5"/>
          </w:tcPr>
          <w:p w:rsidR="007F6DF9" w:rsidRDefault="007F6DF9">
            <w:pPr>
              <w:pStyle w:val="TableParagraph"/>
              <w:rPr>
                <w:rFonts w:ascii="Times New Roman"/>
              </w:rPr>
            </w:pPr>
          </w:p>
        </w:tc>
      </w:tr>
      <w:tr w:rsidR="007F6DF9">
        <w:trPr>
          <w:trHeight w:val="408"/>
        </w:trPr>
        <w:tc>
          <w:tcPr>
            <w:tcW w:w="3558" w:type="dxa"/>
          </w:tcPr>
          <w:p w:rsidR="007F6DF9" w:rsidRDefault="00A43FBC">
            <w:pPr>
              <w:pStyle w:val="TableParagraph"/>
              <w:spacing w:line="252" w:lineRule="exact"/>
              <w:ind w:left="-1"/>
              <w:rPr>
                <w:rFonts w:ascii="Times New Roman"/>
              </w:rPr>
            </w:pPr>
            <w:r>
              <w:rPr>
                <w:rFonts w:ascii="Times New Roman"/>
                <w:spacing w:val="-5"/>
              </w:rPr>
              <w:t>Completion</w:t>
            </w:r>
            <w:r>
              <w:rPr>
                <w:rFonts w:ascii="Times New Roman"/>
                <w:spacing w:val="-2"/>
              </w:rPr>
              <w:t xml:space="preserve"> </w:t>
            </w:r>
            <w:r>
              <w:rPr>
                <w:rFonts w:ascii="Times New Roman"/>
                <w:spacing w:val="-4"/>
              </w:rPr>
              <w:t>date</w:t>
            </w:r>
          </w:p>
        </w:tc>
        <w:tc>
          <w:tcPr>
            <w:tcW w:w="5894" w:type="dxa"/>
            <w:gridSpan w:val="5"/>
          </w:tcPr>
          <w:p w:rsidR="007F6DF9" w:rsidRDefault="007F6DF9">
            <w:pPr>
              <w:pStyle w:val="TableParagraph"/>
              <w:rPr>
                <w:rFonts w:ascii="Times New Roman"/>
              </w:rPr>
            </w:pPr>
          </w:p>
        </w:tc>
      </w:tr>
      <w:tr w:rsidR="007F6DF9">
        <w:trPr>
          <w:trHeight w:val="844"/>
        </w:trPr>
        <w:tc>
          <w:tcPr>
            <w:tcW w:w="3558" w:type="dxa"/>
          </w:tcPr>
          <w:p w:rsidR="007F6DF9" w:rsidRDefault="00A43FBC">
            <w:pPr>
              <w:pStyle w:val="TableParagraph"/>
              <w:spacing w:before="1"/>
              <w:ind w:left="-1"/>
              <w:rPr>
                <w:rFonts w:ascii="Times New Roman"/>
              </w:rPr>
            </w:pPr>
            <w:r>
              <w:rPr>
                <w:rFonts w:ascii="Times New Roman"/>
                <w:spacing w:val="-4"/>
              </w:rPr>
              <w:t>Role</w:t>
            </w:r>
            <w:r>
              <w:rPr>
                <w:rFonts w:ascii="Times New Roman"/>
                <w:spacing w:val="-8"/>
              </w:rPr>
              <w:t xml:space="preserve"> </w:t>
            </w:r>
            <w:r>
              <w:rPr>
                <w:rFonts w:ascii="Times New Roman"/>
                <w:spacing w:val="-4"/>
              </w:rPr>
              <w:t>in</w:t>
            </w:r>
            <w:r>
              <w:rPr>
                <w:rFonts w:ascii="Times New Roman"/>
                <w:spacing w:val="-7"/>
              </w:rPr>
              <w:t xml:space="preserve"> </w:t>
            </w:r>
            <w:r>
              <w:rPr>
                <w:rFonts w:ascii="Times New Roman"/>
                <w:spacing w:val="-4"/>
              </w:rPr>
              <w:t>Contract</w:t>
            </w:r>
          </w:p>
        </w:tc>
        <w:tc>
          <w:tcPr>
            <w:tcW w:w="1392" w:type="dxa"/>
            <w:gridSpan w:val="2"/>
          </w:tcPr>
          <w:p w:rsidR="007F6DF9" w:rsidRDefault="00A43FBC">
            <w:pPr>
              <w:pStyle w:val="TableParagraph"/>
              <w:spacing w:before="1"/>
              <w:ind w:left="2" w:right="227"/>
              <w:rPr>
                <w:rFonts w:ascii="Wingdings" w:hAnsi="Wingdings"/>
              </w:rPr>
            </w:pPr>
            <w:r>
              <w:rPr>
                <w:rFonts w:ascii="Times New Roman" w:hAnsi="Times New Roman"/>
                <w:spacing w:val="-2"/>
              </w:rPr>
              <w:t xml:space="preserve">Prime </w:t>
            </w:r>
            <w:r>
              <w:rPr>
                <w:rFonts w:ascii="Times New Roman" w:hAnsi="Times New Roman"/>
                <w:spacing w:val="-4"/>
              </w:rPr>
              <w:t>Contractor</w:t>
            </w:r>
            <w:r>
              <w:rPr>
                <w:rFonts w:ascii="Times New Roman" w:hAnsi="Times New Roman"/>
                <w:spacing w:val="-10"/>
              </w:rPr>
              <w:t xml:space="preserve"> </w:t>
            </w:r>
            <w:r>
              <w:rPr>
                <w:rFonts w:ascii="Wingdings" w:hAnsi="Wingdings"/>
                <w:spacing w:val="-4"/>
              </w:rPr>
              <w:t></w:t>
            </w:r>
          </w:p>
        </w:tc>
        <w:tc>
          <w:tcPr>
            <w:tcW w:w="1532" w:type="dxa"/>
          </w:tcPr>
          <w:p w:rsidR="007F6DF9" w:rsidRDefault="00A43FBC">
            <w:pPr>
              <w:pStyle w:val="TableParagraph"/>
              <w:spacing w:before="1"/>
              <w:ind w:left="2" w:right="575"/>
              <w:rPr>
                <w:rFonts w:ascii="Times New Roman"/>
              </w:rPr>
            </w:pPr>
            <w:r>
              <w:rPr>
                <w:rFonts w:ascii="Times New Roman"/>
                <w:spacing w:val="-4"/>
              </w:rPr>
              <w:t>Member</w:t>
            </w:r>
            <w:r>
              <w:rPr>
                <w:rFonts w:ascii="Times New Roman"/>
                <w:spacing w:val="-10"/>
              </w:rPr>
              <w:t xml:space="preserve"> </w:t>
            </w:r>
            <w:r>
              <w:rPr>
                <w:rFonts w:ascii="Times New Roman"/>
                <w:spacing w:val="-4"/>
              </w:rPr>
              <w:t xml:space="preserve">in </w:t>
            </w:r>
            <w:r>
              <w:rPr>
                <w:rFonts w:ascii="Times New Roman"/>
                <w:spacing w:val="-6"/>
              </w:rPr>
              <w:t>JV</w:t>
            </w:r>
          </w:p>
          <w:p w:rsidR="007F6DF9" w:rsidRDefault="00A43FBC">
            <w:pPr>
              <w:pStyle w:val="TableParagraph"/>
              <w:numPr>
                <w:ilvl w:val="0"/>
                <w:numId w:val="151"/>
              </w:numPr>
              <w:tabs>
                <w:tab w:val="left" w:pos="198"/>
              </w:tabs>
              <w:ind w:left="198" w:hanging="196"/>
              <w:rPr>
                <w:rFonts w:ascii="Wingdings" w:hAnsi="Wingdings"/>
              </w:rPr>
            </w:pPr>
            <w:r>
              <w:rPr>
                <w:rFonts w:ascii="Wingdings" w:hAnsi="Wingdings"/>
              </w:rPr>
              <w:t>​</w:t>
            </w:r>
          </w:p>
        </w:tc>
        <w:tc>
          <w:tcPr>
            <w:tcW w:w="1945" w:type="dxa"/>
          </w:tcPr>
          <w:p w:rsidR="007F6DF9" w:rsidRDefault="00A43FBC">
            <w:pPr>
              <w:pStyle w:val="TableParagraph"/>
              <w:spacing w:before="1"/>
              <w:ind w:left="-1"/>
              <w:rPr>
                <w:rFonts w:ascii="Times New Roman"/>
              </w:rPr>
            </w:pPr>
            <w:r>
              <w:rPr>
                <w:rFonts w:ascii="Times New Roman"/>
                <w:spacing w:val="-6"/>
              </w:rPr>
              <w:t xml:space="preserve">Management </w:t>
            </w:r>
            <w:r>
              <w:rPr>
                <w:rFonts w:ascii="Times New Roman"/>
                <w:spacing w:val="-2"/>
              </w:rPr>
              <w:t>Contractor</w:t>
            </w:r>
          </w:p>
          <w:p w:rsidR="007F6DF9" w:rsidRDefault="00A43FBC">
            <w:pPr>
              <w:pStyle w:val="TableParagraph"/>
              <w:numPr>
                <w:ilvl w:val="0"/>
                <w:numId w:val="150"/>
              </w:numPr>
              <w:tabs>
                <w:tab w:val="left" w:pos="195"/>
              </w:tabs>
              <w:ind w:left="195" w:hanging="196"/>
              <w:rPr>
                <w:rFonts w:ascii="Wingdings" w:hAnsi="Wingdings"/>
              </w:rPr>
            </w:pPr>
            <w:r>
              <w:rPr>
                <w:rFonts w:ascii="Wingdings" w:hAnsi="Wingdings"/>
              </w:rPr>
              <w:t>​</w:t>
            </w:r>
          </w:p>
        </w:tc>
        <w:tc>
          <w:tcPr>
            <w:tcW w:w="1025" w:type="dxa"/>
          </w:tcPr>
          <w:p w:rsidR="007F6DF9" w:rsidRDefault="00A43FBC">
            <w:pPr>
              <w:pStyle w:val="TableParagraph"/>
              <w:spacing w:before="1"/>
              <w:ind w:left="-2" w:right="163"/>
              <w:rPr>
                <w:rFonts w:ascii="Times New Roman"/>
              </w:rPr>
            </w:pPr>
            <w:r>
              <w:rPr>
                <w:rFonts w:ascii="Times New Roman"/>
              </w:rPr>
              <w:t>Sub-</w:t>
            </w:r>
            <w:r>
              <w:rPr>
                <w:rFonts w:ascii="Times New Roman"/>
                <w:spacing w:val="-6"/>
              </w:rPr>
              <w:t>contractor</w:t>
            </w:r>
          </w:p>
          <w:p w:rsidR="007F6DF9" w:rsidRDefault="00A43FBC">
            <w:pPr>
              <w:pStyle w:val="TableParagraph"/>
              <w:numPr>
                <w:ilvl w:val="0"/>
                <w:numId w:val="149"/>
              </w:numPr>
              <w:tabs>
                <w:tab w:val="left" w:pos="194"/>
              </w:tabs>
              <w:ind w:left="194" w:hanging="196"/>
              <w:rPr>
                <w:rFonts w:ascii="Wingdings" w:hAnsi="Wingdings"/>
              </w:rPr>
            </w:pPr>
            <w:r>
              <w:rPr>
                <w:rFonts w:ascii="Wingdings" w:hAnsi="Wingdings"/>
              </w:rPr>
              <w:t>​</w:t>
            </w:r>
          </w:p>
        </w:tc>
      </w:tr>
      <w:tr w:rsidR="007F6DF9">
        <w:trPr>
          <w:trHeight w:val="254"/>
        </w:trPr>
        <w:tc>
          <w:tcPr>
            <w:tcW w:w="3558" w:type="dxa"/>
          </w:tcPr>
          <w:p w:rsidR="007F6DF9" w:rsidRDefault="00A43FBC">
            <w:pPr>
              <w:pStyle w:val="TableParagraph"/>
              <w:spacing w:line="234" w:lineRule="exact"/>
              <w:ind w:left="-1"/>
              <w:rPr>
                <w:rFonts w:ascii="Times New Roman"/>
              </w:rPr>
            </w:pPr>
            <w:r>
              <w:rPr>
                <w:rFonts w:ascii="Times New Roman"/>
                <w:spacing w:val="-12"/>
              </w:rPr>
              <w:t>Total Contract</w:t>
            </w:r>
            <w:r>
              <w:rPr>
                <w:rFonts w:ascii="Times New Roman"/>
                <w:spacing w:val="-8"/>
              </w:rPr>
              <w:t xml:space="preserve"> </w:t>
            </w:r>
            <w:r>
              <w:rPr>
                <w:rFonts w:ascii="Times New Roman"/>
                <w:spacing w:val="-12"/>
              </w:rPr>
              <w:t>Amount</w:t>
            </w:r>
          </w:p>
        </w:tc>
        <w:tc>
          <w:tcPr>
            <w:tcW w:w="2924" w:type="dxa"/>
            <w:gridSpan w:val="3"/>
          </w:tcPr>
          <w:p w:rsidR="007F6DF9" w:rsidRDefault="007F6DF9">
            <w:pPr>
              <w:pStyle w:val="TableParagraph"/>
              <w:rPr>
                <w:rFonts w:ascii="Times New Roman"/>
                <w:sz w:val="18"/>
              </w:rPr>
            </w:pPr>
          </w:p>
        </w:tc>
        <w:tc>
          <w:tcPr>
            <w:tcW w:w="2970" w:type="dxa"/>
            <w:gridSpan w:val="2"/>
          </w:tcPr>
          <w:p w:rsidR="007F6DF9" w:rsidRDefault="00A43FBC">
            <w:pPr>
              <w:pStyle w:val="TableParagraph"/>
              <w:spacing w:line="234" w:lineRule="exact"/>
              <w:ind w:left="-1"/>
              <w:rPr>
                <w:rFonts w:ascii="Times New Roman"/>
                <w:b/>
              </w:rPr>
            </w:pPr>
            <w:r>
              <w:rPr>
                <w:rFonts w:ascii="Times New Roman"/>
                <w:b/>
                <w:spacing w:val="-5"/>
              </w:rPr>
              <w:t xml:space="preserve">Kenya </w:t>
            </w:r>
            <w:r>
              <w:rPr>
                <w:rFonts w:ascii="Times New Roman"/>
                <w:b/>
                <w:spacing w:val="-2"/>
              </w:rPr>
              <w:t>Shilling</w:t>
            </w:r>
          </w:p>
        </w:tc>
      </w:tr>
      <w:tr w:rsidR="007F6DF9">
        <w:trPr>
          <w:trHeight w:val="758"/>
        </w:trPr>
        <w:tc>
          <w:tcPr>
            <w:tcW w:w="3558" w:type="dxa"/>
          </w:tcPr>
          <w:p w:rsidR="007F6DF9" w:rsidRDefault="00A43FBC">
            <w:pPr>
              <w:pStyle w:val="TableParagraph"/>
              <w:ind w:left="-1"/>
              <w:rPr>
                <w:rFonts w:ascii="Times New Roman"/>
              </w:rPr>
            </w:pPr>
            <w:r>
              <w:rPr>
                <w:rFonts w:ascii="Times New Roman"/>
              </w:rPr>
              <w:t>If member in a JV or sub-contractor, specify</w:t>
            </w:r>
            <w:r>
              <w:rPr>
                <w:rFonts w:ascii="Times New Roman"/>
                <w:spacing w:val="-11"/>
              </w:rPr>
              <w:t xml:space="preserve"> </w:t>
            </w:r>
            <w:r>
              <w:rPr>
                <w:rFonts w:ascii="Times New Roman"/>
              </w:rPr>
              <w:t>participation</w:t>
            </w:r>
            <w:r>
              <w:rPr>
                <w:rFonts w:ascii="Times New Roman"/>
                <w:spacing w:val="-11"/>
              </w:rPr>
              <w:t xml:space="preserve"> </w:t>
            </w:r>
            <w:r>
              <w:rPr>
                <w:rFonts w:ascii="Times New Roman"/>
              </w:rPr>
              <w:t>in</w:t>
            </w:r>
            <w:r>
              <w:rPr>
                <w:rFonts w:ascii="Times New Roman"/>
                <w:spacing w:val="-8"/>
              </w:rPr>
              <w:t xml:space="preserve"> </w:t>
            </w:r>
            <w:r>
              <w:rPr>
                <w:rFonts w:ascii="Times New Roman"/>
              </w:rPr>
              <w:t>total</w:t>
            </w:r>
            <w:r>
              <w:rPr>
                <w:rFonts w:ascii="Times New Roman"/>
                <w:spacing w:val="-6"/>
              </w:rPr>
              <w:t xml:space="preserve"> </w:t>
            </w:r>
            <w:r>
              <w:rPr>
                <w:rFonts w:ascii="Times New Roman"/>
              </w:rPr>
              <w:t>Contract</w:t>
            </w:r>
          </w:p>
          <w:p w:rsidR="007F6DF9" w:rsidRDefault="00A43FBC">
            <w:pPr>
              <w:pStyle w:val="TableParagraph"/>
              <w:spacing w:line="233" w:lineRule="exact"/>
              <w:ind w:left="-1"/>
              <w:rPr>
                <w:rFonts w:ascii="Times New Roman"/>
              </w:rPr>
            </w:pPr>
            <w:r>
              <w:rPr>
                <w:rFonts w:ascii="Times New Roman"/>
                <w:spacing w:val="-2"/>
              </w:rPr>
              <w:t>amount</w:t>
            </w:r>
          </w:p>
        </w:tc>
        <w:tc>
          <w:tcPr>
            <w:tcW w:w="1303" w:type="dxa"/>
          </w:tcPr>
          <w:p w:rsidR="007F6DF9" w:rsidRDefault="007F6DF9">
            <w:pPr>
              <w:pStyle w:val="TableParagraph"/>
              <w:rPr>
                <w:rFonts w:ascii="Times New Roman"/>
              </w:rPr>
            </w:pPr>
          </w:p>
        </w:tc>
        <w:tc>
          <w:tcPr>
            <w:tcW w:w="1621" w:type="dxa"/>
            <w:gridSpan w:val="2"/>
          </w:tcPr>
          <w:p w:rsidR="007F6DF9" w:rsidRDefault="007F6DF9">
            <w:pPr>
              <w:pStyle w:val="TableParagraph"/>
              <w:rPr>
                <w:rFonts w:ascii="Times New Roman"/>
              </w:rPr>
            </w:pPr>
          </w:p>
        </w:tc>
        <w:tc>
          <w:tcPr>
            <w:tcW w:w="2970" w:type="dxa"/>
            <w:gridSpan w:val="2"/>
          </w:tcPr>
          <w:p w:rsidR="007F6DF9" w:rsidRDefault="007F6DF9">
            <w:pPr>
              <w:pStyle w:val="TableParagraph"/>
              <w:rPr>
                <w:rFonts w:ascii="Times New Roman"/>
              </w:rPr>
            </w:pPr>
          </w:p>
        </w:tc>
      </w:tr>
      <w:tr w:rsidR="007F6DF9">
        <w:trPr>
          <w:trHeight w:val="251"/>
        </w:trPr>
        <w:tc>
          <w:tcPr>
            <w:tcW w:w="3558" w:type="dxa"/>
          </w:tcPr>
          <w:p w:rsidR="007F6DF9" w:rsidRDefault="00A43FBC">
            <w:pPr>
              <w:pStyle w:val="TableParagraph"/>
              <w:spacing w:line="232" w:lineRule="exact"/>
              <w:ind w:left="-1"/>
              <w:rPr>
                <w:rFonts w:ascii="Times New Roman"/>
              </w:rPr>
            </w:pPr>
            <w:r>
              <w:rPr>
                <w:rFonts w:ascii="Times New Roman"/>
              </w:rPr>
              <w:t>Procuring</w:t>
            </w:r>
            <w:r>
              <w:rPr>
                <w:rFonts w:ascii="Times New Roman"/>
                <w:spacing w:val="-9"/>
              </w:rPr>
              <w:t xml:space="preserve"> </w:t>
            </w:r>
            <w:r>
              <w:rPr>
                <w:rFonts w:ascii="Times New Roman"/>
              </w:rPr>
              <w:t>Entity's</w:t>
            </w:r>
            <w:r>
              <w:rPr>
                <w:rFonts w:ascii="Times New Roman"/>
                <w:spacing w:val="-3"/>
              </w:rPr>
              <w:t xml:space="preserve"> </w:t>
            </w:r>
            <w:r>
              <w:rPr>
                <w:rFonts w:ascii="Times New Roman"/>
                <w:spacing w:val="-4"/>
              </w:rPr>
              <w:t>Name:</w:t>
            </w:r>
          </w:p>
        </w:tc>
        <w:tc>
          <w:tcPr>
            <w:tcW w:w="5894" w:type="dxa"/>
            <w:gridSpan w:val="5"/>
          </w:tcPr>
          <w:p w:rsidR="007F6DF9" w:rsidRDefault="007F6DF9">
            <w:pPr>
              <w:pStyle w:val="TableParagraph"/>
              <w:rPr>
                <w:rFonts w:ascii="Times New Roman"/>
                <w:sz w:val="18"/>
              </w:rPr>
            </w:pPr>
          </w:p>
        </w:tc>
      </w:tr>
      <w:tr w:rsidR="007F6DF9">
        <w:trPr>
          <w:trHeight w:val="760"/>
        </w:trPr>
        <w:tc>
          <w:tcPr>
            <w:tcW w:w="3558" w:type="dxa"/>
          </w:tcPr>
          <w:p w:rsidR="007F6DF9" w:rsidRDefault="00A43FBC">
            <w:pPr>
              <w:pStyle w:val="TableParagraph"/>
              <w:spacing w:line="252" w:lineRule="exact"/>
              <w:ind w:left="-1" w:right="1553"/>
              <w:rPr>
                <w:rFonts w:ascii="Times New Roman"/>
              </w:rPr>
            </w:pPr>
            <w:r>
              <w:rPr>
                <w:rFonts w:ascii="Times New Roman"/>
                <w:spacing w:val="-2"/>
              </w:rPr>
              <w:t xml:space="preserve">Address: </w:t>
            </w:r>
            <w:r>
              <w:rPr>
                <w:rFonts w:ascii="Times New Roman"/>
              </w:rPr>
              <w:t>Telephone/fax</w:t>
            </w:r>
            <w:r>
              <w:rPr>
                <w:rFonts w:ascii="Times New Roman"/>
                <w:spacing w:val="-14"/>
              </w:rPr>
              <w:t xml:space="preserve"> </w:t>
            </w:r>
            <w:r>
              <w:rPr>
                <w:rFonts w:ascii="Times New Roman"/>
              </w:rPr>
              <w:t xml:space="preserve">number </w:t>
            </w:r>
            <w:r>
              <w:rPr>
                <w:rFonts w:ascii="Times New Roman"/>
                <w:spacing w:val="-2"/>
              </w:rPr>
              <w:t>E-mail:</w:t>
            </w:r>
          </w:p>
        </w:tc>
        <w:tc>
          <w:tcPr>
            <w:tcW w:w="5894" w:type="dxa"/>
            <w:gridSpan w:val="5"/>
          </w:tcPr>
          <w:p w:rsidR="007F6DF9" w:rsidRDefault="007F6DF9">
            <w:pPr>
              <w:pStyle w:val="TableParagraph"/>
              <w:rPr>
                <w:rFonts w:ascii="Times New Roman"/>
              </w:rPr>
            </w:pPr>
          </w:p>
        </w:tc>
      </w:tr>
    </w:tbl>
    <w:p w:rsidR="007F6DF9" w:rsidRDefault="00A43FBC">
      <w:pPr>
        <w:pStyle w:val="BodyText"/>
        <w:spacing w:before="3"/>
        <w:rPr>
          <w:sz w:val="20"/>
        </w:rPr>
      </w:pPr>
      <w:r>
        <w:rPr>
          <w:noProof/>
          <w:sz w:val="20"/>
        </w:rPr>
        <mc:AlternateContent>
          <mc:Choice Requires="wps">
            <w:drawing>
              <wp:anchor distT="0" distB="0" distL="0" distR="0" simplePos="0" relativeHeight="251672064" behindDoc="1" locked="0" layoutInCell="1" allowOverlap="1">
                <wp:simplePos x="0" y="0"/>
                <wp:positionH relativeFrom="page">
                  <wp:posOffset>445008</wp:posOffset>
                </wp:positionH>
                <wp:positionV relativeFrom="paragraph">
                  <wp:posOffset>163194</wp:posOffset>
                </wp:positionV>
                <wp:extent cx="1829435" cy="163195"/>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63195"/>
                        </a:xfrm>
                        <a:custGeom>
                          <a:avLst/>
                          <a:gdLst/>
                          <a:ahLst/>
                          <a:cxnLst/>
                          <a:rect l="l" t="t" r="r" b="b"/>
                          <a:pathLst>
                            <a:path w="1829435" h="163195">
                              <a:moveTo>
                                <a:pt x="1829054" y="0"/>
                              </a:moveTo>
                              <a:lnTo>
                                <a:pt x="0" y="0"/>
                              </a:lnTo>
                              <a:lnTo>
                                <a:pt x="0" y="163068"/>
                              </a:lnTo>
                              <a:lnTo>
                                <a:pt x="1829054" y="163068"/>
                              </a:lnTo>
                              <a:lnTo>
                                <a:pt x="1829054" y="0"/>
                              </a:lnTo>
                              <a:close/>
                            </a:path>
                          </a:pathLst>
                        </a:custGeom>
                        <a:solidFill>
                          <a:srgbClr val="A9A9A9"/>
                        </a:solidFill>
                      </wps:spPr>
                      <wps:bodyPr wrap="square" lIns="0" tIns="0" rIns="0" bIns="0" rtlCol="0">
                        <a:prstTxWarp prst="textNoShape">
                          <a:avLst/>
                        </a:prstTxWarp>
                        <a:noAutofit/>
                      </wps:bodyPr>
                    </wps:wsp>
                  </a:graphicData>
                </a:graphic>
              </wp:anchor>
            </w:drawing>
          </mc:Choice>
          <mc:Fallback>
            <w:pict>
              <v:shape w14:anchorId="394454A7" id="Graphic 196" o:spid="_x0000_s1026" style="position:absolute;margin-left:35.05pt;margin-top:12.85pt;width:144.05pt;height:12.85pt;z-index:-251644416;visibility:visible;mso-wrap-style:square;mso-wrap-distance-left:0;mso-wrap-distance-top:0;mso-wrap-distance-right:0;mso-wrap-distance-bottom:0;mso-position-horizontal:absolute;mso-position-horizontal-relative:page;mso-position-vertical:absolute;mso-position-vertical-relative:text;v-text-anchor:top" coordsize="182943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" path="m1829054,l,,,163068r1829054,l1829054,xe" fillcolor="#a9a9a9" stroked="f">
                <v:path arrowok="t"/>
                <w10:wrap type="topAndBottom" anchorx="page"/>
              </v:shape>
            </w:pict>
          </mc:Fallback>
        </mc:AlternateContent>
      </w:r>
    </w:p>
    <w:p w:rsidR="007F6DF9" w:rsidRDefault="007F6DF9">
      <w:pPr>
        <w:pStyle w:val="BodyText"/>
        <w:rPr>
          <w:sz w:val="20"/>
        </w:rPr>
        <w:sectPr w:rsidR="007F6DF9">
          <w:pgSz w:w="11920" w:h="16850"/>
          <w:pgMar w:top="360" w:right="283" w:bottom="620" w:left="141" w:header="0" w:footer="437" w:gutter="0"/>
          <w:cols w:space="720"/>
        </w:sectPr>
      </w:pPr>
    </w:p>
    <w:p w:rsidR="007F6DF9" w:rsidRDefault="00A43FBC">
      <w:pPr>
        <w:pStyle w:val="ListParagraph"/>
        <w:numPr>
          <w:ilvl w:val="1"/>
          <w:numId w:val="148"/>
        </w:numPr>
        <w:tabs>
          <w:tab w:val="left" w:pos="1280"/>
        </w:tabs>
        <w:spacing w:line="244" w:lineRule="exact"/>
        <w:rPr>
          <w:b/>
        </w:rPr>
      </w:pPr>
      <w:r>
        <w:rPr>
          <w:b/>
          <w:u w:val="single"/>
        </w:rPr>
        <w:lastRenderedPageBreak/>
        <w:t>FORM</w:t>
      </w:r>
      <w:r>
        <w:rPr>
          <w:b/>
          <w:spacing w:val="-2"/>
          <w:u w:val="single"/>
        </w:rPr>
        <w:t xml:space="preserve"> </w:t>
      </w:r>
      <w:r>
        <w:rPr>
          <w:b/>
          <w:u w:val="single"/>
        </w:rPr>
        <w:t>EXP</w:t>
      </w:r>
      <w:r>
        <w:rPr>
          <w:b/>
          <w:spacing w:val="-3"/>
          <w:u w:val="single"/>
        </w:rPr>
        <w:t xml:space="preserve"> </w:t>
      </w:r>
      <w:r>
        <w:rPr>
          <w:b/>
          <w:u w:val="single"/>
        </w:rPr>
        <w:t>-</w:t>
      </w:r>
      <w:r>
        <w:rPr>
          <w:b/>
          <w:spacing w:val="-1"/>
          <w:u w:val="single"/>
        </w:rPr>
        <w:t xml:space="preserve"> </w:t>
      </w:r>
      <w:r>
        <w:rPr>
          <w:b/>
          <w:u w:val="single"/>
        </w:rPr>
        <w:t>4.2</w:t>
      </w:r>
      <w:r>
        <w:rPr>
          <w:b/>
          <w:spacing w:val="-2"/>
          <w:u w:val="single"/>
        </w:rPr>
        <w:t xml:space="preserve"> </w:t>
      </w:r>
      <w:r>
        <w:rPr>
          <w:b/>
          <w:u w:val="single"/>
        </w:rPr>
        <w:t>(a)</w:t>
      </w:r>
      <w:r>
        <w:rPr>
          <w:b/>
          <w:spacing w:val="-2"/>
          <w:u w:val="single"/>
        </w:rPr>
        <w:t xml:space="preserve"> (cont.)</w:t>
      </w:r>
    </w:p>
    <w:p w:rsidR="007F6DF9" w:rsidRDefault="007F6DF9">
      <w:pPr>
        <w:pStyle w:val="BodyText"/>
        <w:rPr>
          <w:b/>
        </w:rPr>
      </w:pPr>
    </w:p>
    <w:p w:rsidR="007F6DF9" w:rsidRDefault="00A43FBC">
      <w:pPr>
        <w:ind w:left="559"/>
        <w:rPr>
          <w:b/>
        </w:rPr>
      </w:pPr>
      <w:r>
        <w:rPr>
          <w:b/>
        </w:rPr>
        <w:t>Specific</w:t>
      </w:r>
      <w:r>
        <w:rPr>
          <w:b/>
          <w:spacing w:val="-9"/>
        </w:rPr>
        <w:t xml:space="preserve"> </w:t>
      </w:r>
      <w:r>
        <w:rPr>
          <w:b/>
        </w:rPr>
        <w:t>Construction</w:t>
      </w:r>
      <w:r>
        <w:rPr>
          <w:b/>
          <w:spacing w:val="-5"/>
        </w:rPr>
        <w:t xml:space="preserve"> </w:t>
      </w:r>
      <w:r>
        <w:rPr>
          <w:b/>
        </w:rPr>
        <w:t>and</w:t>
      </w:r>
      <w:r>
        <w:rPr>
          <w:b/>
          <w:spacing w:val="-7"/>
        </w:rPr>
        <w:t xml:space="preserve"> </w:t>
      </w:r>
      <w:r>
        <w:rPr>
          <w:b/>
        </w:rPr>
        <w:t>Contract</w:t>
      </w:r>
      <w:r>
        <w:rPr>
          <w:b/>
          <w:spacing w:val="-5"/>
        </w:rPr>
        <w:t xml:space="preserve"> </w:t>
      </w:r>
      <w:r>
        <w:rPr>
          <w:b/>
        </w:rPr>
        <w:t>Management</w:t>
      </w:r>
      <w:r>
        <w:rPr>
          <w:b/>
          <w:spacing w:val="-5"/>
        </w:rPr>
        <w:t xml:space="preserve"> </w:t>
      </w:r>
      <w:r>
        <w:rPr>
          <w:b/>
        </w:rPr>
        <w:t>Experience</w:t>
      </w:r>
      <w:r>
        <w:rPr>
          <w:b/>
          <w:spacing w:val="-6"/>
        </w:rPr>
        <w:t xml:space="preserve"> </w:t>
      </w:r>
      <w:r>
        <w:rPr>
          <w:b/>
          <w:spacing w:val="-2"/>
        </w:rPr>
        <w:t>(cont.)</w:t>
      </w:r>
    </w:p>
    <w:p w:rsidR="007F6DF9" w:rsidRDefault="007F6DF9">
      <w:pPr>
        <w:pStyle w:val="BodyText"/>
        <w:spacing w:before="25"/>
        <w:rPr>
          <w:b/>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81"/>
        <w:gridCol w:w="5401"/>
      </w:tblGrid>
      <w:tr w:rsidR="007F6DF9">
        <w:trPr>
          <w:trHeight w:val="506"/>
        </w:trPr>
        <w:tc>
          <w:tcPr>
            <w:tcW w:w="3781" w:type="dxa"/>
          </w:tcPr>
          <w:p w:rsidR="007F6DF9" w:rsidRDefault="00A43FBC">
            <w:pPr>
              <w:pStyle w:val="TableParagraph"/>
              <w:spacing w:line="252" w:lineRule="exact"/>
              <w:ind w:left="-1"/>
              <w:rPr>
                <w:rFonts w:ascii="Times New Roman"/>
                <w:b/>
              </w:rPr>
            </w:pPr>
            <w:r>
              <w:rPr>
                <w:rFonts w:ascii="Times New Roman"/>
                <w:b/>
              </w:rPr>
              <w:t>Similar</w:t>
            </w:r>
            <w:r>
              <w:rPr>
                <w:rFonts w:ascii="Times New Roman"/>
                <w:b/>
                <w:spacing w:val="26"/>
              </w:rPr>
              <w:t xml:space="preserve"> </w:t>
            </w:r>
            <w:r>
              <w:rPr>
                <w:rFonts w:ascii="Times New Roman"/>
                <w:b/>
              </w:rPr>
              <w:t>Contract</w:t>
            </w:r>
            <w:r>
              <w:rPr>
                <w:rFonts w:ascii="Times New Roman"/>
                <w:b/>
                <w:spacing w:val="30"/>
              </w:rPr>
              <w:t xml:space="preserve"> </w:t>
            </w:r>
            <w:r>
              <w:rPr>
                <w:rFonts w:ascii="Times New Roman"/>
                <w:b/>
                <w:spacing w:val="-5"/>
              </w:rPr>
              <w:t>No.</w:t>
            </w:r>
          </w:p>
        </w:tc>
        <w:tc>
          <w:tcPr>
            <w:tcW w:w="5401" w:type="dxa"/>
          </w:tcPr>
          <w:p w:rsidR="007F6DF9" w:rsidRDefault="00A43FBC">
            <w:pPr>
              <w:pStyle w:val="TableParagraph"/>
              <w:spacing w:line="252" w:lineRule="exact"/>
              <w:ind w:left="-1"/>
              <w:rPr>
                <w:rFonts w:ascii="Times New Roman"/>
                <w:b/>
              </w:rPr>
            </w:pPr>
            <w:r>
              <w:rPr>
                <w:rFonts w:ascii="Times New Roman"/>
                <w:b/>
                <w:spacing w:val="-2"/>
              </w:rPr>
              <w:t>Information</w:t>
            </w:r>
          </w:p>
        </w:tc>
      </w:tr>
      <w:tr w:rsidR="007F6DF9">
        <w:trPr>
          <w:trHeight w:val="503"/>
        </w:trPr>
        <w:tc>
          <w:tcPr>
            <w:tcW w:w="3781" w:type="dxa"/>
          </w:tcPr>
          <w:p w:rsidR="007F6DF9" w:rsidRDefault="00A43FBC">
            <w:pPr>
              <w:pStyle w:val="TableParagraph"/>
              <w:spacing w:line="252" w:lineRule="exact"/>
              <w:ind w:left="-1"/>
              <w:rPr>
                <w:rFonts w:ascii="Times New Roman"/>
              </w:rPr>
            </w:pPr>
            <w:r>
              <w:rPr>
                <w:rFonts w:ascii="Times New Roman"/>
              </w:rPr>
              <w:t>Description</w:t>
            </w:r>
            <w:r>
              <w:rPr>
                <w:rFonts w:ascii="Times New Roman"/>
                <w:spacing w:val="-10"/>
              </w:rPr>
              <w:t xml:space="preserve"> </w:t>
            </w:r>
            <w:r>
              <w:rPr>
                <w:rFonts w:ascii="Times New Roman"/>
              </w:rPr>
              <w:t>of</w:t>
            </w:r>
            <w:r>
              <w:rPr>
                <w:rFonts w:ascii="Times New Roman"/>
                <w:spacing w:val="-9"/>
              </w:rPr>
              <w:t xml:space="preserve"> </w:t>
            </w:r>
            <w:r>
              <w:rPr>
                <w:rFonts w:ascii="Times New Roman"/>
              </w:rPr>
              <w:t>the</w:t>
            </w:r>
            <w:r>
              <w:rPr>
                <w:rFonts w:ascii="Times New Roman"/>
                <w:spacing w:val="-8"/>
              </w:rPr>
              <w:t xml:space="preserve"> </w:t>
            </w:r>
            <w:r>
              <w:rPr>
                <w:rFonts w:ascii="Times New Roman"/>
              </w:rPr>
              <w:t>similarity</w:t>
            </w:r>
            <w:r>
              <w:rPr>
                <w:rFonts w:ascii="Times New Roman"/>
                <w:spacing w:val="-7"/>
              </w:rPr>
              <w:t xml:space="preserve"> </w:t>
            </w:r>
            <w:r>
              <w:rPr>
                <w:rFonts w:ascii="Times New Roman"/>
              </w:rPr>
              <w:t>in</w:t>
            </w:r>
            <w:r>
              <w:rPr>
                <w:rFonts w:ascii="Times New Roman"/>
                <w:spacing w:val="-7"/>
              </w:rPr>
              <w:t xml:space="preserve"> </w:t>
            </w:r>
            <w:r>
              <w:rPr>
                <w:rFonts w:ascii="Times New Roman"/>
              </w:rPr>
              <w:t>accordance with Sub-Factor 4.2(a) of Section III:</w:t>
            </w:r>
          </w:p>
        </w:tc>
        <w:tc>
          <w:tcPr>
            <w:tcW w:w="5401" w:type="dxa"/>
          </w:tcPr>
          <w:p w:rsidR="007F6DF9" w:rsidRDefault="007F6DF9">
            <w:pPr>
              <w:pStyle w:val="TableParagraph"/>
              <w:rPr>
                <w:rFonts w:ascii="Times New Roman"/>
              </w:rPr>
            </w:pPr>
          </w:p>
        </w:tc>
      </w:tr>
      <w:tr w:rsidR="007F6DF9">
        <w:trPr>
          <w:trHeight w:val="254"/>
        </w:trPr>
        <w:tc>
          <w:tcPr>
            <w:tcW w:w="3781" w:type="dxa"/>
          </w:tcPr>
          <w:p w:rsidR="007F6DF9" w:rsidRDefault="00A43FBC">
            <w:pPr>
              <w:pStyle w:val="TableParagraph"/>
              <w:tabs>
                <w:tab w:val="left" w:pos="720"/>
              </w:tabs>
              <w:spacing w:line="233" w:lineRule="exact"/>
              <w:ind w:left="-1"/>
              <w:rPr>
                <w:rFonts w:ascii="Times New Roman"/>
              </w:rPr>
            </w:pPr>
            <w:r>
              <w:rPr>
                <w:rFonts w:ascii="Times New Roman"/>
                <w:spacing w:val="-5"/>
              </w:rPr>
              <w:t>1.</w:t>
            </w:r>
            <w:r>
              <w:rPr>
                <w:rFonts w:ascii="Times New Roman"/>
              </w:rPr>
              <w:tab/>
            </w:r>
            <w:r>
              <w:rPr>
                <w:rFonts w:ascii="Times New Roman"/>
                <w:spacing w:val="-2"/>
              </w:rPr>
              <w:t>Amount</w:t>
            </w:r>
          </w:p>
        </w:tc>
        <w:tc>
          <w:tcPr>
            <w:tcW w:w="5401" w:type="dxa"/>
          </w:tcPr>
          <w:p w:rsidR="007F6DF9" w:rsidRDefault="007F6DF9">
            <w:pPr>
              <w:pStyle w:val="TableParagraph"/>
              <w:rPr>
                <w:rFonts w:ascii="Times New Roman"/>
                <w:sz w:val="18"/>
              </w:rPr>
            </w:pPr>
          </w:p>
        </w:tc>
      </w:tr>
      <w:tr w:rsidR="007F6DF9">
        <w:trPr>
          <w:trHeight w:val="506"/>
        </w:trPr>
        <w:tc>
          <w:tcPr>
            <w:tcW w:w="3781" w:type="dxa"/>
          </w:tcPr>
          <w:p w:rsidR="007F6DF9" w:rsidRDefault="00A43FBC">
            <w:pPr>
              <w:pStyle w:val="TableParagraph"/>
              <w:tabs>
                <w:tab w:val="left" w:pos="720"/>
              </w:tabs>
              <w:spacing w:line="252" w:lineRule="exact"/>
              <w:ind w:left="-1" w:right="291"/>
              <w:rPr>
                <w:rFonts w:ascii="Times New Roman"/>
              </w:rPr>
            </w:pPr>
            <w:r>
              <w:rPr>
                <w:rFonts w:ascii="Times New Roman"/>
                <w:spacing w:val="-6"/>
              </w:rPr>
              <w:t>2.</w:t>
            </w:r>
            <w:r>
              <w:rPr>
                <w:rFonts w:ascii="Times New Roman"/>
              </w:rPr>
              <w:tab/>
              <w:t>Physical</w:t>
            </w:r>
            <w:r>
              <w:rPr>
                <w:rFonts w:ascii="Times New Roman"/>
                <w:spacing w:val="-11"/>
              </w:rPr>
              <w:t xml:space="preserve"> </w:t>
            </w:r>
            <w:r>
              <w:rPr>
                <w:rFonts w:ascii="Times New Roman"/>
              </w:rPr>
              <w:t>size</w:t>
            </w:r>
            <w:r>
              <w:rPr>
                <w:rFonts w:ascii="Times New Roman"/>
                <w:spacing w:val="-9"/>
              </w:rPr>
              <w:t xml:space="preserve"> </w:t>
            </w:r>
            <w:r>
              <w:rPr>
                <w:rFonts w:ascii="Times New Roman"/>
              </w:rPr>
              <w:t>of</w:t>
            </w:r>
            <w:r>
              <w:rPr>
                <w:rFonts w:ascii="Times New Roman"/>
                <w:spacing w:val="-9"/>
              </w:rPr>
              <w:t xml:space="preserve"> </w:t>
            </w:r>
            <w:r>
              <w:rPr>
                <w:rFonts w:ascii="Times New Roman"/>
              </w:rPr>
              <w:t>required</w:t>
            </w:r>
            <w:r>
              <w:rPr>
                <w:rFonts w:ascii="Times New Roman"/>
                <w:spacing w:val="-9"/>
              </w:rPr>
              <w:t xml:space="preserve"> </w:t>
            </w:r>
            <w:r>
              <w:rPr>
                <w:rFonts w:ascii="Times New Roman"/>
              </w:rPr>
              <w:t xml:space="preserve">works </w:t>
            </w:r>
            <w:r>
              <w:rPr>
                <w:rFonts w:ascii="Times New Roman"/>
                <w:spacing w:val="-2"/>
              </w:rPr>
              <w:t>items</w:t>
            </w:r>
          </w:p>
        </w:tc>
        <w:tc>
          <w:tcPr>
            <w:tcW w:w="5401" w:type="dxa"/>
          </w:tcPr>
          <w:p w:rsidR="007F6DF9" w:rsidRDefault="007F6DF9">
            <w:pPr>
              <w:pStyle w:val="TableParagraph"/>
              <w:rPr>
                <w:rFonts w:ascii="Times New Roman"/>
              </w:rPr>
            </w:pPr>
          </w:p>
        </w:tc>
      </w:tr>
      <w:tr w:rsidR="007F6DF9">
        <w:trPr>
          <w:trHeight w:val="251"/>
        </w:trPr>
        <w:tc>
          <w:tcPr>
            <w:tcW w:w="3781" w:type="dxa"/>
          </w:tcPr>
          <w:p w:rsidR="007F6DF9" w:rsidRDefault="00A43FBC">
            <w:pPr>
              <w:pStyle w:val="TableParagraph"/>
              <w:tabs>
                <w:tab w:val="left" w:pos="720"/>
              </w:tabs>
              <w:spacing w:line="232" w:lineRule="exact"/>
              <w:ind w:left="-1"/>
              <w:rPr>
                <w:rFonts w:ascii="Times New Roman"/>
              </w:rPr>
            </w:pPr>
            <w:r>
              <w:rPr>
                <w:rFonts w:ascii="Times New Roman"/>
                <w:spacing w:val="-5"/>
              </w:rPr>
              <w:t>3.</w:t>
            </w:r>
            <w:r>
              <w:rPr>
                <w:rFonts w:ascii="Times New Roman"/>
              </w:rPr>
              <w:tab/>
            </w:r>
            <w:r>
              <w:rPr>
                <w:rFonts w:ascii="Times New Roman"/>
                <w:spacing w:val="-2"/>
              </w:rPr>
              <w:t>Complexity</w:t>
            </w:r>
          </w:p>
        </w:tc>
        <w:tc>
          <w:tcPr>
            <w:tcW w:w="5401" w:type="dxa"/>
          </w:tcPr>
          <w:p w:rsidR="007F6DF9" w:rsidRDefault="007F6DF9">
            <w:pPr>
              <w:pStyle w:val="TableParagraph"/>
              <w:rPr>
                <w:rFonts w:ascii="Times New Roman"/>
                <w:sz w:val="18"/>
              </w:rPr>
            </w:pPr>
          </w:p>
        </w:tc>
      </w:tr>
      <w:tr w:rsidR="007F6DF9">
        <w:trPr>
          <w:trHeight w:val="254"/>
        </w:trPr>
        <w:tc>
          <w:tcPr>
            <w:tcW w:w="3781" w:type="dxa"/>
          </w:tcPr>
          <w:p w:rsidR="007F6DF9" w:rsidRDefault="00A43FBC">
            <w:pPr>
              <w:pStyle w:val="TableParagraph"/>
              <w:tabs>
                <w:tab w:val="left" w:pos="720"/>
              </w:tabs>
              <w:spacing w:line="234" w:lineRule="exact"/>
              <w:ind w:left="-1"/>
              <w:rPr>
                <w:rFonts w:ascii="Times New Roman"/>
              </w:rPr>
            </w:pPr>
            <w:r>
              <w:rPr>
                <w:rFonts w:ascii="Times New Roman"/>
                <w:spacing w:val="-5"/>
              </w:rPr>
              <w:t>4.</w:t>
            </w:r>
            <w:r>
              <w:rPr>
                <w:rFonts w:ascii="Times New Roman"/>
              </w:rPr>
              <w:tab/>
            </w:r>
            <w:r>
              <w:rPr>
                <w:rFonts w:ascii="Times New Roman"/>
                <w:spacing w:val="-2"/>
              </w:rPr>
              <w:t>Methods/Technology</w:t>
            </w:r>
          </w:p>
        </w:tc>
        <w:tc>
          <w:tcPr>
            <w:tcW w:w="5401" w:type="dxa"/>
          </w:tcPr>
          <w:p w:rsidR="007F6DF9" w:rsidRDefault="007F6DF9">
            <w:pPr>
              <w:pStyle w:val="TableParagraph"/>
              <w:rPr>
                <w:rFonts w:ascii="Times New Roman"/>
                <w:sz w:val="18"/>
              </w:rPr>
            </w:pPr>
          </w:p>
        </w:tc>
      </w:tr>
      <w:tr w:rsidR="007F6DF9">
        <w:trPr>
          <w:trHeight w:val="251"/>
        </w:trPr>
        <w:tc>
          <w:tcPr>
            <w:tcW w:w="3781" w:type="dxa"/>
          </w:tcPr>
          <w:p w:rsidR="007F6DF9" w:rsidRDefault="00A43FBC">
            <w:pPr>
              <w:pStyle w:val="TableParagraph"/>
              <w:tabs>
                <w:tab w:val="left" w:pos="720"/>
              </w:tabs>
              <w:spacing w:line="232" w:lineRule="exact"/>
              <w:ind w:left="-1"/>
              <w:rPr>
                <w:rFonts w:ascii="Times New Roman"/>
              </w:rPr>
            </w:pPr>
            <w:r>
              <w:rPr>
                <w:rFonts w:ascii="Times New Roman"/>
                <w:spacing w:val="-5"/>
              </w:rPr>
              <w:t>5.</w:t>
            </w:r>
            <w:r>
              <w:rPr>
                <w:rFonts w:ascii="Times New Roman"/>
              </w:rPr>
              <w:tab/>
              <w:t>Construction</w:t>
            </w:r>
            <w:r>
              <w:rPr>
                <w:rFonts w:ascii="Times New Roman"/>
                <w:spacing w:val="-5"/>
              </w:rPr>
              <w:t xml:space="preserve"> </w:t>
            </w:r>
            <w:r>
              <w:rPr>
                <w:rFonts w:ascii="Times New Roman"/>
              </w:rPr>
              <w:t>rate</w:t>
            </w:r>
            <w:r>
              <w:rPr>
                <w:rFonts w:ascii="Times New Roman"/>
                <w:spacing w:val="-3"/>
              </w:rPr>
              <w:t xml:space="preserve"> </w:t>
            </w:r>
            <w:r>
              <w:rPr>
                <w:rFonts w:ascii="Times New Roman"/>
              </w:rPr>
              <w:t>for</w:t>
            </w:r>
            <w:r>
              <w:rPr>
                <w:rFonts w:ascii="Times New Roman"/>
                <w:spacing w:val="-4"/>
              </w:rPr>
              <w:t xml:space="preserve"> </w:t>
            </w:r>
            <w:r>
              <w:rPr>
                <w:rFonts w:ascii="Times New Roman"/>
              </w:rPr>
              <w:t>key</w:t>
            </w:r>
            <w:r>
              <w:rPr>
                <w:rFonts w:ascii="Times New Roman"/>
                <w:spacing w:val="-1"/>
              </w:rPr>
              <w:t xml:space="preserve"> </w:t>
            </w:r>
            <w:r>
              <w:rPr>
                <w:rFonts w:ascii="Times New Roman"/>
                <w:spacing w:val="-2"/>
              </w:rPr>
              <w:t>activities</w:t>
            </w:r>
          </w:p>
        </w:tc>
        <w:tc>
          <w:tcPr>
            <w:tcW w:w="5401" w:type="dxa"/>
          </w:tcPr>
          <w:p w:rsidR="007F6DF9" w:rsidRDefault="007F6DF9">
            <w:pPr>
              <w:pStyle w:val="TableParagraph"/>
              <w:rPr>
                <w:rFonts w:ascii="Times New Roman"/>
                <w:sz w:val="18"/>
              </w:rPr>
            </w:pPr>
          </w:p>
        </w:tc>
      </w:tr>
      <w:tr w:rsidR="007F6DF9">
        <w:trPr>
          <w:trHeight w:val="254"/>
        </w:trPr>
        <w:tc>
          <w:tcPr>
            <w:tcW w:w="3781" w:type="dxa"/>
          </w:tcPr>
          <w:p w:rsidR="007F6DF9" w:rsidRDefault="00A43FBC">
            <w:pPr>
              <w:pStyle w:val="TableParagraph"/>
              <w:tabs>
                <w:tab w:val="left" w:pos="720"/>
              </w:tabs>
              <w:spacing w:line="234" w:lineRule="exact"/>
              <w:ind w:left="-1"/>
              <w:rPr>
                <w:rFonts w:ascii="Times New Roman"/>
              </w:rPr>
            </w:pPr>
            <w:r>
              <w:rPr>
                <w:rFonts w:ascii="Times New Roman"/>
                <w:spacing w:val="-5"/>
              </w:rPr>
              <w:t>6.</w:t>
            </w:r>
            <w:r>
              <w:rPr>
                <w:rFonts w:ascii="Times New Roman"/>
              </w:rPr>
              <w:tab/>
              <w:t>Other</w:t>
            </w:r>
            <w:r>
              <w:rPr>
                <w:rFonts w:ascii="Times New Roman"/>
                <w:spacing w:val="-1"/>
              </w:rPr>
              <w:t xml:space="preserve"> </w:t>
            </w:r>
            <w:r>
              <w:rPr>
                <w:rFonts w:ascii="Times New Roman"/>
                <w:spacing w:val="-2"/>
              </w:rPr>
              <w:t>Characteristics</w:t>
            </w:r>
          </w:p>
        </w:tc>
        <w:tc>
          <w:tcPr>
            <w:tcW w:w="5401" w:type="dxa"/>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pgSz w:w="11920" w:h="16850"/>
          <w:pgMar w:top="360" w:right="283" w:bottom="620" w:left="141" w:header="0" w:footer="437" w:gutter="0"/>
          <w:cols w:space="720"/>
        </w:sectPr>
      </w:pPr>
    </w:p>
    <w:p w:rsidR="007F6DF9" w:rsidRDefault="00A43FBC">
      <w:pPr>
        <w:pStyle w:val="Heading7"/>
        <w:numPr>
          <w:ilvl w:val="1"/>
          <w:numId w:val="148"/>
        </w:numPr>
        <w:tabs>
          <w:tab w:val="left" w:pos="1280"/>
        </w:tabs>
        <w:spacing w:line="266" w:lineRule="exact"/>
      </w:pPr>
      <w:r>
        <w:rPr>
          <w:noProof/>
        </w:rPr>
        <w:lastRenderedPageBreak/>
        <mc:AlternateContent>
          <mc:Choice Requires="wpg">
            <w:drawing>
              <wp:anchor distT="0" distB="0" distL="0" distR="0" simplePos="0" relativeHeight="251659776"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205" name="Graphic 20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206" name="Graphic 20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17ABEB26" id="Group 204" o:spid="_x0000_s1026" style="position:absolute;margin-left:-.1pt;margin-top:806.2pt;width:595.45pt;height:24.5pt;z-index:-25165670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NW+T2xZAwAA3AsAAA4A&#10;AAAAAAAAAAAAAAAALgIAAGRycy9lMm9Eb2MueG1sUEsBAi0AFAAGAAgAAAAhAHX34X/hAAAADAEA&#10;AA8AAAAAAAAAAAAAAAAAswUAAGRycy9kb3ducmV2LnhtbFBLBQYAAAAABAAEAPMAAADBBgAAAAA=&#10;">
                <v:shape id="Graphic 20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" path="m944880,l,,,307975r790575,l839470,300355r41910,-22225l915035,245110r22225,-42545l944880,153670,944880,xe" fillcolor="#00a650" stroked="f">
                  <v:path arrowok="t"/>
                </v:shape>
                <v:shape id="Graphic 20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u w:val="single"/>
        </w:rPr>
        <w:t>FORM</w:t>
      </w:r>
      <w:r>
        <w:rPr>
          <w:spacing w:val="-2"/>
          <w:u w:val="single"/>
        </w:rPr>
        <w:t xml:space="preserve"> </w:t>
      </w:r>
      <w:r>
        <w:rPr>
          <w:u w:val="single"/>
        </w:rPr>
        <w:t>EXP</w:t>
      </w:r>
      <w:r>
        <w:rPr>
          <w:spacing w:val="-1"/>
          <w:u w:val="single"/>
        </w:rPr>
        <w:t xml:space="preserve"> </w:t>
      </w:r>
      <w:r>
        <w:rPr>
          <w:u w:val="single"/>
        </w:rPr>
        <w:t>-</w:t>
      </w:r>
      <w:r>
        <w:rPr>
          <w:spacing w:val="42"/>
          <w:u w:val="single"/>
        </w:rPr>
        <w:t xml:space="preserve"> </w:t>
      </w:r>
      <w:r>
        <w:rPr>
          <w:spacing w:val="15"/>
          <w:u w:val="single"/>
        </w:rPr>
        <w:t>4.2(b)</w:t>
      </w:r>
    </w:p>
    <w:p w:rsidR="007F6DF9" w:rsidRDefault="007F6DF9">
      <w:pPr>
        <w:pStyle w:val="BodyText"/>
        <w:rPr>
          <w:b/>
          <w:sz w:val="24"/>
        </w:rPr>
      </w:pPr>
    </w:p>
    <w:p w:rsidR="007F6DF9" w:rsidRDefault="00A43FBC">
      <w:pPr>
        <w:ind w:left="559"/>
        <w:rPr>
          <w:b/>
          <w:sz w:val="24"/>
        </w:rPr>
      </w:pPr>
      <w:r>
        <w:rPr>
          <w:b/>
          <w:sz w:val="24"/>
        </w:rPr>
        <w:t>Construction</w:t>
      </w:r>
      <w:r>
        <w:rPr>
          <w:b/>
          <w:spacing w:val="-2"/>
          <w:sz w:val="24"/>
        </w:rPr>
        <w:t xml:space="preserve"> </w:t>
      </w:r>
      <w:r>
        <w:rPr>
          <w:b/>
          <w:sz w:val="24"/>
        </w:rPr>
        <w:t>Experience</w:t>
      </w:r>
      <w:r>
        <w:rPr>
          <w:b/>
          <w:spacing w:val="-3"/>
          <w:sz w:val="24"/>
        </w:rPr>
        <w:t xml:space="preserve"> </w:t>
      </w:r>
      <w:r>
        <w:rPr>
          <w:b/>
          <w:sz w:val="24"/>
        </w:rPr>
        <w:t>in Key</w:t>
      </w:r>
      <w:r>
        <w:rPr>
          <w:b/>
          <w:spacing w:val="-1"/>
          <w:sz w:val="24"/>
        </w:rPr>
        <w:t xml:space="preserve"> </w:t>
      </w:r>
      <w:r>
        <w:rPr>
          <w:b/>
          <w:spacing w:val="-2"/>
          <w:sz w:val="24"/>
        </w:rPr>
        <w:t>Activities</w:t>
      </w:r>
    </w:p>
    <w:p w:rsidR="007F6DF9" w:rsidRDefault="00A43FBC">
      <w:pPr>
        <w:pStyle w:val="BodyText"/>
        <w:tabs>
          <w:tab w:val="left" w:pos="3955"/>
        </w:tabs>
        <w:spacing w:before="252"/>
        <w:ind w:left="559" w:right="7529"/>
      </w:pPr>
      <w:r>
        <w:t xml:space="preserve">Tenderer's Name: </w:t>
      </w:r>
      <w:r>
        <w:rPr>
          <w:u w:val="single"/>
        </w:rPr>
        <w:tab/>
      </w:r>
      <w:r>
        <w:t xml:space="preserve"> </w:t>
      </w:r>
      <w:r>
        <w:rPr>
          <w:spacing w:val="-2"/>
        </w:rPr>
        <w:t>Date:</w:t>
      </w:r>
    </w:p>
    <w:p w:rsidR="007F6DF9" w:rsidRDefault="00A43FBC">
      <w:pPr>
        <w:spacing w:line="20" w:lineRule="exact"/>
        <w:ind w:left="1081"/>
        <w:rPr>
          <w:sz w:val="2"/>
        </w:rPr>
      </w:pPr>
      <w:r>
        <w:rPr>
          <w:noProof/>
          <w:sz w:val="2"/>
        </w:rPr>
        <mc:AlternateContent>
          <mc:Choice Requires="wpg">
            <w:drawing>
              <wp:inline distT="0" distB="0" distL="0" distR="0">
                <wp:extent cx="1349375" cy="6350"/>
                <wp:effectExtent l="9525" t="0" r="0" b="3175"/>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9375" cy="6350"/>
                          <a:chOff x="0" y="0"/>
                          <a:chExt cx="1349375" cy="6350"/>
                        </a:xfrm>
                      </wpg:grpSpPr>
                      <wps:wsp>
                        <wps:cNvPr id="208" name="Graphic 208"/>
                        <wps:cNvSpPr/>
                        <wps:spPr>
                          <a:xfrm>
                            <a:off x="0" y="2874"/>
                            <a:ext cx="1349375" cy="1270"/>
                          </a:xfrm>
                          <a:custGeom>
                            <a:avLst/>
                            <a:gdLst/>
                            <a:ahLst/>
                            <a:cxnLst/>
                            <a:rect l="l" t="t" r="r" b="b"/>
                            <a:pathLst>
                              <a:path w="1349375">
                                <a:moveTo>
                                  <a:pt x="0" y="0"/>
                                </a:moveTo>
                                <a:lnTo>
                                  <a:pt x="1348801" y="0"/>
                                </a:lnTo>
                              </a:path>
                            </a:pathLst>
                          </a:custGeom>
                          <a:ln w="57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2CD30D" id="Group 207" o:spid="_x0000_s1026" style="width:106.25pt;height:.5pt;mso-position-horizontal-relative:char;mso-position-vertical-relative:line" coordsize="13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">
                <v:shape id="Graphic 208" o:spid="_x0000_s1027" style="position:absolute;top:28;width:13493;height:13;visibility:visible;mso-wrap-style:square;v-text-anchor:top" coordsize="1349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" path="m,l1348801,e" filled="f" strokeweight=".15967mm">
                  <v:path arrowok="t"/>
                </v:shape>
                <w10:anchorlock/>
              </v:group>
            </w:pict>
          </mc:Fallback>
        </mc:AlternateContent>
      </w:r>
    </w:p>
    <w:p w:rsidR="007F6DF9" w:rsidRDefault="00A43FBC">
      <w:pPr>
        <w:pStyle w:val="BodyText"/>
        <w:ind w:left="559"/>
      </w:pPr>
      <w:r>
        <w:rPr>
          <w:noProof/>
        </w:rPr>
        <mc:AlternateContent>
          <mc:Choice Requires="wps">
            <w:drawing>
              <wp:anchor distT="0" distB="0" distL="0" distR="0" simplePos="0" relativeHeight="251638272" behindDoc="0" locked="0" layoutInCell="1" allowOverlap="1">
                <wp:simplePos x="0" y="0"/>
                <wp:positionH relativeFrom="page">
                  <wp:posOffset>2135377</wp:posOffset>
                </wp:positionH>
                <wp:positionV relativeFrom="paragraph">
                  <wp:posOffset>145378</wp:posOffset>
                </wp:positionV>
                <wp:extent cx="1259205"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1270"/>
                        </a:xfrm>
                        <a:custGeom>
                          <a:avLst/>
                          <a:gdLst/>
                          <a:ahLst/>
                          <a:cxnLst/>
                          <a:rect l="l" t="t" r="r" b="b"/>
                          <a:pathLst>
                            <a:path w="1259205">
                              <a:moveTo>
                                <a:pt x="0" y="0"/>
                              </a:moveTo>
                              <a:lnTo>
                                <a:pt x="1258787"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1EA646" id="Graphic 209" o:spid="_x0000_s1026" style="position:absolute;margin-left:168.15pt;margin-top:11.45pt;width:99.1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1259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" path="m,l1258787,e" filled="f" strokeweight=".15967mm">
                <v:path arrowok="t"/>
                <w10:wrap anchorx="page"/>
              </v:shape>
            </w:pict>
          </mc:Fallback>
        </mc:AlternateContent>
      </w:r>
      <w:r>
        <w:rPr>
          <w:spacing w:val="-2"/>
        </w:rPr>
        <w:t>Tenderer's</w:t>
      </w:r>
      <w:r>
        <w:rPr>
          <w:spacing w:val="-5"/>
        </w:rPr>
        <w:t xml:space="preserve"> </w:t>
      </w:r>
      <w:r>
        <w:rPr>
          <w:spacing w:val="-2"/>
        </w:rPr>
        <w:t>JV</w:t>
      </w:r>
      <w:r>
        <w:rPr>
          <w:spacing w:val="-6"/>
        </w:rPr>
        <w:t xml:space="preserve"> </w:t>
      </w:r>
      <w:r>
        <w:rPr>
          <w:spacing w:val="-2"/>
        </w:rPr>
        <w:t>Member</w:t>
      </w:r>
      <w:r>
        <w:rPr>
          <w:spacing w:val="-4"/>
        </w:rPr>
        <w:t xml:space="preserve"> Name:</w:t>
      </w:r>
    </w:p>
    <w:p w:rsidR="007F6DF9" w:rsidRDefault="00A43FBC">
      <w:pPr>
        <w:pStyle w:val="BodyText"/>
        <w:tabs>
          <w:tab w:val="left" w:pos="4527"/>
          <w:tab w:val="left" w:pos="5886"/>
        </w:tabs>
        <w:ind w:left="559" w:right="5599"/>
      </w:pPr>
      <w:r>
        <w:t>Sub-contractor's Name</w:t>
      </w:r>
      <w:r>
        <w:rPr>
          <w:vertAlign w:val="superscript"/>
        </w:rPr>
        <w:t>2</w:t>
      </w:r>
      <w:r>
        <w:t xml:space="preserve"> (as per ITT 34): </w:t>
      </w:r>
      <w:r>
        <w:rPr>
          <w:u w:val="single"/>
        </w:rPr>
        <w:tab/>
      </w:r>
      <w:r>
        <w:rPr>
          <w:u w:val="single"/>
        </w:rPr>
        <w:tab/>
      </w:r>
      <w:r>
        <w:t xml:space="preserve"> ITT No. and title: </w:t>
      </w:r>
      <w:r>
        <w:rPr>
          <w:u w:val="single"/>
        </w:rPr>
        <w:tab/>
      </w:r>
    </w:p>
    <w:p w:rsidR="007F6DF9" w:rsidRDefault="00A43FBC">
      <w:pPr>
        <w:spacing w:before="256"/>
        <w:ind w:left="559"/>
        <w:rPr>
          <w:sz w:val="24"/>
        </w:rPr>
      </w:pPr>
      <w:r>
        <w:rPr>
          <w:spacing w:val="-2"/>
          <w:sz w:val="24"/>
        </w:rPr>
        <w:t>All</w:t>
      </w:r>
      <w:r>
        <w:rPr>
          <w:spacing w:val="-11"/>
          <w:sz w:val="24"/>
        </w:rPr>
        <w:t xml:space="preserve"> </w:t>
      </w:r>
      <w:r>
        <w:rPr>
          <w:spacing w:val="-2"/>
          <w:sz w:val="24"/>
        </w:rPr>
        <w:t>Sub-contractors</w:t>
      </w:r>
      <w:r>
        <w:rPr>
          <w:spacing w:val="-6"/>
          <w:sz w:val="24"/>
        </w:rPr>
        <w:t xml:space="preserve"> </w:t>
      </w:r>
      <w:r>
        <w:rPr>
          <w:spacing w:val="-2"/>
          <w:sz w:val="24"/>
        </w:rPr>
        <w:t>for</w:t>
      </w:r>
      <w:r>
        <w:rPr>
          <w:spacing w:val="-7"/>
          <w:sz w:val="24"/>
        </w:rPr>
        <w:t xml:space="preserve"> </w:t>
      </w:r>
      <w:r>
        <w:rPr>
          <w:spacing w:val="-2"/>
          <w:sz w:val="24"/>
        </w:rPr>
        <w:t>key</w:t>
      </w:r>
      <w:r>
        <w:rPr>
          <w:spacing w:val="-8"/>
          <w:sz w:val="24"/>
        </w:rPr>
        <w:t xml:space="preserve"> </w:t>
      </w:r>
      <w:r>
        <w:rPr>
          <w:spacing w:val="-2"/>
          <w:sz w:val="24"/>
        </w:rPr>
        <w:t>activities</w:t>
      </w:r>
      <w:r>
        <w:rPr>
          <w:spacing w:val="-8"/>
          <w:sz w:val="24"/>
        </w:rPr>
        <w:t xml:space="preserve"> </w:t>
      </w:r>
      <w:r>
        <w:rPr>
          <w:spacing w:val="-2"/>
          <w:sz w:val="24"/>
        </w:rPr>
        <w:t>must</w:t>
      </w:r>
      <w:r>
        <w:rPr>
          <w:spacing w:val="-5"/>
          <w:sz w:val="24"/>
        </w:rPr>
        <w:t xml:space="preserve"> </w:t>
      </w:r>
      <w:r>
        <w:rPr>
          <w:spacing w:val="-2"/>
          <w:sz w:val="24"/>
        </w:rPr>
        <w:t>complete</w:t>
      </w:r>
      <w:r>
        <w:rPr>
          <w:spacing w:val="-9"/>
          <w:sz w:val="24"/>
        </w:rPr>
        <w:t xml:space="preserve"> </w:t>
      </w:r>
      <w:r>
        <w:rPr>
          <w:spacing w:val="-2"/>
          <w:sz w:val="24"/>
        </w:rPr>
        <w:t>the</w:t>
      </w:r>
      <w:r>
        <w:rPr>
          <w:spacing w:val="-7"/>
          <w:sz w:val="24"/>
        </w:rPr>
        <w:t xml:space="preserve"> </w:t>
      </w:r>
      <w:r>
        <w:rPr>
          <w:spacing w:val="-2"/>
          <w:sz w:val="24"/>
        </w:rPr>
        <w:t>information</w:t>
      </w:r>
      <w:r>
        <w:rPr>
          <w:spacing w:val="-6"/>
          <w:sz w:val="24"/>
        </w:rPr>
        <w:t xml:space="preserve"> </w:t>
      </w:r>
      <w:r>
        <w:rPr>
          <w:spacing w:val="-2"/>
          <w:sz w:val="24"/>
        </w:rPr>
        <w:t>in</w:t>
      </w:r>
      <w:r>
        <w:rPr>
          <w:spacing w:val="-8"/>
          <w:sz w:val="24"/>
        </w:rPr>
        <w:t xml:space="preserve"> </w:t>
      </w:r>
      <w:r>
        <w:rPr>
          <w:spacing w:val="-2"/>
          <w:sz w:val="24"/>
        </w:rPr>
        <w:t>this</w:t>
      </w:r>
      <w:r>
        <w:rPr>
          <w:spacing w:val="-6"/>
          <w:sz w:val="24"/>
        </w:rPr>
        <w:t xml:space="preserve"> </w:t>
      </w:r>
      <w:r>
        <w:rPr>
          <w:spacing w:val="-2"/>
          <w:sz w:val="24"/>
        </w:rPr>
        <w:t>form</w:t>
      </w:r>
      <w:r>
        <w:rPr>
          <w:spacing w:val="-5"/>
          <w:sz w:val="24"/>
        </w:rPr>
        <w:t xml:space="preserve"> </w:t>
      </w:r>
      <w:r>
        <w:rPr>
          <w:spacing w:val="-2"/>
          <w:sz w:val="24"/>
        </w:rPr>
        <w:t>as</w:t>
      </w:r>
      <w:r>
        <w:rPr>
          <w:spacing w:val="-8"/>
          <w:sz w:val="24"/>
        </w:rPr>
        <w:t xml:space="preserve"> </w:t>
      </w:r>
      <w:r>
        <w:rPr>
          <w:spacing w:val="-2"/>
          <w:sz w:val="24"/>
        </w:rPr>
        <w:t>per</w:t>
      </w:r>
      <w:r>
        <w:rPr>
          <w:spacing w:val="-7"/>
          <w:sz w:val="24"/>
        </w:rPr>
        <w:t xml:space="preserve"> </w:t>
      </w:r>
      <w:r>
        <w:rPr>
          <w:spacing w:val="-2"/>
          <w:sz w:val="24"/>
        </w:rPr>
        <w:t>ITT</w:t>
      </w:r>
      <w:r>
        <w:rPr>
          <w:spacing w:val="-3"/>
          <w:sz w:val="24"/>
        </w:rPr>
        <w:t xml:space="preserve"> </w:t>
      </w:r>
      <w:r>
        <w:rPr>
          <w:spacing w:val="-2"/>
          <w:sz w:val="24"/>
        </w:rPr>
        <w:t>34</w:t>
      </w:r>
      <w:r>
        <w:rPr>
          <w:spacing w:val="-13"/>
          <w:sz w:val="24"/>
        </w:rPr>
        <w:t xml:space="preserve"> </w:t>
      </w:r>
      <w:r>
        <w:rPr>
          <w:spacing w:val="-2"/>
          <w:sz w:val="24"/>
        </w:rPr>
        <w:t>and</w:t>
      </w:r>
      <w:r>
        <w:rPr>
          <w:spacing w:val="-13"/>
          <w:sz w:val="24"/>
        </w:rPr>
        <w:t xml:space="preserve"> </w:t>
      </w:r>
      <w:r>
        <w:rPr>
          <w:spacing w:val="-2"/>
          <w:sz w:val="24"/>
        </w:rPr>
        <w:t>Section</w:t>
      </w:r>
      <w:r>
        <w:rPr>
          <w:spacing w:val="-13"/>
          <w:sz w:val="24"/>
        </w:rPr>
        <w:t xml:space="preserve"> </w:t>
      </w:r>
      <w:r>
        <w:rPr>
          <w:spacing w:val="-2"/>
          <w:sz w:val="24"/>
        </w:rPr>
        <w:t xml:space="preserve">III, </w:t>
      </w:r>
      <w:r>
        <w:rPr>
          <w:sz w:val="24"/>
        </w:rPr>
        <w:t>Evaluation and Qualification Criteria,</w:t>
      </w:r>
      <w:r>
        <w:rPr>
          <w:spacing w:val="-2"/>
          <w:sz w:val="24"/>
        </w:rPr>
        <w:t xml:space="preserve"> </w:t>
      </w:r>
      <w:r>
        <w:rPr>
          <w:sz w:val="24"/>
        </w:rPr>
        <w:t>Sub-Factor 4.2.</w:t>
      </w:r>
    </w:p>
    <w:p w:rsidR="007F6DF9" w:rsidRDefault="007F6DF9">
      <w:pPr>
        <w:pStyle w:val="BodyText"/>
        <w:rPr>
          <w:sz w:val="24"/>
        </w:rPr>
      </w:pPr>
    </w:p>
    <w:p w:rsidR="007F6DF9" w:rsidRDefault="00A43FBC">
      <w:pPr>
        <w:pStyle w:val="ListParagraph"/>
        <w:numPr>
          <w:ilvl w:val="0"/>
          <w:numId w:val="147"/>
        </w:numPr>
        <w:tabs>
          <w:tab w:val="left" w:pos="1280"/>
        </w:tabs>
        <w:rPr>
          <w:sz w:val="24"/>
        </w:rPr>
      </w:pPr>
      <w:r>
        <w:rPr>
          <w:sz w:val="24"/>
        </w:rPr>
        <w:t>Key</w:t>
      </w:r>
      <w:r>
        <w:rPr>
          <w:spacing w:val="-15"/>
          <w:sz w:val="24"/>
        </w:rPr>
        <w:t xml:space="preserve"> </w:t>
      </w:r>
      <w:r>
        <w:rPr>
          <w:sz w:val="24"/>
        </w:rPr>
        <w:t>Activity</w:t>
      </w:r>
      <w:r>
        <w:rPr>
          <w:spacing w:val="-13"/>
          <w:sz w:val="24"/>
        </w:rPr>
        <w:t xml:space="preserve"> </w:t>
      </w:r>
      <w:r>
        <w:rPr>
          <w:sz w:val="24"/>
        </w:rPr>
        <w:t>No</w:t>
      </w:r>
      <w:r>
        <w:rPr>
          <w:spacing w:val="-12"/>
          <w:sz w:val="24"/>
        </w:rPr>
        <w:t xml:space="preserve"> </w:t>
      </w:r>
      <w:r>
        <w:rPr>
          <w:sz w:val="24"/>
        </w:rPr>
        <w:t>One:</w:t>
      </w:r>
      <w:r>
        <w:rPr>
          <w:spacing w:val="-14"/>
          <w:sz w:val="24"/>
        </w:rPr>
        <w:t xml:space="preserve"> </w:t>
      </w:r>
      <w:r>
        <w:rPr>
          <w:i/>
          <w:spacing w:val="-10"/>
          <w:sz w:val="24"/>
        </w:rPr>
        <w:t>_</w:t>
      </w:r>
    </w:p>
    <w:p w:rsidR="007F6DF9" w:rsidRDefault="007F6DF9">
      <w:pPr>
        <w:pStyle w:val="BodyText"/>
        <w:spacing w:before="36"/>
        <w:rPr>
          <w:i/>
          <w:sz w:val="20"/>
        </w:rPr>
      </w:pPr>
    </w:p>
    <w:tbl>
      <w:tblPr>
        <w:tblW w:w="0" w:type="auto"/>
        <w:tblInd w:w="5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34"/>
        <w:gridCol w:w="1387"/>
        <w:gridCol w:w="420"/>
        <w:gridCol w:w="1020"/>
        <w:gridCol w:w="1349"/>
        <w:gridCol w:w="1273"/>
      </w:tblGrid>
      <w:tr w:rsidR="007F6DF9">
        <w:trPr>
          <w:trHeight w:val="252"/>
        </w:trPr>
        <w:tc>
          <w:tcPr>
            <w:tcW w:w="3834" w:type="dxa"/>
            <w:tcBorders>
              <w:left w:val="single" w:sz="2" w:space="0" w:color="000000"/>
              <w:bottom w:val="single" w:sz="2" w:space="0" w:color="000000"/>
              <w:right w:val="single" w:sz="2" w:space="0" w:color="000000"/>
            </w:tcBorders>
          </w:tcPr>
          <w:p w:rsidR="007F6DF9" w:rsidRDefault="007F6DF9">
            <w:pPr>
              <w:pStyle w:val="TableParagraph"/>
              <w:rPr>
                <w:rFonts w:ascii="Times New Roman"/>
                <w:sz w:val="18"/>
              </w:rPr>
            </w:pP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2"/>
              <w:rPr>
                <w:rFonts w:ascii="Times New Roman"/>
                <w:b/>
              </w:rPr>
            </w:pPr>
            <w:r>
              <w:rPr>
                <w:rFonts w:ascii="Times New Roman"/>
                <w:b/>
                <w:spacing w:val="8"/>
              </w:rPr>
              <w:t>Information</w:t>
            </w:r>
          </w:p>
        </w:tc>
      </w:tr>
      <w:tr w:rsidR="007F6DF9">
        <w:trPr>
          <w:trHeight w:val="408"/>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spacing w:val="-9"/>
              </w:rPr>
              <w:t>Contract</w:t>
            </w:r>
            <w:r>
              <w:rPr>
                <w:rFonts w:ascii="Times New Roman"/>
                <w:spacing w:val="-5"/>
              </w:rPr>
              <w:t xml:space="preserve"> </w:t>
            </w:r>
            <w:r>
              <w:rPr>
                <w:rFonts w:ascii="Times New Roman"/>
                <w:spacing w:val="-2"/>
              </w:rPr>
              <w:t>Identification</w:t>
            </w: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03"/>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spacing w:val="-10"/>
              </w:rPr>
              <w:t>Award</w:t>
            </w:r>
            <w:r>
              <w:rPr>
                <w:rFonts w:ascii="Times New Roman"/>
                <w:spacing w:val="-13"/>
              </w:rPr>
              <w:t xml:space="preserve"> </w:t>
            </w:r>
            <w:r>
              <w:rPr>
                <w:rFonts w:ascii="Times New Roman"/>
                <w:spacing w:val="-4"/>
              </w:rPr>
              <w:t>date</w:t>
            </w: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07"/>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spacing w:val="-2"/>
              </w:rPr>
              <w:t>Completion</w:t>
            </w:r>
            <w:r>
              <w:rPr>
                <w:rFonts w:ascii="Times New Roman"/>
                <w:spacing w:val="-8"/>
              </w:rPr>
              <w:t xml:space="preserve"> </w:t>
            </w:r>
            <w:r>
              <w:rPr>
                <w:rFonts w:ascii="Times New Roman"/>
                <w:spacing w:val="-4"/>
              </w:rPr>
              <w:t>date</w:t>
            </w: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863"/>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rPr>
              <w:t>Role</w:t>
            </w:r>
            <w:r>
              <w:rPr>
                <w:rFonts w:ascii="Times New Roman"/>
                <w:spacing w:val="-11"/>
              </w:rPr>
              <w:t xml:space="preserve"> </w:t>
            </w:r>
            <w:r>
              <w:rPr>
                <w:rFonts w:ascii="Times New Roman"/>
              </w:rPr>
              <w:t>in</w:t>
            </w:r>
            <w:r>
              <w:rPr>
                <w:rFonts w:ascii="Times New Roman"/>
                <w:spacing w:val="-10"/>
              </w:rPr>
              <w:t xml:space="preserve"> </w:t>
            </w:r>
            <w:r>
              <w:rPr>
                <w:rFonts w:ascii="Times New Roman"/>
                <w:spacing w:val="-2"/>
              </w:rPr>
              <w:t>Contract</w:t>
            </w:r>
          </w:p>
        </w:tc>
        <w:tc>
          <w:tcPr>
            <w:tcW w:w="138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2" w:right="3"/>
              <w:rPr>
                <w:rFonts w:ascii="Times New Roman"/>
              </w:rPr>
            </w:pPr>
            <w:r>
              <w:rPr>
                <w:rFonts w:ascii="Times New Roman"/>
                <w:spacing w:val="-2"/>
              </w:rPr>
              <w:t xml:space="preserve">Prime </w:t>
            </w:r>
            <w:r>
              <w:rPr>
                <w:rFonts w:ascii="Times New Roman"/>
                <w:spacing w:val="-6"/>
              </w:rPr>
              <w:t>Contractor</w:t>
            </w:r>
          </w:p>
          <w:p w:rsidR="007F6DF9" w:rsidRDefault="00A43FBC">
            <w:pPr>
              <w:pStyle w:val="TableParagraph"/>
              <w:spacing w:before="1"/>
              <w:ind w:left="2"/>
              <w:rPr>
                <w:rFonts w:ascii="Wingdings" w:hAnsi="Wingdings"/>
              </w:rPr>
            </w:pPr>
            <w:r>
              <w:rPr>
                <w:rFonts w:ascii="Wingdings" w:hAnsi="Wingdings"/>
                <w:spacing w:val="-10"/>
              </w:rPr>
              <w:t></w:t>
            </w:r>
          </w:p>
        </w:tc>
        <w:tc>
          <w:tcPr>
            <w:tcW w:w="1440" w:type="dxa"/>
            <w:gridSpan w:val="2"/>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 w:right="486"/>
              <w:rPr>
                <w:rFonts w:ascii="Times New Roman"/>
              </w:rPr>
            </w:pPr>
            <w:r>
              <w:rPr>
                <w:rFonts w:ascii="Times New Roman"/>
                <w:spacing w:val="-4"/>
              </w:rPr>
              <w:t>Member</w:t>
            </w:r>
            <w:r>
              <w:rPr>
                <w:rFonts w:ascii="Times New Roman"/>
                <w:spacing w:val="-10"/>
              </w:rPr>
              <w:t xml:space="preserve"> </w:t>
            </w:r>
            <w:r>
              <w:rPr>
                <w:rFonts w:ascii="Times New Roman"/>
                <w:spacing w:val="-4"/>
              </w:rPr>
              <w:t xml:space="preserve">in </w:t>
            </w:r>
            <w:r>
              <w:rPr>
                <w:rFonts w:ascii="Times New Roman"/>
                <w:spacing w:val="-6"/>
              </w:rPr>
              <w:t>JV</w:t>
            </w:r>
          </w:p>
          <w:p w:rsidR="007F6DF9" w:rsidRDefault="00A43FBC">
            <w:pPr>
              <w:pStyle w:val="TableParagraph"/>
              <w:spacing w:before="1"/>
              <w:ind w:left="-1"/>
              <w:rPr>
                <w:rFonts w:ascii="Wingdings" w:hAnsi="Wingdings"/>
              </w:rPr>
            </w:pPr>
            <w:r>
              <w:rPr>
                <w:rFonts w:ascii="Wingdings" w:hAnsi="Wingdings"/>
                <w:spacing w:val="-10"/>
              </w:rPr>
              <w:t></w:t>
            </w:r>
          </w:p>
        </w:tc>
        <w:tc>
          <w:tcPr>
            <w:tcW w:w="1349"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rPr>
                <w:rFonts w:ascii="Times New Roman"/>
              </w:rPr>
            </w:pPr>
            <w:r>
              <w:rPr>
                <w:rFonts w:ascii="Times New Roman"/>
                <w:spacing w:val="-6"/>
              </w:rPr>
              <w:t xml:space="preserve">Management </w:t>
            </w:r>
            <w:r>
              <w:rPr>
                <w:rFonts w:ascii="Times New Roman"/>
                <w:spacing w:val="-2"/>
              </w:rPr>
              <w:t>Contractor</w:t>
            </w:r>
          </w:p>
          <w:p w:rsidR="007F6DF9" w:rsidRDefault="00A43FBC">
            <w:pPr>
              <w:pStyle w:val="TableParagraph"/>
              <w:spacing w:before="1"/>
              <w:rPr>
                <w:rFonts w:ascii="Wingdings" w:hAnsi="Wingdings"/>
              </w:rPr>
            </w:pPr>
            <w:r>
              <w:rPr>
                <w:rFonts w:ascii="Wingdings" w:hAnsi="Wingdings"/>
                <w:spacing w:val="-10"/>
              </w:rPr>
              <w:t></w:t>
            </w:r>
          </w:p>
        </w:tc>
        <w:tc>
          <w:tcPr>
            <w:tcW w:w="1273"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2"/>
              <w:rPr>
                <w:rFonts w:ascii="Times New Roman"/>
              </w:rPr>
            </w:pPr>
            <w:r>
              <w:rPr>
                <w:rFonts w:ascii="Times New Roman"/>
                <w:spacing w:val="-5"/>
              </w:rPr>
              <w:t>Sub-contractor</w:t>
            </w:r>
          </w:p>
          <w:p w:rsidR="007F6DF9" w:rsidRDefault="00A43FBC">
            <w:pPr>
              <w:pStyle w:val="TableParagraph"/>
              <w:spacing w:before="2"/>
              <w:ind w:left="2"/>
              <w:rPr>
                <w:rFonts w:ascii="Wingdings" w:hAnsi="Wingdings"/>
              </w:rPr>
            </w:pPr>
            <w:r>
              <w:rPr>
                <w:rFonts w:ascii="Wingdings" w:hAnsi="Wingdings"/>
                <w:spacing w:val="-10"/>
              </w:rPr>
              <w:t></w:t>
            </w:r>
          </w:p>
        </w:tc>
      </w:tr>
      <w:tr w:rsidR="007F6DF9">
        <w:trPr>
          <w:trHeight w:val="321"/>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spacing w:val="-12"/>
              </w:rPr>
              <w:t>Total Contract</w:t>
            </w:r>
            <w:r>
              <w:rPr>
                <w:rFonts w:ascii="Times New Roman"/>
                <w:spacing w:val="-8"/>
              </w:rPr>
              <w:t xml:space="preserve"> </w:t>
            </w:r>
            <w:r>
              <w:rPr>
                <w:rFonts w:ascii="Times New Roman"/>
                <w:spacing w:val="-12"/>
              </w:rPr>
              <w:t>Amount</w:t>
            </w:r>
          </w:p>
        </w:tc>
        <w:tc>
          <w:tcPr>
            <w:tcW w:w="2827" w:type="dxa"/>
            <w:gridSpan w:val="3"/>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2622" w:type="dxa"/>
            <w:gridSpan w:val="2"/>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rPr>
                <w:rFonts w:ascii="Times New Roman"/>
                <w:b/>
              </w:rPr>
            </w:pPr>
            <w:r>
              <w:rPr>
                <w:rFonts w:ascii="Times New Roman"/>
                <w:b/>
                <w:spacing w:val="-5"/>
              </w:rPr>
              <w:t xml:space="preserve">Kenya </w:t>
            </w:r>
            <w:r>
              <w:rPr>
                <w:rFonts w:ascii="Times New Roman"/>
                <w:b/>
                <w:spacing w:val="-2"/>
              </w:rPr>
              <w:t>Shilling</w:t>
            </w:r>
          </w:p>
        </w:tc>
      </w:tr>
      <w:tr w:rsidR="007F6DF9">
        <w:trPr>
          <w:trHeight w:val="1010"/>
        </w:trPr>
        <w:tc>
          <w:tcPr>
            <w:tcW w:w="3834" w:type="dxa"/>
            <w:tcBorders>
              <w:top w:val="single" w:sz="2" w:space="0" w:color="000000"/>
              <w:left w:val="single" w:sz="2" w:space="0" w:color="000000"/>
              <w:bottom w:val="single" w:sz="4" w:space="0" w:color="000000"/>
              <w:right w:val="single" w:sz="2" w:space="0" w:color="000000"/>
            </w:tcBorders>
          </w:tcPr>
          <w:p w:rsidR="007F6DF9" w:rsidRDefault="00A43FBC">
            <w:pPr>
              <w:pStyle w:val="TableParagraph"/>
              <w:ind w:left="-1"/>
              <w:rPr>
                <w:rFonts w:ascii="Times New Roman"/>
              </w:rPr>
            </w:pPr>
            <w:r>
              <w:rPr>
                <w:rFonts w:ascii="Times New Roman"/>
              </w:rPr>
              <w:t>Quantity (Volume, number or rate of production,</w:t>
            </w:r>
            <w:r>
              <w:rPr>
                <w:rFonts w:ascii="Times New Roman"/>
                <w:spacing w:val="-10"/>
              </w:rPr>
              <w:t xml:space="preserve"> </w:t>
            </w:r>
            <w:r>
              <w:rPr>
                <w:rFonts w:ascii="Times New Roman"/>
              </w:rPr>
              <w:t>as</w:t>
            </w:r>
            <w:r>
              <w:rPr>
                <w:rFonts w:ascii="Times New Roman"/>
                <w:spacing w:val="-10"/>
              </w:rPr>
              <w:t xml:space="preserve"> </w:t>
            </w:r>
            <w:r>
              <w:rPr>
                <w:rFonts w:ascii="Times New Roman"/>
              </w:rPr>
              <w:t>applicable)</w:t>
            </w:r>
            <w:r>
              <w:rPr>
                <w:rFonts w:ascii="Times New Roman"/>
                <w:spacing w:val="-10"/>
              </w:rPr>
              <w:t xml:space="preserve"> </w:t>
            </w:r>
            <w:r>
              <w:rPr>
                <w:rFonts w:ascii="Times New Roman"/>
              </w:rPr>
              <w:t>performed</w:t>
            </w:r>
            <w:r>
              <w:rPr>
                <w:rFonts w:ascii="Times New Roman"/>
                <w:spacing w:val="-10"/>
              </w:rPr>
              <w:t xml:space="preserve"> </w:t>
            </w:r>
            <w:r>
              <w:rPr>
                <w:rFonts w:ascii="Times New Roman"/>
              </w:rPr>
              <w:t>under the contract per year or part of the year</w:t>
            </w:r>
          </w:p>
        </w:tc>
        <w:tc>
          <w:tcPr>
            <w:tcW w:w="1807" w:type="dxa"/>
            <w:gridSpan w:val="2"/>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2" w:right="91"/>
              <w:rPr>
                <w:rFonts w:ascii="Times New Roman"/>
              </w:rPr>
            </w:pPr>
            <w:r>
              <w:rPr>
                <w:rFonts w:ascii="Times New Roman"/>
              </w:rPr>
              <w:t>Total</w:t>
            </w:r>
            <w:r>
              <w:rPr>
                <w:rFonts w:ascii="Times New Roman"/>
                <w:spacing w:val="-3"/>
              </w:rPr>
              <w:t xml:space="preserve"> </w:t>
            </w:r>
            <w:r>
              <w:rPr>
                <w:rFonts w:ascii="Times New Roman"/>
              </w:rPr>
              <w:t>quantity</w:t>
            </w:r>
            <w:r>
              <w:rPr>
                <w:rFonts w:ascii="Times New Roman"/>
                <w:spacing w:val="-4"/>
              </w:rPr>
              <w:t xml:space="preserve"> </w:t>
            </w:r>
            <w:r>
              <w:rPr>
                <w:rFonts w:ascii="Times New Roman"/>
              </w:rPr>
              <w:t>in the contract</w:t>
            </w:r>
          </w:p>
          <w:p w:rsidR="007F6DF9" w:rsidRDefault="00A43FBC">
            <w:pPr>
              <w:pStyle w:val="TableParagraph"/>
              <w:spacing w:line="251" w:lineRule="exact"/>
              <w:ind w:left="2"/>
              <w:rPr>
                <w:rFonts w:ascii="Times New Roman"/>
              </w:rPr>
            </w:pPr>
            <w:r>
              <w:rPr>
                <w:rFonts w:ascii="Times New Roman"/>
                <w:spacing w:val="-5"/>
              </w:rPr>
              <w:t>(</w:t>
            </w:r>
            <w:proofErr w:type="spellStart"/>
            <w:r>
              <w:rPr>
                <w:rFonts w:ascii="Times New Roman"/>
                <w:spacing w:val="-5"/>
              </w:rPr>
              <w:t>i</w:t>
            </w:r>
            <w:proofErr w:type="spellEnd"/>
            <w:r>
              <w:rPr>
                <w:rFonts w:ascii="Times New Roman"/>
                <w:spacing w:val="-5"/>
              </w:rPr>
              <w:t>)</w:t>
            </w:r>
          </w:p>
        </w:tc>
        <w:tc>
          <w:tcPr>
            <w:tcW w:w="2369" w:type="dxa"/>
            <w:gridSpan w:val="2"/>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right="1226"/>
              <w:rPr>
                <w:rFonts w:ascii="Times New Roman"/>
              </w:rPr>
            </w:pPr>
            <w:r>
              <w:rPr>
                <w:rFonts w:ascii="Times New Roman"/>
                <w:spacing w:val="-2"/>
              </w:rPr>
              <w:t xml:space="preserve">Percentage participation </w:t>
            </w:r>
            <w:r>
              <w:rPr>
                <w:rFonts w:ascii="Times New Roman"/>
                <w:spacing w:val="-4"/>
              </w:rPr>
              <w:t>(ii)</w:t>
            </w:r>
          </w:p>
        </w:tc>
        <w:tc>
          <w:tcPr>
            <w:tcW w:w="1273"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2"/>
              <w:rPr>
                <w:rFonts w:ascii="Times New Roman"/>
              </w:rPr>
            </w:pPr>
            <w:r>
              <w:rPr>
                <w:rFonts w:ascii="Times New Roman"/>
                <w:spacing w:val="-2"/>
              </w:rPr>
              <w:t>Actual Quantity Performed</w:t>
            </w:r>
          </w:p>
          <w:p w:rsidR="007F6DF9" w:rsidRDefault="00A43FBC">
            <w:pPr>
              <w:pStyle w:val="TableParagraph"/>
              <w:spacing w:line="233" w:lineRule="exact"/>
              <w:ind w:left="2"/>
              <w:rPr>
                <w:rFonts w:ascii="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4"/>
              </w:rPr>
              <w:t xml:space="preserve"> </w:t>
            </w:r>
            <w:r>
              <w:rPr>
                <w:rFonts w:ascii="Times New Roman"/>
              </w:rPr>
              <w:t>x</w:t>
            </w:r>
            <w:r>
              <w:rPr>
                <w:rFonts w:ascii="Times New Roman"/>
                <w:spacing w:val="6"/>
              </w:rPr>
              <w:t xml:space="preserve"> </w:t>
            </w:r>
            <w:r>
              <w:rPr>
                <w:rFonts w:ascii="Times New Roman"/>
                <w:spacing w:val="-4"/>
              </w:rPr>
              <w:t>(ii)</w:t>
            </w:r>
          </w:p>
        </w:tc>
      </w:tr>
      <w:tr w:rsidR="007F6DF9">
        <w:trPr>
          <w:trHeight w:val="429"/>
        </w:trPr>
        <w:tc>
          <w:tcPr>
            <w:tcW w:w="3834" w:type="dxa"/>
            <w:tcBorders>
              <w:top w:val="single" w:sz="4" w:space="0" w:color="000000"/>
              <w:left w:val="single" w:sz="2" w:space="0" w:color="000000"/>
              <w:bottom w:val="single" w:sz="4" w:space="0" w:color="000000"/>
              <w:right w:val="single" w:sz="2" w:space="0" w:color="000000"/>
            </w:tcBorders>
          </w:tcPr>
          <w:p w:rsidR="007F6DF9" w:rsidRDefault="00A43FBC">
            <w:pPr>
              <w:pStyle w:val="TableParagraph"/>
              <w:spacing w:before="87"/>
              <w:ind w:left="-1"/>
              <w:rPr>
                <w:rFonts w:ascii="Times New Roman"/>
              </w:rPr>
            </w:pPr>
            <w:r>
              <w:rPr>
                <w:rFonts w:ascii="Times New Roman"/>
              </w:rPr>
              <w:t>Year</w:t>
            </w:r>
            <w:r>
              <w:rPr>
                <w:rFonts w:ascii="Times New Roman"/>
                <w:spacing w:val="-2"/>
              </w:rPr>
              <w:t xml:space="preserve"> </w:t>
            </w:r>
            <w:r>
              <w:rPr>
                <w:rFonts w:ascii="Times New Roman"/>
                <w:spacing w:val="-10"/>
              </w:rPr>
              <w:t>1</w:t>
            </w:r>
          </w:p>
        </w:tc>
        <w:tc>
          <w:tcPr>
            <w:tcW w:w="1807"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2369"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1273" w:type="dxa"/>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26"/>
        </w:trPr>
        <w:tc>
          <w:tcPr>
            <w:tcW w:w="3834" w:type="dxa"/>
            <w:tcBorders>
              <w:top w:val="single" w:sz="4" w:space="0" w:color="000000"/>
              <w:left w:val="single" w:sz="2" w:space="0" w:color="000000"/>
              <w:bottom w:val="single" w:sz="4" w:space="0" w:color="000000"/>
              <w:right w:val="single" w:sz="2" w:space="0" w:color="000000"/>
            </w:tcBorders>
          </w:tcPr>
          <w:p w:rsidR="007F6DF9" w:rsidRDefault="00A43FBC">
            <w:pPr>
              <w:pStyle w:val="TableParagraph"/>
              <w:spacing w:before="85"/>
              <w:ind w:left="-1"/>
              <w:rPr>
                <w:rFonts w:ascii="Times New Roman"/>
              </w:rPr>
            </w:pPr>
            <w:r>
              <w:rPr>
                <w:rFonts w:ascii="Times New Roman"/>
              </w:rPr>
              <w:t>Year</w:t>
            </w:r>
            <w:r>
              <w:rPr>
                <w:rFonts w:ascii="Times New Roman"/>
                <w:spacing w:val="-2"/>
              </w:rPr>
              <w:t xml:space="preserve"> </w:t>
            </w:r>
            <w:r>
              <w:rPr>
                <w:rFonts w:ascii="Times New Roman"/>
                <w:spacing w:val="-10"/>
              </w:rPr>
              <w:t>2</w:t>
            </w:r>
          </w:p>
        </w:tc>
        <w:tc>
          <w:tcPr>
            <w:tcW w:w="1807"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2369"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1273" w:type="dxa"/>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29"/>
        </w:trPr>
        <w:tc>
          <w:tcPr>
            <w:tcW w:w="3834" w:type="dxa"/>
            <w:tcBorders>
              <w:top w:val="single" w:sz="4" w:space="0" w:color="000000"/>
              <w:left w:val="single" w:sz="2" w:space="0" w:color="000000"/>
              <w:bottom w:val="single" w:sz="4" w:space="0" w:color="000000"/>
              <w:right w:val="single" w:sz="2" w:space="0" w:color="000000"/>
            </w:tcBorders>
          </w:tcPr>
          <w:p w:rsidR="007F6DF9" w:rsidRDefault="00A43FBC">
            <w:pPr>
              <w:pStyle w:val="TableParagraph"/>
              <w:spacing w:before="87"/>
              <w:ind w:left="-1"/>
              <w:rPr>
                <w:rFonts w:ascii="Times New Roman"/>
              </w:rPr>
            </w:pPr>
            <w:r>
              <w:rPr>
                <w:rFonts w:ascii="Times New Roman"/>
              </w:rPr>
              <w:t>Year</w:t>
            </w:r>
            <w:r>
              <w:rPr>
                <w:rFonts w:ascii="Times New Roman"/>
                <w:spacing w:val="-2"/>
              </w:rPr>
              <w:t xml:space="preserve"> </w:t>
            </w:r>
            <w:r>
              <w:rPr>
                <w:rFonts w:ascii="Times New Roman"/>
                <w:spacing w:val="-10"/>
              </w:rPr>
              <w:t>3</w:t>
            </w:r>
          </w:p>
        </w:tc>
        <w:tc>
          <w:tcPr>
            <w:tcW w:w="1807"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2369"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1273" w:type="dxa"/>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26"/>
        </w:trPr>
        <w:tc>
          <w:tcPr>
            <w:tcW w:w="3834" w:type="dxa"/>
            <w:tcBorders>
              <w:top w:val="single" w:sz="4" w:space="0" w:color="000000"/>
              <w:left w:val="single" w:sz="2" w:space="0" w:color="000000"/>
              <w:bottom w:val="single" w:sz="4" w:space="0" w:color="000000"/>
              <w:right w:val="single" w:sz="2" w:space="0" w:color="000000"/>
            </w:tcBorders>
          </w:tcPr>
          <w:p w:rsidR="007F6DF9" w:rsidRDefault="00A43FBC">
            <w:pPr>
              <w:pStyle w:val="TableParagraph"/>
              <w:spacing w:before="85"/>
              <w:ind w:left="-1"/>
              <w:rPr>
                <w:rFonts w:ascii="Times New Roman"/>
              </w:rPr>
            </w:pPr>
            <w:r>
              <w:rPr>
                <w:rFonts w:ascii="Times New Roman"/>
              </w:rPr>
              <w:t>Year</w:t>
            </w:r>
            <w:r>
              <w:rPr>
                <w:rFonts w:ascii="Times New Roman"/>
                <w:spacing w:val="-2"/>
              </w:rPr>
              <w:t xml:space="preserve"> </w:t>
            </w:r>
            <w:r>
              <w:rPr>
                <w:rFonts w:ascii="Times New Roman"/>
                <w:spacing w:val="-10"/>
              </w:rPr>
              <w:t>4</w:t>
            </w:r>
          </w:p>
        </w:tc>
        <w:tc>
          <w:tcPr>
            <w:tcW w:w="1807" w:type="dxa"/>
            <w:gridSpan w:val="2"/>
            <w:tcBorders>
              <w:top w:val="single" w:sz="2" w:space="0" w:color="000000"/>
              <w:left w:val="single" w:sz="2" w:space="0" w:color="000000"/>
              <w:bottom w:val="single" w:sz="4" w:space="0" w:color="000000"/>
              <w:right w:val="single" w:sz="2" w:space="0" w:color="000000"/>
            </w:tcBorders>
          </w:tcPr>
          <w:p w:rsidR="007F6DF9" w:rsidRDefault="007F6DF9">
            <w:pPr>
              <w:pStyle w:val="TableParagraph"/>
              <w:rPr>
                <w:rFonts w:ascii="Times New Roman"/>
              </w:rPr>
            </w:pPr>
          </w:p>
        </w:tc>
        <w:tc>
          <w:tcPr>
            <w:tcW w:w="2369" w:type="dxa"/>
            <w:gridSpan w:val="2"/>
            <w:tcBorders>
              <w:top w:val="single" w:sz="2" w:space="0" w:color="000000"/>
              <w:left w:val="single" w:sz="2" w:space="0" w:color="000000"/>
              <w:bottom w:val="single" w:sz="4" w:space="0" w:color="000000"/>
              <w:right w:val="single" w:sz="2" w:space="0" w:color="000000"/>
            </w:tcBorders>
          </w:tcPr>
          <w:p w:rsidR="007F6DF9" w:rsidRDefault="007F6DF9">
            <w:pPr>
              <w:pStyle w:val="TableParagraph"/>
              <w:rPr>
                <w:rFonts w:ascii="Times New Roman"/>
              </w:rPr>
            </w:pPr>
          </w:p>
        </w:tc>
        <w:tc>
          <w:tcPr>
            <w:tcW w:w="1273" w:type="dxa"/>
            <w:tcBorders>
              <w:top w:val="single" w:sz="2" w:space="0" w:color="000000"/>
              <w:left w:val="single" w:sz="2" w:space="0" w:color="000000"/>
              <w:bottom w:val="single" w:sz="4" w:space="0" w:color="000000"/>
              <w:right w:val="single" w:sz="2" w:space="0" w:color="000000"/>
            </w:tcBorders>
          </w:tcPr>
          <w:p w:rsidR="007F6DF9" w:rsidRDefault="007F6DF9">
            <w:pPr>
              <w:pStyle w:val="TableParagraph"/>
              <w:rPr>
                <w:rFonts w:ascii="Times New Roman"/>
              </w:rPr>
            </w:pPr>
          </w:p>
        </w:tc>
      </w:tr>
      <w:tr w:rsidR="007F6DF9">
        <w:trPr>
          <w:trHeight w:val="892"/>
        </w:trPr>
        <w:tc>
          <w:tcPr>
            <w:tcW w:w="3834" w:type="dxa"/>
            <w:tcBorders>
              <w:top w:val="single" w:sz="4"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hAnsi="Times New Roman"/>
              </w:rPr>
            </w:pPr>
            <w:r>
              <w:rPr>
                <w:rFonts w:ascii="Times New Roman" w:hAnsi="Times New Roman"/>
                <w:spacing w:val="-4"/>
              </w:rPr>
              <w:t>Procuring</w:t>
            </w:r>
            <w:r>
              <w:rPr>
                <w:rFonts w:ascii="Times New Roman" w:hAnsi="Times New Roman"/>
                <w:spacing w:val="-10"/>
              </w:rPr>
              <w:t xml:space="preserve"> </w:t>
            </w:r>
            <w:r>
              <w:rPr>
                <w:rFonts w:ascii="Times New Roman" w:hAnsi="Times New Roman"/>
                <w:spacing w:val="-4"/>
              </w:rPr>
              <w:t>Entity’s</w:t>
            </w:r>
            <w:r>
              <w:rPr>
                <w:rFonts w:ascii="Times New Roman" w:hAnsi="Times New Roman"/>
                <w:spacing w:val="-9"/>
              </w:rPr>
              <w:t xml:space="preserve"> </w:t>
            </w:r>
            <w:r>
              <w:rPr>
                <w:rFonts w:ascii="Times New Roman" w:hAnsi="Times New Roman"/>
                <w:spacing w:val="-4"/>
              </w:rPr>
              <w:t>Name:</w:t>
            </w:r>
          </w:p>
        </w:tc>
        <w:tc>
          <w:tcPr>
            <w:tcW w:w="5449" w:type="dxa"/>
            <w:gridSpan w:val="5"/>
            <w:tcBorders>
              <w:top w:val="single" w:sz="4"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1507"/>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 w:right="1908"/>
              <w:rPr>
                <w:rFonts w:ascii="Times New Roman"/>
              </w:rPr>
            </w:pPr>
            <w:r>
              <w:rPr>
                <w:rFonts w:ascii="Times New Roman"/>
                <w:spacing w:val="-2"/>
              </w:rPr>
              <w:t xml:space="preserve">Address: </w:t>
            </w:r>
            <w:r>
              <w:rPr>
                <w:rFonts w:ascii="Times New Roman"/>
                <w:spacing w:val="-4"/>
              </w:rPr>
              <w:t>Telephone/fax</w:t>
            </w:r>
            <w:r>
              <w:rPr>
                <w:rFonts w:ascii="Times New Roman"/>
                <w:spacing w:val="-10"/>
              </w:rPr>
              <w:t xml:space="preserve"> </w:t>
            </w:r>
            <w:r>
              <w:rPr>
                <w:rFonts w:ascii="Times New Roman"/>
                <w:spacing w:val="-4"/>
              </w:rPr>
              <w:t xml:space="preserve">number </w:t>
            </w:r>
            <w:r>
              <w:rPr>
                <w:rFonts w:ascii="Times New Roman"/>
                <w:spacing w:val="-2"/>
              </w:rPr>
              <w:t>E-mail:</w:t>
            </w: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bl>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A43FBC">
      <w:pPr>
        <w:pStyle w:val="BodyText"/>
        <w:spacing w:before="178"/>
        <w:rPr>
          <w:i/>
          <w:sz w:val="20"/>
        </w:rPr>
      </w:pPr>
      <w:r>
        <w:rPr>
          <w:i/>
          <w:noProof/>
          <w:sz w:val="20"/>
        </w:rPr>
        <mc:AlternateContent>
          <mc:Choice Requires="wps">
            <w:drawing>
              <wp:anchor distT="0" distB="0" distL="0" distR="0" simplePos="0" relativeHeight="251673088" behindDoc="1" locked="0" layoutInCell="1" allowOverlap="1">
                <wp:simplePos x="0" y="0"/>
                <wp:positionH relativeFrom="page">
                  <wp:posOffset>445008</wp:posOffset>
                </wp:positionH>
                <wp:positionV relativeFrom="paragraph">
                  <wp:posOffset>274620</wp:posOffset>
                </wp:positionV>
                <wp:extent cx="1829435" cy="762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DFAA48" id="Graphic 210" o:spid="_x0000_s1026" style="position:absolute;margin-left:35.05pt;margin-top:21.6pt;width:144.05pt;height:.6pt;z-index:-2516433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" path="m1829054,l,,,7619r1829054,l1829054,xe" fillcolor="black" stroked="f">
                <v:path arrowok="t"/>
                <w10:wrap type="topAndBottom" anchorx="page"/>
              </v:shape>
            </w:pict>
          </mc:Fallback>
        </mc:AlternateContent>
      </w:r>
    </w:p>
    <w:p w:rsidR="007F6DF9" w:rsidRDefault="00A43FBC">
      <w:pPr>
        <w:spacing w:before="94"/>
        <w:ind w:left="559"/>
        <w:rPr>
          <w:sz w:val="20"/>
        </w:rPr>
      </w:pPr>
      <w:r>
        <w:rPr>
          <w:sz w:val="20"/>
          <w:vertAlign w:val="superscript"/>
        </w:rPr>
        <w:t>2</w:t>
      </w:r>
      <w:r>
        <w:rPr>
          <w:spacing w:val="-1"/>
          <w:sz w:val="20"/>
        </w:rPr>
        <w:t xml:space="preserve"> </w:t>
      </w:r>
      <w:r>
        <w:rPr>
          <w:sz w:val="20"/>
        </w:rPr>
        <w:t>If</w:t>
      </w:r>
      <w:r>
        <w:rPr>
          <w:spacing w:val="-1"/>
          <w:sz w:val="20"/>
        </w:rPr>
        <w:t xml:space="preserve"> </w:t>
      </w:r>
      <w:r>
        <w:rPr>
          <w:spacing w:val="-2"/>
          <w:sz w:val="20"/>
        </w:rPr>
        <w:t>applicable</w:t>
      </w:r>
    </w:p>
    <w:p w:rsidR="007F6DF9" w:rsidRDefault="007F6DF9">
      <w:pPr>
        <w:rPr>
          <w:sz w:val="20"/>
        </w:rPr>
        <w:sectPr w:rsidR="007F6DF9">
          <w:pgSz w:w="11920" w:h="16850"/>
          <w:pgMar w:top="360" w:right="283" w:bottom="520" w:left="141" w:header="0" w:footer="339" w:gutter="0"/>
          <w:pgNumType w:start="44"/>
          <w:cols w:space="720"/>
        </w:sectPr>
      </w:pPr>
    </w:p>
    <w:p w:rsidR="007F6DF9" w:rsidRDefault="007F6DF9">
      <w:pPr>
        <w:pStyle w:val="BodyText"/>
        <w:rPr>
          <w:sz w:val="20"/>
        </w:rPr>
      </w:pPr>
    </w:p>
    <w:p w:rsidR="007F6DF9" w:rsidRDefault="007F6DF9">
      <w:pPr>
        <w:pStyle w:val="BodyText"/>
        <w:spacing w:before="39" w:after="1"/>
        <w:rPr>
          <w:sz w:val="20"/>
        </w:rPr>
      </w:pPr>
    </w:p>
    <w:tbl>
      <w:tblPr>
        <w:tblW w:w="0" w:type="auto"/>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5401"/>
      </w:tblGrid>
      <w:tr w:rsidR="007F6DF9">
        <w:trPr>
          <w:trHeight w:val="796"/>
        </w:trPr>
        <w:tc>
          <w:tcPr>
            <w:tcW w:w="3872" w:type="dxa"/>
          </w:tcPr>
          <w:p w:rsidR="007F6DF9" w:rsidRDefault="007F6DF9">
            <w:pPr>
              <w:pStyle w:val="TableParagraph"/>
              <w:rPr>
                <w:rFonts w:ascii="Times New Roman"/>
              </w:rPr>
            </w:pPr>
          </w:p>
        </w:tc>
        <w:tc>
          <w:tcPr>
            <w:tcW w:w="5401" w:type="dxa"/>
          </w:tcPr>
          <w:p w:rsidR="007F6DF9" w:rsidRDefault="00A43FBC">
            <w:pPr>
              <w:pStyle w:val="TableParagraph"/>
              <w:spacing w:before="1"/>
              <w:rPr>
                <w:rFonts w:ascii="Times New Roman"/>
                <w:b/>
              </w:rPr>
            </w:pPr>
            <w:r>
              <w:rPr>
                <w:rFonts w:ascii="Times New Roman"/>
                <w:b/>
                <w:spacing w:val="-2"/>
              </w:rPr>
              <w:t>Information</w:t>
            </w:r>
          </w:p>
        </w:tc>
      </w:tr>
      <w:tr w:rsidR="007F6DF9">
        <w:trPr>
          <w:trHeight w:val="873"/>
        </w:trPr>
        <w:tc>
          <w:tcPr>
            <w:tcW w:w="3872" w:type="dxa"/>
          </w:tcPr>
          <w:p w:rsidR="007F6DF9" w:rsidRDefault="00A43FBC">
            <w:pPr>
              <w:pStyle w:val="TableParagraph"/>
              <w:ind w:left="2" w:right="30"/>
              <w:rPr>
                <w:rFonts w:ascii="Times New Roman"/>
              </w:rPr>
            </w:pPr>
            <w:r>
              <w:rPr>
                <w:rFonts w:ascii="Times New Roman"/>
              </w:rPr>
              <w:t xml:space="preserve">Description of the key activities in </w:t>
            </w:r>
            <w:r>
              <w:rPr>
                <w:rFonts w:ascii="Times New Roman"/>
                <w:spacing w:val="-4"/>
              </w:rPr>
              <w:t>accordance</w:t>
            </w:r>
            <w:r>
              <w:rPr>
                <w:rFonts w:ascii="Times New Roman"/>
                <w:spacing w:val="-10"/>
              </w:rPr>
              <w:t xml:space="preserve"> </w:t>
            </w:r>
            <w:r>
              <w:rPr>
                <w:rFonts w:ascii="Times New Roman"/>
                <w:spacing w:val="-4"/>
              </w:rPr>
              <w:t>with</w:t>
            </w:r>
            <w:r>
              <w:rPr>
                <w:rFonts w:ascii="Times New Roman"/>
                <w:spacing w:val="-10"/>
              </w:rPr>
              <w:t xml:space="preserve"> </w:t>
            </w:r>
            <w:r>
              <w:rPr>
                <w:rFonts w:ascii="Times New Roman"/>
                <w:spacing w:val="-4"/>
              </w:rPr>
              <w:t>Sub-Factor</w:t>
            </w:r>
            <w:r>
              <w:rPr>
                <w:rFonts w:ascii="Times New Roman"/>
                <w:spacing w:val="-10"/>
              </w:rPr>
              <w:t xml:space="preserve"> </w:t>
            </w:r>
            <w:r>
              <w:rPr>
                <w:rFonts w:ascii="Times New Roman"/>
                <w:spacing w:val="-4"/>
              </w:rPr>
              <w:t>4.2(b)</w:t>
            </w:r>
            <w:r>
              <w:rPr>
                <w:rFonts w:ascii="Times New Roman"/>
                <w:spacing w:val="-10"/>
              </w:rPr>
              <w:t xml:space="preserve"> </w:t>
            </w:r>
            <w:r>
              <w:rPr>
                <w:rFonts w:ascii="Times New Roman"/>
                <w:spacing w:val="-4"/>
              </w:rPr>
              <w:t>of</w:t>
            </w:r>
            <w:r>
              <w:rPr>
                <w:rFonts w:ascii="Times New Roman"/>
                <w:spacing w:val="-9"/>
              </w:rPr>
              <w:t xml:space="preserve"> </w:t>
            </w:r>
            <w:r>
              <w:rPr>
                <w:rFonts w:ascii="Times New Roman"/>
                <w:spacing w:val="-4"/>
              </w:rPr>
              <w:t>Section III:</w:t>
            </w:r>
          </w:p>
        </w:tc>
        <w:tc>
          <w:tcPr>
            <w:tcW w:w="5401" w:type="dxa"/>
          </w:tcPr>
          <w:p w:rsidR="007F6DF9" w:rsidRDefault="007F6DF9">
            <w:pPr>
              <w:pStyle w:val="TableParagraph"/>
              <w:rPr>
                <w:rFonts w:ascii="Times New Roman"/>
              </w:rPr>
            </w:pPr>
          </w:p>
        </w:tc>
      </w:tr>
      <w:tr w:rsidR="007F6DF9">
        <w:trPr>
          <w:trHeight w:val="705"/>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r w:rsidR="007F6DF9">
        <w:trPr>
          <w:trHeight w:val="705"/>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r w:rsidR="007F6DF9">
        <w:trPr>
          <w:trHeight w:val="700"/>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r w:rsidR="007F6DF9">
        <w:trPr>
          <w:trHeight w:val="706"/>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r w:rsidR="007F6DF9">
        <w:trPr>
          <w:trHeight w:val="810"/>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bl>
    <w:p w:rsidR="007F6DF9" w:rsidRDefault="007F6DF9">
      <w:pPr>
        <w:pStyle w:val="BodyText"/>
      </w:pPr>
    </w:p>
    <w:p w:rsidR="007F6DF9" w:rsidRDefault="007F6DF9">
      <w:pPr>
        <w:pStyle w:val="BodyText"/>
        <w:spacing w:before="19"/>
      </w:pPr>
    </w:p>
    <w:p w:rsidR="007F6DF9" w:rsidRDefault="00A43FBC">
      <w:pPr>
        <w:pStyle w:val="ListParagraph"/>
        <w:numPr>
          <w:ilvl w:val="0"/>
          <w:numId w:val="147"/>
        </w:numPr>
        <w:tabs>
          <w:tab w:val="left" w:pos="764"/>
        </w:tabs>
        <w:ind w:left="764" w:hanging="205"/>
      </w:pPr>
      <w:r>
        <w:rPr>
          <w:spacing w:val="-4"/>
        </w:rPr>
        <w:t>Activity</w:t>
      </w:r>
      <w:r>
        <w:rPr>
          <w:spacing w:val="-8"/>
        </w:rPr>
        <w:t xml:space="preserve"> </w:t>
      </w:r>
      <w:r>
        <w:rPr>
          <w:spacing w:val="-4"/>
        </w:rPr>
        <w:t>No.</w:t>
      </w:r>
      <w:r>
        <w:rPr>
          <w:spacing w:val="-7"/>
        </w:rPr>
        <w:t xml:space="preserve"> </w:t>
      </w:r>
      <w:r>
        <w:rPr>
          <w:spacing w:val="-5"/>
        </w:rPr>
        <w:t>Two</w:t>
      </w:r>
    </w:p>
    <w:p w:rsidR="007F6DF9" w:rsidRDefault="00A43FBC">
      <w:pPr>
        <w:pStyle w:val="ListParagraph"/>
        <w:numPr>
          <w:ilvl w:val="0"/>
          <w:numId w:val="147"/>
        </w:numPr>
        <w:tabs>
          <w:tab w:val="left" w:pos="784"/>
        </w:tabs>
        <w:spacing w:before="2"/>
        <w:ind w:left="784" w:hanging="225"/>
        <w:rPr>
          <w:sz w:val="24"/>
        </w:rPr>
      </w:pPr>
      <w:r>
        <w:rPr>
          <w:spacing w:val="-2"/>
          <w:sz w:val="24"/>
        </w:rPr>
        <w:t>…………………</w:t>
      </w:r>
    </w:p>
    <w:p w:rsidR="007F6DF9" w:rsidRDefault="007F6DF9">
      <w:pPr>
        <w:pStyle w:val="ListParagraph"/>
        <w:rPr>
          <w:sz w:val="24"/>
        </w:rPr>
        <w:sectPr w:rsidR="007F6DF9">
          <w:pgSz w:w="11920" w:h="16850"/>
          <w:pgMar w:top="360" w:right="283" w:bottom="620" w:left="141" w:header="0" w:footer="437" w:gutter="0"/>
          <w:cols w:space="720"/>
        </w:sectPr>
      </w:pPr>
    </w:p>
    <w:p w:rsidR="007F6DF9" w:rsidRDefault="007F6DF9">
      <w:pPr>
        <w:pStyle w:val="BodyText"/>
        <w:spacing w:before="104"/>
        <w:rPr>
          <w:sz w:val="24"/>
        </w:rPr>
      </w:pPr>
    </w:p>
    <w:p w:rsidR="007F6DF9" w:rsidRDefault="00A43FBC">
      <w:pPr>
        <w:ind w:left="703"/>
        <w:rPr>
          <w:b/>
          <w:sz w:val="24"/>
        </w:rPr>
      </w:pPr>
      <w:r>
        <w:rPr>
          <w:b/>
          <w:color w:val="221F1F"/>
          <w:sz w:val="24"/>
          <w:u w:val="single" w:color="221F1F"/>
        </w:rPr>
        <w:t xml:space="preserve">OTHER </w:t>
      </w:r>
      <w:r>
        <w:rPr>
          <w:b/>
          <w:color w:val="221F1F"/>
          <w:spacing w:val="-4"/>
          <w:sz w:val="24"/>
          <w:u w:val="single" w:color="221F1F"/>
        </w:rPr>
        <w:t>FORMS</w:t>
      </w:r>
    </w:p>
    <w:p w:rsidR="007F6DF9" w:rsidRDefault="00A43FBC">
      <w:pPr>
        <w:pStyle w:val="ListParagraph"/>
        <w:numPr>
          <w:ilvl w:val="0"/>
          <w:numId w:val="166"/>
        </w:numPr>
        <w:tabs>
          <w:tab w:val="left" w:pos="1272"/>
        </w:tabs>
        <w:spacing w:before="257"/>
        <w:ind w:left="1272" w:hanging="569"/>
        <w:rPr>
          <w:b/>
          <w:color w:val="221F1F"/>
          <w:sz w:val="24"/>
        </w:rPr>
      </w:pPr>
      <w:r>
        <w:rPr>
          <w:b/>
          <w:color w:val="221F1F"/>
          <w:sz w:val="24"/>
          <w:u w:val="single" w:color="221F1F"/>
        </w:rPr>
        <w:t>FORM</w:t>
      </w:r>
      <w:r>
        <w:rPr>
          <w:b/>
          <w:color w:val="221F1F"/>
          <w:spacing w:val="-2"/>
          <w:sz w:val="24"/>
          <w:u w:val="single" w:color="221F1F"/>
        </w:rPr>
        <w:t xml:space="preserve"> </w:t>
      </w:r>
      <w:r>
        <w:rPr>
          <w:b/>
          <w:color w:val="221F1F"/>
          <w:sz w:val="24"/>
          <w:u w:val="single" w:color="221F1F"/>
        </w:rPr>
        <w:t>OF</w:t>
      </w:r>
      <w:r>
        <w:rPr>
          <w:b/>
          <w:color w:val="221F1F"/>
          <w:spacing w:val="-1"/>
          <w:sz w:val="24"/>
          <w:u w:val="single" w:color="221F1F"/>
        </w:rPr>
        <w:t xml:space="preserve"> </w:t>
      </w:r>
      <w:r>
        <w:rPr>
          <w:b/>
          <w:color w:val="221F1F"/>
          <w:spacing w:val="-2"/>
          <w:sz w:val="24"/>
          <w:u w:val="single" w:color="221F1F"/>
        </w:rPr>
        <w:t>TENDER</w:t>
      </w:r>
    </w:p>
    <w:p w:rsidR="007F6DF9" w:rsidRDefault="00A43FBC">
      <w:pPr>
        <w:pStyle w:val="Heading4"/>
        <w:spacing w:before="179"/>
        <w:ind w:left="307"/>
        <w:jc w:val="center"/>
        <w:rPr>
          <w:b w:val="0"/>
        </w:rPr>
      </w:pPr>
      <w:r>
        <w:rPr>
          <w:color w:val="221F1F"/>
        </w:rPr>
        <w:t>(Amended</w:t>
      </w:r>
      <w:r>
        <w:rPr>
          <w:color w:val="221F1F"/>
          <w:spacing w:val="-9"/>
        </w:rPr>
        <w:t xml:space="preserve"> </w:t>
      </w:r>
      <w:r>
        <w:rPr>
          <w:color w:val="221F1F"/>
        </w:rPr>
        <w:t>and</w:t>
      </w:r>
      <w:r>
        <w:rPr>
          <w:color w:val="221F1F"/>
          <w:spacing w:val="-7"/>
        </w:rPr>
        <w:t xml:space="preserve"> </w:t>
      </w:r>
      <w:r>
        <w:rPr>
          <w:color w:val="221F1F"/>
        </w:rPr>
        <w:t>issued</w:t>
      </w:r>
      <w:r>
        <w:rPr>
          <w:color w:val="221F1F"/>
          <w:spacing w:val="-3"/>
        </w:rPr>
        <w:t xml:space="preserve"> </w:t>
      </w:r>
      <w:r>
        <w:rPr>
          <w:color w:val="221F1F"/>
        </w:rPr>
        <w:t>pursuant</w:t>
      </w:r>
      <w:r>
        <w:rPr>
          <w:color w:val="221F1F"/>
          <w:spacing w:val="-3"/>
        </w:rPr>
        <w:t xml:space="preserve"> </w:t>
      </w:r>
      <w:r>
        <w:rPr>
          <w:color w:val="221F1F"/>
        </w:rPr>
        <w:t>to</w:t>
      </w:r>
      <w:r>
        <w:rPr>
          <w:color w:val="221F1F"/>
          <w:spacing w:val="-2"/>
        </w:rPr>
        <w:t xml:space="preserve"> </w:t>
      </w:r>
      <w:r>
        <w:rPr>
          <w:color w:val="221F1F"/>
        </w:rPr>
        <w:t>PPRA</w:t>
      </w:r>
      <w:r>
        <w:rPr>
          <w:color w:val="221F1F"/>
          <w:spacing w:val="-2"/>
        </w:rPr>
        <w:t xml:space="preserve"> </w:t>
      </w:r>
      <w:r>
        <w:t>CIRCULAR</w:t>
      </w:r>
      <w:r>
        <w:rPr>
          <w:spacing w:val="-6"/>
        </w:rPr>
        <w:t xml:space="preserve"> </w:t>
      </w:r>
      <w:r>
        <w:t>No.</w:t>
      </w:r>
      <w:r>
        <w:rPr>
          <w:spacing w:val="-7"/>
        </w:rPr>
        <w:t xml:space="preserve"> </w:t>
      </w:r>
      <w:r>
        <w:rPr>
          <w:spacing w:val="-2"/>
        </w:rPr>
        <w:t>02/2022</w:t>
      </w:r>
      <w:r>
        <w:rPr>
          <w:b w:val="0"/>
          <w:spacing w:val="-2"/>
        </w:rPr>
        <w:t>)</w:t>
      </w:r>
    </w:p>
    <w:p w:rsidR="007F6DF9" w:rsidRDefault="00A43FBC">
      <w:pPr>
        <w:spacing w:before="258"/>
        <w:ind w:left="559"/>
        <w:jc w:val="both"/>
        <w:rPr>
          <w:b/>
          <w:i/>
        </w:rPr>
      </w:pPr>
      <w:r>
        <w:rPr>
          <w:b/>
          <w:i/>
          <w:color w:val="221F1F"/>
        </w:rPr>
        <w:t>INSTRUCTIONS</w:t>
      </w:r>
      <w:r>
        <w:rPr>
          <w:b/>
          <w:i/>
          <w:color w:val="221F1F"/>
          <w:spacing w:val="-6"/>
        </w:rPr>
        <w:t xml:space="preserve"> </w:t>
      </w:r>
      <w:r>
        <w:rPr>
          <w:b/>
          <w:i/>
          <w:color w:val="221F1F"/>
        </w:rPr>
        <w:t>TO</w:t>
      </w:r>
      <w:r>
        <w:rPr>
          <w:b/>
          <w:i/>
          <w:color w:val="221F1F"/>
          <w:spacing w:val="-6"/>
        </w:rPr>
        <w:t xml:space="preserve"> </w:t>
      </w:r>
      <w:r>
        <w:rPr>
          <w:b/>
          <w:i/>
          <w:color w:val="221F1F"/>
          <w:spacing w:val="-2"/>
        </w:rPr>
        <w:t>TENDERERS</w:t>
      </w:r>
    </w:p>
    <w:p w:rsidR="007F6DF9" w:rsidRDefault="00A43FBC">
      <w:pPr>
        <w:pStyle w:val="ListParagraph"/>
        <w:numPr>
          <w:ilvl w:val="0"/>
          <w:numId w:val="146"/>
        </w:numPr>
        <w:tabs>
          <w:tab w:val="left" w:pos="559"/>
        </w:tabs>
        <w:spacing w:before="239"/>
        <w:ind w:hanging="451"/>
        <w:rPr>
          <w:i/>
        </w:rPr>
      </w:pPr>
      <w:r>
        <w:rPr>
          <w:i/>
          <w:color w:val="221F1F"/>
        </w:rPr>
        <w:t>All</w:t>
      </w:r>
      <w:r>
        <w:rPr>
          <w:i/>
          <w:color w:val="221F1F"/>
          <w:spacing w:val="51"/>
        </w:rPr>
        <w:t xml:space="preserve"> </w:t>
      </w:r>
      <w:r>
        <w:rPr>
          <w:i/>
          <w:color w:val="221F1F"/>
        </w:rPr>
        <w:t>italicized</w:t>
      </w:r>
      <w:r>
        <w:rPr>
          <w:i/>
          <w:color w:val="221F1F"/>
          <w:spacing w:val="49"/>
        </w:rPr>
        <w:t xml:space="preserve"> </w:t>
      </w:r>
      <w:r>
        <w:rPr>
          <w:i/>
          <w:color w:val="221F1F"/>
        </w:rPr>
        <w:t>text</w:t>
      </w:r>
      <w:r>
        <w:rPr>
          <w:i/>
          <w:color w:val="221F1F"/>
          <w:spacing w:val="51"/>
        </w:rPr>
        <w:t xml:space="preserve"> </w:t>
      </w:r>
      <w:r>
        <w:rPr>
          <w:i/>
          <w:color w:val="221F1F"/>
        </w:rPr>
        <w:t>is</w:t>
      </w:r>
      <w:r>
        <w:rPr>
          <w:i/>
          <w:color w:val="221F1F"/>
          <w:spacing w:val="50"/>
        </w:rPr>
        <w:t xml:space="preserve"> </w:t>
      </w:r>
      <w:r>
        <w:rPr>
          <w:i/>
          <w:color w:val="221F1F"/>
        </w:rPr>
        <w:t>to</w:t>
      </w:r>
      <w:r>
        <w:rPr>
          <w:i/>
          <w:color w:val="221F1F"/>
          <w:spacing w:val="53"/>
        </w:rPr>
        <w:t xml:space="preserve"> </w:t>
      </w:r>
      <w:r>
        <w:rPr>
          <w:i/>
          <w:color w:val="221F1F"/>
        </w:rPr>
        <w:t>help</w:t>
      </w:r>
      <w:r>
        <w:rPr>
          <w:i/>
          <w:color w:val="221F1F"/>
          <w:spacing w:val="55"/>
        </w:rPr>
        <w:t xml:space="preserve"> </w:t>
      </w:r>
      <w:r>
        <w:rPr>
          <w:i/>
          <w:color w:val="221F1F"/>
        </w:rPr>
        <w:t>the Tenderer</w:t>
      </w:r>
      <w:r>
        <w:rPr>
          <w:i/>
          <w:color w:val="221F1F"/>
          <w:spacing w:val="50"/>
        </w:rPr>
        <w:t xml:space="preserve"> </w:t>
      </w:r>
      <w:r>
        <w:rPr>
          <w:i/>
          <w:color w:val="221F1F"/>
        </w:rPr>
        <w:t>in</w:t>
      </w:r>
      <w:r>
        <w:rPr>
          <w:i/>
          <w:color w:val="221F1F"/>
          <w:spacing w:val="53"/>
        </w:rPr>
        <w:t xml:space="preserve"> </w:t>
      </w:r>
      <w:r>
        <w:rPr>
          <w:i/>
          <w:color w:val="221F1F"/>
        </w:rPr>
        <w:t>preparing</w:t>
      </w:r>
      <w:r>
        <w:rPr>
          <w:i/>
          <w:color w:val="221F1F"/>
          <w:spacing w:val="49"/>
        </w:rPr>
        <w:t xml:space="preserve"> </w:t>
      </w:r>
      <w:r>
        <w:rPr>
          <w:i/>
          <w:color w:val="221F1F"/>
        </w:rPr>
        <w:t>this</w:t>
      </w:r>
      <w:r>
        <w:rPr>
          <w:i/>
          <w:color w:val="221F1F"/>
          <w:spacing w:val="53"/>
        </w:rPr>
        <w:t xml:space="preserve"> </w:t>
      </w:r>
      <w:r>
        <w:rPr>
          <w:i/>
          <w:color w:val="221F1F"/>
          <w:spacing w:val="-2"/>
        </w:rPr>
        <w:t>form.</w:t>
      </w:r>
    </w:p>
    <w:p w:rsidR="007F6DF9" w:rsidRDefault="00A43FBC">
      <w:pPr>
        <w:pStyle w:val="ListParagraph"/>
        <w:numPr>
          <w:ilvl w:val="0"/>
          <w:numId w:val="146"/>
        </w:numPr>
        <w:tabs>
          <w:tab w:val="left" w:pos="559"/>
        </w:tabs>
        <w:spacing w:before="240" w:line="230" w:lineRule="auto"/>
        <w:ind w:right="251"/>
        <w:rPr>
          <w:i/>
        </w:rPr>
      </w:pPr>
      <w:r>
        <w:rPr>
          <w:i/>
          <w:color w:val="221F1F"/>
        </w:rPr>
        <w:t>The</w:t>
      </w:r>
      <w:r>
        <w:rPr>
          <w:i/>
          <w:color w:val="221F1F"/>
          <w:spacing w:val="40"/>
        </w:rPr>
        <w:t xml:space="preserve"> </w:t>
      </w:r>
      <w:r>
        <w:rPr>
          <w:i/>
          <w:color w:val="221F1F"/>
        </w:rPr>
        <w:t>Tenderer</w:t>
      </w:r>
      <w:r>
        <w:rPr>
          <w:i/>
          <w:color w:val="221F1F"/>
          <w:spacing w:val="40"/>
        </w:rPr>
        <w:t xml:space="preserve"> </w:t>
      </w:r>
      <w:r>
        <w:rPr>
          <w:i/>
          <w:color w:val="221F1F"/>
        </w:rPr>
        <w:t>must</w:t>
      </w:r>
      <w:r>
        <w:rPr>
          <w:i/>
          <w:color w:val="221F1F"/>
          <w:spacing w:val="40"/>
        </w:rPr>
        <w:t xml:space="preserve"> </w:t>
      </w:r>
      <w:r>
        <w:rPr>
          <w:i/>
          <w:color w:val="221F1F"/>
        </w:rPr>
        <w:t>prepare</w:t>
      </w:r>
      <w:r>
        <w:rPr>
          <w:i/>
          <w:color w:val="221F1F"/>
          <w:spacing w:val="40"/>
        </w:rPr>
        <w:t xml:space="preserve"> </w:t>
      </w:r>
      <w:r>
        <w:rPr>
          <w:i/>
          <w:color w:val="221F1F"/>
        </w:rPr>
        <w:t>this</w:t>
      </w:r>
      <w:r>
        <w:rPr>
          <w:i/>
          <w:color w:val="221F1F"/>
          <w:spacing w:val="40"/>
        </w:rPr>
        <w:t xml:space="preserve"> </w:t>
      </w:r>
      <w:r>
        <w:rPr>
          <w:i/>
          <w:color w:val="221F1F"/>
        </w:rPr>
        <w:t>Form</w:t>
      </w:r>
      <w:r>
        <w:rPr>
          <w:i/>
          <w:color w:val="221F1F"/>
          <w:spacing w:val="40"/>
        </w:rPr>
        <w:t xml:space="preserve"> </w:t>
      </w:r>
      <w:r>
        <w:rPr>
          <w:i/>
          <w:color w:val="221F1F"/>
        </w:rPr>
        <w:t>of</w:t>
      </w:r>
      <w:r>
        <w:rPr>
          <w:i/>
          <w:color w:val="221F1F"/>
          <w:spacing w:val="40"/>
        </w:rPr>
        <w:t xml:space="preserve"> </w:t>
      </w:r>
      <w:r>
        <w:rPr>
          <w:i/>
          <w:color w:val="221F1F"/>
        </w:rPr>
        <w:t>Tender</w:t>
      </w:r>
      <w:r>
        <w:rPr>
          <w:i/>
          <w:color w:val="221F1F"/>
          <w:spacing w:val="40"/>
        </w:rPr>
        <w:t xml:space="preserve"> </w:t>
      </w:r>
      <w:r>
        <w:rPr>
          <w:i/>
          <w:color w:val="221F1F"/>
        </w:rPr>
        <w:t>on</w:t>
      </w:r>
      <w:r>
        <w:rPr>
          <w:i/>
          <w:color w:val="221F1F"/>
          <w:spacing w:val="40"/>
        </w:rPr>
        <w:t xml:space="preserve"> </w:t>
      </w:r>
      <w:r>
        <w:rPr>
          <w:i/>
          <w:color w:val="221F1F"/>
        </w:rPr>
        <w:t>stationery</w:t>
      </w:r>
      <w:r>
        <w:rPr>
          <w:i/>
          <w:color w:val="221F1F"/>
          <w:spacing w:val="40"/>
        </w:rPr>
        <w:t xml:space="preserve"> </w:t>
      </w:r>
      <w:r>
        <w:rPr>
          <w:i/>
          <w:color w:val="221F1F"/>
        </w:rPr>
        <w:t>with</w:t>
      </w:r>
      <w:r>
        <w:rPr>
          <w:i/>
          <w:color w:val="221F1F"/>
          <w:spacing w:val="40"/>
        </w:rPr>
        <w:t xml:space="preserve"> </w:t>
      </w:r>
      <w:r>
        <w:rPr>
          <w:i/>
          <w:color w:val="221F1F"/>
        </w:rPr>
        <w:t>its</w:t>
      </w:r>
      <w:r>
        <w:rPr>
          <w:i/>
          <w:color w:val="221F1F"/>
          <w:spacing w:val="40"/>
        </w:rPr>
        <w:t xml:space="preserve"> </w:t>
      </w:r>
      <w:r>
        <w:rPr>
          <w:i/>
          <w:color w:val="221F1F"/>
        </w:rPr>
        <w:t>letterhead</w:t>
      </w:r>
      <w:r>
        <w:rPr>
          <w:i/>
          <w:color w:val="221F1F"/>
          <w:spacing w:val="40"/>
        </w:rPr>
        <w:t xml:space="preserve"> </w:t>
      </w:r>
      <w:r>
        <w:rPr>
          <w:i/>
          <w:color w:val="221F1F"/>
        </w:rPr>
        <w:t>clearly</w:t>
      </w:r>
      <w:r>
        <w:rPr>
          <w:i/>
          <w:color w:val="221F1F"/>
          <w:spacing w:val="40"/>
        </w:rPr>
        <w:t xml:space="preserve"> </w:t>
      </w:r>
      <w:r>
        <w:rPr>
          <w:i/>
          <w:color w:val="221F1F"/>
        </w:rPr>
        <w:t>showing</w:t>
      </w:r>
      <w:r>
        <w:rPr>
          <w:i/>
          <w:color w:val="221F1F"/>
          <w:spacing w:val="40"/>
        </w:rPr>
        <w:t xml:space="preserve"> </w:t>
      </w:r>
      <w:r>
        <w:rPr>
          <w:i/>
          <w:color w:val="221F1F"/>
        </w:rPr>
        <w:t>the</w:t>
      </w:r>
      <w:r>
        <w:rPr>
          <w:i/>
          <w:color w:val="221F1F"/>
          <w:spacing w:val="40"/>
        </w:rPr>
        <w:t xml:space="preserve"> </w:t>
      </w:r>
      <w:r>
        <w:rPr>
          <w:i/>
          <w:color w:val="221F1F"/>
        </w:rPr>
        <w:t>Tenderer's complete</w:t>
      </w:r>
      <w:r>
        <w:rPr>
          <w:i/>
          <w:color w:val="221F1F"/>
          <w:spacing w:val="40"/>
        </w:rPr>
        <w:t xml:space="preserve"> </w:t>
      </w:r>
      <w:r>
        <w:rPr>
          <w:i/>
          <w:color w:val="221F1F"/>
        </w:rPr>
        <w:t>name</w:t>
      </w:r>
      <w:r>
        <w:rPr>
          <w:i/>
          <w:color w:val="221F1F"/>
          <w:spacing w:val="40"/>
        </w:rPr>
        <w:t xml:space="preserve"> </w:t>
      </w:r>
      <w:r>
        <w:rPr>
          <w:i/>
          <w:color w:val="221F1F"/>
        </w:rPr>
        <w:t>and</w:t>
      </w:r>
      <w:r>
        <w:rPr>
          <w:i/>
          <w:color w:val="221F1F"/>
          <w:spacing w:val="40"/>
        </w:rPr>
        <w:t xml:space="preserve"> </w:t>
      </w:r>
      <w:r>
        <w:rPr>
          <w:i/>
          <w:color w:val="221F1F"/>
        </w:rPr>
        <w:t>business</w:t>
      </w:r>
      <w:r>
        <w:rPr>
          <w:i/>
          <w:color w:val="221F1F"/>
          <w:spacing w:val="40"/>
        </w:rPr>
        <w:t xml:space="preserve"> </w:t>
      </w:r>
      <w:r>
        <w:rPr>
          <w:i/>
          <w:color w:val="221F1F"/>
        </w:rPr>
        <w:t>address. Tenderers are reminded that this is a mandatory requirement.</w:t>
      </w:r>
    </w:p>
    <w:p w:rsidR="007F6DF9" w:rsidRDefault="00A43FBC">
      <w:pPr>
        <w:pStyle w:val="ListParagraph"/>
        <w:numPr>
          <w:ilvl w:val="0"/>
          <w:numId w:val="146"/>
        </w:numPr>
        <w:tabs>
          <w:tab w:val="left" w:pos="555"/>
          <w:tab w:val="left" w:pos="559"/>
        </w:tabs>
        <w:spacing w:before="241" w:line="230" w:lineRule="auto"/>
        <w:ind w:right="256"/>
        <w:rPr>
          <w:i/>
        </w:rPr>
      </w:pPr>
      <w:r>
        <w:rPr>
          <w:i/>
          <w:color w:val="221F1F"/>
        </w:rPr>
        <w:t>Tenderer</w:t>
      </w:r>
      <w:r>
        <w:rPr>
          <w:i/>
          <w:color w:val="221F1F"/>
          <w:spacing w:val="40"/>
        </w:rPr>
        <w:t xml:space="preserve"> </w:t>
      </w:r>
      <w:r>
        <w:rPr>
          <w:i/>
          <w:color w:val="221F1F"/>
        </w:rPr>
        <w:t>must</w:t>
      </w:r>
      <w:r>
        <w:rPr>
          <w:i/>
          <w:color w:val="221F1F"/>
          <w:spacing w:val="40"/>
        </w:rPr>
        <w:t xml:space="preserve"> </w:t>
      </w:r>
      <w:r>
        <w:rPr>
          <w:i/>
          <w:color w:val="221F1F"/>
        </w:rPr>
        <w:t>complete</w:t>
      </w:r>
      <w:r>
        <w:rPr>
          <w:i/>
          <w:color w:val="221F1F"/>
          <w:spacing w:val="40"/>
        </w:rPr>
        <w:t xml:space="preserve"> </w:t>
      </w:r>
      <w:r>
        <w:rPr>
          <w:i/>
          <w:color w:val="221F1F"/>
        </w:rPr>
        <w:t>and</w:t>
      </w:r>
      <w:r>
        <w:rPr>
          <w:i/>
          <w:color w:val="221F1F"/>
          <w:spacing w:val="39"/>
        </w:rPr>
        <w:t xml:space="preserve"> </w:t>
      </w:r>
      <w:r>
        <w:rPr>
          <w:i/>
          <w:color w:val="221F1F"/>
        </w:rPr>
        <w:t>sign</w:t>
      </w:r>
      <w:r>
        <w:rPr>
          <w:i/>
          <w:color w:val="221F1F"/>
          <w:spacing w:val="40"/>
        </w:rPr>
        <w:t xml:space="preserve"> </w:t>
      </w:r>
      <w:r>
        <w:rPr>
          <w:i/>
          <w:color w:val="221F1F"/>
        </w:rPr>
        <w:t>CERTIFICATE</w:t>
      </w:r>
      <w:r>
        <w:rPr>
          <w:i/>
          <w:color w:val="221F1F"/>
          <w:spacing w:val="39"/>
        </w:rPr>
        <w:t xml:space="preserve"> </w:t>
      </w:r>
      <w:r>
        <w:rPr>
          <w:i/>
          <w:color w:val="221F1F"/>
        </w:rPr>
        <w:t>OF</w:t>
      </w:r>
      <w:r>
        <w:rPr>
          <w:i/>
          <w:color w:val="221F1F"/>
          <w:spacing w:val="39"/>
        </w:rPr>
        <w:t xml:space="preserve"> </w:t>
      </w:r>
      <w:r>
        <w:rPr>
          <w:i/>
          <w:color w:val="221F1F"/>
        </w:rPr>
        <w:t>INDEPENDENT</w:t>
      </w:r>
      <w:r>
        <w:rPr>
          <w:i/>
          <w:color w:val="221F1F"/>
          <w:spacing w:val="39"/>
        </w:rPr>
        <w:t xml:space="preserve"> </w:t>
      </w:r>
      <w:r>
        <w:rPr>
          <w:i/>
          <w:color w:val="221F1F"/>
        </w:rPr>
        <w:t>TENDER</w:t>
      </w:r>
      <w:r>
        <w:rPr>
          <w:i/>
          <w:color w:val="221F1F"/>
          <w:spacing w:val="38"/>
        </w:rPr>
        <w:t xml:space="preserve"> </w:t>
      </w:r>
      <w:r>
        <w:rPr>
          <w:i/>
          <w:color w:val="221F1F"/>
        </w:rPr>
        <w:t>DETERMINATION</w:t>
      </w:r>
      <w:r>
        <w:rPr>
          <w:i/>
          <w:color w:val="221F1F"/>
          <w:spacing w:val="38"/>
        </w:rPr>
        <w:t xml:space="preserve"> </w:t>
      </w:r>
      <w:r>
        <w:rPr>
          <w:i/>
          <w:color w:val="221F1F"/>
        </w:rPr>
        <w:t>and</w:t>
      </w:r>
      <w:r>
        <w:rPr>
          <w:i/>
          <w:color w:val="221F1F"/>
          <w:spacing w:val="39"/>
        </w:rPr>
        <w:t xml:space="preserve"> </w:t>
      </w:r>
      <w:r>
        <w:rPr>
          <w:i/>
          <w:color w:val="221F1F"/>
        </w:rPr>
        <w:t>the</w:t>
      </w:r>
      <w:r>
        <w:rPr>
          <w:i/>
          <w:color w:val="221F1F"/>
          <w:spacing w:val="40"/>
        </w:rPr>
        <w:t xml:space="preserve"> </w:t>
      </w:r>
      <w:r>
        <w:rPr>
          <w:i/>
          <w:color w:val="221F1F"/>
        </w:rPr>
        <w:t>SELF DECLARATION</w:t>
      </w:r>
      <w:r>
        <w:rPr>
          <w:i/>
          <w:color w:val="221F1F"/>
          <w:spacing w:val="40"/>
        </w:rPr>
        <w:t xml:space="preserve"> </w:t>
      </w:r>
      <w:r>
        <w:rPr>
          <w:i/>
          <w:color w:val="221F1F"/>
        </w:rPr>
        <w:t>FORMS OF</w:t>
      </w:r>
      <w:r>
        <w:rPr>
          <w:i/>
          <w:color w:val="221F1F"/>
          <w:spacing w:val="40"/>
        </w:rPr>
        <w:t xml:space="preserve"> </w:t>
      </w:r>
      <w:r>
        <w:rPr>
          <w:i/>
          <w:color w:val="221F1F"/>
        </w:rPr>
        <w:t>THE</w:t>
      </w:r>
      <w:r>
        <w:rPr>
          <w:i/>
          <w:color w:val="221F1F"/>
          <w:spacing w:val="40"/>
        </w:rPr>
        <w:t xml:space="preserve"> </w:t>
      </w:r>
      <w:r>
        <w:rPr>
          <w:i/>
          <w:color w:val="221F1F"/>
        </w:rPr>
        <w:t>TENDERER</w:t>
      </w:r>
      <w:r>
        <w:rPr>
          <w:i/>
          <w:color w:val="221F1F"/>
          <w:spacing w:val="40"/>
        </w:rPr>
        <w:t xml:space="preserve"> </w:t>
      </w:r>
      <w:r>
        <w:rPr>
          <w:i/>
          <w:color w:val="221F1F"/>
        </w:rPr>
        <w:t>as listed under (xxii) below.</w:t>
      </w:r>
    </w:p>
    <w:p w:rsidR="007F6DF9" w:rsidRDefault="00A43FBC">
      <w:pPr>
        <w:tabs>
          <w:tab w:val="left" w:pos="2541"/>
          <w:tab w:val="left" w:pos="4327"/>
          <w:tab w:val="left" w:pos="8775"/>
        </w:tabs>
        <w:spacing w:before="239" w:line="463" w:lineRule="auto"/>
        <w:ind w:left="559" w:right="251"/>
        <w:jc w:val="both"/>
        <w:rPr>
          <w:i/>
        </w:rPr>
      </w:pPr>
      <w:r>
        <w:rPr>
          <w:b/>
          <w:color w:val="221F1F"/>
        </w:rPr>
        <w:t>Date</w:t>
      </w:r>
      <w:r>
        <w:rPr>
          <w:b/>
          <w:color w:val="221F1F"/>
          <w:spacing w:val="40"/>
        </w:rPr>
        <w:t xml:space="preserve"> </w:t>
      </w:r>
      <w:r>
        <w:rPr>
          <w:b/>
          <w:color w:val="221F1F"/>
        </w:rPr>
        <w:t>of</w:t>
      </w:r>
      <w:r>
        <w:rPr>
          <w:b/>
          <w:color w:val="221F1F"/>
          <w:spacing w:val="40"/>
        </w:rPr>
        <w:t xml:space="preserve"> </w:t>
      </w:r>
      <w:r>
        <w:rPr>
          <w:b/>
          <w:color w:val="221F1F"/>
        </w:rPr>
        <w:t>this</w:t>
      </w:r>
      <w:r>
        <w:rPr>
          <w:b/>
          <w:color w:val="221F1F"/>
          <w:spacing w:val="40"/>
        </w:rPr>
        <w:t xml:space="preserve"> </w:t>
      </w:r>
      <w:r>
        <w:rPr>
          <w:b/>
          <w:color w:val="221F1F"/>
        </w:rPr>
        <w:t>Tender</w:t>
      </w:r>
      <w:r>
        <w:rPr>
          <w:b/>
          <w:color w:val="221F1F"/>
          <w:spacing w:val="40"/>
        </w:rPr>
        <w:t xml:space="preserve"> </w:t>
      </w:r>
      <w:proofErr w:type="gramStart"/>
      <w:r>
        <w:rPr>
          <w:b/>
          <w:color w:val="221F1F"/>
        </w:rPr>
        <w:t>submission</w:t>
      </w:r>
      <w:r>
        <w:rPr>
          <w:color w:val="221F1F"/>
        </w:rPr>
        <w:t>:.............</w:t>
      </w:r>
      <w:proofErr w:type="gramEnd"/>
      <w:r>
        <w:rPr>
          <w:i/>
          <w:color w:val="221F1F"/>
        </w:rPr>
        <w:t>[insert</w:t>
      </w:r>
      <w:r>
        <w:rPr>
          <w:i/>
          <w:color w:val="221F1F"/>
          <w:spacing w:val="40"/>
        </w:rPr>
        <w:t xml:space="preserve"> </w:t>
      </w:r>
      <w:r>
        <w:rPr>
          <w:i/>
          <w:color w:val="221F1F"/>
        </w:rPr>
        <w:t>date</w:t>
      </w:r>
      <w:r>
        <w:rPr>
          <w:i/>
          <w:color w:val="221F1F"/>
          <w:spacing w:val="40"/>
        </w:rPr>
        <w:t xml:space="preserve"> </w:t>
      </w:r>
      <w:r>
        <w:rPr>
          <w:i/>
          <w:color w:val="221F1F"/>
        </w:rPr>
        <w:t>(as</w:t>
      </w:r>
      <w:r>
        <w:rPr>
          <w:i/>
          <w:color w:val="221F1F"/>
          <w:spacing w:val="40"/>
        </w:rPr>
        <w:t xml:space="preserve"> </w:t>
      </w:r>
      <w:r>
        <w:rPr>
          <w:i/>
          <w:color w:val="221F1F"/>
        </w:rPr>
        <w:t>day,</w:t>
      </w:r>
      <w:r>
        <w:rPr>
          <w:i/>
          <w:color w:val="221F1F"/>
          <w:spacing w:val="40"/>
        </w:rPr>
        <w:t xml:space="preserve"> </w:t>
      </w:r>
      <w:r>
        <w:rPr>
          <w:i/>
          <w:color w:val="221F1F"/>
        </w:rPr>
        <w:t>month</w:t>
      </w:r>
      <w:r>
        <w:rPr>
          <w:i/>
          <w:color w:val="221F1F"/>
          <w:spacing w:val="40"/>
        </w:rPr>
        <w:t xml:space="preserve"> </w:t>
      </w:r>
      <w:r>
        <w:rPr>
          <w:i/>
          <w:color w:val="221F1F"/>
        </w:rPr>
        <w:t>and</w:t>
      </w:r>
      <w:r>
        <w:rPr>
          <w:i/>
          <w:color w:val="221F1F"/>
          <w:spacing w:val="40"/>
        </w:rPr>
        <w:t xml:space="preserve"> </w:t>
      </w:r>
      <w:r>
        <w:rPr>
          <w:i/>
          <w:color w:val="221F1F"/>
        </w:rPr>
        <w:t>year)</w:t>
      </w:r>
      <w:r>
        <w:rPr>
          <w:i/>
          <w:color w:val="221F1F"/>
          <w:spacing w:val="40"/>
        </w:rPr>
        <w:t xml:space="preserve"> </w:t>
      </w:r>
      <w:r>
        <w:rPr>
          <w:i/>
          <w:color w:val="221F1F"/>
        </w:rPr>
        <w:t>of</w:t>
      </w:r>
      <w:r>
        <w:rPr>
          <w:i/>
          <w:color w:val="221F1F"/>
          <w:spacing w:val="40"/>
        </w:rPr>
        <w:t xml:space="preserve"> </w:t>
      </w:r>
      <w:r>
        <w:rPr>
          <w:i/>
          <w:color w:val="221F1F"/>
        </w:rPr>
        <w:t>Tender</w:t>
      </w:r>
      <w:r>
        <w:rPr>
          <w:i/>
          <w:color w:val="221F1F"/>
          <w:spacing w:val="40"/>
        </w:rPr>
        <w:t xml:space="preserve"> </w:t>
      </w:r>
      <w:r>
        <w:rPr>
          <w:i/>
          <w:color w:val="221F1F"/>
        </w:rPr>
        <w:t>submission]</w:t>
      </w:r>
      <w:r>
        <w:rPr>
          <w:i/>
          <w:color w:val="221F1F"/>
          <w:spacing w:val="40"/>
        </w:rPr>
        <w:t xml:space="preserve"> </w:t>
      </w:r>
      <w:r>
        <w:rPr>
          <w:b/>
          <w:color w:val="221F1F"/>
        </w:rPr>
        <w:t xml:space="preserve">Tender </w:t>
      </w:r>
      <w:r>
        <w:rPr>
          <w:b/>
          <w:color w:val="221F1F"/>
          <w:spacing w:val="-4"/>
        </w:rPr>
        <w:t>Name</w:t>
      </w:r>
      <w:r>
        <w:rPr>
          <w:b/>
          <w:color w:val="221F1F"/>
        </w:rPr>
        <w:tab/>
      </w:r>
      <w:r>
        <w:rPr>
          <w:b/>
          <w:color w:val="221F1F"/>
          <w:spacing w:val="-4"/>
        </w:rPr>
        <w:t>and</w:t>
      </w:r>
      <w:r>
        <w:rPr>
          <w:b/>
          <w:color w:val="221F1F"/>
        </w:rPr>
        <w:tab/>
      </w:r>
      <w:r>
        <w:rPr>
          <w:b/>
          <w:color w:val="221F1F"/>
          <w:spacing w:val="-2"/>
        </w:rPr>
        <w:t>Identification</w:t>
      </w:r>
      <w:r>
        <w:rPr>
          <w:color w:val="221F1F"/>
          <w:spacing w:val="-2"/>
        </w:rPr>
        <w:t>:....................</w:t>
      </w:r>
      <w:r>
        <w:rPr>
          <w:i/>
          <w:color w:val="221F1F"/>
          <w:spacing w:val="-2"/>
        </w:rPr>
        <w:t>[insert</w:t>
      </w:r>
      <w:r>
        <w:rPr>
          <w:i/>
          <w:color w:val="221F1F"/>
        </w:rPr>
        <w:tab/>
        <w:t xml:space="preserve">identification] </w:t>
      </w:r>
      <w:r>
        <w:rPr>
          <w:b/>
          <w:color w:val="221F1F"/>
        </w:rPr>
        <w:t>Alternative No.</w:t>
      </w:r>
      <w:r>
        <w:rPr>
          <w:color w:val="221F1F"/>
        </w:rPr>
        <w:t>:.............................................</w:t>
      </w:r>
      <w:r>
        <w:rPr>
          <w:i/>
          <w:color w:val="221F1F"/>
        </w:rPr>
        <w:t>[insert</w:t>
      </w:r>
      <w:r>
        <w:rPr>
          <w:i/>
          <w:color w:val="221F1F"/>
          <w:spacing w:val="40"/>
        </w:rPr>
        <w:t xml:space="preserve"> </w:t>
      </w:r>
      <w:r>
        <w:rPr>
          <w:i/>
          <w:color w:val="221F1F"/>
        </w:rPr>
        <w:t>identification</w:t>
      </w:r>
      <w:r>
        <w:rPr>
          <w:i/>
          <w:color w:val="221F1F"/>
          <w:spacing w:val="40"/>
        </w:rPr>
        <w:t xml:space="preserve"> </w:t>
      </w:r>
      <w:r>
        <w:rPr>
          <w:i/>
          <w:color w:val="221F1F"/>
        </w:rPr>
        <w:t>No</w:t>
      </w:r>
      <w:r>
        <w:rPr>
          <w:i/>
          <w:color w:val="221F1F"/>
          <w:spacing w:val="40"/>
        </w:rPr>
        <w:t xml:space="preserve"> </w:t>
      </w:r>
      <w:r>
        <w:rPr>
          <w:i/>
          <w:color w:val="221F1F"/>
        </w:rPr>
        <w:t>if</w:t>
      </w:r>
      <w:r>
        <w:rPr>
          <w:i/>
          <w:color w:val="221F1F"/>
          <w:spacing w:val="40"/>
        </w:rPr>
        <w:t xml:space="preserve"> </w:t>
      </w:r>
      <w:r>
        <w:rPr>
          <w:i/>
          <w:color w:val="221F1F"/>
        </w:rPr>
        <w:t>this</w:t>
      </w:r>
      <w:r>
        <w:rPr>
          <w:i/>
          <w:color w:val="221F1F"/>
          <w:spacing w:val="40"/>
        </w:rPr>
        <w:t xml:space="preserve"> </w:t>
      </w:r>
      <w:r>
        <w:rPr>
          <w:i/>
          <w:color w:val="221F1F"/>
        </w:rPr>
        <w:t>is</w:t>
      </w:r>
      <w:r>
        <w:rPr>
          <w:i/>
          <w:color w:val="221F1F"/>
          <w:spacing w:val="40"/>
        </w:rPr>
        <w:t xml:space="preserve"> </w:t>
      </w:r>
      <w:r>
        <w:rPr>
          <w:i/>
          <w:color w:val="221F1F"/>
        </w:rPr>
        <w:t>a</w:t>
      </w:r>
      <w:r>
        <w:rPr>
          <w:i/>
          <w:color w:val="221F1F"/>
          <w:spacing w:val="40"/>
        </w:rPr>
        <w:t xml:space="preserve"> </w:t>
      </w:r>
      <w:r>
        <w:rPr>
          <w:i/>
          <w:color w:val="221F1F"/>
        </w:rPr>
        <w:t>Tender</w:t>
      </w:r>
      <w:r>
        <w:rPr>
          <w:i/>
          <w:color w:val="221F1F"/>
          <w:spacing w:val="40"/>
        </w:rPr>
        <w:t xml:space="preserve"> </w:t>
      </w:r>
      <w:r>
        <w:rPr>
          <w:i/>
          <w:color w:val="221F1F"/>
        </w:rPr>
        <w:t>for</w:t>
      </w:r>
      <w:r>
        <w:rPr>
          <w:i/>
          <w:color w:val="221F1F"/>
          <w:spacing w:val="40"/>
        </w:rPr>
        <w:t xml:space="preserve"> </w:t>
      </w:r>
      <w:r>
        <w:rPr>
          <w:i/>
          <w:color w:val="221F1F"/>
        </w:rPr>
        <w:t>an</w:t>
      </w:r>
      <w:r>
        <w:rPr>
          <w:i/>
          <w:color w:val="221F1F"/>
          <w:spacing w:val="40"/>
        </w:rPr>
        <w:t xml:space="preserve"> </w:t>
      </w:r>
      <w:r>
        <w:rPr>
          <w:i/>
          <w:color w:val="221F1F"/>
        </w:rPr>
        <w:t>alternative]</w:t>
      </w:r>
    </w:p>
    <w:p w:rsidR="007F6DF9" w:rsidRDefault="00A43FBC">
      <w:pPr>
        <w:tabs>
          <w:tab w:val="left" w:leader="dot" w:pos="2955"/>
        </w:tabs>
        <w:spacing w:line="245" w:lineRule="exact"/>
        <w:ind w:left="559"/>
        <w:jc w:val="both"/>
        <w:rPr>
          <w:i/>
        </w:rPr>
      </w:pPr>
      <w:r>
        <w:rPr>
          <w:color w:val="221F1F"/>
          <w:spacing w:val="-5"/>
        </w:rPr>
        <w:t>To:</w:t>
      </w:r>
      <w:r>
        <w:rPr>
          <w:color w:val="221F1F"/>
        </w:rPr>
        <w:tab/>
      </w:r>
      <w:r>
        <w:rPr>
          <w:i/>
          <w:color w:val="221F1F"/>
        </w:rPr>
        <w:t>[Insert</w:t>
      </w:r>
      <w:r>
        <w:rPr>
          <w:i/>
          <w:color w:val="221F1F"/>
          <w:spacing w:val="-7"/>
        </w:rPr>
        <w:t xml:space="preserve"> </w:t>
      </w:r>
      <w:r>
        <w:rPr>
          <w:i/>
          <w:color w:val="221F1F"/>
        </w:rPr>
        <w:t>complete</w:t>
      </w:r>
      <w:r>
        <w:rPr>
          <w:i/>
          <w:color w:val="221F1F"/>
          <w:spacing w:val="-3"/>
        </w:rPr>
        <w:t xml:space="preserve"> </w:t>
      </w:r>
      <w:r>
        <w:rPr>
          <w:i/>
          <w:color w:val="221F1F"/>
        </w:rPr>
        <w:t>name</w:t>
      </w:r>
      <w:r>
        <w:rPr>
          <w:i/>
          <w:color w:val="221F1F"/>
          <w:spacing w:val="-2"/>
        </w:rPr>
        <w:t xml:space="preserve"> </w:t>
      </w:r>
      <w:r>
        <w:rPr>
          <w:i/>
          <w:color w:val="221F1F"/>
        </w:rPr>
        <w:t>of</w:t>
      </w:r>
      <w:r>
        <w:rPr>
          <w:i/>
          <w:color w:val="221F1F"/>
          <w:spacing w:val="-2"/>
        </w:rPr>
        <w:t xml:space="preserve"> </w:t>
      </w:r>
      <w:r>
        <w:rPr>
          <w:i/>
          <w:color w:val="221F1F"/>
        </w:rPr>
        <w:t xml:space="preserve">Procuring </w:t>
      </w:r>
      <w:r>
        <w:rPr>
          <w:i/>
          <w:color w:val="221F1F"/>
          <w:spacing w:val="-2"/>
        </w:rPr>
        <w:t>Entity]</w:t>
      </w:r>
    </w:p>
    <w:p w:rsidR="007F6DF9" w:rsidRDefault="00A43FBC">
      <w:pPr>
        <w:spacing w:before="236"/>
        <w:ind w:left="703"/>
        <w:rPr>
          <w:b/>
        </w:rPr>
      </w:pPr>
      <w:r>
        <w:rPr>
          <w:b/>
          <w:color w:val="221F1F"/>
        </w:rPr>
        <w:t>Date</w:t>
      </w:r>
      <w:r>
        <w:rPr>
          <w:b/>
          <w:color w:val="221F1F"/>
          <w:spacing w:val="-13"/>
        </w:rPr>
        <w:t xml:space="preserve"> </w:t>
      </w:r>
      <w:r>
        <w:rPr>
          <w:b/>
          <w:color w:val="221F1F"/>
        </w:rPr>
        <w:t>of</w:t>
      </w:r>
      <w:r>
        <w:rPr>
          <w:b/>
          <w:color w:val="221F1F"/>
          <w:spacing w:val="-7"/>
        </w:rPr>
        <w:t xml:space="preserve"> </w:t>
      </w:r>
      <w:proofErr w:type="spellStart"/>
      <w:r>
        <w:rPr>
          <w:b/>
          <w:color w:val="221F1F"/>
        </w:rPr>
        <w:t>thisTender</w:t>
      </w:r>
      <w:proofErr w:type="spellEnd"/>
      <w:r>
        <w:rPr>
          <w:b/>
          <w:color w:val="221F1F"/>
          <w:spacing w:val="-14"/>
        </w:rPr>
        <w:t xml:space="preserve"> </w:t>
      </w:r>
      <w:r>
        <w:rPr>
          <w:b/>
          <w:color w:val="221F1F"/>
        </w:rPr>
        <w:t>submission</w:t>
      </w:r>
      <w:r>
        <w:rPr>
          <w:color w:val="221F1F"/>
        </w:rPr>
        <w:t>:</w:t>
      </w:r>
      <w:r>
        <w:rPr>
          <w:color w:val="221F1F"/>
          <w:spacing w:val="-6"/>
        </w:rPr>
        <w:t xml:space="preserve"> </w:t>
      </w:r>
      <w:r>
        <w:rPr>
          <w:i/>
          <w:color w:val="221F1F"/>
        </w:rPr>
        <w:t>[insert</w:t>
      </w:r>
      <w:r>
        <w:rPr>
          <w:i/>
          <w:color w:val="221F1F"/>
          <w:spacing w:val="-6"/>
        </w:rPr>
        <w:t xml:space="preserve"> </w:t>
      </w:r>
      <w:r>
        <w:rPr>
          <w:i/>
          <w:color w:val="221F1F"/>
        </w:rPr>
        <w:t>date</w:t>
      </w:r>
      <w:r>
        <w:rPr>
          <w:i/>
          <w:color w:val="221F1F"/>
          <w:spacing w:val="-9"/>
        </w:rPr>
        <w:t xml:space="preserve"> </w:t>
      </w:r>
      <w:r>
        <w:rPr>
          <w:i/>
          <w:color w:val="221F1F"/>
        </w:rPr>
        <w:t>(as</w:t>
      </w:r>
      <w:r>
        <w:rPr>
          <w:i/>
          <w:color w:val="221F1F"/>
          <w:spacing w:val="-9"/>
        </w:rPr>
        <w:t xml:space="preserve"> </w:t>
      </w:r>
      <w:r>
        <w:rPr>
          <w:i/>
          <w:color w:val="221F1F"/>
        </w:rPr>
        <w:t>day,</w:t>
      </w:r>
      <w:r>
        <w:rPr>
          <w:i/>
          <w:color w:val="221F1F"/>
          <w:spacing w:val="-14"/>
        </w:rPr>
        <w:t xml:space="preserve"> </w:t>
      </w:r>
      <w:r>
        <w:rPr>
          <w:i/>
          <w:color w:val="221F1F"/>
        </w:rPr>
        <w:t>month</w:t>
      </w:r>
      <w:r>
        <w:rPr>
          <w:i/>
          <w:color w:val="221F1F"/>
          <w:spacing w:val="-7"/>
        </w:rPr>
        <w:t xml:space="preserve"> </w:t>
      </w:r>
      <w:r>
        <w:rPr>
          <w:i/>
          <w:color w:val="221F1F"/>
        </w:rPr>
        <w:t>and</w:t>
      </w:r>
      <w:r>
        <w:rPr>
          <w:i/>
          <w:color w:val="221F1F"/>
          <w:spacing w:val="-9"/>
        </w:rPr>
        <w:t xml:space="preserve"> </w:t>
      </w:r>
      <w:r>
        <w:rPr>
          <w:i/>
          <w:color w:val="221F1F"/>
        </w:rPr>
        <w:t>year)</w:t>
      </w:r>
      <w:r>
        <w:rPr>
          <w:i/>
          <w:color w:val="221F1F"/>
          <w:spacing w:val="-6"/>
        </w:rPr>
        <w:t xml:space="preserve"> </w:t>
      </w:r>
      <w:r>
        <w:rPr>
          <w:i/>
          <w:color w:val="221F1F"/>
        </w:rPr>
        <w:t>of</w:t>
      </w:r>
      <w:r>
        <w:rPr>
          <w:i/>
          <w:color w:val="221F1F"/>
          <w:spacing w:val="-6"/>
        </w:rPr>
        <w:t xml:space="preserve"> </w:t>
      </w:r>
      <w:r>
        <w:rPr>
          <w:i/>
          <w:color w:val="221F1F"/>
        </w:rPr>
        <w:t>Tender</w:t>
      </w:r>
      <w:r>
        <w:rPr>
          <w:i/>
          <w:color w:val="221F1F"/>
          <w:spacing w:val="-13"/>
        </w:rPr>
        <w:t xml:space="preserve"> </w:t>
      </w:r>
      <w:r>
        <w:rPr>
          <w:i/>
          <w:color w:val="221F1F"/>
        </w:rPr>
        <w:t>submission]</w:t>
      </w:r>
      <w:r>
        <w:rPr>
          <w:i/>
          <w:color w:val="221F1F"/>
          <w:spacing w:val="-6"/>
        </w:rPr>
        <w:t xml:space="preserve"> </w:t>
      </w:r>
      <w:r>
        <w:rPr>
          <w:b/>
          <w:color w:val="221F1F"/>
          <w:spacing w:val="-2"/>
        </w:rPr>
        <w:t>Request</w:t>
      </w:r>
    </w:p>
    <w:p w:rsidR="007F6DF9" w:rsidRDefault="00A43FBC">
      <w:pPr>
        <w:spacing w:before="91"/>
        <w:ind w:left="703"/>
        <w:rPr>
          <w:b/>
        </w:rPr>
      </w:pPr>
      <w:r>
        <w:rPr>
          <w:b/>
          <w:color w:val="221F1F"/>
        </w:rPr>
        <w:t>for</w:t>
      </w:r>
      <w:r>
        <w:rPr>
          <w:b/>
          <w:color w:val="221F1F"/>
          <w:spacing w:val="-14"/>
        </w:rPr>
        <w:t xml:space="preserve"> </w:t>
      </w:r>
      <w:r>
        <w:rPr>
          <w:b/>
          <w:color w:val="221F1F"/>
        </w:rPr>
        <w:t>Tender</w:t>
      </w:r>
      <w:r>
        <w:rPr>
          <w:b/>
          <w:color w:val="221F1F"/>
          <w:spacing w:val="-14"/>
        </w:rPr>
        <w:t xml:space="preserve"> </w:t>
      </w:r>
      <w:r>
        <w:rPr>
          <w:b/>
          <w:color w:val="221F1F"/>
        </w:rPr>
        <w:t>No.:</w:t>
      </w:r>
      <w:r>
        <w:rPr>
          <w:b/>
          <w:color w:val="221F1F"/>
          <w:spacing w:val="41"/>
        </w:rPr>
        <w:t xml:space="preserve"> </w:t>
      </w:r>
      <w:r>
        <w:rPr>
          <w:i/>
          <w:color w:val="221F1F"/>
        </w:rPr>
        <w:t>[insert</w:t>
      </w:r>
      <w:r>
        <w:rPr>
          <w:i/>
          <w:color w:val="221F1F"/>
          <w:spacing w:val="-7"/>
        </w:rPr>
        <w:t xml:space="preserve"> </w:t>
      </w:r>
      <w:r>
        <w:rPr>
          <w:i/>
          <w:color w:val="221F1F"/>
        </w:rPr>
        <w:t>identification]</w:t>
      </w:r>
      <w:r>
        <w:rPr>
          <w:i/>
          <w:color w:val="221F1F"/>
          <w:spacing w:val="-7"/>
        </w:rPr>
        <w:t xml:space="preserve"> </w:t>
      </w:r>
      <w:r>
        <w:rPr>
          <w:b/>
          <w:color w:val="221F1F"/>
        </w:rPr>
        <w:t>Name</w:t>
      </w:r>
      <w:r>
        <w:rPr>
          <w:b/>
          <w:color w:val="221F1F"/>
          <w:spacing w:val="-7"/>
        </w:rPr>
        <w:t xml:space="preserve"> </w:t>
      </w:r>
      <w:r>
        <w:rPr>
          <w:b/>
          <w:color w:val="221F1F"/>
        </w:rPr>
        <w:t>and</w:t>
      </w:r>
      <w:r>
        <w:rPr>
          <w:b/>
          <w:color w:val="221F1F"/>
          <w:spacing w:val="-8"/>
        </w:rPr>
        <w:t xml:space="preserve"> </w:t>
      </w:r>
      <w:r>
        <w:rPr>
          <w:b/>
          <w:color w:val="221F1F"/>
        </w:rPr>
        <w:t>description</w:t>
      </w:r>
      <w:r>
        <w:rPr>
          <w:b/>
          <w:color w:val="221F1F"/>
          <w:spacing w:val="-8"/>
        </w:rPr>
        <w:t xml:space="preserve"> </w:t>
      </w:r>
      <w:r>
        <w:rPr>
          <w:b/>
          <w:color w:val="221F1F"/>
        </w:rPr>
        <w:t>of</w:t>
      </w:r>
      <w:r>
        <w:rPr>
          <w:b/>
          <w:color w:val="221F1F"/>
          <w:spacing w:val="-6"/>
        </w:rPr>
        <w:t xml:space="preserve"> </w:t>
      </w:r>
      <w:r>
        <w:rPr>
          <w:b/>
          <w:color w:val="221F1F"/>
        </w:rPr>
        <w:t>Tender</w:t>
      </w:r>
      <w:r>
        <w:rPr>
          <w:b/>
          <w:color w:val="221F1F"/>
          <w:spacing w:val="-14"/>
        </w:rPr>
        <w:t xml:space="preserve"> </w:t>
      </w:r>
      <w:r>
        <w:rPr>
          <w:i/>
          <w:color w:val="221F1F"/>
        </w:rPr>
        <w:t>[Insert</w:t>
      </w:r>
      <w:r>
        <w:rPr>
          <w:i/>
          <w:color w:val="221F1F"/>
          <w:spacing w:val="-7"/>
        </w:rPr>
        <w:t xml:space="preserve"> </w:t>
      </w:r>
      <w:r>
        <w:rPr>
          <w:i/>
          <w:color w:val="221F1F"/>
        </w:rPr>
        <w:t>as</w:t>
      </w:r>
      <w:r>
        <w:rPr>
          <w:i/>
          <w:color w:val="221F1F"/>
          <w:spacing w:val="-8"/>
        </w:rPr>
        <w:t xml:space="preserve"> </w:t>
      </w:r>
      <w:r>
        <w:rPr>
          <w:i/>
          <w:color w:val="221F1F"/>
        </w:rPr>
        <w:t>per</w:t>
      </w:r>
      <w:r>
        <w:rPr>
          <w:i/>
          <w:color w:val="221F1F"/>
          <w:spacing w:val="-10"/>
        </w:rPr>
        <w:t xml:space="preserve"> </w:t>
      </w:r>
      <w:r>
        <w:rPr>
          <w:i/>
          <w:color w:val="221F1F"/>
        </w:rPr>
        <w:t>ITT)</w:t>
      </w:r>
      <w:r>
        <w:rPr>
          <w:i/>
          <w:color w:val="221F1F"/>
          <w:spacing w:val="-6"/>
        </w:rPr>
        <w:t xml:space="preserve"> </w:t>
      </w:r>
      <w:r>
        <w:rPr>
          <w:b/>
          <w:color w:val="221F1F"/>
        </w:rPr>
        <w:t>Alternative</w:t>
      </w:r>
      <w:r>
        <w:rPr>
          <w:b/>
          <w:color w:val="221F1F"/>
          <w:spacing w:val="-8"/>
        </w:rPr>
        <w:t xml:space="preserve"> </w:t>
      </w:r>
      <w:r>
        <w:rPr>
          <w:b/>
          <w:color w:val="221F1F"/>
          <w:spacing w:val="-4"/>
        </w:rPr>
        <w:t>No.:</w:t>
      </w:r>
    </w:p>
    <w:p w:rsidR="007F6DF9" w:rsidRDefault="00A43FBC">
      <w:pPr>
        <w:spacing w:before="87"/>
        <w:ind w:left="703"/>
        <w:rPr>
          <w:i/>
        </w:rPr>
      </w:pPr>
      <w:r>
        <w:rPr>
          <w:i/>
          <w:color w:val="221F1F"/>
        </w:rPr>
        <w:t>[insert</w:t>
      </w:r>
      <w:r>
        <w:rPr>
          <w:i/>
          <w:color w:val="221F1F"/>
          <w:spacing w:val="-5"/>
        </w:rPr>
        <w:t xml:space="preserve"> </w:t>
      </w:r>
      <w:r>
        <w:rPr>
          <w:i/>
          <w:color w:val="221F1F"/>
        </w:rPr>
        <w:t>identification</w:t>
      </w:r>
      <w:r>
        <w:rPr>
          <w:i/>
          <w:color w:val="221F1F"/>
          <w:spacing w:val="-6"/>
        </w:rPr>
        <w:t xml:space="preserve"> </w:t>
      </w:r>
      <w:r>
        <w:rPr>
          <w:i/>
          <w:color w:val="221F1F"/>
        </w:rPr>
        <w:t>No</w:t>
      </w:r>
      <w:r>
        <w:rPr>
          <w:i/>
          <w:color w:val="221F1F"/>
          <w:spacing w:val="-9"/>
        </w:rPr>
        <w:t xml:space="preserve"> </w:t>
      </w:r>
      <w:r>
        <w:rPr>
          <w:i/>
          <w:color w:val="221F1F"/>
        </w:rPr>
        <w:t>if</w:t>
      </w:r>
      <w:r>
        <w:rPr>
          <w:i/>
          <w:color w:val="221F1F"/>
          <w:spacing w:val="-7"/>
        </w:rPr>
        <w:t xml:space="preserve"> </w:t>
      </w:r>
      <w:r>
        <w:rPr>
          <w:i/>
          <w:color w:val="221F1F"/>
        </w:rPr>
        <w:t>this</w:t>
      </w:r>
      <w:r>
        <w:rPr>
          <w:i/>
          <w:color w:val="221F1F"/>
          <w:spacing w:val="-8"/>
        </w:rPr>
        <w:t xml:space="preserve"> </w:t>
      </w:r>
      <w:r>
        <w:rPr>
          <w:i/>
          <w:color w:val="221F1F"/>
        </w:rPr>
        <w:t>is</w:t>
      </w:r>
      <w:r>
        <w:rPr>
          <w:i/>
          <w:color w:val="221F1F"/>
          <w:spacing w:val="-6"/>
        </w:rPr>
        <w:t xml:space="preserve"> </w:t>
      </w:r>
      <w:r>
        <w:rPr>
          <w:i/>
          <w:color w:val="221F1F"/>
        </w:rPr>
        <w:t>a</w:t>
      </w:r>
      <w:r>
        <w:rPr>
          <w:i/>
          <w:color w:val="221F1F"/>
          <w:spacing w:val="-5"/>
        </w:rPr>
        <w:t xml:space="preserve"> </w:t>
      </w:r>
      <w:r>
        <w:rPr>
          <w:i/>
          <w:color w:val="221F1F"/>
        </w:rPr>
        <w:t>Tender</w:t>
      </w:r>
      <w:r>
        <w:rPr>
          <w:i/>
          <w:color w:val="221F1F"/>
          <w:spacing w:val="-13"/>
        </w:rPr>
        <w:t xml:space="preserve"> </w:t>
      </w:r>
      <w:r>
        <w:rPr>
          <w:i/>
          <w:color w:val="221F1F"/>
        </w:rPr>
        <w:t>for</w:t>
      </w:r>
      <w:r>
        <w:rPr>
          <w:i/>
          <w:color w:val="221F1F"/>
          <w:spacing w:val="-8"/>
        </w:rPr>
        <w:t xml:space="preserve"> </w:t>
      </w:r>
      <w:r>
        <w:rPr>
          <w:i/>
          <w:color w:val="221F1F"/>
        </w:rPr>
        <w:t>an</w:t>
      </w:r>
      <w:r>
        <w:rPr>
          <w:i/>
          <w:color w:val="221F1F"/>
          <w:spacing w:val="-6"/>
        </w:rPr>
        <w:t xml:space="preserve"> </w:t>
      </w:r>
      <w:r>
        <w:rPr>
          <w:i/>
          <w:color w:val="221F1F"/>
          <w:spacing w:val="-2"/>
        </w:rPr>
        <w:t>alternative]</w:t>
      </w:r>
    </w:p>
    <w:p w:rsidR="007F6DF9" w:rsidRDefault="00A43FBC">
      <w:pPr>
        <w:spacing w:before="232"/>
        <w:ind w:left="703"/>
        <w:rPr>
          <w:i/>
        </w:rPr>
      </w:pPr>
      <w:r>
        <w:rPr>
          <w:b/>
          <w:color w:val="221F1F"/>
        </w:rPr>
        <w:t>To:</w:t>
      </w:r>
      <w:r>
        <w:rPr>
          <w:b/>
          <w:color w:val="221F1F"/>
          <w:spacing w:val="-2"/>
        </w:rPr>
        <w:t xml:space="preserve"> </w:t>
      </w:r>
      <w:r>
        <w:rPr>
          <w:i/>
          <w:color w:val="221F1F"/>
        </w:rPr>
        <w:t>[insert</w:t>
      </w:r>
      <w:r>
        <w:rPr>
          <w:i/>
          <w:color w:val="221F1F"/>
          <w:spacing w:val="-2"/>
        </w:rPr>
        <w:t xml:space="preserve"> </w:t>
      </w:r>
      <w:r>
        <w:rPr>
          <w:i/>
          <w:color w:val="221F1F"/>
        </w:rPr>
        <w:t>complete</w:t>
      </w:r>
      <w:r>
        <w:rPr>
          <w:i/>
          <w:color w:val="221F1F"/>
          <w:spacing w:val="-5"/>
        </w:rPr>
        <w:t xml:space="preserve"> </w:t>
      </w:r>
      <w:r>
        <w:rPr>
          <w:i/>
          <w:color w:val="221F1F"/>
        </w:rPr>
        <w:t>name</w:t>
      </w:r>
      <w:r>
        <w:rPr>
          <w:i/>
          <w:color w:val="221F1F"/>
          <w:spacing w:val="-5"/>
        </w:rPr>
        <w:t xml:space="preserve"> </w:t>
      </w:r>
      <w:r>
        <w:rPr>
          <w:i/>
          <w:color w:val="221F1F"/>
        </w:rPr>
        <w:t>of</w:t>
      </w:r>
      <w:r>
        <w:rPr>
          <w:i/>
          <w:color w:val="221F1F"/>
          <w:spacing w:val="-2"/>
        </w:rPr>
        <w:t xml:space="preserve"> </w:t>
      </w:r>
      <w:r>
        <w:rPr>
          <w:i/>
          <w:color w:val="221F1F"/>
        </w:rPr>
        <w:t>Procuring</w:t>
      </w:r>
      <w:r>
        <w:rPr>
          <w:i/>
          <w:color w:val="221F1F"/>
          <w:spacing w:val="-2"/>
        </w:rPr>
        <w:t xml:space="preserve"> Entity]</w:t>
      </w:r>
    </w:p>
    <w:p w:rsidR="007F6DF9" w:rsidRDefault="00A43FBC">
      <w:pPr>
        <w:pStyle w:val="BodyText"/>
        <w:spacing w:before="235"/>
        <w:ind w:left="703"/>
      </w:pPr>
      <w:r>
        <w:rPr>
          <w:color w:val="221F1F"/>
        </w:rPr>
        <w:t>Dear</w:t>
      </w:r>
      <w:r>
        <w:rPr>
          <w:color w:val="221F1F"/>
          <w:spacing w:val="-2"/>
        </w:rPr>
        <w:t xml:space="preserve"> Sirs,</w:t>
      </w:r>
    </w:p>
    <w:p w:rsidR="007F6DF9" w:rsidRDefault="007F6DF9">
      <w:pPr>
        <w:pStyle w:val="BodyText"/>
      </w:pPr>
    </w:p>
    <w:p w:rsidR="007F6DF9" w:rsidRDefault="00A43FBC">
      <w:pPr>
        <w:pStyle w:val="ListParagraph"/>
        <w:numPr>
          <w:ilvl w:val="1"/>
          <w:numId w:val="146"/>
        </w:numPr>
        <w:tabs>
          <w:tab w:val="left" w:pos="1133"/>
          <w:tab w:val="left" w:pos="1188"/>
          <w:tab w:val="left" w:pos="9609"/>
          <w:tab w:val="left" w:pos="10315"/>
        </w:tabs>
        <w:ind w:right="324" w:hanging="431"/>
        <w:rPr>
          <w:i/>
          <w:color w:val="221F1F"/>
        </w:rPr>
      </w:pPr>
      <w:r>
        <w:t>In</w:t>
      </w:r>
      <w:r>
        <w:rPr>
          <w:spacing w:val="40"/>
        </w:rPr>
        <w:t xml:space="preserve"> </w:t>
      </w:r>
      <w:r>
        <w:t>accordance</w:t>
      </w:r>
      <w:r>
        <w:rPr>
          <w:spacing w:val="-2"/>
        </w:rPr>
        <w:t xml:space="preserve"> </w:t>
      </w:r>
      <w:r>
        <w:t>with</w:t>
      </w:r>
      <w:r>
        <w:rPr>
          <w:spacing w:val="-2"/>
        </w:rPr>
        <w:t xml:space="preserve"> </w:t>
      </w:r>
      <w:r>
        <w:t>the</w:t>
      </w:r>
      <w:r>
        <w:rPr>
          <w:spacing w:val="-2"/>
        </w:rPr>
        <w:t xml:space="preserve"> </w:t>
      </w:r>
      <w:r>
        <w:t>Conditions</w:t>
      </w:r>
      <w:r>
        <w:rPr>
          <w:spacing w:val="-2"/>
        </w:rPr>
        <w:t xml:space="preserve"> </w:t>
      </w:r>
      <w:r>
        <w:t>of</w:t>
      </w:r>
      <w:r>
        <w:rPr>
          <w:spacing w:val="-1"/>
        </w:rPr>
        <w:t xml:space="preserve"> </w:t>
      </w:r>
      <w:r>
        <w:t>Contract,</w:t>
      </w:r>
      <w:r>
        <w:rPr>
          <w:spacing w:val="-2"/>
        </w:rPr>
        <w:t xml:space="preserve"> </w:t>
      </w:r>
      <w:r>
        <w:t>Specifications,</w:t>
      </w:r>
      <w:r>
        <w:rPr>
          <w:spacing w:val="-2"/>
        </w:rPr>
        <w:t xml:space="preserve"> </w:t>
      </w:r>
      <w:r>
        <w:t>Drawings</w:t>
      </w:r>
      <w:r>
        <w:rPr>
          <w:spacing w:val="-2"/>
        </w:rPr>
        <w:t xml:space="preserve"> </w:t>
      </w:r>
      <w:r>
        <w:t>and</w:t>
      </w:r>
      <w:r>
        <w:rPr>
          <w:spacing w:val="-2"/>
        </w:rPr>
        <w:t xml:space="preserve"> </w:t>
      </w:r>
      <w:r>
        <w:t>Bills</w:t>
      </w:r>
      <w:r>
        <w:rPr>
          <w:spacing w:val="-2"/>
        </w:rPr>
        <w:t xml:space="preserve"> </w:t>
      </w:r>
      <w:r>
        <w:t>of</w:t>
      </w:r>
      <w:r>
        <w:rPr>
          <w:spacing w:val="-1"/>
        </w:rPr>
        <w:t xml:space="preserve"> </w:t>
      </w:r>
      <w:r>
        <w:t>Quantities</w:t>
      </w:r>
      <w:r>
        <w:rPr>
          <w:spacing w:val="-4"/>
        </w:rPr>
        <w:t xml:space="preserve"> </w:t>
      </w:r>
      <w:r>
        <w:t>for</w:t>
      </w:r>
      <w:r>
        <w:rPr>
          <w:spacing w:val="-4"/>
        </w:rPr>
        <w:t xml:space="preserve"> </w:t>
      </w:r>
      <w:r>
        <w:t>the</w:t>
      </w:r>
      <w:r>
        <w:rPr>
          <w:spacing w:val="-2"/>
        </w:rPr>
        <w:t xml:space="preserve"> </w:t>
      </w:r>
      <w:r>
        <w:t>execution of the above named Works, we, the undersigned offer to construct and complete the Works and remedy any defects therein for the sum</w:t>
      </w:r>
      <w:r>
        <w:rPr>
          <w:vertAlign w:val="superscript"/>
        </w:rPr>
        <w:t>3</w:t>
      </w:r>
      <w:r>
        <w:t xml:space="preserve"> of Kenya Shillings [</w:t>
      </w:r>
      <w:r>
        <w:rPr>
          <w:i/>
        </w:rPr>
        <w:t xml:space="preserve">[Amount in figures] </w:t>
      </w:r>
      <w:r>
        <w:rPr>
          <w:i/>
          <w:u w:val="single"/>
        </w:rPr>
        <w:tab/>
      </w:r>
      <w:r>
        <w:t xml:space="preserve">Kenya Shillings </w:t>
      </w:r>
      <w:r>
        <w:rPr>
          <w:i/>
        </w:rPr>
        <w:t>[amount in words]</w:t>
      </w:r>
      <w:r>
        <w:rPr>
          <w:i/>
          <w:u w:val="single"/>
        </w:rPr>
        <w:tab/>
      </w:r>
      <w:r>
        <w:rPr>
          <w:i/>
          <w:u w:val="single"/>
        </w:rPr>
        <w:tab/>
      </w:r>
    </w:p>
    <w:p w:rsidR="007F6DF9" w:rsidRDefault="007F6DF9">
      <w:pPr>
        <w:pStyle w:val="BodyText"/>
        <w:rPr>
          <w:i/>
        </w:rPr>
      </w:pPr>
    </w:p>
    <w:p w:rsidR="007F6DF9" w:rsidRDefault="00A43FBC">
      <w:pPr>
        <w:tabs>
          <w:tab w:val="left" w:pos="5959"/>
          <w:tab w:val="left" w:pos="8619"/>
        </w:tabs>
        <w:ind w:left="1133" w:right="1230"/>
      </w:pPr>
      <w:r>
        <w:t>The</w:t>
      </w:r>
      <w:r>
        <w:rPr>
          <w:spacing w:val="-2"/>
        </w:rPr>
        <w:t xml:space="preserve"> </w:t>
      </w:r>
      <w:r>
        <w:t>above</w:t>
      </w:r>
      <w:r>
        <w:rPr>
          <w:spacing w:val="-2"/>
        </w:rPr>
        <w:t xml:space="preserve"> </w:t>
      </w:r>
      <w:r>
        <w:t>amount</w:t>
      </w:r>
      <w:r>
        <w:rPr>
          <w:spacing w:val="-1"/>
        </w:rPr>
        <w:t xml:space="preserve"> </w:t>
      </w:r>
      <w:r>
        <w:t>includes</w:t>
      </w:r>
      <w:r>
        <w:rPr>
          <w:spacing w:val="-4"/>
        </w:rPr>
        <w:t xml:space="preserve"> </w:t>
      </w:r>
      <w:r>
        <w:t>foreign</w:t>
      </w:r>
      <w:r>
        <w:rPr>
          <w:spacing w:val="-5"/>
        </w:rPr>
        <w:t xml:space="preserve"> </w:t>
      </w:r>
      <w:r>
        <w:t>currency</w:t>
      </w:r>
      <w:r>
        <w:rPr>
          <w:vertAlign w:val="superscript"/>
        </w:rPr>
        <w:t>4</w:t>
      </w:r>
      <w:r>
        <w:rPr>
          <w:spacing w:val="-2"/>
        </w:rPr>
        <w:t xml:space="preserve"> </w:t>
      </w:r>
      <w:r>
        <w:t>amount</w:t>
      </w:r>
      <w:r>
        <w:rPr>
          <w:spacing w:val="-1"/>
        </w:rPr>
        <w:t xml:space="preserve"> </w:t>
      </w:r>
      <w:r>
        <w:t>(s)</w:t>
      </w:r>
      <w:r>
        <w:rPr>
          <w:spacing w:val="-2"/>
        </w:rPr>
        <w:t xml:space="preserve"> </w:t>
      </w:r>
      <w:r>
        <w:t>of</w:t>
      </w:r>
      <w:r>
        <w:rPr>
          <w:spacing w:val="-4"/>
        </w:rPr>
        <w:t xml:space="preserve"> </w:t>
      </w:r>
      <w:r>
        <w:t>[</w:t>
      </w:r>
      <w:r>
        <w:rPr>
          <w:i/>
        </w:rPr>
        <w:t>state</w:t>
      </w:r>
      <w:r>
        <w:rPr>
          <w:i/>
          <w:spacing w:val="-2"/>
        </w:rPr>
        <w:t xml:space="preserve"> </w:t>
      </w:r>
      <w:r>
        <w:rPr>
          <w:i/>
        </w:rPr>
        <w:t>figure</w:t>
      </w:r>
      <w:r>
        <w:rPr>
          <w:i/>
          <w:spacing w:val="-2"/>
        </w:rPr>
        <w:t xml:space="preserve"> </w:t>
      </w:r>
      <w:r>
        <w:rPr>
          <w:i/>
        </w:rPr>
        <w:t>or</w:t>
      </w:r>
      <w:r>
        <w:rPr>
          <w:i/>
          <w:spacing w:val="-4"/>
        </w:rPr>
        <w:t xml:space="preserve"> </w:t>
      </w:r>
      <w:r>
        <w:rPr>
          <w:i/>
        </w:rPr>
        <w:t>a</w:t>
      </w:r>
      <w:r>
        <w:rPr>
          <w:i/>
          <w:spacing w:val="-2"/>
        </w:rPr>
        <w:t xml:space="preserve"> </w:t>
      </w:r>
      <w:r>
        <w:rPr>
          <w:i/>
        </w:rPr>
        <w:t>percentage</w:t>
      </w:r>
      <w:r>
        <w:rPr>
          <w:i/>
          <w:spacing w:val="-4"/>
        </w:rPr>
        <w:t xml:space="preserve"> </w:t>
      </w:r>
      <w:r>
        <w:rPr>
          <w:i/>
        </w:rPr>
        <w:t>and</w:t>
      </w:r>
      <w:r>
        <w:rPr>
          <w:i/>
          <w:spacing w:val="-2"/>
        </w:rPr>
        <w:t xml:space="preserve"> </w:t>
      </w:r>
      <w:r>
        <w:rPr>
          <w:i/>
        </w:rPr>
        <w:t>currency</w:t>
      </w:r>
      <w:r>
        <w:t xml:space="preserve">] </w:t>
      </w:r>
      <w:r>
        <w:rPr>
          <w:spacing w:val="-2"/>
        </w:rPr>
        <w:t>[figures]</w:t>
      </w:r>
      <w:r>
        <w:rPr>
          <w:u w:val="single"/>
        </w:rPr>
        <w:tab/>
      </w:r>
      <w:r>
        <w:t xml:space="preserve">[words] </w:t>
      </w:r>
      <w:r>
        <w:rPr>
          <w:u w:val="single"/>
        </w:rPr>
        <w:tab/>
      </w:r>
    </w:p>
    <w:p w:rsidR="007F6DF9" w:rsidRDefault="00A43FBC">
      <w:pPr>
        <w:pStyle w:val="BodyText"/>
        <w:spacing w:before="7"/>
        <w:rPr>
          <w:sz w:val="19"/>
        </w:rPr>
      </w:pPr>
      <w:r>
        <w:rPr>
          <w:noProof/>
          <w:sz w:val="19"/>
        </w:rPr>
        <mc:AlternateContent>
          <mc:Choice Requires="wps">
            <w:drawing>
              <wp:anchor distT="0" distB="0" distL="0" distR="0" simplePos="0" relativeHeight="251674112" behindDoc="1" locked="0" layoutInCell="1" allowOverlap="1">
                <wp:simplePos x="0" y="0"/>
                <wp:positionH relativeFrom="page">
                  <wp:posOffset>809548</wp:posOffset>
                </wp:positionH>
                <wp:positionV relativeFrom="paragraph">
                  <wp:posOffset>158479</wp:posOffset>
                </wp:positionV>
                <wp:extent cx="537845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1270"/>
                        </a:xfrm>
                        <a:custGeom>
                          <a:avLst/>
                          <a:gdLst/>
                          <a:ahLst/>
                          <a:cxnLst/>
                          <a:rect l="l" t="t" r="r" b="b"/>
                          <a:pathLst>
                            <a:path w="5378450">
                              <a:moveTo>
                                <a:pt x="0" y="0"/>
                              </a:moveTo>
                              <a:lnTo>
                                <a:pt x="5377958"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87EEF1" id="Graphic 218" o:spid="_x0000_s1026" style="position:absolute;margin-left:63.75pt;margin-top:12.5pt;width:423.5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5378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" path="m,l5377958,e" filled="f" strokeweight=".15808mm">
                <v:path arrowok="t"/>
                <w10:wrap type="topAndBottom" anchorx="page"/>
              </v:shape>
            </w:pict>
          </mc:Fallback>
        </mc:AlternateContent>
      </w:r>
    </w:p>
    <w:p w:rsidR="007F6DF9" w:rsidRDefault="007F6DF9">
      <w:pPr>
        <w:pStyle w:val="BodyText"/>
      </w:pPr>
    </w:p>
    <w:p w:rsidR="007F6DF9" w:rsidRDefault="00A43FBC">
      <w:pPr>
        <w:pStyle w:val="ListParagraph"/>
        <w:numPr>
          <w:ilvl w:val="1"/>
          <w:numId w:val="146"/>
        </w:numPr>
        <w:tabs>
          <w:tab w:val="left" w:pos="1133"/>
        </w:tabs>
        <w:ind w:right="529" w:hanging="431"/>
        <w:rPr>
          <w:color w:val="221F1F"/>
        </w:rPr>
      </w:pPr>
      <w:r>
        <w:t>We undertake, if our tender is accepted, to commence the Works as</w:t>
      </w:r>
      <w:r>
        <w:rPr>
          <w:spacing w:val="40"/>
        </w:rPr>
        <w:t xml:space="preserve"> </w:t>
      </w:r>
      <w:r>
        <w:t>soon as is reasonably possible after the receipt of</w:t>
      </w:r>
      <w:r>
        <w:rPr>
          <w:spacing w:val="-3"/>
        </w:rPr>
        <w:t xml:space="preserve"> </w:t>
      </w:r>
      <w:r>
        <w:t>the</w:t>
      </w:r>
      <w:r>
        <w:rPr>
          <w:spacing w:val="-3"/>
        </w:rPr>
        <w:t xml:space="preserve"> </w:t>
      </w:r>
      <w:r>
        <w:t>Architect</w:t>
      </w:r>
      <w:r>
        <w:rPr>
          <w:spacing w:val="-3"/>
        </w:rPr>
        <w:t xml:space="preserve"> </w:t>
      </w:r>
      <w:r>
        <w:t>notice</w:t>
      </w:r>
      <w:r>
        <w:rPr>
          <w:spacing w:val="-1"/>
        </w:rPr>
        <w:t xml:space="preserve"> </w:t>
      </w:r>
      <w:r>
        <w:t>to</w:t>
      </w:r>
      <w:r>
        <w:rPr>
          <w:spacing w:val="-4"/>
        </w:rPr>
        <w:t xml:space="preserve"> </w:t>
      </w:r>
      <w:r>
        <w:t>commence,</w:t>
      </w:r>
      <w:r>
        <w:rPr>
          <w:spacing w:val="-1"/>
        </w:rPr>
        <w:t xml:space="preserve"> </w:t>
      </w:r>
      <w:r>
        <w:t>and</w:t>
      </w:r>
      <w:r>
        <w:rPr>
          <w:spacing w:val="-3"/>
        </w:rPr>
        <w:t xml:space="preserve"> </w:t>
      </w:r>
      <w:r>
        <w:t>to</w:t>
      </w:r>
      <w:r>
        <w:rPr>
          <w:spacing w:val="-1"/>
        </w:rPr>
        <w:t xml:space="preserve"> </w:t>
      </w:r>
      <w:r>
        <w:t>complete</w:t>
      </w:r>
      <w:r>
        <w:rPr>
          <w:spacing w:val="-1"/>
        </w:rPr>
        <w:t xml:space="preserve"> </w:t>
      </w:r>
      <w:r>
        <w:t>the</w:t>
      </w:r>
      <w:r>
        <w:rPr>
          <w:spacing w:val="-1"/>
        </w:rPr>
        <w:t xml:space="preserve"> </w:t>
      </w:r>
      <w:r>
        <w:t>whole</w:t>
      </w:r>
      <w:r>
        <w:rPr>
          <w:spacing w:val="-1"/>
        </w:rPr>
        <w:t xml:space="preserve"> </w:t>
      </w:r>
      <w:r>
        <w:t>of</w:t>
      </w:r>
      <w:r>
        <w:rPr>
          <w:spacing w:val="-3"/>
        </w:rPr>
        <w:t xml:space="preserve"> </w:t>
      </w:r>
      <w:r>
        <w:t>the</w:t>
      </w:r>
      <w:r>
        <w:rPr>
          <w:spacing w:val="-3"/>
        </w:rPr>
        <w:t xml:space="preserve"> </w:t>
      </w:r>
      <w:r>
        <w:t>Works</w:t>
      </w:r>
      <w:r>
        <w:rPr>
          <w:spacing w:val="-1"/>
        </w:rPr>
        <w:t xml:space="preserve"> </w:t>
      </w:r>
      <w:r>
        <w:t>comprised</w:t>
      </w:r>
      <w:r>
        <w:rPr>
          <w:spacing w:val="-4"/>
        </w:rPr>
        <w:t xml:space="preserve"> </w:t>
      </w:r>
      <w:r>
        <w:t>in</w:t>
      </w:r>
      <w:r>
        <w:rPr>
          <w:spacing w:val="-4"/>
        </w:rPr>
        <w:t xml:space="preserve"> </w:t>
      </w:r>
      <w:r>
        <w:t>the</w:t>
      </w:r>
      <w:r>
        <w:rPr>
          <w:spacing w:val="-1"/>
        </w:rPr>
        <w:t xml:space="preserve"> </w:t>
      </w:r>
      <w:r>
        <w:t>Contract within the time stated in the Special Conditions of Contract.</w:t>
      </w:r>
    </w:p>
    <w:p w:rsidR="007F6DF9" w:rsidRDefault="00A43FBC">
      <w:pPr>
        <w:pStyle w:val="ListParagraph"/>
        <w:numPr>
          <w:ilvl w:val="1"/>
          <w:numId w:val="146"/>
        </w:numPr>
        <w:tabs>
          <w:tab w:val="left" w:pos="1133"/>
          <w:tab w:val="left" w:pos="6657"/>
        </w:tabs>
        <w:spacing w:before="246" w:line="230" w:lineRule="auto"/>
        <w:ind w:right="742" w:hanging="431"/>
        <w:rPr>
          <w:color w:val="221F1F"/>
        </w:rPr>
      </w:pPr>
      <w:r>
        <w:rPr>
          <w:color w:val="221F1F"/>
        </w:rPr>
        <w:t xml:space="preserve">We agree to </w:t>
      </w:r>
      <w:proofErr w:type="spellStart"/>
      <w:r>
        <w:rPr>
          <w:color w:val="221F1F"/>
        </w:rPr>
        <w:t>adhereby</w:t>
      </w:r>
      <w:proofErr w:type="spellEnd"/>
      <w:r>
        <w:rPr>
          <w:color w:val="221F1F"/>
        </w:rPr>
        <w:t xml:space="preserve"> this tender until</w:t>
      </w:r>
      <w:r>
        <w:rPr>
          <w:color w:val="221F1F"/>
          <w:u w:val="single" w:color="211E1F"/>
        </w:rPr>
        <w:tab/>
      </w:r>
      <w:r>
        <w:rPr>
          <w:i/>
          <w:color w:val="221F1F"/>
        </w:rPr>
        <w:t>[Insert</w:t>
      </w:r>
      <w:r>
        <w:rPr>
          <w:i/>
          <w:color w:val="221F1F"/>
          <w:spacing w:val="-6"/>
        </w:rPr>
        <w:t xml:space="preserve"> </w:t>
      </w:r>
      <w:r>
        <w:rPr>
          <w:i/>
          <w:color w:val="221F1F"/>
        </w:rPr>
        <w:t>date],</w:t>
      </w:r>
      <w:r>
        <w:rPr>
          <w:i/>
          <w:color w:val="221F1F"/>
          <w:spacing w:val="-4"/>
        </w:rPr>
        <w:t xml:space="preserve"> </w:t>
      </w:r>
      <w:r>
        <w:rPr>
          <w:color w:val="221F1F"/>
        </w:rPr>
        <w:t>and</w:t>
      </w:r>
      <w:r>
        <w:rPr>
          <w:color w:val="221F1F"/>
          <w:spacing w:val="-4"/>
        </w:rPr>
        <w:t xml:space="preserve"> </w:t>
      </w:r>
      <w:r>
        <w:rPr>
          <w:color w:val="221F1F"/>
        </w:rPr>
        <w:t>it</w:t>
      </w:r>
      <w:r>
        <w:rPr>
          <w:color w:val="221F1F"/>
          <w:spacing w:val="-3"/>
        </w:rPr>
        <w:t xml:space="preserve"> </w:t>
      </w:r>
      <w:r>
        <w:rPr>
          <w:color w:val="221F1F"/>
        </w:rPr>
        <w:t>shall</w:t>
      </w:r>
      <w:r>
        <w:rPr>
          <w:color w:val="221F1F"/>
          <w:spacing w:val="-3"/>
        </w:rPr>
        <w:t xml:space="preserve"> </w:t>
      </w:r>
      <w:r>
        <w:rPr>
          <w:color w:val="221F1F"/>
        </w:rPr>
        <w:t>remain</w:t>
      </w:r>
      <w:r>
        <w:rPr>
          <w:color w:val="221F1F"/>
          <w:spacing w:val="-4"/>
        </w:rPr>
        <w:t xml:space="preserve"> </w:t>
      </w:r>
      <w:r>
        <w:rPr>
          <w:color w:val="221F1F"/>
        </w:rPr>
        <w:t>binding</w:t>
      </w:r>
      <w:r>
        <w:rPr>
          <w:color w:val="221F1F"/>
          <w:spacing w:val="-4"/>
        </w:rPr>
        <w:t xml:space="preserve"> </w:t>
      </w:r>
      <w:r>
        <w:rPr>
          <w:color w:val="221F1F"/>
        </w:rPr>
        <w:t>upon us and may be accepted at any time before that date.</w:t>
      </w:r>
    </w:p>
    <w:p w:rsidR="007F6DF9" w:rsidRDefault="00A43FBC">
      <w:pPr>
        <w:pStyle w:val="ListParagraph"/>
        <w:numPr>
          <w:ilvl w:val="1"/>
          <w:numId w:val="146"/>
        </w:numPr>
        <w:tabs>
          <w:tab w:val="left" w:pos="1133"/>
        </w:tabs>
        <w:spacing w:before="236"/>
        <w:ind w:hanging="430"/>
        <w:rPr>
          <w:color w:val="221F1F"/>
        </w:rPr>
      </w:pPr>
      <w:r>
        <w:rPr>
          <w:color w:val="221F1F"/>
        </w:rPr>
        <w:t>We</w:t>
      </w:r>
      <w:r>
        <w:rPr>
          <w:color w:val="221F1F"/>
          <w:spacing w:val="-21"/>
        </w:rPr>
        <w:t xml:space="preserve"> </w:t>
      </w:r>
      <w:r>
        <w:rPr>
          <w:color w:val="221F1F"/>
        </w:rPr>
        <w:t>understand</w:t>
      </w:r>
      <w:r>
        <w:rPr>
          <w:color w:val="221F1F"/>
          <w:spacing w:val="-5"/>
        </w:rPr>
        <w:t xml:space="preserve"> </w:t>
      </w:r>
      <w:r>
        <w:rPr>
          <w:color w:val="221F1F"/>
        </w:rPr>
        <w:t>that</w:t>
      </w:r>
      <w:r>
        <w:rPr>
          <w:color w:val="221F1F"/>
          <w:spacing w:val="-4"/>
        </w:rPr>
        <w:t xml:space="preserve"> </w:t>
      </w:r>
      <w:r>
        <w:rPr>
          <w:color w:val="221F1F"/>
        </w:rPr>
        <w:t>you</w:t>
      </w:r>
      <w:r>
        <w:rPr>
          <w:color w:val="221F1F"/>
          <w:spacing w:val="-2"/>
        </w:rPr>
        <w:t xml:space="preserve"> </w:t>
      </w:r>
      <w:r>
        <w:rPr>
          <w:color w:val="221F1F"/>
        </w:rPr>
        <w:t>are</w:t>
      </w:r>
      <w:r>
        <w:rPr>
          <w:color w:val="221F1F"/>
          <w:spacing w:val="-5"/>
        </w:rPr>
        <w:t xml:space="preserve"> </w:t>
      </w:r>
      <w:r>
        <w:rPr>
          <w:color w:val="221F1F"/>
        </w:rPr>
        <w:t>not</w:t>
      </w:r>
      <w:r>
        <w:rPr>
          <w:color w:val="221F1F"/>
          <w:spacing w:val="-2"/>
        </w:rPr>
        <w:t xml:space="preserve"> </w:t>
      </w:r>
      <w:r>
        <w:rPr>
          <w:color w:val="221F1F"/>
        </w:rPr>
        <w:t>bound</w:t>
      </w:r>
      <w:r>
        <w:rPr>
          <w:color w:val="221F1F"/>
          <w:spacing w:val="-2"/>
        </w:rPr>
        <w:t xml:space="preserve"> </w:t>
      </w:r>
      <w:r>
        <w:rPr>
          <w:color w:val="221F1F"/>
        </w:rPr>
        <w:t>to</w:t>
      </w:r>
      <w:r>
        <w:rPr>
          <w:color w:val="221F1F"/>
          <w:spacing w:val="-3"/>
        </w:rPr>
        <w:t xml:space="preserve"> </w:t>
      </w:r>
      <w:r>
        <w:rPr>
          <w:color w:val="221F1F"/>
        </w:rPr>
        <w:t>accept</w:t>
      </w:r>
      <w:r>
        <w:rPr>
          <w:color w:val="221F1F"/>
          <w:spacing w:val="-2"/>
        </w:rPr>
        <w:t xml:space="preserve"> </w:t>
      </w:r>
      <w:r>
        <w:rPr>
          <w:color w:val="221F1F"/>
        </w:rPr>
        <w:t>the</w:t>
      </w:r>
      <w:r>
        <w:rPr>
          <w:color w:val="221F1F"/>
          <w:spacing w:val="-2"/>
        </w:rPr>
        <w:t xml:space="preserve"> </w:t>
      </w:r>
      <w:r>
        <w:rPr>
          <w:color w:val="221F1F"/>
        </w:rPr>
        <w:t>lowest</w:t>
      </w:r>
      <w:r>
        <w:rPr>
          <w:color w:val="221F1F"/>
          <w:spacing w:val="-2"/>
        </w:rPr>
        <w:t xml:space="preserve"> </w:t>
      </w:r>
      <w:r>
        <w:rPr>
          <w:color w:val="221F1F"/>
        </w:rPr>
        <w:t>or</w:t>
      </w:r>
      <w:r>
        <w:rPr>
          <w:color w:val="221F1F"/>
          <w:spacing w:val="-3"/>
        </w:rPr>
        <w:t xml:space="preserve"> </w:t>
      </w:r>
      <w:r>
        <w:rPr>
          <w:color w:val="221F1F"/>
        </w:rPr>
        <w:t>any</w:t>
      </w:r>
      <w:r>
        <w:rPr>
          <w:color w:val="221F1F"/>
          <w:spacing w:val="-3"/>
        </w:rPr>
        <w:t xml:space="preserve"> </w:t>
      </w:r>
      <w:r>
        <w:rPr>
          <w:color w:val="221F1F"/>
        </w:rPr>
        <w:t>tender</w:t>
      </w:r>
      <w:r>
        <w:rPr>
          <w:color w:val="221F1F"/>
          <w:spacing w:val="-2"/>
        </w:rPr>
        <w:t xml:space="preserve"> </w:t>
      </w:r>
      <w:r>
        <w:rPr>
          <w:color w:val="221F1F"/>
        </w:rPr>
        <w:t>you</w:t>
      </w:r>
      <w:r>
        <w:rPr>
          <w:color w:val="221F1F"/>
          <w:spacing w:val="-6"/>
        </w:rPr>
        <w:t xml:space="preserve"> </w:t>
      </w:r>
      <w:r>
        <w:rPr>
          <w:color w:val="221F1F"/>
        </w:rPr>
        <w:t>may</w:t>
      </w:r>
      <w:r>
        <w:rPr>
          <w:color w:val="221F1F"/>
          <w:spacing w:val="-4"/>
        </w:rPr>
        <w:t xml:space="preserve"> </w:t>
      </w:r>
      <w:r>
        <w:rPr>
          <w:color w:val="221F1F"/>
          <w:spacing w:val="-2"/>
        </w:rPr>
        <w:t>receive.</w:t>
      </w:r>
    </w:p>
    <w:p w:rsidR="007F6DF9" w:rsidRDefault="00A43FBC">
      <w:pPr>
        <w:pStyle w:val="ListParagraph"/>
        <w:numPr>
          <w:ilvl w:val="1"/>
          <w:numId w:val="146"/>
        </w:numPr>
        <w:tabs>
          <w:tab w:val="left" w:pos="1133"/>
        </w:tabs>
        <w:spacing w:before="234"/>
        <w:ind w:hanging="430"/>
        <w:rPr>
          <w:color w:val="221F1F"/>
        </w:rPr>
      </w:pPr>
      <w:r>
        <w:rPr>
          <w:color w:val="221F1F"/>
        </w:rPr>
        <w:t>We,</w:t>
      </w:r>
      <w:r>
        <w:rPr>
          <w:color w:val="221F1F"/>
          <w:spacing w:val="-15"/>
        </w:rPr>
        <w:t xml:space="preserve"> </w:t>
      </w:r>
      <w:r>
        <w:rPr>
          <w:color w:val="221F1F"/>
        </w:rPr>
        <w:t>the</w:t>
      </w:r>
      <w:r>
        <w:rPr>
          <w:color w:val="221F1F"/>
          <w:spacing w:val="-8"/>
        </w:rPr>
        <w:t xml:space="preserve"> </w:t>
      </w:r>
      <w:r>
        <w:rPr>
          <w:color w:val="221F1F"/>
        </w:rPr>
        <w:t>under</w:t>
      </w:r>
      <w:r>
        <w:rPr>
          <w:color w:val="221F1F"/>
          <w:spacing w:val="-6"/>
        </w:rPr>
        <w:t xml:space="preserve"> </w:t>
      </w:r>
      <w:r>
        <w:rPr>
          <w:color w:val="221F1F"/>
        </w:rPr>
        <w:t>signed,</w:t>
      </w:r>
      <w:r>
        <w:rPr>
          <w:color w:val="221F1F"/>
          <w:spacing w:val="-6"/>
        </w:rPr>
        <w:t xml:space="preserve"> </w:t>
      </w:r>
      <w:r>
        <w:rPr>
          <w:color w:val="221F1F"/>
        </w:rPr>
        <w:t>further</w:t>
      </w:r>
      <w:r>
        <w:rPr>
          <w:color w:val="221F1F"/>
          <w:spacing w:val="-3"/>
        </w:rPr>
        <w:t xml:space="preserve"> </w:t>
      </w:r>
      <w:r>
        <w:rPr>
          <w:color w:val="221F1F"/>
        </w:rPr>
        <w:t>declare</w:t>
      </w:r>
      <w:r>
        <w:rPr>
          <w:color w:val="221F1F"/>
          <w:spacing w:val="-6"/>
        </w:rPr>
        <w:t xml:space="preserve"> </w:t>
      </w:r>
      <w:r>
        <w:rPr>
          <w:color w:val="221F1F"/>
          <w:spacing w:val="-4"/>
        </w:rPr>
        <w:t>that:</w:t>
      </w:r>
    </w:p>
    <w:p w:rsidR="007F6DF9" w:rsidRDefault="00A43FBC">
      <w:pPr>
        <w:pStyle w:val="ListParagraph"/>
        <w:numPr>
          <w:ilvl w:val="2"/>
          <w:numId w:val="146"/>
        </w:numPr>
        <w:tabs>
          <w:tab w:val="left" w:pos="1613"/>
        </w:tabs>
        <w:spacing w:before="240" w:line="232" w:lineRule="auto"/>
        <w:ind w:right="553"/>
        <w:rPr>
          <w:color w:val="221F1F"/>
        </w:rPr>
      </w:pPr>
      <w:r>
        <w:rPr>
          <w:color w:val="221F1F"/>
          <w:u w:val="single" w:color="221F1F"/>
        </w:rPr>
        <w:t>No reservations</w:t>
      </w:r>
      <w:r>
        <w:rPr>
          <w:color w:val="221F1F"/>
        </w:rPr>
        <w:t>: We</w:t>
      </w:r>
      <w:r>
        <w:rPr>
          <w:color w:val="221F1F"/>
          <w:spacing w:val="-17"/>
        </w:rPr>
        <w:t xml:space="preserve"> </w:t>
      </w:r>
      <w:r>
        <w:rPr>
          <w:color w:val="221F1F"/>
        </w:rPr>
        <w:t xml:space="preserve">have examined and have no reservations to the tender document, including Addenda </w:t>
      </w:r>
      <w:proofErr w:type="spellStart"/>
      <w:r>
        <w:rPr>
          <w:color w:val="221F1F"/>
        </w:rPr>
        <w:t>issuedinaccordance</w:t>
      </w:r>
      <w:proofErr w:type="spellEnd"/>
      <w:r>
        <w:rPr>
          <w:color w:val="221F1F"/>
        </w:rPr>
        <w:t xml:space="preserve"> with ITT 28;</w:t>
      </w:r>
    </w:p>
    <w:p w:rsidR="007F6DF9" w:rsidRDefault="00A43FBC">
      <w:pPr>
        <w:pStyle w:val="ListParagraph"/>
        <w:numPr>
          <w:ilvl w:val="2"/>
          <w:numId w:val="146"/>
        </w:numPr>
        <w:tabs>
          <w:tab w:val="left" w:pos="1613"/>
        </w:tabs>
        <w:spacing w:before="235"/>
        <w:ind w:hanging="470"/>
        <w:rPr>
          <w:color w:val="221F1F"/>
        </w:rPr>
      </w:pPr>
      <w:r>
        <w:rPr>
          <w:color w:val="221F1F"/>
          <w:u w:val="single" w:color="221F1F"/>
        </w:rPr>
        <w:t>Eligibility:</w:t>
      </w:r>
      <w:r>
        <w:rPr>
          <w:color w:val="221F1F"/>
          <w:spacing w:val="-5"/>
          <w:u w:val="single" w:color="221F1F"/>
        </w:rPr>
        <w:t xml:space="preserve"> </w:t>
      </w:r>
      <w:r>
        <w:rPr>
          <w:color w:val="221F1F"/>
        </w:rPr>
        <w:t>We</w:t>
      </w:r>
      <w:r>
        <w:rPr>
          <w:color w:val="221F1F"/>
          <w:spacing w:val="-17"/>
        </w:rPr>
        <w:t xml:space="preserve"> </w:t>
      </w:r>
      <w:r>
        <w:rPr>
          <w:color w:val="221F1F"/>
        </w:rPr>
        <w:t>meet</w:t>
      </w:r>
      <w:r>
        <w:rPr>
          <w:color w:val="221F1F"/>
          <w:spacing w:val="-1"/>
        </w:rPr>
        <w:t xml:space="preserve"> </w:t>
      </w:r>
      <w:r>
        <w:rPr>
          <w:color w:val="221F1F"/>
        </w:rPr>
        <w:t>the eligibility</w:t>
      </w:r>
      <w:r>
        <w:rPr>
          <w:color w:val="221F1F"/>
          <w:spacing w:val="-3"/>
        </w:rPr>
        <w:t xml:space="preserve"> </w:t>
      </w:r>
      <w:r>
        <w:rPr>
          <w:color w:val="221F1F"/>
        </w:rPr>
        <w:t>requirements</w:t>
      </w:r>
      <w:r>
        <w:rPr>
          <w:color w:val="221F1F"/>
          <w:spacing w:val="-3"/>
        </w:rPr>
        <w:t xml:space="preserve"> </w:t>
      </w:r>
      <w:r>
        <w:rPr>
          <w:color w:val="221F1F"/>
        </w:rPr>
        <w:t>and</w:t>
      </w:r>
      <w:r>
        <w:rPr>
          <w:color w:val="221F1F"/>
          <w:spacing w:val="-3"/>
        </w:rPr>
        <w:t xml:space="preserve"> </w:t>
      </w:r>
      <w:r>
        <w:rPr>
          <w:color w:val="221F1F"/>
        </w:rPr>
        <w:t>have</w:t>
      </w:r>
      <w:r>
        <w:rPr>
          <w:color w:val="221F1F"/>
          <w:spacing w:val="-2"/>
        </w:rPr>
        <w:t xml:space="preserve"> </w:t>
      </w:r>
      <w:r>
        <w:rPr>
          <w:color w:val="221F1F"/>
        </w:rPr>
        <w:t>no</w:t>
      </w:r>
      <w:r>
        <w:rPr>
          <w:color w:val="221F1F"/>
          <w:spacing w:val="-3"/>
        </w:rPr>
        <w:t xml:space="preserve"> </w:t>
      </w:r>
      <w:r>
        <w:rPr>
          <w:color w:val="221F1F"/>
        </w:rPr>
        <w:t>conflict</w:t>
      </w:r>
      <w:r>
        <w:rPr>
          <w:color w:val="221F1F"/>
          <w:spacing w:val="-2"/>
        </w:rPr>
        <w:t xml:space="preserve"> </w:t>
      </w:r>
      <w:r>
        <w:rPr>
          <w:color w:val="221F1F"/>
        </w:rPr>
        <w:t>of</w:t>
      </w:r>
      <w:r>
        <w:rPr>
          <w:color w:val="221F1F"/>
          <w:spacing w:val="-2"/>
        </w:rPr>
        <w:t xml:space="preserve"> </w:t>
      </w:r>
      <w:r>
        <w:rPr>
          <w:color w:val="221F1F"/>
        </w:rPr>
        <w:t>interest</w:t>
      </w:r>
      <w:r>
        <w:rPr>
          <w:color w:val="221F1F"/>
          <w:spacing w:val="-1"/>
        </w:rPr>
        <w:t xml:space="preserve"> </w:t>
      </w:r>
      <w:r>
        <w:rPr>
          <w:color w:val="221F1F"/>
        </w:rPr>
        <w:t>in</w:t>
      </w:r>
      <w:r>
        <w:rPr>
          <w:color w:val="221F1F"/>
          <w:spacing w:val="-2"/>
        </w:rPr>
        <w:t xml:space="preserve"> </w:t>
      </w:r>
      <w:r>
        <w:rPr>
          <w:color w:val="221F1F"/>
        </w:rPr>
        <w:t>accordance with</w:t>
      </w:r>
      <w:r>
        <w:rPr>
          <w:color w:val="221F1F"/>
          <w:spacing w:val="-3"/>
        </w:rPr>
        <w:t xml:space="preserve"> </w:t>
      </w:r>
      <w:r>
        <w:rPr>
          <w:color w:val="221F1F"/>
        </w:rPr>
        <w:t>ITT</w:t>
      </w:r>
      <w:r>
        <w:rPr>
          <w:color w:val="221F1F"/>
          <w:spacing w:val="-4"/>
        </w:rPr>
        <w:t xml:space="preserve"> </w:t>
      </w:r>
      <w:r>
        <w:rPr>
          <w:color w:val="221F1F"/>
          <w:spacing w:val="-10"/>
        </w:rPr>
        <w:t>3</w:t>
      </w:r>
    </w:p>
    <w:p w:rsidR="007F6DF9" w:rsidRDefault="00A43FBC">
      <w:pPr>
        <w:pStyle w:val="BodyText"/>
        <w:spacing w:before="32"/>
        <w:rPr>
          <w:sz w:val="20"/>
        </w:rPr>
      </w:pPr>
      <w:r>
        <w:rPr>
          <w:noProof/>
          <w:sz w:val="20"/>
        </w:rPr>
        <mc:AlternateContent>
          <mc:Choice Requires="wps">
            <w:drawing>
              <wp:anchor distT="0" distB="0" distL="0" distR="0" simplePos="0" relativeHeight="251675136" behindDoc="1" locked="0" layoutInCell="1" allowOverlap="1">
                <wp:simplePos x="0" y="0"/>
                <wp:positionH relativeFrom="page">
                  <wp:posOffset>445008</wp:posOffset>
                </wp:positionH>
                <wp:positionV relativeFrom="paragraph">
                  <wp:posOffset>182220</wp:posOffset>
                </wp:positionV>
                <wp:extent cx="1829435" cy="762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AE246" id="Graphic 219" o:spid="_x0000_s1026" style="position:absolute;margin-left:35.05pt;margin-top:14.35pt;width:144.05pt;height:.6pt;z-index:-2516413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" path="m1829054,l,,,7619r1829054,l1829054,xe" fillcolor="black" stroked="f">
                <v:path arrowok="t"/>
                <w10:wrap type="topAndBottom" anchorx="page"/>
              </v:shape>
            </w:pict>
          </mc:Fallback>
        </mc:AlternateContent>
      </w:r>
    </w:p>
    <w:p w:rsidR="007F6DF9" w:rsidRDefault="00A43FBC">
      <w:pPr>
        <w:spacing w:before="94" w:line="252" w:lineRule="exact"/>
        <w:ind w:left="559"/>
        <w:rPr>
          <w:i/>
        </w:rPr>
      </w:pPr>
      <w:r>
        <w:rPr>
          <w:position w:val="7"/>
          <w:sz w:val="13"/>
        </w:rPr>
        <w:t>3</w:t>
      </w:r>
      <w:r>
        <w:rPr>
          <w:spacing w:val="15"/>
          <w:position w:val="7"/>
          <w:sz w:val="13"/>
        </w:rPr>
        <w:t xml:space="preserve"> </w:t>
      </w:r>
      <w:r>
        <w:rPr>
          <w:i/>
        </w:rPr>
        <w:t>This</w:t>
      </w:r>
      <w:r>
        <w:rPr>
          <w:i/>
          <w:spacing w:val="-4"/>
        </w:rPr>
        <w:t xml:space="preserve"> </w:t>
      </w:r>
      <w:r>
        <w:rPr>
          <w:i/>
        </w:rPr>
        <w:t>sum</w:t>
      </w:r>
      <w:r>
        <w:rPr>
          <w:i/>
          <w:spacing w:val="-2"/>
        </w:rPr>
        <w:t xml:space="preserve"> </w:t>
      </w:r>
      <w:r>
        <w:rPr>
          <w:i/>
        </w:rPr>
        <w:t>should</w:t>
      </w:r>
      <w:r>
        <w:rPr>
          <w:i/>
          <w:spacing w:val="-2"/>
        </w:rPr>
        <w:t xml:space="preserve"> </w:t>
      </w:r>
      <w:r>
        <w:rPr>
          <w:i/>
        </w:rPr>
        <w:t>be</w:t>
      </w:r>
      <w:r>
        <w:rPr>
          <w:i/>
          <w:spacing w:val="-3"/>
        </w:rPr>
        <w:t xml:space="preserve"> </w:t>
      </w:r>
      <w:r>
        <w:rPr>
          <w:i/>
        </w:rPr>
        <w:t>carried</w:t>
      </w:r>
      <w:r>
        <w:rPr>
          <w:i/>
          <w:spacing w:val="-4"/>
        </w:rPr>
        <w:t xml:space="preserve"> </w:t>
      </w:r>
      <w:r>
        <w:rPr>
          <w:i/>
        </w:rPr>
        <w:t>forward</w:t>
      </w:r>
      <w:r>
        <w:rPr>
          <w:i/>
          <w:spacing w:val="-2"/>
        </w:rPr>
        <w:t xml:space="preserve"> </w:t>
      </w:r>
      <w:r>
        <w:rPr>
          <w:i/>
        </w:rPr>
        <w:t>from</w:t>
      </w:r>
      <w:r>
        <w:rPr>
          <w:i/>
          <w:spacing w:val="-2"/>
        </w:rPr>
        <w:t xml:space="preserve"> </w:t>
      </w:r>
      <w:r>
        <w:rPr>
          <w:i/>
        </w:rPr>
        <w:t>the</w:t>
      </w:r>
      <w:r>
        <w:rPr>
          <w:i/>
          <w:spacing w:val="-2"/>
        </w:rPr>
        <w:t xml:space="preserve"> </w:t>
      </w:r>
      <w:r>
        <w:rPr>
          <w:i/>
        </w:rPr>
        <w:t>Summary</w:t>
      </w:r>
      <w:r>
        <w:rPr>
          <w:i/>
          <w:spacing w:val="-4"/>
        </w:rPr>
        <w:t xml:space="preserve"> </w:t>
      </w:r>
      <w:r>
        <w:rPr>
          <w:i/>
        </w:rPr>
        <w:t>of</w:t>
      </w:r>
      <w:r>
        <w:rPr>
          <w:i/>
          <w:spacing w:val="-1"/>
        </w:rPr>
        <w:t xml:space="preserve"> </w:t>
      </w:r>
      <w:r>
        <w:rPr>
          <w:i/>
        </w:rPr>
        <w:t>the</w:t>
      </w:r>
      <w:r>
        <w:rPr>
          <w:i/>
          <w:spacing w:val="-2"/>
        </w:rPr>
        <w:t xml:space="preserve"> </w:t>
      </w:r>
      <w:r>
        <w:rPr>
          <w:i/>
        </w:rPr>
        <w:t>Bills</w:t>
      </w:r>
      <w:r>
        <w:rPr>
          <w:i/>
          <w:spacing w:val="-2"/>
        </w:rPr>
        <w:t xml:space="preserve"> </w:t>
      </w:r>
      <w:r>
        <w:rPr>
          <w:i/>
        </w:rPr>
        <w:t>of</w:t>
      </w:r>
      <w:r>
        <w:rPr>
          <w:i/>
          <w:spacing w:val="-1"/>
        </w:rPr>
        <w:t xml:space="preserve"> </w:t>
      </w:r>
      <w:r>
        <w:rPr>
          <w:i/>
          <w:spacing w:val="-2"/>
        </w:rPr>
        <w:t>Quantities.</w:t>
      </w:r>
    </w:p>
    <w:p w:rsidR="007F6DF9" w:rsidRDefault="00A43FBC">
      <w:pPr>
        <w:ind w:left="780" w:right="2985" w:hanging="221"/>
        <w:rPr>
          <w:i/>
        </w:rPr>
      </w:pPr>
      <w:r>
        <w:rPr>
          <w:i/>
          <w:vertAlign w:val="superscript"/>
        </w:rPr>
        <w:t>4</w:t>
      </w:r>
      <w:r>
        <w:rPr>
          <w:i/>
          <w:spacing w:val="-2"/>
        </w:rPr>
        <w:t xml:space="preserve"> </w:t>
      </w:r>
      <w:r>
        <w:rPr>
          <w:i/>
        </w:rPr>
        <w:t>The</w:t>
      </w:r>
      <w:r>
        <w:rPr>
          <w:i/>
          <w:spacing w:val="-2"/>
        </w:rPr>
        <w:t xml:space="preserve"> </w:t>
      </w:r>
      <w:r>
        <w:rPr>
          <w:i/>
        </w:rPr>
        <w:t>percentage</w:t>
      </w:r>
      <w:r>
        <w:rPr>
          <w:i/>
          <w:spacing w:val="-4"/>
        </w:rPr>
        <w:t xml:space="preserve"> </w:t>
      </w:r>
      <w:r>
        <w:rPr>
          <w:i/>
        </w:rPr>
        <w:t>quoted</w:t>
      </w:r>
      <w:r>
        <w:rPr>
          <w:i/>
          <w:spacing w:val="-2"/>
        </w:rPr>
        <w:t xml:space="preserve"> </w:t>
      </w:r>
      <w:r>
        <w:rPr>
          <w:i/>
        </w:rPr>
        <w:t>above</w:t>
      </w:r>
      <w:r>
        <w:rPr>
          <w:i/>
          <w:spacing w:val="-2"/>
        </w:rPr>
        <w:t xml:space="preserve"> </w:t>
      </w:r>
      <w:r>
        <w:rPr>
          <w:i/>
        </w:rPr>
        <w:t>should</w:t>
      </w:r>
      <w:r>
        <w:rPr>
          <w:i/>
          <w:spacing w:val="-2"/>
        </w:rPr>
        <w:t xml:space="preserve"> </w:t>
      </w:r>
      <w:r>
        <w:rPr>
          <w:i/>
        </w:rPr>
        <w:t>not</w:t>
      </w:r>
      <w:r>
        <w:rPr>
          <w:i/>
          <w:spacing w:val="-4"/>
        </w:rPr>
        <w:t xml:space="preserve"> </w:t>
      </w:r>
      <w:r>
        <w:rPr>
          <w:i/>
        </w:rPr>
        <w:t>include</w:t>
      </w:r>
      <w:r>
        <w:rPr>
          <w:i/>
          <w:spacing w:val="-4"/>
        </w:rPr>
        <w:t xml:space="preserve"> </w:t>
      </w:r>
      <w:r>
        <w:rPr>
          <w:i/>
        </w:rPr>
        <w:t>provisional</w:t>
      </w:r>
      <w:r>
        <w:rPr>
          <w:i/>
          <w:spacing w:val="-1"/>
        </w:rPr>
        <w:t xml:space="preserve"> </w:t>
      </w:r>
      <w:r>
        <w:rPr>
          <w:i/>
        </w:rPr>
        <w:t>sums,</w:t>
      </w:r>
      <w:r>
        <w:rPr>
          <w:i/>
          <w:spacing w:val="-2"/>
        </w:rPr>
        <w:t xml:space="preserve"> </w:t>
      </w:r>
      <w:r>
        <w:rPr>
          <w:i/>
        </w:rPr>
        <w:t>and</w:t>
      </w:r>
      <w:r>
        <w:rPr>
          <w:i/>
          <w:spacing w:val="-2"/>
        </w:rPr>
        <w:t xml:space="preserve"> </w:t>
      </w:r>
      <w:r>
        <w:rPr>
          <w:i/>
        </w:rPr>
        <w:t>not</w:t>
      </w:r>
      <w:r>
        <w:rPr>
          <w:i/>
          <w:spacing w:val="-1"/>
        </w:rPr>
        <w:t xml:space="preserve"> </w:t>
      </w:r>
      <w:r>
        <w:rPr>
          <w:i/>
        </w:rPr>
        <w:t>more</w:t>
      </w:r>
      <w:r>
        <w:rPr>
          <w:i/>
          <w:spacing w:val="-2"/>
        </w:rPr>
        <w:t xml:space="preserve"> </w:t>
      </w:r>
      <w:r>
        <w:rPr>
          <w:i/>
        </w:rPr>
        <w:t>than two foreign currencies are allowed.</w:t>
      </w:r>
    </w:p>
    <w:p w:rsidR="007F6DF9" w:rsidRDefault="007F6DF9">
      <w:pPr>
        <w:rPr>
          <w:i/>
        </w:rPr>
        <w:sectPr w:rsidR="007F6DF9">
          <w:pgSz w:w="11920" w:h="16850"/>
          <w:pgMar w:top="360" w:right="283" w:bottom="620" w:left="141" w:header="0" w:footer="437" w:gutter="0"/>
          <w:pgNumType w:start="46"/>
          <w:cols w:space="720"/>
        </w:sectPr>
      </w:pPr>
    </w:p>
    <w:p w:rsidR="007F6DF9" w:rsidRDefault="00A43FBC">
      <w:pPr>
        <w:pStyle w:val="BodyText"/>
        <w:spacing w:line="244" w:lineRule="exact"/>
        <w:ind w:left="1613"/>
      </w:pPr>
      <w:r>
        <w:rPr>
          <w:noProof/>
        </w:rPr>
        <w:lastRenderedPageBreak/>
        <mc:AlternateContent>
          <mc:Choice Requires="wpg">
            <w:drawing>
              <wp:anchor distT="0" distB="0" distL="0" distR="0" simplePos="0" relativeHeight="251660800" behindDoc="1" locked="0" layoutInCell="1" allowOverlap="1">
                <wp:simplePos x="0" y="0"/>
                <wp:positionH relativeFrom="page">
                  <wp:posOffset>0</wp:posOffset>
                </wp:positionH>
                <wp:positionV relativeFrom="page">
                  <wp:posOffset>10238638</wp:posOffset>
                </wp:positionV>
                <wp:extent cx="7561580" cy="31115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226" name="Graphic 221"/>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227" name="Graphic 222"/>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4FA154D6" id="Group 220" o:spid="_x0000_s1026" style="position:absolute;margin-left:0;margin-top:806.2pt;width:595.4pt;height:24.5pt;z-index:-251655680;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">
                <v:shape id="Graphic 221"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" path="m946150,l,,,153670r7620,48895l29845,245110r33020,33020l105409,300355r48261,7620l946150,307975,946150,xe" fillcolor="#011f5e" stroked="f">
                  <v:path arrowok="t"/>
                </v:shape>
                <v:shape id="Graphic 222"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 xml:space="preserve">and </w:t>
      </w:r>
      <w:r>
        <w:rPr>
          <w:color w:val="221F1F"/>
          <w:spacing w:val="-5"/>
        </w:rPr>
        <w:t>4;</w:t>
      </w:r>
    </w:p>
    <w:p w:rsidR="007F6DF9" w:rsidRDefault="00A43FBC">
      <w:pPr>
        <w:pStyle w:val="ListParagraph"/>
        <w:numPr>
          <w:ilvl w:val="2"/>
          <w:numId w:val="146"/>
        </w:numPr>
        <w:tabs>
          <w:tab w:val="left" w:pos="1609"/>
          <w:tab w:val="left" w:pos="1613"/>
        </w:tabs>
        <w:spacing w:before="242" w:line="230" w:lineRule="auto"/>
        <w:ind w:right="555"/>
        <w:jc w:val="both"/>
        <w:rPr>
          <w:color w:val="221F1F"/>
        </w:rPr>
      </w:pPr>
      <w:r>
        <w:rPr>
          <w:color w:val="221F1F"/>
          <w:u w:val="single" w:color="221F1F"/>
        </w:rPr>
        <w:t>Tender</w:t>
      </w:r>
      <w:r>
        <w:rPr>
          <w:color w:val="221F1F"/>
          <w:spacing w:val="-14"/>
          <w:u w:val="single" w:color="221F1F"/>
        </w:rPr>
        <w:t xml:space="preserve"> </w:t>
      </w:r>
      <w:r>
        <w:rPr>
          <w:color w:val="221F1F"/>
          <w:u w:val="single" w:color="221F1F"/>
        </w:rPr>
        <w:t>-</w:t>
      </w:r>
      <w:r>
        <w:rPr>
          <w:color w:val="221F1F"/>
          <w:spacing w:val="-14"/>
          <w:u w:val="single" w:color="221F1F"/>
        </w:rPr>
        <w:t xml:space="preserve"> </w:t>
      </w:r>
      <w:r>
        <w:rPr>
          <w:color w:val="221F1F"/>
          <w:u w:val="single" w:color="221F1F"/>
        </w:rPr>
        <w:t>Securing</w:t>
      </w:r>
      <w:r>
        <w:rPr>
          <w:color w:val="221F1F"/>
          <w:spacing w:val="-14"/>
          <w:u w:val="single" w:color="221F1F"/>
        </w:rPr>
        <w:t xml:space="preserve"> </w:t>
      </w:r>
      <w:r>
        <w:rPr>
          <w:color w:val="221F1F"/>
          <w:u w:val="single" w:color="221F1F"/>
        </w:rPr>
        <w:t>Declaration</w:t>
      </w:r>
      <w:r>
        <w:rPr>
          <w:color w:val="221F1F"/>
        </w:rPr>
        <w:t>:</w:t>
      </w:r>
      <w:r>
        <w:rPr>
          <w:color w:val="221F1F"/>
          <w:spacing w:val="-13"/>
        </w:rPr>
        <w:t xml:space="preserve"> </w:t>
      </w:r>
      <w:r>
        <w:rPr>
          <w:color w:val="221F1F"/>
        </w:rPr>
        <w:t>We</w:t>
      </w:r>
      <w:r>
        <w:rPr>
          <w:color w:val="221F1F"/>
          <w:spacing w:val="-14"/>
        </w:rPr>
        <w:t xml:space="preserve"> </w:t>
      </w:r>
      <w:r>
        <w:rPr>
          <w:color w:val="221F1F"/>
        </w:rPr>
        <w:t>have</w:t>
      </w:r>
      <w:r>
        <w:rPr>
          <w:color w:val="221F1F"/>
          <w:spacing w:val="-14"/>
        </w:rPr>
        <w:t xml:space="preserve"> </w:t>
      </w:r>
      <w:r>
        <w:rPr>
          <w:color w:val="221F1F"/>
        </w:rPr>
        <w:t>not</w:t>
      </w:r>
      <w:r>
        <w:rPr>
          <w:color w:val="221F1F"/>
          <w:spacing w:val="-14"/>
        </w:rPr>
        <w:t xml:space="preserve"> </w:t>
      </w:r>
      <w:r>
        <w:rPr>
          <w:color w:val="221F1F"/>
        </w:rPr>
        <w:t>been</w:t>
      </w:r>
      <w:r>
        <w:rPr>
          <w:color w:val="221F1F"/>
          <w:spacing w:val="-13"/>
        </w:rPr>
        <w:t xml:space="preserve"> </w:t>
      </w:r>
      <w:r>
        <w:rPr>
          <w:color w:val="221F1F"/>
        </w:rPr>
        <w:t>suspended</w:t>
      </w:r>
      <w:r>
        <w:rPr>
          <w:color w:val="221F1F"/>
          <w:spacing w:val="-14"/>
        </w:rPr>
        <w:t xml:space="preserve"> </w:t>
      </w:r>
      <w:r>
        <w:rPr>
          <w:color w:val="221F1F"/>
        </w:rPr>
        <w:t>nor</w:t>
      </w:r>
      <w:r>
        <w:rPr>
          <w:color w:val="221F1F"/>
          <w:spacing w:val="-12"/>
        </w:rPr>
        <w:t xml:space="preserve"> </w:t>
      </w:r>
      <w:r>
        <w:rPr>
          <w:color w:val="221F1F"/>
        </w:rPr>
        <w:t>declared</w:t>
      </w:r>
      <w:r>
        <w:rPr>
          <w:color w:val="221F1F"/>
          <w:spacing w:val="-11"/>
        </w:rPr>
        <w:t xml:space="preserve"> </w:t>
      </w:r>
      <w:r>
        <w:rPr>
          <w:color w:val="221F1F"/>
        </w:rPr>
        <w:t>ineligible</w:t>
      </w:r>
      <w:r>
        <w:rPr>
          <w:color w:val="221F1F"/>
          <w:spacing w:val="-14"/>
        </w:rPr>
        <w:t xml:space="preserve"> </w:t>
      </w:r>
      <w:r>
        <w:rPr>
          <w:color w:val="221F1F"/>
        </w:rPr>
        <w:t>by</w:t>
      </w:r>
      <w:r>
        <w:rPr>
          <w:color w:val="221F1F"/>
          <w:spacing w:val="-12"/>
        </w:rPr>
        <w:t xml:space="preserve"> </w:t>
      </w:r>
      <w:r>
        <w:rPr>
          <w:color w:val="221F1F"/>
        </w:rPr>
        <w:t>the</w:t>
      </w:r>
      <w:r>
        <w:rPr>
          <w:color w:val="221F1F"/>
          <w:spacing w:val="-12"/>
        </w:rPr>
        <w:t xml:space="preserve"> </w:t>
      </w:r>
      <w:r>
        <w:rPr>
          <w:color w:val="221F1F"/>
        </w:rPr>
        <w:t>Procuring</w:t>
      </w:r>
      <w:r>
        <w:rPr>
          <w:color w:val="221F1F"/>
          <w:spacing w:val="-12"/>
        </w:rPr>
        <w:t xml:space="preserve"> </w:t>
      </w:r>
      <w:r>
        <w:rPr>
          <w:color w:val="221F1F"/>
        </w:rPr>
        <w:t>Entity based on execution of a Tender-Securing or Proposal-Securing Declaration in the Procuring Entity's Country in accordance with ITT 19.8;</w:t>
      </w:r>
    </w:p>
    <w:p w:rsidR="007F6DF9" w:rsidRDefault="00A43FBC">
      <w:pPr>
        <w:pStyle w:val="ListParagraph"/>
        <w:numPr>
          <w:ilvl w:val="2"/>
          <w:numId w:val="146"/>
        </w:numPr>
        <w:tabs>
          <w:tab w:val="left" w:pos="1618"/>
          <w:tab w:val="left" w:pos="1621"/>
        </w:tabs>
        <w:spacing w:before="251" w:line="230" w:lineRule="auto"/>
        <w:ind w:left="1621" w:right="564"/>
        <w:jc w:val="both"/>
        <w:rPr>
          <w:i/>
          <w:color w:val="221F1F"/>
        </w:rPr>
      </w:pPr>
      <w:r>
        <w:rPr>
          <w:color w:val="221F1F"/>
          <w:u w:val="single" w:color="221F1F"/>
        </w:rPr>
        <w:t>Conformity</w:t>
      </w:r>
      <w:r>
        <w:rPr>
          <w:color w:val="221F1F"/>
        </w:rPr>
        <w:t>: We</w:t>
      </w:r>
      <w:r>
        <w:rPr>
          <w:color w:val="221F1F"/>
          <w:spacing w:val="-14"/>
        </w:rPr>
        <w:t xml:space="preserve"> </w:t>
      </w:r>
      <w:r>
        <w:rPr>
          <w:color w:val="221F1F"/>
        </w:rPr>
        <w:t>offer to execute in conformity with the tendering documents and in accordance with the implementation</w:t>
      </w:r>
      <w:r>
        <w:rPr>
          <w:color w:val="221F1F"/>
          <w:spacing w:val="-14"/>
        </w:rPr>
        <w:t xml:space="preserve"> </w:t>
      </w:r>
      <w:r>
        <w:rPr>
          <w:color w:val="221F1F"/>
        </w:rPr>
        <w:t>and</w:t>
      </w:r>
      <w:r>
        <w:rPr>
          <w:color w:val="221F1F"/>
          <w:spacing w:val="-13"/>
        </w:rPr>
        <w:t xml:space="preserve"> </w:t>
      </w:r>
      <w:r>
        <w:rPr>
          <w:color w:val="221F1F"/>
        </w:rPr>
        <w:t>completion</w:t>
      </w:r>
      <w:r>
        <w:rPr>
          <w:color w:val="221F1F"/>
          <w:spacing w:val="-14"/>
        </w:rPr>
        <w:t xml:space="preserve"> </w:t>
      </w:r>
      <w:r>
        <w:rPr>
          <w:color w:val="221F1F"/>
        </w:rPr>
        <w:t>specified</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construction</w:t>
      </w:r>
      <w:r>
        <w:rPr>
          <w:color w:val="221F1F"/>
          <w:spacing w:val="-12"/>
        </w:rPr>
        <w:t xml:space="preserve"> </w:t>
      </w:r>
      <w:r>
        <w:rPr>
          <w:color w:val="221F1F"/>
        </w:rPr>
        <w:t>schedule,</w:t>
      </w:r>
      <w:r>
        <w:rPr>
          <w:color w:val="221F1F"/>
          <w:spacing w:val="-14"/>
        </w:rPr>
        <w:t xml:space="preserve"> </w:t>
      </w:r>
      <w:r>
        <w:rPr>
          <w:color w:val="221F1F"/>
        </w:rPr>
        <w:t>the</w:t>
      </w:r>
      <w:r>
        <w:rPr>
          <w:color w:val="221F1F"/>
          <w:spacing w:val="-14"/>
        </w:rPr>
        <w:t xml:space="preserve"> </w:t>
      </w:r>
      <w:r>
        <w:rPr>
          <w:color w:val="221F1F"/>
        </w:rPr>
        <w:t>following</w:t>
      </w:r>
      <w:r>
        <w:rPr>
          <w:color w:val="221F1F"/>
          <w:spacing w:val="-6"/>
        </w:rPr>
        <w:t xml:space="preserve"> </w:t>
      </w:r>
      <w:r>
        <w:rPr>
          <w:color w:val="221F1F"/>
        </w:rPr>
        <w:t>Works:</w:t>
      </w:r>
      <w:r>
        <w:rPr>
          <w:color w:val="221F1F"/>
          <w:spacing w:val="-14"/>
        </w:rPr>
        <w:t xml:space="preserve"> </w:t>
      </w:r>
      <w:r>
        <w:rPr>
          <w:i/>
          <w:color w:val="221F1F"/>
        </w:rPr>
        <w:t>[insert</w:t>
      </w:r>
      <w:r>
        <w:rPr>
          <w:i/>
          <w:color w:val="221F1F"/>
          <w:spacing w:val="-12"/>
        </w:rPr>
        <w:t xml:space="preserve"> </w:t>
      </w:r>
      <w:r>
        <w:rPr>
          <w:i/>
          <w:color w:val="221F1F"/>
        </w:rPr>
        <w:t>a</w:t>
      </w:r>
      <w:r>
        <w:rPr>
          <w:i/>
          <w:color w:val="221F1F"/>
          <w:spacing w:val="-12"/>
        </w:rPr>
        <w:t xml:space="preserve"> </w:t>
      </w:r>
      <w:r>
        <w:rPr>
          <w:i/>
          <w:color w:val="221F1F"/>
        </w:rPr>
        <w:t>brief description of the Works];</w:t>
      </w:r>
    </w:p>
    <w:p w:rsidR="007F6DF9" w:rsidRDefault="00A43FBC">
      <w:pPr>
        <w:pStyle w:val="ListParagraph"/>
        <w:numPr>
          <w:ilvl w:val="2"/>
          <w:numId w:val="146"/>
        </w:numPr>
        <w:tabs>
          <w:tab w:val="left" w:pos="1619"/>
          <w:tab w:val="left" w:pos="1621"/>
        </w:tabs>
        <w:spacing w:before="246" w:line="230" w:lineRule="auto"/>
        <w:ind w:left="1621" w:right="565"/>
        <w:jc w:val="both"/>
        <w:rPr>
          <w:i/>
          <w:color w:val="221F1F"/>
        </w:rPr>
      </w:pPr>
      <w:r>
        <w:rPr>
          <w:color w:val="221F1F"/>
          <w:u w:val="single" w:color="221F1F"/>
        </w:rPr>
        <w:t>Tender</w:t>
      </w:r>
      <w:r>
        <w:rPr>
          <w:color w:val="221F1F"/>
          <w:spacing w:val="-14"/>
          <w:u w:val="single" w:color="221F1F"/>
        </w:rPr>
        <w:t xml:space="preserve"> </w:t>
      </w:r>
      <w:r>
        <w:rPr>
          <w:color w:val="221F1F"/>
          <w:u w:val="single" w:color="221F1F"/>
        </w:rPr>
        <w:t>Price:</w:t>
      </w:r>
      <w:r>
        <w:rPr>
          <w:color w:val="221F1F"/>
          <w:spacing w:val="-8"/>
        </w:rPr>
        <w:t xml:space="preserve"> </w:t>
      </w:r>
      <w:r>
        <w:rPr>
          <w:color w:val="221F1F"/>
        </w:rPr>
        <w:t>The</w:t>
      </w:r>
      <w:r>
        <w:rPr>
          <w:color w:val="221F1F"/>
          <w:spacing w:val="-12"/>
        </w:rPr>
        <w:t xml:space="preserve"> </w:t>
      </w:r>
      <w:r>
        <w:rPr>
          <w:color w:val="221F1F"/>
        </w:rPr>
        <w:t>total</w:t>
      </w:r>
      <w:r>
        <w:rPr>
          <w:color w:val="221F1F"/>
          <w:spacing w:val="-8"/>
        </w:rPr>
        <w:t xml:space="preserve"> </w:t>
      </w:r>
      <w:r>
        <w:rPr>
          <w:color w:val="221F1F"/>
        </w:rPr>
        <w:t>price</w:t>
      </w:r>
      <w:r>
        <w:rPr>
          <w:color w:val="221F1F"/>
          <w:spacing w:val="-9"/>
        </w:rPr>
        <w:t xml:space="preserve"> </w:t>
      </w:r>
      <w:r>
        <w:rPr>
          <w:color w:val="221F1F"/>
        </w:rPr>
        <w:t>of</w:t>
      </w:r>
      <w:r>
        <w:rPr>
          <w:color w:val="221F1F"/>
          <w:spacing w:val="-8"/>
        </w:rPr>
        <w:t xml:space="preserve"> </w:t>
      </w:r>
      <w:r>
        <w:rPr>
          <w:color w:val="221F1F"/>
        </w:rPr>
        <w:t>our</w:t>
      </w:r>
      <w:r>
        <w:rPr>
          <w:color w:val="221F1F"/>
          <w:spacing w:val="-6"/>
        </w:rPr>
        <w:t xml:space="preserve"> </w:t>
      </w:r>
      <w:r>
        <w:rPr>
          <w:color w:val="221F1F"/>
        </w:rPr>
        <w:t>Tender,</w:t>
      </w:r>
      <w:r>
        <w:rPr>
          <w:color w:val="221F1F"/>
          <w:spacing w:val="-14"/>
        </w:rPr>
        <w:t xml:space="preserve"> </w:t>
      </w:r>
      <w:r>
        <w:rPr>
          <w:color w:val="221F1F"/>
        </w:rPr>
        <w:t>excluding</w:t>
      </w:r>
      <w:r>
        <w:rPr>
          <w:color w:val="221F1F"/>
          <w:spacing w:val="-11"/>
        </w:rPr>
        <w:t xml:space="preserve"> </w:t>
      </w:r>
      <w:r>
        <w:rPr>
          <w:color w:val="221F1F"/>
        </w:rPr>
        <w:t>any</w:t>
      </w:r>
      <w:r>
        <w:rPr>
          <w:color w:val="221F1F"/>
          <w:spacing w:val="-9"/>
        </w:rPr>
        <w:t xml:space="preserve"> </w:t>
      </w:r>
      <w:r>
        <w:rPr>
          <w:color w:val="221F1F"/>
        </w:rPr>
        <w:t>discounts</w:t>
      </w:r>
      <w:r>
        <w:rPr>
          <w:color w:val="221F1F"/>
          <w:spacing w:val="-8"/>
        </w:rPr>
        <w:t xml:space="preserve"> </w:t>
      </w:r>
      <w:r>
        <w:rPr>
          <w:color w:val="221F1F"/>
        </w:rPr>
        <w:t>offered</w:t>
      </w:r>
      <w:r>
        <w:rPr>
          <w:color w:val="221F1F"/>
          <w:spacing w:val="-9"/>
        </w:rPr>
        <w:t xml:space="preserve"> </w:t>
      </w:r>
      <w:r>
        <w:rPr>
          <w:color w:val="221F1F"/>
        </w:rPr>
        <w:t>in</w:t>
      </w:r>
      <w:r>
        <w:rPr>
          <w:color w:val="221F1F"/>
          <w:spacing w:val="-9"/>
        </w:rPr>
        <w:t xml:space="preserve"> </w:t>
      </w:r>
      <w:r>
        <w:rPr>
          <w:color w:val="221F1F"/>
        </w:rPr>
        <w:t>item</w:t>
      </w:r>
      <w:r>
        <w:rPr>
          <w:color w:val="221F1F"/>
          <w:spacing w:val="-10"/>
        </w:rPr>
        <w:t xml:space="preserve"> </w:t>
      </w:r>
      <w:r>
        <w:rPr>
          <w:color w:val="221F1F"/>
        </w:rPr>
        <w:t>1</w:t>
      </w:r>
      <w:r>
        <w:rPr>
          <w:color w:val="221F1F"/>
          <w:spacing w:val="-9"/>
        </w:rPr>
        <w:t xml:space="preserve"> </w:t>
      </w:r>
      <w:r>
        <w:rPr>
          <w:color w:val="221F1F"/>
        </w:rPr>
        <w:t>above</w:t>
      </w:r>
      <w:r>
        <w:rPr>
          <w:color w:val="221F1F"/>
          <w:spacing w:val="-9"/>
        </w:rPr>
        <w:t xml:space="preserve"> </w:t>
      </w:r>
      <w:r>
        <w:rPr>
          <w:color w:val="221F1F"/>
        </w:rPr>
        <w:t>is:</w:t>
      </w:r>
      <w:r>
        <w:rPr>
          <w:color w:val="221F1F"/>
          <w:spacing w:val="-4"/>
        </w:rPr>
        <w:t xml:space="preserve"> </w:t>
      </w:r>
      <w:r>
        <w:rPr>
          <w:i/>
          <w:color w:val="221F1F"/>
        </w:rPr>
        <w:t>[Insert</w:t>
      </w:r>
      <w:r>
        <w:rPr>
          <w:i/>
          <w:color w:val="221F1F"/>
          <w:spacing w:val="-8"/>
        </w:rPr>
        <w:t xml:space="preserve"> </w:t>
      </w:r>
      <w:r>
        <w:rPr>
          <w:i/>
          <w:color w:val="221F1F"/>
        </w:rPr>
        <w:t>one of the options below as appropriate]</w:t>
      </w:r>
    </w:p>
    <w:p w:rsidR="007F6DF9" w:rsidRDefault="00A43FBC">
      <w:pPr>
        <w:tabs>
          <w:tab w:val="left" w:pos="1620"/>
        </w:tabs>
        <w:spacing w:before="244" w:line="230" w:lineRule="auto"/>
        <w:ind w:left="1621" w:right="575" w:hanging="471"/>
      </w:pPr>
      <w:r>
        <w:rPr>
          <w:color w:val="221F1F"/>
          <w:spacing w:val="-6"/>
        </w:rPr>
        <w:t>vi</w:t>
      </w:r>
      <w:r>
        <w:rPr>
          <w:color w:val="221F1F"/>
        </w:rPr>
        <w:tab/>
      </w:r>
      <w:r>
        <w:rPr>
          <w:color w:val="221F1F"/>
          <w:u w:val="single" w:color="221F1F"/>
        </w:rPr>
        <w:t>Option</w:t>
      </w:r>
      <w:r>
        <w:rPr>
          <w:color w:val="221F1F"/>
          <w:spacing w:val="31"/>
          <w:u w:val="single" w:color="221F1F"/>
        </w:rPr>
        <w:t xml:space="preserve"> </w:t>
      </w:r>
      <w:r>
        <w:rPr>
          <w:color w:val="221F1F"/>
          <w:u w:val="single" w:color="221F1F"/>
        </w:rPr>
        <w:t>1</w:t>
      </w:r>
      <w:r>
        <w:rPr>
          <w:color w:val="221F1F"/>
        </w:rPr>
        <w:t>,</w:t>
      </w:r>
      <w:r>
        <w:rPr>
          <w:color w:val="221F1F"/>
          <w:spacing w:val="29"/>
        </w:rPr>
        <w:t xml:space="preserve"> </w:t>
      </w:r>
      <w:proofErr w:type="spellStart"/>
      <w:r>
        <w:rPr>
          <w:color w:val="221F1F"/>
        </w:rPr>
        <w:t>incase</w:t>
      </w:r>
      <w:proofErr w:type="spellEnd"/>
      <w:r>
        <w:rPr>
          <w:color w:val="221F1F"/>
          <w:spacing w:val="32"/>
        </w:rPr>
        <w:t xml:space="preserve"> </w:t>
      </w:r>
      <w:r>
        <w:rPr>
          <w:color w:val="221F1F"/>
        </w:rPr>
        <w:t>of</w:t>
      </w:r>
      <w:r>
        <w:rPr>
          <w:color w:val="221F1F"/>
          <w:spacing w:val="32"/>
        </w:rPr>
        <w:t xml:space="preserve"> </w:t>
      </w:r>
      <w:r>
        <w:rPr>
          <w:color w:val="221F1F"/>
        </w:rPr>
        <w:t>one</w:t>
      </w:r>
      <w:r>
        <w:rPr>
          <w:color w:val="221F1F"/>
          <w:spacing w:val="32"/>
        </w:rPr>
        <w:t xml:space="preserve"> </w:t>
      </w:r>
      <w:r>
        <w:rPr>
          <w:color w:val="221F1F"/>
        </w:rPr>
        <w:t>lot:</w:t>
      </w:r>
      <w:r>
        <w:rPr>
          <w:color w:val="221F1F"/>
          <w:spacing w:val="35"/>
        </w:rPr>
        <w:t xml:space="preserve"> </w:t>
      </w:r>
      <w:r>
        <w:rPr>
          <w:color w:val="221F1F"/>
        </w:rPr>
        <w:t>Total</w:t>
      </w:r>
      <w:r>
        <w:rPr>
          <w:color w:val="221F1F"/>
          <w:spacing w:val="23"/>
        </w:rPr>
        <w:t xml:space="preserve"> </w:t>
      </w:r>
      <w:proofErr w:type="spellStart"/>
      <w:r>
        <w:rPr>
          <w:color w:val="221F1F"/>
        </w:rPr>
        <w:t>priceis</w:t>
      </w:r>
      <w:proofErr w:type="spellEnd"/>
      <w:r>
        <w:rPr>
          <w:color w:val="221F1F"/>
        </w:rPr>
        <w:t>:</w:t>
      </w:r>
      <w:r>
        <w:rPr>
          <w:color w:val="221F1F"/>
          <w:spacing w:val="34"/>
        </w:rPr>
        <w:t xml:space="preserve"> </w:t>
      </w:r>
      <w:r>
        <w:rPr>
          <w:i/>
          <w:color w:val="221F1F"/>
        </w:rPr>
        <w:t>[insert</w:t>
      </w:r>
      <w:r>
        <w:rPr>
          <w:i/>
          <w:color w:val="221F1F"/>
          <w:spacing w:val="30"/>
        </w:rPr>
        <w:t xml:space="preserve"> </w:t>
      </w:r>
      <w:r>
        <w:rPr>
          <w:i/>
          <w:color w:val="221F1F"/>
        </w:rPr>
        <w:t>the</w:t>
      </w:r>
      <w:r>
        <w:rPr>
          <w:i/>
          <w:color w:val="221F1F"/>
          <w:spacing w:val="32"/>
        </w:rPr>
        <w:t xml:space="preserve"> </w:t>
      </w:r>
      <w:r>
        <w:rPr>
          <w:i/>
          <w:color w:val="221F1F"/>
        </w:rPr>
        <w:t>total</w:t>
      </w:r>
      <w:r>
        <w:rPr>
          <w:i/>
          <w:color w:val="221F1F"/>
          <w:spacing w:val="32"/>
        </w:rPr>
        <w:t xml:space="preserve"> </w:t>
      </w:r>
      <w:r>
        <w:rPr>
          <w:i/>
          <w:color w:val="221F1F"/>
        </w:rPr>
        <w:t>price</w:t>
      </w:r>
      <w:r>
        <w:rPr>
          <w:i/>
          <w:color w:val="221F1F"/>
          <w:spacing w:val="32"/>
        </w:rPr>
        <w:t xml:space="preserve"> </w:t>
      </w:r>
      <w:r>
        <w:rPr>
          <w:i/>
          <w:color w:val="221F1F"/>
        </w:rPr>
        <w:t>of</w:t>
      </w:r>
      <w:r>
        <w:rPr>
          <w:i/>
          <w:color w:val="221F1F"/>
          <w:spacing w:val="32"/>
        </w:rPr>
        <w:t xml:space="preserve"> </w:t>
      </w:r>
      <w:r>
        <w:rPr>
          <w:i/>
          <w:color w:val="221F1F"/>
        </w:rPr>
        <w:t>the</w:t>
      </w:r>
      <w:r>
        <w:rPr>
          <w:i/>
          <w:color w:val="221F1F"/>
          <w:spacing w:val="36"/>
        </w:rPr>
        <w:t xml:space="preserve"> </w:t>
      </w:r>
      <w:r>
        <w:rPr>
          <w:i/>
          <w:color w:val="221F1F"/>
        </w:rPr>
        <w:t>Tender</w:t>
      </w:r>
      <w:r>
        <w:rPr>
          <w:i/>
          <w:color w:val="221F1F"/>
          <w:spacing w:val="23"/>
        </w:rPr>
        <w:t xml:space="preserve"> </w:t>
      </w:r>
      <w:r>
        <w:rPr>
          <w:i/>
          <w:color w:val="221F1F"/>
        </w:rPr>
        <w:t>in</w:t>
      </w:r>
      <w:r>
        <w:rPr>
          <w:i/>
          <w:color w:val="221F1F"/>
          <w:spacing w:val="31"/>
        </w:rPr>
        <w:t xml:space="preserve"> </w:t>
      </w:r>
      <w:r>
        <w:rPr>
          <w:i/>
          <w:color w:val="221F1F"/>
        </w:rPr>
        <w:t>words</w:t>
      </w:r>
      <w:r>
        <w:rPr>
          <w:i/>
          <w:color w:val="221F1F"/>
          <w:spacing w:val="32"/>
        </w:rPr>
        <w:t xml:space="preserve"> </w:t>
      </w:r>
      <w:r>
        <w:rPr>
          <w:i/>
          <w:color w:val="221F1F"/>
        </w:rPr>
        <w:t>and</w:t>
      </w:r>
      <w:r>
        <w:rPr>
          <w:i/>
          <w:color w:val="221F1F"/>
          <w:spacing w:val="31"/>
        </w:rPr>
        <w:t xml:space="preserve"> </w:t>
      </w:r>
      <w:r>
        <w:rPr>
          <w:i/>
          <w:color w:val="221F1F"/>
        </w:rPr>
        <w:t>figures, indicating the various amounts and the respective currencies</w:t>
      </w:r>
      <w:r>
        <w:rPr>
          <w:color w:val="221F1F"/>
        </w:rPr>
        <w:t>]; or</w:t>
      </w:r>
    </w:p>
    <w:p w:rsidR="007F6DF9" w:rsidRDefault="00A43FBC">
      <w:pPr>
        <w:pStyle w:val="BodyText"/>
        <w:spacing w:before="236"/>
        <w:ind w:left="1621"/>
      </w:pPr>
      <w:r>
        <w:rPr>
          <w:color w:val="221F1F"/>
          <w:u w:val="single" w:color="221F1F"/>
        </w:rPr>
        <w:t>Option2</w:t>
      </w:r>
      <w:r>
        <w:rPr>
          <w:color w:val="221F1F"/>
        </w:rPr>
        <w:t>,</w:t>
      </w:r>
      <w:r>
        <w:rPr>
          <w:color w:val="221F1F"/>
          <w:spacing w:val="-4"/>
        </w:rPr>
        <w:t xml:space="preserve"> </w:t>
      </w:r>
      <w:r>
        <w:rPr>
          <w:color w:val="221F1F"/>
        </w:rPr>
        <w:t>in</w:t>
      </w:r>
      <w:r>
        <w:rPr>
          <w:color w:val="221F1F"/>
          <w:spacing w:val="-6"/>
        </w:rPr>
        <w:t xml:space="preserve"> </w:t>
      </w:r>
      <w:r>
        <w:rPr>
          <w:color w:val="221F1F"/>
        </w:rPr>
        <w:t>case</w:t>
      </w:r>
      <w:r>
        <w:rPr>
          <w:color w:val="221F1F"/>
          <w:spacing w:val="-4"/>
        </w:rPr>
        <w:t xml:space="preserve"> </w:t>
      </w:r>
      <w:r>
        <w:rPr>
          <w:color w:val="221F1F"/>
        </w:rPr>
        <w:t>of</w:t>
      </w:r>
      <w:r>
        <w:rPr>
          <w:color w:val="221F1F"/>
          <w:spacing w:val="-4"/>
        </w:rPr>
        <w:t xml:space="preserve"> </w:t>
      </w:r>
      <w:r>
        <w:rPr>
          <w:color w:val="221F1F"/>
        </w:rPr>
        <w:t>multiple</w:t>
      </w:r>
      <w:r>
        <w:rPr>
          <w:color w:val="221F1F"/>
          <w:spacing w:val="-3"/>
        </w:rPr>
        <w:t xml:space="preserve"> </w:t>
      </w:r>
      <w:r>
        <w:rPr>
          <w:color w:val="221F1F"/>
          <w:spacing w:val="-2"/>
        </w:rPr>
        <w:t>lots:</w:t>
      </w:r>
    </w:p>
    <w:p w:rsidR="007F6DF9" w:rsidRDefault="00A43FBC">
      <w:pPr>
        <w:pStyle w:val="ListParagraph"/>
        <w:numPr>
          <w:ilvl w:val="0"/>
          <w:numId w:val="2"/>
        </w:numPr>
        <w:tabs>
          <w:tab w:val="left" w:pos="2151"/>
        </w:tabs>
        <w:spacing w:before="243" w:line="230" w:lineRule="auto"/>
        <w:ind w:right="613"/>
      </w:pPr>
      <w:r>
        <w:rPr>
          <w:color w:val="221F1F"/>
          <w:u w:val="single" w:color="221F1F"/>
        </w:rPr>
        <w:t>Total</w:t>
      </w:r>
      <w:r>
        <w:rPr>
          <w:color w:val="221F1F"/>
          <w:spacing w:val="-12"/>
          <w:u w:val="single" w:color="221F1F"/>
        </w:rPr>
        <w:t xml:space="preserve"> </w:t>
      </w:r>
      <w:r>
        <w:rPr>
          <w:color w:val="221F1F"/>
          <w:u w:val="single" w:color="221F1F"/>
        </w:rPr>
        <w:t>price</w:t>
      </w:r>
      <w:r>
        <w:rPr>
          <w:color w:val="221F1F"/>
          <w:spacing w:val="-5"/>
          <w:u w:val="single" w:color="221F1F"/>
        </w:rPr>
        <w:t xml:space="preserve"> </w:t>
      </w:r>
      <w:r>
        <w:rPr>
          <w:color w:val="221F1F"/>
          <w:u w:val="single" w:color="221F1F"/>
        </w:rPr>
        <w:t>of</w:t>
      </w:r>
      <w:r>
        <w:rPr>
          <w:color w:val="221F1F"/>
          <w:spacing w:val="-5"/>
          <w:u w:val="single" w:color="221F1F"/>
        </w:rPr>
        <w:t xml:space="preserve"> </w:t>
      </w:r>
      <w:r>
        <w:rPr>
          <w:color w:val="221F1F"/>
          <w:u w:val="single" w:color="221F1F"/>
        </w:rPr>
        <w:t>each</w:t>
      </w:r>
      <w:r>
        <w:rPr>
          <w:color w:val="221F1F"/>
          <w:spacing w:val="-5"/>
          <w:u w:val="single" w:color="221F1F"/>
        </w:rPr>
        <w:t xml:space="preserve"> </w:t>
      </w:r>
      <w:r>
        <w:rPr>
          <w:color w:val="221F1F"/>
          <w:u w:val="single" w:color="221F1F"/>
        </w:rPr>
        <w:t>lot</w:t>
      </w:r>
      <w:r>
        <w:rPr>
          <w:color w:val="221F1F"/>
        </w:rPr>
        <w:t xml:space="preserve"> [</w:t>
      </w:r>
      <w:r>
        <w:rPr>
          <w:i/>
          <w:color w:val="221F1F"/>
        </w:rPr>
        <w:t>insert</w:t>
      </w:r>
      <w:r>
        <w:rPr>
          <w:i/>
          <w:color w:val="221F1F"/>
          <w:spacing w:val="-2"/>
        </w:rPr>
        <w:t xml:space="preserve"> </w:t>
      </w:r>
      <w:r>
        <w:rPr>
          <w:i/>
          <w:color w:val="221F1F"/>
        </w:rPr>
        <w:t>the</w:t>
      </w:r>
      <w:r>
        <w:rPr>
          <w:i/>
          <w:color w:val="221F1F"/>
          <w:spacing w:val="-5"/>
        </w:rPr>
        <w:t xml:space="preserve"> </w:t>
      </w:r>
      <w:r>
        <w:rPr>
          <w:i/>
          <w:color w:val="221F1F"/>
        </w:rPr>
        <w:t>total</w:t>
      </w:r>
      <w:r>
        <w:rPr>
          <w:i/>
          <w:color w:val="221F1F"/>
          <w:spacing w:val="-2"/>
        </w:rPr>
        <w:t xml:space="preserve"> </w:t>
      </w:r>
      <w:r>
        <w:rPr>
          <w:i/>
          <w:color w:val="221F1F"/>
        </w:rPr>
        <w:t>price</w:t>
      </w:r>
      <w:r>
        <w:rPr>
          <w:i/>
          <w:color w:val="221F1F"/>
          <w:spacing w:val="-3"/>
        </w:rPr>
        <w:t xml:space="preserve"> </w:t>
      </w:r>
      <w:r>
        <w:rPr>
          <w:i/>
          <w:color w:val="221F1F"/>
        </w:rPr>
        <w:t>of</w:t>
      </w:r>
      <w:r>
        <w:rPr>
          <w:i/>
          <w:color w:val="221F1F"/>
          <w:spacing w:val="-4"/>
        </w:rPr>
        <w:t xml:space="preserve"> </w:t>
      </w:r>
      <w:r>
        <w:rPr>
          <w:i/>
          <w:color w:val="221F1F"/>
        </w:rPr>
        <w:t>each</w:t>
      </w:r>
      <w:r>
        <w:rPr>
          <w:i/>
          <w:color w:val="221F1F"/>
          <w:spacing w:val="-6"/>
        </w:rPr>
        <w:t xml:space="preserve"> </w:t>
      </w:r>
      <w:r>
        <w:rPr>
          <w:i/>
          <w:color w:val="221F1F"/>
        </w:rPr>
        <w:t>lot</w:t>
      </w:r>
      <w:r>
        <w:rPr>
          <w:i/>
          <w:color w:val="221F1F"/>
          <w:spacing w:val="-5"/>
        </w:rPr>
        <w:t xml:space="preserve"> </w:t>
      </w:r>
      <w:r>
        <w:rPr>
          <w:i/>
          <w:color w:val="221F1F"/>
        </w:rPr>
        <w:t>in</w:t>
      </w:r>
      <w:r>
        <w:rPr>
          <w:i/>
          <w:color w:val="221F1F"/>
          <w:spacing w:val="-3"/>
        </w:rPr>
        <w:t xml:space="preserve"> </w:t>
      </w:r>
      <w:r>
        <w:rPr>
          <w:i/>
          <w:color w:val="221F1F"/>
        </w:rPr>
        <w:t>words</w:t>
      </w:r>
      <w:r>
        <w:rPr>
          <w:i/>
          <w:color w:val="221F1F"/>
          <w:spacing w:val="-3"/>
        </w:rPr>
        <w:t xml:space="preserve"> </w:t>
      </w:r>
      <w:r>
        <w:rPr>
          <w:i/>
          <w:color w:val="221F1F"/>
        </w:rPr>
        <w:t>and</w:t>
      </w:r>
      <w:r>
        <w:rPr>
          <w:i/>
          <w:color w:val="221F1F"/>
          <w:spacing w:val="-5"/>
        </w:rPr>
        <w:t xml:space="preserve"> </w:t>
      </w:r>
      <w:r>
        <w:rPr>
          <w:i/>
          <w:color w:val="221F1F"/>
        </w:rPr>
        <w:t>figures,</w:t>
      </w:r>
      <w:r>
        <w:rPr>
          <w:i/>
          <w:color w:val="221F1F"/>
          <w:spacing w:val="-3"/>
        </w:rPr>
        <w:t xml:space="preserve"> </w:t>
      </w:r>
      <w:r>
        <w:rPr>
          <w:i/>
          <w:color w:val="221F1F"/>
        </w:rPr>
        <w:t>indicating</w:t>
      </w:r>
      <w:r>
        <w:rPr>
          <w:i/>
          <w:color w:val="221F1F"/>
          <w:spacing w:val="-3"/>
        </w:rPr>
        <w:t xml:space="preserve"> </w:t>
      </w:r>
      <w:r>
        <w:rPr>
          <w:i/>
          <w:color w:val="221F1F"/>
        </w:rPr>
        <w:t>the</w:t>
      </w:r>
      <w:r>
        <w:rPr>
          <w:i/>
          <w:color w:val="221F1F"/>
          <w:spacing w:val="-3"/>
        </w:rPr>
        <w:t xml:space="preserve"> </w:t>
      </w:r>
      <w:r>
        <w:rPr>
          <w:i/>
          <w:color w:val="221F1F"/>
        </w:rPr>
        <w:t>various amounts and the respective currencies</w:t>
      </w:r>
      <w:r>
        <w:rPr>
          <w:color w:val="221F1F"/>
        </w:rPr>
        <w:t>]; and</w:t>
      </w:r>
    </w:p>
    <w:p w:rsidR="007F6DF9" w:rsidRDefault="00A43FBC">
      <w:pPr>
        <w:pStyle w:val="ListParagraph"/>
        <w:numPr>
          <w:ilvl w:val="0"/>
          <w:numId w:val="2"/>
        </w:numPr>
        <w:tabs>
          <w:tab w:val="left" w:pos="2151"/>
        </w:tabs>
        <w:spacing w:before="241" w:line="232" w:lineRule="auto"/>
        <w:ind w:right="1338"/>
      </w:pPr>
      <w:r>
        <w:rPr>
          <w:color w:val="221F1F"/>
          <w:u w:val="single" w:color="221F1F"/>
        </w:rPr>
        <w:t>Total</w:t>
      </w:r>
      <w:r>
        <w:rPr>
          <w:color w:val="221F1F"/>
          <w:spacing w:val="-11"/>
          <w:u w:val="single" w:color="221F1F"/>
        </w:rPr>
        <w:t xml:space="preserve"> </w:t>
      </w:r>
      <w:r>
        <w:rPr>
          <w:color w:val="221F1F"/>
          <w:u w:val="single" w:color="221F1F"/>
        </w:rPr>
        <w:t>price</w:t>
      </w:r>
      <w:r>
        <w:rPr>
          <w:color w:val="221F1F"/>
          <w:spacing w:val="-4"/>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all</w:t>
      </w:r>
      <w:r>
        <w:rPr>
          <w:color w:val="221F1F"/>
          <w:spacing w:val="-1"/>
          <w:u w:val="single" w:color="221F1F"/>
        </w:rPr>
        <w:t xml:space="preserve"> </w:t>
      </w:r>
      <w:r>
        <w:rPr>
          <w:color w:val="221F1F"/>
          <w:u w:val="single" w:color="221F1F"/>
        </w:rPr>
        <w:t>lots</w:t>
      </w:r>
      <w:r>
        <w:rPr>
          <w:color w:val="221F1F"/>
          <w:spacing w:val="-2"/>
          <w:u w:val="single" w:color="221F1F"/>
        </w:rPr>
        <w:t xml:space="preserve"> </w:t>
      </w:r>
      <w:r>
        <w:rPr>
          <w:color w:val="221F1F"/>
        </w:rPr>
        <w:t>(sum</w:t>
      </w:r>
      <w:r>
        <w:rPr>
          <w:color w:val="221F1F"/>
          <w:spacing w:val="-4"/>
        </w:rPr>
        <w:t xml:space="preserve"> </w:t>
      </w:r>
      <w:r>
        <w:rPr>
          <w:color w:val="221F1F"/>
        </w:rPr>
        <w:t>of</w:t>
      </w:r>
      <w:r>
        <w:rPr>
          <w:color w:val="221F1F"/>
          <w:spacing w:val="-2"/>
        </w:rPr>
        <w:t xml:space="preserve"> </w:t>
      </w:r>
      <w:r>
        <w:rPr>
          <w:color w:val="221F1F"/>
        </w:rPr>
        <w:t>all</w:t>
      </w:r>
      <w:r>
        <w:rPr>
          <w:color w:val="221F1F"/>
          <w:spacing w:val="-4"/>
        </w:rPr>
        <w:t xml:space="preserve"> </w:t>
      </w:r>
      <w:r>
        <w:rPr>
          <w:color w:val="221F1F"/>
        </w:rPr>
        <w:t>lots)</w:t>
      </w:r>
      <w:r>
        <w:rPr>
          <w:color w:val="221F1F"/>
          <w:spacing w:val="-4"/>
        </w:rPr>
        <w:t xml:space="preserve"> </w:t>
      </w:r>
      <w:r>
        <w:rPr>
          <w:color w:val="221F1F"/>
        </w:rPr>
        <w:t>[</w:t>
      </w:r>
      <w:r>
        <w:rPr>
          <w:i/>
          <w:color w:val="221F1F"/>
        </w:rPr>
        <w:t>insert</w:t>
      </w:r>
      <w:r>
        <w:rPr>
          <w:i/>
          <w:color w:val="221F1F"/>
          <w:spacing w:val="-4"/>
        </w:rPr>
        <w:t xml:space="preserve"> </w:t>
      </w:r>
      <w:r>
        <w:rPr>
          <w:i/>
          <w:color w:val="221F1F"/>
        </w:rPr>
        <w:t>the</w:t>
      </w:r>
      <w:r>
        <w:rPr>
          <w:i/>
          <w:color w:val="221F1F"/>
          <w:spacing w:val="-4"/>
        </w:rPr>
        <w:t xml:space="preserve"> </w:t>
      </w:r>
      <w:r>
        <w:rPr>
          <w:i/>
          <w:color w:val="221F1F"/>
        </w:rPr>
        <w:t>total</w:t>
      </w:r>
      <w:r>
        <w:rPr>
          <w:i/>
          <w:color w:val="221F1F"/>
          <w:spacing w:val="-4"/>
        </w:rPr>
        <w:t xml:space="preserve"> </w:t>
      </w:r>
      <w:r>
        <w:rPr>
          <w:i/>
          <w:color w:val="221F1F"/>
        </w:rPr>
        <w:t>price</w:t>
      </w:r>
      <w:r>
        <w:rPr>
          <w:i/>
          <w:color w:val="221F1F"/>
          <w:spacing w:val="-2"/>
        </w:rPr>
        <w:t xml:space="preserve"> </w:t>
      </w:r>
      <w:r>
        <w:rPr>
          <w:i/>
          <w:color w:val="221F1F"/>
        </w:rPr>
        <w:t>of</w:t>
      </w:r>
      <w:r>
        <w:rPr>
          <w:i/>
          <w:color w:val="221F1F"/>
          <w:spacing w:val="-4"/>
        </w:rPr>
        <w:t xml:space="preserve"> </w:t>
      </w:r>
      <w:r>
        <w:rPr>
          <w:i/>
          <w:color w:val="221F1F"/>
        </w:rPr>
        <w:t>all</w:t>
      </w:r>
      <w:r>
        <w:rPr>
          <w:i/>
          <w:color w:val="221F1F"/>
          <w:spacing w:val="-1"/>
        </w:rPr>
        <w:t xml:space="preserve"> </w:t>
      </w:r>
      <w:r>
        <w:rPr>
          <w:i/>
          <w:color w:val="221F1F"/>
        </w:rPr>
        <w:t>lots</w:t>
      </w:r>
      <w:r>
        <w:rPr>
          <w:i/>
          <w:color w:val="221F1F"/>
          <w:spacing w:val="-4"/>
        </w:rPr>
        <w:t xml:space="preserve"> </w:t>
      </w:r>
      <w:r>
        <w:rPr>
          <w:i/>
          <w:color w:val="221F1F"/>
        </w:rPr>
        <w:t>in</w:t>
      </w:r>
      <w:r>
        <w:rPr>
          <w:i/>
          <w:color w:val="221F1F"/>
          <w:spacing w:val="-2"/>
        </w:rPr>
        <w:t xml:space="preserve"> </w:t>
      </w:r>
      <w:r>
        <w:rPr>
          <w:i/>
          <w:color w:val="221F1F"/>
        </w:rPr>
        <w:t>words</w:t>
      </w:r>
      <w:r>
        <w:rPr>
          <w:i/>
          <w:color w:val="221F1F"/>
          <w:spacing w:val="-1"/>
        </w:rPr>
        <w:t xml:space="preserve"> </w:t>
      </w:r>
      <w:r>
        <w:rPr>
          <w:i/>
          <w:color w:val="221F1F"/>
        </w:rPr>
        <w:t>and</w:t>
      </w:r>
      <w:r>
        <w:rPr>
          <w:i/>
          <w:color w:val="221F1F"/>
          <w:spacing w:val="-2"/>
        </w:rPr>
        <w:t xml:space="preserve"> </w:t>
      </w:r>
      <w:r>
        <w:rPr>
          <w:i/>
          <w:color w:val="221F1F"/>
        </w:rPr>
        <w:t>figures, indicating the various amounts and the respective currencies</w:t>
      </w:r>
      <w:r>
        <w:rPr>
          <w:color w:val="221F1F"/>
        </w:rPr>
        <w:t>];</w:t>
      </w:r>
    </w:p>
    <w:p w:rsidR="007F6DF9" w:rsidRDefault="00A43FBC">
      <w:pPr>
        <w:pStyle w:val="ListParagraph"/>
        <w:numPr>
          <w:ilvl w:val="0"/>
          <w:numId w:val="145"/>
        </w:numPr>
        <w:tabs>
          <w:tab w:val="left" w:pos="1618"/>
        </w:tabs>
        <w:spacing w:before="235"/>
        <w:ind w:left="1618" w:hanging="468"/>
        <w:rPr>
          <w:color w:val="221F1F"/>
        </w:rPr>
      </w:pPr>
      <w:r>
        <w:rPr>
          <w:color w:val="221F1F"/>
          <w:u w:val="single" w:color="221F1F"/>
        </w:rPr>
        <w:t>Discounts:</w:t>
      </w:r>
      <w:r>
        <w:rPr>
          <w:color w:val="221F1F"/>
          <w:spacing w:val="-2"/>
          <w:u w:val="single" w:color="221F1F"/>
        </w:rPr>
        <w:t xml:space="preserve"> </w:t>
      </w:r>
      <w:r>
        <w:rPr>
          <w:color w:val="221F1F"/>
        </w:rPr>
        <w:t>The</w:t>
      </w:r>
      <w:r>
        <w:rPr>
          <w:color w:val="221F1F"/>
          <w:spacing w:val="-6"/>
        </w:rPr>
        <w:t xml:space="preserve"> </w:t>
      </w:r>
      <w:r>
        <w:rPr>
          <w:color w:val="221F1F"/>
        </w:rPr>
        <w:t>discounts</w:t>
      </w:r>
      <w:r>
        <w:rPr>
          <w:color w:val="221F1F"/>
          <w:spacing w:val="-3"/>
        </w:rPr>
        <w:t xml:space="preserve"> </w:t>
      </w:r>
      <w:r>
        <w:rPr>
          <w:color w:val="221F1F"/>
        </w:rPr>
        <w:t>offered</w:t>
      </w:r>
      <w:r>
        <w:rPr>
          <w:color w:val="221F1F"/>
          <w:spacing w:val="-5"/>
        </w:rPr>
        <w:t xml:space="preserve"> </w:t>
      </w:r>
      <w:r>
        <w:rPr>
          <w:color w:val="221F1F"/>
        </w:rPr>
        <w:t>and</w:t>
      </w:r>
      <w:r>
        <w:rPr>
          <w:color w:val="221F1F"/>
          <w:spacing w:val="-5"/>
        </w:rPr>
        <w:t xml:space="preserve"> </w:t>
      </w:r>
      <w:r>
        <w:rPr>
          <w:color w:val="221F1F"/>
        </w:rPr>
        <w:t>the</w:t>
      </w:r>
      <w:r>
        <w:rPr>
          <w:color w:val="221F1F"/>
          <w:spacing w:val="-4"/>
        </w:rPr>
        <w:t xml:space="preserve"> </w:t>
      </w:r>
      <w:r>
        <w:rPr>
          <w:color w:val="221F1F"/>
        </w:rPr>
        <w:t>methodology</w:t>
      </w:r>
      <w:r>
        <w:rPr>
          <w:color w:val="221F1F"/>
          <w:spacing w:val="-6"/>
        </w:rPr>
        <w:t xml:space="preserve"> </w:t>
      </w:r>
      <w:r>
        <w:rPr>
          <w:color w:val="221F1F"/>
        </w:rPr>
        <w:t>for</w:t>
      </w:r>
      <w:r>
        <w:rPr>
          <w:color w:val="221F1F"/>
          <w:spacing w:val="-5"/>
        </w:rPr>
        <w:t xml:space="preserve"> </w:t>
      </w:r>
      <w:r>
        <w:rPr>
          <w:color w:val="221F1F"/>
        </w:rPr>
        <w:t>their</w:t>
      </w:r>
      <w:r>
        <w:rPr>
          <w:color w:val="221F1F"/>
          <w:spacing w:val="-5"/>
        </w:rPr>
        <w:t xml:space="preserve"> </w:t>
      </w:r>
      <w:r>
        <w:rPr>
          <w:color w:val="221F1F"/>
        </w:rPr>
        <w:t>application</w:t>
      </w:r>
      <w:r>
        <w:rPr>
          <w:color w:val="221F1F"/>
          <w:spacing w:val="-2"/>
        </w:rPr>
        <w:t xml:space="preserve"> </w:t>
      </w:r>
      <w:r>
        <w:rPr>
          <w:color w:val="221F1F"/>
          <w:spacing w:val="-4"/>
        </w:rPr>
        <w:t>are:</w:t>
      </w:r>
    </w:p>
    <w:p w:rsidR="007F6DF9" w:rsidRDefault="00A43FBC">
      <w:pPr>
        <w:pStyle w:val="ListParagraph"/>
        <w:numPr>
          <w:ilvl w:val="0"/>
          <w:numId w:val="145"/>
        </w:numPr>
        <w:tabs>
          <w:tab w:val="left" w:pos="1617"/>
        </w:tabs>
        <w:spacing w:before="235"/>
        <w:ind w:left="1617" w:hanging="467"/>
        <w:rPr>
          <w:color w:val="221F1F"/>
        </w:rPr>
      </w:pPr>
      <w:r>
        <w:rPr>
          <w:color w:val="221F1F"/>
        </w:rPr>
        <w:t>The</w:t>
      </w:r>
      <w:r>
        <w:rPr>
          <w:color w:val="221F1F"/>
          <w:spacing w:val="-5"/>
        </w:rPr>
        <w:t xml:space="preserve"> </w:t>
      </w:r>
      <w:r>
        <w:rPr>
          <w:color w:val="221F1F"/>
        </w:rPr>
        <w:t>discounts</w:t>
      </w:r>
      <w:r>
        <w:rPr>
          <w:color w:val="221F1F"/>
          <w:spacing w:val="-3"/>
        </w:rPr>
        <w:t xml:space="preserve"> </w:t>
      </w:r>
      <w:r>
        <w:rPr>
          <w:color w:val="221F1F"/>
        </w:rPr>
        <w:t>offered</w:t>
      </w:r>
      <w:r>
        <w:rPr>
          <w:color w:val="221F1F"/>
          <w:spacing w:val="-3"/>
        </w:rPr>
        <w:t xml:space="preserve"> </w:t>
      </w:r>
      <w:r>
        <w:rPr>
          <w:color w:val="221F1F"/>
        </w:rPr>
        <w:t>are:</w:t>
      </w:r>
      <w:r>
        <w:rPr>
          <w:color w:val="221F1F"/>
          <w:spacing w:val="-5"/>
        </w:rPr>
        <w:t xml:space="preserve"> </w:t>
      </w:r>
      <w:r>
        <w:rPr>
          <w:color w:val="221F1F"/>
        </w:rPr>
        <w:t>[</w:t>
      </w:r>
      <w:r>
        <w:rPr>
          <w:i/>
          <w:color w:val="221F1F"/>
        </w:rPr>
        <w:t>Specify</w:t>
      </w:r>
      <w:r>
        <w:rPr>
          <w:i/>
          <w:color w:val="221F1F"/>
          <w:spacing w:val="-4"/>
        </w:rPr>
        <w:t xml:space="preserve"> </w:t>
      </w:r>
      <w:r>
        <w:rPr>
          <w:i/>
          <w:color w:val="221F1F"/>
        </w:rPr>
        <w:t>in</w:t>
      </w:r>
      <w:r>
        <w:rPr>
          <w:i/>
          <w:color w:val="221F1F"/>
          <w:spacing w:val="-3"/>
        </w:rPr>
        <w:t xml:space="preserve"> </w:t>
      </w:r>
      <w:r>
        <w:rPr>
          <w:i/>
          <w:color w:val="221F1F"/>
        </w:rPr>
        <w:t>detail</w:t>
      </w:r>
      <w:r>
        <w:rPr>
          <w:i/>
          <w:color w:val="221F1F"/>
          <w:spacing w:val="-5"/>
        </w:rPr>
        <w:t xml:space="preserve"> </w:t>
      </w:r>
      <w:r>
        <w:rPr>
          <w:i/>
          <w:color w:val="221F1F"/>
        </w:rPr>
        <w:t>each</w:t>
      </w:r>
      <w:r>
        <w:rPr>
          <w:i/>
          <w:color w:val="221F1F"/>
          <w:spacing w:val="-6"/>
        </w:rPr>
        <w:t xml:space="preserve"> </w:t>
      </w:r>
      <w:r>
        <w:rPr>
          <w:i/>
          <w:color w:val="221F1F"/>
        </w:rPr>
        <w:t>discount</w:t>
      </w:r>
      <w:r>
        <w:rPr>
          <w:i/>
          <w:color w:val="221F1F"/>
          <w:spacing w:val="-1"/>
        </w:rPr>
        <w:t xml:space="preserve"> </w:t>
      </w:r>
      <w:r>
        <w:rPr>
          <w:i/>
          <w:color w:val="221F1F"/>
          <w:spacing w:val="-2"/>
        </w:rPr>
        <w:t>offered.</w:t>
      </w:r>
      <w:r>
        <w:rPr>
          <w:color w:val="221F1F"/>
          <w:spacing w:val="-2"/>
        </w:rPr>
        <w:t>]</w:t>
      </w:r>
    </w:p>
    <w:p w:rsidR="007F6DF9" w:rsidRDefault="00A43FBC">
      <w:pPr>
        <w:pStyle w:val="ListParagraph"/>
        <w:numPr>
          <w:ilvl w:val="0"/>
          <w:numId w:val="145"/>
        </w:numPr>
        <w:tabs>
          <w:tab w:val="left" w:pos="1619"/>
          <w:tab w:val="left" w:pos="1621"/>
        </w:tabs>
        <w:spacing w:before="242" w:line="230" w:lineRule="auto"/>
        <w:ind w:right="570"/>
        <w:jc w:val="both"/>
        <w:rPr>
          <w:color w:val="221F1F"/>
        </w:rPr>
      </w:pPr>
      <w:r>
        <w:rPr>
          <w:color w:val="221F1F"/>
        </w:rPr>
        <w:t>The</w:t>
      </w:r>
      <w:r>
        <w:rPr>
          <w:color w:val="221F1F"/>
          <w:spacing w:val="-5"/>
        </w:rPr>
        <w:t xml:space="preserve"> </w:t>
      </w:r>
      <w:r>
        <w:rPr>
          <w:color w:val="221F1F"/>
        </w:rPr>
        <w:t>exact</w:t>
      </w:r>
      <w:r>
        <w:rPr>
          <w:color w:val="221F1F"/>
          <w:spacing w:val="-4"/>
        </w:rPr>
        <w:t xml:space="preserve"> </w:t>
      </w:r>
      <w:r>
        <w:rPr>
          <w:color w:val="221F1F"/>
        </w:rPr>
        <w:t>method</w:t>
      </w:r>
      <w:r>
        <w:rPr>
          <w:color w:val="221F1F"/>
          <w:spacing w:val="-5"/>
        </w:rPr>
        <w:t xml:space="preserve"> </w:t>
      </w:r>
      <w:r>
        <w:rPr>
          <w:color w:val="221F1F"/>
        </w:rPr>
        <w:t>of</w:t>
      </w:r>
      <w:r>
        <w:rPr>
          <w:color w:val="221F1F"/>
          <w:spacing w:val="-4"/>
        </w:rPr>
        <w:t xml:space="preserve"> </w:t>
      </w:r>
      <w:r>
        <w:rPr>
          <w:color w:val="221F1F"/>
        </w:rPr>
        <w:t>calculations</w:t>
      </w:r>
      <w:r>
        <w:rPr>
          <w:color w:val="221F1F"/>
          <w:spacing w:val="-4"/>
        </w:rPr>
        <w:t xml:space="preserve"> </w:t>
      </w:r>
      <w:r>
        <w:rPr>
          <w:color w:val="221F1F"/>
        </w:rPr>
        <w:t>to</w:t>
      </w:r>
      <w:r>
        <w:rPr>
          <w:color w:val="221F1F"/>
          <w:spacing w:val="-5"/>
        </w:rPr>
        <w:t xml:space="preserve"> </w:t>
      </w:r>
      <w:r>
        <w:rPr>
          <w:color w:val="221F1F"/>
        </w:rPr>
        <w:t>determine</w:t>
      </w:r>
      <w:r>
        <w:rPr>
          <w:color w:val="221F1F"/>
          <w:spacing w:val="-4"/>
        </w:rPr>
        <w:t xml:space="preserve"> </w:t>
      </w:r>
      <w:r>
        <w:rPr>
          <w:color w:val="221F1F"/>
        </w:rPr>
        <w:t>the</w:t>
      </w:r>
      <w:r>
        <w:rPr>
          <w:color w:val="221F1F"/>
          <w:spacing w:val="-4"/>
        </w:rPr>
        <w:t xml:space="preserve"> </w:t>
      </w:r>
      <w:r>
        <w:rPr>
          <w:color w:val="221F1F"/>
        </w:rPr>
        <w:t>net</w:t>
      </w:r>
      <w:r>
        <w:rPr>
          <w:color w:val="221F1F"/>
          <w:spacing w:val="-6"/>
        </w:rPr>
        <w:t xml:space="preserve"> </w:t>
      </w:r>
      <w:r>
        <w:rPr>
          <w:color w:val="221F1F"/>
        </w:rPr>
        <w:t>price</w:t>
      </w:r>
      <w:r>
        <w:rPr>
          <w:color w:val="221F1F"/>
          <w:spacing w:val="-4"/>
        </w:rPr>
        <w:t xml:space="preserve"> </w:t>
      </w:r>
      <w:r>
        <w:rPr>
          <w:color w:val="221F1F"/>
        </w:rPr>
        <w:t>after</w:t>
      </w:r>
      <w:r>
        <w:rPr>
          <w:color w:val="221F1F"/>
          <w:spacing w:val="-4"/>
        </w:rPr>
        <w:t xml:space="preserve"> </w:t>
      </w:r>
      <w:r>
        <w:rPr>
          <w:color w:val="221F1F"/>
        </w:rPr>
        <w:t>application</w:t>
      </w:r>
      <w:r>
        <w:rPr>
          <w:color w:val="221F1F"/>
          <w:spacing w:val="-5"/>
        </w:rPr>
        <w:t xml:space="preserve"> </w:t>
      </w:r>
      <w:r>
        <w:rPr>
          <w:color w:val="221F1F"/>
        </w:rPr>
        <w:t>of</w:t>
      </w:r>
      <w:r>
        <w:rPr>
          <w:color w:val="221F1F"/>
          <w:spacing w:val="-4"/>
        </w:rPr>
        <w:t xml:space="preserve"> </w:t>
      </w:r>
      <w:r>
        <w:rPr>
          <w:color w:val="221F1F"/>
        </w:rPr>
        <w:t>discounts</w:t>
      </w:r>
      <w:r>
        <w:rPr>
          <w:color w:val="221F1F"/>
          <w:spacing w:val="-4"/>
        </w:rPr>
        <w:t xml:space="preserve"> </w:t>
      </w:r>
      <w:r>
        <w:rPr>
          <w:color w:val="221F1F"/>
        </w:rPr>
        <w:t>is</w:t>
      </w:r>
      <w:r>
        <w:rPr>
          <w:color w:val="221F1F"/>
          <w:spacing w:val="-4"/>
        </w:rPr>
        <w:t xml:space="preserve"> </w:t>
      </w:r>
      <w:r>
        <w:rPr>
          <w:color w:val="221F1F"/>
        </w:rPr>
        <w:t>shown</w:t>
      </w:r>
      <w:r>
        <w:rPr>
          <w:color w:val="221F1F"/>
          <w:spacing w:val="-5"/>
        </w:rPr>
        <w:t xml:space="preserve"> </w:t>
      </w:r>
      <w:r>
        <w:rPr>
          <w:color w:val="221F1F"/>
        </w:rPr>
        <w:t>below: [</w:t>
      </w:r>
      <w:r>
        <w:rPr>
          <w:i/>
          <w:color w:val="221F1F"/>
        </w:rPr>
        <w:t>Specify in detail the method that shall be used to apply the discounts</w:t>
      </w:r>
      <w:r>
        <w:rPr>
          <w:color w:val="221F1F"/>
        </w:rPr>
        <w:t>];</w:t>
      </w:r>
    </w:p>
    <w:p w:rsidR="007F6DF9" w:rsidRDefault="00A43FBC">
      <w:pPr>
        <w:pStyle w:val="ListParagraph"/>
        <w:numPr>
          <w:ilvl w:val="0"/>
          <w:numId w:val="145"/>
        </w:numPr>
        <w:tabs>
          <w:tab w:val="left" w:pos="1619"/>
          <w:tab w:val="left" w:pos="1621"/>
        </w:tabs>
        <w:spacing w:before="244" w:line="230" w:lineRule="auto"/>
        <w:ind w:right="564"/>
        <w:jc w:val="both"/>
        <w:rPr>
          <w:color w:val="221F1F"/>
        </w:rPr>
      </w:pPr>
      <w:r>
        <w:rPr>
          <w:color w:val="221F1F"/>
          <w:u w:val="single" w:color="221F1F"/>
        </w:rPr>
        <w:t>Tender Validity Period</w:t>
      </w:r>
      <w:r>
        <w:rPr>
          <w:color w:val="221F1F"/>
        </w:rPr>
        <w:t>: Our Tender shall be valid for the period specified in TDS 18.1 (as amended, if applicable) from the</w:t>
      </w:r>
      <w:r>
        <w:rPr>
          <w:color w:val="221F1F"/>
          <w:spacing w:val="-2"/>
        </w:rPr>
        <w:t xml:space="preserve"> </w:t>
      </w:r>
      <w:r>
        <w:rPr>
          <w:color w:val="221F1F"/>
        </w:rPr>
        <w:t>date fixed for the Tender</w:t>
      </w:r>
      <w:r>
        <w:rPr>
          <w:color w:val="221F1F"/>
          <w:spacing w:val="-3"/>
        </w:rPr>
        <w:t xml:space="preserve"> </w:t>
      </w:r>
      <w:r>
        <w:rPr>
          <w:color w:val="221F1F"/>
        </w:rPr>
        <w:t>submission deadline specified in TDS 22.1 (as amended, if applicable), and</w:t>
      </w:r>
      <w:r>
        <w:rPr>
          <w:color w:val="221F1F"/>
          <w:spacing w:val="-1"/>
        </w:rPr>
        <w:t xml:space="preserve"> </w:t>
      </w:r>
      <w:r>
        <w:rPr>
          <w:color w:val="221F1F"/>
        </w:rPr>
        <w:t>it shall remain binding upon us and may be</w:t>
      </w:r>
      <w:r>
        <w:rPr>
          <w:color w:val="221F1F"/>
          <w:spacing w:val="-1"/>
        </w:rPr>
        <w:t xml:space="preserve"> </w:t>
      </w:r>
      <w:r>
        <w:rPr>
          <w:color w:val="221F1F"/>
        </w:rPr>
        <w:t>accepted at any time before the expiration</w:t>
      </w:r>
      <w:r>
        <w:rPr>
          <w:color w:val="221F1F"/>
          <w:spacing w:val="-1"/>
        </w:rPr>
        <w:t xml:space="preserve"> </w:t>
      </w:r>
      <w:r>
        <w:rPr>
          <w:color w:val="221F1F"/>
        </w:rPr>
        <w:t>of that period;</w:t>
      </w:r>
    </w:p>
    <w:p w:rsidR="007F6DF9" w:rsidRDefault="00A43FBC">
      <w:pPr>
        <w:pStyle w:val="ListParagraph"/>
        <w:numPr>
          <w:ilvl w:val="0"/>
          <w:numId w:val="145"/>
        </w:numPr>
        <w:tabs>
          <w:tab w:val="left" w:pos="1619"/>
          <w:tab w:val="left" w:pos="1621"/>
        </w:tabs>
        <w:spacing w:before="246" w:line="230" w:lineRule="auto"/>
        <w:ind w:right="566"/>
        <w:jc w:val="both"/>
        <w:rPr>
          <w:color w:val="221F1F"/>
        </w:rPr>
      </w:pPr>
      <w:r>
        <w:rPr>
          <w:color w:val="221F1F"/>
          <w:u w:val="single" w:color="221F1F"/>
        </w:rPr>
        <w:t>Performance</w:t>
      </w:r>
      <w:r>
        <w:rPr>
          <w:color w:val="221F1F"/>
          <w:spacing w:val="-14"/>
          <w:u w:val="single" w:color="221F1F"/>
        </w:rPr>
        <w:t xml:space="preserve"> </w:t>
      </w:r>
      <w:r>
        <w:rPr>
          <w:color w:val="221F1F"/>
          <w:u w:val="single" w:color="221F1F"/>
        </w:rPr>
        <w:t>Security:</w:t>
      </w:r>
      <w:r>
        <w:rPr>
          <w:color w:val="221F1F"/>
          <w:spacing w:val="-14"/>
        </w:rPr>
        <w:t xml:space="preserve"> </w:t>
      </w:r>
      <w:r>
        <w:rPr>
          <w:color w:val="221F1F"/>
        </w:rPr>
        <w:t>If</w:t>
      </w:r>
      <w:r>
        <w:rPr>
          <w:color w:val="221F1F"/>
          <w:spacing w:val="-14"/>
        </w:rPr>
        <w:t xml:space="preserve"> </w:t>
      </w:r>
      <w:r>
        <w:rPr>
          <w:color w:val="221F1F"/>
        </w:rPr>
        <w:t>our</w:t>
      </w:r>
      <w:r>
        <w:rPr>
          <w:color w:val="221F1F"/>
          <w:spacing w:val="-13"/>
        </w:rPr>
        <w:t xml:space="preserve"> </w:t>
      </w:r>
      <w:r>
        <w:rPr>
          <w:color w:val="221F1F"/>
        </w:rPr>
        <w:t>Tender</w:t>
      </w:r>
      <w:r>
        <w:rPr>
          <w:color w:val="221F1F"/>
          <w:spacing w:val="-14"/>
        </w:rPr>
        <w:t xml:space="preserve"> </w:t>
      </w:r>
      <w:r>
        <w:rPr>
          <w:color w:val="221F1F"/>
        </w:rPr>
        <w:t>is</w:t>
      </w:r>
      <w:r>
        <w:rPr>
          <w:color w:val="221F1F"/>
          <w:spacing w:val="-14"/>
        </w:rPr>
        <w:t xml:space="preserve"> </w:t>
      </w:r>
      <w:r>
        <w:rPr>
          <w:color w:val="221F1F"/>
        </w:rPr>
        <w:t>accepted,</w:t>
      </w:r>
      <w:r>
        <w:rPr>
          <w:color w:val="221F1F"/>
          <w:spacing w:val="-14"/>
        </w:rPr>
        <w:t xml:space="preserve"> </w:t>
      </w:r>
      <w:r>
        <w:rPr>
          <w:color w:val="221F1F"/>
        </w:rPr>
        <w:t>we</w:t>
      </w:r>
      <w:r>
        <w:rPr>
          <w:color w:val="221F1F"/>
          <w:spacing w:val="-13"/>
        </w:rPr>
        <w:t xml:space="preserve"> </w:t>
      </w:r>
      <w:r>
        <w:rPr>
          <w:color w:val="221F1F"/>
        </w:rPr>
        <w:t>commit</w:t>
      </w:r>
      <w:r>
        <w:rPr>
          <w:color w:val="221F1F"/>
          <w:spacing w:val="-14"/>
        </w:rPr>
        <w:t xml:space="preserve"> </w:t>
      </w:r>
      <w:r>
        <w:rPr>
          <w:color w:val="221F1F"/>
        </w:rPr>
        <w:t>to</w:t>
      </w:r>
      <w:r>
        <w:rPr>
          <w:color w:val="221F1F"/>
          <w:spacing w:val="-14"/>
        </w:rPr>
        <w:t xml:space="preserve"> </w:t>
      </w:r>
      <w:proofErr w:type="spellStart"/>
      <w:r>
        <w:rPr>
          <w:color w:val="221F1F"/>
        </w:rPr>
        <w:t>obtaina</w:t>
      </w:r>
      <w:proofErr w:type="spellEnd"/>
      <w:r>
        <w:rPr>
          <w:color w:val="221F1F"/>
          <w:spacing w:val="-14"/>
        </w:rPr>
        <w:t xml:space="preserve"> </w:t>
      </w:r>
      <w:r>
        <w:rPr>
          <w:color w:val="221F1F"/>
        </w:rPr>
        <w:t>Performance</w:t>
      </w:r>
      <w:r>
        <w:rPr>
          <w:color w:val="221F1F"/>
          <w:spacing w:val="-13"/>
        </w:rPr>
        <w:t xml:space="preserve"> </w:t>
      </w:r>
      <w:r>
        <w:rPr>
          <w:color w:val="221F1F"/>
        </w:rPr>
        <w:t>Security</w:t>
      </w:r>
      <w:r>
        <w:rPr>
          <w:color w:val="221F1F"/>
          <w:spacing w:val="-14"/>
        </w:rPr>
        <w:t xml:space="preserve"> </w:t>
      </w:r>
      <w:r>
        <w:rPr>
          <w:color w:val="221F1F"/>
        </w:rPr>
        <w:t>in</w:t>
      </w:r>
      <w:r>
        <w:rPr>
          <w:color w:val="221F1F"/>
          <w:spacing w:val="-14"/>
        </w:rPr>
        <w:t xml:space="preserve"> </w:t>
      </w:r>
      <w:r>
        <w:rPr>
          <w:color w:val="221F1F"/>
        </w:rPr>
        <w:t>accordance with the Tendering document;</w:t>
      </w:r>
    </w:p>
    <w:p w:rsidR="007F6DF9" w:rsidRDefault="00A43FBC">
      <w:pPr>
        <w:pStyle w:val="ListParagraph"/>
        <w:numPr>
          <w:ilvl w:val="0"/>
          <w:numId w:val="145"/>
        </w:numPr>
        <w:tabs>
          <w:tab w:val="left" w:pos="1618"/>
          <w:tab w:val="left" w:pos="1621"/>
        </w:tabs>
        <w:spacing w:before="244" w:line="230" w:lineRule="auto"/>
        <w:ind w:right="566"/>
        <w:jc w:val="both"/>
        <w:rPr>
          <w:color w:val="221F1F"/>
        </w:rPr>
      </w:pPr>
      <w:r>
        <w:rPr>
          <w:color w:val="221F1F"/>
          <w:u w:val="single" w:color="221F1F"/>
        </w:rPr>
        <w:t>One</w:t>
      </w:r>
      <w:r>
        <w:rPr>
          <w:color w:val="221F1F"/>
          <w:spacing w:val="-10"/>
          <w:u w:val="single" w:color="221F1F"/>
        </w:rPr>
        <w:t xml:space="preserve"> </w:t>
      </w:r>
      <w:r>
        <w:rPr>
          <w:color w:val="221F1F"/>
          <w:u w:val="single" w:color="221F1F"/>
        </w:rPr>
        <w:t>Tender</w:t>
      </w:r>
      <w:r>
        <w:rPr>
          <w:color w:val="221F1F"/>
          <w:spacing w:val="-10"/>
          <w:u w:val="single" w:color="221F1F"/>
        </w:rPr>
        <w:t xml:space="preserve"> </w:t>
      </w:r>
      <w:r>
        <w:rPr>
          <w:color w:val="221F1F"/>
          <w:u w:val="single" w:color="221F1F"/>
        </w:rPr>
        <w:t>Per</w:t>
      </w:r>
      <w:r>
        <w:rPr>
          <w:color w:val="221F1F"/>
          <w:spacing w:val="-6"/>
          <w:u w:val="single" w:color="221F1F"/>
        </w:rPr>
        <w:t xml:space="preserve"> </w:t>
      </w:r>
      <w:r>
        <w:rPr>
          <w:color w:val="221F1F"/>
          <w:u w:val="single" w:color="221F1F"/>
        </w:rPr>
        <w:t>Tender</w:t>
      </w:r>
      <w:r>
        <w:rPr>
          <w:color w:val="221F1F"/>
        </w:rPr>
        <w:t>:</w:t>
      </w:r>
      <w:r>
        <w:rPr>
          <w:color w:val="221F1F"/>
          <w:spacing w:val="-14"/>
        </w:rPr>
        <w:t xml:space="preserve"> </w:t>
      </w:r>
      <w:proofErr w:type="spellStart"/>
      <w:r>
        <w:rPr>
          <w:color w:val="221F1F"/>
        </w:rPr>
        <w:t>Weare</w:t>
      </w:r>
      <w:proofErr w:type="spellEnd"/>
      <w:r>
        <w:rPr>
          <w:color w:val="221F1F"/>
          <w:spacing w:val="-8"/>
        </w:rPr>
        <w:t xml:space="preserve"> </w:t>
      </w:r>
      <w:r>
        <w:rPr>
          <w:color w:val="221F1F"/>
        </w:rPr>
        <w:t>not</w:t>
      </w:r>
      <w:r>
        <w:rPr>
          <w:color w:val="221F1F"/>
          <w:spacing w:val="-8"/>
        </w:rPr>
        <w:t xml:space="preserve"> </w:t>
      </w:r>
      <w:r>
        <w:rPr>
          <w:color w:val="221F1F"/>
        </w:rPr>
        <w:t>submitting</w:t>
      </w:r>
      <w:r>
        <w:rPr>
          <w:color w:val="221F1F"/>
          <w:spacing w:val="-9"/>
        </w:rPr>
        <w:t xml:space="preserve"> </w:t>
      </w:r>
      <w:r>
        <w:rPr>
          <w:color w:val="221F1F"/>
        </w:rPr>
        <w:t>any</w:t>
      </w:r>
      <w:r>
        <w:rPr>
          <w:color w:val="221F1F"/>
          <w:spacing w:val="-8"/>
        </w:rPr>
        <w:t xml:space="preserve"> </w:t>
      </w:r>
      <w:r>
        <w:rPr>
          <w:color w:val="221F1F"/>
        </w:rPr>
        <w:t>other</w:t>
      </w:r>
      <w:r>
        <w:rPr>
          <w:color w:val="221F1F"/>
          <w:spacing w:val="-7"/>
        </w:rPr>
        <w:t xml:space="preserve"> </w:t>
      </w:r>
      <w:r>
        <w:rPr>
          <w:color w:val="221F1F"/>
        </w:rPr>
        <w:t>Tender(s)</w:t>
      </w:r>
      <w:r>
        <w:rPr>
          <w:color w:val="221F1F"/>
          <w:spacing w:val="-7"/>
        </w:rPr>
        <w:t xml:space="preserve"> </w:t>
      </w:r>
      <w:r>
        <w:rPr>
          <w:color w:val="221F1F"/>
        </w:rPr>
        <w:t>as</w:t>
      </w:r>
      <w:r>
        <w:rPr>
          <w:color w:val="221F1F"/>
          <w:spacing w:val="-8"/>
        </w:rPr>
        <w:t xml:space="preserve"> </w:t>
      </w:r>
      <w:r>
        <w:rPr>
          <w:color w:val="221F1F"/>
        </w:rPr>
        <w:t>an</w:t>
      </w:r>
      <w:r>
        <w:rPr>
          <w:color w:val="221F1F"/>
          <w:spacing w:val="-8"/>
        </w:rPr>
        <w:t xml:space="preserve"> </w:t>
      </w:r>
      <w:r>
        <w:rPr>
          <w:color w:val="221F1F"/>
        </w:rPr>
        <w:t>individual</w:t>
      </w:r>
      <w:r>
        <w:rPr>
          <w:color w:val="221F1F"/>
          <w:spacing w:val="-6"/>
        </w:rPr>
        <w:t xml:space="preserve"> </w:t>
      </w:r>
      <w:r>
        <w:rPr>
          <w:color w:val="221F1F"/>
        </w:rPr>
        <w:t>Tender,</w:t>
      </w:r>
      <w:r>
        <w:rPr>
          <w:color w:val="221F1F"/>
          <w:spacing w:val="-14"/>
        </w:rPr>
        <w:t xml:space="preserve"> </w:t>
      </w:r>
      <w:r>
        <w:rPr>
          <w:color w:val="221F1F"/>
        </w:rPr>
        <w:t>and</w:t>
      </w:r>
      <w:r>
        <w:rPr>
          <w:color w:val="221F1F"/>
          <w:spacing w:val="-6"/>
        </w:rPr>
        <w:t xml:space="preserve"> </w:t>
      </w:r>
      <w:r>
        <w:rPr>
          <w:color w:val="221F1F"/>
        </w:rPr>
        <w:t>we</w:t>
      </w:r>
      <w:r>
        <w:rPr>
          <w:color w:val="221F1F"/>
          <w:spacing w:val="-7"/>
        </w:rPr>
        <w:t xml:space="preserve"> </w:t>
      </w:r>
      <w:r>
        <w:rPr>
          <w:color w:val="221F1F"/>
        </w:rPr>
        <w:t>are</w:t>
      </w:r>
      <w:r>
        <w:rPr>
          <w:color w:val="221F1F"/>
          <w:spacing w:val="-7"/>
        </w:rPr>
        <w:t xml:space="preserve"> </w:t>
      </w:r>
      <w:r>
        <w:rPr>
          <w:color w:val="221F1F"/>
        </w:rPr>
        <w:t>not participating in any other Tender(s) as a Joint Venture member or as a sub-contractor, and meet the requirements of ITT 3.4, other than alternative Tenders submitted in accordance with ITT 13.3;</w:t>
      </w:r>
    </w:p>
    <w:p w:rsidR="007F6DF9" w:rsidRDefault="00A43FBC">
      <w:pPr>
        <w:pStyle w:val="ListParagraph"/>
        <w:numPr>
          <w:ilvl w:val="0"/>
          <w:numId w:val="145"/>
        </w:numPr>
        <w:tabs>
          <w:tab w:val="left" w:pos="1617"/>
          <w:tab w:val="left" w:pos="1621"/>
        </w:tabs>
        <w:spacing w:before="245" w:line="230" w:lineRule="auto"/>
        <w:ind w:right="566"/>
        <w:jc w:val="both"/>
        <w:rPr>
          <w:color w:val="221F1F"/>
        </w:rPr>
      </w:pPr>
      <w:r>
        <w:rPr>
          <w:color w:val="221F1F"/>
          <w:u w:val="single" w:color="221F1F"/>
        </w:rPr>
        <w:t>Suspension</w:t>
      </w:r>
      <w:r>
        <w:rPr>
          <w:color w:val="221F1F"/>
          <w:spacing w:val="-14"/>
          <w:u w:val="single" w:color="221F1F"/>
        </w:rPr>
        <w:t xml:space="preserve"> </w:t>
      </w:r>
      <w:r>
        <w:rPr>
          <w:color w:val="221F1F"/>
          <w:u w:val="single" w:color="221F1F"/>
        </w:rPr>
        <w:t>and</w:t>
      </w:r>
      <w:r>
        <w:rPr>
          <w:color w:val="221F1F"/>
          <w:spacing w:val="-14"/>
          <w:u w:val="single" w:color="221F1F"/>
        </w:rPr>
        <w:t xml:space="preserve"> </w:t>
      </w:r>
      <w:r>
        <w:rPr>
          <w:color w:val="221F1F"/>
          <w:u w:val="single" w:color="221F1F"/>
        </w:rPr>
        <w:t>Debarment</w:t>
      </w:r>
      <w:r>
        <w:rPr>
          <w:color w:val="221F1F"/>
        </w:rPr>
        <w:t>:</w:t>
      </w:r>
      <w:r>
        <w:rPr>
          <w:color w:val="221F1F"/>
          <w:spacing w:val="-11"/>
        </w:rPr>
        <w:t xml:space="preserve"> </w:t>
      </w:r>
      <w:r>
        <w:rPr>
          <w:color w:val="221F1F"/>
        </w:rPr>
        <w:t>We,</w:t>
      </w:r>
      <w:r>
        <w:rPr>
          <w:color w:val="221F1F"/>
          <w:spacing w:val="-14"/>
        </w:rPr>
        <w:t xml:space="preserve"> </w:t>
      </w:r>
      <w:r>
        <w:rPr>
          <w:color w:val="221F1F"/>
        </w:rPr>
        <w:t>along</w:t>
      </w:r>
      <w:r>
        <w:rPr>
          <w:color w:val="221F1F"/>
          <w:spacing w:val="-10"/>
        </w:rPr>
        <w:t xml:space="preserve"> </w:t>
      </w:r>
      <w:r>
        <w:rPr>
          <w:color w:val="221F1F"/>
        </w:rPr>
        <w:t>with</w:t>
      </w:r>
      <w:r>
        <w:rPr>
          <w:color w:val="221F1F"/>
          <w:spacing w:val="-10"/>
        </w:rPr>
        <w:t xml:space="preserve"> </w:t>
      </w:r>
      <w:r>
        <w:rPr>
          <w:color w:val="221F1F"/>
        </w:rPr>
        <w:t>any</w:t>
      </w:r>
      <w:r>
        <w:rPr>
          <w:color w:val="221F1F"/>
          <w:spacing w:val="-10"/>
        </w:rPr>
        <w:t xml:space="preserve"> </w:t>
      </w:r>
      <w:r>
        <w:rPr>
          <w:color w:val="221F1F"/>
        </w:rPr>
        <w:t>of</w:t>
      </w:r>
      <w:r>
        <w:rPr>
          <w:color w:val="221F1F"/>
          <w:spacing w:val="-10"/>
        </w:rPr>
        <w:t xml:space="preserve"> </w:t>
      </w:r>
      <w:r>
        <w:rPr>
          <w:color w:val="221F1F"/>
        </w:rPr>
        <w:t>our</w:t>
      </w:r>
      <w:r>
        <w:rPr>
          <w:color w:val="221F1F"/>
          <w:spacing w:val="-10"/>
        </w:rPr>
        <w:t xml:space="preserve"> </w:t>
      </w:r>
      <w:r>
        <w:rPr>
          <w:color w:val="221F1F"/>
        </w:rPr>
        <w:t>subcontractors,</w:t>
      </w:r>
      <w:r>
        <w:rPr>
          <w:color w:val="221F1F"/>
          <w:spacing w:val="-10"/>
        </w:rPr>
        <w:t xml:space="preserve"> </w:t>
      </w:r>
      <w:r>
        <w:rPr>
          <w:color w:val="221F1F"/>
        </w:rPr>
        <w:t>suppliers,</w:t>
      </w:r>
      <w:r>
        <w:rPr>
          <w:color w:val="221F1F"/>
          <w:spacing w:val="-10"/>
        </w:rPr>
        <w:t xml:space="preserve"> </w:t>
      </w:r>
      <w:r>
        <w:rPr>
          <w:color w:val="221F1F"/>
        </w:rPr>
        <w:t>Engineer,</w:t>
      </w:r>
      <w:r>
        <w:rPr>
          <w:color w:val="221F1F"/>
          <w:spacing w:val="-12"/>
        </w:rPr>
        <w:t xml:space="preserve"> </w:t>
      </w:r>
      <w:r>
        <w:rPr>
          <w:color w:val="221F1F"/>
        </w:rPr>
        <w:t>manufacturers, or service providers for any part of the contract, are not subject to, and not controlled by any entity or individual that is subject to, a temporary suspension or a debarment imposed by the Public Procurement Regulatory Authority or any other entity of the Government of Kenya, or any international organization.</w:t>
      </w:r>
    </w:p>
    <w:p w:rsidR="007F6DF9" w:rsidRDefault="00A43FBC">
      <w:pPr>
        <w:pStyle w:val="ListParagraph"/>
        <w:numPr>
          <w:ilvl w:val="0"/>
          <w:numId w:val="145"/>
        </w:numPr>
        <w:tabs>
          <w:tab w:val="left" w:pos="1618"/>
          <w:tab w:val="left" w:pos="1621"/>
        </w:tabs>
        <w:spacing w:before="246" w:line="230" w:lineRule="auto"/>
        <w:ind w:right="565"/>
        <w:jc w:val="both"/>
        <w:rPr>
          <w:color w:val="221F1F"/>
        </w:rPr>
      </w:pPr>
      <w:r>
        <w:rPr>
          <w:color w:val="221F1F"/>
          <w:u w:val="single" w:color="221F1F"/>
        </w:rPr>
        <w:t>State-owned enterprise or institution:</w:t>
      </w:r>
      <w:r>
        <w:rPr>
          <w:color w:val="221F1F"/>
        </w:rPr>
        <w:t xml:space="preserve"> [</w:t>
      </w:r>
      <w:r>
        <w:rPr>
          <w:i/>
          <w:color w:val="221F1F"/>
        </w:rPr>
        <w:t>select the appropriate option and delete the other</w:t>
      </w:r>
      <w:r>
        <w:rPr>
          <w:color w:val="221F1F"/>
        </w:rPr>
        <w:t>] [</w:t>
      </w:r>
      <w:r>
        <w:rPr>
          <w:i/>
          <w:color w:val="221F1F"/>
        </w:rPr>
        <w:t>We</w:t>
      </w:r>
      <w:r>
        <w:rPr>
          <w:i/>
          <w:color w:val="221F1F"/>
          <w:spacing w:val="-2"/>
        </w:rPr>
        <w:t xml:space="preserve"> </w:t>
      </w:r>
      <w:r>
        <w:rPr>
          <w:i/>
          <w:color w:val="221F1F"/>
        </w:rPr>
        <w:t>are not a state- owned enterprise or institution</w:t>
      </w:r>
      <w:r>
        <w:rPr>
          <w:color w:val="221F1F"/>
        </w:rPr>
        <w:t>]</w:t>
      </w:r>
      <w:proofErr w:type="gramStart"/>
      <w:r>
        <w:rPr>
          <w:color w:val="221F1F"/>
        </w:rPr>
        <w:t>/[</w:t>
      </w:r>
      <w:proofErr w:type="gramEnd"/>
      <w:r>
        <w:rPr>
          <w:i/>
          <w:color w:val="221F1F"/>
        </w:rPr>
        <w:t>We are a state-owned enterprise or institution but meet the requirements of ITT3.8</w:t>
      </w:r>
      <w:r>
        <w:rPr>
          <w:color w:val="221F1F"/>
        </w:rPr>
        <w:t>];</w:t>
      </w:r>
    </w:p>
    <w:p w:rsidR="007F6DF9" w:rsidRDefault="00A43FBC">
      <w:pPr>
        <w:pStyle w:val="ListParagraph"/>
        <w:numPr>
          <w:ilvl w:val="0"/>
          <w:numId w:val="145"/>
        </w:numPr>
        <w:tabs>
          <w:tab w:val="left" w:pos="1616"/>
          <w:tab w:val="left" w:pos="1618"/>
        </w:tabs>
        <w:spacing w:before="244" w:line="230" w:lineRule="auto"/>
        <w:ind w:left="1618" w:right="568" w:hanging="468"/>
        <w:jc w:val="both"/>
        <w:rPr>
          <w:i/>
          <w:color w:val="221F1F"/>
        </w:rPr>
      </w:pPr>
      <w:r>
        <w:rPr>
          <w:color w:val="221F1F"/>
          <w:u w:val="single" w:color="221F1F"/>
        </w:rPr>
        <w:t>Commissions, gratuities, fees</w:t>
      </w:r>
      <w:r>
        <w:rPr>
          <w:color w:val="221F1F"/>
        </w:rPr>
        <w:t>: We</w:t>
      </w:r>
      <w:r>
        <w:rPr>
          <w:color w:val="221F1F"/>
          <w:spacing w:val="-4"/>
        </w:rPr>
        <w:t xml:space="preserve"> </w:t>
      </w:r>
      <w:r>
        <w:rPr>
          <w:color w:val="221F1F"/>
        </w:rPr>
        <w:t xml:space="preserve">have paid, or will pay the following commissions, gratuities, or fees with respect to the tender process or execution of the Contract: </w:t>
      </w:r>
      <w:r>
        <w:rPr>
          <w:i/>
          <w:color w:val="221F1F"/>
        </w:rPr>
        <w:t>[insert complete name of each Recipient, its</w:t>
      </w:r>
      <w:r>
        <w:rPr>
          <w:i/>
          <w:color w:val="221F1F"/>
          <w:spacing w:val="-2"/>
        </w:rPr>
        <w:t xml:space="preserve"> </w:t>
      </w:r>
      <w:r>
        <w:rPr>
          <w:i/>
          <w:color w:val="221F1F"/>
        </w:rPr>
        <w:t>full address,</w:t>
      </w:r>
      <w:r>
        <w:rPr>
          <w:i/>
          <w:color w:val="221F1F"/>
          <w:spacing w:val="-3"/>
        </w:rPr>
        <w:t xml:space="preserve"> </w:t>
      </w:r>
      <w:r>
        <w:rPr>
          <w:i/>
          <w:color w:val="221F1F"/>
        </w:rPr>
        <w:t>the reason</w:t>
      </w:r>
      <w:r>
        <w:rPr>
          <w:i/>
          <w:color w:val="221F1F"/>
          <w:spacing w:val="-2"/>
        </w:rPr>
        <w:t xml:space="preserve"> </w:t>
      </w:r>
      <w:r>
        <w:rPr>
          <w:i/>
          <w:color w:val="221F1F"/>
        </w:rPr>
        <w:t>for which</w:t>
      </w:r>
      <w:r>
        <w:rPr>
          <w:i/>
          <w:color w:val="221F1F"/>
          <w:spacing w:val="-2"/>
        </w:rPr>
        <w:t xml:space="preserve"> </w:t>
      </w:r>
      <w:r>
        <w:rPr>
          <w:i/>
          <w:color w:val="221F1F"/>
        </w:rPr>
        <w:t>each commission</w:t>
      </w:r>
      <w:r>
        <w:rPr>
          <w:i/>
          <w:color w:val="221F1F"/>
          <w:spacing w:val="-4"/>
        </w:rPr>
        <w:t xml:space="preserve"> </w:t>
      </w:r>
      <w:r>
        <w:rPr>
          <w:i/>
          <w:color w:val="221F1F"/>
        </w:rPr>
        <w:t>or gratuity was paid</w:t>
      </w:r>
      <w:r>
        <w:rPr>
          <w:i/>
          <w:color w:val="221F1F"/>
          <w:spacing w:val="-3"/>
        </w:rPr>
        <w:t xml:space="preserve"> </w:t>
      </w:r>
      <w:r>
        <w:rPr>
          <w:i/>
          <w:color w:val="221F1F"/>
        </w:rPr>
        <w:t>and</w:t>
      </w:r>
      <w:r>
        <w:rPr>
          <w:i/>
          <w:color w:val="221F1F"/>
          <w:spacing w:val="-3"/>
        </w:rPr>
        <w:t xml:space="preserve"> </w:t>
      </w:r>
      <w:r>
        <w:rPr>
          <w:i/>
          <w:color w:val="221F1F"/>
        </w:rPr>
        <w:t>the amount</w:t>
      </w:r>
      <w:r>
        <w:rPr>
          <w:i/>
          <w:color w:val="221F1F"/>
          <w:spacing w:val="-1"/>
        </w:rPr>
        <w:t xml:space="preserve"> </w:t>
      </w:r>
      <w:r>
        <w:rPr>
          <w:i/>
          <w:color w:val="221F1F"/>
        </w:rPr>
        <w:t>and</w:t>
      </w:r>
      <w:r>
        <w:rPr>
          <w:i/>
          <w:color w:val="221F1F"/>
          <w:spacing w:val="-2"/>
        </w:rPr>
        <w:t xml:space="preserve"> </w:t>
      </w:r>
      <w:r>
        <w:rPr>
          <w:i/>
          <w:color w:val="221F1F"/>
        </w:rPr>
        <w:t>currency of each such commission or gratuity].</w:t>
      </w:r>
    </w:p>
    <w:p w:rsidR="007F6DF9" w:rsidRDefault="007F6DF9">
      <w:pPr>
        <w:pStyle w:val="BodyText"/>
        <w:rPr>
          <w:i/>
          <w:sz w:val="20"/>
        </w:rPr>
      </w:pPr>
    </w:p>
    <w:p w:rsidR="007F6DF9" w:rsidRDefault="007F6DF9">
      <w:pPr>
        <w:pStyle w:val="BodyText"/>
        <w:spacing w:before="28"/>
        <w:rPr>
          <w:i/>
          <w:sz w:val="20"/>
        </w:rPr>
      </w:pPr>
    </w:p>
    <w:tbl>
      <w:tblPr>
        <w:tblW w:w="0" w:type="auto"/>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521"/>
        <w:gridCol w:w="2072"/>
        <w:gridCol w:w="1548"/>
      </w:tblGrid>
      <w:tr w:rsidR="007F6DF9">
        <w:trPr>
          <w:trHeight w:val="251"/>
        </w:trPr>
        <w:tc>
          <w:tcPr>
            <w:tcW w:w="2521" w:type="dxa"/>
          </w:tcPr>
          <w:p w:rsidR="007F6DF9" w:rsidRDefault="00A43FBC">
            <w:pPr>
              <w:pStyle w:val="TableParagraph"/>
              <w:spacing w:line="232" w:lineRule="exact"/>
              <w:ind w:left="107"/>
              <w:rPr>
                <w:rFonts w:ascii="Times New Roman"/>
                <w:b/>
              </w:rPr>
            </w:pPr>
            <w:r>
              <w:rPr>
                <w:rFonts w:ascii="Times New Roman"/>
                <w:b/>
              </w:rPr>
              <w:t>Name</w:t>
            </w:r>
            <w:r>
              <w:rPr>
                <w:rFonts w:ascii="Times New Roman"/>
                <w:b/>
                <w:spacing w:val="-2"/>
              </w:rPr>
              <w:t xml:space="preserve"> </w:t>
            </w:r>
            <w:r>
              <w:rPr>
                <w:rFonts w:ascii="Times New Roman"/>
                <w:b/>
              </w:rPr>
              <w:t>of</w:t>
            </w:r>
            <w:r>
              <w:rPr>
                <w:rFonts w:ascii="Times New Roman"/>
                <w:b/>
                <w:spacing w:val="-2"/>
              </w:rPr>
              <w:t xml:space="preserve"> Recipient</w:t>
            </w:r>
          </w:p>
        </w:tc>
        <w:tc>
          <w:tcPr>
            <w:tcW w:w="2521" w:type="dxa"/>
          </w:tcPr>
          <w:p w:rsidR="007F6DF9" w:rsidRDefault="00A43FBC">
            <w:pPr>
              <w:pStyle w:val="TableParagraph"/>
              <w:spacing w:line="232" w:lineRule="exact"/>
              <w:ind w:left="827"/>
              <w:rPr>
                <w:rFonts w:ascii="Times New Roman"/>
                <w:b/>
              </w:rPr>
            </w:pPr>
            <w:r>
              <w:rPr>
                <w:rFonts w:ascii="Times New Roman"/>
                <w:b/>
                <w:spacing w:val="-2"/>
              </w:rPr>
              <w:t>Address</w:t>
            </w:r>
          </w:p>
        </w:tc>
        <w:tc>
          <w:tcPr>
            <w:tcW w:w="2072" w:type="dxa"/>
          </w:tcPr>
          <w:p w:rsidR="007F6DF9" w:rsidRDefault="00A43FBC">
            <w:pPr>
              <w:pStyle w:val="TableParagraph"/>
              <w:spacing w:line="232" w:lineRule="exact"/>
              <w:ind w:left="826"/>
              <w:rPr>
                <w:rFonts w:ascii="Times New Roman"/>
                <w:b/>
              </w:rPr>
            </w:pPr>
            <w:r>
              <w:rPr>
                <w:rFonts w:ascii="Times New Roman"/>
                <w:b/>
                <w:spacing w:val="-2"/>
              </w:rPr>
              <w:t>Reason</w:t>
            </w:r>
          </w:p>
        </w:tc>
        <w:tc>
          <w:tcPr>
            <w:tcW w:w="1548" w:type="dxa"/>
          </w:tcPr>
          <w:p w:rsidR="007F6DF9" w:rsidRDefault="00A43FBC">
            <w:pPr>
              <w:pStyle w:val="TableParagraph"/>
              <w:spacing w:line="232" w:lineRule="exact"/>
              <w:ind w:left="267"/>
              <w:rPr>
                <w:rFonts w:ascii="Times New Roman"/>
                <w:b/>
              </w:rPr>
            </w:pPr>
            <w:r>
              <w:rPr>
                <w:rFonts w:ascii="Times New Roman"/>
                <w:b/>
                <w:spacing w:val="-2"/>
              </w:rPr>
              <w:t>Amount</w:t>
            </w:r>
          </w:p>
        </w:tc>
      </w:tr>
      <w:tr w:rsidR="007F6DF9">
        <w:trPr>
          <w:trHeight w:val="254"/>
        </w:trPr>
        <w:tc>
          <w:tcPr>
            <w:tcW w:w="2521" w:type="dxa"/>
          </w:tcPr>
          <w:p w:rsidR="007F6DF9" w:rsidRDefault="007F6DF9">
            <w:pPr>
              <w:pStyle w:val="TableParagraph"/>
              <w:rPr>
                <w:rFonts w:ascii="Times New Roman"/>
                <w:sz w:val="18"/>
              </w:rPr>
            </w:pPr>
          </w:p>
        </w:tc>
        <w:tc>
          <w:tcPr>
            <w:tcW w:w="2521" w:type="dxa"/>
          </w:tcPr>
          <w:p w:rsidR="007F6DF9" w:rsidRDefault="007F6DF9">
            <w:pPr>
              <w:pStyle w:val="TableParagraph"/>
              <w:rPr>
                <w:rFonts w:ascii="Times New Roman"/>
                <w:sz w:val="18"/>
              </w:rPr>
            </w:pPr>
          </w:p>
        </w:tc>
        <w:tc>
          <w:tcPr>
            <w:tcW w:w="2072" w:type="dxa"/>
          </w:tcPr>
          <w:p w:rsidR="007F6DF9" w:rsidRDefault="007F6DF9">
            <w:pPr>
              <w:pStyle w:val="TableParagraph"/>
              <w:rPr>
                <w:rFonts w:ascii="Times New Roman"/>
                <w:sz w:val="18"/>
              </w:rPr>
            </w:pPr>
          </w:p>
        </w:tc>
        <w:tc>
          <w:tcPr>
            <w:tcW w:w="1548" w:type="dxa"/>
          </w:tcPr>
          <w:p w:rsidR="007F6DF9" w:rsidRDefault="007F6DF9">
            <w:pPr>
              <w:pStyle w:val="TableParagraph"/>
              <w:rPr>
                <w:rFonts w:ascii="Times New Roman"/>
                <w:sz w:val="18"/>
              </w:rPr>
            </w:pPr>
          </w:p>
        </w:tc>
      </w:tr>
      <w:tr w:rsidR="007F6DF9">
        <w:trPr>
          <w:trHeight w:val="251"/>
        </w:trPr>
        <w:tc>
          <w:tcPr>
            <w:tcW w:w="2521" w:type="dxa"/>
          </w:tcPr>
          <w:p w:rsidR="007F6DF9" w:rsidRDefault="007F6DF9">
            <w:pPr>
              <w:pStyle w:val="TableParagraph"/>
              <w:rPr>
                <w:rFonts w:ascii="Times New Roman"/>
                <w:sz w:val="18"/>
              </w:rPr>
            </w:pPr>
          </w:p>
        </w:tc>
        <w:tc>
          <w:tcPr>
            <w:tcW w:w="2521" w:type="dxa"/>
          </w:tcPr>
          <w:p w:rsidR="007F6DF9" w:rsidRDefault="007F6DF9">
            <w:pPr>
              <w:pStyle w:val="TableParagraph"/>
              <w:rPr>
                <w:rFonts w:ascii="Times New Roman"/>
                <w:sz w:val="18"/>
              </w:rPr>
            </w:pPr>
          </w:p>
        </w:tc>
        <w:tc>
          <w:tcPr>
            <w:tcW w:w="2072" w:type="dxa"/>
          </w:tcPr>
          <w:p w:rsidR="007F6DF9" w:rsidRDefault="007F6DF9">
            <w:pPr>
              <w:pStyle w:val="TableParagraph"/>
              <w:rPr>
                <w:rFonts w:ascii="Times New Roman"/>
                <w:sz w:val="18"/>
              </w:rPr>
            </w:pPr>
          </w:p>
        </w:tc>
        <w:tc>
          <w:tcPr>
            <w:tcW w:w="1548" w:type="dxa"/>
          </w:tcPr>
          <w:p w:rsidR="007F6DF9" w:rsidRDefault="007F6DF9">
            <w:pPr>
              <w:pStyle w:val="TableParagraph"/>
              <w:rPr>
                <w:rFonts w:ascii="Times New Roman"/>
                <w:sz w:val="18"/>
              </w:rPr>
            </w:pPr>
          </w:p>
        </w:tc>
      </w:tr>
      <w:tr w:rsidR="007F6DF9">
        <w:trPr>
          <w:trHeight w:val="254"/>
        </w:trPr>
        <w:tc>
          <w:tcPr>
            <w:tcW w:w="2521" w:type="dxa"/>
          </w:tcPr>
          <w:p w:rsidR="007F6DF9" w:rsidRDefault="007F6DF9">
            <w:pPr>
              <w:pStyle w:val="TableParagraph"/>
              <w:rPr>
                <w:rFonts w:ascii="Times New Roman"/>
                <w:sz w:val="18"/>
              </w:rPr>
            </w:pPr>
          </w:p>
        </w:tc>
        <w:tc>
          <w:tcPr>
            <w:tcW w:w="2521" w:type="dxa"/>
          </w:tcPr>
          <w:p w:rsidR="007F6DF9" w:rsidRDefault="007F6DF9">
            <w:pPr>
              <w:pStyle w:val="TableParagraph"/>
              <w:rPr>
                <w:rFonts w:ascii="Times New Roman"/>
                <w:sz w:val="18"/>
              </w:rPr>
            </w:pPr>
          </w:p>
        </w:tc>
        <w:tc>
          <w:tcPr>
            <w:tcW w:w="2072" w:type="dxa"/>
          </w:tcPr>
          <w:p w:rsidR="007F6DF9" w:rsidRDefault="007F6DF9">
            <w:pPr>
              <w:pStyle w:val="TableParagraph"/>
              <w:rPr>
                <w:rFonts w:ascii="Times New Roman"/>
                <w:sz w:val="18"/>
              </w:rPr>
            </w:pPr>
          </w:p>
        </w:tc>
        <w:tc>
          <w:tcPr>
            <w:tcW w:w="1548" w:type="dxa"/>
          </w:tcPr>
          <w:p w:rsidR="007F6DF9" w:rsidRDefault="007F6DF9">
            <w:pPr>
              <w:pStyle w:val="TableParagraph"/>
              <w:rPr>
                <w:rFonts w:ascii="Times New Roman"/>
                <w:sz w:val="18"/>
              </w:rPr>
            </w:pPr>
          </w:p>
        </w:tc>
      </w:tr>
    </w:tbl>
    <w:p w:rsidR="007F6DF9" w:rsidRDefault="007F6DF9">
      <w:pPr>
        <w:pStyle w:val="BodyText"/>
        <w:spacing w:before="92"/>
        <w:rPr>
          <w:i/>
        </w:rPr>
      </w:pPr>
    </w:p>
    <w:p w:rsidR="007F6DF9" w:rsidRDefault="00A43FBC">
      <w:pPr>
        <w:ind w:left="1640"/>
        <w:rPr>
          <w:i/>
        </w:rPr>
      </w:pPr>
      <w:r>
        <w:rPr>
          <w:i/>
          <w:color w:val="221F1F"/>
        </w:rPr>
        <w:t>(If</w:t>
      </w:r>
      <w:r>
        <w:rPr>
          <w:i/>
          <w:color w:val="221F1F"/>
          <w:spacing w:val="-6"/>
        </w:rPr>
        <w:t xml:space="preserve"> </w:t>
      </w:r>
      <w:r>
        <w:rPr>
          <w:i/>
          <w:color w:val="221F1F"/>
        </w:rPr>
        <w:t>none</w:t>
      </w:r>
      <w:r>
        <w:rPr>
          <w:i/>
          <w:color w:val="221F1F"/>
          <w:spacing w:val="-4"/>
        </w:rPr>
        <w:t xml:space="preserve"> </w:t>
      </w:r>
      <w:r>
        <w:rPr>
          <w:i/>
          <w:color w:val="221F1F"/>
        </w:rPr>
        <w:t>has</w:t>
      </w:r>
      <w:r>
        <w:rPr>
          <w:i/>
          <w:color w:val="221F1F"/>
          <w:spacing w:val="-2"/>
        </w:rPr>
        <w:t xml:space="preserve"> </w:t>
      </w:r>
      <w:r>
        <w:rPr>
          <w:i/>
          <w:color w:val="221F1F"/>
        </w:rPr>
        <w:t>been</w:t>
      </w:r>
      <w:r>
        <w:rPr>
          <w:i/>
          <w:color w:val="221F1F"/>
          <w:spacing w:val="-1"/>
        </w:rPr>
        <w:t xml:space="preserve"> </w:t>
      </w:r>
      <w:r>
        <w:rPr>
          <w:i/>
          <w:color w:val="221F1F"/>
        </w:rPr>
        <w:t>paid</w:t>
      </w:r>
      <w:r>
        <w:rPr>
          <w:i/>
          <w:color w:val="221F1F"/>
          <w:spacing w:val="-2"/>
        </w:rPr>
        <w:t xml:space="preserve"> </w:t>
      </w:r>
      <w:r>
        <w:rPr>
          <w:i/>
          <w:color w:val="221F1F"/>
        </w:rPr>
        <w:t>or</w:t>
      </w:r>
      <w:r>
        <w:rPr>
          <w:i/>
          <w:color w:val="221F1F"/>
          <w:spacing w:val="-2"/>
        </w:rPr>
        <w:t xml:space="preserve"> </w:t>
      </w:r>
      <w:r>
        <w:rPr>
          <w:i/>
          <w:color w:val="221F1F"/>
        </w:rPr>
        <w:t>is</w:t>
      </w:r>
      <w:r>
        <w:rPr>
          <w:i/>
          <w:color w:val="221F1F"/>
          <w:spacing w:val="-4"/>
        </w:rPr>
        <w:t xml:space="preserve"> </w:t>
      </w:r>
      <w:r>
        <w:rPr>
          <w:i/>
          <w:color w:val="221F1F"/>
        </w:rPr>
        <w:t>to</w:t>
      </w:r>
      <w:r>
        <w:rPr>
          <w:i/>
          <w:color w:val="221F1F"/>
          <w:spacing w:val="-1"/>
        </w:rPr>
        <w:t xml:space="preserve"> </w:t>
      </w:r>
      <w:r>
        <w:rPr>
          <w:i/>
          <w:color w:val="221F1F"/>
        </w:rPr>
        <w:t>be</w:t>
      </w:r>
      <w:r>
        <w:rPr>
          <w:i/>
          <w:color w:val="221F1F"/>
          <w:spacing w:val="-4"/>
        </w:rPr>
        <w:t xml:space="preserve"> </w:t>
      </w:r>
      <w:r>
        <w:rPr>
          <w:i/>
          <w:color w:val="221F1F"/>
        </w:rPr>
        <w:t>paid,</w:t>
      </w:r>
      <w:r>
        <w:rPr>
          <w:i/>
          <w:color w:val="221F1F"/>
          <w:spacing w:val="-2"/>
        </w:rPr>
        <w:t xml:space="preserve"> </w:t>
      </w:r>
      <w:r>
        <w:rPr>
          <w:i/>
          <w:color w:val="221F1F"/>
        </w:rPr>
        <w:t>indicate</w:t>
      </w:r>
      <w:r>
        <w:rPr>
          <w:i/>
          <w:color w:val="221F1F"/>
          <w:spacing w:val="-1"/>
        </w:rPr>
        <w:t xml:space="preserve"> </w:t>
      </w:r>
      <w:r>
        <w:rPr>
          <w:i/>
          <w:color w:val="221F1F"/>
          <w:spacing w:val="-2"/>
        </w:rPr>
        <w:t>“none.”)</w:t>
      </w:r>
    </w:p>
    <w:p w:rsidR="007F6DF9" w:rsidRDefault="007F6DF9">
      <w:pPr>
        <w:rPr>
          <w:i/>
        </w:rPr>
        <w:sectPr w:rsidR="007F6DF9">
          <w:pgSz w:w="11920" w:h="16850"/>
          <w:pgMar w:top="360" w:right="283" w:bottom="600" w:left="141" w:header="0" w:footer="419" w:gutter="0"/>
          <w:cols w:space="720"/>
        </w:sectPr>
      </w:pPr>
    </w:p>
    <w:p w:rsidR="007F6DF9" w:rsidRDefault="00A43FBC">
      <w:pPr>
        <w:pStyle w:val="ListParagraph"/>
        <w:numPr>
          <w:ilvl w:val="0"/>
          <w:numId w:val="145"/>
        </w:numPr>
        <w:tabs>
          <w:tab w:val="left" w:pos="1694"/>
          <w:tab w:val="left" w:pos="1697"/>
        </w:tabs>
        <w:spacing w:line="230" w:lineRule="auto"/>
        <w:ind w:left="1697" w:right="548" w:hanging="555"/>
        <w:jc w:val="both"/>
        <w:rPr>
          <w:color w:val="221F1F"/>
        </w:rPr>
      </w:pPr>
      <w:r>
        <w:rPr>
          <w:color w:val="221F1F"/>
          <w:u w:val="single" w:color="221F1F"/>
        </w:rPr>
        <w:lastRenderedPageBreak/>
        <w:t>Binding</w:t>
      </w:r>
      <w:r>
        <w:rPr>
          <w:color w:val="221F1F"/>
          <w:spacing w:val="-14"/>
          <w:u w:val="single" w:color="221F1F"/>
        </w:rPr>
        <w:t xml:space="preserve"> </w:t>
      </w:r>
      <w:r>
        <w:rPr>
          <w:color w:val="221F1F"/>
          <w:u w:val="single" w:color="221F1F"/>
        </w:rPr>
        <w:t>Contract:</w:t>
      </w:r>
      <w:r>
        <w:rPr>
          <w:color w:val="221F1F"/>
          <w:spacing w:val="-14"/>
        </w:rPr>
        <w:t xml:space="preserve"> </w:t>
      </w:r>
      <w:r>
        <w:rPr>
          <w:color w:val="221F1F"/>
        </w:rPr>
        <w:t>We</w:t>
      </w:r>
      <w:r>
        <w:rPr>
          <w:color w:val="221F1F"/>
          <w:spacing w:val="-14"/>
        </w:rPr>
        <w:t xml:space="preserve"> </w:t>
      </w:r>
      <w:r>
        <w:rPr>
          <w:color w:val="221F1F"/>
        </w:rPr>
        <w:t>understand</w:t>
      </w:r>
      <w:r>
        <w:rPr>
          <w:color w:val="221F1F"/>
          <w:spacing w:val="-13"/>
        </w:rPr>
        <w:t xml:space="preserve"> </w:t>
      </w:r>
      <w:r>
        <w:rPr>
          <w:color w:val="221F1F"/>
        </w:rPr>
        <w:t>that</w:t>
      </w:r>
      <w:r>
        <w:rPr>
          <w:color w:val="221F1F"/>
          <w:spacing w:val="-14"/>
        </w:rPr>
        <w:t xml:space="preserve"> </w:t>
      </w:r>
      <w:r>
        <w:rPr>
          <w:color w:val="221F1F"/>
        </w:rPr>
        <w:t>this</w:t>
      </w:r>
      <w:r>
        <w:rPr>
          <w:color w:val="221F1F"/>
          <w:spacing w:val="-13"/>
        </w:rPr>
        <w:t xml:space="preserve"> </w:t>
      </w:r>
      <w:r>
        <w:rPr>
          <w:color w:val="221F1F"/>
        </w:rPr>
        <w:t>Tender,</w:t>
      </w:r>
      <w:r>
        <w:rPr>
          <w:color w:val="221F1F"/>
          <w:spacing w:val="-14"/>
        </w:rPr>
        <w:t xml:space="preserve"> </w:t>
      </w:r>
      <w:r>
        <w:rPr>
          <w:color w:val="221F1F"/>
        </w:rPr>
        <w:t>together</w:t>
      </w:r>
      <w:r>
        <w:rPr>
          <w:color w:val="221F1F"/>
          <w:spacing w:val="-9"/>
        </w:rPr>
        <w:t xml:space="preserve"> </w:t>
      </w:r>
      <w:r>
        <w:rPr>
          <w:color w:val="221F1F"/>
        </w:rPr>
        <w:t>with</w:t>
      </w:r>
      <w:r>
        <w:rPr>
          <w:color w:val="221F1F"/>
          <w:spacing w:val="-12"/>
        </w:rPr>
        <w:t xml:space="preserve"> </w:t>
      </w:r>
      <w:r>
        <w:rPr>
          <w:color w:val="221F1F"/>
        </w:rPr>
        <w:t>your</w:t>
      </w:r>
      <w:r>
        <w:rPr>
          <w:color w:val="221F1F"/>
          <w:spacing w:val="-11"/>
        </w:rPr>
        <w:t xml:space="preserve"> </w:t>
      </w:r>
      <w:r>
        <w:rPr>
          <w:color w:val="221F1F"/>
        </w:rPr>
        <w:t>written</w:t>
      </w:r>
      <w:r>
        <w:rPr>
          <w:color w:val="221F1F"/>
          <w:spacing w:val="-11"/>
        </w:rPr>
        <w:t xml:space="preserve"> </w:t>
      </w:r>
      <w:r>
        <w:rPr>
          <w:color w:val="221F1F"/>
        </w:rPr>
        <w:t>acceptance</w:t>
      </w:r>
      <w:r>
        <w:rPr>
          <w:color w:val="221F1F"/>
          <w:spacing w:val="-11"/>
        </w:rPr>
        <w:t xml:space="preserve"> </w:t>
      </w:r>
      <w:proofErr w:type="spellStart"/>
      <w:r>
        <w:rPr>
          <w:color w:val="221F1F"/>
        </w:rPr>
        <w:t>there</w:t>
      </w:r>
      <w:r>
        <w:rPr>
          <w:color w:val="221F1F"/>
          <w:spacing w:val="-11"/>
        </w:rPr>
        <w:t xml:space="preserve"> </w:t>
      </w:r>
      <w:r>
        <w:rPr>
          <w:color w:val="221F1F"/>
        </w:rPr>
        <w:t>of</w:t>
      </w:r>
      <w:proofErr w:type="spellEnd"/>
      <w:r>
        <w:rPr>
          <w:color w:val="221F1F"/>
          <w:spacing w:val="-7"/>
        </w:rPr>
        <w:t xml:space="preserve"> </w:t>
      </w:r>
      <w:r>
        <w:rPr>
          <w:color w:val="221F1F"/>
        </w:rPr>
        <w:t>included in your Letter of Acceptance, shall constitute a binding contract between us, until a formal contract is prepared and executed;</w:t>
      </w:r>
    </w:p>
    <w:p w:rsidR="007F6DF9" w:rsidRDefault="00A43FBC">
      <w:pPr>
        <w:pStyle w:val="ListParagraph"/>
        <w:numPr>
          <w:ilvl w:val="0"/>
          <w:numId w:val="145"/>
        </w:numPr>
        <w:tabs>
          <w:tab w:val="left" w:pos="1694"/>
          <w:tab w:val="left" w:pos="1697"/>
        </w:tabs>
        <w:spacing w:before="245" w:line="230" w:lineRule="auto"/>
        <w:ind w:left="1697" w:right="546" w:hanging="555"/>
        <w:jc w:val="both"/>
        <w:rPr>
          <w:color w:val="221F1F"/>
        </w:rPr>
      </w:pPr>
      <w:r>
        <w:rPr>
          <w:color w:val="221F1F"/>
          <w:u w:val="single" w:color="221F1F"/>
        </w:rPr>
        <w:t xml:space="preserve">Not Bound to Accept: </w:t>
      </w:r>
      <w:r>
        <w:rPr>
          <w:color w:val="221F1F"/>
        </w:rPr>
        <w:t>We</w:t>
      </w:r>
      <w:r>
        <w:rPr>
          <w:color w:val="221F1F"/>
          <w:spacing w:val="-14"/>
        </w:rPr>
        <w:t xml:space="preserve"> </w:t>
      </w:r>
      <w:r>
        <w:rPr>
          <w:color w:val="221F1F"/>
        </w:rPr>
        <w:t>understand that you are not bound to accept the lowest evaluated cost Tender, the Most Advantageous Tender or any other Tender that you may receive;</w:t>
      </w:r>
    </w:p>
    <w:p w:rsidR="007F6DF9" w:rsidRDefault="00A43FBC">
      <w:pPr>
        <w:pStyle w:val="ListParagraph"/>
        <w:numPr>
          <w:ilvl w:val="0"/>
          <w:numId w:val="145"/>
        </w:numPr>
        <w:tabs>
          <w:tab w:val="left" w:pos="1693"/>
          <w:tab w:val="left" w:pos="1697"/>
        </w:tabs>
        <w:spacing w:before="244" w:line="230" w:lineRule="auto"/>
        <w:ind w:left="1697" w:right="555" w:hanging="555"/>
        <w:jc w:val="both"/>
        <w:rPr>
          <w:color w:val="221F1F"/>
        </w:rPr>
      </w:pPr>
      <w:r>
        <w:rPr>
          <w:color w:val="221F1F"/>
          <w:u w:val="single" w:color="221F1F"/>
        </w:rPr>
        <w:t xml:space="preserve">Fraud and Corruption: </w:t>
      </w:r>
      <w:r>
        <w:rPr>
          <w:color w:val="221F1F"/>
        </w:rPr>
        <w:t>We</w:t>
      </w:r>
      <w:r>
        <w:rPr>
          <w:color w:val="221F1F"/>
          <w:spacing w:val="-14"/>
        </w:rPr>
        <w:t xml:space="preserve"> </w:t>
      </w:r>
      <w:r>
        <w:rPr>
          <w:color w:val="221F1F"/>
        </w:rPr>
        <w:t xml:space="preserve">here by certify that we have taken steps to ensure that no </w:t>
      </w:r>
      <w:proofErr w:type="spellStart"/>
      <w:r>
        <w:rPr>
          <w:color w:val="221F1F"/>
        </w:rPr>
        <w:t>personacting</w:t>
      </w:r>
      <w:proofErr w:type="spellEnd"/>
      <w:r>
        <w:rPr>
          <w:color w:val="221F1F"/>
        </w:rPr>
        <w:t xml:space="preserve"> for us or on our behalf engages in any type of Fraud and Corruption; and</w:t>
      </w:r>
    </w:p>
    <w:p w:rsidR="007F6DF9" w:rsidRDefault="00A43FBC">
      <w:pPr>
        <w:pStyle w:val="ListParagraph"/>
        <w:numPr>
          <w:ilvl w:val="0"/>
          <w:numId w:val="145"/>
        </w:numPr>
        <w:tabs>
          <w:tab w:val="left" w:pos="1693"/>
          <w:tab w:val="left" w:pos="1695"/>
        </w:tabs>
        <w:spacing w:before="244" w:line="230" w:lineRule="auto"/>
        <w:ind w:left="1695" w:right="552" w:hanging="552"/>
        <w:jc w:val="both"/>
        <w:rPr>
          <w:color w:val="221F1F"/>
        </w:rPr>
      </w:pPr>
      <w:r>
        <w:rPr>
          <w:color w:val="221F1F"/>
          <w:u w:val="single" w:color="221F1F"/>
        </w:rPr>
        <w:t xml:space="preserve">Collusive practices: </w:t>
      </w:r>
      <w:r>
        <w:rPr>
          <w:color w:val="221F1F"/>
        </w:rPr>
        <w:t>We</w:t>
      </w:r>
      <w:r>
        <w:rPr>
          <w:color w:val="221F1F"/>
          <w:spacing w:val="-4"/>
        </w:rPr>
        <w:t xml:space="preserve"> </w:t>
      </w:r>
      <w:r>
        <w:rPr>
          <w:color w:val="221F1F"/>
        </w:rPr>
        <w:t>hereby certify and confirm that the tender is genuine, non-collusive and made with the intention of accepting the contract if awarded. To</w:t>
      </w:r>
      <w:r>
        <w:rPr>
          <w:color w:val="221F1F"/>
          <w:spacing w:val="-9"/>
        </w:rPr>
        <w:t xml:space="preserve"> </w:t>
      </w:r>
      <w:r>
        <w:rPr>
          <w:color w:val="221F1F"/>
        </w:rPr>
        <w:t>this effect we have signed the “Certificate of Independent Tender Determination” attached below.</w:t>
      </w:r>
    </w:p>
    <w:p w:rsidR="007F6DF9" w:rsidRDefault="00A43FBC">
      <w:pPr>
        <w:pStyle w:val="ListParagraph"/>
        <w:numPr>
          <w:ilvl w:val="0"/>
          <w:numId w:val="145"/>
        </w:numPr>
        <w:tabs>
          <w:tab w:val="left" w:pos="1695"/>
          <w:tab w:val="left" w:pos="5960"/>
        </w:tabs>
        <w:spacing w:before="244" w:line="230" w:lineRule="auto"/>
        <w:ind w:left="1695" w:right="553" w:hanging="555"/>
        <w:jc w:val="both"/>
        <w:rPr>
          <w:color w:val="221F1F"/>
        </w:rPr>
      </w:pPr>
      <w:r>
        <w:rPr>
          <w:color w:val="221F1F"/>
        </w:rPr>
        <w:t>We</w:t>
      </w:r>
      <w:r>
        <w:rPr>
          <w:color w:val="221F1F"/>
          <w:spacing w:val="-14"/>
        </w:rPr>
        <w:t xml:space="preserve"> </w:t>
      </w:r>
      <w:r>
        <w:rPr>
          <w:color w:val="221F1F"/>
        </w:rPr>
        <w:t>undertake</w:t>
      </w:r>
      <w:r>
        <w:rPr>
          <w:color w:val="221F1F"/>
          <w:spacing w:val="-4"/>
        </w:rPr>
        <w:t xml:space="preserve"> </w:t>
      </w:r>
      <w:r>
        <w:rPr>
          <w:color w:val="221F1F"/>
        </w:rPr>
        <w:t>to adhere</w:t>
      </w:r>
      <w:r>
        <w:rPr>
          <w:color w:val="221F1F"/>
          <w:spacing w:val="-2"/>
        </w:rPr>
        <w:t xml:space="preserve"> </w:t>
      </w:r>
      <w:r>
        <w:rPr>
          <w:color w:val="221F1F"/>
        </w:rPr>
        <w:t>by</w:t>
      </w:r>
      <w:r>
        <w:rPr>
          <w:color w:val="221F1F"/>
          <w:spacing w:val="-2"/>
        </w:rPr>
        <w:t xml:space="preserve"> </w:t>
      </w:r>
      <w:r>
        <w:rPr>
          <w:color w:val="221F1F"/>
        </w:rPr>
        <w:t>the Code of Ethics</w:t>
      </w:r>
      <w:r>
        <w:rPr>
          <w:color w:val="221F1F"/>
          <w:spacing w:val="-2"/>
        </w:rPr>
        <w:t xml:space="preserve"> </w:t>
      </w:r>
      <w:r>
        <w:rPr>
          <w:color w:val="221F1F"/>
        </w:rPr>
        <w:t>for</w:t>
      </w:r>
      <w:r>
        <w:rPr>
          <w:color w:val="221F1F"/>
          <w:spacing w:val="-2"/>
        </w:rPr>
        <w:t xml:space="preserve"> </w:t>
      </w:r>
      <w:r>
        <w:rPr>
          <w:color w:val="221F1F"/>
        </w:rPr>
        <w:t>Persons Participating</w:t>
      </w:r>
      <w:r>
        <w:rPr>
          <w:color w:val="221F1F"/>
          <w:spacing w:val="-2"/>
        </w:rPr>
        <w:t xml:space="preserve"> </w:t>
      </w:r>
      <w:r>
        <w:rPr>
          <w:color w:val="221F1F"/>
        </w:rPr>
        <w:t>in Public</w:t>
      </w:r>
      <w:r>
        <w:rPr>
          <w:color w:val="221F1F"/>
          <w:spacing w:val="-2"/>
        </w:rPr>
        <w:t xml:space="preserve"> </w:t>
      </w:r>
      <w:r>
        <w:rPr>
          <w:color w:val="221F1F"/>
        </w:rPr>
        <w:t>Procurement and Asset Disposal, copy available from</w:t>
      </w:r>
      <w:r>
        <w:rPr>
          <w:color w:val="221F1F"/>
          <w:u w:val="single" w:color="211E1F"/>
        </w:rPr>
        <w:tab/>
      </w:r>
      <w:r>
        <w:rPr>
          <w:color w:val="221F1F"/>
        </w:rPr>
        <w:t>(</w:t>
      </w:r>
      <w:r>
        <w:rPr>
          <w:i/>
          <w:color w:val="221F1F"/>
        </w:rPr>
        <w:t>specify</w:t>
      </w:r>
      <w:r>
        <w:rPr>
          <w:i/>
          <w:color w:val="221F1F"/>
          <w:spacing w:val="-9"/>
        </w:rPr>
        <w:t xml:space="preserve"> </w:t>
      </w:r>
      <w:r>
        <w:rPr>
          <w:i/>
          <w:color w:val="221F1F"/>
        </w:rPr>
        <w:t>website</w:t>
      </w:r>
      <w:r>
        <w:rPr>
          <w:color w:val="221F1F"/>
        </w:rPr>
        <w:t>)</w:t>
      </w:r>
      <w:r>
        <w:rPr>
          <w:color w:val="221F1F"/>
          <w:spacing w:val="-8"/>
        </w:rPr>
        <w:t xml:space="preserve"> </w:t>
      </w:r>
      <w:r>
        <w:rPr>
          <w:color w:val="221F1F"/>
        </w:rPr>
        <w:t>during</w:t>
      </w:r>
      <w:r>
        <w:rPr>
          <w:color w:val="221F1F"/>
          <w:spacing w:val="-9"/>
        </w:rPr>
        <w:t xml:space="preserve"> </w:t>
      </w:r>
      <w:r>
        <w:rPr>
          <w:color w:val="221F1F"/>
        </w:rPr>
        <w:t>the</w:t>
      </w:r>
      <w:r>
        <w:rPr>
          <w:color w:val="221F1F"/>
          <w:spacing w:val="-11"/>
        </w:rPr>
        <w:t xml:space="preserve"> </w:t>
      </w:r>
      <w:r>
        <w:rPr>
          <w:color w:val="221F1F"/>
        </w:rPr>
        <w:t>procurement</w:t>
      </w:r>
      <w:r>
        <w:rPr>
          <w:color w:val="221F1F"/>
          <w:spacing w:val="-8"/>
        </w:rPr>
        <w:t xml:space="preserve"> </w:t>
      </w:r>
      <w:r>
        <w:rPr>
          <w:color w:val="221F1F"/>
        </w:rPr>
        <w:t>process</w:t>
      </w:r>
      <w:r>
        <w:rPr>
          <w:color w:val="221F1F"/>
          <w:spacing w:val="-8"/>
        </w:rPr>
        <w:t xml:space="preserve"> </w:t>
      </w:r>
      <w:r>
        <w:rPr>
          <w:color w:val="221F1F"/>
        </w:rPr>
        <w:t>and</w:t>
      </w:r>
      <w:r>
        <w:rPr>
          <w:color w:val="221F1F"/>
          <w:spacing w:val="-11"/>
        </w:rPr>
        <w:t xml:space="preserve"> </w:t>
      </w:r>
      <w:r>
        <w:rPr>
          <w:color w:val="221F1F"/>
        </w:rPr>
        <w:t>the execution of any resulting contract.</w:t>
      </w:r>
    </w:p>
    <w:p w:rsidR="007F6DF9" w:rsidRDefault="00A43FBC">
      <w:pPr>
        <w:pStyle w:val="ListParagraph"/>
        <w:numPr>
          <w:ilvl w:val="0"/>
          <w:numId w:val="145"/>
        </w:numPr>
        <w:tabs>
          <w:tab w:val="left" w:pos="1618"/>
          <w:tab w:val="left" w:pos="1621"/>
        </w:tabs>
        <w:spacing w:before="238"/>
        <w:ind w:right="253"/>
        <w:jc w:val="both"/>
        <w:rPr>
          <w:color w:val="221F1F"/>
        </w:rPr>
      </w:pPr>
      <w:r>
        <w:rPr>
          <w:b/>
        </w:rPr>
        <w:t>Beneficial</w:t>
      </w:r>
      <w:r>
        <w:rPr>
          <w:b/>
          <w:spacing w:val="-7"/>
        </w:rPr>
        <w:t xml:space="preserve"> </w:t>
      </w:r>
      <w:r>
        <w:rPr>
          <w:b/>
        </w:rPr>
        <w:t>Ownership</w:t>
      </w:r>
      <w:r>
        <w:rPr>
          <w:b/>
          <w:spacing w:val="-6"/>
        </w:rPr>
        <w:t xml:space="preserve"> </w:t>
      </w:r>
      <w:r>
        <w:rPr>
          <w:b/>
        </w:rPr>
        <w:t>Information:</w:t>
      </w:r>
      <w:r>
        <w:rPr>
          <w:b/>
          <w:spacing w:val="-5"/>
        </w:rPr>
        <w:t xml:space="preserve"> </w:t>
      </w:r>
      <w:r>
        <w:t>We</w:t>
      </w:r>
      <w:r>
        <w:rPr>
          <w:spacing w:val="-8"/>
        </w:rPr>
        <w:t xml:space="preserve"> </w:t>
      </w:r>
      <w:r>
        <w:t>commit</w:t>
      </w:r>
      <w:r>
        <w:rPr>
          <w:spacing w:val="-7"/>
        </w:rPr>
        <w:t xml:space="preserve"> </w:t>
      </w:r>
      <w:r>
        <w:t>to</w:t>
      </w:r>
      <w:r>
        <w:rPr>
          <w:spacing w:val="-6"/>
        </w:rPr>
        <w:t xml:space="preserve"> </w:t>
      </w:r>
      <w:r>
        <w:t>provide</w:t>
      </w:r>
      <w:r>
        <w:rPr>
          <w:spacing w:val="-8"/>
        </w:rPr>
        <w:t xml:space="preserve"> </w:t>
      </w:r>
      <w:r>
        <w:t>to</w:t>
      </w:r>
      <w:r>
        <w:rPr>
          <w:spacing w:val="-6"/>
        </w:rPr>
        <w:t xml:space="preserve"> </w:t>
      </w:r>
      <w:r>
        <w:t>the</w:t>
      </w:r>
      <w:r>
        <w:rPr>
          <w:spacing w:val="-5"/>
        </w:rPr>
        <w:t xml:space="preserve"> </w:t>
      </w:r>
      <w:r>
        <w:t>procuring</w:t>
      </w:r>
      <w:r>
        <w:rPr>
          <w:spacing w:val="-8"/>
        </w:rPr>
        <w:t xml:space="preserve"> </w:t>
      </w:r>
      <w:r>
        <w:t>entity</w:t>
      </w:r>
      <w:r>
        <w:rPr>
          <w:spacing w:val="-6"/>
        </w:rPr>
        <w:t xml:space="preserve"> </w:t>
      </w:r>
      <w:r>
        <w:t>the</w:t>
      </w:r>
      <w:r>
        <w:rPr>
          <w:spacing w:val="-5"/>
        </w:rPr>
        <w:t xml:space="preserve"> </w:t>
      </w:r>
      <w:r>
        <w:t>Beneficial</w:t>
      </w:r>
      <w:r>
        <w:rPr>
          <w:spacing w:val="-5"/>
        </w:rPr>
        <w:t xml:space="preserve"> </w:t>
      </w:r>
      <w:r>
        <w:t xml:space="preserve">Ownership Information in conformity with the Beneficial Ownership Disclosure Form upon receipt of notification of intention to enter into a contract in the event we are the successful tenderer in this subject procurement </w:t>
      </w:r>
      <w:r>
        <w:rPr>
          <w:spacing w:val="-2"/>
        </w:rPr>
        <w:t>proceeding.</w:t>
      </w:r>
    </w:p>
    <w:p w:rsidR="007F6DF9" w:rsidRDefault="00A43FBC">
      <w:pPr>
        <w:pStyle w:val="ListParagraph"/>
        <w:numPr>
          <w:ilvl w:val="0"/>
          <w:numId w:val="145"/>
        </w:numPr>
        <w:tabs>
          <w:tab w:val="left" w:pos="1618"/>
        </w:tabs>
        <w:spacing w:before="238"/>
        <w:ind w:left="1618" w:hanging="468"/>
        <w:rPr>
          <w:color w:val="221F1F"/>
        </w:rPr>
      </w:pPr>
      <w:r>
        <w:rPr>
          <w:color w:val="221F1F"/>
        </w:rPr>
        <w:t>We,</w:t>
      </w:r>
      <w:r>
        <w:rPr>
          <w:color w:val="221F1F"/>
          <w:spacing w:val="34"/>
        </w:rPr>
        <w:t xml:space="preserve"> </w:t>
      </w:r>
      <w:r>
        <w:rPr>
          <w:color w:val="221F1F"/>
        </w:rPr>
        <w:t>the</w:t>
      </w:r>
      <w:r>
        <w:rPr>
          <w:color w:val="221F1F"/>
          <w:spacing w:val="35"/>
        </w:rPr>
        <w:t xml:space="preserve"> </w:t>
      </w:r>
      <w:r>
        <w:rPr>
          <w:color w:val="221F1F"/>
        </w:rPr>
        <w:t>Tenderer,</w:t>
      </w:r>
      <w:r>
        <w:rPr>
          <w:color w:val="221F1F"/>
          <w:spacing w:val="35"/>
        </w:rPr>
        <w:t xml:space="preserve"> </w:t>
      </w:r>
      <w:r>
        <w:rPr>
          <w:color w:val="221F1F"/>
        </w:rPr>
        <w:t>have</w:t>
      </w:r>
      <w:r>
        <w:rPr>
          <w:color w:val="221F1F"/>
          <w:spacing w:val="54"/>
          <w:w w:val="150"/>
        </w:rPr>
        <w:t xml:space="preserve"> </w:t>
      </w:r>
      <w:r>
        <w:rPr>
          <w:color w:val="221F1F"/>
        </w:rPr>
        <w:t>duly</w:t>
      </w:r>
      <w:r>
        <w:rPr>
          <w:color w:val="221F1F"/>
          <w:spacing w:val="-11"/>
        </w:rPr>
        <w:t xml:space="preserve"> </w:t>
      </w:r>
      <w:r>
        <w:rPr>
          <w:color w:val="221F1F"/>
        </w:rPr>
        <w:t>completed,</w:t>
      </w:r>
      <w:r>
        <w:rPr>
          <w:color w:val="221F1F"/>
          <w:spacing w:val="-9"/>
        </w:rPr>
        <w:t xml:space="preserve"> </w:t>
      </w:r>
      <w:r>
        <w:rPr>
          <w:color w:val="221F1F"/>
        </w:rPr>
        <w:t>signed</w:t>
      </w:r>
      <w:r>
        <w:rPr>
          <w:color w:val="221F1F"/>
          <w:spacing w:val="-10"/>
        </w:rPr>
        <w:t xml:space="preserve"> </w:t>
      </w:r>
      <w:r>
        <w:rPr>
          <w:color w:val="221F1F"/>
        </w:rPr>
        <w:t>and</w:t>
      </w:r>
      <w:r>
        <w:rPr>
          <w:color w:val="221F1F"/>
          <w:spacing w:val="-12"/>
        </w:rPr>
        <w:t xml:space="preserve"> </w:t>
      </w:r>
      <w:r>
        <w:rPr>
          <w:color w:val="221F1F"/>
        </w:rPr>
        <w:t>stamped</w:t>
      </w:r>
      <w:r>
        <w:rPr>
          <w:color w:val="221F1F"/>
          <w:spacing w:val="34"/>
        </w:rPr>
        <w:t xml:space="preserve"> </w:t>
      </w:r>
      <w:r>
        <w:rPr>
          <w:color w:val="221F1F"/>
        </w:rPr>
        <w:t>the</w:t>
      </w:r>
      <w:r>
        <w:rPr>
          <w:color w:val="221F1F"/>
          <w:spacing w:val="33"/>
        </w:rPr>
        <w:t xml:space="preserve"> </w:t>
      </w:r>
      <w:r>
        <w:rPr>
          <w:color w:val="221F1F"/>
        </w:rPr>
        <w:t>following</w:t>
      </w:r>
      <w:r>
        <w:rPr>
          <w:color w:val="221F1F"/>
          <w:spacing w:val="35"/>
        </w:rPr>
        <w:t xml:space="preserve"> </w:t>
      </w:r>
      <w:r>
        <w:rPr>
          <w:color w:val="221F1F"/>
        </w:rPr>
        <w:t>Forms</w:t>
      </w:r>
      <w:r>
        <w:rPr>
          <w:color w:val="221F1F"/>
          <w:spacing w:val="35"/>
        </w:rPr>
        <w:t xml:space="preserve"> </w:t>
      </w:r>
      <w:r>
        <w:rPr>
          <w:color w:val="221F1F"/>
        </w:rPr>
        <w:t>as</w:t>
      </w:r>
      <w:r>
        <w:rPr>
          <w:color w:val="221F1F"/>
          <w:spacing w:val="36"/>
        </w:rPr>
        <w:t xml:space="preserve"> </w:t>
      </w:r>
      <w:r>
        <w:rPr>
          <w:color w:val="221F1F"/>
        </w:rPr>
        <w:t>part</w:t>
      </w:r>
      <w:r>
        <w:rPr>
          <w:color w:val="221F1F"/>
          <w:spacing w:val="36"/>
        </w:rPr>
        <w:t xml:space="preserve"> </w:t>
      </w:r>
      <w:r>
        <w:rPr>
          <w:color w:val="221F1F"/>
        </w:rPr>
        <w:t>of</w:t>
      </w:r>
      <w:r>
        <w:rPr>
          <w:color w:val="221F1F"/>
          <w:spacing w:val="36"/>
        </w:rPr>
        <w:t xml:space="preserve"> </w:t>
      </w:r>
      <w:r>
        <w:rPr>
          <w:color w:val="221F1F"/>
        </w:rPr>
        <w:t>our</w:t>
      </w:r>
      <w:r>
        <w:rPr>
          <w:color w:val="221F1F"/>
          <w:spacing w:val="36"/>
        </w:rPr>
        <w:t xml:space="preserve"> </w:t>
      </w:r>
      <w:r>
        <w:rPr>
          <w:color w:val="221F1F"/>
          <w:spacing w:val="-2"/>
        </w:rPr>
        <w:t>Tender:</w:t>
      </w:r>
    </w:p>
    <w:p w:rsidR="007F6DF9" w:rsidRDefault="00A43FBC">
      <w:pPr>
        <w:pStyle w:val="ListParagraph"/>
        <w:numPr>
          <w:ilvl w:val="1"/>
          <w:numId w:val="145"/>
        </w:numPr>
        <w:tabs>
          <w:tab w:val="left" w:pos="2146"/>
          <w:tab w:val="left" w:pos="2168"/>
        </w:tabs>
        <w:spacing w:before="243" w:line="230" w:lineRule="auto"/>
        <w:ind w:right="675" w:hanging="473"/>
        <w:jc w:val="left"/>
        <w:rPr>
          <w:color w:val="221F1F"/>
        </w:rPr>
      </w:pPr>
      <w:r>
        <w:rPr>
          <w:color w:val="221F1F"/>
        </w:rPr>
        <w:t>Tenderer's</w:t>
      </w:r>
      <w:r>
        <w:rPr>
          <w:color w:val="221F1F"/>
          <w:spacing w:val="-4"/>
        </w:rPr>
        <w:t xml:space="preserve"> </w:t>
      </w:r>
      <w:r>
        <w:rPr>
          <w:color w:val="221F1F"/>
        </w:rPr>
        <w:t>Eligibility;</w:t>
      </w:r>
      <w:r>
        <w:rPr>
          <w:color w:val="221F1F"/>
          <w:spacing w:val="-3"/>
        </w:rPr>
        <w:t xml:space="preserve"> </w:t>
      </w:r>
      <w:r>
        <w:rPr>
          <w:color w:val="221F1F"/>
        </w:rPr>
        <w:t>Confidential</w:t>
      </w:r>
      <w:r>
        <w:rPr>
          <w:color w:val="221F1F"/>
          <w:spacing w:val="-3"/>
        </w:rPr>
        <w:t xml:space="preserve"> </w:t>
      </w:r>
      <w:r>
        <w:rPr>
          <w:color w:val="221F1F"/>
        </w:rPr>
        <w:t>Business</w:t>
      </w:r>
      <w:r>
        <w:rPr>
          <w:color w:val="221F1F"/>
          <w:spacing w:val="-4"/>
        </w:rPr>
        <w:t xml:space="preserve"> </w:t>
      </w:r>
      <w:r>
        <w:rPr>
          <w:color w:val="221F1F"/>
        </w:rPr>
        <w:t>Questionnaire</w:t>
      </w:r>
      <w:r>
        <w:rPr>
          <w:color w:val="221F1F"/>
          <w:spacing w:val="-1"/>
        </w:rPr>
        <w:t xml:space="preserve"> </w:t>
      </w:r>
      <w:r>
        <w:rPr>
          <w:color w:val="221F1F"/>
        </w:rPr>
        <w:t>-</w:t>
      </w:r>
      <w:r>
        <w:rPr>
          <w:color w:val="221F1F"/>
          <w:spacing w:val="-6"/>
        </w:rPr>
        <w:t xml:space="preserve"> </w:t>
      </w:r>
      <w:r>
        <w:rPr>
          <w:color w:val="221F1F"/>
        </w:rPr>
        <w:t>to</w:t>
      </w:r>
      <w:r>
        <w:rPr>
          <w:color w:val="221F1F"/>
          <w:spacing w:val="-7"/>
        </w:rPr>
        <w:t xml:space="preserve"> </w:t>
      </w:r>
      <w:r>
        <w:rPr>
          <w:color w:val="221F1F"/>
        </w:rPr>
        <w:t>establish</w:t>
      </w:r>
      <w:r>
        <w:rPr>
          <w:color w:val="221F1F"/>
          <w:spacing w:val="-4"/>
        </w:rPr>
        <w:t xml:space="preserve"> </w:t>
      </w:r>
      <w:r>
        <w:rPr>
          <w:color w:val="221F1F"/>
        </w:rPr>
        <w:t>we</w:t>
      </w:r>
      <w:r>
        <w:rPr>
          <w:color w:val="221F1F"/>
          <w:spacing w:val="-4"/>
        </w:rPr>
        <w:t xml:space="preserve"> </w:t>
      </w:r>
      <w:r>
        <w:rPr>
          <w:color w:val="221F1F"/>
        </w:rPr>
        <w:t>are</w:t>
      </w:r>
      <w:r>
        <w:rPr>
          <w:color w:val="221F1F"/>
          <w:spacing w:val="-4"/>
        </w:rPr>
        <w:t xml:space="preserve"> </w:t>
      </w:r>
      <w:proofErr w:type="spellStart"/>
      <w:r>
        <w:rPr>
          <w:color w:val="221F1F"/>
        </w:rPr>
        <w:t>no</w:t>
      </w:r>
      <w:r>
        <w:rPr>
          <w:color w:val="221F1F"/>
          <w:spacing w:val="-4"/>
        </w:rPr>
        <w:t xml:space="preserve"> </w:t>
      </w:r>
      <w:r>
        <w:rPr>
          <w:color w:val="221F1F"/>
        </w:rPr>
        <w:t>tin</w:t>
      </w:r>
      <w:proofErr w:type="spellEnd"/>
      <w:r>
        <w:rPr>
          <w:color w:val="221F1F"/>
          <w:spacing w:val="-7"/>
        </w:rPr>
        <w:t xml:space="preserve"> </w:t>
      </w:r>
      <w:r>
        <w:rPr>
          <w:color w:val="221F1F"/>
        </w:rPr>
        <w:t>any</w:t>
      </w:r>
      <w:r>
        <w:rPr>
          <w:color w:val="221F1F"/>
          <w:spacing w:val="-6"/>
        </w:rPr>
        <w:t xml:space="preserve"> </w:t>
      </w:r>
      <w:r>
        <w:rPr>
          <w:color w:val="221F1F"/>
        </w:rPr>
        <w:t>conflict to interest.</w:t>
      </w:r>
    </w:p>
    <w:p w:rsidR="007F6DF9" w:rsidRDefault="00A43FBC">
      <w:pPr>
        <w:pStyle w:val="BodyText"/>
        <w:spacing w:before="244" w:line="230" w:lineRule="auto"/>
        <w:ind w:left="2168" w:right="332" w:hanging="473"/>
      </w:pPr>
      <w:r>
        <w:rPr>
          <w:color w:val="221F1F"/>
        </w:rPr>
        <w:t>(b)</w:t>
      </w:r>
      <w:r>
        <w:rPr>
          <w:color w:val="221F1F"/>
          <w:spacing w:val="-3"/>
        </w:rPr>
        <w:t xml:space="preserve"> </w:t>
      </w:r>
      <w:r>
        <w:rPr>
          <w:color w:val="221F1F"/>
        </w:rPr>
        <w:t>C</w:t>
      </w:r>
      <w:r>
        <w:rPr>
          <w:strike/>
          <w:color w:val="221F1F"/>
        </w:rPr>
        <w:t>e</w:t>
      </w:r>
      <w:r>
        <w:rPr>
          <w:color w:val="221F1F"/>
        </w:rPr>
        <w:t>rtificate</w:t>
      </w:r>
      <w:r>
        <w:rPr>
          <w:color w:val="221F1F"/>
          <w:spacing w:val="-5"/>
        </w:rPr>
        <w:t xml:space="preserve"> </w:t>
      </w:r>
      <w:r>
        <w:rPr>
          <w:color w:val="221F1F"/>
        </w:rPr>
        <w:t>of</w:t>
      </w:r>
      <w:r>
        <w:rPr>
          <w:color w:val="221F1F"/>
          <w:spacing w:val="-3"/>
        </w:rPr>
        <w:t xml:space="preserve"> </w:t>
      </w:r>
      <w:r>
        <w:rPr>
          <w:color w:val="221F1F"/>
        </w:rPr>
        <w:t>Independent</w:t>
      </w:r>
      <w:r>
        <w:rPr>
          <w:color w:val="221F1F"/>
          <w:spacing w:val="-2"/>
        </w:rPr>
        <w:t xml:space="preserve"> </w:t>
      </w:r>
      <w:r>
        <w:rPr>
          <w:color w:val="221F1F"/>
        </w:rPr>
        <w:t>Tender</w:t>
      </w:r>
      <w:r>
        <w:rPr>
          <w:color w:val="221F1F"/>
          <w:spacing w:val="-2"/>
        </w:rPr>
        <w:t xml:space="preserve"> </w:t>
      </w:r>
      <w:r>
        <w:rPr>
          <w:color w:val="221F1F"/>
        </w:rPr>
        <w:t>Determination</w:t>
      </w:r>
      <w:r>
        <w:rPr>
          <w:color w:val="221F1F"/>
          <w:spacing w:val="-1"/>
        </w:rPr>
        <w:t xml:space="preserve"> </w:t>
      </w:r>
      <w:r>
        <w:rPr>
          <w:color w:val="221F1F"/>
        </w:rPr>
        <w:t>-</w:t>
      </w:r>
      <w:r>
        <w:rPr>
          <w:color w:val="221F1F"/>
          <w:spacing w:val="-5"/>
        </w:rPr>
        <w:t xml:space="preserve"> </w:t>
      </w:r>
      <w:r>
        <w:rPr>
          <w:color w:val="221F1F"/>
        </w:rPr>
        <w:t>to</w:t>
      </w:r>
      <w:r>
        <w:rPr>
          <w:color w:val="221F1F"/>
          <w:spacing w:val="-3"/>
        </w:rPr>
        <w:t xml:space="preserve"> </w:t>
      </w:r>
      <w:r>
        <w:rPr>
          <w:color w:val="221F1F"/>
        </w:rPr>
        <w:t>declare</w:t>
      </w:r>
      <w:r>
        <w:rPr>
          <w:color w:val="221F1F"/>
          <w:spacing w:val="-3"/>
        </w:rPr>
        <w:t xml:space="preserve"> </w:t>
      </w:r>
      <w:r>
        <w:rPr>
          <w:color w:val="221F1F"/>
        </w:rPr>
        <w:t>that</w:t>
      </w:r>
      <w:r>
        <w:rPr>
          <w:color w:val="221F1F"/>
          <w:spacing w:val="-2"/>
        </w:rPr>
        <w:t xml:space="preserve"> </w:t>
      </w:r>
      <w:r>
        <w:rPr>
          <w:color w:val="221F1F"/>
        </w:rPr>
        <w:t>we</w:t>
      </w:r>
      <w:r>
        <w:rPr>
          <w:color w:val="221F1F"/>
          <w:spacing w:val="-5"/>
        </w:rPr>
        <w:t xml:space="preserve"> </w:t>
      </w:r>
      <w:r>
        <w:rPr>
          <w:color w:val="221F1F"/>
        </w:rPr>
        <w:t>completed</w:t>
      </w:r>
      <w:r>
        <w:rPr>
          <w:color w:val="221F1F"/>
          <w:spacing w:val="-3"/>
        </w:rPr>
        <w:t xml:space="preserve"> </w:t>
      </w:r>
      <w:r>
        <w:rPr>
          <w:color w:val="221F1F"/>
        </w:rPr>
        <w:t>the</w:t>
      </w:r>
      <w:r>
        <w:rPr>
          <w:color w:val="221F1F"/>
          <w:spacing w:val="-5"/>
        </w:rPr>
        <w:t xml:space="preserve"> </w:t>
      </w:r>
      <w:r>
        <w:rPr>
          <w:color w:val="221F1F"/>
        </w:rPr>
        <w:t>tender</w:t>
      </w:r>
      <w:r>
        <w:rPr>
          <w:color w:val="221F1F"/>
          <w:spacing w:val="-2"/>
        </w:rPr>
        <w:t xml:space="preserve"> </w:t>
      </w:r>
      <w:r>
        <w:rPr>
          <w:color w:val="221F1F"/>
        </w:rPr>
        <w:t>without colluding with other tenderers.</w:t>
      </w:r>
    </w:p>
    <w:p w:rsidR="007F6DF9" w:rsidRDefault="00A43FBC">
      <w:pPr>
        <w:pStyle w:val="BodyText"/>
        <w:tabs>
          <w:tab w:val="left" w:pos="2146"/>
        </w:tabs>
        <w:spacing w:before="244" w:line="230" w:lineRule="auto"/>
        <w:ind w:left="2168" w:right="708" w:hanging="473"/>
      </w:pPr>
      <w:r>
        <w:rPr>
          <w:color w:val="221F1F"/>
          <w:spacing w:val="-4"/>
        </w:rPr>
        <w:t>(a)</w:t>
      </w:r>
      <w:r>
        <w:rPr>
          <w:color w:val="221F1F"/>
        </w:rPr>
        <w:tab/>
        <w:t>Self-</w:t>
      </w:r>
      <w:proofErr w:type="spellStart"/>
      <w:r>
        <w:rPr>
          <w:color w:val="221F1F"/>
        </w:rPr>
        <w:t>Declarationo</w:t>
      </w:r>
      <w:proofErr w:type="spellEnd"/>
      <w:r>
        <w:rPr>
          <w:color w:val="221F1F"/>
          <w:spacing w:val="-5"/>
        </w:rPr>
        <w:t xml:space="preserve"> </w:t>
      </w:r>
      <w:proofErr w:type="spellStart"/>
      <w:r>
        <w:rPr>
          <w:color w:val="221F1F"/>
        </w:rPr>
        <w:t>f</w:t>
      </w:r>
      <w:proofErr w:type="spellEnd"/>
      <w:r>
        <w:rPr>
          <w:color w:val="221F1F"/>
          <w:spacing w:val="-2"/>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rPr>
        <w:t>-</w:t>
      </w:r>
      <w:r>
        <w:rPr>
          <w:color w:val="221F1F"/>
          <w:spacing w:val="-4"/>
        </w:rPr>
        <w:t xml:space="preserve"> </w:t>
      </w:r>
      <w:r>
        <w:rPr>
          <w:color w:val="221F1F"/>
        </w:rPr>
        <w:t>to</w:t>
      </w:r>
      <w:r>
        <w:rPr>
          <w:color w:val="221F1F"/>
          <w:spacing w:val="-2"/>
        </w:rPr>
        <w:t xml:space="preserve"> </w:t>
      </w:r>
      <w:r>
        <w:rPr>
          <w:color w:val="221F1F"/>
        </w:rPr>
        <w:t>declare</w:t>
      </w:r>
      <w:r>
        <w:rPr>
          <w:color w:val="221F1F"/>
          <w:spacing w:val="-2"/>
        </w:rPr>
        <w:t xml:space="preserve"> </w:t>
      </w:r>
      <w:r>
        <w:rPr>
          <w:color w:val="221F1F"/>
        </w:rPr>
        <w:t>that</w:t>
      </w:r>
      <w:r>
        <w:rPr>
          <w:color w:val="221F1F"/>
          <w:spacing w:val="-1"/>
        </w:rPr>
        <w:t xml:space="preserve"> </w:t>
      </w:r>
      <w:r>
        <w:rPr>
          <w:color w:val="221F1F"/>
        </w:rPr>
        <w:t>we</w:t>
      </w:r>
      <w:r>
        <w:rPr>
          <w:color w:val="221F1F"/>
          <w:spacing w:val="-2"/>
        </w:rPr>
        <w:t xml:space="preserve"> </w:t>
      </w:r>
      <w:r>
        <w:rPr>
          <w:color w:val="221F1F"/>
        </w:rPr>
        <w:t>will,</w:t>
      </w:r>
      <w:r>
        <w:rPr>
          <w:color w:val="221F1F"/>
          <w:spacing w:val="-2"/>
        </w:rPr>
        <w:t xml:space="preserve"> </w:t>
      </w:r>
      <w:r>
        <w:rPr>
          <w:color w:val="221F1F"/>
        </w:rPr>
        <w:t>if</w:t>
      </w:r>
      <w:r>
        <w:rPr>
          <w:color w:val="221F1F"/>
          <w:spacing w:val="-2"/>
        </w:rPr>
        <w:t xml:space="preserve"> </w:t>
      </w:r>
      <w:r>
        <w:rPr>
          <w:color w:val="221F1F"/>
        </w:rPr>
        <w:t>awarded</w:t>
      </w:r>
      <w:r>
        <w:rPr>
          <w:color w:val="221F1F"/>
          <w:spacing w:val="-4"/>
        </w:rPr>
        <w:t xml:space="preserve"> </w:t>
      </w:r>
      <w:r>
        <w:rPr>
          <w:color w:val="221F1F"/>
        </w:rPr>
        <w:t>a</w:t>
      </w:r>
      <w:r>
        <w:rPr>
          <w:color w:val="221F1F"/>
          <w:spacing w:val="-2"/>
        </w:rPr>
        <w:t xml:space="preserve"> </w:t>
      </w:r>
      <w:r>
        <w:rPr>
          <w:color w:val="221F1F"/>
        </w:rPr>
        <w:t>contract,</w:t>
      </w:r>
      <w:r>
        <w:rPr>
          <w:color w:val="221F1F"/>
          <w:spacing w:val="-2"/>
        </w:rPr>
        <w:t xml:space="preserve"> </w:t>
      </w:r>
      <w:r>
        <w:rPr>
          <w:color w:val="221F1F"/>
        </w:rPr>
        <w:t>not</w:t>
      </w:r>
      <w:r>
        <w:rPr>
          <w:color w:val="221F1F"/>
          <w:spacing w:val="-1"/>
        </w:rPr>
        <w:t xml:space="preserve"> </w:t>
      </w:r>
      <w:r>
        <w:rPr>
          <w:color w:val="221F1F"/>
        </w:rPr>
        <w:t>engage</w:t>
      </w:r>
      <w:r>
        <w:rPr>
          <w:color w:val="221F1F"/>
          <w:spacing w:val="-4"/>
        </w:rPr>
        <w:t xml:space="preserve"> </w:t>
      </w:r>
      <w:r>
        <w:rPr>
          <w:color w:val="221F1F"/>
        </w:rPr>
        <w:t>in</w:t>
      </w:r>
      <w:r>
        <w:rPr>
          <w:color w:val="221F1F"/>
          <w:spacing w:val="-2"/>
        </w:rPr>
        <w:t xml:space="preserve"> </w:t>
      </w:r>
      <w:r>
        <w:rPr>
          <w:color w:val="221F1F"/>
        </w:rPr>
        <w:t>any form of fraud and corruption.</w:t>
      </w:r>
    </w:p>
    <w:p w:rsidR="007F6DF9" w:rsidRDefault="00A43FBC">
      <w:pPr>
        <w:pStyle w:val="BodyText"/>
        <w:tabs>
          <w:tab w:val="left" w:pos="2168"/>
        </w:tabs>
        <w:spacing w:before="244" w:line="230" w:lineRule="auto"/>
        <w:ind w:left="2168" w:right="587" w:hanging="473"/>
      </w:pPr>
      <w:r>
        <w:rPr>
          <w:color w:val="221F1F"/>
          <w:spacing w:val="-4"/>
        </w:rPr>
        <w:t>(d)</w:t>
      </w:r>
      <w:r>
        <w:rPr>
          <w:color w:val="221F1F"/>
        </w:rPr>
        <w:tab/>
        <w:t>Declaration</w:t>
      </w:r>
      <w:r>
        <w:rPr>
          <w:color w:val="221F1F"/>
          <w:spacing w:val="-5"/>
        </w:rPr>
        <w:t xml:space="preserve"> </w:t>
      </w:r>
      <w:r>
        <w:rPr>
          <w:color w:val="221F1F"/>
        </w:rPr>
        <w:t>and</w:t>
      </w:r>
      <w:r>
        <w:rPr>
          <w:color w:val="221F1F"/>
          <w:spacing w:val="-4"/>
        </w:rPr>
        <w:t xml:space="preserve"> </w:t>
      </w:r>
      <w:r>
        <w:rPr>
          <w:color w:val="221F1F"/>
        </w:rPr>
        <w:t>commitment</w:t>
      </w:r>
      <w:r>
        <w:rPr>
          <w:color w:val="221F1F"/>
          <w:spacing w:val="-1"/>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Code</w:t>
      </w:r>
      <w:r>
        <w:rPr>
          <w:color w:val="221F1F"/>
          <w:spacing w:val="-2"/>
        </w:rPr>
        <w:t xml:space="preserve"> </w:t>
      </w:r>
      <w:r>
        <w:rPr>
          <w:color w:val="221F1F"/>
        </w:rPr>
        <w:t>of</w:t>
      </w:r>
      <w:r>
        <w:rPr>
          <w:color w:val="221F1F"/>
          <w:spacing w:val="-2"/>
        </w:rPr>
        <w:t xml:space="preserve"> </w:t>
      </w:r>
      <w:r>
        <w:rPr>
          <w:color w:val="221F1F"/>
        </w:rPr>
        <w:t>Ethics</w:t>
      </w:r>
      <w:r>
        <w:rPr>
          <w:color w:val="221F1F"/>
          <w:spacing w:val="-2"/>
        </w:rPr>
        <w:t xml:space="preserve"> </w:t>
      </w:r>
      <w:r>
        <w:rPr>
          <w:color w:val="221F1F"/>
        </w:rPr>
        <w:t>for</w:t>
      </w:r>
      <w:r>
        <w:rPr>
          <w:color w:val="221F1F"/>
          <w:spacing w:val="-4"/>
        </w:rPr>
        <w:t xml:space="preserve"> </w:t>
      </w:r>
      <w:r>
        <w:rPr>
          <w:color w:val="221F1F"/>
        </w:rPr>
        <w:t>Persons</w:t>
      </w:r>
      <w:r>
        <w:rPr>
          <w:color w:val="221F1F"/>
          <w:spacing w:val="-2"/>
        </w:rPr>
        <w:t xml:space="preserve"> </w:t>
      </w:r>
      <w:r>
        <w:rPr>
          <w:color w:val="221F1F"/>
        </w:rPr>
        <w:t>Participating</w:t>
      </w:r>
      <w:r>
        <w:rPr>
          <w:color w:val="221F1F"/>
          <w:spacing w:val="-5"/>
        </w:rPr>
        <w:t xml:space="preserve"> </w:t>
      </w:r>
      <w:r>
        <w:rPr>
          <w:color w:val="221F1F"/>
        </w:rPr>
        <w:t>in</w:t>
      </w:r>
      <w:r>
        <w:rPr>
          <w:color w:val="221F1F"/>
          <w:spacing w:val="-2"/>
        </w:rPr>
        <w:t xml:space="preserve"> </w:t>
      </w:r>
      <w:r>
        <w:rPr>
          <w:color w:val="221F1F"/>
        </w:rPr>
        <w:t>Public</w:t>
      </w:r>
      <w:r>
        <w:rPr>
          <w:color w:val="221F1F"/>
          <w:spacing w:val="-2"/>
        </w:rPr>
        <w:t xml:space="preserve"> </w:t>
      </w:r>
      <w:r>
        <w:rPr>
          <w:color w:val="221F1F"/>
        </w:rPr>
        <w:t>Procurement and Asset Disposal.</w:t>
      </w:r>
    </w:p>
    <w:p w:rsidR="007F6DF9" w:rsidRDefault="00A43FBC">
      <w:pPr>
        <w:pStyle w:val="BodyText"/>
        <w:spacing w:before="244" w:line="230" w:lineRule="auto"/>
        <w:ind w:left="1695" w:right="575"/>
      </w:pPr>
      <w:r>
        <w:rPr>
          <w:color w:val="221F1F"/>
        </w:rPr>
        <w:t>Further,</w:t>
      </w:r>
      <w:r>
        <w:rPr>
          <w:color w:val="221F1F"/>
          <w:spacing w:val="-2"/>
        </w:rPr>
        <w:t xml:space="preserve"> </w:t>
      </w:r>
      <w:r>
        <w:rPr>
          <w:color w:val="221F1F"/>
        </w:rPr>
        <w:t>we</w:t>
      </w:r>
      <w:r>
        <w:rPr>
          <w:color w:val="221F1F"/>
          <w:spacing w:val="-4"/>
        </w:rPr>
        <w:t xml:space="preserve"> </w:t>
      </w:r>
      <w:r>
        <w:rPr>
          <w:color w:val="221F1F"/>
        </w:rPr>
        <w:t>confirm</w:t>
      </w:r>
      <w:r>
        <w:rPr>
          <w:color w:val="221F1F"/>
          <w:spacing w:val="-4"/>
        </w:rPr>
        <w:t xml:space="preserve"> </w:t>
      </w:r>
      <w:r>
        <w:rPr>
          <w:color w:val="221F1F"/>
        </w:rPr>
        <w:t>that</w:t>
      </w:r>
      <w:r>
        <w:rPr>
          <w:color w:val="221F1F"/>
          <w:spacing w:val="-1"/>
        </w:rPr>
        <w:t xml:space="preserve"> </w:t>
      </w:r>
      <w:r>
        <w:rPr>
          <w:color w:val="221F1F"/>
        </w:rPr>
        <w:t>we</w:t>
      </w:r>
      <w:r>
        <w:rPr>
          <w:color w:val="221F1F"/>
          <w:spacing w:val="-4"/>
        </w:rPr>
        <w:t xml:space="preserve"> </w:t>
      </w:r>
      <w:r>
        <w:rPr>
          <w:color w:val="221F1F"/>
        </w:rPr>
        <w:t>have</w:t>
      </w:r>
      <w:r>
        <w:rPr>
          <w:color w:val="221F1F"/>
          <w:spacing w:val="-4"/>
        </w:rPr>
        <w:t xml:space="preserve"> </w:t>
      </w:r>
      <w:r>
        <w:rPr>
          <w:color w:val="221F1F"/>
        </w:rPr>
        <w:t>read</w:t>
      </w:r>
      <w:r>
        <w:rPr>
          <w:color w:val="221F1F"/>
          <w:spacing w:val="-5"/>
        </w:rPr>
        <w:t xml:space="preserve"> </w:t>
      </w:r>
      <w:r>
        <w:rPr>
          <w:color w:val="221F1F"/>
        </w:rPr>
        <w:t>and</w:t>
      </w:r>
      <w:r>
        <w:rPr>
          <w:color w:val="221F1F"/>
          <w:spacing w:val="-2"/>
        </w:rPr>
        <w:t xml:space="preserve"> </w:t>
      </w:r>
      <w:r>
        <w:rPr>
          <w:color w:val="221F1F"/>
        </w:rPr>
        <w:t>understood</w:t>
      </w:r>
      <w:r>
        <w:rPr>
          <w:color w:val="221F1F"/>
          <w:spacing w:val="-2"/>
        </w:rPr>
        <w:t xml:space="preserve"> </w:t>
      </w:r>
      <w:r>
        <w:rPr>
          <w:color w:val="221F1F"/>
        </w:rPr>
        <w:t>the</w:t>
      </w:r>
      <w:r>
        <w:rPr>
          <w:color w:val="221F1F"/>
          <w:spacing w:val="-2"/>
        </w:rPr>
        <w:t xml:space="preserve"> </w:t>
      </w:r>
      <w:r>
        <w:rPr>
          <w:color w:val="221F1F"/>
        </w:rPr>
        <w:t>full</w:t>
      </w:r>
      <w:r>
        <w:rPr>
          <w:color w:val="221F1F"/>
          <w:spacing w:val="-4"/>
        </w:rPr>
        <w:t xml:space="preserve"> </w:t>
      </w:r>
      <w:r>
        <w:rPr>
          <w:color w:val="221F1F"/>
        </w:rPr>
        <w:t>content</w:t>
      </w:r>
      <w:r>
        <w:rPr>
          <w:color w:val="221F1F"/>
          <w:spacing w:val="-1"/>
        </w:rPr>
        <w:t xml:space="preserve"> </w:t>
      </w:r>
      <w:r>
        <w:rPr>
          <w:color w:val="221F1F"/>
        </w:rPr>
        <w:t>and</w:t>
      </w:r>
      <w:r>
        <w:rPr>
          <w:color w:val="221F1F"/>
          <w:spacing w:val="-4"/>
        </w:rPr>
        <w:t xml:space="preserve"> </w:t>
      </w:r>
      <w:r>
        <w:rPr>
          <w:color w:val="221F1F"/>
        </w:rPr>
        <w:t>scope</w:t>
      </w:r>
      <w:r>
        <w:rPr>
          <w:color w:val="221F1F"/>
          <w:spacing w:val="-2"/>
        </w:rPr>
        <w:t xml:space="preserve"> </w:t>
      </w:r>
      <w:r>
        <w:rPr>
          <w:color w:val="221F1F"/>
        </w:rPr>
        <w:t>of</w:t>
      </w:r>
      <w:r>
        <w:rPr>
          <w:color w:val="221F1F"/>
          <w:spacing w:val="-3"/>
        </w:rPr>
        <w:t xml:space="preserve"> </w:t>
      </w:r>
      <w:r>
        <w:rPr>
          <w:color w:val="221F1F"/>
        </w:rPr>
        <w:t>fraud</w:t>
      </w:r>
      <w:r>
        <w:rPr>
          <w:color w:val="221F1F"/>
          <w:spacing w:val="-2"/>
        </w:rPr>
        <w:t xml:space="preserve"> </w:t>
      </w:r>
      <w:r>
        <w:rPr>
          <w:color w:val="221F1F"/>
        </w:rPr>
        <w:t>and</w:t>
      </w:r>
      <w:r>
        <w:rPr>
          <w:color w:val="221F1F"/>
          <w:spacing w:val="-4"/>
        </w:rPr>
        <w:t xml:space="preserve"> </w:t>
      </w:r>
      <w:r>
        <w:rPr>
          <w:color w:val="221F1F"/>
        </w:rPr>
        <w:t xml:space="preserve">corruption as informed in </w:t>
      </w:r>
      <w:r>
        <w:rPr>
          <w:b/>
          <w:color w:val="221F1F"/>
        </w:rPr>
        <w:t>“Appendix 1 - Fraud and Corruption</w:t>
      </w:r>
      <w:r>
        <w:rPr>
          <w:color w:val="221F1F"/>
        </w:rPr>
        <w:t>” attached to the Form of Tender.</w:t>
      </w:r>
    </w:p>
    <w:p w:rsidR="007F6DF9" w:rsidRDefault="007F6DF9">
      <w:pPr>
        <w:pStyle w:val="BodyText"/>
        <w:spacing w:before="227"/>
      </w:pPr>
    </w:p>
    <w:p w:rsidR="007F6DF9" w:rsidRDefault="00A43FBC">
      <w:pPr>
        <w:ind w:left="1695"/>
      </w:pPr>
      <w:r>
        <w:rPr>
          <w:b/>
          <w:color w:val="221F1F"/>
        </w:rPr>
        <w:t>Name</w:t>
      </w:r>
      <w:r>
        <w:rPr>
          <w:b/>
          <w:color w:val="221F1F"/>
          <w:spacing w:val="-5"/>
        </w:rPr>
        <w:t xml:space="preserve"> </w:t>
      </w:r>
      <w:r>
        <w:rPr>
          <w:b/>
          <w:color w:val="221F1F"/>
        </w:rPr>
        <w:t>of</w:t>
      </w:r>
      <w:r>
        <w:rPr>
          <w:b/>
          <w:color w:val="221F1F"/>
          <w:spacing w:val="-3"/>
        </w:rPr>
        <w:t xml:space="preserve"> </w:t>
      </w:r>
      <w:r>
        <w:rPr>
          <w:b/>
          <w:color w:val="221F1F"/>
        </w:rPr>
        <w:t>the</w:t>
      </w:r>
      <w:r>
        <w:rPr>
          <w:b/>
          <w:color w:val="221F1F"/>
          <w:spacing w:val="-4"/>
        </w:rPr>
        <w:t xml:space="preserve"> </w:t>
      </w:r>
      <w:r>
        <w:rPr>
          <w:b/>
          <w:color w:val="221F1F"/>
        </w:rPr>
        <w:t>Tenderer:</w:t>
      </w:r>
      <w:r>
        <w:rPr>
          <w:b/>
          <w:color w:val="221F1F"/>
          <w:spacing w:val="-3"/>
        </w:rPr>
        <w:t xml:space="preserve"> </w:t>
      </w:r>
      <w:r>
        <w:rPr>
          <w:color w:val="221F1F"/>
        </w:rPr>
        <w:t>*[</w:t>
      </w:r>
      <w:r>
        <w:rPr>
          <w:i/>
          <w:color w:val="221F1F"/>
        </w:rPr>
        <w:t>insert</w:t>
      </w:r>
      <w:r>
        <w:rPr>
          <w:i/>
          <w:color w:val="221F1F"/>
          <w:spacing w:val="-2"/>
        </w:rPr>
        <w:t xml:space="preserve"> </w:t>
      </w:r>
      <w:r>
        <w:rPr>
          <w:i/>
          <w:color w:val="221F1F"/>
        </w:rPr>
        <w:t>complete</w:t>
      </w:r>
      <w:r>
        <w:rPr>
          <w:i/>
          <w:color w:val="221F1F"/>
          <w:spacing w:val="-3"/>
        </w:rPr>
        <w:t xml:space="preserve"> </w:t>
      </w:r>
      <w:r>
        <w:rPr>
          <w:i/>
          <w:color w:val="221F1F"/>
        </w:rPr>
        <w:t>name</w:t>
      </w:r>
      <w:r>
        <w:rPr>
          <w:i/>
          <w:color w:val="221F1F"/>
          <w:spacing w:val="-5"/>
        </w:rPr>
        <w:t xml:space="preserve"> </w:t>
      </w:r>
      <w:r>
        <w:rPr>
          <w:i/>
          <w:color w:val="221F1F"/>
        </w:rPr>
        <w:t>of</w:t>
      </w:r>
      <w:r>
        <w:rPr>
          <w:i/>
          <w:color w:val="221F1F"/>
          <w:spacing w:val="-2"/>
        </w:rPr>
        <w:t xml:space="preserve"> </w:t>
      </w:r>
      <w:r>
        <w:rPr>
          <w:i/>
          <w:color w:val="221F1F"/>
        </w:rPr>
        <w:t>person</w:t>
      </w:r>
      <w:r>
        <w:rPr>
          <w:i/>
          <w:color w:val="221F1F"/>
          <w:spacing w:val="-3"/>
        </w:rPr>
        <w:t xml:space="preserve"> </w:t>
      </w:r>
      <w:r>
        <w:rPr>
          <w:i/>
          <w:color w:val="221F1F"/>
        </w:rPr>
        <w:t>signing</w:t>
      </w:r>
      <w:r>
        <w:rPr>
          <w:i/>
          <w:color w:val="221F1F"/>
          <w:spacing w:val="-3"/>
        </w:rPr>
        <w:t xml:space="preserve"> </w:t>
      </w:r>
      <w:r>
        <w:rPr>
          <w:i/>
          <w:color w:val="221F1F"/>
        </w:rPr>
        <w:t>the</w:t>
      </w:r>
      <w:r>
        <w:rPr>
          <w:i/>
          <w:color w:val="221F1F"/>
          <w:spacing w:val="-3"/>
        </w:rPr>
        <w:t xml:space="preserve"> </w:t>
      </w:r>
      <w:r>
        <w:rPr>
          <w:i/>
          <w:color w:val="221F1F"/>
          <w:spacing w:val="-2"/>
        </w:rPr>
        <w:t>Tender</w:t>
      </w:r>
      <w:r>
        <w:rPr>
          <w:color w:val="221F1F"/>
          <w:spacing w:val="-2"/>
        </w:rPr>
        <w:t>]</w:t>
      </w:r>
    </w:p>
    <w:p w:rsidR="007F6DF9" w:rsidRDefault="00A43FBC">
      <w:pPr>
        <w:spacing w:before="243" w:line="230" w:lineRule="auto"/>
        <w:ind w:left="1695" w:right="332"/>
      </w:pPr>
      <w:r>
        <w:rPr>
          <w:b/>
          <w:color w:val="221F1F"/>
        </w:rPr>
        <w:t>Name</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5"/>
        </w:rPr>
        <w:t xml:space="preserve"> </w:t>
      </w:r>
      <w:r>
        <w:rPr>
          <w:b/>
          <w:color w:val="221F1F"/>
        </w:rPr>
        <w:t>person</w:t>
      </w:r>
      <w:r>
        <w:rPr>
          <w:b/>
          <w:color w:val="221F1F"/>
          <w:spacing w:val="-5"/>
        </w:rPr>
        <w:t xml:space="preserve"> </w:t>
      </w:r>
      <w:r>
        <w:rPr>
          <w:b/>
          <w:color w:val="221F1F"/>
        </w:rPr>
        <w:t>duly</w:t>
      </w:r>
      <w:r>
        <w:rPr>
          <w:b/>
          <w:color w:val="221F1F"/>
          <w:spacing w:val="-7"/>
        </w:rPr>
        <w:t xml:space="preserve"> </w:t>
      </w:r>
      <w:r>
        <w:rPr>
          <w:b/>
          <w:color w:val="221F1F"/>
        </w:rPr>
        <w:t>authorized</w:t>
      </w:r>
      <w:r>
        <w:rPr>
          <w:b/>
          <w:color w:val="221F1F"/>
          <w:spacing w:val="-7"/>
        </w:rPr>
        <w:t xml:space="preserve"> </w:t>
      </w:r>
      <w:r>
        <w:rPr>
          <w:b/>
          <w:color w:val="221F1F"/>
        </w:rPr>
        <w:t>to</w:t>
      </w:r>
      <w:r>
        <w:rPr>
          <w:b/>
          <w:color w:val="221F1F"/>
          <w:spacing w:val="-5"/>
        </w:rPr>
        <w:t xml:space="preserve"> </w:t>
      </w:r>
      <w:r>
        <w:rPr>
          <w:b/>
          <w:color w:val="221F1F"/>
        </w:rPr>
        <w:t>sign</w:t>
      </w:r>
      <w:r>
        <w:rPr>
          <w:b/>
          <w:color w:val="221F1F"/>
          <w:spacing w:val="-7"/>
        </w:rPr>
        <w:t xml:space="preserve"> </w:t>
      </w:r>
      <w:r>
        <w:rPr>
          <w:b/>
          <w:color w:val="221F1F"/>
        </w:rPr>
        <w:t>the</w:t>
      </w:r>
      <w:r>
        <w:rPr>
          <w:b/>
          <w:color w:val="221F1F"/>
          <w:spacing w:val="-2"/>
        </w:rPr>
        <w:t xml:space="preserve"> </w:t>
      </w:r>
      <w:r>
        <w:rPr>
          <w:b/>
          <w:color w:val="221F1F"/>
        </w:rPr>
        <w:t>Tender</w:t>
      </w:r>
      <w:r>
        <w:rPr>
          <w:b/>
          <w:color w:val="221F1F"/>
          <w:spacing w:val="-14"/>
        </w:rPr>
        <w:t xml:space="preserve"> </w:t>
      </w:r>
      <w:r>
        <w:rPr>
          <w:b/>
          <w:color w:val="221F1F"/>
        </w:rPr>
        <w:t>on</w:t>
      </w:r>
      <w:r>
        <w:rPr>
          <w:b/>
          <w:color w:val="221F1F"/>
          <w:spacing w:val="-4"/>
        </w:rPr>
        <w:t xml:space="preserve"> </w:t>
      </w:r>
      <w:r>
        <w:rPr>
          <w:b/>
          <w:color w:val="221F1F"/>
        </w:rPr>
        <w:t>behalf</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4"/>
        </w:rPr>
        <w:t xml:space="preserve"> </w:t>
      </w:r>
      <w:r>
        <w:rPr>
          <w:b/>
          <w:color w:val="221F1F"/>
        </w:rPr>
        <w:t>Tenderer:</w:t>
      </w:r>
      <w:r>
        <w:rPr>
          <w:b/>
          <w:color w:val="221F1F"/>
          <w:spacing w:val="-10"/>
        </w:rPr>
        <w:t xml:space="preserve"> </w:t>
      </w:r>
      <w:r>
        <w:rPr>
          <w:color w:val="221F1F"/>
        </w:rPr>
        <w:t>**[</w:t>
      </w:r>
      <w:r>
        <w:rPr>
          <w:i/>
          <w:color w:val="221F1F"/>
        </w:rPr>
        <w:t>insert</w:t>
      </w:r>
      <w:r>
        <w:rPr>
          <w:i/>
          <w:color w:val="221F1F"/>
          <w:spacing w:val="-4"/>
        </w:rPr>
        <w:t xml:space="preserve"> </w:t>
      </w:r>
      <w:r>
        <w:rPr>
          <w:i/>
          <w:color w:val="221F1F"/>
        </w:rPr>
        <w:t>complete name of person duly authorized to sign the Tender</w:t>
      </w:r>
      <w:r>
        <w:rPr>
          <w:color w:val="221F1F"/>
        </w:rPr>
        <w:t>]</w:t>
      </w:r>
    </w:p>
    <w:p w:rsidR="007F6DF9" w:rsidRDefault="00A43FBC">
      <w:pPr>
        <w:spacing w:before="236"/>
        <w:ind w:left="1695"/>
      </w:pPr>
      <w:r>
        <w:rPr>
          <w:b/>
          <w:color w:val="221F1F"/>
        </w:rPr>
        <w:t>Title</w:t>
      </w:r>
      <w:r>
        <w:rPr>
          <w:b/>
          <w:color w:val="221F1F"/>
          <w:spacing w:val="-3"/>
        </w:rPr>
        <w:t xml:space="preserve"> </w:t>
      </w:r>
      <w:r>
        <w:rPr>
          <w:b/>
          <w:color w:val="221F1F"/>
        </w:rPr>
        <w:t>of</w:t>
      </w:r>
      <w:r>
        <w:rPr>
          <w:b/>
          <w:color w:val="221F1F"/>
          <w:spacing w:val="-4"/>
        </w:rPr>
        <w:t xml:space="preserve"> </w:t>
      </w:r>
      <w:r>
        <w:rPr>
          <w:b/>
          <w:color w:val="221F1F"/>
        </w:rPr>
        <w:t>the</w:t>
      </w:r>
      <w:r>
        <w:rPr>
          <w:b/>
          <w:color w:val="221F1F"/>
          <w:spacing w:val="-3"/>
        </w:rPr>
        <w:t xml:space="preserve"> </w:t>
      </w:r>
      <w:r>
        <w:rPr>
          <w:b/>
          <w:color w:val="221F1F"/>
        </w:rPr>
        <w:t>person</w:t>
      </w:r>
      <w:r>
        <w:rPr>
          <w:b/>
          <w:color w:val="221F1F"/>
          <w:spacing w:val="-2"/>
        </w:rPr>
        <w:t xml:space="preserve"> </w:t>
      </w:r>
      <w:r>
        <w:rPr>
          <w:b/>
          <w:color w:val="221F1F"/>
        </w:rPr>
        <w:t>signing</w:t>
      </w:r>
      <w:r>
        <w:rPr>
          <w:b/>
          <w:color w:val="221F1F"/>
          <w:spacing w:val="-5"/>
        </w:rPr>
        <w:t xml:space="preserve"> </w:t>
      </w:r>
      <w:r>
        <w:rPr>
          <w:b/>
          <w:color w:val="221F1F"/>
        </w:rPr>
        <w:t>the</w:t>
      </w:r>
      <w:r>
        <w:rPr>
          <w:b/>
          <w:color w:val="221F1F"/>
          <w:spacing w:val="-2"/>
        </w:rPr>
        <w:t xml:space="preserve"> </w:t>
      </w:r>
      <w:r>
        <w:rPr>
          <w:b/>
          <w:color w:val="221F1F"/>
        </w:rPr>
        <w:t>Tender</w:t>
      </w:r>
      <w:r>
        <w:rPr>
          <w:color w:val="221F1F"/>
        </w:rPr>
        <w:t>:</w:t>
      </w:r>
      <w:r>
        <w:rPr>
          <w:color w:val="221F1F"/>
          <w:spacing w:val="-5"/>
        </w:rPr>
        <w:t xml:space="preserve"> </w:t>
      </w:r>
      <w:r>
        <w:rPr>
          <w:color w:val="221F1F"/>
        </w:rPr>
        <w:t>[</w:t>
      </w:r>
      <w:r>
        <w:rPr>
          <w:i/>
          <w:color w:val="221F1F"/>
        </w:rPr>
        <w:t>insert</w:t>
      </w:r>
      <w:r>
        <w:rPr>
          <w:i/>
          <w:color w:val="221F1F"/>
          <w:spacing w:val="-1"/>
        </w:rPr>
        <w:t xml:space="preserve"> </w:t>
      </w:r>
      <w:r>
        <w:rPr>
          <w:i/>
          <w:color w:val="221F1F"/>
        </w:rPr>
        <w:t>complete</w:t>
      </w:r>
      <w:r>
        <w:rPr>
          <w:i/>
          <w:color w:val="221F1F"/>
          <w:spacing w:val="-5"/>
        </w:rPr>
        <w:t xml:space="preserve"> </w:t>
      </w:r>
      <w:r>
        <w:rPr>
          <w:i/>
          <w:color w:val="221F1F"/>
        </w:rPr>
        <w:t>title</w:t>
      </w:r>
      <w:r>
        <w:rPr>
          <w:i/>
          <w:color w:val="221F1F"/>
          <w:spacing w:val="-2"/>
        </w:rPr>
        <w:t xml:space="preserve"> </w:t>
      </w:r>
      <w:r>
        <w:rPr>
          <w:i/>
          <w:color w:val="221F1F"/>
        </w:rPr>
        <w:t>of</w:t>
      </w:r>
      <w:r>
        <w:rPr>
          <w:i/>
          <w:color w:val="221F1F"/>
          <w:spacing w:val="-4"/>
        </w:rPr>
        <w:t xml:space="preserve"> </w:t>
      </w:r>
      <w:r>
        <w:rPr>
          <w:i/>
          <w:color w:val="221F1F"/>
        </w:rPr>
        <w:t>the</w:t>
      </w:r>
      <w:r>
        <w:rPr>
          <w:i/>
          <w:color w:val="221F1F"/>
          <w:spacing w:val="-2"/>
        </w:rPr>
        <w:t xml:space="preserve"> </w:t>
      </w:r>
      <w:r>
        <w:rPr>
          <w:i/>
          <w:color w:val="221F1F"/>
        </w:rPr>
        <w:t>person</w:t>
      </w:r>
      <w:r>
        <w:rPr>
          <w:i/>
          <w:color w:val="221F1F"/>
          <w:spacing w:val="-3"/>
        </w:rPr>
        <w:t xml:space="preserve"> </w:t>
      </w:r>
      <w:r>
        <w:rPr>
          <w:i/>
          <w:color w:val="221F1F"/>
        </w:rPr>
        <w:t>signing</w:t>
      </w:r>
      <w:r>
        <w:rPr>
          <w:i/>
          <w:color w:val="221F1F"/>
          <w:spacing w:val="-2"/>
        </w:rPr>
        <w:t xml:space="preserve"> </w:t>
      </w:r>
      <w:r>
        <w:rPr>
          <w:i/>
          <w:color w:val="221F1F"/>
        </w:rPr>
        <w:t>the</w:t>
      </w:r>
      <w:r>
        <w:rPr>
          <w:i/>
          <w:color w:val="221F1F"/>
          <w:spacing w:val="-2"/>
        </w:rPr>
        <w:t xml:space="preserve"> Tender</w:t>
      </w:r>
      <w:r>
        <w:rPr>
          <w:color w:val="221F1F"/>
          <w:spacing w:val="-2"/>
        </w:rPr>
        <w:t>]</w:t>
      </w:r>
    </w:p>
    <w:p w:rsidR="007F6DF9" w:rsidRDefault="00A43FBC">
      <w:pPr>
        <w:spacing w:before="245" w:line="230" w:lineRule="auto"/>
        <w:ind w:left="1695" w:right="332"/>
      </w:pPr>
      <w:r>
        <w:rPr>
          <w:b/>
          <w:color w:val="221F1F"/>
        </w:rPr>
        <w:t>Signature</w:t>
      </w:r>
      <w:r>
        <w:rPr>
          <w:b/>
          <w:color w:val="221F1F"/>
          <w:spacing w:val="-2"/>
        </w:rPr>
        <w:t xml:space="preserve"> </w:t>
      </w:r>
      <w:r>
        <w:rPr>
          <w:b/>
          <w:color w:val="221F1F"/>
        </w:rPr>
        <w:t>of</w:t>
      </w:r>
      <w:r>
        <w:rPr>
          <w:b/>
          <w:color w:val="221F1F"/>
          <w:spacing w:val="-2"/>
        </w:rPr>
        <w:t xml:space="preserve"> </w:t>
      </w:r>
      <w:r>
        <w:rPr>
          <w:b/>
          <w:color w:val="221F1F"/>
        </w:rPr>
        <w:t>the</w:t>
      </w:r>
      <w:r>
        <w:rPr>
          <w:b/>
          <w:color w:val="221F1F"/>
          <w:spacing w:val="-2"/>
        </w:rPr>
        <w:t xml:space="preserve"> </w:t>
      </w:r>
      <w:r>
        <w:rPr>
          <w:b/>
          <w:color w:val="221F1F"/>
        </w:rPr>
        <w:t>person</w:t>
      </w:r>
      <w:r>
        <w:rPr>
          <w:b/>
          <w:color w:val="221F1F"/>
          <w:spacing w:val="-2"/>
        </w:rPr>
        <w:t xml:space="preserve"> </w:t>
      </w:r>
      <w:r>
        <w:rPr>
          <w:b/>
          <w:color w:val="221F1F"/>
        </w:rPr>
        <w:t>named</w:t>
      </w:r>
      <w:r>
        <w:rPr>
          <w:b/>
          <w:color w:val="221F1F"/>
          <w:spacing w:val="-2"/>
        </w:rPr>
        <w:t xml:space="preserve"> </w:t>
      </w:r>
      <w:r>
        <w:rPr>
          <w:b/>
          <w:color w:val="221F1F"/>
        </w:rPr>
        <w:t>above</w:t>
      </w:r>
      <w:r>
        <w:rPr>
          <w:color w:val="221F1F"/>
        </w:rPr>
        <w:t>:</w:t>
      </w:r>
      <w:r>
        <w:rPr>
          <w:color w:val="221F1F"/>
          <w:spacing w:val="-1"/>
        </w:rPr>
        <w:t xml:space="preserve"> </w:t>
      </w:r>
      <w:r>
        <w:rPr>
          <w:color w:val="221F1F"/>
        </w:rPr>
        <w:t>[</w:t>
      </w:r>
      <w:r>
        <w:rPr>
          <w:i/>
          <w:color w:val="221F1F"/>
        </w:rPr>
        <w:t>insert</w:t>
      </w:r>
      <w:r>
        <w:rPr>
          <w:i/>
          <w:color w:val="221F1F"/>
          <w:spacing w:val="-3"/>
        </w:rPr>
        <w:t xml:space="preserve"> </w:t>
      </w:r>
      <w:r>
        <w:rPr>
          <w:i/>
          <w:color w:val="221F1F"/>
        </w:rPr>
        <w:t>signature</w:t>
      </w:r>
      <w:r>
        <w:rPr>
          <w:i/>
          <w:color w:val="221F1F"/>
          <w:spacing w:val="-2"/>
        </w:rPr>
        <w:t xml:space="preserve"> </w:t>
      </w:r>
      <w:r>
        <w:rPr>
          <w:i/>
          <w:color w:val="221F1F"/>
        </w:rPr>
        <w:t>of</w:t>
      </w:r>
      <w:r>
        <w:rPr>
          <w:i/>
          <w:color w:val="221F1F"/>
          <w:spacing w:val="-1"/>
        </w:rPr>
        <w:t xml:space="preserve"> </w:t>
      </w:r>
      <w:r>
        <w:rPr>
          <w:i/>
          <w:color w:val="221F1F"/>
        </w:rPr>
        <w:t>person</w:t>
      </w:r>
      <w:r>
        <w:rPr>
          <w:i/>
          <w:color w:val="221F1F"/>
          <w:spacing w:val="-2"/>
        </w:rPr>
        <w:t xml:space="preserve"> </w:t>
      </w:r>
      <w:r>
        <w:rPr>
          <w:i/>
          <w:color w:val="221F1F"/>
        </w:rPr>
        <w:t>whose</w:t>
      </w:r>
      <w:r>
        <w:rPr>
          <w:i/>
          <w:color w:val="221F1F"/>
          <w:spacing w:val="-2"/>
        </w:rPr>
        <w:t xml:space="preserve"> </w:t>
      </w:r>
      <w:r>
        <w:rPr>
          <w:i/>
          <w:color w:val="221F1F"/>
        </w:rPr>
        <w:t>name</w:t>
      </w:r>
      <w:r>
        <w:rPr>
          <w:i/>
          <w:color w:val="221F1F"/>
          <w:spacing w:val="-4"/>
        </w:rPr>
        <w:t xml:space="preserve"> </w:t>
      </w:r>
      <w:r>
        <w:rPr>
          <w:i/>
          <w:color w:val="221F1F"/>
        </w:rPr>
        <w:t>and</w:t>
      </w:r>
      <w:r>
        <w:rPr>
          <w:i/>
          <w:color w:val="221F1F"/>
          <w:spacing w:val="-2"/>
        </w:rPr>
        <w:t xml:space="preserve"> </w:t>
      </w:r>
      <w:r>
        <w:rPr>
          <w:i/>
          <w:color w:val="221F1F"/>
        </w:rPr>
        <w:t>capacity</w:t>
      </w:r>
      <w:r>
        <w:rPr>
          <w:i/>
          <w:color w:val="221F1F"/>
          <w:spacing w:val="-2"/>
        </w:rPr>
        <w:t xml:space="preserve"> </w:t>
      </w:r>
      <w:r>
        <w:rPr>
          <w:i/>
          <w:color w:val="221F1F"/>
        </w:rPr>
        <w:t>are</w:t>
      </w:r>
      <w:r>
        <w:rPr>
          <w:i/>
          <w:color w:val="221F1F"/>
          <w:spacing w:val="-2"/>
        </w:rPr>
        <w:t xml:space="preserve"> </w:t>
      </w:r>
      <w:r>
        <w:rPr>
          <w:i/>
          <w:color w:val="221F1F"/>
        </w:rPr>
        <w:t xml:space="preserve">shown </w:t>
      </w:r>
      <w:r>
        <w:rPr>
          <w:i/>
          <w:color w:val="221F1F"/>
          <w:spacing w:val="-2"/>
        </w:rPr>
        <w:t>above</w:t>
      </w:r>
      <w:r>
        <w:rPr>
          <w:color w:val="221F1F"/>
          <w:spacing w:val="-2"/>
        </w:rPr>
        <w:t>]</w:t>
      </w:r>
    </w:p>
    <w:p w:rsidR="007F6DF9" w:rsidRDefault="00A43FBC">
      <w:pPr>
        <w:spacing w:before="235"/>
        <w:ind w:left="1695"/>
      </w:pPr>
      <w:r>
        <w:rPr>
          <w:b/>
          <w:color w:val="221F1F"/>
        </w:rPr>
        <w:t>Date</w:t>
      </w:r>
      <w:r>
        <w:rPr>
          <w:b/>
          <w:color w:val="221F1F"/>
          <w:spacing w:val="-4"/>
        </w:rPr>
        <w:t xml:space="preserve"> </w:t>
      </w:r>
      <w:r>
        <w:rPr>
          <w:b/>
          <w:color w:val="221F1F"/>
        </w:rPr>
        <w:t>signed</w:t>
      </w:r>
      <w:r>
        <w:rPr>
          <w:b/>
          <w:color w:val="221F1F"/>
          <w:spacing w:val="-6"/>
        </w:rPr>
        <w:t xml:space="preserve"> </w:t>
      </w:r>
      <w:r>
        <w:rPr>
          <w:color w:val="221F1F"/>
        </w:rPr>
        <w:t>[</w:t>
      </w:r>
      <w:r>
        <w:rPr>
          <w:i/>
          <w:color w:val="221F1F"/>
        </w:rPr>
        <w:t>insert</w:t>
      </w:r>
      <w:r>
        <w:rPr>
          <w:i/>
          <w:color w:val="221F1F"/>
          <w:spacing w:val="-2"/>
        </w:rPr>
        <w:t xml:space="preserve"> </w:t>
      </w:r>
      <w:r>
        <w:rPr>
          <w:i/>
          <w:color w:val="221F1F"/>
        </w:rPr>
        <w:t>date</w:t>
      </w:r>
      <w:r>
        <w:rPr>
          <w:i/>
          <w:color w:val="221F1F"/>
          <w:spacing w:val="-3"/>
        </w:rPr>
        <w:t xml:space="preserve"> </w:t>
      </w:r>
      <w:r>
        <w:rPr>
          <w:i/>
          <w:color w:val="221F1F"/>
        </w:rPr>
        <w:t>of</w:t>
      </w:r>
      <w:r>
        <w:rPr>
          <w:i/>
          <w:color w:val="221F1F"/>
          <w:spacing w:val="-5"/>
        </w:rPr>
        <w:t xml:space="preserve"> </w:t>
      </w:r>
      <w:r>
        <w:rPr>
          <w:i/>
          <w:color w:val="221F1F"/>
        </w:rPr>
        <w:t>signing</w:t>
      </w:r>
      <w:r>
        <w:rPr>
          <w:color w:val="221F1F"/>
        </w:rPr>
        <w:t>]</w:t>
      </w:r>
      <w:r>
        <w:rPr>
          <w:color w:val="221F1F"/>
          <w:spacing w:val="-3"/>
        </w:rPr>
        <w:t xml:space="preserve"> </w:t>
      </w:r>
      <w:r>
        <w:rPr>
          <w:color w:val="221F1F"/>
        </w:rPr>
        <w:t>day</w:t>
      </w:r>
      <w:r>
        <w:rPr>
          <w:color w:val="221F1F"/>
          <w:spacing w:val="-3"/>
        </w:rPr>
        <w:t xml:space="preserve"> </w:t>
      </w:r>
      <w:r>
        <w:rPr>
          <w:color w:val="221F1F"/>
        </w:rPr>
        <w:t>of</w:t>
      </w:r>
      <w:r>
        <w:rPr>
          <w:color w:val="221F1F"/>
          <w:spacing w:val="-3"/>
        </w:rPr>
        <w:t xml:space="preserve"> </w:t>
      </w:r>
      <w:r>
        <w:rPr>
          <w:color w:val="221F1F"/>
        </w:rPr>
        <w:t>[</w:t>
      </w:r>
      <w:r>
        <w:rPr>
          <w:i/>
          <w:color w:val="221F1F"/>
        </w:rPr>
        <w:t>insert</w:t>
      </w:r>
      <w:r>
        <w:rPr>
          <w:i/>
          <w:color w:val="221F1F"/>
          <w:spacing w:val="-2"/>
        </w:rPr>
        <w:t xml:space="preserve"> </w:t>
      </w:r>
      <w:r>
        <w:rPr>
          <w:i/>
          <w:color w:val="221F1F"/>
        </w:rPr>
        <w:t>month</w:t>
      </w:r>
      <w:r>
        <w:rPr>
          <w:color w:val="221F1F"/>
        </w:rPr>
        <w:t>],</w:t>
      </w:r>
      <w:r>
        <w:rPr>
          <w:color w:val="221F1F"/>
          <w:spacing w:val="-6"/>
        </w:rPr>
        <w:t xml:space="preserve"> </w:t>
      </w:r>
      <w:r>
        <w:rPr>
          <w:color w:val="221F1F"/>
        </w:rPr>
        <w:t>[</w:t>
      </w:r>
      <w:r>
        <w:rPr>
          <w:i/>
          <w:color w:val="221F1F"/>
        </w:rPr>
        <w:t>insert</w:t>
      </w:r>
      <w:r>
        <w:rPr>
          <w:i/>
          <w:color w:val="221F1F"/>
          <w:spacing w:val="-2"/>
        </w:rPr>
        <w:t xml:space="preserve"> year</w:t>
      </w:r>
      <w:r>
        <w:rPr>
          <w:color w:val="221F1F"/>
          <w:spacing w:val="-2"/>
        </w:rPr>
        <w:t>]</w:t>
      </w:r>
    </w:p>
    <w:p w:rsidR="007F6DF9" w:rsidRDefault="00A43FBC">
      <w:pPr>
        <w:pStyle w:val="BodyText"/>
        <w:tabs>
          <w:tab w:val="left" w:pos="6304"/>
          <w:tab w:val="left" w:pos="9403"/>
          <w:tab w:val="left" w:pos="10240"/>
        </w:tabs>
        <w:spacing w:before="8" w:line="480" w:lineRule="atLeast"/>
        <w:ind w:left="1695" w:right="1244"/>
      </w:pPr>
      <w:proofErr w:type="spellStart"/>
      <w:r>
        <w:rPr>
          <w:color w:val="221F1F"/>
          <w:spacing w:val="-2"/>
        </w:rPr>
        <w:t>Datesigned</w:t>
      </w:r>
      <w:proofErr w:type="spellEnd"/>
      <w:r>
        <w:rPr>
          <w:color w:val="221F1F"/>
          <w:u w:val="single" w:color="211E1F"/>
        </w:rPr>
        <w:tab/>
      </w:r>
      <w:proofErr w:type="spellStart"/>
      <w:r>
        <w:rPr>
          <w:color w:val="221F1F"/>
          <w:spacing w:val="-2"/>
        </w:rPr>
        <w:t>dayof</w:t>
      </w:r>
      <w:proofErr w:type="spellEnd"/>
      <w:r>
        <w:rPr>
          <w:color w:val="221F1F"/>
          <w:u w:val="single" w:color="211E1F"/>
        </w:rPr>
        <w:tab/>
      </w:r>
      <w:r>
        <w:rPr>
          <w:color w:val="221F1F"/>
          <w:spacing w:val="-10"/>
          <w:u w:val="single" w:color="211E1F"/>
        </w:rPr>
        <w:t>,</w:t>
      </w:r>
      <w:r>
        <w:rPr>
          <w:color w:val="221F1F"/>
          <w:u w:val="single" w:color="211E1F"/>
        </w:rPr>
        <w:tab/>
      </w:r>
      <w:r>
        <w:rPr>
          <w:color w:val="221F1F"/>
        </w:rPr>
        <w:t xml:space="preserve"> </w:t>
      </w:r>
      <w:r>
        <w:rPr>
          <w:color w:val="221F1F"/>
          <w:spacing w:val="-2"/>
        </w:rPr>
        <w:t>Notes</w:t>
      </w:r>
    </w:p>
    <w:p w:rsidR="007F6DF9" w:rsidRDefault="00A43FBC">
      <w:pPr>
        <w:spacing w:line="243" w:lineRule="exact"/>
        <w:ind w:left="1695"/>
        <w:rPr>
          <w:i/>
        </w:rPr>
      </w:pPr>
      <w:r>
        <w:rPr>
          <w:i/>
          <w:color w:val="221F1F"/>
        </w:rPr>
        <w:t>*</w:t>
      </w:r>
      <w:r>
        <w:rPr>
          <w:i/>
          <w:color w:val="221F1F"/>
          <w:spacing w:val="-5"/>
        </w:rPr>
        <w:t xml:space="preserve"> </w:t>
      </w:r>
      <w:r>
        <w:rPr>
          <w:i/>
          <w:color w:val="221F1F"/>
        </w:rPr>
        <w:t>In</w:t>
      </w:r>
      <w:r>
        <w:rPr>
          <w:i/>
          <w:color w:val="221F1F"/>
          <w:spacing w:val="-2"/>
        </w:rPr>
        <w:t xml:space="preserve"> </w:t>
      </w:r>
      <w:r>
        <w:rPr>
          <w:i/>
          <w:color w:val="221F1F"/>
        </w:rPr>
        <w:t>the</w:t>
      </w:r>
      <w:r>
        <w:rPr>
          <w:i/>
          <w:color w:val="221F1F"/>
          <w:spacing w:val="-2"/>
        </w:rPr>
        <w:t xml:space="preserve"> </w:t>
      </w:r>
      <w:r>
        <w:rPr>
          <w:i/>
          <w:color w:val="221F1F"/>
        </w:rPr>
        <w:t>case</w:t>
      </w:r>
      <w:r>
        <w:rPr>
          <w:i/>
          <w:color w:val="221F1F"/>
          <w:spacing w:val="-2"/>
        </w:rPr>
        <w:t xml:space="preserve"> </w:t>
      </w:r>
      <w:r>
        <w:rPr>
          <w:i/>
          <w:color w:val="221F1F"/>
        </w:rPr>
        <w:t>of</w:t>
      </w:r>
      <w:r>
        <w:rPr>
          <w:i/>
          <w:color w:val="221F1F"/>
          <w:spacing w:val="-4"/>
        </w:rPr>
        <w:t xml:space="preserve"> </w:t>
      </w:r>
      <w:r>
        <w:rPr>
          <w:i/>
          <w:color w:val="221F1F"/>
        </w:rPr>
        <w:t>the</w:t>
      </w:r>
      <w:r>
        <w:rPr>
          <w:i/>
          <w:color w:val="221F1F"/>
          <w:spacing w:val="-2"/>
        </w:rPr>
        <w:t xml:space="preserve"> </w:t>
      </w:r>
      <w:r>
        <w:rPr>
          <w:i/>
          <w:color w:val="221F1F"/>
        </w:rPr>
        <w:t>Tender</w:t>
      </w:r>
      <w:r>
        <w:rPr>
          <w:i/>
          <w:color w:val="221F1F"/>
          <w:spacing w:val="-3"/>
        </w:rPr>
        <w:t xml:space="preserve"> </w:t>
      </w:r>
      <w:r>
        <w:rPr>
          <w:i/>
          <w:color w:val="221F1F"/>
        </w:rPr>
        <w:t>submitted</w:t>
      </w:r>
      <w:r>
        <w:rPr>
          <w:i/>
          <w:color w:val="221F1F"/>
          <w:spacing w:val="-2"/>
        </w:rPr>
        <w:t xml:space="preserve"> </w:t>
      </w:r>
      <w:r>
        <w:rPr>
          <w:i/>
          <w:color w:val="221F1F"/>
        </w:rPr>
        <w:t>by</w:t>
      </w:r>
      <w:r>
        <w:rPr>
          <w:i/>
          <w:color w:val="221F1F"/>
          <w:spacing w:val="-4"/>
        </w:rPr>
        <w:t xml:space="preserve"> </w:t>
      </w:r>
      <w:r>
        <w:rPr>
          <w:i/>
          <w:color w:val="221F1F"/>
        </w:rPr>
        <w:t>joint venture</w:t>
      </w:r>
      <w:r>
        <w:rPr>
          <w:i/>
          <w:color w:val="221F1F"/>
          <w:spacing w:val="-4"/>
        </w:rPr>
        <w:t xml:space="preserve"> </w:t>
      </w:r>
      <w:r>
        <w:rPr>
          <w:i/>
          <w:color w:val="221F1F"/>
        </w:rPr>
        <w:t>specify</w:t>
      </w:r>
      <w:r>
        <w:rPr>
          <w:i/>
          <w:color w:val="221F1F"/>
          <w:spacing w:val="-3"/>
        </w:rPr>
        <w:t xml:space="preserve"> </w:t>
      </w:r>
      <w:r>
        <w:rPr>
          <w:i/>
          <w:color w:val="221F1F"/>
        </w:rPr>
        <w:t>the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1"/>
        </w:rPr>
        <w:t xml:space="preserve"> </w:t>
      </w:r>
      <w:r>
        <w:rPr>
          <w:i/>
          <w:color w:val="221F1F"/>
        </w:rPr>
        <w:t>the</w:t>
      </w:r>
      <w:r>
        <w:rPr>
          <w:i/>
          <w:color w:val="221F1F"/>
          <w:spacing w:val="-2"/>
        </w:rPr>
        <w:t xml:space="preserve"> </w:t>
      </w:r>
      <w:r>
        <w:rPr>
          <w:i/>
          <w:color w:val="221F1F"/>
        </w:rPr>
        <w:t>Joint</w:t>
      </w:r>
      <w:r>
        <w:rPr>
          <w:i/>
          <w:color w:val="221F1F"/>
          <w:spacing w:val="-4"/>
        </w:rPr>
        <w:t xml:space="preserve"> </w:t>
      </w:r>
      <w:r>
        <w:rPr>
          <w:i/>
          <w:color w:val="221F1F"/>
        </w:rPr>
        <w:t>Venture</w:t>
      </w:r>
      <w:r>
        <w:rPr>
          <w:i/>
          <w:color w:val="221F1F"/>
          <w:spacing w:val="-2"/>
        </w:rPr>
        <w:t xml:space="preserve"> </w:t>
      </w:r>
      <w:r>
        <w:rPr>
          <w:i/>
          <w:color w:val="221F1F"/>
        </w:rPr>
        <w:t>as</w:t>
      </w:r>
      <w:r>
        <w:rPr>
          <w:i/>
          <w:color w:val="221F1F"/>
          <w:spacing w:val="-3"/>
        </w:rPr>
        <w:t xml:space="preserve"> </w:t>
      </w:r>
      <w:r>
        <w:rPr>
          <w:i/>
          <w:color w:val="221F1F"/>
          <w:spacing w:val="-2"/>
        </w:rPr>
        <w:t>Tenderer.</w:t>
      </w:r>
    </w:p>
    <w:p w:rsidR="007F6DF9" w:rsidRDefault="00A43FBC">
      <w:pPr>
        <w:spacing w:before="6" w:line="230" w:lineRule="auto"/>
        <w:ind w:left="1695" w:right="575"/>
        <w:rPr>
          <w:i/>
        </w:rPr>
      </w:pPr>
      <w:r>
        <w:rPr>
          <w:i/>
          <w:color w:val="221F1F"/>
        </w:rPr>
        <w:t>**Person</w:t>
      </w:r>
      <w:r>
        <w:rPr>
          <w:i/>
          <w:color w:val="221F1F"/>
          <w:spacing w:val="-4"/>
        </w:rPr>
        <w:t xml:space="preserve"> </w:t>
      </w:r>
      <w:r>
        <w:rPr>
          <w:i/>
          <w:color w:val="221F1F"/>
        </w:rPr>
        <w:t>signing</w:t>
      </w:r>
      <w:r>
        <w:rPr>
          <w:i/>
          <w:color w:val="221F1F"/>
          <w:spacing w:val="-4"/>
        </w:rPr>
        <w:t xml:space="preserve"> </w:t>
      </w:r>
      <w:r>
        <w:rPr>
          <w:i/>
          <w:color w:val="221F1F"/>
        </w:rPr>
        <w:t>the</w:t>
      </w:r>
      <w:r>
        <w:rPr>
          <w:i/>
          <w:color w:val="221F1F"/>
          <w:spacing w:val="-3"/>
        </w:rPr>
        <w:t xml:space="preserve"> </w:t>
      </w:r>
      <w:r>
        <w:rPr>
          <w:i/>
          <w:color w:val="221F1F"/>
        </w:rPr>
        <w:t>Tender</w:t>
      </w:r>
      <w:r>
        <w:rPr>
          <w:i/>
          <w:color w:val="221F1F"/>
          <w:spacing w:val="-13"/>
        </w:rPr>
        <w:t xml:space="preserve"> </w:t>
      </w:r>
      <w:r>
        <w:rPr>
          <w:i/>
          <w:color w:val="221F1F"/>
        </w:rPr>
        <w:t>shall</w:t>
      </w:r>
      <w:r>
        <w:rPr>
          <w:i/>
          <w:color w:val="221F1F"/>
          <w:spacing w:val="-6"/>
        </w:rPr>
        <w:t xml:space="preserve"> </w:t>
      </w:r>
      <w:r>
        <w:rPr>
          <w:i/>
          <w:color w:val="221F1F"/>
        </w:rPr>
        <w:t>have</w:t>
      </w:r>
      <w:r>
        <w:rPr>
          <w:i/>
          <w:color w:val="221F1F"/>
          <w:spacing w:val="-6"/>
        </w:rPr>
        <w:t xml:space="preserve"> </w:t>
      </w:r>
      <w:r>
        <w:rPr>
          <w:i/>
          <w:color w:val="221F1F"/>
        </w:rPr>
        <w:t>the</w:t>
      </w:r>
      <w:r>
        <w:rPr>
          <w:i/>
          <w:color w:val="221F1F"/>
          <w:spacing w:val="-4"/>
        </w:rPr>
        <w:t xml:space="preserve"> </w:t>
      </w:r>
      <w:r>
        <w:rPr>
          <w:i/>
          <w:color w:val="221F1F"/>
        </w:rPr>
        <w:t>power</w:t>
      </w:r>
      <w:r>
        <w:rPr>
          <w:i/>
          <w:color w:val="221F1F"/>
          <w:spacing w:val="-6"/>
        </w:rPr>
        <w:t xml:space="preserve"> </w:t>
      </w:r>
      <w:r>
        <w:rPr>
          <w:i/>
          <w:color w:val="221F1F"/>
        </w:rPr>
        <w:t>of</w:t>
      </w:r>
      <w:r>
        <w:rPr>
          <w:i/>
          <w:color w:val="221F1F"/>
          <w:spacing w:val="-3"/>
        </w:rPr>
        <w:t xml:space="preserve"> </w:t>
      </w:r>
      <w:r>
        <w:rPr>
          <w:i/>
          <w:color w:val="221F1F"/>
        </w:rPr>
        <w:t>attorney</w:t>
      </w:r>
      <w:r>
        <w:rPr>
          <w:i/>
          <w:color w:val="221F1F"/>
          <w:spacing w:val="-4"/>
        </w:rPr>
        <w:t xml:space="preserve"> </w:t>
      </w:r>
      <w:r>
        <w:rPr>
          <w:i/>
          <w:color w:val="221F1F"/>
        </w:rPr>
        <w:t>given</w:t>
      </w:r>
      <w:r>
        <w:rPr>
          <w:i/>
          <w:color w:val="221F1F"/>
          <w:spacing w:val="-7"/>
        </w:rPr>
        <w:t xml:space="preserve"> </w:t>
      </w:r>
      <w:r>
        <w:rPr>
          <w:i/>
          <w:color w:val="221F1F"/>
        </w:rPr>
        <w:t>by</w:t>
      </w:r>
      <w:r>
        <w:rPr>
          <w:i/>
          <w:color w:val="221F1F"/>
          <w:spacing w:val="-6"/>
        </w:rPr>
        <w:t xml:space="preserve"> </w:t>
      </w:r>
      <w:r>
        <w:rPr>
          <w:i/>
          <w:color w:val="221F1F"/>
        </w:rPr>
        <w:t>the</w:t>
      </w:r>
      <w:r>
        <w:rPr>
          <w:i/>
          <w:color w:val="221F1F"/>
          <w:spacing w:val="-2"/>
        </w:rPr>
        <w:t xml:space="preserve"> </w:t>
      </w:r>
      <w:r>
        <w:rPr>
          <w:i/>
          <w:color w:val="221F1F"/>
        </w:rPr>
        <w:t>Tenderer</w:t>
      </w:r>
      <w:r>
        <w:rPr>
          <w:i/>
          <w:color w:val="221F1F"/>
          <w:spacing w:val="-13"/>
        </w:rPr>
        <w:t xml:space="preserve"> </w:t>
      </w:r>
      <w:r>
        <w:rPr>
          <w:i/>
          <w:color w:val="221F1F"/>
        </w:rPr>
        <w:t>to</w:t>
      </w:r>
      <w:r>
        <w:rPr>
          <w:i/>
          <w:color w:val="221F1F"/>
          <w:spacing w:val="-4"/>
        </w:rPr>
        <w:t xml:space="preserve"> </w:t>
      </w:r>
      <w:r>
        <w:rPr>
          <w:i/>
          <w:color w:val="221F1F"/>
        </w:rPr>
        <w:t>be</w:t>
      </w:r>
      <w:r>
        <w:rPr>
          <w:i/>
          <w:color w:val="221F1F"/>
          <w:spacing w:val="-4"/>
        </w:rPr>
        <w:t xml:space="preserve"> </w:t>
      </w:r>
      <w:r>
        <w:rPr>
          <w:i/>
          <w:color w:val="221F1F"/>
        </w:rPr>
        <w:t>attached</w:t>
      </w:r>
      <w:r>
        <w:rPr>
          <w:i/>
          <w:color w:val="221F1F"/>
          <w:spacing w:val="-4"/>
        </w:rPr>
        <w:t xml:space="preserve"> </w:t>
      </w:r>
      <w:r>
        <w:rPr>
          <w:i/>
          <w:color w:val="221F1F"/>
        </w:rPr>
        <w:t>with the Tender.</w:t>
      </w:r>
    </w:p>
    <w:p w:rsidR="007F6DF9" w:rsidRDefault="007F6DF9">
      <w:pPr>
        <w:spacing w:line="230" w:lineRule="auto"/>
        <w:rPr>
          <w:i/>
        </w:rPr>
        <w:sectPr w:rsidR="007F6DF9">
          <w:pgSz w:w="11920" w:h="16850"/>
          <w:pgMar w:top="360" w:right="283" w:bottom="620" w:left="141" w:header="0" w:footer="437" w:gutter="0"/>
          <w:cols w:space="720"/>
        </w:sectPr>
      </w:pPr>
    </w:p>
    <w:p w:rsidR="007F6DF9" w:rsidRDefault="007F6DF9">
      <w:pPr>
        <w:pStyle w:val="BodyText"/>
        <w:spacing w:before="213"/>
        <w:rPr>
          <w:i/>
        </w:rPr>
      </w:pPr>
    </w:p>
    <w:p w:rsidR="007F6DF9" w:rsidRDefault="00A43FBC">
      <w:pPr>
        <w:pStyle w:val="Heading8"/>
        <w:numPr>
          <w:ilvl w:val="0"/>
          <w:numId w:val="144"/>
        </w:numPr>
        <w:tabs>
          <w:tab w:val="left" w:pos="1024"/>
        </w:tabs>
        <w:ind w:left="1024" w:hanging="313"/>
      </w:pPr>
      <w:r>
        <w:rPr>
          <w:color w:val="221F1F"/>
          <w:u w:val="single" w:color="221F1F"/>
        </w:rPr>
        <w:t>TENDERER'S</w:t>
      </w:r>
      <w:r>
        <w:rPr>
          <w:color w:val="221F1F"/>
          <w:spacing w:val="-13"/>
          <w:u w:val="single" w:color="221F1F"/>
        </w:rPr>
        <w:t xml:space="preserve"> </w:t>
      </w:r>
      <w:r>
        <w:rPr>
          <w:color w:val="221F1F"/>
          <w:u w:val="single" w:color="221F1F"/>
        </w:rPr>
        <w:t>ELIGIBILITY-CONFIDENTIAL</w:t>
      </w:r>
      <w:r>
        <w:rPr>
          <w:color w:val="221F1F"/>
          <w:spacing w:val="-12"/>
          <w:u w:val="single" w:color="221F1F"/>
        </w:rPr>
        <w:t xml:space="preserve"> </w:t>
      </w:r>
      <w:r>
        <w:rPr>
          <w:color w:val="221F1F"/>
          <w:u w:val="single" w:color="221F1F"/>
        </w:rPr>
        <w:t>BUSINESS</w:t>
      </w:r>
      <w:r>
        <w:rPr>
          <w:color w:val="221F1F"/>
          <w:spacing w:val="-11"/>
          <w:u w:val="single" w:color="221F1F"/>
        </w:rPr>
        <w:t xml:space="preserve"> </w:t>
      </w:r>
      <w:r>
        <w:rPr>
          <w:color w:val="221F1F"/>
          <w:spacing w:val="-2"/>
          <w:u w:val="single" w:color="221F1F"/>
        </w:rPr>
        <w:t>QUESTIONNAIRE</w:t>
      </w:r>
    </w:p>
    <w:p w:rsidR="007F6DF9" w:rsidRDefault="00A43FBC">
      <w:pPr>
        <w:pStyle w:val="Heading9"/>
        <w:spacing w:before="235"/>
        <w:ind w:left="711" w:firstLine="0"/>
      </w:pPr>
      <w:r>
        <w:rPr>
          <w:color w:val="221F1F"/>
        </w:rPr>
        <w:t>Instruction</w:t>
      </w:r>
      <w:r>
        <w:rPr>
          <w:color w:val="221F1F"/>
          <w:spacing w:val="-5"/>
        </w:rPr>
        <w:t xml:space="preserve"> </w:t>
      </w:r>
      <w:r>
        <w:rPr>
          <w:color w:val="221F1F"/>
        </w:rPr>
        <w:t>to</w:t>
      </w:r>
      <w:r>
        <w:rPr>
          <w:color w:val="221F1F"/>
          <w:spacing w:val="-2"/>
        </w:rPr>
        <w:t xml:space="preserve"> Tenderer</w:t>
      </w:r>
    </w:p>
    <w:p w:rsidR="007F6DF9" w:rsidRDefault="00A43FBC">
      <w:pPr>
        <w:spacing w:before="232" w:line="248" w:lineRule="exact"/>
        <w:ind w:left="711"/>
        <w:rPr>
          <w:i/>
        </w:rPr>
      </w:pPr>
      <w:r>
        <w:rPr>
          <w:color w:val="221F1F"/>
        </w:rPr>
        <w:t>Tender</w:t>
      </w:r>
      <w:r>
        <w:rPr>
          <w:color w:val="221F1F"/>
          <w:spacing w:val="-12"/>
        </w:rPr>
        <w:t xml:space="preserve"> </w:t>
      </w:r>
      <w:r>
        <w:rPr>
          <w:color w:val="221F1F"/>
        </w:rPr>
        <w:t>is</w:t>
      </w:r>
      <w:r>
        <w:rPr>
          <w:color w:val="221F1F"/>
          <w:spacing w:val="-7"/>
        </w:rPr>
        <w:t xml:space="preserve"> </w:t>
      </w:r>
      <w:r>
        <w:rPr>
          <w:color w:val="221F1F"/>
        </w:rPr>
        <w:t>in</w:t>
      </w:r>
      <w:r>
        <w:rPr>
          <w:color w:val="221F1F"/>
          <w:spacing w:val="-4"/>
        </w:rPr>
        <w:t xml:space="preserve"> </w:t>
      </w:r>
      <w:proofErr w:type="spellStart"/>
      <w:r>
        <w:rPr>
          <w:color w:val="221F1F"/>
        </w:rPr>
        <w:t>structed</w:t>
      </w:r>
      <w:proofErr w:type="spellEnd"/>
      <w:r>
        <w:rPr>
          <w:color w:val="221F1F"/>
          <w:spacing w:val="-3"/>
        </w:rPr>
        <w:t xml:space="preserve"> </w:t>
      </w:r>
      <w:r>
        <w:rPr>
          <w:color w:val="221F1F"/>
        </w:rPr>
        <w:t>to</w:t>
      </w:r>
      <w:r>
        <w:rPr>
          <w:color w:val="221F1F"/>
          <w:spacing w:val="-5"/>
        </w:rPr>
        <w:t xml:space="preserve"> </w:t>
      </w:r>
      <w:r>
        <w:rPr>
          <w:color w:val="221F1F"/>
        </w:rPr>
        <w:t>complete</w:t>
      </w:r>
      <w:r>
        <w:rPr>
          <w:color w:val="221F1F"/>
          <w:spacing w:val="-3"/>
        </w:rPr>
        <w:t xml:space="preserve"> </w:t>
      </w:r>
      <w:r>
        <w:rPr>
          <w:color w:val="221F1F"/>
        </w:rPr>
        <w:t>the</w:t>
      </w:r>
      <w:r>
        <w:rPr>
          <w:color w:val="221F1F"/>
          <w:spacing w:val="-4"/>
        </w:rPr>
        <w:t xml:space="preserve"> </w:t>
      </w:r>
      <w:r>
        <w:rPr>
          <w:color w:val="221F1F"/>
        </w:rPr>
        <w:t>particulars</w:t>
      </w:r>
      <w:r>
        <w:rPr>
          <w:color w:val="221F1F"/>
          <w:spacing w:val="-6"/>
        </w:rPr>
        <w:t xml:space="preserve"> </w:t>
      </w:r>
      <w:r>
        <w:rPr>
          <w:color w:val="221F1F"/>
        </w:rPr>
        <w:t>required</w:t>
      </w:r>
      <w:r>
        <w:rPr>
          <w:color w:val="221F1F"/>
          <w:spacing w:val="-5"/>
        </w:rPr>
        <w:t xml:space="preserve"> </w:t>
      </w:r>
      <w:r>
        <w:rPr>
          <w:color w:val="221F1F"/>
        </w:rPr>
        <w:t>in</w:t>
      </w:r>
      <w:r>
        <w:rPr>
          <w:color w:val="221F1F"/>
          <w:spacing w:val="-7"/>
        </w:rPr>
        <w:t xml:space="preserve"> </w:t>
      </w:r>
      <w:r>
        <w:rPr>
          <w:color w:val="221F1F"/>
        </w:rPr>
        <w:t>this</w:t>
      </w:r>
      <w:r>
        <w:rPr>
          <w:color w:val="221F1F"/>
          <w:spacing w:val="-3"/>
        </w:rPr>
        <w:t xml:space="preserve"> </w:t>
      </w:r>
      <w:r>
        <w:rPr>
          <w:color w:val="221F1F"/>
        </w:rPr>
        <w:t>Form,</w:t>
      </w:r>
      <w:r>
        <w:rPr>
          <w:color w:val="221F1F"/>
          <w:spacing w:val="-5"/>
        </w:rPr>
        <w:t xml:space="preserve"> </w:t>
      </w:r>
      <w:r>
        <w:rPr>
          <w:i/>
          <w:color w:val="221F1F"/>
        </w:rPr>
        <w:t>one</w:t>
      </w:r>
      <w:r>
        <w:rPr>
          <w:i/>
          <w:color w:val="221F1F"/>
          <w:spacing w:val="-4"/>
        </w:rPr>
        <w:t xml:space="preserve"> </w:t>
      </w:r>
      <w:r>
        <w:rPr>
          <w:i/>
          <w:color w:val="221F1F"/>
        </w:rPr>
        <w:t>form</w:t>
      </w:r>
      <w:r>
        <w:rPr>
          <w:i/>
          <w:color w:val="221F1F"/>
          <w:spacing w:val="-5"/>
        </w:rPr>
        <w:t xml:space="preserve"> </w:t>
      </w:r>
      <w:r>
        <w:rPr>
          <w:i/>
          <w:color w:val="221F1F"/>
        </w:rPr>
        <w:t>for</w:t>
      </w:r>
      <w:r>
        <w:rPr>
          <w:i/>
          <w:color w:val="221F1F"/>
          <w:spacing w:val="-6"/>
        </w:rPr>
        <w:t xml:space="preserve"> </w:t>
      </w:r>
      <w:r>
        <w:rPr>
          <w:i/>
          <w:color w:val="221F1F"/>
        </w:rPr>
        <w:t>each</w:t>
      </w:r>
      <w:r>
        <w:rPr>
          <w:i/>
          <w:color w:val="221F1F"/>
          <w:spacing w:val="-5"/>
        </w:rPr>
        <w:t xml:space="preserve"> </w:t>
      </w:r>
      <w:r>
        <w:rPr>
          <w:i/>
          <w:color w:val="221F1F"/>
        </w:rPr>
        <w:t>entity</w:t>
      </w:r>
      <w:r>
        <w:rPr>
          <w:i/>
          <w:color w:val="221F1F"/>
          <w:spacing w:val="-5"/>
        </w:rPr>
        <w:t xml:space="preserve"> </w:t>
      </w:r>
      <w:r>
        <w:rPr>
          <w:i/>
          <w:color w:val="221F1F"/>
        </w:rPr>
        <w:t>if</w:t>
      </w:r>
      <w:r>
        <w:rPr>
          <w:i/>
          <w:color w:val="221F1F"/>
          <w:spacing w:val="-3"/>
        </w:rPr>
        <w:t xml:space="preserve"> </w:t>
      </w:r>
      <w:r>
        <w:rPr>
          <w:i/>
          <w:color w:val="221F1F"/>
        </w:rPr>
        <w:t>Tender</w:t>
      </w:r>
      <w:r>
        <w:rPr>
          <w:i/>
          <w:color w:val="221F1F"/>
          <w:spacing w:val="-13"/>
        </w:rPr>
        <w:t xml:space="preserve"> </w:t>
      </w:r>
      <w:r>
        <w:rPr>
          <w:i/>
          <w:color w:val="221F1F"/>
        </w:rPr>
        <w:t>is</w:t>
      </w:r>
      <w:r>
        <w:rPr>
          <w:i/>
          <w:color w:val="221F1F"/>
          <w:spacing w:val="-4"/>
        </w:rPr>
        <w:t xml:space="preserve"> </w:t>
      </w:r>
      <w:r>
        <w:rPr>
          <w:i/>
          <w:color w:val="221F1F"/>
        </w:rPr>
        <w:t>a</w:t>
      </w:r>
      <w:r>
        <w:rPr>
          <w:i/>
          <w:color w:val="221F1F"/>
          <w:spacing w:val="-4"/>
        </w:rPr>
        <w:t xml:space="preserve"> </w:t>
      </w:r>
      <w:r>
        <w:rPr>
          <w:i/>
          <w:color w:val="221F1F"/>
          <w:spacing w:val="-5"/>
        </w:rPr>
        <w:t>JV.</w:t>
      </w:r>
    </w:p>
    <w:p w:rsidR="007F6DF9" w:rsidRDefault="00A43FBC">
      <w:pPr>
        <w:pStyle w:val="BodyText"/>
        <w:spacing w:line="248" w:lineRule="exact"/>
        <w:ind w:left="711"/>
      </w:pPr>
      <w:r>
        <w:rPr>
          <w:color w:val="221F1F"/>
        </w:rPr>
        <w:t>Tenderer</w:t>
      </w:r>
      <w:r>
        <w:rPr>
          <w:color w:val="221F1F"/>
          <w:spacing w:val="-6"/>
        </w:rPr>
        <w:t xml:space="preserve"> </w:t>
      </w:r>
      <w:proofErr w:type="spellStart"/>
      <w:r>
        <w:rPr>
          <w:color w:val="221F1F"/>
        </w:rPr>
        <w:t>isfurtherreminded</w:t>
      </w:r>
      <w:proofErr w:type="spellEnd"/>
      <w:r>
        <w:rPr>
          <w:color w:val="221F1F"/>
          <w:spacing w:val="-4"/>
        </w:rPr>
        <w:t xml:space="preserve"> </w:t>
      </w:r>
      <w:r>
        <w:rPr>
          <w:color w:val="221F1F"/>
        </w:rPr>
        <w:t>that</w:t>
      </w:r>
      <w:r>
        <w:rPr>
          <w:color w:val="221F1F"/>
          <w:spacing w:val="-3"/>
        </w:rPr>
        <w:t xml:space="preserve"> </w:t>
      </w:r>
      <w:r>
        <w:rPr>
          <w:color w:val="221F1F"/>
        </w:rPr>
        <w:t>it</w:t>
      </w:r>
      <w:r>
        <w:rPr>
          <w:color w:val="221F1F"/>
          <w:spacing w:val="-2"/>
        </w:rPr>
        <w:t xml:space="preserve"> </w:t>
      </w:r>
      <w:r>
        <w:rPr>
          <w:color w:val="221F1F"/>
        </w:rPr>
        <w:t>is</w:t>
      </w:r>
      <w:r>
        <w:rPr>
          <w:color w:val="221F1F"/>
          <w:spacing w:val="-3"/>
        </w:rPr>
        <w:t xml:space="preserve"> </w:t>
      </w:r>
      <w:r>
        <w:rPr>
          <w:color w:val="221F1F"/>
        </w:rPr>
        <w:t>an</w:t>
      </w:r>
      <w:r>
        <w:rPr>
          <w:color w:val="221F1F"/>
          <w:spacing w:val="-4"/>
        </w:rPr>
        <w:t xml:space="preserve"> </w:t>
      </w:r>
      <w:r>
        <w:rPr>
          <w:color w:val="221F1F"/>
        </w:rPr>
        <w:t>offence</w:t>
      </w:r>
      <w:r>
        <w:rPr>
          <w:color w:val="221F1F"/>
          <w:spacing w:val="-2"/>
        </w:rPr>
        <w:t xml:space="preserve"> </w:t>
      </w:r>
      <w:r>
        <w:rPr>
          <w:color w:val="221F1F"/>
        </w:rPr>
        <w:t>to</w:t>
      </w:r>
      <w:r>
        <w:rPr>
          <w:color w:val="221F1F"/>
          <w:spacing w:val="-7"/>
        </w:rPr>
        <w:t xml:space="preserve"> </w:t>
      </w:r>
      <w:r>
        <w:rPr>
          <w:color w:val="221F1F"/>
        </w:rPr>
        <w:t>give</w:t>
      </w:r>
      <w:r>
        <w:rPr>
          <w:color w:val="221F1F"/>
          <w:spacing w:val="-5"/>
        </w:rPr>
        <w:t xml:space="preserve"> </w:t>
      </w:r>
      <w:r>
        <w:rPr>
          <w:color w:val="221F1F"/>
        </w:rPr>
        <w:t>false</w:t>
      </w:r>
      <w:r>
        <w:rPr>
          <w:color w:val="221F1F"/>
          <w:spacing w:val="-4"/>
        </w:rPr>
        <w:t xml:space="preserve"> </w:t>
      </w:r>
      <w:r>
        <w:rPr>
          <w:color w:val="221F1F"/>
        </w:rPr>
        <w:t>information</w:t>
      </w:r>
      <w:r>
        <w:rPr>
          <w:color w:val="221F1F"/>
          <w:spacing w:val="-3"/>
        </w:rPr>
        <w:t xml:space="preserve"> </w:t>
      </w:r>
      <w:r>
        <w:rPr>
          <w:color w:val="221F1F"/>
        </w:rPr>
        <w:t>on</w:t>
      </w:r>
      <w:r>
        <w:rPr>
          <w:color w:val="221F1F"/>
          <w:spacing w:val="-3"/>
        </w:rPr>
        <w:t xml:space="preserve"> </w:t>
      </w:r>
      <w:r>
        <w:rPr>
          <w:color w:val="221F1F"/>
        </w:rPr>
        <w:t>this</w:t>
      </w:r>
      <w:r>
        <w:rPr>
          <w:color w:val="221F1F"/>
          <w:spacing w:val="-2"/>
        </w:rPr>
        <w:t xml:space="preserve"> Form.</w:t>
      </w:r>
    </w:p>
    <w:p w:rsidR="007F6DF9" w:rsidRDefault="00A43FBC">
      <w:pPr>
        <w:pStyle w:val="Heading9"/>
        <w:numPr>
          <w:ilvl w:val="0"/>
          <w:numId w:val="143"/>
        </w:numPr>
        <w:tabs>
          <w:tab w:val="left" w:pos="1140"/>
        </w:tabs>
        <w:spacing w:before="234"/>
        <w:ind w:left="1140" w:hanging="429"/>
      </w:pPr>
      <w:proofErr w:type="spellStart"/>
      <w:r>
        <w:rPr>
          <w:color w:val="221F1F"/>
          <w:spacing w:val="-2"/>
        </w:rPr>
        <w:t>Tenderer'sdetails</w:t>
      </w:r>
      <w:proofErr w:type="spellEnd"/>
    </w:p>
    <w:p w:rsidR="007F6DF9" w:rsidRDefault="007F6DF9">
      <w:pPr>
        <w:pStyle w:val="BodyText"/>
        <w:spacing w:before="1"/>
        <w:rPr>
          <w:b/>
          <w:sz w:val="15"/>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571"/>
        <w:gridCol w:w="4675"/>
      </w:tblGrid>
      <w:tr w:rsidR="007F6DF9">
        <w:trPr>
          <w:trHeight w:val="251"/>
        </w:trPr>
        <w:tc>
          <w:tcPr>
            <w:tcW w:w="437" w:type="dxa"/>
          </w:tcPr>
          <w:p w:rsidR="007F6DF9" w:rsidRDefault="007F6DF9">
            <w:pPr>
              <w:pStyle w:val="TableParagraph"/>
              <w:rPr>
                <w:rFonts w:ascii="Times New Roman"/>
                <w:sz w:val="18"/>
              </w:rPr>
            </w:pPr>
          </w:p>
        </w:tc>
        <w:tc>
          <w:tcPr>
            <w:tcW w:w="3571" w:type="dxa"/>
          </w:tcPr>
          <w:p w:rsidR="007F6DF9" w:rsidRDefault="00A43FBC">
            <w:pPr>
              <w:pStyle w:val="TableParagraph"/>
              <w:spacing w:line="232" w:lineRule="exact"/>
              <w:ind w:left="105"/>
              <w:rPr>
                <w:rFonts w:ascii="Times New Roman"/>
                <w:b/>
              </w:rPr>
            </w:pPr>
            <w:r>
              <w:rPr>
                <w:rFonts w:ascii="Times New Roman"/>
                <w:b/>
                <w:spacing w:val="-4"/>
              </w:rPr>
              <w:t>ITEM</w:t>
            </w:r>
          </w:p>
        </w:tc>
        <w:tc>
          <w:tcPr>
            <w:tcW w:w="4675" w:type="dxa"/>
          </w:tcPr>
          <w:p w:rsidR="007F6DF9" w:rsidRDefault="00A43FBC">
            <w:pPr>
              <w:pStyle w:val="TableParagraph"/>
              <w:spacing w:line="232" w:lineRule="exact"/>
              <w:ind w:left="106"/>
              <w:rPr>
                <w:rFonts w:ascii="Times New Roman"/>
                <w:b/>
              </w:rPr>
            </w:pPr>
            <w:r>
              <w:rPr>
                <w:rFonts w:ascii="Times New Roman"/>
                <w:b/>
                <w:spacing w:val="-2"/>
              </w:rPr>
              <w:t>DESCRIPTION</w:t>
            </w:r>
          </w:p>
        </w:tc>
      </w:tr>
      <w:tr w:rsidR="007F6DF9">
        <w:trPr>
          <w:trHeight w:val="364"/>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1</w:t>
            </w:r>
          </w:p>
        </w:tc>
        <w:tc>
          <w:tcPr>
            <w:tcW w:w="3571" w:type="dxa"/>
          </w:tcPr>
          <w:p w:rsidR="007F6DF9" w:rsidRDefault="00A43FBC">
            <w:pPr>
              <w:pStyle w:val="TableParagraph"/>
              <w:spacing w:line="251" w:lineRule="exact"/>
              <w:ind w:left="105"/>
              <w:rPr>
                <w:rFonts w:ascii="Times New Roman"/>
              </w:rPr>
            </w:pPr>
            <w:r>
              <w:rPr>
                <w:rFonts w:ascii="Times New Roman"/>
              </w:rPr>
              <w:t>Name</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Procuring</w:t>
            </w:r>
            <w:r>
              <w:rPr>
                <w:rFonts w:ascii="Times New Roman"/>
                <w:spacing w:val="-5"/>
              </w:rPr>
              <w:t xml:space="preserve"> </w:t>
            </w:r>
            <w:r>
              <w:rPr>
                <w:rFonts w:ascii="Times New Roman"/>
                <w:spacing w:val="-2"/>
              </w:rPr>
              <w:t>Entity</w:t>
            </w:r>
          </w:p>
        </w:tc>
        <w:tc>
          <w:tcPr>
            <w:tcW w:w="4675" w:type="dxa"/>
          </w:tcPr>
          <w:p w:rsidR="007F6DF9" w:rsidRDefault="007F6DF9">
            <w:pPr>
              <w:pStyle w:val="TableParagraph"/>
              <w:rPr>
                <w:rFonts w:ascii="Times New Roman"/>
              </w:rPr>
            </w:pPr>
          </w:p>
        </w:tc>
      </w:tr>
      <w:tr w:rsidR="007F6DF9">
        <w:trPr>
          <w:trHeight w:val="366"/>
        </w:trPr>
        <w:tc>
          <w:tcPr>
            <w:tcW w:w="437" w:type="dxa"/>
          </w:tcPr>
          <w:p w:rsidR="007F6DF9" w:rsidRDefault="00A43FBC">
            <w:pPr>
              <w:pStyle w:val="TableParagraph"/>
              <w:spacing w:before="1"/>
              <w:ind w:left="9" w:right="109"/>
              <w:jc w:val="center"/>
              <w:rPr>
                <w:rFonts w:ascii="Times New Roman"/>
              </w:rPr>
            </w:pPr>
            <w:r>
              <w:rPr>
                <w:rFonts w:ascii="Times New Roman"/>
                <w:spacing w:val="-10"/>
              </w:rPr>
              <w:t>2</w:t>
            </w:r>
          </w:p>
        </w:tc>
        <w:tc>
          <w:tcPr>
            <w:tcW w:w="3571" w:type="dxa"/>
          </w:tcPr>
          <w:p w:rsidR="007F6DF9" w:rsidRDefault="00A43FBC">
            <w:pPr>
              <w:pStyle w:val="TableParagraph"/>
              <w:spacing w:before="1"/>
              <w:ind w:left="105"/>
              <w:rPr>
                <w:rFonts w:ascii="Times New Roman"/>
              </w:rPr>
            </w:pPr>
            <w:r>
              <w:rPr>
                <w:rFonts w:ascii="Times New Roman"/>
              </w:rPr>
              <w:t>Reference</w:t>
            </w:r>
            <w:r>
              <w:rPr>
                <w:rFonts w:ascii="Times New Roman"/>
                <w:spacing w:val="-3"/>
              </w:rPr>
              <w:t xml:space="preserve"> </w:t>
            </w:r>
            <w:r>
              <w:rPr>
                <w:rFonts w:ascii="Times New Roman"/>
              </w:rPr>
              <w:t>Number</w:t>
            </w:r>
            <w:r>
              <w:rPr>
                <w:rFonts w:ascii="Times New Roman"/>
                <w:spacing w:val="-1"/>
              </w:rPr>
              <w:t xml:space="preserve"> </w:t>
            </w:r>
            <w:r>
              <w:rPr>
                <w:rFonts w:ascii="Times New Roman"/>
              </w:rPr>
              <w:t>of</w:t>
            </w:r>
            <w:r>
              <w:rPr>
                <w:rFonts w:ascii="Times New Roman"/>
                <w:spacing w:val="-4"/>
              </w:rPr>
              <w:t xml:space="preserve"> </w:t>
            </w:r>
            <w:r>
              <w:rPr>
                <w:rFonts w:ascii="Times New Roman"/>
              </w:rPr>
              <w:t>the</w:t>
            </w:r>
            <w:r>
              <w:rPr>
                <w:rFonts w:ascii="Times New Roman"/>
                <w:spacing w:val="-2"/>
              </w:rPr>
              <w:t xml:space="preserve"> Tender</w:t>
            </w:r>
          </w:p>
        </w:tc>
        <w:tc>
          <w:tcPr>
            <w:tcW w:w="4675" w:type="dxa"/>
          </w:tcPr>
          <w:p w:rsidR="007F6DF9" w:rsidRDefault="007F6DF9">
            <w:pPr>
              <w:pStyle w:val="TableParagraph"/>
              <w:rPr>
                <w:rFonts w:ascii="Times New Roman"/>
              </w:rPr>
            </w:pPr>
          </w:p>
        </w:tc>
      </w:tr>
      <w:tr w:rsidR="007F6DF9">
        <w:trPr>
          <w:trHeight w:val="364"/>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3</w:t>
            </w:r>
          </w:p>
        </w:tc>
        <w:tc>
          <w:tcPr>
            <w:tcW w:w="3571" w:type="dxa"/>
          </w:tcPr>
          <w:p w:rsidR="007F6DF9" w:rsidRDefault="00A43FBC">
            <w:pPr>
              <w:pStyle w:val="TableParagraph"/>
              <w:spacing w:line="251" w:lineRule="exact"/>
              <w:ind w:left="105"/>
              <w:rPr>
                <w:rFonts w:ascii="Times New Roman"/>
              </w:rPr>
            </w:pPr>
            <w:r>
              <w:rPr>
                <w:rFonts w:ascii="Times New Roman"/>
              </w:rPr>
              <w:t>Date</w:t>
            </w:r>
            <w:r>
              <w:rPr>
                <w:rFonts w:ascii="Times New Roman"/>
                <w:spacing w:val="-3"/>
              </w:rPr>
              <w:t xml:space="preserve"> </w:t>
            </w:r>
            <w:r>
              <w:rPr>
                <w:rFonts w:ascii="Times New Roman"/>
              </w:rPr>
              <w:t>and</w:t>
            </w:r>
            <w:r>
              <w:rPr>
                <w:rFonts w:ascii="Times New Roman"/>
                <w:spacing w:val="-2"/>
              </w:rPr>
              <w:t xml:space="preserve"> </w:t>
            </w:r>
            <w:r>
              <w:rPr>
                <w:rFonts w:ascii="Times New Roman"/>
              </w:rPr>
              <w:t>Time</w:t>
            </w:r>
            <w:r>
              <w:rPr>
                <w:rFonts w:ascii="Times New Roman"/>
                <w:spacing w:val="-3"/>
              </w:rPr>
              <w:t xml:space="preserve"> </w:t>
            </w:r>
            <w:r>
              <w:rPr>
                <w:rFonts w:ascii="Times New Roman"/>
              </w:rPr>
              <w:t>of</w:t>
            </w:r>
            <w:r>
              <w:rPr>
                <w:rFonts w:ascii="Times New Roman"/>
                <w:spacing w:val="-2"/>
              </w:rPr>
              <w:t xml:space="preserve"> </w:t>
            </w:r>
            <w:r>
              <w:rPr>
                <w:rFonts w:ascii="Times New Roman"/>
              </w:rPr>
              <w:t>Tender</w:t>
            </w:r>
            <w:r>
              <w:rPr>
                <w:rFonts w:ascii="Times New Roman"/>
                <w:spacing w:val="-2"/>
              </w:rPr>
              <w:t xml:space="preserve"> Opening</w:t>
            </w:r>
          </w:p>
        </w:tc>
        <w:tc>
          <w:tcPr>
            <w:tcW w:w="4675" w:type="dxa"/>
          </w:tcPr>
          <w:p w:rsidR="007F6DF9" w:rsidRDefault="007F6DF9">
            <w:pPr>
              <w:pStyle w:val="TableParagraph"/>
              <w:rPr>
                <w:rFonts w:ascii="Times New Roman"/>
              </w:rPr>
            </w:pPr>
          </w:p>
        </w:tc>
      </w:tr>
      <w:tr w:rsidR="007F6DF9">
        <w:trPr>
          <w:trHeight w:val="254"/>
        </w:trPr>
        <w:tc>
          <w:tcPr>
            <w:tcW w:w="437" w:type="dxa"/>
          </w:tcPr>
          <w:p w:rsidR="007F6DF9" w:rsidRDefault="00A43FBC">
            <w:pPr>
              <w:pStyle w:val="TableParagraph"/>
              <w:spacing w:line="234" w:lineRule="exact"/>
              <w:ind w:left="9" w:right="109"/>
              <w:jc w:val="center"/>
              <w:rPr>
                <w:rFonts w:ascii="Times New Roman"/>
              </w:rPr>
            </w:pPr>
            <w:r>
              <w:rPr>
                <w:rFonts w:ascii="Times New Roman"/>
                <w:spacing w:val="-10"/>
              </w:rPr>
              <w:t>4</w:t>
            </w:r>
          </w:p>
        </w:tc>
        <w:tc>
          <w:tcPr>
            <w:tcW w:w="3571" w:type="dxa"/>
          </w:tcPr>
          <w:p w:rsidR="007F6DF9" w:rsidRDefault="00A43FBC">
            <w:pPr>
              <w:pStyle w:val="TableParagraph"/>
              <w:spacing w:line="234" w:lineRule="exact"/>
              <w:ind w:left="105"/>
              <w:rPr>
                <w:rFonts w:ascii="Times New Roman"/>
              </w:rPr>
            </w:pPr>
            <w:r>
              <w:rPr>
                <w:rFonts w:ascii="Times New Roman"/>
              </w:rPr>
              <w:t>Name</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spacing w:val="-2"/>
              </w:rPr>
              <w:t>Tenderer</w:t>
            </w:r>
          </w:p>
        </w:tc>
        <w:tc>
          <w:tcPr>
            <w:tcW w:w="4675" w:type="dxa"/>
          </w:tcPr>
          <w:p w:rsidR="007F6DF9" w:rsidRDefault="007F6DF9">
            <w:pPr>
              <w:pStyle w:val="TableParagraph"/>
              <w:rPr>
                <w:rFonts w:ascii="Times New Roman"/>
                <w:sz w:val="18"/>
              </w:rPr>
            </w:pPr>
          </w:p>
        </w:tc>
      </w:tr>
      <w:tr w:rsidR="007F6DF9">
        <w:trPr>
          <w:trHeight w:val="1771"/>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5</w:t>
            </w:r>
          </w:p>
        </w:tc>
        <w:tc>
          <w:tcPr>
            <w:tcW w:w="3571" w:type="dxa"/>
          </w:tcPr>
          <w:p w:rsidR="007F6DF9" w:rsidRDefault="00A43FBC">
            <w:pPr>
              <w:pStyle w:val="TableParagraph"/>
              <w:ind w:left="105" w:right="90"/>
              <w:rPr>
                <w:rFonts w:ascii="Times New Roman"/>
              </w:rPr>
            </w:pPr>
            <w:r>
              <w:rPr>
                <w:rFonts w:ascii="Times New Roman"/>
              </w:rPr>
              <w:t>Full</w:t>
            </w:r>
            <w:r>
              <w:rPr>
                <w:rFonts w:ascii="Times New Roman"/>
                <w:spacing w:val="-7"/>
              </w:rPr>
              <w:t xml:space="preserve"> </w:t>
            </w:r>
            <w:r>
              <w:rPr>
                <w:rFonts w:ascii="Times New Roman"/>
              </w:rPr>
              <w:t>Address</w:t>
            </w:r>
            <w:r>
              <w:rPr>
                <w:rFonts w:ascii="Times New Roman"/>
                <w:spacing w:val="-7"/>
              </w:rPr>
              <w:t xml:space="preserve"> </w:t>
            </w:r>
            <w:r>
              <w:rPr>
                <w:rFonts w:ascii="Times New Roman"/>
              </w:rPr>
              <w:t>and</w:t>
            </w:r>
            <w:r>
              <w:rPr>
                <w:rFonts w:ascii="Times New Roman"/>
                <w:spacing w:val="-8"/>
              </w:rPr>
              <w:t xml:space="preserve"> </w:t>
            </w:r>
            <w:r>
              <w:rPr>
                <w:rFonts w:ascii="Times New Roman"/>
              </w:rPr>
              <w:t>Contact</w:t>
            </w:r>
            <w:r>
              <w:rPr>
                <w:rFonts w:ascii="Times New Roman"/>
                <w:spacing w:val="-10"/>
              </w:rPr>
              <w:t xml:space="preserve"> </w:t>
            </w:r>
            <w:r>
              <w:rPr>
                <w:rFonts w:ascii="Times New Roman"/>
              </w:rPr>
              <w:t>Details</w:t>
            </w:r>
            <w:r>
              <w:rPr>
                <w:rFonts w:ascii="Times New Roman"/>
                <w:spacing w:val="-10"/>
              </w:rPr>
              <w:t xml:space="preserve"> </w:t>
            </w:r>
            <w:r>
              <w:rPr>
                <w:rFonts w:ascii="Times New Roman"/>
              </w:rPr>
              <w:t>of the Tenderer.</w:t>
            </w:r>
          </w:p>
        </w:tc>
        <w:tc>
          <w:tcPr>
            <w:tcW w:w="4675" w:type="dxa"/>
          </w:tcPr>
          <w:p w:rsidR="007F6DF9" w:rsidRDefault="00A43FBC">
            <w:pPr>
              <w:pStyle w:val="TableParagraph"/>
              <w:numPr>
                <w:ilvl w:val="0"/>
                <w:numId w:val="142"/>
              </w:numPr>
              <w:tabs>
                <w:tab w:val="left" w:pos="453"/>
              </w:tabs>
              <w:spacing w:line="251" w:lineRule="exact"/>
              <w:ind w:left="453" w:hanging="359"/>
              <w:rPr>
                <w:rFonts w:ascii="Times New Roman"/>
              </w:rPr>
            </w:pPr>
            <w:r>
              <w:rPr>
                <w:rFonts w:ascii="Times New Roman"/>
                <w:spacing w:val="-2"/>
              </w:rPr>
              <w:t>Country</w:t>
            </w:r>
          </w:p>
          <w:p w:rsidR="007F6DF9" w:rsidRDefault="00A43FBC">
            <w:pPr>
              <w:pStyle w:val="TableParagraph"/>
              <w:numPr>
                <w:ilvl w:val="0"/>
                <w:numId w:val="142"/>
              </w:numPr>
              <w:tabs>
                <w:tab w:val="left" w:pos="453"/>
              </w:tabs>
              <w:ind w:left="453" w:hanging="359"/>
              <w:rPr>
                <w:rFonts w:ascii="Times New Roman"/>
              </w:rPr>
            </w:pPr>
            <w:r>
              <w:rPr>
                <w:rFonts w:ascii="Times New Roman"/>
                <w:spacing w:val="-4"/>
              </w:rPr>
              <w:t>City</w:t>
            </w:r>
          </w:p>
          <w:p w:rsidR="007F6DF9" w:rsidRDefault="00A43FBC">
            <w:pPr>
              <w:pStyle w:val="TableParagraph"/>
              <w:numPr>
                <w:ilvl w:val="0"/>
                <w:numId w:val="142"/>
              </w:numPr>
              <w:tabs>
                <w:tab w:val="left" w:pos="453"/>
              </w:tabs>
              <w:spacing w:before="1" w:line="252" w:lineRule="exact"/>
              <w:ind w:left="453" w:hanging="359"/>
              <w:rPr>
                <w:rFonts w:ascii="Times New Roman"/>
              </w:rPr>
            </w:pPr>
            <w:r>
              <w:rPr>
                <w:rFonts w:ascii="Times New Roman"/>
                <w:spacing w:val="-2"/>
              </w:rPr>
              <w:t>Location</w:t>
            </w:r>
          </w:p>
          <w:p w:rsidR="007F6DF9" w:rsidRDefault="00A43FBC">
            <w:pPr>
              <w:pStyle w:val="TableParagraph"/>
              <w:numPr>
                <w:ilvl w:val="0"/>
                <w:numId w:val="142"/>
              </w:numPr>
              <w:tabs>
                <w:tab w:val="left" w:pos="453"/>
              </w:tabs>
              <w:spacing w:line="252" w:lineRule="exact"/>
              <w:ind w:left="453" w:hanging="359"/>
              <w:rPr>
                <w:rFonts w:ascii="Times New Roman"/>
              </w:rPr>
            </w:pPr>
            <w:r>
              <w:rPr>
                <w:rFonts w:ascii="Times New Roman"/>
                <w:spacing w:val="-2"/>
              </w:rPr>
              <w:t>Building</w:t>
            </w:r>
          </w:p>
          <w:p w:rsidR="007F6DF9" w:rsidRDefault="00A43FBC">
            <w:pPr>
              <w:pStyle w:val="TableParagraph"/>
              <w:numPr>
                <w:ilvl w:val="0"/>
                <w:numId w:val="142"/>
              </w:numPr>
              <w:tabs>
                <w:tab w:val="left" w:pos="453"/>
              </w:tabs>
              <w:spacing w:line="252" w:lineRule="exact"/>
              <w:ind w:left="453" w:hanging="359"/>
              <w:rPr>
                <w:rFonts w:ascii="Times New Roman"/>
              </w:rPr>
            </w:pPr>
            <w:r>
              <w:rPr>
                <w:rFonts w:ascii="Times New Roman"/>
                <w:spacing w:val="-2"/>
              </w:rPr>
              <w:t>Floor</w:t>
            </w:r>
          </w:p>
          <w:p w:rsidR="007F6DF9" w:rsidRDefault="00A43FBC">
            <w:pPr>
              <w:pStyle w:val="TableParagraph"/>
              <w:numPr>
                <w:ilvl w:val="0"/>
                <w:numId w:val="142"/>
              </w:numPr>
              <w:tabs>
                <w:tab w:val="left" w:pos="453"/>
              </w:tabs>
              <w:spacing w:before="1" w:line="252" w:lineRule="exact"/>
              <w:ind w:left="453" w:hanging="359"/>
              <w:rPr>
                <w:rFonts w:ascii="Times New Roman"/>
              </w:rPr>
            </w:pPr>
            <w:r>
              <w:rPr>
                <w:rFonts w:ascii="Times New Roman"/>
              </w:rPr>
              <w:t>Postal</w:t>
            </w:r>
            <w:r>
              <w:rPr>
                <w:rFonts w:ascii="Times New Roman"/>
                <w:spacing w:val="-1"/>
              </w:rPr>
              <w:t xml:space="preserve"> </w:t>
            </w:r>
            <w:r>
              <w:rPr>
                <w:rFonts w:ascii="Times New Roman"/>
                <w:spacing w:val="-2"/>
              </w:rPr>
              <w:t>Address</w:t>
            </w:r>
          </w:p>
          <w:p w:rsidR="007F6DF9" w:rsidRDefault="00A43FBC">
            <w:pPr>
              <w:pStyle w:val="TableParagraph"/>
              <w:numPr>
                <w:ilvl w:val="0"/>
                <w:numId w:val="142"/>
              </w:numPr>
              <w:tabs>
                <w:tab w:val="left" w:pos="453"/>
              </w:tabs>
              <w:spacing w:line="235" w:lineRule="exact"/>
              <w:ind w:left="453" w:hanging="359"/>
              <w:rPr>
                <w:rFonts w:ascii="Times New Roman"/>
              </w:rPr>
            </w:pPr>
            <w:r>
              <w:rPr>
                <w:rFonts w:ascii="Times New Roman"/>
              </w:rPr>
              <w:t>Name</w:t>
            </w:r>
            <w:r>
              <w:rPr>
                <w:rFonts w:ascii="Times New Roman"/>
                <w:spacing w:val="-4"/>
              </w:rPr>
              <w:t xml:space="preserve"> </w:t>
            </w:r>
            <w:r>
              <w:rPr>
                <w:rFonts w:ascii="Times New Roman"/>
              </w:rPr>
              <w:t>and</w:t>
            </w:r>
            <w:r>
              <w:rPr>
                <w:rFonts w:ascii="Times New Roman"/>
                <w:spacing w:val="-2"/>
              </w:rPr>
              <w:t xml:space="preserve"> </w:t>
            </w:r>
            <w:r>
              <w:rPr>
                <w:rFonts w:ascii="Times New Roman"/>
              </w:rPr>
              <w:t>email</w:t>
            </w:r>
            <w:r>
              <w:rPr>
                <w:rFonts w:ascii="Times New Roman"/>
                <w:spacing w:val="-4"/>
              </w:rPr>
              <w:t xml:space="preserve"> </w:t>
            </w:r>
            <w:r>
              <w:rPr>
                <w:rFonts w:ascii="Times New Roman"/>
              </w:rPr>
              <w:t>of</w:t>
            </w:r>
            <w:r>
              <w:rPr>
                <w:rFonts w:ascii="Times New Roman"/>
                <w:spacing w:val="-2"/>
              </w:rPr>
              <w:t xml:space="preserve"> </w:t>
            </w:r>
            <w:r>
              <w:rPr>
                <w:rFonts w:ascii="Times New Roman"/>
              </w:rPr>
              <w:t>contact</w:t>
            </w:r>
            <w:r>
              <w:rPr>
                <w:rFonts w:ascii="Times New Roman"/>
                <w:spacing w:val="-3"/>
              </w:rPr>
              <w:t xml:space="preserve"> </w:t>
            </w:r>
            <w:r>
              <w:rPr>
                <w:rFonts w:ascii="Times New Roman"/>
                <w:spacing w:val="-2"/>
              </w:rPr>
              <w:t>person.</w:t>
            </w:r>
          </w:p>
        </w:tc>
      </w:tr>
      <w:tr w:rsidR="007F6DF9">
        <w:trPr>
          <w:trHeight w:val="506"/>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6</w:t>
            </w:r>
          </w:p>
        </w:tc>
        <w:tc>
          <w:tcPr>
            <w:tcW w:w="3571" w:type="dxa"/>
          </w:tcPr>
          <w:p w:rsidR="007F6DF9" w:rsidRDefault="00A43FBC">
            <w:pPr>
              <w:pStyle w:val="TableParagraph"/>
              <w:spacing w:line="252" w:lineRule="exact"/>
              <w:ind w:left="105"/>
              <w:rPr>
                <w:rFonts w:ascii="Times New Roman"/>
              </w:rPr>
            </w:pPr>
            <w:r>
              <w:rPr>
                <w:rFonts w:ascii="Times New Roman"/>
              </w:rPr>
              <w:t>Current</w:t>
            </w:r>
            <w:r>
              <w:rPr>
                <w:rFonts w:ascii="Times New Roman"/>
                <w:spacing w:val="-12"/>
              </w:rPr>
              <w:t xml:space="preserve"> </w:t>
            </w:r>
            <w:r>
              <w:rPr>
                <w:rFonts w:ascii="Times New Roman"/>
              </w:rPr>
              <w:t>Trade</w:t>
            </w:r>
            <w:r>
              <w:rPr>
                <w:rFonts w:ascii="Times New Roman"/>
                <w:spacing w:val="-13"/>
              </w:rPr>
              <w:t xml:space="preserve"> </w:t>
            </w:r>
            <w:r>
              <w:rPr>
                <w:rFonts w:ascii="Times New Roman"/>
              </w:rPr>
              <w:t>License</w:t>
            </w:r>
            <w:r>
              <w:rPr>
                <w:rFonts w:ascii="Times New Roman"/>
                <w:spacing w:val="-13"/>
              </w:rPr>
              <w:t xml:space="preserve"> </w:t>
            </w:r>
            <w:r>
              <w:rPr>
                <w:rFonts w:ascii="Times New Roman"/>
              </w:rPr>
              <w:t>Registration Number and Expiring date</w:t>
            </w:r>
          </w:p>
        </w:tc>
        <w:tc>
          <w:tcPr>
            <w:tcW w:w="4675" w:type="dxa"/>
          </w:tcPr>
          <w:p w:rsidR="007F6DF9" w:rsidRDefault="007F6DF9">
            <w:pPr>
              <w:pStyle w:val="TableParagraph"/>
              <w:rPr>
                <w:rFonts w:ascii="Times New Roman"/>
              </w:rPr>
            </w:pPr>
          </w:p>
        </w:tc>
      </w:tr>
      <w:tr w:rsidR="007F6DF9">
        <w:trPr>
          <w:trHeight w:val="1010"/>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7</w:t>
            </w:r>
          </w:p>
        </w:tc>
        <w:tc>
          <w:tcPr>
            <w:tcW w:w="3571" w:type="dxa"/>
          </w:tcPr>
          <w:p w:rsidR="007F6DF9" w:rsidRDefault="00A43FBC">
            <w:pPr>
              <w:pStyle w:val="TableParagraph"/>
              <w:ind w:left="105" w:right="573"/>
              <w:jc w:val="both"/>
              <w:rPr>
                <w:rFonts w:ascii="Times New Roman"/>
              </w:rPr>
            </w:pPr>
            <w:r>
              <w:rPr>
                <w:rFonts w:ascii="Times New Roman"/>
              </w:rPr>
              <w:t>Name, country and full address (</w:t>
            </w:r>
            <w:r>
              <w:rPr>
                <w:rFonts w:ascii="Times New Roman"/>
                <w:i/>
              </w:rPr>
              <w:t>postal and physical addresses, email,</w:t>
            </w:r>
            <w:r>
              <w:rPr>
                <w:rFonts w:ascii="Times New Roman"/>
                <w:i/>
                <w:spacing w:val="-5"/>
              </w:rPr>
              <w:t xml:space="preserve"> </w:t>
            </w:r>
            <w:r>
              <w:rPr>
                <w:rFonts w:ascii="Times New Roman"/>
                <w:i/>
              </w:rPr>
              <w:t>and</w:t>
            </w:r>
            <w:r>
              <w:rPr>
                <w:rFonts w:ascii="Times New Roman"/>
                <w:i/>
                <w:spacing w:val="-4"/>
              </w:rPr>
              <w:t xml:space="preserve"> </w:t>
            </w:r>
            <w:r>
              <w:rPr>
                <w:rFonts w:ascii="Times New Roman"/>
                <w:i/>
              </w:rPr>
              <w:t>telephone</w:t>
            </w:r>
            <w:r>
              <w:rPr>
                <w:rFonts w:ascii="Times New Roman"/>
                <w:i/>
                <w:spacing w:val="-1"/>
              </w:rPr>
              <w:t xml:space="preserve"> </w:t>
            </w:r>
            <w:r>
              <w:rPr>
                <w:rFonts w:ascii="Times New Roman"/>
                <w:i/>
              </w:rPr>
              <w:t>number</w:t>
            </w:r>
            <w:r>
              <w:rPr>
                <w:rFonts w:ascii="Times New Roman"/>
              </w:rPr>
              <w:t>)</w:t>
            </w:r>
            <w:r>
              <w:rPr>
                <w:rFonts w:ascii="Times New Roman"/>
                <w:spacing w:val="-1"/>
              </w:rPr>
              <w:t xml:space="preserve"> </w:t>
            </w:r>
            <w:r>
              <w:rPr>
                <w:rFonts w:ascii="Times New Roman"/>
                <w:spacing w:val="-5"/>
              </w:rPr>
              <w:t>of</w:t>
            </w:r>
          </w:p>
          <w:p w:rsidR="007F6DF9" w:rsidRDefault="00A43FBC">
            <w:pPr>
              <w:pStyle w:val="TableParagraph"/>
              <w:spacing w:line="233" w:lineRule="exact"/>
              <w:ind w:left="105"/>
              <w:jc w:val="both"/>
              <w:rPr>
                <w:rFonts w:ascii="Times New Roman"/>
              </w:rPr>
            </w:pPr>
            <w:r>
              <w:rPr>
                <w:rFonts w:ascii="Times New Roman"/>
              </w:rPr>
              <w:t>Registering</w:t>
            </w:r>
            <w:r>
              <w:rPr>
                <w:rFonts w:ascii="Times New Roman"/>
                <w:spacing w:val="-4"/>
              </w:rPr>
              <w:t xml:space="preserve"> </w:t>
            </w:r>
            <w:r>
              <w:rPr>
                <w:rFonts w:ascii="Times New Roman"/>
                <w:spacing w:val="-2"/>
              </w:rPr>
              <w:t>Body/Agency</w:t>
            </w:r>
          </w:p>
        </w:tc>
        <w:tc>
          <w:tcPr>
            <w:tcW w:w="4675" w:type="dxa"/>
          </w:tcPr>
          <w:p w:rsidR="007F6DF9" w:rsidRDefault="007F6DF9">
            <w:pPr>
              <w:pStyle w:val="TableParagraph"/>
              <w:rPr>
                <w:rFonts w:ascii="Times New Roman"/>
              </w:rPr>
            </w:pPr>
          </w:p>
        </w:tc>
      </w:tr>
      <w:tr w:rsidR="007F6DF9">
        <w:trPr>
          <w:trHeight w:val="254"/>
        </w:trPr>
        <w:tc>
          <w:tcPr>
            <w:tcW w:w="437" w:type="dxa"/>
          </w:tcPr>
          <w:p w:rsidR="007F6DF9" w:rsidRDefault="00A43FBC">
            <w:pPr>
              <w:pStyle w:val="TableParagraph"/>
              <w:spacing w:before="1" w:line="234" w:lineRule="exact"/>
              <w:ind w:left="9" w:right="109"/>
              <w:jc w:val="center"/>
              <w:rPr>
                <w:rFonts w:ascii="Times New Roman"/>
              </w:rPr>
            </w:pPr>
            <w:r>
              <w:rPr>
                <w:rFonts w:ascii="Times New Roman"/>
                <w:spacing w:val="-10"/>
              </w:rPr>
              <w:t>8</w:t>
            </w:r>
          </w:p>
        </w:tc>
        <w:tc>
          <w:tcPr>
            <w:tcW w:w="3571" w:type="dxa"/>
          </w:tcPr>
          <w:p w:rsidR="007F6DF9" w:rsidRDefault="00A43FBC">
            <w:pPr>
              <w:pStyle w:val="TableParagraph"/>
              <w:spacing w:before="1" w:line="234" w:lineRule="exact"/>
              <w:ind w:left="105"/>
              <w:rPr>
                <w:rFonts w:ascii="Times New Roman"/>
              </w:rPr>
            </w:pPr>
            <w:r>
              <w:rPr>
                <w:rFonts w:ascii="Times New Roman"/>
              </w:rPr>
              <w:t>Description</w:t>
            </w:r>
            <w:r>
              <w:rPr>
                <w:rFonts w:ascii="Times New Roman"/>
                <w:spacing w:val="-6"/>
              </w:rPr>
              <w:t xml:space="preserve"> </w:t>
            </w:r>
            <w:r>
              <w:rPr>
                <w:rFonts w:ascii="Times New Roman"/>
              </w:rPr>
              <w:t>of</w:t>
            </w:r>
            <w:r>
              <w:rPr>
                <w:rFonts w:ascii="Times New Roman"/>
                <w:spacing w:val="-3"/>
              </w:rPr>
              <w:t xml:space="preserve"> </w:t>
            </w:r>
            <w:r>
              <w:rPr>
                <w:rFonts w:ascii="Times New Roman"/>
              </w:rPr>
              <w:t>Nature</w:t>
            </w:r>
            <w:r>
              <w:rPr>
                <w:rFonts w:ascii="Times New Roman"/>
                <w:spacing w:val="-3"/>
              </w:rPr>
              <w:t xml:space="preserve"> </w:t>
            </w:r>
            <w:r>
              <w:rPr>
                <w:rFonts w:ascii="Times New Roman"/>
              </w:rPr>
              <w:t>of</w:t>
            </w:r>
            <w:r>
              <w:rPr>
                <w:rFonts w:ascii="Times New Roman"/>
                <w:spacing w:val="-2"/>
              </w:rPr>
              <w:t xml:space="preserve"> Business</w:t>
            </w:r>
          </w:p>
        </w:tc>
        <w:tc>
          <w:tcPr>
            <w:tcW w:w="4675" w:type="dxa"/>
          </w:tcPr>
          <w:p w:rsidR="007F6DF9" w:rsidRDefault="007F6DF9">
            <w:pPr>
              <w:pStyle w:val="TableParagraph"/>
              <w:rPr>
                <w:rFonts w:ascii="Times New Roman"/>
                <w:sz w:val="18"/>
              </w:rPr>
            </w:pPr>
          </w:p>
        </w:tc>
      </w:tr>
      <w:tr w:rsidR="007F6DF9">
        <w:trPr>
          <w:trHeight w:val="506"/>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9</w:t>
            </w:r>
          </w:p>
        </w:tc>
        <w:tc>
          <w:tcPr>
            <w:tcW w:w="3571" w:type="dxa"/>
          </w:tcPr>
          <w:p w:rsidR="007F6DF9" w:rsidRDefault="00A43FBC">
            <w:pPr>
              <w:pStyle w:val="TableParagraph"/>
              <w:spacing w:line="254" w:lineRule="exact"/>
              <w:ind w:left="105"/>
              <w:rPr>
                <w:rFonts w:ascii="Times New Roman"/>
              </w:rPr>
            </w:pPr>
            <w:r>
              <w:rPr>
                <w:rFonts w:ascii="Times New Roman"/>
              </w:rPr>
              <w:t>Maximum</w:t>
            </w:r>
            <w:r>
              <w:rPr>
                <w:rFonts w:ascii="Times New Roman"/>
                <w:spacing w:val="-14"/>
              </w:rPr>
              <w:t xml:space="preserve"> </w:t>
            </w:r>
            <w:r>
              <w:rPr>
                <w:rFonts w:ascii="Times New Roman"/>
              </w:rPr>
              <w:t>value</w:t>
            </w:r>
            <w:r>
              <w:rPr>
                <w:rFonts w:ascii="Times New Roman"/>
                <w:spacing w:val="-14"/>
              </w:rPr>
              <w:t xml:space="preserve"> </w:t>
            </w:r>
            <w:r>
              <w:rPr>
                <w:rFonts w:ascii="Times New Roman"/>
              </w:rPr>
              <w:t>of</w:t>
            </w:r>
            <w:r>
              <w:rPr>
                <w:rFonts w:ascii="Times New Roman"/>
                <w:spacing w:val="-14"/>
              </w:rPr>
              <w:t xml:space="preserve"> </w:t>
            </w:r>
            <w:r>
              <w:rPr>
                <w:rFonts w:ascii="Times New Roman"/>
              </w:rPr>
              <w:t>business</w:t>
            </w:r>
            <w:r>
              <w:rPr>
                <w:rFonts w:ascii="Times New Roman"/>
                <w:spacing w:val="-13"/>
              </w:rPr>
              <w:t xml:space="preserve"> </w:t>
            </w:r>
            <w:r>
              <w:rPr>
                <w:rFonts w:ascii="Times New Roman"/>
              </w:rPr>
              <w:t>which</w:t>
            </w:r>
            <w:r>
              <w:rPr>
                <w:rFonts w:ascii="Times New Roman"/>
                <w:spacing w:val="-14"/>
              </w:rPr>
              <w:t xml:space="preserve"> </w:t>
            </w:r>
            <w:r>
              <w:rPr>
                <w:rFonts w:ascii="Times New Roman"/>
              </w:rPr>
              <w:t>the Tenderer handles.</w:t>
            </w:r>
          </w:p>
        </w:tc>
        <w:tc>
          <w:tcPr>
            <w:tcW w:w="4675" w:type="dxa"/>
          </w:tcPr>
          <w:p w:rsidR="007F6DF9" w:rsidRDefault="007F6DF9">
            <w:pPr>
              <w:pStyle w:val="TableParagraph"/>
              <w:rPr>
                <w:rFonts w:ascii="Times New Roman"/>
              </w:rPr>
            </w:pPr>
          </w:p>
        </w:tc>
      </w:tr>
      <w:tr w:rsidR="007F6DF9">
        <w:trPr>
          <w:trHeight w:val="1706"/>
        </w:trPr>
        <w:tc>
          <w:tcPr>
            <w:tcW w:w="437" w:type="dxa"/>
          </w:tcPr>
          <w:p w:rsidR="007F6DF9" w:rsidRDefault="00A43FBC">
            <w:pPr>
              <w:pStyle w:val="TableParagraph"/>
              <w:spacing w:line="249" w:lineRule="exact"/>
              <w:ind w:left="9"/>
              <w:jc w:val="center"/>
              <w:rPr>
                <w:rFonts w:ascii="Times New Roman"/>
              </w:rPr>
            </w:pPr>
            <w:r>
              <w:rPr>
                <w:rFonts w:ascii="Times New Roman"/>
                <w:spacing w:val="-5"/>
              </w:rPr>
              <w:t>10</w:t>
            </w:r>
          </w:p>
        </w:tc>
        <w:tc>
          <w:tcPr>
            <w:tcW w:w="3571" w:type="dxa"/>
          </w:tcPr>
          <w:p w:rsidR="007F6DF9" w:rsidRDefault="00A43FBC">
            <w:pPr>
              <w:pStyle w:val="TableParagraph"/>
              <w:spacing w:line="276" w:lineRule="auto"/>
              <w:ind w:left="105" w:right="90"/>
              <w:rPr>
                <w:rFonts w:ascii="Times New Roman"/>
              </w:rPr>
            </w:pPr>
            <w:r>
              <w:rPr>
                <w:rFonts w:ascii="Times New Roman"/>
              </w:rPr>
              <w:t>State</w:t>
            </w:r>
            <w:r>
              <w:rPr>
                <w:rFonts w:ascii="Times New Roman"/>
                <w:spacing w:val="-6"/>
              </w:rPr>
              <w:t xml:space="preserve"> </w:t>
            </w:r>
            <w:r>
              <w:rPr>
                <w:rFonts w:ascii="Times New Roman"/>
              </w:rPr>
              <w:t>if</w:t>
            </w:r>
            <w:r>
              <w:rPr>
                <w:rFonts w:ascii="Times New Roman"/>
                <w:spacing w:val="-6"/>
              </w:rPr>
              <w:t xml:space="preserve"> </w:t>
            </w:r>
            <w:r>
              <w:rPr>
                <w:rFonts w:ascii="Times New Roman"/>
              </w:rPr>
              <w:t>Tenders</w:t>
            </w:r>
            <w:r>
              <w:rPr>
                <w:rFonts w:ascii="Times New Roman"/>
                <w:spacing w:val="-6"/>
              </w:rPr>
              <w:t xml:space="preserve"> </w:t>
            </w:r>
            <w:r>
              <w:rPr>
                <w:rFonts w:ascii="Times New Roman"/>
              </w:rPr>
              <w:t>Company</w:t>
            </w:r>
            <w:r>
              <w:rPr>
                <w:rFonts w:ascii="Times New Roman"/>
                <w:spacing w:val="-8"/>
              </w:rPr>
              <w:t xml:space="preserve"> </w:t>
            </w:r>
            <w:r>
              <w:rPr>
                <w:rFonts w:ascii="Times New Roman"/>
              </w:rPr>
              <w:t>is</w:t>
            </w:r>
            <w:r>
              <w:rPr>
                <w:rFonts w:ascii="Times New Roman"/>
                <w:spacing w:val="-6"/>
              </w:rPr>
              <w:t xml:space="preserve"> </w:t>
            </w:r>
            <w:r>
              <w:rPr>
                <w:rFonts w:ascii="Times New Roman"/>
              </w:rPr>
              <w:t>listed</w:t>
            </w:r>
            <w:r>
              <w:rPr>
                <w:rFonts w:ascii="Times New Roman"/>
                <w:spacing w:val="-6"/>
              </w:rPr>
              <w:t xml:space="preserve"> </w:t>
            </w:r>
            <w:r>
              <w:rPr>
                <w:rFonts w:ascii="Times New Roman"/>
              </w:rPr>
              <w:t>in stock exchange, give name and full address (</w:t>
            </w:r>
            <w:r>
              <w:rPr>
                <w:rFonts w:ascii="Times New Roman"/>
                <w:i/>
              </w:rPr>
              <w:t>postal and physical addresses, email, and telephone number</w:t>
            </w:r>
            <w:r>
              <w:rPr>
                <w:rFonts w:ascii="Times New Roman"/>
              </w:rPr>
              <w:t>) of</w:t>
            </w:r>
          </w:p>
          <w:p w:rsidR="007F6DF9" w:rsidRDefault="00A43FBC">
            <w:pPr>
              <w:pStyle w:val="TableParagraph"/>
              <w:spacing w:line="233" w:lineRule="exact"/>
              <w:ind w:left="105"/>
              <w:rPr>
                <w:rFonts w:ascii="Times New Roman"/>
              </w:rPr>
            </w:pPr>
            <w:r>
              <w:rPr>
                <w:rFonts w:ascii="Times New Roman"/>
              </w:rPr>
              <w:t>state</w:t>
            </w:r>
            <w:r>
              <w:rPr>
                <w:rFonts w:ascii="Times New Roman"/>
                <w:spacing w:val="-3"/>
              </w:rPr>
              <w:t xml:space="preserve"> </w:t>
            </w:r>
            <w:r>
              <w:rPr>
                <w:rFonts w:ascii="Times New Roman"/>
              </w:rPr>
              <w:t>which</w:t>
            </w:r>
            <w:r>
              <w:rPr>
                <w:rFonts w:ascii="Times New Roman"/>
                <w:spacing w:val="-3"/>
              </w:rPr>
              <w:t xml:space="preserve"> </w:t>
            </w:r>
            <w:r>
              <w:rPr>
                <w:rFonts w:ascii="Times New Roman"/>
              </w:rPr>
              <w:t>stock</w:t>
            </w:r>
            <w:r>
              <w:rPr>
                <w:rFonts w:ascii="Times New Roman"/>
                <w:spacing w:val="-3"/>
              </w:rPr>
              <w:t xml:space="preserve"> </w:t>
            </w:r>
            <w:r>
              <w:rPr>
                <w:rFonts w:ascii="Times New Roman"/>
                <w:spacing w:val="-2"/>
              </w:rPr>
              <w:t>exchange</w:t>
            </w:r>
          </w:p>
        </w:tc>
        <w:tc>
          <w:tcPr>
            <w:tcW w:w="4675" w:type="dxa"/>
          </w:tcPr>
          <w:p w:rsidR="007F6DF9" w:rsidRDefault="007F6DF9">
            <w:pPr>
              <w:pStyle w:val="TableParagraph"/>
              <w:rPr>
                <w:rFonts w:ascii="Times New Roman"/>
              </w:rPr>
            </w:pPr>
          </w:p>
        </w:tc>
      </w:tr>
    </w:tbl>
    <w:p w:rsidR="007F6DF9" w:rsidRDefault="007F6DF9">
      <w:pPr>
        <w:pStyle w:val="BodyText"/>
        <w:rPr>
          <w:b/>
        </w:rPr>
      </w:pPr>
    </w:p>
    <w:p w:rsidR="007F6DF9" w:rsidRDefault="007F6DF9">
      <w:pPr>
        <w:pStyle w:val="BodyText"/>
        <w:rPr>
          <w:b/>
        </w:rPr>
      </w:pPr>
    </w:p>
    <w:p w:rsidR="007F6DF9" w:rsidRDefault="007F6DF9">
      <w:pPr>
        <w:pStyle w:val="BodyText"/>
        <w:spacing w:before="1"/>
        <w:rPr>
          <w:b/>
        </w:rPr>
      </w:pPr>
    </w:p>
    <w:p w:rsidR="007F6DF9" w:rsidRDefault="00A43FBC">
      <w:pPr>
        <w:pStyle w:val="Heading7"/>
      </w:pPr>
      <w:r>
        <w:rPr>
          <w:color w:val="221F1F"/>
          <w:u w:val="single" w:color="221F1F"/>
        </w:rPr>
        <w:t>General</w:t>
      </w:r>
      <w:r>
        <w:rPr>
          <w:color w:val="221F1F"/>
          <w:spacing w:val="-7"/>
          <w:u w:val="single" w:color="221F1F"/>
        </w:rPr>
        <w:t xml:space="preserve"> </w:t>
      </w:r>
      <w:r>
        <w:rPr>
          <w:color w:val="221F1F"/>
          <w:u w:val="single" w:color="221F1F"/>
        </w:rPr>
        <w:t>and</w:t>
      </w:r>
      <w:r>
        <w:rPr>
          <w:color w:val="221F1F"/>
          <w:spacing w:val="-7"/>
          <w:u w:val="single" w:color="221F1F"/>
        </w:rPr>
        <w:t xml:space="preserve"> </w:t>
      </w:r>
      <w:r>
        <w:rPr>
          <w:color w:val="221F1F"/>
          <w:u w:val="single" w:color="221F1F"/>
        </w:rPr>
        <w:t>Specific</w:t>
      </w:r>
      <w:r>
        <w:rPr>
          <w:color w:val="221F1F"/>
          <w:spacing w:val="-7"/>
          <w:u w:val="single" w:color="221F1F"/>
        </w:rPr>
        <w:t xml:space="preserve"> </w:t>
      </w:r>
      <w:r>
        <w:rPr>
          <w:color w:val="221F1F"/>
          <w:spacing w:val="-2"/>
          <w:u w:val="single" w:color="221F1F"/>
        </w:rPr>
        <w:t>Details</w:t>
      </w:r>
    </w:p>
    <w:p w:rsidR="007F6DF9" w:rsidRDefault="00A43FBC">
      <w:pPr>
        <w:pStyle w:val="ListParagraph"/>
        <w:numPr>
          <w:ilvl w:val="0"/>
          <w:numId w:val="143"/>
        </w:numPr>
        <w:tabs>
          <w:tab w:val="left" w:pos="1191"/>
        </w:tabs>
        <w:spacing w:before="236"/>
        <w:ind w:left="1191" w:hanging="480"/>
      </w:pPr>
      <w:r>
        <w:rPr>
          <w:b/>
          <w:color w:val="221F1F"/>
        </w:rPr>
        <w:t>Sole</w:t>
      </w:r>
      <w:r>
        <w:rPr>
          <w:b/>
          <w:color w:val="221F1F"/>
          <w:spacing w:val="-13"/>
        </w:rPr>
        <w:t xml:space="preserve"> </w:t>
      </w:r>
      <w:r>
        <w:rPr>
          <w:b/>
          <w:color w:val="221F1F"/>
        </w:rPr>
        <w:t>Proprietor,</w:t>
      </w:r>
      <w:r>
        <w:rPr>
          <w:b/>
          <w:color w:val="221F1F"/>
          <w:spacing w:val="-13"/>
        </w:rPr>
        <w:t xml:space="preserve"> </w:t>
      </w:r>
      <w:r>
        <w:rPr>
          <w:color w:val="221F1F"/>
        </w:rPr>
        <w:t>provide</w:t>
      </w:r>
      <w:r>
        <w:rPr>
          <w:color w:val="221F1F"/>
          <w:spacing w:val="-12"/>
        </w:rPr>
        <w:t xml:space="preserve"> </w:t>
      </w:r>
      <w:r>
        <w:rPr>
          <w:color w:val="221F1F"/>
        </w:rPr>
        <w:t>the</w:t>
      </w:r>
      <w:r>
        <w:rPr>
          <w:color w:val="221F1F"/>
          <w:spacing w:val="-11"/>
        </w:rPr>
        <w:t xml:space="preserve"> </w:t>
      </w:r>
      <w:r>
        <w:rPr>
          <w:color w:val="221F1F"/>
        </w:rPr>
        <w:t>following</w:t>
      </w:r>
      <w:r>
        <w:rPr>
          <w:color w:val="221F1F"/>
          <w:spacing w:val="-10"/>
        </w:rPr>
        <w:t xml:space="preserve"> </w:t>
      </w:r>
      <w:r>
        <w:rPr>
          <w:color w:val="221F1F"/>
          <w:spacing w:val="-2"/>
        </w:rPr>
        <w:t>details.</w:t>
      </w:r>
    </w:p>
    <w:p w:rsidR="007F6DF9" w:rsidRDefault="00A43FBC">
      <w:pPr>
        <w:pStyle w:val="BodyText"/>
        <w:tabs>
          <w:tab w:val="left" w:pos="5166"/>
          <w:tab w:val="left" w:pos="9203"/>
          <w:tab w:val="left" w:pos="9278"/>
        </w:tabs>
        <w:spacing w:before="242" w:line="230" w:lineRule="auto"/>
        <w:ind w:left="711" w:right="2206"/>
        <w:jc w:val="both"/>
      </w:pPr>
      <w:r>
        <w:rPr>
          <w:color w:val="221F1F"/>
        </w:rPr>
        <w:t>Name in full</w:t>
      </w:r>
      <w:r>
        <w:rPr>
          <w:color w:val="221F1F"/>
          <w:u w:val="single" w:color="211E1F"/>
        </w:rPr>
        <w:tab/>
      </w:r>
      <w:r>
        <w:rPr>
          <w:color w:val="221F1F"/>
          <w:spacing w:val="-4"/>
        </w:rPr>
        <w:t>Age</w:t>
      </w:r>
      <w:r>
        <w:rPr>
          <w:color w:val="221F1F"/>
          <w:u w:val="single" w:color="211E1F"/>
        </w:rPr>
        <w:tab/>
      </w:r>
      <w:r>
        <w:rPr>
          <w:color w:val="221F1F"/>
        </w:rPr>
        <w:t xml:space="preserve"> </w:t>
      </w:r>
      <w:r>
        <w:rPr>
          <w:color w:val="221F1F"/>
          <w:spacing w:val="-2"/>
        </w:rPr>
        <w:t>Nationality</w:t>
      </w:r>
      <w:r>
        <w:rPr>
          <w:color w:val="221F1F"/>
          <w:u w:val="single" w:color="211E1F"/>
        </w:rPr>
        <w:tab/>
      </w:r>
      <w:r>
        <w:rPr>
          <w:color w:val="221F1F"/>
        </w:rPr>
        <w:t>Country of Origin</w:t>
      </w:r>
      <w:r>
        <w:rPr>
          <w:color w:val="221F1F"/>
          <w:u w:val="single" w:color="211E1F"/>
        </w:rPr>
        <w:tab/>
      </w:r>
      <w:r>
        <w:rPr>
          <w:color w:val="221F1F"/>
        </w:rPr>
        <w:t xml:space="preserve"> </w:t>
      </w:r>
      <w:r>
        <w:rPr>
          <w:color w:val="221F1F"/>
          <w:spacing w:val="-2"/>
        </w:rPr>
        <w:t>Citizenship</w:t>
      </w:r>
      <w:r>
        <w:rPr>
          <w:color w:val="221F1F"/>
          <w:u w:val="single" w:color="211E1F"/>
        </w:rPr>
        <w:tab/>
      </w:r>
      <w:r>
        <w:rPr>
          <w:color w:val="221F1F"/>
          <w:u w:val="single" w:color="211E1F"/>
        </w:rPr>
        <w:tab/>
      </w:r>
      <w:r>
        <w:rPr>
          <w:color w:val="221F1F"/>
          <w:u w:val="single" w:color="211E1F"/>
        </w:rPr>
        <w:tab/>
      </w:r>
    </w:p>
    <w:p w:rsidR="007F6DF9" w:rsidRDefault="00A43FBC">
      <w:pPr>
        <w:pStyle w:val="ListParagraph"/>
        <w:numPr>
          <w:ilvl w:val="0"/>
          <w:numId w:val="143"/>
        </w:numPr>
        <w:tabs>
          <w:tab w:val="left" w:pos="1191"/>
        </w:tabs>
        <w:spacing w:before="238"/>
        <w:ind w:left="1191" w:hanging="480"/>
      </w:pPr>
      <w:r>
        <w:rPr>
          <w:b/>
          <w:color w:val="221F1F"/>
        </w:rPr>
        <w:t>Partnership,</w:t>
      </w:r>
      <w:r>
        <w:rPr>
          <w:b/>
          <w:color w:val="221F1F"/>
          <w:spacing w:val="-5"/>
        </w:rPr>
        <w:t xml:space="preserve"> </w:t>
      </w:r>
      <w:r>
        <w:rPr>
          <w:color w:val="221F1F"/>
        </w:rPr>
        <w:t>provide</w:t>
      </w:r>
      <w:r>
        <w:rPr>
          <w:color w:val="221F1F"/>
          <w:spacing w:val="-5"/>
        </w:rPr>
        <w:t xml:space="preserve"> </w:t>
      </w:r>
      <w:r>
        <w:rPr>
          <w:color w:val="221F1F"/>
        </w:rPr>
        <w:t>the</w:t>
      </w:r>
      <w:r>
        <w:rPr>
          <w:color w:val="221F1F"/>
          <w:spacing w:val="-5"/>
        </w:rPr>
        <w:t xml:space="preserve"> </w:t>
      </w:r>
      <w:r>
        <w:rPr>
          <w:color w:val="221F1F"/>
        </w:rPr>
        <w:t>following</w:t>
      </w:r>
      <w:r>
        <w:rPr>
          <w:color w:val="221F1F"/>
          <w:spacing w:val="-4"/>
        </w:rPr>
        <w:t xml:space="preserve"> </w:t>
      </w:r>
      <w:r>
        <w:rPr>
          <w:color w:val="221F1F"/>
          <w:spacing w:val="-2"/>
        </w:rPr>
        <w:t>details.</w:t>
      </w:r>
    </w:p>
    <w:p w:rsidR="007F6DF9" w:rsidRDefault="007F6DF9">
      <w:pPr>
        <w:pStyle w:val="BodyText"/>
        <w:spacing w:before="3"/>
        <w:rPr>
          <w:sz w:val="16"/>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989"/>
        <w:gridCol w:w="1913"/>
        <w:gridCol w:w="1916"/>
        <w:gridCol w:w="2029"/>
      </w:tblGrid>
      <w:tr w:rsidR="007F6DF9">
        <w:trPr>
          <w:trHeight w:val="254"/>
        </w:trPr>
        <w:tc>
          <w:tcPr>
            <w:tcW w:w="422" w:type="dxa"/>
            <w:shd w:val="clear" w:color="auto" w:fill="E7E6E6"/>
          </w:tcPr>
          <w:p w:rsidR="007F6DF9" w:rsidRDefault="007F6DF9">
            <w:pPr>
              <w:pStyle w:val="TableParagraph"/>
              <w:rPr>
                <w:rFonts w:ascii="Times New Roman"/>
                <w:sz w:val="18"/>
              </w:rPr>
            </w:pPr>
          </w:p>
        </w:tc>
        <w:tc>
          <w:tcPr>
            <w:tcW w:w="2989" w:type="dxa"/>
            <w:shd w:val="clear" w:color="auto" w:fill="E7E6E6"/>
          </w:tcPr>
          <w:p w:rsidR="007F6DF9" w:rsidRDefault="00A43FBC">
            <w:pPr>
              <w:pStyle w:val="TableParagraph"/>
              <w:spacing w:before="1" w:line="233" w:lineRule="exact"/>
              <w:ind w:left="106"/>
              <w:rPr>
                <w:rFonts w:ascii="Times New Roman"/>
                <w:b/>
              </w:rPr>
            </w:pPr>
            <w:r>
              <w:rPr>
                <w:rFonts w:ascii="Times New Roman"/>
                <w:b/>
              </w:rPr>
              <w:t>Names</w:t>
            </w:r>
            <w:r>
              <w:rPr>
                <w:rFonts w:ascii="Times New Roman"/>
                <w:b/>
                <w:spacing w:val="-3"/>
              </w:rPr>
              <w:t xml:space="preserve"> </w:t>
            </w:r>
            <w:r>
              <w:rPr>
                <w:rFonts w:ascii="Times New Roman"/>
                <w:b/>
              </w:rPr>
              <w:t>of</w:t>
            </w:r>
            <w:r>
              <w:rPr>
                <w:rFonts w:ascii="Times New Roman"/>
                <w:b/>
                <w:spacing w:val="-1"/>
              </w:rPr>
              <w:t xml:space="preserve"> </w:t>
            </w:r>
            <w:r>
              <w:rPr>
                <w:rFonts w:ascii="Times New Roman"/>
                <w:b/>
                <w:spacing w:val="-2"/>
              </w:rPr>
              <w:t>Partners</w:t>
            </w:r>
          </w:p>
        </w:tc>
        <w:tc>
          <w:tcPr>
            <w:tcW w:w="1913" w:type="dxa"/>
            <w:shd w:val="clear" w:color="auto" w:fill="E7E6E6"/>
          </w:tcPr>
          <w:p w:rsidR="007F6DF9" w:rsidRDefault="00A43FBC">
            <w:pPr>
              <w:pStyle w:val="TableParagraph"/>
              <w:spacing w:before="1" w:line="233" w:lineRule="exact"/>
              <w:ind w:left="108"/>
              <w:rPr>
                <w:rFonts w:ascii="Times New Roman"/>
                <w:b/>
              </w:rPr>
            </w:pPr>
            <w:r>
              <w:rPr>
                <w:rFonts w:ascii="Times New Roman"/>
                <w:b/>
                <w:spacing w:val="-2"/>
              </w:rPr>
              <w:t>Nationality</w:t>
            </w:r>
          </w:p>
        </w:tc>
        <w:tc>
          <w:tcPr>
            <w:tcW w:w="1916" w:type="dxa"/>
            <w:shd w:val="clear" w:color="auto" w:fill="E7E6E6"/>
          </w:tcPr>
          <w:p w:rsidR="007F6DF9" w:rsidRDefault="00A43FBC">
            <w:pPr>
              <w:pStyle w:val="TableParagraph"/>
              <w:spacing w:before="1" w:line="233" w:lineRule="exact"/>
              <w:ind w:left="108"/>
              <w:rPr>
                <w:rFonts w:ascii="Times New Roman"/>
                <w:b/>
              </w:rPr>
            </w:pPr>
            <w:r>
              <w:rPr>
                <w:rFonts w:ascii="Times New Roman"/>
                <w:b/>
                <w:spacing w:val="-2"/>
              </w:rPr>
              <w:t>Citizenship</w:t>
            </w:r>
          </w:p>
        </w:tc>
        <w:tc>
          <w:tcPr>
            <w:tcW w:w="2029" w:type="dxa"/>
            <w:shd w:val="clear" w:color="auto" w:fill="E7E6E6"/>
          </w:tcPr>
          <w:p w:rsidR="007F6DF9" w:rsidRDefault="00A43FBC">
            <w:pPr>
              <w:pStyle w:val="TableParagraph"/>
              <w:spacing w:before="1" w:line="233" w:lineRule="exact"/>
              <w:ind w:left="107"/>
              <w:rPr>
                <w:rFonts w:ascii="Times New Roman"/>
                <w:b/>
              </w:rPr>
            </w:pPr>
            <w:r>
              <w:rPr>
                <w:rFonts w:ascii="Times New Roman"/>
                <w:b/>
              </w:rPr>
              <w:t>%</w:t>
            </w:r>
            <w:r>
              <w:rPr>
                <w:rFonts w:ascii="Times New Roman"/>
                <w:b/>
                <w:spacing w:val="-4"/>
              </w:rPr>
              <w:t xml:space="preserve"> </w:t>
            </w:r>
            <w:r>
              <w:rPr>
                <w:rFonts w:ascii="Times New Roman"/>
                <w:b/>
              </w:rPr>
              <w:t>Shares</w:t>
            </w:r>
            <w:r>
              <w:rPr>
                <w:rFonts w:ascii="Times New Roman"/>
                <w:b/>
                <w:spacing w:val="-1"/>
              </w:rPr>
              <w:t xml:space="preserve"> </w:t>
            </w:r>
            <w:r>
              <w:rPr>
                <w:rFonts w:ascii="Times New Roman"/>
                <w:b/>
                <w:spacing w:val="-2"/>
              </w:rPr>
              <w:t>owned</w:t>
            </w:r>
          </w:p>
        </w:tc>
      </w:tr>
      <w:tr w:rsidR="007F6DF9">
        <w:trPr>
          <w:trHeight w:val="254"/>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1</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r w:rsidR="007F6DF9">
        <w:trPr>
          <w:trHeight w:val="251"/>
        </w:trPr>
        <w:tc>
          <w:tcPr>
            <w:tcW w:w="422" w:type="dxa"/>
          </w:tcPr>
          <w:p w:rsidR="007F6DF9" w:rsidRDefault="00A43FBC">
            <w:pPr>
              <w:pStyle w:val="TableParagraph"/>
              <w:spacing w:line="232" w:lineRule="exact"/>
              <w:ind w:right="85"/>
              <w:jc w:val="center"/>
              <w:rPr>
                <w:rFonts w:ascii="Times New Roman"/>
              </w:rPr>
            </w:pPr>
            <w:r>
              <w:rPr>
                <w:rFonts w:ascii="Times New Roman"/>
                <w:spacing w:val="-10"/>
              </w:rPr>
              <w:t>2</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r w:rsidR="007F6DF9">
        <w:trPr>
          <w:trHeight w:val="253"/>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3</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bl>
    <w:p w:rsidR="007F6DF9" w:rsidRDefault="007F6DF9">
      <w:pPr>
        <w:pStyle w:val="BodyText"/>
      </w:pPr>
    </w:p>
    <w:p w:rsidR="007F6DF9" w:rsidRDefault="007F6DF9">
      <w:pPr>
        <w:pStyle w:val="BodyText"/>
        <w:spacing w:before="67"/>
      </w:pPr>
    </w:p>
    <w:p w:rsidR="007F6DF9" w:rsidRDefault="00A43FBC">
      <w:pPr>
        <w:pStyle w:val="ListParagraph"/>
        <w:numPr>
          <w:ilvl w:val="0"/>
          <w:numId w:val="143"/>
        </w:numPr>
        <w:tabs>
          <w:tab w:val="left" w:pos="1280"/>
        </w:tabs>
        <w:spacing w:before="1"/>
        <w:ind w:left="1280" w:hanging="572"/>
      </w:pPr>
      <w:r>
        <w:rPr>
          <w:b/>
          <w:color w:val="221F1F"/>
        </w:rPr>
        <w:t>Registered</w:t>
      </w:r>
      <w:r>
        <w:rPr>
          <w:b/>
          <w:color w:val="221F1F"/>
          <w:spacing w:val="-5"/>
        </w:rPr>
        <w:t xml:space="preserve"> </w:t>
      </w:r>
      <w:r>
        <w:rPr>
          <w:b/>
          <w:color w:val="221F1F"/>
        </w:rPr>
        <w:t>Company,</w:t>
      </w:r>
      <w:r>
        <w:rPr>
          <w:b/>
          <w:color w:val="221F1F"/>
          <w:spacing w:val="-3"/>
        </w:rPr>
        <w:t xml:space="preserve"> </w:t>
      </w:r>
      <w:r>
        <w:rPr>
          <w:color w:val="221F1F"/>
        </w:rPr>
        <w:t>provide</w:t>
      </w:r>
      <w:r>
        <w:rPr>
          <w:color w:val="221F1F"/>
          <w:spacing w:val="-7"/>
        </w:rPr>
        <w:t xml:space="preserve"> </w:t>
      </w:r>
      <w:r>
        <w:rPr>
          <w:color w:val="221F1F"/>
        </w:rPr>
        <w:t>the</w:t>
      </w:r>
      <w:r>
        <w:rPr>
          <w:color w:val="221F1F"/>
          <w:spacing w:val="-6"/>
        </w:rPr>
        <w:t xml:space="preserve"> </w:t>
      </w:r>
      <w:r>
        <w:rPr>
          <w:color w:val="221F1F"/>
        </w:rPr>
        <w:t>following</w:t>
      </w:r>
      <w:r>
        <w:rPr>
          <w:color w:val="221F1F"/>
          <w:spacing w:val="-3"/>
        </w:rPr>
        <w:t xml:space="preserve"> </w:t>
      </w:r>
      <w:r>
        <w:rPr>
          <w:color w:val="221F1F"/>
          <w:spacing w:val="-2"/>
        </w:rPr>
        <w:t>details.</w:t>
      </w:r>
    </w:p>
    <w:p w:rsidR="007F6DF9" w:rsidRDefault="00A43FBC">
      <w:pPr>
        <w:pStyle w:val="ListParagraph"/>
        <w:numPr>
          <w:ilvl w:val="1"/>
          <w:numId w:val="143"/>
        </w:numPr>
        <w:tabs>
          <w:tab w:val="left" w:pos="1841"/>
          <w:tab w:val="left" w:pos="9143"/>
        </w:tabs>
        <w:spacing w:before="227"/>
        <w:ind w:hanging="566"/>
      </w:pPr>
      <w:r>
        <w:rPr>
          <w:color w:val="221F1F"/>
        </w:rPr>
        <w:t>Private</w:t>
      </w:r>
      <w:r>
        <w:rPr>
          <w:color w:val="221F1F"/>
          <w:spacing w:val="-1"/>
        </w:rPr>
        <w:t xml:space="preserve"> </w:t>
      </w:r>
      <w:r>
        <w:rPr>
          <w:color w:val="221F1F"/>
        </w:rPr>
        <w:t xml:space="preserve">or public Company </w:t>
      </w:r>
      <w:r>
        <w:rPr>
          <w:color w:val="221F1F"/>
          <w:u w:val="single" w:color="211E1F"/>
        </w:rPr>
        <w:tab/>
      </w:r>
    </w:p>
    <w:p w:rsidR="007F6DF9" w:rsidRDefault="007F6DF9">
      <w:pPr>
        <w:pStyle w:val="ListParagraph"/>
        <w:sectPr w:rsidR="007F6DF9">
          <w:pgSz w:w="11920" w:h="16850"/>
          <w:pgMar w:top="360" w:right="283" w:bottom="620" w:left="141" w:header="0" w:footer="437" w:gutter="0"/>
          <w:pgNumType w:start="49"/>
          <w:cols w:space="720"/>
        </w:sectPr>
      </w:pPr>
    </w:p>
    <w:p w:rsidR="007F6DF9" w:rsidRDefault="00A43FBC">
      <w:pPr>
        <w:pStyle w:val="ListParagraph"/>
        <w:numPr>
          <w:ilvl w:val="0"/>
          <w:numId w:val="141"/>
        </w:numPr>
        <w:tabs>
          <w:tab w:val="left" w:pos="1841"/>
          <w:tab w:val="left" w:pos="9143"/>
        </w:tabs>
        <w:spacing w:line="244" w:lineRule="exact"/>
        <w:ind w:hanging="566"/>
      </w:pPr>
      <w:r>
        <w:rPr>
          <w:color w:val="221F1F"/>
        </w:rPr>
        <w:lastRenderedPageBreak/>
        <w:t>State</w:t>
      </w:r>
      <w:r>
        <w:rPr>
          <w:color w:val="221F1F"/>
          <w:spacing w:val="-3"/>
        </w:rPr>
        <w:t xml:space="preserve"> </w:t>
      </w:r>
      <w:r>
        <w:rPr>
          <w:color w:val="221F1F"/>
        </w:rPr>
        <w:t>the</w:t>
      </w:r>
      <w:r>
        <w:rPr>
          <w:color w:val="221F1F"/>
          <w:spacing w:val="-3"/>
        </w:rPr>
        <w:t xml:space="preserve"> </w:t>
      </w:r>
      <w:r>
        <w:rPr>
          <w:color w:val="221F1F"/>
        </w:rPr>
        <w:t>nominal</w:t>
      </w:r>
      <w:r>
        <w:rPr>
          <w:color w:val="221F1F"/>
          <w:spacing w:val="-5"/>
        </w:rPr>
        <w:t xml:space="preserve"> </w:t>
      </w:r>
      <w:r>
        <w:rPr>
          <w:color w:val="221F1F"/>
        </w:rPr>
        <w:t>and</w:t>
      </w:r>
      <w:r>
        <w:rPr>
          <w:color w:val="221F1F"/>
          <w:spacing w:val="-5"/>
        </w:rPr>
        <w:t xml:space="preserve"> </w:t>
      </w:r>
      <w:r>
        <w:rPr>
          <w:color w:val="221F1F"/>
        </w:rPr>
        <w:t>issued</w:t>
      </w:r>
      <w:r>
        <w:rPr>
          <w:color w:val="221F1F"/>
          <w:spacing w:val="-3"/>
        </w:rPr>
        <w:t xml:space="preserve"> </w:t>
      </w:r>
      <w:r>
        <w:rPr>
          <w:color w:val="221F1F"/>
        </w:rPr>
        <w:t>capital</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Company</w:t>
      </w:r>
      <w:r>
        <w:rPr>
          <w:color w:val="221F1F"/>
          <w:u w:val="single" w:color="211E1F"/>
        </w:rPr>
        <w:tab/>
      </w:r>
    </w:p>
    <w:p w:rsidR="007F6DF9" w:rsidRDefault="00A43FBC">
      <w:pPr>
        <w:pStyle w:val="BodyText"/>
        <w:spacing w:before="227" w:line="251" w:lineRule="exact"/>
        <w:ind w:left="1280"/>
      </w:pPr>
      <w:r>
        <w:rPr>
          <w:color w:val="221F1F"/>
        </w:rPr>
        <w:t>Nominal</w:t>
      </w:r>
      <w:r>
        <w:rPr>
          <w:color w:val="221F1F"/>
          <w:spacing w:val="-7"/>
        </w:rPr>
        <w:t xml:space="preserve"> </w:t>
      </w:r>
      <w:r>
        <w:rPr>
          <w:color w:val="221F1F"/>
        </w:rPr>
        <w:t>Kenya</w:t>
      </w:r>
      <w:r>
        <w:rPr>
          <w:color w:val="221F1F"/>
          <w:spacing w:val="-5"/>
        </w:rPr>
        <w:t xml:space="preserve"> </w:t>
      </w:r>
      <w:r>
        <w:rPr>
          <w:color w:val="221F1F"/>
        </w:rPr>
        <w:t>Shillings</w:t>
      </w:r>
      <w:r>
        <w:rPr>
          <w:color w:val="221F1F"/>
          <w:spacing w:val="-6"/>
        </w:rPr>
        <w:t xml:space="preserve"> </w:t>
      </w:r>
      <w:r>
        <w:rPr>
          <w:color w:val="221F1F"/>
          <w:spacing w:val="-2"/>
        </w:rPr>
        <w:t>(Equivalent)...........................................................</w:t>
      </w:r>
    </w:p>
    <w:p w:rsidR="007F6DF9" w:rsidRDefault="00A43FBC">
      <w:pPr>
        <w:pStyle w:val="BodyText"/>
        <w:spacing w:line="251" w:lineRule="exact"/>
        <w:ind w:left="1280"/>
      </w:pPr>
      <w:r>
        <w:rPr>
          <w:color w:val="221F1F"/>
        </w:rPr>
        <w:t>Issued</w:t>
      </w:r>
      <w:r>
        <w:rPr>
          <w:color w:val="221F1F"/>
          <w:spacing w:val="-4"/>
        </w:rPr>
        <w:t xml:space="preserve"> </w:t>
      </w:r>
      <w:r>
        <w:rPr>
          <w:color w:val="221F1F"/>
        </w:rPr>
        <w:t>Kenya</w:t>
      </w:r>
      <w:r>
        <w:rPr>
          <w:color w:val="221F1F"/>
          <w:spacing w:val="-4"/>
        </w:rPr>
        <w:t xml:space="preserve"> </w:t>
      </w:r>
      <w:r>
        <w:rPr>
          <w:color w:val="221F1F"/>
        </w:rPr>
        <w:t>Shillings</w:t>
      </w:r>
      <w:r>
        <w:rPr>
          <w:color w:val="221F1F"/>
          <w:spacing w:val="-4"/>
        </w:rPr>
        <w:t xml:space="preserve"> </w:t>
      </w:r>
      <w:r>
        <w:rPr>
          <w:color w:val="221F1F"/>
          <w:spacing w:val="-2"/>
        </w:rPr>
        <w:t>(Equivalent)...............................................................</w:t>
      </w:r>
    </w:p>
    <w:p w:rsidR="007F6DF9" w:rsidRDefault="00A43FBC">
      <w:pPr>
        <w:pStyle w:val="ListParagraph"/>
        <w:numPr>
          <w:ilvl w:val="0"/>
          <w:numId w:val="141"/>
        </w:numPr>
        <w:tabs>
          <w:tab w:val="left" w:pos="1841"/>
        </w:tabs>
        <w:spacing w:before="234"/>
        <w:ind w:hanging="566"/>
      </w:pPr>
      <w:r>
        <w:rPr>
          <w:color w:val="221F1F"/>
        </w:rPr>
        <w:t>Give</w:t>
      </w:r>
      <w:r>
        <w:rPr>
          <w:color w:val="221F1F"/>
          <w:spacing w:val="-4"/>
        </w:rPr>
        <w:t xml:space="preserve"> </w:t>
      </w:r>
      <w:r>
        <w:rPr>
          <w:color w:val="221F1F"/>
        </w:rPr>
        <w:t>details</w:t>
      </w:r>
      <w:r>
        <w:rPr>
          <w:color w:val="221F1F"/>
          <w:spacing w:val="-3"/>
        </w:rPr>
        <w:t xml:space="preserve"> </w:t>
      </w:r>
      <w:r>
        <w:rPr>
          <w:color w:val="221F1F"/>
        </w:rPr>
        <w:t>of</w:t>
      </w:r>
      <w:r>
        <w:rPr>
          <w:color w:val="221F1F"/>
          <w:spacing w:val="-2"/>
        </w:rPr>
        <w:t xml:space="preserve"> </w:t>
      </w:r>
      <w:r>
        <w:rPr>
          <w:color w:val="221F1F"/>
        </w:rPr>
        <w:t>Directors</w:t>
      </w:r>
      <w:r>
        <w:rPr>
          <w:color w:val="221F1F"/>
          <w:spacing w:val="-5"/>
        </w:rPr>
        <w:t xml:space="preserve"> </w:t>
      </w:r>
      <w:r>
        <w:rPr>
          <w:color w:val="221F1F"/>
        </w:rPr>
        <w:t>as</w:t>
      </w:r>
      <w:r>
        <w:rPr>
          <w:color w:val="221F1F"/>
          <w:spacing w:val="-5"/>
        </w:rPr>
        <w:t xml:space="preserve"> </w:t>
      </w:r>
      <w:r>
        <w:rPr>
          <w:color w:val="221F1F"/>
          <w:spacing w:val="-2"/>
        </w:rPr>
        <w:t>follows.</w:t>
      </w:r>
    </w:p>
    <w:p w:rsidR="007F6DF9" w:rsidRDefault="007F6DF9">
      <w:pPr>
        <w:pStyle w:val="BodyText"/>
        <w:spacing w:before="10"/>
        <w:rPr>
          <w:sz w:val="18"/>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989"/>
        <w:gridCol w:w="1913"/>
        <w:gridCol w:w="1916"/>
        <w:gridCol w:w="2029"/>
      </w:tblGrid>
      <w:tr w:rsidR="007F6DF9">
        <w:trPr>
          <w:trHeight w:val="253"/>
        </w:trPr>
        <w:tc>
          <w:tcPr>
            <w:tcW w:w="422" w:type="dxa"/>
            <w:shd w:val="clear" w:color="auto" w:fill="E7E6E6"/>
          </w:tcPr>
          <w:p w:rsidR="007F6DF9" w:rsidRDefault="007F6DF9">
            <w:pPr>
              <w:pStyle w:val="TableParagraph"/>
              <w:rPr>
                <w:rFonts w:ascii="Times New Roman"/>
                <w:sz w:val="18"/>
              </w:rPr>
            </w:pPr>
          </w:p>
        </w:tc>
        <w:tc>
          <w:tcPr>
            <w:tcW w:w="2989" w:type="dxa"/>
            <w:shd w:val="clear" w:color="auto" w:fill="E7E6E6"/>
          </w:tcPr>
          <w:p w:rsidR="007F6DF9" w:rsidRDefault="00A43FBC">
            <w:pPr>
              <w:pStyle w:val="TableParagraph"/>
              <w:spacing w:before="1" w:line="233" w:lineRule="exact"/>
              <w:ind w:left="106"/>
              <w:rPr>
                <w:rFonts w:ascii="Times New Roman"/>
                <w:b/>
              </w:rPr>
            </w:pPr>
            <w:r>
              <w:rPr>
                <w:rFonts w:ascii="Times New Roman"/>
                <w:b/>
              </w:rPr>
              <w:t>Names</w:t>
            </w:r>
            <w:r>
              <w:rPr>
                <w:rFonts w:ascii="Times New Roman"/>
                <w:b/>
                <w:spacing w:val="-3"/>
              </w:rPr>
              <w:t xml:space="preserve"> </w:t>
            </w:r>
            <w:r>
              <w:rPr>
                <w:rFonts w:ascii="Times New Roman"/>
                <w:b/>
              </w:rPr>
              <w:t>of</w:t>
            </w:r>
            <w:r>
              <w:rPr>
                <w:rFonts w:ascii="Times New Roman"/>
                <w:b/>
                <w:spacing w:val="-2"/>
              </w:rPr>
              <w:t xml:space="preserve"> Director</w:t>
            </w:r>
          </w:p>
        </w:tc>
        <w:tc>
          <w:tcPr>
            <w:tcW w:w="1913" w:type="dxa"/>
            <w:shd w:val="clear" w:color="auto" w:fill="E7E6E6"/>
          </w:tcPr>
          <w:p w:rsidR="007F6DF9" w:rsidRDefault="00A43FBC">
            <w:pPr>
              <w:pStyle w:val="TableParagraph"/>
              <w:spacing w:before="1" w:line="233" w:lineRule="exact"/>
              <w:ind w:left="108"/>
              <w:rPr>
                <w:rFonts w:ascii="Times New Roman"/>
                <w:b/>
              </w:rPr>
            </w:pPr>
            <w:r>
              <w:rPr>
                <w:rFonts w:ascii="Times New Roman"/>
                <w:b/>
                <w:spacing w:val="-2"/>
              </w:rPr>
              <w:t>Nationality</w:t>
            </w:r>
          </w:p>
        </w:tc>
        <w:tc>
          <w:tcPr>
            <w:tcW w:w="1916" w:type="dxa"/>
            <w:shd w:val="clear" w:color="auto" w:fill="E7E6E6"/>
          </w:tcPr>
          <w:p w:rsidR="007F6DF9" w:rsidRDefault="00A43FBC">
            <w:pPr>
              <w:pStyle w:val="TableParagraph"/>
              <w:spacing w:before="1" w:line="233" w:lineRule="exact"/>
              <w:ind w:left="108"/>
              <w:rPr>
                <w:rFonts w:ascii="Times New Roman"/>
                <w:b/>
              </w:rPr>
            </w:pPr>
            <w:r>
              <w:rPr>
                <w:rFonts w:ascii="Times New Roman"/>
                <w:b/>
                <w:spacing w:val="-2"/>
              </w:rPr>
              <w:t>Citizenship</w:t>
            </w:r>
          </w:p>
        </w:tc>
        <w:tc>
          <w:tcPr>
            <w:tcW w:w="2029" w:type="dxa"/>
            <w:shd w:val="clear" w:color="auto" w:fill="E7E6E6"/>
          </w:tcPr>
          <w:p w:rsidR="007F6DF9" w:rsidRDefault="00A43FBC">
            <w:pPr>
              <w:pStyle w:val="TableParagraph"/>
              <w:spacing w:before="1" w:line="233" w:lineRule="exact"/>
              <w:ind w:left="107"/>
              <w:rPr>
                <w:rFonts w:ascii="Times New Roman"/>
                <w:b/>
              </w:rPr>
            </w:pPr>
            <w:r>
              <w:rPr>
                <w:rFonts w:ascii="Times New Roman"/>
                <w:b/>
              </w:rPr>
              <w:t>%</w:t>
            </w:r>
            <w:r>
              <w:rPr>
                <w:rFonts w:ascii="Times New Roman"/>
                <w:b/>
                <w:spacing w:val="-4"/>
              </w:rPr>
              <w:t xml:space="preserve"> </w:t>
            </w:r>
            <w:r>
              <w:rPr>
                <w:rFonts w:ascii="Times New Roman"/>
                <w:b/>
              </w:rPr>
              <w:t>Shares</w:t>
            </w:r>
            <w:r>
              <w:rPr>
                <w:rFonts w:ascii="Times New Roman"/>
                <w:b/>
                <w:spacing w:val="-1"/>
              </w:rPr>
              <w:t xml:space="preserve"> </w:t>
            </w:r>
            <w:r>
              <w:rPr>
                <w:rFonts w:ascii="Times New Roman"/>
                <w:b/>
                <w:spacing w:val="-2"/>
              </w:rPr>
              <w:t>owned</w:t>
            </w:r>
          </w:p>
        </w:tc>
      </w:tr>
      <w:tr w:rsidR="007F6DF9">
        <w:trPr>
          <w:trHeight w:val="253"/>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1</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r w:rsidR="007F6DF9">
        <w:trPr>
          <w:trHeight w:val="251"/>
        </w:trPr>
        <w:tc>
          <w:tcPr>
            <w:tcW w:w="422" w:type="dxa"/>
          </w:tcPr>
          <w:p w:rsidR="007F6DF9" w:rsidRDefault="00A43FBC">
            <w:pPr>
              <w:pStyle w:val="TableParagraph"/>
              <w:spacing w:line="232" w:lineRule="exact"/>
              <w:ind w:right="85"/>
              <w:jc w:val="center"/>
              <w:rPr>
                <w:rFonts w:ascii="Times New Roman"/>
              </w:rPr>
            </w:pPr>
            <w:r>
              <w:rPr>
                <w:rFonts w:ascii="Times New Roman"/>
                <w:spacing w:val="-10"/>
              </w:rPr>
              <w:t>2</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r w:rsidR="007F6DF9">
        <w:trPr>
          <w:trHeight w:val="253"/>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3</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bl>
    <w:p w:rsidR="007F6DF9" w:rsidRDefault="007F6DF9">
      <w:pPr>
        <w:pStyle w:val="BodyText"/>
        <w:spacing w:before="44"/>
      </w:pPr>
    </w:p>
    <w:p w:rsidR="007F6DF9" w:rsidRDefault="00A43FBC">
      <w:pPr>
        <w:pStyle w:val="Heading9"/>
        <w:numPr>
          <w:ilvl w:val="0"/>
          <w:numId w:val="143"/>
        </w:numPr>
        <w:tabs>
          <w:tab w:val="left" w:pos="1200"/>
        </w:tabs>
        <w:ind w:left="1200" w:hanging="489"/>
      </w:pPr>
      <w:r>
        <w:rPr>
          <w:color w:val="221F1F"/>
        </w:rPr>
        <w:t>DISCLOSURE</w:t>
      </w:r>
      <w:r>
        <w:rPr>
          <w:color w:val="221F1F"/>
          <w:spacing w:val="-8"/>
        </w:rPr>
        <w:t xml:space="preserve"> </w:t>
      </w:r>
      <w:r>
        <w:rPr>
          <w:color w:val="221F1F"/>
        </w:rPr>
        <w:t>OF</w:t>
      </w:r>
      <w:r>
        <w:rPr>
          <w:color w:val="221F1F"/>
          <w:spacing w:val="-6"/>
        </w:rPr>
        <w:t xml:space="preserve"> </w:t>
      </w:r>
      <w:r>
        <w:rPr>
          <w:color w:val="221F1F"/>
        </w:rPr>
        <w:t>INTEREST</w:t>
      </w:r>
      <w:r>
        <w:rPr>
          <w:color w:val="221F1F"/>
          <w:spacing w:val="-12"/>
        </w:rPr>
        <w:t xml:space="preserve"> </w:t>
      </w:r>
      <w:r>
        <w:rPr>
          <w:color w:val="221F1F"/>
        </w:rPr>
        <w:t>-</w:t>
      </w:r>
      <w:r>
        <w:rPr>
          <w:color w:val="221F1F"/>
          <w:spacing w:val="-8"/>
        </w:rPr>
        <w:t xml:space="preserve"> </w:t>
      </w:r>
      <w:r>
        <w:rPr>
          <w:color w:val="221F1F"/>
        </w:rPr>
        <w:t>Interest</w:t>
      </w:r>
      <w:r>
        <w:rPr>
          <w:color w:val="221F1F"/>
          <w:spacing w:val="-6"/>
        </w:rPr>
        <w:t xml:space="preserve"> </w:t>
      </w:r>
      <w:r>
        <w:rPr>
          <w:color w:val="221F1F"/>
        </w:rPr>
        <w:t>of</w:t>
      </w:r>
      <w:r>
        <w:rPr>
          <w:color w:val="221F1F"/>
          <w:spacing w:val="-7"/>
        </w:rPr>
        <w:t xml:space="preserve"> </w:t>
      </w:r>
      <w:r>
        <w:rPr>
          <w:color w:val="221F1F"/>
        </w:rPr>
        <w:t>the</w:t>
      </w:r>
      <w:r>
        <w:rPr>
          <w:color w:val="221F1F"/>
          <w:spacing w:val="-5"/>
        </w:rPr>
        <w:t xml:space="preserve"> </w:t>
      </w:r>
      <w:r>
        <w:rPr>
          <w:color w:val="221F1F"/>
        </w:rPr>
        <w:t>Firm</w:t>
      </w:r>
      <w:r>
        <w:rPr>
          <w:color w:val="221F1F"/>
          <w:spacing w:val="-3"/>
        </w:rPr>
        <w:t xml:space="preserve"> </w:t>
      </w:r>
      <w:r>
        <w:rPr>
          <w:color w:val="221F1F"/>
        </w:rPr>
        <w:t>in</w:t>
      </w:r>
      <w:r>
        <w:rPr>
          <w:color w:val="221F1F"/>
          <w:spacing w:val="-8"/>
        </w:rPr>
        <w:t xml:space="preserve"> </w:t>
      </w:r>
      <w:r>
        <w:rPr>
          <w:color w:val="221F1F"/>
        </w:rPr>
        <w:t>the</w:t>
      </w:r>
      <w:r>
        <w:rPr>
          <w:color w:val="221F1F"/>
          <w:spacing w:val="-5"/>
        </w:rPr>
        <w:t xml:space="preserve"> </w:t>
      </w:r>
      <w:r>
        <w:rPr>
          <w:color w:val="221F1F"/>
        </w:rPr>
        <w:t>Procuring</w:t>
      </w:r>
      <w:r>
        <w:rPr>
          <w:color w:val="221F1F"/>
          <w:spacing w:val="-4"/>
        </w:rPr>
        <w:t xml:space="preserve"> </w:t>
      </w:r>
      <w:r>
        <w:rPr>
          <w:color w:val="221F1F"/>
          <w:spacing w:val="-2"/>
        </w:rPr>
        <w:t>Entity.</w:t>
      </w:r>
    </w:p>
    <w:p w:rsidR="007F6DF9" w:rsidRDefault="00A43FBC">
      <w:pPr>
        <w:pStyle w:val="ListParagraph"/>
        <w:numPr>
          <w:ilvl w:val="0"/>
          <w:numId w:val="140"/>
        </w:numPr>
        <w:tabs>
          <w:tab w:val="left" w:pos="1748"/>
          <w:tab w:val="left" w:leader="dot" w:pos="6364"/>
        </w:tabs>
        <w:spacing w:before="236" w:line="248" w:lineRule="exact"/>
        <w:jc w:val="left"/>
      </w:pPr>
      <w:r>
        <w:rPr>
          <w:color w:val="221F1F"/>
        </w:rPr>
        <w:t>Are</w:t>
      </w:r>
      <w:r>
        <w:rPr>
          <w:color w:val="221F1F"/>
          <w:spacing w:val="-4"/>
        </w:rPr>
        <w:t xml:space="preserve"> </w:t>
      </w:r>
      <w:r>
        <w:rPr>
          <w:color w:val="221F1F"/>
        </w:rPr>
        <w:t>there</w:t>
      </w:r>
      <w:r>
        <w:rPr>
          <w:color w:val="221F1F"/>
          <w:spacing w:val="-5"/>
        </w:rPr>
        <w:t xml:space="preserve"> </w:t>
      </w:r>
      <w:r>
        <w:rPr>
          <w:color w:val="221F1F"/>
        </w:rPr>
        <w:t>any</w:t>
      </w:r>
      <w:r>
        <w:rPr>
          <w:color w:val="221F1F"/>
          <w:spacing w:val="-4"/>
        </w:rPr>
        <w:t xml:space="preserve"> </w:t>
      </w:r>
      <w:r>
        <w:rPr>
          <w:color w:val="221F1F"/>
        </w:rPr>
        <w:t>person/persons</w:t>
      </w:r>
      <w:r>
        <w:rPr>
          <w:color w:val="221F1F"/>
          <w:spacing w:val="-2"/>
        </w:rPr>
        <w:t xml:space="preserve"> </w:t>
      </w:r>
      <w:r>
        <w:rPr>
          <w:color w:val="221F1F"/>
          <w:spacing w:val="-5"/>
        </w:rPr>
        <w:t>in</w:t>
      </w:r>
      <w:r>
        <w:rPr>
          <w:color w:val="221F1F"/>
        </w:rPr>
        <w:tab/>
        <w:t>(</w:t>
      </w:r>
      <w:r>
        <w:rPr>
          <w:i/>
          <w:color w:val="221F1F"/>
        </w:rPr>
        <w:t>Name</w:t>
      </w:r>
      <w:r>
        <w:rPr>
          <w:i/>
          <w:color w:val="221F1F"/>
          <w:spacing w:val="-6"/>
        </w:rPr>
        <w:t xml:space="preserve"> </w:t>
      </w:r>
      <w:r>
        <w:rPr>
          <w:i/>
          <w:color w:val="221F1F"/>
        </w:rPr>
        <w:t>of</w:t>
      </w:r>
      <w:r>
        <w:rPr>
          <w:i/>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5"/>
        </w:rPr>
        <w:t xml:space="preserve"> </w:t>
      </w:r>
      <w:r>
        <w:rPr>
          <w:color w:val="221F1F"/>
        </w:rPr>
        <w:t>who</w:t>
      </w:r>
      <w:r>
        <w:rPr>
          <w:color w:val="221F1F"/>
          <w:spacing w:val="-3"/>
        </w:rPr>
        <w:t xml:space="preserve"> </w:t>
      </w:r>
      <w:r>
        <w:rPr>
          <w:color w:val="221F1F"/>
        </w:rPr>
        <w:t>has/have</w:t>
      </w:r>
      <w:r>
        <w:rPr>
          <w:color w:val="221F1F"/>
          <w:spacing w:val="-5"/>
        </w:rPr>
        <w:t xml:space="preserve"> </w:t>
      </w:r>
      <w:proofErr w:type="gramStart"/>
      <w:r>
        <w:rPr>
          <w:color w:val="221F1F"/>
          <w:spacing w:val="-5"/>
        </w:rPr>
        <w:t>an</w:t>
      </w:r>
      <w:proofErr w:type="gramEnd"/>
    </w:p>
    <w:p w:rsidR="007F6DF9" w:rsidRDefault="00A43FBC">
      <w:pPr>
        <w:pStyle w:val="BodyText"/>
        <w:spacing w:line="463" w:lineRule="auto"/>
        <w:ind w:left="1748" w:right="3906" w:firstLine="4"/>
      </w:pPr>
      <w:r>
        <w:rPr>
          <w:color w:val="221F1F"/>
        </w:rPr>
        <w:t>interest</w:t>
      </w:r>
      <w:r>
        <w:rPr>
          <w:color w:val="221F1F"/>
          <w:spacing w:val="-6"/>
        </w:rPr>
        <w:t xml:space="preserve"> </w:t>
      </w:r>
      <w:r>
        <w:rPr>
          <w:color w:val="221F1F"/>
        </w:rPr>
        <w:t>or</w:t>
      </w:r>
      <w:r>
        <w:rPr>
          <w:color w:val="221F1F"/>
          <w:spacing w:val="-6"/>
        </w:rPr>
        <w:t xml:space="preserve"> </w:t>
      </w:r>
      <w:r>
        <w:rPr>
          <w:color w:val="221F1F"/>
        </w:rPr>
        <w:t>relationship</w:t>
      </w:r>
      <w:r>
        <w:rPr>
          <w:color w:val="221F1F"/>
          <w:spacing w:val="-7"/>
        </w:rPr>
        <w:t xml:space="preserve"> </w:t>
      </w:r>
      <w:r>
        <w:rPr>
          <w:color w:val="221F1F"/>
        </w:rPr>
        <w:t>in</w:t>
      </w:r>
      <w:r>
        <w:rPr>
          <w:color w:val="221F1F"/>
          <w:spacing w:val="-9"/>
        </w:rPr>
        <w:t xml:space="preserve"> </w:t>
      </w:r>
      <w:r>
        <w:rPr>
          <w:color w:val="221F1F"/>
        </w:rPr>
        <w:t>this</w:t>
      </w:r>
      <w:r>
        <w:rPr>
          <w:color w:val="221F1F"/>
          <w:spacing w:val="-6"/>
        </w:rPr>
        <w:t xml:space="preserve"> </w:t>
      </w:r>
      <w:r>
        <w:rPr>
          <w:color w:val="221F1F"/>
        </w:rPr>
        <w:t>firm?</w:t>
      </w:r>
      <w:r>
        <w:rPr>
          <w:color w:val="221F1F"/>
          <w:spacing w:val="-8"/>
        </w:rPr>
        <w:t xml:space="preserve"> </w:t>
      </w:r>
      <w:r>
        <w:rPr>
          <w:color w:val="221F1F"/>
        </w:rPr>
        <w:t>Yes/No……………………… If yes, provide details as follows.</w:t>
      </w:r>
    </w:p>
    <w:p w:rsidR="007F6DF9" w:rsidRDefault="007F6DF9">
      <w:pPr>
        <w:pStyle w:val="BodyText"/>
        <w:spacing w:before="5" w:after="1"/>
        <w:rPr>
          <w:sz w:val="7"/>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3543"/>
        <w:gridCol w:w="2551"/>
        <w:gridCol w:w="3110"/>
      </w:tblGrid>
      <w:tr w:rsidR="007F6DF9">
        <w:trPr>
          <w:trHeight w:val="506"/>
        </w:trPr>
        <w:tc>
          <w:tcPr>
            <w:tcW w:w="422" w:type="dxa"/>
            <w:shd w:val="clear" w:color="auto" w:fill="E7E6E6"/>
          </w:tcPr>
          <w:p w:rsidR="007F6DF9" w:rsidRDefault="007F6DF9">
            <w:pPr>
              <w:pStyle w:val="TableParagraph"/>
              <w:rPr>
                <w:rFonts w:ascii="Times New Roman"/>
                <w:sz w:val="20"/>
              </w:rPr>
            </w:pPr>
          </w:p>
        </w:tc>
        <w:tc>
          <w:tcPr>
            <w:tcW w:w="3543" w:type="dxa"/>
            <w:shd w:val="clear" w:color="auto" w:fill="E7E6E6"/>
          </w:tcPr>
          <w:p w:rsidR="007F6DF9" w:rsidRDefault="00A43FBC">
            <w:pPr>
              <w:pStyle w:val="TableParagraph"/>
              <w:spacing w:before="1"/>
              <w:ind w:left="106"/>
              <w:rPr>
                <w:rFonts w:ascii="Times New Roman"/>
                <w:b/>
              </w:rPr>
            </w:pPr>
            <w:r>
              <w:rPr>
                <w:rFonts w:ascii="Times New Roman"/>
                <w:b/>
              </w:rPr>
              <w:t>Names</w:t>
            </w:r>
            <w:r>
              <w:rPr>
                <w:rFonts w:ascii="Times New Roman"/>
                <w:b/>
                <w:spacing w:val="-3"/>
              </w:rPr>
              <w:t xml:space="preserve"> </w:t>
            </w:r>
            <w:r>
              <w:rPr>
                <w:rFonts w:ascii="Times New Roman"/>
                <w:b/>
              </w:rPr>
              <w:t>of</w:t>
            </w:r>
            <w:r>
              <w:rPr>
                <w:rFonts w:ascii="Times New Roman"/>
                <w:b/>
                <w:spacing w:val="-2"/>
              </w:rPr>
              <w:t xml:space="preserve"> Person</w:t>
            </w:r>
          </w:p>
        </w:tc>
        <w:tc>
          <w:tcPr>
            <w:tcW w:w="2551" w:type="dxa"/>
            <w:shd w:val="clear" w:color="auto" w:fill="E7E6E6"/>
          </w:tcPr>
          <w:p w:rsidR="007F6DF9" w:rsidRDefault="00A43FBC">
            <w:pPr>
              <w:pStyle w:val="TableParagraph"/>
              <w:spacing w:line="252" w:lineRule="exact"/>
              <w:ind w:left="106" w:right="732"/>
              <w:rPr>
                <w:rFonts w:ascii="Times New Roman"/>
                <w:b/>
              </w:rPr>
            </w:pPr>
            <w:r>
              <w:rPr>
                <w:rFonts w:ascii="Times New Roman"/>
                <w:b/>
              </w:rPr>
              <w:t>Designation</w:t>
            </w:r>
            <w:r>
              <w:rPr>
                <w:rFonts w:ascii="Times New Roman"/>
                <w:b/>
                <w:spacing w:val="-14"/>
              </w:rPr>
              <w:t xml:space="preserve"> </w:t>
            </w:r>
            <w:r>
              <w:rPr>
                <w:rFonts w:ascii="Times New Roman"/>
                <w:b/>
              </w:rPr>
              <w:t>in</w:t>
            </w:r>
            <w:r>
              <w:rPr>
                <w:rFonts w:ascii="Times New Roman"/>
                <w:b/>
                <w:spacing w:val="-14"/>
              </w:rPr>
              <w:t xml:space="preserve"> </w:t>
            </w:r>
            <w:r>
              <w:rPr>
                <w:rFonts w:ascii="Times New Roman"/>
                <w:b/>
              </w:rPr>
              <w:t>the Procuring Entity</w:t>
            </w:r>
          </w:p>
        </w:tc>
        <w:tc>
          <w:tcPr>
            <w:tcW w:w="3110" w:type="dxa"/>
            <w:shd w:val="clear" w:color="auto" w:fill="E7E6E6"/>
          </w:tcPr>
          <w:p w:rsidR="007F6DF9" w:rsidRDefault="00A43FBC">
            <w:pPr>
              <w:pStyle w:val="TableParagraph"/>
              <w:spacing w:line="252" w:lineRule="exact"/>
              <w:ind w:left="109" w:right="280"/>
              <w:rPr>
                <w:rFonts w:ascii="Times New Roman"/>
                <w:b/>
              </w:rPr>
            </w:pPr>
            <w:r>
              <w:rPr>
                <w:rFonts w:ascii="Times New Roman"/>
                <w:b/>
              </w:rPr>
              <w:t>Interest</w:t>
            </w:r>
            <w:r>
              <w:rPr>
                <w:rFonts w:ascii="Times New Roman"/>
                <w:b/>
                <w:spacing w:val="-12"/>
              </w:rPr>
              <w:t xml:space="preserve"> </w:t>
            </w:r>
            <w:r>
              <w:rPr>
                <w:rFonts w:ascii="Times New Roman"/>
                <w:b/>
              </w:rPr>
              <w:t>or</w:t>
            </w:r>
            <w:r>
              <w:rPr>
                <w:rFonts w:ascii="Times New Roman"/>
                <w:b/>
                <w:spacing w:val="-12"/>
              </w:rPr>
              <w:t xml:space="preserve"> </w:t>
            </w:r>
            <w:r>
              <w:rPr>
                <w:rFonts w:ascii="Times New Roman"/>
                <w:b/>
              </w:rPr>
              <w:t>Relationship</w:t>
            </w:r>
            <w:r>
              <w:rPr>
                <w:rFonts w:ascii="Times New Roman"/>
                <w:b/>
                <w:spacing w:val="-14"/>
              </w:rPr>
              <w:t xml:space="preserve"> </w:t>
            </w:r>
            <w:r>
              <w:rPr>
                <w:rFonts w:ascii="Times New Roman"/>
                <w:b/>
              </w:rPr>
              <w:t xml:space="preserve">with </w:t>
            </w:r>
            <w:r>
              <w:rPr>
                <w:rFonts w:ascii="Times New Roman"/>
                <w:b/>
                <w:spacing w:val="-2"/>
              </w:rPr>
              <w:t>Tenderer</w:t>
            </w:r>
          </w:p>
        </w:tc>
      </w:tr>
      <w:tr w:rsidR="007F6DF9">
        <w:trPr>
          <w:trHeight w:val="253"/>
        </w:trPr>
        <w:tc>
          <w:tcPr>
            <w:tcW w:w="422" w:type="dxa"/>
          </w:tcPr>
          <w:p w:rsidR="007F6DF9" w:rsidRDefault="00A43FBC">
            <w:pPr>
              <w:pStyle w:val="TableParagraph"/>
              <w:spacing w:before="1" w:line="233" w:lineRule="exact"/>
              <w:ind w:right="85"/>
              <w:jc w:val="center"/>
              <w:rPr>
                <w:rFonts w:ascii="Times New Roman"/>
              </w:rPr>
            </w:pPr>
            <w:r>
              <w:rPr>
                <w:rFonts w:ascii="Times New Roman"/>
                <w:spacing w:val="-10"/>
              </w:rPr>
              <w:t>1</w:t>
            </w:r>
          </w:p>
        </w:tc>
        <w:tc>
          <w:tcPr>
            <w:tcW w:w="3543" w:type="dxa"/>
          </w:tcPr>
          <w:p w:rsidR="007F6DF9" w:rsidRDefault="007F6DF9">
            <w:pPr>
              <w:pStyle w:val="TableParagraph"/>
              <w:rPr>
                <w:rFonts w:ascii="Times New Roman"/>
                <w:sz w:val="18"/>
              </w:rPr>
            </w:pPr>
          </w:p>
        </w:tc>
        <w:tc>
          <w:tcPr>
            <w:tcW w:w="2551" w:type="dxa"/>
          </w:tcPr>
          <w:p w:rsidR="007F6DF9" w:rsidRDefault="007F6DF9">
            <w:pPr>
              <w:pStyle w:val="TableParagraph"/>
              <w:rPr>
                <w:rFonts w:ascii="Times New Roman"/>
                <w:sz w:val="18"/>
              </w:rPr>
            </w:pPr>
          </w:p>
        </w:tc>
        <w:tc>
          <w:tcPr>
            <w:tcW w:w="3110" w:type="dxa"/>
          </w:tcPr>
          <w:p w:rsidR="007F6DF9" w:rsidRDefault="007F6DF9">
            <w:pPr>
              <w:pStyle w:val="TableParagraph"/>
              <w:rPr>
                <w:rFonts w:ascii="Times New Roman"/>
                <w:sz w:val="18"/>
              </w:rPr>
            </w:pPr>
          </w:p>
        </w:tc>
      </w:tr>
      <w:tr w:rsidR="007F6DF9">
        <w:trPr>
          <w:trHeight w:val="254"/>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2</w:t>
            </w:r>
          </w:p>
        </w:tc>
        <w:tc>
          <w:tcPr>
            <w:tcW w:w="3543" w:type="dxa"/>
          </w:tcPr>
          <w:p w:rsidR="007F6DF9" w:rsidRDefault="007F6DF9">
            <w:pPr>
              <w:pStyle w:val="TableParagraph"/>
              <w:rPr>
                <w:rFonts w:ascii="Times New Roman"/>
                <w:sz w:val="18"/>
              </w:rPr>
            </w:pPr>
          </w:p>
        </w:tc>
        <w:tc>
          <w:tcPr>
            <w:tcW w:w="2551" w:type="dxa"/>
          </w:tcPr>
          <w:p w:rsidR="007F6DF9" w:rsidRDefault="007F6DF9">
            <w:pPr>
              <w:pStyle w:val="TableParagraph"/>
              <w:rPr>
                <w:rFonts w:ascii="Times New Roman"/>
                <w:sz w:val="18"/>
              </w:rPr>
            </w:pPr>
          </w:p>
        </w:tc>
        <w:tc>
          <w:tcPr>
            <w:tcW w:w="3110" w:type="dxa"/>
          </w:tcPr>
          <w:p w:rsidR="007F6DF9" w:rsidRDefault="007F6DF9">
            <w:pPr>
              <w:pStyle w:val="TableParagraph"/>
              <w:rPr>
                <w:rFonts w:ascii="Times New Roman"/>
                <w:sz w:val="18"/>
              </w:rPr>
            </w:pPr>
          </w:p>
        </w:tc>
      </w:tr>
      <w:tr w:rsidR="007F6DF9">
        <w:trPr>
          <w:trHeight w:val="251"/>
        </w:trPr>
        <w:tc>
          <w:tcPr>
            <w:tcW w:w="422" w:type="dxa"/>
          </w:tcPr>
          <w:p w:rsidR="007F6DF9" w:rsidRDefault="00A43FBC">
            <w:pPr>
              <w:pStyle w:val="TableParagraph"/>
              <w:spacing w:line="232" w:lineRule="exact"/>
              <w:ind w:right="85"/>
              <w:jc w:val="center"/>
              <w:rPr>
                <w:rFonts w:ascii="Times New Roman"/>
              </w:rPr>
            </w:pPr>
            <w:r>
              <w:rPr>
                <w:rFonts w:ascii="Times New Roman"/>
                <w:spacing w:val="-10"/>
              </w:rPr>
              <w:t>3</w:t>
            </w:r>
          </w:p>
        </w:tc>
        <w:tc>
          <w:tcPr>
            <w:tcW w:w="3543" w:type="dxa"/>
          </w:tcPr>
          <w:p w:rsidR="007F6DF9" w:rsidRDefault="007F6DF9">
            <w:pPr>
              <w:pStyle w:val="TableParagraph"/>
              <w:rPr>
                <w:rFonts w:ascii="Times New Roman"/>
                <w:sz w:val="18"/>
              </w:rPr>
            </w:pPr>
          </w:p>
        </w:tc>
        <w:tc>
          <w:tcPr>
            <w:tcW w:w="2551" w:type="dxa"/>
          </w:tcPr>
          <w:p w:rsidR="007F6DF9" w:rsidRDefault="007F6DF9">
            <w:pPr>
              <w:pStyle w:val="TableParagraph"/>
              <w:rPr>
                <w:rFonts w:ascii="Times New Roman"/>
                <w:sz w:val="18"/>
              </w:rPr>
            </w:pPr>
          </w:p>
        </w:tc>
        <w:tc>
          <w:tcPr>
            <w:tcW w:w="3110" w:type="dxa"/>
          </w:tcPr>
          <w:p w:rsidR="007F6DF9" w:rsidRDefault="007F6DF9">
            <w:pPr>
              <w:pStyle w:val="TableParagraph"/>
              <w:rPr>
                <w:rFonts w:ascii="Times New Roman"/>
                <w:sz w:val="18"/>
              </w:rPr>
            </w:pPr>
          </w:p>
        </w:tc>
      </w:tr>
    </w:tbl>
    <w:p w:rsidR="007F6DF9" w:rsidRDefault="007F6DF9">
      <w:pPr>
        <w:pStyle w:val="BodyText"/>
      </w:pPr>
    </w:p>
    <w:p w:rsidR="007F6DF9" w:rsidRDefault="007F6DF9">
      <w:pPr>
        <w:pStyle w:val="BodyText"/>
      </w:pPr>
    </w:p>
    <w:p w:rsidR="007F6DF9" w:rsidRDefault="007F6DF9">
      <w:pPr>
        <w:pStyle w:val="BodyText"/>
        <w:spacing w:before="174"/>
      </w:pPr>
    </w:p>
    <w:p w:rsidR="007F6DF9" w:rsidRDefault="00A43FBC">
      <w:pPr>
        <w:pStyle w:val="Heading9"/>
        <w:tabs>
          <w:tab w:val="left" w:pos="1268"/>
        </w:tabs>
        <w:ind w:left="559" w:firstLine="0"/>
      </w:pPr>
      <w:r>
        <w:rPr>
          <w:color w:val="221F1F"/>
          <w:spacing w:val="-2"/>
        </w:rPr>
        <w:t>(iii)</w:t>
      </w:r>
      <w:r>
        <w:rPr>
          <w:color w:val="221F1F"/>
        </w:rPr>
        <w:tab/>
        <w:t>Conflict</w:t>
      </w:r>
      <w:r>
        <w:rPr>
          <w:color w:val="221F1F"/>
          <w:spacing w:val="-12"/>
        </w:rPr>
        <w:t xml:space="preserve"> </w:t>
      </w:r>
      <w:r>
        <w:rPr>
          <w:color w:val="221F1F"/>
        </w:rPr>
        <w:t>of</w:t>
      </w:r>
      <w:r>
        <w:rPr>
          <w:color w:val="221F1F"/>
          <w:spacing w:val="-9"/>
        </w:rPr>
        <w:t xml:space="preserve"> </w:t>
      </w:r>
      <w:r>
        <w:rPr>
          <w:color w:val="221F1F"/>
        </w:rPr>
        <w:t>interest</w:t>
      </w:r>
      <w:r>
        <w:rPr>
          <w:color w:val="221F1F"/>
          <w:spacing w:val="-5"/>
        </w:rPr>
        <w:t xml:space="preserve"> </w:t>
      </w:r>
      <w:r>
        <w:rPr>
          <w:color w:val="221F1F"/>
          <w:spacing w:val="-2"/>
        </w:rPr>
        <w:t>disclosure</w:t>
      </w: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3543"/>
        <w:gridCol w:w="1430"/>
        <w:gridCol w:w="4232"/>
      </w:tblGrid>
      <w:tr w:rsidR="007F6DF9">
        <w:trPr>
          <w:trHeight w:val="460"/>
        </w:trPr>
        <w:tc>
          <w:tcPr>
            <w:tcW w:w="422" w:type="dxa"/>
            <w:shd w:val="clear" w:color="auto" w:fill="E7E6E6"/>
          </w:tcPr>
          <w:p w:rsidR="007F6DF9" w:rsidRDefault="007F6DF9">
            <w:pPr>
              <w:pStyle w:val="TableParagraph"/>
              <w:rPr>
                <w:rFonts w:ascii="Times New Roman"/>
                <w:sz w:val="20"/>
              </w:rPr>
            </w:pPr>
          </w:p>
        </w:tc>
        <w:tc>
          <w:tcPr>
            <w:tcW w:w="3543" w:type="dxa"/>
            <w:shd w:val="clear" w:color="auto" w:fill="E7E6E6"/>
          </w:tcPr>
          <w:p w:rsidR="007F6DF9" w:rsidRDefault="00A43FBC">
            <w:pPr>
              <w:pStyle w:val="TableParagraph"/>
              <w:ind w:left="106"/>
              <w:rPr>
                <w:rFonts w:ascii="Times New Roman"/>
                <w:b/>
                <w:sz w:val="20"/>
              </w:rPr>
            </w:pPr>
            <w:r>
              <w:rPr>
                <w:rFonts w:ascii="Times New Roman"/>
                <w:b/>
                <w:sz w:val="20"/>
              </w:rPr>
              <w:t>Type</w:t>
            </w:r>
            <w:r>
              <w:rPr>
                <w:rFonts w:ascii="Times New Roman"/>
                <w:b/>
                <w:spacing w:val="-5"/>
                <w:sz w:val="20"/>
              </w:rPr>
              <w:t xml:space="preserve"> </w:t>
            </w:r>
            <w:r>
              <w:rPr>
                <w:rFonts w:ascii="Times New Roman"/>
                <w:b/>
                <w:sz w:val="20"/>
              </w:rPr>
              <w:t>of</w:t>
            </w:r>
            <w:r>
              <w:rPr>
                <w:rFonts w:ascii="Times New Roman"/>
                <w:b/>
                <w:spacing w:val="-2"/>
                <w:sz w:val="20"/>
              </w:rPr>
              <w:t xml:space="preserve"> Conflict</w:t>
            </w:r>
          </w:p>
        </w:tc>
        <w:tc>
          <w:tcPr>
            <w:tcW w:w="1430" w:type="dxa"/>
            <w:shd w:val="clear" w:color="auto" w:fill="E7E6E6"/>
          </w:tcPr>
          <w:p w:rsidR="007F6DF9" w:rsidRDefault="00A43FBC">
            <w:pPr>
              <w:pStyle w:val="TableParagraph"/>
              <w:spacing w:line="230" w:lineRule="atLeast"/>
              <w:ind w:left="106" w:right="76"/>
              <w:rPr>
                <w:rFonts w:ascii="Times New Roman"/>
                <w:b/>
                <w:sz w:val="20"/>
              </w:rPr>
            </w:pPr>
            <w:r>
              <w:rPr>
                <w:rFonts w:ascii="Times New Roman"/>
                <w:b/>
                <w:spacing w:val="-2"/>
                <w:sz w:val="20"/>
              </w:rPr>
              <w:t xml:space="preserve">Disclosure </w:t>
            </w:r>
            <w:r>
              <w:rPr>
                <w:rFonts w:ascii="Times New Roman"/>
                <w:b/>
                <w:sz w:val="20"/>
              </w:rPr>
              <w:t>YES</w:t>
            </w:r>
            <w:r>
              <w:rPr>
                <w:rFonts w:ascii="Times New Roman"/>
                <w:b/>
                <w:spacing w:val="-13"/>
                <w:sz w:val="20"/>
              </w:rPr>
              <w:t xml:space="preserve"> </w:t>
            </w:r>
            <w:r>
              <w:rPr>
                <w:rFonts w:ascii="Times New Roman"/>
                <w:b/>
                <w:sz w:val="20"/>
              </w:rPr>
              <w:t>OR</w:t>
            </w:r>
            <w:r>
              <w:rPr>
                <w:rFonts w:ascii="Times New Roman"/>
                <w:b/>
                <w:spacing w:val="-12"/>
                <w:sz w:val="20"/>
              </w:rPr>
              <w:t xml:space="preserve"> </w:t>
            </w:r>
            <w:r>
              <w:rPr>
                <w:rFonts w:ascii="Times New Roman"/>
                <w:b/>
                <w:sz w:val="20"/>
              </w:rPr>
              <w:t>NO</w:t>
            </w:r>
          </w:p>
        </w:tc>
        <w:tc>
          <w:tcPr>
            <w:tcW w:w="4232" w:type="dxa"/>
            <w:shd w:val="clear" w:color="auto" w:fill="E7E6E6"/>
          </w:tcPr>
          <w:p w:rsidR="007F6DF9" w:rsidRDefault="00A43FBC">
            <w:pPr>
              <w:pStyle w:val="TableParagraph"/>
              <w:spacing w:line="230" w:lineRule="atLeast"/>
              <w:ind w:left="108"/>
              <w:rPr>
                <w:rFonts w:ascii="Times New Roman"/>
                <w:b/>
                <w:sz w:val="20"/>
              </w:rPr>
            </w:pPr>
            <w:r>
              <w:rPr>
                <w:rFonts w:ascii="Times New Roman"/>
                <w:b/>
                <w:sz w:val="20"/>
              </w:rPr>
              <w:t>If</w:t>
            </w:r>
            <w:r>
              <w:rPr>
                <w:rFonts w:ascii="Times New Roman"/>
                <w:b/>
                <w:spacing w:val="-6"/>
                <w:sz w:val="20"/>
              </w:rPr>
              <w:t xml:space="preserve"> </w:t>
            </w:r>
            <w:r>
              <w:rPr>
                <w:rFonts w:ascii="Times New Roman"/>
                <w:b/>
                <w:sz w:val="20"/>
              </w:rPr>
              <w:t>YES</w:t>
            </w:r>
            <w:r>
              <w:rPr>
                <w:rFonts w:ascii="Times New Roman"/>
                <w:b/>
                <w:spacing w:val="-6"/>
                <w:sz w:val="20"/>
              </w:rPr>
              <w:t xml:space="preserve"> </w:t>
            </w:r>
            <w:r>
              <w:rPr>
                <w:rFonts w:ascii="Times New Roman"/>
                <w:b/>
                <w:sz w:val="20"/>
              </w:rPr>
              <w:t>provide</w:t>
            </w:r>
            <w:r>
              <w:rPr>
                <w:rFonts w:ascii="Times New Roman"/>
                <w:b/>
                <w:spacing w:val="-7"/>
                <w:sz w:val="20"/>
              </w:rPr>
              <w:t xml:space="preserve"> </w:t>
            </w:r>
            <w:r>
              <w:rPr>
                <w:rFonts w:ascii="Times New Roman"/>
                <w:b/>
                <w:sz w:val="20"/>
              </w:rPr>
              <w:t>details</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z w:val="20"/>
              </w:rPr>
              <w:t>the</w:t>
            </w:r>
            <w:r>
              <w:rPr>
                <w:rFonts w:ascii="Times New Roman"/>
                <w:b/>
                <w:spacing w:val="-4"/>
                <w:sz w:val="20"/>
              </w:rPr>
              <w:t xml:space="preserve"> </w:t>
            </w:r>
            <w:r>
              <w:rPr>
                <w:rFonts w:ascii="Times New Roman"/>
                <w:b/>
                <w:sz w:val="20"/>
              </w:rPr>
              <w:t>relationship</w:t>
            </w:r>
            <w:r>
              <w:rPr>
                <w:rFonts w:ascii="Times New Roman"/>
                <w:b/>
                <w:spacing w:val="-7"/>
                <w:sz w:val="20"/>
              </w:rPr>
              <w:t xml:space="preserve"> </w:t>
            </w:r>
            <w:r>
              <w:rPr>
                <w:rFonts w:ascii="Times New Roman"/>
                <w:b/>
                <w:sz w:val="20"/>
              </w:rPr>
              <w:t xml:space="preserve">with </w:t>
            </w:r>
            <w:r>
              <w:rPr>
                <w:rFonts w:ascii="Times New Roman"/>
                <w:b/>
                <w:spacing w:val="-2"/>
                <w:sz w:val="20"/>
              </w:rPr>
              <w:t>Tenderer</w:t>
            </w:r>
          </w:p>
        </w:tc>
      </w:tr>
      <w:tr w:rsidR="007F6DF9">
        <w:trPr>
          <w:trHeight w:val="1012"/>
        </w:trPr>
        <w:tc>
          <w:tcPr>
            <w:tcW w:w="422" w:type="dxa"/>
          </w:tcPr>
          <w:p w:rsidR="007F6DF9" w:rsidRDefault="00A43FBC">
            <w:pPr>
              <w:pStyle w:val="TableParagraph"/>
              <w:spacing w:line="251" w:lineRule="exact"/>
              <w:ind w:right="85"/>
              <w:jc w:val="center"/>
              <w:rPr>
                <w:rFonts w:ascii="Times New Roman"/>
              </w:rPr>
            </w:pPr>
            <w:r>
              <w:rPr>
                <w:rFonts w:ascii="Times New Roman"/>
                <w:spacing w:val="-10"/>
              </w:rPr>
              <w:t>1</w:t>
            </w:r>
          </w:p>
        </w:tc>
        <w:tc>
          <w:tcPr>
            <w:tcW w:w="3543" w:type="dxa"/>
          </w:tcPr>
          <w:p w:rsidR="007F6DF9" w:rsidRDefault="00A43FBC">
            <w:pPr>
              <w:pStyle w:val="TableParagraph"/>
              <w:ind w:left="106"/>
              <w:rPr>
                <w:rFonts w:ascii="Times New Roman"/>
              </w:rPr>
            </w:pPr>
            <w:r>
              <w:rPr>
                <w:rFonts w:ascii="Times New Roman"/>
              </w:rPr>
              <w:t>Tenderer is directly or indirectly controls,</w:t>
            </w:r>
            <w:r>
              <w:rPr>
                <w:rFonts w:ascii="Times New Roman"/>
                <w:spacing w:val="-6"/>
              </w:rPr>
              <w:t xml:space="preserve"> </w:t>
            </w:r>
            <w:r>
              <w:rPr>
                <w:rFonts w:ascii="Times New Roman"/>
              </w:rPr>
              <w:t>is</w:t>
            </w:r>
            <w:r>
              <w:rPr>
                <w:rFonts w:ascii="Times New Roman"/>
                <w:spacing w:val="-6"/>
              </w:rPr>
              <w:t xml:space="preserve"> </w:t>
            </w:r>
            <w:r>
              <w:rPr>
                <w:rFonts w:ascii="Times New Roman"/>
              </w:rPr>
              <w:t>controlled</w:t>
            </w:r>
            <w:r>
              <w:rPr>
                <w:rFonts w:ascii="Times New Roman"/>
                <w:spacing w:val="-6"/>
              </w:rPr>
              <w:t xml:space="preserve"> </w:t>
            </w:r>
            <w:r>
              <w:rPr>
                <w:rFonts w:ascii="Times New Roman"/>
              </w:rPr>
              <w:t>by</w:t>
            </w:r>
            <w:r>
              <w:rPr>
                <w:rFonts w:ascii="Times New Roman"/>
                <w:spacing w:val="-8"/>
              </w:rPr>
              <w:t xml:space="preserve"> </w:t>
            </w:r>
            <w:r>
              <w:rPr>
                <w:rFonts w:ascii="Times New Roman"/>
              </w:rPr>
              <w:t>or</w:t>
            </w:r>
            <w:r>
              <w:rPr>
                <w:rFonts w:ascii="Times New Roman"/>
                <w:spacing w:val="-8"/>
              </w:rPr>
              <w:t xml:space="preserve"> </w:t>
            </w:r>
            <w:r>
              <w:rPr>
                <w:rFonts w:ascii="Times New Roman"/>
              </w:rPr>
              <w:t>is</w:t>
            </w:r>
            <w:r>
              <w:rPr>
                <w:rFonts w:ascii="Times New Roman"/>
                <w:spacing w:val="-6"/>
              </w:rPr>
              <w:t xml:space="preserve"> </w:t>
            </w:r>
            <w:r>
              <w:rPr>
                <w:rFonts w:ascii="Times New Roman"/>
              </w:rPr>
              <w:t>under</w:t>
            </w:r>
          </w:p>
          <w:p w:rsidR="007F6DF9" w:rsidRDefault="00A43FBC">
            <w:pPr>
              <w:pStyle w:val="TableParagraph"/>
              <w:spacing w:line="254" w:lineRule="exact"/>
              <w:ind w:left="106" w:right="123"/>
              <w:rPr>
                <w:rFonts w:ascii="Times New Roman"/>
              </w:rPr>
            </w:pPr>
            <w:r>
              <w:rPr>
                <w:rFonts w:ascii="Times New Roman"/>
              </w:rPr>
              <w:t>common</w:t>
            </w:r>
            <w:r>
              <w:rPr>
                <w:rFonts w:ascii="Times New Roman"/>
                <w:spacing w:val="-14"/>
              </w:rPr>
              <w:t xml:space="preserve"> </w:t>
            </w:r>
            <w:r>
              <w:rPr>
                <w:rFonts w:ascii="Times New Roman"/>
              </w:rPr>
              <w:t>control</w:t>
            </w:r>
            <w:r>
              <w:rPr>
                <w:rFonts w:ascii="Times New Roman"/>
                <w:spacing w:val="-12"/>
              </w:rPr>
              <w:t xml:space="preserve"> </w:t>
            </w:r>
            <w:r>
              <w:rPr>
                <w:rFonts w:ascii="Times New Roman"/>
              </w:rPr>
              <w:t>with</w:t>
            </w:r>
            <w:r>
              <w:rPr>
                <w:rFonts w:ascii="Times New Roman"/>
                <w:spacing w:val="-13"/>
              </w:rPr>
              <w:t xml:space="preserve"> </w:t>
            </w:r>
            <w:r>
              <w:rPr>
                <w:rFonts w:ascii="Times New Roman"/>
              </w:rPr>
              <w:t xml:space="preserve">another </w:t>
            </w:r>
            <w:r>
              <w:rPr>
                <w:rFonts w:ascii="Times New Roman"/>
                <w:spacing w:val="-2"/>
              </w:rPr>
              <w:t>tenderer.</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755"/>
        </w:trPr>
        <w:tc>
          <w:tcPr>
            <w:tcW w:w="422" w:type="dxa"/>
          </w:tcPr>
          <w:p w:rsidR="007F6DF9" w:rsidRDefault="00A43FBC">
            <w:pPr>
              <w:pStyle w:val="TableParagraph"/>
              <w:spacing w:line="250" w:lineRule="exact"/>
              <w:ind w:right="85"/>
              <w:jc w:val="center"/>
              <w:rPr>
                <w:rFonts w:ascii="Times New Roman"/>
              </w:rPr>
            </w:pPr>
            <w:r>
              <w:rPr>
                <w:rFonts w:ascii="Times New Roman"/>
                <w:spacing w:val="-10"/>
              </w:rPr>
              <w:t>2</w:t>
            </w:r>
          </w:p>
        </w:tc>
        <w:tc>
          <w:tcPr>
            <w:tcW w:w="3543" w:type="dxa"/>
          </w:tcPr>
          <w:p w:rsidR="007F6DF9" w:rsidRDefault="00A43FBC">
            <w:pPr>
              <w:pStyle w:val="TableParagraph"/>
              <w:spacing w:line="250" w:lineRule="exact"/>
              <w:ind w:left="108"/>
              <w:rPr>
                <w:rFonts w:ascii="Times New Roman"/>
              </w:rPr>
            </w:pPr>
            <w:r>
              <w:rPr>
                <w:rFonts w:ascii="Times New Roman"/>
              </w:rPr>
              <w:t>Tenderer</w:t>
            </w:r>
            <w:r>
              <w:rPr>
                <w:rFonts w:ascii="Times New Roman"/>
                <w:spacing w:val="-5"/>
              </w:rPr>
              <w:t xml:space="preserve"> </w:t>
            </w:r>
            <w:r>
              <w:rPr>
                <w:rFonts w:ascii="Times New Roman"/>
              </w:rPr>
              <w:t>receives</w:t>
            </w:r>
            <w:r>
              <w:rPr>
                <w:rFonts w:ascii="Times New Roman"/>
                <w:spacing w:val="-3"/>
              </w:rPr>
              <w:t xml:space="preserve"> </w:t>
            </w:r>
            <w:r>
              <w:rPr>
                <w:rFonts w:ascii="Times New Roman"/>
              </w:rPr>
              <w:t>or</w:t>
            </w:r>
            <w:r>
              <w:rPr>
                <w:rFonts w:ascii="Times New Roman"/>
                <w:spacing w:val="-3"/>
              </w:rPr>
              <w:t xml:space="preserve"> </w:t>
            </w:r>
            <w:r>
              <w:rPr>
                <w:rFonts w:ascii="Times New Roman"/>
              </w:rPr>
              <w:t>has</w:t>
            </w:r>
            <w:r>
              <w:rPr>
                <w:rFonts w:ascii="Times New Roman"/>
                <w:spacing w:val="-2"/>
              </w:rPr>
              <w:t xml:space="preserve"> received</w:t>
            </w:r>
          </w:p>
          <w:p w:rsidR="007F6DF9" w:rsidRDefault="00A43FBC">
            <w:pPr>
              <w:pStyle w:val="TableParagraph"/>
              <w:spacing w:line="252" w:lineRule="exact"/>
              <w:ind w:left="108"/>
              <w:rPr>
                <w:rFonts w:ascii="Times New Roman"/>
              </w:rPr>
            </w:pPr>
            <w:r>
              <w:rPr>
                <w:rFonts w:ascii="Times New Roman"/>
              </w:rPr>
              <w:t>any</w:t>
            </w:r>
            <w:r>
              <w:rPr>
                <w:rFonts w:ascii="Times New Roman"/>
                <w:spacing w:val="-8"/>
              </w:rPr>
              <w:t xml:space="preserve"> </w:t>
            </w:r>
            <w:r>
              <w:rPr>
                <w:rFonts w:ascii="Times New Roman"/>
              </w:rPr>
              <w:t>direct</w:t>
            </w:r>
            <w:r>
              <w:rPr>
                <w:rFonts w:ascii="Times New Roman"/>
                <w:spacing w:val="-8"/>
              </w:rPr>
              <w:t xml:space="preserve"> </w:t>
            </w:r>
            <w:r>
              <w:rPr>
                <w:rFonts w:ascii="Times New Roman"/>
              </w:rPr>
              <w:t>or</w:t>
            </w:r>
            <w:r>
              <w:rPr>
                <w:rFonts w:ascii="Times New Roman"/>
                <w:spacing w:val="-8"/>
              </w:rPr>
              <w:t xml:space="preserve"> </w:t>
            </w:r>
            <w:r>
              <w:rPr>
                <w:rFonts w:ascii="Times New Roman"/>
              </w:rPr>
              <w:t>indirect</w:t>
            </w:r>
            <w:r>
              <w:rPr>
                <w:rFonts w:ascii="Times New Roman"/>
                <w:spacing w:val="-8"/>
              </w:rPr>
              <w:t xml:space="preserve"> </w:t>
            </w:r>
            <w:r>
              <w:rPr>
                <w:rFonts w:ascii="Times New Roman"/>
              </w:rPr>
              <w:t>subsidy</w:t>
            </w:r>
            <w:r>
              <w:rPr>
                <w:rFonts w:ascii="Times New Roman"/>
                <w:spacing w:val="-8"/>
              </w:rPr>
              <w:t xml:space="preserve"> </w:t>
            </w:r>
            <w:r>
              <w:rPr>
                <w:rFonts w:ascii="Times New Roman"/>
              </w:rPr>
              <w:t>from another tenderer.</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506"/>
        </w:trPr>
        <w:tc>
          <w:tcPr>
            <w:tcW w:w="422" w:type="dxa"/>
          </w:tcPr>
          <w:p w:rsidR="007F6DF9" w:rsidRDefault="00A43FBC">
            <w:pPr>
              <w:pStyle w:val="TableParagraph"/>
              <w:spacing w:before="1"/>
              <w:ind w:right="85"/>
              <w:jc w:val="center"/>
              <w:rPr>
                <w:rFonts w:ascii="Times New Roman"/>
              </w:rPr>
            </w:pPr>
            <w:r>
              <w:rPr>
                <w:rFonts w:ascii="Times New Roman"/>
                <w:spacing w:val="-10"/>
              </w:rPr>
              <w:t>3</w:t>
            </w:r>
          </w:p>
        </w:tc>
        <w:tc>
          <w:tcPr>
            <w:tcW w:w="3543" w:type="dxa"/>
          </w:tcPr>
          <w:p w:rsidR="007F6DF9" w:rsidRDefault="00A43FBC">
            <w:pPr>
              <w:pStyle w:val="TableParagraph"/>
              <w:spacing w:line="252" w:lineRule="exact"/>
              <w:ind w:left="106"/>
              <w:rPr>
                <w:rFonts w:ascii="Times New Roman"/>
              </w:rPr>
            </w:pPr>
            <w:r>
              <w:rPr>
                <w:rFonts w:ascii="Times New Roman"/>
              </w:rPr>
              <w:t>Tenderer has the same legal representative</w:t>
            </w:r>
            <w:r>
              <w:rPr>
                <w:rFonts w:ascii="Times New Roman"/>
                <w:spacing w:val="-13"/>
              </w:rPr>
              <w:t xml:space="preserve"> </w:t>
            </w:r>
            <w:r>
              <w:rPr>
                <w:rFonts w:ascii="Times New Roman"/>
              </w:rPr>
              <w:t>as</w:t>
            </w:r>
            <w:r>
              <w:rPr>
                <w:rFonts w:ascii="Times New Roman"/>
                <w:spacing w:val="-13"/>
              </w:rPr>
              <w:t xml:space="preserve"> </w:t>
            </w:r>
            <w:r>
              <w:rPr>
                <w:rFonts w:ascii="Times New Roman"/>
              </w:rPr>
              <w:t>another</w:t>
            </w:r>
            <w:r>
              <w:rPr>
                <w:rFonts w:ascii="Times New Roman"/>
                <w:spacing w:val="-13"/>
              </w:rPr>
              <w:t xml:space="preserve"> </w:t>
            </w:r>
            <w:r>
              <w:rPr>
                <w:rFonts w:ascii="Times New Roman"/>
              </w:rPr>
              <w:t>tenderer</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771"/>
        </w:trPr>
        <w:tc>
          <w:tcPr>
            <w:tcW w:w="422" w:type="dxa"/>
          </w:tcPr>
          <w:p w:rsidR="007F6DF9" w:rsidRDefault="00A43FBC">
            <w:pPr>
              <w:pStyle w:val="TableParagraph"/>
              <w:spacing w:before="1"/>
              <w:ind w:right="85"/>
              <w:jc w:val="center"/>
              <w:rPr>
                <w:rFonts w:ascii="Times New Roman"/>
              </w:rPr>
            </w:pPr>
            <w:r>
              <w:rPr>
                <w:rFonts w:ascii="Times New Roman"/>
                <w:spacing w:val="-10"/>
              </w:rPr>
              <w:t>4</w:t>
            </w:r>
          </w:p>
        </w:tc>
        <w:tc>
          <w:tcPr>
            <w:tcW w:w="3543" w:type="dxa"/>
          </w:tcPr>
          <w:p w:rsidR="007F6DF9" w:rsidRDefault="00A43FBC">
            <w:pPr>
              <w:pStyle w:val="TableParagraph"/>
              <w:spacing w:before="1"/>
              <w:ind w:left="106" w:right="123"/>
              <w:rPr>
                <w:rFonts w:ascii="Times New Roman"/>
              </w:rPr>
            </w:pPr>
            <w:r>
              <w:rPr>
                <w:rFonts w:ascii="Times New Roman"/>
              </w:rPr>
              <w:t>Tender has a relationship with another tenderer, directly or through common</w:t>
            </w:r>
            <w:r>
              <w:rPr>
                <w:rFonts w:ascii="Times New Roman"/>
                <w:spacing w:val="-7"/>
              </w:rPr>
              <w:t xml:space="preserve"> </w:t>
            </w:r>
            <w:r>
              <w:rPr>
                <w:rFonts w:ascii="Times New Roman"/>
              </w:rPr>
              <w:t>third</w:t>
            </w:r>
            <w:r>
              <w:rPr>
                <w:rFonts w:ascii="Times New Roman"/>
                <w:spacing w:val="-4"/>
              </w:rPr>
              <w:t xml:space="preserve"> </w:t>
            </w:r>
            <w:r>
              <w:rPr>
                <w:rFonts w:ascii="Times New Roman"/>
              </w:rPr>
              <w:t>parties,</w:t>
            </w:r>
            <w:r>
              <w:rPr>
                <w:rFonts w:ascii="Times New Roman"/>
                <w:spacing w:val="-7"/>
              </w:rPr>
              <w:t xml:space="preserve"> </w:t>
            </w:r>
            <w:r>
              <w:rPr>
                <w:rFonts w:ascii="Times New Roman"/>
              </w:rPr>
              <w:t>that</w:t>
            </w:r>
            <w:r>
              <w:rPr>
                <w:rFonts w:ascii="Times New Roman"/>
                <w:spacing w:val="-6"/>
              </w:rPr>
              <w:t xml:space="preserve"> </w:t>
            </w:r>
            <w:r>
              <w:rPr>
                <w:rFonts w:ascii="Times New Roman"/>
              </w:rPr>
              <w:t>puts</w:t>
            </w:r>
            <w:r>
              <w:rPr>
                <w:rFonts w:ascii="Times New Roman"/>
                <w:spacing w:val="-6"/>
              </w:rPr>
              <w:t xml:space="preserve"> </w:t>
            </w:r>
            <w:r>
              <w:rPr>
                <w:rFonts w:ascii="Times New Roman"/>
              </w:rPr>
              <w:t>it</w:t>
            </w:r>
            <w:r>
              <w:rPr>
                <w:rFonts w:ascii="Times New Roman"/>
                <w:spacing w:val="-6"/>
              </w:rPr>
              <w:t xml:space="preserve"> </w:t>
            </w:r>
            <w:r>
              <w:rPr>
                <w:rFonts w:ascii="Times New Roman"/>
              </w:rPr>
              <w:t>in</w:t>
            </w:r>
            <w:r>
              <w:rPr>
                <w:rFonts w:ascii="Times New Roman"/>
                <w:spacing w:val="-4"/>
              </w:rPr>
              <w:t xml:space="preserve"> </w:t>
            </w:r>
            <w:r>
              <w:rPr>
                <w:rFonts w:ascii="Times New Roman"/>
              </w:rPr>
              <w:t>a position to influence the tender of another tenderer, or influence the decisions of the Procuring Entity</w:t>
            </w:r>
          </w:p>
          <w:p w:rsidR="007F6DF9" w:rsidRDefault="00A43FBC">
            <w:pPr>
              <w:pStyle w:val="TableParagraph"/>
              <w:spacing w:line="233" w:lineRule="exact"/>
              <w:ind w:left="106"/>
              <w:rPr>
                <w:rFonts w:ascii="Times New Roman"/>
              </w:rPr>
            </w:pPr>
            <w:r>
              <w:rPr>
                <w:rFonts w:ascii="Times New Roman"/>
              </w:rPr>
              <w:t>regarding</w:t>
            </w:r>
            <w:r>
              <w:rPr>
                <w:rFonts w:ascii="Times New Roman"/>
                <w:spacing w:val="-4"/>
              </w:rPr>
              <w:t xml:space="preserve"> </w:t>
            </w:r>
            <w:r>
              <w:rPr>
                <w:rFonts w:ascii="Times New Roman"/>
              </w:rPr>
              <w:t>this</w:t>
            </w:r>
            <w:r>
              <w:rPr>
                <w:rFonts w:ascii="Times New Roman"/>
                <w:spacing w:val="-5"/>
              </w:rPr>
              <w:t xml:space="preserve"> </w:t>
            </w:r>
            <w:r>
              <w:rPr>
                <w:rFonts w:ascii="Times New Roman"/>
              </w:rPr>
              <w:t>tendering</w:t>
            </w:r>
            <w:r>
              <w:rPr>
                <w:rFonts w:ascii="Times New Roman"/>
                <w:spacing w:val="-6"/>
              </w:rPr>
              <w:t xml:space="preserve"> </w:t>
            </w:r>
            <w:r>
              <w:rPr>
                <w:rFonts w:ascii="Times New Roman"/>
                <w:spacing w:val="-2"/>
              </w:rPr>
              <w:t>process.</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266"/>
        </w:trPr>
        <w:tc>
          <w:tcPr>
            <w:tcW w:w="422" w:type="dxa"/>
          </w:tcPr>
          <w:p w:rsidR="007F6DF9" w:rsidRDefault="00A43FBC">
            <w:pPr>
              <w:pStyle w:val="TableParagraph"/>
              <w:spacing w:before="1"/>
              <w:ind w:right="85"/>
              <w:jc w:val="center"/>
              <w:rPr>
                <w:rFonts w:ascii="Times New Roman"/>
              </w:rPr>
            </w:pPr>
            <w:r>
              <w:rPr>
                <w:rFonts w:ascii="Times New Roman"/>
                <w:spacing w:val="-10"/>
              </w:rPr>
              <w:t>5</w:t>
            </w:r>
          </w:p>
        </w:tc>
        <w:tc>
          <w:tcPr>
            <w:tcW w:w="3543" w:type="dxa"/>
          </w:tcPr>
          <w:p w:rsidR="007F6DF9" w:rsidRDefault="00A43FBC">
            <w:pPr>
              <w:pStyle w:val="TableParagraph"/>
              <w:spacing w:before="1"/>
              <w:ind w:left="108"/>
              <w:rPr>
                <w:rFonts w:ascii="Times New Roman" w:hAnsi="Times New Roman"/>
              </w:rPr>
            </w:pPr>
            <w:r>
              <w:rPr>
                <w:rFonts w:ascii="Times New Roman" w:hAnsi="Times New Roman"/>
              </w:rPr>
              <w:t>Any of the Tenderer’s affiliates participated as a consultant in the preparation</w:t>
            </w:r>
            <w:r>
              <w:rPr>
                <w:rFonts w:ascii="Times New Roman" w:hAnsi="Times New Roman"/>
                <w:spacing w:val="-7"/>
              </w:rPr>
              <w:t xml:space="preserve"> </w:t>
            </w:r>
            <w:r>
              <w:rPr>
                <w:rFonts w:ascii="Times New Roman" w:hAnsi="Times New Roman"/>
              </w:rPr>
              <w:t>of</w:t>
            </w:r>
            <w:r>
              <w:rPr>
                <w:rFonts w:ascii="Times New Roman" w:hAnsi="Times New Roman"/>
                <w:spacing w:val="-9"/>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design</w:t>
            </w:r>
            <w:r>
              <w:rPr>
                <w:rFonts w:ascii="Times New Roman" w:hAnsi="Times New Roman"/>
                <w:spacing w:val="-7"/>
              </w:rPr>
              <w:t xml:space="preserve"> </w:t>
            </w:r>
            <w:r>
              <w:rPr>
                <w:rFonts w:ascii="Times New Roman" w:hAnsi="Times New Roman"/>
              </w:rPr>
              <w:t>or</w:t>
            </w:r>
            <w:r>
              <w:rPr>
                <w:rFonts w:ascii="Times New Roman" w:hAnsi="Times New Roman"/>
                <w:spacing w:val="-9"/>
              </w:rPr>
              <w:t xml:space="preserve"> </w:t>
            </w:r>
            <w:r>
              <w:rPr>
                <w:rFonts w:ascii="Times New Roman" w:hAnsi="Times New Roman"/>
              </w:rPr>
              <w:t>technical specifications of the works that are</w:t>
            </w:r>
          </w:p>
          <w:p w:rsidR="007F6DF9" w:rsidRDefault="00A43FBC">
            <w:pPr>
              <w:pStyle w:val="TableParagraph"/>
              <w:spacing w:line="234" w:lineRule="exact"/>
              <w:ind w:left="108"/>
              <w:rPr>
                <w:rFonts w:ascii="Times New Roman"/>
              </w:rPr>
            </w:pPr>
            <w:r>
              <w:rPr>
                <w:rFonts w:ascii="Times New Roman"/>
              </w:rPr>
              <w:t>the</w:t>
            </w:r>
            <w:r>
              <w:rPr>
                <w:rFonts w:ascii="Times New Roman"/>
                <w:spacing w:val="-2"/>
              </w:rPr>
              <w:t xml:space="preserve"> </w:t>
            </w:r>
            <w:r>
              <w:rPr>
                <w:rFonts w:ascii="Times New Roman"/>
              </w:rPr>
              <w:t>subject</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tender.</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264"/>
        </w:trPr>
        <w:tc>
          <w:tcPr>
            <w:tcW w:w="422" w:type="dxa"/>
          </w:tcPr>
          <w:p w:rsidR="007F6DF9" w:rsidRDefault="00A43FBC">
            <w:pPr>
              <w:pStyle w:val="TableParagraph"/>
              <w:spacing w:line="251" w:lineRule="exact"/>
              <w:ind w:right="85"/>
              <w:jc w:val="center"/>
              <w:rPr>
                <w:rFonts w:ascii="Times New Roman"/>
              </w:rPr>
            </w:pPr>
            <w:r>
              <w:rPr>
                <w:rFonts w:ascii="Times New Roman"/>
                <w:spacing w:val="-10"/>
              </w:rPr>
              <w:t>6</w:t>
            </w:r>
          </w:p>
        </w:tc>
        <w:tc>
          <w:tcPr>
            <w:tcW w:w="3543" w:type="dxa"/>
          </w:tcPr>
          <w:p w:rsidR="007F6DF9" w:rsidRDefault="00A43FBC">
            <w:pPr>
              <w:pStyle w:val="TableParagraph"/>
              <w:ind w:left="106"/>
              <w:rPr>
                <w:rFonts w:ascii="Times New Roman"/>
              </w:rPr>
            </w:pPr>
            <w:r>
              <w:rPr>
                <w:rFonts w:ascii="Times New Roman"/>
              </w:rPr>
              <w:t>Tenderer</w:t>
            </w:r>
            <w:r>
              <w:rPr>
                <w:rFonts w:ascii="Times New Roman"/>
                <w:spacing w:val="-9"/>
              </w:rPr>
              <w:t xml:space="preserve"> </w:t>
            </w:r>
            <w:r>
              <w:rPr>
                <w:rFonts w:ascii="Times New Roman"/>
              </w:rPr>
              <w:t>would</w:t>
            </w:r>
            <w:r>
              <w:rPr>
                <w:rFonts w:ascii="Times New Roman"/>
                <w:spacing w:val="-9"/>
              </w:rPr>
              <w:t xml:space="preserve"> </w:t>
            </w:r>
            <w:r>
              <w:rPr>
                <w:rFonts w:ascii="Times New Roman"/>
              </w:rPr>
              <w:t>be</w:t>
            </w:r>
            <w:r>
              <w:rPr>
                <w:rFonts w:ascii="Times New Roman"/>
                <w:spacing w:val="-9"/>
              </w:rPr>
              <w:t xml:space="preserve"> </w:t>
            </w:r>
            <w:r>
              <w:rPr>
                <w:rFonts w:ascii="Times New Roman"/>
              </w:rPr>
              <w:t>providing</w:t>
            </w:r>
            <w:r>
              <w:rPr>
                <w:rFonts w:ascii="Times New Roman"/>
                <w:spacing w:val="-9"/>
              </w:rPr>
              <w:t xml:space="preserve"> </w:t>
            </w:r>
            <w:r>
              <w:rPr>
                <w:rFonts w:ascii="Times New Roman"/>
              </w:rPr>
              <w:t>goods, works, non-consulting services or consulting services during implementation of the contract</w:t>
            </w:r>
          </w:p>
          <w:p w:rsidR="007F6DF9" w:rsidRDefault="00A43FBC">
            <w:pPr>
              <w:pStyle w:val="TableParagraph"/>
              <w:spacing w:line="234" w:lineRule="exact"/>
              <w:ind w:left="106"/>
              <w:rPr>
                <w:rFonts w:ascii="Times New Roman"/>
              </w:rPr>
            </w:pPr>
            <w:r>
              <w:rPr>
                <w:rFonts w:ascii="Times New Roman"/>
              </w:rPr>
              <w:t>specified</w:t>
            </w:r>
            <w:r>
              <w:rPr>
                <w:rFonts w:ascii="Times New Roman"/>
                <w:spacing w:val="-4"/>
              </w:rPr>
              <w:t xml:space="preserve"> </w:t>
            </w:r>
            <w:r>
              <w:rPr>
                <w:rFonts w:ascii="Times New Roman"/>
              </w:rPr>
              <w:t>in</w:t>
            </w:r>
            <w:r>
              <w:rPr>
                <w:rFonts w:ascii="Times New Roman"/>
                <w:spacing w:val="-5"/>
              </w:rPr>
              <w:t xml:space="preserve"> </w:t>
            </w:r>
            <w:r>
              <w:rPr>
                <w:rFonts w:ascii="Times New Roman"/>
              </w:rPr>
              <w:t>this</w:t>
            </w:r>
            <w:r>
              <w:rPr>
                <w:rFonts w:ascii="Times New Roman"/>
                <w:spacing w:val="-2"/>
              </w:rPr>
              <w:t xml:space="preserve"> </w:t>
            </w:r>
            <w:r>
              <w:rPr>
                <w:rFonts w:ascii="Times New Roman"/>
              </w:rPr>
              <w:t>Tender</w:t>
            </w:r>
            <w:r>
              <w:rPr>
                <w:rFonts w:ascii="Times New Roman"/>
                <w:spacing w:val="-1"/>
              </w:rPr>
              <w:t xml:space="preserve"> </w:t>
            </w:r>
            <w:r>
              <w:rPr>
                <w:rFonts w:ascii="Times New Roman"/>
                <w:spacing w:val="-2"/>
              </w:rPr>
              <w:t>Document.</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264"/>
        </w:trPr>
        <w:tc>
          <w:tcPr>
            <w:tcW w:w="422" w:type="dxa"/>
          </w:tcPr>
          <w:p w:rsidR="007F6DF9" w:rsidRDefault="00A43FBC">
            <w:pPr>
              <w:pStyle w:val="TableParagraph"/>
              <w:spacing w:line="251" w:lineRule="exact"/>
              <w:ind w:right="85"/>
              <w:jc w:val="center"/>
              <w:rPr>
                <w:rFonts w:ascii="Times New Roman"/>
              </w:rPr>
            </w:pPr>
            <w:r>
              <w:rPr>
                <w:rFonts w:ascii="Times New Roman"/>
                <w:spacing w:val="-10"/>
              </w:rPr>
              <w:t>7</w:t>
            </w:r>
          </w:p>
        </w:tc>
        <w:tc>
          <w:tcPr>
            <w:tcW w:w="3543" w:type="dxa"/>
          </w:tcPr>
          <w:p w:rsidR="007F6DF9" w:rsidRDefault="00A43FBC">
            <w:pPr>
              <w:pStyle w:val="TableParagraph"/>
              <w:ind w:left="197" w:right="123"/>
              <w:rPr>
                <w:rFonts w:ascii="Times New Roman"/>
              </w:rPr>
            </w:pPr>
            <w:r>
              <w:rPr>
                <w:rFonts w:ascii="Times New Roman"/>
              </w:rPr>
              <w:t>Tenderer has a close business or family relationship with a professional staff of the Procuring Entity</w:t>
            </w:r>
            <w:r>
              <w:rPr>
                <w:rFonts w:ascii="Times New Roman"/>
                <w:spacing w:val="-6"/>
              </w:rPr>
              <w:t xml:space="preserve"> </w:t>
            </w:r>
            <w:r>
              <w:rPr>
                <w:rFonts w:ascii="Times New Roman"/>
              </w:rPr>
              <w:t>who</w:t>
            </w:r>
            <w:r>
              <w:rPr>
                <w:rFonts w:ascii="Times New Roman"/>
                <w:spacing w:val="-9"/>
              </w:rPr>
              <w:t xml:space="preserve"> </w:t>
            </w:r>
            <w:r>
              <w:rPr>
                <w:rFonts w:ascii="Times New Roman"/>
              </w:rPr>
              <w:t>are</w:t>
            </w:r>
            <w:r>
              <w:rPr>
                <w:rFonts w:ascii="Times New Roman"/>
                <w:spacing w:val="-8"/>
              </w:rPr>
              <w:t xml:space="preserve"> </w:t>
            </w:r>
            <w:r>
              <w:rPr>
                <w:rFonts w:ascii="Times New Roman"/>
              </w:rPr>
              <w:t>directly</w:t>
            </w:r>
            <w:r>
              <w:rPr>
                <w:rFonts w:ascii="Times New Roman"/>
                <w:spacing w:val="-9"/>
              </w:rPr>
              <w:t xml:space="preserve"> </w:t>
            </w:r>
            <w:r>
              <w:rPr>
                <w:rFonts w:ascii="Times New Roman"/>
              </w:rPr>
              <w:t>or</w:t>
            </w:r>
            <w:r>
              <w:rPr>
                <w:rFonts w:ascii="Times New Roman"/>
                <w:spacing w:val="-8"/>
              </w:rPr>
              <w:t xml:space="preserve"> </w:t>
            </w:r>
            <w:r>
              <w:rPr>
                <w:rFonts w:ascii="Times New Roman"/>
              </w:rPr>
              <w:t>indirectly</w:t>
            </w:r>
          </w:p>
          <w:p w:rsidR="007F6DF9" w:rsidRDefault="00A43FBC">
            <w:pPr>
              <w:pStyle w:val="TableParagraph"/>
              <w:spacing w:line="233" w:lineRule="exact"/>
              <w:ind w:left="197"/>
              <w:rPr>
                <w:rFonts w:ascii="Times New Roman"/>
              </w:rPr>
            </w:pPr>
            <w:r>
              <w:rPr>
                <w:rFonts w:ascii="Times New Roman"/>
              </w:rPr>
              <w:t>involved</w:t>
            </w:r>
            <w:r>
              <w:rPr>
                <w:rFonts w:ascii="Times New Roman"/>
                <w:spacing w:val="-4"/>
              </w:rPr>
              <w:t xml:space="preserve"> </w:t>
            </w:r>
            <w:r>
              <w:rPr>
                <w:rFonts w:ascii="Times New Roman"/>
              </w:rPr>
              <w:t>in</w:t>
            </w:r>
            <w:r>
              <w:rPr>
                <w:rFonts w:ascii="Times New Roman"/>
                <w:spacing w:val="-5"/>
              </w:rPr>
              <w:t xml:space="preserve"> </w:t>
            </w:r>
            <w:r>
              <w:rPr>
                <w:rFonts w:ascii="Times New Roman"/>
              </w:rPr>
              <w:t>the</w:t>
            </w:r>
            <w:r>
              <w:rPr>
                <w:rFonts w:ascii="Times New Roman"/>
                <w:spacing w:val="-2"/>
              </w:rPr>
              <w:t xml:space="preserve"> </w:t>
            </w:r>
            <w:r>
              <w:rPr>
                <w:rFonts w:ascii="Times New Roman"/>
              </w:rPr>
              <w:t>preparation</w:t>
            </w:r>
            <w:r>
              <w:rPr>
                <w:rFonts w:ascii="Times New Roman"/>
                <w:spacing w:val="-5"/>
              </w:rPr>
              <w:t xml:space="preserve"> </w:t>
            </w:r>
            <w:r>
              <w:rPr>
                <w:rFonts w:ascii="Times New Roman"/>
              </w:rPr>
              <w:t>of</w:t>
            </w:r>
            <w:r>
              <w:rPr>
                <w:rFonts w:ascii="Times New Roman"/>
                <w:spacing w:val="-2"/>
              </w:rPr>
              <w:t xml:space="preserve"> </w:t>
            </w:r>
            <w:r>
              <w:rPr>
                <w:rFonts w:ascii="Times New Roman"/>
                <w:spacing w:val="-5"/>
              </w:rPr>
              <w:t>the</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bl>
    <w:p w:rsidR="007F6DF9" w:rsidRDefault="007F6DF9">
      <w:pPr>
        <w:pStyle w:val="TableParagraph"/>
        <w:rPr>
          <w:rFonts w:ascii="Times New Roman"/>
          <w:sz w:val="20"/>
        </w:rPr>
        <w:sectPr w:rsidR="007F6DF9">
          <w:pgSz w:w="11920" w:h="16850"/>
          <w:pgMar w:top="360" w:right="283" w:bottom="620" w:left="141" w:header="0" w:footer="437" w:gutter="0"/>
          <w:cols w:space="720"/>
        </w:sect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3543"/>
        <w:gridCol w:w="1430"/>
        <w:gridCol w:w="4232"/>
      </w:tblGrid>
      <w:tr w:rsidR="007F6DF9">
        <w:trPr>
          <w:trHeight w:val="460"/>
        </w:trPr>
        <w:tc>
          <w:tcPr>
            <w:tcW w:w="422" w:type="dxa"/>
            <w:shd w:val="clear" w:color="auto" w:fill="E7E6E6"/>
          </w:tcPr>
          <w:p w:rsidR="007F6DF9" w:rsidRDefault="007F6DF9">
            <w:pPr>
              <w:pStyle w:val="TableParagraph"/>
              <w:rPr>
                <w:rFonts w:ascii="Times New Roman"/>
                <w:sz w:val="20"/>
              </w:rPr>
            </w:pPr>
          </w:p>
        </w:tc>
        <w:tc>
          <w:tcPr>
            <w:tcW w:w="3543" w:type="dxa"/>
            <w:shd w:val="clear" w:color="auto" w:fill="E7E6E6"/>
          </w:tcPr>
          <w:p w:rsidR="007F6DF9" w:rsidRDefault="00A43FBC">
            <w:pPr>
              <w:pStyle w:val="TableParagraph"/>
              <w:spacing w:line="225" w:lineRule="exact"/>
              <w:ind w:left="106"/>
              <w:rPr>
                <w:rFonts w:ascii="Times New Roman"/>
                <w:b/>
                <w:sz w:val="20"/>
              </w:rPr>
            </w:pPr>
            <w:r>
              <w:rPr>
                <w:rFonts w:ascii="Times New Roman"/>
                <w:b/>
                <w:sz w:val="20"/>
              </w:rPr>
              <w:t>Type</w:t>
            </w:r>
            <w:r>
              <w:rPr>
                <w:rFonts w:ascii="Times New Roman"/>
                <w:b/>
                <w:spacing w:val="-5"/>
                <w:sz w:val="20"/>
              </w:rPr>
              <w:t xml:space="preserve"> </w:t>
            </w:r>
            <w:r>
              <w:rPr>
                <w:rFonts w:ascii="Times New Roman"/>
                <w:b/>
                <w:sz w:val="20"/>
              </w:rPr>
              <w:t>of</w:t>
            </w:r>
            <w:r>
              <w:rPr>
                <w:rFonts w:ascii="Times New Roman"/>
                <w:b/>
                <w:spacing w:val="-2"/>
                <w:sz w:val="20"/>
              </w:rPr>
              <w:t xml:space="preserve"> Conflict</w:t>
            </w:r>
          </w:p>
        </w:tc>
        <w:tc>
          <w:tcPr>
            <w:tcW w:w="1430" w:type="dxa"/>
            <w:shd w:val="clear" w:color="auto" w:fill="E7E6E6"/>
          </w:tcPr>
          <w:p w:rsidR="007F6DF9" w:rsidRDefault="00A43FBC">
            <w:pPr>
              <w:pStyle w:val="TableParagraph"/>
              <w:spacing w:line="225" w:lineRule="exact"/>
              <w:ind w:left="106"/>
              <w:rPr>
                <w:rFonts w:ascii="Times New Roman"/>
                <w:b/>
                <w:sz w:val="20"/>
              </w:rPr>
            </w:pPr>
            <w:r>
              <w:rPr>
                <w:rFonts w:ascii="Times New Roman"/>
                <w:b/>
                <w:spacing w:val="-2"/>
                <w:sz w:val="20"/>
              </w:rPr>
              <w:t>Disclosure</w:t>
            </w:r>
          </w:p>
          <w:p w:rsidR="007F6DF9" w:rsidRDefault="00A43FBC">
            <w:pPr>
              <w:pStyle w:val="TableParagraph"/>
              <w:spacing w:line="215" w:lineRule="exact"/>
              <w:ind w:left="106"/>
              <w:rPr>
                <w:rFonts w:ascii="Times New Roman"/>
                <w:b/>
                <w:sz w:val="20"/>
              </w:rPr>
            </w:pPr>
            <w:r>
              <w:rPr>
                <w:rFonts w:ascii="Times New Roman"/>
                <w:b/>
                <w:sz w:val="20"/>
              </w:rPr>
              <w:t>YES</w:t>
            </w:r>
            <w:r>
              <w:rPr>
                <w:rFonts w:ascii="Times New Roman"/>
                <w:b/>
                <w:spacing w:val="-5"/>
                <w:sz w:val="20"/>
              </w:rPr>
              <w:t xml:space="preserve"> </w:t>
            </w:r>
            <w:r>
              <w:rPr>
                <w:rFonts w:ascii="Times New Roman"/>
                <w:b/>
                <w:sz w:val="20"/>
              </w:rPr>
              <w:t>OR</w:t>
            </w:r>
            <w:r>
              <w:rPr>
                <w:rFonts w:ascii="Times New Roman"/>
                <w:b/>
                <w:spacing w:val="-3"/>
                <w:sz w:val="20"/>
              </w:rPr>
              <w:t xml:space="preserve"> </w:t>
            </w:r>
            <w:r>
              <w:rPr>
                <w:rFonts w:ascii="Times New Roman"/>
                <w:b/>
                <w:spacing w:val="-5"/>
                <w:sz w:val="20"/>
              </w:rPr>
              <w:t>NO</w:t>
            </w:r>
          </w:p>
        </w:tc>
        <w:tc>
          <w:tcPr>
            <w:tcW w:w="4232" w:type="dxa"/>
            <w:shd w:val="clear" w:color="auto" w:fill="E7E6E6"/>
          </w:tcPr>
          <w:p w:rsidR="007F6DF9" w:rsidRDefault="00A43FBC">
            <w:pPr>
              <w:pStyle w:val="TableParagraph"/>
              <w:spacing w:line="225" w:lineRule="exact"/>
              <w:ind w:left="108"/>
              <w:rPr>
                <w:rFonts w:ascii="Times New Roman"/>
                <w:b/>
                <w:sz w:val="20"/>
              </w:rPr>
            </w:pPr>
            <w:r>
              <w:rPr>
                <w:rFonts w:ascii="Times New Roman"/>
                <w:b/>
                <w:sz w:val="20"/>
              </w:rPr>
              <w:t>If</w:t>
            </w:r>
            <w:r>
              <w:rPr>
                <w:rFonts w:ascii="Times New Roman"/>
                <w:b/>
                <w:spacing w:val="-7"/>
                <w:sz w:val="20"/>
              </w:rPr>
              <w:t xml:space="preserve"> </w:t>
            </w:r>
            <w:r>
              <w:rPr>
                <w:rFonts w:ascii="Times New Roman"/>
                <w:b/>
                <w:sz w:val="20"/>
              </w:rPr>
              <w:t>YES</w:t>
            </w:r>
            <w:r>
              <w:rPr>
                <w:rFonts w:ascii="Times New Roman"/>
                <w:b/>
                <w:spacing w:val="-4"/>
                <w:sz w:val="20"/>
              </w:rPr>
              <w:t xml:space="preserve"> </w:t>
            </w:r>
            <w:r>
              <w:rPr>
                <w:rFonts w:ascii="Times New Roman"/>
                <w:b/>
                <w:sz w:val="20"/>
              </w:rPr>
              <w:t>provide</w:t>
            </w:r>
            <w:r>
              <w:rPr>
                <w:rFonts w:ascii="Times New Roman"/>
                <w:b/>
                <w:spacing w:val="-5"/>
                <w:sz w:val="20"/>
              </w:rPr>
              <w:t xml:space="preserve"> </w:t>
            </w:r>
            <w:r>
              <w:rPr>
                <w:rFonts w:ascii="Times New Roman"/>
                <w:b/>
                <w:sz w:val="20"/>
              </w:rPr>
              <w:t>details</w:t>
            </w:r>
            <w:r>
              <w:rPr>
                <w:rFonts w:ascii="Times New Roman"/>
                <w:b/>
                <w:spacing w:val="-6"/>
                <w:sz w:val="20"/>
              </w:rPr>
              <w:t xml:space="preserve"> </w:t>
            </w:r>
            <w:r>
              <w:rPr>
                <w:rFonts w:ascii="Times New Roman"/>
                <w:b/>
                <w:sz w:val="20"/>
              </w:rPr>
              <w:t>of</w:t>
            </w:r>
            <w:r>
              <w:rPr>
                <w:rFonts w:ascii="Times New Roman"/>
                <w:b/>
                <w:spacing w:val="-4"/>
                <w:sz w:val="20"/>
              </w:rPr>
              <w:t xml:space="preserve"> </w:t>
            </w:r>
            <w:r>
              <w:rPr>
                <w:rFonts w:ascii="Times New Roman"/>
                <w:b/>
                <w:sz w:val="20"/>
              </w:rPr>
              <w:t>the</w:t>
            </w:r>
            <w:r>
              <w:rPr>
                <w:rFonts w:ascii="Times New Roman"/>
                <w:b/>
                <w:spacing w:val="-2"/>
                <w:sz w:val="20"/>
              </w:rPr>
              <w:t xml:space="preserve"> </w:t>
            </w:r>
            <w:r>
              <w:rPr>
                <w:rFonts w:ascii="Times New Roman"/>
                <w:b/>
                <w:sz w:val="20"/>
              </w:rPr>
              <w:t>relationship</w:t>
            </w:r>
            <w:r>
              <w:rPr>
                <w:rFonts w:ascii="Times New Roman"/>
                <w:b/>
                <w:spacing w:val="-5"/>
                <w:sz w:val="20"/>
              </w:rPr>
              <w:t xml:space="preserve"> </w:t>
            </w:r>
            <w:r>
              <w:rPr>
                <w:rFonts w:ascii="Times New Roman"/>
                <w:b/>
                <w:spacing w:val="-4"/>
                <w:sz w:val="20"/>
              </w:rPr>
              <w:t>with</w:t>
            </w:r>
          </w:p>
          <w:p w:rsidR="007F6DF9" w:rsidRDefault="00A43FBC">
            <w:pPr>
              <w:pStyle w:val="TableParagraph"/>
              <w:spacing w:line="215" w:lineRule="exact"/>
              <w:ind w:left="108"/>
              <w:rPr>
                <w:rFonts w:ascii="Times New Roman"/>
                <w:b/>
                <w:sz w:val="20"/>
              </w:rPr>
            </w:pPr>
            <w:r>
              <w:rPr>
                <w:rFonts w:ascii="Times New Roman"/>
                <w:b/>
                <w:spacing w:val="-2"/>
                <w:sz w:val="20"/>
              </w:rPr>
              <w:t>Tenderer</w:t>
            </w:r>
          </w:p>
        </w:tc>
      </w:tr>
      <w:tr w:rsidR="007F6DF9">
        <w:trPr>
          <w:trHeight w:val="758"/>
        </w:trPr>
        <w:tc>
          <w:tcPr>
            <w:tcW w:w="422" w:type="dxa"/>
          </w:tcPr>
          <w:p w:rsidR="007F6DF9" w:rsidRDefault="007F6DF9">
            <w:pPr>
              <w:pStyle w:val="TableParagraph"/>
              <w:rPr>
                <w:rFonts w:ascii="Times New Roman"/>
                <w:sz w:val="20"/>
              </w:rPr>
            </w:pPr>
          </w:p>
        </w:tc>
        <w:tc>
          <w:tcPr>
            <w:tcW w:w="3543" w:type="dxa"/>
          </w:tcPr>
          <w:p w:rsidR="007F6DF9" w:rsidRDefault="00A43FBC">
            <w:pPr>
              <w:pStyle w:val="TableParagraph"/>
              <w:ind w:left="197" w:right="197"/>
              <w:rPr>
                <w:rFonts w:ascii="Times New Roman"/>
              </w:rPr>
            </w:pPr>
            <w:r>
              <w:rPr>
                <w:rFonts w:ascii="Times New Roman"/>
              </w:rPr>
              <w:t>Tender</w:t>
            </w:r>
            <w:r>
              <w:rPr>
                <w:rFonts w:ascii="Times New Roman"/>
                <w:spacing w:val="-13"/>
              </w:rPr>
              <w:t xml:space="preserve"> </w:t>
            </w:r>
            <w:r>
              <w:rPr>
                <w:rFonts w:ascii="Times New Roman"/>
              </w:rPr>
              <w:t>document</w:t>
            </w:r>
            <w:r>
              <w:rPr>
                <w:rFonts w:ascii="Times New Roman"/>
                <w:spacing w:val="-11"/>
              </w:rPr>
              <w:t xml:space="preserve"> </w:t>
            </w:r>
            <w:r>
              <w:rPr>
                <w:rFonts w:ascii="Times New Roman"/>
              </w:rPr>
              <w:t>or</w:t>
            </w:r>
            <w:r>
              <w:rPr>
                <w:rFonts w:ascii="Times New Roman"/>
                <w:spacing w:val="-12"/>
              </w:rPr>
              <w:t xml:space="preserve"> </w:t>
            </w:r>
            <w:r>
              <w:rPr>
                <w:rFonts w:ascii="Times New Roman"/>
              </w:rPr>
              <w:t>specifications of the Contract, and/or the Tender</w:t>
            </w:r>
          </w:p>
          <w:p w:rsidR="007F6DF9" w:rsidRDefault="00A43FBC">
            <w:pPr>
              <w:pStyle w:val="TableParagraph"/>
              <w:spacing w:line="238" w:lineRule="exact"/>
              <w:ind w:left="197"/>
              <w:rPr>
                <w:rFonts w:ascii="Times New Roman"/>
              </w:rPr>
            </w:pPr>
            <w:r>
              <w:rPr>
                <w:rFonts w:ascii="Times New Roman"/>
              </w:rPr>
              <w:t>evaluation</w:t>
            </w:r>
            <w:r>
              <w:rPr>
                <w:rFonts w:ascii="Times New Roman"/>
                <w:spacing w:val="-4"/>
              </w:rPr>
              <w:t xml:space="preserve"> </w:t>
            </w:r>
            <w:r>
              <w:rPr>
                <w:rFonts w:ascii="Times New Roman"/>
              </w:rPr>
              <w:t>process</w:t>
            </w:r>
            <w:r>
              <w:rPr>
                <w:rFonts w:ascii="Times New Roman"/>
                <w:spacing w:val="-4"/>
              </w:rPr>
              <w:t xml:space="preserve"> </w:t>
            </w:r>
            <w:r>
              <w:rPr>
                <w:rFonts w:ascii="Times New Roman"/>
              </w:rPr>
              <w:t>of</w:t>
            </w:r>
            <w:r>
              <w:rPr>
                <w:rFonts w:ascii="Times New Roman"/>
                <w:spacing w:val="-3"/>
              </w:rPr>
              <w:t xml:space="preserve"> </w:t>
            </w:r>
            <w:r>
              <w:rPr>
                <w:rFonts w:ascii="Times New Roman"/>
              </w:rPr>
              <w:t>such</w:t>
            </w:r>
            <w:r>
              <w:rPr>
                <w:rFonts w:ascii="Times New Roman"/>
                <w:spacing w:val="-4"/>
              </w:rPr>
              <w:t xml:space="preserve"> </w:t>
            </w:r>
            <w:r>
              <w:rPr>
                <w:rFonts w:ascii="Times New Roman"/>
                <w:spacing w:val="-2"/>
              </w:rPr>
              <w:t>contract.</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518"/>
        </w:trPr>
        <w:tc>
          <w:tcPr>
            <w:tcW w:w="422" w:type="dxa"/>
          </w:tcPr>
          <w:p w:rsidR="007F6DF9" w:rsidRDefault="00A43FBC">
            <w:pPr>
              <w:pStyle w:val="TableParagraph"/>
              <w:spacing w:line="247" w:lineRule="exact"/>
              <w:ind w:right="85"/>
              <w:jc w:val="center"/>
              <w:rPr>
                <w:rFonts w:ascii="Times New Roman"/>
              </w:rPr>
            </w:pPr>
            <w:r>
              <w:rPr>
                <w:rFonts w:ascii="Times New Roman"/>
                <w:spacing w:val="-10"/>
              </w:rPr>
              <w:t>8</w:t>
            </w:r>
          </w:p>
        </w:tc>
        <w:tc>
          <w:tcPr>
            <w:tcW w:w="3543" w:type="dxa"/>
          </w:tcPr>
          <w:p w:rsidR="007F6DF9" w:rsidRDefault="00A43FBC">
            <w:pPr>
              <w:pStyle w:val="TableParagraph"/>
              <w:ind w:left="197" w:right="123"/>
              <w:rPr>
                <w:rFonts w:ascii="Times New Roman"/>
              </w:rPr>
            </w:pPr>
            <w:r>
              <w:rPr>
                <w:rFonts w:ascii="Times New Roman"/>
              </w:rPr>
              <w:t>Tenderer has a close business or family relationship with a professional</w:t>
            </w:r>
            <w:r>
              <w:rPr>
                <w:rFonts w:ascii="Times New Roman"/>
                <w:spacing w:val="-7"/>
              </w:rPr>
              <w:t xml:space="preserve"> </w:t>
            </w:r>
            <w:r>
              <w:rPr>
                <w:rFonts w:ascii="Times New Roman"/>
              </w:rPr>
              <w:t>staff</w:t>
            </w:r>
            <w:r>
              <w:rPr>
                <w:rFonts w:ascii="Times New Roman"/>
                <w:spacing w:val="-8"/>
              </w:rPr>
              <w:t xml:space="preserve"> </w:t>
            </w:r>
            <w:r>
              <w:rPr>
                <w:rFonts w:ascii="Times New Roman"/>
              </w:rPr>
              <w:t>of</w:t>
            </w:r>
            <w:r>
              <w:rPr>
                <w:rFonts w:ascii="Times New Roman"/>
                <w:spacing w:val="-8"/>
              </w:rPr>
              <w:t xml:space="preserve"> </w:t>
            </w:r>
            <w:r>
              <w:rPr>
                <w:rFonts w:ascii="Times New Roman"/>
              </w:rPr>
              <w:t>the</w:t>
            </w:r>
            <w:r>
              <w:rPr>
                <w:rFonts w:ascii="Times New Roman"/>
                <w:spacing w:val="-8"/>
              </w:rPr>
              <w:t xml:space="preserve"> </w:t>
            </w:r>
            <w:r>
              <w:rPr>
                <w:rFonts w:ascii="Times New Roman"/>
              </w:rPr>
              <w:t>Procuring Entity</w:t>
            </w:r>
            <w:r>
              <w:rPr>
                <w:rFonts w:ascii="Times New Roman"/>
                <w:spacing w:val="-3"/>
              </w:rPr>
              <w:t xml:space="preserve"> </w:t>
            </w:r>
            <w:r>
              <w:rPr>
                <w:rFonts w:ascii="Times New Roman"/>
              </w:rPr>
              <w:t>who</w:t>
            </w:r>
            <w:r>
              <w:rPr>
                <w:rFonts w:ascii="Times New Roman"/>
                <w:spacing w:val="-2"/>
              </w:rPr>
              <w:t xml:space="preserve"> </w:t>
            </w:r>
            <w:r>
              <w:rPr>
                <w:rFonts w:ascii="Times New Roman"/>
              </w:rPr>
              <w:t>would</w:t>
            </w:r>
            <w:r>
              <w:rPr>
                <w:rFonts w:ascii="Times New Roman"/>
                <w:spacing w:val="-2"/>
              </w:rPr>
              <w:t xml:space="preserve"> </w:t>
            </w:r>
            <w:r>
              <w:rPr>
                <w:rFonts w:ascii="Times New Roman"/>
              </w:rPr>
              <w:t>be</w:t>
            </w:r>
            <w:r>
              <w:rPr>
                <w:rFonts w:ascii="Times New Roman"/>
                <w:spacing w:val="75"/>
                <w:w w:val="150"/>
              </w:rPr>
              <w:t xml:space="preserve"> </w:t>
            </w:r>
            <w:r>
              <w:rPr>
                <w:rFonts w:ascii="Times New Roman"/>
              </w:rPr>
              <w:t>involved</w:t>
            </w:r>
            <w:r>
              <w:rPr>
                <w:rFonts w:ascii="Times New Roman"/>
                <w:spacing w:val="-4"/>
              </w:rPr>
              <w:t xml:space="preserve"> </w:t>
            </w:r>
            <w:r>
              <w:rPr>
                <w:rFonts w:ascii="Times New Roman"/>
                <w:spacing w:val="-5"/>
              </w:rPr>
              <w:t>in</w:t>
            </w:r>
          </w:p>
          <w:p w:rsidR="007F6DF9" w:rsidRDefault="00A43FBC">
            <w:pPr>
              <w:pStyle w:val="TableParagraph"/>
              <w:spacing w:line="252" w:lineRule="exact"/>
              <w:ind w:left="197" w:right="197"/>
              <w:rPr>
                <w:rFonts w:ascii="Times New Roman"/>
              </w:rPr>
            </w:pPr>
            <w:r>
              <w:rPr>
                <w:rFonts w:ascii="Times New Roman"/>
              </w:rPr>
              <w:t>the</w:t>
            </w:r>
            <w:r>
              <w:rPr>
                <w:rFonts w:ascii="Times New Roman"/>
                <w:spacing w:val="-13"/>
              </w:rPr>
              <w:t xml:space="preserve"> </w:t>
            </w:r>
            <w:r>
              <w:rPr>
                <w:rFonts w:ascii="Times New Roman"/>
              </w:rPr>
              <w:t>implementation</w:t>
            </w:r>
            <w:r>
              <w:rPr>
                <w:rFonts w:ascii="Times New Roman"/>
                <w:spacing w:val="-11"/>
              </w:rPr>
              <w:t xml:space="preserve"> </w:t>
            </w:r>
            <w:r>
              <w:rPr>
                <w:rFonts w:ascii="Times New Roman"/>
              </w:rPr>
              <w:t>or</w:t>
            </w:r>
            <w:r>
              <w:rPr>
                <w:rFonts w:ascii="Times New Roman"/>
                <w:spacing w:val="-13"/>
              </w:rPr>
              <w:t xml:space="preserve"> </w:t>
            </w:r>
            <w:r>
              <w:rPr>
                <w:rFonts w:ascii="Times New Roman"/>
              </w:rPr>
              <w:t>supervision of the such Contract.</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771"/>
        </w:trPr>
        <w:tc>
          <w:tcPr>
            <w:tcW w:w="422" w:type="dxa"/>
          </w:tcPr>
          <w:p w:rsidR="007F6DF9" w:rsidRDefault="00A43FBC">
            <w:pPr>
              <w:pStyle w:val="TableParagraph"/>
              <w:spacing w:line="247" w:lineRule="exact"/>
              <w:ind w:right="85"/>
              <w:jc w:val="center"/>
              <w:rPr>
                <w:rFonts w:ascii="Times New Roman"/>
              </w:rPr>
            </w:pPr>
            <w:r>
              <w:rPr>
                <w:rFonts w:ascii="Times New Roman"/>
                <w:spacing w:val="-10"/>
              </w:rPr>
              <w:t>9</w:t>
            </w:r>
          </w:p>
        </w:tc>
        <w:tc>
          <w:tcPr>
            <w:tcW w:w="3543" w:type="dxa"/>
          </w:tcPr>
          <w:p w:rsidR="007F6DF9" w:rsidRDefault="00A43FBC">
            <w:pPr>
              <w:pStyle w:val="TableParagraph"/>
              <w:ind w:left="197" w:right="197"/>
              <w:rPr>
                <w:rFonts w:ascii="Times New Roman"/>
              </w:rPr>
            </w:pPr>
            <w:r>
              <w:rPr>
                <w:rFonts w:ascii="Times New Roman"/>
              </w:rPr>
              <w:t>Has the conflict stemming from such relationship stated in item 7 and 8 above been resolved in a manner</w:t>
            </w:r>
            <w:r>
              <w:rPr>
                <w:rFonts w:ascii="Times New Roman"/>
                <w:spacing w:val="-10"/>
              </w:rPr>
              <w:t xml:space="preserve"> </w:t>
            </w:r>
            <w:r>
              <w:rPr>
                <w:rFonts w:ascii="Times New Roman"/>
              </w:rPr>
              <w:t>acceptable</w:t>
            </w:r>
            <w:r>
              <w:rPr>
                <w:rFonts w:ascii="Times New Roman"/>
                <w:spacing w:val="-10"/>
              </w:rPr>
              <w:t xml:space="preserve"> </w:t>
            </w:r>
            <w:r>
              <w:rPr>
                <w:rFonts w:ascii="Times New Roman"/>
              </w:rPr>
              <w:t>to</w:t>
            </w:r>
            <w:r>
              <w:rPr>
                <w:rFonts w:ascii="Times New Roman"/>
                <w:spacing w:val="-11"/>
              </w:rPr>
              <w:t xml:space="preserve"> </w:t>
            </w:r>
            <w:r>
              <w:rPr>
                <w:rFonts w:ascii="Times New Roman"/>
              </w:rPr>
              <w:t>the</w:t>
            </w:r>
            <w:r>
              <w:rPr>
                <w:rFonts w:ascii="Times New Roman"/>
                <w:spacing w:val="-8"/>
              </w:rPr>
              <w:t xml:space="preserve"> </w:t>
            </w:r>
            <w:r>
              <w:rPr>
                <w:rFonts w:ascii="Times New Roman"/>
              </w:rPr>
              <w:t>Procuring Entity throughout the tendering process and execution of the</w:t>
            </w:r>
          </w:p>
          <w:p w:rsidR="007F6DF9" w:rsidRDefault="00A43FBC">
            <w:pPr>
              <w:pStyle w:val="TableParagraph"/>
              <w:spacing w:line="240" w:lineRule="exact"/>
              <w:ind w:left="197"/>
              <w:rPr>
                <w:rFonts w:ascii="Times New Roman"/>
              </w:rPr>
            </w:pPr>
            <w:r>
              <w:rPr>
                <w:rFonts w:ascii="Times New Roman"/>
                <w:spacing w:val="-2"/>
              </w:rPr>
              <w:t>Contract.</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bl>
    <w:p w:rsidR="007F6DF9" w:rsidRDefault="007F6DF9">
      <w:pPr>
        <w:pStyle w:val="BodyText"/>
        <w:rPr>
          <w:b/>
        </w:rPr>
      </w:pPr>
    </w:p>
    <w:p w:rsidR="007F6DF9" w:rsidRDefault="007F6DF9">
      <w:pPr>
        <w:pStyle w:val="BodyText"/>
        <w:rPr>
          <w:b/>
        </w:rPr>
      </w:pPr>
    </w:p>
    <w:p w:rsidR="007F6DF9" w:rsidRDefault="007F6DF9">
      <w:pPr>
        <w:pStyle w:val="BodyText"/>
        <w:spacing w:before="222"/>
        <w:rPr>
          <w:b/>
        </w:rPr>
      </w:pPr>
    </w:p>
    <w:p w:rsidR="007F6DF9" w:rsidRDefault="00A43FBC">
      <w:pPr>
        <w:pStyle w:val="Heading9"/>
        <w:spacing w:before="1"/>
        <w:ind w:left="699" w:firstLine="0"/>
      </w:pPr>
      <w:r>
        <w:rPr>
          <w:color w:val="221F1F"/>
          <w:spacing w:val="-2"/>
        </w:rPr>
        <w:t>Certification</w:t>
      </w:r>
    </w:p>
    <w:p w:rsidR="007F6DF9" w:rsidRDefault="00A43FBC">
      <w:pPr>
        <w:pStyle w:val="BodyText"/>
        <w:spacing w:before="242" w:line="230" w:lineRule="auto"/>
        <w:ind w:left="699"/>
      </w:pPr>
      <w:r>
        <w:rPr>
          <w:color w:val="221F1F"/>
        </w:rPr>
        <w:t>On</w:t>
      </w:r>
      <w:r>
        <w:rPr>
          <w:color w:val="221F1F"/>
          <w:spacing w:val="-2"/>
        </w:rPr>
        <w:t xml:space="preserve"> </w:t>
      </w:r>
      <w:r>
        <w:rPr>
          <w:color w:val="221F1F"/>
        </w:rPr>
        <w:t>behalf</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Tenderer,</w:t>
      </w:r>
      <w:r>
        <w:rPr>
          <w:color w:val="221F1F"/>
          <w:spacing w:val="-9"/>
        </w:rPr>
        <w:t xml:space="preserve"> </w:t>
      </w:r>
      <w:r>
        <w:rPr>
          <w:color w:val="221F1F"/>
        </w:rPr>
        <w:t>I</w:t>
      </w:r>
      <w:r>
        <w:rPr>
          <w:color w:val="221F1F"/>
          <w:spacing w:val="-4"/>
        </w:rPr>
        <w:t xml:space="preserve"> </w:t>
      </w:r>
      <w:r>
        <w:rPr>
          <w:color w:val="221F1F"/>
        </w:rPr>
        <w:t>certify</w:t>
      </w:r>
      <w:r>
        <w:rPr>
          <w:color w:val="221F1F"/>
          <w:spacing w:val="-1"/>
        </w:rPr>
        <w:t xml:space="preserve"> </w:t>
      </w:r>
      <w:r>
        <w:rPr>
          <w:color w:val="221F1F"/>
        </w:rPr>
        <w:t>that</w:t>
      </w:r>
      <w:r>
        <w:rPr>
          <w:color w:val="221F1F"/>
          <w:spacing w:val="-3"/>
        </w:rPr>
        <w:t xml:space="preserve"> </w:t>
      </w:r>
      <w:r>
        <w:rPr>
          <w:color w:val="221F1F"/>
        </w:rPr>
        <w:t>the</w:t>
      </w:r>
      <w:r>
        <w:rPr>
          <w:color w:val="221F1F"/>
          <w:spacing w:val="-2"/>
        </w:rPr>
        <w:t xml:space="preserve"> </w:t>
      </w:r>
      <w:r>
        <w:rPr>
          <w:color w:val="221F1F"/>
        </w:rPr>
        <w:t>information</w:t>
      </w:r>
      <w:r>
        <w:rPr>
          <w:color w:val="221F1F"/>
          <w:spacing w:val="-4"/>
        </w:rPr>
        <w:t xml:space="preserve"> </w:t>
      </w:r>
      <w:r>
        <w:rPr>
          <w:color w:val="221F1F"/>
        </w:rPr>
        <w:t>given</w:t>
      </w:r>
      <w:r>
        <w:rPr>
          <w:color w:val="221F1F"/>
          <w:spacing w:val="-4"/>
        </w:rPr>
        <w:t xml:space="preserve"> </w:t>
      </w:r>
      <w:r>
        <w:rPr>
          <w:color w:val="221F1F"/>
        </w:rPr>
        <w:t>above</w:t>
      </w:r>
      <w:r>
        <w:rPr>
          <w:color w:val="221F1F"/>
          <w:spacing w:val="-2"/>
        </w:rPr>
        <w:t xml:space="preserve"> </w:t>
      </w:r>
      <w:r>
        <w:rPr>
          <w:color w:val="221F1F"/>
        </w:rPr>
        <w:t>is</w:t>
      </w:r>
      <w:r>
        <w:rPr>
          <w:color w:val="221F1F"/>
          <w:spacing w:val="-2"/>
        </w:rPr>
        <w:t xml:space="preserve"> </w:t>
      </w:r>
      <w:r>
        <w:rPr>
          <w:color w:val="221F1F"/>
        </w:rPr>
        <w:t>complete,</w:t>
      </w:r>
      <w:r>
        <w:rPr>
          <w:color w:val="221F1F"/>
          <w:spacing w:val="-2"/>
        </w:rPr>
        <w:t xml:space="preserve"> </w:t>
      </w:r>
      <w:r>
        <w:rPr>
          <w:color w:val="221F1F"/>
        </w:rPr>
        <w:t>current</w:t>
      </w:r>
      <w:r>
        <w:rPr>
          <w:color w:val="221F1F"/>
          <w:spacing w:val="-3"/>
        </w:rPr>
        <w:t xml:space="preserve"> </w:t>
      </w:r>
      <w:r>
        <w:rPr>
          <w:color w:val="221F1F"/>
        </w:rPr>
        <w:t>and</w:t>
      </w:r>
      <w:r>
        <w:rPr>
          <w:color w:val="221F1F"/>
          <w:spacing w:val="-1"/>
        </w:rPr>
        <w:t xml:space="preserve"> </w:t>
      </w:r>
      <w:r>
        <w:rPr>
          <w:color w:val="221F1F"/>
        </w:rPr>
        <w:t>accurate</w:t>
      </w:r>
      <w:r>
        <w:rPr>
          <w:color w:val="221F1F"/>
          <w:spacing w:val="-1"/>
        </w:rPr>
        <w:t xml:space="preserve"> </w:t>
      </w:r>
      <w:r>
        <w:rPr>
          <w:color w:val="221F1F"/>
        </w:rPr>
        <w:t>as</w:t>
      </w:r>
      <w:r>
        <w:rPr>
          <w:color w:val="221F1F"/>
          <w:spacing w:val="-4"/>
        </w:rPr>
        <w:t xml:space="preserve"> </w:t>
      </w:r>
      <w:r>
        <w:rPr>
          <w:color w:val="221F1F"/>
        </w:rPr>
        <w:t>at</w:t>
      </w:r>
      <w:r>
        <w:rPr>
          <w:color w:val="221F1F"/>
          <w:spacing w:val="-4"/>
        </w:rPr>
        <w:t xml:space="preserve"> </w:t>
      </w:r>
      <w:r>
        <w:rPr>
          <w:color w:val="221F1F"/>
        </w:rPr>
        <w:t>the</w:t>
      </w:r>
      <w:r>
        <w:rPr>
          <w:color w:val="221F1F"/>
          <w:spacing w:val="-2"/>
        </w:rPr>
        <w:t xml:space="preserve"> </w:t>
      </w:r>
      <w:r>
        <w:rPr>
          <w:color w:val="221F1F"/>
        </w:rPr>
        <w:t>date</w:t>
      </w:r>
      <w:r>
        <w:rPr>
          <w:color w:val="221F1F"/>
          <w:spacing w:val="-2"/>
        </w:rPr>
        <w:t xml:space="preserve"> </w:t>
      </w:r>
      <w:r>
        <w:rPr>
          <w:color w:val="221F1F"/>
        </w:rPr>
        <w:t xml:space="preserve">of </w:t>
      </w:r>
      <w:r>
        <w:rPr>
          <w:color w:val="221F1F"/>
          <w:spacing w:val="-2"/>
        </w:rPr>
        <w:t>submission.</w:t>
      </w:r>
    </w:p>
    <w:p w:rsidR="007F6DF9" w:rsidRDefault="00A43FBC">
      <w:pPr>
        <w:pStyle w:val="BodyText"/>
        <w:tabs>
          <w:tab w:val="left" w:pos="10115"/>
        </w:tabs>
        <w:spacing w:before="238" w:line="463" w:lineRule="auto"/>
        <w:ind w:left="699" w:right="1369"/>
      </w:pPr>
      <w:r>
        <w:rPr>
          <w:color w:val="221F1F"/>
        </w:rPr>
        <w:t>Full Name</w:t>
      </w:r>
      <w:r>
        <w:rPr>
          <w:color w:val="221F1F"/>
          <w:u w:val="single" w:color="211E1F"/>
        </w:rPr>
        <w:tab/>
      </w:r>
      <w:r>
        <w:rPr>
          <w:color w:val="221F1F"/>
        </w:rPr>
        <w:t xml:space="preserve"> </w:t>
      </w:r>
      <w:proofErr w:type="spellStart"/>
      <w:r>
        <w:rPr>
          <w:color w:val="221F1F"/>
        </w:rPr>
        <w:t>Titleor</w:t>
      </w:r>
      <w:proofErr w:type="spellEnd"/>
      <w:r>
        <w:rPr>
          <w:color w:val="221F1F"/>
          <w:spacing w:val="-2"/>
        </w:rPr>
        <w:t xml:space="preserve"> Designation</w:t>
      </w:r>
      <w:r>
        <w:rPr>
          <w:color w:val="221F1F"/>
          <w:u w:val="single" w:color="211E1F"/>
        </w:rPr>
        <w:tab/>
      </w:r>
    </w:p>
    <w:p w:rsidR="007F6DF9" w:rsidRDefault="00A43FBC">
      <w:pPr>
        <w:pStyle w:val="BodyText"/>
        <w:rPr>
          <w:sz w:val="19"/>
        </w:rPr>
      </w:pPr>
      <w:r>
        <w:rPr>
          <w:noProof/>
          <w:sz w:val="19"/>
        </w:rPr>
        <mc:AlternateContent>
          <mc:Choice Requires="wps">
            <w:drawing>
              <wp:anchor distT="0" distB="0" distL="0" distR="0" simplePos="0" relativeHeight="251676160" behindDoc="1" locked="0" layoutInCell="1" allowOverlap="1">
                <wp:simplePos x="0" y="0"/>
                <wp:positionH relativeFrom="page">
                  <wp:posOffset>534034</wp:posOffset>
                </wp:positionH>
                <wp:positionV relativeFrom="paragraph">
                  <wp:posOffset>154349</wp:posOffset>
                </wp:positionV>
                <wp:extent cx="286385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0" cy="1270"/>
                        </a:xfrm>
                        <a:custGeom>
                          <a:avLst/>
                          <a:gdLst/>
                          <a:ahLst/>
                          <a:cxnLst/>
                          <a:rect l="l" t="t" r="r" b="b"/>
                          <a:pathLst>
                            <a:path w="2863850">
                              <a:moveTo>
                                <a:pt x="0" y="0"/>
                              </a:moveTo>
                              <a:lnTo>
                                <a:pt x="286385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3426BA09" id="Graphic 233" o:spid="_x0000_s1026" style="position:absolute;margin-left:42.05pt;margin-top:12.15pt;width:225.5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2863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" path="m,l2863850,e" filled="f" strokecolor="#211e1f" strokeweight=".44pt">
                <v:path arrowok="t"/>
                <w10:wrap type="topAndBottom" anchorx="page"/>
              </v:shape>
            </w:pict>
          </mc:Fallback>
        </mc:AlternateContent>
      </w:r>
      <w:r>
        <w:rPr>
          <w:noProof/>
          <w:sz w:val="19"/>
        </w:rPr>
        <mc:AlternateContent>
          <mc:Choice Requires="wps">
            <w:drawing>
              <wp:anchor distT="0" distB="0" distL="0" distR="0" simplePos="0" relativeHeight="251677184" behindDoc="1" locked="0" layoutInCell="1" allowOverlap="1">
                <wp:simplePos x="0" y="0"/>
                <wp:positionH relativeFrom="page">
                  <wp:posOffset>4326890</wp:posOffset>
                </wp:positionH>
                <wp:positionV relativeFrom="paragraph">
                  <wp:posOffset>154349</wp:posOffset>
                </wp:positionV>
                <wp:extent cx="2025650"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0" cy="1270"/>
                        </a:xfrm>
                        <a:custGeom>
                          <a:avLst/>
                          <a:gdLst/>
                          <a:ahLst/>
                          <a:cxnLst/>
                          <a:rect l="l" t="t" r="r" b="b"/>
                          <a:pathLst>
                            <a:path w="2025650">
                              <a:moveTo>
                                <a:pt x="0" y="0"/>
                              </a:moveTo>
                              <a:lnTo>
                                <a:pt x="202565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18CCAA28" id="Graphic 234" o:spid="_x0000_s1026" style="position:absolute;margin-left:340.7pt;margin-top:12.15pt;width:159.5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202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" path="m,l2025650,e" filled="f" strokecolor="#211e1f" strokeweight=".44pt">
                <v:path arrowok="t"/>
                <w10:wrap type="topAndBottom" anchorx="page"/>
              </v:shape>
            </w:pict>
          </mc:Fallback>
        </mc:AlternateContent>
      </w:r>
    </w:p>
    <w:p w:rsidR="007F6DF9" w:rsidRDefault="007F6DF9">
      <w:pPr>
        <w:pStyle w:val="BodyText"/>
        <w:spacing w:before="26"/>
      </w:pPr>
    </w:p>
    <w:p w:rsidR="007F6DF9" w:rsidRDefault="00A43FBC">
      <w:pPr>
        <w:tabs>
          <w:tab w:val="left" w:pos="8094"/>
        </w:tabs>
        <w:ind w:left="699"/>
        <w:rPr>
          <w:i/>
        </w:rPr>
      </w:pPr>
      <w:r>
        <w:rPr>
          <w:i/>
          <w:color w:val="221F1F"/>
          <w:spacing w:val="-2"/>
        </w:rPr>
        <w:t>(Signature)</w:t>
      </w:r>
      <w:r>
        <w:rPr>
          <w:i/>
          <w:color w:val="221F1F"/>
        </w:rPr>
        <w:tab/>
      </w:r>
      <w:r>
        <w:rPr>
          <w:i/>
          <w:color w:val="221F1F"/>
          <w:spacing w:val="-2"/>
        </w:rPr>
        <w:t>(Date)</w:t>
      </w:r>
    </w:p>
    <w:p w:rsidR="007F6DF9" w:rsidRDefault="007F6DF9">
      <w:pPr>
        <w:rPr>
          <w:i/>
        </w:rPr>
        <w:sectPr w:rsidR="007F6DF9">
          <w:type w:val="continuous"/>
          <w:pgSz w:w="11920" w:h="16850"/>
          <w:pgMar w:top="360" w:right="283" w:bottom="620" w:left="141" w:header="0" w:footer="437" w:gutter="0"/>
          <w:cols w:space="720"/>
        </w:sectPr>
      </w:pPr>
    </w:p>
    <w:p w:rsidR="007F6DF9" w:rsidRDefault="007F6DF9">
      <w:pPr>
        <w:pStyle w:val="BodyText"/>
        <w:spacing w:before="194"/>
        <w:rPr>
          <w:i/>
          <w:sz w:val="24"/>
        </w:rPr>
      </w:pPr>
    </w:p>
    <w:p w:rsidR="007F6DF9" w:rsidRDefault="00A43FBC">
      <w:pPr>
        <w:pStyle w:val="Heading6"/>
        <w:numPr>
          <w:ilvl w:val="1"/>
          <w:numId w:val="145"/>
        </w:numPr>
        <w:tabs>
          <w:tab w:val="left" w:pos="1110"/>
        </w:tabs>
        <w:ind w:left="1110" w:hanging="402"/>
        <w:jc w:val="left"/>
        <w:rPr>
          <w:color w:val="221F1F"/>
        </w:rPr>
      </w:pPr>
      <w:r>
        <w:rPr>
          <w:color w:val="221F1F"/>
          <w:u w:val="single" w:color="221F1F"/>
        </w:rPr>
        <w:t>CERTIFICATE</w:t>
      </w:r>
      <w:r>
        <w:rPr>
          <w:color w:val="221F1F"/>
          <w:spacing w:val="-15"/>
          <w:u w:val="single" w:color="221F1F"/>
        </w:rPr>
        <w:t xml:space="preserve"> </w:t>
      </w:r>
      <w:r>
        <w:rPr>
          <w:color w:val="221F1F"/>
          <w:u w:val="single" w:color="221F1F"/>
        </w:rPr>
        <w:t>OF</w:t>
      </w:r>
      <w:r>
        <w:rPr>
          <w:color w:val="221F1F"/>
          <w:spacing w:val="-11"/>
          <w:u w:val="single" w:color="221F1F"/>
        </w:rPr>
        <w:t xml:space="preserve"> </w:t>
      </w:r>
      <w:r>
        <w:rPr>
          <w:color w:val="221F1F"/>
          <w:u w:val="single" w:color="221F1F"/>
        </w:rPr>
        <w:t>INDEPENDENT</w:t>
      </w:r>
      <w:r>
        <w:rPr>
          <w:color w:val="221F1F"/>
          <w:spacing w:val="-8"/>
          <w:u w:val="single" w:color="221F1F"/>
        </w:rPr>
        <w:t xml:space="preserve"> </w:t>
      </w:r>
      <w:r>
        <w:rPr>
          <w:color w:val="221F1F"/>
          <w:u w:val="single" w:color="221F1F"/>
        </w:rPr>
        <w:t>TENDER</w:t>
      </w:r>
      <w:r>
        <w:rPr>
          <w:color w:val="221F1F"/>
          <w:spacing w:val="-10"/>
          <w:u w:val="single" w:color="221F1F"/>
        </w:rPr>
        <w:t xml:space="preserve"> </w:t>
      </w:r>
      <w:r>
        <w:rPr>
          <w:color w:val="221F1F"/>
          <w:spacing w:val="-2"/>
          <w:u w:val="single" w:color="221F1F"/>
        </w:rPr>
        <w:t>DETERMINATION</w:t>
      </w:r>
    </w:p>
    <w:p w:rsidR="007F6DF9" w:rsidRDefault="00A43FBC">
      <w:pPr>
        <w:pStyle w:val="BodyText"/>
        <w:tabs>
          <w:tab w:val="left" w:pos="8380"/>
        </w:tabs>
        <w:spacing w:before="235" w:line="248" w:lineRule="exact"/>
        <w:ind w:left="708"/>
      </w:pPr>
      <w:r>
        <w:rPr>
          <w:color w:val="221F1F"/>
        </w:rPr>
        <w:t>I,</w:t>
      </w:r>
      <w:r>
        <w:rPr>
          <w:color w:val="221F1F"/>
          <w:spacing w:val="-6"/>
        </w:rPr>
        <w:t xml:space="preserve"> </w:t>
      </w:r>
      <w:r>
        <w:rPr>
          <w:color w:val="221F1F"/>
        </w:rPr>
        <w:t>the</w:t>
      </w:r>
      <w:r>
        <w:rPr>
          <w:color w:val="221F1F"/>
          <w:spacing w:val="-4"/>
        </w:rPr>
        <w:t xml:space="preserve"> </w:t>
      </w:r>
      <w:r>
        <w:rPr>
          <w:color w:val="221F1F"/>
        </w:rPr>
        <w:t>undersigned,</w:t>
      </w:r>
      <w:r>
        <w:rPr>
          <w:color w:val="221F1F"/>
          <w:spacing w:val="-5"/>
        </w:rPr>
        <w:t xml:space="preserve"> </w:t>
      </w:r>
      <w:r>
        <w:rPr>
          <w:color w:val="221F1F"/>
        </w:rPr>
        <w:t>in</w:t>
      </w:r>
      <w:r>
        <w:rPr>
          <w:color w:val="221F1F"/>
          <w:spacing w:val="-5"/>
        </w:rPr>
        <w:t xml:space="preserve"> </w:t>
      </w:r>
      <w:r>
        <w:rPr>
          <w:color w:val="221F1F"/>
        </w:rPr>
        <w:t>submitting</w:t>
      </w:r>
      <w:r>
        <w:rPr>
          <w:color w:val="221F1F"/>
          <w:spacing w:val="-7"/>
        </w:rPr>
        <w:t xml:space="preserve"> </w:t>
      </w:r>
      <w:r>
        <w:rPr>
          <w:color w:val="221F1F"/>
        </w:rPr>
        <w:t>the</w:t>
      </w:r>
      <w:r>
        <w:rPr>
          <w:color w:val="221F1F"/>
          <w:spacing w:val="-5"/>
        </w:rPr>
        <w:t xml:space="preserve"> </w:t>
      </w:r>
      <w:r>
        <w:rPr>
          <w:color w:val="221F1F"/>
        </w:rPr>
        <w:t>accompanying</w:t>
      </w:r>
      <w:r>
        <w:rPr>
          <w:color w:val="221F1F"/>
          <w:spacing w:val="-5"/>
        </w:rPr>
        <w:t xml:space="preserve"> </w:t>
      </w:r>
      <w:r>
        <w:rPr>
          <w:color w:val="221F1F"/>
        </w:rPr>
        <w:t>Letter</w:t>
      </w:r>
      <w:r>
        <w:rPr>
          <w:color w:val="221F1F"/>
          <w:spacing w:val="-4"/>
        </w:rPr>
        <w:t xml:space="preserve"> </w:t>
      </w:r>
      <w:r>
        <w:rPr>
          <w:color w:val="221F1F"/>
        </w:rPr>
        <w:t>of</w:t>
      </w:r>
      <w:r>
        <w:rPr>
          <w:color w:val="221F1F"/>
          <w:spacing w:val="-5"/>
        </w:rPr>
        <w:t xml:space="preserve"> </w:t>
      </w:r>
      <w:r>
        <w:rPr>
          <w:color w:val="221F1F"/>
        </w:rPr>
        <w:t>Tender</w:t>
      </w:r>
      <w:r>
        <w:rPr>
          <w:color w:val="221F1F"/>
          <w:spacing w:val="-8"/>
        </w:rPr>
        <w:t xml:space="preserve"> </w:t>
      </w:r>
      <w:r>
        <w:rPr>
          <w:color w:val="221F1F"/>
        </w:rPr>
        <w:t>to</w:t>
      </w:r>
      <w:r>
        <w:rPr>
          <w:color w:val="221F1F"/>
          <w:spacing w:val="-5"/>
        </w:rPr>
        <w:t xml:space="preserve"> the</w:t>
      </w:r>
      <w:r>
        <w:rPr>
          <w:color w:val="221F1F"/>
          <w:u w:val="single" w:color="211E1F"/>
        </w:rPr>
        <w:tab/>
      </w:r>
    </w:p>
    <w:p w:rsidR="007F6DF9" w:rsidRDefault="00A43FBC">
      <w:pPr>
        <w:tabs>
          <w:tab w:val="left" w:pos="7797"/>
        </w:tabs>
        <w:spacing w:line="242" w:lineRule="exact"/>
        <w:ind w:left="708"/>
      </w:pPr>
      <w:r>
        <w:rPr>
          <w:i/>
          <w:color w:val="221F1F"/>
          <w:u w:val="single" w:color="211E1F"/>
        </w:rPr>
        <w:tab/>
      </w:r>
      <w:r>
        <w:rPr>
          <w:i/>
          <w:color w:val="221F1F"/>
        </w:rPr>
        <w:t>[Name</w:t>
      </w:r>
      <w:r>
        <w:rPr>
          <w:i/>
          <w:color w:val="221F1F"/>
          <w:spacing w:val="-3"/>
        </w:rPr>
        <w:t xml:space="preserve"> </w:t>
      </w:r>
      <w:r>
        <w:rPr>
          <w:i/>
          <w:color w:val="221F1F"/>
        </w:rPr>
        <w:t>of</w:t>
      </w:r>
      <w:r>
        <w:rPr>
          <w:i/>
          <w:color w:val="221F1F"/>
          <w:spacing w:val="-2"/>
        </w:rPr>
        <w:t xml:space="preserve"> </w:t>
      </w:r>
      <w:r>
        <w:rPr>
          <w:i/>
          <w:color w:val="221F1F"/>
        </w:rPr>
        <w:t>Procuring</w:t>
      </w:r>
      <w:r>
        <w:rPr>
          <w:i/>
          <w:color w:val="221F1F"/>
          <w:spacing w:val="-5"/>
        </w:rPr>
        <w:t xml:space="preserve"> </w:t>
      </w:r>
      <w:r>
        <w:rPr>
          <w:i/>
          <w:color w:val="221F1F"/>
        </w:rPr>
        <w:t>Entity]</w:t>
      </w:r>
      <w:r>
        <w:rPr>
          <w:i/>
          <w:color w:val="221F1F"/>
          <w:spacing w:val="-3"/>
        </w:rPr>
        <w:t xml:space="preserve"> </w:t>
      </w:r>
      <w:r>
        <w:rPr>
          <w:color w:val="221F1F"/>
          <w:spacing w:val="-4"/>
        </w:rPr>
        <w:t>for:</w:t>
      </w:r>
    </w:p>
    <w:p w:rsidR="007F6DF9" w:rsidRDefault="00A43FBC">
      <w:pPr>
        <w:tabs>
          <w:tab w:val="left" w:pos="7797"/>
          <w:tab w:val="left" w:pos="8329"/>
        </w:tabs>
        <w:spacing w:before="3" w:line="230" w:lineRule="auto"/>
        <w:ind w:left="708" w:right="493"/>
      </w:pPr>
      <w:r>
        <w:rPr>
          <w:i/>
          <w:color w:val="221F1F"/>
          <w:u w:val="single" w:color="211E1F"/>
        </w:rPr>
        <w:tab/>
      </w:r>
      <w:r>
        <w:rPr>
          <w:i/>
          <w:color w:val="221F1F"/>
        </w:rPr>
        <w:t xml:space="preserve">[Name and number of tender] </w:t>
      </w:r>
      <w:r>
        <w:rPr>
          <w:color w:val="221F1F"/>
        </w:rPr>
        <w:t>in response to the request for tenders made by:</w:t>
      </w:r>
      <w:r>
        <w:rPr>
          <w:color w:val="221F1F"/>
          <w:u w:val="single" w:color="211E1F"/>
        </w:rPr>
        <w:tab/>
      </w:r>
      <w:r>
        <w:rPr>
          <w:color w:val="221F1F"/>
          <w:u w:val="single" w:color="211E1F"/>
        </w:rPr>
        <w:tab/>
      </w:r>
      <w:r>
        <w:rPr>
          <w:i/>
          <w:color w:val="221F1F"/>
        </w:rPr>
        <w:t>[Name</w:t>
      </w:r>
      <w:r>
        <w:rPr>
          <w:i/>
          <w:color w:val="221F1F"/>
          <w:spacing w:val="-16"/>
        </w:rPr>
        <w:t xml:space="preserve"> </w:t>
      </w:r>
      <w:r>
        <w:rPr>
          <w:i/>
          <w:color w:val="221F1F"/>
        </w:rPr>
        <w:t>of</w:t>
      </w:r>
      <w:r>
        <w:rPr>
          <w:i/>
          <w:color w:val="221F1F"/>
          <w:spacing w:val="-14"/>
        </w:rPr>
        <w:t xml:space="preserve"> </w:t>
      </w:r>
      <w:r>
        <w:rPr>
          <w:i/>
          <w:color w:val="221F1F"/>
        </w:rPr>
        <w:t>Tenderer]</w:t>
      </w:r>
      <w:r>
        <w:rPr>
          <w:i/>
          <w:color w:val="221F1F"/>
          <w:spacing w:val="-14"/>
        </w:rPr>
        <w:t xml:space="preserve"> </w:t>
      </w:r>
      <w:r>
        <w:rPr>
          <w:color w:val="221F1F"/>
        </w:rPr>
        <w:t>do</w:t>
      </w:r>
      <w:r>
        <w:rPr>
          <w:color w:val="221F1F"/>
          <w:spacing w:val="-13"/>
        </w:rPr>
        <w:t xml:space="preserve"> </w:t>
      </w:r>
      <w:r>
        <w:rPr>
          <w:color w:val="221F1F"/>
        </w:rPr>
        <w:t>hereby make the following statements that I certify to be true and complete in every respect:</w:t>
      </w:r>
    </w:p>
    <w:p w:rsidR="007F6DF9" w:rsidRDefault="00A43FBC">
      <w:pPr>
        <w:tabs>
          <w:tab w:val="left" w:pos="7576"/>
        </w:tabs>
        <w:spacing w:before="237"/>
        <w:ind w:left="708"/>
      </w:pPr>
      <w:proofErr w:type="spellStart"/>
      <w:r>
        <w:rPr>
          <w:color w:val="221F1F"/>
        </w:rPr>
        <w:t>Icertify</w:t>
      </w:r>
      <w:proofErr w:type="spellEnd"/>
      <w:r>
        <w:rPr>
          <w:color w:val="221F1F"/>
        </w:rPr>
        <w:t>,</w:t>
      </w:r>
      <w:r>
        <w:rPr>
          <w:color w:val="221F1F"/>
          <w:spacing w:val="-4"/>
        </w:rPr>
        <w:t xml:space="preserve"> </w:t>
      </w:r>
      <w:r>
        <w:rPr>
          <w:color w:val="221F1F"/>
        </w:rPr>
        <w:t>on</w:t>
      </w:r>
      <w:r>
        <w:rPr>
          <w:color w:val="221F1F"/>
          <w:spacing w:val="-3"/>
        </w:rPr>
        <w:t xml:space="preserve"> </w:t>
      </w:r>
      <w:r>
        <w:rPr>
          <w:color w:val="221F1F"/>
        </w:rPr>
        <w:t>behalf</w:t>
      </w:r>
      <w:r>
        <w:rPr>
          <w:color w:val="221F1F"/>
          <w:spacing w:val="-1"/>
        </w:rPr>
        <w:t xml:space="preserve"> </w:t>
      </w:r>
      <w:r>
        <w:rPr>
          <w:color w:val="221F1F"/>
          <w:spacing w:val="-5"/>
        </w:rPr>
        <w:t>of</w:t>
      </w:r>
      <w:r>
        <w:rPr>
          <w:i/>
          <w:color w:val="221F1F"/>
          <w:u w:val="single" w:color="211E1F"/>
        </w:rPr>
        <w:tab/>
      </w:r>
      <w:r>
        <w:rPr>
          <w:i/>
          <w:color w:val="221F1F"/>
          <w:spacing w:val="-2"/>
        </w:rPr>
        <w:t>[</w:t>
      </w:r>
      <w:proofErr w:type="spellStart"/>
      <w:r>
        <w:rPr>
          <w:i/>
          <w:color w:val="221F1F"/>
          <w:spacing w:val="-2"/>
        </w:rPr>
        <w:t>NameofTenderer</w:t>
      </w:r>
      <w:proofErr w:type="spellEnd"/>
      <w:r>
        <w:rPr>
          <w:i/>
          <w:color w:val="221F1F"/>
          <w:spacing w:val="-2"/>
        </w:rPr>
        <w:t>]</w:t>
      </w:r>
      <w:r>
        <w:rPr>
          <w:color w:val="221F1F"/>
          <w:spacing w:val="-2"/>
        </w:rPr>
        <w:t>that:</w:t>
      </w:r>
    </w:p>
    <w:p w:rsidR="007F6DF9" w:rsidRDefault="00A43FBC">
      <w:pPr>
        <w:pStyle w:val="ListParagraph"/>
        <w:numPr>
          <w:ilvl w:val="0"/>
          <w:numId w:val="139"/>
        </w:numPr>
        <w:tabs>
          <w:tab w:val="left" w:pos="1112"/>
        </w:tabs>
        <w:spacing w:before="235"/>
      </w:pPr>
      <w:r>
        <w:rPr>
          <w:color w:val="221F1F"/>
        </w:rPr>
        <w:t>I</w:t>
      </w:r>
      <w:r>
        <w:rPr>
          <w:color w:val="221F1F"/>
          <w:spacing w:val="-4"/>
        </w:rPr>
        <w:t xml:space="preserve"> </w:t>
      </w:r>
      <w:r>
        <w:rPr>
          <w:color w:val="221F1F"/>
        </w:rPr>
        <w:t>have</w:t>
      </w:r>
      <w:r>
        <w:rPr>
          <w:color w:val="221F1F"/>
          <w:spacing w:val="-1"/>
        </w:rPr>
        <w:t xml:space="preserve"> </w:t>
      </w:r>
      <w:r>
        <w:rPr>
          <w:color w:val="221F1F"/>
        </w:rPr>
        <w:t>read</w:t>
      </w:r>
      <w:r>
        <w:rPr>
          <w:color w:val="221F1F"/>
          <w:spacing w:val="-2"/>
        </w:rPr>
        <w:t xml:space="preserve"> </w:t>
      </w:r>
      <w:r>
        <w:rPr>
          <w:color w:val="221F1F"/>
        </w:rPr>
        <w:t>and</w:t>
      </w:r>
      <w:r>
        <w:rPr>
          <w:color w:val="221F1F"/>
          <w:spacing w:val="-2"/>
        </w:rPr>
        <w:t xml:space="preserve"> </w:t>
      </w:r>
      <w:r>
        <w:rPr>
          <w:color w:val="221F1F"/>
        </w:rPr>
        <w:t>I</w:t>
      </w:r>
      <w:r>
        <w:rPr>
          <w:color w:val="221F1F"/>
          <w:spacing w:val="-4"/>
        </w:rPr>
        <w:t xml:space="preserve"> </w:t>
      </w:r>
      <w:r>
        <w:rPr>
          <w:color w:val="221F1F"/>
        </w:rPr>
        <w:t>understand</w:t>
      </w:r>
      <w:r>
        <w:rPr>
          <w:color w:val="221F1F"/>
          <w:spacing w:val="-2"/>
        </w:rPr>
        <w:t xml:space="preserve"> </w:t>
      </w:r>
      <w:r>
        <w:rPr>
          <w:color w:val="221F1F"/>
        </w:rPr>
        <w:t>the</w:t>
      </w:r>
      <w:r>
        <w:rPr>
          <w:color w:val="221F1F"/>
          <w:spacing w:val="-4"/>
        </w:rPr>
        <w:t xml:space="preserve"> </w:t>
      </w:r>
      <w:r>
        <w:rPr>
          <w:color w:val="221F1F"/>
        </w:rPr>
        <w:t>contents</w:t>
      </w:r>
      <w:r>
        <w:rPr>
          <w:color w:val="221F1F"/>
          <w:spacing w:val="-2"/>
        </w:rPr>
        <w:t xml:space="preserve"> </w:t>
      </w:r>
      <w:r>
        <w:rPr>
          <w:color w:val="221F1F"/>
        </w:rPr>
        <w:t>of</w:t>
      </w:r>
      <w:r>
        <w:rPr>
          <w:color w:val="221F1F"/>
          <w:spacing w:val="-1"/>
        </w:rPr>
        <w:t xml:space="preserve"> </w:t>
      </w:r>
      <w:r>
        <w:rPr>
          <w:color w:val="221F1F"/>
        </w:rPr>
        <w:t xml:space="preserve">this </w:t>
      </w:r>
      <w:r>
        <w:rPr>
          <w:color w:val="221F1F"/>
          <w:spacing w:val="-2"/>
        </w:rPr>
        <w:t>Certificate;</w:t>
      </w:r>
    </w:p>
    <w:p w:rsidR="007F6DF9" w:rsidRDefault="00A43FBC">
      <w:pPr>
        <w:pStyle w:val="ListParagraph"/>
        <w:numPr>
          <w:ilvl w:val="0"/>
          <w:numId w:val="139"/>
        </w:numPr>
        <w:tabs>
          <w:tab w:val="left" w:pos="1112"/>
          <w:tab w:val="left" w:pos="1117"/>
        </w:tabs>
        <w:spacing w:before="242" w:line="230" w:lineRule="auto"/>
        <w:ind w:left="1117" w:right="643" w:hanging="409"/>
      </w:pPr>
      <w:r>
        <w:rPr>
          <w:color w:val="221F1F"/>
        </w:rPr>
        <w:t>I</w:t>
      </w:r>
      <w:r>
        <w:rPr>
          <w:color w:val="221F1F"/>
          <w:spacing w:val="-5"/>
        </w:rPr>
        <w:t xml:space="preserve"> </w:t>
      </w:r>
      <w:r>
        <w:rPr>
          <w:color w:val="221F1F"/>
        </w:rPr>
        <w:t>understand</w:t>
      </w:r>
      <w:r>
        <w:rPr>
          <w:color w:val="221F1F"/>
          <w:spacing w:val="-5"/>
        </w:rPr>
        <w:t xml:space="preserve"> </w:t>
      </w:r>
      <w:r>
        <w:rPr>
          <w:color w:val="221F1F"/>
        </w:rPr>
        <w:t>that</w:t>
      </w:r>
      <w:r>
        <w:rPr>
          <w:color w:val="221F1F"/>
          <w:spacing w:val="-5"/>
        </w:rPr>
        <w:t xml:space="preserve"> </w:t>
      </w:r>
      <w:r>
        <w:rPr>
          <w:color w:val="221F1F"/>
        </w:rPr>
        <w:t>the</w:t>
      </w:r>
      <w:r>
        <w:rPr>
          <w:color w:val="221F1F"/>
          <w:spacing w:val="-2"/>
        </w:rPr>
        <w:t xml:space="preserve"> </w:t>
      </w:r>
      <w:r>
        <w:rPr>
          <w:color w:val="221F1F"/>
        </w:rPr>
        <w:t>Tender</w:t>
      </w:r>
      <w:r>
        <w:rPr>
          <w:color w:val="221F1F"/>
          <w:spacing w:val="-7"/>
        </w:rPr>
        <w:t xml:space="preserve"> </w:t>
      </w:r>
      <w:r>
        <w:rPr>
          <w:color w:val="221F1F"/>
        </w:rPr>
        <w:t>will</w:t>
      </w:r>
      <w:r>
        <w:rPr>
          <w:color w:val="221F1F"/>
          <w:spacing w:val="-5"/>
        </w:rPr>
        <w:t xml:space="preserve"> </w:t>
      </w:r>
      <w:r>
        <w:rPr>
          <w:color w:val="221F1F"/>
        </w:rPr>
        <w:t>be</w:t>
      </w:r>
      <w:r>
        <w:rPr>
          <w:color w:val="221F1F"/>
          <w:spacing w:val="-3"/>
        </w:rPr>
        <w:t xml:space="preserve"> </w:t>
      </w:r>
      <w:r>
        <w:rPr>
          <w:color w:val="221F1F"/>
        </w:rPr>
        <w:t>disqualified</w:t>
      </w:r>
      <w:r>
        <w:rPr>
          <w:color w:val="221F1F"/>
          <w:spacing w:val="-6"/>
        </w:rPr>
        <w:t xml:space="preserve"> </w:t>
      </w:r>
      <w:r>
        <w:rPr>
          <w:color w:val="221F1F"/>
        </w:rPr>
        <w:t>if</w:t>
      </w:r>
      <w:r>
        <w:rPr>
          <w:color w:val="221F1F"/>
          <w:spacing w:val="-5"/>
        </w:rPr>
        <w:t xml:space="preserve"> </w:t>
      </w:r>
      <w:r>
        <w:rPr>
          <w:color w:val="221F1F"/>
        </w:rPr>
        <w:t>this</w:t>
      </w:r>
      <w:r>
        <w:rPr>
          <w:color w:val="221F1F"/>
          <w:spacing w:val="-5"/>
        </w:rPr>
        <w:t xml:space="preserve"> </w:t>
      </w:r>
      <w:r>
        <w:rPr>
          <w:color w:val="221F1F"/>
        </w:rPr>
        <w:t>Certificate</w:t>
      </w:r>
      <w:r>
        <w:rPr>
          <w:color w:val="221F1F"/>
          <w:spacing w:val="-5"/>
        </w:rPr>
        <w:t xml:space="preserve"> </w:t>
      </w:r>
      <w:r>
        <w:rPr>
          <w:color w:val="221F1F"/>
        </w:rPr>
        <w:t>is</w:t>
      </w:r>
      <w:r>
        <w:rPr>
          <w:color w:val="221F1F"/>
          <w:spacing w:val="-5"/>
        </w:rPr>
        <w:t xml:space="preserve"> </w:t>
      </w:r>
      <w:r>
        <w:rPr>
          <w:color w:val="221F1F"/>
        </w:rPr>
        <w:t>found</w:t>
      </w:r>
      <w:r>
        <w:rPr>
          <w:color w:val="221F1F"/>
          <w:spacing w:val="-6"/>
        </w:rPr>
        <w:t xml:space="preserve"> </w:t>
      </w:r>
      <w:r>
        <w:rPr>
          <w:color w:val="221F1F"/>
        </w:rPr>
        <w:t>not</w:t>
      </w:r>
      <w:r>
        <w:rPr>
          <w:color w:val="221F1F"/>
          <w:spacing w:val="-5"/>
        </w:rPr>
        <w:t xml:space="preserve"> </w:t>
      </w:r>
      <w:r>
        <w:rPr>
          <w:color w:val="221F1F"/>
        </w:rPr>
        <w:t>to</w:t>
      </w:r>
      <w:r>
        <w:rPr>
          <w:color w:val="221F1F"/>
          <w:spacing w:val="-3"/>
        </w:rPr>
        <w:t xml:space="preserve"> </w:t>
      </w:r>
      <w:r>
        <w:rPr>
          <w:color w:val="221F1F"/>
        </w:rPr>
        <w:t>be</w:t>
      </w:r>
      <w:r>
        <w:rPr>
          <w:color w:val="221F1F"/>
          <w:spacing w:val="-3"/>
        </w:rPr>
        <w:t xml:space="preserve"> </w:t>
      </w:r>
      <w:r>
        <w:rPr>
          <w:color w:val="221F1F"/>
        </w:rPr>
        <w:t>true</w:t>
      </w:r>
      <w:r>
        <w:rPr>
          <w:color w:val="221F1F"/>
          <w:spacing w:val="-3"/>
        </w:rPr>
        <w:t xml:space="preserve"> </w:t>
      </w:r>
      <w:r>
        <w:rPr>
          <w:color w:val="221F1F"/>
        </w:rPr>
        <w:t>and</w:t>
      </w:r>
      <w:r>
        <w:rPr>
          <w:color w:val="221F1F"/>
          <w:spacing w:val="-3"/>
        </w:rPr>
        <w:t xml:space="preserve"> </w:t>
      </w:r>
      <w:r>
        <w:rPr>
          <w:color w:val="221F1F"/>
        </w:rPr>
        <w:t>complete</w:t>
      </w:r>
      <w:r>
        <w:rPr>
          <w:color w:val="221F1F"/>
          <w:spacing w:val="-3"/>
        </w:rPr>
        <w:t xml:space="preserve"> </w:t>
      </w:r>
      <w:r>
        <w:rPr>
          <w:color w:val="221F1F"/>
        </w:rPr>
        <w:t>in</w:t>
      </w:r>
      <w:r>
        <w:rPr>
          <w:color w:val="221F1F"/>
          <w:spacing w:val="-6"/>
        </w:rPr>
        <w:t xml:space="preserve"> </w:t>
      </w:r>
      <w:r>
        <w:rPr>
          <w:color w:val="221F1F"/>
        </w:rPr>
        <w:t xml:space="preserve">every </w:t>
      </w:r>
      <w:r>
        <w:rPr>
          <w:color w:val="221F1F"/>
          <w:spacing w:val="-2"/>
        </w:rPr>
        <w:t>respect;</w:t>
      </w:r>
    </w:p>
    <w:p w:rsidR="007F6DF9" w:rsidRDefault="00A43FBC">
      <w:pPr>
        <w:pStyle w:val="ListParagraph"/>
        <w:numPr>
          <w:ilvl w:val="0"/>
          <w:numId w:val="139"/>
        </w:numPr>
        <w:tabs>
          <w:tab w:val="left" w:pos="1112"/>
          <w:tab w:val="left" w:pos="1117"/>
        </w:tabs>
        <w:spacing w:before="242" w:line="232" w:lineRule="auto"/>
        <w:ind w:left="1117" w:right="1153" w:hanging="409"/>
      </w:pPr>
      <w:proofErr w:type="spellStart"/>
      <w:r>
        <w:rPr>
          <w:color w:val="221F1F"/>
        </w:rPr>
        <w:t>Iamthe</w:t>
      </w:r>
      <w:proofErr w:type="spellEnd"/>
      <w:r>
        <w:rPr>
          <w:color w:val="221F1F"/>
          <w:spacing w:val="-4"/>
        </w:rPr>
        <w:t xml:space="preserve"> </w:t>
      </w:r>
      <w:r>
        <w:rPr>
          <w:color w:val="221F1F"/>
        </w:rPr>
        <w:t>authorized</w:t>
      </w:r>
      <w:r>
        <w:rPr>
          <w:color w:val="221F1F"/>
          <w:spacing w:val="-2"/>
        </w:rPr>
        <w:t xml:space="preserve"> </w:t>
      </w:r>
      <w:r>
        <w:rPr>
          <w:color w:val="221F1F"/>
        </w:rPr>
        <w:t>representative</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rPr>
        <w:t>with</w:t>
      </w:r>
      <w:r>
        <w:rPr>
          <w:color w:val="221F1F"/>
          <w:spacing w:val="-2"/>
        </w:rPr>
        <w:t xml:space="preserve"> </w:t>
      </w:r>
      <w:r>
        <w:rPr>
          <w:color w:val="221F1F"/>
        </w:rPr>
        <w:t>authority</w:t>
      </w:r>
      <w:r>
        <w:rPr>
          <w:color w:val="221F1F"/>
          <w:spacing w:val="-2"/>
        </w:rPr>
        <w:t xml:space="preserve"> </w:t>
      </w:r>
      <w:r>
        <w:rPr>
          <w:color w:val="221F1F"/>
        </w:rPr>
        <w:t>to</w:t>
      </w:r>
      <w:r>
        <w:rPr>
          <w:color w:val="221F1F"/>
          <w:spacing w:val="-5"/>
        </w:rPr>
        <w:t xml:space="preserve"> </w:t>
      </w:r>
      <w:r>
        <w:rPr>
          <w:color w:val="221F1F"/>
        </w:rPr>
        <w:t>sign</w:t>
      </w:r>
      <w:r>
        <w:rPr>
          <w:color w:val="221F1F"/>
          <w:spacing w:val="-2"/>
        </w:rPr>
        <w:t xml:space="preserve"> </w:t>
      </w:r>
      <w:r>
        <w:rPr>
          <w:color w:val="221F1F"/>
        </w:rPr>
        <w:t>this</w:t>
      </w:r>
      <w:r>
        <w:rPr>
          <w:color w:val="221F1F"/>
          <w:spacing w:val="-2"/>
        </w:rPr>
        <w:t xml:space="preserve"> </w:t>
      </w:r>
      <w:r>
        <w:rPr>
          <w:color w:val="221F1F"/>
        </w:rPr>
        <w:t>Certificate,</w:t>
      </w:r>
      <w:r>
        <w:rPr>
          <w:color w:val="221F1F"/>
          <w:spacing w:val="-3"/>
        </w:rPr>
        <w:t xml:space="preserve"> </w:t>
      </w:r>
      <w:r>
        <w:rPr>
          <w:color w:val="221F1F"/>
        </w:rPr>
        <w:t>and</w:t>
      </w:r>
      <w:r>
        <w:rPr>
          <w:color w:val="221F1F"/>
          <w:spacing w:val="-4"/>
        </w:rPr>
        <w:t xml:space="preserve"> </w:t>
      </w:r>
      <w:r>
        <w:rPr>
          <w:color w:val="221F1F"/>
        </w:rPr>
        <w:t>to</w:t>
      </w:r>
      <w:r>
        <w:rPr>
          <w:color w:val="221F1F"/>
          <w:spacing w:val="-2"/>
        </w:rPr>
        <w:t xml:space="preserve"> </w:t>
      </w:r>
      <w:r>
        <w:rPr>
          <w:color w:val="221F1F"/>
        </w:rPr>
        <w:t>submit</w:t>
      </w:r>
      <w:r>
        <w:rPr>
          <w:color w:val="221F1F"/>
          <w:spacing w:val="-3"/>
        </w:rPr>
        <w:t xml:space="preserve"> </w:t>
      </w:r>
      <w:r>
        <w:rPr>
          <w:color w:val="221F1F"/>
        </w:rPr>
        <w:t>the Tender on behalf of the Tenderer;</w:t>
      </w:r>
    </w:p>
    <w:p w:rsidR="007F6DF9" w:rsidRDefault="00A43FBC">
      <w:pPr>
        <w:pStyle w:val="ListParagraph"/>
        <w:numPr>
          <w:ilvl w:val="0"/>
          <w:numId w:val="139"/>
        </w:numPr>
        <w:tabs>
          <w:tab w:val="left" w:pos="1112"/>
          <w:tab w:val="left" w:pos="1117"/>
        </w:tabs>
        <w:spacing w:before="244" w:line="230" w:lineRule="auto"/>
        <w:ind w:left="1117" w:right="813" w:hanging="409"/>
      </w:pPr>
      <w:r>
        <w:rPr>
          <w:color w:val="221F1F"/>
        </w:rPr>
        <w:t>For</w:t>
      </w:r>
      <w:r>
        <w:rPr>
          <w:color w:val="221F1F"/>
          <w:spacing w:val="-4"/>
        </w:rPr>
        <w:t xml:space="preserve"> </w:t>
      </w:r>
      <w:r>
        <w:rPr>
          <w:color w:val="221F1F"/>
        </w:rPr>
        <w:t>the</w:t>
      </w:r>
      <w:r>
        <w:rPr>
          <w:color w:val="221F1F"/>
          <w:spacing w:val="-4"/>
        </w:rPr>
        <w:t xml:space="preserve"> </w:t>
      </w:r>
      <w:r>
        <w:rPr>
          <w:color w:val="221F1F"/>
        </w:rPr>
        <w:t>purposes</w:t>
      </w:r>
      <w:r>
        <w:rPr>
          <w:color w:val="221F1F"/>
          <w:spacing w:val="-4"/>
        </w:rPr>
        <w:t xml:space="preserve"> </w:t>
      </w:r>
      <w:r>
        <w:rPr>
          <w:color w:val="221F1F"/>
        </w:rPr>
        <w:t>of</w:t>
      </w:r>
      <w:r>
        <w:rPr>
          <w:color w:val="221F1F"/>
          <w:spacing w:val="-4"/>
        </w:rPr>
        <w:t xml:space="preserve"> </w:t>
      </w:r>
      <w:r>
        <w:rPr>
          <w:color w:val="221F1F"/>
        </w:rPr>
        <w:t>this</w:t>
      </w:r>
      <w:r>
        <w:rPr>
          <w:color w:val="221F1F"/>
          <w:spacing w:val="-4"/>
        </w:rPr>
        <w:t xml:space="preserve"> </w:t>
      </w:r>
      <w:r>
        <w:rPr>
          <w:color w:val="221F1F"/>
        </w:rPr>
        <w:t>Certificate</w:t>
      </w:r>
      <w:r>
        <w:rPr>
          <w:color w:val="221F1F"/>
          <w:spacing w:val="-4"/>
        </w:rPr>
        <w:t xml:space="preserve"> </w:t>
      </w:r>
      <w:r>
        <w:rPr>
          <w:color w:val="221F1F"/>
        </w:rPr>
        <w:t>and</w:t>
      </w:r>
      <w:r>
        <w:rPr>
          <w:color w:val="221F1F"/>
          <w:spacing w:val="-7"/>
        </w:rPr>
        <w:t xml:space="preserve"> </w:t>
      </w:r>
      <w:r>
        <w:rPr>
          <w:color w:val="221F1F"/>
        </w:rPr>
        <w:t>the</w:t>
      </w:r>
      <w:r>
        <w:rPr>
          <w:color w:val="221F1F"/>
          <w:spacing w:val="-1"/>
        </w:rPr>
        <w:t xml:space="preserve"> </w:t>
      </w:r>
      <w:r>
        <w:rPr>
          <w:color w:val="221F1F"/>
        </w:rPr>
        <w:t>Tender,</w:t>
      </w:r>
      <w:r>
        <w:rPr>
          <w:color w:val="221F1F"/>
          <w:spacing w:val="-13"/>
        </w:rPr>
        <w:t xml:space="preserve"> </w:t>
      </w:r>
      <w:r>
        <w:rPr>
          <w:color w:val="221F1F"/>
        </w:rPr>
        <w:t>I</w:t>
      </w:r>
      <w:r>
        <w:rPr>
          <w:color w:val="221F1F"/>
          <w:spacing w:val="-6"/>
        </w:rPr>
        <w:t xml:space="preserve"> </w:t>
      </w:r>
      <w:r>
        <w:rPr>
          <w:color w:val="221F1F"/>
        </w:rPr>
        <w:t>understand</w:t>
      </w:r>
      <w:r>
        <w:rPr>
          <w:color w:val="221F1F"/>
          <w:spacing w:val="-6"/>
        </w:rPr>
        <w:t xml:space="preserve"> </w:t>
      </w:r>
      <w:r>
        <w:rPr>
          <w:color w:val="221F1F"/>
        </w:rPr>
        <w:t>that</w:t>
      </w:r>
      <w:r>
        <w:rPr>
          <w:color w:val="221F1F"/>
          <w:spacing w:val="-6"/>
        </w:rPr>
        <w:t xml:space="preserve"> </w:t>
      </w:r>
      <w:r>
        <w:rPr>
          <w:color w:val="221F1F"/>
        </w:rPr>
        <w:t>the</w:t>
      </w:r>
      <w:r>
        <w:rPr>
          <w:color w:val="221F1F"/>
          <w:spacing w:val="-4"/>
        </w:rPr>
        <w:t xml:space="preserve"> </w:t>
      </w:r>
      <w:r>
        <w:rPr>
          <w:color w:val="221F1F"/>
        </w:rPr>
        <w:t>word</w:t>
      </w:r>
      <w:r>
        <w:rPr>
          <w:color w:val="221F1F"/>
          <w:spacing w:val="-4"/>
        </w:rPr>
        <w:t xml:space="preserve"> </w:t>
      </w:r>
      <w:r>
        <w:rPr>
          <w:color w:val="221F1F"/>
        </w:rPr>
        <w:t>“competitor”</w:t>
      </w:r>
      <w:r>
        <w:rPr>
          <w:color w:val="221F1F"/>
          <w:spacing w:val="-4"/>
        </w:rPr>
        <w:t xml:space="preserve"> </w:t>
      </w:r>
      <w:r>
        <w:rPr>
          <w:color w:val="221F1F"/>
        </w:rPr>
        <w:t>shall</w:t>
      </w:r>
      <w:r>
        <w:rPr>
          <w:color w:val="221F1F"/>
          <w:spacing w:val="-3"/>
        </w:rPr>
        <w:t xml:space="preserve"> </w:t>
      </w:r>
      <w:r>
        <w:rPr>
          <w:color w:val="221F1F"/>
        </w:rPr>
        <w:t>include</w:t>
      </w:r>
      <w:r>
        <w:rPr>
          <w:color w:val="221F1F"/>
          <w:spacing w:val="-4"/>
        </w:rPr>
        <w:t xml:space="preserve"> </w:t>
      </w:r>
      <w:r>
        <w:rPr>
          <w:color w:val="221F1F"/>
        </w:rPr>
        <w:t>any individual or organization, other than the Tenderer,</w:t>
      </w:r>
      <w:r>
        <w:rPr>
          <w:color w:val="221F1F"/>
          <w:spacing w:val="-1"/>
        </w:rPr>
        <w:t xml:space="preserve"> </w:t>
      </w:r>
      <w:r>
        <w:rPr>
          <w:color w:val="221F1F"/>
        </w:rPr>
        <w:t>whether or not affiliated with the Tenderer, who:</w:t>
      </w:r>
    </w:p>
    <w:p w:rsidR="007F6DF9" w:rsidRDefault="00A43FBC">
      <w:pPr>
        <w:pStyle w:val="ListParagraph"/>
        <w:numPr>
          <w:ilvl w:val="1"/>
          <w:numId w:val="139"/>
        </w:numPr>
        <w:tabs>
          <w:tab w:val="left" w:pos="1488"/>
        </w:tabs>
        <w:spacing w:before="228" w:line="251" w:lineRule="exact"/>
        <w:ind w:left="1488" w:hanging="376"/>
      </w:pPr>
      <w:r>
        <w:rPr>
          <w:color w:val="221F1F"/>
        </w:rPr>
        <w:t>Has</w:t>
      </w:r>
      <w:r>
        <w:rPr>
          <w:color w:val="221F1F"/>
          <w:spacing w:val="-6"/>
        </w:rPr>
        <w:t xml:space="preserve"> </w:t>
      </w:r>
      <w:r>
        <w:rPr>
          <w:color w:val="221F1F"/>
        </w:rPr>
        <w:t>been</w:t>
      </w:r>
      <w:r>
        <w:rPr>
          <w:color w:val="221F1F"/>
          <w:spacing w:val="-5"/>
        </w:rPr>
        <w:t xml:space="preserve"> </w:t>
      </w:r>
      <w:r>
        <w:rPr>
          <w:color w:val="221F1F"/>
        </w:rPr>
        <w:t>requested</w:t>
      </w:r>
      <w:r>
        <w:rPr>
          <w:color w:val="221F1F"/>
          <w:spacing w:val="-5"/>
        </w:rPr>
        <w:t xml:space="preserve"> </w:t>
      </w:r>
      <w:r>
        <w:rPr>
          <w:color w:val="221F1F"/>
        </w:rPr>
        <w:t>to</w:t>
      </w:r>
      <w:r>
        <w:rPr>
          <w:color w:val="221F1F"/>
          <w:spacing w:val="-3"/>
        </w:rPr>
        <w:t xml:space="preserve"> </w:t>
      </w:r>
      <w:r>
        <w:rPr>
          <w:color w:val="221F1F"/>
        </w:rPr>
        <w:t>submit</w:t>
      </w:r>
      <w:r>
        <w:rPr>
          <w:color w:val="221F1F"/>
          <w:spacing w:val="-2"/>
        </w:rPr>
        <w:t xml:space="preserve"> </w:t>
      </w:r>
      <w:r>
        <w:rPr>
          <w:color w:val="221F1F"/>
        </w:rPr>
        <w:t>a</w:t>
      </w:r>
      <w:r>
        <w:rPr>
          <w:color w:val="221F1F"/>
          <w:spacing w:val="-3"/>
        </w:rPr>
        <w:t xml:space="preserve"> </w:t>
      </w:r>
      <w:r>
        <w:rPr>
          <w:color w:val="221F1F"/>
        </w:rPr>
        <w:t>Tender</w:t>
      </w:r>
      <w:r>
        <w:rPr>
          <w:color w:val="221F1F"/>
          <w:spacing w:val="-10"/>
        </w:rPr>
        <w:t xml:space="preserve"> </w:t>
      </w:r>
      <w:r>
        <w:rPr>
          <w:color w:val="221F1F"/>
        </w:rPr>
        <w:t>in</w:t>
      </w:r>
      <w:r>
        <w:rPr>
          <w:color w:val="221F1F"/>
          <w:spacing w:val="-6"/>
        </w:rPr>
        <w:t xml:space="preserve"> </w:t>
      </w:r>
      <w:r>
        <w:rPr>
          <w:color w:val="221F1F"/>
        </w:rPr>
        <w:t>response</w:t>
      </w:r>
      <w:r>
        <w:rPr>
          <w:color w:val="221F1F"/>
          <w:spacing w:val="-5"/>
        </w:rPr>
        <w:t xml:space="preserve"> </w:t>
      </w:r>
      <w:r>
        <w:rPr>
          <w:color w:val="221F1F"/>
        </w:rPr>
        <w:t>to</w:t>
      </w:r>
      <w:r>
        <w:rPr>
          <w:color w:val="221F1F"/>
          <w:spacing w:val="-5"/>
        </w:rPr>
        <w:t xml:space="preserve"> </w:t>
      </w:r>
      <w:r>
        <w:rPr>
          <w:color w:val="221F1F"/>
        </w:rPr>
        <w:t>this</w:t>
      </w:r>
      <w:r>
        <w:rPr>
          <w:color w:val="221F1F"/>
          <w:spacing w:val="-3"/>
        </w:rPr>
        <w:t xml:space="preserve"> </w:t>
      </w:r>
      <w:r>
        <w:rPr>
          <w:color w:val="221F1F"/>
        </w:rPr>
        <w:t>request</w:t>
      </w:r>
      <w:r>
        <w:rPr>
          <w:color w:val="221F1F"/>
          <w:spacing w:val="-2"/>
        </w:rPr>
        <w:t xml:space="preserve"> </w:t>
      </w:r>
      <w:r>
        <w:rPr>
          <w:color w:val="221F1F"/>
        </w:rPr>
        <w:t>for</w:t>
      </w:r>
      <w:r>
        <w:rPr>
          <w:color w:val="221F1F"/>
          <w:spacing w:val="-5"/>
        </w:rPr>
        <w:t xml:space="preserve"> </w:t>
      </w:r>
      <w:r>
        <w:rPr>
          <w:color w:val="221F1F"/>
          <w:spacing w:val="-2"/>
        </w:rPr>
        <w:t>tenders;</w:t>
      </w:r>
    </w:p>
    <w:p w:rsidR="007F6DF9" w:rsidRDefault="00A43FBC">
      <w:pPr>
        <w:pStyle w:val="ListParagraph"/>
        <w:numPr>
          <w:ilvl w:val="1"/>
          <w:numId w:val="139"/>
        </w:numPr>
        <w:tabs>
          <w:tab w:val="left" w:pos="1487"/>
          <w:tab w:val="left" w:pos="1489"/>
        </w:tabs>
        <w:spacing w:before="7" w:line="230" w:lineRule="auto"/>
        <w:ind w:right="1115"/>
      </w:pPr>
      <w:r>
        <w:rPr>
          <w:color w:val="221F1F"/>
        </w:rPr>
        <w:t>could</w:t>
      </w:r>
      <w:r>
        <w:rPr>
          <w:color w:val="221F1F"/>
          <w:spacing w:val="-4"/>
        </w:rPr>
        <w:t xml:space="preserve"> </w:t>
      </w:r>
      <w:r>
        <w:rPr>
          <w:color w:val="221F1F"/>
        </w:rPr>
        <w:t>potentially</w:t>
      </w:r>
      <w:r>
        <w:rPr>
          <w:color w:val="221F1F"/>
          <w:spacing w:val="-4"/>
        </w:rPr>
        <w:t xml:space="preserve"> </w:t>
      </w:r>
      <w:r>
        <w:rPr>
          <w:color w:val="221F1F"/>
        </w:rPr>
        <w:t>submit a</w:t>
      </w:r>
      <w:r>
        <w:rPr>
          <w:color w:val="221F1F"/>
          <w:spacing w:val="-4"/>
        </w:rPr>
        <w:t xml:space="preserve"> </w:t>
      </w:r>
      <w:r>
        <w:rPr>
          <w:color w:val="221F1F"/>
        </w:rPr>
        <w:t>tender</w:t>
      </w:r>
      <w:r>
        <w:rPr>
          <w:color w:val="221F1F"/>
          <w:spacing w:val="-3"/>
        </w:rPr>
        <w:t xml:space="preserve"> </w:t>
      </w:r>
      <w:r>
        <w:rPr>
          <w:color w:val="221F1F"/>
        </w:rPr>
        <w:t>in</w:t>
      </w:r>
      <w:r>
        <w:rPr>
          <w:color w:val="221F1F"/>
          <w:spacing w:val="-5"/>
        </w:rPr>
        <w:t xml:space="preserve"> </w:t>
      </w:r>
      <w:r>
        <w:rPr>
          <w:color w:val="221F1F"/>
        </w:rPr>
        <w:t>response</w:t>
      </w:r>
      <w:r>
        <w:rPr>
          <w:color w:val="221F1F"/>
          <w:spacing w:val="-2"/>
        </w:rPr>
        <w:t xml:space="preserve"> </w:t>
      </w:r>
      <w:r>
        <w:rPr>
          <w:color w:val="221F1F"/>
        </w:rPr>
        <w:t>to</w:t>
      </w:r>
      <w:r>
        <w:rPr>
          <w:color w:val="221F1F"/>
          <w:spacing w:val="-5"/>
        </w:rPr>
        <w:t xml:space="preserve"> </w:t>
      </w:r>
      <w:r>
        <w:rPr>
          <w:color w:val="221F1F"/>
        </w:rPr>
        <w:t>this</w:t>
      </w:r>
      <w:r>
        <w:rPr>
          <w:color w:val="221F1F"/>
          <w:spacing w:val="-1"/>
        </w:rPr>
        <w:t xml:space="preserve"> </w:t>
      </w:r>
      <w:r>
        <w:rPr>
          <w:color w:val="221F1F"/>
        </w:rPr>
        <w:t>request</w:t>
      </w:r>
      <w:r>
        <w:rPr>
          <w:color w:val="221F1F"/>
          <w:spacing w:val="-3"/>
        </w:rPr>
        <w:t xml:space="preserve"> </w:t>
      </w:r>
      <w:r>
        <w:rPr>
          <w:color w:val="221F1F"/>
        </w:rPr>
        <w:t>for</w:t>
      </w:r>
      <w:r>
        <w:rPr>
          <w:color w:val="221F1F"/>
          <w:spacing w:val="-1"/>
        </w:rPr>
        <w:t xml:space="preserve"> </w:t>
      </w:r>
      <w:r>
        <w:rPr>
          <w:color w:val="221F1F"/>
        </w:rPr>
        <w:t>tenders,</w:t>
      </w:r>
      <w:r>
        <w:rPr>
          <w:color w:val="221F1F"/>
          <w:spacing w:val="-1"/>
        </w:rPr>
        <w:t xml:space="preserve"> </w:t>
      </w:r>
      <w:r>
        <w:rPr>
          <w:color w:val="221F1F"/>
        </w:rPr>
        <w:t>based</w:t>
      </w:r>
      <w:r>
        <w:rPr>
          <w:color w:val="221F1F"/>
          <w:spacing w:val="-4"/>
        </w:rPr>
        <w:t xml:space="preserve"> </w:t>
      </w:r>
      <w:r>
        <w:rPr>
          <w:color w:val="221F1F"/>
        </w:rPr>
        <w:t>on</w:t>
      </w:r>
      <w:r>
        <w:rPr>
          <w:color w:val="221F1F"/>
          <w:spacing w:val="-4"/>
        </w:rPr>
        <w:t xml:space="preserve"> </w:t>
      </w:r>
      <w:r>
        <w:rPr>
          <w:color w:val="221F1F"/>
        </w:rPr>
        <w:t>their</w:t>
      </w:r>
      <w:r>
        <w:rPr>
          <w:color w:val="221F1F"/>
          <w:spacing w:val="-1"/>
        </w:rPr>
        <w:t xml:space="preserve"> </w:t>
      </w:r>
      <w:r>
        <w:rPr>
          <w:color w:val="221F1F"/>
        </w:rPr>
        <w:t>qualifications, abilities or experience;</w:t>
      </w:r>
    </w:p>
    <w:p w:rsidR="007F6DF9" w:rsidRDefault="00A43FBC">
      <w:pPr>
        <w:pStyle w:val="ListParagraph"/>
        <w:numPr>
          <w:ilvl w:val="0"/>
          <w:numId w:val="139"/>
        </w:numPr>
        <w:tabs>
          <w:tab w:val="left" w:pos="1112"/>
        </w:tabs>
        <w:spacing w:before="236"/>
      </w:pPr>
      <w:proofErr w:type="spellStart"/>
      <w:r>
        <w:rPr>
          <w:color w:val="221F1F"/>
        </w:rPr>
        <w:t>TheTenderer</w:t>
      </w:r>
      <w:proofErr w:type="spellEnd"/>
      <w:r>
        <w:rPr>
          <w:color w:val="221F1F"/>
          <w:spacing w:val="-4"/>
        </w:rPr>
        <w:t xml:space="preserve"> </w:t>
      </w:r>
      <w:r>
        <w:rPr>
          <w:color w:val="221F1F"/>
        </w:rPr>
        <w:t>discloses</w:t>
      </w:r>
      <w:r>
        <w:rPr>
          <w:color w:val="221F1F"/>
          <w:spacing w:val="-3"/>
        </w:rPr>
        <w:t xml:space="preserve"> </w:t>
      </w:r>
      <w:r>
        <w:rPr>
          <w:color w:val="221F1F"/>
        </w:rPr>
        <w:t>that</w:t>
      </w:r>
      <w:r>
        <w:rPr>
          <w:color w:val="221F1F"/>
          <w:spacing w:val="-4"/>
        </w:rPr>
        <w:t xml:space="preserve"> </w:t>
      </w:r>
      <w:r>
        <w:rPr>
          <w:color w:val="221F1F"/>
        </w:rPr>
        <w:t>[check</w:t>
      </w:r>
      <w:r>
        <w:rPr>
          <w:color w:val="221F1F"/>
          <w:spacing w:val="-1"/>
        </w:rPr>
        <w:t xml:space="preserve"> </w:t>
      </w:r>
      <w:r>
        <w:rPr>
          <w:color w:val="221F1F"/>
        </w:rPr>
        <w:t>one</w:t>
      </w:r>
      <w:r>
        <w:rPr>
          <w:color w:val="221F1F"/>
          <w:spacing w:val="-5"/>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following,</w:t>
      </w:r>
      <w:r>
        <w:rPr>
          <w:color w:val="221F1F"/>
          <w:spacing w:val="-3"/>
        </w:rPr>
        <w:t xml:space="preserve"> </w:t>
      </w:r>
      <w:r>
        <w:rPr>
          <w:color w:val="221F1F"/>
        </w:rPr>
        <w:t>as</w:t>
      </w:r>
      <w:r>
        <w:rPr>
          <w:color w:val="221F1F"/>
          <w:spacing w:val="-1"/>
        </w:rPr>
        <w:t xml:space="preserve"> </w:t>
      </w:r>
      <w:r>
        <w:rPr>
          <w:color w:val="221F1F"/>
          <w:spacing w:val="-2"/>
        </w:rPr>
        <w:t>applicable]:</w:t>
      </w:r>
    </w:p>
    <w:p w:rsidR="007F6DF9" w:rsidRDefault="00A43FBC">
      <w:pPr>
        <w:pStyle w:val="ListParagraph"/>
        <w:numPr>
          <w:ilvl w:val="1"/>
          <w:numId w:val="139"/>
        </w:numPr>
        <w:tabs>
          <w:tab w:val="left" w:pos="1489"/>
        </w:tabs>
        <w:spacing w:before="244" w:line="230" w:lineRule="auto"/>
        <w:ind w:right="981"/>
      </w:pPr>
      <w:r>
        <w:rPr>
          <w:color w:val="221F1F"/>
        </w:rPr>
        <w:t>The</w:t>
      </w:r>
      <w:r>
        <w:rPr>
          <w:color w:val="221F1F"/>
          <w:spacing w:val="-4"/>
        </w:rPr>
        <w:t xml:space="preserve"> </w:t>
      </w:r>
      <w:r>
        <w:rPr>
          <w:color w:val="221F1F"/>
        </w:rPr>
        <w:t>Tenderer</w:t>
      </w:r>
      <w:r>
        <w:rPr>
          <w:color w:val="221F1F"/>
          <w:spacing w:val="-4"/>
        </w:rPr>
        <w:t xml:space="preserve"> </w:t>
      </w:r>
      <w:r>
        <w:rPr>
          <w:color w:val="221F1F"/>
        </w:rPr>
        <w:t>has</w:t>
      </w:r>
      <w:r>
        <w:rPr>
          <w:color w:val="221F1F"/>
          <w:spacing w:val="-4"/>
        </w:rPr>
        <w:t xml:space="preserve"> </w:t>
      </w:r>
      <w:r>
        <w:rPr>
          <w:color w:val="221F1F"/>
        </w:rPr>
        <w:t>arrived</w:t>
      </w:r>
      <w:r>
        <w:rPr>
          <w:color w:val="221F1F"/>
          <w:spacing w:val="-5"/>
        </w:rPr>
        <w:t xml:space="preserve"> </w:t>
      </w:r>
      <w:r>
        <w:rPr>
          <w:color w:val="221F1F"/>
        </w:rPr>
        <w:t>at</w:t>
      </w:r>
      <w:r>
        <w:rPr>
          <w:color w:val="221F1F"/>
          <w:spacing w:val="-5"/>
        </w:rPr>
        <w:t xml:space="preserve"> </w:t>
      </w:r>
      <w:r>
        <w:rPr>
          <w:color w:val="221F1F"/>
        </w:rPr>
        <w:t>the</w:t>
      </w:r>
      <w:r>
        <w:rPr>
          <w:color w:val="221F1F"/>
          <w:spacing w:val="-2"/>
        </w:rPr>
        <w:t xml:space="preserve"> </w:t>
      </w:r>
      <w:r>
        <w:rPr>
          <w:color w:val="221F1F"/>
        </w:rPr>
        <w:t>Tender</w:t>
      </w:r>
      <w:r>
        <w:rPr>
          <w:color w:val="221F1F"/>
          <w:spacing w:val="-10"/>
        </w:rPr>
        <w:t xml:space="preserve"> </w:t>
      </w:r>
      <w:r>
        <w:rPr>
          <w:color w:val="221F1F"/>
        </w:rPr>
        <w:t>independently</w:t>
      </w:r>
      <w:r>
        <w:rPr>
          <w:color w:val="221F1F"/>
          <w:spacing w:val="-6"/>
        </w:rPr>
        <w:t xml:space="preserve"> </w:t>
      </w:r>
      <w:r>
        <w:rPr>
          <w:color w:val="221F1F"/>
        </w:rPr>
        <w:t>from,</w:t>
      </w:r>
      <w:r>
        <w:rPr>
          <w:color w:val="221F1F"/>
          <w:spacing w:val="-6"/>
        </w:rPr>
        <w:t xml:space="preserve"> </w:t>
      </w:r>
      <w:r>
        <w:rPr>
          <w:color w:val="221F1F"/>
        </w:rPr>
        <w:t>and</w:t>
      </w:r>
      <w:r>
        <w:rPr>
          <w:color w:val="221F1F"/>
          <w:spacing w:val="-4"/>
        </w:rPr>
        <w:t xml:space="preserve"> </w:t>
      </w:r>
      <w:r>
        <w:rPr>
          <w:color w:val="221F1F"/>
        </w:rPr>
        <w:t>without</w:t>
      </w:r>
      <w:r>
        <w:rPr>
          <w:color w:val="221F1F"/>
          <w:spacing w:val="-3"/>
        </w:rPr>
        <w:t xml:space="preserve"> </w:t>
      </w:r>
      <w:r>
        <w:rPr>
          <w:color w:val="221F1F"/>
        </w:rPr>
        <w:t>consultation,</w:t>
      </w:r>
      <w:r>
        <w:rPr>
          <w:color w:val="221F1F"/>
          <w:spacing w:val="-4"/>
        </w:rPr>
        <w:t xml:space="preserve"> </w:t>
      </w:r>
      <w:r>
        <w:rPr>
          <w:color w:val="221F1F"/>
        </w:rPr>
        <w:t>communication, agreement or arrangement with, any competitor;</w:t>
      </w:r>
    </w:p>
    <w:p w:rsidR="007F6DF9" w:rsidRDefault="00A43FBC">
      <w:pPr>
        <w:pStyle w:val="ListParagraph"/>
        <w:numPr>
          <w:ilvl w:val="1"/>
          <w:numId w:val="139"/>
        </w:numPr>
        <w:tabs>
          <w:tab w:val="left" w:pos="1487"/>
          <w:tab w:val="left" w:pos="1489"/>
        </w:tabs>
        <w:spacing w:before="245" w:line="230" w:lineRule="auto"/>
        <w:ind w:right="555"/>
        <w:jc w:val="both"/>
      </w:pPr>
      <w:proofErr w:type="spellStart"/>
      <w:r>
        <w:rPr>
          <w:color w:val="221F1F"/>
        </w:rPr>
        <w:t>theTenderer</w:t>
      </w:r>
      <w:proofErr w:type="spellEnd"/>
      <w:r>
        <w:rPr>
          <w:color w:val="221F1F"/>
          <w:spacing w:val="-3"/>
        </w:rPr>
        <w:t xml:space="preserve"> </w:t>
      </w:r>
      <w:r>
        <w:rPr>
          <w:color w:val="221F1F"/>
        </w:rPr>
        <w:t>has</w:t>
      </w:r>
      <w:r>
        <w:rPr>
          <w:color w:val="221F1F"/>
          <w:spacing w:val="-4"/>
        </w:rPr>
        <w:t xml:space="preserve"> </w:t>
      </w:r>
      <w:r>
        <w:rPr>
          <w:color w:val="221F1F"/>
        </w:rPr>
        <w:t>entered</w:t>
      </w:r>
      <w:r>
        <w:rPr>
          <w:color w:val="221F1F"/>
          <w:spacing w:val="-4"/>
        </w:rPr>
        <w:t xml:space="preserve"> </w:t>
      </w:r>
      <w:r>
        <w:rPr>
          <w:color w:val="221F1F"/>
        </w:rPr>
        <w:t>into</w:t>
      </w:r>
      <w:r>
        <w:rPr>
          <w:color w:val="221F1F"/>
          <w:spacing w:val="-2"/>
        </w:rPr>
        <w:t xml:space="preserve"> </w:t>
      </w:r>
      <w:r>
        <w:rPr>
          <w:color w:val="221F1F"/>
        </w:rPr>
        <w:t>consultations,</w:t>
      </w:r>
      <w:r>
        <w:rPr>
          <w:color w:val="221F1F"/>
          <w:spacing w:val="-1"/>
        </w:rPr>
        <w:t xml:space="preserve"> </w:t>
      </w:r>
      <w:r>
        <w:rPr>
          <w:color w:val="221F1F"/>
        </w:rPr>
        <w:t>communications,</w:t>
      </w:r>
      <w:r>
        <w:rPr>
          <w:color w:val="221F1F"/>
          <w:spacing w:val="-3"/>
        </w:rPr>
        <w:t xml:space="preserve"> </w:t>
      </w:r>
      <w:r>
        <w:rPr>
          <w:color w:val="221F1F"/>
        </w:rPr>
        <w:t>agreements</w:t>
      </w:r>
      <w:r>
        <w:rPr>
          <w:color w:val="221F1F"/>
          <w:spacing w:val="-4"/>
        </w:rPr>
        <w:t xml:space="preserve"> </w:t>
      </w:r>
      <w:r>
        <w:rPr>
          <w:color w:val="221F1F"/>
        </w:rPr>
        <w:t>or</w:t>
      </w:r>
      <w:r>
        <w:rPr>
          <w:color w:val="221F1F"/>
          <w:spacing w:val="-4"/>
        </w:rPr>
        <w:t xml:space="preserve"> </w:t>
      </w:r>
      <w:r>
        <w:rPr>
          <w:color w:val="221F1F"/>
        </w:rPr>
        <w:t>arrangements</w:t>
      </w:r>
      <w:r>
        <w:rPr>
          <w:color w:val="221F1F"/>
          <w:spacing w:val="-3"/>
        </w:rPr>
        <w:t xml:space="preserve"> </w:t>
      </w:r>
      <w:r>
        <w:rPr>
          <w:color w:val="221F1F"/>
        </w:rPr>
        <w:t>with</w:t>
      </w:r>
      <w:r>
        <w:rPr>
          <w:color w:val="221F1F"/>
          <w:spacing w:val="-2"/>
        </w:rPr>
        <w:t xml:space="preserve"> </w:t>
      </w:r>
      <w:r>
        <w:rPr>
          <w:color w:val="221F1F"/>
        </w:rPr>
        <w:t>one</w:t>
      </w:r>
      <w:r>
        <w:rPr>
          <w:color w:val="221F1F"/>
          <w:spacing w:val="-2"/>
        </w:rPr>
        <w:t xml:space="preserve"> </w:t>
      </w:r>
      <w:r>
        <w:rPr>
          <w:color w:val="221F1F"/>
        </w:rPr>
        <w:t>or</w:t>
      </w:r>
      <w:r>
        <w:rPr>
          <w:color w:val="221F1F"/>
          <w:spacing w:val="-4"/>
        </w:rPr>
        <w:t xml:space="preserve"> </w:t>
      </w:r>
      <w:r>
        <w:rPr>
          <w:color w:val="221F1F"/>
        </w:rPr>
        <w:t>more competitors regarding this request for tenders, and the Tenderer discloses, in the attached document(s), complete details thereof, including the names of the competitors and the nature of, and reasons for, such consultations, communications, agreements or arrangements;</w:t>
      </w:r>
    </w:p>
    <w:p w:rsidR="007F6DF9" w:rsidRDefault="00A43FBC">
      <w:pPr>
        <w:pStyle w:val="ListParagraph"/>
        <w:numPr>
          <w:ilvl w:val="0"/>
          <w:numId w:val="139"/>
        </w:numPr>
        <w:tabs>
          <w:tab w:val="left" w:pos="1112"/>
          <w:tab w:val="left" w:pos="1117"/>
        </w:tabs>
        <w:spacing w:before="245" w:line="230" w:lineRule="auto"/>
        <w:ind w:left="1117" w:right="577" w:hanging="409"/>
      </w:pPr>
      <w:proofErr w:type="spellStart"/>
      <w:r>
        <w:rPr>
          <w:color w:val="221F1F"/>
        </w:rPr>
        <w:t>Inparticular</w:t>
      </w:r>
      <w:proofErr w:type="spellEnd"/>
      <w:r>
        <w:rPr>
          <w:color w:val="221F1F"/>
        </w:rPr>
        <w:t>,</w:t>
      </w:r>
      <w:r>
        <w:rPr>
          <w:color w:val="221F1F"/>
          <w:spacing w:val="-2"/>
        </w:rPr>
        <w:t xml:space="preserve"> </w:t>
      </w:r>
      <w:r>
        <w:rPr>
          <w:color w:val="221F1F"/>
        </w:rPr>
        <w:t>without</w:t>
      </w:r>
      <w:r>
        <w:rPr>
          <w:color w:val="221F1F"/>
          <w:spacing w:val="-3"/>
        </w:rPr>
        <w:t xml:space="preserve"> </w:t>
      </w:r>
      <w:r>
        <w:rPr>
          <w:color w:val="221F1F"/>
        </w:rPr>
        <w:t>limiting</w:t>
      </w:r>
      <w:r>
        <w:rPr>
          <w:color w:val="221F1F"/>
          <w:spacing w:val="-2"/>
        </w:rPr>
        <w:t xml:space="preserve"> </w:t>
      </w:r>
      <w:r>
        <w:rPr>
          <w:color w:val="221F1F"/>
        </w:rPr>
        <w:t>the</w:t>
      </w:r>
      <w:r>
        <w:rPr>
          <w:color w:val="221F1F"/>
          <w:spacing w:val="-2"/>
        </w:rPr>
        <w:t xml:space="preserve"> </w:t>
      </w:r>
      <w:r>
        <w:rPr>
          <w:color w:val="221F1F"/>
        </w:rPr>
        <w:t>generality</w:t>
      </w:r>
      <w:r>
        <w:rPr>
          <w:color w:val="221F1F"/>
          <w:spacing w:val="-2"/>
        </w:rPr>
        <w:t xml:space="preserve"> </w:t>
      </w:r>
      <w:r>
        <w:rPr>
          <w:color w:val="221F1F"/>
        </w:rPr>
        <w:t>of</w:t>
      </w:r>
      <w:r>
        <w:rPr>
          <w:color w:val="221F1F"/>
          <w:spacing w:val="-2"/>
        </w:rPr>
        <w:t xml:space="preserve"> </w:t>
      </w:r>
      <w:r>
        <w:rPr>
          <w:color w:val="221F1F"/>
        </w:rPr>
        <w:t>paragraphs</w:t>
      </w:r>
      <w:r>
        <w:rPr>
          <w:color w:val="221F1F"/>
          <w:spacing w:val="-2"/>
        </w:rPr>
        <w:t xml:space="preserve"> </w:t>
      </w:r>
      <w:r>
        <w:rPr>
          <w:color w:val="221F1F"/>
        </w:rPr>
        <w:t>(5)(a)</w:t>
      </w:r>
      <w:r>
        <w:rPr>
          <w:color w:val="221F1F"/>
          <w:spacing w:val="-2"/>
        </w:rPr>
        <w:t xml:space="preserve"> </w:t>
      </w:r>
      <w:r>
        <w:rPr>
          <w:color w:val="221F1F"/>
        </w:rPr>
        <w:t>or(5)(b)</w:t>
      </w:r>
      <w:r>
        <w:rPr>
          <w:color w:val="221F1F"/>
          <w:spacing w:val="-1"/>
        </w:rPr>
        <w:t xml:space="preserve"> </w:t>
      </w:r>
      <w:r>
        <w:rPr>
          <w:color w:val="221F1F"/>
        </w:rPr>
        <w:t>above,</w:t>
      </w:r>
      <w:r>
        <w:rPr>
          <w:color w:val="221F1F"/>
          <w:spacing w:val="-4"/>
        </w:rPr>
        <w:t xml:space="preserve"> </w:t>
      </w:r>
      <w:r>
        <w:rPr>
          <w:color w:val="221F1F"/>
        </w:rPr>
        <w:t>there</w:t>
      </w:r>
      <w:r>
        <w:rPr>
          <w:color w:val="221F1F"/>
          <w:spacing w:val="-2"/>
        </w:rPr>
        <w:t xml:space="preserve"> </w:t>
      </w:r>
      <w:r>
        <w:rPr>
          <w:color w:val="221F1F"/>
        </w:rPr>
        <w:t>has</w:t>
      </w:r>
      <w:r>
        <w:rPr>
          <w:color w:val="221F1F"/>
          <w:spacing w:val="-2"/>
        </w:rPr>
        <w:t xml:space="preserve"> </w:t>
      </w:r>
      <w:r>
        <w:rPr>
          <w:color w:val="221F1F"/>
        </w:rPr>
        <w:t>been</w:t>
      </w:r>
      <w:r>
        <w:rPr>
          <w:color w:val="221F1F"/>
          <w:spacing w:val="-2"/>
        </w:rPr>
        <w:t xml:space="preserve"> </w:t>
      </w:r>
      <w:r>
        <w:rPr>
          <w:color w:val="221F1F"/>
        </w:rPr>
        <w:t>no</w:t>
      </w:r>
      <w:r>
        <w:rPr>
          <w:color w:val="221F1F"/>
          <w:spacing w:val="-5"/>
        </w:rPr>
        <w:t xml:space="preserve"> </w:t>
      </w:r>
      <w:r>
        <w:rPr>
          <w:color w:val="221F1F"/>
        </w:rPr>
        <w:t>consultation, communication, agreement or arrangement with any competitor regarding:</w:t>
      </w:r>
    </w:p>
    <w:p w:rsidR="007F6DF9" w:rsidRDefault="00A43FBC">
      <w:pPr>
        <w:pStyle w:val="ListParagraph"/>
        <w:numPr>
          <w:ilvl w:val="1"/>
          <w:numId w:val="139"/>
        </w:numPr>
        <w:tabs>
          <w:tab w:val="left" w:pos="1488"/>
        </w:tabs>
        <w:spacing w:before="228" w:line="249" w:lineRule="exact"/>
        <w:ind w:left="1488" w:hanging="376"/>
      </w:pPr>
      <w:r>
        <w:rPr>
          <w:color w:val="221F1F"/>
          <w:spacing w:val="-2"/>
        </w:rPr>
        <w:t>prices;</w:t>
      </w:r>
    </w:p>
    <w:p w:rsidR="007F6DF9" w:rsidRDefault="00A43FBC">
      <w:pPr>
        <w:pStyle w:val="ListParagraph"/>
        <w:numPr>
          <w:ilvl w:val="1"/>
          <w:numId w:val="139"/>
        </w:numPr>
        <w:tabs>
          <w:tab w:val="left" w:pos="1487"/>
        </w:tabs>
        <w:spacing w:line="245" w:lineRule="exact"/>
        <w:ind w:left="1487" w:hanging="375"/>
      </w:pPr>
      <w:r>
        <w:rPr>
          <w:color w:val="221F1F"/>
        </w:rPr>
        <w:t>methods,</w:t>
      </w:r>
      <w:r>
        <w:rPr>
          <w:color w:val="221F1F"/>
          <w:spacing w:val="-6"/>
        </w:rPr>
        <w:t xml:space="preserve"> </w:t>
      </w:r>
      <w:r>
        <w:rPr>
          <w:color w:val="221F1F"/>
        </w:rPr>
        <w:t>factors</w:t>
      </w:r>
      <w:r>
        <w:rPr>
          <w:color w:val="221F1F"/>
          <w:spacing w:val="-2"/>
        </w:rPr>
        <w:t xml:space="preserve"> </w:t>
      </w:r>
      <w:r>
        <w:rPr>
          <w:color w:val="221F1F"/>
        </w:rPr>
        <w:t>or</w:t>
      </w:r>
      <w:r>
        <w:rPr>
          <w:color w:val="221F1F"/>
          <w:spacing w:val="-2"/>
        </w:rPr>
        <w:t xml:space="preserve"> </w:t>
      </w:r>
      <w:r>
        <w:rPr>
          <w:color w:val="221F1F"/>
        </w:rPr>
        <w:t>formulas</w:t>
      </w:r>
      <w:r>
        <w:rPr>
          <w:color w:val="221F1F"/>
          <w:spacing w:val="-2"/>
        </w:rPr>
        <w:t xml:space="preserve"> </w:t>
      </w:r>
      <w:r>
        <w:rPr>
          <w:color w:val="221F1F"/>
        </w:rPr>
        <w:t>used</w:t>
      </w:r>
      <w:r>
        <w:rPr>
          <w:color w:val="221F1F"/>
          <w:spacing w:val="-5"/>
        </w:rPr>
        <w:t xml:space="preserve"> </w:t>
      </w:r>
      <w:r>
        <w:rPr>
          <w:color w:val="221F1F"/>
        </w:rPr>
        <w:t>to</w:t>
      </w:r>
      <w:r>
        <w:rPr>
          <w:color w:val="221F1F"/>
          <w:spacing w:val="-6"/>
        </w:rPr>
        <w:t xml:space="preserve"> </w:t>
      </w:r>
      <w:r>
        <w:rPr>
          <w:color w:val="221F1F"/>
        </w:rPr>
        <w:t>calculate</w:t>
      </w:r>
      <w:r>
        <w:rPr>
          <w:color w:val="221F1F"/>
          <w:spacing w:val="-2"/>
        </w:rPr>
        <w:t xml:space="preserve"> prices;</w:t>
      </w:r>
    </w:p>
    <w:p w:rsidR="007F6DF9" w:rsidRDefault="00A43FBC">
      <w:pPr>
        <w:pStyle w:val="ListParagraph"/>
        <w:numPr>
          <w:ilvl w:val="1"/>
          <w:numId w:val="139"/>
        </w:numPr>
        <w:tabs>
          <w:tab w:val="left" w:pos="1488"/>
        </w:tabs>
        <w:spacing w:line="247" w:lineRule="exact"/>
        <w:ind w:left="1488" w:hanging="376"/>
      </w:pPr>
      <w:r>
        <w:rPr>
          <w:color w:val="221F1F"/>
        </w:rPr>
        <w:t>the</w:t>
      </w:r>
      <w:r>
        <w:rPr>
          <w:color w:val="221F1F"/>
          <w:spacing w:val="-4"/>
        </w:rPr>
        <w:t xml:space="preserve"> </w:t>
      </w:r>
      <w:proofErr w:type="spellStart"/>
      <w:r>
        <w:rPr>
          <w:color w:val="221F1F"/>
        </w:rPr>
        <w:t>intentiono</w:t>
      </w:r>
      <w:proofErr w:type="spellEnd"/>
      <w:r>
        <w:rPr>
          <w:color w:val="221F1F"/>
          <w:spacing w:val="-3"/>
        </w:rPr>
        <w:t xml:space="preserve"> </w:t>
      </w:r>
      <w:r>
        <w:rPr>
          <w:color w:val="221F1F"/>
        </w:rPr>
        <w:t>r</w:t>
      </w:r>
      <w:r>
        <w:rPr>
          <w:color w:val="221F1F"/>
          <w:spacing w:val="-1"/>
        </w:rPr>
        <w:t xml:space="preserve"> </w:t>
      </w:r>
      <w:r>
        <w:rPr>
          <w:color w:val="221F1F"/>
        </w:rPr>
        <w:t>decision</w:t>
      </w:r>
      <w:r>
        <w:rPr>
          <w:color w:val="221F1F"/>
          <w:spacing w:val="-3"/>
        </w:rPr>
        <w:t xml:space="preserve"> </w:t>
      </w:r>
      <w:r>
        <w:rPr>
          <w:color w:val="221F1F"/>
        </w:rPr>
        <w:t>to</w:t>
      </w:r>
      <w:r>
        <w:rPr>
          <w:color w:val="221F1F"/>
          <w:spacing w:val="-4"/>
        </w:rPr>
        <w:t xml:space="preserve"> </w:t>
      </w:r>
      <w:r>
        <w:rPr>
          <w:color w:val="221F1F"/>
        </w:rPr>
        <w:t>submit,</w:t>
      </w:r>
      <w:r>
        <w:rPr>
          <w:color w:val="221F1F"/>
          <w:spacing w:val="-4"/>
        </w:rPr>
        <w:t xml:space="preserve"> </w:t>
      </w:r>
      <w:r>
        <w:rPr>
          <w:color w:val="221F1F"/>
        </w:rPr>
        <w:t>or not</w:t>
      </w:r>
      <w:r>
        <w:rPr>
          <w:color w:val="221F1F"/>
          <w:spacing w:val="-4"/>
        </w:rPr>
        <w:t xml:space="preserve"> </w:t>
      </w:r>
      <w:r>
        <w:rPr>
          <w:color w:val="221F1F"/>
        </w:rPr>
        <w:t>to</w:t>
      </w:r>
      <w:r>
        <w:rPr>
          <w:color w:val="221F1F"/>
          <w:spacing w:val="-1"/>
        </w:rPr>
        <w:t xml:space="preserve"> </w:t>
      </w:r>
      <w:r>
        <w:rPr>
          <w:color w:val="221F1F"/>
        </w:rPr>
        <w:t>submit,</w:t>
      </w:r>
      <w:r>
        <w:rPr>
          <w:color w:val="221F1F"/>
          <w:spacing w:val="-4"/>
        </w:rPr>
        <w:t xml:space="preserve"> </w:t>
      </w:r>
      <w:r>
        <w:rPr>
          <w:color w:val="221F1F"/>
        </w:rPr>
        <w:t>a</w:t>
      </w:r>
      <w:r>
        <w:rPr>
          <w:color w:val="221F1F"/>
          <w:spacing w:val="-1"/>
        </w:rPr>
        <w:t xml:space="preserve"> </w:t>
      </w:r>
      <w:r>
        <w:rPr>
          <w:color w:val="221F1F"/>
        </w:rPr>
        <w:t xml:space="preserve">tender; </w:t>
      </w:r>
      <w:r>
        <w:rPr>
          <w:color w:val="221F1F"/>
          <w:spacing w:val="-5"/>
        </w:rPr>
        <w:t>or</w:t>
      </w:r>
    </w:p>
    <w:p w:rsidR="007F6DF9" w:rsidRDefault="00A43FBC">
      <w:pPr>
        <w:pStyle w:val="ListParagraph"/>
        <w:numPr>
          <w:ilvl w:val="1"/>
          <w:numId w:val="139"/>
        </w:numPr>
        <w:tabs>
          <w:tab w:val="left" w:pos="1487"/>
          <w:tab w:val="left" w:pos="1489"/>
        </w:tabs>
        <w:spacing w:before="7" w:line="230" w:lineRule="auto"/>
        <w:ind w:right="987"/>
      </w:pPr>
      <w:r>
        <w:rPr>
          <w:color w:val="221F1F"/>
        </w:rPr>
        <w:t>the</w:t>
      </w:r>
      <w:r>
        <w:rPr>
          <w:color w:val="221F1F"/>
          <w:spacing w:val="-2"/>
        </w:rPr>
        <w:t xml:space="preserve"> </w:t>
      </w:r>
      <w:r>
        <w:rPr>
          <w:color w:val="221F1F"/>
        </w:rPr>
        <w:t>submission</w:t>
      </w:r>
      <w:r>
        <w:rPr>
          <w:color w:val="221F1F"/>
          <w:spacing w:val="-5"/>
        </w:rPr>
        <w:t xml:space="preserve"> </w:t>
      </w:r>
      <w:r>
        <w:rPr>
          <w:color w:val="221F1F"/>
        </w:rPr>
        <w:t>of</w:t>
      </w:r>
      <w:r>
        <w:rPr>
          <w:color w:val="221F1F"/>
          <w:spacing w:val="-4"/>
        </w:rPr>
        <w:t xml:space="preserve"> </w:t>
      </w:r>
      <w:r>
        <w:rPr>
          <w:color w:val="221F1F"/>
        </w:rPr>
        <w:t>a</w:t>
      </w:r>
      <w:r>
        <w:rPr>
          <w:color w:val="221F1F"/>
          <w:spacing w:val="-2"/>
        </w:rPr>
        <w:t xml:space="preserve"> </w:t>
      </w:r>
      <w:r>
        <w:rPr>
          <w:color w:val="221F1F"/>
        </w:rPr>
        <w:t>tender</w:t>
      </w:r>
      <w:r>
        <w:rPr>
          <w:color w:val="221F1F"/>
          <w:spacing w:val="-4"/>
        </w:rPr>
        <w:t xml:space="preserve"> </w:t>
      </w:r>
      <w:r>
        <w:rPr>
          <w:color w:val="221F1F"/>
        </w:rPr>
        <w:t>which</w:t>
      </w:r>
      <w:r>
        <w:rPr>
          <w:color w:val="221F1F"/>
          <w:spacing w:val="-2"/>
        </w:rPr>
        <w:t xml:space="preserve"> </w:t>
      </w:r>
      <w:r>
        <w:rPr>
          <w:color w:val="221F1F"/>
        </w:rPr>
        <w:t>does</w:t>
      </w:r>
      <w:r>
        <w:rPr>
          <w:color w:val="221F1F"/>
          <w:spacing w:val="-2"/>
        </w:rPr>
        <w:t xml:space="preserve"> </w:t>
      </w:r>
      <w:r>
        <w:rPr>
          <w:color w:val="221F1F"/>
        </w:rPr>
        <w:t>not</w:t>
      </w:r>
      <w:r>
        <w:rPr>
          <w:color w:val="221F1F"/>
          <w:spacing w:val="-4"/>
        </w:rPr>
        <w:t xml:space="preserve"> </w:t>
      </w:r>
      <w:r>
        <w:rPr>
          <w:color w:val="221F1F"/>
        </w:rPr>
        <w:t>meet</w:t>
      </w:r>
      <w:r>
        <w:rPr>
          <w:color w:val="221F1F"/>
          <w:spacing w:val="-1"/>
        </w:rPr>
        <w:t xml:space="preserve"> </w:t>
      </w:r>
      <w:r>
        <w:rPr>
          <w:color w:val="221F1F"/>
        </w:rPr>
        <w:t>the</w:t>
      </w:r>
      <w:r>
        <w:rPr>
          <w:color w:val="221F1F"/>
          <w:spacing w:val="-2"/>
        </w:rPr>
        <w:t xml:space="preserve"> </w:t>
      </w:r>
      <w:r>
        <w:rPr>
          <w:color w:val="221F1F"/>
        </w:rPr>
        <w:t>specifications</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request</w:t>
      </w:r>
      <w:r>
        <w:rPr>
          <w:color w:val="221F1F"/>
          <w:spacing w:val="-1"/>
        </w:rPr>
        <w:t xml:space="preserve"> </w:t>
      </w:r>
      <w:r>
        <w:rPr>
          <w:color w:val="221F1F"/>
        </w:rPr>
        <w:t>for</w:t>
      </w:r>
      <w:r>
        <w:rPr>
          <w:color w:val="221F1F"/>
          <w:spacing w:val="-2"/>
        </w:rPr>
        <w:t xml:space="preserve"> </w:t>
      </w:r>
      <w:r>
        <w:rPr>
          <w:color w:val="221F1F"/>
        </w:rPr>
        <w:t>Tenders;</w:t>
      </w:r>
      <w:r>
        <w:rPr>
          <w:color w:val="221F1F"/>
          <w:spacing w:val="-1"/>
        </w:rPr>
        <w:t xml:space="preserve"> </w:t>
      </w:r>
      <w:r>
        <w:rPr>
          <w:color w:val="221F1F"/>
        </w:rPr>
        <w:t>except</w:t>
      </w:r>
      <w:r>
        <w:rPr>
          <w:color w:val="221F1F"/>
          <w:spacing w:val="-1"/>
        </w:rPr>
        <w:t xml:space="preserve"> </w:t>
      </w:r>
      <w:r>
        <w:rPr>
          <w:color w:val="221F1F"/>
        </w:rPr>
        <w:t xml:space="preserve">as specifically disclosed </w:t>
      </w:r>
      <w:proofErr w:type="spellStart"/>
      <w:r>
        <w:rPr>
          <w:color w:val="221F1F"/>
        </w:rPr>
        <w:t>pursuan</w:t>
      </w:r>
      <w:proofErr w:type="spellEnd"/>
      <w:r>
        <w:rPr>
          <w:color w:val="221F1F"/>
        </w:rPr>
        <w:t xml:space="preserve"> </w:t>
      </w:r>
      <w:proofErr w:type="spellStart"/>
      <w:r>
        <w:rPr>
          <w:color w:val="221F1F"/>
        </w:rPr>
        <w:t>tto</w:t>
      </w:r>
      <w:proofErr w:type="spellEnd"/>
      <w:r>
        <w:rPr>
          <w:color w:val="221F1F"/>
        </w:rPr>
        <w:t xml:space="preserve"> paragraph (5)(b) above;</w:t>
      </w:r>
    </w:p>
    <w:p w:rsidR="007F6DF9" w:rsidRDefault="00A43FBC">
      <w:pPr>
        <w:pStyle w:val="ListParagraph"/>
        <w:numPr>
          <w:ilvl w:val="0"/>
          <w:numId w:val="139"/>
        </w:numPr>
        <w:tabs>
          <w:tab w:val="left" w:pos="1110"/>
          <w:tab w:val="left" w:pos="1117"/>
        </w:tabs>
        <w:spacing w:before="244" w:line="230" w:lineRule="auto"/>
        <w:ind w:left="1117" w:right="555" w:hanging="409"/>
        <w:jc w:val="both"/>
      </w:pPr>
      <w:r>
        <w:rPr>
          <w:color w:val="221F1F"/>
        </w:rPr>
        <w:t>In addition, there has been no consultation, communication, agreement or arrangement with any competitor regarding</w:t>
      </w:r>
      <w:r>
        <w:rPr>
          <w:color w:val="221F1F"/>
          <w:spacing w:val="-16"/>
        </w:rPr>
        <w:t xml:space="preserve"> </w:t>
      </w:r>
      <w:r>
        <w:rPr>
          <w:color w:val="221F1F"/>
        </w:rPr>
        <w:t>the</w:t>
      </w:r>
      <w:r>
        <w:rPr>
          <w:color w:val="221F1F"/>
          <w:spacing w:val="-14"/>
        </w:rPr>
        <w:t xml:space="preserve"> </w:t>
      </w:r>
      <w:r>
        <w:rPr>
          <w:color w:val="221F1F"/>
        </w:rPr>
        <w:t>quality,</w:t>
      </w:r>
      <w:r>
        <w:rPr>
          <w:color w:val="221F1F"/>
          <w:spacing w:val="-14"/>
        </w:rPr>
        <w:t xml:space="preserve"> </w:t>
      </w:r>
      <w:r>
        <w:rPr>
          <w:color w:val="221F1F"/>
        </w:rPr>
        <w:t>quantity,</w:t>
      </w:r>
      <w:r>
        <w:rPr>
          <w:color w:val="221F1F"/>
          <w:spacing w:val="-13"/>
        </w:rPr>
        <w:t xml:space="preserve"> </w:t>
      </w:r>
      <w:r>
        <w:rPr>
          <w:color w:val="221F1F"/>
        </w:rPr>
        <w:t>specifications</w:t>
      </w:r>
      <w:r>
        <w:rPr>
          <w:color w:val="221F1F"/>
          <w:spacing w:val="-14"/>
        </w:rPr>
        <w:t xml:space="preserve"> </w:t>
      </w:r>
      <w:r>
        <w:rPr>
          <w:color w:val="221F1F"/>
        </w:rPr>
        <w:t>or</w:t>
      </w:r>
      <w:r>
        <w:rPr>
          <w:color w:val="221F1F"/>
          <w:spacing w:val="-14"/>
        </w:rPr>
        <w:t xml:space="preserve"> </w:t>
      </w:r>
      <w:r>
        <w:rPr>
          <w:color w:val="221F1F"/>
        </w:rPr>
        <w:t>delivery</w:t>
      </w:r>
      <w:r>
        <w:rPr>
          <w:color w:val="221F1F"/>
          <w:spacing w:val="-14"/>
        </w:rPr>
        <w:t xml:space="preserve"> </w:t>
      </w:r>
      <w:r>
        <w:rPr>
          <w:color w:val="221F1F"/>
        </w:rPr>
        <w:t>particulars</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or</w:t>
      </w:r>
      <w:r>
        <w:rPr>
          <w:color w:val="221F1F"/>
          <w:spacing w:val="-13"/>
        </w:rPr>
        <w:t xml:space="preserve"> </w:t>
      </w:r>
      <w:r>
        <w:rPr>
          <w:color w:val="221F1F"/>
        </w:rPr>
        <w:t>services</w:t>
      </w:r>
      <w:r>
        <w:rPr>
          <w:color w:val="221F1F"/>
          <w:spacing w:val="-14"/>
        </w:rPr>
        <w:t xml:space="preserve"> </w:t>
      </w:r>
      <w:r>
        <w:rPr>
          <w:color w:val="221F1F"/>
        </w:rPr>
        <w:t>to</w:t>
      </w:r>
      <w:r>
        <w:rPr>
          <w:color w:val="221F1F"/>
          <w:spacing w:val="-14"/>
        </w:rPr>
        <w:t xml:space="preserve"> </w:t>
      </w:r>
      <w:r>
        <w:rPr>
          <w:color w:val="221F1F"/>
        </w:rPr>
        <w:t>which</w:t>
      </w:r>
      <w:r>
        <w:rPr>
          <w:color w:val="221F1F"/>
          <w:spacing w:val="-14"/>
        </w:rPr>
        <w:t xml:space="preserve"> </w:t>
      </w:r>
      <w:r>
        <w:rPr>
          <w:color w:val="221F1F"/>
        </w:rPr>
        <w:t>this</w:t>
      </w:r>
      <w:r>
        <w:rPr>
          <w:color w:val="221F1F"/>
          <w:spacing w:val="-13"/>
        </w:rPr>
        <w:t xml:space="preserve"> </w:t>
      </w:r>
      <w:r>
        <w:rPr>
          <w:color w:val="221F1F"/>
        </w:rPr>
        <w:t xml:space="preserve">request for tenders relates, except as specifically authorized by the procuring authority or as specifically disclosed pursuant </w:t>
      </w:r>
      <w:proofErr w:type="spellStart"/>
      <w:r>
        <w:rPr>
          <w:color w:val="221F1F"/>
        </w:rPr>
        <w:t>toparagraph</w:t>
      </w:r>
      <w:proofErr w:type="spellEnd"/>
      <w:r>
        <w:rPr>
          <w:color w:val="221F1F"/>
        </w:rPr>
        <w:t>(5)(b) above;</w:t>
      </w:r>
    </w:p>
    <w:p w:rsidR="007F6DF9" w:rsidRDefault="00A43FBC">
      <w:pPr>
        <w:pStyle w:val="ListParagraph"/>
        <w:numPr>
          <w:ilvl w:val="0"/>
          <w:numId w:val="139"/>
        </w:numPr>
        <w:tabs>
          <w:tab w:val="left" w:pos="1110"/>
          <w:tab w:val="left" w:pos="1117"/>
        </w:tabs>
        <w:spacing w:before="246" w:line="230" w:lineRule="auto"/>
        <w:ind w:left="1117" w:right="556" w:hanging="409"/>
        <w:jc w:val="both"/>
      </w:pPr>
      <w:proofErr w:type="spellStart"/>
      <w:r>
        <w:rPr>
          <w:color w:val="221F1F"/>
        </w:rPr>
        <w:t>Thetermsofthe</w:t>
      </w:r>
      <w:proofErr w:type="spellEnd"/>
      <w:r>
        <w:rPr>
          <w:color w:val="221F1F"/>
          <w:spacing w:val="-14"/>
        </w:rPr>
        <w:t xml:space="preserve"> </w:t>
      </w:r>
      <w:r>
        <w:rPr>
          <w:color w:val="221F1F"/>
        </w:rPr>
        <w:t>Tender</w:t>
      </w:r>
      <w:r>
        <w:rPr>
          <w:color w:val="221F1F"/>
          <w:spacing w:val="-14"/>
        </w:rPr>
        <w:t xml:space="preserve"> </w:t>
      </w:r>
      <w:r>
        <w:rPr>
          <w:color w:val="221F1F"/>
        </w:rPr>
        <w:t>have</w:t>
      </w:r>
      <w:r>
        <w:rPr>
          <w:color w:val="221F1F"/>
          <w:spacing w:val="-14"/>
        </w:rPr>
        <w:t xml:space="preserve"> </w:t>
      </w:r>
      <w:r>
        <w:rPr>
          <w:color w:val="221F1F"/>
        </w:rPr>
        <w:t>not</w:t>
      </w:r>
      <w:r>
        <w:rPr>
          <w:color w:val="221F1F"/>
          <w:spacing w:val="-13"/>
        </w:rPr>
        <w:t xml:space="preserve"> </w:t>
      </w:r>
      <w:r>
        <w:rPr>
          <w:color w:val="221F1F"/>
        </w:rPr>
        <w:t>been,</w:t>
      </w:r>
      <w:r>
        <w:rPr>
          <w:color w:val="221F1F"/>
          <w:spacing w:val="-14"/>
        </w:rPr>
        <w:t xml:space="preserve"> </w:t>
      </w:r>
      <w:r>
        <w:rPr>
          <w:color w:val="221F1F"/>
        </w:rPr>
        <w:t>and</w:t>
      </w:r>
      <w:r>
        <w:rPr>
          <w:color w:val="221F1F"/>
          <w:spacing w:val="-14"/>
        </w:rPr>
        <w:t xml:space="preserve"> </w:t>
      </w:r>
      <w:r>
        <w:rPr>
          <w:color w:val="221F1F"/>
        </w:rPr>
        <w:t>will</w:t>
      </w:r>
      <w:r>
        <w:rPr>
          <w:color w:val="221F1F"/>
          <w:spacing w:val="-14"/>
        </w:rPr>
        <w:t xml:space="preserve"> </w:t>
      </w:r>
      <w:r>
        <w:rPr>
          <w:color w:val="221F1F"/>
        </w:rPr>
        <w:t>not</w:t>
      </w:r>
      <w:r>
        <w:rPr>
          <w:color w:val="221F1F"/>
          <w:spacing w:val="-13"/>
        </w:rPr>
        <w:t xml:space="preserve"> </w:t>
      </w:r>
      <w:r>
        <w:rPr>
          <w:color w:val="221F1F"/>
        </w:rPr>
        <w:t>be,</w:t>
      </w:r>
      <w:r>
        <w:rPr>
          <w:color w:val="221F1F"/>
          <w:spacing w:val="-14"/>
        </w:rPr>
        <w:t xml:space="preserve"> </w:t>
      </w:r>
      <w:r>
        <w:rPr>
          <w:color w:val="221F1F"/>
        </w:rPr>
        <w:t>knowingly</w:t>
      </w:r>
      <w:r>
        <w:rPr>
          <w:color w:val="221F1F"/>
          <w:spacing w:val="-14"/>
        </w:rPr>
        <w:t xml:space="preserve"> </w:t>
      </w:r>
      <w:r>
        <w:rPr>
          <w:color w:val="221F1F"/>
        </w:rPr>
        <w:t>disclosed</w:t>
      </w:r>
      <w:r>
        <w:rPr>
          <w:color w:val="221F1F"/>
          <w:spacing w:val="-14"/>
        </w:rPr>
        <w:t xml:space="preserve"> </w:t>
      </w:r>
      <w:r>
        <w:rPr>
          <w:color w:val="221F1F"/>
        </w:rPr>
        <w:t>by</w:t>
      </w:r>
      <w:r>
        <w:rPr>
          <w:color w:val="221F1F"/>
          <w:spacing w:val="-13"/>
        </w:rPr>
        <w:t xml:space="preserve"> </w:t>
      </w:r>
      <w:r>
        <w:rPr>
          <w:color w:val="221F1F"/>
        </w:rPr>
        <w:t>the</w:t>
      </w:r>
      <w:r>
        <w:rPr>
          <w:color w:val="221F1F"/>
          <w:spacing w:val="-14"/>
        </w:rPr>
        <w:t xml:space="preserve"> </w:t>
      </w:r>
      <w:r>
        <w:rPr>
          <w:color w:val="221F1F"/>
        </w:rPr>
        <w:t>Tenderer,</w:t>
      </w:r>
      <w:r>
        <w:rPr>
          <w:color w:val="221F1F"/>
          <w:spacing w:val="-13"/>
        </w:rPr>
        <w:t xml:space="preserve"> </w:t>
      </w:r>
      <w:r>
        <w:rPr>
          <w:color w:val="221F1F"/>
        </w:rPr>
        <w:t>directly</w:t>
      </w:r>
      <w:r>
        <w:rPr>
          <w:color w:val="221F1F"/>
          <w:spacing w:val="-13"/>
        </w:rPr>
        <w:t xml:space="preserve"> </w:t>
      </w:r>
      <w:r>
        <w:rPr>
          <w:color w:val="221F1F"/>
        </w:rPr>
        <w:t>or</w:t>
      </w:r>
      <w:r>
        <w:rPr>
          <w:color w:val="221F1F"/>
          <w:spacing w:val="-13"/>
        </w:rPr>
        <w:t xml:space="preserve"> </w:t>
      </w:r>
      <w:r>
        <w:rPr>
          <w:color w:val="221F1F"/>
        </w:rPr>
        <w:t xml:space="preserve">indirectly, to any competitor, prior to the date and time of the official tender opening, or of the awarding of the Contract, </w:t>
      </w:r>
      <w:proofErr w:type="spellStart"/>
      <w:r>
        <w:rPr>
          <w:color w:val="221F1F"/>
        </w:rPr>
        <w:t>whichevercomesfirst</w:t>
      </w:r>
      <w:proofErr w:type="spellEnd"/>
      <w:r>
        <w:rPr>
          <w:color w:val="221F1F"/>
        </w:rPr>
        <w:t>,</w:t>
      </w:r>
      <w:r>
        <w:rPr>
          <w:color w:val="221F1F"/>
          <w:spacing w:val="-2"/>
        </w:rPr>
        <w:t xml:space="preserve"> </w:t>
      </w:r>
      <w:r>
        <w:rPr>
          <w:color w:val="221F1F"/>
        </w:rPr>
        <w:t>unless otherwise required</w:t>
      </w:r>
      <w:r>
        <w:rPr>
          <w:color w:val="221F1F"/>
          <w:spacing w:val="-3"/>
        </w:rPr>
        <w:t xml:space="preserve"> </w:t>
      </w:r>
      <w:proofErr w:type="spellStart"/>
      <w:r>
        <w:rPr>
          <w:color w:val="221F1F"/>
        </w:rPr>
        <w:t>byl</w:t>
      </w:r>
      <w:proofErr w:type="spellEnd"/>
      <w:r>
        <w:rPr>
          <w:color w:val="221F1F"/>
          <w:spacing w:val="-2"/>
        </w:rPr>
        <w:t xml:space="preserve"> </w:t>
      </w:r>
      <w:r>
        <w:rPr>
          <w:color w:val="221F1F"/>
        </w:rPr>
        <w:t>aw</w:t>
      </w:r>
      <w:r>
        <w:rPr>
          <w:color w:val="221F1F"/>
          <w:spacing w:val="-2"/>
        </w:rPr>
        <w:t xml:space="preserve"> </w:t>
      </w:r>
      <w:r>
        <w:rPr>
          <w:color w:val="221F1F"/>
        </w:rPr>
        <w:t>or as specifically</w:t>
      </w:r>
      <w:r>
        <w:rPr>
          <w:color w:val="221F1F"/>
          <w:spacing w:val="-1"/>
        </w:rPr>
        <w:t xml:space="preserve"> </w:t>
      </w:r>
      <w:r>
        <w:rPr>
          <w:color w:val="221F1F"/>
        </w:rPr>
        <w:t>disclosed</w:t>
      </w:r>
      <w:r>
        <w:rPr>
          <w:color w:val="221F1F"/>
          <w:spacing w:val="-3"/>
        </w:rPr>
        <w:t xml:space="preserve"> </w:t>
      </w:r>
      <w:r>
        <w:rPr>
          <w:color w:val="221F1F"/>
        </w:rPr>
        <w:t>pursuant</w:t>
      </w:r>
      <w:r>
        <w:rPr>
          <w:color w:val="221F1F"/>
          <w:spacing w:val="-1"/>
        </w:rPr>
        <w:t xml:space="preserve"> </w:t>
      </w:r>
      <w:r>
        <w:rPr>
          <w:color w:val="221F1F"/>
        </w:rPr>
        <w:t>to</w:t>
      </w:r>
      <w:r>
        <w:rPr>
          <w:color w:val="221F1F"/>
          <w:spacing w:val="-1"/>
        </w:rPr>
        <w:t xml:space="preserve"> </w:t>
      </w:r>
      <w:r>
        <w:rPr>
          <w:color w:val="221F1F"/>
        </w:rPr>
        <w:t>paragraph</w:t>
      </w:r>
      <w:r>
        <w:rPr>
          <w:color w:val="221F1F"/>
          <w:spacing w:val="-3"/>
        </w:rPr>
        <w:t xml:space="preserve"> </w:t>
      </w:r>
      <w:r>
        <w:rPr>
          <w:color w:val="221F1F"/>
        </w:rPr>
        <w:t xml:space="preserve">(5)(b) </w:t>
      </w:r>
      <w:r>
        <w:rPr>
          <w:color w:val="221F1F"/>
          <w:spacing w:val="-2"/>
        </w:rPr>
        <w:t>above.</w:t>
      </w:r>
    </w:p>
    <w:p w:rsidR="007F6DF9" w:rsidRDefault="007F6DF9">
      <w:pPr>
        <w:pStyle w:val="BodyText"/>
        <w:spacing w:before="234"/>
      </w:pPr>
    </w:p>
    <w:p w:rsidR="007F6DF9" w:rsidRDefault="00A43FBC">
      <w:pPr>
        <w:pStyle w:val="BodyText"/>
        <w:tabs>
          <w:tab w:val="left" w:pos="10751"/>
        </w:tabs>
        <w:spacing w:before="1" w:line="230" w:lineRule="auto"/>
        <w:ind w:left="708" w:right="733"/>
        <w:jc w:val="both"/>
      </w:pPr>
      <w:r>
        <w:rPr>
          <w:color w:val="221F1F"/>
          <w:spacing w:val="-4"/>
        </w:rPr>
        <w:t>Name</w:t>
      </w:r>
      <w:r>
        <w:rPr>
          <w:color w:val="221F1F"/>
          <w:u w:val="single" w:color="211E1F"/>
        </w:rPr>
        <w:tab/>
      </w:r>
      <w:r>
        <w:rPr>
          <w:color w:val="221F1F"/>
        </w:rPr>
        <w:t xml:space="preserve"> </w:t>
      </w:r>
      <w:r>
        <w:rPr>
          <w:color w:val="221F1F"/>
          <w:spacing w:val="-2"/>
        </w:rPr>
        <w:t>Title</w:t>
      </w:r>
      <w:r>
        <w:rPr>
          <w:color w:val="221F1F"/>
          <w:u w:val="single" w:color="211E1F"/>
        </w:rPr>
        <w:tab/>
      </w:r>
      <w:r>
        <w:rPr>
          <w:color w:val="221F1F"/>
        </w:rPr>
        <w:t xml:space="preserve"> Date</w:t>
      </w:r>
      <w:r>
        <w:rPr>
          <w:color w:val="221F1F"/>
          <w:spacing w:val="54"/>
        </w:rPr>
        <w:t xml:space="preserve"> </w:t>
      </w:r>
      <w:r>
        <w:rPr>
          <w:color w:val="221F1F"/>
          <w:u w:val="single" w:color="211E1F"/>
        </w:rPr>
        <w:tab/>
      </w:r>
    </w:p>
    <w:p w:rsidR="007F6DF9" w:rsidRDefault="00A43FBC">
      <w:pPr>
        <w:spacing w:before="235"/>
        <w:ind w:left="379"/>
        <w:jc w:val="center"/>
        <w:rPr>
          <w:i/>
        </w:rPr>
      </w:pPr>
      <w:r>
        <w:rPr>
          <w:i/>
          <w:color w:val="221F1F"/>
        </w:rPr>
        <w:t>[Name,</w:t>
      </w:r>
      <w:r>
        <w:rPr>
          <w:i/>
          <w:color w:val="221F1F"/>
          <w:spacing w:val="-6"/>
        </w:rPr>
        <w:t xml:space="preserve"> </w:t>
      </w:r>
      <w:r>
        <w:rPr>
          <w:i/>
          <w:color w:val="221F1F"/>
        </w:rPr>
        <w:t>title</w:t>
      </w:r>
      <w:r>
        <w:rPr>
          <w:i/>
          <w:color w:val="221F1F"/>
          <w:spacing w:val="-3"/>
        </w:rPr>
        <w:t xml:space="preserve"> </w:t>
      </w:r>
      <w:r>
        <w:rPr>
          <w:i/>
          <w:color w:val="221F1F"/>
        </w:rPr>
        <w:t>and</w:t>
      </w:r>
      <w:r>
        <w:rPr>
          <w:i/>
          <w:color w:val="221F1F"/>
          <w:spacing w:val="-3"/>
        </w:rPr>
        <w:t xml:space="preserve"> </w:t>
      </w:r>
      <w:r>
        <w:rPr>
          <w:i/>
          <w:color w:val="221F1F"/>
        </w:rPr>
        <w:t>signature</w:t>
      </w:r>
      <w:r>
        <w:rPr>
          <w:i/>
          <w:color w:val="221F1F"/>
          <w:spacing w:val="-5"/>
        </w:rPr>
        <w:t xml:space="preserve"> </w:t>
      </w:r>
      <w:r>
        <w:rPr>
          <w:i/>
          <w:color w:val="221F1F"/>
        </w:rPr>
        <w:t>of</w:t>
      </w:r>
      <w:r>
        <w:rPr>
          <w:i/>
          <w:color w:val="221F1F"/>
          <w:spacing w:val="-2"/>
        </w:rPr>
        <w:t xml:space="preserve"> </w:t>
      </w:r>
      <w:r>
        <w:rPr>
          <w:i/>
          <w:color w:val="221F1F"/>
        </w:rPr>
        <w:t>authorized</w:t>
      </w:r>
      <w:r>
        <w:rPr>
          <w:i/>
          <w:color w:val="221F1F"/>
          <w:spacing w:val="-3"/>
        </w:rPr>
        <w:t xml:space="preserve"> </w:t>
      </w:r>
      <w:r>
        <w:rPr>
          <w:i/>
          <w:color w:val="221F1F"/>
        </w:rPr>
        <w:t>agent</w:t>
      </w:r>
      <w:r>
        <w:rPr>
          <w:i/>
          <w:color w:val="221F1F"/>
          <w:spacing w:val="-2"/>
        </w:rPr>
        <w:t xml:space="preserve"> </w:t>
      </w:r>
      <w:r>
        <w:rPr>
          <w:i/>
          <w:color w:val="221F1F"/>
        </w:rPr>
        <w:t>of</w:t>
      </w:r>
      <w:r>
        <w:rPr>
          <w:i/>
          <w:color w:val="221F1F"/>
          <w:spacing w:val="-2"/>
        </w:rPr>
        <w:t xml:space="preserve"> </w:t>
      </w:r>
      <w:r>
        <w:rPr>
          <w:i/>
          <w:color w:val="221F1F"/>
        </w:rPr>
        <w:t>Tenderer</w:t>
      </w:r>
      <w:r>
        <w:rPr>
          <w:i/>
          <w:color w:val="221F1F"/>
          <w:spacing w:val="-5"/>
        </w:rPr>
        <w:t xml:space="preserve"> </w:t>
      </w:r>
      <w:r>
        <w:rPr>
          <w:i/>
          <w:color w:val="221F1F"/>
        </w:rPr>
        <w:t>and</w:t>
      </w:r>
      <w:r>
        <w:rPr>
          <w:i/>
          <w:color w:val="221F1F"/>
          <w:spacing w:val="-3"/>
        </w:rPr>
        <w:t xml:space="preserve"> </w:t>
      </w:r>
      <w:r>
        <w:rPr>
          <w:i/>
          <w:color w:val="221F1F"/>
          <w:spacing w:val="-2"/>
        </w:rPr>
        <w:t>Date]</w:t>
      </w:r>
    </w:p>
    <w:p w:rsidR="007F6DF9" w:rsidRDefault="007F6DF9">
      <w:pPr>
        <w:jc w:val="center"/>
        <w:rPr>
          <w:i/>
        </w:rPr>
        <w:sectPr w:rsidR="007F6DF9">
          <w:pgSz w:w="11920" w:h="16850"/>
          <w:pgMar w:top="360" w:right="283" w:bottom="620" w:left="141" w:header="0" w:footer="437" w:gutter="0"/>
          <w:cols w:space="720"/>
        </w:sectPr>
      </w:pPr>
    </w:p>
    <w:p w:rsidR="007F6DF9" w:rsidRDefault="007F6DF9">
      <w:pPr>
        <w:pStyle w:val="BodyText"/>
        <w:spacing w:before="186"/>
        <w:rPr>
          <w:i/>
          <w:sz w:val="24"/>
        </w:rPr>
      </w:pPr>
    </w:p>
    <w:p w:rsidR="007F6DF9" w:rsidRDefault="00A43FBC">
      <w:pPr>
        <w:pStyle w:val="ListParagraph"/>
        <w:numPr>
          <w:ilvl w:val="0"/>
          <w:numId w:val="138"/>
        </w:numPr>
        <w:tabs>
          <w:tab w:val="left" w:pos="1224"/>
        </w:tabs>
        <w:spacing w:before="1"/>
        <w:ind w:left="1224" w:hanging="518"/>
        <w:rPr>
          <w:b/>
          <w:i/>
          <w:color w:val="221F1F"/>
          <w:sz w:val="24"/>
        </w:rPr>
      </w:pPr>
      <w:r>
        <w:rPr>
          <w:b/>
          <w:color w:val="221F1F"/>
          <w:sz w:val="24"/>
          <w:u w:val="single" w:color="221F1F"/>
        </w:rPr>
        <w:t>SELF-</w:t>
      </w:r>
      <w:r>
        <w:rPr>
          <w:b/>
          <w:color w:val="221F1F"/>
          <w:spacing w:val="-3"/>
          <w:sz w:val="24"/>
          <w:u w:val="single" w:color="221F1F"/>
        </w:rPr>
        <w:t xml:space="preserve"> </w:t>
      </w:r>
      <w:r>
        <w:rPr>
          <w:b/>
          <w:color w:val="221F1F"/>
          <w:sz w:val="24"/>
          <w:u w:val="single" w:color="221F1F"/>
        </w:rPr>
        <w:t>DECLARATION</w:t>
      </w:r>
      <w:r>
        <w:rPr>
          <w:b/>
          <w:color w:val="221F1F"/>
          <w:spacing w:val="-1"/>
          <w:sz w:val="24"/>
          <w:u w:val="single" w:color="221F1F"/>
        </w:rPr>
        <w:t xml:space="preserve"> </w:t>
      </w:r>
      <w:r>
        <w:rPr>
          <w:b/>
          <w:color w:val="221F1F"/>
          <w:spacing w:val="-2"/>
          <w:sz w:val="24"/>
          <w:u w:val="single" w:color="221F1F"/>
        </w:rPr>
        <w:t>FORMS</w:t>
      </w:r>
    </w:p>
    <w:p w:rsidR="007F6DF9" w:rsidRDefault="007F6DF9">
      <w:pPr>
        <w:pStyle w:val="BodyText"/>
        <w:spacing w:before="247"/>
        <w:rPr>
          <w:b/>
          <w:sz w:val="24"/>
        </w:rPr>
      </w:pPr>
    </w:p>
    <w:p w:rsidR="007F6DF9" w:rsidRDefault="00A43FBC">
      <w:pPr>
        <w:ind w:left="305"/>
        <w:jc w:val="center"/>
        <w:rPr>
          <w:b/>
          <w:sz w:val="24"/>
        </w:rPr>
      </w:pPr>
      <w:r>
        <w:rPr>
          <w:b/>
          <w:sz w:val="24"/>
        </w:rPr>
        <w:t>FORM</w:t>
      </w:r>
      <w:r>
        <w:rPr>
          <w:b/>
          <w:spacing w:val="-2"/>
          <w:sz w:val="24"/>
        </w:rPr>
        <w:t xml:space="preserve"> </w:t>
      </w:r>
      <w:r>
        <w:rPr>
          <w:b/>
          <w:spacing w:val="-5"/>
          <w:sz w:val="24"/>
        </w:rPr>
        <w:t>SD1</w:t>
      </w:r>
    </w:p>
    <w:p w:rsidR="007F6DF9" w:rsidRDefault="007F6DF9">
      <w:pPr>
        <w:pStyle w:val="BodyText"/>
        <w:spacing w:before="266"/>
        <w:rPr>
          <w:b/>
          <w:sz w:val="24"/>
        </w:rPr>
      </w:pPr>
    </w:p>
    <w:p w:rsidR="007F6DF9" w:rsidRDefault="00A43FBC">
      <w:pPr>
        <w:spacing w:line="230" w:lineRule="auto"/>
        <w:ind w:left="706" w:right="1230"/>
        <w:rPr>
          <w:b/>
          <w:sz w:val="24"/>
        </w:rPr>
      </w:pPr>
      <w:r>
        <w:rPr>
          <w:b/>
          <w:color w:val="221F1F"/>
          <w:sz w:val="24"/>
        </w:rPr>
        <w:t>SELF</w:t>
      </w:r>
      <w:r>
        <w:rPr>
          <w:b/>
          <w:color w:val="221F1F"/>
          <w:spacing w:val="-5"/>
          <w:sz w:val="24"/>
        </w:rPr>
        <w:t xml:space="preserve"> </w:t>
      </w:r>
      <w:r>
        <w:rPr>
          <w:b/>
          <w:color w:val="221F1F"/>
          <w:sz w:val="24"/>
        </w:rPr>
        <w:t>DECLARATION</w:t>
      </w:r>
      <w:r>
        <w:rPr>
          <w:b/>
          <w:color w:val="221F1F"/>
          <w:spacing w:val="-5"/>
          <w:sz w:val="24"/>
        </w:rPr>
        <w:t xml:space="preserve"> </w:t>
      </w:r>
      <w:r>
        <w:rPr>
          <w:b/>
          <w:color w:val="221F1F"/>
          <w:sz w:val="24"/>
        </w:rPr>
        <w:t>THAT</w:t>
      </w:r>
      <w:r>
        <w:rPr>
          <w:b/>
          <w:color w:val="221F1F"/>
          <w:spacing w:val="-14"/>
          <w:sz w:val="24"/>
        </w:rPr>
        <w:t xml:space="preserve"> </w:t>
      </w:r>
      <w:r>
        <w:rPr>
          <w:b/>
          <w:color w:val="221F1F"/>
          <w:sz w:val="24"/>
        </w:rPr>
        <w:t>THE</w:t>
      </w:r>
      <w:r>
        <w:rPr>
          <w:b/>
          <w:color w:val="221F1F"/>
          <w:spacing w:val="-5"/>
          <w:sz w:val="24"/>
        </w:rPr>
        <w:t xml:space="preserve"> </w:t>
      </w:r>
      <w:r>
        <w:rPr>
          <w:b/>
          <w:color w:val="221F1F"/>
          <w:sz w:val="24"/>
        </w:rPr>
        <w:t>PERSON/TENDERER</w:t>
      </w:r>
      <w:r>
        <w:rPr>
          <w:b/>
          <w:color w:val="221F1F"/>
          <w:spacing w:val="-5"/>
          <w:sz w:val="24"/>
        </w:rPr>
        <w:t xml:space="preserve"> </w:t>
      </w:r>
      <w:r>
        <w:rPr>
          <w:b/>
          <w:color w:val="221F1F"/>
          <w:sz w:val="24"/>
        </w:rPr>
        <w:t>IS</w:t>
      </w:r>
      <w:r>
        <w:rPr>
          <w:b/>
          <w:color w:val="221F1F"/>
          <w:spacing w:val="-5"/>
          <w:sz w:val="24"/>
        </w:rPr>
        <w:t xml:space="preserve"> </w:t>
      </w:r>
      <w:r>
        <w:rPr>
          <w:b/>
          <w:color w:val="221F1F"/>
          <w:sz w:val="24"/>
        </w:rPr>
        <w:t>NOT</w:t>
      </w:r>
      <w:r>
        <w:rPr>
          <w:b/>
          <w:color w:val="221F1F"/>
          <w:spacing w:val="-7"/>
          <w:sz w:val="24"/>
        </w:rPr>
        <w:t xml:space="preserve"> </w:t>
      </w:r>
      <w:r>
        <w:rPr>
          <w:b/>
          <w:color w:val="221F1F"/>
          <w:sz w:val="24"/>
        </w:rPr>
        <w:t>DEBARRED</w:t>
      </w:r>
      <w:r>
        <w:rPr>
          <w:b/>
          <w:color w:val="221F1F"/>
          <w:spacing w:val="-5"/>
          <w:sz w:val="24"/>
        </w:rPr>
        <w:t xml:space="preserve"> </w:t>
      </w:r>
      <w:r>
        <w:rPr>
          <w:b/>
          <w:color w:val="221F1F"/>
          <w:sz w:val="24"/>
        </w:rPr>
        <w:t>IN</w:t>
      </w:r>
      <w:r>
        <w:rPr>
          <w:b/>
          <w:color w:val="221F1F"/>
          <w:spacing w:val="-5"/>
          <w:sz w:val="24"/>
        </w:rPr>
        <w:t xml:space="preserve"> </w:t>
      </w:r>
      <w:r>
        <w:rPr>
          <w:b/>
          <w:color w:val="221F1F"/>
          <w:sz w:val="24"/>
        </w:rPr>
        <w:t>THE MATTER OF THE PUBLIC PROCUREMENT AND ASSET DISPOSAL ACT 2015.</w:t>
      </w:r>
    </w:p>
    <w:p w:rsidR="007F6DF9" w:rsidRDefault="007F6DF9">
      <w:pPr>
        <w:pStyle w:val="BodyText"/>
        <w:rPr>
          <w:b/>
          <w:sz w:val="24"/>
        </w:rPr>
      </w:pPr>
    </w:p>
    <w:p w:rsidR="007F6DF9" w:rsidRDefault="007F6DF9">
      <w:pPr>
        <w:pStyle w:val="BodyText"/>
        <w:spacing w:before="182"/>
        <w:rPr>
          <w:b/>
          <w:sz w:val="24"/>
        </w:rPr>
      </w:pPr>
    </w:p>
    <w:p w:rsidR="007F6DF9" w:rsidRDefault="00A43FBC">
      <w:pPr>
        <w:pStyle w:val="BodyText"/>
        <w:spacing w:before="1" w:line="235" w:lineRule="auto"/>
        <w:ind w:left="706" w:right="307"/>
        <w:jc w:val="both"/>
      </w:pPr>
      <w:r>
        <w:rPr>
          <w:color w:val="221F1F"/>
        </w:rPr>
        <w:t>I, ……………………………………., of Post Office Box …….………………………. being a resident of………………………………</w:t>
      </w:r>
      <w:proofErr w:type="gramStart"/>
      <w:r>
        <w:rPr>
          <w:color w:val="221F1F"/>
        </w:rPr>
        <w:t>…..</w:t>
      </w:r>
      <w:proofErr w:type="gramEnd"/>
      <w:r>
        <w:rPr>
          <w:color w:val="221F1F"/>
        </w:rPr>
        <w:t xml:space="preserve"> in the Republic of ……………………………. do hereby make a statement as follows: -</w:t>
      </w:r>
    </w:p>
    <w:p w:rsidR="007F6DF9" w:rsidRDefault="007F6DF9">
      <w:pPr>
        <w:pStyle w:val="BodyText"/>
        <w:spacing w:before="223"/>
      </w:pPr>
    </w:p>
    <w:p w:rsidR="007F6DF9" w:rsidRDefault="00A43FBC">
      <w:pPr>
        <w:pStyle w:val="ListParagraph"/>
        <w:numPr>
          <w:ilvl w:val="0"/>
          <w:numId w:val="137"/>
        </w:numPr>
        <w:tabs>
          <w:tab w:val="left" w:pos="990"/>
        </w:tabs>
        <w:spacing w:line="250" w:lineRule="exact"/>
        <w:ind w:left="990" w:hanging="284"/>
      </w:pPr>
      <w:r>
        <w:rPr>
          <w:color w:val="221F1F"/>
        </w:rPr>
        <w:t>THAT</w:t>
      </w:r>
      <w:r>
        <w:rPr>
          <w:color w:val="221F1F"/>
          <w:spacing w:val="-10"/>
        </w:rPr>
        <w:t xml:space="preserve"> </w:t>
      </w:r>
      <w:r>
        <w:rPr>
          <w:color w:val="221F1F"/>
        </w:rPr>
        <w:t>I</w:t>
      </w:r>
      <w:r>
        <w:rPr>
          <w:color w:val="221F1F"/>
          <w:spacing w:val="-4"/>
        </w:rPr>
        <w:t xml:space="preserve"> </w:t>
      </w:r>
      <w:r>
        <w:rPr>
          <w:color w:val="221F1F"/>
        </w:rPr>
        <w:t>am</w:t>
      </w:r>
      <w:r>
        <w:rPr>
          <w:color w:val="221F1F"/>
          <w:spacing w:val="-1"/>
        </w:rPr>
        <w:t xml:space="preserve"> </w:t>
      </w:r>
      <w:r>
        <w:rPr>
          <w:color w:val="221F1F"/>
        </w:rPr>
        <w:t>the</w:t>
      </w:r>
      <w:r>
        <w:rPr>
          <w:color w:val="221F1F"/>
          <w:spacing w:val="-1"/>
        </w:rPr>
        <w:t xml:space="preserve"> </w:t>
      </w:r>
      <w:r>
        <w:rPr>
          <w:color w:val="221F1F"/>
        </w:rPr>
        <w:t>Company</w:t>
      </w:r>
      <w:r>
        <w:rPr>
          <w:color w:val="221F1F"/>
          <w:spacing w:val="-1"/>
        </w:rPr>
        <w:t xml:space="preserve"> </w:t>
      </w:r>
      <w:r>
        <w:rPr>
          <w:color w:val="221F1F"/>
        </w:rPr>
        <w:t>Secretary/</w:t>
      </w:r>
      <w:r>
        <w:rPr>
          <w:color w:val="221F1F"/>
          <w:spacing w:val="-1"/>
        </w:rPr>
        <w:t xml:space="preserve"> </w:t>
      </w:r>
      <w:r>
        <w:rPr>
          <w:color w:val="221F1F"/>
        </w:rPr>
        <w:t>Chief</w:t>
      </w:r>
      <w:r>
        <w:rPr>
          <w:color w:val="221F1F"/>
          <w:spacing w:val="1"/>
        </w:rPr>
        <w:t xml:space="preserve"> </w:t>
      </w:r>
      <w:r>
        <w:rPr>
          <w:color w:val="221F1F"/>
        </w:rPr>
        <w:t>Executive/Managing</w:t>
      </w:r>
      <w:r>
        <w:rPr>
          <w:color w:val="221F1F"/>
          <w:spacing w:val="5"/>
        </w:rPr>
        <w:t xml:space="preserve"> </w:t>
      </w:r>
      <w:r>
        <w:rPr>
          <w:color w:val="221F1F"/>
        </w:rPr>
        <w:t>Director/Principal</w:t>
      </w:r>
      <w:r>
        <w:rPr>
          <w:color w:val="221F1F"/>
          <w:spacing w:val="-1"/>
        </w:rPr>
        <w:t xml:space="preserve"> </w:t>
      </w:r>
      <w:r>
        <w:rPr>
          <w:color w:val="221F1F"/>
        </w:rPr>
        <w:t>Officer/</w:t>
      </w:r>
      <w:proofErr w:type="spellStart"/>
      <w:r>
        <w:rPr>
          <w:color w:val="221F1F"/>
        </w:rPr>
        <w:t>Direct</w:t>
      </w:r>
      <w:r>
        <w:rPr>
          <w:color w:val="221F1F"/>
          <w:spacing w:val="-1"/>
        </w:rPr>
        <w:t xml:space="preserve"> </w:t>
      </w:r>
      <w:r>
        <w:rPr>
          <w:color w:val="221F1F"/>
        </w:rPr>
        <w:t>or</w:t>
      </w:r>
      <w:proofErr w:type="spellEnd"/>
      <w:r>
        <w:rPr>
          <w:color w:val="221F1F"/>
          <w:spacing w:val="5"/>
        </w:rPr>
        <w:t xml:space="preserve"> </w:t>
      </w:r>
      <w:r>
        <w:rPr>
          <w:color w:val="221F1F"/>
          <w:spacing w:val="-5"/>
        </w:rPr>
        <w:t>of</w:t>
      </w:r>
    </w:p>
    <w:p w:rsidR="007F6DF9" w:rsidRDefault="00A43FBC">
      <w:pPr>
        <w:tabs>
          <w:tab w:val="left" w:leader="dot" w:pos="4679"/>
        </w:tabs>
        <w:spacing w:line="247" w:lineRule="exact"/>
        <w:ind w:left="991"/>
        <w:rPr>
          <w:b/>
        </w:rPr>
      </w:pPr>
      <w:r>
        <w:rPr>
          <w:color w:val="221F1F"/>
          <w:spacing w:val="-10"/>
        </w:rPr>
        <w:t>…</w:t>
      </w:r>
      <w:r>
        <w:rPr>
          <w:color w:val="221F1F"/>
        </w:rPr>
        <w:tab/>
      </w:r>
      <w:r>
        <w:rPr>
          <w:i/>
          <w:color w:val="221F1F"/>
        </w:rPr>
        <w:t>(insert</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2"/>
        </w:rPr>
        <w:t xml:space="preserve"> </w:t>
      </w:r>
      <w:r>
        <w:rPr>
          <w:i/>
          <w:color w:val="221F1F"/>
        </w:rPr>
        <w:t>the</w:t>
      </w:r>
      <w:r>
        <w:rPr>
          <w:i/>
          <w:color w:val="221F1F"/>
          <w:spacing w:val="-2"/>
        </w:rPr>
        <w:t xml:space="preserve"> </w:t>
      </w:r>
      <w:r>
        <w:rPr>
          <w:i/>
          <w:color w:val="221F1F"/>
        </w:rPr>
        <w:t xml:space="preserve">Company) </w:t>
      </w:r>
      <w:r>
        <w:rPr>
          <w:color w:val="221F1F"/>
        </w:rPr>
        <w:t>who</w:t>
      </w:r>
      <w:r>
        <w:rPr>
          <w:color w:val="221F1F"/>
          <w:spacing w:val="-5"/>
        </w:rPr>
        <w:t xml:space="preserve"> </w:t>
      </w:r>
      <w:r>
        <w:rPr>
          <w:color w:val="221F1F"/>
        </w:rPr>
        <w:t>is</w:t>
      </w:r>
      <w:r>
        <w:rPr>
          <w:color w:val="221F1F"/>
          <w:spacing w:val="-2"/>
        </w:rPr>
        <w:t xml:space="preserve"> </w:t>
      </w:r>
      <w:r>
        <w:rPr>
          <w:color w:val="221F1F"/>
        </w:rPr>
        <w:t>a</w:t>
      </w:r>
      <w:r>
        <w:rPr>
          <w:color w:val="221F1F"/>
          <w:spacing w:val="-5"/>
        </w:rPr>
        <w:t xml:space="preserve"> </w:t>
      </w:r>
      <w:r>
        <w:rPr>
          <w:color w:val="221F1F"/>
        </w:rPr>
        <w:t>Bidder</w:t>
      </w:r>
      <w:r>
        <w:rPr>
          <w:color w:val="221F1F"/>
          <w:spacing w:val="-3"/>
        </w:rPr>
        <w:t xml:space="preserve"> </w:t>
      </w:r>
      <w:r>
        <w:rPr>
          <w:color w:val="221F1F"/>
        </w:rPr>
        <w:t>in</w:t>
      </w:r>
      <w:r>
        <w:rPr>
          <w:color w:val="221F1F"/>
          <w:spacing w:val="-5"/>
        </w:rPr>
        <w:t xml:space="preserve"> </w:t>
      </w:r>
      <w:r>
        <w:rPr>
          <w:color w:val="221F1F"/>
        </w:rPr>
        <w:t>respect</w:t>
      </w:r>
      <w:r>
        <w:rPr>
          <w:color w:val="221F1F"/>
          <w:spacing w:val="-1"/>
        </w:rPr>
        <w:t xml:space="preserve"> </w:t>
      </w:r>
      <w:r>
        <w:rPr>
          <w:color w:val="221F1F"/>
        </w:rPr>
        <w:t>of</w:t>
      </w:r>
      <w:r>
        <w:rPr>
          <w:color w:val="221F1F"/>
          <w:spacing w:val="-2"/>
        </w:rPr>
        <w:t xml:space="preserve"> </w:t>
      </w:r>
      <w:r>
        <w:rPr>
          <w:b/>
          <w:color w:val="221F1F"/>
        </w:rPr>
        <w:t>Tender</w:t>
      </w:r>
      <w:r>
        <w:rPr>
          <w:b/>
          <w:color w:val="221F1F"/>
          <w:spacing w:val="-2"/>
        </w:rPr>
        <w:t xml:space="preserve"> </w:t>
      </w:r>
      <w:r>
        <w:rPr>
          <w:b/>
          <w:color w:val="221F1F"/>
          <w:spacing w:val="-5"/>
        </w:rPr>
        <w:t>No.</w:t>
      </w:r>
    </w:p>
    <w:p w:rsidR="007F6DF9" w:rsidRDefault="00A43FBC">
      <w:pPr>
        <w:tabs>
          <w:tab w:val="left" w:leader="dot" w:pos="9897"/>
        </w:tabs>
        <w:spacing w:line="245" w:lineRule="exact"/>
        <w:ind w:left="991"/>
        <w:rPr>
          <w:i/>
        </w:rPr>
      </w:pPr>
      <w:r>
        <w:rPr>
          <w:b/>
          <w:color w:val="221F1F"/>
        </w:rPr>
        <w:t>…………………..</w:t>
      </w:r>
      <w:r>
        <w:rPr>
          <w:b/>
          <w:color w:val="221F1F"/>
          <w:spacing w:val="-3"/>
        </w:rPr>
        <w:t xml:space="preserve"> </w:t>
      </w:r>
      <w:r>
        <w:rPr>
          <w:color w:val="221F1F"/>
        </w:rPr>
        <w:t>for</w:t>
      </w:r>
      <w:r>
        <w:rPr>
          <w:color w:val="221F1F"/>
          <w:spacing w:val="2"/>
        </w:rPr>
        <w:t xml:space="preserve"> </w:t>
      </w:r>
      <w:r>
        <w:rPr>
          <w:color w:val="221F1F"/>
        </w:rPr>
        <w:t>…………………….</w:t>
      </w:r>
      <w:r>
        <w:rPr>
          <w:color w:val="221F1F"/>
          <w:spacing w:val="3"/>
        </w:rPr>
        <w:t xml:space="preserve"> </w:t>
      </w:r>
      <w:r>
        <w:rPr>
          <w:i/>
          <w:color w:val="221F1F"/>
        </w:rPr>
        <w:t>(insert</w:t>
      </w:r>
      <w:r>
        <w:rPr>
          <w:i/>
          <w:color w:val="221F1F"/>
          <w:spacing w:val="2"/>
        </w:rPr>
        <w:t xml:space="preserve"> </w:t>
      </w:r>
      <w:r>
        <w:rPr>
          <w:i/>
          <w:color w:val="221F1F"/>
        </w:rPr>
        <w:t>tender</w:t>
      </w:r>
      <w:r>
        <w:rPr>
          <w:i/>
          <w:color w:val="221F1F"/>
          <w:spacing w:val="2"/>
        </w:rPr>
        <w:t xml:space="preserve"> </w:t>
      </w:r>
      <w:r>
        <w:rPr>
          <w:i/>
          <w:color w:val="221F1F"/>
        </w:rPr>
        <w:t>title/description)</w:t>
      </w:r>
      <w:r>
        <w:rPr>
          <w:i/>
          <w:color w:val="221F1F"/>
          <w:spacing w:val="5"/>
        </w:rPr>
        <w:t xml:space="preserve"> </w:t>
      </w:r>
      <w:r>
        <w:rPr>
          <w:color w:val="221F1F"/>
          <w:spacing w:val="-5"/>
        </w:rPr>
        <w:t>for</w:t>
      </w:r>
      <w:r>
        <w:rPr>
          <w:color w:val="221F1F"/>
        </w:rPr>
        <w:tab/>
      </w:r>
      <w:r>
        <w:rPr>
          <w:i/>
          <w:color w:val="221F1F"/>
        </w:rPr>
        <w:t>(insert</w:t>
      </w:r>
      <w:r>
        <w:rPr>
          <w:i/>
          <w:color w:val="221F1F"/>
          <w:spacing w:val="1"/>
        </w:rPr>
        <w:t xml:space="preserve"> </w:t>
      </w:r>
      <w:r>
        <w:rPr>
          <w:i/>
          <w:color w:val="221F1F"/>
          <w:spacing w:val="-4"/>
        </w:rPr>
        <w:t>name</w:t>
      </w:r>
    </w:p>
    <w:p w:rsidR="007F6DF9" w:rsidRDefault="00A43FBC">
      <w:pPr>
        <w:spacing w:line="248" w:lineRule="exact"/>
        <w:ind w:left="991"/>
      </w:pPr>
      <w:r>
        <w:rPr>
          <w:i/>
          <w:color w:val="221F1F"/>
        </w:rPr>
        <w:t>of</w:t>
      </w:r>
      <w:r>
        <w:rPr>
          <w:i/>
          <w:color w:val="221F1F"/>
          <w:spacing w:val="-4"/>
        </w:rPr>
        <w:t xml:space="preserve"> </w:t>
      </w:r>
      <w:r>
        <w:rPr>
          <w:i/>
          <w:color w:val="221F1F"/>
        </w:rPr>
        <w:t>the</w:t>
      </w:r>
      <w:r>
        <w:rPr>
          <w:i/>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1"/>
        </w:rPr>
        <w:t xml:space="preserve"> </w:t>
      </w:r>
      <w:r>
        <w:rPr>
          <w:color w:val="221F1F"/>
        </w:rPr>
        <w:t>and</w:t>
      </w:r>
      <w:r>
        <w:rPr>
          <w:color w:val="221F1F"/>
          <w:spacing w:val="-6"/>
        </w:rPr>
        <w:t xml:space="preserve"> </w:t>
      </w:r>
      <w:r>
        <w:rPr>
          <w:color w:val="221F1F"/>
        </w:rPr>
        <w:t>duly</w:t>
      </w:r>
      <w:r>
        <w:rPr>
          <w:color w:val="221F1F"/>
          <w:spacing w:val="-3"/>
        </w:rPr>
        <w:t xml:space="preserve"> </w:t>
      </w:r>
      <w:r>
        <w:rPr>
          <w:color w:val="221F1F"/>
        </w:rPr>
        <w:t>authorized</w:t>
      </w:r>
      <w:r>
        <w:rPr>
          <w:color w:val="221F1F"/>
          <w:spacing w:val="-5"/>
        </w:rPr>
        <w:t xml:space="preserve"> </w:t>
      </w:r>
      <w:r>
        <w:rPr>
          <w:color w:val="221F1F"/>
        </w:rPr>
        <w:t>and</w:t>
      </w:r>
      <w:r>
        <w:rPr>
          <w:color w:val="221F1F"/>
          <w:spacing w:val="-3"/>
        </w:rPr>
        <w:t xml:space="preserve"> </w:t>
      </w:r>
      <w:r>
        <w:rPr>
          <w:color w:val="221F1F"/>
        </w:rPr>
        <w:t>competent</w:t>
      </w:r>
      <w:r>
        <w:rPr>
          <w:color w:val="221F1F"/>
          <w:spacing w:val="-2"/>
        </w:rPr>
        <w:t xml:space="preserve"> </w:t>
      </w:r>
      <w:r>
        <w:rPr>
          <w:color w:val="221F1F"/>
        </w:rPr>
        <w:t>to</w:t>
      </w:r>
      <w:r>
        <w:rPr>
          <w:color w:val="221F1F"/>
          <w:spacing w:val="-6"/>
        </w:rPr>
        <w:t xml:space="preserve"> </w:t>
      </w:r>
      <w:r>
        <w:rPr>
          <w:color w:val="221F1F"/>
        </w:rPr>
        <w:t>make</w:t>
      </w:r>
      <w:r>
        <w:rPr>
          <w:color w:val="221F1F"/>
          <w:spacing w:val="-3"/>
        </w:rPr>
        <w:t xml:space="preserve"> </w:t>
      </w:r>
      <w:r>
        <w:rPr>
          <w:color w:val="221F1F"/>
        </w:rPr>
        <w:t>this</w:t>
      </w:r>
      <w:r>
        <w:rPr>
          <w:color w:val="221F1F"/>
          <w:spacing w:val="-4"/>
        </w:rPr>
        <w:t xml:space="preserve"> </w:t>
      </w:r>
      <w:r>
        <w:rPr>
          <w:color w:val="221F1F"/>
          <w:spacing w:val="-2"/>
        </w:rPr>
        <w:t>statement.</w:t>
      </w:r>
    </w:p>
    <w:p w:rsidR="007F6DF9" w:rsidRDefault="007F6DF9">
      <w:pPr>
        <w:pStyle w:val="BodyText"/>
        <w:spacing w:before="234"/>
      </w:pPr>
    </w:p>
    <w:p w:rsidR="007F6DF9" w:rsidRDefault="00A43FBC">
      <w:pPr>
        <w:pStyle w:val="ListParagraph"/>
        <w:numPr>
          <w:ilvl w:val="0"/>
          <w:numId w:val="137"/>
        </w:numPr>
        <w:tabs>
          <w:tab w:val="left" w:pos="970"/>
          <w:tab w:val="left" w:pos="991"/>
        </w:tabs>
        <w:spacing w:before="1" w:line="230" w:lineRule="auto"/>
        <w:ind w:right="572"/>
      </w:pPr>
      <w:r>
        <w:rPr>
          <w:color w:val="221F1F"/>
        </w:rPr>
        <w:t>THAT</w:t>
      </w:r>
      <w:r>
        <w:rPr>
          <w:color w:val="221F1F"/>
          <w:spacing w:val="28"/>
        </w:rPr>
        <w:t xml:space="preserve"> </w:t>
      </w:r>
      <w:r>
        <w:rPr>
          <w:color w:val="221F1F"/>
        </w:rPr>
        <w:t>the</w:t>
      </w:r>
      <w:r>
        <w:rPr>
          <w:color w:val="221F1F"/>
          <w:spacing w:val="40"/>
        </w:rPr>
        <w:t xml:space="preserve"> </w:t>
      </w:r>
      <w:r>
        <w:rPr>
          <w:color w:val="221F1F"/>
        </w:rPr>
        <w:t>aforesaid</w:t>
      </w:r>
      <w:r>
        <w:rPr>
          <w:color w:val="221F1F"/>
          <w:spacing w:val="40"/>
        </w:rPr>
        <w:t xml:space="preserve"> </w:t>
      </w:r>
      <w:r>
        <w:rPr>
          <w:color w:val="221F1F"/>
        </w:rPr>
        <w:t>Bidder,</w:t>
      </w:r>
      <w:r>
        <w:rPr>
          <w:color w:val="221F1F"/>
          <w:spacing w:val="40"/>
        </w:rPr>
        <w:t xml:space="preserve"> </w:t>
      </w:r>
      <w:r>
        <w:rPr>
          <w:color w:val="221F1F"/>
        </w:rPr>
        <w:t>its</w:t>
      </w:r>
      <w:r>
        <w:rPr>
          <w:color w:val="221F1F"/>
          <w:spacing w:val="40"/>
        </w:rPr>
        <w:t xml:space="preserve"> </w:t>
      </w:r>
      <w:r>
        <w:rPr>
          <w:color w:val="221F1F"/>
        </w:rPr>
        <w:t>Directors</w:t>
      </w:r>
      <w:r>
        <w:rPr>
          <w:color w:val="221F1F"/>
          <w:spacing w:val="40"/>
        </w:rPr>
        <w:t xml:space="preserve"> </w:t>
      </w:r>
      <w:r>
        <w:rPr>
          <w:color w:val="221F1F"/>
        </w:rPr>
        <w:t>and</w:t>
      </w:r>
      <w:r>
        <w:rPr>
          <w:color w:val="221F1F"/>
          <w:spacing w:val="40"/>
        </w:rPr>
        <w:t xml:space="preserve"> </w:t>
      </w:r>
      <w:r>
        <w:rPr>
          <w:color w:val="221F1F"/>
        </w:rPr>
        <w:t>subcontractors</w:t>
      </w:r>
      <w:r>
        <w:rPr>
          <w:color w:val="221F1F"/>
          <w:spacing w:val="40"/>
        </w:rPr>
        <w:t xml:space="preserve"> </w:t>
      </w:r>
      <w:r>
        <w:rPr>
          <w:color w:val="221F1F"/>
        </w:rPr>
        <w:t>have</w:t>
      </w:r>
      <w:r>
        <w:rPr>
          <w:color w:val="221F1F"/>
          <w:spacing w:val="40"/>
        </w:rPr>
        <w:t xml:space="preserve"> </w:t>
      </w:r>
      <w:r>
        <w:rPr>
          <w:color w:val="221F1F"/>
        </w:rPr>
        <w:t>not</w:t>
      </w:r>
      <w:r>
        <w:rPr>
          <w:color w:val="221F1F"/>
          <w:spacing w:val="40"/>
        </w:rPr>
        <w:t xml:space="preserve"> </w:t>
      </w:r>
      <w:r>
        <w:rPr>
          <w:color w:val="221F1F"/>
        </w:rPr>
        <w:t>been</w:t>
      </w:r>
      <w:r>
        <w:rPr>
          <w:color w:val="221F1F"/>
          <w:spacing w:val="40"/>
        </w:rPr>
        <w:t xml:space="preserve"> </w:t>
      </w:r>
      <w:r>
        <w:rPr>
          <w:color w:val="221F1F"/>
        </w:rPr>
        <w:t>debarred</w:t>
      </w:r>
      <w:r>
        <w:rPr>
          <w:color w:val="221F1F"/>
          <w:spacing w:val="40"/>
        </w:rPr>
        <w:t xml:space="preserve"> </w:t>
      </w:r>
      <w:r>
        <w:rPr>
          <w:color w:val="221F1F"/>
        </w:rPr>
        <w:t>from</w:t>
      </w:r>
      <w:r>
        <w:rPr>
          <w:color w:val="221F1F"/>
          <w:spacing w:val="40"/>
        </w:rPr>
        <w:t xml:space="preserve"> </w:t>
      </w:r>
      <w:r>
        <w:rPr>
          <w:color w:val="221F1F"/>
        </w:rPr>
        <w:t>participating</w:t>
      </w:r>
      <w:r>
        <w:rPr>
          <w:color w:val="221F1F"/>
          <w:spacing w:val="40"/>
        </w:rPr>
        <w:t xml:space="preserve"> </w:t>
      </w:r>
      <w:r>
        <w:rPr>
          <w:color w:val="221F1F"/>
        </w:rPr>
        <w:t>in procurement proceeding under Part IV of the Act.</w:t>
      </w:r>
    </w:p>
    <w:p w:rsidR="007F6DF9" w:rsidRDefault="007F6DF9">
      <w:pPr>
        <w:pStyle w:val="BodyText"/>
        <w:spacing w:before="224"/>
      </w:pPr>
    </w:p>
    <w:p w:rsidR="007F6DF9" w:rsidRDefault="00A43FBC">
      <w:pPr>
        <w:pStyle w:val="ListParagraph"/>
        <w:numPr>
          <w:ilvl w:val="0"/>
          <w:numId w:val="137"/>
        </w:numPr>
        <w:tabs>
          <w:tab w:val="left" w:pos="985"/>
        </w:tabs>
        <w:spacing w:before="1"/>
        <w:ind w:left="985" w:hanging="279"/>
      </w:pPr>
      <w:r>
        <w:rPr>
          <w:color w:val="221F1F"/>
        </w:rPr>
        <w:t>THAT</w:t>
      </w:r>
      <w:r>
        <w:rPr>
          <w:color w:val="221F1F"/>
          <w:spacing w:val="-17"/>
        </w:rPr>
        <w:t xml:space="preserve"> </w:t>
      </w:r>
      <w:r>
        <w:rPr>
          <w:color w:val="221F1F"/>
        </w:rPr>
        <w:t>what</w:t>
      </w:r>
      <w:r>
        <w:rPr>
          <w:color w:val="221F1F"/>
          <w:spacing w:val="-5"/>
        </w:rPr>
        <w:t xml:space="preserve"> </w:t>
      </w:r>
      <w:r>
        <w:rPr>
          <w:color w:val="221F1F"/>
        </w:rPr>
        <w:t>is</w:t>
      </w:r>
      <w:r>
        <w:rPr>
          <w:color w:val="221F1F"/>
          <w:spacing w:val="-4"/>
        </w:rPr>
        <w:t xml:space="preserve"> </w:t>
      </w:r>
      <w:proofErr w:type="spellStart"/>
      <w:r>
        <w:rPr>
          <w:color w:val="221F1F"/>
        </w:rPr>
        <w:t>deponed</w:t>
      </w:r>
      <w:proofErr w:type="spellEnd"/>
      <w:r>
        <w:rPr>
          <w:color w:val="221F1F"/>
          <w:spacing w:val="-3"/>
        </w:rPr>
        <w:t xml:space="preserve"> </w:t>
      </w:r>
      <w:r>
        <w:rPr>
          <w:color w:val="221F1F"/>
        </w:rPr>
        <w:t>to</w:t>
      </w:r>
      <w:r>
        <w:rPr>
          <w:color w:val="221F1F"/>
          <w:spacing w:val="-6"/>
        </w:rPr>
        <w:t xml:space="preserve"> </w:t>
      </w:r>
      <w:r>
        <w:rPr>
          <w:color w:val="221F1F"/>
        </w:rPr>
        <w:t>here</w:t>
      </w:r>
      <w:r>
        <w:rPr>
          <w:color w:val="221F1F"/>
          <w:spacing w:val="-6"/>
        </w:rPr>
        <w:t xml:space="preserve"> </w:t>
      </w:r>
      <w:r>
        <w:rPr>
          <w:color w:val="221F1F"/>
        </w:rPr>
        <w:t>in</w:t>
      </w:r>
      <w:r>
        <w:rPr>
          <w:color w:val="221F1F"/>
          <w:spacing w:val="-3"/>
        </w:rPr>
        <w:t xml:space="preserve"> </w:t>
      </w:r>
      <w:r>
        <w:rPr>
          <w:color w:val="221F1F"/>
        </w:rPr>
        <w:t>above</w:t>
      </w:r>
      <w:r>
        <w:rPr>
          <w:color w:val="221F1F"/>
          <w:spacing w:val="-5"/>
        </w:rPr>
        <w:t xml:space="preserve"> </w:t>
      </w:r>
      <w:r>
        <w:rPr>
          <w:color w:val="221F1F"/>
        </w:rPr>
        <w:t>is</w:t>
      </w:r>
      <w:r>
        <w:rPr>
          <w:color w:val="221F1F"/>
          <w:spacing w:val="-5"/>
        </w:rPr>
        <w:t xml:space="preserve"> </w:t>
      </w:r>
      <w:r>
        <w:rPr>
          <w:color w:val="221F1F"/>
        </w:rPr>
        <w:t>true</w:t>
      </w:r>
      <w:r>
        <w:rPr>
          <w:color w:val="221F1F"/>
          <w:spacing w:val="-4"/>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best</w:t>
      </w:r>
      <w:r>
        <w:rPr>
          <w:color w:val="221F1F"/>
          <w:spacing w:val="-3"/>
        </w:rPr>
        <w:t xml:space="preserve"> </w:t>
      </w:r>
      <w:r>
        <w:rPr>
          <w:color w:val="221F1F"/>
        </w:rPr>
        <w:t>of</w:t>
      </w:r>
      <w:r>
        <w:rPr>
          <w:color w:val="221F1F"/>
          <w:spacing w:val="-5"/>
        </w:rPr>
        <w:t xml:space="preserve"> </w:t>
      </w:r>
      <w:r>
        <w:rPr>
          <w:color w:val="221F1F"/>
        </w:rPr>
        <w:t>my</w:t>
      </w:r>
      <w:r>
        <w:rPr>
          <w:color w:val="221F1F"/>
          <w:spacing w:val="-4"/>
        </w:rPr>
        <w:t xml:space="preserve"> </w:t>
      </w:r>
      <w:r>
        <w:rPr>
          <w:color w:val="221F1F"/>
        </w:rPr>
        <w:t>knowledge,</w:t>
      </w:r>
      <w:r>
        <w:rPr>
          <w:color w:val="221F1F"/>
          <w:spacing w:val="-3"/>
        </w:rPr>
        <w:t xml:space="preserve"> </w:t>
      </w:r>
      <w:r>
        <w:rPr>
          <w:color w:val="221F1F"/>
        </w:rPr>
        <w:t>information</w:t>
      </w:r>
      <w:r>
        <w:rPr>
          <w:color w:val="221F1F"/>
          <w:spacing w:val="-6"/>
        </w:rPr>
        <w:t xml:space="preserve"> </w:t>
      </w:r>
      <w:r>
        <w:rPr>
          <w:color w:val="221F1F"/>
        </w:rPr>
        <w:t>and</w:t>
      </w:r>
      <w:r>
        <w:rPr>
          <w:color w:val="221F1F"/>
          <w:spacing w:val="-3"/>
        </w:rPr>
        <w:t xml:space="preserve"> </w:t>
      </w:r>
      <w:r>
        <w:rPr>
          <w:color w:val="221F1F"/>
          <w:spacing w:val="-2"/>
        </w:rPr>
        <w:t>belief.</w:t>
      </w:r>
    </w:p>
    <w:p w:rsidR="007F6DF9" w:rsidRDefault="007F6DF9">
      <w:pPr>
        <w:pStyle w:val="BodyText"/>
        <w:rPr>
          <w:sz w:val="20"/>
        </w:rPr>
      </w:pPr>
    </w:p>
    <w:p w:rsidR="007F6DF9" w:rsidRDefault="007F6DF9">
      <w:pPr>
        <w:pStyle w:val="BodyText"/>
        <w:spacing w:before="28"/>
        <w:rPr>
          <w:sz w:val="20"/>
        </w:rPr>
      </w:pPr>
    </w:p>
    <w:tbl>
      <w:tblPr>
        <w:tblW w:w="0" w:type="auto"/>
        <w:tblInd w:w="944" w:type="dxa"/>
        <w:tblLayout w:type="fixed"/>
        <w:tblCellMar>
          <w:left w:w="0" w:type="dxa"/>
          <w:right w:w="0" w:type="dxa"/>
        </w:tblCellMar>
        <w:tblLook w:val="01E0" w:firstRow="1" w:lastRow="1" w:firstColumn="1" w:lastColumn="1" w:noHBand="0" w:noVBand="0"/>
      </w:tblPr>
      <w:tblGrid>
        <w:gridCol w:w="3268"/>
        <w:gridCol w:w="3367"/>
        <w:gridCol w:w="2403"/>
      </w:tblGrid>
      <w:tr w:rsidR="007F6DF9">
        <w:trPr>
          <w:trHeight w:val="243"/>
        </w:trPr>
        <w:tc>
          <w:tcPr>
            <w:tcW w:w="3268" w:type="dxa"/>
          </w:tcPr>
          <w:p w:rsidR="007F6DF9" w:rsidRDefault="00A43FBC">
            <w:pPr>
              <w:pStyle w:val="TableParagraph"/>
              <w:spacing w:line="223" w:lineRule="exact"/>
              <w:ind w:left="50"/>
              <w:rPr>
                <w:rFonts w:ascii="Times New Roman" w:hAnsi="Times New Roman"/>
              </w:rPr>
            </w:pPr>
            <w:r>
              <w:rPr>
                <w:rFonts w:ascii="Times New Roman" w:hAnsi="Times New Roman"/>
                <w:color w:val="221F1F"/>
                <w:spacing w:val="-2"/>
              </w:rPr>
              <w:t>………………………………….</w:t>
            </w:r>
          </w:p>
        </w:tc>
        <w:tc>
          <w:tcPr>
            <w:tcW w:w="3367" w:type="dxa"/>
          </w:tcPr>
          <w:p w:rsidR="007F6DF9" w:rsidRDefault="00A43FBC">
            <w:pPr>
              <w:pStyle w:val="TableParagraph"/>
              <w:spacing w:line="223" w:lineRule="exact"/>
              <w:ind w:left="301"/>
              <w:rPr>
                <w:rFonts w:ascii="Times New Roman" w:hAnsi="Times New Roman"/>
              </w:rPr>
            </w:pPr>
            <w:r>
              <w:rPr>
                <w:rFonts w:ascii="Times New Roman" w:hAnsi="Times New Roman"/>
                <w:color w:val="221F1F"/>
                <w:spacing w:val="-2"/>
              </w:rPr>
              <w:t>……………………………….</w:t>
            </w:r>
          </w:p>
        </w:tc>
        <w:tc>
          <w:tcPr>
            <w:tcW w:w="2403" w:type="dxa"/>
          </w:tcPr>
          <w:p w:rsidR="007F6DF9" w:rsidRDefault="00A43FBC">
            <w:pPr>
              <w:pStyle w:val="TableParagraph"/>
              <w:spacing w:line="223" w:lineRule="exact"/>
              <w:ind w:left="317"/>
              <w:jc w:val="center"/>
              <w:rPr>
                <w:rFonts w:ascii="Times New Roman" w:hAnsi="Times New Roman"/>
              </w:rPr>
            </w:pPr>
            <w:r>
              <w:rPr>
                <w:rFonts w:ascii="Times New Roman" w:hAnsi="Times New Roman"/>
                <w:color w:val="221F1F"/>
                <w:spacing w:val="-2"/>
              </w:rPr>
              <w:t>………………………</w:t>
            </w:r>
          </w:p>
        </w:tc>
      </w:tr>
      <w:tr w:rsidR="007F6DF9">
        <w:trPr>
          <w:trHeight w:val="982"/>
        </w:trPr>
        <w:tc>
          <w:tcPr>
            <w:tcW w:w="3268" w:type="dxa"/>
          </w:tcPr>
          <w:p w:rsidR="007F6DF9" w:rsidRDefault="00A43FBC">
            <w:pPr>
              <w:pStyle w:val="TableParagraph"/>
              <w:spacing w:line="243" w:lineRule="exact"/>
              <w:ind w:left="50"/>
              <w:rPr>
                <w:rFonts w:ascii="Times New Roman"/>
              </w:rPr>
            </w:pPr>
            <w:r>
              <w:rPr>
                <w:rFonts w:ascii="Times New Roman"/>
                <w:color w:val="221F1F"/>
                <w:spacing w:val="-2"/>
              </w:rPr>
              <w:t>(Title)</w:t>
            </w:r>
          </w:p>
          <w:p w:rsidR="007F6DF9" w:rsidRDefault="007F6DF9">
            <w:pPr>
              <w:pStyle w:val="TableParagraph"/>
              <w:spacing w:before="233"/>
              <w:rPr>
                <w:rFonts w:ascii="Times New Roman"/>
              </w:rPr>
            </w:pPr>
          </w:p>
          <w:p w:rsidR="007F6DF9" w:rsidRDefault="00A43FBC">
            <w:pPr>
              <w:pStyle w:val="TableParagraph"/>
              <w:spacing w:line="233" w:lineRule="exact"/>
              <w:ind w:left="50"/>
              <w:rPr>
                <w:rFonts w:ascii="Times New Roman"/>
              </w:rPr>
            </w:pPr>
            <w:r>
              <w:rPr>
                <w:rFonts w:ascii="Times New Roman"/>
                <w:color w:val="221F1F"/>
              </w:rPr>
              <w:t>Bidder</w:t>
            </w:r>
            <w:r>
              <w:rPr>
                <w:rFonts w:ascii="Times New Roman"/>
                <w:color w:val="221F1F"/>
                <w:spacing w:val="-11"/>
              </w:rPr>
              <w:t xml:space="preserve"> </w:t>
            </w:r>
            <w:r>
              <w:rPr>
                <w:rFonts w:ascii="Times New Roman"/>
                <w:color w:val="221F1F"/>
              </w:rPr>
              <w:t>Official</w:t>
            </w:r>
            <w:r>
              <w:rPr>
                <w:rFonts w:ascii="Times New Roman"/>
                <w:color w:val="221F1F"/>
                <w:spacing w:val="-9"/>
              </w:rPr>
              <w:t xml:space="preserve"> </w:t>
            </w:r>
            <w:r>
              <w:rPr>
                <w:rFonts w:ascii="Times New Roman"/>
                <w:color w:val="221F1F"/>
                <w:spacing w:val="-2"/>
              </w:rPr>
              <w:t>Stamp</w:t>
            </w:r>
          </w:p>
        </w:tc>
        <w:tc>
          <w:tcPr>
            <w:tcW w:w="3367" w:type="dxa"/>
          </w:tcPr>
          <w:p w:rsidR="007F6DF9" w:rsidRDefault="00A43FBC">
            <w:pPr>
              <w:pStyle w:val="TableParagraph"/>
              <w:spacing w:line="243" w:lineRule="exact"/>
              <w:ind w:left="1071"/>
              <w:rPr>
                <w:rFonts w:ascii="Times New Roman"/>
              </w:rPr>
            </w:pPr>
            <w:r>
              <w:rPr>
                <w:rFonts w:ascii="Times New Roman"/>
                <w:color w:val="221F1F"/>
                <w:spacing w:val="-2"/>
              </w:rPr>
              <w:t>(Signature)</w:t>
            </w:r>
          </w:p>
        </w:tc>
        <w:tc>
          <w:tcPr>
            <w:tcW w:w="2403" w:type="dxa"/>
          </w:tcPr>
          <w:p w:rsidR="007F6DF9" w:rsidRDefault="00A43FBC">
            <w:pPr>
              <w:pStyle w:val="TableParagraph"/>
              <w:spacing w:line="243" w:lineRule="exact"/>
              <w:ind w:left="217"/>
              <w:jc w:val="center"/>
              <w:rPr>
                <w:rFonts w:ascii="Times New Roman"/>
              </w:rPr>
            </w:pPr>
            <w:r>
              <w:rPr>
                <w:rFonts w:ascii="Times New Roman"/>
                <w:color w:val="221F1F"/>
                <w:spacing w:val="-2"/>
              </w:rPr>
              <w:t>(Date)</w:t>
            </w:r>
          </w:p>
        </w:tc>
      </w:tr>
    </w:tbl>
    <w:p w:rsidR="007F6DF9" w:rsidRDefault="007F6DF9">
      <w:pPr>
        <w:pStyle w:val="TableParagraph"/>
        <w:spacing w:line="243" w:lineRule="exact"/>
        <w:jc w:val="center"/>
        <w:rPr>
          <w:rFonts w:ascii="Times New Roman"/>
        </w:rPr>
        <w:sectPr w:rsidR="007F6DF9">
          <w:pgSz w:w="11920" w:h="16850"/>
          <w:pgMar w:top="360" w:right="283" w:bottom="620" w:left="141" w:header="0" w:footer="437" w:gutter="0"/>
          <w:cols w:space="720"/>
        </w:sectPr>
      </w:pPr>
    </w:p>
    <w:p w:rsidR="007F6DF9" w:rsidRDefault="007F6DF9">
      <w:pPr>
        <w:pStyle w:val="BodyText"/>
        <w:rPr>
          <w:sz w:val="24"/>
        </w:rPr>
      </w:pPr>
    </w:p>
    <w:p w:rsidR="007F6DF9" w:rsidRDefault="007F6DF9">
      <w:pPr>
        <w:pStyle w:val="BodyText"/>
        <w:spacing w:before="242"/>
        <w:rPr>
          <w:sz w:val="24"/>
        </w:rPr>
      </w:pPr>
    </w:p>
    <w:p w:rsidR="007F6DF9" w:rsidRDefault="00A43FBC">
      <w:pPr>
        <w:ind w:left="305"/>
        <w:jc w:val="center"/>
        <w:rPr>
          <w:b/>
          <w:sz w:val="24"/>
        </w:rPr>
      </w:pPr>
      <w:r>
        <w:rPr>
          <w:b/>
          <w:sz w:val="24"/>
        </w:rPr>
        <w:t>FORM</w:t>
      </w:r>
      <w:r>
        <w:rPr>
          <w:b/>
          <w:spacing w:val="-2"/>
          <w:sz w:val="24"/>
        </w:rPr>
        <w:t xml:space="preserve"> </w:t>
      </w:r>
      <w:r>
        <w:rPr>
          <w:b/>
          <w:spacing w:val="-5"/>
          <w:sz w:val="24"/>
        </w:rPr>
        <w:t>SD2</w:t>
      </w:r>
    </w:p>
    <w:p w:rsidR="007F6DF9" w:rsidRDefault="007F6DF9">
      <w:pPr>
        <w:pStyle w:val="BodyText"/>
        <w:spacing w:before="10"/>
        <w:rPr>
          <w:b/>
          <w:sz w:val="24"/>
        </w:rPr>
      </w:pPr>
    </w:p>
    <w:p w:rsidR="007F6DF9" w:rsidRDefault="00A43FBC">
      <w:pPr>
        <w:pStyle w:val="Heading8"/>
        <w:spacing w:line="230" w:lineRule="auto"/>
        <w:ind w:left="706"/>
      </w:pPr>
      <w:r>
        <w:rPr>
          <w:color w:val="221F1F"/>
        </w:rPr>
        <w:t>SELF</w:t>
      </w:r>
      <w:r>
        <w:rPr>
          <w:color w:val="221F1F"/>
          <w:spacing w:val="-2"/>
        </w:rPr>
        <w:t xml:space="preserve"> </w:t>
      </w:r>
      <w:r>
        <w:rPr>
          <w:color w:val="221F1F"/>
        </w:rPr>
        <w:t>DECLARATION</w:t>
      </w:r>
      <w:r>
        <w:rPr>
          <w:color w:val="221F1F"/>
          <w:spacing w:val="-3"/>
        </w:rPr>
        <w:t xml:space="preserve"> </w:t>
      </w:r>
      <w:r>
        <w:rPr>
          <w:color w:val="221F1F"/>
        </w:rPr>
        <w:t>THAT</w:t>
      </w:r>
      <w:r>
        <w:rPr>
          <w:color w:val="221F1F"/>
          <w:spacing w:val="-3"/>
        </w:rPr>
        <w:t xml:space="preserve"> </w:t>
      </w:r>
      <w:r>
        <w:rPr>
          <w:color w:val="221F1F"/>
        </w:rPr>
        <w:t>THE</w:t>
      </w:r>
      <w:r>
        <w:rPr>
          <w:color w:val="221F1F"/>
          <w:spacing w:val="-3"/>
        </w:rPr>
        <w:t xml:space="preserve"> </w:t>
      </w:r>
      <w:r>
        <w:rPr>
          <w:color w:val="221F1F"/>
        </w:rPr>
        <w:t>PERSON/TENDERER</w:t>
      </w:r>
      <w:r>
        <w:rPr>
          <w:color w:val="221F1F"/>
          <w:spacing w:val="-3"/>
        </w:rPr>
        <w:t xml:space="preserve"> </w:t>
      </w:r>
      <w:r>
        <w:rPr>
          <w:color w:val="221F1F"/>
        </w:rPr>
        <w:t>WILL</w:t>
      </w:r>
      <w:r>
        <w:rPr>
          <w:color w:val="221F1F"/>
          <w:spacing w:val="-4"/>
        </w:rPr>
        <w:t xml:space="preserve"> </w:t>
      </w:r>
      <w:r>
        <w:rPr>
          <w:color w:val="221F1F"/>
        </w:rPr>
        <w:t>NOT</w:t>
      </w:r>
      <w:r>
        <w:rPr>
          <w:color w:val="221F1F"/>
          <w:spacing w:val="-3"/>
        </w:rPr>
        <w:t xml:space="preserve"> </w:t>
      </w:r>
      <w:r>
        <w:rPr>
          <w:color w:val="221F1F"/>
        </w:rPr>
        <w:t>ENGAGE</w:t>
      </w:r>
      <w:r>
        <w:rPr>
          <w:color w:val="221F1F"/>
          <w:spacing w:val="-3"/>
        </w:rPr>
        <w:t xml:space="preserve"> </w:t>
      </w:r>
      <w:r>
        <w:rPr>
          <w:color w:val="221F1F"/>
        </w:rPr>
        <w:t>IN</w:t>
      </w:r>
      <w:r>
        <w:rPr>
          <w:color w:val="221F1F"/>
          <w:spacing w:val="-2"/>
        </w:rPr>
        <w:t xml:space="preserve"> </w:t>
      </w:r>
      <w:r>
        <w:rPr>
          <w:color w:val="221F1F"/>
        </w:rPr>
        <w:t>ANY</w:t>
      </w:r>
      <w:r>
        <w:rPr>
          <w:color w:val="221F1F"/>
          <w:spacing w:val="-3"/>
        </w:rPr>
        <w:t xml:space="preserve"> </w:t>
      </w:r>
      <w:r>
        <w:rPr>
          <w:color w:val="221F1F"/>
        </w:rPr>
        <w:t>CORRUPT</w:t>
      </w:r>
      <w:r>
        <w:rPr>
          <w:color w:val="221F1F"/>
          <w:spacing w:val="-4"/>
        </w:rPr>
        <w:t xml:space="preserve"> </w:t>
      </w:r>
      <w:r>
        <w:rPr>
          <w:color w:val="221F1F"/>
        </w:rPr>
        <w:t>OR FRAUDULENT PRACTICE.</w:t>
      </w:r>
    </w:p>
    <w:p w:rsidR="007F6DF9" w:rsidRDefault="007F6DF9">
      <w:pPr>
        <w:pStyle w:val="BodyText"/>
        <w:rPr>
          <w:b/>
        </w:rPr>
      </w:pPr>
    </w:p>
    <w:p w:rsidR="007F6DF9" w:rsidRDefault="007F6DF9">
      <w:pPr>
        <w:pStyle w:val="BodyText"/>
        <w:spacing w:before="212"/>
        <w:rPr>
          <w:b/>
        </w:rPr>
      </w:pPr>
    </w:p>
    <w:p w:rsidR="007F6DF9" w:rsidRDefault="00A43FBC">
      <w:pPr>
        <w:pStyle w:val="BodyText"/>
        <w:tabs>
          <w:tab w:val="left" w:leader="dot" w:pos="8158"/>
        </w:tabs>
        <w:spacing w:before="1" w:line="250" w:lineRule="exact"/>
        <w:ind w:left="706"/>
      </w:pPr>
      <w:r>
        <w:rPr>
          <w:color w:val="221F1F"/>
        </w:rPr>
        <w:t>I,</w:t>
      </w:r>
      <w:r>
        <w:rPr>
          <w:color w:val="221F1F"/>
          <w:spacing w:val="-6"/>
        </w:rPr>
        <w:t xml:space="preserve"> </w:t>
      </w:r>
      <w:r>
        <w:rPr>
          <w:color w:val="221F1F"/>
        </w:rPr>
        <w:t>……………………………………of</w:t>
      </w:r>
      <w:r>
        <w:rPr>
          <w:color w:val="221F1F"/>
          <w:spacing w:val="-6"/>
        </w:rPr>
        <w:t xml:space="preserve"> </w:t>
      </w:r>
      <w:r>
        <w:rPr>
          <w:color w:val="221F1F"/>
        </w:rPr>
        <w:t>P.O.</w:t>
      </w:r>
      <w:r>
        <w:rPr>
          <w:color w:val="221F1F"/>
          <w:spacing w:val="-5"/>
        </w:rPr>
        <w:t xml:space="preserve"> Box</w:t>
      </w:r>
      <w:r>
        <w:rPr>
          <w:color w:val="221F1F"/>
        </w:rPr>
        <w:tab/>
        <w:t>being</w:t>
      </w:r>
      <w:r>
        <w:rPr>
          <w:color w:val="221F1F"/>
          <w:spacing w:val="-5"/>
        </w:rPr>
        <w:t xml:space="preserve"> </w:t>
      </w:r>
      <w:r>
        <w:rPr>
          <w:color w:val="221F1F"/>
        </w:rPr>
        <w:t>a</w:t>
      </w:r>
      <w:r>
        <w:rPr>
          <w:color w:val="221F1F"/>
          <w:spacing w:val="-4"/>
        </w:rPr>
        <w:t xml:space="preserve"> </w:t>
      </w:r>
      <w:r>
        <w:rPr>
          <w:color w:val="221F1F"/>
        </w:rPr>
        <w:t>resident</w:t>
      </w:r>
      <w:r>
        <w:rPr>
          <w:color w:val="221F1F"/>
          <w:spacing w:val="-1"/>
        </w:rPr>
        <w:t xml:space="preserve"> </w:t>
      </w:r>
      <w:r>
        <w:rPr>
          <w:color w:val="221F1F"/>
          <w:spacing w:val="-5"/>
        </w:rPr>
        <w:t>of</w:t>
      </w:r>
    </w:p>
    <w:p w:rsidR="007F6DF9" w:rsidRDefault="00A43FBC">
      <w:pPr>
        <w:pStyle w:val="BodyText"/>
        <w:tabs>
          <w:tab w:val="left" w:leader="dot" w:pos="6856"/>
        </w:tabs>
        <w:spacing w:line="250" w:lineRule="exact"/>
        <w:ind w:left="706"/>
      </w:pPr>
      <w:r>
        <w:rPr>
          <w:color w:val="221F1F"/>
        </w:rPr>
        <w:t>…………………………………..</w:t>
      </w:r>
      <w:r>
        <w:rPr>
          <w:color w:val="221F1F"/>
          <w:spacing w:val="-6"/>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Republic</w:t>
      </w:r>
      <w:r>
        <w:rPr>
          <w:color w:val="221F1F"/>
          <w:spacing w:val="-5"/>
        </w:rPr>
        <w:t xml:space="preserve"> of</w:t>
      </w:r>
      <w:r>
        <w:rPr>
          <w:color w:val="221F1F"/>
        </w:rPr>
        <w:tab/>
        <w:t>do</w:t>
      </w:r>
      <w:r>
        <w:rPr>
          <w:color w:val="221F1F"/>
          <w:spacing w:val="-5"/>
        </w:rPr>
        <w:t xml:space="preserve"> </w:t>
      </w:r>
      <w:r>
        <w:rPr>
          <w:color w:val="221F1F"/>
        </w:rPr>
        <w:t>hereby</w:t>
      </w:r>
      <w:r>
        <w:rPr>
          <w:color w:val="221F1F"/>
          <w:spacing w:val="-5"/>
        </w:rPr>
        <w:t xml:space="preserve"> </w:t>
      </w:r>
      <w:r>
        <w:rPr>
          <w:color w:val="221F1F"/>
        </w:rPr>
        <w:t>make</w:t>
      </w:r>
      <w:r>
        <w:rPr>
          <w:color w:val="221F1F"/>
          <w:spacing w:val="-5"/>
        </w:rPr>
        <w:t xml:space="preserve"> </w:t>
      </w:r>
      <w:r>
        <w:rPr>
          <w:color w:val="221F1F"/>
        </w:rPr>
        <w:t>a</w:t>
      </w:r>
      <w:r>
        <w:rPr>
          <w:color w:val="221F1F"/>
          <w:spacing w:val="-3"/>
        </w:rPr>
        <w:t xml:space="preserve"> </w:t>
      </w:r>
      <w:r>
        <w:rPr>
          <w:color w:val="221F1F"/>
        </w:rPr>
        <w:t>statement</w:t>
      </w:r>
      <w:r>
        <w:rPr>
          <w:color w:val="221F1F"/>
          <w:spacing w:val="-2"/>
        </w:rPr>
        <w:t xml:space="preserve"> </w:t>
      </w:r>
      <w:r>
        <w:rPr>
          <w:color w:val="221F1F"/>
        </w:rPr>
        <w:t>as</w:t>
      </w:r>
      <w:r>
        <w:rPr>
          <w:color w:val="221F1F"/>
          <w:spacing w:val="-3"/>
        </w:rPr>
        <w:t xml:space="preserve"> </w:t>
      </w:r>
      <w:r>
        <w:rPr>
          <w:color w:val="221F1F"/>
        </w:rPr>
        <w:t xml:space="preserve">follows: </w:t>
      </w:r>
      <w:r>
        <w:rPr>
          <w:color w:val="221F1F"/>
          <w:spacing w:val="-10"/>
        </w:rPr>
        <w:t>-</w:t>
      </w:r>
    </w:p>
    <w:p w:rsidR="007F6DF9" w:rsidRDefault="007F6DF9">
      <w:pPr>
        <w:pStyle w:val="BodyText"/>
        <w:spacing w:before="234"/>
      </w:pPr>
    </w:p>
    <w:p w:rsidR="007F6DF9" w:rsidRDefault="00A43FBC">
      <w:pPr>
        <w:pStyle w:val="ListParagraph"/>
        <w:numPr>
          <w:ilvl w:val="0"/>
          <w:numId w:val="136"/>
        </w:numPr>
        <w:tabs>
          <w:tab w:val="left" w:pos="1052"/>
          <w:tab w:val="left" w:pos="1059"/>
          <w:tab w:val="left" w:leader="dot" w:pos="9403"/>
        </w:tabs>
        <w:spacing w:line="230" w:lineRule="auto"/>
        <w:ind w:right="954" w:hanging="354"/>
        <w:rPr>
          <w:color w:val="221F1F"/>
        </w:rPr>
      </w:pPr>
      <w:r>
        <w:rPr>
          <w:color w:val="221F1F"/>
        </w:rPr>
        <w:t>THAT</w:t>
      </w:r>
      <w:r>
        <w:rPr>
          <w:color w:val="221F1F"/>
          <w:spacing w:val="-15"/>
        </w:rPr>
        <w:t xml:space="preserve"> </w:t>
      </w:r>
      <w:r>
        <w:rPr>
          <w:color w:val="221F1F"/>
        </w:rPr>
        <w:t>I</w:t>
      </w:r>
      <w:r>
        <w:rPr>
          <w:color w:val="221F1F"/>
          <w:spacing w:val="-14"/>
        </w:rPr>
        <w:t xml:space="preserve"> </w:t>
      </w:r>
      <w:r>
        <w:rPr>
          <w:color w:val="221F1F"/>
        </w:rPr>
        <w:t>am</w:t>
      </w:r>
      <w:r>
        <w:rPr>
          <w:color w:val="221F1F"/>
          <w:spacing w:val="-6"/>
        </w:rPr>
        <w:t xml:space="preserve"> </w:t>
      </w:r>
      <w:r>
        <w:rPr>
          <w:color w:val="221F1F"/>
        </w:rPr>
        <w:t>the</w:t>
      </w:r>
      <w:r>
        <w:rPr>
          <w:color w:val="221F1F"/>
          <w:spacing w:val="-7"/>
        </w:rPr>
        <w:t xml:space="preserve"> </w:t>
      </w:r>
      <w:r>
        <w:rPr>
          <w:color w:val="221F1F"/>
        </w:rPr>
        <w:t>Chief</w:t>
      </w:r>
      <w:r>
        <w:rPr>
          <w:color w:val="221F1F"/>
          <w:spacing w:val="-6"/>
        </w:rPr>
        <w:t xml:space="preserve"> </w:t>
      </w:r>
      <w:r>
        <w:rPr>
          <w:color w:val="221F1F"/>
        </w:rPr>
        <w:t>Executive/Managing</w:t>
      </w:r>
      <w:r>
        <w:rPr>
          <w:color w:val="221F1F"/>
          <w:spacing w:val="-7"/>
        </w:rPr>
        <w:t xml:space="preserve"> </w:t>
      </w:r>
      <w:r>
        <w:rPr>
          <w:color w:val="221F1F"/>
        </w:rPr>
        <w:t>Director/Principal</w:t>
      </w:r>
      <w:r>
        <w:rPr>
          <w:color w:val="221F1F"/>
          <w:spacing w:val="-6"/>
        </w:rPr>
        <w:t xml:space="preserve"> </w:t>
      </w:r>
      <w:r>
        <w:rPr>
          <w:color w:val="221F1F"/>
        </w:rPr>
        <w:t>Officer/Director</w:t>
      </w:r>
      <w:r>
        <w:rPr>
          <w:color w:val="221F1F"/>
          <w:spacing w:val="-7"/>
        </w:rPr>
        <w:t xml:space="preserve"> </w:t>
      </w:r>
      <w:r>
        <w:rPr>
          <w:color w:val="221F1F"/>
        </w:rPr>
        <w:t>of</w:t>
      </w:r>
      <w:r>
        <w:rPr>
          <w:color w:val="221F1F"/>
          <w:spacing w:val="-9"/>
        </w:rPr>
        <w:t xml:space="preserve"> </w:t>
      </w:r>
      <w:r>
        <w:rPr>
          <w:color w:val="221F1F"/>
        </w:rPr>
        <w:t xml:space="preserve">…….................................. (insert name of the Company) who is a Bidder in respect of </w:t>
      </w:r>
      <w:r>
        <w:rPr>
          <w:b/>
          <w:color w:val="221F1F"/>
        </w:rPr>
        <w:t>Tender No</w:t>
      </w:r>
      <w:r>
        <w:rPr>
          <w:b/>
          <w:color w:val="221F1F"/>
        </w:rPr>
        <w:tab/>
      </w:r>
      <w:r>
        <w:rPr>
          <w:color w:val="221F1F"/>
          <w:spacing w:val="-4"/>
        </w:rPr>
        <w:t>for</w:t>
      </w:r>
    </w:p>
    <w:p w:rsidR="007F6DF9" w:rsidRDefault="00A43FBC">
      <w:pPr>
        <w:tabs>
          <w:tab w:val="left" w:leader="dot" w:pos="7110"/>
        </w:tabs>
        <w:spacing w:line="241" w:lineRule="exact"/>
        <w:ind w:left="1059"/>
      </w:pPr>
      <w:r>
        <w:rPr>
          <w:color w:val="221F1F"/>
        </w:rPr>
        <w:t>…………………</w:t>
      </w:r>
      <w:r>
        <w:rPr>
          <w:color w:val="221F1F"/>
          <w:spacing w:val="-9"/>
        </w:rPr>
        <w:t xml:space="preserve"> </w:t>
      </w:r>
      <w:r>
        <w:rPr>
          <w:i/>
          <w:color w:val="221F1F"/>
        </w:rPr>
        <w:t>(insert</w:t>
      </w:r>
      <w:r>
        <w:rPr>
          <w:i/>
          <w:color w:val="221F1F"/>
          <w:spacing w:val="-8"/>
        </w:rPr>
        <w:t xml:space="preserve"> </w:t>
      </w:r>
      <w:r>
        <w:rPr>
          <w:i/>
          <w:color w:val="221F1F"/>
        </w:rPr>
        <w:t>tender</w:t>
      </w:r>
      <w:r>
        <w:rPr>
          <w:i/>
          <w:color w:val="221F1F"/>
          <w:spacing w:val="-7"/>
        </w:rPr>
        <w:t xml:space="preserve"> </w:t>
      </w:r>
      <w:r>
        <w:rPr>
          <w:i/>
          <w:color w:val="221F1F"/>
        </w:rPr>
        <w:t>title/description)</w:t>
      </w:r>
      <w:r>
        <w:rPr>
          <w:i/>
          <w:color w:val="221F1F"/>
          <w:spacing w:val="-5"/>
        </w:rPr>
        <w:t xml:space="preserve"> </w:t>
      </w:r>
      <w:r>
        <w:rPr>
          <w:color w:val="221F1F"/>
          <w:spacing w:val="-5"/>
        </w:rPr>
        <w:t>for</w:t>
      </w:r>
      <w:r>
        <w:rPr>
          <w:color w:val="221F1F"/>
        </w:rPr>
        <w:tab/>
      </w:r>
      <w:r>
        <w:rPr>
          <w:i/>
          <w:color w:val="221F1F"/>
        </w:rPr>
        <w:t>(insert</w:t>
      </w:r>
      <w:r>
        <w:rPr>
          <w:i/>
          <w:color w:val="221F1F"/>
          <w:spacing w:val="-3"/>
        </w:rPr>
        <w:t xml:space="preserve"> </w:t>
      </w:r>
      <w:r>
        <w:rPr>
          <w:i/>
          <w:color w:val="221F1F"/>
        </w:rPr>
        <w:t>name</w:t>
      </w:r>
      <w:r>
        <w:rPr>
          <w:i/>
          <w:color w:val="221F1F"/>
          <w:spacing w:val="-3"/>
        </w:rPr>
        <w:t xml:space="preserve"> </w:t>
      </w:r>
      <w:r>
        <w:rPr>
          <w:i/>
          <w:color w:val="221F1F"/>
        </w:rPr>
        <w:t>of</w:t>
      </w:r>
      <w:r>
        <w:rPr>
          <w:i/>
          <w:color w:val="221F1F"/>
          <w:spacing w:val="-5"/>
        </w:rPr>
        <w:t xml:space="preserve"> </w:t>
      </w:r>
      <w:r>
        <w:rPr>
          <w:i/>
          <w:color w:val="221F1F"/>
        </w:rPr>
        <w:t>the</w:t>
      </w:r>
      <w:r>
        <w:rPr>
          <w:i/>
          <w:color w:val="221F1F"/>
          <w:spacing w:val="-3"/>
        </w:rPr>
        <w:t xml:space="preserve"> </w:t>
      </w:r>
      <w:r>
        <w:rPr>
          <w:i/>
          <w:color w:val="221F1F"/>
        </w:rPr>
        <w:t>Procuring</w:t>
      </w:r>
      <w:r>
        <w:rPr>
          <w:i/>
          <w:color w:val="221F1F"/>
          <w:spacing w:val="-5"/>
        </w:rPr>
        <w:t xml:space="preserve"> </w:t>
      </w:r>
      <w:r>
        <w:rPr>
          <w:i/>
          <w:color w:val="221F1F"/>
        </w:rPr>
        <w:t>entity)</w:t>
      </w:r>
      <w:r>
        <w:rPr>
          <w:i/>
          <w:color w:val="221F1F"/>
          <w:spacing w:val="-2"/>
        </w:rPr>
        <w:t xml:space="preserve"> </w:t>
      </w:r>
      <w:r>
        <w:rPr>
          <w:color w:val="221F1F"/>
          <w:spacing w:val="-5"/>
        </w:rPr>
        <w:t>and</w:t>
      </w:r>
    </w:p>
    <w:p w:rsidR="007F6DF9" w:rsidRDefault="00A43FBC">
      <w:pPr>
        <w:pStyle w:val="BodyText"/>
        <w:spacing w:line="248" w:lineRule="exact"/>
        <w:ind w:left="1059"/>
      </w:pPr>
      <w:r>
        <w:rPr>
          <w:color w:val="221F1F"/>
        </w:rPr>
        <w:t>duly</w:t>
      </w:r>
      <w:r>
        <w:rPr>
          <w:color w:val="221F1F"/>
          <w:spacing w:val="-3"/>
        </w:rPr>
        <w:t xml:space="preserve"> </w:t>
      </w:r>
      <w:r>
        <w:rPr>
          <w:color w:val="221F1F"/>
        </w:rPr>
        <w:t>authorized</w:t>
      </w:r>
      <w:r>
        <w:rPr>
          <w:color w:val="221F1F"/>
          <w:spacing w:val="-6"/>
        </w:rPr>
        <w:t xml:space="preserve"> </w:t>
      </w:r>
      <w:r>
        <w:rPr>
          <w:color w:val="221F1F"/>
        </w:rPr>
        <w:t>and</w:t>
      </w:r>
      <w:r>
        <w:rPr>
          <w:color w:val="221F1F"/>
          <w:spacing w:val="-2"/>
        </w:rPr>
        <w:t xml:space="preserve"> </w:t>
      </w:r>
      <w:r>
        <w:rPr>
          <w:color w:val="221F1F"/>
        </w:rPr>
        <w:t>competent</w:t>
      </w:r>
      <w:r>
        <w:rPr>
          <w:color w:val="221F1F"/>
          <w:spacing w:val="-5"/>
        </w:rPr>
        <w:t xml:space="preserve"> </w:t>
      </w:r>
      <w:r>
        <w:rPr>
          <w:color w:val="221F1F"/>
        </w:rPr>
        <w:t>to</w:t>
      </w:r>
      <w:r>
        <w:rPr>
          <w:color w:val="221F1F"/>
          <w:spacing w:val="-5"/>
        </w:rPr>
        <w:t xml:space="preserve"> </w:t>
      </w:r>
      <w:r>
        <w:rPr>
          <w:color w:val="221F1F"/>
        </w:rPr>
        <w:t>make</w:t>
      </w:r>
      <w:r>
        <w:rPr>
          <w:color w:val="221F1F"/>
          <w:spacing w:val="-5"/>
        </w:rPr>
        <w:t xml:space="preserve"> </w:t>
      </w:r>
      <w:r>
        <w:rPr>
          <w:color w:val="221F1F"/>
        </w:rPr>
        <w:t>this</w:t>
      </w:r>
      <w:r>
        <w:rPr>
          <w:color w:val="221F1F"/>
          <w:spacing w:val="-2"/>
        </w:rPr>
        <w:t xml:space="preserve"> statement.</w:t>
      </w:r>
    </w:p>
    <w:p w:rsidR="007F6DF9" w:rsidRDefault="007F6DF9">
      <w:pPr>
        <w:pStyle w:val="BodyText"/>
        <w:spacing w:before="234"/>
      </w:pPr>
    </w:p>
    <w:p w:rsidR="007F6DF9" w:rsidRDefault="00A43FBC">
      <w:pPr>
        <w:pStyle w:val="ListParagraph"/>
        <w:numPr>
          <w:ilvl w:val="0"/>
          <w:numId w:val="136"/>
        </w:numPr>
        <w:tabs>
          <w:tab w:val="left" w:pos="1050"/>
          <w:tab w:val="left" w:pos="1059"/>
        </w:tabs>
        <w:spacing w:before="1" w:line="230" w:lineRule="auto"/>
        <w:ind w:right="563" w:hanging="354"/>
        <w:jc w:val="both"/>
        <w:rPr>
          <w:color w:val="221F1F"/>
        </w:rPr>
      </w:pPr>
      <w:r>
        <w:rPr>
          <w:color w:val="221F1F"/>
        </w:rPr>
        <w:t xml:space="preserve">THAT </w:t>
      </w:r>
      <w:proofErr w:type="spellStart"/>
      <w:r>
        <w:rPr>
          <w:color w:val="221F1F"/>
        </w:rPr>
        <w:t>theafore</w:t>
      </w:r>
      <w:proofErr w:type="spellEnd"/>
      <w:r>
        <w:rPr>
          <w:color w:val="221F1F"/>
        </w:rPr>
        <w:t xml:space="preserve"> said Bidder, its servants and/</w:t>
      </w:r>
      <w:proofErr w:type="spellStart"/>
      <w:r>
        <w:rPr>
          <w:color w:val="221F1F"/>
        </w:rPr>
        <w:t>oragents</w:t>
      </w:r>
      <w:proofErr w:type="spellEnd"/>
      <w:r>
        <w:rPr>
          <w:color w:val="221F1F"/>
        </w:rPr>
        <w:t>/</w:t>
      </w:r>
      <w:proofErr w:type="spellStart"/>
      <w:r>
        <w:rPr>
          <w:color w:val="221F1F"/>
        </w:rPr>
        <w:t>subcontractorswillnotengageinanycorruptorfraudulent</w:t>
      </w:r>
      <w:proofErr w:type="spellEnd"/>
      <w:r>
        <w:rPr>
          <w:color w:val="221F1F"/>
        </w:rPr>
        <w:t xml:space="preserve"> practice and has not been requested to pay any inducement to any member of the Board, Management, Staff and/or employees and/or agents of ……………………. </w:t>
      </w:r>
      <w:r>
        <w:rPr>
          <w:i/>
          <w:color w:val="221F1F"/>
        </w:rPr>
        <w:t xml:space="preserve">(insert name of the Procuring entity) </w:t>
      </w:r>
      <w:r>
        <w:rPr>
          <w:color w:val="221F1F"/>
        </w:rPr>
        <w:t>which is the procuring entity.</w:t>
      </w:r>
    </w:p>
    <w:p w:rsidR="007F6DF9" w:rsidRDefault="007F6DF9">
      <w:pPr>
        <w:pStyle w:val="BodyText"/>
        <w:spacing w:before="234"/>
      </w:pPr>
    </w:p>
    <w:p w:rsidR="007F6DF9" w:rsidRDefault="00A43FBC">
      <w:pPr>
        <w:pStyle w:val="ListParagraph"/>
        <w:numPr>
          <w:ilvl w:val="0"/>
          <w:numId w:val="136"/>
        </w:numPr>
        <w:tabs>
          <w:tab w:val="left" w:pos="1050"/>
          <w:tab w:val="left" w:pos="1059"/>
          <w:tab w:val="left" w:leader="dot" w:pos="9811"/>
        </w:tabs>
        <w:spacing w:line="230" w:lineRule="auto"/>
        <w:ind w:right="563" w:hanging="354"/>
        <w:jc w:val="both"/>
        <w:rPr>
          <w:i/>
          <w:color w:val="221F1F"/>
        </w:rPr>
      </w:pPr>
      <w:r>
        <w:rPr>
          <w:color w:val="221F1F"/>
        </w:rPr>
        <w:t>THAT</w:t>
      </w:r>
      <w:r>
        <w:rPr>
          <w:color w:val="221F1F"/>
          <w:spacing w:val="-5"/>
        </w:rPr>
        <w:t xml:space="preserve"> </w:t>
      </w:r>
      <w:r>
        <w:rPr>
          <w:color w:val="221F1F"/>
        </w:rPr>
        <w:t>the aforesaid Bidder, its servants and/or agents /subcontractors have not offered any inducement to any member</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Board,</w:t>
      </w:r>
      <w:r>
        <w:rPr>
          <w:color w:val="221F1F"/>
          <w:spacing w:val="1"/>
        </w:rPr>
        <w:t xml:space="preserve"> </w:t>
      </w:r>
      <w:r>
        <w:rPr>
          <w:color w:val="221F1F"/>
        </w:rPr>
        <w:t>Management,</w:t>
      </w:r>
      <w:r>
        <w:rPr>
          <w:color w:val="221F1F"/>
          <w:spacing w:val="1"/>
        </w:rPr>
        <w:t xml:space="preserve"> </w:t>
      </w:r>
      <w:r>
        <w:rPr>
          <w:color w:val="221F1F"/>
        </w:rPr>
        <w:t>Staff</w:t>
      </w:r>
      <w:r>
        <w:rPr>
          <w:color w:val="221F1F"/>
          <w:spacing w:val="1"/>
        </w:rPr>
        <w:t xml:space="preserve"> </w:t>
      </w:r>
      <w:r>
        <w:rPr>
          <w:color w:val="221F1F"/>
        </w:rPr>
        <w:t>and/or</w:t>
      </w:r>
      <w:r>
        <w:rPr>
          <w:color w:val="221F1F"/>
          <w:spacing w:val="2"/>
        </w:rPr>
        <w:t xml:space="preserve"> </w:t>
      </w:r>
      <w:r>
        <w:rPr>
          <w:color w:val="221F1F"/>
        </w:rPr>
        <w:t>employees</w:t>
      </w:r>
      <w:r>
        <w:rPr>
          <w:color w:val="221F1F"/>
          <w:spacing w:val="1"/>
        </w:rPr>
        <w:t xml:space="preserve"> </w:t>
      </w:r>
      <w:r>
        <w:rPr>
          <w:color w:val="221F1F"/>
        </w:rPr>
        <w:t>and/or</w:t>
      </w:r>
      <w:r>
        <w:rPr>
          <w:color w:val="221F1F"/>
          <w:spacing w:val="2"/>
        </w:rPr>
        <w:t xml:space="preserve"> </w:t>
      </w:r>
      <w:r>
        <w:rPr>
          <w:color w:val="221F1F"/>
        </w:rPr>
        <w:t>agents</w:t>
      </w:r>
      <w:r>
        <w:rPr>
          <w:color w:val="221F1F"/>
          <w:spacing w:val="2"/>
        </w:rPr>
        <w:t xml:space="preserve"> </w:t>
      </w:r>
      <w:r>
        <w:rPr>
          <w:color w:val="221F1F"/>
          <w:spacing w:val="-5"/>
        </w:rPr>
        <w:t>of</w:t>
      </w:r>
      <w:r>
        <w:rPr>
          <w:color w:val="221F1F"/>
        </w:rPr>
        <w:tab/>
      </w:r>
      <w:r>
        <w:rPr>
          <w:i/>
          <w:color w:val="221F1F"/>
        </w:rPr>
        <w:t>(name of</w:t>
      </w:r>
      <w:r>
        <w:rPr>
          <w:i/>
          <w:color w:val="221F1F"/>
          <w:spacing w:val="1"/>
        </w:rPr>
        <w:t xml:space="preserve"> </w:t>
      </w:r>
      <w:r>
        <w:rPr>
          <w:i/>
          <w:color w:val="221F1F"/>
          <w:spacing w:val="-5"/>
        </w:rPr>
        <w:t>the</w:t>
      </w:r>
    </w:p>
    <w:p w:rsidR="007F6DF9" w:rsidRDefault="00A43FBC">
      <w:pPr>
        <w:spacing w:line="244" w:lineRule="exact"/>
        <w:ind w:left="1059"/>
        <w:rPr>
          <w:i/>
        </w:rPr>
      </w:pPr>
      <w:r>
        <w:rPr>
          <w:i/>
          <w:color w:val="221F1F"/>
        </w:rPr>
        <w:t>procuring</w:t>
      </w:r>
      <w:r>
        <w:rPr>
          <w:i/>
          <w:color w:val="221F1F"/>
          <w:spacing w:val="-4"/>
        </w:rPr>
        <w:t xml:space="preserve"> </w:t>
      </w:r>
      <w:r>
        <w:rPr>
          <w:i/>
          <w:color w:val="221F1F"/>
          <w:spacing w:val="-2"/>
        </w:rPr>
        <w:t>entity).</w:t>
      </w:r>
    </w:p>
    <w:p w:rsidR="007F6DF9" w:rsidRDefault="00A43FBC">
      <w:pPr>
        <w:pStyle w:val="ListParagraph"/>
        <w:numPr>
          <w:ilvl w:val="0"/>
          <w:numId w:val="136"/>
        </w:numPr>
        <w:tabs>
          <w:tab w:val="left" w:pos="1052"/>
          <w:tab w:val="left" w:pos="1059"/>
        </w:tabs>
        <w:spacing w:before="245" w:line="230" w:lineRule="auto"/>
        <w:ind w:right="1222" w:hanging="354"/>
        <w:rPr>
          <w:color w:val="221F1F"/>
        </w:rPr>
      </w:pPr>
      <w:r>
        <w:rPr>
          <w:color w:val="221F1F"/>
        </w:rPr>
        <w:t>THAT</w:t>
      </w:r>
      <w:r>
        <w:rPr>
          <w:color w:val="221F1F"/>
          <w:spacing w:val="-15"/>
        </w:rPr>
        <w:t xml:space="preserve"> </w:t>
      </w:r>
      <w:r>
        <w:rPr>
          <w:color w:val="221F1F"/>
        </w:rPr>
        <w:t>the</w:t>
      </w:r>
      <w:r>
        <w:rPr>
          <w:color w:val="221F1F"/>
          <w:spacing w:val="-5"/>
        </w:rPr>
        <w:t xml:space="preserve"> </w:t>
      </w:r>
      <w:r>
        <w:rPr>
          <w:color w:val="221F1F"/>
        </w:rPr>
        <w:t>aforesaid</w:t>
      </w:r>
      <w:r>
        <w:rPr>
          <w:color w:val="221F1F"/>
          <w:spacing w:val="-3"/>
        </w:rPr>
        <w:t xml:space="preserve"> </w:t>
      </w:r>
      <w:r>
        <w:rPr>
          <w:color w:val="221F1F"/>
        </w:rPr>
        <w:t>Bidder</w:t>
      </w:r>
      <w:r>
        <w:rPr>
          <w:color w:val="221F1F"/>
          <w:spacing w:val="-5"/>
        </w:rPr>
        <w:t xml:space="preserve"> </w:t>
      </w:r>
      <w:r>
        <w:rPr>
          <w:color w:val="221F1F"/>
        </w:rPr>
        <w:t>will</w:t>
      </w:r>
      <w:r>
        <w:rPr>
          <w:color w:val="221F1F"/>
          <w:spacing w:val="-5"/>
        </w:rPr>
        <w:t xml:space="preserve"> </w:t>
      </w:r>
      <w:r>
        <w:rPr>
          <w:color w:val="221F1F"/>
        </w:rPr>
        <w:t>not</w:t>
      </w:r>
      <w:r>
        <w:rPr>
          <w:color w:val="221F1F"/>
          <w:spacing w:val="-5"/>
        </w:rPr>
        <w:t xml:space="preserve"> </w:t>
      </w:r>
      <w:r>
        <w:rPr>
          <w:color w:val="221F1F"/>
        </w:rPr>
        <w:t>engage</w:t>
      </w:r>
      <w:r>
        <w:rPr>
          <w:color w:val="221F1F"/>
          <w:spacing w:val="-3"/>
        </w:rPr>
        <w:t xml:space="preserve"> </w:t>
      </w:r>
      <w:r>
        <w:rPr>
          <w:color w:val="221F1F"/>
        </w:rPr>
        <w:t>/has</w:t>
      </w:r>
      <w:r>
        <w:rPr>
          <w:color w:val="221F1F"/>
          <w:spacing w:val="-3"/>
        </w:rPr>
        <w:t xml:space="preserve"> </w:t>
      </w:r>
      <w:r>
        <w:rPr>
          <w:color w:val="221F1F"/>
        </w:rPr>
        <w:t>not</w:t>
      </w:r>
      <w:r>
        <w:rPr>
          <w:color w:val="221F1F"/>
          <w:spacing w:val="-5"/>
        </w:rPr>
        <w:t xml:space="preserve"> </w:t>
      </w:r>
      <w:r>
        <w:rPr>
          <w:color w:val="221F1F"/>
        </w:rPr>
        <w:t>engaged</w:t>
      </w:r>
      <w:r>
        <w:rPr>
          <w:color w:val="221F1F"/>
          <w:spacing w:val="-6"/>
        </w:rPr>
        <w:t xml:space="preserve"> </w:t>
      </w:r>
      <w:r>
        <w:rPr>
          <w:color w:val="221F1F"/>
        </w:rPr>
        <w:t>in</w:t>
      </w:r>
      <w:r>
        <w:rPr>
          <w:color w:val="221F1F"/>
          <w:spacing w:val="-3"/>
        </w:rPr>
        <w:t xml:space="preserve"> </w:t>
      </w:r>
      <w:r>
        <w:rPr>
          <w:color w:val="221F1F"/>
        </w:rPr>
        <w:t>any</w:t>
      </w:r>
      <w:r>
        <w:rPr>
          <w:color w:val="221F1F"/>
          <w:spacing w:val="-3"/>
        </w:rPr>
        <w:t xml:space="preserve"> </w:t>
      </w:r>
      <w:r>
        <w:rPr>
          <w:color w:val="221F1F"/>
        </w:rPr>
        <w:t>corrosive</w:t>
      </w:r>
      <w:r>
        <w:rPr>
          <w:color w:val="221F1F"/>
          <w:spacing w:val="-3"/>
        </w:rPr>
        <w:t xml:space="preserve"> </w:t>
      </w:r>
      <w:r>
        <w:rPr>
          <w:color w:val="221F1F"/>
        </w:rPr>
        <w:t>practice</w:t>
      </w:r>
      <w:r>
        <w:rPr>
          <w:color w:val="221F1F"/>
          <w:spacing w:val="-3"/>
        </w:rPr>
        <w:t xml:space="preserve"> </w:t>
      </w:r>
      <w:r>
        <w:rPr>
          <w:color w:val="221F1F"/>
        </w:rPr>
        <w:t>with</w:t>
      </w:r>
      <w:r>
        <w:rPr>
          <w:color w:val="221F1F"/>
          <w:spacing w:val="-3"/>
        </w:rPr>
        <w:t xml:space="preserve"> </w:t>
      </w:r>
      <w:r>
        <w:rPr>
          <w:color w:val="221F1F"/>
        </w:rPr>
        <w:t>other</w:t>
      </w:r>
      <w:r>
        <w:rPr>
          <w:color w:val="221F1F"/>
          <w:spacing w:val="-3"/>
        </w:rPr>
        <w:t xml:space="preserve"> </w:t>
      </w:r>
      <w:r>
        <w:rPr>
          <w:color w:val="221F1F"/>
        </w:rPr>
        <w:t>bidders participating in the subject tender</w:t>
      </w:r>
    </w:p>
    <w:p w:rsidR="007F6DF9" w:rsidRDefault="00A43FBC">
      <w:pPr>
        <w:pStyle w:val="ListParagraph"/>
        <w:numPr>
          <w:ilvl w:val="0"/>
          <w:numId w:val="136"/>
        </w:numPr>
        <w:tabs>
          <w:tab w:val="left" w:pos="1034"/>
        </w:tabs>
        <w:spacing w:before="236"/>
        <w:ind w:left="1034" w:hanging="328"/>
        <w:rPr>
          <w:color w:val="221F1F"/>
        </w:rPr>
      </w:pPr>
      <w:r>
        <w:rPr>
          <w:color w:val="221F1F"/>
        </w:rPr>
        <w:t>THAT</w:t>
      </w:r>
      <w:r>
        <w:rPr>
          <w:color w:val="221F1F"/>
          <w:spacing w:val="-17"/>
        </w:rPr>
        <w:t xml:space="preserve"> </w:t>
      </w:r>
      <w:r>
        <w:rPr>
          <w:color w:val="221F1F"/>
        </w:rPr>
        <w:t>what</w:t>
      </w:r>
      <w:r>
        <w:rPr>
          <w:color w:val="221F1F"/>
          <w:spacing w:val="-5"/>
        </w:rPr>
        <w:t xml:space="preserve"> </w:t>
      </w:r>
      <w:r>
        <w:rPr>
          <w:color w:val="221F1F"/>
        </w:rPr>
        <w:t>is</w:t>
      </w:r>
      <w:r>
        <w:rPr>
          <w:color w:val="221F1F"/>
          <w:spacing w:val="-3"/>
        </w:rPr>
        <w:t xml:space="preserve"> </w:t>
      </w:r>
      <w:proofErr w:type="spellStart"/>
      <w:r>
        <w:rPr>
          <w:color w:val="221F1F"/>
        </w:rPr>
        <w:t>deponed</w:t>
      </w:r>
      <w:proofErr w:type="spellEnd"/>
      <w:r>
        <w:rPr>
          <w:color w:val="221F1F"/>
          <w:spacing w:val="-3"/>
        </w:rPr>
        <w:t xml:space="preserve"> </w:t>
      </w:r>
      <w:r>
        <w:rPr>
          <w:color w:val="221F1F"/>
        </w:rPr>
        <w:t>to</w:t>
      </w:r>
      <w:r>
        <w:rPr>
          <w:color w:val="221F1F"/>
          <w:spacing w:val="-7"/>
        </w:rPr>
        <w:t xml:space="preserve"> </w:t>
      </w:r>
      <w:r>
        <w:rPr>
          <w:color w:val="221F1F"/>
        </w:rPr>
        <w:t>here</w:t>
      </w:r>
      <w:r>
        <w:rPr>
          <w:color w:val="221F1F"/>
          <w:spacing w:val="-4"/>
        </w:rPr>
        <w:t xml:space="preserve"> </w:t>
      </w:r>
      <w:r>
        <w:rPr>
          <w:color w:val="221F1F"/>
        </w:rPr>
        <w:t>in</w:t>
      </w:r>
      <w:r>
        <w:rPr>
          <w:color w:val="221F1F"/>
          <w:spacing w:val="-3"/>
        </w:rPr>
        <w:t xml:space="preserve"> </w:t>
      </w:r>
      <w:r>
        <w:rPr>
          <w:color w:val="221F1F"/>
        </w:rPr>
        <w:t>above</w:t>
      </w:r>
      <w:r>
        <w:rPr>
          <w:color w:val="221F1F"/>
          <w:spacing w:val="-5"/>
        </w:rPr>
        <w:t xml:space="preserve"> </w:t>
      </w:r>
      <w:r>
        <w:rPr>
          <w:color w:val="221F1F"/>
        </w:rPr>
        <w:t>is</w:t>
      </w:r>
      <w:r>
        <w:rPr>
          <w:color w:val="221F1F"/>
          <w:spacing w:val="-5"/>
        </w:rPr>
        <w:t xml:space="preserve"> </w:t>
      </w:r>
      <w:r>
        <w:rPr>
          <w:color w:val="221F1F"/>
        </w:rPr>
        <w:t>true</w:t>
      </w:r>
      <w:r>
        <w:rPr>
          <w:color w:val="221F1F"/>
          <w:spacing w:val="-2"/>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best</w:t>
      </w:r>
      <w:r>
        <w:rPr>
          <w:color w:val="221F1F"/>
          <w:spacing w:val="-3"/>
        </w:rPr>
        <w:t xml:space="preserve"> </w:t>
      </w:r>
      <w:r>
        <w:rPr>
          <w:color w:val="221F1F"/>
        </w:rPr>
        <w:t>of</w:t>
      </w:r>
      <w:r>
        <w:rPr>
          <w:color w:val="221F1F"/>
          <w:spacing w:val="-5"/>
        </w:rPr>
        <w:t xml:space="preserve"> </w:t>
      </w:r>
      <w:r>
        <w:rPr>
          <w:color w:val="221F1F"/>
        </w:rPr>
        <w:t>my</w:t>
      </w:r>
      <w:r>
        <w:rPr>
          <w:color w:val="221F1F"/>
          <w:spacing w:val="-3"/>
        </w:rPr>
        <w:t xml:space="preserve"> </w:t>
      </w:r>
      <w:r>
        <w:rPr>
          <w:color w:val="221F1F"/>
        </w:rPr>
        <w:t>knowledge</w:t>
      </w:r>
      <w:r>
        <w:rPr>
          <w:color w:val="221F1F"/>
          <w:spacing w:val="-3"/>
        </w:rPr>
        <w:t xml:space="preserve"> </w:t>
      </w:r>
      <w:r>
        <w:rPr>
          <w:color w:val="221F1F"/>
        </w:rPr>
        <w:t>information</w:t>
      </w:r>
      <w:r>
        <w:rPr>
          <w:color w:val="221F1F"/>
          <w:spacing w:val="-4"/>
        </w:rPr>
        <w:t xml:space="preserve"> </w:t>
      </w:r>
      <w:r>
        <w:rPr>
          <w:color w:val="221F1F"/>
        </w:rPr>
        <w:t>and</w:t>
      </w:r>
      <w:r>
        <w:rPr>
          <w:color w:val="221F1F"/>
          <w:spacing w:val="-3"/>
        </w:rPr>
        <w:t xml:space="preserve"> </w:t>
      </w:r>
      <w:r>
        <w:rPr>
          <w:color w:val="221F1F"/>
          <w:spacing w:val="-2"/>
        </w:rPr>
        <w:t>belief.</w:t>
      </w:r>
    </w:p>
    <w:p w:rsidR="007F6DF9" w:rsidRDefault="00A43FBC">
      <w:pPr>
        <w:pStyle w:val="BodyText"/>
        <w:tabs>
          <w:tab w:val="left" w:pos="5579"/>
          <w:tab w:val="left" w:pos="6189"/>
          <w:tab w:val="left" w:pos="9004"/>
          <w:tab w:val="left" w:pos="9468"/>
        </w:tabs>
        <w:spacing w:before="243" w:line="230" w:lineRule="auto"/>
        <w:ind w:left="1035" w:right="826"/>
      </w:pPr>
      <w:r>
        <w:rPr>
          <w:color w:val="221F1F"/>
          <w:spacing w:val="-2"/>
        </w:rPr>
        <w:t>…………………………………………</w:t>
      </w:r>
      <w:r>
        <w:rPr>
          <w:color w:val="221F1F"/>
        </w:rPr>
        <w:tab/>
      </w:r>
      <w:r>
        <w:rPr>
          <w:color w:val="221F1F"/>
          <w:spacing w:val="-2"/>
        </w:rPr>
        <w:t>………………………………</w:t>
      </w:r>
      <w:r>
        <w:rPr>
          <w:color w:val="221F1F"/>
        </w:rPr>
        <w:tab/>
      </w:r>
      <w:r>
        <w:rPr>
          <w:color w:val="221F1F"/>
          <w:spacing w:val="-2"/>
        </w:rPr>
        <w:t>……..........……… (Title)</w:t>
      </w:r>
      <w:r>
        <w:rPr>
          <w:color w:val="221F1F"/>
        </w:rPr>
        <w:tab/>
      </w:r>
      <w:r>
        <w:rPr>
          <w:color w:val="221F1F"/>
        </w:rPr>
        <w:tab/>
      </w:r>
      <w:r>
        <w:rPr>
          <w:color w:val="221F1F"/>
          <w:spacing w:val="-2"/>
        </w:rPr>
        <w:t>(Signature)</w:t>
      </w:r>
      <w:r>
        <w:rPr>
          <w:color w:val="221F1F"/>
        </w:rPr>
        <w:tab/>
      </w:r>
      <w:r>
        <w:rPr>
          <w:color w:val="221F1F"/>
        </w:rPr>
        <w:tab/>
      </w:r>
      <w:r>
        <w:rPr>
          <w:color w:val="221F1F"/>
          <w:spacing w:val="-2"/>
        </w:rPr>
        <w:t>(Date)</w:t>
      </w:r>
    </w:p>
    <w:p w:rsidR="007F6DF9" w:rsidRDefault="007F6DF9">
      <w:pPr>
        <w:pStyle w:val="BodyText"/>
        <w:spacing w:before="232"/>
      </w:pPr>
    </w:p>
    <w:p w:rsidR="007F6DF9" w:rsidRDefault="00A43FBC">
      <w:pPr>
        <w:pStyle w:val="BodyText"/>
        <w:ind w:left="1035"/>
      </w:pPr>
      <w:r>
        <w:rPr>
          <w:color w:val="221F1F"/>
        </w:rPr>
        <w:t>Bidder's</w:t>
      </w:r>
      <w:r>
        <w:rPr>
          <w:color w:val="221F1F"/>
          <w:spacing w:val="-10"/>
        </w:rPr>
        <w:t xml:space="preserve"> </w:t>
      </w:r>
      <w:r>
        <w:rPr>
          <w:color w:val="221F1F"/>
        </w:rPr>
        <w:t>Official</w:t>
      </w:r>
      <w:r>
        <w:rPr>
          <w:color w:val="221F1F"/>
          <w:spacing w:val="-9"/>
        </w:rPr>
        <w:t xml:space="preserve"> </w:t>
      </w:r>
      <w:r>
        <w:rPr>
          <w:color w:val="221F1F"/>
          <w:spacing w:val="-4"/>
        </w:rPr>
        <w:t>Stamp</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rPr>
          <w:sz w:val="24"/>
        </w:rPr>
      </w:pPr>
    </w:p>
    <w:p w:rsidR="007F6DF9" w:rsidRDefault="007F6DF9">
      <w:pPr>
        <w:pStyle w:val="BodyText"/>
        <w:spacing w:before="256"/>
        <w:rPr>
          <w:sz w:val="24"/>
        </w:rPr>
      </w:pPr>
    </w:p>
    <w:p w:rsidR="007F6DF9" w:rsidRDefault="00A43FBC">
      <w:pPr>
        <w:pStyle w:val="Heading6"/>
      </w:pPr>
      <w:r>
        <w:rPr>
          <w:color w:val="221F1F"/>
        </w:rPr>
        <w:t>DECLARATION</w:t>
      </w:r>
      <w:r>
        <w:rPr>
          <w:color w:val="221F1F"/>
          <w:spacing w:val="-1"/>
        </w:rPr>
        <w:t xml:space="preserve"> </w:t>
      </w:r>
      <w:r>
        <w:rPr>
          <w:color w:val="221F1F"/>
        </w:rPr>
        <w:t>AND COMMITMENT</w:t>
      </w:r>
      <w:r>
        <w:rPr>
          <w:color w:val="221F1F"/>
          <w:spacing w:val="-1"/>
        </w:rPr>
        <w:t xml:space="preserve"> </w:t>
      </w:r>
      <w:r>
        <w:rPr>
          <w:color w:val="221F1F"/>
        </w:rPr>
        <w:t>TO THE</w:t>
      </w:r>
      <w:r>
        <w:rPr>
          <w:color w:val="221F1F"/>
          <w:spacing w:val="-1"/>
        </w:rPr>
        <w:t xml:space="preserve"> </w:t>
      </w:r>
      <w:r>
        <w:rPr>
          <w:color w:val="221F1F"/>
        </w:rPr>
        <w:t>CODE</w:t>
      </w:r>
      <w:r>
        <w:rPr>
          <w:color w:val="221F1F"/>
          <w:spacing w:val="-1"/>
        </w:rPr>
        <w:t xml:space="preserve"> </w:t>
      </w:r>
      <w:r>
        <w:rPr>
          <w:color w:val="221F1F"/>
        </w:rPr>
        <w:t xml:space="preserve">OF </w:t>
      </w:r>
      <w:r>
        <w:rPr>
          <w:color w:val="221F1F"/>
          <w:spacing w:val="-2"/>
        </w:rPr>
        <w:t>ETHICS</w:t>
      </w:r>
    </w:p>
    <w:p w:rsidR="007F6DF9" w:rsidRDefault="007F6DF9">
      <w:pPr>
        <w:pStyle w:val="BodyText"/>
        <w:spacing w:before="29"/>
        <w:rPr>
          <w:b/>
          <w:sz w:val="24"/>
        </w:rPr>
      </w:pPr>
    </w:p>
    <w:p w:rsidR="007F6DF9" w:rsidRDefault="00A43FBC">
      <w:pPr>
        <w:ind w:left="711"/>
      </w:pPr>
      <w:r>
        <w:rPr>
          <w:color w:val="221F1F"/>
        </w:rPr>
        <w:t>I</w:t>
      </w:r>
      <w:r>
        <w:rPr>
          <w:color w:val="221F1F"/>
          <w:spacing w:val="-8"/>
        </w:rPr>
        <w:t xml:space="preserve"> </w:t>
      </w:r>
      <w:r>
        <w:rPr>
          <w:color w:val="221F1F"/>
        </w:rPr>
        <w:t>………………………………….</w:t>
      </w:r>
      <w:r>
        <w:rPr>
          <w:color w:val="221F1F"/>
          <w:spacing w:val="-6"/>
        </w:rPr>
        <w:t xml:space="preserve"> </w:t>
      </w:r>
      <w:r>
        <w:rPr>
          <w:color w:val="221F1F"/>
        </w:rPr>
        <w:t>(person)</w:t>
      </w:r>
      <w:r>
        <w:rPr>
          <w:color w:val="221F1F"/>
          <w:spacing w:val="-4"/>
        </w:rPr>
        <w:t xml:space="preserve"> </w:t>
      </w:r>
      <w:r>
        <w:rPr>
          <w:color w:val="221F1F"/>
        </w:rPr>
        <w:t>on</w:t>
      </w:r>
      <w:r>
        <w:rPr>
          <w:color w:val="221F1F"/>
          <w:spacing w:val="-3"/>
        </w:rPr>
        <w:t xml:space="preserve"> </w:t>
      </w:r>
      <w:r>
        <w:rPr>
          <w:color w:val="221F1F"/>
        </w:rPr>
        <w:t>behalf</w:t>
      </w:r>
      <w:r>
        <w:rPr>
          <w:color w:val="221F1F"/>
          <w:spacing w:val="-6"/>
        </w:rPr>
        <w:t xml:space="preserve"> </w:t>
      </w:r>
      <w:r>
        <w:rPr>
          <w:color w:val="221F1F"/>
        </w:rPr>
        <w:t>of</w:t>
      </w:r>
      <w:r>
        <w:rPr>
          <w:color w:val="221F1F"/>
          <w:spacing w:val="-1"/>
        </w:rPr>
        <w:t xml:space="preserve"> </w:t>
      </w:r>
      <w:r>
        <w:rPr>
          <w:b/>
          <w:i/>
          <w:color w:val="221F1F"/>
        </w:rPr>
        <w:t>(Name</w:t>
      </w:r>
      <w:r>
        <w:rPr>
          <w:b/>
          <w:i/>
          <w:color w:val="221F1F"/>
          <w:spacing w:val="-3"/>
        </w:rPr>
        <w:t xml:space="preserve"> </w:t>
      </w:r>
      <w:r>
        <w:rPr>
          <w:b/>
          <w:i/>
          <w:color w:val="221F1F"/>
        </w:rPr>
        <w:t>of</w:t>
      </w:r>
      <w:r>
        <w:rPr>
          <w:b/>
          <w:i/>
          <w:color w:val="221F1F"/>
          <w:spacing w:val="-4"/>
        </w:rPr>
        <w:t xml:space="preserve"> </w:t>
      </w:r>
      <w:r>
        <w:rPr>
          <w:b/>
          <w:i/>
          <w:color w:val="221F1F"/>
        </w:rPr>
        <w:t>the</w:t>
      </w:r>
      <w:r>
        <w:rPr>
          <w:b/>
          <w:i/>
          <w:color w:val="221F1F"/>
          <w:spacing w:val="-3"/>
        </w:rPr>
        <w:t xml:space="preserve"> </w:t>
      </w:r>
      <w:r>
        <w:rPr>
          <w:b/>
          <w:i/>
          <w:color w:val="221F1F"/>
        </w:rPr>
        <w:t>Business/</w:t>
      </w:r>
      <w:r>
        <w:rPr>
          <w:b/>
          <w:i/>
          <w:color w:val="221F1F"/>
          <w:spacing w:val="-5"/>
        </w:rPr>
        <w:t xml:space="preserve"> </w:t>
      </w:r>
      <w:r>
        <w:rPr>
          <w:b/>
          <w:i/>
          <w:color w:val="221F1F"/>
        </w:rPr>
        <w:t>Company/Firm</w:t>
      </w:r>
      <w:r>
        <w:rPr>
          <w:color w:val="221F1F"/>
        </w:rPr>
        <w:t>)</w:t>
      </w:r>
      <w:r>
        <w:rPr>
          <w:color w:val="221F1F"/>
          <w:spacing w:val="-2"/>
        </w:rPr>
        <w:t xml:space="preserve"> ..............................</w:t>
      </w:r>
    </w:p>
    <w:p w:rsidR="007F6DF9" w:rsidRDefault="00A43FBC">
      <w:pPr>
        <w:pStyle w:val="BodyText"/>
        <w:tabs>
          <w:tab w:val="left" w:leader="dot" w:pos="5281"/>
        </w:tabs>
        <w:spacing w:before="25"/>
        <w:ind w:left="711"/>
      </w:pPr>
      <w:r>
        <w:rPr>
          <w:color w:val="221F1F"/>
          <w:spacing w:val="-10"/>
        </w:rPr>
        <w:t>…</w:t>
      </w:r>
      <w:r>
        <w:rPr>
          <w:color w:val="221F1F"/>
        </w:rPr>
        <w:tab/>
        <w:t>declare</w:t>
      </w:r>
      <w:r>
        <w:rPr>
          <w:color w:val="221F1F"/>
          <w:spacing w:val="-2"/>
        </w:rPr>
        <w:t xml:space="preserve"> </w:t>
      </w:r>
      <w:r>
        <w:rPr>
          <w:color w:val="221F1F"/>
        </w:rPr>
        <w:t>that</w:t>
      </w:r>
      <w:r>
        <w:rPr>
          <w:color w:val="221F1F"/>
          <w:spacing w:val="1"/>
        </w:rPr>
        <w:t xml:space="preserve"> </w:t>
      </w:r>
      <w:r>
        <w:rPr>
          <w:color w:val="221F1F"/>
        </w:rPr>
        <w:t>I</w:t>
      </w:r>
      <w:r>
        <w:rPr>
          <w:color w:val="221F1F"/>
          <w:spacing w:val="-1"/>
        </w:rPr>
        <w:t xml:space="preserve"> </w:t>
      </w:r>
      <w:r>
        <w:rPr>
          <w:color w:val="221F1F"/>
        </w:rPr>
        <w:t>have read</w:t>
      </w:r>
      <w:r>
        <w:rPr>
          <w:color w:val="221F1F"/>
          <w:spacing w:val="1"/>
        </w:rPr>
        <w:t xml:space="preserve"> </w:t>
      </w:r>
      <w:r>
        <w:rPr>
          <w:color w:val="221F1F"/>
        </w:rPr>
        <w:t>and</w:t>
      </w:r>
      <w:r>
        <w:rPr>
          <w:color w:val="221F1F"/>
          <w:spacing w:val="-2"/>
        </w:rPr>
        <w:t xml:space="preserve"> </w:t>
      </w:r>
      <w:r>
        <w:rPr>
          <w:color w:val="221F1F"/>
        </w:rPr>
        <w:t>fully</w:t>
      </w:r>
      <w:r>
        <w:rPr>
          <w:color w:val="221F1F"/>
          <w:spacing w:val="1"/>
        </w:rPr>
        <w:t xml:space="preserve"> </w:t>
      </w:r>
      <w:r>
        <w:rPr>
          <w:color w:val="221F1F"/>
        </w:rPr>
        <w:t>understood the</w:t>
      </w:r>
      <w:r>
        <w:rPr>
          <w:color w:val="221F1F"/>
          <w:spacing w:val="1"/>
        </w:rPr>
        <w:t xml:space="preserve"> </w:t>
      </w:r>
      <w:r>
        <w:rPr>
          <w:color w:val="221F1F"/>
        </w:rPr>
        <w:t>contents</w:t>
      </w:r>
      <w:r>
        <w:rPr>
          <w:color w:val="221F1F"/>
          <w:spacing w:val="-2"/>
        </w:rPr>
        <w:t xml:space="preserve"> </w:t>
      </w:r>
      <w:r>
        <w:rPr>
          <w:color w:val="221F1F"/>
        </w:rPr>
        <w:t>of</w:t>
      </w:r>
      <w:r>
        <w:rPr>
          <w:color w:val="221F1F"/>
          <w:spacing w:val="2"/>
        </w:rPr>
        <w:t xml:space="preserve"> </w:t>
      </w:r>
      <w:r>
        <w:rPr>
          <w:color w:val="221F1F"/>
          <w:spacing w:val="-5"/>
        </w:rPr>
        <w:t>the</w:t>
      </w:r>
    </w:p>
    <w:p w:rsidR="007F6DF9" w:rsidRDefault="00A43FBC">
      <w:pPr>
        <w:pStyle w:val="BodyText"/>
        <w:spacing w:before="26" w:line="264" w:lineRule="auto"/>
        <w:ind w:left="711" w:right="332"/>
      </w:pPr>
      <w:r>
        <w:rPr>
          <w:color w:val="221F1F"/>
        </w:rPr>
        <w:t>Public Procurement &amp; Asset Disposal Act, 2015, Regulations and the Code of Ethics for persons participating in</w:t>
      </w:r>
      <w:r>
        <w:rPr>
          <w:color w:val="221F1F"/>
          <w:spacing w:val="80"/>
        </w:rPr>
        <w:t xml:space="preserve"> </w:t>
      </w:r>
      <w:r>
        <w:rPr>
          <w:color w:val="221F1F"/>
        </w:rPr>
        <w:t xml:space="preserve">Public </w:t>
      </w:r>
      <w:proofErr w:type="spellStart"/>
      <w:r>
        <w:rPr>
          <w:color w:val="221F1F"/>
        </w:rPr>
        <w:t>Procurementand</w:t>
      </w:r>
      <w:proofErr w:type="spellEnd"/>
      <w:r>
        <w:rPr>
          <w:color w:val="221F1F"/>
        </w:rPr>
        <w:t xml:space="preserve"> Asset Disposal and my responsibilities under the Code.</w:t>
      </w:r>
    </w:p>
    <w:p w:rsidR="007F6DF9" w:rsidRDefault="007F6DF9">
      <w:pPr>
        <w:pStyle w:val="BodyText"/>
        <w:spacing w:before="18"/>
      </w:pPr>
    </w:p>
    <w:p w:rsidR="007F6DF9" w:rsidRDefault="00A43FBC">
      <w:pPr>
        <w:pStyle w:val="BodyText"/>
        <w:spacing w:line="254" w:lineRule="auto"/>
        <w:ind w:left="711" w:right="332"/>
      </w:pPr>
      <w:r>
        <w:rPr>
          <w:color w:val="221F1F"/>
        </w:rPr>
        <w:t>I</w:t>
      </w:r>
      <w:r>
        <w:rPr>
          <w:color w:val="221F1F"/>
          <w:spacing w:val="-4"/>
        </w:rPr>
        <w:t xml:space="preserve"> </w:t>
      </w:r>
      <w:r>
        <w:rPr>
          <w:color w:val="221F1F"/>
        </w:rPr>
        <w:t>do</w:t>
      </w:r>
      <w:r>
        <w:rPr>
          <w:color w:val="221F1F"/>
          <w:spacing w:val="-2"/>
        </w:rPr>
        <w:t xml:space="preserve"> </w:t>
      </w:r>
      <w:r>
        <w:rPr>
          <w:color w:val="221F1F"/>
        </w:rPr>
        <w:t>here</w:t>
      </w:r>
      <w:r>
        <w:rPr>
          <w:color w:val="221F1F"/>
          <w:spacing w:val="-2"/>
        </w:rPr>
        <w:t xml:space="preserve"> </w:t>
      </w:r>
      <w:r>
        <w:rPr>
          <w:color w:val="221F1F"/>
        </w:rPr>
        <w:t>by</w:t>
      </w:r>
      <w:r>
        <w:rPr>
          <w:color w:val="221F1F"/>
          <w:spacing w:val="-2"/>
        </w:rPr>
        <w:t xml:space="preserve"> </w:t>
      </w:r>
      <w:r>
        <w:rPr>
          <w:color w:val="221F1F"/>
        </w:rPr>
        <w:t>commit</w:t>
      </w:r>
      <w:r>
        <w:rPr>
          <w:color w:val="221F1F"/>
          <w:spacing w:val="-1"/>
        </w:rPr>
        <w:t xml:space="preserve"> </w:t>
      </w:r>
      <w:r>
        <w:rPr>
          <w:color w:val="221F1F"/>
        </w:rPr>
        <w:t>to</w:t>
      </w:r>
      <w:r>
        <w:rPr>
          <w:color w:val="221F1F"/>
          <w:spacing w:val="-5"/>
        </w:rPr>
        <w:t xml:space="preserve"> </w:t>
      </w:r>
      <w:r>
        <w:rPr>
          <w:color w:val="221F1F"/>
        </w:rPr>
        <w:t>abide</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Code</w:t>
      </w:r>
      <w:r>
        <w:rPr>
          <w:color w:val="221F1F"/>
          <w:spacing w:val="-2"/>
        </w:rPr>
        <w:t xml:space="preserve"> </w:t>
      </w:r>
      <w:r>
        <w:rPr>
          <w:color w:val="221F1F"/>
        </w:rPr>
        <w:t>of</w:t>
      </w:r>
      <w:r>
        <w:rPr>
          <w:color w:val="221F1F"/>
          <w:spacing w:val="-1"/>
        </w:rPr>
        <w:t xml:space="preserve"> </w:t>
      </w:r>
      <w:r>
        <w:rPr>
          <w:color w:val="221F1F"/>
        </w:rPr>
        <w:t>Ethics</w:t>
      </w:r>
      <w:r>
        <w:rPr>
          <w:color w:val="221F1F"/>
          <w:spacing w:val="-3"/>
        </w:rPr>
        <w:t xml:space="preserve"> </w:t>
      </w:r>
      <w:r>
        <w:rPr>
          <w:color w:val="221F1F"/>
        </w:rPr>
        <w:t>for</w:t>
      </w:r>
      <w:r>
        <w:rPr>
          <w:color w:val="221F1F"/>
          <w:spacing w:val="-4"/>
        </w:rPr>
        <w:t xml:space="preserve"> </w:t>
      </w:r>
      <w:r>
        <w:rPr>
          <w:color w:val="221F1F"/>
        </w:rPr>
        <w:t>persons</w:t>
      </w:r>
      <w:r>
        <w:rPr>
          <w:color w:val="221F1F"/>
          <w:spacing w:val="-4"/>
        </w:rPr>
        <w:t xml:space="preserve"> </w:t>
      </w:r>
      <w:r>
        <w:rPr>
          <w:color w:val="221F1F"/>
        </w:rPr>
        <w:t>participating</w:t>
      </w:r>
      <w:r>
        <w:rPr>
          <w:color w:val="221F1F"/>
          <w:spacing w:val="-1"/>
        </w:rPr>
        <w:t xml:space="preserve"> </w:t>
      </w:r>
      <w:r>
        <w:rPr>
          <w:color w:val="221F1F"/>
        </w:rPr>
        <w:t>in</w:t>
      </w:r>
      <w:r>
        <w:rPr>
          <w:color w:val="221F1F"/>
          <w:spacing w:val="-2"/>
        </w:rPr>
        <w:t xml:space="preserve"> </w:t>
      </w:r>
      <w:r>
        <w:rPr>
          <w:color w:val="221F1F"/>
        </w:rPr>
        <w:t>Public</w:t>
      </w:r>
      <w:r>
        <w:rPr>
          <w:color w:val="221F1F"/>
          <w:spacing w:val="-2"/>
        </w:rPr>
        <w:t xml:space="preserve"> </w:t>
      </w:r>
      <w:r>
        <w:rPr>
          <w:color w:val="221F1F"/>
        </w:rPr>
        <w:t>Procurement and Asset Disposal.</w:t>
      </w:r>
    </w:p>
    <w:p w:rsidR="007F6DF9" w:rsidRDefault="00A43FBC">
      <w:pPr>
        <w:pStyle w:val="BodyText"/>
        <w:spacing w:before="246"/>
        <w:ind w:left="711"/>
      </w:pPr>
      <w:r>
        <w:rPr>
          <w:color w:val="221F1F"/>
        </w:rPr>
        <w:t>Name</w:t>
      </w:r>
      <w:r>
        <w:rPr>
          <w:color w:val="221F1F"/>
          <w:spacing w:val="19"/>
        </w:rPr>
        <w:t xml:space="preserve"> </w:t>
      </w:r>
      <w:r>
        <w:rPr>
          <w:color w:val="221F1F"/>
        </w:rPr>
        <w:t>of</w:t>
      </w:r>
      <w:r>
        <w:rPr>
          <w:color w:val="221F1F"/>
          <w:spacing w:val="20"/>
        </w:rPr>
        <w:t xml:space="preserve"> </w:t>
      </w:r>
      <w:r>
        <w:rPr>
          <w:color w:val="221F1F"/>
        </w:rPr>
        <w:t>Authorized</w:t>
      </w:r>
      <w:r>
        <w:rPr>
          <w:color w:val="221F1F"/>
          <w:spacing w:val="21"/>
        </w:rPr>
        <w:t xml:space="preserve"> </w:t>
      </w:r>
      <w:r>
        <w:rPr>
          <w:color w:val="221F1F"/>
          <w:spacing w:val="-2"/>
        </w:rPr>
        <w:t>signatory...............................................................................................................................</w:t>
      </w:r>
    </w:p>
    <w:p w:rsidR="007F6DF9" w:rsidRDefault="00A43FBC">
      <w:pPr>
        <w:pStyle w:val="BodyText"/>
        <w:spacing w:before="232"/>
        <w:ind w:left="711"/>
      </w:pPr>
      <w:r>
        <w:rPr>
          <w:color w:val="221F1F"/>
          <w:spacing w:val="-2"/>
        </w:rPr>
        <w:t>Sign……………...................................................................................................................................................</w:t>
      </w:r>
    </w:p>
    <w:p w:rsidR="007F6DF9" w:rsidRDefault="00A43FBC">
      <w:pPr>
        <w:pStyle w:val="BodyText"/>
        <w:spacing w:before="149"/>
        <w:ind w:left="711"/>
      </w:pPr>
      <w:r>
        <w:rPr>
          <w:color w:val="221F1F"/>
          <w:spacing w:val="-2"/>
        </w:rPr>
        <w:t>Position.................................................................................................................................................................</w:t>
      </w:r>
    </w:p>
    <w:p w:rsidR="007F6DF9" w:rsidRDefault="00A43FBC">
      <w:pPr>
        <w:pStyle w:val="BodyText"/>
        <w:spacing w:before="229" w:line="456" w:lineRule="auto"/>
        <w:ind w:left="711" w:right="1154"/>
      </w:pPr>
      <w:r>
        <w:rPr>
          <w:color w:val="221F1F"/>
        </w:rPr>
        <w:t>Office</w:t>
      </w:r>
      <w:r>
        <w:rPr>
          <w:color w:val="221F1F"/>
          <w:spacing w:val="-14"/>
        </w:rPr>
        <w:t xml:space="preserve"> </w:t>
      </w:r>
      <w:r>
        <w:rPr>
          <w:color w:val="221F1F"/>
        </w:rPr>
        <w:t>address...................................................................</w:t>
      </w:r>
      <w:r>
        <w:rPr>
          <w:color w:val="221F1F"/>
          <w:spacing w:val="-14"/>
        </w:rPr>
        <w:t xml:space="preserve"> </w:t>
      </w:r>
      <w:r>
        <w:rPr>
          <w:color w:val="221F1F"/>
        </w:rPr>
        <w:t xml:space="preserve">Telephone................................................................... </w:t>
      </w:r>
      <w:r>
        <w:rPr>
          <w:color w:val="221F1F"/>
          <w:spacing w:val="-2"/>
        </w:rPr>
        <w:t>E-mail………………………………………………...........................................................................................</w:t>
      </w:r>
    </w:p>
    <w:p w:rsidR="007F6DF9" w:rsidRDefault="00A43FBC">
      <w:pPr>
        <w:pStyle w:val="BodyText"/>
        <w:spacing w:line="247" w:lineRule="exact"/>
        <w:ind w:left="711"/>
      </w:pPr>
      <w:r>
        <w:rPr>
          <w:color w:val="221F1F"/>
        </w:rPr>
        <w:t xml:space="preserve">Name of the </w:t>
      </w:r>
      <w:r>
        <w:rPr>
          <w:color w:val="221F1F"/>
          <w:spacing w:val="-2"/>
        </w:rPr>
        <w:t>Firm/Company…………………………….....................................................................................</w:t>
      </w:r>
    </w:p>
    <w:p w:rsidR="007F6DF9" w:rsidRDefault="00A43FBC">
      <w:pPr>
        <w:pStyle w:val="BodyText"/>
        <w:spacing w:before="229"/>
        <w:ind w:left="711"/>
      </w:pPr>
      <w:r>
        <w:rPr>
          <w:color w:val="221F1F"/>
          <w:spacing w:val="-2"/>
        </w:rPr>
        <w:t>Date………………………………………………………...................................................................................</w:t>
      </w:r>
    </w:p>
    <w:p w:rsidR="007F6DF9" w:rsidRDefault="00A43FBC">
      <w:pPr>
        <w:pStyle w:val="Heading9"/>
        <w:spacing w:before="228"/>
        <w:ind w:left="711" w:firstLine="0"/>
      </w:pPr>
      <w:r>
        <w:rPr>
          <w:color w:val="221F1F"/>
        </w:rPr>
        <w:t>(Company</w:t>
      </w:r>
      <w:r>
        <w:rPr>
          <w:color w:val="221F1F"/>
          <w:spacing w:val="-7"/>
        </w:rPr>
        <w:t xml:space="preserve"> </w:t>
      </w:r>
      <w:r>
        <w:rPr>
          <w:color w:val="221F1F"/>
        </w:rPr>
        <w:t>Seal/</w:t>
      </w:r>
      <w:r>
        <w:rPr>
          <w:color w:val="221F1F"/>
          <w:spacing w:val="-2"/>
        </w:rPr>
        <w:t xml:space="preserve"> </w:t>
      </w:r>
      <w:r>
        <w:rPr>
          <w:color w:val="221F1F"/>
        </w:rPr>
        <w:t>Rubber</w:t>
      </w:r>
      <w:r>
        <w:rPr>
          <w:color w:val="221F1F"/>
          <w:spacing w:val="-4"/>
        </w:rPr>
        <w:t xml:space="preserve"> </w:t>
      </w:r>
      <w:r>
        <w:rPr>
          <w:color w:val="221F1F"/>
        </w:rPr>
        <w:t>Stamp</w:t>
      </w:r>
      <w:r>
        <w:rPr>
          <w:color w:val="221F1F"/>
          <w:spacing w:val="-6"/>
        </w:rPr>
        <w:t xml:space="preserve"> </w:t>
      </w:r>
      <w:r>
        <w:rPr>
          <w:color w:val="221F1F"/>
        </w:rPr>
        <w:t>where</w:t>
      </w:r>
      <w:r>
        <w:rPr>
          <w:color w:val="221F1F"/>
          <w:spacing w:val="-3"/>
        </w:rPr>
        <w:t xml:space="preserve"> </w:t>
      </w:r>
      <w:r>
        <w:rPr>
          <w:color w:val="221F1F"/>
          <w:spacing w:val="-2"/>
        </w:rPr>
        <w:t>applicable)</w:t>
      </w:r>
    </w:p>
    <w:p w:rsidR="007F6DF9" w:rsidRDefault="007F6DF9">
      <w:pPr>
        <w:pStyle w:val="BodyText"/>
        <w:spacing w:before="57"/>
        <w:rPr>
          <w:b/>
        </w:rPr>
      </w:pPr>
    </w:p>
    <w:p w:rsidR="007F6DF9" w:rsidRDefault="00A43FBC">
      <w:pPr>
        <w:pStyle w:val="BodyText"/>
        <w:spacing w:before="1"/>
        <w:ind w:left="711"/>
      </w:pPr>
      <w:r>
        <w:rPr>
          <w:color w:val="221F1F"/>
          <w:spacing w:val="-2"/>
        </w:rPr>
        <w:t>Witness</w:t>
      </w:r>
    </w:p>
    <w:p w:rsidR="007F6DF9" w:rsidRDefault="007F6DF9">
      <w:pPr>
        <w:pStyle w:val="BodyText"/>
        <w:spacing w:before="55"/>
      </w:pPr>
    </w:p>
    <w:p w:rsidR="007F6DF9" w:rsidRDefault="00A43FBC">
      <w:pPr>
        <w:pStyle w:val="BodyText"/>
        <w:spacing w:before="1"/>
        <w:ind w:left="711"/>
      </w:pPr>
      <w:r>
        <w:rPr>
          <w:color w:val="221F1F"/>
          <w:spacing w:val="-2"/>
        </w:rPr>
        <w:t>Name………………………………………………………................................................................................</w:t>
      </w:r>
    </w:p>
    <w:p w:rsidR="007F6DF9" w:rsidRDefault="007F6DF9">
      <w:pPr>
        <w:pStyle w:val="BodyText"/>
        <w:spacing w:before="53"/>
      </w:pPr>
    </w:p>
    <w:p w:rsidR="007F6DF9" w:rsidRDefault="00A43FBC">
      <w:pPr>
        <w:pStyle w:val="BodyText"/>
        <w:ind w:left="711"/>
      </w:pPr>
      <w:r>
        <w:rPr>
          <w:color w:val="221F1F"/>
          <w:spacing w:val="-2"/>
        </w:rPr>
        <w:t>Sign…………………………………………………………................................................................................</w:t>
      </w:r>
    </w:p>
    <w:p w:rsidR="007F6DF9" w:rsidRDefault="007F6DF9">
      <w:pPr>
        <w:pStyle w:val="BodyText"/>
        <w:spacing w:before="17"/>
      </w:pPr>
    </w:p>
    <w:p w:rsidR="007F6DF9" w:rsidRDefault="00A43FBC">
      <w:pPr>
        <w:pStyle w:val="BodyText"/>
        <w:ind w:left="711"/>
      </w:pPr>
      <w:r>
        <w:rPr>
          <w:color w:val="221F1F"/>
          <w:spacing w:val="-2"/>
        </w:rPr>
        <w:t>Date………………………………………………………………........................................................................</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209"/>
      </w:pPr>
    </w:p>
    <w:p w:rsidR="007F6DF9" w:rsidRDefault="00A43FBC">
      <w:pPr>
        <w:pStyle w:val="Heading8"/>
        <w:numPr>
          <w:ilvl w:val="0"/>
          <w:numId w:val="138"/>
        </w:numPr>
        <w:tabs>
          <w:tab w:val="left" w:pos="1236"/>
        </w:tabs>
        <w:ind w:left="1236" w:hanging="523"/>
        <w:rPr>
          <w:i/>
          <w:color w:val="221F1F"/>
        </w:rPr>
      </w:pPr>
      <w:r>
        <w:rPr>
          <w:color w:val="221F1F"/>
        </w:rPr>
        <w:t>APPENDIX</w:t>
      </w:r>
      <w:r>
        <w:rPr>
          <w:color w:val="221F1F"/>
          <w:spacing w:val="-5"/>
        </w:rPr>
        <w:t xml:space="preserve"> </w:t>
      </w:r>
      <w:r>
        <w:rPr>
          <w:color w:val="221F1F"/>
        </w:rPr>
        <w:t>1</w:t>
      </w:r>
      <w:r>
        <w:rPr>
          <w:color w:val="221F1F"/>
          <w:spacing w:val="-4"/>
        </w:rPr>
        <w:t xml:space="preserve"> </w:t>
      </w:r>
      <w:r>
        <w:rPr>
          <w:color w:val="221F1F"/>
        </w:rPr>
        <w:t>-</w:t>
      </w:r>
      <w:r>
        <w:rPr>
          <w:color w:val="221F1F"/>
          <w:spacing w:val="-3"/>
        </w:rPr>
        <w:t xml:space="preserve"> </w:t>
      </w:r>
      <w:r>
        <w:rPr>
          <w:color w:val="221F1F"/>
        </w:rPr>
        <w:t>FRAUD</w:t>
      </w:r>
      <w:r>
        <w:rPr>
          <w:color w:val="221F1F"/>
          <w:spacing w:val="-5"/>
        </w:rPr>
        <w:t xml:space="preserve"> </w:t>
      </w:r>
      <w:r>
        <w:rPr>
          <w:color w:val="221F1F"/>
        </w:rPr>
        <w:t>AND</w:t>
      </w:r>
      <w:r>
        <w:rPr>
          <w:color w:val="221F1F"/>
          <w:spacing w:val="-4"/>
        </w:rPr>
        <w:t xml:space="preserve"> </w:t>
      </w:r>
      <w:r>
        <w:rPr>
          <w:color w:val="221F1F"/>
          <w:spacing w:val="-2"/>
        </w:rPr>
        <w:t>CORRUPTION</w:t>
      </w:r>
    </w:p>
    <w:p w:rsidR="007F6DF9" w:rsidRDefault="00A43FBC">
      <w:pPr>
        <w:spacing w:before="234"/>
        <w:ind w:left="713"/>
        <w:rPr>
          <w:i/>
        </w:rPr>
      </w:pPr>
      <w:r>
        <w:rPr>
          <w:i/>
          <w:color w:val="221F1F"/>
        </w:rPr>
        <w:t>(Appendix</w:t>
      </w:r>
      <w:r>
        <w:rPr>
          <w:i/>
          <w:color w:val="221F1F"/>
          <w:spacing w:val="-4"/>
        </w:rPr>
        <w:t xml:space="preserve"> </w:t>
      </w:r>
      <w:r>
        <w:rPr>
          <w:i/>
          <w:color w:val="221F1F"/>
        </w:rPr>
        <w:t>1</w:t>
      </w:r>
      <w:r>
        <w:rPr>
          <w:i/>
          <w:color w:val="221F1F"/>
          <w:spacing w:val="-2"/>
        </w:rPr>
        <w:t xml:space="preserve"> </w:t>
      </w:r>
      <w:r>
        <w:rPr>
          <w:i/>
          <w:color w:val="221F1F"/>
        </w:rPr>
        <w:t>shall</w:t>
      </w:r>
      <w:r>
        <w:rPr>
          <w:i/>
          <w:color w:val="221F1F"/>
          <w:spacing w:val="-3"/>
        </w:rPr>
        <w:t xml:space="preserve"> </w:t>
      </w:r>
      <w:r>
        <w:rPr>
          <w:i/>
          <w:color w:val="221F1F"/>
        </w:rPr>
        <w:t>not</w:t>
      </w:r>
      <w:r>
        <w:rPr>
          <w:i/>
          <w:color w:val="221F1F"/>
          <w:spacing w:val="-1"/>
        </w:rPr>
        <w:t xml:space="preserve"> </w:t>
      </w:r>
      <w:r>
        <w:rPr>
          <w:i/>
          <w:color w:val="221F1F"/>
        </w:rPr>
        <w:t>be</w:t>
      </w:r>
      <w:r>
        <w:rPr>
          <w:i/>
          <w:color w:val="221F1F"/>
          <w:spacing w:val="-1"/>
        </w:rPr>
        <w:t xml:space="preserve"> </w:t>
      </w:r>
      <w:r>
        <w:rPr>
          <w:i/>
          <w:color w:val="221F1F"/>
          <w:spacing w:val="-2"/>
        </w:rPr>
        <w:t>modified)</w:t>
      </w:r>
    </w:p>
    <w:p w:rsidR="007F6DF9" w:rsidRDefault="00A43FBC">
      <w:pPr>
        <w:pStyle w:val="Heading9"/>
        <w:numPr>
          <w:ilvl w:val="0"/>
          <w:numId w:val="135"/>
        </w:numPr>
        <w:tabs>
          <w:tab w:val="left" w:pos="1236"/>
        </w:tabs>
        <w:spacing w:before="237"/>
        <w:ind w:left="1236" w:hanging="523"/>
        <w:rPr>
          <w:color w:val="221F1F"/>
        </w:rPr>
      </w:pPr>
      <w:r>
        <w:rPr>
          <w:color w:val="221F1F"/>
          <w:spacing w:val="-2"/>
        </w:rPr>
        <w:t>Purpose</w:t>
      </w:r>
    </w:p>
    <w:p w:rsidR="007F6DF9" w:rsidRDefault="00A43FBC">
      <w:pPr>
        <w:pStyle w:val="ListParagraph"/>
        <w:numPr>
          <w:ilvl w:val="1"/>
          <w:numId w:val="135"/>
        </w:numPr>
        <w:tabs>
          <w:tab w:val="left" w:pos="1235"/>
          <w:tab w:val="left" w:pos="1237"/>
        </w:tabs>
        <w:spacing w:before="243" w:line="230" w:lineRule="auto"/>
        <w:ind w:right="561"/>
        <w:jc w:val="both"/>
      </w:pPr>
      <w:r>
        <w:rPr>
          <w:color w:val="221F1F"/>
        </w:rPr>
        <w:t xml:space="preserve">The Government of Kenya's Anti-Corruption and Economic Crime laws and their sanction's policies and procedures, Public Procurement and Asset Disposal Act </w:t>
      </w:r>
      <w:r>
        <w:rPr>
          <w:i/>
          <w:color w:val="221F1F"/>
        </w:rPr>
        <w:t xml:space="preserve">(no. 33 of 2015) </w:t>
      </w:r>
      <w:r>
        <w:rPr>
          <w:color w:val="221F1F"/>
        </w:rPr>
        <w:t>and its Regulation, and any other Kenya's Acts or Regulations related</w:t>
      </w:r>
      <w:r>
        <w:rPr>
          <w:color w:val="221F1F"/>
          <w:spacing w:val="-2"/>
        </w:rPr>
        <w:t xml:space="preserve"> </w:t>
      </w:r>
      <w:r>
        <w:rPr>
          <w:color w:val="221F1F"/>
        </w:rPr>
        <w:t>to</w:t>
      </w:r>
      <w:r>
        <w:rPr>
          <w:color w:val="221F1F"/>
          <w:spacing w:val="-3"/>
        </w:rPr>
        <w:t xml:space="preserve"> </w:t>
      </w:r>
      <w:r>
        <w:rPr>
          <w:color w:val="221F1F"/>
        </w:rPr>
        <w:t>Fraud</w:t>
      </w:r>
      <w:r>
        <w:rPr>
          <w:color w:val="221F1F"/>
          <w:spacing w:val="-2"/>
        </w:rPr>
        <w:t xml:space="preserve"> </w:t>
      </w:r>
      <w:r>
        <w:rPr>
          <w:color w:val="221F1F"/>
        </w:rPr>
        <w:t>and Corruption, and</w:t>
      </w:r>
      <w:r>
        <w:rPr>
          <w:color w:val="221F1F"/>
          <w:spacing w:val="-2"/>
        </w:rPr>
        <w:t xml:space="preserve"> </w:t>
      </w:r>
      <w:r>
        <w:rPr>
          <w:color w:val="221F1F"/>
        </w:rPr>
        <w:t>similar offences, shall apply</w:t>
      </w:r>
      <w:r>
        <w:rPr>
          <w:color w:val="221F1F"/>
          <w:spacing w:val="-3"/>
        </w:rPr>
        <w:t xml:space="preserve"> </w:t>
      </w:r>
      <w:r>
        <w:rPr>
          <w:color w:val="221F1F"/>
        </w:rPr>
        <w:t>with</w:t>
      </w:r>
      <w:r>
        <w:rPr>
          <w:color w:val="221F1F"/>
          <w:spacing w:val="-2"/>
        </w:rPr>
        <w:t xml:space="preserve"> </w:t>
      </w:r>
      <w:r>
        <w:rPr>
          <w:color w:val="221F1F"/>
        </w:rPr>
        <w:t>respect to Public Procurement Processes and Contracts that are governed by the laws of Kenya.</w:t>
      </w:r>
    </w:p>
    <w:p w:rsidR="007F6DF9" w:rsidRDefault="00A43FBC">
      <w:pPr>
        <w:pStyle w:val="Heading9"/>
        <w:numPr>
          <w:ilvl w:val="0"/>
          <w:numId w:val="135"/>
        </w:numPr>
        <w:tabs>
          <w:tab w:val="left" w:pos="1236"/>
        </w:tabs>
        <w:spacing w:before="237"/>
        <w:ind w:left="1236" w:hanging="523"/>
        <w:rPr>
          <w:color w:val="221F1F"/>
        </w:rPr>
      </w:pPr>
      <w:r>
        <w:rPr>
          <w:color w:val="221F1F"/>
          <w:spacing w:val="-2"/>
        </w:rPr>
        <w:t>Requirements</w:t>
      </w:r>
    </w:p>
    <w:p w:rsidR="007F6DF9" w:rsidRDefault="00A43FBC">
      <w:pPr>
        <w:pStyle w:val="ListParagraph"/>
        <w:numPr>
          <w:ilvl w:val="1"/>
          <w:numId w:val="135"/>
        </w:numPr>
        <w:tabs>
          <w:tab w:val="left" w:pos="1235"/>
          <w:tab w:val="left" w:pos="1237"/>
        </w:tabs>
        <w:spacing w:before="242" w:line="230" w:lineRule="auto"/>
        <w:ind w:right="560"/>
        <w:jc w:val="both"/>
      </w:pPr>
      <w:r>
        <w:rPr>
          <w:color w:val="221F1F"/>
        </w:rPr>
        <w:t>The Government of Kenya requires that all parties including Procuring Entities, Tenderers, (applicants/proposers),</w:t>
      </w:r>
      <w:r>
        <w:rPr>
          <w:color w:val="221F1F"/>
          <w:spacing w:val="-3"/>
        </w:rPr>
        <w:t xml:space="preserve"> </w:t>
      </w:r>
      <w:r>
        <w:rPr>
          <w:color w:val="221F1F"/>
        </w:rPr>
        <w:t>Consultants, Contractors</w:t>
      </w:r>
      <w:r>
        <w:rPr>
          <w:color w:val="221F1F"/>
          <w:spacing w:val="-2"/>
        </w:rPr>
        <w:t xml:space="preserve"> </w:t>
      </w:r>
      <w:r>
        <w:rPr>
          <w:color w:val="221F1F"/>
        </w:rPr>
        <w:t>and Suppliers;</w:t>
      </w:r>
      <w:r>
        <w:rPr>
          <w:color w:val="221F1F"/>
          <w:spacing w:val="-1"/>
        </w:rPr>
        <w:t xml:space="preserve"> </w:t>
      </w:r>
      <w:r>
        <w:rPr>
          <w:color w:val="221F1F"/>
        </w:rPr>
        <w:t>any Sub-contractors, Sub-consultants,</w:t>
      </w:r>
      <w:r>
        <w:rPr>
          <w:color w:val="221F1F"/>
          <w:spacing w:val="-2"/>
        </w:rPr>
        <w:t xml:space="preserve"> </w:t>
      </w:r>
      <w:r>
        <w:rPr>
          <w:color w:val="221F1F"/>
        </w:rPr>
        <w:t>Service providers</w:t>
      </w:r>
      <w:r>
        <w:rPr>
          <w:color w:val="221F1F"/>
          <w:spacing w:val="-10"/>
        </w:rPr>
        <w:t xml:space="preserve"> </w:t>
      </w:r>
      <w:r>
        <w:rPr>
          <w:color w:val="221F1F"/>
        </w:rPr>
        <w:t>or</w:t>
      </w:r>
      <w:r>
        <w:rPr>
          <w:color w:val="221F1F"/>
          <w:spacing w:val="-10"/>
        </w:rPr>
        <w:t xml:space="preserve"> </w:t>
      </w:r>
      <w:r>
        <w:rPr>
          <w:color w:val="221F1F"/>
        </w:rPr>
        <w:t>Suppliers;</w:t>
      </w:r>
      <w:r>
        <w:rPr>
          <w:color w:val="221F1F"/>
          <w:spacing w:val="-9"/>
        </w:rPr>
        <w:t xml:space="preserve"> </w:t>
      </w:r>
      <w:r>
        <w:rPr>
          <w:color w:val="221F1F"/>
        </w:rPr>
        <w:t>any</w:t>
      </w:r>
      <w:r>
        <w:rPr>
          <w:color w:val="221F1F"/>
          <w:spacing w:val="-12"/>
        </w:rPr>
        <w:t xml:space="preserve"> </w:t>
      </w:r>
      <w:r>
        <w:rPr>
          <w:color w:val="221F1F"/>
        </w:rPr>
        <w:t>Agents</w:t>
      </w:r>
      <w:r>
        <w:rPr>
          <w:color w:val="221F1F"/>
          <w:spacing w:val="-10"/>
        </w:rPr>
        <w:t xml:space="preserve"> </w:t>
      </w:r>
      <w:r>
        <w:rPr>
          <w:color w:val="221F1F"/>
        </w:rPr>
        <w:t>(whether</w:t>
      </w:r>
      <w:r>
        <w:rPr>
          <w:color w:val="221F1F"/>
          <w:spacing w:val="-9"/>
        </w:rPr>
        <w:t xml:space="preserve"> </w:t>
      </w:r>
      <w:r>
        <w:rPr>
          <w:color w:val="221F1F"/>
        </w:rPr>
        <w:t>declared</w:t>
      </w:r>
      <w:r>
        <w:rPr>
          <w:color w:val="221F1F"/>
          <w:spacing w:val="-10"/>
        </w:rPr>
        <w:t xml:space="preserve"> </w:t>
      </w:r>
      <w:r>
        <w:rPr>
          <w:color w:val="221F1F"/>
        </w:rPr>
        <w:t>or</w:t>
      </w:r>
      <w:r>
        <w:rPr>
          <w:color w:val="221F1F"/>
          <w:spacing w:val="-10"/>
        </w:rPr>
        <w:t xml:space="preserve"> </w:t>
      </w:r>
      <w:r>
        <w:rPr>
          <w:color w:val="221F1F"/>
        </w:rPr>
        <w:t>not);</w:t>
      </w:r>
      <w:r>
        <w:rPr>
          <w:color w:val="221F1F"/>
          <w:spacing w:val="-10"/>
        </w:rPr>
        <w:t xml:space="preserve"> </w:t>
      </w:r>
      <w:r>
        <w:rPr>
          <w:color w:val="221F1F"/>
        </w:rPr>
        <w:t>and</w:t>
      </w:r>
      <w:r>
        <w:rPr>
          <w:color w:val="221F1F"/>
          <w:spacing w:val="-10"/>
        </w:rPr>
        <w:t xml:space="preserve"> </w:t>
      </w:r>
      <w:r>
        <w:rPr>
          <w:color w:val="221F1F"/>
        </w:rPr>
        <w:t>any</w:t>
      </w:r>
      <w:r>
        <w:rPr>
          <w:color w:val="221F1F"/>
          <w:spacing w:val="-10"/>
        </w:rPr>
        <w:t xml:space="preserve"> </w:t>
      </w:r>
      <w:r>
        <w:rPr>
          <w:color w:val="221F1F"/>
        </w:rPr>
        <w:t>of</w:t>
      </w:r>
      <w:r>
        <w:rPr>
          <w:color w:val="221F1F"/>
          <w:spacing w:val="-10"/>
        </w:rPr>
        <w:t xml:space="preserve"> </w:t>
      </w:r>
      <w:r>
        <w:rPr>
          <w:color w:val="221F1F"/>
        </w:rPr>
        <w:t>their</w:t>
      </w:r>
      <w:r>
        <w:rPr>
          <w:color w:val="221F1F"/>
          <w:spacing w:val="-10"/>
        </w:rPr>
        <w:t xml:space="preserve"> </w:t>
      </w:r>
      <w:r>
        <w:rPr>
          <w:color w:val="221F1F"/>
        </w:rPr>
        <w:t>Personnel,</w:t>
      </w:r>
      <w:r>
        <w:rPr>
          <w:color w:val="221F1F"/>
          <w:spacing w:val="-12"/>
        </w:rPr>
        <w:t xml:space="preserve"> </w:t>
      </w:r>
      <w:r>
        <w:rPr>
          <w:color w:val="221F1F"/>
        </w:rPr>
        <w:t>involved</w:t>
      </w:r>
      <w:r>
        <w:rPr>
          <w:color w:val="221F1F"/>
          <w:spacing w:val="-10"/>
        </w:rPr>
        <w:t xml:space="preserve"> </w:t>
      </w:r>
      <w:r>
        <w:rPr>
          <w:color w:val="221F1F"/>
        </w:rPr>
        <w:t>and</w:t>
      </w:r>
      <w:r>
        <w:rPr>
          <w:color w:val="221F1F"/>
          <w:spacing w:val="-10"/>
        </w:rPr>
        <w:t xml:space="preserve"> </w:t>
      </w:r>
      <w:r>
        <w:rPr>
          <w:color w:val="221F1F"/>
        </w:rPr>
        <w:t>engaged in procurement under Kenya's Laws and Regulation, observe the highest standard of ethics during the procurement process, selection and contract execution</w:t>
      </w:r>
      <w:r>
        <w:rPr>
          <w:color w:val="221F1F"/>
          <w:spacing w:val="-1"/>
        </w:rPr>
        <w:t xml:space="preserve"> </w:t>
      </w:r>
      <w:r>
        <w:rPr>
          <w:color w:val="221F1F"/>
        </w:rPr>
        <w:t>of all contracts, and refrain</w:t>
      </w:r>
      <w:r>
        <w:rPr>
          <w:color w:val="221F1F"/>
          <w:spacing w:val="-1"/>
        </w:rPr>
        <w:t xml:space="preserve"> </w:t>
      </w:r>
      <w:r>
        <w:rPr>
          <w:color w:val="221F1F"/>
        </w:rPr>
        <w:t>from Fraud and Corruption and fully comply with Kenya's laws and Regulations as per paragraphs 1.1 above.</w:t>
      </w:r>
    </w:p>
    <w:p w:rsidR="007F6DF9" w:rsidRDefault="00A43FBC">
      <w:pPr>
        <w:pStyle w:val="ListParagraph"/>
        <w:numPr>
          <w:ilvl w:val="1"/>
          <w:numId w:val="135"/>
        </w:numPr>
        <w:tabs>
          <w:tab w:val="left" w:pos="1235"/>
          <w:tab w:val="left" w:pos="1237"/>
        </w:tabs>
        <w:spacing w:before="245" w:line="230" w:lineRule="auto"/>
        <w:ind w:right="564"/>
        <w:jc w:val="both"/>
      </w:pPr>
      <w:r>
        <w:rPr>
          <w:color w:val="221F1F"/>
        </w:rPr>
        <w:t xml:space="preserve">Kenya's public procurement and asset disposal act </w:t>
      </w:r>
      <w:r>
        <w:rPr>
          <w:i/>
          <w:color w:val="221F1F"/>
        </w:rPr>
        <w:t xml:space="preserve">(no. 33 of 2015) </w:t>
      </w:r>
      <w:r>
        <w:rPr>
          <w:color w:val="221F1F"/>
        </w:rPr>
        <w:t>under Section 66 describes rules to be followed and actions to be taken in dealing with Corrupt, Coercive, Obstructive, Collusive or Fraudulent practices, and Conflicts of Interest in procurement including consequences for offences committed. A few of the provisions noted below highlight Kenya's policy of no tolerance for such practices and behavior:</w:t>
      </w:r>
    </w:p>
    <w:p w:rsidR="007F6DF9" w:rsidRDefault="00A43FBC">
      <w:pPr>
        <w:pStyle w:val="ListParagraph"/>
        <w:numPr>
          <w:ilvl w:val="2"/>
          <w:numId w:val="135"/>
        </w:numPr>
        <w:tabs>
          <w:tab w:val="left" w:pos="1692"/>
          <w:tab w:val="left" w:pos="1702"/>
        </w:tabs>
        <w:spacing w:before="246" w:line="230" w:lineRule="auto"/>
        <w:ind w:right="563" w:hanging="466"/>
        <w:jc w:val="both"/>
      </w:pPr>
      <w:r>
        <w:rPr>
          <w:color w:val="221F1F"/>
        </w:rPr>
        <w:t>A person to whom this Act applies shall not be involved in any corrupt, coercive, obstructive, collusive or fraudulent practice; or conflicts of interest in any procurement or as set disposal proceeding;</w:t>
      </w:r>
    </w:p>
    <w:p w:rsidR="007F6DF9" w:rsidRDefault="00A43FBC">
      <w:pPr>
        <w:pStyle w:val="ListParagraph"/>
        <w:numPr>
          <w:ilvl w:val="2"/>
          <w:numId w:val="135"/>
        </w:numPr>
        <w:tabs>
          <w:tab w:val="left" w:pos="1692"/>
          <w:tab w:val="left" w:pos="1702"/>
        </w:tabs>
        <w:spacing w:before="244" w:line="230" w:lineRule="auto"/>
        <w:ind w:right="570" w:hanging="466"/>
        <w:jc w:val="both"/>
      </w:pPr>
      <w:r>
        <w:rPr>
          <w:color w:val="221F1F"/>
        </w:rPr>
        <w:t>A</w:t>
      </w:r>
      <w:r>
        <w:rPr>
          <w:color w:val="221F1F"/>
          <w:spacing w:val="-2"/>
        </w:rPr>
        <w:t xml:space="preserve"> </w:t>
      </w:r>
      <w:r>
        <w:rPr>
          <w:color w:val="221F1F"/>
        </w:rPr>
        <w:t>person</w:t>
      </w:r>
      <w:r>
        <w:rPr>
          <w:color w:val="221F1F"/>
          <w:spacing w:val="-1"/>
        </w:rPr>
        <w:t xml:space="preserve"> </w:t>
      </w:r>
      <w:r>
        <w:rPr>
          <w:color w:val="221F1F"/>
        </w:rPr>
        <w:t>referred</w:t>
      </w:r>
      <w:r>
        <w:rPr>
          <w:color w:val="221F1F"/>
          <w:spacing w:val="-3"/>
        </w:rPr>
        <w:t xml:space="preserve"> </w:t>
      </w:r>
      <w:r>
        <w:rPr>
          <w:color w:val="221F1F"/>
        </w:rPr>
        <w:t>to</w:t>
      </w:r>
      <w:r>
        <w:rPr>
          <w:color w:val="221F1F"/>
          <w:spacing w:val="-1"/>
        </w:rPr>
        <w:t xml:space="preserve"> </w:t>
      </w:r>
      <w:r>
        <w:rPr>
          <w:color w:val="221F1F"/>
        </w:rPr>
        <w:t>under</w:t>
      </w:r>
      <w:r>
        <w:rPr>
          <w:color w:val="221F1F"/>
          <w:spacing w:val="-3"/>
        </w:rPr>
        <w:t xml:space="preserve"> </w:t>
      </w:r>
      <w:r>
        <w:rPr>
          <w:color w:val="221F1F"/>
        </w:rPr>
        <w:t>subsection</w:t>
      </w:r>
      <w:r>
        <w:rPr>
          <w:color w:val="221F1F"/>
          <w:spacing w:val="-4"/>
        </w:rPr>
        <w:t xml:space="preserve"> </w:t>
      </w:r>
      <w:r>
        <w:rPr>
          <w:color w:val="221F1F"/>
        </w:rPr>
        <w:t>(1)</w:t>
      </w:r>
      <w:r>
        <w:rPr>
          <w:color w:val="221F1F"/>
          <w:spacing w:val="-3"/>
        </w:rPr>
        <w:t xml:space="preserve"> </w:t>
      </w:r>
      <w:r>
        <w:rPr>
          <w:color w:val="221F1F"/>
        </w:rPr>
        <w:t>who</w:t>
      </w:r>
      <w:r>
        <w:rPr>
          <w:color w:val="221F1F"/>
          <w:spacing w:val="-1"/>
        </w:rPr>
        <w:t xml:space="preserve"> </w:t>
      </w:r>
      <w:r>
        <w:rPr>
          <w:color w:val="221F1F"/>
        </w:rPr>
        <w:t>contravenes</w:t>
      </w:r>
      <w:r>
        <w:rPr>
          <w:color w:val="221F1F"/>
          <w:spacing w:val="-3"/>
        </w:rPr>
        <w:t xml:space="preserve"> </w:t>
      </w:r>
      <w:r>
        <w:rPr>
          <w:color w:val="221F1F"/>
        </w:rPr>
        <w:t>the</w:t>
      </w:r>
      <w:r>
        <w:rPr>
          <w:color w:val="221F1F"/>
          <w:spacing w:val="-3"/>
        </w:rPr>
        <w:t xml:space="preserve"> </w:t>
      </w:r>
      <w:r>
        <w:rPr>
          <w:color w:val="221F1F"/>
        </w:rPr>
        <w:t>provisions</w:t>
      </w:r>
      <w:r>
        <w:rPr>
          <w:color w:val="221F1F"/>
          <w:spacing w:val="-1"/>
        </w:rPr>
        <w:t xml:space="preserve"> </w:t>
      </w:r>
      <w:r>
        <w:rPr>
          <w:color w:val="221F1F"/>
        </w:rPr>
        <w:t>of</w:t>
      </w:r>
      <w:r>
        <w:rPr>
          <w:color w:val="221F1F"/>
          <w:spacing w:val="-2"/>
        </w:rPr>
        <w:t xml:space="preserve"> </w:t>
      </w:r>
      <w:r>
        <w:rPr>
          <w:color w:val="221F1F"/>
        </w:rPr>
        <w:t>that</w:t>
      </w:r>
      <w:r>
        <w:rPr>
          <w:color w:val="221F1F"/>
          <w:spacing w:val="-3"/>
        </w:rPr>
        <w:t xml:space="preserve"> </w:t>
      </w:r>
      <w:r>
        <w:rPr>
          <w:color w:val="221F1F"/>
        </w:rPr>
        <w:t>sub-section</w:t>
      </w:r>
      <w:r>
        <w:rPr>
          <w:color w:val="221F1F"/>
          <w:spacing w:val="-4"/>
        </w:rPr>
        <w:t xml:space="preserve"> </w:t>
      </w:r>
      <w:r>
        <w:rPr>
          <w:color w:val="221F1F"/>
        </w:rPr>
        <w:t xml:space="preserve">commits an </w:t>
      </w:r>
      <w:r>
        <w:rPr>
          <w:color w:val="221F1F"/>
          <w:spacing w:val="-2"/>
        </w:rPr>
        <w:t>offence;</w:t>
      </w:r>
    </w:p>
    <w:p w:rsidR="007F6DF9" w:rsidRDefault="00A43FBC">
      <w:pPr>
        <w:pStyle w:val="ListParagraph"/>
        <w:numPr>
          <w:ilvl w:val="2"/>
          <w:numId w:val="135"/>
        </w:numPr>
        <w:tabs>
          <w:tab w:val="left" w:pos="1695"/>
        </w:tabs>
        <w:spacing w:before="236"/>
        <w:ind w:left="1695" w:hanging="458"/>
      </w:pPr>
      <w:r>
        <w:rPr>
          <w:color w:val="221F1F"/>
        </w:rPr>
        <w:t>Without</w:t>
      </w:r>
      <w:r>
        <w:rPr>
          <w:color w:val="221F1F"/>
          <w:spacing w:val="-3"/>
        </w:rPr>
        <w:t xml:space="preserve"> </w:t>
      </w:r>
      <w:r>
        <w:rPr>
          <w:color w:val="221F1F"/>
        </w:rPr>
        <w:t>limiting</w:t>
      </w:r>
      <w:r>
        <w:rPr>
          <w:color w:val="221F1F"/>
          <w:spacing w:val="-4"/>
        </w:rPr>
        <w:t xml:space="preserve"> </w:t>
      </w:r>
      <w:r>
        <w:rPr>
          <w:color w:val="221F1F"/>
        </w:rPr>
        <w:t>the</w:t>
      </w:r>
      <w:r>
        <w:rPr>
          <w:color w:val="221F1F"/>
          <w:spacing w:val="-5"/>
        </w:rPr>
        <w:t xml:space="preserve"> </w:t>
      </w:r>
      <w:r>
        <w:rPr>
          <w:color w:val="221F1F"/>
        </w:rPr>
        <w:t>generality</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subsection</w:t>
      </w:r>
      <w:r>
        <w:rPr>
          <w:color w:val="221F1F"/>
          <w:spacing w:val="-3"/>
        </w:rPr>
        <w:t xml:space="preserve"> </w:t>
      </w:r>
      <w:r>
        <w:rPr>
          <w:color w:val="221F1F"/>
        </w:rPr>
        <w:t>(1)</w:t>
      </w:r>
      <w:r>
        <w:rPr>
          <w:color w:val="221F1F"/>
          <w:spacing w:val="-2"/>
        </w:rPr>
        <w:t xml:space="preserve"> </w:t>
      </w:r>
      <w:r>
        <w:rPr>
          <w:color w:val="221F1F"/>
        </w:rPr>
        <w:t>and</w:t>
      </w:r>
      <w:r>
        <w:rPr>
          <w:color w:val="221F1F"/>
          <w:spacing w:val="-3"/>
        </w:rPr>
        <w:t xml:space="preserve"> </w:t>
      </w:r>
      <w:r>
        <w:rPr>
          <w:color w:val="221F1F"/>
        </w:rPr>
        <w:t>(2),</w:t>
      </w:r>
      <w:r>
        <w:rPr>
          <w:color w:val="221F1F"/>
          <w:spacing w:val="-5"/>
        </w:rPr>
        <w:t xml:space="preserve"> </w:t>
      </w:r>
      <w:r>
        <w:rPr>
          <w:color w:val="221F1F"/>
        </w:rPr>
        <w:t>the</w:t>
      </w:r>
      <w:r>
        <w:rPr>
          <w:color w:val="221F1F"/>
          <w:spacing w:val="-3"/>
        </w:rPr>
        <w:t xml:space="preserve"> </w:t>
      </w:r>
      <w:r>
        <w:rPr>
          <w:color w:val="221F1F"/>
        </w:rPr>
        <w:t>person</w:t>
      </w:r>
      <w:r>
        <w:rPr>
          <w:color w:val="221F1F"/>
          <w:spacing w:val="-5"/>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spacing w:val="-10"/>
        </w:rPr>
        <w:t>-</w:t>
      </w:r>
    </w:p>
    <w:p w:rsidR="007F6DF9" w:rsidRDefault="00A43FBC">
      <w:pPr>
        <w:pStyle w:val="ListParagraph"/>
        <w:numPr>
          <w:ilvl w:val="3"/>
          <w:numId w:val="135"/>
        </w:numPr>
        <w:tabs>
          <w:tab w:val="left" w:pos="2150"/>
        </w:tabs>
        <w:spacing w:before="236"/>
        <w:ind w:left="2150" w:hanging="455"/>
        <w:jc w:val="both"/>
      </w:pPr>
      <w:r>
        <w:rPr>
          <w:color w:val="221F1F"/>
        </w:rPr>
        <w:t>disqualified</w:t>
      </w:r>
      <w:r>
        <w:rPr>
          <w:color w:val="221F1F"/>
          <w:spacing w:val="-7"/>
        </w:rPr>
        <w:t xml:space="preserve"> </w:t>
      </w:r>
      <w:r>
        <w:rPr>
          <w:color w:val="221F1F"/>
        </w:rPr>
        <w:t>from</w:t>
      </w:r>
      <w:r>
        <w:rPr>
          <w:color w:val="221F1F"/>
          <w:spacing w:val="-2"/>
        </w:rPr>
        <w:t xml:space="preserve"> </w:t>
      </w:r>
      <w:r>
        <w:rPr>
          <w:color w:val="221F1F"/>
        </w:rPr>
        <w:t>entering</w:t>
      </w:r>
      <w:r>
        <w:rPr>
          <w:color w:val="221F1F"/>
          <w:spacing w:val="-4"/>
        </w:rPr>
        <w:t xml:space="preserve"> </w:t>
      </w:r>
      <w:r>
        <w:rPr>
          <w:color w:val="221F1F"/>
        </w:rPr>
        <w:t>into</w:t>
      </w:r>
      <w:r>
        <w:rPr>
          <w:color w:val="221F1F"/>
          <w:spacing w:val="-4"/>
        </w:rPr>
        <w:t xml:space="preserve"> </w:t>
      </w:r>
      <w:r>
        <w:rPr>
          <w:color w:val="221F1F"/>
        </w:rPr>
        <w:t>a</w:t>
      </w:r>
      <w:r>
        <w:rPr>
          <w:color w:val="221F1F"/>
          <w:spacing w:val="-6"/>
        </w:rPr>
        <w:t xml:space="preserve"> </w:t>
      </w:r>
      <w:r>
        <w:rPr>
          <w:color w:val="221F1F"/>
        </w:rPr>
        <w:t>contract</w:t>
      </w:r>
      <w:r>
        <w:rPr>
          <w:color w:val="221F1F"/>
          <w:spacing w:val="-6"/>
        </w:rPr>
        <w:t xml:space="preserve"> </w:t>
      </w:r>
      <w:r>
        <w:rPr>
          <w:color w:val="221F1F"/>
        </w:rPr>
        <w:t>for</w:t>
      </w:r>
      <w:r>
        <w:rPr>
          <w:color w:val="221F1F"/>
          <w:spacing w:val="-5"/>
        </w:rPr>
        <w:t xml:space="preserve"> </w:t>
      </w:r>
      <w:r>
        <w:rPr>
          <w:color w:val="221F1F"/>
        </w:rPr>
        <w:t>a</w:t>
      </w:r>
      <w:r>
        <w:rPr>
          <w:color w:val="221F1F"/>
          <w:spacing w:val="-4"/>
        </w:rPr>
        <w:t xml:space="preserve"> </w:t>
      </w:r>
      <w:r>
        <w:rPr>
          <w:color w:val="221F1F"/>
        </w:rPr>
        <w:t>procurement</w:t>
      </w:r>
      <w:r>
        <w:rPr>
          <w:color w:val="221F1F"/>
          <w:spacing w:val="-3"/>
        </w:rPr>
        <w:t xml:space="preserve"> </w:t>
      </w:r>
      <w:r>
        <w:rPr>
          <w:color w:val="221F1F"/>
        </w:rPr>
        <w:t>or</w:t>
      </w:r>
      <w:r>
        <w:rPr>
          <w:color w:val="221F1F"/>
          <w:spacing w:val="-6"/>
        </w:rPr>
        <w:t xml:space="preserve"> </w:t>
      </w:r>
      <w:r>
        <w:rPr>
          <w:color w:val="221F1F"/>
        </w:rPr>
        <w:t>asset</w:t>
      </w:r>
      <w:r>
        <w:rPr>
          <w:color w:val="221F1F"/>
          <w:spacing w:val="-5"/>
        </w:rPr>
        <w:t xml:space="preserve"> </w:t>
      </w:r>
      <w:r>
        <w:rPr>
          <w:color w:val="221F1F"/>
        </w:rPr>
        <w:t>disposal</w:t>
      </w:r>
      <w:r>
        <w:rPr>
          <w:color w:val="221F1F"/>
          <w:spacing w:val="-3"/>
        </w:rPr>
        <w:t xml:space="preserve"> </w:t>
      </w:r>
      <w:r>
        <w:rPr>
          <w:color w:val="221F1F"/>
        </w:rPr>
        <w:t>proceeding;</w:t>
      </w:r>
      <w:r>
        <w:rPr>
          <w:color w:val="221F1F"/>
          <w:spacing w:val="-2"/>
        </w:rPr>
        <w:t xml:space="preserve"> </w:t>
      </w:r>
      <w:r>
        <w:rPr>
          <w:color w:val="221F1F"/>
          <w:spacing w:val="-5"/>
        </w:rPr>
        <w:t>or</w:t>
      </w:r>
    </w:p>
    <w:p w:rsidR="007F6DF9" w:rsidRDefault="00A43FBC">
      <w:pPr>
        <w:pStyle w:val="ListParagraph"/>
        <w:numPr>
          <w:ilvl w:val="3"/>
          <w:numId w:val="135"/>
        </w:numPr>
        <w:tabs>
          <w:tab w:val="left" w:pos="2183"/>
        </w:tabs>
        <w:spacing w:before="112"/>
        <w:ind w:left="2183" w:hanging="495"/>
        <w:jc w:val="both"/>
      </w:pPr>
      <w:r>
        <w:rPr>
          <w:color w:val="221F1F"/>
        </w:rPr>
        <w:t>if</w:t>
      </w:r>
      <w:r>
        <w:rPr>
          <w:color w:val="221F1F"/>
          <w:spacing w:val="-4"/>
        </w:rPr>
        <w:t xml:space="preserve"> </w:t>
      </w:r>
      <w:r>
        <w:rPr>
          <w:color w:val="221F1F"/>
        </w:rPr>
        <w:t>a</w:t>
      </w:r>
      <w:r>
        <w:rPr>
          <w:color w:val="221F1F"/>
          <w:spacing w:val="-4"/>
        </w:rPr>
        <w:t xml:space="preserve"> </w:t>
      </w:r>
      <w:r>
        <w:rPr>
          <w:color w:val="221F1F"/>
        </w:rPr>
        <w:t>contract</w:t>
      </w:r>
      <w:r>
        <w:rPr>
          <w:color w:val="221F1F"/>
          <w:spacing w:val="-3"/>
        </w:rPr>
        <w:t xml:space="preserve"> </w:t>
      </w:r>
      <w:r>
        <w:rPr>
          <w:color w:val="221F1F"/>
        </w:rPr>
        <w:t>has</w:t>
      </w:r>
      <w:r>
        <w:rPr>
          <w:color w:val="221F1F"/>
          <w:spacing w:val="-3"/>
        </w:rPr>
        <w:t xml:space="preserve"> </w:t>
      </w:r>
      <w:r>
        <w:rPr>
          <w:color w:val="221F1F"/>
        </w:rPr>
        <w:t>already</w:t>
      </w:r>
      <w:r>
        <w:rPr>
          <w:color w:val="221F1F"/>
          <w:spacing w:val="-4"/>
        </w:rPr>
        <w:t xml:space="preserve"> </w:t>
      </w:r>
      <w:r>
        <w:rPr>
          <w:color w:val="221F1F"/>
        </w:rPr>
        <w:t>been</w:t>
      </w:r>
      <w:r>
        <w:rPr>
          <w:color w:val="221F1F"/>
          <w:spacing w:val="-2"/>
        </w:rPr>
        <w:t xml:space="preserve"> </w:t>
      </w:r>
      <w:r>
        <w:rPr>
          <w:color w:val="221F1F"/>
        </w:rPr>
        <w:t>entered</w:t>
      </w:r>
      <w:r>
        <w:rPr>
          <w:color w:val="221F1F"/>
          <w:spacing w:val="-2"/>
        </w:rPr>
        <w:t xml:space="preserve"> </w:t>
      </w:r>
      <w:r>
        <w:rPr>
          <w:color w:val="221F1F"/>
        </w:rPr>
        <w:t>into</w:t>
      </w:r>
      <w:r>
        <w:rPr>
          <w:color w:val="221F1F"/>
          <w:spacing w:val="-2"/>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person,</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shall be</w:t>
      </w:r>
      <w:r>
        <w:rPr>
          <w:color w:val="221F1F"/>
          <w:spacing w:val="-2"/>
        </w:rPr>
        <w:t xml:space="preserve"> voidable;</w:t>
      </w:r>
    </w:p>
    <w:p w:rsidR="007F6DF9" w:rsidRDefault="00A43FBC">
      <w:pPr>
        <w:pStyle w:val="ListParagraph"/>
        <w:numPr>
          <w:ilvl w:val="2"/>
          <w:numId w:val="135"/>
        </w:numPr>
        <w:tabs>
          <w:tab w:val="left" w:pos="1685"/>
          <w:tab w:val="left" w:pos="1688"/>
        </w:tabs>
        <w:spacing w:before="243" w:line="230" w:lineRule="auto"/>
        <w:ind w:left="1688" w:right="560" w:hanging="452"/>
        <w:jc w:val="both"/>
      </w:pPr>
      <w:r>
        <w:rPr>
          <w:color w:val="221F1F"/>
        </w:rPr>
        <w:t>The</w:t>
      </w:r>
      <w:r>
        <w:rPr>
          <w:color w:val="221F1F"/>
          <w:spacing w:val="-6"/>
        </w:rPr>
        <w:t xml:space="preserve"> </w:t>
      </w:r>
      <w:r>
        <w:rPr>
          <w:color w:val="221F1F"/>
        </w:rPr>
        <w:t>voiding</w:t>
      </w:r>
      <w:r>
        <w:rPr>
          <w:color w:val="221F1F"/>
          <w:spacing w:val="-6"/>
        </w:rPr>
        <w:t xml:space="preserve"> </w:t>
      </w:r>
      <w:r>
        <w:rPr>
          <w:color w:val="221F1F"/>
        </w:rPr>
        <w:t>of</w:t>
      </w:r>
      <w:r>
        <w:rPr>
          <w:color w:val="221F1F"/>
          <w:spacing w:val="-5"/>
        </w:rPr>
        <w:t xml:space="preserve"> </w:t>
      </w:r>
      <w:r>
        <w:rPr>
          <w:color w:val="221F1F"/>
        </w:rPr>
        <w:t>a</w:t>
      </w:r>
      <w:r>
        <w:rPr>
          <w:color w:val="221F1F"/>
          <w:spacing w:val="-6"/>
        </w:rPr>
        <w:t xml:space="preserve"> </w:t>
      </w:r>
      <w:r>
        <w:rPr>
          <w:color w:val="221F1F"/>
        </w:rPr>
        <w:t>contract</w:t>
      </w:r>
      <w:r>
        <w:rPr>
          <w:color w:val="221F1F"/>
          <w:spacing w:val="-4"/>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under</w:t>
      </w:r>
      <w:r>
        <w:rPr>
          <w:color w:val="221F1F"/>
          <w:spacing w:val="-7"/>
        </w:rPr>
        <w:t xml:space="preserve"> </w:t>
      </w:r>
      <w:r>
        <w:rPr>
          <w:color w:val="221F1F"/>
        </w:rPr>
        <w:t>subsection</w:t>
      </w:r>
      <w:r>
        <w:rPr>
          <w:color w:val="221F1F"/>
          <w:spacing w:val="-5"/>
        </w:rPr>
        <w:t xml:space="preserve"> </w:t>
      </w:r>
      <w:r>
        <w:rPr>
          <w:color w:val="221F1F"/>
        </w:rPr>
        <w:t>(7)</w:t>
      </w:r>
      <w:r>
        <w:rPr>
          <w:color w:val="221F1F"/>
          <w:spacing w:val="-5"/>
        </w:rPr>
        <w:t xml:space="preserve"> </w:t>
      </w:r>
      <w:r>
        <w:rPr>
          <w:color w:val="221F1F"/>
        </w:rPr>
        <w:t>does</w:t>
      </w:r>
      <w:r>
        <w:rPr>
          <w:color w:val="221F1F"/>
          <w:spacing w:val="-5"/>
        </w:rPr>
        <w:t xml:space="preserve"> </w:t>
      </w:r>
      <w:r>
        <w:rPr>
          <w:color w:val="221F1F"/>
        </w:rPr>
        <w:t>not</w:t>
      </w:r>
      <w:r>
        <w:rPr>
          <w:color w:val="221F1F"/>
          <w:spacing w:val="-5"/>
        </w:rPr>
        <w:t xml:space="preserve"> </w:t>
      </w:r>
      <w:r>
        <w:rPr>
          <w:color w:val="221F1F"/>
        </w:rPr>
        <w:t>limit</w:t>
      </w:r>
      <w:r>
        <w:rPr>
          <w:color w:val="221F1F"/>
          <w:spacing w:val="-4"/>
        </w:rPr>
        <w:t xml:space="preserve"> </w:t>
      </w:r>
      <w:r>
        <w:rPr>
          <w:color w:val="221F1F"/>
        </w:rPr>
        <w:t>any</w:t>
      </w:r>
      <w:r>
        <w:rPr>
          <w:color w:val="221F1F"/>
          <w:spacing w:val="-6"/>
        </w:rPr>
        <w:t xml:space="preserve"> </w:t>
      </w:r>
      <w:r>
        <w:rPr>
          <w:color w:val="221F1F"/>
        </w:rPr>
        <w:t>legal</w:t>
      </w:r>
      <w:r>
        <w:rPr>
          <w:color w:val="221F1F"/>
          <w:spacing w:val="-5"/>
        </w:rPr>
        <w:t xml:space="preserve"> </w:t>
      </w:r>
      <w:r>
        <w:rPr>
          <w:color w:val="221F1F"/>
        </w:rPr>
        <w:t>remedy</w:t>
      </w:r>
      <w:r>
        <w:rPr>
          <w:color w:val="221F1F"/>
          <w:spacing w:val="-8"/>
        </w:rPr>
        <w:t xml:space="preserve"> </w:t>
      </w:r>
      <w:r>
        <w:rPr>
          <w:color w:val="221F1F"/>
        </w:rPr>
        <w:t>the procuring entity may have;</w:t>
      </w:r>
    </w:p>
    <w:p w:rsidR="007F6DF9" w:rsidRDefault="00A43FBC">
      <w:pPr>
        <w:pStyle w:val="ListParagraph"/>
        <w:numPr>
          <w:ilvl w:val="2"/>
          <w:numId w:val="135"/>
        </w:numPr>
        <w:tabs>
          <w:tab w:val="left" w:pos="1685"/>
          <w:tab w:val="left" w:pos="1688"/>
        </w:tabs>
        <w:spacing w:before="244" w:line="230" w:lineRule="auto"/>
        <w:ind w:left="1688" w:right="560" w:hanging="452"/>
        <w:jc w:val="both"/>
      </w:pPr>
      <w:r>
        <w:rPr>
          <w:color w:val="221F1F"/>
        </w:rPr>
        <w:t xml:space="preserve">An employee or agent of the procuring entity or a member of the Board or committee of the procuring entity </w:t>
      </w:r>
      <w:proofErr w:type="spellStart"/>
      <w:r>
        <w:rPr>
          <w:color w:val="221F1F"/>
        </w:rPr>
        <w:t>whohas</w:t>
      </w:r>
      <w:proofErr w:type="spellEnd"/>
      <w:r>
        <w:rPr>
          <w:color w:val="221F1F"/>
        </w:rPr>
        <w:t xml:space="preserve"> a conflict of interest with respect to a procurement: -</w:t>
      </w:r>
    </w:p>
    <w:p w:rsidR="007F6DF9" w:rsidRDefault="007F6DF9">
      <w:pPr>
        <w:pStyle w:val="BodyText"/>
        <w:spacing w:before="56"/>
      </w:pPr>
    </w:p>
    <w:p w:rsidR="007F6DF9" w:rsidRDefault="00A43FBC">
      <w:pPr>
        <w:pStyle w:val="ListParagraph"/>
        <w:numPr>
          <w:ilvl w:val="3"/>
          <w:numId w:val="135"/>
        </w:numPr>
        <w:tabs>
          <w:tab w:val="left" w:pos="2150"/>
        </w:tabs>
        <w:spacing w:before="1"/>
        <w:ind w:left="2150" w:hanging="462"/>
        <w:jc w:val="both"/>
      </w:pPr>
      <w:r>
        <w:rPr>
          <w:color w:val="221F1F"/>
        </w:rPr>
        <w:t>Shall</w:t>
      </w:r>
      <w:r>
        <w:rPr>
          <w:color w:val="221F1F"/>
          <w:spacing w:val="-1"/>
        </w:rPr>
        <w:t xml:space="preserve"> </w:t>
      </w:r>
      <w:r>
        <w:rPr>
          <w:color w:val="221F1F"/>
        </w:rPr>
        <w:t>not</w:t>
      </w:r>
      <w:r>
        <w:rPr>
          <w:color w:val="221F1F"/>
          <w:spacing w:val="-4"/>
        </w:rPr>
        <w:t xml:space="preserve"> </w:t>
      </w:r>
      <w:r>
        <w:rPr>
          <w:color w:val="221F1F"/>
        </w:rPr>
        <w:t>take</w:t>
      </w:r>
      <w:r>
        <w:rPr>
          <w:color w:val="221F1F"/>
          <w:spacing w:val="-1"/>
        </w:rPr>
        <w:t xml:space="preserve"> </w:t>
      </w:r>
      <w:r>
        <w:rPr>
          <w:color w:val="221F1F"/>
        </w:rPr>
        <w:t>part</w:t>
      </w:r>
      <w:r>
        <w:rPr>
          <w:color w:val="221F1F"/>
          <w:spacing w:val="-3"/>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 xml:space="preserve">procurement </w:t>
      </w:r>
      <w:r>
        <w:rPr>
          <w:color w:val="221F1F"/>
          <w:spacing w:val="-2"/>
        </w:rPr>
        <w:t>proceedings;</w:t>
      </w:r>
    </w:p>
    <w:p w:rsidR="007F6DF9" w:rsidRDefault="00A43FBC">
      <w:pPr>
        <w:pStyle w:val="ListParagraph"/>
        <w:numPr>
          <w:ilvl w:val="3"/>
          <w:numId w:val="135"/>
        </w:numPr>
        <w:tabs>
          <w:tab w:val="left" w:pos="2149"/>
          <w:tab w:val="left" w:pos="2151"/>
        </w:tabs>
        <w:spacing w:before="72" w:line="230" w:lineRule="auto"/>
        <w:ind w:right="796" w:hanging="464"/>
        <w:jc w:val="both"/>
      </w:pPr>
      <w:r>
        <w:rPr>
          <w:color w:val="221F1F"/>
        </w:rPr>
        <w:t>shall not,</w:t>
      </w:r>
      <w:r>
        <w:rPr>
          <w:color w:val="221F1F"/>
          <w:spacing w:val="-1"/>
        </w:rPr>
        <w:t xml:space="preserve"> </w:t>
      </w:r>
      <w:r>
        <w:rPr>
          <w:color w:val="221F1F"/>
        </w:rPr>
        <w:t>after a</w:t>
      </w:r>
      <w:r>
        <w:rPr>
          <w:color w:val="221F1F"/>
          <w:spacing w:val="-3"/>
        </w:rPr>
        <w:t xml:space="preserve"> </w:t>
      </w:r>
      <w:r>
        <w:rPr>
          <w:color w:val="221F1F"/>
        </w:rPr>
        <w:t>procurement contract has</w:t>
      </w:r>
      <w:r>
        <w:rPr>
          <w:color w:val="221F1F"/>
          <w:spacing w:val="-3"/>
        </w:rPr>
        <w:t xml:space="preserve"> </w:t>
      </w:r>
      <w:r>
        <w:rPr>
          <w:color w:val="221F1F"/>
        </w:rPr>
        <w:t>been</w:t>
      </w:r>
      <w:r>
        <w:rPr>
          <w:color w:val="221F1F"/>
          <w:spacing w:val="-3"/>
        </w:rPr>
        <w:t xml:space="preserve"> </w:t>
      </w:r>
      <w:r>
        <w:rPr>
          <w:color w:val="221F1F"/>
        </w:rPr>
        <w:t>entered</w:t>
      </w:r>
      <w:r>
        <w:rPr>
          <w:color w:val="221F1F"/>
          <w:spacing w:val="-3"/>
        </w:rPr>
        <w:t xml:space="preserve"> </w:t>
      </w:r>
      <w:r>
        <w:rPr>
          <w:color w:val="221F1F"/>
        </w:rPr>
        <w:t>in</w:t>
      </w:r>
      <w:r>
        <w:rPr>
          <w:color w:val="221F1F"/>
          <w:spacing w:val="-1"/>
        </w:rPr>
        <w:t xml:space="preserve"> </w:t>
      </w:r>
      <w:r>
        <w:rPr>
          <w:color w:val="221F1F"/>
        </w:rPr>
        <w:t>to,</w:t>
      </w:r>
      <w:r>
        <w:rPr>
          <w:color w:val="221F1F"/>
          <w:spacing w:val="-1"/>
        </w:rPr>
        <w:t xml:space="preserve"> </w:t>
      </w:r>
      <w:r>
        <w:rPr>
          <w:color w:val="221F1F"/>
        </w:rPr>
        <w:t>take</w:t>
      </w:r>
      <w:r>
        <w:rPr>
          <w:color w:val="221F1F"/>
          <w:spacing w:val="-1"/>
        </w:rPr>
        <w:t xml:space="preserve"> </w:t>
      </w:r>
      <w:r>
        <w:rPr>
          <w:color w:val="221F1F"/>
        </w:rPr>
        <w:t>part in</w:t>
      </w:r>
      <w:r>
        <w:rPr>
          <w:color w:val="221F1F"/>
          <w:spacing w:val="-4"/>
        </w:rPr>
        <w:t xml:space="preserve"> </w:t>
      </w:r>
      <w:r>
        <w:rPr>
          <w:color w:val="221F1F"/>
        </w:rPr>
        <w:t>any decision</w:t>
      </w:r>
      <w:r>
        <w:rPr>
          <w:color w:val="221F1F"/>
          <w:spacing w:val="-1"/>
        </w:rPr>
        <w:t xml:space="preserve"> </w:t>
      </w:r>
      <w:r>
        <w:rPr>
          <w:color w:val="221F1F"/>
        </w:rPr>
        <w:t>relating</w:t>
      </w:r>
      <w:r>
        <w:rPr>
          <w:color w:val="221F1F"/>
          <w:spacing w:val="-3"/>
        </w:rPr>
        <w:t xml:space="preserve"> </w:t>
      </w:r>
      <w:r>
        <w:rPr>
          <w:color w:val="221F1F"/>
        </w:rPr>
        <w:t>to the procurement or contract; and</w:t>
      </w:r>
    </w:p>
    <w:p w:rsidR="007F6DF9" w:rsidRDefault="00A43FBC">
      <w:pPr>
        <w:pStyle w:val="ListParagraph"/>
        <w:numPr>
          <w:ilvl w:val="3"/>
          <w:numId w:val="135"/>
        </w:numPr>
        <w:tabs>
          <w:tab w:val="left" w:pos="2149"/>
          <w:tab w:val="left" w:pos="2151"/>
        </w:tabs>
        <w:spacing w:before="74" w:line="230" w:lineRule="auto"/>
        <w:ind w:right="562" w:hanging="464"/>
        <w:jc w:val="both"/>
      </w:pP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8"/>
        </w:rPr>
        <w:t xml:space="preserve"> </w:t>
      </w:r>
      <w:r>
        <w:rPr>
          <w:color w:val="221F1F"/>
        </w:rPr>
        <w:t>a</w:t>
      </w:r>
      <w:r>
        <w:rPr>
          <w:color w:val="221F1F"/>
          <w:spacing w:val="-6"/>
        </w:rPr>
        <w:t xml:space="preserve"> </w:t>
      </w:r>
      <w:r>
        <w:rPr>
          <w:color w:val="221F1F"/>
        </w:rPr>
        <w:t>subcontract</w:t>
      </w:r>
      <w:r>
        <w:rPr>
          <w:color w:val="221F1F"/>
          <w:spacing w:val="-4"/>
        </w:rPr>
        <w:t xml:space="preserve"> </w:t>
      </w:r>
      <w:r>
        <w:rPr>
          <w:color w:val="221F1F"/>
        </w:rPr>
        <w:t>or</w:t>
      </w:r>
      <w:r>
        <w:rPr>
          <w:color w:val="221F1F"/>
          <w:spacing w:val="-8"/>
        </w:rPr>
        <w:t xml:space="preserve"> </w:t>
      </w:r>
      <w:r>
        <w:rPr>
          <w:color w:val="221F1F"/>
        </w:rPr>
        <w:t>for</w:t>
      </w:r>
      <w:r>
        <w:rPr>
          <w:color w:val="221F1F"/>
          <w:spacing w:val="-7"/>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to</w:t>
      </w:r>
      <w:r>
        <w:rPr>
          <w:color w:val="221F1F"/>
          <w:spacing w:val="-6"/>
        </w:rPr>
        <w:t xml:space="preserve"> </w:t>
      </w:r>
      <w:r>
        <w:rPr>
          <w:color w:val="221F1F"/>
        </w:rPr>
        <w:t>whom</w:t>
      </w:r>
      <w:r>
        <w:rPr>
          <w:color w:val="221F1F"/>
          <w:spacing w:val="-5"/>
        </w:rPr>
        <w:t xml:space="preserve"> </w:t>
      </w:r>
      <w:r>
        <w:rPr>
          <w:color w:val="221F1F"/>
        </w:rPr>
        <w:t>was</w:t>
      </w:r>
      <w:r>
        <w:rPr>
          <w:color w:val="221F1F"/>
          <w:spacing w:val="-8"/>
        </w:rPr>
        <w:t xml:space="preserve"> </w:t>
      </w:r>
      <w:r>
        <w:rPr>
          <w:color w:val="221F1F"/>
        </w:rPr>
        <w:t>awarded</w:t>
      </w:r>
      <w:r>
        <w:rPr>
          <w:color w:val="221F1F"/>
          <w:spacing w:val="-6"/>
        </w:rPr>
        <w:t xml:space="preserve"> </w:t>
      </w:r>
      <w:r>
        <w:rPr>
          <w:color w:val="221F1F"/>
        </w:rPr>
        <w:t>contract,</w:t>
      </w:r>
      <w:r>
        <w:rPr>
          <w:color w:val="221F1F"/>
          <w:spacing w:val="-5"/>
        </w:rPr>
        <w:t xml:space="preserve"> </w:t>
      </w:r>
      <w:r>
        <w:rPr>
          <w:color w:val="221F1F"/>
        </w:rPr>
        <w:t>or</w:t>
      </w:r>
      <w:r>
        <w:rPr>
          <w:color w:val="221F1F"/>
          <w:spacing w:val="-8"/>
        </w:rPr>
        <w:t xml:space="preserve"> </w:t>
      </w:r>
      <w:r>
        <w:rPr>
          <w:color w:val="221F1F"/>
        </w:rPr>
        <w:t>a</w:t>
      </w:r>
      <w:r>
        <w:rPr>
          <w:color w:val="221F1F"/>
          <w:spacing w:val="-6"/>
        </w:rPr>
        <w:t xml:space="preserve"> </w:t>
      </w:r>
      <w:r>
        <w:rPr>
          <w:color w:val="221F1F"/>
        </w:rPr>
        <w:t>member</w:t>
      </w:r>
      <w:r>
        <w:rPr>
          <w:color w:val="221F1F"/>
          <w:spacing w:val="-5"/>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group of tenderers to whom the contract was awarded, but the subcontractor appointed shall meet all the requirements of this Act.</w:t>
      </w:r>
    </w:p>
    <w:p w:rsidR="007F6DF9" w:rsidRDefault="00A43FBC">
      <w:pPr>
        <w:pStyle w:val="ListParagraph"/>
        <w:numPr>
          <w:ilvl w:val="2"/>
          <w:numId w:val="135"/>
        </w:numPr>
        <w:tabs>
          <w:tab w:val="left" w:pos="1685"/>
          <w:tab w:val="left" w:pos="1688"/>
        </w:tabs>
        <w:spacing w:before="246" w:line="230" w:lineRule="auto"/>
        <w:ind w:left="1688" w:right="569" w:hanging="452"/>
        <w:jc w:val="both"/>
      </w:pPr>
      <w:r>
        <w:rPr>
          <w:color w:val="221F1F"/>
        </w:rPr>
        <w:t>An employee, agent or member described in subsection (1) who refrains from doing anything prohibited under</w:t>
      </w:r>
      <w:r>
        <w:rPr>
          <w:color w:val="221F1F"/>
          <w:spacing w:val="-1"/>
        </w:rPr>
        <w:t xml:space="preserve"> </w:t>
      </w:r>
      <w:r>
        <w:rPr>
          <w:color w:val="221F1F"/>
        </w:rPr>
        <w:t>that subsection, but</w:t>
      </w:r>
      <w:r>
        <w:rPr>
          <w:color w:val="221F1F"/>
          <w:spacing w:val="-1"/>
        </w:rPr>
        <w:t xml:space="preserve"> </w:t>
      </w:r>
      <w:r>
        <w:rPr>
          <w:color w:val="221F1F"/>
        </w:rPr>
        <w:t>for that subsection, would have been within his or her</w:t>
      </w:r>
      <w:r>
        <w:rPr>
          <w:color w:val="221F1F"/>
          <w:spacing w:val="-1"/>
        </w:rPr>
        <w:t xml:space="preserve"> </w:t>
      </w:r>
      <w:r>
        <w:rPr>
          <w:color w:val="221F1F"/>
        </w:rPr>
        <w:t>duties shall disclose</w:t>
      </w:r>
      <w:r>
        <w:rPr>
          <w:color w:val="221F1F"/>
          <w:spacing w:val="-2"/>
        </w:rPr>
        <w:t xml:space="preserve"> </w:t>
      </w:r>
      <w:r>
        <w:rPr>
          <w:color w:val="221F1F"/>
        </w:rPr>
        <w:t xml:space="preserve">the </w:t>
      </w:r>
      <w:proofErr w:type="spellStart"/>
      <w:r>
        <w:rPr>
          <w:color w:val="221F1F"/>
          <w:spacing w:val="-2"/>
        </w:rPr>
        <w:t>conflictofinteresttotheprocuringentity</w:t>
      </w:r>
      <w:proofErr w:type="spellEnd"/>
      <w:r>
        <w:rPr>
          <w:color w:val="221F1F"/>
          <w:spacing w:val="-2"/>
        </w:rPr>
        <w:t>;</w:t>
      </w:r>
    </w:p>
    <w:p w:rsidR="007F6DF9" w:rsidRDefault="00A43FBC">
      <w:pPr>
        <w:pStyle w:val="ListParagraph"/>
        <w:numPr>
          <w:ilvl w:val="2"/>
          <w:numId w:val="135"/>
        </w:numPr>
        <w:tabs>
          <w:tab w:val="left" w:pos="1685"/>
          <w:tab w:val="left" w:pos="1688"/>
        </w:tabs>
        <w:spacing w:before="243" w:line="230" w:lineRule="auto"/>
        <w:ind w:left="1688" w:right="564" w:hanging="452"/>
        <w:jc w:val="both"/>
      </w:pPr>
      <w:r>
        <w:rPr>
          <w:color w:val="221F1F"/>
        </w:rPr>
        <w:t>If a person contravenes subsection (1) with</w:t>
      </w:r>
      <w:r>
        <w:rPr>
          <w:color w:val="221F1F"/>
          <w:spacing w:val="-1"/>
        </w:rPr>
        <w:t xml:space="preserve"> </w:t>
      </w:r>
      <w:r>
        <w:rPr>
          <w:color w:val="221F1F"/>
        </w:rPr>
        <w:t>respect to</w:t>
      </w:r>
      <w:r>
        <w:rPr>
          <w:color w:val="221F1F"/>
          <w:spacing w:val="-1"/>
        </w:rPr>
        <w:t xml:space="preserve"> </w:t>
      </w:r>
      <w:r>
        <w:rPr>
          <w:color w:val="221F1F"/>
        </w:rPr>
        <w:t>a conflict of interest described in subsection (5)(a) and the contract is awarded to the person or his relative or to another person in whom one of them had</w:t>
      </w:r>
      <w:r>
        <w:rPr>
          <w:color w:val="221F1F"/>
          <w:spacing w:val="-1"/>
        </w:rPr>
        <w:t xml:space="preserve"> </w:t>
      </w:r>
      <w:r>
        <w:rPr>
          <w:color w:val="221F1F"/>
        </w:rPr>
        <w:t>a direct or indirect pecuniary interest, the contract shall be terminated and all costs incurred by the public entity shall be made good by the awarding officer. Etc.</w:t>
      </w:r>
    </w:p>
    <w:p w:rsidR="007F6DF9" w:rsidRDefault="00A43FBC">
      <w:pPr>
        <w:pStyle w:val="ListParagraph"/>
        <w:numPr>
          <w:ilvl w:val="0"/>
          <w:numId w:val="135"/>
        </w:numPr>
        <w:tabs>
          <w:tab w:val="left" w:pos="1236"/>
        </w:tabs>
        <w:spacing w:before="238"/>
        <w:ind w:left="1236" w:hanging="525"/>
        <w:rPr>
          <w:color w:val="221F1F"/>
        </w:rPr>
      </w:pPr>
      <w:r>
        <w:rPr>
          <w:color w:val="221F1F"/>
        </w:rPr>
        <w:t>In</w:t>
      </w:r>
      <w:r>
        <w:rPr>
          <w:color w:val="221F1F"/>
          <w:spacing w:val="-6"/>
        </w:rPr>
        <w:t xml:space="preserve"> </w:t>
      </w:r>
      <w:r>
        <w:rPr>
          <w:color w:val="221F1F"/>
        </w:rPr>
        <w:t>compliance</w:t>
      </w:r>
      <w:r>
        <w:rPr>
          <w:color w:val="221F1F"/>
          <w:spacing w:val="-3"/>
        </w:rPr>
        <w:t xml:space="preserve"> </w:t>
      </w:r>
      <w:r>
        <w:rPr>
          <w:color w:val="221F1F"/>
        </w:rPr>
        <w:t>with</w:t>
      </w:r>
      <w:r>
        <w:rPr>
          <w:color w:val="221F1F"/>
          <w:spacing w:val="-3"/>
        </w:rPr>
        <w:t xml:space="preserve"> </w:t>
      </w:r>
      <w:r>
        <w:rPr>
          <w:color w:val="221F1F"/>
        </w:rPr>
        <w:t>Kenya's</w:t>
      </w:r>
      <w:r>
        <w:rPr>
          <w:color w:val="221F1F"/>
          <w:spacing w:val="-6"/>
        </w:rPr>
        <w:t xml:space="preserve"> </w:t>
      </w:r>
      <w:r>
        <w:rPr>
          <w:color w:val="221F1F"/>
        </w:rPr>
        <w:t>laws,</w:t>
      </w:r>
      <w:r>
        <w:rPr>
          <w:color w:val="221F1F"/>
          <w:spacing w:val="-6"/>
        </w:rPr>
        <w:t xml:space="preserve"> </w:t>
      </w:r>
      <w:r>
        <w:rPr>
          <w:color w:val="221F1F"/>
        </w:rPr>
        <w:t>regulations</w:t>
      </w:r>
      <w:r>
        <w:rPr>
          <w:color w:val="221F1F"/>
          <w:spacing w:val="-2"/>
        </w:rPr>
        <w:t xml:space="preserve"> </w:t>
      </w:r>
      <w:r>
        <w:rPr>
          <w:color w:val="221F1F"/>
        </w:rPr>
        <w:t>and</w:t>
      </w:r>
      <w:r>
        <w:rPr>
          <w:color w:val="221F1F"/>
          <w:spacing w:val="-4"/>
        </w:rPr>
        <w:t xml:space="preserve"> </w:t>
      </w:r>
      <w:r>
        <w:rPr>
          <w:color w:val="221F1F"/>
        </w:rPr>
        <w:t>policies</w:t>
      </w:r>
      <w:r>
        <w:rPr>
          <w:color w:val="221F1F"/>
          <w:spacing w:val="-4"/>
        </w:rPr>
        <w:t xml:space="preserve"> </w:t>
      </w:r>
      <w:r>
        <w:rPr>
          <w:color w:val="221F1F"/>
        </w:rPr>
        <w:t>mentioned</w:t>
      </w:r>
      <w:r>
        <w:rPr>
          <w:color w:val="221F1F"/>
          <w:spacing w:val="-6"/>
        </w:rPr>
        <w:t xml:space="preserve"> </w:t>
      </w:r>
      <w:r>
        <w:rPr>
          <w:color w:val="221F1F"/>
        </w:rPr>
        <w:t>above,</w:t>
      </w:r>
      <w:r>
        <w:rPr>
          <w:color w:val="221F1F"/>
          <w:spacing w:val="-3"/>
        </w:rPr>
        <w:t xml:space="preserve"> </w:t>
      </w:r>
      <w:r>
        <w:rPr>
          <w:color w:val="221F1F"/>
        </w:rPr>
        <w:t>the</w:t>
      </w:r>
      <w:r>
        <w:rPr>
          <w:color w:val="221F1F"/>
          <w:spacing w:val="-4"/>
        </w:rPr>
        <w:t xml:space="preserve"> </w:t>
      </w:r>
      <w:r>
        <w:rPr>
          <w:color w:val="221F1F"/>
        </w:rPr>
        <w:t>Procuring</w:t>
      </w:r>
      <w:r>
        <w:rPr>
          <w:color w:val="221F1F"/>
          <w:spacing w:val="-2"/>
        </w:rPr>
        <w:t xml:space="preserve"> Entity:</w:t>
      </w:r>
    </w:p>
    <w:p w:rsidR="007F6DF9" w:rsidRDefault="007F6DF9">
      <w:pPr>
        <w:pStyle w:val="ListParagraph"/>
        <w:sectPr w:rsidR="007F6DF9">
          <w:pgSz w:w="11920" w:h="16850"/>
          <w:pgMar w:top="360" w:right="283" w:bottom="620" w:left="141" w:header="0" w:footer="437" w:gutter="0"/>
          <w:cols w:space="720"/>
        </w:sectPr>
      </w:pPr>
    </w:p>
    <w:p w:rsidR="007F6DF9" w:rsidRDefault="007F6DF9">
      <w:pPr>
        <w:pStyle w:val="BodyText"/>
        <w:spacing w:before="209"/>
      </w:pPr>
    </w:p>
    <w:p w:rsidR="007F6DF9" w:rsidRDefault="00A43FBC">
      <w:pPr>
        <w:pStyle w:val="ListParagraph"/>
        <w:numPr>
          <w:ilvl w:val="0"/>
          <w:numId w:val="134"/>
        </w:numPr>
        <w:tabs>
          <w:tab w:val="left" w:pos="1647"/>
        </w:tabs>
      </w:pPr>
      <w:r>
        <w:rPr>
          <w:color w:val="221F1F"/>
        </w:rPr>
        <w:t>Defines</w:t>
      </w:r>
      <w:r>
        <w:rPr>
          <w:color w:val="221F1F"/>
          <w:spacing w:val="-3"/>
        </w:rPr>
        <w:t xml:space="preserve"> </w:t>
      </w:r>
      <w:r>
        <w:rPr>
          <w:color w:val="221F1F"/>
        </w:rPr>
        <w:t>broadly,</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purposes</w:t>
      </w:r>
      <w:r>
        <w:rPr>
          <w:color w:val="221F1F"/>
          <w:spacing w:val="-5"/>
        </w:rPr>
        <w:t xml:space="preserve"> </w:t>
      </w:r>
      <w:r>
        <w:rPr>
          <w:color w:val="221F1F"/>
        </w:rPr>
        <w:t>of</w:t>
      </w:r>
      <w:r>
        <w:rPr>
          <w:color w:val="221F1F"/>
          <w:spacing w:val="-6"/>
        </w:rPr>
        <w:t xml:space="preserve"> </w:t>
      </w:r>
      <w:r>
        <w:rPr>
          <w:color w:val="221F1F"/>
        </w:rPr>
        <w:t>the</w:t>
      </w:r>
      <w:r>
        <w:rPr>
          <w:color w:val="221F1F"/>
          <w:spacing w:val="-3"/>
        </w:rPr>
        <w:t xml:space="preserve"> </w:t>
      </w:r>
      <w:r>
        <w:rPr>
          <w:color w:val="221F1F"/>
        </w:rPr>
        <w:t>above</w:t>
      </w:r>
      <w:r>
        <w:rPr>
          <w:color w:val="221F1F"/>
          <w:spacing w:val="-6"/>
        </w:rPr>
        <w:t xml:space="preserve"> </w:t>
      </w:r>
      <w:r>
        <w:rPr>
          <w:color w:val="221F1F"/>
        </w:rPr>
        <w:t>provisions,</w:t>
      </w:r>
      <w:r>
        <w:rPr>
          <w:color w:val="221F1F"/>
          <w:spacing w:val="-2"/>
        </w:rPr>
        <w:t xml:space="preserve"> </w:t>
      </w:r>
      <w:r>
        <w:rPr>
          <w:color w:val="221F1F"/>
        </w:rPr>
        <w:t>the</w:t>
      </w:r>
      <w:r>
        <w:rPr>
          <w:color w:val="221F1F"/>
          <w:spacing w:val="-4"/>
        </w:rPr>
        <w:t xml:space="preserve"> </w:t>
      </w:r>
      <w:r>
        <w:rPr>
          <w:color w:val="221F1F"/>
        </w:rPr>
        <w:t>terms</w:t>
      </w:r>
      <w:r>
        <w:rPr>
          <w:color w:val="221F1F"/>
          <w:spacing w:val="-4"/>
        </w:rPr>
        <w:t xml:space="preserve"> </w:t>
      </w:r>
      <w:proofErr w:type="spellStart"/>
      <w:r>
        <w:rPr>
          <w:color w:val="221F1F"/>
        </w:rPr>
        <w:t>setf</w:t>
      </w:r>
      <w:proofErr w:type="spellEnd"/>
      <w:r>
        <w:rPr>
          <w:color w:val="221F1F"/>
          <w:spacing w:val="-2"/>
        </w:rPr>
        <w:t xml:space="preserve"> </w:t>
      </w:r>
      <w:proofErr w:type="spellStart"/>
      <w:r>
        <w:rPr>
          <w:color w:val="221F1F"/>
        </w:rPr>
        <w:t>orth</w:t>
      </w:r>
      <w:proofErr w:type="spellEnd"/>
      <w:r>
        <w:rPr>
          <w:color w:val="221F1F"/>
          <w:spacing w:val="-4"/>
        </w:rPr>
        <w:t xml:space="preserve"> </w:t>
      </w:r>
      <w:r>
        <w:rPr>
          <w:color w:val="221F1F"/>
        </w:rPr>
        <w:t>below</w:t>
      </w:r>
      <w:r>
        <w:rPr>
          <w:color w:val="221F1F"/>
          <w:spacing w:val="-3"/>
        </w:rPr>
        <w:t xml:space="preserve"> </w:t>
      </w:r>
      <w:r>
        <w:rPr>
          <w:color w:val="221F1F"/>
        </w:rPr>
        <w:t>as</w:t>
      </w:r>
      <w:r>
        <w:rPr>
          <w:color w:val="221F1F"/>
          <w:spacing w:val="-4"/>
        </w:rPr>
        <w:t xml:space="preserve"> </w:t>
      </w:r>
      <w:r>
        <w:rPr>
          <w:color w:val="221F1F"/>
          <w:spacing w:val="-2"/>
        </w:rPr>
        <w:t>follows:</w:t>
      </w:r>
    </w:p>
    <w:p w:rsidR="007F6DF9" w:rsidRDefault="00A43FBC">
      <w:pPr>
        <w:pStyle w:val="ListParagraph"/>
        <w:numPr>
          <w:ilvl w:val="1"/>
          <w:numId w:val="134"/>
        </w:numPr>
        <w:tabs>
          <w:tab w:val="left" w:pos="2137"/>
        </w:tabs>
        <w:spacing w:before="241" w:line="232" w:lineRule="auto"/>
        <w:ind w:right="670"/>
      </w:pPr>
      <w:r>
        <w:rPr>
          <w:color w:val="221F1F"/>
        </w:rPr>
        <w:t>“corrupt</w:t>
      </w:r>
      <w:r>
        <w:rPr>
          <w:color w:val="221F1F"/>
          <w:spacing w:val="-1"/>
        </w:rPr>
        <w:t xml:space="preserve"> </w:t>
      </w:r>
      <w:r>
        <w:rPr>
          <w:color w:val="221F1F"/>
        </w:rPr>
        <w:t>practice”</w:t>
      </w:r>
      <w:r>
        <w:rPr>
          <w:color w:val="221F1F"/>
          <w:spacing w:val="-3"/>
        </w:rPr>
        <w:t xml:space="preserve"> </w:t>
      </w:r>
      <w:r>
        <w:rPr>
          <w:color w:val="221F1F"/>
        </w:rPr>
        <w:t>is</w:t>
      </w:r>
      <w:r>
        <w:rPr>
          <w:color w:val="221F1F"/>
          <w:spacing w:val="-2"/>
        </w:rPr>
        <w:t xml:space="preserve"> </w:t>
      </w:r>
      <w:r>
        <w:rPr>
          <w:color w:val="221F1F"/>
        </w:rPr>
        <w:t>the</w:t>
      </w:r>
      <w:r>
        <w:rPr>
          <w:color w:val="221F1F"/>
          <w:spacing w:val="-2"/>
        </w:rPr>
        <w:t xml:space="preserve"> </w:t>
      </w:r>
      <w:r>
        <w:rPr>
          <w:color w:val="221F1F"/>
        </w:rPr>
        <w:t>offering,</w:t>
      </w:r>
      <w:r>
        <w:rPr>
          <w:color w:val="221F1F"/>
          <w:spacing w:val="-2"/>
        </w:rPr>
        <w:t xml:space="preserve"> </w:t>
      </w:r>
      <w:r>
        <w:rPr>
          <w:color w:val="221F1F"/>
        </w:rPr>
        <w:t>giving,</w:t>
      </w:r>
      <w:r>
        <w:rPr>
          <w:color w:val="221F1F"/>
          <w:spacing w:val="-2"/>
        </w:rPr>
        <w:t xml:space="preserve"> </w:t>
      </w:r>
      <w:r>
        <w:rPr>
          <w:color w:val="221F1F"/>
        </w:rPr>
        <w:t>receiving,</w:t>
      </w:r>
      <w:r>
        <w:rPr>
          <w:color w:val="221F1F"/>
          <w:spacing w:val="-1"/>
        </w:rPr>
        <w:t xml:space="preserve"> </w:t>
      </w:r>
      <w:r>
        <w:rPr>
          <w:color w:val="221F1F"/>
        </w:rPr>
        <w:t>or</w:t>
      </w:r>
      <w:r>
        <w:rPr>
          <w:color w:val="221F1F"/>
          <w:spacing w:val="-6"/>
        </w:rPr>
        <w:t xml:space="preserve"> </w:t>
      </w:r>
      <w:r>
        <w:rPr>
          <w:color w:val="221F1F"/>
        </w:rPr>
        <w:t>soliciting,</w:t>
      </w:r>
      <w:r>
        <w:rPr>
          <w:color w:val="221F1F"/>
          <w:spacing w:val="-2"/>
        </w:rPr>
        <w:t xml:space="preserve"> </w:t>
      </w:r>
      <w:r>
        <w:rPr>
          <w:color w:val="221F1F"/>
        </w:rPr>
        <w:t>directly</w:t>
      </w:r>
      <w:r>
        <w:rPr>
          <w:color w:val="221F1F"/>
          <w:spacing w:val="-2"/>
        </w:rPr>
        <w:t xml:space="preserve"> </w:t>
      </w:r>
      <w:r>
        <w:rPr>
          <w:color w:val="221F1F"/>
        </w:rPr>
        <w:t>or</w:t>
      </w:r>
      <w:r>
        <w:rPr>
          <w:color w:val="221F1F"/>
          <w:spacing w:val="-1"/>
        </w:rPr>
        <w:t xml:space="preserve"> </w:t>
      </w:r>
      <w:r>
        <w:rPr>
          <w:color w:val="221F1F"/>
        </w:rPr>
        <w:t>indirectly,</w:t>
      </w:r>
      <w:r>
        <w:rPr>
          <w:color w:val="221F1F"/>
          <w:spacing w:val="-2"/>
        </w:rPr>
        <w:t xml:space="preserve"> </w:t>
      </w:r>
      <w:r>
        <w:rPr>
          <w:color w:val="221F1F"/>
        </w:rPr>
        <w:t>of</w:t>
      </w:r>
      <w:r>
        <w:rPr>
          <w:color w:val="221F1F"/>
          <w:spacing w:val="-4"/>
        </w:rPr>
        <w:t xml:space="preserve"> </w:t>
      </w:r>
      <w:r>
        <w:rPr>
          <w:color w:val="221F1F"/>
        </w:rPr>
        <w:t>anything of value to influence improperly the actions of another party;</w:t>
      </w:r>
    </w:p>
    <w:p w:rsidR="007F6DF9" w:rsidRDefault="00A43FBC">
      <w:pPr>
        <w:pStyle w:val="ListParagraph"/>
        <w:numPr>
          <w:ilvl w:val="1"/>
          <w:numId w:val="134"/>
        </w:numPr>
        <w:tabs>
          <w:tab w:val="left" w:pos="2137"/>
        </w:tabs>
        <w:spacing w:before="1" w:line="230" w:lineRule="auto"/>
        <w:ind w:right="812"/>
      </w:pPr>
      <w:r>
        <w:rPr>
          <w:color w:val="221F1F"/>
        </w:rPr>
        <w:t>“fraudulent practice” is any act or omission, including is representation, that knowingly or recklessly</w:t>
      </w:r>
      <w:r>
        <w:rPr>
          <w:color w:val="221F1F"/>
          <w:spacing w:val="-6"/>
        </w:rPr>
        <w:t xml:space="preserve"> </w:t>
      </w:r>
      <w:r>
        <w:rPr>
          <w:color w:val="221F1F"/>
        </w:rPr>
        <w:t>misleads,</w:t>
      </w:r>
      <w:r>
        <w:rPr>
          <w:color w:val="221F1F"/>
          <w:spacing w:val="-1"/>
        </w:rPr>
        <w:t xml:space="preserve"> </w:t>
      </w:r>
      <w:r>
        <w:rPr>
          <w:color w:val="221F1F"/>
        </w:rPr>
        <w:t>or</w:t>
      </w:r>
      <w:r>
        <w:rPr>
          <w:color w:val="221F1F"/>
          <w:spacing w:val="-2"/>
        </w:rPr>
        <w:t xml:space="preserve"> </w:t>
      </w:r>
      <w:r>
        <w:rPr>
          <w:color w:val="221F1F"/>
        </w:rPr>
        <w:t>attempts</w:t>
      </w:r>
      <w:r>
        <w:rPr>
          <w:color w:val="221F1F"/>
          <w:spacing w:val="-2"/>
        </w:rPr>
        <w:t xml:space="preserve"> </w:t>
      </w:r>
      <w:r>
        <w:rPr>
          <w:color w:val="221F1F"/>
        </w:rPr>
        <w:t>to</w:t>
      </w:r>
      <w:r>
        <w:rPr>
          <w:color w:val="221F1F"/>
          <w:spacing w:val="-6"/>
        </w:rPr>
        <w:t xml:space="preserve"> </w:t>
      </w:r>
      <w:r>
        <w:rPr>
          <w:color w:val="221F1F"/>
        </w:rPr>
        <w:t>mislead,</w:t>
      </w:r>
      <w:r>
        <w:rPr>
          <w:color w:val="221F1F"/>
          <w:spacing w:val="-3"/>
        </w:rPr>
        <w:t xml:space="preserve"> </w:t>
      </w:r>
      <w:r>
        <w:rPr>
          <w:color w:val="221F1F"/>
        </w:rPr>
        <w:t>a</w:t>
      </w:r>
      <w:r>
        <w:rPr>
          <w:color w:val="221F1F"/>
          <w:spacing w:val="-2"/>
        </w:rPr>
        <w:t xml:space="preserve"> </w:t>
      </w:r>
      <w:r>
        <w:rPr>
          <w:color w:val="221F1F"/>
        </w:rPr>
        <w:t>party</w:t>
      </w:r>
      <w:r>
        <w:rPr>
          <w:color w:val="221F1F"/>
          <w:spacing w:val="-3"/>
        </w:rPr>
        <w:t xml:space="preserve"> </w:t>
      </w:r>
      <w:r>
        <w:rPr>
          <w:color w:val="221F1F"/>
        </w:rPr>
        <w:t>to</w:t>
      </w:r>
      <w:r>
        <w:rPr>
          <w:color w:val="221F1F"/>
          <w:spacing w:val="-6"/>
        </w:rPr>
        <w:t xml:space="preserve"> </w:t>
      </w:r>
      <w:r>
        <w:rPr>
          <w:color w:val="221F1F"/>
        </w:rPr>
        <w:t>obtain</w:t>
      </w:r>
      <w:r>
        <w:rPr>
          <w:color w:val="221F1F"/>
          <w:spacing w:val="-3"/>
        </w:rPr>
        <w:t xml:space="preserve"> </w:t>
      </w:r>
      <w:r>
        <w:rPr>
          <w:color w:val="221F1F"/>
        </w:rPr>
        <w:t>financial</w:t>
      </w:r>
      <w:r>
        <w:rPr>
          <w:color w:val="221F1F"/>
          <w:spacing w:val="-4"/>
        </w:rPr>
        <w:t xml:space="preserve"> </w:t>
      </w:r>
      <w:r>
        <w:rPr>
          <w:color w:val="221F1F"/>
        </w:rPr>
        <w:t>or</w:t>
      </w:r>
      <w:r>
        <w:rPr>
          <w:color w:val="221F1F"/>
          <w:spacing w:val="-2"/>
        </w:rPr>
        <w:t xml:space="preserve"> </w:t>
      </w:r>
      <w:r>
        <w:rPr>
          <w:color w:val="221F1F"/>
        </w:rPr>
        <w:t>other</w:t>
      </w:r>
      <w:r>
        <w:rPr>
          <w:color w:val="221F1F"/>
          <w:spacing w:val="-2"/>
        </w:rPr>
        <w:t xml:space="preserve"> </w:t>
      </w:r>
      <w:r>
        <w:rPr>
          <w:color w:val="221F1F"/>
        </w:rPr>
        <w:t>benefit</w:t>
      </w:r>
      <w:r>
        <w:rPr>
          <w:color w:val="221F1F"/>
          <w:spacing w:val="-2"/>
        </w:rPr>
        <w:t xml:space="preserve"> </w:t>
      </w:r>
      <w:r>
        <w:rPr>
          <w:color w:val="221F1F"/>
        </w:rPr>
        <w:t>or</w:t>
      </w:r>
      <w:r>
        <w:rPr>
          <w:color w:val="221F1F"/>
          <w:spacing w:val="-2"/>
        </w:rPr>
        <w:t xml:space="preserve"> </w:t>
      </w:r>
      <w:r>
        <w:rPr>
          <w:color w:val="221F1F"/>
        </w:rPr>
        <w:t>to</w:t>
      </w:r>
      <w:r>
        <w:rPr>
          <w:color w:val="221F1F"/>
          <w:spacing w:val="-3"/>
        </w:rPr>
        <w:t xml:space="preserve"> </w:t>
      </w:r>
      <w:r>
        <w:rPr>
          <w:color w:val="221F1F"/>
        </w:rPr>
        <w:t>avoid an obligation;</w:t>
      </w:r>
    </w:p>
    <w:p w:rsidR="007F6DF9" w:rsidRDefault="00A43FBC">
      <w:pPr>
        <w:pStyle w:val="ListParagraph"/>
        <w:numPr>
          <w:ilvl w:val="1"/>
          <w:numId w:val="134"/>
        </w:numPr>
        <w:tabs>
          <w:tab w:val="left" w:pos="2137"/>
        </w:tabs>
        <w:spacing w:line="230" w:lineRule="auto"/>
        <w:ind w:right="566"/>
      </w:pPr>
      <w:r>
        <w:rPr>
          <w:color w:val="221F1F"/>
        </w:rPr>
        <w:t>“collusive</w:t>
      </w:r>
      <w:r>
        <w:rPr>
          <w:color w:val="221F1F"/>
          <w:spacing w:val="-3"/>
        </w:rPr>
        <w:t xml:space="preserve"> </w:t>
      </w:r>
      <w:proofErr w:type="spellStart"/>
      <w:r>
        <w:rPr>
          <w:color w:val="221F1F"/>
        </w:rPr>
        <w:t>practice”is</w:t>
      </w:r>
      <w:proofErr w:type="spellEnd"/>
      <w:r>
        <w:rPr>
          <w:color w:val="221F1F"/>
        </w:rPr>
        <w:t xml:space="preserve"> an</w:t>
      </w:r>
      <w:r>
        <w:rPr>
          <w:color w:val="221F1F"/>
          <w:spacing w:val="-1"/>
        </w:rPr>
        <w:t xml:space="preserve"> </w:t>
      </w:r>
      <w:r>
        <w:rPr>
          <w:color w:val="221F1F"/>
        </w:rPr>
        <w:t>arrangement between</w:t>
      </w:r>
      <w:r>
        <w:rPr>
          <w:color w:val="221F1F"/>
          <w:spacing w:val="-3"/>
        </w:rPr>
        <w:t xml:space="preserve"> </w:t>
      </w:r>
      <w:r>
        <w:rPr>
          <w:color w:val="221F1F"/>
        </w:rPr>
        <w:t>two</w:t>
      </w:r>
      <w:r>
        <w:rPr>
          <w:color w:val="221F1F"/>
          <w:spacing w:val="-1"/>
        </w:rPr>
        <w:t xml:space="preserve"> </w:t>
      </w:r>
      <w:r>
        <w:rPr>
          <w:color w:val="221F1F"/>
        </w:rPr>
        <w:t>or</w:t>
      </w:r>
      <w:r>
        <w:rPr>
          <w:color w:val="221F1F"/>
          <w:spacing w:val="-3"/>
        </w:rPr>
        <w:t xml:space="preserve"> </w:t>
      </w:r>
      <w:r>
        <w:rPr>
          <w:color w:val="221F1F"/>
        </w:rPr>
        <w:t>more</w:t>
      </w:r>
      <w:r>
        <w:rPr>
          <w:color w:val="221F1F"/>
          <w:spacing w:val="-1"/>
        </w:rPr>
        <w:t xml:space="preserve"> </w:t>
      </w:r>
      <w:r>
        <w:rPr>
          <w:color w:val="221F1F"/>
        </w:rPr>
        <w:t>parties</w:t>
      </w:r>
      <w:r>
        <w:rPr>
          <w:color w:val="221F1F"/>
          <w:spacing w:val="-2"/>
        </w:rPr>
        <w:t xml:space="preserve"> </w:t>
      </w:r>
      <w:r>
        <w:rPr>
          <w:color w:val="221F1F"/>
        </w:rPr>
        <w:t>designed</w:t>
      </w:r>
      <w:r>
        <w:rPr>
          <w:color w:val="221F1F"/>
          <w:spacing w:val="-1"/>
        </w:rPr>
        <w:t xml:space="preserve"> </w:t>
      </w:r>
      <w:r>
        <w:rPr>
          <w:color w:val="221F1F"/>
        </w:rPr>
        <w:t>to</w:t>
      </w:r>
      <w:r>
        <w:rPr>
          <w:color w:val="221F1F"/>
          <w:spacing w:val="-4"/>
        </w:rPr>
        <w:t xml:space="preserve"> </w:t>
      </w:r>
      <w:r>
        <w:rPr>
          <w:color w:val="221F1F"/>
        </w:rPr>
        <w:t>achieve</w:t>
      </w:r>
      <w:r>
        <w:rPr>
          <w:color w:val="221F1F"/>
          <w:spacing w:val="-3"/>
        </w:rPr>
        <w:t xml:space="preserve"> </w:t>
      </w:r>
      <w:r>
        <w:rPr>
          <w:color w:val="221F1F"/>
        </w:rPr>
        <w:t>an</w:t>
      </w:r>
      <w:r>
        <w:rPr>
          <w:color w:val="221F1F"/>
          <w:spacing w:val="-4"/>
        </w:rPr>
        <w:t xml:space="preserve"> </w:t>
      </w:r>
      <w:r>
        <w:rPr>
          <w:color w:val="221F1F"/>
        </w:rPr>
        <w:t>improper purpose, including to influence improperly the actions of another party; “coercive practice” is impairing or harming, or threatening to impair or harm, directly or indirectly, any party or the property of the party to influence improperly the actions of a party;</w:t>
      </w:r>
    </w:p>
    <w:p w:rsidR="007F6DF9" w:rsidRDefault="00A43FBC">
      <w:pPr>
        <w:pStyle w:val="ListParagraph"/>
        <w:numPr>
          <w:ilvl w:val="1"/>
          <w:numId w:val="134"/>
        </w:numPr>
        <w:tabs>
          <w:tab w:val="left" w:pos="2136"/>
        </w:tabs>
        <w:spacing w:line="245" w:lineRule="exact"/>
        <w:ind w:left="2136" w:hanging="479"/>
      </w:pPr>
      <w:r>
        <w:rPr>
          <w:color w:val="221F1F"/>
        </w:rPr>
        <w:t>“obstructive</w:t>
      </w:r>
      <w:r>
        <w:rPr>
          <w:color w:val="221F1F"/>
          <w:spacing w:val="-8"/>
        </w:rPr>
        <w:t xml:space="preserve"> </w:t>
      </w:r>
      <w:r>
        <w:rPr>
          <w:color w:val="221F1F"/>
        </w:rPr>
        <w:t>practice”</w:t>
      </w:r>
      <w:r>
        <w:rPr>
          <w:color w:val="221F1F"/>
          <w:spacing w:val="-8"/>
        </w:rPr>
        <w:t xml:space="preserve"> </w:t>
      </w:r>
      <w:r>
        <w:rPr>
          <w:color w:val="221F1F"/>
          <w:spacing w:val="-5"/>
        </w:rPr>
        <w:t>is:</w:t>
      </w:r>
    </w:p>
    <w:p w:rsidR="007F6DF9" w:rsidRDefault="00A43FBC">
      <w:pPr>
        <w:pStyle w:val="ListParagraph"/>
        <w:numPr>
          <w:ilvl w:val="2"/>
          <w:numId w:val="134"/>
        </w:numPr>
        <w:tabs>
          <w:tab w:val="left" w:pos="2444"/>
          <w:tab w:val="left" w:pos="2453"/>
        </w:tabs>
        <w:spacing w:before="241" w:line="230" w:lineRule="auto"/>
        <w:ind w:right="558" w:hanging="332"/>
        <w:jc w:val="both"/>
      </w:pPr>
      <w:r>
        <w:rPr>
          <w:color w:val="221F1F"/>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rsidR="007F6DF9" w:rsidRDefault="00A43FBC">
      <w:pPr>
        <w:pStyle w:val="ListParagraph"/>
        <w:numPr>
          <w:ilvl w:val="2"/>
          <w:numId w:val="134"/>
        </w:numPr>
        <w:tabs>
          <w:tab w:val="left" w:pos="2444"/>
          <w:tab w:val="left" w:pos="2453"/>
        </w:tabs>
        <w:spacing w:before="247" w:line="230" w:lineRule="auto"/>
        <w:ind w:right="568" w:hanging="332"/>
        <w:jc w:val="both"/>
      </w:pPr>
      <w:r>
        <w:rPr>
          <w:color w:val="221F1F"/>
        </w:rPr>
        <w:t>acts intended to materially impede the exercise of the PPRA's or the appointed authority's inspection and audit rights provided for under paragraph 2.3 e. below.</w:t>
      </w:r>
    </w:p>
    <w:p w:rsidR="007F6DF9" w:rsidRDefault="00A43FBC">
      <w:pPr>
        <w:pStyle w:val="ListParagraph"/>
        <w:numPr>
          <w:ilvl w:val="0"/>
          <w:numId w:val="134"/>
        </w:numPr>
        <w:tabs>
          <w:tab w:val="left" w:pos="1643"/>
          <w:tab w:val="left" w:pos="1647"/>
        </w:tabs>
        <w:spacing w:before="244" w:line="230" w:lineRule="auto"/>
        <w:ind w:right="561"/>
        <w:jc w:val="both"/>
      </w:pPr>
      <w:r>
        <w:rPr>
          <w:color w:val="221F1F"/>
        </w:rPr>
        <w:t>Defines more specifically, in accordance with the above procurement Act provisions set forth for fraudulent and collusive practices as follows:</w:t>
      </w:r>
    </w:p>
    <w:p w:rsidR="007F6DF9" w:rsidRDefault="00A43FBC">
      <w:pPr>
        <w:pStyle w:val="BodyText"/>
        <w:spacing w:before="244" w:line="230" w:lineRule="auto"/>
        <w:ind w:left="1647" w:right="560" w:hanging="5"/>
        <w:jc w:val="both"/>
      </w:pPr>
      <w:r>
        <w:rPr>
          <w:color w:val="221F1F"/>
        </w:rPr>
        <w:t xml:space="preserve">"fraudulent practice" includes a misrepresentation of fact in order to influence a procurement or disposal </w:t>
      </w:r>
      <w:proofErr w:type="spellStart"/>
      <w:r>
        <w:rPr>
          <w:color w:val="221F1F"/>
        </w:rPr>
        <w:t>processorthe</w:t>
      </w:r>
      <w:proofErr w:type="spellEnd"/>
      <w:r>
        <w:rPr>
          <w:color w:val="221F1F"/>
          <w:spacing w:val="-10"/>
        </w:rPr>
        <w:t xml:space="preserve"> </w:t>
      </w:r>
      <w:r>
        <w:rPr>
          <w:color w:val="221F1F"/>
        </w:rPr>
        <w:t>exercise</w:t>
      </w:r>
      <w:r>
        <w:rPr>
          <w:color w:val="221F1F"/>
          <w:spacing w:val="-9"/>
        </w:rPr>
        <w:t xml:space="preserve"> </w:t>
      </w:r>
      <w:r>
        <w:rPr>
          <w:color w:val="221F1F"/>
        </w:rPr>
        <w:t>of</w:t>
      </w:r>
      <w:r>
        <w:rPr>
          <w:color w:val="221F1F"/>
          <w:spacing w:val="-9"/>
        </w:rPr>
        <w:t xml:space="preserve"> </w:t>
      </w:r>
      <w:r>
        <w:rPr>
          <w:color w:val="221F1F"/>
        </w:rPr>
        <w:t>a</w:t>
      </w:r>
      <w:r>
        <w:rPr>
          <w:color w:val="221F1F"/>
          <w:spacing w:val="-10"/>
        </w:rPr>
        <w:t xml:space="preserve"> </w:t>
      </w:r>
      <w:r>
        <w:rPr>
          <w:color w:val="221F1F"/>
        </w:rPr>
        <w:t>contract</w:t>
      </w:r>
      <w:r>
        <w:rPr>
          <w:color w:val="221F1F"/>
          <w:spacing w:val="-12"/>
        </w:rPr>
        <w:t xml:space="preserve"> </w:t>
      </w:r>
      <w:r>
        <w:rPr>
          <w:color w:val="221F1F"/>
        </w:rPr>
        <w:t>to</w:t>
      </w:r>
      <w:r>
        <w:rPr>
          <w:color w:val="221F1F"/>
          <w:spacing w:val="-11"/>
        </w:rPr>
        <w:t xml:space="preserve"> </w:t>
      </w:r>
      <w:r>
        <w:rPr>
          <w:color w:val="221F1F"/>
        </w:rPr>
        <w:t>the</w:t>
      </w:r>
      <w:r>
        <w:rPr>
          <w:color w:val="221F1F"/>
          <w:spacing w:val="-10"/>
        </w:rPr>
        <w:t xml:space="preserve"> </w:t>
      </w:r>
      <w:r>
        <w:rPr>
          <w:color w:val="221F1F"/>
        </w:rPr>
        <w:t>detriment</w:t>
      </w:r>
      <w:r>
        <w:rPr>
          <w:color w:val="221F1F"/>
          <w:spacing w:val="-9"/>
        </w:rPr>
        <w:t xml:space="preserve"> </w:t>
      </w:r>
      <w:r>
        <w:rPr>
          <w:color w:val="221F1F"/>
        </w:rPr>
        <w:t>of</w:t>
      </w:r>
      <w:r>
        <w:rPr>
          <w:color w:val="221F1F"/>
          <w:spacing w:val="-10"/>
        </w:rPr>
        <w:t xml:space="preserve"> </w:t>
      </w:r>
      <w:r>
        <w:rPr>
          <w:color w:val="221F1F"/>
        </w:rPr>
        <w:t>the</w:t>
      </w:r>
      <w:r>
        <w:rPr>
          <w:color w:val="221F1F"/>
          <w:spacing w:val="-11"/>
        </w:rPr>
        <w:t xml:space="preserve"> </w:t>
      </w:r>
      <w:r>
        <w:rPr>
          <w:color w:val="221F1F"/>
        </w:rPr>
        <w:t>procuring</w:t>
      </w:r>
      <w:r>
        <w:rPr>
          <w:color w:val="221F1F"/>
          <w:spacing w:val="-11"/>
        </w:rPr>
        <w:t xml:space="preserve"> </w:t>
      </w:r>
      <w:r>
        <w:rPr>
          <w:color w:val="221F1F"/>
        </w:rPr>
        <w:t>entity</w:t>
      </w:r>
      <w:r>
        <w:rPr>
          <w:color w:val="221F1F"/>
          <w:spacing w:val="-11"/>
        </w:rPr>
        <w:t xml:space="preserve"> </w:t>
      </w:r>
      <w:r>
        <w:rPr>
          <w:color w:val="221F1F"/>
        </w:rPr>
        <w:t>or</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10"/>
        </w:rPr>
        <w:t xml:space="preserve"> </w:t>
      </w:r>
      <w:r>
        <w:rPr>
          <w:color w:val="221F1F"/>
        </w:rPr>
        <w:t>or</w:t>
      </w:r>
      <w:r>
        <w:rPr>
          <w:color w:val="221F1F"/>
          <w:spacing w:val="-10"/>
        </w:rPr>
        <w:t xml:space="preserve"> </w:t>
      </w:r>
      <w:r>
        <w:rPr>
          <w:color w:val="221F1F"/>
        </w:rPr>
        <w:t>the</w:t>
      </w:r>
      <w:r>
        <w:rPr>
          <w:color w:val="221F1F"/>
          <w:spacing w:val="-11"/>
        </w:rPr>
        <w:t xml:space="preserve"> </w:t>
      </w:r>
      <w:r>
        <w:rPr>
          <w:color w:val="221F1F"/>
        </w:rPr>
        <w:t>contractor, and</w:t>
      </w:r>
      <w:r>
        <w:rPr>
          <w:color w:val="221F1F"/>
          <w:spacing w:val="-12"/>
        </w:rPr>
        <w:t xml:space="preserve"> </w:t>
      </w:r>
      <w:r>
        <w:rPr>
          <w:color w:val="221F1F"/>
        </w:rPr>
        <w:t>includes</w:t>
      </w:r>
      <w:r>
        <w:rPr>
          <w:color w:val="221F1F"/>
          <w:spacing w:val="-11"/>
        </w:rPr>
        <w:t xml:space="preserve"> </w:t>
      </w:r>
      <w:r>
        <w:rPr>
          <w:color w:val="221F1F"/>
        </w:rPr>
        <w:t>collusive</w:t>
      </w:r>
      <w:r>
        <w:rPr>
          <w:color w:val="221F1F"/>
          <w:spacing w:val="-10"/>
        </w:rPr>
        <w:t xml:space="preserve"> </w:t>
      </w:r>
      <w:r>
        <w:rPr>
          <w:color w:val="221F1F"/>
        </w:rPr>
        <w:t>practices</w:t>
      </w:r>
      <w:r>
        <w:rPr>
          <w:color w:val="221F1F"/>
          <w:spacing w:val="-13"/>
        </w:rPr>
        <w:t xml:space="preserve"> </w:t>
      </w:r>
      <w:r>
        <w:rPr>
          <w:color w:val="221F1F"/>
        </w:rPr>
        <w:t>amongst</w:t>
      </w:r>
      <w:r>
        <w:rPr>
          <w:color w:val="221F1F"/>
          <w:spacing w:val="-11"/>
        </w:rPr>
        <w:t xml:space="preserve"> </w:t>
      </w:r>
      <w:r>
        <w:rPr>
          <w:color w:val="221F1F"/>
        </w:rPr>
        <w:t>tenderers</w:t>
      </w:r>
      <w:r>
        <w:rPr>
          <w:color w:val="221F1F"/>
          <w:spacing w:val="-11"/>
        </w:rPr>
        <w:t xml:space="preserve"> </w:t>
      </w:r>
      <w:r>
        <w:rPr>
          <w:color w:val="221F1F"/>
        </w:rPr>
        <w:t>prior</w:t>
      </w:r>
      <w:r>
        <w:rPr>
          <w:color w:val="221F1F"/>
          <w:spacing w:val="-10"/>
        </w:rPr>
        <w:t xml:space="preserve"> </w:t>
      </w:r>
      <w:r>
        <w:rPr>
          <w:color w:val="221F1F"/>
        </w:rPr>
        <w:t>to</w:t>
      </w:r>
      <w:r>
        <w:rPr>
          <w:color w:val="221F1F"/>
          <w:spacing w:val="-12"/>
        </w:rPr>
        <w:t xml:space="preserve"> </w:t>
      </w:r>
      <w:r>
        <w:rPr>
          <w:color w:val="221F1F"/>
        </w:rPr>
        <w:t>or</w:t>
      </w:r>
      <w:r>
        <w:rPr>
          <w:color w:val="221F1F"/>
          <w:spacing w:val="-11"/>
        </w:rPr>
        <w:t xml:space="preserve"> </w:t>
      </w:r>
      <w:r>
        <w:rPr>
          <w:color w:val="221F1F"/>
        </w:rPr>
        <w:t>after</w:t>
      </w:r>
      <w:r>
        <w:rPr>
          <w:color w:val="221F1F"/>
          <w:spacing w:val="-10"/>
        </w:rPr>
        <w:t xml:space="preserve"> </w:t>
      </w:r>
      <w:r>
        <w:rPr>
          <w:color w:val="221F1F"/>
        </w:rPr>
        <w:t>tender</w:t>
      </w:r>
      <w:r>
        <w:rPr>
          <w:color w:val="221F1F"/>
          <w:spacing w:val="-11"/>
        </w:rPr>
        <w:t xml:space="preserve"> </w:t>
      </w:r>
      <w:r>
        <w:rPr>
          <w:color w:val="221F1F"/>
        </w:rPr>
        <w:t>submission</w:t>
      </w:r>
      <w:r>
        <w:rPr>
          <w:color w:val="221F1F"/>
          <w:spacing w:val="-11"/>
        </w:rPr>
        <w:t xml:space="preserve"> </w:t>
      </w:r>
      <w:r>
        <w:rPr>
          <w:color w:val="221F1F"/>
        </w:rPr>
        <w:t>designed</w:t>
      </w:r>
      <w:r>
        <w:rPr>
          <w:color w:val="221F1F"/>
          <w:spacing w:val="-11"/>
        </w:rPr>
        <w:t xml:space="preserve"> </w:t>
      </w:r>
      <w:r>
        <w:rPr>
          <w:color w:val="221F1F"/>
        </w:rPr>
        <w:t>to</w:t>
      </w:r>
      <w:r>
        <w:rPr>
          <w:color w:val="221F1F"/>
          <w:spacing w:val="-12"/>
        </w:rPr>
        <w:t xml:space="preserve"> </w:t>
      </w:r>
      <w:r>
        <w:rPr>
          <w:color w:val="221F1F"/>
        </w:rPr>
        <w:t>establish tender prices</w:t>
      </w:r>
      <w:r>
        <w:rPr>
          <w:color w:val="221F1F"/>
          <w:spacing w:val="-2"/>
        </w:rPr>
        <w:t xml:space="preserve"> </w:t>
      </w:r>
      <w:r>
        <w:rPr>
          <w:color w:val="221F1F"/>
        </w:rPr>
        <w:t>at</w:t>
      </w:r>
      <w:r>
        <w:rPr>
          <w:color w:val="221F1F"/>
          <w:spacing w:val="-2"/>
        </w:rPr>
        <w:t xml:space="preserve"> </w:t>
      </w:r>
      <w:r>
        <w:rPr>
          <w:color w:val="221F1F"/>
        </w:rPr>
        <w:t>artificial non-competitive</w:t>
      </w:r>
      <w:r>
        <w:rPr>
          <w:color w:val="221F1F"/>
          <w:spacing w:val="-2"/>
        </w:rPr>
        <w:t xml:space="preserve"> </w:t>
      </w:r>
      <w:r>
        <w:rPr>
          <w:color w:val="221F1F"/>
        </w:rPr>
        <w:t>levels</w:t>
      </w:r>
      <w:r>
        <w:rPr>
          <w:color w:val="221F1F"/>
          <w:spacing w:val="-2"/>
        </w:rPr>
        <w:t xml:space="preserve"> </w:t>
      </w:r>
      <w:r>
        <w:rPr>
          <w:color w:val="221F1F"/>
        </w:rPr>
        <w:t>and</w:t>
      </w:r>
      <w:r>
        <w:rPr>
          <w:color w:val="221F1F"/>
          <w:spacing w:val="-2"/>
        </w:rPr>
        <w:t xml:space="preserve"> </w:t>
      </w:r>
      <w:r>
        <w:rPr>
          <w:color w:val="221F1F"/>
        </w:rPr>
        <w:t>to</w:t>
      </w:r>
      <w:r>
        <w:rPr>
          <w:color w:val="221F1F"/>
          <w:spacing w:val="-3"/>
        </w:rPr>
        <w:t xml:space="preserve"> </w:t>
      </w:r>
      <w:r>
        <w:rPr>
          <w:color w:val="221F1F"/>
        </w:rPr>
        <w:t>deprive</w:t>
      </w:r>
      <w:r>
        <w:rPr>
          <w:color w:val="221F1F"/>
          <w:spacing w:val="-3"/>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 of</w:t>
      </w:r>
      <w:r>
        <w:rPr>
          <w:color w:val="221F1F"/>
          <w:spacing w:val="-2"/>
        </w:rPr>
        <w:t xml:space="preserve"> </w:t>
      </w:r>
      <w:r>
        <w:rPr>
          <w:color w:val="221F1F"/>
        </w:rPr>
        <w:t>the benefits of free and open competition.</w:t>
      </w:r>
    </w:p>
    <w:p w:rsidR="007F6DF9" w:rsidRDefault="00A43FBC">
      <w:pPr>
        <w:pStyle w:val="ListParagraph"/>
        <w:numPr>
          <w:ilvl w:val="0"/>
          <w:numId w:val="134"/>
        </w:numPr>
        <w:tabs>
          <w:tab w:val="left" w:pos="1643"/>
          <w:tab w:val="left" w:pos="1647"/>
        </w:tabs>
        <w:spacing w:before="238" w:line="230" w:lineRule="auto"/>
        <w:ind w:right="558"/>
        <w:jc w:val="both"/>
      </w:pPr>
      <w:r>
        <w:rPr>
          <w:color w:val="221F1F"/>
        </w:rPr>
        <w:t>Rejects a proposal for award</w:t>
      </w:r>
      <w:r>
        <w:rPr>
          <w:color w:val="221F1F"/>
          <w:position w:val="11"/>
          <w:sz w:val="11"/>
        </w:rPr>
        <w:t xml:space="preserve">1 </w:t>
      </w:r>
      <w:r>
        <w:rPr>
          <w:color w:val="221F1F"/>
        </w:rPr>
        <w:t>of a contract if PPRA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7F6DF9" w:rsidRDefault="00A43FBC">
      <w:pPr>
        <w:pStyle w:val="ListParagraph"/>
        <w:numPr>
          <w:ilvl w:val="0"/>
          <w:numId w:val="134"/>
        </w:numPr>
        <w:tabs>
          <w:tab w:val="left" w:pos="1643"/>
          <w:tab w:val="left" w:pos="1647"/>
        </w:tabs>
        <w:spacing w:before="245" w:line="230" w:lineRule="auto"/>
        <w:ind w:right="562"/>
        <w:jc w:val="both"/>
      </w:pPr>
      <w:r>
        <w:rPr>
          <w:color w:val="221F1F"/>
        </w:rPr>
        <w:t>Pursuant</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Kenya's</w:t>
      </w:r>
      <w:r>
        <w:rPr>
          <w:color w:val="221F1F"/>
          <w:spacing w:val="-2"/>
        </w:rPr>
        <w:t xml:space="preserve"> </w:t>
      </w:r>
      <w:r>
        <w:rPr>
          <w:color w:val="221F1F"/>
        </w:rPr>
        <w:t>above</w:t>
      </w:r>
      <w:r>
        <w:rPr>
          <w:color w:val="221F1F"/>
          <w:spacing w:val="-2"/>
        </w:rPr>
        <w:t xml:space="preserve"> </w:t>
      </w:r>
      <w:r>
        <w:rPr>
          <w:color w:val="221F1F"/>
        </w:rPr>
        <w:t>stated</w:t>
      </w:r>
      <w:r>
        <w:rPr>
          <w:color w:val="221F1F"/>
          <w:spacing w:val="-2"/>
        </w:rPr>
        <w:t xml:space="preserve"> </w:t>
      </w:r>
      <w:r>
        <w:rPr>
          <w:color w:val="221F1F"/>
        </w:rPr>
        <w:t>Acts</w:t>
      </w:r>
      <w:r>
        <w:rPr>
          <w:color w:val="221F1F"/>
          <w:spacing w:val="-2"/>
        </w:rPr>
        <w:t xml:space="preserve"> </w:t>
      </w:r>
      <w:r>
        <w:rPr>
          <w:color w:val="221F1F"/>
        </w:rPr>
        <w:t>and</w:t>
      </w:r>
      <w:r>
        <w:rPr>
          <w:color w:val="221F1F"/>
          <w:spacing w:val="-2"/>
        </w:rPr>
        <w:t xml:space="preserve"> </w:t>
      </w:r>
      <w:r>
        <w:rPr>
          <w:color w:val="221F1F"/>
        </w:rPr>
        <w:t>Regulations,</w:t>
      </w:r>
      <w:r>
        <w:rPr>
          <w:color w:val="221F1F"/>
          <w:spacing w:val="-2"/>
        </w:rPr>
        <w:t xml:space="preserve"> </w:t>
      </w:r>
      <w:r>
        <w:rPr>
          <w:color w:val="221F1F"/>
        </w:rPr>
        <w:t>may</w:t>
      </w:r>
      <w:r>
        <w:rPr>
          <w:color w:val="221F1F"/>
          <w:spacing w:val="-2"/>
        </w:rPr>
        <w:t xml:space="preserve"> </w:t>
      </w:r>
      <w:r>
        <w:rPr>
          <w:color w:val="221F1F"/>
        </w:rPr>
        <w:t>recommend</w:t>
      </w:r>
      <w:r>
        <w:rPr>
          <w:color w:val="221F1F"/>
          <w:spacing w:val="-2"/>
        </w:rPr>
        <w:t xml:space="preserve"> </w:t>
      </w:r>
      <w:r>
        <w:rPr>
          <w:color w:val="221F1F"/>
        </w:rPr>
        <w:t>to</w:t>
      </w:r>
      <w:r>
        <w:rPr>
          <w:color w:val="221F1F"/>
          <w:spacing w:val="-2"/>
        </w:rPr>
        <w:t xml:space="preserve"> </w:t>
      </w:r>
      <w:r>
        <w:rPr>
          <w:color w:val="221F1F"/>
        </w:rPr>
        <w:t>appropriate authority(</w:t>
      </w:r>
      <w:proofErr w:type="spellStart"/>
      <w:r>
        <w:rPr>
          <w:color w:val="221F1F"/>
        </w:rPr>
        <w:t>ies</w:t>
      </w:r>
      <w:proofErr w:type="spellEnd"/>
      <w:r>
        <w:rPr>
          <w:color w:val="221F1F"/>
        </w:rPr>
        <w:t>) for sanctioning and debarment of a firm or individual, as applicable under the Acts and Regulations;</w:t>
      </w:r>
    </w:p>
    <w:p w:rsidR="007F6DF9" w:rsidRDefault="00A43FBC">
      <w:pPr>
        <w:pStyle w:val="ListParagraph"/>
        <w:numPr>
          <w:ilvl w:val="0"/>
          <w:numId w:val="134"/>
        </w:numPr>
        <w:tabs>
          <w:tab w:val="left" w:pos="1640"/>
          <w:tab w:val="left" w:pos="1647"/>
        </w:tabs>
        <w:spacing w:before="246" w:line="230" w:lineRule="auto"/>
        <w:ind w:right="558" w:hanging="411"/>
        <w:jc w:val="both"/>
      </w:pPr>
      <w:r>
        <w:rPr>
          <w:color w:val="221F1F"/>
        </w:rPr>
        <w:t>Requires</w:t>
      </w:r>
      <w:r>
        <w:rPr>
          <w:color w:val="221F1F"/>
          <w:spacing w:val="-2"/>
        </w:rPr>
        <w:t xml:space="preserve"> </w:t>
      </w:r>
      <w:r>
        <w:rPr>
          <w:color w:val="221F1F"/>
        </w:rPr>
        <w:t>that a clause be</w:t>
      </w:r>
      <w:r>
        <w:rPr>
          <w:color w:val="221F1F"/>
          <w:spacing w:val="-2"/>
        </w:rPr>
        <w:t xml:space="preserve"> </w:t>
      </w:r>
      <w:r>
        <w:rPr>
          <w:color w:val="221F1F"/>
        </w:rPr>
        <w:t>included in Tender</w:t>
      </w:r>
      <w:r>
        <w:rPr>
          <w:color w:val="221F1F"/>
          <w:spacing w:val="-6"/>
        </w:rPr>
        <w:t xml:space="preserve"> </w:t>
      </w:r>
      <w:r>
        <w:rPr>
          <w:color w:val="221F1F"/>
        </w:rPr>
        <w:t>documents and Request for Proposal</w:t>
      </w:r>
      <w:r>
        <w:rPr>
          <w:color w:val="221F1F"/>
          <w:spacing w:val="-1"/>
        </w:rPr>
        <w:t xml:space="preserve"> </w:t>
      </w:r>
      <w:r>
        <w:rPr>
          <w:color w:val="221F1F"/>
        </w:rPr>
        <w:t>documents requiring(</w:t>
      </w:r>
      <w:proofErr w:type="spellStart"/>
      <w:r>
        <w:rPr>
          <w:color w:val="221F1F"/>
        </w:rPr>
        <w:t>i</w:t>
      </w:r>
      <w:proofErr w:type="spellEnd"/>
      <w:r>
        <w:rPr>
          <w:color w:val="221F1F"/>
        </w:rPr>
        <w:t>) Tenderers</w:t>
      </w:r>
      <w:r>
        <w:rPr>
          <w:color w:val="221F1F"/>
          <w:spacing w:val="-12"/>
        </w:rPr>
        <w:t xml:space="preserve"> </w:t>
      </w:r>
      <w:r>
        <w:rPr>
          <w:color w:val="221F1F"/>
        </w:rPr>
        <w:t>(applicants/proposers),</w:t>
      </w:r>
      <w:r>
        <w:rPr>
          <w:color w:val="221F1F"/>
          <w:spacing w:val="-11"/>
        </w:rPr>
        <w:t xml:space="preserve"> </w:t>
      </w:r>
      <w:r>
        <w:rPr>
          <w:color w:val="221F1F"/>
        </w:rPr>
        <w:t>Consultants,</w:t>
      </w:r>
      <w:r>
        <w:rPr>
          <w:color w:val="221F1F"/>
          <w:spacing w:val="-10"/>
        </w:rPr>
        <w:t xml:space="preserve"> </w:t>
      </w:r>
      <w:r>
        <w:rPr>
          <w:color w:val="221F1F"/>
        </w:rPr>
        <w:t>Contractors,</w:t>
      </w:r>
      <w:r>
        <w:rPr>
          <w:color w:val="221F1F"/>
          <w:spacing w:val="-11"/>
        </w:rPr>
        <w:t xml:space="preserve"> </w:t>
      </w:r>
      <w:r>
        <w:rPr>
          <w:color w:val="221F1F"/>
        </w:rPr>
        <w:t>and</w:t>
      </w:r>
      <w:r>
        <w:rPr>
          <w:color w:val="221F1F"/>
          <w:spacing w:val="-12"/>
        </w:rPr>
        <w:t xml:space="preserve"> </w:t>
      </w:r>
      <w:r>
        <w:rPr>
          <w:color w:val="221F1F"/>
        </w:rPr>
        <w:t>Suppliers,</w:t>
      </w:r>
      <w:r>
        <w:rPr>
          <w:color w:val="221F1F"/>
          <w:spacing w:val="-12"/>
        </w:rPr>
        <w:t xml:space="preserve"> </w:t>
      </w:r>
      <w:r>
        <w:rPr>
          <w:color w:val="221F1F"/>
        </w:rPr>
        <w:t>and</w:t>
      </w:r>
      <w:r>
        <w:rPr>
          <w:color w:val="221F1F"/>
          <w:spacing w:val="-12"/>
        </w:rPr>
        <w:t xml:space="preserve"> </w:t>
      </w:r>
      <w:r>
        <w:rPr>
          <w:color w:val="221F1F"/>
        </w:rPr>
        <w:t>their</w:t>
      </w:r>
      <w:r>
        <w:rPr>
          <w:color w:val="221F1F"/>
          <w:spacing w:val="-11"/>
        </w:rPr>
        <w:t xml:space="preserve"> </w:t>
      </w:r>
      <w:r>
        <w:rPr>
          <w:color w:val="221F1F"/>
        </w:rPr>
        <w:t>Sub-contractors,</w:t>
      </w:r>
      <w:r>
        <w:rPr>
          <w:color w:val="221F1F"/>
          <w:spacing w:val="-13"/>
        </w:rPr>
        <w:t xml:space="preserve"> </w:t>
      </w:r>
      <w:r>
        <w:rPr>
          <w:color w:val="221F1F"/>
        </w:rPr>
        <w:t>Sub-consultants, Service providers, Suppliers, Agents personnel, permit the PPRA or any other appropriate authority</w:t>
      </w:r>
      <w:r>
        <w:rPr>
          <w:color w:val="221F1F"/>
          <w:spacing w:val="-14"/>
        </w:rPr>
        <w:t xml:space="preserve"> </w:t>
      </w:r>
      <w:r>
        <w:rPr>
          <w:color w:val="221F1F"/>
        </w:rPr>
        <w:t>appointed</w:t>
      </w:r>
      <w:r>
        <w:rPr>
          <w:color w:val="221F1F"/>
          <w:spacing w:val="-14"/>
        </w:rPr>
        <w:t xml:space="preserve"> </w:t>
      </w:r>
      <w:r>
        <w:rPr>
          <w:color w:val="221F1F"/>
        </w:rPr>
        <w:t>by</w:t>
      </w:r>
      <w:r>
        <w:rPr>
          <w:color w:val="221F1F"/>
          <w:spacing w:val="-11"/>
        </w:rPr>
        <w:t xml:space="preserve"> </w:t>
      </w:r>
      <w:r>
        <w:rPr>
          <w:color w:val="221F1F"/>
        </w:rPr>
        <w:t>Government</w:t>
      </w:r>
      <w:r>
        <w:rPr>
          <w:color w:val="221F1F"/>
          <w:spacing w:val="-10"/>
        </w:rPr>
        <w:t xml:space="preserve"> </w:t>
      </w:r>
      <w:r>
        <w:rPr>
          <w:color w:val="221F1F"/>
        </w:rPr>
        <w:t>of</w:t>
      </w:r>
      <w:r>
        <w:rPr>
          <w:color w:val="221F1F"/>
          <w:spacing w:val="-11"/>
        </w:rPr>
        <w:t xml:space="preserve"> </w:t>
      </w:r>
      <w:r>
        <w:rPr>
          <w:color w:val="221F1F"/>
        </w:rPr>
        <w:t>Kenya</w:t>
      </w:r>
      <w:r>
        <w:rPr>
          <w:color w:val="221F1F"/>
          <w:spacing w:val="-14"/>
        </w:rPr>
        <w:t xml:space="preserve"> </w:t>
      </w:r>
      <w:r>
        <w:rPr>
          <w:color w:val="221F1F"/>
        </w:rPr>
        <w:t>to</w:t>
      </w:r>
      <w:r>
        <w:rPr>
          <w:color w:val="221F1F"/>
          <w:spacing w:val="-14"/>
        </w:rPr>
        <w:t xml:space="preserve"> </w:t>
      </w:r>
      <w:r>
        <w:rPr>
          <w:color w:val="221F1F"/>
        </w:rPr>
        <w:t>inspect</w:t>
      </w:r>
      <w:r>
        <w:rPr>
          <w:color w:val="221F1F"/>
          <w:position w:val="11"/>
          <w:sz w:val="11"/>
        </w:rPr>
        <w:t>2</w:t>
      </w:r>
      <w:r>
        <w:rPr>
          <w:color w:val="221F1F"/>
          <w:spacing w:val="-5"/>
          <w:position w:val="11"/>
          <w:sz w:val="11"/>
        </w:rPr>
        <w:t xml:space="preserve"> </w:t>
      </w:r>
      <w:r>
        <w:rPr>
          <w:color w:val="221F1F"/>
        </w:rPr>
        <w:t>all</w:t>
      </w:r>
      <w:r>
        <w:rPr>
          <w:color w:val="221F1F"/>
          <w:spacing w:val="-13"/>
        </w:rPr>
        <w:t xml:space="preserve"> </w:t>
      </w:r>
      <w:r>
        <w:rPr>
          <w:color w:val="221F1F"/>
        </w:rPr>
        <w:t>accounts,</w:t>
      </w:r>
      <w:r>
        <w:rPr>
          <w:color w:val="221F1F"/>
          <w:spacing w:val="-13"/>
        </w:rPr>
        <w:t xml:space="preserve"> </w:t>
      </w:r>
      <w:r>
        <w:rPr>
          <w:color w:val="221F1F"/>
        </w:rPr>
        <w:t>records</w:t>
      </w:r>
      <w:r>
        <w:rPr>
          <w:color w:val="221F1F"/>
          <w:spacing w:val="-13"/>
        </w:rPr>
        <w:t xml:space="preserve"> </w:t>
      </w:r>
      <w:r>
        <w:rPr>
          <w:color w:val="221F1F"/>
        </w:rPr>
        <w:t>and</w:t>
      </w:r>
      <w:r>
        <w:rPr>
          <w:color w:val="221F1F"/>
          <w:spacing w:val="-13"/>
        </w:rPr>
        <w:t xml:space="preserve"> </w:t>
      </w:r>
      <w:r>
        <w:rPr>
          <w:color w:val="221F1F"/>
        </w:rPr>
        <w:t>other</w:t>
      </w:r>
      <w:r>
        <w:rPr>
          <w:color w:val="221F1F"/>
          <w:spacing w:val="-13"/>
        </w:rPr>
        <w:t xml:space="preserve"> </w:t>
      </w:r>
      <w:r>
        <w:rPr>
          <w:color w:val="221F1F"/>
        </w:rPr>
        <w:t>documents</w:t>
      </w:r>
      <w:r>
        <w:rPr>
          <w:color w:val="221F1F"/>
          <w:spacing w:val="-14"/>
        </w:rPr>
        <w:t xml:space="preserve"> </w:t>
      </w:r>
      <w:r>
        <w:rPr>
          <w:color w:val="221F1F"/>
        </w:rPr>
        <w:t>relating to the procurement process, selection and/or contract execution, and to have them audited by auditors appointed by the PPRA or any other appropriate authority appointed by Government of Kenya; and</w:t>
      </w:r>
    </w:p>
    <w:p w:rsidR="007F6DF9" w:rsidRDefault="00A43FBC">
      <w:pPr>
        <w:pStyle w:val="ListParagraph"/>
        <w:numPr>
          <w:ilvl w:val="0"/>
          <w:numId w:val="134"/>
        </w:numPr>
        <w:tabs>
          <w:tab w:val="left" w:pos="1640"/>
          <w:tab w:val="left" w:pos="1647"/>
        </w:tabs>
        <w:spacing w:before="238" w:line="230" w:lineRule="auto"/>
        <w:ind w:right="563" w:hanging="411"/>
        <w:jc w:val="both"/>
      </w:pPr>
      <w:r>
        <w:rPr>
          <w:color w:val="221F1F"/>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rsidR="007F6DF9" w:rsidRDefault="00A43FBC">
      <w:pPr>
        <w:pStyle w:val="BodyText"/>
        <w:spacing w:before="221"/>
        <w:rPr>
          <w:sz w:val="20"/>
        </w:rPr>
      </w:pPr>
      <w:r>
        <w:rPr>
          <w:noProof/>
          <w:sz w:val="20"/>
        </w:rPr>
        <mc:AlternateContent>
          <mc:Choice Requires="wps">
            <w:drawing>
              <wp:anchor distT="0" distB="0" distL="0" distR="0" simplePos="0" relativeHeight="251678208" behindDoc="1" locked="0" layoutInCell="1" allowOverlap="1">
                <wp:simplePos x="0" y="0"/>
                <wp:positionH relativeFrom="page">
                  <wp:posOffset>538480</wp:posOffset>
                </wp:positionH>
                <wp:positionV relativeFrom="paragraph">
                  <wp:posOffset>301761</wp:posOffset>
                </wp:positionV>
                <wp:extent cx="260985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1270"/>
                        </a:xfrm>
                        <a:custGeom>
                          <a:avLst/>
                          <a:gdLst/>
                          <a:ahLst/>
                          <a:cxnLst/>
                          <a:rect l="l" t="t" r="r" b="b"/>
                          <a:pathLst>
                            <a:path w="2609850">
                              <a:moveTo>
                                <a:pt x="0" y="0"/>
                              </a:moveTo>
                              <a:lnTo>
                                <a:pt x="2609850"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43C2F366" id="Graphic 235" o:spid="_x0000_s1026" style="position:absolute;margin-left:42.4pt;margin-top:23.75pt;width:205.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2609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" path="m,l2609850,e" filled="f" strokecolor="#221f1f" strokeweight=".07617mm">
                <v:path arrowok="t"/>
                <w10:wrap type="topAndBottom" anchorx="page"/>
              </v:shape>
            </w:pict>
          </mc:Fallback>
        </mc:AlternateContent>
      </w:r>
    </w:p>
    <w:p w:rsidR="007F6DF9" w:rsidRDefault="00A43FBC">
      <w:pPr>
        <w:spacing w:before="65" w:line="242" w:lineRule="auto"/>
        <w:ind w:left="713" w:right="266"/>
        <w:jc w:val="both"/>
        <w:rPr>
          <w:i/>
          <w:sz w:val="16"/>
        </w:rPr>
      </w:pPr>
      <w:r>
        <w:rPr>
          <w:i/>
          <w:color w:val="221F1F"/>
          <w:position w:val="8"/>
          <w:sz w:val="8"/>
        </w:rPr>
        <w:t>1</w:t>
      </w:r>
      <w:r>
        <w:rPr>
          <w:i/>
          <w:color w:val="221F1F"/>
          <w:sz w:val="16"/>
        </w:rPr>
        <w:t>For</w:t>
      </w:r>
      <w:r>
        <w:rPr>
          <w:i/>
          <w:color w:val="221F1F"/>
          <w:spacing w:val="-3"/>
          <w:sz w:val="16"/>
        </w:rPr>
        <w:t xml:space="preserve"> </w:t>
      </w:r>
      <w:r>
        <w:rPr>
          <w:i/>
          <w:color w:val="221F1F"/>
          <w:sz w:val="16"/>
        </w:rPr>
        <w:t>the</w:t>
      </w:r>
      <w:r>
        <w:rPr>
          <w:i/>
          <w:color w:val="221F1F"/>
          <w:spacing w:val="-2"/>
          <w:sz w:val="16"/>
        </w:rPr>
        <w:t xml:space="preserve"> </w:t>
      </w:r>
      <w:r>
        <w:rPr>
          <w:i/>
          <w:color w:val="221F1F"/>
          <w:sz w:val="16"/>
        </w:rPr>
        <w:t>avoidance</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doubt,</w:t>
      </w:r>
      <w:r>
        <w:rPr>
          <w:i/>
          <w:color w:val="221F1F"/>
          <w:spacing w:val="-2"/>
          <w:sz w:val="16"/>
        </w:rPr>
        <w:t xml:space="preserve"> </w:t>
      </w:r>
      <w:r>
        <w:rPr>
          <w:i/>
          <w:color w:val="221F1F"/>
          <w:sz w:val="16"/>
        </w:rPr>
        <w:t>a</w:t>
      </w:r>
      <w:r>
        <w:rPr>
          <w:i/>
          <w:color w:val="221F1F"/>
          <w:spacing w:val="-2"/>
          <w:sz w:val="16"/>
        </w:rPr>
        <w:t xml:space="preserve"> </w:t>
      </w:r>
      <w:r>
        <w:rPr>
          <w:i/>
          <w:color w:val="221F1F"/>
          <w:sz w:val="16"/>
        </w:rPr>
        <w:t>party's</w:t>
      </w:r>
      <w:r>
        <w:rPr>
          <w:i/>
          <w:color w:val="221F1F"/>
          <w:spacing w:val="-5"/>
          <w:sz w:val="16"/>
        </w:rPr>
        <w:t xml:space="preserve"> </w:t>
      </w:r>
      <w:r>
        <w:rPr>
          <w:i/>
          <w:color w:val="221F1F"/>
          <w:sz w:val="16"/>
        </w:rPr>
        <w:t>in</w:t>
      </w:r>
      <w:r>
        <w:rPr>
          <w:i/>
          <w:color w:val="221F1F"/>
          <w:spacing w:val="-2"/>
          <w:sz w:val="16"/>
        </w:rPr>
        <w:t xml:space="preserve"> </w:t>
      </w:r>
      <w:r>
        <w:rPr>
          <w:i/>
          <w:color w:val="221F1F"/>
          <w:sz w:val="16"/>
        </w:rPr>
        <w:t>eligibility</w:t>
      </w:r>
      <w:r>
        <w:rPr>
          <w:i/>
          <w:color w:val="221F1F"/>
          <w:spacing w:val="-1"/>
          <w:sz w:val="16"/>
        </w:rPr>
        <w:t xml:space="preserve"> </w:t>
      </w:r>
      <w:r>
        <w:rPr>
          <w:i/>
          <w:color w:val="221F1F"/>
          <w:sz w:val="16"/>
        </w:rPr>
        <w:t>to</w:t>
      </w:r>
      <w:r>
        <w:rPr>
          <w:i/>
          <w:color w:val="221F1F"/>
          <w:spacing w:val="-2"/>
          <w:sz w:val="16"/>
        </w:rPr>
        <w:t xml:space="preserve"> </w:t>
      </w:r>
      <w:r>
        <w:rPr>
          <w:i/>
          <w:color w:val="221F1F"/>
          <w:sz w:val="16"/>
        </w:rPr>
        <w:t>be</w:t>
      </w:r>
      <w:r>
        <w:rPr>
          <w:i/>
          <w:color w:val="221F1F"/>
          <w:spacing w:val="-2"/>
          <w:sz w:val="16"/>
        </w:rPr>
        <w:t xml:space="preserve"> </w:t>
      </w:r>
      <w:r>
        <w:rPr>
          <w:i/>
          <w:color w:val="221F1F"/>
          <w:sz w:val="16"/>
        </w:rPr>
        <w:t>awarded</w:t>
      </w:r>
      <w:r>
        <w:rPr>
          <w:i/>
          <w:color w:val="221F1F"/>
          <w:spacing w:val="-1"/>
          <w:sz w:val="16"/>
        </w:rPr>
        <w:t xml:space="preserve"> </w:t>
      </w:r>
      <w:r>
        <w:rPr>
          <w:i/>
          <w:color w:val="221F1F"/>
          <w:sz w:val="16"/>
        </w:rPr>
        <w:t>a</w:t>
      </w:r>
      <w:r>
        <w:rPr>
          <w:i/>
          <w:color w:val="221F1F"/>
          <w:spacing w:val="-2"/>
          <w:sz w:val="16"/>
        </w:rPr>
        <w:t xml:space="preserve"> </w:t>
      </w:r>
      <w:r>
        <w:rPr>
          <w:i/>
          <w:color w:val="221F1F"/>
          <w:sz w:val="16"/>
        </w:rPr>
        <w:t>contract</w:t>
      </w:r>
      <w:r>
        <w:rPr>
          <w:i/>
          <w:color w:val="221F1F"/>
          <w:spacing w:val="-2"/>
          <w:sz w:val="16"/>
        </w:rPr>
        <w:t xml:space="preserve"> </w:t>
      </w:r>
      <w:r>
        <w:rPr>
          <w:i/>
          <w:color w:val="221F1F"/>
          <w:sz w:val="16"/>
        </w:rPr>
        <w:t xml:space="preserve">shall </w:t>
      </w:r>
      <w:proofErr w:type="spellStart"/>
      <w:r>
        <w:rPr>
          <w:i/>
          <w:color w:val="221F1F"/>
          <w:sz w:val="16"/>
        </w:rPr>
        <w:t>includee</w:t>
      </w:r>
      <w:proofErr w:type="spellEnd"/>
      <w:r>
        <w:rPr>
          <w:i/>
          <w:color w:val="221F1F"/>
          <w:sz w:val="16"/>
        </w:rPr>
        <w:t>,</w:t>
      </w:r>
      <w:r>
        <w:rPr>
          <w:i/>
          <w:color w:val="221F1F"/>
          <w:spacing w:val="-2"/>
          <w:sz w:val="16"/>
        </w:rPr>
        <w:t xml:space="preserve"> </w:t>
      </w:r>
      <w:r>
        <w:rPr>
          <w:i/>
          <w:color w:val="221F1F"/>
          <w:sz w:val="16"/>
        </w:rPr>
        <w:t>without</w:t>
      </w:r>
      <w:r>
        <w:rPr>
          <w:i/>
          <w:color w:val="221F1F"/>
          <w:spacing w:val="-2"/>
          <w:sz w:val="16"/>
        </w:rPr>
        <w:t xml:space="preserve"> </w:t>
      </w:r>
      <w:r>
        <w:rPr>
          <w:i/>
          <w:color w:val="221F1F"/>
          <w:sz w:val="16"/>
        </w:rPr>
        <w:t>limitation, (</w:t>
      </w:r>
      <w:proofErr w:type="spellStart"/>
      <w:r>
        <w:rPr>
          <w:i/>
          <w:color w:val="221F1F"/>
          <w:sz w:val="16"/>
        </w:rPr>
        <w:t>i</w:t>
      </w:r>
      <w:proofErr w:type="spellEnd"/>
      <w:r>
        <w:rPr>
          <w:i/>
          <w:color w:val="221F1F"/>
          <w:sz w:val="16"/>
        </w:rPr>
        <w:t>)</w:t>
      </w:r>
      <w:r>
        <w:rPr>
          <w:i/>
          <w:color w:val="221F1F"/>
          <w:spacing w:val="-4"/>
          <w:sz w:val="16"/>
        </w:rPr>
        <w:t xml:space="preserve"> </w:t>
      </w:r>
      <w:r>
        <w:rPr>
          <w:i/>
          <w:color w:val="221F1F"/>
          <w:sz w:val="16"/>
        </w:rPr>
        <w:t>applying for</w:t>
      </w:r>
      <w:r>
        <w:rPr>
          <w:i/>
          <w:color w:val="221F1F"/>
          <w:spacing w:val="-2"/>
          <w:sz w:val="16"/>
        </w:rPr>
        <w:t xml:space="preserve"> </w:t>
      </w:r>
      <w:r>
        <w:rPr>
          <w:i/>
          <w:color w:val="221F1F"/>
          <w:sz w:val="16"/>
        </w:rPr>
        <w:t>pre-qualification, expressing</w:t>
      </w:r>
      <w:r>
        <w:rPr>
          <w:i/>
          <w:color w:val="221F1F"/>
          <w:spacing w:val="-2"/>
          <w:sz w:val="16"/>
        </w:rPr>
        <w:t xml:space="preserve"> </w:t>
      </w:r>
      <w:r>
        <w:rPr>
          <w:i/>
          <w:color w:val="221F1F"/>
          <w:sz w:val="16"/>
        </w:rPr>
        <w:t>interest</w:t>
      </w:r>
      <w:r>
        <w:rPr>
          <w:i/>
          <w:color w:val="221F1F"/>
          <w:spacing w:val="40"/>
          <w:sz w:val="16"/>
        </w:rPr>
        <w:t xml:space="preserve"> </w:t>
      </w:r>
      <w:r>
        <w:rPr>
          <w:i/>
          <w:color w:val="221F1F"/>
          <w:sz w:val="16"/>
        </w:rPr>
        <w:t>in</w:t>
      </w:r>
      <w:r>
        <w:rPr>
          <w:i/>
          <w:color w:val="221F1F"/>
          <w:spacing w:val="-2"/>
          <w:sz w:val="16"/>
        </w:rPr>
        <w:t xml:space="preserve"> </w:t>
      </w:r>
      <w:r>
        <w:rPr>
          <w:i/>
          <w:color w:val="221F1F"/>
          <w:sz w:val="16"/>
        </w:rPr>
        <w:t>a</w:t>
      </w:r>
      <w:r>
        <w:rPr>
          <w:i/>
          <w:color w:val="221F1F"/>
          <w:spacing w:val="-2"/>
          <w:sz w:val="16"/>
        </w:rPr>
        <w:t xml:space="preserve"> </w:t>
      </w:r>
      <w:r>
        <w:rPr>
          <w:i/>
          <w:color w:val="221F1F"/>
          <w:sz w:val="16"/>
        </w:rPr>
        <w:t>consultancy,</w:t>
      </w:r>
      <w:r>
        <w:rPr>
          <w:i/>
          <w:color w:val="221F1F"/>
          <w:spacing w:val="-1"/>
          <w:sz w:val="16"/>
        </w:rPr>
        <w:t xml:space="preserve"> </w:t>
      </w:r>
      <w:r>
        <w:rPr>
          <w:i/>
          <w:color w:val="221F1F"/>
          <w:sz w:val="16"/>
        </w:rPr>
        <w:t>and tendering,</w:t>
      </w:r>
      <w:r>
        <w:rPr>
          <w:i/>
          <w:color w:val="221F1F"/>
          <w:spacing w:val="-2"/>
          <w:sz w:val="16"/>
        </w:rPr>
        <w:t xml:space="preserve"> </w:t>
      </w:r>
      <w:r>
        <w:rPr>
          <w:i/>
          <w:color w:val="221F1F"/>
          <w:sz w:val="16"/>
        </w:rPr>
        <w:t>either</w:t>
      </w:r>
      <w:r>
        <w:rPr>
          <w:i/>
          <w:color w:val="221F1F"/>
          <w:spacing w:val="-1"/>
          <w:sz w:val="16"/>
        </w:rPr>
        <w:t xml:space="preserve"> </w:t>
      </w:r>
      <w:r>
        <w:rPr>
          <w:i/>
          <w:color w:val="221F1F"/>
          <w:sz w:val="16"/>
        </w:rPr>
        <w:t>directly</w:t>
      </w:r>
      <w:r>
        <w:rPr>
          <w:i/>
          <w:color w:val="221F1F"/>
          <w:spacing w:val="-2"/>
          <w:sz w:val="16"/>
        </w:rPr>
        <w:t xml:space="preserve"> </w:t>
      </w:r>
      <w:r>
        <w:rPr>
          <w:i/>
          <w:color w:val="221F1F"/>
          <w:sz w:val="16"/>
        </w:rPr>
        <w:t>or</w:t>
      </w:r>
      <w:r>
        <w:rPr>
          <w:i/>
          <w:color w:val="221F1F"/>
          <w:spacing w:val="-3"/>
          <w:sz w:val="16"/>
        </w:rPr>
        <w:t xml:space="preserve"> </w:t>
      </w:r>
      <w:r>
        <w:rPr>
          <w:i/>
          <w:color w:val="221F1F"/>
          <w:sz w:val="16"/>
        </w:rPr>
        <w:t>as</w:t>
      </w:r>
      <w:r>
        <w:rPr>
          <w:i/>
          <w:color w:val="221F1F"/>
          <w:spacing w:val="-3"/>
          <w:sz w:val="16"/>
        </w:rPr>
        <w:t xml:space="preserve"> </w:t>
      </w:r>
      <w:r>
        <w:rPr>
          <w:i/>
          <w:color w:val="221F1F"/>
          <w:sz w:val="16"/>
        </w:rPr>
        <w:t>a</w:t>
      </w:r>
      <w:r>
        <w:rPr>
          <w:i/>
          <w:color w:val="221F1F"/>
          <w:spacing w:val="-2"/>
          <w:sz w:val="16"/>
        </w:rPr>
        <w:t xml:space="preserve"> </w:t>
      </w:r>
      <w:r>
        <w:rPr>
          <w:i/>
          <w:color w:val="221F1F"/>
          <w:sz w:val="16"/>
        </w:rPr>
        <w:t>nominated sub-contractor,</w:t>
      </w:r>
      <w:r>
        <w:rPr>
          <w:i/>
          <w:color w:val="221F1F"/>
          <w:spacing w:val="-1"/>
          <w:sz w:val="16"/>
        </w:rPr>
        <w:t xml:space="preserve"> </w:t>
      </w:r>
      <w:r>
        <w:rPr>
          <w:i/>
          <w:color w:val="221F1F"/>
          <w:sz w:val="16"/>
        </w:rPr>
        <w:t>nominated</w:t>
      </w:r>
      <w:r>
        <w:rPr>
          <w:i/>
          <w:color w:val="221F1F"/>
          <w:spacing w:val="-1"/>
          <w:sz w:val="16"/>
        </w:rPr>
        <w:t xml:space="preserve"> </w:t>
      </w:r>
      <w:r>
        <w:rPr>
          <w:i/>
          <w:color w:val="221F1F"/>
          <w:sz w:val="16"/>
        </w:rPr>
        <w:t>consultant,</w:t>
      </w:r>
      <w:r>
        <w:rPr>
          <w:i/>
          <w:color w:val="221F1F"/>
          <w:spacing w:val="-2"/>
          <w:sz w:val="16"/>
        </w:rPr>
        <w:t xml:space="preserve"> </w:t>
      </w:r>
      <w:r>
        <w:rPr>
          <w:i/>
          <w:color w:val="221F1F"/>
          <w:sz w:val="16"/>
        </w:rPr>
        <w:t>nominated manufacturer</w:t>
      </w:r>
      <w:r>
        <w:rPr>
          <w:i/>
          <w:color w:val="221F1F"/>
          <w:spacing w:val="-2"/>
          <w:sz w:val="16"/>
        </w:rPr>
        <w:t xml:space="preserve"> </w:t>
      </w:r>
      <w:r>
        <w:rPr>
          <w:i/>
          <w:color w:val="221F1F"/>
          <w:sz w:val="16"/>
        </w:rPr>
        <w:t>or</w:t>
      </w:r>
      <w:r>
        <w:rPr>
          <w:i/>
          <w:color w:val="221F1F"/>
          <w:spacing w:val="-1"/>
          <w:sz w:val="16"/>
        </w:rPr>
        <w:t xml:space="preserve"> </w:t>
      </w:r>
      <w:r>
        <w:rPr>
          <w:i/>
          <w:color w:val="221F1F"/>
          <w:sz w:val="16"/>
        </w:rPr>
        <w:t>supplier,</w:t>
      </w:r>
      <w:r>
        <w:rPr>
          <w:i/>
          <w:color w:val="221F1F"/>
          <w:spacing w:val="-2"/>
          <w:sz w:val="16"/>
        </w:rPr>
        <w:t xml:space="preserve"> </w:t>
      </w:r>
      <w:r>
        <w:rPr>
          <w:i/>
          <w:color w:val="221F1F"/>
          <w:sz w:val="16"/>
        </w:rPr>
        <w:t>or</w:t>
      </w:r>
      <w:r>
        <w:rPr>
          <w:i/>
          <w:color w:val="221F1F"/>
          <w:spacing w:val="-3"/>
          <w:sz w:val="16"/>
        </w:rPr>
        <w:t xml:space="preserve"> </w:t>
      </w:r>
      <w:r>
        <w:rPr>
          <w:i/>
          <w:color w:val="221F1F"/>
          <w:sz w:val="16"/>
        </w:rPr>
        <w:t>nominated service</w:t>
      </w:r>
      <w:r>
        <w:rPr>
          <w:i/>
          <w:color w:val="221F1F"/>
          <w:spacing w:val="40"/>
          <w:sz w:val="16"/>
        </w:rPr>
        <w:t xml:space="preserve"> </w:t>
      </w:r>
      <w:r>
        <w:rPr>
          <w:i/>
          <w:color w:val="221F1F"/>
          <w:sz w:val="16"/>
        </w:rPr>
        <w:t>provider,</w:t>
      </w:r>
      <w:r>
        <w:rPr>
          <w:i/>
          <w:color w:val="221F1F"/>
          <w:spacing w:val="-4"/>
          <w:sz w:val="16"/>
        </w:rPr>
        <w:t xml:space="preserve"> </w:t>
      </w:r>
      <w:r>
        <w:rPr>
          <w:i/>
          <w:color w:val="221F1F"/>
          <w:sz w:val="16"/>
        </w:rPr>
        <w:t>in respect of such contract, and (ii) entering into an addendum</w:t>
      </w:r>
      <w:r>
        <w:rPr>
          <w:i/>
          <w:color w:val="221F1F"/>
          <w:spacing w:val="-1"/>
          <w:sz w:val="16"/>
        </w:rPr>
        <w:t xml:space="preserve"> </w:t>
      </w:r>
      <w:r>
        <w:rPr>
          <w:i/>
          <w:color w:val="221F1F"/>
          <w:sz w:val="16"/>
        </w:rPr>
        <w:t>or amendment introducing a material modification to any existing contract.</w:t>
      </w:r>
    </w:p>
    <w:p w:rsidR="007F6DF9" w:rsidRDefault="00A43FBC">
      <w:pPr>
        <w:spacing w:before="48" w:line="230" w:lineRule="auto"/>
        <w:ind w:left="713" w:right="556"/>
        <w:jc w:val="both"/>
        <w:rPr>
          <w:i/>
          <w:sz w:val="16"/>
        </w:rPr>
      </w:pPr>
      <w:r>
        <w:rPr>
          <w:i/>
          <w:color w:val="221F1F"/>
          <w:position w:val="8"/>
          <w:sz w:val="8"/>
        </w:rPr>
        <w:t xml:space="preserve">2 </w:t>
      </w:r>
      <w:r>
        <w:rPr>
          <w:i/>
          <w:color w:val="221F1F"/>
          <w:sz w:val="16"/>
        </w:rPr>
        <w:t>Inspections in this context usually are investigative (i.e., forensic) in nature. They involve fact-finding activities undertaken by the Investigating Authority or</w:t>
      </w:r>
      <w:r>
        <w:rPr>
          <w:i/>
          <w:color w:val="221F1F"/>
          <w:spacing w:val="40"/>
          <w:sz w:val="16"/>
        </w:rPr>
        <w:t xml:space="preserve"> </w:t>
      </w:r>
      <w:r>
        <w:rPr>
          <w:i/>
          <w:color w:val="221F1F"/>
          <w:sz w:val="16"/>
        </w:rPr>
        <w:t>persons</w:t>
      </w:r>
      <w:r>
        <w:rPr>
          <w:i/>
          <w:color w:val="221F1F"/>
          <w:spacing w:val="-8"/>
          <w:sz w:val="16"/>
        </w:rPr>
        <w:t xml:space="preserve"> </w:t>
      </w:r>
      <w:r>
        <w:rPr>
          <w:i/>
          <w:color w:val="221F1F"/>
          <w:sz w:val="16"/>
        </w:rPr>
        <w:t>appointed</w:t>
      </w:r>
      <w:r>
        <w:rPr>
          <w:i/>
          <w:color w:val="221F1F"/>
          <w:spacing w:val="-7"/>
          <w:sz w:val="16"/>
        </w:rPr>
        <w:t xml:space="preserve"> </w:t>
      </w:r>
      <w:r>
        <w:rPr>
          <w:i/>
          <w:color w:val="221F1F"/>
          <w:sz w:val="16"/>
        </w:rPr>
        <w:t>by</w:t>
      </w:r>
      <w:r>
        <w:rPr>
          <w:i/>
          <w:color w:val="221F1F"/>
          <w:spacing w:val="-8"/>
          <w:sz w:val="16"/>
        </w:rPr>
        <w:t xml:space="preserve"> </w:t>
      </w:r>
      <w:r>
        <w:rPr>
          <w:i/>
          <w:color w:val="221F1F"/>
          <w:sz w:val="16"/>
        </w:rPr>
        <w:t>the</w:t>
      </w:r>
      <w:r>
        <w:rPr>
          <w:i/>
          <w:color w:val="221F1F"/>
          <w:spacing w:val="-6"/>
          <w:sz w:val="16"/>
        </w:rPr>
        <w:t xml:space="preserve"> </w:t>
      </w:r>
      <w:r>
        <w:rPr>
          <w:i/>
          <w:color w:val="221F1F"/>
          <w:sz w:val="16"/>
        </w:rPr>
        <w:t>Procuring</w:t>
      </w:r>
      <w:r>
        <w:rPr>
          <w:i/>
          <w:color w:val="221F1F"/>
          <w:spacing w:val="-7"/>
          <w:sz w:val="16"/>
        </w:rPr>
        <w:t xml:space="preserve"> </w:t>
      </w:r>
      <w:r>
        <w:rPr>
          <w:i/>
          <w:color w:val="221F1F"/>
          <w:sz w:val="16"/>
        </w:rPr>
        <w:t>Entity</w:t>
      </w:r>
      <w:r>
        <w:rPr>
          <w:i/>
          <w:color w:val="221F1F"/>
          <w:spacing w:val="-8"/>
          <w:sz w:val="16"/>
        </w:rPr>
        <w:t xml:space="preserve"> </w:t>
      </w:r>
      <w:r>
        <w:rPr>
          <w:i/>
          <w:color w:val="221F1F"/>
          <w:sz w:val="16"/>
        </w:rPr>
        <w:t>to</w:t>
      </w:r>
      <w:r>
        <w:rPr>
          <w:i/>
          <w:color w:val="221F1F"/>
          <w:spacing w:val="-9"/>
          <w:sz w:val="16"/>
        </w:rPr>
        <w:t xml:space="preserve"> </w:t>
      </w:r>
      <w:r>
        <w:rPr>
          <w:i/>
          <w:color w:val="221F1F"/>
          <w:sz w:val="16"/>
        </w:rPr>
        <w:t>address</w:t>
      </w:r>
      <w:r>
        <w:rPr>
          <w:i/>
          <w:color w:val="221F1F"/>
          <w:spacing w:val="-6"/>
          <w:sz w:val="16"/>
        </w:rPr>
        <w:t xml:space="preserve"> </w:t>
      </w:r>
      <w:r>
        <w:rPr>
          <w:i/>
          <w:color w:val="221F1F"/>
          <w:sz w:val="16"/>
        </w:rPr>
        <w:t>specific</w:t>
      </w:r>
      <w:r>
        <w:rPr>
          <w:i/>
          <w:color w:val="221F1F"/>
          <w:spacing w:val="-8"/>
          <w:sz w:val="16"/>
        </w:rPr>
        <w:t xml:space="preserve"> </w:t>
      </w:r>
      <w:r>
        <w:rPr>
          <w:i/>
          <w:color w:val="221F1F"/>
          <w:sz w:val="16"/>
        </w:rPr>
        <w:t>matters</w:t>
      </w:r>
      <w:r>
        <w:rPr>
          <w:i/>
          <w:color w:val="221F1F"/>
          <w:spacing w:val="-9"/>
          <w:sz w:val="16"/>
        </w:rPr>
        <w:t xml:space="preserve"> </w:t>
      </w:r>
      <w:r>
        <w:rPr>
          <w:i/>
          <w:color w:val="221F1F"/>
          <w:sz w:val="16"/>
        </w:rPr>
        <w:t>related</w:t>
      </w:r>
      <w:r>
        <w:rPr>
          <w:i/>
          <w:color w:val="221F1F"/>
          <w:spacing w:val="-8"/>
          <w:sz w:val="16"/>
        </w:rPr>
        <w:t xml:space="preserve"> </w:t>
      </w:r>
      <w:r>
        <w:rPr>
          <w:i/>
          <w:color w:val="221F1F"/>
          <w:sz w:val="16"/>
        </w:rPr>
        <w:t>to</w:t>
      </w:r>
      <w:r>
        <w:rPr>
          <w:i/>
          <w:color w:val="221F1F"/>
          <w:spacing w:val="-10"/>
          <w:sz w:val="16"/>
        </w:rPr>
        <w:t xml:space="preserve"> </w:t>
      </w:r>
      <w:r>
        <w:rPr>
          <w:i/>
          <w:color w:val="221F1F"/>
          <w:sz w:val="16"/>
        </w:rPr>
        <w:t>investigations/audits,</w:t>
      </w:r>
      <w:r>
        <w:rPr>
          <w:i/>
          <w:color w:val="221F1F"/>
          <w:spacing w:val="-4"/>
          <w:sz w:val="16"/>
        </w:rPr>
        <w:t xml:space="preserve"> </w:t>
      </w:r>
      <w:proofErr w:type="spellStart"/>
      <w:r>
        <w:rPr>
          <w:i/>
          <w:color w:val="221F1F"/>
          <w:sz w:val="16"/>
        </w:rPr>
        <w:t>suc</w:t>
      </w:r>
      <w:proofErr w:type="spellEnd"/>
      <w:r>
        <w:rPr>
          <w:i/>
          <w:color w:val="221F1F"/>
          <w:spacing w:val="-10"/>
          <w:sz w:val="16"/>
        </w:rPr>
        <w:t xml:space="preserve"> </w:t>
      </w:r>
      <w:r>
        <w:rPr>
          <w:i/>
          <w:color w:val="221F1F"/>
          <w:sz w:val="16"/>
        </w:rPr>
        <w:t>has</w:t>
      </w:r>
      <w:r>
        <w:rPr>
          <w:i/>
          <w:color w:val="221F1F"/>
          <w:spacing w:val="-9"/>
          <w:sz w:val="16"/>
        </w:rPr>
        <w:t xml:space="preserve"> </w:t>
      </w:r>
      <w:r>
        <w:rPr>
          <w:i/>
          <w:color w:val="221F1F"/>
          <w:sz w:val="16"/>
        </w:rPr>
        <w:t>evaluating</w:t>
      </w:r>
      <w:r>
        <w:rPr>
          <w:i/>
          <w:color w:val="221F1F"/>
          <w:spacing w:val="-7"/>
          <w:sz w:val="16"/>
        </w:rPr>
        <w:t xml:space="preserve"> </w:t>
      </w:r>
      <w:r>
        <w:rPr>
          <w:i/>
          <w:color w:val="221F1F"/>
          <w:sz w:val="16"/>
        </w:rPr>
        <w:t>the</w:t>
      </w:r>
      <w:r>
        <w:rPr>
          <w:i/>
          <w:color w:val="221F1F"/>
          <w:spacing w:val="-8"/>
          <w:sz w:val="16"/>
        </w:rPr>
        <w:t xml:space="preserve"> </w:t>
      </w:r>
      <w:r>
        <w:rPr>
          <w:i/>
          <w:color w:val="221F1F"/>
          <w:sz w:val="16"/>
        </w:rPr>
        <w:t>veracity</w:t>
      </w:r>
      <w:r>
        <w:rPr>
          <w:i/>
          <w:color w:val="221F1F"/>
          <w:spacing w:val="-8"/>
          <w:sz w:val="16"/>
        </w:rPr>
        <w:t xml:space="preserve"> </w:t>
      </w:r>
      <w:r>
        <w:rPr>
          <w:i/>
          <w:color w:val="221F1F"/>
          <w:sz w:val="16"/>
        </w:rPr>
        <w:t>of</w:t>
      </w:r>
      <w:r>
        <w:rPr>
          <w:i/>
          <w:color w:val="221F1F"/>
          <w:spacing w:val="-8"/>
          <w:sz w:val="16"/>
        </w:rPr>
        <w:t xml:space="preserve"> </w:t>
      </w:r>
      <w:r>
        <w:rPr>
          <w:i/>
          <w:color w:val="221F1F"/>
          <w:sz w:val="16"/>
        </w:rPr>
        <w:t>an</w:t>
      </w:r>
      <w:r>
        <w:rPr>
          <w:i/>
          <w:color w:val="221F1F"/>
          <w:spacing w:val="-8"/>
          <w:sz w:val="16"/>
        </w:rPr>
        <w:t xml:space="preserve"> </w:t>
      </w:r>
      <w:r>
        <w:rPr>
          <w:i/>
          <w:color w:val="221F1F"/>
          <w:sz w:val="16"/>
        </w:rPr>
        <w:t>allegation</w:t>
      </w:r>
      <w:r>
        <w:rPr>
          <w:i/>
          <w:color w:val="221F1F"/>
          <w:spacing w:val="-7"/>
          <w:sz w:val="16"/>
        </w:rPr>
        <w:t xml:space="preserve"> </w:t>
      </w:r>
      <w:r>
        <w:rPr>
          <w:i/>
          <w:color w:val="221F1F"/>
          <w:sz w:val="16"/>
        </w:rPr>
        <w:t>of</w:t>
      </w:r>
      <w:r>
        <w:rPr>
          <w:i/>
          <w:color w:val="221F1F"/>
          <w:spacing w:val="-8"/>
          <w:sz w:val="16"/>
        </w:rPr>
        <w:t xml:space="preserve"> </w:t>
      </w:r>
      <w:r>
        <w:rPr>
          <w:i/>
          <w:color w:val="221F1F"/>
          <w:sz w:val="16"/>
        </w:rPr>
        <w:t>possible</w:t>
      </w:r>
      <w:r>
        <w:rPr>
          <w:i/>
          <w:color w:val="221F1F"/>
          <w:spacing w:val="40"/>
          <w:sz w:val="16"/>
        </w:rPr>
        <w:t xml:space="preserve"> </w:t>
      </w:r>
      <w:r>
        <w:rPr>
          <w:i/>
          <w:color w:val="221F1F"/>
          <w:sz w:val="16"/>
        </w:rPr>
        <w:t>Fraud and Corruption, through the appropriate mechanisms. Such activity includes but is not limited to: accessing and examining a firm's or individual's</w:t>
      </w:r>
      <w:r>
        <w:rPr>
          <w:i/>
          <w:color w:val="221F1F"/>
          <w:spacing w:val="40"/>
          <w:sz w:val="16"/>
        </w:rPr>
        <w:t xml:space="preserve"> </w:t>
      </w:r>
      <w:r>
        <w:rPr>
          <w:i/>
          <w:color w:val="221F1F"/>
          <w:sz w:val="16"/>
        </w:rPr>
        <w:t>financial</w:t>
      </w:r>
      <w:r>
        <w:rPr>
          <w:i/>
          <w:color w:val="221F1F"/>
          <w:spacing w:val="-4"/>
          <w:sz w:val="16"/>
        </w:rPr>
        <w:t xml:space="preserve"> </w:t>
      </w:r>
      <w:r>
        <w:rPr>
          <w:i/>
          <w:color w:val="221F1F"/>
          <w:sz w:val="16"/>
        </w:rPr>
        <w:t>records</w:t>
      </w:r>
      <w:r>
        <w:rPr>
          <w:i/>
          <w:color w:val="221F1F"/>
          <w:spacing w:val="-8"/>
          <w:sz w:val="16"/>
        </w:rPr>
        <w:t xml:space="preserve"> </w:t>
      </w:r>
      <w:r>
        <w:rPr>
          <w:i/>
          <w:color w:val="221F1F"/>
          <w:sz w:val="16"/>
        </w:rPr>
        <w:t>and</w:t>
      </w:r>
      <w:r>
        <w:rPr>
          <w:i/>
          <w:color w:val="221F1F"/>
          <w:spacing w:val="-7"/>
          <w:sz w:val="16"/>
        </w:rPr>
        <w:t xml:space="preserve"> </w:t>
      </w:r>
      <w:r>
        <w:rPr>
          <w:i/>
          <w:color w:val="221F1F"/>
          <w:sz w:val="16"/>
        </w:rPr>
        <w:t>information,</w:t>
      </w:r>
      <w:r>
        <w:rPr>
          <w:i/>
          <w:color w:val="221F1F"/>
          <w:spacing w:val="-7"/>
          <w:sz w:val="16"/>
        </w:rPr>
        <w:t xml:space="preserve"> </w:t>
      </w:r>
      <w:r>
        <w:rPr>
          <w:i/>
          <w:color w:val="221F1F"/>
          <w:sz w:val="16"/>
        </w:rPr>
        <w:t>and</w:t>
      </w:r>
      <w:r>
        <w:rPr>
          <w:i/>
          <w:color w:val="221F1F"/>
          <w:spacing w:val="-5"/>
          <w:sz w:val="16"/>
        </w:rPr>
        <w:t xml:space="preserve"> </w:t>
      </w:r>
      <w:r>
        <w:rPr>
          <w:i/>
          <w:color w:val="221F1F"/>
          <w:sz w:val="16"/>
        </w:rPr>
        <w:t>making</w:t>
      </w:r>
      <w:r>
        <w:rPr>
          <w:i/>
          <w:color w:val="221F1F"/>
          <w:spacing w:val="-5"/>
          <w:sz w:val="16"/>
        </w:rPr>
        <w:t xml:space="preserve"> </w:t>
      </w:r>
      <w:r>
        <w:rPr>
          <w:i/>
          <w:color w:val="221F1F"/>
          <w:sz w:val="16"/>
        </w:rPr>
        <w:t>copies</w:t>
      </w:r>
      <w:r>
        <w:rPr>
          <w:i/>
          <w:color w:val="221F1F"/>
          <w:spacing w:val="-8"/>
          <w:sz w:val="16"/>
        </w:rPr>
        <w:t xml:space="preserve"> </w:t>
      </w:r>
      <w:r>
        <w:rPr>
          <w:i/>
          <w:color w:val="221F1F"/>
          <w:sz w:val="16"/>
        </w:rPr>
        <w:t>thereof</w:t>
      </w:r>
      <w:r>
        <w:rPr>
          <w:i/>
          <w:color w:val="221F1F"/>
          <w:spacing w:val="-7"/>
          <w:sz w:val="16"/>
        </w:rPr>
        <w:t xml:space="preserve"> </w:t>
      </w:r>
      <w:r>
        <w:rPr>
          <w:i/>
          <w:color w:val="221F1F"/>
          <w:sz w:val="16"/>
        </w:rPr>
        <w:t>as</w:t>
      </w:r>
      <w:r>
        <w:rPr>
          <w:i/>
          <w:color w:val="221F1F"/>
          <w:spacing w:val="-6"/>
          <w:sz w:val="16"/>
        </w:rPr>
        <w:t xml:space="preserve"> </w:t>
      </w:r>
      <w:r>
        <w:rPr>
          <w:i/>
          <w:color w:val="221F1F"/>
          <w:sz w:val="16"/>
        </w:rPr>
        <w:t>relevant;</w:t>
      </w:r>
      <w:r>
        <w:rPr>
          <w:i/>
          <w:color w:val="221F1F"/>
          <w:spacing w:val="-9"/>
          <w:sz w:val="16"/>
        </w:rPr>
        <w:t xml:space="preserve"> </w:t>
      </w:r>
      <w:r>
        <w:rPr>
          <w:i/>
          <w:color w:val="221F1F"/>
          <w:sz w:val="16"/>
        </w:rPr>
        <w:t>accessing</w:t>
      </w:r>
      <w:r>
        <w:rPr>
          <w:i/>
          <w:color w:val="221F1F"/>
          <w:spacing w:val="-7"/>
          <w:sz w:val="16"/>
        </w:rPr>
        <w:t xml:space="preserve"> </w:t>
      </w:r>
      <w:r>
        <w:rPr>
          <w:i/>
          <w:color w:val="221F1F"/>
          <w:sz w:val="16"/>
        </w:rPr>
        <w:t>and</w:t>
      </w:r>
      <w:r>
        <w:rPr>
          <w:i/>
          <w:color w:val="221F1F"/>
          <w:spacing w:val="-7"/>
          <w:sz w:val="16"/>
        </w:rPr>
        <w:t xml:space="preserve"> </w:t>
      </w:r>
      <w:r>
        <w:rPr>
          <w:i/>
          <w:color w:val="221F1F"/>
          <w:sz w:val="16"/>
        </w:rPr>
        <w:t>examining</w:t>
      </w:r>
      <w:r>
        <w:rPr>
          <w:i/>
          <w:color w:val="221F1F"/>
          <w:spacing w:val="-7"/>
          <w:sz w:val="16"/>
        </w:rPr>
        <w:t xml:space="preserve"> </w:t>
      </w:r>
      <w:r>
        <w:rPr>
          <w:i/>
          <w:color w:val="221F1F"/>
          <w:sz w:val="16"/>
        </w:rPr>
        <w:t>any</w:t>
      </w:r>
      <w:r>
        <w:rPr>
          <w:i/>
          <w:color w:val="221F1F"/>
          <w:spacing w:val="-7"/>
          <w:sz w:val="16"/>
        </w:rPr>
        <w:t xml:space="preserve"> </w:t>
      </w:r>
      <w:r>
        <w:rPr>
          <w:i/>
          <w:color w:val="221F1F"/>
          <w:sz w:val="16"/>
        </w:rPr>
        <w:t>other</w:t>
      </w:r>
      <w:r>
        <w:rPr>
          <w:i/>
          <w:color w:val="221F1F"/>
          <w:spacing w:val="-8"/>
          <w:sz w:val="16"/>
        </w:rPr>
        <w:t xml:space="preserve"> </w:t>
      </w:r>
      <w:r>
        <w:rPr>
          <w:i/>
          <w:color w:val="221F1F"/>
          <w:sz w:val="16"/>
        </w:rPr>
        <w:t>documents,</w:t>
      </w:r>
      <w:r>
        <w:rPr>
          <w:i/>
          <w:color w:val="221F1F"/>
          <w:spacing w:val="-7"/>
          <w:sz w:val="16"/>
        </w:rPr>
        <w:t xml:space="preserve"> </w:t>
      </w:r>
      <w:r>
        <w:rPr>
          <w:i/>
          <w:color w:val="221F1F"/>
          <w:sz w:val="16"/>
        </w:rPr>
        <w:t>data</w:t>
      </w:r>
      <w:r>
        <w:rPr>
          <w:i/>
          <w:color w:val="221F1F"/>
          <w:spacing w:val="-7"/>
          <w:sz w:val="16"/>
        </w:rPr>
        <w:t xml:space="preserve"> </w:t>
      </w:r>
      <w:r>
        <w:rPr>
          <w:i/>
          <w:color w:val="221F1F"/>
          <w:sz w:val="16"/>
        </w:rPr>
        <w:t>and</w:t>
      </w:r>
      <w:r>
        <w:rPr>
          <w:i/>
          <w:color w:val="221F1F"/>
          <w:spacing w:val="-7"/>
          <w:sz w:val="16"/>
        </w:rPr>
        <w:t xml:space="preserve"> </w:t>
      </w:r>
      <w:r>
        <w:rPr>
          <w:i/>
          <w:color w:val="221F1F"/>
          <w:sz w:val="16"/>
        </w:rPr>
        <w:t>information</w:t>
      </w:r>
      <w:r>
        <w:rPr>
          <w:i/>
          <w:color w:val="221F1F"/>
          <w:spacing w:val="-5"/>
          <w:sz w:val="16"/>
        </w:rPr>
        <w:t xml:space="preserve"> </w:t>
      </w:r>
      <w:r>
        <w:rPr>
          <w:i/>
          <w:color w:val="221F1F"/>
          <w:sz w:val="16"/>
        </w:rPr>
        <w:t>(whether</w:t>
      </w:r>
      <w:r>
        <w:rPr>
          <w:i/>
          <w:color w:val="221F1F"/>
          <w:spacing w:val="-6"/>
          <w:sz w:val="16"/>
        </w:rPr>
        <w:t xml:space="preserve"> </w:t>
      </w:r>
      <w:r>
        <w:rPr>
          <w:i/>
          <w:color w:val="221F1F"/>
          <w:sz w:val="16"/>
        </w:rPr>
        <w:t>in</w:t>
      </w:r>
      <w:r>
        <w:rPr>
          <w:i/>
          <w:color w:val="221F1F"/>
          <w:spacing w:val="-6"/>
          <w:sz w:val="16"/>
        </w:rPr>
        <w:t xml:space="preserve"> </w:t>
      </w:r>
      <w:r>
        <w:rPr>
          <w:i/>
          <w:color w:val="221F1F"/>
          <w:sz w:val="16"/>
        </w:rPr>
        <w:t>hard</w:t>
      </w:r>
      <w:r>
        <w:rPr>
          <w:i/>
          <w:color w:val="221F1F"/>
          <w:spacing w:val="40"/>
          <w:sz w:val="16"/>
        </w:rPr>
        <w:t xml:space="preserve"> </w:t>
      </w:r>
      <w:proofErr w:type="spellStart"/>
      <w:r>
        <w:rPr>
          <w:i/>
          <w:color w:val="221F1F"/>
          <w:sz w:val="16"/>
        </w:rPr>
        <w:t>copyor</w:t>
      </w:r>
      <w:proofErr w:type="spellEnd"/>
      <w:r>
        <w:rPr>
          <w:i/>
          <w:color w:val="221F1F"/>
          <w:spacing w:val="-3"/>
          <w:sz w:val="16"/>
        </w:rPr>
        <w:t xml:space="preserve"> </w:t>
      </w:r>
      <w:r>
        <w:rPr>
          <w:i/>
          <w:color w:val="221F1F"/>
          <w:sz w:val="16"/>
        </w:rPr>
        <w:t>electronic</w:t>
      </w:r>
      <w:r>
        <w:rPr>
          <w:i/>
          <w:color w:val="221F1F"/>
          <w:spacing w:val="-1"/>
          <w:sz w:val="16"/>
        </w:rPr>
        <w:t xml:space="preserve"> </w:t>
      </w:r>
      <w:r>
        <w:rPr>
          <w:i/>
          <w:color w:val="221F1F"/>
          <w:sz w:val="16"/>
        </w:rPr>
        <w:t>format)</w:t>
      </w:r>
      <w:r>
        <w:rPr>
          <w:i/>
          <w:color w:val="221F1F"/>
          <w:spacing w:val="-3"/>
          <w:sz w:val="16"/>
        </w:rPr>
        <w:t xml:space="preserve"> </w:t>
      </w:r>
      <w:r>
        <w:rPr>
          <w:i/>
          <w:color w:val="221F1F"/>
          <w:sz w:val="16"/>
        </w:rPr>
        <w:t>deemed</w:t>
      </w:r>
      <w:r>
        <w:rPr>
          <w:i/>
          <w:color w:val="221F1F"/>
          <w:spacing w:val="-1"/>
          <w:sz w:val="16"/>
        </w:rPr>
        <w:t xml:space="preserve"> </w:t>
      </w:r>
      <w:r>
        <w:rPr>
          <w:i/>
          <w:color w:val="221F1F"/>
          <w:sz w:val="16"/>
        </w:rPr>
        <w:t>relevant</w:t>
      </w:r>
      <w:r>
        <w:rPr>
          <w:i/>
          <w:color w:val="221F1F"/>
          <w:spacing w:val="-2"/>
          <w:sz w:val="16"/>
        </w:rPr>
        <w:t xml:space="preserve"> </w:t>
      </w:r>
      <w:r>
        <w:rPr>
          <w:i/>
          <w:color w:val="221F1F"/>
          <w:sz w:val="16"/>
        </w:rPr>
        <w:t>for</w:t>
      </w:r>
      <w:r>
        <w:rPr>
          <w:i/>
          <w:color w:val="221F1F"/>
          <w:spacing w:val="-2"/>
          <w:sz w:val="16"/>
        </w:rPr>
        <w:t xml:space="preserve"> </w:t>
      </w:r>
      <w:proofErr w:type="spellStart"/>
      <w:r>
        <w:rPr>
          <w:i/>
          <w:color w:val="221F1F"/>
          <w:sz w:val="16"/>
        </w:rPr>
        <w:t>th</w:t>
      </w:r>
      <w:proofErr w:type="spellEnd"/>
      <w:r>
        <w:rPr>
          <w:i/>
          <w:color w:val="221F1F"/>
          <w:spacing w:val="-2"/>
          <w:sz w:val="16"/>
        </w:rPr>
        <w:t xml:space="preserve"> </w:t>
      </w:r>
      <w:proofErr w:type="spellStart"/>
      <w:r>
        <w:rPr>
          <w:i/>
          <w:color w:val="221F1F"/>
          <w:sz w:val="16"/>
        </w:rPr>
        <w:t>einvestigation</w:t>
      </w:r>
      <w:proofErr w:type="spellEnd"/>
      <w:r>
        <w:rPr>
          <w:i/>
          <w:color w:val="221F1F"/>
          <w:sz w:val="16"/>
        </w:rPr>
        <w:t>/audit,</w:t>
      </w:r>
      <w:r>
        <w:rPr>
          <w:i/>
          <w:color w:val="221F1F"/>
          <w:spacing w:val="-4"/>
          <w:sz w:val="16"/>
        </w:rPr>
        <w:t xml:space="preserve"> </w:t>
      </w:r>
      <w:r>
        <w:rPr>
          <w:i/>
          <w:color w:val="221F1F"/>
          <w:sz w:val="16"/>
        </w:rPr>
        <w:t>and</w:t>
      </w:r>
      <w:r>
        <w:rPr>
          <w:i/>
          <w:color w:val="221F1F"/>
          <w:spacing w:val="-4"/>
          <w:sz w:val="16"/>
        </w:rPr>
        <w:t xml:space="preserve"> </w:t>
      </w:r>
      <w:r>
        <w:rPr>
          <w:i/>
          <w:color w:val="221F1F"/>
          <w:sz w:val="16"/>
        </w:rPr>
        <w:t>making</w:t>
      </w:r>
      <w:r>
        <w:rPr>
          <w:i/>
          <w:color w:val="221F1F"/>
          <w:spacing w:val="-2"/>
          <w:sz w:val="16"/>
        </w:rPr>
        <w:t xml:space="preserve"> </w:t>
      </w:r>
      <w:r>
        <w:rPr>
          <w:i/>
          <w:color w:val="221F1F"/>
          <w:sz w:val="16"/>
        </w:rPr>
        <w:t>copies</w:t>
      </w:r>
      <w:r>
        <w:rPr>
          <w:i/>
          <w:color w:val="221F1F"/>
          <w:spacing w:val="-5"/>
          <w:sz w:val="16"/>
        </w:rPr>
        <w:t xml:space="preserve"> </w:t>
      </w:r>
      <w:r>
        <w:rPr>
          <w:i/>
          <w:color w:val="221F1F"/>
          <w:sz w:val="16"/>
        </w:rPr>
        <w:t>there</w:t>
      </w:r>
      <w:r>
        <w:rPr>
          <w:i/>
          <w:color w:val="221F1F"/>
          <w:spacing w:val="-5"/>
          <w:sz w:val="16"/>
        </w:rPr>
        <w:t xml:space="preserve"> </w:t>
      </w:r>
      <w:r>
        <w:rPr>
          <w:i/>
          <w:color w:val="221F1F"/>
          <w:sz w:val="16"/>
        </w:rPr>
        <w:t>of</w:t>
      </w:r>
      <w:r>
        <w:rPr>
          <w:i/>
          <w:color w:val="221F1F"/>
          <w:spacing w:val="-5"/>
          <w:sz w:val="16"/>
        </w:rPr>
        <w:t xml:space="preserve"> </w:t>
      </w:r>
      <w:r>
        <w:rPr>
          <w:i/>
          <w:color w:val="221F1F"/>
          <w:sz w:val="16"/>
        </w:rPr>
        <w:t>as</w:t>
      </w:r>
      <w:r>
        <w:rPr>
          <w:i/>
          <w:color w:val="221F1F"/>
          <w:spacing w:val="-3"/>
          <w:sz w:val="16"/>
        </w:rPr>
        <w:t xml:space="preserve"> </w:t>
      </w:r>
      <w:r>
        <w:rPr>
          <w:i/>
          <w:color w:val="221F1F"/>
          <w:sz w:val="16"/>
        </w:rPr>
        <w:t>relevant;</w:t>
      </w:r>
      <w:r>
        <w:rPr>
          <w:i/>
          <w:color w:val="221F1F"/>
          <w:spacing w:val="-3"/>
          <w:sz w:val="16"/>
        </w:rPr>
        <w:t xml:space="preserve"> </w:t>
      </w:r>
      <w:r>
        <w:rPr>
          <w:i/>
          <w:color w:val="221F1F"/>
          <w:sz w:val="16"/>
        </w:rPr>
        <w:t>interviewing</w:t>
      </w:r>
      <w:r>
        <w:rPr>
          <w:i/>
          <w:color w:val="221F1F"/>
          <w:spacing w:val="-1"/>
          <w:sz w:val="16"/>
        </w:rPr>
        <w:t xml:space="preserve"> </w:t>
      </w:r>
      <w:r>
        <w:rPr>
          <w:i/>
          <w:color w:val="221F1F"/>
          <w:sz w:val="16"/>
        </w:rPr>
        <w:t>staff</w:t>
      </w:r>
      <w:r>
        <w:rPr>
          <w:i/>
          <w:color w:val="221F1F"/>
          <w:spacing w:val="-4"/>
          <w:sz w:val="16"/>
        </w:rPr>
        <w:t xml:space="preserve"> </w:t>
      </w:r>
      <w:r>
        <w:rPr>
          <w:i/>
          <w:color w:val="221F1F"/>
          <w:sz w:val="16"/>
        </w:rPr>
        <w:t>and</w:t>
      </w:r>
      <w:r>
        <w:rPr>
          <w:i/>
          <w:color w:val="221F1F"/>
          <w:spacing w:val="-2"/>
          <w:sz w:val="16"/>
        </w:rPr>
        <w:t xml:space="preserve"> </w:t>
      </w:r>
      <w:r>
        <w:rPr>
          <w:i/>
          <w:color w:val="221F1F"/>
          <w:sz w:val="16"/>
        </w:rPr>
        <w:t>other</w:t>
      </w:r>
      <w:r>
        <w:rPr>
          <w:i/>
          <w:color w:val="221F1F"/>
          <w:spacing w:val="-3"/>
          <w:sz w:val="16"/>
        </w:rPr>
        <w:t xml:space="preserve"> </w:t>
      </w:r>
      <w:r>
        <w:rPr>
          <w:i/>
          <w:color w:val="221F1F"/>
          <w:sz w:val="16"/>
        </w:rPr>
        <w:t>relevant</w:t>
      </w:r>
      <w:r>
        <w:rPr>
          <w:i/>
          <w:color w:val="221F1F"/>
          <w:spacing w:val="-4"/>
          <w:sz w:val="16"/>
        </w:rPr>
        <w:t xml:space="preserve"> </w:t>
      </w:r>
      <w:r>
        <w:rPr>
          <w:i/>
          <w:color w:val="221F1F"/>
          <w:sz w:val="16"/>
        </w:rPr>
        <w:t>individuals;</w:t>
      </w:r>
      <w:r>
        <w:rPr>
          <w:i/>
          <w:color w:val="221F1F"/>
          <w:spacing w:val="40"/>
          <w:sz w:val="16"/>
        </w:rPr>
        <w:t xml:space="preserve"> </w:t>
      </w:r>
      <w:r>
        <w:rPr>
          <w:i/>
          <w:color w:val="221F1F"/>
          <w:sz w:val="16"/>
        </w:rPr>
        <w:t>performing physical inspections and site visits; and obtaining third party verification of information.</w:t>
      </w:r>
    </w:p>
    <w:p w:rsidR="007F6DF9" w:rsidRDefault="007F6DF9">
      <w:pPr>
        <w:spacing w:line="230" w:lineRule="auto"/>
        <w:jc w:val="both"/>
        <w:rPr>
          <w:i/>
          <w:sz w:val="16"/>
        </w:rPr>
        <w:sectPr w:rsidR="007F6DF9">
          <w:pgSz w:w="11920" w:h="16850"/>
          <w:pgMar w:top="360" w:right="283" w:bottom="620" w:left="141" w:header="0" w:footer="437" w:gutter="0"/>
          <w:cols w:space="720"/>
        </w:sectPr>
      </w:pPr>
    </w:p>
    <w:p w:rsidR="007F6DF9" w:rsidRDefault="007F6DF9">
      <w:pPr>
        <w:pStyle w:val="BodyText"/>
        <w:spacing w:before="179"/>
        <w:rPr>
          <w:i/>
          <w:sz w:val="24"/>
        </w:rPr>
      </w:pPr>
    </w:p>
    <w:p w:rsidR="007F6DF9" w:rsidRDefault="00A43FBC">
      <w:pPr>
        <w:pStyle w:val="Heading7"/>
        <w:ind w:left="715"/>
        <w:rPr>
          <w:b w:val="0"/>
        </w:rPr>
      </w:pPr>
      <w:r>
        <w:rPr>
          <w:color w:val="221F1F"/>
        </w:rPr>
        <w:t>FORM</w:t>
      </w:r>
      <w:r>
        <w:rPr>
          <w:color w:val="221F1F"/>
          <w:spacing w:val="-5"/>
        </w:rPr>
        <w:t xml:space="preserve"> </w:t>
      </w:r>
      <w:r>
        <w:rPr>
          <w:color w:val="221F1F"/>
        </w:rPr>
        <w:t>OF</w:t>
      </w:r>
      <w:r>
        <w:rPr>
          <w:color w:val="221F1F"/>
          <w:spacing w:val="-1"/>
        </w:rPr>
        <w:t xml:space="preserve"> </w:t>
      </w:r>
      <w:r>
        <w:rPr>
          <w:color w:val="221F1F"/>
        </w:rPr>
        <w:t>TENDER</w:t>
      </w:r>
      <w:r>
        <w:rPr>
          <w:color w:val="221F1F"/>
          <w:spacing w:val="-1"/>
        </w:rPr>
        <w:t xml:space="preserve"> </w:t>
      </w:r>
      <w:r>
        <w:rPr>
          <w:color w:val="221F1F"/>
        </w:rPr>
        <w:t>SECURITY</w:t>
      </w:r>
      <w:proofErr w:type="gramStart"/>
      <w:r>
        <w:rPr>
          <w:color w:val="221F1F"/>
        </w:rPr>
        <w:t>-</w:t>
      </w:r>
      <w:r>
        <w:rPr>
          <w:b w:val="0"/>
          <w:color w:val="221F1F"/>
        </w:rPr>
        <w:t>[</w:t>
      </w:r>
      <w:proofErr w:type="gramEnd"/>
      <w:r>
        <w:rPr>
          <w:color w:val="221F1F"/>
        </w:rPr>
        <w:t>Option</w:t>
      </w:r>
      <w:r>
        <w:rPr>
          <w:color w:val="221F1F"/>
          <w:spacing w:val="-1"/>
        </w:rPr>
        <w:t xml:space="preserve"> </w:t>
      </w:r>
      <w:r>
        <w:rPr>
          <w:color w:val="221F1F"/>
        </w:rPr>
        <w:t>1–Demand</w:t>
      </w:r>
      <w:r>
        <w:rPr>
          <w:color w:val="221F1F"/>
          <w:spacing w:val="-1"/>
        </w:rPr>
        <w:t xml:space="preserve"> </w:t>
      </w:r>
      <w:r>
        <w:rPr>
          <w:color w:val="221F1F"/>
        </w:rPr>
        <w:t>Bank</w:t>
      </w:r>
      <w:r>
        <w:rPr>
          <w:color w:val="221F1F"/>
          <w:spacing w:val="-1"/>
        </w:rPr>
        <w:t xml:space="preserve"> </w:t>
      </w:r>
      <w:r>
        <w:rPr>
          <w:color w:val="221F1F"/>
          <w:spacing w:val="-2"/>
        </w:rPr>
        <w:t>Guarantee</w:t>
      </w:r>
      <w:r>
        <w:rPr>
          <w:b w:val="0"/>
          <w:spacing w:val="-2"/>
        </w:rPr>
        <w:t>]</w:t>
      </w:r>
    </w:p>
    <w:p w:rsidR="007F6DF9" w:rsidRDefault="007F6DF9">
      <w:pPr>
        <w:pStyle w:val="BodyText"/>
        <w:spacing w:before="130"/>
        <w:rPr>
          <w:sz w:val="24"/>
        </w:rPr>
      </w:pPr>
    </w:p>
    <w:p w:rsidR="007F6DF9" w:rsidRDefault="00A43FBC">
      <w:pPr>
        <w:pStyle w:val="Heading9"/>
        <w:tabs>
          <w:tab w:val="left" w:pos="7542"/>
        </w:tabs>
        <w:spacing w:line="302" w:lineRule="auto"/>
        <w:ind w:left="715" w:right="3942" w:firstLine="0"/>
      </w:pPr>
      <w:r>
        <w:rPr>
          <w:color w:val="221F1F"/>
          <w:spacing w:val="-2"/>
        </w:rPr>
        <w:t>Beneficiary:</w:t>
      </w:r>
      <w:r>
        <w:rPr>
          <w:b w:val="0"/>
          <w:color w:val="221F1F"/>
          <w:u w:val="thick" w:color="211E1F"/>
        </w:rPr>
        <w:tab/>
      </w:r>
      <w:r>
        <w:rPr>
          <w:b w:val="0"/>
          <w:color w:val="221F1F"/>
        </w:rPr>
        <w:t xml:space="preserve"> </w:t>
      </w:r>
      <w:r>
        <w:rPr>
          <w:color w:val="221F1F"/>
        </w:rPr>
        <w:t xml:space="preserve">Request </w:t>
      </w:r>
      <w:proofErr w:type="spellStart"/>
      <w:r>
        <w:rPr>
          <w:color w:val="221F1F"/>
        </w:rPr>
        <w:t>forTenders</w:t>
      </w:r>
      <w:proofErr w:type="spellEnd"/>
      <w:r>
        <w:rPr>
          <w:color w:val="221F1F"/>
        </w:rPr>
        <w:t xml:space="preserve"> No:</w:t>
      </w:r>
    </w:p>
    <w:p w:rsidR="007F6DF9" w:rsidRDefault="00A43FBC">
      <w:pPr>
        <w:pStyle w:val="BodyText"/>
        <w:spacing w:before="11"/>
        <w:rPr>
          <w:b/>
          <w:sz w:val="17"/>
        </w:rPr>
      </w:pPr>
      <w:r>
        <w:rPr>
          <w:b/>
          <w:noProof/>
          <w:sz w:val="17"/>
        </w:rPr>
        <mc:AlternateContent>
          <mc:Choice Requires="wps">
            <w:drawing>
              <wp:anchor distT="0" distB="0" distL="0" distR="0" simplePos="0" relativeHeight="251679232" behindDoc="1" locked="0" layoutInCell="1" allowOverlap="1">
                <wp:simplePos x="0" y="0"/>
                <wp:positionH relativeFrom="page">
                  <wp:posOffset>544068</wp:posOffset>
                </wp:positionH>
                <wp:positionV relativeFrom="paragraph">
                  <wp:posOffset>146408</wp:posOffset>
                </wp:positionV>
                <wp:extent cx="4257675" cy="635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6350"/>
                        </a:xfrm>
                        <a:custGeom>
                          <a:avLst/>
                          <a:gdLst/>
                          <a:ahLst/>
                          <a:cxnLst/>
                          <a:rect l="l" t="t" r="r" b="b"/>
                          <a:pathLst>
                            <a:path w="4257675" h="6350">
                              <a:moveTo>
                                <a:pt x="4257421" y="0"/>
                              </a:moveTo>
                              <a:lnTo>
                                <a:pt x="0" y="0"/>
                              </a:lnTo>
                              <a:lnTo>
                                <a:pt x="0" y="6096"/>
                              </a:lnTo>
                              <a:lnTo>
                                <a:pt x="4257421" y="6096"/>
                              </a:lnTo>
                              <a:lnTo>
                                <a:pt x="4257421" y="0"/>
                              </a:lnTo>
                              <a:close/>
                            </a:path>
                          </a:pathLst>
                        </a:custGeom>
                        <a:solidFill>
                          <a:srgbClr val="211E1F"/>
                        </a:solidFill>
                      </wps:spPr>
                      <wps:bodyPr wrap="square" lIns="0" tIns="0" rIns="0" bIns="0" rtlCol="0">
                        <a:prstTxWarp prst="textNoShape">
                          <a:avLst/>
                        </a:prstTxWarp>
                        <a:noAutofit/>
                      </wps:bodyPr>
                    </wps:wsp>
                  </a:graphicData>
                </a:graphic>
              </wp:anchor>
            </w:drawing>
          </mc:Choice>
          <mc:Fallback>
            <w:pict>
              <v:shape w14:anchorId="7E717975" id="Graphic 236" o:spid="_x0000_s1026" style="position:absolute;margin-left:42.85pt;margin-top:11.55pt;width:335.25pt;height:.5pt;z-index:-251637248;visibility:visible;mso-wrap-style:square;mso-wrap-distance-left:0;mso-wrap-distance-top:0;mso-wrap-distance-right:0;mso-wrap-distance-bottom:0;mso-position-horizontal:absolute;mso-position-horizontal-relative:page;mso-position-vertical:absolute;mso-position-vertical-relative:text;v-text-anchor:top" coordsize="4257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" path="m4257421,l,,,6096r4257421,l4257421,xe" fillcolor="#211e1f" stroked="f">
                <v:path arrowok="t"/>
                <w10:wrap type="topAndBottom" anchorx="page"/>
              </v:shape>
            </w:pict>
          </mc:Fallback>
        </mc:AlternateContent>
      </w:r>
    </w:p>
    <w:p w:rsidR="007F6DF9" w:rsidRDefault="00A43FBC">
      <w:pPr>
        <w:pStyle w:val="Heading9"/>
        <w:tabs>
          <w:tab w:val="left" w:pos="7578"/>
        </w:tabs>
        <w:spacing w:before="78" w:line="302" w:lineRule="auto"/>
        <w:ind w:left="715" w:right="3906" w:firstLine="0"/>
      </w:pPr>
      <w:r>
        <w:rPr>
          <w:color w:val="221F1F"/>
          <w:spacing w:val="-2"/>
        </w:rPr>
        <w:t>Date:</w:t>
      </w:r>
      <w:r>
        <w:rPr>
          <w:color w:val="221F1F"/>
          <w:u w:val="single" w:color="211E1F"/>
        </w:rPr>
        <w:tab/>
      </w:r>
      <w:r>
        <w:rPr>
          <w:color w:val="221F1F"/>
        </w:rPr>
        <w:t xml:space="preserve"> TENDER</w:t>
      </w:r>
      <w:r>
        <w:rPr>
          <w:color w:val="221F1F"/>
          <w:spacing w:val="-10"/>
        </w:rPr>
        <w:t xml:space="preserve"> </w:t>
      </w:r>
      <w:r>
        <w:rPr>
          <w:color w:val="221F1F"/>
        </w:rPr>
        <w:t>GUARANTEE</w:t>
      </w:r>
      <w:r>
        <w:rPr>
          <w:color w:val="221F1F"/>
          <w:spacing w:val="-7"/>
        </w:rPr>
        <w:t xml:space="preserve"> </w:t>
      </w:r>
      <w:r>
        <w:rPr>
          <w:color w:val="221F1F"/>
          <w:spacing w:val="-4"/>
        </w:rPr>
        <w:t>No.:</w:t>
      </w:r>
      <w:r>
        <w:rPr>
          <w:color w:val="221F1F"/>
          <w:u w:val="single" w:color="211E1F"/>
        </w:rPr>
        <w:tab/>
      </w:r>
    </w:p>
    <w:p w:rsidR="007F6DF9" w:rsidRDefault="00A43FBC">
      <w:pPr>
        <w:tabs>
          <w:tab w:val="left" w:pos="7602"/>
        </w:tabs>
        <w:ind w:left="715"/>
        <w:rPr>
          <w:b/>
        </w:rPr>
      </w:pPr>
      <w:r>
        <w:rPr>
          <w:b/>
          <w:color w:val="221F1F"/>
        </w:rPr>
        <w:t xml:space="preserve">Guarantor: </w:t>
      </w:r>
      <w:r>
        <w:rPr>
          <w:b/>
          <w:color w:val="221F1F"/>
          <w:u w:val="single" w:color="211E1F"/>
        </w:rPr>
        <w:tab/>
      </w:r>
    </w:p>
    <w:p w:rsidR="007F6DF9" w:rsidRDefault="007F6DF9">
      <w:pPr>
        <w:pStyle w:val="BodyText"/>
        <w:spacing w:before="158"/>
        <w:rPr>
          <w:b/>
        </w:rPr>
      </w:pPr>
    </w:p>
    <w:p w:rsidR="007F6DF9" w:rsidRDefault="00A43FBC">
      <w:pPr>
        <w:pStyle w:val="ListParagraph"/>
        <w:numPr>
          <w:ilvl w:val="0"/>
          <w:numId w:val="133"/>
        </w:numPr>
        <w:tabs>
          <w:tab w:val="left" w:pos="1107"/>
          <w:tab w:val="left" w:pos="4993"/>
          <w:tab w:val="left" w:pos="6433"/>
          <w:tab w:val="left" w:pos="11167"/>
        </w:tabs>
        <w:spacing w:line="230" w:lineRule="auto"/>
        <w:ind w:right="319"/>
      </w:pPr>
      <w:r>
        <w:rPr>
          <w:noProof/>
        </w:rPr>
        <mc:AlternateContent>
          <mc:Choice Requires="wps">
            <w:drawing>
              <wp:anchor distT="0" distB="0" distL="0" distR="0" simplePos="0" relativeHeight="251639296" behindDoc="0" locked="0" layoutInCell="1" allowOverlap="1">
                <wp:simplePos x="0" y="0"/>
                <wp:positionH relativeFrom="page">
                  <wp:posOffset>2504567</wp:posOffset>
                </wp:positionH>
                <wp:positionV relativeFrom="paragraph">
                  <wp:posOffset>448397</wp:posOffset>
                </wp:positionV>
                <wp:extent cx="756285" cy="635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 cy="6350"/>
                        </a:xfrm>
                        <a:custGeom>
                          <a:avLst/>
                          <a:gdLst/>
                          <a:ahLst/>
                          <a:cxnLst/>
                          <a:rect l="l" t="t" r="r" b="b"/>
                          <a:pathLst>
                            <a:path w="756285" h="6350">
                              <a:moveTo>
                                <a:pt x="755904" y="0"/>
                              </a:moveTo>
                              <a:lnTo>
                                <a:pt x="0" y="0"/>
                              </a:lnTo>
                              <a:lnTo>
                                <a:pt x="0" y="6096"/>
                              </a:lnTo>
                              <a:lnTo>
                                <a:pt x="755904" y="6096"/>
                              </a:lnTo>
                              <a:lnTo>
                                <a:pt x="755904" y="0"/>
                              </a:lnTo>
                              <a:close/>
                            </a:path>
                          </a:pathLst>
                        </a:custGeom>
                        <a:solidFill>
                          <a:srgbClr val="211E1F"/>
                        </a:solidFill>
                      </wps:spPr>
                      <wps:bodyPr wrap="square" lIns="0" tIns="0" rIns="0" bIns="0" rtlCol="0">
                        <a:prstTxWarp prst="textNoShape">
                          <a:avLst/>
                        </a:prstTxWarp>
                        <a:noAutofit/>
                      </wps:bodyPr>
                    </wps:wsp>
                  </a:graphicData>
                </a:graphic>
              </wp:anchor>
            </w:drawing>
          </mc:Choice>
          <mc:Fallback>
            <w:pict>
              <v:shape w14:anchorId="0B9B510F" id="Graphic 237" o:spid="_x0000_s1026" style="position:absolute;margin-left:197.2pt;margin-top:35.3pt;width:59.55pt;height:.5pt;z-index:251639296;visibility:visible;mso-wrap-style:square;mso-wrap-distance-left:0;mso-wrap-distance-top:0;mso-wrap-distance-right:0;mso-wrap-distance-bottom:0;mso-position-horizontal:absolute;mso-position-horizontal-relative:page;mso-position-vertical:absolute;mso-position-vertical-relative:text;v-text-anchor:top" coordsize="756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" path="m755904,l,,,6096r755904,l755904,xe" fillcolor="#211e1f" stroked="f">
                <v:path arrowok="t"/>
                <w10:wrap anchorx="page"/>
              </v:shape>
            </w:pict>
          </mc:Fallback>
        </mc:AlternateContent>
      </w:r>
      <w:r>
        <w:rPr>
          <w:color w:val="221F1F"/>
        </w:rPr>
        <w:t>We have been informed that</w:t>
      </w:r>
      <w:r>
        <w:rPr>
          <w:color w:val="221F1F"/>
          <w:u w:val="single" w:color="211E1F"/>
        </w:rPr>
        <w:tab/>
      </w:r>
      <w:r>
        <w:rPr>
          <w:color w:val="221F1F"/>
          <w:u w:val="single" w:color="211E1F"/>
        </w:rPr>
        <w:tab/>
      </w:r>
      <w:r>
        <w:rPr>
          <w:color w:val="221F1F"/>
        </w:rPr>
        <w:t xml:space="preserve">(here </w:t>
      </w:r>
      <w:proofErr w:type="spellStart"/>
      <w:r>
        <w:rPr>
          <w:color w:val="221F1F"/>
        </w:rPr>
        <w:t>inafter</w:t>
      </w:r>
      <w:proofErr w:type="spellEnd"/>
      <w:r>
        <w:rPr>
          <w:color w:val="221F1F"/>
        </w:rPr>
        <w:t xml:space="preserve"> called "the Applicant") has submitted or will submit to the Beneficiary its Tender (here </w:t>
      </w:r>
      <w:proofErr w:type="spellStart"/>
      <w:r>
        <w:rPr>
          <w:color w:val="221F1F"/>
        </w:rPr>
        <w:t>inafter</w:t>
      </w:r>
      <w:proofErr w:type="spellEnd"/>
      <w:r>
        <w:rPr>
          <w:color w:val="221F1F"/>
        </w:rPr>
        <w:t xml:space="preserve"> called" the Tender") for the execution of</w:t>
      </w:r>
      <w:r>
        <w:rPr>
          <w:color w:val="221F1F"/>
          <w:u w:val="single" w:color="211E1F"/>
        </w:rPr>
        <w:tab/>
      </w:r>
      <w:r>
        <w:rPr>
          <w:color w:val="221F1F"/>
        </w:rPr>
        <w:t xml:space="preserve"> under Request for Tenders No.</w:t>
      </w:r>
      <w:r>
        <w:rPr>
          <w:color w:val="221F1F"/>
        </w:rPr>
        <w:tab/>
        <w:t>(“the ITT”).</w:t>
      </w:r>
    </w:p>
    <w:p w:rsidR="007F6DF9" w:rsidRDefault="007F6DF9">
      <w:pPr>
        <w:pStyle w:val="BodyText"/>
        <w:spacing w:before="159"/>
      </w:pPr>
    </w:p>
    <w:p w:rsidR="007F6DF9" w:rsidRDefault="00A43FBC">
      <w:pPr>
        <w:pStyle w:val="ListParagraph"/>
        <w:numPr>
          <w:ilvl w:val="0"/>
          <w:numId w:val="133"/>
        </w:numPr>
        <w:tabs>
          <w:tab w:val="left" w:pos="1105"/>
          <w:tab w:val="left" w:pos="1107"/>
        </w:tabs>
        <w:spacing w:line="230" w:lineRule="auto"/>
        <w:ind w:right="559"/>
        <w:jc w:val="both"/>
      </w:pPr>
      <w:r>
        <w:rPr>
          <w:color w:val="221F1F"/>
        </w:rPr>
        <w:t>Furthermore, we understand that, according to the Beneficiary's conditions, Tenders must be supported by a Tender guarantee.</w:t>
      </w:r>
    </w:p>
    <w:p w:rsidR="007F6DF9" w:rsidRDefault="007F6DF9">
      <w:pPr>
        <w:pStyle w:val="BodyText"/>
        <w:spacing w:before="159"/>
      </w:pPr>
    </w:p>
    <w:p w:rsidR="007F6DF9" w:rsidRDefault="00A43FBC">
      <w:pPr>
        <w:pStyle w:val="ListParagraph"/>
        <w:numPr>
          <w:ilvl w:val="0"/>
          <w:numId w:val="133"/>
        </w:numPr>
        <w:tabs>
          <w:tab w:val="left" w:pos="1105"/>
          <w:tab w:val="left" w:pos="1107"/>
          <w:tab w:val="left" w:pos="6032"/>
          <w:tab w:val="left" w:pos="7425"/>
        </w:tabs>
        <w:spacing w:line="230" w:lineRule="auto"/>
        <w:ind w:right="560"/>
        <w:jc w:val="both"/>
      </w:pPr>
      <w:r>
        <w:rPr>
          <w:noProof/>
        </w:rPr>
        <mc:AlternateContent>
          <mc:Choice Requires="wps">
            <w:drawing>
              <wp:anchor distT="0" distB="0" distL="0" distR="0" simplePos="0" relativeHeight="251640320" behindDoc="0" locked="0" layoutInCell="1" allowOverlap="1">
                <wp:simplePos x="0" y="0"/>
                <wp:positionH relativeFrom="page">
                  <wp:posOffset>3245230</wp:posOffset>
                </wp:positionH>
                <wp:positionV relativeFrom="paragraph">
                  <wp:posOffset>294439</wp:posOffset>
                </wp:positionV>
                <wp:extent cx="675640" cy="635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6350"/>
                        </a:xfrm>
                        <a:custGeom>
                          <a:avLst/>
                          <a:gdLst/>
                          <a:ahLst/>
                          <a:cxnLst/>
                          <a:rect l="l" t="t" r="r" b="b"/>
                          <a:pathLst>
                            <a:path w="675640" h="6350">
                              <a:moveTo>
                                <a:pt x="675132" y="0"/>
                              </a:moveTo>
                              <a:lnTo>
                                <a:pt x="0" y="0"/>
                              </a:lnTo>
                              <a:lnTo>
                                <a:pt x="0" y="6095"/>
                              </a:lnTo>
                              <a:lnTo>
                                <a:pt x="675132" y="6095"/>
                              </a:lnTo>
                              <a:lnTo>
                                <a:pt x="675132" y="0"/>
                              </a:lnTo>
                              <a:close/>
                            </a:path>
                          </a:pathLst>
                        </a:custGeom>
                        <a:solidFill>
                          <a:srgbClr val="211E1F"/>
                        </a:solidFill>
                      </wps:spPr>
                      <wps:bodyPr wrap="square" lIns="0" tIns="0" rIns="0" bIns="0" rtlCol="0">
                        <a:prstTxWarp prst="textNoShape">
                          <a:avLst/>
                        </a:prstTxWarp>
                        <a:noAutofit/>
                      </wps:bodyPr>
                    </wps:wsp>
                  </a:graphicData>
                </a:graphic>
              </wp:anchor>
            </w:drawing>
          </mc:Choice>
          <mc:Fallback>
            <w:pict>
              <v:shape w14:anchorId="72DF1B1F" id="Graphic 238" o:spid="_x0000_s1026" style="position:absolute;margin-left:255.55pt;margin-top:23.2pt;width:53.2pt;height:.5pt;z-index:251640320;visibility:visible;mso-wrap-style:square;mso-wrap-distance-left:0;mso-wrap-distance-top:0;mso-wrap-distance-right:0;mso-wrap-distance-bottom:0;mso-position-horizontal:absolute;mso-position-horizontal-relative:page;mso-position-vertical:absolute;mso-position-vertical-relative:text;v-text-anchor:top" coordsize="6756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" path="m675132,l,,,6095r675132,l675132,xe" fillcolor="#211e1f" stroked="f">
                <v:path arrowok="t"/>
                <w10:wrap anchorx="page"/>
              </v:shape>
            </w:pict>
          </mc:Fallback>
        </mc:AlternateContent>
      </w:r>
      <w:r>
        <w:rPr>
          <w:color w:val="221F1F"/>
        </w:rPr>
        <w:t>At</w:t>
      </w:r>
      <w:r>
        <w:rPr>
          <w:color w:val="221F1F"/>
          <w:spacing w:val="-1"/>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Applicant,</w:t>
      </w:r>
      <w:r>
        <w:rPr>
          <w:color w:val="221F1F"/>
          <w:spacing w:val="-2"/>
        </w:rPr>
        <w:t xml:space="preserve"> </w:t>
      </w:r>
      <w:r>
        <w:rPr>
          <w:color w:val="221F1F"/>
        </w:rPr>
        <w:t>we,</w:t>
      </w:r>
      <w:r>
        <w:rPr>
          <w:color w:val="221F1F"/>
          <w:spacing w:val="-2"/>
        </w:rPr>
        <w:t xml:space="preserve"> </w:t>
      </w:r>
      <w:r>
        <w:rPr>
          <w:color w:val="221F1F"/>
        </w:rPr>
        <w:t>as</w:t>
      </w:r>
      <w:r>
        <w:rPr>
          <w:color w:val="221F1F"/>
          <w:spacing w:val="-2"/>
        </w:rPr>
        <w:t xml:space="preserve"> </w:t>
      </w:r>
      <w:r>
        <w:rPr>
          <w:color w:val="221F1F"/>
        </w:rPr>
        <w:t>Guarantor,</w:t>
      </w:r>
      <w:r>
        <w:rPr>
          <w:color w:val="221F1F"/>
          <w:spacing w:val="-2"/>
        </w:rPr>
        <w:t xml:space="preserve"> </w:t>
      </w:r>
      <w:r>
        <w:rPr>
          <w:color w:val="221F1F"/>
        </w:rPr>
        <w:t>hereby</w:t>
      </w:r>
      <w:r>
        <w:rPr>
          <w:color w:val="221F1F"/>
          <w:spacing w:val="-2"/>
        </w:rPr>
        <w:t xml:space="preserve"> </w:t>
      </w:r>
      <w:r>
        <w:rPr>
          <w:color w:val="221F1F"/>
        </w:rPr>
        <w:t>irrevocably</w:t>
      </w:r>
      <w:r>
        <w:rPr>
          <w:color w:val="221F1F"/>
          <w:spacing w:val="-2"/>
        </w:rPr>
        <w:t xml:space="preserve"> </w:t>
      </w:r>
      <w:r>
        <w:rPr>
          <w:color w:val="221F1F"/>
        </w:rPr>
        <w:t>undertake</w:t>
      </w:r>
      <w:r>
        <w:rPr>
          <w:color w:val="221F1F"/>
          <w:spacing w:val="-2"/>
        </w:rPr>
        <w:t xml:space="preserve"> </w:t>
      </w:r>
      <w:r>
        <w:rPr>
          <w:color w:val="221F1F"/>
        </w:rPr>
        <w:t>to</w:t>
      </w:r>
      <w:r>
        <w:rPr>
          <w:color w:val="221F1F"/>
          <w:spacing w:val="-5"/>
        </w:rPr>
        <w:t xml:space="preserve"> </w:t>
      </w:r>
      <w:r>
        <w:rPr>
          <w:color w:val="221F1F"/>
        </w:rPr>
        <w:t>pay</w:t>
      </w:r>
      <w:r>
        <w:rPr>
          <w:color w:val="221F1F"/>
          <w:spacing w:val="-2"/>
        </w:rPr>
        <w:t xml:space="preserve"> </w:t>
      </w:r>
      <w:r>
        <w:rPr>
          <w:color w:val="221F1F"/>
        </w:rPr>
        <w:t>the</w:t>
      </w:r>
      <w:r>
        <w:rPr>
          <w:color w:val="221F1F"/>
          <w:spacing w:val="-2"/>
        </w:rPr>
        <w:t xml:space="preserve"> </w:t>
      </w:r>
      <w:r>
        <w:rPr>
          <w:color w:val="221F1F"/>
        </w:rPr>
        <w:t>Beneficiary</w:t>
      </w:r>
      <w:r>
        <w:rPr>
          <w:color w:val="221F1F"/>
          <w:spacing w:val="-2"/>
        </w:rPr>
        <w:t xml:space="preserve"> </w:t>
      </w:r>
      <w:r>
        <w:rPr>
          <w:color w:val="221F1F"/>
        </w:rPr>
        <w:t>any</w:t>
      </w:r>
      <w:r>
        <w:rPr>
          <w:color w:val="221F1F"/>
          <w:spacing w:val="-2"/>
        </w:rPr>
        <w:t xml:space="preserve"> </w:t>
      </w:r>
      <w:r>
        <w:rPr>
          <w:color w:val="221F1F"/>
        </w:rPr>
        <w:t>sum or sums not exceeding in total an amount of</w:t>
      </w:r>
      <w:r>
        <w:rPr>
          <w:color w:val="221F1F"/>
        </w:rPr>
        <w:tab/>
      </w:r>
      <w:r>
        <w:rPr>
          <w:color w:val="221F1F"/>
          <w:spacing w:val="-10"/>
        </w:rPr>
        <w:t>(</w:t>
      </w:r>
      <w:r>
        <w:rPr>
          <w:color w:val="221F1F"/>
          <w:u w:val="single" w:color="211E1F"/>
        </w:rPr>
        <w:tab/>
      </w:r>
      <w:r>
        <w:rPr>
          <w:color w:val="221F1F"/>
        </w:rPr>
        <w:t>)</w:t>
      </w:r>
      <w:r>
        <w:rPr>
          <w:color w:val="221F1F"/>
          <w:spacing w:val="-6"/>
        </w:rPr>
        <w:t xml:space="preserve"> </w:t>
      </w:r>
      <w:r>
        <w:rPr>
          <w:color w:val="221F1F"/>
        </w:rPr>
        <w:t>upon</w:t>
      </w:r>
      <w:r>
        <w:rPr>
          <w:color w:val="221F1F"/>
          <w:spacing w:val="-6"/>
        </w:rPr>
        <w:t xml:space="preserve"> </w:t>
      </w:r>
      <w:r>
        <w:rPr>
          <w:color w:val="221F1F"/>
        </w:rPr>
        <w:t>receipt</w:t>
      </w:r>
      <w:r>
        <w:rPr>
          <w:color w:val="221F1F"/>
          <w:spacing w:val="-5"/>
        </w:rPr>
        <w:t xml:space="preserve"> </w:t>
      </w:r>
      <w:r>
        <w:rPr>
          <w:color w:val="221F1F"/>
        </w:rPr>
        <w:t>by</w:t>
      </w:r>
      <w:r>
        <w:rPr>
          <w:color w:val="221F1F"/>
          <w:spacing w:val="-9"/>
        </w:rPr>
        <w:t xml:space="preserve"> </w:t>
      </w:r>
      <w:r>
        <w:rPr>
          <w:color w:val="221F1F"/>
        </w:rPr>
        <w:t>us</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Beneficiary's complying demand, supported by</w:t>
      </w:r>
      <w:r>
        <w:rPr>
          <w:color w:val="221F1F"/>
          <w:spacing w:val="-2"/>
        </w:rPr>
        <w:t xml:space="preserve"> </w:t>
      </w:r>
      <w:r>
        <w:rPr>
          <w:color w:val="221F1F"/>
        </w:rPr>
        <w:t>the Beneficiary's statement, whether in</w:t>
      </w:r>
      <w:r>
        <w:rPr>
          <w:color w:val="221F1F"/>
          <w:spacing w:val="-2"/>
        </w:rPr>
        <w:t xml:space="preserve"> </w:t>
      </w:r>
      <w:r>
        <w:rPr>
          <w:color w:val="221F1F"/>
        </w:rPr>
        <w:t>the demand itself or a</w:t>
      </w:r>
      <w:r>
        <w:rPr>
          <w:color w:val="221F1F"/>
          <w:spacing w:val="-2"/>
        </w:rPr>
        <w:t xml:space="preserve"> </w:t>
      </w:r>
      <w:r>
        <w:rPr>
          <w:color w:val="221F1F"/>
        </w:rPr>
        <w:t>separate signed document accompanying or identifying the demand, stating that either the Applicant:</w:t>
      </w:r>
    </w:p>
    <w:p w:rsidR="007F6DF9" w:rsidRDefault="007F6DF9">
      <w:pPr>
        <w:pStyle w:val="BodyText"/>
        <w:spacing w:before="160"/>
      </w:pPr>
    </w:p>
    <w:p w:rsidR="007F6DF9" w:rsidRDefault="00A43FBC">
      <w:pPr>
        <w:pStyle w:val="BodyText"/>
        <w:spacing w:line="230" w:lineRule="auto"/>
        <w:ind w:left="1107" w:right="561" w:hanging="392"/>
        <w:jc w:val="both"/>
      </w:pPr>
      <w:r>
        <w:rPr>
          <w:color w:val="221F1F"/>
        </w:rPr>
        <w:t>(a)</w:t>
      </w:r>
      <w:r>
        <w:rPr>
          <w:color w:val="221F1F"/>
          <w:spacing w:val="80"/>
        </w:rPr>
        <w:t xml:space="preserve"> </w:t>
      </w:r>
      <w:r>
        <w:rPr>
          <w:color w:val="221F1F"/>
        </w:rPr>
        <w:t>has</w:t>
      </w:r>
      <w:r>
        <w:rPr>
          <w:color w:val="221F1F"/>
          <w:spacing w:val="-1"/>
        </w:rPr>
        <w:t xml:space="preserve"> </w:t>
      </w:r>
      <w:r>
        <w:rPr>
          <w:color w:val="221F1F"/>
        </w:rPr>
        <w:t>withdrawn</w:t>
      </w:r>
      <w:r>
        <w:rPr>
          <w:color w:val="221F1F"/>
          <w:spacing w:val="-1"/>
        </w:rPr>
        <w:t xml:space="preserve"> </w:t>
      </w:r>
      <w:r>
        <w:rPr>
          <w:color w:val="221F1F"/>
        </w:rPr>
        <w:t>its</w:t>
      </w:r>
      <w:r>
        <w:rPr>
          <w:color w:val="221F1F"/>
          <w:spacing w:val="-1"/>
        </w:rPr>
        <w:t xml:space="preserve"> </w:t>
      </w:r>
      <w:r>
        <w:rPr>
          <w:color w:val="221F1F"/>
        </w:rPr>
        <w:t>Tender</w:t>
      </w:r>
      <w:r>
        <w:rPr>
          <w:color w:val="221F1F"/>
          <w:spacing w:val="-1"/>
        </w:rPr>
        <w:t xml:space="preserve"> </w:t>
      </w:r>
      <w:r>
        <w:rPr>
          <w:color w:val="221F1F"/>
        </w:rPr>
        <w:t>during</w:t>
      </w:r>
      <w:r>
        <w:rPr>
          <w:color w:val="221F1F"/>
          <w:spacing w:val="-4"/>
        </w:rPr>
        <w:t xml:space="preserve"> </w:t>
      </w:r>
      <w:r>
        <w:rPr>
          <w:color w:val="221F1F"/>
        </w:rPr>
        <w:t>the</w:t>
      </w:r>
      <w:r>
        <w:rPr>
          <w:color w:val="221F1F"/>
          <w:spacing w:val="-1"/>
        </w:rPr>
        <w:t xml:space="preserve"> </w:t>
      </w:r>
      <w:r>
        <w:rPr>
          <w:color w:val="221F1F"/>
        </w:rPr>
        <w:t>period</w:t>
      </w:r>
      <w:r>
        <w:rPr>
          <w:color w:val="221F1F"/>
          <w:spacing w:val="-4"/>
        </w:rPr>
        <w:t xml:space="preserve"> </w:t>
      </w:r>
      <w:r>
        <w:rPr>
          <w:color w:val="221F1F"/>
        </w:rPr>
        <w:t>of</w:t>
      </w:r>
      <w:r>
        <w:rPr>
          <w:color w:val="221F1F"/>
          <w:spacing w:val="-1"/>
        </w:rPr>
        <w:t xml:space="preserve"> </w:t>
      </w:r>
      <w:r>
        <w:rPr>
          <w:color w:val="221F1F"/>
        </w:rPr>
        <w:t>Tender</w:t>
      </w:r>
      <w:r>
        <w:rPr>
          <w:color w:val="221F1F"/>
          <w:spacing w:val="-3"/>
        </w:rPr>
        <w:t xml:space="preserve"> </w:t>
      </w:r>
      <w:r>
        <w:rPr>
          <w:color w:val="221F1F"/>
        </w:rPr>
        <w:t>validity</w:t>
      </w:r>
      <w:r>
        <w:rPr>
          <w:color w:val="221F1F"/>
          <w:spacing w:val="-1"/>
        </w:rPr>
        <w:t xml:space="preserve"> </w:t>
      </w:r>
      <w:r>
        <w:rPr>
          <w:color w:val="221F1F"/>
        </w:rPr>
        <w:t>set</w:t>
      </w:r>
      <w:r>
        <w:rPr>
          <w:color w:val="221F1F"/>
          <w:spacing w:val="-3"/>
        </w:rPr>
        <w:t xml:space="preserve"> </w:t>
      </w:r>
      <w:r>
        <w:rPr>
          <w:color w:val="221F1F"/>
        </w:rPr>
        <w:t>forth</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Applicant's</w:t>
      </w:r>
      <w:r>
        <w:rPr>
          <w:color w:val="221F1F"/>
          <w:spacing w:val="-1"/>
        </w:rPr>
        <w:t xml:space="preserve"> </w:t>
      </w:r>
      <w:r>
        <w:rPr>
          <w:color w:val="221F1F"/>
        </w:rPr>
        <w:t>Letter</w:t>
      </w:r>
      <w:r>
        <w:rPr>
          <w:color w:val="221F1F"/>
          <w:spacing w:val="-3"/>
        </w:rPr>
        <w:t xml:space="preserve"> </w:t>
      </w:r>
      <w:r>
        <w:rPr>
          <w:color w:val="221F1F"/>
        </w:rPr>
        <w:t>of</w:t>
      </w:r>
      <w:r>
        <w:rPr>
          <w:color w:val="221F1F"/>
          <w:spacing w:val="-1"/>
        </w:rPr>
        <w:t xml:space="preserve"> </w:t>
      </w:r>
      <w:r>
        <w:rPr>
          <w:color w:val="221F1F"/>
        </w:rPr>
        <w:t>Tender</w:t>
      </w:r>
      <w:r>
        <w:rPr>
          <w:color w:val="221F1F"/>
          <w:spacing w:val="-3"/>
        </w:rPr>
        <w:t xml:space="preserve"> </w:t>
      </w:r>
      <w:r>
        <w:rPr>
          <w:color w:val="221F1F"/>
        </w:rPr>
        <w:t>(“the Tender Validity Period”), or any extension thereto provided by the Applicant; or</w:t>
      </w:r>
    </w:p>
    <w:p w:rsidR="007F6DF9" w:rsidRDefault="007F6DF9">
      <w:pPr>
        <w:pStyle w:val="BodyText"/>
        <w:spacing w:before="159"/>
      </w:pPr>
    </w:p>
    <w:p w:rsidR="007F6DF9" w:rsidRDefault="00A43FBC">
      <w:pPr>
        <w:pStyle w:val="BodyText"/>
        <w:spacing w:line="230" w:lineRule="auto"/>
        <w:ind w:left="1105" w:right="561" w:hanging="390"/>
        <w:jc w:val="both"/>
      </w:pPr>
      <w:r>
        <w:rPr>
          <w:color w:val="221F1F"/>
        </w:rPr>
        <w:t>b)</w:t>
      </w:r>
      <w:r>
        <w:rPr>
          <w:color w:val="221F1F"/>
          <w:spacing w:val="80"/>
          <w:w w:val="150"/>
        </w:rPr>
        <w:t xml:space="preserve"> </w:t>
      </w:r>
      <w:r>
        <w:rPr>
          <w:color w:val="221F1F"/>
        </w:rPr>
        <w:t>having</w:t>
      </w:r>
      <w:r>
        <w:rPr>
          <w:color w:val="221F1F"/>
          <w:spacing w:val="-6"/>
        </w:rPr>
        <w:t xml:space="preserve"> </w:t>
      </w:r>
      <w:r>
        <w:rPr>
          <w:color w:val="221F1F"/>
        </w:rPr>
        <w:t>been</w:t>
      </w:r>
      <w:r>
        <w:rPr>
          <w:color w:val="221F1F"/>
          <w:spacing w:val="-5"/>
        </w:rPr>
        <w:t xml:space="preserve"> </w:t>
      </w:r>
      <w:r>
        <w:rPr>
          <w:color w:val="221F1F"/>
        </w:rPr>
        <w:t>notified</w:t>
      </w:r>
      <w:r>
        <w:rPr>
          <w:color w:val="221F1F"/>
          <w:spacing w:val="-6"/>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acceptance</w:t>
      </w:r>
      <w:r>
        <w:rPr>
          <w:color w:val="221F1F"/>
          <w:spacing w:val="-5"/>
        </w:rPr>
        <w:t xml:space="preserve"> </w:t>
      </w:r>
      <w:r>
        <w:rPr>
          <w:color w:val="221F1F"/>
        </w:rPr>
        <w:t>of</w:t>
      </w:r>
      <w:r>
        <w:rPr>
          <w:color w:val="221F1F"/>
          <w:spacing w:val="-5"/>
        </w:rPr>
        <w:t xml:space="preserve"> </w:t>
      </w:r>
      <w:r>
        <w:rPr>
          <w:color w:val="221F1F"/>
        </w:rPr>
        <w:t>its</w:t>
      </w:r>
      <w:r>
        <w:rPr>
          <w:color w:val="221F1F"/>
          <w:spacing w:val="-2"/>
        </w:rPr>
        <w:t xml:space="preserve"> </w:t>
      </w:r>
      <w:r>
        <w:rPr>
          <w:color w:val="221F1F"/>
        </w:rPr>
        <w:t>Tender</w:t>
      </w:r>
      <w:r>
        <w:rPr>
          <w:color w:val="221F1F"/>
          <w:spacing w:val="-8"/>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Beneficiary</w:t>
      </w:r>
      <w:r>
        <w:rPr>
          <w:color w:val="221F1F"/>
          <w:spacing w:val="-3"/>
        </w:rPr>
        <w:t xml:space="preserve"> </w:t>
      </w:r>
      <w:r>
        <w:rPr>
          <w:color w:val="221F1F"/>
        </w:rPr>
        <w:t>during</w:t>
      </w:r>
      <w:r>
        <w:rPr>
          <w:color w:val="221F1F"/>
          <w:spacing w:val="-5"/>
        </w:rPr>
        <w:t xml:space="preserve"> </w:t>
      </w:r>
      <w:r>
        <w:rPr>
          <w:color w:val="221F1F"/>
        </w:rPr>
        <w:t>the</w:t>
      </w:r>
      <w:r>
        <w:rPr>
          <w:color w:val="221F1F"/>
          <w:spacing w:val="-6"/>
        </w:rPr>
        <w:t xml:space="preserve"> </w:t>
      </w:r>
      <w:r>
        <w:rPr>
          <w:color w:val="221F1F"/>
        </w:rPr>
        <w:t>Tender</w:t>
      </w:r>
      <w:r>
        <w:rPr>
          <w:color w:val="221F1F"/>
          <w:spacing w:val="-8"/>
        </w:rPr>
        <w:t xml:space="preserve"> </w:t>
      </w:r>
      <w:r>
        <w:rPr>
          <w:color w:val="221F1F"/>
        </w:rPr>
        <w:t>Validity</w:t>
      </w:r>
      <w:r>
        <w:rPr>
          <w:color w:val="221F1F"/>
          <w:spacing w:val="-11"/>
        </w:rPr>
        <w:t xml:space="preserve"> </w:t>
      </w:r>
      <w:r>
        <w:rPr>
          <w:color w:val="221F1F"/>
        </w:rPr>
        <w:t>Period</w:t>
      </w:r>
      <w:r>
        <w:rPr>
          <w:color w:val="221F1F"/>
          <w:spacing w:val="-6"/>
        </w:rPr>
        <w:t xml:space="preserve"> </w:t>
      </w:r>
      <w:r>
        <w:rPr>
          <w:color w:val="221F1F"/>
        </w:rPr>
        <w:t>or</w:t>
      </w:r>
      <w:r>
        <w:rPr>
          <w:color w:val="221F1F"/>
          <w:spacing w:val="-2"/>
        </w:rPr>
        <w:t xml:space="preserve"> </w:t>
      </w:r>
      <w:r>
        <w:rPr>
          <w:color w:val="221F1F"/>
        </w:rPr>
        <w:t xml:space="preserve">any extension there to </w:t>
      </w:r>
      <w:proofErr w:type="spellStart"/>
      <w:r>
        <w:rPr>
          <w:color w:val="221F1F"/>
        </w:rPr>
        <w:t>provided</w:t>
      </w:r>
      <w:proofErr w:type="spellEnd"/>
      <w:r>
        <w:rPr>
          <w:color w:val="221F1F"/>
        </w:rPr>
        <w:t xml:space="preserve"> by the Applicant, (</w:t>
      </w:r>
      <w:proofErr w:type="spellStart"/>
      <w:r>
        <w:rPr>
          <w:color w:val="221F1F"/>
        </w:rPr>
        <w:t>i</w:t>
      </w:r>
      <w:proofErr w:type="spellEnd"/>
      <w:r>
        <w:rPr>
          <w:color w:val="221F1F"/>
        </w:rPr>
        <w:t>) has failed to execute the contract agreement, or (ii) has failed to furnish the Performance.</w:t>
      </w:r>
    </w:p>
    <w:p w:rsidR="007F6DF9" w:rsidRDefault="007F6DF9">
      <w:pPr>
        <w:pStyle w:val="BodyText"/>
        <w:spacing w:before="159"/>
      </w:pPr>
    </w:p>
    <w:p w:rsidR="007F6DF9" w:rsidRDefault="00A43FBC">
      <w:pPr>
        <w:pStyle w:val="ListParagraph"/>
        <w:numPr>
          <w:ilvl w:val="0"/>
          <w:numId w:val="133"/>
        </w:numPr>
        <w:tabs>
          <w:tab w:val="left" w:pos="1102"/>
          <w:tab w:val="left" w:pos="1105"/>
        </w:tabs>
        <w:spacing w:line="230" w:lineRule="auto"/>
        <w:ind w:left="1105" w:right="561" w:hanging="390"/>
        <w:jc w:val="both"/>
      </w:pPr>
      <w:r>
        <w:rPr>
          <w:color w:val="221F1F"/>
        </w:rPr>
        <w:t>This guarantee will expire: (a) if the Applicant is the successful Tenderer, upon our receipt of copies of the contract agreement signed</w:t>
      </w:r>
      <w:r>
        <w:rPr>
          <w:color w:val="221F1F"/>
          <w:spacing w:val="-1"/>
        </w:rPr>
        <w:t xml:space="preserve"> </w:t>
      </w:r>
      <w:r>
        <w:rPr>
          <w:color w:val="221F1F"/>
        </w:rPr>
        <w:t>by the Applicant and</w:t>
      </w:r>
      <w:r>
        <w:rPr>
          <w:color w:val="221F1F"/>
          <w:spacing w:val="-1"/>
        </w:rPr>
        <w:t xml:space="preserve"> </w:t>
      </w:r>
      <w:r>
        <w:rPr>
          <w:color w:val="221F1F"/>
        </w:rPr>
        <w:t>the Performance Security and,</w:t>
      </w:r>
      <w:r>
        <w:rPr>
          <w:color w:val="221F1F"/>
          <w:spacing w:val="-1"/>
        </w:rPr>
        <w:t xml:space="preserve"> </w:t>
      </w:r>
      <w:r>
        <w:rPr>
          <w:color w:val="221F1F"/>
        </w:rPr>
        <w:t>or (b)</w:t>
      </w:r>
      <w:r>
        <w:rPr>
          <w:color w:val="221F1F"/>
          <w:spacing w:val="-1"/>
        </w:rPr>
        <w:t xml:space="preserve"> </w:t>
      </w:r>
      <w:r>
        <w:rPr>
          <w:color w:val="221F1F"/>
        </w:rPr>
        <w:t>if</w:t>
      </w:r>
      <w:r>
        <w:rPr>
          <w:color w:val="221F1F"/>
          <w:spacing w:val="-1"/>
        </w:rPr>
        <w:t xml:space="preserve"> </w:t>
      </w:r>
      <w:r>
        <w:rPr>
          <w:color w:val="221F1F"/>
        </w:rPr>
        <w:t>the Applicant is not the successful</w:t>
      </w:r>
      <w:r>
        <w:rPr>
          <w:color w:val="221F1F"/>
          <w:spacing w:val="-8"/>
        </w:rPr>
        <w:t xml:space="preserve"> </w:t>
      </w:r>
      <w:r>
        <w:rPr>
          <w:color w:val="221F1F"/>
        </w:rPr>
        <w:t>Tenderer,</w:t>
      </w:r>
      <w:r>
        <w:rPr>
          <w:color w:val="221F1F"/>
          <w:spacing w:val="-14"/>
        </w:rPr>
        <w:t xml:space="preserve"> </w:t>
      </w:r>
      <w:r>
        <w:rPr>
          <w:color w:val="221F1F"/>
        </w:rPr>
        <w:t>upon</w:t>
      </w:r>
      <w:r>
        <w:rPr>
          <w:color w:val="221F1F"/>
          <w:spacing w:val="-9"/>
        </w:rPr>
        <w:t xml:space="preserve"> </w:t>
      </w:r>
      <w:r>
        <w:rPr>
          <w:color w:val="221F1F"/>
        </w:rPr>
        <w:t>the</w:t>
      </w:r>
      <w:r>
        <w:rPr>
          <w:color w:val="221F1F"/>
          <w:spacing w:val="-7"/>
        </w:rPr>
        <w:t xml:space="preserve"> </w:t>
      </w:r>
      <w:r>
        <w:rPr>
          <w:color w:val="221F1F"/>
        </w:rPr>
        <w:t>earlier</w:t>
      </w:r>
      <w:r>
        <w:rPr>
          <w:color w:val="221F1F"/>
          <w:spacing w:val="-7"/>
        </w:rPr>
        <w:t xml:space="preserve"> </w:t>
      </w:r>
      <w:r>
        <w:rPr>
          <w:color w:val="221F1F"/>
        </w:rPr>
        <w:t>of</w:t>
      </w:r>
      <w:r>
        <w:rPr>
          <w:color w:val="221F1F"/>
          <w:spacing w:val="-8"/>
        </w:rPr>
        <w:t xml:space="preserve"> </w:t>
      </w:r>
      <w:r>
        <w:rPr>
          <w:color w:val="221F1F"/>
        </w:rPr>
        <w:t>(</w:t>
      </w:r>
      <w:proofErr w:type="spellStart"/>
      <w:r>
        <w:rPr>
          <w:color w:val="221F1F"/>
        </w:rPr>
        <w:t>i</w:t>
      </w:r>
      <w:proofErr w:type="spellEnd"/>
      <w:r>
        <w:rPr>
          <w:color w:val="221F1F"/>
        </w:rPr>
        <w:t>)</w:t>
      </w:r>
      <w:r>
        <w:rPr>
          <w:color w:val="221F1F"/>
          <w:spacing w:val="-7"/>
        </w:rPr>
        <w:t xml:space="preserve"> </w:t>
      </w:r>
      <w:r>
        <w:rPr>
          <w:color w:val="221F1F"/>
        </w:rPr>
        <w:t>our</w:t>
      </w:r>
      <w:r>
        <w:rPr>
          <w:color w:val="221F1F"/>
          <w:spacing w:val="-8"/>
        </w:rPr>
        <w:t xml:space="preserve"> </w:t>
      </w:r>
      <w:r>
        <w:rPr>
          <w:color w:val="221F1F"/>
        </w:rPr>
        <w:t>receipt</w:t>
      </w:r>
      <w:r>
        <w:rPr>
          <w:color w:val="221F1F"/>
          <w:spacing w:val="-8"/>
        </w:rPr>
        <w:t xml:space="preserve"> </w:t>
      </w:r>
      <w:r>
        <w:rPr>
          <w:color w:val="221F1F"/>
        </w:rPr>
        <w:t>of</w:t>
      </w:r>
      <w:r>
        <w:rPr>
          <w:color w:val="221F1F"/>
          <w:spacing w:val="-7"/>
        </w:rPr>
        <w:t xml:space="preserve"> </w:t>
      </w:r>
      <w:r>
        <w:rPr>
          <w:color w:val="221F1F"/>
        </w:rPr>
        <w:t>a</w:t>
      </w:r>
      <w:r>
        <w:rPr>
          <w:color w:val="221F1F"/>
          <w:spacing w:val="-9"/>
        </w:rPr>
        <w:t xml:space="preserve"> </w:t>
      </w:r>
      <w:r>
        <w:rPr>
          <w:color w:val="221F1F"/>
        </w:rPr>
        <w:t>copy</w:t>
      </w:r>
      <w:r>
        <w:rPr>
          <w:color w:val="221F1F"/>
          <w:spacing w:val="-7"/>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Beneficiary's</w:t>
      </w:r>
      <w:r>
        <w:rPr>
          <w:color w:val="221F1F"/>
          <w:spacing w:val="-7"/>
        </w:rPr>
        <w:t xml:space="preserve"> </w:t>
      </w:r>
      <w:r>
        <w:rPr>
          <w:color w:val="221F1F"/>
        </w:rPr>
        <w:t>notification</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Applicant of the results of the Tendering process; or (ii) thirty days after the end of the Tender</w:t>
      </w:r>
      <w:r>
        <w:rPr>
          <w:color w:val="221F1F"/>
          <w:spacing w:val="-3"/>
        </w:rPr>
        <w:t xml:space="preserve"> </w:t>
      </w:r>
      <w:r>
        <w:rPr>
          <w:color w:val="221F1F"/>
        </w:rPr>
        <w:t>Validity</w:t>
      </w:r>
      <w:r>
        <w:rPr>
          <w:color w:val="221F1F"/>
          <w:spacing w:val="-5"/>
        </w:rPr>
        <w:t xml:space="preserve"> </w:t>
      </w:r>
      <w:r>
        <w:rPr>
          <w:color w:val="221F1F"/>
        </w:rPr>
        <w:t>Period.</w:t>
      </w:r>
    </w:p>
    <w:p w:rsidR="007F6DF9" w:rsidRDefault="007F6DF9">
      <w:pPr>
        <w:pStyle w:val="BodyText"/>
        <w:spacing w:before="160"/>
      </w:pPr>
    </w:p>
    <w:p w:rsidR="007F6DF9" w:rsidRDefault="00A43FBC">
      <w:pPr>
        <w:pStyle w:val="ListParagraph"/>
        <w:numPr>
          <w:ilvl w:val="0"/>
          <w:numId w:val="133"/>
        </w:numPr>
        <w:tabs>
          <w:tab w:val="left" w:pos="1105"/>
          <w:tab w:val="left" w:pos="1124"/>
        </w:tabs>
        <w:spacing w:line="230" w:lineRule="auto"/>
        <w:ind w:left="1124" w:right="562" w:hanging="409"/>
        <w:jc w:val="both"/>
      </w:pPr>
      <w:r>
        <w:rPr>
          <w:color w:val="221F1F"/>
        </w:rPr>
        <w:t>Consequently,</w:t>
      </w:r>
      <w:r>
        <w:rPr>
          <w:color w:val="221F1F"/>
          <w:spacing w:val="-12"/>
        </w:rPr>
        <w:t xml:space="preserve"> </w:t>
      </w:r>
      <w:r>
        <w:rPr>
          <w:color w:val="221F1F"/>
        </w:rPr>
        <w:t>any</w:t>
      </w:r>
      <w:r>
        <w:rPr>
          <w:color w:val="221F1F"/>
          <w:spacing w:val="-12"/>
        </w:rPr>
        <w:t xml:space="preserve"> </w:t>
      </w:r>
      <w:r>
        <w:rPr>
          <w:color w:val="221F1F"/>
        </w:rPr>
        <w:t>demand</w:t>
      </w:r>
      <w:r>
        <w:rPr>
          <w:color w:val="221F1F"/>
          <w:spacing w:val="-14"/>
        </w:rPr>
        <w:t xml:space="preserve"> </w:t>
      </w:r>
      <w:r>
        <w:rPr>
          <w:color w:val="221F1F"/>
        </w:rPr>
        <w:t>for</w:t>
      </w:r>
      <w:r>
        <w:rPr>
          <w:color w:val="221F1F"/>
          <w:spacing w:val="-11"/>
        </w:rPr>
        <w:t xml:space="preserve"> </w:t>
      </w:r>
      <w:r>
        <w:rPr>
          <w:color w:val="221F1F"/>
        </w:rPr>
        <w:t>payment</w:t>
      </w:r>
      <w:r>
        <w:rPr>
          <w:color w:val="221F1F"/>
          <w:spacing w:val="-11"/>
        </w:rPr>
        <w:t xml:space="preserve"> </w:t>
      </w:r>
      <w:r>
        <w:rPr>
          <w:color w:val="221F1F"/>
        </w:rPr>
        <w:t>under</w:t>
      </w:r>
      <w:r>
        <w:rPr>
          <w:color w:val="221F1F"/>
          <w:spacing w:val="-11"/>
        </w:rPr>
        <w:t xml:space="preserve"> </w:t>
      </w:r>
      <w:r>
        <w:rPr>
          <w:color w:val="221F1F"/>
        </w:rPr>
        <w:t>this</w:t>
      </w:r>
      <w:r>
        <w:rPr>
          <w:color w:val="221F1F"/>
          <w:spacing w:val="-11"/>
        </w:rPr>
        <w:t xml:space="preserve"> </w:t>
      </w:r>
      <w:r>
        <w:rPr>
          <w:color w:val="221F1F"/>
        </w:rPr>
        <w:t>guarantee</w:t>
      </w:r>
      <w:r>
        <w:rPr>
          <w:color w:val="221F1F"/>
          <w:spacing w:val="-12"/>
        </w:rPr>
        <w:t xml:space="preserve"> </w:t>
      </w:r>
      <w:r>
        <w:rPr>
          <w:color w:val="221F1F"/>
        </w:rPr>
        <w:t>must</w:t>
      </w:r>
      <w:r>
        <w:rPr>
          <w:color w:val="221F1F"/>
          <w:spacing w:val="-11"/>
        </w:rPr>
        <w:t xml:space="preserve"> </w:t>
      </w:r>
      <w:r>
        <w:rPr>
          <w:color w:val="221F1F"/>
        </w:rPr>
        <w:t>be</w:t>
      </w:r>
      <w:r>
        <w:rPr>
          <w:color w:val="221F1F"/>
          <w:spacing w:val="-9"/>
        </w:rPr>
        <w:t xml:space="preserve"> </w:t>
      </w:r>
      <w:r>
        <w:rPr>
          <w:color w:val="221F1F"/>
        </w:rPr>
        <w:t>received</w:t>
      </w:r>
      <w:r>
        <w:rPr>
          <w:color w:val="221F1F"/>
          <w:spacing w:val="-12"/>
        </w:rPr>
        <w:t xml:space="preserve"> </w:t>
      </w:r>
      <w:r>
        <w:rPr>
          <w:color w:val="221F1F"/>
        </w:rPr>
        <w:t>by</w:t>
      </w:r>
      <w:r>
        <w:rPr>
          <w:color w:val="221F1F"/>
          <w:spacing w:val="-12"/>
        </w:rPr>
        <w:t xml:space="preserve"> </w:t>
      </w:r>
      <w:r>
        <w:rPr>
          <w:color w:val="221F1F"/>
        </w:rPr>
        <w:t>us</w:t>
      </w:r>
      <w:r>
        <w:rPr>
          <w:color w:val="221F1F"/>
          <w:spacing w:val="-9"/>
        </w:rPr>
        <w:t xml:space="preserve"> </w:t>
      </w:r>
      <w:r>
        <w:rPr>
          <w:color w:val="221F1F"/>
        </w:rPr>
        <w:t>at</w:t>
      </w:r>
      <w:r>
        <w:rPr>
          <w:color w:val="221F1F"/>
          <w:spacing w:val="-11"/>
        </w:rPr>
        <w:t xml:space="preserve"> </w:t>
      </w:r>
      <w:r>
        <w:rPr>
          <w:color w:val="221F1F"/>
        </w:rPr>
        <w:t>the</w:t>
      </w:r>
      <w:r>
        <w:rPr>
          <w:color w:val="221F1F"/>
          <w:spacing w:val="-12"/>
        </w:rPr>
        <w:t xml:space="preserve"> </w:t>
      </w:r>
      <w:r>
        <w:rPr>
          <w:color w:val="221F1F"/>
        </w:rPr>
        <w:t>office</w:t>
      </w:r>
      <w:r>
        <w:rPr>
          <w:color w:val="221F1F"/>
          <w:spacing w:val="-11"/>
        </w:rPr>
        <w:t xml:space="preserve"> </w:t>
      </w:r>
      <w:r>
        <w:rPr>
          <w:color w:val="221F1F"/>
        </w:rPr>
        <w:t>indicated</w:t>
      </w:r>
      <w:r>
        <w:rPr>
          <w:color w:val="221F1F"/>
          <w:spacing w:val="-10"/>
        </w:rPr>
        <w:t xml:space="preserve"> </w:t>
      </w:r>
      <w:r>
        <w:rPr>
          <w:color w:val="221F1F"/>
        </w:rPr>
        <w:t xml:space="preserve">above </w:t>
      </w:r>
      <w:proofErr w:type="spellStart"/>
      <w:r>
        <w:rPr>
          <w:color w:val="221F1F"/>
        </w:rPr>
        <w:t>onor</w:t>
      </w:r>
      <w:proofErr w:type="spellEnd"/>
      <w:r>
        <w:rPr>
          <w:color w:val="221F1F"/>
        </w:rPr>
        <w:t xml:space="preserve"> before that date.</w: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39"/>
        <w:rPr>
          <w:sz w:val="20"/>
        </w:rPr>
      </w:pPr>
      <w:r>
        <w:rPr>
          <w:noProof/>
          <w:sz w:val="20"/>
        </w:rPr>
        <mc:AlternateContent>
          <mc:Choice Requires="wps">
            <w:drawing>
              <wp:anchor distT="0" distB="0" distL="0" distR="0" simplePos="0" relativeHeight="251680256" behindDoc="1" locked="0" layoutInCell="1" allowOverlap="1">
                <wp:simplePos x="0" y="0"/>
                <wp:positionH relativeFrom="page">
                  <wp:posOffset>791209</wp:posOffset>
                </wp:positionH>
                <wp:positionV relativeFrom="paragraph">
                  <wp:posOffset>186650</wp:posOffset>
                </wp:positionV>
                <wp:extent cx="202565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0" cy="1270"/>
                        </a:xfrm>
                        <a:custGeom>
                          <a:avLst/>
                          <a:gdLst/>
                          <a:ahLst/>
                          <a:cxnLst/>
                          <a:rect l="l" t="t" r="r" b="b"/>
                          <a:pathLst>
                            <a:path w="2025650">
                              <a:moveTo>
                                <a:pt x="0" y="0"/>
                              </a:moveTo>
                              <a:lnTo>
                                <a:pt x="2025650" y="0"/>
                              </a:lnTo>
                            </a:path>
                          </a:pathLst>
                        </a:custGeom>
                        <a:ln w="8800">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472A69CA" id="Graphic 239" o:spid="_x0000_s1026" style="position:absolute;margin-left:62.3pt;margin-top:14.7pt;width:159.5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202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" path="m,l2025650,e" filled="f" strokecolor="#211e1f" strokeweight=".24444mm">
                <v:path arrowok="t"/>
                <w10:wrap type="topAndBottom" anchorx="page"/>
              </v:shape>
            </w:pict>
          </mc:Fallback>
        </mc:AlternateContent>
      </w:r>
    </w:p>
    <w:p w:rsidR="007F6DF9" w:rsidRDefault="00A43FBC">
      <w:pPr>
        <w:ind w:left="1105"/>
        <w:rPr>
          <w:i/>
        </w:rPr>
      </w:pPr>
      <w:r>
        <w:rPr>
          <w:i/>
          <w:color w:val="221F1F"/>
          <w:spacing w:val="-2"/>
        </w:rPr>
        <w:t>[signature(s)]</w:t>
      </w: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spacing w:before="155"/>
        <w:rPr>
          <w:i/>
        </w:rPr>
      </w:pPr>
    </w:p>
    <w:p w:rsidR="007F6DF9" w:rsidRDefault="00A43FBC">
      <w:pPr>
        <w:ind w:left="290"/>
        <w:jc w:val="center"/>
        <w:rPr>
          <w:b/>
          <w:i/>
        </w:rPr>
      </w:pPr>
      <w:r>
        <w:rPr>
          <w:b/>
          <w:i/>
          <w:color w:val="221F1F"/>
        </w:rPr>
        <w:t>Note:</w:t>
      </w:r>
      <w:r>
        <w:rPr>
          <w:b/>
          <w:i/>
          <w:color w:val="221F1F"/>
          <w:spacing w:val="-3"/>
        </w:rPr>
        <w:t xml:space="preserve"> </w:t>
      </w:r>
      <w:r>
        <w:rPr>
          <w:b/>
          <w:i/>
          <w:color w:val="221F1F"/>
        </w:rPr>
        <w:t>All</w:t>
      </w:r>
      <w:r>
        <w:rPr>
          <w:b/>
          <w:i/>
          <w:color w:val="221F1F"/>
          <w:spacing w:val="-5"/>
        </w:rPr>
        <w:t xml:space="preserve"> </w:t>
      </w:r>
      <w:r>
        <w:rPr>
          <w:b/>
          <w:i/>
          <w:color w:val="221F1F"/>
        </w:rPr>
        <w:t>italicized</w:t>
      </w:r>
      <w:r>
        <w:rPr>
          <w:b/>
          <w:i/>
          <w:color w:val="221F1F"/>
          <w:spacing w:val="-7"/>
        </w:rPr>
        <w:t xml:space="preserve"> </w:t>
      </w:r>
      <w:r>
        <w:rPr>
          <w:b/>
          <w:i/>
          <w:color w:val="221F1F"/>
        </w:rPr>
        <w:t>text</w:t>
      </w:r>
      <w:r>
        <w:rPr>
          <w:b/>
          <w:i/>
          <w:color w:val="221F1F"/>
          <w:spacing w:val="-2"/>
        </w:rPr>
        <w:t xml:space="preserve"> </w:t>
      </w:r>
      <w:r>
        <w:rPr>
          <w:b/>
          <w:i/>
          <w:color w:val="221F1F"/>
        </w:rPr>
        <w:t>is</w:t>
      </w:r>
      <w:r>
        <w:rPr>
          <w:b/>
          <w:i/>
          <w:color w:val="221F1F"/>
          <w:spacing w:val="-3"/>
        </w:rPr>
        <w:t xml:space="preserve"> </w:t>
      </w:r>
      <w:r>
        <w:rPr>
          <w:b/>
          <w:i/>
          <w:color w:val="221F1F"/>
        </w:rPr>
        <w:t>for</w:t>
      </w:r>
      <w:r>
        <w:rPr>
          <w:b/>
          <w:i/>
          <w:color w:val="221F1F"/>
          <w:spacing w:val="-4"/>
        </w:rPr>
        <w:t xml:space="preserve"> </w:t>
      </w:r>
      <w:r>
        <w:rPr>
          <w:b/>
          <w:i/>
          <w:color w:val="221F1F"/>
        </w:rPr>
        <w:t>use</w:t>
      </w:r>
      <w:r>
        <w:rPr>
          <w:b/>
          <w:i/>
          <w:color w:val="221F1F"/>
          <w:spacing w:val="-5"/>
        </w:rPr>
        <w:t xml:space="preserve"> </w:t>
      </w:r>
      <w:r>
        <w:rPr>
          <w:b/>
          <w:i/>
          <w:color w:val="221F1F"/>
        </w:rPr>
        <w:t>in</w:t>
      </w:r>
      <w:r>
        <w:rPr>
          <w:b/>
          <w:i/>
          <w:color w:val="221F1F"/>
          <w:spacing w:val="-4"/>
        </w:rPr>
        <w:t xml:space="preserve"> </w:t>
      </w:r>
      <w:r>
        <w:rPr>
          <w:b/>
          <w:i/>
          <w:color w:val="221F1F"/>
        </w:rPr>
        <w:t>preparing</w:t>
      </w:r>
      <w:r>
        <w:rPr>
          <w:b/>
          <w:i/>
          <w:color w:val="221F1F"/>
          <w:spacing w:val="-6"/>
        </w:rPr>
        <w:t xml:space="preserve"> </w:t>
      </w:r>
      <w:r>
        <w:rPr>
          <w:b/>
          <w:i/>
          <w:color w:val="221F1F"/>
        </w:rPr>
        <w:t>this</w:t>
      </w:r>
      <w:r>
        <w:rPr>
          <w:b/>
          <w:i/>
          <w:color w:val="221F1F"/>
          <w:spacing w:val="-3"/>
        </w:rPr>
        <w:t xml:space="preserve"> </w:t>
      </w:r>
      <w:r>
        <w:rPr>
          <w:b/>
          <w:i/>
          <w:color w:val="221F1F"/>
        </w:rPr>
        <w:t>form</w:t>
      </w:r>
      <w:r>
        <w:rPr>
          <w:b/>
          <w:i/>
          <w:color w:val="221F1F"/>
          <w:spacing w:val="-3"/>
        </w:rPr>
        <w:t xml:space="preserve"> </w:t>
      </w:r>
      <w:r>
        <w:rPr>
          <w:b/>
          <w:i/>
          <w:color w:val="221F1F"/>
        </w:rPr>
        <w:t>and</w:t>
      </w:r>
      <w:r>
        <w:rPr>
          <w:b/>
          <w:i/>
          <w:color w:val="221F1F"/>
          <w:spacing w:val="-6"/>
        </w:rPr>
        <w:t xml:space="preserve"> </w:t>
      </w:r>
      <w:r>
        <w:rPr>
          <w:b/>
          <w:i/>
          <w:color w:val="221F1F"/>
        </w:rPr>
        <w:t>shall</w:t>
      </w:r>
      <w:r>
        <w:rPr>
          <w:b/>
          <w:i/>
          <w:color w:val="221F1F"/>
          <w:spacing w:val="-2"/>
        </w:rPr>
        <w:t xml:space="preserve"> </w:t>
      </w:r>
      <w:r>
        <w:rPr>
          <w:b/>
          <w:i/>
          <w:color w:val="221F1F"/>
        </w:rPr>
        <w:t>be</w:t>
      </w:r>
      <w:r>
        <w:rPr>
          <w:b/>
          <w:i/>
          <w:color w:val="221F1F"/>
          <w:spacing w:val="-6"/>
        </w:rPr>
        <w:t xml:space="preserve"> </w:t>
      </w:r>
      <w:r>
        <w:rPr>
          <w:b/>
          <w:i/>
          <w:color w:val="221F1F"/>
        </w:rPr>
        <w:t>deleted</w:t>
      </w:r>
      <w:r>
        <w:rPr>
          <w:b/>
          <w:i/>
          <w:color w:val="221F1F"/>
          <w:spacing w:val="-3"/>
        </w:rPr>
        <w:t xml:space="preserve"> </w:t>
      </w:r>
      <w:r>
        <w:rPr>
          <w:b/>
          <w:i/>
          <w:color w:val="221F1F"/>
        </w:rPr>
        <w:t>from</w:t>
      </w:r>
      <w:r>
        <w:rPr>
          <w:b/>
          <w:i/>
          <w:color w:val="221F1F"/>
          <w:spacing w:val="-3"/>
        </w:rPr>
        <w:t xml:space="preserve"> </w:t>
      </w:r>
      <w:r>
        <w:rPr>
          <w:b/>
          <w:i/>
          <w:color w:val="221F1F"/>
        </w:rPr>
        <w:t>the</w:t>
      </w:r>
      <w:r>
        <w:rPr>
          <w:b/>
          <w:i/>
          <w:color w:val="221F1F"/>
          <w:spacing w:val="-3"/>
        </w:rPr>
        <w:t xml:space="preserve"> </w:t>
      </w:r>
      <w:r>
        <w:rPr>
          <w:b/>
          <w:i/>
          <w:color w:val="221F1F"/>
        </w:rPr>
        <w:t>final</w:t>
      </w:r>
      <w:r>
        <w:rPr>
          <w:b/>
          <w:i/>
          <w:color w:val="221F1F"/>
          <w:spacing w:val="-5"/>
        </w:rPr>
        <w:t xml:space="preserve"> </w:t>
      </w:r>
      <w:r>
        <w:rPr>
          <w:b/>
          <w:i/>
          <w:color w:val="221F1F"/>
          <w:spacing w:val="-2"/>
        </w:rPr>
        <w:t>product.</w:t>
      </w:r>
    </w:p>
    <w:p w:rsidR="007F6DF9" w:rsidRDefault="007F6DF9">
      <w:pPr>
        <w:jc w:val="center"/>
        <w:rPr>
          <w:b/>
          <w:i/>
        </w:rPr>
        <w:sectPr w:rsidR="007F6DF9">
          <w:pgSz w:w="11920" w:h="16850"/>
          <w:pgMar w:top="360" w:right="283" w:bottom="620" w:left="141" w:header="0" w:footer="437" w:gutter="0"/>
          <w:cols w:space="720"/>
        </w:sectPr>
      </w:pPr>
    </w:p>
    <w:p w:rsidR="007F6DF9" w:rsidRDefault="007F6DF9">
      <w:pPr>
        <w:pStyle w:val="BodyText"/>
        <w:spacing w:before="53"/>
        <w:rPr>
          <w:b/>
          <w:i/>
        </w:rPr>
      </w:pPr>
    </w:p>
    <w:p w:rsidR="007F6DF9" w:rsidRDefault="00A43FBC">
      <w:pPr>
        <w:pStyle w:val="Heading9"/>
        <w:tabs>
          <w:tab w:val="left" w:pos="4210"/>
        </w:tabs>
        <w:spacing w:line="544" w:lineRule="auto"/>
        <w:ind w:left="559" w:right="4284" w:firstLine="0"/>
      </w:pPr>
      <w:r>
        <w:t>FORMAT</w:t>
      </w:r>
      <w:r>
        <w:rPr>
          <w:spacing w:val="-5"/>
        </w:rPr>
        <w:t xml:space="preserve"> </w:t>
      </w:r>
      <w:r>
        <w:t>OF</w:t>
      </w:r>
      <w:r>
        <w:rPr>
          <w:spacing w:val="-4"/>
        </w:rPr>
        <w:t xml:space="preserve"> </w:t>
      </w:r>
      <w:r>
        <w:t>TENDER</w:t>
      </w:r>
      <w:r>
        <w:rPr>
          <w:spacing w:val="-7"/>
        </w:rPr>
        <w:t xml:space="preserve"> </w:t>
      </w:r>
      <w:r>
        <w:t>SECURITY</w:t>
      </w:r>
      <w:r>
        <w:rPr>
          <w:spacing w:val="-4"/>
        </w:rPr>
        <w:t xml:space="preserve"> </w:t>
      </w:r>
      <w:r>
        <w:t>[</w:t>
      </w:r>
      <w:r>
        <w:rPr>
          <w:color w:val="221F1F"/>
        </w:rPr>
        <w:t>Option</w:t>
      </w:r>
      <w:r>
        <w:rPr>
          <w:color w:val="221F1F"/>
          <w:spacing w:val="-4"/>
        </w:rPr>
        <w:t xml:space="preserve"> </w:t>
      </w:r>
      <w:r>
        <w:rPr>
          <w:color w:val="221F1F"/>
        </w:rPr>
        <w:t>2–</w:t>
      </w:r>
      <w:r>
        <w:t>Insurance</w:t>
      </w:r>
      <w:r>
        <w:rPr>
          <w:spacing w:val="-5"/>
        </w:rPr>
        <w:t xml:space="preserve"> </w:t>
      </w:r>
      <w:r>
        <w:t xml:space="preserve">Guarantee] </w:t>
      </w:r>
      <w:r>
        <w:rPr>
          <w:color w:val="221F1F"/>
        </w:rPr>
        <w:t>TENDER GUARANTEE No.:</w:t>
      </w:r>
      <w:r>
        <w:rPr>
          <w:color w:val="221F1F"/>
          <w:spacing w:val="57"/>
        </w:rPr>
        <w:t xml:space="preserve"> </w:t>
      </w:r>
      <w:r>
        <w:rPr>
          <w:color w:val="221F1F"/>
          <w:u w:val="single" w:color="211E1F"/>
        </w:rPr>
        <w:tab/>
      </w:r>
    </w:p>
    <w:p w:rsidR="007F6DF9" w:rsidRDefault="00A43FBC">
      <w:pPr>
        <w:pStyle w:val="ListParagraph"/>
        <w:numPr>
          <w:ilvl w:val="0"/>
          <w:numId w:val="132"/>
        </w:numPr>
        <w:tabs>
          <w:tab w:val="left" w:pos="1241"/>
          <w:tab w:val="left" w:pos="5600"/>
        </w:tabs>
        <w:spacing w:before="186" w:line="252" w:lineRule="exact"/>
        <w:ind w:hanging="569"/>
      </w:pPr>
      <w:r>
        <w:t>Whereas</w:t>
      </w:r>
      <w:r>
        <w:rPr>
          <w:spacing w:val="-4"/>
        </w:rPr>
        <w:t xml:space="preserve"> </w:t>
      </w:r>
      <w:r>
        <w:t>…………</w:t>
      </w:r>
      <w:r>
        <w:rPr>
          <w:spacing w:val="-3"/>
        </w:rPr>
        <w:t xml:space="preserve"> </w:t>
      </w:r>
      <w:r>
        <w:t>[</w:t>
      </w:r>
      <w:r>
        <w:rPr>
          <w:i/>
        </w:rPr>
        <w:t>Name</w:t>
      </w:r>
      <w:r>
        <w:rPr>
          <w:i/>
          <w:spacing w:val="-6"/>
        </w:rPr>
        <w:t xml:space="preserve"> </w:t>
      </w:r>
      <w:r>
        <w:rPr>
          <w:i/>
        </w:rPr>
        <w:t>of</w:t>
      </w:r>
      <w:r>
        <w:rPr>
          <w:i/>
          <w:spacing w:val="-1"/>
        </w:rPr>
        <w:t xml:space="preserve"> </w:t>
      </w:r>
      <w:r>
        <w:rPr>
          <w:i/>
        </w:rPr>
        <w:t>the</w:t>
      </w:r>
      <w:r>
        <w:rPr>
          <w:i/>
          <w:spacing w:val="-2"/>
        </w:rPr>
        <w:t xml:space="preserve"> tenderer]</w:t>
      </w:r>
      <w:r>
        <w:rPr>
          <w:i/>
        </w:rPr>
        <w:tab/>
      </w:r>
      <w:r>
        <w:t>(hereinafter</w:t>
      </w:r>
      <w:r>
        <w:rPr>
          <w:spacing w:val="-8"/>
        </w:rPr>
        <w:t xml:space="preserve"> </w:t>
      </w:r>
      <w:r>
        <w:t>called</w:t>
      </w:r>
      <w:r>
        <w:rPr>
          <w:spacing w:val="-9"/>
        </w:rPr>
        <w:t xml:space="preserve"> </w:t>
      </w:r>
      <w:r>
        <w:t>“the</w:t>
      </w:r>
      <w:r>
        <w:rPr>
          <w:spacing w:val="-6"/>
        </w:rPr>
        <w:t xml:space="preserve"> </w:t>
      </w:r>
      <w:r>
        <w:t>tenderer”)</w:t>
      </w:r>
      <w:r>
        <w:rPr>
          <w:spacing w:val="-6"/>
        </w:rPr>
        <w:t xml:space="preserve"> </w:t>
      </w:r>
      <w:r>
        <w:t>has</w:t>
      </w:r>
      <w:r>
        <w:rPr>
          <w:spacing w:val="-5"/>
        </w:rPr>
        <w:t xml:space="preserve"> </w:t>
      </w:r>
      <w:r>
        <w:t>submitted</w:t>
      </w:r>
      <w:r>
        <w:rPr>
          <w:spacing w:val="-9"/>
        </w:rPr>
        <w:t xml:space="preserve"> </w:t>
      </w:r>
      <w:r>
        <w:t>its</w:t>
      </w:r>
      <w:r>
        <w:rPr>
          <w:spacing w:val="-9"/>
        </w:rPr>
        <w:t xml:space="preserve"> </w:t>
      </w:r>
      <w:r>
        <w:t>tender</w:t>
      </w:r>
      <w:r>
        <w:rPr>
          <w:spacing w:val="-5"/>
        </w:rPr>
        <w:t xml:space="preserve"> </w:t>
      </w:r>
      <w:r>
        <w:rPr>
          <w:spacing w:val="-2"/>
        </w:rPr>
        <w:t>dated</w:t>
      </w:r>
    </w:p>
    <w:p w:rsidR="007F6DF9" w:rsidRDefault="00A43FBC">
      <w:pPr>
        <w:tabs>
          <w:tab w:val="left" w:leader="dot" w:pos="6563"/>
        </w:tabs>
        <w:spacing w:line="252" w:lineRule="exact"/>
        <w:ind w:left="1241"/>
      </w:pPr>
      <w:r>
        <w:t>………</w:t>
      </w:r>
      <w:r>
        <w:rPr>
          <w:spacing w:val="5"/>
        </w:rPr>
        <w:t xml:space="preserve"> </w:t>
      </w:r>
      <w:r>
        <w:t>[</w:t>
      </w:r>
      <w:r>
        <w:rPr>
          <w:i/>
        </w:rPr>
        <w:t>Date</w:t>
      </w:r>
      <w:r>
        <w:rPr>
          <w:i/>
          <w:spacing w:val="5"/>
        </w:rPr>
        <w:t xml:space="preserve"> </w:t>
      </w:r>
      <w:r>
        <w:rPr>
          <w:i/>
        </w:rPr>
        <w:t>of</w:t>
      </w:r>
      <w:r>
        <w:rPr>
          <w:i/>
          <w:spacing w:val="3"/>
        </w:rPr>
        <w:t xml:space="preserve"> </w:t>
      </w:r>
      <w:r>
        <w:rPr>
          <w:i/>
        </w:rPr>
        <w:t>submission</w:t>
      </w:r>
      <w:r>
        <w:rPr>
          <w:i/>
          <w:spacing w:val="5"/>
        </w:rPr>
        <w:t xml:space="preserve"> </w:t>
      </w:r>
      <w:r>
        <w:rPr>
          <w:i/>
        </w:rPr>
        <w:t>of</w:t>
      </w:r>
      <w:r>
        <w:rPr>
          <w:i/>
          <w:spacing w:val="6"/>
        </w:rPr>
        <w:t xml:space="preserve"> </w:t>
      </w:r>
      <w:r>
        <w:rPr>
          <w:i/>
        </w:rPr>
        <w:t>tender]</w:t>
      </w:r>
      <w:r>
        <w:rPr>
          <w:i/>
          <w:spacing w:val="5"/>
        </w:rPr>
        <w:t xml:space="preserve"> </w:t>
      </w:r>
      <w:r>
        <w:t>for</w:t>
      </w:r>
      <w:r>
        <w:rPr>
          <w:spacing w:val="4"/>
        </w:rPr>
        <w:t xml:space="preserve"> </w:t>
      </w:r>
      <w:r>
        <w:rPr>
          <w:spacing w:val="-5"/>
        </w:rPr>
        <w:t>the</w:t>
      </w:r>
      <w:r>
        <w:tab/>
      </w:r>
      <w:r>
        <w:rPr>
          <w:i/>
        </w:rPr>
        <w:t>[Name</w:t>
      </w:r>
      <w:r>
        <w:rPr>
          <w:i/>
          <w:spacing w:val="1"/>
        </w:rPr>
        <w:t xml:space="preserve"> </w:t>
      </w:r>
      <w:r>
        <w:rPr>
          <w:i/>
        </w:rPr>
        <w:t>and/or</w:t>
      </w:r>
      <w:r>
        <w:rPr>
          <w:i/>
          <w:spacing w:val="4"/>
        </w:rPr>
        <w:t xml:space="preserve"> </w:t>
      </w:r>
      <w:r>
        <w:rPr>
          <w:i/>
        </w:rPr>
        <w:t>description</w:t>
      </w:r>
      <w:r>
        <w:rPr>
          <w:i/>
          <w:spacing w:val="3"/>
        </w:rPr>
        <w:t xml:space="preserve"> </w:t>
      </w:r>
      <w:r>
        <w:rPr>
          <w:i/>
        </w:rPr>
        <w:t>of</w:t>
      </w:r>
      <w:r>
        <w:rPr>
          <w:i/>
          <w:spacing w:val="5"/>
        </w:rPr>
        <w:t xml:space="preserve"> </w:t>
      </w:r>
      <w:r>
        <w:rPr>
          <w:i/>
        </w:rPr>
        <w:t>the</w:t>
      </w:r>
      <w:r>
        <w:rPr>
          <w:i/>
          <w:spacing w:val="3"/>
        </w:rPr>
        <w:t xml:space="preserve"> </w:t>
      </w:r>
      <w:r>
        <w:rPr>
          <w:i/>
        </w:rPr>
        <w:t>tender]</w:t>
      </w:r>
      <w:r>
        <w:rPr>
          <w:i/>
          <w:spacing w:val="7"/>
        </w:rPr>
        <w:t xml:space="preserve"> </w:t>
      </w:r>
      <w:r>
        <w:rPr>
          <w:spacing w:val="-2"/>
        </w:rPr>
        <w:t>(hereinafter</w:t>
      </w:r>
    </w:p>
    <w:p w:rsidR="007F6DF9" w:rsidRDefault="00A43FBC">
      <w:pPr>
        <w:pStyle w:val="BodyText"/>
        <w:tabs>
          <w:tab w:val="left" w:pos="5600"/>
          <w:tab w:val="left" w:pos="9921"/>
        </w:tabs>
        <w:spacing w:line="252" w:lineRule="exact"/>
        <w:ind w:left="1241"/>
      </w:pPr>
      <w:r>
        <w:t>called</w:t>
      </w:r>
      <w:r>
        <w:rPr>
          <w:spacing w:val="-4"/>
        </w:rPr>
        <w:t xml:space="preserve"> </w:t>
      </w:r>
      <w:r>
        <w:t>“the</w:t>
      </w:r>
      <w:r>
        <w:rPr>
          <w:spacing w:val="-2"/>
        </w:rPr>
        <w:t xml:space="preserve"> </w:t>
      </w:r>
      <w:r>
        <w:t>Tender”)</w:t>
      </w:r>
      <w:r>
        <w:rPr>
          <w:spacing w:val="-1"/>
        </w:rPr>
        <w:t xml:space="preserve"> </w:t>
      </w:r>
      <w:r>
        <w:rPr>
          <w:color w:val="221F1F"/>
        </w:rPr>
        <w:t>for</w:t>
      </w:r>
      <w:r>
        <w:rPr>
          <w:color w:val="221F1F"/>
          <w:spacing w:val="49"/>
        </w:rPr>
        <w:t xml:space="preserve"> </w:t>
      </w:r>
      <w:r>
        <w:rPr>
          <w:color w:val="221F1F"/>
        </w:rPr>
        <w:t>the</w:t>
      </w:r>
      <w:r>
        <w:rPr>
          <w:color w:val="221F1F"/>
          <w:spacing w:val="51"/>
        </w:rPr>
        <w:t xml:space="preserve"> </w:t>
      </w:r>
      <w:r>
        <w:rPr>
          <w:color w:val="221F1F"/>
        </w:rPr>
        <w:t>execution</w:t>
      </w:r>
      <w:r>
        <w:rPr>
          <w:color w:val="221F1F"/>
          <w:spacing w:val="52"/>
        </w:rPr>
        <w:t xml:space="preserve"> </w:t>
      </w:r>
      <w:r>
        <w:rPr>
          <w:color w:val="221F1F"/>
          <w:spacing w:val="-5"/>
        </w:rPr>
        <w:t>of</w:t>
      </w:r>
      <w:r>
        <w:rPr>
          <w:color w:val="221F1F"/>
          <w:u w:val="single" w:color="211E1F"/>
        </w:rPr>
        <w:tab/>
      </w:r>
      <w:r>
        <w:rPr>
          <w:color w:val="221F1F"/>
        </w:rPr>
        <w:t>under</w:t>
      </w:r>
      <w:r>
        <w:rPr>
          <w:color w:val="221F1F"/>
          <w:spacing w:val="51"/>
        </w:rPr>
        <w:t xml:space="preserve"> </w:t>
      </w:r>
      <w:r>
        <w:rPr>
          <w:color w:val="221F1F"/>
        </w:rPr>
        <w:t>Request</w:t>
      </w:r>
      <w:r>
        <w:rPr>
          <w:color w:val="221F1F"/>
          <w:spacing w:val="51"/>
        </w:rPr>
        <w:t xml:space="preserve"> </w:t>
      </w:r>
      <w:r>
        <w:rPr>
          <w:color w:val="221F1F"/>
        </w:rPr>
        <w:t>for</w:t>
      </w:r>
      <w:r>
        <w:rPr>
          <w:color w:val="221F1F"/>
          <w:spacing w:val="50"/>
        </w:rPr>
        <w:t xml:space="preserve"> </w:t>
      </w:r>
      <w:r>
        <w:rPr>
          <w:color w:val="221F1F"/>
        </w:rPr>
        <w:t>Tenders</w:t>
      </w:r>
      <w:r>
        <w:rPr>
          <w:color w:val="221F1F"/>
          <w:spacing w:val="53"/>
        </w:rPr>
        <w:t xml:space="preserve"> </w:t>
      </w:r>
      <w:r>
        <w:rPr>
          <w:color w:val="221F1F"/>
          <w:spacing w:val="-5"/>
        </w:rPr>
        <w:t>No.</w:t>
      </w:r>
      <w:r>
        <w:rPr>
          <w:color w:val="221F1F"/>
          <w:u w:val="single" w:color="211E1F"/>
        </w:rPr>
        <w:tab/>
      </w:r>
      <w:r>
        <w:rPr>
          <w:color w:val="221F1F"/>
        </w:rPr>
        <w:t>(“the</w:t>
      </w:r>
      <w:r>
        <w:rPr>
          <w:color w:val="221F1F"/>
          <w:spacing w:val="-4"/>
        </w:rPr>
        <w:t xml:space="preserve"> </w:t>
      </w:r>
      <w:r>
        <w:rPr>
          <w:color w:val="221F1F"/>
          <w:spacing w:val="-2"/>
        </w:rPr>
        <w:t>ITT”).</w:t>
      </w:r>
    </w:p>
    <w:p w:rsidR="007F6DF9" w:rsidRDefault="007F6DF9">
      <w:pPr>
        <w:pStyle w:val="BodyText"/>
        <w:spacing w:before="1"/>
      </w:pPr>
    </w:p>
    <w:p w:rsidR="007F6DF9" w:rsidRDefault="00A43FBC">
      <w:pPr>
        <w:pStyle w:val="ListParagraph"/>
        <w:numPr>
          <w:ilvl w:val="0"/>
          <w:numId w:val="132"/>
        </w:numPr>
        <w:tabs>
          <w:tab w:val="left" w:pos="1240"/>
          <w:tab w:val="left" w:leader="dot" w:pos="8350"/>
        </w:tabs>
        <w:ind w:left="1240" w:hanging="568"/>
        <w:jc w:val="both"/>
      </w:pPr>
      <w:r>
        <w:t>KNOW</w:t>
      </w:r>
      <w:r>
        <w:rPr>
          <w:spacing w:val="-11"/>
        </w:rPr>
        <w:t xml:space="preserve"> </w:t>
      </w:r>
      <w:r>
        <w:t>ALL</w:t>
      </w:r>
      <w:r>
        <w:rPr>
          <w:spacing w:val="-12"/>
        </w:rPr>
        <w:t xml:space="preserve"> </w:t>
      </w:r>
      <w:r>
        <w:t>PEOPLE</w:t>
      </w:r>
      <w:r>
        <w:rPr>
          <w:spacing w:val="-11"/>
        </w:rPr>
        <w:t xml:space="preserve"> </w:t>
      </w:r>
      <w:r>
        <w:t>by</w:t>
      </w:r>
      <w:r>
        <w:rPr>
          <w:spacing w:val="-12"/>
        </w:rPr>
        <w:t xml:space="preserve"> </w:t>
      </w:r>
      <w:r>
        <w:t>these</w:t>
      </w:r>
      <w:r>
        <w:rPr>
          <w:spacing w:val="-13"/>
        </w:rPr>
        <w:t xml:space="preserve"> </w:t>
      </w:r>
      <w:r>
        <w:t>presents</w:t>
      </w:r>
      <w:r>
        <w:rPr>
          <w:spacing w:val="-12"/>
        </w:rPr>
        <w:t xml:space="preserve"> </w:t>
      </w:r>
      <w:r>
        <w:t>that</w:t>
      </w:r>
      <w:r>
        <w:rPr>
          <w:spacing w:val="-10"/>
        </w:rPr>
        <w:t xml:space="preserve"> </w:t>
      </w:r>
      <w:r>
        <w:t>WE</w:t>
      </w:r>
      <w:r>
        <w:rPr>
          <w:spacing w:val="-13"/>
        </w:rPr>
        <w:t xml:space="preserve"> </w:t>
      </w:r>
      <w:r>
        <w:t>…………………</w:t>
      </w:r>
      <w:r>
        <w:rPr>
          <w:spacing w:val="-11"/>
        </w:rPr>
        <w:t xml:space="preserve"> </w:t>
      </w:r>
      <w:r>
        <w:rPr>
          <w:spacing w:val="-5"/>
        </w:rPr>
        <w:t>of</w:t>
      </w:r>
      <w:r>
        <w:tab/>
        <w:t>[</w:t>
      </w:r>
      <w:r>
        <w:rPr>
          <w:b/>
        </w:rPr>
        <w:t>Name</w:t>
      </w:r>
      <w:r>
        <w:rPr>
          <w:b/>
          <w:spacing w:val="-13"/>
        </w:rPr>
        <w:t xml:space="preserve"> </w:t>
      </w:r>
      <w:r>
        <w:rPr>
          <w:b/>
        </w:rPr>
        <w:t>of</w:t>
      </w:r>
      <w:r>
        <w:rPr>
          <w:b/>
          <w:spacing w:val="-10"/>
        </w:rPr>
        <w:t xml:space="preserve"> </w:t>
      </w:r>
      <w:r>
        <w:rPr>
          <w:b/>
        </w:rPr>
        <w:t>Insurance</w:t>
      </w:r>
      <w:r>
        <w:rPr>
          <w:b/>
          <w:spacing w:val="-10"/>
        </w:rPr>
        <w:t xml:space="preserve"> </w:t>
      </w:r>
      <w:r>
        <w:rPr>
          <w:b/>
          <w:spacing w:val="-2"/>
        </w:rPr>
        <w:t>Company</w:t>
      </w:r>
      <w:r>
        <w:rPr>
          <w:spacing w:val="-2"/>
        </w:rPr>
        <w:t>]</w:t>
      </w:r>
    </w:p>
    <w:p w:rsidR="007F6DF9" w:rsidRDefault="00A43FBC">
      <w:pPr>
        <w:pStyle w:val="BodyText"/>
        <w:spacing w:before="1"/>
        <w:ind w:left="1241" w:right="249"/>
        <w:jc w:val="both"/>
      </w:pPr>
      <w:r>
        <w:t>having our registered office at …………… (hereinafter called “the Guarantor”), are bound unto …………</w:t>
      </w:r>
      <w:proofErr w:type="gramStart"/>
      <w:r>
        <w:t>…..</w:t>
      </w:r>
      <w:proofErr w:type="gramEnd"/>
      <w:r>
        <w:t xml:space="preserve"> [</w:t>
      </w:r>
      <w:r>
        <w:rPr>
          <w:i/>
        </w:rPr>
        <w:t>Name</w:t>
      </w:r>
      <w:r>
        <w:rPr>
          <w:i/>
          <w:spacing w:val="-1"/>
        </w:rPr>
        <w:t xml:space="preserve"> </w:t>
      </w:r>
      <w:r>
        <w:rPr>
          <w:i/>
        </w:rPr>
        <w:t>of Procuring</w:t>
      </w:r>
      <w:r>
        <w:rPr>
          <w:i/>
          <w:spacing w:val="-1"/>
        </w:rPr>
        <w:t xml:space="preserve"> </w:t>
      </w:r>
      <w:r>
        <w:rPr>
          <w:i/>
        </w:rPr>
        <w:t>Entity</w:t>
      </w:r>
      <w:r>
        <w:t>]</w:t>
      </w:r>
      <w:r>
        <w:rPr>
          <w:spacing w:val="-3"/>
        </w:rPr>
        <w:t xml:space="preserve"> </w:t>
      </w:r>
      <w:r>
        <w:t>(hereinafter</w:t>
      </w:r>
      <w:r>
        <w:rPr>
          <w:spacing w:val="-1"/>
        </w:rPr>
        <w:t xml:space="preserve"> </w:t>
      </w:r>
      <w:r>
        <w:t>called</w:t>
      </w:r>
      <w:r>
        <w:rPr>
          <w:spacing w:val="-1"/>
        </w:rPr>
        <w:t xml:space="preserve"> </w:t>
      </w:r>
      <w:r>
        <w:t>“</w:t>
      </w:r>
      <w:proofErr w:type="gramStart"/>
      <w:r>
        <w:t>the</w:t>
      </w:r>
      <w:r>
        <w:rPr>
          <w:spacing w:val="80"/>
        </w:rPr>
        <w:t xml:space="preserve">  </w:t>
      </w:r>
      <w:r>
        <w:t>Procuring</w:t>
      </w:r>
      <w:proofErr w:type="gramEnd"/>
      <w:r>
        <w:rPr>
          <w:spacing w:val="40"/>
        </w:rPr>
        <w:t xml:space="preserve"> </w:t>
      </w:r>
      <w:r>
        <w:t>Entity”)</w:t>
      </w:r>
      <w:r>
        <w:rPr>
          <w:spacing w:val="40"/>
        </w:rPr>
        <w:t xml:space="preserve"> </w:t>
      </w:r>
      <w:r>
        <w:t>in</w:t>
      </w:r>
      <w:r>
        <w:rPr>
          <w:spacing w:val="40"/>
        </w:rPr>
        <w:t xml:space="preserve"> </w:t>
      </w:r>
      <w:r>
        <w:t>the</w:t>
      </w:r>
      <w:r>
        <w:rPr>
          <w:spacing w:val="40"/>
        </w:rPr>
        <w:t xml:space="preserve"> </w:t>
      </w:r>
      <w:r>
        <w:t>sum</w:t>
      </w:r>
      <w:r>
        <w:rPr>
          <w:spacing w:val="40"/>
        </w:rPr>
        <w:t xml:space="preserve"> </w:t>
      </w:r>
      <w:r>
        <w:t>of</w:t>
      </w:r>
      <w:r>
        <w:rPr>
          <w:spacing w:val="40"/>
        </w:rPr>
        <w:t xml:space="preserve"> </w:t>
      </w:r>
      <w:r>
        <w:t>………………… (Currency and guarantee amount) for which payment well and truly to be made to the said Procuring Entity, the Guarantor binds itself, its successors and assigns, jointly and severally, firmly by these presents.</w:t>
      </w:r>
    </w:p>
    <w:p w:rsidR="007F6DF9" w:rsidRDefault="007F6DF9">
      <w:pPr>
        <w:pStyle w:val="BodyText"/>
      </w:pPr>
    </w:p>
    <w:p w:rsidR="007F6DF9" w:rsidRDefault="00A43FBC">
      <w:pPr>
        <w:pStyle w:val="BodyText"/>
        <w:tabs>
          <w:tab w:val="left" w:pos="7943"/>
        </w:tabs>
        <w:ind w:left="1280"/>
        <w:jc w:val="both"/>
      </w:pPr>
      <w:r>
        <w:t>Sealed</w:t>
      </w:r>
      <w:r>
        <w:rPr>
          <w:spacing w:val="-1"/>
        </w:rPr>
        <w:t xml:space="preserve"> </w:t>
      </w:r>
      <w:r>
        <w:t>with</w:t>
      </w:r>
      <w:r>
        <w:rPr>
          <w:spacing w:val="-1"/>
        </w:rPr>
        <w:t xml:space="preserve"> </w:t>
      </w:r>
      <w:r>
        <w:t>the</w:t>
      </w:r>
      <w:r>
        <w:rPr>
          <w:spacing w:val="-1"/>
        </w:rPr>
        <w:t xml:space="preserve"> </w:t>
      </w:r>
      <w:r>
        <w:t>Common</w:t>
      </w:r>
      <w:r>
        <w:rPr>
          <w:spacing w:val="-1"/>
        </w:rPr>
        <w:t xml:space="preserve"> </w:t>
      </w:r>
      <w:r>
        <w:t>Seal of</w:t>
      </w:r>
      <w:r>
        <w:rPr>
          <w:spacing w:val="-1"/>
        </w:rPr>
        <w:t xml:space="preserve"> </w:t>
      </w:r>
      <w:r>
        <w:t>the</w:t>
      </w:r>
      <w:r>
        <w:rPr>
          <w:spacing w:val="-1"/>
        </w:rPr>
        <w:t xml:space="preserve"> </w:t>
      </w:r>
      <w:r>
        <w:t>said</w:t>
      </w:r>
      <w:r>
        <w:rPr>
          <w:spacing w:val="-1"/>
        </w:rPr>
        <w:t xml:space="preserve"> </w:t>
      </w:r>
      <w:r>
        <w:t>Guarantor</w:t>
      </w:r>
      <w:r>
        <w:rPr>
          <w:spacing w:val="-1"/>
        </w:rPr>
        <w:t xml:space="preserve"> </w:t>
      </w:r>
      <w:r>
        <w:t>this</w:t>
      </w:r>
      <w:r>
        <w:rPr>
          <w:spacing w:val="-1"/>
        </w:rPr>
        <w:t xml:space="preserve"> </w:t>
      </w:r>
      <w:r>
        <w:rPr>
          <w:spacing w:val="79"/>
          <w:w w:val="150"/>
          <w:u w:val="single"/>
        </w:rPr>
        <w:t xml:space="preserve">  </w:t>
      </w:r>
      <w:r>
        <w:t>day</w:t>
      </w:r>
      <w:r>
        <w:rPr>
          <w:spacing w:val="-1"/>
        </w:rPr>
        <w:t xml:space="preserve"> </w:t>
      </w:r>
      <w:r>
        <w:t>of</w:t>
      </w:r>
      <w:r>
        <w:rPr>
          <w:spacing w:val="2"/>
        </w:rPr>
        <w:t xml:space="preserve"> </w:t>
      </w:r>
      <w:r>
        <w:rPr>
          <w:u w:val="double"/>
        </w:rPr>
        <w:tab/>
      </w:r>
      <w:r>
        <w:t>20</w:t>
      </w:r>
      <w:r>
        <w:rPr>
          <w:spacing w:val="-2"/>
        </w:rPr>
        <w:t xml:space="preserve"> </w:t>
      </w:r>
      <w:proofErr w:type="gramStart"/>
      <w:r>
        <w:rPr>
          <w:spacing w:val="54"/>
          <w:u w:val="single"/>
        </w:rPr>
        <w:t xml:space="preserve">  </w:t>
      </w:r>
      <w:r>
        <w:rPr>
          <w:spacing w:val="-10"/>
        </w:rPr>
        <w:t>.</w:t>
      </w:r>
      <w:proofErr w:type="gramEnd"/>
    </w:p>
    <w:p w:rsidR="007F6DF9" w:rsidRDefault="007F6DF9">
      <w:pPr>
        <w:pStyle w:val="BodyText"/>
      </w:pPr>
    </w:p>
    <w:p w:rsidR="007F6DF9" w:rsidRDefault="007F6DF9">
      <w:pPr>
        <w:pStyle w:val="BodyText"/>
      </w:pPr>
    </w:p>
    <w:p w:rsidR="007F6DF9" w:rsidRDefault="00A43FBC">
      <w:pPr>
        <w:pStyle w:val="ListParagraph"/>
        <w:numPr>
          <w:ilvl w:val="0"/>
          <w:numId w:val="132"/>
        </w:numPr>
        <w:tabs>
          <w:tab w:val="left" w:pos="1241"/>
        </w:tabs>
        <w:ind w:hanging="569"/>
      </w:pPr>
      <w:r>
        <w:rPr>
          <w:color w:val="221F1F"/>
        </w:rPr>
        <w:t>NOW,</w:t>
      </w:r>
      <w:r>
        <w:rPr>
          <w:color w:val="221F1F"/>
          <w:spacing w:val="48"/>
        </w:rPr>
        <w:t xml:space="preserve"> </w:t>
      </w:r>
      <w:r>
        <w:rPr>
          <w:color w:val="221F1F"/>
        </w:rPr>
        <w:t>THEREFORE,</w:t>
      </w:r>
      <w:r>
        <w:rPr>
          <w:color w:val="221F1F"/>
          <w:spacing w:val="51"/>
        </w:rPr>
        <w:t xml:space="preserve"> </w:t>
      </w:r>
      <w:r>
        <w:rPr>
          <w:color w:val="221F1F"/>
        </w:rPr>
        <w:t>THE</w:t>
      </w:r>
      <w:r>
        <w:rPr>
          <w:color w:val="221F1F"/>
          <w:spacing w:val="51"/>
        </w:rPr>
        <w:t xml:space="preserve"> </w:t>
      </w:r>
      <w:r>
        <w:rPr>
          <w:color w:val="221F1F"/>
        </w:rPr>
        <w:t>CONDITION</w:t>
      </w:r>
      <w:r>
        <w:rPr>
          <w:color w:val="221F1F"/>
          <w:spacing w:val="49"/>
        </w:rPr>
        <w:t xml:space="preserve"> </w:t>
      </w:r>
      <w:r>
        <w:rPr>
          <w:color w:val="221F1F"/>
        </w:rPr>
        <w:t>OF</w:t>
      </w:r>
      <w:r>
        <w:rPr>
          <w:color w:val="221F1F"/>
          <w:spacing w:val="51"/>
        </w:rPr>
        <w:t xml:space="preserve"> </w:t>
      </w:r>
      <w:r>
        <w:rPr>
          <w:color w:val="221F1F"/>
        </w:rPr>
        <w:t>THIS</w:t>
      </w:r>
      <w:r>
        <w:rPr>
          <w:color w:val="221F1F"/>
          <w:spacing w:val="53"/>
        </w:rPr>
        <w:t xml:space="preserve"> </w:t>
      </w:r>
      <w:r>
        <w:rPr>
          <w:color w:val="221F1F"/>
        </w:rPr>
        <w:t>OBLIGATION</w:t>
      </w:r>
      <w:r>
        <w:rPr>
          <w:color w:val="221F1F"/>
          <w:spacing w:val="50"/>
        </w:rPr>
        <w:t xml:space="preserve"> </w:t>
      </w:r>
      <w:r>
        <w:rPr>
          <w:color w:val="221F1F"/>
        </w:rPr>
        <w:t>is</w:t>
      </w:r>
      <w:r>
        <w:rPr>
          <w:color w:val="221F1F"/>
          <w:spacing w:val="50"/>
        </w:rPr>
        <w:t xml:space="preserve"> </w:t>
      </w:r>
      <w:r>
        <w:rPr>
          <w:color w:val="221F1F"/>
        </w:rPr>
        <w:t>such</w:t>
      </w:r>
      <w:r>
        <w:rPr>
          <w:color w:val="221F1F"/>
          <w:spacing w:val="49"/>
        </w:rPr>
        <w:t xml:space="preserve"> </w:t>
      </w:r>
      <w:r>
        <w:rPr>
          <w:color w:val="221F1F"/>
        </w:rPr>
        <w:t>that</w:t>
      </w:r>
      <w:r>
        <w:rPr>
          <w:color w:val="221F1F"/>
          <w:spacing w:val="52"/>
        </w:rPr>
        <w:t xml:space="preserve"> </w:t>
      </w:r>
      <w:r>
        <w:rPr>
          <w:color w:val="221F1F"/>
        </w:rPr>
        <w:t>if</w:t>
      </w:r>
      <w:r>
        <w:rPr>
          <w:color w:val="221F1F"/>
          <w:spacing w:val="-2"/>
        </w:rPr>
        <w:t xml:space="preserve"> </w:t>
      </w:r>
      <w:r>
        <w:rPr>
          <w:color w:val="221F1F"/>
        </w:rPr>
        <w:t>the</w:t>
      </w:r>
      <w:r>
        <w:rPr>
          <w:color w:val="221F1F"/>
          <w:spacing w:val="51"/>
        </w:rPr>
        <w:t xml:space="preserve"> </w:t>
      </w:r>
      <w:r>
        <w:rPr>
          <w:color w:val="221F1F"/>
          <w:spacing w:val="-2"/>
        </w:rPr>
        <w:t>Applicant:</w:t>
      </w:r>
    </w:p>
    <w:p w:rsidR="007F6DF9" w:rsidRDefault="007F6DF9">
      <w:pPr>
        <w:pStyle w:val="BodyText"/>
      </w:pPr>
    </w:p>
    <w:p w:rsidR="007F6DF9" w:rsidRDefault="00A43FBC">
      <w:pPr>
        <w:pStyle w:val="ListParagraph"/>
        <w:numPr>
          <w:ilvl w:val="1"/>
          <w:numId w:val="132"/>
        </w:numPr>
        <w:tabs>
          <w:tab w:val="left" w:pos="1802"/>
          <w:tab w:val="left" w:pos="1813"/>
        </w:tabs>
        <w:spacing w:before="1"/>
        <w:ind w:right="258" w:hanging="353"/>
        <w:jc w:val="both"/>
      </w:pPr>
      <w:r>
        <w:rPr>
          <w:color w:val="221F1F"/>
        </w:rPr>
        <w:t>has</w:t>
      </w:r>
      <w:r>
        <w:rPr>
          <w:color w:val="221F1F"/>
          <w:spacing w:val="40"/>
        </w:rPr>
        <w:t xml:space="preserve"> </w:t>
      </w:r>
      <w:r>
        <w:rPr>
          <w:color w:val="221F1F"/>
        </w:rPr>
        <w:t>withdrawn</w:t>
      </w:r>
      <w:r>
        <w:rPr>
          <w:color w:val="221F1F"/>
          <w:spacing w:val="40"/>
        </w:rPr>
        <w:t xml:space="preserve"> </w:t>
      </w:r>
      <w:r>
        <w:rPr>
          <w:color w:val="221F1F"/>
        </w:rPr>
        <w:t>its</w:t>
      </w:r>
      <w:r>
        <w:rPr>
          <w:color w:val="221F1F"/>
          <w:spacing w:val="40"/>
        </w:rPr>
        <w:t xml:space="preserve"> </w:t>
      </w:r>
      <w:r>
        <w:rPr>
          <w:color w:val="221F1F"/>
        </w:rPr>
        <w:t>Tender</w:t>
      </w:r>
      <w:r>
        <w:rPr>
          <w:color w:val="221F1F"/>
          <w:spacing w:val="40"/>
        </w:rPr>
        <w:t xml:space="preserve"> </w:t>
      </w:r>
      <w:r>
        <w:rPr>
          <w:color w:val="221F1F"/>
        </w:rPr>
        <w:t>during</w:t>
      </w:r>
      <w:r>
        <w:rPr>
          <w:color w:val="221F1F"/>
          <w:spacing w:val="40"/>
        </w:rPr>
        <w:t xml:space="preserve"> </w:t>
      </w:r>
      <w:r>
        <w:rPr>
          <w:color w:val="221F1F"/>
        </w:rPr>
        <w:t>the</w:t>
      </w:r>
      <w:r>
        <w:rPr>
          <w:color w:val="221F1F"/>
          <w:spacing w:val="40"/>
        </w:rPr>
        <w:t xml:space="preserve"> </w:t>
      </w:r>
      <w:r>
        <w:rPr>
          <w:color w:val="221F1F"/>
        </w:rPr>
        <w:t>period</w:t>
      </w:r>
      <w:r>
        <w:rPr>
          <w:color w:val="221F1F"/>
          <w:spacing w:val="40"/>
        </w:rPr>
        <w:t xml:space="preserve"> </w:t>
      </w:r>
      <w:r>
        <w:rPr>
          <w:color w:val="221F1F"/>
        </w:rPr>
        <w:t>of</w:t>
      </w:r>
      <w:r>
        <w:rPr>
          <w:color w:val="221F1F"/>
          <w:spacing w:val="40"/>
        </w:rPr>
        <w:t xml:space="preserve"> </w:t>
      </w:r>
      <w:r>
        <w:rPr>
          <w:color w:val="221F1F"/>
        </w:rPr>
        <w:t>Tender</w:t>
      </w:r>
      <w:r>
        <w:rPr>
          <w:color w:val="221F1F"/>
          <w:spacing w:val="40"/>
        </w:rPr>
        <w:t xml:space="preserve"> </w:t>
      </w:r>
      <w:r>
        <w:rPr>
          <w:color w:val="221F1F"/>
        </w:rPr>
        <w:t>validity</w:t>
      </w:r>
      <w:r>
        <w:rPr>
          <w:color w:val="221F1F"/>
          <w:spacing w:val="40"/>
        </w:rPr>
        <w:t xml:space="preserve"> </w:t>
      </w:r>
      <w:r>
        <w:rPr>
          <w:color w:val="221F1F"/>
        </w:rPr>
        <w:t>set</w:t>
      </w:r>
      <w:r>
        <w:rPr>
          <w:color w:val="221F1F"/>
          <w:spacing w:val="40"/>
        </w:rPr>
        <w:t xml:space="preserve"> </w:t>
      </w:r>
      <w:r>
        <w:rPr>
          <w:color w:val="221F1F"/>
        </w:rPr>
        <w:t>forth</w:t>
      </w:r>
      <w:r>
        <w:rPr>
          <w:color w:val="221F1F"/>
          <w:spacing w:val="40"/>
        </w:rPr>
        <w:t xml:space="preserve"> </w:t>
      </w:r>
      <w:r>
        <w:rPr>
          <w:color w:val="221F1F"/>
        </w:rPr>
        <w:t>in</w:t>
      </w:r>
      <w:r>
        <w:rPr>
          <w:color w:val="221F1F"/>
          <w:spacing w:val="40"/>
        </w:rPr>
        <w:t xml:space="preserve"> </w:t>
      </w:r>
      <w:r>
        <w:rPr>
          <w:color w:val="221F1F"/>
        </w:rPr>
        <w:t>the</w:t>
      </w:r>
      <w:r>
        <w:rPr>
          <w:color w:val="221F1F"/>
          <w:spacing w:val="40"/>
        </w:rPr>
        <w:t xml:space="preserve"> </w:t>
      </w:r>
      <w:r>
        <w:rPr>
          <w:color w:val="221F1F"/>
        </w:rPr>
        <w:t>Principal's</w:t>
      </w:r>
      <w:r>
        <w:rPr>
          <w:color w:val="221F1F"/>
          <w:spacing w:val="40"/>
        </w:rPr>
        <w:t xml:space="preserve"> </w:t>
      </w:r>
      <w:r>
        <w:rPr>
          <w:color w:val="221F1F"/>
        </w:rPr>
        <w:t>Letter</w:t>
      </w:r>
      <w:r>
        <w:rPr>
          <w:color w:val="221F1F"/>
          <w:spacing w:val="40"/>
        </w:rPr>
        <w:t xml:space="preserve"> </w:t>
      </w:r>
      <w:r>
        <w:rPr>
          <w:color w:val="221F1F"/>
        </w:rPr>
        <w:t>of Tender</w:t>
      </w:r>
      <w:r>
        <w:rPr>
          <w:color w:val="221F1F"/>
          <w:spacing w:val="40"/>
        </w:rPr>
        <w:t xml:space="preserve"> </w:t>
      </w:r>
      <w:r>
        <w:rPr>
          <w:color w:val="221F1F"/>
        </w:rPr>
        <w:t>(“the</w:t>
      </w:r>
      <w:r>
        <w:rPr>
          <w:color w:val="221F1F"/>
          <w:spacing w:val="40"/>
        </w:rPr>
        <w:t xml:space="preserve"> </w:t>
      </w:r>
      <w:r>
        <w:rPr>
          <w:color w:val="221F1F"/>
        </w:rPr>
        <w:t>Tender</w:t>
      </w:r>
      <w:r>
        <w:rPr>
          <w:color w:val="221F1F"/>
          <w:spacing w:val="40"/>
        </w:rPr>
        <w:t xml:space="preserve"> </w:t>
      </w:r>
      <w:r>
        <w:rPr>
          <w:color w:val="221F1F"/>
        </w:rPr>
        <w:t>Validity</w:t>
      </w:r>
      <w:r>
        <w:rPr>
          <w:color w:val="221F1F"/>
          <w:spacing w:val="40"/>
        </w:rPr>
        <w:t xml:space="preserve"> </w:t>
      </w:r>
      <w:r>
        <w:rPr>
          <w:color w:val="221F1F"/>
        </w:rPr>
        <w:t>Period”),</w:t>
      </w:r>
      <w:r>
        <w:rPr>
          <w:color w:val="221F1F"/>
          <w:spacing w:val="40"/>
        </w:rPr>
        <w:t xml:space="preserve"> </w:t>
      </w:r>
      <w:r>
        <w:rPr>
          <w:color w:val="221F1F"/>
        </w:rPr>
        <w:t>or</w:t>
      </w:r>
      <w:r>
        <w:rPr>
          <w:color w:val="221F1F"/>
          <w:spacing w:val="40"/>
        </w:rPr>
        <w:t xml:space="preserve"> </w:t>
      </w:r>
      <w:r>
        <w:rPr>
          <w:color w:val="221F1F"/>
        </w:rPr>
        <w:t>any</w:t>
      </w:r>
      <w:r>
        <w:rPr>
          <w:color w:val="221F1F"/>
          <w:spacing w:val="40"/>
        </w:rPr>
        <w:t xml:space="preserve"> </w:t>
      </w:r>
      <w:r>
        <w:rPr>
          <w:color w:val="221F1F"/>
        </w:rPr>
        <w:t>extension</w:t>
      </w:r>
      <w:r>
        <w:rPr>
          <w:color w:val="221F1F"/>
          <w:spacing w:val="40"/>
        </w:rPr>
        <w:t xml:space="preserve"> </w:t>
      </w:r>
      <w:r>
        <w:rPr>
          <w:color w:val="221F1F"/>
        </w:rPr>
        <w:t>thereto</w:t>
      </w:r>
      <w:r>
        <w:rPr>
          <w:color w:val="221F1F"/>
          <w:spacing w:val="40"/>
        </w:rPr>
        <w:t xml:space="preserve"> </w:t>
      </w:r>
      <w:r>
        <w:rPr>
          <w:color w:val="221F1F"/>
        </w:rPr>
        <w:t>provided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Principal;</w:t>
      </w:r>
      <w:r>
        <w:rPr>
          <w:color w:val="221F1F"/>
          <w:spacing w:val="40"/>
        </w:rPr>
        <w:t xml:space="preserve"> </w:t>
      </w:r>
      <w:r>
        <w:rPr>
          <w:color w:val="221F1F"/>
        </w:rPr>
        <w:t>or</w:t>
      </w:r>
    </w:p>
    <w:p w:rsidR="007F6DF9" w:rsidRDefault="00A43FBC">
      <w:pPr>
        <w:pStyle w:val="ListParagraph"/>
        <w:numPr>
          <w:ilvl w:val="1"/>
          <w:numId w:val="132"/>
        </w:numPr>
        <w:tabs>
          <w:tab w:val="left" w:pos="1802"/>
          <w:tab w:val="left" w:pos="1813"/>
        </w:tabs>
        <w:spacing w:before="252"/>
        <w:ind w:right="259" w:hanging="353"/>
        <w:jc w:val="both"/>
      </w:pPr>
      <w:r>
        <w:rPr>
          <w:color w:val="221F1F"/>
        </w:rPr>
        <w:t>having</w:t>
      </w:r>
      <w:r>
        <w:rPr>
          <w:color w:val="221F1F"/>
          <w:spacing w:val="40"/>
        </w:rPr>
        <w:t xml:space="preserve"> </w:t>
      </w:r>
      <w:r>
        <w:rPr>
          <w:color w:val="221F1F"/>
        </w:rPr>
        <w:t>been</w:t>
      </w:r>
      <w:r>
        <w:rPr>
          <w:color w:val="221F1F"/>
          <w:spacing w:val="40"/>
        </w:rPr>
        <w:t xml:space="preserve"> </w:t>
      </w:r>
      <w:r>
        <w:rPr>
          <w:color w:val="221F1F"/>
        </w:rPr>
        <w:t>notified</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acceptance</w:t>
      </w:r>
      <w:r>
        <w:rPr>
          <w:color w:val="221F1F"/>
          <w:spacing w:val="40"/>
        </w:rPr>
        <w:t xml:space="preserve"> </w:t>
      </w:r>
      <w:r>
        <w:rPr>
          <w:color w:val="221F1F"/>
        </w:rPr>
        <w:t>of</w:t>
      </w:r>
      <w:r>
        <w:rPr>
          <w:color w:val="221F1F"/>
          <w:spacing w:val="40"/>
        </w:rPr>
        <w:t xml:space="preserve"> </w:t>
      </w:r>
      <w:r>
        <w:rPr>
          <w:color w:val="221F1F"/>
        </w:rPr>
        <w:t>its</w:t>
      </w:r>
      <w:r>
        <w:rPr>
          <w:color w:val="221F1F"/>
          <w:spacing w:val="40"/>
        </w:rPr>
        <w:t xml:space="preserve"> </w:t>
      </w:r>
      <w:r>
        <w:rPr>
          <w:color w:val="221F1F"/>
        </w:rPr>
        <w:t>Tender</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during</w:t>
      </w:r>
      <w:r>
        <w:rPr>
          <w:color w:val="221F1F"/>
          <w:spacing w:val="40"/>
        </w:rPr>
        <w:t xml:space="preserve"> </w:t>
      </w:r>
      <w:r>
        <w:rPr>
          <w:color w:val="221F1F"/>
        </w:rPr>
        <w:t>the</w:t>
      </w:r>
      <w:r>
        <w:rPr>
          <w:color w:val="221F1F"/>
          <w:spacing w:val="40"/>
        </w:rPr>
        <w:t xml:space="preserve"> </w:t>
      </w:r>
      <w:r>
        <w:rPr>
          <w:color w:val="221F1F"/>
        </w:rPr>
        <w:t>Tender Validity Period or any extension thereto provided by the Principal;</w:t>
      </w:r>
      <w:r>
        <w:rPr>
          <w:color w:val="221F1F"/>
          <w:spacing w:val="-5"/>
        </w:rPr>
        <w:t xml:space="preserve"> </w:t>
      </w:r>
      <w:r>
        <w:rPr>
          <w:color w:val="221F1F"/>
        </w:rPr>
        <w:t>(</w:t>
      </w:r>
      <w:proofErr w:type="spellStart"/>
      <w:r>
        <w:rPr>
          <w:color w:val="221F1F"/>
        </w:rPr>
        <w:t>i</w:t>
      </w:r>
      <w:proofErr w:type="spellEnd"/>
      <w:r>
        <w:rPr>
          <w:color w:val="221F1F"/>
        </w:rPr>
        <w:t>) failed to execute the Contract agreement;</w:t>
      </w:r>
      <w:r>
        <w:rPr>
          <w:color w:val="221F1F"/>
          <w:spacing w:val="40"/>
        </w:rPr>
        <w:t xml:space="preserve"> </w:t>
      </w:r>
      <w:r>
        <w:rPr>
          <w:color w:val="221F1F"/>
        </w:rPr>
        <w:t>or</w:t>
      </w:r>
      <w:r>
        <w:rPr>
          <w:color w:val="221F1F"/>
          <w:spacing w:val="40"/>
        </w:rPr>
        <w:t xml:space="preserve"> </w:t>
      </w:r>
      <w:r>
        <w:rPr>
          <w:color w:val="221F1F"/>
        </w:rPr>
        <w:t>(ii)</w:t>
      </w:r>
      <w:r>
        <w:rPr>
          <w:color w:val="221F1F"/>
          <w:spacing w:val="40"/>
        </w:rPr>
        <w:t xml:space="preserve"> </w:t>
      </w:r>
      <w:r>
        <w:rPr>
          <w:color w:val="221F1F"/>
        </w:rPr>
        <w:t>has</w:t>
      </w:r>
      <w:r>
        <w:rPr>
          <w:color w:val="221F1F"/>
          <w:spacing w:val="40"/>
        </w:rPr>
        <w:t xml:space="preserve"> </w:t>
      </w:r>
      <w:r>
        <w:rPr>
          <w:color w:val="221F1F"/>
        </w:rPr>
        <w:t>failed</w:t>
      </w:r>
      <w:r>
        <w:rPr>
          <w:color w:val="221F1F"/>
          <w:spacing w:val="40"/>
        </w:rPr>
        <w:t xml:space="preserve"> </w:t>
      </w:r>
      <w:r>
        <w:rPr>
          <w:color w:val="221F1F"/>
        </w:rPr>
        <w:t>to</w:t>
      </w:r>
      <w:r>
        <w:rPr>
          <w:color w:val="221F1F"/>
          <w:spacing w:val="39"/>
        </w:rPr>
        <w:t xml:space="preserve"> </w:t>
      </w:r>
      <w:r>
        <w:rPr>
          <w:color w:val="221F1F"/>
        </w:rPr>
        <w:t>furnish</w:t>
      </w:r>
      <w:r>
        <w:rPr>
          <w:color w:val="221F1F"/>
          <w:spacing w:val="40"/>
        </w:rPr>
        <w:t xml:space="preserve"> </w:t>
      </w:r>
      <w:r>
        <w:rPr>
          <w:color w:val="221F1F"/>
        </w:rPr>
        <w:t>the</w:t>
      </w:r>
      <w:r>
        <w:rPr>
          <w:color w:val="221F1F"/>
          <w:spacing w:val="40"/>
        </w:rPr>
        <w:t xml:space="preserve"> </w:t>
      </w:r>
      <w:r>
        <w:rPr>
          <w:color w:val="221F1F"/>
        </w:rPr>
        <w:t>Performance</w:t>
      </w:r>
      <w:r>
        <w:rPr>
          <w:color w:val="221F1F"/>
          <w:spacing w:val="40"/>
        </w:rPr>
        <w:t xml:space="preserve"> </w:t>
      </w:r>
      <w:r>
        <w:rPr>
          <w:color w:val="221F1F"/>
        </w:rPr>
        <w:t>Security,</w:t>
      </w:r>
      <w:r>
        <w:rPr>
          <w:color w:val="221F1F"/>
          <w:spacing w:val="39"/>
        </w:rPr>
        <w:t xml:space="preserve"> </w:t>
      </w:r>
      <w:r>
        <w:rPr>
          <w:color w:val="221F1F"/>
        </w:rPr>
        <w:t>in</w:t>
      </w:r>
      <w:r>
        <w:rPr>
          <w:color w:val="221F1F"/>
          <w:spacing w:val="39"/>
        </w:rPr>
        <w:t xml:space="preserve"> </w:t>
      </w:r>
      <w:r>
        <w:rPr>
          <w:color w:val="221F1F"/>
        </w:rPr>
        <w:t>accordance</w:t>
      </w:r>
      <w:r>
        <w:rPr>
          <w:color w:val="221F1F"/>
          <w:spacing w:val="40"/>
        </w:rPr>
        <w:t xml:space="preserve"> </w:t>
      </w:r>
      <w:r>
        <w:rPr>
          <w:color w:val="221F1F"/>
        </w:rPr>
        <w:t>with</w:t>
      </w:r>
      <w:r>
        <w:rPr>
          <w:color w:val="221F1F"/>
          <w:spacing w:val="39"/>
        </w:rPr>
        <w:t xml:space="preserve"> </w:t>
      </w:r>
      <w:r>
        <w:rPr>
          <w:color w:val="221F1F"/>
        </w:rPr>
        <w:t>the</w:t>
      </w:r>
      <w:r>
        <w:rPr>
          <w:color w:val="221F1F"/>
          <w:spacing w:val="40"/>
        </w:rPr>
        <w:t xml:space="preserve"> </w:t>
      </w:r>
      <w:r>
        <w:rPr>
          <w:color w:val="221F1F"/>
        </w:rPr>
        <w:t>Instructions to</w:t>
      </w:r>
      <w:r>
        <w:rPr>
          <w:color w:val="221F1F"/>
          <w:spacing w:val="40"/>
        </w:rPr>
        <w:t xml:space="preserve"> </w:t>
      </w:r>
      <w:r>
        <w:rPr>
          <w:color w:val="221F1F"/>
        </w:rPr>
        <w:t>tenderers</w:t>
      </w:r>
      <w:r>
        <w:rPr>
          <w:color w:val="221F1F"/>
          <w:spacing w:val="40"/>
        </w:rPr>
        <w:t xml:space="preserve"> </w:t>
      </w:r>
      <w:r>
        <w:rPr>
          <w:color w:val="221F1F"/>
        </w:rPr>
        <w:t>(“ITT”)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Entity's</w:t>
      </w:r>
      <w:r>
        <w:rPr>
          <w:color w:val="221F1F"/>
          <w:spacing w:val="40"/>
        </w:rPr>
        <w:t xml:space="preserve"> </w:t>
      </w:r>
      <w:r>
        <w:rPr>
          <w:color w:val="221F1F"/>
        </w:rPr>
        <w:t>Tendering</w:t>
      </w:r>
      <w:r>
        <w:rPr>
          <w:color w:val="221F1F"/>
          <w:spacing w:val="40"/>
        </w:rPr>
        <w:t xml:space="preserve"> </w:t>
      </w:r>
      <w:r>
        <w:rPr>
          <w:color w:val="221F1F"/>
        </w:rPr>
        <w:t>document.</w:t>
      </w:r>
    </w:p>
    <w:p w:rsidR="007F6DF9" w:rsidRDefault="007F6DF9">
      <w:pPr>
        <w:pStyle w:val="BodyText"/>
      </w:pPr>
    </w:p>
    <w:p w:rsidR="007F6DF9" w:rsidRDefault="00A43FBC">
      <w:pPr>
        <w:pStyle w:val="BodyText"/>
        <w:ind w:left="1251" w:right="253" w:hanging="10"/>
        <w:jc w:val="both"/>
      </w:pPr>
      <w:r>
        <w:rPr>
          <w:color w:val="221F1F"/>
        </w:rPr>
        <w:t>then</w:t>
      </w:r>
      <w:r>
        <w:rPr>
          <w:color w:val="221F1F"/>
          <w:spacing w:val="40"/>
        </w:rPr>
        <w:t xml:space="preserve"> </w:t>
      </w:r>
      <w:r>
        <w:rPr>
          <w:color w:val="221F1F"/>
        </w:rPr>
        <w:t>the</w:t>
      </w:r>
      <w:r>
        <w:rPr>
          <w:color w:val="221F1F"/>
          <w:spacing w:val="40"/>
        </w:rPr>
        <w:t xml:space="preserve"> </w:t>
      </w:r>
      <w:r>
        <w:rPr>
          <w:color w:val="221F1F"/>
        </w:rPr>
        <w:t>guarantee</w:t>
      </w:r>
      <w:r>
        <w:rPr>
          <w:color w:val="221F1F"/>
          <w:spacing w:val="40"/>
        </w:rPr>
        <w:t xml:space="preserve"> </w:t>
      </w:r>
      <w:r>
        <w:rPr>
          <w:color w:val="221F1F"/>
        </w:rPr>
        <w:t>undertakes</w:t>
      </w:r>
      <w:r>
        <w:rPr>
          <w:color w:val="221F1F"/>
          <w:spacing w:val="40"/>
        </w:rPr>
        <w:t xml:space="preserve"> </w:t>
      </w:r>
      <w:r>
        <w:rPr>
          <w:color w:val="221F1F"/>
        </w:rPr>
        <w:t>to</w:t>
      </w:r>
      <w:r>
        <w:rPr>
          <w:color w:val="221F1F"/>
          <w:spacing w:val="40"/>
        </w:rPr>
        <w:t xml:space="preserve"> </w:t>
      </w:r>
      <w:r>
        <w:rPr>
          <w:color w:val="221F1F"/>
        </w:rPr>
        <w:t>immediately</w:t>
      </w:r>
      <w:r>
        <w:rPr>
          <w:color w:val="221F1F"/>
          <w:spacing w:val="40"/>
        </w:rPr>
        <w:t xml:space="preserve"> </w:t>
      </w:r>
      <w:r>
        <w:rPr>
          <w:color w:val="221F1F"/>
        </w:rPr>
        <w:t>pay</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up</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above</w:t>
      </w:r>
      <w:r>
        <w:rPr>
          <w:color w:val="221F1F"/>
          <w:spacing w:val="40"/>
        </w:rPr>
        <w:t xml:space="preserve"> </w:t>
      </w:r>
      <w:r>
        <w:rPr>
          <w:color w:val="221F1F"/>
        </w:rPr>
        <w:t>amount</w:t>
      </w:r>
      <w:r>
        <w:rPr>
          <w:color w:val="221F1F"/>
          <w:spacing w:val="40"/>
        </w:rPr>
        <w:t xml:space="preserve"> </w:t>
      </w:r>
      <w:r>
        <w:rPr>
          <w:color w:val="221F1F"/>
        </w:rPr>
        <w:t>upon receipt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Entity's</w:t>
      </w:r>
      <w:r>
        <w:rPr>
          <w:color w:val="221F1F"/>
          <w:spacing w:val="40"/>
        </w:rPr>
        <w:t xml:space="preserve"> </w:t>
      </w:r>
      <w:r>
        <w:rPr>
          <w:color w:val="221F1F"/>
        </w:rPr>
        <w:t>first</w:t>
      </w:r>
      <w:r>
        <w:rPr>
          <w:color w:val="221F1F"/>
          <w:spacing w:val="40"/>
        </w:rPr>
        <w:t xml:space="preserve"> </w:t>
      </w:r>
      <w:r>
        <w:rPr>
          <w:color w:val="221F1F"/>
        </w:rPr>
        <w:t>written</w:t>
      </w:r>
      <w:r>
        <w:rPr>
          <w:color w:val="221F1F"/>
          <w:spacing w:val="40"/>
        </w:rPr>
        <w:t xml:space="preserve"> </w:t>
      </w:r>
      <w:r>
        <w:rPr>
          <w:color w:val="221F1F"/>
        </w:rPr>
        <w:t>demand,</w:t>
      </w:r>
      <w:r>
        <w:rPr>
          <w:color w:val="221F1F"/>
          <w:spacing w:val="40"/>
        </w:rPr>
        <w:t xml:space="preserve"> </w:t>
      </w:r>
      <w:r>
        <w:rPr>
          <w:color w:val="221F1F"/>
        </w:rPr>
        <w:t>without</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having</w:t>
      </w:r>
      <w:r>
        <w:rPr>
          <w:color w:val="221F1F"/>
          <w:spacing w:val="40"/>
        </w:rPr>
        <w:t xml:space="preserve"> </w:t>
      </w:r>
      <w:r>
        <w:rPr>
          <w:color w:val="221F1F"/>
        </w:rPr>
        <w:t>to</w:t>
      </w:r>
      <w:r>
        <w:rPr>
          <w:color w:val="221F1F"/>
          <w:spacing w:val="40"/>
        </w:rPr>
        <w:t xml:space="preserve"> </w:t>
      </w:r>
      <w:r>
        <w:rPr>
          <w:color w:val="221F1F"/>
        </w:rPr>
        <w:t>substantiate its demand, provided that in its demand the Procuring Entity shall state that the demand arises from the occurrence</w:t>
      </w:r>
      <w:r>
        <w:rPr>
          <w:color w:val="221F1F"/>
          <w:spacing w:val="40"/>
        </w:rPr>
        <w:t xml:space="preserve"> </w:t>
      </w:r>
      <w:r>
        <w:rPr>
          <w:color w:val="221F1F"/>
        </w:rPr>
        <w:t>of</w:t>
      </w:r>
      <w:r>
        <w:rPr>
          <w:color w:val="221F1F"/>
          <w:spacing w:val="40"/>
        </w:rPr>
        <w:t xml:space="preserve"> </w:t>
      </w:r>
      <w:r>
        <w:rPr>
          <w:color w:val="221F1F"/>
        </w:rPr>
        <w:t>any</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above</w:t>
      </w:r>
      <w:r>
        <w:rPr>
          <w:color w:val="221F1F"/>
          <w:spacing w:val="40"/>
        </w:rPr>
        <w:t xml:space="preserve"> </w:t>
      </w:r>
      <w:r>
        <w:rPr>
          <w:color w:val="221F1F"/>
        </w:rPr>
        <w:t>events,</w:t>
      </w:r>
      <w:r>
        <w:rPr>
          <w:color w:val="221F1F"/>
          <w:spacing w:val="40"/>
        </w:rPr>
        <w:t xml:space="preserve"> </w:t>
      </w:r>
      <w:r>
        <w:rPr>
          <w:color w:val="221F1F"/>
        </w:rPr>
        <w:t>specifying</w:t>
      </w:r>
      <w:r>
        <w:rPr>
          <w:color w:val="221F1F"/>
          <w:spacing w:val="40"/>
        </w:rPr>
        <w:t xml:space="preserve"> </w:t>
      </w:r>
      <w:r>
        <w:rPr>
          <w:color w:val="221F1F"/>
        </w:rPr>
        <w:t>which</w:t>
      </w:r>
      <w:r>
        <w:rPr>
          <w:color w:val="221F1F"/>
          <w:spacing w:val="40"/>
        </w:rPr>
        <w:t xml:space="preserve"> </w:t>
      </w:r>
      <w:r>
        <w:rPr>
          <w:color w:val="221F1F"/>
        </w:rPr>
        <w:t>event(s)</w:t>
      </w:r>
      <w:r>
        <w:rPr>
          <w:color w:val="221F1F"/>
          <w:spacing w:val="40"/>
        </w:rPr>
        <w:t xml:space="preserve"> </w:t>
      </w:r>
      <w:r>
        <w:rPr>
          <w:color w:val="221F1F"/>
        </w:rPr>
        <w:t>has</w:t>
      </w:r>
      <w:r>
        <w:rPr>
          <w:color w:val="221F1F"/>
          <w:spacing w:val="40"/>
        </w:rPr>
        <w:t xml:space="preserve"> </w:t>
      </w:r>
      <w:r>
        <w:rPr>
          <w:color w:val="221F1F"/>
        </w:rPr>
        <w:t>occurred.</w:t>
      </w:r>
    </w:p>
    <w:p w:rsidR="007F6DF9" w:rsidRDefault="007F6DF9">
      <w:pPr>
        <w:pStyle w:val="BodyText"/>
      </w:pPr>
    </w:p>
    <w:p w:rsidR="007F6DF9" w:rsidRDefault="00A43FBC">
      <w:pPr>
        <w:pStyle w:val="ListParagraph"/>
        <w:numPr>
          <w:ilvl w:val="0"/>
          <w:numId w:val="132"/>
        </w:numPr>
        <w:tabs>
          <w:tab w:val="left" w:pos="1239"/>
          <w:tab w:val="left" w:pos="1241"/>
        </w:tabs>
        <w:ind w:right="250"/>
        <w:jc w:val="both"/>
      </w:pPr>
      <w:r>
        <w:rPr>
          <w:color w:val="221F1F"/>
        </w:rPr>
        <w:t>This</w:t>
      </w:r>
      <w:r>
        <w:rPr>
          <w:color w:val="221F1F"/>
          <w:spacing w:val="40"/>
        </w:rPr>
        <w:t xml:space="preserve"> </w:t>
      </w:r>
      <w:r>
        <w:rPr>
          <w:color w:val="221F1F"/>
        </w:rPr>
        <w:t>guarantee</w:t>
      </w:r>
      <w:r>
        <w:rPr>
          <w:color w:val="221F1F"/>
          <w:spacing w:val="40"/>
        </w:rPr>
        <w:t xml:space="preserve"> </w:t>
      </w:r>
      <w:r>
        <w:rPr>
          <w:color w:val="221F1F"/>
        </w:rPr>
        <w:t>will</w:t>
      </w:r>
      <w:r>
        <w:rPr>
          <w:color w:val="221F1F"/>
          <w:spacing w:val="40"/>
        </w:rPr>
        <w:t xml:space="preserve"> </w:t>
      </w:r>
      <w:r>
        <w:rPr>
          <w:color w:val="221F1F"/>
        </w:rPr>
        <w:t>expire:</w:t>
      </w:r>
      <w:r>
        <w:rPr>
          <w:color w:val="221F1F"/>
          <w:spacing w:val="40"/>
        </w:rPr>
        <w:t xml:space="preserve"> </w:t>
      </w:r>
      <w:r>
        <w:rPr>
          <w:color w:val="221F1F"/>
        </w:rPr>
        <w:t>(a)</w:t>
      </w:r>
      <w:r>
        <w:rPr>
          <w:color w:val="221F1F"/>
          <w:spacing w:val="40"/>
        </w:rPr>
        <w:t xml:space="preserve"> </w:t>
      </w:r>
      <w:r>
        <w:rPr>
          <w:color w:val="221F1F"/>
        </w:rPr>
        <w:t>if</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is</w:t>
      </w:r>
      <w:r>
        <w:rPr>
          <w:color w:val="221F1F"/>
          <w:spacing w:val="40"/>
        </w:rPr>
        <w:t xml:space="preserve"> </w:t>
      </w:r>
      <w:r>
        <w:rPr>
          <w:color w:val="221F1F"/>
        </w:rPr>
        <w:t>the</w:t>
      </w:r>
      <w:r>
        <w:rPr>
          <w:color w:val="221F1F"/>
          <w:spacing w:val="40"/>
        </w:rPr>
        <w:t xml:space="preserve"> </w:t>
      </w:r>
      <w:r>
        <w:rPr>
          <w:color w:val="221F1F"/>
        </w:rPr>
        <w:t>successful</w:t>
      </w:r>
      <w:r>
        <w:rPr>
          <w:color w:val="221F1F"/>
          <w:spacing w:val="40"/>
        </w:rPr>
        <w:t xml:space="preserve"> </w:t>
      </w:r>
      <w:r>
        <w:rPr>
          <w:color w:val="221F1F"/>
        </w:rPr>
        <w:t>Tenderer,</w:t>
      </w:r>
      <w:r>
        <w:rPr>
          <w:color w:val="221F1F"/>
          <w:spacing w:val="40"/>
        </w:rPr>
        <w:t xml:space="preserve"> </w:t>
      </w:r>
      <w:r>
        <w:rPr>
          <w:color w:val="221F1F"/>
        </w:rPr>
        <w:t>upon</w:t>
      </w:r>
      <w:r>
        <w:rPr>
          <w:color w:val="221F1F"/>
          <w:spacing w:val="40"/>
        </w:rPr>
        <w:t xml:space="preserve"> </w:t>
      </w:r>
      <w:r>
        <w:rPr>
          <w:color w:val="221F1F"/>
        </w:rPr>
        <w:t>our</w:t>
      </w:r>
      <w:r>
        <w:rPr>
          <w:color w:val="221F1F"/>
          <w:spacing w:val="40"/>
        </w:rPr>
        <w:t xml:space="preserve"> </w:t>
      </w:r>
      <w:r>
        <w:rPr>
          <w:color w:val="221F1F"/>
        </w:rPr>
        <w:t>receipt</w:t>
      </w:r>
      <w:r>
        <w:rPr>
          <w:color w:val="221F1F"/>
          <w:spacing w:val="40"/>
        </w:rPr>
        <w:t xml:space="preserve"> </w:t>
      </w:r>
      <w:r>
        <w:rPr>
          <w:color w:val="221F1F"/>
        </w:rPr>
        <w:t>of</w:t>
      </w:r>
      <w:r>
        <w:rPr>
          <w:color w:val="221F1F"/>
          <w:spacing w:val="40"/>
        </w:rPr>
        <w:t xml:space="preserve"> </w:t>
      </w:r>
      <w:r>
        <w:rPr>
          <w:color w:val="221F1F"/>
        </w:rPr>
        <w:t>copies</w:t>
      </w:r>
      <w:r>
        <w:rPr>
          <w:color w:val="221F1F"/>
          <w:spacing w:val="40"/>
        </w:rPr>
        <w:t xml:space="preserve"> </w:t>
      </w:r>
      <w:r>
        <w:rPr>
          <w:color w:val="221F1F"/>
        </w:rPr>
        <w:t>of the</w:t>
      </w:r>
      <w:r>
        <w:rPr>
          <w:color w:val="221F1F"/>
          <w:spacing w:val="40"/>
        </w:rPr>
        <w:t xml:space="preserve"> </w:t>
      </w:r>
      <w:r>
        <w:rPr>
          <w:color w:val="221F1F"/>
        </w:rPr>
        <w:t>contract</w:t>
      </w:r>
      <w:r>
        <w:rPr>
          <w:color w:val="221F1F"/>
          <w:spacing w:val="40"/>
        </w:rPr>
        <w:t xml:space="preserve"> </w:t>
      </w:r>
      <w:r>
        <w:rPr>
          <w:color w:val="221F1F"/>
        </w:rPr>
        <w:t>agreement</w:t>
      </w:r>
      <w:r>
        <w:rPr>
          <w:color w:val="221F1F"/>
          <w:spacing w:val="40"/>
        </w:rPr>
        <w:t xml:space="preserve"> </w:t>
      </w:r>
      <w:r>
        <w:rPr>
          <w:color w:val="221F1F"/>
        </w:rPr>
        <w:t>signed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and</w:t>
      </w:r>
      <w:r>
        <w:rPr>
          <w:color w:val="221F1F"/>
          <w:spacing w:val="40"/>
        </w:rPr>
        <w:t xml:space="preserve"> </w:t>
      </w:r>
      <w:r>
        <w:rPr>
          <w:color w:val="221F1F"/>
        </w:rPr>
        <w:t>the</w:t>
      </w:r>
      <w:r>
        <w:rPr>
          <w:color w:val="221F1F"/>
          <w:spacing w:val="40"/>
        </w:rPr>
        <w:t xml:space="preserve"> </w:t>
      </w:r>
      <w:r>
        <w:rPr>
          <w:color w:val="221F1F"/>
        </w:rPr>
        <w:t>Performance</w:t>
      </w:r>
      <w:r>
        <w:rPr>
          <w:color w:val="221F1F"/>
          <w:spacing w:val="40"/>
        </w:rPr>
        <w:t xml:space="preserve"> </w:t>
      </w:r>
      <w:r>
        <w:rPr>
          <w:color w:val="221F1F"/>
        </w:rPr>
        <w:t>Security</w:t>
      </w:r>
      <w:r>
        <w:rPr>
          <w:color w:val="221F1F"/>
          <w:spacing w:val="40"/>
        </w:rPr>
        <w:t xml:space="preserve"> </w:t>
      </w:r>
      <w:r>
        <w:rPr>
          <w:color w:val="221F1F"/>
        </w:rPr>
        <w:t>and,</w:t>
      </w:r>
      <w:r>
        <w:rPr>
          <w:color w:val="221F1F"/>
          <w:spacing w:val="40"/>
        </w:rPr>
        <w:t xml:space="preserve"> </w:t>
      </w:r>
      <w:r>
        <w:rPr>
          <w:color w:val="221F1F"/>
        </w:rPr>
        <w:t>or</w:t>
      </w:r>
      <w:r>
        <w:rPr>
          <w:color w:val="221F1F"/>
          <w:spacing w:val="40"/>
        </w:rPr>
        <w:t xml:space="preserve"> </w:t>
      </w:r>
      <w:r>
        <w:rPr>
          <w:color w:val="221F1F"/>
        </w:rPr>
        <w:t>(b)</w:t>
      </w:r>
      <w:r>
        <w:rPr>
          <w:color w:val="221F1F"/>
          <w:spacing w:val="40"/>
        </w:rPr>
        <w:t xml:space="preserve"> </w:t>
      </w:r>
      <w:r>
        <w:rPr>
          <w:color w:val="221F1F"/>
        </w:rPr>
        <w:t>if</w:t>
      </w:r>
      <w:r>
        <w:rPr>
          <w:color w:val="221F1F"/>
          <w:spacing w:val="40"/>
        </w:rPr>
        <w:t xml:space="preserve"> </w:t>
      </w:r>
      <w:r>
        <w:rPr>
          <w:color w:val="221F1F"/>
        </w:rPr>
        <w:t>the</w:t>
      </w:r>
      <w:r>
        <w:rPr>
          <w:color w:val="221F1F"/>
          <w:spacing w:val="40"/>
        </w:rPr>
        <w:t xml:space="preserve"> </w:t>
      </w:r>
      <w:r>
        <w:rPr>
          <w:color w:val="221F1F"/>
        </w:rPr>
        <w:t>Applicant is</w:t>
      </w:r>
      <w:r>
        <w:rPr>
          <w:color w:val="221F1F"/>
          <w:spacing w:val="36"/>
        </w:rPr>
        <w:t xml:space="preserve"> </w:t>
      </w:r>
      <w:r>
        <w:rPr>
          <w:color w:val="221F1F"/>
        </w:rPr>
        <w:t>not</w:t>
      </w:r>
      <w:r>
        <w:rPr>
          <w:color w:val="221F1F"/>
          <w:spacing w:val="36"/>
        </w:rPr>
        <w:t xml:space="preserve"> </w:t>
      </w:r>
      <w:r>
        <w:rPr>
          <w:color w:val="221F1F"/>
        </w:rPr>
        <w:t>the</w:t>
      </w:r>
      <w:r>
        <w:rPr>
          <w:color w:val="221F1F"/>
          <w:spacing w:val="35"/>
        </w:rPr>
        <w:t xml:space="preserve"> </w:t>
      </w:r>
      <w:r>
        <w:rPr>
          <w:color w:val="221F1F"/>
        </w:rPr>
        <w:t>successful</w:t>
      </w:r>
      <w:r>
        <w:rPr>
          <w:color w:val="221F1F"/>
          <w:spacing w:val="36"/>
        </w:rPr>
        <w:t xml:space="preserve"> </w:t>
      </w:r>
      <w:r>
        <w:rPr>
          <w:color w:val="221F1F"/>
        </w:rPr>
        <w:t>Tenderer,</w:t>
      </w:r>
      <w:r>
        <w:rPr>
          <w:color w:val="221F1F"/>
          <w:spacing w:val="35"/>
        </w:rPr>
        <w:t xml:space="preserve"> </w:t>
      </w:r>
      <w:r>
        <w:rPr>
          <w:color w:val="221F1F"/>
        </w:rPr>
        <w:t>upon</w:t>
      </w:r>
      <w:r>
        <w:rPr>
          <w:color w:val="221F1F"/>
          <w:spacing w:val="33"/>
        </w:rPr>
        <w:t xml:space="preserve"> </w:t>
      </w:r>
      <w:r>
        <w:rPr>
          <w:color w:val="221F1F"/>
        </w:rPr>
        <w:t>the</w:t>
      </w:r>
      <w:r>
        <w:rPr>
          <w:color w:val="221F1F"/>
          <w:spacing w:val="33"/>
        </w:rPr>
        <w:t xml:space="preserve"> </w:t>
      </w:r>
      <w:r>
        <w:rPr>
          <w:color w:val="221F1F"/>
        </w:rPr>
        <w:t>earlier</w:t>
      </w:r>
      <w:r>
        <w:rPr>
          <w:color w:val="221F1F"/>
          <w:spacing w:val="34"/>
        </w:rPr>
        <w:t xml:space="preserve"> </w:t>
      </w:r>
      <w:r>
        <w:rPr>
          <w:color w:val="221F1F"/>
        </w:rPr>
        <w:t>of</w:t>
      </w:r>
      <w:r>
        <w:rPr>
          <w:color w:val="221F1F"/>
          <w:spacing w:val="34"/>
        </w:rPr>
        <w:t xml:space="preserve"> </w:t>
      </w:r>
      <w:r>
        <w:rPr>
          <w:color w:val="221F1F"/>
        </w:rPr>
        <w:t>(</w:t>
      </w:r>
      <w:proofErr w:type="spellStart"/>
      <w:r>
        <w:rPr>
          <w:color w:val="221F1F"/>
        </w:rPr>
        <w:t>i</w:t>
      </w:r>
      <w:proofErr w:type="spellEnd"/>
      <w:r>
        <w:rPr>
          <w:color w:val="221F1F"/>
        </w:rPr>
        <w:t>)</w:t>
      </w:r>
      <w:r>
        <w:rPr>
          <w:color w:val="221F1F"/>
          <w:spacing w:val="36"/>
        </w:rPr>
        <w:t xml:space="preserve"> </w:t>
      </w:r>
      <w:r>
        <w:rPr>
          <w:color w:val="221F1F"/>
        </w:rPr>
        <w:t>our</w:t>
      </w:r>
      <w:r>
        <w:rPr>
          <w:color w:val="221F1F"/>
          <w:spacing w:val="34"/>
        </w:rPr>
        <w:t xml:space="preserve"> </w:t>
      </w:r>
      <w:r>
        <w:rPr>
          <w:color w:val="221F1F"/>
        </w:rPr>
        <w:t>receipt</w:t>
      </w:r>
      <w:r>
        <w:rPr>
          <w:color w:val="221F1F"/>
          <w:spacing w:val="36"/>
        </w:rPr>
        <w:t xml:space="preserve"> </w:t>
      </w:r>
      <w:r>
        <w:rPr>
          <w:color w:val="221F1F"/>
        </w:rPr>
        <w:t>of</w:t>
      </w:r>
      <w:r>
        <w:rPr>
          <w:color w:val="221F1F"/>
          <w:spacing w:val="36"/>
        </w:rPr>
        <w:t xml:space="preserve"> </w:t>
      </w:r>
      <w:r>
        <w:rPr>
          <w:color w:val="221F1F"/>
        </w:rPr>
        <w:t>a</w:t>
      </w:r>
      <w:r>
        <w:rPr>
          <w:color w:val="221F1F"/>
          <w:spacing w:val="35"/>
        </w:rPr>
        <w:t xml:space="preserve"> </w:t>
      </w:r>
      <w:r>
        <w:rPr>
          <w:color w:val="221F1F"/>
        </w:rPr>
        <w:t>copy</w:t>
      </w:r>
      <w:r>
        <w:rPr>
          <w:color w:val="221F1F"/>
          <w:spacing w:val="35"/>
        </w:rPr>
        <w:t xml:space="preserve"> </w:t>
      </w:r>
      <w:r>
        <w:rPr>
          <w:color w:val="221F1F"/>
        </w:rPr>
        <w:t>of</w:t>
      </w:r>
      <w:r>
        <w:rPr>
          <w:color w:val="221F1F"/>
          <w:spacing w:val="34"/>
        </w:rPr>
        <w:t xml:space="preserve"> </w:t>
      </w:r>
      <w:r>
        <w:rPr>
          <w:color w:val="221F1F"/>
        </w:rPr>
        <w:t>the</w:t>
      </w:r>
      <w:r>
        <w:rPr>
          <w:color w:val="221F1F"/>
          <w:spacing w:val="35"/>
        </w:rPr>
        <w:t xml:space="preserve"> </w:t>
      </w:r>
      <w:r>
        <w:rPr>
          <w:color w:val="221F1F"/>
        </w:rPr>
        <w:t>Beneficiary's</w:t>
      </w:r>
      <w:r>
        <w:rPr>
          <w:color w:val="221F1F"/>
          <w:spacing w:val="36"/>
        </w:rPr>
        <w:t xml:space="preserve"> </w:t>
      </w:r>
      <w:r>
        <w:rPr>
          <w:color w:val="221F1F"/>
        </w:rPr>
        <w:t>notification to</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results</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Tendering</w:t>
      </w:r>
      <w:r>
        <w:rPr>
          <w:color w:val="221F1F"/>
          <w:spacing w:val="40"/>
        </w:rPr>
        <w:t xml:space="preserve"> </w:t>
      </w:r>
      <w:r>
        <w:rPr>
          <w:color w:val="221F1F"/>
        </w:rPr>
        <w:t>process;</w:t>
      </w:r>
      <w:r>
        <w:rPr>
          <w:color w:val="221F1F"/>
          <w:spacing w:val="40"/>
        </w:rPr>
        <w:t xml:space="preserve"> </w:t>
      </w:r>
      <w:r>
        <w:rPr>
          <w:color w:val="221F1F"/>
        </w:rPr>
        <w:t>or</w:t>
      </w:r>
      <w:r>
        <w:rPr>
          <w:color w:val="221F1F"/>
          <w:spacing w:val="40"/>
        </w:rPr>
        <w:t xml:space="preserve"> </w:t>
      </w:r>
      <w:r>
        <w:rPr>
          <w:color w:val="221F1F"/>
        </w:rPr>
        <w:t>(ii)twenty-eight</w:t>
      </w:r>
      <w:r>
        <w:rPr>
          <w:color w:val="221F1F"/>
          <w:spacing w:val="40"/>
        </w:rPr>
        <w:t xml:space="preserve"> </w:t>
      </w:r>
      <w:r>
        <w:rPr>
          <w:color w:val="221F1F"/>
        </w:rPr>
        <w:t>days</w:t>
      </w:r>
      <w:r>
        <w:rPr>
          <w:color w:val="221F1F"/>
          <w:spacing w:val="40"/>
        </w:rPr>
        <w:t xml:space="preserve"> </w:t>
      </w:r>
      <w:r>
        <w:rPr>
          <w:color w:val="221F1F"/>
        </w:rPr>
        <w:t>after</w:t>
      </w:r>
      <w:r>
        <w:rPr>
          <w:color w:val="221F1F"/>
          <w:spacing w:val="40"/>
        </w:rPr>
        <w:t xml:space="preserve"> </w:t>
      </w:r>
      <w:r>
        <w:rPr>
          <w:color w:val="221F1F"/>
        </w:rPr>
        <w:t>the</w:t>
      </w:r>
      <w:r>
        <w:rPr>
          <w:color w:val="221F1F"/>
          <w:spacing w:val="40"/>
        </w:rPr>
        <w:t xml:space="preserve"> </w:t>
      </w:r>
      <w:r>
        <w:rPr>
          <w:color w:val="221F1F"/>
        </w:rPr>
        <w:t>end</w:t>
      </w:r>
      <w:r>
        <w:rPr>
          <w:color w:val="221F1F"/>
          <w:spacing w:val="40"/>
        </w:rPr>
        <w:t xml:space="preserve"> </w:t>
      </w:r>
      <w:r>
        <w:rPr>
          <w:color w:val="221F1F"/>
        </w:rPr>
        <w:t>of</w:t>
      </w:r>
      <w:r>
        <w:rPr>
          <w:color w:val="221F1F"/>
          <w:spacing w:val="40"/>
        </w:rPr>
        <w:t xml:space="preserve"> </w:t>
      </w:r>
      <w:r>
        <w:rPr>
          <w:color w:val="221F1F"/>
        </w:rPr>
        <w:t>the Tender</w:t>
      </w:r>
      <w:r>
        <w:rPr>
          <w:color w:val="221F1F"/>
          <w:spacing w:val="40"/>
        </w:rPr>
        <w:t xml:space="preserve"> </w:t>
      </w:r>
      <w:r>
        <w:rPr>
          <w:color w:val="221F1F"/>
        </w:rPr>
        <w:t>Validity</w:t>
      </w:r>
      <w:r>
        <w:rPr>
          <w:color w:val="221F1F"/>
          <w:spacing w:val="40"/>
        </w:rPr>
        <w:t xml:space="preserve"> </w:t>
      </w:r>
      <w:r>
        <w:rPr>
          <w:color w:val="221F1F"/>
        </w:rPr>
        <w:t>Period.</w:t>
      </w:r>
    </w:p>
    <w:p w:rsidR="007F6DF9" w:rsidRDefault="007F6DF9">
      <w:pPr>
        <w:pStyle w:val="BodyText"/>
        <w:spacing w:before="1"/>
      </w:pPr>
    </w:p>
    <w:p w:rsidR="007F6DF9" w:rsidRDefault="00A43FBC">
      <w:pPr>
        <w:pStyle w:val="ListParagraph"/>
        <w:numPr>
          <w:ilvl w:val="0"/>
          <w:numId w:val="132"/>
        </w:numPr>
        <w:tabs>
          <w:tab w:val="left" w:pos="1234"/>
          <w:tab w:val="left" w:pos="1241"/>
        </w:tabs>
        <w:spacing w:before="1"/>
        <w:ind w:right="251"/>
        <w:jc w:val="both"/>
      </w:pPr>
      <w:r>
        <w:rPr>
          <w:color w:val="221F1F"/>
        </w:rPr>
        <w:t>Consequently, any demand for payment under this guarantee must be received</w:t>
      </w:r>
      <w:r>
        <w:rPr>
          <w:color w:val="221F1F"/>
          <w:spacing w:val="38"/>
        </w:rPr>
        <w:t xml:space="preserve"> </w:t>
      </w:r>
      <w:r>
        <w:rPr>
          <w:color w:val="221F1F"/>
        </w:rPr>
        <w:t>by us at the office</w:t>
      </w:r>
      <w:r>
        <w:rPr>
          <w:color w:val="221F1F"/>
          <w:spacing w:val="38"/>
        </w:rPr>
        <w:t xml:space="preserve"> </w:t>
      </w:r>
      <w:r>
        <w:rPr>
          <w:color w:val="221F1F"/>
        </w:rPr>
        <w:t>indicated</w:t>
      </w:r>
      <w:r>
        <w:rPr>
          <w:color w:val="221F1F"/>
          <w:spacing w:val="40"/>
        </w:rPr>
        <w:t xml:space="preserve"> </w:t>
      </w:r>
      <w:r>
        <w:rPr>
          <w:color w:val="221F1F"/>
        </w:rPr>
        <w:t>above</w:t>
      </w:r>
      <w:r>
        <w:rPr>
          <w:color w:val="221F1F"/>
          <w:spacing w:val="40"/>
        </w:rPr>
        <w:t xml:space="preserve"> </w:t>
      </w:r>
      <w:r>
        <w:rPr>
          <w:color w:val="221F1F"/>
        </w:rPr>
        <w:t>on</w:t>
      </w:r>
      <w:r>
        <w:rPr>
          <w:color w:val="221F1F"/>
          <w:spacing w:val="40"/>
        </w:rPr>
        <w:t xml:space="preserve"> </w:t>
      </w:r>
      <w:r>
        <w:rPr>
          <w:color w:val="221F1F"/>
        </w:rPr>
        <w:t>or</w:t>
      </w:r>
      <w:r>
        <w:rPr>
          <w:color w:val="221F1F"/>
          <w:spacing w:val="40"/>
        </w:rPr>
        <w:t xml:space="preserve"> </w:t>
      </w:r>
      <w:r>
        <w:rPr>
          <w:color w:val="221F1F"/>
        </w:rPr>
        <w:t>before</w:t>
      </w:r>
      <w:r>
        <w:rPr>
          <w:color w:val="221F1F"/>
          <w:spacing w:val="40"/>
        </w:rPr>
        <w:t xml:space="preserve"> </w:t>
      </w:r>
      <w:r>
        <w:rPr>
          <w:color w:val="221F1F"/>
        </w:rPr>
        <w:t>that</w:t>
      </w:r>
      <w:r>
        <w:rPr>
          <w:color w:val="221F1F"/>
          <w:spacing w:val="40"/>
        </w:rPr>
        <w:t xml:space="preserve"> </w:t>
      </w:r>
      <w:r>
        <w:rPr>
          <w:color w:val="221F1F"/>
        </w:rPr>
        <w:t>date.</w:t>
      </w:r>
    </w:p>
    <w:p w:rsidR="007F6DF9" w:rsidRDefault="007F6DF9">
      <w:pPr>
        <w:pStyle w:val="BodyText"/>
        <w:rPr>
          <w:sz w:val="20"/>
        </w:rPr>
      </w:pPr>
    </w:p>
    <w:p w:rsidR="007F6DF9" w:rsidRDefault="007F6DF9">
      <w:pPr>
        <w:pStyle w:val="BodyText"/>
        <w:rPr>
          <w:sz w:val="20"/>
        </w:rPr>
      </w:pPr>
    </w:p>
    <w:p w:rsidR="007F6DF9" w:rsidRDefault="00A43FBC">
      <w:pPr>
        <w:pStyle w:val="BodyText"/>
        <w:spacing w:before="39"/>
        <w:rPr>
          <w:sz w:val="20"/>
        </w:rPr>
      </w:pPr>
      <w:r>
        <w:rPr>
          <w:noProof/>
          <w:sz w:val="20"/>
        </w:rPr>
        <mc:AlternateContent>
          <mc:Choice Requires="wps">
            <w:drawing>
              <wp:anchor distT="0" distB="0" distL="0" distR="0" simplePos="0" relativeHeight="251681280" behindDoc="1" locked="0" layoutInCell="1" allowOverlap="1">
                <wp:simplePos x="0" y="0"/>
                <wp:positionH relativeFrom="page">
                  <wp:posOffset>902512</wp:posOffset>
                </wp:positionH>
                <wp:positionV relativeFrom="paragraph">
                  <wp:posOffset>186472</wp:posOffset>
                </wp:positionV>
                <wp:extent cx="1746885"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
                        </a:xfrm>
                        <a:custGeom>
                          <a:avLst/>
                          <a:gdLst/>
                          <a:ahLst/>
                          <a:cxnLst/>
                          <a:rect l="l" t="t" r="r" b="b"/>
                          <a:pathLst>
                            <a:path w="1746885">
                              <a:moveTo>
                                <a:pt x="0" y="0"/>
                              </a:moveTo>
                              <a:lnTo>
                                <a:pt x="174643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870F9A" id="Graphic 240" o:spid="_x0000_s1026" style="position:absolute;margin-left:71.05pt;margin-top:14.7pt;width:137.55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1746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" path="m,l1746431,e" filled="f" strokeweight=".15808mm">
                <v:path arrowok="t"/>
                <w10:wrap type="topAndBottom" anchorx="page"/>
              </v:shape>
            </w:pict>
          </mc:Fallback>
        </mc:AlternateContent>
      </w:r>
      <w:r>
        <w:rPr>
          <w:noProof/>
          <w:sz w:val="20"/>
        </w:rPr>
        <mc:AlternateContent>
          <mc:Choice Requires="wps">
            <w:drawing>
              <wp:anchor distT="0" distB="0" distL="0" distR="0" simplePos="0" relativeHeight="251682304" behindDoc="1" locked="0" layoutInCell="1" allowOverlap="1">
                <wp:simplePos x="0" y="0"/>
                <wp:positionH relativeFrom="page">
                  <wp:posOffset>3188842</wp:posOffset>
                </wp:positionH>
                <wp:positionV relativeFrom="paragraph">
                  <wp:posOffset>186472</wp:posOffset>
                </wp:positionV>
                <wp:extent cx="2097405"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695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503F86" id="Graphic 241" o:spid="_x0000_s1026" style="position:absolute;margin-left:251.1pt;margin-top:14.7pt;width:165.15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" path="m,l2096951,e" filled="f" strokeweight=".15808mm">
                <v:path arrowok="t"/>
                <w10:wrap type="topAndBottom" anchorx="page"/>
              </v:shape>
            </w:pict>
          </mc:Fallback>
        </mc:AlternateContent>
      </w:r>
    </w:p>
    <w:p w:rsidR="007F6DF9" w:rsidRDefault="00A43FBC">
      <w:pPr>
        <w:tabs>
          <w:tab w:val="left" w:pos="5600"/>
        </w:tabs>
        <w:spacing w:before="1"/>
        <w:ind w:left="2000"/>
        <w:rPr>
          <w:i/>
        </w:rPr>
      </w:pPr>
      <w:r>
        <w:rPr>
          <w:i/>
        </w:rPr>
        <w:t>[</w:t>
      </w:r>
      <w:proofErr w:type="gramStart"/>
      <w:r>
        <w:rPr>
          <w:i/>
        </w:rPr>
        <w:t>Date</w:t>
      </w:r>
      <w:r>
        <w:rPr>
          <w:i/>
          <w:spacing w:val="-2"/>
        </w:rPr>
        <w:t xml:space="preserve"> </w:t>
      </w:r>
      <w:r>
        <w:rPr>
          <w:i/>
          <w:spacing w:val="-12"/>
        </w:rPr>
        <w:t>]</w:t>
      </w:r>
      <w:proofErr w:type="gramEnd"/>
      <w:r>
        <w:rPr>
          <w:i/>
        </w:rPr>
        <w:tab/>
        <w:t>[Signature</w:t>
      </w:r>
      <w:r>
        <w:rPr>
          <w:i/>
          <w:spacing w:val="-4"/>
        </w:rPr>
        <w:t xml:space="preserve"> </w:t>
      </w:r>
      <w:r>
        <w:rPr>
          <w:i/>
        </w:rPr>
        <w:t>of</w:t>
      </w:r>
      <w:r>
        <w:rPr>
          <w:i/>
          <w:spacing w:val="-3"/>
        </w:rPr>
        <w:t xml:space="preserve"> </w:t>
      </w:r>
      <w:r>
        <w:rPr>
          <w:i/>
        </w:rPr>
        <w:t>the</w:t>
      </w:r>
      <w:r>
        <w:rPr>
          <w:i/>
          <w:spacing w:val="-3"/>
        </w:rPr>
        <w:t xml:space="preserve"> </w:t>
      </w:r>
      <w:r>
        <w:rPr>
          <w:i/>
          <w:spacing w:val="-2"/>
        </w:rPr>
        <w:t>Guarantor]</w:t>
      </w:r>
    </w:p>
    <w:p w:rsidR="007F6DF9" w:rsidRDefault="00A43FBC">
      <w:pPr>
        <w:pStyle w:val="BodyText"/>
        <w:spacing w:before="5"/>
        <w:rPr>
          <w:i/>
          <w:sz w:val="19"/>
        </w:rPr>
      </w:pPr>
      <w:r>
        <w:rPr>
          <w:i/>
          <w:noProof/>
          <w:sz w:val="19"/>
        </w:rPr>
        <mc:AlternateContent>
          <mc:Choice Requires="wps">
            <w:drawing>
              <wp:anchor distT="0" distB="0" distL="0" distR="0" simplePos="0" relativeHeight="251683328" behindDoc="1" locked="0" layoutInCell="1" allowOverlap="1">
                <wp:simplePos x="0" y="0"/>
                <wp:positionH relativeFrom="page">
                  <wp:posOffset>902512</wp:posOffset>
                </wp:positionH>
                <wp:positionV relativeFrom="paragraph">
                  <wp:posOffset>157413</wp:posOffset>
                </wp:positionV>
                <wp:extent cx="1746885"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
                        </a:xfrm>
                        <a:custGeom>
                          <a:avLst/>
                          <a:gdLst/>
                          <a:ahLst/>
                          <a:cxnLst/>
                          <a:rect l="l" t="t" r="r" b="b"/>
                          <a:pathLst>
                            <a:path w="1746885">
                              <a:moveTo>
                                <a:pt x="0" y="0"/>
                              </a:moveTo>
                              <a:lnTo>
                                <a:pt x="1746431"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D0DFCC" id="Graphic 242" o:spid="_x0000_s1026" style="position:absolute;margin-left:71.05pt;margin-top:12.4pt;width:137.55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1746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" path="m,l1746431,e" filled="f" strokeweight=".15967mm">
                <v:path arrowok="t"/>
                <w10:wrap type="topAndBottom" anchorx="page"/>
              </v:shape>
            </w:pict>
          </mc:Fallback>
        </mc:AlternateContent>
      </w:r>
      <w:r>
        <w:rPr>
          <w:i/>
          <w:noProof/>
          <w:sz w:val="19"/>
        </w:rPr>
        <mc:AlternateContent>
          <mc:Choice Requires="wps">
            <w:drawing>
              <wp:anchor distT="0" distB="0" distL="0" distR="0" simplePos="0" relativeHeight="251684352" behindDoc="1" locked="0" layoutInCell="1" allowOverlap="1">
                <wp:simplePos x="0" y="0"/>
                <wp:positionH relativeFrom="page">
                  <wp:posOffset>3188842</wp:posOffset>
                </wp:positionH>
                <wp:positionV relativeFrom="paragraph">
                  <wp:posOffset>157413</wp:posOffset>
                </wp:positionV>
                <wp:extent cx="2097405"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6951"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F212C" id="Graphic 243" o:spid="_x0000_s1026" style="position:absolute;margin-left:251.1pt;margin-top:12.4pt;width:165.15pt;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" path="m,l2096951,e" filled="f" strokeweight=".15967mm">
                <v:path arrowok="t"/>
                <w10:wrap type="topAndBottom" anchorx="page"/>
              </v:shape>
            </w:pict>
          </mc:Fallback>
        </mc:AlternateContent>
      </w:r>
    </w:p>
    <w:p w:rsidR="007F6DF9" w:rsidRDefault="00A43FBC">
      <w:pPr>
        <w:tabs>
          <w:tab w:val="left" w:pos="6321"/>
        </w:tabs>
        <w:ind w:left="2000"/>
        <w:rPr>
          <w:i/>
        </w:rPr>
      </w:pPr>
      <w:r>
        <w:rPr>
          <w:i/>
          <w:spacing w:val="-2"/>
        </w:rPr>
        <w:t>[Witness]</w:t>
      </w:r>
      <w:r>
        <w:rPr>
          <w:i/>
        </w:rPr>
        <w:tab/>
      </w:r>
      <w:r>
        <w:rPr>
          <w:i/>
          <w:spacing w:val="-2"/>
        </w:rPr>
        <w:t>[Seal]</w:t>
      </w: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spacing w:before="150"/>
        <w:rPr>
          <w:i/>
        </w:rPr>
      </w:pPr>
    </w:p>
    <w:p w:rsidR="007F6DF9" w:rsidRDefault="00A43FBC">
      <w:pPr>
        <w:ind w:left="291"/>
        <w:jc w:val="center"/>
        <w:rPr>
          <w:b/>
          <w:i/>
        </w:rPr>
      </w:pPr>
      <w:r>
        <w:rPr>
          <w:b/>
          <w:i/>
          <w:color w:val="221F1F"/>
        </w:rPr>
        <w:t>Note:</w:t>
      </w:r>
      <w:r>
        <w:rPr>
          <w:b/>
          <w:i/>
          <w:color w:val="221F1F"/>
          <w:spacing w:val="-3"/>
        </w:rPr>
        <w:t xml:space="preserve"> </w:t>
      </w:r>
      <w:r>
        <w:rPr>
          <w:b/>
          <w:i/>
          <w:color w:val="221F1F"/>
        </w:rPr>
        <w:t>All</w:t>
      </w:r>
      <w:r>
        <w:rPr>
          <w:b/>
          <w:i/>
          <w:color w:val="221F1F"/>
          <w:spacing w:val="-4"/>
        </w:rPr>
        <w:t xml:space="preserve"> </w:t>
      </w:r>
      <w:r>
        <w:rPr>
          <w:b/>
          <w:i/>
          <w:color w:val="221F1F"/>
        </w:rPr>
        <w:t>italicized</w:t>
      </w:r>
      <w:r>
        <w:rPr>
          <w:b/>
          <w:i/>
          <w:color w:val="221F1F"/>
          <w:spacing w:val="-7"/>
        </w:rPr>
        <w:t xml:space="preserve"> </w:t>
      </w:r>
      <w:r>
        <w:rPr>
          <w:b/>
          <w:i/>
          <w:color w:val="221F1F"/>
        </w:rPr>
        <w:t>text</w:t>
      </w:r>
      <w:r>
        <w:rPr>
          <w:b/>
          <w:i/>
          <w:color w:val="221F1F"/>
          <w:spacing w:val="-2"/>
        </w:rPr>
        <w:t xml:space="preserve"> </w:t>
      </w:r>
      <w:r>
        <w:rPr>
          <w:b/>
          <w:i/>
          <w:color w:val="221F1F"/>
        </w:rPr>
        <w:t>is</w:t>
      </w:r>
      <w:r>
        <w:rPr>
          <w:b/>
          <w:i/>
          <w:color w:val="221F1F"/>
          <w:spacing w:val="-3"/>
        </w:rPr>
        <w:t xml:space="preserve"> </w:t>
      </w:r>
      <w:r>
        <w:rPr>
          <w:b/>
          <w:i/>
          <w:color w:val="221F1F"/>
        </w:rPr>
        <w:t>for</w:t>
      </w:r>
      <w:r>
        <w:rPr>
          <w:b/>
          <w:i/>
          <w:color w:val="221F1F"/>
          <w:spacing w:val="-4"/>
        </w:rPr>
        <w:t xml:space="preserve"> </w:t>
      </w:r>
      <w:r>
        <w:rPr>
          <w:b/>
          <w:i/>
          <w:color w:val="221F1F"/>
        </w:rPr>
        <w:t>use</w:t>
      </w:r>
      <w:r>
        <w:rPr>
          <w:b/>
          <w:i/>
          <w:color w:val="221F1F"/>
          <w:spacing w:val="-5"/>
        </w:rPr>
        <w:t xml:space="preserve"> </w:t>
      </w:r>
      <w:r>
        <w:rPr>
          <w:b/>
          <w:i/>
          <w:color w:val="221F1F"/>
        </w:rPr>
        <w:t>in</w:t>
      </w:r>
      <w:r>
        <w:rPr>
          <w:b/>
          <w:i/>
          <w:color w:val="221F1F"/>
          <w:spacing w:val="-4"/>
        </w:rPr>
        <w:t xml:space="preserve"> </w:t>
      </w:r>
      <w:r>
        <w:rPr>
          <w:b/>
          <w:i/>
          <w:color w:val="221F1F"/>
        </w:rPr>
        <w:t>preparing</w:t>
      </w:r>
      <w:r>
        <w:rPr>
          <w:b/>
          <w:i/>
          <w:color w:val="221F1F"/>
          <w:spacing w:val="-6"/>
        </w:rPr>
        <w:t xml:space="preserve"> </w:t>
      </w:r>
      <w:r>
        <w:rPr>
          <w:b/>
          <w:i/>
          <w:color w:val="221F1F"/>
        </w:rPr>
        <w:t>this</w:t>
      </w:r>
      <w:r>
        <w:rPr>
          <w:b/>
          <w:i/>
          <w:color w:val="221F1F"/>
          <w:spacing w:val="-3"/>
        </w:rPr>
        <w:t xml:space="preserve"> </w:t>
      </w:r>
      <w:r>
        <w:rPr>
          <w:b/>
          <w:i/>
          <w:color w:val="221F1F"/>
        </w:rPr>
        <w:t>form</w:t>
      </w:r>
      <w:r>
        <w:rPr>
          <w:b/>
          <w:i/>
          <w:color w:val="221F1F"/>
          <w:spacing w:val="-3"/>
        </w:rPr>
        <w:t xml:space="preserve"> </w:t>
      </w:r>
      <w:r>
        <w:rPr>
          <w:b/>
          <w:i/>
          <w:color w:val="221F1F"/>
        </w:rPr>
        <w:t>and</w:t>
      </w:r>
      <w:r>
        <w:rPr>
          <w:b/>
          <w:i/>
          <w:color w:val="221F1F"/>
          <w:spacing w:val="-6"/>
        </w:rPr>
        <w:t xml:space="preserve"> </w:t>
      </w:r>
      <w:r>
        <w:rPr>
          <w:b/>
          <w:i/>
          <w:color w:val="221F1F"/>
        </w:rPr>
        <w:t>shall</w:t>
      </w:r>
      <w:r>
        <w:rPr>
          <w:b/>
          <w:i/>
          <w:color w:val="221F1F"/>
          <w:spacing w:val="-2"/>
        </w:rPr>
        <w:t xml:space="preserve"> </w:t>
      </w:r>
      <w:r>
        <w:rPr>
          <w:b/>
          <w:i/>
          <w:color w:val="221F1F"/>
        </w:rPr>
        <w:t>be</w:t>
      </w:r>
      <w:r>
        <w:rPr>
          <w:b/>
          <w:i/>
          <w:color w:val="221F1F"/>
          <w:spacing w:val="-6"/>
        </w:rPr>
        <w:t xml:space="preserve"> </w:t>
      </w:r>
      <w:r>
        <w:rPr>
          <w:b/>
          <w:i/>
          <w:color w:val="221F1F"/>
        </w:rPr>
        <w:t>deleted</w:t>
      </w:r>
      <w:r>
        <w:rPr>
          <w:b/>
          <w:i/>
          <w:color w:val="221F1F"/>
          <w:spacing w:val="-3"/>
        </w:rPr>
        <w:t xml:space="preserve"> </w:t>
      </w:r>
      <w:r>
        <w:rPr>
          <w:b/>
          <w:i/>
          <w:color w:val="221F1F"/>
        </w:rPr>
        <w:t>from</w:t>
      </w:r>
      <w:r>
        <w:rPr>
          <w:b/>
          <w:i/>
          <w:color w:val="221F1F"/>
          <w:spacing w:val="-3"/>
        </w:rPr>
        <w:t xml:space="preserve"> </w:t>
      </w:r>
      <w:r>
        <w:rPr>
          <w:b/>
          <w:i/>
          <w:color w:val="221F1F"/>
        </w:rPr>
        <w:t>the</w:t>
      </w:r>
      <w:r>
        <w:rPr>
          <w:b/>
          <w:i/>
          <w:color w:val="221F1F"/>
          <w:spacing w:val="-3"/>
        </w:rPr>
        <w:t xml:space="preserve"> </w:t>
      </w:r>
      <w:r>
        <w:rPr>
          <w:b/>
          <w:i/>
          <w:color w:val="221F1F"/>
        </w:rPr>
        <w:t>final</w:t>
      </w:r>
      <w:r>
        <w:rPr>
          <w:b/>
          <w:i/>
          <w:color w:val="221F1F"/>
          <w:spacing w:val="-5"/>
        </w:rPr>
        <w:t xml:space="preserve"> </w:t>
      </w:r>
      <w:r>
        <w:rPr>
          <w:b/>
          <w:i/>
          <w:color w:val="221F1F"/>
          <w:spacing w:val="-2"/>
        </w:rPr>
        <w:t>product.</w:t>
      </w:r>
    </w:p>
    <w:p w:rsidR="007F6DF9" w:rsidRDefault="007F6DF9">
      <w:pPr>
        <w:jc w:val="center"/>
        <w:rPr>
          <w:b/>
          <w:i/>
        </w:rPr>
        <w:sectPr w:rsidR="007F6DF9">
          <w:pgSz w:w="11920" w:h="16850"/>
          <w:pgMar w:top="360" w:right="283" w:bottom="620" w:left="141" w:header="0" w:footer="437" w:gutter="0"/>
          <w:cols w:space="720"/>
        </w:sectPr>
      </w:pPr>
    </w:p>
    <w:p w:rsidR="007F6DF9" w:rsidRDefault="007F6DF9">
      <w:pPr>
        <w:pStyle w:val="BodyText"/>
        <w:spacing w:before="211"/>
        <w:rPr>
          <w:b/>
          <w:i/>
        </w:rPr>
      </w:pPr>
    </w:p>
    <w:p w:rsidR="007F6DF9" w:rsidRDefault="00A43FBC">
      <w:pPr>
        <w:pStyle w:val="Heading8"/>
        <w:spacing w:before="1"/>
        <w:ind w:left="1097"/>
      </w:pPr>
      <w:r>
        <w:rPr>
          <w:color w:val="221F1F"/>
        </w:rPr>
        <w:t>FORM</w:t>
      </w:r>
      <w:r>
        <w:rPr>
          <w:color w:val="221F1F"/>
          <w:spacing w:val="-6"/>
        </w:rPr>
        <w:t xml:space="preserve"> </w:t>
      </w:r>
      <w:r>
        <w:rPr>
          <w:color w:val="221F1F"/>
        </w:rPr>
        <w:t>OF</w:t>
      </w:r>
      <w:r>
        <w:rPr>
          <w:color w:val="221F1F"/>
          <w:spacing w:val="-3"/>
        </w:rPr>
        <w:t xml:space="preserve"> </w:t>
      </w:r>
      <w:r>
        <w:rPr>
          <w:color w:val="221F1F"/>
        </w:rPr>
        <w:t>TENDER</w:t>
      </w:r>
      <w:r>
        <w:rPr>
          <w:color w:val="221F1F"/>
          <w:spacing w:val="-5"/>
        </w:rPr>
        <w:t xml:space="preserve"> </w:t>
      </w:r>
      <w:r>
        <w:rPr>
          <w:color w:val="221F1F"/>
        </w:rPr>
        <w:t>-</w:t>
      </w:r>
      <w:r>
        <w:rPr>
          <w:color w:val="221F1F"/>
          <w:spacing w:val="-1"/>
        </w:rPr>
        <w:t xml:space="preserve"> </w:t>
      </w:r>
      <w:r>
        <w:rPr>
          <w:color w:val="221F1F"/>
        </w:rPr>
        <w:t>SECURING</w:t>
      </w:r>
      <w:r>
        <w:rPr>
          <w:color w:val="221F1F"/>
          <w:spacing w:val="-1"/>
        </w:rPr>
        <w:t xml:space="preserve"> </w:t>
      </w:r>
      <w:r>
        <w:rPr>
          <w:color w:val="221F1F"/>
          <w:spacing w:val="-2"/>
        </w:rPr>
        <w:t>DECLARATION</w:t>
      </w:r>
    </w:p>
    <w:p w:rsidR="007F6DF9" w:rsidRDefault="007F6DF9">
      <w:pPr>
        <w:pStyle w:val="BodyText"/>
        <w:spacing w:before="101"/>
        <w:rPr>
          <w:b/>
        </w:rPr>
      </w:pPr>
    </w:p>
    <w:p w:rsidR="007F6DF9" w:rsidRDefault="00A43FBC">
      <w:pPr>
        <w:ind w:left="708"/>
        <w:rPr>
          <w:i/>
        </w:rPr>
      </w:pPr>
      <w:r>
        <w:rPr>
          <w:i/>
          <w:color w:val="221F1F"/>
        </w:rPr>
        <w:t>[The</w:t>
      </w:r>
      <w:r>
        <w:rPr>
          <w:i/>
          <w:color w:val="221F1F"/>
          <w:spacing w:val="-5"/>
        </w:rPr>
        <w:t xml:space="preserve"> </w:t>
      </w:r>
      <w:r>
        <w:rPr>
          <w:i/>
          <w:color w:val="221F1F"/>
        </w:rPr>
        <w:t>Bidder</w:t>
      </w:r>
      <w:r>
        <w:rPr>
          <w:i/>
          <w:color w:val="221F1F"/>
          <w:spacing w:val="-4"/>
        </w:rPr>
        <w:t xml:space="preserve"> </w:t>
      </w:r>
      <w:r>
        <w:rPr>
          <w:i/>
          <w:color w:val="221F1F"/>
        </w:rPr>
        <w:t>shall</w:t>
      </w:r>
      <w:r>
        <w:rPr>
          <w:i/>
          <w:color w:val="221F1F"/>
          <w:spacing w:val="-4"/>
        </w:rPr>
        <w:t xml:space="preserve"> </w:t>
      </w:r>
      <w:r>
        <w:rPr>
          <w:i/>
          <w:color w:val="221F1F"/>
        </w:rPr>
        <w:t>complete</w:t>
      </w:r>
      <w:r>
        <w:rPr>
          <w:i/>
          <w:color w:val="221F1F"/>
          <w:spacing w:val="-3"/>
        </w:rPr>
        <w:t xml:space="preserve"> </w:t>
      </w:r>
      <w:r>
        <w:rPr>
          <w:i/>
          <w:color w:val="221F1F"/>
        </w:rPr>
        <w:t>this</w:t>
      </w:r>
      <w:r>
        <w:rPr>
          <w:i/>
          <w:color w:val="221F1F"/>
          <w:spacing w:val="-3"/>
        </w:rPr>
        <w:t xml:space="preserve"> </w:t>
      </w:r>
      <w:r>
        <w:rPr>
          <w:i/>
          <w:color w:val="221F1F"/>
        </w:rPr>
        <w:t>Form</w:t>
      </w:r>
      <w:r>
        <w:rPr>
          <w:i/>
          <w:color w:val="221F1F"/>
          <w:spacing w:val="-4"/>
        </w:rPr>
        <w:t xml:space="preserve"> </w:t>
      </w:r>
      <w:r>
        <w:rPr>
          <w:i/>
          <w:color w:val="221F1F"/>
        </w:rPr>
        <w:t>in</w:t>
      </w:r>
      <w:r>
        <w:rPr>
          <w:i/>
          <w:color w:val="221F1F"/>
          <w:spacing w:val="-3"/>
        </w:rPr>
        <w:t xml:space="preserve"> </w:t>
      </w:r>
      <w:r>
        <w:rPr>
          <w:i/>
          <w:color w:val="221F1F"/>
        </w:rPr>
        <w:t>accordance</w:t>
      </w:r>
      <w:r>
        <w:rPr>
          <w:i/>
          <w:color w:val="221F1F"/>
          <w:spacing w:val="-2"/>
        </w:rPr>
        <w:t xml:space="preserve"> </w:t>
      </w:r>
      <w:r>
        <w:rPr>
          <w:i/>
          <w:color w:val="221F1F"/>
        </w:rPr>
        <w:t>with</w:t>
      </w:r>
      <w:r>
        <w:rPr>
          <w:i/>
          <w:color w:val="221F1F"/>
          <w:spacing w:val="-5"/>
        </w:rPr>
        <w:t xml:space="preserve"> </w:t>
      </w:r>
      <w:r>
        <w:rPr>
          <w:i/>
          <w:color w:val="221F1F"/>
        </w:rPr>
        <w:t>the</w:t>
      </w:r>
      <w:r>
        <w:rPr>
          <w:i/>
          <w:color w:val="221F1F"/>
          <w:spacing w:val="-4"/>
        </w:rPr>
        <w:t xml:space="preserve"> </w:t>
      </w:r>
      <w:r>
        <w:rPr>
          <w:i/>
          <w:color w:val="221F1F"/>
        </w:rPr>
        <w:t>instructions</w:t>
      </w:r>
      <w:r>
        <w:rPr>
          <w:i/>
          <w:color w:val="221F1F"/>
          <w:spacing w:val="-3"/>
        </w:rPr>
        <w:t xml:space="preserve"> </w:t>
      </w:r>
      <w:r>
        <w:rPr>
          <w:i/>
          <w:color w:val="221F1F"/>
          <w:spacing w:val="-2"/>
        </w:rPr>
        <w:t>indicated]</w:t>
      </w:r>
    </w:p>
    <w:p w:rsidR="007F6DF9" w:rsidRDefault="00A43FBC">
      <w:pPr>
        <w:tabs>
          <w:tab w:val="left" w:leader="dot" w:pos="4158"/>
        </w:tabs>
        <w:spacing w:before="114"/>
        <w:ind w:left="708"/>
        <w:rPr>
          <w:i/>
        </w:rPr>
      </w:pPr>
      <w:r>
        <w:rPr>
          <w:color w:val="221F1F"/>
          <w:spacing w:val="-2"/>
        </w:rPr>
        <w:t>Date:</w:t>
      </w:r>
      <w:r>
        <w:rPr>
          <w:color w:val="221F1F"/>
        </w:rPr>
        <w:tab/>
      </w:r>
      <w:r>
        <w:rPr>
          <w:i/>
          <w:color w:val="221F1F"/>
        </w:rPr>
        <w:t>[insert</w:t>
      </w:r>
      <w:r>
        <w:rPr>
          <w:i/>
          <w:color w:val="221F1F"/>
          <w:spacing w:val="-3"/>
        </w:rPr>
        <w:t xml:space="preserve"> </w:t>
      </w:r>
      <w:r>
        <w:rPr>
          <w:i/>
          <w:color w:val="221F1F"/>
        </w:rPr>
        <w:t>date</w:t>
      </w:r>
      <w:r>
        <w:rPr>
          <w:i/>
          <w:color w:val="221F1F"/>
          <w:spacing w:val="-4"/>
        </w:rPr>
        <w:t xml:space="preserve"> </w:t>
      </w:r>
      <w:r>
        <w:rPr>
          <w:i/>
          <w:color w:val="221F1F"/>
        </w:rPr>
        <w:t>(as</w:t>
      </w:r>
      <w:r>
        <w:rPr>
          <w:i/>
          <w:color w:val="221F1F"/>
          <w:spacing w:val="-4"/>
        </w:rPr>
        <w:t xml:space="preserve"> </w:t>
      </w:r>
      <w:r>
        <w:rPr>
          <w:i/>
          <w:color w:val="221F1F"/>
        </w:rPr>
        <w:t>day,</w:t>
      </w:r>
      <w:r>
        <w:rPr>
          <w:i/>
          <w:color w:val="221F1F"/>
          <w:spacing w:val="-2"/>
        </w:rPr>
        <w:t xml:space="preserve"> </w:t>
      </w:r>
      <w:r>
        <w:rPr>
          <w:i/>
          <w:color w:val="221F1F"/>
        </w:rPr>
        <w:t>month</w:t>
      </w:r>
      <w:r>
        <w:rPr>
          <w:i/>
          <w:color w:val="221F1F"/>
          <w:spacing w:val="-1"/>
        </w:rPr>
        <w:t xml:space="preserve"> </w:t>
      </w:r>
      <w:r>
        <w:rPr>
          <w:i/>
          <w:color w:val="221F1F"/>
        </w:rPr>
        <w:t>and</w:t>
      </w:r>
      <w:r>
        <w:rPr>
          <w:i/>
          <w:color w:val="221F1F"/>
          <w:spacing w:val="-5"/>
        </w:rPr>
        <w:t xml:space="preserve"> </w:t>
      </w:r>
      <w:r>
        <w:rPr>
          <w:i/>
          <w:color w:val="221F1F"/>
        </w:rPr>
        <w:t>year)</w:t>
      </w:r>
      <w:r>
        <w:rPr>
          <w:i/>
          <w:color w:val="221F1F"/>
          <w:spacing w:val="-2"/>
        </w:rPr>
        <w:t xml:space="preserve"> </w:t>
      </w:r>
      <w:r>
        <w:rPr>
          <w:i/>
          <w:color w:val="221F1F"/>
        </w:rPr>
        <w:t>of</w:t>
      </w:r>
      <w:r>
        <w:rPr>
          <w:i/>
          <w:color w:val="221F1F"/>
          <w:spacing w:val="-1"/>
        </w:rPr>
        <w:t xml:space="preserve"> </w:t>
      </w:r>
      <w:r>
        <w:rPr>
          <w:i/>
          <w:color w:val="221F1F"/>
        </w:rPr>
        <w:t>Tender</w:t>
      </w:r>
      <w:r>
        <w:rPr>
          <w:i/>
          <w:color w:val="221F1F"/>
          <w:spacing w:val="-1"/>
        </w:rPr>
        <w:t xml:space="preserve"> </w:t>
      </w:r>
      <w:r>
        <w:rPr>
          <w:i/>
          <w:color w:val="221F1F"/>
          <w:spacing w:val="-2"/>
        </w:rPr>
        <w:t>Submission]</w:t>
      </w:r>
    </w:p>
    <w:p w:rsidR="007F6DF9" w:rsidRDefault="00A43FBC">
      <w:pPr>
        <w:tabs>
          <w:tab w:val="left" w:leader="dot" w:pos="4743"/>
        </w:tabs>
        <w:spacing w:before="112"/>
        <w:ind w:left="708"/>
        <w:rPr>
          <w:i/>
        </w:rPr>
      </w:pPr>
      <w:r>
        <w:rPr>
          <w:color w:val="221F1F"/>
        </w:rPr>
        <w:t>Tender</w:t>
      </w:r>
      <w:r>
        <w:rPr>
          <w:color w:val="221F1F"/>
          <w:spacing w:val="-1"/>
        </w:rPr>
        <w:t xml:space="preserve"> </w:t>
      </w:r>
      <w:r>
        <w:rPr>
          <w:color w:val="221F1F"/>
          <w:spacing w:val="-5"/>
        </w:rPr>
        <w:t>No.</w:t>
      </w:r>
      <w:r>
        <w:rPr>
          <w:color w:val="221F1F"/>
        </w:rPr>
        <w:tab/>
      </w:r>
      <w:r>
        <w:rPr>
          <w:i/>
          <w:color w:val="221F1F"/>
        </w:rPr>
        <w:t>[insert</w:t>
      </w:r>
      <w:r>
        <w:rPr>
          <w:i/>
          <w:color w:val="221F1F"/>
          <w:spacing w:val="-6"/>
        </w:rPr>
        <w:t xml:space="preserve"> </w:t>
      </w:r>
      <w:r>
        <w:rPr>
          <w:i/>
          <w:color w:val="221F1F"/>
        </w:rPr>
        <w:t>number</w:t>
      </w:r>
      <w:r>
        <w:rPr>
          <w:i/>
          <w:color w:val="221F1F"/>
          <w:spacing w:val="-4"/>
        </w:rPr>
        <w:t xml:space="preserve"> </w:t>
      </w:r>
      <w:r>
        <w:rPr>
          <w:i/>
          <w:color w:val="221F1F"/>
        </w:rPr>
        <w:t>of</w:t>
      </w:r>
      <w:r>
        <w:rPr>
          <w:i/>
          <w:color w:val="221F1F"/>
          <w:spacing w:val="-3"/>
        </w:rPr>
        <w:t xml:space="preserve"> </w:t>
      </w:r>
      <w:r>
        <w:rPr>
          <w:i/>
          <w:color w:val="221F1F"/>
        </w:rPr>
        <w:t>tendering</w:t>
      </w:r>
      <w:r>
        <w:rPr>
          <w:i/>
          <w:color w:val="221F1F"/>
          <w:spacing w:val="-6"/>
        </w:rPr>
        <w:t xml:space="preserve"> </w:t>
      </w:r>
      <w:r>
        <w:rPr>
          <w:i/>
          <w:color w:val="221F1F"/>
          <w:spacing w:val="-2"/>
        </w:rPr>
        <w:t>process]</w:t>
      </w:r>
    </w:p>
    <w:p w:rsidR="007F6DF9" w:rsidRDefault="00A43FBC">
      <w:pPr>
        <w:tabs>
          <w:tab w:val="left" w:leader="dot" w:pos="3980"/>
        </w:tabs>
        <w:spacing w:before="114"/>
        <w:ind w:left="703"/>
      </w:pPr>
      <w:r>
        <w:rPr>
          <w:color w:val="221F1F"/>
          <w:spacing w:val="-5"/>
        </w:rPr>
        <w:t>To:</w:t>
      </w:r>
      <w:r>
        <w:rPr>
          <w:color w:val="221F1F"/>
        </w:rPr>
        <w:tab/>
      </w:r>
      <w:r>
        <w:rPr>
          <w:i/>
          <w:color w:val="221F1F"/>
        </w:rPr>
        <w:t>[insert</w:t>
      </w:r>
      <w:r>
        <w:rPr>
          <w:i/>
          <w:color w:val="221F1F"/>
          <w:spacing w:val="-7"/>
        </w:rPr>
        <w:t xml:space="preserve"> </w:t>
      </w:r>
      <w:r>
        <w:rPr>
          <w:i/>
          <w:color w:val="221F1F"/>
        </w:rPr>
        <w:t>complete</w:t>
      </w:r>
      <w:r>
        <w:rPr>
          <w:i/>
          <w:color w:val="221F1F"/>
          <w:spacing w:val="-5"/>
        </w:rPr>
        <w:t xml:space="preserve"> </w:t>
      </w:r>
      <w:r>
        <w:rPr>
          <w:i/>
          <w:color w:val="221F1F"/>
        </w:rPr>
        <w:t>name</w:t>
      </w:r>
      <w:r>
        <w:rPr>
          <w:i/>
          <w:color w:val="221F1F"/>
          <w:spacing w:val="-6"/>
        </w:rPr>
        <w:t xml:space="preserve"> </w:t>
      </w:r>
      <w:r>
        <w:rPr>
          <w:i/>
          <w:color w:val="221F1F"/>
        </w:rPr>
        <w:t>of</w:t>
      </w:r>
      <w:r>
        <w:rPr>
          <w:i/>
          <w:color w:val="221F1F"/>
          <w:spacing w:val="-5"/>
        </w:rPr>
        <w:t xml:space="preserve"> </w:t>
      </w:r>
      <w:r>
        <w:rPr>
          <w:i/>
          <w:color w:val="221F1F"/>
        </w:rPr>
        <w:t>Purchaser]</w:t>
      </w:r>
      <w:r>
        <w:rPr>
          <w:i/>
          <w:color w:val="221F1F"/>
          <w:spacing w:val="-5"/>
        </w:rPr>
        <w:t xml:space="preserve"> </w:t>
      </w:r>
      <w:r>
        <w:rPr>
          <w:color w:val="221F1F"/>
        </w:rPr>
        <w:t>I/We,</w:t>
      </w:r>
      <w:r>
        <w:rPr>
          <w:color w:val="221F1F"/>
          <w:spacing w:val="-14"/>
        </w:rPr>
        <w:t xml:space="preserve"> </w:t>
      </w:r>
      <w:r>
        <w:rPr>
          <w:color w:val="221F1F"/>
        </w:rPr>
        <w:t>the</w:t>
      </w:r>
      <w:r>
        <w:rPr>
          <w:color w:val="221F1F"/>
          <w:spacing w:val="-6"/>
        </w:rPr>
        <w:t xml:space="preserve"> </w:t>
      </w:r>
      <w:r>
        <w:rPr>
          <w:color w:val="221F1F"/>
        </w:rPr>
        <w:t>undersigned,</w:t>
      </w:r>
      <w:r>
        <w:rPr>
          <w:color w:val="221F1F"/>
          <w:spacing w:val="-7"/>
        </w:rPr>
        <w:t xml:space="preserve"> </w:t>
      </w:r>
      <w:r>
        <w:rPr>
          <w:color w:val="221F1F"/>
        </w:rPr>
        <w:t>declare</w:t>
      </w:r>
      <w:r>
        <w:rPr>
          <w:color w:val="221F1F"/>
          <w:spacing w:val="-7"/>
        </w:rPr>
        <w:t xml:space="preserve"> </w:t>
      </w:r>
      <w:r>
        <w:rPr>
          <w:color w:val="221F1F"/>
          <w:spacing w:val="-2"/>
        </w:rPr>
        <w:t>that:</w:t>
      </w:r>
    </w:p>
    <w:p w:rsidR="007F6DF9" w:rsidRDefault="00A43FBC">
      <w:pPr>
        <w:pStyle w:val="ListParagraph"/>
        <w:numPr>
          <w:ilvl w:val="0"/>
          <w:numId w:val="131"/>
        </w:numPr>
        <w:tabs>
          <w:tab w:val="left" w:pos="1097"/>
        </w:tabs>
        <w:spacing w:before="230"/>
        <w:ind w:hanging="389"/>
      </w:pPr>
      <w:r>
        <w:rPr>
          <w:color w:val="221F1F"/>
        </w:rPr>
        <w:t>I/We</w:t>
      </w:r>
      <w:r>
        <w:rPr>
          <w:color w:val="221F1F"/>
          <w:spacing w:val="-15"/>
        </w:rPr>
        <w:t xml:space="preserve"> </w:t>
      </w:r>
      <w:r>
        <w:rPr>
          <w:color w:val="221F1F"/>
        </w:rPr>
        <w:t>understand</w:t>
      </w:r>
      <w:r>
        <w:rPr>
          <w:color w:val="221F1F"/>
          <w:spacing w:val="-7"/>
        </w:rPr>
        <w:t xml:space="preserve"> </w:t>
      </w:r>
      <w:r>
        <w:rPr>
          <w:color w:val="221F1F"/>
        </w:rPr>
        <w:t>that,</w:t>
      </w:r>
      <w:r>
        <w:rPr>
          <w:color w:val="221F1F"/>
          <w:spacing w:val="-5"/>
        </w:rPr>
        <w:t xml:space="preserve"> </w:t>
      </w:r>
      <w:r>
        <w:rPr>
          <w:color w:val="221F1F"/>
        </w:rPr>
        <w:t>according</w:t>
      </w:r>
      <w:r>
        <w:rPr>
          <w:color w:val="221F1F"/>
          <w:spacing w:val="-7"/>
        </w:rPr>
        <w:t xml:space="preserve"> </w:t>
      </w:r>
      <w:r>
        <w:rPr>
          <w:color w:val="221F1F"/>
        </w:rPr>
        <w:t>to</w:t>
      </w:r>
      <w:r>
        <w:rPr>
          <w:color w:val="221F1F"/>
          <w:spacing w:val="-4"/>
        </w:rPr>
        <w:t xml:space="preserve"> </w:t>
      </w:r>
      <w:r>
        <w:rPr>
          <w:color w:val="221F1F"/>
        </w:rPr>
        <w:t>your</w:t>
      </w:r>
      <w:r>
        <w:rPr>
          <w:color w:val="221F1F"/>
          <w:spacing w:val="-4"/>
        </w:rPr>
        <w:t xml:space="preserve"> </w:t>
      </w:r>
      <w:r>
        <w:rPr>
          <w:color w:val="221F1F"/>
        </w:rPr>
        <w:t>conditions,</w:t>
      </w:r>
      <w:r>
        <w:rPr>
          <w:color w:val="221F1F"/>
          <w:spacing w:val="-4"/>
        </w:rPr>
        <w:t xml:space="preserve"> </w:t>
      </w:r>
      <w:r>
        <w:rPr>
          <w:color w:val="221F1F"/>
        </w:rPr>
        <w:t>bids</w:t>
      </w:r>
      <w:r>
        <w:rPr>
          <w:color w:val="221F1F"/>
          <w:spacing w:val="-5"/>
        </w:rPr>
        <w:t xml:space="preserve"> </w:t>
      </w:r>
      <w:r>
        <w:rPr>
          <w:color w:val="221F1F"/>
        </w:rPr>
        <w:t>must</w:t>
      </w:r>
      <w:r>
        <w:rPr>
          <w:color w:val="221F1F"/>
          <w:spacing w:val="-3"/>
        </w:rPr>
        <w:t xml:space="preserve"> </w:t>
      </w:r>
      <w:r>
        <w:rPr>
          <w:color w:val="221F1F"/>
        </w:rPr>
        <w:t>be</w:t>
      </w:r>
      <w:r>
        <w:rPr>
          <w:color w:val="221F1F"/>
          <w:spacing w:val="-4"/>
        </w:rPr>
        <w:t xml:space="preserve"> </w:t>
      </w:r>
      <w:r>
        <w:rPr>
          <w:color w:val="221F1F"/>
        </w:rPr>
        <w:t>supported</w:t>
      </w:r>
      <w:r>
        <w:rPr>
          <w:color w:val="221F1F"/>
          <w:spacing w:val="-5"/>
        </w:rPr>
        <w:t xml:space="preserve"> </w:t>
      </w:r>
      <w:r>
        <w:rPr>
          <w:color w:val="221F1F"/>
        </w:rPr>
        <w:t>by</w:t>
      </w:r>
      <w:r>
        <w:rPr>
          <w:color w:val="221F1F"/>
          <w:spacing w:val="-5"/>
        </w:rPr>
        <w:t xml:space="preserve"> </w:t>
      </w:r>
      <w:r>
        <w:rPr>
          <w:color w:val="221F1F"/>
        </w:rPr>
        <w:t>a</w:t>
      </w:r>
      <w:r>
        <w:rPr>
          <w:color w:val="221F1F"/>
          <w:spacing w:val="-5"/>
        </w:rPr>
        <w:t xml:space="preserve"> </w:t>
      </w:r>
      <w:r>
        <w:rPr>
          <w:color w:val="221F1F"/>
        </w:rPr>
        <w:t>Tender-Securing</w:t>
      </w:r>
      <w:r>
        <w:rPr>
          <w:color w:val="221F1F"/>
          <w:spacing w:val="-4"/>
        </w:rPr>
        <w:t xml:space="preserve"> </w:t>
      </w:r>
      <w:r>
        <w:rPr>
          <w:color w:val="221F1F"/>
          <w:spacing w:val="-2"/>
        </w:rPr>
        <w:t>Declaration.</w:t>
      </w:r>
    </w:p>
    <w:p w:rsidR="007F6DF9" w:rsidRDefault="00A43FBC">
      <w:pPr>
        <w:pStyle w:val="ListParagraph"/>
        <w:numPr>
          <w:ilvl w:val="0"/>
          <w:numId w:val="131"/>
        </w:numPr>
        <w:tabs>
          <w:tab w:val="left" w:pos="1097"/>
          <w:tab w:val="left" w:pos="1109"/>
        </w:tabs>
        <w:spacing w:before="245" w:line="230" w:lineRule="auto"/>
        <w:ind w:left="1109" w:right="550" w:hanging="402"/>
        <w:jc w:val="both"/>
      </w:pPr>
      <w:r>
        <w:rPr>
          <w:color w:val="221F1F"/>
        </w:rPr>
        <w:t>I/We</w:t>
      </w:r>
      <w:r>
        <w:rPr>
          <w:color w:val="221F1F"/>
          <w:spacing w:val="-11"/>
        </w:rPr>
        <w:t xml:space="preserve"> </w:t>
      </w:r>
      <w:r>
        <w:rPr>
          <w:color w:val="221F1F"/>
        </w:rPr>
        <w:t>accept</w:t>
      </w:r>
      <w:r>
        <w:rPr>
          <w:color w:val="221F1F"/>
          <w:spacing w:val="-1"/>
        </w:rPr>
        <w:t xml:space="preserve"> </w:t>
      </w:r>
      <w:r>
        <w:rPr>
          <w:color w:val="221F1F"/>
        </w:rPr>
        <w:t>that</w:t>
      </w:r>
      <w:r>
        <w:rPr>
          <w:color w:val="221F1F"/>
          <w:spacing w:val="-1"/>
        </w:rPr>
        <w:t xml:space="preserve"> </w:t>
      </w:r>
      <w:r>
        <w:rPr>
          <w:color w:val="221F1F"/>
        </w:rPr>
        <w:t>I/we</w:t>
      </w:r>
      <w:r>
        <w:rPr>
          <w:color w:val="221F1F"/>
          <w:spacing w:val="-2"/>
        </w:rPr>
        <w:t xml:space="preserve"> </w:t>
      </w:r>
      <w:r>
        <w:rPr>
          <w:color w:val="221F1F"/>
        </w:rPr>
        <w:t>will</w:t>
      </w:r>
      <w:r>
        <w:rPr>
          <w:color w:val="221F1F"/>
          <w:spacing w:val="-1"/>
        </w:rPr>
        <w:t xml:space="preserve"> </w:t>
      </w:r>
      <w:r>
        <w:rPr>
          <w:color w:val="221F1F"/>
        </w:rPr>
        <w:t>automatically</w:t>
      </w:r>
      <w:r>
        <w:rPr>
          <w:color w:val="221F1F"/>
          <w:spacing w:val="-2"/>
        </w:rPr>
        <w:t xml:space="preserve"> </w:t>
      </w:r>
      <w:r>
        <w:rPr>
          <w:color w:val="221F1F"/>
        </w:rPr>
        <w:t>be suspended</w:t>
      </w:r>
      <w:r>
        <w:rPr>
          <w:color w:val="221F1F"/>
          <w:spacing w:val="-2"/>
        </w:rPr>
        <w:t xml:space="preserve"> </w:t>
      </w:r>
      <w:r>
        <w:rPr>
          <w:color w:val="221F1F"/>
        </w:rPr>
        <w:t>from</w:t>
      </w:r>
      <w:r>
        <w:rPr>
          <w:color w:val="221F1F"/>
          <w:spacing w:val="-1"/>
        </w:rPr>
        <w:t xml:space="preserve"> </w:t>
      </w:r>
      <w:r>
        <w:rPr>
          <w:color w:val="221F1F"/>
        </w:rPr>
        <w:t>being</w:t>
      </w:r>
      <w:r>
        <w:rPr>
          <w:color w:val="221F1F"/>
          <w:spacing w:val="-2"/>
        </w:rPr>
        <w:t xml:space="preserve"> </w:t>
      </w:r>
      <w:r>
        <w:rPr>
          <w:color w:val="221F1F"/>
        </w:rPr>
        <w:t>eligible</w:t>
      </w:r>
      <w:r>
        <w:rPr>
          <w:color w:val="221F1F"/>
          <w:spacing w:val="-2"/>
        </w:rPr>
        <w:t xml:space="preserve"> </w:t>
      </w:r>
      <w:r>
        <w:rPr>
          <w:color w:val="221F1F"/>
        </w:rPr>
        <w:t>for</w:t>
      </w:r>
      <w:r>
        <w:rPr>
          <w:color w:val="221F1F"/>
          <w:spacing w:val="-4"/>
        </w:rPr>
        <w:t xml:space="preserve"> </w:t>
      </w:r>
      <w:r>
        <w:rPr>
          <w:color w:val="221F1F"/>
        </w:rPr>
        <w:t>tendering</w:t>
      </w:r>
      <w:r>
        <w:rPr>
          <w:color w:val="221F1F"/>
          <w:spacing w:val="-2"/>
        </w:rPr>
        <w:t xml:space="preserve"> </w:t>
      </w:r>
      <w:r>
        <w:rPr>
          <w:color w:val="221F1F"/>
        </w:rPr>
        <w:t>in</w:t>
      </w:r>
      <w:r>
        <w:rPr>
          <w:color w:val="221F1F"/>
          <w:spacing w:val="-2"/>
        </w:rPr>
        <w:t xml:space="preserve"> </w:t>
      </w:r>
      <w:r>
        <w:rPr>
          <w:color w:val="221F1F"/>
        </w:rPr>
        <w:t>any</w:t>
      </w:r>
      <w:r>
        <w:rPr>
          <w:color w:val="221F1F"/>
          <w:spacing w:val="-2"/>
        </w:rPr>
        <w:t xml:space="preserve"> </w:t>
      </w:r>
      <w:r>
        <w:rPr>
          <w:color w:val="221F1F"/>
        </w:rPr>
        <w:t>contract</w:t>
      </w:r>
      <w:r>
        <w:rPr>
          <w:color w:val="221F1F"/>
          <w:spacing w:val="-1"/>
        </w:rPr>
        <w:t xml:space="preserve"> </w:t>
      </w:r>
      <w:r>
        <w:rPr>
          <w:color w:val="221F1F"/>
        </w:rPr>
        <w:t>with</w:t>
      </w:r>
      <w:r>
        <w:rPr>
          <w:color w:val="221F1F"/>
          <w:spacing w:val="-2"/>
        </w:rPr>
        <w:t xml:space="preserve"> </w:t>
      </w:r>
      <w:r>
        <w:rPr>
          <w:color w:val="221F1F"/>
        </w:rPr>
        <w:t>the Purchaser</w:t>
      </w:r>
      <w:r>
        <w:rPr>
          <w:color w:val="221F1F"/>
          <w:spacing w:val="-10"/>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period</w:t>
      </w:r>
      <w:r>
        <w:rPr>
          <w:color w:val="221F1F"/>
          <w:spacing w:val="-11"/>
        </w:rPr>
        <w:t xml:space="preserve"> </w:t>
      </w:r>
      <w:r>
        <w:rPr>
          <w:color w:val="221F1F"/>
        </w:rPr>
        <w:t>of</w:t>
      </w:r>
      <w:r>
        <w:rPr>
          <w:color w:val="221F1F"/>
          <w:spacing w:val="-10"/>
        </w:rPr>
        <w:t xml:space="preserve"> </w:t>
      </w:r>
      <w:r>
        <w:rPr>
          <w:color w:val="221F1F"/>
        </w:rPr>
        <w:t>time</w:t>
      </w:r>
      <w:r>
        <w:rPr>
          <w:color w:val="221F1F"/>
          <w:spacing w:val="-10"/>
        </w:rPr>
        <w:t xml:space="preserve"> </w:t>
      </w:r>
      <w:r>
        <w:rPr>
          <w:color w:val="221F1F"/>
        </w:rPr>
        <w:t>of</w:t>
      </w:r>
      <w:r>
        <w:rPr>
          <w:color w:val="221F1F"/>
          <w:spacing w:val="-10"/>
        </w:rPr>
        <w:t xml:space="preserve"> </w:t>
      </w:r>
      <w:r>
        <w:rPr>
          <w:color w:val="221F1F"/>
        </w:rPr>
        <w:t>[insert</w:t>
      </w:r>
      <w:r>
        <w:rPr>
          <w:color w:val="221F1F"/>
          <w:spacing w:val="-9"/>
        </w:rPr>
        <w:t xml:space="preserve"> </w:t>
      </w:r>
      <w:r>
        <w:rPr>
          <w:color w:val="221F1F"/>
        </w:rPr>
        <w:t>number</w:t>
      </w:r>
      <w:r>
        <w:rPr>
          <w:color w:val="221F1F"/>
          <w:spacing w:val="-9"/>
        </w:rPr>
        <w:t xml:space="preserve"> </w:t>
      </w:r>
      <w:r>
        <w:rPr>
          <w:color w:val="221F1F"/>
        </w:rPr>
        <w:t>of</w:t>
      </w:r>
      <w:r>
        <w:rPr>
          <w:color w:val="221F1F"/>
          <w:spacing w:val="-10"/>
        </w:rPr>
        <w:t xml:space="preserve"> </w:t>
      </w:r>
      <w:r>
        <w:rPr>
          <w:color w:val="221F1F"/>
        </w:rPr>
        <w:t>months</w:t>
      </w:r>
      <w:r>
        <w:rPr>
          <w:color w:val="221F1F"/>
          <w:spacing w:val="-10"/>
        </w:rPr>
        <w:t xml:space="preserve"> </w:t>
      </w:r>
      <w:r>
        <w:rPr>
          <w:color w:val="221F1F"/>
        </w:rPr>
        <w:t>or</w:t>
      </w:r>
      <w:r>
        <w:rPr>
          <w:color w:val="221F1F"/>
          <w:spacing w:val="-10"/>
        </w:rPr>
        <w:t xml:space="preserve"> </w:t>
      </w:r>
      <w:r>
        <w:rPr>
          <w:color w:val="221F1F"/>
        </w:rPr>
        <w:t>years]</w:t>
      </w:r>
      <w:r>
        <w:rPr>
          <w:color w:val="221F1F"/>
          <w:spacing w:val="-9"/>
        </w:rPr>
        <w:t xml:space="preserve"> </w:t>
      </w:r>
      <w:r>
        <w:rPr>
          <w:color w:val="221F1F"/>
        </w:rPr>
        <w:t>starting</w:t>
      </w:r>
      <w:r>
        <w:rPr>
          <w:color w:val="221F1F"/>
          <w:spacing w:val="-10"/>
        </w:rPr>
        <w:t xml:space="preserve"> </w:t>
      </w:r>
      <w:r>
        <w:rPr>
          <w:color w:val="221F1F"/>
        </w:rPr>
        <w:t>on</w:t>
      </w:r>
      <w:r>
        <w:rPr>
          <w:color w:val="221F1F"/>
          <w:spacing w:val="-11"/>
        </w:rPr>
        <w:t xml:space="preserve"> </w:t>
      </w:r>
      <w:r>
        <w:rPr>
          <w:color w:val="221F1F"/>
        </w:rPr>
        <w:t>[insert</w:t>
      </w:r>
      <w:r>
        <w:rPr>
          <w:color w:val="221F1F"/>
          <w:spacing w:val="-9"/>
        </w:rPr>
        <w:t xml:space="preserve"> </w:t>
      </w:r>
      <w:r>
        <w:rPr>
          <w:color w:val="221F1F"/>
        </w:rPr>
        <w:t>date],</w:t>
      </w:r>
      <w:r>
        <w:rPr>
          <w:color w:val="221F1F"/>
          <w:spacing w:val="-13"/>
        </w:rPr>
        <w:t xml:space="preserve"> </w:t>
      </w:r>
      <w:r>
        <w:rPr>
          <w:color w:val="221F1F"/>
        </w:rPr>
        <w:t>if</w:t>
      </w:r>
      <w:r>
        <w:rPr>
          <w:color w:val="221F1F"/>
          <w:spacing w:val="-10"/>
        </w:rPr>
        <w:t xml:space="preserve"> </w:t>
      </w:r>
      <w:r>
        <w:rPr>
          <w:color w:val="221F1F"/>
        </w:rPr>
        <w:t>we</w:t>
      </w:r>
      <w:r>
        <w:rPr>
          <w:color w:val="221F1F"/>
          <w:spacing w:val="-11"/>
        </w:rPr>
        <w:t xml:space="preserve"> </w:t>
      </w:r>
      <w:r>
        <w:rPr>
          <w:color w:val="221F1F"/>
        </w:rPr>
        <w:t>are</w:t>
      </w:r>
      <w:r>
        <w:rPr>
          <w:color w:val="221F1F"/>
          <w:spacing w:val="-11"/>
        </w:rPr>
        <w:t xml:space="preserve"> </w:t>
      </w:r>
      <w:r>
        <w:rPr>
          <w:color w:val="221F1F"/>
        </w:rPr>
        <w:t>in</w:t>
      </w:r>
      <w:r>
        <w:rPr>
          <w:color w:val="221F1F"/>
          <w:spacing w:val="-11"/>
        </w:rPr>
        <w:t xml:space="preserve"> </w:t>
      </w:r>
      <w:r>
        <w:rPr>
          <w:color w:val="221F1F"/>
        </w:rPr>
        <w:t xml:space="preserve">breach of </w:t>
      </w:r>
      <w:proofErr w:type="spellStart"/>
      <w:r>
        <w:rPr>
          <w:color w:val="221F1F"/>
        </w:rPr>
        <w:t>ourobligation</w:t>
      </w:r>
      <w:proofErr w:type="spellEnd"/>
      <w:r>
        <w:rPr>
          <w:color w:val="221F1F"/>
        </w:rPr>
        <w:t>(s) under the bid conditions, because we–(a) have withdrawn our tender during the period of tender</w:t>
      </w:r>
      <w:r>
        <w:rPr>
          <w:color w:val="221F1F"/>
          <w:spacing w:val="-3"/>
        </w:rPr>
        <w:t xml:space="preserve"> </w:t>
      </w:r>
      <w:r>
        <w:rPr>
          <w:color w:val="221F1F"/>
        </w:rPr>
        <w:t>validity</w:t>
      </w:r>
      <w:r>
        <w:rPr>
          <w:color w:val="221F1F"/>
          <w:spacing w:val="-2"/>
        </w:rPr>
        <w:t xml:space="preserve"> </w:t>
      </w:r>
      <w:r>
        <w:rPr>
          <w:color w:val="221F1F"/>
        </w:rPr>
        <w:t>specified by</w:t>
      </w:r>
      <w:r>
        <w:rPr>
          <w:color w:val="221F1F"/>
          <w:spacing w:val="-3"/>
        </w:rPr>
        <w:t xml:space="preserve"> </w:t>
      </w:r>
      <w:r>
        <w:rPr>
          <w:color w:val="221F1F"/>
        </w:rPr>
        <w:t>us in</w:t>
      </w:r>
      <w:r>
        <w:rPr>
          <w:color w:val="221F1F"/>
          <w:spacing w:val="-3"/>
        </w:rPr>
        <w:t xml:space="preserve"> </w:t>
      </w:r>
      <w:r>
        <w:rPr>
          <w:color w:val="221F1F"/>
        </w:rPr>
        <w:t>the</w:t>
      </w:r>
      <w:r>
        <w:rPr>
          <w:color w:val="221F1F"/>
          <w:spacing w:val="-3"/>
        </w:rPr>
        <w:t xml:space="preserve"> </w:t>
      </w:r>
      <w:r>
        <w:rPr>
          <w:color w:val="221F1F"/>
        </w:rPr>
        <w:t>Tendering</w:t>
      </w:r>
      <w:r>
        <w:rPr>
          <w:color w:val="221F1F"/>
          <w:spacing w:val="-1"/>
        </w:rPr>
        <w:t xml:space="preserve"> </w:t>
      </w:r>
      <w:r>
        <w:rPr>
          <w:color w:val="221F1F"/>
        </w:rPr>
        <w:t>Data</w:t>
      </w:r>
      <w:r>
        <w:rPr>
          <w:color w:val="221F1F"/>
          <w:spacing w:val="-3"/>
        </w:rPr>
        <w:t xml:space="preserve"> </w:t>
      </w:r>
      <w:r>
        <w:rPr>
          <w:color w:val="221F1F"/>
        </w:rPr>
        <w:t>Sheet; or</w:t>
      </w:r>
      <w:r>
        <w:rPr>
          <w:color w:val="221F1F"/>
          <w:spacing w:val="-2"/>
        </w:rPr>
        <w:t xml:space="preserve"> </w:t>
      </w:r>
      <w:r>
        <w:rPr>
          <w:color w:val="221F1F"/>
        </w:rPr>
        <w:t>(b)</w:t>
      </w:r>
      <w:r>
        <w:rPr>
          <w:color w:val="221F1F"/>
          <w:spacing w:val="-2"/>
        </w:rPr>
        <w:t xml:space="preserve"> </w:t>
      </w:r>
      <w:r>
        <w:rPr>
          <w:color w:val="221F1F"/>
        </w:rPr>
        <w:t>having</w:t>
      </w:r>
      <w:r>
        <w:rPr>
          <w:color w:val="221F1F"/>
          <w:spacing w:val="-3"/>
        </w:rPr>
        <w:t xml:space="preserve"> </w:t>
      </w:r>
      <w:r>
        <w:rPr>
          <w:color w:val="221F1F"/>
        </w:rPr>
        <w:t>been</w:t>
      </w:r>
      <w:r>
        <w:rPr>
          <w:color w:val="221F1F"/>
          <w:spacing w:val="-1"/>
        </w:rPr>
        <w:t xml:space="preserve"> </w:t>
      </w:r>
      <w:r>
        <w:rPr>
          <w:color w:val="221F1F"/>
        </w:rPr>
        <w:t>notified</w:t>
      </w:r>
      <w:r>
        <w:rPr>
          <w:color w:val="221F1F"/>
          <w:spacing w:val="-3"/>
        </w:rPr>
        <w:t xml:space="preserve"> </w:t>
      </w:r>
      <w:r>
        <w:rPr>
          <w:color w:val="221F1F"/>
        </w:rPr>
        <w:t>of</w:t>
      </w:r>
      <w:r>
        <w:rPr>
          <w:color w:val="221F1F"/>
          <w:spacing w:val="-2"/>
        </w:rPr>
        <w:t xml:space="preserve"> </w:t>
      </w:r>
      <w:r>
        <w:rPr>
          <w:color w:val="221F1F"/>
        </w:rPr>
        <w:t>the acceptance</w:t>
      </w:r>
      <w:r>
        <w:rPr>
          <w:color w:val="221F1F"/>
          <w:spacing w:val="-2"/>
        </w:rPr>
        <w:t xml:space="preserve"> </w:t>
      </w:r>
      <w:r>
        <w:rPr>
          <w:color w:val="221F1F"/>
        </w:rPr>
        <w:t>of</w:t>
      </w:r>
      <w:r>
        <w:rPr>
          <w:color w:val="221F1F"/>
          <w:spacing w:val="-2"/>
        </w:rPr>
        <w:t xml:space="preserve"> </w:t>
      </w:r>
      <w:r>
        <w:rPr>
          <w:color w:val="221F1F"/>
        </w:rPr>
        <w:t>our Bid by the Purchaser during the period of bid validity, (</w:t>
      </w:r>
      <w:proofErr w:type="spellStart"/>
      <w:r>
        <w:rPr>
          <w:color w:val="221F1F"/>
        </w:rPr>
        <w:t>i</w:t>
      </w:r>
      <w:proofErr w:type="spellEnd"/>
      <w:r>
        <w:rPr>
          <w:color w:val="221F1F"/>
        </w:rPr>
        <w:t>) fail or refuse to execute the Contract, if required, or</w:t>
      </w:r>
    </w:p>
    <w:p w:rsidR="007F6DF9" w:rsidRDefault="00A43FBC">
      <w:pPr>
        <w:pStyle w:val="BodyText"/>
        <w:spacing w:line="243" w:lineRule="exact"/>
        <w:ind w:left="1109"/>
        <w:jc w:val="both"/>
      </w:pPr>
      <w:r>
        <w:rPr>
          <w:color w:val="221F1F"/>
        </w:rPr>
        <w:t>(ii)</w:t>
      </w:r>
      <w:r>
        <w:rPr>
          <w:color w:val="221F1F"/>
          <w:spacing w:val="-6"/>
        </w:rPr>
        <w:t xml:space="preserve"> </w:t>
      </w:r>
      <w:r>
        <w:rPr>
          <w:color w:val="221F1F"/>
        </w:rPr>
        <w:t>fail</w:t>
      </w:r>
      <w:r>
        <w:rPr>
          <w:color w:val="221F1F"/>
          <w:spacing w:val="-3"/>
        </w:rPr>
        <w:t xml:space="preserve"> </w:t>
      </w:r>
      <w:r>
        <w:rPr>
          <w:color w:val="221F1F"/>
        </w:rPr>
        <w:t>or</w:t>
      </w:r>
      <w:r>
        <w:rPr>
          <w:color w:val="221F1F"/>
          <w:spacing w:val="-2"/>
        </w:rPr>
        <w:t xml:space="preserve"> </w:t>
      </w:r>
      <w:r>
        <w:rPr>
          <w:color w:val="221F1F"/>
        </w:rPr>
        <w:t>refuse</w:t>
      </w:r>
      <w:r>
        <w:rPr>
          <w:color w:val="221F1F"/>
          <w:spacing w:val="-3"/>
        </w:rPr>
        <w:t xml:space="preserve"> </w:t>
      </w:r>
      <w:r>
        <w:rPr>
          <w:color w:val="221F1F"/>
        </w:rPr>
        <w:t>to</w:t>
      </w:r>
      <w:r>
        <w:rPr>
          <w:color w:val="221F1F"/>
          <w:spacing w:val="-3"/>
        </w:rPr>
        <w:t xml:space="preserve"> </w:t>
      </w:r>
      <w:r>
        <w:rPr>
          <w:color w:val="221F1F"/>
        </w:rPr>
        <w:t>furnish</w:t>
      </w:r>
      <w:r>
        <w:rPr>
          <w:color w:val="221F1F"/>
          <w:spacing w:val="-5"/>
        </w:rPr>
        <w:t xml:space="preserve"> </w:t>
      </w:r>
      <w:r>
        <w:rPr>
          <w:color w:val="221F1F"/>
        </w:rPr>
        <w:t>the</w:t>
      </w:r>
      <w:r>
        <w:rPr>
          <w:color w:val="221F1F"/>
          <w:spacing w:val="-2"/>
        </w:rPr>
        <w:t xml:space="preserve"> </w:t>
      </w:r>
      <w:r>
        <w:rPr>
          <w:color w:val="221F1F"/>
        </w:rPr>
        <w:t>Performance</w:t>
      </w:r>
      <w:r>
        <w:rPr>
          <w:color w:val="221F1F"/>
          <w:spacing w:val="-2"/>
        </w:rPr>
        <w:t xml:space="preserve"> </w:t>
      </w:r>
      <w:r>
        <w:rPr>
          <w:color w:val="221F1F"/>
        </w:rPr>
        <w:t>Security,</w:t>
      </w:r>
      <w:r>
        <w:rPr>
          <w:color w:val="221F1F"/>
          <w:spacing w:val="-5"/>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the</w:t>
      </w:r>
      <w:r>
        <w:rPr>
          <w:color w:val="221F1F"/>
          <w:spacing w:val="-5"/>
        </w:rPr>
        <w:t xml:space="preserve"> </w:t>
      </w:r>
      <w:r>
        <w:rPr>
          <w:color w:val="221F1F"/>
        </w:rPr>
        <w:t>instructions</w:t>
      </w:r>
      <w:r>
        <w:rPr>
          <w:color w:val="221F1F"/>
          <w:spacing w:val="-4"/>
        </w:rPr>
        <w:t xml:space="preserve"> </w:t>
      </w:r>
      <w:r>
        <w:rPr>
          <w:color w:val="221F1F"/>
        </w:rPr>
        <w:t>to</w:t>
      </w:r>
      <w:r>
        <w:rPr>
          <w:color w:val="221F1F"/>
          <w:spacing w:val="-5"/>
        </w:rPr>
        <w:t xml:space="preserve"> </w:t>
      </w:r>
      <w:r>
        <w:rPr>
          <w:color w:val="221F1F"/>
          <w:spacing w:val="-2"/>
        </w:rPr>
        <w:t>tenders.</w:t>
      </w:r>
    </w:p>
    <w:p w:rsidR="007F6DF9" w:rsidRDefault="00A43FBC">
      <w:pPr>
        <w:pStyle w:val="ListParagraph"/>
        <w:numPr>
          <w:ilvl w:val="0"/>
          <w:numId w:val="131"/>
        </w:numPr>
        <w:tabs>
          <w:tab w:val="left" w:pos="1100"/>
          <w:tab w:val="left" w:pos="1109"/>
        </w:tabs>
        <w:spacing w:before="245" w:line="230" w:lineRule="auto"/>
        <w:ind w:left="1109" w:right="567" w:hanging="402"/>
      </w:pPr>
      <w:r>
        <w:rPr>
          <w:color w:val="221F1F"/>
        </w:rPr>
        <w:t>I/We</w:t>
      </w:r>
      <w:r>
        <w:rPr>
          <w:color w:val="221F1F"/>
          <w:spacing w:val="-17"/>
        </w:rPr>
        <w:t xml:space="preserve"> </w:t>
      </w:r>
      <w:r>
        <w:rPr>
          <w:color w:val="221F1F"/>
        </w:rPr>
        <w:t>understand</w:t>
      </w:r>
      <w:r>
        <w:rPr>
          <w:color w:val="221F1F"/>
          <w:spacing w:val="-14"/>
        </w:rPr>
        <w:t xml:space="preserve"> </w:t>
      </w:r>
      <w:r>
        <w:rPr>
          <w:color w:val="221F1F"/>
        </w:rPr>
        <w:t>that</w:t>
      </w:r>
      <w:r>
        <w:rPr>
          <w:color w:val="221F1F"/>
          <w:spacing w:val="-9"/>
        </w:rPr>
        <w:t xml:space="preserve"> </w:t>
      </w:r>
      <w:r>
        <w:rPr>
          <w:color w:val="221F1F"/>
        </w:rPr>
        <w:t>this</w:t>
      </w:r>
      <w:r>
        <w:rPr>
          <w:color w:val="221F1F"/>
          <w:spacing w:val="-10"/>
        </w:rPr>
        <w:t xml:space="preserve"> </w:t>
      </w:r>
      <w:r>
        <w:rPr>
          <w:color w:val="221F1F"/>
        </w:rPr>
        <w:t>Tender</w:t>
      </w:r>
      <w:r>
        <w:rPr>
          <w:color w:val="221F1F"/>
          <w:spacing w:val="-14"/>
        </w:rPr>
        <w:t xml:space="preserve"> </w:t>
      </w:r>
      <w:r>
        <w:rPr>
          <w:color w:val="221F1F"/>
        </w:rPr>
        <w:t>Securing</w:t>
      </w:r>
      <w:r>
        <w:rPr>
          <w:color w:val="221F1F"/>
          <w:spacing w:val="-10"/>
        </w:rPr>
        <w:t xml:space="preserve"> </w:t>
      </w:r>
      <w:r>
        <w:rPr>
          <w:color w:val="221F1F"/>
        </w:rPr>
        <w:t>Declaration</w:t>
      </w:r>
      <w:r>
        <w:rPr>
          <w:color w:val="221F1F"/>
          <w:spacing w:val="-10"/>
        </w:rPr>
        <w:t xml:space="preserve"> </w:t>
      </w:r>
      <w:r>
        <w:rPr>
          <w:color w:val="221F1F"/>
        </w:rPr>
        <w:t>shall</w:t>
      </w:r>
      <w:r>
        <w:rPr>
          <w:color w:val="221F1F"/>
          <w:spacing w:val="-9"/>
        </w:rPr>
        <w:t xml:space="preserve"> </w:t>
      </w:r>
      <w:r>
        <w:rPr>
          <w:color w:val="221F1F"/>
        </w:rPr>
        <w:t>expire</w:t>
      </w:r>
      <w:r>
        <w:rPr>
          <w:color w:val="221F1F"/>
          <w:spacing w:val="-12"/>
        </w:rPr>
        <w:t xml:space="preserve"> </w:t>
      </w:r>
      <w:r>
        <w:rPr>
          <w:color w:val="221F1F"/>
        </w:rPr>
        <w:t>if</w:t>
      </w:r>
      <w:r>
        <w:rPr>
          <w:color w:val="221F1F"/>
          <w:spacing w:val="-10"/>
        </w:rPr>
        <w:t xml:space="preserve"> </w:t>
      </w:r>
      <w:r>
        <w:rPr>
          <w:color w:val="221F1F"/>
        </w:rPr>
        <w:t>we</w:t>
      </w:r>
      <w:r>
        <w:rPr>
          <w:color w:val="221F1F"/>
          <w:spacing w:val="-10"/>
        </w:rPr>
        <w:t xml:space="preserve"> </w:t>
      </w:r>
      <w:r>
        <w:rPr>
          <w:color w:val="221F1F"/>
        </w:rPr>
        <w:t>are</w:t>
      </w:r>
      <w:r>
        <w:rPr>
          <w:color w:val="221F1F"/>
          <w:spacing w:val="-10"/>
        </w:rPr>
        <w:t xml:space="preserve"> </w:t>
      </w:r>
      <w:r>
        <w:rPr>
          <w:color w:val="221F1F"/>
        </w:rPr>
        <w:t>not</w:t>
      </w:r>
      <w:r>
        <w:rPr>
          <w:color w:val="221F1F"/>
          <w:spacing w:val="-12"/>
        </w:rPr>
        <w:t xml:space="preserve"> </w:t>
      </w:r>
      <w:r>
        <w:rPr>
          <w:color w:val="221F1F"/>
        </w:rPr>
        <w:t>the</w:t>
      </w:r>
      <w:r>
        <w:rPr>
          <w:color w:val="221F1F"/>
          <w:spacing w:val="-12"/>
        </w:rPr>
        <w:t xml:space="preserve"> </w:t>
      </w:r>
      <w:r>
        <w:rPr>
          <w:color w:val="221F1F"/>
        </w:rPr>
        <w:t>successful</w:t>
      </w:r>
      <w:r>
        <w:rPr>
          <w:color w:val="221F1F"/>
          <w:spacing w:val="-8"/>
        </w:rPr>
        <w:t xml:space="preserve"> </w:t>
      </w:r>
      <w:r>
        <w:rPr>
          <w:color w:val="221F1F"/>
        </w:rPr>
        <w:t>Tenderer(s),</w:t>
      </w:r>
      <w:r>
        <w:rPr>
          <w:color w:val="221F1F"/>
          <w:spacing w:val="-10"/>
        </w:rPr>
        <w:t xml:space="preserve"> </w:t>
      </w:r>
      <w:r>
        <w:rPr>
          <w:color w:val="221F1F"/>
        </w:rPr>
        <w:t>upon the earlier of:</w:t>
      </w:r>
    </w:p>
    <w:p w:rsidR="007F6DF9" w:rsidRDefault="00A43FBC">
      <w:pPr>
        <w:pStyle w:val="ListParagraph"/>
        <w:numPr>
          <w:ilvl w:val="1"/>
          <w:numId w:val="131"/>
        </w:numPr>
        <w:tabs>
          <w:tab w:val="left" w:pos="1539"/>
        </w:tabs>
        <w:spacing w:line="239" w:lineRule="exact"/>
      </w:pPr>
      <w:r>
        <w:rPr>
          <w:color w:val="221F1F"/>
        </w:rPr>
        <w:t>Our</w:t>
      </w:r>
      <w:r>
        <w:rPr>
          <w:color w:val="221F1F"/>
          <w:spacing w:val="-3"/>
        </w:rPr>
        <w:t xml:space="preserve"> </w:t>
      </w:r>
      <w:r>
        <w:rPr>
          <w:color w:val="221F1F"/>
        </w:rPr>
        <w:t>receipt</w:t>
      </w:r>
      <w:r>
        <w:rPr>
          <w:color w:val="221F1F"/>
          <w:spacing w:val="-3"/>
        </w:rPr>
        <w:t xml:space="preserve"> </w:t>
      </w:r>
      <w:r>
        <w:rPr>
          <w:color w:val="221F1F"/>
        </w:rPr>
        <w:t>of</w:t>
      </w:r>
      <w:r>
        <w:rPr>
          <w:color w:val="221F1F"/>
          <w:spacing w:val="-3"/>
        </w:rPr>
        <w:t xml:space="preserve"> </w:t>
      </w:r>
      <w:r>
        <w:rPr>
          <w:color w:val="221F1F"/>
        </w:rPr>
        <w:t>a</w:t>
      </w:r>
      <w:r>
        <w:rPr>
          <w:color w:val="221F1F"/>
          <w:spacing w:val="-6"/>
        </w:rPr>
        <w:t xml:space="preserve"> </w:t>
      </w:r>
      <w:r>
        <w:rPr>
          <w:color w:val="221F1F"/>
        </w:rPr>
        <w:t>copy</w:t>
      </w:r>
      <w:r>
        <w:rPr>
          <w:color w:val="221F1F"/>
          <w:spacing w:val="-4"/>
        </w:rPr>
        <w:t xml:space="preserve"> </w:t>
      </w:r>
      <w:r>
        <w:rPr>
          <w:color w:val="221F1F"/>
        </w:rPr>
        <w:t>of</w:t>
      </w:r>
      <w:r>
        <w:rPr>
          <w:color w:val="221F1F"/>
          <w:spacing w:val="-3"/>
        </w:rPr>
        <w:t xml:space="preserve"> </w:t>
      </w:r>
      <w:r>
        <w:rPr>
          <w:color w:val="221F1F"/>
        </w:rPr>
        <w:t>your</w:t>
      </w:r>
      <w:r>
        <w:rPr>
          <w:color w:val="221F1F"/>
          <w:spacing w:val="-3"/>
        </w:rPr>
        <w:t xml:space="preserve"> </w:t>
      </w:r>
      <w:r>
        <w:rPr>
          <w:color w:val="221F1F"/>
        </w:rPr>
        <w:t>notification</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name</w:t>
      </w:r>
      <w:r>
        <w:rPr>
          <w:color w:val="221F1F"/>
          <w:spacing w:val="-8"/>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successful</w:t>
      </w:r>
      <w:r>
        <w:rPr>
          <w:color w:val="221F1F"/>
          <w:spacing w:val="-3"/>
        </w:rPr>
        <w:t xml:space="preserve"> </w:t>
      </w:r>
      <w:r>
        <w:rPr>
          <w:color w:val="221F1F"/>
        </w:rPr>
        <w:t>Tenderer;</w:t>
      </w:r>
      <w:r>
        <w:rPr>
          <w:color w:val="221F1F"/>
          <w:spacing w:val="-5"/>
        </w:rPr>
        <w:t xml:space="preserve"> or</w:t>
      </w:r>
    </w:p>
    <w:p w:rsidR="007F6DF9" w:rsidRDefault="00A43FBC">
      <w:pPr>
        <w:pStyle w:val="ListParagraph"/>
        <w:numPr>
          <w:ilvl w:val="1"/>
          <w:numId w:val="131"/>
        </w:numPr>
        <w:tabs>
          <w:tab w:val="left" w:pos="1539"/>
        </w:tabs>
        <w:spacing w:line="250" w:lineRule="exact"/>
      </w:pPr>
      <w:r>
        <w:rPr>
          <w:color w:val="221F1F"/>
        </w:rPr>
        <w:t>thirty</w:t>
      </w:r>
      <w:r>
        <w:rPr>
          <w:color w:val="221F1F"/>
          <w:spacing w:val="-5"/>
        </w:rPr>
        <w:t xml:space="preserve"> </w:t>
      </w:r>
      <w:r>
        <w:rPr>
          <w:color w:val="221F1F"/>
        </w:rPr>
        <w:t>days</w:t>
      </w:r>
      <w:r>
        <w:rPr>
          <w:color w:val="221F1F"/>
          <w:spacing w:val="-5"/>
        </w:rPr>
        <w:t xml:space="preserve"> </w:t>
      </w:r>
      <w:r>
        <w:rPr>
          <w:color w:val="221F1F"/>
        </w:rPr>
        <w:t>after</w:t>
      </w:r>
      <w:r>
        <w:rPr>
          <w:color w:val="221F1F"/>
          <w:spacing w:val="-2"/>
        </w:rPr>
        <w:t xml:space="preserve"> </w:t>
      </w:r>
      <w:r>
        <w:rPr>
          <w:color w:val="221F1F"/>
        </w:rPr>
        <w:t>the</w:t>
      </w:r>
      <w:r>
        <w:rPr>
          <w:color w:val="221F1F"/>
          <w:spacing w:val="-3"/>
        </w:rPr>
        <w:t xml:space="preserve"> </w:t>
      </w:r>
      <w:r>
        <w:rPr>
          <w:color w:val="221F1F"/>
        </w:rPr>
        <w:t>expiration</w:t>
      </w:r>
      <w:r>
        <w:rPr>
          <w:color w:val="221F1F"/>
          <w:spacing w:val="-2"/>
        </w:rPr>
        <w:t xml:space="preserve"> </w:t>
      </w:r>
      <w:r>
        <w:rPr>
          <w:color w:val="221F1F"/>
        </w:rPr>
        <w:t>of</w:t>
      </w:r>
      <w:r>
        <w:rPr>
          <w:color w:val="221F1F"/>
          <w:spacing w:val="-2"/>
        </w:rPr>
        <w:t xml:space="preserve"> </w:t>
      </w:r>
      <w:r>
        <w:rPr>
          <w:color w:val="221F1F"/>
        </w:rPr>
        <w:t>our</w:t>
      </w:r>
      <w:r>
        <w:rPr>
          <w:color w:val="221F1F"/>
          <w:spacing w:val="-1"/>
        </w:rPr>
        <w:t xml:space="preserve"> </w:t>
      </w:r>
      <w:r>
        <w:rPr>
          <w:color w:val="221F1F"/>
          <w:spacing w:val="-2"/>
        </w:rPr>
        <w:t>Tender.</w:t>
      </w:r>
    </w:p>
    <w:p w:rsidR="007F6DF9" w:rsidRDefault="00A43FBC">
      <w:pPr>
        <w:pStyle w:val="ListParagraph"/>
        <w:numPr>
          <w:ilvl w:val="0"/>
          <w:numId w:val="131"/>
        </w:numPr>
        <w:tabs>
          <w:tab w:val="left" w:pos="1097"/>
          <w:tab w:val="left" w:pos="1109"/>
        </w:tabs>
        <w:spacing w:before="244" w:line="230" w:lineRule="auto"/>
        <w:ind w:left="1109" w:right="567" w:hanging="402"/>
        <w:jc w:val="both"/>
      </w:pPr>
      <w:r>
        <w:rPr>
          <w:color w:val="221F1F"/>
        </w:rPr>
        <w:t>I/We</w:t>
      </w:r>
      <w:r>
        <w:rPr>
          <w:color w:val="221F1F"/>
          <w:spacing w:val="-13"/>
        </w:rPr>
        <w:t xml:space="preserve"> </w:t>
      </w:r>
      <w:r>
        <w:rPr>
          <w:color w:val="221F1F"/>
        </w:rPr>
        <w:t>understand</w:t>
      </w:r>
      <w:r>
        <w:rPr>
          <w:color w:val="221F1F"/>
          <w:spacing w:val="-4"/>
        </w:rPr>
        <w:t xml:space="preserve"> </w:t>
      </w:r>
      <w:r>
        <w:rPr>
          <w:color w:val="221F1F"/>
        </w:rPr>
        <w:t>that</w:t>
      </w:r>
      <w:r>
        <w:rPr>
          <w:color w:val="221F1F"/>
          <w:spacing w:val="-3"/>
        </w:rPr>
        <w:t xml:space="preserve"> </w:t>
      </w:r>
      <w:r>
        <w:rPr>
          <w:color w:val="221F1F"/>
        </w:rPr>
        <w:t>if</w:t>
      </w:r>
      <w:r>
        <w:rPr>
          <w:color w:val="221F1F"/>
          <w:spacing w:val="-2"/>
        </w:rPr>
        <w:t xml:space="preserve"> </w:t>
      </w:r>
      <w:proofErr w:type="spellStart"/>
      <w:r>
        <w:rPr>
          <w:color w:val="221F1F"/>
        </w:rPr>
        <w:t>Iam</w:t>
      </w:r>
      <w:proofErr w:type="spellEnd"/>
      <w:r>
        <w:rPr>
          <w:color w:val="221F1F"/>
          <w:spacing w:val="-3"/>
        </w:rPr>
        <w:t xml:space="preserve"> </w:t>
      </w:r>
      <w:r>
        <w:rPr>
          <w:color w:val="221F1F"/>
        </w:rPr>
        <w:t>/we</w:t>
      </w:r>
      <w:r>
        <w:rPr>
          <w:color w:val="221F1F"/>
          <w:spacing w:val="-2"/>
        </w:rPr>
        <w:t xml:space="preserve"> </w:t>
      </w:r>
      <w:r>
        <w:rPr>
          <w:color w:val="221F1F"/>
        </w:rPr>
        <w:t>are/</w:t>
      </w:r>
      <w:r>
        <w:rPr>
          <w:color w:val="221F1F"/>
          <w:spacing w:val="-2"/>
        </w:rPr>
        <w:t xml:space="preserve"> </w:t>
      </w:r>
      <w:r>
        <w:rPr>
          <w:color w:val="221F1F"/>
        </w:rPr>
        <w:t>in</w:t>
      </w:r>
      <w:r>
        <w:rPr>
          <w:color w:val="221F1F"/>
          <w:spacing w:val="-4"/>
        </w:rPr>
        <w:t xml:space="preserve"> </w:t>
      </w:r>
      <w:r>
        <w:rPr>
          <w:color w:val="221F1F"/>
        </w:rPr>
        <w:t>a</w:t>
      </w:r>
      <w:r>
        <w:rPr>
          <w:color w:val="221F1F"/>
          <w:spacing w:val="-2"/>
        </w:rPr>
        <w:t xml:space="preserve"> </w:t>
      </w:r>
      <w:r>
        <w:rPr>
          <w:color w:val="221F1F"/>
        </w:rPr>
        <w:t>Joint</w:t>
      </w:r>
      <w:r>
        <w:rPr>
          <w:color w:val="221F1F"/>
          <w:spacing w:val="-2"/>
        </w:rPr>
        <w:t xml:space="preserve"> </w:t>
      </w:r>
      <w:r>
        <w:rPr>
          <w:color w:val="221F1F"/>
        </w:rPr>
        <w:t>Venture,</w:t>
      </w:r>
      <w:r>
        <w:rPr>
          <w:color w:val="221F1F"/>
          <w:spacing w:val="-11"/>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Securing</w:t>
      </w:r>
      <w:r>
        <w:rPr>
          <w:color w:val="221F1F"/>
          <w:spacing w:val="-2"/>
        </w:rPr>
        <w:t xml:space="preserve"> </w:t>
      </w:r>
      <w:r>
        <w:rPr>
          <w:color w:val="221F1F"/>
        </w:rPr>
        <w:t>Declaration</w:t>
      </w:r>
      <w:r>
        <w:rPr>
          <w:color w:val="221F1F"/>
          <w:spacing w:val="-3"/>
        </w:rPr>
        <w:t xml:space="preserve"> </w:t>
      </w:r>
      <w:r>
        <w:rPr>
          <w:color w:val="221F1F"/>
        </w:rPr>
        <w:t>must</w:t>
      </w:r>
      <w:r>
        <w:rPr>
          <w:color w:val="221F1F"/>
          <w:spacing w:val="-1"/>
        </w:rPr>
        <w:t xml:space="preserve"> </w:t>
      </w:r>
      <w:r>
        <w:rPr>
          <w:color w:val="221F1F"/>
        </w:rPr>
        <w:t>be</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name</w:t>
      </w:r>
      <w:r>
        <w:rPr>
          <w:color w:val="221F1F"/>
          <w:spacing w:val="-6"/>
        </w:rPr>
        <w:t xml:space="preserve"> </w:t>
      </w:r>
      <w:r>
        <w:rPr>
          <w:color w:val="221F1F"/>
        </w:rPr>
        <w:t xml:space="preserve">of </w:t>
      </w:r>
      <w:r>
        <w:rPr>
          <w:color w:val="221F1F"/>
          <w:spacing w:val="-2"/>
        </w:rPr>
        <w:t>the</w:t>
      </w:r>
      <w:r>
        <w:rPr>
          <w:color w:val="221F1F"/>
          <w:spacing w:val="-12"/>
        </w:rPr>
        <w:t xml:space="preserve"> </w:t>
      </w:r>
      <w:r>
        <w:rPr>
          <w:color w:val="221F1F"/>
          <w:spacing w:val="-2"/>
        </w:rPr>
        <w:t>Joint</w:t>
      </w:r>
      <w:r>
        <w:rPr>
          <w:color w:val="221F1F"/>
          <w:spacing w:val="-10"/>
        </w:rPr>
        <w:t xml:space="preserve"> </w:t>
      </w:r>
      <w:r>
        <w:rPr>
          <w:color w:val="221F1F"/>
          <w:spacing w:val="-2"/>
        </w:rPr>
        <w:t>Venture</w:t>
      </w:r>
      <w:r>
        <w:rPr>
          <w:color w:val="221F1F"/>
          <w:spacing w:val="-12"/>
        </w:rPr>
        <w:t xml:space="preserve"> </w:t>
      </w:r>
      <w:r>
        <w:rPr>
          <w:color w:val="221F1F"/>
          <w:spacing w:val="-2"/>
        </w:rPr>
        <w:t>that</w:t>
      </w:r>
      <w:r>
        <w:rPr>
          <w:color w:val="221F1F"/>
          <w:spacing w:val="-7"/>
        </w:rPr>
        <w:t xml:space="preserve"> </w:t>
      </w:r>
      <w:r>
        <w:rPr>
          <w:color w:val="221F1F"/>
          <w:spacing w:val="-2"/>
        </w:rPr>
        <w:t>submits</w:t>
      </w:r>
      <w:r>
        <w:rPr>
          <w:color w:val="221F1F"/>
          <w:spacing w:val="-7"/>
        </w:rPr>
        <w:t xml:space="preserve"> </w:t>
      </w:r>
      <w:r>
        <w:rPr>
          <w:color w:val="221F1F"/>
          <w:spacing w:val="-2"/>
        </w:rPr>
        <w:t>the</w:t>
      </w:r>
      <w:r>
        <w:rPr>
          <w:color w:val="221F1F"/>
          <w:spacing w:val="-8"/>
        </w:rPr>
        <w:t xml:space="preserve"> </w:t>
      </w:r>
      <w:r>
        <w:rPr>
          <w:color w:val="221F1F"/>
          <w:spacing w:val="-2"/>
        </w:rPr>
        <w:t>bid,</w:t>
      </w:r>
      <w:r>
        <w:rPr>
          <w:color w:val="221F1F"/>
          <w:spacing w:val="-8"/>
        </w:rPr>
        <w:t xml:space="preserve"> </w:t>
      </w:r>
      <w:r>
        <w:rPr>
          <w:color w:val="221F1F"/>
          <w:spacing w:val="-2"/>
        </w:rPr>
        <w:t>and</w:t>
      </w:r>
      <w:r>
        <w:rPr>
          <w:color w:val="221F1F"/>
          <w:spacing w:val="-8"/>
        </w:rPr>
        <w:t xml:space="preserve"> </w:t>
      </w:r>
      <w:r>
        <w:rPr>
          <w:color w:val="221F1F"/>
          <w:spacing w:val="-2"/>
        </w:rPr>
        <w:t>the</w:t>
      </w:r>
      <w:r>
        <w:rPr>
          <w:color w:val="221F1F"/>
          <w:spacing w:val="-8"/>
        </w:rPr>
        <w:t xml:space="preserve"> </w:t>
      </w:r>
      <w:r>
        <w:rPr>
          <w:color w:val="221F1F"/>
          <w:spacing w:val="-2"/>
        </w:rPr>
        <w:t>Joint</w:t>
      </w:r>
      <w:r>
        <w:rPr>
          <w:color w:val="221F1F"/>
          <w:spacing w:val="-7"/>
        </w:rPr>
        <w:t xml:space="preserve"> </w:t>
      </w:r>
      <w:r>
        <w:rPr>
          <w:color w:val="221F1F"/>
          <w:spacing w:val="-2"/>
        </w:rPr>
        <w:t>Venture</w:t>
      </w:r>
      <w:r>
        <w:rPr>
          <w:color w:val="221F1F"/>
          <w:spacing w:val="-12"/>
        </w:rPr>
        <w:t xml:space="preserve"> </w:t>
      </w:r>
      <w:r>
        <w:rPr>
          <w:color w:val="221F1F"/>
          <w:spacing w:val="-2"/>
        </w:rPr>
        <w:t>has</w:t>
      </w:r>
      <w:r>
        <w:rPr>
          <w:color w:val="221F1F"/>
          <w:spacing w:val="-4"/>
        </w:rPr>
        <w:t xml:space="preserve"> </w:t>
      </w:r>
      <w:r>
        <w:rPr>
          <w:color w:val="221F1F"/>
          <w:spacing w:val="-2"/>
        </w:rPr>
        <w:t>not</w:t>
      </w:r>
      <w:r>
        <w:rPr>
          <w:color w:val="221F1F"/>
          <w:spacing w:val="-8"/>
        </w:rPr>
        <w:t xml:space="preserve"> </w:t>
      </w:r>
      <w:r>
        <w:rPr>
          <w:color w:val="221F1F"/>
          <w:spacing w:val="-2"/>
        </w:rPr>
        <w:t>been</w:t>
      </w:r>
      <w:r>
        <w:rPr>
          <w:color w:val="221F1F"/>
          <w:spacing w:val="-9"/>
        </w:rPr>
        <w:t xml:space="preserve"> </w:t>
      </w:r>
      <w:r>
        <w:rPr>
          <w:color w:val="221F1F"/>
          <w:spacing w:val="-2"/>
        </w:rPr>
        <w:t>legally</w:t>
      </w:r>
      <w:r>
        <w:rPr>
          <w:color w:val="221F1F"/>
          <w:spacing w:val="-6"/>
        </w:rPr>
        <w:t xml:space="preserve"> </w:t>
      </w:r>
      <w:r>
        <w:rPr>
          <w:color w:val="221F1F"/>
          <w:spacing w:val="-2"/>
        </w:rPr>
        <w:t>constituted</w:t>
      </w:r>
      <w:r>
        <w:rPr>
          <w:color w:val="221F1F"/>
          <w:spacing w:val="-7"/>
        </w:rPr>
        <w:t xml:space="preserve"> </w:t>
      </w:r>
      <w:r>
        <w:rPr>
          <w:color w:val="221F1F"/>
          <w:spacing w:val="-2"/>
        </w:rPr>
        <w:t>at</w:t>
      </w:r>
      <w:r>
        <w:rPr>
          <w:color w:val="221F1F"/>
          <w:spacing w:val="-10"/>
        </w:rPr>
        <w:t xml:space="preserve"> </w:t>
      </w:r>
      <w:r>
        <w:rPr>
          <w:color w:val="221F1F"/>
          <w:spacing w:val="-2"/>
        </w:rPr>
        <w:t>the</w:t>
      </w:r>
      <w:r>
        <w:rPr>
          <w:color w:val="221F1F"/>
          <w:spacing w:val="-8"/>
        </w:rPr>
        <w:t xml:space="preserve"> </w:t>
      </w:r>
      <w:r>
        <w:rPr>
          <w:color w:val="221F1F"/>
          <w:spacing w:val="-2"/>
        </w:rPr>
        <w:t>time</w:t>
      </w:r>
      <w:r>
        <w:rPr>
          <w:color w:val="221F1F"/>
          <w:spacing w:val="-6"/>
        </w:rPr>
        <w:t xml:space="preserve"> </w:t>
      </w:r>
      <w:r>
        <w:rPr>
          <w:color w:val="221F1F"/>
          <w:spacing w:val="-2"/>
        </w:rPr>
        <w:t>of</w:t>
      </w:r>
      <w:r>
        <w:rPr>
          <w:color w:val="221F1F"/>
          <w:spacing w:val="-8"/>
        </w:rPr>
        <w:t xml:space="preserve"> </w:t>
      </w:r>
      <w:r>
        <w:rPr>
          <w:color w:val="221F1F"/>
          <w:spacing w:val="-2"/>
        </w:rPr>
        <w:t xml:space="preserve">bidding, </w:t>
      </w:r>
      <w:r>
        <w:rPr>
          <w:color w:val="221F1F"/>
        </w:rPr>
        <w:t>the Tender Securing Declaration shall be in the names of all future partners as named in the letter of intent.</w:t>
      </w:r>
    </w:p>
    <w:p w:rsidR="007F6DF9" w:rsidRDefault="00A43FBC">
      <w:pPr>
        <w:pStyle w:val="BodyText"/>
        <w:tabs>
          <w:tab w:val="left" w:leader="dot" w:pos="7155"/>
        </w:tabs>
        <w:spacing w:before="238"/>
        <w:ind w:left="703"/>
      </w:pPr>
      <w:r>
        <w:rPr>
          <w:color w:val="221F1F"/>
          <w:spacing w:val="-2"/>
        </w:rPr>
        <w:t>Signed</w:t>
      </w:r>
      <w:r>
        <w:rPr>
          <w:color w:val="221F1F"/>
        </w:rPr>
        <w:tab/>
        <w:t>Capacity/title</w:t>
      </w:r>
      <w:r>
        <w:rPr>
          <w:color w:val="221F1F"/>
          <w:spacing w:val="-8"/>
        </w:rPr>
        <w:t xml:space="preserve"> </w:t>
      </w:r>
      <w:r>
        <w:rPr>
          <w:color w:val="221F1F"/>
        </w:rPr>
        <w:t>(director</w:t>
      </w:r>
      <w:r>
        <w:rPr>
          <w:color w:val="221F1F"/>
          <w:spacing w:val="-5"/>
        </w:rPr>
        <w:t xml:space="preserve"> </w:t>
      </w:r>
      <w:r>
        <w:rPr>
          <w:color w:val="221F1F"/>
        </w:rPr>
        <w:t>or</w:t>
      </w:r>
      <w:r>
        <w:rPr>
          <w:color w:val="221F1F"/>
          <w:spacing w:val="-6"/>
        </w:rPr>
        <w:t xml:space="preserve"> </w:t>
      </w:r>
      <w:r>
        <w:rPr>
          <w:color w:val="221F1F"/>
        </w:rPr>
        <w:t>partner</w:t>
      </w:r>
      <w:r>
        <w:rPr>
          <w:color w:val="221F1F"/>
          <w:spacing w:val="-5"/>
        </w:rPr>
        <w:t xml:space="preserve"> or</w:t>
      </w:r>
    </w:p>
    <w:p w:rsidR="007F6DF9" w:rsidRDefault="00A43FBC">
      <w:pPr>
        <w:pStyle w:val="BodyText"/>
        <w:tabs>
          <w:tab w:val="left" w:leader="dot" w:pos="8055"/>
        </w:tabs>
        <w:spacing w:before="234" w:line="465" w:lineRule="auto"/>
        <w:ind w:left="703" w:right="1033"/>
      </w:pPr>
      <w:r>
        <w:rPr>
          <w:color w:val="221F1F"/>
        </w:rPr>
        <w:t>sole</w:t>
      </w:r>
      <w:r>
        <w:rPr>
          <w:color w:val="221F1F"/>
          <w:spacing w:val="77"/>
          <w:w w:val="150"/>
        </w:rPr>
        <w:t xml:space="preserve">          </w:t>
      </w:r>
      <w:proofErr w:type="gramStart"/>
      <w:r>
        <w:rPr>
          <w:color w:val="221F1F"/>
        </w:rPr>
        <w:t>proprietor,</w:t>
      </w:r>
      <w:r>
        <w:rPr>
          <w:color w:val="221F1F"/>
          <w:spacing w:val="70"/>
          <w:w w:val="150"/>
        </w:rPr>
        <w:t xml:space="preserve">   </w:t>
      </w:r>
      <w:proofErr w:type="gramEnd"/>
      <w:r>
        <w:rPr>
          <w:color w:val="221F1F"/>
          <w:spacing w:val="70"/>
          <w:w w:val="150"/>
        </w:rPr>
        <w:t xml:space="preserve">        </w:t>
      </w:r>
      <w:r>
        <w:rPr>
          <w:color w:val="221F1F"/>
        </w:rPr>
        <w:t>etc.)</w:t>
      </w:r>
      <w:r>
        <w:rPr>
          <w:color w:val="221F1F"/>
          <w:spacing w:val="68"/>
          <w:w w:val="150"/>
        </w:rPr>
        <w:t xml:space="preserve">           </w:t>
      </w:r>
      <w:r>
        <w:rPr>
          <w:color w:val="221F1F"/>
        </w:rPr>
        <w:t>……….…………........…….</w:t>
      </w:r>
      <w:r>
        <w:rPr>
          <w:color w:val="221F1F"/>
          <w:spacing w:val="80"/>
          <w:w w:val="150"/>
        </w:rPr>
        <w:t xml:space="preserve"> </w:t>
      </w:r>
      <w:r>
        <w:rPr>
          <w:color w:val="221F1F"/>
          <w:spacing w:val="-4"/>
        </w:rPr>
        <w:t>Name</w:t>
      </w:r>
      <w:r>
        <w:rPr>
          <w:color w:val="221F1F"/>
        </w:rPr>
        <w:tab/>
        <w:t>Duly</w:t>
      </w:r>
      <w:r>
        <w:rPr>
          <w:color w:val="221F1F"/>
          <w:spacing w:val="-6"/>
        </w:rPr>
        <w:t xml:space="preserve"> </w:t>
      </w:r>
      <w:r>
        <w:rPr>
          <w:color w:val="221F1F"/>
        </w:rPr>
        <w:t>authorized</w:t>
      </w:r>
      <w:r>
        <w:rPr>
          <w:color w:val="221F1F"/>
          <w:spacing w:val="-8"/>
        </w:rPr>
        <w:t xml:space="preserve"> </w:t>
      </w:r>
      <w:r>
        <w:rPr>
          <w:color w:val="221F1F"/>
        </w:rPr>
        <w:t>to</w:t>
      </w:r>
      <w:r>
        <w:rPr>
          <w:color w:val="221F1F"/>
          <w:spacing w:val="-7"/>
        </w:rPr>
        <w:t xml:space="preserve"> </w:t>
      </w:r>
      <w:r>
        <w:rPr>
          <w:color w:val="221F1F"/>
        </w:rPr>
        <w:t>sign</w:t>
      </w:r>
      <w:r>
        <w:rPr>
          <w:color w:val="221F1F"/>
          <w:spacing w:val="-9"/>
        </w:rPr>
        <w:t xml:space="preserve"> </w:t>
      </w:r>
      <w:r>
        <w:rPr>
          <w:color w:val="221F1F"/>
        </w:rPr>
        <w:t>the</w:t>
      </w:r>
    </w:p>
    <w:p w:rsidR="007F6DF9" w:rsidRDefault="00A43FBC">
      <w:pPr>
        <w:spacing w:line="249" w:lineRule="exact"/>
        <w:ind w:left="703"/>
        <w:rPr>
          <w:i/>
        </w:rPr>
      </w:pPr>
      <w:r>
        <w:rPr>
          <w:color w:val="221F1F"/>
        </w:rPr>
        <w:t>bid</w:t>
      </w:r>
      <w:r>
        <w:rPr>
          <w:color w:val="221F1F"/>
          <w:spacing w:val="-3"/>
        </w:rPr>
        <w:t xml:space="preserve"> </w:t>
      </w:r>
      <w:r>
        <w:rPr>
          <w:color w:val="221F1F"/>
        </w:rPr>
        <w:t>for</w:t>
      </w:r>
      <w:r>
        <w:rPr>
          <w:color w:val="221F1F"/>
          <w:spacing w:val="-2"/>
        </w:rPr>
        <w:t xml:space="preserve"> </w:t>
      </w:r>
      <w:r>
        <w:rPr>
          <w:color w:val="221F1F"/>
        </w:rPr>
        <w:t>and</w:t>
      </w:r>
      <w:r>
        <w:rPr>
          <w:color w:val="221F1F"/>
          <w:spacing w:val="-3"/>
        </w:rPr>
        <w:t xml:space="preserve"> </w:t>
      </w:r>
      <w:r>
        <w:rPr>
          <w:color w:val="221F1F"/>
        </w:rPr>
        <w:t>on</w:t>
      </w:r>
      <w:r>
        <w:rPr>
          <w:color w:val="221F1F"/>
          <w:spacing w:val="-2"/>
        </w:rPr>
        <w:t xml:space="preserve"> </w:t>
      </w:r>
      <w:r>
        <w:rPr>
          <w:color w:val="221F1F"/>
        </w:rPr>
        <w:t>behalf</w:t>
      </w:r>
      <w:r>
        <w:rPr>
          <w:color w:val="221F1F"/>
          <w:spacing w:val="-2"/>
        </w:rPr>
        <w:t xml:space="preserve"> </w:t>
      </w:r>
      <w:r>
        <w:rPr>
          <w:color w:val="221F1F"/>
        </w:rPr>
        <w:t>of:</w:t>
      </w:r>
      <w:r>
        <w:rPr>
          <w:color w:val="221F1F"/>
          <w:spacing w:val="-4"/>
        </w:rPr>
        <w:t xml:space="preserve"> </w:t>
      </w:r>
      <w:r>
        <w:rPr>
          <w:i/>
          <w:color w:val="221F1F"/>
        </w:rPr>
        <w:t>[insert</w:t>
      </w:r>
      <w:r>
        <w:rPr>
          <w:i/>
          <w:color w:val="221F1F"/>
          <w:spacing w:val="-3"/>
        </w:rPr>
        <w:t xml:space="preserve"> </w:t>
      </w:r>
      <w:r>
        <w:rPr>
          <w:i/>
          <w:color w:val="221F1F"/>
        </w:rPr>
        <w:t>complete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1"/>
        </w:rPr>
        <w:t xml:space="preserve"> </w:t>
      </w:r>
      <w:r>
        <w:rPr>
          <w:i/>
          <w:color w:val="221F1F"/>
          <w:spacing w:val="-2"/>
        </w:rPr>
        <w:t>Tenderer]</w:t>
      </w:r>
    </w:p>
    <w:p w:rsidR="007F6DF9" w:rsidRDefault="007F6DF9">
      <w:pPr>
        <w:pStyle w:val="BodyText"/>
        <w:spacing w:before="221"/>
        <w:rPr>
          <w:i/>
        </w:rPr>
      </w:pPr>
    </w:p>
    <w:p w:rsidR="007F6DF9" w:rsidRDefault="00A43FBC">
      <w:pPr>
        <w:tabs>
          <w:tab w:val="left" w:leader="dot" w:pos="5687"/>
        </w:tabs>
        <w:ind w:left="754"/>
      </w:pPr>
      <w:r>
        <w:rPr>
          <w:color w:val="221F1F"/>
        </w:rPr>
        <w:t>Dated</w:t>
      </w:r>
      <w:r>
        <w:rPr>
          <w:color w:val="221F1F"/>
          <w:spacing w:val="-5"/>
        </w:rPr>
        <w:t xml:space="preserve"> </w:t>
      </w:r>
      <w:r>
        <w:rPr>
          <w:color w:val="221F1F"/>
        </w:rPr>
        <w:t>on</w:t>
      </w:r>
      <w:r>
        <w:rPr>
          <w:color w:val="221F1F"/>
          <w:spacing w:val="-4"/>
        </w:rPr>
        <w:t xml:space="preserve"> </w:t>
      </w:r>
      <w:r>
        <w:rPr>
          <w:color w:val="221F1F"/>
        </w:rPr>
        <w:t>………………….</w:t>
      </w:r>
      <w:r>
        <w:rPr>
          <w:color w:val="221F1F"/>
          <w:spacing w:val="-2"/>
        </w:rPr>
        <w:t xml:space="preserve"> </w:t>
      </w:r>
      <w:r>
        <w:rPr>
          <w:color w:val="221F1F"/>
        </w:rPr>
        <w:t>day</w:t>
      </w:r>
      <w:r>
        <w:rPr>
          <w:color w:val="221F1F"/>
          <w:spacing w:val="-2"/>
        </w:rPr>
        <w:t xml:space="preserve"> </w:t>
      </w:r>
      <w:r>
        <w:rPr>
          <w:color w:val="221F1F"/>
        </w:rPr>
        <w:t>of</w:t>
      </w:r>
      <w:r>
        <w:rPr>
          <w:color w:val="221F1F"/>
          <w:spacing w:val="-2"/>
        </w:rPr>
        <w:t xml:space="preserve"> …………….,</w:t>
      </w:r>
      <w:r>
        <w:rPr>
          <w:color w:val="221F1F"/>
        </w:rPr>
        <w:tab/>
      </w:r>
      <w:r>
        <w:rPr>
          <w:i/>
          <w:color w:val="221F1F"/>
        </w:rPr>
        <w:t>[Insert</w:t>
      </w:r>
      <w:r>
        <w:rPr>
          <w:i/>
          <w:color w:val="221F1F"/>
          <w:spacing w:val="-5"/>
        </w:rPr>
        <w:t xml:space="preserve"> </w:t>
      </w:r>
      <w:r>
        <w:rPr>
          <w:i/>
          <w:color w:val="221F1F"/>
        </w:rPr>
        <w:t>date</w:t>
      </w:r>
      <w:r>
        <w:rPr>
          <w:i/>
          <w:color w:val="221F1F"/>
          <w:spacing w:val="-3"/>
        </w:rPr>
        <w:t xml:space="preserve"> </w:t>
      </w:r>
      <w:r>
        <w:rPr>
          <w:i/>
          <w:color w:val="221F1F"/>
        </w:rPr>
        <w:t>of</w:t>
      </w:r>
      <w:r>
        <w:rPr>
          <w:i/>
          <w:color w:val="221F1F"/>
          <w:spacing w:val="-2"/>
        </w:rPr>
        <w:t xml:space="preserve"> </w:t>
      </w:r>
      <w:r>
        <w:rPr>
          <w:i/>
          <w:color w:val="221F1F"/>
        </w:rPr>
        <w:t>signing]</w:t>
      </w:r>
      <w:r>
        <w:rPr>
          <w:i/>
          <w:color w:val="221F1F"/>
          <w:spacing w:val="-3"/>
        </w:rPr>
        <w:t xml:space="preserve"> </w:t>
      </w:r>
      <w:r>
        <w:rPr>
          <w:color w:val="221F1F"/>
        </w:rPr>
        <w:t>Seal</w:t>
      </w:r>
      <w:r>
        <w:rPr>
          <w:color w:val="221F1F"/>
          <w:spacing w:val="-2"/>
        </w:rPr>
        <w:t xml:space="preserve"> </w:t>
      </w:r>
      <w:proofErr w:type="spellStart"/>
      <w:r>
        <w:rPr>
          <w:color w:val="221F1F"/>
          <w:spacing w:val="-2"/>
        </w:rPr>
        <w:t>orstamp</w:t>
      </w:r>
      <w:proofErr w:type="spellEnd"/>
    </w:p>
    <w:p w:rsidR="007F6DF9" w:rsidRDefault="007F6DF9">
      <w:pPr>
        <w:sectPr w:rsidR="007F6DF9">
          <w:pgSz w:w="11920" w:h="16850"/>
          <w:pgMar w:top="360" w:right="283" w:bottom="620" w:left="141" w:header="0" w:footer="437" w:gutter="0"/>
          <w:cols w:space="720"/>
        </w:sectPr>
      </w:pPr>
    </w:p>
    <w:p w:rsidR="007F6DF9" w:rsidRDefault="007F6DF9">
      <w:pPr>
        <w:pStyle w:val="BodyText"/>
        <w:spacing w:before="189"/>
        <w:rPr>
          <w:sz w:val="24"/>
        </w:rPr>
      </w:pPr>
    </w:p>
    <w:p w:rsidR="007F6DF9" w:rsidRDefault="00A43FBC">
      <w:pPr>
        <w:pStyle w:val="Heading7"/>
        <w:ind w:left="1136"/>
      </w:pPr>
      <w:r>
        <w:rPr>
          <w:color w:val="221F1F"/>
        </w:rPr>
        <w:t xml:space="preserve">Appendix </w:t>
      </w:r>
      <w:proofErr w:type="spellStart"/>
      <w:r>
        <w:rPr>
          <w:color w:val="221F1F"/>
          <w:spacing w:val="-2"/>
        </w:rPr>
        <w:t>toTender</w:t>
      </w:r>
      <w:proofErr w:type="spellEnd"/>
    </w:p>
    <w:p w:rsidR="007F6DF9" w:rsidRDefault="00A43FBC">
      <w:pPr>
        <w:pStyle w:val="Heading9"/>
        <w:spacing w:before="235"/>
        <w:ind w:left="708" w:firstLine="0"/>
      </w:pPr>
      <w:r>
        <w:rPr>
          <w:color w:val="221F1F"/>
        </w:rPr>
        <w:t>Schedule</w:t>
      </w:r>
      <w:r>
        <w:rPr>
          <w:color w:val="221F1F"/>
          <w:spacing w:val="-4"/>
        </w:rPr>
        <w:t xml:space="preserve"> </w:t>
      </w:r>
      <w:r>
        <w:rPr>
          <w:color w:val="221F1F"/>
        </w:rPr>
        <w:t>of</w:t>
      </w:r>
      <w:r>
        <w:rPr>
          <w:color w:val="221F1F"/>
          <w:spacing w:val="-3"/>
        </w:rPr>
        <w:t xml:space="preserve"> </w:t>
      </w:r>
      <w:r>
        <w:rPr>
          <w:color w:val="221F1F"/>
        </w:rPr>
        <w:t>Currency</w:t>
      </w:r>
      <w:r>
        <w:rPr>
          <w:color w:val="221F1F"/>
          <w:spacing w:val="-3"/>
        </w:rPr>
        <w:t xml:space="preserve"> </w:t>
      </w:r>
      <w:r>
        <w:rPr>
          <w:color w:val="221F1F"/>
          <w:spacing w:val="-2"/>
        </w:rPr>
        <w:t>requirements</w:t>
      </w:r>
    </w:p>
    <w:p w:rsidR="007F6DF9" w:rsidRDefault="00A43FBC">
      <w:pPr>
        <w:tabs>
          <w:tab w:val="left" w:pos="7540"/>
        </w:tabs>
        <w:spacing w:before="237"/>
        <w:ind w:left="708"/>
        <w:rPr>
          <w:i/>
        </w:rPr>
      </w:pPr>
      <w:r>
        <w:rPr>
          <w:color w:val="221F1F"/>
        </w:rPr>
        <w:t>Summary</w:t>
      </w:r>
      <w:r>
        <w:rPr>
          <w:color w:val="221F1F"/>
          <w:spacing w:val="-8"/>
        </w:rPr>
        <w:t xml:space="preserve"> </w:t>
      </w:r>
      <w:r>
        <w:rPr>
          <w:color w:val="221F1F"/>
        </w:rPr>
        <w:t>of</w:t>
      </w:r>
      <w:r>
        <w:rPr>
          <w:color w:val="221F1F"/>
          <w:spacing w:val="-8"/>
        </w:rPr>
        <w:t xml:space="preserve"> </w:t>
      </w:r>
      <w:r>
        <w:rPr>
          <w:color w:val="221F1F"/>
        </w:rPr>
        <w:t>currencies</w:t>
      </w:r>
      <w:r>
        <w:rPr>
          <w:color w:val="221F1F"/>
          <w:spacing w:val="-6"/>
        </w:rPr>
        <w:t xml:space="preserve"> </w:t>
      </w:r>
      <w:r>
        <w:rPr>
          <w:color w:val="221F1F"/>
        </w:rPr>
        <w:t>of</w:t>
      </w:r>
      <w:r>
        <w:rPr>
          <w:color w:val="221F1F"/>
          <w:spacing w:val="-7"/>
        </w:rPr>
        <w:t xml:space="preserve"> </w:t>
      </w:r>
      <w:proofErr w:type="spellStart"/>
      <w:r>
        <w:rPr>
          <w:color w:val="221F1F"/>
        </w:rPr>
        <w:t>theTender</w:t>
      </w:r>
      <w:proofErr w:type="spellEnd"/>
      <w:r>
        <w:rPr>
          <w:color w:val="221F1F"/>
          <w:spacing w:val="-9"/>
        </w:rPr>
        <w:t xml:space="preserve"> </w:t>
      </w:r>
      <w:r>
        <w:rPr>
          <w:color w:val="221F1F"/>
          <w:spacing w:val="-5"/>
        </w:rPr>
        <w:t>for</w:t>
      </w:r>
      <w:r>
        <w:rPr>
          <w:i/>
          <w:color w:val="221F1F"/>
          <w:u w:val="single" w:color="211E1F"/>
        </w:rPr>
        <w:tab/>
      </w:r>
      <w:r>
        <w:rPr>
          <w:i/>
          <w:color w:val="221F1F"/>
        </w:rPr>
        <w:t>[insert</w:t>
      </w:r>
      <w:r>
        <w:rPr>
          <w:i/>
          <w:color w:val="221F1F"/>
          <w:spacing w:val="-4"/>
        </w:rPr>
        <w:t xml:space="preserve"> </w:t>
      </w:r>
      <w:r>
        <w:rPr>
          <w:i/>
          <w:color w:val="221F1F"/>
        </w:rPr>
        <w:t>name</w:t>
      </w:r>
      <w:r>
        <w:rPr>
          <w:i/>
          <w:color w:val="221F1F"/>
          <w:spacing w:val="-3"/>
        </w:rPr>
        <w:t xml:space="preserve"> </w:t>
      </w:r>
      <w:r>
        <w:rPr>
          <w:i/>
          <w:color w:val="221F1F"/>
        </w:rPr>
        <w:t>of</w:t>
      </w:r>
      <w:r>
        <w:rPr>
          <w:i/>
          <w:color w:val="221F1F"/>
          <w:spacing w:val="-1"/>
        </w:rPr>
        <w:t xml:space="preserve"> </w:t>
      </w:r>
      <w:r>
        <w:rPr>
          <w:i/>
          <w:color w:val="221F1F"/>
        </w:rPr>
        <w:t>Section</w:t>
      </w:r>
      <w:r>
        <w:rPr>
          <w:i/>
          <w:color w:val="221F1F"/>
          <w:spacing w:val="-3"/>
        </w:rPr>
        <w:t xml:space="preserve"> </w:t>
      </w:r>
      <w:r>
        <w:rPr>
          <w:i/>
          <w:color w:val="221F1F"/>
        </w:rPr>
        <w:t>of</w:t>
      </w:r>
      <w:r>
        <w:rPr>
          <w:i/>
          <w:color w:val="221F1F"/>
          <w:spacing w:val="-2"/>
        </w:rPr>
        <w:t xml:space="preserve"> </w:t>
      </w:r>
      <w:r>
        <w:rPr>
          <w:i/>
          <w:color w:val="221F1F"/>
        </w:rPr>
        <w:t xml:space="preserve">the </w:t>
      </w:r>
      <w:r>
        <w:rPr>
          <w:i/>
          <w:color w:val="221F1F"/>
          <w:spacing w:val="-2"/>
        </w:rPr>
        <w:t>Works]</w:t>
      </w:r>
    </w:p>
    <w:p w:rsidR="007F6DF9" w:rsidRDefault="007F6DF9">
      <w:pPr>
        <w:pStyle w:val="BodyText"/>
        <w:rPr>
          <w:i/>
          <w:sz w:val="20"/>
        </w:rPr>
      </w:pPr>
    </w:p>
    <w:p w:rsidR="007F6DF9" w:rsidRDefault="007F6DF9">
      <w:pPr>
        <w:pStyle w:val="BodyText"/>
        <w:spacing w:before="25"/>
        <w:rPr>
          <w:i/>
          <w:sz w:val="20"/>
        </w:rPr>
      </w:pPr>
    </w:p>
    <w:tbl>
      <w:tblPr>
        <w:tblW w:w="0" w:type="auto"/>
        <w:tblInd w:w="7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4681"/>
        <w:gridCol w:w="4321"/>
      </w:tblGrid>
      <w:tr w:rsidR="007F6DF9">
        <w:trPr>
          <w:trHeight w:val="253"/>
        </w:trPr>
        <w:tc>
          <w:tcPr>
            <w:tcW w:w="4681" w:type="dxa"/>
            <w:tcBorders>
              <w:bottom w:val="single" w:sz="6" w:space="0" w:color="000000"/>
              <w:right w:val="single" w:sz="6" w:space="0" w:color="000000"/>
            </w:tcBorders>
          </w:tcPr>
          <w:p w:rsidR="007F6DF9" w:rsidRDefault="00A43FBC">
            <w:pPr>
              <w:pStyle w:val="TableParagraph"/>
              <w:spacing w:line="233" w:lineRule="exact"/>
              <w:ind w:left="90"/>
              <w:rPr>
                <w:rFonts w:ascii="Times New Roman"/>
                <w:i/>
              </w:rPr>
            </w:pPr>
            <w:r>
              <w:rPr>
                <w:rFonts w:ascii="Times New Roman"/>
                <w:i/>
              </w:rPr>
              <w:t>Name</w:t>
            </w:r>
            <w:r>
              <w:rPr>
                <w:rFonts w:ascii="Times New Roman"/>
                <w:i/>
                <w:spacing w:val="-2"/>
              </w:rPr>
              <w:t xml:space="preserve"> </w:t>
            </w:r>
            <w:r>
              <w:rPr>
                <w:rFonts w:ascii="Times New Roman"/>
                <w:i/>
              </w:rPr>
              <w:t xml:space="preserve">of </w:t>
            </w:r>
            <w:r>
              <w:rPr>
                <w:rFonts w:ascii="Times New Roman"/>
                <w:i/>
                <w:spacing w:val="-2"/>
              </w:rPr>
              <w:t>currency</w:t>
            </w:r>
          </w:p>
        </w:tc>
        <w:tc>
          <w:tcPr>
            <w:tcW w:w="4321" w:type="dxa"/>
            <w:tcBorders>
              <w:left w:val="single" w:sz="6" w:space="0" w:color="000000"/>
              <w:bottom w:val="single" w:sz="6" w:space="0" w:color="000000"/>
            </w:tcBorders>
          </w:tcPr>
          <w:p w:rsidR="007F6DF9" w:rsidRDefault="00A43FBC">
            <w:pPr>
              <w:pStyle w:val="TableParagraph"/>
              <w:spacing w:line="233" w:lineRule="exact"/>
              <w:ind w:left="105"/>
              <w:rPr>
                <w:rFonts w:ascii="Times New Roman"/>
                <w:i/>
              </w:rPr>
            </w:pPr>
            <w:r>
              <w:rPr>
                <w:rFonts w:ascii="Times New Roman"/>
                <w:i/>
              </w:rPr>
              <w:t>Amounts</w:t>
            </w:r>
            <w:r>
              <w:rPr>
                <w:rFonts w:ascii="Times New Roman"/>
                <w:i/>
                <w:spacing w:val="-2"/>
              </w:rPr>
              <w:t xml:space="preserve"> payable</w:t>
            </w:r>
          </w:p>
        </w:tc>
      </w:tr>
      <w:tr w:rsidR="007F6DF9">
        <w:trPr>
          <w:trHeight w:val="253"/>
        </w:trPr>
        <w:tc>
          <w:tcPr>
            <w:tcW w:w="4681" w:type="dxa"/>
            <w:tcBorders>
              <w:top w:val="single" w:sz="6" w:space="0" w:color="000000"/>
              <w:bottom w:val="single" w:sz="6" w:space="0" w:color="000000"/>
              <w:right w:val="single" w:sz="6" w:space="0" w:color="000000"/>
            </w:tcBorders>
          </w:tcPr>
          <w:p w:rsidR="007F6DF9" w:rsidRDefault="00A43FBC">
            <w:pPr>
              <w:pStyle w:val="TableParagraph"/>
              <w:tabs>
                <w:tab w:val="left" w:pos="4432"/>
              </w:tabs>
              <w:spacing w:line="234" w:lineRule="exact"/>
              <w:ind w:left="90"/>
              <w:rPr>
                <w:rFonts w:ascii="Times New Roman"/>
              </w:rPr>
            </w:pPr>
            <w:r>
              <w:rPr>
                <w:rFonts w:ascii="Times New Roman"/>
              </w:rPr>
              <w:t>Local currency:</w:t>
            </w:r>
            <w:r>
              <w:rPr>
                <w:rFonts w:ascii="Times New Roman"/>
                <w:spacing w:val="40"/>
              </w:rPr>
              <w:t xml:space="preserve"> </w:t>
            </w:r>
            <w:r>
              <w:rPr>
                <w:rFonts w:ascii="Times New Roman"/>
                <w:u w:val="single"/>
              </w:rPr>
              <w:tab/>
            </w:r>
          </w:p>
        </w:tc>
        <w:tc>
          <w:tcPr>
            <w:tcW w:w="4321" w:type="dxa"/>
            <w:tcBorders>
              <w:top w:val="single" w:sz="6" w:space="0" w:color="000000"/>
              <w:left w:val="single" w:sz="6" w:space="0" w:color="000000"/>
              <w:bottom w:val="single" w:sz="6" w:space="0" w:color="000000"/>
            </w:tcBorders>
          </w:tcPr>
          <w:p w:rsidR="007F6DF9" w:rsidRDefault="007F6DF9">
            <w:pPr>
              <w:pStyle w:val="TableParagraph"/>
              <w:rPr>
                <w:rFonts w:ascii="Times New Roman"/>
                <w:sz w:val="18"/>
              </w:rPr>
            </w:pPr>
          </w:p>
        </w:tc>
      </w:tr>
      <w:tr w:rsidR="007F6DF9">
        <w:trPr>
          <w:trHeight w:val="251"/>
        </w:trPr>
        <w:tc>
          <w:tcPr>
            <w:tcW w:w="4681" w:type="dxa"/>
            <w:tcBorders>
              <w:top w:val="single" w:sz="6" w:space="0" w:color="000000"/>
              <w:bottom w:val="single" w:sz="6" w:space="0" w:color="000000"/>
              <w:right w:val="single" w:sz="6" w:space="0" w:color="000000"/>
            </w:tcBorders>
          </w:tcPr>
          <w:p w:rsidR="007F6DF9" w:rsidRDefault="00A43FBC">
            <w:pPr>
              <w:pStyle w:val="TableParagraph"/>
              <w:tabs>
                <w:tab w:val="left" w:pos="4432"/>
              </w:tabs>
              <w:spacing w:line="231" w:lineRule="exact"/>
              <w:ind w:left="90"/>
              <w:rPr>
                <w:rFonts w:ascii="Times New Roman"/>
              </w:rPr>
            </w:pPr>
            <w:r>
              <w:rPr>
                <w:rFonts w:ascii="Times New Roman"/>
              </w:rPr>
              <w:t>Foreign currency #1:</w:t>
            </w:r>
            <w:r>
              <w:rPr>
                <w:rFonts w:ascii="Times New Roman"/>
                <w:spacing w:val="40"/>
              </w:rPr>
              <w:t xml:space="preserve"> </w:t>
            </w:r>
            <w:r>
              <w:rPr>
                <w:rFonts w:ascii="Times New Roman"/>
                <w:u w:val="single"/>
              </w:rPr>
              <w:tab/>
            </w:r>
          </w:p>
        </w:tc>
        <w:tc>
          <w:tcPr>
            <w:tcW w:w="4321" w:type="dxa"/>
            <w:tcBorders>
              <w:top w:val="single" w:sz="6" w:space="0" w:color="000000"/>
              <w:left w:val="single" w:sz="6" w:space="0" w:color="000000"/>
              <w:bottom w:val="single" w:sz="6" w:space="0" w:color="000000"/>
            </w:tcBorders>
          </w:tcPr>
          <w:p w:rsidR="007F6DF9" w:rsidRDefault="007F6DF9">
            <w:pPr>
              <w:pStyle w:val="TableParagraph"/>
              <w:rPr>
                <w:rFonts w:ascii="Times New Roman"/>
                <w:sz w:val="18"/>
              </w:rPr>
            </w:pPr>
          </w:p>
        </w:tc>
      </w:tr>
      <w:tr w:rsidR="007F6DF9">
        <w:trPr>
          <w:trHeight w:val="253"/>
        </w:trPr>
        <w:tc>
          <w:tcPr>
            <w:tcW w:w="4681" w:type="dxa"/>
            <w:tcBorders>
              <w:top w:val="single" w:sz="6" w:space="0" w:color="000000"/>
              <w:bottom w:val="single" w:sz="6" w:space="0" w:color="000000"/>
              <w:right w:val="single" w:sz="6" w:space="0" w:color="000000"/>
            </w:tcBorders>
          </w:tcPr>
          <w:p w:rsidR="007F6DF9" w:rsidRDefault="00A43FBC">
            <w:pPr>
              <w:pStyle w:val="TableParagraph"/>
              <w:tabs>
                <w:tab w:val="left" w:pos="4432"/>
              </w:tabs>
              <w:spacing w:line="233" w:lineRule="exact"/>
              <w:ind w:left="90"/>
              <w:rPr>
                <w:rFonts w:ascii="Times New Roman"/>
              </w:rPr>
            </w:pPr>
            <w:r>
              <w:rPr>
                <w:rFonts w:ascii="Times New Roman"/>
              </w:rPr>
              <w:t>Foreign currency #2:</w:t>
            </w:r>
            <w:r>
              <w:rPr>
                <w:rFonts w:ascii="Times New Roman"/>
                <w:spacing w:val="40"/>
              </w:rPr>
              <w:t xml:space="preserve"> </w:t>
            </w:r>
            <w:r>
              <w:rPr>
                <w:rFonts w:ascii="Times New Roman"/>
                <w:u w:val="single"/>
              </w:rPr>
              <w:tab/>
            </w:r>
          </w:p>
        </w:tc>
        <w:tc>
          <w:tcPr>
            <w:tcW w:w="4321" w:type="dxa"/>
            <w:tcBorders>
              <w:top w:val="single" w:sz="6" w:space="0" w:color="000000"/>
              <w:left w:val="single" w:sz="6" w:space="0" w:color="000000"/>
              <w:bottom w:val="single" w:sz="6" w:space="0" w:color="000000"/>
            </w:tcBorders>
          </w:tcPr>
          <w:p w:rsidR="007F6DF9" w:rsidRDefault="007F6DF9">
            <w:pPr>
              <w:pStyle w:val="TableParagraph"/>
              <w:rPr>
                <w:rFonts w:ascii="Times New Roman"/>
                <w:sz w:val="18"/>
              </w:rPr>
            </w:pPr>
          </w:p>
        </w:tc>
      </w:tr>
      <w:tr w:rsidR="007F6DF9">
        <w:trPr>
          <w:trHeight w:val="253"/>
        </w:trPr>
        <w:tc>
          <w:tcPr>
            <w:tcW w:w="4681" w:type="dxa"/>
            <w:tcBorders>
              <w:top w:val="single" w:sz="6" w:space="0" w:color="000000"/>
              <w:bottom w:val="single" w:sz="6" w:space="0" w:color="000000"/>
              <w:right w:val="single" w:sz="6" w:space="0" w:color="000000"/>
            </w:tcBorders>
          </w:tcPr>
          <w:p w:rsidR="007F6DF9" w:rsidRDefault="00A43FBC">
            <w:pPr>
              <w:pStyle w:val="TableParagraph"/>
              <w:tabs>
                <w:tab w:val="left" w:pos="4432"/>
              </w:tabs>
              <w:spacing w:line="234" w:lineRule="exact"/>
              <w:ind w:left="90"/>
              <w:rPr>
                <w:rFonts w:ascii="Times New Roman"/>
              </w:rPr>
            </w:pPr>
            <w:r>
              <w:rPr>
                <w:rFonts w:ascii="Times New Roman"/>
              </w:rPr>
              <w:t>Foreign currency #3:</w:t>
            </w:r>
            <w:r>
              <w:rPr>
                <w:rFonts w:ascii="Times New Roman"/>
                <w:spacing w:val="40"/>
              </w:rPr>
              <w:t xml:space="preserve"> </w:t>
            </w:r>
            <w:r>
              <w:rPr>
                <w:rFonts w:ascii="Times New Roman"/>
                <w:u w:val="single"/>
              </w:rPr>
              <w:tab/>
            </w:r>
          </w:p>
        </w:tc>
        <w:tc>
          <w:tcPr>
            <w:tcW w:w="4321" w:type="dxa"/>
            <w:tcBorders>
              <w:top w:val="single" w:sz="6" w:space="0" w:color="000000"/>
              <w:left w:val="single" w:sz="6" w:space="0" w:color="000000"/>
              <w:bottom w:val="single" w:sz="6" w:space="0" w:color="000000"/>
            </w:tcBorders>
          </w:tcPr>
          <w:p w:rsidR="007F6DF9" w:rsidRDefault="007F6DF9">
            <w:pPr>
              <w:pStyle w:val="TableParagraph"/>
              <w:rPr>
                <w:rFonts w:ascii="Times New Roman"/>
                <w:sz w:val="18"/>
              </w:rPr>
            </w:pPr>
          </w:p>
        </w:tc>
      </w:tr>
      <w:tr w:rsidR="007F6DF9">
        <w:trPr>
          <w:trHeight w:val="484"/>
        </w:trPr>
        <w:tc>
          <w:tcPr>
            <w:tcW w:w="4681" w:type="dxa"/>
            <w:tcBorders>
              <w:top w:val="single" w:sz="6" w:space="0" w:color="000000"/>
              <w:bottom w:val="thickThinMediumGap" w:sz="3" w:space="0" w:color="000000"/>
              <w:right w:val="single" w:sz="6" w:space="0" w:color="000000"/>
            </w:tcBorders>
          </w:tcPr>
          <w:p w:rsidR="007F6DF9" w:rsidRDefault="00A43FBC">
            <w:pPr>
              <w:pStyle w:val="TableParagraph"/>
              <w:spacing w:line="251" w:lineRule="exact"/>
              <w:ind w:left="90"/>
              <w:rPr>
                <w:rFonts w:ascii="Times New Roman"/>
              </w:rPr>
            </w:pPr>
            <w:r>
              <w:rPr>
                <w:rFonts w:ascii="Times New Roman"/>
              </w:rPr>
              <w:t>Provisional</w:t>
            </w:r>
            <w:r>
              <w:rPr>
                <w:rFonts w:ascii="Times New Roman"/>
                <w:spacing w:val="-5"/>
              </w:rPr>
              <w:t xml:space="preserve"> </w:t>
            </w:r>
            <w:r>
              <w:rPr>
                <w:rFonts w:ascii="Times New Roman"/>
              </w:rPr>
              <w:t>sums</w:t>
            </w:r>
            <w:r>
              <w:rPr>
                <w:rFonts w:ascii="Times New Roman"/>
                <w:spacing w:val="-3"/>
              </w:rPr>
              <w:t xml:space="preserve"> </w:t>
            </w:r>
            <w:r>
              <w:rPr>
                <w:rFonts w:ascii="Times New Roman"/>
              </w:rPr>
              <w:t>expressed</w:t>
            </w:r>
            <w:r>
              <w:rPr>
                <w:rFonts w:ascii="Times New Roman"/>
                <w:spacing w:val="-6"/>
              </w:rPr>
              <w:t xml:space="preserve"> </w:t>
            </w:r>
            <w:r>
              <w:rPr>
                <w:rFonts w:ascii="Times New Roman"/>
              </w:rPr>
              <w:t>in</w:t>
            </w:r>
            <w:r>
              <w:rPr>
                <w:rFonts w:ascii="Times New Roman"/>
                <w:spacing w:val="-3"/>
              </w:rPr>
              <w:t xml:space="preserve"> </w:t>
            </w:r>
            <w:r>
              <w:rPr>
                <w:rFonts w:ascii="Times New Roman"/>
              </w:rPr>
              <w:t>local</w:t>
            </w:r>
            <w:r>
              <w:rPr>
                <w:rFonts w:ascii="Times New Roman"/>
                <w:spacing w:val="-2"/>
              </w:rPr>
              <w:t xml:space="preserve"> currency</w:t>
            </w:r>
          </w:p>
        </w:tc>
        <w:tc>
          <w:tcPr>
            <w:tcW w:w="4321" w:type="dxa"/>
            <w:tcBorders>
              <w:top w:val="single" w:sz="6" w:space="0" w:color="000000"/>
              <w:left w:val="single" w:sz="6" w:space="0" w:color="000000"/>
              <w:bottom w:val="single" w:sz="6" w:space="0" w:color="000000"/>
            </w:tcBorders>
          </w:tcPr>
          <w:p w:rsidR="007F6DF9" w:rsidRDefault="00A43FBC">
            <w:pPr>
              <w:pStyle w:val="TableParagraph"/>
              <w:spacing w:line="251" w:lineRule="exact"/>
              <w:ind w:left="105"/>
              <w:rPr>
                <w:rFonts w:ascii="Times New Roman"/>
              </w:rPr>
            </w:pPr>
            <w:r>
              <w:rPr>
                <w:rFonts w:ascii="Times New Roman"/>
              </w:rPr>
              <w:t>[</w:t>
            </w:r>
            <w:r>
              <w:rPr>
                <w:rFonts w:ascii="Times New Roman"/>
                <w:i/>
              </w:rPr>
              <w:t>To</w:t>
            </w:r>
            <w:r>
              <w:rPr>
                <w:rFonts w:ascii="Times New Roman"/>
                <w:i/>
                <w:spacing w:val="-1"/>
              </w:rPr>
              <w:t xml:space="preserve"> </w:t>
            </w:r>
            <w:r>
              <w:rPr>
                <w:rFonts w:ascii="Times New Roman"/>
                <w:i/>
              </w:rPr>
              <w:t>be</w:t>
            </w:r>
            <w:r>
              <w:rPr>
                <w:rFonts w:ascii="Times New Roman"/>
                <w:i/>
                <w:spacing w:val="-4"/>
              </w:rPr>
              <w:t xml:space="preserve"> </w:t>
            </w:r>
            <w:r>
              <w:rPr>
                <w:rFonts w:ascii="Times New Roman"/>
                <w:i/>
              </w:rPr>
              <w:t>entered</w:t>
            </w:r>
            <w:r>
              <w:rPr>
                <w:rFonts w:ascii="Times New Roman"/>
                <w:i/>
                <w:spacing w:val="-3"/>
              </w:rPr>
              <w:t xml:space="preserve"> </w:t>
            </w:r>
            <w:r>
              <w:rPr>
                <w:rFonts w:ascii="Times New Roman"/>
                <w:i/>
              </w:rPr>
              <w:t>by</w:t>
            </w:r>
            <w:r>
              <w:rPr>
                <w:rFonts w:ascii="Times New Roman"/>
                <w:i/>
                <w:spacing w:val="-3"/>
              </w:rPr>
              <w:t xml:space="preserve"> </w:t>
            </w:r>
            <w:r>
              <w:rPr>
                <w:rFonts w:ascii="Times New Roman"/>
                <w:i/>
              </w:rPr>
              <w:t>the</w:t>
            </w:r>
            <w:r>
              <w:rPr>
                <w:rFonts w:ascii="Times New Roman"/>
                <w:i/>
                <w:spacing w:val="-1"/>
              </w:rPr>
              <w:t xml:space="preserve"> </w:t>
            </w:r>
            <w:r>
              <w:rPr>
                <w:rFonts w:ascii="Times New Roman"/>
                <w:i/>
              </w:rPr>
              <w:t xml:space="preserve">Procuring </w:t>
            </w:r>
            <w:r>
              <w:rPr>
                <w:rFonts w:ascii="Times New Roman"/>
                <w:i/>
                <w:spacing w:val="-2"/>
              </w:rPr>
              <w:t>Entity</w:t>
            </w:r>
            <w:r>
              <w:rPr>
                <w:rFonts w:ascii="Times New Roman"/>
                <w:spacing w:val="-2"/>
              </w:rPr>
              <w:t>]</w:t>
            </w:r>
          </w:p>
        </w:tc>
      </w:tr>
    </w:tbl>
    <w:p w:rsidR="007F6DF9" w:rsidRDefault="007F6DF9">
      <w:pPr>
        <w:pStyle w:val="TableParagraph"/>
        <w:spacing w:line="251" w:lineRule="exact"/>
        <w:rPr>
          <w:rFonts w:ascii="Times New Roman"/>
        </w:rPr>
        <w:sectPr w:rsidR="007F6DF9">
          <w:pgSz w:w="11920" w:h="16850"/>
          <w:pgMar w:top="360" w:right="283" w:bottom="620" w:left="141" w:header="0" w:footer="437" w:gutter="0"/>
          <w:cols w:space="720"/>
        </w:sect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A43FBC">
      <w:pPr>
        <w:spacing w:line="20" w:lineRule="exact"/>
        <w:ind w:left="718"/>
        <w:rPr>
          <w:sz w:val="2"/>
        </w:rPr>
      </w:pPr>
      <w:r>
        <w:rPr>
          <w:noProof/>
          <w:sz w:val="2"/>
        </w:rPr>
        <mc:AlternateContent>
          <mc:Choice Requires="wpg">
            <w:drawing>
              <wp:inline distT="0" distB="0" distL="0" distR="0">
                <wp:extent cx="6477000" cy="50800"/>
                <wp:effectExtent l="28575" t="0" r="19050" b="635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50800"/>
                          <a:chOff x="0" y="0"/>
                          <a:chExt cx="6477000" cy="50800"/>
                        </a:xfrm>
                      </wpg:grpSpPr>
                      <wps:wsp>
                        <wps:cNvPr id="260" name="Graphic 255"/>
                        <wps:cNvSpPr/>
                        <wps:spPr>
                          <a:xfrm>
                            <a:off x="0" y="2540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w:pict>
              <v:group w14:anchorId="11E64DDA" id="Group 254" o:spid="_x0000_s1026" style="width:510pt;height:4pt;mso-position-horizontal-relative:char;mso-position-vertical-relative:line" coordsize="6477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">
                <v:shape id="Graphic 255" o:spid="_x0000_s1027" style="position:absolute;top:254;width:64770;height:12;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" path="m,l6477000,e" filled="f" strokecolor="#929497" strokeweight="4pt">
                  <v:path arrowok="t"/>
                </v:shape>
                <w10:anchorlock/>
              </v:group>
            </w:pict>
          </mc:Fallback>
        </mc:AlternateContent>
      </w:r>
    </w:p>
    <w:p w:rsidR="007F6DF9" w:rsidRDefault="007F6DF9">
      <w:pPr>
        <w:pStyle w:val="BodyText"/>
        <w:spacing w:before="40"/>
        <w:rPr>
          <w:i/>
          <w:sz w:val="48"/>
        </w:rPr>
      </w:pPr>
    </w:p>
    <w:p w:rsidR="007F6DF9" w:rsidRDefault="00A43FBC">
      <w:pPr>
        <w:pStyle w:val="Heading1"/>
        <w:ind w:left="151"/>
      </w:pPr>
      <w:r>
        <w:rPr>
          <w:color w:val="221F1F"/>
        </w:rPr>
        <w:t>PART</w:t>
      </w:r>
      <w:r>
        <w:rPr>
          <w:color w:val="221F1F"/>
          <w:spacing w:val="-32"/>
        </w:rPr>
        <w:t xml:space="preserve"> </w:t>
      </w:r>
      <w:r>
        <w:rPr>
          <w:color w:val="221F1F"/>
        </w:rPr>
        <w:t>II</w:t>
      </w:r>
      <w:r>
        <w:rPr>
          <w:color w:val="221F1F"/>
          <w:spacing w:val="46"/>
          <w:w w:val="150"/>
        </w:rPr>
        <w:t xml:space="preserve"> </w:t>
      </w:r>
      <w:r>
        <w:rPr>
          <w:color w:val="221F1F"/>
        </w:rPr>
        <w:t>-</w:t>
      </w:r>
      <w:r>
        <w:rPr>
          <w:color w:val="221F1F"/>
          <w:spacing w:val="-10"/>
        </w:rPr>
        <w:t xml:space="preserve"> </w:t>
      </w:r>
      <w:r>
        <w:rPr>
          <w:color w:val="221F1F"/>
        </w:rPr>
        <w:t>WORKS</w:t>
      </w:r>
      <w:r>
        <w:rPr>
          <w:color w:val="221F1F"/>
          <w:spacing w:val="-10"/>
        </w:rPr>
        <w:t xml:space="preserve"> </w:t>
      </w:r>
      <w:r>
        <w:rPr>
          <w:color w:val="221F1F"/>
          <w:spacing w:val="-2"/>
        </w:rPr>
        <w:t>REQUIREMENTS</w:t>
      </w:r>
    </w:p>
    <w:p w:rsidR="007F6DF9" w:rsidRDefault="007F6DF9">
      <w:pPr>
        <w:pStyle w:val="BodyText"/>
        <w:rPr>
          <w:b/>
          <w:sz w:val="20"/>
        </w:rPr>
      </w:pPr>
    </w:p>
    <w:p w:rsidR="007F6DF9" w:rsidRDefault="00A43FBC">
      <w:pPr>
        <w:pStyle w:val="BodyText"/>
        <w:spacing w:before="211"/>
        <w:rPr>
          <w:b/>
          <w:sz w:val="20"/>
        </w:rPr>
      </w:pPr>
      <w:r>
        <w:rPr>
          <w:b/>
          <w:noProof/>
          <w:sz w:val="20"/>
        </w:rPr>
        <mc:AlternateContent>
          <mc:Choice Requires="wps">
            <w:drawing>
              <wp:anchor distT="0" distB="0" distL="0" distR="0" simplePos="0" relativeHeight="251685376" behindDoc="1" locked="0" layoutInCell="1" allowOverlap="1">
                <wp:simplePos x="0" y="0"/>
                <wp:positionH relativeFrom="page">
                  <wp:posOffset>541655</wp:posOffset>
                </wp:positionH>
                <wp:positionV relativeFrom="paragraph">
                  <wp:posOffset>295854</wp:posOffset>
                </wp:positionV>
                <wp:extent cx="647700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70"/>
                        </a:xfrm>
                        <a:custGeom>
                          <a:avLst/>
                          <a:gdLst/>
                          <a:ahLst/>
                          <a:cxnLst/>
                          <a:rect l="l" t="t" r="r" b="b"/>
                          <a:pathLst>
                            <a:path w="6477000" h="635">
                              <a:moveTo>
                                <a:pt x="0" y="0"/>
                              </a:moveTo>
                              <a:lnTo>
                                <a:pt x="6477000" y="126"/>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34ECE722" id="Graphic 256" o:spid="_x0000_s1026" style="position:absolute;margin-left:42.65pt;margin-top:23.3pt;width:510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647700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" path="m,l6477000,126e" filled="f" strokecolor="#929497" strokeweight="4pt">
                <v:path arrowok="t"/>
                <w10:wrap type="topAndBottom" anchorx="page"/>
              </v:shape>
            </w:pict>
          </mc:Fallback>
        </mc:AlternateContent>
      </w:r>
    </w:p>
    <w:p w:rsidR="007F6DF9" w:rsidRDefault="007F6DF9">
      <w:pPr>
        <w:pStyle w:val="BodyText"/>
        <w:rPr>
          <w:b/>
          <w:sz w:val="20"/>
        </w:rPr>
        <w:sectPr w:rsidR="007F6DF9">
          <w:headerReference w:type="even" r:id="rId29"/>
          <w:footerReference w:type="even" r:id="rId30"/>
          <w:pgSz w:w="11920" w:h="16850"/>
          <w:pgMar w:top="1940" w:right="283" w:bottom="280" w:left="141" w:header="0" w:footer="0" w:gutter="0"/>
          <w:cols w:space="720"/>
        </w:sectPr>
      </w:pPr>
    </w:p>
    <w:p w:rsidR="007F6DF9" w:rsidRDefault="007F6DF9">
      <w:pPr>
        <w:pStyle w:val="BodyText"/>
        <w:spacing w:before="4"/>
        <w:rPr>
          <w:b/>
          <w:sz w:val="17"/>
        </w:rPr>
      </w:pPr>
    </w:p>
    <w:p w:rsidR="007F6DF9" w:rsidRDefault="007F6DF9">
      <w:pPr>
        <w:pStyle w:val="BodyText"/>
        <w:rPr>
          <w:b/>
          <w:sz w:val="17"/>
        </w:rPr>
        <w:sectPr w:rsidR="007F6DF9">
          <w:headerReference w:type="default" r:id="rId31"/>
          <w:footerReference w:type="default" r:id="rId32"/>
          <w:pgSz w:w="11920" w:h="16850"/>
          <w:pgMar w:top="1940" w:right="283" w:bottom="280" w:left="141" w:header="0" w:footer="0" w:gutter="0"/>
          <w:cols w:space="720"/>
        </w:sectPr>
      </w:pPr>
    </w:p>
    <w:p w:rsidR="007F6DF9" w:rsidRDefault="007F6DF9">
      <w:pPr>
        <w:pStyle w:val="BodyText"/>
        <w:spacing w:before="208"/>
        <w:rPr>
          <w:b/>
          <w:sz w:val="24"/>
        </w:rPr>
      </w:pPr>
    </w:p>
    <w:p w:rsidR="007F6DF9" w:rsidRDefault="00A43FBC">
      <w:pPr>
        <w:pStyle w:val="Heading6"/>
      </w:pPr>
      <w:r>
        <w:rPr>
          <w:color w:val="221F1F"/>
        </w:rPr>
        <w:t>SECTION</w:t>
      </w:r>
      <w:r>
        <w:rPr>
          <w:color w:val="221F1F"/>
          <w:spacing w:val="-1"/>
        </w:rPr>
        <w:t xml:space="preserve"> </w:t>
      </w:r>
      <w:r>
        <w:rPr>
          <w:color w:val="221F1F"/>
        </w:rPr>
        <w:t>V -</w:t>
      </w:r>
      <w:r>
        <w:rPr>
          <w:color w:val="221F1F"/>
          <w:spacing w:val="-2"/>
        </w:rPr>
        <w:t xml:space="preserve"> </w:t>
      </w:r>
      <w:r>
        <w:rPr>
          <w:color w:val="221F1F"/>
        </w:rPr>
        <w:t>BILLS</w:t>
      </w:r>
      <w:r>
        <w:rPr>
          <w:color w:val="221F1F"/>
          <w:spacing w:val="-2"/>
        </w:rPr>
        <w:t xml:space="preserve"> </w:t>
      </w:r>
      <w:r>
        <w:rPr>
          <w:color w:val="221F1F"/>
        </w:rPr>
        <w:t xml:space="preserve">OF </w:t>
      </w:r>
      <w:r>
        <w:rPr>
          <w:color w:val="221F1F"/>
          <w:spacing w:val="-2"/>
        </w:rPr>
        <w:t>QUANTITIES</w:t>
      </w:r>
    </w:p>
    <w:p w:rsidR="007F6DF9" w:rsidRDefault="00A43FBC">
      <w:pPr>
        <w:pStyle w:val="Heading9"/>
        <w:numPr>
          <w:ilvl w:val="0"/>
          <w:numId w:val="130"/>
        </w:numPr>
        <w:tabs>
          <w:tab w:val="left" w:pos="1150"/>
        </w:tabs>
        <w:spacing w:before="235"/>
        <w:ind w:hanging="439"/>
      </w:pPr>
      <w:r>
        <w:rPr>
          <w:color w:val="221F1F"/>
        </w:rPr>
        <w:t>Notes</w:t>
      </w:r>
      <w:r>
        <w:rPr>
          <w:color w:val="221F1F"/>
          <w:spacing w:val="-2"/>
        </w:rPr>
        <w:t xml:space="preserve"> </w:t>
      </w:r>
      <w:r>
        <w:rPr>
          <w:color w:val="221F1F"/>
        </w:rPr>
        <w:t>and</w:t>
      </w:r>
      <w:r>
        <w:rPr>
          <w:color w:val="221F1F"/>
          <w:spacing w:val="-3"/>
        </w:rPr>
        <w:t xml:space="preserve"> </w:t>
      </w:r>
      <w:r>
        <w:rPr>
          <w:color w:val="221F1F"/>
        </w:rPr>
        <w:t>Sample</w:t>
      </w:r>
      <w:r>
        <w:rPr>
          <w:color w:val="221F1F"/>
          <w:spacing w:val="-2"/>
        </w:rPr>
        <w:t xml:space="preserve"> </w:t>
      </w:r>
      <w:r>
        <w:rPr>
          <w:color w:val="221F1F"/>
        </w:rPr>
        <w:t>Items</w:t>
      </w:r>
      <w:r>
        <w:rPr>
          <w:color w:val="221F1F"/>
          <w:spacing w:val="-4"/>
        </w:rPr>
        <w:t xml:space="preserve"> </w:t>
      </w:r>
      <w:r>
        <w:rPr>
          <w:color w:val="221F1F"/>
        </w:rPr>
        <w:t>for</w:t>
      </w:r>
      <w:r>
        <w:rPr>
          <w:color w:val="221F1F"/>
          <w:spacing w:val="-2"/>
        </w:rPr>
        <w:t xml:space="preserve"> </w:t>
      </w:r>
      <w:r>
        <w:rPr>
          <w:color w:val="221F1F"/>
        </w:rPr>
        <w:t>Preparing</w:t>
      </w:r>
      <w:r>
        <w:rPr>
          <w:color w:val="221F1F"/>
          <w:spacing w:val="-5"/>
        </w:rPr>
        <w:t xml:space="preserve"> </w:t>
      </w:r>
      <w:r>
        <w:rPr>
          <w:color w:val="221F1F"/>
        </w:rPr>
        <w:t>a</w:t>
      </w:r>
      <w:r>
        <w:rPr>
          <w:color w:val="221F1F"/>
          <w:spacing w:val="-3"/>
        </w:rPr>
        <w:t xml:space="preserve"> </w:t>
      </w:r>
      <w:r>
        <w:rPr>
          <w:color w:val="221F1F"/>
        </w:rPr>
        <w:t>Bill</w:t>
      </w:r>
      <w:r>
        <w:rPr>
          <w:color w:val="221F1F"/>
          <w:spacing w:val="-1"/>
        </w:rPr>
        <w:t xml:space="preserve"> </w:t>
      </w:r>
      <w:r>
        <w:rPr>
          <w:color w:val="221F1F"/>
        </w:rPr>
        <w:t>of</w:t>
      </w:r>
      <w:r>
        <w:rPr>
          <w:color w:val="221F1F"/>
          <w:spacing w:val="-4"/>
        </w:rPr>
        <w:t xml:space="preserve"> </w:t>
      </w:r>
      <w:r>
        <w:rPr>
          <w:color w:val="221F1F"/>
          <w:spacing w:val="-2"/>
        </w:rPr>
        <w:t>Quantities</w:t>
      </w:r>
    </w:p>
    <w:p w:rsidR="007F6DF9" w:rsidRDefault="00A43FBC">
      <w:pPr>
        <w:pStyle w:val="ListParagraph"/>
        <w:numPr>
          <w:ilvl w:val="1"/>
          <w:numId w:val="130"/>
        </w:numPr>
        <w:tabs>
          <w:tab w:val="left" w:pos="1150"/>
        </w:tabs>
        <w:spacing w:before="243" w:line="230" w:lineRule="auto"/>
        <w:ind w:right="566"/>
        <w:jc w:val="both"/>
      </w:pPr>
      <w:r>
        <w:rPr>
          <w:color w:val="221F1F"/>
        </w:rPr>
        <w:t xml:space="preserve">These Notes for Preparing a Bill of Quantities are intended only as information for the Procuring Entity or the person drafting the Tender Documents. Priced Bills of Quantities shall be part and parcel of the Contract </w:t>
      </w:r>
      <w:r>
        <w:rPr>
          <w:color w:val="221F1F"/>
          <w:spacing w:val="-2"/>
        </w:rPr>
        <w:t>Documents.</w:t>
      </w:r>
    </w:p>
    <w:p w:rsidR="007F6DF9" w:rsidRDefault="00A43FBC">
      <w:pPr>
        <w:pStyle w:val="ListParagraph"/>
        <w:numPr>
          <w:ilvl w:val="1"/>
          <w:numId w:val="130"/>
        </w:numPr>
        <w:tabs>
          <w:tab w:val="left" w:pos="1150"/>
        </w:tabs>
        <w:spacing w:before="246" w:line="230" w:lineRule="auto"/>
        <w:ind w:right="551"/>
        <w:jc w:val="both"/>
      </w:pPr>
      <w:r>
        <w:rPr>
          <w:color w:val="221F1F"/>
        </w:rPr>
        <w:t>The</w:t>
      </w:r>
      <w:r>
        <w:rPr>
          <w:color w:val="221F1F"/>
          <w:spacing w:val="-3"/>
        </w:rPr>
        <w:t xml:space="preserve"> </w:t>
      </w:r>
      <w:r>
        <w:rPr>
          <w:color w:val="221F1F"/>
        </w:rPr>
        <w:t>objectives</w:t>
      </w:r>
      <w:r>
        <w:rPr>
          <w:color w:val="221F1F"/>
          <w:spacing w:val="-5"/>
        </w:rPr>
        <w:t xml:space="preserve"> </w:t>
      </w:r>
      <w:r>
        <w:rPr>
          <w:color w:val="221F1F"/>
        </w:rPr>
        <w:t>and</w:t>
      </w:r>
      <w:r>
        <w:rPr>
          <w:color w:val="221F1F"/>
          <w:spacing w:val="-5"/>
        </w:rPr>
        <w:t xml:space="preserve"> </w:t>
      </w:r>
      <w:r>
        <w:rPr>
          <w:color w:val="221F1F"/>
        </w:rPr>
        <w:t>purpose</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Bills</w:t>
      </w:r>
      <w:r>
        <w:rPr>
          <w:color w:val="221F1F"/>
          <w:spacing w:val="-3"/>
        </w:rPr>
        <w:t xml:space="preserve"> </w:t>
      </w:r>
      <w:r>
        <w:rPr>
          <w:color w:val="221F1F"/>
        </w:rPr>
        <w:t>of</w:t>
      </w:r>
      <w:r>
        <w:rPr>
          <w:color w:val="221F1F"/>
          <w:spacing w:val="-3"/>
        </w:rPr>
        <w:t xml:space="preserve"> </w:t>
      </w:r>
      <w:r>
        <w:rPr>
          <w:color w:val="221F1F"/>
        </w:rPr>
        <w:t>Quantities</w:t>
      </w:r>
      <w:r>
        <w:rPr>
          <w:color w:val="221F1F"/>
          <w:spacing w:val="-5"/>
        </w:rPr>
        <w:t xml:space="preserve"> </w:t>
      </w:r>
      <w:r>
        <w:rPr>
          <w:color w:val="221F1F"/>
        </w:rPr>
        <w:t>are</w:t>
      </w:r>
      <w:r>
        <w:rPr>
          <w:color w:val="221F1F"/>
          <w:spacing w:val="-3"/>
        </w:rPr>
        <w:t xml:space="preserve"> </w:t>
      </w:r>
      <w:r>
        <w:rPr>
          <w:color w:val="221F1F"/>
        </w:rPr>
        <w:t>to</w:t>
      </w:r>
      <w:r>
        <w:rPr>
          <w:color w:val="221F1F"/>
          <w:spacing w:val="-6"/>
        </w:rPr>
        <w:t xml:space="preserve"> </w:t>
      </w:r>
      <w:r>
        <w:rPr>
          <w:color w:val="221F1F"/>
        </w:rPr>
        <w:t>provide</w:t>
      </w:r>
      <w:r>
        <w:rPr>
          <w:color w:val="221F1F"/>
          <w:spacing w:val="-5"/>
        </w:rPr>
        <w:t xml:space="preserve"> </w:t>
      </w:r>
      <w:r>
        <w:rPr>
          <w:color w:val="221F1F"/>
        </w:rPr>
        <w:t>sufficient</w:t>
      </w:r>
      <w:r>
        <w:rPr>
          <w:color w:val="221F1F"/>
          <w:spacing w:val="-5"/>
        </w:rPr>
        <w:t xml:space="preserve"> </w:t>
      </w:r>
      <w:r>
        <w:rPr>
          <w:color w:val="221F1F"/>
        </w:rPr>
        <w:t>information</w:t>
      </w:r>
      <w:r>
        <w:rPr>
          <w:color w:val="221F1F"/>
          <w:spacing w:val="-6"/>
        </w:rPr>
        <w:t xml:space="preserve"> </w:t>
      </w:r>
      <w:r>
        <w:rPr>
          <w:color w:val="221F1F"/>
        </w:rPr>
        <w:t>on</w:t>
      </w:r>
      <w:r>
        <w:rPr>
          <w:color w:val="221F1F"/>
          <w:spacing w:val="-6"/>
        </w:rPr>
        <w:t xml:space="preserve"> </w:t>
      </w:r>
      <w:r>
        <w:rPr>
          <w:color w:val="221F1F"/>
        </w:rPr>
        <w:t>the specifications, descriptions</w:t>
      </w:r>
      <w:r>
        <w:rPr>
          <w:color w:val="221F1F"/>
          <w:spacing w:val="-5"/>
        </w:rPr>
        <w:t xml:space="preserve"> </w:t>
      </w:r>
      <w:r>
        <w:rPr>
          <w:color w:val="221F1F"/>
        </w:rPr>
        <w:t>and</w:t>
      </w:r>
      <w:r>
        <w:rPr>
          <w:color w:val="221F1F"/>
          <w:spacing w:val="-5"/>
        </w:rPr>
        <w:t xml:space="preserve"> </w:t>
      </w:r>
      <w:r>
        <w:rPr>
          <w:color w:val="221F1F"/>
        </w:rPr>
        <w:t>quantities</w:t>
      </w:r>
      <w:r>
        <w:rPr>
          <w:color w:val="221F1F"/>
          <w:spacing w:val="-7"/>
        </w:rPr>
        <w:t xml:space="preserve"> </w:t>
      </w:r>
      <w:r>
        <w:rPr>
          <w:color w:val="221F1F"/>
        </w:rPr>
        <w:t>of</w:t>
      </w:r>
      <w:r>
        <w:rPr>
          <w:color w:val="221F1F"/>
          <w:spacing w:val="-3"/>
        </w:rPr>
        <w:t xml:space="preserve"> </w:t>
      </w:r>
      <w:r>
        <w:rPr>
          <w:color w:val="221F1F"/>
        </w:rPr>
        <w:t>Works</w:t>
      </w:r>
      <w:r>
        <w:rPr>
          <w:color w:val="221F1F"/>
          <w:spacing w:val="-14"/>
        </w:rPr>
        <w:t xml:space="preserve"> </w:t>
      </w:r>
      <w:r>
        <w:rPr>
          <w:color w:val="221F1F"/>
        </w:rPr>
        <w:t>to</w:t>
      </w:r>
      <w:r>
        <w:rPr>
          <w:color w:val="221F1F"/>
          <w:spacing w:val="-6"/>
        </w:rPr>
        <w:t xml:space="preserve"> </w:t>
      </w:r>
      <w:r>
        <w:rPr>
          <w:color w:val="221F1F"/>
        </w:rPr>
        <w:t>be</w:t>
      </w:r>
      <w:r>
        <w:rPr>
          <w:color w:val="221F1F"/>
          <w:spacing w:val="-5"/>
        </w:rPr>
        <w:t xml:space="preserve"> </w:t>
      </w:r>
      <w:r>
        <w:rPr>
          <w:color w:val="221F1F"/>
        </w:rPr>
        <w:t>performed</w:t>
      </w:r>
      <w:r>
        <w:rPr>
          <w:color w:val="221F1F"/>
          <w:spacing w:val="-5"/>
        </w:rPr>
        <w:t xml:space="preserve"> </w:t>
      </w:r>
      <w:r>
        <w:rPr>
          <w:color w:val="221F1F"/>
        </w:rPr>
        <w:t>to</w:t>
      </w:r>
      <w:r>
        <w:rPr>
          <w:color w:val="221F1F"/>
          <w:spacing w:val="-3"/>
        </w:rPr>
        <w:t xml:space="preserve"> </w:t>
      </w:r>
      <w:r>
        <w:rPr>
          <w:color w:val="221F1F"/>
        </w:rPr>
        <w:t>enable</w:t>
      </w:r>
      <w:r>
        <w:rPr>
          <w:color w:val="221F1F"/>
          <w:spacing w:val="-5"/>
        </w:rPr>
        <w:t xml:space="preserve"> </w:t>
      </w:r>
      <w:r>
        <w:rPr>
          <w:color w:val="221F1F"/>
        </w:rPr>
        <w:t>tenders</w:t>
      </w:r>
      <w:r>
        <w:rPr>
          <w:color w:val="221F1F"/>
          <w:spacing w:val="-5"/>
        </w:rPr>
        <w:t xml:space="preserve"> </w:t>
      </w:r>
      <w:r>
        <w:rPr>
          <w:color w:val="221F1F"/>
        </w:rPr>
        <w:t>to</w:t>
      </w:r>
      <w:r>
        <w:rPr>
          <w:color w:val="221F1F"/>
          <w:spacing w:val="-3"/>
        </w:rPr>
        <w:t xml:space="preserve"> </w:t>
      </w:r>
      <w:r>
        <w:rPr>
          <w:color w:val="221F1F"/>
        </w:rPr>
        <w:t>be</w:t>
      </w:r>
      <w:r>
        <w:rPr>
          <w:color w:val="221F1F"/>
          <w:spacing w:val="-3"/>
        </w:rPr>
        <w:t xml:space="preserve"> </w:t>
      </w:r>
      <w:r>
        <w:rPr>
          <w:color w:val="221F1F"/>
        </w:rPr>
        <w:t>prepared</w:t>
      </w:r>
      <w:r>
        <w:rPr>
          <w:color w:val="221F1F"/>
          <w:spacing w:val="-4"/>
        </w:rPr>
        <w:t xml:space="preserve"> </w:t>
      </w:r>
      <w:r>
        <w:rPr>
          <w:color w:val="221F1F"/>
        </w:rPr>
        <w:t>efficiently</w:t>
      </w:r>
      <w:r>
        <w:rPr>
          <w:color w:val="221F1F"/>
          <w:spacing w:val="-5"/>
        </w:rPr>
        <w:t xml:space="preserve"> </w:t>
      </w:r>
      <w:r>
        <w:rPr>
          <w:color w:val="221F1F"/>
        </w:rPr>
        <w:t>and</w:t>
      </w:r>
      <w:r>
        <w:rPr>
          <w:color w:val="221F1F"/>
          <w:spacing w:val="-5"/>
        </w:rPr>
        <w:t xml:space="preserve"> </w:t>
      </w:r>
      <w:r>
        <w:rPr>
          <w:color w:val="221F1F"/>
        </w:rPr>
        <w:t>accurately and</w:t>
      </w:r>
      <w:r>
        <w:rPr>
          <w:color w:val="221F1F"/>
          <w:spacing w:val="-7"/>
        </w:rPr>
        <w:t xml:space="preserve"> </w:t>
      </w:r>
      <w:r>
        <w:rPr>
          <w:color w:val="221F1F"/>
        </w:rPr>
        <w:t>when</w:t>
      </w:r>
      <w:r>
        <w:rPr>
          <w:color w:val="221F1F"/>
          <w:spacing w:val="-9"/>
        </w:rPr>
        <w:t xml:space="preserve"> </w:t>
      </w:r>
      <w:r>
        <w:rPr>
          <w:color w:val="221F1F"/>
        </w:rPr>
        <w:t>a</w:t>
      </w:r>
      <w:r>
        <w:rPr>
          <w:color w:val="221F1F"/>
          <w:spacing w:val="-9"/>
        </w:rPr>
        <w:t xml:space="preserve"> </w:t>
      </w:r>
      <w:r>
        <w:rPr>
          <w:color w:val="221F1F"/>
        </w:rPr>
        <w:t>contract</w:t>
      </w:r>
      <w:r>
        <w:rPr>
          <w:color w:val="221F1F"/>
          <w:spacing w:val="-8"/>
        </w:rPr>
        <w:t xml:space="preserve"> </w:t>
      </w:r>
      <w:r>
        <w:rPr>
          <w:color w:val="221F1F"/>
        </w:rPr>
        <w:t>has</w:t>
      </w:r>
      <w:r>
        <w:rPr>
          <w:color w:val="221F1F"/>
          <w:spacing w:val="-7"/>
        </w:rPr>
        <w:t xml:space="preserve"> </w:t>
      </w:r>
      <w:r>
        <w:rPr>
          <w:color w:val="221F1F"/>
        </w:rPr>
        <w:t>been</w:t>
      </w:r>
      <w:r>
        <w:rPr>
          <w:color w:val="221F1F"/>
          <w:spacing w:val="-7"/>
        </w:rPr>
        <w:t xml:space="preserve"> </w:t>
      </w:r>
      <w:r>
        <w:rPr>
          <w:color w:val="221F1F"/>
        </w:rPr>
        <w:t>entered</w:t>
      </w:r>
      <w:r>
        <w:rPr>
          <w:color w:val="221F1F"/>
          <w:spacing w:val="-9"/>
        </w:rPr>
        <w:t xml:space="preserve"> </w:t>
      </w:r>
      <w:r>
        <w:rPr>
          <w:color w:val="221F1F"/>
        </w:rPr>
        <w:t>into,</w:t>
      </w:r>
      <w:r>
        <w:rPr>
          <w:color w:val="221F1F"/>
          <w:spacing w:val="-9"/>
        </w:rPr>
        <w:t xml:space="preserve"> </w:t>
      </w:r>
      <w:r>
        <w:rPr>
          <w:color w:val="221F1F"/>
        </w:rPr>
        <w:t>to</w:t>
      </w:r>
      <w:r>
        <w:rPr>
          <w:color w:val="221F1F"/>
          <w:spacing w:val="-7"/>
        </w:rPr>
        <w:t xml:space="preserve"> </w:t>
      </w:r>
      <w:r>
        <w:rPr>
          <w:color w:val="221F1F"/>
        </w:rPr>
        <w:t>provide</w:t>
      </w:r>
      <w:r>
        <w:rPr>
          <w:color w:val="221F1F"/>
          <w:spacing w:val="-9"/>
        </w:rPr>
        <w:t xml:space="preserve"> </w:t>
      </w:r>
      <w:r>
        <w:rPr>
          <w:color w:val="221F1F"/>
        </w:rPr>
        <w:t>a</w:t>
      </w:r>
      <w:r>
        <w:rPr>
          <w:color w:val="221F1F"/>
          <w:spacing w:val="-9"/>
        </w:rPr>
        <w:t xml:space="preserve"> </w:t>
      </w:r>
      <w:r>
        <w:rPr>
          <w:color w:val="221F1F"/>
        </w:rPr>
        <w:t>priced</w:t>
      </w:r>
      <w:r>
        <w:rPr>
          <w:color w:val="221F1F"/>
          <w:spacing w:val="-6"/>
        </w:rPr>
        <w:t xml:space="preserve"> </w:t>
      </w:r>
      <w:r>
        <w:rPr>
          <w:color w:val="221F1F"/>
        </w:rPr>
        <w:t>Bill</w:t>
      </w:r>
      <w:r>
        <w:rPr>
          <w:color w:val="221F1F"/>
          <w:spacing w:val="-6"/>
        </w:rPr>
        <w:t xml:space="preserve"> </w:t>
      </w:r>
      <w:r>
        <w:rPr>
          <w:color w:val="221F1F"/>
        </w:rPr>
        <w:t>of</w:t>
      </w:r>
      <w:r>
        <w:rPr>
          <w:color w:val="221F1F"/>
          <w:spacing w:val="-6"/>
        </w:rPr>
        <w:t xml:space="preserve"> </w:t>
      </w:r>
      <w:r>
        <w:rPr>
          <w:color w:val="221F1F"/>
        </w:rPr>
        <w:t>Quantities</w:t>
      </w:r>
      <w:r>
        <w:rPr>
          <w:color w:val="221F1F"/>
          <w:spacing w:val="-8"/>
        </w:rPr>
        <w:t xml:space="preserve"> </w:t>
      </w:r>
      <w:r>
        <w:rPr>
          <w:color w:val="221F1F"/>
        </w:rPr>
        <w:t>for</w:t>
      </w:r>
      <w:r>
        <w:rPr>
          <w:color w:val="221F1F"/>
          <w:spacing w:val="-8"/>
        </w:rPr>
        <w:t xml:space="preserve"> </w:t>
      </w:r>
      <w:r>
        <w:rPr>
          <w:color w:val="221F1F"/>
        </w:rPr>
        <w:t>use</w:t>
      </w:r>
      <w:r>
        <w:rPr>
          <w:color w:val="221F1F"/>
          <w:spacing w:val="-8"/>
        </w:rPr>
        <w:t xml:space="preserve"> </w:t>
      </w:r>
      <w:r>
        <w:rPr>
          <w:color w:val="221F1F"/>
        </w:rPr>
        <w:t>in</w:t>
      </w:r>
      <w:r>
        <w:rPr>
          <w:color w:val="221F1F"/>
          <w:spacing w:val="-9"/>
        </w:rPr>
        <w:t xml:space="preserve"> </w:t>
      </w:r>
      <w:r>
        <w:rPr>
          <w:color w:val="221F1F"/>
        </w:rPr>
        <w:t>the</w:t>
      </w:r>
      <w:r>
        <w:rPr>
          <w:color w:val="221F1F"/>
          <w:spacing w:val="-6"/>
        </w:rPr>
        <w:t xml:space="preserve"> </w:t>
      </w:r>
      <w:r>
        <w:rPr>
          <w:color w:val="221F1F"/>
        </w:rPr>
        <w:t>periodic</w:t>
      </w:r>
      <w:r>
        <w:rPr>
          <w:color w:val="221F1F"/>
          <w:spacing w:val="-7"/>
        </w:rPr>
        <w:t xml:space="preserve"> </w:t>
      </w:r>
      <w:r>
        <w:rPr>
          <w:color w:val="221F1F"/>
        </w:rPr>
        <w:t xml:space="preserve">valuation of Works executed. </w:t>
      </w:r>
      <w:proofErr w:type="spellStart"/>
      <w:r>
        <w:rPr>
          <w:color w:val="221F1F"/>
        </w:rPr>
        <w:t>Inorder</w:t>
      </w:r>
      <w:proofErr w:type="spellEnd"/>
      <w:r>
        <w:rPr>
          <w:color w:val="221F1F"/>
        </w:rPr>
        <w:t xml:space="preserve"> to attain these objectives, Works should be itemized in the Bill of Quantities insufficient detail to distinguish between the different classes of Works, or between Works</w:t>
      </w:r>
      <w:r>
        <w:rPr>
          <w:color w:val="221F1F"/>
          <w:spacing w:val="-3"/>
        </w:rPr>
        <w:t xml:space="preserve"> </w:t>
      </w:r>
      <w:r>
        <w:rPr>
          <w:color w:val="221F1F"/>
        </w:rPr>
        <w:t xml:space="preserve">of the same nature carried </w:t>
      </w:r>
      <w:proofErr w:type="spellStart"/>
      <w:r>
        <w:rPr>
          <w:color w:val="221F1F"/>
        </w:rPr>
        <w:t>outin</w:t>
      </w:r>
      <w:proofErr w:type="spellEnd"/>
      <w:r>
        <w:rPr>
          <w:color w:val="221F1F"/>
        </w:rPr>
        <w:t xml:space="preserve"> different locations or in other circumstances which may give rise to different considerations of cost. Consistent with these requirements, the layout and content of the Bill of Quantities should be as simple and clear as possible.</w:t>
      </w:r>
    </w:p>
    <w:p w:rsidR="007F6DF9" w:rsidRDefault="00A43FBC">
      <w:pPr>
        <w:pStyle w:val="ListParagraph"/>
        <w:numPr>
          <w:ilvl w:val="1"/>
          <w:numId w:val="130"/>
        </w:numPr>
        <w:tabs>
          <w:tab w:val="left" w:pos="1150"/>
        </w:tabs>
        <w:spacing w:before="236"/>
        <w:ind w:hanging="439"/>
      </w:pPr>
      <w:r>
        <w:rPr>
          <w:color w:val="221F1F"/>
        </w:rPr>
        <w:t>The</w:t>
      </w:r>
      <w:r>
        <w:rPr>
          <w:color w:val="221F1F"/>
          <w:spacing w:val="-6"/>
        </w:rPr>
        <w:t xml:space="preserve"> </w:t>
      </w:r>
      <w:r>
        <w:rPr>
          <w:color w:val="221F1F"/>
        </w:rPr>
        <w:t>Bills</w:t>
      </w:r>
      <w:r>
        <w:rPr>
          <w:color w:val="221F1F"/>
          <w:spacing w:val="-5"/>
        </w:rPr>
        <w:t xml:space="preserve"> </w:t>
      </w:r>
      <w:r>
        <w:rPr>
          <w:color w:val="221F1F"/>
        </w:rPr>
        <w:t>of</w:t>
      </w:r>
      <w:r>
        <w:rPr>
          <w:color w:val="221F1F"/>
          <w:spacing w:val="-2"/>
        </w:rPr>
        <w:t xml:space="preserve"> </w:t>
      </w:r>
      <w:r>
        <w:rPr>
          <w:color w:val="221F1F"/>
        </w:rPr>
        <w:t>Quantities</w:t>
      </w:r>
      <w:r>
        <w:rPr>
          <w:color w:val="221F1F"/>
          <w:spacing w:val="-5"/>
        </w:rPr>
        <w:t xml:space="preserve"> </w:t>
      </w:r>
      <w:r>
        <w:rPr>
          <w:color w:val="221F1F"/>
        </w:rPr>
        <w:t>should</w:t>
      </w:r>
      <w:r>
        <w:rPr>
          <w:color w:val="221F1F"/>
          <w:spacing w:val="-2"/>
        </w:rPr>
        <w:t xml:space="preserve"> </w:t>
      </w:r>
      <w:r>
        <w:rPr>
          <w:color w:val="221F1F"/>
        </w:rPr>
        <w:t>be</w:t>
      </w:r>
      <w:r>
        <w:rPr>
          <w:color w:val="221F1F"/>
          <w:spacing w:val="-5"/>
        </w:rPr>
        <w:t xml:space="preserve"> </w:t>
      </w:r>
      <w:r>
        <w:rPr>
          <w:color w:val="221F1F"/>
        </w:rPr>
        <w:t>divided</w:t>
      </w:r>
      <w:r>
        <w:rPr>
          <w:color w:val="221F1F"/>
          <w:spacing w:val="-3"/>
        </w:rPr>
        <w:t xml:space="preserve"> </w:t>
      </w:r>
      <w:r>
        <w:rPr>
          <w:color w:val="221F1F"/>
        </w:rPr>
        <w:t>generally</w:t>
      </w:r>
      <w:r>
        <w:rPr>
          <w:color w:val="221F1F"/>
          <w:spacing w:val="-4"/>
        </w:rPr>
        <w:t xml:space="preserve"> </w:t>
      </w:r>
      <w:r>
        <w:rPr>
          <w:color w:val="221F1F"/>
        </w:rPr>
        <w:t>into</w:t>
      </w:r>
      <w:r>
        <w:rPr>
          <w:color w:val="221F1F"/>
          <w:spacing w:val="-3"/>
        </w:rPr>
        <w:t xml:space="preserve"> </w:t>
      </w:r>
      <w:proofErr w:type="spellStart"/>
      <w:r>
        <w:rPr>
          <w:color w:val="221F1F"/>
        </w:rPr>
        <w:t>thef</w:t>
      </w:r>
      <w:proofErr w:type="spellEnd"/>
      <w:r>
        <w:rPr>
          <w:color w:val="221F1F"/>
          <w:spacing w:val="-2"/>
        </w:rPr>
        <w:t xml:space="preserve"> </w:t>
      </w:r>
      <w:proofErr w:type="spellStart"/>
      <w:r>
        <w:rPr>
          <w:color w:val="221F1F"/>
        </w:rPr>
        <w:t>ollowing</w:t>
      </w:r>
      <w:proofErr w:type="spellEnd"/>
      <w:r>
        <w:rPr>
          <w:color w:val="221F1F"/>
          <w:spacing w:val="-3"/>
        </w:rPr>
        <w:t xml:space="preserve"> </w:t>
      </w:r>
      <w:r>
        <w:rPr>
          <w:color w:val="221F1F"/>
          <w:spacing w:val="-2"/>
        </w:rPr>
        <w:t>sections:</w:t>
      </w:r>
    </w:p>
    <w:p w:rsidR="007F6DF9" w:rsidRDefault="00A43FBC">
      <w:pPr>
        <w:pStyle w:val="ListParagraph"/>
        <w:numPr>
          <w:ilvl w:val="2"/>
          <w:numId w:val="130"/>
        </w:numPr>
        <w:tabs>
          <w:tab w:val="left" w:pos="1565"/>
        </w:tabs>
        <w:spacing w:before="227" w:line="250" w:lineRule="exact"/>
        <w:ind w:hanging="415"/>
      </w:pPr>
      <w:r>
        <w:rPr>
          <w:color w:val="221F1F"/>
          <w:spacing w:val="-2"/>
        </w:rPr>
        <w:t>Preambles</w:t>
      </w:r>
    </w:p>
    <w:p w:rsidR="007F6DF9" w:rsidRDefault="00A43FBC">
      <w:pPr>
        <w:pStyle w:val="ListParagraph"/>
        <w:numPr>
          <w:ilvl w:val="2"/>
          <w:numId w:val="130"/>
        </w:numPr>
        <w:tabs>
          <w:tab w:val="left" w:pos="1565"/>
        </w:tabs>
        <w:spacing w:line="246" w:lineRule="exact"/>
        <w:ind w:hanging="415"/>
      </w:pPr>
      <w:r>
        <w:rPr>
          <w:color w:val="221F1F"/>
        </w:rPr>
        <w:t>Preliminary</w:t>
      </w:r>
      <w:r>
        <w:rPr>
          <w:color w:val="221F1F"/>
          <w:spacing w:val="-10"/>
        </w:rPr>
        <w:t xml:space="preserve"> </w:t>
      </w:r>
      <w:r>
        <w:rPr>
          <w:color w:val="221F1F"/>
          <w:spacing w:val="-4"/>
        </w:rPr>
        <w:t>items</w:t>
      </w:r>
    </w:p>
    <w:p w:rsidR="007F6DF9" w:rsidRDefault="00A43FBC">
      <w:pPr>
        <w:pStyle w:val="ListParagraph"/>
        <w:numPr>
          <w:ilvl w:val="2"/>
          <w:numId w:val="130"/>
        </w:numPr>
        <w:tabs>
          <w:tab w:val="left" w:pos="1565"/>
        </w:tabs>
        <w:spacing w:line="244" w:lineRule="exact"/>
        <w:ind w:hanging="415"/>
      </w:pPr>
      <w:r>
        <w:rPr>
          <w:color w:val="221F1F"/>
          <w:spacing w:val="-5"/>
        </w:rPr>
        <w:t>Work</w:t>
      </w:r>
      <w:r>
        <w:rPr>
          <w:color w:val="221F1F"/>
          <w:spacing w:val="-7"/>
        </w:rPr>
        <w:t xml:space="preserve"> </w:t>
      </w:r>
      <w:r>
        <w:rPr>
          <w:color w:val="221F1F"/>
          <w:spacing w:val="-2"/>
        </w:rPr>
        <w:t>Items</w:t>
      </w:r>
    </w:p>
    <w:p w:rsidR="007F6DF9" w:rsidRDefault="00A43FBC">
      <w:pPr>
        <w:pStyle w:val="ListParagraph"/>
        <w:numPr>
          <w:ilvl w:val="0"/>
          <w:numId w:val="129"/>
        </w:numPr>
        <w:tabs>
          <w:tab w:val="left" w:pos="1565"/>
        </w:tabs>
        <w:spacing w:line="244" w:lineRule="exact"/>
        <w:ind w:hanging="415"/>
      </w:pPr>
      <w:proofErr w:type="spellStart"/>
      <w:r>
        <w:rPr>
          <w:color w:val="221F1F"/>
        </w:rPr>
        <w:t>Daywork</w:t>
      </w:r>
      <w:proofErr w:type="spellEnd"/>
      <w:r>
        <w:rPr>
          <w:color w:val="221F1F"/>
          <w:spacing w:val="-4"/>
        </w:rPr>
        <w:t xml:space="preserve"> </w:t>
      </w:r>
      <w:r>
        <w:rPr>
          <w:color w:val="221F1F"/>
        </w:rPr>
        <w:t>Schedule;</w:t>
      </w:r>
      <w:r>
        <w:rPr>
          <w:color w:val="221F1F"/>
          <w:spacing w:val="-4"/>
        </w:rPr>
        <w:t xml:space="preserve"> </w:t>
      </w:r>
      <w:r>
        <w:rPr>
          <w:color w:val="221F1F"/>
          <w:spacing w:val="-5"/>
        </w:rPr>
        <w:t>and</w:t>
      </w:r>
    </w:p>
    <w:p w:rsidR="007F6DF9" w:rsidRDefault="00A43FBC">
      <w:pPr>
        <w:pStyle w:val="ListParagraph"/>
        <w:numPr>
          <w:ilvl w:val="0"/>
          <w:numId w:val="129"/>
        </w:numPr>
        <w:tabs>
          <w:tab w:val="left" w:pos="1565"/>
        </w:tabs>
        <w:spacing w:line="246" w:lineRule="exact"/>
        <w:ind w:hanging="415"/>
      </w:pPr>
      <w:proofErr w:type="spellStart"/>
      <w:r>
        <w:rPr>
          <w:color w:val="221F1F"/>
          <w:spacing w:val="-2"/>
        </w:rPr>
        <w:t>Provisionalitems</w:t>
      </w:r>
      <w:proofErr w:type="spellEnd"/>
    </w:p>
    <w:p w:rsidR="007F6DF9" w:rsidRDefault="00A43FBC">
      <w:pPr>
        <w:pStyle w:val="ListParagraph"/>
        <w:numPr>
          <w:ilvl w:val="0"/>
          <w:numId w:val="129"/>
        </w:numPr>
        <w:tabs>
          <w:tab w:val="left" w:pos="1565"/>
        </w:tabs>
        <w:spacing w:line="250" w:lineRule="exact"/>
        <w:ind w:hanging="415"/>
      </w:pPr>
      <w:r>
        <w:rPr>
          <w:color w:val="221F1F"/>
          <w:spacing w:val="-2"/>
        </w:rPr>
        <w:t>Summary.</w:t>
      </w:r>
    </w:p>
    <w:p w:rsidR="007F6DF9" w:rsidRDefault="00A43FBC">
      <w:pPr>
        <w:pStyle w:val="Heading8"/>
        <w:numPr>
          <w:ilvl w:val="0"/>
          <w:numId w:val="135"/>
        </w:numPr>
        <w:tabs>
          <w:tab w:val="left" w:pos="1150"/>
        </w:tabs>
        <w:spacing w:before="234"/>
        <w:ind w:left="1150" w:hanging="439"/>
        <w:rPr>
          <w:color w:val="221F1F"/>
        </w:rPr>
      </w:pPr>
      <w:r>
        <w:rPr>
          <w:color w:val="221F1F"/>
        </w:rPr>
        <w:t>NOTES</w:t>
      </w:r>
      <w:r>
        <w:rPr>
          <w:color w:val="221F1F"/>
          <w:spacing w:val="-5"/>
        </w:rPr>
        <w:t xml:space="preserve"> </w:t>
      </w:r>
      <w:r>
        <w:rPr>
          <w:color w:val="221F1F"/>
        </w:rPr>
        <w:t>TO</w:t>
      </w:r>
      <w:r>
        <w:rPr>
          <w:color w:val="221F1F"/>
          <w:spacing w:val="-3"/>
        </w:rPr>
        <w:t xml:space="preserve"> </w:t>
      </w:r>
      <w:r>
        <w:rPr>
          <w:color w:val="221F1F"/>
        </w:rPr>
        <w:t>PREPARING</w:t>
      </w:r>
      <w:r>
        <w:rPr>
          <w:color w:val="221F1F"/>
          <w:spacing w:val="-3"/>
        </w:rPr>
        <w:t xml:space="preserve"> </w:t>
      </w:r>
      <w:r>
        <w:rPr>
          <w:color w:val="221F1F"/>
          <w:spacing w:val="-2"/>
        </w:rPr>
        <w:t>PREAMBLES</w:t>
      </w:r>
    </w:p>
    <w:p w:rsidR="007F6DF9" w:rsidRDefault="00A43FBC">
      <w:pPr>
        <w:pStyle w:val="ListParagraph"/>
        <w:numPr>
          <w:ilvl w:val="1"/>
          <w:numId w:val="135"/>
        </w:numPr>
        <w:tabs>
          <w:tab w:val="left" w:pos="1146"/>
          <w:tab w:val="left" w:pos="1148"/>
        </w:tabs>
        <w:spacing w:before="242" w:line="230" w:lineRule="auto"/>
        <w:ind w:left="1148" w:right="559" w:hanging="438"/>
        <w:jc w:val="both"/>
      </w:pPr>
      <w:r>
        <w:rPr>
          <w:color w:val="221F1F"/>
        </w:rPr>
        <w:t>The Preambles should include only those items that constitute the cost of the works but would not be priced separately</w:t>
      </w:r>
      <w:r>
        <w:rPr>
          <w:color w:val="221F1F"/>
          <w:spacing w:val="-3"/>
        </w:rPr>
        <w:t xml:space="preserve"> </w:t>
      </w:r>
      <w:r>
        <w:rPr>
          <w:color w:val="221F1F"/>
        </w:rPr>
        <w:t>as</w:t>
      </w:r>
      <w:r>
        <w:rPr>
          <w:color w:val="221F1F"/>
          <w:spacing w:val="-3"/>
        </w:rPr>
        <w:t xml:space="preserve"> </w:t>
      </w:r>
      <w:r>
        <w:rPr>
          <w:color w:val="221F1F"/>
        </w:rPr>
        <w:t>they</w:t>
      </w:r>
      <w:r>
        <w:rPr>
          <w:color w:val="221F1F"/>
          <w:spacing w:val="-3"/>
        </w:rPr>
        <w:t xml:space="preserve"> </w:t>
      </w:r>
      <w:r>
        <w:rPr>
          <w:color w:val="221F1F"/>
        </w:rPr>
        <w:t>are</w:t>
      </w:r>
      <w:r>
        <w:rPr>
          <w:color w:val="221F1F"/>
          <w:spacing w:val="-3"/>
        </w:rPr>
        <w:t xml:space="preserve"> </w:t>
      </w:r>
      <w:r>
        <w:rPr>
          <w:color w:val="221F1F"/>
        </w:rPr>
        <w:t>expected</w:t>
      </w:r>
      <w:r>
        <w:rPr>
          <w:color w:val="221F1F"/>
          <w:spacing w:val="-2"/>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included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unit prices.</w:t>
      </w:r>
      <w:r>
        <w:rPr>
          <w:color w:val="221F1F"/>
          <w:spacing w:val="-3"/>
        </w:rPr>
        <w:t xml:space="preserve"> </w:t>
      </w:r>
      <w:r>
        <w:rPr>
          <w:color w:val="221F1F"/>
        </w:rPr>
        <w:t>Care</w:t>
      </w:r>
      <w:r>
        <w:rPr>
          <w:color w:val="221F1F"/>
          <w:spacing w:val="-1"/>
        </w:rPr>
        <w:t xml:space="preserve"> </w:t>
      </w:r>
      <w:r>
        <w:rPr>
          <w:color w:val="221F1F"/>
        </w:rPr>
        <w:t>should</w:t>
      </w:r>
      <w:r>
        <w:rPr>
          <w:color w:val="221F1F"/>
          <w:spacing w:val="-1"/>
        </w:rPr>
        <w:t xml:space="preserve"> </w:t>
      </w:r>
      <w:r>
        <w:rPr>
          <w:color w:val="221F1F"/>
        </w:rPr>
        <w:t>be</w:t>
      </w:r>
      <w:r>
        <w:rPr>
          <w:color w:val="221F1F"/>
          <w:spacing w:val="-3"/>
        </w:rPr>
        <w:t xml:space="preserve"> </w:t>
      </w:r>
      <w:r>
        <w:rPr>
          <w:color w:val="221F1F"/>
        </w:rPr>
        <w:t>taken to</w:t>
      </w:r>
      <w:r>
        <w:rPr>
          <w:color w:val="221F1F"/>
          <w:spacing w:val="-1"/>
        </w:rPr>
        <w:t xml:space="preserve"> </w:t>
      </w:r>
      <w:r>
        <w:rPr>
          <w:color w:val="221F1F"/>
        </w:rPr>
        <w:t>ensure</w:t>
      </w:r>
      <w:r>
        <w:rPr>
          <w:color w:val="221F1F"/>
          <w:spacing w:val="-3"/>
        </w:rPr>
        <w:t xml:space="preserve"> </w:t>
      </w:r>
      <w:r>
        <w:rPr>
          <w:color w:val="221F1F"/>
        </w:rPr>
        <w:t>that</w:t>
      </w:r>
      <w:r>
        <w:rPr>
          <w:color w:val="221F1F"/>
          <w:spacing w:val="-2"/>
        </w:rPr>
        <w:t xml:space="preserve"> </w:t>
      </w:r>
      <w:r>
        <w:rPr>
          <w:color w:val="221F1F"/>
        </w:rPr>
        <w:t>these</w:t>
      </w:r>
      <w:r>
        <w:rPr>
          <w:color w:val="221F1F"/>
          <w:spacing w:val="-3"/>
        </w:rPr>
        <w:t xml:space="preserve"> </w:t>
      </w:r>
      <w:r>
        <w:rPr>
          <w:color w:val="221F1F"/>
        </w:rPr>
        <w:t>items are not are petition of the conditions of contract. The Preambles should indicate the inclusiveness of the unit prices and should state the methods of measurement that have been adopted in the preparation of the Bill of Quantities, that are to be used for the measurement of any part of the Works. The units of measurement and abbreviations should be defined and any mandatory national units defined and described. The methods of and procedure for re- measurement should be described in the Preambles.</w:t>
      </w:r>
    </w:p>
    <w:p w:rsidR="007F6DF9" w:rsidRDefault="00A43FBC">
      <w:pPr>
        <w:pStyle w:val="ListParagraph"/>
        <w:numPr>
          <w:ilvl w:val="1"/>
          <w:numId w:val="135"/>
        </w:numPr>
        <w:tabs>
          <w:tab w:val="left" w:pos="1146"/>
          <w:tab w:val="left" w:pos="1148"/>
        </w:tabs>
        <w:spacing w:before="247" w:line="230" w:lineRule="auto"/>
        <w:ind w:left="1148" w:right="561" w:hanging="440"/>
        <w:jc w:val="both"/>
      </w:pPr>
      <w:r>
        <w:rPr>
          <w:color w:val="221F1F"/>
        </w:rPr>
        <w:t>Units of Measurement - The following units of measurement and abbreviations shall be used, unless other national units are mandatory in Kenya.</w:t>
      </w:r>
    </w:p>
    <w:p w:rsidR="007F6DF9" w:rsidRDefault="007F6DF9">
      <w:pPr>
        <w:pStyle w:val="BodyText"/>
        <w:rPr>
          <w:sz w:val="20"/>
        </w:rPr>
      </w:pPr>
    </w:p>
    <w:tbl>
      <w:tblPr>
        <w:tblW w:w="0" w:type="auto"/>
        <w:tblInd w:w="1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4"/>
        <w:gridCol w:w="2251"/>
        <w:gridCol w:w="2126"/>
        <w:gridCol w:w="1843"/>
      </w:tblGrid>
      <w:tr w:rsidR="007F6DF9">
        <w:trPr>
          <w:trHeight w:val="373"/>
        </w:trPr>
        <w:tc>
          <w:tcPr>
            <w:tcW w:w="2854" w:type="dxa"/>
          </w:tcPr>
          <w:p w:rsidR="007F6DF9" w:rsidRDefault="00A43FBC">
            <w:pPr>
              <w:pStyle w:val="TableParagraph"/>
              <w:ind w:left="254"/>
              <w:rPr>
                <w:rFonts w:ascii="Times New Roman"/>
                <w:b/>
              </w:rPr>
            </w:pPr>
            <w:r>
              <w:rPr>
                <w:rFonts w:ascii="Times New Roman"/>
                <w:b/>
                <w:spacing w:val="-4"/>
              </w:rPr>
              <w:t>Unit</w:t>
            </w:r>
          </w:p>
        </w:tc>
        <w:tc>
          <w:tcPr>
            <w:tcW w:w="2251" w:type="dxa"/>
          </w:tcPr>
          <w:p w:rsidR="007F6DF9" w:rsidRDefault="00A43FBC">
            <w:pPr>
              <w:pStyle w:val="TableParagraph"/>
              <w:ind w:left="251"/>
              <w:rPr>
                <w:rFonts w:ascii="Times New Roman"/>
                <w:b/>
              </w:rPr>
            </w:pPr>
            <w:r>
              <w:rPr>
                <w:rFonts w:ascii="Times New Roman"/>
                <w:b/>
                <w:spacing w:val="-2"/>
              </w:rPr>
              <w:t>Abbreviation</w:t>
            </w:r>
          </w:p>
        </w:tc>
        <w:tc>
          <w:tcPr>
            <w:tcW w:w="2126" w:type="dxa"/>
          </w:tcPr>
          <w:p w:rsidR="007F6DF9" w:rsidRDefault="00A43FBC">
            <w:pPr>
              <w:pStyle w:val="TableParagraph"/>
              <w:ind w:left="252"/>
              <w:rPr>
                <w:rFonts w:ascii="Times New Roman"/>
                <w:b/>
              </w:rPr>
            </w:pPr>
            <w:r>
              <w:rPr>
                <w:rFonts w:ascii="Times New Roman"/>
                <w:b/>
                <w:spacing w:val="-4"/>
              </w:rPr>
              <w:t>Unit</w:t>
            </w:r>
          </w:p>
        </w:tc>
        <w:tc>
          <w:tcPr>
            <w:tcW w:w="1843" w:type="dxa"/>
          </w:tcPr>
          <w:p w:rsidR="007F6DF9" w:rsidRDefault="00A43FBC">
            <w:pPr>
              <w:pStyle w:val="TableParagraph"/>
              <w:ind w:left="253"/>
              <w:rPr>
                <w:rFonts w:ascii="Times New Roman"/>
                <w:b/>
              </w:rPr>
            </w:pPr>
            <w:r>
              <w:rPr>
                <w:rFonts w:ascii="Times New Roman"/>
                <w:b/>
                <w:spacing w:val="-2"/>
              </w:rPr>
              <w:t>Abbreviation</w:t>
            </w:r>
          </w:p>
        </w:tc>
      </w:tr>
      <w:tr w:rsidR="007F6DF9">
        <w:trPr>
          <w:trHeight w:val="2611"/>
        </w:trPr>
        <w:tc>
          <w:tcPr>
            <w:tcW w:w="2854" w:type="dxa"/>
          </w:tcPr>
          <w:p w:rsidR="007F6DF9" w:rsidRDefault="00A43FBC">
            <w:pPr>
              <w:pStyle w:val="TableParagraph"/>
              <w:spacing w:line="352" w:lineRule="auto"/>
              <w:ind w:left="280" w:right="1523"/>
              <w:rPr>
                <w:rFonts w:ascii="Times New Roman"/>
              </w:rPr>
            </w:pPr>
            <w:r>
              <w:rPr>
                <w:rFonts w:ascii="Times New Roman"/>
              </w:rPr>
              <w:t>cubic</w:t>
            </w:r>
            <w:r>
              <w:rPr>
                <w:rFonts w:ascii="Times New Roman"/>
                <w:spacing w:val="-14"/>
              </w:rPr>
              <w:t xml:space="preserve"> </w:t>
            </w:r>
            <w:r>
              <w:rPr>
                <w:rFonts w:ascii="Times New Roman"/>
              </w:rPr>
              <w:t xml:space="preserve">meter </w:t>
            </w:r>
            <w:r>
              <w:rPr>
                <w:rFonts w:ascii="Times New Roman"/>
                <w:spacing w:val="-2"/>
              </w:rPr>
              <w:t>hectare</w:t>
            </w:r>
            <w:r>
              <w:rPr>
                <w:rFonts w:ascii="Times New Roman"/>
                <w:spacing w:val="40"/>
              </w:rPr>
              <w:t xml:space="preserve"> </w:t>
            </w:r>
            <w:r>
              <w:rPr>
                <w:rFonts w:ascii="Times New Roman"/>
                <w:spacing w:val="-4"/>
              </w:rPr>
              <w:t xml:space="preserve">hour </w:t>
            </w:r>
            <w:r>
              <w:rPr>
                <w:rFonts w:ascii="Times New Roman"/>
                <w:spacing w:val="-2"/>
              </w:rPr>
              <w:t xml:space="preserve">kilogram </w:t>
            </w:r>
            <w:proofErr w:type="gramStart"/>
            <w:r>
              <w:rPr>
                <w:rFonts w:ascii="Times New Roman"/>
              </w:rPr>
              <w:t>lump</w:t>
            </w:r>
            <w:proofErr w:type="gramEnd"/>
            <w:r>
              <w:rPr>
                <w:rFonts w:ascii="Times New Roman"/>
              </w:rPr>
              <w:t xml:space="preserve"> sum </w:t>
            </w:r>
            <w:r>
              <w:rPr>
                <w:rFonts w:ascii="Times New Roman"/>
                <w:spacing w:val="-2"/>
              </w:rPr>
              <w:t>meter</w:t>
            </w:r>
          </w:p>
          <w:p w:rsidR="007F6DF9" w:rsidRDefault="00A43FBC">
            <w:pPr>
              <w:pStyle w:val="TableParagraph"/>
              <w:spacing w:before="9"/>
              <w:ind w:left="280"/>
              <w:rPr>
                <w:rFonts w:ascii="Times New Roman"/>
              </w:rPr>
            </w:pPr>
            <w:r>
              <w:rPr>
                <w:rFonts w:ascii="Times New Roman"/>
              </w:rPr>
              <w:t>metric</w:t>
            </w:r>
            <w:r>
              <w:rPr>
                <w:rFonts w:ascii="Times New Roman"/>
                <w:spacing w:val="-4"/>
              </w:rPr>
              <w:t xml:space="preserve"> </w:t>
            </w:r>
            <w:r>
              <w:rPr>
                <w:rFonts w:ascii="Times New Roman"/>
                <w:spacing w:val="-5"/>
              </w:rPr>
              <w:t>ton</w:t>
            </w:r>
          </w:p>
        </w:tc>
        <w:tc>
          <w:tcPr>
            <w:tcW w:w="2251" w:type="dxa"/>
          </w:tcPr>
          <w:p w:rsidR="007F6DF9" w:rsidRDefault="00A43FBC">
            <w:pPr>
              <w:pStyle w:val="TableParagraph"/>
              <w:spacing w:line="352" w:lineRule="auto"/>
              <w:ind w:left="107" w:right="1008"/>
              <w:rPr>
                <w:rFonts w:ascii="Times New Roman"/>
              </w:rPr>
            </w:pPr>
            <w:r>
              <w:rPr>
                <w:rFonts w:ascii="Times New Roman"/>
              </w:rPr>
              <w:t>m</w:t>
            </w:r>
            <w:r>
              <w:rPr>
                <w:rFonts w:ascii="Times New Roman"/>
                <w:vertAlign w:val="superscript"/>
              </w:rPr>
              <w:t>3</w:t>
            </w:r>
            <w:r>
              <w:rPr>
                <w:rFonts w:ascii="Times New Roman"/>
                <w:spacing w:val="-12"/>
              </w:rPr>
              <w:t xml:space="preserve"> </w:t>
            </w:r>
            <w:r>
              <w:rPr>
                <w:rFonts w:ascii="Times New Roman"/>
                <w:i/>
              </w:rPr>
              <w:t>or</w:t>
            </w:r>
            <w:r>
              <w:rPr>
                <w:rFonts w:ascii="Times New Roman"/>
                <w:i/>
                <w:spacing w:val="-12"/>
              </w:rPr>
              <w:t xml:space="preserve"> </w:t>
            </w:r>
            <w:r>
              <w:rPr>
                <w:rFonts w:ascii="Times New Roman"/>
              </w:rPr>
              <w:t>cu</w:t>
            </w:r>
            <w:r>
              <w:rPr>
                <w:rFonts w:ascii="Times New Roman"/>
                <w:spacing w:val="-12"/>
              </w:rPr>
              <w:t xml:space="preserve"> </w:t>
            </w:r>
            <w:r>
              <w:rPr>
                <w:rFonts w:ascii="Times New Roman"/>
              </w:rPr>
              <w:t xml:space="preserve">m </w:t>
            </w:r>
            <w:r>
              <w:rPr>
                <w:rFonts w:ascii="Times New Roman"/>
                <w:spacing w:val="-6"/>
              </w:rPr>
              <w:t>ha</w:t>
            </w:r>
          </w:p>
          <w:p w:rsidR="007F6DF9" w:rsidRDefault="00A43FBC">
            <w:pPr>
              <w:pStyle w:val="TableParagraph"/>
              <w:spacing w:before="4" w:line="352" w:lineRule="auto"/>
              <w:ind w:left="107" w:right="1901"/>
              <w:rPr>
                <w:rFonts w:ascii="Times New Roman"/>
              </w:rPr>
            </w:pPr>
            <w:r>
              <w:rPr>
                <w:rFonts w:ascii="Times New Roman"/>
                <w:spacing w:val="-10"/>
              </w:rPr>
              <w:t xml:space="preserve">h </w:t>
            </w:r>
            <w:r>
              <w:rPr>
                <w:rFonts w:ascii="Times New Roman"/>
                <w:spacing w:val="-6"/>
              </w:rPr>
              <w:t xml:space="preserve">kg ls </w:t>
            </w:r>
            <w:r>
              <w:rPr>
                <w:rFonts w:ascii="Times New Roman"/>
                <w:spacing w:val="-10"/>
              </w:rPr>
              <w:t>m</w:t>
            </w:r>
          </w:p>
          <w:p w:rsidR="007F6DF9" w:rsidRDefault="00A43FBC">
            <w:pPr>
              <w:pStyle w:val="TableParagraph"/>
              <w:spacing w:before="5"/>
              <w:ind w:left="107"/>
              <w:rPr>
                <w:rFonts w:ascii="Times New Roman"/>
              </w:rPr>
            </w:pPr>
            <w:r>
              <w:rPr>
                <w:rFonts w:ascii="Times New Roman"/>
                <w:spacing w:val="-10"/>
              </w:rPr>
              <w:t>t</w:t>
            </w:r>
          </w:p>
        </w:tc>
        <w:tc>
          <w:tcPr>
            <w:tcW w:w="2126" w:type="dxa"/>
          </w:tcPr>
          <w:p w:rsidR="007F6DF9" w:rsidRDefault="00A43FBC">
            <w:pPr>
              <w:pStyle w:val="TableParagraph"/>
              <w:spacing w:line="352" w:lineRule="auto"/>
              <w:ind w:left="108" w:right="867"/>
              <w:rPr>
                <w:rFonts w:ascii="Times New Roman"/>
              </w:rPr>
            </w:pPr>
            <w:proofErr w:type="spellStart"/>
            <w:r>
              <w:rPr>
                <w:rFonts w:ascii="Times New Roman"/>
                <w:spacing w:val="-2"/>
              </w:rPr>
              <w:t>millimetre</w:t>
            </w:r>
            <w:proofErr w:type="spellEnd"/>
            <w:r>
              <w:rPr>
                <w:rFonts w:ascii="Times New Roman"/>
                <w:spacing w:val="-2"/>
              </w:rPr>
              <w:t xml:space="preserve"> </w:t>
            </w:r>
            <w:r>
              <w:rPr>
                <w:rFonts w:ascii="Times New Roman"/>
                <w:spacing w:val="-4"/>
              </w:rPr>
              <w:t xml:space="preserve">month </w:t>
            </w:r>
            <w:r>
              <w:rPr>
                <w:rFonts w:ascii="Times New Roman"/>
                <w:spacing w:val="-2"/>
              </w:rPr>
              <w:t xml:space="preserve">number </w:t>
            </w:r>
            <w:r>
              <w:rPr>
                <w:rFonts w:ascii="Times New Roman"/>
              </w:rPr>
              <w:t>square</w:t>
            </w:r>
            <w:r>
              <w:rPr>
                <w:rFonts w:ascii="Times New Roman"/>
                <w:spacing w:val="-14"/>
              </w:rPr>
              <w:t xml:space="preserve"> </w:t>
            </w:r>
            <w:r>
              <w:rPr>
                <w:rFonts w:ascii="Times New Roman"/>
              </w:rPr>
              <w:t>meter</w:t>
            </w:r>
          </w:p>
          <w:p w:rsidR="007F6DF9" w:rsidRDefault="00A43FBC">
            <w:pPr>
              <w:pStyle w:val="TableParagraph"/>
              <w:spacing w:before="6" w:line="352" w:lineRule="auto"/>
              <w:ind w:left="108" w:right="451"/>
              <w:rPr>
                <w:rFonts w:ascii="Times New Roman"/>
              </w:rPr>
            </w:pPr>
            <w:r>
              <w:rPr>
                <w:rFonts w:ascii="Times New Roman"/>
              </w:rPr>
              <w:t>square</w:t>
            </w:r>
            <w:r>
              <w:rPr>
                <w:rFonts w:ascii="Times New Roman"/>
                <w:spacing w:val="-14"/>
              </w:rPr>
              <w:t xml:space="preserve"> </w:t>
            </w:r>
            <w:r>
              <w:rPr>
                <w:rFonts w:ascii="Times New Roman"/>
              </w:rPr>
              <w:t xml:space="preserve">millimeter </w:t>
            </w:r>
            <w:r>
              <w:rPr>
                <w:rFonts w:ascii="Times New Roman"/>
                <w:spacing w:val="-4"/>
              </w:rPr>
              <w:t>week</w:t>
            </w:r>
          </w:p>
        </w:tc>
        <w:tc>
          <w:tcPr>
            <w:tcW w:w="1843" w:type="dxa"/>
          </w:tcPr>
          <w:p w:rsidR="007F6DF9" w:rsidRDefault="00A43FBC">
            <w:pPr>
              <w:pStyle w:val="TableParagraph"/>
              <w:spacing w:line="355" w:lineRule="auto"/>
              <w:ind w:left="109" w:right="1323"/>
              <w:jc w:val="both"/>
              <w:rPr>
                <w:rFonts w:ascii="Times New Roman"/>
              </w:rPr>
            </w:pPr>
            <w:r>
              <w:rPr>
                <w:rFonts w:ascii="Times New Roman"/>
                <w:spacing w:val="-6"/>
              </w:rPr>
              <w:t xml:space="preserve">mm </w:t>
            </w:r>
            <w:r>
              <w:rPr>
                <w:rFonts w:ascii="Times New Roman"/>
                <w:spacing w:val="-4"/>
              </w:rPr>
              <w:t xml:space="preserve">mon </w:t>
            </w:r>
            <w:proofErr w:type="spellStart"/>
            <w:r>
              <w:rPr>
                <w:rFonts w:ascii="Times New Roman"/>
                <w:spacing w:val="-6"/>
              </w:rPr>
              <w:t>nr</w:t>
            </w:r>
            <w:proofErr w:type="spellEnd"/>
          </w:p>
          <w:p w:rsidR="007F6DF9" w:rsidRDefault="00A43FBC">
            <w:pPr>
              <w:pStyle w:val="TableParagraph"/>
              <w:spacing w:line="355" w:lineRule="auto"/>
              <w:ind w:left="109" w:right="358"/>
              <w:rPr>
                <w:rFonts w:ascii="Times New Roman"/>
              </w:rPr>
            </w:pPr>
            <w:r>
              <w:rPr>
                <w:rFonts w:ascii="Times New Roman"/>
              </w:rPr>
              <w:t>m</w:t>
            </w:r>
            <w:r>
              <w:rPr>
                <w:rFonts w:ascii="Times New Roman"/>
                <w:vertAlign w:val="superscript"/>
              </w:rPr>
              <w:t>2</w:t>
            </w:r>
            <w:r>
              <w:rPr>
                <w:rFonts w:ascii="Times New Roman"/>
              </w:rPr>
              <w:t xml:space="preserve"> </w:t>
            </w:r>
            <w:r>
              <w:rPr>
                <w:rFonts w:ascii="Times New Roman"/>
                <w:i/>
              </w:rPr>
              <w:t xml:space="preserve">or </w:t>
            </w:r>
            <w:proofErr w:type="spellStart"/>
            <w:r>
              <w:rPr>
                <w:rFonts w:ascii="Times New Roman"/>
              </w:rPr>
              <w:t>sq</w:t>
            </w:r>
            <w:proofErr w:type="spellEnd"/>
            <w:r>
              <w:rPr>
                <w:rFonts w:ascii="Times New Roman"/>
              </w:rPr>
              <w:t xml:space="preserve"> m mm</w:t>
            </w:r>
            <w:r>
              <w:rPr>
                <w:rFonts w:ascii="Times New Roman"/>
                <w:vertAlign w:val="superscript"/>
              </w:rPr>
              <w:t>2</w:t>
            </w:r>
            <w:r>
              <w:rPr>
                <w:rFonts w:ascii="Times New Roman"/>
                <w:spacing w:val="-12"/>
              </w:rPr>
              <w:t xml:space="preserve"> </w:t>
            </w:r>
            <w:r>
              <w:rPr>
                <w:rFonts w:ascii="Times New Roman"/>
                <w:i/>
              </w:rPr>
              <w:t>or</w:t>
            </w:r>
            <w:r>
              <w:rPr>
                <w:rFonts w:ascii="Times New Roman"/>
                <w:i/>
                <w:spacing w:val="-12"/>
              </w:rPr>
              <w:t xml:space="preserve"> </w:t>
            </w:r>
            <w:proofErr w:type="spellStart"/>
            <w:r>
              <w:rPr>
                <w:rFonts w:ascii="Times New Roman"/>
              </w:rPr>
              <w:t>sq</w:t>
            </w:r>
            <w:proofErr w:type="spellEnd"/>
            <w:r>
              <w:rPr>
                <w:rFonts w:ascii="Times New Roman"/>
                <w:spacing w:val="-14"/>
              </w:rPr>
              <w:t xml:space="preserve"> </w:t>
            </w:r>
            <w:r>
              <w:rPr>
                <w:rFonts w:ascii="Times New Roman"/>
              </w:rPr>
              <w:t xml:space="preserve">mm </w:t>
            </w:r>
            <w:proofErr w:type="spellStart"/>
            <w:r>
              <w:rPr>
                <w:rFonts w:ascii="Times New Roman"/>
                <w:spacing w:val="-6"/>
              </w:rPr>
              <w:t>wk</w:t>
            </w:r>
            <w:proofErr w:type="spellEnd"/>
          </w:p>
        </w:tc>
      </w:tr>
    </w:tbl>
    <w:p w:rsidR="007F6DF9" w:rsidRDefault="007F6DF9">
      <w:pPr>
        <w:pStyle w:val="BodyText"/>
        <w:spacing w:before="111"/>
      </w:pPr>
    </w:p>
    <w:p w:rsidR="007F6DF9" w:rsidRDefault="00A43FBC">
      <w:pPr>
        <w:pStyle w:val="ListParagraph"/>
        <w:numPr>
          <w:ilvl w:val="1"/>
          <w:numId w:val="135"/>
        </w:numPr>
        <w:tabs>
          <w:tab w:val="left" w:pos="1266"/>
          <w:tab w:val="left" w:pos="1273"/>
        </w:tabs>
        <w:spacing w:before="1" w:line="230" w:lineRule="auto"/>
        <w:ind w:left="1273" w:right="573" w:hanging="565"/>
        <w:jc w:val="both"/>
      </w:pPr>
      <w:r>
        <w:rPr>
          <w:color w:val="221F1F"/>
        </w:rPr>
        <w:t>The Bills of Quantities shall be read in conjunction with the Instructions to Tenders, General and Special Conditions of Contract, Technical Specifications, and Drawings.</w:t>
      </w:r>
    </w:p>
    <w:p w:rsidR="007F6DF9" w:rsidRDefault="00A43FBC">
      <w:pPr>
        <w:pStyle w:val="ListParagraph"/>
        <w:numPr>
          <w:ilvl w:val="1"/>
          <w:numId w:val="128"/>
        </w:numPr>
        <w:tabs>
          <w:tab w:val="left" w:pos="1266"/>
          <w:tab w:val="left" w:pos="1273"/>
        </w:tabs>
        <w:spacing w:before="243" w:line="230" w:lineRule="auto"/>
        <w:ind w:right="559" w:hanging="565"/>
        <w:jc w:val="both"/>
      </w:pPr>
      <w:r>
        <w:rPr>
          <w:color w:val="221F1F"/>
        </w:rPr>
        <w:t>The quantities given in the Bills of Quantities are estimated and partly provisional and are given to provide</w:t>
      </w:r>
      <w:r>
        <w:rPr>
          <w:color w:val="221F1F"/>
          <w:spacing w:val="-1"/>
        </w:rPr>
        <w:t xml:space="preserve"> </w:t>
      </w:r>
      <w:r>
        <w:rPr>
          <w:color w:val="221F1F"/>
        </w:rPr>
        <w:t>a common basis for tendering. The basis of payment will be the actual quantities of work ordered and carried out, as measured by the Contractor and verified by the Architect and valued at the rates and prices tender in the priced</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7"/>
      </w:pPr>
    </w:p>
    <w:p w:rsidR="007F6DF9" w:rsidRDefault="00A43FBC">
      <w:pPr>
        <w:pStyle w:val="BodyText"/>
        <w:spacing w:line="230" w:lineRule="auto"/>
        <w:ind w:left="1275" w:right="575"/>
      </w:pPr>
      <w:r>
        <w:rPr>
          <w:color w:val="221F1F"/>
        </w:rPr>
        <w:t>Bills</w:t>
      </w:r>
      <w:r>
        <w:rPr>
          <w:color w:val="221F1F"/>
          <w:spacing w:val="-1"/>
        </w:rPr>
        <w:t xml:space="preserve"> </w:t>
      </w:r>
      <w:r>
        <w:rPr>
          <w:color w:val="221F1F"/>
        </w:rPr>
        <w:t>of</w:t>
      </w:r>
      <w:r>
        <w:rPr>
          <w:color w:val="221F1F"/>
          <w:spacing w:val="-4"/>
        </w:rPr>
        <w:t xml:space="preserve"> </w:t>
      </w:r>
      <w:r>
        <w:rPr>
          <w:color w:val="221F1F"/>
        </w:rPr>
        <w:t>Quantities,</w:t>
      </w:r>
      <w:r>
        <w:rPr>
          <w:color w:val="221F1F"/>
          <w:spacing w:val="-1"/>
        </w:rPr>
        <w:t xml:space="preserve"> </w:t>
      </w:r>
      <w:r>
        <w:rPr>
          <w:color w:val="221F1F"/>
        </w:rPr>
        <w:t>where</w:t>
      </w:r>
      <w:r>
        <w:rPr>
          <w:color w:val="221F1F"/>
          <w:spacing w:val="-1"/>
        </w:rPr>
        <w:t xml:space="preserve"> </w:t>
      </w:r>
      <w:r>
        <w:rPr>
          <w:color w:val="221F1F"/>
        </w:rPr>
        <w:t>applicable,</w:t>
      </w:r>
      <w:r>
        <w:rPr>
          <w:color w:val="221F1F"/>
          <w:spacing w:val="-1"/>
        </w:rPr>
        <w:t xml:space="preserve"> </w:t>
      </w:r>
      <w:r>
        <w:rPr>
          <w:color w:val="221F1F"/>
        </w:rPr>
        <w:t>and</w:t>
      </w:r>
      <w:r>
        <w:rPr>
          <w:color w:val="221F1F"/>
          <w:spacing w:val="-2"/>
        </w:rPr>
        <w:t xml:space="preserve"> </w:t>
      </w:r>
      <w:r>
        <w:rPr>
          <w:color w:val="221F1F"/>
        </w:rPr>
        <w:t>otherwise</w:t>
      </w:r>
      <w:r>
        <w:rPr>
          <w:color w:val="221F1F"/>
          <w:spacing w:val="-3"/>
        </w:rPr>
        <w:t xml:space="preserve"> </w:t>
      </w:r>
      <w:r>
        <w:rPr>
          <w:color w:val="221F1F"/>
        </w:rPr>
        <w:t>at</w:t>
      </w:r>
      <w:r>
        <w:rPr>
          <w:color w:val="221F1F"/>
          <w:spacing w:val="-4"/>
        </w:rPr>
        <w:t xml:space="preserve"> </w:t>
      </w:r>
      <w:r>
        <w:rPr>
          <w:color w:val="221F1F"/>
        </w:rPr>
        <w:t>such</w:t>
      </w:r>
      <w:r>
        <w:rPr>
          <w:color w:val="221F1F"/>
          <w:spacing w:val="-4"/>
        </w:rPr>
        <w:t xml:space="preserve"> </w:t>
      </w:r>
      <w:r>
        <w:rPr>
          <w:color w:val="221F1F"/>
        </w:rPr>
        <w:t>rates</w:t>
      </w:r>
      <w:r>
        <w:rPr>
          <w:color w:val="221F1F"/>
          <w:spacing w:val="-1"/>
        </w:rPr>
        <w:t xml:space="preserve"> </w:t>
      </w:r>
      <w:r>
        <w:rPr>
          <w:color w:val="221F1F"/>
        </w:rPr>
        <w:t>and</w:t>
      </w:r>
      <w:r>
        <w:rPr>
          <w:color w:val="221F1F"/>
          <w:spacing w:val="-2"/>
        </w:rPr>
        <w:t xml:space="preserve"> </w:t>
      </w:r>
      <w:r>
        <w:rPr>
          <w:color w:val="221F1F"/>
        </w:rPr>
        <w:t>prices</w:t>
      </w:r>
      <w:r>
        <w:rPr>
          <w:color w:val="221F1F"/>
          <w:spacing w:val="-1"/>
        </w:rPr>
        <w:t xml:space="preserve"> </w:t>
      </w:r>
      <w:r>
        <w:rPr>
          <w:color w:val="221F1F"/>
        </w:rPr>
        <w:t>as</w:t>
      </w:r>
      <w:r>
        <w:rPr>
          <w:color w:val="221F1F"/>
          <w:spacing w:val="-2"/>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may</w:t>
      </w:r>
      <w:r>
        <w:rPr>
          <w:color w:val="221F1F"/>
          <w:spacing w:val="-2"/>
        </w:rPr>
        <w:t xml:space="preserve"> </w:t>
      </w:r>
      <w:r>
        <w:rPr>
          <w:color w:val="221F1F"/>
        </w:rPr>
        <w:t>fix</w:t>
      </w:r>
      <w:r>
        <w:rPr>
          <w:color w:val="221F1F"/>
          <w:spacing w:val="-5"/>
        </w:rPr>
        <w:t xml:space="preserve"> </w:t>
      </w:r>
      <w:r>
        <w:rPr>
          <w:color w:val="221F1F"/>
        </w:rPr>
        <w:t>within the terms of the Contract.</w:t>
      </w:r>
    </w:p>
    <w:p w:rsidR="007F6DF9" w:rsidRDefault="00A43FBC">
      <w:pPr>
        <w:pStyle w:val="ListParagraph"/>
        <w:numPr>
          <w:ilvl w:val="1"/>
          <w:numId w:val="128"/>
        </w:numPr>
        <w:tabs>
          <w:tab w:val="left" w:pos="1268"/>
          <w:tab w:val="left" w:pos="1275"/>
        </w:tabs>
        <w:spacing w:before="247" w:line="230" w:lineRule="auto"/>
        <w:ind w:left="1275" w:right="563" w:hanging="565"/>
        <w:jc w:val="both"/>
      </w:pPr>
      <w:r>
        <w:rPr>
          <w:color w:val="221F1F"/>
        </w:rPr>
        <w:t xml:space="preserve">The rates and prices tender in the priced Bills of Quantities shall, except in so far as it is otherwise provided under the Contract, include all Constructional Plant, </w:t>
      </w:r>
      <w:proofErr w:type="spellStart"/>
      <w:r>
        <w:rPr>
          <w:color w:val="221F1F"/>
        </w:rPr>
        <w:t>labour</w:t>
      </w:r>
      <w:proofErr w:type="spellEnd"/>
      <w:r>
        <w:rPr>
          <w:color w:val="221F1F"/>
        </w:rPr>
        <w:t>, supervision, materials, erection, maintenance, insurance,</w:t>
      </w:r>
      <w:r>
        <w:rPr>
          <w:color w:val="221F1F"/>
          <w:spacing w:val="-7"/>
        </w:rPr>
        <w:t xml:space="preserve"> </w:t>
      </w:r>
      <w:r>
        <w:rPr>
          <w:color w:val="221F1F"/>
        </w:rPr>
        <w:t>profit,</w:t>
      </w:r>
      <w:r>
        <w:rPr>
          <w:color w:val="221F1F"/>
          <w:spacing w:val="-9"/>
        </w:rPr>
        <w:t xml:space="preserve"> </w:t>
      </w:r>
      <w:r>
        <w:rPr>
          <w:color w:val="221F1F"/>
        </w:rPr>
        <w:t>taxes,</w:t>
      </w:r>
      <w:r>
        <w:rPr>
          <w:color w:val="221F1F"/>
          <w:spacing w:val="-6"/>
        </w:rPr>
        <w:t xml:space="preserve"> </w:t>
      </w:r>
      <w:r>
        <w:rPr>
          <w:color w:val="221F1F"/>
        </w:rPr>
        <w:t>and</w:t>
      </w:r>
      <w:r>
        <w:rPr>
          <w:color w:val="221F1F"/>
          <w:spacing w:val="-9"/>
        </w:rPr>
        <w:t xml:space="preserve"> </w:t>
      </w:r>
      <w:r>
        <w:rPr>
          <w:color w:val="221F1F"/>
        </w:rPr>
        <w:t>duties,</w:t>
      </w:r>
      <w:r>
        <w:rPr>
          <w:color w:val="221F1F"/>
          <w:spacing w:val="-7"/>
        </w:rPr>
        <w:t xml:space="preserve"> </w:t>
      </w:r>
      <w:r>
        <w:rPr>
          <w:color w:val="221F1F"/>
        </w:rPr>
        <w:t>together</w:t>
      </w:r>
      <w:r>
        <w:rPr>
          <w:color w:val="221F1F"/>
          <w:spacing w:val="-6"/>
        </w:rPr>
        <w:t xml:space="preserve"> </w:t>
      </w:r>
      <w:r>
        <w:rPr>
          <w:color w:val="221F1F"/>
        </w:rPr>
        <w:t>with</w:t>
      </w:r>
      <w:r>
        <w:rPr>
          <w:color w:val="221F1F"/>
          <w:spacing w:val="-7"/>
        </w:rPr>
        <w:t xml:space="preserve"> </w:t>
      </w:r>
      <w:r>
        <w:rPr>
          <w:color w:val="221F1F"/>
        </w:rPr>
        <w:t>all</w:t>
      </w:r>
      <w:r>
        <w:rPr>
          <w:color w:val="221F1F"/>
          <w:spacing w:val="-6"/>
        </w:rPr>
        <w:t xml:space="preserve"> </w:t>
      </w:r>
      <w:r>
        <w:rPr>
          <w:color w:val="221F1F"/>
        </w:rPr>
        <w:t>general</w:t>
      </w:r>
      <w:r>
        <w:rPr>
          <w:color w:val="221F1F"/>
          <w:spacing w:val="-6"/>
        </w:rPr>
        <w:t xml:space="preserve"> </w:t>
      </w:r>
      <w:r>
        <w:rPr>
          <w:color w:val="221F1F"/>
        </w:rPr>
        <w:t>risks,</w:t>
      </w:r>
      <w:r>
        <w:rPr>
          <w:color w:val="221F1F"/>
          <w:spacing w:val="-6"/>
        </w:rPr>
        <w:t xml:space="preserve"> </w:t>
      </w:r>
      <w:r>
        <w:rPr>
          <w:color w:val="221F1F"/>
        </w:rPr>
        <w:t>liabilities,</w:t>
      </w:r>
      <w:r>
        <w:rPr>
          <w:color w:val="221F1F"/>
          <w:spacing w:val="-10"/>
        </w:rPr>
        <w:t xml:space="preserve"> </w:t>
      </w:r>
      <w:r>
        <w:rPr>
          <w:color w:val="221F1F"/>
        </w:rPr>
        <w:t>and</w:t>
      </w:r>
      <w:r>
        <w:rPr>
          <w:color w:val="221F1F"/>
          <w:spacing w:val="-7"/>
        </w:rPr>
        <w:t xml:space="preserve"> </w:t>
      </w:r>
      <w:r>
        <w:rPr>
          <w:color w:val="221F1F"/>
        </w:rPr>
        <w:t>obligations</w:t>
      </w:r>
      <w:r>
        <w:rPr>
          <w:color w:val="221F1F"/>
          <w:spacing w:val="-9"/>
        </w:rPr>
        <w:t xml:space="preserve"> </w:t>
      </w:r>
      <w:r>
        <w:rPr>
          <w:color w:val="221F1F"/>
        </w:rPr>
        <w:t>set</w:t>
      </w:r>
      <w:r>
        <w:rPr>
          <w:color w:val="221F1F"/>
          <w:spacing w:val="-9"/>
        </w:rPr>
        <w:t xml:space="preserve"> </w:t>
      </w:r>
      <w:r>
        <w:rPr>
          <w:color w:val="221F1F"/>
        </w:rPr>
        <w:t>out</w:t>
      </w:r>
      <w:r>
        <w:rPr>
          <w:color w:val="221F1F"/>
          <w:spacing w:val="-6"/>
        </w:rPr>
        <w:t xml:space="preserve"> </w:t>
      </w:r>
      <w:r>
        <w:rPr>
          <w:color w:val="221F1F"/>
        </w:rPr>
        <w:t>or</w:t>
      </w:r>
      <w:r>
        <w:rPr>
          <w:color w:val="221F1F"/>
          <w:spacing w:val="-6"/>
        </w:rPr>
        <w:t xml:space="preserve"> </w:t>
      </w:r>
      <w:r>
        <w:rPr>
          <w:color w:val="221F1F"/>
        </w:rPr>
        <w:t>implied in the Contract.</w:t>
      </w:r>
    </w:p>
    <w:p w:rsidR="007F6DF9" w:rsidRDefault="00A43FBC">
      <w:pPr>
        <w:pStyle w:val="ListParagraph"/>
        <w:numPr>
          <w:ilvl w:val="1"/>
          <w:numId w:val="128"/>
        </w:numPr>
        <w:tabs>
          <w:tab w:val="left" w:pos="1268"/>
          <w:tab w:val="left" w:pos="1275"/>
        </w:tabs>
        <w:spacing w:before="243" w:line="230" w:lineRule="auto"/>
        <w:ind w:left="1275" w:right="563" w:hanging="565"/>
        <w:jc w:val="both"/>
      </w:pPr>
      <w:proofErr w:type="spellStart"/>
      <w:r>
        <w:rPr>
          <w:color w:val="221F1F"/>
        </w:rPr>
        <w:t>Arateorprice</w:t>
      </w:r>
      <w:proofErr w:type="spellEnd"/>
      <w:r>
        <w:rPr>
          <w:color w:val="221F1F"/>
          <w:spacing w:val="-5"/>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entered</w:t>
      </w:r>
      <w:r>
        <w:rPr>
          <w:color w:val="221F1F"/>
          <w:spacing w:val="-6"/>
        </w:rPr>
        <w:t xml:space="preserve"> </w:t>
      </w:r>
      <w:r>
        <w:rPr>
          <w:color w:val="221F1F"/>
        </w:rPr>
        <w:t>against</w:t>
      </w:r>
      <w:r>
        <w:rPr>
          <w:color w:val="221F1F"/>
          <w:spacing w:val="-8"/>
        </w:rPr>
        <w:t xml:space="preserve"> </w:t>
      </w:r>
      <w:r>
        <w:rPr>
          <w:color w:val="221F1F"/>
        </w:rPr>
        <w:t>each</w:t>
      </w:r>
      <w:r>
        <w:rPr>
          <w:color w:val="221F1F"/>
          <w:spacing w:val="-7"/>
        </w:rPr>
        <w:t xml:space="preserve"> </w:t>
      </w:r>
      <w:r>
        <w:rPr>
          <w:color w:val="221F1F"/>
        </w:rPr>
        <w:t>item</w:t>
      </w:r>
      <w:r>
        <w:rPr>
          <w:color w:val="221F1F"/>
          <w:spacing w:val="-6"/>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priced</w:t>
      </w:r>
      <w:r>
        <w:rPr>
          <w:color w:val="221F1F"/>
          <w:spacing w:val="-6"/>
        </w:rPr>
        <w:t xml:space="preserve"> </w:t>
      </w:r>
      <w:r>
        <w:rPr>
          <w:color w:val="221F1F"/>
        </w:rPr>
        <w:t>Bill</w:t>
      </w:r>
      <w:r>
        <w:rPr>
          <w:color w:val="221F1F"/>
          <w:spacing w:val="-6"/>
        </w:rPr>
        <w:t xml:space="preserve"> </w:t>
      </w:r>
      <w:r>
        <w:rPr>
          <w:color w:val="221F1F"/>
        </w:rPr>
        <w:t>of</w:t>
      </w:r>
      <w:r>
        <w:rPr>
          <w:color w:val="221F1F"/>
          <w:spacing w:val="-6"/>
        </w:rPr>
        <w:t xml:space="preserve"> </w:t>
      </w:r>
      <w:r>
        <w:rPr>
          <w:color w:val="221F1F"/>
        </w:rPr>
        <w:t>Quantities,</w:t>
      </w:r>
      <w:r>
        <w:rPr>
          <w:color w:val="221F1F"/>
          <w:spacing w:val="-6"/>
        </w:rPr>
        <w:t xml:space="preserve"> </w:t>
      </w:r>
      <w:r>
        <w:rPr>
          <w:color w:val="221F1F"/>
        </w:rPr>
        <w:t>whether</w:t>
      </w:r>
      <w:r>
        <w:rPr>
          <w:color w:val="221F1F"/>
          <w:spacing w:val="-7"/>
        </w:rPr>
        <w:t xml:space="preserve"> </w:t>
      </w:r>
      <w:r>
        <w:rPr>
          <w:color w:val="221F1F"/>
        </w:rPr>
        <w:t>quantities</w:t>
      </w:r>
      <w:r>
        <w:rPr>
          <w:color w:val="221F1F"/>
          <w:spacing w:val="-6"/>
        </w:rPr>
        <w:t xml:space="preserve"> </w:t>
      </w:r>
      <w:r>
        <w:rPr>
          <w:color w:val="221F1F"/>
        </w:rPr>
        <w:t>are</w:t>
      </w:r>
      <w:r>
        <w:rPr>
          <w:color w:val="221F1F"/>
          <w:spacing w:val="-6"/>
        </w:rPr>
        <w:t xml:space="preserve"> </w:t>
      </w:r>
      <w:r>
        <w:rPr>
          <w:color w:val="221F1F"/>
        </w:rPr>
        <w:t>stated</w:t>
      </w:r>
      <w:r>
        <w:rPr>
          <w:color w:val="221F1F"/>
          <w:spacing w:val="-6"/>
        </w:rPr>
        <w:t xml:space="preserve"> </w:t>
      </w:r>
      <w:r>
        <w:rPr>
          <w:color w:val="221F1F"/>
        </w:rPr>
        <w:t>or not. The cost of Items against which the Contractor has failed to enter a rate or price shall be deemed to be covered by other rates and prices entered in the Bill of Quantities.</w:t>
      </w:r>
    </w:p>
    <w:p w:rsidR="007F6DF9" w:rsidRDefault="00A43FBC">
      <w:pPr>
        <w:pStyle w:val="ListParagraph"/>
        <w:numPr>
          <w:ilvl w:val="1"/>
          <w:numId w:val="128"/>
        </w:numPr>
        <w:tabs>
          <w:tab w:val="left" w:pos="1268"/>
          <w:tab w:val="left" w:pos="1273"/>
        </w:tabs>
        <w:spacing w:before="245" w:line="230" w:lineRule="auto"/>
        <w:ind w:right="562" w:hanging="563"/>
        <w:jc w:val="both"/>
      </w:pPr>
      <w:r>
        <w:rPr>
          <w:color w:val="221F1F"/>
        </w:rPr>
        <w:t>The</w:t>
      </w:r>
      <w:r>
        <w:rPr>
          <w:color w:val="221F1F"/>
          <w:spacing w:val="-6"/>
        </w:rPr>
        <w:t xml:space="preserve"> </w:t>
      </w:r>
      <w:r>
        <w:rPr>
          <w:color w:val="221F1F"/>
        </w:rPr>
        <w:t>whole</w:t>
      </w:r>
      <w:r>
        <w:rPr>
          <w:color w:val="221F1F"/>
          <w:spacing w:val="-6"/>
        </w:rPr>
        <w:t xml:space="preserve"> </w:t>
      </w:r>
      <w:r>
        <w:rPr>
          <w:color w:val="221F1F"/>
        </w:rPr>
        <w:t>cost</w:t>
      </w:r>
      <w:r>
        <w:rPr>
          <w:color w:val="221F1F"/>
          <w:spacing w:val="-5"/>
        </w:rPr>
        <w:t xml:space="preserve"> </w:t>
      </w:r>
      <w:r>
        <w:rPr>
          <w:color w:val="221F1F"/>
        </w:rPr>
        <w:t>of</w:t>
      </w:r>
      <w:r>
        <w:rPr>
          <w:color w:val="221F1F"/>
          <w:spacing w:val="-5"/>
        </w:rPr>
        <w:t xml:space="preserve"> </w:t>
      </w:r>
      <w:r>
        <w:rPr>
          <w:color w:val="221F1F"/>
        </w:rPr>
        <w:t>complying</w:t>
      </w:r>
      <w:r>
        <w:rPr>
          <w:color w:val="221F1F"/>
          <w:spacing w:val="-5"/>
        </w:rPr>
        <w:t xml:space="preserve"> </w:t>
      </w:r>
      <w:r>
        <w:rPr>
          <w:color w:val="221F1F"/>
        </w:rPr>
        <w:t>with</w:t>
      </w:r>
      <w:r>
        <w:rPr>
          <w:color w:val="221F1F"/>
          <w:spacing w:val="-6"/>
        </w:rPr>
        <w:t xml:space="preserve"> </w:t>
      </w:r>
      <w:r>
        <w:rPr>
          <w:color w:val="221F1F"/>
        </w:rPr>
        <w:t>the</w:t>
      </w:r>
      <w:r>
        <w:rPr>
          <w:color w:val="221F1F"/>
          <w:spacing w:val="-5"/>
        </w:rPr>
        <w:t xml:space="preserve"> </w:t>
      </w:r>
      <w:r>
        <w:rPr>
          <w:color w:val="221F1F"/>
        </w:rPr>
        <w:t>provisions</w:t>
      </w:r>
      <w:r>
        <w:rPr>
          <w:color w:val="221F1F"/>
          <w:spacing w:val="-5"/>
        </w:rPr>
        <w:t xml:space="preserve"> </w:t>
      </w:r>
      <w:r>
        <w:rPr>
          <w:color w:val="221F1F"/>
        </w:rPr>
        <w:t>of</w:t>
      </w:r>
      <w:r>
        <w:rPr>
          <w:color w:val="221F1F"/>
          <w:spacing w:val="-5"/>
        </w:rPr>
        <w:t xml:space="preserve"> </w:t>
      </w:r>
      <w:r>
        <w:rPr>
          <w:color w:val="221F1F"/>
        </w:rPr>
        <w:t>the</w:t>
      </w:r>
      <w:r>
        <w:rPr>
          <w:color w:val="221F1F"/>
          <w:spacing w:val="-8"/>
        </w:rPr>
        <w:t xml:space="preserve"> </w:t>
      </w:r>
      <w:r>
        <w:rPr>
          <w:color w:val="221F1F"/>
        </w:rPr>
        <w:t>Contract</w:t>
      </w:r>
      <w:r>
        <w:rPr>
          <w:color w:val="221F1F"/>
          <w:spacing w:val="-4"/>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included</w:t>
      </w:r>
      <w:r>
        <w:rPr>
          <w:color w:val="221F1F"/>
          <w:spacing w:val="-5"/>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Items</w:t>
      </w:r>
      <w:r>
        <w:rPr>
          <w:color w:val="221F1F"/>
          <w:spacing w:val="-5"/>
        </w:rPr>
        <w:t xml:space="preserve"> </w:t>
      </w:r>
      <w:r>
        <w:rPr>
          <w:color w:val="221F1F"/>
        </w:rPr>
        <w:t>provided</w:t>
      </w:r>
      <w:r>
        <w:rPr>
          <w:color w:val="221F1F"/>
          <w:spacing w:val="-6"/>
        </w:rPr>
        <w:t xml:space="preserve"> </w:t>
      </w:r>
      <w:r>
        <w:rPr>
          <w:color w:val="221F1F"/>
        </w:rPr>
        <w:t>in</w:t>
      </w:r>
      <w:r>
        <w:rPr>
          <w:color w:val="221F1F"/>
          <w:spacing w:val="-6"/>
        </w:rPr>
        <w:t xml:space="preserve"> </w:t>
      </w:r>
      <w:r>
        <w:rPr>
          <w:color w:val="221F1F"/>
        </w:rPr>
        <w:t>the priced Bills</w:t>
      </w:r>
      <w:r>
        <w:rPr>
          <w:color w:val="221F1F"/>
          <w:spacing w:val="-1"/>
        </w:rPr>
        <w:t xml:space="preserve"> </w:t>
      </w:r>
      <w:r>
        <w:rPr>
          <w:color w:val="221F1F"/>
        </w:rPr>
        <w:t>of</w:t>
      </w:r>
      <w:r>
        <w:rPr>
          <w:color w:val="221F1F"/>
          <w:spacing w:val="-1"/>
        </w:rPr>
        <w:t xml:space="preserve"> </w:t>
      </w:r>
      <w:r>
        <w:rPr>
          <w:color w:val="221F1F"/>
        </w:rPr>
        <w:t>Quantities,</w:t>
      </w:r>
      <w:r>
        <w:rPr>
          <w:color w:val="221F1F"/>
          <w:spacing w:val="-1"/>
        </w:rPr>
        <w:t xml:space="preserve"> </w:t>
      </w:r>
      <w:r>
        <w:rPr>
          <w:color w:val="221F1F"/>
        </w:rPr>
        <w:t>and where no Items</w:t>
      </w:r>
      <w:r>
        <w:rPr>
          <w:color w:val="221F1F"/>
          <w:spacing w:val="-1"/>
        </w:rPr>
        <w:t xml:space="preserve"> </w:t>
      </w:r>
      <w:r>
        <w:rPr>
          <w:color w:val="221F1F"/>
        </w:rPr>
        <w:t>are provided,</w:t>
      </w:r>
      <w:r>
        <w:rPr>
          <w:color w:val="221F1F"/>
          <w:spacing w:val="-1"/>
        </w:rPr>
        <w:t xml:space="preserve"> </w:t>
      </w:r>
      <w:r>
        <w:rPr>
          <w:color w:val="221F1F"/>
        </w:rPr>
        <w:t>the cost</w:t>
      </w:r>
      <w:r>
        <w:rPr>
          <w:color w:val="221F1F"/>
          <w:spacing w:val="-1"/>
        </w:rPr>
        <w:t xml:space="preserve"> </w:t>
      </w:r>
      <w:r>
        <w:rPr>
          <w:color w:val="221F1F"/>
        </w:rPr>
        <w:t>shall be deemed to be</w:t>
      </w:r>
      <w:r>
        <w:rPr>
          <w:color w:val="221F1F"/>
          <w:spacing w:val="-2"/>
        </w:rPr>
        <w:t xml:space="preserve"> </w:t>
      </w:r>
      <w:r>
        <w:rPr>
          <w:color w:val="221F1F"/>
        </w:rPr>
        <w:t xml:space="preserve">distributed among the </w:t>
      </w:r>
      <w:proofErr w:type="spellStart"/>
      <w:r>
        <w:rPr>
          <w:color w:val="221F1F"/>
        </w:rPr>
        <w:t>ratesand</w:t>
      </w:r>
      <w:proofErr w:type="spellEnd"/>
      <w:r>
        <w:rPr>
          <w:color w:val="221F1F"/>
        </w:rPr>
        <w:t xml:space="preserve"> prices entered for the related Items of Work.</w:t>
      </w:r>
    </w:p>
    <w:p w:rsidR="007F6DF9" w:rsidRDefault="00A43FBC">
      <w:pPr>
        <w:pStyle w:val="ListParagraph"/>
        <w:numPr>
          <w:ilvl w:val="1"/>
          <w:numId w:val="128"/>
        </w:numPr>
        <w:tabs>
          <w:tab w:val="left" w:pos="1268"/>
          <w:tab w:val="left" w:pos="1273"/>
        </w:tabs>
        <w:spacing w:before="244" w:line="230" w:lineRule="auto"/>
        <w:ind w:right="562" w:hanging="565"/>
        <w:jc w:val="both"/>
      </w:pPr>
      <w:r>
        <w:rPr>
          <w:color w:val="221F1F"/>
        </w:rPr>
        <w:t>General directions</w:t>
      </w:r>
      <w:r>
        <w:rPr>
          <w:color w:val="221F1F"/>
          <w:spacing w:val="-1"/>
        </w:rPr>
        <w:t xml:space="preserve"> </w:t>
      </w:r>
      <w:r>
        <w:rPr>
          <w:color w:val="221F1F"/>
        </w:rPr>
        <w:t>and descriptions of work and materials are not necessarily repeated nor summarized</w:t>
      </w:r>
      <w:r>
        <w:rPr>
          <w:color w:val="221F1F"/>
          <w:spacing w:val="-1"/>
        </w:rPr>
        <w:t xml:space="preserve"> </w:t>
      </w:r>
      <w:r>
        <w:rPr>
          <w:color w:val="221F1F"/>
        </w:rPr>
        <w:t>in the Bills</w:t>
      </w:r>
      <w:r>
        <w:rPr>
          <w:color w:val="221F1F"/>
          <w:spacing w:val="-14"/>
        </w:rPr>
        <w:t xml:space="preserve"> </w:t>
      </w:r>
      <w:r>
        <w:rPr>
          <w:color w:val="221F1F"/>
        </w:rPr>
        <w:t>of</w:t>
      </w:r>
      <w:r>
        <w:rPr>
          <w:color w:val="221F1F"/>
          <w:spacing w:val="-13"/>
        </w:rPr>
        <w:t xml:space="preserve"> </w:t>
      </w:r>
      <w:r>
        <w:rPr>
          <w:color w:val="221F1F"/>
        </w:rPr>
        <w:t>Quantities.</w:t>
      </w:r>
      <w:r>
        <w:rPr>
          <w:color w:val="221F1F"/>
          <w:spacing w:val="-11"/>
        </w:rPr>
        <w:t xml:space="preserve"> </w:t>
      </w:r>
      <w:r>
        <w:rPr>
          <w:color w:val="221F1F"/>
        </w:rPr>
        <w:t>References</w:t>
      </w:r>
      <w:r>
        <w:rPr>
          <w:color w:val="221F1F"/>
          <w:spacing w:val="-12"/>
        </w:rPr>
        <w:t xml:space="preserve"> </w:t>
      </w:r>
      <w:r>
        <w:rPr>
          <w:color w:val="221F1F"/>
        </w:rPr>
        <w:t>to</w:t>
      </w:r>
      <w:r>
        <w:rPr>
          <w:color w:val="221F1F"/>
          <w:spacing w:val="-14"/>
        </w:rPr>
        <w:t xml:space="preserve"> </w:t>
      </w:r>
      <w:r>
        <w:rPr>
          <w:color w:val="221F1F"/>
        </w:rPr>
        <w:t>the</w:t>
      </w:r>
      <w:r>
        <w:rPr>
          <w:color w:val="221F1F"/>
          <w:spacing w:val="-14"/>
        </w:rPr>
        <w:t xml:space="preserve"> </w:t>
      </w:r>
      <w:r>
        <w:rPr>
          <w:color w:val="221F1F"/>
        </w:rPr>
        <w:t>relevant</w:t>
      </w:r>
      <w:r>
        <w:rPr>
          <w:color w:val="221F1F"/>
          <w:spacing w:val="-12"/>
        </w:rPr>
        <w:t xml:space="preserve"> </w:t>
      </w:r>
      <w:r>
        <w:rPr>
          <w:color w:val="221F1F"/>
        </w:rPr>
        <w:t>sections</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Contract</w:t>
      </w:r>
      <w:r>
        <w:rPr>
          <w:color w:val="221F1F"/>
          <w:spacing w:val="-13"/>
        </w:rPr>
        <w:t xml:space="preserve"> </w:t>
      </w:r>
      <w:r>
        <w:rPr>
          <w:color w:val="221F1F"/>
        </w:rPr>
        <w:t>documents</w:t>
      </w:r>
      <w:r>
        <w:rPr>
          <w:color w:val="221F1F"/>
          <w:spacing w:val="-11"/>
        </w:rPr>
        <w:t xml:space="preserve"> </w:t>
      </w:r>
      <w:r>
        <w:rPr>
          <w:color w:val="221F1F"/>
        </w:rPr>
        <w:t>shall</w:t>
      </w:r>
      <w:r>
        <w:rPr>
          <w:color w:val="221F1F"/>
          <w:spacing w:val="-10"/>
        </w:rPr>
        <w:t xml:space="preserve"> </w:t>
      </w:r>
      <w:r>
        <w:rPr>
          <w:color w:val="221F1F"/>
        </w:rPr>
        <w:t>be</w:t>
      </w:r>
      <w:r>
        <w:rPr>
          <w:color w:val="221F1F"/>
          <w:spacing w:val="-14"/>
        </w:rPr>
        <w:t xml:space="preserve"> </w:t>
      </w:r>
      <w:r>
        <w:rPr>
          <w:color w:val="221F1F"/>
        </w:rPr>
        <w:t>made</w:t>
      </w:r>
      <w:r>
        <w:rPr>
          <w:color w:val="221F1F"/>
          <w:spacing w:val="-11"/>
        </w:rPr>
        <w:t xml:space="preserve"> </w:t>
      </w:r>
      <w:r>
        <w:rPr>
          <w:color w:val="221F1F"/>
        </w:rPr>
        <w:t>before</w:t>
      </w:r>
      <w:r>
        <w:rPr>
          <w:color w:val="221F1F"/>
          <w:spacing w:val="-13"/>
        </w:rPr>
        <w:t xml:space="preserve"> </w:t>
      </w:r>
      <w:r>
        <w:rPr>
          <w:color w:val="221F1F"/>
        </w:rPr>
        <w:t xml:space="preserve">entering prices </w:t>
      </w:r>
      <w:proofErr w:type="spellStart"/>
      <w:r>
        <w:rPr>
          <w:color w:val="221F1F"/>
        </w:rPr>
        <w:t>agains</w:t>
      </w:r>
      <w:proofErr w:type="spellEnd"/>
      <w:r>
        <w:rPr>
          <w:color w:val="221F1F"/>
        </w:rPr>
        <w:t xml:space="preserve"> teach item in the priced Bills of Quantities.</w:t>
      </w:r>
    </w:p>
    <w:p w:rsidR="007F6DF9" w:rsidRDefault="00A43FBC">
      <w:pPr>
        <w:pStyle w:val="ListParagraph"/>
        <w:numPr>
          <w:ilvl w:val="1"/>
          <w:numId w:val="127"/>
        </w:numPr>
        <w:tabs>
          <w:tab w:val="left" w:pos="1268"/>
          <w:tab w:val="left" w:pos="1273"/>
        </w:tabs>
        <w:spacing w:before="244" w:line="230" w:lineRule="auto"/>
        <w:ind w:right="562" w:hanging="565"/>
        <w:jc w:val="both"/>
      </w:pPr>
      <w:r>
        <w:rPr>
          <w:color w:val="221F1F"/>
        </w:rPr>
        <w:t>Provisional</w:t>
      </w:r>
      <w:r>
        <w:rPr>
          <w:color w:val="221F1F"/>
          <w:spacing w:val="-14"/>
        </w:rPr>
        <w:t xml:space="preserve"> </w:t>
      </w:r>
      <w:r>
        <w:rPr>
          <w:color w:val="221F1F"/>
        </w:rPr>
        <w:t>Sums</w:t>
      </w:r>
      <w:r>
        <w:rPr>
          <w:color w:val="221F1F"/>
          <w:spacing w:val="-14"/>
        </w:rPr>
        <w:t xml:space="preserve"> </w:t>
      </w:r>
      <w:r>
        <w:rPr>
          <w:color w:val="221F1F"/>
        </w:rPr>
        <w:t>and</w:t>
      </w:r>
      <w:r>
        <w:rPr>
          <w:color w:val="221F1F"/>
          <w:spacing w:val="-14"/>
        </w:rPr>
        <w:t xml:space="preserve"> </w:t>
      </w:r>
      <w:r>
        <w:rPr>
          <w:color w:val="221F1F"/>
        </w:rPr>
        <w:t>contingency</w:t>
      </w:r>
      <w:r>
        <w:rPr>
          <w:color w:val="221F1F"/>
          <w:spacing w:val="-13"/>
        </w:rPr>
        <w:t xml:space="preserve"> </w:t>
      </w:r>
      <w:r>
        <w:rPr>
          <w:color w:val="221F1F"/>
        </w:rPr>
        <w:t>sums</w:t>
      </w:r>
      <w:r>
        <w:rPr>
          <w:color w:val="221F1F"/>
          <w:spacing w:val="-14"/>
        </w:rPr>
        <w:t xml:space="preserve"> </w:t>
      </w:r>
      <w:r>
        <w:rPr>
          <w:color w:val="221F1F"/>
        </w:rPr>
        <w:t>included</w:t>
      </w:r>
      <w:r>
        <w:rPr>
          <w:color w:val="221F1F"/>
          <w:spacing w:val="-13"/>
        </w:rPr>
        <w:t xml:space="preserve"> </w:t>
      </w:r>
      <w:r>
        <w:rPr>
          <w:color w:val="221F1F"/>
        </w:rPr>
        <w:t>and</w:t>
      </w:r>
      <w:r>
        <w:rPr>
          <w:color w:val="221F1F"/>
          <w:spacing w:val="-13"/>
        </w:rPr>
        <w:t xml:space="preserve"> </w:t>
      </w:r>
      <w:r>
        <w:rPr>
          <w:color w:val="221F1F"/>
        </w:rPr>
        <w:t>so</w:t>
      </w:r>
      <w:r>
        <w:rPr>
          <w:color w:val="221F1F"/>
          <w:spacing w:val="-14"/>
        </w:rPr>
        <w:t xml:space="preserve"> </w:t>
      </w:r>
      <w:r>
        <w:rPr>
          <w:color w:val="221F1F"/>
        </w:rPr>
        <w:t>designated</w:t>
      </w:r>
      <w:r>
        <w:rPr>
          <w:color w:val="221F1F"/>
          <w:spacing w:val="-14"/>
        </w:rPr>
        <w:t xml:space="preserve"> </w:t>
      </w:r>
      <w:r>
        <w:rPr>
          <w:color w:val="221F1F"/>
        </w:rPr>
        <w:t>in</w:t>
      </w:r>
      <w:r>
        <w:rPr>
          <w:color w:val="221F1F"/>
          <w:spacing w:val="-13"/>
        </w:rPr>
        <w:t xml:space="preserve"> </w:t>
      </w:r>
      <w:r>
        <w:rPr>
          <w:color w:val="221F1F"/>
        </w:rPr>
        <w:t>the</w:t>
      </w:r>
      <w:r>
        <w:rPr>
          <w:color w:val="221F1F"/>
          <w:spacing w:val="-13"/>
        </w:rPr>
        <w:t xml:space="preserve"> </w:t>
      </w:r>
      <w:r>
        <w:rPr>
          <w:color w:val="221F1F"/>
        </w:rPr>
        <w:t>Bills</w:t>
      </w:r>
      <w:r>
        <w:rPr>
          <w:color w:val="221F1F"/>
          <w:spacing w:val="-14"/>
        </w:rPr>
        <w:t xml:space="preserve"> </w:t>
      </w:r>
      <w:r>
        <w:rPr>
          <w:color w:val="221F1F"/>
        </w:rPr>
        <w:t>of</w:t>
      </w:r>
      <w:r>
        <w:rPr>
          <w:color w:val="221F1F"/>
          <w:spacing w:val="-14"/>
        </w:rPr>
        <w:t xml:space="preserve"> </w:t>
      </w:r>
      <w:r>
        <w:rPr>
          <w:color w:val="221F1F"/>
        </w:rPr>
        <w:t>Quantities</w:t>
      </w:r>
      <w:r>
        <w:rPr>
          <w:color w:val="221F1F"/>
          <w:spacing w:val="-11"/>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expended in whole or in part at the direction and discretion of the Architect in accordance with Sub-Clause13.5 and Clause 13.6 of the General Conditions of contract.</w:t>
      </w:r>
    </w:p>
    <w:p w:rsidR="007F6DF9" w:rsidRDefault="00A43FBC">
      <w:pPr>
        <w:pStyle w:val="ListParagraph"/>
        <w:numPr>
          <w:ilvl w:val="1"/>
          <w:numId w:val="127"/>
        </w:numPr>
        <w:tabs>
          <w:tab w:val="left" w:pos="1267"/>
          <w:tab w:val="left" w:pos="1273"/>
        </w:tabs>
        <w:spacing w:before="3" w:line="230" w:lineRule="auto"/>
        <w:ind w:right="565" w:hanging="565"/>
        <w:jc w:val="both"/>
      </w:pPr>
      <w:r>
        <w:rPr>
          <w:color w:val="221F1F"/>
        </w:rPr>
        <w:t>In</w:t>
      </w:r>
      <w:r>
        <w:rPr>
          <w:color w:val="221F1F"/>
          <w:spacing w:val="-11"/>
        </w:rPr>
        <w:t xml:space="preserve"> </w:t>
      </w:r>
      <w:r>
        <w:rPr>
          <w:color w:val="221F1F"/>
        </w:rPr>
        <w:t>preparing</w:t>
      </w:r>
      <w:r>
        <w:rPr>
          <w:color w:val="221F1F"/>
          <w:spacing w:val="-13"/>
        </w:rPr>
        <w:t xml:space="preserve"> </w:t>
      </w:r>
      <w:r>
        <w:rPr>
          <w:color w:val="221F1F"/>
        </w:rPr>
        <w:t>the</w:t>
      </w:r>
      <w:r>
        <w:rPr>
          <w:color w:val="221F1F"/>
          <w:spacing w:val="-10"/>
        </w:rPr>
        <w:t xml:space="preserve"> </w:t>
      </w:r>
      <w:r>
        <w:rPr>
          <w:color w:val="221F1F"/>
        </w:rPr>
        <w:t>Bills</w:t>
      </w:r>
      <w:r>
        <w:rPr>
          <w:color w:val="221F1F"/>
          <w:spacing w:val="-10"/>
        </w:rPr>
        <w:t xml:space="preserve"> </w:t>
      </w:r>
      <w:r>
        <w:rPr>
          <w:color w:val="221F1F"/>
        </w:rPr>
        <w:t>of</w:t>
      </w:r>
      <w:r>
        <w:rPr>
          <w:color w:val="221F1F"/>
          <w:spacing w:val="-10"/>
        </w:rPr>
        <w:t xml:space="preserve"> </w:t>
      </w:r>
      <w:r>
        <w:rPr>
          <w:color w:val="221F1F"/>
        </w:rPr>
        <w:t>Quantities,</w:t>
      </w:r>
      <w:r>
        <w:rPr>
          <w:color w:val="221F1F"/>
          <w:spacing w:val="-10"/>
        </w:rPr>
        <w:t xml:space="preserve"> </w:t>
      </w:r>
      <w:r>
        <w:rPr>
          <w:color w:val="221F1F"/>
        </w:rPr>
        <w:t>notes</w:t>
      </w:r>
      <w:r>
        <w:rPr>
          <w:color w:val="221F1F"/>
          <w:spacing w:val="-10"/>
        </w:rPr>
        <w:t xml:space="preserve"> </w:t>
      </w:r>
      <w:r>
        <w:rPr>
          <w:color w:val="221F1F"/>
        </w:rPr>
        <w:t>should</w:t>
      </w:r>
      <w:r>
        <w:rPr>
          <w:color w:val="221F1F"/>
          <w:spacing w:val="-11"/>
        </w:rPr>
        <w:t xml:space="preserve"> </w:t>
      </w:r>
      <w:r>
        <w:rPr>
          <w:color w:val="221F1F"/>
        </w:rPr>
        <w:t>be</w:t>
      </w:r>
      <w:r>
        <w:rPr>
          <w:color w:val="221F1F"/>
          <w:spacing w:val="-10"/>
        </w:rPr>
        <w:t xml:space="preserve"> </w:t>
      </w:r>
      <w:r>
        <w:rPr>
          <w:color w:val="221F1F"/>
        </w:rPr>
        <w:t>removed</w:t>
      </w:r>
      <w:r>
        <w:rPr>
          <w:color w:val="221F1F"/>
          <w:spacing w:val="-12"/>
        </w:rPr>
        <w:t xml:space="preserve"> </w:t>
      </w:r>
      <w:r>
        <w:rPr>
          <w:color w:val="221F1F"/>
        </w:rPr>
        <w:t>as</w:t>
      </w:r>
      <w:r>
        <w:rPr>
          <w:color w:val="221F1F"/>
          <w:spacing w:val="-13"/>
        </w:rPr>
        <w:t xml:space="preserve"> </w:t>
      </w:r>
      <w:r>
        <w:rPr>
          <w:color w:val="221F1F"/>
        </w:rPr>
        <w:t>they</w:t>
      </w:r>
      <w:r>
        <w:rPr>
          <w:color w:val="221F1F"/>
          <w:spacing w:val="-13"/>
        </w:rPr>
        <w:t xml:space="preserve"> </w:t>
      </w:r>
      <w:r>
        <w:rPr>
          <w:color w:val="221F1F"/>
        </w:rPr>
        <w:t>are</w:t>
      </w:r>
      <w:r>
        <w:rPr>
          <w:color w:val="221F1F"/>
          <w:spacing w:val="-13"/>
        </w:rPr>
        <w:t xml:space="preserve"> </w:t>
      </w:r>
      <w:r>
        <w:rPr>
          <w:color w:val="221F1F"/>
        </w:rPr>
        <w:t>intended</w:t>
      </w:r>
      <w:r>
        <w:rPr>
          <w:color w:val="221F1F"/>
          <w:spacing w:val="-13"/>
        </w:rPr>
        <w:t xml:space="preserve"> </w:t>
      </w:r>
      <w:r>
        <w:rPr>
          <w:color w:val="221F1F"/>
        </w:rPr>
        <w:t>to</w:t>
      </w:r>
      <w:r>
        <w:rPr>
          <w:color w:val="221F1F"/>
          <w:spacing w:val="-11"/>
        </w:rPr>
        <w:t xml:space="preserve"> </w:t>
      </w:r>
      <w:r>
        <w:rPr>
          <w:color w:val="221F1F"/>
        </w:rPr>
        <w:t>guide</w:t>
      </w:r>
      <w:r>
        <w:rPr>
          <w:color w:val="221F1F"/>
          <w:spacing w:val="-12"/>
        </w:rPr>
        <w:t xml:space="preserve"> </w:t>
      </w:r>
      <w:r>
        <w:rPr>
          <w:color w:val="221F1F"/>
        </w:rPr>
        <w:t>the</w:t>
      </w:r>
      <w:r>
        <w:rPr>
          <w:color w:val="221F1F"/>
          <w:spacing w:val="-10"/>
        </w:rPr>
        <w:t xml:space="preserve"> </w:t>
      </w:r>
      <w:r>
        <w:rPr>
          <w:color w:val="221F1F"/>
        </w:rPr>
        <w:t>person</w:t>
      </w:r>
      <w:r>
        <w:rPr>
          <w:color w:val="221F1F"/>
          <w:spacing w:val="-11"/>
        </w:rPr>
        <w:t xml:space="preserve"> </w:t>
      </w:r>
      <w:r>
        <w:rPr>
          <w:color w:val="221F1F"/>
        </w:rPr>
        <w:t>preparing the Tender Documents. The Contractor must allow in his rates for any costs associated with and complying with the requirements in the Preambles.</w:t>
      </w:r>
    </w:p>
    <w:p w:rsidR="007F6DF9" w:rsidRDefault="00A43FBC">
      <w:pPr>
        <w:pStyle w:val="ListParagraph"/>
        <w:numPr>
          <w:ilvl w:val="1"/>
          <w:numId w:val="127"/>
        </w:numPr>
        <w:tabs>
          <w:tab w:val="left" w:pos="1267"/>
          <w:tab w:val="left" w:pos="1273"/>
        </w:tabs>
        <w:spacing w:before="246" w:line="230" w:lineRule="auto"/>
        <w:ind w:right="565" w:hanging="565"/>
        <w:jc w:val="both"/>
      </w:pPr>
      <w:r>
        <w:rPr>
          <w:color w:val="221F1F"/>
        </w:rPr>
        <w:t>Should</w:t>
      </w:r>
      <w:r>
        <w:rPr>
          <w:color w:val="221F1F"/>
          <w:spacing w:val="-1"/>
        </w:rPr>
        <w:t xml:space="preserve"> </w:t>
      </w:r>
      <w:r>
        <w:rPr>
          <w:color w:val="221F1F"/>
        </w:rPr>
        <w:t>a</w:t>
      </w:r>
      <w:r>
        <w:rPr>
          <w:color w:val="221F1F"/>
          <w:spacing w:val="-3"/>
        </w:rPr>
        <w:t xml:space="preserve"> </w:t>
      </w:r>
      <w:r>
        <w:rPr>
          <w:color w:val="221F1F"/>
        </w:rPr>
        <w:t>tenderer/contractor</w:t>
      </w:r>
      <w:r>
        <w:rPr>
          <w:color w:val="221F1F"/>
          <w:spacing w:val="-1"/>
        </w:rPr>
        <w:t xml:space="preserve"> </w:t>
      </w:r>
      <w:r>
        <w:rPr>
          <w:color w:val="221F1F"/>
        </w:rPr>
        <w:t>not price</w:t>
      </w:r>
      <w:r>
        <w:rPr>
          <w:color w:val="221F1F"/>
          <w:spacing w:val="-1"/>
        </w:rPr>
        <w:t xml:space="preserve"> </w:t>
      </w:r>
      <w:r>
        <w:rPr>
          <w:color w:val="221F1F"/>
        </w:rPr>
        <w:t>any</w:t>
      </w:r>
      <w:r>
        <w:rPr>
          <w:color w:val="221F1F"/>
          <w:spacing w:val="-3"/>
        </w:rPr>
        <w:t xml:space="preserve"> </w:t>
      </w:r>
      <w:r>
        <w:rPr>
          <w:color w:val="221F1F"/>
        </w:rPr>
        <w:t>item</w:t>
      </w:r>
      <w:r>
        <w:rPr>
          <w:color w:val="221F1F"/>
          <w:spacing w:val="-3"/>
        </w:rPr>
        <w:t xml:space="preserve"> </w:t>
      </w:r>
      <w:r>
        <w:rPr>
          <w:color w:val="221F1F"/>
        </w:rPr>
        <w:t>in</w:t>
      </w:r>
      <w:r>
        <w:rPr>
          <w:color w:val="221F1F"/>
          <w:spacing w:val="-1"/>
        </w:rPr>
        <w:t xml:space="preserve"> </w:t>
      </w:r>
      <w:r>
        <w:rPr>
          <w:color w:val="221F1F"/>
        </w:rPr>
        <w:t>any</w:t>
      </w:r>
      <w:r>
        <w:rPr>
          <w:color w:val="221F1F"/>
          <w:spacing w:val="-3"/>
        </w:rPr>
        <w:t xml:space="preserve"> </w:t>
      </w:r>
      <w:r>
        <w:rPr>
          <w:color w:val="221F1F"/>
        </w:rPr>
        <w:t>section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Bills</w:t>
      </w:r>
      <w:r>
        <w:rPr>
          <w:color w:val="221F1F"/>
          <w:spacing w:val="-1"/>
        </w:rPr>
        <w:t xml:space="preserve"> </w:t>
      </w:r>
      <w:r>
        <w:rPr>
          <w:color w:val="221F1F"/>
        </w:rPr>
        <w:t>of</w:t>
      </w:r>
      <w:r>
        <w:rPr>
          <w:color w:val="221F1F"/>
          <w:spacing w:val="-1"/>
        </w:rPr>
        <w:t xml:space="preserve"> </w:t>
      </w:r>
      <w:r>
        <w:rPr>
          <w:color w:val="221F1F"/>
        </w:rPr>
        <w:t>Quantities</w:t>
      </w:r>
      <w:r>
        <w:rPr>
          <w:color w:val="221F1F"/>
          <w:spacing w:val="-1"/>
        </w:rPr>
        <w:t xml:space="preserve"> </w:t>
      </w:r>
      <w:r>
        <w:rPr>
          <w:color w:val="221F1F"/>
        </w:rPr>
        <w:t>including</w:t>
      </w:r>
      <w:r>
        <w:rPr>
          <w:color w:val="221F1F"/>
          <w:spacing w:val="-1"/>
        </w:rPr>
        <w:t xml:space="preserve"> </w:t>
      </w:r>
      <w:r>
        <w:rPr>
          <w:color w:val="221F1F"/>
        </w:rPr>
        <w:t xml:space="preserve">Preliminary items, it will be assumed that he/she has spread its cost in other areas that he/she will have priced. Therefore, the </w:t>
      </w:r>
      <w:proofErr w:type="spellStart"/>
      <w:r>
        <w:rPr>
          <w:color w:val="221F1F"/>
        </w:rPr>
        <w:t>itemor</w:t>
      </w:r>
      <w:proofErr w:type="spellEnd"/>
      <w:r>
        <w:rPr>
          <w:color w:val="221F1F"/>
        </w:rPr>
        <w:t xml:space="preserve"> items will be executed without any additional costs or without being treated like variations.</w:t>
      </w:r>
    </w:p>
    <w:p w:rsidR="007F6DF9" w:rsidRDefault="007F6DF9">
      <w:pPr>
        <w:pStyle w:val="BodyText"/>
        <w:spacing w:before="225"/>
      </w:pPr>
    </w:p>
    <w:p w:rsidR="007F6DF9" w:rsidRDefault="00A43FBC">
      <w:pPr>
        <w:pStyle w:val="Heading8"/>
        <w:numPr>
          <w:ilvl w:val="0"/>
          <w:numId w:val="135"/>
        </w:numPr>
        <w:tabs>
          <w:tab w:val="left" w:pos="1268"/>
        </w:tabs>
        <w:ind w:left="1268" w:hanging="560"/>
        <w:rPr>
          <w:color w:val="221F1F"/>
        </w:rPr>
      </w:pPr>
      <w:r>
        <w:rPr>
          <w:color w:val="221F1F"/>
          <w:u w:val="single" w:color="221F1F"/>
        </w:rPr>
        <w:t>NOTES</w:t>
      </w:r>
      <w:r>
        <w:rPr>
          <w:color w:val="221F1F"/>
          <w:spacing w:val="-4"/>
          <w:u w:val="single" w:color="221F1F"/>
        </w:rPr>
        <w:t xml:space="preserve"> </w:t>
      </w:r>
      <w:r>
        <w:rPr>
          <w:color w:val="221F1F"/>
          <w:u w:val="single" w:color="221F1F"/>
        </w:rPr>
        <w:t>ON</w:t>
      </w:r>
      <w:r>
        <w:rPr>
          <w:color w:val="221F1F"/>
          <w:spacing w:val="-3"/>
          <w:u w:val="single" w:color="221F1F"/>
        </w:rPr>
        <w:t xml:space="preserve"> </w:t>
      </w:r>
      <w:r>
        <w:rPr>
          <w:color w:val="221F1F"/>
          <w:u w:val="single" w:color="221F1F"/>
        </w:rPr>
        <w:t>PREPARING</w:t>
      </w:r>
      <w:r>
        <w:rPr>
          <w:color w:val="221F1F"/>
          <w:spacing w:val="-2"/>
          <w:u w:val="single" w:color="221F1F"/>
        </w:rPr>
        <w:t xml:space="preserve"> </w:t>
      </w:r>
      <w:r>
        <w:rPr>
          <w:color w:val="221F1F"/>
          <w:u w:val="single" w:color="221F1F"/>
        </w:rPr>
        <w:t>BILLS</w:t>
      </w:r>
      <w:r>
        <w:rPr>
          <w:color w:val="221F1F"/>
          <w:spacing w:val="-3"/>
          <w:u w:val="single" w:color="221F1F"/>
        </w:rPr>
        <w:t xml:space="preserve"> </w:t>
      </w:r>
      <w:r>
        <w:rPr>
          <w:color w:val="221F1F"/>
          <w:u w:val="single" w:color="221F1F"/>
        </w:rPr>
        <w:t>OF</w:t>
      </w:r>
      <w:r>
        <w:rPr>
          <w:color w:val="221F1F"/>
          <w:spacing w:val="-5"/>
          <w:u w:val="single" w:color="221F1F"/>
        </w:rPr>
        <w:t xml:space="preserve"> </w:t>
      </w:r>
      <w:r>
        <w:rPr>
          <w:color w:val="221F1F"/>
          <w:spacing w:val="-2"/>
          <w:u w:val="single" w:color="221F1F"/>
        </w:rPr>
        <w:t>QUANTITIES</w:t>
      </w:r>
    </w:p>
    <w:p w:rsidR="007F6DF9" w:rsidRDefault="00A43FBC">
      <w:pPr>
        <w:pStyle w:val="ListParagraph"/>
        <w:numPr>
          <w:ilvl w:val="1"/>
          <w:numId w:val="135"/>
        </w:numPr>
        <w:tabs>
          <w:tab w:val="left" w:pos="1268"/>
          <w:tab w:val="left" w:pos="1273"/>
        </w:tabs>
        <w:spacing w:before="245" w:line="230" w:lineRule="auto"/>
        <w:ind w:left="1273" w:right="558" w:hanging="565"/>
        <w:jc w:val="both"/>
      </w:pPr>
      <w:r>
        <w:rPr>
          <w:color w:val="221F1F"/>
        </w:rPr>
        <w:t>The</w:t>
      </w:r>
      <w:r>
        <w:rPr>
          <w:color w:val="221F1F"/>
          <w:spacing w:val="-10"/>
        </w:rPr>
        <w:t xml:space="preserve"> </w:t>
      </w:r>
      <w:r>
        <w:rPr>
          <w:color w:val="221F1F"/>
          <w:u w:val="single" w:color="221F1F"/>
        </w:rPr>
        <w:t>Preliminary</w:t>
      </w:r>
      <w:r>
        <w:rPr>
          <w:color w:val="221F1F"/>
          <w:spacing w:val="-9"/>
          <w:u w:val="single" w:color="221F1F"/>
        </w:rPr>
        <w:t xml:space="preserve"> </w:t>
      </w:r>
      <w:r>
        <w:rPr>
          <w:color w:val="221F1F"/>
          <w:u w:val="single" w:color="221F1F"/>
        </w:rPr>
        <w:t>Items</w:t>
      </w:r>
      <w:r>
        <w:rPr>
          <w:color w:val="221F1F"/>
          <w:spacing w:val="-11"/>
        </w:rPr>
        <w:t xml:space="preserve"> </w:t>
      </w:r>
      <w:r>
        <w:rPr>
          <w:color w:val="221F1F"/>
        </w:rPr>
        <w:t>should</w:t>
      </w:r>
      <w:r>
        <w:rPr>
          <w:color w:val="221F1F"/>
          <w:spacing w:val="-9"/>
        </w:rPr>
        <w:t xml:space="preserve"> </w:t>
      </w:r>
      <w:r>
        <w:rPr>
          <w:color w:val="221F1F"/>
        </w:rPr>
        <w:t>be</w:t>
      </w:r>
      <w:r>
        <w:rPr>
          <w:color w:val="221F1F"/>
          <w:spacing w:val="-11"/>
        </w:rPr>
        <w:t xml:space="preserve"> </w:t>
      </w:r>
      <w:r>
        <w:rPr>
          <w:color w:val="221F1F"/>
        </w:rPr>
        <w:t>limited</w:t>
      </w:r>
      <w:r>
        <w:rPr>
          <w:color w:val="221F1F"/>
          <w:spacing w:val="-11"/>
        </w:rPr>
        <w:t xml:space="preserve"> </w:t>
      </w:r>
      <w:r>
        <w:rPr>
          <w:color w:val="221F1F"/>
        </w:rPr>
        <w:t>to</w:t>
      </w:r>
      <w:r>
        <w:rPr>
          <w:color w:val="221F1F"/>
          <w:spacing w:val="-9"/>
        </w:rPr>
        <w:t xml:space="preserve"> </w:t>
      </w:r>
      <w:r>
        <w:rPr>
          <w:color w:val="221F1F"/>
        </w:rPr>
        <w:t>tangible</w:t>
      </w:r>
      <w:r>
        <w:rPr>
          <w:color w:val="221F1F"/>
          <w:spacing w:val="-9"/>
        </w:rPr>
        <w:t xml:space="preserve"> </w:t>
      </w:r>
      <w:r>
        <w:rPr>
          <w:color w:val="221F1F"/>
        </w:rPr>
        <w:t>items</w:t>
      </w:r>
      <w:r>
        <w:rPr>
          <w:color w:val="221F1F"/>
          <w:spacing w:val="-11"/>
        </w:rPr>
        <w:t xml:space="preserve"> </w:t>
      </w:r>
      <w:r>
        <w:rPr>
          <w:color w:val="221F1F"/>
        </w:rPr>
        <w:t>that</w:t>
      </w:r>
      <w:r>
        <w:rPr>
          <w:color w:val="221F1F"/>
          <w:spacing w:val="-8"/>
        </w:rPr>
        <w:t xml:space="preserve"> </w:t>
      </w:r>
      <w:r>
        <w:rPr>
          <w:color w:val="221F1F"/>
        </w:rPr>
        <w:t>should</w:t>
      </w:r>
      <w:r>
        <w:rPr>
          <w:color w:val="221F1F"/>
          <w:spacing w:val="-12"/>
        </w:rPr>
        <w:t xml:space="preserve"> </w:t>
      </w:r>
      <w:r>
        <w:rPr>
          <w:color w:val="221F1F"/>
        </w:rPr>
        <w:t>be</w:t>
      </w:r>
      <w:r>
        <w:rPr>
          <w:color w:val="221F1F"/>
          <w:spacing w:val="-9"/>
        </w:rPr>
        <w:t xml:space="preserve"> </w:t>
      </w:r>
      <w:r>
        <w:rPr>
          <w:color w:val="221F1F"/>
        </w:rPr>
        <w:t>priced</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tenderer,</w:t>
      </w:r>
      <w:r>
        <w:rPr>
          <w:color w:val="221F1F"/>
          <w:spacing w:val="-9"/>
        </w:rPr>
        <w:t xml:space="preserve"> </w:t>
      </w:r>
      <w:r>
        <w:rPr>
          <w:color w:val="221F1F"/>
        </w:rPr>
        <w:t>are</w:t>
      </w:r>
      <w:r>
        <w:rPr>
          <w:color w:val="221F1F"/>
          <w:spacing w:val="-11"/>
        </w:rPr>
        <w:t xml:space="preserve"> </w:t>
      </w:r>
      <w:r>
        <w:rPr>
          <w:color w:val="221F1F"/>
        </w:rPr>
        <w:t>identifiable and can be priced separately and included in the interim valuations precisely. Such items may include such items</w:t>
      </w:r>
      <w:r>
        <w:rPr>
          <w:color w:val="221F1F"/>
          <w:spacing w:val="-3"/>
        </w:rPr>
        <w:t xml:space="preserve"> </w:t>
      </w:r>
      <w:r>
        <w:rPr>
          <w:color w:val="221F1F"/>
        </w:rPr>
        <w:t>as</w:t>
      </w:r>
      <w:r>
        <w:rPr>
          <w:color w:val="221F1F"/>
          <w:spacing w:val="-2"/>
        </w:rPr>
        <w:t xml:space="preserve"> </w:t>
      </w:r>
      <w:r>
        <w:rPr>
          <w:color w:val="221F1F"/>
        </w:rPr>
        <w:t>site office, notice boards,</w:t>
      </w:r>
      <w:r>
        <w:rPr>
          <w:color w:val="221F1F"/>
          <w:spacing w:val="-1"/>
        </w:rPr>
        <w:t xml:space="preserve"> </w:t>
      </w:r>
      <w:r>
        <w:rPr>
          <w:color w:val="221F1F"/>
        </w:rPr>
        <w:t>and</w:t>
      </w:r>
      <w:r>
        <w:rPr>
          <w:color w:val="221F1F"/>
          <w:spacing w:val="-3"/>
        </w:rPr>
        <w:t xml:space="preserve"> </w:t>
      </w:r>
      <w:r>
        <w:rPr>
          <w:color w:val="221F1F"/>
        </w:rPr>
        <w:t>other</w:t>
      </w:r>
      <w:r>
        <w:rPr>
          <w:color w:val="221F1F"/>
          <w:spacing w:val="-2"/>
        </w:rPr>
        <w:t xml:space="preserve"> </w:t>
      </w:r>
      <w:r>
        <w:rPr>
          <w:color w:val="221F1F"/>
        </w:rPr>
        <w:t>temporary</w:t>
      </w:r>
      <w:r>
        <w:rPr>
          <w:color w:val="221F1F"/>
          <w:spacing w:val="-2"/>
        </w:rPr>
        <w:t xml:space="preserve"> </w:t>
      </w:r>
      <w:r>
        <w:rPr>
          <w:color w:val="221F1F"/>
        </w:rPr>
        <w:t>works, otherwise</w:t>
      </w:r>
      <w:r>
        <w:rPr>
          <w:color w:val="221F1F"/>
          <w:spacing w:val="-2"/>
        </w:rPr>
        <w:t xml:space="preserve"> </w:t>
      </w:r>
      <w:r>
        <w:rPr>
          <w:color w:val="221F1F"/>
        </w:rPr>
        <w:t>items</w:t>
      </w:r>
      <w:r>
        <w:rPr>
          <w:color w:val="221F1F"/>
          <w:spacing w:val="-2"/>
        </w:rPr>
        <w:t xml:space="preserve"> </w:t>
      </w:r>
      <w:r>
        <w:rPr>
          <w:color w:val="221F1F"/>
        </w:rPr>
        <w:t>such as security</w:t>
      </w:r>
      <w:r>
        <w:rPr>
          <w:color w:val="221F1F"/>
          <w:spacing w:val="-2"/>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Works which are primarily part of the Contractor's obligations should be included in the Contractor's rates.</w:t>
      </w:r>
    </w:p>
    <w:p w:rsidR="007F6DF9" w:rsidRDefault="00A43FBC">
      <w:pPr>
        <w:pStyle w:val="ListParagraph"/>
        <w:numPr>
          <w:ilvl w:val="1"/>
          <w:numId w:val="135"/>
        </w:numPr>
        <w:tabs>
          <w:tab w:val="left" w:pos="1268"/>
          <w:tab w:val="left" w:pos="1273"/>
        </w:tabs>
        <w:spacing w:before="243" w:line="230" w:lineRule="auto"/>
        <w:ind w:left="1273" w:right="558" w:hanging="565"/>
        <w:jc w:val="both"/>
      </w:pPr>
      <w:r>
        <w:rPr>
          <w:color w:val="221F1F"/>
        </w:rPr>
        <w:t>The</w:t>
      </w:r>
      <w:r>
        <w:rPr>
          <w:color w:val="221F1F"/>
          <w:spacing w:val="-6"/>
        </w:rPr>
        <w:t xml:space="preserve"> </w:t>
      </w:r>
      <w:r>
        <w:rPr>
          <w:color w:val="221F1F"/>
        </w:rPr>
        <w:t>work</w:t>
      </w:r>
      <w:r>
        <w:rPr>
          <w:color w:val="221F1F"/>
          <w:spacing w:val="-6"/>
        </w:rPr>
        <w:t xml:space="preserve"> </w:t>
      </w:r>
      <w:r>
        <w:rPr>
          <w:color w:val="221F1F"/>
        </w:rPr>
        <w:t>items</w:t>
      </w:r>
      <w:r>
        <w:rPr>
          <w:color w:val="221F1F"/>
          <w:spacing w:val="-5"/>
        </w:rPr>
        <w:t xml:space="preserve"> </w:t>
      </w:r>
      <w:r>
        <w:rPr>
          <w:color w:val="221F1F"/>
        </w:rPr>
        <w:t>in</w:t>
      </w:r>
      <w:r>
        <w:rPr>
          <w:color w:val="221F1F"/>
          <w:spacing w:val="-6"/>
        </w:rPr>
        <w:t xml:space="preserve"> </w:t>
      </w:r>
      <w:r>
        <w:rPr>
          <w:color w:val="221F1F"/>
        </w:rPr>
        <w:t>the</w:t>
      </w:r>
      <w:r>
        <w:rPr>
          <w:color w:val="221F1F"/>
          <w:spacing w:val="-5"/>
        </w:rPr>
        <w:t xml:space="preserve"> </w:t>
      </w:r>
      <w:r>
        <w:rPr>
          <w:color w:val="221F1F"/>
        </w:rPr>
        <w:t>Bills</w:t>
      </w:r>
      <w:r>
        <w:rPr>
          <w:color w:val="221F1F"/>
          <w:spacing w:val="-7"/>
        </w:rPr>
        <w:t xml:space="preserve"> </w:t>
      </w:r>
      <w:r>
        <w:rPr>
          <w:color w:val="221F1F"/>
        </w:rPr>
        <w:t>of</w:t>
      </w:r>
      <w:r>
        <w:rPr>
          <w:color w:val="221F1F"/>
          <w:spacing w:val="-5"/>
        </w:rPr>
        <w:t xml:space="preserve"> </w:t>
      </w:r>
      <w:r>
        <w:rPr>
          <w:color w:val="221F1F"/>
        </w:rPr>
        <w:t>Quantities</w:t>
      </w:r>
      <w:r>
        <w:rPr>
          <w:color w:val="221F1F"/>
          <w:spacing w:val="-5"/>
        </w:rPr>
        <w:t xml:space="preserve"> </w:t>
      </w:r>
      <w:r>
        <w:rPr>
          <w:color w:val="221F1F"/>
        </w:rPr>
        <w:t>should</w:t>
      </w:r>
      <w:r>
        <w:rPr>
          <w:color w:val="221F1F"/>
          <w:spacing w:val="-6"/>
        </w:rPr>
        <w:t xml:space="preserve"> </w:t>
      </w:r>
      <w:r>
        <w:rPr>
          <w:color w:val="221F1F"/>
        </w:rPr>
        <w:t>be</w:t>
      </w:r>
      <w:r>
        <w:rPr>
          <w:color w:val="221F1F"/>
          <w:spacing w:val="-6"/>
        </w:rPr>
        <w:t xml:space="preserve"> </w:t>
      </w:r>
      <w:r>
        <w:rPr>
          <w:color w:val="221F1F"/>
        </w:rPr>
        <w:t>grouped</w:t>
      </w:r>
      <w:r>
        <w:rPr>
          <w:color w:val="221F1F"/>
          <w:spacing w:val="-5"/>
        </w:rPr>
        <w:t xml:space="preserve"> </w:t>
      </w:r>
      <w:r>
        <w:rPr>
          <w:color w:val="221F1F"/>
        </w:rPr>
        <w:t>into</w:t>
      </w:r>
      <w:r>
        <w:rPr>
          <w:color w:val="221F1F"/>
          <w:spacing w:val="-6"/>
        </w:rPr>
        <w:t xml:space="preserve"> </w:t>
      </w:r>
      <w:r>
        <w:rPr>
          <w:color w:val="221F1F"/>
        </w:rPr>
        <w:t>sections</w:t>
      </w:r>
      <w:r>
        <w:rPr>
          <w:color w:val="221F1F"/>
          <w:spacing w:val="-5"/>
        </w:rPr>
        <w:t xml:space="preserve"> </w:t>
      </w:r>
      <w:r>
        <w:rPr>
          <w:color w:val="221F1F"/>
        </w:rPr>
        <w:t>to</w:t>
      </w:r>
      <w:r>
        <w:rPr>
          <w:color w:val="221F1F"/>
          <w:spacing w:val="-6"/>
        </w:rPr>
        <w:t xml:space="preserve"> </w:t>
      </w:r>
      <w:r>
        <w:rPr>
          <w:color w:val="221F1F"/>
        </w:rPr>
        <w:t>distinguish</w:t>
      </w:r>
      <w:r>
        <w:rPr>
          <w:color w:val="221F1F"/>
          <w:spacing w:val="-4"/>
        </w:rPr>
        <w:t xml:space="preserve"> </w:t>
      </w:r>
      <w:r>
        <w:rPr>
          <w:color w:val="221F1F"/>
        </w:rPr>
        <w:t>between</w:t>
      </w:r>
      <w:r>
        <w:rPr>
          <w:color w:val="221F1F"/>
          <w:spacing w:val="-8"/>
        </w:rPr>
        <w:t xml:space="preserve"> </w:t>
      </w:r>
      <w:r>
        <w:rPr>
          <w:color w:val="221F1F"/>
        </w:rPr>
        <w:t>those</w:t>
      </w:r>
      <w:r>
        <w:rPr>
          <w:color w:val="221F1F"/>
          <w:spacing w:val="-5"/>
        </w:rPr>
        <w:t xml:space="preserve"> </w:t>
      </w:r>
      <w:r>
        <w:rPr>
          <w:color w:val="221F1F"/>
        </w:rPr>
        <w:t>parts</w:t>
      </w:r>
      <w:r>
        <w:rPr>
          <w:color w:val="221F1F"/>
          <w:spacing w:val="-5"/>
        </w:rPr>
        <w:t xml:space="preserve"> </w:t>
      </w:r>
      <w:r>
        <w:rPr>
          <w:color w:val="221F1F"/>
        </w:rPr>
        <w:t>of the Works which by nature, location, access, timing, or any other special characteristics may give rise to different methods of construction, or phasing of the Works, or considerations of cost. Such groups could be ground</w:t>
      </w:r>
      <w:r>
        <w:rPr>
          <w:color w:val="221F1F"/>
          <w:spacing w:val="-2"/>
        </w:rPr>
        <w:t xml:space="preserve"> </w:t>
      </w:r>
      <w:r>
        <w:rPr>
          <w:color w:val="221F1F"/>
        </w:rPr>
        <w:t>excavations, structures,</w:t>
      </w:r>
      <w:r>
        <w:rPr>
          <w:color w:val="221F1F"/>
          <w:spacing w:val="-2"/>
        </w:rPr>
        <w:t xml:space="preserve"> </w:t>
      </w:r>
      <w:r>
        <w:rPr>
          <w:color w:val="221F1F"/>
        </w:rPr>
        <w:t>external works,</w:t>
      </w:r>
      <w:r>
        <w:rPr>
          <w:color w:val="221F1F"/>
          <w:spacing w:val="-2"/>
        </w:rPr>
        <w:t xml:space="preserve"> </w:t>
      </w:r>
      <w:r>
        <w:rPr>
          <w:color w:val="221F1F"/>
        </w:rPr>
        <w:t>services, etc. General items</w:t>
      </w:r>
      <w:r>
        <w:rPr>
          <w:color w:val="221F1F"/>
          <w:spacing w:val="-2"/>
        </w:rPr>
        <w:t xml:space="preserve"> </w:t>
      </w:r>
      <w:r>
        <w:rPr>
          <w:color w:val="221F1F"/>
        </w:rPr>
        <w:t>common to all parts</w:t>
      </w:r>
      <w:r>
        <w:rPr>
          <w:color w:val="221F1F"/>
          <w:spacing w:val="-2"/>
        </w:rPr>
        <w:t xml:space="preserve"> </w:t>
      </w:r>
      <w:r>
        <w:rPr>
          <w:color w:val="221F1F"/>
        </w:rPr>
        <w:t>of</w:t>
      </w:r>
      <w:r>
        <w:rPr>
          <w:color w:val="221F1F"/>
          <w:spacing w:val="-2"/>
        </w:rPr>
        <w:t xml:space="preserve"> </w:t>
      </w:r>
      <w:r>
        <w:rPr>
          <w:color w:val="221F1F"/>
        </w:rPr>
        <w:t>the Works may be grouped as a separate section in the Bill of Quantities.</w:t>
      </w:r>
    </w:p>
    <w:p w:rsidR="007F6DF9" w:rsidRDefault="00A43FBC">
      <w:pPr>
        <w:pStyle w:val="ListParagraph"/>
        <w:numPr>
          <w:ilvl w:val="1"/>
          <w:numId w:val="135"/>
        </w:numPr>
        <w:tabs>
          <w:tab w:val="left" w:pos="1268"/>
          <w:tab w:val="left" w:pos="1273"/>
        </w:tabs>
        <w:spacing w:before="248" w:line="230" w:lineRule="auto"/>
        <w:ind w:left="1273" w:right="571" w:hanging="565"/>
        <w:jc w:val="both"/>
      </w:pPr>
      <w:r>
        <w:rPr>
          <w:color w:val="221F1F"/>
        </w:rPr>
        <w:t xml:space="preserve">Quantities should be computed net from the Drawings, unless directed otherwise in the Contract, and no allowance should be made for bulking, shrinkage or waste. </w:t>
      </w:r>
      <w:proofErr w:type="spellStart"/>
      <w:r>
        <w:rPr>
          <w:color w:val="221F1F"/>
        </w:rPr>
        <w:t>Quantitiesshouldberoundedupwhereappropriate</w:t>
      </w:r>
      <w:proofErr w:type="spellEnd"/>
      <w:r>
        <w:rPr>
          <w:color w:val="221F1F"/>
        </w:rPr>
        <w:t>.</w:t>
      </w:r>
    </w:p>
    <w:p w:rsidR="007F6DF9" w:rsidRDefault="00A43FBC">
      <w:pPr>
        <w:pStyle w:val="ListParagraph"/>
        <w:numPr>
          <w:ilvl w:val="1"/>
          <w:numId w:val="135"/>
        </w:numPr>
        <w:tabs>
          <w:tab w:val="left" w:pos="1262"/>
          <w:tab w:val="left" w:pos="1265"/>
        </w:tabs>
        <w:spacing w:line="230" w:lineRule="auto"/>
        <w:ind w:left="1265" w:right="567" w:hanging="563"/>
        <w:jc w:val="both"/>
      </w:pPr>
      <w:r>
        <w:rPr>
          <w:color w:val="221F1F"/>
        </w:rPr>
        <w:t xml:space="preserve">Where the measured items a redeemed not to be exact because of the likelihood that the scope can change during the execution of the works, such items could be subject to re-measurement, the word </w:t>
      </w:r>
      <w:r>
        <w:rPr>
          <w:b/>
          <w:color w:val="221F1F"/>
        </w:rPr>
        <w:t xml:space="preserve">“provisional” </w:t>
      </w:r>
      <w:r>
        <w:rPr>
          <w:color w:val="221F1F"/>
        </w:rPr>
        <w:t>should be used to identify such cases. Where whole sections of the work items fall in this class, for example foundations, they should be labelled “Provisional Quantities” or “Provisional Items” so that the Tenderer/Contractor is advised up front that such items are subject to re-measurement to done before such work is cover-up.</w:t>
      </w:r>
    </w:p>
    <w:p w:rsidR="007F6DF9" w:rsidRDefault="00A43FBC">
      <w:pPr>
        <w:pStyle w:val="ListParagraph"/>
        <w:numPr>
          <w:ilvl w:val="1"/>
          <w:numId w:val="135"/>
        </w:numPr>
        <w:tabs>
          <w:tab w:val="left" w:pos="1262"/>
          <w:tab w:val="left" w:pos="1265"/>
        </w:tabs>
        <w:spacing w:line="230" w:lineRule="auto"/>
        <w:ind w:left="1265" w:right="567" w:hanging="563"/>
        <w:jc w:val="both"/>
      </w:pPr>
      <w:r>
        <w:rPr>
          <w:color w:val="221F1F"/>
        </w:rPr>
        <w:t>All</w:t>
      </w:r>
      <w:r>
        <w:rPr>
          <w:color w:val="221F1F"/>
          <w:spacing w:val="-2"/>
        </w:rPr>
        <w:t xml:space="preserve"> </w:t>
      </w:r>
      <w:r>
        <w:rPr>
          <w:color w:val="221F1F"/>
        </w:rPr>
        <w:t>items</w:t>
      </w:r>
      <w:r>
        <w:rPr>
          <w:color w:val="221F1F"/>
          <w:spacing w:val="-1"/>
        </w:rPr>
        <w:t xml:space="preserve"> </w:t>
      </w:r>
      <w:r>
        <w:rPr>
          <w:color w:val="221F1F"/>
        </w:rPr>
        <w:t>that</w:t>
      </w:r>
      <w:r>
        <w:rPr>
          <w:color w:val="221F1F"/>
          <w:spacing w:val="-2"/>
        </w:rPr>
        <w:t xml:space="preserve"> </w:t>
      </w:r>
      <w:r>
        <w:rPr>
          <w:color w:val="221F1F"/>
        </w:rPr>
        <w:t>have</w:t>
      </w:r>
      <w:r>
        <w:rPr>
          <w:color w:val="221F1F"/>
          <w:spacing w:val="-1"/>
        </w:rPr>
        <w:t xml:space="preserve"> </w:t>
      </w:r>
      <w:r>
        <w:rPr>
          <w:color w:val="221F1F"/>
        </w:rPr>
        <w:t>not been measured</w:t>
      </w:r>
      <w:r>
        <w:rPr>
          <w:color w:val="221F1F"/>
          <w:spacing w:val="-3"/>
        </w:rPr>
        <w:t xml:space="preserve"> </w:t>
      </w:r>
      <w:r>
        <w:rPr>
          <w:color w:val="221F1F"/>
        </w:rPr>
        <w:t>and</w:t>
      </w:r>
      <w:r>
        <w:rPr>
          <w:color w:val="221F1F"/>
          <w:spacing w:val="-3"/>
        </w:rPr>
        <w:t xml:space="preserve"> </w:t>
      </w:r>
      <w:r>
        <w:rPr>
          <w:color w:val="221F1F"/>
        </w:rPr>
        <w:t>therefore not subject</w:t>
      </w:r>
      <w:r>
        <w:rPr>
          <w:color w:val="221F1F"/>
          <w:spacing w:val="-2"/>
        </w:rPr>
        <w:t xml:space="preserve"> </w:t>
      </w:r>
      <w:proofErr w:type="spellStart"/>
      <w:r>
        <w:rPr>
          <w:color w:val="221F1F"/>
        </w:rPr>
        <w:t>tot</w:t>
      </w:r>
      <w:proofErr w:type="spellEnd"/>
      <w:r>
        <w:rPr>
          <w:color w:val="221F1F"/>
          <w:spacing w:val="-2"/>
        </w:rPr>
        <w:t xml:space="preserve"> </w:t>
      </w:r>
      <w:r>
        <w:rPr>
          <w:color w:val="221F1F"/>
        </w:rPr>
        <w:t>enders</w:t>
      </w:r>
      <w:r>
        <w:rPr>
          <w:color w:val="221F1F"/>
          <w:spacing w:val="-3"/>
        </w:rPr>
        <w:t xml:space="preserve"> </w:t>
      </w:r>
      <w:r>
        <w:rPr>
          <w:color w:val="221F1F"/>
        </w:rPr>
        <w:t>pricing</w:t>
      </w:r>
      <w:r>
        <w:rPr>
          <w:color w:val="221F1F"/>
          <w:spacing w:val="-3"/>
        </w:rPr>
        <w:t xml:space="preserve"> </w:t>
      </w:r>
      <w:r>
        <w:rPr>
          <w:color w:val="221F1F"/>
        </w:rPr>
        <w:t>should be</w:t>
      </w:r>
      <w:r>
        <w:rPr>
          <w:color w:val="221F1F"/>
          <w:spacing w:val="-3"/>
        </w:rPr>
        <w:t xml:space="preserve"> </w:t>
      </w:r>
      <w:r>
        <w:rPr>
          <w:color w:val="221F1F"/>
        </w:rPr>
        <w:t>listed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 xml:space="preserve">Bills of Quantities as </w:t>
      </w:r>
      <w:r>
        <w:rPr>
          <w:b/>
          <w:color w:val="221F1F"/>
        </w:rPr>
        <w:t>Provisional Sums</w:t>
      </w:r>
      <w:r>
        <w:rPr>
          <w:b/>
          <w:color w:val="221F1F"/>
          <w:spacing w:val="-1"/>
        </w:rPr>
        <w:t xml:space="preserve"> </w:t>
      </w:r>
      <w:r>
        <w:rPr>
          <w:color w:val="221F1F"/>
        </w:rPr>
        <w:t>for particular</w:t>
      </w:r>
      <w:r>
        <w:rPr>
          <w:color w:val="221F1F"/>
          <w:spacing w:val="-1"/>
        </w:rPr>
        <w:t xml:space="preserve"> </w:t>
      </w:r>
      <w:r>
        <w:rPr>
          <w:color w:val="221F1F"/>
        </w:rPr>
        <w:t>item</w:t>
      </w:r>
      <w:r>
        <w:rPr>
          <w:color w:val="221F1F"/>
          <w:spacing w:val="-1"/>
        </w:rPr>
        <w:t xml:space="preserve"> </w:t>
      </w:r>
      <w:r>
        <w:rPr>
          <w:color w:val="221F1F"/>
        </w:rPr>
        <w:t>or class</w:t>
      </w:r>
      <w:r>
        <w:rPr>
          <w:color w:val="221F1F"/>
          <w:spacing w:val="-2"/>
        </w:rPr>
        <w:t xml:space="preserve"> </w:t>
      </w:r>
      <w:r>
        <w:rPr>
          <w:color w:val="221F1F"/>
        </w:rPr>
        <w:t>of Work,</w:t>
      </w:r>
      <w:r>
        <w:rPr>
          <w:color w:val="221F1F"/>
          <w:spacing w:val="-9"/>
        </w:rPr>
        <w:t xml:space="preserve"> </w:t>
      </w:r>
      <w:r>
        <w:rPr>
          <w:color w:val="221F1F"/>
        </w:rPr>
        <w:t>which</w:t>
      </w:r>
      <w:r>
        <w:rPr>
          <w:color w:val="221F1F"/>
          <w:spacing w:val="-2"/>
        </w:rPr>
        <w:t xml:space="preserve"> </w:t>
      </w:r>
      <w:r>
        <w:rPr>
          <w:color w:val="221F1F"/>
        </w:rPr>
        <w:t>may be subject to a nominated subcontract or separate measurements at a later date during the execution of the works. For example, if it is deemed</w:t>
      </w:r>
      <w:r>
        <w:rPr>
          <w:color w:val="221F1F"/>
          <w:spacing w:val="-4"/>
        </w:rPr>
        <w:t xml:space="preserve"> </w:t>
      </w:r>
      <w:r>
        <w:rPr>
          <w:color w:val="221F1F"/>
        </w:rPr>
        <w:t>not</w:t>
      </w:r>
      <w:r>
        <w:rPr>
          <w:color w:val="221F1F"/>
          <w:spacing w:val="-4"/>
        </w:rPr>
        <w:t xml:space="preserve"> </w:t>
      </w:r>
      <w:r>
        <w:rPr>
          <w:color w:val="221F1F"/>
        </w:rPr>
        <w:t>possible</w:t>
      </w:r>
      <w:r>
        <w:rPr>
          <w:color w:val="221F1F"/>
          <w:spacing w:val="-4"/>
        </w:rPr>
        <w:t xml:space="preserve"> </w:t>
      </w:r>
      <w:r>
        <w:rPr>
          <w:color w:val="221F1F"/>
        </w:rPr>
        <w:t>to</w:t>
      </w:r>
      <w:r>
        <w:rPr>
          <w:color w:val="221F1F"/>
          <w:spacing w:val="-5"/>
        </w:rPr>
        <w:t xml:space="preserve"> </w:t>
      </w:r>
      <w:r>
        <w:rPr>
          <w:color w:val="221F1F"/>
        </w:rPr>
        <w:t>measure</w:t>
      </w:r>
      <w:r>
        <w:rPr>
          <w:color w:val="221F1F"/>
          <w:spacing w:val="-3"/>
        </w:rPr>
        <w:t xml:space="preserve"> </w:t>
      </w:r>
      <w:r>
        <w:rPr>
          <w:color w:val="221F1F"/>
        </w:rPr>
        <w:t>electrical</w:t>
      </w:r>
      <w:r>
        <w:rPr>
          <w:color w:val="221F1F"/>
          <w:spacing w:val="-1"/>
        </w:rPr>
        <w:t xml:space="preserve"> </w:t>
      </w:r>
      <w:r>
        <w:rPr>
          <w:color w:val="221F1F"/>
        </w:rPr>
        <w:t>works</w:t>
      </w:r>
      <w:r>
        <w:rPr>
          <w:color w:val="221F1F"/>
          <w:spacing w:val="-4"/>
        </w:rPr>
        <w:t xml:space="preserve"> </w:t>
      </w:r>
      <w:r>
        <w:rPr>
          <w:color w:val="221F1F"/>
        </w:rPr>
        <w:t>before</w:t>
      </w:r>
      <w:r>
        <w:rPr>
          <w:color w:val="221F1F"/>
          <w:spacing w:val="-4"/>
        </w:rPr>
        <w:t xml:space="preserve"> </w:t>
      </w:r>
      <w:r>
        <w:rPr>
          <w:color w:val="221F1F"/>
        </w:rPr>
        <w:t>going</w:t>
      </w:r>
      <w:r>
        <w:rPr>
          <w:color w:val="221F1F"/>
          <w:spacing w:val="-5"/>
        </w:rPr>
        <w:t xml:space="preserve"> </w:t>
      </w:r>
      <w:r>
        <w:rPr>
          <w:color w:val="221F1F"/>
        </w:rPr>
        <w:t>to</w:t>
      </w:r>
      <w:r>
        <w:rPr>
          <w:color w:val="221F1F"/>
          <w:spacing w:val="-5"/>
        </w:rPr>
        <w:t xml:space="preserve"> </w:t>
      </w:r>
      <w:r>
        <w:rPr>
          <w:color w:val="221F1F"/>
        </w:rPr>
        <w:t>tender</w:t>
      </w:r>
      <w:r>
        <w:rPr>
          <w:color w:val="221F1F"/>
          <w:spacing w:val="-3"/>
        </w:rPr>
        <w:t xml:space="preserve"> </w:t>
      </w:r>
      <w:r>
        <w:rPr>
          <w:color w:val="221F1F"/>
        </w:rPr>
        <w:t>because</w:t>
      </w:r>
      <w:r>
        <w:rPr>
          <w:color w:val="221F1F"/>
          <w:spacing w:val="-1"/>
        </w:rPr>
        <w:t xml:space="preserve"> </w:t>
      </w:r>
      <w:r>
        <w:rPr>
          <w:color w:val="221F1F"/>
        </w:rPr>
        <w:t>detail</w:t>
      </w:r>
      <w:r>
        <w:rPr>
          <w:color w:val="221F1F"/>
          <w:spacing w:val="-3"/>
        </w:rPr>
        <w:t xml:space="preserve"> </w:t>
      </w:r>
      <w:r>
        <w:rPr>
          <w:color w:val="221F1F"/>
        </w:rPr>
        <w:t>designs</w:t>
      </w:r>
      <w:r>
        <w:rPr>
          <w:color w:val="221F1F"/>
          <w:spacing w:val="-4"/>
        </w:rPr>
        <w:t xml:space="preserve"> </w:t>
      </w:r>
      <w:r>
        <w:rPr>
          <w:color w:val="221F1F"/>
        </w:rPr>
        <w:t>are</w:t>
      </w:r>
      <w:r>
        <w:rPr>
          <w:color w:val="221F1F"/>
          <w:spacing w:val="-4"/>
        </w:rPr>
        <w:t xml:space="preserve"> </w:t>
      </w:r>
      <w:r>
        <w:rPr>
          <w:color w:val="221F1F"/>
        </w:rPr>
        <w:t>not</w:t>
      </w:r>
      <w:r>
        <w:rPr>
          <w:color w:val="221F1F"/>
          <w:spacing w:val="-8"/>
        </w:rPr>
        <w:t xml:space="preserve"> </w:t>
      </w:r>
      <w:r>
        <w:rPr>
          <w:color w:val="221F1F"/>
        </w:rPr>
        <w:t>ready,</w:t>
      </w:r>
      <w:r>
        <w:rPr>
          <w:color w:val="221F1F"/>
          <w:spacing w:val="-9"/>
        </w:rPr>
        <w:t xml:space="preserve"> </w:t>
      </w:r>
      <w:r>
        <w:rPr>
          <w:color w:val="221F1F"/>
        </w:rPr>
        <w:t>a provisional</w:t>
      </w:r>
      <w:r>
        <w:rPr>
          <w:color w:val="221F1F"/>
          <w:spacing w:val="-2"/>
        </w:rPr>
        <w:t xml:space="preserve"> </w:t>
      </w:r>
      <w:r>
        <w:rPr>
          <w:color w:val="221F1F"/>
        </w:rPr>
        <w:t>sum</w:t>
      </w:r>
      <w:r>
        <w:rPr>
          <w:color w:val="221F1F"/>
          <w:spacing w:val="-2"/>
        </w:rPr>
        <w:t xml:space="preserve"> </w:t>
      </w:r>
      <w:r>
        <w:rPr>
          <w:color w:val="221F1F"/>
        </w:rPr>
        <w:t>can</w:t>
      </w:r>
      <w:r>
        <w:rPr>
          <w:color w:val="221F1F"/>
          <w:spacing w:val="-2"/>
        </w:rPr>
        <w:t xml:space="preserve"> </w:t>
      </w:r>
      <w:r>
        <w:rPr>
          <w:color w:val="221F1F"/>
        </w:rPr>
        <w:t>be</w:t>
      </w:r>
      <w:r>
        <w:rPr>
          <w:color w:val="221F1F"/>
          <w:spacing w:val="-2"/>
        </w:rPr>
        <w:t xml:space="preserve"> </w:t>
      </w:r>
      <w:r>
        <w:rPr>
          <w:color w:val="221F1F"/>
        </w:rPr>
        <w:t>allowed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Bills</w:t>
      </w:r>
      <w:r>
        <w:rPr>
          <w:color w:val="221F1F"/>
          <w:spacing w:val="-2"/>
        </w:rPr>
        <w:t xml:space="preserve"> </w:t>
      </w:r>
      <w:r>
        <w:rPr>
          <w:color w:val="221F1F"/>
        </w:rPr>
        <w:t>of</w:t>
      </w:r>
      <w:r>
        <w:rPr>
          <w:color w:val="221F1F"/>
          <w:spacing w:val="-2"/>
        </w:rPr>
        <w:t xml:space="preserve"> </w:t>
      </w:r>
      <w:r>
        <w:rPr>
          <w:color w:val="221F1F"/>
        </w:rPr>
        <w:t>Quantities</w:t>
      </w:r>
      <w:r>
        <w:rPr>
          <w:color w:val="221F1F"/>
          <w:spacing w:val="-2"/>
        </w:rPr>
        <w:t xml:space="preserve"> </w:t>
      </w:r>
      <w:r>
        <w:rPr>
          <w:color w:val="221F1F"/>
        </w:rPr>
        <w:t>for</w:t>
      </w:r>
      <w:r>
        <w:rPr>
          <w:color w:val="221F1F"/>
          <w:spacing w:val="-2"/>
        </w:rPr>
        <w:t xml:space="preserve"> </w:t>
      </w:r>
      <w:r>
        <w:rPr>
          <w:color w:val="221F1F"/>
        </w:rPr>
        <w:t>“Installation</w:t>
      </w:r>
      <w:r>
        <w:rPr>
          <w:color w:val="221F1F"/>
          <w:spacing w:val="-2"/>
        </w:rPr>
        <w:t xml:space="preserve"> </w:t>
      </w:r>
      <w:r>
        <w:rPr>
          <w:color w:val="221F1F"/>
        </w:rPr>
        <w:t>of</w:t>
      </w:r>
      <w:r>
        <w:rPr>
          <w:color w:val="221F1F"/>
          <w:spacing w:val="-2"/>
        </w:rPr>
        <w:t xml:space="preserve"> </w:t>
      </w:r>
      <w:r>
        <w:rPr>
          <w:color w:val="221F1F"/>
        </w:rPr>
        <w:t>Electrical Works”</w:t>
      </w:r>
      <w:r>
        <w:rPr>
          <w:color w:val="221F1F"/>
          <w:spacing w:val="-9"/>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executed later</w:t>
      </w:r>
      <w:r>
        <w:rPr>
          <w:color w:val="221F1F"/>
          <w:spacing w:val="-7"/>
        </w:rPr>
        <w:t xml:space="preserve"> </w:t>
      </w:r>
      <w:r>
        <w:rPr>
          <w:color w:val="221F1F"/>
        </w:rPr>
        <w:t>when</w:t>
      </w:r>
      <w:r>
        <w:rPr>
          <w:color w:val="221F1F"/>
          <w:spacing w:val="-7"/>
        </w:rPr>
        <w:t xml:space="preserve"> </w:t>
      </w:r>
      <w:r>
        <w:rPr>
          <w:color w:val="221F1F"/>
        </w:rPr>
        <w:t>actual</w:t>
      </w:r>
      <w:r>
        <w:rPr>
          <w:color w:val="221F1F"/>
          <w:spacing w:val="-3"/>
        </w:rPr>
        <w:t xml:space="preserve"> </w:t>
      </w:r>
      <w:r>
        <w:rPr>
          <w:color w:val="221F1F"/>
        </w:rPr>
        <w:t>design</w:t>
      </w:r>
      <w:r>
        <w:rPr>
          <w:color w:val="221F1F"/>
          <w:spacing w:val="-5"/>
        </w:rPr>
        <w:t xml:space="preserve"> </w:t>
      </w:r>
      <w:r>
        <w:rPr>
          <w:color w:val="221F1F"/>
        </w:rPr>
        <w:t>details</w:t>
      </w:r>
      <w:r>
        <w:rPr>
          <w:color w:val="221F1F"/>
          <w:spacing w:val="-3"/>
        </w:rPr>
        <w:t xml:space="preserve"> </w:t>
      </w:r>
      <w:r>
        <w:rPr>
          <w:color w:val="221F1F"/>
        </w:rPr>
        <w:t>are</w:t>
      </w:r>
      <w:r>
        <w:rPr>
          <w:color w:val="221F1F"/>
          <w:spacing w:val="-4"/>
        </w:rPr>
        <w:t xml:space="preserve"> </w:t>
      </w:r>
      <w:r>
        <w:rPr>
          <w:color w:val="221F1F"/>
        </w:rPr>
        <w:t>completed.</w:t>
      </w:r>
      <w:r>
        <w:rPr>
          <w:color w:val="221F1F"/>
          <w:spacing w:val="-4"/>
        </w:rPr>
        <w:t xml:space="preserve"> </w:t>
      </w:r>
      <w:r>
        <w:rPr>
          <w:color w:val="221F1F"/>
        </w:rPr>
        <w:t>To</w:t>
      </w:r>
      <w:r>
        <w:rPr>
          <w:color w:val="221F1F"/>
          <w:spacing w:val="-14"/>
        </w:rPr>
        <w:t xml:space="preserve"> </w:t>
      </w:r>
      <w:r>
        <w:rPr>
          <w:color w:val="221F1F"/>
        </w:rPr>
        <w:t>the</w:t>
      </w:r>
      <w:r>
        <w:rPr>
          <w:color w:val="221F1F"/>
          <w:spacing w:val="-3"/>
        </w:rPr>
        <w:t xml:space="preserve"> </w:t>
      </w:r>
      <w:r>
        <w:rPr>
          <w:color w:val="221F1F"/>
        </w:rPr>
        <w:t>extent</w:t>
      </w:r>
      <w:r>
        <w:rPr>
          <w:color w:val="221F1F"/>
          <w:spacing w:val="-3"/>
        </w:rPr>
        <w:t xml:space="preserve"> </w:t>
      </w:r>
      <w:r>
        <w:rPr>
          <w:color w:val="221F1F"/>
        </w:rPr>
        <w:t>not</w:t>
      </w:r>
      <w:r>
        <w:rPr>
          <w:color w:val="221F1F"/>
          <w:spacing w:val="-6"/>
        </w:rPr>
        <w:t xml:space="preserve"> </w:t>
      </w:r>
      <w:r>
        <w:rPr>
          <w:color w:val="221F1F"/>
        </w:rPr>
        <w:t>covered</w:t>
      </w:r>
      <w:r>
        <w:rPr>
          <w:color w:val="221F1F"/>
          <w:spacing w:val="-4"/>
        </w:rPr>
        <w:t xml:space="preserve"> </w:t>
      </w:r>
      <w:r>
        <w:rPr>
          <w:color w:val="221F1F"/>
        </w:rPr>
        <w:t>above,</w:t>
      </w:r>
      <w:r>
        <w:rPr>
          <w:color w:val="221F1F"/>
          <w:spacing w:val="-7"/>
        </w:rPr>
        <w:t xml:space="preserve"> </w:t>
      </w:r>
      <w:r>
        <w:rPr>
          <w:color w:val="221F1F"/>
        </w:rPr>
        <w:t>there</w:t>
      </w:r>
      <w:r>
        <w:rPr>
          <w:color w:val="221F1F"/>
          <w:spacing w:val="-3"/>
        </w:rPr>
        <w:t xml:space="preserve"> </w:t>
      </w:r>
      <w:r>
        <w:rPr>
          <w:color w:val="221F1F"/>
        </w:rPr>
        <w:t>should</w:t>
      </w:r>
      <w:r>
        <w:rPr>
          <w:color w:val="221F1F"/>
          <w:spacing w:val="-7"/>
        </w:rPr>
        <w:t xml:space="preserve"> </w:t>
      </w:r>
      <w:r>
        <w:rPr>
          <w:color w:val="221F1F"/>
        </w:rPr>
        <w:t>be</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Bills</w:t>
      </w:r>
      <w:r>
        <w:rPr>
          <w:color w:val="221F1F"/>
          <w:spacing w:val="-4"/>
        </w:rPr>
        <w:t xml:space="preserve"> </w:t>
      </w:r>
      <w:r>
        <w:rPr>
          <w:color w:val="221F1F"/>
        </w:rPr>
        <w:t>of Quantities a general provision for physical and financial contingencies made as a “Provisional Sum for</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9"/>
      </w:pPr>
    </w:p>
    <w:p w:rsidR="007F6DF9" w:rsidRDefault="00A43FBC">
      <w:pPr>
        <w:pStyle w:val="BodyText"/>
        <w:spacing w:line="230" w:lineRule="auto"/>
        <w:ind w:left="1275" w:right="564"/>
        <w:jc w:val="both"/>
      </w:pPr>
      <w:r>
        <w:rPr>
          <w:color w:val="221F1F"/>
        </w:rPr>
        <w:t>Contingencies” and “Provisional Sum for Fluctuations”. The inclusion of such provisional sums often facilitates budgetary approval by avoiding</w:t>
      </w:r>
      <w:r>
        <w:rPr>
          <w:color w:val="221F1F"/>
          <w:spacing w:val="-1"/>
        </w:rPr>
        <w:t xml:space="preserve"> </w:t>
      </w:r>
      <w:r>
        <w:rPr>
          <w:color w:val="221F1F"/>
        </w:rPr>
        <w:t>the need</w:t>
      </w:r>
      <w:r>
        <w:rPr>
          <w:color w:val="221F1F"/>
          <w:spacing w:val="-1"/>
        </w:rPr>
        <w:t xml:space="preserve"> </w:t>
      </w:r>
      <w:r>
        <w:rPr>
          <w:color w:val="221F1F"/>
        </w:rPr>
        <w:t>to</w:t>
      </w:r>
      <w:r>
        <w:rPr>
          <w:color w:val="221F1F"/>
          <w:spacing w:val="-2"/>
        </w:rPr>
        <w:t xml:space="preserve"> </w:t>
      </w:r>
      <w:r>
        <w:rPr>
          <w:color w:val="221F1F"/>
        </w:rPr>
        <w:t>request periodic supplementary approvals as the future need arises.</w:t>
      </w:r>
    </w:p>
    <w:p w:rsidR="007F6DF9" w:rsidRDefault="00A43FBC">
      <w:pPr>
        <w:pStyle w:val="ListParagraph"/>
        <w:numPr>
          <w:ilvl w:val="1"/>
          <w:numId w:val="135"/>
        </w:numPr>
        <w:tabs>
          <w:tab w:val="left" w:pos="1270"/>
          <w:tab w:val="left" w:pos="1275"/>
        </w:tabs>
        <w:spacing w:before="246" w:line="230" w:lineRule="auto"/>
        <w:ind w:left="1275" w:right="563" w:hanging="565"/>
        <w:jc w:val="both"/>
      </w:pPr>
      <w:r>
        <w:rPr>
          <w:color w:val="221F1F"/>
        </w:rPr>
        <w:t>Provisional sums to cover specialized works normally carried out by Nominated Sub Contractors should be avoided and instead Bills of Quantities of the specialized Works</w:t>
      </w:r>
      <w:r>
        <w:rPr>
          <w:color w:val="221F1F"/>
          <w:spacing w:val="-2"/>
        </w:rPr>
        <w:t xml:space="preserve"> </w:t>
      </w:r>
      <w:r>
        <w:rPr>
          <w:color w:val="221F1F"/>
        </w:rPr>
        <w:t>should be included as a section of the main Bills of Quantities to be priced by the Main Contractor. The Main Contractor should be required to indicate the</w:t>
      </w:r>
      <w:r>
        <w:rPr>
          <w:color w:val="221F1F"/>
          <w:spacing w:val="-1"/>
        </w:rPr>
        <w:t xml:space="preserve"> </w:t>
      </w:r>
      <w:r>
        <w:rPr>
          <w:color w:val="221F1F"/>
        </w:rPr>
        <w:t>name(s)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specialized</w:t>
      </w:r>
      <w:r>
        <w:rPr>
          <w:color w:val="221F1F"/>
          <w:spacing w:val="-1"/>
        </w:rPr>
        <w:t xml:space="preserve"> </w:t>
      </w:r>
      <w:r>
        <w:rPr>
          <w:color w:val="221F1F"/>
        </w:rPr>
        <w:t>firms</w:t>
      </w:r>
      <w:r>
        <w:rPr>
          <w:color w:val="221F1F"/>
          <w:spacing w:val="-1"/>
        </w:rPr>
        <w:t xml:space="preserve"> </w:t>
      </w:r>
      <w:r>
        <w:rPr>
          <w:color w:val="221F1F"/>
        </w:rPr>
        <w:t>he</w:t>
      </w:r>
      <w:r>
        <w:rPr>
          <w:color w:val="221F1F"/>
          <w:spacing w:val="-1"/>
        </w:rPr>
        <w:t xml:space="preserve"> </w:t>
      </w:r>
      <w:r>
        <w:rPr>
          <w:color w:val="221F1F"/>
        </w:rPr>
        <w:t>proposes</w:t>
      </w:r>
      <w:r>
        <w:rPr>
          <w:color w:val="221F1F"/>
          <w:spacing w:val="-3"/>
        </w:rPr>
        <w:t xml:space="preserve"> </w:t>
      </w:r>
      <w:r>
        <w:rPr>
          <w:color w:val="221F1F"/>
        </w:rPr>
        <w:t>to</w:t>
      </w:r>
      <w:r>
        <w:rPr>
          <w:color w:val="221F1F"/>
          <w:spacing w:val="-1"/>
        </w:rPr>
        <w:t xml:space="preserve"> </w:t>
      </w:r>
      <w:r>
        <w:rPr>
          <w:color w:val="221F1F"/>
        </w:rPr>
        <w:t>engage</w:t>
      </w:r>
      <w:r>
        <w:rPr>
          <w:color w:val="221F1F"/>
          <w:spacing w:val="-1"/>
        </w:rPr>
        <w:t xml:space="preserve"> </w:t>
      </w:r>
      <w:r>
        <w:rPr>
          <w:color w:val="221F1F"/>
        </w:rPr>
        <w:t>to</w:t>
      </w:r>
      <w:r>
        <w:rPr>
          <w:color w:val="221F1F"/>
          <w:spacing w:val="-1"/>
        </w:rPr>
        <w:t xml:space="preserve"> </w:t>
      </w:r>
      <w:r>
        <w:rPr>
          <w:color w:val="221F1F"/>
        </w:rPr>
        <w:t>carry</w:t>
      </w:r>
      <w:r>
        <w:rPr>
          <w:color w:val="221F1F"/>
          <w:spacing w:val="-1"/>
        </w:rPr>
        <w:t xml:space="preserve"> </w:t>
      </w:r>
      <w:r>
        <w:rPr>
          <w:color w:val="221F1F"/>
        </w:rPr>
        <w:t>out</w:t>
      </w:r>
      <w:r>
        <w:rPr>
          <w:color w:val="221F1F"/>
          <w:spacing w:val="-1"/>
        </w:rPr>
        <w:t xml:space="preserve"> </w:t>
      </w:r>
      <w:r>
        <w:rPr>
          <w:color w:val="221F1F"/>
        </w:rPr>
        <w:t>the</w:t>
      </w:r>
      <w:r>
        <w:rPr>
          <w:color w:val="221F1F"/>
          <w:spacing w:val="-1"/>
        </w:rPr>
        <w:t xml:space="preserve"> </w:t>
      </w:r>
      <w:r>
        <w:rPr>
          <w:color w:val="221F1F"/>
        </w:rPr>
        <w:t>specialized Works</w:t>
      </w:r>
      <w:r>
        <w:rPr>
          <w:color w:val="221F1F"/>
          <w:spacing w:val="-10"/>
        </w:rPr>
        <w:t xml:space="preserve"> </w:t>
      </w:r>
      <w:r>
        <w:rPr>
          <w:color w:val="221F1F"/>
        </w:rPr>
        <w:t>as</w:t>
      </w:r>
      <w:r>
        <w:rPr>
          <w:color w:val="221F1F"/>
          <w:spacing w:val="-3"/>
        </w:rPr>
        <w:t xml:space="preserve"> </w:t>
      </w:r>
      <w:r>
        <w:rPr>
          <w:color w:val="221F1F"/>
        </w:rPr>
        <w:t>his</w:t>
      </w:r>
      <w:r>
        <w:rPr>
          <w:color w:val="221F1F"/>
          <w:spacing w:val="-1"/>
        </w:rPr>
        <w:t xml:space="preserve"> </w:t>
      </w:r>
      <w:r>
        <w:rPr>
          <w:color w:val="221F1F"/>
        </w:rPr>
        <w:t>approved domestic</w:t>
      </w:r>
      <w:r>
        <w:rPr>
          <w:color w:val="221F1F"/>
          <w:spacing w:val="-12"/>
        </w:rPr>
        <w:t xml:space="preserve"> </w:t>
      </w:r>
      <w:r>
        <w:rPr>
          <w:color w:val="221F1F"/>
        </w:rPr>
        <w:t>sub-contractors.</w:t>
      </w:r>
      <w:r>
        <w:rPr>
          <w:color w:val="221F1F"/>
          <w:spacing w:val="-11"/>
        </w:rPr>
        <w:t xml:space="preserve"> </w:t>
      </w:r>
      <w:r>
        <w:rPr>
          <w:color w:val="221F1F"/>
        </w:rPr>
        <w:t>Only</w:t>
      </w:r>
      <w:r>
        <w:rPr>
          <w:color w:val="221F1F"/>
          <w:spacing w:val="-8"/>
        </w:rPr>
        <w:t xml:space="preserve"> </w:t>
      </w:r>
      <w:r>
        <w:rPr>
          <w:color w:val="221F1F"/>
        </w:rPr>
        <w:t>provisional</w:t>
      </w:r>
      <w:r>
        <w:rPr>
          <w:color w:val="221F1F"/>
          <w:spacing w:val="-7"/>
        </w:rPr>
        <w:t xml:space="preserve"> </w:t>
      </w:r>
      <w:r>
        <w:rPr>
          <w:color w:val="221F1F"/>
        </w:rPr>
        <w:t>sums</w:t>
      </w:r>
      <w:r>
        <w:rPr>
          <w:color w:val="221F1F"/>
          <w:spacing w:val="-10"/>
        </w:rPr>
        <w:t xml:space="preserve"> </w:t>
      </w:r>
      <w:r>
        <w:rPr>
          <w:color w:val="221F1F"/>
        </w:rPr>
        <w:t>to</w:t>
      </w:r>
      <w:r>
        <w:rPr>
          <w:color w:val="221F1F"/>
          <w:spacing w:val="-8"/>
        </w:rPr>
        <w:t xml:space="preserve"> </w:t>
      </w:r>
      <w:r>
        <w:rPr>
          <w:color w:val="221F1F"/>
        </w:rPr>
        <w:t>cover</w:t>
      </w:r>
      <w:r>
        <w:rPr>
          <w:color w:val="221F1F"/>
          <w:spacing w:val="-9"/>
        </w:rPr>
        <w:t xml:space="preserve"> </w:t>
      </w:r>
      <w:r>
        <w:rPr>
          <w:color w:val="221F1F"/>
        </w:rPr>
        <w:t>specialized</w:t>
      </w:r>
      <w:r>
        <w:rPr>
          <w:color w:val="221F1F"/>
          <w:spacing w:val="-10"/>
        </w:rPr>
        <w:t xml:space="preserve"> </w:t>
      </w:r>
      <w:r>
        <w:rPr>
          <w:color w:val="221F1F"/>
        </w:rPr>
        <w:t>Works</w:t>
      </w:r>
      <w:r>
        <w:rPr>
          <w:color w:val="221F1F"/>
          <w:spacing w:val="-14"/>
        </w:rPr>
        <w:t xml:space="preserve"> </w:t>
      </w:r>
      <w:r>
        <w:rPr>
          <w:color w:val="221F1F"/>
        </w:rPr>
        <w:t>by</w:t>
      </w:r>
      <w:r>
        <w:rPr>
          <w:color w:val="221F1F"/>
          <w:spacing w:val="-9"/>
        </w:rPr>
        <w:t xml:space="preserve"> </w:t>
      </w:r>
      <w:r>
        <w:rPr>
          <w:color w:val="221F1F"/>
        </w:rPr>
        <w:t>statutory</w:t>
      </w:r>
      <w:r>
        <w:rPr>
          <w:color w:val="221F1F"/>
          <w:spacing w:val="-9"/>
        </w:rPr>
        <w:t xml:space="preserve"> </w:t>
      </w:r>
      <w:r>
        <w:rPr>
          <w:color w:val="221F1F"/>
        </w:rPr>
        <w:t>authorities</w:t>
      </w:r>
      <w:r>
        <w:rPr>
          <w:color w:val="221F1F"/>
          <w:spacing w:val="-9"/>
        </w:rPr>
        <w:t xml:space="preserve"> </w:t>
      </w:r>
      <w:r>
        <w:rPr>
          <w:color w:val="221F1F"/>
        </w:rPr>
        <w:t>should</w:t>
      </w:r>
      <w:r>
        <w:rPr>
          <w:color w:val="221F1F"/>
          <w:spacing w:val="-13"/>
        </w:rPr>
        <w:t xml:space="preserve"> </w:t>
      </w:r>
      <w:r>
        <w:rPr>
          <w:color w:val="221F1F"/>
        </w:rPr>
        <w:t>be included in the Bills of Quantities.</w:t>
      </w:r>
    </w:p>
    <w:p w:rsidR="007F6DF9" w:rsidRDefault="00A43FBC">
      <w:pPr>
        <w:pStyle w:val="ListParagraph"/>
        <w:numPr>
          <w:ilvl w:val="1"/>
          <w:numId w:val="135"/>
        </w:numPr>
        <w:tabs>
          <w:tab w:val="left" w:pos="1270"/>
          <w:tab w:val="left" w:pos="1275"/>
        </w:tabs>
        <w:spacing w:before="247" w:line="230" w:lineRule="auto"/>
        <w:ind w:left="1275" w:right="559" w:hanging="565"/>
        <w:jc w:val="both"/>
      </w:pPr>
      <w:r>
        <w:rPr>
          <w:color w:val="221F1F"/>
        </w:rPr>
        <w:t xml:space="preserve">A </w:t>
      </w:r>
      <w:proofErr w:type="spellStart"/>
      <w:r>
        <w:rPr>
          <w:color w:val="221F1F"/>
        </w:rPr>
        <w:t>Daywork</w:t>
      </w:r>
      <w:proofErr w:type="spellEnd"/>
      <w:r>
        <w:rPr>
          <w:color w:val="221F1F"/>
        </w:rPr>
        <w:t xml:space="preserve"> Schedule should be included if the probability of unforeseen work, outside the items included in the Bill of Quantities, is relatively high. To</w:t>
      </w:r>
      <w:r>
        <w:rPr>
          <w:color w:val="221F1F"/>
          <w:spacing w:val="-13"/>
        </w:rPr>
        <w:t xml:space="preserve"> </w:t>
      </w:r>
      <w:r>
        <w:rPr>
          <w:color w:val="221F1F"/>
        </w:rPr>
        <w:t xml:space="preserve">facilitate checking by the Procuring Entity of the realism of rates quoted by the tenderers, the </w:t>
      </w:r>
      <w:proofErr w:type="spellStart"/>
      <w:r>
        <w:rPr>
          <w:color w:val="221F1F"/>
        </w:rPr>
        <w:t>Daywork</w:t>
      </w:r>
      <w:proofErr w:type="spellEnd"/>
      <w:r>
        <w:rPr>
          <w:color w:val="221F1F"/>
        </w:rPr>
        <w:t xml:space="preserve"> Schedule should normally comprise:</w:t>
      </w:r>
    </w:p>
    <w:p w:rsidR="007F6DF9" w:rsidRDefault="00A43FBC">
      <w:pPr>
        <w:pStyle w:val="ListParagraph"/>
        <w:numPr>
          <w:ilvl w:val="0"/>
          <w:numId w:val="126"/>
        </w:numPr>
        <w:tabs>
          <w:tab w:val="left" w:pos="1685"/>
        </w:tabs>
        <w:spacing w:before="235"/>
        <w:ind w:hanging="415"/>
      </w:pPr>
      <w:r>
        <w:rPr>
          <w:color w:val="221F1F"/>
        </w:rPr>
        <w:t>A</w:t>
      </w:r>
      <w:r>
        <w:rPr>
          <w:color w:val="221F1F"/>
          <w:spacing w:val="-4"/>
        </w:rPr>
        <w:t xml:space="preserve"> </w:t>
      </w:r>
      <w:r>
        <w:rPr>
          <w:color w:val="221F1F"/>
        </w:rPr>
        <w:t>list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various</w:t>
      </w:r>
      <w:r>
        <w:rPr>
          <w:color w:val="221F1F"/>
          <w:spacing w:val="-2"/>
        </w:rPr>
        <w:t xml:space="preserve"> </w:t>
      </w:r>
      <w:r>
        <w:rPr>
          <w:color w:val="221F1F"/>
        </w:rPr>
        <w:t>classes</w:t>
      </w:r>
      <w:r>
        <w:rPr>
          <w:color w:val="221F1F"/>
          <w:spacing w:val="-4"/>
        </w:rPr>
        <w:t xml:space="preserve"> </w:t>
      </w:r>
      <w:r>
        <w:rPr>
          <w:color w:val="221F1F"/>
        </w:rPr>
        <w:t>of</w:t>
      </w:r>
      <w:r>
        <w:rPr>
          <w:color w:val="221F1F"/>
          <w:spacing w:val="-1"/>
        </w:rPr>
        <w:t xml:space="preserve"> </w:t>
      </w:r>
      <w:r>
        <w:rPr>
          <w:color w:val="221F1F"/>
        </w:rPr>
        <w:t>labor,</w:t>
      </w:r>
      <w:r>
        <w:rPr>
          <w:color w:val="221F1F"/>
          <w:spacing w:val="-3"/>
        </w:rPr>
        <w:t xml:space="preserve"> </w:t>
      </w:r>
      <w:r>
        <w:rPr>
          <w:color w:val="221F1F"/>
        </w:rPr>
        <w:t>and</w:t>
      </w:r>
      <w:r>
        <w:rPr>
          <w:color w:val="221F1F"/>
          <w:spacing w:val="-5"/>
        </w:rPr>
        <w:t xml:space="preserve"> </w:t>
      </w:r>
      <w:r>
        <w:rPr>
          <w:color w:val="221F1F"/>
        </w:rPr>
        <w:t>materials</w:t>
      </w:r>
      <w:r>
        <w:rPr>
          <w:color w:val="221F1F"/>
          <w:spacing w:val="-3"/>
        </w:rPr>
        <w:t xml:space="preserve"> </w:t>
      </w:r>
      <w:r>
        <w:rPr>
          <w:color w:val="221F1F"/>
        </w:rPr>
        <w:t>for</w:t>
      </w:r>
      <w:r>
        <w:rPr>
          <w:color w:val="221F1F"/>
          <w:spacing w:val="-5"/>
        </w:rPr>
        <w:t xml:space="preserve"> </w:t>
      </w:r>
      <w:r>
        <w:rPr>
          <w:color w:val="221F1F"/>
        </w:rPr>
        <w:t>which</w:t>
      </w:r>
      <w:r>
        <w:rPr>
          <w:color w:val="221F1F"/>
          <w:spacing w:val="-2"/>
        </w:rPr>
        <w:t xml:space="preserve"> basic.</w:t>
      </w:r>
    </w:p>
    <w:p w:rsidR="007F6DF9" w:rsidRDefault="00A43FBC">
      <w:pPr>
        <w:pStyle w:val="ListParagraph"/>
        <w:numPr>
          <w:ilvl w:val="0"/>
          <w:numId w:val="126"/>
        </w:numPr>
        <w:tabs>
          <w:tab w:val="left" w:pos="1685"/>
        </w:tabs>
        <w:spacing w:before="243" w:line="230" w:lineRule="auto"/>
        <w:ind w:right="632"/>
      </w:pPr>
      <w:proofErr w:type="spellStart"/>
      <w:r>
        <w:rPr>
          <w:color w:val="221F1F"/>
        </w:rPr>
        <w:t>Daywork</w:t>
      </w:r>
      <w:proofErr w:type="spellEnd"/>
      <w:r>
        <w:rPr>
          <w:color w:val="221F1F"/>
          <w:spacing w:val="-2"/>
        </w:rPr>
        <w:t xml:space="preserve"> </w:t>
      </w:r>
      <w:r>
        <w:rPr>
          <w:color w:val="221F1F"/>
        </w:rPr>
        <w:t>rates</w:t>
      </w:r>
      <w:r>
        <w:rPr>
          <w:color w:val="221F1F"/>
          <w:spacing w:val="-1"/>
        </w:rPr>
        <w:t xml:space="preserve"> </w:t>
      </w:r>
      <w:r>
        <w:rPr>
          <w:color w:val="221F1F"/>
        </w:rPr>
        <w:t>and</w:t>
      </w:r>
      <w:r>
        <w:rPr>
          <w:color w:val="221F1F"/>
          <w:spacing w:val="-2"/>
        </w:rPr>
        <w:t xml:space="preserve"> </w:t>
      </w:r>
      <w:r>
        <w:rPr>
          <w:color w:val="221F1F"/>
        </w:rPr>
        <w:t>prices</w:t>
      </w:r>
      <w:r>
        <w:rPr>
          <w:color w:val="221F1F"/>
          <w:spacing w:val="-1"/>
        </w:rPr>
        <w:t xml:space="preserve"> </w:t>
      </w:r>
      <w:r>
        <w:rPr>
          <w:color w:val="221F1F"/>
        </w:rPr>
        <w:t>for</w:t>
      </w:r>
      <w:r>
        <w:rPr>
          <w:color w:val="221F1F"/>
          <w:spacing w:val="-1"/>
        </w:rPr>
        <w:t xml:space="preserve"> </w:t>
      </w:r>
      <w:r>
        <w:rPr>
          <w:color w:val="221F1F"/>
        </w:rPr>
        <w:t>various</w:t>
      </w:r>
      <w:r>
        <w:rPr>
          <w:color w:val="221F1F"/>
          <w:spacing w:val="-1"/>
        </w:rPr>
        <w:t xml:space="preserve"> </w:t>
      </w:r>
      <w:r>
        <w:rPr>
          <w:color w:val="221F1F"/>
        </w:rPr>
        <w:t>categories</w:t>
      </w:r>
      <w:r>
        <w:rPr>
          <w:color w:val="221F1F"/>
          <w:spacing w:val="-3"/>
        </w:rPr>
        <w:t xml:space="preserve"> </w:t>
      </w:r>
      <w:r>
        <w:rPr>
          <w:color w:val="221F1F"/>
        </w:rPr>
        <w:t>of</w:t>
      </w:r>
      <w:r>
        <w:rPr>
          <w:color w:val="221F1F"/>
          <w:spacing w:val="-3"/>
        </w:rPr>
        <w:t xml:space="preserve"> </w:t>
      </w:r>
      <w:r>
        <w:rPr>
          <w:color w:val="221F1F"/>
        </w:rPr>
        <w:t>labor</w:t>
      </w:r>
      <w:r>
        <w:rPr>
          <w:color w:val="221F1F"/>
          <w:spacing w:val="-1"/>
        </w:rPr>
        <w:t xml:space="preserve"> </w:t>
      </w:r>
      <w:r>
        <w:rPr>
          <w:color w:val="221F1F"/>
        </w:rPr>
        <w:t>are</w:t>
      </w:r>
      <w:r>
        <w:rPr>
          <w:color w:val="221F1F"/>
          <w:spacing w:val="-2"/>
        </w:rPr>
        <w:t xml:space="preserve"> </w:t>
      </w:r>
      <w:r>
        <w:rPr>
          <w:color w:val="221F1F"/>
        </w:rPr>
        <w:t>to</w:t>
      </w:r>
      <w:r>
        <w:rPr>
          <w:color w:val="221F1F"/>
          <w:spacing w:val="-2"/>
        </w:rPr>
        <w:t xml:space="preserve"> </w:t>
      </w:r>
      <w:r>
        <w:rPr>
          <w:color w:val="221F1F"/>
        </w:rPr>
        <w:t>be</w:t>
      </w:r>
      <w:r>
        <w:rPr>
          <w:color w:val="221F1F"/>
          <w:spacing w:val="-4"/>
        </w:rPr>
        <w:t xml:space="preserve"> </w:t>
      </w:r>
      <w:r>
        <w:rPr>
          <w:color w:val="221F1F"/>
        </w:rPr>
        <w:t>inserted</w:t>
      </w:r>
      <w:r>
        <w:rPr>
          <w:color w:val="221F1F"/>
          <w:spacing w:val="-2"/>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tenderer,</w:t>
      </w:r>
      <w:r>
        <w:rPr>
          <w:color w:val="221F1F"/>
          <w:spacing w:val="-2"/>
        </w:rPr>
        <w:t xml:space="preserve"> </w:t>
      </w:r>
      <w:r>
        <w:rPr>
          <w:color w:val="221F1F"/>
        </w:rPr>
        <w:t>together</w:t>
      </w:r>
      <w:r>
        <w:rPr>
          <w:color w:val="221F1F"/>
          <w:spacing w:val="-1"/>
        </w:rPr>
        <w:t xml:space="preserve"> </w:t>
      </w:r>
      <w:r>
        <w:rPr>
          <w:color w:val="221F1F"/>
        </w:rPr>
        <w:t>with a statement of the conditions under which the Contractor will be paid for Work</w:t>
      </w:r>
      <w:r>
        <w:rPr>
          <w:color w:val="221F1F"/>
          <w:spacing w:val="-7"/>
        </w:rPr>
        <w:t xml:space="preserve"> </w:t>
      </w:r>
      <w:r>
        <w:rPr>
          <w:color w:val="221F1F"/>
        </w:rPr>
        <w:t>executed on</w:t>
      </w:r>
      <w:r>
        <w:rPr>
          <w:color w:val="221F1F"/>
          <w:spacing w:val="-1"/>
        </w:rPr>
        <w:t xml:space="preserve"> </w:t>
      </w:r>
      <w:r>
        <w:rPr>
          <w:color w:val="221F1F"/>
        </w:rPr>
        <w:t xml:space="preserve">a </w:t>
      </w:r>
      <w:proofErr w:type="spellStart"/>
      <w:r>
        <w:rPr>
          <w:color w:val="221F1F"/>
        </w:rPr>
        <w:t>Daywork</w:t>
      </w:r>
      <w:proofErr w:type="spellEnd"/>
      <w:r>
        <w:rPr>
          <w:color w:val="221F1F"/>
        </w:rPr>
        <w:t xml:space="preserve"> </w:t>
      </w:r>
      <w:r>
        <w:rPr>
          <w:color w:val="221F1F"/>
          <w:spacing w:val="-2"/>
        </w:rPr>
        <w:t>basis.</w:t>
      </w:r>
    </w:p>
    <w:p w:rsidR="007F6DF9" w:rsidRDefault="00A43FBC">
      <w:pPr>
        <w:pStyle w:val="ListParagraph"/>
        <w:numPr>
          <w:ilvl w:val="0"/>
          <w:numId w:val="126"/>
        </w:numPr>
        <w:tabs>
          <w:tab w:val="left" w:pos="1682"/>
        </w:tabs>
        <w:spacing w:before="235"/>
        <w:ind w:left="1682" w:hanging="412"/>
      </w:pPr>
      <w:r>
        <w:rPr>
          <w:color w:val="221F1F"/>
        </w:rPr>
        <w:t>A</w:t>
      </w:r>
      <w:r>
        <w:rPr>
          <w:color w:val="221F1F"/>
          <w:spacing w:val="-5"/>
        </w:rPr>
        <w:t xml:space="preserve"> </w:t>
      </w:r>
      <w:r>
        <w:rPr>
          <w:color w:val="221F1F"/>
        </w:rPr>
        <w:t>percent</w:t>
      </w:r>
      <w:r>
        <w:rPr>
          <w:color w:val="221F1F"/>
          <w:spacing w:val="-3"/>
        </w:rPr>
        <w:t xml:space="preserve"> </w:t>
      </w:r>
      <w:r>
        <w:rPr>
          <w:color w:val="221F1F"/>
        </w:rPr>
        <w:t>a</w:t>
      </w:r>
      <w:r>
        <w:rPr>
          <w:color w:val="221F1F"/>
          <w:spacing w:val="-2"/>
        </w:rPr>
        <w:t xml:space="preserve"> </w:t>
      </w:r>
      <w:r>
        <w:rPr>
          <w:color w:val="221F1F"/>
        </w:rPr>
        <w:t>get</w:t>
      </w:r>
      <w:r>
        <w:rPr>
          <w:color w:val="221F1F"/>
          <w:spacing w:val="-2"/>
        </w:rPr>
        <w:t xml:space="preserve"> </w:t>
      </w:r>
      <w:proofErr w:type="spellStart"/>
      <w:r>
        <w:rPr>
          <w:color w:val="221F1F"/>
        </w:rPr>
        <w:t>o</w:t>
      </w:r>
      <w:proofErr w:type="spellEnd"/>
      <w:r>
        <w:rPr>
          <w:color w:val="221F1F"/>
          <w:spacing w:val="-2"/>
        </w:rPr>
        <w:t xml:space="preserve"> </w:t>
      </w:r>
      <w:r>
        <w:rPr>
          <w:color w:val="221F1F"/>
        </w:rPr>
        <w:t>be</w:t>
      </w:r>
      <w:r>
        <w:rPr>
          <w:color w:val="221F1F"/>
          <w:spacing w:val="-3"/>
        </w:rPr>
        <w:t xml:space="preserve"> </w:t>
      </w:r>
      <w:r>
        <w:rPr>
          <w:color w:val="221F1F"/>
        </w:rPr>
        <w:t>entered</w:t>
      </w:r>
      <w:r>
        <w:rPr>
          <w:color w:val="221F1F"/>
          <w:spacing w:val="-2"/>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tenderer</w:t>
      </w:r>
      <w:r>
        <w:rPr>
          <w:color w:val="221F1F"/>
          <w:spacing w:val="-3"/>
        </w:rPr>
        <w:t xml:space="preserve"> </w:t>
      </w:r>
      <w:proofErr w:type="spellStart"/>
      <w:r>
        <w:rPr>
          <w:color w:val="221F1F"/>
        </w:rPr>
        <w:t>agains</w:t>
      </w:r>
      <w:proofErr w:type="spellEnd"/>
      <w:r>
        <w:rPr>
          <w:color w:val="221F1F"/>
          <w:spacing w:val="-2"/>
        </w:rPr>
        <w:t xml:space="preserve"> </w:t>
      </w:r>
      <w:r>
        <w:rPr>
          <w:color w:val="221F1F"/>
        </w:rPr>
        <w:t>teach</w:t>
      </w:r>
      <w:r>
        <w:rPr>
          <w:color w:val="221F1F"/>
          <w:spacing w:val="-3"/>
        </w:rPr>
        <w:t xml:space="preserve"> </w:t>
      </w:r>
      <w:r>
        <w:rPr>
          <w:color w:val="221F1F"/>
        </w:rPr>
        <w:t>basic</w:t>
      </w:r>
      <w:r>
        <w:rPr>
          <w:color w:val="221F1F"/>
          <w:spacing w:val="-2"/>
        </w:rPr>
        <w:t xml:space="preserve"> </w:t>
      </w:r>
      <w:r>
        <w:rPr>
          <w:color w:val="221F1F"/>
        </w:rPr>
        <w:t>Day</w:t>
      </w:r>
      <w:r>
        <w:rPr>
          <w:color w:val="221F1F"/>
          <w:spacing w:val="-2"/>
        </w:rPr>
        <w:t xml:space="preserve"> </w:t>
      </w:r>
      <w:r>
        <w:rPr>
          <w:color w:val="221F1F"/>
        </w:rPr>
        <w:t>work</w:t>
      </w:r>
      <w:r>
        <w:rPr>
          <w:color w:val="221F1F"/>
          <w:spacing w:val="-3"/>
        </w:rPr>
        <w:t xml:space="preserve"> </w:t>
      </w:r>
      <w:r>
        <w:rPr>
          <w:color w:val="221F1F"/>
          <w:spacing w:val="-2"/>
        </w:rPr>
        <w:t>item.</w:t>
      </w:r>
    </w:p>
    <w:p w:rsidR="007F6DF9" w:rsidRDefault="00A43FBC">
      <w:pPr>
        <w:pStyle w:val="ListParagraph"/>
        <w:numPr>
          <w:ilvl w:val="0"/>
          <w:numId w:val="126"/>
        </w:numPr>
        <w:tabs>
          <w:tab w:val="left" w:pos="1683"/>
          <w:tab w:val="left" w:pos="1685"/>
        </w:tabs>
        <w:spacing w:before="241" w:line="232" w:lineRule="auto"/>
        <w:ind w:right="1571"/>
      </w:pPr>
      <w:r>
        <w:rPr>
          <w:color w:val="221F1F"/>
        </w:rPr>
        <w:t>Subtotal</w:t>
      </w:r>
      <w:r>
        <w:rPr>
          <w:color w:val="221F1F"/>
          <w:spacing w:val="-5"/>
        </w:rPr>
        <w:t xml:space="preserve"> </w:t>
      </w:r>
      <w:r>
        <w:rPr>
          <w:color w:val="221F1F"/>
        </w:rPr>
        <w:t>amount</w:t>
      </w:r>
      <w:r>
        <w:rPr>
          <w:color w:val="221F1F"/>
          <w:spacing w:val="-3"/>
        </w:rPr>
        <w:t xml:space="preserve"> </w:t>
      </w:r>
      <w:r>
        <w:rPr>
          <w:color w:val="221F1F"/>
        </w:rPr>
        <w:t>for</w:t>
      </w:r>
      <w:r>
        <w:rPr>
          <w:color w:val="221F1F"/>
          <w:spacing w:val="-3"/>
        </w:rPr>
        <w:t xml:space="preserve"> </w:t>
      </w:r>
      <w:r>
        <w:rPr>
          <w:color w:val="221F1F"/>
        </w:rPr>
        <w:t>labor,</w:t>
      </w:r>
      <w:r>
        <w:rPr>
          <w:color w:val="221F1F"/>
          <w:spacing w:val="-6"/>
        </w:rPr>
        <w:t xml:space="preserve"> </w:t>
      </w:r>
      <w:r>
        <w:rPr>
          <w:color w:val="221F1F"/>
        </w:rPr>
        <w:t>materials</w:t>
      </w:r>
      <w:r>
        <w:rPr>
          <w:color w:val="221F1F"/>
          <w:spacing w:val="-3"/>
        </w:rPr>
        <w:t xml:space="preserve"> </w:t>
      </w:r>
      <w:r>
        <w:rPr>
          <w:color w:val="221F1F"/>
        </w:rPr>
        <w:t>and</w:t>
      </w:r>
      <w:r>
        <w:rPr>
          <w:color w:val="221F1F"/>
          <w:spacing w:val="-4"/>
        </w:rPr>
        <w:t xml:space="preserve"> </w:t>
      </w:r>
      <w:r>
        <w:rPr>
          <w:color w:val="221F1F"/>
        </w:rPr>
        <w:t>plant</w:t>
      </w:r>
      <w:r>
        <w:rPr>
          <w:color w:val="221F1F"/>
          <w:spacing w:val="-3"/>
        </w:rPr>
        <w:t xml:space="preserve"> </w:t>
      </w:r>
      <w:r>
        <w:rPr>
          <w:color w:val="221F1F"/>
        </w:rPr>
        <w:t>representing</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profit,</w:t>
      </w:r>
      <w:r>
        <w:rPr>
          <w:color w:val="221F1F"/>
          <w:spacing w:val="-3"/>
        </w:rPr>
        <w:t xml:space="preserve"> </w:t>
      </w:r>
      <w:r>
        <w:rPr>
          <w:color w:val="221F1F"/>
        </w:rPr>
        <w:t>overheads, supervision and other charges.</w:t>
      </w:r>
    </w:p>
    <w:p w:rsidR="007F6DF9" w:rsidRDefault="00A43FBC">
      <w:pPr>
        <w:pStyle w:val="ListParagraph"/>
        <w:numPr>
          <w:ilvl w:val="1"/>
          <w:numId w:val="135"/>
        </w:numPr>
        <w:tabs>
          <w:tab w:val="left" w:pos="1270"/>
          <w:tab w:val="left" w:pos="1275"/>
        </w:tabs>
        <w:spacing w:before="243" w:line="230" w:lineRule="auto"/>
        <w:ind w:left="1275" w:right="549" w:hanging="565"/>
        <w:jc w:val="both"/>
      </w:pPr>
      <w:r>
        <w:rPr>
          <w:color w:val="221F1F"/>
        </w:rPr>
        <w:t>The</w:t>
      </w:r>
      <w:r>
        <w:rPr>
          <w:color w:val="221F1F"/>
          <w:spacing w:val="-1"/>
        </w:rPr>
        <w:t xml:space="preserve"> </w:t>
      </w:r>
      <w:r>
        <w:rPr>
          <w:color w:val="221F1F"/>
        </w:rPr>
        <w:t>Summary</w:t>
      </w:r>
      <w:r>
        <w:rPr>
          <w:color w:val="221F1F"/>
          <w:spacing w:val="-1"/>
        </w:rPr>
        <w:t xml:space="preserve"> </w:t>
      </w:r>
      <w:r>
        <w:rPr>
          <w:color w:val="221F1F"/>
        </w:rPr>
        <w:t>should</w:t>
      </w:r>
      <w:r>
        <w:rPr>
          <w:color w:val="221F1F"/>
          <w:spacing w:val="-4"/>
        </w:rPr>
        <w:t xml:space="preserve"> </w:t>
      </w:r>
      <w:r>
        <w:rPr>
          <w:color w:val="221F1F"/>
        </w:rPr>
        <w:t>contain</w:t>
      </w:r>
      <w:r>
        <w:rPr>
          <w:color w:val="221F1F"/>
          <w:spacing w:val="-1"/>
        </w:rPr>
        <w:t xml:space="preserve"> </w:t>
      </w:r>
      <w:r>
        <w:rPr>
          <w:color w:val="221F1F"/>
        </w:rPr>
        <w:t>a</w:t>
      </w:r>
      <w:r>
        <w:rPr>
          <w:color w:val="221F1F"/>
          <w:spacing w:val="-1"/>
        </w:rPr>
        <w:t xml:space="preserve"> </w:t>
      </w:r>
      <w:r>
        <w:rPr>
          <w:color w:val="221F1F"/>
        </w:rPr>
        <w:t>tabulation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separate</w:t>
      </w:r>
      <w:r>
        <w:rPr>
          <w:color w:val="221F1F"/>
          <w:spacing w:val="-1"/>
        </w:rPr>
        <w:t xml:space="preserve"> </w:t>
      </w:r>
      <w:r>
        <w:rPr>
          <w:color w:val="221F1F"/>
        </w:rPr>
        <w:t>parts</w:t>
      </w:r>
      <w:r>
        <w:rPr>
          <w:color w:val="221F1F"/>
          <w:spacing w:val="-1"/>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Bills</w:t>
      </w:r>
      <w:r>
        <w:rPr>
          <w:color w:val="221F1F"/>
          <w:spacing w:val="-1"/>
        </w:rPr>
        <w:t xml:space="preserve"> </w:t>
      </w:r>
      <w:r>
        <w:rPr>
          <w:color w:val="221F1F"/>
        </w:rPr>
        <w:t>of Quantities</w:t>
      </w:r>
      <w:r>
        <w:rPr>
          <w:color w:val="221F1F"/>
          <w:spacing w:val="-1"/>
        </w:rPr>
        <w:t xml:space="preserve"> </w:t>
      </w:r>
      <w:r>
        <w:rPr>
          <w:color w:val="221F1F"/>
        </w:rPr>
        <w:t>carried</w:t>
      </w:r>
      <w:r>
        <w:rPr>
          <w:color w:val="221F1F"/>
          <w:spacing w:val="-3"/>
        </w:rPr>
        <w:t xml:space="preserve"> </w:t>
      </w:r>
      <w:r>
        <w:rPr>
          <w:color w:val="221F1F"/>
        </w:rPr>
        <w:t>forward,</w:t>
      </w:r>
      <w:r>
        <w:rPr>
          <w:color w:val="221F1F"/>
          <w:spacing w:val="-1"/>
        </w:rPr>
        <w:t xml:space="preserve"> </w:t>
      </w:r>
      <w:r>
        <w:rPr>
          <w:color w:val="221F1F"/>
        </w:rPr>
        <w:t>with provisional</w:t>
      </w:r>
      <w:r>
        <w:rPr>
          <w:color w:val="221F1F"/>
          <w:spacing w:val="-2"/>
        </w:rPr>
        <w:t xml:space="preserve"> </w:t>
      </w:r>
      <w:r>
        <w:rPr>
          <w:color w:val="221F1F"/>
        </w:rPr>
        <w:t>sums</w:t>
      </w:r>
      <w:r>
        <w:rPr>
          <w:color w:val="221F1F"/>
          <w:spacing w:val="-5"/>
        </w:rPr>
        <w:t xml:space="preserve"> </w:t>
      </w:r>
      <w:r>
        <w:rPr>
          <w:color w:val="221F1F"/>
        </w:rPr>
        <w:t>for</w:t>
      </w:r>
      <w:r>
        <w:rPr>
          <w:color w:val="221F1F"/>
          <w:spacing w:val="-2"/>
        </w:rPr>
        <w:t xml:space="preserve"> </w:t>
      </w:r>
      <w:proofErr w:type="spellStart"/>
      <w:r>
        <w:rPr>
          <w:color w:val="221F1F"/>
        </w:rPr>
        <w:t>Daywork</w:t>
      </w:r>
      <w:proofErr w:type="spellEnd"/>
      <w:r>
        <w:rPr>
          <w:color w:val="221F1F"/>
        </w:rPr>
        <w:t>,</w:t>
      </w:r>
      <w:r>
        <w:rPr>
          <w:color w:val="221F1F"/>
          <w:spacing w:val="-2"/>
        </w:rPr>
        <w:t xml:space="preserve"> </w:t>
      </w:r>
      <w:r>
        <w:rPr>
          <w:color w:val="221F1F"/>
        </w:rPr>
        <w:t>Provisional</w:t>
      </w:r>
      <w:r>
        <w:rPr>
          <w:color w:val="221F1F"/>
          <w:spacing w:val="-4"/>
        </w:rPr>
        <w:t xml:space="preserve"> </w:t>
      </w:r>
      <w:r>
        <w:rPr>
          <w:color w:val="221F1F"/>
        </w:rPr>
        <w:t>sums</w:t>
      </w:r>
      <w:r>
        <w:rPr>
          <w:color w:val="221F1F"/>
          <w:spacing w:val="-5"/>
        </w:rPr>
        <w:t xml:space="preserve"> </w:t>
      </w:r>
      <w:r>
        <w:rPr>
          <w:color w:val="221F1F"/>
        </w:rPr>
        <w:t>and</w:t>
      </w:r>
      <w:r>
        <w:rPr>
          <w:color w:val="221F1F"/>
          <w:spacing w:val="-5"/>
        </w:rPr>
        <w:t xml:space="preserve"> </w:t>
      </w:r>
      <w:r>
        <w:rPr>
          <w:color w:val="221F1F"/>
        </w:rPr>
        <w:t>Contingencies,</w:t>
      </w:r>
      <w:r>
        <w:rPr>
          <w:color w:val="221F1F"/>
          <w:spacing w:val="-2"/>
        </w:rPr>
        <w:t xml:space="preserve"> </w:t>
      </w:r>
      <w:r>
        <w:rPr>
          <w:color w:val="221F1F"/>
        </w:rPr>
        <w:t>and</w:t>
      </w:r>
      <w:r>
        <w:rPr>
          <w:color w:val="221F1F"/>
          <w:spacing w:val="-5"/>
        </w:rPr>
        <w:t xml:space="preserve"> </w:t>
      </w:r>
      <w:r>
        <w:rPr>
          <w:color w:val="221F1F"/>
        </w:rPr>
        <w:t>provision</w:t>
      </w:r>
      <w:r>
        <w:rPr>
          <w:color w:val="221F1F"/>
          <w:spacing w:val="-3"/>
        </w:rPr>
        <w:t xml:space="preserve"> </w:t>
      </w:r>
      <w:r>
        <w:rPr>
          <w:color w:val="221F1F"/>
        </w:rPr>
        <w:t>for</w:t>
      </w:r>
      <w:r>
        <w:rPr>
          <w:color w:val="221F1F"/>
          <w:spacing w:val="-2"/>
        </w:rPr>
        <w:t xml:space="preserve"> </w:t>
      </w:r>
      <w:r>
        <w:rPr>
          <w:color w:val="221F1F"/>
        </w:rPr>
        <w:t>Total</w:t>
      </w:r>
      <w:r>
        <w:rPr>
          <w:color w:val="221F1F"/>
          <w:spacing w:val="-12"/>
        </w:rPr>
        <w:t xml:space="preserve"> </w:t>
      </w:r>
      <w:r>
        <w:rPr>
          <w:color w:val="221F1F"/>
        </w:rPr>
        <w:t>Costing.</w:t>
      </w:r>
      <w:r>
        <w:rPr>
          <w:color w:val="221F1F"/>
          <w:spacing w:val="-5"/>
        </w:rPr>
        <w:t xml:space="preserve"> </w:t>
      </w:r>
      <w:r>
        <w:rPr>
          <w:color w:val="221F1F"/>
        </w:rPr>
        <w:t>The</w:t>
      </w:r>
      <w:r>
        <w:rPr>
          <w:color w:val="221F1F"/>
          <w:spacing w:val="-6"/>
        </w:rPr>
        <w:t xml:space="preserve"> </w:t>
      </w:r>
      <w:r>
        <w:rPr>
          <w:color w:val="221F1F"/>
        </w:rPr>
        <w:t>last line should allow for tenderer to indicate any discounts before arriving at a total cost carried forward to the Form of Tender.</w:t>
      </w:r>
    </w:p>
    <w:p w:rsidR="007F6DF9" w:rsidRDefault="007F6DF9">
      <w:pPr>
        <w:pStyle w:val="ListParagraph"/>
        <w:spacing w:line="230" w:lineRule="auto"/>
        <w:jc w:val="both"/>
        <w:sectPr w:rsidR="007F6DF9">
          <w:pgSz w:w="11920" w:h="16850"/>
          <w:pgMar w:top="340" w:right="283" w:bottom="620" w:left="141" w:header="0" w:footer="437" w:gutter="0"/>
          <w:pgNumType w:start="62"/>
          <w:cols w:space="720"/>
        </w:sectPr>
      </w:pPr>
    </w:p>
    <w:p w:rsidR="007F6DF9" w:rsidRDefault="007F6DF9">
      <w:pPr>
        <w:pStyle w:val="BodyText"/>
        <w:spacing w:before="203"/>
        <w:rPr>
          <w:sz w:val="24"/>
        </w:rPr>
      </w:pPr>
    </w:p>
    <w:p w:rsidR="007F6DF9" w:rsidRDefault="00A43FBC">
      <w:pPr>
        <w:pStyle w:val="Heading6"/>
        <w:ind w:left="713"/>
      </w:pPr>
      <w:r>
        <w:rPr>
          <w:color w:val="221F1F"/>
          <w:u w:val="single" w:color="221F1F"/>
        </w:rPr>
        <w:t>BILLS</w:t>
      </w:r>
      <w:r>
        <w:rPr>
          <w:color w:val="221F1F"/>
          <w:spacing w:val="-2"/>
          <w:u w:val="single" w:color="221F1F"/>
        </w:rPr>
        <w:t xml:space="preserve"> </w:t>
      </w:r>
      <w:r>
        <w:rPr>
          <w:color w:val="221F1F"/>
          <w:u w:val="single" w:color="221F1F"/>
        </w:rPr>
        <w:t>OF</w:t>
      </w:r>
      <w:r>
        <w:rPr>
          <w:color w:val="221F1F"/>
          <w:spacing w:val="1"/>
          <w:u w:val="single" w:color="221F1F"/>
        </w:rPr>
        <w:t xml:space="preserve"> </w:t>
      </w:r>
      <w:r>
        <w:rPr>
          <w:color w:val="221F1F"/>
          <w:spacing w:val="-2"/>
          <w:u w:val="single" w:color="221F1F"/>
        </w:rPr>
        <w:t>QUANTITIES</w:t>
      </w:r>
    </w:p>
    <w:p w:rsidR="007F6DF9" w:rsidRDefault="00A43FBC">
      <w:pPr>
        <w:pStyle w:val="ListParagraph"/>
        <w:numPr>
          <w:ilvl w:val="0"/>
          <w:numId w:val="125"/>
        </w:numPr>
        <w:tabs>
          <w:tab w:val="left" w:pos="1280"/>
        </w:tabs>
        <w:spacing w:before="236"/>
        <w:rPr>
          <w:b/>
        </w:rPr>
      </w:pPr>
      <w:r>
        <w:rPr>
          <w:b/>
          <w:color w:val="221F1F"/>
          <w:spacing w:val="-2"/>
          <w:u w:val="single" w:color="221F1F"/>
        </w:rPr>
        <w:t>Preambles</w:t>
      </w:r>
    </w:p>
    <w:p w:rsidR="007F6DF9" w:rsidRDefault="00A43FBC">
      <w:pPr>
        <w:pStyle w:val="ListParagraph"/>
        <w:numPr>
          <w:ilvl w:val="1"/>
          <w:numId w:val="125"/>
        </w:numPr>
        <w:tabs>
          <w:tab w:val="left" w:pos="1157"/>
        </w:tabs>
        <w:spacing w:before="242" w:line="230" w:lineRule="auto"/>
        <w:ind w:right="559"/>
      </w:pPr>
      <w:r>
        <w:rPr>
          <w:color w:val="221F1F"/>
        </w:rPr>
        <w:t>The method of</w:t>
      </w:r>
      <w:r>
        <w:rPr>
          <w:color w:val="221F1F"/>
          <w:spacing w:val="-1"/>
        </w:rPr>
        <w:t xml:space="preserve"> </w:t>
      </w:r>
      <w:r>
        <w:rPr>
          <w:color w:val="221F1F"/>
        </w:rPr>
        <w:t xml:space="preserve">measurement of completed work for payment shall be in accordance with </w:t>
      </w:r>
      <w:r>
        <w:rPr>
          <w:i/>
          <w:color w:val="221F1F"/>
        </w:rPr>
        <w:t>[insert the name of a standard reference guide, or full details of the methods to be used]</w:t>
      </w:r>
      <w:r>
        <w:rPr>
          <w:color w:val="221F1F"/>
        </w:rPr>
        <w:t>.</w:t>
      </w:r>
    </w:p>
    <w:p w:rsidR="007F6DF9" w:rsidRDefault="00A43FBC">
      <w:pPr>
        <w:pStyle w:val="ListParagraph"/>
        <w:numPr>
          <w:ilvl w:val="1"/>
          <w:numId w:val="125"/>
        </w:numPr>
        <w:tabs>
          <w:tab w:val="left" w:pos="1133"/>
          <w:tab w:val="left" w:pos="1157"/>
          <w:tab w:val="left" w:pos="6491"/>
          <w:tab w:val="left" w:pos="9446"/>
          <w:tab w:val="left" w:pos="10862"/>
        </w:tabs>
        <w:spacing w:before="246" w:line="230" w:lineRule="auto"/>
        <w:ind w:right="567"/>
      </w:pPr>
      <w:r>
        <w:rPr>
          <w:color w:val="221F1F"/>
        </w:rPr>
        <w:t>The Site is situated in (</w:t>
      </w:r>
      <w:r>
        <w:rPr>
          <w:i/>
          <w:color w:val="221F1F"/>
        </w:rPr>
        <w:t>provide full description where the site is situated, coordinates from</w:t>
      </w:r>
      <w:r>
        <w:rPr>
          <w:i/>
          <w:color w:val="221F1F"/>
          <w:spacing w:val="-1"/>
        </w:rPr>
        <w:t xml:space="preserve"> </w:t>
      </w:r>
      <w:r>
        <w:rPr>
          <w:i/>
          <w:color w:val="221F1F"/>
        </w:rPr>
        <w:t>the nearest known landmark like a town and its size</w:t>
      </w:r>
      <w:r>
        <w:rPr>
          <w:color w:val="221F1F"/>
        </w:rPr>
        <w:t>)</w:t>
      </w:r>
      <w:r>
        <w:rPr>
          <w:color w:val="221F1F"/>
          <w:u w:val="single" w:color="211E1F"/>
        </w:rPr>
        <w:tab/>
      </w:r>
      <w:r>
        <w:rPr>
          <w:color w:val="221F1F"/>
        </w:rPr>
        <w:t>It is approximately</w:t>
      </w:r>
      <w:r>
        <w:rPr>
          <w:color w:val="221F1F"/>
          <w:u w:val="single" w:color="211E1F"/>
        </w:rPr>
        <w:tab/>
      </w:r>
      <w:r>
        <w:rPr>
          <w:color w:val="221F1F"/>
        </w:rPr>
        <w:t>Kilometers</w:t>
      </w:r>
      <w:r>
        <w:rPr>
          <w:color w:val="221F1F"/>
          <w:spacing w:val="-14"/>
        </w:rPr>
        <w:t xml:space="preserve"> </w:t>
      </w:r>
      <w:r>
        <w:rPr>
          <w:color w:val="221F1F"/>
        </w:rPr>
        <w:t>from Kisumu</w:t>
      </w:r>
      <w:r>
        <w:rPr>
          <w:color w:val="221F1F"/>
          <w:spacing w:val="-3"/>
        </w:rPr>
        <w:t xml:space="preserve"> </w:t>
      </w:r>
      <w:r>
        <w:rPr>
          <w:color w:val="221F1F"/>
        </w:rPr>
        <w:t>town.</w:t>
      </w:r>
      <w:r>
        <w:rPr>
          <w:color w:val="221F1F"/>
          <w:spacing w:val="-4"/>
        </w:rPr>
        <w:t xml:space="preserve"> </w:t>
      </w:r>
      <w:r>
        <w:rPr>
          <w:color w:val="221F1F"/>
        </w:rPr>
        <w:t>Access</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site</w:t>
      </w:r>
      <w:r>
        <w:rPr>
          <w:color w:val="221F1F"/>
          <w:spacing w:val="-2"/>
        </w:rPr>
        <w:t xml:space="preserve"> </w:t>
      </w:r>
      <w:r>
        <w:rPr>
          <w:color w:val="221F1F"/>
        </w:rPr>
        <w:t>shall</w:t>
      </w:r>
      <w:r>
        <w:rPr>
          <w:color w:val="221F1F"/>
          <w:spacing w:val="-2"/>
        </w:rPr>
        <w:t xml:space="preserve"> </w:t>
      </w:r>
      <w:r>
        <w:rPr>
          <w:color w:val="221F1F"/>
        </w:rPr>
        <w:t>be</w:t>
      </w:r>
      <w:r>
        <w:rPr>
          <w:color w:val="221F1F"/>
          <w:spacing w:val="-2"/>
        </w:rPr>
        <w:t xml:space="preserve"> through</w:t>
      </w:r>
      <w:r>
        <w:rPr>
          <w:color w:val="221F1F"/>
          <w:u w:val="single" w:color="211E1F"/>
        </w:rPr>
        <w:tab/>
      </w:r>
      <w:r>
        <w:rPr>
          <w:color w:val="221F1F"/>
          <w:u w:val="single" w:color="211E1F"/>
        </w:rPr>
        <w:tab/>
      </w:r>
      <w:r>
        <w:rPr>
          <w:color w:val="221F1F"/>
          <w:u w:val="single" w:color="211E1F"/>
        </w:rPr>
        <w:tab/>
      </w:r>
      <w:r>
        <w:rPr>
          <w:color w:val="221F1F"/>
          <w:spacing w:val="-10"/>
        </w:rPr>
        <w:t>,</w:t>
      </w:r>
    </w:p>
    <w:p w:rsidR="007F6DF9" w:rsidRDefault="00A43FBC">
      <w:pPr>
        <w:pStyle w:val="BodyText"/>
        <w:spacing w:before="244" w:line="230" w:lineRule="auto"/>
        <w:ind w:left="1157" w:right="493"/>
      </w:pPr>
      <w:r>
        <w:rPr>
          <w:color w:val="221F1F"/>
        </w:rPr>
        <w:t>Which is an existing public road. Any damage caused to the surfaces of this road shall be made good at the Contractor's expense. The Contractor shall visit the site and acquaint itself with its nature and position, the nature</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ground,</w:t>
      </w:r>
      <w:r>
        <w:rPr>
          <w:color w:val="221F1F"/>
          <w:spacing w:val="-5"/>
        </w:rPr>
        <w:t xml:space="preserve"> </w:t>
      </w:r>
      <w:r>
        <w:rPr>
          <w:color w:val="221F1F"/>
        </w:rPr>
        <w:t>substrata</w:t>
      </w:r>
      <w:r>
        <w:rPr>
          <w:color w:val="221F1F"/>
          <w:spacing w:val="-4"/>
        </w:rPr>
        <w:t xml:space="preserve"> </w:t>
      </w:r>
      <w:r>
        <w:rPr>
          <w:color w:val="221F1F"/>
        </w:rPr>
        <w:t>and</w:t>
      </w:r>
      <w:r>
        <w:rPr>
          <w:color w:val="221F1F"/>
          <w:spacing w:val="-2"/>
        </w:rPr>
        <w:t xml:space="preserve"> </w:t>
      </w:r>
      <w:r>
        <w:rPr>
          <w:color w:val="221F1F"/>
        </w:rPr>
        <w:t>other</w:t>
      </w:r>
      <w:r>
        <w:rPr>
          <w:color w:val="221F1F"/>
          <w:spacing w:val="-2"/>
        </w:rPr>
        <w:t xml:space="preserve"> </w:t>
      </w:r>
      <w:r>
        <w:rPr>
          <w:color w:val="221F1F"/>
        </w:rPr>
        <w:t>local</w:t>
      </w:r>
      <w:r>
        <w:rPr>
          <w:color w:val="221F1F"/>
          <w:spacing w:val="-1"/>
        </w:rPr>
        <w:t xml:space="preserve"> </w:t>
      </w:r>
      <w:r>
        <w:rPr>
          <w:color w:val="221F1F"/>
        </w:rPr>
        <w:t>conditions,</w:t>
      </w:r>
      <w:r>
        <w:rPr>
          <w:color w:val="221F1F"/>
          <w:spacing w:val="-2"/>
        </w:rPr>
        <w:t xml:space="preserve"> </w:t>
      </w:r>
      <w:r>
        <w:rPr>
          <w:color w:val="221F1F"/>
        </w:rPr>
        <w:t>positions</w:t>
      </w:r>
      <w:r>
        <w:rPr>
          <w:color w:val="221F1F"/>
          <w:spacing w:val="-2"/>
        </w:rPr>
        <w:t xml:space="preserve"> </w:t>
      </w:r>
      <w:r>
        <w:rPr>
          <w:color w:val="221F1F"/>
        </w:rPr>
        <w:t>of</w:t>
      </w:r>
      <w:r>
        <w:rPr>
          <w:color w:val="221F1F"/>
          <w:spacing w:val="-4"/>
        </w:rPr>
        <w:t xml:space="preserve"> </w:t>
      </w:r>
      <w:r>
        <w:rPr>
          <w:color w:val="221F1F"/>
        </w:rPr>
        <w:t>existing</w:t>
      </w:r>
      <w:r>
        <w:rPr>
          <w:color w:val="221F1F"/>
          <w:spacing w:val="-2"/>
        </w:rPr>
        <w:t xml:space="preserve"> </w:t>
      </w:r>
      <w:r>
        <w:rPr>
          <w:color w:val="221F1F"/>
        </w:rPr>
        <w:t>power,</w:t>
      </w:r>
      <w:r>
        <w:rPr>
          <w:color w:val="221F1F"/>
          <w:spacing w:val="-2"/>
        </w:rPr>
        <w:t xml:space="preserve"> </w:t>
      </w:r>
      <w:r>
        <w:rPr>
          <w:color w:val="221F1F"/>
        </w:rPr>
        <w:t>water</w:t>
      </w:r>
      <w:r>
        <w:rPr>
          <w:color w:val="221F1F"/>
          <w:spacing w:val="-4"/>
        </w:rPr>
        <w:t xml:space="preserve"> </w:t>
      </w:r>
      <w:r>
        <w:rPr>
          <w:color w:val="221F1F"/>
        </w:rPr>
        <w:t>and</w:t>
      </w:r>
      <w:r>
        <w:rPr>
          <w:color w:val="221F1F"/>
          <w:spacing w:val="-2"/>
        </w:rPr>
        <w:t xml:space="preserve"> </w:t>
      </w:r>
      <w:r>
        <w:rPr>
          <w:color w:val="221F1F"/>
        </w:rPr>
        <w:t>other</w:t>
      </w:r>
      <w:r>
        <w:rPr>
          <w:color w:val="221F1F"/>
          <w:spacing w:val="-2"/>
        </w:rPr>
        <w:t xml:space="preserve"> </w:t>
      </w:r>
      <w:r>
        <w:rPr>
          <w:color w:val="221F1F"/>
        </w:rPr>
        <w:t>services, access roads or any other limitations that might affect his cost or progress. No claim for extras shall be considered on account of lack of knowledge in this respect.</w:t>
      </w:r>
    </w:p>
    <w:p w:rsidR="007F6DF9" w:rsidRDefault="00A43FBC">
      <w:pPr>
        <w:pStyle w:val="ListParagraph"/>
        <w:numPr>
          <w:ilvl w:val="1"/>
          <w:numId w:val="125"/>
        </w:numPr>
        <w:tabs>
          <w:tab w:val="left" w:pos="1134"/>
          <w:tab w:val="left" w:pos="1155"/>
        </w:tabs>
        <w:spacing w:before="248" w:line="230" w:lineRule="auto"/>
        <w:ind w:left="1155" w:right="558" w:hanging="443"/>
        <w:jc w:val="both"/>
      </w:pPr>
      <w:r>
        <w:rPr>
          <w:color w:val="221F1F"/>
        </w:rPr>
        <w:t>The Contractor shall obtain the Architect's approval on the siting of all temporary buildings, spoil heaps, temporary access path, and storage of materials. The Contractor shall also obtain the Architect approval and direction regarding the use of any materials found on the Site.</w:t>
      </w:r>
    </w:p>
    <w:p w:rsidR="007F6DF9" w:rsidRDefault="00A43FBC">
      <w:pPr>
        <w:pStyle w:val="ListParagraph"/>
        <w:numPr>
          <w:ilvl w:val="1"/>
          <w:numId w:val="125"/>
        </w:numPr>
        <w:tabs>
          <w:tab w:val="left" w:pos="1134"/>
          <w:tab w:val="left" w:pos="1155"/>
        </w:tabs>
        <w:spacing w:before="245" w:line="230" w:lineRule="auto"/>
        <w:ind w:left="1155" w:right="557" w:hanging="443"/>
        <w:jc w:val="both"/>
      </w:pPr>
      <w:r>
        <w:rPr>
          <w:color w:val="221F1F"/>
        </w:rPr>
        <w:t>The</w:t>
      </w:r>
      <w:r>
        <w:rPr>
          <w:color w:val="221F1F"/>
          <w:spacing w:val="-5"/>
        </w:rPr>
        <w:t xml:space="preserve"> </w:t>
      </w:r>
      <w:r>
        <w:rPr>
          <w:color w:val="221F1F"/>
        </w:rPr>
        <w:t>drawings</w:t>
      </w:r>
      <w:r>
        <w:rPr>
          <w:color w:val="221F1F"/>
          <w:spacing w:val="-6"/>
        </w:rPr>
        <w:t xml:space="preserve"> </w:t>
      </w:r>
      <w:r>
        <w:rPr>
          <w:color w:val="221F1F"/>
        </w:rPr>
        <w:t>used</w:t>
      </w:r>
      <w:r>
        <w:rPr>
          <w:color w:val="221F1F"/>
          <w:spacing w:val="-9"/>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preparation</w:t>
      </w:r>
      <w:r>
        <w:rPr>
          <w:color w:val="221F1F"/>
          <w:spacing w:val="-6"/>
        </w:rPr>
        <w:t xml:space="preserve"> </w:t>
      </w:r>
      <w:r>
        <w:rPr>
          <w:color w:val="221F1F"/>
        </w:rPr>
        <w:t>of</w:t>
      </w:r>
      <w:r>
        <w:rPr>
          <w:color w:val="221F1F"/>
          <w:spacing w:val="-6"/>
        </w:rPr>
        <w:t xml:space="preserve"> </w:t>
      </w:r>
      <w:r>
        <w:rPr>
          <w:color w:val="221F1F"/>
        </w:rPr>
        <w:t>these</w:t>
      </w:r>
      <w:r>
        <w:rPr>
          <w:color w:val="221F1F"/>
          <w:spacing w:val="-6"/>
        </w:rPr>
        <w:t xml:space="preserve"> </w:t>
      </w:r>
      <w:r>
        <w:rPr>
          <w:color w:val="221F1F"/>
        </w:rPr>
        <w:t>Bills</w:t>
      </w:r>
      <w:r>
        <w:rPr>
          <w:color w:val="221F1F"/>
          <w:spacing w:val="-4"/>
        </w:rPr>
        <w:t xml:space="preserve"> </w:t>
      </w:r>
      <w:r>
        <w:rPr>
          <w:color w:val="221F1F"/>
        </w:rPr>
        <w:t>of</w:t>
      </w:r>
      <w:r>
        <w:rPr>
          <w:color w:val="221F1F"/>
          <w:spacing w:val="-6"/>
        </w:rPr>
        <w:t xml:space="preserve"> </w:t>
      </w:r>
      <w:r>
        <w:rPr>
          <w:color w:val="221F1F"/>
        </w:rPr>
        <w:t>Quantities</w:t>
      </w:r>
      <w:r>
        <w:rPr>
          <w:color w:val="221F1F"/>
          <w:spacing w:val="-5"/>
        </w:rPr>
        <w:t xml:space="preserve"> </w:t>
      </w:r>
      <w:r>
        <w:rPr>
          <w:color w:val="221F1F"/>
        </w:rPr>
        <w:t>can</w:t>
      </w:r>
      <w:r>
        <w:rPr>
          <w:color w:val="221F1F"/>
          <w:spacing w:val="-5"/>
        </w:rPr>
        <w:t xml:space="preserve"> </w:t>
      </w:r>
      <w:r>
        <w:rPr>
          <w:color w:val="221F1F"/>
        </w:rPr>
        <w:t>be</w:t>
      </w:r>
      <w:r>
        <w:rPr>
          <w:color w:val="221F1F"/>
          <w:spacing w:val="-7"/>
        </w:rPr>
        <w:t xml:space="preserve"> </w:t>
      </w:r>
      <w:r>
        <w:rPr>
          <w:color w:val="221F1F"/>
        </w:rPr>
        <w:t>inspected</w:t>
      </w:r>
      <w:r>
        <w:rPr>
          <w:color w:val="221F1F"/>
          <w:spacing w:val="-6"/>
        </w:rPr>
        <w:t xml:space="preserve"> </w:t>
      </w:r>
      <w:r>
        <w:rPr>
          <w:color w:val="221F1F"/>
        </w:rPr>
        <w:t>at</w:t>
      </w:r>
      <w:r>
        <w:rPr>
          <w:color w:val="221F1F"/>
          <w:spacing w:val="-6"/>
        </w:rPr>
        <w:t xml:space="preserve"> </w:t>
      </w:r>
      <w:r>
        <w:rPr>
          <w:color w:val="221F1F"/>
        </w:rPr>
        <w:t>the</w:t>
      </w:r>
      <w:r>
        <w:rPr>
          <w:color w:val="221F1F"/>
          <w:spacing w:val="-6"/>
        </w:rPr>
        <w:t xml:space="preserve"> </w:t>
      </w:r>
      <w:r>
        <w:rPr>
          <w:color w:val="221F1F"/>
        </w:rPr>
        <w:t>offices</w:t>
      </w:r>
      <w:r>
        <w:rPr>
          <w:color w:val="221F1F"/>
          <w:spacing w:val="-4"/>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 xml:space="preserve">Procuring </w:t>
      </w:r>
      <w:proofErr w:type="spellStart"/>
      <w:r>
        <w:rPr>
          <w:color w:val="221F1F"/>
        </w:rPr>
        <w:t>Entityor</w:t>
      </w:r>
      <w:proofErr w:type="spellEnd"/>
      <w:r>
        <w:rPr>
          <w:color w:val="221F1F"/>
        </w:rPr>
        <w:t xml:space="preserve"> Procuring Entity's Representative during normal working hours. Two</w:t>
      </w:r>
      <w:r>
        <w:rPr>
          <w:color w:val="221F1F"/>
          <w:spacing w:val="-1"/>
        </w:rPr>
        <w:t xml:space="preserve"> </w:t>
      </w:r>
      <w:r>
        <w:rPr>
          <w:color w:val="221F1F"/>
        </w:rPr>
        <w:t xml:space="preserve">sets of the Working Drawings shall be provided to the contractor but additional copies shall be provided at a cost to be determined by the </w:t>
      </w:r>
      <w:r>
        <w:rPr>
          <w:color w:val="221F1F"/>
          <w:spacing w:val="-2"/>
        </w:rPr>
        <w:t>Engineer.</w:t>
      </w:r>
    </w:p>
    <w:p w:rsidR="007F6DF9" w:rsidRDefault="00A43FBC">
      <w:pPr>
        <w:pStyle w:val="ListParagraph"/>
        <w:numPr>
          <w:ilvl w:val="1"/>
          <w:numId w:val="125"/>
        </w:numPr>
        <w:tabs>
          <w:tab w:val="left" w:pos="1134"/>
          <w:tab w:val="left" w:pos="1155"/>
        </w:tabs>
        <w:spacing w:before="246" w:line="230" w:lineRule="auto"/>
        <w:ind w:left="1155" w:right="570" w:hanging="443"/>
        <w:jc w:val="both"/>
      </w:pPr>
      <w:r>
        <w:rPr>
          <w:color w:val="221F1F"/>
        </w:rPr>
        <w:t>The Contractor shall allow for the payment of all bank charges in connection with the procurement of Bank Guarantees and stamp charges in connection with this contract Agreement.</w:t>
      </w:r>
    </w:p>
    <w:p w:rsidR="007F6DF9" w:rsidRDefault="00A43FBC">
      <w:pPr>
        <w:pStyle w:val="ListParagraph"/>
        <w:numPr>
          <w:ilvl w:val="1"/>
          <w:numId w:val="125"/>
        </w:numPr>
        <w:tabs>
          <w:tab w:val="left" w:pos="1134"/>
          <w:tab w:val="left" w:pos="1155"/>
        </w:tabs>
        <w:spacing w:before="244" w:line="230" w:lineRule="auto"/>
        <w:ind w:left="1155" w:right="558" w:hanging="443"/>
        <w:jc w:val="both"/>
      </w:pPr>
      <w:r>
        <w:rPr>
          <w:color w:val="221F1F"/>
        </w:rPr>
        <w:t>The Contractor shall carry out the various sections of the Works</w:t>
      </w:r>
      <w:r>
        <w:rPr>
          <w:color w:val="221F1F"/>
          <w:spacing w:val="-2"/>
        </w:rPr>
        <w:t xml:space="preserve"> </w:t>
      </w:r>
      <w:r>
        <w:rPr>
          <w:color w:val="221F1F"/>
        </w:rPr>
        <w:t>in such an order as the Architect May direct. The Procuring Entity reserves the right to occupy the Works by sections on completion provided that such occupation is considered to be both practical and reasonable and will not interfere with the Works. The Contractor shall allow any costs associated with such occupation.</w:t>
      </w:r>
    </w:p>
    <w:p w:rsidR="007F6DF9" w:rsidRDefault="00A43FBC">
      <w:pPr>
        <w:pStyle w:val="ListParagraph"/>
        <w:numPr>
          <w:ilvl w:val="1"/>
          <w:numId w:val="125"/>
        </w:numPr>
        <w:tabs>
          <w:tab w:val="left" w:pos="1132"/>
          <w:tab w:val="left" w:pos="1155"/>
        </w:tabs>
        <w:spacing w:before="5" w:line="230" w:lineRule="auto"/>
        <w:ind w:left="1155" w:right="563" w:hanging="443"/>
        <w:jc w:val="both"/>
      </w:pPr>
      <w:r>
        <w:rPr>
          <w:color w:val="221F1F"/>
        </w:rPr>
        <w:t>The main Contractor will be fully responsible for paying his Sub-Contractor but the Procuring Entity reserves the right in very exceptional circumstances to make such payments direct in the interests of the project where the completion thereof might be jeopardized by any dispute or vicariousness between the Contractor and the Sub- Contractor involve.</w:t>
      </w:r>
    </w:p>
    <w:p w:rsidR="007F6DF9" w:rsidRDefault="00A43FBC">
      <w:pPr>
        <w:pStyle w:val="ListParagraph"/>
        <w:numPr>
          <w:ilvl w:val="1"/>
          <w:numId w:val="125"/>
        </w:numPr>
        <w:tabs>
          <w:tab w:val="left" w:pos="1132"/>
          <w:tab w:val="left" w:pos="1155"/>
        </w:tabs>
        <w:spacing w:line="230" w:lineRule="auto"/>
        <w:ind w:left="1155" w:right="561" w:hanging="443"/>
        <w:jc w:val="both"/>
      </w:pPr>
      <w:r>
        <w:rPr>
          <w:color w:val="221F1F"/>
        </w:rPr>
        <w:t>The</w:t>
      </w:r>
      <w:r>
        <w:rPr>
          <w:color w:val="221F1F"/>
          <w:spacing w:val="-5"/>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complete</w:t>
      </w:r>
      <w:r>
        <w:rPr>
          <w:color w:val="221F1F"/>
          <w:spacing w:val="-6"/>
        </w:rPr>
        <w:t xml:space="preserve"> </w:t>
      </w:r>
      <w:r>
        <w:rPr>
          <w:color w:val="221F1F"/>
        </w:rPr>
        <w:t>and</w:t>
      </w:r>
      <w:r>
        <w:rPr>
          <w:color w:val="221F1F"/>
          <w:spacing w:val="-7"/>
        </w:rPr>
        <w:t xml:space="preserve"> </w:t>
      </w:r>
      <w:r>
        <w:rPr>
          <w:color w:val="221F1F"/>
        </w:rPr>
        <w:t>deliver</w:t>
      </w:r>
      <w:r>
        <w:rPr>
          <w:color w:val="221F1F"/>
          <w:spacing w:val="-5"/>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in</w:t>
      </w:r>
      <w:r>
        <w:rPr>
          <w:color w:val="221F1F"/>
          <w:spacing w:val="-7"/>
        </w:rPr>
        <w:t xml:space="preserve"> </w:t>
      </w:r>
      <w:r>
        <w:rPr>
          <w:color w:val="221F1F"/>
        </w:rPr>
        <w:t>the</w:t>
      </w:r>
      <w:r>
        <w:rPr>
          <w:color w:val="221F1F"/>
          <w:spacing w:val="-6"/>
        </w:rPr>
        <w:t xml:space="preserve"> </w:t>
      </w:r>
      <w:r>
        <w:rPr>
          <w:color w:val="221F1F"/>
        </w:rPr>
        <w:t>period</w:t>
      </w:r>
      <w:r>
        <w:rPr>
          <w:color w:val="221F1F"/>
          <w:spacing w:val="-7"/>
        </w:rPr>
        <w:t xml:space="preserve"> </w:t>
      </w:r>
      <w:r>
        <w:rPr>
          <w:color w:val="221F1F"/>
        </w:rPr>
        <w:t>inserted</w:t>
      </w:r>
      <w:r>
        <w:rPr>
          <w:color w:val="221F1F"/>
          <w:spacing w:val="-7"/>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Form</w:t>
      </w:r>
      <w:r>
        <w:rPr>
          <w:color w:val="221F1F"/>
          <w:spacing w:val="-5"/>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as</w:t>
      </w:r>
      <w:r>
        <w:rPr>
          <w:color w:val="221F1F"/>
          <w:spacing w:val="-7"/>
        </w:rPr>
        <w:t xml:space="preserve"> </w:t>
      </w:r>
      <w:r>
        <w:rPr>
          <w:color w:val="221F1F"/>
        </w:rPr>
        <w:t>his</w:t>
      </w:r>
      <w:r>
        <w:rPr>
          <w:color w:val="221F1F"/>
          <w:spacing w:val="-6"/>
        </w:rPr>
        <w:t xml:space="preserve"> </w:t>
      </w:r>
      <w:r>
        <w:rPr>
          <w:color w:val="221F1F"/>
        </w:rPr>
        <w:t>time</w:t>
      </w:r>
      <w:r>
        <w:rPr>
          <w:color w:val="221F1F"/>
          <w:spacing w:val="-7"/>
        </w:rPr>
        <w:t xml:space="preserve"> </w:t>
      </w:r>
      <w:r>
        <w:rPr>
          <w:color w:val="221F1F"/>
        </w:rPr>
        <w:t>for completion of the Works</w:t>
      </w:r>
      <w:r>
        <w:rPr>
          <w:color w:val="221F1F"/>
          <w:spacing w:val="-3"/>
        </w:rPr>
        <w:t xml:space="preserve"> </w:t>
      </w:r>
      <w:r>
        <w:rPr>
          <w:color w:val="221F1F"/>
        </w:rPr>
        <w:t>from the date for Possession, to be agreed with the Engineer. The Contract Period is presumed</w:t>
      </w:r>
      <w:r>
        <w:rPr>
          <w:color w:val="221F1F"/>
          <w:spacing w:val="-11"/>
        </w:rPr>
        <w:t xml:space="preserve"> </w:t>
      </w:r>
      <w:r>
        <w:rPr>
          <w:color w:val="221F1F"/>
        </w:rPr>
        <w:t>to</w:t>
      </w:r>
      <w:r>
        <w:rPr>
          <w:color w:val="221F1F"/>
          <w:spacing w:val="-12"/>
        </w:rPr>
        <w:t xml:space="preserve"> </w:t>
      </w:r>
      <w:r>
        <w:rPr>
          <w:color w:val="221F1F"/>
        </w:rPr>
        <w:t>have</w:t>
      </w:r>
      <w:r>
        <w:rPr>
          <w:color w:val="221F1F"/>
          <w:spacing w:val="-12"/>
        </w:rPr>
        <w:t xml:space="preserve"> </w:t>
      </w:r>
      <w:r>
        <w:rPr>
          <w:color w:val="221F1F"/>
        </w:rPr>
        <w:t>been</w:t>
      </w:r>
      <w:r>
        <w:rPr>
          <w:color w:val="221F1F"/>
          <w:spacing w:val="-12"/>
        </w:rPr>
        <w:t xml:space="preserve"> </w:t>
      </w:r>
      <w:r>
        <w:rPr>
          <w:color w:val="221F1F"/>
        </w:rPr>
        <w:t>calculated</w:t>
      </w:r>
      <w:r>
        <w:rPr>
          <w:color w:val="221F1F"/>
          <w:spacing w:val="-13"/>
        </w:rPr>
        <w:t xml:space="preserve"> </w:t>
      </w:r>
      <w:r>
        <w:rPr>
          <w:color w:val="221F1F"/>
        </w:rPr>
        <w:t>making</w:t>
      </w:r>
      <w:r>
        <w:rPr>
          <w:color w:val="221F1F"/>
          <w:spacing w:val="-12"/>
        </w:rPr>
        <w:t xml:space="preserve"> </w:t>
      </w:r>
      <w:r>
        <w:rPr>
          <w:color w:val="221F1F"/>
        </w:rPr>
        <w:t>due</w:t>
      </w:r>
      <w:r>
        <w:rPr>
          <w:color w:val="221F1F"/>
          <w:spacing w:val="-14"/>
        </w:rPr>
        <w:t xml:space="preserve"> </w:t>
      </w:r>
      <w:r>
        <w:rPr>
          <w:color w:val="221F1F"/>
        </w:rPr>
        <w:t>allowance</w:t>
      </w:r>
      <w:r>
        <w:rPr>
          <w:color w:val="221F1F"/>
          <w:spacing w:val="-11"/>
        </w:rPr>
        <w:t xml:space="preserve"> </w:t>
      </w:r>
      <w:r>
        <w:rPr>
          <w:color w:val="221F1F"/>
        </w:rPr>
        <w:t>for</w:t>
      </w:r>
      <w:r>
        <w:rPr>
          <w:color w:val="221F1F"/>
          <w:spacing w:val="-11"/>
        </w:rPr>
        <w:t xml:space="preserve"> </w:t>
      </w:r>
      <w:r>
        <w:rPr>
          <w:color w:val="221F1F"/>
        </w:rPr>
        <w:t>seasonal</w:t>
      </w:r>
      <w:r>
        <w:rPr>
          <w:color w:val="221F1F"/>
          <w:spacing w:val="-10"/>
        </w:rPr>
        <w:t xml:space="preserve"> </w:t>
      </w:r>
      <w:r>
        <w:rPr>
          <w:color w:val="221F1F"/>
        </w:rPr>
        <w:t>inclement</w:t>
      </w:r>
      <w:r>
        <w:rPr>
          <w:color w:val="221F1F"/>
          <w:spacing w:val="-10"/>
        </w:rPr>
        <w:t xml:space="preserve"> </w:t>
      </w:r>
      <w:r>
        <w:rPr>
          <w:color w:val="221F1F"/>
        </w:rPr>
        <w:t>weather</w:t>
      </w:r>
      <w:r>
        <w:rPr>
          <w:color w:val="221F1F"/>
          <w:spacing w:val="-10"/>
        </w:rPr>
        <w:t xml:space="preserve"> </w:t>
      </w:r>
      <w:r>
        <w:rPr>
          <w:color w:val="221F1F"/>
        </w:rPr>
        <w:t>conditions.</w:t>
      </w:r>
      <w:r>
        <w:rPr>
          <w:color w:val="221F1F"/>
          <w:spacing w:val="-11"/>
        </w:rPr>
        <w:t xml:space="preserve"> </w:t>
      </w:r>
      <w:proofErr w:type="spellStart"/>
      <w:r>
        <w:rPr>
          <w:color w:val="221F1F"/>
        </w:rPr>
        <w:t>Noclaimfor</w:t>
      </w:r>
      <w:proofErr w:type="spellEnd"/>
      <w:r>
        <w:rPr>
          <w:color w:val="221F1F"/>
        </w:rPr>
        <w:t xml:space="preserve"> extension of time due to the normal </w:t>
      </w:r>
      <w:proofErr w:type="spellStart"/>
      <w:r>
        <w:rPr>
          <w:color w:val="221F1F"/>
        </w:rPr>
        <w:t>in clement</w:t>
      </w:r>
      <w:proofErr w:type="spellEnd"/>
      <w:r>
        <w:rPr>
          <w:color w:val="221F1F"/>
        </w:rPr>
        <w:t xml:space="preserve"> weather for this area shall be entertained.</w:t>
      </w:r>
    </w:p>
    <w:p w:rsidR="007F6DF9" w:rsidRDefault="00A43FBC">
      <w:pPr>
        <w:pStyle w:val="ListParagraph"/>
        <w:numPr>
          <w:ilvl w:val="1"/>
          <w:numId w:val="125"/>
        </w:numPr>
        <w:tabs>
          <w:tab w:val="left" w:pos="1132"/>
          <w:tab w:val="left" w:pos="1155"/>
        </w:tabs>
        <w:spacing w:before="244" w:line="230" w:lineRule="auto"/>
        <w:ind w:left="1155" w:right="558" w:hanging="443"/>
        <w:jc w:val="both"/>
      </w:pPr>
      <w:r>
        <w:rPr>
          <w:color w:val="221F1F"/>
        </w:rPr>
        <w:t>The</w:t>
      </w:r>
      <w:r>
        <w:rPr>
          <w:color w:val="221F1F"/>
          <w:spacing w:val="-14"/>
        </w:rPr>
        <w:t xml:space="preserve"> </w:t>
      </w:r>
      <w:r>
        <w:rPr>
          <w:color w:val="221F1F"/>
        </w:rPr>
        <w:t>Contractor</w:t>
      </w:r>
      <w:r>
        <w:rPr>
          <w:color w:val="221F1F"/>
          <w:spacing w:val="-10"/>
        </w:rPr>
        <w:t xml:space="preserve"> </w:t>
      </w:r>
      <w:r>
        <w:rPr>
          <w:color w:val="221F1F"/>
        </w:rPr>
        <w:t>shall,</w:t>
      </w:r>
      <w:r>
        <w:rPr>
          <w:color w:val="221F1F"/>
          <w:spacing w:val="-12"/>
        </w:rPr>
        <w:t xml:space="preserve"> </w:t>
      </w:r>
      <w:r>
        <w:rPr>
          <w:color w:val="221F1F"/>
        </w:rPr>
        <w:t>upon</w:t>
      </w:r>
      <w:r>
        <w:rPr>
          <w:color w:val="221F1F"/>
          <w:spacing w:val="-12"/>
        </w:rPr>
        <w:t xml:space="preserve"> </w:t>
      </w:r>
      <w:r>
        <w:rPr>
          <w:color w:val="221F1F"/>
        </w:rPr>
        <w:t>receiving</w:t>
      </w:r>
      <w:r>
        <w:rPr>
          <w:color w:val="221F1F"/>
          <w:spacing w:val="-13"/>
        </w:rPr>
        <w:t xml:space="preserve"> </w:t>
      </w:r>
      <w:r>
        <w:rPr>
          <w:color w:val="221F1F"/>
        </w:rPr>
        <w:t>instructions</w:t>
      </w:r>
      <w:r>
        <w:rPr>
          <w:color w:val="221F1F"/>
          <w:spacing w:val="-13"/>
        </w:rPr>
        <w:t xml:space="preserve"> </w:t>
      </w:r>
      <w:r>
        <w:rPr>
          <w:color w:val="221F1F"/>
        </w:rPr>
        <w:t>to</w:t>
      </w:r>
      <w:r>
        <w:rPr>
          <w:color w:val="221F1F"/>
          <w:spacing w:val="-12"/>
        </w:rPr>
        <w:t xml:space="preserve"> </w:t>
      </w:r>
      <w:r>
        <w:rPr>
          <w:color w:val="221F1F"/>
        </w:rPr>
        <w:t>proceed</w:t>
      </w:r>
      <w:r>
        <w:rPr>
          <w:color w:val="221F1F"/>
          <w:spacing w:val="-10"/>
        </w:rPr>
        <w:t xml:space="preserve"> </w:t>
      </w:r>
      <w:r>
        <w:rPr>
          <w:color w:val="221F1F"/>
        </w:rPr>
        <w:t>with</w:t>
      </w:r>
      <w:r>
        <w:rPr>
          <w:color w:val="221F1F"/>
          <w:spacing w:val="-12"/>
        </w:rPr>
        <w:t xml:space="preserve"> </w:t>
      </w:r>
      <w:r>
        <w:rPr>
          <w:color w:val="221F1F"/>
        </w:rPr>
        <w:t>the</w:t>
      </w:r>
      <w:r>
        <w:rPr>
          <w:color w:val="221F1F"/>
          <w:spacing w:val="-13"/>
        </w:rPr>
        <w:t xml:space="preserve"> </w:t>
      </w:r>
      <w:r>
        <w:rPr>
          <w:color w:val="221F1F"/>
        </w:rPr>
        <w:t>Works,</w:t>
      </w:r>
      <w:r>
        <w:rPr>
          <w:color w:val="221F1F"/>
          <w:spacing w:val="-14"/>
        </w:rPr>
        <w:t xml:space="preserve"> </w:t>
      </w:r>
      <w:r>
        <w:rPr>
          <w:color w:val="221F1F"/>
        </w:rPr>
        <w:t>draw</w:t>
      </w:r>
      <w:r>
        <w:rPr>
          <w:color w:val="221F1F"/>
          <w:spacing w:val="-11"/>
        </w:rPr>
        <w:t xml:space="preserve"> </w:t>
      </w:r>
      <w:r>
        <w:rPr>
          <w:color w:val="221F1F"/>
        </w:rPr>
        <w:t>up</w:t>
      </w:r>
      <w:r>
        <w:rPr>
          <w:color w:val="221F1F"/>
          <w:spacing w:val="-12"/>
        </w:rPr>
        <w:t xml:space="preserve"> </w:t>
      </w:r>
      <w:r>
        <w:rPr>
          <w:color w:val="221F1F"/>
        </w:rPr>
        <w:t>a</w:t>
      </w:r>
      <w:r>
        <w:rPr>
          <w:color w:val="221F1F"/>
          <w:spacing w:val="-11"/>
        </w:rPr>
        <w:t xml:space="preserve"> </w:t>
      </w:r>
      <w:proofErr w:type="spellStart"/>
      <w:r>
        <w:rPr>
          <w:color w:val="221F1F"/>
        </w:rPr>
        <w:t>Programme</w:t>
      </w:r>
      <w:proofErr w:type="spellEnd"/>
      <w:r>
        <w:rPr>
          <w:color w:val="221F1F"/>
          <w:spacing w:val="-11"/>
        </w:rPr>
        <w:t xml:space="preserve"> </w:t>
      </w:r>
      <w:r>
        <w:rPr>
          <w:color w:val="221F1F"/>
        </w:rPr>
        <w:t>and</w:t>
      </w:r>
      <w:r>
        <w:rPr>
          <w:color w:val="221F1F"/>
          <w:spacing w:val="-12"/>
        </w:rPr>
        <w:t xml:space="preserve"> </w:t>
      </w:r>
      <w:r>
        <w:rPr>
          <w:color w:val="221F1F"/>
        </w:rPr>
        <w:t xml:space="preserve">Progress Chart setting out the order in which the Works are to be carried out, with the appropriate dates </w:t>
      </w:r>
      <w:proofErr w:type="spellStart"/>
      <w:r>
        <w:rPr>
          <w:color w:val="221F1F"/>
        </w:rPr>
        <w:t>there of</w:t>
      </w:r>
      <w:proofErr w:type="spellEnd"/>
      <w:r>
        <w:rPr>
          <w:color w:val="221F1F"/>
        </w:rPr>
        <w:t>. This Chart shall be agreed with the Architect and no deviation from the order set out in it will be permitted without the</w:t>
      </w:r>
      <w:r>
        <w:rPr>
          <w:color w:val="221F1F"/>
          <w:spacing w:val="-9"/>
        </w:rPr>
        <w:t xml:space="preserve"> </w:t>
      </w:r>
      <w:r>
        <w:rPr>
          <w:color w:val="221F1F"/>
        </w:rPr>
        <w:t>written</w:t>
      </w:r>
      <w:r>
        <w:rPr>
          <w:color w:val="221F1F"/>
          <w:spacing w:val="-12"/>
        </w:rPr>
        <w:t xml:space="preserve"> </w:t>
      </w:r>
      <w:r>
        <w:rPr>
          <w:color w:val="221F1F"/>
        </w:rPr>
        <w:t>consent</w:t>
      </w:r>
      <w:r>
        <w:rPr>
          <w:color w:val="221F1F"/>
          <w:spacing w:val="-8"/>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Engineer.</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8"/>
        </w:rPr>
        <w:t xml:space="preserve"> </w:t>
      </w:r>
      <w:r>
        <w:rPr>
          <w:color w:val="221F1F"/>
        </w:rPr>
        <w:t>will</w:t>
      </w:r>
      <w:r>
        <w:rPr>
          <w:color w:val="221F1F"/>
          <w:spacing w:val="-8"/>
        </w:rPr>
        <w:t xml:space="preserve"> </w:t>
      </w:r>
      <w:r>
        <w:rPr>
          <w:color w:val="221F1F"/>
        </w:rPr>
        <w:t>be</w:t>
      </w:r>
      <w:r>
        <w:rPr>
          <w:color w:val="221F1F"/>
          <w:spacing w:val="-9"/>
        </w:rPr>
        <w:t xml:space="preserve"> </w:t>
      </w:r>
      <w:r>
        <w:rPr>
          <w:color w:val="221F1F"/>
        </w:rPr>
        <w:t>responsible</w:t>
      </w:r>
      <w:r>
        <w:rPr>
          <w:color w:val="221F1F"/>
          <w:spacing w:val="-11"/>
        </w:rPr>
        <w:t xml:space="preserve"> </w:t>
      </w:r>
      <w:r>
        <w:rPr>
          <w:color w:val="221F1F"/>
        </w:rPr>
        <w:t>for</w:t>
      </w:r>
      <w:r>
        <w:rPr>
          <w:color w:val="221F1F"/>
          <w:spacing w:val="-8"/>
        </w:rPr>
        <w:t xml:space="preserve"> </w:t>
      </w:r>
      <w:r>
        <w:rPr>
          <w:color w:val="221F1F"/>
        </w:rPr>
        <w:t>arranging</w:t>
      </w:r>
      <w:r>
        <w:rPr>
          <w:color w:val="221F1F"/>
          <w:spacing w:val="-9"/>
        </w:rPr>
        <w:t xml:space="preserve"> </w:t>
      </w:r>
      <w:r>
        <w:rPr>
          <w:color w:val="221F1F"/>
        </w:rPr>
        <w:t>the</w:t>
      </w:r>
      <w:r>
        <w:rPr>
          <w:color w:val="221F1F"/>
          <w:spacing w:val="-8"/>
        </w:rPr>
        <w:t xml:space="preserve"> </w:t>
      </w:r>
      <w:r>
        <w:rPr>
          <w:color w:val="221F1F"/>
        </w:rPr>
        <w:t>above</w:t>
      </w:r>
      <w:r>
        <w:rPr>
          <w:color w:val="221F1F"/>
          <w:spacing w:val="-9"/>
        </w:rPr>
        <w:t xml:space="preserve"> </w:t>
      </w:r>
      <w:proofErr w:type="spellStart"/>
      <w:r>
        <w:rPr>
          <w:color w:val="221F1F"/>
        </w:rPr>
        <w:t>programme</w:t>
      </w:r>
      <w:proofErr w:type="spellEnd"/>
      <w:r>
        <w:rPr>
          <w:color w:val="221F1F"/>
          <w:spacing w:val="-8"/>
        </w:rPr>
        <w:t xml:space="preserve"> </w:t>
      </w:r>
      <w:r>
        <w:rPr>
          <w:color w:val="221F1F"/>
        </w:rPr>
        <w:t>with all</w:t>
      </w:r>
      <w:r>
        <w:rPr>
          <w:color w:val="221F1F"/>
          <w:spacing w:val="-7"/>
        </w:rPr>
        <w:t xml:space="preserve"> </w:t>
      </w:r>
      <w:r>
        <w:rPr>
          <w:color w:val="221F1F"/>
        </w:rPr>
        <w:t>his</w:t>
      </w:r>
      <w:r>
        <w:rPr>
          <w:color w:val="221F1F"/>
          <w:spacing w:val="-6"/>
        </w:rPr>
        <w:t xml:space="preserve"> </w:t>
      </w:r>
      <w:r>
        <w:rPr>
          <w:color w:val="221F1F"/>
        </w:rPr>
        <w:t>sub-Contractors</w:t>
      </w:r>
      <w:r>
        <w:rPr>
          <w:color w:val="221F1F"/>
          <w:spacing w:val="-7"/>
        </w:rPr>
        <w:t xml:space="preserve"> </w:t>
      </w:r>
      <w:r>
        <w:rPr>
          <w:color w:val="221F1F"/>
        </w:rPr>
        <w:t>and</w:t>
      </w:r>
      <w:r>
        <w:rPr>
          <w:color w:val="221F1F"/>
          <w:spacing w:val="-8"/>
        </w:rPr>
        <w:t xml:space="preserve"> </w:t>
      </w:r>
      <w:r>
        <w:rPr>
          <w:color w:val="221F1F"/>
        </w:rPr>
        <w:t>Specialties.</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4"/>
        </w:rPr>
        <w:t xml:space="preserve"> </w:t>
      </w:r>
      <w:r>
        <w:rPr>
          <w:color w:val="221F1F"/>
        </w:rPr>
        <w:t>allow</w:t>
      </w:r>
      <w:r>
        <w:rPr>
          <w:color w:val="221F1F"/>
          <w:spacing w:val="-7"/>
        </w:rPr>
        <w:t xml:space="preserve"> </w:t>
      </w:r>
      <w:r>
        <w:rPr>
          <w:color w:val="221F1F"/>
        </w:rPr>
        <w:t>in</w:t>
      </w:r>
      <w:r>
        <w:rPr>
          <w:color w:val="221F1F"/>
          <w:spacing w:val="-8"/>
        </w:rPr>
        <w:t xml:space="preserve"> </w:t>
      </w:r>
      <w:r>
        <w:rPr>
          <w:color w:val="221F1F"/>
        </w:rPr>
        <w:t>his</w:t>
      </w:r>
      <w:r>
        <w:rPr>
          <w:color w:val="221F1F"/>
          <w:spacing w:val="-6"/>
        </w:rPr>
        <w:t xml:space="preserve"> </w:t>
      </w:r>
      <w:r>
        <w:rPr>
          <w:color w:val="221F1F"/>
        </w:rPr>
        <w:t>rates</w:t>
      </w:r>
      <w:r>
        <w:rPr>
          <w:color w:val="221F1F"/>
          <w:spacing w:val="-5"/>
        </w:rPr>
        <w:t xml:space="preserve"> </w:t>
      </w:r>
      <w:r>
        <w:rPr>
          <w:color w:val="221F1F"/>
        </w:rPr>
        <w:t>for</w:t>
      </w:r>
      <w:r>
        <w:rPr>
          <w:color w:val="221F1F"/>
          <w:spacing w:val="-8"/>
        </w:rPr>
        <w:t xml:space="preserve"> </w:t>
      </w:r>
      <w:r>
        <w:rPr>
          <w:color w:val="221F1F"/>
        </w:rPr>
        <w:t>carrying</w:t>
      </w:r>
      <w:r>
        <w:rPr>
          <w:color w:val="221F1F"/>
          <w:spacing w:val="-7"/>
        </w:rPr>
        <w:t xml:space="preserve"> </w:t>
      </w:r>
      <w:r>
        <w:rPr>
          <w:color w:val="221F1F"/>
        </w:rPr>
        <w:t>out</w:t>
      </w:r>
      <w:r>
        <w:rPr>
          <w:color w:val="221F1F"/>
          <w:spacing w:val="-7"/>
        </w:rPr>
        <w:t xml:space="preserve"> </w:t>
      </w:r>
      <w:r>
        <w:rPr>
          <w:color w:val="221F1F"/>
        </w:rPr>
        <w:t>this</w:t>
      </w:r>
      <w:r>
        <w:rPr>
          <w:color w:val="221F1F"/>
          <w:spacing w:val="-8"/>
        </w:rPr>
        <w:t xml:space="preserve"> </w:t>
      </w:r>
      <w:r>
        <w:rPr>
          <w:color w:val="221F1F"/>
        </w:rPr>
        <w:t>exercise,</w:t>
      </w:r>
      <w:r>
        <w:rPr>
          <w:color w:val="221F1F"/>
          <w:spacing w:val="-8"/>
        </w:rPr>
        <w:t xml:space="preserve"> </w:t>
      </w:r>
      <w:r>
        <w:rPr>
          <w:color w:val="221F1F"/>
        </w:rPr>
        <w:t>and for updating it as required.</w:t>
      </w:r>
    </w:p>
    <w:p w:rsidR="007F6DF9" w:rsidRDefault="00A43FBC">
      <w:pPr>
        <w:pStyle w:val="ListParagraph"/>
        <w:numPr>
          <w:ilvl w:val="1"/>
          <w:numId w:val="125"/>
        </w:numPr>
        <w:tabs>
          <w:tab w:val="left" w:pos="1130"/>
          <w:tab w:val="left" w:pos="1155"/>
        </w:tabs>
        <w:spacing w:before="245" w:line="230" w:lineRule="auto"/>
        <w:ind w:left="1155" w:right="560" w:hanging="443"/>
        <w:jc w:val="both"/>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6"/>
        </w:rPr>
        <w:t xml:space="preserve"> </w:t>
      </w:r>
      <w:r>
        <w:rPr>
          <w:color w:val="221F1F"/>
        </w:rPr>
        <w:t>submit</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on</w:t>
      </w:r>
      <w:r>
        <w:rPr>
          <w:color w:val="221F1F"/>
          <w:spacing w:val="-7"/>
        </w:rPr>
        <w:t xml:space="preserve"> </w:t>
      </w:r>
      <w:r>
        <w:rPr>
          <w:color w:val="221F1F"/>
        </w:rPr>
        <w:t>the</w:t>
      </w:r>
      <w:r>
        <w:rPr>
          <w:color w:val="221F1F"/>
          <w:spacing w:val="-4"/>
        </w:rPr>
        <w:t xml:space="preserve"> </w:t>
      </w:r>
      <w:r>
        <w:rPr>
          <w:color w:val="221F1F"/>
        </w:rPr>
        <w:t>first</w:t>
      </w:r>
      <w:r>
        <w:rPr>
          <w:color w:val="221F1F"/>
          <w:spacing w:val="-6"/>
        </w:rPr>
        <w:t xml:space="preserve"> </w:t>
      </w:r>
      <w:r>
        <w:rPr>
          <w:color w:val="221F1F"/>
        </w:rPr>
        <w:t>day</w:t>
      </w:r>
      <w:r>
        <w:rPr>
          <w:color w:val="221F1F"/>
          <w:spacing w:val="-4"/>
        </w:rPr>
        <w:t xml:space="preserve"> </w:t>
      </w:r>
      <w:r>
        <w:rPr>
          <w:color w:val="221F1F"/>
        </w:rPr>
        <w:t>of</w:t>
      </w:r>
      <w:r>
        <w:rPr>
          <w:color w:val="221F1F"/>
          <w:spacing w:val="-6"/>
        </w:rPr>
        <w:t xml:space="preserve"> </w:t>
      </w:r>
      <w:r>
        <w:rPr>
          <w:color w:val="221F1F"/>
        </w:rPr>
        <w:t>each</w:t>
      </w:r>
      <w:r>
        <w:rPr>
          <w:color w:val="221F1F"/>
          <w:spacing w:val="-4"/>
        </w:rPr>
        <w:t xml:space="preserve"> </w:t>
      </w:r>
      <w:r>
        <w:rPr>
          <w:color w:val="221F1F"/>
        </w:rPr>
        <w:t>week</w:t>
      </w:r>
      <w:r>
        <w:rPr>
          <w:color w:val="221F1F"/>
          <w:spacing w:val="-7"/>
        </w:rPr>
        <w:t xml:space="preserve"> </w:t>
      </w:r>
      <w:r>
        <w:rPr>
          <w:color w:val="221F1F"/>
        </w:rPr>
        <w:t>or</w:t>
      </w:r>
      <w:r>
        <w:rPr>
          <w:color w:val="221F1F"/>
          <w:spacing w:val="-4"/>
        </w:rPr>
        <w:t xml:space="preserve"> </w:t>
      </w:r>
      <w:r>
        <w:rPr>
          <w:color w:val="221F1F"/>
        </w:rPr>
        <w:t>such</w:t>
      </w:r>
      <w:r>
        <w:rPr>
          <w:color w:val="221F1F"/>
          <w:spacing w:val="-7"/>
        </w:rPr>
        <w:t xml:space="preserve"> </w:t>
      </w:r>
      <w:r>
        <w:rPr>
          <w:color w:val="221F1F"/>
        </w:rPr>
        <w:t>longer</w:t>
      </w:r>
      <w:r>
        <w:rPr>
          <w:color w:val="221F1F"/>
          <w:spacing w:val="-5"/>
        </w:rPr>
        <w:t xml:space="preserve"> </w:t>
      </w:r>
      <w:r>
        <w:rPr>
          <w:color w:val="221F1F"/>
        </w:rPr>
        <w:t>period</w:t>
      </w:r>
      <w:r>
        <w:rPr>
          <w:color w:val="221F1F"/>
          <w:spacing w:val="-7"/>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Architect from</w:t>
      </w:r>
      <w:r>
        <w:rPr>
          <w:color w:val="221F1F"/>
          <w:spacing w:val="-8"/>
        </w:rPr>
        <w:t xml:space="preserve"> </w:t>
      </w:r>
      <w:r>
        <w:rPr>
          <w:color w:val="221F1F"/>
        </w:rPr>
        <w:t>time</w:t>
      </w:r>
      <w:r>
        <w:rPr>
          <w:color w:val="221F1F"/>
          <w:spacing w:val="-9"/>
        </w:rPr>
        <w:t xml:space="preserve"> </w:t>
      </w:r>
      <w:r>
        <w:rPr>
          <w:color w:val="221F1F"/>
        </w:rPr>
        <w:t>to</w:t>
      </w:r>
      <w:r>
        <w:rPr>
          <w:color w:val="221F1F"/>
          <w:spacing w:val="-11"/>
        </w:rPr>
        <w:t xml:space="preserve"> </w:t>
      </w:r>
      <w:r>
        <w:rPr>
          <w:color w:val="221F1F"/>
        </w:rPr>
        <w:t>time</w:t>
      </w:r>
      <w:r>
        <w:rPr>
          <w:color w:val="221F1F"/>
          <w:spacing w:val="-9"/>
        </w:rPr>
        <w:t xml:space="preserve"> </w:t>
      </w:r>
      <w:r>
        <w:rPr>
          <w:color w:val="221F1F"/>
        </w:rPr>
        <w:t>direct,</w:t>
      </w:r>
      <w:r>
        <w:rPr>
          <w:color w:val="221F1F"/>
          <w:spacing w:val="-9"/>
        </w:rPr>
        <w:t xml:space="preserve"> </w:t>
      </w:r>
      <w:r>
        <w:rPr>
          <w:color w:val="221F1F"/>
        </w:rPr>
        <w:t>a</w:t>
      </w:r>
      <w:r>
        <w:rPr>
          <w:color w:val="221F1F"/>
          <w:spacing w:val="-9"/>
        </w:rPr>
        <w:t xml:space="preserve"> </w:t>
      </w:r>
      <w:r>
        <w:rPr>
          <w:color w:val="221F1F"/>
        </w:rPr>
        <w:t>Progress</w:t>
      </w:r>
      <w:r>
        <w:rPr>
          <w:color w:val="221F1F"/>
          <w:spacing w:val="-8"/>
        </w:rPr>
        <w:t xml:space="preserve"> </w:t>
      </w:r>
      <w:r>
        <w:rPr>
          <w:color w:val="221F1F"/>
        </w:rPr>
        <w:t>Report</w:t>
      </w:r>
      <w:r>
        <w:rPr>
          <w:color w:val="221F1F"/>
          <w:spacing w:val="-8"/>
        </w:rPr>
        <w:t xml:space="preserve"> </w:t>
      </w:r>
      <w:r>
        <w:rPr>
          <w:color w:val="221F1F"/>
        </w:rPr>
        <w:t>and</w:t>
      </w:r>
      <w:r>
        <w:rPr>
          <w:color w:val="221F1F"/>
          <w:spacing w:val="-9"/>
        </w:rPr>
        <w:t xml:space="preserve"> </w:t>
      </w:r>
      <w:r>
        <w:rPr>
          <w:color w:val="221F1F"/>
        </w:rPr>
        <w:t>any</w:t>
      </w:r>
      <w:r>
        <w:rPr>
          <w:color w:val="221F1F"/>
          <w:spacing w:val="-10"/>
        </w:rPr>
        <w:t xml:space="preserve"> </w:t>
      </w:r>
      <w:r>
        <w:rPr>
          <w:color w:val="221F1F"/>
        </w:rPr>
        <w:t>information</w:t>
      </w:r>
      <w:r>
        <w:rPr>
          <w:color w:val="221F1F"/>
          <w:spacing w:val="-8"/>
        </w:rPr>
        <w:t xml:space="preserve"> </w:t>
      </w:r>
      <w:r>
        <w:rPr>
          <w:color w:val="221F1F"/>
        </w:rPr>
        <w:t>for</w:t>
      </w:r>
      <w:r>
        <w:rPr>
          <w:color w:val="221F1F"/>
          <w:spacing w:val="-8"/>
        </w:rPr>
        <w:t xml:space="preserve"> </w:t>
      </w:r>
      <w:r>
        <w:rPr>
          <w:color w:val="221F1F"/>
        </w:rPr>
        <w:t>the</w:t>
      </w:r>
      <w:r>
        <w:rPr>
          <w:color w:val="221F1F"/>
          <w:spacing w:val="-9"/>
        </w:rPr>
        <w:t xml:space="preserve"> </w:t>
      </w:r>
      <w:r>
        <w:rPr>
          <w:color w:val="221F1F"/>
        </w:rPr>
        <w:t>proceeding</w:t>
      </w:r>
      <w:r>
        <w:rPr>
          <w:color w:val="221F1F"/>
          <w:spacing w:val="-10"/>
        </w:rPr>
        <w:t xml:space="preserve"> </w:t>
      </w:r>
      <w:r>
        <w:rPr>
          <w:color w:val="221F1F"/>
        </w:rPr>
        <w:t>period,</w:t>
      </w:r>
      <w:r>
        <w:rPr>
          <w:color w:val="221F1F"/>
          <w:spacing w:val="-9"/>
        </w:rPr>
        <w:t xml:space="preserve"> </w:t>
      </w:r>
      <w:r>
        <w:rPr>
          <w:color w:val="221F1F"/>
        </w:rPr>
        <w:t>showing</w:t>
      </w:r>
      <w:r>
        <w:rPr>
          <w:color w:val="221F1F"/>
          <w:spacing w:val="-9"/>
        </w:rPr>
        <w:t xml:space="preserve"> </w:t>
      </w:r>
      <w:r>
        <w:rPr>
          <w:color w:val="221F1F"/>
        </w:rPr>
        <w:t>the</w:t>
      </w:r>
      <w:r>
        <w:rPr>
          <w:color w:val="221F1F"/>
          <w:spacing w:val="-9"/>
        </w:rPr>
        <w:t xml:space="preserve"> </w:t>
      </w:r>
      <w:r>
        <w:rPr>
          <w:color w:val="221F1F"/>
        </w:rPr>
        <w:t>progress during</w:t>
      </w:r>
      <w:r>
        <w:rPr>
          <w:color w:val="221F1F"/>
          <w:spacing w:val="-3"/>
        </w:rPr>
        <w:t xml:space="preserve"> </w:t>
      </w:r>
      <w:r>
        <w:rPr>
          <w:color w:val="221F1F"/>
        </w:rPr>
        <w:t>the</w:t>
      </w:r>
      <w:r>
        <w:rPr>
          <w:color w:val="221F1F"/>
          <w:spacing w:val="-3"/>
        </w:rPr>
        <w:t xml:space="preserve"> </w:t>
      </w:r>
      <w:r>
        <w:rPr>
          <w:color w:val="221F1F"/>
        </w:rPr>
        <w:t>period</w:t>
      </w:r>
      <w:r>
        <w:rPr>
          <w:color w:val="221F1F"/>
          <w:spacing w:val="-3"/>
        </w:rPr>
        <w:t xml:space="preserve"> </w:t>
      </w:r>
      <w:r>
        <w:rPr>
          <w:color w:val="221F1F"/>
        </w:rPr>
        <w:t>and</w:t>
      </w:r>
      <w:r>
        <w:rPr>
          <w:color w:val="221F1F"/>
          <w:spacing w:val="-6"/>
        </w:rPr>
        <w:t xml:space="preserve"> </w:t>
      </w:r>
      <w:r>
        <w:rPr>
          <w:color w:val="221F1F"/>
        </w:rPr>
        <w:t>the</w:t>
      </w:r>
      <w:r>
        <w:rPr>
          <w:color w:val="221F1F"/>
          <w:spacing w:val="-3"/>
        </w:rPr>
        <w:t xml:space="preserve"> </w:t>
      </w:r>
      <w:r>
        <w:rPr>
          <w:color w:val="221F1F"/>
        </w:rPr>
        <w:t>up-to-date</w:t>
      </w:r>
      <w:r>
        <w:rPr>
          <w:color w:val="221F1F"/>
          <w:spacing w:val="-3"/>
        </w:rPr>
        <w:t xml:space="preserve"> </w:t>
      </w:r>
      <w:r>
        <w:rPr>
          <w:color w:val="221F1F"/>
        </w:rPr>
        <w:t>cumulative</w:t>
      </w:r>
      <w:r>
        <w:rPr>
          <w:color w:val="221F1F"/>
          <w:spacing w:val="-3"/>
        </w:rPr>
        <w:t xml:space="preserve"> </w:t>
      </w:r>
      <w:proofErr w:type="spellStart"/>
      <w:r>
        <w:rPr>
          <w:color w:val="221F1F"/>
        </w:rPr>
        <w:t>progresson</w:t>
      </w:r>
      <w:proofErr w:type="spellEnd"/>
      <w:r>
        <w:rPr>
          <w:color w:val="221F1F"/>
          <w:spacing w:val="-3"/>
        </w:rPr>
        <w:t xml:space="preserve"> </w:t>
      </w:r>
      <w:proofErr w:type="spellStart"/>
      <w:r>
        <w:rPr>
          <w:color w:val="221F1F"/>
        </w:rPr>
        <w:t>all</w:t>
      </w:r>
      <w:r>
        <w:rPr>
          <w:color w:val="221F1F"/>
          <w:spacing w:val="-5"/>
        </w:rPr>
        <w:t xml:space="preserve"> </w:t>
      </w:r>
      <w:r>
        <w:rPr>
          <w:color w:val="221F1F"/>
        </w:rPr>
        <w:t>important</w:t>
      </w:r>
      <w:proofErr w:type="spellEnd"/>
      <w:r>
        <w:rPr>
          <w:color w:val="221F1F"/>
          <w:spacing w:val="-5"/>
        </w:rPr>
        <w:t xml:space="preserve"> </w:t>
      </w:r>
      <w:r>
        <w:rPr>
          <w:color w:val="221F1F"/>
        </w:rPr>
        <w:t>items</w:t>
      </w:r>
      <w:r>
        <w:rPr>
          <w:color w:val="221F1F"/>
          <w:spacing w:val="-5"/>
        </w:rPr>
        <w:t xml:space="preserve"> </w:t>
      </w:r>
      <w:r>
        <w:rPr>
          <w:color w:val="221F1F"/>
        </w:rPr>
        <w:t>of</w:t>
      </w:r>
      <w:r>
        <w:rPr>
          <w:color w:val="221F1F"/>
          <w:spacing w:val="-5"/>
        </w:rPr>
        <w:t xml:space="preserve"> </w:t>
      </w:r>
      <w:r>
        <w:rPr>
          <w:color w:val="221F1F"/>
        </w:rPr>
        <w:t>each</w:t>
      </w:r>
      <w:r>
        <w:rPr>
          <w:color w:val="221F1F"/>
          <w:spacing w:val="-3"/>
        </w:rPr>
        <w:t xml:space="preserve"> </w:t>
      </w:r>
      <w:r>
        <w:rPr>
          <w:color w:val="221F1F"/>
        </w:rPr>
        <w:t>section</w:t>
      </w:r>
      <w:r>
        <w:rPr>
          <w:color w:val="221F1F"/>
          <w:spacing w:val="-6"/>
        </w:rPr>
        <w:t xml:space="preserve"> </w:t>
      </w:r>
      <w:r>
        <w:rPr>
          <w:color w:val="221F1F"/>
        </w:rPr>
        <w:t>or</w:t>
      </w:r>
      <w:r>
        <w:rPr>
          <w:color w:val="221F1F"/>
          <w:spacing w:val="-3"/>
        </w:rPr>
        <w:t xml:space="preserve"> </w:t>
      </w:r>
      <w:r>
        <w:rPr>
          <w:color w:val="221F1F"/>
        </w:rPr>
        <w:t>portion</w:t>
      </w:r>
      <w:r>
        <w:rPr>
          <w:color w:val="221F1F"/>
          <w:spacing w:val="-6"/>
        </w:rPr>
        <w:t xml:space="preserve"> </w:t>
      </w:r>
      <w:r>
        <w:rPr>
          <w:color w:val="221F1F"/>
        </w:rPr>
        <w:t>of</w:t>
      </w:r>
      <w:r>
        <w:rPr>
          <w:color w:val="221F1F"/>
          <w:spacing w:val="-5"/>
        </w:rPr>
        <w:t xml:space="preserve"> </w:t>
      </w:r>
      <w:r>
        <w:rPr>
          <w:color w:val="221F1F"/>
        </w:rPr>
        <w:t xml:space="preserve">the </w:t>
      </w:r>
      <w:r>
        <w:rPr>
          <w:color w:val="221F1F"/>
          <w:spacing w:val="-2"/>
        </w:rPr>
        <w:t>Works.</w:t>
      </w:r>
    </w:p>
    <w:p w:rsidR="007F6DF9" w:rsidRDefault="00A43FBC">
      <w:pPr>
        <w:pStyle w:val="ListParagraph"/>
        <w:numPr>
          <w:ilvl w:val="1"/>
          <w:numId w:val="125"/>
        </w:numPr>
        <w:tabs>
          <w:tab w:val="left" w:pos="1130"/>
          <w:tab w:val="left" w:pos="1155"/>
        </w:tabs>
        <w:spacing w:before="245" w:line="230" w:lineRule="auto"/>
        <w:ind w:left="1155" w:right="557" w:hanging="443"/>
        <w:jc w:val="both"/>
      </w:pPr>
      <w:r>
        <w:rPr>
          <w:color w:val="221F1F"/>
        </w:rPr>
        <w:t xml:space="preserve">The Contractor shall arrange for photographs of the Site to be taken by a professional photographer approved by the </w:t>
      </w:r>
      <w:proofErr w:type="spellStart"/>
      <w:r>
        <w:rPr>
          <w:color w:val="221F1F"/>
        </w:rPr>
        <w:t>Engineer.The</w:t>
      </w:r>
      <w:proofErr w:type="spellEnd"/>
      <w:r>
        <w:rPr>
          <w:color w:val="221F1F"/>
        </w:rPr>
        <w:t xml:space="preserve"> Photographs shall provide a record of the Site and adjacent are as prior to the commencement of the Works and shall cover such portion of the works in progress and completion as the Architect</w:t>
      </w:r>
      <w:r>
        <w:rPr>
          <w:color w:val="221F1F"/>
          <w:spacing w:val="-7"/>
        </w:rPr>
        <w:t xml:space="preserve"> </w:t>
      </w:r>
      <w:r>
        <w:rPr>
          <w:color w:val="221F1F"/>
        </w:rPr>
        <w:t>shall</w:t>
      </w:r>
      <w:r>
        <w:rPr>
          <w:color w:val="221F1F"/>
          <w:spacing w:val="-7"/>
        </w:rPr>
        <w:t xml:space="preserve"> </w:t>
      </w:r>
      <w:r>
        <w:rPr>
          <w:color w:val="221F1F"/>
        </w:rPr>
        <w:t>direct.</w:t>
      </w:r>
      <w:r>
        <w:rPr>
          <w:color w:val="221F1F"/>
          <w:spacing w:val="-8"/>
        </w:rPr>
        <w:t xml:space="preserve"> </w:t>
      </w:r>
      <w:r>
        <w:rPr>
          <w:color w:val="221F1F"/>
        </w:rPr>
        <w:t>All</w:t>
      </w:r>
      <w:r>
        <w:rPr>
          <w:color w:val="221F1F"/>
          <w:spacing w:val="-8"/>
        </w:rPr>
        <w:t xml:space="preserve"> </w:t>
      </w:r>
      <w:r>
        <w:rPr>
          <w:color w:val="221F1F"/>
        </w:rPr>
        <w:t>prints</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full</w:t>
      </w:r>
      <w:r>
        <w:rPr>
          <w:color w:val="221F1F"/>
          <w:spacing w:val="-7"/>
        </w:rPr>
        <w:t xml:space="preserve"> </w:t>
      </w:r>
      <w:r>
        <w:rPr>
          <w:color w:val="221F1F"/>
        </w:rPr>
        <w:t>plate</w:t>
      </w:r>
      <w:r>
        <w:rPr>
          <w:color w:val="221F1F"/>
          <w:spacing w:val="-8"/>
        </w:rPr>
        <w:t xml:space="preserve"> </w:t>
      </w:r>
      <w:r>
        <w:rPr>
          <w:color w:val="221F1F"/>
        </w:rPr>
        <w:t>size,</w:t>
      </w:r>
      <w:r>
        <w:rPr>
          <w:color w:val="221F1F"/>
          <w:spacing w:val="-10"/>
        </w:rPr>
        <w:t xml:space="preserve"> </w:t>
      </w:r>
      <w:r>
        <w:rPr>
          <w:color w:val="221F1F"/>
        </w:rPr>
        <w:t>unmounted,</w:t>
      </w:r>
      <w:r>
        <w:rPr>
          <w:color w:val="221F1F"/>
          <w:spacing w:val="-8"/>
        </w:rPr>
        <w:t xml:space="preserve"> </w:t>
      </w:r>
      <w:r>
        <w:rPr>
          <w:color w:val="221F1F"/>
        </w:rPr>
        <w:t>and</w:t>
      </w:r>
      <w:r>
        <w:rPr>
          <w:color w:val="221F1F"/>
          <w:spacing w:val="-10"/>
        </w:rPr>
        <w:t xml:space="preserve"> </w:t>
      </w:r>
      <w:r>
        <w:rPr>
          <w:color w:val="221F1F"/>
        </w:rPr>
        <w:t>marked</w:t>
      </w:r>
      <w:r>
        <w:rPr>
          <w:color w:val="221F1F"/>
          <w:spacing w:val="-8"/>
        </w:rPr>
        <w:t xml:space="preserve"> </w:t>
      </w:r>
      <w:r>
        <w:rPr>
          <w:color w:val="221F1F"/>
        </w:rPr>
        <w:t>on</w:t>
      </w:r>
      <w:r>
        <w:rPr>
          <w:color w:val="221F1F"/>
          <w:spacing w:val="-11"/>
        </w:rPr>
        <w:t xml:space="preserve"> </w:t>
      </w:r>
      <w:r>
        <w:rPr>
          <w:color w:val="221F1F"/>
        </w:rPr>
        <w:t>the</w:t>
      </w:r>
      <w:r>
        <w:rPr>
          <w:color w:val="221F1F"/>
          <w:spacing w:val="-7"/>
        </w:rPr>
        <w:t xml:space="preserve"> </w:t>
      </w:r>
      <w:r>
        <w:rPr>
          <w:color w:val="221F1F"/>
        </w:rPr>
        <w:t>reverse</w:t>
      </w:r>
      <w:r>
        <w:rPr>
          <w:color w:val="221F1F"/>
          <w:spacing w:val="-10"/>
        </w:rPr>
        <w:t xml:space="preserve"> </w:t>
      </w:r>
      <w:r>
        <w:rPr>
          <w:color w:val="221F1F"/>
        </w:rPr>
        <w:t>side</w:t>
      </w:r>
      <w:r>
        <w:rPr>
          <w:color w:val="221F1F"/>
          <w:spacing w:val="-8"/>
        </w:rPr>
        <w:t xml:space="preserve"> </w:t>
      </w:r>
      <w:r>
        <w:rPr>
          <w:color w:val="221F1F"/>
        </w:rPr>
        <w:t>with</w:t>
      </w:r>
      <w:r>
        <w:rPr>
          <w:color w:val="221F1F"/>
          <w:spacing w:val="-8"/>
        </w:rPr>
        <w:t xml:space="preserve"> </w:t>
      </w:r>
      <w:r>
        <w:rPr>
          <w:color w:val="221F1F"/>
        </w:rPr>
        <w:t>the</w:t>
      </w:r>
      <w:r>
        <w:rPr>
          <w:color w:val="221F1F"/>
          <w:spacing w:val="-10"/>
        </w:rPr>
        <w:t xml:space="preserve"> </w:t>
      </w:r>
      <w:r>
        <w:rPr>
          <w:color w:val="221F1F"/>
        </w:rPr>
        <w:t>date of exposure, identification reference and brief description. The copyright of all photographs shall be vested in 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12"/>
        </w:rPr>
        <w:t xml:space="preserve"> </w:t>
      </w:r>
      <w:r>
        <w:rPr>
          <w:color w:val="221F1F"/>
        </w:rPr>
        <w:t>The</w:t>
      </w:r>
      <w:r>
        <w:rPr>
          <w:color w:val="221F1F"/>
          <w:spacing w:val="-8"/>
        </w:rPr>
        <w:t xml:space="preserve"> </w:t>
      </w:r>
      <w:r>
        <w:rPr>
          <w:color w:val="221F1F"/>
        </w:rPr>
        <w:t>negatives</w:t>
      </w:r>
      <w:r>
        <w:rPr>
          <w:color w:val="221F1F"/>
          <w:spacing w:val="-7"/>
        </w:rPr>
        <w:t xml:space="preserve"> </w:t>
      </w:r>
      <w:r>
        <w:rPr>
          <w:color w:val="221F1F"/>
        </w:rPr>
        <w:t>and</w:t>
      </w:r>
      <w:r>
        <w:rPr>
          <w:color w:val="221F1F"/>
          <w:spacing w:val="-8"/>
        </w:rPr>
        <w:t xml:space="preserve"> </w:t>
      </w:r>
      <w:r>
        <w:rPr>
          <w:color w:val="221F1F"/>
        </w:rPr>
        <w:t>four</w:t>
      </w:r>
      <w:r>
        <w:rPr>
          <w:color w:val="221F1F"/>
          <w:spacing w:val="-7"/>
        </w:rPr>
        <w:t xml:space="preserve"> </w:t>
      </w:r>
      <w:r>
        <w:rPr>
          <w:color w:val="221F1F"/>
        </w:rPr>
        <w:t>prints</w:t>
      </w:r>
      <w:r>
        <w:rPr>
          <w:color w:val="221F1F"/>
          <w:spacing w:val="-7"/>
        </w:rPr>
        <w:t xml:space="preserve"> </w:t>
      </w:r>
      <w:r>
        <w:rPr>
          <w:color w:val="221F1F"/>
        </w:rPr>
        <w:t>from</w:t>
      </w:r>
      <w:r>
        <w:rPr>
          <w:color w:val="221F1F"/>
          <w:spacing w:val="-7"/>
        </w:rPr>
        <w:t xml:space="preserve"> </w:t>
      </w:r>
      <w:r>
        <w:rPr>
          <w:color w:val="221F1F"/>
        </w:rPr>
        <w:t>each</w:t>
      </w:r>
      <w:r>
        <w:rPr>
          <w:color w:val="221F1F"/>
          <w:spacing w:val="-7"/>
        </w:rPr>
        <w:t xml:space="preserve"> </w:t>
      </w:r>
      <w:r>
        <w:rPr>
          <w:color w:val="221F1F"/>
        </w:rPr>
        <w:t>negative</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delivered</w:t>
      </w:r>
      <w:r>
        <w:rPr>
          <w:color w:val="221F1F"/>
          <w:spacing w:val="-9"/>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within two weeks of exposure.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2"/>
      </w:pPr>
    </w:p>
    <w:p w:rsidR="007F6DF9" w:rsidRDefault="00A43FBC">
      <w:pPr>
        <w:pStyle w:val="ListParagraph"/>
        <w:numPr>
          <w:ilvl w:val="1"/>
          <w:numId w:val="125"/>
        </w:numPr>
        <w:tabs>
          <w:tab w:val="left" w:pos="1125"/>
          <w:tab w:val="left" w:pos="1150"/>
        </w:tabs>
        <w:spacing w:line="230" w:lineRule="auto"/>
        <w:ind w:left="1150" w:right="563" w:hanging="443"/>
        <w:jc w:val="both"/>
      </w:pPr>
      <w:r>
        <w:rPr>
          <w:color w:val="221F1F"/>
        </w:rPr>
        <w:t>Figured dimensions are to be followed in preference to dimensions scaled from the Drawings, but whenever possible dimensions are to be taken on the Site or from the buildings. Before any work is commenced by Sub-Contractors or Specialist Firms, dimensions must be checked on the site comparable dimensions shown on the drawings. The Contractor shall be responsible for the accuracy of such dimensions.</w:t>
      </w:r>
    </w:p>
    <w:p w:rsidR="007F6DF9" w:rsidRDefault="00A43FBC">
      <w:pPr>
        <w:pStyle w:val="ListParagraph"/>
        <w:numPr>
          <w:ilvl w:val="1"/>
          <w:numId w:val="125"/>
        </w:numPr>
        <w:tabs>
          <w:tab w:val="left" w:pos="1125"/>
          <w:tab w:val="left" w:pos="1150"/>
        </w:tabs>
        <w:spacing w:before="246" w:line="230" w:lineRule="auto"/>
        <w:ind w:left="1150" w:right="563" w:hanging="443"/>
        <w:jc w:val="both"/>
      </w:pPr>
      <w:r>
        <w:rPr>
          <w:color w:val="221F1F"/>
        </w:rPr>
        <w:t>Prior to commencement of any work the Contractor is to ascertain from the relevant Authorities the exact position,</w:t>
      </w:r>
      <w:r>
        <w:rPr>
          <w:color w:val="221F1F"/>
          <w:spacing w:val="-9"/>
        </w:rPr>
        <w:t xml:space="preserve"> </w:t>
      </w:r>
      <w:r>
        <w:rPr>
          <w:color w:val="221F1F"/>
        </w:rPr>
        <w:t>depth</w:t>
      </w:r>
      <w:r>
        <w:rPr>
          <w:color w:val="221F1F"/>
          <w:spacing w:val="-10"/>
        </w:rPr>
        <w:t xml:space="preserve"> </w:t>
      </w:r>
      <w:r>
        <w:rPr>
          <w:color w:val="221F1F"/>
        </w:rPr>
        <w:t>and</w:t>
      </w:r>
      <w:r>
        <w:rPr>
          <w:color w:val="221F1F"/>
          <w:spacing w:val="-10"/>
        </w:rPr>
        <w:t xml:space="preserve"> </w:t>
      </w:r>
      <w:r>
        <w:rPr>
          <w:color w:val="221F1F"/>
        </w:rPr>
        <w:t>level</w:t>
      </w:r>
      <w:r>
        <w:rPr>
          <w:color w:val="221F1F"/>
          <w:spacing w:val="-9"/>
        </w:rPr>
        <w:t xml:space="preserve"> </w:t>
      </w:r>
      <w:r>
        <w:rPr>
          <w:color w:val="221F1F"/>
        </w:rPr>
        <w:t>of</w:t>
      </w:r>
      <w:r>
        <w:rPr>
          <w:color w:val="221F1F"/>
          <w:spacing w:val="-10"/>
        </w:rPr>
        <w:t xml:space="preserve"> </w:t>
      </w:r>
      <w:r>
        <w:rPr>
          <w:color w:val="221F1F"/>
        </w:rPr>
        <w:t>all</w:t>
      </w:r>
      <w:r>
        <w:rPr>
          <w:color w:val="221F1F"/>
          <w:spacing w:val="-9"/>
        </w:rPr>
        <w:t xml:space="preserve"> </w:t>
      </w:r>
      <w:r>
        <w:rPr>
          <w:color w:val="221F1F"/>
        </w:rPr>
        <w:t>existing</w:t>
      </w:r>
      <w:r>
        <w:rPr>
          <w:color w:val="221F1F"/>
          <w:spacing w:val="-10"/>
        </w:rPr>
        <w:t xml:space="preserve"> </w:t>
      </w:r>
      <w:r>
        <w:rPr>
          <w:color w:val="221F1F"/>
        </w:rPr>
        <w:t>electric</w:t>
      </w:r>
      <w:r>
        <w:rPr>
          <w:color w:val="221F1F"/>
          <w:spacing w:val="-10"/>
        </w:rPr>
        <w:t xml:space="preserve"> </w:t>
      </w:r>
      <w:r>
        <w:rPr>
          <w:color w:val="221F1F"/>
        </w:rPr>
        <w:t>cables,</w:t>
      </w:r>
      <w:r>
        <w:rPr>
          <w:color w:val="221F1F"/>
          <w:spacing w:val="-13"/>
        </w:rPr>
        <w:t xml:space="preserve"> </w:t>
      </w:r>
      <w:proofErr w:type="spellStart"/>
      <w:r>
        <w:rPr>
          <w:color w:val="221F1F"/>
        </w:rPr>
        <w:t>waterpipes</w:t>
      </w:r>
      <w:proofErr w:type="spellEnd"/>
      <w:r>
        <w:rPr>
          <w:color w:val="221F1F"/>
          <w:spacing w:val="-7"/>
        </w:rPr>
        <w:t xml:space="preserve"> </w:t>
      </w:r>
      <w:r>
        <w:rPr>
          <w:color w:val="221F1F"/>
        </w:rPr>
        <w:t>or</w:t>
      </w:r>
      <w:r>
        <w:rPr>
          <w:color w:val="221F1F"/>
          <w:spacing w:val="-8"/>
        </w:rPr>
        <w:t xml:space="preserve"> </w:t>
      </w:r>
      <w:r>
        <w:rPr>
          <w:color w:val="221F1F"/>
        </w:rPr>
        <w:t>other</w:t>
      </w:r>
      <w:r>
        <w:rPr>
          <w:color w:val="221F1F"/>
          <w:spacing w:val="-7"/>
        </w:rPr>
        <w:t xml:space="preserve"> </w:t>
      </w:r>
      <w:r>
        <w:rPr>
          <w:color w:val="221F1F"/>
        </w:rPr>
        <w:t>services</w:t>
      </w:r>
      <w:r>
        <w:rPr>
          <w:color w:val="221F1F"/>
          <w:spacing w:val="-10"/>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are</w:t>
      </w:r>
      <w:r>
        <w:rPr>
          <w:color w:val="221F1F"/>
          <w:spacing w:val="-8"/>
        </w:rPr>
        <w:t xml:space="preserve"> </w:t>
      </w:r>
      <w:proofErr w:type="spellStart"/>
      <w:r>
        <w:rPr>
          <w:color w:val="221F1F"/>
        </w:rPr>
        <w:t>aand</w:t>
      </w:r>
      <w:proofErr w:type="spellEnd"/>
      <w:r>
        <w:rPr>
          <w:color w:val="221F1F"/>
          <w:spacing w:val="-8"/>
        </w:rPr>
        <w:t xml:space="preserve"> </w:t>
      </w:r>
      <w:r>
        <w:rPr>
          <w:color w:val="221F1F"/>
        </w:rPr>
        <w:t>he</w:t>
      </w:r>
      <w:r>
        <w:rPr>
          <w:color w:val="221F1F"/>
          <w:spacing w:val="-8"/>
        </w:rPr>
        <w:t xml:space="preserve"> </w:t>
      </w:r>
      <w:r>
        <w:rPr>
          <w:color w:val="221F1F"/>
        </w:rPr>
        <w:t>shall</w:t>
      </w:r>
      <w:r>
        <w:rPr>
          <w:color w:val="221F1F"/>
          <w:spacing w:val="-10"/>
        </w:rPr>
        <w:t xml:space="preserve"> </w:t>
      </w:r>
      <w:r>
        <w:rPr>
          <w:color w:val="221F1F"/>
        </w:rPr>
        <w:t>make whatever provisions may be required by the Authorities concerned for the support and protection of such services. Any damage or disturbance caused</w:t>
      </w:r>
      <w:r>
        <w:rPr>
          <w:color w:val="221F1F"/>
          <w:spacing w:val="-2"/>
        </w:rPr>
        <w:t xml:space="preserve"> </w:t>
      </w:r>
      <w:r>
        <w:rPr>
          <w:color w:val="221F1F"/>
        </w:rPr>
        <w:t>to</w:t>
      </w:r>
      <w:r>
        <w:rPr>
          <w:color w:val="221F1F"/>
          <w:spacing w:val="-1"/>
        </w:rPr>
        <w:t xml:space="preserve"> </w:t>
      </w:r>
      <w:r>
        <w:rPr>
          <w:color w:val="221F1F"/>
        </w:rPr>
        <w:t>any services shall be</w:t>
      </w:r>
      <w:r>
        <w:rPr>
          <w:color w:val="221F1F"/>
          <w:spacing w:val="-1"/>
        </w:rPr>
        <w:t xml:space="preserve"> </w:t>
      </w:r>
      <w:r>
        <w:rPr>
          <w:color w:val="221F1F"/>
        </w:rPr>
        <w:t>reported</w:t>
      </w:r>
      <w:r>
        <w:rPr>
          <w:color w:val="221F1F"/>
          <w:spacing w:val="-2"/>
        </w:rPr>
        <w:t xml:space="preserve"> </w:t>
      </w:r>
      <w:r>
        <w:rPr>
          <w:color w:val="221F1F"/>
        </w:rPr>
        <w:t>immediately to the Architect and the relevant Authority and shall be made good to their satisfaction at the Contractor's expense. Where appropriate</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 open</w:t>
      </w:r>
      <w:r>
        <w:rPr>
          <w:color w:val="221F1F"/>
          <w:spacing w:val="-1"/>
        </w:rPr>
        <w:t xml:space="preserve"> </w:t>
      </w:r>
      <w:r>
        <w:rPr>
          <w:color w:val="221F1F"/>
        </w:rPr>
        <w:t>up</w:t>
      </w:r>
      <w:r>
        <w:rPr>
          <w:color w:val="221F1F"/>
          <w:spacing w:val="-1"/>
        </w:rPr>
        <w:t xml:space="preserve"> </w:t>
      </w:r>
      <w:r>
        <w:rPr>
          <w:color w:val="221F1F"/>
        </w:rPr>
        <w:t>the</w:t>
      </w:r>
      <w:r>
        <w:rPr>
          <w:color w:val="221F1F"/>
          <w:spacing w:val="-1"/>
        </w:rPr>
        <w:t xml:space="preserve"> </w:t>
      </w:r>
      <w:r>
        <w:rPr>
          <w:color w:val="221F1F"/>
        </w:rPr>
        <w:t>ground</w:t>
      </w:r>
      <w:r>
        <w:rPr>
          <w:color w:val="221F1F"/>
          <w:spacing w:val="-3"/>
        </w:rPr>
        <w:t xml:space="preserve"> </w:t>
      </w:r>
      <w:r>
        <w:rPr>
          <w:color w:val="221F1F"/>
        </w:rPr>
        <w:t>in</w:t>
      </w:r>
      <w:r>
        <w:rPr>
          <w:color w:val="221F1F"/>
          <w:spacing w:val="-4"/>
        </w:rPr>
        <w:t xml:space="preserve"> </w:t>
      </w:r>
      <w:r>
        <w:rPr>
          <w:color w:val="221F1F"/>
        </w:rPr>
        <w:t>advance of the</w:t>
      </w:r>
      <w:r>
        <w:rPr>
          <w:color w:val="221F1F"/>
          <w:spacing w:val="-1"/>
        </w:rPr>
        <w:t xml:space="preserve"> </w:t>
      </w:r>
      <w:r>
        <w:rPr>
          <w:color w:val="221F1F"/>
        </w:rPr>
        <w:t>main</w:t>
      </w:r>
      <w:r>
        <w:rPr>
          <w:color w:val="221F1F"/>
          <w:spacing w:val="-1"/>
        </w:rPr>
        <w:t xml:space="preserve"> </w:t>
      </w:r>
      <w:r>
        <w:rPr>
          <w:color w:val="221F1F"/>
        </w:rPr>
        <w:t>work</w:t>
      </w:r>
      <w:r>
        <w:rPr>
          <w:color w:val="221F1F"/>
          <w:spacing w:val="-1"/>
        </w:rPr>
        <w:t xml:space="preserve"> </w:t>
      </w:r>
      <w:r>
        <w:rPr>
          <w:color w:val="221F1F"/>
        </w:rPr>
        <w:t>by</w:t>
      </w:r>
      <w:r>
        <w:rPr>
          <w:color w:val="221F1F"/>
          <w:spacing w:val="-1"/>
        </w:rPr>
        <w:t xml:space="preserve"> </w:t>
      </w:r>
      <w:r>
        <w:rPr>
          <w:color w:val="221F1F"/>
        </w:rPr>
        <w:t>hand digging</w:t>
      </w:r>
      <w:r>
        <w:rPr>
          <w:color w:val="221F1F"/>
          <w:spacing w:val="-1"/>
        </w:rPr>
        <w:t xml:space="preserve"> </w:t>
      </w:r>
      <w:r>
        <w:rPr>
          <w:color w:val="221F1F"/>
        </w:rPr>
        <w:t>if necessary, to locate precisely the position and details of the services which are likely to affect his operations.</w:t>
      </w:r>
    </w:p>
    <w:p w:rsidR="007F6DF9" w:rsidRDefault="00A43FBC">
      <w:pPr>
        <w:pStyle w:val="ListParagraph"/>
        <w:numPr>
          <w:ilvl w:val="1"/>
          <w:numId w:val="125"/>
        </w:numPr>
        <w:tabs>
          <w:tab w:val="left" w:pos="1126"/>
          <w:tab w:val="left" w:pos="1150"/>
        </w:tabs>
        <w:spacing w:before="246" w:line="230" w:lineRule="auto"/>
        <w:ind w:left="1150" w:right="565"/>
        <w:jc w:val="both"/>
      </w:pPr>
      <w:r>
        <w:rPr>
          <w:color w:val="221F1F"/>
        </w:rPr>
        <w:t>The Contractor shall include in his prices for the transport of materials, workmen, etc./, to and from the site of the proposed works, at such hours and by such route as are permitted by the Authorities.</w:t>
      </w:r>
    </w:p>
    <w:p w:rsidR="007F6DF9" w:rsidRDefault="00A43FBC">
      <w:pPr>
        <w:pStyle w:val="ListParagraph"/>
        <w:numPr>
          <w:ilvl w:val="1"/>
          <w:numId w:val="125"/>
        </w:numPr>
        <w:tabs>
          <w:tab w:val="left" w:pos="1126"/>
          <w:tab w:val="left" w:pos="1150"/>
        </w:tabs>
        <w:spacing w:before="245" w:line="230" w:lineRule="auto"/>
        <w:ind w:left="1150" w:right="563"/>
        <w:jc w:val="both"/>
      </w:pPr>
      <w:r>
        <w:rPr>
          <w:color w:val="221F1F"/>
        </w:rPr>
        <w:t>The</w:t>
      </w:r>
      <w:r>
        <w:rPr>
          <w:color w:val="221F1F"/>
          <w:spacing w:val="-4"/>
        </w:rPr>
        <w:t xml:space="preserve"> </w:t>
      </w:r>
      <w:r>
        <w:rPr>
          <w:color w:val="221F1F"/>
        </w:rPr>
        <w:t>Contractor</w:t>
      </w:r>
      <w:r>
        <w:rPr>
          <w:color w:val="221F1F"/>
          <w:spacing w:val="-2"/>
        </w:rPr>
        <w:t xml:space="preserve"> </w:t>
      </w:r>
      <w:r>
        <w:rPr>
          <w:color w:val="221F1F"/>
        </w:rPr>
        <w:t>will</w:t>
      </w:r>
      <w:r>
        <w:rPr>
          <w:color w:val="221F1F"/>
          <w:spacing w:val="-3"/>
        </w:rPr>
        <w:t xml:space="preserve"> </w:t>
      </w:r>
      <w:r>
        <w:rPr>
          <w:color w:val="221F1F"/>
        </w:rPr>
        <w:t>be</w:t>
      </w:r>
      <w:r>
        <w:rPr>
          <w:color w:val="221F1F"/>
          <w:spacing w:val="-3"/>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make</w:t>
      </w:r>
      <w:r>
        <w:rPr>
          <w:color w:val="221F1F"/>
          <w:spacing w:val="-5"/>
        </w:rPr>
        <w:t xml:space="preserve"> </w:t>
      </w:r>
      <w:r>
        <w:rPr>
          <w:color w:val="221F1F"/>
        </w:rPr>
        <w:t>good,</w:t>
      </w:r>
      <w:r>
        <w:rPr>
          <w:color w:val="221F1F"/>
          <w:spacing w:val="-4"/>
        </w:rPr>
        <w:t xml:space="preserve"> </w:t>
      </w:r>
      <w:r>
        <w:rPr>
          <w:color w:val="221F1F"/>
        </w:rPr>
        <w:t>at</w:t>
      </w:r>
      <w:r>
        <w:rPr>
          <w:color w:val="221F1F"/>
          <w:spacing w:val="-3"/>
        </w:rPr>
        <w:t xml:space="preserve"> </w:t>
      </w:r>
      <w:r>
        <w:rPr>
          <w:color w:val="221F1F"/>
        </w:rPr>
        <w:t>his</w:t>
      </w:r>
      <w:r>
        <w:rPr>
          <w:color w:val="221F1F"/>
          <w:spacing w:val="-5"/>
        </w:rPr>
        <w:t xml:space="preserve"> </w:t>
      </w:r>
      <w:r>
        <w:rPr>
          <w:color w:val="221F1F"/>
        </w:rPr>
        <w:t>own</w:t>
      </w:r>
      <w:r>
        <w:rPr>
          <w:color w:val="221F1F"/>
          <w:spacing w:val="-3"/>
        </w:rPr>
        <w:t xml:space="preserve"> </w:t>
      </w:r>
      <w:r>
        <w:rPr>
          <w:color w:val="221F1F"/>
        </w:rPr>
        <w:t>expense</w:t>
      </w:r>
      <w:r>
        <w:rPr>
          <w:color w:val="221F1F"/>
          <w:spacing w:val="-5"/>
        </w:rPr>
        <w:t xml:space="preserve"> </w:t>
      </w:r>
      <w:r>
        <w:rPr>
          <w:color w:val="221F1F"/>
        </w:rPr>
        <w:t>and</w:t>
      </w:r>
      <w:r>
        <w:rPr>
          <w:color w:val="221F1F"/>
          <w:spacing w:val="-6"/>
        </w:rPr>
        <w:t xml:space="preserve"> </w:t>
      </w:r>
      <w:r>
        <w:rPr>
          <w:color w:val="221F1F"/>
        </w:rPr>
        <w:t>damage</w:t>
      </w:r>
      <w:r>
        <w:rPr>
          <w:color w:val="221F1F"/>
          <w:spacing w:val="-3"/>
        </w:rPr>
        <w:t xml:space="preserve"> </w:t>
      </w:r>
      <w:r>
        <w:rPr>
          <w:color w:val="221F1F"/>
        </w:rPr>
        <w:t>he</w:t>
      </w:r>
      <w:r>
        <w:rPr>
          <w:color w:val="221F1F"/>
          <w:spacing w:val="-8"/>
        </w:rPr>
        <w:t xml:space="preserve"> </w:t>
      </w:r>
      <w:r>
        <w:rPr>
          <w:color w:val="221F1F"/>
        </w:rPr>
        <w:t>may</w:t>
      </w:r>
      <w:r>
        <w:rPr>
          <w:color w:val="221F1F"/>
          <w:spacing w:val="-5"/>
        </w:rPr>
        <w:t xml:space="preserve"> </w:t>
      </w:r>
      <w:r>
        <w:rPr>
          <w:color w:val="221F1F"/>
        </w:rPr>
        <w:t>cause</w:t>
      </w:r>
      <w:r>
        <w:rPr>
          <w:color w:val="221F1F"/>
          <w:spacing w:val="-5"/>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present</w:t>
      </w:r>
      <w:r>
        <w:rPr>
          <w:color w:val="221F1F"/>
          <w:spacing w:val="-4"/>
        </w:rPr>
        <w:t xml:space="preserve"> </w:t>
      </w:r>
      <w:r>
        <w:rPr>
          <w:color w:val="221F1F"/>
        </w:rPr>
        <w:t>road surface and pavements within or beyond the boundary of the Site, during the period of the works. All existing paths, storm water channels, etc., that may be destroyed or damaged during the progress of the Works</w:t>
      </w:r>
      <w:r>
        <w:rPr>
          <w:color w:val="221F1F"/>
          <w:spacing w:val="-6"/>
        </w:rPr>
        <w:t xml:space="preserve"> </w:t>
      </w:r>
      <w:r>
        <w:rPr>
          <w:color w:val="221F1F"/>
        </w:rPr>
        <w:t>shall be reinstated by the Contractor to the satisfaction of the Engineer.</w:t>
      </w:r>
    </w:p>
    <w:p w:rsidR="007F6DF9" w:rsidRDefault="00A43FBC">
      <w:pPr>
        <w:pStyle w:val="ListParagraph"/>
        <w:numPr>
          <w:ilvl w:val="1"/>
          <w:numId w:val="125"/>
        </w:numPr>
        <w:tabs>
          <w:tab w:val="left" w:pos="1124"/>
        </w:tabs>
        <w:spacing w:before="237"/>
        <w:ind w:left="1124" w:hanging="418"/>
      </w:pPr>
      <w:r>
        <w:rPr>
          <w:color w:val="221F1F"/>
        </w:rPr>
        <w:t>The</w:t>
      </w:r>
      <w:r>
        <w:rPr>
          <w:color w:val="221F1F"/>
          <w:spacing w:val="-5"/>
        </w:rPr>
        <w:t xml:space="preserve"> </w:t>
      </w:r>
      <w:r>
        <w:rPr>
          <w:color w:val="221F1F"/>
        </w:rPr>
        <w:t>Contractor</w:t>
      </w:r>
      <w:r>
        <w:rPr>
          <w:color w:val="221F1F"/>
          <w:spacing w:val="-2"/>
        </w:rPr>
        <w:t xml:space="preserve"> </w:t>
      </w:r>
      <w:r>
        <w:rPr>
          <w:color w:val="221F1F"/>
        </w:rPr>
        <w:t>is</w:t>
      </w:r>
      <w:r>
        <w:rPr>
          <w:color w:val="221F1F"/>
          <w:spacing w:val="-5"/>
        </w:rPr>
        <w:t xml:space="preserve"> </w:t>
      </w:r>
      <w:r>
        <w:rPr>
          <w:color w:val="221F1F"/>
        </w:rPr>
        <w:t>to</w:t>
      </w:r>
      <w:r>
        <w:rPr>
          <w:color w:val="221F1F"/>
          <w:spacing w:val="-6"/>
        </w:rPr>
        <w:t xml:space="preserve"> </w:t>
      </w:r>
      <w:r>
        <w:rPr>
          <w:color w:val="221F1F"/>
        </w:rPr>
        <w:t>allow</w:t>
      </w:r>
      <w:r>
        <w:rPr>
          <w:color w:val="221F1F"/>
          <w:spacing w:val="-4"/>
        </w:rPr>
        <w:t xml:space="preserve"> </w:t>
      </w:r>
      <w:r>
        <w:rPr>
          <w:color w:val="221F1F"/>
        </w:rPr>
        <w:t>for</w:t>
      </w:r>
      <w:r>
        <w:rPr>
          <w:color w:val="221F1F"/>
          <w:spacing w:val="-2"/>
        </w:rPr>
        <w:t xml:space="preserve"> </w:t>
      </w:r>
      <w:r>
        <w:rPr>
          <w:color w:val="221F1F"/>
        </w:rPr>
        <w:t>complying</w:t>
      </w:r>
      <w:r>
        <w:rPr>
          <w:color w:val="221F1F"/>
          <w:spacing w:val="-2"/>
        </w:rPr>
        <w:t xml:space="preserve"> </w:t>
      </w:r>
      <w:r>
        <w:rPr>
          <w:color w:val="221F1F"/>
        </w:rPr>
        <w:t>with</w:t>
      </w:r>
      <w:r>
        <w:rPr>
          <w:color w:val="221F1F"/>
          <w:spacing w:val="-3"/>
        </w:rPr>
        <w:t xml:space="preserve"> </w:t>
      </w:r>
      <w:r>
        <w:rPr>
          <w:color w:val="221F1F"/>
        </w:rPr>
        <w:t>all</w:t>
      </w:r>
      <w:r>
        <w:rPr>
          <w:color w:val="221F1F"/>
          <w:spacing w:val="-4"/>
        </w:rPr>
        <w:t xml:space="preserve"> </w:t>
      </w:r>
      <w:r>
        <w:rPr>
          <w:color w:val="221F1F"/>
        </w:rPr>
        <w:t>instructions</w:t>
      </w:r>
      <w:r>
        <w:rPr>
          <w:color w:val="221F1F"/>
          <w:spacing w:val="-4"/>
        </w:rPr>
        <w:t xml:space="preserve"> </w:t>
      </w:r>
      <w:r>
        <w:rPr>
          <w:color w:val="221F1F"/>
        </w:rPr>
        <w:t>and</w:t>
      </w:r>
      <w:r>
        <w:rPr>
          <w:color w:val="221F1F"/>
          <w:spacing w:val="-3"/>
        </w:rPr>
        <w:t xml:space="preserve"> </w:t>
      </w:r>
      <w:r>
        <w:rPr>
          <w:color w:val="221F1F"/>
        </w:rPr>
        <w:t>regulations</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Police</w:t>
      </w:r>
      <w:r>
        <w:rPr>
          <w:color w:val="221F1F"/>
          <w:spacing w:val="-1"/>
        </w:rPr>
        <w:t xml:space="preserve"> </w:t>
      </w:r>
      <w:r>
        <w:rPr>
          <w:color w:val="221F1F"/>
          <w:spacing w:val="-2"/>
        </w:rPr>
        <w:t>Authorities.</w:t>
      </w:r>
    </w:p>
    <w:p w:rsidR="007F6DF9" w:rsidRDefault="00A43FBC">
      <w:pPr>
        <w:pStyle w:val="ListParagraph"/>
        <w:numPr>
          <w:ilvl w:val="1"/>
          <w:numId w:val="125"/>
        </w:numPr>
        <w:tabs>
          <w:tab w:val="left" w:pos="1126"/>
          <w:tab w:val="left" w:pos="1148"/>
        </w:tabs>
        <w:spacing w:before="242" w:line="230" w:lineRule="auto"/>
        <w:ind w:left="1148" w:right="560" w:hanging="443"/>
        <w:jc w:val="both"/>
      </w:pPr>
      <w:r>
        <w:rPr>
          <w:color w:val="221F1F"/>
        </w:rPr>
        <w:t>All</w:t>
      </w:r>
      <w:r>
        <w:rPr>
          <w:color w:val="221F1F"/>
          <w:spacing w:val="-10"/>
        </w:rPr>
        <w:t xml:space="preserve"> </w:t>
      </w:r>
      <w:r>
        <w:rPr>
          <w:color w:val="221F1F"/>
        </w:rPr>
        <w:t>water</w:t>
      </w:r>
      <w:r>
        <w:rPr>
          <w:color w:val="221F1F"/>
          <w:spacing w:val="-10"/>
        </w:rPr>
        <w:t xml:space="preserve"> </w:t>
      </w:r>
      <w:r>
        <w:rPr>
          <w:color w:val="221F1F"/>
        </w:rPr>
        <w:t>shall</w:t>
      </w:r>
      <w:r>
        <w:rPr>
          <w:color w:val="221F1F"/>
          <w:spacing w:val="-10"/>
        </w:rPr>
        <w:t xml:space="preserve"> </w:t>
      </w:r>
      <w:r>
        <w:rPr>
          <w:color w:val="221F1F"/>
        </w:rPr>
        <w:t>be</w:t>
      </w:r>
      <w:r>
        <w:rPr>
          <w:color w:val="221F1F"/>
          <w:spacing w:val="-10"/>
        </w:rPr>
        <w:t xml:space="preserve"> </w:t>
      </w:r>
      <w:r>
        <w:rPr>
          <w:color w:val="221F1F"/>
        </w:rPr>
        <w:t>fresh,</w:t>
      </w:r>
      <w:r>
        <w:rPr>
          <w:color w:val="221F1F"/>
          <w:spacing w:val="-10"/>
        </w:rPr>
        <w:t xml:space="preserve"> </w:t>
      </w:r>
      <w:r>
        <w:rPr>
          <w:color w:val="221F1F"/>
        </w:rPr>
        <w:t>clean</w:t>
      </w:r>
      <w:r>
        <w:rPr>
          <w:color w:val="221F1F"/>
          <w:spacing w:val="-10"/>
        </w:rPr>
        <w:t xml:space="preserve"> </w:t>
      </w:r>
      <w:r>
        <w:rPr>
          <w:color w:val="221F1F"/>
        </w:rPr>
        <w:t>and</w:t>
      </w:r>
      <w:r>
        <w:rPr>
          <w:color w:val="221F1F"/>
          <w:spacing w:val="-10"/>
        </w:rPr>
        <w:t xml:space="preserve"> </w:t>
      </w:r>
      <w:r>
        <w:rPr>
          <w:color w:val="221F1F"/>
        </w:rPr>
        <w:t>pure,</w:t>
      </w:r>
      <w:r>
        <w:rPr>
          <w:color w:val="221F1F"/>
          <w:spacing w:val="-10"/>
        </w:rPr>
        <w:t xml:space="preserve"> </w:t>
      </w:r>
      <w:r>
        <w:rPr>
          <w:color w:val="221F1F"/>
        </w:rPr>
        <w:t>free</w:t>
      </w:r>
      <w:r>
        <w:rPr>
          <w:color w:val="221F1F"/>
          <w:spacing w:val="-10"/>
        </w:rPr>
        <w:t xml:space="preserve"> </w:t>
      </w:r>
      <w:r>
        <w:rPr>
          <w:color w:val="221F1F"/>
        </w:rPr>
        <w:t>from</w:t>
      </w:r>
      <w:r>
        <w:rPr>
          <w:color w:val="221F1F"/>
          <w:spacing w:val="-10"/>
        </w:rPr>
        <w:t xml:space="preserve"> </w:t>
      </w:r>
      <w:r>
        <w:rPr>
          <w:color w:val="221F1F"/>
        </w:rPr>
        <w:t>earthly,</w:t>
      </w:r>
      <w:r>
        <w:rPr>
          <w:color w:val="221F1F"/>
          <w:spacing w:val="-10"/>
        </w:rPr>
        <w:t xml:space="preserve"> </w:t>
      </w:r>
      <w:r>
        <w:rPr>
          <w:color w:val="221F1F"/>
        </w:rPr>
        <w:t>vegetable</w:t>
      </w:r>
      <w:r>
        <w:rPr>
          <w:color w:val="221F1F"/>
          <w:spacing w:val="-10"/>
        </w:rPr>
        <w:t xml:space="preserve"> </w:t>
      </w:r>
      <w:r>
        <w:rPr>
          <w:color w:val="221F1F"/>
        </w:rPr>
        <w:t>or</w:t>
      </w:r>
      <w:r>
        <w:rPr>
          <w:color w:val="221F1F"/>
          <w:spacing w:val="-10"/>
        </w:rPr>
        <w:t xml:space="preserve"> </w:t>
      </w:r>
      <w:r>
        <w:rPr>
          <w:color w:val="221F1F"/>
        </w:rPr>
        <w:t>organic</w:t>
      </w:r>
      <w:r>
        <w:rPr>
          <w:color w:val="221F1F"/>
          <w:spacing w:val="-13"/>
        </w:rPr>
        <w:t xml:space="preserve"> </w:t>
      </w:r>
      <w:r>
        <w:rPr>
          <w:color w:val="221F1F"/>
        </w:rPr>
        <w:t>matter,</w:t>
      </w:r>
      <w:r>
        <w:rPr>
          <w:color w:val="221F1F"/>
          <w:spacing w:val="-10"/>
        </w:rPr>
        <w:t xml:space="preserve"> </w:t>
      </w:r>
      <w:r>
        <w:rPr>
          <w:color w:val="221F1F"/>
        </w:rPr>
        <w:t>acid</w:t>
      </w:r>
      <w:r>
        <w:rPr>
          <w:color w:val="221F1F"/>
          <w:spacing w:val="-11"/>
        </w:rPr>
        <w:t xml:space="preserve"> </w:t>
      </w:r>
      <w:r>
        <w:rPr>
          <w:color w:val="221F1F"/>
        </w:rPr>
        <w:t>or</w:t>
      </w:r>
      <w:r>
        <w:rPr>
          <w:color w:val="221F1F"/>
          <w:spacing w:val="-10"/>
        </w:rPr>
        <w:t xml:space="preserve"> </w:t>
      </w:r>
      <w:r>
        <w:rPr>
          <w:color w:val="221F1F"/>
        </w:rPr>
        <w:t>alkaline</w:t>
      </w:r>
      <w:r>
        <w:rPr>
          <w:color w:val="221F1F"/>
          <w:spacing w:val="-10"/>
        </w:rPr>
        <w:t xml:space="preserve"> </w:t>
      </w:r>
      <w:r>
        <w:rPr>
          <w:color w:val="221F1F"/>
        </w:rPr>
        <w:t>substance in</w:t>
      </w:r>
      <w:r>
        <w:rPr>
          <w:color w:val="221F1F"/>
          <w:spacing w:val="-7"/>
        </w:rPr>
        <w:t xml:space="preserve"> </w:t>
      </w:r>
      <w:r>
        <w:rPr>
          <w:color w:val="221F1F"/>
        </w:rPr>
        <w:t>solution.</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9"/>
        </w:rPr>
        <w:t xml:space="preserve"> </w:t>
      </w:r>
      <w:r>
        <w:rPr>
          <w:color w:val="221F1F"/>
        </w:rPr>
        <w:t>shall</w:t>
      </w:r>
      <w:r>
        <w:rPr>
          <w:color w:val="221F1F"/>
          <w:spacing w:val="-6"/>
        </w:rPr>
        <w:t xml:space="preserve"> </w:t>
      </w:r>
      <w:r>
        <w:rPr>
          <w:color w:val="221F1F"/>
        </w:rPr>
        <w:t>provide</w:t>
      </w:r>
      <w:r>
        <w:rPr>
          <w:color w:val="221F1F"/>
          <w:spacing w:val="-9"/>
        </w:rPr>
        <w:t xml:space="preserve"> </w:t>
      </w:r>
      <w:r>
        <w:rPr>
          <w:color w:val="221F1F"/>
        </w:rPr>
        <w:t>at</w:t>
      </w:r>
      <w:r>
        <w:rPr>
          <w:color w:val="221F1F"/>
          <w:spacing w:val="-8"/>
        </w:rPr>
        <w:t xml:space="preserve"> </w:t>
      </w:r>
      <w:r>
        <w:rPr>
          <w:color w:val="221F1F"/>
        </w:rPr>
        <w:t>his</w:t>
      </w:r>
      <w:r>
        <w:rPr>
          <w:color w:val="221F1F"/>
          <w:spacing w:val="-6"/>
        </w:rPr>
        <w:t xml:space="preserve"> </w:t>
      </w:r>
      <w:r>
        <w:rPr>
          <w:color w:val="221F1F"/>
        </w:rPr>
        <w:t>own</w:t>
      </w:r>
      <w:r>
        <w:rPr>
          <w:color w:val="221F1F"/>
          <w:spacing w:val="-10"/>
        </w:rPr>
        <w:t xml:space="preserve"> </w:t>
      </w:r>
      <w:r>
        <w:rPr>
          <w:color w:val="221F1F"/>
        </w:rPr>
        <w:t>risk</w:t>
      </w:r>
      <w:r>
        <w:rPr>
          <w:color w:val="221F1F"/>
          <w:spacing w:val="-7"/>
        </w:rPr>
        <w:t xml:space="preserve"> </w:t>
      </w:r>
      <w:r>
        <w:rPr>
          <w:color w:val="221F1F"/>
        </w:rPr>
        <w:t>and</w:t>
      </w:r>
      <w:r>
        <w:rPr>
          <w:color w:val="221F1F"/>
          <w:spacing w:val="-9"/>
        </w:rPr>
        <w:t xml:space="preserve"> </w:t>
      </w:r>
      <w:r>
        <w:rPr>
          <w:color w:val="221F1F"/>
        </w:rPr>
        <w:t>cost</w:t>
      </w:r>
      <w:r>
        <w:rPr>
          <w:color w:val="221F1F"/>
          <w:spacing w:val="-9"/>
        </w:rPr>
        <w:t xml:space="preserve"> </w:t>
      </w:r>
      <w:r>
        <w:rPr>
          <w:color w:val="221F1F"/>
        </w:rPr>
        <w:t>all</w:t>
      </w:r>
      <w:r>
        <w:rPr>
          <w:color w:val="221F1F"/>
          <w:spacing w:val="-6"/>
        </w:rPr>
        <w:t xml:space="preserve"> </w:t>
      </w:r>
      <w:r>
        <w:rPr>
          <w:color w:val="221F1F"/>
        </w:rPr>
        <w:t>water</w:t>
      </w:r>
      <w:r>
        <w:rPr>
          <w:color w:val="221F1F"/>
          <w:spacing w:val="-8"/>
        </w:rPr>
        <w:t xml:space="preserve"> </w:t>
      </w:r>
      <w:r>
        <w:rPr>
          <w:color w:val="221F1F"/>
        </w:rPr>
        <w:t>for</w:t>
      </w:r>
      <w:r>
        <w:rPr>
          <w:color w:val="221F1F"/>
          <w:spacing w:val="-9"/>
        </w:rPr>
        <w:t xml:space="preserve"> </w:t>
      </w:r>
      <w:r>
        <w:rPr>
          <w:color w:val="221F1F"/>
        </w:rPr>
        <w:t>use</w:t>
      </w:r>
      <w:r>
        <w:rPr>
          <w:color w:val="221F1F"/>
          <w:spacing w:val="-9"/>
        </w:rPr>
        <w:t xml:space="preserve"> </w:t>
      </w:r>
      <w:r>
        <w:rPr>
          <w:color w:val="221F1F"/>
        </w:rPr>
        <w:t>in</w:t>
      </w:r>
      <w:r>
        <w:rPr>
          <w:color w:val="221F1F"/>
          <w:spacing w:val="-7"/>
        </w:rPr>
        <w:t xml:space="preserve"> </w:t>
      </w:r>
      <w:r>
        <w:rPr>
          <w:color w:val="221F1F"/>
        </w:rPr>
        <w:t>connection</w:t>
      </w:r>
      <w:r>
        <w:rPr>
          <w:color w:val="221F1F"/>
          <w:spacing w:val="-10"/>
        </w:rPr>
        <w:t xml:space="preserve"> </w:t>
      </w:r>
      <w:r>
        <w:rPr>
          <w:color w:val="221F1F"/>
        </w:rPr>
        <w:t>with</w:t>
      </w:r>
      <w:r>
        <w:rPr>
          <w:color w:val="221F1F"/>
          <w:spacing w:val="-10"/>
        </w:rPr>
        <w:t xml:space="preserve"> </w:t>
      </w:r>
      <w:r>
        <w:rPr>
          <w:color w:val="221F1F"/>
        </w:rPr>
        <w:t>the</w:t>
      </w:r>
      <w:r>
        <w:rPr>
          <w:color w:val="221F1F"/>
          <w:spacing w:val="-2"/>
        </w:rPr>
        <w:t xml:space="preserve"> </w:t>
      </w:r>
      <w:r>
        <w:rPr>
          <w:color w:val="221F1F"/>
        </w:rPr>
        <w:t>Works, (including works of sub–contractors). If need be, he shall make arrangements with the Local Water</w:t>
      </w:r>
      <w:r>
        <w:rPr>
          <w:color w:val="221F1F"/>
          <w:spacing w:val="-1"/>
        </w:rPr>
        <w:t xml:space="preserve"> </w:t>
      </w:r>
      <w:r>
        <w:rPr>
          <w:color w:val="221F1F"/>
        </w:rPr>
        <w:t>Authority for the installation of a separate meter for all water used by him throughout the Contract and pay all cost and fees</w:t>
      </w:r>
      <w:r>
        <w:rPr>
          <w:color w:val="221F1F"/>
          <w:spacing w:val="-14"/>
        </w:rPr>
        <w:t xml:space="preserve"> </w:t>
      </w:r>
      <w:r>
        <w:rPr>
          <w:color w:val="221F1F"/>
        </w:rPr>
        <w:t>in</w:t>
      </w:r>
      <w:r>
        <w:rPr>
          <w:color w:val="221F1F"/>
          <w:spacing w:val="-14"/>
        </w:rPr>
        <w:t xml:space="preserve"> </w:t>
      </w:r>
      <w:r>
        <w:rPr>
          <w:color w:val="221F1F"/>
        </w:rPr>
        <w:t>connection</w:t>
      </w:r>
      <w:r>
        <w:rPr>
          <w:color w:val="221F1F"/>
          <w:spacing w:val="-14"/>
        </w:rPr>
        <w:t xml:space="preserve"> </w:t>
      </w:r>
      <w:r>
        <w:rPr>
          <w:color w:val="221F1F"/>
        </w:rPr>
        <w:t>therewith.</w:t>
      </w:r>
      <w:r>
        <w:rPr>
          <w:color w:val="221F1F"/>
          <w:spacing w:val="-13"/>
        </w:rPr>
        <w:t xml:space="preserve"> </w:t>
      </w:r>
      <w:r>
        <w:rPr>
          <w:color w:val="221F1F"/>
        </w:rPr>
        <w:t>He</w:t>
      </w:r>
      <w:r>
        <w:rPr>
          <w:color w:val="221F1F"/>
          <w:spacing w:val="-14"/>
        </w:rPr>
        <w:t xml:space="preserve"> </w:t>
      </w:r>
      <w:r>
        <w:rPr>
          <w:color w:val="221F1F"/>
        </w:rPr>
        <w:t>shall</w:t>
      </w:r>
      <w:r>
        <w:rPr>
          <w:color w:val="221F1F"/>
          <w:spacing w:val="-14"/>
        </w:rPr>
        <w:t xml:space="preserve"> </w:t>
      </w:r>
      <w:r>
        <w:rPr>
          <w:color w:val="221F1F"/>
        </w:rPr>
        <w:t>also</w:t>
      </w:r>
      <w:r>
        <w:rPr>
          <w:color w:val="221F1F"/>
          <w:spacing w:val="-14"/>
        </w:rPr>
        <w:t xml:space="preserve"> </w:t>
      </w:r>
      <w:r>
        <w:rPr>
          <w:color w:val="221F1F"/>
        </w:rPr>
        <w:t>provide</w:t>
      </w:r>
      <w:r>
        <w:rPr>
          <w:color w:val="221F1F"/>
          <w:spacing w:val="-13"/>
        </w:rPr>
        <w:t xml:space="preserve"> </w:t>
      </w:r>
      <w:r>
        <w:rPr>
          <w:color w:val="221F1F"/>
        </w:rPr>
        <w:t>temporary</w:t>
      </w:r>
      <w:r>
        <w:rPr>
          <w:color w:val="221F1F"/>
          <w:spacing w:val="-14"/>
        </w:rPr>
        <w:t xml:space="preserve"> </w:t>
      </w:r>
      <w:r>
        <w:rPr>
          <w:color w:val="221F1F"/>
        </w:rPr>
        <w:t>storage</w:t>
      </w:r>
      <w:r>
        <w:rPr>
          <w:color w:val="221F1F"/>
          <w:spacing w:val="-14"/>
        </w:rPr>
        <w:t xml:space="preserve"> </w:t>
      </w:r>
      <w:r>
        <w:rPr>
          <w:color w:val="221F1F"/>
        </w:rPr>
        <w:t>tanks</w:t>
      </w:r>
      <w:r>
        <w:rPr>
          <w:color w:val="221F1F"/>
          <w:spacing w:val="-14"/>
        </w:rPr>
        <w:t xml:space="preserve"> </w:t>
      </w:r>
      <w:r>
        <w:rPr>
          <w:color w:val="221F1F"/>
        </w:rPr>
        <w:t>and</w:t>
      </w:r>
      <w:r>
        <w:rPr>
          <w:color w:val="221F1F"/>
          <w:spacing w:val="-13"/>
        </w:rPr>
        <w:t xml:space="preserve"> </w:t>
      </w:r>
      <w:r>
        <w:rPr>
          <w:color w:val="221F1F"/>
        </w:rPr>
        <w:t>tubing,</w:t>
      </w:r>
      <w:r>
        <w:rPr>
          <w:color w:val="221F1F"/>
          <w:spacing w:val="-14"/>
        </w:rPr>
        <w:t xml:space="preserve"> </w:t>
      </w:r>
      <w:r>
        <w:rPr>
          <w:color w:val="221F1F"/>
        </w:rPr>
        <w:t>etc.,</w:t>
      </w:r>
      <w:r>
        <w:rPr>
          <w:color w:val="221F1F"/>
          <w:spacing w:val="-14"/>
        </w:rPr>
        <w:t xml:space="preserve"> </w:t>
      </w:r>
      <w:r>
        <w:rPr>
          <w:color w:val="221F1F"/>
        </w:rPr>
        <w:t>as</w:t>
      </w:r>
      <w:r>
        <w:rPr>
          <w:color w:val="221F1F"/>
          <w:spacing w:val="-14"/>
        </w:rPr>
        <w:t xml:space="preserve"> </w:t>
      </w:r>
      <w:r>
        <w:rPr>
          <w:color w:val="221F1F"/>
        </w:rPr>
        <w:t>may</w:t>
      </w:r>
      <w:r>
        <w:rPr>
          <w:color w:val="221F1F"/>
          <w:spacing w:val="-13"/>
        </w:rPr>
        <w:t xml:space="preserve"> </w:t>
      </w:r>
      <w:r>
        <w:rPr>
          <w:color w:val="221F1F"/>
        </w:rPr>
        <w:t>be</w:t>
      </w:r>
      <w:r>
        <w:rPr>
          <w:color w:val="221F1F"/>
          <w:spacing w:val="-14"/>
        </w:rPr>
        <w:t xml:space="preserve"> </w:t>
      </w:r>
      <w:r>
        <w:rPr>
          <w:color w:val="221F1F"/>
        </w:rPr>
        <w:t>necessary, and clear away at completion.</w:t>
      </w:r>
    </w:p>
    <w:p w:rsidR="007F6DF9" w:rsidRDefault="00A43FBC">
      <w:pPr>
        <w:pStyle w:val="ListParagraph"/>
        <w:numPr>
          <w:ilvl w:val="1"/>
          <w:numId w:val="125"/>
        </w:numPr>
        <w:tabs>
          <w:tab w:val="left" w:pos="1126"/>
          <w:tab w:val="left" w:pos="1148"/>
        </w:tabs>
        <w:spacing w:before="245" w:line="230" w:lineRule="auto"/>
        <w:ind w:left="1148" w:right="562" w:hanging="443"/>
        <w:jc w:val="both"/>
      </w:pPr>
      <w:r>
        <w:rPr>
          <w:color w:val="221F1F"/>
        </w:rPr>
        <w:t>The Contractor shall provide all artificial lighting and power for his own use on the Works, (including Sub – Contractor's) including all temporary connections, wiring, fittings, etc., and clearing away on completion. The Contractor shall pay all fees and obtain all permits in connection there with.</w:t>
      </w:r>
    </w:p>
    <w:p w:rsidR="007F6DF9" w:rsidRDefault="00A43FBC">
      <w:pPr>
        <w:pStyle w:val="ListParagraph"/>
        <w:numPr>
          <w:ilvl w:val="1"/>
          <w:numId w:val="125"/>
        </w:numPr>
        <w:tabs>
          <w:tab w:val="left" w:pos="1126"/>
          <w:tab w:val="left" w:pos="1148"/>
        </w:tabs>
        <w:spacing w:before="246" w:line="230" w:lineRule="auto"/>
        <w:ind w:left="1148" w:right="563" w:hanging="443"/>
        <w:jc w:val="both"/>
      </w:pPr>
      <w:r>
        <w:rPr>
          <w:color w:val="221F1F"/>
        </w:rPr>
        <w:t>The Contractor shall constantly keep on the Works a Literate English-speaking Agent or Representative, competent and</w:t>
      </w:r>
      <w:r>
        <w:rPr>
          <w:color w:val="221F1F"/>
          <w:spacing w:val="-1"/>
        </w:rPr>
        <w:t xml:space="preserve"> </w:t>
      </w:r>
      <w:r>
        <w:rPr>
          <w:color w:val="221F1F"/>
        </w:rPr>
        <w:t>experienced</w:t>
      </w:r>
      <w:r>
        <w:rPr>
          <w:color w:val="221F1F"/>
          <w:spacing w:val="-3"/>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kind</w:t>
      </w:r>
      <w:r>
        <w:rPr>
          <w:color w:val="221F1F"/>
          <w:spacing w:val="-1"/>
        </w:rPr>
        <w:t xml:space="preserve"> </w:t>
      </w:r>
      <w:r>
        <w:rPr>
          <w:color w:val="221F1F"/>
        </w:rPr>
        <w:t>of work</w:t>
      </w:r>
      <w:r>
        <w:rPr>
          <w:color w:val="221F1F"/>
          <w:spacing w:val="-1"/>
        </w:rPr>
        <w:t xml:space="preserve"> </w:t>
      </w:r>
      <w:r>
        <w:rPr>
          <w:color w:val="221F1F"/>
        </w:rPr>
        <w:t>involved, who</w:t>
      </w:r>
      <w:r>
        <w:rPr>
          <w:color w:val="221F1F"/>
          <w:spacing w:val="-1"/>
        </w:rPr>
        <w:t xml:space="preserve"> </w:t>
      </w:r>
      <w:r>
        <w:rPr>
          <w:color w:val="221F1F"/>
        </w:rPr>
        <w:t xml:space="preserve">shall </w:t>
      </w:r>
      <w:proofErr w:type="spellStart"/>
      <w:r>
        <w:rPr>
          <w:color w:val="221F1F"/>
        </w:rPr>
        <w:t>giveh</w:t>
      </w:r>
      <w:proofErr w:type="spellEnd"/>
      <w:r>
        <w:rPr>
          <w:color w:val="221F1F"/>
          <w:spacing w:val="-1"/>
        </w:rPr>
        <w:t xml:space="preserve"> </w:t>
      </w:r>
      <w:r>
        <w:rPr>
          <w:color w:val="221F1F"/>
        </w:rPr>
        <w:t>is</w:t>
      </w:r>
      <w:r>
        <w:rPr>
          <w:color w:val="221F1F"/>
          <w:spacing w:val="-1"/>
        </w:rPr>
        <w:t xml:space="preserve"> </w:t>
      </w:r>
      <w:r>
        <w:rPr>
          <w:color w:val="221F1F"/>
        </w:rPr>
        <w:t>whole</w:t>
      </w:r>
      <w:r>
        <w:rPr>
          <w:color w:val="221F1F"/>
          <w:spacing w:val="-1"/>
        </w:rPr>
        <w:t xml:space="preserve"> </w:t>
      </w:r>
      <w:r>
        <w:rPr>
          <w:color w:val="221F1F"/>
        </w:rPr>
        <w:t>time to</w:t>
      </w:r>
      <w:r>
        <w:rPr>
          <w:color w:val="221F1F"/>
          <w:spacing w:val="-1"/>
        </w:rPr>
        <w:t xml:space="preserve"> </w:t>
      </w:r>
      <w:r>
        <w:rPr>
          <w:color w:val="221F1F"/>
        </w:rPr>
        <w:t>the</w:t>
      </w:r>
      <w:r>
        <w:rPr>
          <w:color w:val="221F1F"/>
          <w:spacing w:val="-1"/>
        </w:rPr>
        <w:t xml:space="preserve"> </w:t>
      </w:r>
      <w:r>
        <w:rPr>
          <w:color w:val="221F1F"/>
        </w:rPr>
        <w:t>superintendence of the works. (Including works of sub – contractors). Such Agent or Representative shall receive on behalf of the</w:t>
      </w:r>
      <w:r>
        <w:rPr>
          <w:color w:val="221F1F"/>
          <w:spacing w:val="-12"/>
        </w:rPr>
        <w:t xml:space="preserve"> </w:t>
      </w:r>
      <w:proofErr w:type="spellStart"/>
      <w:r>
        <w:rPr>
          <w:color w:val="221F1F"/>
        </w:rPr>
        <w:t>Contractordirections</w:t>
      </w:r>
      <w:proofErr w:type="spellEnd"/>
      <w:r>
        <w:rPr>
          <w:color w:val="221F1F"/>
          <w:spacing w:val="-10"/>
        </w:rPr>
        <w:t xml:space="preserve"> </w:t>
      </w:r>
      <w:r>
        <w:rPr>
          <w:color w:val="221F1F"/>
        </w:rPr>
        <w:t>and</w:t>
      </w:r>
      <w:r>
        <w:rPr>
          <w:color w:val="221F1F"/>
          <w:spacing w:val="-11"/>
        </w:rPr>
        <w:t xml:space="preserve"> </w:t>
      </w:r>
      <w:r>
        <w:rPr>
          <w:color w:val="221F1F"/>
        </w:rPr>
        <w:t>instruction</w:t>
      </w:r>
      <w:r>
        <w:rPr>
          <w:color w:val="221F1F"/>
          <w:spacing w:val="-11"/>
        </w:rPr>
        <w:t xml:space="preserve"> </w:t>
      </w:r>
      <w:r>
        <w:rPr>
          <w:color w:val="221F1F"/>
        </w:rPr>
        <w:t>from</w:t>
      </w:r>
      <w:r>
        <w:rPr>
          <w:color w:val="221F1F"/>
          <w:spacing w:val="-13"/>
        </w:rPr>
        <w:t xml:space="preserve"> </w:t>
      </w:r>
      <w:r>
        <w:rPr>
          <w:color w:val="221F1F"/>
        </w:rPr>
        <w:t>the</w:t>
      </w:r>
      <w:r>
        <w:rPr>
          <w:color w:val="221F1F"/>
          <w:spacing w:val="-11"/>
        </w:rPr>
        <w:t xml:space="preserve"> </w:t>
      </w:r>
      <w:r>
        <w:rPr>
          <w:color w:val="221F1F"/>
        </w:rPr>
        <w:t>Engineer,</w:t>
      </w:r>
      <w:r>
        <w:rPr>
          <w:color w:val="221F1F"/>
          <w:spacing w:val="-11"/>
        </w:rPr>
        <w:t xml:space="preserve"> </w:t>
      </w:r>
      <w:r>
        <w:rPr>
          <w:color w:val="221F1F"/>
        </w:rPr>
        <w:t>and</w:t>
      </w:r>
      <w:r>
        <w:rPr>
          <w:color w:val="221F1F"/>
          <w:spacing w:val="-12"/>
        </w:rPr>
        <w:t xml:space="preserve"> </w:t>
      </w:r>
      <w:r>
        <w:rPr>
          <w:color w:val="221F1F"/>
        </w:rPr>
        <w:t>such</w:t>
      </w:r>
      <w:r>
        <w:rPr>
          <w:color w:val="221F1F"/>
          <w:spacing w:val="-12"/>
        </w:rPr>
        <w:t xml:space="preserve"> </w:t>
      </w:r>
      <w:r>
        <w:rPr>
          <w:color w:val="221F1F"/>
        </w:rPr>
        <w:t>directions</w:t>
      </w:r>
      <w:r>
        <w:rPr>
          <w:color w:val="221F1F"/>
          <w:spacing w:val="-11"/>
        </w:rPr>
        <w:t xml:space="preserve"> </w:t>
      </w:r>
      <w:r>
        <w:rPr>
          <w:color w:val="221F1F"/>
        </w:rPr>
        <w:t>and</w:t>
      </w:r>
      <w:r>
        <w:rPr>
          <w:color w:val="221F1F"/>
          <w:spacing w:val="-12"/>
        </w:rPr>
        <w:t xml:space="preserve"> </w:t>
      </w:r>
      <w:r>
        <w:rPr>
          <w:color w:val="221F1F"/>
        </w:rPr>
        <w:t>instructions</w:t>
      </w:r>
      <w:r>
        <w:rPr>
          <w:color w:val="221F1F"/>
          <w:spacing w:val="-10"/>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deemed to be given to the contractor in accordance with the Conditions of Contract. The Agent shall not be replaced without the specific approval of the Engineer.</w:t>
      </w:r>
    </w:p>
    <w:p w:rsidR="007F6DF9" w:rsidRDefault="00A43FBC">
      <w:pPr>
        <w:pStyle w:val="ListParagraph"/>
        <w:numPr>
          <w:ilvl w:val="1"/>
          <w:numId w:val="125"/>
        </w:numPr>
        <w:tabs>
          <w:tab w:val="left" w:pos="1123"/>
          <w:tab w:val="left" w:pos="1148"/>
        </w:tabs>
        <w:spacing w:before="244" w:line="230" w:lineRule="auto"/>
        <w:ind w:left="1148" w:right="563" w:hanging="443"/>
        <w:jc w:val="both"/>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ensure</w:t>
      </w:r>
      <w:r>
        <w:rPr>
          <w:color w:val="221F1F"/>
          <w:spacing w:val="-7"/>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safety</w:t>
      </w:r>
      <w:r>
        <w:rPr>
          <w:color w:val="221F1F"/>
          <w:spacing w:val="-6"/>
        </w:rPr>
        <w:t xml:space="preserve"> </w:t>
      </w:r>
      <w:r>
        <w:rPr>
          <w:color w:val="221F1F"/>
        </w:rPr>
        <w:t>of</w:t>
      </w:r>
      <w:r>
        <w:rPr>
          <w:color w:val="221F1F"/>
          <w:spacing w:val="-5"/>
        </w:rPr>
        <w:t xml:space="preserve"> </w:t>
      </w:r>
      <w:r>
        <w:rPr>
          <w:color w:val="221F1F"/>
        </w:rPr>
        <w:t>his</w:t>
      </w:r>
      <w:r>
        <w:rPr>
          <w:color w:val="221F1F"/>
          <w:spacing w:val="-5"/>
        </w:rPr>
        <w:t xml:space="preserve"> </w:t>
      </w:r>
      <w:r>
        <w:rPr>
          <w:color w:val="221F1F"/>
        </w:rPr>
        <w:t>work</w:t>
      </w:r>
      <w:r>
        <w:rPr>
          <w:color w:val="221F1F"/>
          <w:spacing w:val="-8"/>
        </w:rPr>
        <w:t xml:space="preserve"> </w:t>
      </w:r>
      <w:r>
        <w:rPr>
          <w:color w:val="221F1F"/>
        </w:rPr>
        <w:t>people</w:t>
      </w:r>
      <w:r>
        <w:rPr>
          <w:color w:val="221F1F"/>
          <w:spacing w:val="-5"/>
        </w:rPr>
        <w:t xml:space="preserve"> </w:t>
      </w:r>
      <w:r>
        <w:rPr>
          <w:color w:val="221F1F"/>
        </w:rPr>
        <w:t>and</w:t>
      </w:r>
      <w:r>
        <w:rPr>
          <w:color w:val="221F1F"/>
          <w:spacing w:val="-6"/>
        </w:rPr>
        <w:t xml:space="preserve"> </w:t>
      </w:r>
      <w:r>
        <w:rPr>
          <w:color w:val="221F1F"/>
        </w:rPr>
        <w:t>all</w:t>
      </w:r>
      <w:r>
        <w:rPr>
          <w:color w:val="221F1F"/>
          <w:spacing w:val="-5"/>
        </w:rPr>
        <w:t xml:space="preserve"> </w:t>
      </w:r>
      <w:r>
        <w:rPr>
          <w:color w:val="221F1F"/>
        </w:rPr>
        <w:t>authorized</w:t>
      </w:r>
      <w:r>
        <w:rPr>
          <w:color w:val="221F1F"/>
          <w:spacing w:val="-5"/>
        </w:rPr>
        <w:t xml:space="preserve"> </w:t>
      </w:r>
      <w:r>
        <w:rPr>
          <w:color w:val="221F1F"/>
        </w:rPr>
        <w:t>visitors</w:t>
      </w:r>
      <w:r>
        <w:rPr>
          <w:color w:val="221F1F"/>
          <w:spacing w:val="-7"/>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site</w:t>
      </w:r>
      <w:r>
        <w:rPr>
          <w:color w:val="221F1F"/>
          <w:spacing w:val="-6"/>
        </w:rPr>
        <w:t xml:space="preserve"> </w:t>
      </w:r>
      <w:r>
        <w:rPr>
          <w:color w:val="221F1F"/>
        </w:rPr>
        <w:t>are</w:t>
      </w:r>
      <w:r>
        <w:rPr>
          <w:color w:val="221F1F"/>
          <w:spacing w:val="-6"/>
        </w:rPr>
        <w:t xml:space="preserve"> </w:t>
      </w:r>
      <w:r>
        <w:rPr>
          <w:color w:val="221F1F"/>
        </w:rPr>
        <w:t>protected at all times. In particular, there shall be the proper provision of guard–rails to scaffolding, protection against falling materials, tools on site, dust, nail and other sharp objects. The site shall be kept tidy and clear of dangerous rubbish. The Architect shall be empowered to suspend work on site should it be considered this condition is not being observed and no claim arising from such suspension will be allowed.</w:t>
      </w:r>
    </w:p>
    <w:p w:rsidR="007F6DF9" w:rsidRDefault="00A43FBC">
      <w:pPr>
        <w:pStyle w:val="ListParagraph"/>
        <w:numPr>
          <w:ilvl w:val="1"/>
          <w:numId w:val="125"/>
        </w:numPr>
        <w:tabs>
          <w:tab w:val="left" w:pos="1123"/>
          <w:tab w:val="left" w:pos="1148"/>
        </w:tabs>
        <w:spacing w:before="248" w:line="230" w:lineRule="auto"/>
        <w:ind w:left="1148" w:right="561" w:hanging="443"/>
        <w:jc w:val="both"/>
      </w:pPr>
      <w:proofErr w:type="spellStart"/>
      <w:r>
        <w:rPr>
          <w:color w:val="221F1F"/>
        </w:rPr>
        <w:t>The</w:t>
      </w:r>
      <w:proofErr w:type="spellEnd"/>
      <w:r>
        <w:rPr>
          <w:color w:val="221F1F"/>
          <w:spacing w:val="-12"/>
        </w:rPr>
        <w:t xml:space="preserve"> </w:t>
      </w:r>
      <w:r>
        <w:rPr>
          <w:color w:val="221F1F"/>
        </w:rPr>
        <w:t>are</w:t>
      </w:r>
      <w:r>
        <w:rPr>
          <w:color w:val="221F1F"/>
          <w:spacing w:val="-11"/>
        </w:rPr>
        <w:t xml:space="preserve"> </w:t>
      </w:r>
      <w:r>
        <w:rPr>
          <w:color w:val="221F1F"/>
        </w:rPr>
        <w:t>as</w:t>
      </w:r>
      <w:r>
        <w:rPr>
          <w:color w:val="221F1F"/>
          <w:spacing w:val="-11"/>
        </w:rPr>
        <w:t xml:space="preserve"> </w:t>
      </w:r>
      <w:r>
        <w:rPr>
          <w:color w:val="221F1F"/>
        </w:rPr>
        <w:t>available</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for</w:t>
      </w:r>
      <w:r>
        <w:rPr>
          <w:color w:val="221F1F"/>
          <w:spacing w:val="-11"/>
        </w:rPr>
        <w:t xml:space="preserve"> </w:t>
      </w:r>
      <w:proofErr w:type="spellStart"/>
      <w:r>
        <w:rPr>
          <w:color w:val="221F1F"/>
        </w:rPr>
        <w:t>workyards</w:t>
      </w:r>
      <w:proofErr w:type="spellEnd"/>
      <w:r>
        <w:rPr>
          <w:color w:val="221F1F"/>
        </w:rPr>
        <w:t>,</w:t>
      </w:r>
      <w:r>
        <w:rPr>
          <w:color w:val="221F1F"/>
          <w:spacing w:val="-11"/>
        </w:rPr>
        <w:t xml:space="preserve"> </w:t>
      </w:r>
      <w:r>
        <w:rPr>
          <w:color w:val="221F1F"/>
        </w:rPr>
        <w:t>offices</w:t>
      </w:r>
      <w:r>
        <w:rPr>
          <w:color w:val="221F1F"/>
          <w:spacing w:val="-10"/>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facilities</w:t>
      </w:r>
      <w:r>
        <w:rPr>
          <w:color w:val="221F1F"/>
          <w:spacing w:val="-10"/>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directed</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Architect and</w:t>
      </w:r>
      <w:r>
        <w:rPr>
          <w:color w:val="221F1F"/>
          <w:spacing w:val="-1"/>
        </w:rPr>
        <w:t xml:space="preserve"> </w:t>
      </w:r>
      <w:r>
        <w:rPr>
          <w:color w:val="221F1F"/>
        </w:rPr>
        <w:t>any</w:t>
      </w:r>
      <w:r>
        <w:rPr>
          <w:color w:val="221F1F"/>
          <w:spacing w:val="-1"/>
        </w:rPr>
        <w:t xml:space="preserve"> </w:t>
      </w:r>
      <w:r>
        <w:rPr>
          <w:color w:val="221F1F"/>
        </w:rPr>
        <w:t>existing</w:t>
      </w:r>
      <w:r>
        <w:rPr>
          <w:color w:val="221F1F"/>
          <w:spacing w:val="-1"/>
        </w:rPr>
        <w:t xml:space="preserve"> </w:t>
      </w:r>
      <w:r>
        <w:rPr>
          <w:color w:val="221F1F"/>
        </w:rPr>
        <w:t>features</w:t>
      </w:r>
      <w:r>
        <w:rPr>
          <w:color w:val="221F1F"/>
          <w:spacing w:val="-3"/>
        </w:rPr>
        <w:t xml:space="preserve"> </w:t>
      </w:r>
      <w:r>
        <w:rPr>
          <w:color w:val="221F1F"/>
        </w:rPr>
        <w:t>to</w:t>
      </w:r>
      <w:r>
        <w:rPr>
          <w:color w:val="221F1F"/>
          <w:spacing w:val="-4"/>
        </w:rPr>
        <w:t xml:space="preserve"> </w:t>
      </w:r>
      <w:r>
        <w:rPr>
          <w:color w:val="221F1F"/>
        </w:rPr>
        <w:t>remain</w:t>
      </w:r>
      <w:r>
        <w:rPr>
          <w:color w:val="221F1F"/>
          <w:spacing w:val="-1"/>
        </w:rPr>
        <w:t xml:space="preserve"> </w:t>
      </w:r>
      <w:r>
        <w:rPr>
          <w:color w:val="221F1F"/>
        </w:rPr>
        <w:t>shall be</w:t>
      </w:r>
      <w:r>
        <w:rPr>
          <w:color w:val="221F1F"/>
          <w:spacing w:val="-1"/>
        </w:rPr>
        <w:t xml:space="preserve"> </w:t>
      </w:r>
      <w:r>
        <w:rPr>
          <w:color w:val="221F1F"/>
        </w:rPr>
        <w:t>protected</w:t>
      </w:r>
      <w:r>
        <w:rPr>
          <w:color w:val="221F1F"/>
          <w:spacing w:val="-1"/>
        </w:rPr>
        <w:t xml:space="preserve"> </w:t>
      </w:r>
      <w:r>
        <w:rPr>
          <w:color w:val="221F1F"/>
        </w:rPr>
        <w:t>from damage</w:t>
      </w:r>
      <w:r>
        <w:rPr>
          <w:color w:val="221F1F"/>
          <w:spacing w:val="-1"/>
        </w:rPr>
        <w:t xml:space="preserve"> </w:t>
      </w:r>
      <w:r>
        <w:rPr>
          <w:color w:val="221F1F"/>
        </w:rPr>
        <w:t>throughout the</w:t>
      </w:r>
      <w:r>
        <w:rPr>
          <w:color w:val="221F1F"/>
          <w:spacing w:val="-3"/>
        </w:rPr>
        <w:t xml:space="preserve"> </w:t>
      </w:r>
      <w:r>
        <w:rPr>
          <w:color w:val="221F1F"/>
        </w:rPr>
        <w:t>Contract Period</w:t>
      </w:r>
      <w:r>
        <w:rPr>
          <w:color w:val="221F1F"/>
          <w:spacing w:val="-1"/>
        </w:rPr>
        <w:t xml:space="preserve"> </w:t>
      </w:r>
      <w:r>
        <w:rPr>
          <w:color w:val="221F1F"/>
        </w:rPr>
        <w:t>and</w:t>
      </w:r>
      <w:r>
        <w:rPr>
          <w:color w:val="221F1F"/>
          <w:spacing w:val="-1"/>
        </w:rPr>
        <w:t xml:space="preserve"> </w:t>
      </w:r>
      <w:r>
        <w:rPr>
          <w:color w:val="221F1F"/>
        </w:rPr>
        <w:t xml:space="preserve">handed back in good condition when they are vacated at the end of the Contract. If additional areas are required, the </w:t>
      </w:r>
      <w:proofErr w:type="spellStart"/>
      <w:r>
        <w:rPr>
          <w:color w:val="221F1F"/>
          <w:spacing w:val="-2"/>
        </w:rPr>
        <w:t>contractorshallsourcethenatowncost</w:t>
      </w:r>
      <w:proofErr w:type="spellEnd"/>
      <w:r>
        <w:rPr>
          <w:color w:val="221F1F"/>
          <w:spacing w:val="-2"/>
        </w:rPr>
        <w:t>.</w:t>
      </w:r>
    </w:p>
    <w:p w:rsidR="007F6DF9" w:rsidRDefault="00A43FBC">
      <w:pPr>
        <w:pStyle w:val="ListParagraph"/>
        <w:numPr>
          <w:ilvl w:val="1"/>
          <w:numId w:val="125"/>
        </w:numPr>
        <w:tabs>
          <w:tab w:val="left" w:pos="1123"/>
          <w:tab w:val="left" w:pos="1148"/>
        </w:tabs>
        <w:spacing w:before="246" w:line="230" w:lineRule="auto"/>
        <w:ind w:left="1148" w:right="565" w:hanging="443"/>
        <w:jc w:val="both"/>
      </w:pP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give</w:t>
      </w:r>
      <w:r>
        <w:rPr>
          <w:color w:val="221F1F"/>
          <w:spacing w:val="-3"/>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reasonable</w:t>
      </w:r>
      <w:r>
        <w:rPr>
          <w:color w:val="221F1F"/>
          <w:spacing w:val="-3"/>
        </w:rPr>
        <w:t xml:space="preserve"> </w:t>
      </w:r>
      <w:r>
        <w:rPr>
          <w:color w:val="221F1F"/>
        </w:rPr>
        <w:t>notice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intention</w:t>
      </w:r>
      <w:r>
        <w:rPr>
          <w:color w:val="221F1F"/>
          <w:spacing w:val="-6"/>
        </w:rPr>
        <w:t xml:space="preserve"> </w:t>
      </w:r>
      <w:r>
        <w:rPr>
          <w:color w:val="221F1F"/>
        </w:rPr>
        <w:t>to</w:t>
      </w:r>
      <w:r>
        <w:rPr>
          <w:color w:val="221F1F"/>
          <w:spacing w:val="-4"/>
        </w:rPr>
        <w:t xml:space="preserve"> </w:t>
      </w:r>
      <w:r>
        <w:rPr>
          <w:color w:val="221F1F"/>
        </w:rPr>
        <w:t>set</w:t>
      </w:r>
      <w:r>
        <w:rPr>
          <w:color w:val="221F1F"/>
          <w:spacing w:val="-3"/>
        </w:rPr>
        <w:t xml:space="preserve"> </w:t>
      </w:r>
      <w:r>
        <w:rPr>
          <w:color w:val="221F1F"/>
        </w:rPr>
        <w:t>out</w:t>
      </w:r>
      <w:r>
        <w:rPr>
          <w:color w:val="221F1F"/>
          <w:spacing w:val="-3"/>
        </w:rPr>
        <w:t xml:space="preserve"> </w:t>
      </w:r>
      <w:r>
        <w:rPr>
          <w:color w:val="221F1F"/>
        </w:rPr>
        <w:t>or</w:t>
      </w:r>
      <w:r>
        <w:rPr>
          <w:color w:val="221F1F"/>
          <w:spacing w:val="-5"/>
        </w:rPr>
        <w:t xml:space="preserve"> </w:t>
      </w:r>
      <w:r>
        <w:rPr>
          <w:color w:val="221F1F"/>
        </w:rPr>
        <w:t>take</w:t>
      </w:r>
      <w:r>
        <w:rPr>
          <w:color w:val="221F1F"/>
          <w:spacing w:val="-3"/>
        </w:rPr>
        <w:t xml:space="preserve"> </w:t>
      </w:r>
      <w:r>
        <w:rPr>
          <w:color w:val="221F1F"/>
        </w:rPr>
        <w:t>levels</w:t>
      </w:r>
      <w:r>
        <w:rPr>
          <w:color w:val="221F1F"/>
          <w:spacing w:val="-3"/>
        </w:rPr>
        <w:t xml:space="preserve"> </w:t>
      </w:r>
      <w:r>
        <w:rPr>
          <w:color w:val="221F1F"/>
        </w:rPr>
        <w:t>for</w:t>
      </w:r>
      <w:r>
        <w:rPr>
          <w:color w:val="221F1F"/>
          <w:spacing w:val="-3"/>
        </w:rPr>
        <w:t xml:space="preserve"> </w:t>
      </w:r>
      <w:r>
        <w:rPr>
          <w:color w:val="221F1F"/>
        </w:rPr>
        <w:t>any</w:t>
      </w:r>
      <w:r>
        <w:rPr>
          <w:color w:val="221F1F"/>
          <w:spacing w:val="-4"/>
        </w:rPr>
        <w:t xml:space="preserve"> </w:t>
      </w:r>
      <w:r>
        <w:rPr>
          <w:color w:val="221F1F"/>
        </w:rPr>
        <w:t>part</w:t>
      </w:r>
      <w:r>
        <w:rPr>
          <w:color w:val="221F1F"/>
          <w:spacing w:val="-5"/>
        </w:rPr>
        <w:t xml:space="preserve"> </w:t>
      </w:r>
      <w:r>
        <w:rPr>
          <w:color w:val="221F1F"/>
        </w:rPr>
        <w:t>of the Works</w:t>
      </w:r>
      <w:r>
        <w:rPr>
          <w:color w:val="221F1F"/>
          <w:spacing w:val="-3"/>
        </w:rPr>
        <w:t xml:space="preserve"> </w:t>
      </w:r>
      <w:r>
        <w:rPr>
          <w:color w:val="221F1F"/>
        </w:rPr>
        <w:t>so that arrangements may be made for checking the work. The accuracy of setting out and leveling shall</w:t>
      </w:r>
      <w:r>
        <w:rPr>
          <w:color w:val="221F1F"/>
          <w:spacing w:val="-2"/>
        </w:rPr>
        <w:t xml:space="preserve"> </w:t>
      </w:r>
      <w:r>
        <w:rPr>
          <w:color w:val="221F1F"/>
        </w:rPr>
        <w:t>be</w:t>
      </w:r>
      <w:r>
        <w:rPr>
          <w:color w:val="221F1F"/>
          <w:spacing w:val="-1"/>
        </w:rPr>
        <w:t xml:space="preserve"> </w:t>
      </w:r>
      <w:r>
        <w:rPr>
          <w:color w:val="221F1F"/>
        </w:rPr>
        <w:t>within</w:t>
      </w:r>
      <w:r>
        <w:rPr>
          <w:color w:val="221F1F"/>
          <w:spacing w:val="-3"/>
        </w:rPr>
        <w:t xml:space="preserve"> </w:t>
      </w:r>
      <w:r>
        <w:rPr>
          <w:color w:val="221F1F"/>
        </w:rPr>
        <w:t>the</w:t>
      </w:r>
      <w:r>
        <w:rPr>
          <w:color w:val="221F1F"/>
          <w:spacing w:val="-3"/>
        </w:rPr>
        <w:t xml:space="preserve"> </w:t>
      </w:r>
      <w:r>
        <w:rPr>
          <w:color w:val="221F1F"/>
        </w:rPr>
        <w:t>tolerances specified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Specifications or</w:t>
      </w:r>
      <w:r>
        <w:rPr>
          <w:color w:val="221F1F"/>
          <w:spacing w:val="-2"/>
        </w:rPr>
        <w:t xml:space="preserve"> </w:t>
      </w:r>
      <w:r>
        <w:rPr>
          <w:color w:val="221F1F"/>
        </w:rPr>
        <w:t>on</w:t>
      </w:r>
      <w:r>
        <w:rPr>
          <w:color w:val="221F1F"/>
          <w:spacing w:val="-3"/>
        </w:rPr>
        <w:t xml:space="preserve"> </w:t>
      </w:r>
      <w:r>
        <w:rPr>
          <w:color w:val="221F1F"/>
        </w:rPr>
        <w:t>the</w:t>
      </w:r>
      <w:r>
        <w:rPr>
          <w:color w:val="221F1F"/>
          <w:spacing w:val="-3"/>
        </w:rPr>
        <w:t xml:space="preserve"> </w:t>
      </w:r>
      <w:r>
        <w:rPr>
          <w:color w:val="221F1F"/>
        </w:rPr>
        <w:t>Drawings.</w:t>
      </w:r>
      <w:r>
        <w:rPr>
          <w:color w:val="221F1F"/>
          <w:spacing w:val="-2"/>
        </w:rPr>
        <w:t xml:space="preserve"> </w:t>
      </w:r>
      <w:r>
        <w:rPr>
          <w:color w:val="221F1F"/>
        </w:rPr>
        <w:t>The checking</w:t>
      </w:r>
      <w:r>
        <w:rPr>
          <w:color w:val="221F1F"/>
          <w:spacing w:val="-3"/>
        </w:rPr>
        <w:t xml:space="preserve"> </w:t>
      </w:r>
      <w:r>
        <w:rPr>
          <w:color w:val="221F1F"/>
        </w:rPr>
        <w:t>of</w:t>
      </w:r>
      <w:r>
        <w:rPr>
          <w:color w:val="221F1F"/>
          <w:spacing w:val="-2"/>
        </w:rPr>
        <w:t xml:space="preserve"> </w:t>
      </w:r>
      <w:r>
        <w:rPr>
          <w:color w:val="221F1F"/>
        </w:rPr>
        <w:t>setting</w:t>
      </w:r>
      <w:r>
        <w:rPr>
          <w:color w:val="221F1F"/>
          <w:spacing w:val="-3"/>
        </w:rPr>
        <w:t xml:space="preserve"> </w:t>
      </w:r>
      <w:r>
        <w:rPr>
          <w:color w:val="221F1F"/>
        </w:rPr>
        <w:t>out or leveling by the Architect shall not relieve the Contractor of his duties or responsibilities under the Contract.</w:t>
      </w:r>
    </w:p>
    <w:p w:rsidR="007F6DF9" w:rsidRDefault="00A43FBC">
      <w:pPr>
        <w:pStyle w:val="ListParagraph"/>
        <w:numPr>
          <w:ilvl w:val="1"/>
          <w:numId w:val="125"/>
        </w:numPr>
        <w:tabs>
          <w:tab w:val="left" w:pos="1123"/>
          <w:tab w:val="left" w:pos="1148"/>
        </w:tabs>
        <w:spacing w:before="245" w:line="230" w:lineRule="auto"/>
        <w:ind w:left="1148" w:right="562" w:hanging="443"/>
        <w:jc w:val="both"/>
      </w:pPr>
      <w:r>
        <w:rPr>
          <w:color w:val="221F1F"/>
        </w:rPr>
        <w:t>The</w:t>
      </w:r>
      <w:r>
        <w:rPr>
          <w:color w:val="221F1F"/>
          <w:spacing w:val="-9"/>
        </w:rPr>
        <w:t xml:space="preserve"> </w:t>
      </w:r>
      <w:r>
        <w:rPr>
          <w:color w:val="221F1F"/>
        </w:rPr>
        <w:t>Contractor</w:t>
      </w:r>
      <w:r>
        <w:rPr>
          <w:color w:val="221F1F"/>
          <w:spacing w:val="-9"/>
        </w:rPr>
        <w:t xml:space="preserve"> </w:t>
      </w:r>
      <w:r>
        <w:rPr>
          <w:color w:val="221F1F"/>
        </w:rPr>
        <w:t>must</w:t>
      </w:r>
      <w:r>
        <w:rPr>
          <w:color w:val="221F1F"/>
          <w:spacing w:val="-9"/>
        </w:rPr>
        <w:t xml:space="preserve"> </w:t>
      </w:r>
      <w:r>
        <w:rPr>
          <w:color w:val="221F1F"/>
        </w:rPr>
        <w:t>take</w:t>
      </w:r>
      <w:r>
        <w:rPr>
          <w:color w:val="221F1F"/>
          <w:spacing w:val="-10"/>
        </w:rPr>
        <w:t xml:space="preserve"> </w:t>
      </w:r>
      <w:r>
        <w:rPr>
          <w:color w:val="221F1F"/>
        </w:rPr>
        <w:t>steps</w:t>
      </w:r>
      <w:r>
        <w:rPr>
          <w:color w:val="221F1F"/>
          <w:spacing w:val="-7"/>
        </w:rPr>
        <w:t xml:space="preserve"> </w:t>
      </w:r>
      <w:r>
        <w:rPr>
          <w:color w:val="221F1F"/>
        </w:rPr>
        <w:t>necessary</w:t>
      </w:r>
      <w:r>
        <w:rPr>
          <w:color w:val="221F1F"/>
          <w:spacing w:val="-10"/>
        </w:rPr>
        <w:t xml:space="preserve"> </w:t>
      </w:r>
      <w:r>
        <w:rPr>
          <w:color w:val="221F1F"/>
        </w:rPr>
        <w:t>to</w:t>
      </w:r>
      <w:r>
        <w:rPr>
          <w:color w:val="221F1F"/>
          <w:spacing w:val="-11"/>
        </w:rPr>
        <w:t xml:space="preserve"> </w:t>
      </w:r>
      <w:r>
        <w:rPr>
          <w:color w:val="221F1F"/>
        </w:rPr>
        <w:t>safe</w:t>
      </w:r>
      <w:r>
        <w:rPr>
          <w:color w:val="221F1F"/>
          <w:spacing w:val="-10"/>
        </w:rPr>
        <w:t xml:space="preserve"> </w:t>
      </w:r>
      <w:r>
        <w:rPr>
          <w:color w:val="221F1F"/>
        </w:rPr>
        <w:t>guard</w:t>
      </w:r>
      <w:r>
        <w:rPr>
          <w:color w:val="221F1F"/>
          <w:spacing w:val="-11"/>
        </w:rPr>
        <w:t xml:space="preserve"> </w:t>
      </w:r>
      <w:r>
        <w:rPr>
          <w:color w:val="221F1F"/>
        </w:rPr>
        <w:t>and</w:t>
      </w:r>
      <w:r>
        <w:rPr>
          <w:color w:val="221F1F"/>
          <w:spacing w:val="-8"/>
        </w:rPr>
        <w:t xml:space="preserve"> </w:t>
      </w:r>
      <w:r>
        <w:rPr>
          <w:color w:val="221F1F"/>
        </w:rPr>
        <w:t>shall</w:t>
      </w:r>
      <w:r>
        <w:rPr>
          <w:color w:val="221F1F"/>
          <w:spacing w:val="-10"/>
        </w:rPr>
        <w:t xml:space="preserve"> </w:t>
      </w:r>
      <w:r>
        <w:rPr>
          <w:color w:val="221F1F"/>
        </w:rPr>
        <w:t>beheld</w:t>
      </w:r>
      <w:r>
        <w:rPr>
          <w:color w:val="221F1F"/>
          <w:spacing w:val="-11"/>
        </w:rPr>
        <w:t xml:space="preserve"> </w:t>
      </w:r>
      <w:r>
        <w:rPr>
          <w:color w:val="221F1F"/>
        </w:rPr>
        <w:t>fully</w:t>
      </w:r>
      <w:r>
        <w:rPr>
          <w:color w:val="221F1F"/>
          <w:spacing w:val="-10"/>
        </w:rPr>
        <w:t xml:space="preserve"> </w:t>
      </w:r>
      <w:r>
        <w:rPr>
          <w:color w:val="221F1F"/>
        </w:rPr>
        <w:t>responsible</w:t>
      </w:r>
      <w:r>
        <w:rPr>
          <w:color w:val="221F1F"/>
          <w:spacing w:val="-9"/>
        </w:rPr>
        <w:t xml:space="preserve"> </w:t>
      </w:r>
      <w:r>
        <w:rPr>
          <w:color w:val="221F1F"/>
        </w:rPr>
        <w:t>for</w:t>
      </w:r>
      <w:r>
        <w:rPr>
          <w:color w:val="221F1F"/>
          <w:spacing w:val="-7"/>
        </w:rPr>
        <w:t xml:space="preserve"> </w:t>
      </w:r>
      <w:r>
        <w:rPr>
          <w:color w:val="221F1F"/>
        </w:rPr>
        <w:t>any</w:t>
      </w:r>
      <w:r>
        <w:rPr>
          <w:color w:val="221F1F"/>
          <w:spacing w:val="-9"/>
        </w:rPr>
        <w:t xml:space="preserve"> </w:t>
      </w:r>
      <w:r>
        <w:rPr>
          <w:color w:val="221F1F"/>
        </w:rPr>
        <w:t>damage</w:t>
      </w:r>
      <w:r>
        <w:rPr>
          <w:color w:val="221F1F"/>
          <w:spacing w:val="-10"/>
        </w:rPr>
        <w:t xml:space="preserve"> </w:t>
      </w:r>
      <w:r>
        <w:rPr>
          <w:color w:val="221F1F"/>
        </w:rPr>
        <w:t>caused to</w:t>
      </w:r>
      <w:r>
        <w:rPr>
          <w:color w:val="221F1F"/>
          <w:spacing w:val="-7"/>
        </w:rPr>
        <w:t xml:space="preserve"> </w:t>
      </w:r>
      <w:proofErr w:type="spellStart"/>
      <w:r>
        <w:rPr>
          <w:color w:val="221F1F"/>
        </w:rPr>
        <w:t>existingand</w:t>
      </w:r>
      <w:proofErr w:type="spellEnd"/>
      <w:r>
        <w:rPr>
          <w:color w:val="221F1F"/>
          <w:spacing w:val="-6"/>
        </w:rPr>
        <w:t xml:space="preserve"> </w:t>
      </w:r>
      <w:r>
        <w:rPr>
          <w:color w:val="221F1F"/>
        </w:rPr>
        <w:t>adjacent</w:t>
      </w:r>
      <w:r>
        <w:rPr>
          <w:color w:val="221F1F"/>
          <w:spacing w:val="-5"/>
        </w:rPr>
        <w:t xml:space="preserve"> </w:t>
      </w:r>
      <w:r>
        <w:rPr>
          <w:color w:val="221F1F"/>
        </w:rPr>
        <w:t>property,</w:t>
      </w:r>
      <w:r>
        <w:rPr>
          <w:color w:val="221F1F"/>
          <w:spacing w:val="-6"/>
        </w:rPr>
        <w:t xml:space="preserve"> </w:t>
      </w:r>
      <w:r>
        <w:rPr>
          <w:color w:val="221F1F"/>
        </w:rPr>
        <w:t>including</w:t>
      </w:r>
      <w:r>
        <w:rPr>
          <w:color w:val="221F1F"/>
          <w:spacing w:val="-6"/>
        </w:rPr>
        <w:t xml:space="preserve"> </w:t>
      </w:r>
      <w:r>
        <w:rPr>
          <w:color w:val="221F1F"/>
        </w:rPr>
        <w:t>buildings</w:t>
      </w:r>
      <w:r>
        <w:rPr>
          <w:color w:val="221F1F"/>
          <w:spacing w:val="-6"/>
        </w:rPr>
        <w:t xml:space="preserve"> </w:t>
      </w:r>
      <w:r>
        <w:rPr>
          <w:color w:val="221F1F"/>
        </w:rPr>
        <w:t>that</w:t>
      </w:r>
      <w:r>
        <w:rPr>
          <w:color w:val="221F1F"/>
          <w:spacing w:val="-5"/>
        </w:rPr>
        <w:t xml:space="preserve"> </w:t>
      </w:r>
      <w:r>
        <w:rPr>
          <w:color w:val="221F1F"/>
        </w:rPr>
        <w:t>are</w:t>
      </w:r>
      <w:r>
        <w:rPr>
          <w:color w:val="221F1F"/>
          <w:spacing w:val="-6"/>
        </w:rPr>
        <w:t xml:space="preserve"> </w:t>
      </w:r>
      <w:r>
        <w:rPr>
          <w:color w:val="221F1F"/>
        </w:rPr>
        <w:t>not</w:t>
      </w:r>
      <w:r>
        <w:rPr>
          <w:color w:val="221F1F"/>
          <w:spacing w:val="-6"/>
        </w:rPr>
        <w:t xml:space="preserve"> </w:t>
      </w:r>
      <w:r>
        <w:rPr>
          <w:color w:val="221F1F"/>
        </w:rPr>
        <w:t>a</w:t>
      </w:r>
      <w:r>
        <w:rPr>
          <w:color w:val="221F1F"/>
          <w:spacing w:val="-7"/>
        </w:rPr>
        <w:t xml:space="preserve"> </w:t>
      </w:r>
      <w:r>
        <w:rPr>
          <w:color w:val="221F1F"/>
        </w:rPr>
        <w:t>subject</w:t>
      </w:r>
      <w:r>
        <w:rPr>
          <w:color w:val="221F1F"/>
          <w:spacing w:val="-5"/>
        </w:rPr>
        <w:t xml:space="preserve"> </w:t>
      </w:r>
      <w:r>
        <w:rPr>
          <w:color w:val="221F1F"/>
        </w:rPr>
        <w:t>of</w:t>
      </w:r>
      <w:r>
        <w:rPr>
          <w:color w:val="221F1F"/>
          <w:spacing w:val="-6"/>
        </w:rPr>
        <w:t xml:space="preserve"> </w:t>
      </w:r>
      <w:r>
        <w:rPr>
          <w:color w:val="221F1F"/>
        </w:rPr>
        <w:t>demolition.</w:t>
      </w:r>
      <w:r>
        <w:rPr>
          <w:color w:val="221F1F"/>
          <w:spacing w:val="-6"/>
        </w:rPr>
        <w:t xml:space="preserve"> </w:t>
      </w:r>
      <w:r>
        <w:rPr>
          <w:color w:val="221F1F"/>
        </w:rPr>
        <w:t>He</w:t>
      </w:r>
      <w:r>
        <w:rPr>
          <w:color w:val="221F1F"/>
          <w:spacing w:val="-7"/>
        </w:rPr>
        <w:t xml:space="preserve"> </w:t>
      </w:r>
      <w:r>
        <w:rPr>
          <w:color w:val="221F1F"/>
        </w:rPr>
        <w:t>shall</w:t>
      </w:r>
      <w:r>
        <w:rPr>
          <w:color w:val="221F1F"/>
          <w:spacing w:val="-8"/>
        </w:rPr>
        <w:t xml:space="preserve"> </w:t>
      </w:r>
      <w:r>
        <w:rPr>
          <w:color w:val="221F1F"/>
        </w:rPr>
        <w:t>make</w:t>
      </w:r>
      <w:r>
        <w:rPr>
          <w:color w:val="221F1F"/>
          <w:spacing w:val="-7"/>
        </w:rPr>
        <w:t xml:space="preserve"> </w:t>
      </w:r>
      <w:r>
        <w:rPr>
          <w:color w:val="221F1F"/>
        </w:rPr>
        <w:t>good</w:t>
      </w:r>
      <w:r>
        <w:rPr>
          <w:color w:val="221F1F"/>
          <w:spacing w:val="-9"/>
        </w:rPr>
        <w:t xml:space="preserve"> </w:t>
      </w:r>
      <w:r>
        <w:rPr>
          <w:color w:val="221F1F"/>
        </w:rPr>
        <w:t>at his own cost damage to persons and property caused there on, and he shall indemnify the Procuring Entity against any loss or claim that may arise.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before="222"/>
      </w:pPr>
      <w:r>
        <w:rPr>
          <w:noProof/>
        </w:rPr>
        <w:lastRenderedPageBreak/>
        <mc:AlternateContent>
          <mc:Choice Requires="wpg">
            <w:drawing>
              <wp:anchor distT="0" distB="0" distL="0" distR="0" simplePos="0" relativeHeight="251661824" behindDoc="1" locked="0" layoutInCell="1" allowOverlap="1">
                <wp:simplePos x="0" y="0"/>
                <wp:positionH relativeFrom="page">
                  <wp:posOffset>0</wp:posOffset>
                </wp:positionH>
                <wp:positionV relativeFrom="page">
                  <wp:posOffset>10238638</wp:posOffset>
                </wp:positionV>
                <wp:extent cx="7561580" cy="31115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285" name="Graphic 285"/>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286" name="Graphic 286"/>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4FB95776" id="Group 284" o:spid="_x0000_s1026" style="position:absolute;margin-left:0;margin-top:806.2pt;width:595.4pt;height:24.5pt;z-index:-25165465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">
                <v:shape id="Graphic 285"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" path="m946150,l,,,153670r7620,48895l29845,245110r33020,33020l105409,300355r48261,7620l946150,307975,946150,xe" fillcolor="#011f5e" stroked="f">
                  <v:path arrowok="t"/>
                </v:shape>
                <v:shape id="Graphic 286"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7F6DF9" w:rsidRDefault="00A43FBC">
      <w:pPr>
        <w:pStyle w:val="ListParagraph"/>
        <w:numPr>
          <w:ilvl w:val="1"/>
          <w:numId w:val="125"/>
        </w:numPr>
        <w:tabs>
          <w:tab w:val="left" w:pos="1132"/>
          <w:tab w:val="left" w:pos="1157"/>
        </w:tabs>
        <w:spacing w:line="230" w:lineRule="auto"/>
        <w:ind w:right="559" w:hanging="443"/>
        <w:jc w:val="both"/>
      </w:pPr>
      <w:r>
        <w:rPr>
          <w:color w:val="221F1F"/>
        </w:rPr>
        <w:t>The Contractor shall take such steps and exercise such</w:t>
      </w:r>
      <w:r>
        <w:rPr>
          <w:color w:val="221F1F"/>
          <w:spacing w:val="-1"/>
        </w:rPr>
        <w:t xml:space="preserve"> </w:t>
      </w:r>
      <w:r>
        <w:rPr>
          <w:color w:val="221F1F"/>
        </w:rPr>
        <w:t>care and diligence</w:t>
      </w:r>
      <w:r>
        <w:rPr>
          <w:color w:val="221F1F"/>
          <w:spacing w:val="-1"/>
        </w:rPr>
        <w:t xml:space="preserve"> </w:t>
      </w:r>
      <w:r>
        <w:rPr>
          <w:color w:val="221F1F"/>
        </w:rPr>
        <w:t>as</w:t>
      </w:r>
      <w:r>
        <w:rPr>
          <w:color w:val="221F1F"/>
          <w:spacing w:val="-1"/>
        </w:rPr>
        <w:t xml:space="preserve"> </w:t>
      </w:r>
      <w:r>
        <w:rPr>
          <w:color w:val="221F1F"/>
        </w:rPr>
        <w:t>to</w:t>
      </w:r>
      <w:r>
        <w:rPr>
          <w:color w:val="221F1F"/>
          <w:spacing w:val="-1"/>
        </w:rPr>
        <w:t xml:space="preserve"> </w:t>
      </w:r>
      <w:r>
        <w:rPr>
          <w:color w:val="221F1F"/>
        </w:rPr>
        <w:t>minimize nuisance</w:t>
      </w:r>
      <w:r>
        <w:rPr>
          <w:color w:val="221F1F"/>
          <w:spacing w:val="-1"/>
        </w:rPr>
        <w:t xml:space="preserve"> </w:t>
      </w:r>
      <w:r>
        <w:rPr>
          <w:color w:val="221F1F"/>
        </w:rPr>
        <w:t>arising</w:t>
      </w:r>
      <w:r>
        <w:rPr>
          <w:color w:val="221F1F"/>
          <w:spacing w:val="-1"/>
        </w:rPr>
        <w:t xml:space="preserve"> </w:t>
      </w:r>
      <w:r>
        <w:rPr>
          <w:color w:val="221F1F"/>
        </w:rPr>
        <w:t>from dust, noise or any other cause to the occupiers of the existing and adjacent property. He must provide such temporary and special screens and tarpaulins or gummy bags, hoarding, barriers, warning signs etc. as he considers necessary and sufficient for the protection of the existing and adjacent property and or prevention of nuisance etc. as directed by Engineer.</w:t>
      </w:r>
    </w:p>
    <w:p w:rsidR="007F6DF9" w:rsidRDefault="00A43FBC">
      <w:pPr>
        <w:pStyle w:val="ListParagraph"/>
        <w:numPr>
          <w:ilvl w:val="1"/>
          <w:numId w:val="125"/>
        </w:numPr>
        <w:tabs>
          <w:tab w:val="left" w:pos="1132"/>
          <w:tab w:val="left" w:pos="1157"/>
        </w:tabs>
        <w:spacing w:before="238" w:line="230" w:lineRule="auto"/>
        <w:ind w:right="560" w:hanging="443"/>
        <w:jc w:val="both"/>
      </w:pPr>
      <w:r>
        <w:rPr>
          <w:color w:val="221F1F"/>
        </w:rPr>
        <w:t>The Contractors attention is drawn to the standards levy order which was amended on 15</w:t>
      </w:r>
      <w:proofErr w:type="spellStart"/>
      <w:r>
        <w:rPr>
          <w:color w:val="221F1F"/>
          <w:position w:val="11"/>
          <w:sz w:val="11"/>
        </w:rPr>
        <w:t>th</w:t>
      </w:r>
      <w:proofErr w:type="spellEnd"/>
      <w:r>
        <w:rPr>
          <w:color w:val="221F1F"/>
        </w:rPr>
        <w:t>October 1998.Legal notice No.154 of 1998. The Contractor is required to pay a monthly level of 0.2% of his factory price of construction works with effect from January 1999. Tenderer shall allow for this in the build-</w:t>
      </w:r>
      <w:proofErr w:type="spellStart"/>
      <w:r>
        <w:rPr>
          <w:color w:val="221F1F"/>
        </w:rPr>
        <w:t>upo</w:t>
      </w:r>
      <w:proofErr w:type="spellEnd"/>
      <w:r>
        <w:rPr>
          <w:color w:val="221F1F"/>
        </w:rPr>
        <w:t xml:space="preserve"> f his rates.</w:t>
      </w:r>
    </w:p>
    <w:p w:rsidR="007F6DF9" w:rsidRDefault="00A43FBC">
      <w:pPr>
        <w:pStyle w:val="ListParagraph"/>
        <w:numPr>
          <w:ilvl w:val="1"/>
          <w:numId w:val="125"/>
        </w:numPr>
        <w:tabs>
          <w:tab w:val="left" w:pos="1132"/>
          <w:tab w:val="left" w:pos="1157"/>
        </w:tabs>
        <w:spacing w:before="246" w:line="230" w:lineRule="auto"/>
        <w:ind w:right="559" w:hanging="443"/>
        <w:jc w:val="both"/>
      </w:pPr>
      <w:r>
        <w:rPr>
          <w:color w:val="221F1F"/>
        </w:rPr>
        <w:t xml:space="preserve">The Contractor shall provide temporary sheds, offices </w:t>
      </w:r>
      <w:proofErr w:type="spellStart"/>
      <w:r>
        <w:rPr>
          <w:color w:val="221F1F"/>
        </w:rPr>
        <w:t>meshrooms</w:t>
      </w:r>
      <w:proofErr w:type="spellEnd"/>
      <w:r>
        <w:rPr>
          <w:color w:val="221F1F"/>
        </w:rPr>
        <w:t>, sanitary, accommodation and other temporary buildings for the use of the contractor and sub-contractors, including lighting furniture equipment and attendance.</w:t>
      </w:r>
    </w:p>
    <w:p w:rsidR="007F6DF9" w:rsidRDefault="00A43FBC">
      <w:pPr>
        <w:pStyle w:val="ListParagraph"/>
        <w:numPr>
          <w:ilvl w:val="1"/>
          <w:numId w:val="125"/>
        </w:numPr>
        <w:tabs>
          <w:tab w:val="left" w:pos="1132"/>
          <w:tab w:val="left" w:pos="1157"/>
        </w:tabs>
        <w:spacing w:before="243" w:line="230" w:lineRule="auto"/>
        <w:ind w:right="560" w:hanging="443"/>
        <w:jc w:val="both"/>
      </w:pPr>
      <w:r>
        <w:rPr>
          <w:color w:val="221F1F"/>
        </w:rPr>
        <w:t>Contractor shall provide/build labor camp sat areas to be agreed with the Engineer. Labor camps shall be complete with sanitary accommodation and fencing gates.</w:t>
      </w:r>
    </w:p>
    <w:p w:rsidR="007F6DF9" w:rsidRDefault="00A43FBC">
      <w:pPr>
        <w:pStyle w:val="ListParagraph"/>
        <w:numPr>
          <w:ilvl w:val="1"/>
          <w:numId w:val="125"/>
        </w:numPr>
        <w:tabs>
          <w:tab w:val="left" w:pos="1132"/>
          <w:tab w:val="left" w:pos="1157"/>
        </w:tabs>
        <w:spacing w:before="245" w:line="230" w:lineRule="auto"/>
        <w:ind w:right="562" w:hanging="443"/>
        <w:jc w:val="both"/>
      </w:pPr>
      <w:r>
        <w:rPr>
          <w:color w:val="221F1F"/>
        </w:rPr>
        <w:t>The Contractor must provide the necessary toilet facilities to the requirement and satisfaction of the Health Authorities and maintain the same in a thoroughly clean and sanitary condition and pay all conservancy fees during the period of the Works and remove when no longer required.</w:t>
      </w:r>
    </w:p>
    <w:p w:rsidR="007F6DF9" w:rsidRDefault="00A43FBC">
      <w:pPr>
        <w:pStyle w:val="ListParagraph"/>
        <w:numPr>
          <w:ilvl w:val="1"/>
          <w:numId w:val="125"/>
        </w:numPr>
        <w:tabs>
          <w:tab w:val="left" w:pos="1132"/>
          <w:tab w:val="left" w:pos="1157"/>
        </w:tabs>
        <w:spacing w:before="246" w:line="230" w:lineRule="auto"/>
        <w:ind w:right="558" w:hanging="443"/>
        <w:jc w:val="both"/>
      </w:pPr>
      <w:r>
        <w:rPr>
          <w:color w:val="221F1F"/>
        </w:rPr>
        <w:t>The Contractor shall provide at his own risk and cost all watching and lighting as necessary to safeguard the Works, Plant and materials against damage and theft.</w:t>
      </w:r>
    </w:p>
    <w:p w:rsidR="007F6DF9" w:rsidRDefault="00A43FBC">
      <w:pPr>
        <w:pStyle w:val="ListParagraph"/>
        <w:numPr>
          <w:ilvl w:val="1"/>
          <w:numId w:val="125"/>
        </w:numPr>
        <w:tabs>
          <w:tab w:val="left" w:pos="1132"/>
          <w:tab w:val="left" w:pos="1157"/>
        </w:tabs>
        <w:spacing w:before="244" w:line="230" w:lineRule="auto"/>
        <w:ind w:right="558" w:hanging="443"/>
        <w:jc w:val="both"/>
      </w:pPr>
      <w:r>
        <w:rPr>
          <w:color w:val="221F1F"/>
        </w:rPr>
        <w:t>The Contractor shall provide all necessary hoists, tackle, plant, equipment, vehicles, tools and appliances of every</w:t>
      </w:r>
      <w:r>
        <w:rPr>
          <w:color w:val="221F1F"/>
          <w:spacing w:val="-14"/>
        </w:rPr>
        <w:t xml:space="preserve"> </w:t>
      </w:r>
      <w:r>
        <w:rPr>
          <w:color w:val="221F1F"/>
        </w:rPr>
        <w:t>description</w:t>
      </w:r>
      <w:r>
        <w:rPr>
          <w:color w:val="221F1F"/>
          <w:spacing w:val="-14"/>
        </w:rPr>
        <w:t xml:space="preserve"> </w:t>
      </w:r>
      <w:r>
        <w:rPr>
          <w:color w:val="221F1F"/>
        </w:rPr>
        <w:t>for</w:t>
      </w:r>
      <w:r>
        <w:rPr>
          <w:color w:val="221F1F"/>
          <w:spacing w:val="-14"/>
        </w:rPr>
        <w:t xml:space="preserve"> </w:t>
      </w:r>
      <w:r>
        <w:rPr>
          <w:color w:val="221F1F"/>
        </w:rPr>
        <w:t>the</w:t>
      </w:r>
      <w:r>
        <w:rPr>
          <w:color w:val="221F1F"/>
          <w:spacing w:val="-13"/>
        </w:rPr>
        <w:t xml:space="preserve"> </w:t>
      </w:r>
      <w:r>
        <w:rPr>
          <w:color w:val="221F1F"/>
        </w:rPr>
        <w:t>due</w:t>
      </w:r>
      <w:r>
        <w:rPr>
          <w:color w:val="221F1F"/>
          <w:spacing w:val="-14"/>
        </w:rPr>
        <w:t xml:space="preserve"> </w:t>
      </w:r>
      <w:r>
        <w:rPr>
          <w:color w:val="221F1F"/>
        </w:rPr>
        <w:t>and</w:t>
      </w:r>
      <w:r>
        <w:rPr>
          <w:color w:val="221F1F"/>
          <w:spacing w:val="-14"/>
        </w:rPr>
        <w:t xml:space="preserve"> </w:t>
      </w:r>
      <w:r>
        <w:rPr>
          <w:color w:val="221F1F"/>
        </w:rPr>
        <w:t>satisfactory</w:t>
      </w:r>
      <w:r>
        <w:rPr>
          <w:color w:val="221F1F"/>
          <w:spacing w:val="-14"/>
        </w:rPr>
        <w:t xml:space="preserve"> </w:t>
      </w:r>
      <w:r>
        <w:rPr>
          <w:color w:val="221F1F"/>
        </w:rPr>
        <w:t>completion</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and</w:t>
      </w:r>
      <w:r>
        <w:rPr>
          <w:color w:val="221F1F"/>
          <w:spacing w:val="-13"/>
        </w:rPr>
        <w:t xml:space="preserve"> </w:t>
      </w:r>
      <w:r>
        <w:rPr>
          <w:color w:val="221F1F"/>
        </w:rPr>
        <w:t>shall</w:t>
      </w:r>
      <w:r>
        <w:rPr>
          <w:color w:val="221F1F"/>
          <w:spacing w:val="-14"/>
        </w:rPr>
        <w:t xml:space="preserve"> </w:t>
      </w:r>
      <w:r>
        <w:rPr>
          <w:color w:val="221F1F"/>
        </w:rPr>
        <w:t>remove</w:t>
      </w:r>
      <w:r>
        <w:rPr>
          <w:color w:val="221F1F"/>
          <w:spacing w:val="-14"/>
        </w:rPr>
        <w:t xml:space="preserve"> </w:t>
      </w:r>
      <w:r>
        <w:rPr>
          <w:color w:val="221F1F"/>
        </w:rPr>
        <w:t>the</w:t>
      </w:r>
      <w:r>
        <w:rPr>
          <w:color w:val="221F1F"/>
          <w:spacing w:val="-14"/>
        </w:rPr>
        <w:t xml:space="preserve"> </w:t>
      </w:r>
      <w:r>
        <w:rPr>
          <w:color w:val="221F1F"/>
        </w:rPr>
        <w:t>same</w:t>
      </w:r>
      <w:r>
        <w:rPr>
          <w:color w:val="221F1F"/>
          <w:spacing w:val="-13"/>
        </w:rPr>
        <w:t xml:space="preserve"> </w:t>
      </w:r>
      <w:r>
        <w:rPr>
          <w:color w:val="221F1F"/>
        </w:rPr>
        <w:t>on</w:t>
      </w:r>
      <w:r>
        <w:rPr>
          <w:color w:val="221F1F"/>
          <w:spacing w:val="-14"/>
        </w:rPr>
        <w:t xml:space="preserve"> </w:t>
      </w:r>
      <w:r>
        <w:rPr>
          <w:color w:val="221F1F"/>
        </w:rPr>
        <w:t>completion. All such plant, tools and equipment shall comply with all regulations in force throughout the period of the Contract and shall be altered or adopted during the Contract period as may be necessary to comply with any amendments in or additions to such regulations.</w:t>
      </w:r>
    </w:p>
    <w:p w:rsidR="007F6DF9" w:rsidRDefault="00A43FBC">
      <w:pPr>
        <w:pStyle w:val="ListParagraph"/>
        <w:numPr>
          <w:ilvl w:val="1"/>
          <w:numId w:val="125"/>
        </w:numPr>
        <w:tabs>
          <w:tab w:val="left" w:pos="1133"/>
          <w:tab w:val="left" w:pos="1157"/>
        </w:tabs>
        <w:spacing w:before="245" w:line="230" w:lineRule="auto"/>
        <w:ind w:right="558"/>
        <w:jc w:val="both"/>
      </w:pPr>
      <w:r>
        <w:rPr>
          <w:color w:val="221F1F"/>
        </w:rPr>
        <w:t>Provide, erect and maintain all necessary scaffolding, sufficiently strong and efficient for the due performance of the works, including Sub-Contract Works,</w:t>
      </w:r>
      <w:r>
        <w:rPr>
          <w:color w:val="221F1F"/>
          <w:spacing w:val="-1"/>
        </w:rPr>
        <w:t xml:space="preserve"> </w:t>
      </w:r>
      <w:r>
        <w:rPr>
          <w:color w:val="221F1F"/>
        </w:rPr>
        <w:t>provide special scaffolding as required by Sub-Contractors, alter and</w:t>
      </w:r>
      <w:r>
        <w:rPr>
          <w:color w:val="221F1F"/>
          <w:spacing w:val="-2"/>
        </w:rPr>
        <w:t xml:space="preserve"> </w:t>
      </w:r>
      <w:r>
        <w:rPr>
          <w:color w:val="221F1F"/>
        </w:rPr>
        <w:t>adopt</w:t>
      </w:r>
      <w:r>
        <w:rPr>
          <w:color w:val="221F1F"/>
          <w:spacing w:val="-4"/>
        </w:rPr>
        <w:t xml:space="preserve"> </w:t>
      </w:r>
      <w:r>
        <w:rPr>
          <w:color w:val="221F1F"/>
        </w:rPr>
        <w:t>all</w:t>
      </w:r>
      <w:r>
        <w:rPr>
          <w:color w:val="221F1F"/>
          <w:spacing w:val="-1"/>
        </w:rPr>
        <w:t xml:space="preserve"> </w:t>
      </w:r>
      <w:r>
        <w:rPr>
          <w:color w:val="221F1F"/>
        </w:rPr>
        <w:t>scaffolding</w:t>
      </w:r>
      <w:r>
        <w:rPr>
          <w:color w:val="221F1F"/>
          <w:spacing w:val="-2"/>
        </w:rPr>
        <w:t xml:space="preserve"> </w:t>
      </w:r>
      <w:r>
        <w:rPr>
          <w:color w:val="221F1F"/>
        </w:rPr>
        <w:t>as</w:t>
      </w:r>
      <w:r>
        <w:rPr>
          <w:color w:val="221F1F"/>
          <w:spacing w:val="-4"/>
        </w:rPr>
        <w:t xml:space="preserve"> </w:t>
      </w:r>
      <w:r>
        <w:rPr>
          <w:color w:val="221F1F"/>
        </w:rPr>
        <w:t>and</w:t>
      </w:r>
      <w:r>
        <w:rPr>
          <w:color w:val="221F1F"/>
          <w:spacing w:val="-2"/>
        </w:rPr>
        <w:t xml:space="preserve"> </w:t>
      </w:r>
      <w:r>
        <w:rPr>
          <w:color w:val="221F1F"/>
        </w:rPr>
        <w:t>when</w:t>
      </w:r>
      <w:r>
        <w:rPr>
          <w:color w:val="221F1F"/>
          <w:spacing w:val="-2"/>
        </w:rPr>
        <w:t xml:space="preserve"> </w:t>
      </w:r>
      <w:r>
        <w:rPr>
          <w:color w:val="221F1F"/>
        </w:rPr>
        <w:t>required</w:t>
      </w:r>
      <w:r>
        <w:rPr>
          <w:color w:val="221F1F"/>
          <w:spacing w:val="-4"/>
        </w:rPr>
        <w:t xml:space="preserve"> </w:t>
      </w:r>
      <w:r>
        <w:rPr>
          <w:color w:val="221F1F"/>
        </w:rPr>
        <w:t>during</w:t>
      </w:r>
      <w:r>
        <w:rPr>
          <w:color w:val="221F1F"/>
          <w:spacing w:val="-5"/>
        </w:rPr>
        <w:t xml:space="preserve"> </w:t>
      </w:r>
      <w:r>
        <w:rPr>
          <w:color w:val="221F1F"/>
        </w:rPr>
        <w:t>the Works,</w:t>
      </w:r>
      <w:r>
        <w:rPr>
          <w:color w:val="221F1F"/>
          <w:spacing w:val="-9"/>
        </w:rPr>
        <w:t xml:space="preserve"> </w:t>
      </w:r>
      <w:r>
        <w:rPr>
          <w:color w:val="221F1F"/>
        </w:rPr>
        <w:t>and</w:t>
      </w:r>
      <w:r>
        <w:rPr>
          <w:color w:val="221F1F"/>
          <w:spacing w:val="-4"/>
        </w:rPr>
        <w:t xml:space="preserve"> </w:t>
      </w:r>
      <w:r>
        <w:rPr>
          <w:color w:val="221F1F"/>
        </w:rPr>
        <w:t>remove</w:t>
      </w:r>
      <w:r>
        <w:rPr>
          <w:color w:val="221F1F"/>
          <w:spacing w:val="-4"/>
        </w:rPr>
        <w:t xml:space="preserve"> </w:t>
      </w:r>
      <w:r>
        <w:rPr>
          <w:color w:val="221F1F"/>
        </w:rPr>
        <w:t>on</w:t>
      </w:r>
      <w:r>
        <w:rPr>
          <w:color w:val="221F1F"/>
          <w:spacing w:val="-5"/>
        </w:rPr>
        <w:t xml:space="preserve"> </w:t>
      </w:r>
      <w:r>
        <w:rPr>
          <w:color w:val="221F1F"/>
        </w:rPr>
        <w:t>completion.</w:t>
      </w:r>
      <w:r>
        <w:rPr>
          <w:color w:val="221F1F"/>
          <w:spacing w:val="-5"/>
        </w:rPr>
        <w:t xml:space="preserve"> </w:t>
      </w:r>
      <w:r>
        <w:rPr>
          <w:color w:val="221F1F"/>
        </w:rPr>
        <w:t>No</w:t>
      </w:r>
      <w:r>
        <w:rPr>
          <w:color w:val="221F1F"/>
          <w:spacing w:val="-2"/>
        </w:rPr>
        <w:t xml:space="preserve"> </w:t>
      </w:r>
      <w:r>
        <w:rPr>
          <w:color w:val="221F1F"/>
        </w:rPr>
        <w:t>scaffolding</w:t>
      </w:r>
      <w:r>
        <w:rPr>
          <w:color w:val="221F1F"/>
          <w:spacing w:val="-5"/>
        </w:rPr>
        <w:t xml:space="preserve"> </w:t>
      </w:r>
      <w:r>
        <w:rPr>
          <w:color w:val="221F1F"/>
        </w:rPr>
        <w:t>is measured here in after and the Contractor must allow in his rates for this.</w:t>
      </w:r>
    </w:p>
    <w:p w:rsidR="007F6DF9" w:rsidRDefault="00A43FBC">
      <w:pPr>
        <w:pStyle w:val="ListParagraph"/>
        <w:numPr>
          <w:ilvl w:val="1"/>
          <w:numId w:val="125"/>
        </w:numPr>
        <w:tabs>
          <w:tab w:val="left" w:pos="1133"/>
          <w:tab w:val="left" w:pos="1157"/>
        </w:tabs>
        <w:spacing w:before="245" w:line="230" w:lineRule="auto"/>
        <w:ind w:right="559"/>
        <w:jc w:val="both"/>
      </w:pPr>
      <w:r>
        <w:rPr>
          <w:color w:val="221F1F"/>
        </w:rPr>
        <w:t>The</w:t>
      </w:r>
      <w:r>
        <w:rPr>
          <w:color w:val="221F1F"/>
          <w:spacing w:val="-10"/>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take</w:t>
      </w:r>
      <w:r>
        <w:rPr>
          <w:color w:val="221F1F"/>
          <w:spacing w:val="-11"/>
        </w:rPr>
        <w:t xml:space="preserve"> </w:t>
      </w:r>
      <w:r>
        <w:rPr>
          <w:color w:val="221F1F"/>
        </w:rPr>
        <w:t>all</w:t>
      </w:r>
      <w:r>
        <w:rPr>
          <w:color w:val="221F1F"/>
          <w:spacing w:val="-8"/>
        </w:rPr>
        <w:t xml:space="preserve"> </w:t>
      </w:r>
      <w:r>
        <w:rPr>
          <w:color w:val="221F1F"/>
        </w:rPr>
        <w:t>necessary</w:t>
      </w:r>
      <w:r>
        <w:rPr>
          <w:color w:val="221F1F"/>
          <w:spacing w:val="-11"/>
        </w:rPr>
        <w:t xml:space="preserve"> </w:t>
      </w:r>
      <w:r>
        <w:rPr>
          <w:color w:val="221F1F"/>
        </w:rPr>
        <w:t>precautions</w:t>
      </w:r>
      <w:r>
        <w:rPr>
          <w:color w:val="221F1F"/>
          <w:spacing w:val="-8"/>
        </w:rPr>
        <w:t xml:space="preserve"> </w:t>
      </w:r>
      <w:r>
        <w:rPr>
          <w:color w:val="221F1F"/>
        </w:rPr>
        <w:t>such</w:t>
      </w:r>
      <w:r>
        <w:rPr>
          <w:color w:val="221F1F"/>
          <w:spacing w:val="-9"/>
        </w:rPr>
        <w:t xml:space="preserve"> </w:t>
      </w:r>
      <w:r>
        <w:rPr>
          <w:color w:val="221F1F"/>
        </w:rPr>
        <w:t>as</w:t>
      </w:r>
      <w:r>
        <w:rPr>
          <w:color w:val="221F1F"/>
          <w:spacing w:val="-11"/>
        </w:rPr>
        <w:t xml:space="preserve"> </w:t>
      </w:r>
      <w:proofErr w:type="spellStart"/>
      <w:r>
        <w:rPr>
          <w:color w:val="221F1F"/>
        </w:rPr>
        <w:t>temporaryf</w:t>
      </w:r>
      <w:proofErr w:type="spellEnd"/>
      <w:r>
        <w:rPr>
          <w:color w:val="221F1F"/>
          <w:spacing w:val="-8"/>
        </w:rPr>
        <w:t xml:space="preserve"> </w:t>
      </w:r>
      <w:proofErr w:type="spellStart"/>
      <w:r>
        <w:rPr>
          <w:color w:val="221F1F"/>
        </w:rPr>
        <w:t>encing</w:t>
      </w:r>
      <w:proofErr w:type="spellEnd"/>
      <w:r>
        <w:rPr>
          <w:color w:val="221F1F"/>
        </w:rPr>
        <w:t>,</w:t>
      </w:r>
      <w:r>
        <w:rPr>
          <w:color w:val="221F1F"/>
          <w:spacing w:val="-9"/>
        </w:rPr>
        <w:t xml:space="preserve"> </w:t>
      </w:r>
      <w:r>
        <w:rPr>
          <w:color w:val="221F1F"/>
        </w:rPr>
        <w:t>hoarding</w:t>
      </w:r>
      <w:r>
        <w:rPr>
          <w:color w:val="221F1F"/>
          <w:spacing w:val="-11"/>
        </w:rPr>
        <w:t xml:space="preserve"> </w:t>
      </w:r>
      <w:r>
        <w:rPr>
          <w:color w:val="221F1F"/>
        </w:rPr>
        <w:t>fans,</w:t>
      </w:r>
      <w:r>
        <w:rPr>
          <w:color w:val="221F1F"/>
          <w:spacing w:val="-9"/>
        </w:rPr>
        <w:t xml:space="preserve"> </w:t>
      </w:r>
      <w:r>
        <w:rPr>
          <w:color w:val="221F1F"/>
        </w:rPr>
        <w:t>planked</w:t>
      </w:r>
      <w:r>
        <w:rPr>
          <w:color w:val="221F1F"/>
          <w:spacing w:val="-11"/>
        </w:rPr>
        <w:t xml:space="preserve"> </w:t>
      </w:r>
      <w:r>
        <w:rPr>
          <w:color w:val="221F1F"/>
        </w:rPr>
        <w:t>footways, guard–rails</w:t>
      </w:r>
      <w:r>
        <w:rPr>
          <w:color w:val="221F1F"/>
          <w:spacing w:val="-4"/>
        </w:rPr>
        <w:t xml:space="preserve"> </w:t>
      </w:r>
      <w:r>
        <w:rPr>
          <w:color w:val="221F1F"/>
        </w:rPr>
        <w:t>gantries</w:t>
      </w:r>
      <w:r>
        <w:rPr>
          <w:color w:val="221F1F"/>
          <w:spacing w:val="-6"/>
        </w:rPr>
        <w:t xml:space="preserve"> </w:t>
      </w:r>
      <w:r>
        <w:rPr>
          <w:color w:val="221F1F"/>
        </w:rPr>
        <w:t>screen,</w:t>
      </w:r>
      <w:r>
        <w:rPr>
          <w:color w:val="221F1F"/>
          <w:spacing w:val="-6"/>
        </w:rPr>
        <w:t xml:space="preserve"> </w:t>
      </w:r>
      <w:r>
        <w:rPr>
          <w:color w:val="221F1F"/>
        </w:rPr>
        <w:t>etc.,</w:t>
      </w:r>
      <w:r>
        <w:rPr>
          <w:color w:val="221F1F"/>
          <w:spacing w:val="-6"/>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safe</w:t>
      </w:r>
      <w:r>
        <w:rPr>
          <w:color w:val="221F1F"/>
          <w:spacing w:val="-4"/>
        </w:rPr>
        <w:t xml:space="preserve"> </w:t>
      </w:r>
      <w:r>
        <w:rPr>
          <w:color w:val="221F1F"/>
        </w:rPr>
        <w:t>custody</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materials</w:t>
      </w:r>
      <w:r>
        <w:rPr>
          <w:color w:val="221F1F"/>
          <w:spacing w:val="-4"/>
        </w:rPr>
        <w:t xml:space="preserve"> </w:t>
      </w:r>
      <w:r>
        <w:rPr>
          <w:color w:val="221F1F"/>
        </w:rPr>
        <w:t>and</w:t>
      </w:r>
      <w:r>
        <w:rPr>
          <w:color w:val="221F1F"/>
          <w:spacing w:val="-4"/>
        </w:rPr>
        <w:t xml:space="preserve"> </w:t>
      </w:r>
      <w:r>
        <w:rPr>
          <w:color w:val="221F1F"/>
        </w:rPr>
        <w:t>public</w:t>
      </w:r>
      <w:r>
        <w:rPr>
          <w:color w:val="221F1F"/>
          <w:spacing w:val="-4"/>
        </w:rPr>
        <w:t xml:space="preserve"> </w:t>
      </w:r>
      <w:r>
        <w:rPr>
          <w:color w:val="221F1F"/>
        </w:rPr>
        <w:t>protection</w:t>
      </w:r>
      <w:r>
        <w:rPr>
          <w:color w:val="221F1F"/>
          <w:spacing w:val="-4"/>
        </w:rPr>
        <w:t xml:space="preserve"> </w:t>
      </w:r>
      <w:r>
        <w:rPr>
          <w:color w:val="221F1F"/>
        </w:rPr>
        <w:t>and</w:t>
      </w:r>
      <w:r>
        <w:rPr>
          <w:color w:val="221F1F"/>
          <w:spacing w:val="-5"/>
        </w:rPr>
        <w:t xml:space="preserve"> </w:t>
      </w:r>
      <w:r>
        <w:rPr>
          <w:color w:val="221F1F"/>
        </w:rPr>
        <w:t xml:space="preserve">adjacent </w:t>
      </w:r>
      <w:r>
        <w:rPr>
          <w:color w:val="221F1F"/>
          <w:spacing w:val="-2"/>
        </w:rPr>
        <w:t>properties.</w:t>
      </w:r>
    </w:p>
    <w:p w:rsidR="007F6DF9" w:rsidRDefault="00A43FBC">
      <w:pPr>
        <w:pStyle w:val="ListParagraph"/>
        <w:numPr>
          <w:ilvl w:val="1"/>
          <w:numId w:val="125"/>
        </w:numPr>
        <w:tabs>
          <w:tab w:val="left" w:pos="1133"/>
          <w:tab w:val="left" w:pos="1157"/>
        </w:tabs>
        <w:spacing w:before="246" w:line="230" w:lineRule="auto"/>
        <w:ind w:right="558" w:hanging="411"/>
        <w:jc w:val="both"/>
      </w:pPr>
      <w:r>
        <w:rPr>
          <w:color w:val="221F1F"/>
        </w:rPr>
        <w:t>Cover</w:t>
      </w:r>
      <w:r>
        <w:rPr>
          <w:color w:val="221F1F"/>
          <w:spacing w:val="-9"/>
        </w:rPr>
        <w:t xml:space="preserve"> </w:t>
      </w:r>
      <w:r>
        <w:rPr>
          <w:color w:val="221F1F"/>
        </w:rPr>
        <w:t>up</w:t>
      </w:r>
      <w:r>
        <w:rPr>
          <w:color w:val="221F1F"/>
          <w:spacing w:val="-13"/>
        </w:rPr>
        <w:t xml:space="preserve"> </w:t>
      </w:r>
      <w:r>
        <w:rPr>
          <w:color w:val="221F1F"/>
        </w:rPr>
        <w:t>all</w:t>
      </w:r>
      <w:r>
        <w:rPr>
          <w:color w:val="221F1F"/>
          <w:spacing w:val="-12"/>
        </w:rPr>
        <w:t xml:space="preserve"> </w:t>
      </w:r>
      <w:r>
        <w:rPr>
          <w:color w:val="221F1F"/>
        </w:rPr>
        <w:t>and</w:t>
      </w:r>
      <w:r>
        <w:rPr>
          <w:color w:val="221F1F"/>
          <w:spacing w:val="-10"/>
        </w:rPr>
        <w:t xml:space="preserve"> </w:t>
      </w:r>
      <w:r>
        <w:rPr>
          <w:color w:val="221F1F"/>
        </w:rPr>
        <w:t>protect</w:t>
      </w:r>
      <w:r>
        <w:rPr>
          <w:color w:val="221F1F"/>
          <w:spacing w:val="-9"/>
        </w:rPr>
        <w:t xml:space="preserve"> </w:t>
      </w:r>
      <w:r>
        <w:rPr>
          <w:color w:val="221F1F"/>
        </w:rPr>
        <w:t>from</w:t>
      </w:r>
      <w:r>
        <w:rPr>
          <w:color w:val="221F1F"/>
          <w:spacing w:val="-9"/>
        </w:rPr>
        <w:t xml:space="preserve"> </w:t>
      </w:r>
      <w:r>
        <w:rPr>
          <w:color w:val="221F1F"/>
        </w:rPr>
        <w:t>damage,</w:t>
      </w:r>
      <w:r>
        <w:rPr>
          <w:color w:val="221F1F"/>
          <w:spacing w:val="-12"/>
        </w:rPr>
        <w:t xml:space="preserve"> </w:t>
      </w:r>
      <w:r>
        <w:rPr>
          <w:color w:val="221F1F"/>
        </w:rPr>
        <w:t>including</w:t>
      </w:r>
      <w:r>
        <w:rPr>
          <w:color w:val="221F1F"/>
          <w:spacing w:val="-10"/>
        </w:rPr>
        <w:t xml:space="preserve"> </w:t>
      </w:r>
      <w:r>
        <w:rPr>
          <w:color w:val="221F1F"/>
        </w:rPr>
        <w:t>damage</w:t>
      </w:r>
      <w:r>
        <w:rPr>
          <w:color w:val="221F1F"/>
          <w:spacing w:val="-10"/>
        </w:rPr>
        <w:t xml:space="preserve"> </w:t>
      </w:r>
      <w:r>
        <w:rPr>
          <w:color w:val="221F1F"/>
        </w:rPr>
        <w:t>from</w:t>
      </w:r>
      <w:r>
        <w:rPr>
          <w:color w:val="221F1F"/>
          <w:spacing w:val="-12"/>
        </w:rPr>
        <w:t xml:space="preserve"> </w:t>
      </w:r>
      <w:proofErr w:type="spellStart"/>
      <w:r>
        <w:rPr>
          <w:color w:val="221F1F"/>
        </w:rPr>
        <w:t>in</w:t>
      </w:r>
      <w:r>
        <w:rPr>
          <w:color w:val="221F1F"/>
          <w:spacing w:val="-13"/>
        </w:rPr>
        <w:t xml:space="preserve"> </w:t>
      </w:r>
      <w:r>
        <w:rPr>
          <w:color w:val="221F1F"/>
        </w:rPr>
        <w:t>clement</w:t>
      </w:r>
      <w:proofErr w:type="spellEnd"/>
      <w:r>
        <w:rPr>
          <w:color w:val="221F1F"/>
          <w:spacing w:val="-11"/>
        </w:rPr>
        <w:t xml:space="preserve"> </w:t>
      </w:r>
      <w:r>
        <w:rPr>
          <w:color w:val="221F1F"/>
        </w:rPr>
        <w:t>weather,</w:t>
      </w:r>
      <w:r>
        <w:rPr>
          <w:color w:val="221F1F"/>
          <w:spacing w:val="-13"/>
        </w:rPr>
        <w:t xml:space="preserve"> </w:t>
      </w:r>
      <w:r>
        <w:rPr>
          <w:color w:val="221F1F"/>
        </w:rPr>
        <w:t>all</w:t>
      </w:r>
      <w:r>
        <w:rPr>
          <w:color w:val="221F1F"/>
          <w:spacing w:val="-9"/>
        </w:rPr>
        <w:t xml:space="preserve"> </w:t>
      </w:r>
      <w:r>
        <w:rPr>
          <w:color w:val="221F1F"/>
        </w:rPr>
        <w:t>finished</w:t>
      </w:r>
      <w:r>
        <w:rPr>
          <w:color w:val="221F1F"/>
          <w:spacing w:val="-13"/>
        </w:rPr>
        <w:t xml:space="preserve"> </w:t>
      </w:r>
      <w:r>
        <w:rPr>
          <w:color w:val="221F1F"/>
        </w:rPr>
        <w:t>work</w:t>
      </w:r>
      <w:r>
        <w:rPr>
          <w:color w:val="221F1F"/>
          <w:spacing w:val="-13"/>
        </w:rPr>
        <w:t xml:space="preserve"> </w:t>
      </w:r>
      <w:r>
        <w:rPr>
          <w:color w:val="221F1F"/>
        </w:rPr>
        <w:t>and</w:t>
      </w:r>
      <w:r>
        <w:rPr>
          <w:color w:val="221F1F"/>
          <w:spacing w:val="-10"/>
        </w:rPr>
        <w:t xml:space="preserve"> </w:t>
      </w:r>
      <w:r>
        <w:rPr>
          <w:color w:val="221F1F"/>
        </w:rPr>
        <w:t>unfixed materials, including that of</w:t>
      </w:r>
      <w:r>
        <w:rPr>
          <w:color w:val="221F1F"/>
          <w:spacing w:val="-1"/>
        </w:rPr>
        <w:t xml:space="preserve"> </w:t>
      </w:r>
      <w:r>
        <w:rPr>
          <w:color w:val="221F1F"/>
        </w:rPr>
        <w:t>Sub-Contractors, etc.,</w:t>
      </w:r>
      <w:r>
        <w:rPr>
          <w:color w:val="221F1F"/>
          <w:spacing w:val="-1"/>
        </w:rPr>
        <w:t xml:space="preserve"> </w:t>
      </w:r>
      <w:r>
        <w:rPr>
          <w:color w:val="221F1F"/>
        </w:rPr>
        <w:t xml:space="preserve">to the satisfaction of the Architect until the completion </w:t>
      </w:r>
      <w:proofErr w:type="spellStart"/>
      <w:r>
        <w:rPr>
          <w:color w:val="221F1F"/>
        </w:rPr>
        <w:t>ofthe</w:t>
      </w:r>
      <w:proofErr w:type="spellEnd"/>
      <w:r>
        <w:rPr>
          <w:color w:val="221F1F"/>
        </w:rPr>
        <w:t xml:space="preserve"> </w:t>
      </w:r>
      <w:r>
        <w:rPr>
          <w:color w:val="221F1F"/>
          <w:spacing w:val="-2"/>
        </w:rPr>
        <w:t>Contract.</w:t>
      </w:r>
    </w:p>
    <w:p w:rsidR="007F6DF9" w:rsidRDefault="00A43FBC">
      <w:pPr>
        <w:pStyle w:val="ListParagraph"/>
        <w:numPr>
          <w:ilvl w:val="1"/>
          <w:numId w:val="125"/>
        </w:numPr>
        <w:tabs>
          <w:tab w:val="left" w:pos="1133"/>
          <w:tab w:val="left" w:pos="1157"/>
        </w:tabs>
        <w:spacing w:before="244" w:line="230" w:lineRule="auto"/>
        <w:ind w:right="560"/>
        <w:jc w:val="both"/>
      </w:pPr>
      <w:r>
        <w:rPr>
          <w:color w:val="221F1F"/>
        </w:rPr>
        <w:t xml:space="preserve">The Contractor shall, after completion of the works, at his own expense, remove and clear away all surplus excavated demolition materials, plant, rubbish and unused materials and shall leave the whole of the Site and Works in a clean and tidy state to the satisfaction of the Engineer, sheds, camps, etc. Particular care shall be taken </w:t>
      </w:r>
      <w:proofErr w:type="spellStart"/>
      <w:r>
        <w:rPr>
          <w:color w:val="221F1F"/>
        </w:rPr>
        <w:t>toleavecleanallfloors</w:t>
      </w:r>
      <w:proofErr w:type="spellEnd"/>
      <w:r>
        <w:rPr>
          <w:color w:val="221F1F"/>
        </w:rPr>
        <w:t xml:space="preserve"> and windows and tore move all paint and cement all </w:t>
      </w:r>
      <w:proofErr w:type="spellStart"/>
      <w:r>
        <w:rPr>
          <w:color w:val="221F1F"/>
        </w:rPr>
        <w:t>rubbis</w:t>
      </w:r>
      <w:proofErr w:type="spellEnd"/>
      <w:r>
        <w:rPr>
          <w:color w:val="221F1F"/>
        </w:rPr>
        <w:t xml:space="preserve"> hand dirt as it accumulates. The Contractor is to find his own dump and shall pay all charges in connection there with.</w:t>
      </w:r>
    </w:p>
    <w:p w:rsidR="007F6DF9" w:rsidRDefault="00A43FBC">
      <w:pPr>
        <w:pStyle w:val="ListParagraph"/>
        <w:numPr>
          <w:ilvl w:val="1"/>
          <w:numId w:val="125"/>
        </w:numPr>
        <w:tabs>
          <w:tab w:val="left" w:pos="1133"/>
          <w:tab w:val="left" w:pos="1155"/>
        </w:tabs>
        <w:spacing w:before="245" w:line="230" w:lineRule="auto"/>
        <w:ind w:left="1155" w:right="560" w:hanging="443"/>
        <w:jc w:val="both"/>
      </w:pPr>
      <w:r>
        <w:rPr>
          <w:color w:val="221F1F"/>
        </w:rPr>
        <w:t>Concrete test cubes shall be prepared in a set of three, as described including testing fees, labor and materials, making molds, transport, handling, etc. Allow in your rates for making at least four cubes on each occasion, from different batches; the concrete being taken from the point of deposit.</w:t>
      </w:r>
    </w:p>
    <w:p w:rsidR="007F6DF9" w:rsidRDefault="00A43FBC">
      <w:pPr>
        <w:pStyle w:val="ListParagraph"/>
        <w:numPr>
          <w:ilvl w:val="1"/>
          <w:numId w:val="125"/>
        </w:numPr>
        <w:tabs>
          <w:tab w:val="left" w:pos="1133"/>
          <w:tab w:val="left" w:pos="1155"/>
        </w:tabs>
        <w:spacing w:before="246" w:line="230" w:lineRule="auto"/>
        <w:ind w:left="1155" w:right="559" w:hanging="443"/>
        <w:jc w:val="both"/>
      </w:pPr>
      <w:r>
        <w:rPr>
          <w:color w:val="221F1F"/>
        </w:rPr>
        <w:t>The Contractors hall furnish at the earliest possible opportunity before work commences, and at his own cost, any</w:t>
      </w:r>
      <w:r>
        <w:rPr>
          <w:color w:val="221F1F"/>
          <w:spacing w:val="-6"/>
        </w:rPr>
        <w:t xml:space="preserve"> </w:t>
      </w:r>
      <w:r>
        <w:rPr>
          <w:color w:val="221F1F"/>
        </w:rPr>
        <w:t>samples</w:t>
      </w:r>
      <w:r>
        <w:rPr>
          <w:color w:val="221F1F"/>
          <w:spacing w:val="-6"/>
        </w:rPr>
        <w:t xml:space="preserve"> </w:t>
      </w:r>
      <w:r>
        <w:rPr>
          <w:color w:val="221F1F"/>
        </w:rPr>
        <w:t>of</w:t>
      </w:r>
      <w:r>
        <w:rPr>
          <w:color w:val="221F1F"/>
          <w:spacing w:val="-6"/>
        </w:rPr>
        <w:t xml:space="preserve"> </w:t>
      </w:r>
      <w:r>
        <w:rPr>
          <w:color w:val="221F1F"/>
        </w:rPr>
        <w:t>materials</w:t>
      </w:r>
      <w:r>
        <w:rPr>
          <w:color w:val="221F1F"/>
          <w:spacing w:val="-6"/>
        </w:rPr>
        <w:t xml:space="preserve"> </w:t>
      </w:r>
      <w:r>
        <w:rPr>
          <w:color w:val="221F1F"/>
        </w:rPr>
        <w:t>and</w:t>
      </w:r>
      <w:r>
        <w:rPr>
          <w:color w:val="221F1F"/>
          <w:spacing w:val="-4"/>
        </w:rPr>
        <w:t xml:space="preserve"> </w:t>
      </w:r>
      <w:r>
        <w:rPr>
          <w:color w:val="221F1F"/>
        </w:rPr>
        <w:t>workmanship</w:t>
      </w:r>
      <w:r>
        <w:rPr>
          <w:color w:val="221F1F"/>
          <w:spacing w:val="-6"/>
        </w:rPr>
        <w:t xml:space="preserve"> </w:t>
      </w:r>
      <w:r>
        <w:rPr>
          <w:color w:val="221F1F"/>
        </w:rPr>
        <w:t>that</w:t>
      </w:r>
      <w:r>
        <w:rPr>
          <w:color w:val="221F1F"/>
          <w:spacing w:val="-6"/>
        </w:rPr>
        <w:t xml:space="preserve"> </w:t>
      </w:r>
      <w:r>
        <w:rPr>
          <w:color w:val="221F1F"/>
        </w:rPr>
        <w:t>may</w:t>
      </w:r>
      <w:r>
        <w:rPr>
          <w:color w:val="221F1F"/>
          <w:spacing w:val="-5"/>
        </w:rPr>
        <w:t xml:space="preserve"> </w:t>
      </w:r>
      <w:r>
        <w:rPr>
          <w:color w:val="221F1F"/>
        </w:rPr>
        <w:t>be</w:t>
      </w:r>
      <w:r>
        <w:rPr>
          <w:color w:val="221F1F"/>
          <w:spacing w:val="-6"/>
        </w:rPr>
        <w:t xml:space="preserve"> </w:t>
      </w:r>
      <w:r>
        <w:rPr>
          <w:color w:val="221F1F"/>
        </w:rPr>
        <w:t>called</w:t>
      </w:r>
      <w:r>
        <w:rPr>
          <w:color w:val="221F1F"/>
          <w:spacing w:val="-6"/>
        </w:rPr>
        <w:t xml:space="preserve"> </w:t>
      </w:r>
      <w:r>
        <w:rPr>
          <w:color w:val="221F1F"/>
        </w:rPr>
        <w:t>for</w:t>
      </w:r>
      <w:r>
        <w:rPr>
          <w:color w:val="221F1F"/>
          <w:spacing w:val="-6"/>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Architect</w:t>
      </w:r>
      <w:r>
        <w:rPr>
          <w:color w:val="221F1F"/>
          <w:spacing w:val="-7"/>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approval</w:t>
      </w:r>
      <w:r>
        <w:rPr>
          <w:color w:val="221F1F"/>
          <w:spacing w:val="-4"/>
        </w:rPr>
        <w:t xml:space="preserve"> </w:t>
      </w:r>
      <w:r>
        <w:rPr>
          <w:color w:val="221F1F"/>
        </w:rPr>
        <w:t>or</w:t>
      </w:r>
      <w:r>
        <w:rPr>
          <w:color w:val="221F1F"/>
          <w:spacing w:val="-6"/>
        </w:rPr>
        <w:t xml:space="preserve"> </w:t>
      </w:r>
      <w:r>
        <w:rPr>
          <w:color w:val="221F1F"/>
        </w:rPr>
        <w:t>rejection, and</w:t>
      </w:r>
      <w:r>
        <w:rPr>
          <w:color w:val="221F1F"/>
          <w:spacing w:val="-9"/>
        </w:rPr>
        <w:t xml:space="preserve"> </w:t>
      </w:r>
      <w:r>
        <w:rPr>
          <w:color w:val="221F1F"/>
        </w:rPr>
        <w:t>any</w:t>
      </w:r>
      <w:r>
        <w:rPr>
          <w:color w:val="221F1F"/>
          <w:spacing w:val="-10"/>
        </w:rPr>
        <w:t xml:space="preserve"> </w:t>
      </w:r>
      <w:r>
        <w:rPr>
          <w:color w:val="221F1F"/>
        </w:rPr>
        <w:t>further</w:t>
      </w:r>
      <w:r>
        <w:rPr>
          <w:color w:val="221F1F"/>
          <w:spacing w:val="-10"/>
        </w:rPr>
        <w:t xml:space="preserve"> </w:t>
      </w:r>
      <w:r>
        <w:rPr>
          <w:color w:val="221F1F"/>
        </w:rPr>
        <w:t>samples</w:t>
      </w:r>
      <w:r>
        <w:rPr>
          <w:color w:val="221F1F"/>
          <w:spacing w:val="-11"/>
        </w:rPr>
        <w:t xml:space="preserve"> </w:t>
      </w:r>
      <w:r>
        <w:rPr>
          <w:color w:val="221F1F"/>
        </w:rPr>
        <w:t>in</w:t>
      </w:r>
      <w:r>
        <w:rPr>
          <w:color w:val="221F1F"/>
          <w:spacing w:val="-12"/>
        </w:rPr>
        <w:t xml:space="preserve"> </w:t>
      </w:r>
      <w:r>
        <w:rPr>
          <w:color w:val="221F1F"/>
        </w:rPr>
        <w:t>the</w:t>
      </w:r>
      <w:r>
        <w:rPr>
          <w:color w:val="221F1F"/>
          <w:spacing w:val="-8"/>
        </w:rPr>
        <w:t xml:space="preserve"> </w:t>
      </w:r>
      <w:r>
        <w:rPr>
          <w:color w:val="221F1F"/>
        </w:rPr>
        <w:t>case</w:t>
      </w:r>
      <w:r>
        <w:rPr>
          <w:color w:val="221F1F"/>
          <w:spacing w:val="-8"/>
        </w:rPr>
        <w:t xml:space="preserve"> </w:t>
      </w:r>
      <w:r>
        <w:rPr>
          <w:color w:val="221F1F"/>
        </w:rPr>
        <w:t>of</w:t>
      </w:r>
      <w:r>
        <w:rPr>
          <w:color w:val="221F1F"/>
          <w:spacing w:val="-11"/>
        </w:rPr>
        <w:t xml:space="preserve"> </w:t>
      </w:r>
      <w:r>
        <w:rPr>
          <w:color w:val="221F1F"/>
        </w:rPr>
        <w:t>rejection,</w:t>
      </w:r>
      <w:r>
        <w:rPr>
          <w:color w:val="221F1F"/>
          <w:spacing w:val="-9"/>
        </w:rPr>
        <w:t xml:space="preserve"> </w:t>
      </w:r>
      <w:r>
        <w:rPr>
          <w:color w:val="221F1F"/>
        </w:rPr>
        <w:t>until</w:t>
      </w:r>
      <w:r>
        <w:rPr>
          <w:color w:val="221F1F"/>
          <w:spacing w:val="-8"/>
        </w:rPr>
        <w:t xml:space="preserve"> </w:t>
      </w:r>
      <w:r>
        <w:rPr>
          <w:color w:val="221F1F"/>
        </w:rPr>
        <w:t>such</w:t>
      </w:r>
      <w:r>
        <w:rPr>
          <w:color w:val="221F1F"/>
          <w:spacing w:val="-9"/>
        </w:rPr>
        <w:t xml:space="preserve"> </w:t>
      </w:r>
      <w:r>
        <w:rPr>
          <w:color w:val="221F1F"/>
        </w:rPr>
        <w:t>samples</w:t>
      </w:r>
      <w:r>
        <w:rPr>
          <w:color w:val="221F1F"/>
          <w:spacing w:val="-11"/>
        </w:rPr>
        <w:t xml:space="preserve"> </w:t>
      </w:r>
      <w:r>
        <w:rPr>
          <w:color w:val="221F1F"/>
        </w:rPr>
        <w:t>are</w:t>
      </w:r>
      <w:r>
        <w:rPr>
          <w:color w:val="221F1F"/>
          <w:spacing w:val="-9"/>
        </w:rPr>
        <w:t xml:space="preserve"> </w:t>
      </w:r>
      <w:r>
        <w:rPr>
          <w:color w:val="221F1F"/>
        </w:rPr>
        <w:t>approved</w:t>
      </w:r>
      <w:r>
        <w:rPr>
          <w:color w:val="221F1F"/>
          <w:spacing w:val="-9"/>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Engineer.</w:t>
      </w:r>
      <w:r>
        <w:rPr>
          <w:color w:val="221F1F"/>
          <w:spacing w:val="-9"/>
        </w:rPr>
        <w:t xml:space="preserve"> </w:t>
      </w:r>
      <w:r>
        <w:rPr>
          <w:color w:val="221F1F"/>
        </w:rPr>
        <w:t>Such</w:t>
      </w:r>
      <w:r>
        <w:rPr>
          <w:color w:val="221F1F"/>
          <w:spacing w:val="-9"/>
        </w:rPr>
        <w:t xml:space="preserve"> </w:t>
      </w:r>
      <w:r>
        <w:rPr>
          <w:color w:val="221F1F"/>
        </w:rPr>
        <w:t>samples, when</w:t>
      </w:r>
      <w:r>
        <w:rPr>
          <w:color w:val="221F1F"/>
          <w:spacing w:val="-2"/>
        </w:rPr>
        <w:t xml:space="preserve"> </w:t>
      </w:r>
      <w:r>
        <w:rPr>
          <w:color w:val="221F1F"/>
        </w:rPr>
        <w:t>approved,</w:t>
      </w:r>
      <w:r>
        <w:rPr>
          <w:color w:val="221F1F"/>
          <w:spacing w:val="-4"/>
        </w:rPr>
        <w:t xml:space="preserve"> </w:t>
      </w:r>
      <w:r>
        <w:rPr>
          <w:color w:val="221F1F"/>
        </w:rPr>
        <w:t>shall</w:t>
      </w:r>
      <w:r>
        <w:rPr>
          <w:color w:val="221F1F"/>
          <w:spacing w:val="-3"/>
        </w:rPr>
        <w:t xml:space="preserve"> </w:t>
      </w:r>
      <w:r>
        <w:rPr>
          <w:color w:val="221F1F"/>
        </w:rPr>
        <w:t>be</w:t>
      </w:r>
      <w:r>
        <w:rPr>
          <w:color w:val="221F1F"/>
          <w:spacing w:val="-7"/>
        </w:rPr>
        <w:t xml:space="preserve"> </w:t>
      </w:r>
      <w:r>
        <w:rPr>
          <w:color w:val="221F1F"/>
        </w:rPr>
        <w:t>the</w:t>
      </w:r>
      <w:r>
        <w:rPr>
          <w:color w:val="221F1F"/>
          <w:spacing w:val="-3"/>
        </w:rPr>
        <w:t xml:space="preserve"> </w:t>
      </w:r>
      <w:r>
        <w:rPr>
          <w:color w:val="221F1F"/>
        </w:rPr>
        <w:t>minimum</w:t>
      </w:r>
      <w:r>
        <w:rPr>
          <w:color w:val="221F1F"/>
          <w:spacing w:val="-3"/>
        </w:rPr>
        <w:t xml:space="preserve"> </w:t>
      </w:r>
      <w:r>
        <w:rPr>
          <w:color w:val="221F1F"/>
        </w:rPr>
        <w:t>standard</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work</w:t>
      </w:r>
      <w:r>
        <w:rPr>
          <w:color w:val="221F1F"/>
          <w:spacing w:val="-4"/>
        </w:rPr>
        <w:t xml:space="preserve"> </w:t>
      </w:r>
      <w:r>
        <w:rPr>
          <w:color w:val="221F1F"/>
        </w:rPr>
        <w:t>to</w:t>
      </w:r>
      <w:r>
        <w:rPr>
          <w:color w:val="221F1F"/>
          <w:spacing w:val="-5"/>
        </w:rPr>
        <w:t xml:space="preserve"> </w:t>
      </w:r>
      <w:r>
        <w:rPr>
          <w:color w:val="221F1F"/>
        </w:rPr>
        <w:t>which</w:t>
      </w:r>
      <w:r>
        <w:rPr>
          <w:color w:val="221F1F"/>
          <w:spacing w:val="-4"/>
        </w:rPr>
        <w:t xml:space="preserve"> </w:t>
      </w:r>
      <w:r>
        <w:rPr>
          <w:color w:val="221F1F"/>
        </w:rPr>
        <w:t>they</w:t>
      </w:r>
      <w:r>
        <w:rPr>
          <w:color w:val="221F1F"/>
          <w:spacing w:val="-4"/>
        </w:rPr>
        <w:t xml:space="preserve"> </w:t>
      </w:r>
      <w:r>
        <w:rPr>
          <w:color w:val="221F1F"/>
        </w:rPr>
        <w:t>apply.</w:t>
      </w:r>
      <w:r>
        <w:rPr>
          <w:color w:val="221F1F"/>
          <w:spacing w:val="-12"/>
        </w:rPr>
        <w:t xml:space="preserve"> </w:t>
      </w:r>
      <w:r>
        <w:rPr>
          <w:color w:val="221F1F"/>
        </w:rPr>
        <w:t>The</w:t>
      </w:r>
      <w:r>
        <w:rPr>
          <w:color w:val="221F1F"/>
          <w:spacing w:val="-2"/>
        </w:rPr>
        <w:t xml:space="preserve"> </w:t>
      </w:r>
      <w:proofErr w:type="spellStart"/>
      <w:r>
        <w:rPr>
          <w:color w:val="221F1F"/>
        </w:rPr>
        <w:t>proceduref</w:t>
      </w:r>
      <w:proofErr w:type="spellEnd"/>
      <w:r>
        <w:rPr>
          <w:color w:val="221F1F"/>
          <w:spacing w:val="-3"/>
        </w:rPr>
        <w:t xml:space="preserve"> </w:t>
      </w:r>
      <w:r>
        <w:rPr>
          <w:color w:val="221F1F"/>
        </w:rPr>
        <w:t>or</w:t>
      </w:r>
      <w:r>
        <w:rPr>
          <w:color w:val="221F1F"/>
          <w:spacing w:val="-4"/>
        </w:rPr>
        <w:t xml:space="preserve"> </w:t>
      </w:r>
      <w:r>
        <w:rPr>
          <w:color w:val="221F1F"/>
        </w:rPr>
        <w:t xml:space="preserve">submitting samples of materials for testing or approval and the method of marking for identification shall be as laid down by the </w:t>
      </w:r>
      <w:proofErr w:type="spellStart"/>
      <w:r>
        <w:rPr>
          <w:color w:val="221F1F"/>
        </w:rPr>
        <w:t>Engineer.The</w:t>
      </w:r>
      <w:proofErr w:type="spellEnd"/>
      <w:r>
        <w:rPr>
          <w:color w:val="221F1F"/>
        </w:rPr>
        <w:t xml:space="preserve"> Contractor shall allow in his Tender for such samples and tests, including those in connection with his Sub-Contractors work.</w:t>
      </w:r>
    </w:p>
    <w:p w:rsidR="007F6DF9" w:rsidRDefault="00A43FBC">
      <w:pPr>
        <w:pStyle w:val="ListParagraph"/>
        <w:numPr>
          <w:ilvl w:val="1"/>
          <w:numId w:val="125"/>
        </w:numPr>
        <w:tabs>
          <w:tab w:val="left" w:pos="1131"/>
          <w:tab w:val="left" w:pos="1153"/>
        </w:tabs>
        <w:spacing w:before="246" w:line="228" w:lineRule="auto"/>
        <w:ind w:left="1153" w:right="565" w:hanging="443"/>
        <w:jc w:val="both"/>
      </w:pPr>
      <w:r>
        <w:rPr>
          <w:color w:val="221F1F"/>
        </w:rPr>
        <w:t>The Contractors</w:t>
      </w:r>
      <w:r>
        <w:rPr>
          <w:color w:val="221F1F"/>
          <w:spacing w:val="-1"/>
        </w:rPr>
        <w:t xml:space="preserve"> </w:t>
      </w:r>
      <w:r>
        <w:rPr>
          <w:color w:val="221F1F"/>
        </w:rPr>
        <w:t>attention</w:t>
      </w:r>
      <w:r>
        <w:rPr>
          <w:color w:val="221F1F"/>
          <w:spacing w:val="-1"/>
        </w:rPr>
        <w:t xml:space="preserve"> </w:t>
      </w:r>
      <w:r>
        <w:rPr>
          <w:color w:val="221F1F"/>
        </w:rPr>
        <w:t>is</w:t>
      </w:r>
      <w:r>
        <w:rPr>
          <w:color w:val="221F1F"/>
          <w:spacing w:val="-1"/>
        </w:rPr>
        <w:t xml:space="preserve"> </w:t>
      </w:r>
      <w:r>
        <w:rPr>
          <w:color w:val="221F1F"/>
        </w:rPr>
        <w:t>drawn</w:t>
      </w:r>
      <w:r>
        <w:rPr>
          <w:color w:val="221F1F"/>
          <w:spacing w:val="-2"/>
        </w:rPr>
        <w:t xml:space="preserve"> </w:t>
      </w:r>
      <w:r>
        <w:rPr>
          <w:color w:val="221F1F"/>
        </w:rPr>
        <w:t>to</w:t>
      </w:r>
      <w:r>
        <w:rPr>
          <w:color w:val="221F1F"/>
          <w:spacing w:val="-2"/>
        </w:rPr>
        <w:t xml:space="preserve"> </w:t>
      </w:r>
      <w:r>
        <w:rPr>
          <w:color w:val="221F1F"/>
        </w:rPr>
        <w:t>the Finance Bill of</w:t>
      </w:r>
      <w:r>
        <w:rPr>
          <w:color w:val="221F1F"/>
          <w:spacing w:val="-1"/>
        </w:rPr>
        <w:t xml:space="preserve"> </w:t>
      </w:r>
      <w:r>
        <w:rPr>
          <w:color w:val="221F1F"/>
        </w:rPr>
        <w:t>the</w:t>
      </w:r>
      <w:r>
        <w:rPr>
          <w:color w:val="221F1F"/>
          <w:spacing w:val="-1"/>
        </w:rPr>
        <w:t xml:space="preserve"> </w:t>
      </w:r>
      <w:r>
        <w:rPr>
          <w:color w:val="221F1F"/>
        </w:rPr>
        <w:t>year 2000/2001 on withholding</w:t>
      </w:r>
      <w:r>
        <w:rPr>
          <w:color w:val="221F1F"/>
          <w:spacing w:val="-1"/>
        </w:rPr>
        <w:t xml:space="preserve"> </w:t>
      </w:r>
      <w:r>
        <w:rPr>
          <w:color w:val="221F1F"/>
        </w:rPr>
        <w:t>tax</w:t>
      </w:r>
      <w:r>
        <w:rPr>
          <w:color w:val="221F1F"/>
          <w:spacing w:val="-1"/>
        </w:rPr>
        <w:t xml:space="preserve"> </w:t>
      </w:r>
      <w:r>
        <w:rPr>
          <w:color w:val="221F1F"/>
        </w:rPr>
        <w:t>on</w:t>
      </w:r>
      <w:r>
        <w:rPr>
          <w:color w:val="221F1F"/>
          <w:spacing w:val="-2"/>
        </w:rPr>
        <w:t xml:space="preserve"> </w:t>
      </w:r>
      <w:r>
        <w:rPr>
          <w:color w:val="221F1F"/>
        </w:rPr>
        <w:t>contractual payment section 35(7)(</w:t>
      </w:r>
      <w:proofErr w:type="spellStart"/>
      <w:r>
        <w:rPr>
          <w:color w:val="221F1F"/>
        </w:rPr>
        <w:t>i</w:t>
      </w:r>
      <w:proofErr w:type="spellEnd"/>
      <w:r>
        <w:rPr>
          <w:color w:val="221F1F"/>
        </w:rPr>
        <w:t>)(ii) which became effective on 1</w:t>
      </w:r>
      <w:proofErr w:type="spellStart"/>
      <w:r>
        <w:rPr>
          <w:color w:val="221F1F"/>
          <w:position w:val="11"/>
          <w:sz w:val="11"/>
        </w:rPr>
        <w:t>st</w:t>
      </w:r>
      <w:proofErr w:type="spellEnd"/>
      <w:r>
        <w:rPr>
          <w:color w:val="221F1F"/>
          <w:position w:val="11"/>
          <w:sz w:val="11"/>
        </w:rPr>
        <w:t xml:space="preserve"> </w:t>
      </w:r>
      <w:r>
        <w:rPr>
          <w:color w:val="221F1F"/>
        </w:rPr>
        <w:t>July 2000. A 3% withholding tax will be applicable</w:t>
      </w:r>
    </w:p>
    <w:p w:rsidR="007F6DF9" w:rsidRDefault="007F6DF9">
      <w:pPr>
        <w:pStyle w:val="ListParagraph"/>
        <w:spacing w:line="228" w:lineRule="auto"/>
        <w:jc w:val="both"/>
        <w:sectPr w:rsidR="007F6DF9">
          <w:pgSz w:w="11920" w:h="16850"/>
          <w:pgMar w:top="360" w:right="283" w:bottom="580" w:left="141" w:header="0" w:footer="383" w:gutter="0"/>
          <w:pgNumType w:start="65"/>
          <w:cols w:space="720"/>
        </w:sectPr>
      </w:pPr>
    </w:p>
    <w:p w:rsidR="007F6DF9" w:rsidRDefault="00A43FBC">
      <w:pPr>
        <w:pStyle w:val="BodyText"/>
        <w:tabs>
          <w:tab w:val="left" w:leader="dot" w:pos="6493"/>
        </w:tabs>
        <w:spacing w:line="238" w:lineRule="exact"/>
        <w:ind w:left="1153"/>
      </w:pPr>
      <w:r>
        <w:rPr>
          <w:color w:val="221F1F"/>
        </w:rPr>
        <w:lastRenderedPageBreak/>
        <w:t>to</w:t>
      </w:r>
      <w:r>
        <w:rPr>
          <w:color w:val="221F1F"/>
          <w:spacing w:val="-14"/>
        </w:rPr>
        <w:t xml:space="preserve"> </w:t>
      </w:r>
      <w:r>
        <w:rPr>
          <w:color w:val="221F1F"/>
        </w:rPr>
        <w:t>all</w:t>
      </w:r>
      <w:r>
        <w:rPr>
          <w:color w:val="221F1F"/>
          <w:spacing w:val="-11"/>
        </w:rPr>
        <w:t xml:space="preserve"> </w:t>
      </w:r>
      <w:r>
        <w:rPr>
          <w:color w:val="221F1F"/>
        </w:rPr>
        <w:t>in</w:t>
      </w:r>
      <w:r>
        <w:rPr>
          <w:color w:val="221F1F"/>
          <w:spacing w:val="-14"/>
        </w:rPr>
        <w:t xml:space="preserve"> </w:t>
      </w:r>
      <w:proofErr w:type="spellStart"/>
      <w:r>
        <w:rPr>
          <w:color w:val="221F1F"/>
        </w:rPr>
        <w:t>terim</w:t>
      </w:r>
      <w:proofErr w:type="spellEnd"/>
      <w:r>
        <w:rPr>
          <w:color w:val="221F1F"/>
          <w:spacing w:val="-11"/>
        </w:rPr>
        <w:t xml:space="preserve"> </w:t>
      </w:r>
      <w:r>
        <w:rPr>
          <w:color w:val="221F1F"/>
        </w:rPr>
        <w:t>payments</w:t>
      </w:r>
      <w:r>
        <w:rPr>
          <w:color w:val="221F1F"/>
          <w:spacing w:val="-14"/>
        </w:rPr>
        <w:t xml:space="preserve"> </w:t>
      </w:r>
      <w:r>
        <w:rPr>
          <w:color w:val="221F1F"/>
        </w:rPr>
        <w:t>exceeding</w:t>
      </w:r>
      <w:r>
        <w:rPr>
          <w:color w:val="221F1F"/>
          <w:spacing w:val="-11"/>
        </w:rPr>
        <w:t xml:space="preserve"> </w:t>
      </w:r>
      <w:proofErr w:type="spellStart"/>
      <w:r>
        <w:rPr>
          <w:color w:val="221F1F"/>
          <w:spacing w:val="-4"/>
        </w:rPr>
        <w:t>Kshs</w:t>
      </w:r>
      <w:proofErr w:type="spellEnd"/>
      <w:r>
        <w:rPr>
          <w:color w:val="221F1F"/>
        </w:rPr>
        <w:tab/>
        <w:t>for</w:t>
      </w:r>
      <w:r>
        <w:rPr>
          <w:color w:val="221F1F"/>
          <w:spacing w:val="-13"/>
        </w:rPr>
        <w:t xml:space="preserve"> </w:t>
      </w:r>
      <w:r>
        <w:rPr>
          <w:color w:val="221F1F"/>
        </w:rPr>
        <w:t>work</w:t>
      </w:r>
      <w:r>
        <w:rPr>
          <w:color w:val="221F1F"/>
          <w:spacing w:val="-12"/>
        </w:rPr>
        <w:t xml:space="preserve"> </w:t>
      </w:r>
      <w:r>
        <w:rPr>
          <w:color w:val="221F1F"/>
        </w:rPr>
        <w:t>done</w:t>
      </w:r>
      <w:r>
        <w:rPr>
          <w:color w:val="221F1F"/>
          <w:spacing w:val="-11"/>
        </w:rPr>
        <w:t xml:space="preserve"> </w:t>
      </w:r>
      <w:r>
        <w:rPr>
          <w:color w:val="221F1F"/>
        </w:rPr>
        <w:t>in</w:t>
      </w:r>
      <w:r>
        <w:rPr>
          <w:color w:val="221F1F"/>
          <w:spacing w:val="-14"/>
        </w:rPr>
        <w:t xml:space="preserve"> </w:t>
      </w:r>
      <w:r>
        <w:rPr>
          <w:color w:val="221F1F"/>
        </w:rPr>
        <w:t>respect</w:t>
      </w:r>
      <w:r>
        <w:rPr>
          <w:color w:val="221F1F"/>
          <w:spacing w:val="-11"/>
        </w:rPr>
        <w:t xml:space="preserve"> </w:t>
      </w:r>
      <w:r>
        <w:rPr>
          <w:color w:val="221F1F"/>
        </w:rPr>
        <w:t>of</w:t>
      </w:r>
      <w:r>
        <w:rPr>
          <w:color w:val="221F1F"/>
          <w:spacing w:val="-11"/>
        </w:rPr>
        <w:t xml:space="preserve"> </w:t>
      </w:r>
      <w:r>
        <w:rPr>
          <w:color w:val="221F1F"/>
        </w:rPr>
        <w:t>building</w:t>
      </w:r>
      <w:r>
        <w:rPr>
          <w:color w:val="221F1F"/>
          <w:spacing w:val="-13"/>
        </w:rPr>
        <w:t xml:space="preserve"> </w:t>
      </w:r>
      <w:r>
        <w:rPr>
          <w:color w:val="221F1F"/>
        </w:rPr>
        <w:t>or</w:t>
      </w:r>
      <w:r>
        <w:rPr>
          <w:color w:val="221F1F"/>
          <w:spacing w:val="-13"/>
        </w:rPr>
        <w:t xml:space="preserve"> </w:t>
      </w:r>
      <w:r>
        <w:rPr>
          <w:color w:val="221F1F"/>
        </w:rPr>
        <w:t>civil</w:t>
      </w:r>
      <w:r>
        <w:rPr>
          <w:color w:val="221F1F"/>
          <w:spacing w:val="-10"/>
        </w:rPr>
        <w:t xml:space="preserve"> </w:t>
      </w:r>
      <w:r>
        <w:rPr>
          <w:color w:val="221F1F"/>
          <w:spacing w:val="-2"/>
        </w:rPr>
        <w:t>works.</w:t>
      </w:r>
    </w:p>
    <w:p w:rsidR="007F6DF9" w:rsidRDefault="00A43FBC">
      <w:pPr>
        <w:pStyle w:val="BodyText"/>
        <w:spacing w:line="246" w:lineRule="exact"/>
        <w:ind w:left="1153"/>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allow</w:t>
      </w:r>
      <w:r>
        <w:rPr>
          <w:color w:val="221F1F"/>
          <w:spacing w:val="-4"/>
        </w:rPr>
        <w:t xml:space="preserve"> </w:t>
      </w:r>
      <w:r>
        <w:rPr>
          <w:color w:val="221F1F"/>
        </w:rPr>
        <w:t>for</w:t>
      </w:r>
      <w:r>
        <w:rPr>
          <w:color w:val="221F1F"/>
          <w:spacing w:val="-2"/>
        </w:rPr>
        <w:t xml:space="preserve"> </w:t>
      </w:r>
      <w:r>
        <w:rPr>
          <w:color w:val="221F1F"/>
        </w:rPr>
        <w:t>any</w:t>
      </w:r>
      <w:r>
        <w:rPr>
          <w:color w:val="221F1F"/>
          <w:spacing w:val="-5"/>
        </w:rPr>
        <w:t xml:space="preserve"> </w:t>
      </w:r>
      <w:r>
        <w:rPr>
          <w:color w:val="221F1F"/>
        </w:rPr>
        <w:t>costs</w:t>
      </w:r>
      <w:r>
        <w:rPr>
          <w:color w:val="221F1F"/>
          <w:spacing w:val="-4"/>
        </w:rPr>
        <w:t xml:space="preserve"> </w:t>
      </w:r>
      <w:r>
        <w:rPr>
          <w:color w:val="221F1F"/>
        </w:rPr>
        <w:t>arising</w:t>
      </w:r>
      <w:r>
        <w:rPr>
          <w:color w:val="221F1F"/>
          <w:spacing w:val="-3"/>
        </w:rPr>
        <w:t xml:space="preserve"> </w:t>
      </w:r>
      <w:r>
        <w:rPr>
          <w:color w:val="221F1F"/>
        </w:rPr>
        <w:t>resulting</w:t>
      </w:r>
      <w:r>
        <w:rPr>
          <w:color w:val="221F1F"/>
          <w:spacing w:val="-2"/>
        </w:rPr>
        <w:t xml:space="preserve"> </w:t>
      </w:r>
      <w:r>
        <w:rPr>
          <w:color w:val="221F1F"/>
        </w:rPr>
        <w:t>there</w:t>
      </w:r>
      <w:r>
        <w:rPr>
          <w:color w:val="221F1F"/>
          <w:spacing w:val="-5"/>
        </w:rPr>
        <w:t xml:space="preserve"> </w:t>
      </w:r>
      <w:r>
        <w:rPr>
          <w:color w:val="221F1F"/>
        </w:rPr>
        <w:t>from</w:t>
      </w:r>
      <w:r>
        <w:rPr>
          <w:color w:val="221F1F"/>
          <w:spacing w:val="-4"/>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build-up</w:t>
      </w:r>
      <w:r>
        <w:rPr>
          <w:color w:val="221F1F"/>
          <w:spacing w:val="-6"/>
        </w:rPr>
        <w:t xml:space="preserve"> </w:t>
      </w:r>
      <w:r>
        <w:rPr>
          <w:color w:val="221F1F"/>
        </w:rPr>
        <w:t>of</w:t>
      </w:r>
      <w:r>
        <w:rPr>
          <w:color w:val="221F1F"/>
          <w:spacing w:val="-2"/>
        </w:rPr>
        <w:t xml:space="preserve"> rates.</w:t>
      </w:r>
    </w:p>
    <w:p w:rsidR="007F6DF9" w:rsidRDefault="00A43FBC">
      <w:pPr>
        <w:pStyle w:val="ListParagraph"/>
        <w:numPr>
          <w:ilvl w:val="1"/>
          <w:numId w:val="125"/>
        </w:numPr>
        <w:tabs>
          <w:tab w:val="left" w:pos="1128"/>
          <w:tab w:val="left" w:pos="1153"/>
        </w:tabs>
        <w:spacing w:before="245" w:line="230" w:lineRule="auto"/>
        <w:ind w:left="1153" w:right="561" w:hanging="443"/>
        <w:jc w:val="both"/>
      </w:pPr>
      <w:r>
        <w:rPr>
          <w:color w:val="221F1F"/>
        </w:rPr>
        <w:t>Blasting will only be allowed with the express permission of the Architect in writing. All blasting operations shall be carried out at the Contractor's sole risk and cost, in accordance with any Government regulations in force for the time being, and any special regulations laid down by the Architect governing the use and storage of explosives.</w:t>
      </w:r>
    </w:p>
    <w:p w:rsidR="007F6DF9" w:rsidRDefault="00A43FBC">
      <w:pPr>
        <w:pStyle w:val="ListParagraph"/>
        <w:numPr>
          <w:ilvl w:val="1"/>
          <w:numId w:val="125"/>
        </w:numPr>
        <w:tabs>
          <w:tab w:val="left" w:pos="1128"/>
          <w:tab w:val="left" w:pos="1153"/>
        </w:tabs>
        <w:spacing w:before="247" w:line="228" w:lineRule="auto"/>
        <w:ind w:left="1153" w:right="562" w:hanging="443"/>
        <w:jc w:val="both"/>
      </w:pPr>
      <w:r>
        <w:rPr>
          <w:color w:val="221F1F"/>
        </w:rPr>
        <w:t>The</w:t>
      </w:r>
      <w:r>
        <w:rPr>
          <w:color w:val="221F1F"/>
          <w:spacing w:val="-5"/>
        </w:rPr>
        <w:t xml:space="preserve"> </w:t>
      </w:r>
      <w:r>
        <w:rPr>
          <w:color w:val="221F1F"/>
        </w:rPr>
        <w:t>National</w:t>
      </w:r>
      <w:r>
        <w:rPr>
          <w:color w:val="221F1F"/>
          <w:spacing w:val="-4"/>
        </w:rPr>
        <w:t xml:space="preserve"> </w:t>
      </w:r>
      <w:r>
        <w:rPr>
          <w:color w:val="221F1F"/>
        </w:rPr>
        <w:t>Construction</w:t>
      </w:r>
      <w:r>
        <w:rPr>
          <w:color w:val="221F1F"/>
          <w:spacing w:val="-5"/>
        </w:rPr>
        <w:t xml:space="preserve"> </w:t>
      </w:r>
      <w:r>
        <w:rPr>
          <w:color w:val="221F1F"/>
        </w:rPr>
        <w:t>Authority</w:t>
      </w:r>
      <w:r>
        <w:rPr>
          <w:color w:val="221F1F"/>
          <w:spacing w:val="-5"/>
        </w:rPr>
        <w:t xml:space="preserve"> </w:t>
      </w:r>
      <w:r>
        <w:rPr>
          <w:color w:val="221F1F"/>
        </w:rPr>
        <w:t>is</w:t>
      </w:r>
      <w:r>
        <w:rPr>
          <w:color w:val="221F1F"/>
          <w:spacing w:val="-4"/>
        </w:rPr>
        <w:t xml:space="preserve"> </w:t>
      </w:r>
      <w:r>
        <w:rPr>
          <w:color w:val="221F1F"/>
        </w:rPr>
        <w:t>a</w:t>
      </w:r>
      <w:r>
        <w:rPr>
          <w:color w:val="221F1F"/>
          <w:spacing w:val="-4"/>
        </w:rPr>
        <w:t xml:space="preserve"> </w:t>
      </w:r>
      <w:r>
        <w:rPr>
          <w:color w:val="221F1F"/>
        </w:rPr>
        <w:t>state</w:t>
      </w:r>
      <w:r>
        <w:rPr>
          <w:color w:val="221F1F"/>
          <w:spacing w:val="-4"/>
        </w:rPr>
        <w:t xml:space="preserve"> </w:t>
      </w:r>
      <w:r>
        <w:rPr>
          <w:color w:val="221F1F"/>
        </w:rPr>
        <w:t>corporation</w:t>
      </w:r>
      <w:r>
        <w:rPr>
          <w:color w:val="221F1F"/>
          <w:spacing w:val="-5"/>
        </w:rPr>
        <w:t xml:space="preserve"> </w:t>
      </w:r>
      <w:r>
        <w:rPr>
          <w:color w:val="221F1F"/>
        </w:rPr>
        <w:t>established</w:t>
      </w:r>
      <w:r>
        <w:rPr>
          <w:color w:val="221F1F"/>
          <w:spacing w:val="-5"/>
        </w:rPr>
        <w:t xml:space="preserve"> </w:t>
      </w:r>
      <w:r>
        <w:rPr>
          <w:color w:val="221F1F"/>
        </w:rPr>
        <w:t>under</w:t>
      </w:r>
      <w:r>
        <w:rPr>
          <w:color w:val="221F1F"/>
          <w:spacing w:val="-4"/>
        </w:rPr>
        <w:t xml:space="preserve"> </w:t>
      </w:r>
      <w:r>
        <w:rPr>
          <w:color w:val="221F1F"/>
        </w:rPr>
        <w:t>the</w:t>
      </w:r>
      <w:r>
        <w:rPr>
          <w:color w:val="221F1F"/>
          <w:spacing w:val="-4"/>
        </w:rPr>
        <w:t xml:space="preserve"> </w:t>
      </w:r>
      <w:r>
        <w:rPr>
          <w:color w:val="221F1F"/>
        </w:rPr>
        <w:t>national</w:t>
      </w:r>
      <w:r>
        <w:rPr>
          <w:color w:val="221F1F"/>
          <w:spacing w:val="-4"/>
        </w:rPr>
        <w:t xml:space="preserve"> </w:t>
      </w:r>
      <w:r>
        <w:rPr>
          <w:color w:val="221F1F"/>
        </w:rPr>
        <w:t>construction authority Act</w:t>
      </w:r>
      <w:r>
        <w:rPr>
          <w:color w:val="221F1F"/>
          <w:spacing w:val="-1"/>
        </w:rPr>
        <w:t xml:space="preserve"> </w:t>
      </w:r>
      <w:r>
        <w:rPr>
          <w:color w:val="221F1F"/>
        </w:rPr>
        <w:t>No.14</w:t>
      </w:r>
      <w:r>
        <w:rPr>
          <w:color w:val="221F1F"/>
          <w:spacing w:val="-2"/>
        </w:rPr>
        <w:t xml:space="preserve"> </w:t>
      </w:r>
      <w:r>
        <w:rPr>
          <w:color w:val="221F1F"/>
        </w:rPr>
        <w:t>of</w:t>
      </w:r>
      <w:r>
        <w:rPr>
          <w:color w:val="221F1F"/>
          <w:spacing w:val="-1"/>
        </w:rPr>
        <w:t xml:space="preserve"> </w:t>
      </w:r>
      <w:r>
        <w:rPr>
          <w:color w:val="221F1F"/>
        </w:rPr>
        <w:t>2011.</w:t>
      </w:r>
      <w:r>
        <w:rPr>
          <w:color w:val="221F1F"/>
          <w:spacing w:val="-5"/>
        </w:rPr>
        <w:t xml:space="preserve"> </w:t>
      </w:r>
      <w:r>
        <w:rPr>
          <w:color w:val="221F1F"/>
        </w:rPr>
        <w:t>The</w:t>
      </w:r>
      <w:r>
        <w:rPr>
          <w:color w:val="221F1F"/>
          <w:spacing w:val="-2"/>
        </w:rPr>
        <w:t xml:space="preserve"> </w:t>
      </w:r>
      <w:r>
        <w:rPr>
          <w:color w:val="221F1F"/>
        </w:rPr>
        <w:t>broad</w:t>
      </w:r>
      <w:r>
        <w:rPr>
          <w:color w:val="221F1F"/>
          <w:spacing w:val="-1"/>
        </w:rPr>
        <w:t xml:space="preserve"> </w:t>
      </w:r>
      <w:r>
        <w:rPr>
          <w:color w:val="221F1F"/>
        </w:rPr>
        <w:t>Mandate</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Authority</w:t>
      </w:r>
      <w:r>
        <w:rPr>
          <w:color w:val="221F1F"/>
          <w:spacing w:val="-1"/>
        </w:rPr>
        <w:t xml:space="preserve"> </w:t>
      </w:r>
      <w:r>
        <w:rPr>
          <w:color w:val="221F1F"/>
        </w:rPr>
        <w:t>is</w:t>
      </w:r>
      <w:r>
        <w:rPr>
          <w:color w:val="221F1F"/>
          <w:spacing w:val="-4"/>
        </w:rPr>
        <w:t xml:space="preserve"> </w:t>
      </w:r>
      <w:r>
        <w:rPr>
          <w:color w:val="221F1F"/>
        </w:rPr>
        <w:t>to</w:t>
      </w:r>
      <w:r>
        <w:rPr>
          <w:color w:val="221F1F"/>
          <w:spacing w:val="-2"/>
        </w:rPr>
        <w:t xml:space="preserve"> </w:t>
      </w:r>
      <w:proofErr w:type="spellStart"/>
      <w:r>
        <w:rPr>
          <w:color w:val="221F1F"/>
        </w:rPr>
        <w:t>over</w:t>
      </w:r>
      <w:r>
        <w:rPr>
          <w:color w:val="221F1F"/>
          <w:spacing w:val="-1"/>
        </w:rPr>
        <w:t xml:space="preserve"> </w:t>
      </w:r>
      <w:r>
        <w:rPr>
          <w:color w:val="221F1F"/>
        </w:rPr>
        <w:t>see</w:t>
      </w:r>
      <w:proofErr w:type="spellEnd"/>
      <w:r>
        <w:rPr>
          <w:color w:val="221F1F"/>
          <w:spacing w:val="-1"/>
        </w:rPr>
        <w:t xml:space="preserve"> </w:t>
      </w:r>
      <w:r>
        <w:rPr>
          <w:color w:val="221F1F"/>
        </w:rPr>
        <w:t>the</w:t>
      </w:r>
      <w:r>
        <w:rPr>
          <w:color w:val="221F1F"/>
          <w:spacing w:val="-2"/>
        </w:rPr>
        <w:t xml:space="preserve"> </w:t>
      </w:r>
      <w:r>
        <w:rPr>
          <w:color w:val="221F1F"/>
        </w:rPr>
        <w:t>construction</w:t>
      </w:r>
      <w:r>
        <w:rPr>
          <w:color w:val="221F1F"/>
          <w:spacing w:val="-4"/>
        </w:rPr>
        <w:t xml:space="preserve"> </w:t>
      </w:r>
      <w:r>
        <w:rPr>
          <w:color w:val="221F1F"/>
        </w:rPr>
        <w:t>industry</w:t>
      </w:r>
      <w:r>
        <w:rPr>
          <w:color w:val="221F1F"/>
          <w:spacing w:val="-2"/>
        </w:rPr>
        <w:t xml:space="preserve"> </w:t>
      </w:r>
      <w:r>
        <w:rPr>
          <w:color w:val="221F1F"/>
        </w:rPr>
        <w:t>and</w:t>
      </w:r>
      <w:r>
        <w:rPr>
          <w:color w:val="221F1F"/>
          <w:spacing w:val="-2"/>
        </w:rPr>
        <w:t xml:space="preserve"> </w:t>
      </w:r>
      <w:r>
        <w:rPr>
          <w:color w:val="221F1F"/>
        </w:rPr>
        <w:t>coordinate its</w:t>
      </w:r>
      <w:r>
        <w:rPr>
          <w:color w:val="221F1F"/>
          <w:spacing w:val="-4"/>
        </w:rPr>
        <w:t xml:space="preserve"> </w:t>
      </w:r>
      <w:r>
        <w:rPr>
          <w:color w:val="221F1F"/>
        </w:rPr>
        <w:t>development.</w:t>
      </w:r>
      <w:r>
        <w:rPr>
          <w:color w:val="221F1F"/>
          <w:spacing w:val="-2"/>
        </w:rPr>
        <w:t xml:space="preserve"> </w:t>
      </w:r>
      <w:r>
        <w:rPr>
          <w:color w:val="221F1F"/>
        </w:rPr>
        <w:t>The</w:t>
      </w:r>
      <w:r>
        <w:rPr>
          <w:color w:val="221F1F"/>
          <w:spacing w:val="-2"/>
        </w:rPr>
        <w:t xml:space="preserve"> </w:t>
      </w:r>
      <w:r>
        <w:rPr>
          <w:color w:val="221F1F"/>
        </w:rPr>
        <w:t>National</w:t>
      </w:r>
      <w:r>
        <w:rPr>
          <w:color w:val="221F1F"/>
          <w:spacing w:val="-1"/>
        </w:rPr>
        <w:t xml:space="preserve"> </w:t>
      </w:r>
      <w:r>
        <w:rPr>
          <w:color w:val="221F1F"/>
        </w:rPr>
        <w:t>Construction</w:t>
      </w:r>
      <w:r>
        <w:rPr>
          <w:color w:val="221F1F"/>
          <w:spacing w:val="-2"/>
        </w:rPr>
        <w:t xml:space="preserve"> </w:t>
      </w:r>
      <w:r>
        <w:rPr>
          <w:color w:val="221F1F"/>
        </w:rPr>
        <w:t>Authority</w:t>
      </w:r>
      <w:r>
        <w:rPr>
          <w:color w:val="221F1F"/>
          <w:spacing w:val="-4"/>
        </w:rPr>
        <w:t xml:space="preserve"> </w:t>
      </w:r>
      <w:r>
        <w:rPr>
          <w:color w:val="221F1F"/>
        </w:rPr>
        <w:t>Regulations</w:t>
      </w:r>
      <w:r>
        <w:rPr>
          <w:color w:val="221F1F"/>
          <w:spacing w:val="-2"/>
        </w:rPr>
        <w:t xml:space="preserve"> </w:t>
      </w:r>
      <w:r>
        <w:rPr>
          <w:color w:val="221F1F"/>
        </w:rPr>
        <w:t>2014</w:t>
      </w:r>
      <w:r>
        <w:rPr>
          <w:color w:val="221F1F"/>
          <w:spacing w:val="-2"/>
        </w:rPr>
        <w:t xml:space="preserve"> </w:t>
      </w:r>
      <w:r>
        <w:rPr>
          <w:color w:val="221F1F"/>
        </w:rPr>
        <w:t>with</w:t>
      </w:r>
      <w:r>
        <w:rPr>
          <w:color w:val="221F1F"/>
          <w:spacing w:val="-2"/>
        </w:rPr>
        <w:t xml:space="preserve"> </w:t>
      </w:r>
      <w:r>
        <w:rPr>
          <w:color w:val="221F1F"/>
        </w:rPr>
        <w:t>an</w:t>
      </w:r>
      <w:r>
        <w:rPr>
          <w:color w:val="221F1F"/>
          <w:spacing w:val="-4"/>
        </w:rPr>
        <w:t xml:space="preserve"> </w:t>
      </w:r>
      <w:r>
        <w:rPr>
          <w:color w:val="221F1F"/>
        </w:rPr>
        <w:t>effective</w:t>
      </w:r>
      <w:r>
        <w:rPr>
          <w:color w:val="221F1F"/>
          <w:spacing w:val="-2"/>
        </w:rPr>
        <w:t xml:space="preserve"> </w:t>
      </w:r>
      <w:r>
        <w:rPr>
          <w:color w:val="221F1F"/>
        </w:rPr>
        <w:t>date</w:t>
      </w:r>
      <w:r>
        <w:rPr>
          <w:color w:val="221F1F"/>
          <w:spacing w:val="-4"/>
        </w:rPr>
        <w:t xml:space="preserve"> </w:t>
      </w:r>
      <w:r>
        <w:rPr>
          <w:color w:val="221F1F"/>
        </w:rPr>
        <w:t>of</w:t>
      </w:r>
      <w:r>
        <w:rPr>
          <w:color w:val="221F1F"/>
          <w:spacing w:val="-2"/>
        </w:rPr>
        <w:t xml:space="preserve"> </w:t>
      </w:r>
      <w:r>
        <w:rPr>
          <w:color w:val="221F1F"/>
        </w:rPr>
        <w:t>6</w:t>
      </w:r>
      <w:proofErr w:type="spellStart"/>
      <w:r>
        <w:rPr>
          <w:color w:val="221F1F"/>
          <w:position w:val="11"/>
          <w:sz w:val="11"/>
        </w:rPr>
        <w:t>th</w:t>
      </w:r>
      <w:proofErr w:type="spellEnd"/>
      <w:r>
        <w:rPr>
          <w:color w:val="221F1F"/>
        </w:rPr>
        <w:t>June</w:t>
      </w:r>
      <w:r>
        <w:rPr>
          <w:color w:val="221F1F"/>
          <w:spacing w:val="-2"/>
        </w:rPr>
        <w:t xml:space="preserve"> </w:t>
      </w:r>
      <w:r>
        <w:rPr>
          <w:color w:val="221F1F"/>
        </w:rPr>
        <w:t>2014, regulation 25, - Allow 0.5% of the tender sum/contract sum for construction levy.</w:t>
      </w:r>
    </w:p>
    <w:p w:rsidR="007F6DF9" w:rsidRDefault="00A43FBC">
      <w:pPr>
        <w:pStyle w:val="ListParagraph"/>
        <w:numPr>
          <w:ilvl w:val="1"/>
          <w:numId w:val="125"/>
        </w:numPr>
        <w:tabs>
          <w:tab w:val="left" w:pos="1128"/>
          <w:tab w:val="left" w:pos="1153"/>
        </w:tabs>
        <w:spacing w:before="249" w:line="230" w:lineRule="auto"/>
        <w:ind w:left="1153" w:right="563" w:hanging="443"/>
        <w:jc w:val="both"/>
      </w:pPr>
      <w:r>
        <w:rPr>
          <w:color w:val="221F1F"/>
        </w:rPr>
        <w:t>The Contractor attention is drawn to Finance Bill of 1993 where VAT</w:t>
      </w:r>
      <w:r>
        <w:rPr>
          <w:color w:val="221F1F"/>
          <w:spacing w:val="-10"/>
        </w:rPr>
        <w:t xml:space="preserve"> </w:t>
      </w:r>
      <w:r>
        <w:rPr>
          <w:color w:val="221F1F"/>
        </w:rPr>
        <w:t>was introduced in all contracts for construction</w:t>
      </w:r>
      <w:r>
        <w:rPr>
          <w:color w:val="221F1F"/>
          <w:spacing w:val="-7"/>
        </w:rPr>
        <w:t xml:space="preserve"> </w:t>
      </w:r>
      <w:r>
        <w:rPr>
          <w:color w:val="221F1F"/>
        </w:rPr>
        <w:t>services.</w:t>
      </w:r>
      <w:r>
        <w:rPr>
          <w:color w:val="221F1F"/>
          <w:spacing w:val="-6"/>
        </w:rPr>
        <w:t xml:space="preserve"> </w:t>
      </w:r>
      <w:r>
        <w:rPr>
          <w:color w:val="221F1F"/>
        </w:rPr>
        <w:t>The</w:t>
      </w:r>
      <w:r>
        <w:rPr>
          <w:color w:val="221F1F"/>
          <w:spacing w:val="-7"/>
        </w:rPr>
        <w:t xml:space="preserve"> </w:t>
      </w:r>
      <w:r>
        <w:rPr>
          <w:color w:val="221F1F"/>
        </w:rPr>
        <w:t>tenderer</w:t>
      </w:r>
      <w:r>
        <w:rPr>
          <w:color w:val="221F1F"/>
          <w:spacing w:val="-6"/>
        </w:rPr>
        <w:t xml:space="preserve"> </w:t>
      </w:r>
      <w:r>
        <w:rPr>
          <w:color w:val="221F1F"/>
        </w:rPr>
        <w:t>is</w:t>
      </w:r>
      <w:r>
        <w:rPr>
          <w:color w:val="221F1F"/>
          <w:spacing w:val="-5"/>
        </w:rPr>
        <w:t xml:space="preserve"> </w:t>
      </w:r>
      <w:r>
        <w:rPr>
          <w:color w:val="221F1F"/>
        </w:rPr>
        <w:t>also</w:t>
      </w:r>
      <w:r>
        <w:rPr>
          <w:color w:val="221F1F"/>
          <w:spacing w:val="-6"/>
        </w:rPr>
        <w:t xml:space="preserve"> </w:t>
      </w:r>
      <w:r>
        <w:rPr>
          <w:color w:val="221F1F"/>
        </w:rPr>
        <w:t>drawn</w:t>
      </w:r>
      <w:r>
        <w:rPr>
          <w:color w:val="221F1F"/>
          <w:spacing w:val="-8"/>
        </w:rPr>
        <w:t xml:space="preserve"> </w:t>
      </w:r>
      <w:r>
        <w:rPr>
          <w:color w:val="221F1F"/>
        </w:rPr>
        <w:t>to</w:t>
      </w:r>
      <w:r>
        <w:rPr>
          <w:color w:val="221F1F"/>
          <w:spacing w:val="-6"/>
        </w:rPr>
        <w:t xml:space="preserve"> </w:t>
      </w:r>
      <w:proofErr w:type="spellStart"/>
      <w:r>
        <w:rPr>
          <w:color w:val="221F1F"/>
        </w:rPr>
        <w:t>VATAct</w:t>
      </w:r>
      <w:proofErr w:type="spellEnd"/>
      <w:r>
        <w:rPr>
          <w:color w:val="221F1F"/>
          <w:spacing w:val="-4"/>
        </w:rPr>
        <w:t xml:space="preserve"> </w:t>
      </w:r>
      <w:r>
        <w:rPr>
          <w:color w:val="221F1F"/>
        </w:rPr>
        <w:t>Cap</w:t>
      </w:r>
      <w:r>
        <w:rPr>
          <w:color w:val="221F1F"/>
          <w:spacing w:val="-5"/>
        </w:rPr>
        <w:t xml:space="preserve"> </w:t>
      </w:r>
      <w:r>
        <w:rPr>
          <w:color w:val="221F1F"/>
        </w:rPr>
        <w:t>476</w:t>
      </w:r>
      <w:r>
        <w:rPr>
          <w:color w:val="221F1F"/>
          <w:spacing w:val="-7"/>
        </w:rPr>
        <w:t xml:space="preserve"> </w:t>
      </w:r>
      <w:r>
        <w:rPr>
          <w:color w:val="221F1F"/>
        </w:rPr>
        <w:t>clause</w:t>
      </w:r>
      <w:r>
        <w:rPr>
          <w:color w:val="221F1F"/>
          <w:spacing w:val="-6"/>
        </w:rPr>
        <w:t xml:space="preserve"> </w:t>
      </w:r>
      <w:r>
        <w:rPr>
          <w:color w:val="221F1F"/>
        </w:rPr>
        <w:t>19(9).</w:t>
      </w:r>
      <w:r>
        <w:rPr>
          <w:color w:val="221F1F"/>
          <w:spacing w:val="-7"/>
        </w:rPr>
        <w:t xml:space="preserve"> </w:t>
      </w:r>
      <w:r>
        <w:rPr>
          <w:color w:val="221F1F"/>
        </w:rPr>
        <w:t>The</w:t>
      </w:r>
      <w:r>
        <w:rPr>
          <w:color w:val="221F1F"/>
          <w:spacing w:val="-7"/>
        </w:rPr>
        <w:t xml:space="preserve"> </w:t>
      </w:r>
      <w:r>
        <w:rPr>
          <w:color w:val="221F1F"/>
        </w:rPr>
        <w:t>tenderer</w:t>
      </w:r>
      <w:r>
        <w:rPr>
          <w:color w:val="221F1F"/>
          <w:spacing w:val="-6"/>
        </w:rPr>
        <w:t xml:space="preserve"> </w:t>
      </w:r>
      <w:r>
        <w:rPr>
          <w:color w:val="221F1F"/>
        </w:rPr>
        <w:t>must</w:t>
      </w:r>
      <w:r>
        <w:rPr>
          <w:color w:val="221F1F"/>
          <w:spacing w:val="-6"/>
        </w:rPr>
        <w:t xml:space="preserve"> </w:t>
      </w:r>
      <w:r>
        <w:rPr>
          <w:color w:val="221F1F"/>
        </w:rPr>
        <w:t>allow</w:t>
      </w:r>
      <w:r>
        <w:rPr>
          <w:color w:val="221F1F"/>
          <w:spacing w:val="-8"/>
        </w:rPr>
        <w:t xml:space="preserve"> </w:t>
      </w:r>
      <w:r>
        <w:rPr>
          <w:color w:val="221F1F"/>
        </w:rPr>
        <w:t xml:space="preserve">for VAT1.19 as instructed </w:t>
      </w:r>
      <w:proofErr w:type="spellStart"/>
      <w:r>
        <w:rPr>
          <w:color w:val="221F1F"/>
        </w:rPr>
        <w:t>else where</w:t>
      </w:r>
      <w:proofErr w:type="spellEnd"/>
      <w:r>
        <w:rPr>
          <w:color w:val="221F1F"/>
        </w:rPr>
        <w:t>.</w:t>
      </w:r>
    </w:p>
    <w:p w:rsidR="007F6DF9" w:rsidRDefault="00A43FBC">
      <w:pPr>
        <w:pStyle w:val="ListParagraph"/>
        <w:numPr>
          <w:ilvl w:val="1"/>
          <w:numId w:val="125"/>
        </w:numPr>
        <w:tabs>
          <w:tab w:val="left" w:pos="1128"/>
          <w:tab w:val="left" w:pos="1153"/>
        </w:tabs>
        <w:spacing w:before="243" w:line="230" w:lineRule="auto"/>
        <w:ind w:left="1153" w:right="563" w:hanging="443"/>
        <w:jc w:val="both"/>
      </w:pPr>
      <w:r>
        <w:rPr>
          <w:color w:val="221F1F"/>
        </w:rPr>
        <w:t>The contractor shall allow</w:t>
      </w:r>
      <w:r>
        <w:rPr>
          <w:color w:val="221F1F"/>
          <w:spacing w:val="-2"/>
        </w:rPr>
        <w:t xml:space="preserve"> </w:t>
      </w:r>
      <w:r>
        <w:rPr>
          <w:color w:val="221F1F"/>
        </w:rPr>
        <w:t>and pay for all insurance to</w:t>
      </w:r>
      <w:r>
        <w:rPr>
          <w:color w:val="221F1F"/>
          <w:spacing w:val="-1"/>
        </w:rPr>
        <w:t xml:space="preserve"> </w:t>
      </w:r>
      <w:r>
        <w:rPr>
          <w:color w:val="221F1F"/>
        </w:rPr>
        <w:t>cover risks and indemnities required Items 17 and 18 of the Conditions of contract and also specified in the Special Conditions of Contract.</w:t>
      </w:r>
    </w:p>
    <w:p w:rsidR="007F6DF9" w:rsidRDefault="007F6DF9">
      <w:pPr>
        <w:pStyle w:val="ListParagraph"/>
        <w:spacing w:line="230" w:lineRule="auto"/>
        <w:jc w:val="both"/>
        <w:sectPr w:rsidR="007F6DF9">
          <w:pgSz w:w="11920" w:h="16850"/>
          <w:pgMar w:top="340" w:right="283" w:bottom="620" w:left="141" w:header="0" w:footer="437" w:gutter="0"/>
          <w:cols w:space="720"/>
        </w:sectPr>
      </w:pPr>
    </w:p>
    <w:p w:rsidR="007F6DF9" w:rsidRDefault="007F6DF9">
      <w:pPr>
        <w:pStyle w:val="BodyText"/>
        <w:spacing w:before="146"/>
        <w:rPr>
          <w:sz w:val="24"/>
        </w:rPr>
      </w:pPr>
    </w:p>
    <w:p w:rsidR="007F6DF9" w:rsidRDefault="00A43FBC">
      <w:pPr>
        <w:pStyle w:val="Heading6"/>
        <w:ind w:left="703"/>
      </w:pPr>
      <w:r>
        <w:rPr>
          <w:color w:val="221F1F"/>
        </w:rPr>
        <w:t>BILL</w:t>
      </w:r>
      <w:r>
        <w:rPr>
          <w:color w:val="221F1F"/>
          <w:spacing w:val="-4"/>
        </w:rPr>
        <w:t xml:space="preserve"> </w:t>
      </w:r>
      <w:r>
        <w:rPr>
          <w:color w:val="221F1F"/>
        </w:rPr>
        <w:t>NO.</w:t>
      </w:r>
      <w:r>
        <w:rPr>
          <w:color w:val="221F1F"/>
          <w:spacing w:val="-1"/>
        </w:rPr>
        <w:t xml:space="preserve"> </w:t>
      </w:r>
      <w:r>
        <w:rPr>
          <w:color w:val="221F1F"/>
        </w:rPr>
        <w:t>1 -</w:t>
      </w:r>
      <w:r>
        <w:rPr>
          <w:color w:val="221F1F"/>
          <w:spacing w:val="-2"/>
        </w:rPr>
        <w:t xml:space="preserve"> </w:t>
      </w:r>
      <w:r>
        <w:rPr>
          <w:color w:val="221F1F"/>
        </w:rPr>
        <w:t>PRELIMINARY</w:t>
      </w:r>
      <w:r>
        <w:rPr>
          <w:color w:val="221F1F"/>
          <w:spacing w:val="-2"/>
        </w:rPr>
        <w:t xml:space="preserve"> ITEMS</w:t>
      </w:r>
    </w:p>
    <w:p w:rsidR="007F6DF9" w:rsidRDefault="007F6DF9">
      <w:pPr>
        <w:pStyle w:val="BodyText"/>
        <w:spacing w:before="10" w:after="1"/>
        <w:rPr>
          <w:b/>
          <w:sz w:val="1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6795"/>
        <w:gridCol w:w="1843"/>
      </w:tblGrid>
      <w:tr w:rsidR="007F6DF9">
        <w:trPr>
          <w:trHeight w:val="736"/>
        </w:trPr>
        <w:tc>
          <w:tcPr>
            <w:tcW w:w="857" w:type="dxa"/>
          </w:tcPr>
          <w:p w:rsidR="007F6DF9" w:rsidRDefault="00A43FBC">
            <w:pPr>
              <w:pStyle w:val="TableParagraph"/>
              <w:spacing w:before="229" w:line="252" w:lineRule="exact"/>
              <w:ind w:left="107"/>
              <w:rPr>
                <w:rFonts w:ascii="Times New Roman"/>
                <w:b/>
              </w:rPr>
            </w:pPr>
            <w:r>
              <w:rPr>
                <w:rFonts w:ascii="Times New Roman"/>
                <w:b/>
                <w:spacing w:val="-4"/>
              </w:rPr>
              <w:t>ITEM</w:t>
            </w:r>
          </w:p>
          <w:p w:rsidR="007F6DF9" w:rsidRDefault="00A43FBC">
            <w:pPr>
              <w:pStyle w:val="TableParagraph"/>
              <w:spacing w:line="235" w:lineRule="exact"/>
              <w:ind w:left="107"/>
              <w:rPr>
                <w:rFonts w:ascii="Times New Roman"/>
                <w:b/>
              </w:rPr>
            </w:pPr>
            <w:r>
              <w:rPr>
                <w:rFonts w:ascii="Times New Roman"/>
                <w:b/>
                <w:spacing w:val="-5"/>
              </w:rPr>
              <w:t>No.</w:t>
            </w:r>
          </w:p>
        </w:tc>
        <w:tc>
          <w:tcPr>
            <w:tcW w:w="6795" w:type="dxa"/>
          </w:tcPr>
          <w:p w:rsidR="007F6DF9" w:rsidRDefault="00A43FBC">
            <w:pPr>
              <w:pStyle w:val="TableParagraph"/>
              <w:spacing w:line="251" w:lineRule="exact"/>
              <w:ind w:left="108"/>
              <w:rPr>
                <w:rFonts w:ascii="Times New Roman"/>
                <w:b/>
              </w:rPr>
            </w:pPr>
            <w:r>
              <w:rPr>
                <w:rFonts w:ascii="Times New Roman"/>
                <w:b/>
                <w:spacing w:val="-2"/>
              </w:rPr>
              <w:t>DESCRIPTION</w:t>
            </w:r>
          </w:p>
        </w:tc>
        <w:tc>
          <w:tcPr>
            <w:tcW w:w="1843" w:type="dxa"/>
          </w:tcPr>
          <w:p w:rsidR="007F6DF9" w:rsidRDefault="00A43FBC">
            <w:pPr>
              <w:pStyle w:val="TableParagraph"/>
              <w:spacing w:line="251" w:lineRule="exact"/>
              <w:ind w:left="106"/>
              <w:rPr>
                <w:rFonts w:ascii="Times New Roman"/>
                <w:b/>
              </w:rPr>
            </w:pPr>
            <w:r>
              <w:rPr>
                <w:rFonts w:ascii="Times New Roman"/>
                <w:b/>
                <w:spacing w:val="-2"/>
              </w:rPr>
              <w:t>AMOUNT</w:t>
            </w:r>
          </w:p>
        </w:tc>
      </w:tr>
      <w:tr w:rsidR="007F6DF9">
        <w:trPr>
          <w:trHeight w:val="4552"/>
        </w:trPr>
        <w:tc>
          <w:tcPr>
            <w:tcW w:w="857" w:type="dxa"/>
          </w:tcPr>
          <w:p w:rsidR="007F6DF9" w:rsidRDefault="00A43FBC">
            <w:pPr>
              <w:pStyle w:val="TableParagraph"/>
              <w:spacing w:line="251" w:lineRule="exact"/>
              <w:ind w:left="107"/>
              <w:rPr>
                <w:rFonts w:ascii="Times New Roman"/>
              </w:rPr>
            </w:pPr>
            <w:r>
              <w:rPr>
                <w:rFonts w:ascii="Times New Roman"/>
                <w:spacing w:val="-5"/>
              </w:rPr>
              <w:t>1.</w:t>
            </w:r>
          </w:p>
        </w:tc>
        <w:tc>
          <w:tcPr>
            <w:tcW w:w="6795" w:type="dxa"/>
          </w:tcPr>
          <w:p w:rsidR="007F6DF9" w:rsidRDefault="00A43FBC">
            <w:pPr>
              <w:pStyle w:val="TableParagraph"/>
              <w:tabs>
                <w:tab w:val="left" w:leader="hyphen" w:pos="5415"/>
              </w:tabs>
              <w:ind w:left="108" w:right="299"/>
              <w:jc w:val="both"/>
              <w:rPr>
                <w:rFonts w:ascii="Times New Roman"/>
              </w:rPr>
            </w:pPr>
            <w:r>
              <w:rPr>
                <w:rFonts w:ascii="Times New Roman"/>
              </w:rPr>
              <w:t>The</w:t>
            </w:r>
            <w:r>
              <w:rPr>
                <w:rFonts w:ascii="Times New Roman"/>
                <w:spacing w:val="-2"/>
              </w:rPr>
              <w:t xml:space="preserve"> </w:t>
            </w:r>
            <w:r>
              <w:rPr>
                <w:rFonts w:ascii="Times New Roman"/>
              </w:rPr>
              <w:t>Contractor</w:t>
            </w:r>
            <w:r>
              <w:rPr>
                <w:rFonts w:ascii="Times New Roman"/>
                <w:spacing w:val="-2"/>
              </w:rPr>
              <w:t xml:space="preserve"> </w:t>
            </w:r>
            <w:r>
              <w:rPr>
                <w:rFonts w:ascii="Times New Roman"/>
              </w:rPr>
              <w:t>shall</w:t>
            </w:r>
            <w:r>
              <w:rPr>
                <w:rFonts w:ascii="Times New Roman"/>
                <w:spacing w:val="-4"/>
              </w:rPr>
              <w:t xml:space="preserve"> </w:t>
            </w:r>
            <w:r>
              <w:rPr>
                <w:rFonts w:ascii="Times New Roman"/>
              </w:rPr>
              <w:t>provide,</w:t>
            </w:r>
            <w:r>
              <w:rPr>
                <w:rFonts w:ascii="Times New Roman"/>
                <w:spacing w:val="-2"/>
              </w:rPr>
              <w:t xml:space="preserve"> </w:t>
            </w:r>
            <w:r>
              <w:rPr>
                <w:rFonts w:ascii="Times New Roman"/>
              </w:rPr>
              <w:t>or</w:t>
            </w:r>
            <w:r>
              <w:rPr>
                <w:rFonts w:ascii="Times New Roman"/>
                <w:spacing w:val="-4"/>
              </w:rPr>
              <w:t xml:space="preserve"> </w:t>
            </w:r>
            <w:r>
              <w:rPr>
                <w:rFonts w:ascii="Times New Roman"/>
              </w:rPr>
              <w:t>erect</w:t>
            </w:r>
            <w:r>
              <w:rPr>
                <w:rFonts w:ascii="Times New Roman"/>
                <w:spacing w:val="-4"/>
              </w:rPr>
              <w:t xml:space="preserve"> </w:t>
            </w:r>
            <w:r>
              <w:rPr>
                <w:rFonts w:ascii="Times New Roman"/>
              </w:rPr>
              <w:t>and</w:t>
            </w:r>
            <w:r>
              <w:rPr>
                <w:rFonts w:ascii="Times New Roman"/>
                <w:spacing w:val="-4"/>
              </w:rPr>
              <w:t xml:space="preserve"> </w:t>
            </w:r>
            <w:r>
              <w:rPr>
                <w:rFonts w:ascii="Times New Roman"/>
              </w:rPr>
              <w:t>maintain</w:t>
            </w:r>
            <w:r>
              <w:rPr>
                <w:rFonts w:ascii="Times New Roman"/>
                <w:spacing w:val="-5"/>
              </w:rPr>
              <w:t xml:space="preserve"> </w:t>
            </w:r>
            <w:r>
              <w:rPr>
                <w:rFonts w:ascii="Times New Roman"/>
              </w:rPr>
              <w:t>an</w:t>
            </w:r>
            <w:r>
              <w:rPr>
                <w:rFonts w:ascii="Times New Roman"/>
                <w:spacing w:val="-4"/>
              </w:rPr>
              <w:t xml:space="preserve"> </w:t>
            </w:r>
            <w:r>
              <w:rPr>
                <w:rFonts w:ascii="Times New Roman"/>
              </w:rPr>
              <w:t>approved</w:t>
            </w:r>
            <w:r>
              <w:rPr>
                <w:rFonts w:ascii="Times New Roman"/>
                <w:spacing w:val="-4"/>
              </w:rPr>
              <w:t xml:space="preserve"> </w:t>
            </w:r>
            <w:r>
              <w:rPr>
                <w:rFonts w:ascii="Times New Roman"/>
              </w:rPr>
              <w:t>lock-up office</w:t>
            </w:r>
            <w:r>
              <w:rPr>
                <w:rFonts w:ascii="Times New Roman"/>
                <w:spacing w:val="-2"/>
              </w:rPr>
              <w:t xml:space="preserve"> </w:t>
            </w:r>
            <w:r>
              <w:rPr>
                <w:rFonts w:ascii="Times New Roman"/>
              </w:rPr>
              <w:t>for</w:t>
            </w:r>
            <w:r>
              <w:rPr>
                <w:rFonts w:ascii="Times New Roman"/>
                <w:spacing w:val="-2"/>
              </w:rPr>
              <w:t xml:space="preserve"> </w:t>
            </w:r>
            <w:r>
              <w:rPr>
                <w:rFonts w:ascii="Times New Roman"/>
              </w:rPr>
              <w:t>the sole use of the Architect</w:t>
            </w:r>
            <w:r>
              <w:rPr>
                <w:rFonts w:ascii="Times New Roman"/>
                <w:spacing w:val="-2"/>
              </w:rPr>
              <w:t xml:space="preserve"> </w:t>
            </w:r>
            <w:r>
              <w:rPr>
                <w:rFonts w:ascii="Times New Roman"/>
              </w:rPr>
              <w:t>and his own</w:t>
            </w:r>
            <w:r>
              <w:rPr>
                <w:rFonts w:ascii="Times New Roman"/>
                <w:spacing w:val="-3"/>
              </w:rPr>
              <w:t xml:space="preserve"> </w:t>
            </w:r>
            <w:r>
              <w:rPr>
                <w:rFonts w:ascii="Times New Roman"/>
              </w:rPr>
              <w:t>site</w:t>
            </w:r>
            <w:r>
              <w:rPr>
                <w:rFonts w:ascii="Times New Roman"/>
                <w:spacing w:val="-2"/>
              </w:rPr>
              <w:t xml:space="preserve"> </w:t>
            </w:r>
            <w:r>
              <w:rPr>
                <w:rFonts w:ascii="Times New Roman"/>
              </w:rPr>
              <w:t>staff. The office, which will have a total floor area of not less than</w:t>
            </w:r>
            <w:r>
              <w:rPr>
                <w:rFonts w:ascii="Times New Roman"/>
              </w:rPr>
              <w:tab/>
            </w:r>
            <w:r>
              <w:rPr>
                <w:rFonts w:ascii="Times New Roman"/>
                <w:spacing w:val="-2"/>
              </w:rPr>
              <w:t>square</w:t>
            </w:r>
          </w:p>
          <w:p w:rsidR="007F6DF9" w:rsidRDefault="00A43FBC">
            <w:pPr>
              <w:pStyle w:val="TableParagraph"/>
              <w:ind w:left="108" w:right="171"/>
              <w:rPr>
                <w:rFonts w:ascii="Times New Roman"/>
              </w:rPr>
            </w:pPr>
            <w:proofErr w:type="spellStart"/>
            <w:r>
              <w:rPr>
                <w:rFonts w:ascii="Times New Roman"/>
              </w:rPr>
              <w:t>metres</w:t>
            </w:r>
            <w:proofErr w:type="spellEnd"/>
            <w:r>
              <w:rPr>
                <w:rFonts w:ascii="Times New Roman"/>
              </w:rPr>
              <w:t>,</w:t>
            </w:r>
            <w:r>
              <w:rPr>
                <w:rFonts w:ascii="Times New Roman"/>
                <w:spacing w:val="-4"/>
              </w:rPr>
              <w:t xml:space="preserve"> </w:t>
            </w:r>
            <w:r>
              <w:rPr>
                <w:rFonts w:ascii="Times New Roman"/>
              </w:rPr>
              <w:t>will</w:t>
            </w:r>
            <w:r>
              <w:rPr>
                <w:rFonts w:ascii="Times New Roman"/>
                <w:spacing w:val="-3"/>
              </w:rPr>
              <w:t xml:space="preserve"> </w:t>
            </w:r>
            <w:r>
              <w:rPr>
                <w:rFonts w:ascii="Times New Roman"/>
              </w:rPr>
              <w:t>be</w:t>
            </w:r>
            <w:r>
              <w:rPr>
                <w:rFonts w:ascii="Times New Roman"/>
                <w:spacing w:val="-4"/>
              </w:rPr>
              <w:t xml:space="preserve"> </w:t>
            </w:r>
            <w:r>
              <w:rPr>
                <w:rFonts w:ascii="Times New Roman"/>
              </w:rPr>
              <w:t>divided</w:t>
            </w:r>
            <w:r>
              <w:rPr>
                <w:rFonts w:ascii="Times New Roman"/>
                <w:spacing w:val="-4"/>
              </w:rPr>
              <w:t xml:space="preserve"> </w:t>
            </w:r>
            <w:r>
              <w:rPr>
                <w:rFonts w:ascii="Times New Roman"/>
              </w:rPr>
              <w:t>into</w:t>
            </w:r>
            <w:r>
              <w:rPr>
                <w:rFonts w:ascii="Times New Roman"/>
                <w:spacing w:val="-7"/>
              </w:rPr>
              <w:t xml:space="preserve"> </w:t>
            </w:r>
            <w:r>
              <w:rPr>
                <w:rFonts w:ascii="Times New Roman"/>
              </w:rPr>
              <w:t>two</w:t>
            </w:r>
            <w:r>
              <w:rPr>
                <w:rFonts w:ascii="Times New Roman"/>
                <w:spacing w:val="-4"/>
              </w:rPr>
              <w:t xml:space="preserve"> </w:t>
            </w:r>
            <w:r>
              <w:rPr>
                <w:rFonts w:ascii="Times New Roman"/>
              </w:rPr>
              <w:t>separate</w:t>
            </w:r>
            <w:r>
              <w:rPr>
                <w:rFonts w:ascii="Times New Roman"/>
                <w:spacing w:val="-6"/>
              </w:rPr>
              <w:t xml:space="preserve"> </w:t>
            </w:r>
            <w:r>
              <w:rPr>
                <w:rFonts w:ascii="Times New Roman"/>
              </w:rPr>
              <w:t>interconnected</w:t>
            </w:r>
            <w:r>
              <w:rPr>
                <w:rFonts w:ascii="Times New Roman"/>
                <w:spacing w:val="-4"/>
              </w:rPr>
              <w:t xml:space="preserve"> </w:t>
            </w:r>
            <w:r>
              <w:rPr>
                <w:rFonts w:ascii="Times New Roman"/>
              </w:rPr>
              <w:t>offices.</w:t>
            </w:r>
            <w:r>
              <w:rPr>
                <w:rFonts w:ascii="Times New Roman"/>
                <w:spacing w:val="-4"/>
              </w:rPr>
              <w:t xml:space="preserve"> </w:t>
            </w:r>
            <w:r>
              <w:rPr>
                <w:rFonts w:ascii="Times New Roman"/>
              </w:rPr>
              <w:t>Services to be provided shall include a telephone, water sanitary and electrical supply and drainage. The offices shall be supplied with furniture and equipment that shall include:</w:t>
            </w:r>
          </w:p>
          <w:p w:rsidR="007F6DF9" w:rsidRDefault="00A43FBC">
            <w:pPr>
              <w:pStyle w:val="TableParagraph"/>
              <w:ind w:left="108" w:right="171"/>
              <w:rPr>
                <w:rFonts w:ascii="Times New Roman"/>
              </w:rPr>
            </w:pPr>
            <w:r>
              <w:rPr>
                <w:rFonts w:ascii="Times New Roman"/>
              </w:rPr>
              <w:t>4 No. desks with chairs; 1 No. large table with sufficient number of chairs;</w:t>
            </w:r>
            <w:r>
              <w:rPr>
                <w:rFonts w:ascii="Times New Roman"/>
                <w:spacing w:val="-2"/>
              </w:rPr>
              <w:t xml:space="preserve"> </w:t>
            </w:r>
            <w:r>
              <w:rPr>
                <w:rFonts w:ascii="Times New Roman"/>
              </w:rPr>
              <w:t>drawing</w:t>
            </w:r>
            <w:r>
              <w:rPr>
                <w:rFonts w:ascii="Times New Roman"/>
                <w:spacing w:val="-5"/>
              </w:rPr>
              <w:t xml:space="preserve"> </w:t>
            </w:r>
            <w:r>
              <w:rPr>
                <w:rFonts w:ascii="Times New Roman"/>
              </w:rPr>
              <w:t>table</w:t>
            </w:r>
            <w:r>
              <w:rPr>
                <w:rFonts w:ascii="Times New Roman"/>
                <w:spacing w:val="-5"/>
              </w:rPr>
              <w:t xml:space="preserve"> </w:t>
            </w:r>
            <w:r>
              <w:rPr>
                <w:rFonts w:ascii="Times New Roman"/>
              </w:rPr>
              <w:t>along</w:t>
            </w:r>
            <w:r>
              <w:rPr>
                <w:rFonts w:ascii="Times New Roman"/>
                <w:spacing w:val="-5"/>
              </w:rPr>
              <w:t xml:space="preserve"> </w:t>
            </w:r>
            <w:r>
              <w:rPr>
                <w:rFonts w:ascii="Times New Roman"/>
              </w:rPr>
              <w:t>the</w:t>
            </w:r>
            <w:r>
              <w:rPr>
                <w:rFonts w:ascii="Times New Roman"/>
                <w:spacing w:val="-5"/>
              </w:rPr>
              <w:t xml:space="preserve"> </w:t>
            </w:r>
            <w:r>
              <w:rPr>
                <w:rFonts w:ascii="Times New Roman"/>
              </w:rPr>
              <w:t>full</w:t>
            </w:r>
            <w:r>
              <w:rPr>
                <w:rFonts w:ascii="Times New Roman"/>
                <w:spacing w:val="-2"/>
              </w:rPr>
              <w:t xml:space="preserve"> </w:t>
            </w:r>
            <w:r>
              <w:rPr>
                <w:rFonts w:ascii="Times New Roman"/>
              </w:rPr>
              <w:t>length</w:t>
            </w:r>
            <w:r>
              <w:rPr>
                <w:rFonts w:ascii="Times New Roman"/>
                <w:spacing w:val="-3"/>
              </w:rPr>
              <w:t xml:space="preserve"> </w:t>
            </w:r>
            <w:r>
              <w:rPr>
                <w:rFonts w:ascii="Times New Roman"/>
              </w:rPr>
              <w:t>of</w:t>
            </w:r>
            <w:r>
              <w:rPr>
                <w:rFonts w:ascii="Times New Roman"/>
                <w:spacing w:val="-5"/>
              </w:rPr>
              <w:t xml:space="preserve"> </w:t>
            </w:r>
            <w:r>
              <w:rPr>
                <w:rFonts w:ascii="Times New Roman"/>
              </w:rPr>
              <w:t>one</w:t>
            </w:r>
            <w:r>
              <w:rPr>
                <w:rFonts w:ascii="Times New Roman"/>
                <w:spacing w:val="-5"/>
              </w:rPr>
              <w:t xml:space="preserve"> </w:t>
            </w:r>
            <w:r>
              <w:rPr>
                <w:rFonts w:ascii="Times New Roman"/>
              </w:rPr>
              <w:t>side</w:t>
            </w:r>
            <w:r>
              <w:rPr>
                <w:rFonts w:ascii="Times New Roman"/>
                <w:spacing w:val="-5"/>
              </w:rPr>
              <w:t xml:space="preserve"> </w:t>
            </w:r>
            <w:r>
              <w:rPr>
                <w:rFonts w:ascii="Times New Roman"/>
              </w:rPr>
              <w:t>with</w:t>
            </w:r>
            <w:r>
              <w:rPr>
                <w:rFonts w:ascii="Times New Roman"/>
                <w:spacing w:val="-3"/>
              </w:rPr>
              <w:t xml:space="preserve"> </w:t>
            </w:r>
            <w:r>
              <w:rPr>
                <w:rFonts w:ascii="Times New Roman"/>
              </w:rPr>
              <w:t>plan</w:t>
            </w:r>
            <w:r>
              <w:rPr>
                <w:rFonts w:ascii="Times New Roman"/>
                <w:spacing w:val="-5"/>
              </w:rPr>
              <w:t xml:space="preserve"> </w:t>
            </w:r>
            <w:r>
              <w:rPr>
                <w:rFonts w:ascii="Times New Roman"/>
              </w:rPr>
              <w:t>drawers and</w:t>
            </w:r>
            <w:r>
              <w:rPr>
                <w:rFonts w:ascii="Times New Roman"/>
                <w:spacing w:val="-3"/>
              </w:rPr>
              <w:t xml:space="preserve"> </w:t>
            </w:r>
            <w:r>
              <w:rPr>
                <w:rFonts w:ascii="Times New Roman"/>
              </w:rPr>
              <w:t>drawing</w:t>
            </w:r>
            <w:r>
              <w:rPr>
                <w:rFonts w:ascii="Times New Roman"/>
                <w:spacing w:val="-5"/>
              </w:rPr>
              <w:t xml:space="preserve"> </w:t>
            </w:r>
            <w:r>
              <w:rPr>
                <w:rFonts w:ascii="Times New Roman"/>
              </w:rPr>
              <w:t>stools:</w:t>
            </w:r>
            <w:r>
              <w:rPr>
                <w:rFonts w:ascii="Times New Roman"/>
                <w:spacing w:val="-2"/>
              </w:rPr>
              <w:t xml:space="preserve"> </w:t>
            </w:r>
            <w:r>
              <w:rPr>
                <w:rFonts w:ascii="Times New Roman"/>
              </w:rPr>
              <w:t>4</w:t>
            </w:r>
            <w:r>
              <w:rPr>
                <w:rFonts w:ascii="Times New Roman"/>
                <w:spacing w:val="-3"/>
              </w:rPr>
              <w:t xml:space="preserve"> </w:t>
            </w:r>
            <w:r>
              <w:rPr>
                <w:rFonts w:ascii="Times New Roman"/>
              </w:rPr>
              <w:t>No.</w:t>
            </w:r>
            <w:r>
              <w:rPr>
                <w:rFonts w:ascii="Times New Roman"/>
                <w:spacing w:val="-6"/>
              </w:rPr>
              <w:t xml:space="preserve"> </w:t>
            </w:r>
            <w:r>
              <w:rPr>
                <w:rFonts w:ascii="Times New Roman"/>
              </w:rPr>
              <w:t>waste</w:t>
            </w:r>
            <w:r>
              <w:rPr>
                <w:rFonts w:ascii="Times New Roman"/>
                <w:spacing w:val="-5"/>
              </w:rPr>
              <w:t xml:space="preserve"> </w:t>
            </w:r>
            <w:r>
              <w:rPr>
                <w:rFonts w:ascii="Times New Roman"/>
              </w:rPr>
              <w:t>paper</w:t>
            </w:r>
            <w:r>
              <w:rPr>
                <w:rFonts w:ascii="Times New Roman"/>
                <w:spacing w:val="-3"/>
              </w:rPr>
              <w:t xml:space="preserve"> </w:t>
            </w:r>
            <w:r>
              <w:rPr>
                <w:rFonts w:ascii="Times New Roman"/>
              </w:rPr>
              <w:t>baskets:</w:t>
            </w:r>
            <w:r>
              <w:rPr>
                <w:rFonts w:ascii="Times New Roman"/>
                <w:spacing w:val="-2"/>
              </w:rPr>
              <w:t xml:space="preserve"> </w:t>
            </w:r>
            <w:r>
              <w:rPr>
                <w:rFonts w:ascii="Times New Roman"/>
              </w:rPr>
              <w:t>sufficient</w:t>
            </w:r>
            <w:r>
              <w:rPr>
                <w:rFonts w:ascii="Times New Roman"/>
                <w:spacing w:val="-2"/>
              </w:rPr>
              <w:t xml:space="preserve"> </w:t>
            </w:r>
            <w:r>
              <w:rPr>
                <w:rFonts w:ascii="Times New Roman"/>
              </w:rPr>
              <w:t>number</w:t>
            </w:r>
            <w:r>
              <w:rPr>
                <w:rFonts w:ascii="Times New Roman"/>
                <w:spacing w:val="-2"/>
              </w:rPr>
              <w:t xml:space="preserve"> </w:t>
            </w:r>
            <w:r>
              <w:rPr>
                <w:rFonts w:ascii="Times New Roman"/>
              </w:rPr>
              <w:t>of</w:t>
            </w:r>
            <w:r>
              <w:rPr>
                <w:rFonts w:ascii="Times New Roman"/>
                <w:spacing w:val="-3"/>
              </w:rPr>
              <w:t xml:space="preserve"> </w:t>
            </w:r>
            <w:r>
              <w:rPr>
                <w:rFonts w:ascii="Times New Roman"/>
              </w:rPr>
              <w:t>pin boards: and any additional furniture and fittings as may reasonably be required during the Contract period. The Contractor shall provide the Architect and site staff with computer sets or laptops, printers and telephones all that are necessary for project use.</w:t>
            </w:r>
          </w:p>
          <w:p w:rsidR="007F6DF9" w:rsidRDefault="00A43FBC">
            <w:pPr>
              <w:pStyle w:val="TableParagraph"/>
              <w:ind w:left="108" w:right="525"/>
              <w:jc w:val="both"/>
              <w:rPr>
                <w:rFonts w:ascii="Times New Roman"/>
              </w:rPr>
            </w:pPr>
            <w:r>
              <w:rPr>
                <w:rFonts w:ascii="Times New Roman"/>
              </w:rPr>
              <w:t>The office furniture and equipment shall all be to the approval of the Engineer. The Contractor shall also provide all labor, equipment and consumable</w:t>
            </w:r>
            <w:r>
              <w:rPr>
                <w:rFonts w:ascii="Times New Roman"/>
                <w:spacing w:val="-8"/>
              </w:rPr>
              <w:t xml:space="preserve"> </w:t>
            </w:r>
            <w:r>
              <w:rPr>
                <w:rFonts w:ascii="Times New Roman"/>
              </w:rPr>
              <w:t>stores</w:t>
            </w:r>
            <w:r>
              <w:rPr>
                <w:rFonts w:ascii="Times New Roman"/>
                <w:spacing w:val="-6"/>
              </w:rPr>
              <w:t xml:space="preserve"> </w:t>
            </w:r>
            <w:r>
              <w:rPr>
                <w:rFonts w:ascii="Times New Roman"/>
              </w:rPr>
              <w:t>equipment</w:t>
            </w:r>
            <w:r>
              <w:rPr>
                <w:rFonts w:ascii="Times New Roman"/>
                <w:spacing w:val="-3"/>
              </w:rPr>
              <w:t xml:space="preserve"> </w:t>
            </w:r>
            <w:r>
              <w:rPr>
                <w:rFonts w:ascii="Times New Roman"/>
              </w:rPr>
              <w:t>throughout</w:t>
            </w:r>
            <w:r>
              <w:rPr>
                <w:rFonts w:ascii="Times New Roman"/>
                <w:spacing w:val="-5"/>
              </w:rPr>
              <w:t xml:space="preserve"> </w:t>
            </w:r>
            <w:r>
              <w:rPr>
                <w:rFonts w:ascii="Times New Roman"/>
              </w:rPr>
              <w:t>the</w:t>
            </w:r>
            <w:r>
              <w:rPr>
                <w:rFonts w:ascii="Times New Roman"/>
                <w:spacing w:val="-4"/>
              </w:rPr>
              <w:t xml:space="preserve"> </w:t>
            </w:r>
            <w:r>
              <w:rPr>
                <w:rFonts w:ascii="Times New Roman"/>
              </w:rPr>
              <w:t>currency</w:t>
            </w:r>
            <w:r>
              <w:rPr>
                <w:rFonts w:ascii="Times New Roman"/>
                <w:spacing w:val="-6"/>
              </w:rPr>
              <w:t xml:space="preserve"> </w:t>
            </w:r>
            <w:r>
              <w:rPr>
                <w:rFonts w:ascii="Times New Roman"/>
              </w:rPr>
              <w:t>of</w:t>
            </w:r>
            <w:r>
              <w:rPr>
                <w:rFonts w:ascii="Times New Roman"/>
                <w:spacing w:val="-4"/>
              </w:rPr>
              <w:t xml:space="preserve"> </w:t>
            </w:r>
            <w:r>
              <w:rPr>
                <w:rFonts w:ascii="Times New Roman"/>
              </w:rPr>
              <w:t>the</w:t>
            </w:r>
            <w:r>
              <w:rPr>
                <w:rFonts w:ascii="Times New Roman"/>
                <w:spacing w:val="-3"/>
              </w:rPr>
              <w:t xml:space="preserve"> </w:t>
            </w:r>
            <w:r>
              <w:rPr>
                <w:rFonts w:ascii="Times New Roman"/>
                <w:spacing w:val="-2"/>
              </w:rPr>
              <w:t>contract.</w:t>
            </w:r>
          </w:p>
        </w:tc>
        <w:tc>
          <w:tcPr>
            <w:tcW w:w="1843" w:type="dxa"/>
          </w:tcPr>
          <w:p w:rsidR="007F6DF9" w:rsidRDefault="007F6DF9">
            <w:pPr>
              <w:pStyle w:val="TableParagraph"/>
              <w:rPr>
                <w:rFonts w:ascii="Times New Roman"/>
              </w:rPr>
            </w:pPr>
          </w:p>
        </w:tc>
      </w:tr>
      <w:tr w:rsidR="007F6DF9">
        <w:trPr>
          <w:trHeight w:val="1266"/>
        </w:trPr>
        <w:tc>
          <w:tcPr>
            <w:tcW w:w="857" w:type="dxa"/>
          </w:tcPr>
          <w:p w:rsidR="007F6DF9" w:rsidRDefault="00A43FBC">
            <w:pPr>
              <w:pStyle w:val="TableParagraph"/>
              <w:spacing w:before="1"/>
              <w:ind w:left="107"/>
              <w:rPr>
                <w:rFonts w:ascii="Times New Roman"/>
              </w:rPr>
            </w:pPr>
            <w:r>
              <w:rPr>
                <w:rFonts w:ascii="Times New Roman"/>
                <w:spacing w:val="-10"/>
              </w:rPr>
              <w:t>2</w:t>
            </w:r>
          </w:p>
        </w:tc>
        <w:tc>
          <w:tcPr>
            <w:tcW w:w="6795" w:type="dxa"/>
          </w:tcPr>
          <w:p w:rsidR="007F6DF9" w:rsidRDefault="00A43FBC">
            <w:pPr>
              <w:pStyle w:val="TableParagraph"/>
              <w:spacing w:before="1"/>
              <w:ind w:left="108"/>
              <w:rPr>
                <w:rFonts w:ascii="Times New Roman"/>
              </w:rPr>
            </w:pPr>
            <w:r>
              <w:rPr>
                <w:rFonts w:ascii="Times New Roman"/>
              </w:rPr>
              <w:t>[OPTIONAL] Contractor shall provide a house for Engineers site agent, which</w:t>
            </w:r>
            <w:r>
              <w:rPr>
                <w:rFonts w:ascii="Times New Roman"/>
                <w:spacing w:val="-3"/>
              </w:rPr>
              <w:t xml:space="preserve"> </w:t>
            </w:r>
            <w:r>
              <w:rPr>
                <w:rFonts w:ascii="Times New Roman"/>
              </w:rPr>
              <w:t>shall</w:t>
            </w:r>
            <w:r>
              <w:rPr>
                <w:rFonts w:ascii="Times New Roman"/>
                <w:spacing w:val="-2"/>
              </w:rPr>
              <w:t xml:space="preserve"> </w:t>
            </w:r>
            <w:r>
              <w:rPr>
                <w:rFonts w:ascii="Times New Roman"/>
              </w:rPr>
              <w:t>be</w:t>
            </w:r>
            <w:r>
              <w:rPr>
                <w:rFonts w:ascii="Times New Roman"/>
                <w:spacing w:val="-5"/>
              </w:rPr>
              <w:t xml:space="preserve"> </w:t>
            </w:r>
            <w:r>
              <w:rPr>
                <w:rFonts w:ascii="Times New Roman"/>
              </w:rPr>
              <w:t>one</w:t>
            </w:r>
            <w:r>
              <w:rPr>
                <w:rFonts w:ascii="Times New Roman"/>
                <w:spacing w:val="-3"/>
              </w:rPr>
              <w:t xml:space="preserve"> </w:t>
            </w:r>
            <w:r>
              <w:rPr>
                <w:rFonts w:ascii="Times New Roman"/>
              </w:rPr>
              <w:t>bedroomed</w:t>
            </w:r>
            <w:r>
              <w:rPr>
                <w:rFonts w:ascii="Times New Roman"/>
                <w:spacing w:val="-5"/>
              </w:rPr>
              <w:t xml:space="preserve"> </w:t>
            </w:r>
            <w:r>
              <w:rPr>
                <w:rFonts w:ascii="Times New Roman"/>
              </w:rPr>
              <w:t>temporary</w:t>
            </w:r>
            <w:r>
              <w:rPr>
                <w:rFonts w:ascii="Times New Roman"/>
                <w:spacing w:val="-3"/>
              </w:rPr>
              <w:t xml:space="preserve"> </w:t>
            </w:r>
            <w:r>
              <w:rPr>
                <w:rFonts w:ascii="Times New Roman"/>
              </w:rPr>
              <w:t>house</w:t>
            </w:r>
            <w:r>
              <w:rPr>
                <w:rFonts w:ascii="Times New Roman"/>
                <w:spacing w:val="-3"/>
              </w:rPr>
              <w:t xml:space="preserve"> </w:t>
            </w:r>
            <w:r>
              <w:rPr>
                <w:rFonts w:ascii="Times New Roman"/>
              </w:rPr>
              <w:t>with</w:t>
            </w:r>
            <w:r>
              <w:rPr>
                <w:rFonts w:ascii="Times New Roman"/>
                <w:spacing w:val="-6"/>
              </w:rPr>
              <w:t xml:space="preserve"> </w:t>
            </w:r>
            <w:r>
              <w:rPr>
                <w:rFonts w:ascii="Times New Roman"/>
              </w:rPr>
              <w:t>a sitting</w:t>
            </w:r>
            <w:r>
              <w:rPr>
                <w:rFonts w:ascii="Times New Roman"/>
                <w:spacing w:val="-6"/>
              </w:rPr>
              <w:t xml:space="preserve"> </w:t>
            </w:r>
            <w:r>
              <w:rPr>
                <w:rFonts w:ascii="Times New Roman"/>
              </w:rPr>
              <w:t>room,</w:t>
            </w:r>
            <w:r>
              <w:rPr>
                <w:rFonts w:ascii="Times New Roman"/>
                <w:spacing w:val="-3"/>
              </w:rPr>
              <w:t xml:space="preserve"> </w:t>
            </w:r>
            <w:r>
              <w:rPr>
                <w:rFonts w:ascii="Times New Roman"/>
              </w:rPr>
              <w:t>toilet, bathroom and a kitchen complete with electrical and sanitary installations and provide maintenance and paying of bills of water</w:t>
            </w:r>
            <w:r>
              <w:rPr>
                <w:rFonts w:ascii="Times New Roman"/>
                <w:spacing w:val="-1"/>
              </w:rPr>
              <w:t xml:space="preserve"> </w:t>
            </w:r>
            <w:r>
              <w:rPr>
                <w:rFonts w:ascii="Times New Roman"/>
              </w:rPr>
              <w:t>and electricity up to</w:t>
            </w:r>
          </w:p>
          <w:p w:rsidR="007F6DF9" w:rsidRDefault="00A43FBC">
            <w:pPr>
              <w:pStyle w:val="TableParagraph"/>
              <w:spacing w:line="234" w:lineRule="exact"/>
              <w:ind w:left="108"/>
              <w:rPr>
                <w:rFonts w:ascii="Times New Roman"/>
              </w:rPr>
            </w:pPr>
            <w:r>
              <w:rPr>
                <w:rFonts w:ascii="Times New Roman"/>
              </w:rPr>
              <w:t>and</w:t>
            </w:r>
            <w:r>
              <w:rPr>
                <w:rFonts w:ascii="Times New Roman"/>
                <w:spacing w:val="-3"/>
              </w:rPr>
              <w:t xml:space="preserve"> </w:t>
            </w:r>
            <w:r>
              <w:rPr>
                <w:rFonts w:ascii="Times New Roman"/>
              </w:rPr>
              <w:t>including</w:t>
            </w:r>
            <w:r>
              <w:rPr>
                <w:rFonts w:ascii="Times New Roman"/>
                <w:spacing w:val="-5"/>
              </w:rPr>
              <w:t xml:space="preserve"> </w:t>
            </w:r>
            <w:r>
              <w:rPr>
                <w:rFonts w:ascii="Times New Roman"/>
              </w:rPr>
              <w:t>end</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contract</w:t>
            </w:r>
            <w:r>
              <w:rPr>
                <w:rFonts w:ascii="Times New Roman"/>
                <w:spacing w:val="-4"/>
              </w:rPr>
              <w:t xml:space="preserve"> </w:t>
            </w:r>
            <w:r>
              <w:rPr>
                <w:rFonts w:ascii="Times New Roman"/>
                <w:spacing w:val="-2"/>
              </w:rPr>
              <w:t>period.</w:t>
            </w:r>
          </w:p>
        </w:tc>
        <w:tc>
          <w:tcPr>
            <w:tcW w:w="1843" w:type="dxa"/>
          </w:tcPr>
          <w:p w:rsidR="007F6DF9" w:rsidRDefault="007F6DF9">
            <w:pPr>
              <w:pStyle w:val="TableParagraph"/>
              <w:rPr>
                <w:rFonts w:ascii="Times New Roman"/>
              </w:rPr>
            </w:pPr>
          </w:p>
        </w:tc>
      </w:tr>
      <w:tr w:rsidR="007F6DF9">
        <w:trPr>
          <w:trHeight w:val="2275"/>
        </w:trPr>
        <w:tc>
          <w:tcPr>
            <w:tcW w:w="857" w:type="dxa"/>
          </w:tcPr>
          <w:p w:rsidR="007F6DF9" w:rsidRDefault="00A43FBC">
            <w:pPr>
              <w:pStyle w:val="TableParagraph"/>
              <w:spacing w:line="251" w:lineRule="exact"/>
              <w:ind w:left="107"/>
              <w:rPr>
                <w:rFonts w:ascii="Times New Roman"/>
              </w:rPr>
            </w:pPr>
            <w:r>
              <w:rPr>
                <w:rFonts w:ascii="Times New Roman"/>
                <w:spacing w:val="-10"/>
              </w:rPr>
              <w:t>3</w:t>
            </w:r>
          </w:p>
        </w:tc>
        <w:tc>
          <w:tcPr>
            <w:tcW w:w="6795" w:type="dxa"/>
          </w:tcPr>
          <w:p w:rsidR="007F6DF9" w:rsidRDefault="00A43FBC">
            <w:pPr>
              <w:pStyle w:val="TableParagraph"/>
              <w:tabs>
                <w:tab w:val="left" w:pos="4670"/>
              </w:tabs>
              <w:ind w:left="108" w:right="270"/>
              <w:rPr>
                <w:rFonts w:ascii="Times New Roman"/>
              </w:rPr>
            </w:pPr>
            <w:r>
              <w:rPr>
                <w:rFonts w:ascii="Times New Roman"/>
              </w:rPr>
              <w:t xml:space="preserve">Provide a signboard not less than </w:t>
            </w:r>
            <w:r>
              <w:rPr>
                <w:rFonts w:ascii="Times New Roman"/>
                <w:u w:val="single"/>
              </w:rPr>
              <w:tab/>
            </w:r>
            <w:r>
              <w:rPr>
                <w:rFonts w:ascii="Times New Roman"/>
              </w:rPr>
              <w:t>square</w:t>
            </w:r>
            <w:r>
              <w:rPr>
                <w:rFonts w:ascii="Times New Roman"/>
                <w:spacing w:val="-12"/>
              </w:rPr>
              <w:t xml:space="preserve"> </w:t>
            </w:r>
            <w:r>
              <w:rPr>
                <w:rFonts w:ascii="Times New Roman"/>
              </w:rPr>
              <w:t>meters</w:t>
            </w:r>
            <w:r>
              <w:rPr>
                <w:rFonts w:ascii="Times New Roman"/>
                <w:spacing w:val="-12"/>
              </w:rPr>
              <w:t xml:space="preserve"> </w:t>
            </w:r>
            <w:r>
              <w:rPr>
                <w:rFonts w:ascii="Times New Roman"/>
              </w:rPr>
              <w:t>in</w:t>
            </w:r>
            <w:r>
              <w:rPr>
                <w:rFonts w:ascii="Times New Roman"/>
                <w:spacing w:val="-11"/>
              </w:rPr>
              <w:t xml:space="preserve"> </w:t>
            </w:r>
            <w:r>
              <w:rPr>
                <w:rFonts w:ascii="Times New Roman"/>
              </w:rPr>
              <w:t>size of a design type, and with lettering and coloring and in a position approved by the Engineer. The signboard shall be for the display of the Main Contractor's name and the names of all his Sub-Contractors, with the Procuring Entity's name painted thereon.</w:t>
            </w:r>
            <w:r>
              <w:rPr>
                <w:rFonts w:ascii="Times New Roman"/>
                <w:spacing w:val="40"/>
              </w:rPr>
              <w:t xml:space="preserve"> </w:t>
            </w:r>
            <w:r>
              <w:rPr>
                <w:rFonts w:ascii="Times New Roman"/>
              </w:rPr>
              <w:t>All Consultants names be printed in letters not exceeding 50 mm high.</w:t>
            </w:r>
            <w:r>
              <w:rPr>
                <w:rFonts w:ascii="Times New Roman"/>
                <w:spacing w:val="40"/>
              </w:rPr>
              <w:t xml:space="preserve"> </w:t>
            </w:r>
            <w:r>
              <w:rPr>
                <w:rFonts w:ascii="Times New Roman"/>
              </w:rPr>
              <w:t>No other signboard or advertising shall be allowed. The signboard shall be fully maintained</w:t>
            </w:r>
          </w:p>
          <w:p w:rsidR="007F6DF9" w:rsidRDefault="00A43FBC">
            <w:pPr>
              <w:pStyle w:val="TableParagraph"/>
              <w:spacing w:line="252" w:lineRule="exact"/>
              <w:ind w:left="108" w:right="171"/>
              <w:rPr>
                <w:rFonts w:ascii="Times New Roman"/>
              </w:rPr>
            </w:pPr>
            <w:r>
              <w:rPr>
                <w:rFonts w:ascii="Times New Roman"/>
              </w:rPr>
              <w:t>during</w:t>
            </w:r>
            <w:r>
              <w:rPr>
                <w:rFonts w:ascii="Times New Roman"/>
                <w:spacing w:val="-3"/>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2"/>
              </w:rPr>
              <w:t xml:space="preserve"> </w:t>
            </w:r>
            <w:r>
              <w:rPr>
                <w:rFonts w:ascii="Times New Roman"/>
              </w:rPr>
              <w:t>Period</w:t>
            </w:r>
            <w:r>
              <w:rPr>
                <w:rFonts w:ascii="Times New Roman"/>
                <w:spacing w:val="-6"/>
              </w:rPr>
              <w:t xml:space="preserve"> </w:t>
            </w:r>
            <w:r>
              <w:rPr>
                <w:rFonts w:ascii="Times New Roman"/>
              </w:rPr>
              <w:t>and</w:t>
            </w:r>
            <w:r>
              <w:rPr>
                <w:rFonts w:ascii="Times New Roman"/>
                <w:spacing w:val="-3"/>
              </w:rPr>
              <w:t xml:space="preserve"> </w:t>
            </w:r>
            <w:r>
              <w:rPr>
                <w:rFonts w:ascii="Times New Roman"/>
              </w:rPr>
              <w:t>shall</w:t>
            </w:r>
            <w:r>
              <w:rPr>
                <w:rFonts w:ascii="Times New Roman"/>
                <w:spacing w:val="-2"/>
              </w:rPr>
              <w:t xml:space="preserve"> </w:t>
            </w:r>
            <w:r>
              <w:rPr>
                <w:rFonts w:ascii="Times New Roman"/>
              </w:rPr>
              <w:t>be</w:t>
            </w:r>
            <w:r>
              <w:rPr>
                <w:rFonts w:ascii="Times New Roman"/>
                <w:spacing w:val="-3"/>
              </w:rPr>
              <w:t xml:space="preserve"> </w:t>
            </w:r>
            <w:r>
              <w:rPr>
                <w:rFonts w:ascii="Times New Roman"/>
              </w:rPr>
              <w:t>pulled</w:t>
            </w:r>
            <w:r>
              <w:rPr>
                <w:rFonts w:ascii="Times New Roman"/>
                <w:spacing w:val="-3"/>
              </w:rPr>
              <w:t xml:space="preserve"> </w:t>
            </w:r>
            <w:r>
              <w:rPr>
                <w:rFonts w:ascii="Times New Roman"/>
              </w:rPr>
              <w:t>down</w:t>
            </w:r>
            <w:r>
              <w:rPr>
                <w:rFonts w:ascii="Times New Roman"/>
                <w:spacing w:val="-6"/>
              </w:rPr>
              <w:t xml:space="preserve"> </w:t>
            </w:r>
            <w:r>
              <w:rPr>
                <w:rFonts w:ascii="Times New Roman"/>
              </w:rPr>
              <w:t>and</w:t>
            </w:r>
            <w:r>
              <w:rPr>
                <w:rFonts w:ascii="Times New Roman"/>
                <w:spacing w:val="-3"/>
              </w:rPr>
              <w:t xml:space="preserve"> </w:t>
            </w:r>
            <w:r>
              <w:rPr>
                <w:rFonts w:ascii="Times New Roman"/>
              </w:rPr>
              <w:t>removed</w:t>
            </w:r>
            <w:r>
              <w:rPr>
                <w:rFonts w:ascii="Times New Roman"/>
                <w:spacing w:val="-3"/>
              </w:rPr>
              <w:t xml:space="preserve"> </w:t>
            </w:r>
            <w:r>
              <w:rPr>
                <w:rFonts w:ascii="Times New Roman"/>
              </w:rPr>
              <w:t>at</w:t>
            </w:r>
            <w:r>
              <w:rPr>
                <w:rFonts w:ascii="Times New Roman"/>
                <w:spacing w:val="-2"/>
              </w:rPr>
              <w:t xml:space="preserve"> </w:t>
            </w:r>
            <w:r>
              <w:rPr>
                <w:rFonts w:ascii="Times New Roman"/>
              </w:rPr>
              <w:t>the end of the contract.</w:t>
            </w:r>
          </w:p>
        </w:tc>
        <w:tc>
          <w:tcPr>
            <w:tcW w:w="1843" w:type="dxa"/>
          </w:tcPr>
          <w:p w:rsidR="007F6DF9" w:rsidRDefault="007F6DF9">
            <w:pPr>
              <w:pStyle w:val="TableParagraph"/>
              <w:rPr>
                <w:rFonts w:ascii="Times New Roman"/>
              </w:rPr>
            </w:pPr>
          </w:p>
        </w:tc>
      </w:tr>
      <w:tr w:rsidR="007F6DF9">
        <w:trPr>
          <w:trHeight w:val="254"/>
        </w:trPr>
        <w:tc>
          <w:tcPr>
            <w:tcW w:w="857" w:type="dxa"/>
          </w:tcPr>
          <w:p w:rsidR="007F6DF9" w:rsidRDefault="00A43FBC">
            <w:pPr>
              <w:pStyle w:val="TableParagraph"/>
              <w:spacing w:before="1" w:line="233" w:lineRule="exact"/>
              <w:ind w:left="107"/>
              <w:rPr>
                <w:rFonts w:ascii="Times New Roman"/>
              </w:rPr>
            </w:pPr>
            <w:r>
              <w:rPr>
                <w:rFonts w:ascii="Times New Roman"/>
                <w:spacing w:val="-10"/>
              </w:rPr>
              <w:t>4</w:t>
            </w:r>
          </w:p>
        </w:tc>
        <w:tc>
          <w:tcPr>
            <w:tcW w:w="6795" w:type="dxa"/>
          </w:tcPr>
          <w:p w:rsidR="007F6DF9" w:rsidRDefault="00A43FBC">
            <w:pPr>
              <w:pStyle w:val="TableParagraph"/>
              <w:spacing w:before="1" w:line="233" w:lineRule="exact"/>
              <w:ind w:left="108"/>
              <w:rPr>
                <w:rFonts w:ascii="Times New Roman"/>
              </w:rPr>
            </w:pPr>
            <w:r>
              <w:rPr>
                <w:rFonts w:ascii="Times New Roman"/>
              </w:rPr>
              <w:t>Add</w:t>
            </w:r>
            <w:r>
              <w:rPr>
                <w:rFonts w:ascii="Times New Roman"/>
                <w:spacing w:val="-5"/>
              </w:rPr>
              <w:t xml:space="preserve"> </w:t>
            </w:r>
            <w:r>
              <w:rPr>
                <w:rFonts w:ascii="Times New Roman"/>
              </w:rPr>
              <w:t>others</w:t>
            </w:r>
            <w:r>
              <w:rPr>
                <w:rFonts w:ascii="Times New Roman"/>
                <w:spacing w:val="-3"/>
              </w:rPr>
              <w:t xml:space="preserve"> </w:t>
            </w:r>
            <w:r>
              <w:rPr>
                <w:rFonts w:ascii="Times New Roman"/>
              </w:rPr>
              <w:t>(if</w:t>
            </w:r>
            <w:r>
              <w:rPr>
                <w:rFonts w:ascii="Times New Roman"/>
                <w:spacing w:val="-2"/>
              </w:rPr>
              <w:t xml:space="preserve"> </w:t>
            </w:r>
            <w:r>
              <w:rPr>
                <w:rFonts w:ascii="Times New Roman"/>
                <w:spacing w:val="-4"/>
              </w:rPr>
              <w:t>any)</w:t>
            </w:r>
          </w:p>
        </w:tc>
        <w:tc>
          <w:tcPr>
            <w:tcW w:w="1843" w:type="dxa"/>
          </w:tcPr>
          <w:p w:rsidR="007F6DF9" w:rsidRDefault="007F6DF9">
            <w:pPr>
              <w:pStyle w:val="TableParagraph"/>
              <w:rPr>
                <w:rFonts w:ascii="Times New Roman"/>
                <w:sz w:val="18"/>
              </w:rPr>
            </w:pPr>
          </w:p>
        </w:tc>
      </w:tr>
      <w:tr w:rsidR="007F6DF9">
        <w:trPr>
          <w:trHeight w:val="254"/>
        </w:trPr>
        <w:tc>
          <w:tcPr>
            <w:tcW w:w="857" w:type="dxa"/>
          </w:tcPr>
          <w:p w:rsidR="007F6DF9" w:rsidRDefault="00A43FBC">
            <w:pPr>
              <w:pStyle w:val="TableParagraph"/>
              <w:spacing w:line="234" w:lineRule="exact"/>
              <w:ind w:left="107"/>
              <w:rPr>
                <w:rFonts w:ascii="Times New Roman"/>
              </w:rPr>
            </w:pPr>
            <w:r>
              <w:rPr>
                <w:rFonts w:ascii="Times New Roman"/>
                <w:spacing w:val="-10"/>
              </w:rPr>
              <w:t>5</w:t>
            </w:r>
          </w:p>
        </w:tc>
        <w:tc>
          <w:tcPr>
            <w:tcW w:w="6795" w:type="dxa"/>
          </w:tcPr>
          <w:p w:rsidR="007F6DF9" w:rsidRDefault="007F6DF9">
            <w:pPr>
              <w:pStyle w:val="TableParagraph"/>
              <w:rPr>
                <w:rFonts w:ascii="Times New Roman"/>
                <w:sz w:val="18"/>
              </w:rPr>
            </w:pPr>
          </w:p>
        </w:tc>
        <w:tc>
          <w:tcPr>
            <w:tcW w:w="1843" w:type="dxa"/>
          </w:tcPr>
          <w:p w:rsidR="007F6DF9" w:rsidRDefault="007F6DF9">
            <w:pPr>
              <w:pStyle w:val="TableParagraph"/>
              <w:rPr>
                <w:rFonts w:ascii="Times New Roman"/>
                <w:sz w:val="18"/>
              </w:rPr>
            </w:pPr>
          </w:p>
        </w:tc>
      </w:tr>
      <w:tr w:rsidR="007F6DF9">
        <w:trPr>
          <w:trHeight w:val="251"/>
        </w:trPr>
        <w:tc>
          <w:tcPr>
            <w:tcW w:w="857" w:type="dxa"/>
          </w:tcPr>
          <w:p w:rsidR="007F6DF9" w:rsidRDefault="00A43FBC">
            <w:pPr>
              <w:pStyle w:val="TableParagraph"/>
              <w:spacing w:line="232" w:lineRule="exact"/>
              <w:ind w:left="107"/>
              <w:rPr>
                <w:rFonts w:ascii="Times New Roman"/>
              </w:rPr>
            </w:pPr>
            <w:r>
              <w:rPr>
                <w:rFonts w:ascii="Times New Roman"/>
                <w:spacing w:val="-10"/>
              </w:rPr>
              <w:t>6</w:t>
            </w:r>
          </w:p>
        </w:tc>
        <w:tc>
          <w:tcPr>
            <w:tcW w:w="6795" w:type="dxa"/>
          </w:tcPr>
          <w:p w:rsidR="007F6DF9" w:rsidRDefault="007F6DF9">
            <w:pPr>
              <w:pStyle w:val="TableParagraph"/>
              <w:rPr>
                <w:rFonts w:ascii="Times New Roman"/>
                <w:sz w:val="18"/>
              </w:rPr>
            </w:pPr>
          </w:p>
        </w:tc>
        <w:tc>
          <w:tcPr>
            <w:tcW w:w="1843" w:type="dxa"/>
          </w:tcPr>
          <w:p w:rsidR="007F6DF9" w:rsidRDefault="007F6DF9">
            <w:pPr>
              <w:pStyle w:val="TableParagraph"/>
              <w:rPr>
                <w:rFonts w:ascii="Times New Roman"/>
                <w:sz w:val="18"/>
              </w:rPr>
            </w:pPr>
          </w:p>
        </w:tc>
      </w:tr>
      <w:tr w:rsidR="007F6DF9">
        <w:trPr>
          <w:trHeight w:val="254"/>
        </w:trPr>
        <w:tc>
          <w:tcPr>
            <w:tcW w:w="857" w:type="dxa"/>
            <w:shd w:val="clear" w:color="auto" w:fill="D0CECE"/>
          </w:tcPr>
          <w:p w:rsidR="007F6DF9" w:rsidRDefault="007F6DF9">
            <w:pPr>
              <w:pStyle w:val="TableParagraph"/>
              <w:rPr>
                <w:rFonts w:ascii="Times New Roman"/>
                <w:sz w:val="18"/>
              </w:rPr>
            </w:pPr>
          </w:p>
        </w:tc>
        <w:tc>
          <w:tcPr>
            <w:tcW w:w="6795" w:type="dxa"/>
            <w:shd w:val="clear" w:color="auto" w:fill="D0CECE"/>
          </w:tcPr>
          <w:p w:rsidR="007F6DF9" w:rsidRDefault="00A43FBC">
            <w:pPr>
              <w:pStyle w:val="TableParagraph"/>
              <w:spacing w:line="234" w:lineRule="exact"/>
              <w:ind w:left="108"/>
              <w:rPr>
                <w:rFonts w:ascii="Times New Roman"/>
              </w:rPr>
            </w:pPr>
            <w:r>
              <w:rPr>
                <w:rFonts w:ascii="Times New Roman"/>
              </w:rPr>
              <w:t>TOTAL</w:t>
            </w:r>
            <w:r>
              <w:rPr>
                <w:rFonts w:ascii="Times New Roman"/>
                <w:spacing w:val="-5"/>
              </w:rPr>
              <w:t xml:space="preserve"> </w:t>
            </w:r>
            <w:r>
              <w:rPr>
                <w:rFonts w:ascii="Times New Roman"/>
              </w:rPr>
              <w:t>CARRIED</w:t>
            </w:r>
            <w:r>
              <w:rPr>
                <w:rFonts w:ascii="Times New Roman"/>
                <w:spacing w:val="-5"/>
              </w:rPr>
              <w:t xml:space="preserve"> </w:t>
            </w:r>
            <w:r>
              <w:rPr>
                <w:rFonts w:ascii="Times New Roman"/>
              </w:rPr>
              <w:t>TO</w:t>
            </w:r>
            <w:r>
              <w:rPr>
                <w:rFonts w:ascii="Times New Roman"/>
                <w:spacing w:val="-5"/>
              </w:rPr>
              <w:t xml:space="preserve"> </w:t>
            </w:r>
            <w:r>
              <w:rPr>
                <w:rFonts w:ascii="Times New Roman"/>
              </w:rPr>
              <w:t>GRAND</w:t>
            </w:r>
            <w:r>
              <w:rPr>
                <w:rFonts w:ascii="Times New Roman"/>
                <w:spacing w:val="-5"/>
              </w:rPr>
              <w:t xml:space="preserve"> </w:t>
            </w:r>
            <w:r>
              <w:rPr>
                <w:rFonts w:ascii="Times New Roman"/>
                <w:spacing w:val="-2"/>
              </w:rPr>
              <w:t>SUMMARY</w:t>
            </w:r>
          </w:p>
        </w:tc>
        <w:tc>
          <w:tcPr>
            <w:tcW w:w="1843" w:type="dxa"/>
            <w:shd w:val="clear" w:color="auto" w:fill="D0CECE"/>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pgSz w:w="11920" w:h="16850"/>
          <w:pgMar w:top="360" w:right="283" w:bottom="620" w:left="141" w:header="0" w:footer="437" w:gutter="0"/>
          <w:pgNumType w:start="67"/>
          <w:cols w:space="720"/>
        </w:sectPr>
      </w:pPr>
    </w:p>
    <w:p w:rsidR="007F6DF9" w:rsidRDefault="007F6DF9">
      <w:pPr>
        <w:pStyle w:val="BodyText"/>
        <w:spacing w:before="170"/>
        <w:rPr>
          <w:b/>
          <w:sz w:val="24"/>
        </w:rPr>
      </w:pPr>
    </w:p>
    <w:p w:rsidR="007F6DF9" w:rsidRDefault="00A43FBC">
      <w:pPr>
        <w:pStyle w:val="Heading6"/>
      </w:pPr>
      <w:r>
        <w:rPr>
          <w:color w:val="221F1F"/>
        </w:rPr>
        <w:t>BILL NO. 2:</w:t>
      </w:r>
      <w:r>
        <w:rPr>
          <w:color w:val="221F1F"/>
          <w:spacing w:val="-1"/>
        </w:rPr>
        <w:t xml:space="preserve"> </w:t>
      </w:r>
      <w:r>
        <w:rPr>
          <w:color w:val="221F1F"/>
        </w:rPr>
        <w:t xml:space="preserve">WORK </w:t>
      </w:r>
      <w:r>
        <w:rPr>
          <w:color w:val="221F1F"/>
          <w:spacing w:val="-4"/>
        </w:rPr>
        <w:t>ITEMS</w:t>
      </w:r>
    </w:p>
    <w:p w:rsidR="007F6DF9" w:rsidRDefault="00A43FBC">
      <w:pPr>
        <w:spacing w:before="241" w:line="232" w:lineRule="auto"/>
        <w:ind w:left="711" w:right="332"/>
        <w:rPr>
          <w:i/>
        </w:rPr>
      </w:pPr>
      <w:r>
        <w:rPr>
          <w:i/>
          <w:color w:val="221F1F"/>
        </w:rPr>
        <w:t>(organized</w:t>
      </w:r>
      <w:r>
        <w:rPr>
          <w:i/>
          <w:color w:val="221F1F"/>
          <w:spacing w:val="-3"/>
        </w:rPr>
        <w:t xml:space="preserve"> </w:t>
      </w:r>
      <w:r>
        <w:rPr>
          <w:i/>
          <w:color w:val="221F1F"/>
        </w:rPr>
        <w:t>appropriately</w:t>
      </w:r>
      <w:r>
        <w:rPr>
          <w:i/>
          <w:color w:val="221F1F"/>
          <w:spacing w:val="-3"/>
        </w:rPr>
        <w:t xml:space="preserve"> </w:t>
      </w:r>
      <w:r>
        <w:rPr>
          <w:i/>
          <w:color w:val="221F1F"/>
        </w:rPr>
        <w:t>into</w:t>
      </w:r>
      <w:r>
        <w:rPr>
          <w:i/>
          <w:color w:val="221F1F"/>
          <w:spacing w:val="-3"/>
        </w:rPr>
        <w:t xml:space="preserve"> </w:t>
      </w:r>
      <w:r>
        <w:rPr>
          <w:i/>
          <w:color w:val="221F1F"/>
        </w:rPr>
        <w:t>work</w:t>
      </w:r>
      <w:r>
        <w:rPr>
          <w:i/>
          <w:color w:val="221F1F"/>
          <w:spacing w:val="-5"/>
        </w:rPr>
        <w:t xml:space="preserve"> </w:t>
      </w:r>
      <w:r>
        <w:rPr>
          <w:i/>
          <w:color w:val="221F1F"/>
        </w:rPr>
        <w:t>sections,</w:t>
      </w:r>
      <w:r>
        <w:rPr>
          <w:i/>
          <w:color w:val="221F1F"/>
          <w:spacing w:val="-5"/>
        </w:rPr>
        <w:t xml:space="preserve"> </w:t>
      </w:r>
      <w:r>
        <w:rPr>
          <w:i/>
          <w:color w:val="221F1F"/>
        </w:rPr>
        <w:t>such</w:t>
      </w:r>
      <w:r>
        <w:rPr>
          <w:i/>
          <w:color w:val="221F1F"/>
          <w:spacing w:val="-6"/>
        </w:rPr>
        <w:t xml:space="preserve"> </w:t>
      </w:r>
      <w:r>
        <w:rPr>
          <w:i/>
          <w:color w:val="221F1F"/>
        </w:rPr>
        <w:t>as</w:t>
      </w:r>
      <w:r>
        <w:rPr>
          <w:i/>
          <w:color w:val="221F1F"/>
          <w:spacing w:val="-3"/>
        </w:rPr>
        <w:t xml:space="preserve"> </w:t>
      </w:r>
      <w:r>
        <w:rPr>
          <w:i/>
          <w:color w:val="221F1F"/>
        </w:rPr>
        <w:t>foundations,</w:t>
      </w:r>
      <w:r>
        <w:rPr>
          <w:i/>
          <w:color w:val="221F1F"/>
          <w:spacing w:val="-5"/>
        </w:rPr>
        <w:t xml:space="preserve"> </w:t>
      </w:r>
      <w:r>
        <w:rPr>
          <w:i/>
          <w:color w:val="221F1F"/>
        </w:rPr>
        <w:t>walls/structure,</w:t>
      </w:r>
      <w:r>
        <w:rPr>
          <w:i/>
          <w:color w:val="221F1F"/>
          <w:spacing w:val="-6"/>
        </w:rPr>
        <w:t xml:space="preserve"> </w:t>
      </w:r>
      <w:r>
        <w:rPr>
          <w:i/>
          <w:color w:val="221F1F"/>
        </w:rPr>
        <w:t>finishes,</w:t>
      </w:r>
      <w:r>
        <w:rPr>
          <w:i/>
          <w:color w:val="221F1F"/>
          <w:spacing w:val="-3"/>
        </w:rPr>
        <w:t xml:space="preserve"> </w:t>
      </w:r>
      <w:r>
        <w:rPr>
          <w:i/>
          <w:color w:val="221F1F"/>
        </w:rPr>
        <w:t>doors</w:t>
      </w:r>
      <w:r>
        <w:rPr>
          <w:i/>
          <w:color w:val="221F1F"/>
          <w:spacing w:val="-5"/>
        </w:rPr>
        <w:t xml:space="preserve"> </w:t>
      </w:r>
      <w:r>
        <w:rPr>
          <w:i/>
          <w:color w:val="221F1F"/>
        </w:rPr>
        <w:t>and windows, mechanical installations. etc.</w:t>
      </w:r>
    </w:p>
    <w:p w:rsidR="007F6DF9" w:rsidRDefault="00A43FBC">
      <w:pPr>
        <w:spacing w:before="235"/>
        <w:ind w:left="711"/>
        <w:rPr>
          <w:i/>
        </w:rPr>
      </w:pPr>
      <w:r>
        <w:rPr>
          <w:b/>
          <w:color w:val="221F1F"/>
        </w:rPr>
        <w:t>Bill</w:t>
      </w:r>
      <w:r>
        <w:rPr>
          <w:b/>
          <w:color w:val="221F1F"/>
          <w:spacing w:val="-4"/>
        </w:rPr>
        <w:t xml:space="preserve"> </w:t>
      </w:r>
      <w:r>
        <w:rPr>
          <w:b/>
          <w:color w:val="221F1F"/>
        </w:rPr>
        <w:t>No</w:t>
      </w:r>
      <w:r>
        <w:rPr>
          <w:b/>
          <w:color w:val="221F1F"/>
          <w:spacing w:val="-2"/>
        </w:rPr>
        <w:t xml:space="preserve"> </w:t>
      </w:r>
      <w:r>
        <w:rPr>
          <w:b/>
          <w:color w:val="221F1F"/>
        </w:rPr>
        <w:t>2</w:t>
      </w:r>
      <w:r>
        <w:rPr>
          <w:b/>
          <w:color w:val="221F1F"/>
          <w:spacing w:val="-1"/>
        </w:rPr>
        <w:t xml:space="preserve"> </w:t>
      </w:r>
      <w:r>
        <w:rPr>
          <w:b/>
          <w:color w:val="221F1F"/>
        </w:rPr>
        <w:t>-</w:t>
      </w:r>
      <w:r>
        <w:rPr>
          <w:b/>
          <w:color w:val="221F1F"/>
          <w:spacing w:val="-4"/>
        </w:rPr>
        <w:t xml:space="preserve"> </w:t>
      </w:r>
      <w:r>
        <w:rPr>
          <w:i/>
          <w:color w:val="221F1F"/>
        </w:rPr>
        <w:t>(Name</w:t>
      </w:r>
      <w:r>
        <w:rPr>
          <w:i/>
          <w:color w:val="221F1F"/>
          <w:spacing w:val="-2"/>
        </w:rPr>
        <w:t xml:space="preserve"> </w:t>
      </w:r>
      <w:r>
        <w:rPr>
          <w:i/>
          <w:color w:val="221F1F"/>
        </w:rPr>
        <w:t>of</w:t>
      </w:r>
      <w:r>
        <w:rPr>
          <w:i/>
          <w:color w:val="221F1F"/>
          <w:spacing w:val="-1"/>
        </w:rPr>
        <w:t xml:space="preserve"> </w:t>
      </w:r>
      <w:r>
        <w:rPr>
          <w:i/>
          <w:color w:val="221F1F"/>
        </w:rPr>
        <w:t>Section</w:t>
      </w:r>
      <w:r>
        <w:rPr>
          <w:i/>
          <w:color w:val="221F1F"/>
          <w:spacing w:val="-2"/>
        </w:rPr>
        <w:t xml:space="preserve"> </w:t>
      </w:r>
      <w:proofErr w:type="gramStart"/>
      <w:r>
        <w:rPr>
          <w:i/>
          <w:color w:val="221F1F"/>
        </w:rPr>
        <w:t>e.g.</w:t>
      </w:r>
      <w:proofErr w:type="gramEnd"/>
      <w:r>
        <w:rPr>
          <w:i/>
          <w:color w:val="221F1F"/>
          <w:spacing w:val="-1"/>
        </w:rPr>
        <w:t xml:space="preserve"> </w:t>
      </w:r>
      <w:r>
        <w:rPr>
          <w:i/>
          <w:color w:val="221F1F"/>
          <w:spacing w:val="-2"/>
        </w:rPr>
        <w:t>Foundations).</w:t>
      </w:r>
    </w:p>
    <w:p w:rsidR="007F6DF9" w:rsidRDefault="007F6DF9">
      <w:pPr>
        <w:pStyle w:val="BodyText"/>
        <w:spacing w:before="54"/>
        <w:rPr>
          <w:i/>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4109"/>
        <w:gridCol w:w="994"/>
        <w:gridCol w:w="1104"/>
        <w:gridCol w:w="937"/>
        <w:gridCol w:w="1078"/>
      </w:tblGrid>
      <w:tr w:rsidR="007F6DF9">
        <w:trPr>
          <w:trHeight w:val="374"/>
        </w:trPr>
        <w:tc>
          <w:tcPr>
            <w:tcW w:w="994" w:type="dxa"/>
          </w:tcPr>
          <w:p w:rsidR="007F6DF9" w:rsidRDefault="00A43FBC">
            <w:pPr>
              <w:pStyle w:val="TableParagraph"/>
              <w:spacing w:before="61"/>
              <w:ind w:left="107"/>
              <w:rPr>
                <w:rFonts w:ascii="Times New Roman"/>
                <w:b/>
                <w:i/>
              </w:rPr>
            </w:pPr>
            <w:r>
              <w:rPr>
                <w:rFonts w:ascii="Times New Roman"/>
                <w:b/>
                <w:i/>
              </w:rPr>
              <w:t xml:space="preserve">Item </w:t>
            </w:r>
            <w:r>
              <w:rPr>
                <w:rFonts w:ascii="Times New Roman"/>
                <w:b/>
                <w:i/>
                <w:spacing w:val="-5"/>
              </w:rPr>
              <w:t>no.</w:t>
            </w:r>
          </w:p>
        </w:tc>
        <w:tc>
          <w:tcPr>
            <w:tcW w:w="4109" w:type="dxa"/>
          </w:tcPr>
          <w:p w:rsidR="007F6DF9" w:rsidRDefault="00A43FBC">
            <w:pPr>
              <w:pStyle w:val="TableParagraph"/>
              <w:spacing w:before="61"/>
              <w:ind w:left="105"/>
              <w:rPr>
                <w:rFonts w:ascii="Times New Roman"/>
                <w:b/>
                <w:i/>
              </w:rPr>
            </w:pPr>
            <w:r>
              <w:rPr>
                <w:rFonts w:ascii="Times New Roman"/>
                <w:b/>
                <w:i/>
                <w:spacing w:val="-2"/>
              </w:rPr>
              <w:t>Description</w:t>
            </w:r>
          </w:p>
        </w:tc>
        <w:tc>
          <w:tcPr>
            <w:tcW w:w="994" w:type="dxa"/>
          </w:tcPr>
          <w:p w:rsidR="007F6DF9" w:rsidRDefault="00A43FBC">
            <w:pPr>
              <w:pStyle w:val="TableParagraph"/>
              <w:spacing w:before="61"/>
              <w:ind w:left="108"/>
              <w:rPr>
                <w:rFonts w:ascii="Times New Roman"/>
                <w:b/>
                <w:i/>
              </w:rPr>
            </w:pPr>
            <w:r>
              <w:rPr>
                <w:rFonts w:ascii="Times New Roman"/>
                <w:b/>
                <w:i/>
                <w:spacing w:val="-4"/>
              </w:rPr>
              <w:t>Unit</w:t>
            </w:r>
          </w:p>
        </w:tc>
        <w:tc>
          <w:tcPr>
            <w:tcW w:w="1104" w:type="dxa"/>
          </w:tcPr>
          <w:p w:rsidR="007F6DF9" w:rsidRDefault="00A43FBC">
            <w:pPr>
              <w:pStyle w:val="TableParagraph"/>
              <w:spacing w:before="61"/>
              <w:ind w:left="108"/>
              <w:rPr>
                <w:rFonts w:ascii="Times New Roman"/>
                <w:b/>
                <w:i/>
              </w:rPr>
            </w:pPr>
            <w:r>
              <w:rPr>
                <w:rFonts w:ascii="Times New Roman"/>
                <w:b/>
                <w:i/>
                <w:spacing w:val="-2"/>
              </w:rPr>
              <w:t>Quantity</w:t>
            </w:r>
          </w:p>
        </w:tc>
        <w:tc>
          <w:tcPr>
            <w:tcW w:w="937" w:type="dxa"/>
          </w:tcPr>
          <w:p w:rsidR="007F6DF9" w:rsidRDefault="00A43FBC">
            <w:pPr>
              <w:pStyle w:val="TableParagraph"/>
              <w:spacing w:before="61"/>
              <w:ind w:left="105"/>
              <w:rPr>
                <w:rFonts w:ascii="Times New Roman"/>
                <w:b/>
                <w:i/>
              </w:rPr>
            </w:pPr>
            <w:r>
              <w:rPr>
                <w:rFonts w:ascii="Times New Roman"/>
                <w:b/>
                <w:i/>
                <w:spacing w:val="-4"/>
              </w:rPr>
              <w:t>Rate</w:t>
            </w:r>
          </w:p>
        </w:tc>
        <w:tc>
          <w:tcPr>
            <w:tcW w:w="1078" w:type="dxa"/>
          </w:tcPr>
          <w:p w:rsidR="007F6DF9" w:rsidRDefault="00A43FBC">
            <w:pPr>
              <w:pStyle w:val="TableParagraph"/>
              <w:spacing w:before="61"/>
              <w:ind w:left="105"/>
              <w:rPr>
                <w:rFonts w:ascii="Times New Roman"/>
                <w:b/>
                <w:i/>
              </w:rPr>
            </w:pPr>
            <w:r>
              <w:rPr>
                <w:rFonts w:ascii="Times New Roman"/>
                <w:b/>
                <w:i/>
                <w:spacing w:val="-2"/>
              </w:rPr>
              <w:t>Amount</w:t>
            </w: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8138" w:type="dxa"/>
            <w:gridSpan w:val="5"/>
            <w:shd w:val="clear" w:color="auto" w:fill="D0CECE"/>
          </w:tcPr>
          <w:p w:rsidR="007F6DF9" w:rsidRDefault="00A43FBC">
            <w:pPr>
              <w:pStyle w:val="TableParagraph"/>
              <w:tabs>
                <w:tab w:val="left" w:pos="5148"/>
              </w:tabs>
              <w:spacing w:before="61"/>
              <w:ind w:left="107"/>
              <w:rPr>
                <w:rFonts w:ascii="Times New Roman"/>
              </w:rPr>
            </w:pPr>
            <w:r>
              <w:rPr>
                <w:rFonts w:ascii="Times New Roman"/>
              </w:rPr>
              <w:t>Total for</w:t>
            </w:r>
            <w:r>
              <w:rPr>
                <w:rFonts w:ascii="Times New Roman"/>
                <w:spacing w:val="-1"/>
              </w:rPr>
              <w:t xml:space="preserve"> </w:t>
            </w:r>
            <w:r>
              <w:rPr>
                <w:rFonts w:ascii="Times New Roman"/>
              </w:rPr>
              <w:t>Bill No.</w:t>
            </w:r>
            <w:r>
              <w:rPr>
                <w:rFonts w:ascii="Times New Roman"/>
                <w:spacing w:val="-4"/>
              </w:rPr>
              <w:t xml:space="preserve"> </w:t>
            </w:r>
            <w:r>
              <w:rPr>
                <w:rFonts w:ascii="Times New Roman"/>
              </w:rPr>
              <w:t>2</w:t>
            </w:r>
            <w:r>
              <w:rPr>
                <w:rFonts w:ascii="Times New Roman"/>
                <w:spacing w:val="-1"/>
              </w:rPr>
              <w:t xml:space="preserve"> </w:t>
            </w:r>
            <w:r>
              <w:rPr>
                <w:rFonts w:ascii="Times New Roman"/>
              </w:rPr>
              <w:t>(carried</w:t>
            </w:r>
            <w:r>
              <w:rPr>
                <w:rFonts w:ascii="Times New Roman"/>
                <w:spacing w:val="-3"/>
              </w:rPr>
              <w:t xml:space="preserve"> </w:t>
            </w:r>
            <w:r>
              <w:rPr>
                <w:rFonts w:ascii="Times New Roman"/>
              </w:rPr>
              <w:t>forward</w:t>
            </w:r>
            <w:r>
              <w:rPr>
                <w:rFonts w:ascii="Times New Roman"/>
                <w:spacing w:val="-4"/>
              </w:rPr>
              <w:t xml:space="preserve"> </w:t>
            </w:r>
            <w:r>
              <w:rPr>
                <w:rFonts w:ascii="Times New Roman"/>
              </w:rPr>
              <w:t>to</w:t>
            </w:r>
            <w:r>
              <w:rPr>
                <w:rFonts w:ascii="Times New Roman"/>
                <w:spacing w:val="-1"/>
              </w:rPr>
              <w:t xml:space="preserve"> </w:t>
            </w:r>
            <w:r>
              <w:rPr>
                <w:rFonts w:ascii="Times New Roman"/>
              </w:rPr>
              <w:t>Summary,</w:t>
            </w:r>
            <w:r>
              <w:rPr>
                <w:rFonts w:ascii="Times New Roman"/>
                <w:spacing w:val="-4"/>
              </w:rPr>
              <w:t xml:space="preserve"> </w:t>
            </w:r>
            <w:r>
              <w:rPr>
                <w:rFonts w:ascii="Times New Roman"/>
              </w:rPr>
              <w:t xml:space="preserve">p. </w:t>
            </w:r>
            <w:r>
              <w:rPr>
                <w:rFonts w:ascii="Times New Roman"/>
                <w:u w:val="single"/>
              </w:rPr>
              <w:tab/>
            </w:r>
            <w:r>
              <w:rPr>
                <w:rFonts w:ascii="Times New Roman"/>
                <w:spacing w:val="-10"/>
              </w:rPr>
              <w:t>)</w:t>
            </w:r>
          </w:p>
        </w:tc>
        <w:tc>
          <w:tcPr>
            <w:tcW w:w="1078" w:type="dxa"/>
            <w:shd w:val="clear" w:color="auto" w:fill="D0CECE"/>
          </w:tcPr>
          <w:p w:rsidR="007F6DF9" w:rsidRDefault="007F6DF9">
            <w:pPr>
              <w:pStyle w:val="TableParagraph"/>
              <w:spacing w:before="60"/>
              <w:rPr>
                <w:rFonts w:ascii="Times New Roman"/>
                <w:i/>
                <w:sz w:val="20"/>
              </w:rPr>
            </w:pPr>
          </w:p>
          <w:p w:rsidR="007F6DF9" w:rsidRDefault="00A43FBC">
            <w:pPr>
              <w:pStyle w:val="TableParagraph"/>
              <w:spacing w:line="20" w:lineRule="exact"/>
              <w:ind w:left="105"/>
              <w:rPr>
                <w:rFonts w:ascii="Times New Roman"/>
                <w:sz w:val="2"/>
              </w:rPr>
            </w:pPr>
            <w:r>
              <w:rPr>
                <w:rFonts w:ascii="Times New Roman"/>
                <w:noProof/>
                <w:sz w:val="2"/>
              </w:rPr>
              <mc:AlternateContent>
                <mc:Choice Requires="wpg">
                  <w:drawing>
                    <wp:inline distT="0" distB="0" distL="0" distR="0">
                      <wp:extent cx="457200" cy="6350"/>
                      <wp:effectExtent l="0"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303" name="Graphic 298"/>
                              <wps:cNvSpPr/>
                              <wps:spPr>
                                <a:xfrm>
                                  <a:off x="0" y="0"/>
                                  <a:ext cx="457200" cy="6350"/>
                                </a:xfrm>
                                <a:custGeom>
                                  <a:avLst/>
                                  <a:gdLst/>
                                  <a:ahLst/>
                                  <a:cxnLst/>
                                  <a:rect l="l" t="t" r="r" b="b"/>
                                  <a:pathLst>
                                    <a:path w="457200" h="6350">
                                      <a:moveTo>
                                        <a:pt x="457200" y="0"/>
                                      </a:moveTo>
                                      <a:lnTo>
                                        <a:pt x="0" y="0"/>
                                      </a:lnTo>
                                      <a:lnTo>
                                        <a:pt x="0" y="6096"/>
                                      </a:lnTo>
                                      <a:lnTo>
                                        <a:pt x="457200" y="6096"/>
                                      </a:lnTo>
                                      <a:lnTo>
                                        <a:pt x="457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7D5B36" id="Group 297"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">
                      <v:shape id="Graphic 298" o:spid="_x0000_s1027" style="position:absolute;width:457200;height:6350;visibility:visible;mso-wrap-style:square;v-text-anchor:top" coordsize="457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" path="m457200,l,,,6096r457200,l457200,xe" fillcolor="black" stroked="f">
                        <v:path arrowok="t"/>
                      </v:shape>
                      <w10:anchorlock/>
                    </v:group>
                  </w:pict>
                </mc:Fallback>
              </mc:AlternateContent>
            </w:r>
          </w:p>
        </w:tc>
      </w:tr>
    </w:tbl>
    <w:p w:rsidR="007F6DF9" w:rsidRDefault="007F6DF9">
      <w:pPr>
        <w:pStyle w:val="TableParagraph"/>
        <w:spacing w:line="20" w:lineRule="exact"/>
        <w:rPr>
          <w:rFonts w:ascii="Times New Roman"/>
          <w:sz w:val="2"/>
        </w:rPr>
        <w:sectPr w:rsidR="007F6DF9">
          <w:pgSz w:w="11920" w:h="16850"/>
          <w:pgMar w:top="360" w:right="283" w:bottom="620" w:left="141" w:header="0" w:footer="437" w:gutter="0"/>
          <w:cols w:space="720"/>
        </w:sectPr>
      </w:pPr>
    </w:p>
    <w:p w:rsidR="007F6DF9" w:rsidRDefault="007F6DF9">
      <w:pPr>
        <w:pStyle w:val="BodyText"/>
        <w:spacing w:before="148"/>
        <w:rPr>
          <w:i/>
          <w:sz w:val="24"/>
        </w:rPr>
      </w:pPr>
    </w:p>
    <w:p w:rsidR="007F6DF9" w:rsidRDefault="00A43FBC">
      <w:pPr>
        <w:pStyle w:val="Heading7"/>
        <w:ind w:left="706"/>
      </w:pPr>
      <w:r>
        <w:rPr>
          <w:color w:val="221F1F"/>
        </w:rPr>
        <w:t>Bill</w:t>
      </w:r>
      <w:r>
        <w:rPr>
          <w:color w:val="221F1F"/>
          <w:spacing w:val="-1"/>
        </w:rPr>
        <w:t xml:space="preserve"> </w:t>
      </w:r>
      <w:r>
        <w:rPr>
          <w:color w:val="221F1F"/>
        </w:rPr>
        <w:t>No.</w:t>
      </w:r>
      <w:r>
        <w:rPr>
          <w:color w:val="221F1F"/>
          <w:spacing w:val="-1"/>
        </w:rPr>
        <w:t xml:space="preserve"> </w:t>
      </w:r>
      <w:r>
        <w:rPr>
          <w:color w:val="221F1F"/>
        </w:rPr>
        <w:t>3:</w:t>
      </w:r>
      <w:r>
        <w:rPr>
          <w:color w:val="221F1F"/>
          <w:spacing w:val="-2"/>
        </w:rPr>
        <w:t xml:space="preserve"> </w:t>
      </w:r>
      <w:r>
        <w:rPr>
          <w:color w:val="221F1F"/>
        </w:rPr>
        <w:t>Schedule</w:t>
      </w:r>
      <w:r>
        <w:rPr>
          <w:color w:val="221F1F"/>
          <w:spacing w:val="-1"/>
        </w:rPr>
        <w:t xml:space="preserve"> </w:t>
      </w:r>
      <w:r>
        <w:rPr>
          <w:color w:val="221F1F"/>
        </w:rPr>
        <w:t>of</w:t>
      </w:r>
      <w:r>
        <w:rPr>
          <w:color w:val="221F1F"/>
          <w:spacing w:val="-5"/>
        </w:rPr>
        <w:t xml:space="preserve"> </w:t>
      </w:r>
      <w:proofErr w:type="spellStart"/>
      <w:r>
        <w:rPr>
          <w:color w:val="221F1F"/>
        </w:rPr>
        <w:t>Daywork</w:t>
      </w:r>
      <w:proofErr w:type="spellEnd"/>
      <w:r>
        <w:rPr>
          <w:color w:val="221F1F"/>
          <w:spacing w:val="-1"/>
        </w:rPr>
        <w:t xml:space="preserve"> </w:t>
      </w:r>
      <w:r>
        <w:rPr>
          <w:color w:val="221F1F"/>
        </w:rPr>
        <w:t>Rates</w:t>
      </w:r>
      <w:r>
        <w:rPr>
          <w:color w:val="221F1F"/>
          <w:spacing w:val="4"/>
        </w:rPr>
        <w:t xml:space="preserve"> </w:t>
      </w:r>
      <w:r>
        <w:rPr>
          <w:color w:val="221F1F"/>
        </w:rPr>
        <w:t>-</w:t>
      </w:r>
      <w:r>
        <w:rPr>
          <w:color w:val="221F1F"/>
          <w:spacing w:val="-1"/>
        </w:rPr>
        <w:t xml:space="preserve"> </w:t>
      </w:r>
      <w:r>
        <w:rPr>
          <w:color w:val="221F1F"/>
          <w:spacing w:val="-4"/>
        </w:rPr>
        <w:t>Labor</w:t>
      </w:r>
    </w:p>
    <w:p w:rsidR="007F6DF9" w:rsidRDefault="007F6DF9">
      <w:pPr>
        <w:pStyle w:val="BodyText"/>
        <w:spacing w:before="4"/>
        <w:rPr>
          <w:b/>
          <w:sz w:val="15"/>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2"/>
        <w:gridCol w:w="864"/>
        <w:gridCol w:w="1080"/>
        <w:gridCol w:w="937"/>
        <w:gridCol w:w="1176"/>
      </w:tblGrid>
      <w:tr w:rsidR="007F6DF9">
        <w:trPr>
          <w:trHeight w:val="626"/>
        </w:trPr>
        <w:tc>
          <w:tcPr>
            <w:tcW w:w="1080" w:type="dxa"/>
          </w:tcPr>
          <w:p w:rsidR="007F6DF9" w:rsidRDefault="00A43FBC">
            <w:pPr>
              <w:pStyle w:val="TableParagraph"/>
              <w:spacing w:before="63"/>
              <w:ind w:left="107"/>
              <w:rPr>
                <w:rFonts w:ascii="Times New Roman"/>
                <w:b/>
              </w:rPr>
            </w:pPr>
            <w:r>
              <w:rPr>
                <w:rFonts w:ascii="Times New Roman"/>
                <w:b/>
              </w:rPr>
              <w:t>Item</w:t>
            </w:r>
            <w:r>
              <w:rPr>
                <w:rFonts w:ascii="Times New Roman"/>
                <w:b/>
                <w:spacing w:val="-1"/>
              </w:rPr>
              <w:t xml:space="preserve"> </w:t>
            </w:r>
            <w:r>
              <w:rPr>
                <w:rFonts w:ascii="Times New Roman"/>
                <w:b/>
                <w:spacing w:val="-5"/>
              </w:rPr>
              <w:t>no.</w:t>
            </w:r>
          </w:p>
        </w:tc>
        <w:tc>
          <w:tcPr>
            <w:tcW w:w="4032" w:type="dxa"/>
          </w:tcPr>
          <w:p w:rsidR="007F6DF9" w:rsidRDefault="00A43FBC">
            <w:pPr>
              <w:pStyle w:val="TableParagraph"/>
              <w:spacing w:before="63"/>
              <w:ind w:left="108"/>
              <w:rPr>
                <w:rFonts w:ascii="Times New Roman"/>
                <w:b/>
              </w:rPr>
            </w:pPr>
            <w:r>
              <w:rPr>
                <w:rFonts w:ascii="Times New Roman"/>
                <w:b/>
                <w:spacing w:val="-2"/>
              </w:rPr>
              <w:t>Description</w:t>
            </w:r>
          </w:p>
        </w:tc>
        <w:tc>
          <w:tcPr>
            <w:tcW w:w="864" w:type="dxa"/>
          </w:tcPr>
          <w:p w:rsidR="007F6DF9" w:rsidRDefault="00A43FBC">
            <w:pPr>
              <w:pStyle w:val="TableParagraph"/>
              <w:spacing w:before="63"/>
              <w:ind w:left="108"/>
              <w:rPr>
                <w:rFonts w:ascii="Times New Roman"/>
                <w:b/>
              </w:rPr>
            </w:pPr>
            <w:r>
              <w:rPr>
                <w:rFonts w:ascii="Times New Roman"/>
                <w:b/>
                <w:spacing w:val="-4"/>
              </w:rPr>
              <w:t>Unit</w:t>
            </w:r>
          </w:p>
        </w:tc>
        <w:tc>
          <w:tcPr>
            <w:tcW w:w="1080" w:type="dxa"/>
          </w:tcPr>
          <w:p w:rsidR="007F6DF9" w:rsidRDefault="00A43FBC">
            <w:pPr>
              <w:pStyle w:val="TableParagraph"/>
              <w:spacing w:before="61"/>
              <w:ind w:left="109" w:right="148"/>
              <w:rPr>
                <w:rFonts w:ascii="Times New Roman"/>
                <w:b/>
              </w:rPr>
            </w:pPr>
            <w:r>
              <w:rPr>
                <w:rFonts w:ascii="Times New Roman"/>
                <w:b/>
                <w:spacing w:val="-2"/>
              </w:rPr>
              <w:t>Nominal quantity</w:t>
            </w:r>
          </w:p>
        </w:tc>
        <w:tc>
          <w:tcPr>
            <w:tcW w:w="937" w:type="dxa"/>
          </w:tcPr>
          <w:p w:rsidR="007F6DF9" w:rsidRDefault="00A43FBC">
            <w:pPr>
              <w:pStyle w:val="TableParagraph"/>
              <w:spacing w:before="63"/>
              <w:ind w:left="109"/>
              <w:rPr>
                <w:rFonts w:ascii="Times New Roman"/>
                <w:b/>
              </w:rPr>
            </w:pPr>
            <w:r>
              <w:rPr>
                <w:rFonts w:ascii="Times New Roman"/>
                <w:b/>
                <w:spacing w:val="-4"/>
              </w:rPr>
              <w:t>Rate</w:t>
            </w:r>
          </w:p>
        </w:tc>
        <w:tc>
          <w:tcPr>
            <w:tcW w:w="1176" w:type="dxa"/>
          </w:tcPr>
          <w:p w:rsidR="007F6DF9" w:rsidRDefault="00A43FBC">
            <w:pPr>
              <w:pStyle w:val="TableParagraph"/>
              <w:spacing w:before="63"/>
              <w:ind w:left="108"/>
              <w:rPr>
                <w:rFonts w:ascii="Times New Roman"/>
                <w:b/>
              </w:rPr>
            </w:pPr>
            <w:r>
              <w:rPr>
                <w:rFonts w:ascii="Times New Roman"/>
                <w:b/>
                <w:spacing w:val="-2"/>
              </w:rPr>
              <w:t>Amount</w:t>
            </w:r>
          </w:p>
        </w:tc>
      </w:tr>
      <w:tr w:rsidR="007F6DF9">
        <w:trPr>
          <w:trHeight w:val="374"/>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4"/>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4"/>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6913" w:type="dxa"/>
            <w:gridSpan w:val="4"/>
          </w:tcPr>
          <w:p w:rsidR="007F6DF9" w:rsidRDefault="00A43FBC">
            <w:pPr>
              <w:pStyle w:val="TableParagraph"/>
              <w:spacing w:before="61"/>
              <w:ind w:left="108"/>
              <w:rPr>
                <w:rFonts w:ascii="Times New Roman"/>
              </w:rPr>
            </w:pPr>
            <w:r>
              <w:rPr>
                <w:rFonts w:ascii="Times New Roman"/>
                <w:spacing w:val="-2"/>
              </w:rPr>
              <w:t>Subtotal</w:t>
            </w:r>
          </w:p>
        </w:tc>
        <w:tc>
          <w:tcPr>
            <w:tcW w:w="1176" w:type="dxa"/>
          </w:tcPr>
          <w:p w:rsidR="007F6DF9" w:rsidRDefault="007F6DF9">
            <w:pPr>
              <w:pStyle w:val="TableParagraph"/>
              <w:rPr>
                <w:rFonts w:ascii="Times New Roman"/>
              </w:rPr>
            </w:pPr>
          </w:p>
        </w:tc>
      </w:tr>
      <w:tr w:rsidR="007F6DF9">
        <w:trPr>
          <w:trHeight w:val="625"/>
        </w:trPr>
        <w:tc>
          <w:tcPr>
            <w:tcW w:w="1080" w:type="dxa"/>
          </w:tcPr>
          <w:p w:rsidR="007F6DF9" w:rsidRDefault="007F6DF9">
            <w:pPr>
              <w:pStyle w:val="TableParagraph"/>
              <w:rPr>
                <w:rFonts w:ascii="Times New Roman"/>
              </w:rPr>
            </w:pPr>
          </w:p>
        </w:tc>
        <w:tc>
          <w:tcPr>
            <w:tcW w:w="5976" w:type="dxa"/>
            <w:gridSpan w:val="3"/>
          </w:tcPr>
          <w:p w:rsidR="007F6DF9" w:rsidRDefault="00A43FBC">
            <w:pPr>
              <w:pStyle w:val="TableParagraph"/>
              <w:tabs>
                <w:tab w:val="left" w:pos="1209"/>
              </w:tabs>
              <w:spacing w:before="61"/>
              <w:ind w:left="108" w:right="630"/>
              <w:rPr>
                <w:rFonts w:ascii="Times New Roman" w:hAnsi="Times New Roman"/>
              </w:rPr>
            </w:pPr>
            <w:r>
              <w:rPr>
                <w:rFonts w:ascii="Times New Roman" w:hAnsi="Times New Roman"/>
              </w:rPr>
              <w:t xml:space="preserve">Allow </w:t>
            </w:r>
            <w:r>
              <w:rPr>
                <w:rFonts w:ascii="Times New Roman" w:hAnsi="Times New Roman"/>
                <w:u w:val="single"/>
              </w:rPr>
              <w:tab/>
            </w:r>
            <w:proofErr w:type="spellStart"/>
            <w:r>
              <w:rPr>
                <w:rFonts w:ascii="Times New Roman" w:hAnsi="Times New Roman"/>
              </w:rPr>
              <w:t>percent</w:t>
            </w:r>
            <w:r>
              <w:rPr>
                <w:rFonts w:ascii="Times New Roman" w:hAnsi="Times New Roman"/>
                <w:vertAlign w:val="superscript"/>
              </w:rPr>
              <w:t>a</w:t>
            </w:r>
            <w:proofErr w:type="spellEnd"/>
            <w:r>
              <w:rPr>
                <w:rFonts w:ascii="Times New Roman" w:hAnsi="Times New Roman"/>
                <w:spacing w:val="-8"/>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Subtotal</w:t>
            </w:r>
            <w:r>
              <w:rPr>
                <w:rFonts w:ascii="Times New Roman" w:hAnsi="Times New Roman"/>
                <w:spacing w:val="-6"/>
              </w:rPr>
              <w:t xml:space="preserve"> </w:t>
            </w:r>
            <w:r>
              <w:rPr>
                <w:rFonts w:ascii="Times New Roman" w:hAnsi="Times New Roman"/>
              </w:rPr>
              <w:t>for</w:t>
            </w:r>
            <w:r>
              <w:rPr>
                <w:rFonts w:ascii="Times New Roman" w:hAnsi="Times New Roman"/>
                <w:spacing w:val="-7"/>
              </w:rPr>
              <w:t xml:space="preserve"> </w:t>
            </w:r>
            <w:r>
              <w:rPr>
                <w:rFonts w:ascii="Times New Roman" w:hAnsi="Times New Roman"/>
              </w:rPr>
              <w:t>Contractor’s</w:t>
            </w:r>
            <w:r>
              <w:rPr>
                <w:rFonts w:ascii="Times New Roman" w:hAnsi="Times New Roman"/>
                <w:spacing w:val="-7"/>
              </w:rPr>
              <w:t xml:space="preserve"> </w:t>
            </w:r>
            <w:r>
              <w:rPr>
                <w:rFonts w:ascii="Times New Roman" w:hAnsi="Times New Roman"/>
              </w:rPr>
              <w:t>overhead, profit, etc., in accordance with paragraph 3 (b) above.</w:t>
            </w: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4"/>
        </w:trPr>
        <w:tc>
          <w:tcPr>
            <w:tcW w:w="1080" w:type="dxa"/>
            <w:shd w:val="clear" w:color="auto" w:fill="D0CECE"/>
          </w:tcPr>
          <w:p w:rsidR="007F6DF9" w:rsidRDefault="007F6DF9">
            <w:pPr>
              <w:pStyle w:val="TableParagraph"/>
              <w:rPr>
                <w:rFonts w:ascii="Times New Roman"/>
              </w:rPr>
            </w:pPr>
          </w:p>
        </w:tc>
        <w:tc>
          <w:tcPr>
            <w:tcW w:w="6913" w:type="dxa"/>
            <w:gridSpan w:val="4"/>
            <w:shd w:val="clear" w:color="auto" w:fill="D0CECE"/>
          </w:tcPr>
          <w:p w:rsidR="007F6DF9" w:rsidRDefault="00A43FBC">
            <w:pPr>
              <w:pStyle w:val="TableParagraph"/>
              <w:tabs>
                <w:tab w:val="left" w:pos="5869"/>
              </w:tabs>
              <w:spacing w:before="63"/>
              <w:ind w:left="108"/>
              <w:rPr>
                <w:rFonts w:ascii="Times New Roman"/>
              </w:rPr>
            </w:pPr>
            <w:r>
              <w:rPr>
                <w:rFonts w:ascii="Times New Roman"/>
              </w:rPr>
              <w:t>Total</w:t>
            </w:r>
            <w:r>
              <w:rPr>
                <w:rFonts w:ascii="Times New Roman"/>
                <w:spacing w:val="-1"/>
              </w:rPr>
              <w:t xml:space="preserve"> </w:t>
            </w:r>
            <w:r>
              <w:rPr>
                <w:rFonts w:ascii="Times New Roman"/>
              </w:rPr>
              <w:t>for</w:t>
            </w:r>
            <w:r>
              <w:rPr>
                <w:rFonts w:ascii="Times New Roman"/>
                <w:spacing w:val="-2"/>
              </w:rPr>
              <w:t xml:space="preserve"> </w:t>
            </w:r>
            <w:proofErr w:type="spellStart"/>
            <w:r>
              <w:rPr>
                <w:rFonts w:ascii="Times New Roman"/>
              </w:rPr>
              <w:t>Daywork</w:t>
            </w:r>
            <w:proofErr w:type="spellEnd"/>
            <w:r>
              <w:rPr>
                <w:rFonts w:ascii="Times New Roman"/>
                <w:spacing w:val="-2"/>
              </w:rPr>
              <w:t xml:space="preserve"> </w:t>
            </w:r>
            <w:r>
              <w:rPr>
                <w:rFonts w:ascii="Times New Roman"/>
              </w:rPr>
              <w:t>(carried</w:t>
            </w:r>
            <w:r>
              <w:rPr>
                <w:rFonts w:ascii="Times New Roman"/>
                <w:spacing w:val="-4"/>
              </w:rPr>
              <w:t xml:space="preserve"> </w:t>
            </w:r>
            <w:r>
              <w:rPr>
                <w:rFonts w:ascii="Times New Roman"/>
              </w:rPr>
              <w:t>forward</w:t>
            </w:r>
            <w:r>
              <w:rPr>
                <w:rFonts w:ascii="Times New Roman"/>
                <w:spacing w:val="-2"/>
              </w:rPr>
              <w:t xml:space="preserve"> </w:t>
            </w:r>
            <w:r>
              <w:rPr>
                <w:rFonts w:ascii="Times New Roman"/>
              </w:rPr>
              <w:t>to</w:t>
            </w:r>
            <w:r>
              <w:rPr>
                <w:rFonts w:ascii="Times New Roman"/>
                <w:spacing w:val="-2"/>
              </w:rPr>
              <w:t xml:space="preserve"> </w:t>
            </w:r>
            <w:proofErr w:type="spellStart"/>
            <w:r>
              <w:rPr>
                <w:rFonts w:ascii="Times New Roman"/>
              </w:rPr>
              <w:t>Daywork</w:t>
            </w:r>
            <w:proofErr w:type="spellEnd"/>
            <w:r>
              <w:rPr>
                <w:rFonts w:ascii="Times New Roman"/>
                <w:spacing w:val="-2"/>
              </w:rPr>
              <w:t xml:space="preserve"> </w:t>
            </w:r>
            <w:r>
              <w:rPr>
                <w:rFonts w:ascii="Times New Roman"/>
              </w:rPr>
              <w:t>Summary,</w:t>
            </w:r>
            <w:r>
              <w:rPr>
                <w:rFonts w:ascii="Times New Roman"/>
                <w:spacing w:val="-2"/>
              </w:rPr>
              <w:t xml:space="preserve"> </w:t>
            </w:r>
            <w:r>
              <w:rPr>
                <w:rFonts w:ascii="Times New Roman"/>
              </w:rPr>
              <w:t>p.</w:t>
            </w:r>
            <w:r>
              <w:rPr>
                <w:rFonts w:ascii="Times New Roman"/>
                <w:spacing w:val="-1"/>
              </w:rPr>
              <w:t xml:space="preserve"> </w:t>
            </w:r>
            <w:r>
              <w:rPr>
                <w:rFonts w:ascii="Times New Roman"/>
                <w:u w:val="single"/>
              </w:rPr>
              <w:tab/>
            </w:r>
            <w:r>
              <w:rPr>
                <w:rFonts w:ascii="Times New Roman"/>
                <w:spacing w:val="-10"/>
              </w:rPr>
              <w:t>)</w:t>
            </w:r>
          </w:p>
        </w:tc>
        <w:tc>
          <w:tcPr>
            <w:tcW w:w="1176" w:type="dxa"/>
            <w:shd w:val="clear" w:color="auto" w:fill="D0CECE"/>
          </w:tcPr>
          <w:p w:rsidR="007F6DF9" w:rsidRDefault="007F6DF9">
            <w:pPr>
              <w:pStyle w:val="TableParagraph"/>
              <w:rPr>
                <w:rFonts w:ascii="Times New Roman"/>
              </w:rPr>
            </w:pPr>
          </w:p>
        </w:tc>
      </w:tr>
    </w:tbl>
    <w:p w:rsidR="007F6DF9" w:rsidRDefault="007F6DF9">
      <w:pPr>
        <w:pStyle w:val="BodyText"/>
        <w:spacing w:before="114"/>
        <w:rPr>
          <w:b/>
          <w:sz w:val="24"/>
        </w:rPr>
      </w:pPr>
    </w:p>
    <w:p w:rsidR="007F6DF9" w:rsidRDefault="00A43FBC">
      <w:pPr>
        <w:pStyle w:val="BodyText"/>
        <w:spacing w:before="1"/>
        <w:ind w:left="708"/>
      </w:pPr>
      <w:r>
        <w:rPr>
          <w:color w:val="221F1F"/>
        </w:rPr>
        <w:t>a.</w:t>
      </w:r>
      <w:r>
        <w:rPr>
          <w:color w:val="221F1F"/>
          <w:spacing w:val="-1"/>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entered</w:t>
      </w:r>
      <w:r>
        <w:rPr>
          <w:color w:val="221F1F"/>
          <w:spacing w:val="-1"/>
        </w:rPr>
        <w:t xml:space="preserve"> </w:t>
      </w:r>
      <w:r>
        <w:rPr>
          <w:color w:val="221F1F"/>
        </w:rPr>
        <w:t>by</w:t>
      </w:r>
      <w:r>
        <w:rPr>
          <w:color w:val="221F1F"/>
          <w:spacing w:val="-3"/>
        </w:rPr>
        <w:t xml:space="preserve"> </w:t>
      </w:r>
      <w:r>
        <w:rPr>
          <w:color w:val="221F1F"/>
        </w:rPr>
        <w:t xml:space="preserve">the </w:t>
      </w:r>
      <w:r>
        <w:rPr>
          <w:color w:val="221F1F"/>
          <w:spacing w:val="-2"/>
        </w:rPr>
        <w:t>Tenderer.</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34"/>
        <w:rPr>
          <w:sz w:val="24"/>
        </w:rPr>
      </w:pPr>
    </w:p>
    <w:p w:rsidR="007F6DF9" w:rsidRDefault="00A43FBC">
      <w:pPr>
        <w:pStyle w:val="Heading7"/>
        <w:ind w:left="706"/>
      </w:pPr>
      <w:r>
        <w:rPr>
          <w:color w:val="221F1F"/>
        </w:rPr>
        <w:t>Bill</w:t>
      </w:r>
      <w:r>
        <w:rPr>
          <w:color w:val="221F1F"/>
          <w:spacing w:val="-1"/>
        </w:rPr>
        <w:t xml:space="preserve"> </w:t>
      </w:r>
      <w:r>
        <w:rPr>
          <w:color w:val="221F1F"/>
        </w:rPr>
        <w:t>No.</w:t>
      </w:r>
      <w:r>
        <w:rPr>
          <w:color w:val="221F1F"/>
          <w:spacing w:val="-1"/>
        </w:rPr>
        <w:t xml:space="preserve"> </w:t>
      </w:r>
      <w:r>
        <w:rPr>
          <w:color w:val="221F1F"/>
        </w:rPr>
        <w:t>4:</w:t>
      </w:r>
      <w:r>
        <w:rPr>
          <w:color w:val="221F1F"/>
          <w:spacing w:val="-2"/>
        </w:rPr>
        <w:t xml:space="preserve"> </w:t>
      </w:r>
      <w:r>
        <w:rPr>
          <w:color w:val="221F1F"/>
        </w:rPr>
        <w:t>Schedule</w:t>
      </w:r>
      <w:r>
        <w:rPr>
          <w:color w:val="221F1F"/>
          <w:spacing w:val="-1"/>
        </w:rPr>
        <w:t xml:space="preserve"> </w:t>
      </w:r>
      <w:r>
        <w:rPr>
          <w:color w:val="221F1F"/>
        </w:rPr>
        <w:t>of</w:t>
      </w:r>
      <w:r>
        <w:rPr>
          <w:color w:val="221F1F"/>
          <w:spacing w:val="-5"/>
        </w:rPr>
        <w:t xml:space="preserve"> </w:t>
      </w:r>
      <w:proofErr w:type="spellStart"/>
      <w:r>
        <w:rPr>
          <w:color w:val="221F1F"/>
        </w:rPr>
        <w:t>Daywork</w:t>
      </w:r>
      <w:proofErr w:type="spellEnd"/>
      <w:r>
        <w:rPr>
          <w:color w:val="221F1F"/>
          <w:spacing w:val="2"/>
        </w:rPr>
        <w:t xml:space="preserve"> </w:t>
      </w:r>
      <w:r>
        <w:rPr>
          <w:color w:val="221F1F"/>
        </w:rPr>
        <w:t>Rates</w:t>
      </w:r>
      <w:r>
        <w:rPr>
          <w:color w:val="221F1F"/>
          <w:spacing w:val="1"/>
        </w:rPr>
        <w:t xml:space="preserve"> </w:t>
      </w:r>
      <w:r>
        <w:rPr>
          <w:color w:val="221F1F"/>
        </w:rPr>
        <w:t>-</w:t>
      </w:r>
      <w:r>
        <w:rPr>
          <w:color w:val="221F1F"/>
          <w:spacing w:val="-1"/>
        </w:rPr>
        <w:t xml:space="preserve"> </w:t>
      </w:r>
      <w:r>
        <w:rPr>
          <w:color w:val="221F1F"/>
          <w:spacing w:val="-2"/>
        </w:rPr>
        <w:t>Materials</w:t>
      </w:r>
    </w:p>
    <w:p w:rsidR="007F6DF9" w:rsidRDefault="007F6DF9">
      <w:pPr>
        <w:pStyle w:val="BodyText"/>
        <w:spacing w:before="18"/>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2"/>
        <w:gridCol w:w="864"/>
        <w:gridCol w:w="1080"/>
        <w:gridCol w:w="937"/>
        <w:gridCol w:w="1176"/>
      </w:tblGrid>
      <w:tr w:rsidR="007F6DF9">
        <w:trPr>
          <w:trHeight w:val="506"/>
        </w:trPr>
        <w:tc>
          <w:tcPr>
            <w:tcW w:w="1080" w:type="dxa"/>
          </w:tcPr>
          <w:p w:rsidR="007F6DF9" w:rsidRDefault="00A43FBC">
            <w:pPr>
              <w:pStyle w:val="TableParagraph"/>
              <w:spacing w:line="251" w:lineRule="exact"/>
              <w:ind w:left="107"/>
              <w:rPr>
                <w:rFonts w:ascii="Times New Roman"/>
                <w:b/>
              </w:rPr>
            </w:pPr>
            <w:r>
              <w:rPr>
                <w:rFonts w:ascii="Times New Roman"/>
                <w:b/>
              </w:rPr>
              <w:t>Item</w:t>
            </w:r>
            <w:r>
              <w:rPr>
                <w:rFonts w:ascii="Times New Roman"/>
                <w:b/>
                <w:spacing w:val="-1"/>
              </w:rPr>
              <w:t xml:space="preserve"> </w:t>
            </w:r>
            <w:r>
              <w:rPr>
                <w:rFonts w:ascii="Times New Roman"/>
                <w:b/>
                <w:spacing w:val="-5"/>
              </w:rPr>
              <w:t>no.</w:t>
            </w:r>
          </w:p>
        </w:tc>
        <w:tc>
          <w:tcPr>
            <w:tcW w:w="4032" w:type="dxa"/>
          </w:tcPr>
          <w:p w:rsidR="007F6DF9" w:rsidRDefault="00A43FBC">
            <w:pPr>
              <w:pStyle w:val="TableParagraph"/>
              <w:spacing w:line="251" w:lineRule="exact"/>
              <w:ind w:left="108"/>
              <w:rPr>
                <w:rFonts w:ascii="Times New Roman"/>
                <w:b/>
              </w:rPr>
            </w:pPr>
            <w:r>
              <w:rPr>
                <w:rFonts w:ascii="Times New Roman"/>
                <w:b/>
                <w:spacing w:val="-2"/>
              </w:rPr>
              <w:t>Description</w:t>
            </w:r>
          </w:p>
        </w:tc>
        <w:tc>
          <w:tcPr>
            <w:tcW w:w="864" w:type="dxa"/>
          </w:tcPr>
          <w:p w:rsidR="007F6DF9" w:rsidRDefault="00A43FBC">
            <w:pPr>
              <w:pStyle w:val="TableParagraph"/>
              <w:spacing w:line="251" w:lineRule="exact"/>
              <w:ind w:left="108"/>
              <w:rPr>
                <w:rFonts w:ascii="Times New Roman"/>
                <w:b/>
              </w:rPr>
            </w:pPr>
            <w:r>
              <w:rPr>
                <w:rFonts w:ascii="Times New Roman"/>
                <w:b/>
                <w:spacing w:val="-4"/>
              </w:rPr>
              <w:t>Unit</w:t>
            </w:r>
          </w:p>
        </w:tc>
        <w:tc>
          <w:tcPr>
            <w:tcW w:w="1080" w:type="dxa"/>
          </w:tcPr>
          <w:p w:rsidR="007F6DF9" w:rsidRDefault="00A43FBC">
            <w:pPr>
              <w:pStyle w:val="TableParagraph"/>
              <w:spacing w:line="252" w:lineRule="exact"/>
              <w:ind w:left="109" w:right="148"/>
              <w:rPr>
                <w:rFonts w:ascii="Times New Roman"/>
                <w:b/>
              </w:rPr>
            </w:pPr>
            <w:r>
              <w:rPr>
                <w:rFonts w:ascii="Times New Roman"/>
                <w:b/>
                <w:spacing w:val="-2"/>
              </w:rPr>
              <w:t>Nominal quantity</w:t>
            </w:r>
          </w:p>
        </w:tc>
        <w:tc>
          <w:tcPr>
            <w:tcW w:w="937" w:type="dxa"/>
          </w:tcPr>
          <w:p w:rsidR="007F6DF9" w:rsidRDefault="00A43FBC">
            <w:pPr>
              <w:pStyle w:val="TableParagraph"/>
              <w:spacing w:line="251" w:lineRule="exact"/>
              <w:ind w:left="109"/>
              <w:rPr>
                <w:rFonts w:ascii="Times New Roman"/>
                <w:b/>
              </w:rPr>
            </w:pPr>
            <w:r>
              <w:rPr>
                <w:rFonts w:ascii="Times New Roman"/>
                <w:b/>
                <w:spacing w:val="-4"/>
              </w:rPr>
              <w:t>Rate</w:t>
            </w:r>
          </w:p>
        </w:tc>
        <w:tc>
          <w:tcPr>
            <w:tcW w:w="1176" w:type="dxa"/>
          </w:tcPr>
          <w:p w:rsidR="007F6DF9" w:rsidRDefault="00A43FBC">
            <w:pPr>
              <w:pStyle w:val="TableParagraph"/>
              <w:spacing w:line="252" w:lineRule="exact"/>
              <w:ind w:left="108"/>
              <w:rPr>
                <w:rFonts w:ascii="Times New Roman"/>
                <w:b/>
              </w:rPr>
            </w:pPr>
            <w:r>
              <w:rPr>
                <w:rFonts w:ascii="Times New Roman"/>
                <w:b/>
                <w:spacing w:val="-2"/>
              </w:rPr>
              <w:t>Extended amount</w:t>
            </w: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3"/>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3"/>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3"/>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6913" w:type="dxa"/>
            <w:gridSpan w:val="4"/>
          </w:tcPr>
          <w:p w:rsidR="007F6DF9" w:rsidRDefault="00A43FBC">
            <w:pPr>
              <w:pStyle w:val="TableParagraph"/>
              <w:spacing w:before="1" w:line="233" w:lineRule="exact"/>
              <w:ind w:left="108"/>
              <w:rPr>
                <w:rFonts w:ascii="Times New Roman"/>
              </w:rPr>
            </w:pPr>
            <w:r>
              <w:rPr>
                <w:rFonts w:ascii="Times New Roman"/>
                <w:spacing w:val="-2"/>
              </w:rPr>
              <w:t>Subtotal</w:t>
            </w:r>
          </w:p>
        </w:tc>
        <w:tc>
          <w:tcPr>
            <w:tcW w:w="1176" w:type="dxa"/>
          </w:tcPr>
          <w:p w:rsidR="007F6DF9" w:rsidRDefault="007F6DF9">
            <w:pPr>
              <w:pStyle w:val="TableParagraph"/>
              <w:rPr>
                <w:rFonts w:ascii="Times New Roman"/>
                <w:sz w:val="18"/>
              </w:rPr>
            </w:pPr>
          </w:p>
        </w:tc>
      </w:tr>
      <w:tr w:rsidR="007F6DF9">
        <w:trPr>
          <w:trHeight w:val="505"/>
        </w:trPr>
        <w:tc>
          <w:tcPr>
            <w:tcW w:w="1080" w:type="dxa"/>
          </w:tcPr>
          <w:p w:rsidR="007F6DF9" w:rsidRDefault="007F6DF9">
            <w:pPr>
              <w:pStyle w:val="TableParagraph"/>
              <w:rPr>
                <w:rFonts w:ascii="Times New Roman"/>
              </w:rPr>
            </w:pPr>
          </w:p>
        </w:tc>
        <w:tc>
          <w:tcPr>
            <w:tcW w:w="5976" w:type="dxa"/>
            <w:gridSpan w:val="3"/>
          </w:tcPr>
          <w:p w:rsidR="007F6DF9" w:rsidRDefault="00A43FBC">
            <w:pPr>
              <w:pStyle w:val="TableParagraph"/>
              <w:tabs>
                <w:tab w:val="left" w:pos="1209"/>
              </w:tabs>
              <w:spacing w:line="252" w:lineRule="exact"/>
              <w:ind w:left="108" w:right="484"/>
              <w:rPr>
                <w:rFonts w:ascii="Times New Roman" w:hAnsi="Times New Roman"/>
              </w:rPr>
            </w:pPr>
            <w:r>
              <w:rPr>
                <w:rFonts w:ascii="Times New Roman" w:hAnsi="Times New Roman"/>
              </w:rPr>
              <w:t xml:space="preserve">Allow </w:t>
            </w:r>
            <w:r>
              <w:rPr>
                <w:rFonts w:ascii="Times New Roman" w:hAnsi="Times New Roman"/>
                <w:u w:val="single"/>
              </w:rPr>
              <w:tab/>
            </w:r>
            <w:r>
              <w:rPr>
                <w:rFonts w:ascii="Times New Roman" w:hAnsi="Times New Roman"/>
              </w:rPr>
              <w:t>percent</w:t>
            </w:r>
            <w:r>
              <w:rPr>
                <w:rFonts w:ascii="Times New Roman" w:hAnsi="Times New Roman"/>
                <w:spacing w:val="-7"/>
              </w:rPr>
              <w:t xml:space="preserve"> </w:t>
            </w:r>
            <w:r>
              <w:rPr>
                <w:rFonts w:ascii="Times New Roman" w:hAnsi="Times New Roman"/>
              </w:rPr>
              <w:t>a.</w:t>
            </w:r>
            <w:r>
              <w:rPr>
                <w:rFonts w:ascii="Times New Roman" w:hAnsi="Times New Roman"/>
                <w:spacing w:val="-5"/>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Subtotal</w:t>
            </w:r>
            <w:r>
              <w:rPr>
                <w:rFonts w:ascii="Times New Roman" w:hAnsi="Times New Roman"/>
                <w:spacing w:val="-7"/>
              </w:rPr>
              <w:t xml:space="preserve"> </w:t>
            </w:r>
            <w:r>
              <w:rPr>
                <w:rFonts w:ascii="Times New Roman" w:hAnsi="Times New Roman"/>
              </w:rPr>
              <w:t>for</w:t>
            </w:r>
            <w:r>
              <w:rPr>
                <w:rFonts w:ascii="Times New Roman" w:hAnsi="Times New Roman"/>
                <w:spacing w:val="-5"/>
              </w:rPr>
              <w:t xml:space="preserve"> </w:t>
            </w:r>
            <w:r>
              <w:rPr>
                <w:rFonts w:ascii="Times New Roman" w:hAnsi="Times New Roman"/>
              </w:rPr>
              <w:t>Contractor’s</w:t>
            </w:r>
            <w:r>
              <w:rPr>
                <w:rFonts w:ascii="Times New Roman" w:hAnsi="Times New Roman"/>
                <w:spacing w:val="-5"/>
              </w:rPr>
              <w:t xml:space="preserve"> </w:t>
            </w:r>
            <w:r>
              <w:rPr>
                <w:rFonts w:ascii="Times New Roman" w:hAnsi="Times New Roman"/>
              </w:rPr>
              <w:t>overhead, profit, etc., in accordance with paragraph 4 (b) above.</w:t>
            </w: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757"/>
        </w:trPr>
        <w:tc>
          <w:tcPr>
            <w:tcW w:w="1080" w:type="dxa"/>
            <w:shd w:val="clear" w:color="auto" w:fill="D0CECE"/>
          </w:tcPr>
          <w:p w:rsidR="007F6DF9" w:rsidRDefault="007F6DF9">
            <w:pPr>
              <w:pStyle w:val="TableParagraph"/>
              <w:rPr>
                <w:rFonts w:ascii="Times New Roman"/>
              </w:rPr>
            </w:pPr>
          </w:p>
        </w:tc>
        <w:tc>
          <w:tcPr>
            <w:tcW w:w="6913" w:type="dxa"/>
            <w:gridSpan w:val="4"/>
            <w:shd w:val="clear" w:color="auto" w:fill="D0CECE"/>
          </w:tcPr>
          <w:p w:rsidR="007F6DF9" w:rsidRDefault="00A43FBC">
            <w:pPr>
              <w:pStyle w:val="TableParagraph"/>
              <w:spacing w:line="251" w:lineRule="exact"/>
              <w:ind w:left="108"/>
              <w:rPr>
                <w:rFonts w:ascii="Times New Roman"/>
              </w:rPr>
            </w:pPr>
            <w:r>
              <w:rPr>
                <w:rFonts w:ascii="Times New Roman"/>
              </w:rPr>
              <w:t>Total</w:t>
            </w:r>
            <w:r>
              <w:rPr>
                <w:rFonts w:ascii="Times New Roman"/>
                <w:spacing w:val="-3"/>
              </w:rPr>
              <w:t xml:space="preserve"> </w:t>
            </w:r>
            <w:r>
              <w:rPr>
                <w:rFonts w:ascii="Times New Roman"/>
              </w:rPr>
              <w:t>for</w:t>
            </w:r>
            <w:r>
              <w:rPr>
                <w:rFonts w:ascii="Times New Roman"/>
                <w:spacing w:val="-3"/>
              </w:rPr>
              <w:t xml:space="preserve"> </w:t>
            </w:r>
            <w:proofErr w:type="spellStart"/>
            <w:r>
              <w:rPr>
                <w:rFonts w:ascii="Times New Roman"/>
              </w:rPr>
              <w:t>Daywork</w:t>
            </w:r>
            <w:proofErr w:type="spellEnd"/>
            <w:r>
              <w:rPr>
                <w:rFonts w:ascii="Times New Roman"/>
              </w:rPr>
              <w:t>:</w:t>
            </w:r>
            <w:r>
              <w:rPr>
                <w:rFonts w:ascii="Times New Roman"/>
                <w:spacing w:val="46"/>
              </w:rPr>
              <w:t xml:space="preserve"> </w:t>
            </w:r>
            <w:r>
              <w:rPr>
                <w:rFonts w:ascii="Times New Roman"/>
              </w:rPr>
              <w:t>Materials</w:t>
            </w:r>
            <w:r>
              <w:rPr>
                <w:rFonts w:ascii="Times New Roman"/>
                <w:spacing w:val="-5"/>
              </w:rPr>
              <w:t xml:space="preserve"> </w:t>
            </w:r>
            <w:r>
              <w:rPr>
                <w:rFonts w:ascii="Times New Roman"/>
              </w:rPr>
              <w:t>(carried</w:t>
            </w:r>
            <w:r>
              <w:rPr>
                <w:rFonts w:ascii="Times New Roman"/>
                <w:spacing w:val="-5"/>
              </w:rPr>
              <w:t xml:space="preserve"> </w:t>
            </w:r>
            <w:r>
              <w:rPr>
                <w:rFonts w:ascii="Times New Roman"/>
              </w:rPr>
              <w:t>forward</w:t>
            </w:r>
            <w:r>
              <w:rPr>
                <w:rFonts w:ascii="Times New Roman"/>
                <w:spacing w:val="-7"/>
              </w:rPr>
              <w:t xml:space="preserve"> </w:t>
            </w:r>
            <w:r>
              <w:rPr>
                <w:rFonts w:ascii="Times New Roman"/>
              </w:rPr>
              <w:t>to</w:t>
            </w:r>
            <w:r>
              <w:rPr>
                <w:rFonts w:ascii="Times New Roman"/>
                <w:spacing w:val="-3"/>
              </w:rPr>
              <w:t xml:space="preserve"> </w:t>
            </w:r>
            <w:proofErr w:type="spellStart"/>
            <w:r>
              <w:rPr>
                <w:rFonts w:ascii="Times New Roman"/>
              </w:rPr>
              <w:t>Daywork</w:t>
            </w:r>
            <w:proofErr w:type="spellEnd"/>
            <w:r>
              <w:rPr>
                <w:rFonts w:ascii="Times New Roman"/>
                <w:spacing w:val="-3"/>
              </w:rPr>
              <w:t xml:space="preserve"> </w:t>
            </w:r>
            <w:r>
              <w:rPr>
                <w:rFonts w:ascii="Times New Roman"/>
              </w:rPr>
              <w:t>Summary,</w:t>
            </w:r>
            <w:r>
              <w:rPr>
                <w:rFonts w:ascii="Times New Roman"/>
                <w:spacing w:val="-6"/>
              </w:rPr>
              <w:t xml:space="preserve"> </w:t>
            </w:r>
            <w:r>
              <w:rPr>
                <w:rFonts w:ascii="Times New Roman"/>
                <w:spacing w:val="-5"/>
              </w:rPr>
              <w:t>p.</w:t>
            </w:r>
          </w:p>
          <w:p w:rsidR="007F6DF9" w:rsidRDefault="00A43FBC">
            <w:pPr>
              <w:pStyle w:val="TableParagraph"/>
              <w:tabs>
                <w:tab w:val="left" w:pos="4580"/>
              </w:tabs>
              <w:spacing w:line="252" w:lineRule="exact"/>
              <w:ind w:left="108"/>
              <w:rPr>
                <w:rFonts w:ascii="Times New Roman"/>
              </w:rPr>
            </w:pPr>
            <w:r>
              <w:rPr>
                <w:rFonts w:ascii="Times New Roman"/>
                <w:u w:val="single"/>
              </w:rPr>
              <w:tab/>
            </w:r>
            <w:r>
              <w:rPr>
                <w:rFonts w:ascii="Times New Roman"/>
                <w:spacing w:val="-10"/>
              </w:rPr>
              <w:t>)</w:t>
            </w:r>
          </w:p>
        </w:tc>
        <w:tc>
          <w:tcPr>
            <w:tcW w:w="1176" w:type="dxa"/>
            <w:shd w:val="clear" w:color="auto" w:fill="D0CECE"/>
          </w:tcPr>
          <w:p w:rsidR="007F6DF9" w:rsidRDefault="007F6DF9">
            <w:pPr>
              <w:pStyle w:val="TableParagraph"/>
              <w:rPr>
                <w:rFonts w:ascii="Times New Roman"/>
              </w:rPr>
            </w:pPr>
          </w:p>
        </w:tc>
      </w:tr>
    </w:tbl>
    <w:p w:rsidR="007F6DF9" w:rsidRDefault="007F6DF9">
      <w:pPr>
        <w:pStyle w:val="BodyText"/>
        <w:rPr>
          <w:b/>
          <w:sz w:val="24"/>
        </w:rPr>
      </w:pPr>
    </w:p>
    <w:p w:rsidR="007F6DF9" w:rsidRDefault="007F6DF9">
      <w:pPr>
        <w:pStyle w:val="BodyText"/>
        <w:spacing w:before="5"/>
        <w:rPr>
          <w:b/>
          <w:sz w:val="24"/>
        </w:rPr>
      </w:pPr>
    </w:p>
    <w:p w:rsidR="007F6DF9" w:rsidRDefault="00A43FBC">
      <w:pPr>
        <w:pStyle w:val="ListParagraph"/>
        <w:numPr>
          <w:ilvl w:val="0"/>
          <w:numId w:val="124"/>
        </w:numPr>
        <w:tabs>
          <w:tab w:val="left" w:pos="1083"/>
        </w:tabs>
        <w:ind w:hanging="370"/>
      </w:pPr>
      <w:r>
        <w:rPr>
          <w:color w:val="221F1F"/>
        </w:rPr>
        <w:t>To</w:t>
      </w:r>
      <w:r>
        <w:rPr>
          <w:color w:val="221F1F"/>
          <w:spacing w:val="-15"/>
        </w:rPr>
        <w:t xml:space="preserve"> </w:t>
      </w:r>
      <w:r>
        <w:rPr>
          <w:color w:val="221F1F"/>
        </w:rPr>
        <w:t>be</w:t>
      </w:r>
      <w:r>
        <w:rPr>
          <w:color w:val="221F1F"/>
          <w:spacing w:val="-8"/>
        </w:rPr>
        <w:t xml:space="preserve"> </w:t>
      </w:r>
      <w:r>
        <w:rPr>
          <w:color w:val="221F1F"/>
        </w:rPr>
        <w:t>entered</w:t>
      </w:r>
      <w:r>
        <w:rPr>
          <w:color w:val="221F1F"/>
          <w:spacing w:val="-4"/>
        </w:rPr>
        <w:t xml:space="preserve"> </w:t>
      </w:r>
      <w:r>
        <w:rPr>
          <w:color w:val="221F1F"/>
        </w:rPr>
        <w:t>by</w:t>
      </w:r>
      <w:r>
        <w:rPr>
          <w:color w:val="221F1F"/>
          <w:spacing w:val="-6"/>
        </w:rPr>
        <w:t xml:space="preserve"> </w:t>
      </w:r>
      <w:proofErr w:type="spellStart"/>
      <w:r>
        <w:rPr>
          <w:color w:val="221F1F"/>
          <w:spacing w:val="-2"/>
        </w:rPr>
        <w:t>theTenderer</w:t>
      </w:r>
      <w:proofErr w:type="spellEnd"/>
      <w:r>
        <w:rPr>
          <w:color w:val="221F1F"/>
          <w:spacing w:val="-2"/>
        </w:rPr>
        <w:t>.</w:t>
      </w:r>
    </w:p>
    <w:p w:rsidR="007F6DF9" w:rsidRDefault="007F6DF9">
      <w:pPr>
        <w:pStyle w:val="ListParagraph"/>
        <w:sectPr w:rsidR="007F6DF9">
          <w:pgSz w:w="11920" w:h="16850"/>
          <w:pgMar w:top="360" w:right="283" w:bottom="620" w:left="141" w:header="0" w:footer="437" w:gutter="0"/>
          <w:cols w:space="720"/>
        </w:sectPr>
      </w:pPr>
    </w:p>
    <w:p w:rsidR="007F6DF9" w:rsidRDefault="007F6DF9">
      <w:pPr>
        <w:pStyle w:val="BodyText"/>
        <w:spacing w:before="131"/>
        <w:rPr>
          <w:sz w:val="24"/>
        </w:rPr>
      </w:pPr>
    </w:p>
    <w:p w:rsidR="007F6DF9" w:rsidRDefault="00A43FBC">
      <w:pPr>
        <w:pStyle w:val="Heading7"/>
        <w:ind w:left="706"/>
      </w:pPr>
      <w:r>
        <w:rPr>
          <w:color w:val="221F1F"/>
        </w:rPr>
        <w:t>Bill</w:t>
      </w:r>
      <w:r>
        <w:rPr>
          <w:color w:val="221F1F"/>
          <w:spacing w:val="-4"/>
        </w:rPr>
        <w:t xml:space="preserve"> </w:t>
      </w:r>
      <w:r>
        <w:rPr>
          <w:color w:val="221F1F"/>
        </w:rPr>
        <w:t>No.</w:t>
      </w:r>
      <w:r>
        <w:rPr>
          <w:color w:val="221F1F"/>
          <w:spacing w:val="-1"/>
        </w:rPr>
        <w:t xml:space="preserve"> </w:t>
      </w:r>
      <w:r>
        <w:rPr>
          <w:color w:val="221F1F"/>
        </w:rPr>
        <w:t>5:</w:t>
      </w:r>
      <w:r>
        <w:rPr>
          <w:color w:val="221F1F"/>
          <w:spacing w:val="-1"/>
        </w:rPr>
        <w:t xml:space="preserve"> </w:t>
      </w:r>
      <w:r>
        <w:rPr>
          <w:color w:val="221F1F"/>
        </w:rPr>
        <w:t>Schedule</w:t>
      </w:r>
      <w:r>
        <w:rPr>
          <w:color w:val="221F1F"/>
          <w:spacing w:val="-1"/>
        </w:rPr>
        <w:t xml:space="preserve"> </w:t>
      </w:r>
      <w:r>
        <w:rPr>
          <w:color w:val="221F1F"/>
        </w:rPr>
        <w:t>of</w:t>
      </w:r>
      <w:r>
        <w:rPr>
          <w:color w:val="221F1F"/>
          <w:spacing w:val="-5"/>
        </w:rPr>
        <w:t xml:space="preserve"> </w:t>
      </w:r>
      <w:proofErr w:type="spellStart"/>
      <w:r>
        <w:rPr>
          <w:color w:val="221F1F"/>
        </w:rPr>
        <w:t>Daywork</w:t>
      </w:r>
      <w:proofErr w:type="spellEnd"/>
      <w:r>
        <w:rPr>
          <w:color w:val="221F1F"/>
          <w:spacing w:val="-1"/>
        </w:rPr>
        <w:t xml:space="preserve"> </w:t>
      </w:r>
      <w:r>
        <w:rPr>
          <w:color w:val="221F1F"/>
        </w:rPr>
        <w:t>Rates</w:t>
      </w:r>
      <w:r>
        <w:rPr>
          <w:color w:val="221F1F"/>
          <w:spacing w:val="3"/>
        </w:rPr>
        <w:t xml:space="preserve"> </w:t>
      </w:r>
      <w:r>
        <w:rPr>
          <w:color w:val="221F1F"/>
        </w:rPr>
        <w:t>-</w:t>
      </w:r>
      <w:r>
        <w:rPr>
          <w:color w:val="221F1F"/>
          <w:spacing w:val="-2"/>
        </w:rPr>
        <w:t xml:space="preserve"> </w:t>
      </w:r>
      <w:r>
        <w:rPr>
          <w:color w:val="221F1F"/>
        </w:rPr>
        <w:t>Contractor's</w:t>
      </w:r>
      <w:r>
        <w:rPr>
          <w:color w:val="221F1F"/>
          <w:spacing w:val="-1"/>
        </w:rPr>
        <w:t xml:space="preserve"> </w:t>
      </w:r>
      <w:r>
        <w:rPr>
          <w:color w:val="221F1F"/>
          <w:spacing w:val="-2"/>
        </w:rPr>
        <w:t>Equipment</w:t>
      </w:r>
    </w:p>
    <w:p w:rsidR="007F6DF9" w:rsidRDefault="007F6DF9">
      <w:pPr>
        <w:pStyle w:val="BodyText"/>
        <w:spacing w:before="9"/>
        <w:rPr>
          <w:b/>
          <w:sz w:val="15"/>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2"/>
        <w:gridCol w:w="1783"/>
        <w:gridCol w:w="1711"/>
        <w:gridCol w:w="1179"/>
      </w:tblGrid>
      <w:tr w:rsidR="007F6DF9">
        <w:trPr>
          <w:trHeight w:val="460"/>
        </w:trPr>
        <w:tc>
          <w:tcPr>
            <w:tcW w:w="1080" w:type="dxa"/>
          </w:tcPr>
          <w:p w:rsidR="007F6DF9" w:rsidRDefault="00A43FBC">
            <w:pPr>
              <w:pStyle w:val="TableParagraph"/>
              <w:ind w:left="107"/>
              <w:rPr>
                <w:rFonts w:ascii="Times New Roman"/>
                <w:b/>
                <w:i/>
                <w:sz w:val="20"/>
              </w:rPr>
            </w:pPr>
            <w:r>
              <w:rPr>
                <w:rFonts w:ascii="Times New Roman"/>
                <w:b/>
                <w:i/>
                <w:sz w:val="20"/>
              </w:rPr>
              <w:t>Item</w:t>
            </w:r>
            <w:r>
              <w:rPr>
                <w:rFonts w:ascii="Times New Roman"/>
                <w:b/>
                <w:i/>
                <w:spacing w:val="-4"/>
                <w:sz w:val="20"/>
              </w:rPr>
              <w:t xml:space="preserve"> </w:t>
            </w:r>
            <w:r>
              <w:rPr>
                <w:rFonts w:ascii="Times New Roman"/>
                <w:b/>
                <w:i/>
                <w:spacing w:val="-5"/>
                <w:sz w:val="20"/>
              </w:rPr>
              <w:t>no.</w:t>
            </w:r>
          </w:p>
        </w:tc>
        <w:tc>
          <w:tcPr>
            <w:tcW w:w="4032" w:type="dxa"/>
          </w:tcPr>
          <w:p w:rsidR="007F6DF9" w:rsidRDefault="00A43FBC">
            <w:pPr>
              <w:pStyle w:val="TableParagraph"/>
              <w:ind w:left="108"/>
              <w:rPr>
                <w:rFonts w:ascii="Times New Roman"/>
                <w:b/>
                <w:i/>
                <w:sz w:val="20"/>
              </w:rPr>
            </w:pPr>
            <w:r>
              <w:rPr>
                <w:rFonts w:ascii="Times New Roman"/>
                <w:b/>
                <w:i/>
                <w:spacing w:val="-2"/>
                <w:sz w:val="20"/>
              </w:rPr>
              <w:t>Description</w:t>
            </w:r>
          </w:p>
        </w:tc>
        <w:tc>
          <w:tcPr>
            <w:tcW w:w="1783" w:type="dxa"/>
          </w:tcPr>
          <w:p w:rsidR="007F6DF9" w:rsidRDefault="00A43FBC">
            <w:pPr>
              <w:pStyle w:val="TableParagraph"/>
              <w:spacing w:line="230" w:lineRule="exact"/>
              <w:ind w:left="108" w:right="214"/>
              <w:rPr>
                <w:rFonts w:ascii="Times New Roman"/>
                <w:b/>
                <w:i/>
                <w:sz w:val="20"/>
              </w:rPr>
            </w:pPr>
            <w:r>
              <w:rPr>
                <w:rFonts w:ascii="Times New Roman"/>
                <w:b/>
                <w:i/>
                <w:sz w:val="20"/>
              </w:rPr>
              <w:t>Nominal</w:t>
            </w:r>
            <w:r>
              <w:rPr>
                <w:rFonts w:ascii="Times New Roman"/>
                <w:b/>
                <w:i/>
                <w:spacing w:val="-13"/>
                <w:sz w:val="20"/>
              </w:rPr>
              <w:t xml:space="preserve"> </w:t>
            </w:r>
            <w:r>
              <w:rPr>
                <w:rFonts w:ascii="Times New Roman"/>
                <w:b/>
                <w:i/>
                <w:sz w:val="20"/>
              </w:rPr>
              <w:t xml:space="preserve">quantity </w:t>
            </w:r>
            <w:r>
              <w:rPr>
                <w:rFonts w:ascii="Times New Roman"/>
                <w:b/>
                <w:i/>
                <w:spacing w:val="-2"/>
                <w:sz w:val="20"/>
              </w:rPr>
              <w:t>(hours)</w:t>
            </w:r>
          </w:p>
        </w:tc>
        <w:tc>
          <w:tcPr>
            <w:tcW w:w="1711" w:type="dxa"/>
          </w:tcPr>
          <w:p w:rsidR="007F6DF9" w:rsidRDefault="00A43FBC">
            <w:pPr>
              <w:pStyle w:val="TableParagraph"/>
              <w:spacing w:line="230" w:lineRule="exact"/>
              <w:ind w:left="109" w:right="541"/>
              <w:rPr>
                <w:rFonts w:ascii="Times New Roman"/>
                <w:b/>
                <w:i/>
                <w:sz w:val="20"/>
              </w:rPr>
            </w:pPr>
            <w:r>
              <w:rPr>
                <w:rFonts w:ascii="Times New Roman"/>
                <w:b/>
                <w:i/>
                <w:sz w:val="20"/>
              </w:rPr>
              <w:t>Basic</w:t>
            </w:r>
            <w:r>
              <w:rPr>
                <w:rFonts w:ascii="Times New Roman"/>
                <w:b/>
                <w:i/>
                <w:spacing w:val="-13"/>
                <w:sz w:val="20"/>
              </w:rPr>
              <w:t xml:space="preserve"> </w:t>
            </w:r>
            <w:r>
              <w:rPr>
                <w:rFonts w:ascii="Times New Roman"/>
                <w:b/>
                <w:i/>
                <w:sz w:val="20"/>
              </w:rPr>
              <w:t>hourly rental rate</w:t>
            </w:r>
          </w:p>
        </w:tc>
        <w:tc>
          <w:tcPr>
            <w:tcW w:w="1179" w:type="dxa"/>
          </w:tcPr>
          <w:p w:rsidR="007F6DF9" w:rsidRDefault="00A43FBC">
            <w:pPr>
              <w:pStyle w:val="TableParagraph"/>
              <w:spacing w:line="230" w:lineRule="exact"/>
              <w:ind w:left="107" w:right="283"/>
              <w:rPr>
                <w:rFonts w:ascii="Times New Roman"/>
                <w:b/>
                <w:i/>
                <w:sz w:val="20"/>
              </w:rPr>
            </w:pPr>
            <w:r>
              <w:rPr>
                <w:rFonts w:ascii="Times New Roman"/>
                <w:b/>
                <w:i/>
                <w:spacing w:val="-2"/>
                <w:sz w:val="20"/>
              </w:rPr>
              <w:t>Extended amount</w:t>
            </w: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3"/>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757"/>
        </w:trPr>
        <w:tc>
          <w:tcPr>
            <w:tcW w:w="1080" w:type="dxa"/>
          </w:tcPr>
          <w:p w:rsidR="007F6DF9" w:rsidRDefault="007F6DF9">
            <w:pPr>
              <w:pStyle w:val="TableParagraph"/>
              <w:rPr>
                <w:rFonts w:ascii="Times New Roman"/>
              </w:rPr>
            </w:pPr>
          </w:p>
        </w:tc>
        <w:tc>
          <w:tcPr>
            <w:tcW w:w="4032" w:type="dxa"/>
          </w:tcPr>
          <w:p w:rsidR="007F6DF9" w:rsidRDefault="00A43FBC">
            <w:pPr>
              <w:pStyle w:val="TableParagraph"/>
              <w:tabs>
                <w:tab w:val="left" w:pos="883"/>
              </w:tabs>
              <w:spacing w:line="251" w:lineRule="exact"/>
              <w:ind w:left="108"/>
              <w:rPr>
                <w:rFonts w:ascii="Times New Roman"/>
              </w:rPr>
            </w:pPr>
            <w:r>
              <w:rPr>
                <w:rFonts w:ascii="Times New Roman"/>
                <w:spacing w:val="-2"/>
              </w:rPr>
              <w:t>Allow</w:t>
            </w:r>
            <w:r>
              <w:rPr>
                <w:rFonts w:ascii="Times New Roman"/>
              </w:rPr>
              <w:tab/>
              <w:t>percent</w:t>
            </w:r>
            <w:r>
              <w:rPr>
                <w:rFonts w:ascii="Times New Roman"/>
                <w:spacing w:val="-4"/>
              </w:rPr>
              <w:t xml:space="preserve"> </w:t>
            </w:r>
            <w:proofErr w:type="spellStart"/>
            <w:proofErr w:type="gramStart"/>
            <w:r>
              <w:rPr>
                <w:rFonts w:ascii="Times New Roman"/>
                <w:vertAlign w:val="superscript"/>
              </w:rPr>
              <w:t>a</w:t>
            </w:r>
            <w:proofErr w:type="spellEnd"/>
            <w:proofErr w:type="gramEnd"/>
            <w:r>
              <w:rPr>
                <w:rFonts w:ascii="Times New Roman"/>
                <w:spacing w:val="-3"/>
              </w:rPr>
              <w:t xml:space="preserve"> </w:t>
            </w:r>
            <w:r>
              <w:rPr>
                <w:rFonts w:ascii="Times New Roman"/>
              </w:rPr>
              <w:t>of</w:t>
            </w:r>
            <w:r>
              <w:rPr>
                <w:rFonts w:ascii="Times New Roman"/>
                <w:spacing w:val="-2"/>
              </w:rPr>
              <w:t xml:space="preserve"> </w:t>
            </w:r>
            <w:r>
              <w:rPr>
                <w:rFonts w:ascii="Times New Roman"/>
              </w:rPr>
              <w:t>Subtotal</w:t>
            </w:r>
            <w:r>
              <w:rPr>
                <w:rFonts w:ascii="Times New Roman"/>
                <w:spacing w:val="-2"/>
              </w:rPr>
              <w:t xml:space="preserve"> </w:t>
            </w:r>
            <w:r>
              <w:rPr>
                <w:rFonts w:ascii="Times New Roman"/>
                <w:spacing w:val="-5"/>
              </w:rPr>
              <w:t>for</w:t>
            </w:r>
          </w:p>
          <w:p w:rsidR="007F6DF9" w:rsidRDefault="00A43FBC">
            <w:pPr>
              <w:pStyle w:val="TableParagraph"/>
              <w:spacing w:line="252" w:lineRule="exact"/>
              <w:ind w:left="108"/>
              <w:rPr>
                <w:rFonts w:ascii="Times New Roman" w:hAnsi="Times New Roman"/>
              </w:rPr>
            </w:pPr>
            <w:r>
              <w:rPr>
                <w:rFonts w:ascii="Times New Roman" w:hAnsi="Times New Roman"/>
                <w:noProof/>
              </w:rPr>
              <mc:AlternateContent>
                <mc:Choice Requires="wpg">
                  <w:drawing>
                    <wp:anchor distT="0" distB="0" distL="0" distR="0" simplePos="0" relativeHeight="251662848" behindDoc="1" locked="0" layoutInCell="1" allowOverlap="1">
                      <wp:simplePos x="0" y="0"/>
                      <wp:positionH relativeFrom="column">
                        <wp:posOffset>452577</wp:posOffset>
                      </wp:positionH>
                      <wp:positionV relativeFrom="paragraph">
                        <wp:posOffset>-14978</wp:posOffset>
                      </wp:positionV>
                      <wp:extent cx="73660" cy="635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6350"/>
                                <a:chOff x="0" y="0"/>
                                <a:chExt cx="73660" cy="6350"/>
                              </a:xfrm>
                            </wpg:grpSpPr>
                            <wps:wsp>
                              <wps:cNvPr id="305" name="Graphic 300"/>
                              <wps:cNvSpPr/>
                              <wps:spPr>
                                <a:xfrm>
                                  <a:off x="0" y="0"/>
                                  <a:ext cx="73660" cy="6350"/>
                                </a:xfrm>
                                <a:custGeom>
                                  <a:avLst/>
                                  <a:gdLst/>
                                  <a:ahLst/>
                                  <a:cxnLst/>
                                  <a:rect l="l" t="t" r="r" b="b"/>
                                  <a:pathLst>
                                    <a:path w="73660" h="6350">
                                      <a:moveTo>
                                        <a:pt x="73151" y="0"/>
                                      </a:moveTo>
                                      <a:lnTo>
                                        <a:pt x="0" y="0"/>
                                      </a:lnTo>
                                      <a:lnTo>
                                        <a:pt x="0" y="6096"/>
                                      </a:lnTo>
                                      <a:lnTo>
                                        <a:pt x="73151" y="6096"/>
                                      </a:lnTo>
                                      <a:lnTo>
                                        <a:pt x="731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6B2E34" id="Group 299" o:spid="_x0000_s1026" style="position:absolute;margin-left:35.65pt;margin-top:-1.2pt;width:5.8pt;height:.5pt;z-index:-251653632;mso-wrap-distance-left:0;mso-wrap-distance-right:0" coordsize="736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">
                      <v:shape id="Graphic 300" o:spid="_x0000_s1027" style="position:absolute;width:73660;height:6350;visibility:visible;mso-wrap-style:square;v-text-anchor:top" coordsize="7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" path="m73151,l,,,6096r73151,l73151,xe" fillcolor="black" stroked="f">
                        <v:path arrowok="t"/>
                      </v:shape>
                    </v:group>
                  </w:pict>
                </mc:Fallback>
              </mc:AlternateContent>
            </w:r>
            <w:r>
              <w:rPr>
                <w:rFonts w:ascii="Times New Roman" w:hAnsi="Times New Roman"/>
              </w:rPr>
              <w:t>Contractor’s</w:t>
            </w:r>
            <w:r>
              <w:rPr>
                <w:rFonts w:ascii="Times New Roman" w:hAnsi="Times New Roman"/>
                <w:spacing w:val="-9"/>
              </w:rPr>
              <w:t xml:space="preserve"> </w:t>
            </w:r>
            <w:r>
              <w:rPr>
                <w:rFonts w:ascii="Times New Roman" w:hAnsi="Times New Roman"/>
              </w:rPr>
              <w:t>overhead,</w:t>
            </w:r>
            <w:r>
              <w:rPr>
                <w:rFonts w:ascii="Times New Roman" w:hAnsi="Times New Roman"/>
                <w:spacing w:val="-9"/>
              </w:rPr>
              <w:t xml:space="preserve"> </w:t>
            </w:r>
            <w:r>
              <w:rPr>
                <w:rFonts w:ascii="Times New Roman" w:hAnsi="Times New Roman"/>
              </w:rPr>
              <w:t>profit,</w:t>
            </w:r>
            <w:r>
              <w:rPr>
                <w:rFonts w:ascii="Times New Roman" w:hAnsi="Times New Roman"/>
                <w:spacing w:val="-11"/>
              </w:rPr>
              <w:t xml:space="preserve"> </w:t>
            </w:r>
            <w:r>
              <w:rPr>
                <w:rFonts w:ascii="Times New Roman" w:hAnsi="Times New Roman"/>
              </w:rPr>
              <w:t>etc.,</w:t>
            </w:r>
            <w:r>
              <w:rPr>
                <w:rFonts w:ascii="Times New Roman" w:hAnsi="Times New Roman"/>
                <w:spacing w:val="-9"/>
              </w:rPr>
              <w:t xml:space="preserve"> </w:t>
            </w:r>
            <w:r>
              <w:rPr>
                <w:rFonts w:ascii="Times New Roman" w:hAnsi="Times New Roman"/>
              </w:rPr>
              <w:t>in accordance with paragraph 5 above.</w:t>
            </w:r>
          </w:p>
        </w:tc>
        <w:tc>
          <w:tcPr>
            <w:tcW w:w="1783" w:type="dxa"/>
          </w:tcPr>
          <w:p w:rsidR="007F6DF9" w:rsidRDefault="007F6DF9">
            <w:pPr>
              <w:pStyle w:val="TableParagraph"/>
              <w:rPr>
                <w:rFonts w:ascii="Times New Roman"/>
              </w:rPr>
            </w:pPr>
          </w:p>
        </w:tc>
        <w:tc>
          <w:tcPr>
            <w:tcW w:w="1711" w:type="dxa"/>
          </w:tcPr>
          <w:p w:rsidR="007F6DF9" w:rsidRDefault="007F6DF9">
            <w:pPr>
              <w:pStyle w:val="TableParagraph"/>
              <w:rPr>
                <w:rFonts w:ascii="Times New Roman"/>
              </w:rPr>
            </w:pPr>
          </w:p>
        </w:tc>
        <w:tc>
          <w:tcPr>
            <w:tcW w:w="1179" w:type="dxa"/>
          </w:tcPr>
          <w:p w:rsidR="007F6DF9" w:rsidRDefault="007F6DF9">
            <w:pPr>
              <w:pStyle w:val="TableParagraph"/>
              <w:rPr>
                <w:rFonts w:ascii="Times New Roman"/>
              </w:rPr>
            </w:pPr>
          </w:p>
        </w:tc>
      </w:tr>
      <w:tr w:rsidR="007F6DF9">
        <w:trPr>
          <w:trHeight w:val="253"/>
        </w:trPr>
        <w:tc>
          <w:tcPr>
            <w:tcW w:w="8606" w:type="dxa"/>
            <w:gridSpan w:val="4"/>
          </w:tcPr>
          <w:p w:rsidR="007F6DF9" w:rsidRDefault="00A43FBC">
            <w:pPr>
              <w:pStyle w:val="TableParagraph"/>
              <w:tabs>
                <w:tab w:val="left" w:pos="8084"/>
              </w:tabs>
              <w:spacing w:before="1" w:line="233" w:lineRule="exact"/>
              <w:ind w:left="107"/>
              <w:rPr>
                <w:rFonts w:ascii="Times New Roman" w:hAnsi="Times New Roman"/>
              </w:rPr>
            </w:pPr>
            <w:r>
              <w:rPr>
                <w:rFonts w:ascii="Times New Roman" w:hAnsi="Times New Roman"/>
                <w:noProof/>
              </w:rPr>
              <mc:AlternateContent>
                <mc:Choice Requires="wpg">
                  <w:drawing>
                    <wp:anchor distT="0" distB="0" distL="0" distR="0" simplePos="0" relativeHeight="251641344" behindDoc="0" locked="0" layoutInCell="1" allowOverlap="1">
                      <wp:simplePos x="0" y="0"/>
                      <wp:positionH relativeFrom="column">
                        <wp:posOffset>5004180</wp:posOffset>
                      </wp:positionH>
                      <wp:positionV relativeFrom="paragraph">
                        <wp:posOffset>146298</wp:posOffset>
                      </wp:positionV>
                      <wp:extent cx="95250" cy="635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350"/>
                                <a:chOff x="0" y="0"/>
                                <a:chExt cx="95250" cy="6350"/>
                              </a:xfrm>
                            </wpg:grpSpPr>
                            <wps:wsp>
                              <wps:cNvPr id="307" name="Graphic 302"/>
                              <wps:cNvSpPr/>
                              <wps:spPr>
                                <a:xfrm>
                                  <a:off x="0" y="0"/>
                                  <a:ext cx="95250" cy="6350"/>
                                </a:xfrm>
                                <a:custGeom>
                                  <a:avLst/>
                                  <a:gdLst/>
                                  <a:ahLst/>
                                  <a:cxnLst/>
                                  <a:rect l="l" t="t" r="r" b="b"/>
                                  <a:pathLst>
                                    <a:path w="95250" h="6350">
                                      <a:moveTo>
                                        <a:pt x="94792" y="0"/>
                                      </a:moveTo>
                                      <a:lnTo>
                                        <a:pt x="0" y="0"/>
                                      </a:lnTo>
                                      <a:lnTo>
                                        <a:pt x="0" y="6096"/>
                                      </a:lnTo>
                                      <a:lnTo>
                                        <a:pt x="94792" y="6096"/>
                                      </a:lnTo>
                                      <a:lnTo>
                                        <a:pt x="947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751186" id="Group 301" o:spid="_x0000_s1026" style="position:absolute;margin-left:394.05pt;margin-top:11.5pt;width:7.5pt;height:.5pt;z-index:251641344;mso-wrap-distance-left:0;mso-wrap-distance-right:0" coordsize="95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">
                      <v:shape id="Graphic 302" o:spid="_x0000_s1027" style="position:absolute;width:95250;height:6350;visibility:visible;mso-wrap-style:square;v-text-anchor:top" coordsize="95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" path="m94792,l,,,6096r94792,l94792,xe" fillcolor="black" stroked="f">
                        <v:path arrowok="t"/>
                      </v:shape>
                    </v:group>
                  </w:pict>
                </mc:Fallback>
              </mc:AlternateContent>
            </w:r>
            <w:r>
              <w:rPr>
                <w:rFonts w:ascii="Times New Roman" w:hAnsi="Times New Roman"/>
              </w:rPr>
              <w:t>Total</w:t>
            </w:r>
            <w:r>
              <w:rPr>
                <w:rFonts w:ascii="Times New Roman" w:hAnsi="Times New Roman"/>
                <w:spacing w:val="-4"/>
              </w:rPr>
              <w:t xml:space="preserve"> </w:t>
            </w:r>
            <w:r>
              <w:rPr>
                <w:rFonts w:ascii="Times New Roman" w:hAnsi="Times New Roman"/>
              </w:rPr>
              <w:t>for</w:t>
            </w:r>
            <w:r>
              <w:rPr>
                <w:rFonts w:ascii="Times New Roman" w:hAnsi="Times New Roman"/>
                <w:spacing w:val="-5"/>
              </w:rPr>
              <w:t xml:space="preserve"> </w:t>
            </w:r>
            <w:proofErr w:type="spellStart"/>
            <w:r>
              <w:rPr>
                <w:rFonts w:ascii="Times New Roman" w:hAnsi="Times New Roman"/>
              </w:rPr>
              <w:t>Daywork</w:t>
            </w:r>
            <w:proofErr w:type="spellEnd"/>
            <w:r>
              <w:rPr>
                <w:rFonts w:ascii="Times New Roman" w:hAnsi="Times New Roman"/>
              </w:rPr>
              <w:t>:</w:t>
            </w:r>
            <w:r>
              <w:rPr>
                <w:rFonts w:ascii="Times New Roman" w:hAnsi="Times New Roman"/>
                <w:spacing w:val="47"/>
              </w:rPr>
              <w:t xml:space="preserve"> </w:t>
            </w:r>
            <w:r>
              <w:rPr>
                <w:rFonts w:ascii="Times New Roman" w:hAnsi="Times New Roman"/>
              </w:rPr>
              <w:t>Contractor’s</w:t>
            </w:r>
            <w:r>
              <w:rPr>
                <w:rFonts w:ascii="Times New Roman" w:hAnsi="Times New Roman"/>
                <w:spacing w:val="-4"/>
              </w:rPr>
              <w:t xml:space="preserve"> </w:t>
            </w:r>
            <w:r>
              <w:rPr>
                <w:rFonts w:ascii="Times New Roman" w:hAnsi="Times New Roman"/>
              </w:rPr>
              <w:t>Equipment</w:t>
            </w:r>
            <w:r>
              <w:rPr>
                <w:rFonts w:ascii="Times New Roman" w:hAnsi="Times New Roman"/>
                <w:spacing w:val="-6"/>
              </w:rPr>
              <w:t xml:space="preserve"> </w:t>
            </w:r>
            <w:r>
              <w:rPr>
                <w:rFonts w:ascii="Times New Roman" w:hAnsi="Times New Roman"/>
              </w:rPr>
              <w:t>(carried</w:t>
            </w:r>
            <w:r>
              <w:rPr>
                <w:rFonts w:ascii="Times New Roman" w:hAnsi="Times New Roman"/>
                <w:spacing w:val="-7"/>
              </w:rPr>
              <w:t xml:space="preserve"> </w:t>
            </w:r>
            <w:r>
              <w:rPr>
                <w:rFonts w:ascii="Times New Roman" w:hAnsi="Times New Roman"/>
              </w:rPr>
              <w:t>forward</w:t>
            </w:r>
            <w:r>
              <w:rPr>
                <w:rFonts w:ascii="Times New Roman" w:hAnsi="Times New Roman"/>
                <w:spacing w:val="-7"/>
              </w:rPr>
              <w:t xml:space="preserve"> </w:t>
            </w:r>
            <w:r>
              <w:rPr>
                <w:rFonts w:ascii="Times New Roman" w:hAnsi="Times New Roman"/>
              </w:rPr>
              <w:t>to</w:t>
            </w:r>
            <w:r>
              <w:rPr>
                <w:rFonts w:ascii="Times New Roman" w:hAnsi="Times New Roman"/>
                <w:spacing w:val="-5"/>
              </w:rPr>
              <w:t xml:space="preserve"> </w:t>
            </w:r>
            <w:proofErr w:type="spellStart"/>
            <w:r>
              <w:rPr>
                <w:rFonts w:ascii="Times New Roman" w:hAnsi="Times New Roman"/>
              </w:rPr>
              <w:t>Daywork</w:t>
            </w:r>
            <w:proofErr w:type="spellEnd"/>
            <w:r>
              <w:rPr>
                <w:rFonts w:ascii="Times New Roman" w:hAnsi="Times New Roman"/>
                <w:spacing w:val="-4"/>
              </w:rPr>
              <w:t xml:space="preserve"> </w:t>
            </w:r>
            <w:r>
              <w:rPr>
                <w:rFonts w:ascii="Times New Roman" w:hAnsi="Times New Roman"/>
              </w:rPr>
              <w:t>Summary,</w:t>
            </w:r>
            <w:r>
              <w:rPr>
                <w:rFonts w:ascii="Times New Roman" w:hAnsi="Times New Roman"/>
                <w:spacing w:val="-4"/>
              </w:rPr>
              <w:t xml:space="preserve"> </w:t>
            </w:r>
            <w:r>
              <w:rPr>
                <w:rFonts w:ascii="Times New Roman" w:hAnsi="Times New Roman"/>
                <w:spacing w:val="-5"/>
              </w:rPr>
              <w:t>p.</w:t>
            </w:r>
            <w:r>
              <w:rPr>
                <w:rFonts w:ascii="Times New Roman" w:hAnsi="Times New Roman"/>
              </w:rPr>
              <w:tab/>
            </w:r>
            <w:r>
              <w:rPr>
                <w:rFonts w:ascii="Times New Roman" w:hAnsi="Times New Roman"/>
                <w:spacing w:val="-10"/>
              </w:rPr>
              <w:t>)</w:t>
            </w:r>
          </w:p>
        </w:tc>
        <w:tc>
          <w:tcPr>
            <w:tcW w:w="1179" w:type="dxa"/>
          </w:tcPr>
          <w:p w:rsidR="007F6DF9" w:rsidRDefault="007F6DF9">
            <w:pPr>
              <w:pStyle w:val="TableParagraph"/>
              <w:rPr>
                <w:rFonts w:ascii="Times New Roman"/>
                <w:sz w:val="18"/>
              </w:rPr>
            </w:pPr>
          </w:p>
        </w:tc>
      </w:tr>
    </w:tbl>
    <w:p w:rsidR="007F6DF9" w:rsidRDefault="007F6DF9">
      <w:pPr>
        <w:pStyle w:val="BodyText"/>
        <w:spacing w:before="158"/>
        <w:rPr>
          <w:b/>
          <w:sz w:val="24"/>
        </w:rPr>
      </w:pPr>
    </w:p>
    <w:p w:rsidR="007F6DF9" w:rsidRDefault="00A43FBC">
      <w:pPr>
        <w:pStyle w:val="ListParagraph"/>
        <w:numPr>
          <w:ilvl w:val="0"/>
          <w:numId w:val="123"/>
        </w:numPr>
        <w:tabs>
          <w:tab w:val="left" w:pos="1128"/>
        </w:tabs>
        <w:ind w:left="1128" w:hanging="425"/>
      </w:pPr>
      <w:r>
        <w:rPr>
          <w:color w:val="221F1F"/>
        </w:rPr>
        <w:t>To</w:t>
      </w:r>
      <w:r>
        <w:rPr>
          <w:color w:val="221F1F"/>
          <w:spacing w:val="-15"/>
        </w:rPr>
        <w:t xml:space="preserve"> </w:t>
      </w:r>
      <w:r>
        <w:rPr>
          <w:color w:val="221F1F"/>
        </w:rPr>
        <w:t>be</w:t>
      </w:r>
      <w:r>
        <w:rPr>
          <w:color w:val="221F1F"/>
          <w:spacing w:val="-8"/>
        </w:rPr>
        <w:t xml:space="preserve"> </w:t>
      </w:r>
      <w:r>
        <w:rPr>
          <w:color w:val="221F1F"/>
        </w:rPr>
        <w:t>entered</w:t>
      </w:r>
      <w:r>
        <w:rPr>
          <w:color w:val="221F1F"/>
          <w:spacing w:val="-4"/>
        </w:rPr>
        <w:t xml:space="preserve"> </w:t>
      </w:r>
      <w:r>
        <w:rPr>
          <w:color w:val="221F1F"/>
        </w:rPr>
        <w:t>by</w:t>
      </w:r>
      <w:r>
        <w:rPr>
          <w:color w:val="221F1F"/>
          <w:spacing w:val="-6"/>
        </w:rPr>
        <w:t xml:space="preserve"> </w:t>
      </w:r>
      <w:proofErr w:type="spellStart"/>
      <w:r>
        <w:rPr>
          <w:color w:val="221F1F"/>
          <w:spacing w:val="-2"/>
        </w:rPr>
        <w:t>theTenderer</w:t>
      </w:r>
      <w:proofErr w:type="spellEnd"/>
      <w:r>
        <w:rPr>
          <w:color w:val="221F1F"/>
          <w:spacing w:val="-2"/>
        </w:rPr>
        <w:t>.</w:t>
      </w:r>
    </w:p>
    <w:p w:rsidR="007F6DF9" w:rsidRDefault="007F6DF9">
      <w:pPr>
        <w:pStyle w:val="BodyText"/>
        <w:spacing w:before="106"/>
      </w:pPr>
    </w:p>
    <w:p w:rsidR="007F6DF9" w:rsidRDefault="00A43FBC">
      <w:pPr>
        <w:pStyle w:val="Heading7"/>
        <w:ind w:left="708"/>
      </w:pPr>
      <w:r>
        <w:rPr>
          <w:color w:val="221F1F"/>
        </w:rPr>
        <w:t>Bill</w:t>
      </w:r>
      <w:r>
        <w:rPr>
          <w:color w:val="221F1F"/>
          <w:spacing w:val="-1"/>
        </w:rPr>
        <w:t xml:space="preserve"> </w:t>
      </w:r>
      <w:r>
        <w:rPr>
          <w:color w:val="221F1F"/>
        </w:rPr>
        <w:t>No. 6:</w:t>
      </w:r>
      <w:r>
        <w:rPr>
          <w:color w:val="221F1F"/>
          <w:spacing w:val="-2"/>
        </w:rPr>
        <w:t xml:space="preserve"> </w:t>
      </w:r>
      <w:proofErr w:type="spellStart"/>
      <w:r>
        <w:rPr>
          <w:color w:val="221F1F"/>
        </w:rPr>
        <w:t>Daywork</w:t>
      </w:r>
      <w:proofErr w:type="spellEnd"/>
      <w:r>
        <w:rPr>
          <w:color w:val="221F1F"/>
        </w:rPr>
        <w:t xml:space="preserve"> </w:t>
      </w:r>
      <w:r>
        <w:rPr>
          <w:color w:val="221F1F"/>
          <w:spacing w:val="-2"/>
        </w:rPr>
        <w:t>Summary</w:t>
      </w:r>
    </w:p>
    <w:p w:rsidR="007F6DF9" w:rsidRDefault="007F6DF9">
      <w:pPr>
        <w:pStyle w:val="BodyText"/>
        <w:spacing w:before="5"/>
        <w:rPr>
          <w:b/>
          <w:sz w:val="18"/>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0"/>
        <w:gridCol w:w="1870"/>
        <w:gridCol w:w="1153"/>
        <w:gridCol w:w="1152"/>
      </w:tblGrid>
      <w:tr w:rsidR="007F6DF9">
        <w:trPr>
          <w:trHeight w:val="505"/>
        </w:trPr>
        <w:tc>
          <w:tcPr>
            <w:tcW w:w="5980" w:type="dxa"/>
          </w:tcPr>
          <w:p w:rsidR="007F6DF9" w:rsidRDefault="007F6DF9">
            <w:pPr>
              <w:pStyle w:val="TableParagraph"/>
              <w:rPr>
                <w:rFonts w:ascii="Times New Roman"/>
              </w:rPr>
            </w:pPr>
          </w:p>
        </w:tc>
        <w:tc>
          <w:tcPr>
            <w:tcW w:w="1870" w:type="dxa"/>
          </w:tcPr>
          <w:p w:rsidR="007F6DF9" w:rsidRDefault="00A43FBC">
            <w:pPr>
              <w:pStyle w:val="TableParagraph"/>
              <w:spacing w:before="1"/>
              <w:ind w:left="105"/>
              <w:rPr>
                <w:rFonts w:ascii="Times New Roman"/>
              </w:rPr>
            </w:pPr>
            <w:proofErr w:type="spellStart"/>
            <w:r>
              <w:rPr>
                <w:rFonts w:ascii="Times New Roman"/>
                <w:i/>
                <w:spacing w:val="-2"/>
              </w:rPr>
              <w:t>Amount</w:t>
            </w:r>
            <w:r>
              <w:rPr>
                <w:rFonts w:ascii="Times New Roman"/>
                <w:spacing w:val="-2"/>
                <w:vertAlign w:val="superscript"/>
              </w:rPr>
              <w:t>a</w:t>
            </w:r>
            <w:proofErr w:type="spellEnd"/>
          </w:p>
        </w:tc>
        <w:tc>
          <w:tcPr>
            <w:tcW w:w="1153" w:type="dxa"/>
          </w:tcPr>
          <w:p w:rsidR="007F6DF9" w:rsidRDefault="00A43FBC">
            <w:pPr>
              <w:pStyle w:val="TableParagraph"/>
              <w:spacing w:before="1" w:line="252" w:lineRule="exact"/>
              <w:ind w:left="107"/>
              <w:rPr>
                <w:rFonts w:ascii="Times New Roman"/>
                <w:i/>
              </w:rPr>
            </w:pPr>
            <w:r>
              <w:rPr>
                <w:rFonts w:ascii="Times New Roman"/>
                <w:i/>
                <w:spacing w:val="-10"/>
              </w:rPr>
              <w:t>%</w:t>
            </w:r>
          </w:p>
          <w:p w:rsidR="007F6DF9" w:rsidRDefault="00A43FBC">
            <w:pPr>
              <w:pStyle w:val="TableParagraph"/>
              <w:spacing w:line="233" w:lineRule="exact"/>
              <w:ind w:left="107"/>
              <w:rPr>
                <w:rFonts w:ascii="Times New Roman"/>
                <w:i/>
              </w:rPr>
            </w:pPr>
            <w:r>
              <w:rPr>
                <w:rFonts w:ascii="Times New Roman"/>
                <w:i/>
                <w:spacing w:val="-2"/>
              </w:rPr>
              <w:t>Foreign</w:t>
            </w:r>
          </w:p>
        </w:tc>
        <w:tc>
          <w:tcPr>
            <w:tcW w:w="1152" w:type="dxa"/>
          </w:tcPr>
          <w:p w:rsidR="007F6DF9" w:rsidRDefault="00A43FBC">
            <w:pPr>
              <w:pStyle w:val="TableParagraph"/>
              <w:spacing w:before="1"/>
              <w:ind w:left="106"/>
              <w:rPr>
                <w:rFonts w:ascii="Times New Roman"/>
                <w:i/>
              </w:rPr>
            </w:pPr>
            <w:r>
              <w:rPr>
                <w:rFonts w:ascii="Times New Roman"/>
                <w:i/>
                <w:spacing w:val="-2"/>
              </w:rPr>
              <w:t>Currency</w:t>
            </w:r>
          </w:p>
        </w:tc>
      </w:tr>
      <w:tr w:rsidR="007F6DF9">
        <w:trPr>
          <w:trHeight w:val="254"/>
        </w:trPr>
        <w:tc>
          <w:tcPr>
            <w:tcW w:w="5980" w:type="dxa"/>
          </w:tcPr>
          <w:p w:rsidR="007F6DF9" w:rsidRDefault="00A43FBC">
            <w:pPr>
              <w:pStyle w:val="TableParagraph"/>
              <w:spacing w:before="1" w:line="233" w:lineRule="exact"/>
              <w:ind w:left="107"/>
              <w:rPr>
                <w:rFonts w:ascii="Times New Roman"/>
              </w:rPr>
            </w:pPr>
            <w:r>
              <w:rPr>
                <w:rFonts w:ascii="Times New Roman"/>
              </w:rPr>
              <w:t>1.</w:t>
            </w:r>
            <w:r>
              <w:rPr>
                <w:rFonts w:ascii="Times New Roman"/>
                <w:spacing w:val="78"/>
                <w:w w:val="150"/>
              </w:rPr>
              <w:t xml:space="preserve"> </w:t>
            </w:r>
            <w:r>
              <w:rPr>
                <w:rFonts w:ascii="Times New Roman"/>
              </w:rPr>
              <w:t>Total for</w:t>
            </w:r>
            <w:r>
              <w:rPr>
                <w:rFonts w:ascii="Times New Roman"/>
                <w:spacing w:val="-2"/>
              </w:rPr>
              <w:t xml:space="preserve"> </w:t>
            </w:r>
            <w:proofErr w:type="spellStart"/>
            <w:r>
              <w:rPr>
                <w:rFonts w:ascii="Times New Roman"/>
              </w:rPr>
              <w:t>Daywork</w:t>
            </w:r>
            <w:proofErr w:type="spellEnd"/>
            <w:r>
              <w:rPr>
                <w:rFonts w:ascii="Times New Roman"/>
              </w:rPr>
              <w:t>:</w:t>
            </w:r>
            <w:r>
              <w:rPr>
                <w:rFonts w:ascii="Times New Roman"/>
                <w:spacing w:val="53"/>
              </w:rPr>
              <w:t xml:space="preserve"> </w:t>
            </w:r>
            <w:r>
              <w:rPr>
                <w:rFonts w:ascii="Times New Roman"/>
                <w:spacing w:val="-2"/>
              </w:rPr>
              <w:t>Labor</w:t>
            </w:r>
          </w:p>
        </w:tc>
        <w:tc>
          <w:tcPr>
            <w:tcW w:w="1870" w:type="dxa"/>
          </w:tcPr>
          <w:p w:rsidR="007F6DF9" w:rsidRDefault="007F6DF9">
            <w:pPr>
              <w:pStyle w:val="TableParagraph"/>
              <w:rPr>
                <w:rFonts w:ascii="Times New Roman"/>
                <w:sz w:val="18"/>
              </w:rPr>
            </w:pPr>
          </w:p>
        </w:tc>
        <w:tc>
          <w:tcPr>
            <w:tcW w:w="1153" w:type="dxa"/>
          </w:tcPr>
          <w:p w:rsidR="007F6DF9" w:rsidRDefault="007F6DF9">
            <w:pPr>
              <w:pStyle w:val="TableParagraph"/>
              <w:rPr>
                <w:rFonts w:ascii="Times New Roman"/>
                <w:sz w:val="18"/>
              </w:rPr>
            </w:pPr>
          </w:p>
        </w:tc>
        <w:tc>
          <w:tcPr>
            <w:tcW w:w="1152" w:type="dxa"/>
          </w:tcPr>
          <w:p w:rsidR="007F6DF9" w:rsidRDefault="007F6DF9">
            <w:pPr>
              <w:pStyle w:val="TableParagraph"/>
              <w:rPr>
                <w:rFonts w:ascii="Times New Roman"/>
                <w:sz w:val="18"/>
              </w:rPr>
            </w:pPr>
          </w:p>
        </w:tc>
      </w:tr>
      <w:tr w:rsidR="007F6DF9">
        <w:trPr>
          <w:trHeight w:val="251"/>
        </w:trPr>
        <w:tc>
          <w:tcPr>
            <w:tcW w:w="5980" w:type="dxa"/>
          </w:tcPr>
          <w:p w:rsidR="007F6DF9" w:rsidRDefault="00A43FBC">
            <w:pPr>
              <w:pStyle w:val="TableParagraph"/>
              <w:spacing w:line="232" w:lineRule="exact"/>
              <w:ind w:left="107"/>
              <w:rPr>
                <w:rFonts w:ascii="Times New Roman"/>
              </w:rPr>
            </w:pPr>
            <w:r>
              <w:rPr>
                <w:rFonts w:ascii="Times New Roman"/>
              </w:rPr>
              <w:t>2.</w:t>
            </w:r>
            <w:r>
              <w:rPr>
                <w:rFonts w:ascii="Times New Roman"/>
                <w:spacing w:val="78"/>
                <w:w w:val="150"/>
              </w:rPr>
              <w:t xml:space="preserve"> </w:t>
            </w:r>
            <w:r>
              <w:rPr>
                <w:rFonts w:ascii="Times New Roman"/>
              </w:rPr>
              <w:t>Total for</w:t>
            </w:r>
            <w:r>
              <w:rPr>
                <w:rFonts w:ascii="Times New Roman"/>
                <w:spacing w:val="-2"/>
              </w:rPr>
              <w:t xml:space="preserve"> </w:t>
            </w:r>
            <w:proofErr w:type="spellStart"/>
            <w:r>
              <w:rPr>
                <w:rFonts w:ascii="Times New Roman"/>
              </w:rPr>
              <w:t>Daywork</w:t>
            </w:r>
            <w:proofErr w:type="spellEnd"/>
            <w:r>
              <w:rPr>
                <w:rFonts w:ascii="Times New Roman"/>
              </w:rPr>
              <w:t>:</w:t>
            </w:r>
            <w:r>
              <w:rPr>
                <w:rFonts w:ascii="Times New Roman"/>
                <w:spacing w:val="52"/>
              </w:rPr>
              <w:t xml:space="preserve"> </w:t>
            </w:r>
            <w:r>
              <w:rPr>
                <w:rFonts w:ascii="Times New Roman"/>
                <w:spacing w:val="-2"/>
              </w:rPr>
              <w:t>Materials</w:t>
            </w:r>
          </w:p>
        </w:tc>
        <w:tc>
          <w:tcPr>
            <w:tcW w:w="1870" w:type="dxa"/>
          </w:tcPr>
          <w:p w:rsidR="007F6DF9" w:rsidRDefault="007F6DF9">
            <w:pPr>
              <w:pStyle w:val="TableParagraph"/>
              <w:rPr>
                <w:rFonts w:ascii="Times New Roman"/>
                <w:sz w:val="18"/>
              </w:rPr>
            </w:pPr>
          </w:p>
        </w:tc>
        <w:tc>
          <w:tcPr>
            <w:tcW w:w="1153" w:type="dxa"/>
          </w:tcPr>
          <w:p w:rsidR="007F6DF9" w:rsidRDefault="007F6DF9">
            <w:pPr>
              <w:pStyle w:val="TableParagraph"/>
              <w:rPr>
                <w:rFonts w:ascii="Times New Roman"/>
                <w:sz w:val="18"/>
              </w:rPr>
            </w:pPr>
          </w:p>
        </w:tc>
        <w:tc>
          <w:tcPr>
            <w:tcW w:w="1152" w:type="dxa"/>
          </w:tcPr>
          <w:p w:rsidR="007F6DF9" w:rsidRDefault="007F6DF9">
            <w:pPr>
              <w:pStyle w:val="TableParagraph"/>
              <w:rPr>
                <w:rFonts w:ascii="Times New Roman"/>
                <w:sz w:val="18"/>
              </w:rPr>
            </w:pPr>
          </w:p>
        </w:tc>
      </w:tr>
      <w:tr w:rsidR="007F6DF9">
        <w:trPr>
          <w:trHeight w:val="254"/>
        </w:trPr>
        <w:tc>
          <w:tcPr>
            <w:tcW w:w="5980" w:type="dxa"/>
          </w:tcPr>
          <w:p w:rsidR="007F6DF9" w:rsidRDefault="00A43FBC">
            <w:pPr>
              <w:pStyle w:val="TableParagraph"/>
              <w:spacing w:before="1" w:line="233" w:lineRule="exact"/>
              <w:ind w:left="107"/>
              <w:rPr>
                <w:rFonts w:ascii="Times New Roman" w:hAnsi="Times New Roman"/>
              </w:rPr>
            </w:pPr>
            <w:r>
              <w:rPr>
                <w:rFonts w:ascii="Times New Roman" w:hAnsi="Times New Roman"/>
              </w:rPr>
              <w:t>3.</w:t>
            </w:r>
            <w:r>
              <w:rPr>
                <w:rFonts w:ascii="Times New Roman" w:hAnsi="Times New Roman"/>
                <w:spacing w:val="76"/>
                <w:w w:val="150"/>
              </w:rPr>
              <w:t xml:space="preserve"> </w:t>
            </w:r>
            <w:r>
              <w:rPr>
                <w:rFonts w:ascii="Times New Roman" w:hAnsi="Times New Roman"/>
              </w:rPr>
              <w:t>Total</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proofErr w:type="spellStart"/>
            <w:r>
              <w:rPr>
                <w:rFonts w:ascii="Times New Roman" w:hAnsi="Times New Roman"/>
              </w:rPr>
              <w:t>Daywork</w:t>
            </w:r>
            <w:proofErr w:type="spellEnd"/>
            <w:r>
              <w:rPr>
                <w:rFonts w:ascii="Times New Roman" w:hAnsi="Times New Roman"/>
              </w:rPr>
              <w:t>:</w:t>
            </w:r>
            <w:r>
              <w:rPr>
                <w:rFonts w:ascii="Times New Roman" w:hAnsi="Times New Roman"/>
                <w:spacing w:val="50"/>
              </w:rPr>
              <w:t xml:space="preserve"> </w:t>
            </w:r>
            <w:r>
              <w:rPr>
                <w:rFonts w:ascii="Times New Roman" w:hAnsi="Times New Roman"/>
              </w:rPr>
              <w:t>Contractor’s</w:t>
            </w:r>
            <w:r>
              <w:rPr>
                <w:rFonts w:ascii="Times New Roman" w:hAnsi="Times New Roman"/>
                <w:spacing w:val="-2"/>
              </w:rPr>
              <w:t xml:space="preserve"> Equipment</w:t>
            </w:r>
          </w:p>
        </w:tc>
        <w:tc>
          <w:tcPr>
            <w:tcW w:w="1870" w:type="dxa"/>
          </w:tcPr>
          <w:p w:rsidR="007F6DF9" w:rsidRDefault="007F6DF9">
            <w:pPr>
              <w:pStyle w:val="TableParagraph"/>
              <w:rPr>
                <w:rFonts w:ascii="Times New Roman"/>
                <w:sz w:val="18"/>
              </w:rPr>
            </w:pPr>
          </w:p>
        </w:tc>
        <w:tc>
          <w:tcPr>
            <w:tcW w:w="1153" w:type="dxa"/>
          </w:tcPr>
          <w:p w:rsidR="007F6DF9" w:rsidRDefault="007F6DF9">
            <w:pPr>
              <w:pStyle w:val="TableParagraph"/>
              <w:rPr>
                <w:rFonts w:ascii="Times New Roman"/>
                <w:sz w:val="18"/>
              </w:rPr>
            </w:pPr>
          </w:p>
        </w:tc>
        <w:tc>
          <w:tcPr>
            <w:tcW w:w="1152" w:type="dxa"/>
          </w:tcPr>
          <w:p w:rsidR="007F6DF9" w:rsidRDefault="007F6DF9">
            <w:pPr>
              <w:pStyle w:val="TableParagraph"/>
              <w:rPr>
                <w:rFonts w:ascii="Times New Roman"/>
                <w:sz w:val="18"/>
              </w:rPr>
            </w:pPr>
          </w:p>
        </w:tc>
      </w:tr>
      <w:tr w:rsidR="007F6DF9">
        <w:trPr>
          <w:trHeight w:val="505"/>
        </w:trPr>
        <w:tc>
          <w:tcPr>
            <w:tcW w:w="5980" w:type="dxa"/>
          </w:tcPr>
          <w:p w:rsidR="007F6DF9" w:rsidRDefault="00A43FBC">
            <w:pPr>
              <w:pStyle w:val="TableParagraph"/>
              <w:tabs>
                <w:tab w:val="left" w:pos="3708"/>
              </w:tabs>
              <w:spacing w:line="254" w:lineRule="exact"/>
              <w:ind w:left="107" w:right="833"/>
              <w:rPr>
                <w:rFonts w:ascii="Times New Roman"/>
              </w:rPr>
            </w:pPr>
            <w:r>
              <w:rPr>
                <w:rFonts w:ascii="Times New Roman"/>
              </w:rPr>
              <w:t>Total</w:t>
            </w:r>
            <w:r>
              <w:rPr>
                <w:rFonts w:ascii="Times New Roman"/>
                <w:spacing w:val="-5"/>
              </w:rPr>
              <w:t xml:space="preserve"> </w:t>
            </w:r>
            <w:r>
              <w:rPr>
                <w:rFonts w:ascii="Times New Roman"/>
              </w:rPr>
              <w:t>for</w:t>
            </w:r>
            <w:r>
              <w:rPr>
                <w:rFonts w:ascii="Times New Roman"/>
                <w:spacing w:val="-6"/>
              </w:rPr>
              <w:t xml:space="preserve"> </w:t>
            </w:r>
            <w:proofErr w:type="spellStart"/>
            <w:r>
              <w:rPr>
                <w:rFonts w:ascii="Times New Roman"/>
              </w:rPr>
              <w:t>Daywork</w:t>
            </w:r>
            <w:proofErr w:type="spellEnd"/>
            <w:r>
              <w:rPr>
                <w:rFonts w:ascii="Times New Roman"/>
                <w:spacing w:val="-6"/>
              </w:rPr>
              <w:t xml:space="preserve"> </w:t>
            </w:r>
            <w:r>
              <w:rPr>
                <w:rFonts w:ascii="Times New Roman"/>
              </w:rPr>
              <w:t>(Provisional</w:t>
            </w:r>
            <w:r>
              <w:rPr>
                <w:rFonts w:ascii="Times New Roman"/>
                <w:spacing w:val="-5"/>
              </w:rPr>
              <w:t xml:space="preserve"> </w:t>
            </w:r>
            <w:r>
              <w:rPr>
                <w:rFonts w:ascii="Times New Roman"/>
              </w:rPr>
              <w:t>Sum)</w:t>
            </w:r>
            <w:r>
              <w:rPr>
                <w:rFonts w:ascii="Times New Roman"/>
                <w:spacing w:val="-6"/>
              </w:rPr>
              <w:t xml:space="preserve"> </w:t>
            </w:r>
            <w:r>
              <w:rPr>
                <w:rFonts w:ascii="Times New Roman"/>
              </w:rPr>
              <w:t>(carried</w:t>
            </w:r>
            <w:r>
              <w:rPr>
                <w:rFonts w:ascii="Times New Roman"/>
                <w:spacing w:val="-6"/>
              </w:rPr>
              <w:t xml:space="preserve"> </w:t>
            </w:r>
            <w:r>
              <w:rPr>
                <w:rFonts w:ascii="Times New Roman"/>
              </w:rPr>
              <w:t>forward</w:t>
            </w:r>
            <w:r>
              <w:rPr>
                <w:rFonts w:ascii="Times New Roman"/>
                <w:spacing w:val="-9"/>
              </w:rPr>
              <w:t xml:space="preserve"> </w:t>
            </w:r>
            <w:r>
              <w:rPr>
                <w:rFonts w:ascii="Times New Roman"/>
              </w:rPr>
              <w:t xml:space="preserve">to Summary of Bills of Quantities, p. </w:t>
            </w:r>
            <w:r>
              <w:rPr>
                <w:rFonts w:ascii="Times New Roman"/>
                <w:u w:val="single"/>
              </w:rPr>
              <w:tab/>
            </w:r>
            <w:r>
              <w:rPr>
                <w:rFonts w:ascii="Times New Roman"/>
                <w:spacing w:val="-10"/>
              </w:rPr>
              <w:t>)</w:t>
            </w:r>
          </w:p>
        </w:tc>
        <w:tc>
          <w:tcPr>
            <w:tcW w:w="1870" w:type="dxa"/>
          </w:tcPr>
          <w:p w:rsidR="007F6DF9" w:rsidRDefault="007F6DF9">
            <w:pPr>
              <w:pStyle w:val="TableParagraph"/>
              <w:rPr>
                <w:rFonts w:ascii="Times New Roman"/>
              </w:rPr>
            </w:pPr>
          </w:p>
        </w:tc>
        <w:tc>
          <w:tcPr>
            <w:tcW w:w="1153" w:type="dxa"/>
          </w:tcPr>
          <w:p w:rsidR="007F6DF9" w:rsidRDefault="007F6DF9">
            <w:pPr>
              <w:pStyle w:val="TableParagraph"/>
              <w:rPr>
                <w:rFonts w:ascii="Times New Roman"/>
              </w:rPr>
            </w:pPr>
          </w:p>
        </w:tc>
        <w:tc>
          <w:tcPr>
            <w:tcW w:w="1152" w:type="dxa"/>
          </w:tcPr>
          <w:p w:rsidR="007F6DF9" w:rsidRDefault="007F6DF9">
            <w:pPr>
              <w:pStyle w:val="TableParagraph"/>
              <w:rPr>
                <w:rFonts w:ascii="Times New Roman"/>
              </w:rPr>
            </w:pPr>
          </w:p>
        </w:tc>
      </w:tr>
    </w:tbl>
    <w:p w:rsidR="007F6DF9" w:rsidRDefault="007F6DF9">
      <w:pPr>
        <w:pStyle w:val="BodyText"/>
        <w:spacing w:before="256"/>
        <w:rPr>
          <w:b/>
          <w:sz w:val="24"/>
        </w:rPr>
      </w:pPr>
    </w:p>
    <w:p w:rsidR="007F6DF9" w:rsidRDefault="00A43FBC">
      <w:pPr>
        <w:pStyle w:val="Heading7"/>
      </w:pPr>
      <w:r>
        <w:t>Bill</w:t>
      </w:r>
      <w:r>
        <w:rPr>
          <w:spacing w:val="-1"/>
        </w:rPr>
        <w:t xml:space="preserve"> </w:t>
      </w:r>
      <w:r>
        <w:t>No. 7:</w:t>
      </w:r>
      <w:r>
        <w:rPr>
          <w:spacing w:val="-2"/>
        </w:rPr>
        <w:t xml:space="preserve"> </w:t>
      </w:r>
      <w:r>
        <w:t xml:space="preserve">Provisional </w:t>
      </w:r>
      <w:r>
        <w:rPr>
          <w:spacing w:val="-4"/>
        </w:rPr>
        <w:t>Sums</w:t>
      </w:r>
    </w:p>
    <w:p w:rsidR="007F6DF9" w:rsidRDefault="007F6DF9">
      <w:pPr>
        <w:pStyle w:val="BodyText"/>
        <w:spacing w:before="47"/>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079"/>
        <w:gridCol w:w="5400"/>
        <w:gridCol w:w="1440"/>
      </w:tblGrid>
      <w:tr w:rsidR="007F6DF9">
        <w:trPr>
          <w:trHeight w:val="251"/>
        </w:trPr>
        <w:tc>
          <w:tcPr>
            <w:tcW w:w="1080" w:type="dxa"/>
          </w:tcPr>
          <w:p w:rsidR="007F6DF9" w:rsidRDefault="00A43FBC">
            <w:pPr>
              <w:pStyle w:val="TableParagraph"/>
              <w:spacing w:line="232" w:lineRule="exact"/>
              <w:ind w:left="107"/>
              <w:rPr>
                <w:rFonts w:ascii="Times New Roman"/>
                <w:i/>
              </w:rPr>
            </w:pPr>
            <w:r>
              <w:rPr>
                <w:rFonts w:ascii="Times New Roman"/>
                <w:i/>
              </w:rPr>
              <w:t xml:space="preserve">Bill </w:t>
            </w:r>
            <w:r>
              <w:rPr>
                <w:rFonts w:ascii="Times New Roman"/>
                <w:i/>
                <w:spacing w:val="-5"/>
              </w:rPr>
              <w:t>no.</w:t>
            </w:r>
          </w:p>
        </w:tc>
        <w:tc>
          <w:tcPr>
            <w:tcW w:w="1079" w:type="dxa"/>
          </w:tcPr>
          <w:p w:rsidR="007F6DF9" w:rsidRDefault="00A43FBC">
            <w:pPr>
              <w:pStyle w:val="TableParagraph"/>
              <w:spacing w:line="232" w:lineRule="exact"/>
              <w:ind w:left="108"/>
              <w:rPr>
                <w:rFonts w:ascii="Times New Roman"/>
                <w:i/>
              </w:rPr>
            </w:pPr>
            <w:r>
              <w:rPr>
                <w:rFonts w:ascii="Times New Roman"/>
                <w:i/>
              </w:rPr>
              <w:t xml:space="preserve">Item </w:t>
            </w:r>
            <w:r>
              <w:rPr>
                <w:rFonts w:ascii="Times New Roman"/>
                <w:i/>
                <w:spacing w:val="-5"/>
              </w:rPr>
              <w:t>no.</w:t>
            </w:r>
          </w:p>
        </w:tc>
        <w:tc>
          <w:tcPr>
            <w:tcW w:w="5400" w:type="dxa"/>
          </w:tcPr>
          <w:p w:rsidR="007F6DF9" w:rsidRDefault="00A43FBC">
            <w:pPr>
              <w:pStyle w:val="TableParagraph"/>
              <w:spacing w:line="232" w:lineRule="exact"/>
              <w:ind w:left="109"/>
              <w:rPr>
                <w:rFonts w:ascii="Times New Roman"/>
                <w:i/>
              </w:rPr>
            </w:pPr>
            <w:r>
              <w:rPr>
                <w:rFonts w:ascii="Times New Roman"/>
                <w:i/>
                <w:spacing w:val="-2"/>
              </w:rPr>
              <w:t>Description</w:t>
            </w:r>
          </w:p>
        </w:tc>
        <w:tc>
          <w:tcPr>
            <w:tcW w:w="1440" w:type="dxa"/>
          </w:tcPr>
          <w:p w:rsidR="007F6DF9" w:rsidRDefault="00A43FBC">
            <w:pPr>
              <w:pStyle w:val="TableParagraph"/>
              <w:spacing w:line="232" w:lineRule="exact"/>
              <w:ind w:left="110"/>
              <w:rPr>
                <w:rFonts w:ascii="Times New Roman"/>
                <w:i/>
              </w:rPr>
            </w:pPr>
            <w:r>
              <w:rPr>
                <w:rFonts w:ascii="Times New Roman"/>
                <w:i/>
                <w:spacing w:val="-2"/>
              </w:rPr>
              <w:t>Amount</w:t>
            </w:r>
          </w:p>
        </w:tc>
      </w:tr>
      <w:tr w:rsidR="007F6DF9">
        <w:trPr>
          <w:trHeight w:val="253"/>
        </w:trPr>
        <w:tc>
          <w:tcPr>
            <w:tcW w:w="1080" w:type="dxa"/>
          </w:tcPr>
          <w:p w:rsidR="007F6DF9" w:rsidRDefault="00A43FBC">
            <w:pPr>
              <w:pStyle w:val="TableParagraph"/>
              <w:spacing w:line="234" w:lineRule="exact"/>
              <w:ind w:left="107"/>
              <w:rPr>
                <w:rFonts w:ascii="Times New Roman"/>
              </w:rPr>
            </w:pPr>
            <w:r>
              <w:rPr>
                <w:rFonts w:ascii="Times New Roman"/>
                <w:spacing w:val="-10"/>
              </w:rPr>
              <w:t>1</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1"/>
        </w:trPr>
        <w:tc>
          <w:tcPr>
            <w:tcW w:w="1080" w:type="dxa"/>
          </w:tcPr>
          <w:p w:rsidR="007F6DF9" w:rsidRDefault="00A43FBC">
            <w:pPr>
              <w:pStyle w:val="TableParagraph"/>
              <w:spacing w:line="232" w:lineRule="exact"/>
              <w:ind w:left="107"/>
              <w:rPr>
                <w:rFonts w:ascii="Times New Roman"/>
              </w:rPr>
            </w:pPr>
            <w:r>
              <w:rPr>
                <w:rFonts w:ascii="Times New Roman"/>
                <w:spacing w:val="-10"/>
              </w:rPr>
              <w:t>2</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3"/>
        </w:trPr>
        <w:tc>
          <w:tcPr>
            <w:tcW w:w="1080" w:type="dxa"/>
          </w:tcPr>
          <w:p w:rsidR="007F6DF9" w:rsidRDefault="00A43FBC">
            <w:pPr>
              <w:pStyle w:val="TableParagraph"/>
              <w:spacing w:line="234" w:lineRule="exact"/>
              <w:ind w:left="107"/>
              <w:rPr>
                <w:rFonts w:ascii="Times New Roman"/>
              </w:rPr>
            </w:pPr>
            <w:r>
              <w:rPr>
                <w:rFonts w:ascii="Times New Roman"/>
                <w:spacing w:val="-10"/>
              </w:rPr>
              <w:t>3</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1"/>
        </w:trPr>
        <w:tc>
          <w:tcPr>
            <w:tcW w:w="1080" w:type="dxa"/>
          </w:tcPr>
          <w:p w:rsidR="007F6DF9" w:rsidRDefault="00A43FBC">
            <w:pPr>
              <w:pStyle w:val="TableParagraph"/>
              <w:spacing w:line="232" w:lineRule="exact"/>
              <w:ind w:left="107"/>
              <w:rPr>
                <w:rFonts w:ascii="Times New Roman"/>
              </w:rPr>
            </w:pPr>
            <w:r>
              <w:rPr>
                <w:rFonts w:ascii="Times New Roman"/>
                <w:spacing w:val="-10"/>
              </w:rPr>
              <w:t>4</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4"/>
        </w:trPr>
        <w:tc>
          <w:tcPr>
            <w:tcW w:w="1080" w:type="dxa"/>
          </w:tcPr>
          <w:p w:rsidR="007F6DF9" w:rsidRDefault="00A43FBC">
            <w:pPr>
              <w:pStyle w:val="TableParagraph"/>
              <w:spacing w:before="1" w:line="233" w:lineRule="exact"/>
              <w:ind w:left="107"/>
              <w:rPr>
                <w:rFonts w:ascii="Times New Roman"/>
              </w:rPr>
            </w:pPr>
            <w:r>
              <w:rPr>
                <w:rFonts w:ascii="Times New Roman"/>
                <w:spacing w:val="-4"/>
              </w:rPr>
              <w:t>etc.</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4"/>
        </w:trPr>
        <w:tc>
          <w:tcPr>
            <w:tcW w:w="7559" w:type="dxa"/>
            <w:gridSpan w:val="3"/>
            <w:shd w:val="clear" w:color="auto" w:fill="D0CECE"/>
          </w:tcPr>
          <w:p w:rsidR="007F6DF9" w:rsidRDefault="00A43FBC">
            <w:pPr>
              <w:pStyle w:val="TableParagraph"/>
              <w:spacing w:line="234" w:lineRule="exact"/>
              <w:ind w:left="107"/>
              <w:rPr>
                <w:rFonts w:ascii="Times New Roman"/>
              </w:rPr>
            </w:pPr>
            <w:r>
              <w:rPr>
                <w:rFonts w:ascii="Times New Roman"/>
              </w:rPr>
              <w:t>Total</w:t>
            </w:r>
            <w:r>
              <w:rPr>
                <w:rFonts w:ascii="Times New Roman"/>
                <w:spacing w:val="-5"/>
              </w:rPr>
              <w:t xml:space="preserve"> </w:t>
            </w:r>
            <w:r>
              <w:rPr>
                <w:rFonts w:ascii="Times New Roman"/>
              </w:rPr>
              <w:t>for</w:t>
            </w:r>
            <w:r>
              <w:rPr>
                <w:rFonts w:ascii="Times New Roman"/>
                <w:spacing w:val="-4"/>
              </w:rPr>
              <w:t xml:space="preserve"> </w:t>
            </w:r>
            <w:r>
              <w:rPr>
                <w:rFonts w:ascii="Times New Roman"/>
              </w:rPr>
              <w:t>Specified</w:t>
            </w:r>
            <w:r>
              <w:rPr>
                <w:rFonts w:ascii="Times New Roman"/>
                <w:spacing w:val="-4"/>
              </w:rPr>
              <w:t xml:space="preserve"> </w:t>
            </w:r>
            <w:r>
              <w:rPr>
                <w:rFonts w:ascii="Times New Roman"/>
              </w:rPr>
              <w:t>Provisional</w:t>
            </w:r>
            <w:r>
              <w:rPr>
                <w:rFonts w:ascii="Times New Roman"/>
                <w:spacing w:val="-3"/>
              </w:rPr>
              <w:t xml:space="preserve"> </w:t>
            </w:r>
            <w:r>
              <w:rPr>
                <w:rFonts w:ascii="Times New Roman"/>
              </w:rPr>
              <w:t>Sums</w:t>
            </w:r>
            <w:r>
              <w:rPr>
                <w:rFonts w:ascii="Times New Roman"/>
                <w:spacing w:val="-6"/>
              </w:rPr>
              <w:t xml:space="preserve"> </w:t>
            </w:r>
            <w:r>
              <w:rPr>
                <w:rFonts w:ascii="Times New Roman"/>
              </w:rPr>
              <w:t>(carried</w:t>
            </w:r>
            <w:r>
              <w:rPr>
                <w:rFonts w:ascii="Times New Roman"/>
                <w:spacing w:val="-5"/>
              </w:rPr>
              <w:t xml:space="preserve"> </w:t>
            </w:r>
            <w:r>
              <w:rPr>
                <w:rFonts w:ascii="Times New Roman"/>
              </w:rPr>
              <w:t>forward</w:t>
            </w:r>
            <w:r>
              <w:rPr>
                <w:rFonts w:ascii="Times New Roman"/>
                <w:spacing w:val="-7"/>
              </w:rPr>
              <w:t xml:space="preserve"> </w:t>
            </w:r>
            <w:r>
              <w:rPr>
                <w:rFonts w:ascii="Times New Roman"/>
              </w:rPr>
              <w:t>to</w:t>
            </w:r>
            <w:r>
              <w:rPr>
                <w:rFonts w:ascii="Times New Roman"/>
                <w:spacing w:val="-4"/>
              </w:rPr>
              <w:t xml:space="preserve"> </w:t>
            </w:r>
            <w:r>
              <w:rPr>
                <w:rFonts w:ascii="Times New Roman"/>
              </w:rPr>
              <w:t>Grand</w:t>
            </w:r>
            <w:r>
              <w:rPr>
                <w:rFonts w:ascii="Times New Roman"/>
                <w:spacing w:val="-3"/>
              </w:rPr>
              <w:t xml:space="preserve"> </w:t>
            </w:r>
            <w:r>
              <w:rPr>
                <w:rFonts w:ascii="Times New Roman"/>
                <w:spacing w:val="-2"/>
              </w:rPr>
              <w:t>Summary</w:t>
            </w:r>
          </w:p>
        </w:tc>
        <w:tc>
          <w:tcPr>
            <w:tcW w:w="1440" w:type="dxa"/>
            <w:shd w:val="clear" w:color="auto" w:fill="D0CECE"/>
          </w:tcPr>
          <w:p w:rsidR="007F6DF9" w:rsidRDefault="007F6DF9">
            <w:pPr>
              <w:pStyle w:val="TableParagraph"/>
              <w:rPr>
                <w:rFonts w:ascii="Times New Roman"/>
                <w:sz w:val="18"/>
              </w:rPr>
            </w:pPr>
          </w:p>
        </w:tc>
      </w:tr>
    </w:tbl>
    <w:p w:rsidR="007F6DF9" w:rsidRDefault="007F6DF9">
      <w:pPr>
        <w:pStyle w:val="BodyText"/>
        <w:spacing w:before="233"/>
        <w:rPr>
          <w:b/>
          <w:sz w:val="24"/>
        </w:rPr>
      </w:pPr>
    </w:p>
    <w:p w:rsidR="007F6DF9" w:rsidRDefault="00A43FBC">
      <w:pPr>
        <w:ind w:left="559"/>
        <w:rPr>
          <w:b/>
        </w:rPr>
      </w:pPr>
      <w:r>
        <w:rPr>
          <w:b/>
          <w:u w:val="single"/>
        </w:rPr>
        <w:t>GRAND</w:t>
      </w:r>
      <w:r>
        <w:rPr>
          <w:b/>
          <w:spacing w:val="-7"/>
          <w:u w:val="single"/>
        </w:rPr>
        <w:t xml:space="preserve"> </w:t>
      </w:r>
      <w:r>
        <w:rPr>
          <w:b/>
          <w:spacing w:val="-2"/>
          <w:u w:val="single"/>
        </w:rPr>
        <w:t>SUMMARY</w:t>
      </w:r>
    </w:p>
    <w:p w:rsidR="007F6DF9" w:rsidRDefault="007F6DF9">
      <w:pPr>
        <w:pStyle w:val="BodyText"/>
        <w:spacing w:before="22"/>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3"/>
        <w:gridCol w:w="1160"/>
        <w:gridCol w:w="1453"/>
      </w:tblGrid>
      <w:tr w:rsidR="007F6DF9">
        <w:trPr>
          <w:trHeight w:val="364"/>
        </w:trPr>
        <w:tc>
          <w:tcPr>
            <w:tcW w:w="6453" w:type="dxa"/>
          </w:tcPr>
          <w:p w:rsidR="007F6DF9" w:rsidRDefault="00A43FBC">
            <w:pPr>
              <w:pStyle w:val="TableParagraph"/>
              <w:spacing w:before="1"/>
              <w:ind w:left="107"/>
              <w:rPr>
                <w:rFonts w:ascii="Times New Roman"/>
                <w:b/>
              </w:rPr>
            </w:pPr>
            <w:r>
              <w:rPr>
                <w:rFonts w:ascii="Times New Roman"/>
                <w:b/>
              </w:rPr>
              <w:t>SUMMARY</w:t>
            </w:r>
            <w:r>
              <w:rPr>
                <w:rFonts w:ascii="Times New Roman"/>
                <w:b/>
                <w:spacing w:val="-7"/>
              </w:rPr>
              <w:t xml:space="preserve"> </w:t>
            </w:r>
            <w:r>
              <w:rPr>
                <w:rFonts w:ascii="Times New Roman"/>
                <w:b/>
                <w:spacing w:val="-2"/>
              </w:rPr>
              <w:t>ITEMS</w:t>
            </w:r>
          </w:p>
        </w:tc>
        <w:tc>
          <w:tcPr>
            <w:tcW w:w="1160" w:type="dxa"/>
          </w:tcPr>
          <w:p w:rsidR="007F6DF9" w:rsidRDefault="00A43FBC">
            <w:pPr>
              <w:pStyle w:val="TableParagraph"/>
              <w:spacing w:before="1"/>
              <w:ind w:left="107"/>
              <w:rPr>
                <w:rFonts w:ascii="Times New Roman"/>
                <w:i/>
              </w:rPr>
            </w:pPr>
            <w:r>
              <w:rPr>
                <w:rFonts w:ascii="Times New Roman"/>
                <w:i/>
                <w:spacing w:val="-4"/>
              </w:rPr>
              <w:t>Page</w:t>
            </w:r>
          </w:p>
        </w:tc>
        <w:tc>
          <w:tcPr>
            <w:tcW w:w="1453" w:type="dxa"/>
          </w:tcPr>
          <w:p w:rsidR="007F6DF9" w:rsidRDefault="00A43FBC">
            <w:pPr>
              <w:pStyle w:val="TableParagraph"/>
              <w:spacing w:before="1"/>
              <w:ind w:left="106"/>
              <w:rPr>
                <w:rFonts w:ascii="Times New Roman"/>
                <w:i/>
              </w:rPr>
            </w:pPr>
            <w:r>
              <w:rPr>
                <w:rFonts w:ascii="Times New Roman"/>
                <w:i/>
                <w:spacing w:val="-2"/>
              </w:rPr>
              <w:t>Amount</w:t>
            </w:r>
          </w:p>
        </w:tc>
      </w:tr>
      <w:tr w:rsidR="007F6DF9">
        <w:trPr>
          <w:trHeight w:val="376"/>
        </w:trPr>
        <w:tc>
          <w:tcPr>
            <w:tcW w:w="6453" w:type="dxa"/>
          </w:tcPr>
          <w:p w:rsidR="007F6DF9" w:rsidRDefault="00A43FBC">
            <w:pPr>
              <w:pStyle w:val="TableParagraph"/>
              <w:spacing w:line="251" w:lineRule="exact"/>
              <w:ind w:left="107"/>
              <w:rPr>
                <w:rFonts w:ascii="Times New Roman"/>
              </w:rPr>
            </w:pPr>
            <w:r>
              <w:rPr>
                <w:rFonts w:ascii="Times New Roman"/>
              </w:rPr>
              <w:t>Bill</w:t>
            </w:r>
            <w:r>
              <w:rPr>
                <w:rFonts w:ascii="Times New Roman"/>
                <w:spacing w:val="-5"/>
              </w:rPr>
              <w:t xml:space="preserve"> </w:t>
            </w:r>
            <w:r>
              <w:rPr>
                <w:rFonts w:ascii="Times New Roman"/>
              </w:rPr>
              <w:t>No.</w:t>
            </w:r>
            <w:r>
              <w:rPr>
                <w:rFonts w:ascii="Times New Roman"/>
                <w:spacing w:val="-2"/>
              </w:rPr>
              <w:t xml:space="preserve"> </w:t>
            </w:r>
            <w:r>
              <w:rPr>
                <w:rFonts w:ascii="Times New Roman"/>
              </w:rPr>
              <w:t>1:</w:t>
            </w:r>
            <w:r>
              <w:rPr>
                <w:rFonts w:ascii="Times New Roman"/>
                <w:spacing w:val="50"/>
              </w:rPr>
              <w:t xml:space="preserve"> </w:t>
            </w:r>
            <w:r>
              <w:rPr>
                <w:rFonts w:ascii="Times New Roman"/>
              </w:rPr>
              <w:t>Preliminary</w:t>
            </w:r>
            <w:r>
              <w:rPr>
                <w:rFonts w:ascii="Times New Roman"/>
                <w:spacing w:val="-2"/>
              </w:rPr>
              <w:t xml:space="preserve"> Items</w:t>
            </w:r>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r w:rsidR="007F6DF9">
        <w:trPr>
          <w:trHeight w:val="364"/>
        </w:trPr>
        <w:tc>
          <w:tcPr>
            <w:tcW w:w="6453" w:type="dxa"/>
          </w:tcPr>
          <w:p w:rsidR="007F6DF9" w:rsidRDefault="00A43FBC">
            <w:pPr>
              <w:pStyle w:val="TableParagraph"/>
              <w:spacing w:line="251" w:lineRule="exact"/>
              <w:ind w:left="107"/>
              <w:rPr>
                <w:rFonts w:ascii="Times New Roman"/>
              </w:rPr>
            </w:pPr>
            <w:r>
              <w:rPr>
                <w:rFonts w:ascii="Times New Roman"/>
              </w:rPr>
              <w:t>Bill</w:t>
            </w:r>
            <w:r>
              <w:rPr>
                <w:rFonts w:ascii="Times New Roman"/>
                <w:spacing w:val="-3"/>
              </w:rPr>
              <w:t xml:space="preserve"> </w:t>
            </w:r>
            <w:r>
              <w:rPr>
                <w:rFonts w:ascii="Times New Roman"/>
              </w:rPr>
              <w:t>No.</w:t>
            </w:r>
            <w:r>
              <w:rPr>
                <w:rFonts w:ascii="Times New Roman"/>
                <w:spacing w:val="-1"/>
              </w:rPr>
              <w:t xml:space="preserve"> </w:t>
            </w:r>
            <w:r>
              <w:rPr>
                <w:rFonts w:ascii="Times New Roman"/>
              </w:rPr>
              <w:t>2:</w:t>
            </w:r>
            <w:r>
              <w:rPr>
                <w:rFonts w:ascii="Times New Roman"/>
                <w:spacing w:val="51"/>
              </w:rPr>
              <w:t xml:space="preserve"> </w:t>
            </w:r>
            <w:r>
              <w:rPr>
                <w:rFonts w:ascii="Times New Roman"/>
              </w:rPr>
              <w:t>Work</w:t>
            </w:r>
            <w:r>
              <w:rPr>
                <w:rFonts w:ascii="Times New Roman"/>
                <w:spacing w:val="-1"/>
              </w:rPr>
              <w:t xml:space="preserve"> </w:t>
            </w:r>
            <w:r>
              <w:rPr>
                <w:rFonts w:ascii="Times New Roman"/>
                <w:spacing w:val="-4"/>
              </w:rPr>
              <w:t>Items</w:t>
            </w:r>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r w:rsidR="007F6DF9">
        <w:trPr>
          <w:trHeight w:val="251"/>
        </w:trPr>
        <w:tc>
          <w:tcPr>
            <w:tcW w:w="6453" w:type="dxa"/>
          </w:tcPr>
          <w:p w:rsidR="007F6DF9" w:rsidRDefault="00A43FBC">
            <w:pPr>
              <w:pStyle w:val="TableParagraph"/>
              <w:spacing w:line="232" w:lineRule="exact"/>
              <w:ind w:left="107"/>
              <w:rPr>
                <w:rFonts w:ascii="Times New Roman"/>
              </w:rPr>
            </w:pPr>
            <w:r>
              <w:rPr>
                <w:rFonts w:ascii="Times New Roman"/>
              </w:rPr>
              <w:t>Bill</w:t>
            </w:r>
            <w:r>
              <w:rPr>
                <w:rFonts w:ascii="Times New Roman"/>
                <w:spacing w:val="-5"/>
              </w:rPr>
              <w:t xml:space="preserve"> </w:t>
            </w:r>
            <w:r>
              <w:rPr>
                <w:rFonts w:ascii="Times New Roman"/>
              </w:rPr>
              <w:t>No</w:t>
            </w:r>
            <w:r>
              <w:rPr>
                <w:rFonts w:ascii="Times New Roman"/>
                <w:spacing w:val="-2"/>
              </w:rPr>
              <w:t xml:space="preserve"> </w:t>
            </w:r>
            <w:r>
              <w:rPr>
                <w:rFonts w:ascii="Times New Roman"/>
              </w:rPr>
              <w:t>3:</w:t>
            </w:r>
            <w:r>
              <w:rPr>
                <w:rFonts w:ascii="Times New Roman"/>
                <w:spacing w:val="-1"/>
              </w:rPr>
              <w:t xml:space="preserve"> </w:t>
            </w:r>
            <w:proofErr w:type="spellStart"/>
            <w:r>
              <w:rPr>
                <w:rFonts w:ascii="Times New Roman"/>
              </w:rPr>
              <w:t>Daywork</w:t>
            </w:r>
            <w:proofErr w:type="spellEnd"/>
            <w:r>
              <w:rPr>
                <w:rFonts w:ascii="Times New Roman"/>
                <w:spacing w:val="-2"/>
              </w:rPr>
              <w:t xml:space="preserve"> Summary</w:t>
            </w:r>
          </w:p>
        </w:tc>
        <w:tc>
          <w:tcPr>
            <w:tcW w:w="1160" w:type="dxa"/>
          </w:tcPr>
          <w:p w:rsidR="007F6DF9" w:rsidRDefault="007F6DF9">
            <w:pPr>
              <w:pStyle w:val="TableParagraph"/>
              <w:rPr>
                <w:rFonts w:ascii="Times New Roman"/>
                <w:sz w:val="18"/>
              </w:rPr>
            </w:pPr>
          </w:p>
        </w:tc>
        <w:tc>
          <w:tcPr>
            <w:tcW w:w="1453" w:type="dxa"/>
          </w:tcPr>
          <w:p w:rsidR="007F6DF9" w:rsidRDefault="007F6DF9">
            <w:pPr>
              <w:pStyle w:val="TableParagraph"/>
              <w:rPr>
                <w:rFonts w:ascii="Times New Roman"/>
                <w:sz w:val="18"/>
              </w:rPr>
            </w:pPr>
          </w:p>
        </w:tc>
      </w:tr>
      <w:tr w:rsidR="007F6DF9">
        <w:trPr>
          <w:trHeight w:val="253"/>
        </w:trPr>
        <w:tc>
          <w:tcPr>
            <w:tcW w:w="6453" w:type="dxa"/>
          </w:tcPr>
          <w:p w:rsidR="007F6DF9" w:rsidRDefault="00A43FBC">
            <w:pPr>
              <w:pStyle w:val="TableParagraph"/>
              <w:spacing w:before="1" w:line="233" w:lineRule="exact"/>
              <w:ind w:left="107"/>
              <w:rPr>
                <w:rFonts w:ascii="Times New Roman"/>
              </w:rPr>
            </w:pPr>
            <w:r>
              <w:rPr>
                <w:rFonts w:ascii="Times New Roman"/>
              </w:rPr>
              <w:t>Bill</w:t>
            </w:r>
            <w:r>
              <w:rPr>
                <w:rFonts w:ascii="Times New Roman"/>
                <w:spacing w:val="-8"/>
              </w:rPr>
              <w:t xml:space="preserve"> </w:t>
            </w:r>
            <w:r>
              <w:rPr>
                <w:rFonts w:ascii="Times New Roman"/>
              </w:rPr>
              <w:t>No</w:t>
            </w:r>
            <w:r>
              <w:rPr>
                <w:rFonts w:ascii="Times New Roman"/>
                <w:spacing w:val="-3"/>
              </w:rPr>
              <w:t xml:space="preserve"> </w:t>
            </w:r>
            <w:r>
              <w:rPr>
                <w:rFonts w:ascii="Times New Roman"/>
              </w:rPr>
              <w:t>4:</w:t>
            </w:r>
            <w:r>
              <w:rPr>
                <w:rFonts w:ascii="Times New Roman"/>
                <w:spacing w:val="-2"/>
              </w:rPr>
              <w:t xml:space="preserve"> </w:t>
            </w:r>
            <w:r>
              <w:rPr>
                <w:rFonts w:ascii="Times New Roman"/>
              </w:rPr>
              <w:t>Provisional</w:t>
            </w:r>
            <w:r>
              <w:rPr>
                <w:rFonts w:ascii="Times New Roman"/>
                <w:spacing w:val="-2"/>
              </w:rPr>
              <w:t xml:space="preserve"> </w:t>
            </w:r>
            <w:r>
              <w:rPr>
                <w:rFonts w:ascii="Times New Roman"/>
                <w:spacing w:val="-4"/>
              </w:rPr>
              <w:t>Sums</w:t>
            </w:r>
          </w:p>
        </w:tc>
        <w:tc>
          <w:tcPr>
            <w:tcW w:w="1160" w:type="dxa"/>
          </w:tcPr>
          <w:p w:rsidR="007F6DF9" w:rsidRDefault="007F6DF9">
            <w:pPr>
              <w:pStyle w:val="TableParagraph"/>
              <w:rPr>
                <w:rFonts w:ascii="Times New Roman"/>
                <w:sz w:val="18"/>
              </w:rPr>
            </w:pPr>
          </w:p>
        </w:tc>
        <w:tc>
          <w:tcPr>
            <w:tcW w:w="1453" w:type="dxa"/>
          </w:tcPr>
          <w:p w:rsidR="007F6DF9" w:rsidRDefault="007F6DF9">
            <w:pPr>
              <w:pStyle w:val="TableParagraph"/>
              <w:rPr>
                <w:rFonts w:ascii="Times New Roman"/>
                <w:sz w:val="18"/>
              </w:rPr>
            </w:pPr>
          </w:p>
        </w:tc>
      </w:tr>
      <w:tr w:rsidR="007F6DF9">
        <w:trPr>
          <w:trHeight w:val="376"/>
        </w:trPr>
        <w:tc>
          <w:tcPr>
            <w:tcW w:w="6453" w:type="dxa"/>
          </w:tcPr>
          <w:p w:rsidR="007F6DF9" w:rsidRDefault="00A43FBC">
            <w:pPr>
              <w:pStyle w:val="TableParagraph"/>
              <w:spacing w:line="251" w:lineRule="exact"/>
              <w:ind w:left="107"/>
              <w:rPr>
                <w:rFonts w:ascii="Times New Roman"/>
              </w:rPr>
            </w:pPr>
            <w:r>
              <w:rPr>
                <w:rFonts w:ascii="Times New Roman"/>
              </w:rPr>
              <w:t>Subtotal</w:t>
            </w:r>
            <w:r>
              <w:rPr>
                <w:rFonts w:ascii="Times New Roman"/>
                <w:spacing w:val="-5"/>
              </w:rPr>
              <w:t xml:space="preserve"> </w:t>
            </w:r>
            <w:r>
              <w:rPr>
                <w:rFonts w:ascii="Times New Roman"/>
              </w:rPr>
              <w:t>of</w:t>
            </w:r>
            <w:r>
              <w:rPr>
                <w:rFonts w:ascii="Times New Roman"/>
                <w:spacing w:val="-2"/>
              </w:rPr>
              <w:t xml:space="preserve"> </w:t>
            </w:r>
            <w:r>
              <w:rPr>
                <w:rFonts w:ascii="Times New Roman"/>
              </w:rPr>
              <w:t>Bills</w:t>
            </w:r>
            <w:r>
              <w:rPr>
                <w:rFonts w:ascii="Times New Roman"/>
                <w:spacing w:val="-3"/>
              </w:rPr>
              <w:t xml:space="preserve"> </w:t>
            </w:r>
            <w:r>
              <w:rPr>
                <w:rFonts w:ascii="Times New Roman"/>
              </w:rPr>
              <w:t>No</w:t>
            </w:r>
            <w:r>
              <w:rPr>
                <w:rFonts w:ascii="Times New Roman"/>
                <w:spacing w:val="-2"/>
              </w:rPr>
              <w:t xml:space="preserve"> </w:t>
            </w:r>
            <w:r>
              <w:rPr>
                <w:rFonts w:ascii="Times New Roman"/>
              </w:rPr>
              <w:t>1-</w:t>
            </w:r>
            <w:r>
              <w:rPr>
                <w:rFonts w:ascii="Times New Roman"/>
                <w:spacing w:val="-10"/>
              </w:rPr>
              <w:t>4</w:t>
            </w:r>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r w:rsidR="007F6DF9">
        <w:trPr>
          <w:trHeight w:val="364"/>
        </w:trPr>
        <w:tc>
          <w:tcPr>
            <w:tcW w:w="6453" w:type="dxa"/>
          </w:tcPr>
          <w:p w:rsidR="007F6DF9" w:rsidRDefault="00A43FBC">
            <w:pPr>
              <w:pStyle w:val="TableParagraph"/>
              <w:spacing w:line="251" w:lineRule="exact"/>
              <w:ind w:left="107"/>
              <w:rPr>
                <w:rFonts w:ascii="Times New Roman"/>
              </w:rPr>
            </w:pPr>
            <w:r>
              <w:rPr>
                <w:rFonts w:ascii="Times New Roman"/>
              </w:rPr>
              <w:t>Allow</w:t>
            </w:r>
            <w:r>
              <w:rPr>
                <w:rFonts w:ascii="Times New Roman"/>
                <w:spacing w:val="-7"/>
              </w:rPr>
              <w:t xml:space="preserve"> </w:t>
            </w:r>
            <w:r>
              <w:rPr>
                <w:rFonts w:ascii="Times New Roman"/>
              </w:rPr>
              <w:t>for</w:t>
            </w:r>
            <w:r>
              <w:rPr>
                <w:rFonts w:ascii="Times New Roman"/>
                <w:spacing w:val="-3"/>
              </w:rPr>
              <w:t xml:space="preserve"> </w:t>
            </w:r>
            <w:r>
              <w:rPr>
                <w:rFonts w:ascii="Times New Roman"/>
              </w:rPr>
              <w:t>any</w:t>
            </w:r>
            <w:r>
              <w:rPr>
                <w:rFonts w:ascii="Times New Roman"/>
                <w:spacing w:val="-3"/>
              </w:rPr>
              <w:t xml:space="preserve"> </w:t>
            </w:r>
            <w:r>
              <w:rPr>
                <w:rFonts w:ascii="Times New Roman"/>
              </w:rPr>
              <w:t>Discounts</w:t>
            </w:r>
            <w:r>
              <w:rPr>
                <w:rFonts w:ascii="Times New Roman"/>
                <w:spacing w:val="-20"/>
              </w:rPr>
              <w:t xml:space="preserve"> </w:t>
            </w:r>
            <w:proofErr w:type="spellStart"/>
            <w:r>
              <w:rPr>
                <w:rFonts w:ascii="Times New Roman"/>
                <w:spacing w:val="-10"/>
                <w:vertAlign w:val="superscript"/>
              </w:rPr>
              <w:t>i</w:t>
            </w:r>
            <w:proofErr w:type="spellEnd"/>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r w:rsidR="007F6DF9">
        <w:trPr>
          <w:trHeight w:val="364"/>
        </w:trPr>
        <w:tc>
          <w:tcPr>
            <w:tcW w:w="6453" w:type="dxa"/>
          </w:tcPr>
          <w:p w:rsidR="007F6DF9" w:rsidRDefault="00A43FBC">
            <w:pPr>
              <w:pStyle w:val="TableParagraph"/>
              <w:spacing w:line="251" w:lineRule="exact"/>
              <w:ind w:left="107"/>
              <w:rPr>
                <w:rFonts w:ascii="Times New Roman"/>
              </w:rPr>
            </w:pPr>
            <w:r>
              <w:rPr>
                <w:rFonts w:ascii="Times New Roman"/>
              </w:rPr>
              <w:t>TOTAL</w:t>
            </w:r>
            <w:r>
              <w:rPr>
                <w:rFonts w:ascii="Times New Roman"/>
                <w:spacing w:val="-4"/>
              </w:rPr>
              <w:t xml:space="preserve"> </w:t>
            </w:r>
            <w:r>
              <w:rPr>
                <w:rFonts w:ascii="Times New Roman"/>
              </w:rPr>
              <w:t>TENDER</w:t>
            </w:r>
            <w:r>
              <w:rPr>
                <w:rFonts w:ascii="Times New Roman"/>
                <w:spacing w:val="-5"/>
              </w:rPr>
              <w:t xml:space="preserve"> </w:t>
            </w:r>
            <w:r>
              <w:rPr>
                <w:rFonts w:ascii="Times New Roman"/>
              </w:rPr>
              <w:t>PRICE</w:t>
            </w:r>
            <w:r>
              <w:rPr>
                <w:rFonts w:ascii="Times New Roman"/>
                <w:spacing w:val="-2"/>
              </w:rPr>
              <w:t xml:space="preserve"> </w:t>
            </w:r>
            <w:r>
              <w:rPr>
                <w:rFonts w:ascii="Times New Roman"/>
              </w:rPr>
              <w:t>Carried</w:t>
            </w:r>
            <w:r>
              <w:rPr>
                <w:rFonts w:ascii="Times New Roman"/>
                <w:spacing w:val="-5"/>
              </w:rPr>
              <w:t xml:space="preserve"> </w:t>
            </w:r>
            <w:r>
              <w:rPr>
                <w:rFonts w:ascii="Times New Roman"/>
              </w:rPr>
              <w:t>forward</w:t>
            </w:r>
            <w:r>
              <w:rPr>
                <w:rFonts w:ascii="Times New Roman"/>
                <w:spacing w:val="-6"/>
              </w:rPr>
              <w:t xml:space="preserve"> </w:t>
            </w:r>
            <w:r>
              <w:rPr>
                <w:rFonts w:ascii="Times New Roman"/>
              </w:rPr>
              <w:t>to</w:t>
            </w:r>
            <w:r>
              <w:rPr>
                <w:rFonts w:ascii="Times New Roman"/>
                <w:spacing w:val="-3"/>
              </w:rPr>
              <w:t xml:space="preserve"> </w:t>
            </w:r>
            <w:r>
              <w:rPr>
                <w:rFonts w:ascii="Times New Roman"/>
              </w:rPr>
              <w:t>Form</w:t>
            </w:r>
            <w:r>
              <w:rPr>
                <w:rFonts w:ascii="Times New Roman"/>
                <w:spacing w:val="-2"/>
              </w:rPr>
              <w:t xml:space="preserve"> </w:t>
            </w:r>
            <w:r>
              <w:rPr>
                <w:rFonts w:ascii="Times New Roman"/>
              </w:rPr>
              <w:t>of</w:t>
            </w:r>
            <w:r>
              <w:rPr>
                <w:rFonts w:ascii="Times New Roman"/>
                <w:spacing w:val="-5"/>
              </w:rPr>
              <w:t xml:space="preserve"> </w:t>
            </w:r>
            <w:r>
              <w:rPr>
                <w:rFonts w:ascii="Times New Roman"/>
                <w:spacing w:val="-2"/>
              </w:rPr>
              <w:t>Tender</w:t>
            </w:r>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bl>
    <w:p w:rsidR="007F6DF9" w:rsidRDefault="007F6DF9">
      <w:pPr>
        <w:pStyle w:val="BodyText"/>
        <w:spacing w:before="40"/>
        <w:rPr>
          <w:b/>
        </w:rPr>
      </w:pPr>
    </w:p>
    <w:p w:rsidR="007F6DF9" w:rsidRDefault="00A43FBC">
      <w:pPr>
        <w:pStyle w:val="ListParagraph"/>
        <w:numPr>
          <w:ilvl w:val="1"/>
          <w:numId w:val="123"/>
        </w:numPr>
        <w:tabs>
          <w:tab w:val="left" w:pos="1136"/>
        </w:tabs>
      </w:pPr>
      <w:r>
        <w:rPr>
          <w:color w:val="221F1F"/>
        </w:rPr>
        <w:t>If</w:t>
      </w:r>
      <w:r>
        <w:rPr>
          <w:color w:val="221F1F"/>
          <w:spacing w:val="-4"/>
        </w:rPr>
        <w:t xml:space="preserve"> </w:t>
      </w:r>
      <w:r>
        <w:rPr>
          <w:color w:val="221F1F"/>
        </w:rPr>
        <w:t>a</w:t>
      </w:r>
      <w:r>
        <w:rPr>
          <w:color w:val="221F1F"/>
          <w:spacing w:val="-3"/>
        </w:rPr>
        <w:t xml:space="preserve"> </w:t>
      </w:r>
      <w:r>
        <w:rPr>
          <w:color w:val="221F1F"/>
        </w:rPr>
        <w:t>percentage</w:t>
      </w:r>
      <w:r>
        <w:rPr>
          <w:color w:val="221F1F"/>
          <w:spacing w:val="-3"/>
        </w:rPr>
        <w:t xml:space="preserve"> </w:t>
      </w:r>
      <w:r>
        <w:rPr>
          <w:color w:val="221F1F"/>
        </w:rPr>
        <w:t>used,</w:t>
      </w:r>
      <w:r>
        <w:rPr>
          <w:color w:val="221F1F"/>
          <w:spacing w:val="-3"/>
        </w:rPr>
        <w:t xml:space="preserve"> </w:t>
      </w:r>
      <w:r>
        <w:rPr>
          <w:color w:val="221F1F"/>
        </w:rPr>
        <w:t>it</w:t>
      </w:r>
      <w:r>
        <w:rPr>
          <w:color w:val="221F1F"/>
          <w:spacing w:val="-2"/>
        </w:rPr>
        <w:t xml:space="preserve"> </w:t>
      </w:r>
      <w:r>
        <w:rPr>
          <w:color w:val="221F1F"/>
        </w:rPr>
        <w:t>should</w:t>
      </w:r>
      <w:r>
        <w:rPr>
          <w:color w:val="221F1F"/>
          <w:spacing w:val="-1"/>
        </w:rPr>
        <w:t xml:space="preserve"> </w:t>
      </w:r>
      <w:r>
        <w:rPr>
          <w:color w:val="221F1F"/>
        </w:rPr>
        <w:t>be</w:t>
      </w:r>
      <w:r>
        <w:rPr>
          <w:color w:val="221F1F"/>
          <w:spacing w:val="-5"/>
        </w:rPr>
        <w:t xml:space="preserve"> </w:t>
      </w:r>
      <w:r>
        <w:rPr>
          <w:color w:val="221F1F"/>
        </w:rPr>
        <w:t>indicated</w:t>
      </w:r>
      <w:r>
        <w:rPr>
          <w:color w:val="221F1F"/>
          <w:spacing w:val="-3"/>
        </w:rPr>
        <w:t xml:space="preserve"> </w:t>
      </w:r>
      <w:r>
        <w:rPr>
          <w:color w:val="221F1F"/>
        </w:rPr>
        <w:t>on</w:t>
      </w:r>
      <w:r>
        <w:rPr>
          <w:color w:val="221F1F"/>
          <w:spacing w:val="-2"/>
        </w:rPr>
        <w:t xml:space="preserve"> </w:t>
      </w:r>
      <w:r>
        <w:rPr>
          <w:color w:val="221F1F"/>
        </w:rPr>
        <w:t>which</w:t>
      </w:r>
      <w:r>
        <w:rPr>
          <w:color w:val="221F1F"/>
          <w:spacing w:val="-5"/>
        </w:rPr>
        <w:t xml:space="preserve"> </w:t>
      </w:r>
      <w:r>
        <w:rPr>
          <w:color w:val="221F1F"/>
        </w:rPr>
        <w:t>Bill</w:t>
      </w:r>
      <w:r>
        <w:rPr>
          <w:color w:val="221F1F"/>
          <w:spacing w:val="-3"/>
        </w:rPr>
        <w:t xml:space="preserve"> </w:t>
      </w:r>
      <w:r>
        <w:rPr>
          <w:color w:val="221F1F"/>
        </w:rPr>
        <w:t>No.</w:t>
      </w:r>
      <w:r>
        <w:rPr>
          <w:color w:val="221F1F"/>
          <w:spacing w:val="-3"/>
        </w:rPr>
        <w:t xml:space="preserve"> </w:t>
      </w:r>
      <w:r>
        <w:rPr>
          <w:color w:val="221F1F"/>
        </w:rPr>
        <w:t>items</w:t>
      </w:r>
      <w:r>
        <w:rPr>
          <w:color w:val="221F1F"/>
          <w:spacing w:val="-3"/>
        </w:rPr>
        <w:t xml:space="preserve"> </w:t>
      </w:r>
      <w:r>
        <w:rPr>
          <w:color w:val="221F1F"/>
        </w:rPr>
        <w:t>but</w:t>
      </w:r>
      <w:r>
        <w:rPr>
          <w:color w:val="221F1F"/>
          <w:spacing w:val="-1"/>
        </w:rPr>
        <w:t xml:space="preserve"> </w:t>
      </w:r>
      <w:r>
        <w:rPr>
          <w:color w:val="221F1F"/>
        </w:rPr>
        <w:t>on</w:t>
      </w:r>
      <w:r>
        <w:rPr>
          <w:color w:val="221F1F"/>
          <w:spacing w:val="-3"/>
        </w:rPr>
        <w:t xml:space="preserve"> </w:t>
      </w:r>
      <w:r>
        <w:rPr>
          <w:color w:val="221F1F"/>
        </w:rPr>
        <w:t>Bill</w:t>
      </w:r>
      <w:r>
        <w:rPr>
          <w:color w:val="221F1F"/>
          <w:spacing w:val="-2"/>
        </w:rPr>
        <w:t xml:space="preserve"> </w:t>
      </w:r>
      <w:r>
        <w:rPr>
          <w:color w:val="221F1F"/>
        </w:rPr>
        <w:t>No.4</w:t>
      </w:r>
      <w:r>
        <w:rPr>
          <w:color w:val="221F1F"/>
          <w:spacing w:val="-2"/>
        </w:rPr>
        <w:t xml:space="preserve"> </w:t>
      </w:r>
      <w:r>
        <w:rPr>
          <w:color w:val="221F1F"/>
        </w:rPr>
        <w:t>–</w:t>
      </w:r>
      <w:r>
        <w:rPr>
          <w:color w:val="221F1F"/>
          <w:spacing w:val="-3"/>
        </w:rPr>
        <w:t xml:space="preserve"> </w:t>
      </w:r>
      <w:r>
        <w:rPr>
          <w:color w:val="221F1F"/>
        </w:rPr>
        <w:t xml:space="preserve">Provisional </w:t>
      </w:r>
      <w:r>
        <w:rPr>
          <w:color w:val="221F1F"/>
          <w:spacing w:val="-2"/>
        </w:rPr>
        <w:t>Sums.</w:t>
      </w:r>
    </w:p>
    <w:p w:rsidR="007F6DF9" w:rsidRDefault="007F6DF9">
      <w:pPr>
        <w:pStyle w:val="ListParagraph"/>
        <w:sectPr w:rsidR="007F6DF9">
          <w:pgSz w:w="11920" w:h="16850"/>
          <w:pgMar w:top="360" w:right="283" w:bottom="620" w:left="141" w:header="0" w:footer="437" w:gutter="0"/>
          <w:cols w:space="720"/>
        </w:sectPr>
      </w:pPr>
    </w:p>
    <w:p w:rsidR="007F6DF9" w:rsidRDefault="007F6DF9">
      <w:pPr>
        <w:pStyle w:val="BodyText"/>
        <w:spacing w:before="198"/>
        <w:rPr>
          <w:sz w:val="24"/>
        </w:rPr>
      </w:pPr>
    </w:p>
    <w:p w:rsidR="007F6DF9" w:rsidRDefault="00A43FBC">
      <w:pPr>
        <w:pStyle w:val="Heading6"/>
        <w:spacing w:before="1"/>
        <w:ind w:left="708"/>
      </w:pPr>
      <w:r>
        <w:rPr>
          <w:color w:val="221F1F"/>
        </w:rPr>
        <w:t>SECTION</w:t>
      </w:r>
      <w:r>
        <w:rPr>
          <w:color w:val="221F1F"/>
          <w:spacing w:val="-1"/>
        </w:rPr>
        <w:t xml:space="preserve"> </w:t>
      </w:r>
      <w:r>
        <w:rPr>
          <w:color w:val="221F1F"/>
        </w:rPr>
        <w:t>VI</w:t>
      </w:r>
      <w:r>
        <w:rPr>
          <w:color w:val="221F1F"/>
          <w:spacing w:val="1"/>
        </w:rPr>
        <w:t xml:space="preserve"> </w:t>
      </w:r>
      <w:r>
        <w:rPr>
          <w:color w:val="221F1F"/>
        </w:rPr>
        <w:t>-</w:t>
      </w:r>
      <w:r>
        <w:rPr>
          <w:color w:val="221F1F"/>
          <w:spacing w:val="-1"/>
        </w:rPr>
        <w:t xml:space="preserve"> </w:t>
      </w:r>
      <w:r>
        <w:rPr>
          <w:color w:val="221F1F"/>
          <w:spacing w:val="-2"/>
        </w:rPr>
        <w:t>SPECIFICATIONS</w:t>
      </w:r>
    </w:p>
    <w:p w:rsidR="007F6DF9" w:rsidRDefault="00A43FBC">
      <w:pPr>
        <w:pStyle w:val="BodyText"/>
        <w:spacing w:before="235"/>
        <w:ind w:left="708"/>
      </w:pPr>
      <w:r>
        <w:rPr>
          <w:color w:val="221F1F"/>
        </w:rPr>
        <w:t>Notes</w:t>
      </w:r>
      <w:r>
        <w:rPr>
          <w:color w:val="221F1F"/>
          <w:spacing w:val="-5"/>
        </w:rPr>
        <w:t xml:space="preserve"> </w:t>
      </w:r>
      <w:r>
        <w:rPr>
          <w:color w:val="221F1F"/>
        </w:rPr>
        <w:t>for</w:t>
      </w:r>
      <w:r>
        <w:rPr>
          <w:color w:val="221F1F"/>
          <w:spacing w:val="-4"/>
        </w:rPr>
        <w:t xml:space="preserve"> </w:t>
      </w:r>
      <w:r>
        <w:rPr>
          <w:color w:val="221F1F"/>
        </w:rPr>
        <w:t>preparing</w:t>
      </w:r>
      <w:r>
        <w:rPr>
          <w:color w:val="221F1F"/>
          <w:spacing w:val="-2"/>
        </w:rPr>
        <w:t xml:space="preserve"> Specifications</w:t>
      </w:r>
    </w:p>
    <w:p w:rsidR="007F6DF9" w:rsidRDefault="00A43FBC">
      <w:pPr>
        <w:pStyle w:val="ListParagraph"/>
        <w:numPr>
          <w:ilvl w:val="2"/>
          <w:numId w:val="123"/>
        </w:numPr>
        <w:tabs>
          <w:tab w:val="left" w:pos="1259"/>
          <w:tab w:val="left" w:pos="1261"/>
        </w:tabs>
        <w:spacing w:before="242" w:line="230" w:lineRule="auto"/>
        <w:ind w:right="558"/>
        <w:jc w:val="both"/>
      </w:pPr>
      <w:r>
        <w:rPr>
          <w:color w:val="221F1F"/>
        </w:rPr>
        <w:t xml:space="preserve">Specifications must be drafted to present a clear and precise statement of the required standards of materials, and </w:t>
      </w:r>
      <w:proofErr w:type="spellStart"/>
      <w:r>
        <w:rPr>
          <w:color w:val="221F1F"/>
        </w:rPr>
        <w:t>workmanshipfor</w:t>
      </w:r>
      <w:proofErr w:type="spellEnd"/>
      <w:r>
        <w:rPr>
          <w:color w:val="221F1F"/>
        </w:rPr>
        <w:t xml:space="preserve"> tenderers to respond</w:t>
      </w:r>
      <w:r>
        <w:rPr>
          <w:color w:val="221F1F"/>
          <w:spacing w:val="-1"/>
        </w:rPr>
        <w:t xml:space="preserve"> </w:t>
      </w:r>
      <w:r>
        <w:rPr>
          <w:color w:val="221F1F"/>
        </w:rPr>
        <w:t>realistically and competitively to the requirements of the Procuring Entity and ensure responsiveness of tenders. The Specifications should require that all materials, plant, and other supplies to be permanently incorporated in the Works be new, unused, of the most recent or current models, and incorporating all recent improvements in design and materials unless provided otherwise in the Contract.</w:t>
      </w:r>
      <w:r>
        <w:rPr>
          <w:color w:val="221F1F"/>
          <w:spacing w:val="-4"/>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is</w:t>
      </w:r>
      <w:r>
        <w:rPr>
          <w:color w:val="221F1F"/>
          <w:spacing w:val="-4"/>
        </w:rPr>
        <w:t xml:space="preserve"> </w:t>
      </w:r>
      <w:r>
        <w:rPr>
          <w:color w:val="221F1F"/>
        </w:rPr>
        <w:t>responsible</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design</w:t>
      </w:r>
      <w:r>
        <w:rPr>
          <w:color w:val="221F1F"/>
          <w:spacing w:val="-4"/>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r>
        <w:rPr>
          <w:color w:val="221F1F"/>
          <w:spacing w:val="-9"/>
        </w:rPr>
        <w:t xml:space="preserve"> </w:t>
      </w:r>
      <w:r>
        <w:rPr>
          <w:color w:val="221F1F"/>
        </w:rPr>
        <w:t>the</w:t>
      </w:r>
      <w:r>
        <w:rPr>
          <w:color w:val="221F1F"/>
          <w:spacing w:val="-4"/>
        </w:rPr>
        <w:t xml:space="preserve"> </w:t>
      </w:r>
      <w:r>
        <w:rPr>
          <w:color w:val="221F1F"/>
        </w:rPr>
        <w:t>extent</w:t>
      </w:r>
      <w:r>
        <w:rPr>
          <w:color w:val="221F1F"/>
          <w:spacing w:val="-3"/>
        </w:rPr>
        <w:t xml:space="preserve"> </w:t>
      </w:r>
      <w:r>
        <w:rPr>
          <w:color w:val="221F1F"/>
        </w:rPr>
        <w:t>of his obligations must be stated.</w:t>
      </w:r>
    </w:p>
    <w:p w:rsidR="007F6DF9" w:rsidRDefault="00A43FBC">
      <w:pPr>
        <w:pStyle w:val="ListParagraph"/>
        <w:numPr>
          <w:ilvl w:val="2"/>
          <w:numId w:val="123"/>
        </w:numPr>
        <w:tabs>
          <w:tab w:val="left" w:pos="1255"/>
          <w:tab w:val="left" w:pos="1258"/>
        </w:tabs>
        <w:spacing w:before="247" w:line="230" w:lineRule="auto"/>
        <w:ind w:left="1258" w:right="561" w:hanging="551"/>
        <w:jc w:val="both"/>
      </w:pPr>
      <w:r>
        <w:rPr>
          <w:color w:val="221F1F"/>
        </w:rPr>
        <w:t>Specifications</w:t>
      </w:r>
      <w:r>
        <w:rPr>
          <w:color w:val="221F1F"/>
          <w:spacing w:val="-7"/>
        </w:rPr>
        <w:t xml:space="preserve"> </w:t>
      </w:r>
      <w:r>
        <w:rPr>
          <w:color w:val="221F1F"/>
        </w:rPr>
        <w:t>from</w:t>
      </w:r>
      <w:r>
        <w:rPr>
          <w:color w:val="221F1F"/>
          <w:spacing w:val="-7"/>
        </w:rPr>
        <w:t xml:space="preserve"> </w:t>
      </w:r>
      <w:r>
        <w:rPr>
          <w:color w:val="221F1F"/>
        </w:rPr>
        <w:t>previous</w:t>
      </w:r>
      <w:r>
        <w:rPr>
          <w:color w:val="221F1F"/>
          <w:spacing w:val="-7"/>
        </w:rPr>
        <w:t xml:space="preserve"> </w:t>
      </w:r>
      <w:r>
        <w:rPr>
          <w:color w:val="221F1F"/>
        </w:rPr>
        <w:t>similar</w:t>
      </w:r>
      <w:r>
        <w:rPr>
          <w:color w:val="221F1F"/>
          <w:spacing w:val="-6"/>
        </w:rPr>
        <w:t xml:space="preserve"> </w:t>
      </w:r>
      <w:r>
        <w:rPr>
          <w:color w:val="221F1F"/>
        </w:rPr>
        <w:t>projects</w:t>
      </w:r>
      <w:r>
        <w:rPr>
          <w:color w:val="221F1F"/>
          <w:spacing w:val="-7"/>
        </w:rPr>
        <w:t xml:space="preserve"> </w:t>
      </w:r>
      <w:r>
        <w:rPr>
          <w:color w:val="221F1F"/>
        </w:rPr>
        <w:t>are</w:t>
      </w:r>
      <w:r>
        <w:rPr>
          <w:color w:val="221F1F"/>
          <w:spacing w:val="-8"/>
        </w:rPr>
        <w:t xml:space="preserve"> </w:t>
      </w:r>
      <w:r>
        <w:rPr>
          <w:color w:val="221F1F"/>
        </w:rPr>
        <w:t>useful</w:t>
      </w:r>
      <w:r>
        <w:rPr>
          <w:color w:val="221F1F"/>
          <w:spacing w:val="-9"/>
        </w:rPr>
        <w:t xml:space="preserve"> </w:t>
      </w:r>
      <w:r>
        <w:rPr>
          <w:color w:val="221F1F"/>
        </w:rPr>
        <w:t>and</w:t>
      </w:r>
      <w:r>
        <w:rPr>
          <w:color w:val="221F1F"/>
          <w:spacing w:val="-8"/>
        </w:rPr>
        <w:t xml:space="preserve"> </w:t>
      </w:r>
      <w:r>
        <w:rPr>
          <w:color w:val="221F1F"/>
        </w:rPr>
        <w:t>may</w:t>
      </w:r>
      <w:r>
        <w:rPr>
          <w:color w:val="221F1F"/>
          <w:spacing w:val="-8"/>
        </w:rPr>
        <w:t xml:space="preserve"> </w:t>
      </w:r>
      <w:r>
        <w:rPr>
          <w:color w:val="221F1F"/>
        </w:rPr>
        <w:t>not</w:t>
      </w:r>
      <w:r>
        <w:rPr>
          <w:color w:val="221F1F"/>
          <w:spacing w:val="-7"/>
        </w:rPr>
        <w:t xml:space="preserve"> </w:t>
      </w:r>
      <w:r>
        <w:rPr>
          <w:color w:val="221F1F"/>
        </w:rPr>
        <w:t>be</w:t>
      </w:r>
      <w:r>
        <w:rPr>
          <w:color w:val="221F1F"/>
          <w:spacing w:val="-8"/>
        </w:rPr>
        <w:t xml:space="preserve"> </w:t>
      </w:r>
      <w:r>
        <w:rPr>
          <w:color w:val="221F1F"/>
        </w:rPr>
        <w:t>necessary</w:t>
      </w:r>
      <w:r>
        <w:rPr>
          <w:color w:val="221F1F"/>
          <w:spacing w:val="-7"/>
        </w:rPr>
        <w:t xml:space="preserve"> </w:t>
      </w:r>
      <w:r>
        <w:rPr>
          <w:color w:val="221F1F"/>
        </w:rPr>
        <w:t>to</w:t>
      </w:r>
      <w:r>
        <w:rPr>
          <w:color w:val="221F1F"/>
          <w:spacing w:val="-7"/>
        </w:rPr>
        <w:t xml:space="preserve"> </w:t>
      </w:r>
      <w:r>
        <w:rPr>
          <w:color w:val="221F1F"/>
        </w:rPr>
        <w:t>re-write</w:t>
      </w:r>
      <w:r>
        <w:rPr>
          <w:color w:val="221F1F"/>
          <w:spacing w:val="-7"/>
        </w:rPr>
        <w:t xml:space="preserve"> </w:t>
      </w:r>
      <w:r>
        <w:rPr>
          <w:color w:val="221F1F"/>
        </w:rPr>
        <w:t>specifications</w:t>
      </w:r>
      <w:r>
        <w:rPr>
          <w:color w:val="221F1F"/>
          <w:spacing w:val="-10"/>
        </w:rPr>
        <w:t xml:space="preserve"> </w:t>
      </w:r>
      <w:r>
        <w:rPr>
          <w:color w:val="221F1F"/>
        </w:rPr>
        <w:t>for every Works Contract.</w:t>
      </w:r>
    </w:p>
    <w:p w:rsidR="007F6DF9" w:rsidRDefault="00A43FBC">
      <w:pPr>
        <w:pStyle w:val="ListParagraph"/>
        <w:numPr>
          <w:ilvl w:val="2"/>
          <w:numId w:val="123"/>
        </w:numPr>
        <w:tabs>
          <w:tab w:val="left" w:pos="1256"/>
          <w:tab w:val="left" w:pos="1258"/>
        </w:tabs>
        <w:spacing w:before="243" w:line="230" w:lineRule="auto"/>
        <w:ind w:left="1258" w:right="561"/>
        <w:jc w:val="both"/>
      </w:pPr>
      <w:r>
        <w:rPr>
          <w:color w:val="221F1F"/>
        </w:rPr>
        <w:t>There</w:t>
      </w:r>
      <w:r>
        <w:rPr>
          <w:color w:val="221F1F"/>
          <w:spacing w:val="-11"/>
        </w:rPr>
        <w:t xml:space="preserve"> </w:t>
      </w:r>
      <w:r>
        <w:rPr>
          <w:color w:val="221F1F"/>
        </w:rPr>
        <w:t>are</w:t>
      </w:r>
      <w:r>
        <w:rPr>
          <w:color w:val="221F1F"/>
          <w:spacing w:val="-11"/>
        </w:rPr>
        <w:t xml:space="preserve"> </w:t>
      </w:r>
      <w:r>
        <w:rPr>
          <w:color w:val="221F1F"/>
        </w:rPr>
        <w:t>considerable</w:t>
      </w:r>
      <w:r>
        <w:rPr>
          <w:color w:val="221F1F"/>
          <w:spacing w:val="-8"/>
        </w:rPr>
        <w:t xml:space="preserve"> </w:t>
      </w:r>
      <w:r>
        <w:rPr>
          <w:color w:val="221F1F"/>
        </w:rPr>
        <w:t>advantages</w:t>
      </w:r>
      <w:r>
        <w:rPr>
          <w:color w:val="221F1F"/>
          <w:spacing w:val="-10"/>
        </w:rPr>
        <w:t xml:space="preserve"> </w:t>
      </w:r>
      <w:r>
        <w:rPr>
          <w:color w:val="221F1F"/>
        </w:rPr>
        <w:t>in</w:t>
      </w:r>
      <w:r>
        <w:rPr>
          <w:color w:val="221F1F"/>
          <w:spacing w:val="-9"/>
        </w:rPr>
        <w:t xml:space="preserve"> </w:t>
      </w:r>
      <w:r>
        <w:rPr>
          <w:color w:val="221F1F"/>
        </w:rPr>
        <w:t>standardizing</w:t>
      </w:r>
      <w:r>
        <w:rPr>
          <w:color w:val="221F1F"/>
          <w:spacing w:val="-8"/>
        </w:rPr>
        <w:t xml:space="preserve"> </w:t>
      </w:r>
      <w:r>
        <w:rPr>
          <w:b/>
          <w:color w:val="221F1F"/>
        </w:rPr>
        <w:t>General</w:t>
      </w:r>
      <w:r>
        <w:rPr>
          <w:b/>
          <w:color w:val="221F1F"/>
          <w:spacing w:val="-7"/>
        </w:rPr>
        <w:t xml:space="preserve"> </w:t>
      </w:r>
      <w:r>
        <w:rPr>
          <w:b/>
          <w:color w:val="221F1F"/>
        </w:rPr>
        <w:t>Specifications</w:t>
      </w:r>
      <w:r>
        <w:rPr>
          <w:b/>
          <w:color w:val="221F1F"/>
          <w:spacing w:val="-11"/>
        </w:rPr>
        <w:t xml:space="preserve"> </w:t>
      </w:r>
      <w:r>
        <w:rPr>
          <w:color w:val="221F1F"/>
        </w:rPr>
        <w:t>for</w:t>
      </w:r>
      <w:r>
        <w:rPr>
          <w:color w:val="221F1F"/>
          <w:spacing w:val="-10"/>
        </w:rPr>
        <w:t xml:space="preserve"> </w:t>
      </w:r>
      <w:r>
        <w:rPr>
          <w:color w:val="221F1F"/>
        </w:rPr>
        <w:t>repetitive</w:t>
      </w:r>
      <w:r>
        <w:rPr>
          <w:color w:val="221F1F"/>
          <w:spacing w:val="-7"/>
        </w:rPr>
        <w:t xml:space="preserve"> </w:t>
      </w:r>
      <w:r>
        <w:rPr>
          <w:color w:val="221F1F"/>
        </w:rPr>
        <w:t>Works</w:t>
      </w:r>
      <w:r>
        <w:rPr>
          <w:color w:val="221F1F"/>
          <w:spacing w:val="-14"/>
        </w:rPr>
        <w:t xml:space="preserve"> </w:t>
      </w:r>
      <w:r>
        <w:rPr>
          <w:color w:val="221F1F"/>
        </w:rPr>
        <w:t>in</w:t>
      </w:r>
      <w:r>
        <w:rPr>
          <w:color w:val="221F1F"/>
          <w:spacing w:val="-9"/>
        </w:rPr>
        <w:t xml:space="preserve"> </w:t>
      </w:r>
      <w:r>
        <w:rPr>
          <w:color w:val="221F1F"/>
        </w:rPr>
        <w:t>recognized public sectors, such as high ways, urban housing, irrigation and water supply. The General Specifications should cover all classes of workmanship, materials and equipment commonly involved in constructions, although</w:t>
      </w:r>
      <w:r>
        <w:rPr>
          <w:color w:val="221F1F"/>
          <w:spacing w:val="-1"/>
        </w:rPr>
        <w:t xml:space="preserve"> </w:t>
      </w:r>
      <w:r>
        <w:rPr>
          <w:color w:val="221F1F"/>
        </w:rPr>
        <w:t>not necessarily</w:t>
      </w:r>
      <w:r>
        <w:rPr>
          <w:color w:val="221F1F"/>
          <w:spacing w:val="-2"/>
        </w:rPr>
        <w:t xml:space="preserve"> </w:t>
      </w:r>
      <w:r>
        <w:rPr>
          <w:color w:val="221F1F"/>
        </w:rPr>
        <w:t>to</w:t>
      </w:r>
      <w:r>
        <w:rPr>
          <w:color w:val="221F1F"/>
          <w:spacing w:val="-4"/>
        </w:rPr>
        <w:t xml:space="preserve"> </w:t>
      </w:r>
      <w:r>
        <w:rPr>
          <w:color w:val="221F1F"/>
        </w:rPr>
        <w:t>be used</w:t>
      </w:r>
      <w:r>
        <w:rPr>
          <w:color w:val="221F1F"/>
          <w:spacing w:val="-1"/>
        </w:rPr>
        <w:t xml:space="preserve"> </w:t>
      </w:r>
      <w:r>
        <w:rPr>
          <w:color w:val="221F1F"/>
        </w:rPr>
        <w:t>in a particular works contract. Deletions or</w:t>
      </w:r>
      <w:r>
        <w:rPr>
          <w:color w:val="221F1F"/>
          <w:spacing w:val="-1"/>
        </w:rPr>
        <w:t xml:space="preserve"> </w:t>
      </w:r>
      <w:r>
        <w:rPr>
          <w:color w:val="221F1F"/>
        </w:rPr>
        <w:t>addenda</w:t>
      </w:r>
      <w:r>
        <w:rPr>
          <w:color w:val="221F1F"/>
          <w:spacing w:val="-1"/>
        </w:rPr>
        <w:t xml:space="preserve"> </w:t>
      </w:r>
      <w:r>
        <w:rPr>
          <w:color w:val="221F1F"/>
        </w:rPr>
        <w:t>should</w:t>
      </w:r>
      <w:r>
        <w:rPr>
          <w:color w:val="221F1F"/>
          <w:spacing w:val="-1"/>
        </w:rPr>
        <w:t xml:space="preserve"> </w:t>
      </w:r>
      <w:r>
        <w:rPr>
          <w:color w:val="221F1F"/>
        </w:rPr>
        <w:t>then</w:t>
      </w:r>
      <w:r>
        <w:rPr>
          <w:color w:val="221F1F"/>
          <w:spacing w:val="-1"/>
        </w:rPr>
        <w:t xml:space="preserve"> </w:t>
      </w:r>
      <w:r>
        <w:rPr>
          <w:color w:val="221F1F"/>
        </w:rPr>
        <w:t>adapt the General Specifications to the particular Works.</w:t>
      </w:r>
    </w:p>
    <w:p w:rsidR="007F6DF9" w:rsidRDefault="00A43FBC">
      <w:pPr>
        <w:pStyle w:val="ListParagraph"/>
        <w:numPr>
          <w:ilvl w:val="2"/>
          <w:numId w:val="123"/>
        </w:numPr>
        <w:tabs>
          <w:tab w:val="left" w:pos="1256"/>
          <w:tab w:val="left" w:pos="1258"/>
        </w:tabs>
        <w:spacing w:before="246" w:line="230" w:lineRule="auto"/>
        <w:ind w:left="1258" w:right="561"/>
        <w:jc w:val="both"/>
      </w:pPr>
      <w:proofErr w:type="spellStart"/>
      <w:r>
        <w:rPr>
          <w:color w:val="221F1F"/>
        </w:rPr>
        <w:t>Caremust</w:t>
      </w:r>
      <w:proofErr w:type="spellEnd"/>
      <w:r>
        <w:rPr>
          <w:color w:val="221F1F"/>
          <w:spacing w:val="-14"/>
        </w:rPr>
        <w:t xml:space="preserve"> </w:t>
      </w:r>
      <w:r>
        <w:rPr>
          <w:color w:val="221F1F"/>
        </w:rPr>
        <w:t>be</w:t>
      </w:r>
      <w:r>
        <w:rPr>
          <w:color w:val="221F1F"/>
          <w:spacing w:val="-14"/>
        </w:rPr>
        <w:t xml:space="preserve"> </w:t>
      </w:r>
      <w:r>
        <w:rPr>
          <w:color w:val="221F1F"/>
        </w:rPr>
        <w:t>taken</w:t>
      </w:r>
      <w:r>
        <w:rPr>
          <w:color w:val="221F1F"/>
          <w:spacing w:val="-14"/>
        </w:rPr>
        <w:t xml:space="preserve"> </w:t>
      </w:r>
      <w:r>
        <w:rPr>
          <w:color w:val="221F1F"/>
        </w:rPr>
        <w:t>in</w:t>
      </w:r>
      <w:r>
        <w:rPr>
          <w:color w:val="221F1F"/>
          <w:spacing w:val="-13"/>
        </w:rPr>
        <w:t xml:space="preserve"> </w:t>
      </w:r>
      <w:r>
        <w:rPr>
          <w:color w:val="221F1F"/>
        </w:rPr>
        <w:t>drafting</w:t>
      </w:r>
      <w:r>
        <w:rPr>
          <w:color w:val="221F1F"/>
          <w:spacing w:val="-12"/>
        </w:rPr>
        <w:t xml:space="preserve"> </w:t>
      </w:r>
      <w:r>
        <w:rPr>
          <w:color w:val="221F1F"/>
        </w:rPr>
        <w:t>Specifications</w:t>
      </w:r>
      <w:r>
        <w:rPr>
          <w:color w:val="221F1F"/>
          <w:spacing w:val="-14"/>
        </w:rPr>
        <w:t xml:space="preserve"> </w:t>
      </w:r>
      <w:r>
        <w:rPr>
          <w:color w:val="221F1F"/>
        </w:rPr>
        <w:t>to</w:t>
      </w:r>
      <w:r>
        <w:rPr>
          <w:color w:val="221F1F"/>
          <w:spacing w:val="-14"/>
        </w:rPr>
        <w:t xml:space="preserve"> </w:t>
      </w:r>
      <w:r>
        <w:rPr>
          <w:color w:val="221F1F"/>
        </w:rPr>
        <w:t>ensure</w:t>
      </w:r>
      <w:r>
        <w:rPr>
          <w:color w:val="221F1F"/>
          <w:spacing w:val="-14"/>
        </w:rPr>
        <w:t xml:space="preserve"> </w:t>
      </w:r>
      <w:r>
        <w:rPr>
          <w:color w:val="221F1F"/>
        </w:rPr>
        <w:t>they</w:t>
      </w:r>
      <w:r>
        <w:rPr>
          <w:color w:val="221F1F"/>
          <w:spacing w:val="-11"/>
        </w:rPr>
        <w:t xml:space="preserve"> </w:t>
      </w:r>
      <w:r>
        <w:rPr>
          <w:color w:val="221F1F"/>
        </w:rPr>
        <w:t>are</w:t>
      </w:r>
      <w:r>
        <w:rPr>
          <w:color w:val="221F1F"/>
          <w:spacing w:val="-12"/>
        </w:rPr>
        <w:t xml:space="preserve"> </w:t>
      </w:r>
      <w:r>
        <w:rPr>
          <w:color w:val="221F1F"/>
        </w:rPr>
        <w:t>not</w:t>
      </w:r>
      <w:r>
        <w:rPr>
          <w:color w:val="221F1F"/>
          <w:spacing w:val="-14"/>
        </w:rPr>
        <w:t xml:space="preserve"> </w:t>
      </w:r>
      <w:r>
        <w:rPr>
          <w:color w:val="221F1F"/>
        </w:rPr>
        <w:t>restrictive.</w:t>
      </w:r>
      <w:r>
        <w:rPr>
          <w:color w:val="221F1F"/>
          <w:spacing w:val="-12"/>
        </w:rPr>
        <w:t xml:space="preserve"> </w:t>
      </w:r>
      <w:r>
        <w:rPr>
          <w:color w:val="221F1F"/>
        </w:rPr>
        <w:t>In</w:t>
      </w:r>
      <w:r>
        <w:rPr>
          <w:color w:val="221F1F"/>
          <w:spacing w:val="-13"/>
        </w:rPr>
        <w:t xml:space="preserve"> </w:t>
      </w:r>
      <w:r>
        <w:rPr>
          <w:color w:val="221F1F"/>
        </w:rPr>
        <w:t>the</w:t>
      </w:r>
      <w:r>
        <w:rPr>
          <w:color w:val="221F1F"/>
          <w:spacing w:val="-12"/>
        </w:rPr>
        <w:t xml:space="preserve"> </w:t>
      </w:r>
      <w:r>
        <w:rPr>
          <w:color w:val="221F1F"/>
        </w:rPr>
        <w:t>Specifications</w:t>
      </w:r>
      <w:r>
        <w:rPr>
          <w:color w:val="221F1F"/>
          <w:spacing w:val="-12"/>
        </w:rPr>
        <w:t xml:space="preserve"> </w:t>
      </w:r>
      <w:r>
        <w:rPr>
          <w:color w:val="221F1F"/>
        </w:rPr>
        <w:t>of</w:t>
      </w:r>
      <w:r>
        <w:rPr>
          <w:color w:val="221F1F"/>
          <w:spacing w:val="-12"/>
        </w:rPr>
        <w:t xml:space="preserve"> </w:t>
      </w:r>
      <w:r>
        <w:rPr>
          <w:color w:val="221F1F"/>
        </w:rPr>
        <w:t>standards for</w:t>
      </w:r>
      <w:r>
        <w:rPr>
          <w:color w:val="221F1F"/>
          <w:spacing w:val="-10"/>
        </w:rPr>
        <w:t xml:space="preserve"> </w:t>
      </w:r>
      <w:r>
        <w:rPr>
          <w:color w:val="221F1F"/>
        </w:rPr>
        <w:t>materials,</w:t>
      </w:r>
      <w:r>
        <w:rPr>
          <w:color w:val="221F1F"/>
          <w:spacing w:val="-10"/>
        </w:rPr>
        <w:t xml:space="preserve"> </w:t>
      </w:r>
      <w:r>
        <w:rPr>
          <w:color w:val="221F1F"/>
        </w:rPr>
        <w:t>plant</w:t>
      </w:r>
      <w:r>
        <w:rPr>
          <w:color w:val="221F1F"/>
          <w:spacing w:val="-9"/>
        </w:rPr>
        <w:t xml:space="preserve"> </w:t>
      </w:r>
      <w:r>
        <w:rPr>
          <w:color w:val="221F1F"/>
        </w:rPr>
        <w:t>and</w:t>
      </w:r>
      <w:r>
        <w:rPr>
          <w:color w:val="221F1F"/>
          <w:spacing w:val="-10"/>
        </w:rPr>
        <w:t xml:space="preserve"> </w:t>
      </w:r>
      <w:r>
        <w:rPr>
          <w:color w:val="221F1F"/>
        </w:rPr>
        <w:t>workmanship,</w:t>
      </w:r>
      <w:r>
        <w:rPr>
          <w:color w:val="221F1F"/>
          <w:spacing w:val="-8"/>
        </w:rPr>
        <w:t xml:space="preserve"> </w:t>
      </w:r>
      <w:r>
        <w:rPr>
          <w:color w:val="221F1F"/>
        </w:rPr>
        <w:t>existing</w:t>
      </w:r>
      <w:r>
        <w:rPr>
          <w:color w:val="221F1F"/>
          <w:spacing w:val="-8"/>
        </w:rPr>
        <w:t xml:space="preserve"> </w:t>
      </w:r>
      <w:r>
        <w:rPr>
          <w:color w:val="221F1F"/>
        </w:rPr>
        <w:t>Kenya</w:t>
      </w:r>
      <w:r>
        <w:rPr>
          <w:color w:val="221F1F"/>
          <w:spacing w:val="-8"/>
        </w:rPr>
        <w:t xml:space="preserve"> </w:t>
      </w:r>
      <w:r>
        <w:rPr>
          <w:color w:val="221F1F"/>
        </w:rPr>
        <w:t>Standards</w:t>
      </w:r>
      <w:r>
        <w:rPr>
          <w:color w:val="221F1F"/>
          <w:spacing w:val="-9"/>
        </w:rPr>
        <w:t xml:space="preserve"> </w:t>
      </w:r>
      <w:r>
        <w:rPr>
          <w:color w:val="221F1F"/>
        </w:rPr>
        <w:t>should</w:t>
      </w:r>
      <w:r>
        <w:rPr>
          <w:color w:val="221F1F"/>
          <w:spacing w:val="-11"/>
        </w:rPr>
        <w:t xml:space="preserve"> </w:t>
      </w:r>
      <w:r>
        <w:rPr>
          <w:color w:val="221F1F"/>
        </w:rPr>
        <w:t>be</w:t>
      </w:r>
      <w:r>
        <w:rPr>
          <w:color w:val="221F1F"/>
          <w:spacing w:val="-8"/>
        </w:rPr>
        <w:t xml:space="preserve"> </w:t>
      </w:r>
      <w:r>
        <w:rPr>
          <w:color w:val="221F1F"/>
        </w:rPr>
        <w:t>used</w:t>
      </w:r>
      <w:r>
        <w:rPr>
          <w:color w:val="221F1F"/>
          <w:spacing w:val="-11"/>
        </w:rPr>
        <w:t xml:space="preserve"> </w:t>
      </w:r>
      <w:r>
        <w:rPr>
          <w:color w:val="221F1F"/>
        </w:rPr>
        <w:t>as</w:t>
      </w:r>
      <w:r>
        <w:rPr>
          <w:color w:val="221F1F"/>
          <w:spacing w:val="-10"/>
        </w:rPr>
        <w:t xml:space="preserve"> </w:t>
      </w:r>
      <w:r>
        <w:rPr>
          <w:color w:val="221F1F"/>
        </w:rPr>
        <w:t>much</w:t>
      </w:r>
      <w:r>
        <w:rPr>
          <w:color w:val="221F1F"/>
          <w:spacing w:val="-10"/>
        </w:rPr>
        <w:t xml:space="preserve"> </w:t>
      </w:r>
      <w:r>
        <w:rPr>
          <w:color w:val="221F1F"/>
        </w:rPr>
        <w:t>as</w:t>
      </w:r>
      <w:r>
        <w:rPr>
          <w:color w:val="221F1F"/>
          <w:spacing w:val="-10"/>
        </w:rPr>
        <w:t xml:space="preserve"> </w:t>
      </w:r>
      <w:r>
        <w:rPr>
          <w:color w:val="221F1F"/>
        </w:rPr>
        <w:t>possible,</w:t>
      </w:r>
      <w:r>
        <w:rPr>
          <w:color w:val="221F1F"/>
          <w:spacing w:val="-10"/>
        </w:rPr>
        <w:t xml:space="preserve"> </w:t>
      </w:r>
      <w:r>
        <w:rPr>
          <w:color w:val="221F1F"/>
        </w:rPr>
        <w:t>otherwise recognized international standards may also be used.</w:t>
      </w:r>
    </w:p>
    <w:p w:rsidR="007F6DF9" w:rsidRDefault="00A43FBC">
      <w:pPr>
        <w:pStyle w:val="ListParagraph"/>
        <w:numPr>
          <w:ilvl w:val="2"/>
          <w:numId w:val="123"/>
        </w:numPr>
        <w:tabs>
          <w:tab w:val="left" w:pos="1256"/>
          <w:tab w:val="left" w:pos="1258"/>
        </w:tabs>
        <w:spacing w:before="246" w:line="230" w:lineRule="auto"/>
        <w:ind w:left="1258" w:right="562"/>
        <w:jc w:val="both"/>
      </w:pPr>
      <w:r>
        <w:rPr>
          <w:color w:val="221F1F"/>
        </w:rPr>
        <w:t xml:space="preserve">The Procuring Entity should decide whether technical solutions to specified parts of the Works are to be permitted. Alternatives are appropriate in cases where obvious (and potentially less costly) alternatives are </w:t>
      </w:r>
      <w:proofErr w:type="spellStart"/>
      <w:r>
        <w:rPr>
          <w:color w:val="221F1F"/>
        </w:rPr>
        <w:t>possibleto</w:t>
      </w:r>
      <w:proofErr w:type="spellEnd"/>
      <w:r>
        <w:rPr>
          <w:color w:val="221F1F"/>
          <w:spacing w:val="-4"/>
        </w:rPr>
        <w:t xml:space="preserve"> </w:t>
      </w:r>
      <w:r>
        <w:rPr>
          <w:color w:val="221F1F"/>
        </w:rPr>
        <w:t>the</w:t>
      </w:r>
      <w:r>
        <w:rPr>
          <w:color w:val="221F1F"/>
          <w:spacing w:val="-4"/>
        </w:rPr>
        <w:t xml:space="preserve"> </w:t>
      </w:r>
      <w:r>
        <w:rPr>
          <w:color w:val="221F1F"/>
        </w:rPr>
        <w:t>technical</w:t>
      </w:r>
      <w:r>
        <w:rPr>
          <w:color w:val="221F1F"/>
          <w:spacing w:val="-4"/>
        </w:rPr>
        <w:t xml:space="preserve"> </w:t>
      </w:r>
      <w:r>
        <w:rPr>
          <w:color w:val="221F1F"/>
        </w:rPr>
        <w:t>solutions</w:t>
      </w:r>
      <w:r>
        <w:rPr>
          <w:color w:val="221F1F"/>
          <w:spacing w:val="-2"/>
        </w:rPr>
        <w:t xml:space="preserve"> </w:t>
      </w:r>
      <w:r>
        <w:rPr>
          <w:color w:val="221F1F"/>
        </w:rPr>
        <w:t>indicated</w:t>
      </w:r>
      <w:r>
        <w:rPr>
          <w:color w:val="221F1F"/>
          <w:spacing w:val="-3"/>
        </w:rPr>
        <w:t xml:space="preserve"> </w:t>
      </w:r>
      <w:r>
        <w:rPr>
          <w:color w:val="221F1F"/>
        </w:rPr>
        <w:t>in</w:t>
      </w:r>
      <w:r>
        <w:rPr>
          <w:color w:val="221F1F"/>
          <w:spacing w:val="-3"/>
        </w:rPr>
        <w:t xml:space="preserve"> </w:t>
      </w:r>
      <w:r>
        <w:rPr>
          <w:color w:val="221F1F"/>
        </w:rPr>
        <w:t>tender</w:t>
      </w:r>
      <w:r>
        <w:rPr>
          <w:color w:val="221F1F"/>
          <w:spacing w:val="-4"/>
        </w:rPr>
        <w:t xml:space="preserve"> </w:t>
      </w:r>
      <w:r>
        <w:rPr>
          <w:color w:val="221F1F"/>
        </w:rPr>
        <w:t>documents</w:t>
      </w:r>
      <w:r>
        <w:rPr>
          <w:color w:val="221F1F"/>
          <w:spacing w:val="-2"/>
        </w:rPr>
        <w:t xml:space="preserve"> </w:t>
      </w:r>
      <w:r>
        <w:rPr>
          <w:color w:val="221F1F"/>
        </w:rPr>
        <w:t>for</w:t>
      </w:r>
      <w:r>
        <w:rPr>
          <w:color w:val="221F1F"/>
          <w:spacing w:val="-2"/>
        </w:rPr>
        <w:t xml:space="preserve"> </w:t>
      </w:r>
      <w:r>
        <w:rPr>
          <w:color w:val="221F1F"/>
        </w:rPr>
        <w:t>certain</w:t>
      </w:r>
      <w:r>
        <w:rPr>
          <w:color w:val="221F1F"/>
          <w:spacing w:val="-4"/>
        </w:rPr>
        <w:t xml:space="preserve"> </w:t>
      </w:r>
      <w:r>
        <w:rPr>
          <w:color w:val="221F1F"/>
        </w:rPr>
        <w:t>elements</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10"/>
        </w:rPr>
        <w:t xml:space="preserve"> </w:t>
      </w:r>
      <w:r>
        <w:rPr>
          <w:color w:val="221F1F"/>
        </w:rPr>
        <w:t>taking</w:t>
      </w:r>
      <w:r>
        <w:rPr>
          <w:color w:val="221F1F"/>
          <w:spacing w:val="-3"/>
        </w:rPr>
        <w:t xml:space="preserve"> </w:t>
      </w:r>
      <w:r>
        <w:rPr>
          <w:color w:val="221F1F"/>
        </w:rPr>
        <w:t>into consideration the comparative specialized advantage of potential tenderers.</w:t>
      </w:r>
    </w:p>
    <w:p w:rsidR="007F6DF9" w:rsidRDefault="00A43FBC">
      <w:pPr>
        <w:pStyle w:val="ListParagraph"/>
        <w:numPr>
          <w:ilvl w:val="2"/>
          <w:numId w:val="123"/>
        </w:numPr>
        <w:tabs>
          <w:tab w:val="left" w:pos="1256"/>
          <w:tab w:val="left" w:pos="1258"/>
        </w:tabs>
        <w:spacing w:before="246" w:line="230" w:lineRule="auto"/>
        <w:ind w:left="1258" w:right="561"/>
        <w:jc w:val="both"/>
      </w:pPr>
      <w:r>
        <w:rPr>
          <w:color w:val="221F1F"/>
        </w:rPr>
        <w:t>The</w:t>
      </w:r>
      <w:r>
        <w:rPr>
          <w:color w:val="221F1F"/>
          <w:spacing w:val="-14"/>
        </w:rPr>
        <w:t xml:space="preserve"> </w:t>
      </w:r>
      <w:r>
        <w:rPr>
          <w:color w:val="221F1F"/>
        </w:rPr>
        <w:t>Procuring</w:t>
      </w:r>
      <w:r>
        <w:rPr>
          <w:color w:val="221F1F"/>
          <w:spacing w:val="-9"/>
        </w:rPr>
        <w:t xml:space="preserve"> </w:t>
      </w:r>
      <w:r>
        <w:rPr>
          <w:color w:val="221F1F"/>
        </w:rPr>
        <w:t>Entity</w:t>
      </w:r>
      <w:r>
        <w:rPr>
          <w:color w:val="221F1F"/>
          <w:spacing w:val="-9"/>
        </w:rPr>
        <w:t xml:space="preserve"> </w:t>
      </w:r>
      <w:r>
        <w:rPr>
          <w:color w:val="221F1F"/>
        </w:rPr>
        <w:t>should</w:t>
      </w:r>
      <w:r>
        <w:rPr>
          <w:color w:val="221F1F"/>
          <w:spacing w:val="-9"/>
        </w:rPr>
        <w:t xml:space="preserve"> </w:t>
      </w:r>
      <w:r>
        <w:rPr>
          <w:color w:val="221F1F"/>
        </w:rPr>
        <w:t>provide</w:t>
      </w:r>
      <w:r>
        <w:rPr>
          <w:color w:val="221F1F"/>
          <w:spacing w:val="-11"/>
        </w:rPr>
        <w:t xml:space="preserve"> </w:t>
      </w:r>
      <w:r>
        <w:rPr>
          <w:color w:val="221F1F"/>
        </w:rPr>
        <w:t>a</w:t>
      </w:r>
      <w:r>
        <w:rPr>
          <w:color w:val="221F1F"/>
          <w:spacing w:val="-9"/>
        </w:rPr>
        <w:t xml:space="preserve"> </w:t>
      </w:r>
      <w:r>
        <w:rPr>
          <w:color w:val="221F1F"/>
        </w:rPr>
        <w:t>description</w:t>
      </w:r>
      <w:r>
        <w:rPr>
          <w:color w:val="221F1F"/>
          <w:spacing w:val="-12"/>
        </w:rPr>
        <w:t xml:space="preserve"> </w:t>
      </w:r>
      <w:r>
        <w:rPr>
          <w:color w:val="221F1F"/>
        </w:rPr>
        <w:t>of</w:t>
      </w:r>
      <w:r>
        <w:rPr>
          <w:color w:val="221F1F"/>
          <w:spacing w:val="-11"/>
        </w:rPr>
        <w:t xml:space="preserve"> </w:t>
      </w:r>
      <w:r>
        <w:rPr>
          <w:color w:val="221F1F"/>
        </w:rPr>
        <w:t>the</w:t>
      </w:r>
      <w:r>
        <w:rPr>
          <w:color w:val="221F1F"/>
          <w:spacing w:val="-9"/>
        </w:rPr>
        <w:t xml:space="preserve"> </w:t>
      </w:r>
      <w:r>
        <w:rPr>
          <w:color w:val="221F1F"/>
        </w:rPr>
        <w:t>selected</w:t>
      </w:r>
      <w:r>
        <w:rPr>
          <w:color w:val="221F1F"/>
          <w:spacing w:val="-9"/>
        </w:rPr>
        <w:t xml:space="preserve"> </w:t>
      </w:r>
      <w:r>
        <w:rPr>
          <w:color w:val="221F1F"/>
        </w:rPr>
        <w:t>parts</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with</w:t>
      </w:r>
      <w:r>
        <w:rPr>
          <w:color w:val="221F1F"/>
          <w:spacing w:val="-8"/>
        </w:rPr>
        <w:t xml:space="preserve"> </w:t>
      </w:r>
      <w:r>
        <w:rPr>
          <w:color w:val="221F1F"/>
        </w:rPr>
        <w:t>appropriate</w:t>
      </w:r>
      <w:r>
        <w:rPr>
          <w:color w:val="221F1F"/>
          <w:spacing w:val="-11"/>
        </w:rPr>
        <w:t xml:space="preserve"> </w:t>
      </w:r>
      <w:r>
        <w:rPr>
          <w:color w:val="221F1F"/>
        </w:rPr>
        <w:t>reference to</w:t>
      </w:r>
      <w:r>
        <w:rPr>
          <w:color w:val="221F1F"/>
          <w:spacing w:val="-7"/>
        </w:rPr>
        <w:t xml:space="preserve"> </w:t>
      </w:r>
      <w:r>
        <w:rPr>
          <w:color w:val="221F1F"/>
        </w:rPr>
        <w:t>Drawings,</w:t>
      </w:r>
      <w:r>
        <w:rPr>
          <w:color w:val="221F1F"/>
          <w:spacing w:val="-6"/>
        </w:rPr>
        <w:t xml:space="preserve"> </w:t>
      </w:r>
      <w:r>
        <w:rPr>
          <w:color w:val="221F1F"/>
        </w:rPr>
        <w:t>Specifications,</w:t>
      </w:r>
      <w:r>
        <w:rPr>
          <w:color w:val="221F1F"/>
          <w:spacing w:val="-7"/>
        </w:rPr>
        <w:t xml:space="preserve"> </w:t>
      </w:r>
      <w:r>
        <w:rPr>
          <w:color w:val="221F1F"/>
        </w:rPr>
        <w:t>Bills</w:t>
      </w:r>
      <w:r>
        <w:rPr>
          <w:color w:val="221F1F"/>
          <w:spacing w:val="-9"/>
        </w:rPr>
        <w:t xml:space="preserve"> </w:t>
      </w:r>
      <w:r>
        <w:rPr>
          <w:color w:val="221F1F"/>
        </w:rPr>
        <w:t>of</w:t>
      </w:r>
      <w:r>
        <w:rPr>
          <w:color w:val="221F1F"/>
          <w:spacing w:val="-9"/>
        </w:rPr>
        <w:t xml:space="preserve"> </w:t>
      </w:r>
      <w:r>
        <w:rPr>
          <w:color w:val="221F1F"/>
        </w:rPr>
        <w:t>Quantities,</w:t>
      </w:r>
      <w:r>
        <w:rPr>
          <w:color w:val="221F1F"/>
          <w:spacing w:val="-10"/>
        </w:rPr>
        <w:t xml:space="preserve"> </w:t>
      </w:r>
      <w:r>
        <w:rPr>
          <w:color w:val="221F1F"/>
        </w:rPr>
        <w:t>and</w:t>
      </w:r>
      <w:r>
        <w:rPr>
          <w:color w:val="221F1F"/>
          <w:spacing w:val="-7"/>
        </w:rPr>
        <w:t xml:space="preserve"> </w:t>
      </w:r>
      <w:r>
        <w:rPr>
          <w:color w:val="221F1F"/>
        </w:rPr>
        <w:t>Design</w:t>
      </w:r>
      <w:r>
        <w:rPr>
          <w:color w:val="221F1F"/>
          <w:spacing w:val="-10"/>
        </w:rPr>
        <w:t xml:space="preserve"> </w:t>
      </w:r>
      <w:r>
        <w:rPr>
          <w:color w:val="221F1F"/>
        </w:rPr>
        <w:t>or</w:t>
      </w:r>
      <w:r>
        <w:rPr>
          <w:color w:val="221F1F"/>
          <w:spacing w:val="-9"/>
        </w:rPr>
        <w:t xml:space="preserve"> </w:t>
      </w:r>
      <w:r>
        <w:rPr>
          <w:color w:val="221F1F"/>
        </w:rPr>
        <w:t>Performance</w:t>
      </w:r>
      <w:r>
        <w:rPr>
          <w:color w:val="221F1F"/>
          <w:spacing w:val="-9"/>
        </w:rPr>
        <w:t xml:space="preserve"> </w:t>
      </w:r>
      <w:r>
        <w:rPr>
          <w:color w:val="221F1F"/>
        </w:rPr>
        <w:t>criteria,</w:t>
      </w:r>
      <w:r>
        <w:rPr>
          <w:color w:val="221F1F"/>
          <w:spacing w:val="-7"/>
        </w:rPr>
        <w:t xml:space="preserve"> </w:t>
      </w:r>
      <w:r>
        <w:rPr>
          <w:color w:val="221F1F"/>
        </w:rPr>
        <w:t>stating</w:t>
      </w:r>
      <w:r>
        <w:rPr>
          <w:color w:val="221F1F"/>
          <w:spacing w:val="-10"/>
        </w:rPr>
        <w:t xml:space="preserve"> </w:t>
      </w:r>
      <w:r>
        <w:rPr>
          <w:color w:val="221F1F"/>
        </w:rPr>
        <w:t>that</w:t>
      </w:r>
      <w:r>
        <w:rPr>
          <w:color w:val="221F1F"/>
          <w:spacing w:val="-9"/>
        </w:rPr>
        <w:t xml:space="preserve"> </w:t>
      </w:r>
      <w:r>
        <w:rPr>
          <w:color w:val="221F1F"/>
        </w:rPr>
        <w:t>the</w:t>
      </w:r>
      <w:r>
        <w:rPr>
          <w:color w:val="221F1F"/>
          <w:spacing w:val="-9"/>
        </w:rPr>
        <w:t xml:space="preserve"> </w:t>
      </w:r>
      <w:r>
        <w:rPr>
          <w:color w:val="221F1F"/>
        </w:rPr>
        <w:t xml:space="preserve">alternative solutions shall be at least structurally and functionally equivalent to the basic design parameters and </w:t>
      </w:r>
      <w:r>
        <w:rPr>
          <w:color w:val="221F1F"/>
          <w:spacing w:val="-2"/>
        </w:rPr>
        <w:t>Specifications.</w:t>
      </w:r>
    </w:p>
    <w:p w:rsidR="007F6DF9" w:rsidRDefault="00A43FBC">
      <w:pPr>
        <w:pStyle w:val="ListParagraph"/>
        <w:numPr>
          <w:ilvl w:val="2"/>
          <w:numId w:val="123"/>
        </w:numPr>
        <w:tabs>
          <w:tab w:val="left" w:pos="1256"/>
          <w:tab w:val="left" w:pos="1258"/>
        </w:tabs>
        <w:spacing w:before="245" w:line="230" w:lineRule="auto"/>
        <w:ind w:left="1258" w:right="560"/>
        <w:jc w:val="both"/>
      </w:pPr>
      <w:r>
        <w:rPr>
          <w:color w:val="221F1F"/>
        </w:rPr>
        <w:t>Such</w:t>
      </w:r>
      <w:r>
        <w:rPr>
          <w:color w:val="221F1F"/>
          <w:spacing w:val="-1"/>
        </w:rPr>
        <w:t xml:space="preserve"> </w:t>
      </w:r>
      <w:r>
        <w:rPr>
          <w:color w:val="221F1F"/>
        </w:rPr>
        <w:t>alternative</w:t>
      </w:r>
      <w:r>
        <w:rPr>
          <w:color w:val="221F1F"/>
          <w:spacing w:val="-3"/>
        </w:rPr>
        <w:t xml:space="preserve"> </w:t>
      </w:r>
      <w:r>
        <w:rPr>
          <w:color w:val="221F1F"/>
        </w:rPr>
        <w:t>solutions</w:t>
      </w:r>
      <w:r>
        <w:rPr>
          <w:color w:val="221F1F"/>
          <w:spacing w:val="-3"/>
        </w:rPr>
        <w:t xml:space="preserve"> </w:t>
      </w:r>
      <w:r>
        <w:rPr>
          <w:color w:val="221F1F"/>
        </w:rPr>
        <w:t>shall be</w:t>
      </w:r>
      <w:r>
        <w:rPr>
          <w:color w:val="221F1F"/>
          <w:spacing w:val="-3"/>
        </w:rPr>
        <w:t xml:space="preserve"> </w:t>
      </w:r>
      <w:r>
        <w:rPr>
          <w:color w:val="221F1F"/>
        </w:rPr>
        <w:t>accompanied</w:t>
      </w:r>
      <w:r>
        <w:rPr>
          <w:color w:val="221F1F"/>
          <w:spacing w:val="-3"/>
        </w:rPr>
        <w:t xml:space="preserve"> </w:t>
      </w:r>
      <w:r>
        <w:rPr>
          <w:color w:val="221F1F"/>
        </w:rPr>
        <w:t>by</w:t>
      </w:r>
      <w:r>
        <w:rPr>
          <w:color w:val="221F1F"/>
          <w:spacing w:val="-4"/>
        </w:rPr>
        <w:t xml:space="preserve"> </w:t>
      </w:r>
      <w:r>
        <w:rPr>
          <w:color w:val="221F1F"/>
        </w:rPr>
        <w:t>all</w:t>
      </w:r>
      <w:r>
        <w:rPr>
          <w:color w:val="221F1F"/>
          <w:spacing w:val="-3"/>
        </w:rPr>
        <w:t xml:space="preserve"> </w:t>
      </w:r>
      <w:r>
        <w:rPr>
          <w:color w:val="221F1F"/>
        </w:rPr>
        <w:t>information</w:t>
      </w:r>
      <w:r>
        <w:rPr>
          <w:color w:val="221F1F"/>
          <w:spacing w:val="-4"/>
        </w:rPr>
        <w:t xml:space="preserve"> </w:t>
      </w:r>
      <w:r>
        <w:rPr>
          <w:color w:val="221F1F"/>
        </w:rPr>
        <w:t>necessary</w:t>
      </w:r>
      <w:r>
        <w:rPr>
          <w:color w:val="221F1F"/>
          <w:spacing w:val="-4"/>
        </w:rPr>
        <w:t xml:space="preserve"> </w:t>
      </w:r>
      <w:r>
        <w:rPr>
          <w:color w:val="221F1F"/>
        </w:rPr>
        <w:t>for</w:t>
      </w:r>
      <w:r>
        <w:rPr>
          <w:color w:val="221F1F"/>
          <w:spacing w:val="-1"/>
        </w:rPr>
        <w:t xml:space="preserve"> </w:t>
      </w:r>
      <w:r>
        <w:rPr>
          <w:color w:val="221F1F"/>
        </w:rPr>
        <w:t>a</w:t>
      </w:r>
      <w:r>
        <w:rPr>
          <w:color w:val="221F1F"/>
          <w:spacing w:val="-3"/>
        </w:rPr>
        <w:t xml:space="preserve"> </w:t>
      </w:r>
      <w:r>
        <w:rPr>
          <w:color w:val="221F1F"/>
        </w:rPr>
        <w:t>complete</w:t>
      </w:r>
      <w:r>
        <w:rPr>
          <w:color w:val="221F1F"/>
          <w:spacing w:val="-3"/>
        </w:rPr>
        <w:t xml:space="preserve"> </w:t>
      </w:r>
      <w:r>
        <w:rPr>
          <w:color w:val="221F1F"/>
        </w:rPr>
        <w:t>evaluation</w:t>
      </w:r>
      <w:r>
        <w:rPr>
          <w:color w:val="221F1F"/>
          <w:spacing w:val="-1"/>
        </w:rPr>
        <w:t xml:space="preserve"> </w:t>
      </w:r>
      <w:r>
        <w:rPr>
          <w:color w:val="221F1F"/>
        </w:rPr>
        <w:t>by the Procuring Entity, including drawings, design calculations, technical specifications, breakdown of prices, proposed</w:t>
      </w:r>
      <w:r>
        <w:rPr>
          <w:color w:val="221F1F"/>
          <w:spacing w:val="-9"/>
        </w:rPr>
        <w:t xml:space="preserve"> </w:t>
      </w:r>
      <w:r>
        <w:rPr>
          <w:color w:val="221F1F"/>
        </w:rPr>
        <w:t>construction</w:t>
      </w:r>
      <w:r>
        <w:rPr>
          <w:color w:val="221F1F"/>
          <w:spacing w:val="-11"/>
        </w:rPr>
        <w:t xml:space="preserve"> </w:t>
      </w:r>
      <w:r>
        <w:rPr>
          <w:color w:val="221F1F"/>
        </w:rPr>
        <w:t>methodology,</w:t>
      </w:r>
      <w:r>
        <w:rPr>
          <w:color w:val="221F1F"/>
          <w:spacing w:val="-8"/>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relevant</w:t>
      </w:r>
      <w:r>
        <w:rPr>
          <w:color w:val="221F1F"/>
          <w:spacing w:val="-12"/>
        </w:rPr>
        <w:t xml:space="preserve"> </w:t>
      </w:r>
      <w:r>
        <w:rPr>
          <w:color w:val="221F1F"/>
        </w:rPr>
        <w:t>details.</w:t>
      </w:r>
      <w:r>
        <w:rPr>
          <w:color w:val="221F1F"/>
          <w:spacing w:val="-9"/>
        </w:rPr>
        <w:t xml:space="preserve"> </w:t>
      </w:r>
      <w:r>
        <w:rPr>
          <w:color w:val="221F1F"/>
        </w:rPr>
        <w:t>Technical</w:t>
      </w:r>
      <w:r>
        <w:rPr>
          <w:color w:val="221F1F"/>
          <w:spacing w:val="-8"/>
        </w:rPr>
        <w:t xml:space="preserve"> </w:t>
      </w:r>
      <w:r>
        <w:rPr>
          <w:color w:val="221F1F"/>
        </w:rPr>
        <w:t>alternatives</w:t>
      </w:r>
      <w:r>
        <w:rPr>
          <w:color w:val="221F1F"/>
          <w:spacing w:val="-8"/>
        </w:rPr>
        <w:t xml:space="preserve"> </w:t>
      </w:r>
      <w:r>
        <w:rPr>
          <w:color w:val="221F1F"/>
        </w:rPr>
        <w:t>permitted</w:t>
      </w:r>
      <w:r>
        <w:rPr>
          <w:color w:val="221F1F"/>
          <w:spacing w:val="-9"/>
        </w:rPr>
        <w:t xml:space="preserve"> </w:t>
      </w:r>
      <w:r>
        <w:rPr>
          <w:color w:val="221F1F"/>
        </w:rPr>
        <w:t>in</w:t>
      </w:r>
      <w:r>
        <w:rPr>
          <w:color w:val="221F1F"/>
          <w:spacing w:val="-12"/>
        </w:rPr>
        <w:t xml:space="preserve"> </w:t>
      </w:r>
      <w:r>
        <w:rPr>
          <w:color w:val="221F1F"/>
        </w:rPr>
        <w:t>this</w:t>
      </w:r>
      <w:r>
        <w:rPr>
          <w:color w:val="221F1F"/>
          <w:spacing w:val="-11"/>
        </w:rPr>
        <w:t xml:space="preserve"> </w:t>
      </w:r>
      <w:r>
        <w:rPr>
          <w:color w:val="221F1F"/>
        </w:rPr>
        <w:t>manner shall be considered by</w:t>
      </w:r>
      <w:r>
        <w:rPr>
          <w:color w:val="221F1F"/>
          <w:spacing w:val="-1"/>
        </w:rPr>
        <w:t xml:space="preserve"> </w:t>
      </w:r>
      <w:r>
        <w:rPr>
          <w:color w:val="221F1F"/>
        </w:rPr>
        <w:t>the Procuring Entity each on</w:t>
      </w:r>
      <w:r>
        <w:rPr>
          <w:color w:val="221F1F"/>
          <w:spacing w:val="-1"/>
        </w:rPr>
        <w:t xml:space="preserve"> </w:t>
      </w:r>
      <w:r>
        <w:rPr>
          <w:color w:val="221F1F"/>
        </w:rPr>
        <w:t>its own merits and independently of whether the tenderer has priced the item as described in the Procuring Entity's design included with the tender documents.</w:t>
      </w:r>
    </w:p>
    <w:p w:rsidR="007F6DF9" w:rsidRDefault="007F6DF9">
      <w:pPr>
        <w:pStyle w:val="BodyText"/>
      </w:pPr>
    </w:p>
    <w:p w:rsidR="007F6DF9" w:rsidRDefault="007F6DF9">
      <w:pPr>
        <w:pStyle w:val="BodyText"/>
        <w:spacing w:before="17"/>
      </w:pPr>
    </w:p>
    <w:p w:rsidR="007F6DF9" w:rsidRDefault="00A43FBC">
      <w:pPr>
        <w:pStyle w:val="Heading6"/>
        <w:ind w:left="706"/>
      </w:pPr>
      <w:r>
        <w:rPr>
          <w:color w:val="221F1F"/>
        </w:rPr>
        <w:t>SECTION</w:t>
      </w:r>
      <w:r>
        <w:rPr>
          <w:color w:val="221F1F"/>
          <w:spacing w:val="-1"/>
        </w:rPr>
        <w:t xml:space="preserve"> </w:t>
      </w:r>
      <w:r>
        <w:rPr>
          <w:color w:val="221F1F"/>
        </w:rPr>
        <w:t>VII</w:t>
      </w:r>
      <w:r>
        <w:rPr>
          <w:color w:val="221F1F"/>
          <w:spacing w:val="1"/>
        </w:rPr>
        <w:t xml:space="preserve"> </w:t>
      </w:r>
      <w:r>
        <w:rPr>
          <w:color w:val="221F1F"/>
        </w:rPr>
        <w:t>-</w:t>
      </w:r>
      <w:r>
        <w:rPr>
          <w:color w:val="221F1F"/>
          <w:spacing w:val="-1"/>
        </w:rPr>
        <w:t xml:space="preserve"> </w:t>
      </w:r>
      <w:r>
        <w:rPr>
          <w:color w:val="221F1F"/>
          <w:spacing w:val="-2"/>
        </w:rPr>
        <w:t>DRAWINGS</w:t>
      </w:r>
    </w:p>
    <w:p w:rsidR="007F6DF9" w:rsidRDefault="00A43FBC">
      <w:pPr>
        <w:pStyle w:val="BodyText"/>
        <w:spacing w:before="263" w:line="232" w:lineRule="auto"/>
        <w:ind w:left="706" w:right="332"/>
      </w:pPr>
      <w:r>
        <w:rPr>
          <w:b/>
          <w:color w:val="221F1F"/>
          <w:u w:val="single" w:color="221F1F"/>
        </w:rPr>
        <w:t>Note</w:t>
      </w:r>
      <w:r>
        <w:rPr>
          <w:b/>
          <w:color w:val="221F1F"/>
        </w:rPr>
        <w:t xml:space="preserve"> </w:t>
      </w:r>
      <w:r>
        <w:rPr>
          <w:color w:val="221F1F"/>
        </w:rPr>
        <w:t>A</w:t>
      </w:r>
      <w:r>
        <w:rPr>
          <w:color w:val="221F1F"/>
          <w:spacing w:val="-2"/>
        </w:rPr>
        <w:t xml:space="preserve"> </w:t>
      </w:r>
      <w:r>
        <w:rPr>
          <w:color w:val="221F1F"/>
        </w:rPr>
        <w:t>list of</w:t>
      </w:r>
      <w:r>
        <w:rPr>
          <w:color w:val="221F1F"/>
          <w:spacing w:val="-3"/>
        </w:rPr>
        <w:t xml:space="preserve"> </w:t>
      </w:r>
      <w:r>
        <w:rPr>
          <w:color w:val="221F1F"/>
        </w:rPr>
        <w:t>drawings</w:t>
      </w:r>
      <w:r>
        <w:rPr>
          <w:color w:val="221F1F"/>
          <w:spacing w:val="-3"/>
        </w:rPr>
        <w:t xml:space="preserve"> </w:t>
      </w:r>
      <w:r>
        <w:rPr>
          <w:color w:val="221F1F"/>
        </w:rPr>
        <w:t>should</w:t>
      </w:r>
      <w:r>
        <w:rPr>
          <w:color w:val="221F1F"/>
          <w:spacing w:val="-1"/>
        </w:rPr>
        <w:t xml:space="preserve"> </w:t>
      </w:r>
      <w:r>
        <w:rPr>
          <w:color w:val="221F1F"/>
        </w:rPr>
        <w:t>be</w:t>
      </w:r>
      <w:r>
        <w:rPr>
          <w:color w:val="221F1F"/>
          <w:spacing w:val="-3"/>
        </w:rPr>
        <w:t xml:space="preserve"> </w:t>
      </w:r>
      <w:r>
        <w:rPr>
          <w:color w:val="221F1F"/>
        </w:rPr>
        <w:t>inserted</w:t>
      </w:r>
      <w:r>
        <w:rPr>
          <w:color w:val="221F1F"/>
          <w:spacing w:val="-3"/>
        </w:rPr>
        <w:t xml:space="preserve"> </w:t>
      </w:r>
      <w:r>
        <w:rPr>
          <w:color w:val="221F1F"/>
        </w:rPr>
        <w:t>here.</w:t>
      </w:r>
      <w:r>
        <w:rPr>
          <w:color w:val="221F1F"/>
          <w:spacing w:val="-1"/>
        </w:rPr>
        <w:t xml:space="preserve"> </w:t>
      </w:r>
      <w:r>
        <w:rPr>
          <w:color w:val="221F1F"/>
        </w:rPr>
        <w:t>The</w:t>
      </w:r>
      <w:r>
        <w:rPr>
          <w:color w:val="221F1F"/>
          <w:spacing w:val="-3"/>
        </w:rPr>
        <w:t xml:space="preserve"> </w:t>
      </w:r>
      <w:r>
        <w:rPr>
          <w:color w:val="221F1F"/>
        </w:rPr>
        <w:t>actual drawings</w:t>
      </w:r>
      <w:r>
        <w:rPr>
          <w:color w:val="221F1F"/>
          <w:spacing w:val="-1"/>
        </w:rPr>
        <w:t xml:space="preserve"> </w:t>
      </w:r>
      <w:r>
        <w:rPr>
          <w:color w:val="221F1F"/>
        </w:rPr>
        <w:t>including</w:t>
      </w:r>
      <w:r>
        <w:rPr>
          <w:color w:val="221F1F"/>
          <w:spacing w:val="-1"/>
        </w:rPr>
        <w:t xml:space="preserve"> </w:t>
      </w:r>
      <w:r>
        <w:rPr>
          <w:color w:val="221F1F"/>
        </w:rPr>
        <w:t>Site</w:t>
      </w:r>
      <w:r>
        <w:rPr>
          <w:color w:val="221F1F"/>
          <w:spacing w:val="-1"/>
        </w:rPr>
        <w:t xml:space="preserve"> </w:t>
      </w:r>
      <w:r>
        <w:rPr>
          <w:color w:val="221F1F"/>
        </w:rPr>
        <w:t>plans</w:t>
      </w:r>
      <w:r>
        <w:rPr>
          <w:color w:val="221F1F"/>
          <w:spacing w:val="-1"/>
        </w:rPr>
        <w:t xml:space="preserve"> </w:t>
      </w:r>
      <w:r>
        <w:rPr>
          <w:color w:val="221F1F"/>
        </w:rPr>
        <w:t>should</w:t>
      </w:r>
      <w:r>
        <w:rPr>
          <w:color w:val="221F1F"/>
          <w:spacing w:val="-4"/>
        </w:rPr>
        <w:t xml:space="preserve"> </w:t>
      </w:r>
      <w:r>
        <w:rPr>
          <w:color w:val="221F1F"/>
        </w:rPr>
        <w:t>be</w:t>
      </w:r>
      <w:r>
        <w:rPr>
          <w:color w:val="221F1F"/>
          <w:spacing w:val="-1"/>
        </w:rPr>
        <w:t xml:space="preserve"> </w:t>
      </w:r>
      <w:r>
        <w:rPr>
          <w:color w:val="221F1F"/>
        </w:rPr>
        <w:t>annexed</w:t>
      </w:r>
      <w:r>
        <w:rPr>
          <w:color w:val="221F1F"/>
          <w:spacing w:val="-1"/>
        </w:rPr>
        <w:t xml:space="preserve"> </w:t>
      </w:r>
      <w:r>
        <w:rPr>
          <w:color w:val="221F1F"/>
        </w:rPr>
        <w:t>in</w:t>
      </w:r>
      <w:r>
        <w:rPr>
          <w:color w:val="221F1F"/>
          <w:spacing w:val="-1"/>
        </w:rPr>
        <w:t xml:space="preserve"> </w:t>
      </w:r>
      <w:r>
        <w:rPr>
          <w:color w:val="221F1F"/>
        </w:rPr>
        <w:t>a separate booklet.</w:t>
      </w:r>
    </w:p>
    <w:p w:rsidR="007F6DF9" w:rsidRDefault="007F6DF9">
      <w:pPr>
        <w:pStyle w:val="BodyText"/>
        <w:spacing w:line="232" w:lineRule="auto"/>
        <w:sectPr w:rsidR="007F6DF9">
          <w:pgSz w:w="11920" w:h="16850"/>
          <w:pgMar w:top="360" w:right="283" w:bottom="620" w:left="141" w:header="0" w:footer="437" w:gutter="0"/>
          <w:cols w:space="720"/>
        </w:sect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spacing w:line="20" w:lineRule="exact"/>
        <w:ind w:left="718"/>
        <w:rPr>
          <w:sz w:val="2"/>
        </w:rPr>
      </w:pPr>
      <w:r>
        <w:rPr>
          <w:noProof/>
          <w:sz w:val="2"/>
        </w:rPr>
        <mc:AlternateContent>
          <mc:Choice Requires="wpg">
            <w:drawing>
              <wp:inline distT="0" distB="0" distL="0" distR="0">
                <wp:extent cx="6477000" cy="50800"/>
                <wp:effectExtent l="28575" t="0" r="19050" b="635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50800"/>
                          <a:chOff x="0" y="0"/>
                          <a:chExt cx="6477000" cy="50800"/>
                        </a:xfrm>
                      </wpg:grpSpPr>
                      <wps:wsp>
                        <wps:cNvPr id="49" name="Graphic 304"/>
                        <wps:cNvSpPr/>
                        <wps:spPr>
                          <a:xfrm>
                            <a:off x="0" y="2540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w:pict>
              <v:group w14:anchorId="2B8258CC" id="Group 16" o:spid="_x0000_s1026" style="width:510pt;height:4pt;mso-position-horizontal-relative:char;mso-position-vertical-relative:line" coordsize="6477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">
                <v:shape id="Graphic 304" o:spid="_x0000_s1027" style="position:absolute;top:254;width:64770;height:12;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" path="m,l6477000,e" filled="f" strokecolor="#929497" strokeweight="4pt">
                  <v:path arrowok="t"/>
                </v:shape>
                <w10:anchorlock/>
              </v:group>
            </w:pict>
          </mc:Fallback>
        </mc:AlternateContent>
      </w:r>
    </w:p>
    <w:p w:rsidR="007F6DF9" w:rsidRDefault="00A43FBC">
      <w:pPr>
        <w:pStyle w:val="Heading1"/>
        <w:spacing w:before="382" w:line="230" w:lineRule="auto"/>
        <w:ind w:left="2446" w:hanging="303"/>
        <w:jc w:val="left"/>
      </w:pPr>
      <w:r>
        <w:rPr>
          <w:color w:val="221F1F"/>
        </w:rPr>
        <w:t>PART</w:t>
      </w:r>
      <w:r>
        <w:rPr>
          <w:color w:val="221F1F"/>
          <w:spacing w:val="-8"/>
        </w:rPr>
        <w:t xml:space="preserve"> </w:t>
      </w:r>
      <w:r>
        <w:rPr>
          <w:color w:val="221F1F"/>
        </w:rPr>
        <w:t>III</w:t>
      </w:r>
      <w:r>
        <w:rPr>
          <w:color w:val="221F1F"/>
          <w:spacing w:val="-5"/>
        </w:rPr>
        <w:t xml:space="preserve"> </w:t>
      </w:r>
      <w:r>
        <w:rPr>
          <w:color w:val="221F1F"/>
        </w:rPr>
        <w:t>-</w:t>
      </w:r>
      <w:r>
        <w:rPr>
          <w:color w:val="221F1F"/>
          <w:spacing w:val="-3"/>
        </w:rPr>
        <w:t xml:space="preserve"> </w:t>
      </w:r>
      <w:r>
        <w:rPr>
          <w:color w:val="221F1F"/>
        </w:rPr>
        <w:t>THE</w:t>
      </w:r>
      <w:r>
        <w:rPr>
          <w:color w:val="221F1F"/>
          <w:spacing w:val="-7"/>
        </w:rPr>
        <w:t xml:space="preserve"> </w:t>
      </w:r>
      <w:r>
        <w:rPr>
          <w:color w:val="221F1F"/>
        </w:rPr>
        <w:t>CONDITIONS</w:t>
      </w:r>
      <w:r>
        <w:rPr>
          <w:color w:val="221F1F"/>
          <w:spacing w:val="-6"/>
        </w:rPr>
        <w:t xml:space="preserve"> </w:t>
      </w:r>
      <w:r>
        <w:rPr>
          <w:color w:val="221F1F"/>
        </w:rPr>
        <w:t>OF CONTRACT AND CONTRACT</w:t>
      </w:r>
    </w:p>
    <w:p w:rsidR="007F6DF9" w:rsidRDefault="00A43FBC">
      <w:pPr>
        <w:pStyle w:val="BodyText"/>
        <w:spacing w:before="142"/>
        <w:rPr>
          <w:b/>
          <w:sz w:val="20"/>
        </w:rPr>
      </w:pPr>
      <w:r>
        <w:rPr>
          <w:b/>
          <w:noProof/>
          <w:sz w:val="20"/>
        </w:rPr>
        <mc:AlternateContent>
          <mc:Choice Requires="wps">
            <w:drawing>
              <wp:anchor distT="0" distB="0" distL="0" distR="0" simplePos="0" relativeHeight="487619584" behindDoc="1" locked="0" layoutInCell="1" allowOverlap="1">
                <wp:simplePos x="0" y="0"/>
                <wp:positionH relativeFrom="page">
                  <wp:posOffset>541655</wp:posOffset>
                </wp:positionH>
                <wp:positionV relativeFrom="paragraph">
                  <wp:posOffset>251618</wp:posOffset>
                </wp:positionV>
                <wp:extent cx="6477000" cy="1270"/>
                <wp:effectExtent l="0" t="0" r="0" b="0"/>
                <wp:wrapTopAndBottom/>
                <wp:docPr id="18"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7976810B" id="Graphic 305" o:spid="_x0000_s1026" style="position:absolute;margin-left:42.65pt;margin-top:19.8pt;width:510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47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" path="m,l6477000,e" filled="f" strokecolor="#929497" strokeweight="4pt">
                <v:path arrowok="t"/>
                <w10:wrap type="topAndBottom" anchorx="page"/>
              </v:shape>
            </w:pict>
          </mc:Fallback>
        </mc:AlternateContent>
      </w:r>
    </w:p>
    <w:p w:rsidR="007F6DF9" w:rsidRDefault="007F6DF9">
      <w:pPr>
        <w:pStyle w:val="BodyText"/>
        <w:rPr>
          <w:b/>
          <w:sz w:val="20"/>
        </w:rPr>
        <w:sectPr w:rsidR="007F6DF9">
          <w:headerReference w:type="default" r:id="rId33"/>
          <w:footerReference w:type="default" r:id="rId34"/>
          <w:pgSz w:w="11920" w:h="16850"/>
          <w:pgMar w:top="1940" w:right="283" w:bottom="280" w:left="141" w:header="0" w:footer="0" w:gutter="0"/>
          <w:cols w:space="720"/>
        </w:sectPr>
      </w:pPr>
    </w:p>
    <w:p w:rsidR="007F6DF9" w:rsidRDefault="007F6DF9">
      <w:pPr>
        <w:pStyle w:val="BodyText"/>
        <w:spacing w:before="184"/>
        <w:rPr>
          <w:b/>
          <w:sz w:val="24"/>
        </w:rPr>
      </w:pPr>
    </w:p>
    <w:p w:rsidR="007F6DF9" w:rsidRDefault="00A43FBC">
      <w:pPr>
        <w:pStyle w:val="Heading6"/>
        <w:ind w:left="715"/>
      </w:pPr>
      <w:r>
        <w:rPr>
          <w:color w:val="221F1F"/>
        </w:rPr>
        <w:t>SECTION</w:t>
      </w:r>
      <w:r>
        <w:rPr>
          <w:color w:val="221F1F"/>
          <w:spacing w:val="-3"/>
        </w:rPr>
        <w:t xml:space="preserve"> </w:t>
      </w:r>
      <w:r>
        <w:rPr>
          <w:color w:val="221F1F"/>
        </w:rPr>
        <w:t>VIII</w:t>
      </w:r>
      <w:r>
        <w:rPr>
          <w:color w:val="221F1F"/>
          <w:spacing w:val="-1"/>
        </w:rPr>
        <w:t xml:space="preserve"> </w:t>
      </w:r>
      <w:r>
        <w:rPr>
          <w:color w:val="221F1F"/>
        </w:rPr>
        <w:t>-</w:t>
      </w:r>
      <w:r>
        <w:rPr>
          <w:color w:val="221F1F"/>
          <w:spacing w:val="-2"/>
        </w:rPr>
        <w:t xml:space="preserve"> </w:t>
      </w:r>
      <w:r>
        <w:rPr>
          <w:color w:val="221F1F"/>
        </w:rPr>
        <w:t>GENERAL</w:t>
      </w:r>
      <w:r>
        <w:rPr>
          <w:color w:val="221F1F"/>
          <w:spacing w:val="-1"/>
        </w:rPr>
        <w:t xml:space="preserve"> </w:t>
      </w:r>
      <w:r>
        <w:rPr>
          <w:color w:val="221F1F"/>
        </w:rPr>
        <w:t>CONDITIONS</w:t>
      </w:r>
      <w:r>
        <w:rPr>
          <w:color w:val="221F1F"/>
          <w:spacing w:val="-2"/>
        </w:rPr>
        <w:t xml:space="preserve"> </w:t>
      </w:r>
      <w:r>
        <w:rPr>
          <w:color w:val="221F1F"/>
        </w:rPr>
        <w:t>OF</w:t>
      </w:r>
      <w:r>
        <w:rPr>
          <w:color w:val="221F1F"/>
          <w:spacing w:val="-1"/>
        </w:rPr>
        <w:t xml:space="preserve"> </w:t>
      </w:r>
      <w:r>
        <w:rPr>
          <w:color w:val="221F1F"/>
        </w:rPr>
        <w:t>CONTRACT</w:t>
      </w:r>
      <w:r>
        <w:rPr>
          <w:color w:val="221F1F"/>
          <w:spacing w:val="-1"/>
        </w:rPr>
        <w:t xml:space="preserve"> </w:t>
      </w:r>
      <w:r>
        <w:rPr>
          <w:color w:val="221F1F"/>
          <w:spacing w:val="-2"/>
        </w:rPr>
        <w:t>(GCC)</w:t>
      </w:r>
    </w:p>
    <w:p w:rsidR="007F6DF9" w:rsidRDefault="007F6DF9">
      <w:pPr>
        <w:pStyle w:val="BodyText"/>
        <w:spacing w:before="204"/>
        <w:rPr>
          <w:b/>
          <w:sz w:val="24"/>
        </w:rPr>
      </w:pPr>
    </w:p>
    <w:p w:rsidR="007F6DF9" w:rsidRDefault="00A43FBC">
      <w:pPr>
        <w:pStyle w:val="BodyText"/>
        <w:spacing w:line="465" w:lineRule="auto"/>
        <w:ind w:left="715" w:right="7805"/>
      </w:pPr>
      <w:r>
        <w:rPr>
          <w:b/>
          <w:color w:val="221F1F"/>
        </w:rPr>
        <w:t>[</w:t>
      </w:r>
      <w:r>
        <w:rPr>
          <w:color w:val="221F1F"/>
        </w:rPr>
        <w:t>Name</w:t>
      </w:r>
      <w:r>
        <w:rPr>
          <w:color w:val="221F1F"/>
          <w:spacing w:val="-10"/>
        </w:rPr>
        <w:t xml:space="preserve"> </w:t>
      </w:r>
      <w:r>
        <w:rPr>
          <w:color w:val="221F1F"/>
        </w:rPr>
        <w:t>of</w:t>
      </w:r>
      <w:r>
        <w:rPr>
          <w:color w:val="221F1F"/>
          <w:spacing w:val="-9"/>
        </w:rPr>
        <w:t xml:space="preserve"> </w:t>
      </w:r>
      <w:r>
        <w:rPr>
          <w:color w:val="221F1F"/>
        </w:rPr>
        <w:t>Procuring</w:t>
      </w:r>
      <w:r>
        <w:rPr>
          <w:color w:val="221F1F"/>
          <w:spacing w:val="-10"/>
        </w:rPr>
        <w:t xml:space="preserve"> </w:t>
      </w:r>
      <w:r>
        <w:rPr>
          <w:color w:val="221F1F"/>
        </w:rPr>
        <w:t>Entity] [Name of Contract]</w:t>
      </w:r>
    </w:p>
    <w:p w:rsidR="007F6DF9" w:rsidRDefault="00A43FBC">
      <w:pPr>
        <w:pStyle w:val="BodyText"/>
        <w:spacing w:line="248" w:lineRule="exact"/>
        <w:ind w:left="715"/>
      </w:pPr>
      <w:r>
        <w:rPr>
          <w:color w:val="221F1F"/>
        </w:rPr>
        <w:t>[Architect</w:t>
      </w:r>
      <w:r>
        <w:rPr>
          <w:color w:val="221F1F"/>
          <w:spacing w:val="-4"/>
        </w:rPr>
        <w:t xml:space="preserve"> </w:t>
      </w:r>
      <w:r>
        <w:rPr>
          <w:color w:val="221F1F"/>
        </w:rPr>
        <w:t>Name</w:t>
      </w:r>
      <w:r>
        <w:rPr>
          <w:color w:val="221F1F"/>
          <w:spacing w:val="-3"/>
        </w:rPr>
        <w:t xml:space="preserve"> </w:t>
      </w:r>
      <w:r>
        <w:rPr>
          <w:color w:val="221F1F"/>
        </w:rPr>
        <w:t>and</w:t>
      </w:r>
      <w:r>
        <w:rPr>
          <w:color w:val="221F1F"/>
          <w:spacing w:val="-3"/>
        </w:rPr>
        <w:t xml:space="preserve"> </w:t>
      </w:r>
      <w:r>
        <w:rPr>
          <w:color w:val="221F1F"/>
          <w:spacing w:val="-2"/>
        </w:rPr>
        <w:t>Address]</w:t>
      </w:r>
    </w:p>
    <w:p w:rsidR="007F6DF9" w:rsidRDefault="007F6DF9">
      <w:pPr>
        <w:pStyle w:val="BodyText"/>
        <w:spacing w:before="214"/>
      </w:pPr>
    </w:p>
    <w:p w:rsidR="007F6DF9" w:rsidRDefault="00A43FBC">
      <w:pPr>
        <w:pStyle w:val="Heading9"/>
        <w:ind w:left="715" w:firstLine="0"/>
      </w:pPr>
      <w:r>
        <w:rPr>
          <w:color w:val="221F1F"/>
        </w:rPr>
        <w:t>General</w:t>
      </w:r>
      <w:r>
        <w:rPr>
          <w:color w:val="221F1F"/>
          <w:spacing w:val="-3"/>
        </w:rPr>
        <w:t xml:space="preserve"> </w:t>
      </w:r>
      <w:r>
        <w:rPr>
          <w:color w:val="221F1F"/>
        </w:rPr>
        <w:t>Conditions</w:t>
      </w:r>
      <w:r>
        <w:rPr>
          <w:color w:val="221F1F"/>
          <w:spacing w:val="-5"/>
        </w:rPr>
        <w:t xml:space="preserve"> </w:t>
      </w:r>
      <w:r>
        <w:rPr>
          <w:color w:val="221F1F"/>
        </w:rPr>
        <w:t>of</w:t>
      </w:r>
      <w:r>
        <w:rPr>
          <w:color w:val="221F1F"/>
          <w:spacing w:val="-3"/>
        </w:rPr>
        <w:t xml:space="preserve"> </w:t>
      </w:r>
      <w:r>
        <w:rPr>
          <w:color w:val="221F1F"/>
          <w:spacing w:val="-2"/>
        </w:rPr>
        <w:t>Contract</w:t>
      </w:r>
    </w:p>
    <w:p w:rsidR="007F6DF9" w:rsidRDefault="00A43FBC">
      <w:pPr>
        <w:pStyle w:val="BodyText"/>
        <w:spacing w:before="2"/>
        <w:rPr>
          <w:b/>
          <w:sz w:val="11"/>
        </w:rPr>
      </w:pPr>
      <w:r>
        <w:rPr>
          <w:b/>
          <w:noProof/>
          <w:sz w:val="11"/>
        </w:rPr>
        <mc:AlternateContent>
          <mc:Choice Requires="wps">
            <w:drawing>
              <wp:anchor distT="0" distB="0" distL="0" distR="0" simplePos="0" relativeHeight="487620096" behindDoc="1" locked="0" layoutInCell="1" allowOverlap="1">
                <wp:simplePos x="0" y="0"/>
                <wp:positionH relativeFrom="page">
                  <wp:posOffset>544068</wp:posOffset>
                </wp:positionH>
                <wp:positionV relativeFrom="paragraph">
                  <wp:posOffset>97188</wp:posOffset>
                </wp:positionV>
                <wp:extent cx="6186170" cy="127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6170" cy="1270"/>
                        </a:xfrm>
                        <a:custGeom>
                          <a:avLst/>
                          <a:gdLst/>
                          <a:ahLst/>
                          <a:cxnLst/>
                          <a:rect l="l" t="t" r="r" b="b"/>
                          <a:pathLst>
                            <a:path w="6186170">
                              <a:moveTo>
                                <a:pt x="0" y="0"/>
                              </a:moveTo>
                              <a:lnTo>
                                <a:pt x="6186067" y="0"/>
                              </a:lnTo>
                            </a:path>
                          </a:pathLst>
                        </a:custGeom>
                        <a:ln w="10346">
                          <a:solidFill>
                            <a:srgbClr val="211E1E"/>
                          </a:solidFill>
                          <a:prstDash val="sysDash"/>
                        </a:ln>
                      </wps:spPr>
                      <wps:bodyPr wrap="square" lIns="0" tIns="0" rIns="0" bIns="0" rtlCol="0">
                        <a:prstTxWarp prst="textNoShape">
                          <a:avLst/>
                        </a:prstTxWarp>
                        <a:noAutofit/>
                      </wps:bodyPr>
                    </wps:wsp>
                  </a:graphicData>
                </a:graphic>
              </wp:anchor>
            </w:drawing>
          </mc:Choice>
          <mc:Fallback>
            <w:pict>
              <v:shape w14:anchorId="127FE91F" id="Graphic 316" o:spid="_x0000_s1026" style="position:absolute;margin-left:42.85pt;margin-top:7.65pt;width:487.1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186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" path="m,l6186067,e" filled="f" strokecolor="#211e1e" strokeweight=".28739mm">
                <v:stroke dashstyle="3 1"/>
                <v:path arrowok="t"/>
                <w10:wrap type="topAndBottom" anchorx="page"/>
              </v:shape>
            </w:pict>
          </mc:Fallback>
        </mc:AlternateContent>
      </w:r>
    </w:p>
    <w:p w:rsidR="007F6DF9" w:rsidRDefault="007F6DF9">
      <w:pPr>
        <w:pStyle w:val="BodyText"/>
        <w:spacing w:before="70"/>
        <w:rPr>
          <w:b/>
        </w:rPr>
      </w:pPr>
    </w:p>
    <w:p w:rsidR="007F6DF9" w:rsidRDefault="00A43FBC">
      <w:pPr>
        <w:pStyle w:val="Heading8"/>
        <w:numPr>
          <w:ilvl w:val="0"/>
          <w:numId w:val="122"/>
        </w:numPr>
        <w:tabs>
          <w:tab w:val="left" w:pos="1282"/>
        </w:tabs>
      </w:pPr>
      <w:bookmarkStart w:id="53" w:name="_bookmark51"/>
      <w:bookmarkEnd w:id="53"/>
      <w:r>
        <w:rPr>
          <w:color w:val="221F1F"/>
          <w:spacing w:val="-2"/>
        </w:rPr>
        <w:t>GENERALPROVISIONS</w:t>
      </w:r>
    </w:p>
    <w:p w:rsidR="007F6DF9" w:rsidRDefault="00A43FBC">
      <w:pPr>
        <w:pStyle w:val="Heading9"/>
        <w:numPr>
          <w:ilvl w:val="1"/>
          <w:numId w:val="122"/>
        </w:numPr>
        <w:tabs>
          <w:tab w:val="left" w:pos="1265"/>
        </w:tabs>
        <w:spacing w:before="234"/>
        <w:ind w:left="1265" w:hanging="550"/>
        <w:rPr>
          <w:color w:val="221F1F"/>
        </w:rPr>
      </w:pPr>
      <w:r>
        <w:rPr>
          <w:color w:val="221F1F"/>
          <w:spacing w:val="-2"/>
        </w:rPr>
        <w:t>Definitions</w:t>
      </w:r>
    </w:p>
    <w:p w:rsidR="007F6DF9" w:rsidRDefault="00A43FBC">
      <w:pPr>
        <w:pStyle w:val="BodyText"/>
        <w:spacing w:before="243" w:line="230" w:lineRule="auto"/>
        <w:ind w:left="715" w:right="555"/>
        <w:jc w:val="both"/>
      </w:pPr>
      <w:r>
        <w:rPr>
          <w:color w:val="221F1F"/>
        </w:rPr>
        <w:t>In</w:t>
      </w:r>
      <w:r>
        <w:rPr>
          <w:color w:val="221F1F"/>
          <w:spacing w:val="-10"/>
        </w:rPr>
        <w:t xml:space="preserve"> </w:t>
      </w:r>
      <w:r>
        <w:rPr>
          <w:color w:val="221F1F"/>
        </w:rPr>
        <w:t>this</w:t>
      </w:r>
      <w:r>
        <w:rPr>
          <w:color w:val="221F1F"/>
          <w:spacing w:val="-9"/>
        </w:rPr>
        <w:t xml:space="preserve"> </w:t>
      </w:r>
      <w:r>
        <w:rPr>
          <w:color w:val="221F1F"/>
        </w:rPr>
        <w:t>Contract,</w:t>
      </w:r>
      <w:r>
        <w:rPr>
          <w:color w:val="221F1F"/>
          <w:spacing w:val="-10"/>
        </w:rPr>
        <w:t xml:space="preserve"> </w:t>
      </w:r>
      <w:r>
        <w:rPr>
          <w:color w:val="221F1F"/>
        </w:rPr>
        <w:t>except</w:t>
      </w:r>
      <w:r>
        <w:rPr>
          <w:color w:val="221F1F"/>
          <w:spacing w:val="-9"/>
        </w:rPr>
        <w:t xml:space="preserve"> </w:t>
      </w:r>
      <w:r>
        <w:rPr>
          <w:color w:val="221F1F"/>
        </w:rPr>
        <w:t>where</w:t>
      </w:r>
      <w:r>
        <w:rPr>
          <w:color w:val="221F1F"/>
          <w:spacing w:val="-10"/>
        </w:rPr>
        <w:t xml:space="preserve"> </w:t>
      </w:r>
      <w:r>
        <w:rPr>
          <w:color w:val="221F1F"/>
        </w:rPr>
        <w:t>context</w:t>
      </w:r>
      <w:r>
        <w:rPr>
          <w:color w:val="221F1F"/>
          <w:spacing w:val="-9"/>
        </w:rPr>
        <w:t xml:space="preserve"> </w:t>
      </w:r>
      <w:r>
        <w:rPr>
          <w:color w:val="221F1F"/>
        </w:rPr>
        <w:t>otherwise</w:t>
      </w:r>
      <w:r>
        <w:rPr>
          <w:color w:val="221F1F"/>
          <w:spacing w:val="-9"/>
        </w:rPr>
        <w:t xml:space="preserve"> </w:t>
      </w:r>
      <w:r>
        <w:rPr>
          <w:color w:val="221F1F"/>
        </w:rPr>
        <w:t>requires,</w:t>
      </w:r>
      <w:r>
        <w:rPr>
          <w:color w:val="221F1F"/>
          <w:spacing w:val="-10"/>
        </w:rPr>
        <w:t xml:space="preserve"> </w:t>
      </w:r>
      <w:r>
        <w:rPr>
          <w:color w:val="221F1F"/>
        </w:rPr>
        <w:t>the</w:t>
      </w:r>
      <w:r>
        <w:rPr>
          <w:color w:val="221F1F"/>
          <w:spacing w:val="-9"/>
        </w:rPr>
        <w:t xml:space="preserve"> </w:t>
      </w:r>
      <w:r>
        <w:rPr>
          <w:color w:val="221F1F"/>
        </w:rPr>
        <w:t>following</w:t>
      </w:r>
      <w:r>
        <w:rPr>
          <w:color w:val="221F1F"/>
          <w:spacing w:val="-12"/>
        </w:rPr>
        <w:t xml:space="preserve"> </w:t>
      </w:r>
      <w:r>
        <w:rPr>
          <w:color w:val="221F1F"/>
        </w:rPr>
        <w:t>terms</w:t>
      </w:r>
      <w:r>
        <w:rPr>
          <w:color w:val="221F1F"/>
          <w:spacing w:val="-10"/>
        </w:rPr>
        <w:t xml:space="preserve"> </w:t>
      </w:r>
      <w:r>
        <w:rPr>
          <w:color w:val="221F1F"/>
        </w:rPr>
        <w:t>shall</w:t>
      </w:r>
      <w:r>
        <w:rPr>
          <w:color w:val="221F1F"/>
          <w:spacing w:val="-14"/>
        </w:rPr>
        <w:t xml:space="preserve"> </w:t>
      </w:r>
      <w:r>
        <w:rPr>
          <w:color w:val="221F1F"/>
        </w:rPr>
        <w:t>be</w:t>
      </w:r>
      <w:r>
        <w:rPr>
          <w:color w:val="221F1F"/>
          <w:spacing w:val="-10"/>
        </w:rPr>
        <w:t xml:space="preserve"> </w:t>
      </w:r>
      <w:r>
        <w:rPr>
          <w:color w:val="221F1F"/>
        </w:rPr>
        <w:t>interpreted</w:t>
      </w:r>
      <w:r>
        <w:rPr>
          <w:color w:val="221F1F"/>
          <w:spacing w:val="-9"/>
        </w:rPr>
        <w:t xml:space="preserve"> </w:t>
      </w:r>
      <w:r>
        <w:rPr>
          <w:color w:val="221F1F"/>
        </w:rPr>
        <w:t>as</w:t>
      </w:r>
      <w:r>
        <w:rPr>
          <w:color w:val="221F1F"/>
          <w:spacing w:val="-12"/>
        </w:rPr>
        <w:t xml:space="preserve"> </w:t>
      </w:r>
      <w:r>
        <w:rPr>
          <w:color w:val="221F1F"/>
        </w:rPr>
        <w:t>indicated</w:t>
      </w:r>
      <w:r>
        <w:rPr>
          <w:color w:val="221F1F"/>
          <w:spacing w:val="-12"/>
        </w:rPr>
        <w:t xml:space="preserve"> </w:t>
      </w:r>
      <w:r>
        <w:rPr>
          <w:color w:val="221F1F"/>
        </w:rPr>
        <w:t>below. Words</w:t>
      </w:r>
      <w:r>
        <w:rPr>
          <w:color w:val="221F1F"/>
          <w:spacing w:val="-4"/>
        </w:rPr>
        <w:t xml:space="preserve"> </w:t>
      </w:r>
      <w:r>
        <w:rPr>
          <w:color w:val="221F1F"/>
        </w:rPr>
        <w:t xml:space="preserve">indicating persons or parties include corporations and other legal entities, except where the context requires </w:t>
      </w:r>
      <w:r>
        <w:rPr>
          <w:color w:val="221F1F"/>
          <w:spacing w:val="-2"/>
        </w:rPr>
        <w:t>otherwise.</w:t>
      </w:r>
    </w:p>
    <w:p w:rsidR="007F6DF9" w:rsidRDefault="00A43FBC">
      <w:pPr>
        <w:pStyle w:val="BodyText"/>
        <w:spacing w:before="246" w:line="230" w:lineRule="auto"/>
        <w:ind w:left="715" w:right="558" w:firstLine="86"/>
        <w:jc w:val="both"/>
      </w:pPr>
      <w:r>
        <w:rPr>
          <w:b/>
          <w:color w:val="221F1F"/>
        </w:rPr>
        <w:t xml:space="preserve">“Accepted Contract Amount” </w:t>
      </w:r>
      <w:r>
        <w:rPr>
          <w:color w:val="221F1F"/>
        </w:rPr>
        <w:t>means the amount accepted in the Letter of Acceptance for the execution and completion of the Works and the remedying of any defects.</w:t>
      </w:r>
    </w:p>
    <w:p w:rsidR="007F6DF9" w:rsidRDefault="00A43FBC">
      <w:pPr>
        <w:pStyle w:val="BodyText"/>
        <w:spacing w:before="236"/>
        <w:ind w:left="715"/>
      </w:pPr>
      <w:r>
        <w:rPr>
          <w:b/>
          <w:color w:val="221F1F"/>
        </w:rPr>
        <w:t>“Base</w:t>
      </w:r>
      <w:r>
        <w:rPr>
          <w:b/>
          <w:color w:val="221F1F"/>
          <w:spacing w:val="-5"/>
        </w:rPr>
        <w:t xml:space="preserve"> </w:t>
      </w:r>
      <w:r>
        <w:rPr>
          <w:b/>
          <w:color w:val="221F1F"/>
        </w:rPr>
        <w:t>Date”</w:t>
      </w:r>
      <w:r>
        <w:rPr>
          <w:b/>
          <w:color w:val="221F1F"/>
          <w:spacing w:val="-4"/>
        </w:rPr>
        <w:t xml:space="preserve"> </w:t>
      </w:r>
      <w:r>
        <w:rPr>
          <w:color w:val="221F1F"/>
        </w:rPr>
        <w:t>means</w:t>
      </w:r>
      <w:r>
        <w:rPr>
          <w:color w:val="221F1F"/>
          <w:spacing w:val="-2"/>
        </w:rPr>
        <w:t xml:space="preserve"> </w:t>
      </w:r>
      <w:r>
        <w:rPr>
          <w:color w:val="221F1F"/>
        </w:rPr>
        <w:t>a</w:t>
      </w:r>
      <w:r>
        <w:rPr>
          <w:color w:val="221F1F"/>
          <w:spacing w:val="-3"/>
        </w:rPr>
        <w:t xml:space="preserve"> </w:t>
      </w:r>
      <w:r>
        <w:rPr>
          <w:color w:val="221F1F"/>
        </w:rPr>
        <w:t>date</w:t>
      </w:r>
      <w:r>
        <w:rPr>
          <w:color w:val="221F1F"/>
          <w:spacing w:val="-7"/>
        </w:rPr>
        <w:t xml:space="preserve"> </w:t>
      </w:r>
      <w:r>
        <w:rPr>
          <w:color w:val="221F1F"/>
        </w:rPr>
        <w:t>30</w:t>
      </w:r>
      <w:r>
        <w:rPr>
          <w:color w:val="221F1F"/>
          <w:spacing w:val="-2"/>
        </w:rPr>
        <w:t xml:space="preserve"> </w:t>
      </w:r>
      <w:r>
        <w:rPr>
          <w:color w:val="221F1F"/>
        </w:rPr>
        <w:t>day</w:t>
      </w:r>
      <w:r>
        <w:rPr>
          <w:color w:val="221F1F"/>
          <w:spacing w:val="-2"/>
        </w:rPr>
        <w:t xml:space="preserve"> </w:t>
      </w:r>
      <w:r>
        <w:rPr>
          <w:color w:val="221F1F"/>
        </w:rPr>
        <w:t>prior</w:t>
      </w:r>
      <w:r>
        <w:rPr>
          <w:color w:val="221F1F"/>
          <w:spacing w:val="-4"/>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submission</w:t>
      </w:r>
      <w:r>
        <w:rPr>
          <w:color w:val="221F1F"/>
          <w:spacing w:val="-2"/>
        </w:rPr>
        <w:t xml:space="preserve"> </w:t>
      </w:r>
      <w:r>
        <w:rPr>
          <w:color w:val="221F1F"/>
        </w:rPr>
        <w:t>of</w:t>
      </w:r>
      <w:r>
        <w:rPr>
          <w:color w:val="221F1F"/>
          <w:spacing w:val="-4"/>
        </w:rPr>
        <w:t xml:space="preserve"> </w:t>
      </w:r>
      <w:r>
        <w:rPr>
          <w:color w:val="221F1F"/>
          <w:spacing w:val="-2"/>
        </w:rPr>
        <w:t>tenders.</w:t>
      </w:r>
    </w:p>
    <w:p w:rsidR="007F6DF9" w:rsidRDefault="00A43FBC">
      <w:pPr>
        <w:spacing w:before="234"/>
        <w:ind w:left="715"/>
      </w:pPr>
      <w:r>
        <w:rPr>
          <w:b/>
          <w:color w:val="221F1F"/>
        </w:rPr>
        <w:t>“Bill</w:t>
      </w:r>
      <w:r>
        <w:rPr>
          <w:b/>
          <w:color w:val="221F1F"/>
          <w:spacing w:val="-4"/>
        </w:rPr>
        <w:t xml:space="preserve"> </w:t>
      </w:r>
      <w:r>
        <w:rPr>
          <w:b/>
          <w:color w:val="221F1F"/>
        </w:rPr>
        <w:t>of</w:t>
      </w:r>
      <w:r>
        <w:rPr>
          <w:b/>
          <w:color w:val="221F1F"/>
          <w:spacing w:val="-5"/>
        </w:rPr>
        <w:t xml:space="preserve"> </w:t>
      </w:r>
      <w:r>
        <w:rPr>
          <w:b/>
          <w:color w:val="221F1F"/>
        </w:rPr>
        <w:t>Quantities”</w:t>
      </w:r>
      <w:r>
        <w:rPr>
          <w:b/>
          <w:color w:val="221F1F"/>
          <w:spacing w:val="-5"/>
        </w:rPr>
        <w:t xml:space="preserve"> </w:t>
      </w:r>
      <w:r>
        <w:rPr>
          <w:color w:val="221F1F"/>
        </w:rPr>
        <w:t>means</w:t>
      </w:r>
      <w:r>
        <w:rPr>
          <w:color w:val="221F1F"/>
          <w:spacing w:val="-5"/>
        </w:rPr>
        <w:t xml:space="preserve"> </w:t>
      </w:r>
      <w:r>
        <w:rPr>
          <w:color w:val="221F1F"/>
        </w:rPr>
        <w:t>the</w:t>
      </w:r>
      <w:r>
        <w:rPr>
          <w:color w:val="221F1F"/>
          <w:spacing w:val="-3"/>
        </w:rPr>
        <w:t xml:space="preserve"> </w:t>
      </w:r>
      <w:r>
        <w:rPr>
          <w:color w:val="221F1F"/>
        </w:rPr>
        <w:t>priced</w:t>
      </w:r>
      <w:r>
        <w:rPr>
          <w:color w:val="221F1F"/>
          <w:spacing w:val="-4"/>
        </w:rPr>
        <w:t xml:space="preserve"> </w:t>
      </w:r>
      <w:r>
        <w:rPr>
          <w:color w:val="221F1F"/>
        </w:rPr>
        <w:t>and</w:t>
      </w:r>
      <w:r>
        <w:rPr>
          <w:color w:val="221F1F"/>
          <w:spacing w:val="-3"/>
        </w:rPr>
        <w:t xml:space="preserve"> </w:t>
      </w:r>
      <w:r>
        <w:rPr>
          <w:color w:val="221F1F"/>
        </w:rPr>
        <w:t>completed</w:t>
      </w:r>
      <w:r>
        <w:rPr>
          <w:color w:val="221F1F"/>
          <w:spacing w:val="-5"/>
        </w:rPr>
        <w:t xml:space="preserve"> </w:t>
      </w:r>
      <w:r>
        <w:rPr>
          <w:color w:val="221F1F"/>
        </w:rPr>
        <w:t>Bill</w:t>
      </w:r>
      <w:r>
        <w:rPr>
          <w:color w:val="221F1F"/>
          <w:spacing w:val="-4"/>
        </w:rPr>
        <w:t xml:space="preserve"> </w:t>
      </w:r>
      <w:r>
        <w:rPr>
          <w:color w:val="221F1F"/>
        </w:rPr>
        <w:t>of</w:t>
      </w:r>
      <w:r>
        <w:rPr>
          <w:color w:val="221F1F"/>
          <w:spacing w:val="-2"/>
        </w:rPr>
        <w:t xml:space="preserve"> </w:t>
      </w:r>
      <w:r>
        <w:rPr>
          <w:color w:val="221F1F"/>
        </w:rPr>
        <w:t>Quantities</w:t>
      </w:r>
      <w:r>
        <w:rPr>
          <w:color w:val="221F1F"/>
          <w:spacing w:val="-3"/>
        </w:rPr>
        <w:t xml:space="preserve"> </w:t>
      </w:r>
      <w:r>
        <w:rPr>
          <w:color w:val="221F1F"/>
        </w:rPr>
        <w:t>forming</w:t>
      </w:r>
      <w:r>
        <w:rPr>
          <w:color w:val="221F1F"/>
          <w:spacing w:val="-5"/>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spacing w:val="-2"/>
        </w:rPr>
        <w:t>tender.</w:t>
      </w:r>
    </w:p>
    <w:p w:rsidR="007F6DF9" w:rsidRDefault="00A43FBC">
      <w:pPr>
        <w:spacing w:before="236"/>
        <w:ind w:left="715"/>
      </w:pPr>
      <w:r>
        <w:rPr>
          <w:b/>
          <w:color w:val="221F1F"/>
        </w:rPr>
        <w:t>“Completion</w:t>
      </w:r>
      <w:r>
        <w:rPr>
          <w:b/>
          <w:color w:val="221F1F"/>
          <w:spacing w:val="-9"/>
        </w:rPr>
        <w:t xml:space="preserve"> </w:t>
      </w:r>
      <w:r>
        <w:rPr>
          <w:b/>
          <w:color w:val="221F1F"/>
        </w:rPr>
        <w:t>Date”</w:t>
      </w:r>
      <w:r>
        <w:rPr>
          <w:b/>
          <w:color w:val="221F1F"/>
          <w:spacing w:val="-7"/>
        </w:rPr>
        <w:t xml:space="preserve"> </w:t>
      </w:r>
      <w:proofErr w:type="spellStart"/>
      <w:r>
        <w:rPr>
          <w:color w:val="221F1F"/>
          <w:spacing w:val="-2"/>
        </w:rPr>
        <w:t>meansthedateofcompletionoftheWorksascertifiedbytheEngineer</w:t>
      </w:r>
      <w:proofErr w:type="spellEnd"/>
      <w:r>
        <w:rPr>
          <w:color w:val="221F1F"/>
          <w:spacing w:val="-2"/>
        </w:rPr>
        <w:t>.</w:t>
      </w:r>
    </w:p>
    <w:p w:rsidR="007F6DF9" w:rsidRDefault="00A43FBC">
      <w:pPr>
        <w:pStyle w:val="BodyText"/>
        <w:spacing w:before="241" w:line="230" w:lineRule="auto"/>
        <w:ind w:left="715" w:right="558"/>
        <w:jc w:val="both"/>
      </w:pPr>
      <w:r>
        <w:rPr>
          <w:b/>
          <w:color w:val="221F1F"/>
        </w:rPr>
        <w:t>“Contract</w:t>
      </w:r>
      <w:r>
        <w:rPr>
          <w:b/>
          <w:color w:val="221F1F"/>
          <w:spacing w:val="-14"/>
        </w:rPr>
        <w:t xml:space="preserve"> </w:t>
      </w:r>
      <w:r>
        <w:rPr>
          <w:b/>
          <w:color w:val="221F1F"/>
        </w:rPr>
        <w:t>Price”</w:t>
      </w:r>
      <w:r>
        <w:rPr>
          <w:b/>
          <w:color w:val="221F1F"/>
          <w:spacing w:val="-14"/>
        </w:rPr>
        <w:t xml:space="preserve"> </w:t>
      </w:r>
      <w:r>
        <w:rPr>
          <w:color w:val="221F1F"/>
        </w:rPr>
        <w:t>means</w:t>
      </w:r>
      <w:r>
        <w:rPr>
          <w:color w:val="221F1F"/>
          <w:spacing w:val="-14"/>
        </w:rPr>
        <w:t xml:space="preserve"> </w:t>
      </w:r>
      <w:r>
        <w:rPr>
          <w:color w:val="221F1F"/>
        </w:rPr>
        <w:t>the</w:t>
      </w:r>
      <w:r>
        <w:rPr>
          <w:color w:val="221F1F"/>
          <w:spacing w:val="-13"/>
        </w:rPr>
        <w:t xml:space="preserve"> </w:t>
      </w:r>
      <w:r>
        <w:rPr>
          <w:color w:val="221F1F"/>
        </w:rPr>
        <w:t>price</w:t>
      </w:r>
      <w:r>
        <w:rPr>
          <w:color w:val="221F1F"/>
          <w:spacing w:val="-14"/>
        </w:rPr>
        <w:t xml:space="preserve"> </w:t>
      </w:r>
      <w:r>
        <w:rPr>
          <w:color w:val="221F1F"/>
        </w:rPr>
        <w:t>defined</w:t>
      </w:r>
      <w:r>
        <w:rPr>
          <w:color w:val="221F1F"/>
          <w:spacing w:val="-14"/>
        </w:rPr>
        <w:t xml:space="preserve"> </w:t>
      </w:r>
      <w:r>
        <w:rPr>
          <w:color w:val="221F1F"/>
        </w:rPr>
        <w:t>in</w:t>
      </w:r>
      <w:r>
        <w:rPr>
          <w:color w:val="221F1F"/>
          <w:spacing w:val="-14"/>
        </w:rPr>
        <w:t xml:space="preserve"> </w:t>
      </w:r>
      <w:r>
        <w:rPr>
          <w:color w:val="221F1F"/>
        </w:rPr>
        <w:t>the</w:t>
      </w:r>
      <w:r>
        <w:rPr>
          <w:color w:val="221F1F"/>
          <w:spacing w:val="-13"/>
        </w:rPr>
        <w:t xml:space="preserve"> </w:t>
      </w:r>
      <w:r>
        <w:rPr>
          <w:color w:val="221F1F"/>
        </w:rPr>
        <w:t>contract</w:t>
      </w:r>
      <w:r>
        <w:rPr>
          <w:color w:val="221F1F"/>
          <w:spacing w:val="-14"/>
        </w:rPr>
        <w:t xml:space="preserve"> </w:t>
      </w:r>
      <w:r>
        <w:rPr>
          <w:color w:val="221F1F"/>
        </w:rPr>
        <w:t>and</w:t>
      </w:r>
      <w:r>
        <w:rPr>
          <w:color w:val="221F1F"/>
          <w:spacing w:val="-14"/>
        </w:rPr>
        <w:t xml:space="preserve"> </w:t>
      </w:r>
      <w:proofErr w:type="spellStart"/>
      <w:r>
        <w:rPr>
          <w:color w:val="221F1F"/>
        </w:rPr>
        <w:t>there</w:t>
      </w:r>
      <w:r>
        <w:rPr>
          <w:color w:val="221F1F"/>
          <w:spacing w:val="-14"/>
        </w:rPr>
        <w:t xml:space="preserve"> </w:t>
      </w:r>
      <w:r>
        <w:rPr>
          <w:color w:val="221F1F"/>
        </w:rPr>
        <w:t>after</w:t>
      </w:r>
      <w:proofErr w:type="spellEnd"/>
      <w:r>
        <w:rPr>
          <w:color w:val="221F1F"/>
          <w:spacing w:val="-13"/>
        </w:rPr>
        <w:t xml:space="preserve"> </w:t>
      </w:r>
      <w:r>
        <w:rPr>
          <w:color w:val="221F1F"/>
        </w:rPr>
        <w:t>as</w:t>
      </w:r>
      <w:r>
        <w:rPr>
          <w:color w:val="221F1F"/>
          <w:spacing w:val="-14"/>
        </w:rPr>
        <w:t xml:space="preserve"> </w:t>
      </w:r>
      <w:r>
        <w:rPr>
          <w:color w:val="221F1F"/>
        </w:rPr>
        <w:t>adjusted</w:t>
      </w:r>
      <w:r>
        <w:rPr>
          <w:color w:val="221F1F"/>
          <w:spacing w:val="-14"/>
        </w:rPr>
        <w:t xml:space="preserve"> </w:t>
      </w:r>
      <w:r>
        <w:rPr>
          <w:color w:val="221F1F"/>
        </w:rPr>
        <w:t>in</w:t>
      </w:r>
      <w:r>
        <w:rPr>
          <w:color w:val="221F1F"/>
          <w:spacing w:val="-14"/>
        </w:rPr>
        <w:t xml:space="preserve"> </w:t>
      </w:r>
      <w:r>
        <w:rPr>
          <w:color w:val="221F1F"/>
        </w:rPr>
        <w:t>accordance</w:t>
      </w:r>
      <w:r>
        <w:rPr>
          <w:color w:val="221F1F"/>
          <w:spacing w:val="-13"/>
        </w:rPr>
        <w:t xml:space="preserve"> </w:t>
      </w:r>
      <w:r>
        <w:rPr>
          <w:color w:val="221F1F"/>
        </w:rPr>
        <w:t>with</w:t>
      </w:r>
      <w:r>
        <w:rPr>
          <w:color w:val="221F1F"/>
          <w:spacing w:val="-14"/>
        </w:rPr>
        <w:t xml:space="preserve"> </w:t>
      </w:r>
      <w:r>
        <w:rPr>
          <w:color w:val="221F1F"/>
        </w:rPr>
        <w:t>the</w:t>
      </w:r>
      <w:r>
        <w:rPr>
          <w:color w:val="221F1F"/>
          <w:spacing w:val="-14"/>
        </w:rPr>
        <w:t xml:space="preserve"> </w:t>
      </w:r>
      <w:r>
        <w:rPr>
          <w:color w:val="221F1F"/>
        </w:rPr>
        <w:t>provisions of the Contract.</w:t>
      </w:r>
    </w:p>
    <w:p w:rsidR="007F6DF9" w:rsidRDefault="00A43FBC">
      <w:pPr>
        <w:pStyle w:val="BodyText"/>
        <w:spacing w:before="244" w:line="230" w:lineRule="auto"/>
        <w:ind w:left="715" w:right="564"/>
        <w:jc w:val="both"/>
      </w:pPr>
      <w:r>
        <w:rPr>
          <w:b/>
          <w:color w:val="221F1F"/>
        </w:rPr>
        <w:t xml:space="preserve">“Contract” </w:t>
      </w:r>
      <w:r>
        <w:rPr>
          <w:color w:val="221F1F"/>
        </w:rPr>
        <w:t>means the agreement entered into between the Procuring Entity and the Contractor as recorded in the Agreement Form and signed by the parties including all attachments and appendices thereto and all documents incorporated by reference therein to execute, complete, and maintain the Works.</w:t>
      </w:r>
    </w:p>
    <w:p w:rsidR="007F6DF9" w:rsidRDefault="00A43FBC">
      <w:pPr>
        <w:pStyle w:val="BodyText"/>
        <w:spacing w:before="246" w:line="230" w:lineRule="auto"/>
        <w:ind w:left="715" w:right="564"/>
        <w:jc w:val="both"/>
      </w:pPr>
      <w:r>
        <w:rPr>
          <w:b/>
          <w:color w:val="221F1F"/>
        </w:rPr>
        <w:t xml:space="preserve">“Contractor's Documents” </w:t>
      </w:r>
      <w:r>
        <w:rPr>
          <w:color w:val="221F1F"/>
        </w:rPr>
        <w:t xml:space="preserve">means the calculations, computer programs and other software, progress reports, drawings, manuals, models and other documents of a technical nature (if any) supplied by the Contractor under the </w:t>
      </w:r>
      <w:r>
        <w:rPr>
          <w:color w:val="221F1F"/>
          <w:spacing w:val="-2"/>
        </w:rPr>
        <w:t>Contract.</w:t>
      </w:r>
    </w:p>
    <w:p w:rsidR="007F6DF9" w:rsidRDefault="00A43FBC">
      <w:pPr>
        <w:pStyle w:val="BodyText"/>
        <w:spacing w:before="245" w:line="230" w:lineRule="auto"/>
        <w:ind w:left="715" w:right="558"/>
        <w:jc w:val="both"/>
      </w:pPr>
      <w:r>
        <w:rPr>
          <w:b/>
          <w:color w:val="221F1F"/>
        </w:rPr>
        <w:t xml:space="preserve">“Contractor's Equipment” </w:t>
      </w:r>
      <w:r>
        <w:rPr>
          <w:color w:val="221F1F"/>
        </w:rPr>
        <w:t>means all apparatus, machinery, vehicles and other things required for the execution and completion of the Works and the remedying of any defects. However, Contractor's Equipment excludes Temporary Works,</w:t>
      </w:r>
      <w:r>
        <w:rPr>
          <w:color w:val="221F1F"/>
          <w:spacing w:val="-3"/>
        </w:rPr>
        <w:t xml:space="preserve"> </w:t>
      </w:r>
      <w:r>
        <w:rPr>
          <w:color w:val="221F1F"/>
        </w:rPr>
        <w:t>Procuring Entity's Equipment (if any), Plant, Materials and any other things intended to form or forming part of the Permanent Works.</w:t>
      </w:r>
    </w:p>
    <w:p w:rsidR="007F6DF9" w:rsidRDefault="00A43FBC">
      <w:pPr>
        <w:pStyle w:val="BodyText"/>
        <w:spacing w:before="246" w:line="230" w:lineRule="auto"/>
        <w:ind w:left="715" w:right="557"/>
        <w:jc w:val="both"/>
      </w:pPr>
      <w:r>
        <w:rPr>
          <w:b/>
          <w:color w:val="221F1F"/>
        </w:rPr>
        <w:t>“</w:t>
      </w:r>
      <w:proofErr w:type="spellStart"/>
      <w:r>
        <w:rPr>
          <w:b/>
          <w:color w:val="221F1F"/>
        </w:rPr>
        <w:t>Contractor'sPersonnel</w:t>
      </w:r>
      <w:proofErr w:type="spellEnd"/>
      <w:r>
        <w:rPr>
          <w:b/>
          <w:color w:val="221F1F"/>
        </w:rPr>
        <w:t>”</w:t>
      </w:r>
      <w:r>
        <w:rPr>
          <w:b/>
          <w:color w:val="221F1F"/>
          <w:spacing w:val="-6"/>
        </w:rPr>
        <w:t xml:space="preserve"> </w:t>
      </w:r>
      <w:r>
        <w:rPr>
          <w:color w:val="221F1F"/>
        </w:rPr>
        <w:t>means</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1"/>
        </w:rPr>
        <w:t xml:space="preserve"> </w:t>
      </w:r>
      <w:r>
        <w:rPr>
          <w:color w:val="221F1F"/>
        </w:rPr>
        <w:t>Representative</w:t>
      </w:r>
      <w:r>
        <w:rPr>
          <w:color w:val="221F1F"/>
          <w:spacing w:val="-3"/>
        </w:rPr>
        <w:t xml:space="preserve"> </w:t>
      </w:r>
      <w:r>
        <w:rPr>
          <w:color w:val="221F1F"/>
        </w:rPr>
        <w:t>and</w:t>
      </w:r>
      <w:r>
        <w:rPr>
          <w:color w:val="221F1F"/>
          <w:spacing w:val="-4"/>
        </w:rPr>
        <w:t xml:space="preserve"> </w:t>
      </w:r>
      <w:r>
        <w:rPr>
          <w:color w:val="221F1F"/>
        </w:rPr>
        <w:t>all</w:t>
      </w:r>
      <w:r>
        <w:rPr>
          <w:color w:val="221F1F"/>
          <w:spacing w:val="-1"/>
        </w:rPr>
        <w:t xml:space="preserve"> </w:t>
      </w:r>
      <w:r>
        <w:rPr>
          <w:color w:val="221F1F"/>
        </w:rPr>
        <w:t>personnel</w:t>
      </w:r>
      <w:r>
        <w:rPr>
          <w:color w:val="221F1F"/>
          <w:spacing w:val="-2"/>
        </w:rPr>
        <w:t xml:space="preserve"> </w:t>
      </w:r>
      <w:r>
        <w:rPr>
          <w:color w:val="221F1F"/>
        </w:rPr>
        <w:t>whom</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1"/>
        </w:rPr>
        <w:t xml:space="preserve"> </w:t>
      </w:r>
      <w:r>
        <w:rPr>
          <w:color w:val="221F1F"/>
        </w:rPr>
        <w:t>utilizes</w:t>
      </w:r>
      <w:r>
        <w:rPr>
          <w:color w:val="221F1F"/>
          <w:spacing w:val="-4"/>
        </w:rPr>
        <w:t xml:space="preserve"> </w:t>
      </w:r>
      <w:r>
        <w:rPr>
          <w:color w:val="221F1F"/>
        </w:rPr>
        <w:t>on Site, who may include the staff, labor and other employees of the Contractor and of each Subcontractor; and any other personnel assisting the Contractor in the execution of the Works.</w:t>
      </w:r>
    </w:p>
    <w:p w:rsidR="007F6DF9" w:rsidRDefault="00A43FBC">
      <w:pPr>
        <w:pStyle w:val="BodyText"/>
        <w:spacing w:before="244" w:line="230" w:lineRule="auto"/>
        <w:ind w:left="715" w:right="558"/>
        <w:jc w:val="both"/>
      </w:pPr>
      <w:r>
        <w:rPr>
          <w:b/>
          <w:color w:val="221F1F"/>
        </w:rPr>
        <w:t xml:space="preserve">“Contractor's Representative” </w:t>
      </w:r>
      <w:r>
        <w:rPr>
          <w:color w:val="221F1F"/>
        </w:rPr>
        <w:t xml:space="preserve">means the person named by the Contractor in the Contractor appointed from time to </w:t>
      </w:r>
      <w:proofErr w:type="spellStart"/>
      <w:r>
        <w:rPr>
          <w:color w:val="221F1F"/>
        </w:rPr>
        <w:t>timeby</w:t>
      </w:r>
      <w:proofErr w:type="spellEnd"/>
      <w:r>
        <w:rPr>
          <w:color w:val="221F1F"/>
        </w:rPr>
        <w:t xml:space="preserve"> the Contractor who acts on behalf of the Contractor.</w:t>
      </w:r>
    </w:p>
    <w:p w:rsidR="007F6DF9" w:rsidRDefault="00A43FBC">
      <w:pPr>
        <w:pStyle w:val="BodyText"/>
        <w:spacing w:before="235"/>
        <w:ind w:left="715"/>
      </w:pPr>
      <w:r>
        <w:rPr>
          <w:b/>
          <w:color w:val="221F1F"/>
        </w:rPr>
        <w:t>“Contractor”</w:t>
      </w:r>
      <w:r>
        <w:rPr>
          <w:b/>
          <w:color w:val="221F1F"/>
          <w:spacing w:val="-5"/>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person(s)</w:t>
      </w:r>
      <w:r>
        <w:rPr>
          <w:color w:val="221F1F"/>
          <w:spacing w:val="-3"/>
        </w:rPr>
        <w:t xml:space="preserve"> </w:t>
      </w:r>
      <w:r>
        <w:rPr>
          <w:color w:val="221F1F"/>
        </w:rPr>
        <w:t>named</w:t>
      </w:r>
      <w:r>
        <w:rPr>
          <w:color w:val="221F1F"/>
          <w:spacing w:val="-5"/>
        </w:rPr>
        <w:t xml:space="preserve"> </w:t>
      </w:r>
      <w:r>
        <w:rPr>
          <w:color w:val="221F1F"/>
        </w:rPr>
        <w:t>as</w:t>
      </w:r>
      <w:r>
        <w:rPr>
          <w:color w:val="221F1F"/>
          <w:spacing w:val="-4"/>
        </w:rPr>
        <w:t xml:space="preserve"> </w:t>
      </w:r>
      <w:r>
        <w:rPr>
          <w:color w:val="221F1F"/>
        </w:rPr>
        <w:t>contractor</w:t>
      </w:r>
      <w:r>
        <w:rPr>
          <w:color w:val="221F1F"/>
          <w:spacing w:val="-3"/>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Form</w:t>
      </w:r>
      <w:r>
        <w:rPr>
          <w:color w:val="221F1F"/>
          <w:spacing w:val="-2"/>
        </w:rPr>
        <w:t xml:space="preserve"> </w:t>
      </w:r>
      <w:r>
        <w:rPr>
          <w:color w:val="221F1F"/>
        </w:rPr>
        <w:t>of</w:t>
      </w:r>
      <w:r>
        <w:rPr>
          <w:color w:val="221F1F"/>
          <w:spacing w:val="-2"/>
        </w:rPr>
        <w:t xml:space="preserve"> </w:t>
      </w:r>
      <w:r>
        <w:rPr>
          <w:color w:val="221F1F"/>
        </w:rPr>
        <w:t>Tender</w:t>
      </w:r>
      <w:r>
        <w:rPr>
          <w:color w:val="221F1F"/>
          <w:spacing w:val="-5"/>
        </w:rPr>
        <w:t xml:space="preserve"> </w:t>
      </w:r>
      <w:r>
        <w:rPr>
          <w:color w:val="221F1F"/>
        </w:rPr>
        <w:t>accepted</w:t>
      </w:r>
      <w:r>
        <w:rPr>
          <w:color w:val="221F1F"/>
          <w:spacing w:val="-3"/>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Procuring</w:t>
      </w:r>
      <w:r>
        <w:rPr>
          <w:color w:val="221F1F"/>
          <w:spacing w:val="-2"/>
        </w:rPr>
        <w:t xml:space="preserve"> Entity.</w:t>
      </w:r>
    </w:p>
    <w:p w:rsidR="007F6DF9" w:rsidRDefault="00A43FBC">
      <w:pPr>
        <w:pStyle w:val="BodyText"/>
        <w:spacing w:before="243" w:line="230" w:lineRule="auto"/>
        <w:ind w:left="713" w:right="559"/>
        <w:jc w:val="both"/>
      </w:pPr>
      <w:r>
        <w:rPr>
          <w:b/>
          <w:color w:val="221F1F"/>
        </w:rPr>
        <w:t xml:space="preserve">“Cost” </w:t>
      </w:r>
      <w:r>
        <w:rPr>
          <w:color w:val="221F1F"/>
        </w:rPr>
        <w:t>means expenditure reasonably incurred (or to be incurred) by the Contractor, whether on or off the Site, including overhead and similar charges, but does not include profit.</w:t>
      </w:r>
    </w:p>
    <w:p w:rsidR="007F6DF9" w:rsidRDefault="00A43FBC">
      <w:pPr>
        <w:spacing w:before="236"/>
        <w:ind w:left="713"/>
      </w:pPr>
      <w:r>
        <w:rPr>
          <w:b/>
          <w:color w:val="221F1F"/>
        </w:rPr>
        <w:t>“Day”</w:t>
      </w:r>
      <w:r>
        <w:rPr>
          <w:b/>
          <w:color w:val="221F1F"/>
          <w:spacing w:val="-3"/>
        </w:rPr>
        <w:t xml:space="preserve"> </w:t>
      </w:r>
      <w:r>
        <w:rPr>
          <w:color w:val="221F1F"/>
        </w:rPr>
        <w:t>means</w:t>
      </w:r>
      <w:r>
        <w:rPr>
          <w:color w:val="221F1F"/>
          <w:spacing w:val="-4"/>
        </w:rPr>
        <w:t xml:space="preserve"> </w:t>
      </w:r>
      <w:r>
        <w:rPr>
          <w:color w:val="221F1F"/>
        </w:rPr>
        <w:t>a</w:t>
      </w:r>
      <w:r>
        <w:rPr>
          <w:color w:val="221F1F"/>
          <w:spacing w:val="-2"/>
        </w:rPr>
        <w:t xml:space="preserve"> </w:t>
      </w:r>
      <w:r>
        <w:rPr>
          <w:color w:val="221F1F"/>
        </w:rPr>
        <w:t>calendar</w:t>
      </w:r>
      <w:r>
        <w:rPr>
          <w:color w:val="221F1F"/>
          <w:spacing w:val="-4"/>
        </w:rPr>
        <w:t xml:space="preserve"> </w:t>
      </w:r>
      <w:r>
        <w:rPr>
          <w:color w:val="221F1F"/>
        </w:rPr>
        <w:t>day</w:t>
      </w:r>
      <w:r>
        <w:rPr>
          <w:color w:val="221F1F"/>
          <w:spacing w:val="-2"/>
        </w:rPr>
        <w:t xml:space="preserve"> </w:t>
      </w:r>
      <w:r>
        <w:rPr>
          <w:color w:val="221F1F"/>
        </w:rPr>
        <w:t xml:space="preserve">and </w:t>
      </w:r>
      <w:r>
        <w:rPr>
          <w:b/>
          <w:color w:val="221F1F"/>
        </w:rPr>
        <w:t>“year”</w:t>
      </w:r>
      <w:r>
        <w:rPr>
          <w:b/>
          <w:color w:val="221F1F"/>
          <w:spacing w:val="-4"/>
        </w:rPr>
        <w:t xml:space="preserve"> </w:t>
      </w:r>
      <w:r>
        <w:rPr>
          <w:color w:val="221F1F"/>
        </w:rPr>
        <w:t>means</w:t>
      </w:r>
      <w:r>
        <w:rPr>
          <w:color w:val="221F1F"/>
          <w:spacing w:val="-2"/>
        </w:rPr>
        <w:t xml:space="preserve"> </w:t>
      </w:r>
      <w:r>
        <w:rPr>
          <w:color w:val="221F1F"/>
        </w:rPr>
        <w:t>365</w:t>
      </w:r>
      <w:r>
        <w:rPr>
          <w:color w:val="221F1F"/>
          <w:spacing w:val="-2"/>
        </w:rPr>
        <w:t xml:space="preserve"> days.</w:t>
      </w:r>
    </w:p>
    <w:p w:rsidR="007F6DF9" w:rsidRDefault="00A43FBC">
      <w:pPr>
        <w:pStyle w:val="BodyText"/>
        <w:spacing w:before="234"/>
        <w:ind w:left="713"/>
      </w:pPr>
      <w:r>
        <w:rPr>
          <w:b/>
          <w:color w:val="221F1F"/>
        </w:rPr>
        <w:t>“</w:t>
      </w:r>
      <w:proofErr w:type="spellStart"/>
      <w:r>
        <w:rPr>
          <w:b/>
          <w:color w:val="221F1F"/>
        </w:rPr>
        <w:t>Dayworks</w:t>
      </w:r>
      <w:proofErr w:type="spellEnd"/>
      <w:r>
        <w:rPr>
          <w:b/>
          <w:color w:val="221F1F"/>
        </w:rPr>
        <w:t>”</w:t>
      </w:r>
      <w:r>
        <w:rPr>
          <w:b/>
          <w:color w:val="221F1F"/>
          <w:spacing w:val="-7"/>
        </w:rPr>
        <w:t xml:space="preserve"> </w:t>
      </w:r>
      <w:r>
        <w:rPr>
          <w:color w:val="221F1F"/>
        </w:rPr>
        <w:t>means</w:t>
      </w:r>
      <w:r>
        <w:rPr>
          <w:color w:val="221F1F"/>
          <w:spacing w:val="-3"/>
        </w:rPr>
        <w:t xml:space="preserve"> </w:t>
      </w:r>
      <w:r>
        <w:rPr>
          <w:color w:val="221F1F"/>
        </w:rPr>
        <w:t>Work</w:t>
      </w:r>
      <w:r>
        <w:rPr>
          <w:color w:val="221F1F"/>
          <w:spacing w:val="-6"/>
        </w:rPr>
        <w:t xml:space="preserve"> </w:t>
      </w:r>
      <w:r>
        <w:rPr>
          <w:color w:val="221F1F"/>
        </w:rPr>
        <w:t>inputs</w:t>
      </w:r>
      <w:r>
        <w:rPr>
          <w:color w:val="221F1F"/>
          <w:spacing w:val="-3"/>
        </w:rPr>
        <w:t xml:space="preserve"> </w:t>
      </w:r>
      <w:r>
        <w:rPr>
          <w:color w:val="221F1F"/>
        </w:rPr>
        <w:t>subject</w:t>
      </w:r>
      <w:r>
        <w:rPr>
          <w:color w:val="221F1F"/>
          <w:spacing w:val="-5"/>
        </w:rPr>
        <w:t xml:space="preserve"> </w:t>
      </w:r>
      <w:r>
        <w:rPr>
          <w:color w:val="221F1F"/>
        </w:rPr>
        <w:t>to</w:t>
      </w:r>
      <w:r>
        <w:rPr>
          <w:color w:val="221F1F"/>
          <w:spacing w:val="-3"/>
        </w:rPr>
        <w:t xml:space="preserve"> </w:t>
      </w:r>
      <w:r>
        <w:rPr>
          <w:color w:val="221F1F"/>
        </w:rPr>
        <w:t>payment</w:t>
      </w:r>
      <w:r>
        <w:rPr>
          <w:color w:val="221F1F"/>
          <w:spacing w:val="-4"/>
        </w:rPr>
        <w:t xml:space="preserve"> </w:t>
      </w:r>
      <w:r>
        <w:rPr>
          <w:color w:val="221F1F"/>
        </w:rPr>
        <w:t>on</w:t>
      </w:r>
      <w:r>
        <w:rPr>
          <w:color w:val="221F1F"/>
          <w:spacing w:val="-3"/>
        </w:rPr>
        <w:t xml:space="preserve"> </w:t>
      </w:r>
      <w:r>
        <w:rPr>
          <w:color w:val="221F1F"/>
        </w:rPr>
        <w:t>a</w:t>
      </w:r>
      <w:r>
        <w:rPr>
          <w:color w:val="221F1F"/>
          <w:spacing w:val="-3"/>
        </w:rPr>
        <w:t xml:space="preserve"> </w:t>
      </w:r>
      <w:r>
        <w:rPr>
          <w:color w:val="221F1F"/>
        </w:rPr>
        <w:t>time</w:t>
      </w:r>
      <w:r>
        <w:rPr>
          <w:color w:val="221F1F"/>
          <w:spacing w:val="-4"/>
        </w:rPr>
        <w:t xml:space="preserve"> </w:t>
      </w:r>
      <w:r>
        <w:rPr>
          <w:color w:val="221F1F"/>
        </w:rPr>
        <w:t>basis</w:t>
      </w:r>
      <w:r>
        <w:rPr>
          <w:color w:val="221F1F"/>
          <w:spacing w:val="-5"/>
        </w:rPr>
        <w:t xml:space="preserve"> </w:t>
      </w:r>
      <w:r>
        <w:rPr>
          <w:color w:val="221F1F"/>
        </w:rPr>
        <w:t>for</w:t>
      </w:r>
      <w:r>
        <w:rPr>
          <w:color w:val="221F1F"/>
          <w:spacing w:val="-3"/>
        </w:rPr>
        <w:t xml:space="preserve"> </w:t>
      </w:r>
      <w:proofErr w:type="spellStart"/>
      <w:r>
        <w:rPr>
          <w:color w:val="221F1F"/>
        </w:rPr>
        <w:t>labour</w:t>
      </w:r>
      <w:proofErr w:type="spellEnd"/>
      <w:r>
        <w:rPr>
          <w:color w:val="221F1F"/>
          <w:spacing w:val="-3"/>
        </w:rPr>
        <w:t xml:space="preserve"> </w:t>
      </w:r>
      <w:r>
        <w:rPr>
          <w:color w:val="221F1F"/>
        </w:rPr>
        <w:t>and</w:t>
      </w:r>
      <w:r>
        <w:rPr>
          <w:color w:val="221F1F"/>
          <w:spacing w:val="-3"/>
        </w:rPr>
        <w:t xml:space="preserve"> </w:t>
      </w:r>
      <w:r>
        <w:rPr>
          <w:color w:val="221F1F"/>
        </w:rPr>
        <w:t>the</w:t>
      </w:r>
      <w:r>
        <w:rPr>
          <w:color w:val="221F1F"/>
          <w:spacing w:val="-5"/>
        </w:rPr>
        <w:t xml:space="preserve"> </w:t>
      </w:r>
      <w:r>
        <w:rPr>
          <w:color w:val="221F1F"/>
        </w:rPr>
        <w:t>associated</w:t>
      </w:r>
      <w:r>
        <w:rPr>
          <w:color w:val="221F1F"/>
          <w:spacing w:val="-3"/>
        </w:rPr>
        <w:t xml:space="preserve"> </w:t>
      </w:r>
      <w:r>
        <w:rPr>
          <w:color w:val="221F1F"/>
        </w:rPr>
        <w:t>materials</w:t>
      </w:r>
      <w:r>
        <w:rPr>
          <w:color w:val="221F1F"/>
          <w:spacing w:val="-3"/>
        </w:rPr>
        <w:t xml:space="preserve"> </w:t>
      </w:r>
      <w:r>
        <w:rPr>
          <w:color w:val="221F1F"/>
        </w:rPr>
        <w:t>and</w:t>
      </w:r>
      <w:r>
        <w:rPr>
          <w:color w:val="221F1F"/>
          <w:spacing w:val="-3"/>
        </w:rPr>
        <w:t xml:space="preserve"> </w:t>
      </w:r>
      <w:r>
        <w:rPr>
          <w:color w:val="221F1F"/>
          <w:spacing w:val="-2"/>
        </w:rPr>
        <w:t>plant.</w:t>
      </w:r>
    </w:p>
    <w:p w:rsidR="007F6DF9" w:rsidRDefault="007F6DF9">
      <w:pPr>
        <w:pStyle w:val="BodyText"/>
        <w:sectPr w:rsidR="007F6DF9">
          <w:pgSz w:w="11920" w:h="16850"/>
          <w:pgMar w:top="360" w:right="283" w:bottom="620" w:left="141" w:header="0" w:footer="437" w:gutter="0"/>
          <w:pgNumType w:start="74"/>
          <w:cols w:space="720"/>
        </w:sectPr>
      </w:pPr>
    </w:p>
    <w:p w:rsidR="007F6DF9" w:rsidRDefault="007F6DF9">
      <w:pPr>
        <w:pStyle w:val="BodyText"/>
        <w:spacing w:before="211"/>
      </w:pPr>
    </w:p>
    <w:p w:rsidR="007F6DF9" w:rsidRDefault="00A43FBC">
      <w:pPr>
        <w:pStyle w:val="BodyText"/>
        <w:ind w:left="711"/>
      </w:pPr>
      <w:r>
        <w:rPr>
          <w:b/>
          <w:color w:val="221F1F"/>
        </w:rPr>
        <w:t>“Defect”</w:t>
      </w:r>
      <w:r>
        <w:rPr>
          <w:b/>
          <w:color w:val="221F1F"/>
          <w:spacing w:val="-7"/>
        </w:rPr>
        <w:t xml:space="preserve"> </w:t>
      </w:r>
      <w:r>
        <w:rPr>
          <w:color w:val="221F1F"/>
        </w:rPr>
        <w:t>means</w:t>
      </w:r>
      <w:r>
        <w:rPr>
          <w:color w:val="221F1F"/>
          <w:spacing w:val="-3"/>
        </w:rPr>
        <w:t xml:space="preserve"> </w:t>
      </w:r>
      <w:r>
        <w:rPr>
          <w:color w:val="221F1F"/>
        </w:rPr>
        <w:t>any</w:t>
      </w:r>
      <w:r>
        <w:rPr>
          <w:color w:val="221F1F"/>
          <w:spacing w:val="-3"/>
        </w:rPr>
        <w:t xml:space="preserve"> </w:t>
      </w:r>
      <w:r>
        <w:rPr>
          <w:color w:val="221F1F"/>
        </w:rPr>
        <w:t>part</w:t>
      </w:r>
      <w:r>
        <w:rPr>
          <w:color w:val="221F1F"/>
          <w:spacing w:val="-1"/>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2"/>
        </w:rPr>
        <w:t xml:space="preserve"> </w:t>
      </w:r>
      <w:r>
        <w:rPr>
          <w:color w:val="221F1F"/>
        </w:rPr>
        <w:t>not</w:t>
      </w:r>
      <w:r>
        <w:rPr>
          <w:color w:val="221F1F"/>
          <w:spacing w:val="-2"/>
        </w:rPr>
        <w:t xml:space="preserve"> </w:t>
      </w:r>
      <w:r>
        <w:rPr>
          <w:color w:val="221F1F"/>
        </w:rPr>
        <w:t>completed</w:t>
      </w:r>
      <w:r>
        <w:rPr>
          <w:color w:val="221F1F"/>
          <w:spacing w:val="-5"/>
        </w:rPr>
        <w:t xml:space="preserve"> </w:t>
      </w:r>
      <w:r>
        <w:rPr>
          <w:color w:val="221F1F"/>
        </w:rPr>
        <w:t>in</w:t>
      </w:r>
      <w:r>
        <w:rPr>
          <w:color w:val="221F1F"/>
          <w:spacing w:val="-2"/>
        </w:rPr>
        <w:t xml:space="preserve"> </w:t>
      </w:r>
      <w:r>
        <w:rPr>
          <w:color w:val="221F1F"/>
        </w:rPr>
        <w:t>accordance</w:t>
      </w:r>
      <w:r>
        <w:rPr>
          <w:color w:val="221F1F"/>
          <w:spacing w:val="-3"/>
        </w:rPr>
        <w:t xml:space="preserve"> </w:t>
      </w:r>
      <w:r>
        <w:rPr>
          <w:color w:val="221F1F"/>
        </w:rPr>
        <w:t>with</w:t>
      </w:r>
      <w:r>
        <w:rPr>
          <w:color w:val="221F1F"/>
          <w:spacing w:val="-6"/>
        </w:rPr>
        <w:t xml:space="preserve"> </w:t>
      </w:r>
      <w:r>
        <w:rPr>
          <w:color w:val="221F1F"/>
        </w:rPr>
        <w:t>the</w:t>
      </w:r>
      <w:r>
        <w:rPr>
          <w:color w:val="221F1F"/>
          <w:spacing w:val="-2"/>
        </w:rPr>
        <w:t xml:space="preserve"> Contract.</w:t>
      </w:r>
    </w:p>
    <w:p w:rsidR="007F6DF9" w:rsidRDefault="00A43FBC">
      <w:pPr>
        <w:spacing w:before="237"/>
        <w:ind w:left="711"/>
      </w:pPr>
      <w:r>
        <w:rPr>
          <w:b/>
          <w:color w:val="221F1F"/>
        </w:rPr>
        <w:t>“Defects</w:t>
      </w:r>
      <w:r>
        <w:rPr>
          <w:b/>
          <w:color w:val="221F1F"/>
          <w:spacing w:val="-6"/>
        </w:rPr>
        <w:t xml:space="preserve"> </w:t>
      </w:r>
      <w:r>
        <w:rPr>
          <w:b/>
          <w:color w:val="221F1F"/>
        </w:rPr>
        <w:t>Liability</w:t>
      </w:r>
      <w:r>
        <w:rPr>
          <w:b/>
          <w:color w:val="221F1F"/>
          <w:spacing w:val="-6"/>
        </w:rPr>
        <w:t xml:space="preserve"> </w:t>
      </w:r>
      <w:r>
        <w:rPr>
          <w:b/>
          <w:color w:val="221F1F"/>
        </w:rPr>
        <w:t>Certificate”</w:t>
      </w:r>
      <w:r>
        <w:rPr>
          <w:b/>
          <w:color w:val="221F1F"/>
          <w:spacing w:val="-7"/>
        </w:rPr>
        <w:t xml:space="preserve"> </w:t>
      </w:r>
      <w:r>
        <w:rPr>
          <w:color w:val="221F1F"/>
        </w:rPr>
        <w:t>means</w:t>
      </w:r>
      <w:r>
        <w:rPr>
          <w:color w:val="221F1F"/>
          <w:spacing w:val="-8"/>
        </w:rPr>
        <w:t xml:space="preserve"> </w:t>
      </w:r>
      <w:r>
        <w:rPr>
          <w:color w:val="221F1F"/>
        </w:rPr>
        <w:t>the</w:t>
      </w:r>
      <w:r>
        <w:rPr>
          <w:color w:val="221F1F"/>
          <w:spacing w:val="-6"/>
        </w:rPr>
        <w:t xml:space="preserve"> </w:t>
      </w:r>
      <w:r>
        <w:rPr>
          <w:color w:val="221F1F"/>
        </w:rPr>
        <w:t>certificate</w:t>
      </w:r>
      <w:r>
        <w:rPr>
          <w:color w:val="221F1F"/>
          <w:spacing w:val="-5"/>
        </w:rPr>
        <w:t xml:space="preserve"> </w:t>
      </w:r>
      <w:r>
        <w:rPr>
          <w:color w:val="221F1F"/>
        </w:rPr>
        <w:t>issued</w:t>
      </w:r>
      <w:r>
        <w:rPr>
          <w:color w:val="221F1F"/>
          <w:spacing w:val="-6"/>
        </w:rPr>
        <w:t xml:space="preserve"> </w:t>
      </w:r>
      <w:r>
        <w:rPr>
          <w:color w:val="221F1F"/>
        </w:rPr>
        <w:t>by</w:t>
      </w:r>
      <w:r>
        <w:rPr>
          <w:color w:val="221F1F"/>
          <w:spacing w:val="-6"/>
        </w:rPr>
        <w:t xml:space="preserve"> </w:t>
      </w:r>
      <w:r>
        <w:rPr>
          <w:color w:val="221F1F"/>
        </w:rPr>
        <w:t>Architect</w:t>
      </w:r>
      <w:r>
        <w:rPr>
          <w:color w:val="221F1F"/>
          <w:spacing w:val="-8"/>
        </w:rPr>
        <w:t xml:space="preserve"> </w:t>
      </w:r>
      <w:r>
        <w:rPr>
          <w:color w:val="221F1F"/>
        </w:rPr>
        <w:t>upon</w:t>
      </w:r>
      <w:r>
        <w:rPr>
          <w:color w:val="221F1F"/>
          <w:spacing w:val="-8"/>
        </w:rPr>
        <w:t xml:space="preserve"> </w:t>
      </w:r>
      <w:r>
        <w:rPr>
          <w:color w:val="221F1F"/>
        </w:rPr>
        <w:t>correction</w:t>
      </w:r>
      <w:r>
        <w:rPr>
          <w:color w:val="221F1F"/>
          <w:spacing w:val="-6"/>
        </w:rPr>
        <w:t xml:space="preserve"> </w:t>
      </w:r>
      <w:r>
        <w:rPr>
          <w:color w:val="221F1F"/>
        </w:rPr>
        <w:t>of</w:t>
      </w:r>
      <w:r>
        <w:rPr>
          <w:color w:val="221F1F"/>
          <w:spacing w:val="-2"/>
        </w:rPr>
        <w:t xml:space="preserve"> </w:t>
      </w:r>
      <w:r>
        <w:rPr>
          <w:color w:val="221F1F"/>
        </w:rPr>
        <w:t>defects</w:t>
      </w:r>
      <w:r>
        <w:rPr>
          <w:color w:val="221F1F"/>
          <w:spacing w:val="-5"/>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spacing w:val="-2"/>
        </w:rPr>
        <w:t>Contractor.</w:t>
      </w:r>
    </w:p>
    <w:p w:rsidR="007F6DF9" w:rsidRDefault="00A43FBC">
      <w:pPr>
        <w:pStyle w:val="BodyText"/>
        <w:spacing w:before="242" w:line="230" w:lineRule="auto"/>
        <w:ind w:left="711" w:right="684"/>
        <w:jc w:val="both"/>
      </w:pPr>
      <w:r>
        <w:rPr>
          <w:b/>
          <w:color w:val="221F1F"/>
        </w:rPr>
        <w:t>“Defects</w:t>
      </w:r>
      <w:r>
        <w:rPr>
          <w:b/>
          <w:color w:val="221F1F"/>
          <w:spacing w:val="-2"/>
        </w:rPr>
        <w:t xml:space="preserve"> </w:t>
      </w:r>
      <w:r>
        <w:rPr>
          <w:b/>
          <w:color w:val="221F1F"/>
        </w:rPr>
        <w:t>Liability</w:t>
      </w:r>
      <w:r>
        <w:rPr>
          <w:b/>
          <w:color w:val="221F1F"/>
          <w:spacing w:val="-2"/>
        </w:rPr>
        <w:t xml:space="preserve"> </w:t>
      </w:r>
      <w:r>
        <w:rPr>
          <w:b/>
          <w:color w:val="221F1F"/>
        </w:rPr>
        <w:t>Period”</w:t>
      </w:r>
      <w:r>
        <w:rPr>
          <w:b/>
          <w:color w:val="221F1F"/>
          <w:spacing w:val="-3"/>
        </w:rPr>
        <w:t xml:space="preserve"> </w:t>
      </w:r>
      <w:r>
        <w:rPr>
          <w:color w:val="221F1F"/>
        </w:rPr>
        <w:t>means</w:t>
      </w:r>
      <w:r>
        <w:rPr>
          <w:color w:val="221F1F"/>
          <w:spacing w:val="-2"/>
        </w:rPr>
        <w:t xml:space="preserve"> </w:t>
      </w:r>
      <w:r>
        <w:rPr>
          <w:color w:val="221F1F"/>
        </w:rPr>
        <w:t>the</w:t>
      </w:r>
      <w:r>
        <w:rPr>
          <w:color w:val="221F1F"/>
          <w:spacing w:val="-2"/>
        </w:rPr>
        <w:t xml:space="preserve"> </w:t>
      </w:r>
      <w:r>
        <w:rPr>
          <w:color w:val="221F1F"/>
        </w:rPr>
        <w:t>period</w:t>
      </w:r>
      <w:r>
        <w:rPr>
          <w:color w:val="221F1F"/>
          <w:spacing w:val="-2"/>
        </w:rPr>
        <w:t xml:space="preserve"> </w:t>
      </w:r>
      <w:r>
        <w:rPr>
          <w:color w:val="221F1F"/>
        </w:rPr>
        <w:t>named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of</w:t>
      </w:r>
      <w:r>
        <w:rPr>
          <w:color w:val="221F1F"/>
          <w:spacing w:val="-4"/>
        </w:rPr>
        <w:t xml:space="preserve"> </w:t>
      </w:r>
      <w:r>
        <w:rPr>
          <w:color w:val="221F1F"/>
        </w:rPr>
        <w:t>Contract</w:t>
      </w:r>
      <w:r>
        <w:rPr>
          <w:color w:val="221F1F"/>
          <w:spacing w:val="-4"/>
        </w:rPr>
        <w:t xml:space="preserve"> </w:t>
      </w:r>
      <w:r>
        <w:rPr>
          <w:color w:val="221F1F"/>
        </w:rPr>
        <w:t>and</w:t>
      </w:r>
      <w:r>
        <w:rPr>
          <w:color w:val="221F1F"/>
          <w:spacing w:val="-2"/>
        </w:rPr>
        <w:t xml:space="preserve"> </w:t>
      </w:r>
      <w:r>
        <w:rPr>
          <w:color w:val="221F1F"/>
        </w:rPr>
        <w:t>calculated</w:t>
      </w:r>
      <w:r>
        <w:rPr>
          <w:color w:val="221F1F"/>
          <w:spacing w:val="-2"/>
        </w:rPr>
        <w:t xml:space="preserve"> </w:t>
      </w:r>
      <w:r>
        <w:rPr>
          <w:color w:val="221F1F"/>
        </w:rPr>
        <w:t>from</w:t>
      </w:r>
      <w:r>
        <w:rPr>
          <w:color w:val="221F1F"/>
          <w:spacing w:val="-1"/>
        </w:rPr>
        <w:t xml:space="preserve"> </w:t>
      </w:r>
      <w:r>
        <w:rPr>
          <w:color w:val="221F1F"/>
        </w:rPr>
        <w:t>the Completion Date, within which</w:t>
      </w:r>
      <w:r>
        <w:rPr>
          <w:color w:val="221F1F"/>
          <w:spacing w:val="-1"/>
        </w:rPr>
        <w:t xml:space="preserve"> </w:t>
      </w:r>
      <w:r>
        <w:rPr>
          <w:color w:val="221F1F"/>
        </w:rPr>
        <w:t>the</w:t>
      </w:r>
      <w:r>
        <w:rPr>
          <w:color w:val="221F1F"/>
          <w:spacing w:val="-1"/>
        </w:rPr>
        <w:t xml:space="preserve"> </w:t>
      </w:r>
      <w:r>
        <w:rPr>
          <w:color w:val="221F1F"/>
        </w:rPr>
        <w:t>contractor is liable</w:t>
      </w:r>
      <w:r>
        <w:rPr>
          <w:color w:val="221F1F"/>
          <w:spacing w:val="-1"/>
        </w:rPr>
        <w:t xml:space="preserve"> </w:t>
      </w:r>
      <w:r>
        <w:rPr>
          <w:color w:val="221F1F"/>
        </w:rPr>
        <w:t>for any defects</w:t>
      </w:r>
      <w:r>
        <w:rPr>
          <w:color w:val="221F1F"/>
          <w:spacing w:val="-1"/>
        </w:rPr>
        <w:t xml:space="preserve"> </w:t>
      </w:r>
      <w:r>
        <w:rPr>
          <w:color w:val="221F1F"/>
        </w:rPr>
        <w:t>that</w:t>
      </w:r>
      <w:r>
        <w:rPr>
          <w:color w:val="221F1F"/>
          <w:spacing w:val="-1"/>
        </w:rPr>
        <w:t xml:space="preserve"> </w:t>
      </w:r>
      <w:r>
        <w:rPr>
          <w:color w:val="221F1F"/>
        </w:rPr>
        <w:t>may develop</w:t>
      </w:r>
      <w:r>
        <w:rPr>
          <w:color w:val="221F1F"/>
          <w:spacing w:val="-2"/>
        </w:rPr>
        <w:t xml:space="preserve"> </w:t>
      </w:r>
      <w:r>
        <w:rPr>
          <w:color w:val="221F1F"/>
        </w:rPr>
        <w:t>in</w:t>
      </w:r>
      <w:r>
        <w:rPr>
          <w:color w:val="221F1F"/>
          <w:spacing w:val="-2"/>
        </w:rPr>
        <w:t xml:space="preserve"> </w:t>
      </w:r>
      <w:r>
        <w:rPr>
          <w:color w:val="221F1F"/>
        </w:rPr>
        <w:t>the handed over works.</w:t>
      </w:r>
    </w:p>
    <w:p w:rsidR="007F6DF9" w:rsidRDefault="00A43FBC">
      <w:pPr>
        <w:pStyle w:val="BodyText"/>
        <w:spacing w:before="244" w:line="230" w:lineRule="auto"/>
        <w:ind w:left="711" w:right="564"/>
        <w:jc w:val="both"/>
      </w:pPr>
      <w:r>
        <w:rPr>
          <w:b/>
          <w:color w:val="221F1F"/>
        </w:rPr>
        <w:t xml:space="preserve">“Defects Notification Period” </w:t>
      </w:r>
      <w:r>
        <w:rPr>
          <w:color w:val="221F1F"/>
        </w:rPr>
        <w:t xml:space="preserve">means the period for notifying defects in the Works </w:t>
      </w:r>
      <w:proofErr w:type="spellStart"/>
      <w:r>
        <w:rPr>
          <w:color w:val="221F1F"/>
        </w:rPr>
        <w:t>oraSection</w:t>
      </w:r>
      <w:proofErr w:type="spellEnd"/>
      <w:r>
        <w:rPr>
          <w:color w:val="221F1F"/>
        </w:rPr>
        <w:t>(</w:t>
      </w:r>
      <w:proofErr w:type="spellStart"/>
      <w:r>
        <w:rPr>
          <w:color w:val="221F1F"/>
        </w:rPr>
        <w:t>asthecasemaybe</w:t>
      </w:r>
      <w:proofErr w:type="spellEnd"/>
      <w:r>
        <w:rPr>
          <w:color w:val="221F1F"/>
        </w:rPr>
        <w:t>) under</w:t>
      </w:r>
      <w:r>
        <w:rPr>
          <w:color w:val="221F1F"/>
          <w:spacing w:val="-4"/>
        </w:rPr>
        <w:t xml:space="preserve"> </w:t>
      </w:r>
      <w:r>
        <w:rPr>
          <w:color w:val="221F1F"/>
        </w:rPr>
        <w:t>Sub-Clause</w:t>
      </w:r>
      <w:r>
        <w:rPr>
          <w:color w:val="221F1F"/>
          <w:spacing w:val="-7"/>
        </w:rPr>
        <w:t xml:space="preserve"> </w:t>
      </w:r>
      <w:r>
        <w:rPr>
          <w:color w:val="221F1F"/>
        </w:rPr>
        <w:t>11.1</w:t>
      </w:r>
      <w:r>
        <w:rPr>
          <w:color w:val="221F1F"/>
          <w:spacing w:val="-10"/>
        </w:rPr>
        <w:t xml:space="preserve"> </w:t>
      </w:r>
      <w:r>
        <w:rPr>
          <w:color w:val="221F1F"/>
        </w:rPr>
        <w:t>[Completion</w:t>
      </w:r>
      <w:r>
        <w:rPr>
          <w:color w:val="221F1F"/>
          <w:spacing w:val="-4"/>
        </w:rPr>
        <w:t xml:space="preserve"> </w:t>
      </w:r>
      <w:r>
        <w:rPr>
          <w:color w:val="221F1F"/>
        </w:rPr>
        <w:t>of</w:t>
      </w:r>
      <w:r>
        <w:rPr>
          <w:color w:val="221F1F"/>
          <w:spacing w:val="-4"/>
        </w:rPr>
        <w:t xml:space="preserve"> </w:t>
      </w:r>
      <w:r>
        <w:rPr>
          <w:color w:val="221F1F"/>
        </w:rPr>
        <w:t>Outstanding</w:t>
      </w:r>
      <w:r>
        <w:rPr>
          <w:color w:val="221F1F"/>
          <w:spacing w:val="-5"/>
        </w:rPr>
        <w:t xml:space="preserve"> </w:t>
      </w:r>
      <w:r>
        <w:rPr>
          <w:color w:val="221F1F"/>
        </w:rPr>
        <w:t>Work</w:t>
      </w:r>
      <w:r>
        <w:rPr>
          <w:color w:val="221F1F"/>
          <w:spacing w:val="-14"/>
        </w:rPr>
        <w:t xml:space="preserve"> </w:t>
      </w:r>
      <w:r>
        <w:rPr>
          <w:color w:val="221F1F"/>
        </w:rPr>
        <w:t>and</w:t>
      </w:r>
      <w:r>
        <w:rPr>
          <w:color w:val="221F1F"/>
          <w:spacing w:val="-5"/>
        </w:rPr>
        <w:t xml:space="preserve"> </w:t>
      </w:r>
      <w:r>
        <w:rPr>
          <w:color w:val="221F1F"/>
        </w:rPr>
        <w:t>Remedying</w:t>
      </w:r>
      <w:r>
        <w:rPr>
          <w:color w:val="221F1F"/>
          <w:spacing w:val="-5"/>
        </w:rPr>
        <w:t xml:space="preserve"> </w:t>
      </w:r>
      <w:r>
        <w:rPr>
          <w:color w:val="221F1F"/>
        </w:rPr>
        <w:t>Defects],</w:t>
      </w:r>
      <w:r>
        <w:rPr>
          <w:color w:val="221F1F"/>
          <w:spacing w:val="-5"/>
        </w:rPr>
        <w:t xml:space="preserve"> </w:t>
      </w:r>
      <w:proofErr w:type="spellStart"/>
      <w:r>
        <w:rPr>
          <w:color w:val="221F1F"/>
        </w:rPr>
        <w:t>whichextendsoverthedaysstated</w:t>
      </w:r>
      <w:proofErr w:type="spellEnd"/>
      <w:r>
        <w:rPr>
          <w:color w:val="221F1F"/>
        </w:rPr>
        <w:t xml:space="preserve"> </w:t>
      </w:r>
      <w:proofErr w:type="spellStart"/>
      <w:r>
        <w:rPr>
          <w:color w:val="221F1F"/>
          <w:spacing w:val="-2"/>
        </w:rPr>
        <w:t>intheSpecialConditionsofContract</w:t>
      </w:r>
      <w:proofErr w:type="spellEnd"/>
      <w:r>
        <w:rPr>
          <w:color w:val="221F1F"/>
          <w:spacing w:val="-2"/>
        </w:rPr>
        <w:t>.</w:t>
      </w:r>
    </w:p>
    <w:p w:rsidR="007F6DF9" w:rsidRDefault="00A43FBC">
      <w:pPr>
        <w:pStyle w:val="BodyText"/>
        <w:spacing w:before="246" w:line="230" w:lineRule="auto"/>
        <w:ind w:left="711" w:right="1230"/>
      </w:pPr>
      <w:r>
        <w:rPr>
          <w:b/>
          <w:color w:val="221F1F"/>
        </w:rPr>
        <w:t>“Drawings”</w:t>
      </w:r>
      <w:r>
        <w:rPr>
          <w:b/>
          <w:color w:val="221F1F"/>
          <w:spacing w:val="-5"/>
        </w:rPr>
        <w:t xml:space="preserve"> </w:t>
      </w:r>
      <w:r>
        <w:rPr>
          <w:color w:val="221F1F"/>
        </w:rPr>
        <w:t>means</w:t>
      </w:r>
      <w:r>
        <w:rPr>
          <w:color w:val="221F1F"/>
          <w:spacing w:val="-5"/>
        </w:rPr>
        <w:t xml:space="preserve"> </w:t>
      </w:r>
      <w:r>
        <w:rPr>
          <w:color w:val="221F1F"/>
        </w:rPr>
        <w:t>the</w:t>
      </w:r>
      <w:r>
        <w:rPr>
          <w:color w:val="221F1F"/>
          <w:spacing w:val="-5"/>
        </w:rPr>
        <w:t xml:space="preserve"> </w:t>
      </w:r>
      <w:r>
        <w:rPr>
          <w:color w:val="221F1F"/>
        </w:rPr>
        <w:t>drawings</w:t>
      </w:r>
      <w:r>
        <w:rPr>
          <w:color w:val="221F1F"/>
          <w:spacing w:val="-2"/>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as</w:t>
      </w:r>
      <w:r>
        <w:rPr>
          <w:color w:val="221F1F"/>
          <w:spacing w:val="-5"/>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5"/>
        </w:rPr>
        <w:t xml:space="preserve"> </w:t>
      </w:r>
      <w:r>
        <w:rPr>
          <w:color w:val="221F1F"/>
        </w:rPr>
        <w:t>and</w:t>
      </w:r>
      <w:r>
        <w:rPr>
          <w:color w:val="221F1F"/>
          <w:spacing w:val="-3"/>
        </w:rPr>
        <w:t xml:space="preserve"> </w:t>
      </w:r>
      <w:r>
        <w:rPr>
          <w:color w:val="221F1F"/>
        </w:rPr>
        <w:t>any</w:t>
      </w:r>
      <w:r>
        <w:rPr>
          <w:color w:val="221F1F"/>
          <w:spacing w:val="-3"/>
        </w:rPr>
        <w:t xml:space="preserve"> </w:t>
      </w:r>
      <w:r>
        <w:rPr>
          <w:color w:val="221F1F"/>
        </w:rPr>
        <w:t>additional</w:t>
      </w:r>
      <w:r>
        <w:rPr>
          <w:color w:val="221F1F"/>
          <w:spacing w:val="-1"/>
        </w:rPr>
        <w:t xml:space="preserve"> </w:t>
      </w:r>
      <w:r>
        <w:rPr>
          <w:color w:val="221F1F"/>
        </w:rPr>
        <w:t>and</w:t>
      </w:r>
      <w:r>
        <w:rPr>
          <w:color w:val="221F1F"/>
          <w:spacing w:val="-3"/>
        </w:rPr>
        <w:t xml:space="preserve"> </w:t>
      </w:r>
      <w:r>
        <w:rPr>
          <w:color w:val="221F1F"/>
        </w:rPr>
        <w:t>modified drawings issued by (or on behalf of) the Procuring Entity in accordance with the Contract.</w:t>
      </w:r>
    </w:p>
    <w:p w:rsidR="007F6DF9" w:rsidRDefault="00A43FBC">
      <w:pPr>
        <w:spacing w:before="244" w:line="230" w:lineRule="auto"/>
        <w:ind w:left="711"/>
      </w:pPr>
      <w:r>
        <w:rPr>
          <w:b/>
          <w:color w:val="221F1F"/>
        </w:rPr>
        <w:t>“Final</w:t>
      </w:r>
      <w:r>
        <w:rPr>
          <w:b/>
          <w:color w:val="221F1F"/>
          <w:spacing w:val="-3"/>
        </w:rPr>
        <w:t xml:space="preserve"> </w:t>
      </w:r>
      <w:r>
        <w:rPr>
          <w:b/>
          <w:color w:val="221F1F"/>
        </w:rPr>
        <w:t>Payment</w:t>
      </w:r>
      <w:r>
        <w:rPr>
          <w:b/>
          <w:color w:val="221F1F"/>
          <w:spacing w:val="-4"/>
        </w:rPr>
        <w:t xml:space="preserve"> </w:t>
      </w:r>
      <w:r>
        <w:rPr>
          <w:b/>
          <w:color w:val="221F1F"/>
        </w:rPr>
        <w:t>Certificate”</w:t>
      </w:r>
      <w:r>
        <w:rPr>
          <w:b/>
          <w:color w:val="221F1F"/>
          <w:spacing w:val="-3"/>
        </w:rPr>
        <w:t xml:space="preserve"> </w:t>
      </w:r>
      <w:r>
        <w:rPr>
          <w:color w:val="221F1F"/>
        </w:rPr>
        <w:t>means</w:t>
      </w:r>
      <w:r>
        <w:rPr>
          <w:color w:val="221F1F"/>
          <w:spacing w:val="-6"/>
        </w:rPr>
        <w:t xml:space="preserve"> </w:t>
      </w:r>
      <w:r>
        <w:rPr>
          <w:color w:val="221F1F"/>
        </w:rPr>
        <w:t>the</w:t>
      </w:r>
      <w:r>
        <w:rPr>
          <w:color w:val="221F1F"/>
          <w:spacing w:val="-6"/>
        </w:rPr>
        <w:t xml:space="preserve"> </w:t>
      </w:r>
      <w:r>
        <w:rPr>
          <w:color w:val="221F1F"/>
        </w:rPr>
        <w:t>payment</w:t>
      </w:r>
      <w:r>
        <w:rPr>
          <w:color w:val="221F1F"/>
          <w:spacing w:val="-3"/>
        </w:rPr>
        <w:t xml:space="preserve"> </w:t>
      </w:r>
      <w:r>
        <w:rPr>
          <w:color w:val="221F1F"/>
        </w:rPr>
        <w:t>certificate</w:t>
      </w:r>
      <w:r>
        <w:rPr>
          <w:color w:val="221F1F"/>
          <w:spacing w:val="-6"/>
        </w:rPr>
        <w:t xml:space="preserve"> </w:t>
      </w:r>
      <w:r>
        <w:rPr>
          <w:color w:val="221F1F"/>
        </w:rPr>
        <w:t>issued</w:t>
      </w:r>
      <w:r>
        <w:rPr>
          <w:color w:val="221F1F"/>
          <w:spacing w:val="-7"/>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14.13</w:t>
      </w:r>
      <w:r>
        <w:rPr>
          <w:color w:val="221F1F"/>
          <w:spacing w:val="-4"/>
        </w:rPr>
        <w:t xml:space="preserve"> </w:t>
      </w:r>
      <w:r>
        <w:rPr>
          <w:color w:val="221F1F"/>
        </w:rPr>
        <w:t>[Issue</w:t>
      </w:r>
      <w:r>
        <w:rPr>
          <w:color w:val="221F1F"/>
          <w:spacing w:val="-4"/>
        </w:rPr>
        <w:t xml:space="preserve"> </w:t>
      </w:r>
      <w:r>
        <w:rPr>
          <w:color w:val="221F1F"/>
        </w:rPr>
        <w:t>of</w:t>
      </w:r>
      <w:r>
        <w:rPr>
          <w:color w:val="221F1F"/>
          <w:spacing w:val="-5"/>
        </w:rPr>
        <w:t xml:space="preserve"> </w:t>
      </w:r>
      <w:r>
        <w:rPr>
          <w:color w:val="221F1F"/>
        </w:rPr>
        <w:t>Final</w:t>
      </w:r>
      <w:r>
        <w:rPr>
          <w:color w:val="221F1F"/>
          <w:spacing w:val="-3"/>
        </w:rPr>
        <w:t xml:space="preserve"> </w:t>
      </w:r>
      <w:r>
        <w:rPr>
          <w:color w:val="221F1F"/>
        </w:rPr>
        <w:t xml:space="preserve">Payment </w:t>
      </w:r>
      <w:r>
        <w:rPr>
          <w:color w:val="221F1F"/>
          <w:spacing w:val="-2"/>
        </w:rPr>
        <w:t>Certificate].</w:t>
      </w:r>
    </w:p>
    <w:p w:rsidR="007F6DF9" w:rsidRDefault="00A43FBC">
      <w:pPr>
        <w:pStyle w:val="BodyText"/>
        <w:spacing w:before="239"/>
        <w:ind w:left="711"/>
      </w:pPr>
      <w:r>
        <w:rPr>
          <w:b/>
          <w:color w:val="221F1F"/>
        </w:rPr>
        <w:t>“Final</w:t>
      </w:r>
      <w:r>
        <w:rPr>
          <w:b/>
          <w:color w:val="221F1F"/>
          <w:spacing w:val="-6"/>
        </w:rPr>
        <w:t xml:space="preserve"> </w:t>
      </w:r>
      <w:r>
        <w:rPr>
          <w:b/>
          <w:color w:val="221F1F"/>
        </w:rPr>
        <w:t>Statement”</w:t>
      </w:r>
      <w:r>
        <w:rPr>
          <w:b/>
          <w:color w:val="221F1F"/>
          <w:spacing w:val="-4"/>
        </w:rPr>
        <w:t xml:space="preserve"> </w:t>
      </w:r>
      <w:r>
        <w:rPr>
          <w:color w:val="221F1F"/>
        </w:rPr>
        <w:t>means</w:t>
      </w:r>
      <w:r>
        <w:rPr>
          <w:color w:val="221F1F"/>
          <w:spacing w:val="-6"/>
        </w:rPr>
        <w:t xml:space="preserve"> </w:t>
      </w:r>
      <w:r>
        <w:rPr>
          <w:color w:val="221F1F"/>
        </w:rPr>
        <w:t>the</w:t>
      </w:r>
      <w:r>
        <w:rPr>
          <w:color w:val="221F1F"/>
          <w:spacing w:val="-5"/>
        </w:rPr>
        <w:t xml:space="preserve"> </w:t>
      </w:r>
      <w:r>
        <w:rPr>
          <w:color w:val="221F1F"/>
        </w:rPr>
        <w:t>statement</w:t>
      </w:r>
      <w:r>
        <w:rPr>
          <w:color w:val="221F1F"/>
          <w:spacing w:val="-4"/>
        </w:rPr>
        <w:t xml:space="preserve"> </w:t>
      </w:r>
      <w:r>
        <w:rPr>
          <w:color w:val="221F1F"/>
        </w:rPr>
        <w:t>defined</w:t>
      </w:r>
      <w:r>
        <w:rPr>
          <w:color w:val="221F1F"/>
          <w:spacing w:val="-6"/>
        </w:rPr>
        <w:t xml:space="preserve"> </w:t>
      </w:r>
      <w:r>
        <w:rPr>
          <w:color w:val="221F1F"/>
        </w:rPr>
        <w:t>in</w:t>
      </w:r>
      <w:r>
        <w:rPr>
          <w:color w:val="221F1F"/>
          <w:spacing w:val="-5"/>
        </w:rPr>
        <w:t xml:space="preserve"> </w:t>
      </w:r>
      <w:r>
        <w:rPr>
          <w:color w:val="221F1F"/>
        </w:rPr>
        <w:t>Sub-Clause</w:t>
      </w:r>
      <w:r>
        <w:rPr>
          <w:color w:val="221F1F"/>
          <w:spacing w:val="-3"/>
        </w:rPr>
        <w:t xml:space="preserve"> </w:t>
      </w:r>
      <w:r>
        <w:rPr>
          <w:color w:val="221F1F"/>
        </w:rPr>
        <w:t>14.11</w:t>
      </w:r>
      <w:r>
        <w:rPr>
          <w:color w:val="221F1F"/>
          <w:spacing w:val="-5"/>
        </w:rPr>
        <w:t xml:space="preserve"> </w:t>
      </w:r>
      <w:r>
        <w:rPr>
          <w:color w:val="221F1F"/>
          <w:spacing w:val="-2"/>
        </w:rPr>
        <w:t>[</w:t>
      </w:r>
      <w:proofErr w:type="spellStart"/>
      <w:r>
        <w:rPr>
          <w:color w:val="221F1F"/>
          <w:spacing w:val="-2"/>
        </w:rPr>
        <w:t>ApplicationforFinalPaymentCertificate</w:t>
      </w:r>
      <w:proofErr w:type="spellEnd"/>
      <w:r>
        <w:rPr>
          <w:color w:val="221F1F"/>
          <w:spacing w:val="-2"/>
        </w:rPr>
        <w:t>].</w:t>
      </w:r>
    </w:p>
    <w:p w:rsidR="007F6DF9" w:rsidRDefault="00A43FBC">
      <w:pPr>
        <w:spacing w:before="234"/>
        <w:ind w:left="711"/>
      </w:pPr>
      <w:r>
        <w:rPr>
          <w:b/>
          <w:color w:val="221F1F"/>
        </w:rPr>
        <w:t>“Force</w:t>
      </w:r>
      <w:r>
        <w:rPr>
          <w:b/>
          <w:color w:val="221F1F"/>
          <w:spacing w:val="-7"/>
        </w:rPr>
        <w:t xml:space="preserve"> </w:t>
      </w:r>
      <w:r>
        <w:rPr>
          <w:b/>
          <w:color w:val="221F1F"/>
        </w:rPr>
        <w:t>Majeure”</w:t>
      </w:r>
      <w:r>
        <w:rPr>
          <w:b/>
          <w:color w:val="221F1F"/>
          <w:spacing w:val="-4"/>
        </w:rPr>
        <w:t xml:space="preserve"> </w:t>
      </w:r>
      <w:r>
        <w:rPr>
          <w:color w:val="221F1F"/>
        </w:rPr>
        <w:t>is</w:t>
      </w:r>
      <w:r>
        <w:rPr>
          <w:color w:val="221F1F"/>
          <w:spacing w:val="-6"/>
        </w:rPr>
        <w:t xml:space="preserve"> </w:t>
      </w:r>
      <w:r>
        <w:rPr>
          <w:color w:val="221F1F"/>
        </w:rPr>
        <w:t>defined</w:t>
      </w:r>
      <w:r>
        <w:rPr>
          <w:color w:val="221F1F"/>
          <w:spacing w:val="-5"/>
        </w:rPr>
        <w:t xml:space="preserve"> </w:t>
      </w:r>
      <w:r>
        <w:rPr>
          <w:color w:val="221F1F"/>
        </w:rPr>
        <w:t>in</w:t>
      </w:r>
      <w:r>
        <w:rPr>
          <w:color w:val="221F1F"/>
          <w:spacing w:val="-4"/>
        </w:rPr>
        <w:t xml:space="preserve"> </w:t>
      </w:r>
      <w:r>
        <w:rPr>
          <w:color w:val="221F1F"/>
        </w:rPr>
        <w:t>Clause19</w:t>
      </w:r>
      <w:r>
        <w:rPr>
          <w:color w:val="221F1F"/>
          <w:spacing w:val="-4"/>
        </w:rPr>
        <w:t xml:space="preserve"> </w:t>
      </w:r>
      <w:r>
        <w:rPr>
          <w:color w:val="221F1F"/>
        </w:rPr>
        <w:t>[Force</w:t>
      </w:r>
      <w:r>
        <w:rPr>
          <w:color w:val="221F1F"/>
          <w:spacing w:val="-3"/>
        </w:rPr>
        <w:t xml:space="preserve"> </w:t>
      </w:r>
      <w:r>
        <w:rPr>
          <w:color w:val="221F1F"/>
          <w:spacing w:val="-2"/>
        </w:rPr>
        <w:t>Majeure].</w:t>
      </w:r>
    </w:p>
    <w:p w:rsidR="007F6DF9" w:rsidRDefault="00A43FBC">
      <w:pPr>
        <w:pStyle w:val="BodyText"/>
        <w:spacing w:before="240" w:line="230" w:lineRule="auto"/>
        <w:ind w:left="711"/>
      </w:pPr>
      <w:r>
        <w:rPr>
          <w:b/>
          <w:color w:val="221F1F"/>
        </w:rPr>
        <w:t>“Foreign</w:t>
      </w:r>
      <w:r>
        <w:rPr>
          <w:b/>
          <w:color w:val="221F1F"/>
          <w:spacing w:val="-2"/>
        </w:rPr>
        <w:t xml:space="preserve"> </w:t>
      </w:r>
      <w:r>
        <w:rPr>
          <w:b/>
          <w:color w:val="221F1F"/>
        </w:rPr>
        <w:t>Currency”</w:t>
      </w:r>
      <w:r>
        <w:rPr>
          <w:b/>
          <w:color w:val="221F1F"/>
          <w:spacing w:val="-4"/>
        </w:rPr>
        <w:t xml:space="preserve"> </w:t>
      </w:r>
      <w:r>
        <w:rPr>
          <w:color w:val="221F1F"/>
        </w:rPr>
        <w:t>means</w:t>
      </w:r>
      <w:r>
        <w:rPr>
          <w:color w:val="221F1F"/>
          <w:spacing w:val="-2"/>
        </w:rPr>
        <w:t xml:space="preserve"> </w:t>
      </w:r>
      <w:r>
        <w:rPr>
          <w:color w:val="221F1F"/>
        </w:rPr>
        <w:t>a</w:t>
      </w:r>
      <w:r>
        <w:rPr>
          <w:color w:val="221F1F"/>
          <w:spacing w:val="-2"/>
        </w:rPr>
        <w:t xml:space="preserve"> </w:t>
      </w:r>
      <w:r>
        <w:rPr>
          <w:color w:val="221F1F"/>
        </w:rPr>
        <w:t>currency</w:t>
      </w:r>
      <w:r>
        <w:rPr>
          <w:color w:val="221F1F"/>
          <w:spacing w:val="-2"/>
        </w:rPr>
        <w:t xml:space="preserve"> </w:t>
      </w:r>
      <w:r>
        <w:rPr>
          <w:color w:val="221F1F"/>
        </w:rPr>
        <w:t>of</w:t>
      </w:r>
      <w:r>
        <w:rPr>
          <w:color w:val="221F1F"/>
          <w:spacing w:val="-2"/>
        </w:rPr>
        <w:t xml:space="preserve"> </w:t>
      </w:r>
      <w:r>
        <w:rPr>
          <w:color w:val="221F1F"/>
        </w:rPr>
        <w:t>another</w:t>
      </w:r>
      <w:r>
        <w:rPr>
          <w:color w:val="221F1F"/>
          <w:spacing w:val="-1"/>
        </w:rPr>
        <w:t xml:space="preserve"> </w:t>
      </w:r>
      <w:r>
        <w:rPr>
          <w:color w:val="221F1F"/>
        </w:rPr>
        <w:t>country</w:t>
      </w:r>
      <w:r>
        <w:rPr>
          <w:color w:val="221F1F"/>
          <w:spacing w:val="-5"/>
        </w:rPr>
        <w:t xml:space="preserve"> </w:t>
      </w:r>
      <w:r>
        <w:rPr>
          <w:color w:val="221F1F"/>
        </w:rPr>
        <w:t>(not</w:t>
      </w:r>
      <w:r>
        <w:rPr>
          <w:color w:val="221F1F"/>
          <w:spacing w:val="-1"/>
        </w:rPr>
        <w:t xml:space="preserve"> </w:t>
      </w:r>
      <w:r>
        <w:rPr>
          <w:color w:val="221F1F"/>
        </w:rPr>
        <w:t>Kenya)</w:t>
      </w:r>
      <w:r>
        <w:rPr>
          <w:color w:val="221F1F"/>
          <w:spacing w:val="-4"/>
        </w:rPr>
        <w:t xml:space="preserve"> </w:t>
      </w:r>
      <w:r>
        <w:rPr>
          <w:color w:val="221F1F"/>
        </w:rPr>
        <w:t>in</w:t>
      </w:r>
      <w:r>
        <w:rPr>
          <w:color w:val="221F1F"/>
          <w:spacing w:val="-2"/>
        </w:rPr>
        <w:t xml:space="preserve"> </w:t>
      </w:r>
      <w:r>
        <w:rPr>
          <w:color w:val="221F1F"/>
        </w:rPr>
        <w:t>which</w:t>
      </w:r>
      <w:r>
        <w:rPr>
          <w:color w:val="221F1F"/>
          <w:spacing w:val="-2"/>
        </w:rPr>
        <w:t xml:space="preserve"> </w:t>
      </w:r>
      <w:r>
        <w:rPr>
          <w:color w:val="221F1F"/>
        </w:rPr>
        <w:t>part</w:t>
      </w:r>
      <w:r>
        <w:rPr>
          <w:color w:val="221F1F"/>
          <w:spacing w:val="-4"/>
        </w:rPr>
        <w:t xml:space="preserve"> </w:t>
      </w:r>
      <w:r>
        <w:rPr>
          <w:color w:val="221F1F"/>
        </w:rPr>
        <w:t>(or</w:t>
      </w:r>
      <w:r>
        <w:rPr>
          <w:color w:val="221F1F"/>
          <w:spacing w:val="-2"/>
        </w:rPr>
        <w:t xml:space="preserve"> </w:t>
      </w:r>
      <w:r>
        <w:rPr>
          <w:color w:val="221F1F"/>
        </w:rPr>
        <w:t>all)</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2"/>
        </w:rPr>
        <w:t xml:space="preserve"> </w:t>
      </w:r>
      <w:r>
        <w:rPr>
          <w:color w:val="221F1F"/>
        </w:rPr>
        <w:t>is payable, but not the Local Currency.</w:t>
      </w:r>
    </w:p>
    <w:p w:rsidR="007F6DF9" w:rsidRDefault="00A43FBC">
      <w:pPr>
        <w:pStyle w:val="BodyText"/>
        <w:spacing w:before="236"/>
        <w:ind w:left="711"/>
      </w:pPr>
      <w:r>
        <w:rPr>
          <w:b/>
          <w:color w:val="221F1F"/>
        </w:rPr>
        <w:t>“Goods”</w:t>
      </w:r>
      <w:r>
        <w:rPr>
          <w:b/>
          <w:color w:val="221F1F"/>
          <w:spacing w:val="-5"/>
        </w:rPr>
        <w:t xml:space="preserve"> </w:t>
      </w:r>
      <w:r>
        <w:rPr>
          <w:color w:val="221F1F"/>
        </w:rPr>
        <w:t>means</w:t>
      </w:r>
      <w:r>
        <w:rPr>
          <w:color w:val="221F1F"/>
          <w:spacing w:val="-4"/>
        </w:rPr>
        <w:t xml:space="preserve"> </w:t>
      </w:r>
      <w:r>
        <w:rPr>
          <w:color w:val="221F1F"/>
        </w:rPr>
        <w:t>Contractor's</w:t>
      </w:r>
      <w:r>
        <w:rPr>
          <w:color w:val="221F1F"/>
          <w:spacing w:val="-3"/>
        </w:rPr>
        <w:t xml:space="preserve"> </w:t>
      </w:r>
      <w:r>
        <w:rPr>
          <w:color w:val="221F1F"/>
        </w:rPr>
        <w:t>Equipment,</w:t>
      </w:r>
      <w:r>
        <w:rPr>
          <w:color w:val="221F1F"/>
          <w:spacing w:val="-4"/>
        </w:rPr>
        <w:t xml:space="preserve"> </w:t>
      </w:r>
      <w:r>
        <w:rPr>
          <w:color w:val="221F1F"/>
        </w:rPr>
        <w:t>Materials,</w:t>
      </w:r>
      <w:r>
        <w:rPr>
          <w:color w:val="221F1F"/>
          <w:spacing w:val="-4"/>
        </w:rPr>
        <w:t xml:space="preserve"> </w:t>
      </w:r>
      <w:r>
        <w:rPr>
          <w:color w:val="221F1F"/>
        </w:rPr>
        <w:t>Plant</w:t>
      </w:r>
      <w:r>
        <w:rPr>
          <w:color w:val="221F1F"/>
          <w:spacing w:val="-2"/>
        </w:rPr>
        <w:t xml:space="preserve"> </w:t>
      </w:r>
      <w:r>
        <w:rPr>
          <w:color w:val="221F1F"/>
        </w:rPr>
        <w:t>and</w:t>
      </w:r>
      <w:r>
        <w:rPr>
          <w:color w:val="221F1F"/>
          <w:spacing w:val="-4"/>
        </w:rPr>
        <w:t xml:space="preserve"> </w:t>
      </w:r>
      <w:r>
        <w:rPr>
          <w:color w:val="221F1F"/>
        </w:rPr>
        <w:t>Temporary Works,</w:t>
      </w:r>
      <w:r>
        <w:rPr>
          <w:color w:val="221F1F"/>
          <w:spacing w:val="-5"/>
        </w:rPr>
        <w:t xml:space="preserve"> </w:t>
      </w:r>
      <w:r>
        <w:rPr>
          <w:color w:val="221F1F"/>
        </w:rPr>
        <w:t>or</w:t>
      </w:r>
      <w:r>
        <w:rPr>
          <w:color w:val="221F1F"/>
          <w:spacing w:val="-4"/>
        </w:rPr>
        <w:t xml:space="preserve"> </w:t>
      </w:r>
      <w:r>
        <w:rPr>
          <w:color w:val="221F1F"/>
        </w:rPr>
        <w:t>any</w:t>
      </w:r>
      <w:r>
        <w:rPr>
          <w:color w:val="221F1F"/>
          <w:spacing w:val="-6"/>
        </w:rPr>
        <w:t xml:space="preserve"> </w:t>
      </w:r>
      <w:r>
        <w:rPr>
          <w:color w:val="221F1F"/>
        </w:rPr>
        <w:t>of</w:t>
      </w:r>
      <w:r>
        <w:rPr>
          <w:color w:val="221F1F"/>
          <w:spacing w:val="-5"/>
        </w:rPr>
        <w:t xml:space="preserve"> </w:t>
      </w:r>
      <w:r>
        <w:rPr>
          <w:color w:val="221F1F"/>
        </w:rPr>
        <w:t>them</w:t>
      </w:r>
      <w:r>
        <w:rPr>
          <w:color w:val="221F1F"/>
          <w:spacing w:val="-3"/>
        </w:rPr>
        <w:t xml:space="preserve"> </w:t>
      </w:r>
      <w:r>
        <w:rPr>
          <w:color w:val="221F1F"/>
        </w:rPr>
        <w:t>as</w:t>
      </w:r>
      <w:r>
        <w:rPr>
          <w:color w:val="221F1F"/>
          <w:spacing w:val="-3"/>
        </w:rPr>
        <w:t xml:space="preserve"> </w:t>
      </w:r>
      <w:r>
        <w:rPr>
          <w:color w:val="221F1F"/>
          <w:spacing w:val="-2"/>
        </w:rPr>
        <w:t>appropriate.</w:t>
      </w:r>
    </w:p>
    <w:p w:rsidR="007F6DF9" w:rsidRDefault="00A43FBC">
      <w:pPr>
        <w:pStyle w:val="BodyText"/>
        <w:spacing w:before="240" w:line="232" w:lineRule="auto"/>
        <w:ind w:left="708" w:right="332"/>
      </w:pPr>
      <w:r>
        <w:rPr>
          <w:b/>
          <w:color w:val="221F1F"/>
        </w:rPr>
        <w:t>“Interim</w:t>
      </w:r>
      <w:r>
        <w:rPr>
          <w:b/>
          <w:color w:val="221F1F"/>
          <w:spacing w:val="-4"/>
        </w:rPr>
        <w:t xml:space="preserve"> </w:t>
      </w:r>
      <w:r>
        <w:rPr>
          <w:b/>
          <w:color w:val="221F1F"/>
        </w:rPr>
        <w:t>Payment</w:t>
      </w:r>
      <w:r>
        <w:rPr>
          <w:b/>
          <w:color w:val="221F1F"/>
          <w:spacing w:val="-4"/>
        </w:rPr>
        <w:t xml:space="preserve"> </w:t>
      </w:r>
      <w:r>
        <w:rPr>
          <w:b/>
          <w:color w:val="221F1F"/>
        </w:rPr>
        <w:t>Certificate”</w:t>
      </w:r>
      <w:r>
        <w:rPr>
          <w:b/>
          <w:color w:val="221F1F"/>
          <w:spacing w:val="-4"/>
        </w:rPr>
        <w:t xml:space="preserve"> </w:t>
      </w:r>
      <w:r>
        <w:rPr>
          <w:color w:val="221F1F"/>
        </w:rPr>
        <w:t>means</w:t>
      </w:r>
      <w:r>
        <w:rPr>
          <w:color w:val="221F1F"/>
          <w:spacing w:val="-6"/>
        </w:rPr>
        <w:t xml:space="preserve"> </w:t>
      </w:r>
      <w:r>
        <w:rPr>
          <w:color w:val="221F1F"/>
        </w:rPr>
        <w:t>a</w:t>
      </w:r>
      <w:r>
        <w:rPr>
          <w:color w:val="221F1F"/>
          <w:spacing w:val="-4"/>
        </w:rPr>
        <w:t xml:space="preserve"> </w:t>
      </w:r>
      <w:r>
        <w:rPr>
          <w:color w:val="221F1F"/>
        </w:rPr>
        <w:t>payment</w:t>
      </w:r>
      <w:r>
        <w:rPr>
          <w:color w:val="221F1F"/>
          <w:spacing w:val="-6"/>
        </w:rPr>
        <w:t xml:space="preserve"> </w:t>
      </w:r>
      <w:r>
        <w:rPr>
          <w:color w:val="221F1F"/>
        </w:rPr>
        <w:t>certificate</w:t>
      </w:r>
      <w:r>
        <w:rPr>
          <w:color w:val="221F1F"/>
          <w:spacing w:val="-6"/>
        </w:rPr>
        <w:t xml:space="preserve"> </w:t>
      </w:r>
      <w:r>
        <w:rPr>
          <w:color w:val="221F1F"/>
        </w:rPr>
        <w:t>issued</w:t>
      </w:r>
      <w:r>
        <w:rPr>
          <w:color w:val="221F1F"/>
          <w:spacing w:val="-4"/>
        </w:rPr>
        <w:t xml:space="preserve"> </w:t>
      </w:r>
      <w:r>
        <w:rPr>
          <w:color w:val="221F1F"/>
        </w:rPr>
        <w:t>under</w:t>
      </w:r>
      <w:r>
        <w:rPr>
          <w:color w:val="221F1F"/>
          <w:spacing w:val="-3"/>
        </w:rPr>
        <w:t xml:space="preserve"> </w:t>
      </w:r>
      <w:r>
        <w:rPr>
          <w:color w:val="221F1F"/>
        </w:rPr>
        <w:t>Clause</w:t>
      </w:r>
      <w:r>
        <w:rPr>
          <w:color w:val="221F1F"/>
          <w:spacing w:val="-6"/>
        </w:rPr>
        <w:t xml:space="preserve"> </w:t>
      </w:r>
      <w:r>
        <w:rPr>
          <w:color w:val="221F1F"/>
        </w:rPr>
        <w:t>14</w:t>
      </w:r>
      <w:r>
        <w:rPr>
          <w:color w:val="221F1F"/>
          <w:spacing w:val="-4"/>
        </w:rPr>
        <w:t xml:space="preserve"> </w:t>
      </w:r>
      <w:r>
        <w:rPr>
          <w:color w:val="221F1F"/>
        </w:rPr>
        <w:t>[Contract</w:t>
      </w:r>
      <w:r>
        <w:rPr>
          <w:color w:val="221F1F"/>
          <w:spacing w:val="-3"/>
        </w:rPr>
        <w:t xml:space="preserve"> </w:t>
      </w:r>
      <w:r>
        <w:rPr>
          <w:color w:val="221F1F"/>
        </w:rPr>
        <w:t>Price</w:t>
      </w:r>
      <w:r>
        <w:rPr>
          <w:color w:val="221F1F"/>
          <w:spacing w:val="-4"/>
        </w:rPr>
        <w:t xml:space="preserve"> </w:t>
      </w:r>
      <w:r>
        <w:rPr>
          <w:color w:val="221F1F"/>
        </w:rPr>
        <w:t>and</w:t>
      </w:r>
      <w:r>
        <w:rPr>
          <w:color w:val="221F1F"/>
          <w:spacing w:val="-4"/>
        </w:rPr>
        <w:t xml:space="preserve"> </w:t>
      </w:r>
      <w:r>
        <w:rPr>
          <w:color w:val="221F1F"/>
        </w:rPr>
        <w:t>Payment], other than the Final Payment Certificate.</w:t>
      </w:r>
    </w:p>
    <w:p w:rsidR="007F6DF9" w:rsidRDefault="00A43FBC">
      <w:pPr>
        <w:pStyle w:val="BodyText"/>
        <w:spacing w:before="243" w:line="230" w:lineRule="auto"/>
        <w:ind w:left="708" w:right="332"/>
      </w:pPr>
      <w:r>
        <w:rPr>
          <w:b/>
          <w:color w:val="221F1F"/>
        </w:rPr>
        <w:t>“Laws”</w:t>
      </w:r>
      <w:r>
        <w:rPr>
          <w:b/>
          <w:color w:val="221F1F"/>
          <w:spacing w:val="-2"/>
        </w:rPr>
        <w:t xml:space="preserve"> </w:t>
      </w:r>
      <w:r>
        <w:rPr>
          <w:color w:val="221F1F"/>
        </w:rPr>
        <w:t>means</w:t>
      </w:r>
      <w:r>
        <w:rPr>
          <w:color w:val="221F1F"/>
          <w:spacing w:val="-3"/>
        </w:rPr>
        <w:t xml:space="preserve"> </w:t>
      </w:r>
      <w:r>
        <w:rPr>
          <w:color w:val="221F1F"/>
        </w:rPr>
        <w:t>all national</w:t>
      </w:r>
      <w:r>
        <w:rPr>
          <w:color w:val="221F1F"/>
          <w:spacing w:val="-3"/>
        </w:rPr>
        <w:t xml:space="preserve"> </w:t>
      </w:r>
      <w:r>
        <w:rPr>
          <w:color w:val="221F1F"/>
        </w:rPr>
        <w:t>legislation,</w:t>
      </w:r>
      <w:r>
        <w:rPr>
          <w:color w:val="221F1F"/>
          <w:spacing w:val="-4"/>
        </w:rPr>
        <w:t xml:space="preserve"> </w:t>
      </w:r>
      <w:r>
        <w:rPr>
          <w:color w:val="221F1F"/>
        </w:rPr>
        <w:t>statutes,</w:t>
      </w:r>
      <w:r>
        <w:rPr>
          <w:color w:val="221F1F"/>
          <w:spacing w:val="-4"/>
        </w:rPr>
        <w:t xml:space="preserve"> </w:t>
      </w:r>
      <w:r>
        <w:rPr>
          <w:color w:val="221F1F"/>
        </w:rPr>
        <w:t>ordinances,</w:t>
      </w:r>
      <w:r>
        <w:rPr>
          <w:color w:val="221F1F"/>
          <w:spacing w:val="-3"/>
        </w:rPr>
        <w:t xml:space="preserve"> </w:t>
      </w:r>
      <w:r>
        <w:rPr>
          <w:color w:val="221F1F"/>
        </w:rPr>
        <w:t>and</w:t>
      </w:r>
      <w:r>
        <w:rPr>
          <w:color w:val="221F1F"/>
          <w:spacing w:val="-1"/>
        </w:rPr>
        <w:t xml:space="preserve"> </w:t>
      </w:r>
      <w:r>
        <w:rPr>
          <w:color w:val="221F1F"/>
        </w:rPr>
        <w:t>regulations</w:t>
      </w:r>
      <w:r>
        <w:rPr>
          <w:color w:val="221F1F"/>
          <w:spacing w:val="-1"/>
        </w:rPr>
        <w:t xml:space="preserve"> </w:t>
      </w:r>
      <w:r>
        <w:rPr>
          <w:color w:val="221F1F"/>
        </w:rPr>
        <w:t>and</w:t>
      </w:r>
      <w:r>
        <w:rPr>
          <w:color w:val="221F1F"/>
          <w:spacing w:val="-4"/>
        </w:rPr>
        <w:t xml:space="preserve"> </w:t>
      </w:r>
      <w:r>
        <w:rPr>
          <w:color w:val="221F1F"/>
        </w:rPr>
        <w:t>by-laws</w:t>
      </w:r>
      <w:r>
        <w:rPr>
          <w:color w:val="221F1F"/>
          <w:spacing w:val="-1"/>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legally</w:t>
      </w:r>
      <w:r>
        <w:rPr>
          <w:color w:val="221F1F"/>
          <w:spacing w:val="-1"/>
        </w:rPr>
        <w:t xml:space="preserve"> </w:t>
      </w:r>
      <w:r>
        <w:rPr>
          <w:color w:val="221F1F"/>
        </w:rPr>
        <w:t>constituted public authority.</w:t>
      </w:r>
    </w:p>
    <w:p w:rsidR="007F6DF9" w:rsidRDefault="00A43FBC">
      <w:pPr>
        <w:pStyle w:val="BodyText"/>
        <w:spacing w:before="244" w:line="230" w:lineRule="auto"/>
        <w:ind w:left="708"/>
      </w:pPr>
      <w:r>
        <w:rPr>
          <w:b/>
          <w:color w:val="221F1F"/>
        </w:rPr>
        <w:t>“Letter</w:t>
      </w:r>
      <w:r>
        <w:rPr>
          <w:b/>
          <w:color w:val="221F1F"/>
          <w:spacing w:val="-2"/>
        </w:rPr>
        <w:t xml:space="preserve"> </w:t>
      </w:r>
      <w:r>
        <w:rPr>
          <w:b/>
          <w:color w:val="221F1F"/>
        </w:rPr>
        <w:t>of</w:t>
      </w:r>
      <w:r>
        <w:rPr>
          <w:b/>
          <w:color w:val="221F1F"/>
          <w:spacing w:val="-2"/>
        </w:rPr>
        <w:t xml:space="preserve"> </w:t>
      </w:r>
      <w:r>
        <w:rPr>
          <w:b/>
          <w:color w:val="221F1F"/>
        </w:rPr>
        <w:t>Acceptance”</w:t>
      </w:r>
      <w:r>
        <w:rPr>
          <w:b/>
          <w:color w:val="221F1F"/>
          <w:spacing w:val="-3"/>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letter</w:t>
      </w:r>
      <w:r>
        <w:rPr>
          <w:color w:val="221F1F"/>
          <w:spacing w:val="-2"/>
        </w:rPr>
        <w:t xml:space="preserve"> </w:t>
      </w:r>
      <w:r>
        <w:rPr>
          <w:color w:val="221F1F"/>
        </w:rPr>
        <w:t>of</w:t>
      </w:r>
      <w:r>
        <w:rPr>
          <w:color w:val="221F1F"/>
          <w:spacing w:val="-2"/>
        </w:rPr>
        <w:t xml:space="preserve"> </w:t>
      </w:r>
      <w:r>
        <w:rPr>
          <w:color w:val="221F1F"/>
        </w:rPr>
        <w:t>formal</w:t>
      </w:r>
      <w:r>
        <w:rPr>
          <w:color w:val="221F1F"/>
          <w:spacing w:val="-4"/>
        </w:rPr>
        <w:t xml:space="preserve"> </w:t>
      </w:r>
      <w:r>
        <w:rPr>
          <w:color w:val="221F1F"/>
        </w:rPr>
        <w:t>acceptance</w:t>
      </w:r>
      <w:r>
        <w:rPr>
          <w:color w:val="221F1F"/>
          <w:spacing w:val="-2"/>
        </w:rPr>
        <w:t xml:space="preserve"> </w:t>
      </w:r>
      <w:r>
        <w:rPr>
          <w:color w:val="221F1F"/>
        </w:rPr>
        <w:t>of</w:t>
      </w:r>
      <w:r>
        <w:rPr>
          <w:color w:val="221F1F"/>
          <w:spacing w:val="-2"/>
        </w:rPr>
        <w:t xml:space="preserve"> </w:t>
      </w:r>
      <w:r>
        <w:rPr>
          <w:color w:val="221F1F"/>
        </w:rPr>
        <w:t>a</w:t>
      </w:r>
      <w:r>
        <w:rPr>
          <w:color w:val="221F1F"/>
          <w:spacing w:val="-4"/>
        </w:rPr>
        <w:t xml:space="preserve"> </w:t>
      </w:r>
      <w:r>
        <w:rPr>
          <w:color w:val="221F1F"/>
        </w:rPr>
        <w:t>tender,</w:t>
      </w:r>
      <w:r>
        <w:rPr>
          <w:color w:val="221F1F"/>
          <w:spacing w:val="-5"/>
        </w:rPr>
        <w:t xml:space="preserve"> </w:t>
      </w:r>
      <w:r>
        <w:rPr>
          <w:color w:val="221F1F"/>
        </w:rPr>
        <w:t>signed</w:t>
      </w:r>
      <w:r>
        <w:rPr>
          <w:color w:val="221F1F"/>
          <w:spacing w:val="-4"/>
        </w:rPr>
        <w:t xml:space="preserve"> </w:t>
      </w:r>
      <w:r>
        <w:rPr>
          <w:color w:val="221F1F"/>
        </w:rPr>
        <w:t>by</w:t>
      </w:r>
      <w:r>
        <w:rPr>
          <w:color w:val="221F1F"/>
          <w:spacing w:val="-2"/>
        </w:rPr>
        <w:t xml:space="preserve"> </w:t>
      </w:r>
      <w:r>
        <w:rPr>
          <w:color w:val="221F1F"/>
        </w:rPr>
        <w:t>Procuring Entity,</w:t>
      </w:r>
      <w:r>
        <w:rPr>
          <w:color w:val="221F1F"/>
          <w:spacing w:val="-9"/>
        </w:rPr>
        <w:t xml:space="preserve"> </w:t>
      </w:r>
      <w:r>
        <w:rPr>
          <w:color w:val="221F1F"/>
        </w:rPr>
        <w:t>including</w:t>
      </w:r>
      <w:r>
        <w:rPr>
          <w:color w:val="221F1F"/>
          <w:spacing w:val="-2"/>
        </w:rPr>
        <w:t xml:space="preserve"> </w:t>
      </w:r>
      <w:r>
        <w:rPr>
          <w:color w:val="221F1F"/>
        </w:rPr>
        <w:t>any annexed memoranda comprising agreements between and signed by both Parties.</w:t>
      </w:r>
    </w:p>
    <w:p w:rsidR="007F6DF9" w:rsidRDefault="00A43FBC">
      <w:pPr>
        <w:spacing w:before="236"/>
        <w:ind w:left="708"/>
      </w:pPr>
      <w:r>
        <w:rPr>
          <w:b/>
          <w:color w:val="221F1F"/>
        </w:rPr>
        <w:t>“Local</w:t>
      </w:r>
      <w:r>
        <w:rPr>
          <w:b/>
          <w:color w:val="221F1F"/>
          <w:spacing w:val="-3"/>
        </w:rPr>
        <w:t xml:space="preserve"> </w:t>
      </w:r>
      <w:r>
        <w:rPr>
          <w:b/>
          <w:color w:val="221F1F"/>
        </w:rPr>
        <w:t>Currency”</w:t>
      </w:r>
      <w:r>
        <w:rPr>
          <w:b/>
          <w:color w:val="221F1F"/>
          <w:spacing w:val="-3"/>
        </w:rPr>
        <w:t xml:space="preserve"> </w:t>
      </w:r>
      <w:r>
        <w:rPr>
          <w:color w:val="221F1F"/>
        </w:rPr>
        <w:t>means</w:t>
      </w:r>
      <w:r>
        <w:rPr>
          <w:color w:val="221F1F"/>
          <w:spacing w:val="-4"/>
        </w:rPr>
        <w:t xml:space="preserve"> </w:t>
      </w:r>
      <w:r>
        <w:rPr>
          <w:color w:val="221F1F"/>
        </w:rPr>
        <w:t>the</w:t>
      </w:r>
      <w:r>
        <w:rPr>
          <w:color w:val="221F1F"/>
          <w:spacing w:val="-3"/>
        </w:rPr>
        <w:t xml:space="preserve"> </w:t>
      </w:r>
      <w:r>
        <w:rPr>
          <w:color w:val="221F1F"/>
        </w:rPr>
        <w:t>currency</w:t>
      </w:r>
      <w:r>
        <w:rPr>
          <w:color w:val="221F1F"/>
          <w:spacing w:val="-4"/>
        </w:rPr>
        <w:t xml:space="preserve"> </w:t>
      </w:r>
      <w:r>
        <w:rPr>
          <w:color w:val="221F1F"/>
        </w:rPr>
        <w:t>of</w:t>
      </w:r>
      <w:r>
        <w:rPr>
          <w:color w:val="221F1F"/>
          <w:spacing w:val="-3"/>
        </w:rPr>
        <w:t xml:space="preserve"> </w:t>
      </w:r>
      <w:r>
        <w:rPr>
          <w:color w:val="221F1F"/>
          <w:spacing w:val="-2"/>
        </w:rPr>
        <w:t>Kenya.</w:t>
      </w:r>
    </w:p>
    <w:p w:rsidR="007F6DF9" w:rsidRDefault="00A43FBC">
      <w:pPr>
        <w:pStyle w:val="BodyText"/>
        <w:spacing w:before="243" w:line="230" w:lineRule="auto"/>
        <w:ind w:left="708"/>
      </w:pPr>
      <w:r>
        <w:rPr>
          <w:b/>
          <w:color w:val="221F1F"/>
        </w:rPr>
        <w:t>“Materials”</w:t>
      </w:r>
      <w:r>
        <w:rPr>
          <w:b/>
          <w:color w:val="221F1F"/>
          <w:spacing w:val="-1"/>
        </w:rPr>
        <w:t xml:space="preserve"> </w:t>
      </w:r>
      <w:r>
        <w:rPr>
          <w:color w:val="221F1F"/>
        </w:rPr>
        <w:t>means</w:t>
      </w:r>
      <w:r>
        <w:rPr>
          <w:color w:val="221F1F"/>
          <w:spacing w:val="-4"/>
        </w:rPr>
        <w:t xml:space="preserve"> </w:t>
      </w:r>
      <w:r>
        <w:rPr>
          <w:color w:val="221F1F"/>
        </w:rPr>
        <w:t>things</w:t>
      </w:r>
      <w:r>
        <w:rPr>
          <w:color w:val="221F1F"/>
          <w:spacing w:val="-7"/>
        </w:rPr>
        <w:t xml:space="preserve"> </w:t>
      </w:r>
      <w:r>
        <w:rPr>
          <w:color w:val="221F1F"/>
        </w:rPr>
        <w:t>of</w:t>
      </w:r>
      <w:r>
        <w:rPr>
          <w:color w:val="221F1F"/>
          <w:spacing w:val="-2"/>
        </w:rPr>
        <w:t xml:space="preserve"> </w:t>
      </w:r>
      <w:r>
        <w:rPr>
          <w:color w:val="221F1F"/>
        </w:rPr>
        <w:t>all</w:t>
      </w:r>
      <w:r>
        <w:rPr>
          <w:color w:val="221F1F"/>
          <w:spacing w:val="-1"/>
        </w:rPr>
        <w:t xml:space="preserve"> </w:t>
      </w:r>
      <w:r>
        <w:rPr>
          <w:color w:val="221F1F"/>
        </w:rPr>
        <w:t>kinds</w:t>
      </w:r>
      <w:r>
        <w:rPr>
          <w:color w:val="221F1F"/>
          <w:spacing w:val="-2"/>
        </w:rPr>
        <w:t xml:space="preserve"> </w:t>
      </w:r>
      <w:r>
        <w:rPr>
          <w:color w:val="221F1F"/>
        </w:rPr>
        <w:t>(other</w:t>
      </w:r>
      <w:r>
        <w:rPr>
          <w:color w:val="221F1F"/>
          <w:spacing w:val="-2"/>
        </w:rPr>
        <w:t xml:space="preserve"> </w:t>
      </w:r>
      <w:r>
        <w:rPr>
          <w:color w:val="221F1F"/>
        </w:rPr>
        <w:t>than</w:t>
      </w:r>
      <w:r>
        <w:rPr>
          <w:color w:val="221F1F"/>
          <w:spacing w:val="-2"/>
        </w:rPr>
        <w:t xml:space="preserve"> </w:t>
      </w:r>
      <w:r>
        <w:rPr>
          <w:color w:val="221F1F"/>
        </w:rPr>
        <w:t>Plant)</w:t>
      </w:r>
      <w:r>
        <w:rPr>
          <w:color w:val="221F1F"/>
          <w:spacing w:val="-4"/>
        </w:rPr>
        <w:t xml:space="preserve"> </w:t>
      </w:r>
      <w:r>
        <w:rPr>
          <w:color w:val="221F1F"/>
        </w:rPr>
        <w:t>intended</w:t>
      </w:r>
      <w:r>
        <w:rPr>
          <w:color w:val="221F1F"/>
          <w:spacing w:val="-5"/>
        </w:rPr>
        <w:t xml:space="preserve"> </w:t>
      </w:r>
      <w:r>
        <w:rPr>
          <w:color w:val="221F1F"/>
        </w:rPr>
        <w:t>to</w:t>
      </w:r>
      <w:r>
        <w:rPr>
          <w:color w:val="221F1F"/>
          <w:spacing w:val="-5"/>
        </w:rPr>
        <w:t xml:space="preserve"> </w:t>
      </w:r>
      <w:r>
        <w:rPr>
          <w:color w:val="221F1F"/>
        </w:rPr>
        <w:t>form</w:t>
      </w:r>
      <w:r>
        <w:rPr>
          <w:color w:val="221F1F"/>
          <w:spacing w:val="-1"/>
        </w:rPr>
        <w:t xml:space="preserve"> </w:t>
      </w:r>
      <w:r>
        <w:rPr>
          <w:color w:val="221F1F"/>
        </w:rPr>
        <w:t>or</w:t>
      </w:r>
      <w:r>
        <w:rPr>
          <w:color w:val="221F1F"/>
          <w:spacing w:val="-2"/>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Permanent</w:t>
      </w:r>
      <w:r>
        <w:rPr>
          <w:color w:val="221F1F"/>
          <w:spacing w:val="-1"/>
        </w:rPr>
        <w:t xml:space="preserve"> </w:t>
      </w:r>
      <w:r>
        <w:rPr>
          <w:color w:val="221F1F"/>
        </w:rPr>
        <w:t>Works, including the supply-only materials (if any) to be supplied by the Contractor under the Contract.</w:t>
      </w:r>
    </w:p>
    <w:p w:rsidR="007F6DF9" w:rsidRDefault="00A43FBC">
      <w:pPr>
        <w:pStyle w:val="BodyText"/>
        <w:spacing w:before="243" w:line="230" w:lineRule="auto"/>
        <w:ind w:left="708"/>
      </w:pPr>
      <w:r>
        <w:rPr>
          <w:b/>
          <w:color w:val="221F1F"/>
        </w:rPr>
        <w:t>“Notice</w:t>
      </w:r>
      <w:r>
        <w:rPr>
          <w:b/>
          <w:color w:val="221F1F"/>
          <w:spacing w:val="-1"/>
        </w:rPr>
        <w:t xml:space="preserve"> </w:t>
      </w:r>
      <w:r>
        <w:rPr>
          <w:b/>
          <w:color w:val="221F1F"/>
        </w:rPr>
        <w:t>of</w:t>
      </w:r>
      <w:r>
        <w:rPr>
          <w:b/>
          <w:color w:val="221F1F"/>
          <w:spacing w:val="-2"/>
        </w:rPr>
        <w:t xml:space="preserve"> </w:t>
      </w:r>
      <w:r>
        <w:rPr>
          <w:b/>
          <w:color w:val="221F1F"/>
        </w:rPr>
        <w:t xml:space="preserve">Dissatisfaction” </w:t>
      </w:r>
      <w:r>
        <w:rPr>
          <w:color w:val="221F1F"/>
        </w:rPr>
        <w:t>means</w:t>
      </w:r>
      <w:r>
        <w:rPr>
          <w:color w:val="221F1F"/>
          <w:spacing w:val="-3"/>
        </w:rPr>
        <w:t xml:space="preserve"> </w:t>
      </w:r>
      <w:r>
        <w:rPr>
          <w:color w:val="221F1F"/>
        </w:rPr>
        <w:t>the</w:t>
      </w:r>
      <w:r>
        <w:rPr>
          <w:color w:val="221F1F"/>
          <w:spacing w:val="-1"/>
        </w:rPr>
        <w:t xml:space="preserve"> </w:t>
      </w:r>
      <w:r>
        <w:rPr>
          <w:color w:val="221F1F"/>
        </w:rPr>
        <w:t>notice</w:t>
      </w:r>
      <w:r>
        <w:rPr>
          <w:color w:val="221F1F"/>
          <w:spacing w:val="-1"/>
        </w:rPr>
        <w:t xml:space="preserve"> </w:t>
      </w:r>
      <w:r>
        <w:rPr>
          <w:color w:val="221F1F"/>
        </w:rPr>
        <w:t>given</w:t>
      </w:r>
      <w:r>
        <w:rPr>
          <w:color w:val="221F1F"/>
          <w:spacing w:val="-1"/>
        </w:rPr>
        <w:t xml:space="preserve"> </w:t>
      </w:r>
      <w:r>
        <w:rPr>
          <w:color w:val="221F1F"/>
        </w:rPr>
        <w:t>by</w:t>
      </w:r>
      <w:r>
        <w:rPr>
          <w:color w:val="221F1F"/>
          <w:spacing w:val="-1"/>
        </w:rPr>
        <w:t xml:space="preserve"> </w:t>
      </w:r>
      <w:r>
        <w:rPr>
          <w:color w:val="221F1F"/>
        </w:rPr>
        <w:t>either</w:t>
      </w:r>
      <w:r>
        <w:rPr>
          <w:color w:val="221F1F"/>
          <w:spacing w:val="-1"/>
        </w:rPr>
        <w:t xml:space="preserve"> </w:t>
      </w:r>
      <w:r>
        <w:rPr>
          <w:color w:val="221F1F"/>
        </w:rPr>
        <w:t>Party</w:t>
      </w:r>
      <w:r>
        <w:rPr>
          <w:color w:val="221F1F"/>
          <w:spacing w:val="-4"/>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other</w:t>
      </w:r>
      <w:r>
        <w:rPr>
          <w:color w:val="221F1F"/>
          <w:spacing w:val="-1"/>
        </w:rPr>
        <w:t xml:space="preserve"> </w:t>
      </w:r>
      <w:r>
        <w:rPr>
          <w:color w:val="221F1F"/>
        </w:rPr>
        <w:t>under Sub-Clause</w:t>
      </w:r>
      <w:r>
        <w:rPr>
          <w:color w:val="221F1F"/>
          <w:spacing w:val="-3"/>
        </w:rPr>
        <w:t xml:space="preserve"> </w:t>
      </w:r>
      <w:r>
        <w:rPr>
          <w:color w:val="221F1F"/>
        </w:rPr>
        <w:t>20.3</w:t>
      </w:r>
      <w:r>
        <w:rPr>
          <w:color w:val="221F1F"/>
          <w:spacing w:val="-4"/>
        </w:rPr>
        <w:t xml:space="preserve"> </w:t>
      </w:r>
      <w:r>
        <w:rPr>
          <w:color w:val="221F1F"/>
        </w:rPr>
        <w:t>indicating</w:t>
      </w:r>
      <w:r>
        <w:rPr>
          <w:color w:val="221F1F"/>
          <w:spacing w:val="-1"/>
        </w:rPr>
        <w:t xml:space="preserve"> </w:t>
      </w:r>
      <w:r>
        <w:rPr>
          <w:color w:val="221F1F"/>
        </w:rPr>
        <w:t>its dissatisfaction and intention to commence arbitration.</w:t>
      </w:r>
    </w:p>
    <w:p w:rsidR="007F6DF9" w:rsidRDefault="00A43FBC">
      <w:pPr>
        <w:pStyle w:val="BodyText"/>
        <w:spacing w:before="245" w:line="230" w:lineRule="auto"/>
        <w:ind w:left="708" w:right="575"/>
      </w:pPr>
      <w:r>
        <w:rPr>
          <w:b/>
          <w:color w:val="221F1F"/>
        </w:rPr>
        <w:t>“Special</w:t>
      </w:r>
      <w:r>
        <w:rPr>
          <w:b/>
          <w:color w:val="221F1F"/>
          <w:spacing w:val="-1"/>
        </w:rPr>
        <w:t xml:space="preserve"> </w:t>
      </w:r>
      <w:r>
        <w:rPr>
          <w:b/>
          <w:color w:val="221F1F"/>
        </w:rPr>
        <w:t>Conditions</w:t>
      </w:r>
      <w:r>
        <w:rPr>
          <w:b/>
          <w:color w:val="221F1F"/>
          <w:spacing w:val="-2"/>
        </w:rPr>
        <w:t xml:space="preserve"> </w:t>
      </w:r>
      <w:r>
        <w:rPr>
          <w:b/>
          <w:color w:val="221F1F"/>
        </w:rPr>
        <w:t>of</w:t>
      </w:r>
      <w:r>
        <w:rPr>
          <w:b/>
          <w:color w:val="221F1F"/>
          <w:spacing w:val="-1"/>
        </w:rPr>
        <w:t xml:space="preserve"> </w:t>
      </w:r>
      <w:r>
        <w:rPr>
          <w:b/>
          <w:color w:val="221F1F"/>
        </w:rPr>
        <w:t>Contract”</w:t>
      </w:r>
      <w:r>
        <w:rPr>
          <w:b/>
          <w:color w:val="221F1F"/>
          <w:spacing w:val="-4"/>
        </w:rPr>
        <w:t xml:space="preserve"> </w:t>
      </w:r>
      <w:r>
        <w:rPr>
          <w:color w:val="221F1F"/>
        </w:rPr>
        <w:t>means</w:t>
      </w:r>
      <w:r>
        <w:rPr>
          <w:color w:val="221F1F"/>
          <w:spacing w:val="-1"/>
        </w:rPr>
        <w:t xml:space="preserve"> </w:t>
      </w:r>
      <w:r>
        <w:rPr>
          <w:color w:val="221F1F"/>
        </w:rPr>
        <w:t>the</w:t>
      </w:r>
      <w:r>
        <w:rPr>
          <w:color w:val="221F1F"/>
          <w:spacing w:val="-2"/>
        </w:rPr>
        <w:t xml:space="preserve"> </w:t>
      </w:r>
      <w:r>
        <w:rPr>
          <w:color w:val="221F1F"/>
        </w:rPr>
        <w:t>pages</w:t>
      </w:r>
      <w:r>
        <w:rPr>
          <w:color w:val="221F1F"/>
          <w:spacing w:val="-4"/>
        </w:rPr>
        <w:t xml:space="preserve"> </w:t>
      </w:r>
      <w:r>
        <w:rPr>
          <w:color w:val="221F1F"/>
        </w:rPr>
        <w:t>completed</w:t>
      </w:r>
      <w:r>
        <w:rPr>
          <w:color w:val="221F1F"/>
          <w:spacing w:val="-1"/>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entitled</w:t>
      </w:r>
      <w:r>
        <w:rPr>
          <w:color w:val="221F1F"/>
          <w:spacing w:val="-1"/>
        </w:rPr>
        <w:t xml:space="preserve"> </w:t>
      </w:r>
      <w:r>
        <w:rPr>
          <w:color w:val="221F1F"/>
        </w:rPr>
        <w:t>Special Conditions of Contract which constitute Part A of the Special Conditions.</w:t>
      </w:r>
    </w:p>
    <w:p w:rsidR="007F6DF9" w:rsidRDefault="00A43FBC">
      <w:pPr>
        <w:pStyle w:val="BodyText"/>
        <w:spacing w:before="236"/>
        <w:ind w:left="708"/>
      </w:pPr>
      <w:r>
        <w:rPr>
          <w:b/>
          <w:color w:val="221F1F"/>
        </w:rPr>
        <w:t>“Party”</w:t>
      </w:r>
      <w:r>
        <w:rPr>
          <w:b/>
          <w:color w:val="221F1F"/>
          <w:spacing w:val="-7"/>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5"/>
        </w:rPr>
        <w:t xml:space="preserve"> </w:t>
      </w:r>
      <w:r>
        <w:rPr>
          <w:color w:val="221F1F"/>
        </w:rPr>
        <w:t>or</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6"/>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context</w:t>
      </w:r>
      <w:r>
        <w:rPr>
          <w:color w:val="221F1F"/>
          <w:spacing w:val="-4"/>
        </w:rPr>
        <w:t xml:space="preserve"> </w:t>
      </w:r>
      <w:r>
        <w:rPr>
          <w:color w:val="221F1F"/>
          <w:spacing w:val="-2"/>
        </w:rPr>
        <w:t>requires.</w:t>
      </w:r>
    </w:p>
    <w:p w:rsidR="007F6DF9" w:rsidRDefault="00A43FBC">
      <w:pPr>
        <w:spacing w:before="239" w:line="463" w:lineRule="auto"/>
        <w:ind w:left="708" w:right="332"/>
      </w:pPr>
      <w:r>
        <w:rPr>
          <w:b/>
          <w:color w:val="221F1F"/>
        </w:rPr>
        <w:t xml:space="preserve">“Payment Certificate” </w:t>
      </w:r>
      <w:r>
        <w:rPr>
          <w:color w:val="221F1F"/>
        </w:rPr>
        <w:t xml:space="preserve">means a payment certificate issued under Clause 14 </w:t>
      </w:r>
      <w:r>
        <w:rPr>
          <w:color w:val="221F1F"/>
          <w:u w:val="single" w:color="221F1F"/>
        </w:rPr>
        <w:t>[Contract Price and Payment]</w:t>
      </w:r>
      <w:r>
        <w:rPr>
          <w:color w:val="221F1F"/>
        </w:rPr>
        <w:t xml:space="preserve">. </w:t>
      </w:r>
      <w:r>
        <w:rPr>
          <w:b/>
          <w:color w:val="221F1F"/>
        </w:rPr>
        <w:t xml:space="preserve">“Performance Certificate” </w:t>
      </w:r>
      <w:r>
        <w:rPr>
          <w:color w:val="221F1F"/>
        </w:rPr>
        <w:t xml:space="preserve">means the certificate issued under Sub-Clause 11.9 [Performance Certificate]. </w:t>
      </w:r>
      <w:r>
        <w:rPr>
          <w:b/>
          <w:color w:val="221F1F"/>
        </w:rPr>
        <w:t>“Performance</w:t>
      </w:r>
      <w:r>
        <w:rPr>
          <w:b/>
          <w:color w:val="221F1F"/>
          <w:spacing w:val="-2"/>
        </w:rPr>
        <w:t xml:space="preserve"> </w:t>
      </w:r>
      <w:r>
        <w:rPr>
          <w:b/>
          <w:color w:val="221F1F"/>
        </w:rPr>
        <w:t>Security”</w:t>
      </w:r>
      <w:r>
        <w:rPr>
          <w:b/>
          <w:color w:val="221F1F"/>
          <w:spacing w:val="-5"/>
        </w:rPr>
        <w:t xml:space="preserve"> </w:t>
      </w:r>
      <w:r>
        <w:rPr>
          <w:color w:val="221F1F"/>
        </w:rPr>
        <w:t>means</w:t>
      </w:r>
      <w:r>
        <w:rPr>
          <w:color w:val="221F1F"/>
          <w:spacing w:val="-2"/>
        </w:rPr>
        <w:t xml:space="preserve"> </w:t>
      </w:r>
      <w:r>
        <w:rPr>
          <w:color w:val="221F1F"/>
        </w:rPr>
        <w:t>the</w:t>
      </w:r>
      <w:r>
        <w:rPr>
          <w:color w:val="221F1F"/>
          <w:spacing w:val="-3"/>
        </w:rPr>
        <w:t xml:space="preserve"> </w:t>
      </w:r>
      <w:r>
        <w:rPr>
          <w:color w:val="221F1F"/>
        </w:rPr>
        <w:t>security</w:t>
      </w:r>
      <w:r>
        <w:rPr>
          <w:color w:val="221F1F"/>
          <w:spacing w:val="-2"/>
        </w:rPr>
        <w:t xml:space="preserve"> </w:t>
      </w:r>
      <w:r>
        <w:rPr>
          <w:color w:val="221F1F"/>
        </w:rPr>
        <w:t>(or</w:t>
      </w:r>
      <w:r>
        <w:rPr>
          <w:color w:val="221F1F"/>
          <w:spacing w:val="-2"/>
        </w:rPr>
        <w:t xml:space="preserve"> </w:t>
      </w:r>
      <w:r>
        <w:rPr>
          <w:color w:val="221F1F"/>
        </w:rPr>
        <w:t>securities,</w:t>
      </w:r>
      <w:r>
        <w:rPr>
          <w:color w:val="221F1F"/>
          <w:spacing w:val="-2"/>
        </w:rPr>
        <w:t xml:space="preserve"> </w:t>
      </w:r>
      <w:r>
        <w:rPr>
          <w:color w:val="221F1F"/>
        </w:rPr>
        <w:t>if</w:t>
      </w:r>
      <w:r>
        <w:rPr>
          <w:color w:val="221F1F"/>
          <w:spacing w:val="-2"/>
        </w:rPr>
        <w:t xml:space="preserve"> </w:t>
      </w:r>
      <w:r>
        <w:rPr>
          <w:color w:val="221F1F"/>
        </w:rPr>
        <w:t>any)</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3"/>
        </w:rPr>
        <w:t xml:space="preserve"> </w:t>
      </w:r>
      <w:r>
        <w:rPr>
          <w:color w:val="221F1F"/>
        </w:rPr>
        <w:t>4.2</w:t>
      </w:r>
      <w:r>
        <w:rPr>
          <w:color w:val="221F1F"/>
          <w:spacing w:val="-3"/>
        </w:rPr>
        <w:t xml:space="preserve"> </w:t>
      </w:r>
      <w:r>
        <w:rPr>
          <w:color w:val="221F1F"/>
        </w:rPr>
        <w:t>[Performance</w:t>
      </w:r>
      <w:r>
        <w:rPr>
          <w:color w:val="221F1F"/>
          <w:spacing w:val="-1"/>
        </w:rPr>
        <w:t xml:space="preserve"> </w:t>
      </w:r>
      <w:r>
        <w:rPr>
          <w:color w:val="221F1F"/>
        </w:rPr>
        <w:t xml:space="preserve">Security]. </w:t>
      </w:r>
      <w:r>
        <w:rPr>
          <w:b/>
          <w:color w:val="221F1F"/>
        </w:rPr>
        <w:t xml:space="preserve">“Permanent Works” </w:t>
      </w:r>
      <w:r>
        <w:rPr>
          <w:color w:val="221F1F"/>
        </w:rPr>
        <w:t>means the permanent works to be executed by the Contractor under the Contract.</w:t>
      </w:r>
    </w:p>
    <w:p w:rsidR="007F6DF9" w:rsidRDefault="00A43FBC">
      <w:pPr>
        <w:pStyle w:val="BodyText"/>
        <w:spacing w:before="1" w:line="230" w:lineRule="auto"/>
        <w:ind w:left="708" w:right="332"/>
      </w:pPr>
      <w:r>
        <w:rPr>
          <w:b/>
          <w:color w:val="221F1F"/>
        </w:rPr>
        <w:t>“Plant”</w:t>
      </w:r>
      <w:r>
        <w:rPr>
          <w:b/>
          <w:color w:val="221F1F"/>
          <w:spacing w:val="-2"/>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apparatus,</w:t>
      </w:r>
      <w:r>
        <w:rPr>
          <w:color w:val="221F1F"/>
          <w:spacing w:val="-2"/>
        </w:rPr>
        <w:t xml:space="preserve"> </w:t>
      </w:r>
      <w:r>
        <w:rPr>
          <w:color w:val="221F1F"/>
        </w:rPr>
        <w:t>machinery</w:t>
      </w:r>
      <w:r>
        <w:rPr>
          <w:color w:val="221F1F"/>
          <w:spacing w:val="-2"/>
        </w:rPr>
        <w:t xml:space="preserve"> </w:t>
      </w:r>
      <w:r>
        <w:rPr>
          <w:color w:val="221F1F"/>
        </w:rPr>
        <w:t>and</w:t>
      </w:r>
      <w:r>
        <w:rPr>
          <w:color w:val="221F1F"/>
          <w:spacing w:val="-4"/>
        </w:rPr>
        <w:t xml:space="preserve"> </w:t>
      </w:r>
      <w:r>
        <w:rPr>
          <w:color w:val="221F1F"/>
        </w:rPr>
        <w:t>other</w:t>
      </w:r>
      <w:r>
        <w:rPr>
          <w:color w:val="221F1F"/>
          <w:spacing w:val="-4"/>
        </w:rPr>
        <w:t xml:space="preserve"> </w:t>
      </w:r>
      <w:r>
        <w:rPr>
          <w:color w:val="221F1F"/>
        </w:rPr>
        <w:t>equipment</w:t>
      </w:r>
      <w:r>
        <w:rPr>
          <w:color w:val="221F1F"/>
          <w:spacing w:val="-1"/>
        </w:rPr>
        <w:t xml:space="preserve"> </w:t>
      </w:r>
      <w:r>
        <w:rPr>
          <w:color w:val="221F1F"/>
        </w:rPr>
        <w:t>intended</w:t>
      </w:r>
      <w:r>
        <w:rPr>
          <w:color w:val="221F1F"/>
          <w:spacing w:val="-4"/>
        </w:rPr>
        <w:t xml:space="preserve"> </w:t>
      </w:r>
      <w:r>
        <w:rPr>
          <w:color w:val="221F1F"/>
        </w:rPr>
        <w:t>to</w:t>
      </w:r>
      <w:r>
        <w:rPr>
          <w:color w:val="221F1F"/>
          <w:spacing w:val="-2"/>
        </w:rPr>
        <w:t xml:space="preserve"> </w:t>
      </w:r>
      <w:r>
        <w:rPr>
          <w:color w:val="221F1F"/>
        </w:rPr>
        <w:t>form</w:t>
      </w:r>
      <w:r>
        <w:rPr>
          <w:color w:val="221F1F"/>
          <w:spacing w:val="-1"/>
        </w:rPr>
        <w:t xml:space="preserve"> </w:t>
      </w:r>
      <w:r>
        <w:rPr>
          <w:color w:val="221F1F"/>
        </w:rPr>
        <w:t>or</w:t>
      </w:r>
      <w:r>
        <w:rPr>
          <w:color w:val="221F1F"/>
          <w:spacing w:val="-2"/>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Permanent Works,</w:t>
      </w:r>
      <w:r>
        <w:rPr>
          <w:color w:val="221F1F"/>
          <w:spacing w:val="-5"/>
        </w:rPr>
        <w:t xml:space="preserve"> </w:t>
      </w:r>
      <w:r>
        <w:rPr>
          <w:color w:val="221F1F"/>
        </w:rPr>
        <w:t xml:space="preserve">including vehicles purchased for the Procuring Entity and relating to the construction or operation of the </w:t>
      </w:r>
      <w:r>
        <w:rPr>
          <w:color w:val="221F1F"/>
          <w:spacing w:val="-2"/>
        </w:rPr>
        <w:t>Works.</w:t>
      </w:r>
    </w:p>
    <w:p w:rsidR="007F6DF9" w:rsidRDefault="00A43FBC">
      <w:pPr>
        <w:spacing w:before="236"/>
        <w:ind w:left="708"/>
      </w:pPr>
      <w:r>
        <w:rPr>
          <w:b/>
          <w:color w:val="221F1F"/>
        </w:rPr>
        <w:t>“Procuring</w:t>
      </w:r>
      <w:r>
        <w:rPr>
          <w:b/>
          <w:color w:val="221F1F"/>
          <w:spacing w:val="-6"/>
        </w:rPr>
        <w:t xml:space="preserve"> </w:t>
      </w:r>
      <w:r>
        <w:rPr>
          <w:b/>
          <w:color w:val="221F1F"/>
        </w:rPr>
        <w:t>Entity's</w:t>
      </w:r>
      <w:r>
        <w:rPr>
          <w:b/>
          <w:color w:val="221F1F"/>
          <w:spacing w:val="-5"/>
        </w:rPr>
        <w:t xml:space="preserve"> </w:t>
      </w:r>
      <w:r>
        <w:rPr>
          <w:b/>
          <w:color w:val="221F1F"/>
        </w:rPr>
        <w:t>Equipment”</w:t>
      </w:r>
      <w:r>
        <w:rPr>
          <w:b/>
          <w:color w:val="221F1F"/>
          <w:spacing w:val="-2"/>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apparatus,</w:t>
      </w:r>
      <w:r>
        <w:rPr>
          <w:color w:val="221F1F"/>
          <w:spacing w:val="-3"/>
        </w:rPr>
        <w:t xml:space="preserve"> </w:t>
      </w:r>
      <w:r>
        <w:rPr>
          <w:color w:val="221F1F"/>
        </w:rPr>
        <w:t>machinery</w:t>
      </w:r>
      <w:r>
        <w:rPr>
          <w:color w:val="221F1F"/>
          <w:spacing w:val="-3"/>
        </w:rPr>
        <w:t xml:space="preserve"> </w:t>
      </w:r>
      <w:r>
        <w:rPr>
          <w:color w:val="221F1F"/>
        </w:rPr>
        <w:t>and</w:t>
      </w:r>
      <w:r>
        <w:rPr>
          <w:color w:val="221F1F"/>
          <w:spacing w:val="-5"/>
        </w:rPr>
        <w:t xml:space="preserve"> </w:t>
      </w:r>
      <w:r>
        <w:rPr>
          <w:color w:val="221F1F"/>
        </w:rPr>
        <w:t>vehicles</w:t>
      </w:r>
      <w:r>
        <w:rPr>
          <w:color w:val="221F1F"/>
          <w:spacing w:val="-5"/>
        </w:rPr>
        <w:t xml:space="preserve"> </w:t>
      </w:r>
      <w:r>
        <w:rPr>
          <w:color w:val="221F1F"/>
        </w:rPr>
        <w:t>(if</w:t>
      </w:r>
      <w:r>
        <w:rPr>
          <w:color w:val="221F1F"/>
          <w:spacing w:val="-6"/>
        </w:rPr>
        <w:t xml:space="preserve"> </w:t>
      </w:r>
      <w:r>
        <w:rPr>
          <w:color w:val="221F1F"/>
        </w:rPr>
        <w:t>any)</w:t>
      </w:r>
      <w:r>
        <w:rPr>
          <w:color w:val="221F1F"/>
          <w:spacing w:val="-3"/>
        </w:rPr>
        <w:t xml:space="preserve"> </w:t>
      </w:r>
      <w:r>
        <w:rPr>
          <w:color w:val="221F1F"/>
        </w:rPr>
        <w:t>made</w:t>
      </w:r>
      <w:r>
        <w:rPr>
          <w:color w:val="221F1F"/>
          <w:spacing w:val="-5"/>
        </w:rPr>
        <w:t xml:space="preserve"> </w:t>
      </w:r>
      <w:r>
        <w:rPr>
          <w:color w:val="221F1F"/>
        </w:rPr>
        <w:t>available</w:t>
      </w:r>
      <w:r>
        <w:rPr>
          <w:color w:val="221F1F"/>
          <w:spacing w:val="-5"/>
        </w:rPr>
        <w:t xml:space="preserve"> </w:t>
      </w:r>
      <w:r>
        <w:rPr>
          <w:color w:val="221F1F"/>
        </w:rPr>
        <w:t>by</w:t>
      </w:r>
      <w:r>
        <w:rPr>
          <w:color w:val="221F1F"/>
          <w:spacing w:val="-3"/>
        </w:rPr>
        <w:t xml:space="preserve"> </w:t>
      </w:r>
      <w:r>
        <w:rPr>
          <w:color w:val="221F1F"/>
          <w:spacing w:val="-5"/>
        </w:rPr>
        <w:t>the</w:t>
      </w:r>
    </w:p>
    <w:p w:rsidR="007F6DF9" w:rsidRDefault="007F6DF9">
      <w:pPr>
        <w:sectPr w:rsidR="007F6DF9">
          <w:pgSz w:w="11920" w:h="16850"/>
          <w:pgMar w:top="360" w:right="283" w:bottom="620" w:left="141" w:header="0" w:footer="437" w:gutter="0"/>
          <w:cols w:space="720"/>
        </w:sectPr>
      </w:pPr>
    </w:p>
    <w:p w:rsidR="007F6DF9" w:rsidRDefault="007F6DF9">
      <w:pPr>
        <w:pStyle w:val="BodyText"/>
        <w:spacing w:before="217"/>
      </w:pPr>
    </w:p>
    <w:p w:rsidR="007F6DF9" w:rsidRDefault="00A43FBC">
      <w:pPr>
        <w:pStyle w:val="BodyText"/>
        <w:spacing w:line="230" w:lineRule="auto"/>
        <w:ind w:left="706" w:right="558"/>
        <w:jc w:val="both"/>
      </w:pPr>
      <w:r>
        <w:rPr>
          <w:color w:val="221F1F"/>
        </w:rPr>
        <w:t>Procuring</w:t>
      </w:r>
      <w:r>
        <w:rPr>
          <w:color w:val="221F1F"/>
          <w:spacing w:val="-1"/>
        </w:rPr>
        <w:t xml:space="preserve"> </w:t>
      </w:r>
      <w:r>
        <w:rPr>
          <w:color w:val="221F1F"/>
        </w:rPr>
        <w:t>Entity</w:t>
      </w:r>
      <w:r>
        <w:rPr>
          <w:color w:val="221F1F"/>
          <w:spacing w:val="-2"/>
        </w:rPr>
        <w:t xml:space="preserve"> </w:t>
      </w:r>
      <w:r>
        <w:rPr>
          <w:color w:val="221F1F"/>
        </w:rPr>
        <w:t>for the use</w:t>
      </w:r>
      <w:r>
        <w:rPr>
          <w:color w:val="221F1F"/>
          <w:spacing w:val="-2"/>
        </w:rPr>
        <w:t xml:space="preserve"> </w:t>
      </w:r>
      <w:r>
        <w:rPr>
          <w:color w:val="221F1F"/>
        </w:rPr>
        <w:t>of the Contract or</w:t>
      </w:r>
      <w:r>
        <w:rPr>
          <w:color w:val="221F1F"/>
          <w:spacing w:val="-1"/>
        </w:rPr>
        <w:t xml:space="preserve"> </w:t>
      </w:r>
      <w:r>
        <w:rPr>
          <w:color w:val="221F1F"/>
        </w:rPr>
        <w:t>in the execution of</w:t>
      </w:r>
      <w:r>
        <w:rPr>
          <w:color w:val="221F1F"/>
          <w:spacing w:val="-1"/>
        </w:rPr>
        <w:t xml:space="preserve"> </w:t>
      </w:r>
      <w:r>
        <w:rPr>
          <w:color w:val="221F1F"/>
        </w:rPr>
        <w:t>the</w:t>
      </w:r>
      <w:r>
        <w:rPr>
          <w:color w:val="221F1F"/>
          <w:spacing w:val="-2"/>
        </w:rPr>
        <w:t xml:space="preserve"> </w:t>
      </w:r>
      <w:r>
        <w:rPr>
          <w:color w:val="221F1F"/>
        </w:rPr>
        <w:t>Works,</w:t>
      </w:r>
      <w:r>
        <w:rPr>
          <w:color w:val="221F1F"/>
          <w:spacing w:val="-7"/>
        </w:rPr>
        <w:t xml:space="preserve"> </w:t>
      </w:r>
      <w:r>
        <w:rPr>
          <w:color w:val="221F1F"/>
        </w:rPr>
        <w:t>as</w:t>
      </w:r>
      <w:r>
        <w:rPr>
          <w:color w:val="221F1F"/>
          <w:spacing w:val="-2"/>
        </w:rPr>
        <w:t xml:space="preserve"> </w:t>
      </w:r>
      <w:r>
        <w:rPr>
          <w:color w:val="221F1F"/>
        </w:rPr>
        <w:t>stated</w:t>
      </w:r>
      <w:r>
        <w:rPr>
          <w:color w:val="221F1F"/>
          <w:spacing w:val="-2"/>
        </w:rPr>
        <w:t xml:space="preserve"> </w:t>
      </w:r>
      <w:r>
        <w:rPr>
          <w:color w:val="221F1F"/>
        </w:rPr>
        <w:t>in the Specification; but</w:t>
      </w:r>
      <w:r>
        <w:rPr>
          <w:color w:val="221F1F"/>
          <w:spacing w:val="-1"/>
        </w:rPr>
        <w:t xml:space="preserve"> </w:t>
      </w:r>
      <w:r>
        <w:rPr>
          <w:color w:val="221F1F"/>
        </w:rPr>
        <w:t>does not include Plant which has not been taken over by the Procuring Entity.</w:t>
      </w:r>
    </w:p>
    <w:p w:rsidR="007F6DF9" w:rsidRDefault="00A43FBC">
      <w:pPr>
        <w:pStyle w:val="BodyText"/>
        <w:spacing w:before="245" w:line="230" w:lineRule="auto"/>
        <w:ind w:left="706" w:right="556"/>
        <w:jc w:val="both"/>
      </w:pPr>
      <w:r>
        <w:rPr>
          <w:b/>
          <w:color w:val="221F1F"/>
        </w:rPr>
        <w:t>“Procuring</w:t>
      </w:r>
      <w:r>
        <w:rPr>
          <w:b/>
          <w:color w:val="221F1F"/>
          <w:spacing w:val="-5"/>
        </w:rPr>
        <w:t xml:space="preserve"> </w:t>
      </w:r>
      <w:r>
        <w:rPr>
          <w:b/>
          <w:color w:val="221F1F"/>
        </w:rPr>
        <w:t>Entity's</w:t>
      </w:r>
      <w:r>
        <w:rPr>
          <w:b/>
          <w:color w:val="221F1F"/>
          <w:spacing w:val="-4"/>
        </w:rPr>
        <w:t xml:space="preserve"> </w:t>
      </w:r>
      <w:r>
        <w:rPr>
          <w:b/>
          <w:color w:val="221F1F"/>
        </w:rPr>
        <w:t>Personnel”</w:t>
      </w:r>
      <w:r>
        <w:rPr>
          <w:b/>
          <w:color w:val="221F1F"/>
          <w:spacing w:val="-6"/>
        </w:rPr>
        <w:t xml:space="preserve"> </w:t>
      </w:r>
      <w:r>
        <w:rPr>
          <w:color w:val="221F1F"/>
        </w:rPr>
        <w:t>means</w:t>
      </w:r>
      <w:r>
        <w:rPr>
          <w:color w:val="221F1F"/>
          <w:spacing w:val="-6"/>
        </w:rPr>
        <w:t xml:space="preserve"> </w:t>
      </w:r>
      <w:r>
        <w:rPr>
          <w:color w:val="221F1F"/>
        </w:rPr>
        <w:t>the</w:t>
      </w:r>
      <w:r>
        <w:rPr>
          <w:color w:val="221F1F"/>
          <w:spacing w:val="-4"/>
        </w:rPr>
        <w:t xml:space="preserve"> </w:t>
      </w:r>
      <w:r>
        <w:rPr>
          <w:color w:val="221F1F"/>
        </w:rPr>
        <w:t>Engineer,</w:t>
      </w:r>
      <w:r>
        <w:rPr>
          <w:color w:val="221F1F"/>
          <w:spacing w:val="-9"/>
        </w:rPr>
        <w:t xml:space="preserve"> </w:t>
      </w:r>
      <w:r>
        <w:rPr>
          <w:color w:val="221F1F"/>
        </w:rPr>
        <w:t>the</w:t>
      </w:r>
      <w:r>
        <w:rPr>
          <w:color w:val="221F1F"/>
          <w:spacing w:val="-4"/>
        </w:rPr>
        <w:t xml:space="preserve"> </w:t>
      </w:r>
      <w:r>
        <w:rPr>
          <w:color w:val="221F1F"/>
        </w:rPr>
        <w:t>Engineer,</w:t>
      </w:r>
      <w:r>
        <w:rPr>
          <w:color w:val="221F1F"/>
          <w:spacing w:val="-6"/>
        </w:rPr>
        <w:t xml:space="preserve"> </w:t>
      </w:r>
      <w:r>
        <w:rPr>
          <w:color w:val="221F1F"/>
        </w:rPr>
        <w:t>the</w:t>
      </w:r>
      <w:r>
        <w:rPr>
          <w:color w:val="221F1F"/>
          <w:spacing w:val="-7"/>
        </w:rPr>
        <w:t xml:space="preserve"> </w:t>
      </w:r>
      <w:r>
        <w:rPr>
          <w:color w:val="221F1F"/>
        </w:rPr>
        <w:t>assistants</w:t>
      </w:r>
      <w:r>
        <w:rPr>
          <w:color w:val="221F1F"/>
          <w:spacing w:val="-8"/>
        </w:rPr>
        <w:t xml:space="preserve"> </w:t>
      </w:r>
      <w:r>
        <w:rPr>
          <w:color w:val="221F1F"/>
        </w:rPr>
        <w:t>and</w:t>
      </w:r>
      <w:r>
        <w:rPr>
          <w:color w:val="221F1F"/>
          <w:spacing w:val="-4"/>
        </w:rPr>
        <w:t xml:space="preserve"> </w:t>
      </w:r>
      <w:r>
        <w:rPr>
          <w:color w:val="221F1F"/>
        </w:rPr>
        <w:t>all</w:t>
      </w:r>
      <w:r>
        <w:rPr>
          <w:color w:val="221F1F"/>
          <w:spacing w:val="-6"/>
        </w:rPr>
        <w:t xml:space="preserve"> </w:t>
      </w:r>
      <w:r>
        <w:rPr>
          <w:color w:val="221F1F"/>
        </w:rPr>
        <w:t>other</w:t>
      </w:r>
      <w:r>
        <w:rPr>
          <w:color w:val="221F1F"/>
          <w:spacing w:val="-5"/>
        </w:rPr>
        <w:t xml:space="preserve"> </w:t>
      </w:r>
      <w:r>
        <w:rPr>
          <w:color w:val="221F1F"/>
        </w:rPr>
        <w:t>staff,</w:t>
      </w:r>
      <w:r>
        <w:rPr>
          <w:color w:val="221F1F"/>
          <w:spacing w:val="-6"/>
        </w:rPr>
        <w:t xml:space="preserve"> </w:t>
      </w:r>
      <w:r>
        <w:rPr>
          <w:color w:val="221F1F"/>
        </w:rPr>
        <w:t>labor</w:t>
      </w:r>
      <w:r>
        <w:rPr>
          <w:color w:val="221F1F"/>
          <w:spacing w:val="-6"/>
        </w:rPr>
        <w:t xml:space="preserve"> </w:t>
      </w:r>
      <w:r>
        <w:rPr>
          <w:color w:val="221F1F"/>
        </w:rPr>
        <w:t>and</w:t>
      </w:r>
      <w:r>
        <w:rPr>
          <w:color w:val="221F1F"/>
          <w:spacing w:val="-5"/>
        </w:rPr>
        <w:t xml:space="preserve"> </w:t>
      </w:r>
      <w:r>
        <w:rPr>
          <w:color w:val="221F1F"/>
        </w:rPr>
        <w:t>other employees of the Architect and of the Procuring Entity; and any other personnel notified to the Contractor, by the Procuring Entity or the Engineer, as Procuring Entity's Personnel.</w:t>
      </w:r>
    </w:p>
    <w:p w:rsidR="007F6DF9" w:rsidRDefault="00A43FBC">
      <w:pPr>
        <w:spacing w:before="237"/>
        <w:ind w:left="706"/>
      </w:pPr>
      <w:r>
        <w:rPr>
          <w:b/>
          <w:color w:val="221F1F"/>
        </w:rPr>
        <w:t>“Procuring</w:t>
      </w:r>
      <w:r>
        <w:rPr>
          <w:b/>
          <w:color w:val="221F1F"/>
          <w:spacing w:val="-6"/>
        </w:rPr>
        <w:t xml:space="preserve"> </w:t>
      </w:r>
      <w:r>
        <w:rPr>
          <w:b/>
          <w:color w:val="221F1F"/>
        </w:rPr>
        <w:t>Entity”</w:t>
      </w:r>
      <w:r>
        <w:rPr>
          <w:b/>
          <w:color w:val="221F1F"/>
          <w:spacing w:val="-6"/>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Entity</w:t>
      </w:r>
      <w:r>
        <w:rPr>
          <w:color w:val="221F1F"/>
          <w:spacing w:val="-4"/>
        </w:rPr>
        <w:t xml:space="preserve"> </w:t>
      </w:r>
      <w:r>
        <w:rPr>
          <w:color w:val="221F1F"/>
        </w:rPr>
        <w:t>named</w:t>
      </w:r>
      <w:r>
        <w:rPr>
          <w:color w:val="221F1F"/>
          <w:spacing w:val="-4"/>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Special</w:t>
      </w:r>
      <w:r>
        <w:rPr>
          <w:color w:val="221F1F"/>
          <w:spacing w:val="-3"/>
        </w:rPr>
        <w:t xml:space="preserve"> </w:t>
      </w:r>
      <w:r>
        <w:rPr>
          <w:color w:val="221F1F"/>
        </w:rPr>
        <w:t>Conditions</w:t>
      </w:r>
      <w:r>
        <w:rPr>
          <w:color w:val="221F1F"/>
          <w:spacing w:val="-4"/>
        </w:rPr>
        <w:t xml:space="preserve"> </w:t>
      </w:r>
      <w:r>
        <w:rPr>
          <w:color w:val="221F1F"/>
        </w:rPr>
        <w:t>of</w:t>
      </w:r>
      <w:r>
        <w:rPr>
          <w:color w:val="221F1F"/>
          <w:spacing w:val="-2"/>
        </w:rPr>
        <w:t xml:space="preserve"> Contract.</w:t>
      </w:r>
    </w:p>
    <w:p w:rsidR="007F6DF9" w:rsidRDefault="00A43FBC">
      <w:pPr>
        <w:pStyle w:val="BodyText"/>
        <w:spacing w:before="243" w:line="230" w:lineRule="auto"/>
        <w:ind w:left="706" w:right="555"/>
        <w:jc w:val="both"/>
      </w:pPr>
      <w:r>
        <w:rPr>
          <w:b/>
          <w:color w:val="221F1F"/>
        </w:rPr>
        <w:t>“Engineer”</w:t>
      </w:r>
      <w:r>
        <w:rPr>
          <w:b/>
          <w:color w:val="221F1F"/>
          <w:spacing w:val="-12"/>
        </w:rPr>
        <w:t xml:space="preserve"> </w:t>
      </w:r>
      <w:r>
        <w:rPr>
          <w:color w:val="221F1F"/>
        </w:rPr>
        <w:t>is</w:t>
      </w:r>
      <w:r>
        <w:rPr>
          <w:color w:val="221F1F"/>
          <w:spacing w:val="-11"/>
        </w:rPr>
        <w:t xml:space="preserve"> </w:t>
      </w:r>
      <w:r>
        <w:rPr>
          <w:color w:val="221F1F"/>
        </w:rPr>
        <w:t>the</w:t>
      </w:r>
      <w:r>
        <w:rPr>
          <w:color w:val="221F1F"/>
          <w:spacing w:val="-11"/>
        </w:rPr>
        <w:t xml:space="preserve"> </w:t>
      </w:r>
      <w:r>
        <w:rPr>
          <w:color w:val="221F1F"/>
        </w:rPr>
        <w:t>person</w:t>
      </w:r>
      <w:r>
        <w:rPr>
          <w:color w:val="221F1F"/>
          <w:spacing w:val="-14"/>
        </w:rPr>
        <w:t xml:space="preserve"> </w:t>
      </w:r>
      <w:r>
        <w:rPr>
          <w:color w:val="221F1F"/>
        </w:rPr>
        <w:t>named</w:t>
      </w:r>
      <w:r>
        <w:rPr>
          <w:color w:val="221F1F"/>
          <w:spacing w:val="-12"/>
        </w:rPr>
        <w:t xml:space="preserve"> </w:t>
      </w:r>
      <w:r>
        <w:rPr>
          <w:color w:val="221F1F"/>
        </w:rPr>
        <w:t>in</w:t>
      </w:r>
      <w:r>
        <w:rPr>
          <w:color w:val="221F1F"/>
          <w:spacing w:val="-14"/>
        </w:rPr>
        <w:t xml:space="preserve"> </w:t>
      </w:r>
      <w:r>
        <w:rPr>
          <w:color w:val="221F1F"/>
        </w:rPr>
        <w:t>the</w:t>
      </w:r>
      <w:r>
        <w:rPr>
          <w:color w:val="221F1F"/>
          <w:spacing w:val="-10"/>
        </w:rPr>
        <w:t xml:space="preserve"> </w:t>
      </w:r>
      <w:r>
        <w:rPr>
          <w:color w:val="221F1F"/>
        </w:rPr>
        <w:t>Appendix</w:t>
      </w:r>
      <w:r>
        <w:rPr>
          <w:color w:val="221F1F"/>
          <w:spacing w:val="-12"/>
        </w:rPr>
        <w:t xml:space="preserve"> </w:t>
      </w:r>
      <w:r>
        <w:rPr>
          <w:color w:val="221F1F"/>
        </w:rPr>
        <w:t>to</w:t>
      </w:r>
      <w:r>
        <w:rPr>
          <w:color w:val="221F1F"/>
          <w:spacing w:val="-12"/>
        </w:rPr>
        <w:t xml:space="preserve"> </w:t>
      </w:r>
      <w:r>
        <w:rPr>
          <w:color w:val="221F1F"/>
        </w:rPr>
        <w:t>Conditions</w:t>
      </w:r>
      <w:r>
        <w:rPr>
          <w:color w:val="221F1F"/>
          <w:spacing w:val="-11"/>
        </w:rPr>
        <w:t xml:space="preserve"> </w:t>
      </w:r>
      <w:r>
        <w:rPr>
          <w:color w:val="221F1F"/>
        </w:rPr>
        <w:t>of</w:t>
      </w:r>
      <w:r>
        <w:rPr>
          <w:color w:val="221F1F"/>
          <w:spacing w:val="-11"/>
        </w:rPr>
        <w:t xml:space="preserve"> </w:t>
      </w:r>
      <w:r>
        <w:rPr>
          <w:color w:val="221F1F"/>
        </w:rPr>
        <w:t>Contract</w:t>
      </w:r>
      <w:r>
        <w:rPr>
          <w:color w:val="221F1F"/>
          <w:spacing w:val="-10"/>
        </w:rPr>
        <w:t xml:space="preserve"> </w:t>
      </w:r>
      <w:r>
        <w:rPr>
          <w:color w:val="221F1F"/>
        </w:rPr>
        <w:t>(or</w:t>
      </w:r>
      <w:r>
        <w:rPr>
          <w:color w:val="221F1F"/>
          <w:spacing w:val="-11"/>
        </w:rPr>
        <w:t xml:space="preserve"> </w:t>
      </w:r>
      <w:r>
        <w:rPr>
          <w:color w:val="221F1F"/>
        </w:rPr>
        <w:t>any</w:t>
      </w:r>
      <w:r>
        <w:rPr>
          <w:color w:val="221F1F"/>
          <w:spacing w:val="-14"/>
        </w:rPr>
        <w:t xml:space="preserve"> </w:t>
      </w:r>
      <w:r>
        <w:rPr>
          <w:color w:val="221F1F"/>
        </w:rPr>
        <w:t>other</w:t>
      </w:r>
      <w:r>
        <w:rPr>
          <w:color w:val="221F1F"/>
          <w:spacing w:val="-10"/>
        </w:rPr>
        <w:t xml:space="preserve"> </w:t>
      </w:r>
      <w:r>
        <w:rPr>
          <w:color w:val="221F1F"/>
        </w:rPr>
        <w:t>competent</w:t>
      </w:r>
      <w:r>
        <w:rPr>
          <w:color w:val="221F1F"/>
          <w:spacing w:val="-10"/>
        </w:rPr>
        <w:t xml:space="preserve"> </w:t>
      </w:r>
      <w:r>
        <w:rPr>
          <w:color w:val="221F1F"/>
        </w:rPr>
        <w:t>person</w:t>
      </w:r>
      <w:r>
        <w:rPr>
          <w:color w:val="221F1F"/>
          <w:spacing w:val="-12"/>
        </w:rPr>
        <w:t xml:space="preserve"> </w:t>
      </w:r>
      <w:r>
        <w:rPr>
          <w:color w:val="221F1F"/>
        </w:rPr>
        <w:t>appointed by the Procuring Entity and notified to the Contractor,</w:t>
      </w:r>
      <w:r>
        <w:rPr>
          <w:color w:val="221F1F"/>
          <w:spacing w:val="-2"/>
        </w:rPr>
        <w:t xml:space="preserve"> </w:t>
      </w:r>
      <w:r>
        <w:rPr>
          <w:color w:val="221F1F"/>
        </w:rPr>
        <w:t>to act in replacement of the Engineer) who is responsible for supervising the execution of the Works and administering the Contract and shall be an “Architect” or a “Quantity Surveyor” registered under the Architects and Quantity Surveyors Act Cap 525 or an “Engineer” registered under Engineers Registration Act Cap 530.</w:t>
      </w:r>
    </w:p>
    <w:p w:rsidR="007F6DF9" w:rsidRDefault="00A43FBC">
      <w:pPr>
        <w:pStyle w:val="BodyText"/>
        <w:spacing w:before="245" w:line="230" w:lineRule="auto"/>
        <w:ind w:left="706" w:right="553"/>
        <w:jc w:val="both"/>
      </w:pPr>
      <w:r>
        <w:rPr>
          <w:b/>
          <w:color w:val="221F1F"/>
        </w:rPr>
        <w:t xml:space="preserve">“Engineer” </w:t>
      </w:r>
      <w:r>
        <w:rPr>
          <w:color w:val="221F1F"/>
        </w:rPr>
        <w:t>means the person appointed by the Procuring Entity to act as the Architect for the purposes of the Contract and named in the Special Conditions of Contract, or other person appointed from time to time by the Procuring Entity and notified to the Contractor</w:t>
      </w:r>
    </w:p>
    <w:p w:rsidR="007F6DF9" w:rsidRDefault="00A43FBC">
      <w:pPr>
        <w:pStyle w:val="BodyText"/>
        <w:spacing w:before="246" w:line="230" w:lineRule="auto"/>
        <w:ind w:left="706" w:right="555"/>
        <w:jc w:val="both"/>
      </w:pPr>
      <w:r>
        <w:rPr>
          <w:b/>
          <w:color w:val="221F1F"/>
        </w:rPr>
        <w:t xml:space="preserve">“Provisional Sum” </w:t>
      </w:r>
      <w:r>
        <w:rPr>
          <w:color w:val="221F1F"/>
        </w:rPr>
        <w:t>means a sum (if any) which is specified in the Contract as a provisional sum, for the execution of</w:t>
      </w:r>
      <w:r>
        <w:rPr>
          <w:color w:val="221F1F"/>
          <w:spacing w:val="-4"/>
        </w:rPr>
        <w:t xml:space="preserve"> </w:t>
      </w:r>
      <w:r>
        <w:rPr>
          <w:color w:val="221F1F"/>
        </w:rPr>
        <w:t>any</w:t>
      </w:r>
      <w:r>
        <w:rPr>
          <w:color w:val="221F1F"/>
          <w:spacing w:val="-5"/>
        </w:rPr>
        <w:t xml:space="preserve"> </w:t>
      </w:r>
      <w:r>
        <w:rPr>
          <w:color w:val="221F1F"/>
        </w:rPr>
        <w:t>part</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12"/>
        </w:rPr>
        <w:t xml:space="preserve"> </w:t>
      </w:r>
      <w:r>
        <w:rPr>
          <w:color w:val="221F1F"/>
        </w:rPr>
        <w:t>or</w:t>
      </w:r>
      <w:r>
        <w:rPr>
          <w:color w:val="221F1F"/>
          <w:spacing w:val="-5"/>
        </w:rPr>
        <w:t xml:space="preserve"> </w:t>
      </w:r>
      <w:r>
        <w:rPr>
          <w:color w:val="221F1F"/>
        </w:rPr>
        <w:t>for</w:t>
      </w:r>
      <w:r>
        <w:rPr>
          <w:color w:val="221F1F"/>
          <w:spacing w:val="-6"/>
        </w:rPr>
        <w:t xml:space="preserve"> </w:t>
      </w:r>
      <w:r>
        <w:rPr>
          <w:color w:val="221F1F"/>
        </w:rPr>
        <w:t>the</w:t>
      </w:r>
      <w:r>
        <w:rPr>
          <w:color w:val="221F1F"/>
          <w:spacing w:val="-5"/>
        </w:rPr>
        <w:t xml:space="preserve"> </w:t>
      </w:r>
      <w:r>
        <w:rPr>
          <w:color w:val="221F1F"/>
        </w:rPr>
        <w:t>supply</w:t>
      </w:r>
      <w:r>
        <w:rPr>
          <w:color w:val="221F1F"/>
          <w:spacing w:val="-3"/>
        </w:rPr>
        <w:t xml:space="preserve"> </w:t>
      </w:r>
      <w:r>
        <w:rPr>
          <w:color w:val="221F1F"/>
        </w:rPr>
        <w:t>of</w:t>
      </w:r>
      <w:r>
        <w:rPr>
          <w:color w:val="221F1F"/>
          <w:spacing w:val="-6"/>
        </w:rPr>
        <w:t xml:space="preserve"> </w:t>
      </w:r>
      <w:r>
        <w:rPr>
          <w:color w:val="221F1F"/>
        </w:rPr>
        <w:t>Plant,</w:t>
      </w:r>
      <w:r>
        <w:rPr>
          <w:color w:val="221F1F"/>
          <w:spacing w:val="-6"/>
        </w:rPr>
        <w:t xml:space="preserve"> </w:t>
      </w:r>
      <w:r>
        <w:rPr>
          <w:color w:val="221F1F"/>
        </w:rPr>
        <w:t>Materials</w:t>
      </w:r>
      <w:r>
        <w:rPr>
          <w:color w:val="221F1F"/>
          <w:spacing w:val="-5"/>
        </w:rPr>
        <w:t xml:space="preserve"> </w:t>
      </w:r>
      <w:r>
        <w:rPr>
          <w:color w:val="221F1F"/>
        </w:rPr>
        <w:t>or</w:t>
      </w:r>
      <w:r>
        <w:rPr>
          <w:color w:val="221F1F"/>
          <w:spacing w:val="-4"/>
        </w:rPr>
        <w:t xml:space="preserve"> </w:t>
      </w:r>
      <w:r>
        <w:rPr>
          <w:color w:val="221F1F"/>
        </w:rPr>
        <w:t>services</w:t>
      </w:r>
      <w:r>
        <w:rPr>
          <w:color w:val="221F1F"/>
          <w:spacing w:val="-3"/>
        </w:rPr>
        <w:t xml:space="preserve"> </w:t>
      </w:r>
      <w:r>
        <w:rPr>
          <w:color w:val="221F1F"/>
        </w:rPr>
        <w:t>under</w:t>
      </w:r>
      <w:r>
        <w:rPr>
          <w:color w:val="221F1F"/>
          <w:spacing w:val="-2"/>
        </w:rPr>
        <w:t xml:space="preserve"> </w:t>
      </w:r>
      <w:r>
        <w:rPr>
          <w:color w:val="221F1F"/>
        </w:rPr>
        <w:t>Sub-Clause</w:t>
      </w:r>
      <w:r>
        <w:rPr>
          <w:color w:val="221F1F"/>
          <w:spacing w:val="-3"/>
        </w:rPr>
        <w:t xml:space="preserve"> </w:t>
      </w:r>
      <w:r>
        <w:rPr>
          <w:color w:val="221F1F"/>
        </w:rPr>
        <w:t>13.5</w:t>
      </w:r>
      <w:r>
        <w:rPr>
          <w:color w:val="221F1F"/>
          <w:spacing w:val="-3"/>
        </w:rPr>
        <w:t xml:space="preserve"> </w:t>
      </w:r>
      <w:r>
        <w:rPr>
          <w:color w:val="221F1F"/>
        </w:rPr>
        <w:t>[Provisional</w:t>
      </w:r>
      <w:r>
        <w:rPr>
          <w:color w:val="221F1F"/>
          <w:spacing w:val="-2"/>
        </w:rPr>
        <w:t xml:space="preserve"> Sums].</w:t>
      </w:r>
    </w:p>
    <w:p w:rsidR="007F6DF9" w:rsidRDefault="00A43FBC">
      <w:pPr>
        <w:pStyle w:val="BodyText"/>
        <w:spacing w:before="228" w:line="251" w:lineRule="exact"/>
        <w:ind w:left="706"/>
      </w:pPr>
      <w:r>
        <w:rPr>
          <w:b/>
          <w:color w:val="221F1F"/>
        </w:rPr>
        <w:t>“Retention</w:t>
      </w:r>
      <w:r>
        <w:rPr>
          <w:b/>
          <w:color w:val="221F1F"/>
          <w:spacing w:val="-9"/>
        </w:rPr>
        <w:t xml:space="preserve"> </w:t>
      </w:r>
      <w:r>
        <w:rPr>
          <w:b/>
          <w:color w:val="221F1F"/>
        </w:rPr>
        <w:t>Money”</w:t>
      </w:r>
      <w:r>
        <w:rPr>
          <w:b/>
          <w:color w:val="221F1F"/>
          <w:spacing w:val="-3"/>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accumulated</w:t>
      </w:r>
      <w:r>
        <w:rPr>
          <w:color w:val="221F1F"/>
          <w:spacing w:val="-6"/>
        </w:rPr>
        <w:t xml:space="preserve"> </w:t>
      </w:r>
      <w:r>
        <w:rPr>
          <w:color w:val="221F1F"/>
        </w:rPr>
        <w:t>retention</w:t>
      </w:r>
      <w:r>
        <w:rPr>
          <w:color w:val="221F1F"/>
          <w:spacing w:val="-6"/>
        </w:rPr>
        <w:t xml:space="preserve"> </w:t>
      </w:r>
      <w:r>
        <w:rPr>
          <w:color w:val="221F1F"/>
        </w:rPr>
        <w:t>moneys</w:t>
      </w:r>
      <w:r>
        <w:rPr>
          <w:color w:val="221F1F"/>
          <w:spacing w:val="-4"/>
        </w:rPr>
        <w:t xml:space="preserve"> </w:t>
      </w:r>
      <w:r>
        <w:rPr>
          <w:color w:val="221F1F"/>
        </w:rPr>
        <w:t>which</w:t>
      </w:r>
      <w:r>
        <w:rPr>
          <w:color w:val="221F1F"/>
          <w:spacing w:val="-4"/>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7"/>
        </w:rPr>
        <w:t xml:space="preserve"> </w:t>
      </w:r>
      <w:r>
        <w:rPr>
          <w:color w:val="221F1F"/>
        </w:rPr>
        <w:t>retains</w:t>
      </w:r>
      <w:r>
        <w:rPr>
          <w:color w:val="221F1F"/>
          <w:spacing w:val="-4"/>
        </w:rPr>
        <w:t xml:space="preserve"> </w:t>
      </w:r>
      <w:r>
        <w:rPr>
          <w:color w:val="221F1F"/>
        </w:rPr>
        <w:t>under</w:t>
      </w:r>
      <w:r>
        <w:rPr>
          <w:color w:val="221F1F"/>
          <w:spacing w:val="-2"/>
        </w:rPr>
        <w:t xml:space="preserve"> </w:t>
      </w:r>
      <w:r>
        <w:rPr>
          <w:color w:val="221F1F"/>
        </w:rPr>
        <w:t>Sub-</w:t>
      </w:r>
      <w:r>
        <w:rPr>
          <w:color w:val="221F1F"/>
          <w:spacing w:val="-2"/>
        </w:rPr>
        <w:t>Clause</w:t>
      </w:r>
    </w:p>
    <w:p w:rsidR="007F6DF9" w:rsidRDefault="00A43FBC">
      <w:pPr>
        <w:pStyle w:val="BodyText"/>
        <w:spacing w:line="251" w:lineRule="exact"/>
        <w:ind w:left="706"/>
      </w:pPr>
      <w:r>
        <w:rPr>
          <w:color w:val="221F1F"/>
        </w:rPr>
        <w:t>14.3</w:t>
      </w:r>
      <w:r>
        <w:rPr>
          <w:color w:val="221F1F"/>
          <w:spacing w:val="-6"/>
        </w:rPr>
        <w:t xml:space="preserve"> </w:t>
      </w:r>
      <w:r>
        <w:rPr>
          <w:color w:val="221F1F"/>
        </w:rPr>
        <w:t>[Application</w:t>
      </w:r>
      <w:r>
        <w:rPr>
          <w:color w:val="221F1F"/>
          <w:spacing w:val="-9"/>
        </w:rPr>
        <w:t xml:space="preserve"> </w:t>
      </w:r>
      <w:r>
        <w:rPr>
          <w:color w:val="221F1F"/>
        </w:rPr>
        <w:t>for</w:t>
      </w:r>
      <w:r>
        <w:rPr>
          <w:color w:val="221F1F"/>
          <w:spacing w:val="-5"/>
        </w:rPr>
        <w:t xml:space="preserve"> </w:t>
      </w:r>
      <w:r>
        <w:rPr>
          <w:color w:val="221F1F"/>
        </w:rPr>
        <w:t>Interim</w:t>
      </w:r>
      <w:r>
        <w:rPr>
          <w:color w:val="221F1F"/>
          <w:spacing w:val="-5"/>
        </w:rPr>
        <w:t xml:space="preserve"> </w:t>
      </w:r>
      <w:r>
        <w:rPr>
          <w:color w:val="221F1F"/>
        </w:rPr>
        <w:t>Payment</w:t>
      </w:r>
      <w:r>
        <w:rPr>
          <w:color w:val="221F1F"/>
          <w:spacing w:val="-5"/>
        </w:rPr>
        <w:t xml:space="preserve"> </w:t>
      </w:r>
      <w:r>
        <w:rPr>
          <w:color w:val="221F1F"/>
        </w:rPr>
        <w:t>Certificates]</w:t>
      </w:r>
      <w:r>
        <w:rPr>
          <w:color w:val="221F1F"/>
          <w:spacing w:val="-5"/>
        </w:rPr>
        <w:t xml:space="preserve"> </w:t>
      </w:r>
      <w:r>
        <w:rPr>
          <w:color w:val="221F1F"/>
        </w:rPr>
        <w:t>and</w:t>
      </w:r>
      <w:r>
        <w:rPr>
          <w:color w:val="221F1F"/>
          <w:spacing w:val="-5"/>
        </w:rPr>
        <w:t xml:space="preserve"> </w:t>
      </w:r>
      <w:r>
        <w:rPr>
          <w:color w:val="221F1F"/>
        </w:rPr>
        <w:t>pays</w:t>
      </w:r>
      <w:r>
        <w:rPr>
          <w:color w:val="221F1F"/>
          <w:spacing w:val="-6"/>
        </w:rPr>
        <w:t xml:space="preserve"> </w:t>
      </w:r>
      <w:r>
        <w:rPr>
          <w:color w:val="221F1F"/>
        </w:rPr>
        <w:t>under</w:t>
      </w:r>
      <w:r>
        <w:rPr>
          <w:color w:val="221F1F"/>
          <w:spacing w:val="-6"/>
        </w:rPr>
        <w:t xml:space="preserve"> </w:t>
      </w:r>
      <w:r>
        <w:rPr>
          <w:color w:val="221F1F"/>
        </w:rPr>
        <w:t>Sub-Clause</w:t>
      </w:r>
      <w:r>
        <w:rPr>
          <w:color w:val="221F1F"/>
          <w:spacing w:val="-5"/>
        </w:rPr>
        <w:t xml:space="preserve"> </w:t>
      </w:r>
      <w:r>
        <w:rPr>
          <w:color w:val="221F1F"/>
        </w:rPr>
        <w:t>14.9</w:t>
      </w:r>
      <w:r>
        <w:rPr>
          <w:color w:val="221F1F"/>
          <w:spacing w:val="-6"/>
        </w:rPr>
        <w:t xml:space="preserve"> </w:t>
      </w:r>
      <w:r>
        <w:rPr>
          <w:color w:val="221F1F"/>
        </w:rPr>
        <w:t>[Payment</w:t>
      </w:r>
      <w:r>
        <w:rPr>
          <w:color w:val="221F1F"/>
          <w:spacing w:val="-5"/>
        </w:rPr>
        <w:t xml:space="preserve"> </w:t>
      </w:r>
      <w:r>
        <w:rPr>
          <w:color w:val="221F1F"/>
        </w:rPr>
        <w:t>of</w:t>
      </w:r>
      <w:r>
        <w:rPr>
          <w:color w:val="221F1F"/>
          <w:spacing w:val="-5"/>
        </w:rPr>
        <w:t xml:space="preserve"> </w:t>
      </w:r>
      <w:r>
        <w:rPr>
          <w:color w:val="221F1F"/>
        </w:rPr>
        <w:t>Retention</w:t>
      </w:r>
      <w:r>
        <w:rPr>
          <w:color w:val="221F1F"/>
          <w:spacing w:val="-9"/>
        </w:rPr>
        <w:t xml:space="preserve"> </w:t>
      </w:r>
      <w:r>
        <w:rPr>
          <w:color w:val="221F1F"/>
          <w:spacing w:val="-2"/>
        </w:rPr>
        <w:t>Money].</w:t>
      </w:r>
    </w:p>
    <w:p w:rsidR="007F6DF9" w:rsidRDefault="00A43FBC">
      <w:pPr>
        <w:pStyle w:val="BodyText"/>
        <w:spacing w:before="241" w:line="232" w:lineRule="auto"/>
        <w:ind w:left="706" w:right="554"/>
        <w:jc w:val="both"/>
      </w:pPr>
      <w:r>
        <w:rPr>
          <w:b/>
          <w:color w:val="221F1F"/>
        </w:rPr>
        <w:t xml:space="preserve">“Schedules” </w:t>
      </w:r>
      <w:r>
        <w:rPr>
          <w:color w:val="221F1F"/>
        </w:rPr>
        <w:t>means the document(s) entitled schedules, completed by the Contractor and submitted with the Form of Tender, as included in the Contract.</w:t>
      </w:r>
    </w:p>
    <w:p w:rsidR="007F6DF9" w:rsidRDefault="00A43FBC">
      <w:pPr>
        <w:pStyle w:val="BodyText"/>
        <w:spacing w:before="235"/>
        <w:ind w:left="706"/>
      </w:pPr>
      <w:r>
        <w:rPr>
          <w:b/>
          <w:color w:val="221F1F"/>
        </w:rPr>
        <w:t>“Section”</w:t>
      </w:r>
      <w:r>
        <w:rPr>
          <w:b/>
          <w:color w:val="221F1F"/>
          <w:spacing w:val="-6"/>
        </w:rPr>
        <w:t xml:space="preserve"> </w:t>
      </w:r>
      <w:r>
        <w:rPr>
          <w:color w:val="221F1F"/>
        </w:rPr>
        <w:t>means</w:t>
      </w:r>
      <w:r>
        <w:rPr>
          <w:color w:val="221F1F"/>
          <w:spacing w:val="-3"/>
        </w:rPr>
        <w:t xml:space="preserve"> </w:t>
      </w:r>
      <w:r>
        <w:rPr>
          <w:color w:val="221F1F"/>
        </w:rPr>
        <w:t>a</w:t>
      </w:r>
      <w:r>
        <w:rPr>
          <w:color w:val="221F1F"/>
          <w:spacing w:val="-6"/>
        </w:rPr>
        <w:t xml:space="preserve"> </w:t>
      </w:r>
      <w:r>
        <w:rPr>
          <w:color w:val="221F1F"/>
        </w:rPr>
        <w:t>part</w:t>
      </w:r>
      <w:r>
        <w:rPr>
          <w:color w:val="221F1F"/>
          <w:spacing w:val="-2"/>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Works</w:t>
      </w:r>
      <w:r>
        <w:rPr>
          <w:color w:val="221F1F"/>
          <w:spacing w:val="-6"/>
        </w:rPr>
        <w:t xml:space="preserve"> </w:t>
      </w:r>
      <w:r>
        <w:rPr>
          <w:color w:val="221F1F"/>
        </w:rPr>
        <w:t>specified</w:t>
      </w:r>
      <w:r>
        <w:rPr>
          <w:color w:val="221F1F"/>
          <w:spacing w:val="-6"/>
        </w:rPr>
        <w:t xml:space="preserve"> </w:t>
      </w:r>
      <w:r>
        <w:rPr>
          <w:color w:val="221F1F"/>
        </w:rPr>
        <w:t>in</w:t>
      </w:r>
      <w:r>
        <w:rPr>
          <w:color w:val="221F1F"/>
          <w:spacing w:val="-7"/>
        </w:rPr>
        <w:t xml:space="preserve"> </w:t>
      </w:r>
      <w:r>
        <w:rPr>
          <w:color w:val="221F1F"/>
        </w:rPr>
        <w:t>the</w:t>
      </w:r>
      <w:r>
        <w:rPr>
          <w:color w:val="221F1F"/>
          <w:spacing w:val="-3"/>
        </w:rPr>
        <w:t xml:space="preserve"> </w:t>
      </w:r>
      <w:r>
        <w:rPr>
          <w:color w:val="221F1F"/>
        </w:rPr>
        <w:t>Special</w:t>
      </w:r>
      <w:r>
        <w:rPr>
          <w:color w:val="221F1F"/>
          <w:spacing w:val="-3"/>
        </w:rPr>
        <w:t xml:space="preserve"> </w:t>
      </w:r>
      <w:r>
        <w:rPr>
          <w:color w:val="221F1F"/>
        </w:rPr>
        <w:t>Conditions</w:t>
      </w:r>
      <w:r>
        <w:rPr>
          <w:color w:val="221F1F"/>
          <w:spacing w:val="-3"/>
        </w:rPr>
        <w:t xml:space="preserve"> </w:t>
      </w:r>
      <w:r>
        <w:rPr>
          <w:color w:val="221F1F"/>
        </w:rPr>
        <w:t>of</w:t>
      </w:r>
      <w:r>
        <w:rPr>
          <w:color w:val="221F1F"/>
          <w:spacing w:val="-4"/>
        </w:rPr>
        <w:t xml:space="preserve"> </w:t>
      </w:r>
      <w:r>
        <w:rPr>
          <w:color w:val="221F1F"/>
        </w:rPr>
        <w:t>Contract</w:t>
      </w:r>
      <w:r>
        <w:rPr>
          <w:color w:val="221F1F"/>
          <w:spacing w:val="-2"/>
        </w:rPr>
        <w:t xml:space="preserve"> </w:t>
      </w:r>
      <w:r>
        <w:rPr>
          <w:color w:val="221F1F"/>
        </w:rPr>
        <w:t>as</w:t>
      </w:r>
      <w:r>
        <w:rPr>
          <w:color w:val="221F1F"/>
          <w:spacing w:val="-4"/>
        </w:rPr>
        <w:t xml:space="preserve"> </w:t>
      </w:r>
      <w:r>
        <w:rPr>
          <w:color w:val="221F1F"/>
        </w:rPr>
        <w:t>a</w:t>
      </w:r>
      <w:r>
        <w:rPr>
          <w:color w:val="221F1F"/>
          <w:spacing w:val="-3"/>
        </w:rPr>
        <w:t xml:space="preserve"> </w:t>
      </w:r>
      <w:r>
        <w:rPr>
          <w:color w:val="221F1F"/>
        </w:rPr>
        <w:t>Section</w:t>
      </w:r>
      <w:r>
        <w:rPr>
          <w:color w:val="221F1F"/>
          <w:spacing w:val="-7"/>
        </w:rPr>
        <w:t xml:space="preserve"> </w:t>
      </w:r>
      <w:r>
        <w:rPr>
          <w:color w:val="221F1F"/>
        </w:rPr>
        <w:t>(if</w:t>
      </w:r>
      <w:r>
        <w:rPr>
          <w:color w:val="221F1F"/>
          <w:spacing w:val="-3"/>
        </w:rPr>
        <w:t xml:space="preserve"> </w:t>
      </w:r>
      <w:r>
        <w:rPr>
          <w:color w:val="221F1F"/>
          <w:spacing w:val="-4"/>
        </w:rPr>
        <w:t>any)</w:t>
      </w:r>
    </w:p>
    <w:p w:rsidR="007F6DF9" w:rsidRDefault="00A43FBC">
      <w:pPr>
        <w:pStyle w:val="BodyText"/>
        <w:spacing w:before="243" w:line="230" w:lineRule="auto"/>
        <w:ind w:left="706" w:right="556"/>
        <w:jc w:val="both"/>
      </w:pPr>
      <w:r>
        <w:rPr>
          <w:b/>
          <w:color w:val="221F1F"/>
        </w:rPr>
        <w:t xml:space="preserve">“Site Investigation Reports” </w:t>
      </w:r>
      <w:r>
        <w:rPr>
          <w:color w:val="221F1F"/>
        </w:rPr>
        <w:t>are those reports that may be included in the tendering documents which a ref actual and interpretative about the surface and sub-surface condition sat the Site.</w:t>
      </w:r>
    </w:p>
    <w:p w:rsidR="007F6DF9" w:rsidRDefault="00A43FBC">
      <w:pPr>
        <w:pStyle w:val="BodyText"/>
        <w:spacing w:before="244" w:line="230" w:lineRule="auto"/>
        <w:ind w:left="706" w:right="555"/>
        <w:jc w:val="both"/>
      </w:pPr>
      <w:r>
        <w:rPr>
          <w:b/>
          <w:color w:val="221F1F"/>
        </w:rPr>
        <w:t>“Site”</w:t>
      </w:r>
      <w:r>
        <w:rPr>
          <w:b/>
          <w:color w:val="221F1F"/>
          <w:spacing w:val="-4"/>
        </w:rPr>
        <w:t xml:space="preserve"> </w:t>
      </w:r>
      <w:r>
        <w:rPr>
          <w:color w:val="221F1F"/>
        </w:rPr>
        <w:t>means</w:t>
      </w:r>
      <w:r>
        <w:rPr>
          <w:color w:val="221F1F"/>
          <w:spacing w:val="-6"/>
        </w:rPr>
        <w:t xml:space="preserve"> </w:t>
      </w:r>
      <w:r>
        <w:rPr>
          <w:color w:val="221F1F"/>
        </w:rPr>
        <w:t>the</w:t>
      </w:r>
      <w:r>
        <w:rPr>
          <w:color w:val="221F1F"/>
          <w:spacing w:val="-4"/>
        </w:rPr>
        <w:t xml:space="preserve"> </w:t>
      </w:r>
      <w:r>
        <w:rPr>
          <w:color w:val="221F1F"/>
        </w:rPr>
        <w:t>places</w:t>
      </w:r>
      <w:r>
        <w:rPr>
          <w:color w:val="221F1F"/>
          <w:spacing w:val="-3"/>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Permanent</w:t>
      </w:r>
      <w:r>
        <w:rPr>
          <w:color w:val="221F1F"/>
          <w:spacing w:val="-3"/>
        </w:rPr>
        <w:t xml:space="preserve"> </w:t>
      </w:r>
      <w:r>
        <w:rPr>
          <w:color w:val="221F1F"/>
        </w:rPr>
        <w:t>Works</w:t>
      </w:r>
      <w:r>
        <w:rPr>
          <w:color w:val="221F1F"/>
          <w:spacing w:val="-14"/>
        </w:rPr>
        <w:t xml:space="preserve"> </w:t>
      </w:r>
      <w:r>
        <w:rPr>
          <w:color w:val="221F1F"/>
        </w:rPr>
        <w:t>are</w:t>
      </w:r>
      <w:r>
        <w:rPr>
          <w:color w:val="221F1F"/>
          <w:spacing w:val="-4"/>
        </w:rPr>
        <w:t xml:space="preserve"> </w:t>
      </w:r>
      <w:r>
        <w:rPr>
          <w:color w:val="221F1F"/>
        </w:rPr>
        <w:t>to</w:t>
      </w:r>
      <w:r>
        <w:rPr>
          <w:color w:val="221F1F"/>
          <w:spacing w:val="-5"/>
        </w:rPr>
        <w:t xml:space="preserve"> </w:t>
      </w:r>
      <w:r>
        <w:rPr>
          <w:color w:val="221F1F"/>
        </w:rPr>
        <w:t>be</w:t>
      </w:r>
      <w:r>
        <w:rPr>
          <w:color w:val="221F1F"/>
          <w:spacing w:val="-4"/>
        </w:rPr>
        <w:t xml:space="preserve"> </w:t>
      </w:r>
      <w:r>
        <w:rPr>
          <w:color w:val="221F1F"/>
        </w:rPr>
        <w:t>executed,</w:t>
      </w:r>
      <w:r>
        <w:rPr>
          <w:color w:val="221F1F"/>
          <w:spacing w:val="-6"/>
        </w:rPr>
        <w:t xml:space="preserve"> </w:t>
      </w:r>
      <w:r>
        <w:rPr>
          <w:color w:val="221F1F"/>
        </w:rPr>
        <w:t>including</w:t>
      </w:r>
      <w:r>
        <w:rPr>
          <w:color w:val="221F1F"/>
          <w:spacing w:val="-7"/>
        </w:rPr>
        <w:t xml:space="preserve"> </w:t>
      </w:r>
      <w:r>
        <w:rPr>
          <w:color w:val="221F1F"/>
        </w:rPr>
        <w:t>storage</w:t>
      </w:r>
      <w:r>
        <w:rPr>
          <w:color w:val="221F1F"/>
          <w:spacing w:val="-3"/>
        </w:rPr>
        <w:t xml:space="preserve"> </w:t>
      </w:r>
      <w:r>
        <w:rPr>
          <w:color w:val="221F1F"/>
        </w:rPr>
        <w:t>and</w:t>
      </w:r>
      <w:r>
        <w:rPr>
          <w:color w:val="221F1F"/>
          <w:spacing w:val="-5"/>
        </w:rPr>
        <w:t xml:space="preserve"> </w:t>
      </w:r>
      <w:r>
        <w:rPr>
          <w:color w:val="221F1F"/>
        </w:rPr>
        <w:t>working</w:t>
      </w:r>
      <w:r>
        <w:rPr>
          <w:color w:val="221F1F"/>
          <w:spacing w:val="-4"/>
        </w:rPr>
        <w:t xml:space="preserve"> </w:t>
      </w:r>
      <w:r>
        <w:rPr>
          <w:color w:val="221F1F"/>
        </w:rPr>
        <w:t>areas,</w:t>
      </w:r>
      <w:r>
        <w:rPr>
          <w:color w:val="221F1F"/>
          <w:spacing w:val="-4"/>
        </w:rPr>
        <w:t xml:space="preserve"> </w:t>
      </w:r>
      <w:r>
        <w:rPr>
          <w:color w:val="221F1F"/>
        </w:rPr>
        <w:t>and</w:t>
      </w:r>
      <w:r>
        <w:rPr>
          <w:color w:val="221F1F"/>
          <w:spacing w:val="-4"/>
        </w:rPr>
        <w:t xml:space="preserve"> </w:t>
      </w:r>
      <w:r>
        <w:rPr>
          <w:color w:val="221F1F"/>
        </w:rPr>
        <w:t>to which Plant and Materials are to be delivered, and any other places as may be specified in the Contract as forming part of the Site.</w:t>
      </w:r>
    </w:p>
    <w:p w:rsidR="007F6DF9" w:rsidRDefault="00A43FBC">
      <w:pPr>
        <w:pStyle w:val="BodyText"/>
        <w:spacing w:before="245" w:line="230" w:lineRule="auto"/>
        <w:ind w:left="706" w:right="562"/>
        <w:jc w:val="both"/>
      </w:pPr>
      <w:r>
        <w:rPr>
          <w:b/>
          <w:color w:val="221F1F"/>
        </w:rPr>
        <w:t xml:space="preserve">“Specification” </w:t>
      </w:r>
      <w:r>
        <w:rPr>
          <w:color w:val="221F1F"/>
        </w:rPr>
        <w:t>means the document entitled specification, as included in the Contract, and any additions and modifications to the specification in accordance with the Contract. Such document specifies the Works.</w:t>
      </w:r>
    </w:p>
    <w:p w:rsidR="007F6DF9" w:rsidRDefault="00A43FBC">
      <w:pPr>
        <w:pStyle w:val="BodyText"/>
        <w:spacing w:before="244" w:line="230" w:lineRule="auto"/>
        <w:ind w:left="706" w:right="562"/>
        <w:jc w:val="both"/>
      </w:pPr>
      <w:r>
        <w:rPr>
          <w:b/>
          <w:color w:val="221F1F"/>
        </w:rPr>
        <w:t xml:space="preserve">“Start Date” or “Commencement </w:t>
      </w:r>
      <w:proofErr w:type="spellStart"/>
      <w:r>
        <w:rPr>
          <w:b/>
          <w:color w:val="221F1F"/>
        </w:rPr>
        <w:t>Date”</w:t>
      </w:r>
      <w:r>
        <w:rPr>
          <w:color w:val="221F1F"/>
        </w:rPr>
        <w:t>is</w:t>
      </w:r>
      <w:proofErr w:type="spellEnd"/>
      <w:r>
        <w:rPr>
          <w:color w:val="221F1F"/>
        </w:rPr>
        <w:t xml:space="preserve"> the latest date when the Contractor shall commence execution of the Works. It does not necessarily coincide with the Site possession date(s).</w:t>
      </w:r>
    </w:p>
    <w:p w:rsidR="007F6DF9" w:rsidRDefault="00A43FBC">
      <w:pPr>
        <w:pStyle w:val="BodyText"/>
        <w:spacing w:before="245" w:line="230" w:lineRule="auto"/>
        <w:ind w:left="706" w:right="557"/>
        <w:jc w:val="both"/>
      </w:pPr>
      <w:r>
        <w:rPr>
          <w:b/>
          <w:color w:val="221F1F"/>
        </w:rPr>
        <w:t xml:space="preserve">“Statement” </w:t>
      </w:r>
      <w:r>
        <w:rPr>
          <w:color w:val="221F1F"/>
        </w:rPr>
        <w:t>means a statement submitted by the Contractor as part of an application, under Clause 14 [Contract Price and Payment], for a payment certificate.</w:t>
      </w:r>
    </w:p>
    <w:p w:rsidR="007F6DF9" w:rsidRDefault="00A43FBC">
      <w:pPr>
        <w:pStyle w:val="BodyText"/>
        <w:spacing w:before="244" w:line="230" w:lineRule="auto"/>
        <w:ind w:left="706" w:right="563"/>
        <w:jc w:val="both"/>
      </w:pPr>
      <w:r>
        <w:rPr>
          <w:b/>
          <w:color w:val="221F1F"/>
        </w:rPr>
        <w:t xml:space="preserve">“Subcontractor” </w:t>
      </w:r>
      <w:r>
        <w:rPr>
          <w:color w:val="221F1F"/>
        </w:rPr>
        <w:t>means any person named in the Contract as a subcontractor, or any person appointed as a subcontractor, for a part of the Works.</w:t>
      </w:r>
    </w:p>
    <w:p w:rsidR="007F6DF9" w:rsidRDefault="00A43FBC">
      <w:pPr>
        <w:spacing w:before="235"/>
        <w:ind w:left="706"/>
      </w:pPr>
      <w:r>
        <w:rPr>
          <w:b/>
          <w:color w:val="221F1F"/>
        </w:rPr>
        <w:t>“Taking-Over</w:t>
      </w:r>
      <w:r>
        <w:rPr>
          <w:b/>
          <w:color w:val="221F1F"/>
          <w:spacing w:val="-6"/>
        </w:rPr>
        <w:t xml:space="preserve"> </w:t>
      </w:r>
      <w:r>
        <w:rPr>
          <w:b/>
          <w:color w:val="221F1F"/>
        </w:rPr>
        <w:t>Certificate”</w:t>
      </w:r>
      <w:r>
        <w:rPr>
          <w:b/>
          <w:color w:val="221F1F"/>
          <w:spacing w:val="-5"/>
        </w:rPr>
        <w:t xml:space="preserve"> </w:t>
      </w:r>
      <w:r>
        <w:rPr>
          <w:color w:val="221F1F"/>
        </w:rPr>
        <w:t>means</w:t>
      </w:r>
      <w:r>
        <w:rPr>
          <w:color w:val="221F1F"/>
          <w:spacing w:val="-6"/>
        </w:rPr>
        <w:t xml:space="preserve"> </w:t>
      </w:r>
      <w:r>
        <w:rPr>
          <w:color w:val="221F1F"/>
        </w:rPr>
        <w:t>a</w:t>
      </w:r>
      <w:r>
        <w:rPr>
          <w:color w:val="221F1F"/>
          <w:spacing w:val="-8"/>
        </w:rPr>
        <w:t xml:space="preserve"> </w:t>
      </w:r>
      <w:r>
        <w:rPr>
          <w:color w:val="221F1F"/>
        </w:rPr>
        <w:t>certificate</w:t>
      </w:r>
      <w:r>
        <w:rPr>
          <w:color w:val="221F1F"/>
          <w:spacing w:val="-8"/>
        </w:rPr>
        <w:t xml:space="preserve"> </w:t>
      </w:r>
      <w:r>
        <w:rPr>
          <w:color w:val="221F1F"/>
        </w:rPr>
        <w:t>issued</w:t>
      </w:r>
      <w:r>
        <w:rPr>
          <w:color w:val="221F1F"/>
          <w:spacing w:val="-7"/>
        </w:rPr>
        <w:t xml:space="preserve"> </w:t>
      </w:r>
      <w:r>
        <w:rPr>
          <w:color w:val="221F1F"/>
        </w:rPr>
        <w:t>under</w:t>
      </w:r>
      <w:r>
        <w:rPr>
          <w:color w:val="221F1F"/>
          <w:spacing w:val="-5"/>
        </w:rPr>
        <w:t xml:space="preserve"> </w:t>
      </w:r>
      <w:r>
        <w:rPr>
          <w:color w:val="221F1F"/>
        </w:rPr>
        <w:t>Clause</w:t>
      </w:r>
      <w:r>
        <w:rPr>
          <w:color w:val="221F1F"/>
          <w:spacing w:val="-6"/>
        </w:rPr>
        <w:t xml:space="preserve"> </w:t>
      </w:r>
      <w:r>
        <w:rPr>
          <w:color w:val="221F1F"/>
        </w:rPr>
        <w:t>10</w:t>
      </w:r>
      <w:r>
        <w:rPr>
          <w:color w:val="221F1F"/>
          <w:spacing w:val="-9"/>
        </w:rPr>
        <w:t xml:space="preserve"> </w:t>
      </w:r>
      <w:r>
        <w:rPr>
          <w:color w:val="221F1F"/>
        </w:rPr>
        <w:t>[Procuring</w:t>
      </w:r>
      <w:r>
        <w:rPr>
          <w:color w:val="221F1F"/>
          <w:spacing w:val="-6"/>
        </w:rPr>
        <w:t xml:space="preserve"> </w:t>
      </w:r>
      <w:r>
        <w:rPr>
          <w:color w:val="221F1F"/>
        </w:rPr>
        <w:t>Entity's</w:t>
      </w:r>
      <w:r>
        <w:rPr>
          <w:color w:val="221F1F"/>
          <w:spacing w:val="-6"/>
        </w:rPr>
        <w:t xml:space="preserve"> </w:t>
      </w:r>
      <w:r>
        <w:rPr>
          <w:color w:val="221F1F"/>
        </w:rPr>
        <w:t>Taking</w:t>
      </w:r>
      <w:r>
        <w:rPr>
          <w:color w:val="221F1F"/>
          <w:spacing w:val="-6"/>
        </w:rPr>
        <w:t xml:space="preserve"> </w:t>
      </w:r>
      <w:r>
        <w:rPr>
          <w:color w:val="221F1F"/>
          <w:spacing w:val="-2"/>
        </w:rPr>
        <w:t>Over].</w:t>
      </w:r>
    </w:p>
    <w:p w:rsidR="007F6DF9" w:rsidRDefault="00A43FBC">
      <w:pPr>
        <w:pStyle w:val="BodyText"/>
        <w:spacing w:before="241" w:line="232" w:lineRule="auto"/>
        <w:ind w:left="706" w:right="555"/>
        <w:jc w:val="both"/>
      </w:pPr>
      <w:r>
        <w:rPr>
          <w:b/>
          <w:color w:val="221F1F"/>
        </w:rPr>
        <w:t>“Temporary</w:t>
      </w:r>
      <w:r>
        <w:rPr>
          <w:b/>
          <w:color w:val="221F1F"/>
          <w:spacing w:val="-14"/>
        </w:rPr>
        <w:t xml:space="preserve"> </w:t>
      </w:r>
      <w:r>
        <w:rPr>
          <w:b/>
          <w:color w:val="221F1F"/>
        </w:rPr>
        <w:t>Works”</w:t>
      </w:r>
      <w:r>
        <w:rPr>
          <w:b/>
          <w:color w:val="221F1F"/>
          <w:spacing w:val="-14"/>
        </w:rPr>
        <w:t xml:space="preserve"> </w:t>
      </w:r>
      <w:r>
        <w:rPr>
          <w:color w:val="221F1F"/>
        </w:rPr>
        <w:t>means</w:t>
      </w:r>
      <w:r>
        <w:rPr>
          <w:color w:val="221F1F"/>
          <w:spacing w:val="-9"/>
        </w:rPr>
        <w:t xml:space="preserve"> </w:t>
      </w:r>
      <w:r>
        <w:rPr>
          <w:color w:val="221F1F"/>
        </w:rPr>
        <w:t>all</w:t>
      </w:r>
      <w:r>
        <w:rPr>
          <w:color w:val="221F1F"/>
          <w:spacing w:val="-11"/>
        </w:rPr>
        <w:t xml:space="preserve"> </w:t>
      </w:r>
      <w:r>
        <w:rPr>
          <w:color w:val="221F1F"/>
        </w:rPr>
        <w:t>temporary</w:t>
      </w:r>
      <w:r>
        <w:rPr>
          <w:color w:val="221F1F"/>
          <w:spacing w:val="-9"/>
        </w:rPr>
        <w:t xml:space="preserve"> </w:t>
      </w:r>
      <w:r>
        <w:rPr>
          <w:color w:val="221F1F"/>
        </w:rPr>
        <w:t>works</w:t>
      </w:r>
      <w:r>
        <w:rPr>
          <w:color w:val="221F1F"/>
          <w:spacing w:val="-12"/>
        </w:rPr>
        <w:t xml:space="preserve"> </w:t>
      </w:r>
      <w:r>
        <w:rPr>
          <w:color w:val="221F1F"/>
        </w:rPr>
        <w:t>of</w:t>
      </w:r>
      <w:r>
        <w:rPr>
          <w:color w:val="221F1F"/>
          <w:spacing w:val="-12"/>
        </w:rPr>
        <w:t xml:space="preserve"> </w:t>
      </w:r>
      <w:r>
        <w:rPr>
          <w:color w:val="221F1F"/>
        </w:rPr>
        <w:t>every</w:t>
      </w:r>
      <w:r>
        <w:rPr>
          <w:color w:val="221F1F"/>
          <w:spacing w:val="-10"/>
        </w:rPr>
        <w:t xml:space="preserve"> </w:t>
      </w:r>
      <w:r>
        <w:rPr>
          <w:color w:val="221F1F"/>
        </w:rPr>
        <w:t>kind</w:t>
      </w:r>
      <w:r>
        <w:rPr>
          <w:color w:val="221F1F"/>
          <w:spacing w:val="-12"/>
        </w:rPr>
        <w:t xml:space="preserve"> </w:t>
      </w:r>
      <w:r>
        <w:rPr>
          <w:color w:val="221F1F"/>
        </w:rPr>
        <w:t>(other</w:t>
      </w:r>
      <w:r>
        <w:rPr>
          <w:color w:val="221F1F"/>
          <w:spacing w:val="-11"/>
        </w:rPr>
        <w:t xml:space="preserve"> </w:t>
      </w:r>
      <w:r>
        <w:rPr>
          <w:color w:val="221F1F"/>
        </w:rPr>
        <w:t>than</w:t>
      </w:r>
      <w:r>
        <w:rPr>
          <w:color w:val="221F1F"/>
          <w:spacing w:val="-9"/>
        </w:rPr>
        <w:t xml:space="preserve"> </w:t>
      </w:r>
      <w:r>
        <w:rPr>
          <w:color w:val="221F1F"/>
        </w:rPr>
        <w:t>Contractor's</w:t>
      </w:r>
      <w:r>
        <w:rPr>
          <w:color w:val="221F1F"/>
          <w:spacing w:val="-9"/>
        </w:rPr>
        <w:t xml:space="preserve"> </w:t>
      </w:r>
      <w:r>
        <w:rPr>
          <w:color w:val="221F1F"/>
        </w:rPr>
        <w:t>Equipment)</w:t>
      </w:r>
      <w:r>
        <w:rPr>
          <w:color w:val="221F1F"/>
          <w:spacing w:val="-8"/>
        </w:rPr>
        <w:t xml:space="preserve"> </w:t>
      </w:r>
      <w:r>
        <w:rPr>
          <w:color w:val="221F1F"/>
        </w:rPr>
        <w:t>required</w:t>
      </w:r>
      <w:r>
        <w:rPr>
          <w:color w:val="221F1F"/>
          <w:spacing w:val="-12"/>
        </w:rPr>
        <w:t xml:space="preserve"> </w:t>
      </w:r>
      <w:r>
        <w:rPr>
          <w:color w:val="221F1F"/>
        </w:rPr>
        <w:t>on</w:t>
      </w:r>
      <w:r>
        <w:rPr>
          <w:color w:val="221F1F"/>
          <w:spacing w:val="-10"/>
        </w:rPr>
        <w:t xml:space="preserve"> </w:t>
      </w:r>
      <w:r>
        <w:rPr>
          <w:color w:val="221F1F"/>
        </w:rPr>
        <w:t>Site for the execution and completion of the Permanent Works</w:t>
      </w:r>
      <w:r>
        <w:rPr>
          <w:color w:val="221F1F"/>
          <w:spacing w:val="-1"/>
        </w:rPr>
        <w:t xml:space="preserve"> </w:t>
      </w:r>
      <w:r>
        <w:rPr>
          <w:color w:val="221F1F"/>
        </w:rPr>
        <w:t>and the remedying of any defects.</w:t>
      </w:r>
    </w:p>
    <w:p w:rsidR="007F6DF9" w:rsidRDefault="00A43FBC">
      <w:pPr>
        <w:pStyle w:val="BodyText"/>
        <w:spacing w:before="243" w:line="230" w:lineRule="auto"/>
        <w:ind w:left="706" w:right="553"/>
        <w:jc w:val="both"/>
      </w:pPr>
      <w:r>
        <w:rPr>
          <w:b/>
          <w:color w:val="221F1F"/>
        </w:rPr>
        <w:t>“Temporary</w:t>
      </w:r>
      <w:r>
        <w:rPr>
          <w:b/>
          <w:color w:val="221F1F"/>
          <w:spacing w:val="-14"/>
        </w:rPr>
        <w:t xml:space="preserve"> </w:t>
      </w:r>
      <w:r>
        <w:rPr>
          <w:b/>
          <w:color w:val="221F1F"/>
        </w:rPr>
        <w:t>works”</w:t>
      </w:r>
      <w:r>
        <w:rPr>
          <w:b/>
          <w:color w:val="221F1F"/>
          <w:spacing w:val="-14"/>
        </w:rPr>
        <w:t xml:space="preserve"> </w:t>
      </w:r>
      <w:r>
        <w:rPr>
          <w:color w:val="221F1F"/>
        </w:rPr>
        <w:t>means</w:t>
      </w:r>
      <w:r>
        <w:rPr>
          <w:color w:val="221F1F"/>
          <w:spacing w:val="-14"/>
        </w:rPr>
        <w:t xml:space="preserve"> </w:t>
      </w:r>
      <w:r>
        <w:rPr>
          <w:color w:val="221F1F"/>
        </w:rPr>
        <w:t>works</w:t>
      </w:r>
      <w:r>
        <w:rPr>
          <w:color w:val="221F1F"/>
          <w:spacing w:val="-13"/>
        </w:rPr>
        <w:t xml:space="preserve"> </w:t>
      </w:r>
      <w:r>
        <w:rPr>
          <w:color w:val="221F1F"/>
        </w:rPr>
        <w:t>designed,</w:t>
      </w:r>
      <w:r>
        <w:rPr>
          <w:color w:val="221F1F"/>
          <w:spacing w:val="-14"/>
        </w:rPr>
        <w:t xml:space="preserve"> </w:t>
      </w:r>
      <w:r>
        <w:rPr>
          <w:color w:val="221F1F"/>
        </w:rPr>
        <w:t>constructed,</w:t>
      </w:r>
      <w:r>
        <w:rPr>
          <w:color w:val="221F1F"/>
          <w:spacing w:val="-14"/>
        </w:rPr>
        <w:t xml:space="preserve"> </w:t>
      </w:r>
      <w:r>
        <w:rPr>
          <w:color w:val="221F1F"/>
        </w:rPr>
        <w:t>installed,</w:t>
      </w:r>
      <w:r>
        <w:rPr>
          <w:color w:val="221F1F"/>
          <w:spacing w:val="-14"/>
        </w:rPr>
        <w:t xml:space="preserve"> </w:t>
      </w:r>
      <w:r>
        <w:rPr>
          <w:color w:val="221F1F"/>
        </w:rPr>
        <w:t>and</w:t>
      </w:r>
      <w:r>
        <w:rPr>
          <w:color w:val="221F1F"/>
          <w:spacing w:val="-13"/>
        </w:rPr>
        <w:t xml:space="preserve"> </w:t>
      </w:r>
      <w:r>
        <w:rPr>
          <w:color w:val="221F1F"/>
        </w:rPr>
        <w:t>removed</w:t>
      </w:r>
      <w:r>
        <w:rPr>
          <w:color w:val="221F1F"/>
          <w:spacing w:val="-14"/>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which</w:t>
      </w:r>
      <w:r>
        <w:rPr>
          <w:color w:val="221F1F"/>
          <w:spacing w:val="-14"/>
        </w:rPr>
        <w:t xml:space="preserve"> </w:t>
      </w:r>
      <w:r>
        <w:rPr>
          <w:color w:val="221F1F"/>
        </w:rPr>
        <w:t>are</w:t>
      </w:r>
      <w:r>
        <w:rPr>
          <w:color w:val="221F1F"/>
          <w:spacing w:val="-14"/>
        </w:rPr>
        <w:t xml:space="preserve"> </w:t>
      </w:r>
      <w:r>
        <w:rPr>
          <w:color w:val="221F1F"/>
        </w:rPr>
        <w:t>needed for construction or installation of the Works.</w:t>
      </w:r>
    </w:p>
    <w:p w:rsidR="007F6DF9" w:rsidRDefault="00A43FBC">
      <w:pPr>
        <w:pStyle w:val="BodyText"/>
        <w:spacing w:before="244" w:line="230" w:lineRule="auto"/>
        <w:ind w:left="706" w:right="556"/>
        <w:jc w:val="both"/>
      </w:pPr>
      <w:r>
        <w:rPr>
          <w:b/>
          <w:color w:val="221F1F"/>
        </w:rPr>
        <w:t xml:space="preserve">“Tender” </w:t>
      </w:r>
      <w:r>
        <w:rPr>
          <w:color w:val="221F1F"/>
        </w:rPr>
        <w:t>means the Form of Tender and all other documents which the Contractor submitted with the Form of Tender, as included in the Contract.</w:t>
      </w:r>
    </w:p>
    <w:p w:rsidR="007F6DF9" w:rsidRDefault="00A43FBC">
      <w:pPr>
        <w:spacing w:before="236"/>
        <w:ind w:left="706"/>
      </w:pPr>
      <w:r>
        <w:rPr>
          <w:b/>
          <w:color w:val="221F1F"/>
        </w:rPr>
        <w:t>“Tests</w:t>
      </w:r>
      <w:r>
        <w:rPr>
          <w:b/>
          <w:color w:val="221F1F"/>
          <w:spacing w:val="-6"/>
        </w:rPr>
        <w:t xml:space="preserve"> </w:t>
      </w:r>
      <w:r>
        <w:rPr>
          <w:b/>
          <w:color w:val="221F1F"/>
        </w:rPr>
        <w:t>after</w:t>
      </w:r>
      <w:r>
        <w:rPr>
          <w:b/>
          <w:color w:val="221F1F"/>
          <w:spacing w:val="-4"/>
        </w:rPr>
        <w:t xml:space="preserve"> </w:t>
      </w:r>
      <w:r>
        <w:rPr>
          <w:b/>
          <w:color w:val="221F1F"/>
        </w:rPr>
        <w:t>Completion”</w:t>
      </w:r>
      <w:r>
        <w:rPr>
          <w:b/>
          <w:color w:val="221F1F"/>
          <w:spacing w:val="-5"/>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tests</w:t>
      </w:r>
      <w:r>
        <w:rPr>
          <w:color w:val="221F1F"/>
          <w:spacing w:val="-6"/>
        </w:rPr>
        <w:t xml:space="preserve"> </w:t>
      </w:r>
      <w:r>
        <w:rPr>
          <w:color w:val="221F1F"/>
        </w:rPr>
        <w:t>(if</w:t>
      </w:r>
      <w:r>
        <w:rPr>
          <w:color w:val="221F1F"/>
          <w:spacing w:val="-4"/>
        </w:rPr>
        <w:t xml:space="preserve"> </w:t>
      </w:r>
      <w:r>
        <w:rPr>
          <w:color w:val="221F1F"/>
        </w:rPr>
        <w:t>any)</w:t>
      </w:r>
      <w:r>
        <w:rPr>
          <w:color w:val="221F1F"/>
          <w:spacing w:val="-3"/>
        </w:rPr>
        <w:t xml:space="preserve"> </w:t>
      </w:r>
      <w:r>
        <w:rPr>
          <w:color w:val="221F1F"/>
        </w:rPr>
        <w:t>which</w:t>
      </w:r>
      <w:r>
        <w:rPr>
          <w:color w:val="221F1F"/>
          <w:spacing w:val="-4"/>
        </w:rPr>
        <w:t xml:space="preserve"> </w:t>
      </w:r>
      <w:r>
        <w:rPr>
          <w:color w:val="221F1F"/>
        </w:rPr>
        <w:t>are</w:t>
      </w:r>
      <w:r>
        <w:rPr>
          <w:color w:val="221F1F"/>
          <w:spacing w:val="-4"/>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4"/>
        </w:rPr>
        <w:t xml:space="preserve"> </w:t>
      </w:r>
      <w:r>
        <w:rPr>
          <w:color w:val="221F1F"/>
        </w:rPr>
        <w:t>which</w:t>
      </w:r>
      <w:r>
        <w:rPr>
          <w:color w:val="221F1F"/>
          <w:spacing w:val="-6"/>
        </w:rPr>
        <w:t xml:space="preserve"> </w:t>
      </w:r>
      <w:r>
        <w:rPr>
          <w:color w:val="221F1F"/>
        </w:rPr>
        <w:t>are</w:t>
      </w:r>
      <w:r>
        <w:rPr>
          <w:color w:val="221F1F"/>
          <w:spacing w:val="-4"/>
        </w:rPr>
        <w:t xml:space="preserve"> </w:t>
      </w:r>
      <w:r>
        <w:rPr>
          <w:color w:val="221F1F"/>
        </w:rPr>
        <w:t>carried</w:t>
      </w:r>
      <w:r>
        <w:rPr>
          <w:color w:val="221F1F"/>
          <w:spacing w:val="-4"/>
        </w:rPr>
        <w:t xml:space="preserve"> </w:t>
      </w:r>
      <w:r>
        <w:rPr>
          <w:color w:val="221F1F"/>
        </w:rPr>
        <w:t>out</w:t>
      </w:r>
      <w:r>
        <w:rPr>
          <w:color w:val="221F1F"/>
          <w:spacing w:val="-3"/>
        </w:rPr>
        <w:t xml:space="preserve"> </w:t>
      </w:r>
      <w:r>
        <w:rPr>
          <w:color w:val="221F1F"/>
          <w:spacing w:val="-5"/>
        </w:rPr>
        <w:t>in</w:t>
      </w:r>
    </w:p>
    <w:p w:rsidR="007F6DF9" w:rsidRDefault="007F6DF9">
      <w:pPr>
        <w:sectPr w:rsidR="007F6DF9">
          <w:pgSz w:w="11920" w:h="16850"/>
          <w:pgMar w:top="360" w:right="283" w:bottom="620" w:left="141" w:header="0" w:footer="437" w:gutter="0"/>
          <w:cols w:space="720"/>
        </w:sectPr>
      </w:pPr>
    </w:p>
    <w:p w:rsidR="007F6DF9" w:rsidRDefault="007F6DF9">
      <w:pPr>
        <w:pStyle w:val="BodyText"/>
        <w:spacing w:before="222"/>
      </w:pPr>
    </w:p>
    <w:p w:rsidR="007F6DF9" w:rsidRDefault="00A43FBC">
      <w:pPr>
        <w:pStyle w:val="BodyText"/>
        <w:spacing w:line="230" w:lineRule="auto"/>
        <w:ind w:left="711" w:right="614"/>
        <w:jc w:val="both"/>
      </w:pPr>
      <w:r>
        <w:rPr>
          <w:color w:val="221F1F"/>
        </w:rPr>
        <w:t>accordance</w:t>
      </w:r>
      <w:r>
        <w:rPr>
          <w:color w:val="221F1F"/>
          <w:spacing w:val="-2"/>
        </w:rPr>
        <w:t xml:space="preserve"> </w:t>
      </w:r>
      <w:r>
        <w:rPr>
          <w:color w:val="221F1F"/>
        </w:rPr>
        <w:t>with</w:t>
      </w:r>
      <w:r>
        <w:rPr>
          <w:color w:val="221F1F"/>
          <w:spacing w:val="-5"/>
        </w:rPr>
        <w:t xml:space="preserve"> </w:t>
      </w:r>
      <w:r>
        <w:rPr>
          <w:color w:val="221F1F"/>
        </w:rPr>
        <w:t>the</w:t>
      </w:r>
      <w:r>
        <w:rPr>
          <w:color w:val="221F1F"/>
          <w:spacing w:val="-2"/>
        </w:rPr>
        <w:t xml:space="preserve"> </w:t>
      </w:r>
      <w:r>
        <w:rPr>
          <w:color w:val="221F1F"/>
        </w:rPr>
        <w:t>Specification</w:t>
      </w:r>
      <w:r>
        <w:rPr>
          <w:color w:val="221F1F"/>
          <w:spacing w:val="-2"/>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Works</w:t>
      </w:r>
      <w:r>
        <w:rPr>
          <w:color w:val="221F1F"/>
          <w:spacing w:val="-2"/>
        </w:rPr>
        <w:t xml:space="preserve"> </w:t>
      </w:r>
      <w:r>
        <w:rPr>
          <w:color w:val="221F1F"/>
        </w:rPr>
        <w:t>or</w:t>
      </w:r>
      <w:r>
        <w:rPr>
          <w:color w:val="221F1F"/>
          <w:spacing w:val="-2"/>
        </w:rPr>
        <w:t xml:space="preserve"> </w:t>
      </w:r>
      <w:r>
        <w:rPr>
          <w:color w:val="221F1F"/>
        </w:rPr>
        <w:t>a</w:t>
      </w:r>
      <w:r>
        <w:rPr>
          <w:color w:val="221F1F"/>
          <w:spacing w:val="-4"/>
        </w:rPr>
        <w:t xml:space="preserve"> </w:t>
      </w:r>
      <w:r>
        <w:rPr>
          <w:color w:val="221F1F"/>
        </w:rPr>
        <w:t>Section</w:t>
      </w:r>
      <w:r>
        <w:rPr>
          <w:color w:val="221F1F"/>
          <w:spacing w:val="-5"/>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case</w:t>
      </w:r>
      <w:r>
        <w:rPr>
          <w:color w:val="221F1F"/>
          <w:spacing w:val="-2"/>
        </w:rPr>
        <w:t xml:space="preserve"> </w:t>
      </w:r>
      <w:r>
        <w:rPr>
          <w:color w:val="221F1F"/>
        </w:rPr>
        <w:t>may</w:t>
      </w:r>
      <w:r>
        <w:rPr>
          <w:color w:val="221F1F"/>
          <w:spacing w:val="-2"/>
        </w:rPr>
        <w:t xml:space="preserve"> </w:t>
      </w:r>
      <w:r>
        <w:rPr>
          <w:color w:val="221F1F"/>
        </w:rPr>
        <w:t>be) are</w:t>
      </w:r>
      <w:r>
        <w:rPr>
          <w:color w:val="221F1F"/>
          <w:spacing w:val="-2"/>
        </w:rPr>
        <w:t xml:space="preserve"> </w:t>
      </w:r>
      <w:r>
        <w:rPr>
          <w:color w:val="221F1F"/>
        </w:rPr>
        <w:t>taken</w:t>
      </w:r>
      <w:r>
        <w:rPr>
          <w:color w:val="221F1F"/>
          <w:spacing w:val="-2"/>
        </w:rPr>
        <w:t xml:space="preserve"> </w:t>
      </w:r>
      <w:r>
        <w:rPr>
          <w:color w:val="221F1F"/>
        </w:rPr>
        <w:t>over</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 xml:space="preserve">Procuring </w:t>
      </w:r>
      <w:r>
        <w:rPr>
          <w:color w:val="221F1F"/>
          <w:spacing w:val="-2"/>
        </w:rPr>
        <w:t>Entity.</w:t>
      </w:r>
    </w:p>
    <w:p w:rsidR="007F6DF9" w:rsidRDefault="00A43FBC">
      <w:pPr>
        <w:pStyle w:val="BodyText"/>
        <w:spacing w:before="244" w:line="230" w:lineRule="auto"/>
        <w:ind w:left="711" w:right="565"/>
        <w:jc w:val="both"/>
      </w:pPr>
      <w:r>
        <w:rPr>
          <w:b/>
          <w:color w:val="221F1F"/>
        </w:rPr>
        <w:t>“</w:t>
      </w:r>
      <w:proofErr w:type="spellStart"/>
      <w:r>
        <w:rPr>
          <w:b/>
          <w:color w:val="221F1F"/>
        </w:rPr>
        <w:t>Testson</w:t>
      </w:r>
      <w:proofErr w:type="spellEnd"/>
      <w:r>
        <w:rPr>
          <w:b/>
          <w:color w:val="221F1F"/>
          <w:spacing w:val="-2"/>
        </w:rPr>
        <w:t xml:space="preserve"> </w:t>
      </w:r>
      <w:r>
        <w:rPr>
          <w:b/>
          <w:color w:val="221F1F"/>
        </w:rPr>
        <w:t>Completion”</w:t>
      </w:r>
      <w:r>
        <w:rPr>
          <w:b/>
          <w:color w:val="221F1F"/>
          <w:spacing w:val="-4"/>
        </w:rPr>
        <w:t xml:space="preserve"> </w:t>
      </w:r>
      <w:r>
        <w:rPr>
          <w:color w:val="221F1F"/>
        </w:rPr>
        <w:t>means</w:t>
      </w:r>
      <w:r>
        <w:rPr>
          <w:color w:val="221F1F"/>
          <w:spacing w:val="-3"/>
        </w:rPr>
        <w:t xml:space="preserve"> </w:t>
      </w:r>
      <w:r>
        <w:rPr>
          <w:color w:val="221F1F"/>
        </w:rPr>
        <w:t>the</w:t>
      </w:r>
      <w:r>
        <w:rPr>
          <w:color w:val="221F1F"/>
          <w:spacing w:val="-3"/>
        </w:rPr>
        <w:t xml:space="preserve"> </w:t>
      </w:r>
      <w:r>
        <w:rPr>
          <w:color w:val="221F1F"/>
        </w:rPr>
        <w:t>tests</w:t>
      </w:r>
      <w:r>
        <w:rPr>
          <w:color w:val="221F1F"/>
          <w:spacing w:val="-3"/>
        </w:rPr>
        <w:t xml:space="preserve"> </w:t>
      </w:r>
      <w:r>
        <w:rPr>
          <w:color w:val="221F1F"/>
        </w:rPr>
        <w:t>which</w:t>
      </w:r>
      <w:r>
        <w:rPr>
          <w:color w:val="221F1F"/>
          <w:spacing w:val="-2"/>
        </w:rPr>
        <w:t xml:space="preserve"> </w:t>
      </w:r>
      <w:r>
        <w:rPr>
          <w:color w:val="221F1F"/>
        </w:rPr>
        <w:t>are</w:t>
      </w:r>
      <w:r>
        <w:rPr>
          <w:color w:val="221F1F"/>
          <w:spacing w:val="-1"/>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agreed</w:t>
      </w:r>
      <w:r>
        <w:rPr>
          <w:color w:val="221F1F"/>
          <w:spacing w:val="-1"/>
        </w:rPr>
        <w:t xml:space="preserve"> </w:t>
      </w:r>
      <w:r>
        <w:rPr>
          <w:color w:val="221F1F"/>
        </w:rPr>
        <w:t>by</w:t>
      </w:r>
      <w:r>
        <w:rPr>
          <w:color w:val="221F1F"/>
          <w:spacing w:val="-2"/>
        </w:rPr>
        <w:t xml:space="preserve"> </w:t>
      </w:r>
      <w:r>
        <w:rPr>
          <w:color w:val="221F1F"/>
        </w:rPr>
        <w:t>both</w:t>
      </w:r>
      <w:r>
        <w:rPr>
          <w:color w:val="221F1F"/>
          <w:spacing w:val="-3"/>
        </w:rPr>
        <w:t xml:space="preserve"> </w:t>
      </w:r>
      <w:r>
        <w:rPr>
          <w:color w:val="221F1F"/>
        </w:rPr>
        <w:t>Parties</w:t>
      </w:r>
      <w:r>
        <w:rPr>
          <w:color w:val="221F1F"/>
          <w:spacing w:val="-1"/>
        </w:rPr>
        <w:t xml:space="preserve"> </w:t>
      </w:r>
      <w:r>
        <w:rPr>
          <w:color w:val="221F1F"/>
        </w:rPr>
        <w:t>or</w:t>
      </w:r>
      <w:r>
        <w:rPr>
          <w:color w:val="221F1F"/>
          <w:spacing w:val="-3"/>
        </w:rPr>
        <w:t xml:space="preserve"> </w:t>
      </w:r>
      <w:r>
        <w:rPr>
          <w:color w:val="221F1F"/>
        </w:rPr>
        <w:t>instructed</w:t>
      </w:r>
      <w:r>
        <w:rPr>
          <w:color w:val="221F1F"/>
          <w:spacing w:val="-4"/>
        </w:rPr>
        <w:t xml:space="preserve"> </w:t>
      </w:r>
      <w:r>
        <w:rPr>
          <w:color w:val="221F1F"/>
        </w:rPr>
        <w:t>as a Variation, and which are carried out under Clause 9 [Tests</w:t>
      </w:r>
      <w:r>
        <w:rPr>
          <w:color w:val="221F1F"/>
          <w:spacing w:val="-1"/>
        </w:rPr>
        <w:t xml:space="preserve"> </w:t>
      </w:r>
      <w:r>
        <w:rPr>
          <w:color w:val="221F1F"/>
        </w:rPr>
        <w:t>on Completion] before the Works</w:t>
      </w:r>
      <w:r>
        <w:rPr>
          <w:color w:val="221F1F"/>
          <w:spacing w:val="-3"/>
        </w:rPr>
        <w:t xml:space="preserve"> </w:t>
      </w:r>
      <w:r>
        <w:rPr>
          <w:color w:val="221F1F"/>
        </w:rPr>
        <w:t>or a Section (as the case may be) are taken over by the Procuring Entity.</w:t>
      </w:r>
    </w:p>
    <w:p w:rsidR="007F6DF9" w:rsidRDefault="00A43FBC">
      <w:pPr>
        <w:pStyle w:val="BodyText"/>
        <w:spacing w:before="244" w:line="230" w:lineRule="auto"/>
        <w:ind w:left="711" w:right="568" w:hanging="3"/>
        <w:jc w:val="both"/>
      </w:pPr>
      <w:r>
        <w:rPr>
          <w:b/>
          <w:color w:val="221F1F"/>
        </w:rPr>
        <w:t>“Time</w:t>
      </w:r>
      <w:r>
        <w:rPr>
          <w:b/>
          <w:color w:val="221F1F"/>
          <w:spacing w:val="-3"/>
        </w:rPr>
        <w:t xml:space="preserve"> </w:t>
      </w:r>
      <w:r>
        <w:rPr>
          <w:b/>
          <w:color w:val="221F1F"/>
        </w:rPr>
        <w:t>for</w:t>
      </w:r>
      <w:r>
        <w:rPr>
          <w:b/>
          <w:color w:val="221F1F"/>
          <w:spacing w:val="-1"/>
        </w:rPr>
        <w:t xml:space="preserve"> </w:t>
      </w:r>
      <w:r>
        <w:rPr>
          <w:b/>
          <w:color w:val="221F1F"/>
        </w:rPr>
        <w:t>Completion”</w:t>
      </w:r>
      <w:r>
        <w:rPr>
          <w:b/>
          <w:color w:val="221F1F"/>
          <w:spacing w:val="-3"/>
        </w:rPr>
        <w:t xml:space="preserve"> </w:t>
      </w:r>
      <w:r>
        <w:rPr>
          <w:color w:val="221F1F"/>
        </w:rPr>
        <w:t>means</w:t>
      </w:r>
      <w:r>
        <w:rPr>
          <w:color w:val="221F1F"/>
          <w:spacing w:val="-3"/>
        </w:rPr>
        <w:t xml:space="preserve"> </w:t>
      </w:r>
      <w:r>
        <w:rPr>
          <w:color w:val="221F1F"/>
        </w:rPr>
        <w:t>the</w:t>
      </w:r>
      <w:r>
        <w:rPr>
          <w:color w:val="221F1F"/>
          <w:spacing w:val="-3"/>
        </w:rPr>
        <w:t xml:space="preserve"> </w:t>
      </w:r>
      <w:r>
        <w:rPr>
          <w:color w:val="221F1F"/>
        </w:rPr>
        <w:t>time</w:t>
      </w:r>
      <w:r>
        <w:rPr>
          <w:color w:val="221F1F"/>
          <w:spacing w:val="-3"/>
        </w:rPr>
        <w:t xml:space="preserve"> </w:t>
      </w:r>
      <w:r>
        <w:rPr>
          <w:color w:val="221F1F"/>
        </w:rPr>
        <w:t>for</w:t>
      </w:r>
      <w:r>
        <w:rPr>
          <w:color w:val="221F1F"/>
          <w:spacing w:val="-1"/>
        </w:rPr>
        <w:t xml:space="preserve"> </w:t>
      </w:r>
      <w:r>
        <w:rPr>
          <w:color w:val="221F1F"/>
        </w:rPr>
        <w:t>completing</w:t>
      </w:r>
      <w:r>
        <w:rPr>
          <w:color w:val="221F1F"/>
          <w:spacing w:val="-1"/>
        </w:rPr>
        <w:t xml:space="preserve"> </w:t>
      </w:r>
      <w:r>
        <w:rPr>
          <w:color w:val="221F1F"/>
        </w:rPr>
        <w:t>the</w:t>
      </w:r>
      <w:r>
        <w:rPr>
          <w:color w:val="221F1F"/>
          <w:spacing w:val="-3"/>
        </w:rPr>
        <w:t xml:space="preserve"> </w:t>
      </w:r>
      <w:r>
        <w:rPr>
          <w:color w:val="221F1F"/>
        </w:rPr>
        <w:t>Works</w:t>
      </w:r>
      <w:r>
        <w:rPr>
          <w:color w:val="221F1F"/>
          <w:spacing w:val="-1"/>
        </w:rPr>
        <w:t xml:space="preserve"> </w:t>
      </w:r>
      <w:r>
        <w:rPr>
          <w:color w:val="221F1F"/>
        </w:rPr>
        <w:t>or</w:t>
      </w:r>
      <w:r>
        <w:rPr>
          <w:color w:val="221F1F"/>
          <w:spacing w:val="-1"/>
        </w:rPr>
        <w:t xml:space="preserve"> </w:t>
      </w:r>
      <w:r>
        <w:rPr>
          <w:color w:val="221F1F"/>
        </w:rPr>
        <w:t>a</w:t>
      </w:r>
      <w:r>
        <w:rPr>
          <w:color w:val="221F1F"/>
          <w:spacing w:val="-1"/>
        </w:rPr>
        <w:t xml:space="preserve"> </w:t>
      </w:r>
      <w:r>
        <w:rPr>
          <w:color w:val="221F1F"/>
        </w:rPr>
        <w:t>Section</w:t>
      </w:r>
      <w:r>
        <w:rPr>
          <w:color w:val="221F1F"/>
          <w:spacing w:val="-4"/>
        </w:rPr>
        <w:t xml:space="preserve"> </w:t>
      </w:r>
      <w:r>
        <w:rPr>
          <w:color w:val="221F1F"/>
        </w:rPr>
        <w:t>(as</w:t>
      </w:r>
      <w:r>
        <w:rPr>
          <w:color w:val="221F1F"/>
          <w:spacing w:val="-1"/>
        </w:rPr>
        <w:t xml:space="preserve"> </w:t>
      </w:r>
      <w:r>
        <w:rPr>
          <w:color w:val="221F1F"/>
        </w:rPr>
        <w:t>the</w:t>
      </w:r>
      <w:r>
        <w:rPr>
          <w:color w:val="221F1F"/>
          <w:spacing w:val="-3"/>
        </w:rPr>
        <w:t xml:space="preserve"> </w:t>
      </w:r>
      <w:r>
        <w:rPr>
          <w:color w:val="221F1F"/>
        </w:rPr>
        <w:t>case</w:t>
      </w:r>
      <w:r>
        <w:rPr>
          <w:color w:val="221F1F"/>
          <w:spacing w:val="-3"/>
        </w:rPr>
        <w:t xml:space="preserve"> </w:t>
      </w:r>
      <w:r>
        <w:rPr>
          <w:color w:val="221F1F"/>
        </w:rPr>
        <w:t>may</w:t>
      </w:r>
      <w:r>
        <w:rPr>
          <w:color w:val="221F1F"/>
          <w:spacing w:val="-1"/>
        </w:rPr>
        <w:t xml:space="preserve"> </w:t>
      </w:r>
      <w:r>
        <w:rPr>
          <w:color w:val="221F1F"/>
        </w:rPr>
        <w:t>be) as</w:t>
      </w:r>
      <w:r>
        <w:rPr>
          <w:color w:val="221F1F"/>
          <w:spacing w:val="-1"/>
        </w:rPr>
        <w:t xml:space="preserve"> </w:t>
      </w:r>
      <w:r>
        <w:rPr>
          <w:color w:val="221F1F"/>
        </w:rPr>
        <w:t>stated</w:t>
      </w:r>
      <w:r>
        <w:rPr>
          <w:color w:val="221F1F"/>
          <w:spacing w:val="-3"/>
        </w:rPr>
        <w:t xml:space="preserve"> </w:t>
      </w:r>
      <w:r>
        <w:rPr>
          <w:color w:val="221F1F"/>
        </w:rPr>
        <w:t>in</w:t>
      </w:r>
      <w:r>
        <w:rPr>
          <w:color w:val="221F1F"/>
          <w:spacing w:val="-1"/>
        </w:rPr>
        <w:t xml:space="preserve"> </w:t>
      </w:r>
      <w:r>
        <w:rPr>
          <w:color w:val="221F1F"/>
        </w:rPr>
        <w:t>the Special Conditions of Contract (with any extension calculated from the Commencement Date.</w:t>
      </w:r>
    </w:p>
    <w:p w:rsidR="007F6DF9" w:rsidRDefault="00A43FBC">
      <w:pPr>
        <w:pStyle w:val="BodyText"/>
        <w:spacing w:before="236"/>
        <w:ind w:left="711"/>
        <w:jc w:val="both"/>
      </w:pPr>
      <w:r>
        <w:rPr>
          <w:b/>
          <w:color w:val="221F1F"/>
        </w:rPr>
        <w:t>“Unforeseeable”</w:t>
      </w:r>
      <w:r>
        <w:rPr>
          <w:b/>
          <w:color w:val="221F1F"/>
          <w:spacing w:val="-8"/>
        </w:rPr>
        <w:t xml:space="preserve"> </w:t>
      </w:r>
      <w:r>
        <w:rPr>
          <w:color w:val="221F1F"/>
        </w:rPr>
        <w:t>means</w:t>
      </w:r>
      <w:r>
        <w:rPr>
          <w:color w:val="221F1F"/>
          <w:spacing w:val="-4"/>
        </w:rPr>
        <w:t xml:space="preserve"> </w:t>
      </w:r>
      <w:r>
        <w:rPr>
          <w:color w:val="221F1F"/>
        </w:rPr>
        <w:t>not</w:t>
      </w:r>
      <w:r>
        <w:rPr>
          <w:color w:val="221F1F"/>
          <w:spacing w:val="-4"/>
        </w:rPr>
        <w:t xml:space="preserve"> </w:t>
      </w:r>
      <w:r>
        <w:rPr>
          <w:color w:val="221F1F"/>
        </w:rPr>
        <w:t>reasonably</w:t>
      </w:r>
      <w:r>
        <w:rPr>
          <w:color w:val="221F1F"/>
          <w:spacing w:val="-4"/>
        </w:rPr>
        <w:t xml:space="preserve"> </w:t>
      </w:r>
      <w:r>
        <w:rPr>
          <w:color w:val="221F1F"/>
        </w:rPr>
        <w:t>foreseeable</w:t>
      </w:r>
      <w:r>
        <w:rPr>
          <w:color w:val="221F1F"/>
          <w:spacing w:val="-6"/>
        </w:rPr>
        <w:t xml:space="preserve"> </w:t>
      </w:r>
      <w:r>
        <w:rPr>
          <w:color w:val="221F1F"/>
        </w:rPr>
        <w:t>by</w:t>
      </w:r>
      <w:r>
        <w:rPr>
          <w:color w:val="221F1F"/>
          <w:spacing w:val="-7"/>
        </w:rPr>
        <w:t xml:space="preserve"> </w:t>
      </w:r>
      <w:r>
        <w:rPr>
          <w:color w:val="221F1F"/>
        </w:rPr>
        <w:t>an</w:t>
      </w:r>
      <w:r>
        <w:rPr>
          <w:color w:val="221F1F"/>
          <w:spacing w:val="-5"/>
        </w:rPr>
        <w:t xml:space="preserve"> </w:t>
      </w:r>
      <w:r>
        <w:rPr>
          <w:color w:val="221F1F"/>
        </w:rPr>
        <w:t>experienced</w:t>
      </w:r>
      <w:r>
        <w:rPr>
          <w:color w:val="221F1F"/>
          <w:spacing w:val="-4"/>
        </w:rPr>
        <w:t xml:space="preserve"> </w:t>
      </w:r>
      <w:r>
        <w:rPr>
          <w:color w:val="221F1F"/>
        </w:rPr>
        <w:t>contractor</w:t>
      </w:r>
      <w:r>
        <w:rPr>
          <w:color w:val="221F1F"/>
          <w:spacing w:val="-6"/>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Base</w:t>
      </w:r>
      <w:r>
        <w:rPr>
          <w:color w:val="221F1F"/>
          <w:spacing w:val="-4"/>
        </w:rPr>
        <w:t xml:space="preserve"> </w:t>
      </w:r>
      <w:r>
        <w:rPr>
          <w:color w:val="221F1F"/>
          <w:spacing w:val="-2"/>
        </w:rPr>
        <w:t>Date.</w:t>
      </w:r>
    </w:p>
    <w:p w:rsidR="007F6DF9" w:rsidRDefault="00A43FBC">
      <w:pPr>
        <w:pStyle w:val="BodyText"/>
        <w:spacing w:before="244" w:line="230" w:lineRule="auto"/>
        <w:ind w:left="711" w:right="332"/>
      </w:pPr>
      <w:r>
        <w:rPr>
          <w:b/>
          <w:color w:val="221F1F"/>
        </w:rPr>
        <w:t>“Variation”</w:t>
      </w:r>
      <w:r>
        <w:rPr>
          <w:b/>
          <w:color w:val="221F1F"/>
          <w:spacing w:val="-4"/>
        </w:rPr>
        <w:t xml:space="preserve"> </w:t>
      </w:r>
      <w:r>
        <w:rPr>
          <w:color w:val="221F1F"/>
        </w:rPr>
        <w:t>means</w:t>
      </w:r>
      <w:r>
        <w:rPr>
          <w:color w:val="221F1F"/>
          <w:spacing w:val="-4"/>
        </w:rPr>
        <w:t xml:space="preserve"> </w:t>
      </w:r>
      <w:r>
        <w:rPr>
          <w:color w:val="221F1F"/>
        </w:rPr>
        <w:t>any</w:t>
      </w:r>
      <w:r>
        <w:rPr>
          <w:color w:val="221F1F"/>
          <w:spacing w:val="-2"/>
        </w:rPr>
        <w:t xml:space="preserve"> </w:t>
      </w:r>
      <w:r>
        <w:rPr>
          <w:color w:val="221F1F"/>
        </w:rPr>
        <w:t>change</w:t>
      </w:r>
      <w:r>
        <w:rPr>
          <w:color w:val="221F1F"/>
          <w:spacing w:val="-4"/>
        </w:rPr>
        <w:t xml:space="preserve"> </w:t>
      </w:r>
      <w:r>
        <w:rPr>
          <w:color w:val="221F1F"/>
        </w:rPr>
        <w:t>to</w:t>
      </w:r>
      <w:r>
        <w:rPr>
          <w:color w:val="221F1F"/>
          <w:spacing w:val="-2"/>
        </w:rPr>
        <w:t xml:space="preserve"> </w:t>
      </w:r>
      <w:r>
        <w:rPr>
          <w:color w:val="221F1F"/>
        </w:rPr>
        <w:t>the</w:t>
      </w:r>
      <w:r>
        <w:rPr>
          <w:color w:val="221F1F"/>
          <w:spacing w:val="-4"/>
        </w:rPr>
        <w:t xml:space="preserve"> </w:t>
      </w:r>
      <w:r>
        <w:rPr>
          <w:color w:val="221F1F"/>
        </w:rPr>
        <w:t>Works,</w:t>
      </w:r>
      <w:r>
        <w:rPr>
          <w:color w:val="221F1F"/>
          <w:spacing w:val="-7"/>
        </w:rPr>
        <w:t xml:space="preserve"> </w:t>
      </w:r>
      <w:r>
        <w:rPr>
          <w:color w:val="221F1F"/>
        </w:rPr>
        <w:t>which</w:t>
      </w:r>
      <w:r>
        <w:rPr>
          <w:color w:val="221F1F"/>
          <w:spacing w:val="-4"/>
        </w:rPr>
        <w:t xml:space="preserve"> </w:t>
      </w:r>
      <w:r>
        <w:rPr>
          <w:color w:val="221F1F"/>
        </w:rPr>
        <w:t>is</w:t>
      </w:r>
      <w:r>
        <w:rPr>
          <w:color w:val="221F1F"/>
          <w:spacing w:val="-4"/>
        </w:rPr>
        <w:t xml:space="preserve"> </w:t>
      </w:r>
      <w:r>
        <w:rPr>
          <w:color w:val="221F1F"/>
        </w:rPr>
        <w:t>instructed</w:t>
      </w:r>
      <w:r>
        <w:rPr>
          <w:color w:val="221F1F"/>
          <w:spacing w:val="-1"/>
        </w:rPr>
        <w:t xml:space="preserve"> </w:t>
      </w:r>
      <w:r>
        <w:rPr>
          <w:color w:val="221F1F"/>
        </w:rPr>
        <w:t>or</w:t>
      </w:r>
      <w:r>
        <w:rPr>
          <w:color w:val="221F1F"/>
          <w:spacing w:val="-4"/>
        </w:rPr>
        <w:t xml:space="preserve"> </w:t>
      </w:r>
      <w:r>
        <w:rPr>
          <w:color w:val="221F1F"/>
        </w:rPr>
        <w:t>approved</w:t>
      </w:r>
      <w:r>
        <w:rPr>
          <w:color w:val="221F1F"/>
          <w:spacing w:val="-4"/>
        </w:rPr>
        <w:t xml:space="preserve"> </w:t>
      </w:r>
      <w:r>
        <w:rPr>
          <w:color w:val="221F1F"/>
        </w:rPr>
        <w:t>as</w:t>
      </w:r>
      <w:r>
        <w:rPr>
          <w:color w:val="221F1F"/>
          <w:spacing w:val="-2"/>
        </w:rPr>
        <w:t xml:space="preserve"> </w:t>
      </w:r>
      <w:r>
        <w:rPr>
          <w:color w:val="221F1F"/>
        </w:rPr>
        <w:t>a</w:t>
      </w:r>
      <w:r>
        <w:rPr>
          <w:color w:val="221F1F"/>
          <w:spacing w:val="-4"/>
        </w:rPr>
        <w:t xml:space="preserve"> </w:t>
      </w:r>
      <w:r>
        <w:rPr>
          <w:color w:val="221F1F"/>
        </w:rPr>
        <w:t>variation</w:t>
      </w:r>
      <w:r>
        <w:rPr>
          <w:color w:val="221F1F"/>
          <w:spacing w:val="-1"/>
        </w:rPr>
        <w:t xml:space="preserve"> </w:t>
      </w:r>
      <w:r>
        <w:rPr>
          <w:color w:val="221F1F"/>
        </w:rPr>
        <w:t>under</w:t>
      </w:r>
      <w:r>
        <w:rPr>
          <w:color w:val="221F1F"/>
          <w:spacing w:val="-1"/>
        </w:rPr>
        <w:t xml:space="preserve"> </w:t>
      </w:r>
      <w:r>
        <w:rPr>
          <w:color w:val="221F1F"/>
        </w:rPr>
        <w:t>Clause</w:t>
      </w:r>
      <w:r>
        <w:rPr>
          <w:color w:val="221F1F"/>
          <w:spacing w:val="-1"/>
        </w:rPr>
        <w:t xml:space="preserve"> </w:t>
      </w:r>
      <w:r>
        <w:rPr>
          <w:color w:val="221F1F"/>
        </w:rPr>
        <w:t>13 [Variations and Adjustments].</w:t>
      </w:r>
    </w:p>
    <w:p w:rsidR="007F6DF9" w:rsidRDefault="00A43FBC">
      <w:pPr>
        <w:pStyle w:val="BodyText"/>
        <w:spacing w:before="244" w:line="230" w:lineRule="auto"/>
        <w:ind w:left="711" w:right="566"/>
        <w:jc w:val="both"/>
      </w:pPr>
      <w:r>
        <w:rPr>
          <w:b/>
          <w:color w:val="221F1F"/>
        </w:rPr>
        <w:t xml:space="preserve">“Works” </w:t>
      </w:r>
      <w:r>
        <w:rPr>
          <w:color w:val="221F1F"/>
        </w:rPr>
        <w:t>means the items the Procuring Entity requires the Contractor to undertake as defined in the Appendix to Conditions</w:t>
      </w:r>
      <w:r>
        <w:rPr>
          <w:color w:val="221F1F"/>
          <w:spacing w:val="-6"/>
        </w:rPr>
        <w:t xml:space="preserve"> </w:t>
      </w:r>
      <w:r>
        <w:rPr>
          <w:color w:val="221F1F"/>
        </w:rPr>
        <w:t>of</w:t>
      </w:r>
      <w:r>
        <w:rPr>
          <w:color w:val="221F1F"/>
          <w:spacing w:val="-6"/>
        </w:rPr>
        <w:t xml:space="preserve"> </w:t>
      </w:r>
      <w:r>
        <w:rPr>
          <w:color w:val="221F1F"/>
        </w:rPr>
        <w:t>Contract.</w:t>
      </w:r>
      <w:r>
        <w:rPr>
          <w:color w:val="221F1F"/>
          <w:spacing w:val="-6"/>
        </w:rPr>
        <w:t xml:space="preserve"> </w:t>
      </w:r>
      <w:r>
        <w:rPr>
          <w:b/>
          <w:color w:val="221F1F"/>
        </w:rPr>
        <w:t>“Works”</w:t>
      </w:r>
      <w:r>
        <w:rPr>
          <w:b/>
          <w:color w:val="221F1F"/>
          <w:spacing w:val="-8"/>
        </w:rPr>
        <w:t xml:space="preserve"> </w:t>
      </w:r>
      <w:r>
        <w:rPr>
          <w:b/>
          <w:color w:val="221F1F"/>
        </w:rPr>
        <w:t>may</w:t>
      </w:r>
      <w:r>
        <w:rPr>
          <w:b/>
          <w:color w:val="221F1F"/>
          <w:spacing w:val="-9"/>
        </w:rPr>
        <w:t xml:space="preserve"> </w:t>
      </w:r>
      <w:r>
        <w:rPr>
          <w:color w:val="221F1F"/>
        </w:rPr>
        <w:t>also</w:t>
      </w:r>
      <w:r>
        <w:rPr>
          <w:color w:val="221F1F"/>
          <w:spacing w:val="-6"/>
        </w:rPr>
        <w:t xml:space="preserve"> </w:t>
      </w:r>
      <w:r>
        <w:rPr>
          <w:color w:val="221F1F"/>
        </w:rPr>
        <w:t>mean</w:t>
      </w:r>
      <w:r>
        <w:rPr>
          <w:color w:val="221F1F"/>
          <w:spacing w:val="-9"/>
        </w:rPr>
        <w:t xml:space="preserve"> </w:t>
      </w:r>
      <w:r>
        <w:rPr>
          <w:color w:val="221F1F"/>
        </w:rPr>
        <w:t>the</w:t>
      </w:r>
      <w:r>
        <w:rPr>
          <w:color w:val="221F1F"/>
          <w:spacing w:val="-6"/>
        </w:rPr>
        <w:t xml:space="preserve"> </w:t>
      </w:r>
      <w:r>
        <w:rPr>
          <w:color w:val="221F1F"/>
        </w:rPr>
        <w:t>Permanent</w:t>
      </w:r>
      <w:r>
        <w:rPr>
          <w:color w:val="221F1F"/>
          <w:spacing w:val="-5"/>
        </w:rPr>
        <w:t xml:space="preserve"> </w:t>
      </w:r>
      <w:r>
        <w:rPr>
          <w:color w:val="221F1F"/>
        </w:rPr>
        <w:t>Works</w:t>
      </w:r>
      <w:r>
        <w:rPr>
          <w:color w:val="221F1F"/>
          <w:spacing w:val="-14"/>
        </w:rPr>
        <w:t xml:space="preserve"> </w:t>
      </w:r>
      <w:r>
        <w:rPr>
          <w:color w:val="221F1F"/>
        </w:rPr>
        <w:t>and</w:t>
      </w:r>
      <w:r>
        <w:rPr>
          <w:color w:val="221F1F"/>
          <w:spacing w:val="-8"/>
        </w:rPr>
        <w:t xml:space="preserve"> </w:t>
      </w:r>
      <w:r>
        <w:rPr>
          <w:color w:val="221F1F"/>
        </w:rPr>
        <w:t>the</w:t>
      </w:r>
      <w:r>
        <w:rPr>
          <w:color w:val="221F1F"/>
          <w:spacing w:val="-6"/>
        </w:rPr>
        <w:t xml:space="preserve"> </w:t>
      </w:r>
      <w:r>
        <w:rPr>
          <w:color w:val="221F1F"/>
        </w:rPr>
        <w:t>Temporary</w:t>
      </w:r>
      <w:r>
        <w:rPr>
          <w:color w:val="221F1F"/>
          <w:spacing w:val="-8"/>
        </w:rPr>
        <w:t xml:space="preserve"> </w:t>
      </w:r>
      <w:r>
        <w:rPr>
          <w:color w:val="221F1F"/>
        </w:rPr>
        <w:t>Works,</w:t>
      </w:r>
      <w:r>
        <w:rPr>
          <w:color w:val="221F1F"/>
          <w:spacing w:val="-11"/>
        </w:rPr>
        <w:t xml:space="preserve"> </w:t>
      </w:r>
      <w:r>
        <w:rPr>
          <w:color w:val="221F1F"/>
        </w:rPr>
        <w:t>or</w:t>
      </w:r>
      <w:r>
        <w:rPr>
          <w:color w:val="221F1F"/>
          <w:spacing w:val="-6"/>
        </w:rPr>
        <w:t xml:space="preserve"> </w:t>
      </w:r>
      <w:r>
        <w:rPr>
          <w:color w:val="221F1F"/>
        </w:rPr>
        <w:t>either</w:t>
      </w:r>
      <w:r>
        <w:rPr>
          <w:color w:val="221F1F"/>
          <w:spacing w:val="-5"/>
        </w:rPr>
        <w:t xml:space="preserve"> </w:t>
      </w:r>
      <w:r>
        <w:rPr>
          <w:color w:val="221F1F"/>
        </w:rPr>
        <w:t>of</w:t>
      </w:r>
      <w:r>
        <w:rPr>
          <w:color w:val="221F1F"/>
          <w:spacing w:val="-8"/>
        </w:rPr>
        <w:t xml:space="preserve"> </w:t>
      </w:r>
      <w:r>
        <w:rPr>
          <w:color w:val="221F1F"/>
        </w:rPr>
        <w:t>them as appropriate.</w:t>
      </w:r>
    </w:p>
    <w:p w:rsidR="007F6DF9" w:rsidRDefault="00A43FBC">
      <w:pPr>
        <w:pStyle w:val="Heading9"/>
        <w:numPr>
          <w:ilvl w:val="1"/>
          <w:numId w:val="122"/>
        </w:numPr>
        <w:tabs>
          <w:tab w:val="left" w:pos="1272"/>
        </w:tabs>
        <w:spacing w:before="236"/>
        <w:ind w:left="1272" w:hanging="561"/>
        <w:rPr>
          <w:color w:val="221F1F"/>
        </w:rPr>
      </w:pPr>
      <w:r>
        <w:rPr>
          <w:color w:val="221F1F"/>
          <w:spacing w:val="-2"/>
        </w:rPr>
        <w:t>Interpretation</w:t>
      </w:r>
    </w:p>
    <w:p w:rsidR="007F6DF9" w:rsidRDefault="00A43FBC">
      <w:pPr>
        <w:pStyle w:val="BodyText"/>
        <w:spacing w:before="227" w:line="250" w:lineRule="exact"/>
        <w:ind w:left="1273"/>
      </w:pP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6"/>
        </w:rPr>
        <w:t xml:space="preserve"> </w:t>
      </w:r>
      <w:r>
        <w:rPr>
          <w:color w:val="221F1F"/>
        </w:rPr>
        <w:t>except</w:t>
      </w:r>
      <w:r>
        <w:rPr>
          <w:color w:val="221F1F"/>
          <w:spacing w:val="-2"/>
        </w:rPr>
        <w:t xml:space="preserve"> </w:t>
      </w:r>
      <w:r>
        <w:rPr>
          <w:color w:val="221F1F"/>
        </w:rPr>
        <w:t>where</w:t>
      </w:r>
      <w:r>
        <w:rPr>
          <w:color w:val="221F1F"/>
          <w:spacing w:val="-3"/>
        </w:rPr>
        <w:t xml:space="preserve"> </w:t>
      </w:r>
      <w:r>
        <w:rPr>
          <w:color w:val="221F1F"/>
        </w:rPr>
        <w:t>the</w:t>
      </w:r>
      <w:r>
        <w:rPr>
          <w:color w:val="221F1F"/>
          <w:spacing w:val="-3"/>
        </w:rPr>
        <w:t xml:space="preserve"> </w:t>
      </w:r>
      <w:r>
        <w:rPr>
          <w:color w:val="221F1F"/>
        </w:rPr>
        <w:t>context</w:t>
      </w:r>
      <w:r>
        <w:rPr>
          <w:color w:val="221F1F"/>
          <w:spacing w:val="-5"/>
        </w:rPr>
        <w:t xml:space="preserve"> </w:t>
      </w:r>
      <w:r>
        <w:rPr>
          <w:color w:val="221F1F"/>
        </w:rPr>
        <w:t>requires</w:t>
      </w:r>
      <w:r>
        <w:rPr>
          <w:color w:val="221F1F"/>
          <w:spacing w:val="-2"/>
        </w:rPr>
        <w:t xml:space="preserve"> otherwise:</w:t>
      </w:r>
    </w:p>
    <w:p w:rsidR="007F6DF9" w:rsidRDefault="00A43FBC">
      <w:pPr>
        <w:pStyle w:val="ListParagraph"/>
        <w:numPr>
          <w:ilvl w:val="0"/>
          <w:numId w:val="121"/>
        </w:numPr>
        <w:tabs>
          <w:tab w:val="left" w:pos="1721"/>
        </w:tabs>
        <w:spacing w:line="248" w:lineRule="exact"/>
        <w:ind w:hanging="448"/>
      </w:pPr>
      <w:r>
        <w:rPr>
          <w:color w:val="221F1F"/>
        </w:rPr>
        <w:t>Words</w:t>
      </w:r>
      <w:r>
        <w:rPr>
          <w:color w:val="221F1F"/>
          <w:spacing w:val="-4"/>
        </w:rPr>
        <w:t xml:space="preserve"> </w:t>
      </w:r>
      <w:r>
        <w:rPr>
          <w:color w:val="221F1F"/>
        </w:rPr>
        <w:t>indicating</w:t>
      </w:r>
      <w:r>
        <w:rPr>
          <w:color w:val="221F1F"/>
          <w:spacing w:val="-4"/>
        </w:rPr>
        <w:t xml:space="preserve"> </w:t>
      </w:r>
      <w:r>
        <w:rPr>
          <w:color w:val="221F1F"/>
        </w:rPr>
        <w:t>one</w:t>
      </w:r>
      <w:r>
        <w:rPr>
          <w:color w:val="221F1F"/>
          <w:spacing w:val="-4"/>
        </w:rPr>
        <w:t xml:space="preserve"> </w:t>
      </w:r>
      <w:r>
        <w:rPr>
          <w:color w:val="221F1F"/>
        </w:rPr>
        <w:t>gender</w:t>
      </w:r>
      <w:r>
        <w:rPr>
          <w:color w:val="221F1F"/>
          <w:spacing w:val="-3"/>
        </w:rPr>
        <w:t xml:space="preserve"> </w:t>
      </w:r>
      <w:r>
        <w:rPr>
          <w:color w:val="221F1F"/>
        </w:rPr>
        <w:t>include</w:t>
      </w:r>
      <w:r>
        <w:rPr>
          <w:color w:val="221F1F"/>
          <w:spacing w:val="-4"/>
        </w:rPr>
        <w:t xml:space="preserve"> </w:t>
      </w:r>
      <w:r>
        <w:rPr>
          <w:color w:val="221F1F"/>
        </w:rPr>
        <w:t>all</w:t>
      </w:r>
      <w:r>
        <w:rPr>
          <w:color w:val="221F1F"/>
          <w:spacing w:val="-4"/>
        </w:rPr>
        <w:t xml:space="preserve"> </w:t>
      </w:r>
      <w:r>
        <w:rPr>
          <w:color w:val="221F1F"/>
          <w:spacing w:val="-2"/>
        </w:rPr>
        <w:t>genders;</w:t>
      </w:r>
    </w:p>
    <w:p w:rsidR="007F6DF9" w:rsidRDefault="00A43FBC">
      <w:pPr>
        <w:pStyle w:val="ListParagraph"/>
        <w:numPr>
          <w:ilvl w:val="0"/>
          <w:numId w:val="121"/>
        </w:numPr>
        <w:tabs>
          <w:tab w:val="left" w:pos="1721"/>
        </w:tabs>
        <w:spacing w:before="7" w:line="230" w:lineRule="auto"/>
        <w:ind w:right="973"/>
      </w:pPr>
      <w:r>
        <w:rPr>
          <w:color w:val="221F1F"/>
        </w:rPr>
        <w:t>words</w:t>
      </w:r>
      <w:r>
        <w:rPr>
          <w:color w:val="221F1F"/>
          <w:spacing w:val="-4"/>
        </w:rPr>
        <w:t xml:space="preserve"> </w:t>
      </w:r>
      <w:r>
        <w:rPr>
          <w:color w:val="221F1F"/>
        </w:rPr>
        <w:t>indicating</w:t>
      </w:r>
      <w:r>
        <w:rPr>
          <w:color w:val="221F1F"/>
          <w:spacing w:val="-5"/>
        </w:rPr>
        <w:t xml:space="preserve"> </w:t>
      </w:r>
      <w:r>
        <w:rPr>
          <w:color w:val="221F1F"/>
        </w:rPr>
        <w:t>the</w:t>
      </w:r>
      <w:r>
        <w:rPr>
          <w:color w:val="221F1F"/>
          <w:spacing w:val="-4"/>
        </w:rPr>
        <w:t xml:space="preserve"> </w:t>
      </w:r>
      <w:r>
        <w:rPr>
          <w:color w:val="221F1F"/>
        </w:rPr>
        <w:t>singular</w:t>
      </w:r>
      <w:r>
        <w:rPr>
          <w:color w:val="221F1F"/>
          <w:spacing w:val="-1"/>
        </w:rPr>
        <w:t xml:space="preserve"> </w:t>
      </w:r>
      <w:r>
        <w:rPr>
          <w:color w:val="221F1F"/>
        </w:rPr>
        <w:t>also</w:t>
      </w:r>
      <w:r>
        <w:rPr>
          <w:color w:val="221F1F"/>
          <w:spacing w:val="-4"/>
        </w:rPr>
        <w:t xml:space="preserve"> </w:t>
      </w:r>
      <w:r>
        <w:rPr>
          <w:color w:val="221F1F"/>
        </w:rPr>
        <w:t>include</w:t>
      </w:r>
      <w:r>
        <w:rPr>
          <w:color w:val="221F1F"/>
          <w:spacing w:val="-4"/>
        </w:rPr>
        <w:t xml:space="preserve"> </w:t>
      </w:r>
      <w:r>
        <w:rPr>
          <w:color w:val="221F1F"/>
        </w:rPr>
        <w:t>the</w:t>
      </w:r>
      <w:r>
        <w:rPr>
          <w:color w:val="221F1F"/>
          <w:spacing w:val="-2"/>
        </w:rPr>
        <w:t xml:space="preserve"> </w:t>
      </w:r>
      <w:r>
        <w:rPr>
          <w:color w:val="221F1F"/>
        </w:rPr>
        <w:t>plural</w:t>
      </w:r>
      <w:r>
        <w:rPr>
          <w:color w:val="221F1F"/>
          <w:spacing w:val="-1"/>
        </w:rPr>
        <w:t xml:space="preserve"> </w:t>
      </w:r>
      <w:r>
        <w:rPr>
          <w:color w:val="221F1F"/>
        </w:rPr>
        <w:t>and</w:t>
      </w:r>
      <w:r>
        <w:rPr>
          <w:color w:val="221F1F"/>
          <w:spacing w:val="-2"/>
        </w:rPr>
        <w:t xml:space="preserve"> </w:t>
      </w:r>
      <w:r>
        <w:rPr>
          <w:color w:val="221F1F"/>
        </w:rPr>
        <w:t>words</w:t>
      </w:r>
      <w:r>
        <w:rPr>
          <w:color w:val="221F1F"/>
          <w:spacing w:val="-4"/>
        </w:rPr>
        <w:t xml:space="preserve"> </w:t>
      </w:r>
      <w:r>
        <w:rPr>
          <w:color w:val="221F1F"/>
        </w:rPr>
        <w:t>indicating</w:t>
      </w:r>
      <w:r>
        <w:rPr>
          <w:color w:val="221F1F"/>
          <w:spacing w:val="-2"/>
        </w:rPr>
        <w:t xml:space="preserve"> </w:t>
      </w:r>
      <w:r>
        <w:rPr>
          <w:color w:val="221F1F"/>
        </w:rPr>
        <w:t>the</w:t>
      </w:r>
      <w:r>
        <w:rPr>
          <w:color w:val="221F1F"/>
          <w:spacing w:val="-2"/>
        </w:rPr>
        <w:t xml:space="preserve"> </w:t>
      </w:r>
      <w:r>
        <w:rPr>
          <w:color w:val="221F1F"/>
        </w:rPr>
        <w:t>plural</w:t>
      </w:r>
      <w:r>
        <w:rPr>
          <w:color w:val="221F1F"/>
          <w:spacing w:val="-1"/>
        </w:rPr>
        <w:t xml:space="preserve"> </w:t>
      </w:r>
      <w:r>
        <w:rPr>
          <w:color w:val="221F1F"/>
        </w:rPr>
        <w:t>also</w:t>
      </w:r>
      <w:r>
        <w:rPr>
          <w:color w:val="221F1F"/>
          <w:spacing w:val="-4"/>
        </w:rPr>
        <w:t xml:space="preserve"> </w:t>
      </w:r>
      <w:r>
        <w:rPr>
          <w:color w:val="221F1F"/>
        </w:rPr>
        <w:t>include</w:t>
      </w:r>
      <w:r>
        <w:rPr>
          <w:color w:val="221F1F"/>
          <w:spacing w:val="-2"/>
        </w:rPr>
        <w:t xml:space="preserve"> </w:t>
      </w:r>
      <w:r>
        <w:rPr>
          <w:color w:val="221F1F"/>
        </w:rPr>
        <w:t xml:space="preserve">the </w:t>
      </w:r>
      <w:r>
        <w:rPr>
          <w:color w:val="221F1F"/>
          <w:spacing w:val="-2"/>
        </w:rPr>
        <w:t>singular;</w:t>
      </w:r>
    </w:p>
    <w:p w:rsidR="007F6DF9" w:rsidRDefault="00A43FBC">
      <w:pPr>
        <w:pStyle w:val="ListParagraph"/>
        <w:numPr>
          <w:ilvl w:val="0"/>
          <w:numId w:val="121"/>
        </w:numPr>
        <w:tabs>
          <w:tab w:val="left" w:pos="1721"/>
        </w:tabs>
        <w:spacing w:line="230" w:lineRule="auto"/>
        <w:ind w:right="595"/>
      </w:pPr>
      <w:r>
        <w:rPr>
          <w:color w:val="221F1F"/>
        </w:rPr>
        <w:t>provisions</w:t>
      </w:r>
      <w:r>
        <w:rPr>
          <w:color w:val="221F1F"/>
          <w:spacing w:val="-4"/>
        </w:rPr>
        <w:t xml:space="preserve"> </w:t>
      </w:r>
      <w:r>
        <w:rPr>
          <w:color w:val="221F1F"/>
        </w:rPr>
        <w:t>including</w:t>
      </w:r>
      <w:r>
        <w:rPr>
          <w:color w:val="221F1F"/>
          <w:spacing w:val="-2"/>
        </w:rPr>
        <w:t xml:space="preserve"> </w:t>
      </w:r>
      <w:r>
        <w:rPr>
          <w:color w:val="221F1F"/>
        </w:rPr>
        <w:t>the</w:t>
      </w:r>
      <w:r>
        <w:rPr>
          <w:color w:val="221F1F"/>
          <w:spacing w:val="-2"/>
        </w:rPr>
        <w:t xml:space="preserve"> </w:t>
      </w:r>
      <w:r>
        <w:rPr>
          <w:color w:val="221F1F"/>
        </w:rPr>
        <w:t>word</w:t>
      </w:r>
      <w:r>
        <w:rPr>
          <w:color w:val="221F1F"/>
          <w:spacing w:val="-2"/>
        </w:rPr>
        <w:t xml:space="preserve"> </w:t>
      </w:r>
      <w:r>
        <w:rPr>
          <w:color w:val="221F1F"/>
        </w:rPr>
        <w:t>“agree”,</w:t>
      </w:r>
      <w:r>
        <w:rPr>
          <w:color w:val="221F1F"/>
          <w:spacing w:val="-2"/>
        </w:rPr>
        <w:t xml:space="preserve"> </w:t>
      </w:r>
      <w:r>
        <w:rPr>
          <w:color w:val="221F1F"/>
        </w:rPr>
        <w:t>“agreed”</w:t>
      </w:r>
      <w:r>
        <w:rPr>
          <w:color w:val="221F1F"/>
          <w:spacing w:val="-4"/>
        </w:rPr>
        <w:t xml:space="preserve"> </w:t>
      </w:r>
      <w:r>
        <w:rPr>
          <w:color w:val="221F1F"/>
        </w:rPr>
        <w:t>or</w:t>
      </w:r>
      <w:r>
        <w:rPr>
          <w:color w:val="221F1F"/>
          <w:spacing w:val="-4"/>
        </w:rPr>
        <w:t xml:space="preserve"> </w:t>
      </w:r>
      <w:r>
        <w:rPr>
          <w:color w:val="221F1F"/>
        </w:rPr>
        <w:t>“agreement”</w:t>
      </w:r>
      <w:r>
        <w:rPr>
          <w:color w:val="221F1F"/>
          <w:spacing w:val="-4"/>
        </w:rPr>
        <w:t xml:space="preserve"> </w:t>
      </w:r>
      <w:r>
        <w:rPr>
          <w:color w:val="221F1F"/>
        </w:rPr>
        <w:t>require</w:t>
      </w:r>
      <w:r>
        <w:rPr>
          <w:color w:val="221F1F"/>
          <w:spacing w:val="-2"/>
        </w:rPr>
        <w:t xml:space="preserve"> </w:t>
      </w:r>
      <w:r>
        <w:rPr>
          <w:color w:val="221F1F"/>
        </w:rPr>
        <w:t>the</w:t>
      </w:r>
      <w:r>
        <w:rPr>
          <w:color w:val="221F1F"/>
          <w:spacing w:val="-2"/>
        </w:rPr>
        <w:t xml:space="preserve"> </w:t>
      </w:r>
      <w:r>
        <w:rPr>
          <w:color w:val="221F1F"/>
        </w:rPr>
        <w:t>agreement</w:t>
      </w:r>
      <w:r>
        <w:rPr>
          <w:color w:val="221F1F"/>
          <w:spacing w:val="-1"/>
        </w:rPr>
        <w:t xml:space="preserve"> </w:t>
      </w:r>
      <w:r>
        <w:rPr>
          <w:color w:val="221F1F"/>
        </w:rPr>
        <w:t>to</w:t>
      </w:r>
      <w:r>
        <w:rPr>
          <w:color w:val="221F1F"/>
          <w:spacing w:val="-4"/>
        </w:rPr>
        <w:t xml:space="preserve"> </w:t>
      </w:r>
      <w:r>
        <w:rPr>
          <w:color w:val="221F1F"/>
        </w:rPr>
        <w:t>be</w:t>
      </w:r>
      <w:r>
        <w:rPr>
          <w:color w:val="221F1F"/>
          <w:spacing w:val="-4"/>
        </w:rPr>
        <w:t xml:space="preserve"> </w:t>
      </w:r>
      <w:r>
        <w:rPr>
          <w:color w:val="221F1F"/>
        </w:rPr>
        <w:t>recorded</w:t>
      </w:r>
      <w:r>
        <w:rPr>
          <w:color w:val="221F1F"/>
          <w:spacing w:val="-4"/>
        </w:rPr>
        <w:t xml:space="preserve"> </w:t>
      </w:r>
      <w:r>
        <w:rPr>
          <w:color w:val="221F1F"/>
        </w:rPr>
        <w:t xml:space="preserve">in </w:t>
      </w:r>
      <w:r>
        <w:rPr>
          <w:color w:val="221F1F"/>
          <w:spacing w:val="-2"/>
        </w:rPr>
        <w:t>writing;</w:t>
      </w:r>
    </w:p>
    <w:p w:rsidR="007F6DF9" w:rsidRDefault="00A43FBC">
      <w:pPr>
        <w:pStyle w:val="ListParagraph"/>
        <w:numPr>
          <w:ilvl w:val="0"/>
          <w:numId w:val="121"/>
        </w:numPr>
        <w:tabs>
          <w:tab w:val="left" w:pos="1721"/>
        </w:tabs>
        <w:spacing w:line="230" w:lineRule="auto"/>
        <w:ind w:right="604"/>
      </w:pPr>
      <w:r>
        <w:rPr>
          <w:color w:val="221F1F"/>
        </w:rPr>
        <w:t>“written”</w:t>
      </w:r>
      <w:r>
        <w:rPr>
          <w:color w:val="221F1F"/>
          <w:spacing w:val="-3"/>
        </w:rPr>
        <w:t xml:space="preserve"> </w:t>
      </w:r>
      <w:r>
        <w:rPr>
          <w:color w:val="221F1F"/>
        </w:rPr>
        <w:t>or</w:t>
      </w:r>
      <w:r>
        <w:rPr>
          <w:color w:val="221F1F"/>
          <w:spacing w:val="-3"/>
        </w:rPr>
        <w:t xml:space="preserve"> </w:t>
      </w:r>
      <w:r>
        <w:rPr>
          <w:color w:val="221F1F"/>
        </w:rPr>
        <w:t>“in</w:t>
      </w:r>
      <w:r>
        <w:rPr>
          <w:color w:val="221F1F"/>
          <w:spacing w:val="-3"/>
        </w:rPr>
        <w:t xml:space="preserve"> </w:t>
      </w:r>
      <w:r>
        <w:rPr>
          <w:color w:val="221F1F"/>
        </w:rPr>
        <w:t>writing”</w:t>
      </w:r>
      <w:r>
        <w:rPr>
          <w:color w:val="221F1F"/>
          <w:spacing w:val="-4"/>
        </w:rPr>
        <w:t xml:space="preserve"> </w:t>
      </w:r>
      <w:r>
        <w:rPr>
          <w:color w:val="221F1F"/>
        </w:rPr>
        <w:t>means</w:t>
      </w:r>
      <w:r>
        <w:rPr>
          <w:color w:val="221F1F"/>
          <w:spacing w:val="-3"/>
        </w:rPr>
        <w:t xml:space="preserve"> </w:t>
      </w:r>
      <w:r>
        <w:rPr>
          <w:color w:val="221F1F"/>
        </w:rPr>
        <w:t>hand-written,</w:t>
      </w:r>
      <w:r>
        <w:rPr>
          <w:color w:val="221F1F"/>
          <w:spacing w:val="-3"/>
        </w:rPr>
        <w:t xml:space="preserve"> </w:t>
      </w:r>
      <w:r>
        <w:rPr>
          <w:color w:val="221F1F"/>
        </w:rPr>
        <w:t>type-written,</w:t>
      </w:r>
      <w:r>
        <w:rPr>
          <w:color w:val="221F1F"/>
          <w:spacing w:val="-3"/>
        </w:rPr>
        <w:t xml:space="preserve"> </w:t>
      </w:r>
      <w:r>
        <w:rPr>
          <w:color w:val="221F1F"/>
        </w:rPr>
        <w:t>printed</w:t>
      </w:r>
      <w:r>
        <w:rPr>
          <w:color w:val="221F1F"/>
          <w:spacing w:val="-3"/>
        </w:rPr>
        <w:t xml:space="preserve"> </w:t>
      </w:r>
      <w:r>
        <w:rPr>
          <w:color w:val="221F1F"/>
        </w:rPr>
        <w:t>or</w:t>
      </w:r>
      <w:r>
        <w:rPr>
          <w:color w:val="221F1F"/>
          <w:spacing w:val="-3"/>
        </w:rPr>
        <w:t xml:space="preserve"> </w:t>
      </w:r>
      <w:r>
        <w:rPr>
          <w:color w:val="221F1F"/>
        </w:rPr>
        <w:t>electronically</w:t>
      </w:r>
      <w:r>
        <w:rPr>
          <w:color w:val="221F1F"/>
          <w:spacing w:val="-3"/>
        </w:rPr>
        <w:t xml:space="preserve"> </w:t>
      </w:r>
      <w:r>
        <w:rPr>
          <w:color w:val="221F1F"/>
        </w:rPr>
        <w:t>made,</w:t>
      </w:r>
      <w:r>
        <w:rPr>
          <w:color w:val="221F1F"/>
          <w:spacing w:val="-3"/>
        </w:rPr>
        <w:t xml:space="preserve"> </w:t>
      </w:r>
      <w:r>
        <w:rPr>
          <w:color w:val="221F1F"/>
        </w:rPr>
        <w:t>and</w:t>
      </w:r>
      <w:r>
        <w:rPr>
          <w:color w:val="221F1F"/>
          <w:spacing w:val="-3"/>
        </w:rPr>
        <w:t xml:space="preserve"> </w:t>
      </w:r>
      <w:r>
        <w:rPr>
          <w:color w:val="221F1F"/>
        </w:rPr>
        <w:t>resulting in a permanent record; and</w:t>
      </w:r>
    </w:p>
    <w:p w:rsidR="007F6DF9" w:rsidRDefault="00A43FBC">
      <w:pPr>
        <w:pStyle w:val="BodyText"/>
        <w:spacing w:before="244" w:line="230" w:lineRule="auto"/>
        <w:ind w:left="1280" w:right="332" w:hanging="10"/>
      </w:pPr>
      <w:r>
        <w:rPr>
          <w:color w:val="221F1F"/>
        </w:rPr>
        <w:t>The</w:t>
      </w:r>
      <w:r>
        <w:rPr>
          <w:color w:val="221F1F"/>
          <w:spacing w:val="-2"/>
        </w:rPr>
        <w:t xml:space="preserve"> </w:t>
      </w:r>
      <w:r>
        <w:rPr>
          <w:color w:val="221F1F"/>
        </w:rPr>
        <w:t>marginal</w:t>
      </w:r>
      <w:r>
        <w:rPr>
          <w:color w:val="221F1F"/>
          <w:spacing w:val="-1"/>
        </w:rPr>
        <w:t xml:space="preserve"> </w:t>
      </w:r>
      <w:r>
        <w:rPr>
          <w:color w:val="221F1F"/>
        </w:rPr>
        <w:t>words</w:t>
      </w:r>
      <w:r>
        <w:rPr>
          <w:color w:val="221F1F"/>
          <w:spacing w:val="-2"/>
        </w:rPr>
        <w:t xml:space="preserve"> </w:t>
      </w:r>
      <w:r>
        <w:rPr>
          <w:color w:val="221F1F"/>
        </w:rPr>
        <w:t>and</w:t>
      </w:r>
      <w:r>
        <w:rPr>
          <w:color w:val="221F1F"/>
          <w:spacing w:val="-4"/>
        </w:rPr>
        <w:t xml:space="preserve"> </w:t>
      </w:r>
      <w:r>
        <w:rPr>
          <w:color w:val="221F1F"/>
        </w:rPr>
        <w:t>other</w:t>
      </w:r>
      <w:r>
        <w:rPr>
          <w:color w:val="221F1F"/>
          <w:spacing w:val="-1"/>
        </w:rPr>
        <w:t xml:space="preserve"> </w:t>
      </w:r>
      <w:r>
        <w:rPr>
          <w:color w:val="221F1F"/>
        </w:rPr>
        <w:t>headings</w:t>
      </w:r>
      <w:r>
        <w:rPr>
          <w:color w:val="221F1F"/>
          <w:spacing w:val="-4"/>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w:t>
      </w:r>
      <w:r>
        <w:rPr>
          <w:color w:val="221F1F"/>
          <w:spacing w:val="-2"/>
        </w:rPr>
        <w:t xml:space="preserve"> </w:t>
      </w:r>
      <w:r>
        <w:rPr>
          <w:color w:val="221F1F"/>
        </w:rPr>
        <w:t>taken</w:t>
      </w:r>
      <w:r>
        <w:rPr>
          <w:color w:val="221F1F"/>
          <w:spacing w:val="-2"/>
        </w:rPr>
        <w:t xml:space="preserve"> </w:t>
      </w:r>
      <w:r>
        <w:rPr>
          <w:color w:val="221F1F"/>
        </w:rPr>
        <w:t>into</w:t>
      </w:r>
      <w:r>
        <w:rPr>
          <w:color w:val="221F1F"/>
          <w:spacing w:val="-2"/>
        </w:rPr>
        <w:t xml:space="preserve"> </w:t>
      </w:r>
      <w:r>
        <w:rPr>
          <w:color w:val="221F1F"/>
        </w:rPr>
        <w:t>consideration</w:t>
      </w:r>
      <w:r>
        <w:rPr>
          <w:color w:val="221F1F"/>
          <w:spacing w:val="-5"/>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interpretation</w:t>
      </w:r>
      <w:r>
        <w:rPr>
          <w:color w:val="221F1F"/>
          <w:spacing w:val="-2"/>
        </w:rPr>
        <w:t xml:space="preserve"> </w:t>
      </w:r>
      <w:r>
        <w:rPr>
          <w:color w:val="221F1F"/>
        </w:rPr>
        <w:t>of</w:t>
      </w:r>
      <w:r>
        <w:rPr>
          <w:color w:val="221F1F"/>
          <w:spacing w:val="-4"/>
        </w:rPr>
        <w:t xml:space="preserve"> </w:t>
      </w:r>
      <w:r>
        <w:rPr>
          <w:color w:val="221F1F"/>
        </w:rPr>
        <w:t xml:space="preserve">these </w:t>
      </w:r>
      <w:r>
        <w:rPr>
          <w:color w:val="221F1F"/>
          <w:spacing w:val="-2"/>
        </w:rPr>
        <w:t>Conditions.</w:t>
      </w:r>
    </w:p>
    <w:p w:rsidR="007F6DF9" w:rsidRDefault="00A43FBC">
      <w:pPr>
        <w:pStyle w:val="Heading9"/>
        <w:numPr>
          <w:ilvl w:val="1"/>
          <w:numId w:val="122"/>
        </w:numPr>
        <w:tabs>
          <w:tab w:val="left" w:pos="1272"/>
        </w:tabs>
        <w:spacing w:before="236" w:line="249" w:lineRule="exact"/>
        <w:ind w:left="1272" w:hanging="564"/>
        <w:rPr>
          <w:color w:val="221F1F"/>
        </w:rPr>
      </w:pPr>
      <w:r>
        <w:rPr>
          <w:color w:val="221F1F"/>
          <w:spacing w:val="-2"/>
        </w:rPr>
        <w:t>Communications</w:t>
      </w:r>
    </w:p>
    <w:p w:rsidR="007F6DF9" w:rsidRDefault="00A43FBC">
      <w:pPr>
        <w:pStyle w:val="ListParagraph"/>
        <w:numPr>
          <w:ilvl w:val="2"/>
          <w:numId w:val="122"/>
        </w:numPr>
        <w:tabs>
          <w:tab w:val="left" w:pos="1272"/>
          <w:tab w:val="left" w:pos="1280"/>
        </w:tabs>
        <w:spacing w:before="4" w:line="230" w:lineRule="auto"/>
        <w:ind w:left="1280" w:right="1782" w:hanging="572"/>
        <w:rPr>
          <w:color w:val="221F1F"/>
        </w:rPr>
      </w:pPr>
      <w:r>
        <w:rPr>
          <w:color w:val="221F1F"/>
        </w:rPr>
        <w:t>Wherever</w:t>
      </w:r>
      <w:r>
        <w:rPr>
          <w:color w:val="221F1F"/>
          <w:spacing w:val="-2"/>
        </w:rPr>
        <w:t xml:space="preserve"> </w:t>
      </w:r>
      <w:r>
        <w:rPr>
          <w:color w:val="221F1F"/>
        </w:rPr>
        <w:t>these</w:t>
      </w:r>
      <w:r>
        <w:rPr>
          <w:color w:val="221F1F"/>
          <w:spacing w:val="-2"/>
        </w:rPr>
        <w:t xml:space="preserve"> </w:t>
      </w:r>
      <w:r>
        <w:rPr>
          <w:color w:val="221F1F"/>
        </w:rPr>
        <w:t>Conditions</w:t>
      </w:r>
      <w:r>
        <w:rPr>
          <w:color w:val="221F1F"/>
          <w:spacing w:val="-4"/>
        </w:rPr>
        <w:t xml:space="preserve"> </w:t>
      </w:r>
      <w:r>
        <w:rPr>
          <w:color w:val="221F1F"/>
        </w:rPr>
        <w:t>provide</w:t>
      </w:r>
      <w:r>
        <w:rPr>
          <w:color w:val="221F1F"/>
          <w:spacing w:val="-5"/>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giving</w:t>
      </w:r>
      <w:r>
        <w:rPr>
          <w:color w:val="221F1F"/>
          <w:spacing w:val="-3"/>
        </w:rPr>
        <w:t xml:space="preserve"> </w:t>
      </w:r>
      <w:r>
        <w:rPr>
          <w:color w:val="221F1F"/>
        </w:rPr>
        <w:t>or</w:t>
      </w:r>
      <w:r>
        <w:rPr>
          <w:color w:val="221F1F"/>
          <w:spacing w:val="-2"/>
        </w:rPr>
        <w:t xml:space="preserve"> </w:t>
      </w:r>
      <w:r>
        <w:rPr>
          <w:color w:val="221F1F"/>
        </w:rPr>
        <w:t>issuing</w:t>
      </w:r>
      <w:r>
        <w:rPr>
          <w:color w:val="221F1F"/>
          <w:spacing w:val="-3"/>
        </w:rPr>
        <w:t xml:space="preserve"> </w:t>
      </w:r>
      <w:r>
        <w:rPr>
          <w:color w:val="221F1F"/>
        </w:rPr>
        <w:t>of</w:t>
      </w:r>
      <w:r>
        <w:rPr>
          <w:color w:val="221F1F"/>
          <w:spacing w:val="-2"/>
        </w:rPr>
        <w:t xml:space="preserve"> </w:t>
      </w:r>
      <w:r>
        <w:rPr>
          <w:color w:val="221F1F"/>
        </w:rPr>
        <w:t>approvals,</w:t>
      </w:r>
      <w:r>
        <w:rPr>
          <w:color w:val="221F1F"/>
          <w:spacing w:val="-5"/>
        </w:rPr>
        <w:t xml:space="preserve"> </w:t>
      </w:r>
      <w:r>
        <w:rPr>
          <w:color w:val="221F1F"/>
        </w:rPr>
        <w:t>certificates,</w:t>
      </w:r>
      <w:r>
        <w:rPr>
          <w:color w:val="221F1F"/>
          <w:spacing w:val="-2"/>
        </w:rPr>
        <w:t xml:space="preserve"> </w:t>
      </w:r>
      <w:r>
        <w:rPr>
          <w:color w:val="221F1F"/>
        </w:rPr>
        <w:t>consents, determinations, notices, requests and discharges, these communications shall be:</w:t>
      </w:r>
    </w:p>
    <w:p w:rsidR="007F6DF9" w:rsidRDefault="00A43FBC">
      <w:pPr>
        <w:pStyle w:val="ListParagraph"/>
        <w:numPr>
          <w:ilvl w:val="0"/>
          <w:numId w:val="29"/>
        </w:numPr>
        <w:tabs>
          <w:tab w:val="left" w:pos="1676"/>
          <w:tab w:val="left" w:pos="1683"/>
        </w:tabs>
        <w:spacing w:line="230" w:lineRule="auto"/>
        <w:ind w:right="720" w:hanging="411"/>
      </w:pPr>
      <w:r>
        <w:rPr>
          <w:color w:val="221F1F"/>
        </w:rPr>
        <w:t>In</w:t>
      </w:r>
      <w:r>
        <w:rPr>
          <w:color w:val="221F1F"/>
          <w:spacing w:val="-1"/>
        </w:rPr>
        <w:t xml:space="preserve"> </w:t>
      </w:r>
      <w:r>
        <w:rPr>
          <w:color w:val="221F1F"/>
        </w:rPr>
        <w:t>writing</w:t>
      </w:r>
      <w:r>
        <w:rPr>
          <w:color w:val="221F1F"/>
          <w:spacing w:val="-1"/>
        </w:rPr>
        <w:t xml:space="preserve"> </w:t>
      </w:r>
      <w:r>
        <w:rPr>
          <w:color w:val="221F1F"/>
        </w:rPr>
        <w:t>and</w:t>
      </w:r>
      <w:r>
        <w:rPr>
          <w:color w:val="221F1F"/>
          <w:spacing w:val="-1"/>
        </w:rPr>
        <w:t xml:space="preserve"> </w:t>
      </w:r>
      <w:r>
        <w:rPr>
          <w:color w:val="221F1F"/>
        </w:rPr>
        <w:t>delivered by</w:t>
      </w:r>
      <w:r>
        <w:rPr>
          <w:color w:val="221F1F"/>
          <w:spacing w:val="-4"/>
        </w:rPr>
        <w:t xml:space="preserve"> </w:t>
      </w:r>
      <w:r>
        <w:rPr>
          <w:color w:val="221F1F"/>
        </w:rPr>
        <w:t>hand</w:t>
      </w:r>
      <w:r>
        <w:rPr>
          <w:color w:val="221F1F"/>
          <w:spacing w:val="-1"/>
        </w:rPr>
        <w:t xml:space="preserve"> </w:t>
      </w:r>
      <w:r>
        <w:rPr>
          <w:color w:val="221F1F"/>
        </w:rPr>
        <w:t>(against receipt), sent</w:t>
      </w:r>
      <w:r>
        <w:rPr>
          <w:color w:val="221F1F"/>
          <w:spacing w:val="-2"/>
        </w:rPr>
        <w:t xml:space="preserve"> </w:t>
      </w:r>
      <w:r>
        <w:rPr>
          <w:color w:val="221F1F"/>
        </w:rPr>
        <w:t>by</w:t>
      </w:r>
      <w:r>
        <w:rPr>
          <w:color w:val="221F1F"/>
          <w:spacing w:val="-1"/>
        </w:rPr>
        <w:t xml:space="preserve"> </w:t>
      </w:r>
      <w:r>
        <w:rPr>
          <w:color w:val="221F1F"/>
        </w:rPr>
        <w:t>mail</w:t>
      </w:r>
      <w:r>
        <w:rPr>
          <w:color w:val="221F1F"/>
          <w:spacing w:val="-2"/>
        </w:rPr>
        <w:t xml:space="preserve"> </w:t>
      </w:r>
      <w:r>
        <w:rPr>
          <w:color w:val="221F1F"/>
        </w:rPr>
        <w:t>or</w:t>
      </w:r>
      <w:r>
        <w:rPr>
          <w:color w:val="221F1F"/>
          <w:spacing w:val="-3"/>
        </w:rPr>
        <w:t xml:space="preserve"> </w:t>
      </w:r>
      <w:r>
        <w:rPr>
          <w:color w:val="221F1F"/>
        </w:rPr>
        <w:t>courier,</w:t>
      </w:r>
      <w:r>
        <w:rPr>
          <w:color w:val="221F1F"/>
          <w:spacing w:val="-1"/>
        </w:rPr>
        <w:t xml:space="preserve"> </w:t>
      </w:r>
      <w:r>
        <w:rPr>
          <w:color w:val="221F1F"/>
        </w:rPr>
        <w:t>or</w:t>
      </w:r>
      <w:r>
        <w:rPr>
          <w:color w:val="221F1F"/>
          <w:spacing w:val="80"/>
          <w:w w:val="150"/>
        </w:rPr>
        <w:t xml:space="preserve"> </w:t>
      </w:r>
      <w:r>
        <w:rPr>
          <w:color w:val="221F1F"/>
        </w:rPr>
        <w:t>transmitted</w:t>
      </w:r>
      <w:r>
        <w:rPr>
          <w:color w:val="221F1F"/>
          <w:spacing w:val="-1"/>
        </w:rPr>
        <w:t xml:space="preserve"> </w:t>
      </w:r>
      <w:r>
        <w:rPr>
          <w:color w:val="221F1F"/>
        </w:rPr>
        <w:t>using</w:t>
      </w:r>
      <w:r>
        <w:rPr>
          <w:color w:val="221F1F"/>
          <w:spacing w:val="-1"/>
        </w:rPr>
        <w:t xml:space="preserve"> </w:t>
      </w:r>
      <w:r>
        <w:rPr>
          <w:color w:val="221F1F"/>
        </w:rPr>
        <w:t>any</w:t>
      </w:r>
      <w:r>
        <w:rPr>
          <w:color w:val="221F1F"/>
          <w:spacing w:val="-1"/>
        </w:rPr>
        <w:t xml:space="preserve"> </w:t>
      </w:r>
      <w:r>
        <w:rPr>
          <w:color w:val="221F1F"/>
        </w:rPr>
        <w:t>of the agreed systems of electronic transmission as stated in the Special Conditions of Contract; and</w:t>
      </w:r>
    </w:p>
    <w:p w:rsidR="007F6DF9" w:rsidRDefault="00A43FBC">
      <w:pPr>
        <w:pStyle w:val="ListParagraph"/>
        <w:numPr>
          <w:ilvl w:val="0"/>
          <w:numId w:val="29"/>
        </w:numPr>
        <w:tabs>
          <w:tab w:val="left" w:pos="1676"/>
          <w:tab w:val="left" w:pos="1683"/>
        </w:tabs>
        <w:spacing w:before="1" w:line="230" w:lineRule="auto"/>
        <w:ind w:right="878" w:hanging="411"/>
      </w:pPr>
      <w:r>
        <w:rPr>
          <w:color w:val="221F1F"/>
        </w:rPr>
        <w:t>delivered,</w:t>
      </w:r>
      <w:r>
        <w:rPr>
          <w:color w:val="221F1F"/>
          <w:spacing w:val="-2"/>
        </w:rPr>
        <w:t xml:space="preserve"> </w:t>
      </w:r>
      <w:proofErr w:type="spellStart"/>
      <w:r>
        <w:rPr>
          <w:color w:val="221F1F"/>
        </w:rPr>
        <w:t>sentor</w:t>
      </w:r>
      <w:proofErr w:type="spellEnd"/>
      <w:r>
        <w:rPr>
          <w:color w:val="221F1F"/>
          <w:spacing w:val="-4"/>
        </w:rPr>
        <w:t xml:space="preserve"> </w:t>
      </w:r>
      <w:r>
        <w:rPr>
          <w:color w:val="221F1F"/>
        </w:rPr>
        <w:t>transmitted</w:t>
      </w:r>
      <w:r>
        <w:rPr>
          <w:color w:val="221F1F"/>
          <w:spacing w:val="-1"/>
        </w:rPr>
        <w:t xml:space="preserve"> </w:t>
      </w:r>
      <w:r>
        <w:rPr>
          <w:color w:val="221F1F"/>
        </w:rPr>
        <w:t>to</w:t>
      </w:r>
      <w:r>
        <w:rPr>
          <w:color w:val="221F1F"/>
          <w:spacing w:val="-5"/>
        </w:rPr>
        <w:t xml:space="preserve"> </w:t>
      </w:r>
      <w:r>
        <w:rPr>
          <w:color w:val="221F1F"/>
        </w:rPr>
        <w:t>the</w:t>
      </w:r>
      <w:r>
        <w:rPr>
          <w:color w:val="221F1F"/>
          <w:spacing w:val="-2"/>
        </w:rPr>
        <w:t xml:space="preserve"> </w:t>
      </w:r>
      <w:proofErr w:type="spellStart"/>
      <w:r>
        <w:rPr>
          <w:color w:val="221F1F"/>
        </w:rPr>
        <w:t>addressf</w:t>
      </w:r>
      <w:proofErr w:type="spellEnd"/>
      <w:r>
        <w:rPr>
          <w:color w:val="221F1F"/>
          <w:spacing w:val="-1"/>
        </w:rPr>
        <w:t xml:space="preserve"> </w:t>
      </w:r>
      <w:r>
        <w:rPr>
          <w:color w:val="221F1F"/>
        </w:rPr>
        <w:t>or</w:t>
      </w:r>
      <w:r>
        <w:rPr>
          <w:color w:val="221F1F"/>
          <w:spacing w:val="-4"/>
        </w:rPr>
        <w:t xml:space="preserve"> </w:t>
      </w:r>
      <w:r>
        <w:rPr>
          <w:color w:val="221F1F"/>
        </w:rPr>
        <w:t>the</w:t>
      </w:r>
      <w:r>
        <w:rPr>
          <w:color w:val="221F1F"/>
          <w:spacing w:val="-4"/>
        </w:rPr>
        <w:t xml:space="preserve"> </w:t>
      </w:r>
      <w:r>
        <w:rPr>
          <w:color w:val="221F1F"/>
        </w:rPr>
        <w:t>recipient's</w:t>
      </w:r>
      <w:r>
        <w:rPr>
          <w:color w:val="221F1F"/>
          <w:spacing w:val="-1"/>
        </w:rPr>
        <w:t xml:space="preserve"> </w:t>
      </w:r>
      <w:r>
        <w:rPr>
          <w:color w:val="221F1F"/>
        </w:rPr>
        <w:t>communications</w:t>
      </w:r>
      <w:r>
        <w:rPr>
          <w:color w:val="221F1F"/>
          <w:spacing w:val="-1"/>
        </w:rPr>
        <w:t xml:space="preserve"> </w:t>
      </w:r>
      <w:r>
        <w:rPr>
          <w:color w:val="221F1F"/>
        </w:rPr>
        <w:t>as</w:t>
      </w:r>
      <w:r>
        <w:rPr>
          <w:color w:val="221F1F"/>
          <w:spacing w:val="-4"/>
        </w:rPr>
        <w:t xml:space="preserve"> </w:t>
      </w:r>
      <w:r>
        <w:rPr>
          <w:color w:val="221F1F"/>
        </w:rPr>
        <w:t>stated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Special Conditions of Contract. However:</w:t>
      </w:r>
    </w:p>
    <w:p w:rsidR="007F6DF9" w:rsidRDefault="00A43FBC">
      <w:pPr>
        <w:pStyle w:val="ListParagraph"/>
        <w:numPr>
          <w:ilvl w:val="1"/>
          <w:numId w:val="29"/>
        </w:numPr>
        <w:tabs>
          <w:tab w:val="left" w:pos="2000"/>
        </w:tabs>
        <w:spacing w:before="244" w:line="230" w:lineRule="auto"/>
        <w:ind w:right="1354"/>
      </w:pPr>
      <w:r>
        <w:rPr>
          <w:color w:val="221F1F"/>
        </w:rPr>
        <w:t>if</w:t>
      </w:r>
      <w:r>
        <w:rPr>
          <w:color w:val="221F1F"/>
          <w:spacing w:val="-4"/>
        </w:rPr>
        <w:t xml:space="preserve"> </w:t>
      </w:r>
      <w:r>
        <w:rPr>
          <w:color w:val="221F1F"/>
        </w:rPr>
        <w:t>the</w:t>
      </w:r>
      <w:r>
        <w:rPr>
          <w:color w:val="221F1F"/>
          <w:spacing w:val="-4"/>
        </w:rPr>
        <w:t xml:space="preserve"> </w:t>
      </w:r>
      <w:r>
        <w:rPr>
          <w:color w:val="221F1F"/>
        </w:rPr>
        <w:t>recipient</w:t>
      </w:r>
      <w:r>
        <w:rPr>
          <w:color w:val="221F1F"/>
          <w:spacing w:val="-3"/>
        </w:rPr>
        <w:t xml:space="preserve"> </w:t>
      </w:r>
      <w:r>
        <w:rPr>
          <w:color w:val="221F1F"/>
        </w:rPr>
        <w:t>gives</w:t>
      </w:r>
      <w:r>
        <w:rPr>
          <w:color w:val="221F1F"/>
          <w:spacing w:val="-2"/>
        </w:rPr>
        <w:t xml:space="preserve"> </w:t>
      </w:r>
      <w:r>
        <w:rPr>
          <w:color w:val="221F1F"/>
        </w:rPr>
        <w:t>notice</w:t>
      </w:r>
      <w:r>
        <w:rPr>
          <w:color w:val="221F1F"/>
          <w:spacing w:val="-4"/>
        </w:rPr>
        <w:t xml:space="preserve"> </w:t>
      </w:r>
      <w:r>
        <w:rPr>
          <w:color w:val="221F1F"/>
        </w:rPr>
        <w:t>of</w:t>
      </w:r>
      <w:r>
        <w:rPr>
          <w:color w:val="221F1F"/>
          <w:spacing w:val="-2"/>
        </w:rPr>
        <w:t xml:space="preserve"> </w:t>
      </w:r>
      <w:r>
        <w:rPr>
          <w:color w:val="221F1F"/>
        </w:rPr>
        <w:t>another</w:t>
      </w:r>
      <w:r>
        <w:rPr>
          <w:color w:val="221F1F"/>
          <w:spacing w:val="-2"/>
        </w:rPr>
        <w:t xml:space="preserve"> </w:t>
      </w:r>
      <w:r>
        <w:rPr>
          <w:color w:val="221F1F"/>
        </w:rPr>
        <w:t>address,</w:t>
      </w:r>
      <w:r>
        <w:rPr>
          <w:color w:val="221F1F"/>
          <w:spacing w:val="-2"/>
        </w:rPr>
        <w:t xml:space="preserve"> </w:t>
      </w:r>
      <w:r>
        <w:rPr>
          <w:color w:val="221F1F"/>
        </w:rPr>
        <w:t>communications</w:t>
      </w:r>
      <w:r>
        <w:rPr>
          <w:color w:val="221F1F"/>
          <w:spacing w:val="-2"/>
        </w:rPr>
        <w:t xml:space="preserve"> </w:t>
      </w:r>
      <w:r>
        <w:rPr>
          <w:color w:val="221F1F"/>
        </w:rPr>
        <w:t>shall</w:t>
      </w:r>
      <w:r>
        <w:rPr>
          <w:color w:val="221F1F"/>
          <w:spacing w:val="-4"/>
        </w:rPr>
        <w:t xml:space="preserve"> </w:t>
      </w:r>
      <w:r>
        <w:rPr>
          <w:color w:val="221F1F"/>
        </w:rPr>
        <w:t>thereafter</w:t>
      </w:r>
      <w:r>
        <w:rPr>
          <w:color w:val="221F1F"/>
          <w:spacing w:val="-2"/>
        </w:rPr>
        <w:t xml:space="preserve"> </w:t>
      </w:r>
      <w:r>
        <w:rPr>
          <w:color w:val="221F1F"/>
        </w:rPr>
        <w:t>be</w:t>
      </w:r>
      <w:r>
        <w:rPr>
          <w:color w:val="221F1F"/>
          <w:spacing w:val="-4"/>
        </w:rPr>
        <w:t xml:space="preserve"> </w:t>
      </w:r>
      <w:r>
        <w:rPr>
          <w:color w:val="221F1F"/>
        </w:rPr>
        <w:t>delivered accordingly; and</w:t>
      </w:r>
    </w:p>
    <w:p w:rsidR="007F6DF9" w:rsidRDefault="00A43FBC">
      <w:pPr>
        <w:pStyle w:val="ListParagraph"/>
        <w:numPr>
          <w:ilvl w:val="1"/>
          <w:numId w:val="29"/>
        </w:numPr>
        <w:tabs>
          <w:tab w:val="left" w:pos="1998"/>
          <w:tab w:val="left" w:pos="2000"/>
        </w:tabs>
        <w:spacing w:line="232" w:lineRule="auto"/>
        <w:ind w:right="596"/>
      </w:pPr>
      <w:r>
        <w:rPr>
          <w:color w:val="221F1F"/>
        </w:rPr>
        <w:t>if</w:t>
      </w:r>
      <w:r>
        <w:rPr>
          <w:color w:val="221F1F"/>
          <w:spacing w:val="-3"/>
        </w:rPr>
        <w:t xml:space="preserve"> </w:t>
      </w:r>
      <w:r>
        <w:rPr>
          <w:color w:val="221F1F"/>
        </w:rPr>
        <w:t>the</w:t>
      </w:r>
      <w:r>
        <w:rPr>
          <w:color w:val="221F1F"/>
          <w:spacing w:val="-3"/>
        </w:rPr>
        <w:t xml:space="preserve"> </w:t>
      </w:r>
      <w:r>
        <w:rPr>
          <w:color w:val="221F1F"/>
        </w:rPr>
        <w:t>recipient</w:t>
      </w:r>
      <w:r>
        <w:rPr>
          <w:color w:val="221F1F"/>
          <w:spacing w:val="-2"/>
        </w:rPr>
        <w:t xml:space="preserve"> </w:t>
      </w:r>
      <w:r>
        <w:rPr>
          <w:color w:val="221F1F"/>
        </w:rPr>
        <w:t>has</w:t>
      </w:r>
      <w:r>
        <w:rPr>
          <w:color w:val="221F1F"/>
          <w:spacing w:val="-3"/>
        </w:rPr>
        <w:t xml:space="preserve"> </w:t>
      </w:r>
      <w:r>
        <w:rPr>
          <w:color w:val="221F1F"/>
        </w:rPr>
        <w:t>not</w:t>
      </w:r>
      <w:r>
        <w:rPr>
          <w:color w:val="221F1F"/>
          <w:spacing w:val="-3"/>
        </w:rPr>
        <w:t xml:space="preserve"> </w:t>
      </w:r>
      <w:r>
        <w:rPr>
          <w:color w:val="221F1F"/>
        </w:rPr>
        <w:t>stated</w:t>
      </w:r>
      <w:r>
        <w:rPr>
          <w:color w:val="221F1F"/>
          <w:spacing w:val="-1"/>
        </w:rPr>
        <w:t xml:space="preserve"> </w:t>
      </w:r>
      <w:r>
        <w:rPr>
          <w:color w:val="221F1F"/>
        </w:rPr>
        <w:t>otherwise</w:t>
      </w:r>
      <w:r>
        <w:rPr>
          <w:color w:val="221F1F"/>
          <w:spacing w:val="-1"/>
        </w:rPr>
        <w:t xml:space="preserve"> </w:t>
      </w:r>
      <w:r>
        <w:rPr>
          <w:color w:val="221F1F"/>
        </w:rPr>
        <w:t>when</w:t>
      </w:r>
      <w:r>
        <w:rPr>
          <w:color w:val="221F1F"/>
          <w:spacing w:val="-3"/>
        </w:rPr>
        <w:t xml:space="preserve"> </w:t>
      </w:r>
      <w:r>
        <w:rPr>
          <w:color w:val="221F1F"/>
        </w:rPr>
        <w:t>requesting</w:t>
      </w:r>
      <w:r>
        <w:rPr>
          <w:color w:val="221F1F"/>
          <w:spacing w:val="-1"/>
        </w:rPr>
        <w:t xml:space="preserve"> </w:t>
      </w:r>
      <w:r>
        <w:rPr>
          <w:color w:val="221F1F"/>
        </w:rPr>
        <w:t>an</w:t>
      </w:r>
      <w:r>
        <w:rPr>
          <w:color w:val="221F1F"/>
          <w:spacing w:val="-1"/>
        </w:rPr>
        <w:t xml:space="preserve"> </w:t>
      </w:r>
      <w:r>
        <w:rPr>
          <w:color w:val="221F1F"/>
        </w:rPr>
        <w:t>approval or</w:t>
      </w:r>
      <w:r>
        <w:rPr>
          <w:color w:val="221F1F"/>
          <w:spacing w:val="-1"/>
        </w:rPr>
        <w:t xml:space="preserve"> </w:t>
      </w:r>
      <w:r>
        <w:rPr>
          <w:color w:val="221F1F"/>
        </w:rPr>
        <w:t>consent,</w:t>
      </w:r>
      <w:r>
        <w:rPr>
          <w:color w:val="221F1F"/>
          <w:spacing w:val="-4"/>
        </w:rPr>
        <w:t xml:space="preserve"> </w:t>
      </w:r>
      <w:r>
        <w:rPr>
          <w:color w:val="221F1F"/>
        </w:rPr>
        <w:t>it</w:t>
      </w:r>
      <w:r>
        <w:rPr>
          <w:color w:val="221F1F"/>
          <w:spacing w:val="-3"/>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sent</w:t>
      </w:r>
      <w:r>
        <w:rPr>
          <w:color w:val="221F1F"/>
          <w:spacing w:val="-3"/>
        </w:rPr>
        <w:t xml:space="preserve"> </w:t>
      </w:r>
      <w:r>
        <w:rPr>
          <w:color w:val="221F1F"/>
        </w:rPr>
        <w:t>to</w:t>
      </w:r>
      <w:r>
        <w:rPr>
          <w:color w:val="221F1F"/>
          <w:spacing w:val="-4"/>
        </w:rPr>
        <w:t xml:space="preserve"> </w:t>
      </w:r>
      <w:r>
        <w:rPr>
          <w:color w:val="221F1F"/>
        </w:rPr>
        <w:t xml:space="preserve">the </w:t>
      </w:r>
      <w:proofErr w:type="spellStart"/>
      <w:r>
        <w:rPr>
          <w:color w:val="221F1F"/>
          <w:spacing w:val="-2"/>
        </w:rPr>
        <w:t>addressfromwhichtherequestwasissued</w:t>
      </w:r>
      <w:proofErr w:type="spellEnd"/>
      <w:r>
        <w:rPr>
          <w:color w:val="221F1F"/>
          <w:spacing w:val="-2"/>
        </w:rPr>
        <w:t>.</w:t>
      </w:r>
    </w:p>
    <w:p w:rsidR="007F6DF9" w:rsidRDefault="00A43FBC">
      <w:pPr>
        <w:pStyle w:val="ListParagraph"/>
        <w:numPr>
          <w:ilvl w:val="2"/>
          <w:numId w:val="122"/>
        </w:numPr>
        <w:tabs>
          <w:tab w:val="left" w:pos="1269"/>
          <w:tab w:val="left" w:pos="1273"/>
        </w:tabs>
        <w:spacing w:before="241" w:line="230" w:lineRule="auto"/>
        <w:ind w:left="1273" w:right="565" w:hanging="565"/>
        <w:jc w:val="both"/>
        <w:rPr>
          <w:color w:val="221F1F"/>
        </w:rPr>
      </w:pPr>
      <w:r>
        <w:rPr>
          <w:color w:val="221F1F"/>
        </w:rPr>
        <w:t>Approvals, certificates, consents and determinations shall not be unreasonably withheld or delayed. When a certificate is issued to a Party, the certifier shall send a copy to the other Party. When a notice is issued to a Party, by the other Party or the Engineer, a copy shall be sent to the Architect or the other Party, as the case may be.</w:t>
      </w:r>
    </w:p>
    <w:p w:rsidR="007F6DF9" w:rsidRDefault="00A43FBC">
      <w:pPr>
        <w:pStyle w:val="Heading9"/>
        <w:numPr>
          <w:ilvl w:val="1"/>
          <w:numId w:val="122"/>
        </w:numPr>
        <w:tabs>
          <w:tab w:val="left" w:pos="1272"/>
        </w:tabs>
        <w:spacing w:before="237"/>
        <w:ind w:left="1272" w:hanging="564"/>
        <w:rPr>
          <w:color w:val="221F1F"/>
        </w:rPr>
      </w:pPr>
      <w:r>
        <w:rPr>
          <w:color w:val="221F1F"/>
        </w:rPr>
        <w:t>Law</w:t>
      </w:r>
      <w:r>
        <w:rPr>
          <w:color w:val="221F1F"/>
          <w:spacing w:val="-1"/>
        </w:rPr>
        <w:t xml:space="preserve"> </w:t>
      </w:r>
      <w:r>
        <w:rPr>
          <w:color w:val="221F1F"/>
        </w:rPr>
        <w:t>and</w:t>
      </w:r>
      <w:r>
        <w:rPr>
          <w:color w:val="221F1F"/>
          <w:spacing w:val="-1"/>
        </w:rPr>
        <w:t xml:space="preserve"> </w:t>
      </w:r>
      <w:r>
        <w:rPr>
          <w:color w:val="221F1F"/>
          <w:spacing w:val="-2"/>
        </w:rPr>
        <w:t>Language</w:t>
      </w:r>
    </w:p>
    <w:p w:rsidR="007F6DF9" w:rsidRDefault="00A43FBC">
      <w:pPr>
        <w:pStyle w:val="ListParagraph"/>
        <w:numPr>
          <w:ilvl w:val="2"/>
          <w:numId w:val="122"/>
        </w:numPr>
        <w:tabs>
          <w:tab w:val="left" w:pos="1272"/>
        </w:tabs>
        <w:spacing w:before="234"/>
        <w:ind w:left="1272" w:hanging="564"/>
        <w:rPr>
          <w:b/>
          <w:color w:val="221F1F"/>
        </w:rPr>
      </w:pPr>
      <w:r>
        <w:rPr>
          <w:color w:val="221F1F"/>
        </w:rPr>
        <w:t>The</w:t>
      </w:r>
      <w:r>
        <w:rPr>
          <w:color w:val="221F1F"/>
          <w:spacing w:val="-2"/>
        </w:rPr>
        <w:t xml:space="preserve"> </w:t>
      </w:r>
      <w:r>
        <w:rPr>
          <w:color w:val="221F1F"/>
        </w:rPr>
        <w:t>Contract</w:t>
      </w:r>
      <w:r>
        <w:rPr>
          <w:color w:val="221F1F"/>
          <w:spacing w:val="-1"/>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governed</w:t>
      </w:r>
      <w:r>
        <w:rPr>
          <w:color w:val="221F1F"/>
          <w:spacing w:val="-1"/>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laws</w:t>
      </w:r>
      <w:r>
        <w:rPr>
          <w:color w:val="221F1F"/>
          <w:spacing w:val="-2"/>
        </w:rPr>
        <w:t xml:space="preserve"> </w:t>
      </w:r>
      <w:r>
        <w:rPr>
          <w:color w:val="221F1F"/>
        </w:rPr>
        <w:t>of</w:t>
      </w:r>
      <w:r>
        <w:rPr>
          <w:color w:val="221F1F"/>
          <w:spacing w:val="-3"/>
        </w:rPr>
        <w:t xml:space="preserve"> </w:t>
      </w:r>
      <w:r>
        <w:rPr>
          <w:b/>
          <w:color w:val="221F1F"/>
          <w:spacing w:val="-2"/>
        </w:rPr>
        <w:t>Kenya.</w:t>
      </w:r>
    </w:p>
    <w:p w:rsidR="007F6DF9" w:rsidRDefault="00A43FBC">
      <w:pPr>
        <w:pStyle w:val="ListParagraph"/>
        <w:numPr>
          <w:ilvl w:val="2"/>
          <w:numId w:val="122"/>
        </w:numPr>
        <w:tabs>
          <w:tab w:val="left" w:pos="1270"/>
        </w:tabs>
        <w:spacing w:before="227"/>
        <w:ind w:left="1270" w:hanging="562"/>
        <w:rPr>
          <w:b/>
          <w:color w:val="221F1F"/>
        </w:rPr>
      </w:pPr>
      <w:r>
        <w:rPr>
          <w:color w:val="221F1F"/>
        </w:rPr>
        <w:t>The</w:t>
      </w:r>
      <w:r>
        <w:rPr>
          <w:color w:val="221F1F"/>
          <w:spacing w:val="-3"/>
        </w:rPr>
        <w:t xml:space="preserve"> </w:t>
      </w:r>
      <w:r>
        <w:rPr>
          <w:color w:val="221F1F"/>
        </w:rPr>
        <w:t>ruling</w:t>
      </w:r>
      <w:r>
        <w:rPr>
          <w:color w:val="221F1F"/>
          <w:spacing w:val="-3"/>
        </w:rPr>
        <w:t xml:space="preserve"> </w:t>
      </w:r>
      <w:r>
        <w:rPr>
          <w:color w:val="221F1F"/>
        </w:rPr>
        <w:t>language</w:t>
      </w:r>
      <w:r>
        <w:rPr>
          <w:color w:val="221F1F"/>
          <w:spacing w:val="-2"/>
        </w:rPr>
        <w:t xml:space="preserve"> </w:t>
      </w:r>
      <w:proofErr w:type="spellStart"/>
      <w:r>
        <w:rPr>
          <w:color w:val="221F1F"/>
        </w:rPr>
        <w:t>ofthe</w:t>
      </w:r>
      <w:proofErr w:type="spellEnd"/>
      <w:r>
        <w:rPr>
          <w:color w:val="221F1F"/>
          <w:spacing w:val="-7"/>
        </w:rPr>
        <w:t xml:space="preserve"> </w:t>
      </w:r>
      <w:r>
        <w:rPr>
          <w:color w:val="221F1F"/>
        </w:rPr>
        <w:t>Contract</w:t>
      </w:r>
      <w:r>
        <w:rPr>
          <w:color w:val="221F1F"/>
          <w:spacing w:val="-3"/>
        </w:rPr>
        <w:t xml:space="preserve"> </w:t>
      </w:r>
      <w:r>
        <w:rPr>
          <w:color w:val="221F1F"/>
        </w:rPr>
        <w:t>shall</w:t>
      </w:r>
      <w:r>
        <w:rPr>
          <w:color w:val="221F1F"/>
          <w:spacing w:val="-4"/>
        </w:rPr>
        <w:t xml:space="preserve"> </w:t>
      </w:r>
      <w:r>
        <w:rPr>
          <w:color w:val="221F1F"/>
        </w:rPr>
        <w:t>be</w:t>
      </w:r>
      <w:r>
        <w:rPr>
          <w:color w:val="221F1F"/>
          <w:spacing w:val="-2"/>
        </w:rPr>
        <w:t xml:space="preserve"> </w:t>
      </w:r>
      <w:r>
        <w:rPr>
          <w:b/>
          <w:color w:val="221F1F"/>
          <w:spacing w:val="-2"/>
        </w:rPr>
        <w:t>English.</w:t>
      </w:r>
    </w:p>
    <w:p w:rsidR="007F6DF9" w:rsidRDefault="00A43FBC">
      <w:pPr>
        <w:pStyle w:val="Heading9"/>
        <w:numPr>
          <w:ilvl w:val="1"/>
          <w:numId w:val="122"/>
        </w:numPr>
        <w:tabs>
          <w:tab w:val="left" w:pos="1270"/>
        </w:tabs>
        <w:spacing w:before="244"/>
        <w:ind w:left="1270" w:hanging="562"/>
        <w:rPr>
          <w:color w:val="221F1F"/>
        </w:rPr>
      </w:pPr>
      <w:r>
        <w:rPr>
          <w:color w:val="221F1F"/>
        </w:rPr>
        <w:t>Priority</w:t>
      </w:r>
      <w:r>
        <w:rPr>
          <w:color w:val="221F1F"/>
          <w:spacing w:val="-5"/>
        </w:rPr>
        <w:t xml:space="preserve"> </w:t>
      </w:r>
      <w:r>
        <w:rPr>
          <w:color w:val="221F1F"/>
        </w:rPr>
        <w:t xml:space="preserve">of </w:t>
      </w:r>
      <w:r>
        <w:rPr>
          <w:color w:val="221F1F"/>
          <w:spacing w:val="-2"/>
        </w:rPr>
        <w:t>Documents</w:t>
      </w:r>
    </w:p>
    <w:p w:rsidR="007F6DF9" w:rsidRDefault="00A43FBC">
      <w:pPr>
        <w:pStyle w:val="BodyText"/>
        <w:spacing w:before="241" w:line="232" w:lineRule="auto"/>
        <w:ind w:left="708"/>
      </w:pPr>
      <w:r>
        <w:rPr>
          <w:color w:val="221F1F"/>
        </w:rPr>
        <w:t>The</w:t>
      </w:r>
      <w:r>
        <w:rPr>
          <w:color w:val="221F1F"/>
          <w:spacing w:val="-1"/>
        </w:rPr>
        <w:t xml:space="preserve"> </w:t>
      </w:r>
      <w:r>
        <w:rPr>
          <w:color w:val="221F1F"/>
        </w:rPr>
        <w:t>documents</w:t>
      </w:r>
      <w:r>
        <w:rPr>
          <w:color w:val="221F1F"/>
          <w:spacing w:val="-3"/>
        </w:rPr>
        <w:t xml:space="preserve"> </w:t>
      </w:r>
      <w:r>
        <w:rPr>
          <w:color w:val="221F1F"/>
        </w:rPr>
        <w:t>forming</w:t>
      </w:r>
      <w:r>
        <w:rPr>
          <w:color w:val="221F1F"/>
          <w:spacing w:val="-4"/>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are</w:t>
      </w:r>
      <w:r>
        <w:rPr>
          <w:color w:val="221F1F"/>
          <w:spacing w:val="-1"/>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taken</w:t>
      </w:r>
      <w:r>
        <w:rPr>
          <w:color w:val="221F1F"/>
          <w:spacing w:val="-4"/>
        </w:rPr>
        <w:t xml:space="preserve"> </w:t>
      </w:r>
      <w:r>
        <w:rPr>
          <w:color w:val="221F1F"/>
        </w:rPr>
        <w:t>as</w:t>
      </w:r>
      <w:r>
        <w:rPr>
          <w:color w:val="221F1F"/>
          <w:spacing w:val="-3"/>
        </w:rPr>
        <w:t xml:space="preserve"> </w:t>
      </w:r>
      <w:r>
        <w:rPr>
          <w:color w:val="221F1F"/>
        </w:rPr>
        <w:t>mutually</w:t>
      </w:r>
      <w:r>
        <w:rPr>
          <w:color w:val="221F1F"/>
          <w:spacing w:val="-1"/>
        </w:rPr>
        <w:t xml:space="preserve"> </w:t>
      </w:r>
      <w:r>
        <w:rPr>
          <w:color w:val="221F1F"/>
        </w:rPr>
        <w:t>explanatory</w:t>
      </w:r>
      <w:r>
        <w:rPr>
          <w:color w:val="221F1F"/>
          <w:spacing w:val="-4"/>
        </w:rPr>
        <w:t xml:space="preserve"> </w:t>
      </w:r>
      <w:r>
        <w:rPr>
          <w:color w:val="221F1F"/>
        </w:rPr>
        <w:t>of</w:t>
      </w:r>
      <w:r>
        <w:rPr>
          <w:color w:val="221F1F"/>
          <w:spacing w:val="-1"/>
        </w:rPr>
        <w:t xml:space="preserve"> </w:t>
      </w:r>
      <w:r>
        <w:rPr>
          <w:color w:val="221F1F"/>
        </w:rPr>
        <w:t>one</w:t>
      </w:r>
      <w:r>
        <w:rPr>
          <w:color w:val="221F1F"/>
          <w:spacing w:val="-1"/>
        </w:rPr>
        <w:t xml:space="preserve"> </w:t>
      </w:r>
      <w:r>
        <w:rPr>
          <w:color w:val="221F1F"/>
        </w:rPr>
        <w:t>another.</w:t>
      </w:r>
      <w:r>
        <w:rPr>
          <w:color w:val="221F1F"/>
          <w:spacing w:val="-1"/>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 interpretation, the priority of the documents shall be in accordance with the following sequence:</w:t>
      </w:r>
    </w:p>
    <w:p w:rsidR="007F6DF9" w:rsidRDefault="007F6DF9">
      <w:pPr>
        <w:pStyle w:val="BodyText"/>
        <w:spacing w:line="232" w:lineRule="auto"/>
        <w:sectPr w:rsidR="007F6DF9">
          <w:pgSz w:w="11920" w:h="16850"/>
          <w:pgMar w:top="360" w:right="283" w:bottom="620" w:left="141" w:header="0" w:footer="437" w:gutter="0"/>
          <w:cols w:space="720"/>
        </w:sectPr>
      </w:pPr>
    </w:p>
    <w:p w:rsidR="007F6DF9" w:rsidRDefault="007F6DF9">
      <w:pPr>
        <w:pStyle w:val="BodyText"/>
        <w:spacing w:before="199"/>
      </w:pPr>
    </w:p>
    <w:p w:rsidR="007F6DF9" w:rsidRDefault="00A43FBC">
      <w:pPr>
        <w:pStyle w:val="ListParagraph"/>
        <w:numPr>
          <w:ilvl w:val="0"/>
          <w:numId w:val="120"/>
        </w:numPr>
        <w:tabs>
          <w:tab w:val="left" w:pos="1834"/>
        </w:tabs>
        <w:spacing w:before="1" w:line="250" w:lineRule="exact"/>
        <w:ind w:hanging="561"/>
      </w:pPr>
      <w:r>
        <w:rPr>
          <w:color w:val="221F1F"/>
        </w:rPr>
        <w:t>The</w:t>
      </w:r>
      <w:r>
        <w:rPr>
          <w:color w:val="221F1F"/>
          <w:spacing w:val="-3"/>
        </w:rPr>
        <w:t xml:space="preserve"> </w:t>
      </w:r>
      <w:r>
        <w:rPr>
          <w:color w:val="221F1F"/>
        </w:rPr>
        <w:t>Contract</w:t>
      </w:r>
      <w:r>
        <w:rPr>
          <w:color w:val="221F1F"/>
          <w:spacing w:val="-2"/>
        </w:rPr>
        <w:t xml:space="preserve"> Agreement,</w:t>
      </w:r>
    </w:p>
    <w:p w:rsidR="007F6DF9" w:rsidRDefault="00A43FBC">
      <w:pPr>
        <w:pStyle w:val="ListParagraph"/>
        <w:numPr>
          <w:ilvl w:val="0"/>
          <w:numId w:val="120"/>
        </w:numPr>
        <w:tabs>
          <w:tab w:val="left" w:pos="1834"/>
        </w:tabs>
        <w:spacing w:line="245" w:lineRule="exact"/>
        <w:ind w:hanging="561"/>
      </w:pPr>
      <w:r>
        <w:rPr>
          <w:color w:val="221F1F"/>
        </w:rPr>
        <w:t>The</w:t>
      </w:r>
      <w:r>
        <w:rPr>
          <w:color w:val="221F1F"/>
          <w:spacing w:val="-2"/>
        </w:rPr>
        <w:t xml:space="preserve"> </w:t>
      </w:r>
      <w:r>
        <w:rPr>
          <w:color w:val="221F1F"/>
        </w:rPr>
        <w:t>Letter</w:t>
      </w:r>
      <w:r>
        <w:rPr>
          <w:color w:val="221F1F"/>
          <w:spacing w:val="-1"/>
        </w:rPr>
        <w:t xml:space="preserve"> </w:t>
      </w:r>
      <w:r>
        <w:rPr>
          <w:color w:val="221F1F"/>
        </w:rPr>
        <w:t>of</w:t>
      </w:r>
      <w:r>
        <w:rPr>
          <w:color w:val="221F1F"/>
          <w:spacing w:val="-3"/>
        </w:rPr>
        <w:t xml:space="preserve"> </w:t>
      </w:r>
      <w:r>
        <w:rPr>
          <w:color w:val="221F1F"/>
          <w:spacing w:val="-2"/>
        </w:rPr>
        <w:t>Acceptance,</w:t>
      </w:r>
    </w:p>
    <w:p w:rsidR="007F6DF9" w:rsidRDefault="00A43FBC">
      <w:pPr>
        <w:pStyle w:val="ListParagraph"/>
        <w:numPr>
          <w:ilvl w:val="0"/>
          <w:numId w:val="120"/>
        </w:numPr>
        <w:tabs>
          <w:tab w:val="left" w:pos="1834"/>
        </w:tabs>
        <w:spacing w:line="244" w:lineRule="exact"/>
        <w:ind w:hanging="561"/>
      </w:pP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w:t>
      </w:r>
      <w:r>
        <w:rPr>
          <w:color w:val="221F1F"/>
          <w:spacing w:val="-3"/>
        </w:rPr>
        <w:t xml:space="preserve"> </w:t>
      </w:r>
      <w:r>
        <w:rPr>
          <w:color w:val="221F1F"/>
        </w:rPr>
        <w:t>Part</w:t>
      </w:r>
      <w:r>
        <w:rPr>
          <w:color w:val="221F1F"/>
          <w:spacing w:val="-1"/>
        </w:rPr>
        <w:t xml:space="preserve"> </w:t>
      </w:r>
      <w:r>
        <w:rPr>
          <w:color w:val="221F1F"/>
          <w:spacing w:val="-5"/>
        </w:rPr>
        <w:t>A,</w:t>
      </w:r>
    </w:p>
    <w:p w:rsidR="007F6DF9" w:rsidRDefault="00A43FBC">
      <w:pPr>
        <w:pStyle w:val="ListParagraph"/>
        <w:numPr>
          <w:ilvl w:val="0"/>
          <w:numId w:val="120"/>
        </w:numPr>
        <w:tabs>
          <w:tab w:val="left" w:pos="1834"/>
        </w:tabs>
        <w:spacing w:line="245" w:lineRule="exact"/>
        <w:ind w:hanging="561"/>
      </w:pPr>
      <w:r>
        <w:rPr>
          <w:color w:val="221F1F"/>
        </w:rPr>
        <w:t>the</w:t>
      </w:r>
      <w:r>
        <w:rPr>
          <w:color w:val="221F1F"/>
          <w:spacing w:val="-4"/>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w:t>
      </w:r>
      <w:r>
        <w:rPr>
          <w:color w:val="221F1F"/>
          <w:spacing w:val="-4"/>
        </w:rPr>
        <w:t xml:space="preserve"> </w:t>
      </w:r>
      <w:r>
        <w:rPr>
          <w:color w:val="221F1F"/>
        </w:rPr>
        <w:t>Part</w:t>
      </w:r>
      <w:r>
        <w:rPr>
          <w:color w:val="221F1F"/>
          <w:spacing w:val="-2"/>
        </w:rPr>
        <w:t xml:space="preserve"> </w:t>
      </w:r>
      <w:r>
        <w:rPr>
          <w:color w:val="221F1F"/>
          <w:spacing w:val="-10"/>
        </w:rPr>
        <w:t>B</w:t>
      </w:r>
    </w:p>
    <w:p w:rsidR="007F6DF9" w:rsidRDefault="00A43FBC">
      <w:pPr>
        <w:pStyle w:val="ListParagraph"/>
        <w:numPr>
          <w:ilvl w:val="0"/>
          <w:numId w:val="120"/>
        </w:numPr>
        <w:tabs>
          <w:tab w:val="left" w:pos="1834"/>
        </w:tabs>
        <w:spacing w:line="244" w:lineRule="exact"/>
        <w:ind w:hanging="561"/>
      </w:pPr>
      <w:r>
        <w:rPr>
          <w:color w:val="221F1F"/>
        </w:rPr>
        <w:t>the</w:t>
      </w:r>
      <w:r>
        <w:rPr>
          <w:color w:val="221F1F"/>
          <w:spacing w:val="-4"/>
        </w:rPr>
        <w:t xml:space="preserve"> </w:t>
      </w:r>
      <w:r>
        <w:rPr>
          <w:color w:val="221F1F"/>
        </w:rPr>
        <w:t>General</w:t>
      </w:r>
      <w:r>
        <w:rPr>
          <w:color w:val="221F1F"/>
          <w:spacing w:val="-3"/>
        </w:rPr>
        <w:t xml:space="preserve"> </w:t>
      </w:r>
      <w:r>
        <w:rPr>
          <w:color w:val="221F1F"/>
        </w:rPr>
        <w:t>Conditions</w:t>
      </w:r>
      <w:r>
        <w:rPr>
          <w:color w:val="221F1F"/>
          <w:spacing w:val="-2"/>
        </w:rPr>
        <w:t xml:space="preserve"> </w:t>
      </w:r>
      <w:r>
        <w:rPr>
          <w:color w:val="221F1F"/>
        </w:rPr>
        <w:t>of</w:t>
      </w:r>
      <w:r>
        <w:rPr>
          <w:color w:val="221F1F"/>
          <w:spacing w:val="-5"/>
        </w:rPr>
        <w:t xml:space="preserve"> </w:t>
      </w:r>
      <w:r>
        <w:rPr>
          <w:color w:val="221F1F"/>
          <w:spacing w:val="-2"/>
        </w:rPr>
        <w:t>Contract</w:t>
      </w:r>
    </w:p>
    <w:p w:rsidR="007F6DF9" w:rsidRDefault="00A43FBC">
      <w:pPr>
        <w:pStyle w:val="ListParagraph"/>
        <w:numPr>
          <w:ilvl w:val="0"/>
          <w:numId w:val="120"/>
        </w:numPr>
        <w:tabs>
          <w:tab w:val="left" w:pos="1834"/>
        </w:tabs>
        <w:spacing w:line="244" w:lineRule="exact"/>
        <w:ind w:hanging="561"/>
      </w:pPr>
      <w:r>
        <w:rPr>
          <w:color w:val="221F1F"/>
        </w:rPr>
        <w:t>the</w:t>
      </w:r>
      <w:r>
        <w:rPr>
          <w:color w:val="221F1F"/>
          <w:spacing w:val="-1"/>
        </w:rPr>
        <w:t xml:space="preserve"> </w:t>
      </w:r>
      <w:r>
        <w:rPr>
          <w:color w:val="221F1F"/>
        </w:rPr>
        <w:t>Form</w:t>
      </w:r>
      <w:r>
        <w:rPr>
          <w:color w:val="221F1F"/>
          <w:spacing w:val="-2"/>
        </w:rPr>
        <w:t xml:space="preserve"> </w:t>
      </w:r>
      <w:r>
        <w:rPr>
          <w:color w:val="221F1F"/>
        </w:rPr>
        <w:t xml:space="preserve">of </w:t>
      </w:r>
      <w:r>
        <w:rPr>
          <w:color w:val="221F1F"/>
          <w:spacing w:val="-2"/>
        </w:rPr>
        <w:t>Tender,</w:t>
      </w:r>
    </w:p>
    <w:p w:rsidR="007F6DF9" w:rsidRDefault="00A43FBC">
      <w:pPr>
        <w:pStyle w:val="ListParagraph"/>
        <w:numPr>
          <w:ilvl w:val="0"/>
          <w:numId w:val="120"/>
        </w:numPr>
        <w:tabs>
          <w:tab w:val="left" w:pos="1834"/>
        </w:tabs>
        <w:spacing w:line="245" w:lineRule="exact"/>
        <w:ind w:hanging="561"/>
      </w:pPr>
      <w:r>
        <w:rPr>
          <w:color w:val="221F1F"/>
        </w:rPr>
        <w:t>the</w:t>
      </w:r>
      <w:r>
        <w:rPr>
          <w:color w:val="221F1F"/>
          <w:spacing w:val="-6"/>
        </w:rPr>
        <w:t xml:space="preserve"> </w:t>
      </w:r>
      <w:r>
        <w:rPr>
          <w:color w:val="221F1F"/>
        </w:rPr>
        <w:t>Specifications</w:t>
      </w:r>
      <w:r>
        <w:rPr>
          <w:color w:val="221F1F"/>
          <w:spacing w:val="-4"/>
        </w:rPr>
        <w:t xml:space="preserve"> </w:t>
      </w:r>
      <w:r>
        <w:rPr>
          <w:color w:val="221F1F"/>
        </w:rPr>
        <w:t>and</w:t>
      </w:r>
      <w:r>
        <w:rPr>
          <w:color w:val="221F1F"/>
          <w:spacing w:val="-7"/>
        </w:rPr>
        <w:t xml:space="preserve"> </w:t>
      </w:r>
      <w:r>
        <w:rPr>
          <w:color w:val="221F1F"/>
        </w:rPr>
        <w:t>Bills</w:t>
      </w:r>
      <w:r>
        <w:rPr>
          <w:color w:val="221F1F"/>
          <w:spacing w:val="-7"/>
        </w:rPr>
        <w:t xml:space="preserve"> </w:t>
      </w:r>
      <w:r>
        <w:rPr>
          <w:color w:val="221F1F"/>
        </w:rPr>
        <w:t>of</w:t>
      </w:r>
      <w:r>
        <w:rPr>
          <w:color w:val="221F1F"/>
          <w:spacing w:val="-5"/>
        </w:rPr>
        <w:t xml:space="preserve"> </w:t>
      </w:r>
      <w:r>
        <w:rPr>
          <w:color w:val="221F1F"/>
          <w:spacing w:val="-2"/>
        </w:rPr>
        <w:t>Quantities</w:t>
      </w:r>
    </w:p>
    <w:p w:rsidR="007F6DF9" w:rsidRDefault="00A43FBC">
      <w:pPr>
        <w:pStyle w:val="ListParagraph"/>
        <w:numPr>
          <w:ilvl w:val="0"/>
          <w:numId w:val="120"/>
        </w:numPr>
        <w:tabs>
          <w:tab w:val="left" w:pos="1834"/>
        </w:tabs>
        <w:spacing w:line="246" w:lineRule="exact"/>
        <w:ind w:hanging="561"/>
      </w:pPr>
      <w:r>
        <w:rPr>
          <w:color w:val="221F1F"/>
        </w:rPr>
        <w:t>the</w:t>
      </w:r>
      <w:r>
        <w:rPr>
          <w:color w:val="221F1F"/>
          <w:spacing w:val="-3"/>
        </w:rPr>
        <w:t xml:space="preserve"> </w:t>
      </w:r>
      <w:r>
        <w:rPr>
          <w:color w:val="221F1F"/>
        </w:rPr>
        <w:t>Drawings,</w:t>
      </w:r>
      <w:r>
        <w:rPr>
          <w:color w:val="221F1F"/>
          <w:spacing w:val="-2"/>
        </w:rPr>
        <w:t xml:space="preserve"> </w:t>
      </w:r>
      <w:r>
        <w:rPr>
          <w:color w:val="221F1F"/>
          <w:spacing w:val="-5"/>
        </w:rPr>
        <w:t>and</w:t>
      </w:r>
    </w:p>
    <w:p w:rsidR="007F6DF9" w:rsidRDefault="00A43FBC">
      <w:pPr>
        <w:pStyle w:val="ListParagraph"/>
        <w:numPr>
          <w:ilvl w:val="0"/>
          <w:numId w:val="120"/>
        </w:numPr>
        <w:tabs>
          <w:tab w:val="left" w:pos="1834"/>
        </w:tabs>
        <w:spacing w:line="250" w:lineRule="exact"/>
        <w:ind w:hanging="561"/>
      </w:pPr>
      <w:r>
        <w:rPr>
          <w:color w:val="221F1F"/>
        </w:rPr>
        <w:t>the</w:t>
      </w:r>
      <w:r>
        <w:rPr>
          <w:color w:val="221F1F"/>
          <w:spacing w:val="-4"/>
        </w:rPr>
        <w:t xml:space="preserve"> </w:t>
      </w:r>
      <w:r>
        <w:rPr>
          <w:color w:val="221F1F"/>
        </w:rPr>
        <w:t>Schedules</w:t>
      </w:r>
      <w:r>
        <w:rPr>
          <w:color w:val="221F1F"/>
          <w:spacing w:val="-5"/>
        </w:rPr>
        <w:t xml:space="preserve"> </w:t>
      </w:r>
      <w:r>
        <w:rPr>
          <w:color w:val="221F1F"/>
        </w:rPr>
        <w:t>and</w:t>
      </w:r>
      <w:r>
        <w:rPr>
          <w:color w:val="221F1F"/>
          <w:spacing w:val="-3"/>
        </w:rPr>
        <w:t xml:space="preserve"> </w:t>
      </w:r>
      <w:r>
        <w:rPr>
          <w:color w:val="221F1F"/>
        </w:rPr>
        <w:t>any</w:t>
      </w:r>
      <w:r>
        <w:rPr>
          <w:color w:val="221F1F"/>
          <w:spacing w:val="-3"/>
        </w:rPr>
        <w:t xml:space="preserve"> </w:t>
      </w:r>
      <w:r>
        <w:rPr>
          <w:color w:val="221F1F"/>
        </w:rPr>
        <w:t>other</w:t>
      </w:r>
      <w:r>
        <w:rPr>
          <w:color w:val="221F1F"/>
          <w:spacing w:val="-2"/>
        </w:rPr>
        <w:t xml:space="preserve"> </w:t>
      </w:r>
      <w:r>
        <w:rPr>
          <w:color w:val="221F1F"/>
        </w:rPr>
        <w:t>documents</w:t>
      </w:r>
      <w:r>
        <w:rPr>
          <w:color w:val="221F1F"/>
          <w:spacing w:val="-6"/>
        </w:rPr>
        <w:t xml:space="preserve"> </w:t>
      </w:r>
      <w:r>
        <w:rPr>
          <w:color w:val="221F1F"/>
        </w:rPr>
        <w:t>forming</w:t>
      </w:r>
      <w:r>
        <w:rPr>
          <w:color w:val="221F1F"/>
          <w:spacing w:val="-2"/>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spacing w:val="-2"/>
        </w:rPr>
        <w:t>Contract.</w:t>
      </w:r>
    </w:p>
    <w:p w:rsidR="007F6DF9" w:rsidRDefault="00A43FBC">
      <w:pPr>
        <w:pStyle w:val="BodyText"/>
        <w:spacing w:before="242" w:line="230" w:lineRule="auto"/>
        <w:ind w:left="1273"/>
      </w:pPr>
      <w:r>
        <w:rPr>
          <w:color w:val="221F1F"/>
        </w:rPr>
        <w:t>If</w:t>
      </w:r>
      <w:r>
        <w:rPr>
          <w:color w:val="221F1F"/>
          <w:spacing w:val="-2"/>
        </w:rPr>
        <w:t xml:space="preserve"> </w:t>
      </w:r>
      <w:r>
        <w:rPr>
          <w:color w:val="221F1F"/>
        </w:rPr>
        <w:t>an</w:t>
      </w:r>
      <w:r>
        <w:rPr>
          <w:color w:val="221F1F"/>
          <w:spacing w:val="-3"/>
        </w:rPr>
        <w:t xml:space="preserve"> </w:t>
      </w:r>
      <w:r>
        <w:rPr>
          <w:color w:val="221F1F"/>
        </w:rPr>
        <w:t>ambiguity</w:t>
      </w:r>
      <w:r>
        <w:rPr>
          <w:color w:val="221F1F"/>
          <w:spacing w:val="-3"/>
        </w:rPr>
        <w:t xml:space="preserve"> </w:t>
      </w:r>
      <w:r>
        <w:rPr>
          <w:color w:val="221F1F"/>
        </w:rPr>
        <w:t>or</w:t>
      </w:r>
      <w:r>
        <w:rPr>
          <w:color w:val="221F1F"/>
          <w:spacing w:val="-2"/>
        </w:rPr>
        <w:t xml:space="preserve"> </w:t>
      </w:r>
      <w:r>
        <w:rPr>
          <w:color w:val="221F1F"/>
        </w:rPr>
        <w:t>discrepancy</w:t>
      </w:r>
      <w:r>
        <w:rPr>
          <w:color w:val="221F1F"/>
          <w:spacing w:val="-2"/>
        </w:rPr>
        <w:t xml:space="preserve"> </w:t>
      </w:r>
      <w:r>
        <w:rPr>
          <w:color w:val="221F1F"/>
        </w:rPr>
        <w:t>is</w:t>
      </w:r>
      <w:r>
        <w:rPr>
          <w:color w:val="221F1F"/>
          <w:spacing w:val="-3"/>
        </w:rPr>
        <w:t xml:space="preserve"> </w:t>
      </w:r>
      <w:r>
        <w:rPr>
          <w:color w:val="221F1F"/>
        </w:rPr>
        <w:t>found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documents,</w:t>
      </w:r>
      <w:r>
        <w:rPr>
          <w:color w:val="221F1F"/>
          <w:spacing w:val="-5"/>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shall</w:t>
      </w:r>
      <w:r>
        <w:rPr>
          <w:color w:val="221F1F"/>
          <w:spacing w:val="-4"/>
        </w:rPr>
        <w:t xml:space="preserve"> </w:t>
      </w:r>
      <w:r>
        <w:rPr>
          <w:color w:val="221F1F"/>
        </w:rPr>
        <w:t>issue</w:t>
      </w:r>
      <w:r>
        <w:rPr>
          <w:color w:val="221F1F"/>
          <w:spacing w:val="-3"/>
        </w:rPr>
        <w:t xml:space="preserve"> </w:t>
      </w:r>
      <w:r>
        <w:rPr>
          <w:color w:val="221F1F"/>
        </w:rPr>
        <w:t>any</w:t>
      </w:r>
      <w:r>
        <w:rPr>
          <w:color w:val="221F1F"/>
          <w:spacing w:val="-2"/>
        </w:rPr>
        <w:t xml:space="preserve"> </w:t>
      </w:r>
      <w:r>
        <w:rPr>
          <w:color w:val="221F1F"/>
        </w:rPr>
        <w:t>necessary</w:t>
      </w:r>
      <w:r>
        <w:rPr>
          <w:color w:val="221F1F"/>
          <w:spacing w:val="-3"/>
        </w:rPr>
        <w:t xml:space="preserve"> </w:t>
      </w:r>
      <w:r>
        <w:rPr>
          <w:color w:val="221F1F"/>
        </w:rPr>
        <w:t>clarification</w:t>
      </w:r>
      <w:r>
        <w:rPr>
          <w:color w:val="221F1F"/>
          <w:spacing w:val="-3"/>
        </w:rPr>
        <w:t xml:space="preserve"> </w:t>
      </w:r>
      <w:r>
        <w:rPr>
          <w:color w:val="221F1F"/>
        </w:rPr>
        <w:t xml:space="preserve">or </w:t>
      </w:r>
      <w:r>
        <w:rPr>
          <w:color w:val="221F1F"/>
          <w:spacing w:val="-2"/>
        </w:rPr>
        <w:t>instruction.</w:t>
      </w:r>
    </w:p>
    <w:p w:rsidR="007F6DF9" w:rsidRDefault="00A43FBC">
      <w:pPr>
        <w:pStyle w:val="Heading9"/>
        <w:numPr>
          <w:ilvl w:val="1"/>
          <w:numId w:val="122"/>
        </w:numPr>
        <w:tabs>
          <w:tab w:val="left" w:pos="1272"/>
        </w:tabs>
        <w:spacing w:before="236"/>
        <w:ind w:left="1272" w:hanging="561"/>
        <w:rPr>
          <w:color w:val="221F1F"/>
        </w:rPr>
      </w:pPr>
      <w:r>
        <w:rPr>
          <w:color w:val="221F1F"/>
        </w:rPr>
        <w:t>Contract</w:t>
      </w:r>
      <w:r>
        <w:rPr>
          <w:color w:val="221F1F"/>
          <w:spacing w:val="-3"/>
        </w:rPr>
        <w:t xml:space="preserve"> </w:t>
      </w:r>
      <w:r>
        <w:rPr>
          <w:color w:val="221F1F"/>
          <w:spacing w:val="-2"/>
        </w:rPr>
        <w:t>Agreement</w:t>
      </w:r>
    </w:p>
    <w:p w:rsidR="007F6DF9" w:rsidRDefault="00A43FBC">
      <w:pPr>
        <w:pStyle w:val="BodyText"/>
        <w:spacing w:before="242" w:line="230" w:lineRule="auto"/>
        <w:ind w:left="1273" w:right="565"/>
        <w:jc w:val="both"/>
      </w:pPr>
      <w:r>
        <w:rPr>
          <w:color w:val="221F1F"/>
        </w:rPr>
        <w:t>The Parties shall enter into a Contract Agreement within 14 days after the Contractor receives the Contract Agreement, unless the Special Conditions establish otherwise. The Contract Agreement shall be based upon the</w:t>
      </w:r>
      <w:r>
        <w:rPr>
          <w:color w:val="221F1F"/>
          <w:spacing w:val="-4"/>
        </w:rPr>
        <w:t xml:space="preserve"> </w:t>
      </w:r>
      <w:proofErr w:type="spellStart"/>
      <w:r>
        <w:rPr>
          <w:color w:val="221F1F"/>
        </w:rPr>
        <w:t>formannexed</w:t>
      </w:r>
      <w:proofErr w:type="spellEnd"/>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Special Conditions.</w:t>
      </w:r>
      <w:r>
        <w:rPr>
          <w:color w:val="221F1F"/>
          <w:spacing w:val="-1"/>
        </w:rPr>
        <w:t xml:space="preserve"> </w:t>
      </w:r>
      <w:r>
        <w:rPr>
          <w:color w:val="221F1F"/>
        </w:rPr>
        <w:t>The</w:t>
      </w:r>
      <w:r>
        <w:rPr>
          <w:color w:val="221F1F"/>
          <w:spacing w:val="-5"/>
        </w:rPr>
        <w:t xml:space="preserve"> </w:t>
      </w:r>
      <w:r>
        <w:rPr>
          <w:color w:val="221F1F"/>
        </w:rPr>
        <w:t>costs</w:t>
      </w:r>
      <w:r>
        <w:rPr>
          <w:color w:val="221F1F"/>
          <w:spacing w:val="-4"/>
        </w:rPr>
        <w:t xml:space="preserve"> </w:t>
      </w:r>
      <w:r>
        <w:rPr>
          <w:color w:val="221F1F"/>
        </w:rPr>
        <w:t>of</w:t>
      </w:r>
      <w:r>
        <w:rPr>
          <w:color w:val="221F1F"/>
          <w:spacing w:val="-1"/>
        </w:rPr>
        <w:t xml:space="preserve"> </w:t>
      </w:r>
      <w:r>
        <w:rPr>
          <w:color w:val="221F1F"/>
        </w:rPr>
        <w:t>stamp</w:t>
      </w:r>
      <w:r>
        <w:rPr>
          <w:color w:val="221F1F"/>
          <w:spacing w:val="-2"/>
        </w:rPr>
        <w:t xml:space="preserve"> </w:t>
      </w:r>
      <w:r>
        <w:rPr>
          <w:color w:val="221F1F"/>
        </w:rPr>
        <w:t>duties</w:t>
      </w:r>
      <w:r>
        <w:rPr>
          <w:color w:val="221F1F"/>
          <w:spacing w:val="-4"/>
        </w:rPr>
        <w:t xml:space="preserve"> </w:t>
      </w:r>
      <w:r>
        <w:rPr>
          <w:color w:val="221F1F"/>
        </w:rPr>
        <w:t>and</w:t>
      </w:r>
      <w:r>
        <w:rPr>
          <w:color w:val="221F1F"/>
          <w:spacing w:val="-4"/>
        </w:rPr>
        <w:t xml:space="preserve"> </w:t>
      </w:r>
      <w:r>
        <w:rPr>
          <w:color w:val="221F1F"/>
        </w:rPr>
        <w:t>similar</w:t>
      </w:r>
      <w:r>
        <w:rPr>
          <w:color w:val="221F1F"/>
          <w:spacing w:val="-1"/>
        </w:rPr>
        <w:t xml:space="preserve"> </w:t>
      </w:r>
      <w:r>
        <w:rPr>
          <w:color w:val="221F1F"/>
        </w:rPr>
        <w:t>charges</w:t>
      </w:r>
      <w:r>
        <w:rPr>
          <w:color w:val="221F1F"/>
          <w:spacing w:val="-3"/>
        </w:rPr>
        <w:t xml:space="preserve"> </w:t>
      </w:r>
      <w:r>
        <w:rPr>
          <w:color w:val="221F1F"/>
        </w:rPr>
        <w:t>(if</w:t>
      </w:r>
      <w:r>
        <w:rPr>
          <w:color w:val="221F1F"/>
          <w:spacing w:val="-1"/>
        </w:rPr>
        <w:t xml:space="preserve"> </w:t>
      </w:r>
      <w:r>
        <w:rPr>
          <w:color w:val="221F1F"/>
        </w:rPr>
        <w:t>any)</w:t>
      </w:r>
      <w:r>
        <w:rPr>
          <w:color w:val="221F1F"/>
          <w:spacing w:val="-4"/>
        </w:rPr>
        <w:t xml:space="preserve"> </w:t>
      </w:r>
      <w:r>
        <w:rPr>
          <w:color w:val="221F1F"/>
        </w:rPr>
        <w:t>imposed</w:t>
      </w:r>
      <w:r>
        <w:rPr>
          <w:color w:val="221F1F"/>
          <w:spacing w:val="-2"/>
        </w:rPr>
        <w:t xml:space="preserve"> </w:t>
      </w:r>
      <w:r>
        <w:rPr>
          <w:color w:val="221F1F"/>
        </w:rPr>
        <w:t>by law in connection with entry into the Contract Agreement shall be borne by the Procuring Entity.</w:t>
      </w:r>
    </w:p>
    <w:p w:rsidR="007F6DF9" w:rsidRDefault="00A43FBC">
      <w:pPr>
        <w:pStyle w:val="Heading9"/>
        <w:numPr>
          <w:ilvl w:val="1"/>
          <w:numId w:val="122"/>
        </w:numPr>
        <w:tabs>
          <w:tab w:val="left" w:pos="1272"/>
        </w:tabs>
        <w:spacing w:before="238"/>
        <w:ind w:left="1272" w:hanging="561"/>
        <w:rPr>
          <w:color w:val="221F1F"/>
        </w:rPr>
      </w:pPr>
      <w:r>
        <w:rPr>
          <w:color w:val="221F1F"/>
          <w:spacing w:val="-2"/>
        </w:rPr>
        <w:t>Assignment</w:t>
      </w:r>
    </w:p>
    <w:p w:rsidR="007F6DF9" w:rsidRDefault="00A43FBC">
      <w:pPr>
        <w:pStyle w:val="BodyText"/>
        <w:spacing w:before="242" w:line="230" w:lineRule="auto"/>
        <w:ind w:left="1273" w:right="614"/>
        <w:jc w:val="both"/>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not</w:t>
      </w:r>
      <w:r>
        <w:rPr>
          <w:color w:val="221F1F"/>
          <w:spacing w:val="-3"/>
        </w:rPr>
        <w:t xml:space="preserve"> </w:t>
      </w:r>
      <w:r>
        <w:rPr>
          <w:color w:val="221F1F"/>
        </w:rPr>
        <w:t>assign</w:t>
      </w:r>
      <w:r>
        <w:rPr>
          <w:color w:val="221F1F"/>
          <w:spacing w:val="-5"/>
        </w:rPr>
        <w:t xml:space="preserve"> </w:t>
      </w:r>
      <w:r>
        <w:rPr>
          <w:color w:val="221F1F"/>
        </w:rPr>
        <w:t>the</w:t>
      </w:r>
      <w:r>
        <w:rPr>
          <w:color w:val="221F1F"/>
          <w:spacing w:val="-2"/>
        </w:rPr>
        <w:t xml:space="preserve"> </w:t>
      </w:r>
      <w:r>
        <w:rPr>
          <w:color w:val="221F1F"/>
        </w:rPr>
        <w:t>whole</w:t>
      </w:r>
      <w:r>
        <w:rPr>
          <w:color w:val="221F1F"/>
          <w:spacing w:val="-4"/>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part</w:t>
      </w:r>
      <w:r>
        <w:rPr>
          <w:color w:val="221F1F"/>
          <w:spacing w:val="-4"/>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or</w:t>
      </w:r>
      <w:r>
        <w:rPr>
          <w:color w:val="221F1F"/>
          <w:spacing w:val="-2"/>
        </w:rPr>
        <w:t xml:space="preserve"> </w:t>
      </w:r>
      <w:r>
        <w:rPr>
          <w:color w:val="221F1F"/>
        </w:rPr>
        <w:t>any</w:t>
      </w:r>
      <w:r>
        <w:rPr>
          <w:color w:val="221F1F"/>
          <w:spacing w:val="-4"/>
        </w:rPr>
        <w:t xml:space="preserve"> </w:t>
      </w:r>
      <w:r>
        <w:rPr>
          <w:color w:val="221F1F"/>
        </w:rPr>
        <w:t>benefit</w:t>
      </w:r>
      <w:r>
        <w:rPr>
          <w:color w:val="221F1F"/>
          <w:spacing w:val="-1"/>
        </w:rPr>
        <w:t xml:space="preserve"> </w:t>
      </w:r>
      <w:r>
        <w:rPr>
          <w:color w:val="221F1F"/>
        </w:rPr>
        <w:t>or</w:t>
      </w:r>
      <w:r>
        <w:rPr>
          <w:color w:val="221F1F"/>
          <w:spacing w:val="-4"/>
        </w:rPr>
        <w:t xml:space="preserve"> </w:t>
      </w:r>
      <w:r>
        <w:rPr>
          <w:color w:val="221F1F"/>
        </w:rPr>
        <w:t>interest</w:t>
      </w:r>
      <w:r>
        <w:rPr>
          <w:color w:val="221F1F"/>
          <w:spacing w:val="-4"/>
        </w:rPr>
        <w:t xml:space="preserve"> </w:t>
      </w:r>
      <w:r>
        <w:rPr>
          <w:color w:val="221F1F"/>
        </w:rPr>
        <w:t>in</w:t>
      </w:r>
      <w:r>
        <w:rPr>
          <w:color w:val="221F1F"/>
          <w:spacing w:val="-5"/>
        </w:rPr>
        <w:t xml:space="preserve"> </w:t>
      </w:r>
      <w:r>
        <w:rPr>
          <w:color w:val="221F1F"/>
        </w:rPr>
        <w:t>or</w:t>
      </w:r>
      <w:r>
        <w:rPr>
          <w:color w:val="221F1F"/>
          <w:spacing w:val="-2"/>
        </w:rPr>
        <w:t xml:space="preserve"> </w:t>
      </w:r>
      <w:r>
        <w:rPr>
          <w:color w:val="221F1F"/>
        </w:rPr>
        <w:t>under</w:t>
      </w:r>
      <w:r>
        <w:rPr>
          <w:color w:val="221F1F"/>
          <w:spacing w:val="-4"/>
        </w:rPr>
        <w:t xml:space="preserve"> </w:t>
      </w:r>
      <w:r>
        <w:rPr>
          <w:color w:val="221F1F"/>
        </w:rPr>
        <w:t>the Contract. However, the contractor:</w:t>
      </w:r>
    </w:p>
    <w:p w:rsidR="007F6DF9" w:rsidRDefault="00A43FBC">
      <w:pPr>
        <w:pStyle w:val="ListParagraph"/>
        <w:numPr>
          <w:ilvl w:val="0"/>
          <w:numId w:val="119"/>
        </w:numPr>
        <w:tabs>
          <w:tab w:val="left" w:pos="1820"/>
        </w:tabs>
        <w:spacing w:before="229" w:line="252" w:lineRule="exact"/>
        <w:ind w:hanging="547"/>
      </w:pPr>
      <w:r>
        <w:rPr>
          <w:color w:val="221F1F"/>
        </w:rPr>
        <w:t>May</w:t>
      </w:r>
      <w:r>
        <w:rPr>
          <w:color w:val="221F1F"/>
          <w:spacing w:val="-4"/>
        </w:rPr>
        <w:t xml:space="preserve"> </w:t>
      </w:r>
      <w:r>
        <w:rPr>
          <w:color w:val="221F1F"/>
        </w:rPr>
        <w:t>as</w:t>
      </w:r>
      <w:r>
        <w:rPr>
          <w:color w:val="221F1F"/>
          <w:spacing w:val="-4"/>
        </w:rPr>
        <w:t xml:space="preserve"> </w:t>
      </w:r>
      <w:r>
        <w:rPr>
          <w:color w:val="221F1F"/>
        </w:rPr>
        <w:t>sign</w:t>
      </w:r>
      <w:r>
        <w:rPr>
          <w:color w:val="221F1F"/>
          <w:spacing w:val="-6"/>
        </w:rPr>
        <w:t xml:space="preserve"> </w:t>
      </w:r>
      <w:r>
        <w:rPr>
          <w:color w:val="221F1F"/>
        </w:rPr>
        <w:t>the</w:t>
      </w:r>
      <w:r>
        <w:rPr>
          <w:color w:val="221F1F"/>
          <w:spacing w:val="-3"/>
        </w:rPr>
        <w:t xml:space="preserve"> </w:t>
      </w:r>
      <w:r>
        <w:rPr>
          <w:color w:val="221F1F"/>
        </w:rPr>
        <w:t>whole</w:t>
      </w:r>
      <w:r>
        <w:rPr>
          <w:color w:val="221F1F"/>
          <w:spacing w:val="-3"/>
        </w:rPr>
        <w:t xml:space="preserve"> </w:t>
      </w:r>
      <w:r>
        <w:rPr>
          <w:color w:val="221F1F"/>
        </w:rPr>
        <w:t>or</w:t>
      </w:r>
      <w:r>
        <w:rPr>
          <w:color w:val="221F1F"/>
          <w:spacing w:val="-3"/>
        </w:rPr>
        <w:t xml:space="preserve"> </w:t>
      </w:r>
      <w:r>
        <w:rPr>
          <w:color w:val="221F1F"/>
        </w:rPr>
        <w:t>any</w:t>
      </w:r>
      <w:r>
        <w:rPr>
          <w:color w:val="221F1F"/>
          <w:spacing w:val="-4"/>
        </w:rPr>
        <w:t xml:space="preserve"> </w:t>
      </w:r>
      <w:r>
        <w:rPr>
          <w:color w:val="221F1F"/>
        </w:rPr>
        <w:t>part</w:t>
      </w:r>
      <w:r>
        <w:rPr>
          <w:color w:val="221F1F"/>
          <w:spacing w:val="-2"/>
        </w:rPr>
        <w:t xml:space="preserve"> </w:t>
      </w:r>
      <w:r>
        <w:rPr>
          <w:color w:val="221F1F"/>
        </w:rPr>
        <w:t>with</w:t>
      </w:r>
      <w:r>
        <w:rPr>
          <w:color w:val="221F1F"/>
          <w:spacing w:val="-6"/>
        </w:rPr>
        <w:t xml:space="preserve"> </w:t>
      </w:r>
      <w:r>
        <w:rPr>
          <w:color w:val="221F1F"/>
        </w:rPr>
        <w:t>the</w:t>
      </w:r>
      <w:r>
        <w:rPr>
          <w:color w:val="221F1F"/>
          <w:spacing w:val="-4"/>
        </w:rPr>
        <w:t xml:space="preserve"> </w:t>
      </w:r>
      <w:r>
        <w:rPr>
          <w:color w:val="221F1F"/>
        </w:rPr>
        <w:t>prior</w:t>
      </w:r>
      <w:r>
        <w:rPr>
          <w:color w:val="221F1F"/>
          <w:spacing w:val="-2"/>
        </w:rPr>
        <w:t xml:space="preserve"> </w:t>
      </w:r>
      <w:r>
        <w:rPr>
          <w:color w:val="221F1F"/>
        </w:rPr>
        <w:t>consent</w:t>
      </w:r>
      <w:r>
        <w:rPr>
          <w:color w:val="221F1F"/>
          <w:spacing w:val="-3"/>
        </w:rPr>
        <w:t xml:space="preserve"> </w:t>
      </w:r>
      <w:r>
        <w:rPr>
          <w:color w:val="221F1F"/>
        </w:rPr>
        <w:t>of</w:t>
      </w:r>
      <w:r>
        <w:rPr>
          <w:color w:val="221F1F"/>
          <w:spacing w:val="-6"/>
        </w:rPr>
        <w:t xml:space="preserve"> </w:t>
      </w: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r>
        <w:rPr>
          <w:color w:val="221F1F"/>
          <w:spacing w:val="-7"/>
        </w:rPr>
        <w:t xml:space="preserve"> </w:t>
      </w:r>
      <w:r>
        <w:rPr>
          <w:color w:val="221F1F"/>
          <w:spacing w:val="-5"/>
        </w:rPr>
        <w:t>and</w:t>
      </w:r>
    </w:p>
    <w:p w:rsidR="007F6DF9" w:rsidRDefault="00A43FBC">
      <w:pPr>
        <w:pStyle w:val="ListParagraph"/>
        <w:numPr>
          <w:ilvl w:val="0"/>
          <w:numId w:val="119"/>
        </w:numPr>
        <w:tabs>
          <w:tab w:val="left" w:pos="1820"/>
        </w:tabs>
        <w:spacing w:before="7" w:line="230" w:lineRule="auto"/>
        <w:ind w:right="649"/>
      </w:pPr>
      <w:r>
        <w:rPr>
          <w:color w:val="221F1F"/>
        </w:rPr>
        <w:t>may,</w:t>
      </w:r>
      <w:r>
        <w:rPr>
          <w:color w:val="221F1F"/>
          <w:spacing w:val="-12"/>
        </w:rPr>
        <w:t xml:space="preserve"> </w:t>
      </w:r>
      <w:r>
        <w:rPr>
          <w:color w:val="221F1F"/>
        </w:rPr>
        <w:t>as</w:t>
      </w:r>
      <w:r>
        <w:rPr>
          <w:color w:val="221F1F"/>
          <w:spacing w:val="-2"/>
        </w:rPr>
        <w:t xml:space="preserve"> </w:t>
      </w:r>
      <w:r>
        <w:rPr>
          <w:color w:val="221F1F"/>
        </w:rPr>
        <w:t>security</w:t>
      </w:r>
      <w:r>
        <w:rPr>
          <w:color w:val="221F1F"/>
          <w:spacing w:val="-4"/>
        </w:rPr>
        <w:t xml:space="preserve"> </w:t>
      </w:r>
      <w:r>
        <w:rPr>
          <w:color w:val="221F1F"/>
        </w:rPr>
        <w:t>in</w:t>
      </w:r>
      <w:r>
        <w:rPr>
          <w:color w:val="221F1F"/>
          <w:spacing w:val="-5"/>
        </w:rPr>
        <w:t xml:space="preserve"> </w:t>
      </w:r>
      <w:r>
        <w:rPr>
          <w:color w:val="221F1F"/>
        </w:rPr>
        <w:t>favor</w:t>
      </w:r>
      <w:r>
        <w:rPr>
          <w:color w:val="221F1F"/>
          <w:spacing w:val="-1"/>
        </w:rPr>
        <w:t xml:space="preserve"> </w:t>
      </w:r>
      <w:r>
        <w:rPr>
          <w:color w:val="221F1F"/>
        </w:rPr>
        <w:t>of</w:t>
      </w:r>
      <w:r>
        <w:rPr>
          <w:color w:val="221F1F"/>
          <w:spacing w:val="-4"/>
        </w:rPr>
        <w:t xml:space="preserve"> </w:t>
      </w:r>
      <w:r>
        <w:rPr>
          <w:color w:val="221F1F"/>
        </w:rPr>
        <w:t>a</w:t>
      </w:r>
      <w:r>
        <w:rPr>
          <w:color w:val="221F1F"/>
          <w:spacing w:val="-2"/>
        </w:rPr>
        <w:t xml:space="preserve"> </w:t>
      </w:r>
      <w:r>
        <w:rPr>
          <w:color w:val="221F1F"/>
        </w:rPr>
        <w:t>bank</w:t>
      </w:r>
      <w:r>
        <w:rPr>
          <w:color w:val="221F1F"/>
          <w:spacing w:val="-2"/>
        </w:rPr>
        <w:t xml:space="preserve"> </w:t>
      </w:r>
      <w:r>
        <w:rPr>
          <w:color w:val="221F1F"/>
        </w:rPr>
        <w:t>or</w:t>
      </w:r>
      <w:r>
        <w:rPr>
          <w:color w:val="221F1F"/>
          <w:spacing w:val="-1"/>
        </w:rPr>
        <w:t xml:space="preserve"> </w:t>
      </w:r>
      <w:r>
        <w:rPr>
          <w:color w:val="221F1F"/>
        </w:rPr>
        <w:t>financial</w:t>
      </w:r>
      <w:r>
        <w:rPr>
          <w:color w:val="221F1F"/>
          <w:spacing w:val="-3"/>
        </w:rPr>
        <w:t xml:space="preserve"> </w:t>
      </w:r>
      <w:r>
        <w:rPr>
          <w:color w:val="221F1F"/>
        </w:rPr>
        <w:t>institution,</w:t>
      </w:r>
      <w:r>
        <w:rPr>
          <w:color w:val="221F1F"/>
          <w:spacing w:val="-1"/>
        </w:rPr>
        <w:t xml:space="preserve"> </w:t>
      </w:r>
      <w:r>
        <w:rPr>
          <w:color w:val="221F1F"/>
        </w:rPr>
        <w:t>assign</w:t>
      </w:r>
      <w:r>
        <w:rPr>
          <w:color w:val="221F1F"/>
          <w:spacing w:val="-4"/>
        </w:rPr>
        <w:t xml:space="preserve"> </w:t>
      </w:r>
      <w:r>
        <w:rPr>
          <w:color w:val="221F1F"/>
        </w:rPr>
        <w:t>its</w:t>
      </w:r>
      <w:r>
        <w:rPr>
          <w:color w:val="221F1F"/>
          <w:spacing w:val="-2"/>
        </w:rPr>
        <w:t xml:space="preserve"> </w:t>
      </w:r>
      <w:r>
        <w:rPr>
          <w:color w:val="221F1F"/>
        </w:rPr>
        <w:t>right</w:t>
      </w:r>
      <w:r>
        <w:rPr>
          <w:color w:val="221F1F"/>
          <w:spacing w:val="-1"/>
        </w:rPr>
        <w:t xml:space="preserve"> </w:t>
      </w:r>
      <w:r>
        <w:rPr>
          <w:color w:val="221F1F"/>
        </w:rPr>
        <w:t>to</w:t>
      </w:r>
      <w:r>
        <w:rPr>
          <w:color w:val="221F1F"/>
          <w:spacing w:val="-5"/>
        </w:rPr>
        <w:t xml:space="preserve"> </w:t>
      </w:r>
      <w:r>
        <w:rPr>
          <w:color w:val="221F1F"/>
        </w:rPr>
        <w:t>moneys</w:t>
      </w:r>
      <w:r>
        <w:rPr>
          <w:color w:val="221F1F"/>
          <w:spacing w:val="-1"/>
        </w:rPr>
        <w:t xml:space="preserve"> </w:t>
      </w:r>
      <w:r>
        <w:rPr>
          <w:color w:val="221F1F"/>
        </w:rPr>
        <w:t>due,</w:t>
      </w:r>
      <w:r>
        <w:rPr>
          <w:color w:val="221F1F"/>
          <w:spacing w:val="-4"/>
        </w:rPr>
        <w:t xml:space="preserve"> </w:t>
      </w:r>
      <w:r>
        <w:rPr>
          <w:color w:val="221F1F"/>
        </w:rPr>
        <w:t>or</w:t>
      </w:r>
      <w:r>
        <w:rPr>
          <w:color w:val="221F1F"/>
          <w:spacing w:val="-4"/>
        </w:rPr>
        <w:t xml:space="preserve"> </w:t>
      </w:r>
      <w:r>
        <w:rPr>
          <w:color w:val="221F1F"/>
        </w:rPr>
        <w:t>to</w:t>
      </w:r>
      <w:r>
        <w:rPr>
          <w:color w:val="221F1F"/>
          <w:spacing w:val="-2"/>
        </w:rPr>
        <w:t xml:space="preserve"> </w:t>
      </w:r>
      <w:r>
        <w:rPr>
          <w:color w:val="221F1F"/>
        </w:rPr>
        <w:t>become due, under the Contract.</w:t>
      </w:r>
    </w:p>
    <w:p w:rsidR="007F6DF9" w:rsidRDefault="00A43FBC">
      <w:pPr>
        <w:pStyle w:val="Heading9"/>
        <w:numPr>
          <w:ilvl w:val="1"/>
          <w:numId w:val="122"/>
        </w:numPr>
        <w:tabs>
          <w:tab w:val="left" w:pos="1272"/>
        </w:tabs>
        <w:spacing w:before="236"/>
        <w:ind w:left="1272" w:hanging="564"/>
        <w:rPr>
          <w:color w:val="221F1F"/>
        </w:rPr>
      </w:pPr>
      <w:r>
        <w:rPr>
          <w:color w:val="221F1F"/>
        </w:rPr>
        <w:t>Care</w:t>
      </w:r>
      <w:r>
        <w:rPr>
          <w:color w:val="221F1F"/>
          <w:spacing w:val="-1"/>
        </w:rPr>
        <w:t xml:space="preserve"> </w:t>
      </w:r>
      <w:r>
        <w:rPr>
          <w:color w:val="221F1F"/>
        </w:rPr>
        <w:t>and</w:t>
      </w:r>
      <w:r>
        <w:rPr>
          <w:color w:val="221F1F"/>
          <w:spacing w:val="-3"/>
        </w:rPr>
        <w:t xml:space="preserve"> </w:t>
      </w:r>
      <w:r>
        <w:rPr>
          <w:color w:val="221F1F"/>
        </w:rPr>
        <w:t>Supply</w:t>
      </w:r>
      <w:r>
        <w:rPr>
          <w:color w:val="221F1F"/>
          <w:spacing w:val="-2"/>
        </w:rPr>
        <w:t xml:space="preserve"> </w:t>
      </w:r>
      <w:r>
        <w:rPr>
          <w:color w:val="221F1F"/>
        </w:rPr>
        <w:t xml:space="preserve">of </w:t>
      </w:r>
      <w:r>
        <w:rPr>
          <w:color w:val="221F1F"/>
          <w:spacing w:val="-2"/>
        </w:rPr>
        <w:t>Documents</w:t>
      </w:r>
    </w:p>
    <w:p w:rsidR="007F6DF9" w:rsidRDefault="00A43FBC">
      <w:pPr>
        <w:pStyle w:val="ListParagraph"/>
        <w:numPr>
          <w:ilvl w:val="2"/>
          <w:numId w:val="122"/>
        </w:numPr>
        <w:tabs>
          <w:tab w:val="left" w:pos="1264"/>
          <w:tab w:val="left" w:pos="1268"/>
        </w:tabs>
        <w:spacing w:before="243" w:line="230" w:lineRule="auto"/>
        <w:ind w:left="1268" w:right="566" w:hanging="560"/>
        <w:jc w:val="both"/>
        <w:rPr>
          <w:color w:val="221F1F"/>
        </w:rPr>
      </w:pPr>
      <w:r>
        <w:rPr>
          <w:color w:val="221F1F"/>
        </w:rPr>
        <w:t xml:space="preserve">The Specifications and Drawings shall be in the custody and care of the Procuring </w:t>
      </w:r>
      <w:proofErr w:type="spellStart"/>
      <w:r>
        <w:rPr>
          <w:color w:val="221F1F"/>
        </w:rPr>
        <w:t>Entity.Unless</w:t>
      </w:r>
      <w:proofErr w:type="spellEnd"/>
      <w:r>
        <w:rPr>
          <w:color w:val="221F1F"/>
        </w:rPr>
        <w:t xml:space="preserve"> otherwise stated in the Contract, two copies of the Contract and of each subsequent Drawings and Bills of Quantities shall be supplied to the Contractor, who may make or request further copies at the cost of the Contractor.</w:t>
      </w:r>
    </w:p>
    <w:p w:rsidR="007F6DF9" w:rsidRDefault="00A43FBC">
      <w:pPr>
        <w:pStyle w:val="ListParagraph"/>
        <w:numPr>
          <w:ilvl w:val="2"/>
          <w:numId w:val="122"/>
        </w:numPr>
        <w:tabs>
          <w:tab w:val="left" w:pos="1264"/>
          <w:tab w:val="left" w:pos="1268"/>
        </w:tabs>
        <w:spacing w:before="246" w:line="230" w:lineRule="auto"/>
        <w:ind w:left="1268" w:right="565" w:hanging="560"/>
        <w:jc w:val="both"/>
        <w:rPr>
          <w:color w:val="221F1F"/>
        </w:rPr>
      </w:pPr>
      <w:r>
        <w:rPr>
          <w:color w:val="221F1F"/>
        </w:rPr>
        <w:t xml:space="preserve">Each of the Contractor's Documents shall be in the custody and care of the Contractor, unless and until taken over </w:t>
      </w:r>
      <w:proofErr w:type="spellStart"/>
      <w:r>
        <w:rPr>
          <w:color w:val="221F1F"/>
        </w:rPr>
        <w:t>bythe</w:t>
      </w:r>
      <w:proofErr w:type="spellEnd"/>
      <w:r>
        <w:rPr>
          <w:color w:val="221F1F"/>
        </w:rPr>
        <w:t xml:space="preserve"> Procuring Entity. Unless otherwise stated in the Contract, the Contractor shall supply to the Architect two copies of each of the Contractor's Documents.</w:t>
      </w:r>
    </w:p>
    <w:p w:rsidR="007F6DF9" w:rsidRDefault="00A43FBC">
      <w:pPr>
        <w:pStyle w:val="ListParagraph"/>
        <w:numPr>
          <w:ilvl w:val="2"/>
          <w:numId w:val="122"/>
        </w:numPr>
        <w:tabs>
          <w:tab w:val="left" w:pos="1264"/>
          <w:tab w:val="left" w:pos="1268"/>
        </w:tabs>
        <w:spacing w:before="243" w:line="230" w:lineRule="auto"/>
        <w:ind w:left="1268" w:right="565" w:hanging="560"/>
        <w:jc w:val="both"/>
        <w:rPr>
          <w:color w:val="221F1F"/>
        </w:rPr>
      </w:pPr>
      <w:r>
        <w:rPr>
          <w:color w:val="221F1F"/>
        </w:rPr>
        <w:t xml:space="preserve">The Contractor shall keep, on the Site, a copy of the Contract, publications named in the Specification, the Contractor's Documents (if any), the Drawings and Variations and other communications given under the </w:t>
      </w:r>
      <w:proofErr w:type="spellStart"/>
      <w:r>
        <w:rPr>
          <w:color w:val="221F1F"/>
        </w:rPr>
        <w:t>Contract.The</w:t>
      </w:r>
      <w:proofErr w:type="spellEnd"/>
      <w:r>
        <w:rPr>
          <w:color w:val="221F1F"/>
          <w:spacing w:val="-11"/>
        </w:rPr>
        <w:t xml:space="preserve"> </w:t>
      </w:r>
      <w:r>
        <w:rPr>
          <w:color w:val="221F1F"/>
        </w:rPr>
        <w:t>Procuring</w:t>
      </w:r>
      <w:r>
        <w:rPr>
          <w:color w:val="221F1F"/>
          <w:spacing w:val="-11"/>
        </w:rPr>
        <w:t xml:space="preserve"> </w:t>
      </w:r>
      <w:r>
        <w:rPr>
          <w:color w:val="221F1F"/>
        </w:rPr>
        <w:t>Entity's</w:t>
      </w:r>
      <w:r>
        <w:rPr>
          <w:color w:val="221F1F"/>
          <w:spacing w:val="-11"/>
        </w:rPr>
        <w:t xml:space="preserve"> </w:t>
      </w:r>
      <w:r>
        <w:rPr>
          <w:color w:val="221F1F"/>
        </w:rPr>
        <w:t>Personnel</w:t>
      </w:r>
      <w:r>
        <w:rPr>
          <w:color w:val="221F1F"/>
          <w:spacing w:val="-11"/>
        </w:rPr>
        <w:t xml:space="preserve"> </w:t>
      </w:r>
      <w:r>
        <w:rPr>
          <w:color w:val="221F1F"/>
        </w:rPr>
        <w:t>shall</w:t>
      </w:r>
      <w:r>
        <w:rPr>
          <w:color w:val="221F1F"/>
          <w:spacing w:val="-11"/>
        </w:rPr>
        <w:t xml:space="preserve"> </w:t>
      </w:r>
      <w:r>
        <w:rPr>
          <w:color w:val="221F1F"/>
        </w:rPr>
        <w:t>have</w:t>
      </w:r>
      <w:r>
        <w:rPr>
          <w:color w:val="221F1F"/>
          <w:spacing w:val="-13"/>
        </w:rPr>
        <w:t xml:space="preserve"> </w:t>
      </w:r>
      <w:r>
        <w:rPr>
          <w:color w:val="221F1F"/>
        </w:rPr>
        <w:t>the</w:t>
      </w:r>
      <w:r>
        <w:rPr>
          <w:color w:val="221F1F"/>
          <w:spacing w:val="-11"/>
        </w:rPr>
        <w:t xml:space="preserve"> </w:t>
      </w:r>
      <w:r>
        <w:rPr>
          <w:color w:val="221F1F"/>
        </w:rPr>
        <w:t>right</w:t>
      </w:r>
      <w:r>
        <w:rPr>
          <w:color w:val="221F1F"/>
          <w:spacing w:val="-13"/>
        </w:rPr>
        <w:t xml:space="preserve"> </w:t>
      </w:r>
      <w:r>
        <w:rPr>
          <w:color w:val="221F1F"/>
        </w:rPr>
        <w:t>of</w:t>
      </w:r>
      <w:r>
        <w:rPr>
          <w:color w:val="221F1F"/>
          <w:spacing w:val="-13"/>
        </w:rPr>
        <w:t xml:space="preserve"> </w:t>
      </w:r>
      <w:r>
        <w:rPr>
          <w:color w:val="221F1F"/>
        </w:rPr>
        <w:t>access</w:t>
      </w:r>
      <w:r>
        <w:rPr>
          <w:color w:val="221F1F"/>
          <w:spacing w:val="-13"/>
        </w:rPr>
        <w:t xml:space="preserve"> </w:t>
      </w:r>
      <w:r>
        <w:rPr>
          <w:color w:val="221F1F"/>
        </w:rPr>
        <w:t>to</w:t>
      </w:r>
      <w:r>
        <w:rPr>
          <w:color w:val="221F1F"/>
          <w:spacing w:val="-14"/>
        </w:rPr>
        <w:t xml:space="preserve"> </w:t>
      </w:r>
      <w:r>
        <w:rPr>
          <w:color w:val="221F1F"/>
        </w:rPr>
        <w:t>all</w:t>
      </w:r>
      <w:r>
        <w:rPr>
          <w:color w:val="221F1F"/>
          <w:spacing w:val="-13"/>
        </w:rPr>
        <w:t xml:space="preserve"> </w:t>
      </w:r>
      <w:r>
        <w:rPr>
          <w:color w:val="221F1F"/>
        </w:rPr>
        <w:t>these</w:t>
      </w:r>
      <w:r>
        <w:rPr>
          <w:color w:val="221F1F"/>
          <w:spacing w:val="-13"/>
        </w:rPr>
        <w:t xml:space="preserve"> </w:t>
      </w:r>
      <w:r>
        <w:rPr>
          <w:color w:val="221F1F"/>
        </w:rPr>
        <w:t>documents</w:t>
      </w:r>
      <w:r>
        <w:rPr>
          <w:color w:val="221F1F"/>
          <w:spacing w:val="-11"/>
        </w:rPr>
        <w:t xml:space="preserve"> </w:t>
      </w:r>
      <w:r>
        <w:rPr>
          <w:color w:val="221F1F"/>
        </w:rPr>
        <w:t>at</w:t>
      </w:r>
      <w:r>
        <w:rPr>
          <w:color w:val="221F1F"/>
          <w:spacing w:val="-11"/>
        </w:rPr>
        <w:t xml:space="preserve"> </w:t>
      </w:r>
      <w:r>
        <w:rPr>
          <w:color w:val="221F1F"/>
        </w:rPr>
        <w:t>all</w:t>
      </w:r>
      <w:r>
        <w:rPr>
          <w:color w:val="221F1F"/>
          <w:spacing w:val="-11"/>
        </w:rPr>
        <w:t xml:space="preserve"> </w:t>
      </w:r>
      <w:r>
        <w:rPr>
          <w:color w:val="221F1F"/>
        </w:rPr>
        <w:t xml:space="preserve">reasonable </w:t>
      </w:r>
      <w:r>
        <w:rPr>
          <w:color w:val="221F1F"/>
          <w:spacing w:val="-2"/>
        </w:rPr>
        <w:t>times.</w:t>
      </w:r>
    </w:p>
    <w:p w:rsidR="007F6DF9" w:rsidRDefault="00A43FBC">
      <w:pPr>
        <w:pStyle w:val="ListParagraph"/>
        <w:numPr>
          <w:ilvl w:val="2"/>
          <w:numId w:val="122"/>
        </w:numPr>
        <w:tabs>
          <w:tab w:val="left" w:pos="1264"/>
          <w:tab w:val="left" w:pos="1268"/>
        </w:tabs>
        <w:spacing w:before="246" w:line="230" w:lineRule="auto"/>
        <w:ind w:left="1268" w:right="565" w:hanging="560"/>
        <w:jc w:val="both"/>
        <w:rPr>
          <w:color w:val="221F1F"/>
        </w:rPr>
      </w:pPr>
      <w:r>
        <w:rPr>
          <w:color w:val="221F1F"/>
        </w:rPr>
        <w:t xml:space="preserve">If a Party becomes aware of an error or defect in a document which was prepared for use in executing the Works, </w:t>
      </w:r>
      <w:proofErr w:type="spellStart"/>
      <w:r>
        <w:rPr>
          <w:color w:val="221F1F"/>
        </w:rPr>
        <w:t>theParty</w:t>
      </w:r>
      <w:proofErr w:type="spellEnd"/>
      <w:r>
        <w:rPr>
          <w:color w:val="221F1F"/>
        </w:rPr>
        <w:t xml:space="preserve"> shall promptly give notice to the other Party of such error or defect.</w:t>
      </w:r>
    </w:p>
    <w:p w:rsidR="007F6DF9" w:rsidRDefault="00A43FBC">
      <w:pPr>
        <w:pStyle w:val="Heading9"/>
        <w:numPr>
          <w:ilvl w:val="1"/>
          <w:numId w:val="122"/>
        </w:numPr>
        <w:tabs>
          <w:tab w:val="left" w:pos="1268"/>
        </w:tabs>
        <w:spacing w:before="236"/>
        <w:ind w:left="1268" w:hanging="560"/>
        <w:rPr>
          <w:color w:val="221F1F"/>
        </w:rPr>
      </w:pPr>
      <w:r>
        <w:rPr>
          <w:color w:val="221F1F"/>
        </w:rPr>
        <w:t>Timely</w:t>
      </w:r>
      <w:r>
        <w:rPr>
          <w:color w:val="221F1F"/>
          <w:spacing w:val="-4"/>
        </w:rPr>
        <w:t xml:space="preserve"> </w:t>
      </w:r>
      <w:r>
        <w:rPr>
          <w:color w:val="221F1F"/>
        </w:rPr>
        <w:t>provision</w:t>
      </w:r>
      <w:r>
        <w:rPr>
          <w:color w:val="221F1F"/>
          <w:spacing w:val="-6"/>
        </w:rPr>
        <w:t xml:space="preserve"> </w:t>
      </w:r>
      <w:r>
        <w:rPr>
          <w:color w:val="221F1F"/>
        </w:rPr>
        <w:t>of</w:t>
      </w:r>
      <w:r>
        <w:rPr>
          <w:color w:val="221F1F"/>
          <w:spacing w:val="-2"/>
        </w:rPr>
        <w:t xml:space="preserve"> </w:t>
      </w:r>
      <w:r>
        <w:rPr>
          <w:color w:val="221F1F"/>
        </w:rPr>
        <w:t>Drawings</w:t>
      </w:r>
      <w:r>
        <w:rPr>
          <w:color w:val="221F1F"/>
          <w:spacing w:val="-2"/>
        </w:rPr>
        <w:t xml:space="preserve"> </w:t>
      </w:r>
      <w:r>
        <w:rPr>
          <w:color w:val="221F1F"/>
        </w:rPr>
        <w:t>or</w:t>
      </w:r>
      <w:r>
        <w:rPr>
          <w:color w:val="221F1F"/>
          <w:spacing w:val="-3"/>
        </w:rPr>
        <w:t xml:space="preserve"> </w:t>
      </w:r>
      <w:r>
        <w:rPr>
          <w:color w:val="221F1F"/>
          <w:spacing w:val="-2"/>
        </w:rPr>
        <w:t>Instructions</w:t>
      </w:r>
    </w:p>
    <w:p w:rsidR="007F6DF9" w:rsidRDefault="00A43FBC">
      <w:pPr>
        <w:pStyle w:val="ListParagraph"/>
        <w:numPr>
          <w:ilvl w:val="2"/>
          <w:numId w:val="122"/>
        </w:numPr>
        <w:tabs>
          <w:tab w:val="left" w:pos="1286"/>
          <w:tab w:val="left" w:pos="1328"/>
        </w:tabs>
        <w:spacing w:before="242" w:line="230" w:lineRule="auto"/>
        <w:ind w:left="1328" w:right="562" w:hanging="620"/>
        <w:jc w:val="both"/>
        <w:rPr>
          <w:color w:val="221F1F"/>
        </w:rPr>
      </w:pPr>
      <w:r>
        <w:rPr>
          <w:color w:val="221F1F"/>
        </w:rPr>
        <w:t>The Contractor shall give notice to the Architect whenever the Works</w:t>
      </w:r>
      <w:r>
        <w:rPr>
          <w:color w:val="221F1F"/>
          <w:spacing w:val="-6"/>
        </w:rPr>
        <w:t xml:space="preserve"> </w:t>
      </w:r>
      <w:r>
        <w:rPr>
          <w:color w:val="221F1F"/>
        </w:rPr>
        <w:t>are likely to be delayed or disrupted if any necessary drawing or instruction is not issued to the Contractor within a particular time, which shall be reasonable. The notice shall include details of the necessary drawing or instruction, details of why and by when</w:t>
      </w:r>
      <w:r>
        <w:rPr>
          <w:color w:val="221F1F"/>
          <w:spacing w:val="-6"/>
        </w:rPr>
        <w:t xml:space="preserve"> </w:t>
      </w:r>
      <w:r>
        <w:rPr>
          <w:color w:val="221F1F"/>
        </w:rPr>
        <w:t>it</w:t>
      </w:r>
      <w:r>
        <w:rPr>
          <w:color w:val="221F1F"/>
          <w:spacing w:val="-5"/>
        </w:rPr>
        <w:t xml:space="preserve"> </w:t>
      </w:r>
      <w:r>
        <w:rPr>
          <w:color w:val="221F1F"/>
        </w:rPr>
        <w:t>should</w:t>
      </w:r>
      <w:r>
        <w:rPr>
          <w:color w:val="221F1F"/>
          <w:spacing w:val="-6"/>
        </w:rPr>
        <w:t xml:space="preserve"> </w:t>
      </w:r>
      <w:r>
        <w:rPr>
          <w:color w:val="221F1F"/>
        </w:rPr>
        <w:t>be</w:t>
      </w:r>
      <w:r>
        <w:rPr>
          <w:color w:val="221F1F"/>
          <w:spacing w:val="-8"/>
        </w:rPr>
        <w:t xml:space="preserve"> </w:t>
      </w:r>
      <w:r>
        <w:rPr>
          <w:color w:val="221F1F"/>
        </w:rPr>
        <w:t>issued,</w:t>
      </w:r>
      <w:r>
        <w:rPr>
          <w:color w:val="221F1F"/>
          <w:spacing w:val="-8"/>
        </w:rPr>
        <w:t xml:space="preserve"> </w:t>
      </w:r>
      <w:r>
        <w:rPr>
          <w:color w:val="221F1F"/>
        </w:rPr>
        <w:t>and</w:t>
      </w:r>
      <w:r>
        <w:rPr>
          <w:color w:val="221F1F"/>
          <w:spacing w:val="-6"/>
        </w:rPr>
        <w:t xml:space="preserve"> </w:t>
      </w:r>
      <w:r>
        <w:rPr>
          <w:color w:val="221F1F"/>
        </w:rPr>
        <w:t>the</w:t>
      </w:r>
      <w:r>
        <w:rPr>
          <w:color w:val="221F1F"/>
          <w:spacing w:val="-7"/>
        </w:rPr>
        <w:t xml:space="preserve"> </w:t>
      </w:r>
      <w:r>
        <w:rPr>
          <w:color w:val="221F1F"/>
        </w:rPr>
        <w:t>nature</w:t>
      </w:r>
      <w:r>
        <w:rPr>
          <w:color w:val="221F1F"/>
          <w:spacing w:val="-6"/>
        </w:rPr>
        <w:t xml:space="preserve"> </w:t>
      </w:r>
      <w:r>
        <w:rPr>
          <w:color w:val="221F1F"/>
        </w:rPr>
        <w:t>and</w:t>
      </w:r>
      <w:r>
        <w:rPr>
          <w:color w:val="221F1F"/>
          <w:spacing w:val="-6"/>
        </w:rPr>
        <w:t xml:space="preserve"> </w:t>
      </w:r>
      <w:r>
        <w:rPr>
          <w:color w:val="221F1F"/>
        </w:rPr>
        <w:t>amount</w:t>
      </w:r>
      <w:r>
        <w:rPr>
          <w:color w:val="221F1F"/>
          <w:spacing w:val="-5"/>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delay</w:t>
      </w:r>
      <w:r>
        <w:rPr>
          <w:color w:val="221F1F"/>
          <w:spacing w:val="-8"/>
        </w:rPr>
        <w:t xml:space="preserve"> </w:t>
      </w:r>
      <w:r>
        <w:rPr>
          <w:color w:val="221F1F"/>
        </w:rPr>
        <w:t>or</w:t>
      </w:r>
      <w:r>
        <w:rPr>
          <w:color w:val="221F1F"/>
          <w:spacing w:val="-8"/>
        </w:rPr>
        <w:t xml:space="preserve"> </w:t>
      </w:r>
      <w:r>
        <w:rPr>
          <w:color w:val="221F1F"/>
        </w:rPr>
        <w:t>disruption</w:t>
      </w:r>
      <w:r>
        <w:rPr>
          <w:color w:val="221F1F"/>
          <w:spacing w:val="-5"/>
        </w:rPr>
        <w:t xml:space="preserve"> </w:t>
      </w:r>
      <w:r>
        <w:rPr>
          <w:color w:val="221F1F"/>
        </w:rPr>
        <w:t>likely</w:t>
      </w:r>
      <w:r>
        <w:rPr>
          <w:color w:val="221F1F"/>
          <w:spacing w:val="-5"/>
        </w:rPr>
        <w:t xml:space="preserve"> </w:t>
      </w:r>
      <w:r>
        <w:rPr>
          <w:color w:val="221F1F"/>
        </w:rPr>
        <w:t>to</w:t>
      </w:r>
      <w:r>
        <w:rPr>
          <w:color w:val="221F1F"/>
          <w:spacing w:val="-8"/>
        </w:rPr>
        <w:t xml:space="preserve"> </w:t>
      </w:r>
      <w:r>
        <w:rPr>
          <w:color w:val="221F1F"/>
        </w:rPr>
        <w:t>be</w:t>
      </w:r>
      <w:r>
        <w:rPr>
          <w:color w:val="221F1F"/>
          <w:spacing w:val="-6"/>
        </w:rPr>
        <w:t xml:space="preserve"> </w:t>
      </w:r>
      <w:r>
        <w:rPr>
          <w:color w:val="221F1F"/>
        </w:rPr>
        <w:t>suffered</w:t>
      </w:r>
      <w:r>
        <w:rPr>
          <w:color w:val="221F1F"/>
          <w:spacing w:val="-8"/>
        </w:rPr>
        <w:t xml:space="preserve"> </w:t>
      </w:r>
      <w:r>
        <w:rPr>
          <w:color w:val="221F1F"/>
        </w:rPr>
        <w:t>if</w:t>
      </w:r>
      <w:r>
        <w:rPr>
          <w:color w:val="221F1F"/>
          <w:spacing w:val="-8"/>
        </w:rPr>
        <w:t xml:space="preserve"> </w:t>
      </w:r>
      <w:r>
        <w:rPr>
          <w:color w:val="221F1F"/>
        </w:rPr>
        <w:t>it</w:t>
      </w:r>
      <w:r>
        <w:rPr>
          <w:color w:val="221F1F"/>
          <w:spacing w:val="-7"/>
        </w:rPr>
        <w:t xml:space="preserve"> </w:t>
      </w:r>
      <w:r>
        <w:rPr>
          <w:color w:val="221F1F"/>
        </w:rPr>
        <w:t>is</w:t>
      </w:r>
      <w:r>
        <w:rPr>
          <w:color w:val="221F1F"/>
          <w:spacing w:val="-6"/>
        </w:rPr>
        <w:t xml:space="preserve"> </w:t>
      </w:r>
      <w:r>
        <w:rPr>
          <w:color w:val="221F1F"/>
        </w:rPr>
        <w:t>late.</w:t>
      </w:r>
    </w:p>
    <w:p w:rsidR="007F6DF9" w:rsidRDefault="00A43FBC">
      <w:pPr>
        <w:pStyle w:val="ListParagraph"/>
        <w:numPr>
          <w:ilvl w:val="2"/>
          <w:numId w:val="122"/>
        </w:numPr>
        <w:tabs>
          <w:tab w:val="left" w:pos="1317"/>
          <w:tab w:val="left" w:pos="1328"/>
        </w:tabs>
        <w:spacing w:before="248" w:line="230" w:lineRule="auto"/>
        <w:ind w:left="1328" w:right="565" w:hanging="620"/>
        <w:jc w:val="both"/>
        <w:rPr>
          <w:color w:val="221F1F"/>
        </w:rPr>
      </w:pPr>
      <w:r>
        <w:rPr>
          <w:color w:val="221F1F"/>
        </w:rPr>
        <w:t>If the Contractor suffers delay and/or incurs Cost as a result of a failure of the Architect to issue the notified drawing</w:t>
      </w:r>
      <w:r>
        <w:rPr>
          <w:color w:val="221F1F"/>
          <w:spacing w:val="-5"/>
        </w:rPr>
        <w:t xml:space="preserve"> </w:t>
      </w:r>
      <w:r>
        <w:rPr>
          <w:color w:val="221F1F"/>
        </w:rPr>
        <w:t>or</w:t>
      </w:r>
      <w:r>
        <w:rPr>
          <w:color w:val="221F1F"/>
          <w:spacing w:val="-6"/>
        </w:rPr>
        <w:t xml:space="preserve"> </w:t>
      </w:r>
      <w:r>
        <w:rPr>
          <w:color w:val="221F1F"/>
        </w:rPr>
        <w:t>instruction</w:t>
      </w:r>
      <w:r>
        <w:rPr>
          <w:color w:val="221F1F"/>
          <w:spacing w:val="-4"/>
        </w:rPr>
        <w:t xml:space="preserve"> </w:t>
      </w:r>
      <w:r>
        <w:rPr>
          <w:color w:val="221F1F"/>
        </w:rPr>
        <w:t>within</w:t>
      </w:r>
      <w:r>
        <w:rPr>
          <w:color w:val="221F1F"/>
          <w:spacing w:val="-4"/>
        </w:rPr>
        <w:t xml:space="preserve"> </w:t>
      </w:r>
      <w:r>
        <w:rPr>
          <w:color w:val="221F1F"/>
        </w:rPr>
        <w:t>a</w:t>
      </w:r>
      <w:r>
        <w:rPr>
          <w:color w:val="221F1F"/>
          <w:spacing w:val="-7"/>
        </w:rPr>
        <w:t xml:space="preserve"> </w:t>
      </w:r>
      <w:r>
        <w:rPr>
          <w:color w:val="221F1F"/>
        </w:rPr>
        <w:t>time</w:t>
      </w:r>
      <w:r>
        <w:rPr>
          <w:color w:val="221F1F"/>
          <w:spacing w:val="-6"/>
        </w:rPr>
        <w:t xml:space="preserve"> </w:t>
      </w:r>
      <w:r>
        <w:rPr>
          <w:color w:val="221F1F"/>
        </w:rPr>
        <w:t>which</w:t>
      </w:r>
      <w:r>
        <w:rPr>
          <w:color w:val="221F1F"/>
          <w:spacing w:val="-7"/>
        </w:rPr>
        <w:t xml:space="preserve"> </w:t>
      </w:r>
      <w:r>
        <w:rPr>
          <w:color w:val="221F1F"/>
        </w:rPr>
        <w:t>is</w:t>
      </w:r>
      <w:r>
        <w:rPr>
          <w:color w:val="221F1F"/>
          <w:spacing w:val="-7"/>
        </w:rPr>
        <w:t xml:space="preserve"> </w:t>
      </w:r>
      <w:r>
        <w:rPr>
          <w:color w:val="221F1F"/>
        </w:rPr>
        <w:t>reasonable</w:t>
      </w:r>
      <w:r>
        <w:rPr>
          <w:color w:val="221F1F"/>
          <w:spacing w:val="-4"/>
        </w:rPr>
        <w:t xml:space="preserve"> </w:t>
      </w:r>
      <w:r>
        <w:rPr>
          <w:color w:val="221F1F"/>
        </w:rPr>
        <w:t>and</w:t>
      </w:r>
      <w:r>
        <w:rPr>
          <w:color w:val="221F1F"/>
          <w:spacing w:val="-7"/>
        </w:rPr>
        <w:t xml:space="preserve"> </w:t>
      </w:r>
      <w:r>
        <w:rPr>
          <w:color w:val="221F1F"/>
        </w:rPr>
        <w:t>is</w:t>
      </w:r>
      <w:r>
        <w:rPr>
          <w:color w:val="221F1F"/>
          <w:spacing w:val="-4"/>
        </w:rPr>
        <w:t xml:space="preserve"> </w:t>
      </w:r>
      <w:r>
        <w:rPr>
          <w:color w:val="221F1F"/>
        </w:rPr>
        <w:t>specified</w:t>
      </w:r>
      <w:r>
        <w:rPr>
          <w:color w:val="221F1F"/>
          <w:spacing w:val="-7"/>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notice</w:t>
      </w:r>
      <w:r>
        <w:rPr>
          <w:color w:val="221F1F"/>
          <w:spacing w:val="-3"/>
        </w:rPr>
        <w:t xml:space="preserve"> </w:t>
      </w:r>
      <w:r>
        <w:rPr>
          <w:color w:val="221F1F"/>
        </w:rPr>
        <w:t>with</w:t>
      </w:r>
      <w:r>
        <w:rPr>
          <w:color w:val="221F1F"/>
          <w:spacing w:val="-7"/>
        </w:rPr>
        <w:t xml:space="preserve"> </w:t>
      </w:r>
      <w:r>
        <w:rPr>
          <w:color w:val="221F1F"/>
        </w:rPr>
        <w:t>supporting</w:t>
      </w:r>
      <w:r>
        <w:rPr>
          <w:color w:val="221F1F"/>
          <w:spacing w:val="-7"/>
        </w:rPr>
        <w:t xml:space="preserve"> </w:t>
      </w:r>
      <w:r>
        <w:rPr>
          <w:color w:val="221F1F"/>
        </w:rPr>
        <w:t>details, the Contractor shall give a further notice to the Architect and shall be entitled subject to Sub-Clause 20.1 [Contractor's Claims] to:</w:t>
      </w:r>
    </w:p>
    <w:p w:rsidR="007F6DF9" w:rsidRDefault="00A43FBC">
      <w:pPr>
        <w:pStyle w:val="ListParagraph"/>
        <w:numPr>
          <w:ilvl w:val="0"/>
          <w:numId w:val="28"/>
        </w:numPr>
        <w:tabs>
          <w:tab w:val="left" w:pos="1841"/>
        </w:tabs>
        <w:spacing w:before="243" w:line="230" w:lineRule="auto"/>
        <w:ind w:right="1057"/>
        <w:jc w:val="left"/>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7F6DF9">
      <w:pPr>
        <w:pStyle w:val="BodyText"/>
        <w:spacing w:before="214"/>
      </w:pPr>
    </w:p>
    <w:p w:rsidR="007F6DF9" w:rsidRDefault="00A43FBC">
      <w:pPr>
        <w:pStyle w:val="ListParagraph"/>
        <w:numPr>
          <w:ilvl w:val="0"/>
          <w:numId w:val="28"/>
        </w:numPr>
        <w:tabs>
          <w:tab w:val="left" w:pos="1980"/>
        </w:tabs>
        <w:ind w:left="1980" w:hanging="501"/>
        <w:jc w:val="left"/>
      </w:pPr>
      <w:r>
        <w:rPr>
          <w:color w:val="221F1F"/>
        </w:rPr>
        <w:t>payment</w:t>
      </w:r>
      <w:r>
        <w:rPr>
          <w:color w:val="221F1F"/>
          <w:spacing w:val="-4"/>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other</w:t>
      </w:r>
      <w:r>
        <w:rPr>
          <w:color w:val="221F1F"/>
          <w:spacing w:val="-4"/>
        </w:rPr>
        <w:t xml:space="preserve"> </w:t>
      </w:r>
      <w:r>
        <w:rPr>
          <w:color w:val="221F1F"/>
        </w:rPr>
        <w:t>associated</w:t>
      </w:r>
      <w:r>
        <w:rPr>
          <w:color w:val="221F1F"/>
          <w:spacing w:val="-2"/>
        </w:rPr>
        <w:t xml:space="preserve"> </w:t>
      </w:r>
      <w:r>
        <w:rPr>
          <w:color w:val="221F1F"/>
        </w:rPr>
        <w:t>costs</w:t>
      </w:r>
      <w:r>
        <w:rPr>
          <w:color w:val="221F1F"/>
          <w:spacing w:val="-3"/>
        </w:rPr>
        <w:t xml:space="preserve"> </w:t>
      </w:r>
      <w:r>
        <w:rPr>
          <w:color w:val="221F1F"/>
        </w:rPr>
        <w:t>accrued,</w:t>
      </w:r>
      <w:r>
        <w:rPr>
          <w:color w:val="221F1F"/>
          <w:spacing w:val="-2"/>
        </w:rPr>
        <w:t xml:space="preserve"> </w:t>
      </w:r>
      <w:r>
        <w:rPr>
          <w:color w:val="221F1F"/>
        </w:rPr>
        <w:t>which</w:t>
      </w:r>
      <w:r>
        <w:rPr>
          <w:color w:val="221F1F"/>
          <w:spacing w:val="-3"/>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included</w:t>
      </w:r>
      <w:r>
        <w:rPr>
          <w:color w:val="221F1F"/>
          <w:spacing w:val="-3"/>
        </w:rPr>
        <w:t xml:space="preserve"> </w:t>
      </w:r>
      <w:r>
        <w:rPr>
          <w:color w:val="221F1F"/>
        </w:rPr>
        <w:t>in</w:t>
      </w:r>
      <w:r>
        <w:rPr>
          <w:color w:val="221F1F"/>
          <w:spacing w:val="-6"/>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2"/>
        </w:rPr>
        <w:t>Price.</w:t>
      </w:r>
    </w:p>
    <w:p w:rsidR="007F6DF9" w:rsidRDefault="00A43FBC">
      <w:pPr>
        <w:pStyle w:val="ListParagraph"/>
        <w:numPr>
          <w:ilvl w:val="2"/>
          <w:numId w:val="122"/>
        </w:numPr>
        <w:tabs>
          <w:tab w:val="left" w:pos="1477"/>
          <w:tab w:val="left" w:pos="1491"/>
        </w:tabs>
        <w:spacing w:before="242" w:line="230" w:lineRule="auto"/>
        <w:ind w:left="1491" w:right="555" w:hanging="781"/>
        <w:jc w:val="both"/>
        <w:rPr>
          <w:color w:val="221F1F"/>
        </w:rPr>
      </w:pPr>
      <w:r>
        <w:rPr>
          <w:color w:val="221F1F"/>
        </w:rPr>
        <w:t>After receiving this further notice, the Architect shall proceed in accordance with Sub-Clause 3.5 [Determinations] to agree or determine these matters.</w:t>
      </w:r>
    </w:p>
    <w:p w:rsidR="007F6DF9" w:rsidRDefault="00A43FBC">
      <w:pPr>
        <w:pStyle w:val="ListParagraph"/>
        <w:numPr>
          <w:ilvl w:val="2"/>
          <w:numId w:val="122"/>
        </w:numPr>
        <w:tabs>
          <w:tab w:val="left" w:pos="1478"/>
          <w:tab w:val="left" w:pos="1491"/>
        </w:tabs>
        <w:spacing w:before="245" w:line="230" w:lineRule="auto"/>
        <w:ind w:left="1491" w:right="558" w:hanging="764"/>
        <w:jc w:val="both"/>
        <w:rPr>
          <w:color w:val="221F1F"/>
        </w:rPr>
      </w:pPr>
      <w:r>
        <w:rPr>
          <w:color w:val="221F1F"/>
        </w:rPr>
        <w:t>However, if and to the extent that the Architect failure was caused by any error or delay by the Contractor, including</w:t>
      </w:r>
      <w:r>
        <w:rPr>
          <w:color w:val="221F1F"/>
          <w:spacing w:val="-4"/>
        </w:rPr>
        <w:t xml:space="preserve"> </w:t>
      </w:r>
      <w:r>
        <w:rPr>
          <w:color w:val="221F1F"/>
        </w:rPr>
        <w:t>an</w:t>
      </w:r>
      <w:r>
        <w:rPr>
          <w:color w:val="221F1F"/>
          <w:spacing w:val="-6"/>
        </w:rPr>
        <w:t xml:space="preserve"> </w:t>
      </w:r>
      <w:r>
        <w:rPr>
          <w:color w:val="221F1F"/>
        </w:rPr>
        <w:t>error</w:t>
      </w:r>
      <w:r>
        <w:rPr>
          <w:color w:val="221F1F"/>
          <w:spacing w:val="-5"/>
        </w:rPr>
        <w:t xml:space="preserve"> </w:t>
      </w:r>
      <w:r>
        <w:rPr>
          <w:color w:val="221F1F"/>
        </w:rPr>
        <w:t>in,</w:t>
      </w:r>
      <w:r>
        <w:rPr>
          <w:color w:val="221F1F"/>
          <w:spacing w:val="-5"/>
        </w:rPr>
        <w:t xml:space="preserve"> </w:t>
      </w:r>
      <w:r>
        <w:rPr>
          <w:color w:val="221F1F"/>
        </w:rPr>
        <w:t>or</w:t>
      </w:r>
      <w:r>
        <w:rPr>
          <w:color w:val="221F1F"/>
          <w:spacing w:val="-3"/>
        </w:rPr>
        <w:t xml:space="preserve"> </w:t>
      </w:r>
      <w:r>
        <w:rPr>
          <w:color w:val="221F1F"/>
        </w:rPr>
        <w:t>delay</w:t>
      </w:r>
      <w:r>
        <w:rPr>
          <w:color w:val="221F1F"/>
          <w:spacing w:val="-4"/>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submission</w:t>
      </w:r>
      <w:r>
        <w:rPr>
          <w:color w:val="221F1F"/>
          <w:spacing w:val="-4"/>
        </w:rPr>
        <w:t xml:space="preserve"> </w:t>
      </w:r>
      <w:r>
        <w:rPr>
          <w:color w:val="221F1F"/>
        </w:rPr>
        <w:t>of,</w:t>
      </w:r>
      <w:r>
        <w:rPr>
          <w:color w:val="221F1F"/>
          <w:spacing w:val="-5"/>
        </w:rPr>
        <w:t xml:space="preserve"> </w:t>
      </w:r>
      <w:r>
        <w:rPr>
          <w:color w:val="221F1F"/>
        </w:rPr>
        <w:t>any</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Documents,</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shall not be entitled to such extension of time, or costs accrued.</w:t>
      </w:r>
    </w:p>
    <w:p w:rsidR="007F6DF9" w:rsidRDefault="00A43FBC">
      <w:pPr>
        <w:pStyle w:val="Heading9"/>
        <w:numPr>
          <w:ilvl w:val="1"/>
          <w:numId w:val="122"/>
        </w:numPr>
        <w:tabs>
          <w:tab w:val="left" w:pos="1479"/>
        </w:tabs>
        <w:spacing w:before="235"/>
        <w:ind w:left="1479" w:hanging="752"/>
        <w:rPr>
          <w:color w:val="221F1F"/>
        </w:rPr>
      </w:pPr>
      <w:r>
        <w:rPr>
          <w:color w:val="221F1F"/>
        </w:rPr>
        <w:t>Procuring</w:t>
      </w:r>
      <w:r>
        <w:rPr>
          <w:color w:val="221F1F"/>
          <w:spacing w:val="-4"/>
        </w:rPr>
        <w:t xml:space="preserve"> </w:t>
      </w:r>
      <w:r>
        <w:rPr>
          <w:color w:val="221F1F"/>
        </w:rPr>
        <w:t>Entity's</w:t>
      </w:r>
      <w:r>
        <w:rPr>
          <w:color w:val="221F1F"/>
          <w:spacing w:val="-3"/>
        </w:rPr>
        <w:t xml:space="preserve"> </w:t>
      </w:r>
      <w:r>
        <w:rPr>
          <w:color w:val="221F1F"/>
        </w:rPr>
        <w:t>Use</w:t>
      </w:r>
      <w:r>
        <w:rPr>
          <w:color w:val="221F1F"/>
          <w:spacing w:val="-3"/>
        </w:rPr>
        <w:t xml:space="preserve"> </w:t>
      </w:r>
      <w:r>
        <w:rPr>
          <w:color w:val="221F1F"/>
        </w:rPr>
        <w:t>of</w:t>
      </w:r>
      <w:r>
        <w:rPr>
          <w:color w:val="221F1F"/>
          <w:spacing w:val="-8"/>
        </w:rPr>
        <w:t xml:space="preserve"> </w:t>
      </w:r>
      <w:r>
        <w:rPr>
          <w:color w:val="221F1F"/>
        </w:rPr>
        <w:t>Contractor's</w:t>
      </w:r>
      <w:r>
        <w:rPr>
          <w:color w:val="221F1F"/>
          <w:spacing w:val="-2"/>
        </w:rPr>
        <w:t xml:space="preserve"> Documents</w:t>
      </w:r>
    </w:p>
    <w:p w:rsidR="007F6DF9" w:rsidRDefault="00A43FBC">
      <w:pPr>
        <w:pStyle w:val="ListParagraph"/>
        <w:numPr>
          <w:ilvl w:val="2"/>
          <w:numId w:val="122"/>
        </w:numPr>
        <w:tabs>
          <w:tab w:val="left" w:pos="1477"/>
          <w:tab w:val="left" w:pos="1491"/>
        </w:tabs>
        <w:spacing w:before="240" w:line="232" w:lineRule="auto"/>
        <w:ind w:left="1491" w:right="558" w:hanging="764"/>
        <w:jc w:val="both"/>
        <w:rPr>
          <w:color w:val="221F1F"/>
        </w:rPr>
      </w:pPr>
      <w:proofErr w:type="spellStart"/>
      <w:r>
        <w:rPr>
          <w:color w:val="221F1F"/>
        </w:rPr>
        <w:t>Asagreed</w:t>
      </w:r>
      <w:proofErr w:type="spellEnd"/>
      <w:r>
        <w:rPr>
          <w:color w:val="221F1F"/>
          <w:spacing w:val="-3"/>
        </w:rPr>
        <w:t xml:space="preserve"> </w:t>
      </w:r>
      <w:r>
        <w:rPr>
          <w:color w:val="221F1F"/>
        </w:rPr>
        <w:t>between</w:t>
      </w:r>
      <w:r>
        <w:rPr>
          <w:color w:val="221F1F"/>
          <w:spacing w:val="-5"/>
        </w:rPr>
        <w:t xml:space="preserve"> </w:t>
      </w:r>
      <w:r>
        <w:rPr>
          <w:color w:val="221F1F"/>
        </w:rPr>
        <w:t>the</w:t>
      </w:r>
      <w:r>
        <w:rPr>
          <w:color w:val="221F1F"/>
          <w:spacing w:val="-6"/>
        </w:rPr>
        <w:t xml:space="preserve"> </w:t>
      </w:r>
      <w:r>
        <w:rPr>
          <w:color w:val="221F1F"/>
        </w:rPr>
        <w:t>Parties,</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2"/>
        </w:rPr>
        <w:t xml:space="preserve"> </w:t>
      </w:r>
      <w:r>
        <w:rPr>
          <w:color w:val="221F1F"/>
        </w:rPr>
        <w:t>shall</w:t>
      </w:r>
      <w:r>
        <w:rPr>
          <w:color w:val="221F1F"/>
          <w:spacing w:val="-5"/>
        </w:rPr>
        <w:t xml:space="preserve"> </w:t>
      </w:r>
      <w:r>
        <w:rPr>
          <w:color w:val="221F1F"/>
        </w:rPr>
        <w:t>retain</w:t>
      </w:r>
      <w:r>
        <w:rPr>
          <w:color w:val="221F1F"/>
          <w:spacing w:val="-5"/>
        </w:rPr>
        <w:t xml:space="preserve"> </w:t>
      </w:r>
      <w:r>
        <w:rPr>
          <w:color w:val="221F1F"/>
        </w:rPr>
        <w:t>the</w:t>
      </w:r>
      <w:r>
        <w:rPr>
          <w:color w:val="221F1F"/>
          <w:spacing w:val="-6"/>
        </w:rPr>
        <w:t xml:space="preserve"> </w:t>
      </w:r>
      <w:r>
        <w:rPr>
          <w:color w:val="221F1F"/>
        </w:rPr>
        <w:t>copyright</w:t>
      </w:r>
      <w:r>
        <w:rPr>
          <w:color w:val="221F1F"/>
          <w:spacing w:val="-5"/>
        </w:rPr>
        <w:t xml:space="preserve"> </w:t>
      </w:r>
      <w:r>
        <w:rPr>
          <w:color w:val="221F1F"/>
        </w:rPr>
        <w:t>and</w:t>
      </w:r>
      <w:r>
        <w:rPr>
          <w:color w:val="221F1F"/>
          <w:spacing w:val="-6"/>
        </w:rPr>
        <w:t xml:space="preserve"> </w:t>
      </w:r>
      <w:r>
        <w:rPr>
          <w:color w:val="221F1F"/>
        </w:rPr>
        <w:t>other</w:t>
      </w:r>
      <w:r>
        <w:rPr>
          <w:color w:val="221F1F"/>
          <w:spacing w:val="-5"/>
        </w:rPr>
        <w:t xml:space="preserve"> </w:t>
      </w:r>
      <w:r>
        <w:rPr>
          <w:color w:val="221F1F"/>
        </w:rPr>
        <w:t>intellectual</w:t>
      </w:r>
      <w:r>
        <w:rPr>
          <w:color w:val="221F1F"/>
          <w:spacing w:val="-3"/>
        </w:rPr>
        <w:t xml:space="preserve"> </w:t>
      </w:r>
      <w:r>
        <w:rPr>
          <w:color w:val="221F1F"/>
        </w:rPr>
        <w:t>property</w:t>
      </w:r>
      <w:r>
        <w:rPr>
          <w:color w:val="221F1F"/>
          <w:spacing w:val="-6"/>
        </w:rPr>
        <w:t xml:space="preserve"> </w:t>
      </w:r>
      <w:r>
        <w:rPr>
          <w:color w:val="221F1F"/>
        </w:rPr>
        <w:t>rights in the Contractor's Documents and other design documents made by (or on behalf of) the Contractor.</w:t>
      </w:r>
    </w:p>
    <w:p w:rsidR="007F6DF9" w:rsidRDefault="00A43FBC">
      <w:pPr>
        <w:pStyle w:val="ListParagraph"/>
        <w:numPr>
          <w:ilvl w:val="2"/>
          <w:numId w:val="122"/>
        </w:numPr>
        <w:tabs>
          <w:tab w:val="left" w:pos="1477"/>
          <w:tab w:val="left" w:pos="1489"/>
        </w:tabs>
        <w:spacing w:before="244" w:line="230" w:lineRule="auto"/>
        <w:ind w:left="1489" w:right="556" w:hanging="762"/>
        <w:jc w:val="both"/>
        <w:rPr>
          <w:color w:val="221F1F"/>
        </w:rPr>
      </w:pPr>
      <w:r>
        <w:rPr>
          <w:color w:val="221F1F"/>
        </w:rPr>
        <w:t>The Contractor shall be deemed (by signing the Contract) to give to the Procuring Entity a non-terminable transferable non-exclusive royalty-free license to copy, use and communicate the Contractor's Documents, including making and using modifications of them. This license shall:</w:t>
      </w:r>
    </w:p>
    <w:p w:rsidR="007F6DF9" w:rsidRDefault="00A43FBC">
      <w:pPr>
        <w:pStyle w:val="ListParagraph"/>
        <w:numPr>
          <w:ilvl w:val="0"/>
          <w:numId w:val="27"/>
        </w:numPr>
        <w:tabs>
          <w:tab w:val="left" w:pos="1937"/>
          <w:tab w:val="left" w:pos="1949"/>
        </w:tabs>
        <w:spacing w:before="244" w:line="230" w:lineRule="auto"/>
        <w:ind w:right="568" w:hanging="471"/>
        <w:jc w:val="both"/>
      </w:pPr>
      <w:r>
        <w:rPr>
          <w:color w:val="221F1F"/>
        </w:rPr>
        <w:t>apply throughout the actual or intended working life (whichever is longer) of the</w:t>
      </w:r>
      <w:r>
        <w:rPr>
          <w:color w:val="221F1F"/>
          <w:spacing w:val="-1"/>
        </w:rPr>
        <w:t xml:space="preserve"> </w:t>
      </w:r>
      <w:r>
        <w:rPr>
          <w:color w:val="221F1F"/>
        </w:rPr>
        <w:t xml:space="preserve">relevant parts of the </w:t>
      </w:r>
      <w:r>
        <w:rPr>
          <w:color w:val="221F1F"/>
          <w:spacing w:val="-2"/>
        </w:rPr>
        <w:t>Works,</w:t>
      </w:r>
    </w:p>
    <w:p w:rsidR="007F6DF9" w:rsidRDefault="00A43FBC">
      <w:pPr>
        <w:pStyle w:val="ListParagraph"/>
        <w:numPr>
          <w:ilvl w:val="0"/>
          <w:numId w:val="27"/>
        </w:numPr>
        <w:tabs>
          <w:tab w:val="left" w:pos="1937"/>
          <w:tab w:val="left" w:pos="1949"/>
        </w:tabs>
        <w:spacing w:before="1" w:line="230" w:lineRule="auto"/>
        <w:ind w:right="558" w:hanging="471"/>
        <w:jc w:val="both"/>
      </w:pPr>
      <w:r>
        <w:rPr>
          <w:color w:val="221F1F"/>
        </w:rPr>
        <w:t>entitle</w:t>
      </w:r>
      <w:r>
        <w:rPr>
          <w:color w:val="221F1F"/>
          <w:spacing w:val="-5"/>
        </w:rPr>
        <w:t xml:space="preserve"> </w:t>
      </w:r>
      <w:r>
        <w:rPr>
          <w:color w:val="221F1F"/>
        </w:rPr>
        <w:t>any</w:t>
      </w:r>
      <w:r>
        <w:rPr>
          <w:color w:val="221F1F"/>
          <w:spacing w:val="-6"/>
        </w:rPr>
        <w:t xml:space="preserve"> </w:t>
      </w:r>
      <w:r>
        <w:rPr>
          <w:color w:val="221F1F"/>
        </w:rPr>
        <w:t>person</w:t>
      </w:r>
      <w:r>
        <w:rPr>
          <w:color w:val="221F1F"/>
          <w:spacing w:val="-7"/>
        </w:rPr>
        <w:t xml:space="preserve"> </w:t>
      </w:r>
      <w:r>
        <w:rPr>
          <w:color w:val="221F1F"/>
        </w:rPr>
        <w:t>in</w:t>
      </w:r>
      <w:r>
        <w:rPr>
          <w:color w:val="221F1F"/>
          <w:spacing w:val="-5"/>
        </w:rPr>
        <w:t xml:space="preserve"> </w:t>
      </w:r>
      <w:r>
        <w:rPr>
          <w:color w:val="221F1F"/>
        </w:rPr>
        <w:t>proper</w:t>
      </w:r>
      <w:r>
        <w:rPr>
          <w:color w:val="221F1F"/>
          <w:spacing w:val="-7"/>
        </w:rPr>
        <w:t xml:space="preserve"> </w:t>
      </w:r>
      <w:r>
        <w:rPr>
          <w:color w:val="221F1F"/>
        </w:rPr>
        <w:t>possession</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relevant</w:t>
      </w:r>
      <w:r>
        <w:rPr>
          <w:color w:val="221F1F"/>
          <w:spacing w:val="-6"/>
        </w:rPr>
        <w:t xml:space="preserve"> </w:t>
      </w:r>
      <w:r>
        <w:rPr>
          <w:color w:val="221F1F"/>
        </w:rPr>
        <w:t>part</w:t>
      </w:r>
      <w:r>
        <w:rPr>
          <w:color w:val="221F1F"/>
          <w:spacing w:val="-7"/>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to</w:t>
      </w:r>
      <w:r>
        <w:rPr>
          <w:color w:val="221F1F"/>
          <w:spacing w:val="-6"/>
        </w:rPr>
        <w:t xml:space="preserve"> </w:t>
      </w:r>
      <w:r>
        <w:rPr>
          <w:color w:val="221F1F"/>
        </w:rPr>
        <w:t>copy,</w:t>
      </w:r>
      <w:r>
        <w:rPr>
          <w:color w:val="221F1F"/>
          <w:spacing w:val="-10"/>
        </w:rPr>
        <w:t xml:space="preserve"> </w:t>
      </w:r>
      <w:r>
        <w:rPr>
          <w:color w:val="221F1F"/>
        </w:rPr>
        <w:t>use</w:t>
      </w:r>
      <w:r>
        <w:rPr>
          <w:color w:val="221F1F"/>
          <w:spacing w:val="-5"/>
        </w:rPr>
        <w:t xml:space="preserve"> </w:t>
      </w:r>
      <w:r>
        <w:rPr>
          <w:color w:val="221F1F"/>
        </w:rPr>
        <w:t>and</w:t>
      </w:r>
      <w:r>
        <w:rPr>
          <w:color w:val="221F1F"/>
          <w:spacing w:val="-8"/>
        </w:rPr>
        <w:t xml:space="preserve"> </w:t>
      </w:r>
      <w:r>
        <w:rPr>
          <w:color w:val="221F1F"/>
        </w:rPr>
        <w:t>communicate the</w:t>
      </w:r>
      <w:r>
        <w:rPr>
          <w:color w:val="221F1F"/>
          <w:spacing w:val="-9"/>
        </w:rPr>
        <w:t xml:space="preserve"> </w:t>
      </w:r>
      <w:r>
        <w:rPr>
          <w:color w:val="221F1F"/>
        </w:rPr>
        <w:t>Contractor's</w:t>
      </w:r>
      <w:r>
        <w:rPr>
          <w:color w:val="221F1F"/>
          <w:spacing w:val="-9"/>
        </w:rPr>
        <w:t xml:space="preserve"> </w:t>
      </w:r>
      <w:r>
        <w:rPr>
          <w:color w:val="221F1F"/>
        </w:rPr>
        <w:t>Documents</w:t>
      </w:r>
      <w:r>
        <w:rPr>
          <w:color w:val="221F1F"/>
          <w:spacing w:val="-12"/>
        </w:rPr>
        <w:t xml:space="preserve"> </w:t>
      </w:r>
      <w:r>
        <w:rPr>
          <w:color w:val="221F1F"/>
        </w:rPr>
        <w:t>for</w:t>
      </w:r>
      <w:r>
        <w:rPr>
          <w:color w:val="221F1F"/>
          <w:spacing w:val="-11"/>
        </w:rPr>
        <w:t xml:space="preserve"> </w:t>
      </w:r>
      <w:r>
        <w:rPr>
          <w:color w:val="221F1F"/>
        </w:rPr>
        <w:t>the</w:t>
      </w:r>
      <w:r>
        <w:rPr>
          <w:color w:val="221F1F"/>
          <w:spacing w:val="-9"/>
        </w:rPr>
        <w:t xml:space="preserve"> </w:t>
      </w:r>
      <w:r>
        <w:rPr>
          <w:color w:val="221F1F"/>
        </w:rPr>
        <w:t>purposes</w:t>
      </w:r>
      <w:r>
        <w:rPr>
          <w:color w:val="221F1F"/>
          <w:spacing w:val="-9"/>
        </w:rPr>
        <w:t xml:space="preserve"> </w:t>
      </w:r>
      <w:r>
        <w:rPr>
          <w:color w:val="221F1F"/>
        </w:rPr>
        <w:t>of</w:t>
      </w:r>
      <w:r>
        <w:rPr>
          <w:color w:val="221F1F"/>
          <w:spacing w:val="-9"/>
        </w:rPr>
        <w:t xml:space="preserve"> </w:t>
      </w:r>
      <w:r>
        <w:rPr>
          <w:color w:val="221F1F"/>
        </w:rPr>
        <w:t>completing,</w:t>
      </w:r>
      <w:r>
        <w:rPr>
          <w:color w:val="221F1F"/>
          <w:spacing w:val="-10"/>
        </w:rPr>
        <w:t xml:space="preserve"> </w:t>
      </w:r>
      <w:r>
        <w:rPr>
          <w:color w:val="221F1F"/>
        </w:rPr>
        <w:t>operating,</w:t>
      </w:r>
      <w:r>
        <w:rPr>
          <w:color w:val="221F1F"/>
          <w:spacing w:val="-12"/>
        </w:rPr>
        <w:t xml:space="preserve"> </w:t>
      </w:r>
      <w:r>
        <w:rPr>
          <w:color w:val="221F1F"/>
        </w:rPr>
        <w:t>maintaining,</w:t>
      </w:r>
      <w:r>
        <w:rPr>
          <w:color w:val="221F1F"/>
          <w:spacing w:val="-12"/>
        </w:rPr>
        <w:t xml:space="preserve"> </w:t>
      </w:r>
      <w:r>
        <w:rPr>
          <w:color w:val="221F1F"/>
        </w:rPr>
        <w:t>altering,</w:t>
      </w:r>
      <w:r>
        <w:rPr>
          <w:color w:val="221F1F"/>
          <w:spacing w:val="-12"/>
        </w:rPr>
        <w:t xml:space="preserve"> </w:t>
      </w:r>
      <w:r>
        <w:rPr>
          <w:color w:val="221F1F"/>
        </w:rPr>
        <w:t>adjusting, repairing and demolishing the Works, and</w:t>
      </w:r>
    </w:p>
    <w:p w:rsidR="007F6DF9" w:rsidRDefault="00A43FBC">
      <w:pPr>
        <w:pStyle w:val="ListParagraph"/>
        <w:numPr>
          <w:ilvl w:val="0"/>
          <w:numId w:val="27"/>
        </w:numPr>
        <w:tabs>
          <w:tab w:val="left" w:pos="1937"/>
          <w:tab w:val="left" w:pos="1949"/>
        </w:tabs>
        <w:spacing w:before="1" w:line="230" w:lineRule="auto"/>
        <w:ind w:right="560" w:hanging="471"/>
        <w:jc w:val="both"/>
      </w:pPr>
      <w:r>
        <w:rPr>
          <w:color w:val="221F1F"/>
        </w:rPr>
        <w:t>in</w:t>
      </w:r>
      <w:r>
        <w:rPr>
          <w:color w:val="221F1F"/>
          <w:spacing w:val="-7"/>
        </w:rPr>
        <w:t xml:space="preserve"> </w:t>
      </w:r>
      <w:r>
        <w:rPr>
          <w:color w:val="221F1F"/>
        </w:rPr>
        <w:t>the</w:t>
      </w:r>
      <w:r>
        <w:rPr>
          <w:color w:val="221F1F"/>
          <w:spacing w:val="-6"/>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Contractor's</w:t>
      </w:r>
      <w:r>
        <w:rPr>
          <w:color w:val="221F1F"/>
          <w:spacing w:val="-7"/>
        </w:rPr>
        <w:t xml:space="preserve"> </w:t>
      </w:r>
      <w:r>
        <w:rPr>
          <w:color w:val="221F1F"/>
        </w:rPr>
        <w:t>Documents</w:t>
      </w:r>
      <w:r>
        <w:rPr>
          <w:color w:val="221F1F"/>
          <w:spacing w:val="-6"/>
        </w:rPr>
        <w:t xml:space="preserve"> </w:t>
      </w:r>
      <w:r>
        <w:rPr>
          <w:color w:val="221F1F"/>
        </w:rPr>
        <w:t>which</w:t>
      </w:r>
      <w:r>
        <w:rPr>
          <w:color w:val="221F1F"/>
          <w:spacing w:val="-6"/>
        </w:rPr>
        <w:t xml:space="preserve"> </w:t>
      </w:r>
      <w:r>
        <w:rPr>
          <w:color w:val="221F1F"/>
        </w:rPr>
        <w:t>are</w:t>
      </w:r>
      <w:r>
        <w:rPr>
          <w:color w:val="221F1F"/>
          <w:spacing w:val="-8"/>
        </w:rPr>
        <w:t xml:space="preserve"> </w:t>
      </w:r>
      <w:r>
        <w:rPr>
          <w:color w:val="221F1F"/>
        </w:rPr>
        <w:t>in</w:t>
      </w:r>
      <w:r>
        <w:rPr>
          <w:color w:val="221F1F"/>
          <w:spacing w:val="-7"/>
        </w:rPr>
        <w:t xml:space="preserve"> </w:t>
      </w:r>
      <w:r>
        <w:rPr>
          <w:color w:val="221F1F"/>
        </w:rPr>
        <w:t>the</w:t>
      </w:r>
      <w:r>
        <w:rPr>
          <w:color w:val="221F1F"/>
          <w:spacing w:val="-9"/>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computer</w:t>
      </w:r>
      <w:r>
        <w:rPr>
          <w:color w:val="221F1F"/>
          <w:spacing w:val="-6"/>
        </w:rPr>
        <w:t xml:space="preserve"> </w:t>
      </w:r>
      <w:r>
        <w:rPr>
          <w:color w:val="221F1F"/>
        </w:rPr>
        <w:t>programs</w:t>
      </w:r>
      <w:r>
        <w:rPr>
          <w:color w:val="221F1F"/>
          <w:spacing w:val="-6"/>
        </w:rPr>
        <w:t xml:space="preserve"> </w:t>
      </w:r>
      <w:r>
        <w:rPr>
          <w:color w:val="221F1F"/>
        </w:rPr>
        <w:t>and</w:t>
      </w:r>
      <w:r>
        <w:rPr>
          <w:color w:val="221F1F"/>
          <w:spacing w:val="-7"/>
        </w:rPr>
        <w:t xml:space="preserve"> </w:t>
      </w:r>
      <w:r>
        <w:rPr>
          <w:color w:val="221F1F"/>
        </w:rPr>
        <w:t>other</w:t>
      </w:r>
      <w:r>
        <w:rPr>
          <w:color w:val="221F1F"/>
          <w:spacing w:val="-6"/>
        </w:rPr>
        <w:t xml:space="preserve"> </w:t>
      </w:r>
      <w:r>
        <w:rPr>
          <w:color w:val="221F1F"/>
        </w:rPr>
        <w:t>software, permit their use on any</w:t>
      </w:r>
      <w:r>
        <w:rPr>
          <w:color w:val="221F1F"/>
          <w:spacing w:val="-1"/>
        </w:rPr>
        <w:t xml:space="preserve"> </w:t>
      </w:r>
      <w:r>
        <w:rPr>
          <w:color w:val="221F1F"/>
        </w:rPr>
        <w:t>computer on</w:t>
      </w:r>
      <w:r>
        <w:rPr>
          <w:color w:val="221F1F"/>
          <w:spacing w:val="-1"/>
        </w:rPr>
        <w:t xml:space="preserve"> </w:t>
      </w:r>
      <w:r>
        <w:rPr>
          <w:color w:val="221F1F"/>
        </w:rPr>
        <w:t>the Site and other places as envisaged by the Contract,</w:t>
      </w:r>
      <w:r>
        <w:rPr>
          <w:color w:val="221F1F"/>
          <w:spacing w:val="-1"/>
        </w:rPr>
        <w:t xml:space="preserve"> </w:t>
      </w:r>
      <w:r>
        <w:rPr>
          <w:color w:val="221F1F"/>
        </w:rPr>
        <w:t>including replacements of any computers supplied by the Contractor.</w:t>
      </w:r>
    </w:p>
    <w:p w:rsidR="007F6DF9" w:rsidRDefault="00A43FBC">
      <w:pPr>
        <w:pStyle w:val="ListParagraph"/>
        <w:numPr>
          <w:ilvl w:val="2"/>
          <w:numId w:val="122"/>
        </w:numPr>
        <w:tabs>
          <w:tab w:val="left" w:pos="1475"/>
          <w:tab w:val="left" w:pos="1489"/>
        </w:tabs>
        <w:spacing w:before="246" w:line="230" w:lineRule="auto"/>
        <w:ind w:left="1489" w:right="558" w:hanging="762"/>
        <w:jc w:val="both"/>
        <w:rPr>
          <w:color w:val="221F1F"/>
        </w:rPr>
      </w:pPr>
      <w:r>
        <w:rPr>
          <w:color w:val="221F1F"/>
        </w:rPr>
        <w:t>The</w:t>
      </w:r>
      <w:r>
        <w:rPr>
          <w:color w:val="221F1F"/>
          <w:spacing w:val="-6"/>
        </w:rPr>
        <w:t xml:space="preserve"> </w:t>
      </w:r>
      <w:r>
        <w:rPr>
          <w:color w:val="221F1F"/>
        </w:rPr>
        <w:t>Contractor's</w:t>
      </w:r>
      <w:r>
        <w:rPr>
          <w:color w:val="221F1F"/>
          <w:spacing w:val="-6"/>
        </w:rPr>
        <w:t xml:space="preserve"> </w:t>
      </w:r>
      <w:r>
        <w:rPr>
          <w:color w:val="221F1F"/>
        </w:rPr>
        <w:t>Documents</w:t>
      </w:r>
      <w:r>
        <w:rPr>
          <w:color w:val="221F1F"/>
          <w:spacing w:val="-6"/>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design</w:t>
      </w:r>
      <w:r>
        <w:rPr>
          <w:color w:val="221F1F"/>
          <w:spacing w:val="-8"/>
        </w:rPr>
        <w:t xml:space="preserve"> </w:t>
      </w:r>
      <w:r>
        <w:rPr>
          <w:color w:val="221F1F"/>
        </w:rPr>
        <w:t>documents</w:t>
      </w:r>
      <w:r>
        <w:rPr>
          <w:color w:val="221F1F"/>
          <w:spacing w:val="-7"/>
        </w:rPr>
        <w:t xml:space="preserve"> </w:t>
      </w:r>
      <w:r>
        <w:rPr>
          <w:color w:val="221F1F"/>
        </w:rPr>
        <w:t>made</w:t>
      </w:r>
      <w:r>
        <w:rPr>
          <w:color w:val="221F1F"/>
          <w:spacing w:val="-6"/>
        </w:rPr>
        <w:t xml:space="preserve"> </w:t>
      </w:r>
      <w:r>
        <w:rPr>
          <w:color w:val="221F1F"/>
        </w:rPr>
        <w:t>by</w:t>
      </w:r>
      <w:r>
        <w:rPr>
          <w:color w:val="221F1F"/>
          <w:spacing w:val="-8"/>
        </w:rPr>
        <w:t xml:space="preserve"> </w:t>
      </w:r>
      <w:r>
        <w:rPr>
          <w:color w:val="221F1F"/>
        </w:rPr>
        <w:t>(or</w:t>
      </w:r>
      <w:r>
        <w:rPr>
          <w:color w:val="221F1F"/>
          <w:spacing w:val="-6"/>
        </w:rPr>
        <w:t xml:space="preserve"> </w:t>
      </w:r>
      <w:r>
        <w:rPr>
          <w:color w:val="221F1F"/>
        </w:rPr>
        <w:t>on</w:t>
      </w:r>
      <w:r>
        <w:rPr>
          <w:color w:val="221F1F"/>
          <w:spacing w:val="-8"/>
        </w:rPr>
        <w:t xml:space="preserve"> </w:t>
      </w:r>
      <w:r>
        <w:rPr>
          <w:color w:val="221F1F"/>
        </w:rPr>
        <w:t>behalf</w:t>
      </w:r>
      <w:r>
        <w:rPr>
          <w:color w:val="221F1F"/>
          <w:spacing w:val="-7"/>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 xml:space="preserve">not, without the Contractor's consent, be used, copied or communicated to a third party by (or on behalf of) the Procuring </w:t>
      </w:r>
      <w:proofErr w:type="spellStart"/>
      <w:r>
        <w:rPr>
          <w:color w:val="221F1F"/>
        </w:rPr>
        <w:t>Entityf</w:t>
      </w:r>
      <w:proofErr w:type="spellEnd"/>
      <w:r>
        <w:rPr>
          <w:color w:val="221F1F"/>
        </w:rPr>
        <w:t xml:space="preserve"> or purposes other than those permitted under Sub-Clause 1.10.2.</w:t>
      </w:r>
    </w:p>
    <w:p w:rsidR="007F6DF9" w:rsidRDefault="00A43FBC">
      <w:pPr>
        <w:pStyle w:val="Heading9"/>
        <w:numPr>
          <w:ilvl w:val="1"/>
          <w:numId w:val="122"/>
        </w:numPr>
        <w:tabs>
          <w:tab w:val="left" w:pos="1479"/>
        </w:tabs>
        <w:spacing w:before="228"/>
        <w:ind w:left="1479" w:hanging="752"/>
        <w:rPr>
          <w:color w:val="221F1F"/>
        </w:rPr>
      </w:pPr>
      <w:r>
        <w:rPr>
          <w:color w:val="221F1F"/>
        </w:rPr>
        <w:t>Contractor's</w:t>
      </w:r>
      <w:r>
        <w:rPr>
          <w:color w:val="221F1F"/>
          <w:spacing w:val="-4"/>
        </w:rPr>
        <w:t xml:space="preserve"> </w:t>
      </w:r>
      <w:r>
        <w:rPr>
          <w:color w:val="221F1F"/>
        </w:rPr>
        <w:t>Use</w:t>
      </w:r>
      <w:r>
        <w:rPr>
          <w:color w:val="221F1F"/>
          <w:spacing w:val="-4"/>
        </w:rPr>
        <w:t xml:space="preserve"> </w:t>
      </w:r>
      <w:r>
        <w:rPr>
          <w:color w:val="221F1F"/>
        </w:rPr>
        <w:t>of</w:t>
      </w:r>
      <w:r>
        <w:rPr>
          <w:color w:val="221F1F"/>
          <w:spacing w:val="-3"/>
        </w:rPr>
        <w:t xml:space="preserve"> </w:t>
      </w:r>
      <w:r>
        <w:rPr>
          <w:color w:val="221F1F"/>
        </w:rPr>
        <w:t>Procuring</w:t>
      </w:r>
      <w:r>
        <w:rPr>
          <w:color w:val="221F1F"/>
          <w:spacing w:val="-3"/>
        </w:rPr>
        <w:t xml:space="preserve"> </w:t>
      </w:r>
      <w:r>
        <w:rPr>
          <w:color w:val="221F1F"/>
        </w:rPr>
        <w:t>Entity's</w:t>
      </w:r>
      <w:r>
        <w:rPr>
          <w:color w:val="221F1F"/>
          <w:spacing w:val="-5"/>
        </w:rPr>
        <w:t xml:space="preserve"> </w:t>
      </w:r>
      <w:r>
        <w:rPr>
          <w:color w:val="221F1F"/>
          <w:spacing w:val="-2"/>
        </w:rPr>
        <w:t>Documents</w:t>
      </w:r>
    </w:p>
    <w:p w:rsidR="007F6DF9" w:rsidRDefault="00A43FBC">
      <w:pPr>
        <w:pStyle w:val="BodyText"/>
        <w:spacing w:before="243" w:line="230" w:lineRule="auto"/>
        <w:ind w:left="1496" w:right="550" w:hanging="15"/>
        <w:jc w:val="both"/>
      </w:pPr>
      <w:r>
        <w:rPr>
          <w:color w:val="221F1F"/>
        </w:rPr>
        <w:t>As</w:t>
      </w:r>
      <w:r>
        <w:rPr>
          <w:color w:val="221F1F"/>
          <w:spacing w:val="-6"/>
        </w:rPr>
        <w:t xml:space="preserve"> </w:t>
      </w:r>
      <w:r>
        <w:rPr>
          <w:color w:val="221F1F"/>
        </w:rPr>
        <w:t>agreed</w:t>
      </w:r>
      <w:r>
        <w:rPr>
          <w:color w:val="221F1F"/>
          <w:spacing w:val="-6"/>
        </w:rPr>
        <w:t xml:space="preserve"> </w:t>
      </w:r>
      <w:r>
        <w:rPr>
          <w:color w:val="221F1F"/>
        </w:rPr>
        <w:t>between</w:t>
      </w:r>
      <w:r>
        <w:rPr>
          <w:color w:val="221F1F"/>
          <w:spacing w:val="-5"/>
        </w:rPr>
        <w:t xml:space="preserve"> </w:t>
      </w:r>
      <w:r>
        <w:rPr>
          <w:color w:val="221F1F"/>
        </w:rPr>
        <w:t>the</w:t>
      </w:r>
      <w:r>
        <w:rPr>
          <w:color w:val="221F1F"/>
          <w:spacing w:val="-5"/>
        </w:rPr>
        <w:t xml:space="preserve"> </w:t>
      </w:r>
      <w:r>
        <w:rPr>
          <w:color w:val="221F1F"/>
        </w:rPr>
        <w:t>Parties,</w:t>
      </w:r>
      <w:r>
        <w:rPr>
          <w:color w:val="221F1F"/>
          <w:spacing w:val="-5"/>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4"/>
        </w:rPr>
        <w:t xml:space="preserve"> </w:t>
      </w:r>
      <w:r>
        <w:rPr>
          <w:color w:val="221F1F"/>
        </w:rPr>
        <w:t>retain</w:t>
      </w:r>
      <w:r>
        <w:rPr>
          <w:color w:val="221F1F"/>
          <w:spacing w:val="-6"/>
        </w:rPr>
        <w:t xml:space="preserve"> </w:t>
      </w:r>
      <w:r>
        <w:rPr>
          <w:color w:val="221F1F"/>
        </w:rPr>
        <w:t>the</w:t>
      </w:r>
      <w:r>
        <w:rPr>
          <w:color w:val="221F1F"/>
          <w:spacing w:val="-6"/>
        </w:rPr>
        <w:t xml:space="preserve"> </w:t>
      </w:r>
      <w:r>
        <w:rPr>
          <w:color w:val="221F1F"/>
        </w:rPr>
        <w:t>copyright</w:t>
      </w:r>
      <w:r>
        <w:rPr>
          <w:color w:val="221F1F"/>
          <w:spacing w:val="-5"/>
        </w:rPr>
        <w:t xml:space="preserve"> </w:t>
      </w:r>
      <w:r>
        <w:rPr>
          <w:color w:val="221F1F"/>
        </w:rPr>
        <w:t>and</w:t>
      </w:r>
      <w:r>
        <w:rPr>
          <w:color w:val="221F1F"/>
          <w:spacing w:val="-6"/>
        </w:rPr>
        <w:t xml:space="preserve"> </w:t>
      </w:r>
      <w:r>
        <w:rPr>
          <w:color w:val="221F1F"/>
        </w:rPr>
        <w:t>other</w:t>
      </w:r>
      <w:r>
        <w:rPr>
          <w:color w:val="221F1F"/>
          <w:spacing w:val="-7"/>
        </w:rPr>
        <w:t xml:space="preserve"> </w:t>
      </w:r>
      <w:r>
        <w:rPr>
          <w:color w:val="221F1F"/>
        </w:rPr>
        <w:t>intellectual</w:t>
      </w:r>
      <w:r>
        <w:rPr>
          <w:color w:val="221F1F"/>
          <w:spacing w:val="-4"/>
        </w:rPr>
        <w:t xml:space="preserve"> </w:t>
      </w:r>
      <w:r>
        <w:rPr>
          <w:color w:val="221F1F"/>
        </w:rPr>
        <w:t>property rights</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Specification,</w:t>
      </w:r>
      <w:r>
        <w:rPr>
          <w:color w:val="221F1F"/>
          <w:spacing w:val="-13"/>
        </w:rPr>
        <w:t xml:space="preserve"> </w:t>
      </w:r>
      <w:r>
        <w:rPr>
          <w:color w:val="221F1F"/>
        </w:rPr>
        <w:t>the</w:t>
      </w:r>
      <w:r>
        <w:rPr>
          <w:color w:val="221F1F"/>
          <w:spacing w:val="-14"/>
        </w:rPr>
        <w:t xml:space="preserve"> </w:t>
      </w:r>
      <w:r>
        <w:rPr>
          <w:color w:val="221F1F"/>
        </w:rPr>
        <w:t>Drawings</w:t>
      </w:r>
      <w:r>
        <w:rPr>
          <w:color w:val="221F1F"/>
          <w:spacing w:val="-14"/>
        </w:rPr>
        <w:t xml:space="preserve"> </w:t>
      </w:r>
      <w:r>
        <w:rPr>
          <w:color w:val="221F1F"/>
        </w:rPr>
        <w:t>and</w:t>
      </w:r>
      <w:r>
        <w:rPr>
          <w:color w:val="221F1F"/>
          <w:spacing w:val="-14"/>
        </w:rPr>
        <w:t xml:space="preserve"> </w:t>
      </w:r>
      <w:r>
        <w:rPr>
          <w:color w:val="221F1F"/>
        </w:rPr>
        <w:t>other</w:t>
      </w:r>
      <w:r>
        <w:rPr>
          <w:color w:val="221F1F"/>
          <w:spacing w:val="-13"/>
        </w:rPr>
        <w:t xml:space="preserve"> </w:t>
      </w:r>
      <w:r>
        <w:rPr>
          <w:color w:val="221F1F"/>
        </w:rPr>
        <w:t>documents</w:t>
      </w:r>
      <w:r>
        <w:rPr>
          <w:color w:val="221F1F"/>
          <w:spacing w:val="-14"/>
        </w:rPr>
        <w:t xml:space="preserve"> </w:t>
      </w:r>
      <w:r>
        <w:rPr>
          <w:color w:val="221F1F"/>
        </w:rPr>
        <w:t>made</w:t>
      </w:r>
      <w:r>
        <w:rPr>
          <w:color w:val="221F1F"/>
          <w:spacing w:val="-14"/>
        </w:rPr>
        <w:t xml:space="preserve"> </w:t>
      </w:r>
      <w:r>
        <w:rPr>
          <w:color w:val="221F1F"/>
        </w:rPr>
        <w:t>by</w:t>
      </w:r>
      <w:r>
        <w:rPr>
          <w:color w:val="221F1F"/>
          <w:spacing w:val="-14"/>
        </w:rPr>
        <w:t xml:space="preserve"> </w:t>
      </w:r>
      <w:r>
        <w:rPr>
          <w:color w:val="221F1F"/>
        </w:rPr>
        <w:t>(or</w:t>
      </w:r>
      <w:r>
        <w:rPr>
          <w:color w:val="221F1F"/>
          <w:spacing w:val="-13"/>
        </w:rPr>
        <w:t xml:space="preserve"> </w:t>
      </w:r>
      <w:r>
        <w:rPr>
          <w:color w:val="221F1F"/>
        </w:rPr>
        <w:t>on</w:t>
      </w:r>
      <w:r>
        <w:rPr>
          <w:color w:val="221F1F"/>
          <w:spacing w:val="-14"/>
        </w:rPr>
        <w:t xml:space="preserve"> </w:t>
      </w:r>
      <w:r>
        <w:rPr>
          <w:color w:val="221F1F"/>
        </w:rPr>
        <w:t>behalf</w:t>
      </w:r>
      <w:r>
        <w:rPr>
          <w:color w:val="221F1F"/>
          <w:spacing w:val="-14"/>
        </w:rPr>
        <w:t xml:space="preserve"> </w:t>
      </w:r>
      <w:r>
        <w:rPr>
          <w:color w:val="221F1F"/>
        </w:rPr>
        <w:t>of)</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4"/>
        </w:rPr>
        <w:t xml:space="preserve"> </w:t>
      </w:r>
      <w:r>
        <w:rPr>
          <w:color w:val="221F1F"/>
        </w:rPr>
        <w:t>Entity. The Contractor may,</w:t>
      </w:r>
      <w:r>
        <w:rPr>
          <w:color w:val="221F1F"/>
          <w:spacing w:val="-7"/>
        </w:rPr>
        <w:t xml:space="preserve"> </w:t>
      </w:r>
      <w:r>
        <w:rPr>
          <w:color w:val="221F1F"/>
        </w:rPr>
        <w:t>at his cost, copy,</w:t>
      </w:r>
      <w:r>
        <w:rPr>
          <w:color w:val="221F1F"/>
          <w:spacing w:val="-5"/>
        </w:rPr>
        <w:t xml:space="preserve"> </w:t>
      </w:r>
      <w:r>
        <w:rPr>
          <w:color w:val="221F1F"/>
        </w:rPr>
        <w:t>use, and obtain communication of these documents for the purposes of</w:t>
      </w:r>
      <w:r>
        <w:rPr>
          <w:color w:val="221F1F"/>
          <w:spacing w:val="-3"/>
        </w:rPr>
        <w:t xml:space="preserve"> </w:t>
      </w:r>
      <w:r>
        <w:rPr>
          <w:color w:val="221F1F"/>
        </w:rPr>
        <w:t>the</w:t>
      </w:r>
      <w:r>
        <w:rPr>
          <w:color w:val="221F1F"/>
          <w:spacing w:val="-3"/>
        </w:rPr>
        <w:t xml:space="preserve"> </w:t>
      </w:r>
      <w:r>
        <w:rPr>
          <w:color w:val="221F1F"/>
        </w:rPr>
        <w:t>Contract.</w:t>
      </w:r>
      <w:r>
        <w:rPr>
          <w:color w:val="221F1F"/>
          <w:spacing w:val="-4"/>
        </w:rPr>
        <w:t xml:space="preserve"> </w:t>
      </w:r>
      <w:r>
        <w:rPr>
          <w:color w:val="221F1F"/>
        </w:rPr>
        <w:t>They</w:t>
      </w:r>
      <w:r>
        <w:rPr>
          <w:color w:val="221F1F"/>
          <w:spacing w:val="-4"/>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without</w:t>
      </w:r>
      <w:r>
        <w:rPr>
          <w:color w:val="221F1F"/>
          <w:spacing w:val="-3"/>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rPr>
        <w:t>consent,</w:t>
      </w:r>
      <w:r>
        <w:rPr>
          <w:color w:val="221F1F"/>
          <w:spacing w:val="-4"/>
        </w:rPr>
        <w:t xml:space="preserve"> </w:t>
      </w:r>
      <w:r>
        <w:rPr>
          <w:color w:val="221F1F"/>
        </w:rPr>
        <w:t>be</w:t>
      </w:r>
      <w:r>
        <w:rPr>
          <w:color w:val="221F1F"/>
          <w:spacing w:val="-3"/>
        </w:rPr>
        <w:t xml:space="preserve"> </w:t>
      </w:r>
      <w:r>
        <w:rPr>
          <w:color w:val="221F1F"/>
        </w:rPr>
        <w:t>copied,</w:t>
      </w:r>
      <w:r>
        <w:rPr>
          <w:color w:val="221F1F"/>
          <w:spacing w:val="-4"/>
        </w:rPr>
        <w:t xml:space="preserve"> </w:t>
      </w:r>
      <w:r>
        <w:rPr>
          <w:color w:val="221F1F"/>
        </w:rPr>
        <w:t>used</w:t>
      </w:r>
      <w:r>
        <w:rPr>
          <w:color w:val="221F1F"/>
          <w:spacing w:val="-4"/>
        </w:rPr>
        <w:t xml:space="preserve"> </w:t>
      </w:r>
      <w:r>
        <w:rPr>
          <w:color w:val="221F1F"/>
        </w:rPr>
        <w:t>or</w:t>
      </w:r>
      <w:r>
        <w:rPr>
          <w:color w:val="221F1F"/>
          <w:spacing w:val="-3"/>
        </w:rPr>
        <w:t xml:space="preserve"> </w:t>
      </w:r>
      <w:r>
        <w:rPr>
          <w:color w:val="221F1F"/>
        </w:rPr>
        <w:t>communicated</w:t>
      </w:r>
      <w:r>
        <w:rPr>
          <w:color w:val="221F1F"/>
          <w:spacing w:val="-3"/>
        </w:rPr>
        <w:t xml:space="preserve"> </w:t>
      </w:r>
      <w:r>
        <w:rPr>
          <w:color w:val="221F1F"/>
        </w:rPr>
        <w:t>to a third party by the Contractor, except as necessary for the purposes of the Contract.</w:t>
      </w:r>
    </w:p>
    <w:p w:rsidR="007F6DF9" w:rsidRDefault="00A43FBC">
      <w:pPr>
        <w:pStyle w:val="Heading9"/>
        <w:numPr>
          <w:ilvl w:val="1"/>
          <w:numId w:val="122"/>
        </w:numPr>
        <w:tabs>
          <w:tab w:val="left" w:pos="1479"/>
        </w:tabs>
        <w:spacing w:before="236"/>
        <w:ind w:left="1479" w:hanging="752"/>
        <w:rPr>
          <w:color w:val="221F1F"/>
        </w:rPr>
      </w:pPr>
      <w:r>
        <w:rPr>
          <w:color w:val="221F1F"/>
          <w:spacing w:val="-2"/>
        </w:rPr>
        <w:t>Confidential</w:t>
      </w:r>
      <w:r>
        <w:rPr>
          <w:color w:val="221F1F"/>
          <w:spacing w:val="4"/>
        </w:rPr>
        <w:t xml:space="preserve"> </w:t>
      </w:r>
      <w:r>
        <w:rPr>
          <w:color w:val="221F1F"/>
          <w:spacing w:val="-2"/>
        </w:rPr>
        <w:t>Details</w:t>
      </w:r>
    </w:p>
    <w:p w:rsidR="007F6DF9" w:rsidRDefault="00A43FBC">
      <w:pPr>
        <w:pStyle w:val="ListParagraph"/>
        <w:numPr>
          <w:ilvl w:val="2"/>
          <w:numId w:val="122"/>
        </w:numPr>
        <w:tabs>
          <w:tab w:val="left" w:pos="1475"/>
          <w:tab w:val="left" w:pos="1489"/>
        </w:tabs>
        <w:spacing w:before="243" w:line="230" w:lineRule="auto"/>
        <w:ind w:left="1489" w:right="561" w:hanging="762"/>
        <w:jc w:val="both"/>
        <w:rPr>
          <w:color w:val="221F1F"/>
        </w:rPr>
      </w:pPr>
      <w:r>
        <w:rPr>
          <w:color w:val="221F1F"/>
        </w:rPr>
        <w:t>The Contractor's and the Procuring Entity's Personnel shall ensure confidentiality at all times. The confidentiality shall survive termination or completion of the contract. They shall disclose all such confidential and other information as may be reasonably required in order to verify compliance with the Contract and allow its proper implementation.</w:t>
      </w:r>
    </w:p>
    <w:p w:rsidR="007F6DF9" w:rsidRDefault="00A43FBC">
      <w:pPr>
        <w:pStyle w:val="ListParagraph"/>
        <w:numPr>
          <w:ilvl w:val="2"/>
          <w:numId w:val="122"/>
        </w:numPr>
        <w:tabs>
          <w:tab w:val="left" w:pos="1475"/>
          <w:tab w:val="left" w:pos="1489"/>
        </w:tabs>
        <w:spacing w:before="246" w:line="230" w:lineRule="auto"/>
        <w:ind w:left="1489" w:right="541" w:hanging="762"/>
        <w:jc w:val="both"/>
        <w:rPr>
          <w:color w:val="221F1F"/>
        </w:rPr>
      </w:pPr>
      <w:r>
        <w:rPr>
          <w:color w:val="221F1F"/>
        </w:rPr>
        <w:t>The Contractor's and the Procuring Entity's Personnel shall also treat the details of the Contract as private and confidential, except to the extent necessary to carry out their respective obligations under the Contract or to comply with applicable Laws. Each of them</w:t>
      </w:r>
      <w:r>
        <w:rPr>
          <w:color w:val="221F1F"/>
          <w:spacing w:val="-1"/>
        </w:rPr>
        <w:t xml:space="preserve"> </w:t>
      </w:r>
      <w:r>
        <w:rPr>
          <w:color w:val="221F1F"/>
        </w:rPr>
        <w:t>shall</w:t>
      </w:r>
      <w:r>
        <w:rPr>
          <w:color w:val="221F1F"/>
          <w:spacing w:val="-1"/>
        </w:rPr>
        <w:t xml:space="preserve"> </w:t>
      </w:r>
      <w:r>
        <w:rPr>
          <w:color w:val="221F1F"/>
        </w:rPr>
        <w:t>not publish or disclose any</w:t>
      </w:r>
      <w:r>
        <w:rPr>
          <w:color w:val="221F1F"/>
          <w:spacing w:val="-1"/>
        </w:rPr>
        <w:t xml:space="preserve"> </w:t>
      </w:r>
      <w:r>
        <w:rPr>
          <w:color w:val="221F1F"/>
        </w:rPr>
        <w:t>particulars of the Works prepared</w:t>
      </w:r>
      <w:r>
        <w:rPr>
          <w:color w:val="221F1F"/>
          <w:spacing w:val="-10"/>
        </w:rPr>
        <w:t xml:space="preserve"> </w:t>
      </w:r>
      <w:r>
        <w:rPr>
          <w:color w:val="221F1F"/>
        </w:rPr>
        <w:t>by</w:t>
      </w:r>
      <w:r>
        <w:rPr>
          <w:color w:val="221F1F"/>
          <w:spacing w:val="-11"/>
        </w:rPr>
        <w:t xml:space="preserve"> </w:t>
      </w:r>
      <w:r>
        <w:rPr>
          <w:color w:val="221F1F"/>
        </w:rPr>
        <w:t>the</w:t>
      </w:r>
      <w:r>
        <w:rPr>
          <w:color w:val="221F1F"/>
          <w:spacing w:val="-10"/>
        </w:rPr>
        <w:t xml:space="preserve"> </w:t>
      </w:r>
      <w:r>
        <w:rPr>
          <w:color w:val="221F1F"/>
        </w:rPr>
        <w:t>other</w:t>
      </w:r>
      <w:r>
        <w:rPr>
          <w:color w:val="221F1F"/>
          <w:spacing w:val="-9"/>
        </w:rPr>
        <w:t xml:space="preserve"> </w:t>
      </w:r>
      <w:r>
        <w:rPr>
          <w:color w:val="221F1F"/>
        </w:rPr>
        <w:t>Party</w:t>
      </w:r>
      <w:r>
        <w:rPr>
          <w:color w:val="221F1F"/>
          <w:spacing w:val="-12"/>
        </w:rPr>
        <w:t xml:space="preserve"> </w:t>
      </w:r>
      <w:r>
        <w:rPr>
          <w:color w:val="221F1F"/>
        </w:rPr>
        <w:t>without</w:t>
      </w:r>
      <w:r>
        <w:rPr>
          <w:color w:val="221F1F"/>
          <w:spacing w:val="-10"/>
        </w:rPr>
        <w:t xml:space="preserve"> </w:t>
      </w:r>
      <w:r>
        <w:rPr>
          <w:color w:val="221F1F"/>
        </w:rPr>
        <w:t>the</w:t>
      </w:r>
      <w:r>
        <w:rPr>
          <w:color w:val="221F1F"/>
          <w:spacing w:val="-10"/>
        </w:rPr>
        <w:t xml:space="preserve"> </w:t>
      </w:r>
      <w:r>
        <w:rPr>
          <w:color w:val="221F1F"/>
        </w:rPr>
        <w:t>previous</w:t>
      </w:r>
      <w:r>
        <w:rPr>
          <w:color w:val="221F1F"/>
          <w:spacing w:val="-10"/>
        </w:rPr>
        <w:t xml:space="preserve"> </w:t>
      </w:r>
      <w:r>
        <w:rPr>
          <w:color w:val="221F1F"/>
        </w:rPr>
        <w:t>agreement</w:t>
      </w:r>
      <w:r>
        <w:rPr>
          <w:color w:val="221F1F"/>
          <w:spacing w:val="-10"/>
        </w:rPr>
        <w:t xml:space="preserve"> </w:t>
      </w:r>
      <w:r>
        <w:rPr>
          <w:color w:val="221F1F"/>
        </w:rPr>
        <w:t>of</w:t>
      </w:r>
      <w:r>
        <w:rPr>
          <w:color w:val="221F1F"/>
          <w:spacing w:val="-12"/>
        </w:rPr>
        <w:t xml:space="preserve"> </w:t>
      </w:r>
      <w:r>
        <w:rPr>
          <w:color w:val="221F1F"/>
        </w:rPr>
        <w:t>the</w:t>
      </w:r>
      <w:r>
        <w:rPr>
          <w:color w:val="221F1F"/>
          <w:spacing w:val="-10"/>
        </w:rPr>
        <w:t xml:space="preserve"> </w:t>
      </w:r>
      <w:r>
        <w:rPr>
          <w:color w:val="221F1F"/>
        </w:rPr>
        <w:t>other</w:t>
      </w:r>
      <w:r>
        <w:rPr>
          <w:color w:val="221F1F"/>
          <w:spacing w:val="-5"/>
        </w:rPr>
        <w:t xml:space="preserve"> </w:t>
      </w:r>
      <w:r>
        <w:rPr>
          <w:color w:val="221F1F"/>
        </w:rPr>
        <w:t>Party.</w:t>
      </w:r>
      <w:r>
        <w:rPr>
          <w:color w:val="221F1F"/>
          <w:spacing w:val="-14"/>
        </w:rPr>
        <w:t xml:space="preserve"> </w:t>
      </w:r>
      <w:r>
        <w:rPr>
          <w:color w:val="221F1F"/>
        </w:rPr>
        <w:t>However,</w:t>
      </w:r>
      <w:r>
        <w:rPr>
          <w:color w:val="221F1F"/>
          <w:spacing w:val="-12"/>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shall be permitted to disclose any publicly available information, or information otherwise required to establish his qualifications to compete for other projects.</w:t>
      </w:r>
    </w:p>
    <w:p w:rsidR="007F6DF9" w:rsidRDefault="00A43FBC">
      <w:pPr>
        <w:pStyle w:val="Heading9"/>
        <w:numPr>
          <w:ilvl w:val="1"/>
          <w:numId w:val="122"/>
        </w:numPr>
        <w:tabs>
          <w:tab w:val="left" w:pos="1476"/>
        </w:tabs>
        <w:spacing w:before="238"/>
        <w:ind w:left="1476" w:hanging="751"/>
        <w:rPr>
          <w:color w:val="221F1F"/>
        </w:rPr>
      </w:pPr>
      <w:r>
        <w:rPr>
          <w:color w:val="221F1F"/>
        </w:rPr>
        <w:t>Compliance</w:t>
      </w:r>
      <w:r>
        <w:rPr>
          <w:color w:val="221F1F"/>
          <w:spacing w:val="-7"/>
        </w:rPr>
        <w:t xml:space="preserve"> </w:t>
      </w:r>
      <w:r>
        <w:rPr>
          <w:color w:val="221F1F"/>
        </w:rPr>
        <w:t>with</w:t>
      </w:r>
      <w:r>
        <w:rPr>
          <w:color w:val="221F1F"/>
          <w:spacing w:val="-3"/>
        </w:rPr>
        <w:t xml:space="preserve"> </w:t>
      </w:r>
      <w:r>
        <w:rPr>
          <w:color w:val="221F1F"/>
          <w:spacing w:val="-4"/>
        </w:rPr>
        <w:t>Laws</w:t>
      </w:r>
    </w:p>
    <w:p w:rsidR="007F6DF9" w:rsidRDefault="00A43FBC">
      <w:pPr>
        <w:pStyle w:val="BodyText"/>
        <w:spacing w:before="243" w:line="230" w:lineRule="auto"/>
        <w:ind w:left="1489" w:right="561" w:hanging="12"/>
        <w:jc w:val="both"/>
      </w:pPr>
      <w:r>
        <w:rPr>
          <w:color w:val="221F1F"/>
        </w:rPr>
        <w:t>The Contractor shall, in performing the Contract, comply with applicable Laws. Unless otherwise stated in the Special Conditions of Contract:</w:t>
      </w:r>
    </w:p>
    <w:p w:rsidR="007F6DF9" w:rsidRDefault="00A43FBC">
      <w:pPr>
        <w:pStyle w:val="ListParagraph"/>
        <w:numPr>
          <w:ilvl w:val="0"/>
          <w:numId w:val="118"/>
        </w:numPr>
        <w:tabs>
          <w:tab w:val="left" w:pos="1945"/>
          <w:tab w:val="left" w:pos="1947"/>
        </w:tabs>
        <w:spacing w:before="98" w:line="230" w:lineRule="auto"/>
        <w:ind w:right="558"/>
        <w:jc w:val="both"/>
      </w:pPr>
      <w:r>
        <w:rPr>
          <w:color w:val="221F1F"/>
        </w:rPr>
        <w:t xml:space="preserve">The Procuring Entity shall have obtained (or shall obtain) the planning, zoning, building </w:t>
      </w:r>
      <w:proofErr w:type="spellStart"/>
      <w:r>
        <w:rPr>
          <w:color w:val="221F1F"/>
        </w:rPr>
        <w:t>permitor</w:t>
      </w:r>
      <w:proofErr w:type="spellEnd"/>
      <w:r>
        <w:rPr>
          <w:color w:val="221F1F"/>
        </w:rPr>
        <w:t xml:space="preserve"> similar</w:t>
      </w:r>
      <w:r>
        <w:rPr>
          <w:color w:val="221F1F"/>
          <w:spacing w:val="-11"/>
        </w:rPr>
        <w:t xml:space="preserve"> </w:t>
      </w:r>
      <w:r>
        <w:rPr>
          <w:color w:val="221F1F"/>
        </w:rPr>
        <w:t>permission</w:t>
      </w:r>
      <w:r>
        <w:rPr>
          <w:color w:val="221F1F"/>
          <w:spacing w:val="-10"/>
        </w:rPr>
        <w:t xml:space="preserve"> </w:t>
      </w:r>
      <w:r>
        <w:rPr>
          <w:color w:val="221F1F"/>
        </w:rPr>
        <w:t>for</w:t>
      </w:r>
      <w:r>
        <w:rPr>
          <w:color w:val="221F1F"/>
          <w:spacing w:val="-10"/>
        </w:rPr>
        <w:t xml:space="preserve"> </w:t>
      </w:r>
      <w:r>
        <w:rPr>
          <w:color w:val="221F1F"/>
        </w:rPr>
        <w:t>the</w:t>
      </w:r>
      <w:r>
        <w:rPr>
          <w:color w:val="221F1F"/>
          <w:spacing w:val="-9"/>
        </w:rPr>
        <w:t xml:space="preserve"> </w:t>
      </w:r>
      <w:r>
        <w:rPr>
          <w:color w:val="221F1F"/>
        </w:rPr>
        <w:t>Permanent</w:t>
      </w:r>
      <w:r>
        <w:rPr>
          <w:color w:val="221F1F"/>
          <w:spacing w:val="-10"/>
        </w:rPr>
        <w:t xml:space="preserve"> </w:t>
      </w:r>
      <w:r>
        <w:rPr>
          <w:color w:val="221F1F"/>
        </w:rPr>
        <w:t>Works,</w:t>
      </w:r>
      <w:r>
        <w:rPr>
          <w:color w:val="221F1F"/>
          <w:spacing w:val="-14"/>
        </w:rPr>
        <w:t xml:space="preserve"> </w:t>
      </w:r>
      <w:r>
        <w:rPr>
          <w:color w:val="221F1F"/>
        </w:rPr>
        <w:t>and</w:t>
      </w:r>
      <w:r>
        <w:rPr>
          <w:color w:val="221F1F"/>
          <w:spacing w:val="-8"/>
        </w:rPr>
        <w:t xml:space="preserve"> </w:t>
      </w:r>
      <w:r>
        <w:rPr>
          <w:color w:val="221F1F"/>
        </w:rPr>
        <w:t>any</w:t>
      </w:r>
      <w:r>
        <w:rPr>
          <w:color w:val="221F1F"/>
          <w:spacing w:val="-9"/>
        </w:rPr>
        <w:t xml:space="preserve"> </w:t>
      </w:r>
      <w:r>
        <w:rPr>
          <w:color w:val="221F1F"/>
        </w:rPr>
        <w:t>other</w:t>
      </w:r>
      <w:r>
        <w:rPr>
          <w:color w:val="221F1F"/>
          <w:spacing w:val="-8"/>
        </w:rPr>
        <w:t xml:space="preserve"> </w:t>
      </w:r>
      <w:r>
        <w:rPr>
          <w:color w:val="221F1F"/>
        </w:rPr>
        <w:t>permissions</w:t>
      </w:r>
      <w:r>
        <w:rPr>
          <w:color w:val="221F1F"/>
          <w:spacing w:val="-8"/>
        </w:rPr>
        <w:t xml:space="preserve"> </w:t>
      </w:r>
      <w:r>
        <w:rPr>
          <w:color w:val="221F1F"/>
        </w:rPr>
        <w:t>described</w:t>
      </w:r>
      <w:r>
        <w:rPr>
          <w:color w:val="221F1F"/>
          <w:spacing w:val="-8"/>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Specifications as having been (or to be) obtained by the Procuring Entity; and the Procuring Entity shall indemnify and hold the Contractor harmless against and from the consequences of any failure to do so; and</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08"/>
      </w:pPr>
    </w:p>
    <w:p w:rsidR="007F6DF9" w:rsidRDefault="00A43FBC">
      <w:pPr>
        <w:pStyle w:val="ListParagraph"/>
        <w:numPr>
          <w:ilvl w:val="0"/>
          <w:numId w:val="118"/>
        </w:numPr>
        <w:tabs>
          <w:tab w:val="left" w:pos="1950"/>
          <w:tab w:val="left" w:pos="1952"/>
        </w:tabs>
        <w:spacing w:line="230" w:lineRule="auto"/>
        <w:ind w:left="1952" w:right="549" w:hanging="531"/>
        <w:jc w:val="both"/>
      </w:pPr>
      <w:r>
        <w:rPr>
          <w:color w:val="221F1F"/>
        </w:rPr>
        <w:t>the Contractor</w:t>
      </w:r>
      <w:r>
        <w:rPr>
          <w:color w:val="221F1F"/>
          <w:spacing w:val="-1"/>
        </w:rPr>
        <w:t xml:space="preserve"> </w:t>
      </w:r>
      <w:r>
        <w:rPr>
          <w:color w:val="221F1F"/>
        </w:rPr>
        <w:t>shall give</w:t>
      </w:r>
      <w:r>
        <w:rPr>
          <w:color w:val="221F1F"/>
          <w:spacing w:val="-1"/>
        </w:rPr>
        <w:t xml:space="preserve"> </w:t>
      </w:r>
      <w:r>
        <w:rPr>
          <w:color w:val="221F1F"/>
        </w:rPr>
        <w:t>all notices, pay</w:t>
      </w:r>
      <w:r>
        <w:rPr>
          <w:color w:val="221F1F"/>
          <w:spacing w:val="-1"/>
        </w:rPr>
        <w:t xml:space="preserve"> </w:t>
      </w:r>
      <w:r>
        <w:rPr>
          <w:color w:val="221F1F"/>
        </w:rPr>
        <w:t>all taxes, duties and</w:t>
      </w:r>
      <w:r>
        <w:rPr>
          <w:color w:val="221F1F"/>
          <w:spacing w:val="-1"/>
        </w:rPr>
        <w:t xml:space="preserve"> </w:t>
      </w:r>
      <w:r>
        <w:rPr>
          <w:color w:val="221F1F"/>
        </w:rPr>
        <w:t>fees,</w:t>
      </w:r>
      <w:r>
        <w:rPr>
          <w:color w:val="221F1F"/>
          <w:spacing w:val="-1"/>
        </w:rPr>
        <w:t xml:space="preserve"> </w:t>
      </w:r>
      <w:r>
        <w:rPr>
          <w:color w:val="221F1F"/>
        </w:rPr>
        <w:t>and</w:t>
      </w:r>
      <w:r>
        <w:rPr>
          <w:color w:val="221F1F"/>
          <w:spacing w:val="-1"/>
        </w:rPr>
        <w:t xml:space="preserve"> </w:t>
      </w:r>
      <w:r>
        <w:rPr>
          <w:color w:val="221F1F"/>
        </w:rPr>
        <w:t>obtain all permits,</w:t>
      </w:r>
      <w:r>
        <w:rPr>
          <w:color w:val="221F1F"/>
          <w:spacing w:val="-1"/>
        </w:rPr>
        <w:t xml:space="preserve"> </w:t>
      </w:r>
      <w:r>
        <w:rPr>
          <w:color w:val="221F1F"/>
        </w:rPr>
        <w:t>licenses</w:t>
      </w:r>
      <w:r>
        <w:rPr>
          <w:color w:val="221F1F"/>
          <w:spacing w:val="-1"/>
        </w:rPr>
        <w:t xml:space="preserve"> </w:t>
      </w:r>
      <w:r>
        <w:rPr>
          <w:color w:val="221F1F"/>
        </w:rPr>
        <w:t>and approvals, as required by the Laws in relation to the execution and completion of the Works and the remedying of any defects; and the Contractor shall indemnify and hold the Procuring Entity harmless against and from the consequences of any failure to do so, unless the Contractor is impeded to accomplish these actions and shows evidence of its diligence.</w:t>
      </w:r>
    </w:p>
    <w:p w:rsidR="007F6DF9" w:rsidRDefault="00A43FBC">
      <w:pPr>
        <w:pStyle w:val="Heading9"/>
        <w:numPr>
          <w:ilvl w:val="1"/>
          <w:numId w:val="122"/>
        </w:numPr>
        <w:tabs>
          <w:tab w:val="left" w:pos="1431"/>
        </w:tabs>
        <w:spacing w:before="239"/>
        <w:ind w:left="1431" w:hanging="720"/>
        <w:rPr>
          <w:color w:val="221F1F"/>
        </w:rPr>
      </w:pPr>
      <w:r>
        <w:rPr>
          <w:color w:val="221F1F"/>
        </w:rPr>
        <w:t>Joint</w:t>
      </w:r>
      <w:r>
        <w:rPr>
          <w:color w:val="221F1F"/>
          <w:spacing w:val="-4"/>
        </w:rPr>
        <w:t xml:space="preserve"> </w:t>
      </w:r>
      <w:r>
        <w:rPr>
          <w:color w:val="221F1F"/>
        </w:rPr>
        <w:t>and</w:t>
      </w:r>
      <w:r>
        <w:rPr>
          <w:color w:val="221F1F"/>
          <w:spacing w:val="-3"/>
        </w:rPr>
        <w:t xml:space="preserve"> </w:t>
      </w:r>
      <w:r>
        <w:rPr>
          <w:color w:val="221F1F"/>
        </w:rPr>
        <w:t>Several</w:t>
      </w:r>
      <w:r>
        <w:rPr>
          <w:color w:val="221F1F"/>
          <w:spacing w:val="-1"/>
        </w:rPr>
        <w:t xml:space="preserve"> </w:t>
      </w:r>
      <w:r>
        <w:rPr>
          <w:color w:val="221F1F"/>
          <w:spacing w:val="-2"/>
        </w:rPr>
        <w:t>Liability</w:t>
      </w:r>
    </w:p>
    <w:p w:rsidR="007F6DF9" w:rsidRDefault="00A43FBC">
      <w:pPr>
        <w:pStyle w:val="BodyText"/>
        <w:spacing w:before="243" w:line="230" w:lineRule="auto"/>
        <w:ind w:left="1417" w:right="563" w:firstLine="14"/>
        <w:jc w:val="both"/>
      </w:pPr>
      <w:r>
        <w:rPr>
          <w:color w:val="221F1F"/>
        </w:rPr>
        <w:t>If the Contractor constitutes (under applicable Laws) a joint venture, consortium or other unincorporated grouping of two or more persons:</w:t>
      </w:r>
    </w:p>
    <w:p w:rsidR="007F6DF9" w:rsidRDefault="00A43FBC">
      <w:pPr>
        <w:pStyle w:val="ListParagraph"/>
        <w:numPr>
          <w:ilvl w:val="0"/>
          <w:numId w:val="117"/>
        </w:numPr>
        <w:tabs>
          <w:tab w:val="left" w:pos="1873"/>
        </w:tabs>
        <w:spacing w:before="244" w:line="230" w:lineRule="auto"/>
        <w:ind w:right="553"/>
      </w:pPr>
      <w:r>
        <w:rPr>
          <w:color w:val="221F1F"/>
        </w:rPr>
        <w:t>These</w:t>
      </w:r>
      <w:r>
        <w:rPr>
          <w:color w:val="221F1F"/>
          <w:spacing w:val="40"/>
        </w:rPr>
        <w:t xml:space="preserve"> </w:t>
      </w:r>
      <w:r>
        <w:rPr>
          <w:color w:val="221F1F"/>
        </w:rPr>
        <w:t>persons</w:t>
      </w:r>
      <w:r>
        <w:rPr>
          <w:color w:val="221F1F"/>
          <w:spacing w:val="40"/>
        </w:rPr>
        <w:t xml:space="preserve"> </w:t>
      </w:r>
      <w:r>
        <w:rPr>
          <w:color w:val="221F1F"/>
        </w:rPr>
        <w:t>shall</w:t>
      </w:r>
      <w:r>
        <w:rPr>
          <w:color w:val="221F1F"/>
          <w:spacing w:val="40"/>
        </w:rPr>
        <w:t xml:space="preserve"> </w:t>
      </w:r>
      <w:r>
        <w:rPr>
          <w:color w:val="221F1F"/>
        </w:rPr>
        <w:t>be</w:t>
      </w:r>
      <w:r>
        <w:rPr>
          <w:color w:val="221F1F"/>
          <w:spacing w:val="40"/>
        </w:rPr>
        <w:t xml:space="preserve"> </w:t>
      </w:r>
      <w:r>
        <w:rPr>
          <w:color w:val="221F1F"/>
        </w:rPr>
        <w:t>deemed</w:t>
      </w:r>
      <w:r>
        <w:rPr>
          <w:color w:val="221F1F"/>
          <w:spacing w:val="40"/>
        </w:rPr>
        <w:t xml:space="preserve"> </w:t>
      </w:r>
      <w:r>
        <w:rPr>
          <w:color w:val="221F1F"/>
        </w:rPr>
        <w:t>to</w:t>
      </w:r>
      <w:r>
        <w:rPr>
          <w:color w:val="221F1F"/>
          <w:spacing w:val="40"/>
        </w:rPr>
        <w:t xml:space="preserve"> </w:t>
      </w:r>
      <w:r>
        <w:rPr>
          <w:color w:val="221F1F"/>
        </w:rPr>
        <w:t>be</w:t>
      </w:r>
      <w:r>
        <w:rPr>
          <w:color w:val="221F1F"/>
          <w:spacing w:val="40"/>
        </w:rPr>
        <w:t xml:space="preserve"> </w:t>
      </w:r>
      <w:r>
        <w:rPr>
          <w:color w:val="221F1F"/>
        </w:rPr>
        <w:t>jointly</w:t>
      </w:r>
      <w:r>
        <w:rPr>
          <w:color w:val="221F1F"/>
          <w:spacing w:val="40"/>
        </w:rPr>
        <w:t xml:space="preserve"> </w:t>
      </w:r>
      <w:r>
        <w:rPr>
          <w:color w:val="221F1F"/>
        </w:rPr>
        <w:t>and</w:t>
      </w:r>
      <w:r>
        <w:rPr>
          <w:color w:val="221F1F"/>
          <w:spacing w:val="40"/>
        </w:rPr>
        <w:t xml:space="preserve"> </w:t>
      </w:r>
      <w:r>
        <w:rPr>
          <w:color w:val="221F1F"/>
        </w:rPr>
        <w:t>severally</w:t>
      </w:r>
      <w:r>
        <w:rPr>
          <w:color w:val="221F1F"/>
          <w:spacing w:val="40"/>
        </w:rPr>
        <w:t xml:space="preserve"> </w:t>
      </w:r>
      <w:r>
        <w:rPr>
          <w:color w:val="221F1F"/>
        </w:rPr>
        <w:t>liable</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for</w:t>
      </w:r>
      <w:r>
        <w:rPr>
          <w:color w:val="221F1F"/>
          <w:spacing w:val="40"/>
        </w:rPr>
        <w:t xml:space="preserve"> </w:t>
      </w:r>
      <w:r>
        <w:rPr>
          <w:color w:val="221F1F"/>
        </w:rPr>
        <w:t>the performance of the Contract;</w:t>
      </w:r>
    </w:p>
    <w:p w:rsidR="007F6DF9" w:rsidRDefault="00A43FBC">
      <w:pPr>
        <w:pStyle w:val="ListParagraph"/>
        <w:numPr>
          <w:ilvl w:val="0"/>
          <w:numId w:val="117"/>
        </w:numPr>
        <w:tabs>
          <w:tab w:val="left" w:pos="1873"/>
        </w:tabs>
        <w:spacing w:before="1" w:line="230" w:lineRule="auto"/>
        <w:ind w:right="564"/>
      </w:pPr>
      <w:r>
        <w:rPr>
          <w:color w:val="221F1F"/>
        </w:rPr>
        <w:t>these</w:t>
      </w:r>
      <w:r>
        <w:rPr>
          <w:color w:val="221F1F"/>
          <w:spacing w:val="28"/>
        </w:rPr>
        <w:t xml:space="preserve"> </w:t>
      </w:r>
      <w:r>
        <w:rPr>
          <w:color w:val="221F1F"/>
        </w:rPr>
        <w:t>persons</w:t>
      </w:r>
      <w:r>
        <w:rPr>
          <w:color w:val="221F1F"/>
          <w:spacing w:val="28"/>
        </w:rPr>
        <w:t xml:space="preserve"> </w:t>
      </w:r>
      <w:r>
        <w:rPr>
          <w:color w:val="221F1F"/>
        </w:rPr>
        <w:t>shall</w:t>
      </w:r>
      <w:r>
        <w:rPr>
          <w:color w:val="221F1F"/>
          <w:spacing w:val="28"/>
        </w:rPr>
        <w:t xml:space="preserve"> </w:t>
      </w:r>
      <w:r>
        <w:rPr>
          <w:color w:val="221F1F"/>
        </w:rPr>
        <w:t>notify</w:t>
      </w:r>
      <w:r>
        <w:rPr>
          <w:color w:val="221F1F"/>
          <w:spacing w:val="25"/>
        </w:rPr>
        <w:t xml:space="preserve"> </w:t>
      </w:r>
      <w:r>
        <w:rPr>
          <w:color w:val="221F1F"/>
        </w:rPr>
        <w:t>the</w:t>
      </w:r>
      <w:r>
        <w:rPr>
          <w:color w:val="221F1F"/>
          <w:spacing w:val="28"/>
        </w:rPr>
        <w:t xml:space="preserve"> </w:t>
      </w:r>
      <w:r>
        <w:rPr>
          <w:color w:val="221F1F"/>
        </w:rPr>
        <w:t>Procuring</w:t>
      </w:r>
      <w:r>
        <w:rPr>
          <w:color w:val="221F1F"/>
          <w:spacing w:val="27"/>
        </w:rPr>
        <w:t xml:space="preserve"> </w:t>
      </w:r>
      <w:r>
        <w:rPr>
          <w:color w:val="221F1F"/>
        </w:rPr>
        <w:t>Entity</w:t>
      </w:r>
      <w:r>
        <w:rPr>
          <w:color w:val="221F1F"/>
          <w:spacing w:val="27"/>
        </w:rPr>
        <w:t xml:space="preserve"> </w:t>
      </w:r>
      <w:r>
        <w:rPr>
          <w:color w:val="221F1F"/>
        </w:rPr>
        <w:t>of</w:t>
      </w:r>
      <w:r>
        <w:rPr>
          <w:color w:val="221F1F"/>
          <w:spacing w:val="28"/>
        </w:rPr>
        <w:t xml:space="preserve"> </w:t>
      </w:r>
      <w:r>
        <w:rPr>
          <w:color w:val="221F1F"/>
        </w:rPr>
        <w:t>their</w:t>
      </w:r>
      <w:r>
        <w:rPr>
          <w:color w:val="221F1F"/>
          <w:spacing w:val="28"/>
        </w:rPr>
        <w:t xml:space="preserve"> </w:t>
      </w:r>
      <w:r>
        <w:rPr>
          <w:color w:val="221F1F"/>
        </w:rPr>
        <w:t>leader</w:t>
      </w:r>
      <w:r>
        <w:rPr>
          <w:color w:val="221F1F"/>
          <w:spacing w:val="28"/>
        </w:rPr>
        <w:t xml:space="preserve"> </w:t>
      </w:r>
      <w:r>
        <w:rPr>
          <w:color w:val="221F1F"/>
        </w:rPr>
        <w:t>who</w:t>
      </w:r>
      <w:r>
        <w:rPr>
          <w:color w:val="221F1F"/>
          <w:spacing w:val="27"/>
        </w:rPr>
        <w:t xml:space="preserve"> </w:t>
      </w:r>
      <w:r>
        <w:rPr>
          <w:color w:val="221F1F"/>
        </w:rPr>
        <w:t>shall</w:t>
      </w:r>
      <w:r>
        <w:rPr>
          <w:color w:val="221F1F"/>
          <w:spacing w:val="28"/>
        </w:rPr>
        <w:t xml:space="preserve"> </w:t>
      </w:r>
      <w:r>
        <w:rPr>
          <w:color w:val="221F1F"/>
        </w:rPr>
        <w:t>have</w:t>
      </w:r>
      <w:r>
        <w:rPr>
          <w:color w:val="221F1F"/>
          <w:spacing w:val="28"/>
        </w:rPr>
        <w:t xml:space="preserve"> </w:t>
      </w:r>
      <w:r>
        <w:rPr>
          <w:color w:val="221F1F"/>
        </w:rPr>
        <w:t>authority</w:t>
      </w:r>
      <w:r>
        <w:rPr>
          <w:color w:val="221F1F"/>
          <w:spacing w:val="27"/>
        </w:rPr>
        <w:t xml:space="preserve"> </w:t>
      </w:r>
      <w:r>
        <w:rPr>
          <w:color w:val="221F1F"/>
        </w:rPr>
        <w:t>to</w:t>
      </w:r>
      <w:r>
        <w:rPr>
          <w:color w:val="221F1F"/>
          <w:spacing w:val="27"/>
        </w:rPr>
        <w:t xml:space="preserve"> </w:t>
      </w:r>
      <w:r>
        <w:rPr>
          <w:color w:val="221F1F"/>
        </w:rPr>
        <w:t>bind</w:t>
      </w:r>
      <w:r>
        <w:rPr>
          <w:color w:val="221F1F"/>
          <w:spacing w:val="27"/>
        </w:rPr>
        <w:t xml:space="preserve"> </w:t>
      </w:r>
      <w:r>
        <w:rPr>
          <w:color w:val="221F1F"/>
        </w:rPr>
        <w:t>the Contractor and each of these persons; and</w:t>
      </w:r>
    </w:p>
    <w:p w:rsidR="007F6DF9" w:rsidRDefault="00A43FBC">
      <w:pPr>
        <w:pStyle w:val="ListParagraph"/>
        <w:numPr>
          <w:ilvl w:val="0"/>
          <w:numId w:val="117"/>
        </w:numPr>
        <w:tabs>
          <w:tab w:val="left" w:pos="1873"/>
        </w:tabs>
        <w:spacing w:line="230" w:lineRule="auto"/>
        <w:ind w:right="563"/>
      </w:pPr>
      <w:r>
        <w:rPr>
          <w:color w:val="221F1F"/>
        </w:rPr>
        <w:t xml:space="preserve">the Contractor shall not alter its composition or legal status without the prior consent of the Procuring </w:t>
      </w:r>
      <w:r>
        <w:rPr>
          <w:color w:val="221F1F"/>
          <w:spacing w:val="-2"/>
        </w:rPr>
        <w:t>Entity.</w:t>
      </w:r>
    </w:p>
    <w:p w:rsidR="007F6DF9" w:rsidRDefault="00A43FBC">
      <w:pPr>
        <w:pStyle w:val="Heading9"/>
        <w:numPr>
          <w:ilvl w:val="1"/>
          <w:numId w:val="122"/>
        </w:numPr>
        <w:tabs>
          <w:tab w:val="left" w:pos="1431"/>
        </w:tabs>
        <w:spacing w:before="235"/>
        <w:ind w:left="1431" w:hanging="720"/>
        <w:rPr>
          <w:color w:val="221F1F"/>
        </w:rPr>
      </w:pPr>
      <w:r>
        <w:rPr>
          <w:color w:val="221F1F"/>
        </w:rPr>
        <w:t>Inspections</w:t>
      </w:r>
      <w:r>
        <w:rPr>
          <w:color w:val="221F1F"/>
          <w:spacing w:val="-3"/>
        </w:rPr>
        <w:t xml:space="preserve"> </w:t>
      </w:r>
      <w:r>
        <w:rPr>
          <w:color w:val="221F1F"/>
        </w:rPr>
        <w:t>and</w:t>
      </w:r>
      <w:r>
        <w:rPr>
          <w:color w:val="221F1F"/>
          <w:spacing w:val="-4"/>
        </w:rPr>
        <w:t xml:space="preserve"> </w:t>
      </w:r>
      <w:r>
        <w:rPr>
          <w:color w:val="221F1F"/>
        </w:rPr>
        <w:t>Audit</w:t>
      </w:r>
      <w:r>
        <w:rPr>
          <w:color w:val="221F1F"/>
          <w:spacing w:val="-2"/>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Procuring</w:t>
      </w:r>
      <w:r>
        <w:rPr>
          <w:color w:val="221F1F"/>
          <w:spacing w:val="-2"/>
        </w:rPr>
        <w:t xml:space="preserve"> Entity</w:t>
      </w:r>
    </w:p>
    <w:p w:rsidR="007F6DF9" w:rsidRDefault="00A43FBC">
      <w:pPr>
        <w:pStyle w:val="BodyText"/>
        <w:spacing w:before="243" w:line="230" w:lineRule="auto"/>
        <w:ind w:left="1417" w:right="549" w:firstLine="14"/>
        <w:jc w:val="both"/>
      </w:pPr>
      <w:r>
        <w:rPr>
          <w:color w:val="221F1F"/>
        </w:rPr>
        <w:t>Pursuant</w:t>
      </w:r>
      <w:r>
        <w:rPr>
          <w:color w:val="221F1F"/>
          <w:spacing w:val="-5"/>
        </w:rPr>
        <w:t xml:space="preserve"> </w:t>
      </w:r>
      <w:r>
        <w:rPr>
          <w:color w:val="221F1F"/>
        </w:rPr>
        <w:t>to</w:t>
      </w:r>
      <w:r>
        <w:rPr>
          <w:color w:val="221F1F"/>
          <w:spacing w:val="-6"/>
        </w:rPr>
        <w:t xml:space="preserve"> </w:t>
      </w:r>
      <w:r>
        <w:rPr>
          <w:color w:val="221F1F"/>
        </w:rPr>
        <w:t>paragraph</w:t>
      </w:r>
      <w:r>
        <w:rPr>
          <w:color w:val="221F1F"/>
          <w:spacing w:val="-6"/>
        </w:rPr>
        <w:t xml:space="preserve"> </w:t>
      </w:r>
      <w:r>
        <w:rPr>
          <w:color w:val="221F1F"/>
        </w:rPr>
        <w:t>2.2(e).</w:t>
      </w:r>
      <w:r>
        <w:rPr>
          <w:color w:val="221F1F"/>
          <w:spacing w:val="-5"/>
        </w:rPr>
        <w:t xml:space="preserve"> </w:t>
      </w:r>
      <w:r>
        <w:rPr>
          <w:color w:val="221F1F"/>
        </w:rPr>
        <w:t>of</w:t>
      </w:r>
      <w:r>
        <w:rPr>
          <w:color w:val="221F1F"/>
          <w:spacing w:val="-5"/>
        </w:rPr>
        <w:t xml:space="preserve"> </w:t>
      </w:r>
      <w:r>
        <w:rPr>
          <w:color w:val="221F1F"/>
        </w:rPr>
        <w:t>Appendix</w:t>
      </w:r>
      <w:r>
        <w:rPr>
          <w:color w:val="221F1F"/>
          <w:spacing w:val="-6"/>
        </w:rPr>
        <w:t xml:space="preserve"> </w:t>
      </w:r>
      <w:r>
        <w:rPr>
          <w:color w:val="221F1F"/>
        </w:rPr>
        <w:t>B</w:t>
      </w:r>
      <w:r>
        <w:rPr>
          <w:color w:val="221F1F"/>
          <w:spacing w:val="-7"/>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General</w:t>
      </w:r>
      <w:r>
        <w:rPr>
          <w:color w:val="221F1F"/>
          <w:spacing w:val="-4"/>
        </w:rPr>
        <w:t xml:space="preserve"> </w:t>
      </w:r>
      <w:r>
        <w:rPr>
          <w:color w:val="221F1F"/>
        </w:rPr>
        <w:t>Conditions,</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permit</w:t>
      </w:r>
      <w:r>
        <w:rPr>
          <w:color w:val="221F1F"/>
          <w:spacing w:val="-5"/>
        </w:rPr>
        <w:t xml:space="preserve"> </w:t>
      </w:r>
      <w:r>
        <w:rPr>
          <w:color w:val="221F1F"/>
        </w:rPr>
        <w:t>and</w:t>
      </w:r>
      <w:r>
        <w:rPr>
          <w:color w:val="221F1F"/>
          <w:spacing w:val="-6"/>
        </w:rPr>
        <w:t xml:space="preserve"> </w:t>
      </w:r>
      <w:r>
        <w:rPr>
          <w:color w:val="221F1F"/>
        </w:rPr>
        <w:t>shall cause its subcontractors and sub-consultants to permit, the Public Procurement Regulatory Authority, Procuring Entity and/or persons appointed or designated by the Government of Kenya to inspect the Site and/or</w:t>
      </w:r>
      <w:r>
        <w:rPr>
          <w:color w:val="221F1F"/>
          <w:spacing w:val="-6"/>
        </w:rPr>
        <w:t xml:space="preserve"> </w:t>
      </w:r>
      <w:r>
        <w:rPr>
          <w:color w:val="221F1F"/>
        </w:rPr>
        <w:t>the</w:t>
      </w:r>
      <w:r>
        <w:rPr>
          <w:color w:val="221F1F"/>
          <w:spacing w:val="-6"/>
        </w:rPr>
        <w:t xml:space="preserve"> </w:t>
      </w:r>
      <w:r>
        <w:rPr>
          <w:color w:val="221F1F"/>
        </w:rPr>
        <w:t>accounts</w:t>
      </w:r>
      <w:r>
        <w:rPr>
          <w:color w:val="221F1F"/>
          <w:spacing w:val="-4"/>
        </w:rPr>
        <w:t xml:space="preserve"> </w:t>
      </w:r>
      <w:r>
        <w:rPr>
          <w:color w:val="221F1F"/>
        </w:rPr>
        <w:t>and</w:t>
      </w:r>
      <w:r>
        <w:rPr>
          <w:color w:val="221F1F"/>
          <w:spacing w:val="-5"/>
        </w:rPr>
        <w:t xml:space="preserve"> </w:t>
      </w:r>
      <w:r>
        <w:rPr>
          <w:color w:val="221F1F"/>
        </w:rPr>
        <w:t>records</w:t>
      </w:r>
      <w:r>
        <w:rPr>
          <w:color w:val="221F1F"/>
          <w:spacing w:val="-6"/>
        </w:rPr>
        <w:t xml:space="preserve"> </w:t>
      </w:r>
      <w:r>
        <w:rPr>
          <w:color w:val="221F1F"/>
        </w:rPr>
        <w:t>relating</w:t>
      </w:r>
      <w:r>
        <w:rPr>
          <w:color w:val="221F1F"/>
          <w:spacing w:val="-6"/>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procurement</w:t>
      </w:r>
      <w:r>
        <w:rPr>
          <w:color w:val="221F1F"/>
          <w:spacing w:val="-3"/>
        </w:rPr>
        <w:t xml:space="preserve"> </w:t>
      </w:r>
      <w:r>
        <w:rPr>
          <w:color w:val="221F1F"/>
        </w:rPr>
        <w:t>process,</w:t>
      </w:r>
      <w:r>
        <w:rPr>
          <w:color w:val="221F1F"/>
          <w:spacing w:val="-7"/>
        </w:rPr>
        <w:t xml:space="preserve"> </w:t>
      </w:r>
      <w:r>
        <w:rPr>
          <w:color w:val="221F1F"/>
        </w:rPr>
        <w:t>selection</w:t>
      </w:r>
      <w:r>
        <w:rPr>
          <w:color w:val="221F1F"/>
          <w:spacing w:val="-4"/>
        </w:rPr>
        <w:t xml:space="preserve"> </w:t>
      </w:r>
      <w:r>
        <w:rPr>
          <w:color w:val="221F1F"/>
        </w:rPr>
        <w:t>and/or</w:t>
      </w:r>
      <w:r>
        <w:rPr>
          <w:color w:val="221F1F"/>
          <w:spacing w:val="-5"/>
        </w:rPr>
        <w:t xml:space="preserve"> </w:t>
      </w:r>
      <w:r>
        <w:rPr>
          <w:color w:val="221F1F"/>
        </w:rPr>
        <w:t>contract</w:t>
      </w:r>
      <w:r>
        <w:rPr>
          <w:color w:val="221F1F"/>
          <w:spacing w:val="-5"/>
        </w:rPr>
        <w:t xml:space="preserve"> </w:t>
      </w:r>
      <w:r>
        <w:rPr>
          <w:color w:val="221F1F"/>
        </w:rPr>
        <w:t>execution,</w:t>
      </w:r>
      <w:r>
        <w:rPr>
          <w:color w:val="221F1F"/>
          <w:spacing w:val="-7"/>
        </w:rPr>
        <w:t xml:space="preserve"> </w:t>
      </w:r>
      <w:r>
        <w:rPr>
          <w:color w:val="221F1F"/>
        </w:rPr>
        <w:t>and to have such</w:t>
      </w:r>
      <w:r>
        <w:rPr>
          <w:color w:val="221F1F"/>
          <w:spacing w:val="-1"/>
        </w:rPr>
        <w:t xml:space="preserve"> </w:t>
      </w:r>
      <w:r>
        <w:rPr>
          <w:color w:val="221F1F"/>
        </w:rPr>
        <w:t>accounts and records audited by auditors appointed by the Procuring Entity if requested by the Procuring Entity. The Contractor's and its Subcontractors' and sub-consultants' attention is drawn to Sub-Clause 15.6 (Fraud and Corruption) which provides, inter alia, that acts intended to materially impede the exercise</w:t>
      </w:r>
      <w:r>
        <w:rPr>
          <w:color w:val="221F1F"/>
          <w:spacing w:val="-14"/>
        </w:rPr>
        <w:t xml:space="preserve"> </w:t>
      </w:r>
      <w:proofErr w:type="spellStart"/>
      <w:r>
        <w:rPr>
          <w:color w:val="221F1F"/>
        </w:rPr>
        <w:t>ofthe</w:t>
      </w:r>
      <w:proofErr w:type="spellEnd"/>
      <w:r>
        <w:rPr>
          <w:color w:val="221F1F"/>
          <w:spacing w:val="-14"/>
        </w:rPr>
        <w:t xml:space="preserve"> </w:t>
      </w:r>
      <w:r>
        <w:rPr>
          <w:color w:val="221F1F"/>
        </w:rPr>
        <w:t>Procuring</w:t>
      </w:r>
      <w:r>
        <w:rPr>
          <w:color w:val="221F1F"/>
          <w:spacing w:val="-14"/>
        </w:rPr>
        <w:t xml:space="preserve"> </w:t>
      </w:r>
      <w:r>
        <w:rPr>
          <w:color w:val="221F1F"/>
        </w:rPr>
        <w:t>Entity's</w:t>
      </w:r>
      <w:r>
        <w:rPr>
          <w:color w:val="221F1F"/>
          <w:spacing w:val="-13"/>
        </w:rPr>
        <w:t xml:space="preserve"> </w:t>
      </w:r>
      <w:r>
        <w:rPr>
          <w:color w:val="221F1F"/>
        </w:rPr>
        <w:t>inspection</w:t>
      </w:r>
      <w:r>
        <w:rPr>
          <w:color w:val="221F1F"/>
          <w:spacing w:val="-14"/>
        </w:rPr>
        <w:t xml:space="preserve"> </w:t>
      </w:r>
      <w:r>
        <w:rPr>
          <w:color w:val="221F1F"/>
        </w:rPr>
        <w:t>and</w:t>
      </w:r>
      <w:r>
        <w:rPr>
          <w:color w:val="221F1F"/>
          <w:spacing w:val="-14"/>
        </w:rPr>
        <w:t xml:space="preserve"> </w:t>
      </w:r>
      <w:r>
        <w:rPr>
          <w:color w:val="221F1F"/>
        </w:rPr>
        <w:t>audit</w:t>
      </w:r>
      <w:r>
        <w:rPr>
          <w:color w:val="221F1F"/>
          <w:spacing w:val="-14"/>
        </w:rPr>
        <w:t xml:space="preserve"> </w:t>
      </w:r>
      <w:r>
        <w:rPr>
          <w:color w:val="221F1F"/>
        </w:rPr>
        <w:t>rights</w:t>
      </w:r>
      <w:r>
        <w:rPr>
          <w:color w:val="221F1F"/>
          <w:spacing w:val="-13"/>
        </w:rPr>
        <w:t xml:space="preserve"> </w:t>
      </w:r>
      <w:r>
        <w:rPr>
          <w:color w:val="221F1F"/>
        </w:rPr>
        <w:t>constitute</w:t>
      </w:r>
      <w:r>
        <w:rPr>
          <w:color w:val="221F1F"/>
          <w:spacing w:val="-14"/>
        </w:rPr>
        <w:t xml:space="preserve"> </w:t>
      </w:r>
      <w:r>
        <w:rPr>
          <w:color w:val="221F1F"/>
        </w:rPr>
        <w:t>a</w:t>
      </w:r>
      <w:r>
        <w:rPr>
          <w:color w:val="221F1F"/>
          <w:spacing w:val="-14"/>
        </w:rPr>
        <w:t xml:space="preserve"> </w:t>
      </w:r>
      <w:r>
        <w:rPr>
          <w:color w:val="221F1F"/>
        </w:rPr>
        <w:t>prohibited</w:t>
      </w:r>
      <w:r>
        <w:rPr>
          <w:color w:val="221F1F"/>
          <w:spacing w:val="-14"/>
        </w:rPr>
        <w:t xml:space="preserve"> </w:t>
      </w:r>
      <w:r>
        <w:rPr>
          <w:color w:val="221F1F"/>
        </w:rPr>
        <w:t>practice</w:t>
      </w:r>
      <w:r>
        <w:rPr>
          <w:color w:val="221F1F"/>
          <w:spacing w:val="-13"/>
        </w:rPr>
        <w:t xml:space="preserve"> </w:t>
      </w:r>
      <w:r>
        <w:rPr>
          <w:color w:val="221F1F"/>
        </w:rPr>
        <w:t>subject</w:t>
      </w:r>
      <w:r>
        <w:rPr>
          <w:color w:val="221F1F"/>
          <w:spacing w:val="-14"/>
        </w:rPr>
        <w:t xml:space="preserve"> </w:t>
      </w:r>
      <w:r>
        <w:rPr>
          <w:color w:val="221F1F"/>
        </w:rPr>
        <w:t>to</w:t>
      </w:r>
      <w:r>
        <w:rPr>
          <w:color w:val="221F1F"/>
          <w:spacing w:val="-14"/>
        </w:rPr>
        <w:t xml:space="preserve"> </w:t>
      </w:r>
      <w:r>
        <w:rPr>
          <w:color w:val="221F1F"/>
        </w:rPr>
        <w:t>contract termination (as well as to a determination of in eligibility pursuant to the Procuring Entity's prevailing sanctions procedures).</w:t>
      </w:r>
    </w:p>
    <w:p w:rsidR="007F6DF9" w:rsidRDefault="007F6DF9">
      <w:pPr>
        <w:pStyle w:val="BodyText"/>
      </w:pPr>
    </w:p>
    <w:p w:rsidR="007F6DF9" w:rsidRDefault="007F6DF9">
      <w:pPr>
        <w:pStyle w:val="BodyText"/>
      </w:pPr>
    </w:p>
    <w:p w:rsidR="007F6DF9" w:rsidRDefault="00A43FBC">
      <w:pPr>
        <w:pStyle w:val="Heading8"/>
        <w:numPr>
          <w:ilvl w:val="0"/>
          <w:numId w:val="122"/>
        </w:numPr>
        <w:tabs>
          <w:tab w:val="left" w:pos="1378"/>
        </w:tabs>
        <w:ind w:left="1378" w:hanging="670"/>
      </w:pPr>
      <w:bookmarkStart w:id="54" w:name="_bookmark52"/>
      <w:bookmarkEnd w:id="54"/>
      <w:r>
        <w:rPr>
          <w:color w:val="221F1F"/>
        </w:rPr>
        <w:t>THE</w:t>
      </w:r>
      <w:r>
        <w:rPr>
          <w:color w:val="221F1F"/>
          <w:spacing w:val="-6"/>
        </w:rPr>
        <w:t xml:space="preserve"> </w:t>
      </w:r>
      <w:r>
        <w:rPr>
          <w:color w:val="221F1F"/>
        </w:rPr>
        <w:t>PROCURING</w:t>
      </w:r>
      <w:r>
        <w:rPr>
          <w:color w:val="221F1F"/>
          <w:spacing w:val="-3"/>
        </w:rPr>
        <w:t xml:space="preserve"> </w:t>
      </w:r>
      <w:r>
        <w:rPr>
          <w:color w:val="221F1F"/>
          <w:spacing w:val="-2"/>
        </w:rPr>
        <w:t>ENTITY</w:t>
      </w:r>
    </w:p>
    <w:p w:rsidR="007F6DF9" w:rsidRDefault="00A43FBC">
      <w:pPr>
        <w:pStyle w:val="Heading9"/>
        <w:numPr>
          <w:ilvl w:val="1"/>
          <w:numId w:val="122"/>
        </w:numPr>
        <w:tabs>
          <w:tab w:val="left" w:pos="1378"/>
        </w:tabs>
        <w:spacing w:before="236"/>
        <w:ind w:left="1378" w:hanging="670"/>
        <w:rPr>
          <w:color w:val="221F1F"/>
        </w:rPr>
      </w:pPr>
      <w:r>
        <w:rPr>
          <w:color w:val="221F1F"/>
        </w:rPr>
        <w:t>Right</w:t>
      </w:r>
      <w:r>
        <w:rPr>
          <w:color w:val="221F1F"/>
          <w:spacing w:val="-5"/>
        </w:rPr>
        <w:t xml:space="preserve"> </w:t>
      </w:r>
      <w:r>
        <w:rPr>
          <w:color w:val="221F1F"/>
        </w:rPr>
        <w:t>of</w:t>
      </w:r>
      <w:r>
        <w:rPr>
          <w:color w:val="221F1F"/>
          <w:spacing w:val="-1"/>
        </w:rPr>
        <w:t xml:space="preserve"> </w:t>
      </w:r>
      <w:r>
        <w:rPr>
          <w:color w:val="221F1F"/>
        </w:rPr>
        <w:t>Access</w:t>
      </w:r>
      <w:r>
        <w:rPr>
          <w:color w:val="221F1F"/>
          <w:spacing w:val="-5"/>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spacing w:val="-4"/>
        </w:rPr>
        <w:t>Site</w:t>
      </w:r>
    </w:p>
    <w:p w:rsidR="007F6DF9" w:rsidRDefault="00A43FBC">
      <w:pPr>
        <w:pStyle w:val="ListParagraph"/>
        <w:numPr>
          <w:ilvl w:val="2"/>
          <w:numId w:val="122"/>
        </w:numPr>
        <w:tabs>
          <w:tab w:val="left" w:pos="1375"/>
          <w:tab w:val="left" w:pos="1378"/>
        </w:tabs>
        <w:spacing w:before="243" w:line="230" w:lineRule="auto"/>
        <w:ind w:left="1378" w:right="558" w:hanging="671"/>
        <w:jc w:val="both"/>
        <w:rPr>
          <w:color w:val="221F1F"/>
        </w:rPr>
      </w:pP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shall</w:t>
      </w:r>
      <w:r>
        <w:rPr>
          <w:color w:val="221F1F"/>
          <w:spacing w:val="-11"/>
        </w:rPr>
        <w:t xml:space="preserve"> </w:t>
      </w:r>
      <w:r>
        <w:rPr>
          <w:color w:val="221F1F"/>
        </w:rPr>
        <w:t>give</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7"/>
        </w:rPr>
        <w:t xml:space="preserve"> </w:t>
      </w:r>
      <w:r>
        <w:rPr>
          <w:color w:val="221F1F"/>
        </w:rPr>
        <w:t>right</w:t>
      </w:r>
      <w:r>
        <w:rPr>
          <w:color w:val="221F1F"/>
          <w:spacing w:val="-7"/>
        </w:rPr>
        <w:t xml:space="preserve"> </w:t>
      </w:r>
      <w:r>
        <w:rPr>
          <w:color w:val="221F1F"/>
        </w:rPr>
        <w:t>of</w:t>
      </w:r>
      <w:r>
        <w:rPr>
          <w:color w:val="221F1F"/>
          <w:spacing w:val="-12"/>
        </w:rPr>
        <w:t xml:space="preserve"> </w:t>
      </w:r>
      <w:r>
        <w:rPr>
          <w:color w:val="221F1F"/>
        </w:rPr>
        <w:t>access</w:t>
      </w:r>
      <w:r>
        <w:rPr>
          <w:color w:val="221F1F"/>
          <w:spacing w:val="-9"/>
        </w:rPr>
        <w:t xml:space="preserve"> </w:t>
      </w:r>
      <w:r>
        <w:rPr>
          <w:color w:val="221F1F"/>
        </w:rPr>
        <w:t>to,</w:t>
      </w:r>
      <w:r>
        <w:rPr>
          <w:color w:val="221F1F"/>
          <w:spacing w:val="-8"/>
        </w:rPr>
        <w:t xml:space="preserve"> </w:t>
      </w:r>
      <w:r>
        <w:rPr>
          <w:color w:val="221F1F"/>
        </w:rPr>
        <w:t>and</w:t>
      </w:r>
      <w:r>
        <w:rPr>
          <w:color w:val="221F1F"/>
          <w:spacing w:val="-9"/>
        </w:rPr>
        <w:t xml:space="preserve"> </w:t>
      </w:r>
      <w:r>
        <w:rPr>
          <w:color w:val="221F1F"/>
        </w:rPr>
        <w:t>possession</w:t>
      </w:r>
      <w:r>
        <w:rPr>
          <w:color w:val="221F1F"/>
          <w:spacing w:val="-8"/>
        </w:rPr>
        <w:t xml:space="preserve"> </w:t>
      </w:r>
      <w:r>
        <w:rPr>
          <w:color w:val="221F1F"/>
        </w:rPr>
        <w:t>of,</w:t>
      </w:r>
      <w:r>
        <w:rPr>
          <w:color w:val="221F1F"/>
          <w:spacing w:val="-8"/>
        </w:rPr>
        <w:t xml:space="preserve"> </w:t>
      </w:r>
      <w:r>
        <w:rPr>
          <w:color w:val="221F1F"/>
        </w:rPr>
        <w:t>all</w:t>
      </w:r>
      <w:r>
        <w:rPr>
          <w:color w:val="221F1F"/>
          <w:spacing w:val="-7"/>
        </w:rPr>
        <w:t xml:space="preserve"> </w:t>
      </w:r>
      <w:r>
        <w:rPr>
          <w:color w:val="221F1F"/>
        </w:rPr>
        <w:t>parts</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Site</w:t>
      </w:r>
      <w:r>
        <w:rPr>
          <w:color w:val="221F1F"/>
          <w:spacing w:val="-8"/>
        </w:rPr>
        <w:t xml:space="preserve"> </w:t>
      </w:r>
      <w:r>
        <w:rPr>
          <w:color w:val="221F1F"/>
        </w:rPr>
        <w:t xml:space="preserve">within </w:t>
      </w:r>
      <w:proofErr w:type="spellStart"/>
      <w:r>
        <w:rPr>
          <w:color w:val="221F1F"/>
        </w:rPr>
        <w:t>thetime</w:t>
      </w:r>
      <w:proofErr w:type="spellEnd"/>
      <w:r>
        <w:rPr>
          <w:color w:val="221F1F"/>
        </w:rPr>
        <w:t xml:space="preserve"> (or times) stated in the </w:t>
      </w:r>
      <w:r>
        <w:rPr>
          <w:b/>
          <w:color w:val="221F1F"/>
        </w:rPr>
        <w:t xml:space="preserve">Special Conditions of Contract. </w:t>
      </w:r>
      <w:r>
        <w:rPr>
          <w:color w:val="221F1F"/>
        </w:rPr>
        <w:t>The right and possession may not be exclusive</w:t>
      </w:r>
      <w:r>
        <w:rPr>
          <w:color w:val="221F1F"/>
          <w:spacing w:val="-5"/>
        </w:rPr>
        <w:t xml:space="preserve"> </w:t>
      </w:r>
      <w:r>
        <w:rPr>
          <w:color w:val="221F1F"/>
        </w:rPr>
        <w:t>to</w:t>
      </w:r>
      <w:r>
        <w:rPr>
          <w:color w:val="221F1F"/>
          <w:spacing w:val="-9"/>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If,</w:t>
      </w:r>
      <w:r>
        <w:rPr>
          <w:color w:val="221F1F"/>
          <w:spacing w:val="-6"/>
        </w:rPr>
        <w:t xml:space="preserve"> </w:t>
      </w:r>
      <w:r>
        <w:rPr>
          <w:color w:val="221F1F"/>
        </w:rPr>
        <w:t>under</w:t>
      </w:r>
      <w:r>
        <w:rPr>
          <w:color w:val="221F1F"/>
          <w:spacing w:val="-7"/>
        </w:rPr>
        <w:t xml:space="preserve"> </w:t>
      </w:r>
      <w:r>
        <w:rPr>
          <w:color w:val="221F1F"/>
        </w:rPr>
        <w:t>the</w:t>
      </w:r>
      <w:r>
        <w:rPr>
          <w:color w:val="221F1F"/>
          <w:spacing w:val="-6"/>
        </w:rPr>
        <w:t xml:space="preserve"> </w:t>
      </w:r>
      <w:r>
        <w:rPr>
          <w:color w:val="221F1F"/>
        </w:rPr>
        <w:t>Contract,</w:t>
      </w:r>
      <w:r>
        <w:rPr>
          <w:color w:val="221F1F"/>
          <w:spacing w:val="-8"/>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8"/>
        </w:rPr>
        <w:t xml:space="preserve"> </w:t>
      </w:r>
      <w:r>
        <w:rPr>
          <w:color w:val="221F1F"/>
        </w:rPr>
        <w:t>is</w:t>
      </w:r>
      <w:r>
        <w:rPr>
          <w:color w:val="221F1F"/>
          <w:spacing w:val="-6"/>
        </w:rPr>
        <w:t xml:space="preserve"> </w:t>
      </w:r>
      <w:r>
        <w:rPr>
          <w:color w:val="221F1F"/>
        </w:rPr>
        <w:t>required</w:t>
      </w:r>
      <w:r>
        <w:rPr>
          <w:color w:val="221F1F"/>
          <w:spacing w:val="-8"/>
        </w:rPr>
        <w:t xml:space="preserve"> </w:t>
      </w:r>
      <w:r>
        <w:rPr>
          <w:color w:val="221F1F"/>
        </w:rPr>
        <w:t>to</w:t>
      </w:r>
      <w:r>
        <w:rPr>
          <w:color w:val="221F1F"/>
          <w:spacing w:val="-6"/>
        </w:rPr>
        <w:t xml:space="preserve"> </w:t>
      </w:r>
      <w:r>
        <w:rPr>
          <w:color w:val="221F1F"/>
        </w:rPr>
        <w:t>give</w:t>
      </w:r>
      <w:r>
        <w:rPr>
          <w:color w:val="221F1F"/>
          <w:spacing w:val="-5"/>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 xml:space="preserve">Contractor) possession </w:t>
      </w:r>
      <w:proofErr w:type="spellStart"/>
      <w:r>
        <w:rPr>
          <w:color w:val="221F1F"/>
        </w:rPr>
        <w:t>ofanyfoundation</w:t>
      </w:r>
      <w:proofErr w:type="spellEnd"/>
      <w:r>
        <w:rPr>
          <w:color w:val="221F1F"/>
        </w:rPr>
        <w:t>, structure, plant or means of access, the Procuring Entity shall do so in the time and manner stated in the Specification. However, the Procuring Entity may withhold any such right or possession until the Performance Security has been received.</w:t>
      </w:r>
    </w:p>
    <w:p w:rsidR="007F6DF9" w:rsidRDefault="00A43FBC">
      <w:pPr>
        <w:pStyle w:val="ListParagraph"/>
        <w:numPr>
          <w:ilvl w:val="2"/>
          <w:numId w:val="122"/>
        </w:numPr>
        <w:tabs>
          <w:tab w:val="left" w:pos="1375"/>
          <w:tab w:val="left" w:pos="1378"/>
        </w:tabs>
        <w:spacing w:before="247" w:line="230" w:lineRule="auto"/>
        <w:ind w:left="1378" w:right="555" w:hanging="671"/>
        <w:jc w:val="both"/>
        <w:rPr>
          <w:color w:val="221F1F"/>
        </w:rPr>
      </w:pPr>
      <w:r>
        <w:rPr>
          <w:color w:val="221F1F"/>
        </w:rPr>
        <w:t>If</w:t>
      </w:r>
      <w:r>
        <w:rPr>
          <w:color w:val="221F1F"/>
          <w:spacing w:val="-1"/>
        </w:rPr>
        <w:t xml:space="preserve"> </w:t>
      </w:r>
      <w:r>
        <w:rPr>
          <w:color w:val="221F1F"/>
        </w:rPr>
        <w:t>no</w:t>
      </w:r>
      <w:r>
        <w:rPr>
          <w:color w:val="221F1F"/>
          <w:spacing w:val="-1"/>
        </w:rPr>
        <w:t xml:space="preserve"> </w:t>
      </w:r>
      <w:r>
        <w:rPr>
          <w:color w:val="221F1F"/>
        </w:rPr>
        <w:t>such</w:t>
      </w:r>
      <w:r>
        <w:rPr>
          <w:color w:val="221F1F"/>
          <w:spacing w:val="-1"/>
        </w:rPr>
        <w:t xml:space="preserve"> </w:t>
      </w:r>
      <w:r>
        <w:rPr>
          <w:color w:val="221F1F"/>
        </w:rPr>
        <w:t>time</w:t>
      </w:r>
      <w:r>
        <w:rPr>
          <w:color w:val="221F1F"/>
          <w:spacing w:val="-1"/>
        </w:rPr>
        <w:t xml:space="preserve"> </w:t>
      </w:r>
      <w:r>
        <w:rPr>
          <w:color w:val="221F1F"/>
        </w:rPr>
        <w:t>is</w:t>
      </w:r>
      <w:r>
        <w:rPr>
          <w:color w:val="221F1F"/>
          <w:spacing w:val="-1"/>
        </w:rPr>
        <w:t xml:space="preserve"> </w:t>
      </w:r>
      <w:r>
        <w:rPr>
          <w:color w:val="221F1F"/>
        </w:rPr>
        <w:t>stated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r>
        <w:rPr>
          <w:color w:val="221F1F"/>
          <w:spacing w:val="-1"/>
        </w:rPr>
        <w:t xml:space="preserve"> </w:t>
      </w:r>
      <w:r>
        <w:rPr>
          <w:color w:val="221F1F"/>
        </w:rPr>
        <w:t>of Contract,</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 give</w:t>
      </w:r>
      <w:r>
        <w:rPr>
          <w:color w:val="221F1F"/>
          <w:spacing w:val="-1"/>
        </w:rPr>
        <w:t xml:space="preserve"> </w:t>
      </w:r>
      <w:r>
        <w:rPr>
          <w:color w:val="221F1F"/>
        </w:rPr>
        <w:t>the</w:t>
      </w:r>
      <w:r>
        <w:rPr>
          <w:color w:val="221F1F"/>
          <w:spacing w:val="-1"/>
        </w:rPr>
        <w:t xml:space="preserve"> </w:t>
      </w:r>
      <w:r>
        <w:rPr>
          <w:color w:val="221F1F"/>
        </w:rPr>
        <w:t>Contractor right</w:t>
      </w:r>
      <w:r>
        <w:rPr>
          <w:color w:val="221F1F"/>
          <w:spacing w:val="-9"/>
        </w:rPr>
        <w:t xml:space="preserve"> </w:t>
      </w:r>
      <w:r>
        <w:rPr>
          <w:color w:val="221F1F"/>
        </w:rPr>
        <w:t>of</w:t>
      </w:r>
      <w:r>
        <w:rPr>
          <w:color w:val="221F1F"/>
          <w:spacing w:val="-12"/>
        </w:rPr>
        <w:t xml:space="preserve"> </w:t>
      </w:r>
      <w:r>
        <w:rPr>
          <w:color w:val="221F1F"/>
        </w:rPr>
        <w:t>access</w:t>
      </w:r>
      <w:r>
        <w:rPr>
          <w:color w:val="221F1F"/>
          <w:spacing w:val="-12"/>
        </w:rPr>
        <w:t xml:space="preserve"> </w:t>
      </w:r>
      <w:r>
        <w:rPr>
          <w:color w:val="221F1F"/>
        </w:rPr>
        <w:t>to,</w:t>
      </w:r>
      <w:r>
        <w:rPr>
          <w:color w:val="221F1F"/>
          <w:spacing w:val="-11"/>
        </w:rPr>
        <w:t xml:space="preserve"> </w:t>
      </w:r>
      <w:r>
        <w:rPr>
          <w:color w:val="221F1F"/>
        </w:rPr>
        <w:t>and</w:t>
      </w:r>
      <w:r>
        <w:rPr>
          <w:color w:val="221F1F"/>
          <w:spacing w:val="-10"/>
        </w:rPr>
        <w:t xml:space="preserve"> </w:t>
      </w:r>
      <w:r>
        <w:rPr>
          <w:color w:val="221F1F"/>
        </w:rPr>
        <w:t>possession</w:t>
      </w:r>
      <w:r>
        <w:rPr>
          <w:color w:val="221F1F"/>
          <w:spacing w:val="-10"/>
        </w:rPr>
        <w:t xml:space="preserve"> </w:t>
      </w:r>
      <w:r>
        <w:rPr>
          <w:color w:val="221F1F"/>
        </w:rPr>
        <w:t>of,</w:t>
      </w:r>
      <w:r>
        <w:rPr>
          <w:color w:val="221F1F"/>
          <w:spacing w:val="-13"/>
        </w:rPr>
        <w:t xml:space="preserve"> </w:t>
      </w:r>
      <w:r>
        <w:rPr>
          <w:color w:val="221F1F"/>
        </w:rPr>
        <w:t>the</w:t>
      </w:r>
      <w:r>
        <w:rPr>
          <w:color w:val="221F1F"/>
          <w:spacing w:val="-10"/>
        </w:rPr>
        <w:t xml:space="preserve"> </w:t>
      </w:r>
      <w:r>
        <w:rPr>
          <w:color w:val="221F1F"/>
        </w:rPr>
        <w:t>Site</w:t>
      </w:r>
      <w:r>
        <w:rPr>
          <w:color w:val="221F1F"/>
          <w:spacing w:val="-10"/>
        </w:rPr>
        <w:t xml:space="preserve"> </w:t>
      </w:r>
      <w:r>
        <w:rPr>
          <w:color w:val="221F1F"/>
        </w:rPr>
        <w:t>within</w:t>
      </w:r>
      <w:r>
        <w:rPr>
          <w:color w:val="221F1F"/>
          <w:spacing w:val="-10"/>
        </w:rPr>
        <w:t xml:space="preserve"> </w:t>
      </w:r>
      <w:r>
        <w:rPr>
          <w:color w:val="221F1F"/>
        </w:rPr>
        <w:t>such</w:t>
      </w:r>
      <w:r>
        <w:rPr>
          <w:color w:val="221F1F"/>
          <w:spacing w:val="-10"/>
        </w:rPr>
        <w:t xml:space="preserve"> </w:t>
      </w:r>
      <w:r>
        <w:rPr>
          <w:color w:val="221F1F"/>
        </w:rPr>
        <w:t>times</w:t>
      </w:r>
      <w:r>
        <w:rPr>
          <w:color w:val="221F1F"/>
          <w:spacing w:val="-12"/>
        </w:rPr>
        <w:t xml:space="preserve"> </w:t>
      </w:r>
      <w:r>
        <w:rPr>
          <w:color w:val="221F1F"/>
        </w:rPr>
        <w:t>as</w:t>
      </w:r>
      <w:r>
        <w:rPr>
          <w:color w:val="221F1F"/>
          <w:spacing w:val="-10"/>
        </w:rPr>
        <w:t xml:space="preserve"> </w:t>
      </w:r>
      <w:r>
        <w:rPr>
          <w:color w:val="221F1F"/>
        </w:rPr>
        <w:t>required</w:t>
      </w:r>
      <w:r>
        <w:rPr>
          <w:color w:val="221F1F"/>
          <w:spacing w:val="-13"/>
        </w:rPr>
        <w:t xml:space="preserve"> </w:t>
      </w:r>
      <w:r>
        <w:rPr>
          <w:color w:val="221F1F"/>
        </w:rPr>
        <w:t>to</w:t>
      </w:r>
      <w:r>
        <w:rPr>
          <w:color w:val="221F1F"/>
          <w:spacing w:val="-11"/>
        </w:rPr>
        <w:t xml:space="preserve"> </w:t>
      </w:r>
      <w:r>
        <w:rPr>
          <w:color w:val="221F1F"/>
        </w:rPr>
        <w:t>enable</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9"/>
        </w:rPr>
        <w:t xml:space="preserve"> </w:t>
      </w:r>
      <w:r>
        <w:rPr>
          <w:color w:val="221F1F"/>
        </w:rPr>
        <w:t>to</w:t>
      </w:r>
      <w:r>
        <w:rPr>
          <w:color w:val="221F1F"/>
          <w:spacing w:val="-11"/>
        </w:rPr>
        <w:t xml:space="preserve"> </w:t>
      </w:r>
      <w:r>
        <w:rPr>
          <w:color w:val="221F1F"/>
        </w:rPr>
        <w:t xml:space="preserve">proceed without disruption in accordance with the </w:t>
      </w:r>
      <w:proofErr w:type="spellStart"/>
      <w:r>
        <w:rPr>
          <w:color w:val="221F1F"/>
        </w:rPr>
        <w:t>programme</w:t>
      </w:r>
      <w:proofErr w:type="spellEnd"/>
      <w:r>
        <w:rPr>
          <w:color w:val="221F1F"/>
        </w:rPr>
        <w:t xml:space="preserve"> submitted under Sub-Clause 8.3 [</w:t>
      </w:r>
      <w:proofErr w:type="spellStart"/>
      <w:r>
        <w:rPr>
          <w:color w:val="221F1F"/>
        </w:rPr>
        <w:t>Programme</w:t>
      </w:r>
      <w:proofErr w:type="spellEnd"/>
      <w:r>
        <w:rPr>
          <w:color w:val="221F1F"/>
        </w:rPr>
        <w:t>].</w:t>
      </w:r>
    </w:p>
    <w:p w:rsidR="007F6DF9" w:rsidRDefault="00A43FBC">
      <w:pPr>
        <w:pStyle w:val="ListParagraph"/>
        <w:numPr>
          <w:ilvl w:val="2"/>
          <w:numId w:val="122"/>
        </w:numPr>
        <w:tabs>
          <w:tab w:val="left" w:pos="1375"/>
          <w:tab w:val="left" w:pos="1378"/>
        </w:tabs>
        <w:spacing w:before="244" w:line="230" w:lineRule="auto"/>
        <w:ind w:left="1378" w:right="560" w:hanging="671"/>
        <w:jc w:val="both"/>
        <w:rPr>
          <w:color w:val="221F1F"/>
        </w:rPr>
      </w:pPr>
      <w:r>
        <w:rPr>
          <w:color w:val="221F1F"/>
        </w:rPr>
        <w:t>If the Contractor suffers delay and/or incurs Cost as a result of a failure by the Procuring Entity to give any such</w:t>
      </w:r>
      <w:r>
        <w:rPr>
          <w:color w:val="221F1F"/>
          <w:spacing w:val="-14"/>
        </w:rPr>
        <w:t xml:space="preserve"> </w:t>
      </w:r>
      <w:r>
        <w:rPr>
          <w:color w:val="221F1F"/>
        </w:rPr>
        <w:t>right</w:t>
      </w:r>
      <w:r>
        <w:rPr>
          <w:color w:val="221F1F"/>
          <w:spacing w:val="-13"/>
        </w:rPr>
        <w:t xml:space="preserve"> </w:t>
      </w:r>
      <w:r>
        <w:rPr>
          <w:color w:val="221F1F"/>
        </w:rPr>
        <w:t>or</w:t>
      </w:r>
      <w:r>
        <w:rPr>
          <w:color w:val="221F1F"/>
          <w:spacing w:val="-13"/>
        </w:rPr>
        <w:t xml:space="preserve"> </w:t>
      </w:r>
      <w:r>
        <w:rPr>
          <w:color w:val="221F1F"/>
        </w:rPr>
        <w:t>possession</w:t>
      </w:r>
      <w:r>
        <w:rPr>
          <w:color w:val="221F1F"/>
          <w:spacing w:val="-13"/>
        </w:rPr>
        <w:t xml:space="preserve"> </w:t>
      </w:r>
      <w:r>
        <w:rPr>
          <w:color w:val="221F1F"/>
        </w:rPr>
        <w:t>within</w:t>
      </w:r>
      <w:r>
        <w:rPr>
          <w:color w:val="221F1F"/>
          <w:spacing w:val="-13"/>
        </w:rPr>
        <w:t xml:space="preserve"> </w:t>
      </w:r>
      <w:r>
        <w:rPr>
          <w:color w:val="221F1F"/>
        </w:rPr>
        <w:t>such</w:t>
      </w:r>
      <w:r>
        <w:rPr>
          <w:color w:val="221F1F"/>
          <w:spacing w:val="-13"/>
        </w:rPr>
        <w:t xml:space="preserve"> </w:t>
      </w:r>
      <w:r>
        <w:rPr>
          <w:color w:val="221F1F"/>
        </w:rPr>
        <w:t>time,</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give</w:t>
      </w:r>
      <w:r>
        <w:rPr>
          <w:color w:val="221F1F"/>
          <w:spacing w:val="-13"/>
        </w:rPr>
        <w:t xml:space="preserve"> </w:t>
      </w:r>
      <w:r>
        <w:rPr>
          <w:color w:val="221F1F"/>
        </w:rPr>
        <w:t>notice</w:t>
      </w:r>
      <w:r>
        <w:rPr>
          <w:color w:val="221F1F"/>
          <w:spacing w:val="-13"/>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Architect</w:t>
      </w:r>
      <w:r>
        <w:rPr>
          <w:color w:val="221F1F"/>
          <w:spacing w:val="-12"/>
        </w:rPr>
        <w:t xml:space="preserve"> </w:t>
      </w:r>
      <w:r>
        <w:rPr>
          <w:color w:val="221F1F"/>
        </w:rPr>
        <w:t>and</w:t>
      </w:r>
      <w:r>
        <w:rPr>
          <w:color w:val="221F1F"/>
          <w:spacing w:val="-13"/>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entitled subject to Sub-Clause 20.1 [Contractor's Claims] to:</w:t>
      </w:r>
    </w:p>
    <w:p w:rsidR="007F6DF9" w:rsidRDefault="00A43FBC">
      <w:pPr>
        <w:pStyle w:val="ListParagraph"/>
        <w:numPr>
          <w:ilvl w:val="0"/>
          <w:numId w:val="31"/>
        </w:numPr>
        <w:tabs>
          <w:tab w:val="left" w:pos="1861"/>
          <w:tab w:val="left" w:pos="1863"/>
        </w:tabs>
        <w:spacing w:before="1" w:line="230" w:lineRule="auto"/>
        <w:ind w:right="560"/>
        <w:jc w:val="both"/>
      </w:pPr>
      <w:r>
        <w:rPr>
          <w:color w:val="221F1F"/>
        </w:rPr>
        <w:t>an extension of time for any such delay, if completion is or will be delayed, under Sub-Clause 8.4 [Extension of Time for Completion], and</w:t>
      </w:r>
    </w:p>
    <w:p w:rsidR="007F6DF9" w:rsidRDefault="00A43FBC">
      <w:pPr>
        <w:pStyle w:val="ListParagraph"/>
        <w:numPr>
          <w:ilvl w:val="0"/>
          <w:numId w:val="31"/>
        </w:numPr>
        <w:tabs>
          <w:tab w:val="left" w:pos="1871"/>
        </w:tabs>
        <w:spacing w:line="246" w:lineRule="exact"/>
        <w:ind w:left="1871" w:hanging="493"/>
        <w:jc w:val="both"/>
      </w:pPr>
      <w:r>
        <w:rPr>
          <w:color w:val="221F1F"/>
        </w:rPr>
        <w:t>payment</w:t>
      </w:r>
      <w:r>
        <w:rPr>
          <w:color w:val="221F1F"/>
          <w:spacing w:val="-5"/>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such</w:t>
      </w:r>
      <w:r>
        <w:rPr>
          <w:color w:val="221F1F"/>
          <w:spacing w:val="-3"/>
        </w:rPr>
        <w:t xml:space="preserve"> </w:t>
      </w:r>
      <w:r>
        <w:rPr>
          <w:color w:val="221F1F"/>
        </w:rPr>
        <w:t>Cost-plus</w:t>
      </w:r>
      <w:r>
        <w:rPr>
          <w:color w:val="221F1F"/>
          <w:spacing w:val="-4"/>
        </w:rPr>
        <w:t xml:space="preserve"> </w:t>
      </w:r>
      <w:r>
        <w:rPr>
          <w:color w:val="221F1F"/>
        </w:rPr>
        <w:t>profit,</w:t>
      </w:r>
      <w:r>
        <w:rPr>
          <w:color w:val="221F1F"/>
          <w:spacing w:val="-4"/>
        </w:rPr>
        <w:t xml:space="preserve"> </w:t>
      </w:r>
      <w:r>
        <w:rPr>
          <w:color w:val="221F1F"/>
        </w:rPr>
        <w:t>which</w:t>
      </w:r>
      <w:r>
        <w:rPr>
          <w:color w:val="221F1F"/>
          <w:spacing w:val="-4"/>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included</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Price.</w:t>
      </w:r>
    </w:p>
    <w:p w:rsidR="007F6DF9" w:rsidRDefault="00A43FBC">
      <w:pPr>
        <w:pStyle w:val="ListParagraph"/>
        <w:numPr>
          <w:ilvl w:val="2"/>
          <w:numId w:val="122"/>
        </w:numPr>
        <w:tabs>
          <w:tab w:val="left" w:pos="1375"/>
          <w:tab w:val="left" w:pos="1378"/>
        </w:tabs>
        <w:spacing w:before="242" w:line="230" w:lineRule="auto"/>
        <w:ind w:left="1378" w:right="562" w:hanging="671"/>
        <w:jc w:val="both"/>
        <w:rPr>
          <w:color w:val="221F1F"/>
        </w:rPr>
      </w:pPr>
      <w:r>
        <w:rPr>
          <w:color w:val="221F1F"/>
        </w:rPr>
        <w:t>After receiving this notice, the Architect shall proceed in accordance with Sub-Clause 3.5 [Determinations] to agree or determine these matters.</w:t>
      </w:r>
    </w:p>
    <w:p w:rsidR="007F6DF9" w:rsidRDefault="00A43FBC">
      <w:pPr>
        <w:pStyle w:val="ListParagraph"/>
        <w:numPr>
          <w:ilvl w:val="2"/>
          <w:numId w:val="122"/>
        </w:numPr>
        <w:tabs>
          <w:tab w:val="left" w:pos="1366"/>
          <w:tab w:val="left" w:pos="1369"/>
        </w:tabs>
        <w:spacing w:before="245" w:line="230" w:lineRule="auto"/>
        <w:ind w:left="1369" w:right="570" w:hanging="661"/>
        <w:jc w:val="both"/>
        <w:rPr>
          <w:color w:val="221F1F"/>
        </w:rPr>
      </w:pPr>
      <w:r>
        <w:rPr>
          <w:color w:val="221F1F"/>
        </w:rPr>
        <w:t>However, if and to the extent that the Procuring Entity's failure was caused by any error or delay by the Contractor, including an error in, or delay in the submission of, any of the Contractor's Documents, the Contractor shall not be entitled to such extension of time, Cost or profit.</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09"/>
      </w:pPr>
    </w:p>
    <w:p w:rsidR="007F6DF9" w:rsidRDefault="00A43FBC">
      <w:pPr>
        <w:pStyle w:val="Heading9"/>
        <w:numPr>
          <w:ilvl w:val="1"/>
          <w:numId w:val="122"/>
        </w:numPr>
        <w:tabs>
          <w:tab w:val="left" w:pos="1371"/>
        </w:tabs>
        <w:ind w:left="1371" w:hanging="660"/>
        <w:rPr>
          <w:color w:val="221F1F"/>
        </w:rPr>
      </w:pPr>
      <w:r>
        <w:rPr>
          <w:color w:val="221F1F"/>
        </w:rPr>
        <w:t>Permits,</w:t>
      </w:r>
      <w:r>
        <w:rPr>
          <w:color w:val="221F1F"/>
          <w:spacing w:val="-3"/>
        </w:rPr>
        <w:t xml:space="preserve"> </w:t>
      </w:r>
      <w:r>
        <w:rPr>
          <w:color w:val="221F1F"/>
        </w:rPr>
        <w:t>Licenses</w:t>
      </w:r>
      <w:r>
        <w:rPr>
          <w:color w:val="221F1F"/>
          <w:spacing w:val="-3"/>
        </w:rPr>
        <w:t xml:space="preserve"> </w:t>
      </w:r>
      <w:r>
        <w:rPr>
          <w:color w:val="221F1F"/>
        </w:rPr>
        <w:t>or</w:t>
      </w:r>
      <w:r>
        <w:rPr>
          <w:color w:val="221F1F"/>
          <w:spacing w:val="-3"/>
        </w:rPr>
        <w:t xml:space="preserve"> </w:t>
      </w:r>
      <w:r>
        <w:rPr>
          <w:color w:val="221F1F"/>
          <w:spacing w:val="-2"/>
        </w:rPr>
        <w:t>Approvals</w:t>
      </w:r>
    </w:p>
    <w:p w:rsidR="007F6DF9" w:rsidRDefault="00A43FBC">
      <w:pPr>
        <w:pStyle w:val="ListParagraph"/>
        <w:numPr>
          <w:ilvl w:val="2"/>
          <w:numId w:val="122"/>
        </w:numPr>
        <w:tabs>
          <w:tab w:val="left" w:pos="1371"/>
        </w:tabs>
        <w:spacing w:before="243" w:line="230" w:lineRule="auto"/>
        <w:ind w:left="1371" w:right="761" w:hanging="661"/>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2"/>
        </w:rPr>
        <w:t xml:space="preserve"> </w:t>
      </w:r>
      <w:r>
        <w:rPr>
          <w:color w:val="221F1F"/>
        </w:rPr>
        <w:t>provide,</w:t>
      </w:r>
      <w:r>
        <w:rPr>
          <w:color w:val="221F1F"/>
          <w:spacing w:val="-1"/>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request</w:t>
      </w:r>
      <w:r>
        <w:rPr>
          <w:color w:val="221F1F"/>
          <w:spacing w:val="-2"/>
        </w:rPr>
        <w:t xml:space="preserve"> </w:t>
      </w:r>
      <w:r>
        <w:rPr>
          <w:color w:val="221F1F"/>
        </w:rPr>
        <w:t>of</w:t>
      </w:r>
      <w:r>
        <w:rPr>
          <w:color w:val="221F1F"/>
          <w:spacing w:val="-3"/>
        </w:rPr>
        <w:t xml:space="preserve"> </w:t>
      </w:r>
      <w:r>
        <w:rPr>
          <w:color w:val="221F1F"/>
        </w:rPr>
        <w:t>the Contractor,</w:t>
      </w:r>
      <w:r>
        <w:rPr>
          <w:color w:val="221F1F"/>
          <w:spacing w:val="-3"/>
        </w:rPr>
        <w:t xml:space="preserve"> </w:t>
      </w:r>
      <w:r>
        <w:rPr>
          <w:color w:val="221F1F"/>
        </w:rPr>
        <w:t>such</w:t>
      </w:r>
      <w:r>
        <w:rPr>
          <w:color w:val="221F1F"/>
          <w:spacing w:val="-3"/>
        </w:rPr>
        <w:t xml:space="preserve"> </w:t>
      </w:r>
      <w:r>
        <w:rPr>
          <w:color w:val="221F1F"/>
        </w:rPr>
        <w:t>reasonable assistance</w:t>
      </w:r>
      <w:r>
        <w:rPr>
          <w:color w:val="221F1F"/>
          <w:spacing w:val="-3"/>
        </w:rPr>
        <w:t xml:space="preserve"> </w:t>
      </w:r>
      <w:r>
        <w:rPr>
          <w:color w:val="221F1F"/>
        </w:rPr>
        <w:t>as</w:t>
      </w:r>
      <w:r>
        <w:rPr>
          <w:color w:val="221F1F"/>
          <w:spacing w:val="-3"/>
        </w:rPr>
        <w:t xml:space="preserve"> </w:t>
      </w:r>
      <w:r>
        <w:rPr>
          <w:color w:val="221F1F"/>
        </w:rPr>
        <w:t>to</w:t>
      </w:r>
      <w:r>
        <w:rPr>
          <w:color w:val="221F1F"/>
          <w:spacing w:val="-1"/>
        </w:rPr>
        <w:t xml:space="preserve"> </w:t>
      </w:r>
      <w:r>
        <w:rPr>
          <w:color w:val="221F1F"/>
        </w:rPr>
        <w:t>allow the Contractor to obtain properly:</w:t>
      </w:r>
    </w:p>
    <w:p w:rsidR="007F6DF9" w:rsidRDefault="00A43FBC">
      <w:pPr>
        <w:pStyle w:val="ListParagraph"/>
        <w:numPr>
          <w:ilvl w:val="0"/>
          <w:numId w:val="30"/>
        </w:numPr>
        <w:tabs>
          <w:tab w:val="left" w:pos="1880"/>
        </w:tabs>
        <w:spacing w:before="228" w:line="251" w:lineRule="exact"/>
      </w:pPr>
      <w:r>
        <w:rPr>
          <w:color w:val="221F1F"/>
        </w:rPr>
        <w:t>Copies</w:t>
      </w:r>
      <w:r>
        <w:rPr>
          <w:color w:val="221F1F"/>
          <w:spacing w:val="-6"/>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Laws</w:t>
      </w:r>
      <w:r>
        <w:rPr>
          <w:color w:val="221F1F"/>
          <w:spacing w:val="-2"/>
        </w:rPr>
        <w:t xml:space="preserve"> </w:t>
      </w:r>
      <w:r>
        <w:rPr>
          <w:color w:val="221F1F"/>
        </w:rPr>
        <w:t>of</w:t>
      </w:r>
      <w:r>
        <w:rPr>
          <w:color w:val="221F1F"/>
          <w:spacing w:val="-2"/>
        </w:rPr>
        <w:t xml:space="preserve"> </w:t>
      </w:r>
      <w:r>
        <w:rPr>
          <w:color w:val="221F1F"/>
        </w:rPr>
        <w:t>Kenya</w:t>
      </w:r>
      <w:r>
        <w:rPr>
          <w:color w:val="221F1F"/>
          <w:spacing w:val="-2"/>
        </w:rPr>
        <w:t xml:space="preserve"> </w:t>
      </w:r>
      <w:r>
        <w:rPr>
          <w:color w:val="221F1F"/>
        </w:rPr>
        <w:t>which</w:t>
      </w:r>
      <w:r>
        <w:rPr>
          <w:color w:val="221F1F"/>
          <w:spacing w:val="-2"/>
        </w:rPr>
        <w:t xml:space="preserve"> </w:t>
      </w:r>
      <w:r>
        <w:rPr>
          <w:color w:val="221F1F"/>
        </w:rPr>
        <w:t>are</w:t>
      </w:r>
      <w:r>
        <w:rPr>
          <w:color w:val="221F1F"/>
          <w:spacing w:val="-2"/>
        </w:rPr>
        <w:t xml:space="preserve"> </w:t>
      </w:r>
      <w:r>
        <w:rPr>
          <w:color w:val="221F1F"/>
        </w:rPr>
        <w:t>relevant to</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but</w:t>
      </w:r>
      <w:r>
        <w:rPr>
          <w:color w:val="221F1F"/>
          <w:spacing w:val="-3"/>
        </w:rPr>
        <w:t xml:space="preserve"> </w:t>
      </w:r>
      <w:r>
        <w:rPr>
          <w:color w:val="221F1F"/>
        </w:rPr>
        <w:t>are</w:t>
      </w:r>
      <w:r>
        <w:rPr>
          <w:color w:val="221F1F"/>
          <w:spacing w:val="-3"/>
        </w:rPr>
        <w:t xml:space="preserve"> </w:t>
      </w:r>
      <w:r>
        <w:rPr>
          <w:color w:val="221F1F"/>
        </w:rPr>
        <w:t>not</w:t>
      </w:r>
      <w:r>
        <w:rPr>
          <w:color w:val="221F1F"/>
          <w:spacing w:val="-3"/>
        </w:rPr>
        <w:t xml:space="preserve"> </w:t>
      </w:r>
      <w:r>
        <w:rPr>
          <w:color w:val="221F1F"/>
        </w:rPr>
        <w:t>readily</w:t>
      </w:r>
      <w:r>
        <w:rPr>
          <w:color w:val="221F1F"/>
          <w:spacing w:val="-2"/>
        </w:rPr>
        <w:t xml:space="preserve"> </w:t>
      </w:r>
      <w:r>
        <w:rPr>
          <w:color w:val="221F1F"/>
        </w:rPr>
        <w:t>available,</w:t>
      </w:r>
      <w:r>
        <w:rPr>
          <w:color w:val="221F1F"/>
          <w:spacing w:val="-3"/>
        </w:rPr>
        <w:t xml:space="preserve"> </w:t>
      </w:r>
      <w:r>
        <w:rPr>
          <w:color w:val="221F1F"/>
          <w:spacing w:val="-5"/>
        </w:rPr>
        <w:t>and</w:t>
      </w:r>
    </w:p>
    <w:p w:rsidR="007F6DF9" w:rsidRDefault="00A43FBC">
      <w:pPr>
        <w:pStyle w:val="ListParagraph"/>
        <w:numPr>
          <w:ilvl w:val="0"/>
          <w:numId w:val="30"/>
        </w:numPr>
        <w:tabs>
          <w:tab w:val="left" w:pos="1880"/>
        </w:tabs>
        <w:spacing w:line="251" w:lineRule="exact"/>
      </w:pPr>
      <w:r>
        <w:rPr>
          <w:color w:val="221F1F"/>
        </w:rPr>
        <w:t>any</w:t>
      </w:r>
      <w:r>
        <w:rPr>
          <w:color w:val="221F1F"/>
          <w:spacing w:val="-3"/>
        </w:rPr>
        <w:t xml:space="preserve"> </w:t>
      </w:r>
      <w:r>
        <w:rPr>
          <w:color w:val="221F1F"/>
        </w:rPr>
        <w:t>permits,</w:t>
      </w:r>
      <w:r>
        <w:rPr>
          <w:color w:val="221F1F"/>
          <w:spacing w:val="-1"/>
        </w:rPr>
        <w:t xml:space="preserve"> </w:t>
      </w:r>
      <w:r>
        <w:rPr>
          <w:color w:val="221F1F"/>
        </w:rPr>
        <w:t>licenses</w:t>
      </w:r>
      <w:r>
        <w:rPr>
          <w:color w:val="221F1F"/>
          <w:spacing w:val="-2"/>
        </w:rPr>
        <w:t xml:space="preserve"> </w:t>
      </w:r>
      <w:r>
        <w:rPr>
          <w:color w:val="221F1F"/>
        </w:rPr>
        <w:t>or</w:t>
      </w:r>
      <w:r>
        <w:rPr>
          <w:color w:val="221F1F"/>
          <w:spacing w:val="-4"/>
        </w:rPr>
        <w:t xml:space="preserve"> </w:t>
      </w:r>
      <w:r>
        <w:rPr>
          <w:color w:val="221F1F"/>
        </w:rPr>
        <w:t>approvals</w:t>
      </w:r>
      <w:r>
        <w:rPr>
          <w:color w:val="221F1F"/>
          <w:spacing w:val="-4"/>
        </w:rPr>
        <w:t xml:space="preserve"> </w:t>
      </w:r>
      <w:r>
        <w:rPr>
          <w:color w:val="221F1F"/>
        </w:rPr>
        <w:t>required</w:t>
      </w:r>
      <w:r>
        <w:rPr>
          <w:color w:val="221F1F"/>
          <w:spacing w:val="-2"/>
        </w:rPr>
        <w:t xml:space="preserve"> </w:t>
      </w:r>
      <w:r>
        <w:rPr>
          <w:color w:val="221F1F"/>
        </w:rPr>
        <w:t>by</w:t>
      </w:r>
      <w:r>
        <w:rPr>
          <w:color w:val="221F1F"/>
          <w:spacing w:val="-6"/>
        </w:rPr>
        <w:t xml:space="preserve"> </w:t>
      </w:r>
      <w:r>
        <w:rPr>
          <w:color w:val="221F1F"/>
        </w:rPr>
        <w:t>the</w:t>
      </w:r>
      <w:r>
        <w:rPr>
          <w:color w:val="221F1F"/>
          <w:spacing w:val="-1"/>
        </w:rPr>
        <w:t xml:space="preserve"> </w:t>
      </w:r>
      <w:r>
        <w:rPr>
          <w:color w:val="221F1F"/>
        </w:rPr>
        <w:t>Laws</w:t>
      </w:r>
      <w:r>
        <w:rPr>
          <w:color w:val="221F1F"/>
          <w:spacing w:val="-5"/>
        </w:rPr>
        <w:t xml:space="preserve"> </w:t>
      </w:r>
      <w:r>
        <w:rPr>
          <w:color w:val="221F1F"/>
        </w:rPr>
        <w:t>of</w:t>
      </w:r>
      <w:r>
        <w:rPr>
          <w:color w:val="221F1F"/>
          <w:spacing w:val="-1"/>
        </w:rPr>
        <w:t xml:space="preserve"> </w:t>
      </w:r>
      <w:r>
        <w:rPr>
          <w:color w:val="221F1F"/>
          <w:spacing w:val="-2"/>
        </w:rPr>
        <w:t>Kenya:</w:t>
      </w:r>
    </w:p>
    <w:p w:rsidR="007F6DF9" w:rsidRDefault="00A43FBC">
      <w:pPr>
        <w:pStyle w:val="ListParagraph"/>
        <w:numPr>
          <w:ilvl w:val="1"/>
          <w:numId w:val="30"/>
        </w:numPr>
        <w:tabs>
          <w:tab w:val="left" w:pos="2150"/>
        </w:tabs>
        <w:spacing w:before="230" w:line="251" w:lineRule="exact"/>
        <w:ind w:left="2150" w:hanging="270"/>
      </w:pPr>
      <w:r>
        <w:rPr>
          <w:color w:val="221F1F"/>
        </w:rPr>
        <w:t>which</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is</w:t>
      </w:r>
      <w:r>
        <w:rPr>
          <w:color w:val="221F1F"/>
          <w:spacing w:val="-4"/>
        </w:rPr>
        <w:t xml:space="preserve"> </w:t>
      </w:r>
      <w:r>
        <w:rPr>
          <w:color w:val="221F1F"/>
        </w:rPr>
        <w:t>required</w:t>
      </w:r>
      <w:r>
        <w:rPr>
          <w:color w:val="221F1F"/>
          <w:spacing w:val="-3"/>
        </w:rPr>
        <w:t xml:space="preserve"> </w:t>
      </w:r>
      <w:r>
        <w:rPr>
          <w:color w:val="221F1F"/>
        </w:rPr>
        <w:t>to</w:t>
      </w:r>
      <w:r>
        <w:rPr>
          <w:color w:val="221F1F"/>
          <w:spacing w:val="-5"/>
        </w:rPr>
        <w:t xml:space="preserve"> </w:t>
      </w:r>
      <w:r>
        <w:rPr>
          <w:color w:val="221F1F"/>
        </w:rPr>
        <w:t>obtain</w:t>
      </w:r>
      <w:r>
        <w:rPr>
          <w:color w:val="221F1F"/>
          <w:spacing w:val="-5"/>
        </w:rPr>
        <w:t xml:space="preserve"> </w:t>
      </w:r>
      <w:r>
        <w:rPr>
          <w:color w:val="221F1F"/>
        </w:rPr>
        <w:t>under</w:t>
      </w:r>
      <w:r>
        <w:rPr>
          <w:color w:val="221F1F"/>
          <w:spacing w:val="-2"/>
        </w:rPr>
        <w:t xml:space="preserve"> </w:t>
      </w:r>
      <w:r>
        <w:rPr>
          <w:color w:val="221F1F"/>
        </w:rPr>
        <w:t>Sub-Clause</w:t>
      </w:r>
      <w:r>
        <w:rPr>
          <w:color w:val="221F1F"/>
          <w:spacing w:val="-4"/>
        </w:rPr>
        <w:t xml:space="preserve"> </w:t>
      </w:r>
      <w:r>
        <w:rPr>
          <w:color w:val="221F1F"/>
        </w:rPr>
        <w:t>1.13</w:t>
      </w:r>
      <w:r>
        <w:rPr>
          <w:color w:val="221F1F"/>
          <w:spacing w:val="-6"/>
        </w:rPr>
        <w:t xml:space="preserve"> </w:t>
      </w:r>
      <w:r>
        <w:rPr>
          <w:color w:val="221F1F"/>
        </w:rPr>
        <w:t>[Compliance</w:t>
      </w:r>
      <w:r>
        <w:rPr>
          <w:color w:val="221F1F"/>
          <w:spacing w:val="-2"/>
        </w:rPr>
        <w:t xml:space="preserve"> </w:t>
      </w:r>
      <w:r>
        <w:rPr>
          <w:color w:val="221F1F"/>
        </w:rPr>
        <w:t>with</w:t>
      </w:r>
      <w:r>
        <w:rPr>
          <w:color w:val="221F1F"/>
          <w:spacing w:val="-2"/>
        </w:rPr>
        <w:t xml:space="preserve"> Laws],</w:t>
      </w:r>
    </w:p>
    <w:p w:rsidR="007F6DF9" w:rsidRDefault="00A43FBC">
      <w:pPr>
        <w:pStyle w:val="ListParagraph"/>
        <w:numPr>
          <w:ilvl w:val="1"/>
          <w:numId w:val="30"/>
        </w:numPr>
        <w:tabs>
          <w:tab w:val="left" w:pos="2149"/>
        </w:tabs>
        <w:spacing w:line="247" w:lineRule="exact"/>
        <w:ind w:left="2149" w:hanging="269"/>
      </w:pPr>
      <w:r>
        <w:rPr>
          <w:color w:val="221F1F"/>
        </w:rPr>
        <w:t>for</w:t>
      </w:r>
      <w:r>
        <w:rPr>
          <w:color w:val="221F1F"/>
          <w:spacing w:val="-5"/>
        </w:rPr>
        <w:t xml:space="preserve"> </w:t>
      </w:r>
      <w:r>
        <w:rPr>
          <w:color w:val="221F1F"/>
        </w:rPr>
        <w:t>the</w:t>
      </w:r>
      <w:r>
        <w:rPr>
          <w:color w:val="221F1F"/>
          <w:spacing w:val="-3"/>
        </w:rPr>
        <w:t xml:space="preserve"> </w:t>
      </w:r>
      <w:r>
        <w:rPr>
          <w:color w:val="221F1F"/>
        </w:rPr>
        <w:t>delivery</w:t>
      </w:r>
      <w:r>
        <w:rPr>
          <w:color w:val="221F1F"/>
          <w:spacing w:val="-3"/>
        </w:rPr>
        <w:t xml:space="preserve"> </w:t>
      </w:r>
      <w:r>
        <w:rPr>
          <w:color w:val="221F1F"/>
        </w:rPr>
        <w:t>of</w:t>
      </w:r>
      <w:r>
        <w:rPr>
          <w:color w:val="221F1F"/>
          <w:spacing w:val="-3"/>
        </w:rPr>
        <w:t xml:space="preserve"> </w:t>
      </w:r>
      <w:r>
        <w:rPr>
          <w:color w:val="221F1F"/>
        </w:rPr>
        <w:t>Goods,</w:t>
      </w:r>
      <w:r>
        <w:rPr>
          <w:color w:val="221F1F"/>
          <w:spacing w:val="-5"/>
        </w:rPr>
        <w:t xml:space="preserve"> </w:t>
      </w:r>
      <w:r>
        <w:rPr>
          <w:color w:val="221F1F"/>
        </w:rPr>
        <w:t>including</w:t>
      </w:r>
      <w:r>
        <w:rPr>
          <w:color w:val="221F1F"/>
          <w:spacing w:val="-6"/>
        </w:rPr>
        <w:t xml:space="preserve"> </w:t>
      </w:r>
      <w:r>
        <w:rPr>
          <w:color w:val="221F1F"/>
        </w:rPr>
        <w:t>clearance</w:t>
      </w:r>
      <w:r>
        <w:rPr>
          <w:color w:val="221F1F"/>
          <w:spacing w:val="-5"/>
        </w:rPr>
        <w:t xml:space="preserve"> </w:t>
      </w:r>
      <w:r>
        <w:rPr>
          <w:color w:val="221F1F"/>
        </w:rPr>
        <w:t>through</w:t>
      </w:r>
      <w:r>
        <w:rPr>
          <w:color w:val="221F1F"/>
          <w:spacing w:val="-6"/>
        </w:rPr>
        <w:t xml:space="preserve"> </w:t>
      </w:r>
      <w:r>
        <w:rPr>
          <w:color w:val="221F1F"/>
        </w:rPr>
        <w:t>customs,</w:t>
      </w:r>
      <w:r>
        <w:rPr>
          <w:color w:val="221F1F"/>
          <w:spacing w:val="-2"/>
        </w:rPr>
        <w:t xml:space="preserve"> </w:t>
      </w:r>
      <w:r>
        <w:rPr>
          <w:color w:val="221F1F"/>
          <w:spacing w:val="-5"/>
        </w:rPr>
        <w:t>and</w:t>
      </w:r>
    </w:p>
    <w:p w:rsidR="007F6DF9" w:rsidRDefault="00A43FBC">
      <w:pPr>
        <w:pStyle w:val="ListParagraph"/>
        <w:numPr>
          <w:ilvl w:val="1"/>
          <w:numId w:val="30"/>
        </w:numPr>
        <w:tabs>
          <w:tab w:val="left" w:pos="2203"/>
        </w:tabs>
        <w:spacing w:line="249" w:lineRule="exact"/>
        <w:ind w:left="2203" w:hanging="318"/>
      </w:pPr>
      <w:r>
        <w:rPr>
          <w:color w:val="221F1F"/>
        </w:rPr>
        <w:t>for</w:t>
      </w:r>
      <w:r>
        <w:rPr>
          <w:color w:val="221F1F"/>
          <w:spacing w:val="-7"/>
        </w:rPr>
        <w:t xml:space="preserve"> </w:t>
      </w:r>
      <w:r>
        <w:rPr>
          <w:color w:val="221F1F"/>
        </w:rPr>
        <w:t>the</w:t>
      </w:r>
      <w:r>
        <w:rPr>
          <w:color w:val="221F1F"/>
          <w:spacing w:val="-5"/>
        </w:rPr>
        <w:t xml:space="preserve"> </w:t>
      </w:r>
      <w:r>
        <w:rPr>
          <w:color w:val="221F1F"/>
        </w:rPr>
        <w:t>export</w:t>
      </w:r>
      <w:r>
        <w:rPr>
          <w:color w:val="221F1F"/>
          <w:spacing w:val="-2"/>
        </w:rPr>
        <w:t xml:space="preserve"> </w:t>
      </w:r>
      <w:r>
        <w:rPr>
          <w:color w:val="221F1F"/>
        </w:rPr>
        <w:t>of</w:t>
      </w:r>
      <w:r>
        <w:rPr>
          <w:color w:val="221F1F"/>
          <w:spacing w:val="-1"/>
        </w:rPr>
        <w:t xml:space="preserve"> </w:t>
      </w:r>
      <w:r>
        <w:rPr>
          <w:color w:val="221F1F"/>
        </w:rPr>
        <w:t>Contractor's</w:t>
      </w:r>
      <w:r>
        <w:rPr>
          <w:color w:val="221F1F"/>
          <w:spacing w:val="-2"/>
        </w:rPr>
        <w:t xml:space="preserve"> </w:t>
      </w:r>
      <w:r>
        <w:rPr>
          <w:color w:val="221F1F"/>
        </w:rPr>
        <w:t>Equipment</w:t>
      </w:r>
      <w:r>
        <w:rPr>
          <w:color w:val="221F1F"/>
          <w:spacing w:val="-2"/>
        </w:rPr>
        <w:t xml:space="preserve"> </w:t>
      </w:r>
      <w:r>
        <w:rPr>
          <w:color w:val="221F1F"/>
        </w:rPr>
        <w:t>when</w:t>
      </w:r>
      <w:r>
        <w:rPr>
          <w:color w:val="221F1F"/>
          <w:spacing w:val="-3"/>
        </w:rPr>
        <w:t xml:space="preserve"> </w:t>
      </w:r>
      <w:r>
        <w:rPr>
          <w:color w:val="221F1F"/>
        </w:rPr>
        <w:t>it</w:t>
      </w:r>
      <w:r>
        <w:rPr>
          <w:color w:val="221F1F"/>
          <w:spacing w:val="-2"/>
        </w:rPr>
        <w:t xml:space="preserve"> </w:t>
      </w:r>
      <w:r>
        <w:rPr>
          <w:color w:val="221F1F"/>
        </w:rPr>
        <w:t>is</w:t>
      </w:r>
      <w:r>
        <w:rPr>
          <w:color w:val="221F1F"/>
          <w:spacing w:val="-2"/>
        </w:rPr>
        <w:t xml:space="preserve"> </w:t>
      </w:r>
      <w:r>
        <w:rPr>
          <w:color w:val="221F1F"/>
        </w:rPr>
        <w:t>removed</w:t>
      </w:r>
      <w:r>
        <w:rPr>
          <w:color w:val="221F1F"/>
          <w:spacing w:val="-5"/>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spacing w:val="-2"/>
        </w:rPr>
        <w:t>Site.</w:t>
      </w:r>
    </w:p>
    <w:p w:rsidR="007F6DF9" w:rsidRDefault="00A43FBC">
      <w:pPr>
        <w:pStyle w:val="Heading9"/>
        <w:numPr>
          <w:ilvl w:val="1"/>
          <w:numId w:val="122"/>
        </w:numPr>
        <w:tabs>
          <w:tab w:val="left" w:pos="1368"/>
        </w:tabs>
        <w:spacing w:before="236"/>
        <w:ind w:left="1368" w:hanging="660"/>
        <w:rPr>
          <w:color w:val="221F1F"/>
        </w:rPr>
      </w:pPr>
      <w:r>
        <w:rPr>
          <w:color w:val="221F1F"/>
        </w:rPr>
        <w:t>Procuring</w:t>
      </w:r>
      <w:r>
        <w:rPr>
          <w:color w:val="221F1F"/>
          <w:spacing w:val="-3"/>
        </w:rPr>
        <w:t xml:space="preserve"> </w:t>
      </w:r>
      <w:proofErr w:type="spellStart"/>
      <w:r>
        <w:rPr>
          <w:color w:val="221F1F"/>
          <w:spacing w:val="-2"/>
        </w:rPr>
        <w:t>Entity'sPersonnel</w:t>
      </w:r>
      <w:proofErr w:type="spellEnd"/>
    </w:p>
    <w:p w:rsidR="007F6DF9" w:rsidRDefault="00A43FBC">
      <w:pPr>
        <w:pStyle w:val="BodyText"/>
        <w:spacing w:before="243" w:line="230" w:lineRule="auto"/>
        <w:ind w:left="1369" w:right="1230"/>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3"/>
        </w:rPr>
        <w:t xml:space="preserve"> </w:t>
      </w:r>
      <w:r>
        <w:rPr>
          <w:color w:val="221F1F"/>
        </w:rPr>
        <w:t>be</w:t>
      </w:r>
      <w:r>
        <w:rPr>
          <w:color w:val="221F1F"/>
          <w:spacing w:val="-2"/>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ensuring</w:t>
      </w:r>
      <w:r>
        <w:rPr>
          <w:color w:val="221F1F"/>
          <w:spacing w:val="-3"/>
        </w:rPr>
        <w:t xml:space="preserve"> </w:t>
      </w:r>
      <w:r>
        <w:rPr>
          <w:color w:val="221F1F"/>
        </w:rPr>
        <w:t>that</w:t>
      </w:r>
      <w:r>
        <w:rPr>
          <w:color w:val="221F1F"/>
          <w:spacing w:val="-1"/>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Entity's</w:t>
      </w:r>
      <w:r>
        <w:rPr>
          <w:color w:val="221F1F"/>
          <w:spacing w:val="-3"/>
        </w:rPr>
        <w:t xml:space="preserve"> </w:t>
      </w:r>
      <w:r>
        <w:rPr>
          <w:color w:val="221F1F"/>
        </w:rPr>
        <w:t>Personnel</w:t>
      </w:r>
      <w:r>
        <w:rPr>
          <w:color w:val="221F1F"/>
          <w:spacing w:val="-2"/>
        </w:rPr>
        <w:t xml:space="preserve"> </w:t>
      </w:r>
      <w:r>
        <w:rPr>
          <w:color w:val="221F1F"/>
        </w:rPr>
        <w:t>and</w:t>
      </w:r>
      <w:r>
        <w:rPr>
          <w:color w:val="221F1F"/>
          <w:spacing w:val="-3"/>
        </w:rPr>
        <w:t xml:space="preserve"> </w:t>
      </w:r>
      <w:r>
        <w:rPr>
          <w:color w:val="221F1F"/>
        </w:rPr>
        <w:t>the Procuring Entity's other contractor son the Site:</w:t>
      </w:r>
    </w:p>
    <w:p w:rsidR="007F6DF9" w:rsidRDefault="00A43FBC">
      <w:pPr>
        <w:pStyle w:val="ListParagraph"/>
        <w:numPr>
          <w:ilvl w:val="0"/>
          <w:numId w:val="116"/>
        </w:numPr>
        <w:tabs>
          <w:tab w:val="left" w:pos="1880"/>
        </w:tabs>
        <w:spacing w:before="236"/>
        <w:ind w:hanging="511"/>
      </w:pPr>
      <w:r>
        <w:rPr>
          <w:color w:val="221F1F"/>
        </w:rPr>
        <w:t>co-operate</w:t>
      </w:r>
      <w:r>
        <w:rPr>
          <w:color w:val="221F1F"/>
          <w:spacing w:val="-7"/>
        </w:rPr>
        <w:t xml:space="preserve"> </w:t>
      </w:r>
      <w:r>
        <w:rPr>
          <w:color w:val="221F1F"/>
        </w:rPr>
        <w:t>with</w:t>
      </w:r>
      <w:r>
        <w:rPr>
          <w:color w:val="221F1F"/>
          <w:spacing w:val="-7"/>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efforts</w:t>
      </w:r>
      <w:r>
        <w:rPr>
          <w:color w:val="221F1F"/>
          <w:spacing w:val="-4"/>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4.6</w:t>
      </w:r>
      <w:r>
        <w:rPr>
          <w:color w:val="221F1F"/>
          <w:spacing w:val="-8"/>
        </w:rPr>
        <w:t xml:space="preserve"> </w:t>
      </w:r>
      <w:r>
        <w:rPr>
          <w:color w:val="221F1F"/>
        </w:rPr>
        <w:t>[Co-operation],</w:t>
      </w:r>
      <w:r>
        <w:rPr>
          <w:color w:val="221F1F"/>
          <w:spacing w:val="-3"/>
        </w:rPr>
        <w:t xml:space="preserve"> </w:t>
      </w:r>
      <w:r>
        <w:rPr>
          <w:color w:val="221F1F"/>
          <w:spacing w:val="-5"/>
        </w:rPr>
        <w:t>and</w:t>
      </w:r>
    </w:p>
    <w:p w:rsidR="007F6DF9" w:rsidRDefault="00A43FBC">
      <w:pPr>
        <w:pStyle w:val="ListParagraph"/>
        <w:numPr>
          <w:ilvl w:val="0"/>
          <w:numId w:val="116"/>
        </w:numPr>
        <w:tabs>
          <w:tab w:val="left" w:pos="511"/>
        </w:tabs>
        <w:spacing w:before="234" w:line="248" w:lineRule="exact"/>
        <w:ind w:left="511" w:right="601" w:hanging="511"/>
        <w:jc w:val="right"/>
      </w:pPr>
      <w:r>
        <w:rPr>
          <w:color w:val="221F1F"/>
        </w:rPr>
        <w:t>take</w:t>
      </w:r>
      <w:r>
        <w:rPr>
          <w:color w:val="221F1F"/>
          <w:spacing w:val="-5"/>
        </w:rPr>
        <w:t xml:space="preserve"> </w:t>
      </w:r>
      <w:r>
        <w:rPr>
          <w:color w:val="221F1F"/>
        </w:rPr>
        <w:t>action</w:t>
      </w:r>
      <w:r>
        <w:rPr>
          <w:color w:val="221F1F"/>
          <w:spacing w:val="-4"/>
        </w:rPr>
        <w:t xml:space="preserve"> </w:t>
      </w:r>
      <w:proofErr w:type="spellStart"/>
      <w:r>
        <w:rPr>
          <w:color w:val="221F1F"/>
        </w:rPr>
        <w:t>ssimilar</w:t>
      </w:r>
      <w:proofErr w:type="spellEnd"/>
      <w:r>
        <w:rPr>
          <w:color w:val="221F1F"/>
          <w:spacing w:val="-3"/>
        </w:rPr>
        <w:t xml:space="preserve"> </w:t>
      </w:r>
      <w:r>
        <w:rPr>
          <w:color w:val="221F1F"/>
        </w:rPr>
        <w:t>to</w:t>
      </w:r>
      <w:r>
        <w:rPr>
          <w:color w:val="221F1F"/>
          <w:spacing w:val="-5"/>
        </w:rPr>
        <w:t xml:space="preserve"> </w:t>
      </w:r>
      <w:r>
        <w:rPr>
          <w:color w:val="221F1F"/>
        </w:rPr>
        <w:t>those</w:t>
      </w:r>
      <w:r>
        <w:rPr>
          <w:color w:val="221F1F"/>
          <w:spacing w:val="-4"/>
        </w:rPr>
        <w:t xml:space="preserve"> </w:t>
      </w:r>
      <w:r>
        <w:rPr>
          <w:color w:val="221F1F"/>
        </w:rPr>
        <w:t>which</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is</w:t>
      </w:r>
      <w:r>
        <w:rPr>
          <w:color w:val="221F1F"/>
          <w:spacing w:val="-4"/>
        </w:rPr>
        <w:t xml:space="preserve"> </w:t>
      </w:r>
      <w:r>
        <w:rPr>
          <w:color w:val="221F1F"/>
        </w:rPr>
        <w:t>required</w:t>
      </w:r>
      <w:r>
        <w:rPr>
          <w:color w:val="221F1F"/>
          <w:spacing w:val="-3"/>
        </w:rPr>
        <w:t xml:space="preserve"> </w:t>
      </w:r>
      <w:r>
        <w:rPr>
          <w:color w:val="221F1F"/>
        </w:rPr>
        <w:t>to</w:t>
      </w:r>
      <w:r>
        <w:rPr>
          <w:color w:val="221F1F"/>
          <w:spacing w:val="-5"/>
        </w:rPr>
        <w:t xml:space="preserve"> </w:t>
      </w:r>
      <w:r>
        <w:rPr>
          <w:color w:val="221F1F"/>
        </w:rPr>
        <w:t>take</w:t>
      </w:r>
      <w:r>
        <w:rPr>
          <w:color w:val="221F1F"/>
          <w:spacing w:val="-2"/>
        </w:rPr>
        <w:t xml:space="preserve"> </w:t>
      </w:r>
      <w:r>
        <w:rPr>
          <w:color w:val="221F1F"/>
        </w:rPr>
        <w:t>under</w:t>
      </w:r>
      <w:r>
        <w:rPr>
          <w:color w:val="221F1F"/>
          <w:spacing w:val="-3"/>
        </w:rPr>
        <w:t xml:space="preserve"> </w:t>
      </w:r>
      <w:r>
        <w:rPr>
          <w:color w:val="221F1F"/>
        </w:rPr>
        <w:t>sub-paragraphs</w:t>
      </w:r>
      <w:r>
        <w:rPr>
          <w:color w:val="221F1F"/>
          <w:spacing w:val="-2"/>
        </w:rPr>
        <w:t xml:space="preserve"> </w:t>
      </w:r>
      <w:r>
        <w:rPr>
          <w:color w:val="221F1F"/>
        </w:rPr>
        <w:t>(a),</w:t>
      </w:r>
      <w:r>
        <w:rPr>
          <w:color w:val="221F1F"/>
          <w:spacing w:val="-5"/>
        </w:rPr>
        <w:t xml:space="preserve"> </w:t>
      </w:r>
      <w:r>
        <w:rPr>
          <w:color w:val="221F1F"/>
        </w:rPr>
        <w:t>(b)</w:t>
      </w:r>
      <w:r>
        <w:rPr>
          <w:color w:val="221F1F"/>
          <w:spacing w:val="-1"/>
        </w:rPr>
        <w:t xml:space="preserve"> </w:t>
      </w:r>
      <w:r>
        <w:rPr>
          <w:color w:val="221F1F"/>
          <w:spacing w:val="-5"/>
        </w:rPr>
        <w:t>and</w:t>
      </w:r>
    </w:p>
    <w:p w:rsidR="007F6DF9" w:rsidRDefault="00A43FBC">
      <w:pPr>
        <w:pStyle w:val="BodyText"/>
        <w:spacing w:line="248" w:lineRule="exact"/>
        <w:ind w:right="616"/>
        <w:jc w:val="right"/>
      </w:pPr>
      <w:r>
        <w:rPr>
          <w:color w:val="221F1F"/>
        </w:rPr>
        <w:t>(c)</w:t>
      </w:r>
      <w:r>
        <w:rPr>
          <w:color w:val="221F1F"/>
          <w:spacing w:val="-3"/>
        </w:rPr>
        <w:t xml:space="preserve"> </w:t>
      </w:r>
      <w:proofErr w:type="spellStart"/>
      <w:r>
        <w:rPr>
          <w:color w:val="221F1F"/>
        </w:rPr>
        <w:t>ofSub</w:t>
      </w:r>
      <w:proofErr w:type="spellEnd"/>
      <w:r>
        <w:rPr>
          <w:color w:val="221F1F"/>
        </w:rPr>
        <w:t>-Clause</w:t>
      </w:r>
      <w:r>
        <w:rPr>
          <w:color w:val="221F1F"/>
          <w:spacing w:val="-6"/>
        </w:rPr>
        <w:t xml:space="preserve"> </w:t>
      </w:r>
      <w:r>
        <w:rPr>
          <w:color w:val="221F1F"/>
        </w:rPr>
        <w:t>4.8</w:t>
      </w:r>
      <w:r>
        <w:rPr>
          <w:color w:val="221F1F"/>
          <w:spacing w:val="-4"/>
        </w:rPr>
        <w:t xml:space="preserve"> </w:t>
      </w:r>
      <w:r>
        <w:rPr>
          <w:color w:val="221F1F"/>
        </w:rPr>
        <w:t>[Safety</w:t>
      </w:r>
      <w:r>
        <w:rPr>
          <w:color w:val="221F1F"/>
          <w:spacing w:val="-4"/>
        </w:rPr>
        <w:t xml:space="preserve"> </w:t>
      </w:r>
      <w:r>
        <w:rPr>
          <w:color w:val="221F1F"/>
        </w:rPr>
        <w:t>Procedures]</w:t>
      </w:r>
      <w:r>
        <w:rPr>
          <w:color w:val="221F1F"/>
          <w:spacing w:val="-6"/>
        </w:rPr>
        <w:t xml:space="preserve"> </w:t>
      </w:r>
      <w:r>
        <w:rPr>
          <w:color w:val="221F1F"/>
        </w:rPr>
        <w:t>and</w:t>
      </w:r>
      <w:r>
        <w:rPr>
          <w:color w:val="221F1F"/>
          <w:spacing w:val="-4"/>
        </w:rPr>
        <w:t xml:space="preserve"> </w:t>
      </w:r>
      <w:r>
        <w:rPr>
          <w:color w:val="221F1F"/>
        </w:rPr>
        <w:t>under</w:t>
      </w:r>
      <w:r>
        <w:rPr>
          <w:color w:val="221F1F"/>
          <w:spacing w:val="-5"/>
        </w:rPr>
        <w:t xml:space="preserve"> </w:t>
      </w:r>
      <w:r>
        <w:rPr>
          <w:color w:val="221F1F"/>
        </w:rPr>
        <w:t>Sub-Clause</w:t>
      </w:r>
      <w:r>
        <w:rPr>
          <w:color w:val="221F1F"/>
          <w:spacing w:val="-3"/>
        </w:rPr>
        <w:t xml:space="preserve"> </w:t>
      </w:r>
      <w:r>
        <w:rPr>
          <w:color w:val="221F1F"/>
        </w:rPr>
        <w:t>4.18</w:t>
      </w:r>
      <w:r>
        <w:rPr>
          <w:color w:val="221F1F"/>
          <w:spacing w:val="-4"/>
        </w:rPr>
        <w:t xml:space="preserve"> </w:t>
      </w:r>
      <w:r>
        <w:rPr>
          <w:color w:val="221F1F"/>
        </w:rPr>
        <w:t>[Protection</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spacing w:val="-2"/>
        </w:rPr>
        <w:t>Environment].</w:t>
      </w:r>
    </w:p>
    <w:p w:rsidR="007F6DF9" w:rsidRDefault="00A43FBC">
      <w:pPr>
        <w:pStyle w:val="Heading9"/>
        <w:numPr>
          <w:ilvl w:val="1"/>
          <w:numId w:val="122"/>
        </w:numPr>
        <w:tabs>
          <w:tab w:val="left" w:pos="1368"/>
        </w:tabs>
        <w:spacing w:before="235"/>
        <w:ind w:left="1368" w:hanging="660"/>
        <w:rPr>
          <w:color w:val="221F1F"/>
        </w:rPr>
      </w:pPr>
      <w:r>
        <w:rPr>
          <w:color w:val="221F1F"/>
        </w:rPr>
        <w:t>Procuring</w:t>
      </w:r>
      <w:r>
        <w:rPr>
          <w:color w:val="221F1F"/>
          <w:spacing w:val="-5"/>
        </w:rPr>
        <w:t xml:space="preserve"> </w:t>
      </w:r>
      <w:r>
        <w:rPr>
          <w:color w:val="221F1F"/>
        </w:rPr>
        <w:t>Entity's</w:t>
      </w:r>
      <w:r>
        <w:rPr>
          <w:color w:val="221F1F"/>
          <w:spacing w:val="-4"/>
        </w:rPr>
        <w:t xml:space="preserve"> </w:t>
      </w:r>
      <w:r>
        <w:rPr>
          <w:color w:val="221F1F"/>
        </w:rPr>
        <w:t>Financial</w:t>
      </w:r>
      <w:r>
        <w:rPr>
          <w:color w:val="221F1F"/>
          <w:spacing w:val="-3"/>
        </w:rPr>
        <w:t xml:space="preserve"> </w:t>
      </w:r>
      <w:r>
        <w:rPr>
          <w:color w:val="221F1F"/>
          <w:spacing w:val="-2"/>
        </w:rPr>
        <w:t>Arrangements</w:t>
      </w:r>
    </w:p>
    <w:p w:rsidR="007F6DF9" w:rsidRDefault="00A43FBC">
      <w:pPr>
        <w:pStyle w:val="BodyText"/>
        <w:spacing w:before="242" w:line="230" w:lineRule="auto"/>
        <w:ind w:left="1369" w:right="560"/>
        <w:jc w:val="both"/>
      </w:pPr>
      <w:r>
        <w:rPr>
          <w:color w:val="221F1F"/>
        </w:rPr>
        <w:t>The Procuring Entity shall make and maintain all necessary financial arrangements which will enable the Procuring</w:t>
      </w:r>
      <w:r>
        <w:rPr>
          <w:color w:val="221F1F"/>
          <w:spacing w:val="-7"/>
        </w:rPr>
        <w:t xml:space="preserve"> </w:t>
      </w:r>
      <w:r>
        <w:rPr>
          <w:color w:val="221F1F"/>
        </w:rPr>
        <w:t>Entity</w:t>
      </w:r>
      <w:r>
        <w:rPr>
          <w:color w:val="221F1F"/>
          <w:spacing w:val="-7"/>
        </w:rPr>
        <w:t xml:space="preserve"> </w:t>
      </w:r>
      <w:r>
        <w:rPr>
          <w:color w:val="221F1F"/>
        </w:rPr>
        <w:t>to</w:t>
      </w:r>
      <w:r>
        <w:rPr>
          <w:color w:val="221F1F"/>
          <w:spacing w:val="-5"/>
        </w:rPr>
        <w:t xml:space="preserve"> </w:t>
      </w:r>
      <w:r>
        <w:rPr>
          <w:color w:val="221F1F"/>
        </w:rPr>
        <w:t>pay</w:t>
      </w:r>
      <w:r>
        <w:rPr>
          <w:color w:val="221F1F"/>
          <w:spacing w:val="-7"/>
        </w:rPr>
        <w:t xml:space="preserve"> </w:t>
      </w:r>
      <w:r>
        <w:rPr>
          <w:color w:val="221F1F"/>
        </w:rPr>
        <w:t>the</w:t>
      </w:r>
      <w:r>
        <w:rPr>
          <w:color w:val="221F1F"/>
          <w:spacing w:val="-8"/>
        </w:rPr>
        <w:t xml:space="preserve"> </w:t>
      </w:r>
      <w:r>
        <w:rPr>
          <w:color w:val="221F1F"/>
        </w:rPr>
        <w:t>Contract</w:t>
      </w:r>
      <w:r>
        <w:rPr>
          <w:color w:val="221F1F"/>
          <w:spacing w:val="-5"/>
        </w:rPr>
        <w:t xml:space="preserve"> </w:t>
      </w:r>
      <w:r>
        <w:rPr>
          <w:color w:val="221F1F"/>
        </w:rPr>
        <w:t>Price</w:t>
      </w:r>
      <w:r>
        <w:rPr>
          <w:color w:val="221F1F"/>
          <w:spacing w:val="-6"/>
        </w:rPr>
        <w:t xml:space="preserve"> </w:t>
      </w:r>
      <w:r>
        <w:rPr>
          <w:color w:val="221F1F"/>
        </w:rPr>
        <w:t>punctually</w:t>
      </w:r>
      <w:r>
        <w:rPr>
          <w:color w:val="221F1F"/>
          <w:spacing w:val="-6"/>
        </w:rPr>
        <w:t xml:space="preserve"> </w:t>
      </w:r>
      <w:r>
        <w:rPr>
          <w:color w:val="221F1F"/>
        </w:rPr>
        <w:t>(as</w:t>
      </w:r>
      <w:r>
        <w:rPr>
          <w:color w:val="221F1F"/>
          <w:spacing w:val="-3"/>
        </w:rPr>
        <w:t xml:space="preserve"> </w:t>
      </w:r>
      <w:r>
        <w:rPr>
          <w:color w:val="221F1F"/>
        </w:rPr>
        <w:t>estimated</w:t>
      </w:r>
      <w:r>
        <w:rPr>
          <w:color w:val="221F1F"/>
          <w:spacing w:val="-4"/>
        </w:rPr>
        <w:t xml:space="preserve"> </w:t>
      </w:r>
      <w:r>
        <w:rPr>
          <w:color w:val="221F1F"/>
        </w:rPr>
        <w:t>at</w:t>
      </w:r>
      <w:r>
        <w:rPr>
          <w:color w:val="221F1F"/>
          <w:spacing w:val="-6"/>
        </w:rPr>
        <w:t xml:space="preserve"> </w:t>
      </w:r>
      <w:r>
        <w:rPr>
          <w:color w:val="221F1F"/>
        </w:rPr>
        <w:t>that</w:t>
      </w:r>
      <w:r>
        <w:rPr>
          <w:color w:val="221F1F"/>
          <w:spacing w:val="-6"/>
        </w:rPr>
        <w:t xml:space="preserve"> </w:t>
      </w:r>
      <w:r>
        <w:rPr>
          <w:color w:val="221F1F"/>
        </w:rPr>
        <w:t>time)</w:t>
      </w:r>
      <w:r>
        <w:rPr>
          <w:color w:val="221F1F"/>
          <w:spacing w:val="-6"/>
        </w:rPr>
        <w:t xml:space="preserve"> </w:t>
      </w:r>
      <w:r>
        <w:rPr>
          <w:color w:val="221F1F"/>
        </w:rPr>
        <w:t>in</w:t>
      </w:r>
      <w:r>
        <w:rPr>
          <w:color w:val="221F1F"/>
          <w:spacing w:val="-7"/>
        </w:rPr>
        <w:t xml:space="preserve"> </w:t>
      </w:r>
      <w:r>
        <w:rPr>
          <w:color w:val="221F1F"/>
        </w:rPr>
        <w:t>accordance</w:t>
      </w:r>
      <w:r>
        <w:rPr>
          <w:color w:val="221F1F"/>
          <w:spacing w:val="-5"/>
        </w:rPr>
        <w:t xml:space="preserve"> </w:t>
      </w:r>
      <w:r>
        <w:rPr>
          <w:color w:val="221F1F"/>
        </w:rPr>
        <w:t>with</w:t>
      </w:r>
      <w:r>
        <w:rPr>
          <w:color w:val="221F1F"/>
          <w:spacing w:val="-4"/>
        </w:rPr>
        <w:t xml:space="preserve"> </w:t>
      </w:r>
      <w:r>
        <w:rPr>
          <w:color w:val="221F1F"/>
        </w:rPr>
        <w:t>Clause14 [Contract Price and Payment].</w:t>
      </w:r>
    </w:p>
    <w:p w:rsidR="007F6DF9" w:rsidRDefault="00A43FBC">
      <w:pPr>
        <w:pStyle w:val="Heading8"/>
        <w:numPr>
          <w:ilvl w:val="0"/>
          <w:numId w:val="122"/>
        </w:numPr>
        <w:tabs>
          <w:tab w:val="left" w:pos="1368"/>
        </w:tabs>
        <w:spacing w:before="238"/>
        <w:ind w:left="1368" w:hanging="660"/>
      </w:pPr>
      <w:bookmarkStart w:id="55" w:name="_bookmark53"/>
      <w:bookmarkEnd w:id="55"/>
      <w:r>
        <w:rPr>
          <w:color w:val="221F1F"/>
        </w:rPr>
        <w:t>THE</w:t>
      </w:r>
      <w:r>
        <w:rPr>
          <w:color w:val="221F1F"/>
          <w:spacing w:val="-2"/>
        </w:rPr>
        <w:t xml:space="preserve"> ENGINEER</w:t>
      </w:r>
    </w:p>
    <w:p w:rsidR="007F6DF9" w:rsidRDefault="00A43FBC">
      <w:pPr>
        <w:pStyle w:val="Heading9"/>
        <w:numPr>
          <w:ilvl w:val="1"/>
          <w:numId w:val="122"/>
        </w:numPr>
        <w:tabs>
          <w:tab w:val="left" w:pos="1368"/>
        </w:tabs>
        <w:spacing w:before="234"/>
        <w:ind w:left="1368" w:hanging="660"/>
        <w:rPr>
          <w:color w:val="221F1F"/>
        </w:rPr>
      </w:pPr>
      <w:r>
        <w:rPr>
          <w:color w:val="221F1F"/>
        </w:rPr>
        <w:t>Architect</w:t>
      </w:r>
      <w:r>
        <w:rPr>
          <w:color w:val="221F1F"/>
          <w:spacing w:val="-2"/>
        </w:rPr>
        <w:t xml:space="preserve"> </w:t>
      </w:r>
      <w:r>
        <w:rPr>
          <w:color w:val="221F1F"/>
        </w:rPr>
        <w:t>Duties</w:t>
      </w:r>
      <w:r>
        <w:rPr>
          <w:color w:val="221F1F"/>
          <w:spacing w:val="-2"/>
        </w:rPr>
        <w:t xml:space="preserve"> </w:t>
      </w:r>
      <w:r>
        <w:rPr>
          <w:color w:val="221F1F"/>
        </w:rPr>
        <w:t>and</w:t>
      </w:r>
      <w:r>
        <w:rPr>
          <w:color w:val="221F1F"/>
          <w:spacing w:val="-3"/>
        </w:rPr>
        <w:t xml:space="preserve"> </w:t>
      </w:r>
      <w:r>
        <w:rPr>
          <w:color w:val="221F1F"/>
          <w:spacing w:val="-2"/>
        </w:rPr>
        <w:t>Authority</w:t>
      </w:r>
    </w:p>
    <w:p w:rsidR="007F6DF9" w:rsidRDefault="00A43FBC">
      <w:pPr>
        <w:pStyle w:val="ListParagraph"/>
        <w:numPr>
          <w:ilvl w:val="2"/>
          <w:numId w:val="122"/>
        </w:numPr>
        <w:tabs>
          <w:tab w:val="left" w:pos="1367"/>
          <w:tab w:val="left" w:pos="1369"/>
        </w:tabs>
        <w:spacing w:before="243" w:line="230" w:lineRule="auto"/>
        <w:ind w:left="1369" w:right="558" w:hanging="661"/>
        <w:jc w:val="both"/>
        <w:rPr>
          <w:b/>
          <w:color w:val="221F1F"/>
        </w:rPr>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shall</w:t>
      </w:r>
      <w:r>
        <w:rPr>
          <w:color w:val="221F1F"/>
          <w:spacing w:val="-13"/>
        </w:rPr>
        <w:t xml:space="preserve"> </w:t>
      </w:r>
      <w:r>
        <w:rPr>
          <w:color w:val="221F1F"/>
        </w:rPr>
        <w:t>appoint</w:t>
      </w:r>
      <w:r>
        <w:rPr>
          <w:color w:val="221F1F"/>
          <w:spacing w:val="-14"/>
        </w:rPr>
        <w:t xml:space="preserve"> </w:t>
      </w:r>
      <w:r>
        <w:rPr>
          <w:color w:val="221F1F"/>
        </w:rPr>
        <w:t>the</w:t>
      </w:r>
      <w:r>
        <w:rPr>
          <w:color w:val="221F1F"/>
          <w:spacing w:val="-14"/>
        </w:rPr>
        <w:t xml:space="preserve"> </w:t>
      </w:r>
      <w:r>
        <w:rPr>
          <w:color w:val="221F1F"/>
        </w:rPr>
        <w:t>Architect</w:t>
      </w:r>
      <w:r>
        <w:rPr>
          <w:color w:val="221F1F"/>
          <w:spacing w:val="-14"/>
        </w:rPr>
        <w:t xml:space="preserve"> </w:t>
      </w:r>
      <w:r>
        <w:rPr>
          <w:color w:val="221F1F"/>
        </w:rPr>
        <w:t>who</w:t>
      </w:r>
      <w:r>
        <w:rPr>
          <w:color w:val="221F1F"/>
          <w:spacing w:val="-13"/>
        </w:rPr>
        <w:t xml:space="preserve"> </w:t>
      </w:r>
      <w:r>
        <w:rPr>
          <w:color w:val="221F1F"/>
        </w:rPr>
        <w:t>shall</w:t>
      </w:r>
      <w:r>
        <w:rPr>
          <w:color w:val="221F1F"/>
          <w:spacing w:val="-14"/>
        </w:rPr>
        <w:t xml:space="preserve"> </w:t>
      </w:r>
      <w:r>
        <w:rPr>
          <w:color w:val="221F1F"/>
        </w:rPr>
        <w:t>carry</w:t>
      </w:r>
      <w:r>
        <w:rPr>
          <w:color w:val="221F1F"/>
          <w:spacing w:val="-14"/>
        </w:rPr>
        <w:t xml:space="preserve"> </w:t>
      </w:r>
      <w:r>
        <w:rPr>
          <w:color w:val="221F1F"/>
        </w:rPr>
        <w:t>out</w:t>
      </w:r>
      <w:r>
        <w:rPr>
          <w:color w:val="221F1F"/>
          <w:spacing w:val="-14"/>
        </w:rPr>
        <w:t xml:space="preserve"> </w:t>
      </w:r>
      <w:r>
        <w:rPr>
          <w:color w:val="221F1F"/>
        </w:rPr>
        <w:t>the</w:t>
      </w:r>
      <w:r>
        <w:rPr>
          <w:color w:val="221F1F"/>
          <w:spacing w:val="-13"/>
        </w:rPr>
        <w:t xml:space="preserve"> </w:t>
      </w:r>
      <w:r>
        <w:rPr>
          <w:color w:val="221F1F"/>
        </w:rPr>
        <w:t>duties</w:t>
      </w:r>
      <w:r>
        <w:rPr>
          <w:color w:val="221F1F"/>
          <w:spacing w:val="-14"/>
        </w:rPr>
        <w:t xml:space="preserve"> </w:t>
      </w:r>
      <w:r>
        <w:rPr>
          <w:color w:val="221F1F"/>
        </w:rPr>
        <w:t>as</w:t>
      </w:r>
      <w:r>
        <w:rPr>
          <w:color w:val="221F1F"/>
          <w:spacing w:val="-14"/>
        </w:rPr>
        <w:t xml:space="preserve"> </w:t>
      </w:r>
      <w:r>
        <w:rPr>
          <w:color w:val="221F1F"/>
        </w:rPr>
        <w:t>signed</w:t>
      </w:r>
      <w:r>
        <w:rPr>
          <w:color w:val="221F1F"/>
          <w:spacing w:val="-14"/>
        </w:rPr>
        <w:t xml:space="preserve"> </w:t>
      </w:r>
      <w:r>
        <w:rPr>
          <w:color w:val="221F1F"/>
        </w:rPr>
        <w:t>to</w:t>
      </w:r>
      <w:r>
        <w:rPr>
          <w:color w:val="221F1F"/>
          <w:spacing w:val="-13"/>
        </w:rPr>
        <w:t xml:space="preserve"> </w:t>
      </w:r>
      <w:r>
        <w:rPr>
          <w:color w:val="221F1F"/>
        </w:rPr>
        <w:t>him</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 xml:space="preserve">Contract. The Architect staff shall include suitably qualified Assistants and other professionals who are competent to carry out these duties. The Architect Name and Address shall be provided in the </w:t>
      </w:r>
      <w:r>
        <w:rPr>
          <w:b/>
          <w:color w:val="221F1F"/>
        </w:rPr>
        <w:t xml:space="preserve">Special Conditions of </w:t>
      </w:r>
      <w:r>
        <w:rPr>
          <w:b/>
          <w:color w:val="221F1F"/>
          <w:spacing w:val="-2"/>
        </w:rPr>
        <w:t>Contract.</w:t>
      </w:r>
    </w:p>
    <w:p w:rsidR="007F6DF9" w:rsidRDefault="00A43FBC">
      <w:pPr>
        <w:pStyle w:val="ListParagraph"/>
        <w:numPr>
          <w:ilvl w:val="2"/>
          <w:numId w:val="122"/>
        </w:numPr>
        <w:tabs>
          <w:tab w:val="left" w:pos="1368"/>
        </w:tabs>
        <w:spacing w:before="237"/>
        <w:ind w:left="1368" w:hanging="660"/>
        <w:rPr>
          <w:color w:val="221F1F"/>
        </w:rPr>
      </w:pPr>
      <w:r>
        <w:rPr>
          <w:color w:val="221F1F"/>
        </w:rPr>
        <w:t>The</w:t>
      </w:r>
      <w:r>
        <w:rPr>
          <w:color w:val="221F1F"/>
          <w:spacing w:val="-3"/>
        </w:rPr>
        <w:t xml:space="preserve"> </w:t>
      </w:r>
      <w:r>
        <w:rPr>
          <w:color w:val="221F1F"/>
        </w:rPr>
        <w:t>Architect</w:t>
      </w:r>
      <w:r>
        <w:rPr>
          <w:color w:val="221F1F"/>
          <w:spacing w:val="-1"/>
        </w:rPr>
        <w:t xml:space="preserve"> </w:t>
      </w:r>
      <w:r>
        <w:rPr>
          <w:color w:val="221F1F"/>
        </w:rPr>
        <w:t>shall</w:t>
      </w:r>
      <w:r>
        <w:rPr>
          <w:color w:val="221F1F"/>
          <w:spacing w:val="-3"/>
        </w:rPr>
        <w:t xml:space="preserve"> </w:t>
      </w:r>
      <w:r>
        <w:rPr>
          <w:color w:val="221F1F"/>
        </w:rPr>
        <w:t>have</w:t>
      </w:r>
      <w:r>
        <w:rPr>
          <w:color w:val="221F1F"/>
          <w:spacing w:val="-3"/>
        </w:rPr>
        <w:t xml:space="preserve"> </w:t>
      </w:r>
      <w:r>
        <w:rPr>
          <w:color w:val="221F1F"/>
        </w:rPr>
        <w:t>no</w:t>
      </w:r>
      <w:r>
        <w:rPr>
          <w:color w:val="221F1F"/>
          <w:spacing w:val="-6"/>
        </w:rPr>
        <w:t xml:space="preserve"> </w:t>
      </w:r>
      <w:r>
        <w:rPr>
          <w:color w:val="221F1F"/>
        </w:rPr>
        <w:t>authority</w:t>
      </w:r>
      <w:r>
        <w:rPr>
          <w:color w:val="221F1F"/>
          <w:spacing w:val="-4"/>
        </w:rPr>
        <w:t xml:space="preserve"> </w:t>
      </w:r>
      <w:r>
        <w:rPr>
          <w:color w:val="221F1F"/>
        </w:rPr>
        <w:t>to</w:t>
      </w:r>
      <w:r>
        <w:rPr>
          <w:color w:val="221F1F"/>
          <w:spacing w:val="-2"/>
        </w:rPr>
        <w:t xml:space="preserve"> </w:t>
      </w:r>
      <w:r>
        <w:rPr>
          <w:color w:val="221F1F"/>
        </w:rPr>
        <w:t>amend</w:t>
      </w:r>
      <w:r>
        <w:rPr>
          <w:color w:val="221F1F"/>
          <w:spacing w:val="-2"/>
        </w:rPr>
        <w:t xml:space="preserve"> </w:t>
      </w:r>
      <w:r>
        <w:rPr>
          <w:color w:val="221F1F"/>
        </w:rPr>
        <w:t>the</w:t>
      </w:r>
      <w:r>
        <w:rPr>
          <w:color w:val="221F1F"/>
          <w:spacing w:val="-2"/>
        </w:rPr>
        <w:t xml:space="preserve"> Contract.</w:t>
      </w:r>
    </w:p>
    <w:p w:rsidR="007F6DF9" w:rsidRDefault="00A43FBC">
      <w:pPr>
        <w:pStyle w:val="ListParagraph"/>
        <w:numPr>
          <w:ilvl w:val="2"/>
          <w:numId w:val="122"/>
        </w:numPr>
        <w:tabs>
          <w:tab w:val="left" w:pos="1366"/>
          <w:tab w:val="left" w:pos="1369"/>
        </w:tabs>
        <w:spacing w:before="242" w:line="230" w:lineRule="auto"/>
        <w:ind w:left="1369" w:right="557" w:hanging="661"/>
        <w:jc w:val="both"/>
        <w:rPr>
          <w:color w:val="221F1F"/>
        </w:rPr>
      </w:pPr>
      <w:r>
        <w:rPr>
          <w:color w:val="221F1F"/>
        </w:rPr>
        <w:t xml:space="preserve">The Architect May exercise the authority attributable to the Architect as specified in or necessarily to be implied from the Contract. If the </w:t>
      </w:r>
      <w:proofErr w:type="spellStart"/>
      <w:r>
        <w:rPr>
          <w:color w:val="221F1F"/>
        </w:rPr>
        <w:t>Architectis</w:t>
      </w:r>
      <w:proofErr w:type="spellEnd"/>
      <w:r>
        <w:rPr>
          <w:color w:val="221F1F"/>
        </w:rPr>
        <w:t xml:space="preserve"> required to obtain the approval of the Procuring Entity before exercising a specified authority, the requirements shall be as stated in the S</w:t>
      </w:r>
      <w:r>
        <w:rPr>
          <w:b/>
          <w:color w:val="221F1F"/>
        </w:rPr>
        <w:t>pecial Conditions of Contract</w:t>
      </w:r>
      <w:r>
        <w:rPr>
          <w:color w:val="221F1F"/>
        </w:rPr>
        <w:t xml:space="preserve">. The Procuring Entity shall promptly inform the Contractor of any change to the authority attributed to the </w:t>
      </w:r>
      <w:r>
        <w:rPr>
          <w:color w:val="221F1F"/>
          <w:spacing w:val="-2"/>
        </w:rPr>
        <w:t>Engineer.</w:t>
      </w:r>
    </w:p>
    <w:p w:rsidR="007F6DF9" w:rsidRDefault="00A43FBC">
      <w:pPr>
        <w:pStyle w:val="ListParagraph"/>
        <w:numPr>
          <w:ilvl w:val="2"/>
          <w:numId w:val="122"/>
        </w:numPr>
        <w:tabs>
          <w:tab w:val="left" w:pos="1366"/>
          <w:tab w:val="left" w:pos="1369"/>
        </w:tabs>
        <w:spacing w:before="246" w:line="230" w:lineRule="auto"/>
        <w:ind w:left="1369" w:right="559" w:hanging="661"/>
        <w:jc w:val="both"/>
        <w:rPr>
          <w:color w:val="221F1F"/>
        </w:rPr>
      </w:pPr>
      <w:r>
        <w:rPr>
          <w:color w:val="221F1F"/>
        </w:rPr>
        <w:t>However, whenever</w:t>
      </w:r>
      <w:r>
        <w:rPr>
          <w:color w:val="221F1F"/>
          <w:spacing w:val="-1"/>
        </w:rPr>
        <w:t xml:space="preserve"> </w:t>
      </w:r>
      <w:r>
        <w:rPr>
          <w:color w:val="221F1F"/>
        </w:rPr>
        <w:t>the Architect exercises a specified</w:t>
      </w:r>
      <w:r>
        <w:rPr>
          <w:color w:val="221F1F"/>
          <w:spacing w:val="-2"/>
        </w:rPr>
        <w:t xml:space="preserve"> </w:t>
      </w:r>
      <w:r>
        <w:rPr>
          <w:color w:val="221F1F"/>
        </w:rPr>
        <w:t xml:space="preserve">authority for which the Procuring Entity's </w:t>
      </w:r>
      <w:proofErr w:type="spellStart"/>
      <w:r>
        <w:rPr>
          <w:color w:val="221F1F"/>
        </w:rPr>
        <w:t>approvalis</w:t>
      </w:r>
      <w:proofErr w:type="spellEnd"/>
      <w:r>
        <w:rPr>
          <w:color w:val="221F1F"/>
        </w:rPr>
        <w:t xml:space="preserve"> required, then (for</w:t>
      </w:r>
      <w:r>
        <w:rPr>
          <w:color w:val="221F1F"/>
          <w:spacing w:val="-2"/>
        </w:rPr>
        <w:t xml:space="preserve"> </w:t>
      </w:r>
      <w:r>
        <w:rPr>
          <w:color w:val="221F1F"/>
        </w:rPr>
        <w:t>the purposes of the Contract)</w:t>
      </w:r>
      <w:r>
        <w:rPr>
          <w:color w:val="221F1F"/>
          <w:spacing w:val="-1"/>
        </w:rPr>
        <w:t xml:space="preserve"> </w:t>
      </w:r>
      <w:r>
        <w:rPr>
          <w:color w:val="221F1F"/>
        </w:rPr>
        <w:t xml:space="preserve">the contractor shall require the Architect </w:t>
      </w:r>
      <w:proofErr w:type="spellStart"/>
      <w:r>
        <w:rPr>
          <w:color w:val="221F1F"/>
        </w:rPr>
        <w:t>toprovideevidence</w:t>
      </w:r>
      <w:proofErr w:type="spellEnd"/>
      <w:r>
        <w:rPr>
          <w:color w:val="221F1F"/>
        </w:rPr>
        <w:t xml:space="preserve"> of such approval before complying with the instruction.</w:t>
      </w:r>
    </w:p>
    <w:p w:rsidR="007F6DF9" w:rsidRDefault="00A43FBC">
      <w:pPr>
        <w:pStyle w:val="ListParagraph"/>
        <w:numPr>
          <w:ilvl w:val="2"/>
          <w:numId w:val="122"/>
        </w:numPr>
        <w:tabs>
          <w:tab w:val="left" w:pos="1368"/>
        </w:tabs>
        <w:spacing w:before="235"/>
        <w:ind w:left="1368" w:hanging="660"/>
        <w:rPr>
          <w:color w:val="221F1F"/>
        </w:rPr>
      </w:pPr>
      <w:r>
        <w:rPr>
          <w:color w:val="221F1F"/>
        </w:rPr>
        <w:t>Except</w:t>
      </w:r>
      <w:r>
        <w:rPr>
          <w:color w:val="221F1F"/>
          <w:spacing w:val="-4"/>
        </w:rPr>
        <w:t xml:space="preserve"> </w:t>
      </w:r>
      <w:r>
        <w:rPr>
          <w:color w:val="221F1F"/>
        </w:rPr>
        <w:t>as</w:t>
      </w:r>
      <w:r>
        <w:rPr>
          <w:color w:val="221F1F"/>
          <w:spacing w:val="-3"/>
        </w:rPr>
        <w:t xml:space="preserve"> </w:t>
      </w:r>
      <w:r>
        <w:rPr>
          <w:color w:val="221F1F"/>
        </w:rPr>
        <w:t>otherwise</w:t>
      </w:r>
      <w:r>
        <w:rPr>
          <w:color w:val="221F1F"/>
          <w:spacing w:val="-2"/>
        </w:rPr>
        <w:t xml:space="preserve"> </w:t>
      </w:r>
      <w:r>
        <w:rPr>
          <w:color w:val="221F1F"/>
        </w:rPr>
        <w:t>stated</w:t>
      </w:r>
      <w:r>
        <w:rPr>
          <w:color w:val="221F1F"/>
          <w:spacing w:val="-4"/>
        </w:rPr>
        <w:t xml:space="preserve"> </w:t>
      </w:r>
      <w:r>
        <w:rPr>
          <w:color w:val="221F1F"/>
        </w:rPr>
        <w:t>in</w:t>
      </w:r>
      <w:r>
        <w:rPr>
          <w:color w:val="221F1F"/>
          <w:spacing w:val="-3"/>
        </w:rPr>
        <w:t xml:space="preserve"> </w:t>
      </w:r>
      <w:r>
        <w:rPr>
          <w:color w:val="221F1F"/>
        </w:rPr>
        <w:t>these</w:t>
      </w:r>
      <w:r>
        <w:rPr>
          <w:color w:val="221F1F"/>
          <w:spacing w:val="-1"/>
        </w:rPr>
        <w:t xml:space="preserve"> </w:t>
      </w:r>
      <w:r>
        <w:rPr>
          <w:color w:val="221F1F"/>
          <w:spacing w:val="-2"/>
        </w:rPr>
        <w:t>Conditions:</w:t>
      </w:r>
    </w:p>
    <w:p w:rsidR="007F6DF9" w:rsidRDefault="007F6DF9">
      <w:pPr>
        <w:pStyle w:val="BodyText"/>
        <w:spacing w:before="64"/>
      </w:pPr>
    </w:p>
    <w:p w:rsidR="007F6DF9" w:rsidRDefault="00A43FBC">
      <w:pPr>
        <w:pStyle w:val="ListParagraph"/>
        <w:numPr>
          <w:ilvl w:val="0"/>
          <w:numId w:val="35"/>
        </w:numPr>
        <w:tabs>
          <w:tab w:val="left" w:pos="1868"/>
        </w:tabs>
        <w:spacing w:line="230" w:lineRule="auto"/>
        <w:ind w:right="1081"/>
      </w:pPr>
      <w:r>
        <w:rPr>
          <w:color w:val="221F1F"/>
        </w:rPr>
        <w:t>Whenever</w:t>
      </w:r>
      <w:r>
        <w:rPr>
          <w:color w:val="221F1F"/>
          <w:spacing w:val="-4"/>
        </w:rPr>
        <w:t xml:space="preserve"> </w:t>
      </w:r>
      <w:r>
        <w:rPr>
          <w:color w:val="221F1F"/>
        </w:rPr>
        <w:t>carrying</w:t>
      </w:r>
      <w:r>
        <w:rPr>
          <w:color w:val="221F1F"/>
          <w:spacing w:val="-2"/>
        </w:rPr>
        <w:t xml:space="preserve"> </w:t>
      </w:r>
      <w:r>
        <w:rPr>
          <w:color w:val="221F1F"/>
        </w:rPr>
        <w:t>out</w:t>
      </w:r>
      <w:r>
        <w:rPr>
          <w:color w:val="221F1F"/>
          <w:spacing w:val="-2"/>
        </w:rPr>
        <w:t xml:space="preserve"> </w:t>
      </w:r>
      <w:r>
        <w:rPr>
          <w:color w:val="221F1F"/>
        </w:rPr>
        <w:t>duties</w:t>
      </w:r>
      <w:r>
        <w:rPr>
          <w:color w:val="221F1F"/>
          <w:spacing w:val="-2"/>
        </w:rPr>
        <w:t xml:space="preserve"> </w:t>
      </w:r>
      <w:r>
        <w:rPr>
          <w:color w:val="221F1F"/>
        </w:rPr>
        <w:t>or</w:t>
      </w:r>
      <w:r>
        <w:rPr>
          <w:color w:val="221F1F"/>
          <w:spacing w:val="-5"/>
        </w:rPr>
        <w:t xml:space="preserve"> </w:t>
      </w:r>
      <w:r>
        <w:rPr>
          <w:color w:val="221F1F"/>
        </w:rPr>
        <w:t>exercising</w:t>
      </w:r>
      <w:r>
        <w:rPr>
          <w:color w:val="221F1F"/>
          <w:spacing w:val="-3"/>
        </w:rPr>
        <w:t xml:space="preserve"> </w:t>
      </w:r>
      <w:r>
        <w:rPr>
          <w:color w:val="221F1F"/>
        </w:rPr>
        <w:t>authority,</w:t>
      </w:r>
      <w:r>
        <w:rPr>
          <w:color w:val="221F1F"/>
          <w:spacing w:val="-2"/>
        </w:rPr>
        <w:t xml:space="preserve"> </w:t>
      </w:r>
      <w:r>
        <w:rPr>
          <w:color w:val="221F1F"/>
        </w:rPr>
        <w:t>specified</w:t>
      </w:r>
      <w:r>
        <w:rPr>
          <w:color w:val="221F1F"/>
          <w:spacing w:val="-2"/>
        </w:rPr>
        <w:t xml:space="preserve"> </w:t>
      </w:r>
      <w:r>
        <w:rPr>
          <w:color w:val="221F1F"/>
        </w:rPr>
        <w:t>in</w:t>
      </w:r>
      <w:r>
        <w:rPr>
          <w:color w:val="221F1F"/>
          <w:spacing w:val="-3"/>
        </w:rPr>
        <w:t xml:space="preserve"> </w:t>
      </w:r>
      <w:r>
        <w:rPr>
          <w:color w:val="221F1F"/>
        </w:rPr>
        <w:t>or</w:t>
      </w:r>
      <w:r>
        <w:rPr>
          <w:color w:val="221F1F"/>
          <w:spacing w:val="-5"/>
        </w:rPr>
        <w:t xml:space="preserve"> </w:t>
      </w:r>
      <w:r>
        <w:rPr>
          <w:color w:val="221F1F"/>
        </w:rPr>
        <w:t>implied</w:t>
      </w:r>
      <w:r>
        <w:rPr>
          <w:color w:val="221F1F"/>
          <w:spacing w:val="-4"/>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 xml:space="preserve">the Architect </w:t>
      </w:r>
      <w:proofErr w:type="spellStart"/>
      <w:r>
        <w:rPr>
          <w:color w:val="221F1F"/>
        </w:rPr>
        <w:t>shallbedeemedtoactfortheProcuring</w:t>
      </w:r>
      <w:proofErr w:type="spellEnd"/>
      <w:r>
        <w:rPr>
          <w:color w:val="221F1F"/>
        </w:rPr>
        <w:t xml:space="preserve"> Entity;</w:t>
      </w:r>
    </w:p>
    <w:p w:rsidR="007F6DF9" w:rsidRDefault="00A43FBC">
      <w:pPr>
        <w:pStyle w:val="ListParagraph"/>
        <w:numPr>
          <w:ilvl w:val="0"/>
          <w:numId w:val="35"/>
        </w:numPr>
        <w:tabs>
          <w:tab w:val="left" w:pos="1868"/>
        </w:tabs>
        <w:spacing w:before="73" w:line="230" w:lineRule="auto"/>
        <w:ind w:right="583"/>
      </w:pPr>
      <w:r>
        <w:rPr>
          <w:color w:val="221F1F"/>
        </w:rPr>
        <w:t>the</w:t>
      </w:r>
      <w:r>
        <w:rPr>
          <w:color w:val="221F1F"/>
          <w:spacing w:val="-2"/>
        </w:rPr>
        <w:t xml:space="preserve"> </w:t>
      </w:r>
      <w:r>
        <w:rPr>
          <w:color w:val="221F1F"/>
        </w:rPr>
        <w:t>Architect has</w:t>
      </w:r>
      <w:r>
        <w:rPr>
          <w:color w:val="221F1F"/>
          <w:spacing w:val="-1"/>
        </w:rPr>
        <w:t xml:space="preserve"> </w:t>
      </w:r>
      <w:r>
        <w:rPr>
          <w:color w:val="221F1F"/>
        </w:rPr>
        <w:t>no</w:t>
      </w:r>
      <w:r>
        <w:rPr>
          <w:color w:val="221F1F"/>
          <w:spacing w:val="-4"/>
        </w:rPr>
        <w:t xml:space="preserve"> </w:t>
      </w:r>
      <w:r>
        <w:rPr>
          <w:color w:val="221F1F"/>
        </w:rPr>
        <w:t>authority</w:t>
      </w:r>
      <w:r>
        <w:rPr>
          <w:color w:val="221F1F"/>
          <w:spacing w:val="-2"/>
        </w:rPr>
        <w:t xml:space="preserve"> </w:t>
      </w:r>
      <w:r>
        <w:rPr>
          <w:color w:val="221F1F"/>
        </w:rPr>
        <w:t>to</w:t>
      </w:r>
      <w:r>
        <w:rPr>
          <w:color w:val="221F1F"/>
          <w:spacing w:val="-5"/>
        </w:rPr>
        <w:t xml:space="preserve"> </w:t>
      </w:r>
      <w:r>
        <w:rPr>
          <w:color w:val="221F1F"/>
        </w:rPr>
        <w:t>relieve</w:t>
      </w:r>
      <w:r>
        <w:rPr>
          <w:color w:val="221F1F"/>
          <w:spacing w:val="-4"/>
        </w:rPr>
        <w:t xml:space="preserve"> </w:t>
      </w:r>
      <w:r>
        <w:rPr>
          <w:color w:val="221F1F"/>
        </w:rPr>
        <w:t>either</w:t>
      </w:r>
      <w:r>
        <w:rPr>
          <w:color w:val="221F1F"/>
          <w:spacing w:val="-1"/>
        </w:rPr>
        <w:t xml:space="preserve"> </w:t>
      </w:r>
      <w:r>
        <w:rPr>
          <w:color w:val="221F1F"/>
        </w:rPr>
        <w:t>Party</w:t>
      </w:r>
      <w:r>
        <w:rPr>
          <w:color w:val="221F1F"/>
          <w:spacing w:val="-2"/>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duties,</w:t>
      </w:r>
      <w:r>
        <w:rPr>
          <w:color w:val="221F1F"/>
          <w:spacing w:val="-1"/>
        </w:rPr>
        <w:t xml:space="preserve"> </w:t>
      </w:r>
      <w:r>
        <w:rPr>
          <w:color w:val="221F1F"/>
        </w:rPr>
        <w:t>obligations</w:t>
      </w:r>
      <w:r>
        <w:rPr>
          <w:color w:val="221F1F"/>
          <w:spacing w:val="-3"/>
        </w:rPr>
        <w:t xml:space="preserve"> </w:t>
      </w:r>
      <w:r>
        <w:rPr>
          <w:color w:val="221F1F"/>
        </w:rPr>
        <w:t>or</w:t>
      </w:r>
      <w:r>
        <w:rPr>
          <w:color w:val="221F1F"/>
          <w:spacing w:val="-4"/>
        </w:rPr>
        <w:t xml:space="preserve"> </w:t>
      </w:r>
      <w:r>
        <w:rPr>
          <w:color w:val="221F1F"/>
        </w:rPr>
        <w:t>responsibilities</w:t>
      </w:r>
      <w:r>
        <w:rPr>
          <w:color w:val="221F1F"/>
          <w:spacing w:val="-1"/>
        </w:rPr>
        <w:t xml:space="preserve"> </w:t>
      </w:r>
      <w:r>
        <w:rPr>
          <w:color w:val="221F1F"/>
        </w:rPr>
        <w:t>under the Contract;</w:t>
      </w:r>
    </w:p>
    <w:p w:rsidR="007F6DF9" w:rsidRDefault="00A43FBC">
      <w:pPr>
        <w:pStyle w:val="ListParagraph"/>
        <w:numPr>
          <w:ilvl w:val="0"/>
          <w:numId w:val="35"/>
        </w:numPr>
        <w:tabs>
          <w:tab w:val="left" w:pos="1867"/>
          <w:tab w:val="left" w:pos="1873"/>
        </w:tabs>
        <w:spacing w:before="74" w:line="230" w:lineRule="auto"/>
        <w:ind w:left="1873" w:right="560" w:hanging="504"/>
        <w:jc w:val="both"/>
      </w:pPr>
      <w:r>
        <w:rPr>
          <w:color w:val="221F1F"/>
        </w:rPr>
        <w:t>any</w:t>
      </w:r>
      <w:r>
        <w:rPr>
          <w:color w:val="221F1F"/>
          <w:spacing w:val="-8"/>
        </w:rPr>
        <w:t xml:space="preserve"> </w:t>
      </w:r>
      <w:r>
        <w:rPr>
          <w:color w:val="221F1F"/>
        </w:rPr>
        <w:t>approval,</w:t>
      </w:r>
      <w:r>
        <w:rPr>
          <w:color w:val="221F1F"/>
          <w:spacing w:val="-10"/>
        </w:rPr>
        <w:t xml:space="preserve"> </w:t>
      </w:r>
      <w:r>
        <w:rPr>
          <w:color w:val="221F1F"/>
        </w:rPr>
        <w:t>check,</w:t>
      </w:r>
      <w:r>
        <w:rPr>
          <w:color w:val="221F1F"/>
          <w:spacing w:val="-7"/>
        </w:rPr>
        <w:t xml:space="preserve"> </w:t>
      </w:r>
      <w:r>
        <w:rPr>
          <w:color w:val="221F1F"/>
        </w:rPr>
        <w:t>certificate,</w:t>
      </w:r>
      <w:r>
        <w:rPr>
          <w:color w:val="221F1F"/>
          <w:spacing w:val="-7"/>
        </w:rPr>
        <w:t xml:space="preserve"> </w:t>
      </w:r>
      <w:r>
        <w:rPr>
          <w:color w:val="221F1F"/>
        </w:rPr>
        <w:t>consent,</w:t>
      </w:r>
      <w:r>
        <w:rPr>
          <w:color w:val="221F1F"/>
          <w:spacing w:val="-8"/>
        </w:rPr>
        <w:t xml:space="preserve"> </w:t>
      </w:r>
      <w:r>
        <w:rPr>
          <w:color w:val="221F1F"/>
        </w:rPr>
        <w:t>examination,</w:t>
      </w:r>
      <w:r>
        <w:rPr>
          <w:color w:val="221F1F"/>
          <w:spacing w:val="-10"/>
        </w:rPr>
        <w:t xml:space="preserve"> </w:t>
      </w:r>
      <w:r>
        <w:rPr>
          <w:color w:val="221F1F"/>
        </w:rPr>
        <w:t>inspection,</w:t>
      </w:r>
      <w:r>
        <w:rPr>
          <w:color w:val="221F1F"/>
          <w:spacing w:val="-10"/>
        </w:rPr>
        <w:t xml:space="preserve"> </w:t>
      </w:r>
      <w:r>
        <w:rPr>
          <w:color w:val="221F1F"/>
        </w:rPr>
        <w:t>instruction,</w:t>
      </w:r>
      <w:r>
        <w:rPr>
          <w:color w:val="221F1F"/>
          <w:spacing w:val="-9"/>
        </w:rPr>
        <w:t xml:space="preserve"> </w:t>
      </w:r>
      <w:r>
        <w:rPr>
          <w:color w:val="221F1F"/>
        </w:rPr>
        <w:t>notice,</w:t>
      </w:r>
      <w:r>
        <w:rPr>
          <w:color w:val="221F1F"/>
          <w:spacing w:val="-8"/>
        </w:rPr>
        <w:t xml:space="preserve"> </w:t>
      </w:r>
      <w:r>
        <w:rPr>
          <w:color w:val="221F1F"/>
        </w:rPr>
        <w:t>proposal,</w:t>
      </w:r>
      <w:r>
        <w:rPr>
          <w:color w:val="221F1F"/>
          <w:spacing w:val="-10"/>
        </w:rPr>
        <w:t xml:space="preserve"> </w:t>
      </w:r>
      <w:r>
        <w:rPr>
          <w:color w:val="221F1F"/>
        </w:rPr>
        <w:t>request, test, or similar act by the Architect (including absence of disapproval) shall not relieve the Contractor from any responsibility he has under the Contract, including responsibility for errors, omissions, discrepancies and non-compliances; and</w:t>
      </w:r>
    </w:p>
    <w:p w:rsidR="007F6DF9" w:rsidRDefault="00A43FBC">
      <w:pPr>
        <w:pStyle w:val="ListParagraph"/>
        <w:numPr>
          <w:ilvl w:val="0"/>
          <w:numId w:val="35"/>
        </w:numPr>
        <w:tabs>
          <w:tab w:val="left" w:pos="1867"/>
          <w:tab w:val="left" w:pos="1873"/>
        </w:tabs>
        <w:spacing w:before="75" w:line="230" w:lineRule="auto"/>
        <w:ind w:left="1873" w:right="1400" w:hanging="492"/>
        <w:jc w:val="both"/>
      </w:pPr>
      <w:proofErr w:type="spellStart"/>
      <w:r>
        <w:rPr>
          <w:color w:val="221F1F"/>
        </w:rPr>
        <w:t>anyact</w:t>
      </w:r>
      <w:proofErr w:type="spellEnd"/>
      <w:r>
        <w:rPr>
          <w:color w:val="221F1F"/>
          <w:spacing w:val="-1"/>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Architect</w:t>
      </w:r>
      <w:r>
        <w:rPr>
          <w:color w:val="221F1F"/>
          <w:spacing w:val="-2"/>
        </w:rPr>
        <w:t xml:space="preserve"> </w:t>
      </w:r>
      <w:r>
        <w:rPr>
          <w:color w:val="221F1F"/>
        </w:rPr>
        <w:t>in</w:t>
      </w:r>
      <w:r>
        <w:rPr>
          <w:color w:val="221F1F"/>
          <w:spacing w:val="-5"/>
        </w:rPr>
        <w:t xml:space="preserve"> </w:t>
      </w:r>
      <w:r>
        <w:rPr>
          <w:color w:val="221F1F"/>
        </w:rPr>
        <w:t>response</w:t>
      </w:r>
      <w:r>
        <w:rPr>
          <w:color w:val="221F1F"/>
          <w:spacing w:val="-2"/>
        </w:rPr>
        <w:t xml:space="preserve"> </w:t>
      </w:r>
      <w:r>
        <w:rPr>
          <w:color w:val="221F1F"/>
        </w:rPr>
        <w:t>to</w:t>
      </w:r>
      <w:r>
        <w:rPr>
          <w:color w:val="221F1F"/>
          <w:spacing w:val="-2"/>
        </w:rPr>
        <w:t xml:space="preserve"> </w:t>
      </w:r>
      <w:r>
        <w:rPr>
          <w:color w:val="221F1F"/>
        </w:rPr>
        <w:t>a</w:t>
      </w:r>
      <w:r>
        <w:rPr>
          <w:color w:val="221F1F"/>
          <w:spacing w:val="-2"/>
        </w:rPr>
        <w:t xml:space="preserve"> </w:t>
      </w:r>
      <w:r>
        <w:rPr>
          <w:color w:val="221F1F"/>
        </w:rPr>
        <w:t>Contractor's</w:t>
      </w:r>
      <w:r>
        <w:rPr>
          <w:color w:val="221F1F"/>
          <w:spacing w:val="-1"/>
        </w:rPr>
        <w:t xml:space="preserve"> </w:t>
      </w:r>
      <w:r>
        <w:rPr>
          <w:color w:val="221F1F"/>
        </w:rPr>
        <w:t>request</w:t>
      </w:r>
      <w:r>
        <w:rPr>
          <w:color w:val="221F1F"/>
          <w:spacing w:val="-3"/>
        </w:rPr>
        <w:t xml:space="preserve"> </w:t>
      </w:r>
      <w:r>
        <w:rPr>
          <w:color w:val="221F1F"/>
        </w:rPr>
        <w:t>shall</w:t>
      </w:r>
      <w:r>
        <w:rPr>
          <w:color w:val="221F1F"/>
          <w:spacing w:val="-3"/>
        </w:rPr>
        <w:t xml:space="preserve"> </w:t>
      </w:r>
      <w:r>
        <w:rPr>
          <w:color w:val="221F1F"/>
        </w:rPr>
        <w:t>be</w:t>
      </w:r>
      <w:r>
        <w:rPr>
          <w:color w:val="221F1F"/>
          <w:spacing w:val="-2"/>
        </w:rPr>
        <w:t xml:space="preserve"> </w:t>
      </w:r>
      <w:r>
        <w:rPr>
          <w:color w:val="221F1F"/>
        </w:rPr>
        <w:t>notified</w:t>
      </w:r>
      <w:r>
        <w:rPr>
          <w:color w:val="221F1F"/>
          <w:spacing w:val="-3"/>
        </w:rPr>
        <w:t xml:space="preserve"> </w:t>
      </w:r>
      <w:r>
        <w:rPr>
          <w:color w:val="221F1F"/>
        </w:rPr>
        <w:t>in</w:t>
      </w:r>
      <w:r>
        <w:rPr>
          <w:color w:val="221F1F"/>
          <w:spacing w:val="-2"/>
        </w:rPr>
        <w:t xml:space="preserve"> </w:t>
      </w:r>
      <w:r>
        <w:rPr>
          <w:color w:val="221F1F"/>
        </w:rPr>
        <w:t>writing</w:t>
      </w:r>
      <w:r>
        <w:rPr>
          <w:color w:val="221F1F"/>
          <w:spacing w:val="-4"/>
        </w:rPr>
        <w:t xml:space="preserve"> </w:t>
      </w:r>
      <w:r>
        <w:rPr>
          <w:color w:val="221F1F"/>
        </w:rPr>
        <w:t>to</w:t>
      </w:r>
      <w:r>
        <w:rPr>
          <w:color w:val="221F1F"/>
          <w:spacing w:val="-2"/>
        </w:rPr>
        <w:t xml:space="preserve"> </w:t>
      </w:r>
      <w:r>
        <w:rPr>
          <w:color w:val="221F1F"/>
        </w:rPr>
        <w:t>the Contractor within 14 days of receipt.</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3"/>
      </w:pPr>
    </w:p>
    <w:p w:rsidR="007F6DF9" w:rsidRDefault="00A43FBC">
      <w:pPr>
        <w:pStyle w:val="ListParagraph"/>
        <w:numPr>
          <w:ilvl w:val="2"/>
          <w:numId w:val="122"/>
        </w:numPr>
        <w:tabs>
          <w:tab w:val="left" w:pos="1366"/>
        </w:tabs>
        <w:spacing w:before="1"/>
        <w:ind w:left="1366" w:hanging="660"/>
        <w:rPr>
          <w:color w:val="221F1F"/>
        </w:rPr>
      </w:pPr>
      <w:r>
        <w:rPr>
          <w:color w:val="221F1F"/>
        </w:rPr>
        <w:t>The</w:t>
      </w:r>
      <w:r>
        <w:rPr>
          <w:color w:val="221F1F"/>
          <w:spacing w:val="-5"/>
        </w:rPr>
        <w:t xml:space="preserve"> </w:t>
      </w:r>
      <w:r>
        <w:rPr>
          <w:color w:val="221F1F"/>
        </w:rPr>
        <w:t>following</w:t>
      </w:r>
      <w:r>
        <w:rPr>
          <w:color w:val="221F1F"/>
          <w:spacing w:val="-4"/>
        </w:rPr>
        <w:t xml:space="preserve"> </w:t>
      </w:r>
      <w:r>
        <w:rPr>
          <w:color w:val="221F1F"/>
        </w:rPr>
        <w:t>provisions</w:t>
      </w:r>
      <w:r>
        <w:rPr>
          <w:color w:val="221F1F"/>
          <w:spacing w:val="-6"/>
        </w:rPr>
        <w:t xml:space="preserve"> </w:t>
      </w:r>
      <w:r>
        <w:rPr>
          <w:color w:val="221F1F"/>
        </w:rPr>
        <w:t>shall</w:t>
      </w:r>
      <w:r>
        <w:rPr>
          <w:color w:val="221F1F"/>
          <w:spacing w:val="-3"/>
        </w:rPr>
        <w:t xml:space="preserve"> </w:t>
      </w:r>
      <w:r>
        <w:rPr>
          <w:color w:val="221F1F"/>
          <w:spacing w:val="-2"/>
        </w:rPr>
        <w:t>apply:</w:t>
      </w:r>
    </w:p>
    <w:p w:rsidR="007F6DF9" w:rsidRDefault="00A43FBC">
      <w:pPr>
        <w:pStyle w:val="BodyText"/>
        <w:spacing w:before="242" w:line="230" w:lineRule="auto"/>
        <w:ind w:left="1378" w:right="1103" w:hanging="12"/>
      </w:pPr>
      <w:r>
        <w:rPr>
          <w:color w:val="221F1F"/>
        </w:rPr>
        <w:t>The</w:t>
      </w:r>
      <w:r>
        <w:rPr>
          <w:color w:val="221F1F"/>
          <w:spacing w:val="-2"/>
        </w:rPr>
        <w:t xml:space="preserve"> </w:t>
      </w:r>
      <w:r>
        <w:rPr>
          <w:color w:val="221F1F"/>
        </w:rPr>
        <w:t>Architect</w:t>
      </w:r>
      <w:r>
        <w:rPr>
          <w:color w:val="221F1F"/>
          <w:spacing w:val="-1"/>
        </w:rPr>
        <w:t xml:space="preserve"> </w:t>
      </w:r>
      <w:r>
        <w:rPr>
          <w:color w:val="221F1F"/>
        </w:rPr>
        <w:t>shall</w:t>
      </w:r>
      <w:r>
        <w:rPr>
          <w:color w:val="221F1F"/>
          <w:spacing w:val="-3"/>
        </w:rPr>
        <w:t xml:space="preserve"> </w:t>
      </w:r>
      <w:r>
        <w:rPr>
          <w:color w:val="221F1F"/>
        </w:rPr>
        <w:t>obtain</w:t>
      </w:r>
      <w:r>
        <w:rPr>
          <w:color w:val="221F1F"/>
          <w:spacing w:val="-4"/>
        </w:rPr>
        <w:t xml:space="preserve"> </w:t>
      </w:r>
      <w:r>
        <w:rPr>
          <w:color w:val="221F1F"/>
        </w:rPr>
        <w:t>the</w:t>
      </w:r>
      <w:r>
        <w:rPr>
          <w:color w:val="221F1F"/>
          <w:spacing w:val="-2"/>
        </w:rPr>
        <w:t xml:space="preserve"> </w:t>
      </w:r>
      <w:r>
        <w:rPr>
          <w:color w:val="221F1F"/>
        </w:rPr>
        <w:t>specific</w:t>
      </w:r>
      <w:r>
        <w:rPr>
          <w:color w:val="221F1F"/>
          <w:spacing w:val="-2"/>
        </w:rPr>
        <w:t xml:space="preserve"> </w:t>
      </w:r>
      <w:r>
        <w:rPr>
          <w:color w:val="221F1F"/>
        </w:rPr>
        <w:t>approval</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before</w:t>
      </w:r>
      <w:r>
        <w:rPr>
          <w:color w:val="221F1F"/>
          <w:spacing w:val="-4"/>
        </w:rPr>
        <w:t xml:space="preserve"> </w:t>
      </w:r>
      <w:r>
        <w:rPr>
          <w:color w:val="221F1F"/>
        </w:rPr>
        <w:t>taking</w:t>
      </w:r>
      <w:r>
        <w:rPr>
          <w:color w:val="221F1F"/>
          <w:spacing w:val="-1"/>
        </w:rPr>
        <w:t xml:space="preserve"> </w:t>
      </w:r>
      <w:r>
        <w:rPr>
          <w:color w:val="221F1F"/>
        </w:rPr>
        <w:t>action</w:t>
      </w:r>
      <w:r>
        <w:rPr>
          <w:color w:val="221F1F"/>
          <w:spacing w:val="-2"/>
        </w:rPr>
        <w:t xml:space="preserve"> </w:t>
      </w:r>
      <w:r>
        <w:rPr>
          <w:color w:val="221F1F"/>
        </w:rPr>
        <w:t>under</w:t>
      </w:r>
      <w:r>
        <w:rPr>
          <w:color w:val="221F1F"/>
          <w:spacing w:val="-3"/>
        </w:rPr>
        <w:t xml:space="preserve"> </w:t>
      </w:r>
      <w:r>
        <w:rPr>
          <w:color w:val="221F1F"/>
        </w:rPr>
        <w:t>the-following Sub-Clauses of these Conditions:</w:t>
      </w:r>
    </w:p>
    <w:p w:rsidR="007F6DF9" w:rsidRDefault="00A43FBC">
      <w:pPr>
        <w:pStyle w:val="ListParagraph"/>
        <w:numPr>
          <w:ilvl w:val="0"/>
          <w:numId w:val="33"/>
        </w:numPr>
        <w:tabs>
          <w:tab w:val="left" w:pos="1865"/>
        </w:tabs>
        <w:spacing w:before="236"/>
        <w:ind w:hanging="499"/>
      </w:pPr>
      <w:r>
        <w:rPr>
          <w:color w:val="221F1F"/>
        </w:rPr>
        <w:t>Sub-Clause</w:t>
      </w:r>
      <w:r>
        <w:rPr>
          <w:color w:val="221F1F"/>
          <w:spacing w:val="-8"/>
        </w:rPr>
        <w:t xml:space="preserve"> </w:t>
      </w:r>
      <w:r>
        <w:rPr>
          <w:color w:val="221F1F"/>
        </w:rPr>
        <w:t>4.12:</w:t>
      </w:r>
      <w:r>
        <w:rPr>
          <w:color w:val="221F1F"/>
          <w:spacing w:val="-5"/>
        </w:rPr>
        <w:t xml:space="preserve"> </w:t>
      </w:r>
      <w:r>
        <w:rPr>
          <w:color w:val="221F1F"/>
        </w:rPr>
        <w:t>agreeing</w:t>
      </w:r>
      <w:r>
        <w:rPr>
          <w:color w:val="221F1F"/>
          <w:spacing w:val="-6"/>
        </w:rPr>
        <w:t xml:space="preserve"> </w:t>
      </w:r>
      <w:r>
        <w:rPr>
          <w:color w:val="221F1F"/>
        </w:rPr>
        <w:t>or</w:t>
      </w:r>
      <w:r>
        <w:rPr>
          <w:color w:val="221F1F"/>
          <w:spacing w:val="-2"/>
        </w:rPr>
        <w:t xml:space="preserve"> </w:t>
      </w:r>
      <w:r>
        <w:rPr>
          <w:color w:val="221F1F"/>
        </w:rPr>
        <w:t>determining</w:t>
      </w:r>
      <w:r>
        <w:rPr>
          <w:color w:val="221F1F"/>
          <w:spacing w:val="-4"/>
        </w:rPr>
        <w:t xml:space="preserve"> </w:t>
      </w:r>
      <w:r>
        <w:rPr>
          <w:color w:val="221F1F"/>
        </w:rPr>
        <w:t>an</w:t>
      </w:r>
      <w:r>
        <w:rPr>
          <w:color w:val="221F1F"/>
          <w:spacing w:val="-6"/>
        </w:rPr>
        <w:t xml:space="preserve"> </w:t>
      </w:r>
      <w:r>
        <w:rPr>
          <w:color w:val="221F1F"/>
        </w:rPr>
        <w:t>extension</w:t>
      </w:r>
      <w:r>
        <w:rPr>
          <w:color w:val="221F1F"/>
          <w:spacing w:val="-4"/>
        </w:rPr>
        <w:t xml:space="preserve"> </w:t>
      </w:r>
      <w:r>
        <w:rPr>
          <w:color w:val="221F1F"/>
        </w:rPr>
        <w:t>of</w:t>
      </w:r>
      <w:r>
        <w:rPr>
          <w:color w:val="221F1F"/>
          <w:spacing w:val="-3"/>
        </w:rPr>
        <w:t xml:space="preserve"> </w:t>
      </w:r>
      <w:r>
        <w:rPr>
          <w:color w:val="221F1F"/>
        </w:rPr>
        <w:t>time</w:t>
      </w:r>
      <w:r>
        <w:rPr>
          <w:color w:val="221F1F"/>
          <w:spacing w:val="-3"/>
        </w:rPr>
        <w:t xml:space="preserve"> </w:t>
      </w:r>
      <w:r>
        <w:rPr>
          <w:color w:val="221F1F"/>
        </w:rPr>
        <w:t>and/or</w:t>
      </w:r>
      <w:r>
        <w:rPr>
          <w:color w:val="221F1F"/>
          <w:spacing w:val="-3"/>
        </w:rPr>
        <w:t xml:space="preserve"> </w:t>
      </w:r>
      <w:r>
        <w:rPr>
          <w:color w:val="221F1F"/>
        </w:rPr>
        <w:t>additional</w:t>
      </w:r>
      <w:r>
        <w:rPr>
          <w:color w:val="221F1F"/>
          <w:spacing w:val="-3"/>
        </w:rPr>
        <w:t xml:space="preserve"> </w:t>
      </w:r>
      <w:r>
        <w:rPr>
          <w:color w:val="221F1F"/>
          <w:spacing w:val="-2"/>
        </w:rPr>
        <w:t>cost.</w:t>
      </w:r>
    </w:p>
    <w:p w:rsidR="007F6DF9" w:rsidRDefault="00A43FBC">
      <w:pPr>
        <w:pStyle w:val="ListParagraph"/>
        <w:numPr>
          <w:ilvl w:val="0"/>
          <w:numId w:val="33"/>
        </w:numPr>
        <w:tabs>
          <w:tab w:val="left" w:pos="1865"/>
        </w:tabs>
        <w:spacing w:before="64"/>
        <w:ind w:hanging="499"/>
      </w:pPr>
      <w:r>
        <w:rPr>
          <w:color w:val="221F1F"/>
        </w:rPr>
        <w:t>Sub-Clause</w:t>
      </w:r>
      <w:r>
        <w:rPr>
          <w:color w:val="221F1F"/>
          <w:spacing w:val="-14"/>
        </w:rPr>
        <w:t xml:space="preserve"> </w:t>
      </w:r>
      <w:r>
        <w:rPr>
          <w:color w:val="221F1F"/>
        </w:rPr>
        <w:t>13.1:</w:t>
      </w:r>
      <w:r>
        <w:rPr>
          <w:color w:val="221F1F"/>
          <w:spacing w:val="-12"/>
        </w:rPr>
        <w:t xml:space="preserve"> </w:t>
      </w:r>
      <w:r>
        <w:rPr>
          <w:color w:val="221F1F"/>
        </w:rPr>
        <w:t>instructing</w:t>
      </w:r>
      <w:r>
        <w:rPr>
          <w:color w:val="221F1F"/>
          <w:spacing w:val="-9"/>
        </w:rPr>
        <w:t xml:space="preserve"> </w:t>
      </w:r>
      <w:r>
        <w:rPr>
          <w:color w:val="221F1F"/>
        </w:rPr>
        <w:t>a</w:t>
      </w:r>
      <w:r>
        <w:rPr>
          <w:color w:val="221F1F"/>
          <w:spacing w:val="-10"/>
        </w:rPr>
        <w:t xml:space="preserve"> </w:t>
      </w:r>
      <w:r>
        <w:rPr>
          <w:color w:val="221F1F"/>
        </w:rPr>
        <w:t>Variation,</w:t>
      </w:r>
      <w:r>
        <w:rPr>
          <w:color w:val="221F1F"/>
          <w:spacing w:val="-13"/>
        </w:rPr>
        <w:t xml:space="preserve"> </w:t>
      </w:r>
      <w:r>
        <w:rPr>
          <w:color w:val="221F1F"/>
          <w:spacing w:val="-2"/>
        </w:rPr>
        <w:t>except;</w:t>
      </w:r>
    </w:p>
    <w:p w:rsidR="007F6DF9" w:rsidRDefault="00A43FBC">
      <w:pPr>
        <w:pStyle w:val="ListParagraph"/>
        <w:numPr>
          <w:ilvl w:val="1"/>
          <w:numId w:val="33"/>
        </w:numPr>
        <w:tabs>
          <w:tab w:val="left" w:pos="2147"/>
        </w:tabs>
        <w:spacing w:before="64"/>
        <w:ind w:left="2147" w:hanging="282"/>
      </w:pPr>
      <w:r>
        <w:rPr>
          <w:color w:val="221F1F"/>
        </w:rPr>
        <w:t>In</w:t>
      </w:r>
      <w:r>
        <w:rPr>
          <w:color w:val="221F1F"/>
          <w:spacing w:val="-3"/>
        </w:rPr>
        <w:t xml:space="preserve"> </w:t>
      </w:r>
      <w:r>
        <w:rPr>
          <w:color w:val="221F1F"/>
        </w:rPr>
        <w:t>an</w:t>
      </w:r>
      <w:r>
        <w:rPr>
          <w:color w:val="221F1F"/>
          <w:spacing w:val="-3"/>
        </w:rPr>
        <w:t xml:space="preserve"> </w:t>
      </w:r>
      <w:r>
        <w:rPr>
          <w:color w:val="221F1F"/>
        </w:rPr>
        <w:t>emergency</w:t>
      </w:r>
      <w:r>
        <w:rPr>
          <w:color w:val="221F1F"/>
          <w:spacing w:val="-4"/>
        </w:rPr>
        <w:t xml:space="preserve"> </w:t>
      </w:r>
      <w:r>
        <w:rPr>
          <w:color w:val="221F1F"/>
        </w:rPr>
        <w:t>situation</w:t>
      </w:r>
      <w:r>
        <w:rPr>
          <w:color w:val="221F1F"/>
          <w:spacing w:val="-4"/>
        </w:rPr>
        <w:t xml:space="preserve"> </w:t>
      </w:r>
      <w:r>
        <w:rPr>
          <w:color w:val="221F1F"/>
        </w:rPr>
        <w:t>as</w:t>
      </w:r>
      <w:r>
        <w:rPr>
          <w:color w:val="221F1F"/>
          <w:spacing w:val="-3"/>
        </w:rPr>
        <w:t xml:space="preserve"> </w:t>
      </w:r>
      <w:r>
        <w:rPr>
          <w:color w:val="221F1F"/>
        </w:rPr>
        <w:t>determined</w:t>
      </w:r>
      <w:r>
        <w:rPr>
          <w:color w:val="221F1F"/>
          <w:spacing w:val="-3"/>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Engineer,</w:t>
      </w:r>
      <w:r>
        <w:rPr>
          <w:color w:val="221F1F"/>
          <w:spacing w:val="-2"/>
        </w:rPr>
        <w:t xml:space="preserve"> </w:t>
      </w:r>
      <w:r>
        <w:rPr>
          <w:color w:val="221F1F"/>
          <w:spacing w:val="-5"/>
        </w:rPr>
        <w:t>or</w:t>
      </w:r>
    </w:p>
    <w:p w:rsidR="007F6DF9" w:rsidRDefault="00A43FBC">
      <w:pPr>
        <w:pStyle w:val="ListParagraph"/>
        <w:numPr>
          <w:ilvl w:val="1"/>
          <w:numId w:val="33"/>
        </w:numPr>
        <w:tabs>
          <w:tab w:val="left" w:pos="1870"/>
          <w:tab w:val="left" w:pos="2146"/>
        </w:tabs>
        <w:spacing w:before="72" w:line="230" w:lineRule="auto"/>
        <w:ind w:left="1870" w:right="1115" w:hanging="5"/>
        <w:rPr>
          <w:b/>
        </w:rPr>
      </w:pPr>
      <w:r>
        <w:rPr>
          <w:color w:val="221F1F"/>
        </w:rPr>
        <w:t>If</w:t>
      </w:r>
      <w:r>
        <w:rPr>
          <w:color w:val="221F1F"/>
          <w:spacing w:val="-3"/>
        </w:rPr>
        <w:t xml:space="preserve"> </w:t>
      </w:r>
      <w:r>
        <w:rPr>
          <w:color w:val="221F1F"/>
        </w:rPr>
        <w:t>such</w:t>
      </w:r>
      <w:r>
        <w:rPr>
          <w:color w:val="221F1F"/>
          <w:spacing w:val="-4"/>
        </w:rPr>
        <w:t xml:space="preserve"> </w:t>
      </w:r>
      <w:r>
        <w:rPr>
          <w:color w:val="221F1F"/>
        </w:rPr>
        <w:t>a</w:t>
      </w:r>
      <w:r>
        <w:rPr>
          <w:color w:val="221F1F"/>
          <w:spacing w:val="-5"/>
        </w:rPr>
        <w:t xml:space="preserve"> </w:t>
      </w:r>
      <w:r>
        <w:rPr>
          <w:color w:val="221F1F"/>
        </w:rPr>
        <w:t>Variation</w:t>
      </w:r>
      <w:r>
        <w:rPr>
          <w:color w:val="221F1F"/>
          <w:spacing w:val="-8"/>
        </w:rPr>
        <w:t xml:space="preserve"> </w:t>
      </w:r>
      <w:r>
        <w:rPr>
          <w:color w:val="221F1F"/>
        </w:rPr>
        <w:t>would</w:t>
      </w:r>
      <w:r>
        <w:rPr>
          <w:color w:val="221F1F"/>
          <w:spacing w:val="-4"/>
        </w:rPr>
        <w:t xml:space="preserve"> </w:t>
      </w:r>
      <w:r>
        <w:rPr>
          <w:color w:val="221F1F"/>
        </w:rPr>
        <w:t>increase</w:t>
      </w:r>
      <w:r>
        <w:rPr>
          <w:color w:val="221F1F"/>
          <w:spacing w:val="-4"/>
        </w:rPr>
        <w:t xml:space="preserve"> </w:t>
      </w:r>
      <w:r>
        <w:rPr>
          <w:color w:val="221F1F"/>
        </w:rPr>
        <w:t>the</w:t>
      </w:r>
      <w:r>
        <w:rPr>
          <w:color w:val="221F1F"/>
          <w:spacing w:val="-4"/>
        </w:rPr>
        <w:t xml:space="preserve"> </w:t>
      </w:r>
      <w:r>
        <w:rPr>
          <w:color w:val="221F1F"/>
        </w:rPr>
        <w:t>Accepted</w:t>
      </w:r>
      <w:r>
        <w:rPr>
          <w:color w:val="221F1F"/>
          <w:spacing w:val="-3"/>
        </w:rPr>
        <w:t xml:space="preserve"> </w:t>
      </w:r>
      <w:r>
        <w:rPr>
          <w:color w:val="221F1F"/>
        </w:rPr>
        <w:t>Contract</w:t>
      </w:r>
      <w:r>
        <w:rPr>
          <w:color w:val="221F1F"/>
          <w:spacing w:val="-3"/>
        </w:rPr>
        <w:t xml:space="preserve"> </w:t>
      </w:r>
      <w:r>
        <w:rPr>
          <w:color w:val="221F1F"/>
        </w:rPr>
        <w:t>Amount</w:t>
      </w:r>
      <w:r>
        <w:rPr>
          <w:color w:val="221F1F"/>
          <w:spacing w:val="-5"/>
        </w:rPr>
        <w:t xml:space="preserve"> </w:t>
      </w:r>
      <w:r>
        <w:rPr>
          <w:color w:val="221F1F"/>
        </w:rPr>
        <w:t>by</w:t>
      </w:r>
      <w:r>
        <w:rPr>
          <w:color w:val="221F1F"/>
          <w:spacing w:val="-4"/>
        </w:rPr>
        <w:t xml:space="preserve"> </w:t>
      </w:r>
      <w:r>
        <w:rPr>
          <w:color w:val="221F1F"/>
        </w:rPr>
        <w:t>less</w:t>
      </w:r>
      <w:r>
        <w:rPr>
          <w:color w:val="221F1F"/>
          <w:spacing w:val="-4"/>
        </w:rPr>
        <w:t xml:space="preserve"> </w:t>
      </w:r>
      <w:r>
        <w:rPr>
          <w:color w:val="221F1F"/>
        </w:rPr>
        <w:t>than</w:t>
      </w:r>
      <w:r>
        <w:rPr>
          <w:color w:val="221F1F"/>
          <w:spacing w:val="-4"/>
        </w:rPr>
        <w:t xml:space="preserve"> </w:t>
      </w:r>
      <w:r>
        <w:rPr>
          <w:color w:val="221F1F"/>
        </w:rPr>
        <w:t>the</w:t>
      </w:r>
      <w:r>
        <w:rPr>
          <w:color w:val="221F1F"/>
          <w:spacing w:val="-5"/>
        </w:rPr>
        <w:t xml:space="preserve"> </w:t>
      </w:r>
      <w:r>
        <w:rPr>
          <w:color w:val="221F1F"/>
        </w:rPr>
        <w:t xml:space="preserve">percentage specified in the </w:t>
      </w:r>
      <w:r>
        <w:rPr>
          <w:b/>
          <w:color w:val="221F1F"/>
        </w:rPr>
        <w:t>Special Conditions of Contract.</w:t>
      </w:r>
    </w:p>
    <w:p w:rsidR="007F6DF9" w:rsidRDefault="00A43FBC">
      <w:pPr>
        <w:pStyle w:val="ListParagraph"/>
        <w:numPr>
          <w:ilvl w:val="0"/>
          <w:numId w:val="33"/>
        </w:numPr>
        <w:tabs>
          <w:tab w:val="left" w:pos="1865"/>
          <w:tab w:val="left" w:pos="1870"/>
        </w:tabs>
        <w:spacing w:before="73" w:line="230" w:lineRule="auto"/>
        <w:ind w:left="1870" w:right="726" w:hanging="504"/>
      </w:pPr>
      <w:r>
        <w:rPr>
          <w:color w:val="221F1F"/>
        </w:rPr>
        <w:t>Sub-Clause</w:t>
      </w:r>
      <w:r>
        <w:rPr>
          <w:color w:val="221F1F"/>
          <w:spacing w:val="-6"/>
        </w:rPr>
        <w:t xml:space="preserve"> </w:t>
      </w:r>
      <w:r>
        <w:rPr>
          <w:color w:val="221F1F"/>
        </w:rPr>
        <w:t>13.3:</w:t>
      </w:r>
      <w:r>
        <w:rPr>
          <w:color w:val="221F1F"/>
          <w:spacing w:val="-6"/>
        </w:rPr>
        <w:t xml:space="preserve"> </w:t>
      </w:r>
      <w:r>
        <w:rPr>
          <w:color w:val="221F1F"/>
        </w:rPr>
        <w:t>Approving</w:t>
      </w:r>
      <w:r>
        <w:rPr>
          <w:color w:val="221F1F"/>
          <w:spacing w:val="-3"/>
        </w:rPr>
        <w:t xml:space="preserve"> </w:t>
      </w:r>
      <w:r>
        <w:rPr>
          <w:color w:val="221F1F"/>
        </w:rPr>
        <w:t>a</w:t>
      </w:r>
      <w:r>
        <w:rPr>
          <w:color w:val="221F1F"/>
          <w:spacing w:val="-4"/>
        </w:rPr>
        <w:t xml:space="preserve"> </w:t>
      </w:r>
      <w:r>
        <w:rPr>
          <w:color w:val="221F1F"/>
        </w:rPr>
        <w:t>proposal</w:t>
      </w:r>
      <w:r>
        <w:rPr>
          <w:color w:val="221F1F"/>
          <w:spacing w:val="-3"/>
        </w:rPr>
        <w:t xml:space="preserve"> </w:t>
      </w:r>
      <w:r>
        <w:rPr>
          <w:color w:val="221F1F"/>
        </w:rPr>
        <w:t>for</w:t>
      </w:r>
      <w:r>
        <w:rPr>
          <w:color w:val="221F1F"/>
          <w:spacing w:val="-3"/>
        </w:rPr>
        <w:t xml:space="preserve"> </w:t>
      </w:r>
      <w:r>
        <w:rPr>
          <w:color w:val="221F1F"/>
        </w:rPr>
        <w:t>Variation</w:t>
      </w:r>
      <w:r>
        <w:rPr>
          <w:color w:val="221F1F"/>
          <w:spacing w:val="-10"/>
        </w:rPr>
        <w:t xml:space="preserve"> </w:t>
      </w:r>
      <w:r>
        <w:rPr>
          <w:color w:val="221F1F"/>
        </w:rPr>
        <w:t>submitted</w:t>
      </w:r>
      <w:r>
        <w:rPr>
          <w:color w:val="221F1F"/>
          <w:spacing w:val="-4"/>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in</w:t>
      </w:r>
      <w:r>
        <w:rPr>
          <w:color w:val="221F1F"/>
          <w:spacing w:val="-4"/>
        </w:rPr>
        <w:t xml:space="preserve"> </w:t>
      </w:r>
      <w:r>
        <w:rPr>
          <w:color w:val="221F1F"/>
        </w:rPr>
        <w:t>accordance</w:t>
      </w:r>
      <w:r>
        <w:rPr>
          <w:color w:val="221F1F"/>
          <w:spacing w:val="-4"/>
        </w:rPr>
        <w:t xml:space="preserve"> </w:t>
      </w:r>
      <w:r>
        <w:rPr>
          <w:color w:val="221F1F"/>
        </w:rPr>
        <w:t>with Sub Clause 13.1 or 13.2.</w:t>
      </w:r>
    </w:p>
    <w:p w:rsidR="007F6DF9" w:rsidRDefault="00A43FBC">
      <w:pPr>
        <w:pStyle w:val="ListParagraph"/>
        <w:numPr>
          <w:ilvl w:val="0"/>
          <w:numId w:val="33"/>
        </w:numPr>
        <w:tabs>
          <w:tab w:val="left" w:pos="1865"/>
        </w:tabs>
        <w:spacing w:before="65"/>
        <w:ind w:hanging="499"/>
      </w:pPr>
      <w:r>
        <w:rPr>
          <w:color w:val="221F1F"/>
        </w:rPr>
        <w:t>Sub-Clause13.4:</w:t>
      </w:r>
      <w:r>
        <w:rPr>
          <w:color w:val="221F1F"/>
          <w:spacing w:val="-6"/>
        </w:rPr>
        <w:t xml:space="preserve"> </w:t>
      </w:r>
      <w:r>
        <w:rPr>
          <w:color w:val="221F1F"/>
        </w:rPr>
        <w:t>Specifying</w:t>
      </w:r>
      <w:r>
        <w:rPr>
          <w:color w:val="221F1F"/>
          <w:spacing w:val="-2"/>
        </w:rPr>
        <w:t xml:space="preserve"> </w:t>
      </w:r>
      <w:r>
        <w:rPr>
          <w:color w:val="221F1F"/>
        </w:rPr>
        <w:t>the</w:t>
      </w:r>
      <w:r>
        <w:rPr>
          <w:color w:val="221F1F"/>
          <w:spacing w:val="-5"/>
        </w:rPr>
        <w:t xml:space="preserve"> </w:t>
      </w:r>
      <w:r>
        <w:rPr>
          <w:color w:val="221F1F"/>
        </w:rPr>
        <w:t>amount</w:t>
      </w:r>
      <w:r>
        <w:rPr>
          <w:color w:val="221F1F"/>
          <w:spacing w:val="-3"/>
        </w:rPr>
        <w:t xml:space="preserve"> </w:t>
      </w:r>
      <w:r>
        <w:rPr>
          <w:color w:val="221F1F"/>
        </w:rPr>
        <w:t>payable</w:t>
      </w:r>
      <w:r>
        <w:rPr>
          <w:color w:val="221F1F"/>
          <w:spacing w:val="-5"/>
        </w:rPr>
        <w:t xml:space="preserve"> </w:t>
      </w:r>
      <w:r>
        <w:rPr>
          <w:color w:val="221F1F"/>
        </w:rPr>
        <w:t>in</w:t>
      </w:r>
      <w:r>
        <w:rPr>
          <w:color w:val="221F1F"/>
          <w:spacing w:val="-6"/>
        </w:rPr>
        <w:t xml:space="preserve"> </w:t>
      </w:r>
      <w:r>
        <w:rPr>
          <w:color w:val="221F1F"/>
        </w:rPr>
        <w:t>each</w:t>
      </w:r>
      <w:r>
        <w:rPr>
          <w:color w:val="221F1F"/>
          <w:spacing w:val="-2"/>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applicable</w:t>
      </w:r>
      <w:r>
        <w:rPr>
          <w:color w:val="221F1F"/>
          <w:spacing w:val="-2"/>
        </w:rPr>
        <w:t xml:space="preserve"> </w:t>
      </w:r>
      <w:r>
        <w:rPr>
          <w:color w:val="221F1F"/>
        </w:rPr>
        <w:t>three</w:t>
      </w:r>
      <w:r>
        <w:rPr>
          <w:color w:val="221F1F"/>
          <w:spacing w:val="-1"/>
        </w:rPr>
        <w:t xml:space="preserve"> </w:t>
      </w:r>
      <w:r>
        <w:rPr>
          <w:color w:val="221F1F"/>
          <w:spacing w:val="-2"/>
        </w:rPr>
        <w:t>currencies.</w:t>
      </w:r>
    </w:p>
    <w:p w:rsidR="007F6DF9" w:rsidRDefault="00A43FBC">
      <w:pPr>
        <w:pStyle w:val="ListParagraph"/>
        <w:numPr>
          <w:ilvl w:val="2"/>
          <w:numId w:val="122"/>
        </w:numPr>
        <w:tabs>
          <w:tab w:val="left" w:pos="1365"/>
          <w:tab w:val="left" w:pos="1378"/>
        </w:tabs>
        <w:spacing w:before="245" w:line="230" w:lineRule="auto"/>
        <w:ind w:left="1378" w:right="555" w:hanging="673"/>
        <w:jc w:val="both"/>
        <w:rPr>
          <w:color w:val="221F1F"/>
        </w:rPr>
      </w:pPr>
      <w:proofErr w:type="spellStart"/>
      <w:r>
        <w:rPr>
          <w:color w:val="221F1F"/>
        </w:rPr>
        <w:t>Not withstanding</w:t>
      </w:r>
      <w:proofErr w:type="spellEnd"/>
      <w:r>
        <w:rPr>
          <w:color w:val="221F1F"/>
        </w:rPr>
        <w:t xml:space="preserve"> the obligation, as set out above, to obtain approval, if, in the opinion of the Engineer, an emergency occurs affecting the safety of life or of the Works or of adjoining property, he may, without relieving the Contractor of any of his duties and responsibility under the Contract, instruct the Contractor to execute</w:t>
      </w:r>
      <w:r>
        <w:rPr>
          <w:color w:val="221F1F"/>
          <w:spacing w:val="-3"/>
        </w:rPr>
        <w:t xml:space="preserve"> </w:t>
      </w:r>
      <w:r>
        <w:rPr>
          <w:color w:val="221F1F"/>
        </w:rPr>
        <w:t>all</w:t>
      </w:r>
      <w:r>
        <w:rPr>
          <w:color w:val="221F1F"/>
          <w:spacing w:val="-3"/>
        </w:rPr>
        <w:t xml:space="preserve"> </w:t>
      </w:r>
      <w:r>
        <w:rPr>
          <w:color w:val="221F1F"/>
        </w:rPr>
        <w:t>such</w:t>
      </w:r>
      <w:r>
        <w:rPr>
          <w:color w:val="221F1F"/>
          <w:spacing w:val="-3"/>
        </w:rPr>
        <w:t xml:space="preserve"> </w:t>
      </w:r>
      <w:r>
        <w:rPr>
          <w:color w:val="221F1F"/>
        </w:rPr>
        <w:t>work</w:t>
      </w:r>
      <w:r>
        <w:rPr>
          <w:color w:val="221F1F"/>
          <w:spacing w:val="-3"/>
        </w:rPr>
        <w:t xml:space="preserve"> </w:t>
      </w:r>
      <w:r>
        <w:rPr>
          <w:color w:val="221F1F"/>
        </w:rPr>
        <w:t>or</w:t>
      </w:r>
      <w:r>
        <w:rPr>
          <w:color w:val="221F1F"/>
          <w:spacing w:val="-3"/>
        </w:rPr>
        <w:t xml:space="preserve"> </w:t>
      </w:r>
      <w:r>
        <w:rPr>
          <w:color w:val="221F1F"/>
        </w:rPr>
        <w:t>to</w:t>
      </w:r>
      <w:r>
        <w:rPr>
          <w:color w:val="221F1F"/>
          <w:spacing w:val="-5"/>
        </w:rPr>
        <w:t xml:space="preserve"> </w:t>
      </w:r>
      <w:r>
        <w:rPr>
          <w:color w:val="221F1F"/>
        </w:rPr>
        <w:t>do</w:t>
      </w:r>
      <w:r>
        <w:rPr>
          <w:color w:val="221F1F"/>
          <w:spacing w:val="-4"/>
        </w:rPr>
        <w:t xml:space="preserve"> </w:t>
      </w:r>
      <w:r>
        <w:rPr>
          <w:color w:val="221F1F"/>
        </w:rPr>
        <w:t>all</w:t>
      </w:r>
      <w:r>
        <w:rPr>
          <w:color w:val="221F1F"/>
          <w:spacing w:val="-2"/>
        </w:rPr>
        <w:t xml:space="preserve"> </w:t>
      </w:r>
      <w:r>
        <w:rPr>
          <w:color w:val="221F1F"/>
        </w:rPr>
        <w:t>such</w:t>
      </w:r>
      <w:r>
        <w:rPr>
          <w:color w:val="221F1F"/>
          <w:spacing w:val="-6"/>
        </w:rPr>
        <w:t xml:space="preserve"> </w:t>
      </w:r>
      <w:r>
        <w:rPr>
          <w:color w:val="221F1F"/>
        </w:rPr>
        <w:t>things</w:t>
      </w:r>
      <w:r>
        <w:rPr>
          <w:color w:val="221F1F"/>
          <w:spacing w:val="-3"/>
        </w:rPr>
        <w:t xml:space="preserve"> </w:t>
      </w:r>
      <w:r>
        <w:rPr>
          <w:color w:val="221F1F"/>
        </w:rPr>
        <w:t>as</w:t>
      </w:r>
      <w:r>
        <w:rPr>
          <w:color w:val="221F1F"/>
          <w:spacing w:val="-6"/>
        </w:rPr>
        <w:t xml:space="preserve"> </w:t>
      </w:r>
      <w:r>
        <w:rPr>
          <w:color w:val="221F1F"/>
        </w:rPr>
        <w:t>may,</w:t>
      </w:r>
      <w:r>
        <w:rPr>
          <w:color w:val="221F1F"/>
          <w:spacing w:val="-1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opinion</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be</w:t>
      </w:r>
      <w:r>
        <w:rPr>
          <w:color w:val="221F1F"/>
          <w:spacing w:val="-3"/>
        </w:rPr>
        <w:t xml:space="preserve"> </w:t>
      </w:r>
      <w:r>
        <w:rPr>
          <w:color w:val="221F1F"/>
        </w:rPr>
        <w:t>necessary</w:t>
      </w:r>
      <w:r>
        <w:rPr>
          <w:color w:val="221F1F"/>
          <w:spacing w:val="-3"/>
        </w:rPr>
        <w:t xml:space="preserve"> </w:t>
      </w:r>
      <w:r>
        <w:rPr>
          <w:color w:val="221F1F"/>
        </w:rPr>
        <w:t>to</w:t>
      </w:r>
      <w:r>
        <w:rPr>
          <w:color w:val="221F1F"/>
          <w:spacing w:val="-4"/>
        </w:rPr>
        <w:t xml:space="preserve"> </w:t>
      </w:r>
      <w:r>
        <w:rPr>
          <w:color w:val="221F1F"/>
        </w:rPr>
        <w:t>abate</w:t>
      </w:r>
      <w:r>
        <w:rPr>
          <w:color w:val="221F1F"/>
          <w:spacing w:val="-3"/>
        </w:rPr>
        <w:t xml:space="preserve"> </w:t>
      </w:r>
      <w:r>
        <w:rPr>
          <w:color w:val="221F1F"/>
        </w:rPr>
        <w:t>or reduce the risk. The Contractor shall forth with comply, despite the absence of approval of the Procuring Entity, with any such instruction of the Engineer. The Architect shall determine an addition to the Contract Price,</w:t>
      </w:r>
      <w:r>
        <w:rPr>
          <w:color w:val="221F1F"/>
          <w:spacing w:val="-10"/>
        </w:rPr>
        <w:t xml:space="preserve"> </w:t>
      </w:r>
      <w:r>
        <w:rPr>
          <w:color w:val="221F1F"/>
        </w:rPr>
        <w:t>in</w:t>
      </w:r>
      <w:r>
        <w:rPr>
          <w:color w:val="221F1F"/>
          <w:spacing w:val="-13"/>
        </w:rPr>
        <w:t xml:space="preserve"> </w:t>
      </w:r>
      <w:r>
        <w:rPr>
          <w:color w:val="221F1F"/>
        </w:rPr>
        <w:t>respect</w:t>
      </w:r>
      <w:r>
        <w:rPr>
          <w:color w:val="221F1F"/>
          <w:spacing w:val="-9"/>
        </w:rPr>
        <w:t xml:space="preserve"> </w:t>
      </w:r>
      <w:r>
        <w:rPr>
          <w:color w:val="221F1F"/>
        </w:rPr>
        <w:t>of</w:t>
      </w:r>
      <w:r>
        <w:rPr>
          <w:color w:val="221F1F"/>
          <w:spacing w:val="-12"/>
        </w:rPr>
        <w:t xml:space="preserve"> </w:t>
      </w:r>
      <w:r>
        <w:rPr>
          <w:color w:val="221F1F"/>
        </w:rPr>
        <w:t>such</w:t>
      </w:r>
      <w:r>
        <w:rPr>
          <w:color w:val="221F1F"/>
          <w:spacing w:val="-13"/>
        </w:rPr>
        <w:t xml:space="preserve"> </w:t>
      </w:r>
      <w:r>
        <w:rPr>
          <w:color w:val="221F1F"/>
        </w:rPr>
        <w:t>instruction,</w:t>
      </w:r>
      <w:r>
        <w:rPr>
          <w:color w:val="221F1F"/>
          <w:spacing w:val="-13"/>
        </w:rPr>
        <w:t xml:space="preserve"> </w:t>
      </w:r>
      <w:r>
        <w:rPr>
          <w:color w:val="221F1F"/>
        </w:rPr>
        <w:t>in</w:t>
      </w:r>
      <w:r>
        <w:rPr>
          <w:color w:val="221F1F"/>
          <w:spacing w:val="-11"/>
        </w:rPr>
        <w:t xml:space="preserve"> </w:t>
      </w:r>
      <w:r>
        <w:rPr>
          <w:color w:val="221F1F"/>
        </w:rPr>
        <w:t>accordance</w:t>
      </w:r>
      <w:r>
        <w:rPr>
          <w:color w:val="221F1F"/>
          <w:spacing w:val="-10"/>
        </w:rPr>
        <w:t xml:space="preserve"> </w:t>
      </w:r>
      <w:r>
        <w:rPr>
          <w:color w:val="221F1F"/>
        </w:rPr>
        <w:t>with</w:t>
      </w:r>
      <w:r>
        <w:rPr>
          <w:color w:val="221F1F"/>
          <w:spacing w:val="-13"/>
        </w:rPr>
        <w:t xml:space="preserve"> </w:t>
      </w:r>
      <w:r>
        <w:rPr>
          <w:color w:val="221F1F"/>
        </w:rPr>
        <w:t>Clause</w:t>
      </w:r>
      <w:r>
        <w:rPr>
          <w:color w:val="221F1F"/>
          <w:spacing w:val="-13"/>
        </w:rPr>
        <w:t xml:space="preserve"> </w:t>
      </w:r>
      <w:r>
        <w:rPr>
          <w:color w:val="221F1F"/>
        </w:rPr>
        <w:t>13</w:t>
      </w:r>
      <w:r>
        <w:rPr>
          <w:color w:val="221F1F"/>
          <w:spacing w:val="-11"/>
        </w:rPr>
        <w:t xml:space="preserve"> </w:t>
      </w:r>
      <w:r>
        <w:rPr>
          <w:color w:val="221F1F"/>
        </w:rPr>
        <w:t>and</w:t>
      </w:r>
      <w:r>
        <w:rPr>
          <w:color w:val="221F1F"/>
          <w:spacing w:val="-13"/>
        </w:rPr>
        <w:t xml:space="preserve"> </w:t>
      </w:r>
      <w:r>
        <w:rPr>
          <w:color w:val="221F1F"/>
        </w:rPr>
        <w:t>shall</w:t>
      </w:r>
      <w:r>
        <w:rPr>
          <w:color w:val="221F1F"/>
          <w:spacing w:val="-10"/>
        </w:rPr>
        <w:t xml:space="preserve"> </w:t>
      </w:r>
      <w:r>
        <w:rPr>
          <w:color w:val="221F1F"/>
        </w:rPr>
        <w:t>notify</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accordingly, with a copy to the Procuring Entity.</w:t>
      </w:r>
    </w:p>
    <w:p w:rsidR="007F6DF9" w:rsidRDefault="00A43FBC">
      <w:pPr>
        <w:pStyle w:val="Heading9"/>
        <w:numPr>
          <w:ilvl w:val="1"/>
          <w:numId w:val="122"/>
        </w:numPr>
        <w:tabs>
          <w:tab w:val="left" w:pos="1366"/>
        </w:tabs>
        <w:spacing w:before="239"/>
        <w:ind w:left="1366" w:hanging="660"/>
        <w:rPr>
          <w:color w:val="221F1F"/>
        </w:rPr>
      </w:pPr>
      <w:r>
        <w:rPr>
          <w:color w:val="221F1F"/>
        </w:rPr>
        <w:t>Delegation</w:t>
      </w:r>
      <w:r>
        <w:rPr>
          <w:color w:val="221F1F"/>
          <w:spacing w:val="-5"/>
        </w:rPr>
        <w:t xml:space="preserve"> </w:t>
      </w:r>
      <w:r>
        <w:rPr>
          <w:color w:val="221F1F"/>
        </w:rPr>
        <w:t>by</w:t>
      </w:r>
      <w:r>
        <w:rPr>
          <w:color w:val="221F1F"/>
          <w:spacing w:val="-2"/>
        </w:rPr>
        <w:t xml:space="preserve"> </w:t>
      </w:r>
      <w:r>
        <w:rPr>
          <w:color w:val="221F1F"/>
        </w:rPr>
        <w:t>the</w:t>
      </w:r>
      <w:r>
        <w:rPr>
          <w:color w:val="221F1F"/>
          <w:spacing w:val="-2"/>
        </w:rPr>
        <w:t xml:space="preserve"> Engineer</w:t>
      </w:r>
    </w:p>
    <w:p w:rsidR="007F6DF9" w:rsidRDefault="00A43FBC">
      <w:pPr>
        <w:pStyle w:val="ListParagraph"/>
        <w:numPr>
          <w:ilvl w:val="2"/>
          <w:numId w:val="122"/>
        </w:numPr>
        <w:tabs>
          <w:tab w:val="left" w:pos="1365"/>
          <w:tab w:val="left" w:pos="1378"/>
        </w:tabs>
        <w:spacing w:before="242" w:line="230" w:lineRule="auto"/>
        <w:ind w:left="1378" w:right="558" w:hanging="673"/>
        <w:jc w:val="both"/>
        <w:rPr>
          <w:color w:val="221F1F"/>
        </w:rPr>
      </w:pPr>
      <w:r>
        <w:rPr>
          <w:color w:val="221F1F"/>
        </w:rPr>
        <w:t>The Architect may from time to time assign duties and delegate authority to assistants and may also revoke such assignment or delegation. These assistants may include a resident Engineer, and/or independent inspectors appointed to inspect and/ or test items of Plant and/or Materials. The assignment, delegation or revocation shall be in writing and shall not take effect until copies have been received by both Parties. However,</w:t>
      </w:r>
      <w:r>
        <w:rPr>
          <w:color w:val="221F1F"/>
          <w:spacing w:val="-4"/>
        </w:rPr>
        <w:t xml:space="preserve"> </w:t>
      </w:r>
      <w:r>
        <w:rPr>
          <w:color w:val="221F1F"/>
        </w:rPr>
        <w:t>unless</w:t>
      </w:r>
      <w:r>
        <w:rPr>
          <w:color w:val="221F1F"/>
          <w:spacing w:val="-3"/>
        </w:rPr>
        <w:t xml:space="preserve"> </w:t>
      </w:r>
      <w:r>
        <w:rPr>
          <w:color w:val="221F1F"/>
        </w:rPr>
        <w:t>otherwise</w:t>
      </w:r>
      <w:r>
        <w:rPr>
          <w:color w:val="221F1F"/>
          <w:spacing w:val="-5"/>
        </w:rPr>
        <w:t xml:space="preserve"> </w:t>
      </w:r>
      <w:r>
        <w:rPr>
          <w:color w:val="221F1F"/>
        </w:rPr>
        <w:t>agreed</w:t>
      </w:r>
      <w:r>
        <w:rPr>
          <w:color w:val="221F1F"/>
          <w:spacing w:val="-3"/>
        </w:rPr>
        <w:t xml:space="preserve"> </w:t>
      </w:r>
      <w:r>
        <w:rPr>
          <w:color w:val="221F1F"/>
        </w:rPr>
        <w:t>by</w:t>
      </w:r>
      <w:r>
        <w:rPr>
          <w:color w:val="221F1F"/>
          <w:spacing w:val="-4"/>
        </w:rPr>
        <w:t xml:space="preserve"> </w:t>
      </w:r>
      <w:r>
        <w:rPr>
          <w:color w:val="221F1F"/>
        </w:rPr>
        <w:t>both</w:t>
      </w:r>
      <w:r>
        <w:rPr>
          <w:color w:val="221F1F"/>
          <w:spacing w:val="-4"/>
        </w:rPr>
        <w:t xml:space="preserve"> </w:t>
      </w:r>
      <w:r>
        <w:rPr>
          <w:color w:val="221F1F"/>
        </w:rPr>
        <w:t>Parties,</w:t>
      </w:r>
      <w:r>
        <w:rPr>
          <w:color w:val="221F1F"/>
          <w:spacing w:val="-6"/>
        </w:rPr>
        <w:t xml:space="preserve"> </w:t>
      </w:r>
      <w:r>
        <w:rPr>
          <w:color w:val="221F1F"/>
        </w:rPr>
        <w:t>the</w:t>
      </w:r>
      <w:r>
        <w:rPr>
          <w:color w:val="221F1F"/>
          <w:spacing w:val="-6"/>
        </w:rPr>
        <w:t xml:space="preserve"> </w:t>
      </w:r>
      <w:r>
        <w:rPr>
          <w:color w:val="221F1F"/>
        </w:rPr>
        <w:t>Architect</w:t>
      </w:r>
      <w:r>
        <w:rPr>
          <w:color w:val="221F1F"/>
          <w:spacing w:val="-3"/>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delegate</w:t>
      </w:r>
      <w:r>
        <w:rPr>
          <w:color w:val="221F1F"/>
          <w:spacing w:val="-6"/>
        </w:rPr>
        <w:t xml:space="preserve"> </w:t>
      </w:r>
      <w:r>
        <w:rPr>
          <w:color w:val="221F1F"/>
        </w:rPr>
        <w:t>the</w:t>
      </w:r>
      <w:r>
        <w:rPr>
          <w:color w:val="221F1F"/>
          <w:spacing w:val="-3"/>
        </w:rPr>
        <w:t xml:space="preserve"> </w:t>
      </w:r>
      <w:r>
        <w:rPr>
          <w:color w:val="221F1F"/>
        </w:rPr>
        <w:t>authority</w:t>
      </w:r>
      <w:r>
        <w:rPr>
          <w:color w:val="221F1F"/>
          <w:spacing w:val="-4"/>
        </w:rPr>
        <w:t xml:space="preserve"> </w:t>
      </w:r>
      <w:r>
        <w:rPr>
          <w:color w:val="221F1F"/>
        </w:rPr>
        <w:t>to</w:t>
      </w:r>
      <w:r>
        <w:rPr>
          <w:color w:val="221F1F"/>
          <w:spacing w:val="-4"/>
        </w:rPr>
        <w:t xml:space="preserve"> </w:t>
      </w:r>
      <w:r>
        <w:rPr>
          <w:color w:val="221F1F"/>
        </w:rPr>
        <w:t>determine any matter in accordance with Sub-Clause 3.5 [Determinations].</w:t>
      </w:r>
    </w:p>
    <w:p w:rsidR="007F6DF9" w:rsidRDefault="00A43FBC">
      <w:pPr>
        <w:pStyle w:val="ListParagraph"/>
        <w:numPr>
          <w:ilvl w:val="2"/>
          <w:numId w:val="122"/>
        </w:numPr>
        <w:tabs>
          <w:tab w:val="left" w:pos="1363"/>
          <w:tab w:val="left" w:pos="1378"/>
        </w:tabs>
        <w:spacing w:before="247" w:line="230" w:lineRule="auto"/>
        <w:ind w:left="1378" w:right="558" w:hanging="673"/>
        <w:jc w:val="both"/>
        <w:rPr>
          <w:color w:val="221F1F"/>
        </w:rPr>
      </w:pPr>
      <w:r>
        <w:rPr>
          <w:color w:val="221F1F"/>
        </w:rPr>
        <w:t>Each assistant, to whom duties have been assigned or authority has been delegated, shall only be authorized to</w:t>
      </w:r>
      <w:r>
        <w:rPr>
          <w:color w:val="221F1F"/>
          <w:spacing w:val="-12"/>
        </w:rPr>
        <w:t xml:space="preserve"> </w:t>
      </w:r>
      <w:r>
        <w:rPr>
          <w:color w:val="221F1F"/>
        </w:rPr>
        <w:t>issue</w:t>
      </w:r>
      <w:r>
        <w:rPr>
          <w:color w:val="221F1F"/>
          <w:spacing w:val="-12"/>
        </w:rPr>
        <w:t xml:space="preserve"> </w:t>
      </w:r>
      <w:r>
        <w:rPr>
          <w:color w:val="221F1F"/>
        </w:rPr>
        <w:t>instructions</w:t>
      </w:r>
      <w:r>
        <w:rPr>
          <w:color w:val="221F1F"/>
          <w:spacing w:val="-11"/>
        </w:rPr>
        <w:t xml:space="preserve"> </w:t>
      </w:r>
      <w:r>
        <w:rPr>
          <w:color w:val="221F1F"/>
        </w:rPr>
        <w:t>to</w:t>
      </w:r>
      <w:r>
        <w:rPr>
          <w:color w:val="221F1F"/>
          <w:spacing w:val="-12"/>
        </w:rPr>
        <w:t xml:space="preserve"> </w:t>
      </w:r>
      <w:r>
        <w:rPr>
          <w:color w:val="221F1F"/>
        </w:rPr>
        <w:t>the</w:t>
      </w:r>
      <w:r>
        <w:rPr>
          <w:color w:val="221F1F"/>
          <w:spacing w:val="-14"/>
        </w:rPr>
        <w:t xml:space="preserve"> </w:t>
      </w:r>
      <w:r>
        <w:rPr>
          <w:color w:val="221F1F"/>
        </w:rPr>
        <w:t>Contractor</w:t>
      </w:r>
      <w:r>
        <w:rPr>
          <w:color w:val="221F1F"/>
          <w:spacing w:val="-11"/>
        </w:rPr>
        <w:t xml:space="preserve"> </w:t>
      </w:r>
      <w:r>
        <w:rPr>
          <w:color w:val="221F1F"/>
        </w:rPr>
        <w:t>to</w:t>
      </w:r>
      <w:r>
        <w:rPr>
          <w:color w:val="221F1F"/>
          <w:spacing w:val="-12"/>
        </w:rPr>
        <w:t xml:space="preserve"> </w:t>
      </w:r>
      <w:r>
        <w:rPr>
          <w:color w:val="221F1F"/>
        </w:rPr>
        <w:t>the</w:t>
      </w:r>
      <w:r>
        <w:rPr>
          <w:color w:val="221F1F"/>
          <w:spacing w:val="-9"/>
        </w:rPr>
        <w:t xml:space="preserve"> </w:t>
      </w:r>
      <w:r>
        <w:rPr>
          <w:color w:val="221F1F"/>
        </w:rPr>
        <w:t>extent</w:t>
      </w:r>
      <w:r>
        <w:rPr>
          <w:color w:val="221F1F"/>
          <w:spacing w:val="-11"/>
        </w:rPr>
        <w:t xml:space="preserve"> </w:t>
      </w:r>
      <w:r>
        <w:rPr>
          <w:color w:val="221F1F"/>
        </w:rPr>
        <w:t>defined</w:t>
      </w:r>
      <w:r>
        <w:rPr>
          <w:color w:val="221F1F"/>
          <w:spacing w:val="-9"/>
        </w:rPr>
        <w:t xml:space="preserve"> </w:t>
      </w:r>
      <w:r>
        <w:rPr>
          <w:color w:val="221F1F"/>
        </w:rPr>
        <w:t>by</w:t>
      </w:r>
      <w:r>
        <w:rPr>
          <w:color w:val="221F1F"/>
          <w:spacing w:val="-12"/>
        </w:rPr>
        <w:t xml:space="preserve"> </w:t>
      </w:r>
      <w:r>
        <w:rPr>
          <w:color w:val="221F1F"/>
        </w:rPr>
        <w:t>the</w:t>
      </w:r>
      <w:r>
        <w:rPr>
          <w:color w:val="221F1F"/>
          <w:spacing w:val="-12"/>
        </w:rPr>
        <w:t xml:space="preserve"> </w:t>
      </w:r>
      <w:r>
        <w:rPr>
          <w:color w:val="221F1F"/>
        </w:rPr>
        <w:t>delegation.</w:t>
      </w:r>
      <w:r>
        <w:rPr>
          <w:color w:val="221F1F"/>
          <w:spacing w:val="-10"/>
        </w:rPr>
        <w:t xml:space="preserve"> </w:t>
      </w:r>
      <w:r>
        <w:rPr>
          <w:color w:val="221F1F"/>
        </w:rPr>
        <w:t>Any</w:t>
      </w:r>
      <w:r>
        <w:rPr>
          <w:color w:val="221F1F"/>
          <w:spacing w:val="-14"/>
        </w:rPr>
        <w:t xml:space="preserve"> </w:t>
      </w:r>
      <w:r>
        <w:rPr>
          <w:color w:val="221F1F"/>
        </w:rPr>
        <w:t>approval,</w:t>
      </w:r>
      <w:r>
        <w:rPr>
          <w:color w:val="221F1F"/>
          <w:spacing w:val="-12"/>
        </w:rPr>
        <w:t xml:space="preserve"> </w:t>
      </w:r>
      <w:r>
        <w:rPr>
          <w:color w:val="221F1F"/>
        </w:rPr>
        <w:t>check,</w:t>
      </w:r>
      <w:r>
        <w:rPr>
          <w:color w:val="221F1F"/>
          <w:spacing w:val="-12"/>
        </w:rPr>
        <w:t xml:space="preserve"> </w:t>
      </w:r>
      <w:r>
        <w:rPr>
          <w:color w:val="221F1F"/>
        </w:rPr>
        <w:t>certificate, consent, examination, inspection, instruction, notice, proposal, request, test, or similar act by an assistant, in 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delegation,</w:t>
      </w:r>
      <w:r>
        <w:rPr>
          <w:color w:val="221F1F"/>
          <w:spacing w:val="-1"/>
        </w:rPr>
        <w:t xml:space="preserve"> </w:t>
      </w:r>
      <w:r>
        <w:rPr>
          <w:color w:val="221F1F"/>
        </w:rPr>
        <w:t>shall have</w:t>
      </w:r>
      <w:r>
        <w:rPr>
          <w:color w:val="221F1F"/>
          <w:spacing w:val="-3"/>
        </w:rPr>
        <w:t xml:space="preserve"> </w:t>
      </w:r>
      <w:r>
        <w:rPr>
          <w:color w:val="221F1F"/>
        </w:rPr>
        <w:t>the</w:t>
      </w:r>
      <w:r>
        <w:rPr>
          <w:color w:val="221F1F"/>
          <w:spacing w:val="-1"/>
        </w:rPr>
        <w:t xml:space="preserve"> </w:t>
      </w:r>
      <w:r>
        <w:rPr>
          <w:color w:val="221F1F"/>
        </w:rPr>
        <w:t>same</w:t>
      </w:r>
      <w:r>
        <w:rPr>
          <w:color w:val="221F1F"/>
          <w:spacing w:val="-1"/>
        </w:rPr>
        <w:t xml:space="preserve"> </w:t>
      </w:r>
      <w:r>
        <w:rPr>
          <w:color w:val="221F1F"/>
        </w:rPr>
        <w:t>effect as</w:t>
      </w:r>
      <w:r>
        <w:rPr>
          <w:color w:val="221F1F"/>
          <w:spacing w:val="-1"/>
        </w:rPr>
        <w:t xml:space="preserve"> </w:t>
      </w:r>
      <w:r>
        <w:rPr>
          <w:color w:val="221F1F"/>
        </w:rPr>
        <w:t>though</w:t>
      </w:r>
      <w:r>
        <w:rPr>
          <w:color w:val="221F1F"/>
          <w:spacing w:val="-1"/>
        </w:rPr>
        <w:t xml:space="preserve"> </w:t>
      </w:r>
      <w:r>
        <w:rPr>
          <w:color w:val="221F1F"/>
        </w:rPr>
        <w:t>the</w:t>
      </w:r>
      <w:r>
        <w:rPr>
          <w:color w:val="221F1F"/>
          <w:spacing w:val="-1"/>
        </w:rPr>
        <w:t xml:space="preserve"> </w:t>
      </w:r>
      <w:r>
        <w:rPr>
          <w:color w:val="221F1F"/>
        </w:rPr>
        <w:t>act had</w:t>
      </w:r>
      <w:r>
        <w:rPr>
          <w:color w:val="221F1F"/>
          <w:spacing w:val="-1"/>
        </w:rPr>
        <w:t xml:space="preserve"> </w:t>
      </w:r>
      <w:r>
        <w:rPr>
          <w:color w:val="221F1F"/>
        </w:rPr>
        <w:t>been</w:t>
      </w:r>
      <w:r>
        <w:rPr>
          <w:color w:val="221F1F"/>
          <w:spacing w:val="-1"/>
        </w:rPr>
        <w:t xml:space="preserve"> </w:t>
      </w:r>
      <w:r>
        <w:rPr>
          <w:color w:val="221F1F"/>
        </w:rPr>
        <w:t>an</w:t>
      </w:r>
      <w:r>
        <w:rPr>
          <w:color w:val="221F1F"/>
          <w:spacing w:val="-1"/>
        </w:rPr>
        <w:t xml:space="preserve"> </w:t>
      </w:r>
      <w:r>
        <w:rPr>
          <w:color w:val="221F1F"/>
        </w:rPr>
        <w:t>act of</w:t>
      </w:r>
      <w:r>
        <w:rPr>
          <w:color w:val="221F1F"/>
          <w:spacing w:val="-3"/>
        </w:rPr>
        <w:t xml:space="preserve"> </w:t>
      </w:r>
      <w:r>
        <w:rPr>
          <w:color w:val="221F1F"/>
        </w:rPr>
        <w:t>the</w:t>
      </w:r>
      <w:r>
        <w:rPr>
          <w:color w:val="221F1F"/>
          <w:spacing w:val="-1"/>
        </w:rPr>
        <w:t xml:space="preserve"> </w:t>
      </w:r>
      <w:r>
        <w:rPr>
          <w:color w:val="221F1F"/>
        </w:rPr>
        <w:t xml:space="preserve">Engineer. </w:t>
      </w:r>
      <w:r>
        <w:rPr>
          <w:color w:val="221F1F"/>
          <w:spacing w:val="-2"/>
        </w:rPr>
        <w:t>However:</w:t>
      </w:r>
    </w:p>
    <w:p w:rsidR="007F6DF9" w:rsidRDefault="00A43FBC">
      <w:pPr>
        <w:pStyle w:val="ListParagraph"/>
        <w:numPr>
          <w:ilvl w:val="0"/>
          <w:numId w:val="34"/>
        </w:numPr>
        <w:tabs>
          <w:tab w:val="left" w:pos="1863"/>
          <w:tab w:val="left" w:pos="1870"/>
        </w:tabs>
        <w:spacing w:before="245" w:line="230" w:lineRule="auto"/>
        <w:ind w:right="1358" w:hanging="504"/>
      </w:pPr>
      <w:r>
        <w:rPr>
          <w:color w:val="221F1F"/>
        </w:rPr>
        <w:t>Any</w:t>
      </w:r>
      <w:r>
        <w:rPr>
          <w:color w:val="221F1F"/>
          <w:spacing w:val="-2"/>
        </w:rPr>
        <w:t xml:space="preserve"> </w:t>
      </w:r>
      <w:r>
        <w:rPr>
          <w:color w:val="221F1F"/>
        </w:rPr>
        <w:t>failure</w:t>
      </w:r>
      <w:r>
        <w:rPr>
          <w:color w:val="221F1F"/>
          <w:spacing w:val="-4"/>
        </w:rPr>
        <w:t xml:space="preserve"> </w:t>
      </w:r>
      <w:r>
        <w:rPr>
          <w:color w:val="221F1F"/>
        </w:rPr>
        <w:t>to</w:t>
      </w:r>
      <w:r>
        <w:rPr>
          <w:color w:val="221F1F"/>
          <w:spacing w:val="-2"/>
        </w:rPr>
        <w:t xml:space="preserve"> </w:t>
      </w:r>
      <w:r>
        <w:rPr>
          <w:color w:val="221F1F"/>
        </w:rPr>
        <w:t>disapprove</w:t>
      </w:r>
      <w:r>
        <w:rPr>
          <w:color w:val="221F1F"/>
          <w:spacing w:val="-1"/>
        </w:rPr>
        <w:t xml:space="preserve"> </w:t>
      </w:r>
      <w:r>
        <w:rPr>
          <w:color w:val="221F1F"/>
        </w:rPr>
        <w:t>any</w:t>
      </w:r>
      <w:r>
        <w:rPr>
          <w:color w:val="221F1F"/>
          <w:spacing w:val="-2"/>
        </w:rPr>
        <w:t xml:space="preserve"> </w:t>
      </w:r>
      <w:r>
        <w:rPr>
          <w:color w:val="221F1F"/>
        </w:rPr>
        <w:t>work,</w:t>
      </w:r>
      <w:r>
        <w:rPr>
          <w:color w:val="221F1F"/>
          <w:spacing w:val="-2"/>
        </w:rPr>
        <w:t xml:space="preserve"> </w:t>
      </w:r>
      <w:r>
        <w:rPr>
          <w:color w:val="221F1F"/>
        </w:rPr>
        <w:t>Plant</w:t>
      </w:r>
      <w:r>
        <w:rPr>
          <w:color w:val="221F1F"/>
          <w:spacing w:val="-1"/>
        </w:rPr>
        <w:t xml:space="preserve"> </w:t>
      </w:r>
      <w:r>
        <w:rPr>
          <w:color w:val="221F1F"/>
        </w:rPr>
        <w:t>or</w:t>
      </w:r>
      <w:r>
        <w:rPr>
          <w:color w:val="221F1F"/>
          <w:spacing w:val="-4"/>
        </w:rPr>
        <w:t xml:space="preserve"> </w:t>
      </w:r>
      <w:r>
        <w:rPr>
          <w:color w:val="221F1F"/>
        </w:rPr>
        <w:t>Materials</w:t>
      </w:r>
      <w:r>
        <w:rPr>
          <w:color w:val="221F1F"/>
          <w:spacing w:val="-3"/>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constitute</w:t>
      </w:r>
      <w:r>
        <w:rPr>
          <w:color w:val="221F1F"/>
          <w:spacing w:val="-2"/>
        </w:rPr>
        <w:t xml:space="preserve"> </w:t>
      </w:r>
      <w:r>
        <w:rPr>
          <w:color w:val="221F1F"/>
        </w:rPr>
        <w:t>approval,</w:t>
      </w:r>
      <w:r>
        <w:rPr>
          <w:color w:val="221F1F"/>
          <w:spacing w:val="-1"/>
        </w:rPr>
        <w:t xml:space="preserve"> </w:t>
      </w:r>
      <w:r>
        <w:rPr>
          <w:color w:val="221F1F"/>
        </w:rPr>
        <w:t>and</w:t>
      </w:r>
      <w:r>
        <w:rPr>
          <w:color w:val="221F1F"/>
          <w:spacing w:val="-2"/>
        </w:rPr>
        <w:t xml:space="preserve"> </w:t>
      </w:r>
      <w:r>
        <w:rPr>
          <w:color w:val="221F1F"/>
        </w:rPr>
        <w:t>shall therefore not prejudice the right of the Architect to reject the work, Plant or Materials;</w:t>
      </w:r>
    </w:p>
    <w:p w:rsidR="007F6DF9" w:rsidRDefault="00A43FBC">
      <w:pPr>
        <w:pStyle w:val="ListParagraph"/>
        <w:numPr>
          <w:ilvl w:val="0"/>
          <w:numId w:val="34"/>
        </w:numPr>
        <w:tabs>
          <w:tab w:val="left" w:pos="1863"/>
          <w:tab w:val="left" w:pos="1870"/>
        </w:tabs>
        <w:spacing w:before="74" w:line="230" w:lineRule="auto"/>
        <w:ind w:right="804" w:hanging="504"/>
      </w:pPr>
      <w:r>
        <w:rPr>
          <w:color w:val="221F1F"/>
        </w:rPr>
        <w:t>If</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questions</w:t>
      </w:r>
      <w:r>
        <w:rPr>
          <w:color w:val="221F1F"/>
          <w:spacing w:val="-3"/>
        </w:rPr>
        <w:t xml:space="preserve"> </w:t>
      </w:r>
      <w:r>
        <w:rPr>
          <w:color w:val="221F1F"/>
        </w:rPr>
        <w:t>any</w:t>
      </w:r>
      <w:r>
        <w:rPr>
          <w:color w:val="221F1F"/>
          <w:spacing w:val="-2"/>
        </w:rPr>
        <w:t xml:space="preserve"> </w:t>
      </w:r>
      <w:r>
        <w:rPr>
          <w:color w:val="221F1F"/>
        </w:rPr>
        <w:t>determination</w:t>
      </w:r>
      <w:r>
        <w:rPr>
          <w:color w:val="221F1F"/>
          <w:spacing w:val="-1"/>
        </w:rPr>
        <w:t xml:space="preserve"> </w:t>
      </w:r>
      <w:r>
        <w:rPr>
          <w:color w:val="221F1F"/>
        </w:rPr>
        <w:t>or</w:t>
      </w:r>
      <w:r>
        <w:rPr>
          <w:color w:val="221F1F"/>
          <w:spacing w:val="-3"/>
        </w:rPr>
        <w:t xml:space="preserve"> </w:t>
      </w:r>
      <w:r>
        <w:rPr>
          <w:color w:val="221F1F"/>
        </w:rPr>
        <w:t>instruction</w:t>
      </w:r>
      <w:r>
        <w:rPr>
          <w:color w:val="221F1F"/>
          <w:spacing w:val="-2"/>
        </w:rPr>
        <w:t xml:space="preserve"> </w:t>
      </w:r>
      <w:r>
        <w:rPr>
          <w:color w:val="221F1F"/>
        </w:rPr>
        <w:t>of</w:t>
      </w:r>
      <w:r>
        <w:rPr>
          <w:color w:val="221F1F"/>
          <w:spacing w:val="-4"/>
        </w:rPr>
        <w:t xml:space="preserve"> </w:t>
      </w:r>
      <w:r>
        <w:rPr>
          <w:color w:val="221F1F"/>
        </w:rPr>
        <w:t>an</w:t>
      </w:r>
      <w:r>
        <w:rPr>
          <w:color w:val="221F1F"/>
          <w:spacing w:val="-2"/>
        </w:rPr>
        <w:t xml:space="preserve"> </w:t>
      </w:r>
      <w:r>
        <w:rPr>
          <w:color w:val="221F1F"/>
        </w:rPr>
        <w:t>assistant,</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may</w:t>
      </w:r>
      <w:r>
        <w:rPr>
          <w:color w:val="221F1F"/>
          <w:spacing w:val="-4"/>
        </w:rPr>
        <w:t xml:space="preserve"> </w:t>
      </w:r>
      <w:r>
        <w:rPr>
          <w:color w:val="221F1F"/>
        </w:rPr>
        <w:t xml:space="preserve">refer the matter to the Engineer, who shall promptly confirm, reverse or vary the determination or </w:t>
      </w:r>
      <w:r>
        <w:rPr>
          <w:color w:val="221F1F"/>
          <w:spacing w:val="-2"/>
        </w:rPr>
        <w:t>instruction.</w:t>
      </w:r>
    </w:p>
    <w:p w:rsidR="007F6DF9" w:rsidRDefault="00A43FBC">
      <w:pPr>
        <w:pStyle w:val="Heading9"/>
        <w:numPr>
          <w:ilvl w:val="1"/>
          <w:numId w:val="122"/>
        </w:numPr>
        <w:tabs>
          <w:tab w:val="left" w:pos="1366"/>
        </w:tabs>
        <w:spacing w:before="235"/>
        <w:ind w:left="1366" w:hanging="660"/>
        <w:rPr>
          <w:color w:val="221F1F"/>
        </w:rPr>
      </w:pPr>
      <w:r>
        <w:rPr>
          <w:color w:val="221F1F"/>
        </w:rPr>
        <w:t>Instructions</w:t>
      </w:r>
      <w:r>
        <w:rPr>
          <w:color w:val="221F1F"/>
          <w:spacing w:val="-4"/>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spacing w:val="-2"/>
        </w:rPr>
        <w:t>Engineer</w:t>
      </w:r>
    </w:p>
    <w:p w:rsidR="007F6DF9" w:rsidRDefault="00A43FBC">
      <w:pPr>
        <w:pStyle w:val="ListParagraph"/>
        <w:numPr>
          <w:ilvl w:val="2"/>
          <w:numId w:val="122"/>
        </w:numPr>
        <w:tabs>
          <w:tab w:val="left" w:pos="1363"/>
          <w:tab w:val="left" w:pos="1378"/>
        </w:tabs>
        <w:spacing w:before="243" w:line="230" w:lineRule="auto"/>
        <w:ind w:left="1378" w:right="558" w:hanging="673"/>
        <w:jc w:val="both"/>
        <w:rPr>
          <w:color w:val="221F1F"/>
        </w:rPr>
      </w:pPr>
      <w:r>
        <w:rPr>
          <w:color w:val="221F1F"/>
        </w:rPr>
        <w:t xml:space="preserve">The Architect may issue to the Contractor (at </w:t>
      </w:r>
      <w:proofErr w:type="spellStart"/>
      <w:r>
        <w:rPr>
          <w:color w:val="221F1F"/>
        </w:rPr>
        <w:t>anytime</w:t>
      </w:r>
      <w:proofErr w:type="spellEnd"/>
      <w:r>
        <w:rPr>
          <w:color w:val="221F1F"/>
        </w:rPr>
        <w:t xml:space="preserve">) instructions and additional or modified Drawings which may </w:t>
      </w:r>
      <w:proofErr w:type="spellStart"/>
      <w:r>
        <w:rPr>
          <w:color w:val="221F1F"/>
        </w:rPr>
        <w:t>benecessary</w:t>
      </w:r>
      <w:proofErr w:type="spellEnd"/>
      <w:r>
        <w:rPr>
          <w:color w:val="221F1F"/>
        </w:rPr>
        <w:t xml:space="preserve"> for the execution of the Works</w:t>
      </w:r>
      <w:r>
        <w:rPr>
          <w:color w:val="221F1F"/>
          <w:spacing w:val="-4"/>
        </w:rPr>
        <w:t xml:space="preserve"> </w:t>
      </w:r>
      <w:r>
        <w:rPr>
          <w:color w:val="221F1F"/>
        </w:rPr>
        <w:t>and the remedying of any defects, all in accordance with</w:t>
      </w:r>
      <w:r>
        <w:rPr>
          <w:color w:val="221F1F"/>
          <w:spacing w:val="-13"/>
        </w:rPr>
        <w:t xml:space="preserve"> </w:t>
      </w:r>
      <w:r>
        <w:rPr>
          <w:color w:val="221F1F"/>
        </w:rPr>
        <w:t>the</w:t>
      </w:r>
      <w:r>
        <w:rPr>
          <w:color w:val="221F1F"/>
          <w:spacing w:val="-13"/>
        </w:rPr>
        <w:t xml:space="preserve"> </w:t>
      </w:r>
      <w:r>
        <w:rPr>
          <w:color w:val="221F1F"/>
        </w:rPr>
        <w:t>Contract.</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only</w:t>
      </w:r>
      <w:r>
        <w:rPr>
          <w:color w:val="221F1F"/>
          <w:spacing w:val="-13"/>
        </w:rPr>
        <w:t xml:space="preserve"> </w:t>
      </w:r>
      <w:r>
        <w:rPr>
          <w:color w:val="221F1F"/>
        </w:rPr>
        <w:t>take</w:t>
      </w:r>
      <w:r>
        <w:rPr>
          <w:color w:val="221F1F"/>
          <w:spacing w:val="-11"/>
        </w:rPr>
        <w:t xml:space="preserve"> </w:t>
      </w:r>
      <w:r>
        <w:rPr>
          <w:color w:val="221F1F"/>
        </w:rPr>
        <w:t>instructions</w:t>
      </w:r>
      <w:r>
        <w:rPr>
          <w:color w:val="221F1F"/>
          <w:spacing w:val="-13"/>
        </w:rPr>
        <w:t xml:space="preserve"> </w:t>
      </w:r>
      <w:r>
        <w:rPr>
          <w:color w:val="221F1F"/>
        </w:rPr>
        <w:t>from</w:t>
      </w:r>
      <w:r>
        <w:rPr>
          <w:color w:val="221F1F"/>
          <w:spacing w:val="-12"/>
        </w:rPr>
        <w:t xml:space="preserve"> </w:t>
      </w:r>
      <w:r>
        <w:rPr>
          <w:color w:val="221F1F"/>
        </w:rPr>
        <w:t>the</w:t>
      </w:r>
      <w:r>
        <w:rPr>
          <w:color w:val="221F1F"/>
          <w:spacing w:val="-11"/>
        </w:rPr>
        <w:t xml:space="preserve"> </w:t>
      </w:r>
      <w:r>
        <w:rPr>
          <w:color w:val="221F1F"/>
        </w:rPr>
        <w:t>Engineer,</w:t>
      </w:r>
      <w:r>
        <w:rPr>
          <w:color w:val="221F1F"/>
          <w:spacing w:val="-13"/>
        </w:rPr>
        <w:t xml:space="preserve"> </w:t>
      </w:r>
      <w:r>
        <w:rPr>
          <w:color w:val="221F1F"/>
        </w:rPr>
        <w:t>or</w:t>
      </w:r>
      <w:r>
        <w:rPr>
          <w:color w:val="221F1F"/>
          <w:spacing w:val="-12"/>
        </w:rPr>
        <w:t xml:space="preserve"> </w:t>
      </w:r>
      <w:r>
        <w:rPr>
          <w:color w:val="221F1F"/>
        </w:rPr>
        <w:t>from</w:t>
      </w:r>
      <w:r>
        <w:rPr>
          <w:color w:val="221F1F"/>
          <w:spacing w:val="-12"/>
        </w:rPr>
        <w:t xml:space="preserve"> </w:t>
      </w:r>
      <w:r>
        <w:rPr>
          <w:color w:val="221F1F"/>
        </w:rPr>
        <w:t>an</w:t>
      </w:r>
      <w:r>
        <w:rPr>
          <w:color w:val="221F1F"/>
          <w:spacing w:val="-13"/>
        </w:rPr>
        <w:t xml:space="preserve"> </w:t>
      </w:r>
      <w:r>
        <w:rPr>
          <w:color w:val="221F1F"/>
        </w:rPr>
        <w:t>assistant</w:t>
      </w:r>
      <w:r>
        <w:rPr>
          <w:color w:val="221F1F"/>
          <w:spacing w:val="-12"/>
        </w:rPr>
        <w:t xml:space="preserve"> </w:t>
      </w:r>
      <w:r>
        <w:rPr>
          <w:color w:val="221F1F"/>
        </w:rPr>
        <w:t>to</w:t>
      </w:r>
      <w:r>
        <w:rPr>
          <w:color w:val="221F1F"/>
          <w:spacing w:val="-11"/>
        </w:rPr>
        <w:t xml:space="preserve"> </w:t>
      </w:r>
      <w:r>
        <w:rPr>
          <w:color w:val="221F1F"/>
        </w:rPr>
        <w:t>whom the appropriate authority has been delegated under Clause 3.2.1.</w:t>
      </w:r>
    </w:p>
    <w:p w:rsidR="007F6DF9" w:rsidRDefault="00A43FBC">
      <w:pPr>
        <w:pStyle w:val="ListParagraph"/>
        <w:numPr>
          <w:ilvl w:val="2"/>
          <w:numId w:val="122"/>
        </w:numPr>
        <w:tabs>
          <w:tab w:val="left" w:pos="1363"/>
          <w:tab w:val="left" w:pos="1378"/>
        </w:tabs>
        <w:spacing w:before="245" w:line="230" w:lineRule="auto"/>
        <w:ind w:left="1378" w:right="558" w:hanging="673"/>
        <w:jc w:val="both"/>
        <w:rPr>
          <w:color w:val="221F1F"/>
        </w:rPr>
      </w:pPr>
      <w:r>
        <w:rPr>
          <w:color w:val="221F1F"/>
        </w:rPr>
        <w:t>The</w:t>
      </w:r>
      <w:r>
        <w:rPr>
          <w:color w:val="221F1F"/>
          <w:spacing w:val="-7"/>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comply</w:t>
      </w:r>
      <w:r>
        <w:rPr>
          <w:color w:val="221F1F"/>
          <w:spacing w:val="-6"/>
        </w:rPr>
        <w:t xml:space="preserve"> </w:t>
      </w:r>
      <w:r>
        <w:rPr>
          <w:color w:val="221F1F"/>
        </w:rPr>
        <w:t>with</w:t>
      </w:r>
      <w:r>
        <w:rPr>
          <w:color w:val="221F1F"/>
          <w:spacing w:val="-9"/>
        </w:rPr>
        <w:t xml:space="preserve"> </w:t>
      </w:r>
      <w:r>
        <w:rPr>
          <w:color w:val="221F1F"/>
        </w:rPr>
        <w:t>the</w:t>
      </w:r>
      <w:r>
        <w:rPr>
          <w:color w:val="221F1F"/>
          <w:spacing w:val="-9"/>
        </w:rPr>
        <w:t xml:space="preserve"> </w:t>
      </w:r>
      <w:r>
        <w:rPr>
          <w:color w:val="221F1F"/>
        </w:rPr>
        <w:t>instructions</w:t>
      </w:r>
      <w:r>
        <w:rPr>
          <w:color w:val="221F1F"/>
          <w:spacing w:val="-6"/>
        </w:rPr>
        <w:t xml:space="preserve"> </w:t>
      </w:r>
      <w:r>
        <w:rPr>
          <w:color w:val="221F1F"/>
        </w:rPr>
        <w:t>given</w:t>
      </w:r>
      <w:r>
        <w:rPr>
          <w:color w:val="221F1F"/>
          <w:spacing w:val="-7"/>
        </w:rPr>
        <w:t xml:space="preserve"> </w:t>
      </w:r>
      <w:r>
        <w:rPr>
          <w:color w:val="221F1F"/>
        </w:rPr>
        <w:t>by</w:t>
      </w:r>
      <w:r>
        <w:rPr>
          <w:color w:val="221F1F"/>
          <w:spacing w:val="-9"/>
        </w:rPr>
        <w:t xml:space="preserve"> </w:t>
      </w:r>
      <w:r>
        <w:rPr>
          <w:color w:val="221F1F"/>
        </w:rPr>
        <w:t>the</w:t>
      </w:r>
      <w:r>
        <w:rPr>
          <w:color w:val="221F1F"/>
          <w:spacing w:val="-9"/>
        </w:rPr>
        <w:t xml:space="preserve"> </w:t>
      </w:r>
      <w:r>
        <w:rPr>
          <w:color w:val="221F1F"/>
        </w:rPr>
        <w:t>Architect</w:t>
      </w:r>
      <w:r>
        <w:rPr>
          <w:color w:val="221F1F"/>
          <w:spacing w:val="-5"/>
        </w:rPr>
        <w:t xml:space="preserve"> </w:t>
      </w:r>
      <w:r>
        <w:rPr>
          <w:color w:val="221F1F"/>
        </w:rPr>
        <w:t>or</w:t>
      </w:r>
      <w:r>
        <w:rPr>
          <w:color w:val="221F1F"/>
          <w:spacing w:val="-6"/>
        </w:rPr>
        <w:t xml:space="preserve"> </w:t>
      </w:r>
      <w:r>
        <w:rPr>
          <w:color w:val="221F1F"/>
        </w:rPr>
        <w:t>delegated</w:t>
      </w:r>
      <w:r>
        <w:rPr>
          <w:color w:val="221F1F"/>
          <w:spacing w:val="-8"/>
        </w:rPr>
        <w:t xml:space="preserve"> </w:t>
      </w:r>
      <w:r>
        <w:rPr>
          <w:color w:val="221F1F"/>
        </w:rPr>
        <w:t>assistant,</w:t>
      </w:r>
      <w:r>
        <w:rPr>
          <w:color w:val="221F1F"/>
          <w:spacing w:val="-6"/>
        </w:rPr>
        <w:t xml:space="preserve"> </w:t>
      </w:r>
      <w:r>
        <w:rPr>
          <w:color w:val="221F1F"/>
        </w:rPr>
        <w:t>on</w:t>
      </w:r>
      <w:r>
        <w:rPr>
          <w:color w:val="221F1F"/>
          <w:spacing w:val="-7"/>
        </w:rPr>
        <w:t xml:space="preserve"> </w:t>
      </w:r>
      <w:r>
        <w:rPr>
          <w:color w:val="221F1F"/>
        </w:rPr>
        <w:t>any</w:t>
      </w:r>
      <w:r>
        <w:rPr>
          <w:color w:val="221F1F"/>
          <w:spacing w:val="-10"/>
        </w:rPr>
        <w:t xml:space="preserve"> </w:t>
      </w:r>
      <w:r>
        <w:rPr>
          <w:color w:val="221F1F"/>
        </w:rPr>
        <w:t>matter related to the Contract. Whenever practicable, their instructions shall be given in</w:t>
      </w:r>
      <w:r>
        <w:rPr>
          <w:color w:val="221F1F"/>
          <w:spacing w:val="-2"/>
        </w:rPr>
        <w:t xml:space="preserve"> </w:t>
      </w:r>
      <w:r>
        <w:rPr>
          <w:color w:val="221F1F"/>
        </w:rPr>
        <w:t xml:space="preserve">writing. If the </w:t>
      </w:r>
      <w:proofErr w:type="spellStart"/>
      <w:r>
        <w:rPr>
          <w:color w:val="221F1F"/>
        </w:rPr>
        <w:t>Architec</w:t>
      </w:r>
      <w:proofErr w:type="spellEnd"/>
      <w:r>
        <w:rPr>
          <w:color w:val="221F1F"/>
        </w:rPr>
        <w:t xml:space="preserve"> tor a delegated assistant:</w:t>
      </w:r>
    </w:p>
    <w:p w:rsidR="007F6DF9" w:rsidRDefault="007F6DF9">
      <w:pPr>
        <w:pStyle w:val="BodyText"/>
        <w:spacing w:before="57"/>
      </w:pPr>
    </w:p>
    <w:p w:rsidR="007F6DF9" w:rsidRDefault="00A43FBC">
      <w:pPr>
        <w:pStyle w:val="ListParagraph"/>
        <w:numPr>
          <w:ilvl w:val="0"/>
          <w:numId w:val="32"/>
        </w:numPr>
        <w:tabs>
          <w:tab w:val="left" w:pos="1863"/>
        </w:tabs>
      </w:pPr>
      <w:r>
        <w:rPr>
          <w:color w:val="221F1F"/>
        </w:rPr>
        <w:t>Gives</w:t>
      </w:r>
      <w:r>
        <w:rPr>
          <w:color w:val="221F1F"/>
          <w:spacing w:val="-4"/>
        </w:rPr>
        <w:t xml:space="preserve"> </w:t>
      </w:r>
      <w:r>
        <w:rPr>
          <w:color w:val="221F1F"/>
        </w:rPr>
        <w:t>an</w:t>
      </w:r>
      <w:r>
        <w:rPr>
          <w:color w:val="221F1F"/>
          <w:spacing w:val="-1"/>
        </w:rPr>
        <w:t xml:space="preserve"> </w:t>
      </w:r>
      <w:r>
        <w:rPr>
          <w:color w:val="221F1F"/>
        </w:rPr>
        <w:t>oral</w:t>
      </w:r>
      <w:r>
        <w:rPr>
          <w:color w:val="221F1F"/>
          <w:spacing w:val="-2"/>
        </w:rPr>
        <w:t xml:space="preserve"> instruction,</w:t>
      </w:r>
    </w:p>
    <w:p w:rsidR="007F6DF9" w:rsidRDefault="00A43FBC">
      <w:pPr>
        <w:pStyle w:val="ListParagraph"/>
        <w:numPr>
          <w:ilvl w:val="0"/>
          <w:numId w:val="32"/>
        </w:numPr>
        <w:tabs>
          <w:tab w:val="left" w:pos="1863"/>
          <w:tab w:val="left" w:pos="1868"/>
        </w:tabs>
        <w:spacing w:before="72" w:line="230" w:lineRule="auto"/>
        <w:ind w:left="1868" w:right="915" w:hanging="497"/>
      </w:pPr>
      <w:r>
        <w:rPr>
          <w:color w:val="221F1F"/>
        </w:rPr>
        <w:t>receives</w:t>
      </w:r>
      <w:r>
        <w:rPr>
          <w:color w:val="221F1F"/>
          <w:spacing w:val="-3"/>
        </w:rPr>
        <w:t xml:space="preserve"> </w:t>
      </w:r>
      <w:r>
        <w:rPr>
          <w:color w:val="221F1F"/>
        </w:rPr>
        <w:t>a</w:t>
      </w:r>
      <w:r>
        <w:rPr>
          <w:color w:val="221F1F"/>
          <w:spacing w:val="-3"/>
        </w:rPr>
        <w:t xml:space="preserve"> </w:t>
      </w:r>
      <w:r>
        <w:rPr>
          <w:color w:val="221F1F"/>
        </w:rPr>
        <w:t>written</w:t>
      </w:r>
      <w:r>
        <w:rPr>
          <w:color w:val="221F1F"/>
          <w:spacing w:val="-3"/>
        </w:rPr>
        <w:t xml:space="preserve"> </w:t>
      </w:r>
      <w:r>
        <w:rPr>
          <w:color w:val="221F1F"/>
        </w:rPr>
        <w:t>confirmation</w:t>
      </w:r>
      <w:r>
        <w:rPr>
          <w:color w:val="221F1F"/>
          <w:spacing w:val="-3"/>
        </w:rPr>
        <w:t xml:space="preserve"> </w:t>
      </w:r>
      <w:r>
        <w:rPr>
          <w:color w:val="221F1F"/>
        </w:rPr>
        <w:t>of</w:t>
      </w:r>
      <w:r>
        <w:rPr>
          <w:color w:val="221F1F"/>
          <w:spacing w:val="-3"/>
        </w:rPr>
        <w:t xml:space="preserve"> </w:t>
      </w:r>
      <w:r>
        <w:rPr>
          <w:color w:val="221F1F"/>
        </w:rPr>
        <w:t>the instruction,</w:t>
      </w:r>
      <w:r>
        <w:rPr>
          <w:color w:val="221F1F"/>
          <w:spacing w:val="-3"/>
        </w:rPr>
        <w:t xml:space="preserve"> </w:t>
      </w:r>
      <w:r>
        <w:rPr>
          <w:color w:val="221F1F"/>
        </w:rPr>
        <w:t>from</w:t>
      </w:r>
      <w:r>
        <w:rPr>
          <w:color w:val="221F1F"/>
          <w:spacing w:val="-5"/>
        </w:rPr>
        <w:t xml:space="preserve"> </w:t>
      </w:r>
      <w:r>
        <w:rPr>
          <w:color w:val="221F1F"/>
        </w:rPr>
        <w:t>(or</w:t>
      </w:r>
      <w:r>
        <w:rPr>
          <w:color w:val="221F1F"/>
          <w:spacing w:val="-3"/>
        </w:rPr>
        <w:t xml:space="preserve"> </w:t>
      </w:r>
      <w:r>
        <w:rPr>
          <w:color w:val="221F1F"/>
        </w:rPr>
        <w:t>on</w:t>
      </w:r>
      <w:r>
        <w:rPr>
          <w:color w:val="221F1F"/>
          <w:spacing w:val="-3"/>
        </w:rPr>
        <w:t xml:space="preserve"> </w:t>
      </w:r>
      <w:r>
        <w:rPr>
          <w:color w:val="221F1F"/>
        </w:rPr>
        <w:t>behalf</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within</w:t>
      </w:r>
      <w:r>
        <w:rPr>
          <w:color w:val="221F1F"/>
          <w:spacing w:val="-6"/>
        </w:rPr>
        <w:t xml:space="preserve"> </w:t>
      </w:r>
      <w:r>
        <w:rPr>
          <w:color w:val="221F1F"/>
        </w:rPr>
        <w:t>two working days after giving the instruction, and</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7F6DF9">
      <w:pPr>
        <w:pStyle w:val="BodyText"/>
        <w:spacing w:before="220"/>
      </w:pPr>
    </w:p>
    <w:p w:rsidR="007F6DF9" w:rsidRDefault="00A43FBC">
      <w:pPr>
        <w:pStyle w:val="ListParagraph"/>
        <w:numPr>
          <w:ilvl w:val="0"/>
          <w:numId w:val="32"/>
        </w:numPr>
        <w:tabs>
          <w:tab w:val="left" w:pos="1871"/>
          <w:tab w:val="left" w:pos="1877"/>
        </w:tabs>
        <w:spacing w:line="230" w:lineRule="auto"/>
        <w:ind w:left="1877" w:right="565" w:hanging="497"/>
        <w:jc w:val="both"/>
      </w:pPr>
      <w:r>
        <w:rPr>
          <w:color w:val="221F1F"/>
        </w:rPr>
        <w:t>does not</w:t>
      </w:r>
      <w:r>
        <w:rPr>
          <w:color w:val="221F1F"/>
          <w:spacing w:val="-3"/>
        </w:rPr>
        <w:t xml:space="preserve"> </w:t>
      </w:r>
      <w:r>
        <w:rPr>
          <w:color w:val="221F1F"/>
        </w:rPr>
        <w:t>reply</w:t>
      </w:r>
      <w:r>
        <w:rPr>
          <w:color w:val="221F1F"/>
          <w:spacing w:val="-1"/>
        </w:rPr>
        <w:t xml:space="preserve"> </w:t>
      </w:r>
      <w:r>
        <w:rPr>
          <w:color w:val="221F1F"/>
        </w:rPr>
        <w:t>by</w:t>
      </w:r>
      <w:r>
        <w:rPr>
          <w:color w:val="221F1F"/>
          <w:spacing w:val="-4"/>
        </w:rPr>
        <w:t xml:space="preserve"> </w:t>
      </w:r>
      <w:r>
        <w:rPr>
          <w:color w:val="221F1F"/>
        </w:rPr>
        <w:t>issuing a</w:t>
      </w:r>
      <w:r>
        <w:rPr>
          <w:color w:val="221F1F"/>
          <w:spacing w:val="-3"/>
        </w:rPr>
        <w:t xml:space="preserve"> </w:t>
      </w:r>
      <w:r>
        <w:rPr>
          <w:color w:val="221F1F"/>
        </w:rPr>
        <w:t>written</w:t>
      </w:r>
      <w:r>
        <w:rPr>
          <w:color w:val="221F1F"/>
          <w:spacing w:val="-3"/>
        </w:rPr>
        <w:t xml:space="preserve"> </w:t>
      </w:r>
      <w:r>
        <w:rPr>
          <w:color w:val="221F1F"/>
        </w:rPr>
        <w:t>rejection</w:t>
      </w:r>
      <w:r>
        <w:rPr>
          <w:color w:val="221F1F"/>
          <w:spacing w:val="-1"/>
        </w:rPr>
        <w:t xml:space="preserve"> </w:t>
      </w:r>
      <w:r>
        <w:rPr>
          <w:color w:val="221F1F"/>
        </w:rPr>
        <w:t>and/or</w:t>
      </w:r>
      <w:r>
        <w:rPr>
          <w:color w:val="221F1F"/>
          <w:spacing w:val="-2"/>
        </w:rPr>
        <w:t xml:space="preserve"> </w:t>
      </w:r>
      <w:r>
        <w:rPr>
          <w:color w:val="221F1F"/>
        </w:rPr>
        <w:t>instruction</w:t>
      </w:r>
      <w:r>
        <w:rPr>
          <w:color w:val="221F1F"/>
          <w:spacing w:val="-3"/>
        </w:rPr>
        <w:t xml:space="preserve"> </w:t>
      </w:r>
      <w:r>
        <w:rPr>
          <w:color w:val="221F1F"/>
        </w:rPr>
        <w:t>within</w:t>
      </w:r>
      <w:r>
        <w:rPr>
          <w:color w:val="221F1F"/>
          <w:spacing w:val="-3"/>
        </w:rPr>
        <w:t xml:space="preserve"> </w:t>
      </w:r>
      <w:r>
        <w:rPr>
          <w:color w:val="221F1F"/>
        </w:rPr>
        <w:t>two</w:t>
      </w:r>
      <w:r>
        <w:rPr>
          <w:color w:val="221F1F"/>
          <w:spacing w:val="-1"/>
        </w:rPr>
        <w:t xml:space="preserve"> </w:t>
      </w:r>
      <w:r>
        <w:rPr>
          <w:color w:val="221F1F"/>
        </w:rPr>
        <w:t>working</w:t>
      </w:r>
      <w:r>
        <w:rPr>
          <w:color w:val="221F1F"/>
          <w:spacing w:val="-3"/>
        </w:rPr>
        <w:t xml:space="preserve"> </w:t>
      </w:r>
      <w:r>
        <w:rPr>
          <w:color w:val="221F1F"/>
        </w:rPr>
        <w:t>days</w:t>
      </w:r>
      <w:r>
        <w:rPr>
          <w:color w:val="221F1F"/>
          <w:spacing w:val="-3"/>
        </w:rPr>
        <w:t xml:space="preserve"> </w:t>
      </w:r>
      <w:r>
        <w:rPr>
          <w:color w:val="221F1F"/>
        </w:rPr>
        <w:t>after</w:t>
      </w:r>
      <w:r>
        <w:rPr>
          <w:color w:val="221F1F"/>
          <w:spacing w:val="-2"/>
        </w:rPr>
        <w:t xml:space="preserve"> </w:t>
      </w:r>
      <w:r>
        <w:rPr>
          <w:color w:val="221F1F"/>
        </w:rPr>
        <w:t>receiving the confirmation,</w:t>
      </w:r>
    </w:p>
    <w:p w:rsidR="007F6DF9" w:rsidRDefault="00A43FBC">
      <w:pPr>
        <w:pStyle w:val="BodyText"/>
        <w:spacing w:before="244" w:line="230" w:lineRule="auto"/>
        <w:ind w:left="1381" w:right="565"/>
        <w:jc w:val="both"/>
      </w:pPr>
      <w:r>
        <w:rPr>
          <w:color w:val="221F1F"/>
        </w:rPr>
        <w:t>Then the confirmation shall constitute the written instruction of the Architect or delegated assistant (as the case may be).</w:t>
      </w:r>
    </w:p>
    <w:p w:rsidR="007F6DF9" w:rsidRDefault="00A43FBC">
      <w:pPr>
        <w:pStyle w:val="Heading9"/>
        <w:numPr>
          <w:ilvl w:val="1"/>
          <w:numId w:val="122"/>
        </w:numPr>
        <w:tabs>
          <w:tab w:val="left" w:pos="1378"/>
        </w:tabs>
        <w:spacing w:before="236"/>
        <w:ind w:left="1378" w:hanging="665"/>
        <w:rPr>
          <w:color w:val="221F1F"/>
        </w:rPr>
      </w:pPr>
      <w:r>
        <w:rPr>
          <w:color w:val="221F1F"/>
        </w:rPr>
        <w:t>Replacement</w:t>
      </w:r>
      <w:r>
        <w:rPr>
          <w:color w:val="221F1F"/>
          <w:spacing w:val="-3"/>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spacing w:val="-2"/>
        </w:rPr>
        <w:t>Engineer</w:t>
      </w:r>
    </w:p>
    <w:p w:rsidR="007F6DF9" w:rsidRDefault="00A43FBC">
      <w:pPr>
        <w:pStyle w:val="BodyText"/>
        <w:spacing w:before="245" w:line="230" w:lineRule="auto"/>
        <w:ind w:left="1381" w:right="565"/>
        <w:jc w:val="both"/>
      </w:pPr>
      <w:proofErr w:type="spellStart"/>
      <w:r>
        <w:rPr>
          <w:color w:val="221F1F"/>
        </w:rPr>
        <w:t>IftheProcuring</w:t>
      </w:r>
      <w:proofErr w:type="spellEnd"/>
      <w:r>
        <w:rPr>
          <w:color w:val="221F1F"/>
        </w:rPr>
        <w:t xml:space="preserve"> Entity intends to replace the Engineer, the Procuring Entity shall, in not less than 21 days before </w:t>
      </w:r>
      <w:proofErr w:type="spellStart"/>
      <w:r>
        <w:rPr>
          <w:color w:val="221F1F"/>
        </w:rPr>
        <w:t>theintendeddateofreplacement</w:t>
      </w:r>
      <w:proofErr w:type="spellEnd"/>
      <w:r>
        <w:rPr>
          <w:color w:val="221F1F"/>
        </w:rPr>
        <w:t>, give notice to the Contractor of the name, address and relevant experience of the intended person to replace the Engineer.</w:t>
      </w:r>
    </w:p>
    <w:p w:rsidR="007F6DF9" w:rsidRDefault="00A43FBC">
      <w:pPr>
        <w:pStyle w:val="Heading9"/>
        <w:numPr>
          <w:ilvl w:val="1"/>
          <w:numId w:val="122"/>
        </w:numPr>
        <w:tabs>
          <w:tab w:val="left" w:pos="1380"/>
        </w:tabs>
        <w:spacing w:before="235"/>
        <w:ind w:left="1380" w:hanging="667"/>
        <w:rPr>
          <w:color w:val="221F1F"/>
        </w:rPr>
      </w:pPr>
      <w:r>
        <w:rPr>
          <w:color w:val="221F1F"/>
          <w:spacing w:val="-2"/>
        </w:rPr>
        <w:t>Determinations</w:t>
      </w:r>
    </w:p>
    <w:p w:rsidR="007F6DF9" w:rsidRDefault="00A43FBC">
      <w:pPr>
        <w:pStyle w:val="ListParagraph"/>
        <w:numPr>
          <w:ilvl w:val="2"/>
          <w:numId w:val="122"/>
        </w:numPr>
        <w:tabs>
          <w:tab w:val="left" w:pos="1378"/>
          <w:tab w:val="left" w:pos="1381"/>
        </w:tabs>
        <w:spacing w:before="242" w:line="230" w:lineRule="auto"/>
        <w:ind w:left="1381" w:right="565" w:hanging="668"/>
        <w:jc w:val="both"/>
        <w:rPr>
          <w:color w:val="221F1F"/>
        </w:rPr>
      </w:pPr>
      <w:r>
        <w:rPr>
          <w:color w:val="221F1F"/>
        </w:rPr>
        <w:t xml:space="preserve">Whenever these Conditions provide that the Architect shall proceed in accordance with this Sub-Clause3.5 to </w:t>
      </w:r>
      <w:proofErr w:type="spellStart"/>
      <w:r>
        <w:rPr>
          <w:color w:val="221F1F"/>
        </w:rPr>
        <w:t>agreeor</w:t>
      </w:r>
      <w:proofErr w:type="spellEnd"/>
      <w:r>
        <w:rPr>
          <w:color w:val="221F1F"/>
        </w:rPr>
        <w:t xml:space="preserve"> determine any matter, the Architect shall consult with each Party in an endeavor to reach agreement.</w:t>
      </w:r>
      <w:r>
        <w:rPr>
          <w:color w:val="221F1F"/>
          <w:spacing w:val="-7"/>
        </w:rPr>
        <w:t xml:space="preserve"> </w:t>
      </w:r>
      <w:r>
        <w:rPr>
          <w:color w:val="221F1F"/>
        </w:rPr>
        <w:t>If</w:t>
      </w:r>
      <w:r>
        <w:rPr>
          <w:color w:val="221F1F"/>
          <w:spacing w:val="-6"/>
        </w:rPr>
        <w:t xml:space="preserve"> </w:t>
      </w:r>
      <w:r>
        <w:rPr>
          <w:color w:val="221F1F"/>
        </w:rPr>
        <w:t>agreement</w:t>
      </w:r>
      <w:r>
        <w:rPr>
          <w:color w:val="221F1F"/>
          <w:spacing w:val="-7"/>
        </w:rPr>
        <w:t xml:space="preserve"> </w:t>
      </w:r>
      <w:r>
        <w:rPr>
          <w:color w:val="221F1F"/>
        </w:rPr>
        <w:t>is</w:t>
      </w:r>
      <w:r>
        <w:rPr>
          <w:color w:val="221F1F"/>
          <w:spacing w:val="-8"/>
        </w:rPr>
        <w:t xml:space="preserve"> </w:t>
      </w:r>
      <w:r>
        <w:rPr>
          <w:color w:val="221F1F"/>
        </w:rPr>
        <w:t>not</w:t>
      </w:r>
      <w:r>
        <w:rPr>
          <w:color w:val="221F1F"/>
          <w:spacing w:val="-6"/>
        </w:rPr>
        <w:t xml:space="preserve"> </w:t>
      </w:r>
      <w:r>
        <w:rPr>
          <w:color w:val="221F1F"/>
        </w:rPr>
        <w:t>achieved,</w:t>
      </w:r>
      <w:r>
        <w:rPr>
          <w:color w:val="221F1F"/>
          <w:spacing w:val="-6"/>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shall</w:t>
      </w:r>
      <w:r>
        <w:rPr>
          <w:color w:val="221F1F"/>
          <w:spacing w:val="-6"/>
        </w:rPr>
        <w:t xml:space="preserve"> </w:t>
      </w:r>
      <w:r>
        <w:rPr>
          <w:color w:val="221F1F"/>
        </w:rPr>
        <w:t>make</w:t>
      </w:r>
      <w:r>
        <w:rPr>
          <w:color w:val="221F1F"/>
          <w:spacing w:val="-6"/>
        </w:rPr>
        <w:t xml:space="preserve"> </w:t>
      </w:r>
      <w:r>
        <w:rPr>
          <w:color w:val="221F1F"/>
        </w:rPr>
        <w:t>a</w:t>
      </w:r>
      <w:r>
        <w:rPr>
          <w:color w:val="221F1F"/>
          <w:spacing w:val="-9"/>
        </w:rPr>
        <w:t xml:space="preserve"> </w:t>
      </w:r>
      <w:r>
        <w:rPr>
          <w:color w:val="221F1F"/>
        </w:rPr>
        <w:t>fair</w:t>
      </w:r>
      <w:r>
        <w:rPr>
          <w:color w:val="221F1F"/>
          <w:spacing w:val="-6"/>
        </w:rPr>
        <w:t xml:space="preserve"> </w:t>
      </w:r>
      <w:r>
        <w:rPr>
          <w:color w:val="221F1F"/>
        </w:rPr>
        <w:t>determination</w:t>
      </w:r>
      <w:r>
        <w:rPr>
          <w:color w:val="221F1F"/>
          <w:spacing w:val="-6"/>
        </w:rPr>
        <w:t xml:space="preserve"> </w:t>
      </w:r>
      <w:r>
        <w:rPr>
          <w:color w:val="221F1F"/>
        </w:rPr>
        <w:t>in</w:t>
      </w:r>
      <w:r>
        <w:rPr>
          <w:color w:val="221F1F"/>
          <w:spacing w:val="-9"/>
        </w:rPr>
        <w:t xml:space="preserve"> </w:t>
      </w:r>
      <w:r>
        <w:rPr>
          <w:color w:val="221F1F"/>
        </w:rPr>
        <w:t>accordance</w:t>
      </w:r>
      <w:r>
        <w:rPr>
          <w:color w:val="221F1F"/>
          <w:spacing w:val="-6"/>
        </w:rPr>
        <w:t xml:space="preserve"> </w:t>
      </w:r>
      <w:r>
        <w:rPr>
          <w:color w:val="221F1F"/>
        </w:rPr>
        <w:t>with</w:t>
      </w:r>
      <w:r>
        <w:rPr>
          <w:color w:val="221F1F"/>
          <w:spacing w:val="-7"/>
        </w:rPr>
        <w:t xml:space="preserve"> </w:t>
      </w:r>
      <w:r>
        <w:rPr>
          <w:color w:val="221F1F"/>
        </w:rPr>
        <w:t>the Contract, taking due regard of all relevant circumstances.</w:t>
      </w:r>
    </w:p>
    <w:p w:rsidR="007F6DF9" w:rsidRDefault="00A43FBC">
      <w:pPr>
        <w:pStyle w:val="ListParagraph"/>
        <w:numPr>
          <w:ilvl w:val="2"/>
          <w:numId w:val="115"/>
        </w:numPr>
        <w:tabs>
          <w:tab w:val="left" w:pos="1381"/>
        </w:tabs>
        <w:spacing w:before="246" w:line="230" w:lineRule="auto"/>
        <w:ind w:right="566"/>
        <w:jc w:val="both"/>
      </w:pPr>
      <w:r>
        <w:rPr>
          <w:color w:val="221F1F"/>
        </w:rPr>
        <w:t>The Architect shall give notice to both Parties of each agree mentor determination, with supporting particulars, within 30 days from the receipt of the corresponding claim or request except when otherwise specified. Each Party shall give effect to each agreement or determination unless and until revised under Clause 20 [Claims, Disputes and Arbitration].</w:t>
      </w:r>
    </w:p>
    <w:p w:rsidR="007F6DF9" w:rsidRDefault="00A43FBC">
      <w:pPr>
        <w:pStyle w:val="Heading8"/>
        <w:numPr>
          <w:ilvl w:val="0"/>
          <w:numId w:val="122"/>
        </w:numPr>
        <w:tabs>
          <w:tab w:val="left" w:pos="1380"/>
        </w:tabs>
        <w:spacing w:before="237"/>
        <w:ind w:left="1380" w:hanging="667"/>
      </w:pPr>
      <w:bookmarkStart w:id="56" w:name="_bookmark54"/>
      <w:bookmarkEnd w:id="56"/>
      <w:r>
        <w:rPr>
          <w:color w:val="221F1F"/>
        </w:rPr>
        <w:t>THE</w:t>
      </w:r>
      <w:r>
        <w:rPr>
          <w:color w:val="221F1F"/>
          <w:spacing w:val="-2"/>
        </w:rPr>
        <w:t xml:space="preserve"> CONTRACTOR</w:t>
      </w:r>
    </w:p>
    <w:p w:rsidR="007F6DF9" w:rsidRDefault="00A43FBC">
      <w:pPr>
        <w:pStyle w:val="Heading9"/>
        <w:numPr>
          <w:ilvl w:val="1"/>
          <w:numId w:val="122"/>
        </w:numPr>
        <w:tabs>
          <w:tab w:val="left" w:pos="1380"/>
        </w:tabs>
        <w:spacing w:before="235"/>
        <w:ind w:left="1380" w:hanging="667"/>
        <w:jc w:val="both"/>
        <w:rPr>
          <w:color w:val="221F1F"/>
        </w:rPr>
      </w:pPr>
      <w:r>
        <w:rPr>
          <w:color w:val="221F1F"/>
        </w:rPr>
        <w:t>Contractor's</w:t>
      </w:r>
      <w:r>
        <w:rPr>
          <w:color w:val="221F1F"/>
          <w:spacing w:val="-6"/>
        </w:rPr>
        <w:t xml:space="preserve"> </w:t>
      </w:r>
      <w:r>
        <w:rPr>
          <w:color w:val="221F1F"/>
        </w:rPr>
        <w:t>General</w:t>
      </w:r>
      <w:r>
        <w:rPr>
          <w:color w:val="221F1F"/>
          <w:spacing w:val="-5"/>
        </w:rPr>
        <w:t xml:space="preserve"> </w:t>
      </w:r>
      <w:r>
        <w:rPr>
          <w:color w:val="221F1F"/>
          <w:spacing w:val="-2"/>
        </w:rPr>
        <w:t>Obligations</w:t>
      </w:r>
    </w:p>
    <w:p w:rsidR="007F6DF9" w:rsidRDefault="00A43FBC">
      <w:pPr>
        <w:pStyle w:val="ListParagraph"/>
        <w:numPr>
          <w:ilvl w:val="2"/>
          <w:numId w:val="122"/>
        </w:numPr>
        <w:tabs>
          <w:tab w:val="left" w:pos="1378"/>
          <w:tab w:val="left" w:pos="1381"/>
        </w:tabs>
        <w:spacing w:before="120" w:line="230" w:lineRule="auto"/>
        <w:ind w:left="1381" w:right="565" w:hanging="668"/>
        <w:jc w:val="both"/>
        <w:rPr>
          <w:color w:val="221F1F"/>
        </w:rPr>
      </w:pPr>
      <w:r>
        <w:rPr>
          <w:color w:val="221F1F"/>
        </w:rPr>
        <w:t>The Contractor shall design (to the extent specified in the Contract), execute and complete the Works in accordance</w:t>
      </w:r>
      <w:r>
        <w:rPr>
          <w:color w:val="221F1F"/>
          <w:spacing w:val="-4"/>
        </w:rPr>
        <w:t xml:space="preserve"> </w:t>
      </w:r>
      <w:r>
        <w:rPr>
          <w:color w:val="221F1F"/>
        </w:rPr>
        <w:t>with</w:t>
      </w:r>
      <w:r>
        <w:rPr>
          <w:color w:val="221F1F"/>
          <w:spacing w:val="-5"/>
        </w:rPr>
        <w:t xml:space="preserve"> </w:t>
      </w:r>
      <w:r>
        <w:rPr>
          <w:color w:val="221F1F"/>
        </w:rPr>
        <w:t>the</w:t>
      </w:r>
      <w:r>
        <w:rPr>
          <w:color w:val="221F1F"/>
          <w:spacing w:val="-5"/>
        </w:rPr>
        <w:t xml:space="preserve"> </w:t>
      </w:r>
      <w:r>
        <w:rPr>
          <w:color w:val="221F1F"/>
        </w:rPr>
        <w:t>Contract</w:t>
      </w:r>
      <w:r>
        <w:rPr>
          <w:color w:val="221F1F"/>
          <w:spacing w:val="-3"/>
        </w:rPr>
        <w:t xml:space="preserve"> </w:t>
      </w:r>
      <w:r>
        <w:rPr>
          <w:color w:val="221F1F"/>
        </w:rPr>
        <w:t>and</w:t>
      </w:r>
      <w:r>
        <w:rPr>
          <w:color w:val="221F1F"/>
          <w:spacing w:val="-5"/>
        </w:rPr>
        <w:t xml:space="preserve"> </w:t>
      </w:r>
      <w:r>
        <w:rPr>
          <w:color w:val="221F1F"/>
        </w:rPr>
        <w:t>with</w:t>
      </w:r>
      <w:r>
        <w:rPr>
          <w:color w:val="221F1F"/>
          <w:spacing w:val="-8"/>
        </w:rPr>
        <w:t xml:space="preserve"> </w:t>
      </w:r>
      <w:r>
        <w:rPr>
          <w:color w:val="221F1F"/>
        </w:rPr>
        <w:t>the</w:t>
      </w:r>
      <w:r>
        <w:rPr>
          <w:color w:val="221F1F"/>
          <w:spacing w:val="-5"/>
        </w:rPr>
        <w:t xml:space="preserve"> </w:t>
      </w:r>
      <w:r>
        <w:rPr>
          <w:color w:val="221F1F"/>
        </w:rPr>
        <w:t>Architect</w:t>
      </w:r>
      <w:r>
        <w:rPr>
          <w:color w:val="221F1F"/>
          <w:spacing w:val="-4"/>
        </w:rPr>
        <w:t xml:space="preserve"> </w:t>
      </w:r>
      <w:r>
        <w:rPr>
          <w:color w:val="221F1F"/>
        </w:rPr>
        <w:t>instructions,</w:t>
      </w:r>
      <w:r>
        <w:rPr>
          <w:color w:val="221F1F"/>
          <w:spacing w:val="-4"/>
        </w:rPr>
        <w:t xml:space="preserve"> </w:t>
      </w:r>
      <w:r>
        <w:rPr>
          <w:color w:val="221F1F"/>
        </w:rPr>
        <w:t>ands</w:t>
      </w:r>
      <w:r>
        <w:rPr>
          <w:color w:val="221F1F"/>
          <w:spacing w:val="-5"/>
        </w:rPr>
        <w:t xml:space="preserve"> </w:t>
      </w:r>
      <w:r>
        <w:rPr>
          <w:color w:val="221F1F"/>
        </w:rPr>
        <w:t>hall</w:t>
      </w:r>
      <w:r>
        <w:rPr>
          <w:color w:val="221F1F"/>
          <w:spacing w:val="-4"/>
        </w:rPr>
        <w:t xml:space="preserve"> </w:t>
      </w:r>
      <w:r>
        <w:rPr>
          <w:color w:val="221F1F"/>
        </w:rPr>
        <w:t>remedy</w:t>
      </w:r>
      <w:r>
        <w:rPr>
          <w:color w:val="221F1F"/>
          <w:spacing w:val="-5"/>
        </w:rPr>
        <w:t xml:space="preserve"> </w:t>
      </w:r>
      <w:r>
        <w:rPr>
          <w:color w:val="221F1F"/>
        </w:rPr>
        <w:t>any</w:t>
      </w:r>
      <w:r>
        <w:rPr>
          <w:color w:val="221F1F"/>
          <w:spacing w:val="-5"/>
        </w:rPr>
        <w:t xml:space="preserve"> </w:t>
      </w:r>
      <w:r>
        <w:rPr>
          <w:color w:val="221F1F"/>
        </w:rPr>
        <w:t>defects</w:t>
      </w:r>
      <w:r>
        <w:rPr>
          <w:color w:val="221F1F"/>
          <w:spacing w:val="-5"/>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Works.</w:t>
      </w:r>
    </w:p>
    <w:p w:rsidR="007F6DF9" w:rsidRDefault="00A43FBC">
      <w:pPr>
        <w:pStyle w:val="ListParagraph"/>
        <w:numPr>
          <w:ilvl w:val="2"/>
          <w:numId w:val="122"/>
        </w:numPr>
        <w:tabs>
          <w:tab w:val="left" w:pos="1378"/>
          <w:tab w:val="left" w:pos="1381"/>
        </w:tabs>
        <w:spacing w:before="119" w:line="230" w:lineRule="auto"/>
        <w:ind w:left="1381" w:right="572" w:hanging="668"/>
        <w:jc w:val="both"/>
        <w:rPr>
          <w:color w:val="221F1F"/>
        </w:rPr>
      </w:pPr>
      <w:r>
        <w:rPr>
          <w:color w:val="221F1F"/>
        </w:rPr>
        <w:t>The Contractor shall provide the Plant and Contractor's Documents specified in the Contract, and all Contractor's Personnel, Goods, consumables and other things and services, whether of a temporary or permanent nature, required in and for this design, execution, completion and remedying of defects.</w:t>
      </w:r>
    </w:p>
    <w:p w:rsidR="007F6DF9" w:rsidRDefault="00A43FBC">
      <w:pPr>
        <w:pStyle w:val="ListParagraph"/>
        <w:numPr>
          <w:ilvl w:val="2"/>
          <w:numId w:val="122"/>
        </w:numPr>
        <w:tabs>
          <w:tab w:val="left" w:pos="1378"/>
          <w:tab w:val="left" w:pos="1381"/>
        </w:tabs>
        <w:spacing w:before="119" w:line="230" w:lineRule="auto"/>
        <w:ind w:left="1381" w:right="569" w:hanging="668"/>
        <w:jc w:val="both"/>
        <w:rPr>
          <w:color w:val="221F1F"/>
        </w:rPr>
      </w:pPr>
      <w:r>
        <w:rPr>
          <w:color w:val="221F1F"/>
        </w:rPr>
        <w:t>All equipment, material, and services to be incorporated in or required for the Works</w:t>
      </w:r>
      <w:r>
        <w:rPr>
          <w:color w:val="221F1F"/>
          <w:spacing w:val="-6"/>
        </w:rPr>
        <w:t xml:space="preserve"> </w:t>
      </w:r>
      <w:r>
        <w:rPr>
          <w:color w:val="221F1F"/>
        </w:rPr>
        <w:t>shall have their origin in any eligible source country.</w:t>
      </w:r>
    </w:p>
    <w:p w:rsidR="007F6DF9" w:rsidRDefault="00A43FBC">
      <w:pPr>
        <w:pStyle w:val="ListParagraph"/>
        <w:numPr>
          <w:ilvl w:val="2"/>
          <w:numId w:val="122"/>
        </w:numPr>
        <w:tabs>
          <w:tab w:val="left" w:pos="1378"/>
          <w:tab w:val="left" w:pos="1381"/>
        </w:tabs>
        <w:spacing w:before="119" w:line="230" w:lineRule="auto"/>
        <w:ind w:left="1381" w:right="569" w:hanging="668"/>
        <w:jc w:val="both"/>
        <w:rPr>
          <w:color w:val="221F1F"/>
        </w:rPr>
      </w:pPr>
      <w:r>
        <w:rPr>
          <w:color w:val="221F1F"/>
        </w:rPr>
        <w:t>The Contractor shall be responsible for the adequacy, stability and safety of all Site operations and of all methods</w:t>
      </w:r>
      <w:r>
        <w:rPr>
          <w:color w:val="221F1F"/>
          <w:spacing w:val="-9"/>
        </w:rPr>
        <w:t xml:space="preserve"> </w:t>
      </w:r>
      <w:r>
        <w:rPr>
          <w:color w:val="221F1F"/>
        </w:rPr>
        <w:t>of</w:t>
      </w:r>
      <w:r>
        <w:rPr>
          <w:color w:val="221F1F"/>
          <w:spacing w:val="-9"/>
        </w:rPr>
        <w:t xml:space="preserve"> </w:t>
      </w:r>
      <w:r>
        <w:rPr>
          <w:color w:val="221F1F"/>
        </w:rPr>
        <w:t>construction.</w:t>
      </w:r>
      <w:r>
        <w:rPr>
          <w:color w:val="221F1F"/>
          <w:spacing w:val="-8"/>
        </w:rPr>
        <w:t xml:space="preserve"> </w:t>
      </w:r>
      <w:r>
        <w:rPr>
          <w:color w:val="221F1F"/>
        </w:rPr>
        <w:t>Except</w:t>
      </w:r>
      <w:r>
        <w:rPr>
          <w:color w:val="221F1F"/>
          <w:spacing w:val="-8"/>
        </w:rPr>
        <w:t xml:space="preserve"> </w:t>
      </w:r>
      <w:r>
        <w:rPr>
          <w:color w:val="221F1F"/>
        </w:rPr>
        <w:t>to</w:t>
      </w:r>
      <w:r>
        <w:rPr>
          <w:color w:val="221F1F"/>
          <w:spacing w:val="-9"/>
        </w:rPr>
        <w:t xml:space="preserve"> </w:t>
      </w:r>
      <w:r>
        <w:rPr>
          <w:color w:val="221F1F"/>
        </w:rPr>
        <w:t>the</w:t>
      </w:r>
      <w:r>
        <w:rPr>
          <w:color w:val="221F1F"/>
          <w:spacing w:val="-6"/>
        </w:rPr>
        <w:t xml:space="preserve"> </w:t>
      </w:r>
      <w:r>
        <w:rPr>
          <w:color w:val="221F1F"/>
        </w:rPr>
        <w:t>extent</w:t>
      </w:r>
      <w:r>
        <w:rPr>
          <w:color w:val="221F1F"/>
          <w:spacing w:val="-8"/>
        </w:rPr>
        <w:t xml:space="preserve"> </w:t>
      </w:r>
      <w:r>
        <w:rPr>
          <w:color w:val="221F1F"/>
        </w:rPr>
        <w:t>specified</w:t>
      </w:r>
      <w:r>
        <w:rPr>
          <w:color w:val="221F1F"/>
          <w:spacing w:val="-9"/>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Contract,</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w:t>
      </w:r>
      <w:proofErr w:type="spellStart"/>
      <w:r>
        <w:rPr>
          <w:color w:val="221F1F"/>
        </w:rPr>
        <w:t>i</w:t>
      </w:r>
      <w:proofErr w:type="spellEnd"/>
      <w:r>
        <w:rPr>
          <w:color w:val="221F1F"/>
        </w:rPr>
        <w:t>)</w:t>
      </w:r>
      <w:r>
        <w:rPr>
          <w:color w:val="221F1F"/>
          <w:spacing w:val="-8"/>
        </w:rPr>
        <w:t xml:space="preserve"> </w:t>
      </w:r>
      <w:r>
        <w:rPr>
          <w:color w:val="221F1F"/>
        </w:rPr>
        <w:t>shall</w:t>
      </w:r>
      <w:r>
        <w:rPr>
          <w:color w:val="221F1F"/>
          <w:spacing w:val="-8"/>
        </w:rPr>
        <w:t xml:space="preserve"> </w:t>
      </w:r>
      <w:r>
        <w:rPr>
          <w:color w:val="221F1F"/>
        </w:rPr>
        <w:t>be</w:t>
      </w:r>
      <w:r>
        <w:rPr>
          <w:color w:val="221F1F"/>
          <w:spacing w:val="-9"/>
        </w:rPr>
        <w:t xml:space="preserve"> </w:t>
      </w:r>
      <w:r>
        <w:rPr>
          <w:color w:val="221F1F"/>
        </w:rPr>
        <w:t>responsible for</w:t>
      </w:r>
      <w:r>
        <w:rPr>
          <w:color w:val="221F1F"/>
          <w:spacing w:val="-2"/>
        </w:rPr>
        <w:t xml:space="preserve"> </w:t>
      </w:r>
      <w:r>
        <w:rPr>
          <w:color w:val="221F1F"/>
        </w:rPr>
        <w:t>all</w:t>
      </w:r>
      <w:r>
        <w:rPr>
          <w:color w:val="221F1F"/>
          <w:spacing w:val="-1"/>
        </w:rPr>
        <w:t xml:space="preserve"> </w:t>
      </w:r>
      <w:r>
        <w:rPr>
          <w:color w:val="221F1F"/>
        </w:rPr>
        <w:t>Contractor's</w:t>
      </w:r>
      <w:r>
        <w:rPr>
          <w:color w:val="221F1F"/>
          <w:spacing w:val="-2"/>
        </w:rPr>
        <w:t xml:space="preserve"> </w:t>
      </w:r>
      <w:r>
        <w:rPr>
          <w:color w:val="221F1F"/>
        </w:rPr>
        <w:t>Documents,</w:t>
      </w:r>
      <w:r>
        <w:rPr>
          <w:color w:val="221F1F"/>
          <w:spacing w:val="-2"/>
        </w:rPr>
        <w:t xml:space="preserve"> </w:t>
      </w:r>
      <w:r>
        <w:rPr>
          <w:color w:val="221F1F"/>
        </w:rPr>
        <w:t>Temporary Works,</w:t>
      </w:r>
      <w:r>
        <w:rPr>
          <w:color w:val="221F1F"/>
          <w:spacing w:val="-9"/>
        </w:rPr>
        <w:t xml:space="preserve"> </w:t>
      </w:r>
      <w:r>
        <w:rPr>
          <w:color w:val="221F1F"/>
        </w:rPr>
        <w:t>and</w:t>
      </w:r>
      <w:r>
        <w:rPr>
          <w:color w:val="221F1F"/>
          <w:spacing w:val="-4"/>
        </w:rPr>
        <w:t xml:space="preserve"> </w:t>
      </w:r>
      <w:r>
        <w:rPr>
          <w:color w:val="221F1F"/>
        </w:rPr>
        <w:t>such</w:t>
      </w:r>
      <w:r>
        <w:rPr>
          <w:color w:val="221F1F"/>
          <w:spacing w:val="-2"/>
        </w:rPr>
        <w:t xml:space="preserve"> </w:t>
      </w:r>
      <w:r>
        <w:rPr>
          <w:color w:val="221F1F"/>
        </w:rPr>
        <w:t>design</w:t>
      </w:r>
      <w:r>
        <w:rPr>
          <w:color w:val="221F1F"/>
          <w:spacing w:val="-2"/>
        </w:rPr>
        <w:t xml:space="preserve"> </w:t>
      </w:r>
      <w:r>
        <w:rPr>
          <w:color w:val="221F1F"/>
        </w:rPr>
        <w:t>of</w:t>
      </w:r>
      <w:r>
        <w:rPr>
          <w:color w:val="221F1F"/>
          <w:spacing w:val="-2"/>
        </w:rPr>
        <w:t xml:space="preserve"> </w:t>
      </w:r>
      <w:r>
        <w:rPr>
          <w:color w:val="221F1F"/>
        </w:rPr>
        <w:t>each</w:t>
      </w:r>
      <w:r>
        <w:rPr>
          <w:color w:val="221F1F"/>
          <w:spacing w:val="-2"/>
        </w:rPr>
        <w:t xml:space="preserve"> </w:t>
      </w:r>
      <w:r>
        <w:rPr>
          <w:color w:val="221F1F"/>
        </w:rPr>
        <w:t>item</w:t>
      </w:r>
      <w:r>
        <w:rPr>
          <w:color w:val="221F1F"/>
          <w:spacing w:val="-1"/>
        </w:rPr>
        <w:t xml:space="preserve"> </w:t>
      </w:r>
      <w:r>
        <w:rPr>
          <w:color w:val="221F1F"/>
        </w:rPr>
        <w:t>of</w:t>
      </w:r>
      <w:r>
        <w:rPr>
          <w:color w:val="221F1F"/>
          <w:spacing w:val="-4"/>
        </w:rPr>
        <w:t xml:space="preserve"> </w:t>
      </w:r>
      <w:r>
        <w:rPr>
          <w:color w:val="221F1F"/>
        </w:rPr>
        <w:t>Plant</w:t>
      </w:r>
      <w:r>
        <w:rPr>
          <w:color w:val="221F1F"/>
          <w:spacing w:val="-1"/>
        </w:rPr>
        <w:t xml:space="preserve"> </w:t>
      </w:r>
      <w:r>
        <w:rPr>
          <w:color w:val="221F1F"/>
        </w:rPr>
        <w:t>and</w:t>
      </w:r>
      <w:r>
        <w:rPr>
          <w:color w:val="221F1F"/>
          <w:spacing w:val="-2"/>
        </w:rPr>
        <w:t xml:space="preserve"> </w:t>
      </w:r>
      <w:r>
        <w:rPr>
          <w:color w:val="221F1F"/>
        </w:rPr>
        <w:t>Materials</w:t>
      </w:r>
      <w:r>
        <w:rPr>
          <w:color w:val="221F1F"/>
          <w:spacing w:val="-2"/>
        </w:rPr>
        <w:t xml:space="preserve"> </w:t>
      </w:r>
      <w:r>
        <w:rPr>
          <w:color w:val="221F1F"/>
        </w:rPr>
        <w:t>as</w:t>
      </w:r>
      <w:r>
        <w:rPr>
          <w:color w:val="221F1F"/>
          <w:spacing w:val="-2"/>
        </w:rPr>
        <w:t xml:space="preserve"> </w:t>
      </w:r>
      <w:r>
        <w:rPr>
          <w:color w:val="221F1F"/>
        </w:rPr>
        <w:t>is required</w:t>
      </w:r>
      <w:r>
        <w:rPr>
          <w:color w:val="221F1F"/>
          <w:spacing w:val="-3"/>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item</w:t>
      </w:r>
      <w:r>
        <w:rPr>
          <w:color w:val="221F1F"/>
          <w:spacing w:val="-5"/>
        </w:rPr>
        <w:t xml:space="preserve"> </w:t>
      </w:r>
      <w:r>
        <w:rPr>
          <w:color w:val="221F1F"/>
        </w:rPr>
        <w:t>to</w:t>
      </w:r>
      <w:r>
        <w:rPr>
          <w:color w:val="221F1F"/>
          <w:spacing w:val="-4"/>
        </w:rPr>
        <w:t xml:space="preserve"> </w:t>
      </w:r>
      <w:r>
        <w:rPr>
          <w:color w:val="221F1F"/>
        </w:rPr>
        <w:t>be</w:t>
      </w:r>
      <w:r>
        <w:rPr>
          <w:color w:val="221F1F"/>
          <w:spacing w:val="-5"/>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6"/>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and</w:t>
      </w:r>
      <w:r>
        <w:rPr>
          <w:color w:val="221F1F"/>
          <w:spacing w:val="-6"/>
        </w:rPr>
        <w:t xml:space="preserve"> </w:t>
      </w:r>
      <w:r>
        <w:rPr>
          <w:color w:val="221F1F"/>
        </w:rPr>
        <w:t>(ii)</w:t>
      </w:r>
      <w:r>
        <w:rPr>
          <w:color w:val="221F1F"/>
          <w:spacing w:val="-3"/>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otherwise</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5"/>
        </w:rPr>
        <w:t xml:space="preserve"> </w:t>
      </w:r>
      <w:r>
        <w:rPr>
          <w:color w:val="221F1F"/>
        </w:rPr>
        <w:t>for</w:t>
      </w:r>
      <w:r>
        <w:rPr>
          <w:color w:val="221F1F"/>
          <w:spacing w:val="-5"/>
        </w:rPr>
        <w:t xml:space="preserve"> </w:t>
      </w:r>
      <w:r>
        <w:rPr>
          <w:color w:val="221F1F"/>
        </w:rPr>
        <w:t xml:space="preserve">the </w:t>
      </w:r>
      <w:proofErr w:type="spellStart"/>
      <w:r>
        <w:rPr>
          <w:color w:val="221F1F"/>
        </w:rPr>
        <w:t>designor</w:t>
      </w:r>
      <w:proofErr w:type="spellEnd"/>
      <w:r>
        <w:rPr>
          <w:color w:val="221F1F"/>
        </w:rPr>
        <w:t xml:space="preserve"> specification of the Permanent Works.</w:t>
      </w:r>
    </w:p>
    <w:p w:rsidR="007F6DF9" w:rsidRDefault="00A43FBC">
      <w:pPr>
        <w:pStyle w:val="ListParagraph"/>
        <w:numPr>
          <w:ilvl w:val="2"/>
          <w:numId w:val="122"/>
        </w:numPr>
        <w:tabs>
          <w:tab w:val="left" w:pos="1378"/>
          <w:tab w:val="left" w:pos="1381"/>
        </w:tabs>
        <w:spacing w:before="117" w:line="230" w:lineRule="auto"/>
        <w:ind w:left="1381" w:right="570" w:hanging="668"/>
        <w:jc w:val="both"/>
        <w:rPr>
          <w:color w:val="221F1F"/>
        </w:rPr>
      </w:pPr>
      <w:r>
        <w:rPr>
          <w:color w:val="221F1F"/>
        </w:rPr>
        <w:t>The Contractor shall, whenever required by the Engineer, submit details of the arrangements and methods which the Contractor proposes to adopt for the execution of the Works. No significant alteration to these arrangements and methods shall be made without this having previously been notified to the Engineer.</w:t>
      </w:r>
    </w:p>
    <w:p w:rsidR="007F6DF9" w:rsidRDefault="00A43FBC">
      <w:pPr>
        <w:pStyle w:val="ListParagraph"/>
        <w:numPr>
          <w:ilvl w:val="2"/>
          <w:numId w:val="122"/>
        </w:numPr>
        <w:tabs>
          <w:tab w:val="left" w:pos="1378"/>
          <w:tab w:val="left" w:pos="1381"/>
        </w:tabs>
        <w:spacing w:before="120" w:line="230" w:lineRule="auto"/>
        <w:ind w:left="1381" w:right="570" w:hanging="671"/>
        <w:jc w:val="both"/>
        <w:rPr>
          <w:color w:val="221F1F"/>
        </w:rPr>
      </w:pPr>
      <w:r>
        <w:rPr>
          <w:color w:val="221F1F"/>
        </w:rPr>
        <w:t>If the Contract specifies that the Contractor shall design any part of the Permanent Works, then unless otherwise stated in the Special Conditions:</w:t>
      </w:r>
    </w:p>
    <w:p w:rsidR="007F6DF9" w:rsidRDefault="00A43FBC">
      <w:pPr>
        <w:pStyle w:val="ListParagraph"/>
        <w:numPr>
          <w:ilvl w:val="0"/>
          <w:numId w:val="46"/>
        </w:numPr>
        <w:tabs>
          <w:tab w:val="left" w:pos="1866"/>
          <w:tab w:val="left" w:pos="1868"/>
        </w:tabs>
        <w:spacing w:before="241" w:line="232" w:lineRule="auto"/>
        <w:ind w:right="565"/>
        <w:jc w:val="both"/>
      </w:pPr>
      <w:r>
        <w:t>The</w:t>
      </w:r>
      <w:r>
        <w:rPr>
          <w:spacing w:val="-11"/>
        </w:rPr>
        <w:t xml:space="preserve"> </w:t>
      </w:r>
      <w:r>
        <w:t>Contractor</w:t>
      </w:r>
      <w:r>
        <w:rPr>
          <w:spacing w:val="-13"/>
        </w:rPr>
        <w:t xml:space="preserve"> </w:t>
      </w:r>
      <w:r>
        <w:t>shall</w:t>
      </w:r>
      <w:r>
        <w:rPr>
          <w:spacing w:val="-10"/>
        </w:rPr>
        <w:t xml:space="preserve"> </w:t>
      </w:r>
      <w:r>
        <w:t>submit</w:t>
      </w:r>
      <w:r>
        <w:rPr>
          <w:spacing w:val="-13"/>
        </w:rPr>
        <w:t xml:space="preserve"> </w:t>
      </w:r>
      <w:r>
        <w:t>to</w:t>
      </w:r>
      <w:r>
        <w:rPr>
          <w:spacing w:val="-12"/>
        </w:rPr>
        <w:t xml:space="preserve"> </w:t>
      </w:r>
      <w:r>
        <w:t>the</w:t>
      </w:r>
      <w:r>
        <w:rPr>
          <w:spacing w:val="-11"/>
        </w:rPr>
        <w:t xml:space="preserve"> </w:t>
      </w:r>
      <w:r>
        <w:t>Architect</w:t>
      </w:r>
      <w:r>
        <w:rPr>
          <w:spacing w:val="-12"/>
        </w:rPr>
        <w:t xml:space="preserve"> </w:t>
      </w:r>
      <w:r>
        <w:t>the</w:t>
      </w:r>
      <w:r>
        <w:rPr>
          <w:spacing w:val="-11"/>
        </w:rPr>
        <w:t xml:space="preserve"> </w:t>
      </w:r>
      <w:r>
        <w:t>Contractor's</w:t>
      </w:r>
      <w:r>
        <w:rPr>
          <w:spacing w:val="-10"/>
        </w:rPr>
        <w:t xml:space="preserve"> </w:t>
      </w:r>
      <w:r>
        <w:t>Documents</w:t>
      </w:r>
      <w:r>
        <w:rPr>
          <w:spacing w:val="-13"/>
        </w:rPr>
        <w:t xml:space="preserve"> </w:t>
      </w:r>
      <w:r>
        <w:t>for</w:t>
      </w:r>
      <w:r>
        <w:rPr>
          <w:spacing w:val="-13"/>
        </w:rPr>
        <w:t xml:space="preserve"> </w:t>
      </w:r>
      <w:r>
        <w:t>this</w:t>
      </w:r>
      <w:r>
        <w:rPr>
          <w:spacing w:val="-11"/>
        </w:rPr>
        <w:t xml:space="preserve"> </w:t>
      </w:r>
      <w:r>
        <w:t>part</w:t>
      </w:r>
      <w:r>
        <w:rPr>
          <w:spacing w:val="-11"/>
        </w:rPr>
        <w:t xml:space="preserve"> </w:t>
      </w:r>
      <w:r>
        <w:t>in</w:t>
      </w:r>
      <w:r>
        <w:rPr>
          <w:spacing w:val="-12"/>
        </w:rPr>
        <w:t xml:space="preserve"> </w:t>
      </w:r>
      <w:r>
        <w:t>accordance</w:t>
      </w:r>
      <w:r>
        <w:rPr>
          <w:spacing w:val="-11"/>
        </w:rPr>
        <w:t xml:space="preserve"> </w:t>
      </w:r>
      <w:r>
        <w:t>with the procedures specified in the Contract;</w:t>
      </w:r>
    </w:p>
    <w:p w:rsidR="007F6DF9" w:rsidRDefault="00A43FBC">
      <w:pPr>
        <w:pStyle w:val="ListParagraph"/>
        <w:numPr>
          <w:ilvl w:val="0"/>
          <w:numId w:val="46"/>
        </w:numPr>
        <w:tabs>
          <w:tab w:val="left" w:pos="1866"/>
          <w:tab w:val="left" w:pos="1868"/>
        </w:tabs>
        <w:spacing w:before="73" w:line="230" w:lineRule="auto"/>
        <w:ind w:right="568"/>
        <w:jc w:val="both"/>
      </w:pPr>
      <w:r>
        <w:t>these Contractor's Documents shall be in accordance with the Specification and Drawings, shall be written in the language for communications defined in Sub-Clause 1.4 [Law and Language], and shall include additional information required by the Architect to add to the Drawings for co-ordination of each Party's designs;</w:t>
      </w:r>
    </w:p>
    <w:p w:rsidR="007F6DF9" w:rsidRDefault="00A43FBC">
      <w:pPr>
        <w:pStyle w:val="ListParagraph"/>
        <w:numPr>
          <w:ilvl w:val="0"/>
          <w:numId w:val="46"/>
        </w:numPr>
        <w:tabs>
          <w:tab w:val="left" w:pos="1876"/>
          <w:tab w:val="left" w:pos="1887"/>
        </w:tabs>
        <w:spacing w:before="1" w:line="230" w:lineRule="auto"/>
        <w:ind w:left="1887" w:right="566" w:hanging="516"/>
        <w:jc w:val="both"/>
      </w:pPr>
      <w:r>
        <w:t>the Contractor shall be responsible for this part and it shall, when the Works are completed, befit for such purposes for which the part is intended as are specified in the Contract; and</w:t>
      </w:r>
    </w:p>
    <w:p w:rsidR="007F6DF9" w:rsidRDefault="00A43FBC">
      <w:pPr>
        <w:pStyle w:val="ListParagraph"/>
        <w:numPr>
          <w:ilvl w:val="0"/>
          <w:numId w:val="46"/>
        </w:numPr>
        <w:tabs>
          <w:tab w:val="left" w:pos="1876"/>
          <w:tab w:val="left" w:pos="1887"/>
        </w:tabs>
        <w:spacing w:before="74" w:line="230" w:lineRule="auto"/>
        <w:ind w:left="1887" w:right="565" w:hanging="516"/>
        <w:jc w:val="both"/>
      </w:pPr>
      <w:r>
        <w:t>prior</w:t>
      </w:r>
      <w:r>
        <w:rPr>
          <w:spacing w:val="-4"/>
        </w:rPr>
        <w:t xml:space="preserve"> </w:t>
      </w:r>
      <w:r>
        <w:t>to</w:t>
      </w:r>
      <w:r>
        <w:rPr>
          <w:spacing w:val="-3"/>
        </w:rPr>
        <w:t xml:space="preserve"> </w:t>
      </w:r>
      <w:r>
        <w:t>the</w:t>
      </w:r>
      <w:r>
        <w:rPr>
          <w:spacing w:val="-3"/>
        </w:rPr>
        <w:t xml:space="preserve"> </w:t>
      </w:r>
      <w:r>
        <w:t>commencement</w:t>
      </w:r>
      <w:r>
        <w:rPr>
          <w:spacing w:val="-4"/>
        </w:rPr>
        <w:t xml:space="preserve"> </w:t>
      </w:r>
      <w:r>
        <w:t>of</w:t>
      </w:r>
      <w:r>
        <w:rPr>
          <w:spacing w:val="-5"/>
        </w:rPr>
        <w:t xml:space="preserve"> </w:t>
      </w:r>
      <w:r>
        <w:t>the</w:t>
      </w:r>
      <w:r>
        <w:rPr>
          <w:spacing w:val="-3"/>
        </w:rPr>
        <w:t xml:space="preserve"> </w:t>
      </w:r>
      <w:r>
        <w:t>Tests</w:t>
      </w:r>
      <w:r>
        <w:rPr>
          <w:spacing w:val="-11"/>
        </w:rPr>
        <w:t xml:space="preserve"> </w:t>
      </w:r>
      <w:r>
        <w:t>on</w:t>
      </w:r>
      <w:r>
        <w:rPr>
          <w:spacing w:val="-6"/>
        </w:rPr>
        <w:t xml:space="preserve"> </w:t>
      </w:r>
      <w:r>
        <w:t>Completion,</w:t>
      </w:r>
      <w:r>
        <w:rPr>
          <w:spacing w:val="-2"/>
        </w:rPr>
        <w:t xml:space="preserve"> </w:t>
      </w:r>
      <w:r>
        <w:t>the</w:t>
      </w:r>
      <w:r>
        <w:rPr>
          <w:spacing w:val="-5"/>
        </w:rPr>
        <w:t xml:space="preserve"> </w:t>
      </w:r>
      <w:r>
        <w:t>Contractor</w:t>
      </w:r>
      <w:r>
        <w:rPr>
          <w:spacing w:val="-4"/>
        </w:rPr>
        <w:t xml:space="preserve"> </w:t>
      </w:r>
      <w:r>
        <w:t>shall</w:t>
      </w:r>
      <w:r>
        <w:rPr>
          <w:spacing w:val="-2"/>
        </w:rPr>
        <w:t xml:space="preserve"> </w:t>
      </w:r>
      <w:r>
        <w:t>submit</w:t>
      </w:r>
      <w:r>
        <w:rPr>
          <w:spacing w:val="-2"/>
        </w:rPr>
        <w:t xml:space="preserve"> </w:t>
      </w:r>
      <w:r>
        <w:t>to</w:t>
      </w:r>
      <w:r>
        <w:rPr>
          <w:spacing w:val="-6"/>
        </w:rPr>
        <w:t xml:space="preserve"> </w:t>
      </w:r>
      <w:r>
        <w:t>the</w:t>
      </w:r>
      <w:r>
        <w:rPr>
          <w:spacing w:val="-3"/>
        </w:rPr>
        <w:t xml:space="preserve"> </w:t>
      </w:r>
      <w:proofErr w:type="spellStart"/>
      <w:r>
        <w:t>Architectthe</w:t>
      </w:r>
      <w:proofErr w:type="spellEnd"/>
      <w:r>
        <w:t xml:space="preserve"> “as-built” </w:t>
      </w:r>
      <w:r>
        <w:rPr>
          <w:color w:val="221F1F"/>
        </w:rPr>
        <w:t>documents and, if applicable, operation and maintenance manuals in accordance with the Specification and in sufficient detail for the Procuring Entity to operate, maintain, dismantle, reassemble, adjust and repair</w:t>
      </w:r>
      <w:r>
        <w:rPr>
          <w:color w:val="221F1F"/>
          <w:spacing w:val="-1"/>
        </w:rPr>
        <w:t xml:space="preserve"> </w:t>
      </w:r>
      <w:r>
        <w:rPr>
          <w:color w:val="221F1F"/>
        </w:rPr>
        <w:t>this 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4"/>
        </w:rPr>
        <w:t xml:space="preserve"> </w:t>
      </w:r>
      <w:r>
        <w:rPr>
          <w:color w:val="221F1F"/>
        </w:rPr>
        <w:t>Such part</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 considered</w:t>
      </w:r>
      <w:r>
        <w:rPr>
          <w:color w:val="221F1F"/>
          <w:spacing w:val="-1"/>
        </w:rPr>
        <w:t xml:space="preserve"> </w:t>
      </w:r>
      <w:r>
        <w:rPr>
          <w:color w:val="221F1F"/>
        </w:rPr>
        <w:t>to be</w:t>
      </w:r>
      <w:r>
        <w:rPr>
          <w:color w:val="221F1F"/>
          <w:spacing w:val="-2"/>
        </w:rPr>
        <w:t xml:space="preserve"> </w:t>
      </w:r>
      <w:r>
        <w:rPr>
          <w:color w:val="221F1F"/>
        </w:rPr>
        <w:t>completed for the purposes of taking-over under Sub-Clause 10.1 [Taking</w:t>
      </w:r>
      <w:r>
        <w:rPr>
          <w:color w:val="221F1F"/>
          <w:spacing w:val="-2"/>
        </w:rPr>
        <w:t xml:space="preserve"> </w:t>
      </w:r>
      <w:r>
        <w:rPr>
          <w:color w:val="221F1F"/>
        </w:rPr>
        <w:t>Over of the Works</w:t>
      </w:r>
      <w:r>
        <w:rPr>
          <w:color w:val="221F1F"/>
          <w:spacing w:val="-5"/>
        </w:rPr>
        <w:t xml:space="preserve"> </w:t>
      </w:r>
      <w:r>
        <w:rPr>
          <w:color w:val="221F1F"/>
        </w:rPr>
        <w:t>and Sections] until these documents and manuals have been submitted to the Engineer.</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368"/>
        </w:tabs>
        <w:spacing w:line="244" w:lineRule="exact"/>
        <w:ind w:left="1368" w:hanging="660"/>
        <w:rPr>
          <w:color w:val="221F1F"/>
        </w:rPr>
      </w:pPr>
      <w:r>
        <w:rPr>
          <w:color w:val="221F1F"/>
        </w:rPr>
        <w:lastRenderedPageBreak/>
        <w:t>Performance</w:t>
      </w:r>
      <w:r>
        <w:rPr>
          <w:color w:val="221F1F"/>
          <w:spacing w:val="-4"/>
        </w:rPr>
        <w:t xml:space="preserve"> </w:t>
      </w:r>
      <w:r>
        <w:rPr>
          <w:color w:val="221F1F"/>
          <w:spacing w:val="-2"/>
        </w:rPr>
        <w:t>Security</w:t>
      </w:r>
    </w:p>
    <w:p w:rsidR="007F6DF9" w:rsidRDefault="00A43FBC">
      <w:pPr>
        <w:pStyle w:val="ListParagraph"/>
        <w:numPr>
          <w:ilvl w:val="2"/>
          <w:numId w:val="122"/>
        </w:numPr>
        <w:tabs>
          <w:tab w:val="left" w:pos="1368"/>
          <w:tab w:val="left" w:pos="1393"/>
        </w:tabs>
        <w:spacing w:before="242" w:line="230" w:lineRule="auto"/>
        <w:ind w:left="1393" w:right="558" w:hanging="685"/>
        <w:jc w:val="both"/>
        <w:rPr>
          <w:color w:val="221F1F"/>
        </w:rPr>
      </w:pP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obtain</w:t>
      </w:r>
      <w:r>
        <w:rPr>
          <w:color w:val="221F1F"/>
          <w:spacing w:val="-5"/>
        </w:rPr>
        <w:t xml:space="preserve"> </w:t>
      </w:r>
      <w:r>
        <w:rPr>
          <w:color w:val="221F1F"/>
        </w:rPr>
        <w:t>(at</w:t>
      </w:r>
      <w:r>
        <w:rPr>
          <w:color w:val="221F1F"/>
          <w:spacing w:val="-4"/>
        </w:rPr>
        <w:t xml:space="preserve"> </w:t>
      </w:r>
      <w:r>
        <w:rPr>
          <w:color w:val="221F1F"/>
        </w:rPr>
        <w:t>his</w:t>
      </w:r>
      <w:r>
        <w:rPr>
          <w:color w:val="221F1F"/>
          <w:spacing w:val="-5"/>
        </w:rPr>
        <w:t xml:space="preserve"> </w:t>
      </w:r>
      <w:r>
        <w:rPr>
          <w:color w:val="221F1F"/>
        </w:rPr>
        <w:t>cost)</w:t>
      </w:r>
      <w:r>
        <w:rPr>
          <w:color w:val="221F1F"/>
          <w:spacing w:val="-5"/>
        </w:rPr>
        <w:t xml:space="preserve"> </w:t>
      </w:r>
      <w:r>
        <w:rPr>
          <w:color w:val="221F1F"/>
        </w:rPr>
        <w:t>a</w:t>
      </w:r>
      <w:r>
        <w:rPr>
          <w:color w:val="221F1F"/>
          <w:spacing w:val="-6"/>
        </w:rPr>
        <w:t xml:space="preserve"> </w:t>
      </w:r>
      <w:r>
        <w:rPr>
          <w:color w:val="221F1F"/>
        </w:rPr>
        <w:t>Performance</w:t>
      </w:r>
      <w:r>
        <w:rPr>
          <w:color w:val="221F1F"/>
          <w:spacing w:val="-7"/>
        </w:rPr>
        <w:t xml:space="preserve"> </w:t>
      </w:r>
      <w:r>
        <w:rPr>
          <w:color w:val="221F1F"/>
        </w:rPr>
        <w:t>Security</w:t>
      </w:r>
      <w:r>
        <w:rPr>
          <w:color w:val="221F1F"/>
          <w:spacing w:val="-8"/>
        </w:rPr>
        <w:t xml:space="preserve"> </w:t>
      </w:r>
      <w:r>
        <w:rPr>
          <w:color w:val="221F1F"/>
        </w:rPr>
        <w:t>for</w:t>
      </w:r>
      <w:r>
        <w:rPr>
          <w:color w:val="221F1F"/>
          <w:spacing w:val="-5"/>
        </w:rPr>
        <w:t xml:space="preserve"> </w:t>
      </w:r>
      <w:r>
        <w:rPr>
          <w:color w:val="221F1F"/>
        </w:rPr>
        <w:t>proper</w:t>
      </w:r>
      <w:r>
        <w:rPr>
          <w:color w:val="221F1F"/>
          <w:spacing w:val="-5"/>
        </w:rPr>
        <w:t xml:space="preserve"> </w:t>
      </w:r>
      <w:r>
        <w:rPr>
          <w:color w:val="221F1F"/>
        </w:rPr>
        <w:t>performance,</w:t>
      </w:r>
      <w:r>
        <w:rPr>
          <w:color w:val="221F1F"/>
          <w:spacing w:val="-5"/>
        </w:rPr>
        <w:t xml:space="preserve"> </w:t>
      </w:r>
      <w:r>
        <w:rPr>
          <w:color w:val="221F1F"/>
        </w:rPr>
        <w:t>in</w:t>
      </w:r>
      <w:r>
        <w:rPr>
          <w:color w:val="221F1F"/>
          <w:spacing w:val="-9"/>
        </w:rPr>
        <w:t xml:space="preserve"> </w:t>
      </w:r>
      <w:r>
        <w:rPr>
          <w:color w:val="221F1F"/>
        </w:rPr>
        <w:t>the</w:t>
      </w:r>
      <w:r>
        <w:rPr>
          <w:color w:val="221F1F"/>
          <w:spacing w:val="-5"/>
        </w:rPr>
        <w:t xml:space="preserve"> </w:t>
      </w:r>
      <w:r>
        <w:rPr>
          <w:color w:val="221F1F"/>
        </w:rPr>
        <w:t>amount</w:t>
      </w:r>
      <w:r>
        <w:rPr>
          <w:color w:val="221F1F"/>
          <w:spacing w:val="-5"/>
        </w:rPr>
        <w:t xml:space="preserve"> </w:t>
      </w:r>
      <w:r>
        <w:rPr>
          <w:color w:val="221F1F"/>
        </w:rPr>
        <w:t xml:space="preserve">stated in the </w:t>
      </w:r>
      <w:r>
        <w:rPr>
          <w:b/>
          <w:color w:val="221F1F"/>
        </w:rPr>
        <w:t xml:space="preserve">Special Conditions of Contract </w:t>
      </w:r>
      <w:r>
        <w:rPr>
          <w:color w:val="221F1F"/>
        </w:rPr>
        <w:t>and denominated in the currency (</w:t>
      </w:r>
      <w:proofErr w:type="spellStart"/>
      <w:r>
        <w:rPr>
          <w:color w:val="221F1F"/>
        </w:rPr>
        <w:t>ies</w:t>
      </w:r>
      <w:proofErr w:type="spellEnd"/>
      <w:r>
        <w:rPr>
          <w:color w:val="221F1F"/>
        </w:rPr>
        <w:t>) of the Contract or in a freely convertible currency acceptable to</w:t>
      </w:r>
      <w:r>
        <w:rPr>
          <w:color w:val="221F1F"/>
          <w:spacing w:val="-1"/>
        </w:rPr>
        <w:t xml:space="preserve"> </w:t>
      </w:r>
      <w:r>
        <w:rPr>
          <w:color w:val="221F1F"/>
        </w:rPr>
        <w:t>the Procuring Entity.</w:t>
      </w:r>
      <w:r>
        <w:rPr>
          <w:color w:val="221F1F"/>
          <w:spacing w:val="-3"/>
        </w:rPr>
        <w:t xml:space="preserve"> </w:t>
      </w:r>
      <w:r>
        <w:rPr>
          <w:color w:val="221F1F"/>
        </w:rPr>
        <w:t>If an</w:t>
      </w:r>
      <w:r>
        <w:rPr>
          <w:color w:val="221F1F"/>
          <w:spacing w:val="-1"/>
        </w:rPr>
        <w:t xml:space="preserve"> </w:t>
      </w:r>
      <w:r>
        <w:rPr>
          <w:color w:val="221F1F"/>
        </w:rPr>
        <w:t>amount is not stated in the Special Conditions of Contract, this Sub-Clause shall not apply.</w:t>
      </w:r>
    </w:p>
    <w:p w:rsidR="007F6DF9" w:rsidRDefault="00A43FBC">
      <w:pPr>
        <w:pStyle w:val="ListParagraph"/>
        <w:numPr>
          <w:ilvl w:val="2"/>
          <w:numId w:val="122"/>
        </w:numPr>
        <w:tabs>
          <w:tab w:val="left" w:pos="1368"/>
          <w:tab w:val="left" w:pos="1393"/>
        </w:tabs>
        <w:spacing w:before="246" w:line="230" w:lineRule="auto"/>
        <w:ind w:left="1393" w:right="558" w:hanging="685"/>
        <w:jc w:val="both"/>
        <w:rPr>
          <w:color w:val="221F1F"/>
        </w:rPr>
      </w:pPr>
      <w:r>
        <w:rPr>
          <w:color w:val="221F1F"/>
        </w:rPr>
        <w:t>The Contractor</w:t>
      </w:r>
      <w:r>
        <w:rPr>
          <w:color w:val="221F1F"/>
          <w:spacing w:val="-1"/>
        </w:rPr>
        <w:t xml:space="preserve"> </w:t>
      </w:r>
      <w:r>
        <w:rPr>
          <w:color w:val="221F1F"/>
        </w:rPr>
        <w:t>shall deliver the Performance Security</w:t>
      </w:r>
      <w:r>
        <w:rPr>
          <w:color w:val="221F1F"/>
          <w:spacing w:val="-2"/>
        </w:rPr>
        <w:t xml:space="preserve"> </w:t>
      </w:r>
      <w:r>
        <w:rPr>
          <w:color w:val="221F1F"/>
        </w:rPr>
        <w:t>to the Procuring Entity within 30 days after</w:t>
      </w:r>
      <w:r>
        <w:rPr>
          <w:color w:val="221F1F"/>
          <w:spacing w:val="-1"/>
        </w:rPr>
        <w:t xml:space="preserve"> </w:t>
      </w:r>
      <w:r>
        <w:rPr>
          <w:color w:val="221F1F"/>
        </w:rPr>
        <w:t>receiving the</w:t>
      </w:r>
      <w:r>
        <w:rPr>
          <w:color w:val="221F1F"/>
          <w:spacing w:val="-10"/>
        </w:rPr>
        <w:t xml:space="preserve"> </w:t>
      </w:r>
      <w:r>
        <w:rPr>
          <w:color w:val="221F1F"/>
        </w:rPr>
        <w:t>Notification</w:t>
      </w:r>
      <w:r>
        <w:rPr>
          <w:color w:val="221F1F"/>
          <w:spacing w:val="-8"/>
        </w:rPr>
        <w:t xml:space="preserve"> </w:t>
      </w:r>
      <w:r>
        <w:rPr>
          <w:color w:val="221F1F"/>
        </w:rPr>
        <w:t>of</w:t>
      </w:r>
      <w:r>
        <w:rPr>
          <w:color w:val="221F1F"/>
          <w:spacing w:val="-7"/>
        </w:rPr>
        <w:t xml:space="preserve"> </w:t>
      </w:r>
      <w:r>
        <w:rPr>
          <w:color w:val="221F1F"/>
        </w:rPr>
        <w:t>Award</w:t>
      </w:r>
      <w:r>
        <w:rPr>
          <w:color w:val="221F1F"/>
          <w:spacing w:val="-14"/>
        </w:rPr>
        <w:t xml:space="preserve"> </w:t>
      </w:r>
      <w:r>
        <w:rPr>
          <w:color w:val="221F1F"/>
        </w:rPr>
        <w:t>and</w:t>
      </w:r>
      <w:r>
        <w:rPr>
          <w:color w:val="221F1F"/>
          <w:spacing w:val="-7"/>
        </w:rPr>
        <w:t xml:space="preserve"> </w:t>
      </w:r>
      <w:r>
        <w:rPr>
          <w:color w:val="221F1F"/>
        </w:rPr>
        <w:t>shall</w:t>
      </w:r>
      <w:r>
        <w:rPr>
          <w:color w:val="221F1F"/>
          <w:spacing w:val="-7"/>
        </w:rPr>
        <w:t xml:space="preserve"> </w:t>
      </w:r>
      <w:r>
        <w:rPr>
          <w:color w:val="221F1F"/>
        </w:rPr>
        <w:t>send</w:t>
      </w:r>
      <w:r>
        <w:rPr>
          <w:color w:val="221F1F"/>
          <w:spacing w:val="-8"/>
        </w:rPr>
        <w:t xml:space="preserve"> </w:t>
      </w:r>
      <w:r>
        <w:rPr>
          <w:color w:val="221F1F"/>
        </w:rPr>
        <w:t>a</w:t>
      </w:r>
      <w:r>
        <w:rPr>
          <w:color w:val="221F1F"/>
          <w:spacing w:val="-8"/>
        </w:rPr>
        <w:t xml:space="preserve"> </w:t>
      </w:r>
      <w:r>
        <w:rPr>
          <w:color w:val="221F1F"/>
        </w:rPr>
        <w:t>copy</w:t>
      </w:r>
      <w:r>
        <w:rPr>
          <w:color w:val="221F1F"/>
          <w:spacing w:val="-8"/>
        </w:rPr>
        <w:t xml:space="preserve"> </w:t>
      </w:r>
      <w:r>
        <w:rPr>
          <w:color w:val="221F1F"/>
        </w:rPr>
        <w:t>to</w:t>
      </w:r>
      <w:r>
        <w:rPr>
          <w:color w:val="221F1F"/>
          <w:spacing w:val="-10"/>
        </w:rPr>
        <w:t xml:space="preserve"> </w:t>
      </w:r>
      <w:r>
        <w:rPr>
          <w:color w:val="221F1F"/>
        </w:rPr>
        <w:t>the</w:t>
      </w:r>
      <w:r>
        <w:rPr>
          <w:color w:val="221F1F"/>
          <w:spacing w:val="-9"/>
        </w:rPr>
        <w:t xml:space="preserve"> </w:t>
      </w:r>
      <w:r>
        <w:rPr>
          <w:color w:val="221F1F"/>
        </w:rPr>
        <w:t>Engineer.</w:t>
      </w:r>
      <w:r>
        <w:rPr>
          <w:color w:val="221F1F"/>
          <w:spacing w:val="-8"/>
        </w:rPr>
        <w:t xml:space="preserve"> </w:t>
      </w:r>
      <w:r>
        <w:rPr>
          <w:color w:val="221F1F"/>
        </w:rPr>
        <w:t>The</w:t>
      </w:r>
      <w:r>
        <w:rPr>
          <w:color w:val="221F1F"/>
          <w:spacing w:val="-8"/>
        </w:rPr>
        <w:t xml:space="preserve"> </w:t>
      </w:r>
      <w:r>
        <w:rPr>
          <w:color w:val="221F1F"/>
        </w:rPr>
        <w:t>Performance</w:t>
      </w:r>
      <w:r>
        <w:rPr>
          <w:color w:val="221F1F"/>
          <w:spacing w:val="-9"/>
        </w:rPr>
        <w:t xml:space="preserve"> </w:t>
      </w:r>
      <w:r>
        <w:rPr>
          <w:color w:val="221F1F"/>
        </w:rPr>
        <w:t>Security</w:t>
      </w:r>
      <w:r>
        <w:rPr>
          <w:color w:val="221F1F"/>
          <w:spacing w:val="-8"/>
        </w:rPr>
        <w:t xml:space="preserve"> </w:t>
      </w:r>
      <w:r>
        <w:rPr>
          <w:color w:val="221F1F"/>
        </w:rPr>
        <w:t>shall</w:t>
      </w:r>
      <w:r>
        <w:rPr>
          <w:color w:val="221F1F"/>
          <w:spacing w:val="-7"/>
        </w:rPr>
        <w:t xml:space="preserve"> </w:t>
      </w:r>
      <w:r>
        <w:rPr>
          <w:color w:val="221F1F"/>
        </w:rPr>
        <w:t>be</w:t>
      </w:r>
      <w:r>
        <w:rPr>
          <w:color w:val="221F1F"/>
          <w:spacing w:val="-9"/>
        </w:rPr>
        <w:t xml:space="preserve"> </w:t>
      </w:r>
      <w:r>
        <w:rPr>
          <w:color w:val="221F1F"/>
        </w:rPr>
        <w:t>issued</w:t>
      </w:r>
      <w:r>
        <w:rPr>
          <w:color w:val="221F1F"/>
          <w:spacing w:val="-8"/>
        </w:rPr>
        <w:t xml:space="preserve"> </w:t>
      </w:r>
      <w:r>
        <w:rPr>
          <w:color w:val="221F1F"/>
        </w:rPr>
        <w:t>by a reputable bank selected by the Contractor and shall be in the form annexed to the Special Conditions, as stipulated by the Procuring</w:t>
      </w:r>
      <w:r>
        <w:rPr>
          <w:color w:val="221F1F"/>
          <w:spacing w:val="-1"/>
        </w:rPr>
        <w:t xml:space="preserve"> </w:t>
      </w:r>
      <w:r>
        <w:rPr>
          <w:color w:val="221F1F"/>
        </w:rPr>
        <w:t>Entity in the Special Conditions of Contract, or in</w:t>
      </w:r>
      <w:r>
        <w:rPr>
          <w:color w:val="221F1F"/>
          <w:spacing w:val="-1"/>
        </w:rPr>
        <w:t xml:space="preserve"> </w:t>
      </w:r>
      <w:r>
        <w:rPr>
          <w:color w:val="221F1F"/>
        </w:rPr>
        <w:t>another form approved by the Procuring Entity.</w:t>
      </w:r>
    </w:p>
    <w:p w:rsidR="007F6DF9" w:rsidRDefault="00A43FBC">
      <w:pPr>
        <w:pStyle w:val="ListParagraph"/>
        <w:numPr>
          <w:ilvl w:val="2"/>
          <w:numId w:val="122"/>
        </w:numPr>
        <w:tabs>
          <w:tab w:val="left" w:pos="1368"/>
          <w:tab w:val="left" w:pos="1393"/>
        </w:tabs>
        <w:spacing w:before="245" w:line="230" w:lineRule="auto"/>
        <w:ind w:left="1393" w:right="558" w:hanging="685"/>
        <w:jc w:val="both"/>
        <w:rPr>
          <w:color w:val="221F1F"/>
        </w:rPr>
      </w:pPr>
      <w:r>
        <w:rPr>
          <w:color w:val="221F1F"/>
        </w:rPr>
        <w:t xml:space="preserve">The Contractor shall ensure that the Performance Security is valid and enforceable until the Contractor has </w:t>
      </w:r>
      <w:proofErr w:type="spellStart"/>
      <w:r>
        <w:rPr>
          <w:color w:val="221F1F"/>
        </w:rPr>
        <w:t>executedand</w:t>
      </w:r>
      <w:proofErr w:type="spellEnd"/>
      <w:r>
        <w:rPr>
          <w:color w:val="221F1F"/>
          <w:spacing w:val="-14"/>
        </w:rPr>
        <w:t xml:space="preserve"> </w:t>
      </w:r>
      <w:r>
        <w:rPr>
          <w:color w:val="221F1F"/>
        </w:rPr>
        <w:t>completed</w:t>
      </w:r>
      <w:r>
        <w:rPr>
          <w:color w:val="221F1F"/>
          <w:spacing w:val="-14"/>
        </w:rPr>
        <w:t xml:space="preserve"> </w:t>
      </w:r>
      <w:r>
        <w:rPr>
          <w:color w:val="221F1F"/>
        </w:rPr>
        <w:t>the</w:t>
      </w:r>
      <w:r>
        <w:rPr>
          <w:color w:val="221F1F"/>
          <w:spacing w:val="-13"/>
        </w:rPr>
        <w:t xml:space="preserve"> </w:t>
      </w:r>
      <w:r>
        <w:rPr>
          <w:color w:val="221F1F"/>
        </w:rPr>
        <w:t>Works</w:t>
      </w:r>
      <w:r>
        <w:rPr>
          <w:color w:val="221F1F"/>
          <w:spacing w:val="-14"/>
        </w:rPr>
        <w:t xml:space="preserve"> </w:t>
      </w:r>
      <w:r>
        <w:rPr>
          <w:color w:val="221F1F"/>
        </w:rPr>
        <w:t>and</w:t>
      </w:r>
      <w:r>
        <w:rPr>
          <w:color w:val="221F1F"/>
          <w:spacing w:val="-10"/>
        </w:rPr>
        <w:t xml:space="preserve"> </w:t>
      </w:r>
      <w:r>
        <w:rPr>
          <w:color w:val="221F1F"/>
        </w:rPr>
        <w:t>remedied</w:t>
      </w:r>
      <w:r>
        <w:rPr>
          <w:color w:val="221F1F"/>
          <w:spacing w:val="-12"/>
        </w:rPr>
        <w:t xml:space="preserve"> </w:t>
      </w:r>
      <w:r>
        <w:rPr>
          <w:color w:val="221F1F"/>
        </w:rPr>
        <w:t>any</w:t>
      </w:r>
      <w:r>
        <w:rPr>
          <w:color w:val="221F1F"/>
          <w:spacing w:val="-12"/>
        </w:rPr>
        <w:t xml:space="preserve"> </w:t>
      </w:r>
      <w:r>
        <w:rPr>
          <w:color w:val="221F1F"/>
        </w:rPr>
        <w:t>defects.</w:t>
      </w:r>
      <w:r>
        <w:rPr>
          <w:color w:val="221F1F"/>
          <w:spacing w:val="-11"/>
        </w:rPr>
        <w:t xml:space="preserve"> </w:t>
      </w:r>
      <w:r>
        <w:rPr>
          <w:color w:val="221F1F"/>
        </w:rPr>
        <w:t>If</w:t>
      </w:r>
      <w:r>
        <w:rPr>
          <w:color w:val="221F1F"/>
          <w:spacing w:val="-10"/>
        </w:rPr>
        <w:t xml:space="preserve"> </w:t>
      </w:r>
      <w:r>
        <w:rPr>
          <w:color w:val="221F1F"/>
        </w:rPr>
        <w:t>the</w:t>
      </w:r>
      <w:r>
        <w:rPr>
          <w:color w:val="221F1F"/>
          <w:spacing w:val="-13"/>
        </w:rPr>
        <w:t xml:space="preserve"> </w:t>
      </w:r>
      <w:r>
        <w:rPr>
          <w:color w:val="221F1F"/>
        </w:rPr>
        <w:t>terms</w:t>
      </w:r>
      <w:r>
        <w:rPr>
          <w:color w:val="221F1F"/>
          <w:spacing w:val="-10"/>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Performance</w:t>
      </w:r>
      <w:r>
        <w:rPr>
          <w:color w:val="221F1F"/>
          <w:spacing w:val="-9"/>
        </w:rPr>
        <w:t xml:space="preserve"> </w:t>
      </w:r>
      <w:r>
        <w:rPr>
          <w:color w:val="221F1F"/>
        </w:rPr>
        <w:t>Security</w:t>
      </w:r>
      <w:r>
        <w:rPr>
          <w:color w:val="221F1F"/>
          <w:spacing w:val="-12"/>
        </w:rPr>
        <w:t xml:space="preserve"> </w:t>
      </w:r>
      <w:r>
        <w:rPr>
          <w:color w:val="221F1F"/>
        </w:rPr>
        <w:t>specify its</w:t>
      </w:r>
      <w:r>
        <w:rPr>
          <w:color w:val="221F1F"/>
          <w:spacing w:val="-4"/>
        </w:rPr>
        <w:t xml:space="preserve"> </w:t>
      </w:r>
      <w:r>
        <w:rPr>
          <w:color w:val="221F1F"/>
        </w:rPr>
        <w:t>expiry</w:t>
      </w:r>
      <w:r>
        <w:rPr>
          <w:color w:val="221F1F"/>
          <w:spacing w:val="-2"/>
        </w:rPr>
        <w:t xml:space="preserve"> </w:t>
      </w:r>
      <w:r>
        <w:rPr>
          <w:color w:val="221F1F"/>
        </w:rPr>
        <w:t>date,</w:t>
      </w:r>
      <w:r>
        <w:rPr>
          <w:color w:val="221F1F"/>
          <w:spacing w:val="-4"/>
        </w:rPr>
        <w:t xml:space="preserve"> </w:t>
      </w:r>
      <w:r>
        <w:rPr>
          <w:color w:val="221F1F"/>
        </w:rPr>
        <w:t>and</w:t>
      </w:r>
      <w:r>
        <w:rPr>
          <w:color w:val="221F1F"/>
          <w:spacing w:val="-4"/>
        </w:rPr>
        <w:t xml:space="preserve"> </w:t>
      </w:r>
      <w:r>
        <w:rPr>
          <w:color w:val="221F1F"/>
        </w:rPr>
        <w:t>the</w:t>
      </w:r>
      <w:r>
        <w:rPr>
          <w:color w:val="221F1F"/>
          <w:spacing w:val="-2"/>
        </w:rPr>
        <w:t xml:space="preserve"> </w:t>
      </w:r>
      <w:r>
        <w:rPr>
          <w:color w:val="221F1F"/>
        </w:rPr>
        <w:t>Contractor has</w:t>
      </w:r>
      <w:r>
        <w:rPr>
          <w:color w:val="221F1F"/>
          <w:spacing w:val="-1"/>
        </w:rPr>
        <w:t xml:space="preserve"> </w:t>
      </w:r>
      <w:r>
        <w:rPr>
          <w:color w:val="221F1F"/>
        </w:rPr>
        <w:t>not</w:t>
      </w:r>
      <w:r>
        <w:rPr>
          <w:color w:val="221F1F"/>
          <w:spacing w:val="-4"/>
        </w:rPr>
        <w:t xml:space="preserve"> </w:t>
      </w:r>
      <w:r>
        <w:rPr>
          <w:color w:val="221F1F"/>
        </w:rPr>
        <w:t>become</w:t>
      </w:r>
      <w:r>
        <w:rPr>
          <w:color w:val="221F1F"/>
          <w:spacing w:val="-2"/>
        </w:rPr>
        <w:t xml:space="preserve"> </w:t>
      </w:r>
      <w:r>
        <w:rPr>
          <w:color w:val="221F1F"/>
        </w:rPr>
        <w:t>entitled</w:t>
      </w:r>
      <w:r>
        <w:rPr>
          <w:color w:val="221F1F"/>
          <w:spacing w:val="-4"/>
        </w:rPr>
        <w:t xml:space="preserve"> </w:t>
      </w:r>
      <w:r>
        <w:rPr>
          <w:color w:val="221F1F"/>
        </w:rPr>
        <w:t>to</w:t>
      </w:r>
      <w:r>
        <w:rPr>
          <w:color w:val="221F1F"/>
          <w:spacing w:val="-5"/>
        </w:rPr>
        <w:t xml:space="preserve"> </w:t>
      </w:r>
      <w:r>
        <w:rPr>
          <w:color w:val="221F1F"/>
        </w:rPr>
        <w:t>receive</w:t>
      </w:r>
      <w:r>
        <w:rPr>
          <w:color w:val="221F1F"/>
          <w:spacing w:val="-4"/>
        </w:rPr>
        <w:t xml:space="preserve"> </w:t>
      </w:r>
      <w:r>
        <w:rPr>
          <w:color w:val="221F1F"/>
        </w:rPr>
        <w:t>the</w:t>
      </w:r>
      <w:r>
        <w:rPr>
          <w:color w:val="221F1F"/>
          <w:spacing w:val="-4"/>
        </w:rPr>
        <w:t xml:space="preserve"> </w:t>
      </w:r>
      <w:r>
        <w:rPr>
          <w:color w:val="221F1F"/>
        </w:rPr>
        <w:t>Performance Certificate</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date 30</w:t>
      </w:r>
      <w:r>
        <w:rPr>
          <w:color w:val="221F1F"/>
          <w:spacing w:val="-6"/>
        </w:rPr>
        <w:t xml:space="preserve"> </w:t>
      </w:r>
      <w:r>
        <w:rPr>
          <w:color w:val="221F1F"/>
        </w:rPr>
        <w:t>days</w:t>
      </w:r>
      <w:r>
        <w:rPr>
          <w:color w:val="221F1F"/>
          <w:spacing w:val="-5"/>
        </w:rPr>
        <w:t xml:space="preserve"> </w:t>
      </w:r>
      <w:r>
        <w:rPr>
          <w:color w:val="221F1F"/>
        </w:rPr>
        <w:t>prior</w:t>
      </w:r>
      <w:r>
        <w:rPr>
          <w:color w:val="221F1F"/>
          <w:spacing w:val="-8"/>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expiry</w:t>
      </w:r>
      <w:r>
        <w:rPr>
          <w:color w:val="221F1F"/>
          <w:spacing w:val="-6"/>
        </w:rPr>
        <w:t xml:space="preserve"> </w:t>
      </w:r>
      <w:r>
        <w:rPr>
          <w:color w:val="221F1F"/>
        </w:rPr>
        <w:t>date,</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extend</w:t>
      </w:r>
      <w:r>
        <w:rPr>
          <w:color w:val="221F1F"/>
          <w:spacing w:val="-8"/>
        </w:rPr>
        <w:t xml:space="preserve"> </w:t>
      </w:r>
      <w:r>
        <w:rPr>
          <w:color w:val="221F1F"/>
        </w:rPr>
        <w:t>the</w:t>
      </w:r>
      <w:r>
        <w:rPr>
          <w:color w:val="221F1F"/>
          <w:spacing w:val="-6"/>
        </w:rPr>
        <w:t xml:space="preserve"> </w:t>
      </w:r>
      <w:r>
        <w:rPr>
          <w:color w:val="221F1F"/>
        </w:rPr>
        <w:t>validity</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6"/>
        </w:rPr>
        <w:t xml:space="preserve"> </w:t>
      </w:r>
      <w:r>
        <w:rPr>
          <w:color w:val="221F1F"/>
        </w:rPr>
        <w:t>Security</w:t>
      </w:r>
      <w:r>
        <w:rPr>
          <w:color w:val="221F1F"/>
          <w:spacing w:val="-6"/>
        </w:rPr>
        <w:t xml:space="preserve"> </w:t>
      </w:r>
      <w:r>
        <w:rPr>
          <w:color w:val="221F1F"/>
        </w:rPr>
        <w:t>until</w:t>
      </w:r>
      <w:r>
        <w:rPr>
          <w:color w:val="221F1F"/>
          <w:spacing w:val="-5"/>
        </w:rPr>
        <w:t xml:space="preserve"> </w:t>
      </w:r>
      <w:r>
        <w:rPr>
          <w:color w:val="221F1F"/>
        </w:rPr>
        <w:t>the Works have been completed and any defects have been remedied.</w:t>
      </w:r>
    </w:p>
    <w:p w:rsidR="007F6DF9" w:rsidRDefault="00A43FBC">
      <w:pPr>
        <w:pStyle w:val="ListParagraph"/>
        <w:numPr>
          <w:ilvl w:val="2"/>
          <w:numId w:val="122"/>
        </w:numPr>
        <w:tabs>
          <w:tab w:val="left" w:pos="1366"/>
          <w:tab w:val="left" w:pos="1393"/>
        </w:tabs>
        <w:spacing w:before="248" w:line="230" w:lineRule="auto"/>
        <w:ind w:left="1393" w:right="560" w:hanging="685"/>
        <w:jc w:val="both"/>
        <w:rPr>
          <w:color w:val="221F1F"/>
        </w:rPr>
      </w:pPr>
      <w:r>
        <w:rPr>
          <w:color w:val="221F1F"/>
        </w:rPr>
        <w:t>The Procuring Entity shall not make a claim under the Performance Security, except for amounts to which the Procuring Entity is entitled under the Contract.</w:t>
      </w:r>
    </w:p>
    <w:p w:rsidR="007F6DF9" w:rsidRDefault="00A43FBC">
      <w:pPr>
        <w:pStyle w:val="ListParagraph"/>
        <w:numPr>
          <w:ilvl w:val="2"/>
          <w:numId w:val="122"/>
        </w:numPr>
        <w:tabs>
          <w:tab w:val="left" w:pos="1366"/>
          <w:tab w:val="left" w:pos="1393"/>
        </w:tabs>
        <w:spacing w:before="244" w:line="230" w:lineRule="auto"/>
        <w:ind w:left="1393" w:right="556" w:hanging="685"/>
        <w:jc w:val="both"/>
        <w:rPr>
          <w:color w:val="221F1F"/>
        </w:rPr>
      </w:pPr>
      <w:r>
        <w:rPr>
          <w:color w:val="221F1F"/>
        </w:rPr>
        <w:t>The Procuring</w:t>
      </w:r>
      <w:r>
        <w:rPr>
          <w:color w:val="221F1F"/>
          <w:spacing w:val="-2"/>
        </w:rPr>
        <w:t xml:space="preserve"> </w:t>
      </w:r>
      <w:r>
        <w:rPr>
          <w:color w:val="221F1F"/>
        </w:rPr>
        <w:t>Entity</w:t>
      </w:r>
      <w:r>
        <w:rPr>
          <w:color w:val="221F1F"/>
          <w:spacing w:val="-1"/>
        </w:rPr>
        <w:t xml:space="preserve"> </w:t>
      </w:r>
      <w:r>
        <w:rPr>
          <w:color w:val="221F1F"/>
        </w:rPr>
        <w:t>shall indemnify and hold</w:t>
      </w:r>
      <w:r>
        <w:rPr>
          <w:color w:val="221F1F"/>
          <w:spacing w:val="-2"/>
        </w:rPr>
        <w:t xml:space="preserve"> </w:t>
      </w:r>
      <w:r>
        <w:rPr>
          <w:color w:val="221F1F"/>
        </w:rPr>
        <w:t>the Contractor harmless</w:t>
      </w:r>
      <w:r>
        <w:rPr>
          <w:color w:val="221F1F"/>
          <w:spacing w:val="-1"/>
        </w:rPr>
        <w:t xml:space="preserve"> </w:t>
      </w:r>
      <w:r>
        <w:rPr>
          <w:color w:val="221F1F"/>
        </w:rPr>
        <w:t>against and from all damages,</w:t>
      </w:r>
      <w:r>
        <w:rPr>
          <w:color w:val="221F1F"/>
          <w:spacing w:val="-2"/>
        </w:rPr>
        <w:t xml:space="preserve"> </w:t>
      </w:r>
      <w:r>
        <w:rPr>
          <w:color w:val="221F1F"/>
        </w:rPr>
        <w:t>losses and expenses (including legal fees and expenses) resulting from a claim under the Performance Security to the extent to which the Procuring Entity was not entitled to make the claim.</w:t>
      </w:r>
    </w:p>
    <w:p w:rsidR="007F6DF9" w:rsidRDefault="00A43FBC">
      <w:pPr>
        <w:pStyle w:val="ListParagraph"/>
        <w:numPr>
          <w:ilvl w:val="2"/>
          <w:numId w:val="122"/>
        </w:numPr>
        <w:tabs>
          <w:tab w:val="left" w:pos="1366"/>
          <w:tab w:val="left" w:pos="1393"/>
        </w:tabs>
        <w:spacing w:before="245" w:line="230" w:lineRule="auto"/>
        <w:ind w:left="1393" w:right="558" w:hanging="685"/>
        <w:jc w:val="both"/>
        <w:rPr>
          <w:color w:val="221F1F"/>
        </w:rPr>
      </w:pP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shall</w:t>
      </w:r>
      <w:r>
        <w:rPr>
          <w:color w:val="221F1F"/>
          <w:spacing w:val="-3"/>
        </w:rPr>
        <w:t xml:space="preserve"> </w:t>
      </w:r>
      <w:r>
        <w:rPr>
          <w:color w:val="221F1F"/>
        </w:rPr>
        <w:t>return</w:t>
      </w:r>
      <w:r>
        <w:rPr>
          <w:color w:val="221F1F"/>
          <w:spacing w:val="-4"/>
        </w:rPr>
        <w:t xml:space="preserve"> </w:t>
      </w:r>
      <w:r>
        <w:rPr>
          <w:color w:val="221F1F"/>
        </w:rPr>
        <w:t>the</w:t>
      </w:r>
      <w:r>
        <w:rPr>
          <w:color w:val="221F1F"/>
          <w:spacing w:val="-4"/>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4"/>
        </w:rPr>
        <w:t xml:space="preserve"> </w:t>
      </w:r>
      <w:r>
        <w:rPr>
          <w:color w:val="221F1F"/>
        </w:rPr>
        <w:t>after</w:t>
      </w:r>
      <w:r>
        <w:rPr>
          <w:color w:val="221F1F"/>
          <w:spacing w:val="-3"/>
        </w:rPr>
        <w:t xml:space="preserve"> </w:t>
      </w:r>
      <w:r>
        <w:rPr>
          <w:color w:val="221F1F"/>
        </w:rPr>
        <w:t>receiving</w:t>
      </w:r>
      <w:r>
        <w:rPr>
          <w:color w:val="221F1F"/>
          <w:spacing w:val="-4"/>
        </w:rPr>
        <w:t xml:space="preserve"> </w:t>
      </w:r>
      <w:r>
        <w:rPr>
          <w:color w:val="221F1F"/>
        </w:rPr>
        <w:t xml:space="preserve">a </w:t>
      </w:r>
      <w:proofErr w:type="spellStart"/>
      <w:r>
        <w:rPr>
          <w:color w:val="221F1F"/>
        </w:rPr>
        <w:t>copyof</w:t>
      </w:r>
      <w:proofErr w:type="spellEnd"/>
      <w:r>
        <w:rPr>
          <w:color w:val="221F1F"/>
        </w:rPr>
        <w:t xml:space="preserve"> the Taking-Over Certificate.</w:t>
      </w:r>
    </w:p>
    <w:p w:rsidR="007F6DF9" w:rsidRDefault="00A43FBC">
      <w:pPr>
        <w:pStyle w:val="ListParagraph"/>
        <w:numPr>
          <w:ilvl w:val="2"/>
          <w:numId w:val="122"/>
        </w:numPr>
        <w:tabs>
          <w:tab w:val="left" w:pos="1366"/>
          <w:tab w:val="left" w:pos="1393"/>
        </w:tabs>
        <w:spacing w:before="244" w:line="230" w:lineRule="auto"/>
        <w:ind w:left="1393" w:right="557" w:hanging="685"/>
        <w:jc w:val="both"/>
        <w:rPr>
          <w:color w:val="221F1F"/>
        </w:rPr>
      </w:pPr>
      <w:r>
        <w:rPr>
          <w:color w:val="221F1F"/>
        </w:rPr>
        <w:t>Without limitation to the provisions of the rest of this Sub-Clause, whenever the Architect determines an addition or a reduction to the Contract Price as a result of a change in cost and/ or legislation, or as a result of a Variation,</w:t>
      </w:r>
      <w:r>
        <w:rPr>
          <w:color w:val="221F1F"/>
          <w:spacing w:val="-1"/>
        </w:rPr>
        <w:t xml:space="preserve"> </w:t>
      </w:r>
      <w:r>
        <w:rPr>
          <w:color w:val="221F1F"/>
        </w:rPr>
        <w:t>amounting to more than 25 percent of the portion of the Contract Price payable in a specific currency, the Contractor shall at the Architect request promptly increase, or may decrease, as the case may be, the value of the Performance Security in that currency by an equal percentage.</w:t>
      </w:r>
    </w:p>
    <w:p w:rsidR="007F6DF9" w:rsidRDefault="00A43FBC">
      <w:pPr>
        <w:pStyle w:val="Heading9"/>
        <w:numPr>
          <w:ilvl w:val="1"/>
          <w:numId w:val="122"/>
        </w:numPr>
        <w:tabs>
          <w:tab w:val="left" w:pos="1368"/>
        </w:tabs>
        <w:spacing w:before="237"/>
        <w:ind w:left="1368" w:hanging="660"/>
        <w:rPr>
          <w:color w:val="221F1F"/>
        </w:rPr>
      </w:pPr>
      <w:r>
        <w:rPr>
          <w:color w:val="221F1F"/>
        </w:rPr>
        <w:t>Contractor's</w:t>
      </w:r>
      <w:r>
        <w:rPr>
          <w:color w:val="221F1F"/>
          <w:spacing w:val="-5"/>
        </w:rPr>
        <w:t xml:space="preserve"> </w:t>
      </w:r>
      <w:r>
        <w:rPr>
          <w:color w:val="221F1F"/>
          <w:spacing w:val="-2"/>
        </w:rPr>
        <w:t>Representative</w:t>
      </w:r>
    </w:p>
    <w:p w:rsidR="007F6DF9" w:rsidRDefault="00A43FBC">
      <w:pPr>
        <w:pStyle w:val="ListParagraph"/>
        <w:numPr>
          <w:ilvl w:val="2"/>
          <w:numId w:val="122"/>
        </w:numPr>
        <w:tabs>
          <w:tab w:val="left" w:pos="1367"/>
          <w:tab w:val="left" w:pos="1393"/>
        </w:tabs>
        <w:spacing w:before="243" w:line="230" w:lineRule="auto"/>
        <w:ind w:left="1393" w:right="561" w:hanging="685"/>
        <w:jc w:val="both"/>
        <w:rPr>
          <w:b/>
          <w:color w:val="221F1F"/>
        </w:rPr>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appoint</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Representative</w:t>
      </w:r>
      <w:r>
        <w:rPr>
          <w:color w:val="221F1F"/>
          <w:spacing w:val="-3"/>
        </w:rPr>
        <w:t xml:space="preserve"> </w:t>
      </w:r>
      <w:r>
        <w:rPr>
          <w:color w:val="221F1F"/>
        </w:rPr>
        <w:t>and</w:t>
      </w:r>
      <w:r>
        <w:rPr>
          <w:color w:val="221F1F"/>
          <w:spacing w:val="-4"/>
        </w:rPr>
        <w:t xml:space="preserve"> </w:t>
      </w:r>
      <w:r>
        <w:rPr>
          <w:color w:val="221F1F"/>
        </w:rPr>
        <w:t>shall</w:t>
      </w:r>
      <w:r>
        <w:rPr>
          <w:color w:val="221F1F"/>
          <w:spacing w:val="-4"/>
        </w:rPr>
        <w:t xml:space="preserve"> </w:t>
      </w:r>
      <w:r>
        <w:rPr>
          <w:color w:val="221F1F"/>
        </w:rPr>
        <w:t>give</w:t>
      </w:r>
      <w:r>
        <w:rPr>
          <w:color w:val="221F1F"/>
          <w:spacing w:val="-4"/>
        </w:rPr>
        <w:t xml:space="preserve"> </w:t>
      </w:r>
      <w:r>
        <w:rPr>
          <w:color w:val="221F1F"/>
        </w:rPr>
        <w:t>him</w:t>
      </w:r>
      <w:r>
        <w:rPr>
          <w:color w:val="221F1F"/>
          <w:spacing w:val="-4"/>
        </w:rPr>
        <w:t xml:space="preserve"> </w:t>
      </w:r>
      <w:r>
        <w:rPr>
          <w:color w:val="221F1F"/>
        </w:rPr>
        <w:t>all</w:t>
      </w:r>
      <w:r>
        <w:rPr>
          <w:color w:val="221F1F"/>
          <w:spacing w:val="-3"/>
        </w:rPr>
        <w:t xml:space="preserve"> </w:t>
      </w:r>
      <w:r>
        <w:rPr>
          <w:color w:val="221F1F"/>
        </w:rPr>
        <w:t>authority</w:t>
      </w:r>
      <w:r>
        <w:rPr>
          <w:color w:val="221F1F"/>
          <w:spacing w:val="-4"/>
        </w:rPr>
        <w:t xml:space="preserve"> </w:t>
      </w:r>
      <w:r>
        <w:rPr>
          <w:color w:val="221F1F"/>
        </w:rPr>
        <w:t>necessary</w:t>
      </w:r>
      <w:r>
        <w:rPr>
          <w:color w:val="221F1F"/>
          <w:spacing w:val="-6"/>
        </w:rPr>
        <w:t xml:space="preserve"> </w:t>
      </w:r>
      <w:r>
        <w:rPr>
          <w:color w:val="221F1F"/>
        </w:rPr>
        <w:t>to</w:t>
      </w:r>
      <w:r>
        <w:rPr>
          <w:color w:val="221F1F"/>
          <w:spacing w:val="-5"/>
        </w:rPr>
        <w:t xml:space="preserve"> </w:t>
      </w:r>
      <w:r>
        <w:rPr>
          <w:color w:val="221F1F"/>
        </w:rPr>
        <w:t xml:space="preserve">act on the Contractor's behalf under the Contract. The Contractor's Representative's Name and Address shall be provided in the </w:t>
      </w:r>
      <w:r>
        <w:rPr>
          <w:b/>
          <w:color w:val="221F1F"/>
        </w:rPr>
        <w:t>Special Conditions of Contract.</w:t>
      </w:r>
    </w:p>
    <w:p w:rsidR="007F6DF9" w:rsidRDefault="00A43FBC">
      <w:pPr>
        <w:pStyle w:val="ListParagraph"/>
        <w:numPr>
          <w:ilvl w:val="2"/>
          <w:numId w:val="122"/>
        </w:numPr>
        <w:tabs>
          <w:tab w:val="left" w:pos="1365"/>
          <w:tab w:val="left" w:pos="1390"/>
        </w:tabs>
        <w:spacing w:before="198" w:line="230" w:lineRule="auto"/>
        <w:ind w:left="1390" w:right="553" w:hanging="683"/>
        <w:jc w:val="both"/>
        <w:rPr>
          <w:color w:val="221F1F"/>
        </w:rPr>
      </w:pPr>
      <w:r>
        <w:rPr>
          <w:color w:val="221F1F"/>
        </w:rPr>
        <w:t xml:space="preserve">Unless the Contractor's Representative </w:t>
      </w:r>
      <w:r>
        <w:rPr>
          <w:b/>
          <w:color w:val="221F1F"/>
        </w:rPr>
        <w:t>is named in the Contract</w:t>
      </w:r>
      <w:r>
        <w:rPr>
          <w:color w:val="221F1F"/>
        </w:rPr>
        <w:t>, the Contractor shall, prior to the Commencement Date, submit to the Architect for consent the name and particulars of the person the Contractor</w:t>
      </w:r>
      <w:r>
        <w:rPr>
          <w:color w:val="221F1F"/>
          <w:spacing w:val="-14"/>
        </w:rPr>
        <w:t xml:space="preserve"> </w:t>
      </w:r>
      <w:r>
        <w:rPr>
          <w:color w:val="221F1F"/>
        </w:rPr>
        <w:t>proposes</w:t>
      </w:r>
      <w:r>
        <w:rPr>
          <w:color w:val="221F1F"/>
          <w:spacing w:val="-14"/>
        </w:rPr>
        <w:t xml:space="preserve"> </w:t>
      </w:r>
      <w:r>
        <w:rPr>
          <w:color w:val="221F1F"/>
        </w:rPr>
        <w:t>to</w:t>
      </w:r>
      <w:r>
        <w:rPr>
          <w:color w:val="221F1F"/>
          <w:spacing w:val="-14"/>
        </w:rPr>
        <w:t xml:space="preserve"> </w:t>
      </w:r>
      <w:r>
        <w:rPr>
          <w:color w:val="221F1F"/>
        </w:rPr>
        <w:t>appoint</w:t>
      </w:r>
      <w:r>
        <w:rPr>
          <w:color w:val="221F1F"/>
          <w:spacing w:val="-13"/>
        </w:rPr>
        <w:t xml:space="preserve"> </w:t>
      </w:r>
      <w:r>
        <w:rPr>
          <w:color w:val="221F1F"/>
        </w:rPr>
        <w:t>as</w:t>
      </w:r>
      <w:r>
        <w:rPr>
          <w:color w:val="221F1F"/>
          <w:spacing w:val="-14"/>
        </w:rPr>
        <w:t xml:space="preserve"> </w:t>
      </w:r>
      <w:r>
        <w:rPr>
          <w:color w:val="221F1F"/>
        </w:rPr>
        <w:t>Contractor's</w:t>
      </w:r>
      <w:r>
        <w:rPr>
          <w:color w:val="221F1F"/>
          <w:spacing w:val="-14"/>
        </w:rPr>
        <w:t xml:space="preserve"> </w:t>
      </w:r>
      <w:r>
        <w:rPr>
          <w:color w:val="221F1F"/>
        </w:rPr>
        <w:t>Representative.</w:t>
      </w:r>
      <w:r>
        <w:rPr>
          <w:color w:val="221F1F"/>
          <w:spacing w:val="-14"/>
        </w:rPr>
        <w:t xml:space="preserve"> </w:t>
      </w:r>
      <w:r>
        <w:rPr>
          <w:color w:val="221F1F"/>
        </w:rPr>
        <w:t>If</w:t>
      </w:r>
      <w:r>
        <w:rPr>
          <w:color w:val="221F1F"/>
          <w:spacing w:val="-13"/>
        </w:rPr>
        <w:t xml:space="preserve"> </w:t>
      </w:r>
      <w:r>
        <w:rPr>
          <w:color w:val="221F1F"/>
        </w:rPr>
        <w:t>consent</w:t>
      </w:r>
      <w:r>
        <w:rPr>
          <w:color w:val="221F1F"/>
          <w:spacing w:val="-14"/>
        </w:rPr>
        <w:t xml:space="preserve"> </w:t>
      </w:r>
      <w:r>
        <w:rPr>
          <w:color w:val="221F1F"/>
        </w:rPr>
        <w:t>is</w:t>
      </w:r>
      <w:r>
        <w:rPr>
          <w:color w:val="221F1F"/>
          <w:spacing w:val="-14"/>
        </w:rPr>
        <w:t xml:space="preserve"> </w:t>
      </w:r>
      <w:proofErr w:type="spellStart"/>
      <w:r>
        <w:rPr>
          <w:color w:val="221F1F"/>
        </w:rPr>
        <w:t>with</w:t>
      </w:r>
      <w:r>
        <w:rPr>
          <w:color w:val="221F1F"/>
          <w:spacing w:val="-14"/>
        </w:rPr>
        <w:t xml:space="preserve"> </w:t>
      </w:r>
      <w:r>
        <w:rPr>
          <w:color w:val="221F1F"/>
        </w:rPr>
        <w:t>held</w:t>
      </w:r>
      <w:proofErr w:type="spellEnd"/>
      <w:r>
        <w:rPr>
          <w:color w:val="221F1F"/>
          <w:spacing w:val="-13"/>
        </w:rPr>
        <w:t xml:space="preserve"> </w:t>
      </w:r>
      <w:r>
        <w:rPr>
          <w:color w:val="221F1F"/>
        </w:rPr>
        <w:t>or</w:t>
      </w:r>
      <w:r>
        <w:rPr>
          <w:color w:val="221F1F"/>
          <w:spacing w:val="-14"/>
        </w:rPr>
        <w:t xml:space="preserve"> </w:t>
      </w:r>
      <w:r>
        <w:rPr>
          <w:color w:val="221F1F"/>
        </w:rPr>
        <w:t>subsequently</w:t>
      </w:r>
      <w:r>
        <w:rPr>
          <w:color w:val="221F1F"/>
          <w:spacing w:val="-14"/>
        </w:rPr>
        <w:t xml:space="preserve"> </w:t>
      </w:r>
      <w:r>
        <w:rPr>
          <w:color w:val="221F1F"/>
        </w:rPr>
        <w:t>revoked in terms of Sub-Clause 6.9 [Contractor's Personnel], or if the appointed person fails to act as Contractor's Representative,</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similarly</w:t>
      </w:r>
      <w:r>
        <w:rPr>
          <w:color w:val="221F1F"/>
          <w:spacing w:val="-4"/>
        </w:rPr>
        <w:t xml:space="preserve"> </w:t>
      </w:r>
      <w:r>
        <w:rPr>
          <w:color w:val="221F1F"/>
        </w:rPr>
        <w:t>submit</w:t>
      </w:r>
      <w:r>
        <w:rPr>
          <w:color w:val="221F1F"/>
          <w:spacing w:val="-3"/>
        </w:rPr>
        <w:t xml:space="preserve"> </w:t>
      </w:r>
      <w:r>
        <w:rPr>
          <w:color w:val="221F1F"/>
        </w:rPr>
        <w:t>the</w:t>
      </w:r>
      <w:r>
        <w:rPr>
          <w:color w:val="221F1F"/>
          <w:spacing w:val="-1"/>
        </w:rPr>
        <w:t xml:space="preserve"> </w:t>
      </w:r>
      <w:r>
        <w:rPr>
          <w:color w:val="221F1F"/>
        </w:rPr>
        <w:t>name</w:t>
      </w:r>
      <w:r>
        <w:rPr>
          <w:color w:val="221F1F"/>
          <w:spacing w:val="-4"/>
        </w:rPr>
        <w:t xml:space="preserve"> </w:t>
      </w:r>
      <w:r>
        <w:rPr>
          <w:color w:val="221F1F"/>
        </w:rPr>
        <w:t>and</w:t>
      </w:r>
      <w:r>
        <w:rPr>
          <w:color w:val="221F1F"/>
          <w:spacing w:val="-2"/>
        </w:rPr>
        <w:t xml:space="preserve"> </w:t>
      </w:r>
      <w:r>
        <w:rPr>
          <w:color w:val="221F1F"/>
        </w:rPr>
        <w:t>particulars</w:t>
      </w:r>
      <w:r>
        <w:rPr>
          <w:color w:val="221F1F"/>
          <w:spacing w:val="-4"/>
        </w:rPr>
        <w:t xml:space="preserve"> </w:t>
      </w:r>
      <w:r>
        <w:rPr>
          <w:color w:val="221F1F"/>
        </w:rPr>
        <w:t>of</w:t>
      </w:r>
      <w:r>
        <w:rPr>
          <w:color w:val="221F1F"/>
          <w:spacing w:val="-4"/>
        </w:rPr>
        <w:t xml:space="preserve"> </w:t>
      </w:r>
      <w:proofErr w:type="spellStart"/>
      <w:r>
        <w:rPr>
          <w:color w:val="221F1F"/>
        </w:rPr>
        <w:t>an</w:t>
      </w:r>
      <w:r>
        <w:rPr>
          <w:color w:val="221F1F"/>
          <w:spacing w:val="-4"/>
        </w:rPr>
        <w:t xml:space="preserve"> </w:t>
      </w:r>
      <w:r>
        <w:rPr>
          <w:color w:val="221F1F"/>
        </w:rPr>
        <w:t>other</w:t>
      </w:r>
      <w:proofErr w:type="spellEnd"/>
      <w:r>
        <w:rPr>
          <w:color w:val="221F1F"/>
          <w:spacing w:val="-3"/>
        </w:rPr>
        <w:t xml:space="preserve"> </w:t>
      </w:r>
      <w:r>
        <w:rPr>
          <w:color w:val="221F1F"/>
        </w:rPr>
        <w:t>suitable</w:t>
      </w:r>
      <w:r>
        <w:rPr>
          <w:color w:val="221F1F"/>
          <w:spacing w:val="-4"/>
        </w:rPr>
        <w:t xml:space="preserve"> </w:t>
      </w:r>
      <w:r>
        <w:rPr>
          <w:color w:val="221F1F"/>
        </w:rPr>
        <w:t>person</w:t>
      </w:r>
      <w:r>
        <w:rPr>
          <w:color w:val="221F1F"/>
          <w:spacing w:val="-4"/>
        </w:rPr>
        <w:t xml:space="preserve"> </w:t>
      </w:r>
      <w:r>
        <w:rPr>
          <w:color w:val="221F1F"/>
        </w:rPr>
        <w:t>for such appointment.</w:t>
      </w:r>
    </w:p>
    <w:p w:rsidR="007F6DF9" w:rsidRDefault="00A43FBC">
      <w:pPr>
        <w:pStyle w:val="ListParagraph"/>
        <w:numPr>
          <w:ilvl w:val="2"/>
          <w:numId w:val="122"/>
        </w:numPr>
        <w:tabs>
          <w:tab w:val="left" w:pos="1365"/>
          <w:tab w:val="left" w:pos="1390"/>
        </w:tabs>
        <w:spacing w:before="199" w:line="230" w:lineRule="auto"/>
        <w:ind w:left="1390" w:right="554" w:hanging="685"/>
        <w:jc w:val="both"/>
        <w:rPr>
          <w:color w:val="221F1F"/>
        </w:rPr>
      </w:pP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not,</w:t>
      </w:r>
      <w:r>
        <w:rPr>
          <w:color w:val="221F1F"/>
          <w:spacing w:val="-12"/>
        </w:rPr>
        <w:t xml:space="preserve"> </w:t>
      </w:r>
      <w:r>
        <w:rPr>
          <w:color w:val="221F1F"/>
        </w:rPr>
        <w:t>without</w:t>
      </w:r>
      <w:r>
        <w:rPr>
          <w:color w:val="221F1F"/>
          <w:spacing w:val="-12"/>
        </w:rPr>
        <w:t xml:space="preserve"> </w:t>
      </w:r>
      <w:r>
        <w:rPr>
          <w:color w:val="221F1F"/>
        </w:rPr>
        <w:t>the</w:t>
      </w:r>
      <w:r>
        <w:rPr>
          <w:color w:val="221F1F"/>
          <w:spacing w:val="-13"/>
        </w:rPr>
        <w:t xml:space="preserve"> </w:t>
      </w:r>
      <w:r>
        <w:rPr>
          <w:color w:val="221F1F"/>
        </w:rPr>
        <w:t>prior</w:t>
      </w:r>
      <w:r>
        <w:rPr>
          <w:color w:val="221F1F"/>
          <w:spacing w:val="-12"/>
        </w:rPr>
        <w:t xml:space="preserve"> </w:t>
      </w:r>
      <w:r>
        <w:rPr>
          <w:color w:val="221F1F"/>
        </w:rPr>
        <w:t>consent</w:t>
      </w:r>
      <w:r>
        <w:rPr>
          <w:color w:val="221F1F"/>
          <w:spacing w:val="-12"/>
        </w:rPr>
        <w:t xml:space="preserve"> </w:t>
      </w:r>
      <w:r>
        <w:rPr>
          <w:color w:val="221F1F"/>
        </w:rPr>
        <w:t>of</w:t>
      </w:r>
      <w:r>
        <w:rPr>
          <w:color w:val="221F1F"/>
          <w:spacing w:val="-14"/>
        </w:rPr>
        <w:t xml:space="preserve"> </w:t>
      </w:r>
      <w:r>
        <w:rPr>
          <w:color w:val="221F1F"/>
        </w:rPr>
        <w:t>the</w:t>
      </w:r>
      <w:r>
        <w:rPr>
          <w:color w:val="221F1F"/>
          <w:spacing w:val="-12"/>
        </w:rPr>
        <w:t xml:space="preserve"> </w:t>
      </w:r>
      <w:r>
        <w:rPr>
          <w:color w:val="221F1F"/>
        </w:rPr>
        <w:t>Engineer,</w:t>
      </w:r>
      <w:r>
        <w:rPr>
          <w:color w:val="221F1F"/>
          <w:spacing w:val="-14"/>
        </w:rPr>
        <w:t xml:space="preserve"> </w:t>
      </w:r>
      <w:r>
        <w:rPr>
          <w:color w:val="221F1F"/>
        </w:rPr>
        <w:t>revoke</w:t>
      </w:r>
      <w:r>
        <w:rPr>
          <w:color w:val="221F1F"/>
          <w:spacing w:val="-13"/>
        </w:rPr>
        <w:t xml:space="preserve"> </w:t>
      </w:r>
      <w:r>
        <w:rPr>
          <w:color w:val="221F1F"/>
        </w:rPr>
        <w:t>the</w:t>
      </w:r>
      <w:r>
        <w:rPr>
          <w:color w:val="221F1F"/>
          <w:spacing w:val="-13"/>
        </w:rPr>
        <w:t xml:space="preserve"> </w:t>
      </w:r>
      <w:r>
        <w:rPr>
          <w:color w:val="221F1F"/>
        </w:rPr>
        <w:t>appointment</w:t>
      </w:r>
      <w:r>
        <w:rPr>
          <w:color w:val="221F1F"/>
          <w:spacing w:val="-12"/>
        </w:rPr>
        <w:t xml:space="preserve"> </w:t>
      </w:r>
      <w:r>
        <w:rPr>
          <w:color w:val="221F1F"/>
        </w:rPr>
        <w:t>of</w:t>
      </w:r>
      <w:r>
        <w:rPr>
          <w:color w:val="221F1F"/>
          <w:spacing w:val="-14"/>
        </w:rPr>
        <w:t xml:space="preserve"> </w:t>
      </w:r>
      <w:r>
        <w:rPr>
          <w:color w:val="221F1F"/>
        </w:rPr>
        <w:t>the</w:t>
      </w:r>
      <w:r>
        <w:rPr>
          <w:color w:val="221F1F"/>
          <w:spacing w:val="-13"/>
        </w:rPr>
        <w:t xml:space="preserve"> </w:t>
      </w:r>
      <w:r>
        <w:rPr>
          <w:color w:val="221F1F"/>
        </w:rPr>
        <w:t>Contractor's Representative or appoint are placement.</w:t>
      </w:r>
    </w:p>
    <w:p w:rsidR="007F6DF9" w:rsidRDefault="00A43FBC">
      <w:pPr>
        <w:pStyle w:val="ListParagraph"/>
        <w:numPr>
          <w:ilvl w:val="2"/>
          <w:numId w:val="122"/>
        </w:numPr>
        <w:tabs>
          <w:tab w:val="left" w:pos="1363"/>
          <w:tab w:val="left" w:pos="1366"/>
        </w:tabs>
        <w:spacing w:before="198" w:line="230" w:lineRule="auto"/>
        <w:ind w:left="1366" w:right="553" w:hanging="661"/>
        <w:jc w:val="both"/>
        <w:rPr>
          <w:color w:val="221F1F"/>
        </w:rPr>
      </w:pPr>
      <w:r>
        <w:rPr>
          <w:color w:val="221F1F"/>
        </w:rPr>
        <w:t>The</w:t>
      </w:r>
      <w:r>
        <w:rPr>
          <w:color w:val="221F1F"/>
          <w:spacing w:val="-6"/>
        </w:rPr>
        <w:t xml:space="preserve"> </w:t>
      </w:r>
      <w:r>
        <w:rPr>
          <w:color w:val="221F1F"/>
        </w:rPr>
        <w:t>whole</w:t>
      </w:r>
      <w:r>
        <w:rPr>
          <w:color w:val="221F1F"/>
          <w:spacing w:val="-6"/>
        </w:rPr>
        <w:t xml:space="preserve"> </w:t>
      </w:r>
      <w:r>
        <w:rPr>
          <w:color w:val="221F1F"/>
        </w:rPr>
        <w:t>time</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Contractor's</w:t>
      </w:r>
      <w:r>
        <w:rPr>
          <w:color w:val="221F1F"/>
          <w:spacing w:val="-4"/>
        </w:rPr>
        <w:t xml:space="preserve"> </w:t>
      </w:r>
      <w:r>
        <w:rPr>
          <w:color w:val="221F1F"/>
        </w:rPr>
        <w:t>Representative</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given</w:t>
      </w:r>
      <w:r>
        <w:rPr>
          <w:color w:val="221F1F"/>
          <w:spacing w:val="-6"/>
        </w:rPr>
        <w:t xml:space="preserve"> </w:t>
      </w:r>
      <w:r>
        <w:rPr>
          <w:color w:val="221F1F"/>
        </w:rPr>
        <w:t>to</w:t>
      </w:r>
      <w:r>
        <w:rPr>
          <w:color w:val="221F1F"/>
          <w:spacing w:val="-6"/>
        </w:rPr>
        <w:t xml:space="preserve"> </w:t>
      </w:r>
      <w:r>
        <w:rPr>
          <w:color w:val="221F1F"/>
        </w:rPr>
        <w:t>directing</w:t>
      </w:r>
      <w:r>
        <w:rPr>
          <w:color w:val="221F1F"/>
          <w:spacing w:val="-5"/>
        </w:rPr>
        <w:t xml:space="preserve"> </w:t>
      </w:r>
      <w:r>
        <w:rPr>
          <w:color w:val="221F1F"/>
        </w:rPr>
        <w:t>the</w:t>
      </w:r>
      <w:r>
        <w:rPr>
          <w:color w:val="221F1F"/>
          <w:spacing w:val="-6"/>
        </w:rPr>
        <w:t xml:space="preserve"> </w:t>
      </w:r>
      <w:r>
        <w:rPr>
          <w:color w:val="221F1F"/>
        </w:rPr>
        <w:t>Contractor's</w:t>
      </w:r>
      <w:r>
        <w:rPr>
          <w:color w:val="221F1F"/>
          <w:spacing w:val="-4"/>
        </w:rPr>
        <w:t xml:space="preserve"> </w:t>
      </w:r>
      <w:r>
        <w:rPr>
          <w:color w:val="221F1F"/>
        </w:rPr>
        <w:t>performance</w:t>
      </w:r>
      <w:r>
        <w:rPr>
          <w:color w:val="221F1F"/>
          <w:spacing w:val="-5"/>
        </w:rPr>
        <w:t xml:space="preserve"> </w:t>
      </w:r>
      <w:r>
        <w:rPr>
          <w:color w:val="221F1F"/>
        </w:rPr>
        <w:t>of the</w:t>
      </w:r>
      <w:r>
        <w:rPr>
          <w:color w:val="221F1F"/>
          <w:spacing w:val="-4"/>
        </w:rPr>
        <w:t xml:space="preserve"> </w:t>
      </w:r>
      <w:r>
        <w:rPr>
          <w:color w:val="221F1F"/>
        </w:rPr>
        <w:t>Contract.</w:t>
      </w:r>
      <w:r>
        <w:rPr>
          <w:color w:val="221F1F"/>
          <w:spacing w:val="-4"/>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Representative</w:t>
      </w:r>
      <w:r>
        <w:rPr>
          <w:color w:val="221F1F"/>
          <w:spacing w:val="-6"/>
        </w:rPr>
        <w:t xml:space="preserve"> </w:t>
      </w:r>
      <w:r>
        <w:rPr>
          <w:color w:val="221F1F"/>
        </w:rPr>
        <w:t>is</w:t>
      </w:r>
      <w:r>
        <w:rPr>
          <w:color w:val="221F1F"/>
          <w:spacing w:val="-7"/>
        </w:rPr>
        <w:t xml:space="preserve"> </w:t>
      </w:r>
      <w:r>
        <w:rPr>
          <w:color w:val="221F1F"/>
        </w:rPr>
        <w:t>to</w:t>
      </w:r>
      <w:r>
        <w:rPr>
          <w:color w:val="221F1F"/>
          <w:spacing w:val="-5"/>
        </w:rPr>
        <w:t xml:space="preserve"> </w:t>
      </w:r>
      <w:r>
        <w:rPr>
          <w:color w:val="221F1F"/>
        </w:rPr>
        <w:t>be</w:t>
      </w:r>
      <w:r>
        <w:rPr>
          <w:color w:val="221F1F"/>
          <w:spacing w:val="-6"/>
        </w:rPr>
        <w:t xml:space="preserve"> </w:t>
      </w:r>
      <w:r>
        <w:rPr>
          <w:color w:val="221F1F"/>
        </w:rPr>
        <w:t>temporarily</w:t>
      </w:r>
      <w:r>
        <w:rPr>
          <w:color w:val="221F1F"/>
          <w:spacing w:val="-6"/>
        </w:rPr>
        <w:t xml:space="preserve"> </w:t>
      </w:r>
      <w:r>
        <w:rPr>
          <w:color w:val="221F1F"/>
        </w:rPr>
        <w:t>absent</w:t>
      </w:r>
      <w:r>
        <w:rPr>
          <w:color w:val="221F1F"/>
          <w:spacing w:val="-6"/>
        </w:rPr>
        <w:t xml:space="preserve"> </w:t>
      </w:r>
      <w:r>
        <w:rPr>
          <w:color w:val="221F1F"/>
        </w:rPr>
        <w:t>from</w:t>
      </w:r>
      <w:r>
        <w:rPr>
          <w:color w:val="221F1F"/>
          <w:spacing w:val="-6"/>
        </w:rPr>
        <w:t xml:space="preserve"> </w:t>
      </w:r>
      <w:r>
        <w:rPr>
          <w:color w:val="221F1F"/>
        </w:rPr>
        <w:t>the</w:t>
      </w:r>
      <w:r>
        <w:rPr>
          <w:color w:val="221F1F"/>
          <w:spacing w:val="-3"/>
        </w:rPr>
        <w:t xml:space="preserve"> </w:t>
      </w:r>
      <w:r>
        <w:rPr>
          <w:color w:val="221F1F"/>
        </w:rPr>
        <w:t>Site</w:t>
      </w:r>
      <w:r>
        <w:rPr>
          <w:color w:val="221F1F"/>
          <w:spacing w:val="-4"/>
        </w:rPr>
        <w:t xml:space="preserve"> </w:t>
      </w:r>
      <w:r>
        <w:rPr>
          <w:color w:val="221F1F"/>
        </w:rPr>
        <w:t>during</w:t>
      </w:r>
      <w:r>
        <w:rPr>
          <w:color w:val="221F1F"/>
          <w:spacing w:val="-4"/>
        </w:rPr>
        <w:t xml:space="preserve"> </w:t>
      </w:r>
      <w:r>
        <w:rPr>
          <w:color w:val="221F1F"/>
        </w:rPr>
        <w:t>the</w:t>
      </w:r>
      <w:r>
        <w:rPr>
          <w:color w:val="221F1F"/>
          <w:spacing w:val="-4"/>
        </w:rPr>
        <w:t xml:space="preserve"> </w:t>
      </w:r>
      <w:r>
        <w:rPr>
          <w:color w:val="221F1F"/>
        </w:rPr>
        <w:t>execution of</w:t>
      </w:r>
      <w:r>
        <w:rPr>
          <w:color w:val="221F1F"/>
          <w:spacing w:val="-6"/>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a</w:t>
      </w:r>
      <w:r>
        <w:rPr>
          <w:color w:val="221F1F"/>
          <w:spacing w:val="-7"/>
        </w:rPr>
        <w:t xml:space="preserve"> </w:t>
      </w:r>
      <w:r>
        <w:rPr>
          <w:color w:val="221F1F"/>
        </w:rPr>
        <w:t>suitable</w:t>
      </w:r>
      <w:r>
        <w:rPr>
          <w:color w:val="221F1F"/>
          <w:spacing w:val="-7"/>
        </w:rPr>
        <w:t xml:space="preserve"> </w:t>
      </w:r>
      <w:r>
        <w:rPr>
          <w:color w:val="221F1F"/>
        </w:rPr>
        <w:t>replacement</w:t>
      </w:r>
      <w:r>
        <w:rPr>
          <w:color w:val="221F1F"/>
          <w:spacing w:val="-4"/>
        </w:rPr>
        <w:t xml:space="preserve"> </w:t>
      </w:r>
      <w:r>
        <w:rPr>
          <w:color w:val="221F1F"/>
        </w:rPr>
        <w:t>person</w:t>
      </w:r>
      <w:r>
        <w:rPr>
          <w:color w:val="221F1F"/>
          <w:spacing w:val="-7"/>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appointed,</w:t>
      </w:r>
      <w:r>
        <w:rPr>
          <w:color w:val="221F1F"/>
          <w:spacing w:val="-7"/>
        </w:rPr>
        <w:t xml:space="preserve"> </w:t>
      </w:r>
      <w:r>
        <w:rPr>
          <w:color w:val="221F1F"/>
        </w:rPr>
        <w:t>subject</w:t>
      </w:r>
      <w:r>
        <w:rPr>
          <w:color w:val="221F1F"/>
          <w:spacing w:val="-6"/>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Architect</w:t>
      </w:r>
      <w:r>
        <w:rPr>
          <w:color w:val="221F1F"/>
          <w:spacing w:val="-6"/>
        </w:rPr>
        <w:t xml:space="preserve"> </w:t>
      </w:r>
      <w:r>
        <w:rPr>
          <w:color w:val="221F1F"/>
        </w:rPr>
        <w:t>prior</w:t>
      </w:r>
      <w:r>
        <w:rPr>
          <w:color w:val="221F1F"/>
          <w:spacing w:val="-4"/>
        </w:rPr>
        <w:t xml:space="preserve"> </w:t>
      </w:r>
      <w:r>
        <w:rPr>
          <w:color w:val="221F1F"/>
        </w:rPr>
        <w:t>consent,</w:t>
      </w:r>
      <w:r>
        <w:rPr>
          <w:color w:val="221F1F"/>
          <w:spacing w:val="-7"/>
        </w:rPr>
        <w:t xml:space="preserve"> </w:t>
      </w:r>
      <w:r>
        <w:rPr>
          <w:color w:val="221F1F"/>
        </w:rPr>
        <w:t>and</w:t>
      </w:r>
      <w:r>
        <w:rPr>
          <w:color w:val="221F1F"/>
          <w:spacing w:val="-7"/>
        </w:rPr>
        <w:t xml:space="preserve"> </w:t>
      </w:r>
      <w:r>
        <w:rPr>
          <w:color w:val="221F1F"/>
        </w:rPr>
        <w:t>the Architect shall be notified accordingly.</w:t>
      </w:r>
    </w:p>
    <w:p w:rsidR="007F6DF9" w:rsidRDefault="00A43FBC">
      <w:pPr>
        <w:pStyle w:val="ListParagraph"/>
        <w:numPr>
          <w:ilvl w:val="2"/>
          <w:numId w:val="122"/>
        </w:numPr>
        <w:tabs>
          <w:tab w:val="left" w:pos="1363"/>
          <w:tab w:val="left" w:pos="1366"/>
        </w:tabs>
        <w:spacing w:before="196" w:line="232" w:lineRule="auto"/>
        <w:ind w:left="1366" w:right="553" w:hanging="661"/>
        <w:jc w:val="both"/>
        <w:rPr>
          <w:color w:val="221F1F"/>
        </w:rPr>
      </w:pP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3"/>
        </w:rPr>
        <w:t xml:space="preserve"> </w:t>
      </w:r>
      <w:r>
        <w:rPr>
          <w:color w:val="221F1F"/>
        </w:rPr>
        <w:t>shall,</w:t>
      </w:r>
      <w:r>
        <w:rPr>
          <w:color w:val="221F1F"/>
          <w:spacing w:val="-4"/>
        </w:rPr>
        <w:t xml:space="preserve"> </w:t>
      </w:r>
      <w:r>
        <w:rPr>
          <w:color w:val="221F1F"/>
        </w:rPr>
        <w:t>on</w:t>
      </w:r>
      <w:r>
        <w:rPr>
          <w:color w:val="221F1F"/>
          <w:spacing w:val="-1"/>
        </w:rPr>
        <w:t xml:space="preserve"> </w:t>
      </w:r>
      <w:r>
        <w:rPr>
          <w:color w:val="221F1F"/>
        </w:rPr>
        <w:t>behalf</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receive</w:t>
      </w:r>
      <w:r>
        <w:rPr>
          <w:color w:val="221F1F"/>
          <w:spacing w:val="-3"/>
        </w:rPr>
        <w:t xml:space="preserve"> </w:t>
      </w:r>
      <w:r>
        <w:rPr>
          <w:color w:val="221F1F"/>
        </w:rPr>
        <w:t>instructions</w:t>
      </w:r>
      <w:r>
        <w:rPr>
          <w:color w:val="221F1F"/>
          <w:spacing w:val="-3"/>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3.3 [Instructions of the Engineer].</w:t>
      </w:r>
    </w:p>
    <w:p w:rsidR="007F6DF9" w:rsidRDefault="00A43FBC">
      <w:pPr>
        <w:pStyle w:val="ListParagraph"/>
        <w:numPr>
          <w:ilvl w:val="2"/>
          <w:numId w:val="122"/>
        </w:numPr>
        <w:tabs>
          <w:tab w:val="left" w:pos="1366"/>
          <w:tab w:val="left" w:pos="1369"/>
        </w:tabs>
        <w:spacing w:before="245" w:line="230" w:lineRule="auto"/>
        <w:ind w:left="1369" w:right="560" w:hanging="661"/>
        <w:jc w:val="both"/>
        <w:rPr>
          <w:color w:val="221F1F"/>
        </w:rPr>
      </w:pPr>
      <w:r>
        <w:rPr>
          <w:color w:val="221F1F"/>
        </w:rPr>
        <w:t>The Contractor's Representative</w:t>
      </w:r>
      <w:r>
        <w:rPr>
          <w:color w:val="221F1F"/>
          <w:spacing w:val="-1"/>
        </w:rPr>
        <w:t xml:space="preserve"> </w:t>
      </w:r>
      <w:r>
        <w:rPr>
          <w:color w:val="221F1F"/>
        </w:rPr>
        <w:t>may</w:t>
      </w:r>
      <w:r>
        <w:rPr>
          <w:color w:val="221F1F"/>
          <w:spacing w:val="-1"/>
        </w:rPr>
        <w:t xml:space="preserve"> </w:t>
      </w:r>
      <w:r>
        <w:rPr>
          <w:color w:val="221F1F"/>
        </w:rPr>
        <w:t>delegate</w:t>
      </w:r>
      <w:r>
        <w:rPr>
          <w:color w:val="221F1F"/>
          <w:spacing w:val="-1"/>
        </w:rPr>
        <w:t xml:space="preserve"> </w:t>
      </w:r>
      <w:r>
        <w:rPr>
          <w:color w:val="221F1F"/>
        </w:rPr>
        <w:t>any powers,</w:t>
      </w:r>
      <w:r>
        <w:rPr>
          <w:color w:val="221F1F"/>
          <w:spacing w:val="-1"/>
        </w:rPr>
        <w:t xml:space="preserve"> </w:t>
      </w:r>
      <w:r>
        <w:rPr>
          <w:color w:val="221F1F"/>
        </w:rPr>
        <w:t>functions</w:t>
      </w:r>
      <w:r>
        <w:rPr>
          <w:color w:val="221F1F"/>
          <w:spacing w:val="-1"/>
        </w:rPr>
        <w:t xml:space="preserve"> </w:t>
      </w:r>
      <w:r>
        <w:rPr>
          <w:color w:val="221F1F"/>
        </w:rPr>
        <w:t>and authority to any</w:t>
      </w:r>
      <w:r>
        <w:rPr>
          <w:color w:val="221F1F"/>
          <w:spacing w:val="-1"/>
        </w:rPr>
        <w:t xml:space="preserve"> </w:t>
      </w:r>
      <w:r>
        <w:rPr>
          <w:color w:val="221F1F"/>
        </w:rPr>
        <w:t>competent person, and may at any time revoke the delegation. Any delegation or revocation shall not take effect until the Architect has received prior notice signed by the Contractor's Representative, naming the person and specifying the powers, functions and authority being delegated or revoked.</w:t>
      </w:r>
    </w:p>
    <w:p w:rsidR="007F6DF9" w:rsidRDefault="00A43FBC">
      <w:pPr>
        <w:pStyle w:val="ListParagraph"/>
        <w:numPr>
          <w:ilvl w:val="2"/>
          <w:numId w:val="122"/>
        </w:numPr>
        <w:tabs>
          <w:tab w:val="left" w:pos="1368"/>
        </w:tabs>
        <w:spacing w:before="238"/>
        <w:ind w:left="1368" w:hanging="660"/>
        <w:rPr>
          <w:color w:val="221F1F"/>
        </w:rPr>
      </w:pPr>
      <w:r>
        <w:rPr>
          <w:color w:val="221F1F"/>
        </w:rPr>
        <w:t>The</w:t>
      </w:r>
      <w:r>
        <w:rPr>
          <w:color w:val="221F1F"/>
          <w:spacing w:val="-10"/>
        </w:rPr>
        <w:t xml:space="preserve"> </w:t>
      </w:r>
      <w:r>
        <w:rPr>
          <w:color w:val="221F1F"/>
        </w:rPr>
        <w:t>Contractor's</w:t>
      </w:r>
      <w:r>
        <w:rPr>
          <w:color w:val="221F1F"/>
          <w:spacing w:val="-10"/>
        </w:rPr>
        <w:t xml:space="preserve"> </w:t>
      </w:r>
      <w:r>
        <w:rPr>
          <w:color w:val="221F1F"/>
        </w:rPr>
        <w:t>Representative</w:t>
      </w:r>
      <w:r>
        <w:rPr>
          <w:color w:val="221F1F"/>
          <w:spacing w:val="-8"/>
        </w:rPr>
        <w:t xml:space="preserve"> </w:t>
      </w:r>
      <w:r>
        <w:rPr>
          <w:color w:val="221F1F"/>
        </w:rPr>
        <w:t>shall</w:t>
      </w:r>
      <w:r>
        <w:rPr>
          <w:color w:val="221F1F"/>
          <w:spacing w:val="-9"/>
        </w:rPr>
        <w:t xml:space="preserve"> </w:t>
      </w:r>
      <w:r>
        <w:rPr>
          <w:color w:val="221F1F"/>
        </w:rPr>
        <w:t>be</w:t>
      </w:r>
      <w:r>
        <w:rPr>
          <w:color w:val="221F1F"/>
          <w:spacing w:val="-10"/>
        </w:rPr>
        <w:t xml:space="preserve"> </w:t>
      </w:r>
      <w:r>
        <w:rPr>
          <w:color w:val="221F1F"/>
        </w:rPr>
        <w:t>fluent</w:t>
      </w:r>
      <w:r>
        <w:rPr>
          <w:color w:val="221F1F"/>
          <w:spacing w:val="-9"/>
        </w:rPr>
        <w:t xml:space="preserve"> </w:t>
      </w:r>
      <w:r>
        <w:rPr>
          <w:color w:val="221F1F"/>
        </w:rPr>
        <w:t>in</w:t>
      </w:r>
      <w:r>
        <w:rPr>
          <w:color w:val="221F1F"/>
          <w:spacing w:val="-12"/>
        </w:rPr>
        <w:t xml:space="preserve"> </w:t>
      </w:r>
      <w:r>
        <w:rPr>
          <w:color w:val="221F1F"/>
        </w:rPr>
        <w:t>the</w:t>
      </w:r>
      <w:r>
        <w:rPr>
          <w:color w:val="221F1F"/>
          <w:spacing w:val="-12"/>
        </w:rPr>
        <w:t xml:space="preserve"> </w:t>
      </w:r>
      <w:r>
        <w:rPr>
          <w:color w:val="221F1F"/>
        </w:rPr>
        <w:t>language</w:t>
      </w:r>
      <w:r>
        <w:rPr>
          <w:color w:val="221F1F"/>
          <w:spacing w:val="-11"/>
        </w:rPr>
        <w:t xml:space="preserve"> </w:t>
      </w:r>
      <w:r>
        <w:rPr>
          <w:color w:val="221F1F"/>
        </w:rPr>
        <w:t>for</w:t>
      </w:r>
      <w:r>
        <w:rPr>
          <w:color w:val="221F1F"/>
          <w:spacing w:val="-9"/>
        </w:rPr>
        <w:t xml:space="preserve"> </w:t>
      </w:r>
      <w:r>
        <w:rPr>
          <w:color w:val="221F1F"/>
        </w:rPr>
        <w:t>communications</w:t>
      </w:r>
      <w:r>
        <w:rPr>
          <w:color w:val="221F1F"/>
          <w:spacing w:val="-11"/>
        </w:rPr>
        <w:t xml:space="preserve"> </w:t>
      </w:r>
      <w:r>
        <w:rPr>
          <w:color w:val="221F1F"/>
        </w:rPr>
        <w:t>defined</w:t>
      </w:r>
      <w:r>
        <w:rPr>
          <w:color w:val="221F1F"/>
          <w:spacing w:val="-10"/>
        </w:rPr>
        <w:t xml:space="preserve"> </w:t>
      </w:r>
      <w:r>
        <w:rPr>
          <w:color w:val="221F1F"/>
        </w:rPr>
        <w:t>in</w:t>
      </w:r>
      <w:r>
        <w:rPr>
          <w:color w:val="221F1F"/>
          <w:spacing w:val="-10"/>
        </w:rPr>
        <w:t xml:space="preserve"> </w:t>
      </w:r>
      <w:r>
        <w:rPr>
          <w:color w:val="221F1F"/>
        </w:rPr>
        <w:t>Sub-</w:t>
      </w:r>
      <w:r>
        <w:rPr>
          <w:color w:val="221F1F"/>
          <w:spacing w:val="-2"/>
        </w:rPr>
        <w:t>Clause1.4</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BodyText"/>
        <w:spacing w:line="230" w:lineRule="auto"/>
        <w:ind w:left="1369" w:right="560"/>
        <w:jc w:val="both"/>
      </w:pPr>
      <w:r>
        <w:rPr>
          <w:color w:val="221F1F"/>
        </w:rPr>
        <w:lastRenderedPageBreak/>
        <w:t xml:space="preserve">[Law and Language]. If the Contractor's Representative's delegates are not fluent in the said language, the Contractor shall make competent interpreter </w:t>
      </w:r>
      <w:proofErr w:type="spellStart"/>
      <w:r>
        <w:rPr>
          <w:color w:val="221F1F"/>
        </w:rPr>
        <w:t>savailable</w:t>
      </w:r>
      <w:proofErr w:type="spellEnd"/>
      <w:r>
        <w:rPr>
          <w:color w:val="221F1F"/>
        </w:rPr>
        <w:t xml:space="preserve"> during all working hours in a number deemed sufficient by the Engineer.</w:t>
      </w:r>
    </w:p>
    <w:p w:rsidR="007F6DF9" w:rsidRDefault="00A43FBC">
      <w:pPr>
        <w:pStyle w:val="Heading9"/>
        <w:numPr>
          <w:ilvl w:val="1"/>
          <w:numId w:val="122"/>
        </w:numPr>
        <w:tabs>
          <w:tab w:val="left" w:pos="1368"/>
        </w:tabs>
        <w:spacing w:before="237"/>
        <w:ind w:left="1368" w:hanging="660"/>
        <w:rPr>
          <w:color w:val="221F1F"/>
        </w:rPr>
      </w:pPr>
      <w:r>
        <w:rPr>
          <w:color w:val="221F1F"/>
          <w:spacing w:val="-2"/>
        </w:rPr>
        <w:t>Sub-contractors</w:t>
      </w:r>
    </w:p>
    <w:p w:rsidR="007F6DF9" w:rsidRDefault="00A43FBC">
      <w:pPr>
        <w:pStyle w:val="ListParagraph"/>
        <w:numPr>
          <w:ilvl w:val="2"/>
          <w:numId w:val="122"/>
        </w:numPr>
        <w:tabs>
          <w:tab w:val="left" w:pos="1369"/>
        </w:tabs>
        <w:spacing w:before="243" w:line="230" w:lineRule="auto"/>
        <w:ind w:left="1369" w:right="562" w:hanging="661"/>
        <w:rPr>
          <w:color w:val="221F1F"/>
        </w:rPr>
      </w:pPr>
      <w:r>
        <w:rPr>
          <w:color w:val="221F1F"/>
        </w:rPr>
        <w:t>The Contractor shall not subcontract the whole of the Works. The contractor may however subcontract the works as provided in Clause 34.2.</w:t>
      </w:r>
    </w:p>
    <w:p w:rsidR="007F6DF9" w:rsidRDefault="00A43FBC">
      <w:pPr>
        <w:pStyle w:val="ListParagraph"/>
        <w:numPr>
          <w:ilvl w:val="2"/>
          <w:numId w:val="122"/>
        </w:numPr>
        <w:tabs>
          <w:tab w:val="left" w:pos="1369"/>
        </w:tabs>
        <w:spacing w:before="244" w:line="230" w:lineRule="auto"/>
        <w:ind w:left="1369" w:right="557" w:hanging="661"/>
        <w:rPr>
          <w:color w:val="221F1F"/>
        </w:rPr>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responsible</w:t>
      </w:r>
      <w:r>
        <w:rPr>
          <w:color w:val="221F1F"/>
          <w:spacing w:val="-3"/>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acts</w:t>
      </w:r>
      <w:r>
        <w:rPr>
          <w:color w:val="221F1F"/>
          <w:spacing w:val="-1"/>
        </w:rPr>
        <w:t xml:space="preserve"> </w:t>
      </w:r>
      <w:r>
        <w:rPr>
          <w:color w:val="221F1F"/>
        </w:rPr>
        <w:t>or</w:t>
      </w:r>
      <w:r>
        <w:rPr>
          <w:color w:val="221F1F"/>
          <w:spacing w:val="-1"/>
        </w:rPr>
        <w:t xml:space="preserve"> </w:t>
      </w:r>
      <w:r>
        <w:rPr>
          <w:color w:val="221F1F"/>
        </w:rPr>
        <w:t>defaults</w:t>
      </w:r>
      <w:r>
        <w:rPr>
          <w:color w:val="221F1F"/>
          <w:spacing w:val="-1"/>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Subcontractor,</w:t>
      </w:r>
      <w:r>
        <w:rPr>
          <w:color w:val="221F1F"/>
          <w:spacing w:val="-2"/>
        </w:rPr>
        <w:t xml:space="preserve"> </w:t>
      </w:r>
      <w:r>
        <w:rPr>
          <w:color w:val="221F1F"/>
        </w:rPr>
        <w:t>his</w:t>
      </w:r>
      <w:r>
        <w:rPr>
          <w:color w:val="221F1F"/>
          <w:spacing w:val="-1"/>
        </w:rPr>
        <w:t xml:space="preserve"> </w:t>
      </w:r>
      <w:r>
        <w:rPr>
          <w:color w:val="221F1F"/>
        </w:rPr>
        <w:t>agents</w:t>
      </w:r>
      <w:r>
        <w:rPr>
          <w:color w:val="221F1F"/>
          <w:spacing w:val="-2"/>
        </w:rPr>
        <w:t xml:space="preserve"> </w:t>
      </w:r>
      <w:r>
        <w:rPr>
          <w:color w:val="221F1F"/>
        </w:rPr>
        <w:t>or</w:t>
      </w:r>
      <w:r>
        <w:rPr>
          <w:color w:val="221F1F"/>
          <w:spacing w:val="-1"/>
        </w:rPr>
        <w:t xml:space="preserve"> </w:t>
      </w:r>
      <w:r>
        <w:rPr>
          <w:color w:val="221F1F"/>
        </w:rPr>
        <w:t>employees,</w:t>
      </w:r>
      <w:r>
        <w:rPr>
          <w:color w:val="221F1F"/>
          <w:spacing w:val="-4"/>
        </w:rPr>
        <w:t xml:space="preserve"> </w:t>
      </w:r>
      <w:r>
        <w:rPr>
          <w:color w:val="221F1F"/>
        </w:rPr>
        <w:t xml:space="preserve">as if </w:t>
      </w:r>
      <w:proofErr w:type="spellStart"/>
      <w:r>
        <w:rPr>
          <w:color w:val="221F1F"/>
        </w:rPr>
        <w:t>theyweret</w:t>
      </w:r>
      <w:proofErr w:type="spellEnd"/>
      <w:r>
        <w:rPr>
          <w:color w:val="221F1F"/>
        </w:rPr>
        <w:t xml:space="preserve"> </w:t>
      </w:r>
      <w:proofErr w:type="spellStart"/>
      <w:r>
        <w:rPr>
          <w:color w:val="221F1F"/>
        </w:rPr>
        <w:t>heacts</w:t>
      </w:r>
      <w:proofErr w:type="spellEnd"/>
      <w:r>
        <w:rPr>
          <w:color w:val="221F1F"/>
        </w:rPr>
        <w:t xml:space="preserve"> or defaults of the Contractor. Unless otherwise stated in the Special Conditions:</w:t>
      </w:r>
    </w:p>
    <w:p w:rsidR="007F6DF9" w:rsidRDefault="00A43FBC">
      <w:pPr>
        <w:pStyle w:val="ListParagraph"/>
        <w:numPr>
          <w:ilvl w:val="0"/>
          <w:numId w:val="45"/>
        </w:numPr>
        <w:tabs>
          <w:tab w:val="left" w:pos="1860"/>
          <w:tab w:val="left" w:pos="1885"/>
        </w:tabs>
        <w:spacing w:line="230" w:lineRule="auto"/>
        <w:ind w:right="1417" w:hanging="516"/>
      </w:pPr>
      <w:r>
        <w:rPr>
          <w:color w:val="221F1F"/>
        </w:rPr>
        <w:t>The</w:t>
      </w:r>
      <w:r>
        <w:rPr>
          <w:color w:val="221F1F"/>
          <w:spacing w:val="-1"/>
        </w:rPr>
        <w:t xml:space="preserve"> </w:t>
      </w:r>
      <w:r>
        <w:rPr>
          <w:color w:val="221F1F"/>
        </w:rPr>
        <w:t>Contractor shall</w:t>
      </w:r>
      <w:r>
        <w:rPr>
          <w:color w:val="221F1F"/>
          <w:spacing w:val="-2"/>
        </w:rPr>
        <w:t xml:space="preserve"> </w:t>
      </w:r>
      <w:r>
        <w:rPr>
          <w:color w:val="221F1F"/>
        </w:rPr>
        <w:t>not</w:t>
      </w:r>
      <w:r>
        <w:rPr>
          <w:color w:val="221F1F"/>
          <w:spacing w:val="-3"/>
        </w:rPr>
        <w:t xml:space="preserve"> </w:t>
      </w:r>
      <w:r>
        <w:rPr>
          <w:color w:val="221F1F"/>
        </w:rPr>
        <w:t>be</w:t>
      </w:r>
      <w:r>
        <w:rPr>
          <w:color w:val="221F1F"/>
          <w:spacing w:val="-3"/>
        </w:rPr>
        <w:t xml:space="preserve"> </w:t>
      </w:r>
      <w:r>
        <w:rPr>
          <w:color w:val="221F1F"/>
        </w:rPr>
        <w:t>required</w:t>
      </w:r>
      <w:r>
        <w:rPr>
          <w:color w:val="221F1F"/>
          <w:spacing w:val="-1"/>
        </w:rPr>
        <w:t xml:space="preserve"> </w:t>
      </w:r>
      <w:r>
        <w:rPr>
          <w:color w:val="221F1F"/>
        </w:rPr>
        <w:t>to</w:t>
      </w:r>
      <w:r>
        <w:rPr>
          <w:color w:val="221F1F"/>
          <w:spacing w:val="-4"/>
        </w:rPr>
        <w:t xml:space="preserve"> </w:t>
      </w:r>
      <w:r>
        <w:rPr>
          <w:color w:val="221F1F"/>
        </w:rPr>
        <w:t>obtain</w:t>
      </w:r>
      <w:r>
        <w:rPr>
          <w:color w:val="221F1F"/>
          <w:spacing w:val="-3"/>
        </w:rPr>
        <w:t xml:space="preserve"> </w:t>
      </w:r>
      <w:r>
        <w:rPr>
          <w:color w:val="221F1F"/>
        </w:rPr>
        <w:t>consent</w:t>
      </w:r>
      <w:r>
        <w:rPr>
          <w:color w:val="221F1F"/>
          <w:spacing w:val="-4"/>
        </w:rPr>
        <w:t xml:space="preserve"> </w:t>
      </w:r>
      <w:r>
        <w:rPr>
          <w:color w:val="221F1F"/>
        </w:rPr>
        <w:t>to</w:t>
      </w:r>
      <w:r>
        <w:rPr>
          <w:color w:val="221F1F"/>
          <w:spacing w:val="-1"/>
        </w:rPr>
        <w:t xml:space="preserve"> </w:t>
      </w:r>
      <w:r>
        <w:rPr>
          <w:color w:val="221F1F"/>
        </w:rPr>
        <w:t>suppliers</w:t>
      </w:r>
      <w:r>
        <w:rPr>
          <w:color w:val="221F1F"/>
          <w:spacing w:val="-1"/>
        </w:rPr>
        <w:t xml:space="preserve"> </w:t>
      </w:r>
      <w:r>
        <w:rPr>
          <w:color w:val="221F1F"/>
        </w:rPr>
        <w:t>solely</w:t>
      </w:r>
      <w:r>
        <w:rPr>
          <w:color w:val="221F1F"/>
          <w:spacing w:val="-1"/>
        </w:rPr>
        <w:t xml:space="preserve"> </w:t>
      </w:r>
      <w:r>
        <w:rPr>
          <w:color w:val="221F1F"/>
        </w:rPr>
        <w:t>of Materials, or</w:t>
      </w:r>
      <w:r>
        <w:rPr>
          <w:color w:val="221F1F"/>
          <w:spacing w:val="-3"/>
        </w:rPr>
        <w:t xml:space="preserve"> </w:t>
      </w:r>
      <w:r>
        <w:rPr>
          <w:color w:val="221F1F"/>
        </w:rPr>
        <w:t>to</w:t>
      </w:r>
      <w:r>
        <w:rPr>
          <w:color w:val="221F1F"/>
          <w:spacing w:val="-4"/>
        </w:rPr>
        <w:t xml:space="preserve"> </w:t>
      </w:r>
      <w:r>
        <w:rPr>
          <w:color w:val="221F1F"/>
        </w:rPr>
        <w:t>a subcontract for which the Subcontractor is named in the Contract;</w:t>
      </w:r>
    </w:p>
    <w:p w:rsidR="007F6DF9" w:rsidRDefault="00A43FBC">
      <w:pPr>
        <w:pStyle w:val="ListParagraph"/>
        <w:numPr>
          <w:ilvl w:val="0"/>
          <w:numId w:val="45"/>
        </w:numPr>
        <w:tabs>
          <w:tab w:val="left" w:pos="1860"/>
        </w:tabs>
        <w:spacing w:line="247" w:lineRule="exact"/>
        <w:ind w:left="1860" w:hanging="491"/>
      </w:pPr>
      <w:r>
        <w:rPr>
          <w:color w:val="221F1F"/>
        </w:rPr>
        <w:t>The</w:t>
      </w:r>
      <w:r>
        <w:rPr>
          <w:color w:val="221F1F"/>
          <w:spacing w:val="-3"/>
        </w:rPr>
        <w:t xml:space="preserve"> </w:t>
      </w:r>
      <w:r>
        <w:rPr>
          <w:color w:val="221F1F"/>
        </w:rPr>
        <w:t>prior</w:t>
      </w:r>
      <w:r>
        <w:rPr>
          <w:color w:val="221F1F"/>
          <w:spacing w:val="-5"/>
        </w:rPr>
        <w:t xml:space="preserve"> </w:t>
      </w:r>
      <w:r>
        <w:rPr>
          <w:color w:val="221F1F"/>
        </w:rPr>
        <w:t>consent</w:t>
      </w:r>
      <w:r>
        <w:rPr>
          <w:color w:val="221F1F"/>
          <w:spacing w:val="-3"/>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obtained</w:t>
      </w:r>
      <w:r>
        <w:rPr>
          <w:color w:val="221F1F"/>
          <w:spacing w:val="-5"/>
        </w:rPr>
        <w:t xml:space="preserve"> </w:t>
      </w:r>
      <w:r>
        <w:rPr>
          <w:color w:val="221F1F"/>
        </w:rPr>
        <w:t>to</w:t>
      </w:r>
      <w:r>
        <w:rPr>
          <w:color w:val="221F1F"/>
          <w:spacing w:val="-2"/>
        </w:rPr>
        <w:t xml:space="preserve"> </w:t>
      </w:r>
      <w:r>
        <w:rPr>
          <w:color w:val="221F1F"/>
        </w:rPr>
        <w:t>other</w:t>
      </w:r>
      <w:r>
        <w:rPr>
          <w:color w:val="221F1F"/>
          <w:spacing w:val="-2"/>
        </w:rPr>
        <w:t xml:space="preserve"> </w:t>
      </w:r>
      <w:r>
        <w:rPr>
          <w:color w:val="221F1F"/>
        </w:rPr>
        <w:t>proposed</w:t>
      </w:r>
      <w:r>
        <w:rPr>
          <w:color w:val="221F1F"/>
          <w:spacing w:val="-1"/>
        </w:rPr>
        <w:t xml:space="preserve"> </w:t>
      </w:r>
      <w:r>
        <w:rPr>
          <w:color w:val="221F1F"/>
          <w:spacing w:val="-2"/>
        </w:rPr>
        <w:t>Subcontractors;</w:t>
      </w:r>
    </w:p>
    <w:p w:rsidR="007F6DF9" w:rsidRDefault="00A43FBC">
      <w:pPr>
        <w:pStyle w:val="ListParagraph"/>
        <w:numPr>
          <w:ilvl w:val="0"/>
          <w:numId w:val="45"/>
        </w:numPr>
        <w:tabs>
          <w:tab w:val="left" w:pos="1860"/>
          <w:tab w:val="left" w:pos="1885"/>
        </w:tabs>
        <w:spacing w:before="3" w:line="230" w:lineRule="auto"/>
        <w:ind w:right="733" w:hanging="516"/>
      </w:pPr>
      <w:r>
        <w:rPr>
          <w:color w:val="221F1F"/>
        </w:rPr>
        <w:t>the</w:t>
      </w:r>
      <w:r>
        <w:rPr>
          <w:color w:val="221F1F"/>
          <w:spacing w:val="-1"/>
        </w:rPr>
        <w:t xml:space="preserve"> </w:t>
      </w:r>
      <w:r>
        <w:rPr>
          <w:color w:val="221F1F"/>
        </w:rPr>
        <w:t>Contractor</w:t>
      </w:r>
      <w:r>
        <w:rPr>
          <w:color w:val="221F1F"/>
          <w:spacing w:val="-1"/>
        </w:rPr>
        <w:t xml:space="preserve"> </w:t>
      </w:r>
      <w:r>
        <w:rPr>
          <w:color w:val="221F1F"/>
        </w:rPr>
        <w:t>shall give</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not less</w:t>
      </w:r>
      <w:r>
        <w:rPr>
          <w:color w:val="221F1F"/>
          <w:spacing w:val="-3"/>
        </w:rPr>
        <w:t xml:space="preserve"> </w:t>
      </w:r>
      <w:r>
        <w:rPr>
          <w:color w:val="221F1F"/>
        </w:rPr>
        <w:t>than</w:t>
      </w:r>
      <w:r>
        <w:rPr>
          <w:color w:val="221F1F"/>
          <w:spacing w:val="-1"/>
        </w:rPr>
        <w:t xml:space="preserve"> </w:t>
      </w:r>
      <w:r>
        <w:rPr>
          <w:color w:val="221F1F"/>
        </w:rPr>
        <w:t>14</w:t>
      </w:r>
      <w:r>
        <w:rPr>
          <w:color w:val="221F1F"/>
          <w:spacing w:val="-1"/>
        </w:rPr>
        <w:t xml:space="preserve"> </w:t>
      </w:r>
      <w:r>
        <w:rPr>
          <w:color w:val="221F1F"/>
        </w:rPr>
        <w:t>days'</w:t>
      </w:r>
      <w:r>
        <w:rPr>
          <w:color w:val="221F1F"/>
          <w:spacing w:val="-3"/>
        </w:rPr>
        <w:t xml:space="preserve"> </w:t>
      </w:r>
      <w:r>
        <w:rPr>
          <w:color w:val="221F1F"/>
        </w:rPr>
        <w:t>notice</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intended</w:t>
      </w:r>
      <w:r>
        <w:rPr>
          <w:color w:val="221F1F"/>
          <w:spacing w:val="-1"/>
        </w:rPr>
        <w:t xml:space="preserve"> </w:t>
      </w:r>
      <w:r>
        <w:rPr>
          <w:color w:val="221F1F"/>
        </w:rPr>
        <w:t>date</w:t>
      </w:r>
      <w:r>
        <w:rPr>
          <w:color w:val="221F1F"/>
          <w:spacing w:val="-1"/>
        </w:rPr>
        <w:t xml:space="preserve"> </w:t>
      </w:r>
      <w:r>
        <w:rPr>
          <w:color w:val="221F1F"/>
        </w:rPr>
        <w:t>of</w:t>
      </w:r>
      <w:r>
        <w:rPr>
          <w:color w:val="221F1F"/>
          <w:spacing w:val="-3"/>
        </w:rPr>
        <w:t xml:space="preserve"> </w:t>
      </w:r>
      <w:r>
        <w:rPr>
          <w:color w:val="221F1F"/>
        </w:rPr>
        <w:t xml:space="preserve">the commencement of each Subcontractor's work, and of the commencement of such work on the Site; </w:t>
      </w:r>
      <w:r>
        <w:rPr>
          <w:color w:val="221F1F"/>
          <w:spacing w:val="-4"/>
        </w:rPr>
        <w:t>and</w:t>
      </w:r>
    </w:p>
    <w:p w:rsidR="007F6DF9" w:rsidRDefault="00A43FBC">
      <w:pPr>
        <w:pStyle w:val="ListParagraph"/>
        <w:numPr>
          <w:ilvl w:val="0"/>
          <w:numId w:val="45"/>
        </w:numPr>
        <w:tabs>
          <w:tab w:val="left" w:pos="1860"/>
          <w:tab w:val="left" w:pos="1885"/>
        </w:tabs>
        <w:spacing w:line="230" w:lineRule="auto"/>
        <w:ind w:right="558" w:hanging="516"/>
        <w:jc w:val="both"/>
      </w:pPr>
      <w:r>
        <w:rPr>
          <w:color w:val="221F1F"/>
        </w:rPr>
        <w:t>each subcontract shall include provisions which would entitle the Procuring Entity to require the subcontract to be assigned to the Procuring Entity under Sub-Clause 4.5 [Assignment of Benefit of Subcontract]</w:t>
      </w:r>
      <w:r>
        <w:rPr>
          <w:color w:val="221F1F"/>
          <w:spacing w:val="-6"/>
        </w:rPr>
        <w:t xml:space="preserve"> </w:t>
      </w:r>
      <w:r>
        <w:rPr>
          <w:color w:val="221F1F"/>
        </w:rPr>
        <w:t>(if</w:t>
      </w:r>
      <w:r>
        <w:rPr>
          <w:color w:val="221F1F"/>
          <w:spacing w:val="-6"/>
        </w:rPr>
        <w:t xml:space="preserve"> </w:t>
      </w:r>
      <w:r>
        <w:rPr>
          <w:color w:val="221F1F"/>
        </w:rPr>
        <w:t>or</w:t>
      </w:r>
      <w:r>
        <w:rPr>
          <w:color w:val="221F1F"/>
          <w:spacing w:val="-6"/>
        </w:rPr>
        <w:t xml:space="preserve"> </w:t>
      </w:r>
      <w:r>
        <w:rPr>
          <w:color w:val="221F1F"/>
        </w:rPr>
        <w:t>when</w:t>
      </w:r>
      <w:r>
        <w:rPr>
          <w:color w:val="221F1F"/>
          <w:spacing w:val="-6"/>
        </w:rPr>
        <w:t xml:space="preserve"> </w:t>
      </w:r>
      <w:r>
        <w:rPr>
          <w:color w:val="221F1F"/>
        </w:rPr>
        <w:t>applicable)</w:t>
      </w:r>
      <w:r>
        <w:rPr>
          <w:color w:val="221F1F"/>
          <w:spacing w:val="-5"/>
        </w:rPr>
        <w:t xml:space="preserve"> </w:t>
      </w:r>
      <w:r>
        <w:rPr>
          <w:color w:val="221F1F"/>
        </w:rPr>
        <w:t>or</w:t>
      </w:r>
      <w:r>
        <w:rPr>
          <w:color w:val="221F1F"/>
          <w:spacing w:val="-6"/>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event</w:t>
      </w:r>
      <w:r>
        <w:rPr>
          <w:color w:val="221F1F"/>
          <w:spacing w:val="-5"/>
        </w:rPr>
        <w:t xml:space="preserve"> </w:t>
      </w:r>
      <w:r>
        <w:rPr>
          <w:color w:val="221F1F"/>
        </w:rPr>
        <w:t>of</w:t>
      </w:r>
      <w:r>
        <w:rPr>
          <w:color w:val="221F1F"/>
          <w:spacing w:val="-6"/>
        </w:rPr>
        <w:t xml:space="preserve"> </w:t>
      </w:r>
      <w:r>
        <w:rPr>
          <w:color w:val="221F1F"/>
        </w:rPr>
        <w:t>termination</w:t>
      </w:r>
      <w:r>
        <w:rPr>
          <w:color w:val="221F1F"/>
          <w:spacing w:val="-7"/>
        </w:rPr>
        <w:t xml:space="preserve"> </w:t>
      </w:r>
      <w:r>
        <w:rPr>
          <w:color w:val="221F1F"/>
        </w:rPr>
        <w:t>under</w:t>
      </w:r>
      <w:r>
        <w:rPr>
          <w:color w:val="221F1F"/>
          <w:spacing w:val="-6"/>
        </w:rPr>
        <w:t xml:space="preserve"> </w:t>
      </w:r>
      <w:r>
        <w:rPr>
          <w:color w:val="221F1F"/>
        </w:rPr>
        <w:t>Sub-Clause</w:t>
      </w:r>
      <w:r>
        <w:rPr>
          <w:color w:val="221F1F"/>
          <w:spacing w:val="-6"/>
        </w:rPr>
        <w:t xml:space="preserve"> </w:t>
      </w:r>
      <w:r>
        <w:rPr>
          <w:color w:val="221F1F"/>
        </w:rPr>
        <w:t>15.2</w:t>
      </w:r>
      <w:r>
        <w:rPr>
          <w:color w:val="221F1F"/>
          <w:spacing w:val="-7"/>
        </w:rPr>
        <w:t xml:space="preserve"> </w:t>
      </w:r>
      <w:r>
        <w:rPr>
          <w:color w:val="221F1F"/>
        </w:rPr>
        <w:t>[Termination by Procuring Entity].</w:t>
      </w:r>
    </w:p>
    <w:p w:rsidR="007F6DF9" w:rsidRDefault="00A43FBC">
      <w:pPr>
        <w:pStyle w:val="ListParagraph"/>
        <w:numPr>
          <w:ilvl w:val="2"/>
          <w:numId w:val="122"/>
        </w:numPr>
        <w:tabs>
          <w:tab w:val="left" w:pos="1369"/>
        </w:tabs>
        <w:spacing w:before="244" w:line="230" w:lineRule="auto"/>
        <w:ind w:left="1369" w:right="559" w:hanging="661"/>
        <w:rPr>
          <w:color w:val="221F1F"/>
        </w:rPr>
      </w:pPr>
      <w:r>
        <w:rPr>
          <w:color w:val="221F1F"/>
        </w:rPr>
        <w:t>The</w:t>
      </w:r>
      <w:r>
        <w:rPr>
          <w:color w:val="221F1F"/>
          <w:spacing w:val="-15"/>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ensure</w:t>
      </w:r>
      <w:r>
        <w:rPr>
          <w:color w:val="221F1F"/>
          <w:spacing w:val="-16"/>
        </w:rPr>
        <w:t xml:space="preserve"> </w:t>
      </w:r>
      <w:r>
        <w:rPr>
          <w:color w:val="221F1F"/>
        </w:rPr>
        <w:t>that</w:t>
      </w:r>
      <w:r>
        <w:rPr>
          <w:color w:val="221F1F"/>
          <w:spacing w:val="-14"/>
        </w:rPr>
        <w:t xml:space="preserve"> </w:t>
      </w:r>
      <w:r>
        <w:rPr>
          <w:color w:val="221F1F"/>
        </w:rPr>
        <w:t>the</w:t>
      </w:r>
      <w:r>
        <w:rPr>
          <w:color w:val="221F1F"/>
          <w:spacing w:val="-17"/>
        </w:rPr>
        <w:t xml:space="preserve"> </w:t>
      </w:r>
      <w:r>
        <w:rPr>
          <w:color w:val="221F1F"/>
        </w:rPr>
        <w:t>requirements</w:t>
      </w:r>
      <w:r>
        <w:rPr>
          <w:color w:val="221F1F"/>
          <w:spacing w:val="-14"/>
        </w:rPr>
        <w:t xml:space="preserve"> </w:t>
      </w:r>
      <w:r>
        <w:rPr>
          <w:color w:val="221F1F"/>
        </w:rPr>
        <w:t>imposed</w:t>
      </w:r>
      <w:r>
        <w:rPr>
          <w:color w:val="221F1F"/>
          <w:spacing w:val="-14"/>
        </w:rPr>
        <w:t xml:space="preserve"> </w:t>
      </w:r>
      <w:r>
        <w:rPr>
          <w:color w:val="221F1F"/>
        </w:rPr>
        <w:t>on</w:t>
      </w:r>
      <w:r>
        <w:rPr>
          <w:color w:val="221F1F"/>
          <w:spacing w:val="-15"/>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by</w:t>
      </w:r>
      <w:r>
        <w:rPr>
          <w:color w:val="221F1F"/>
          <w:spacing w:val="-15"/>
        </w:rPr>
        <w:t xml:space="preserve"> </w:t>
      </w:r>
      <w:r>
        <w:rPr>
          <w:color w:val="221F1F"/>
        </w:rPr>
        <w:t>Sub-Clause</w:t>
      </w:r>
      <w:r>
        <w:rPr>
          <w:color w:val="221F1F"/>
          <w:spacing w:val="-14"/>
        </w:rPr>
        <w:t xml:space="preserve"> </w:t>
      </w:r>
      <w:r>
        <w:rPr>
          <w:color w:val="221F1F"/>
        </w:rPr>
        <w:t>1.12</w:t>
      </w:r>
      <w:r>
        <w:rPr>
          <w:color w:val="221F1F"/>
          <w:spacing w:val="-17"/>
        </w:rPr>
        <w:t xml:space="preserve"> </w:t>
      </w:r>
      <w:r>
        <w:rPr>
          <w:color w:val="221F1F"/>
        </w:rPr>
        <w:t>[Confidential Details] apply equally to each Subcontractor.</w:t>
      </w:r>
    </w:p>
    <w:p w:rsidR="007F6DF9" w:rsidRDefault="00A43FBC">
      <w:pPr>
        <w:pStyle w:val="ListParagraph"/>
        <w:numPr>
          <w:ilvl w:val="2"/>
          <w:numId w:val="122"/>
        </w:numPr>
        <w:tabs>
          <w:tab w:val="left" w:pos="1369"/>
        </w:tabs>
        <w:spacing w:before="247" w:line="230" w:lineRule="auto"/>
        <w:ind w:left="1369" w:right="558" w:hanging="661"/>
        <w:rPr>
          <w:color w:val="221F1F"/>
        </w:rPr>
      </w:pPr>
      <w:proofErr w:type="spellStart"/>
      <w:r>
        <w:rPr>
          <w:color w:val="221F1F"/>
        </w:rPr>
        <w:t>Wher</w:t>
      </w:r>
      <w:proofErr w:type="spellEnd"/>
      <w:r>
        <w:rPr>
          <w:color w:val="221F1F"/>
          <w:spacing w:val="-8"/>
        </w:rPr>
        <w:t xml:space="preserve"> </w:t>
      </w:r>
      <w:proofErr w:type="spellStart"/>
      <w:r>
        <w:rPr>
          <w:color w:val="221F1F"/>
        </w:rPr>
        <w:t>epracticable</w:t>
      </w:r>
      <w:proofErr w:type="spellEnd"/>
      <w:r>
        <w:rPr>
          <w:color w:val="221F1F"/>
        </w:rPr>
        <w:t>,</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6"/>
        </w:rPr>
        <w:t xml:space="preserve"> </w:t>
      </w:r>
      <w:r>
        <w:rPr>
          <w:color w:val="221F1F"/>
        </w:rPr>
        <w:t>give</w:t>
      </w:r>
      <w:r>
        <w:rPr>
          <w:color w:val="221F1F"/>
          <w:spacing w:val="-9"/>
        </w:rPr>
        <w:t xml:space="preserve"> </w:t>
      </w:r>
      <w:r>
        <w:rPr>
          <w:color w:val="221F1F"/>
        </w:rPr>
        <w:t>fair</w:t>
      </w:r>
      <w:r>
        <w:rPr>
          <w:color w:val="221F1F"/>
          <w:spacing w:val="-8"/>
        </w:rPr>
        <w:t xml:space="preserve"> </w:t>
      </w:r>
      <w:r>
        <w:rPr>
          <w:color w:val="221F1F"/>
        </w:rPr>
        <w:t>and</w:t>
      </w:r>
      <w:r>
        <w:rPr>
          <w:color w:val="221F1F"/>
          <w:spacing w:val="-7"/>
        </w:rPr>
        <w:t xml:space="preserve"> </w:t>
      </w:r>
      <w:r>
        <w:rPr>
          <w:color w:val="221F1F"/>
        </w:rPr>
        <w:t>reasonable</w:t>
      </w:r>
      <w:r>
        <w:rPr>
          <w:color w:val="221F1F"/>
          <w:spacing w:val="-8"/>
        </w:rPr>
        <w:t xml:space="preserve"> </w:t>
      </w:r>
      <w:r>
        <w:rPr>
          <w:color w:val="221F1F"/>
        </w:rPr>
        <w:t>opportunity</w:t>
      </w:r>
      <w:r>
        <w:rPr>
          <w:color w:val="221F1F"/>
          <w:spacing w:val="-9"/>
        </w:rPr>
        <w:t xml:space="preserve"> </w:t>
      </w:r>
      <w:r>
        <w:rPr>
          <w:color w:val="221F1F"/>
        </w:rPr>
        <w:t>for</w:t>
      </w:r>
      <w:r>
        <w:rPr>
          <w:color w:val="221F1F"/>
          <w:spacing w:val="-8"/>
        </w:rPr>
        <w:t xml:space="preserve"> </w:t>
      </w:r>
      <w:r>
        <w:rPr>
          <w:color w:val="221F1F"/>
        </w:rPr>
        <w:t>contractors</w:t>
      </w:r>
      <w:r>
        <w:rPr>
          <w:color w:val="221F1F"/>
          <w:spacing w:val="-7"/>
        </w:rPr>
        <w:t xml:space="preserve"> </w:t>
      </w:r>
      <w:r>
        <w:rPr>
          <w:color w:val="221F1F"/>
        </w:rPr>
        <w:t>from</w:t>
      </w:r>
      <w:r>
        <w:rPr>
          <w:color w:val="221F1F"/>
          <w:spacing w:val="-8"/>
        </w:rPr>
        <w:t xml:space="preserve"> </w:t>
      </w:r>
      <w:r>
        <w:rPr>
          <w:color w:val="221F1F"/>
        </w:rPr>
        <w:t>Kenya</w:t>
      </w:r>
      <w:r>
        <w:rPr>
          <w:color w:val="221F1F"/>
          <w:spacing w:val="-9"/>
        </w:rPr>
        <w:t xml:space="preserve"> </w:t>
      </w:r>
      <w:r>
        <w:rPr>
          <w:color w:val="221F1F"/>
        </w:rPr>
        <w:t>to</w:t>
      </w:r>
      <w:r>
        <w:rPr>
          <w:color w:val="221F1F"/>
          <w:spacing w:val="-7"/>
        </w:rPr>
        <w:t xml:space="preserve"> </w:t>
      </w:r>
      <w:r>
        <w:rPr>
          <w:color w:val="221F1F"/>
        </w:rPr>
        <w:t>be appointed as Subcontractors.</w:t>
      </w:r>
    </w:p>
    <w:p w:rsidR="007F6DF9" w:rsidRDefault="00A43FBC">
      <w:pPr>
        <w:pStyle w:val="Heading9"/>
        <w:numPr>
          <w:ilvl w:val="1"/>
          <w:numId w:val="122"/>
        </w:numPr>
        <w:tabs>
          <w:tab w:val="left" w:pos="1368"/>
        </w:tabs>
        <w:spacing w:before="235"/>
        <w:ind w:left="1368" w:hanging="660"/>
        <w:rPr>
          <w:color w:val="221F1F"/>
        </w:rPr>
      </w:pPr>
      <w:r>
        <w:rPr>
          <w:color w:val="221F1F"/>
        </w:rPr>
        <w:t>Assignment</w:t>
      </w:r>
      <w:r>
        <w:rPr>
          <w:color w:val="221F1F"/>
          <w:spacing w:val="-5"/>
        </w:rPr>
        <w:t xml:space="preserve"> </w:t>
      </w:r>
      <w:r>
        <w:rPr>
          <w:color w:val="221F1F"/>
        </w:rPr>
        <w:t>of</w:t>
      </w:r>
      <w:r>
        <w:rPr>
          <w:color w:val="221F1F"/>
          <w:spacing w:val="-5"/>
        </w:rPr>
        <w:t xml:space="preserve"> </w:t>
      </w:r>
      <w:r>
        <w:rPr>
          <w:color w:val="221F1F"/>
        </w:rPr>
        <w:t>Benefit</w:t>
      </w:r>
      <w:r>
        <w:rPr>
          <w:color w:val="221F1F"/>
          <w:spacing w:val="-7"/>
        </w:rPr>
        <w:t xml:space="preserve"> </w:t>
      </w:r>
      <w:r>
        <w:rPr>
          <w:color w:val="221F1F"/>
        </w:rPr>
        <w:t>of</w:t>
      </w:r>
      <w:r>
        <w:rPr>
          <w:color w:val="221F1F"/>
          <w:spacing w:val="-7"/>
        </w:rPr>
        <w:t xml:space="preserve"> </w:t>
      </w:r>
      <w:r>
        <w:rPr>
          <w:color w:val="221F1F"/>
          <w:spacing w:val="-2"/>
        </w:rPr>
        <w:t>Subcontract</w:t>
      </w:r>
    </w:p>
    <w:p w:rsidR="007F6DF9" w:rsidRDefault="00A43FBC">
      <w:pPr>
        <w:pStyle w:val="BodyText"/>
        <w:spacing w:before="243" w:line="230" w:lineRule="auto"/>
        <w:ind w:left="1369" w:right="555"/>
        <w:jc w:val="both"/>
      </w:pPr>
      <w:r>
        <w:rPr>
          <w:color w:val="221F1F"/>
        </w:rPr>
        <w:t>If</w:t>
      </w:r>
      <w:r>
        <w:rPr>
          <w:color w:val="221F1F"/>
          <w:spacing w:val="-6"/>
        </w:rPr>
        <w:t xml:space="preserve"> </w:t>
      </w:r>
      <w:r>
        <w:rPr>
          <w:color w:val="221F1F"/>
        </w:rPr>
        <w:t>a</w:t>
      </w:r>
      <w:r>
        <w:rPr>
          <w:color w:val="221F1F"/>
          <w:spacing w:val="-7"/>
        </w:rPr>
        <w:t xml:space="preserve"> </w:t>
      </w:r>
      <w:r>
        <w:rPr>
          <w:color w:val="221F1F"/>
        </w:rPr>
        <w:t>Subcontractor's</w:t>
      </w:r>
      <w:r>
        <w:rPr>
          <w:color w:val="221F1F"/>
          <w:spacing w:val="-6"/>
        </w:rPr>
        <w:t xml:space="preserve"> </w:t>
      </w:r>
      <w:r>
        <w:rPr>
          <w:color w:val="221F1F"/>
        </w:rPr>
        <w:t>obligations</w:t>
      </w:r>
      <w:r>
        <w:rPr>
          <w:color w:val="221F1F"/>
          <w:spacing w:val="-6"/>
        </w:rPr>
        <w:t xml:space="preserve"> </w:t>
      </w:r>
      <w:r>
        <w:rPr>
          <w:color w:val="221F1F"/>
        </w:rPr>
        <w:t>extend</w:t>
      </w:r>
      <w:r>
        <w:rPr>
          <w:color w:val="221F1F"/>
          <w:spacing w:val="-7"/>
        </w:rPr>
        <w:t xml:space="preserve"> </w:t>
      </w:r>
      <w:r>
        <w:rPr>
          <w:color w:val="221F1F"/>
        </w:rPr>
        <w:t>beyond</w:t>
      </w:r>
      <w:r>
        <w:rPr>
          <w:color w:val="221F1F"/>
          <w:spacing w:val="-7"/>
        </w:rPr>
        <w:t xml:space="preserve"> </w:t>
      </w:r>
      <w:r>
        <w:rPr>
          <w:color w:val="221F1F"/>
        </w:rPr>
        <w:t>the</w:t>
      </w:r>
      <w:r>
        <w:rPr>
          <w:color w:val="221F1F"/>
          <w:spacing w:val="-6"/>
        </w:rPr>
        <w:t xml:space="preserve"> </w:t>
      </w:r>
      <w:r>
        <w:rPr>
          <w:color w:val="221F1F"/>
        </w:rPr>
        <w:t>expiry</w:t>
      </w:r>
      <w:r>
        <w:rPr>
          <w:color w:val="221F1F"/>
          <w:spacing w:val="-6"/>
        </w:rPr>
        <w:t xml:space="preserve"> </w:t>
      </w:r>
      <w:r>
        <w:rPr>
          <w:color w:val="221F1F"/>
        </w:rPr>
        <w:t>date</w:t>
      </w:r>
      <w:r>
        <w:rPr>
          <w:color w:val="221F1F"/>
          <w:spacing w:val="-7"/>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relevant</w:t>
      </w:r>
      <w:r>
        <w:rPr>
          <w:color w:val="221F1F"/>
          <w:spacing w:val="-5"/>
        </w:rPr>
        <w:t xml:space="preserve"> </w:t>
      </w:r>
      <w:r>
        <w:rPr>
          <w:color w:val="221F1F"/>
        </w:rPr>
        <w:t>Defects</w:t>
      </w:r>
      <w:r>
        <w:rPr>
          <w:color w:val="221F1F"/>
          <w:spacing w:val="-5"/>
        </w:rPr>
        <w:t xml:space="preserve"> </w:t>
      </w:r>
      <w:r>
        <w:rPr>
          <w:color w:val="221F1F"/>
        </w:rPr>
        <w:t>Notification</w:t>
      </w:r>
      <w:r>
        <w:rPr>
          <w:color w:val="221F1F"/>
          <w:spacing w:val="-7"/>
        </w:rPr>
        <w:t xml:space="preserve"> </w:t>
      </w:r>
      <w:r>
        <w:rPr>
          <w:color w:val="221F1F"/>
        </w:rPr>
        <w:t>Period</w:t>
      </w:r>
      <w:r>
        <w:rPr>
          <w:color w:val="221F1F"/>
          <w:spacing w:val="-7"/>
        </w:rPr>
        <w:t xml:space="preserve"> </w:t>
      </w:r>
      <w:r>
        <w:rPr>
          <w:color w:val="221F1F"/>
        </w:rPr>
        <w:t>and the Engineer, prior to this date, instructs the Contractor to assign the benefit of such obligations to the Procuring Entity, then the Contractor shall do so. Unless otherwise stated in the assignment, the Contractor shall have no liability to the Procuring Entity for the work carried out by the Subcontractor after the assignment takes effect.</w:t>
      </w:r>
    </w:p>
    <w:p w:rsidR="007F6DF9" w:rsidRDefault="00A43FBC">
      <w:pPr>
        <w:pStyle w:val="Heading9"/>
        <w:numPr>
          <w:ilvl w:val="1"/>
          <w:numId w:val="122"/>
        </w:numPr>
        <w:tabs>
          <w:tab w:val="left" w:pos="1368"/>
        </w:tabs>
        <w:spacing w:before="237"/>
        <w:ind w:left="1368" w:hanging="660"/>
        <w:rPr>
          <w:color w:val="221F1F"/>
        </w:rPr>
      </w:pPr>
      <w:r>
        <w:rPr>
          <w:color w:val="221F1F"/>
          <w:spacing w:val="-2"/>
        </w:rPr>
        <w:t>Co-operation</w:t>
      </w:r>
    </w:p>
    <w:p w:rsidR="007F6DF9" w:rsidRDefault="00A43FBC">
      <w:pPr>
        <w:pStyle w:val="ListParagraph"/>
        <w:numPr>
          <w:ilvl w:val="2"/>
          <w:numId w:val="122"/>
        </w:numPr>
        <w:tabs>
          <w:tab w:val="left" w:pos="1369"/>
        </w:tabs>
        <w:spacing w:before="242" w:line="230" w:lineRule="auto"/>
        <w:ind w:left="1369" w:right="565" w:hanging="661"/>
        <w:rPr>
          <w:color w:val="221F1F"/>
        </w:rPr>
      </w:pPr>
      <w:r>
        <w:rPr>
          <w:color w:val="221F1F"/>
        </w:rPr>
        <w:t>The</w:t>
      </w:r>
      <w:r>
        <w:rPr>
          <w:color w:val="221F1F"/>
          <w:spacing w:val="40"/>
        </w:rPr>
        <w:t xml:space="preserve"> </w:t>
      </w:r>
      <w:r>
        <w:rPr>
          <w:color w:val="221F1F"/>
        </w:rPr>
        <w:t>Contractor</w:t>
      </w:r>
      <w:r>
        <w:rPr>
          <w:color w:val="221F1F"/>
          <w:spacing w:val="40"/>
        </w:rPr>
        <w:t xml:space="preserve"> </w:t>
      </w:r>
      <w:r>
        <w:rPr>
          <w:color w:val="221F1F"/>
        </w:rPr>
        <w:t>shall,</w:t>
      </w:r>
      <w:r>
        <w:rPr>
          <w:color w:val="221F1F"/>
          <w:spacing w:val="40"/>
        </w:rPr>
        <w:t xml:space="preserve"> </w:t>
      </w:r>
      <w:r>
        <w:rPr>
          <w:color w:val="221F1F"/>
        </w:rPr>
        <w:t>as</w:t>
      </w:r>
      <w:r>
        <w:rPr>
          <w:color w:val="221F1F"/>
          <w:spacing w:val="40"/>
        </w:rPr>
        <w:t xml:space="preserve"> </w:t>
      </w:r>
      <w:r>
        <w:rPr>
          <w:color w:val="221F1F"/>
        </w:rPr>
        <w:t>specified</w:t>
      </w:r>
      <w:r>
        <w:rPr>
          <w:color w:val="221F1F"/>
          <w:spacing w:val="40"/>
        </w:rPr>
        <w:t xml:space="preserve"> </w:t>
      </w:r>
      <w:r>
        <w:rPr>
          <w:color w:val="221F1F"/>
        </w:rPr>
        <w:t>in</w:t>
      </w:r>
      <w:r>
        <w:rPr>
          <w:color w:val="221F1F"/>
          <w:spacing w:val="40"/>
        </w:rPr>
        <w:t xml:space="preserve"> </w:t>
      </w:r>
      <w:r>
        <w:rPr>
          <w:color w:val="221F1F"/>
        </w:rPr>
        <w:t>the</w:t>
      </w:r>
      <w:r>
        <w:rPr>
          <w:color w:val="221F1F"/>
          <w:spacing w:val="40"/>
        </w:rPr>
        <w:t xml:space="preserve"> </w:t>
      </w:r>
      <w:r>
        <w:rPr>
          <w:color w:val="221F1F"/>
        </w:rPr>
        <w:t>Contract</w:t>
      </w:r>
      <w:r>
        <w:rPr>
          <w:color w:val="221F1F"/>
          <w:spacing w:val="40"/>
        </w:rPr>
        <w:t xml:space="preserve"> </w:t>
      </w:r>
      <w:r>
        <w:rPr>
          <w:color w:val="221F1F"/>
        </w:rPr>
        <w:t>or</w:t>
      </w:r>
      <w:r>
        <w:rPr>
          <w:color w:val="221F1F"/>
          <w:spacing w:val="40"/>
        </w:rPr>
        <w:t xml:space="preserve"> </w:t>
      </w:r>
      <w:r>
        <w:rPr>
          <w:color w:val="221F1F"/>
        </w:rPr>
        <w:t>as</w:t>
      </w:r>
      <w:r>
        <w:rPr>
          <w:color w:val="221F1F"/>
          <w:spacing w:val="40"/>
        </w:rPr>
        <w:t xml:space="preserve"> </w:t>
      </w:r>
      <w:r>
        <w:rPr>
          <w:color w:val="221F1F"/>
        </w:rPr>
        <w:t>instructed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Engineer,</w:t>
      </w:r>
      <w:r>
        <w:rPr>
          <w:color w:val="221F1F"/>
          <w:spacing w:val="40"/>
        </w:rPr>
        <w:t xml:space="preserve"> </w:t>
      </w:r>
      <w:r>
        <w:rPr>
          <w:color w:val="221F1F"/>
        </w:rPr>
        <w:t>allow</w:t>
      </w:r>
      <w:r>
        <w:rPr>
          <w:color w:val="221F1F"/>
          <w:spacing w:val="40"/>
        </w:rPr>
        <w:t xml:space="preserve"> </w:t>
      </w:r>
      <w:r>
        <w:rPr>
          <w:color w:val="221F1F"/>
        </w:rPr>
        <w:t>appropriate opportunities for carrying out work to:</w:t>
      </w:r>
    </w:p>
    <w:p w:rsidR="007F6DF9" w:rsidRDefault="00A43FBC">
      <w:pPr>
        <w:pStyle w:val="ListParagraph"/>
        <w:numPr>
          <w:ilvl w:val="0"/>
          <w:numId w:val="44"/>
        </w:numPr>
        <w:tabs>
          <w:tab w:val="left" w:pos="1860"/>
        </w:tabs>
        <w:spacing w:before="42"/>
        <w:ind w:left="1860" w:hanging="491"/>
      </w:pPr>
      <w:r>
        <w:rPr>
          <w:color w:val="221F1F"/>
        </w:rPr>
        <w:t>The</w:t>
      </w:r>
      <w:r>
        <w:rPr>
          <w:color w:val="221F1F"/>
          <w:spacing w:val="-4"/>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spacing w:val="-2"/>
        </w:rPr>
        <w:t>Personnel,</w:t>
      </w:r>
    </w:p>
    <w:p w:rsidR="007F6DF9" w:rsidRDefault="00A43FBC">
      <w:pPr>
        <w:pStyle w:val="ListParagraph"/>
        <w:numPr>
          <w:ilvl w:val="0"/>
          <w:numId w:val="44"/>
        </w:numPr>
        <w:tabs>
          <w:tab w:val="left" w:pos="1860"/>
        </w:tabs>
        <w:spacing w:before="39"/>
        <w:ind w:left="1860" w:hanging="491"/>
      </w:pPr>
      <w:r>
        <w:rPr>
          <w:color w:val="221F1F"/>
        </w:rPr>
        <w:t>Any</w:t>
      </w:r>
      <w:r>
        <w:rPr>
          <w:color w:val="221F1F"/>
          <w:spacing w:val="-6"/>
        </w:rPr>
        <w:t xml:space="preserve"> </w:t>
      </w:r>
      <w:r>
        <w:rPr>
          <w:color w:val="221F1F"/>
        </w:rPr>
        <w:t>other</w:t>
      </w:r>
      <w:r>
        <w:rPr>
          <w:color w:val="221F1F"/>
          <w:spacing w:val="-5"/>
        </w:rPr>
        <w:t xml:space="preserve"> </w:t>
      </w:r>
      <w:r>
        <w:rPr>
          <w:color w:val="221F1F"/>
        </w:rPr>
        <w:t>contractors</w:t>
      </w:r>
      <w:r>
        <w:rPr>
          <w:color w:val="221F1F"/>
          <w:spacing w:val="-6"/>
        </w:rPr>
        <w:t xml:space="preserve"> </w:t>
      </w:r>
      <w:r>
        <w:rPr>
          <w:color w:val="221F1F"/>
        </w:rPr>
        <w:t>employed</w:t>
      </w:r>
      <w:r>
        <w:rPr>
          <w:color w:val="221F1F"/>
          <w:spacing w:val="-5"/>
        </w:rPr>
        <w:t xml:space="preserve"> </w:t>
      </w:r>
      <w:r>
        <w:rPr>
          <w:color w:val="221F1F"/>
        </w:rPr>
        <w:t>by</w:t>
      </w:r>
      <w:r>
        <w:rPr>
          <w:color w:val="221F1F"/>
          <w:spacing w:val="-9"/>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10"/>
        </w:rPr>
        <w:t xml:space="preserve"> </w:t>
      </w:r>
      <w:r>
        <w:rPr>
          <w:color w:val="221F1F"/>
          <w:spacing w:val="-5"/>
        </w:rPr>
        <w:t>and</w:t>
      </w:r>
    </w:p>
    <w:p w:rsidR="007F6DF9" w:rsidRDefault="00A43FBC">
      <w:pPr>
        <w:pStyle w:val="ListParagraph"/>
        <w:numPr>
          <w:ilvl w:val="0"/>
          <w:numId w:val="44"/>
        </w:numPr>
        <w:tabs>
          <w:tab w:val="left" w:pos="1861"/>
        </w:tabs>
        <w:spacing w:before="48" w:line="230" w:lineRule="auto"/>
        <w:ind w:right="650"/>
      </w:pPr>
      <w:r>
        <w:rPr>
          <w:color w:val="221F1F"/>
        </w:rPr>
        <w:t>The</w:t>
      </w:r>
      <w:r>
        <w:rPr>
          <w:color w:val="221F1F"/>
          <w:spacing w:val="-2"/>
        </w:rPr>
        <w:t xml:space="preserve"> </w:t>
      </w:r>
      <w:r>
        <w:rPr>
          <w:color w:val="221F1F"/>
        </w:rPr>
        <w:t>personnel</w:t>
      </w:r>
      <w:r>
        <w:rPr>
          <w:color w:val="221F1F"/>
          <w:spacing w:val="-1"/>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legally</w:t>
      </w:r>
      <w:r>
        <w:rPr>
          <w:color w:val="221F1F"/>
          <w:spacing w:val="-2"/>
        </w:rPr>
        <w:t xml:space="preserve"> </w:t>
      </w:r>
      <w:r>
        <w:rPr>
          <w:color w:val="221F1F"/>
        </w:rPr>
        <w:t>constituted</w:t>
      </w:r>
      <w:r>
        <w:rPr>
          <w:color w:val="221F1F"/>
          <w:spacing w:val="-2"/>
        </w:rPr>
        <w:t xml:space="preserve"> </w:t>
      </w:r>
      <w:r>
        <w:rPr>
          <w:color w:val="221F1F"/>
        </w:rPr>
        <w:t>public</w:t>
      </w:r>
      <w:r>
        <w:rPr>
          <w:color w:val="221F1F"/>
          <w:spacing w:val="-2"/>
        </w:rPr>
        <w:t xml:space="preserve"> </w:t>
      </w:r>
      <w:r>
        <w:rPr>
          <w:color w:val="221F1F"/>
        </w:rPr>
        <w:t>authorities,</w:t>
      </w:r>
      <w:r>
        <w:rPr>
          <w:color w:val="221F1F"/>
          <w:spacing w:val="-1"/>
        </w:rPr>
        <w:t xml:space="preserve"> </w:t>
      </w:r>
      <w:r>
        <w:rPr>
          <w:color w:val="221F1F"/>
        </w:rPr>
        <w:t>who</w:t>
      </w:r>
      <w:r>
        <w:rPr>
          <w:color w:val="221F1F"/>
          <w:spacing w:val="-5"/>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employed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execution</w:t>
      </w:r>
      <w:r>
        <w:rPr>
          <w:color w:val="221F1F"/>
          <w:spacing w:val="-2"/>
        </w:rPr>
        <w:t xml:space="preserve"> </w:t>
      </w:r>
      <w:r>
        <w:rPr>
          <w:color w:val="221F1F"/>
        </w:rPr>
        <w:t>on or near the Site of any work not included in the Contract.</w:t>
      </w:r>
    </w:p>
    <w:p w:rsidR="007F6DF9" w:rsidRDefault="00A43FBC">
      <w:pPr>
        <w:pStyle w:val="ListParagraph"/>
        <w:numPr>
          <w:ilvl w:val="2"/>
          <w:numId w:val="122"/>
        </w:numPr>
        <w:tabs>
          <w:tab w:val="left" w:pos="1365"/>
          <w:tab w:val="left" w:pos="1378"/>
        </w:tabs>
        <w:spacing w:before="245" w:line="230" w:lineRule="auto"/>
        <w:ind w:left="1378" w:right="560" w:hanging="671"/>
        <w:jc w:val="both"/>
        <w:rPr>
          <w:color w:val="221F1F"/>
        </w:rPr>
      </w:pPr>
      <w:r>
        <w:rPr>
          <w:color w:val="221F1F"/>
        </w:rPr>
        <w:t xml:space="preserve">Any such instruction shall constitute a Variation if and to the extent that it cause </w:t>
      </w:r>
      <w:proofErr w:type="spellStart"/>
      <w:r>
        <w:rPr>
          <w:color w:val="221F1F"/>
        </w:rPr>
        <w:t>sthe</w:t>
      </w:r>
      <w:proofErr w:type="spellEnd"/>
      <w:r>
        <w:rPr>
          <w:color w:val="221F1F"/>
        </w:rPr>
        <w:t xml:space="preserve"> Contractor to suffer delays</w:t>
      </w:r>
      <w:r>
        <w:rPr>
          <w:color w:val="221F1F"/>
          <w:spacing w:val="-2"/>
        </w:rPr>
        <w:t xml:space="preserve"> </w:t>
      </w:r>
      <w:r>
        <w:rPr>
          <w:color w:val="221F1F"/>
        </w:rPr>
        <w:t>and/</w:t>
      </w:r>
      <w:proofErr w:type="spellStart"/>
      <w:r>
        <w:rPr>
          <w:color w:val="221F1F"/>
        </w:rPr>
        <w:t>ortoincur</w:t>
      </w:r>
      <w:proofErr w:type="spellEnd"/>
      <w:r>
        <w:rPr>
          <w:color w:val="221F1F"/>
          <w:spacing w:val="-1"/>
        </w:rPr>
        <w:t xml:space="preserve"> </w:t>
      </w:r>
      <w:r>
        <w:rPr>
          <w:color w:val="221F1F"/>
        </w:rPr>
        <w:t>Unforeseeable Cost.</w:t>
      </w:r>
      <w:r>
        <w:rPr>
          <w:color w:val="221F1F"/>
          <w:spacing w:val="-2"/>
        </w:rPr>
        <w:t xml:space="preserve"> </w:t>
      </w:r>
      <w:r>
        <w:rPr>
          <w:color w:val="221F1F"/>
        </w:rPr>
        <w:t>Services</w:t>
      </w:r>
      <w:r>
        <w:rPr>
          <w:color w:val="221F1F"/>
          <w:spacing w:val="-4"/>
        </w:rPr>
        <w:t xml:space="preserve"> </w:t>
      </w:r>
      <w:r>
        <w:rPr>
          <w:color w:val="221F1F"/>
        </w:rPr>
        <w:t>for</w:t>
      </w:r>
      <w:r>
        <w:rPr>
          <w:color w:val="221F1F"/>
          <w:spacing w:val="-3"/>
        </w:rPr>
        <w:t xml:space="preserve"> </w:t>
      </w:r>
      <w:r>
        <w:rPr>
          <w:color w:val="221F1F"/>
        </w:rPr>
        <w:t>these</w:t>
      </w:r>
      <w:r>
        <w:rPr>
          <w:color w:val="221F1F"/>
          <w:spacing w:val="-2"/>
        </w:rPr>
        <w:t xml:space="preserve"> </w:t>
      </w:r>
      <w:r>
        <w:rPr>
          <w:color w:val="221F1F"/>
        </w:rPr>
        <w:t>personnel</w:t>
      </w:r>
      <w:r>
        <w:rPr>
          <w:color w:val="221F1F"/>
          <w:spacing w:val="-3"/>
        </w:rPr>
        <w:t xml:space="preserve"> </w:t>
      </w:r>
      <w:r>
        <w:rPr>
          <w:color w:val="221F1F"/>
        </w:rPr>
        <w:t>and</w:t>
      </w:r>
      <w:r>
        <w:rPr>
          <w:color w:val="221F1F"/>
          <w:spacing w:val="-2"/>
        </w:rPr>
        <w:t xml:space="preserve"> </w:t>
      </w:r>
      <w:r>
        <w:rPr>
          <w:color w:val="221F1F"/>
        </w:rPr>
        <w:t>other</w:t>
      </w:r>
      <w:r>
        <w:rPr>
          <w:color w:val="221F1F"/>
          <w:spacing w:val="-1"/>
        </w:rPr>
        <w:t xml:space="preserve"> </w:t>
      </w:r>
      <w:r>
        <w:rPr>
          <w:color w:val="221F1F"/>
        </w:rPr>
        <w:t>contractors</w:t>
      </w:r>
      <w:r>
        <w:rPr>
          <w:color w:val="221F1F"/>
          <w:spacing w:val="-3"/>
        </w:rPr>
        <w:t xml:space="preserve"> </w:t>
      </w:r>
      <w:r>
        <w:rPr>
          <w:color w:val="221F1F"/>
        </w:rPr>
        <w:t>may</w:t>
      </w:r>
      <w:r>
        <w:rPr>
          <w:color w:val="221F1F"/>
          <w:spacing w:val="-2"/>
        </w:rPr>
        <w:t xml:space="preserve"> </w:t>
      </w:r>
      <w:r>
        <w:rPr>
          <w:color w:val="221F1F"/>
        </w:rPr>
        <w:t>include</w:t>
      </w:r>
      <w:r>
        <w:rPr>
          <w:color w:val="221F1F"/>
          <w:spacing w:val="-4"/>
        </w:rPr>
        <w:t xml:space="preserve"> </w:t>
      </w:r>
      <w:r>
        <w:rPr>
          <w:color w:val="221F1F"/>
        </w:rPr>
        <w:t>the use</w:t>
      </w:r>
      <w:r>
        <w:rPr>
          <w:color w:val="221F1F"/>
          <w:spacing w:val="-1"/>
        </w:rPr>
        <w:t xml:space="preserve"> </w:t>
      </w:r>
      <w:r>
        <w:rPr>
          <w:color w:val="221F1F"/>
        </w:rPr>
        <w:t>of</w:t>
      </w:r>
      <w:r>
        <w:rPr>
          <w:color w:val="221F1F"/>
          <w:spacing w:val="-2"/>
        </w:rPr>
        <w:t xml:space="preserve"> </w:t>
      </w:r>
      <w:r>
        <w:rPr>
          <w:color w:val="221F1F"/>
        </w:rPr>
        <w:t>Contractor's</w:t>
      </w:r>
      <w:r>
        <w:rPr>
          <w:color w:val="221F1F"/>
          <w:spacing w:val="-2"/>
        </w:rPr>
        <w:t xml:space="preserve"> </w:t>
      </w:r>
      <w:r>
        <w:rPr>
          <w:color w:val="221F1F"/>
        </w:rPr>
        <w:t>Equipment,</w:t>
      </w:r>
      <w:r>
        <w:rPr>
          <w:color w:val="221F1F"/>
          <w:spacing w:val="-2"/>
        </w:rPr>
        <w:t xml:space="preserve"> </w:t>
      </w:r>
      <w:r>
        <w:rPr>
          <w:color w:val="221F1F"/>
        </w:rPr>
        <w:t>Temporary Works</w:t>
      </w:r>
      <w:r>
        <w:rPr>
          <w:color w:val="221F1F"/>
          <w:spacing w:val="-11"/>
        </w:rPr>
        <w:t xml:space="preserve"> </w:t>
      </w:r>
      <w:r>
        <w:rPr>
          <w:color w:val="221F1F"/>
        </w:rPr>
        <w:t>or</w:t>
      </w:r>
      <w:r>
        <w:rPr>
          <w:color w:val="221F1F"/>
          <w:spacing w:val="-2"/>
        </w:rPr>
        <w:t xml:space="preserve"> </w:t>
      </w:r>
      <w:r>
        <w:rPr>
          <w:color w:val="221F1F"/>
        </w:rPr>
        <w:t>access</w:t>
      </w:r>
      <w:r>
        <w:rPr>
          <w:color w:val="221F1F"/>
          <w:spacing w:val="-2"/>
        </w:rPr>
        <w:t xml:space="preserve"> </w:t>
      </w:r>
      <w:r>
        <w:rPr>
          <w:color w:val="221F1F"/>
        </w:rPr>
        <w:t>arrangements</w:t>
      </w:r>
      <w:r>
        <w:rPr>
          <w:color w:val="221F1F"/>
          <w:spacing w:val="-2"/>
        </w:rPr>
        <w:t xml:space="preserve"> </w:t>
      </w:r>
      <w:r>
        <w:rPr>
          <w:color w:val="221F1F"/>
        </w:rPr>
        <w:t>which</w:t>
      </w:r>
      <w:r>
        <w:rPr>
          <w:color w:val="221F1F"/>
          <w:spacing w:val="-2"/>
        </w:rPr>
        <w:t xml:space="preserve"> </w:t>
      </w:r>
      <w:r>
        <w:rPr>
          <w:color w:val="221F1F"/>
        </w:rPr>
        <w:t>are</w:t>
      </w:r>
      <w:r>
        <w:rPr>
          <w:color w:val="221F1F"/>
          <w:spacing w:val="-2"/>
        </w:rPr>
        <w:t xml:space="preserve"> </w:t>
      </w:r>
      <w:r>
        <w:rPr>
          <w:color w:val="221F1F"/>
        </w:rPr>
        <w:t>the</w:t>
      </w:r>
      <w:r>
        <w:rPr>
          <w:color w:val="221F1F"/>
          <w:spacing w:val="-4"/>
        </w:rPr>
        <w:t xml:space="preserve"> </w:t>
      </w:r>
      <w:r>
        <w:rPr>
          <w:color w:val="221F1F"/>
        </w:rPr>
        <w:t>responsibility</w:t>
      </w:r>
      <w:r>
        <w:rPr>
          <w:color w:val="221F1F"/>
          <w:spacing w:val="-2"/>
        </w:rPr>
        <w:t xml:space="preserve"> </w:t>
      </w:r>
      <w:r>
        <w:rPr>
          <w:color w:val="221F1F"/>
        </w:rPr>
        <w:t>of</w:t>
      </w:r>
      <w:r>
        <w:rPr>
          <w:color w:val="221F1F"/>
          <w:spacing w:val="-2"/>
        </w:rPr>
        <w:t xml:space="preserve"> </w:t>
      </w:r>
      <w:r>
        <w:rPr>
          <w:color w:val="221F1F"/>
        </w:rPr>
        <w:t xml:space="preserve">the </w:t>
      </w:r>
      <w:r>
        <w:rPr>
          <w:color w:val="221F1F"/>
          <w:spacing w:val="-2"/>
        </w:rPr>
        <w:t>Contractor.</w:t>
      </w:r>
    </w:p>
    <w:p w:rsidR="007F6DF9" w:rsidRDefault="00A43FBC">
      <w:pPr>
        <w:pStyle w:val="ListParagraph"/>
        <w:numPr>
          <w:ilvl w:val="2"/>
          <w:numId w:val="122"/>
        </w:numPr>
        <w:tabs>
          <w:tab w:val="left" w:pos="1365"/>
          <w:tab w:val="left" w:pos="1378"/>
        </w:tabs>
        <w:spacing w:before="245" w:line="230" w:lineRule="auto"/>
        <w:ind w:left="1378" w:right="560" w:hanging="673"/>
        <w:jc w:val="both"/>
        <w:rPr>
          <w:color w:val="221F1F"/>
        </w:rPr>
      </w:pPr>
      <w:r>
        <w:rPr>
          <w:color w:val="221F1F"/>
        </w:rPr>
        <w:t>If,</w:t>
      </w:r>
      <w:r>
        <w:rPr>
          <w:color w:val="221F1F"/>
          <w:spacing w:val="-6"/>
        </w:rPr>
        <w:t xml:space="preserve"> </w:t>
      </w:r>
      <w:r>
        <w:rPr>
          <w:color w:val="221F1F"/>
        </w:rPr>
        <w:t>under</w:t>
      </w:r>
      <w:r>
        <w:rPr>
          <w:color w:val="221F1F"/>
          <w:spacing w:val="-8"/>
        </w:rPr>
        <w:t xml:space="preserve"> </w:t>
      </w:r>
      <w:r>
        <w:rPr>
          <w:color w:val="221F1F"/>
        </w:rPr>
        <w:t>the</w:t>
      </w:r>
      <w:r>
        <w:rPr>
          <w:color w:val="221F1F"/>
          <w:spacing w:val="-8"/>
        </w:rPr>
        <w:t xml:space="preserve"> </w:t>
      </w:r>
      <w:r>
        <w:rPr>
          <w:color w:val="221F1F"/>
        </w:rPr>
        <w:t>Contract,</w:t>
      </w:r>
      <w:r>
        <w:rPr>
          <w:color w:val="221F1F"/>
          <w:spacing w:val="-8"/>
        </w:rPr>
        <w:t xml:space="preserve"> </w:t>
      </w:r>
      <w:r>
        <w:rPr>
          <w:color w:val="221F1F"/>
        </w:rPr>
        <w:t>the</w:t>
      </w:r>
      <w:r>
        <w:rPr>
          <w:color w:val="221F1F"/>
          <w:spacing w:val="-5"/>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is</w:t>
      </w:r>
      <w:r>
        <w:rPr>
          <w:color w:val="221F1F"/>
          <w:spacing w:val="-8"/>
        </w:rPr>
        <w:t xml:space="preserve"> </w:t>
      </w:r>
      <w:r>
        <w:rPr>
          <w:color w:val="221F1F"/>
        </w:rPr>
        <w:t>required</w:t>
      </w:r>
      <w:r>
        <w:rPr>
          <w:color w:val="221F1F"/>
          <w:spacing w:val="-10"/>
        </w:rPr>
        <w:t xml:space="preserve"> </w:t>
      </w:r>
      <w:r>
        <w:rPr>
          <w:color w:val="221F1F"/>
        </w:rPr>
        <w:t>to</w:t>
      </w:r>
      <w:r>
        <w:rPr>
          <w:color w:val="221F1F"/>
          <w:spacing w:val="-6"/>
        </w:rPr>
        <w:t xml:space="preserve"> </w:t>
      </w:r>
      <w:r>
        <w:rPr>
          <w:color w:val="221F1F"/>
        </w:rPr>
        <w:t>give</w:t>
      </w:r>
      <w:r>
        <w:rPr>
          <w:color w:val="221F1F"/>
          <w:spacing w:val="-8"/>
        </w:rPr>
        <w:t xml:space="preserve"> </w:t>
      </w:r>
      <w:r>
        <w:rPr>
          <w:color w:val="221F1F"/>
        </w:rPr>
        <w:t>to</w:t>
      </w:r>
      <w:r>
        <w:rPr>
          <w:color w:val="221F1F"/>
          <w:spacing w:val="-8"/>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possession</w:t>
      </w:r>
      <w:r>
        <w:rPr>
          <w:color w:val="221F1F"/>
          <w:spacing w:val="-8"/>
        </w:rPr>
        <w:t xml:space="preserve"> </w:t>
      </w:r>
      <w:r>
        <w:rPr>
          <w:color w:val="221F1F"/>
        </w:rPr>
        <w:t>of</w:t>
      </w:r>
      <w:r>
        <w:rPr>
          <w:color w:val="221F1F"/>
          <w:spacing w:val="-8"/>
        </w:rPr>
        <w:t xml:space="preserve"> </w:t>
      </w:r>
      <w:r>
        <w:rPr>
          <w:color w:val="221F1F"/>
        </w:rPr>
        <w:t>any</w:t>
      </w:r>
      <w:r>
        <w:rPr>
          <w:color w:val="221F1F"/>
          <w:spacing w:val="-10"/>
        </w:rPr>
        <w:t xml:space="preserve"> </w:t>
      </w:r>
      <w:r>
        <w:rPr>
          <w:color w:val="221F1F"/>
        </w:rPr>
        <w:t>foundation, structure, plant or means of access in accordance with Contractor's Documents, the Contractor shall submit such documents to the Architect in the time and manner stated in the Specification.</w:t>
      </w:r>
    </w:p>
    <w:p w:rsidR="007F6DF9" w:rsidRDefault="007F6DF9">
      <w:pPr>
        <w:pStyle w:val="BodyText"/>
        <w:spacing w:before="213"/>
      </w:pPr>
    </w:p>
    <w:p w:rsidR="007F6DF9" w:rsidRDefault="00A43FBC">
      <w:pPr>
        <w:pStyle w:val="Heading9"/>
        <w:numPr>
          <w:ilvl w:val="1"/>
          <w:numId w:val="122"/>
        </w:numPr>
        <w:tabs>
          <w:tab w:val="left" w:pos="1376"/>
        </w:tabs>
        <w:ind w:left="1376" w:hanging="661"/>
        <w:rPr>
          <w:color w:val="221F1F"/>
        </w:rPr>
      </w:pPr>
      <w:r>
        <w:rPr>
          <w:color w:val="221F1F"/>
        </w:rPr>
        <w:t>Setting</w:t>
      </w:r>
      <w:r>
        <w:rPr>
          <w:color w:val="221F1F"/>
          <w:spacing w:val="-7"/>
        </w:rPr>
        <w:t xml:space="preserve"> </w:t>
      </w:r>
      <w:r>
        <w:rPr>
          <w:color w:val="221F1F"/>
        </w:rPr>
        <w:t>Out</w:t>
      </w:r>
      <w:r>
        <w:rPr>
          <w:color w:val="221F1F"/>
          <w:spacing w:val="-1"/>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spacing w:val="-4"/>
        </w:rPr>
        <w:t>Works</w:t>
      </w:r>
    </w:p>
    <w:p w:rsidR="007F6DF9" w:rsidRDefault="00A43FBC">
      <w:pPr>
        <w:pStyle w:val="ListParagraph"/>
        <w:numPr>
          <w:ilvl w:val="2"/>
          <w:numId w:val="122"/>
        </w:numPr>
        <w:tabs>
          <w:tab w:val="left" w:pos="1373"/>
          <w:tab w:val="left" w:pos="1388"/>
        </w:tabs>
        <w:spacing w:before="242" w:line="230" w:lineRule="auto"/>
        <w:ind w:left="1388" w:right="556" w:hanging="673"/>
        <w:jc w:val="both"/>
        <w:rPr>
          <w:color w:val="221F1F"/>
        </w:rPr>
      </w:pPr>
      <w:r>
        <w:rPr>
          <w:color w:val="221F1F"/>
        </w:rPr>
        <w:t>The</w:t>
      </w:r>
      <w:r>
        <w:rPr>
          <w:color w:val="221F1F"/>
          <w:spacing w:val="-3"/>
        </w:rPr>
        <w:t xml:space="preserve"> </w:t>
      </w:r>
      <w:r>
        <w:rPr>
          <w:color w:val="221F1F"/>
        </w:rPr>
        <w:t>Contractor</w:t>
      </w:r>
      <w:r>
        <w:rPr>
          <w:color w:val="221F1F"/>
          <w:spacing w:val="-4"/>
        </w:rPr>
        <w:t xml:space="preserve"> </w:t>
      </w:r>
      <w:r>
        <w:rPr>
          <w:color w:val="221F1F"/>
        </w:rPr>
        <w:t>shall</w:t>
      </w:r>
      <w:r>
        <w:rPr>
          <w:color w:val="221F1F"/>
          <w:spacing w:val="-2"/>
        </w:rPr>
        <w:t xml:space="preserve"> </w:t>
      </w:r>
      <w:r>
        <w:rPr>
          <w:color w:val="221F1F"/>
        </w:rPr>
        <w:t>set</w:t>
      </w:r>
      <w:r>
        <w:rPr>
          <w:color w:val="221F1F"/>
          <w:spacing w:val="-2"/>
        </w:rPr>
        <w:t xml:space="preserve"> </w:t>
      </w:r>
      <w:r>
        <w:rPr>
          <w:color w:val="221F1F"/>
        </w:rPr>
        <w:t>out</w:t>
      </w:r>
      <w:r>
        <w:rPr>
          <w:color w:val="221F1F"/>
          <w:spacing w:val="-4"/>
        </w:rPr>
        <w:t xml:space="preserve"> </w:t>
      </w:r>
      <w:r>
        <w:rPr>
          <w:color w:val="221F1F"/>
        </w:rPr>
        <w:t>the</w:t>
      </w:r>
      <w:r>
        <w:rPr>
          <w:color w:val="221F1F"/>
          <w:spacing w:val="-3"/>
        </w:rPr>
        <w:t xml:space="preserve"> </w:t>
      </w:r>
      <w:r>
        <w:rPr>
          <w:color w:val="221F1F"/>
        </w:rPr>
        <w:t>Works</w:t>
      </w:r>
      <w:r>
        <w:rPr>
          <w:color w:val="221F1F"/>
          <w:spacing w:val="-12"/>
        </w:rPr>
        <w:t xml:space="preserve"> </w:t>
      </w:r>
      <w:r>
        <w:rPr>
          <w:color w:val="221F1F"/>
        </w:rPr>
        <w:t>in</w:t>
      </w:r>
      <w:r>
        <w:rPr>
          <w:color w:val="221F1F"/>
          <w:spacing w:val="-3"/>
        </w:rPr>
        <w:t xml:space="preserve"> </w:t>
      </w:r>
      <w:r>
        <w:rPr>
          <w:color w:val="221F1F"/>
        </w:rPr>
        <w:t>relation</w:t>
      </w:r>
      <w:r>
        <w:rPr>
          <w:color w:val="221F1F"/>
          <w:spacing w:val="-3"/>
        </w:rPr>
        <w:t xml:space="preserve"> </w:t>
      </w:r>
      <w:r>
        <w:rPr>
          <w:color w:val="221F1F"/>
        </w:rPr>
        <w:t>to</w:t>
      </w:r>
      <w:r>
        <w:rPr>
          <w:color w:val="221F1F"/>
          <w:spacing w:val="-3"/>
        </w:rPr>
        <w:t xml:space="preserve"> </w:t>
      </w:r>
      <w:r>
        <w:rPr>
          <w:color w:val="221F1F"/>
        </w:rPr>
        <w:t>original</w:t>
      </w:r>
      <w:r>
        <w:rPr>
          <w:color w:val="221F1F"/>
          <w:spacing w:val="-1"/>
        </w:rPr>
        <w:t xml:space="preserve"> </w:t>
      </w:r>
      <w:r>
        <w:rPr>
          <w:color w:val="221F1F"/>
        </w:rPr>
        <w:t>points,</w:t>
      </w:r>
      <w:r>
        <w:rPr>
          <w:color w:val="221F1F"/>
          <w:spacing w:val="-3"/>
        </w:rPr>
        <w:t xml:space="preserve"> </w:t>
      </w:r>
      <w:r>
        <w:rPr>
          <w:color w:val="221F1F"/>
        </w:rPr>
        <w:t>lines</w:t>
      </w:r>
      <w:r>
        <w:rPr>
          <w:color w:val="221F1F"/>
          <w:spacing w:val="-2"/>
        </w:rPr>
        <w:t xml:space="preserve"> </w:t>
      </w:r>
      <w:r>
        <w:rPr>
          <w:color w:val="221F1F"/>
        </w:rPr>
        <w:t>and</w:t>
      </w:r>
      <w:r>
        <w:rPr>
          <w:color w:val="221F1F"/>
          <w:spacing w:val="-3"/>
        </w:rPr>
        <w:t xml:space="preserve"> </w:t>
      </w:r>
      <w:r>
        <w:rPr>
          <w:color w:val="221F1F"/>
        </w:rPr>
        <w:t>levels</w:t>
      </w:r>
      <w:r>
        <w:rPr>
          <w:color w:val="221F1F"/>
          <w:spacing w:val="-2"/>
        </w:rPr>
        <w:t xml:space="preserve"> </w:t>
      </w:r>
      <w:r>
        <w:rPr>
          <w:color w:val="221F1F"/>
        </w:rPr>
        <w:t>of</w:t>
      </w:r>
      <w:r>
        <w:rPr>
          <w:color w:val="221F1F"/>
          <w:spacing w:val="-2"/>
        </w:rPr>
        <w:t xml:space="preserve"> </w:t>
      </w:r>
      <w:r>
        <w:rPr>
          <w:color w:val="221F1F"/>
        </w:rPr>
        <w:t>reference</w:t>
      </w:r>
      <w:r>
        <w:rPr>
          <w:color w:val="221F1F"/>
          <w:spacing w:val="-2"/>
        </w:rPr>
        <w:t xml:space="preserve"> </w:t>
      </w:r>
      <w:r>
        <w:rPr>
          <w:color w:val="221F1F"/>
        </w:rPr>
        <w:t>specified</w:t>
      </w:r>
      <w:r>
        <w:rPr>
          <w:color w:val="221F1F"/>
          <w:spacing w:val="-2"/>
        </w:rPr>
        <w:t xml:space="preserve"> </w:t>
      </w:r>
      <w:r>
        <w:rPr>
          <w:color w:val="221F1F"/>
        </w:rPr>
        <w:t>in the</w:t>
      </w:r>
      <w:r>
        <w:rPr>
          <w:color w:val="221F1F"/>
          <w:spacing w:val="-3"/>
        </w:rPr>
        <w:t xml:space="preserve"> </w:t>
      </w:r>
      <w:r>
        <w:rPr>
          <w:color w:val="221F1F"/>
        </w:rPr>
        <w:t>Contractor</w:t>
      </w:r>
      <w:r>
        <w:rPr>
          <w:color w:val="221F1F"/>
          <w:spacing w:val="-2"/>
        </w:rPr>
        <w:t xml:space="preserve"> </w:t>
      </w:r>
      <w:r>
        <w:rPr>
          <w:color w:val="221F1F"/>
        </w:rPr>
        <w:t>notified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The</w:t>
      </w:r>
      <w:r>
        <w:rPr>
          <w:color w:val="221F1F"/>
          <w:spacing w:val="-5"/>
        </w:rPr>
        <w:t xml:space="preserve"> </w:t>
      </w:r>
      <w:r>
        <w:rPr>
          <w:color w:val="221F1F"/>
        </w:rPr>
        <w:t>Contractor</w:t>
      </w:r>
      <w:r>
        <w:rPr>
          <w:color w:val="221F1F"/>
          <w:spacing w:val="-1"/>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responsible</w:t>
      </w:r>
      <w:r>
        <w:rPr>
          <w:color w:val="221F1F"/>
          <w:spacing w:val="-2"/>
        </w:rPr>
        <w:t xml:space="preserve"> </w:t>
      </w:r>
      <w:r>
        <w:rPr>
          <w:color w:val="221F1F"/>
        </w:rPr>
        <w:t>for</w:t>
      </w:r>
      <w:r>
        <w:rPr>
          <w:color w:val="221F1F"/>
          <w:spacing w:val="-4"/>
        </w:rPr>
        <w:t xml:space="preserve"> </w:t>
      </w:r>
      <w:r>
        <w:rPr>
          <w:color w:val="221F1F"/>
        </w:rPr>
        <w:t>the</w:t>
      </w:r>
      <w:r>
        <w:rPr>
          <w:color w:val="221F1F"/>
          <w:spacing w:val="-2"/>
        </w:rPr>
        <w:t xml:space="preserve"> </w:t>
      </w:r>
      <w:r>
        <w:rPr>
          <w:color w:val="221F1F"/>
        </w:rPr>
        <w:t>correct</w:t>
      </w:r>
      <w:r>
        <w:rPr>
          <w:color w:val="221F1F"/>
          <w:spacing w:val="-2"/>
        </w:rPr>
        <w:t xml:space="preserve"> </w:t>
      </w:r>
      <w:r>
        <w:rPr>
          <w:color w:val="221F1F"/>
        </w:rPr>
        <w:t>positioning</w:t>
      </w:r>
      <w:r>
        <w:rPr>
          <w:color w:val="221F1F"/>
          <w:spacing w:val="-3"/>
        </w:rPr>
        <w:t xml:space="preserve"> </w:t>
      </w:r>
      <w:r>
        <w:rPr>
          <w:color w:val="221F1F"/>
        </w:rPr>
        <w:t>of</w:t>
      </w:r>
      <w:r>
        <w:rPr>
          <w:color w:val="221F1F"/>
          <w:spacing w:val="-4"/>
        </w:rPr>
        <w:t xml:space="preserve"> </w:t>
      </w:r>
      <w:r>
        <w:rPr>
          <w:color w:val="221F1F"/>
        </w:rPr>
        <w:t>all parts</w:t>
      </w:r>
      <w:r>
        <w:rPr>
          <w:color w:val="221F1F"/>
          <w:spacing w:val="-3"/>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and</w:t>
      </w:r>
      <w:r>
        <w:rPr>
          <w:color w:val="221F1F"/>
          <w:spacing w:val="-5"/>
        </w:rPr>
        <w:t xml:space="preserve"> </w:t>
      </w:r>
      <w:r>
        <w:rPr>
          <w:color w:val="221F1F"/>
        </w:rPr>
        <w:t>shall</w:t>
      </w:r>
      <w:r>
        <w:rPr>
          <w:color w:val="221F1F"/>
          <w:spacing w:val="-2"/>
        </w:rPr>
        <w:t xml:space="preserve"> </w:t>
      </w:r>
      <w:r>
        <w:rPr>
          <w:color w:val="221F1F"/>
        </w:rPr>
        <w:t>rectify</w:t>
      </w:r>
      <w:r>
        <w:rPr>
          <w:color w:val="221F1F"/>
          <w:spacing w:val="-3"/>
        </w:rPr>
        <w:t xml:space="preserve"> </w:t>
      </w:r>
      <w:r>
        <w:rPr>
          <w:color w:val="221F1F"/>
        </w:rPr>
        <w:t>any</w:t>
      </w:r>
      <w:r>
        <w:rPr>
          <w:color w:val="221F1F"/>
          <w:spacing w:val="-5"/>
        </w:rPr>
        <w:t xml:space="preserve"> </w:t>
      </w:r>
      <w:r>
        <w:rPr>
          <w:color w:val="221F1F"/>
        </w:rPr>
        <w:t>error</w:t>
      </w:r>
      <w:r>
        <w:rPr>
          <w:color w:val="221F1F"/>
          <w:spacing w:val="-2"/>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positions,</w:t>
      </w:r>
      <w:r>
        <w:rPr>
          <w:color w:val="221F1F"/>
          <w:spacing w:val="-4"/>
        </w:rPr>
        <w:t xml:space="preserve"> </w:t>
      </w:r>
      <w:r>
        <w:rPr>
          <w:color w:val="221F1F"/>
        </w:rPr>
        <w:t>levels,</w:t>
      </w:r>
      <w:r>
        <w:rPr>
          <w:color w:val="221F1F"/>
          <w:spacing w:val="-3"/>
        </w:rPr>
        <w:t xml:space="preserve"> </w:t>
      </w:r>
      <w:r>
        <w:rPr>
          <w:color w:val="221F1F"/>
        </w:rPr>
        <w:t>dimensions</w:t>
      </w:r>
      <w:r>
        <w:rPr>
          <w:color w:val="221F1F"/>
          <w:spacing w:val="-5"/>
        </w:rPr>
        <w:t xml:space="preserve"> </w:t>
      </w:r>
      <w:r>
        <w:rPr>
          <w:color w:val="221F1F"/>
        </w:rPr>
        <w:t>or</w:t>
      </w:r>
      <w:r>
        <w:rPr>
          <w:color w:val="221F1F"/>
          <w:spacing w:val="-2"/>
        </w:rPr>
        <w:t xml:space="preserve"> </w:t>
      </w:r>
      <w:r>
        <w:rPr>
          <w:color w:val="221F1F"/>
        </w:rPr>
        <w:t>alignment</w:t>
      </w:r>
      <w:r>
        <w:rPr>
          <w:color w:val="221F1F"/>
          <w:spacing w:val="-2"/>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p>
    <w:p w:rsidR="007F6DF9" w:rsidRDefault="00A43FBC">
      <w:pPr>
        <w:pStyle w:val="ListParagraph"/>
        <w:numPr>
          <w:ilvl w:val="2"/>
          <w:numId w:val="122"/>
        </w:numPr>
        <w:tabs>
          <w:tab w:val="left" w:pos="1372"/>
          <w:tab w:val="left" w:pos="1385"/>
        </w:tabs>
        <w:spacing w:before="247" w:line="230" w:lineRule="auto"/>
        <w:ind w:left="1385" w:right="558" w:hanging="671"/>
        <w:jc w:val="both"/>
        <w:rPr>
          <w:color w:val="221F1F"/>
        </w:rPr>
      </w:pPr>
      <w:r>
        <w:rPr>
          <w:color w:val="221F1F"/>
        </w:rPr>
        <w:t>The Procuring Entity shall be responsible for any errors in these specified or notified items of reference, but the Contractor shall use reasonable efforts to verify their accuracy before they are used.</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line="230" w:lineRule="auto"/>
        <w:ind w:left="1385" w:right="559" w:hanging="673"/>
        <w:jc w:val="both"/>
      </w:pPr>
      <w:proofErr w:type="gramStart"/>
      <w:r>
        <w:rPr>
          <w:color w:val="221F1F"/>
        </w:rPr>
        <w:lastRenderedPageBreak/>
        <w:t>4.73</w:t>
      </w:r>
      <w:r>
        <w:rPr>
          <w:color w:val="221F1F"/>
          <w:spacing w:val="80"/>
        </w:rPr>
        <w:t xml:space="preserve">  </w:t>
      </w:r>
      <w:r>
        <w:rPr>
          <w:color w:val="221F1F"/>
        </w:rPr>
        <w:t>If</w:t>
      </w:r>
      <w:proofErr w:type="gramEnd"/>
      <w:r>
        <w:rPr>
          <w:color w:val="221F1F"/>
          <w:spacing w:val="-2"/>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suffers</w:t>
      </w:r>
      <w:r>
        <w:rPr>
          <w:color w:val="221F1F"/>
          <w:spacing w:val="-4"/>
        </w:rPr>
        <w:t xml:space="preserve"> </w:t>
      </w:r>
      <w:r>
        <w:rPr>
          <w:color w:val="221F1F"/>
        </w:rPr>
        <w:t>delay</w:t>
      </w:r>
      <w:r>
        <w:rPr>
          <w:color w:val="221F1F"/>
          <w:spacing w:val="-3"/>
        </w:rPr>
        <w:t xml:space="preserve"> </w:t>
      </w:r>
      <w:r>
        <w:rPr>
          <w:color w:val="221F1F"/>
        </w:rPr>
        <w:t>and/or</w:t>
      </w:r>
      <w:r>
        <w:rPr>
          <w:color w:val="221F1F"/>
          <w:spacing w:val="-2"/>
        </w:rPr>
        <w:t xml:space="preserve"> </w:t>
      </w:r>
      <w:r>
        <w:rPr>
          <w:color w:val="221F1F"/>
        </w:rPr>
        <w:t>incurs</w:t>
      </w:r>
      <w:r>
        <w:rPr>
          <w:color w:val="221F1F"/>
          <w:spacing w:val="-3"/>
        </w:rPr>
        <w:t xml:space="preserve"> </w:t>
      </w:r>
      <w:r>
        <w:rPr>
          <w:color w:val="221F1F"/>
        </w:rPr>
        <w:t>Cost</w:t>
      </w:r>
      <w:r>
        <w:rPr>
          <w:color w:val="221F1F"/>
          <w:spacing w:val="-3"/>
        </w:rPr>
        <w:t xml:space="preserve"> </w:t>
      </w:r>
      <w:r>
        <w:rPr>
          <w:color w:val="221F1F"/>
        </w:rPr>
        <w:t>from</w:t>
      </w:r>
      <w:r>
        <w:rPr>
          <w:color w:val="221F1F"/>
          <w:spacing w:val="-3"/>
        </w:rPr>
        <w:t xml:space="preserve"> </w:t>
      </w:r>
      <w:r>
        <w:rPr>
          <w:color w:val="221F1F"/>
        </w:rPr>
        <w:t>executing</w:t>
      </w:r>
      <w:r>
        <w:rPr>
          <w:color w:val="221F1F"/>
          <w:spacing w:val="-3"/>
        </w:rPr>
        <w:t xml:space="preserve"> </w:t>
      </w:r>
      <w:r>
        <w:rPr>
          <w:color w:val="221F1F"/>
        </w:rPr>
        <w:t>work</w:t>
      </w:r>
      <w:r>
        <w:rPr>
          <w:color w:val="221F1F"/>
          <w:spacing w:val="-3"/>
        </w:rPr>
        <w:t xml:space="preserve"> </w:t>
      </w:r>
      <w:r>
        <w:rPr>
          <w:color w:val="221F1F"/>
        </w:rPr>
        <w:t>which</w:t>
      </w:r>
      <w:r>
        <w:rPr>
          <w:color w:val="221F1F"/>
          <w:spacing w:val="-3"/>
        </w:rPr>
        <w:t xml:space="preserve"> </w:t>
      </w:r>
      <w:r>
        <w:rPr>
          <w:color w:val="221F1F"/>
        </w:rPr>
        <w:t>was</w:t>
      </w:r>
      <w:r>
        <w:rPr>
          <w:color w:val="221F1F"/>
          <w:spacing w:val="-6"/>
        </w:rPr>
        <w:t xml:space="preserve"> </w:t>
      </w:r>
      <w:r>
        <w:rPr>
          <w:color w:val="221F1F"/>
        </w:rPr>
        <w:t>necessitated</w:t>
      </w:r>
      <w:r>
        <w:rPr>
          <w:color w:val="221F1F"/>
          <w:spacing w:val="-4"/>
        </w:rPr>
        <w:t xml:space="preserve"> </w:t>
      </w:r>
      <w:r>
        <w:rPr>
          <w:color w:val="221F1F"/>
        </w:rPr>
        <w:t>by</w:t>
      </w:r>
      <w:r>
        <w:rPr>
          <w:color w:val="221F1F"/>
          <w:spacing w:val="-3"/>
        </w:rPr>
        <w:t xml:space="preserve"> </w:t>
      </w:r>
      <w:r>
        <w:rPr>
          <w:color w:val="221F1F"/>
        </w:rPr>
        <w:t>an</w:t>
      </w:r>
      <w:r>
        <w:rPr>
          <w:color w:val="221F1F"/>
          <w:spacing w:val="-4"/>
        </w:rPr>
        <w:t xml:space="preserve"> </w:t>
      </w:r>
      <w:proofErr w:type="spellStart"/>
      <w:r>
        <w:rPr>
          <w:color w:val="221F1F"/>
        </w:rPr>
        <w:t>errorin</w:t>
      </w:r>
      <w:proofErr w:type="spellEnd"/>
      <w:r>
        <w:rPr>
          <w:color w:val="221F1F"/>
        </w:rPr>
        <w:t xml:space="preserve"> these</w:t>
      </w:r>
      <w:r>
        <w:rPr>
          <w:color w:val="221F1F"/>
          <w:spacing w:val="-1"/>
        </w:rPr>
        <w:t xml:space="preserve"> </w:t>
      </w:r>
      <w:r>
        <w:rPr>
          <w:color w:val="221F1F"/>
        </w:rPr>
        <w:t>items</w:t>
      </w:r>
      <w:r>
        <w:rPr>
          <w:color w:val="221F1F"/>
          <w:spacing w:val="-1"/>
        </w:rPr>
        <w:t xml:space="preserve"> </w:t>
      </w:r>
      <w:r>
        <w:rPr>
          <w:color w:val="221F1F"/>
        </w:rPr>
        <w:t>of</w:t>
      </w:r>
      <w:r>
        <w:rPr>
          <w:color w:val="221F1F"/>
          <w:spacing w:val="-3"/>
        </w:rPr>
        <w:t xml:space="preserve"> </w:t>
      </w:r>
      <w:r>
        <w:rPr>
          <w:color w:val="221F1F"/>
        </w:rPr>
        <w:t>reference,</w:t>
      </w:r>
      <w:r>
        <w:rPr>
          <w:color w:val="221F1F"/>
          <w:spacing w:val="-3"/>
        </w:rPr>
        <w:t xml:space="preserve"> </w:t>
      </w:r>
      <w:r>
        <w:rPr>
          <w:color w:val="221F1F"/>
        </w:rPr>
        <w:t>and</w:t>
      </w:r>
      <w:r>
        <w:rPr>
          <w:color w:val="221F1F"/>
          <w:spacing w:val="-1"/>
        </w:rPr>
        <w:t xml:space="preserve"> </w:t>
      </w:r>
      <w:r>
        <w:rPr>
          <w:color w:val="221F1F"/>
        </w:rPr>
        <w:t>an</w:t>
      </w:r>
      <w:r>
        <w:rPr>
          <w:color w:val="221F1F"/>
          <w:spacing w:val="-1"/>
        </w:rPr>
        <w:t xml:space="preserve"> </w:t>
      </w:r>
      <w:r>
        <w:rPr>
          <w:color w:val="221F1F"/>
        </w:rPr>
        <w:t>experienced</w:t>
      </w:r>
      <w:r>
        <w:rPr>
          <w:color w:val="221F1F"/>
          <w:spacing w:val="-1"/>
        </w:rPr>
        <w:t xml:space="preserve"> </w:t>
      </w:r>
      <w:r>
        <w:rPr>
          <w:color w:val="221F1F"/>
        </w:rPr>
        <w:t>contractor</w:t>
      </w:r>
      <w:r>
        <w:rPr>
          <w:color w:val="221F1F"/>
          <w:spacing w:val="-3"/>
        </w:rPr>
        <w:t xml:space="preserve"> </w:t>
      </w:r>
      <w:r>
        <w:rPr>
          <w:color w:val="221F1F"/>
        </w:rPr>
        <w:t>could</w:t>
      </w:r>
      <w:r>
        <w:rPr>
          <w:color w:val="221F1F"/>
          <w:spacing w:val="-1"/>
        </w:rPr>
        <w:t xml:space="preserve"> </w:t>
      </w:r>
      <w:r>
        <w:rPr>
          <w:color w:val="221F1F"/>
        </w:rPr>
        <w:t>not reasonably</w:t>
      </w:r>
      <w:r>
        <w:rPr>
          <w:color w:val="221F1F"/>
          <w:spacing w:val="-1"/>
        </w:rPr>
        <w:t xml:space="preserve"> </w:t>
      </w:r>
      <w:r>
        <w:rPr>
          <w:color w:val="221F1F"/>
        </w:rPr>
        <w:t>have</w:t>
      </w:r>
      <w:r>
        <w:rPr>
          <w:color w:val="221F1F"/>
          <w:spacing w:val="-3"/>
        </w:rPr>
        <w:t xml:space="preserve"> </w:t>
      </w:r>
      <w:r>
        <w:rPr>
          <w:color w:val="221F1F"/>
        </w:rPr>
        <w:t>discovered</w:t>
      </w:r>
      <w:r>
        <w:rPr>
          <w:color w:val="221F1F"/>
          <w:spacing w:val="-1"/>
        </w:rPr>
        <w:t xml:space="preserve"> </w:t>
      </w:r>
      <w:r>
        <w:rPr>
          <w:color w:val="221F1F"/>
        </w:rPr>
        <w:t>such</w:t>
      </w:r>
      <w:r>
        <w:rPr>
          <w:color w:val="221F1F"/>
          <w:spacing w:val="-1"/>
        </w:rPr>
        <w:t xml:space="preserve"> </w:t>
      </w:r>
      <w:r>
        <w:rPr>
          <w:color w:val="221F1F"/>
        </w:rPr>
        <w:t>error</w:t>
      </w:r>
      <w:r>
        <w:rPr>
          <w:color w:val="221F1F"/>
          <w:spacing w:val="-3"/>
        </w:rPr>
        <w:t xml:space="preserve"> </w:t>
      </w:r>
      <w:r>
        <w:rPr>
          <w:color w:val="221F1F"/>
        </w:rPr>
        <w:t>and avoided</w:t>
      </w:r>
      <w:r>
        <w:rPr>
          <w:color w:val="221F1F"/>
          <w:spacing w:val="-1"/>
        </w:rPr>
        <w:t xml:space="preserve"> </w:t>
      </w:r>
      <w:r>
        <w:rPr>
          <w:color w:val="221F1F"/>
        </w:rPr>
        <w:t>this delay</w:t>
      </w:r>
      <w:r>
        <w:rPr>
          <w:color w:val="221F1F"/>
          <w:spacing w:val="-1"/>
        </w:rPr>
        <w:t xml:space="preserve"> </w:t>
      </w:r>
      <w:r>
        <w:rPr>
          <w:color w:val="221F1F"/>
        </w:rPr>
        <w:t>and/ or Cost,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 give notice</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Architect and</w:t>
      </w:r>
      <w:r>
        <w:rPr>
          <w:color w:val="221F1F"/>
          <w:spacing w:val="-1"/>
        </w:rPr>
        <w:t xml:space="preserve"> </w:t>
      </w:r>
      <w:r>
        <w:rPr>
          <w:color w:val="221F1F"/>
        </w:rPr>
        <w:t>shall be</w:t>
      </w:r>
      <w:r>
        <w:rPr>
          <w:color w:val="221F1F"/>
          <w:spacing w:val="-1"/>
        </w:rPr>
        <w:t xml:space="preserve"> </w:t>
      </w:r>
      <w:r>
        <w:rPr>
          <w:color w:val="221F1F"/>
        </w:rPr>
        <w:t>entitled</w:t>
      </w:r>
      <w:r>
        <w:rPr>
          <w:color w:val="221F1F"/>
          <w:spacing w:val="-1"/>
        </w:rPr>
        <w:t xml:space="preserve"> </w:t>
      </w:r>
      <w:r>
        <w:rPr>
          <w:color w:val="221F1F"/>
        </w:rPr>
        <w:t>subject to Sub-Clause 20.1 [Contractor's Claims] to:</w:t>
      </w:r>
    </w:p>
    <w:p w:rsidR="007F6DF9" w:rsidRDefault="00A43FBC">
      <w:pPr>
        <w:pStyle w:val="ListParagraph"/>
        <w:numPr>
          <w:ilvl w:val="0"/>
          <w:numId w:val="114"/>
        </w:numPr>
        <w:tabs>
          <w:tab w:val="left" w:pos="1865"/>
          <w:tab w:val="left" w:pos="1877"/>
        </w:tabs>
        <w:spacing w:before="245" w:line="230" w:lineRule="auto"/>
        <w:ind w:right="1033" w:hanging="504"/>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114"/>
        </w:numPr>
        <w:tabs>
          <w:tab w:val="left" w:pos="1865"/>
        </w:tabs>
        <w:spacing w:line="246" w:lineRule="exact"/>
        <w:ind w:left="1865"/>
      </w:pPr>
      <w:r>
        <w:rPr>
          <w:color w:val="221F1F"/>
        </w:rPr>
        <w:t>payment</w:t>
      </w:r>
      <w:r>
        <w:rPr>
          <w:color w:val="221F1F"/>
          <w:spacing w:val="-6"/>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such</w:t>
      </w:r>
      <w:r>
        <w:rPr>
          <w:color w:val="221F1F"/>
          <w:spacing w:val="-2"/>
        </w:rPr>
        <w:t xml:space="preserve"> </w:t>
      </w:r>
      <w:r>
        <w:rPr>
          <w:color w:val="221F1F"/>
        </w:rPr>
        <w:t>costs</w:t>
      </w:r>
      <w:r>
        <w:rPr>
          <w:color w:val="221F1F"/>
          <w:spacing w:val="-4"/>
        </w:rPr>
        <w:t xml:space="preserve"> </w:t>
      </w:r>
      <w:r>
        <w:rPr>
          <w:color w:val="221F1F"/>
        </w:rPr>
        <w:t>accrued,</w:t>
      </w:r>
      <w:r>
        <w:rPr>
          <w:color w:val="221F1F"/>
          <w:spacing w:val="-3"/>
        </w:rPr>
        <w:t xml:space="preserve"> </w:t>
      </w:r>
      <w:r>
        <w:rPr>
          <w:color w:val="221F1F"/>
        </w:rPr>
        <w:t>which</w:t>
      </w:r>
      <w:r>
        <w:rPr>
          <w:color w:val="221F1F"/>
          <w:spacing w:val="-5"/>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spacing w:val="-2"/>
        </w:rPr>
        <w:t>Price.</w:t>
      </w:r>
    </w:p>
    <w:p w:rsidR="007F6DF9" w:rsidRDefault="00A43FBC">
      <w:pPr>
        <w:pStyle w:val="BodyText"/>
        <w:spacing w:before="240" w:line="230" w:lineRule="auto"/>
        <w:ind w:left="1385" w:right="560" w:hanging="673"/>
        <w:jc w:val="both"/>
      </w:pPr>
      <w:proofErr w:type="gramStart"/>
      <w:r>
        <w:rPr>
          <w:color w:val="221F1F"/>
        </w:rPr>
        <w:t>4.7.4</w:t>
      </w:r>
      <w:r>
        <w:rPr>
          <w:color w:val="221F1F"/>
          <w:spacing w:val="80"/>
        </w:rPr>
        <w:t xml:space="preserve">  </w:t>
      </w:r>
      <w:r>
        <w:rPr>
          <w:color w:val="221F1F"/>
        </w:rPr>
        <w:t>After</w:t>
      </w:r>
      <w:proofErr w:type="gramEnd"/>
      <w:r>
        <w:rPr>
          <w:color w:val="221F1F"/>
        </w:rPr>
        <w:t xml:space="preserve"> receiving this</w:t>
      </w:r>
      <w:r>
        <w:rPr>
          <w:color w:val="221F1F"/>
          <w:spacing w:val="-1"/>
        </w:rPr>
        <w:t xml:space="preserve"> </w:t>
      </w:r>
      <w:r>
        <w:rPr>
          <w:color w:val="221F1F"/>
        </w:rPr>
        <w:t>notice, the Architect shall proceed in</w:t>
      </w:r>
      <w:r>
        <w:rPr>
          <w:color w:val="221F1F"/>
          <w:spacing w:val="-4"/>
        </w:rPr>
        <w:t xml:space="preserve"> </w:t>
      </w:r>
      <w:r>
        <w:rPr>
          <w:color w:val="221F1F"/>
        </w:rPr>
        <w:t>accordance with Sub-Clause 3.5</w:t>
      </w:r>
      <w:r>
        <w:rPr>
          <w:color w:val="221F1F"/>
          <w:spacing w:val="-2"/>
        </w:rPr>
        <w:t xml:space="preserve"> </w:t>
      </w:r>
      <w:r>
        <w:rPr>
          <w:color w:val="221F1F"/>
        </w:rPr>
        <w:t>[Determinations] to agree or determine (</w:t>
      </w:r>
      <w:proofErr w:type="spellStart"/>
      <w:r>
        <w:rPr>
          <w:color w:val="221F1F"/>
        </w:rPr>
        <w:t>i</w:t>
      </w:r>
      <w:proofErr w:type="spellEnd"/>
      <w:r>
        <w:rPr>
          <w:color w:val="221F1F"/>
        </w:rPr>
        <w:t xml:space="preserve">) whether and (if so) to what extent the error could not reasonably have been discovered, and (ii) the matters described in sub-paragraphs (a) and (b) above related to </w:t>
      </w:r>
      <w:proofErr w:type="spellStart"/>
      <w:r>
        <w:rPr>
          <w:color w:val="221F1F"/>
        </w:rPr>
        <w:t>thise</w:t>
      </w:r>
      <w:proofErr w:type="spellEnd"/>
      <w:r>
        <w:rPr>
          <w:color w:val="221F1F"/>
        </w:rPr>
        <w:t>.</w:t>
      </w:r>
    </w:p>
    <w:p w:rsidR="007F6DF9" w:rsidRDefault="00A43FBC">
      <w:pPr>
        <w:pStyle w:val="Heading9"/>
        <w:numPr>
          <w:ilvl w:val="1"/>
          <w:numId w:val="122"/>
        </w:numPr>
        <w:tabs>
          <w:tab w:val="left" w:pos="1373"/>
        </w:tabs>
        <w:spacing w:before="238"/>
        <w:ind w:left="1373" w:hanging="660"/>
        <w:rPr>
          <w:color w:val="221F1F"/>
        </w:rPr>
      </w:pPr>
      <w:r>
        <w:rPr>
          <w:color w:val="221F1F"/>
        </w:rPr>
        <w:t>Safety</w:t>
      </w:r>
      <w:r>
        <w:rPr>
          <w:color w:val="221F1F"/>
          <w:spacing w:val="-2"/>
        </w:rPr>
        <w:t xml:space="preserve"> Procedures</w:t>
      </w:r>
    </w:p>
    <w:p w:rsidR="007F6DF9" w:rsidRDefault="00A43FBC">
      <w:pPr>
        <w:pStyle w:val="BodyText"/>
        <w:spacing w:before="251"/>
        <w:ind w:left="1373"/>
      </w:pPr>
      <w:r>
        <w:rPr>
          <w:color w:val="221F1F"/>
        </w:rPr>
        <w:t>The</w:t>
      </w:r>
      <w:r>
        <w:rPr>
          <w:color w:val="221F1F"/>
          <w:spacing w:val="-5"/>
        </w:rPr>
        <w:t xml:space="preserve"> </w:t>
      </w:r>
      <w:r>
        <w:rPr>
          <w:color w:val="221F1F"/>
        </w:rPr>
        <w:t>Contractor</w:t>
      </w:r>
      <w:r>
        <w:rPr>
          <w:color w:val="221F1F"/>
          <w:spacing w:val="-4"/>
        </w:rPr>
        <w:t xml:space="preserve"> </w:t>
      </w:r>
      <w:r>
        <w:rPr>
          <w:color w:val="221F1F"/>
          <w:spacing w:val="-2"/>
        </w:rPr>
        <w:t>shall:</w:t>
      </w:r>
    </w:p>
    <w:p w:rsidR="007F6DF9" w:rsidRDefault="00A43FBC">
      <w:pPr>
        <w:pStyle w:val="ListParagraph"/>
        <w:numPr>
          <w:ilvl w:val="0"/>
          <w:numId w:val="113"/>
        </w:numPr>
        <w:tabs>
          <w:tab w:val="left" w:pos="1865"/>
        </w:tabs>
        <w:spacing w:before="1" w:line="252" w:lineRule="exact"/>
      </w:pPr>
      <w:r>
        <w:rPr>
          <w:color w:val="221F1F"/>
        </w:rPr>
        <w:t>Comply</w:t>
      </w:r>
      <w:r>
        <w:rPr>
          <w:color w:val="221F1F"/>
          <w:spacing w:val="-4"/>
        </w:rPr>
        <w:t xml:space="preserve"> </w:t>
      </w:r>
      <w:r>
        <w:rPr>
          <w:color w:val="221F1F"/>
        </w:rPr>
        <w:t>with</w:t>
      </w:r>
      <w:r>
        <w:rPr>
          <w:color w:val="221F1F"/>
          <w:spacing w:val="-3"/>
        </w:rPr>
        <w:t xml:space="preserve"> </w:t>
      </w:r>
      <w:r>
        <w:rPr>
          <w:color w:val="221F1F"/>
        </w:rPr>
        <w:t>all</w:t>
      </w:r>
      <w:r>
        <w:rPr>
          <w:color w:val="221F1F"/>
          <w:spacing w:val="-5"/>
        </w:rPr>
        <w:t xml:space="preserve"> </w:t>
      </w:r>
      <w:r>
        <w:rPr>
          <w:color w:val="221F1F"/>
        </w:rPr>
        <w:t>applicable</w:t>
      </w:r>
      <w:r>
        <w:rPr>
          <w:color w:val="221F1F"/>
          <w:spacing w:val="-4"/>
        </w:rPr>
        <w:t xml:space="preserve"> </w:t>
      </w:r>
      <w:r>
        <w:rPr>
          <w:color w:val="221F1F"/>
        </w:rPr>
        <w:t>safety</w:t>
      </w:r>
      <w:r>
        <w:rPr>
          <w:color w:val="221F1F"/>
          <w:spacing w:val="-5"/>
        </w:rPr>
        <w:t xml:space="preserve"> </w:t>
      </w:r>
      <w:r>
        <w:rPr>
          <w:color w:val="221F1F"/>
          <w:spacing w:val="-2"/>
        </w:rPr>
        <w:t>regulations,</w:t>
      </w:r>
    </w:p>
    <w:p w:rsidR="007F6DF9" w:rsidRDefault="00A43FBC">
      <w:pPr>
        <w:pStyle w:val="ListParagraph"/>
        <w:numPr>
          <w:ilvl w:val="0"/>
          <w:numId w:val="113"/>
        </w:numPr>
        <w:tabs>
          <w:tab w:val="left" w:pos="1865"/>
        </w:tabs>
        <w:spacing w:line="250" w:lineRule="exact"/>
      </w:pPr>
      <w:proofErr w:type="spellStart"/>
      <w:r>
        <w:rPr>
          <w:color w:val="221F1F"/>
        </w:rPr>
        <w:t>Takec</w:t>
      </w:r>
      <w:proofErr w:type="spellEnd"/>
      <w:r>
        <w:rPr>
          <w:color w:val="221F1F"/>
          <w:spacing w:val="-2"/>
        </w:rPr>
        <w:t xml:space="preserve"> </w:t>
      </w:r>
      <w:r>
        <w:rPr>
          <w:color w:val="221F1F"/>
        </w:rPr>
        <w:t>are</w:t>
      </w:r>
      <w:r>
        <w:rPr>
          <w:color w:val="221F1F"/>
          <w:spacing w:val="-3"/>
        </w:rPr>
        <w:t xml:space="preserve"> </w:t>
      </w:r>
      <w:r>
        <w:rPr>
          <w:color w:val="221F1F"/>
        </w:rPr>
        <w:t>for</w:t>
      </w:r>
      <w:r>
        <w:rPr>
          <w:color w:val="221F1F"/>
          <w:spacing w:val="-3"/>
        </w:rPr>
        <w:t xml:space="preserve"> </w:t>
      </w:r>
      <w:r>
        <w:rPr>
          <w:color w:val="221F1F"/>
        </w:rPr>
        <w:t>the</w:t>
      </w:r>
      <w:r>
        <w:rPr>
          <w:color w:val="221F1F"/>
          <w:spacing w:val="-1"/>
        </w:rPr>
        <w:t xml:space="preserve"> </w:t>
      </w:r>
      <w:r>
        <w:rPr>
          <w:color w:val="221F1F"/>
        </w:rPr>
        <w:t>safety</w:t>
      </w:r>
      <w:r>
        <w:rPr>
          <w:color w:val="221F1F"/>
          <w:spacing w:val="-1"/>
        </w:rPr>
        <w:t xml:space="preserve"> </w:t>
      </w:r>
      <w:r>
        <w:rPr>
          <w:color w:val="221F1F"/>
        </w:rPr>
        <w:t>of</w:t>
      </w:r>
      <w:r>
        <w:rPr>
          <w:color w:val="221F1F"/>
          <w:spacing w:val="-5"/>
        </w:rPr>
        <w:t xml:space="preserve"> </w:t>
      </w:r>
      <w:r>
        <w:rPr>
          <w:color w:val="221F1F"/>
        </w:rPr>
        <w:t>all</w:t>
      </w:r>
      <w:r>
        <w:rPr>
          <w:color w:val="221F1F"/>
          <w:spacing w:val="-2"/>
        </w:rPr>
        <w:t xml:space="preserve"> </w:t>
      </w:r>
      <w:r>
        <w:rPr>
          <w:color w:val="221F1F"/>
        </w:rPr>
        <w:t>persons</w:t>
      </w:r>
      <w:r>
        <w:rPr>
          <w:color w:val="221F1F"/>
          <w:spacing w:val="-3"/>
        </w:rPr>
        <w:t xml:space="preserve"> </w:t>
      </w:r>
      <w:r>
        <w:rPr>
          <w:color w:val="221F1F"/>
        </w:rPr>
        <w:t>entitled</w:t>
      </w:r>
      <w:r>
        <w:rPr>
          <w:color w:val="221F1F"/>
          <w:spacing w:val="-2"/>
        </w:rPr>
        <w:t xml:space="preserve"> </w:t>
      </w:r>
      <w:r>
        <w:rPr>
          <w:color w:val="221F1F"/>
        </w:rPr>
        <w:t>to</w:t>
      </w:r>
      <w:r>
        <w:rPr>
          <w:color w:val="221F1F"/>
          <w:spacing w:val="-3"/>
        </w:rPr>
        <w:t xml:space="preserve"> </w:t>
      </w:r>
      <w:r>
        <w:rPr>
          <w:color w:val="221F1F"/>
        </w:rPr>
        <w:t>be</w:t>
      </w:r>
      <w:r>
        <w:rPr>
          <w:color w:val="221F1F"/>
          <w:spacing w:val="-1"/>
        </w:rPr>
        <w:t xml:space="preserve"> </w:t>
      </w:r>
      <w:r>
        <w:rPr>
          <w:color w:val="221F1F"/>
        </w:rPr>
        <w:t>on</w:t>
      </w:r>
      <w:r>
        <w:rPr>
          <w:color w:val="221F1F"/>
          <w:spacing w:val="-4"/>
        </w:rPr>
        <w:t xml:space="preserve"> </w:t>
      </w:r>
      <w:r>
        <w:rPr>
          <w:color w:val="221F1F"/>
        </w:rPr>
        <w:t>the</w:t>
      </w:r>
      <w:r>
        <w:rPr>
          <w:color w:val="221F1F"/>
          <w:spacing w:val="-1"/>
        </w:rPr>
        <w:t xml:space="preserve"> </w:t>
      </w:r>
      <w:r>
        <w:rPr>
          <w:color w:val="221F1F"/>
          <w:spacing w:val="-2"/>
        </w:rPr>
        <w:t>Site,</w:t>
      </w:r>
    </w:p>
    <w:p w:rsidR="007F6DF9" w:rsidRDefault="00A43FBC">
      <w:pPr>
        <w:pStyle w:val="ListParagraph"/>
        <w:numPr>
          <w:ilvl w:val="0"/>
          <w:numId w:val="113"/>
        </w:numPr>
        <w:tabs>
          <w:tab w:val="left" w:pos="1865"/>
          <w:tab w:val="left" w:pos="1877"/>
        </w:tabs>
        <w:spacing w:before="6" w:line="230" w:lineRule="auto"/>
        <w:ind w:left="1877" w:right="1085" w:hanging="504"/>
      </w:pPr>
      <w:r>
        <w:rPr>
          <w:color w:val="221F1F"/>
        </w:rPr>
        <w:t>Use</w:t>
      </w:r>
      <w:r>
        <w:rPr>
          <w:color w:val="221F1F"/>
          <w:spacing w:val="-2"/>
        </w:rPr>
        <w:t xml:space="preserve"> </w:t>
      </w:r>
      <w:r>
        <w:rPr>
          <w:color w:val="221F1F"/>
        </w:rPr>
        <w:t>reasonable</w:t>
      </w:r>
      <w:r>
        <w:rPr>
          <w:color w:val="221F1F"/>
          <w:spacing w:val="-2"/>
        </w:rPr>
        <w:t xml:space="preserve"> </w:t>
      </w:r>
      <w:r>
        <w:rPr>
          <w:color w:val="221F1F"/>
        </w:rPr>
        <w:t>efforts</w:t>
      </w:r>
      <w:r>
        <w:rPr>
          <w:color w:val="221F1F"/>
          <w:spacing w:val="-3"/>
        </w:rPr>
        <w:t xml:space="preserve"> </w:t>
      </w:r>
      <w:r>
        <w:rPr>
          <w:color w:val="221F1F"/>
        </w:rPr>
        <w:t>to</w:t>
      </w:r>
      <w:r>
        <w:rPr>
          <w:color w:val="221F1F"/>
          <w:spacing w:val="-2"/>
        </w:rPr>
        <w:t xml:space="preserve"> </w:t>
      </w:r>
      <w:r>
        <w:rPr>
          <w:color w:val="221F1F"/>
        </w:rPr>
        <w:t>keep</w:t>
      </w:r>
      <w:r>
        <w:rPr>
          <w:color w:val="221F1F"/>
          <w:spacing w:val="-2"/>
        </w:rPr>
        <w:t xml:space="preserve"> </w:t>
      </w:r>
      <w:r>
        <w:rPr>
          <w:color w:val="221F1F"/>
        </w:rPr>
        <w:t>the</w:t>
      </w:r>
      <w:r>
        <w:rPr>
          <w:color w:val="221F1F"/>
          <w:spacing w:val="-2"/>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Works</w:t>
      </w:r>
      <w:r>
        <w:rPr>
          <w:color w:val="221F1F"/>
          <w:spacing w:val="-11"/>
        </w:rPr>
        <w:t xml:space="preserve"> </w:t>
      </w:r>
      <w:r>
        <w:rPr>
          <w:color w:val="221F1F"/>
        </w:rPr>
        <w:t>clear</w:t>
      </w:r>
      <w:r>
        <w:rPr>
          <w:color w:val="221F1F"/>
          <w:spacing w:val="-6"/>
        </w:rPr>
        <w:t xml:space="preserve"> </w:t>
      </w:r>
      <w:r>
        <w:rPr>
          <w:color w:val="221F1F"/>
        </w:rPr>
        <w:t>of</w:t>
      </w:r>
      <w:r>
        <w:rPr>
          <w:color w:val="221F1F"/>
          <w:spacing w:val="-2"/>
        </w:rPr>
        <w:t xml:space="preserve"> </w:t>
      </w:r>
      <w:r>
        <w:rPr>
          <w:color w:val="221F1F"/>
        </w:rPr>
        <w:t>unnecessary</w:t>
      </w:r>
      <w:r>
        <w:rPr>
          <w:color w:val="221F1F"/>
          <w:spacing w:val="-2"/>
        </w:rPr>
        <w:t xml:space="preserve"> </w:t>
      </w:r>
      <w:r>
        <w:rPr>
          <w:color w:val="221F1F"/>
        </w:rPr>
        <w:t>obstruction</w:t>
      </w:r>
      <w:r>
        <w:rPr>
          <w:color w:val="221F1F"/>
          <w:spacing w:val="-4"/>
        </w:rPr>
        <w:t xml:space="preserve"> </w:t>
      </w:r>
      <w:r>
        <w:rPr>
          <w:color w:val="221F1F"/>
        </w:rPr>
        <w:t>so</w:t>
      </w:r>
      <w:r>
        <w:rPr>
          <w:color w:val="221F1F"/>
          <w:spacing w:val="-2"/>
        </w:rPr>
        <w:t xml:space="preserve"> </w:t>
      </w:r>
      <w:r>
        <w:rPr>
          <w:color w:val="221F1F"/>
        </w:rPr>
        <w:t>as</w:t>
      </w:r>
      <w:r>
        <w:rPr>
          <w:color w:val="221F1F"/>
          <w:spacing w:val="-4"/>
        </w:rPr>
        <w:t xml:space="preserve"> </w:t>
      </w:r>
      <w:r>
        <w:rPr>
          <w:color w:val="221F1F"/>
        </w:rPr>
        <w:t>to</w:t>
      </w:r>
      <w:r>
        <w:rPr>
          <w:color w:val="221F1F"/>
          <w:spacing w:val="-2"/>
        </w:rPr>
        <w:t xml:space="preserve"> </w:t>
      </w:r>
      <w:r>
        <w:rPr>
          <w:color w:val="221F1F"/>
        </w:rPr>
        <w:t>avoid danger to these persons,</w:t>
      </w:r>
    </w:p>
    <w:p w:rsidR="007F6DF9" w:rsidRDefault="00A43FBC">
      <w:pPr>
        <w:pStyle w:val="ListParagraph"/>
        <w:numPr>
          <w:ilvl w:val="0"/>
          <w:numId w:val="113"/>
        </w:numPr>
        <w:tabs>
          <w:tab w:val="left" w:pos="1865"/>
          <w:tab w:val="left" w:pos="1877"/>
        </w:tabs>
        <w:spacing w:line="230" w:lineRule="auto"/>
        <w:ind w:left="1877" w:right="647" w:hanging="504"/>
      </w:pPr>
      <w:r>
        <w:rPr>
          <w:color w:val="221F1F"/>
        </w:rPr>
        <w:t>provide</w:t>
      </w:r>
      <w:r>
        <w:rPr>
          <w:color w:val="221F1F"/>
          <w:spacing w:val="-5"/>
        </w:rPr>
        <w:t xml:space="preserve"> </w:t>
      </w:r>
      <w:r>
        <w:rPr>
          <w:color w:val="221F1F"/>
        </w:rPr>
        <w:t>fencing,</w:t>
      </w:r>
      <w:r>
        <w:rPr>
          <w:color w:val="221F1F"/>
          <w:spacing w:val="-6"/>
        </w:rPr>
        <w:t xml:space="preserve"> </w:t>
      </w:r>
      <w:r>
        <w:rPr>
          <w:color w:val="221F1F"/>
        </w:rPr>
        <w:t>lighting,</w:t>
      </w:r>
      <w:r>
        <w:rPr>
          <w:color w:val="221F1F"/>
          <w:spacing w:val="-3"/>
        </w:rPr>
        <w:t xml:space="preserve"> </w:t>
      </w:r>
      <w:r>
        <w:rPr>
          <w:color w:val="221F1F"/>
        </w:rPr>
        <w:t>guarding</w:t>
      </w:r>
      <w:r>
        <w:rPr>
          <w:color w:val="221F1F"/>
          <w:spacing w:val="-3"/>
        </w:rPr>
        <w:t xml:space="preserve"> </w:t>
      </w:r>
      <w:r>
        <w:rPr>
          <w:color w:val="221F1F"/>
        </w:rPr>
        <w:t>and</w:t>
      </w:r>
      <w:r>
        <w:rPr>
          <w:color w:val="221F1F"/>
          <w:spacing w:val="-3"/>
        </w:rPr>
        <w:t xml:space="preserve"> </w:t>
      </w:r>
      <w:r>
        <w:rPr>
          <w:color w:val="221F1F"/>
        </w:rPr>
        <w:t>watching</w:t>
      </w:r>
      <w:r>
        <w:rPr>
          <w:color w:val="221F1F"/>
          <w:spacing w:val="-3"/>
        </w:rPr>
        <w:t xml:space="preserve"> </w:t>
      </w:r>
      <w:r>
        <w:rPr>
          <w:color w:val="221F1F"/>
        </w:rPr>
        <w:t>of</w:t>
      </w:r>
      <w:r>
        <w:rPr>
          <w:color w:val="221F1F"/>
          <w:spacing w:val="-5"/>
        </w:rPr>
        <w:t xml:space="preserve"> </w:t>
      </w:r>
      <w:r>
        <w:rPr>
          <w:color w:val="221F1F"/>
        </w:rPr>
        <w:t>the Works</w:t>
      </w:r>
      <w:r>
        <w:rPr>
          <w:color w:val="221F1F"/>
          <w:spacing w:val="-12"/>
        </w:rPr>
        <w:t xml:space="preserve"> </w:t>
      </w:r>
      <w:r>
        <w:rPr>
          <w:color w:val="221F1F"/>
        </w:rPr>
        <w:t>until</w:t>
      </w:r>
      <w:r>
        <w:rPr>
          <w:color w:val="221F1F"/>
          <w:spacing w:val="-2"/>
        </w:rPr>
        <w:t xml:space="preserve"> </w:t>
      </w:r>
      <w:r>
        <w:rPr>
          <w:color w:val="221F1F"/>
        </w:rPr>
        <w:t>completion</w:t>
      </w:r>
      <w:r>
        <w:rPr>
          <w:color w:val="221F1F"/>
          <w:spacing w:val="-3"/>
        </w:rPr>
        <w:t xml:space="preserve"> </w:t>
      </w:r>
      <w:r>
        <w:rPr>
          <w:color w:val="221F1F"/>
        </w:rPr>
        <w:t>and</w:t>
      </w:r>
      <w:r>
        <w:rPr>
          <w:color w:val="221F1F"/>
          <w:spacing w:val="-3"/>
        </w:rPr>
        <w:t xml:space="preserve"> </w:t>
      </w:r>
      <w:r>
        <w:rPr>
          <w:color w:val="221F1F"/>
        </w:rPr>
        <w:t>taking</w:t>
      </w:r>
      <w:r>
        <w:rPr>
          <w:color w:val="221F1F"/>
          <w:spacing w:val="-6"/>
        </w:rPr>
        <w:t xml:space="preserve"> </w:t>
      </w:r>
      <w:r>
        <w:rPr>
          <w:color w:val="221F1F"/>
        </w:rPr>
        <w:t>over</w:t>
      </w:r>
      <w:r>
        <w:rPr>
          <w:color w:val="221F1F"/>
          <w:spacing w:val="-4"/>
        </w:rPr>
        <w:t xml:space="preserve"> </w:t>
      </w:r>
      <w:r>
        <w:rPr>
          <w:color w:val="221F1F"/>
        </w:rPr>
        <w:t>under Clause 10 [Procuring Entity's Taking Over], and</w:t>
      </w:r>
    </w:p>
    <w:p w:rsidR="007F6DF9" w:rsidRDefault="00A43FBC">
      <w:pPr>
        <w:pStyle w:val="ListParagraph"/>
        <w:numPr>
          <w:ilvl w:val="0"/>
          <w:numId w:val="113"/>
        </w:numPr>
        <w:tabs>
          <w:tab w:val="left" w:pos="1866"/>
          <w:tab w:val="left" w:pos="1877"/>
        </w:tabs>
        <w:spacing w:line="230" w:lineRule="auto"/>
        <w:ind w:left="1877" w:right="560" w:hanging="504"/>
        <w:jc w:val="both"/>
      </w:pPr>
      <w:r>
        <w:rPr>
          <w:color w:val="221F1F"/>
        </w:rPr>
        <w:t>provide any Temporary Works (including roadways, footways, guards and fences) which may be necessary,</w:t>
      </w:r>
      <w:r>
        <w:rPr>
          <w:color w:val="221F1F"/>
          <w:spacing w:val="-6"/>
        </w:rPr>
        <w:t xml:space="preserve"> </w:t>
      </w:r>
      <w:r>
        <w:rPr>
          <w:color w:val="221F1F"/>
        </w:rPr>
        <w:t>because</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execution</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for</w:t>
      </w:r>
      <w:r>
        <w:rPr>
          <w:color w:val="221F1F"/>
          <w:spacing w:val="-9"/>
        </w:rPr>
        <w:t xml:space="preserve"> </w:t>
      </w:r>
      <w:r>
        <w:rPr>
          <w:color w:val="221F1F"/>
        </w:rPr>
        <w:t>the</w:t>
      </w:r>
      <w:r>
        <w:rPr>
          <w:color w:val="221F1F"/>
          <w:spacing w:val="-6"/>
        </w:rPr>
        <w:t xml:space="preserve"> </w:t>
      </w:r>
      <w:r>
        <w:rPr>
          <w:color w:val="221F1F"/>
        </w:rPr>
        <w:t>use</w:t>
      </w:r>
      <w:r>
        <w:rPr>
          <w:color w:val="221F1F"/>
          <w:spacing w:val="-7"/>
        </w:rPr>
        <w:t xml:space="preserve"> </w:t>
      </w:r>
      <w:r>
        <w:rPr>
          <w:color w:val="221F1F"/>
        </w:rPr>
        <w:t>and</w:t>
      </w:r>
      <w:r>
        <w:rPr>
          <w:color w:val="221F1F"/>
          <w:spacing w:val="-7"/>
        </w:rPr>
        <w:t xml:space="preserve"> </w:t>
      </w:r>
      <w:r>
        <w:rPr>
          <w:color w:val="221F1F"/>
        </w:rPr>
        <w:t>protection</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public</w:t>
      </w:r>
      <w:r>
        <w:rPr>
          <w:color w:val="221F1F"/>
          <w:spacing w:val="-9"/>
        </w:rPr>
        <w:t xml:space="preserve"> </w:t>
      </w:r>
      <w:r>
        <w:rPr>
          <w:color w:val="221F1F"/>
        </w:rPr>
        <w:t>and</w:t>
      </w:r>
      <w:r>
        <w:rPr>
          <w:color w:val="221F1F"/>
          <w:spacing w:val="-9"/>
        </w:rPr>
        <w:t xml:space="preserve"> </w:t>
      </w:r>
      <w:r>
        <w:rPr>
          <w:color w:val="221F1F"/>
        </w:rPr>
        <w:t>of</w:t>
      </w:r>
      <w:r>
        <w:rPr>
          <w:color w:val="221F1F"/>
          <w:spacing w:val="-9"/>
        </w:rPr>
        <w:t xml:space="preserve"> </w:t>
      </w:r>
      <w:r>
        <w:rPr>
          <w:color w:val="221F1F"/>
        </w:rPr>
        <w:t>owners and occupiers of adjacent land.</w:t>
      </w:r>
    </w:p>
    <w:p w:rsidR="007F6DF9" w:rsidRDefault="00A43FBC">
      <w:pPr>
        <w:pStyle w:val="Heading9"/>
        <w:numPr>
          <w:ilvl w:val="1"/>
          <w:numId w:val="122"/>
        </w:numPr>
        <w:tabs>
          <w:tab w:val="left" w:pos="1373"/>
        </w:tabs>
        <w:spacing w:before="233"/>
        <w:ind w:left="1373" w:hanging="660"/>
        <w:rPr>
          <w:color w:val="221F1F"/>
        </w:rPr>
      </w:pPr>
      <w:r>
        <w:rPr>
          <w:color w:val="221F1F"/>
        </w:rPr>
        <w:t>Quality</w:t>
      </w:r>
      <w:r>
        <w:rPr>
          <w:color w:val="221F1F"/>
          <w:spacing w:val="-6"/>
        </w:rPr>
        <w:t xml:space="preserve"> </w:t>
      </w:r>
      <w:r>
        <w:rPr>
          <w:color w:val="221F1F"/>
          <w:spacing w:val="-2"/>
        </w:rPr>
        <w:t>Assurance</w:t>
      </w:r>
    </w:p>
    <w:p w:rsidR="007F6DF9" w:rsidRDefault="00A43FBC">
      <w:pPr>
        <w:pStyle w:val="ListParagraph"/>
        <w:numPr>
          <w:ilvl w:val="2"/>
          <w:numId w:val="122"/>
        </w:numPr>
        <w:tabs>
          <w:tab w:val="left" w:pos="1369"/>
          <w:tab w:val="left" w:pos="1385"/>
        </w:tabs>
        <w:spacing w:before="243" w:line="230" w:lineRule="auto"/>
        <w:ind w:left="1385" w:right="560" w:hanging="673"/>
        <w:jc w:val="both"/>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institute</w:t>
      </w:r>
      <w:r>
        <w:rPr>
          <w:color w:val="221F1F"/>
          <w:spacing w:val="-5"/>
        </w:rPr>
        <w:t xml:space="preserve"> </w:t>
      </w:r>
      <w:r>
        <w:rPr>
          <w:color w:val="221F1F"/>
        </w:rPr>
        <w:t>a</w:t>
      </w:r>
      <w:r>
        <w:rPr>
          <w:color w:val="221F1F"/>
          <w:spacing w:val="-7"/>
        </w:rPr>
        <w:t xml:space="preserve"> </w:t>
      </w:r>
      <w:r>
        <w:rPr>
          <w:color w:val="221F1F"/>
        </w:rPr>
        <w:t>quality</w:t>
      </w:r>
      <w:r>
        <w:rPr>
          <w:color w:val="221F1F"/>
          <w:spacing w:val="-7"/>
        </w:rPr>
        <w:t xml:space="preserve"> </w:t>
      </w:r>
      <w:r>
        <w:rPr>
          <w:color w:val="221F1F"/>
        </w:rPr>
        <w:t>assurance</w:t>
      </w:r>
      <w:r>
        <w:rPr>
          <w:color w:val="221F1F"/>
          <w:spacing w:val="-6"/>
        </w:rPr>
        <w:t xml:space="preserve"> </w:t>
      </w:r>
      <w:r>
        <w:rPr>
          <w:color w:val="221F1F"/>
        </w:rPr>
        <w:t>system</w:t>
      </w:r>
      <w:r>
        <w:rPr>
          <w:color w:val="221F1F"/>
          <w:spacing w:val="-6"/>
        </w:rPr>
        <w:t xml:space="preserve"> </w:t>
      </w:r>
      <w:r>
        <w:rPr>
          <w:color w:val="221F1F"/>
        </w:rPr>
        <w:t>to</w:t>
      </w:r>
      <w:r>
        <w:rPr>
          <w:color w:val="221F1F"/>
          <w:spacing w:val="-7"/>
        </w:rPr>
        <w:t xml:space="preserve"> </w:t>
      </w:r>
      <w:r>
        <w:rPr>
          <w:color w:val="221F1F"/>
        </w:rPr>
        <w:t>demonstrate</w:t>
      </w:r>
      <w:r>
        <w:rPr>
          <w:color w:val="221F1F"/>
          <w:spacing w:val="-6"/>
        </w:rPr>
        <w:t xml:space="preserve"> </w:t>
      </w:r>
      <w:r>
        <w:rPr>
          <w:color w:val="221F1F"/>
        </w:rPr>
        <w:t>compliance</w:t>
      </w:r>
      <w:r>
        <w:rPr>
          <w:color w:val="221F1F"/>
          <w:spacing w:val="-5"/>
        </w:rPr>
        <w:t xml:space="preserve"> </w:t>
      </w:r>
      <w:r>
        <w:rPr>
          <w:color w:val="221F1F"/>
        </w:rPr>
        <w:t>with</w:t>
      </w:r>
      <w:r>
        <w:rPr>
          <w:color w:val="221F1F"/>
          <w:spacing w:val="-9"/>
        </w:rPr>
        <w:t xml:space="preserve"> </w:t>
      </w:r>
      <w:r>
        <w:rPr>
          <w:color w:val="221F1F"/>
        </w:rPr>
        <w:t>the</w:t>
      </w:r>
      <w:r>
        <w:rPr>
          <w:color w:val="221F1F"/>
          <w:spacing w:val="-7"/>
        </w:rPr>
        <w:t xml:space="preserve"> </w:t>
      </w:r>
      <w:r>
        <w:rPr>
          <w:color w:val="221F1F"/>
        </w:rPr>
        <w:t>requirements</w:t>
      </w:r>
      <w:r>
        <w:rPr>
          <w:color w:val="221F1F"/>
          <w:spacing w:val="-6"/>
        </w:rPr>
        <w:t xml:space="preserve"> </w:t>
      </w:r>
      <w:r>
        <w:rPr>
          <w:color w:val="221F1F"/>
        </w:rPr>
        <w:t>of the</w:t>
      </w:r>
      <w:r>
        <w:rPr>
          <w:color w:val="221F1F"/>
          <w:spacing w:val="-2"/>
        </w:rPr>
        <w:t xml:space="preserve"> </w:t>
      </w:r>
      <w:proofErr w:type="spellStart"/>
      <w:r>
        <w:rPr>
          <w:color w:val="221F1F"/>
        </w:rPr>
        <w:t>Contract.The</w:t>
      </w:r>
      <w:proofErr w:type="spellEnd"/>
      <w:r>
        <w:rPr>
          <w:color w:val="221F1F"/>
          <w:spacing w:val="-2"/>
        </w:rPr>
        <w:t xml:space="preserve"> </w:t>
      </w:r>
      <w:r>
        <w:rPr>
          <w:color w:val="221F1F"/>
        </w:rPr>
        <w:t>system</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1"/>
        </w:rPr>
        <w:t xml:space="preserve"> </w:t>
      </w:r>
      <w:r>
        <w:rPr>
          <w:color w:val="221F1F"/>
        </w:rPr>
        <w:t>details</w:t>
      </w:r>
      <w:r>
        <w:rPr>
          <w:color w:val="221F1F"/>
          <w:spacing w:val="-4"/>
        </w:rPr>
        <w:t xml:space="preserve"> </w:t>
      </w:r>
      <w:r>
        <w:rPr>
          <w:color w:val="221F1F"/>
        </w:rPr>
        <w:t>stated</w:t>
      </w:r>
      <w:r>
        <w:rPr>
          <w:color w:val="221F1F"/>
          <w:spacing w:val="-4"/>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 xml:space="preserve">be </w:t>
      </w:r>
      <w:proofErr w:type="spellStart"/>
      <w:r>
        <w:rPr>
          <w:color w:val="221F1F"/>
        </w:rPr>
        <w:t>entitledto</w:t>
      </w:r>
      <w:proofErr w:type="spellEnd"/>
      <w:r>
        <w:rPr>
          <w:color w:val="221F1F"/>
        </w:rPr>
        <w:t xml:space="preserve"> audit any aspect of the system.</w:t>
      </w:r>
    </w:p>
    <w:p w:rsidR="007F6DF9" w:rsidRDefault="00A43FBC">
      <w:pPr>
        <w:pStyle w:val="ListParagraph"/>
        <w:numPr>
          <w:ilvl w:val="2"/>
          <w:numId w:val="122"/>
        </w:numPr>
        <w:tabs>
          <w:tab w:val="left" w:pos="1369"/>
          <w:tab w:val="left" w:pos="1385"/>
        </w:tabs>
        <w:spacing w:before="246" w:line="230" w:lineRule="auto"/>
        <w:ind w:left="1385" w:right="561" w:hanging="673"/>
        <w:jc w:val="both"/>
        <w:rPr>
          <w:color w:val="221F1F"/>
        </w:rPr>
      </w:pPr>
      <w:r>
        <w:rPr>
          <w:color w:val="221F1F"/>
        </w:rPr>
        <w:t>Details</w:t>
      </w:r>
      <w:r>
        <w:rPr>
          <w:color w:val="221F1F"/>
          <w:spacing w:val="-13"/>
        </w:rPr>
        <w:t xml:space="preserve"> </w:t>
      </w:r>
      <w:r>
        <w:rPr>
          <w:color w:val="221F1F"/>
        </w:rPr>
        <w:t>of</w:t>
      </w:r>
      <w:r>
        <w:rPr>
          <w:color w:val="221F1F"/>
          <w:spacing w:val="-11"/>
        </w:rPr>
        <w:t xml:space="preserve"> </w:t>
      </w:r>
      <w:r>
        <w:rPr>
          <w:color w:val="221F1F"/>
        </w:rPr>
        <w:t>all</w:t>
      </w:r>
      <w:r>
        <w:rPr>
          <w:color w:val="221F1F"/>
          <w:spacing w:val="-13"/>
        </w:rPr>
        <w:t xml:space="preserve"> </w:t>
      </w:r>
      <w:r>
        <w:rPr>
          <w:color w:val="221F1F"/>
        </w:rPr>
        <w:t>procedures</w:t>
      </w:r>
      <w:r>
        <w:rPr>
          <w:color w:val="221F1F"/>
          <w:spacing w:val="-13"/>
        </w:rPr>
        <w:t xml:space="preserve"> </w:t>
      </w:r>
      <w:r>
        <w:rPr>
          <w:color w:val="221F1F"/>
        </w:rPr>
        <w:t>and</w:t>
      </w:r>
      <w:r>
        <w:rPr>
          <w:color w:val="221F1F"/>
          <w:spacing w:val="-11"/>
        </w:rPr>
        <w:t xml:space="preserve"> </w:t>
      </w:r>
      <w:r>
        <w:rPr>
          <w:color w:val="221F1F"/>
        </w:rPr>
        <w:t>compliance</w:t>
      </w:r>
      <w:r>
        <w:rPr>
          <w:color w:val="221F1F"/>
          <w:spacing w:val="-13"/>
        </w:rPr>
        <w:t xml:space="preserve"> </w:t>
      </w:r>
      <w:r>
        <w:rPr>
          <w:color w:val="221F1F"/>
        </w:rPr>
        <w:t>documents</w:t>
      </w:r>
      <w:r>
        <w:rPr>
          <w:color w:val="221F1F"/>
          <w:spacing w:val="-11"/>
        </w:rPr>
        <w:t xml:space="preserve"> </w:t>
      </w:r>
      <w:r>
        <w:rPr>
          <w:color w:val="221F1F"/>
        </w:rPr>
        <w:t>shall</w:t>
      </w:r>
      <w:r>
        <w:rPr>
          <w:color w:val="221F1F"/>
          <w:spacing w:val="-12"/>
        </w:rPr>
        <w:t xml:space="preserve"> </w:t>
      </w:r>
      <w:r>
        <w:rPr>
          <w:color w:val="221F1F"/>
        </w:rPr>
        <w:t>be</w:t>
      </w:r>
      <w:r>
        <w:rPr>
          <w:color w:val="221F1F"/>
          <w:spacing w:val="-14"/>
        </w:rPr>
        <w:t xml:space="preserve"> </w:t>
      </w:r>
      <w:r>
        <w:rPr>
          <w:color w:val="221F1F"/>
        </w:rPr>
        <w:t>submitted</w:t>
      </w:r>
      <w:r>
        <w:rPr>
          <w:color w:val="221F1F"/>
          <w:spacing w:val="-14"/>
        </w:rPr>
        <w:t xml:space="preserve"> </w:t>
      </w:r>
      <w:r>
        <w:rPr>
          <w:color w:val="221F1F"/>
        </w:rPr>
        <w:t>to</w:t>
      </w:r>
      <w:r>
        <w:rPr>
          <w:color w:val="221F1F"/>
          <w:spacing w:val="-14"/>
        </w:rPr>
        <w:t xml:space="preserve"> </w:t>
      </w:r>
      <w:r>
        <w:rPr>
          <w:color w:val="221F1F"/>
        </w:rPr>
        <w:t>the</w:t>
      </w:r>
      <w:r>
        <w:rPr>
          <w:color w:val="221F1F"/>
          <w:spacing w:val="-13"/>
        </w:rPr>
        <w:t xml:space="preserve"> </w:t>
      </w:r>
      <w:proofErr w:type="spellStart"/>
      <w:r>
        <w:rPr>
          <w:color w:val="221F1F"/>
        </w:rPr>
        <w:t>Architectf</w:t>
      </w:r>
      <w:proofErr w:type="spellEnd"/>
      <w:r>
        <w:rPr>
          <w:color w:val="221F1F"/>
          <w:spacing w:val="-10"/>
        </w:rPr>
        <w:t xml:space="preserve"> </w:t>
      </w:r>
      <w:r>
        <w:rPr>
          <w:color w:val="221F1F"/>
        </w:rPr>
        <w:t>or</w:t>
      </w:r>
      <w:r>
        <w:rPr>
          <w:color w:val="221F1F"/>
          <w:spacing w:val="-13"/>
        </w:rPr>
        <w:t xml:space="preserve"> </w:t>
      </w:r>
      <w:r>
        <w:rPr>
          <w:color w:val="221F1F"/>
        </w:rPr>
        <w:t>information</w:t>
      </w:r>
      <w:r>
        <w:rPr>
          <w:color w:val="221F1F"/>
          <w:spacing w:val="-11"/>
        </w:rPr>
        <w:t xml:space="preserve"> </w:t>
      </w:r>
      <w:r>
        <w:rPr>
          <w:color w:val="221F1F"/>
        </w:rPr>
        <w:t>before each design and execution stage is commenced. When any document of a technical nature is issued to the Engineer, evidence of the prior approval by the Contractor itself shall be apparent on the document itself.</w:t>
      </w:r>
    </w:p>
    <w:p w:rsidR="007F6DF9" w:rsidRDefault="00A43FBC">
      <w:pPr>
        <w:pStyle w:val="BodyText"/>
        <w:spacing w:before="243" w:line="230" w:lineRule="auto"/>
        <w:ind w:left="1385" w:right="1230" w:hanging="12"/>
      </w:pPr>
      <w:r>
        <w:rPr>
          <w:color w:val="221F1F"/>
        </w:rPr>
        <w:t>Compliance</w:t>
      </w:r>
      <w:r>
        <w:rPr>
          <w:color w:val="221F1F"/>
          <w:spacing w:val="-1"/>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quality</w:t>
      </w:r>
      <w:r>
        <w:rPr>
          <w:color w:val="221F1F"/>
          <w:spacing w:val="-2"/>
        </w:rPr>
        <w:t xml:space="preserve"> </w:t>
      </w:r>
      <w:r>
        <w:rPr>
          <w:color w:val="221F1F"/>
        </w:rPr>
        <w:t>assurance</w:t>
      </w:r>
      <w:r>
        <w:rPr>
          <w:color w:val="221F1F"/>
          <w:spacing w:val="-1"/>
        </w:rPr>
        <w:t xml:space="preserve"> </w:t>
      </w:r>
      <w:r>
        <w:rPr>
          <w:color w:val="221F1F"/>
        </w:rPr>
        <w:t>system</w:t>
      </w:r>
      <w:r>
        <w:rPr>
          <w:color w:val="221F1F"/>
          <w:spacing w:val="-3"/>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relieve</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of</w:t>
      </w:r>
      <w:r>
        <w:rPr>
          <w:color w:val="221F1F"/>
          <w:spacing w:val="-1"/>
        </w:rPr>
        <w:t xml:space="preserve"> </w:t>
      </w:r>
      <w:r>
        <w:rPr>
          <w:color w:val="221F1F"/>
        </w:rPr>
        <w:t>his</w:t>
      </w:r>
      <w:r>
        <w:rPr>
          <w:color w:val="221F1F"/>
          <w:spacing w:val="-2"/>
        </w:rPr>
        <w:t xml:space="preserve"> </w:t>
      </w:r>
      <w:r>
        <w:rPr>
          <w:color w:val="221F1F"/>
        </w:rPr>
        <w:t>duties, obligations or responsibilities under the Contract.</w:t>
      </w:r>
    </w:p>
    <w:p w:rsidR="007F6DF9" w:rsidRDefault="00A43FBC">
      <w:pPr>
        <w:pStyle w:val="Heading9"/>
        <w:numPr>
          <w:ilvl w:val="1"/>
          <w:numId w:val="122"/>
        </w:numPr>
        <w:tabs>
          <w:tab w:val="left" w:pos="1373"/>
        </w:tabs>
        <w:spacing w:before="236"/>
        <w:ind w:left="1373" w:hanging="660"/>
        <w:rPr>
          <w:color w:val="221F1F"/>
        </w:rPr>
      </w:pPr>
      <w:r>
        <w:rPr>
          <w:color w:val="221F1F"/>
        </w:rPr>
        <w:t>Site</w:t>
      </w:r>
      <w:r>
        <w:rPr>
          <w:color w:val="221F1F"/>
          <w:spacing w:val="1"/>
        </w:rPr>
        <w:t xml:space="preserve"> </w:t>
      </w:r>
      <w:r>
        <w:rPr>
          <w:color w:val="221F1F"/>
          <w:spacing w:val="-4"/>
        </w:rPr>
        <w:t>Data</w:t>
      </w:r>
    </w:p>
    <w:p w:rsidR="007F6DF9" w:rsidRDefault="00A43FBC">
      <w:pPr>
        <w:pStyle w:val="ListParagraph"/>
        <w:numPr>
          <w:ilvl w:val="2"/>
          <w:numId w:val="122"/>
        </w:numPr>
        <w:tabs>
          <w:tab w:val="left" w:pos="1369"/>
          <w:tab w:val="left" w:pos="1373"/>
        </w:tabs>
        <w:spacing w:before="242" w:line="230" w:lineRule="auto"/>
        <w:ind w:left="1373" w:right="560" w:hanging="661"/>
        <w:jc w:val="both"/>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have made</w:t>
      </w:r>
      <w:r>
        <w:rPr>
          <w:color w:val="221F1F"/>
          <w:spacing w:val="-1"/>
        </w:rPr>
        <w:t xml:space="preserve"> </w:t>
      </w:r>
      <w:r>
        <w:rPr>
          <w:color w:val="221F1F"/>
        </w:rPr>
        <w:t>available</w:t>
      </w:r>
      <w:r>
        <w:rPr>
          <w:color w:val="221F1F"/>
          <w:spacing w:val="-3"/>
        </w:rPr>
        <w:t xml:space="preserve"> </w:t>
      </w:r>
      <w:r>
        <w:rPr>
          <w:color w:val="221F1F"/>
        </w:rPr>
        <w:t>to</w:t>
      </w:r>
      <w:r>
        <w:rPr>
          <w:color w:val="221F1F"/>
          <w:spacing w:val="-1"/>
        </w:rPr>
        <w:t xml:space="preserve"> </w:t>
      </w:r>
      <w:r>
        <w:rPr>
          <w:color w:val="221F1F"/>
        </w:rPr>
        <w:t>the</w:t>
      </w:r>
      <w:r>
        <w:rPr>
          <w:color w:val="221F1F"/>
          <w:spacing w:val="-3"/>
        </w:rPr>
        <w:t xml:space="preserve"> </w:t>
      </w:r>
      <w:r>
        <w:rPr>
          <w:color w:val="221F1F"/>
        </w:rPr>
        <w:t>Contractor for his</w:t>
      </w:r>
      <w:r>
        <w:rPr>
          <w:color w:val="221F1F"/>
          <w:spacing w:val="-1"/>
        </w:rPr>
        <w:t xml:space="preserve"> </w:t>
      </w:r>
      <w:r>
        <w:rPr>
          <w:color w:val="221F1F"/>
        </w:rPr>
        <w:t>information, prior to</w:t>
      </w:r>
      <w:r>
        <w:rPr>
          <w:color w:val="221F1F"/>
          <w:spacing w:val="-1"/>
        </w:rPr>
        <w:t xml:space="preserve"> </w:t>
      </w:r>
      <w:r>
        <w:rPr>
          <w:color w:val="221F1F"/>
        </w:rPr>
        <w:t>the</w:t>
      </w:r>
      <w:r>
        <w:rPr>
          <w:color w:val="221F1F"/>
          <w:spacing w:val="-1"/>
        </w:rPr>
        <w:t xml:space="preserve"> </w:t>
      </w:r>
      <w:r>
        <w:rPr>
          <w:color w:val="221F1F"/>
        </w:rPr>
        <w:t>Base Date, all relevant data in the Procuring Entity's possession on sub-surface and hydrological conditions at the Site, including environmental aspects. The Procuring Entity shall similarly make available to the Contractor all such data which come into the Procuring Entity's possession after the Base Date. The Contractor shall be responsible for interpreting all such data.</w:t>
      </w:r>
    </w:p>
    <w:p w:rsidR="007F6DF9" w:rsidRDefault="00A43FBC">
      <w:pPr>
        <w:pStyle w:val="ListParagraph"/>
        <w:numPr>
          <w:ilvl w:val="2"/>
          <w:numId w:val="122"/>
        </w:numPr>
        <w:tabs>
          <w:tab w:val="left" w:pos="1369"/>
          <w:tab w:val="left" w:pos="1373"/>
        </w:tabs>
        <w:spacing w:before="248" w:line="230" w:lineRule="auto"/>
        <w:ind w:left="1373" w:right="560" w:hanging="661"/>
        <w:jc w:val="both"/>
        <w:rPr>
          <w:color w:val="221F1F"/>
        </w:rPr>
      </w:pPr>
      <w:r>
        <w:rPr>
          <w:color w:val="221F1F"/>
        </w:rPr>
        <w:t>To</w:t>
      </w:r>
      <w:r>
        <w:rPr>
          <w:color w:val="221F1F"/>
          <w:spacing w:val="-14"/>
        </w:rPr>
        <w:t xml:space="preserve"> </w:t>
      </w:r>
      <w:r>
        <w:rPr>
          <w:color w:val="221F1F"/>
        </w:rPr>
        <w:t>the</w:t>
      </w:r>
      <w:r>
        <w:rPr>
          <w:color w:val="221F1F"/>
          <w:spacing w:val="-14"/>
        </w:rPr>
        <w:t xml:space="preserve"> </w:t>
      </w:r>
      <w:r>
        <w:rPr>
          <w:color w:val="221F1F"/>
        </w:rPr>
        <w:t>extent</w:t>
      </w:r>
      <w:r>
        <w:rPr>
          <w:color w:val="221F1F"/>
          <w:spacing w:val="-14"/>
        </w:rPr>
        <w:t xml:space="preserve"> </w:t>
      </w:r>
      <w:r>
        <w:rPr>
          <w:color w:val="221F1F"/>
        </w:rPr>
        <w:t>which</w:t>
      </w:r>
      <w:r>
        <w:rPr>
          <w:color w:val="221F1F"/>
          <w:spacing w:val="-7"/>
        </w:rPr>
        <w:t xml:space="preserve"> </w:t>
      </w:r>
      <w:r>
        <w:rPr>
          <w:color w:val="221F1F"/>
        </w:rPr>
        <w:t>was</w:t>
      </w:r>
      <w:r>
        <w:rPr>
          <w:color w:val="221F1F"/>
          <w:spacing w:val="-7"/>
        </w:rPr>
        <w:t xml:space="preserve"> </w:t>
      </w:r>
      <w:r>
        <w:rPr>
          <w:color w:val="221F1F"/>
        </w:rPr>
        <w:t>practicable</w:t>
      </w:r>
      <w:r>
        <w:rPr>
          <w:color w:val="221F1F"/>
          <w:spacing w:val="-5"/>
        </w:rPr>
        <w:t xml:space="preserve"> </w:t>
      </w:r>
      <w:r>
        <w:rPr>
          <w:color w:val="221F1F"/>
        </w:rPr>
        <w:t>(taking</w:t>
      </w:r>
      <w:r>
        <w:rPr>
          <w:color w:val="221F1F"/>
          <w:spacing w:val="-7"/>
        </w:rPr>
        <w:t xml:space="preserve"> </w:t>
      </w:r>
      <w:r>
        <w:rPr>
          <w:color w:val="221F1F"/>
        </w:rPr>
        <w:t>account</w:t>
      </w:r>
      <w:r>
        <w:rPr>
          <w:color w:val="221F1F"/>
          <w:spacing w:val="-6"/>
        </w:rPr>
        <w:t xml:space="preserve"> </w:t>
      </w:r>
      <w:r>
        <w:rPr>
          <w:color w:val="221F1F"/>
        </w:rPr>
        <w:t>of</w:t>
      </w:r>
      <w:r>
        <w:rPr>
          <w:color w:val="221F1F"/>
          <w:spacing w:val="-8"/>
        </w:rPr>
        <w:t xml:space="preserve"> </w:t>
      </w:r>
      <w:r>
        <w:rPr>
          <w:color w:val="221F1F"/>
        </w:rPr>
        <w:t>cost</w:t>
      </w:r>
      <w:r>
        <w:rPr>
          <w:color w:val="221F1F"/>
          <w:spacing w:val="-6"/>
        </w:rPr>
        <w:t xml:space="preserve"> </w:t>
      </w:r>
      <w:r>
        <w:rPr>
          <w:color w:val="221F1F"/>
        </w:rPr>
        <w:t>and</w:t>
      </w:r>
      <w:r>
        <w:rPr>
          <w:color w:val="221F1F"/>
          <w:spacing w:val="-7"/>
        </w:rPr>
        <w:t xml:space="preserve"> </w:t>
      </w:r>
      <w:r>
        <w:rPr>
          <w:color w:val="221F1F"/>
        </w:rPr>
        <w:t>time),</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deemed</w:t>
      </w:r>
      <w:r>
        <w:rPr>
          <w:color w:val="221F1F"/>
          <w:spacing w:val="-9"/>
        </w:rPr>
        <w:t xml:space="preserve"> </w:t>
      </w:r>
      <w:r>
        <w:rPr>
          <w:color w:val="221F1F"/>
        </w:rPr>
        <w:t>to</w:t>
      </w:r>
      <w:r>
        <w:rPr>
          <w:color w:val="221F1F"/>
          <w:spacing w:val="-7"/>
        </w:rPr>
        <w:t xml:space="preserve"> </w:t>
      </w:r>
      <w:r>
        <w:rPr>
          <w:color w:val="221F1F"/>
        </w:rPr>
        <w:t>have obtained</w:t>
      </w:r>
      <w:r>
        <w:rPr>
          <w:color w:val="221F1F"/>
          <w:spacing w:val="-7"/>
        </w:rPr>
        <w:t xml:space="preserve"> </w:t>
      </w:r>
      <w:r>
        <w:rPr>
          <w:color w:val="221F1F"/>
        </w:rPr>
        <w:t>all</w:t>
      </w:r>
      <w:r>
        <w:rPr>
          <w:color w:val="221F1F"/>
          <w:spacing w:val="-7"/>
        </w:rPr>
        <w:t xml:space="preserve"> </w:t>
      </w:r>
      <w:r>
        <w:rPr>
          <w:color w:val="221F1F"/>
        </w:rPr>
        <w:t>necessary</w:t>
      </w:r>
      <w:r>
        <w:rPr>
          <w:color w:val="221F1F"/>
          <w:spacing w:val="-7"/>
        </w:rPr>
        <w:t xml:space="preserve"> </w:t>
      </w:r>
      <w:r>
        <w:rPr>
          <w:color w:val="221F1F"/>
        </w:rPr>
        <w:t>information</w:t>
      </w:r>
      <w:r>
        <w:rPr>
          <w:color w:val="221F1F"/>
          <w:spacing w:val="-7"/>
        </w:rPr>
        <w:t xml:space="preserve"> </w:t>
      </w:r>
      <w:r>
        <w:rPr>
          <w:color w:val="221F1F"/>
        </w:rPr>
        <w:t>as</w:t>
      </w:r>
      <w:r>
        <w:rPr>
          <w:color w:val="221F1F"/>
          <w:spacing w:val="-8"/>
        </w:rPr>
        <w:t xml:space="preserve"> </w:t>
      </w:r>
      <w:r>
        <w:rPr>
          <w:color w:val="221F1F"/>
        </w:rPr>
        <w:t>to</w:t>
      </w:r>
      <w:r>
        <w:rPr>
          <w:color w:val="221F1F"/>
          <w:spacing w:val="-8"/>
        </w:rPr>
        <w:t xml:space="preserve"> </w:t>
      </w:r>
      <w:r>
        <w:rPr>
          <w:color w:val="221F1F"/>
        </w:rPr>
        <w:t>risks,</w:t>
      </w:r>
      <w:r>
        <w:rPr>
          <w:color w:val="221F1F"/>
          <w:spacing w:val="-8"/>
        </w:rPr>
        <w:t xml:space="preserve"> </w:t>
      </w:r>
      <w:r>
        <w:rPr>
          <w:color w:val="221F1F"/>
        </w:rPr>
        <w:t>contingencies</w:t>
      </w:r>
      <w:r>
        <w:rPr>
          <w:color w:val="221F1F"/>
          <w:spacing w:val="-7"/>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circumstances</w:t>
      </w:r>
      <w:r>
        <w:rPr>
          <w:color w:val="221F1F"/>
          <w:spacing w:val="-3"/>
        </w:rPr>
        <w:t xml:space="preserve"> </w:t>
      </w:r>
      <w:r>
        <w:rPr>
          <w:color w:val="221F1F"/>
        </w:rPr>
        <w:t>which</w:t>
      </w:r>
      <w:r>
        <w:rPr>
          <w:color w:val="221F1F"/>
          <w:spacing w:val="-7"/>
        </w:rPr>
        <w:t xml:space="preserve"> </w:t>
      </w:r>
      <w:r>
        <w:rPr>
          <w:color w:val="221F1F"/>
        </w:rPr>
        <w:t>may</w:t>
      </w:r>
      <w:r>
        <w:rPr>
          <w:color w:val="221F1F"/>
          <w:spacing w:val="-8"/>
        </w:rPr>
        <w:t xml:space="preserve"> </w:t>
      </w:r>
      <w:r>
        <w:rPr>
          <w:color w:val="221F1F"/>
        </w:rPr>
        <w:t>influence</w:t>
      </w:r>
      <w:r>
        <w:rPr>
          <w:color w:val="221F1F"/>
          <w:spacing w:val="-7"/>
        </w:rPr>
        <w:t xml:space="preserve"> </w:t>
      </w:r>
      <w:r>
        <w:rPr>
          <w:color w:val="221F1F"/>
        </w:rPr>
        <w:t>or affect the Tender or Works. To the same extent, the Contractor shall be deemed to have inspected and examined</w:t>
      </w:r>
      <w:r>
        <w:rPr>
          <w:color w:val="221F1F"/>
          <w:spacing w:val="-9"/>
        </w:rPr>
        <w:t xml:space="preserve"> </w:t>
      </w:r>
      <w:r>
        <w:rPr>
          <w:color w:val="221F1F"/>
        </w:rPr>
        <w:t>the</w:t>
      </w:r>
      <w:r>
        <w:rPr>
          <w:color w:val="221F1F"/>
          <w:spacing w:val="-9"/>
        </w:rPr>
        <w:t xml:space="preserve"> </w:t>
      </w:r>
      <w:r>
        <w:rPr>
          <w:color w:val="221F1F"/>
        </w:rPr>
        <w:t>Site,</w:t>
      </w:r>
      <w:r>
        <w:rPr>
          <w:color w:val="221F1F"/>
          <w:spacing w:val="-12"/>
        </w:rPr>
        <w:t xml:space="preserve"> </w:t>
      </w:r>
      <w:r>
        <w:rPr>
          <w:color w:val="221F1F"/>
        </w:rPr>
        <w:t>its</w:t>
      </w:r>
      <w:r>
        <w:rPr>
          <w:color w:val="221F1F"/>
          <w:spacing w:val="-12"/>
        </w:rPr>
        <w:t xml:space="preserve"> </w:t>
      </w:r>
      <w:r>
        <w:rPr>
          <w:color w:val="221F1F"/>
        </w:rPr>
        <w:t>surroundings,</w:t>
      </w:r>
      <w:r>
        <w:rPr>
          <w:color w:val="221F1F"/>
          <w:spacing w:val="-11"/>
        </w:rPr>
        <w:t xml:space="preserve"> </w:t>
      </w:r>
      <w:r>
        <w:rPr>
          <w:color w:val="221F1F"/>
        </w:rPr>
        <w:t>the</w:t>
      </w:r>
      <w:r>
        <w:rPr>
          <w:color w:val="221F1F"/>
          <w:spacing w:val="-12"/>
        </w:rPr>
        <w:t xml:space="preserve"> </w:t>
      </w:r>
      <w:r>
        <w:rPr>
          <w:color w:val="221F1F"/>
        </w:rPr>
        <w:t>above</w:t>
      </w:r>
      <w:r>
        <w:rPr>
          <w:color w:val="221F1F"/>
          <w:spacing w:val="-11"/>
        </w:rPr>
        <w:t xml:space="preserve"> </w:t>
      </w:r>
      <w:r>
        <w:rPr>
          <w:color w:val="221F1F"/>
        </w:rPr>
        <w:t>data</w:t>
      </w:r>
      <w:r>
        <w:rPr>
          <w:color w:val="221F1F"/>
          <w:spacing w:val="-12"/>
        </w:rPr>
        <w:t xml:space="preserve"> </w:t>
      </w:r>
      <w:r>
        <w:rPr>
          <w:color w:val="221F1F"/>
        </w:rPr>
        <w:t>and</w:t>
      </w:r>
      <w:r>
        <w:rPr>
          <w:color w:val="221F1F"/>
          <w:spacing w:val="-12"/>
        </w:rPr>
        <w:t xml:space="preserve"> </w:t>
      </w:r>
      <w:r>
        <w:rPr>
          <w:color w:val="221F1F"/>
        </w:rPr>
        <w:t>other</w:t>
      </w:r>
      <w:r>
        <w:rPr>
          <w:color w:val="221F1F"/>
          <w:spacing w:val="-8"/>
        </w:rPr>
        <w:t xml:space="preserve"> </w:t>
      </w:r>
      <w:r>
        <w:rPr>
          <w:color w:val="221F1F"/>
        </w:rPr>
        <w:t>available</w:t>
      </w:r>
      <w:r>
        <w:rPr>
          <w:color w:val="221F1F"/>
          <w:spacing w:val="-12"/>
        </w:rPr>
        <w:t xml:space="preserve"> </w:t>
      </w:r>
      <w:r>
        <w:rPr>
          <w:color w:val="221F1F"/>
        </w:rPr>
        <w:t>information,</w:t>
      </w:r>
      <w:r>
        <w:rPr>
          <w:color w:val="221F1F"/>
          <w:spacing w:val="-10"/>
        </w:rPr>
        <w:t xml:space="preserve"> </w:t>
      </w:r>
      <w:r>
        <w:rPr>
          <w:color w:val="221F1F"/>
        </w:rPr>
        <w:t>and</w:t>
      </w:r>
      <w:r>
        <w:rPr>
          <w:color w:val="221F1F"/>
          <w:spacing w:val="-12"/>
        </w:rPr>
        <w:t xml:space="preserve"> </w:t>
      </w:r>
      <w:r>
        <w:rPr>
          <w:color w:val="221F1F"/>
        </w:rPr>
        <w:t>to</w:t>
      </w:r>
      <w:r>
        <w:rPr>
          <w:color w:val="221F1F"/>
          <w:spacing w:val="-10"/>
        </w:rPr>
        <w:t xml:space="preserve"> </w:t>
      </w:r>
      <w:r>
        <w:rPr>
          <w:color w:val="221F1F"/>
        </w:rPr>
        <w:t>have</w:t>
      </w:r>
      <w:r>
        <w:rPr>
          <w:color w:val="221F1F"/>
          <w:spacing w:val="-11"/>
        </w:rPr>
        <w:t xml:space="preserve"> </w:t>
      </w:r>
      <w:r>
        <w:rPr>
          <w:color w:val="221F1F"/>
        </w:rPr>
        <w:t>been</w:t>
      </w:r>
      <w:r>
        <w:rPr>
          <w:color w:val="221F1F"/>
          <w:spacing w:val="-12"/>
        </w:rPr>
        <w:t xml:space="preserve"> </w:t>
      </w:r>
      <w:r>
        <w:rPr>
          <w:color w:val="221F1F"/>
        </w:rPr>
        <w:t>satisfied before submitting the Tender as to all relevant matters, including (without limitation):</w:t>
      </w:r>
    </w:p>
    <w:p w:rsidR="007F6DF9" w:rsidRDefault="00A43FBC">
      <w:pPr>
        <w:pStyle w:val="ListParagraph"/>
        <w:numPr>
          <w:ilvl w:val="0"/>
          <w:numId w:val="43"/>
        </w:numPr>
        <w:tabs>
          <w:tab w:val="left" w:pos="1872"/>
        </w:tabs>
        <w:spacing w:before="235"/>
        <w:ind w:left="1872" w:hanging="499"/>
      </w:pPr>
      <w:r>
        <w:rPr>
          <w:color w:val="221F1F"/>
        </w:rPr>
        <w:t>The</w:t>
      </w:r>
      <w:r>
        <w:rPr>
          <w:color w:val="221F1F"/>
          <w:spacing w:val="-5"/>
        </w:rPr>
        <w:t xml:space="preserve"> </w:t>
      </w:r>
      <w:r>
        <w:rPr>
          <w:color w:val="221F1F"/>
        </w:rPr>
        <w:t>form</w:t>
      </w:r>
      <w:r>
        <w:rPr>
          <w:color w:val="221F1F"/>
          <w:spacing w:val="-4"/>
        </w:rPr>
        <w:t xml:space="preserve"> </w:t>
      </w:r>
      <w:r>
        <w:rPr>
          <w:color w:val="221F1F"/>
        </w:rPr>
        <w:t>and</w:t>
      </w:r>
      <w:r>
        <w:rPr>
          <w:color w:val="221F1F"/>
          <w:spacing w:val="-3"/>
        </w:rPr>
        <w:t xml:space="preserve"> </w:t>
      </w:r>
      <w:r>
        <w:rPr>
          <w:color w:val="221F1F"/>
        </w:rPr>
        <w:t>nature</w:t>
      </w:r>
      <w:r>
        <w:rPr>
          <w:color w:val="221F1F"/>
          <w:spacing w:val="-1"/>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Site,</w:t>
      </w:r>
      <w:r>
        <w:rPr>
          <w:color w:val="221F1F"/>
          <w:spacing w:val="-4"/>
        </w:rPr>
        <w:t xml:space="preserve"> </w:t>
      </w:r>
      <w:r>
        <w:rPr>
          <w:color w:val="221F1F"/>
        </w:rPr>
        <w:t>including</w:t>
      </w:r>
      <w:r>
        <w:rPr>
          <w:color w:val="221F1F"/>
          <w:spacing w:val="-5"/>
        </w:rPr>
        <w:t xml:space="preserve"> </w:t>
      </w:r>
      <w:r>
        <w:rPr>
          <w:color w:val="221F1F"/>
        </w:rPr>
        <w:t>sub-surface</w:t>
      </w:r>
      <w:r>
        <w:rPr>
          <w:color w:val="221F1F"/>
          <w:spacing w:val="-3"/>
        </w:rPr>
        <w:t xml:space="preserve"> </w:t>
      </w:r>
      <w:r>
        <w:rPr>
          <w:color w:val="221F1F"/>
          <w:spacing w:val="-2"/>
        </w:rPr>
        <w:t>conditions,</w:t>
      </w:r>
    </w:p>
    <w:p w:rsidR="007F6DF9" w:rsidRDefault="00A43FBC">
      <w:pPr>
        <w:pStyle w:val="ListParagraph"/>
        <w:numPr>
          <w:ilvl w:val="0"/>
          <w:numId w:val="43"/>
        </w:numPr>
        <w:tabs>
          <w:tab w:val="left" w:pos="1872"/>
        </w:tabs>
        <w:spacing w:before="39"/>
        <w:ind w:left="1872" w:hanging="499"/>
      </w:pPr>
      <w:r>
        <w:rPr>
          <w:color w:val="221F1F"/>
        </w:rPr>
        <w:t>the</w:t>
      </w:r>
      <w:r>
        <w:rPr>
          <w:color w:val="221F1F"/>
          <w:spacing w:val="-5"/>
        </w:rPr>
        <w:t xml:space="preserve"> </w:t>
      </w:r>
      <w:r>
        <w:rPr>
          <w:color w:val="221F1F"/>
        </w:rPr>
        <w:t>hydrological</w:t>
      </w:r>
      <w:r>
        <w:rPr>
          <w:color w:val="221F1F"/>
          <w:spacing w:val="-2"/>
        </w:rPr>
        <w:t xml:space="preserve"> </w:t>
      </w:r>
      <w:r>
        <w:rPr>
          <w:color w:val="221F1F"/>
        </w:rPr>
        <w:t>and</w:t>
      </w:r>
      <w:r>
        <w:rPr>
          <w:color w:val="221F1F"/>
          <w:spacing w:val="-6"/>
        </w:rPr>
        <w:t xml:space="preserve"> </w:t>
      </w:r>
      <w:r>
        <w:rPr>
          <w:color w:val="221F1F"/>
        </w:rPr>
        <w:t>climatic</w:t>
      </w:r>
      <w:r>
        <w:rPr>
          <w:color w:val="221F1F"/>
          <w:spacing w:val="-3"/>
        </w:rPr>
        <w:t xml:space="preserve"> </w:t>
      </w:r>
      <w:r>
        <w:rPr>
          <w:color w:val="221F1F"/>
          <w:spacing w:val="-2"/>
        </w:rPr>
        <w:t>conditions,</w:t>
      </w:r>
    </w:p>
    <w:p w:rsidR="007F6DF9" w:rsidRDefault="00A43FBC">
      <w:pPr>
        <w:pStyle w:val="ListParagraph"/>
        <w:numPr>
          <w:ilvl w:val="0"/>
          <w:numId w:val="43"/>
        </w:numPr>
        <w:tabs>
          <w:tab w:val="left" w:pos="1872"/>
          <w:tab w:val="left" w:pos="1885"/>
        </w:tabs>
        <w:spacing w:before="48" w:line="230" w:lineRule="auto"/>
        <w:ind w:left="1885" w:right="637" w:hanging="512"/>
      </w:pPr>
      <w:r>
        <w:rPr>
          <w:color w:val="221F1F"/>
        </w:rPr>
        <w:t>the</w:t>
      </w:r>
      <w:r>
        <w:rPr>
          <w:color w:val="221F1F"/>
          <w:spacing w:val="-2"/>
        </w:rPr>
        <w:t xml:space="preserve"> </w:t>
      </w:r>
      <w:r>
        <w:rPr>
          <w:color w:val="221F1F"/>
        </w:rPr>
        <w:t>extent</w:t>
      </w:r>
      <w:r>
        <w:rPr>
          <w:color w:val="221F1F"/>
          <w:spacing w:val="-1"/>
        </w:rPr>
        <w:t xml:space="preserve"> </w:t>
      </w:r>
      <w:r>
        <w:rPr>
          <w:color w:val="221F1F"/>
        </w:rPr>
        <w:t>and</w:t>
      </w:r>
      <w:r>
        <w:rPr>
          <w:color w:val="221F1F"/>
          <w:spacing w:val="-2"/>
        </w:rPr>
        <w:t xml:space="preserve"> </w:t>
      </w:r>
      <w:r>
        <w:rPr>
          <w:color w:val="221F1F"/>
        </w:rPr>
        <w:t>nature</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work</w:t>
      </w:r>
      <w:r>
        <w:rPr>
          <w:color w:val="221F1F"/>
          <w:spacing w:val="-2"/>
        </w:rPr>
        <w:t xml:space="preserve"> </w:t>
      </w:r>
      <w:r>
        <w:rPr>
          <w:color w:val="221F1F"/>
        </w:rPr>
        <w:t>and</w:t>
      </w:r>
      <w:r>
        <w:rPr>
          <w:color w:val="221F1F"/>
          <w:spacing w:val="-2"/>
        </w:rPr>
        <w:t xml:space="preserve"> </w:t>
      </w:r>
      <w:r>
        <w:rPr>
          <w:color w:val="221F1F"/>
        </w:rPr>
        <w:t>Goods</w:t>
      </w:r>
      <w:r>
        <w:rPr>
          <w:color w:val="221F1F"/>
          <w:spacing w:val="-2"/>
        </w:rPr>
        <w:t xml:space="preserve"> </w:t>
      </w:r>
      <w:r>
        <w:rPr>
          <w:color w:val="221F1F"/>
        </w:rPr>
        <w:t>necessary</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and</w:t>
      </w:r>
      <w:r>
        <w:rPr>
          <w:color w:val="221F1F"/>
          <w:spacing w:val="-2"/>
        </w:rPr>
        <w:t xml:space="preserve"> </w:t>
      </w:r>
      <w:r>
        <w:rPr>
          <w:color w:val="221F1F"/>
        </w:rPr>
        <w:t>completion</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Works and the remedying of any defects,</w:t>
      </w:r>
    </w:p>
    <w:p w:rsidR="007F6DF9" w:rsidRDefault="00A43FBC">
      <w:pPr>
        <w:pStyle w:val="ListParagraph"/>
        <w:numPr>
          <w:ilvl w:val="0"/>
          <w:numId w:val="43"/>
        </w:numPr>
        <w:tabs>
          <w:tab w:val="left" w:pos="1872"/>
        </w:tabs>
        <w:spacing w:before="42"/>
        <w:ind w:left="1872" w:hanging="499"/>
      </w:pPr>
      <w:r>
        <w:rPr>
          <w:color w:val="221F1F"/>
        </w:rPr>
        <w:t>the</w:t>
      </w:r>
      <w:r>
        <w:rPr>
          <w:color w:val="221F1F"/>
          <w:spacing w:val="-3"/>
        </w:rPr>
        <w:t xml:space="preserve"> </w:t>
      </w:r>
      <w:r>
        <w:rPr>
          <w:color w:val="221F1F"/>
        </w:rPr>
        <w:t>Laws,</w:t>
      </w:r>
      <w:r>
        <w:rPr>
          <w:color w:val="221F1F"/>
          <w:spacing w:val="-4"/>
        </w:rPr>
        <w:t xml:space="preserve"> </w:t>
      </w:r>
      <w:r>
        <w:rPr>
          <w:color w:val="221F1F"/>
        </w:rPr>
        <w:t>procedures</w:t>
      </w:r>
      <w:r>
        <w:rPr>
          <w:color w:val="221F1F"/>
          <w:spacing w:val="-1"/>
        </w:rPr>
        <w:t xml:space="preserve"> </w:t>
      </w:r>
      <w:r>
        <w:rPr>
          <w:color w:val="221F1F"/>
        </w:rPr>
        <w:t>and</w:t>
      </w:r>
      <w:r>
        <w:rPr>
          <w:color w:val="221F1F"/>
          <w:spacing w:val="-5"/>
        </w:rPr>
        <w:t xml:space="preserve"> </w:t>
      </w:r>
      <w:proofErr w:type="spellStart"/>
      <w:r>
        <w:rPr>
          <w:color w:val="221F1F"/>
        </w:rPr>
        <w:t>labour</w:t>
      </w:r>
      <w:proofErr w:type="spellEnd"/>
      <w:r>
        <w:rPr>
          <w:color w:val="221F1F"/>
          <w:spacing w:val="-3"/>
        </w:rPr>
        <w:t xml:space="preserve"> </w:t>
      </w:r>
      <w:r>
        <w:rPr>
          <w:color w:val="221F1F"/>
        </w:rPr>
        <w:t>practices</w:t>
      </w:r>
      <w:r>
        <w:rPr>
          <w:color w:val="221F1F"/>
          <w:spacing w:val="-3"/>
        </w:rPr>
        <w:t xml:space="preserve"> </w:t>
      </w:r>
      <w:r>
        <w:rPr>
          <w:color w:val="221F1F"/>
        </w:rPr>
        <w:t>of</w:t>
      </w:r>
      <w:r>
        <w:rPr>
          <w:color w:val="221F1F"/>
          <w:spacing w:val="-2"/>
        </w:rPr>
        <w:t xml:space="preserve"> </w:t>
      </w:r>
      <w:r>
        <w:rPr>
          <w:color w:val="221F1F"/>
        </w:rPr>
        <w:t>Kenya,</w:t>
      </w:r>
      <w:r>
        <w:rPr>
          <w:color w:val="221F1F"/>
          <w:spacing w:val="-4"/>
        </w:rPr>
        <w:t xml:space="preserve"> </w:t>
      </w:r>
      <w:r>
        <w:rPr>
          <w:color w:val="221F1F"/>
          <w:spacing w:val="-5"/>
        </w:rPr>
        <w:t>and</w:t>
      </w:r>
    </w:p>
    <w:p w:rsidR="007F6DF9" w:rsidRDefault="00A43FBC">
      <w:pPr>
        <w:pStyle w:val="ListParagraph"/>
        <w:numPr>
          <w:ilvl w:val="0"/>
          <w:numId w:val="43"/>
        </w:numPr>
        <w:tabs>
          <w:tab w:val="left" w:pos="1872"/>
          <w:tab w:val="left" w:pos="1885"/>
        </w:tabs>
        <w:spacing w:before="48" w:line="230" w:lineRule="auto"/>
        <w:ind w:left="1885" w:right="589" w:hanging="512"/>
      </w:pPr>
      <w:r>
        <w:rPr>
          <w:color w:val="221F1F"/>
        </w:rPr>
        <w:t>the</w:t>
      </w:r>
      <w:r>
        <w:rPr>
          <w:color w:val="221F1F"/>
          <w:spacing w:val="-3"/>
        </w:rPr>
        <w:t xml:space="preserve"> </w:t>
      </w:r>
      <w:r>
        <w:rPr>
          <w:color w:val="221F1F"/>
        </w:rPr>
        <w:t>Contractor's</w:t>
      </w:r>
      <w:r>
        <w:rPr>
          <w:color w:val="221F1F"/>
          <w:spacing w:val="-3"/>
        </w:rPr>
        <w:t xml:space="preserve"> </w:t>
      </w:r>
      <w:r>
        <w:rPr>
          <w:color w:val="221F1F"/>
        </w:rPr>
        <w:t>requirements</w:t>
      </w:r>
      <w:r>
        <w:rPr>
          <w:color w:val="221F1F"/>
          <w:spacing w:val="-3"/>
        </w:rPr>
        <w:t xml:space="preserve"> </w:t>
      </w:r>
      <w:r>
        <w:rPr>
          <w:color w:val="221F1F"/>
        </w:rPr>
        <w:t>for</w:t>
      </w:r>
      <w:r>
        <w:rPr>
          <w:color w:val="221F1F"/>
          <w:spacing w:val="-3"/>
        </w:rPr>
        <w:t xml:space="preserve"> </w:t>
      </w:r>
      <w:r>
        <w:rPr>
          <w:color w:val="221F1F"/>
        </w:rPr>
        <w:t>access,</w:t>
      </w:r>
      <w:r>
        <w:rPr>
          <w:color w:val="221F1F"/>
          <w:spacing w:val="-3"/>
        </w:rPr>
        <w:t xml:space="preserve"> </w:t>
      </w:r>
      <w:r>
        <w:rPr>
          <w:color w:val="221F1F"/>
        </w:rPr>
        <w:t>accommodation,</w:t>
      </w:r>
      <w:r>
        <w:rPr>
          <w:color w:val="221F1F"/>
          <w:spacing w:val="-3"/>
        </w:rPr>
        <w:t xml:space="preserve"> </w:t>
      </w:r>
      <w:r>
        <w:rPr>
          <w:color w:val="221F1F"/>
        </w:rPr>
        <w:t>facilities,</w:t>
      </w:r>
      <w:r>
        <w:rPr>
          <w:color w:val="221F1F"/>
          <w:spacing w:val="-3"/>
        </w:rPr>
        <w:t xml:space="preserve"> </w:t>
      </w:r>
      <w:r>
        <w:rPr>
          <w:color w:val="221F1F"/>
        </w:rPr>
        <w:t>personnel,</w:t>
      </w:r>
      <w:r>
        <w:rPr>
          <w:color w:val="221F1F"/>
          <w:spacing w:val="-3"/>
        </w:rPr>
        <w:t xml:space="preserve"> </w:t>
      </w:r>
      <w:r>
        <w:rPr>
          <w:color w:val="221F1F"/>
        </w:rPr>
        <w:t>power,</w:t>
      </w:r>
      <w:r>
        <w:rPr>
          <w:color w:val="221F1F"/>
          <w:spacing w:val="-3"/>
        </w:rPr>
        <w:t xml:space="preserve"> </w:t>
      </w:r>
      <w:r>
        <w:rPr>
          <w:color w:val="221F1F"/>
        </w:rPr>
        <w:t>transport,</w:t>
      </w:r>
      <w:r>
        <w:rPr>
          <w:color w:val="221F1F"/>
          <w:spacing w:val="-3"/>
        </w:rPr>
        <w:t xml:space="preserve"> </w:t>
      </w:r>
      <w:r>
        <w:rPr>
          <w:color w:val="221F1F"/>
        </w:rPr>
        <w:t>water and other services.</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7F6DF9">
      <w:pPr>
        <w:pStyle w:val="BodyText"/>
        <w:spacing w:before="94"/>
      </w:pPr>
    </w:p>
    <w:p w:rsidR="007F6DF9" w:rsidRDefault="00A43FBC">
      <w:pPr>
        <w:pStyle w:val="Heading9"/>
        <w:numPr>
          <w:ilvl w:val="1"/>
          <w:numId w:val="122"/>
        </w:numPr>
        <w:tabs>
          <w:tab w:val="left" w:pos="1373"/>
        </w:tabs>
        <w:ind w:left="1373" w:hanging="667"/>
        <w:jc w:val="both"/>
        <w:rPr>
          <w:color w:val="221F1F"/>
        </w:rPr>
      </w:pPr>
      <w:r>
        <w:rPr>
          <w:color w:val="221F1F"/>
        </w:rPr>
        <w:t>Sufficiency</w:t>
      </w:r>
      <w:r>
        <w:rPr>
          <w:color w:val="221F1F"/>
          <w:spacing w:val="-7"/>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Accepted</w:t>
      </w:r>
      <w:r>
        <w:rPr>
          <w:color w:val="221F1F"/>
          <w:spacing w:val="-6"/>
        </w:rPr>
        <w:t xml:space="preserve"> </w:t>
      </w:r>
      <w:r>
        <w:rPr>
          <w:color w:val="221F1F"/>
        </w:rPr>
        <w:t>Contract</w:t>
      </w:r>
      <w:r>
        <w:rPr>
          <w:color w:val="221F1F"/>
          <w:spacing w:val="-5"/>
        </w:rPr>
        <w:t xml:space="preserve"> </w:t>
      </w:r>
      <w:r>
        <w:rPr>
          <w:color w:val="221F1F"/>
          <w:spacing w:val="-2"/>
        </w:rPr>
        <w:t>Amount</w:t>
      </w:r>
    </w:p>
    <w:p w:rsidR="007F6DF9" w:rsidRDefault="007F6DF9">
      <w:pPr>
        <w:pStyle w:val="BodyText"/>
        <w:spacing w:before="84"/>
        <w:rPr>
          <w:b/>
        </w:rPr>
      </w:pPr>
    </w:p>
    <w:p w:rsidR="007F6DF9" w:rsidRDefault="00A43FBC">
      <w:pPr>
        <w:pStyle w:val="ListParagraph"/>
        <w:numPr>
          <w:ilvl w:val="2"/>
          <w:numId w:val="122"/>
        </w:numPr>
        <w:tabs>
          <w:tab w:val="left" w:pos="1372"/>
        </w:tabs>
        <w:ind w:left="1372" w:hanging="666"/>
        <w:jc w:val="both"/>
        <w:rPr>
          <w:color w:val="221F1F"/>
        </w:rPr>
      </w:pPr>
      <w:proofErr w:type="spellStart"/>
      <w:r>
        <w:rPr>
          <w:color w:val="221F1F"/>
        </w:rPr>
        <w:t>TheContractor</w:t>
      </w:r>
      <w:proofErr w:type="spellEnd"/>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deemed</w:t>
      </w:r>
      <w:r>
        <w:rPr>
          <w:color w:val="221F1F"/>
          <w:spacing w:val="-4"/>
        </w:rPr>
        <w:t xml:space="preserve"> </w:t>
      </w:r>
      <w:r>
        <w:rPr>
          <w:color w:val="221F1F"/>
          <w:spacing w:val="-5"/>
        </w:rPr>
        <w:t>to:</w:t>
      </w:r>
    </w:p>
    <w:p w:rsidR="007F6DF9" w:rsidRDefault="00A43FBC">
      <w:pPr>
        <w:pStyle w:val="ListParagraph"/>
        <w:numPr>
          <w:ilvl w:val="0"/>
          <w:numId w:val="42"/>
        </w:numPr>
        <w:tabs>
          <w:tab w:val="left" w:pos="1880"/>
        </w:tabs>
        <w:spacing w:before="41"/>
        <w:ind w:left="1880" w:hanging="507"/>
        <w:jc w:val="both"/>
      </w:pPr>
      <w:r>
        <w:rPr>
          <w:color w:val="221F1F"/>
        </w:rPr>
        <w:t>Have</w:t>
      </w:r>
      <w:r>
        <w:rPr>
          <w:color w:val="221F1F"/>
          <w:spacing w:val="-5"/>
        </w:rPr>
        <w:t xml:space="preserve"> </w:t>
      </w:r>
      <w:r>
        <w:rPr>
          <w:color w:val="221F1F"/>
        </w:rPr>
        <w:t>satisfied</w:t>
      </w:r>
      <w:r>
        <w:rPr>
          <w:color w:val="221F1F"/>
          <w:spacing w:val="-7"/>
        </w:rPr>
        <w:t xml:space="preserve"> </w:t>
      </w:r>
      <w:r>
        <w:rPr>
          <w:color w:val="221F1F"/>
        </w:rPr>
        <w:t>itself</w:t>
      </w:r>
      <w:r>
        <w:rPr>
          <w:color w:val="221F1F"/>
          <w:spacing w:val="-3"/>
        </w:rPr>
        <w:t xml:space="preserve"> </w:t>
      </w:r>
      <w:r>
        <w:rPr>
          <w:color w:val="221F1F"/>
        </w:rPr>
        <w:t>as</w:t>
      </w:r>
      <w:r>
        <w:rPr>
          <w:color w:val="221F1F"/>
          <w:spacing w:val="-6"/>
        </w:rPr>
        <w:t xml:space="preserve"> </w:t>
      </w:r>
      <w:r>
        <w:rPr>
          <w:color w:val="221F1F"/>
        </w:rPr>
        <w:t>to</w:t>
      </w:r>
      <w:r>
        <w:rPr>
          <w:color w:val="221F1F"/>
          <w:spacing w:val="-7"/>
        </w:rPr>
        <w:t xml:space="preserve"> </w:t>
      </w:r>
      <w:r>
        <w:rPr>
          <w:color w:val="221F1F"/>
        </w:rPr>
        <w:t>the</w:t>
      </w:r>
      <w:r>
        <w:rPr>
          <w:color w:val="221F1F"/>
          <w:spacing w:val="-6"/>
        </w:rPr>
        <w:t xml:space="preserve"> </w:t>
      </w:r>
      <w:r>
        <w:rPr>
          <w:color w:val="221F1F"/>
        </w:rPr>
        <w:t>correctness</w:t>
      </w:r>
      <w:r>
        <w:rPr>
          <w:color w:val="221F1F"/>
          <w:spacing w:val="-4"/>
        </w:rPr>
        <w:t xml:space="preserve"> </w:t>
      </w:r>
      <w:r>
        <w:rPr>
          <w:color w:val="221F1F"/>
        </w:rPr>
        <w:t>and</w:t>
      </w:r>
      <w:r>
        <w:rPr>
          <w:color w:val="221F1F"/>
          <w:spacing w:val="-5"/>
        </w:rPr>
        <w:t xml:space="preserve"> </w:t>
      </w:r>
      <w:r>
        <w:rPr>
          <w:color w:val="221F1F"/>
        </w:rPr>
        <w:t>sufficiency</w:t>
      </w:r>
      <w:r>
        <w:rPr>
          <w:color w:val="221F1F"/>
          <w:spacing w:val="-5"/>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Accepted</w:t>
      </w:r>
      <w:r>
        <w:rPr>
          <w:color w:val="221F1F"/>
          <w:spacing w:val="-5"/>
        </w:rPr>
        <w:t xml:space="preserve"> </w:t>
      </w:r>
      <w:r>
        <w:rPr>
          <w:color w:val="221F1F"/>
        </w:rPr>
        <w:t>Contract</w:t>
      </w:r>
      <w:r>
        <w:rPr>
          <w:color w:val="221F1F"/>
          <w:spacing w:val="-6"/>
        </w:rPr>
        <w:t xml:space="preserve"> </w:t>
      </w:r>
      <w:r>
        <w:rPr>
          <w:color w:val="221F1F"/>
        </w:rPr>
        <w:t>Amount,</w:t>
      </w:r>
      <w:r>
        <w:rPr>
          <w:color w:val="221F1F"/>
          <w:spacing w:val="-5"/>
        </w:rPr>
        <w:t xml:space="preserve"> and</w:t>
      </w:r>
    </w:p>
    <w:p w:rsidR="007F6DF9" w:rsidRDefault="00A43FBC">
      <w:pPr>
        <w:pStyle w:val="ListParagraph"/>
        <w:numPr>
          <w:ilvl w:val="0"/>
          <w:numId w:val="42"/>
        </w:numPr>
        <w:tabs>
          <w:tab w:val="left" w:pos="1880"/>
          <w:tab w:val="left" w:pos="1882"/>
        </w:tabs>
        <w:spacing w:before="48" w:line="230" w:lineRule="auto"/>
        <w:ind w:right="565"/>
        <w:jc w:val="both"/>
      </w:pPr>
      <w:r>
        <w:rPr>
          <w:color w:val="221F1F"/>
        </w:rPr>
        <w:t>have based the Accepted Contract Amount on the data, interpretations, necessary information, inspections,</w:t>
      </w:r>
      <w:r>
        <w:rPr>
          <w:color w:val="221F1F"/>
          <w:spacing w:val="-6"/>
        </w:rPr>
        <w:t xml:space="preserve"> </w:t>
      </w:r>
      <w:r>
        <w:rPr>
          <w:color w:val="221F1F"/>
        </w:rPr>
        <w:t>examinations</w:t>
      </w:r>
      <w:r>
        <w:rPr>
          <w:color w:val="221F1F"/>
          <w:spacing w:val="-5"/>
        </w:rPr>
        <w:t xml:space="preserve"> </w:t>
      </w:r>
      <w:r>
        <w:rPr>
          <w:color w:val="221F1F"/>
        </w:rPr>
        <w:t>and</w:t>
      </w:r>
      <w:r>
        <w:rPr>
          <w:color w:val="221F1F"/>
          <w:spacing w:val="-7"/>
        </w:rPr>
        <w:t xml:space="preserve"> </w:t>
      </w:r>
      <w:r>
        <w:rPr>
          <w:color w:val="221F1F"/>
        </w:rPr>
        <w:t>satisfaction</w:t>
      </w:r>
      <w:r>
        <w:rPr>
          <w:color w:val="221F1F"/>
          <w:spacing w:val="-6"/>
        </w:rPr>
        <w:t xml:space="preserve"> </w:t>
      </w:r>
      <w:r>
        <w:rPr>
          <w:color w:val="221F1F"/>
        </w:rPr>
        <w:t>as</w:t>
      </w:r>
      <w:r>
        <w:rPr>
          <w:color w:val="221F1F"/>
          <w:spacing w:val="-7"/>
        </w:rPr>
        <w:t xml:space="preserve"> </w:t>
      </w:r>
      <w:r>
        <w:rPr>
          <w:color w:val="221F1F"/>
        </w:rPr>
        <w:t>to</w:t>
      </w:r>
      <w:r>
        <w:rPr>
          <w:color w:val="221F1F"/>
          <w:spacing w:val="-9"/>
        </w:rPr>
        <w:t xml:space="preserve"> </w:t>
      </w:r>
      <w:r>
        <w:rPr>
          <w:color w:val="221F1F"/>
        </w:rPr>
        <w:t>all</w:t>
      </w:r>
      <w:r>
        <w:rPr>
          <w:color w:val="221F1F"/>
          <w:spacing w:val="-5"/>
        </w:rPr>
        <w:t xml:space="preserve"> </w:t>
      </w:r>
      <w:r>
        <w:rPr>
          <w:color w:val="221F1F"/>
        </w:rPr>
        <w:t>relevant</w:t>
      </w:r>
      <w:r>
        <w:rPr>
          <w:color w:val="221F1F"/>
          <w:spacing w:val="-8"/>
        </w:rPr>
        <w:t xml:space="preserve"> </w:t>
      </w:r>
      <w:r>
        <w:rPr>
          <w:color w:val="221F1F"/>
        </w:rPr>
        <w:t>matters</w:t>
      </w:r>
      <w:r>
        <w:rPr>
          <w:color w:val="221F1F"/>
          <w:spacing w:val="-6"/>
        </w:rPr>
        <w:t xml:space="preserve"> </w:t>
      </w:r>
      <w:r>
        <w:rPr>
          <w:color w:val="221F1F"/>
        </w:rPr>
        <w:t>referred</w:t>
      </w:r>
      <w:r>
        <w:rPr>
          <w:color w:val="221F1F"/>
          <w:spacing w:val="-6"/>
        </w:rPr>
        <w:t xml:space="preserve"> </w:t>
      </w:r>
      <w:r>
        <w:rPr>
          <w:color w:val="221F1F"/>
        </w:rPr>
        <w:t>to</w:t>
      </w:r>
      <w:r>
        <w:rPr>
          <w:color w:val="221F1F"/>
          <w:spacing w:val="-9"/>
        </w:rPr>
        <w:t xml:space="preserve"> </w:t>
      </w:r>
      <w:r>
        <w:rPr>
          <w:color w:val="221F1F"/>
        </w:rPr>
        <w:t>in</w:t>
      </w:r>
      <w:r>
        <w:rPr>
          <w:color w:val="221F1F"/>
          <w:spacing w:val="-7"/>
        </w:rPr>
        <w:t xml:space="preserve"> </w:t>
      </w:r>
      <w:r>
        <w:rPr>
          <w:color w:val="221F1F"/>
        </w:rPr>
        <w:t>Sub-Clause</w:t>
      </w:r>
      <w:r>
        <w:rPr>
          <w:color w:val="221F1F"/>
          <w:spacing w:val="-6"/>
        </w:rPr>
        <w:t xml:space="preserve"> </w:t>
      </w:r>
      <w:r>
        <w:rPr>
          <w:color w:val="221F1F"/>
        </w:rPr>
        <w:t>4.10</w:t>
      </w:r>
      <w:r>
        <w:rPr>
          <w:color w:val="221F1F"/>
          <w:spacing w:val="-7"/>
        </w:rPr>
        <w:t xml:space="preserve"> </w:t>
      </w:r>
      <w:r>
        <w:rPr>
          <w:color w:val="221F1F"/>
        </w:rPr>
        <w:t xml:space="preserve">[Site </w:t>
      </w:r>
      <w:r>
        <w:rPr>
          <w:color w:val="221F1F"/>
          <w:spacing w:val="-2"/>
        </w:rPr>
        <w:t>Data].</w:t>
      </w:r>
    </w:p>
    <w:p w:rsidR="007F6DF9" w:rsidRDefault="007F6DF9">
      <w:pPr>
        <w:pStyle w:val="BodyText"/>
        <w:spacing w:before="103"/>
      </w:pPr>
    </w:p>
    <w:p w:rsidR="007F6DF9" w:rsidRDefault="00A43FBC">
      <w:pPr>
        <w:pStyle w:val="ListParagraph"/>
        <w:numPr>
          <w:ilvl w:val="2"/>
          <w:numId w:val="122"/>
        </w:numPr>
        <w:tabs>
          <w:tab w:val="left" w:pos="1371"/>
          <w:tab w:val="left" w:pos="1385"/>
        </w:tabs>
        <w:spacing w:line="230" w:lineRule="auto"/>
        <w:ind w:left="1385" w:right="566" w:hanging="680"/>
        <w:jc w:val="both"/>
        <w:rPr>
          <w:color w:val="221F1F"/>
        </w:rPr>
      </w:pPr>
      <w:r>
        <w:rPr>
          <w:color w:val="221F1F"/>
        </w:rPr>
        <w:t>Unless</w:t>
      </w:r>
      <w:r>
        <w:rPr>
          <w:color w:val="221F1F"/>
          <w:spacing w:val="-13"/>
        </w:rPr>
        <w:t xml:space="preserve"> </w:t>
      </w:r>
      <w:r>
        <w:rPr>
          <w:color w:val="221F1F"/>
        </w:rPr>
        <w:t>otherwise</w:t>
      </w:r>
      <w:r>
        <w:rPr>
          <w:color w:val="221F1F"/>
          <w:spacing w:val="-11"/>
        </w:rPr>
        <w:t xml:space="preserve"> </w:t>
      </w:r>
      <w:r>
        <w:rPr>
          <w:color w:val="221F1F"/>
        </w:rPr>
        <w:t>stated</w:t>
      </w:r>
      <w:r>
        <w:rPr>
          <w:color w:val="221F1F"/>
          <w:spacing w:val="-14"/>
        </w:rPr>
        <w:t xml:space="preserve"> </w:t>
      </w:r>
      <w:r>
        <w:rPr>
          <w:color w:val="221F1F"/>
        </w:rPr>
        <w:t>in</w:t>
      </w:r>
      <w:r>
        <w:rPr>
          <w:color w:val="221F1F"/>
          <w:spacing w:val="-13"/>
        </w:rPr>
        <w:t xml:space="preserve"> </w:t>
      </w:r>
      <w:r>
        <w:rPr>
          <w:color w:val="221F1F"/>
        </w:rPr>
        <w:t>the</w:t>
      </w:r>
      <w:r>
        <w:rPr>
          <w:color w:val="221F1F"/>
          <w:spacing w:val="-12"/>
        </w:rPr>
        <w:t xml:space="preserve"> </w:t>
      </w:r>
      <w:r>
        <w:rPr>
          <w:color w:val="221F1F"/>
        </w:rPr>
        <w:t>Contract,</w:t>
      </w:r>
      <w:r>
        <w:rPr>
          <w:color w:val="221F1F"/>
          <w:spacing w:val="-11"/>
        </w:rPr>
        <w:t xml:space="preserve"> </w:t>
      </w:r>
      <w:r>
        <w:rPr>
          <w:color w:val="221F1F"/>
        </w:rPr>
        <w:t>the</w:t>
      </w:r>
      <w:r>
        <w:rPr>
          <w:color w:val="221F1F"/>
          <w:spacing w:val="-12"/>
        </w:rPr>
        <w:t xml:space="preserve"> </w:t>
      </w:r>
      <w:r>
        <w:rPr>
          <w:color w:val="221F1F"/>
        </w:rPr>
        <w:t>Accepted</w:t>
      </w:r>
      <w:r>
        <w:rPr>
          <w:color w:val="221F1F"/>
          <w:spacing w:val="-11"/>
        </w:rPr>
        <w:t xml:space="preserve"> </w:t>
      </w:r>
      <w:r>
        <w:rPr>
          <w:color w:val="221F1F"/>
        </w:rPr>
        <w:t>Contract</w:t>
      </w:r>
      <w:r>
        <w:rPr>
          <w:color w:val="221F1F"/>
          <w:spacing w:val="-12"/>
        </w:rPr>
        <w:t xml:space="preserve"> </w:t>
      </w:r>
      <w:r>
        <w:rPr>
          <w:color w:val="221F1F"/>
        </w:rPr>
        <w:t>Amount</w:t>
      </w:r>
      <w:r>
        <w:rPr>
          <w:color w:val="221F1F"/>
          <w:spacing w:val="-11"/>
        </w:rPr>
        <w:t xml:space="preserve"> </w:t>
      </w:r>
      <w:r>
        <w:rPr>
          <w:color w:val="221F1F"/>
        </w:rPr>
        <w:t>covers</w:t>
      </w:r>
      <w:r>
        <w:rPr>
          <w:color w:val="221F1F"/>
          <w:spacing w:val="-11"/>
        </w:rPr>
        <w:t xml:space="preserve"> </w:t>
      </w:r>
      <w:r>
        <w:rPr>
          <w:color w:val="221F1F"/>
        </w:rPr>
        <w:t>all</w:t>
      </w:r>
      <w:r>
        <w:rPr>
          <w:color w:val="221F1F"/>
          <w:spacing w:val="-13"/>
        </w:rPr>
        <w:t xml:space="preserve"> </w:t>
      </w:r>
      <w:r>
        <w:rPr>
          <w:color w:val="221F1F"/>
        </w:rPr>
        <w:t>the</w:t>
      </w:r>
      <w:r>
        <w:rPr>
          <w:color w:val="221F1F"/>
          <w:spacing w:val="-11"/>
        </w:rPr>
        <w:t xml:space="preserve"> </w:t>
      </w:r>
      <w:r>
        <w:rPr>
          <w:color w:val="221F1F"/>
        </w:rPr>
        <w:t>Contractor's</w:t>
      </w:r>
      <w:r>
        <w:rPr>
          <w:color w:val="221F1F"/>
          <w:spacing w:val="-11"/>
        </w:rPr>
        <w:t xml:space="preserve"> </w:t>
      </w:r>
      <w:r>
        <w:rPr>
          <w:color w:val="221F1F"/>
        </w:rPr>
        <w:t>obligations under the Contract (including those under Provisional Sums, if any) and all things necessary for the proper execution and completion of the Works and the remedying of any defects.</w:t>
      </w:r>
    </w:p>
    <w:p w:rsidR="007F6DF9" w:rsidRDefault="00A43FBC">
      <w:pPr>
        <w:pStyle w:val="Heading9"/>
        <w:numPr>
          <w:ilvl w:val="1"/>
          <w:numId w:val="122"/>
        </w:numPr>
        <w:tabs>
          <w:tab w:val="left" w:pos="1373"/>
        </w:tabs>
        <w:spacing w:before="235"/>
        <w:ind w:left="1373" w:hanging="667"/>
        <w:jc w:val="both"/>
        <w:rPr>
          <w:color w:val="221F1F"/>
        </w:rPr>
      </w:pPr>
      <w:r>
        <w:rPr>
          <w:color w:val="221F1F"/>
        </w:rPr>
        <w:t>Unforeseeable</w:t>
      </w:r>
      <w:r>
        <w:rPr>
          <w:color w:val="221F1F"/>
          <w:spacing w:val="-5"/>
        </w:rPr>
        <w:t xml:space="preserve"> </w:t>
      </w:r>
      <w:r>
        <w:rPr>
          <w:color w:val="221F1F"/>
        </w:rPr>
        <w:t>Physical</w:t>
      </w:r>
      <w:r>
        <w:rPr>
          <w:color w:val="221F1F"/>
          <w:spacing w:val="-5"/>
        </w:rPr>
        <w:t xml:space="preserve"> </w:t>
      </w:r>
      <w:r>
        <w:rPr>
          <w:color w:val="221F1F"/>
          <w:spacing w:val="-2"/>
        </w:rPr>
        <w:t>Conditions</w:t>
      </w:r>
    </w:p>
    <w:p w:rsidR="007F6DF9" w:rsidRDefault="007F6DF9">
      <w:pPr>
        <w:pStyle w:val="BodyText"/>
        <w:spacing w:before="105"/>
        <w:rPr>
          <w:b/>
        </w:rPr>
      </w:pPr>
    </w:p>
    <w:p w:rsidR="007F6DF9" w:rsidRDefault="00A43FBC">
      <w:pPr>
        <w:pStyle w:val="ListParagraph"/>
        <w:numPr>
          <w:ilvl w:val="2"/>
          <w:numId w:val="122"/>
        </w:numPr>
        <w:tabs>
          <w:tab w:val="left" w:pos="1381"/>
          <w:tab w:val="left" w:pos="1385"/>
        </w:tabs>
        <w:spacing w:line="230" w:lineRule="auto"/>
        <w:ind w:left="1385" w:right="565" w:hanging="680"/>
        <w:jc w:val="both"/>
        <w:rPr>
          <w:color w:val="221F1F"/>
        </w:rPr>
      </w:pPr>
      <w:r>
        <w:rPr>
          <w:color w:val="221F1F"/>
        </w:rPr>
        <w:t>In</w:t>
      </w:r>
      <w:r>
        <w:rPr>
          <w:color w:val="221F1F"/>
          <w:spacing w:val="-14"/>
        </w:rPr>
        <w:t xml:space="preserve"> </w:t>
      </w:r>
      <w:r>
        <w:rPr>
          <w:color w:val="221F1F"/>
        </w:rPr>
        <w:t>this</w:t>
      </w:r>
      <w:r>
        <w:rPr>
          <w:color w:val="221F1F"/>
          <w:spacing w:val="-14"/>
        </w:rPr>
        <w:t xml:space="preserve"> </w:t>
      </w:r>
      <w:r>
        <w:rPr>
          <w:color w:val="221F1F"/>
        </w:rPr>
        <w:t>Sub-Clause,</w:t>
      </w:r>
      <w:r>
        <w:rPr>
          <w:color w:val="221F1F"/>
          <w:spacing w:val="-14"/>
        </w:rPr>
        <w:t xml:space="preserve"> </w:t>
      </w:r>
      <w:r>
        <w:rPr>
          <w:color w:val="221F1F"/>
        </w:rPr>
        <w:t>“physical</w:t>
      </w:r>
      <w:r>
        <w:rPr>
          <w:color w:val="221F1F"/>
          <w:spacing w:val="-13"/>
        </w:rPr>
        <w:t xml:space="preserve"> </w:t>
      </w:r>
      <w:r>
        <w:rPr>
          <w:color w:val="221F1F"/>
        </w:rPr>
        <w:t>conditions”</w:t>
      </w:r>
      <w:r>
        <w:rPr>
          <w:color w:val="221F1F"/>
          <w:spacing w:val="-14"/>
        </w:rPr>
        <w:t xml:space="preserve"> </w:t>
      </w:r>
      <w:r>
        <w:rPr>
          <w:color w:val="221F1F"/>
        </w:rPr>
        <w:t>means</w:t>
      </w:r>
      <w:r>
        <w:rPr>
          <w:color w:val="221F1F"/>
          <w:spacing w:val="-14"/>
        </w:rPr>
        <w:t xml:space="preserve"> </w:t>
      </w:r>
      <w:r>
        <w:rPr>
          <w:color w:val="221F1F"/>
        </w:rPr>
        <w:t>natural</w:t>
      </w:r>
      <w:r>
        <w:rPr>
          <w:color w:val="221F1F"/>
          <w:spacing w:val="-14"/>
        </w:rPr>
        <w:t xml:space="preserve"> </w:t>
      </w:r>
      <w:r>
        <w:rPr>
          <w:color w:val="221F1F"/>
        </w:rPr>
        <w:t>physical</w:t>
      </w:r>
      <w:r>
        <w:rPr>
          <w:color w:val="221F1F"/>
          <w:spacing w:val="-13"/>
        </w:rPr>
        <w:t xml:space="preserve"> </w:t>
      </w:r>
      <w:r>
        <w:rPr>
          <w:color w:val="221F1F"/>
        </w:rPr>
        <w:t>conditions</w:t>
      </w:r>
      <w:r>
        <w:rPr>
          <w:color w:val="221F1F"/>
          <w:spacing w:val="-14"/>
        </w:rPr>
        <w:t xml:space="preserve"> </w:t>
      </w:r>
      <w:r>
        <w:rPr>
          <w:color w:val="221F1F"/>
        </w:rPr>
        <w:t>and</w:t>
      </w:r>
      <w:r>
        <w:rPr>
          <w:color w:val="221F1F"/>
          <w:spacing w:val="-14"/>
        </w:rPr>
        <w:t xml:space="preserve"> </w:t>
      </w:r>
      <w:r>
        <w:rPr>
          <w:color w:val="221F1F"/>
        </w:rPr>
        <w:t>man-made</w:t>
      </w:r>
      <w:r>
        <w:rPr>
          <w:color w:val="221F1F"/>
          <w:spacing w:val="-14"/>
        </w:rPr>
        <w:t xml:space="preserve"> </w:t>
      </w:r>
      <w:r>
        <w:rPr>
          <w:color w:val="221F1F"/>
        </w:rPr>
        <w:t>and</w:t>
      </w:r>
      <w:r>
        <w:rPr>
          <w:color w:val="221F1F"/>
          <w:spacing w:val="-13"/>
        </w:rPr>
        <w:t xml:space="preserve"> </w:t>
      </w:r>
      <w:r>
        <w:rPr>
          <w:color w:val="221F1F"/>
        </w:rPr>
        <w:t>other</w:t>
      </w:r>
      <w:r>
        <w:rPr>
          <w:color w:val="221F1F"/>
          <w:spacing w:val="-14"/>
        </w:rPr>
        <w:t xml:space="preserve"> </w:t>
      </w:r>
      <w:r>
        <w:rPr>
          <w:color w:val="221F1F"/>
        </w:rPr>
        <w:t>physical obstructions</w:t>
      </w:r>
      <w:r>
        <w:rPr>
          <w:color w:val="221F1F"/>
          <w:spacing w:val="-8"/>
        </w:rPr>
        <w:t xml:space="preserve"> </w:t>
      </w:r>
      <w:r>
        <w:rPr>
          <w:color w:val="221F1F"/>
        </w:rPr>
        <w:t>and</w:t>
      </w:r>
      <w:r>
        <w:rPr>
          <w:color w:val="221F1F"/>
          <w:spacing w:val="-8"/>
        </w:rPr>
        <w:t xml:space="preserve"> </w:t>
      </w:r>
      <w:r>
        <w:rPr>
          <w:color w:val="221F1F"/>
        </w:rPr>
        <w:t>pollutants,</w:t>
      </w:r>
      <w:r>
        <w:rPr>
          <w:color w:val="221F1F"/>
          <w:spacing w:val="-9"/>
        </w:rPr>
        <w:t xml:space="preserve"> </w:t>
      </w:r>
      <w:r>
        <w:rPr>
          <w:color w:val="221F1F"/>
        </w:rPr>
        <w:t>which</w:t>
      </w:r>
      <w:r>
        <w:rPr>
          <w:color w:val="221F1F"/>
          <w:spacing w:val="-10"/>
        </w:rPr>
        <w:t xml:space="preserve"> </w:t>
      </w:r>
      <w:r>
        <w:rPr>
          <w:color w:val="221F1F"/>
        </w:rPr>
        <w:t>the</w:t>
      </w:r>
      <w:r>
        <w:rPr>
          <w:color w:val="221F1F"/>
          <w:spacing w:val="-7"/>
        </w:rPr>
        <w:t xml:space="preserve"> </w:t>
      </w:r>
      <w:r>
        <w:rPr>
          <w:color w:val="221F1F"/>
        </w:rPr>
        <w:t>Contractor</w:t>
      </w:r>
      <w:r>
        <w:rPr>
          <w:color w:val="221F1F"/>
          <w:spacing w:val="-9"/>
        </w:rPr>
        <w:t xml:space="preserve"> </w:t>
      </w:r>
      <w:r>
        <w:rPr>
          <w:color w:val="221F1F"/>
        </w:rPr>
        <w:t>encounters</w:t>
      </w:r>
      <w:r>
        <w:rPr>
          <w:color w:val="221F1F"/>
          <w:spacing w:val="-9"/>
        </w:rPr>
        <w:t xml:space="preserve"> </w:t>
      </w:r>
      <w:r>
        <w:rPr>
          <w:color w:val="221F1F"/>
        </w:rPr>
        <w:t>at</w:t>
      </w:r>
      <w:r>
        <w:rPr>
          <w:color w:val="221F1F"/>
          <w:spacing w:val="-9"/>
        </w:rPr>
        <w:t xml:space="preserve"> </w:t>
      </w:r>
      <w:r>
        <w:rPr>
          <w:color w:val="221F1F"/>
        </w:rPr>
        <w:t>the</w:t>
      </w:r>
      <w:r>
        <w:rPr>
          <w:color w:val="221F1F"/>
          <w:spacing w:val="-7"/>
        </w:rPr>
        <w:t xml:space="preserve"> </w:t>
      </w:r>
      <w:r>
        <w:rPr>
          <w:color w:val="221F1F"/>
        </w:rPr>
        <w:t>Site</w:t>
      </w:r>
      <w:r>
        <w:rPr>
          <w:color w:val="221F1F"/>
          <w:spacing w:val="-10"/>
        </w:rPr>
        <w:t xml:space="preserve"> </w:t>
      </w:r>
      <w:r>
        <w:rPr>
          <w:color w:val="221F1F"/>
        </w:rPr>
        <w:t>when</w:t>
      </w:r>
      <w:r>
        <w:rPr>
          <w:color w:val="221F1F"/>
          <w:spacing w:val="-10"/>
        </w:rPr>
        <w:t xml:space="preserve"> </w:t>
      </w:r>
      <w:r>
        <w:rPr>
          <w:color w:val="221F1F"/>
        </w:rPr>
        <w:t>executing</w:t>
      </w:r>
      <w:r>
        <w:rPr>
          <w:color w:val="221F1F"/>
          <w:spacing w:val="-7"/>
        </w:rPr>
        <w:t xml:space="preserve"> </w:t>
      </w:r>
      <w:r>
        <w:rPr>
          <w:color w:val="221F1F"/>
        </w:rPr>
        <w:t>the</w:t>
      </w:r>
      <w:r>
        <w:rPr>
          <w:color w:val="221F1F"/>
          <w:spacing w:val="-10"/>
        </w:rPr>
        <w:t xml:space="preserve"> </w:t>
      </w:r>
      <w:r>
        <w:rPr>
          <w:color w:val="221F1F"/>
        </w:rPr>
        <w:t>Works,</w:t>
      </w:r>
      <w:r>
        <w:rPr>
          <w:color w:val="221F1F"/>
          <w:spacing w:val="-14"/>
        </w:rPr>
        <w:t xml:space="preserve"> </w:t>
      </w:r>
      <w:r>
        <w:rPr>
          <w:color w:val="221F1F"/>
        </w:rPr>
        <w:t>including sub-surface and hydrological conditions but excluding climatic conditions.</w:t>
      </w:r>
    </w:p>
    <w:p w:rsidR="007F6DF9" w:rsidRDefault="007F6DF9">
      <w:pPr>
        <w:pStyle w:val="BodyText"/>
        <w:spacing w:before="108"/>
      </w:pPr>
    </w:p>
    <w:p w:rsidR="007F6DF9" w:rsidRDefault="00A43FBC">
      <w:pPr>
        <w:pStyle w:val="ListParagraph"/>
        <w:numPr>
          <w:ilvl w:val="2"/>
          <w:numId w:val="122"/>
        </w:numPr>
        <w:tabs>
          <w:tab w:val="left" w:pos="1381"/>
          <w:tab w:val="left" w:pos="1385"/>
        </w:tabs>
        <w:spacing w:line="230" w:lineRule="auto"/>
        <w:ind w:left="1385" w:right="565" w:hanging="680"/>
        <w:jc w:val="both"/>
        <w:rPr>
          <w:color w:val="221F1F"/>
        </w:rPr>
      </w:pPr>
      <w:r>
        <w:rPr>
          <w:color w:val="221F1F"/>
        </w:rPr>
        <w:t>If</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encounters</w:t>
      </w:r>
      <w:r>
        <w:rPr>
          <w:color w:val="221F1F"/>
          <w:spacing w:val="-4"/>
        </w:rPr>
        <w:t xml:space="preserve"> </w:t>
      </w:r>
      <w:r>
        <w:rPr>
          <w:color w:val="221F1F"/>
        </w:rPr>
        <w:t>adverse</w:t>
      </w:r>
      <w:r>
        <w:rPr>
          <w:color w:val="221F1F"/>
          <w:spacing w:val="-5"/>
        </w:rPr>
        <w:t xml:space="preserve"> </w:t>
      </w:r>
      <w:r>
        <w:rPr>
          <w:color w:val="221F1F"/>
        </w:rPr>
        <w:t>physical</w:t>
      </w:r>
      <w:r>
        <w:rPr>
          <w:color w:val="221F1F"/>
          <w:spacing w:val="-7"/>
        </w:rPr>
        <w:t xml:space="preserve"> </w:t>
      </w:r>
      <w:r>
        <w:rPr>
          <w:color w:val="221F1F"/>
        </w:rPr>
        <w:t>conditions</w:t>
      </w:r>
      <w:r>
        <w:rPr>
          <w:color w:val="221F1F"/>
          <w:spacing w:val="-4"/>
        </w:rPr>
        <w:t xml:space="preserve"> </w:t>
      </w:r>
      <w:r>
        <w:rPr>
          <w:color w:val="221F1F"/>
        </w:rPr>
        <w:t>which</w:t>
      </w:r>
      <w:r>
        <w:rPr>
          <w:color w:val="221F1F"/>
          <w:spacing w:val="-5"/>
        </w:rPr>
        <w:t xml:space="preserve"> </w:t>
      </w:r>
      <w:r>
        <w:rPr>
          <w:color w:val="221F1F"/>
        </w:rPr>
        <w:t>he</w:t>
      </w:r>
      <w:r>
        <w:rPr>
          <w:color w:val="221F1F"/>
          <w:spacing w:val="-5"/>
        </w:rPr>
        <w:t xml:space="preserve"> </w:t>
      </w:r>
      <w:r>
        <w:rPr>
          <w:color w:val="221F1F"/>
        </w:rPr>
        <w:t>considers</w:t>
      </w:r>
      <w:r>
        <w:rPr>
          <w:color w:val="221F1F"/>
          <w:spacing w:val="-5"/>
        </w:rPr>
        <w:t xml:space="preserve"> </w:t>
      </w:r>
      <w:r>
        <w:rPr>
          <w:color w:val="221F1F"/>
        </w:rPr>
        <w:t>to</w:t>
      </w:r>
      <w:r>
        <w:rPr>
          <w:color w:val="221F1F"/>
          <w:spacing w:val="-6"/>
        </w:rPr>
        <w:t xml:space="preserve"> </w:t>
      </w:r>
      <w:r>
        <w:rPr>
          <w:color w:val="221F1F"/>
        </w:rPr>
        <w:t>have</w:t>
      </w:r>
      <w:r>
        <w:rPr>
          <w:color w:val="221F1F"/>
          <w:spacing w:val="-5"/>
        </w:rPr>
        <w:t xml:space="preserve"> </w:t>
      </w:r>
      <w:r>
        <w:rPr>
          <w:color w:val="221F1F"/>
        </w:rPr>
        <w:t>been</w:t>
      </w:r>
      <w:r>
        <w:rPr>
          <w:color w:val="221F1F"/>
          <w:spacing w:val="-5"/>
        </w:rPr>
        <w:t xml:space="preserve"> </w:t>
      </w:r>
      <w:r>
        <w:rPr>
          <w:color w:val="221F1F"/>
        </w:rPr>
        <w:t>Unforeseeable,</w:t>
      </w:r>
      <w:r>
        <w:rPr>
          <w:color w:val="221F1F"/>
          <w:spacing w:val="-7"/>
        </w:rPr>
        <w:t xml:space="preserve"> </w:t>
      </w:r>
      <w:r>
        <w:rPr>
          <w:color w:val="221F1F"/>
        </w:rPr>
        <w:t>the Contractor shall give notice to the Architect as soon as practicable.</w:t>
      </w:r>
    </w:p>
    <w:p w:rsidR="007F6DF9" w:rsidRDefault="007F6DF9">
      <w:pPr>
        <w:pStyle w:val="BodyText"/>
        <w:spacing w:before="106"/>
      </w:pPr>
    </w:p>
    <w:p w:rsidR="007F6DF9" w:rsidRDefault="00A43FBC">
      <w:pPr>
        <w:pStyle w:val="ListParagraph"/>
        <w:numPr>
          <w:ilvl w:val="2"/>
          <w:numId w:val="122"/>
        </w:numPr>
        <w:tabs>
          <w:tab w:val="left" w:pos="1371"/>
          <w:tab w:val="left" w:pos="1385"/>
        </w:tabs>
        <w:spacing w:line="230" w:lineRule="auto"/>
        <w:ind w:left="1385" w:right="563" w:hanging="680"/>
        <w:jc w:val="both"/>
        <w:rPr>
          <w:color w:val="221F1F"/>
        </w:rPr>
      </w:pPr>
      <w:r>
        <w:rPr>
          <w:color w:val="221F1F"/>
        </w:rPr>
        <w:t>This</w:t>
      </w:r>
      <w:r>
        <w:rPr>
          <w:color w:val="221F1F"/>
          <w:spacing w:val="-4"/>
        </w:rPr>
        <w:t xml:space="preserve"> </w:t>
      </w:r>
      <w:r>
        <w:rPr>
          <w:color w:val="221F1F"/>
        </w:rPr>
        <w:t>notice</w:t>
      </w:r>
      <w:r>
        <w:rPr>
          <w:color w:val="221F1F"/>
          <w:spacing w:val="-4"/>
        </w:rPr>
        <w:t xml:space="preserve"> </w:t>
      </w:r>
      <w:proofErr w:type="spellStart"/>
      <w:r>
        <w:rPr>
          <w:color w:val="221F1F"/>
        </w:rPr>
        <w:t>shal</w:t>
      </w:r>
      <w:proofErr w:type="spellEnd"/>
      <w:r>
        <w:rPr>
          <w:color w:val="221F1F"/>
          <w:spacing w:val="-4"/>
        </w:rPr>
        <w:t xml:space="preserve"> </w:t>
      </w:r>
      <w:proofErr w:type="spellStart"/>
      <w:r>
        <w:rPr>
          <w:color w:val="221F1F"/>
        </w:rPr>
        <w:t>ldescribe</w:t>
      </w:r>
      <w:proofErr w:type="spellEnd"/>
      <w:r>
        <w:rPr>
          <w:color w:val="221F1F"/>
          <w:spacing w:val="-3"/>
        </w:rPr>
        <w:t xml:space="preserve"> </w:t>
      </w:r>
      <w:r>
        <w:rPr>
          <w:color w:val="221F1F"/>
        </w:rPr>
        <w:t>the</w:t>
      </w:r>
      <w:r>
        <w:rPr>
          <w:color w:val="221F1F"/>
          <w:spacing w:val="-4"/>
        </w:rPr>
        <w:t xml:space="preserve"> </w:t>
      </w:r>
      <w:r>
        <w:rPr>
          <w:color w:val="221F1F"/>
        </w:rPr>
        <w:t>physical</w:t>
      </w:r>
      <w:r>
        <w:rPr>
          <w:color w:val="221F1F"/>
          <w:spacing w:val="-3"/>
        </w:rPr>
        <w:t xml:space="preserve"> </w:t>
      </w:r>
      <w:r>
        <w:rPr>
          <w:color w:val="221F1F"/>
        </w:rPr>
        <w:t>conditions,</w:t>
      </w:r>
      <w:r>
        <w:rPr>
          <w:color w:val="221F1F"/>
          <w:spacing w:val="-4"/>
        </w:rPr>
        <w:t xml:space="preserve"> </w:t>
      </w:r>
      <w:r>
        <w:rPr>
          <w:color w:val="221F1F"/>
        </w:rPr>
        <w:t>so</w:t>
      </w:r>
      <w:r>
        <w:rPr>
          <w:color w:val="221F1F"/>
          <w:spacing w:val="-5"/>
        </w:rPr>
        <w:t xml:space="preserve"> </w:t>
      </w:r>
      <w:r>
        <w:rPr>
          <w:color w:val="221F1F"/>
        </w:rPr>
        <w:t>that</w:t>
      </w:r>
      <w:r>
        <w:rPr>
          <w:color w:val="221F1F"/>
          <w:spacing w:val="-3"/>
        </w:rPr>
        <w:t xml:space="preserve"> </w:t>
      </w:r>
      <w:r>
        <w:rPr>
          <w:color w:val="221F1F"/>
        </w:rPr>
        <w:t>they</w:t>
      </w:r>
      <w:r>
        <w:rPr>
          <w:color w:val="221F1F"/>
          <w:spacing w:val="-4"/>
        </w:rPr>
        <w:t xml:space="preserve"> </w:t>
      </w:r>
      <w:r>
        <w:rPr>
          <w:color w:val="221F1F"/>
        </w:rPr>
        <w:t>can</w:t>
      </w:r>
      <w:r>
        <w:rPr>
          <w:color w:val="221F1F"/>
          <w:spacing w:val="-5"/>
        </w:rPr>
        <w:t xml:space="preserve"> </w:t>
      </w:r>
      <w:r>
        <w:rPr>
          <w:color w:val="221F1F"/>
        </w:rPr>
        <w:t>be</w:t>
      </w:r>
      <w:r>
        <w:rPr>
          <w:color w:val="221F1F"/>
          <w:spacing w:val="-4"/>
        </w:rPr>
        <w:t xml:space="preserve"> </w:t>
      </w:r>
      <w:r>
        <w:rPr>
          <w:color w:val="221F1F"/>
        </w:rPr>
        <w:t>inspected</w:t>
      </w:r>
      <w:r>
        <w:rPr>
          <w:color w:val="221F1F"/>
          <w:spacing w:val="-4"/>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set out the reasons why the Contractor considers them to be Unforeseeable. The Contractor shall continue executing the Works, using such proper and reasonable measures as are appropriate for the physical conditions,</w:t>
      </w:r>
      <w:r>
        <w:rPr>
          <w:color w:val="221F1F"/>
          <w:spacing w:val="-6"/>
        </w:rPr>
        <w:t xml:space="preserve"> </w:t>
      </w:r>
      <w:r>
        <w:rPr>
          <w:color w:val="221F1F"/>
        </w:rPr>
        <w:t>and</w:t>
      </w:r>
      <w:r>
        <w:rPr>
          <w:color w:val="221F1F"/>
          <w:spacing w:val="-7"/>
        </w:rPr>
        <w:t xml:space="preserve"> </w:t>
      </w:r>
      <w:r>
        <w:rPr>
          <w:color w:val="221F1F"/>
        </w:rPr>
        <w:t>shall</w:t>
      </w:r>
      <w:r>
        <w:rPr>
          <w:color w:val="221F1F"/>
          <w:spacing w:val="-9"/>
        </w:rPr>
        <w:t xml:space="preserve"> </w:t>
      </w:r>
      <w:r>
        <w:rPr>
          <w:color w:val="221F1F"/>
        </w:rPr>
        <w:t>comply</w:t>
      </w:r>
      <w:r>
        <w:rPr>
          <w:color w:val="221F1F"/>
          <w:spacing w:val="-6"/>
        </w:rPr>
        <w:t xml:space="preserve"> </w:t>
      </w:r>
      <w:r>
        <w:rPr>
          <w:color w:val="221F1F"/>
        </w:rPr>
        <w:t>with</w:t>
      </w:r>
      <w:r>
        <w:rPr>
          <w:color w:val="221F1F"/>
          <w:spacing w:val="-7"/>
        </w:rPr>
        <w:t xml:space="preserve"> </w:t>
      </w:r>
      <w:r>
        <w:rPr>
          <w:color w:val="221F1F"/>
        </w:rPr>
        <w:t>any</w:t>
      </w:r>
      <w:r>
        <w:rPr>
          <w:color w:val="221F1F"/>
          <w:spacing w:val="-7"/>
        </w:rPr>
        <w:t xml:space="preserve"> </w:t>
      </w:r>
      <w:r>
        <w:rPr>
          <w:color w:val="221F1F"/>
        </w:rPr>
        <w:t>instructions</w:t>
      </w:r>
      <w:r>
        <w:rPr>
          <w:color w:val="221F1F"/>
          <w:spacing w:val="-6"/>
        </w:rPr>
        <w:t xml:space="preserve"> </w:t>
      </w:r>
      <w:r>
        <w:rPr>
          <w:color w:val="221F1F"/>
        </w:rPr>
        <w:t>which</w:t>
      </w:r>
      <w:r>
        <w:rPr>
          <w:color w:val="221F1F"/>
          <w:spacing w:val="-6"/>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may</w:t>
      </w:r>
      <w:r>
        <w:rPr>
          <w:color w:val="221F1F"/>
          <w:spacing w:val="-7"/>
        </w:rPr>
        <w:t xml:space="preserve"> </w:t>
      </w:r>
      <w:r>
        <w:rPr>
          <w:color w:val="221F1F"/>
        </w:rPr>
        <w:t>give.</w:t>
      </w:r>
      <w:r>
        <w:rPr>
          <w:color w:val="221F1F"/>
          <w:spacing w:val="-6"/>
        </w:rPr>
        <w:t xml:space="preserve"> </w:t>
      </w:r>
      <w:r>
        <w:rPr>
          <w:color w:val="221F1F"/>
        </w:rPr>
        <w:t>If</w:t>
      </w:r>
      <w:r>
        <w:rPr>
          <w:color w:val="221F1F"/>
          <w:spacing w:val="-6"/>
        </w:rPr>
        <w:t xml:space="preserve"> </w:t>
      </w:r>
      <w:r>
        <w:rPr>
          <w:color w:val="221F1F"/>
        </w:rPr>
        <w:t>an</w:t>
      </w:r>
      <w:r>
        <w:rPr>
          <w:color w:val="221F1F"/>
          <w:spacing w:val="-7"/>
        </w:rPr>
        <w:t xml:space="preserve"> </w:t>
      </w:r>
      <w:r>
        <w:rPr>
          <w:color w:val="221F1F"/>
        </w:rPr>
        <w:t>instruction</w:t>
      </w:r>
      <w:r>
        <w:rPr>
          <w:color w:val="221F1F"/>
          <w:spacing w:val="-7"/>
        </w:rPr>
        <w:t xml:space="preserve"> </w:t>
      </w:r>
      <w:r>
        <w:rPr>
          <w:color w:val="221F1F"/>
        </w:rPr>
        <w:t>constitutes a Variation, Clause 13 [Variations and Adjustments] shall apply.</w:t>
      </w:r>
    </w:p>
    <w:p w:rsidR="007F6DF9" w:rsidRDefault="007F6DF9">
      <w:pPr>
        <w:pStyle w:val="BodyText"/>
        <w:spacing w:before="120"/>
      </w:pPr>
    </w:p>
    <w:p w:rsidR="007F6DF9" w:rsidRDefault="00A43FBC">
      <w:pPr>
        <w:pStyle w:val="ListParagraph"/>
        <w:numPr>
          <w:ilvl w:val="2"/>
          <w:numId w:val="122"/>
        </w:numPr>
        <w:tabs>
          <w:tab w:val="left" w:pos="1369"/>
          <w:tab w:val="left" w:pos="1385"/>
        </w:tabs>
        <w:spacing w:line="230" w:lineRule="auto"/>
        <w:ind w:left="1385" w:right="565" w:hanging="680"/>
        <w:jc w:val="both"/>
        <w:rPr>
          <w:color w:val="221F1F"/>
        </w:rPr>
      </w:pPr>
      <w:r>
        <w:rPr>
          <w:color w:val="221F1F"/>
        </w:rPr>
        <w:t>If</w:t>
      </w:r>
      <w:r>
        <w:rPr>
          <w:color w:val="221F1F"/>
          <w:spacing w:val="-1"/>
        </w:rPr>
        <w:t xml:space="preserve"> </w:t>
      </w:r>
      <w:r>
        <w:rPr>
          <w:color w:val="221F1F"/>
        </w:rPr>
        <w:t>and</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extent</w:t>
      </w:r>
      <w:r>
        <w:rPr>
          <w:color w:val="221F1F"/>
          <w:spacing w:val="-5"/>
        </w:rPr>
        <w:t xml:space="preserve"> </w:t>
      </w:r>
      <w:r>
        <w:rPr>
          <w:color w:val="221F1F"/>
        </w:rPr>
        <w:t>that</w:t>
      </w:r>
      <w:r>
        <w:rPr>
          <w:color w:val="221F1F"/>
          <w:spacing w:val="-3"/>
        </w:rPr>
        <w:t xml:space="preserve"> </w:t>
      </w:r>
      <w:r>
        <w:rPr>
          <w:color w:val="221F1F"/>
        </w:rPr>
        <w:t>the</w:t>
      </w:r>
      <w:r>
        <w:rPr>
          <w:color w:val="221F1F"/>
          <w:spacing w:val="-6"/>
        </w:rPr>
        <w:t xml:space="preserve"> </w:t>
      </w:r>
      <w:r>
        <w:rPr>
          <w:color w:val="221F1F"/>
        </w:rPr>
        <w:t>Contractor</w:t>
      </w:r>
      <w:r>
        <w:rPr>
          <w:color w:val="221F1F"/>
          <w:spacing w:val="-3"/>
        </w:rPr>
        <w:t xml:space="preserve"> </w:t>
      </w:r>
      <w:r>
        <w:rPr>
          <w:color w:val="221F1F"/>
        </w:rPr>
        <w:t>encounters</w:t>
      </w:r>
      <w:r>
        <w:rPr>
          <w:color w:val="221F1F"/>
          <w:spacing w:val="-3"/>
        </w:rPr>
        <w:t xml:space="preserve"> </w:t>
      </w:r>
      <w:r>
        <w:rPr>
          <w:color w:val="221F1F"/>
        </w:rPr>
        <w:t>physical</w:t>
      </w:r>
      <w:r>
        <w:rPr>
          <w:color w:val="221F1F"/>
          <w:spacing w:val="-3"/>
        </w:rPr>
        <w:t xml:space="preserve"> </w:t>
      </w:r>
      <w:r>
        <w:rPr>
          <w:color w:val="221F1F"/>
        </w:rPr>
        <w:t>conditions</w:t>
      </w:r>
      <w:r>
        <w:rPr>
          <w:color w:val="221F1F"/>
          <w:spacing w:val="-3"/>
        </w:rPr>
        <w:t xml:space="preserve"> </w:t>
      </w:r>
      <w:r>
        <w:rPr>
          <w:color w:val="221F1F"/>
        </w:rPr>
        <w:t>which</w:t>
      </w:r>
      <w:r>
        <w:rPr>
          <w:color w:val="221F1F"/>
          <w:spacing w:val="-3"/>
        </w:rPr>
        <w:t xml:space="preserve"> </w:t>
      </w:r>
      <w:r>
        <w:rPr>
          <w:color w:val="221F1F"/>
        </w:rPr>
        <w:t>are</w:t>
      </w:r>
      <w:r>
        <w:rPr>
          <w:color w:val="221F1F"/>
          <w:spacing w:val="-3"/>
        </w:rPr>
        <w:t xml:space="preserve"> </w:t>
      </w:r>
      <w:r>
        <w:rPr>
          <w:color w:val="221F1F"/>
        </w:rPr>
        <w:t>Unforeseeable,</w:t>
      </w:r>
      <w:r>
        <w:rPr>
          <w:color w:val="221F1F"/>
          <w:spacing w:val="-3"/>
        </w:rPr>
        <w:t xml:space="preserve"> </w:t>
      </w:r>
      <w:r>
        <w:rPr>
          <w:color w:val="221F1F"/>
        </w:rPr>
        <w:t>gives</w:t>
      </w:r>
      <w:r>
        <w:rPr>
          <w:color w:val="221F1F"/>
          <w:spacing w:val="-3"/>
        </w:rPr>
        <w:t xml:space="preserve"> </w:t>
      </w:r>
      <w:r>
        <w:rPr>
          <w:color w:val="221F1F"/>
        </w:rPr>
        <w:t>such a notice, and suffers delay and/or incurs Cost due to these conditions, the Contractor shall be entitled subject to notice under Sub-Clause 20.1 [Contractor's Claims] to:</w:t>
      </w:r>
    </w:p>
    <w:p w:rsidR="007F6DF9" w:rsidRDefault="007F6DF9">
      <w:pPr>
        <w:pStyle w:val="BodyText"/>
        <w:spacing w:before="50"/>
      </w:pPr>
    </w:p>
    <w:p w:rsidR="007F6DF9" w:rsidRDefault="00A43FBC">
      <w:pPr>
        <w:pStyle w:val="ListParagraph"/>
        <w:numPr>
          <w:ilvl w:val="0"/>
          <w:numId w:val="41"/>
        </w:numPr>
        <w:tabs>
          <w:tab w:val="left" w:pos="1882"/>
        </w:tabs>
        <w:spacing w:line="230" w:lineRule="auto"/>
        <w:ind w:right="1016"/>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41"/>
        </w:numPr>
        <w:tabs>
          <w:tab w:val="left" w:pos="1880"/>
        </w:tabs>
        <w:spacing w:before="42"/>
        <w:ind w:left="1880" w:hanging="507"/>
        <w:jc w:val="both"/>
      </w:pPr>
      <w:r>
        <w:rPr>
          <w:color w:val="221F1F"/>
        </w:rPr>
        <w:t>payment</w:t>
      </w:r>
      <w:r>
        <w:rPr>
          <w:color w:val="221F1F"/>
          <w:spacing w:val="-4"/>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such</w:t>
      </w:r>
      <w:r>
        <w:rPr>
          <w:color w:val="221F1F"/>
          <w:spacing w:val="-1"/>
        </w:rPr>
        <w:t xml:space="preserve"> </w:t>
      </w:r>
      <w:r>
        <w:rPr>
          <w:color w:val="221F1F"/>
        </w:rPr>
        <w:t>Cost,</w:t>
      </w:r>
      <w:r>
        <w:rPr>
          <w:color w:val="221F1F"/>
          <w:spacing w:val="-5"/>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2"/>
        </w:rPr>
        <w:t>Price.</w:t>
      </w:r>
    </w:p>
    <w:p w:rsidR="007F6DF9" w:rsidRDefault="007F6DF9">
      <w:pPr>
        <w:pStyle w:val="BodyText"/>
        <w:spacing w:before="104"/>
      </w:pPr>
    </w:p>
    <w:p w:rsidR="007F6DF9" w:rsidRDefault="00A43FBC">
      <w:pPr>
        <w:pStyle w:val="ListParagraph"/>
        <w:numPr>
          <w:ilvl w:val="2"/>
          <w:numId w:val="122"/>
        </w:numPr>
        <w:tabs>
          <w:tab w:val="left" w:pos="1369"/>
          <w:tab w:val="left" w:pos="1383"/>
        </w:tabs>
        <w:spacing w:line="230" w:lineRule="auto"/>
        <w:ind w:left="1383" w:right="566" w:hanging="678"/>
        <w:jc w:val="both"/>
        <w:rPr>
          <w:color w:val="221F1F"/>
        </w:rPr>
      </w:pPr>
      <w:r>
        <w:rPr>
          <w:color w:val="221F1F"/>
        </w:rPr>
        <w:t>Upon</w:t>
      </w:r>
      <w:r>
        <w:rPr>
          <w:color w:val="221F1F"/>
          <w:spacing w:val="-2"/>
        </w:rPr>
        <w:t xml:space="preserve"> </w:t>
      </w:r>
      <w:r>
        <w:rPr>
          <w:color w:val="221F1F"/>
        </w:rPr>
        <w:t>receiving</w:t>
      </w:r>
      <w:r>
        <w:rPr>
          <w:color w:val="221F1F"/>
          <w:spacing w:val="-5"/>
        </w:rPr>
        <w:t xml:space="preserve"> </w:t>
      </w:r>
      <w:r>
        <w:rPr>
          <w:color w:val="221F1F"/>
        </w:rPr>
        <w:t>such</w:t>
      </w:r>
      <w:r>
        <w:rPr>
          <w:color w:val="221F1F"/>
          <w:spacing w:val="-4"/>
        </w:rPr>
        <w:t xml:space="preserve"> </w:t>
      </w:r>
      <w:r>
        <w:rPr>
          <w:color w:val="221F1F"/>
        </w:rPr>
        <w:t>notice</w:t>
      </w:r>
      <w:r>
        <w:rPr>
          <w:color w:val="221F1F"/>
          <w:spacing w:val="-4"/>
        </w:rPr>
        <w:t xml:space="preserve"> </w:t>
      </w:r>
      <w:r>
        <w:rPr>
          <w:color w:val="221F1F"/>
        </w:rPr>
        <w:t>and</w:t>
      </w:r>
      <w:r>
        <w:rPr>
          <w:color w:val="221F1F"/>
          <w:spacing w:val="-2"/>
        </w:rPr>
        <w:t xml:space="preserve"> </w:t>
      </w:r>
      <w:r>
        <w:rPr>
          <w:color w:val="221F1F"/>
        </w:rPr>
        <w:t>inspecting</w:t>
      </w:r>
      <w:r>
        <w:rPr>
          <w:color w:val="221F1F"/>
          <w:spacing w:val="-2"/>
        </w:rPr>
        <w:t xml:space="preserve"> </w:t>
      </w:r>
      <w:r>
        <w:rPr>
          <w:color w:val="221F1F"/>
        </w:rPr>
        <w:t>and/or</w:t>
      </w:r>
      <w:r>
        <w:rPr>
          <w:color w:val="221F1F"/>
          <w:spacing w:val="-4"/>
        </w:rPr>
        <w:t xml:space="preserve"> </w:t>
      </w:r>
      <w:r>
        <w:rPr>
          <w:color w:val="221F1F"/>
        </w:rPr>
        <w:t>investigating</w:t>
      </w:r>
      <w:r>
        <w:rPr>
          <w:color w:val="221F1F"/>
          <w:spacing w:val="-5"/>
        </w:rPr>
        <w:t xml:space="preserve"> </w:t>
      </w:r>
      <w:r>
        <w:rPr>
          <w:color w:val="221F1F"/>
        </w:rPr>
        <w:t>these</w:t>
      </w:r>
      <w:r>
        <w:rPr>
          <w:color w:val="221F1F"/>
          <w:spacing w:val="-2"/>
        </w:rPr>
        <w:t xml:space="preserve"> </w:t>
      </w:r>
      <w:r>
        <w:rPr>
          <w:color w:val="221F1F"/>
        </w:rPr>
        <w:t>physical</w:t>
      </w:r>
      <w:r>
        <w:rPr>
          <w:color w:val="221F1F"/>
          <w:spacing w:val="-1"/>
        </w:rPr>
        <w:t xml:space="preserve"> </w:t>
      </w:r>
      <w:r>
        <w:rPr>
          <w:color w:val="221F1F"/>
        </w:rPr>
        <w:t>conditions,</w:t>
      </w:r>
      <w:r>
        <w:rPr>
          <w:color w:val="221F1F"/>
          <w:spacing w:val="-4"/>
        </w:rPr>
        <w:t xml:space="preserve"> </w:t>
      </w:r>
      <w:r>
        <w:rPr>
          <w:color w:val="221F1F"/>
        </w:rPr>
        <w:t>the</w:t>
      </w:r>
      <w:r>
        <w:rPr>
          <w:color w:val="221F1F"/>
          <w:spacing w:val="-2"/>
        </w:rPr>
        <w:t xml:space="preserve"> </w:t>
      </w:r>
      <w:r>
        <w:rPr>
          <w:color w:val="221F1F"/>
        </w:rPr>
        <w:t>Architect shall proceed</w:t>
      </w:r>
      <w:r>
        <w:rPr>
          <w:color w:val="221F1F"/>
          <w:spacing w:val="-1"/>
        </w:rPr>
        <w:t xml:space="preserve"> </w:t>
      </w:r>
      <w:r>
        <w:rPr>
          <w:color w:val="221F1F"/>
        </w:rPr>
        <w:t>in</w:t>
      </w:r>
      <w:r>
        <w:rPr>
          <w:color w:val="221F1F"/>
          <w:spacing w:val="-2"/>
        </w:rPr>
        <w:t xml:space="preserve"> </w:t>
      </w:r>
      <w:r>
        <w:rPr>
          <w:color w:val="221F1F"/>
        </w:rPr>
        <w:t>accordance with</w:t>
      </w:r>
      <w:r>
        <w:rPr>
          <w:color w:val="221F1F"/>
          <w:spacing w:val="-2"/>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2"/>
        </w:rPr>
        <w:t xml:space="preserve"> </w:t>
      </w:r>
      <w:r>
        <w:rPr>
          <w:color w:val="221F1F"/>
        </w:rPr>
        <w:t>to</w:t>
      </w:r>
      <w:r>
        <w:rPr>
          <w:color w:val="221F1F"/>
          <w:spacing w:val="-1"/>
        </w:rPr>
        <w:t xml:space="preserve"> </w:t>
      </w:r>
      <w:r>
        <w:rPr>
          <w:color w:val="221F1F"/>
        </w:rPr>
        <w:t>agree</w:t>
      </w:r>
      <w:r>
        <w:rPr>
          <w:color w:val="221F1F"/>
          <w:spacing w:val="-1"/>
        </w:rPr>
        <w:t xml:space="preserve"> </w:t>
      </w:r>
      <w:r>
        <w:rPr>
          <w:color w:val="221F1F"/>
        </w:rPr>
        <w:t>or</w:t>
      </w:r>
      <w:r>
        <w:rPr>
          <w:color w:val="221F1F"/>
          <w:spacing w:val="-1"/>
        </w:rPr>
        <w:t xml:space="preserve"> </w:t>
      </w:r>
      <w:r>
        <w:rPr>
          <w:color w:val="221F1F"/>
        </w:rPr>
        <w:t>determine (</w:t>
      </w:r>
      <w:proofErr w:type="spellStart"/>
      <w:r>
        <w:rPr>
          <w:color w:val="221F1F"/>
        </w:rPr>
        <w:t>i</w:t>
      </w:r>
      <w:proofErr w:type="spellEnd"/>
      <w:r>
        <w:rPr>
          <w:color w:val="221F1F"/>
        </w:rPr>
        <w:t>)</w:t>
      </w:r>
      <w:r>
        <w:rPr>
          <w:color w:val="221F1F"/>
          <w:spacing w:val="-1"/>
        </w:rPr>
        <w:t xml:space="preserve"> </w:t>
      </w:r>
      <w:r>
        <w:rPr>
          <w:color w:val="221F1F"/>
        </w:rPr>
        <w:t>whether and</w:t>
      </w:r>
      <w:r>
        <w:rPr>
          <w:color w:val="221F1F"/>
          <w:spacing w:val="-1"/>
        </w:rPr>
        <w:t xml:space="preserve"> </w:t>
      </w:r>
      <w:r>
        <w:rPr>
          <w:color w:val="221F1F"/>
        </w:rPr>
        <w:t>(if</w:t>
      </w:r>
      <w:r>
        <w:rPr>
          <w:color w:val="221F1F"/>
          <w:spacing w:val="-1"/>
        </w:rPr>
        <w:t xml:space="preserve"> </w:t>
      </w:r>
      <w:r>
        <w:rPr>
          <w:color w:val="221F1F"/>
        </w:rPr>
        <w:t>so) to what extent these physical conditions were Unforeseeable, and (ii) the matters described in sub-paragraphs</w:t>
      </w:r>
    </w:p>
    <w:p w:rsidR="007F6DF9" w:rsidRDefault="00A43FBC">
      <w:pPr>
        <w:pStyle w:val="BodyText"/>
        <w:spacing w:line="243" w:lineRule="exact"/>
        <w:ind w:left="1383"/>
        <w:jc w:val="both"/>
      </w:pPr>
      <w:r>
        <w:rPr>
          <w:color w:val="221F1F"/>
        </w:rPr>
        <w:t>(a)</w:t>
      </w:r>
      <w:r>
        <w:rPr>
          <w:color w:val="221F1F"/>
          <w:spacing w:val="-3"/>
        </w:rPr>
        <w:t xml:space="preserve"> </w:t>
      </w:r>
      <w:r>
        <w:rPr>
          <w:color w:val="221F1F"/>
        </w:rPr>
        <w:t>and</w:t>
      </w:r>
      <w:r>
        <w:rPr>
          <w:color w:val="221F1F"/>
          <w:spacing w:val="-3"/>
        </w:rPr>
        <w:t xml:space="preserve"> </w:t>
      </w:r>
      <w:r>
        <w:rPr>
          <w:color w:val="221F1F"/>
        </w:rPr>
        <w:t>(b)</w:t>
      </w:r>
      <w:r>
        <w:rPr>
          <w:color w:val="221F1F"/>
          <w:spacing w:val="-3"/>
        </w:rPr>
        <w:t xml:space="preserve"> </w:t>
      </w:r>
      <w:r>
        <w:rPr>
          <w:color w:val="221F1F"/>
        </w:rPr>
        <w:t>above</w:t>
      </w:r>
      <w:r>
        <w:rPr>
          <w:color w:val="221F1F"/>
          <w:spacing w:val="-2"/>
        </w:rPr>
        <w:t xml:space="preserve"> </w:t>
      </w:r>
      <w:r>
        <w:rPr>
          <w:color w:val="221F1F"/>
        </w:rPr>
        <w:t>related</w:t>
      </w:r>
      <w:r>
        <w:rPr>
          <w:color w:val="221F1F"/>
          <w:spacing w:val="-2"/>
        </w:rPr>
        <w:t xml:space="preserve"> </w:t>
      </w:r>
      <w:r>
        <w:rPr>
          <w:color w:val="221F1F"/>
        </w:rPr>
        <w:t>to</w:t>
      </w:r>
      <w:r>
        <w:rPr>
          <w:color w:val="221F1F"/>
          <w:spacing w:val="-4"/>
        </w:rPr>
        <w:t xml:space="preserve"> </w:t>
      </w:r>
      <w:r>
        <w:rPr>
          <w:color w:val="221F1F"/>
        </w:rPr>
        <w:t xml:space="preserve">this </w:t>
      </w:r>
      <w:r>
        <w:rPr>
          <w:color w:val="221F1F"/>
          <w:spacing w:val="-2"/>
        </w:rPr>
        <w:t>extent.</w:t>
      </w:r>
    </w:p>
    <w:p w:rsidR="007F6DF9" w:rsidRDefault="007F6DF9">
      <w:pPr>
        <w:pStyle w:val="BodyText"/>
        <w:spacing w:before="105"/>
      </w:pPr>
    </w:p>
    <w:p w:rsidR="007F6DF9" w:rsidRDefault="00A43FBC">
      <w:pPr>
        <w:pStyle w:val="ListParagraph"/>
        <w:numPr>
          <w:ilvl w:val="2"/>
          <w:numId w:val="122"/>
        </w:numPr>
        <w:tabs>
          <w:tab w:val="left" w:pos="1369"/>
          <w:tab w:val="left" w:pos="1381"/>
        </w:tabs>
        <w:spacing w:before="1" w:line="230" w:lineRule="auto"/>
        <w:ind w:left="1381" w:right="567" w:hanging="678"/>
        <w:jc w:val="both"/>
        <w:rPr>
          <w:color w:val="221F1F"/>
        </w:rPr>
      </w:pPr>
      <w:r>
        <w:rPr>
          <w:color w:val="221F1F"/>
        </w:rPr>
        <w:t>However, before additional</w:t>
      </w:r>
      <w:r>
        <w:rPr>
          <w:color w:val="221F1F"/>
          <w:spacing w:val="-1"/>
        </w:rPr>
        <w:t xml:space="preserve"> </w:t>
      </w:r>
      <w:r>
        <w:rPr>
          <w:color w:val="221F1F"/>
        </w:rPr>
        <w:t>Cost is finally agreed or determined under sub-paragraph (ii), the Architect may also</w:t>
      </w:r>
      <w:r>
        <w:rPr>
          <w:color w:val="221F1F"/>
          <w:spacing w:val="-11"/>
        </w:rPr>
        <w:t xml:space="preserve"> </w:t>
      </w:r>
      <w:r>
        <w:rPr>
          <w:color w:val="221F1F"/>
        </w:rPr>
        <w:t>review</w:t>
      </w:r>
      <w:r>
        <w:rPr>
          <w:color w:val="221F1F"/>
          <w:spacing w:val="-7"/>
        </w:rPr>
        <w:t xml:space="preserve"> </w:t>
      </w:r>
      <w:r>
        <w:rPr>
          <w:color w:val="221F1F"/>
        </w:rPr>
        <w:t>whether</w:t>
      </w:r>
      <w:r>
        <w:rPr>
          <w:color w:val="221F1F"/>
          <w:spacing w:val="-6"/>
        </w:rPr>
        <w:t xml:space="preserve"> </w:t>
      </w:r>
      <w:r>
        <w:rPr>
          <w:color w:val="221F1F"/>
        </w:rPr>
        <w:t>other</w:t>
      </w:r>
      <w:r>
        <w:rPr>
          <w:color w:val="221F1F"/>
          <w:spacing w:val="-5"/>
        </w:rPr>
        <w:t xml:space="preserve"> </w:t>
      </w:r>
      <w:r>
        <w:rPr>
          <w:color w:val="221F1F"/>
        </w:rPr>
        <w:t>physical</w:t>
      </w:r>
      <w:r>
        <w:rPr>
          <w:color w:val="221F1F"/>
          <w:spacing w:val="-8"/>
        </w:rPr>
        <w:t xml:space="preserve"> </w:t>
      </w:r>
      <w:r>
        <w:rPr>
          <w:color w:val="221F1F"/>
        </w:rPr>
        <w:t>conditions</w:t>
      </w:r>
      <w:r>
        <w:rPr>
          <w:color w:val="221F1F"/>
          <w:spacing w:val="-9"/>
        </w:rPr>
        <w:t xml:space="preserve"> </w:t>
      </w:r>
      <w:r>
        <w:rPr>
          <w:color w:val="221F1F"/>
        </w:rPr>
        <w:t>in</w:t>
      </w:r>
      <w:r>
        <w:rPr>
          <w:color w:val="221F1F"/>
          <w:spacing w:val="-7"/>
        </w:rPr>
        <w:t xml:space="preserve"> </w:t>
      </w:r>
      <w:r>
        <w:rPr>
          <w:color w:val="221F1F"/>
        </w:rPr>
        <w:t>similar</w:t>
      </w:r>
      <w:r>
        <w:rPr>
          <w:color w:val="221F1F"/>
          <w:spacing w:val="-5"/>
        </w:rPr>
        <w:t xml:space="preserve"> </w:t>
      </w:r>
      <w:r>
        <w:rPr>
          <w:color w:val="221F1F"/>
        </w:rPr>
        <w:t>parts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(if</w:t>
      </w:r>
      <w:r>
        <w:rPr>
          <w:color w:val="221F1F"/>
          <w:spacing w:val="-6"/>
        </w:rPr>
        <w:t xml:space="preserve"> </w:t>
      </w:r>
      <w:r>
        <w:rPr>
          <w:color w:val="221F1F"/>
        </w:rPr>
        <w:t>any)</w:t>
      </w:r>
      <w:r>
        <w:rPr>
          <w:color w:val="221F1F"/>
          <w:spacing w:val="-8"/>
        </w:rPr>
        <w:t xml:space="preserve"> </w:t>
      </w:r>
      <w:r>
        <w:rPr>
          <w:color w:val="221F1F"/>
        </w:rPr>
        <w:t>were</w:t>
      </w:r>
      <w:r>
        <w:rPr>
          <w:color w:val="221F1F"/>
          <w:spacing w:val="-9"/>
        </w:rPr>
        <w:t xml:space="preserve"> </w:t>
      </w:r>
      <w:r>
        <w:rPr>
          <w:color w:val="221F1F"/>
        </w:rPr>
        <w:t>more</w:t>
      </w:r>
      <w:r>
        <w:rPr>
          <w:color w:val="221F1F"/>
          <w:spacing w:val="-7"/>
        </w:rPr>
        <w:t xml:space="preserve"> </w:t>
      </w:r>
      <w:r>
        <w:rPr>
          <w:color w:val="221F1F"/>
        </w:rPr>
        <w:t>favorable</w:t>
      </w:r>
      <w:r>
        <w:rPr>
          <w:color w:val="221F1F"/>
          <w:spacing w:val="-9"/>
        </w:rPr>
        <w:t xml:space="preserve"> </w:t>
      </w:r>
      <w:r>
        <w:rPr>
          <w:color w:val="221F1F"/>
        </w:rPr>
        <w:t>than could</w:t>
      </w:r>
      <w:r>
        <w:rPr>
          <w:color w:val="221F1F"/>
          <w:spacing w:val="-14"/>
        </w:rPr>
        <w:t xml:space="preserve"> </w:t>
      </w:r>
      <w:r>
        <w:rPr>
          <w:color w:val="221F1F"/>
        </w:rPr>
        <w:t>reasonably</w:t>
      </w:r>
      <w:r>
        <w:rPr>
          <w:color w:val="221F1F"/>
          <w:spacing w:val="-10"/>
        </w:rPr>
        <w:t xml:space="preserve"> </w:t>
      </w:r>
      <w:r>
        <w:rPr>
          <w:color w:val="221F1F"/>
        </w:rPr>
        <w:t>have</w:t>
      </w:r>
      <w:r>
        <w:rPr>
          <w:color w:val="221F1F"/>
          <w:spacing w:val="-10"/>
        </w:rPr>
        <w:t xml:space="preserve"> </w:t>
      </w:r>
      <w:r>
        <w:rPr>
          <w:color w:val="221F1F"/>
        </w:rPr>
        <w:t>been</w:t>
      </w:r>
      <w:r>
        <w:rPr>
          <w:color w:val="221F1F"/>
          <w:spacing w:val="-12"/>
        </w:rPr>
        <w:t xml:space="preserve"> </w:t>
      </w:r>
      <w:r>
        <w:rPr>
          <w:color w:val="221F1F"/>
        </w:rPr>
        <w:t>foreseen</w:t>
      </w:r>
      <w:r>
        <w:rPr>
          <w:color w:val="221F1F"/>
          <w:spacing w:val="-10"/>
        </w:rPr>
        <w:t xml:space="preserve"> </w:t>
      </w:r>
      <w:r>
        <w:rPr>
          <w:color w:val="221F1F"/>
        </w:rPr>
        <w:t>when</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9"/>
        </w:rPr>
        <w:t xml:space="preserve"> </w:t>
      </w:r>
      <w:r>
        <w:rPr>
          <w:color w:val="221F1F"/>
        </w:rPr>
        <w:t>submitted</w:t>
      </w:r>
      <w:r>
        <w:rPr>
          <w:color w:val="221F1F"/>
          <w:spacing w:val="-10"/>
        </w:rPr>
        <w:t xml:space="preserve"> </w:t>
      </w:r>
      <w:r>
        <w:rPr>
          <w:color w:val="221F1F"/>
        </w:rPr>
        <w:t>the</w:t>
      </w:r>
      <w:r>
        <w:rPr>
          <w:color w:val="221F1F"/>
          <w:spacing w:val="-10"/>
        </w:rPr>
        <w:t xml:space="preserve"> </w:t>
      </w:r>
      <w:r>
        <w:rPr>
          <w:color w:val="221F1F"/>
        </w:rPr>
        <w:t>Tender.</w:t>
      </w:r>
      <w:r>
        <w:rPr>
          <w:color w:val="221F1F"/>
          <w:spacing w:val="-14"/>
        </w:rPr>
        <w:t xml:space="preserve"> </w:t>
      </w:r>
      <w:r>
        <w:rPr>
          <w:color w:val="221F1F"/>
        </w:rPr>
        <w:t>If</w:t>
      </w:r>
      <w:r>
        <w:rPr>
          <w:color w:val="221F1F"/>
          <w:spacing w:val="-10"/>
        </w:rPr>
        <w:t xml:space="preserve"> </w:t>
      </w:r>
      <w:r>
        <w:rPr>
          <w:color w:val="221F1F"/>
        </w:rPr>
        <w:t>and</w:t>
      </w:r>
      <w:r>
        <w:rPr>
          <w:color w:val="221F1F"/>
          <w:spacing w:val="-10"/>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extent</w:t>
      </w:r>
      <w:r>
        <w:rPr>
          <w:color w:val="221F1F"/>
          <w:spacing w:val="-9"/>
        </w:rPr>
        <w:t xml:space="preserve"> </w:t>
      </w:r>
      <w:r>
        <w:rPr>
          <w:color w:val="221F1F"/>
        </w:rPr>
        <w:t>that</w:t>
      </w:r>
      <w:r>
        <w:rPr>
          <w:color w:val="221F1F"/>
          <w:spacing w:val="-9"/>
        </w:rPr>
        <w:t xml:space="preserve"> </w:t>
      </w:r>
      <w:r>
        <w:rPr>
          <w:color w:val="221F1F"/>
        </w:rPr>
        <w:t>these more favorable conditions were encountered, the Architect may proceed in accordance with Sub-Clause 3.5 [Determinations]</w:t>
      </w:r>
      <w:r>
        <w:rPr>
          <w:color w:val="221F1F"/>
          <w:spacing w:val="-7"/>
        </w:rPr>
        <w:t xml:space="preserve"> </w:t>
      </w:r>
      <w:r>
        <w:rPr>
          <w:color w:val="221F1F"/>
        </w:rPr>
        <w:t>to</w:t>
      </w:r>
      <w:r>
        <w:rPr>
          <w:color w:val="221F1F"/>
          <w:spacing w:val="-9"/>
        </w:rPr>
        <w:t xml:space="preserve"> </w:t>
      </w:r>
      <w:r>
        <w:rPr>
          <w:color w:val="221F1F"/>
        </w:rPr>
        <w:t>agree</w:t>
      </w:r>
      <w:r>
        <w:rPr>
          <w:color w:val="221F1F"/>
          <w:spacing w:val="-8"/>
        </w:rPr>
        <w:t xml:space="preserve"> </w:t>
      </w:r>
      <w:r>
        <w:rPr>
          <w:color w:val="221F1F"/>
        </w:rPr>
        <w:t>or</w:t>
      </w:r>
      <w:r>
        <w:rPr>
          <w:color w:val="221F1F"/>
          <w:spacing w:val="-9"/>
        </w:rPr>
        <w:t xml:space="preserve"> </w:t>
      </w:r>
      <w:r>
        <w:rPr>
          <w:color w:val="221F1F"/>
        </w:rPr>
        <w:t>determine</w:t>
      </w:r>
      <w:r>
        <w:rPr>
          <w:color w:val="221F1F"/>
          <w:spacing w:val="-11"/>
        </w:rPr>
        <w:t xml:space="preserve"> </w:t>
      </w:r>
      <w:r>
        <w:rPr>
          <w:color w:val="221F1F"/>
        </w:rPr>
        <w:t>the</w:t>
      </w:r>
      <w:r>
        <w:rPr>
          <w:color w:val="221F1F"/>
          <w:spacing w:val="-11"/>
        </w:rPr>
        <w:t xml:space="preserve"> </w:t>
      </w:r>
      <w:r>
        <w:rPr>
          <w:color w:val="221F1F"/>
        </w:rPr>
        <w:t>reductions</w:t>
      </w:r>
      <w:r>
        <w:rPr>
          <w:color w:val="221F1F"/>
          <w:spacing w:val="-10"/>
        </w:rPr>
        <w:t xml:space="preserve"> </w:t>
      </w:r>
      <w:r>
        <w:rPr>
          <w:color w:val="221F1F"/>
        </w:rPr>
        <w:t>in</w:t>
      </w:r>
      <w:r>
        <w:rPr>
          <w:color w:val="221F1F"/>
          <w:spacing w:val="-9"/>
        </w:rPr>
        <w:t xml:space="preserve"> </w:t>
      </w:r>
      <w:r>
        <w:rPr>
          <w:color w:val="221F1F"/>
        </w:rPr>
        <w:t>Cost</w:t>
      </w:r>
      <w:r>
        <w:rPr>
          <w:color w:val="221F1F"/>
          <w:spacing w:val="-8"/>
        </w:rPr>
        <w:t xml:space="preserve"> </w:t>
      </w:r>
      <w:r>
        <w:rPr>
          <w:color w:val="221F1F"/>
        </w:rPr>
        <w:t>which</w:t>
      </w:r>
      <w:r>
        <w:rPr>
          <w:color w:val="221F1F"/>
          <w:spacing w:val="-9"/>
        </w:rPr>
        <w:t xml:space="preserve"> </w:t>
      </w:r>
      <w:r>
        <w:rPr>
          <w:color w:val="221F1F"/>
        </w:rPr>
        <w:t>were</w:t>
      </w:r>
      <w:r>
        <w:rPr>
          <w:color w:val="221F1F"/>
          <w:spacing w:val="-9"/>
        </w:rPr>
        <w:t xml:space="preserve"> </w:t>
      </w:r>
      <w:r>
        <w:rPr>
          <w:color w:val="221F1F"/>
        </w:rPr>
        <w:t>due</w:t>
      </w:r>
      <w:r>
        <w:rPr>
          <w:color w:val="221F1F"/>
          <w:spacing w:val="-9"/>
        </w:rPr>
        <w:t xml:space="preserve"> </w:t>
      </w:r>
      <w:r>
        <w:rPr>
          <w:color w:val="221F1F"/>
        </w:rPr>
        <w:t>to</w:t>
      </w:r>
      <w:r>
        <w:rPr>
          <w:color w:val="221F1F"/>
          <w:spacing w:val="-9"/>
        </w:rPr>
        <w:t xml:space="preserve"> </w:t>
      </w:r>
      <w:r>
        <w:rPr>
          <w:color w:val="221F1F"/>
        </w:rPr>
        <w:t>these</w:t>
      </w:r>
      <w:r>
        <w:rPr>
          <w:color w:val="221F1F"/>
          <w:spacing w:val="-8"/>
        </w:rPr>
        <w:t xml:space="preserve"> </w:t>
      </w:r>
      <w:r>
        <w:rPr>
          <w:color w:val="221F1F"/>
        </w:rPr>
        <w:t>conditions,</w:t>
      </w:r>
      <w:r>
        <w:rPr>
          <w:color w:val="221F1F"/>
          <w:spacing w:val="-9"/>
        </w:rPr>
        <w:t xml:space="preserve"> </w:t>
      </w:r>
      <w:r>
        <w:rPr>
          <w:color w:val="221F1F"/>
        </w:rPr>
        <w:t>which</w:t>
      </w:r>
      <w:r>
        <w:rPr>
          <w:color w:val="221F1F"/>
          <w:spacing w:val="-11"/>
        </w:rPr>
        <w:t xml:space="preserve"> </w:t>
      </w:r>
      <w:r>
        <w:rPr>
          <w:color w:val="221F1F"/>
        </w:rPr>
        <w:t>may be included (as deductions) in the Contract Price and Payment Certificates. However, the net effect of all adjustments under sub-paragraph (b) and all these reductions, for all the physical conditions encountered in similar parts of the Works,</w:t>
      </w:r>
      <w:r>
        <w:rPr>
          <w:color w:val="221F1F"/>
          <w:spacing w:val="-2"/>
        </w:rPr>
        <w:t xml:space="preserve"> </w:t>
      </w:r>
      <w:r>
        <w:rPr>
          <w:color w:val="221F1F"/>
        </w:rPr>
        <w:t>shall not result in a net reduction in the Contract Price.</w:t>
      </w:r>
    </w:p>
    <w:p w:rsidR="007F6DF9" w:rsidRDefault="007F6DF9">
      <w:pPr>
        <w:pStyle w:val="BodyText"/>
        <w:spacing w:before="105"/>
      </w:pPr>
    </w:p>
    <w:p w:rsidR="007F6DF9" w:rsidRDefault="00A43FBC">
      <w:pPr>
        <w:pStyle w:val="ListParagraph"/>
        <w:numPr>
          <w:ilvl w:val="2"/>
          <w:numId w:val="122"/>
        </w:numPr>
        <w:tabs>
          <w:tab w:val="left" w:pos="1376"/>
          <w:tab w:val="left" w:pos="1390"/>
        </w:tabs>
        <w:spacing w:line="230" w:lineRule="auto"/>
        <w:ind w:left="1390" w:right="570" w:hanging="678"/>
        <w:jc w:val="both"/>
        <w:rPr>
          <w:color w:val="221F1F"/>
        </w:rPr>
      </w:pPr>
      <w:r>
        <w:rPr>
          <w:color w:val="221F1F"/>
        </w:rPr>
        <w:t xml:space="preserve">The Architect shall take account of any evidence of the physical conditions foreseen by the </w:t>
      </w:r>
      <w:proofErr w:type="spellStart"/>
      <w:r>
        <w:rPr>
          <w:color w:val="221F1F"/>
        </w:rPr>
        <w:t>Contractorwhen</w:t>
      </w:r>
      <w:proofErr w:type="spellEnd"/>
      <w:r>
        <w:rPr>
          <w:color w:val="221F1F"/>
        </w:rPr>
        <w:t xml:space="preserve"> submitting the Tender, which shall be made available by the Contractor, but shall not be bound by the </w:t>
      </w:r>
      <w:proofErr w:type="spellStart"/>
      <w:r>
        <w:rPr>
          <w:color w:val="221F1F"/>
          <w:spacing w:val="-2"/>
        </w:rPr>
        <w:t>Contractor'sinterpretationofanysuchevidence</w:t>
      </w:r>
      <w:proofErr w:type="spellEnd"/>
      <w:r>
        <w:rPr>
          <w:color w:val="221F1F"/>
          <w:spacing w:val="-2"/>
        </w:rPr>
        <w:t>.</w:t>
      </w:r>
    </w:p>
    <w:p w:rsidR="007F6DF9" w:rsidRDefault="00A43FBC">
      <w:pPr>
        <w:pStyle w:val="Heading9"/>
        <w:numPr>
          <w:ilvl w:val="1"/>
          <w:numId w:val="122"/>
        </w:numPr>
        <w:tabs>
          <w:tab w:val="left" w:pos="1377"/>
        </w:tabs>
        <w:spacing w:before="238"/>
        <w:ind w:left="1377" w:hanging="664"/>
        <w:jc w:val="both"/>
        <w:rPr>
          <w:color w:val="221F1F"/>
        </w:rPr>
      </w:pPr>
      <w:r>
        <w:rPr>
          <w:color w:val="221F1F"/>
        </w:rPr>
        <w:t>Rights</w:t>
      </w:r>
      <w:r>
        <w:rPr>
          <w:color w:val="221F1F"/>
          <w:spacing w:val="-5"/>
        </w:rPr>
        <w:t xml:space="preserve"> </w:t>
      </w:r>
      <w:r>
        <w:rPr>
          <w:color w:val="221F1F"/>
        </w:rPr>
        <w:t>of</w:t>
      </w:r>
      <w:r>
        <w:rPr>
          <w:color w:val="221F1F"/>
          <w:spacing w:val="-5"/>
        </w:rPr>
        <w:t xml:space="preserve"> </w:t>
      </w:r>
      <w:r>
        <w:rPr>
          <w:color w:val="221F1F"/>
        </w:rPr>
        <w:t>Way</w:t>
      </w:r>
      <w:r>
        <w:rPr>
          <w:color w:val="221F1F"/>
          <w:spacing w:val="-13"/>
        </w:rPr>
        <w:t xml:space="preserve"> </w:t>
      </w:r>
      <w:r>
        <w:rPr>
          <w:color w:val="221F1F"/>
        </w:rPr>
        <w:t>and</w:t>
      </w:r>
      <w:r>
        <w:rPr>
          <w:color w:val="221F1F"/>
          <w:spacing w:val="-3"/>
        </w:rPr>
        <w:t xml:space="preserve"> </w:t>
      </w:r>
      <w:r>
        <w:rPr>
          <w:color w:val="221F1F"/>
          <w:spacing w:val="-2"/>
        </w:rPr>
        <w:t>Facilities</w:t>
      </w:r>
    </w:p>
    <w:p w:rsidR="007F6DF9" w:rsidRDefault="00A43FBC">
      <w:pPr>
        <w:pStyle w:val="BodyText"/>
        <w:spacing w:before="243" w:line="230" w:lineRule="auto"/>
        <w:ind w:left="1390" w:right="557" w:hanging="12"/>
        <w:jc w:val="both"/>
      </w:pPr>
      <w:r>
        <w:rPr>
          <w:color w:val="221F1F"/>
        </w:rPr>
        <w:t>Unless otherwise specified in the Contract the Procuring Entity shall provide effective access to and possession of the Site including special and/or temporary rights-of-way which are necessary for the Works. The</w:t>
      </w:r>
      <w:r>
        <w:rPr>
          <w:color w:val="221F1F"/>
          <w:spacing w:val="13"/>
        </w:rPr>
        <w:t xml:space="preserve"> </w:t>
      </w:r>
      <w:r>
        <w:rPr>
          <w:color w:val="221F1F"/>
        </w:rPr>
        <w:t>Contractor</w:t>
      </w:r>
      <w:r>
        <w:rPr>
          <w:color w:val="221F1F"/>
          <w:spacing w:val="14"/>
        </w:rPr>
        <w:t xml:space="preserve"> </w:t>
      </w:r>
      <w:r>
        <w:rPr>
          <w:color w:val="221F1F"/>
        </w:rPr>
        <w:t>shall</w:t>
      </w:r>
      <w:r>
        <w:rPr>
          <w:color w:val="221F1F"/>
          <w:spacing w:val="15"/>
        </w:rPr>
        <w:t xml:space="preserve"> </w:t>
      </w:r>
      <w:r>
        <w:rPr>
          <w:color w:val="221F1F"/>
        </w:rPr>
        <w:t>obtain,</w:t>
      </w:r>
      <w:r>
        <w:rPr>
          <w:color w:val="221F1F"/>
          <w:spacing w:val="14"/>
        </w:rPr>
        <w:t xml:space="preserve"> </w:t>
      </w:r>
      <w:r>
        <w:rPr>
          <w:color w:val="221F1F"/>
        </w:rPr>
        <w:t>at</w:t>
      </w:r>
      <w:r>
        <w:rPr>
          <w:color w:val="221F1F"/>
          <w:spacing w:val="14"/>
        </w:rPr>
        <w:t xml:space="preserve"> </w:t>
      </w:r>
      <w:r>
        <w:rPr>
          <w:color w:val="221F1F"/>
        </w:rPr>
        <w:t>his</w:t>
      </w:r>
      <w:r>
        <w:rPr>
          <w:color w:val="221F1F"/>
          <w:spacing w:val="11"/>
        </w:rPr>
        <w:t xml:space="preserve"> </w:t>
      </w:r>
      <w:r>
        <w:rPr>
          <w:color w:val="221F1F"/>
        </w:rPr>
        <w:t>risk</w:t>
      </w:r>
      <w:r>
        <w:rPr>
          <w:color w:val="221F1F"/>
          <w:spacing w:val="14"/>
        </w:rPr>
        <w:t xml:space="preserve"> </w:t>
      </w:r>
      <w:r>
        <w:rPr>
          <w:color w:val="221F1F"/>
        </w:rPr>
        <w:t>and</w:t>
      </w:r>
      <w:r>
        <w:rPr>
          <w:color w:val="221F1F"/>
          <w:spacing w:val="13"/>
        </w:rPr>
        <w:t xml:space="preserve"> </w:t>
      </w:r>
      <w:r>
        <w:rPr>
          <w:color w:val="221F1F"/>
        </w:rPr>
        <w:t>cost,</w:t>
      </w:r>
      <w:r>
        <w:rPr>
          <w:color w:val="221F1F"/>
          <w:spacing w:val="11"/>
        </w:rPr>
        <w:t xml:space="preserve"> </w:t>
      </w:r>
      <w:r>
        <w:rPr>
          <w:color w:val="221F1F"/>
        </w:rPr>
        <w:t>any</w:t>
      </w:r>
      <w:r>
        <w:rPr>
          <w:color w:val="221F1F"/>
          <w:spacing w:val="12"/>
        </w:rPr>
        <w:t xml:space="preserve"> </w:t>
      </w:r>
      <w:r>
        <w:rPr>
          <w:color w:val="221F1F"/>
        </w:rPr>
        <w:t>additional</w:t>
      </w:r>
      <w:r>
        <w:rPr>
          <w:color w:val="221F1F"/>
          <w:spacing w:val="13"/>
        </w:rPr>
        <w:t xml:space="preserve"> </w:t>
      </w:r>
      <w:r>
        <w:rPr>
          <w:color w:val="221F1F"/>
        </w:rPr>
        <w:t>rights</w:t>
      </w:r>
      <w:r>
        <w:rPr>
          <w:color w:val="221F1F"/>
          <w:spacing w:val="14"/>
        </w:rPr>
        <w:t xml:space="preserve"> </w:t>
      </w:r>
      <w:r>
        <w:rPr>
          <w:color w:val="221F1F"/>
        </w:rPr>
        <w:t>of</w:t>
      </w:r>
      <w:r>
        <w:rPr>
          <w:color w:val="221F1F"/>
          <w:spacing w:val="12"/>
        </w:rPr>
        <w:t xml:space="preserve"> </w:t>
      </w:r>
      <w:r>
        <w:rPr>
          <w:color w:val="221F1F"/>
        </w:rPr>
        <w:t>way</w:t>
      </w:r>
      <w:r>
        <w:rPr>
          <w:color w:val="221F1F"/>
          <w:spacing w:val="14"/>
        </w:rPr>
        <w:t xml:space="preserve"> </w:t>
      </w:r>
      <w:r>
        <w:rPr>
          <w:color w:val="221F1F"/>
        </w:rPr>
        <w:t>or</w:t>
      </w:r>
      <w:r>
        <w:rPr>
          <w:color w:val="221F1F"/>
          <w:spacing w:val="12"/>
        </w:rPr>
        <w:t xml:space="preserve"> </w:t>
      </w:r>
      <w:r>
        <w:rPr>
          <w:color w:val="221F1F"/>
        </w:rPr>
        <w:t>facilities</w:t>
      </w:r>
      <w:r>
        <w:rPr>
          <w:color w:val="221F1F"/>
          <w:spacing w:val="13"/>
        </w:rPr>
        <w:t xml:space="preserve"> </w:t>
      </w:r>
      <w:proofErr w:type="spellStart"/>
      <w:r>
        <w:rPr>
          <w:color w:val="221F1F"/>
        </w:rPr>
        <w:t>out</w:t>
      </w:r>
      <w:r>
        <w:rPr>
          <w:color w:val="221F1F"/>
          <w:spacing w:val="12"/>
        </w:rPr>
        <w:t xml:space="preserve"> </w:t>
      </w:r>
      <w:r>
        <w:rPr>
          <w:color w:val="221F1F"/>
        </w:rPr>
        <w:t>side</w:t>
      </w:r>
      <w:proofErr w:type="spellEnd"/>
      <w:r>
        <w:rPr>
          <w:color w:val="221F1F"/>
          <w:spacing w:val="14"/>
        </w:rPr>
        <w:t xml:space="preserve"> </w:t>
      </w:r>
      <w:r>
        <w:rPr>
          <w:color w:val="221F1F"/>
        </w:rPr>
        <w:t>the</w:t>
      </w:r>
      <w:r>
        <w:rPr>
          <w:color w:val="221F1F"/>
          <w:spacing w:val="13"/>
        </w:rPr>
        <w:t xml:space="preserve"> </w:t>
      </w:r>
      <w:r>
        <w:rPr>
          <w:color w:val="221F1F"/>
        </w:rPr>
        <w:t>Site</w:t>
      </w:r>
    </w:p>
    <w:p w:rsidR="007F6DF9" w:rsidRDefault="007F6DF9">
      <w:pPr>
        <w:pStyle w:val="BodyText"/>
        <w:spacing w:line="230" w:lineRule="auto"/>
        <w:jc w:val="both"/>
        <w:sectPr w:rsidR="007F6DF9">
          <w:pgSz w:w="11920" w:h="16850"/>
          <w:pgMar w:top="360" w:right="283" w:bottom="620" w:left="141" w:header="0" w:footer="437" w:gutter="0"/>
          <w:cols w:space="720"/>
        </w:sectPr>
      </w:pPr>
    </w:p>
    <w:p w:rsidR="007F6DF9" w:rsidRDefault="00A43FBC">
      <w:pPr>
        <w:pStyle w:val="BodyText"/>
        <w:spacing w:line="244" w:lineRule="exact"/>
        <w:ind w:left="1390"/>
      </w:pPr>
      <w:r>
        <w:rPr>
          <w:color w:val="221F1F"/>
        </w:rPr>
        <w:lastRenderedPageBreak/>
        <w:t>which</w:t>
      </w:r>
      <w:r>
        <w:rPr>
          <w:color w:val="221F1F"/>
          <w:spacing w:val="-2"/>
        </w:rPr>
        <w:t xml:space="preserve"> </w:t>
      </w:r>
      <w:r>
        <w:rPr>
          <w:color w:val="221F1F"/>
        </w:rPr>
        <w:t>he</w:t>
      </w:r>
      <w:r>
        <w:rPr>
          <w:color w:val="221F1F"/>
          <w:spacing w:val="-2"/>
        </w:rPr>
        <w:t xml:space="preserve"> </w:t>
      </w:r>
      <w:r>
        <w:rPr>
          <w:color w:val="221F1F"/>
        </w:rPr>
        <w:t>may</w:t>
      </w:r>
      <w:r>
        <w:rPr>
          <w:color w:val="221F1F"/>
          <w:spacing w:val="-2"/>
        </w:rPr>
        <w:t xml:space="preserve"> </w:t>
      </w:r>
      <w:r>
        <w:rPr>
          <w:color w:val="221F1F"/>
        </w:rPr>
        <w:t>require</w:t>
      </w:r>
      <w:r>
        <w:rPr>
          <w:color w:val="221F1F"/>
          <w:spacing w:val="-4"/>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purposes</w:t>
      </w:r>
      <w:r>
        <w:rPr>
          <w:color w:val="221F1F"/>
          <w:spacing w:val="-4"/>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spacing w:val="-2"/>
        </w:rPr>
        <w:t>Works.</w:t>
      </w:r>
    </w:p>
    <w:p w:rsidR="007F6DF9" w:rsidRDefault="00A43FBC">
      <w:pPr>
        <w:pStyle w:val="Heading9"/>
        <w:numPr>
          <w:ilvl w:val="1"/>
          <w:numId w:val="122"/>
        </w:numPr>
        <w:tabs>
          <w:tab w:val="left" w:pos="1378"/>
        </w:tabs>
        <w:spacing w:before="236"/>
        <w:ind w:left="1378" w:hanging="665"/>
        <w:rPr>
          <w:color w:val="221F1F"/>
        </w:rPr>
      </w:pPr>
      <w:r>
        <w:rPr>
          <w:color w:val="221F1F"/>
        </w:rPr>
        <w:t>Avoidance</w:t>
      </w:r>
      <w:r>
        <w:rPr>
          <w:color w:val="221F1F"/>
          <w:spacing w:val="-4"/>
        </w:rPr>
        <w:t xml:space="preserve"> </w:t>
      </w:r>
      <w:r>
        <w:rPr>
          <w:color w:val="221F1F"/>
        </w:rPr>
        <w:t>of</w:t>
      </w:r>
      <w:r>
        <w:rPr>
          <w:color w:val="221F1F"/>
          <w:spacing w:val="-3"/>
        </w:rPr>
        <w:t xml:space="preserve"> </w:t>
      </w:r>
      <w:r>
        <w:rPr>
          <w:color w:val="221F1F"/>
          <w:spacing w:val="-2"/>
        </w:rPr>
        <w:t>Interference</w:t>
      </w:r>
    </w:p>
    <w:p w:rsidR="007F6DF9" w:rsidRDefault="007F6DF9">
      <w:pPr>
        <w:pStyle w:val="BodyText"/>
        <w:spacing w:before="95"/>
        <w:rPr>
          <w:b/>
        </w:rPr>
      </w:pPr>
    </w:p>
    <w:p w:rsidR="007F6DF9" w:rsidRDefault="00A43FBC">
      <w:pPr>
        <w:pStyle w:val="ListParagraph"/>
        <w:numPr>
          <w:ilvl w:val="2"/>
          <w:numId w:val="122"/>
        </w:numPr>
        <w:tabs>
          <w:tab w:val="left" w:pos="1380"/>
        </w:tabs>
        <w:ind w:left="1380" w:hanging="667"/>
        <w:rPr>
          <w:color w:val="221F1F"/>
        </w:rPr>
      </w:pP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interfere</w:t>
      </w:r>
      <w:r>
        <w:rPr>
          <w:color w:val="221F1F"/>
          <w:spacing w:val="-5"/>
        </w:rPr>
        <w:t xml:space="preserve"> </w:t>
      </w:r>
      <w:r>
        <w:rPr>
          <w:color w:val="221F1F"/>
        </w:rPr>
        <w:t>unnecessarily</w:t>
      </w:r>
      <w:r>
        <w:rPr>
          <w:color w:val="221F1F"/>
          <w:spacing w:val="-4"/>
        </w:rPr>
        <w:t xml:space="preserve"> </w:t>
      </w:r>
      <w:r>
        <w:rPr>
          <w:color w:val="221F1F"/>
        </w:rPr>
        <w:t>or</w:t>
      </w:r>
      <w:r>
        <w:rPr>
          <w:color w:val="221F1F"/>
          <w:spacing w:val="-6"/>
        </w:rPr>
        <w:t xml:space="preserve"> </w:t>
      </w:r>
      <w:r>
        <w:rPr>
          <w:color w:val="221F1F"/>
        </w:rPr>
        <w:t>improperly</w:t>
      </w:r>
      <w:r>
        <w:rPr>
          <w:color w:val="221F1F"/>
          <w:spacing w:val="-2"/>
        </w:rPr>
        <w:t xml:space="preserve"> with:</w:t>
      </w:r>
    </w:p>
    <w:p w:rsidR="007F6DF9" w:rsidRDefault="00A43FBC">
      <w:pPr>
        <w:pStyle w:val="ListParagraph"/>
        <w:numPr>
          <w:ilvl w:val="0"/>
          <w:numId w:val="40"/>
        </w:numPr>
        <w:tabs>
          <w:tab w:val="left" w:pos="1882"/>
        </w:tabs>
        <w:spacing w:before="42"/>
      </w:pPr>
      <w:r>
        <w:rPr>
          <w:color w:val="221F1F"/>
        </w:rPr>
        <w:t>The</w:t>
      </w:r>
      <w:r>
        <w:rPr>
          <w:color w:val="221F1F"/>
          <w:spacing w:val="-2"/>
        </w:rPr>
        <w:t xml:space="preserve"> </w:t>
      </w:r>
      <w:r>
        <w:rPr>
          <w:color w:val="221F1F"/>
        </w:rPr>
        <w:t>convenience</w:t>
      </w:r>
      <w:r>
        <w:rPr>
          <w:color w:val="221F1F"/>
          <w:spacing w:val="-4"/>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public,</w:t>
      </w:r>
      <w:r>
        <w:rPr>
          <w:color w:val="221F1F"/>
          <w:spacing w:val="-3"/>
        </w:rPr>
        <w:t xml:space="preserve"> </w:t>
      </w:r>
      <w:r>
        <w:rPr>
          <w:color w:val="221F1F"/>
          <w:spacing w:val="-5"/>
        </w:rPr>
        <w:t>or</w:t>
      </w:r>
    </w:p>
    <w:p w:rsidR="007F6DF9" w:rsidRDefault="00A43FBC">
      <w:pPr>
        <w:pStyle w:val="ListParagraph"/>
        <w:numPr>
          <w:ilvl w:val="0"/>
          <w:numId w:val="40"/>
        </w:numPr>
        <w:tabs>
          <w:tab w:val="left" w:pos="1882"/>
        </w:tabs>
        <w:spacing w:before="46" w:line="230" w:lineRule="auto"/>
        <w:ind w:right="1059"/>
      </w:pPr>
      <w:r>
        <w:rPr>
          <w:color w:val="221F1F"/>
        </w:rPr>
        <w:t>The</w:t>
      </w:r>
      <w:r>
        <w:rPr>
          <w:color w:val="221F1F"/>
          <w:spacing w:val="-1"/>
        </w:rPr>
        <w:t xml:space="preserve"> </w:t>
      </w:r>
      <w:r>
        <w:rPr>
          <w:color w:val="221F1F"/>
        </w:rPr>
        <w:t>access</w:t>
      </w:r>
      <w:r>
        <w:rPr>
          <w:color w:val="221F1F"/>
          <w:spacing w:val="-3"/>
        </w:rPr>
        <w:t xml:space="preserve"> </w:t>
      </w:r>
      <w:r>
        <w:rPr>
          <w:color w:val="221F1F"/>
        </w:rPr>
        <w:t>to</w:t>
      </w:r>
      <w:r>
        <w:rPr>
          <w:color w:val="221F1F"/>
          <w:spacing w:val="-4"/>
        </w:rPr>
        <w:t xml:space="preserve"> </w:t>
      </w:r>
      <w:r>
        <w:rPr>
          <w:color w:val="221F1F"/>
        </w:rPr>
        <w:t>and</w:t>
      </w:r>
      <w:r>
        <w:rPr>
          <w:color w:val="221F1F"/>
          <w:spacing w:val="-1"/>
        </w:rPr>
        <w:t xml:space="preserve"> </w:t>
      </w:r>
      <w:r>
        <w:rPr>
          <w:color w:val="221F1F"/>
        </w:rPr>
        <w:t>use and</w:t>
      </w:r>
      <w:r>
        <w:rPr>
          <w:color w:val="221F1F"/>
          <w:spacing w:val="-1"/>
        </w:rPr>
        <w:t xml:space="preserve"> </w:t>
      </w:r>
      <w:r>
        <w:rPr>
          <w:color w:val="221F1F"/>
        </w:rPr>
        <w:t>occupation</w:t>
      </w:r>
      <w:r>
        <w:rPr>
          <w:color w:val="221F1F"/>
          <w:spacing w:val="-1"/>
        </w:rPr>
        <w:t xml:space="preserve"> </w:t>
      </w:r>
      <w:r>
        <w:rPr>
          <w:color w:val="221F1F"/>
        </w:rPr>
        <w:t>of</w:t>
      </w:r>
      <w:r>
        <w:rPr>
          <w:color w:val="221F1F"/>
          <w:spacing w:val="-3"/>
        </w:rPr>
        <w:t xml:space="preserve"> </w:t>
      </w:r>
      <w:r>
        <w:rPr>
          <w:color w:val="221F1F"/>
        </w:rPr>
        <w:t>all roads</w:t>
      </w:r>
      <w:r>
        <w:rPr>
          <w:color w:val="221F1F"/>
          <w:spacing w:val="-2"/>
        </w:rPr>
        <w:t xml:space="preserve"> </w:t>
      </w:r>
      <w:r>
        <w:rPr>
          <w:color w:val="221F1F"/>
        </w:rPr>
        <w:t>and</w:t>
      </w:r>
      <w:r>
        <w:rPr>
          <w:color w:val="221F1F"/>
          <w:spacing w:val="-3"/>
        </w:rPr>
        <w:t xml:space="preserve"> </w:t>
      </w:r>
      <w:r>
        <w:rPr>
          <w:color w:val="221F1F"/>
        </w:rPr>
        <w:t>foot paths,</w:t>
      </w:r>
      <w:r>
        <w:rPr>
          <w:color w:val="221F1F"/>
          <w:spacing w:val="-1"/>
        </w:rPr>
        <w:t xml:space="preserve"> </w:t>
      </w:r>
      <w:r>
        <w:rPr>
          <w:color w:val="221F1F"/>
        </w:rPr>
        <w:t>irrespective of whether</w:t>
      </w:r>
      <w:r>
        <w:rPr>
          <w:color w:val="221F1F"/>
          <w:spacing w:val="-3"/>
        </w:rPr>
        <w:t xml:space="preserve"> </w:t>
      </w:r>
      <w:r>
        <w:rPr>
          <w:color w:val="221F1F"/>
        </w:rPr>
        <w:t>they</w:t>
      </w:r>
      <w:r>
        <w:rPr>
          <w:color w:val="221F1F"/>
          <w:spacing w:val="-3"/>
        </w:rPr>
        <w:t xml:space="preserve"> </w:t>
      </w:r>
      <w:r>
        <w:rPr>
          <w:color w:val="221F1F"/>
        </w:rPr>
        <w:t>are public or in the possession of the Procuring Entity or of others.</w:t>
      </w:r>
    </w:p>
    <w:p w:rsidR="007F6DF9" w:rsidRDefault="007F6DF9">
      <w:pPr>
        <w:pStyle w:val="BodyText"/>
        <w:spacing w:before="108"/>
      </w:pPr>
    </w:p>
    <w:p w:rsidR="007F6DF9" w:rsidRDefault="00A43FBC">
      <w:pPr>
        <w:pStyle w:val="ListParagraph"/>
        <w:numPr>
          <w:ilvl w:val="2"/>
          <w:numId w:val="122"/>
        </w:numPr>
        <w:tabs>
          <w:tab w:val="left" w:pos="1376"/>
          <w:tab w:val="left" w:pos="1390"/>
        </w:tabs>
        <w:spacing w:line="230" w:lineRule="auto"/>
        <w:ind w:left="1390" w:right="567" w:hanging="680"/>
        <w:jc w:val="both"/>
        <w:rPr>
          <w:color w:val="221F1F"/>
        </w:rPr>
      </w:pPr>
      <w:r>
        <w:rPr>
          <w:color w:val="221F1F"/>
        </w:rPr>
        <w:t>The</w:t>
      </w:r>
      <w:r>
        <w:rPr>
          <w:color w:val="221F1F"/>
          <w:spacing w:val="-1"/>
        </w:rPr>
        <w:t xml:space="preserve"> </w:t>
      </w:r>
      <w:r>
        <w:rPr>
          <w:color w:val="221F1F"/>
        </w:rPr>
        <w:t>Contractor</w:t>
      </w:r>
      <w:r>
        <w:rPr>
          <w:color w:val="221F1F"/>
          <w:spacing w:val="-3"/>
        </w:rPr>
        <w:t xml:space="preserve"> </w:t>
      </w:r>
      <w:r>
        <w:rPr>
          <w:color w:val="221F1F"/>
        </w:rPr>
        <w:t>shall indemnify</w:t>
      </w:r>
      <w:r>
        <w:rPr>
          <w:color w:val="221F1F"/>
          <w:spacing w:val="-4"/>
        </w:rPr>
        <w:t xml:space="preserve"> </w:t>
      </w:r>
      <w:r>
        <w:rPr>
          <w:color w:val="221F1F"/>
        </w:rPr>
        <w:t>and hold</w:t>
      </w:r>
      <w:r>
        <w:rPr>
          <w:color w:val="221F1F"/>
          <w:spacing w:val="-1"/>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1"/>
        </w:rPr>
        <w:t xml:space="preserve"> </w:t>
      </w:r>
      <w:r>
        <w:rPr>
          <w:color w:val="221F1F"/>
        </w:rPr>
        <w:t>harmless</w:t>
      </w:r>
      <w:r>
        <w:rPr>
          <w:color w:val="221F1F"/>
          <w:spacing w:val="-1"/>
        </w:rPr>
        <w:t xml:space="preserve"> </w:t>
      </w:r>
      <w:r>
        <w:rPr>
          <w:color w:val="221F1F"/>
        </w:rPr>
        <w:t>against and</w:t>
      </w:r>
      <w:r>
        <w:rPr>
          <w:color w:val="221F1F"/>
          <w:spacing w:val="-1"/>
        </w:rPr>
        <w:t xml:space="preserve"> </w:t>
      </w:r>
      <w:r>
        <w:rPr>
          <w:color w:val="221F1F"/>
        </w:rPr>
        <w:t>from all damages,</w:t>
      </w:r>
      <w:r>
        <w:rPr>
          <w:color w:val="221F1F"/>
          <w:spacing w:val="-4"/>
        </w:rPr>
        <w:t xml:space="preserve"> </w:t>
      </w:r>
      <w:r>
        <w:rPr>
          <w:color w:val="221F1F"/>
        </w:rPr>
        <w:t xml:space="preserve">losses and expenses (including legal fees and expenses) resulting from any such unnecessary or improper </w:t>
      </w:r>
      <w:r>
        <w:rPr>
          <w:color w:val="221F1F"/>
          <w:spacing w:val="-2"/>
        </w:rPr>
        <w:t>interference.</w:t>
      </w:r>
    </w:p>
    <w:p w:rsidR="007F6DF9" w:rsidRDefault="00A43FBC">
      <w:pPr>
        <w:pStyle w:val="Heading9"/>
        <w:numPr>
          <w:ilvl w:val="1"/>
          <w:numId w:val="122"/>
        </w:numPr>
        <w:tabs>
          <w:tab w:val="left" w:pos="1378"/>
        </w:tabs>
        <w:spacing w:before="235"/>
        <w:ind w:left="1378" w:hanging="667"/>
        <w:rPr>
          <w:color w:val="221F1F"/>
        </w:rPr>
      </w:pPr>
      <w:r>
        <w:rPr>
          <w:color w:val="221F1F"/>
        </w:rPr>
        <w:t>Access</w:t>
      </w:r>
      <w:r>
        <w:rPr>
          <w:color w:val="221F1F"/>
          <w:spacing w:val="-3"/>
        </w:rPr>
        <w:t xml:space="preserve"> </w:t>
      </w:r>
      <w:r>
        <w:rPr>
          <w:color w:val="221F1F"/>
          <w:spacing w:val="-4"/>
        </w:rPr>
        <w:t>Route</w:t>
      </w:r>
    </w:p>
    <w:p w:rsidR="007F6DF9" w:rsidRDefault="007F6DF9">
      <w:pPr>
        <w:pStyle w:val="BodyText"/>
        <w:spacing w:before="50"/>
        <w:rPr>
          <w:b/>
        </w:rPr>
      </w:pPr>
    </w:p>
    <w:p w:rsidR="007F6DF9" w:rsidRDefault="00A43FBC">
      <w:pPr>
        <w:pStyle w:val="ListParagraph"/>
        <w:numPr>
          <w:ilvl w:val="2"/>
          <w:numId w:val="122"/>
        </w:numPr>
        <w:tabs>
          <w:tab w:val="left" w:pos="1376"/>
          <w:tab w:val="left" w:pos="1390"/>
        </w:tabs>
        <w:spacing w:line="230" w:lineRule="auto"/>
        <w:ind w:left="1390" w:right="560" w:hanging="680"/>
        <w:jc w:val="both"/>
        <w:rPr>
          <w:color w:val="221F1F"/>
        </w:rPr>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deemed</w:t>
      </w:r>
      <w:r>
        <w:rPr>
          <w:color w:val="221F1F"/>
          <w:spacing w:val="-3"/>
        </w:rPr>
        <w:t xml:space="preserve"> </w:t>
      </w:r>
      <w:r>
        <w:rPr>
          <w:color w:val="221F1F"/>
        </w:rPr>
        <w:t>to</w:t>
      </w:r>
      <w:r>
        <w:rPr>
          <w:color w:val="221F1F"/>
          <w:spacing w:val="-5"/>
        </w:rPr>
        <w:t xml:space="preserve"> </w:t>
      </w:r>
      <w:r>
        <w:rPr>
          <w:color w:val="221F1F"/>
        </w:rPr>
        <w:t>have</w:t>
      </w:r>
      <w:r>
        <w:rPr>
          <w:color w:val="221F1F"/>
          <w:spacing w:val="-4"/>
        </w:rPr>
        <w:t xml:space="preserve"> </w:t>
      </w:r>
      <w:r>
        <w:rPr>
          <w:color w:val="221F1F"/>
        </w:rPr>
        <w:t>been</w:t>
      </w:r>
      <w:r>
        <w:rPr>
          <w:color w:val="221F1F"/>
          <w:spacing w:val="-4"/>
        </w:rPr>
        <w:t xml:space="preserve"> </w:t>
      </w:r>
      <w:r>
        <w:rPr>
          <w:color w:val="221F1F"/>
        </w:rPr>
        <w:t>satisfied</w:t>
      </w:r>
      <w:r>
        <w:rPr>
          <w:color w:val="221F1F"/>
          <w:spacing w:val="-6"/>
        </w:rPr>
        <w:t xml:space="preserve"> </w:t>
      </w:r>
      <w:r>
        <w:rPr>
          <w:color w:val="221F1F"/>
        </w:rPr>
        <w:t>as</w:t>
      </w:r>
      <w:r>
        <w:rPr>
          <w:color w:val="221F1F"/>
          <w:spacing w:val="-4"/>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suitability</w:t>
      </w:r>
      <w:r>
        <w:rPr>
          <w:color w:val="221F1F"/>
          <w:spacing w:val="-4"/>
        </w:rPr>
        <w:t xml:space="preserve"> </w:t>
      </w:r>
      <w:r>
        <w:rPr>
          <w:color w:val="221F1F"/>
        </w:rPr>
        <w:t>and</w:t>
      </w:r>
      <w:r>
        <w:rPr>
          <w:color w:val="221F1F"/>
          <w:spacing w:val="-4"/>
        </w:rPr>
        <w:t xml:space="preserve"> </w:t>
      </w:r>
      <w:r>
        <w:rPr>
          <w:color w:val="221F1F"/>
        </w:rPr>
        <w:t>availability</w:t>
      </w:r>
      <w:r>
        <w:rPr>
          <w:color w:val="221F1F"/>
          <w:spacing w:val="-3"/>
        </w:rPr>
        <w:t xml:space="preserve"> </w:t>
      </w:r>
      <w:r>
        <w:rPr>
          <w:color w:val="221F1F"/>
        </w:rPr>
        <w:t>of</w:t>
      </w:r>
      <w:r>
        <w:rPr>
          <w:color w:val="221F1F"/>
          <w:spacing w:val="-4"/>
        </w:rPr>
        <w:t xml:space="preserve"> </w:t>
      </w:r>
      <w:r>
        <w:rPr>
          <w:color w:val="221F1F"/>
        </w:rPr>
        <w:t>access</w:t>
      </w:r>
      <w:r>
        <w:rPr>
          <w:color w:val="221F1F"/>
          <w:spacing w:val="-4"/>
        </w:rPr>
        <w:t xml:space="preserve"> </w:t>
      </w:r>
      <w:r>
        <w:rPr>
          <w:color w:val="221F1F"/>
        </w:rPr>
        <w:t>routes</w:t>
      </w:r>
      <w:r>
        <w:rPr>
          <w:color w:val="221F1F"/>
          <w:spacing w:val="-4"/>
        </w:rPr>
        <w:t xml:space="preserve"> </w:t>
      </w:r>
      <w:r>
        <w:rPr>
          <w:color w:val="221F1F"/>
        </w:rPr>
        <w:t>to the Site at Base Date. The Contractor shall use reasonable efforts to prevent any road or bridge from being damaged by the Contractor's traffic or by the Contractor's Personnel. These efforts shall include the proper use of appropriate vehicles and routes.</w:t>
      </w:r>
    </w:p>
    <w:p w:rsidR="007F6DF9" w:rsidRDefault="007F6DF9">
      <w:pPr>
        <w:pStyle w:val="BodyText"/>
        <w:spacing w:before="112"/>
      </w:pPr>
    </w:p>
    <w:p w:rsidR="007F6DF9" w:rsidRDefault="00A43FBC">
      <w:pPr>
        <w:pStyle w:val="ListParagraph"/>
        <w:numPr>
          <w:ilvl w:val="2"/>
          <w:numId w:val="122"/>
        </w:numPr>
        <w:tabs>
          <w:tab w:val="left" w:pos="1378"/>
        </w:tabs>
        <w:ind w:left="1378" w:hanging="667"/>
        <w:rPr>
          <w:color w:val="221F1F"/>
        </w:rPr>
      </w:pPr>
      <w:r>
        <w:rPr>
          <w:color w:val="221F1F"/>
        </w:rPr>
        <w:t>Except</w:t>
      </w:r>
      <w:r>
        <w:rPr>
          <w:color w:val="221F1F"/>
          <w:spacing w:val="-4"/>
        </w:rPr>
        <w:t xml:space="preserve"> </w:t>
      </w:r>
      <w:r>
        <w:rPr>
          <w:color w:val="221F1F"/>
        </w:rPr>
        <w:t>as</w:t>
      </w:r>
      <w:r>
        <w:rPr>
          <w:color w:val="221F1F"/>
          <w:spacing w:val="-3"/>
        </w:rPr>
        <w:t xml:space="preserve"> </w:t>
      </w:r>
      <w:r>
        <w:rPr>
          <w:color w:val="221F1F"/>
        </w:rPr>
        <w:t>otherwise</w:t>
      </w:r>
      <w:r>
        <w:rPr>
          <w:color w:val="221F1F"/>
          <w:spacing w:val="-2"/>
        </w:rPr>
        <w:t xml:space="preserve"> </w:t>
      </w:r>
      <w:r>
        <w:rPr>
          <w:color w:val="221F1F"/>
        </w:rPr>
        <w:t>stated</w:t>
      </w:r>
      <w:r>
        <w:rPr>
          <w:color w:val="221F1F"/>
          <w:spacing w:val="-4"/>
        </w:rPr>
        <w:t xml:space="preserve"> </w:t>
      </w:r>
      <w:r>
        <w:rPr>
          <w:color w:val="221F1F"/>
        </w:rPr>
        <w:t>in</w:t>
      </w:r>
      <w:r>
        <w:rPr>
          <w:color w:val="221F1F"/>
          <w:spacing w:val="-3"/>
        </w:rPr>
        <w:t xml:space="preserve"> </w:t>
      </w:r>
      <w:r>
        <w:rPr>
          <w:color w:val="221F1F"/>
        </w:rPr>
        <w:t>these</w:t>
      </w:r>
      <w:r>
        <w:rPr>
          <w:color w:val="221F1F"/>
          <w:spacing w:val="-1"/>
        </w:rPr>
        <w:t xml:space="preserve"> </w:t>
      </w:r>
      <w:r>
        <w:rPr>
          <w:color w:val="221F1F"/>
          <w:spacing w:val="-2"/>
        </w:rPr>
        <w:t>Conditions:</w:t>
      </w:r>
    </w:p>
    <w:p w:rsidR="007F6DF9" w:rsidRDefault="00A43FBC">
      <w:pPr>
        <w:pStyle w:val="ListParagraph"/>
        <w:numPr>
          <w:ilvl w:val="0"/>
          <w:numId w:val="39"/>
        </w:numPr>
        <w:tabs>
          <w:tab w:val="left" w:pos="1887"/>
          <w:tab w:val="left" w:pos="1894"/>
        </w:tabs>
        <w:spacing w:before="48" w:line="230" w:lineRule="auto"/>
        <w:ind w:right="1122" w:hanging="516"/>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(as</w:t>
      </w:r>
      <w:r>
        <w:rPr>
          <w:color w:val="221F1F"/>
          <w:spacing w:val="-2"/>
        </w:rPr>
        <w:t xml:space="preserve"> </w:t>
      </w:r>
      <w:proofErr w:type="spellStart"/>
      <w:r>
        <w:rPr>
          <w:color w:val="221F1F"/>
        </w:rPr>
        <w:t>be</w:t>
      </w:r>
      <w:r>
        <w:rPr>
          <w:color w:val="221F1F"/>
          <w:spacing w:val="-3"/>
        </w:rPr>
        <w:t xml:space="preserve"> </w:t>
      </w:r>
      <w:r>
        <w:rPr>
          <w:color w:val="221F1F"/>
        </w:rPr>
        <w:t>tween</w:t>
      </w:r>
      <w:proofErr w:type="spellEnd"/>
      <w:r>
        <w:rPr>
          <w:color w:val="221F1F"/>
          <w:spacing w:val="-3"/>
        </w:rPr>
        <w:t xml:space="preserve"> </w:t>
      </w:r>
      <w:r>
        <w:rPr>
          <w:color w:val="221F1F"/>
        </w:rPr>
        <w:t>the</w:t>
      </w:r>
      <w:r>
        <w:rPr>
          <w:color w:val="221F1F"/>
          <w:spacing w:val="-2"/>
        </w:rPr>
        <w:t xml:space="preserve"> </w:t>
      </w:r>
      <w:r>
        <w:rPr>
          <w:color w:val="221F1F"/>
        </w:rPr>
        <w:t>Parties)</w:t>
      </w:r>
      <w:r>
        <w:rPr>
          <w:color w:val="221F1F"/>
          <w:spacing w:val="-1"/>
        </w:rPr>
        <w:t xml:space="preserve"> </w:t>
      </w:r>
      <w:r>
        <w:rPr>
          <w:color w:val="221F1F"/>
        </w:rPr>
        <w:t>be</w:t>
      </w:r>
      <w:r>
        <w:rPr>
          <w:color w:val="221F1F"/>
          <w:spacing w:val="-1"/>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any</w:t>
      </w:r>
      <w:r>
        <w:rPr>
          <w:color w:val="221F1F"/>
          <w:spacing w:val="-3"/>
        </w:rPr>
        <w:t xml:space="preserve"> </w:t>
      </w:r>
      <w:r>
        <w:rPr>
          <w:color w:val="221F1F"/>
        </w:rPr>
        <w:t>maintenance</w:t>
      </w:r>
      <w:r>
        <w:rPr>
          <w:color w:val="221F1F"/>
          <w:spacing w:val="-3"/>
        </w:rPr>
        <w:t xml:space="preserve"> </w:t>
      </w:r>
      <w:r>
        <w:rPr>
          <w:color w:val="221F1F"/>
        </w:rPr>
        <w:t>which</w:t>
      </w:r>
      <w:r>
        <w:rPr>
          <w:color w:val="221F1F"/>
          <w:spacing w:val="-3"/>
        </w:rPr>
        <w:t xml:space="preserve"> </w:t>
      </w:r>
      <w:r>
        <w:rPr>
          <w:color w:val="221F1F"/>
        </w:rPr>
        <w:t>may</w:t>
      </w:r>
      <w:r>
        <w:rPr>
          <w:color w:val="221F1F"/>
          <w:spacing w:val="-2"/>
        </w:rPr>
        <w:t xml:space="preserve"> </w:t>
      </w:r>
      <w:r>
        <w:rPr>
          <w:color w:val="221F1F"/>
        </w:rPr>
        <w:t>be required for his use of access routes;</w:t>
      </w:r>
    </w:p>
    <w:p w:rsidR="007F6DF9" w:rsidRDefault="00A43FBC">
      <w:pPr>
        <w:pStyle w:val="ListParagraph"/>
        <w:numPr>
          <w:ilvl w:val="0"/>
          <w:numId w:val="39"/>
        </w:numPr>
        <w:tabs>
          <w:tab w:val="left" w:pos="1887"/>
          <w:tab w:val="left" w:pos="1894"/>
        </w:tabs>
        <w:spacing w:before="49" w:line="230" w:lineRule="auto"/>
        <w:ind w:right="657" w:hanging="516"/>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provide</w:t>
      </w:r>
      <w:r>
        <w:rPr>
          <w:color w:val="221F1F"/>
          <w:spacing w:val="-2"/>
        </w:rPr>
        <w:t xml:space="preserve"> </w:t>
      </w:r>
      <w:r>
        <w:rPr>
          <w:color w:val="221F1F"/>
        </w:rPr>
        <w:t>all</w:t>
      </w:r>
      <w:r>
        <w:rPr>
          <w:color w:val="221F1F"/>
          <w:spacing w:val="-1"/>
        </w:rPr>
        <w:t xml:space="preserve"> </w:t>
      </w:r>
      <w:r>
        <w:rPr>
          <w:color w:val="221F1F"/>
        </w:rPr>
        <w:t>necessary</w:t>
      </w:r>
      <w:r>
        <w:rPr>
          <w:color w:val="221F1F"/>
          <w:spacing w:val="-2"/>
        </w:rPr>
        <w:t xml:space="preserve"> </w:t>
      </w:r>
      <w:r>
        <w:rPr>
          <w:color w:val="221F1F"/>
        </w:rPr>
        <w:t>signs</w:t>
      </w:r>
      <w:r>
        <w:rPr>
          <w:color w:val="221F1F"/>
          <w:spacing w:val="-2"/>
        </w:rPr>
        <w:t xml:space="preserve"> </w:t>
      </w:r>
      <w:r>
        <w:rPr>
          <w:color w:val="221F1F"/>
        </w:rPr>
        <w:t>or</w:t>
      </w:r>
      <w:r>
        <w:rPr>
          <w:color w:val="221F1F"/>
          <w:spacing w:val="-2"/>
        </w:rPr>
        <w:t xml:space="preserve"> </w:t>
      </w:r>
      <w:r>
        <w:rPr>
          <w:color w:val="221F1F"/>
        </w:rPr>
        <w:t>directions</w:t>
      </w:r>
      <w:r>
        <w:rPr>
          <w:color w:val="221F1F"/>
          <w:spacing w:val="-2"/>
        </w:rPr>
        <w:t xml:space="preserve"> </w:t>
      </w:r>
      <w:r>
        <w:rPr>
          <w:color w:val="221F1F"/>
        </w:rPr>
        <w:t>along</w:t>
      </w:r>
      <w:r>
        <w:rPr>
          <w:color w:val="221F1F"/>
          <w:spacing w:val="-5"/>
        </w:rPr>
        <w:t xml:space="preserve"> </w:t>
      </w:r>
      <w:r>
        <w:rPr>
          <w:color w:val="221F1F"/>
        </w:rPr>
        <w:t>access</w:t>
      </w:r>
      <w:r>
        <w:rPr>
          <w:color w:val="221F1F"/>
          <w:spacing w:val="-4"/>
        </w:rPr>
        <w:t xml:space="preserve"> </w:t>
      </w:r>
      <w:r>
        <w:rPr>
          <w:color w:val="221F1F"/>
        </w:rPr>
        <w:t>routes,</w:t>
      </w:r>
      <w:r>
        <w:rPr>
          <w:color w:val="221F1F"/>
          <w:spacing w:val="-5"/>
        </w:rPr>
        <w:t xml:space="preserve"> </w:t>
      </w:r>
      <w:r>
        <w:rPr>
          <w:color w:val="221F1F"/>
        </w:rPr>
        <w:t>and</w:t>
      </w:r>
      <w:r>
        <w:rPr>
          <w:color w:val="221F1F"/>
          <w:spacing w:val="-2"/>
        </w:rPr>
        <w:t xml:space="preserve"> </w:t>
      </w:r>
      <w:r>
        <w:rPr>
          <w:color w:val="221F1F"/>
        </w:rPr>
        <w:t>shall</w:t>
      </w:r>
      <w:r>
        <w:rPr>
          <w:color w:val="221F1F"/>
          <w:spacing w:val="-1"/>
        </w:rPr>
        <w:t xml:space="preserve"> </w:t>
      </w:r>
      <w:r>
        <w:rPr>
          <w:color w:val="221F1F"/>
        </w:rPr>
        <w:t>obtain</w:t>
      </w:r>
      <w:r>
        <w:rPr>
          <w:color w:val="221F1F"/>
          <w:spacing w:val="-2"/>
        </w:rPr>
        <w:t xml:space="preserve"> </w:t>
      </w:r>
      <w:r>
        <w:rPr>
          <w:color w:val="221F1F"/>
        </w:rPr>
        <w:t xml:space="preserve">any permission which may be required from the relevant authorities for his use of routes, signs and </w:t>
      </w:r>
      <w:r>
        <w:rPr>
          <w:color w:val="221F1F"/>
          <w:spacing w:val="-2"/>
        </w:rPr>
        <w:t>directions;</w:t>
      </w:r>
    </w:p>
    <w:p w:rsidR="007F6DF9" w:rsidRDefault="00A43FBC">
      <w:pPr>
        <w:pStyle w:val="ListParagraph"/>
        <w:numPr>
          <w:ilvl w:val="0"/>
          <w:numId w:val="39"/>
        </w:numPr>
        <w:tabs>
          <w:tab w:val="left" w:pos="1887"/>
          <w:tab w:val="left" w:pos="1894"/>
        </w:tabs>
        <w:spacing w:before="49" w:line="230" w:lineRule="auto"/>
        <w:ind w:right="570" w:hanging="516"/>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1"/>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be</w:t>
      </w:r>
      <w:r>
        <w:rPr>
          <w:color w:val="221F1F"/>
          <w:spacing w:val="-4"/>
        </w:rPr>
        <w:t xml:space="preserve"> </w:t>
      </w:r>
      <w:r>
        <w:rPr>
          <w:color w:val="221F1F"/>
        </w:rPr>
        <w:t>responsible</w:t>
      </w:r>
      <w:r>
        <w:rPr>
          <w:color w:val="221F1F"/>
          <w:spacing w:val="-2"/>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claims</w:t>
      </w:r>
      <w:r>
        <w:rPr>
          <w:color w:val="221F1F"/>
          <w:spacing w:val="-2"/>
        </w:rPr>
        <w:t xml:space="preserve"> </w:t>
      </w:r>
      <w:r>
        <w:rPr>
          <w:color w:val="221F1F"/>
        </w:rPr>
        <w:t>which</w:t>
      </w:r>
      <w:r>
        <w:rPr>
          <w:color w:val="221F1F"/>
          <w:spacing w:val="-4"/>
        </w:rPr>
        <w:t xml:space="preserve"> </w:t>
      </w:r>
      <w:r>
        <w:rPr>
          <w:color w:val="221F1F"/>
        </w:rPr>
        <w:t>may</w:t>
      </w:r>
      <w:r>
        <w:rPr>
          <w:color w:val="221F1F"/>
          <w:spacing w:val="-4"/>
        </w:rPr>
        <w:t xml:space="preserve"> </w:t>
      </w:r>
      <w:r>
        <w:rPr>
          <w:color w:val="221F1F"/>
        </w:rPr>
        <w:t>arise</w:t>
      </w:r>
      <w:r>
        <w:rPr>
          <w:color w:val="221F1F"/>
          <w:spacing w:val="-3"/>
        </w:rPr>
        <w:t xml:space="preserve"> </w:t>
      </w:r>
      <w:r>
        <w:rPr>
          <w:color w:val="221F1F"/>
        </w:rPr>
        <w:t>from</w:t>
      </w:r>
      <w:r>
        <w:rPr>
          <w:color w:val="221F1F"/>
          <w:spacing w:val="-3"/>
        </w:rPr>
        <w:t xml:space="preserve"> </w:t>
      </w:r>
      <w:r>
        <w:rPr>
          <w:color w:val="221F1F"/>
        </w:rPr>
        <w:t>the</w:t>
      </w:r>
      <w:r>
        <w:rPr>
          <w:color w:val="221F1F"/>
          <w:spacing w:val="-2"/>
        </w:rPr>
        <w:t xml:space="preserve"> </w:t>
      </w:r>
      <w:r>
        <w:rPr>
          <w:color w:val="221F1F"/>
        </w:rPr>
        <w:t>use</w:t>
      </w:r>
      <w:r>
        <w:rPr>
          <w:color w:val="221F1F"/>
          <w:spacing w:val="-1"/>
        </w:rPr>
        <w:t xml:space="preserve"> </w:t>
      </w:r>
      <w:r>
        <w:rPr>
          <w:color w:val="221F1F"/>
        </w:rPr>
        <w:t>or</w:t>
      </w:r>
      <w:r>
        <w:rPr>
          <w:color w:val="221F1F"/>
          <w:spacing w:val="-1"/>
        </w:rPr>
        <w:t xml:space="preserve"> </w:t>
      </w:r>
      <w:r>
        <w:rPr>
          <w:color w:val="221F1F"/>
        </w:rPr>
        <w:t>otherwise of any access route;</w:t>
      </w:r>
    </w:p>
    <w:p w:rsidR="007F6DF9" w:rsidRDefault="00A43FBC">
      <w:pPr>
        <w:pStyle w:val="ListParagraph"/>
        <w:numPr>
          <w:ilvl w:val="0"/>
          <w:numId w:val="39"/>
        </w:numPr>
        <w:tabs>
          <w:tab w:val="left" w:pos="1887"/>
        </w:tabs>
        <w:spacing w:before="42"/>
        <w:ind w:left="1887"/>
      </w:pPr>
      <w:r>
        <w:rPr>
          <w:color w:val="221F1F"/>
        </w:rPr>
        <w:t>the</w:t>
      </w:r>
      <w:r>
        <w:rPr>
          <w:color w:val="221F1F"/>
          <w:spacing w:val="-6"/>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does</w:t>
      </w:r>
      <w:r>
        <w:rPr>
          <w:color w:val="221F1F"/>
          <w:spacing w:val="-4"/>
        </w:rPr>
        <w:t xml:space="preserve"> </w:t>
      </w:r>
      <w:r>
        <w:rPr>
          <w:color w:val="221F1F"/>
        </w:rPr>
        <w:t>not</w:t>
      </w:r>
      <w:r>
        <w:rPr>
          <w:color w:val="221F1F"/>
          <w:spacing w:val="-3"/>
        </w:rPr>
        <w:t xml:space="preserve"> </w:t>
      </w:r>
      <w:r>
        <w:rPr>
          <w:color w:val="221F1F"/>
        </w:rPr>
        <w:t>guarantee</w:t>
      </w:r>
      <w:r>
        <w:rPr>
          <w:color w:val="221F1F"/>
          <w:spacing w:val="-4"/>
        </w:rPr>
        <w:t xml:space="preserve"> </w:t>
      </w:r>
      <w:r>
        <w:rPr>
          <w:color w:val="221F1F"/>
        </w:rPr>
        <w:t>the</w:t>
      </w:r>
      <w:r>
        <w:rPr>
          <w:color w:val="221F1F"/>
          <w:spacing w:val="-4"/>
        </w:rPr>
        <w:t xml:space="preserve"> </w:t>
      </w:r>
      <w:r>
        <w:rPr>
          <w:color w:val="221F1F"/>
        </w:rPr>
        <w:t>suitability</w:t>
      </w:r>
      <w:r>
        <w:rPr>
          <w:color w:val="221F1F"/>
          <w:spacing w:val="-5"/>
        </w:rPr>
        <w:t xml:space="preserve"> </w:t>
      </w:r>
      <w:r>
        <w:rPr>
          <w:color w:val="221F1F"/>
        </w:rPr>
        <w:t>or</w:t>
      </w:r>
      <w:r>
        <w:rPr>
          <w:color w:val="221F1F"/>
          <w:spacing w:val="-3"/>
        </w:rPr>
        <w:t xml:space="preserve"> </w:t>
      </w:r>
      <w:r>
        <w:rPr>
          <w:color w:val="221F1F"/>
        </w:rPr>
        <w:t>a</w:t>
      </w:r>
      <w:r>
        <w:rPr>
          <w:color w:val="221F1F"/>
          <w:spacing w:val="-4"/>
        </w:rPr>
        <w:t xml:space="preserve"> </w:t>
      </w:r>
      <w:proofErr w:type="spellStart"/>
      <w:r>
        <w:rPr>
          <w:color w:val="221F1F"/>
        </w:rPr>
        <w:t>vailability</w:t>
      </w:r>
      <w:proofErr w:type="spellEnd"/>
      <w:r>
        <w:rPr>
          <w:color w:val="221F1F"/>
          <w:spacing w:val="-6"/>
        </w:rPr>
        <w:t xml:space="preserve"> </w:t>
      </w:r>
      <w:r>
        <w:rPr>
          <w:color w:val="221F1F"/>
        </w:rPr>
        <w:t>of</w:t>
      </w:r>
      <w:r>
        <w:rPr>
          <w:color w:val="221F1F"/>
          <w:spacing w:val="-3"/>
        </w:rPr>
        <w:t xml:space="preserve"> </w:t>
      </w:r>
      <w:r>
        <w:rPr>
          <w:color w:val="221F1F"/>
        </w:rPr>
        <w:t>particular</w:t>
      </w:r>
      <w:r>
        <w:rPr>
          <w:color w:val="221F1F"/>
          <w:spacing w:val="-5"/>
        </w:rPr>
        <w:t xml:space="preserve"> </w:t>
      </w:r>
      <w:r>
        <w:rPr>
          <w:color w:val="221F1F"/>
        </w:rPr>
        <w:t>access</w:t>
      </w:r>
      <w:r>
        <w:rPr>
          <w:color w:val="221F1F"/>
          <w:spacing w:val="-5"/>
        </w:rPr>
        <w:t xml:space="preserve"> </w:t>
      </w:r>
      <w:r>
        <w:rPr>
          <w:color w:val="221F1F"/>
        </w:rPr>
        <w:t>routes;</w:t>
      </w:r>
      <w:r>
        <w:rPr>
          <w:color w:val="221F1F"/>
          <w:spacing w:val="-2"/>
        </w:rPr>
        <w:t xml:space="preserve"> </w:t>
      </w:r>
      <w:r>
        <w:rPr>
          <w:color w:val="221F1F"/>
          <w:spacing w:val="-5"/>
        </w:rPr>
        <w:t>and</w:t>
      </w:r>
    </w:p>
    <w:p w:rsidR="007F6DF9" w:rsidRDefault="00A43FBC">
      <w:pPr>
        <w:pStyle w:val="ListParagraph"/>
        <w:numPr>
          <w:ilvl w:val="0"/>
          <w:numId w:val="39"/>
        </w:numPr>
        <w:tabs>
          <w:tab w:val="left" w:pos="1887"/>
          <w:tab w:val="left" w:pos="1894"/>
        </w:tabs>
        <w:spacing w:before="48" w:line="230" w:lineRule="auto"/>
        <w:ind w:right="1155" w:hanging="516"/>
      </w:pPr>
      <w:r>
        <w:rPr>
          <w:color w:val="221F1F"/>
        </w:rPr>
        <w:t>Costs</w:t>
      </w:r>
      <w:r>
        <w:rPr>
          <w:color w:val="221F1F"/>
          <w:spacing w:val="-2"/>
        </w:rPr>
        <w:t xml:space="preserve"> </w:t>
      </w:r>
      <w:r>
        <w:rPr>
          <w:color w:val="221F1F"/>
        </w:rPr>
        <w:t>due</w:t>
      </w:r>
      <w:r>
        <w:rPr>
          <w:color w:val="221F1F"/>
          <w:spacing w:val="-4"/>
        </w:rPr>
        <w:t xml:space="preserve"> </w:t>
      </w:r>
      <w:r>
        <w:rPr>
          <w:color w:val="221F1F"/>
        </w:rPr>
        <w:t>to</w:t>
      </w:r>
      <w:r>
        <w:rPr>
          <w:color w:val="221F1F"/>
          <w:spacing w:val="-2"/>
        </w:rPr>
        <w:t xml:space="preserve"> </w:t>
      </w:r>
      <w:r>
        <w:rPr>
          <w:color w:val="221F1F"/>
        </w:rPr>
        <w:t>non-suitability</w:t>
      </w:r>
      <w:r>
        <w:rPr>
          <w:color w:val="221F1F"/>
          <w:spacing w:val="-5"/>
        </w:rPr>
        <w:t xml:space="preserve"> </w:t>
      </w:r>
      <w:r>
        <w:rPr>
          <w:color w:val="221F1F"/>
        </w:rPr>
        <w:t>or non-availability,</w:t>
      </w:r>
      <w:r>
        <w:rPr>
          <w:color w:val="221F1F"/>
          <w:spacing w:val="-5"/>
        </w:rPr>
        <w:t xml:space="preserve"> </w:t>
      </w:r>
      <w:r>
        <w:rPr>
          <w:color w:val="221F1F"/>
        </w:rPr>
        <w:t>for</w:t>
      </w:r>
      <w:r>
        <w:rPr>
          <w:color w:val="221F1F"/>
          <w:spacing w:val="-2"/>
        </w:rPr>
        <w:t xml:space="preserve"> </w:t>
      </w:r>
      <w:r>
        <w:rPr>
          <w:color w:val="221F1F"/>
        </w:rPr>
        <w:t>the</w:t>
      </w:r>
      <w:r>
        <w:rPr>
          <w:color w:val="221F1F"/>
          <w:spacing w:val="-4"/>
        </w:rPr>
        <w:t xml:space="preserve"> </w:t>
      </w:r>
      <w:r>
        <w:rPr>
          <w:color w:val="221F1F"/>
        </w:rPr>
        <w:t>use</w:t>
      </w:r>
      <w:r>
        <w:rPr>
          <w:color w:val="221F1F"/>
          <w:spacing w:val="-2"/>
        </w:rPr>
        <w:t xml:space="preserve"> </w:t>
      </w:r>
      <w:r>
        <w:rPr>
          <w:color w:val="221F1F"/>
        </w:rPr>
        <w:t>required</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of</w:t>
      </w:r>
      <w:r>
        <w:rPr>
          <w:color w:val="221F1F"/>
          <w:spacing w:val="-2"/>
        </w:rPr>
        <w:t xml:space="preserve"> </w:t>
      </w:r>
      <w:r>
        <w:rPr>
          <w:color w:val="221F1F"/>
        </w:rPr>
        <w:t>access routes shall be borne by the Contractor.</w:t>
      </w:r>
    </w:p>
    <w:p w:rsidR="007F6DF9" w:rsidRDefault="00A43FBC">
      <w:pPr>
        <w:pStyle w:val="Heading9"/>
        <w:numPr>
          <w:ilvl w:val="1"/>
          <w:numId w:val="122"/>
        </w:numPr>
        <w:tabs>
          <w:tab w:val="left" w:pos="1378"/>
        </w:tabs>
        <w:spacing w:before="236"/>
        <w:ind w:left="1378" w:hanging="667"/>
        <w:rPr>
          <w:color w:val="221F1F"/>
        </w:rPr>
      </w:pPr>
      <w:r>
        <w:rPr>
          <w:color w:val="221F1F"/>
        </w:rPr>
        <w:t>Transport</w:t>
      </w:r>
      <w:r>
        <w:rPr>
          <w:color w:val="221F1F"/>
          <w:spacing w:val="-2"/>
        </w:rPr>
        <w:t xml:space="preserve"> </w:t>
      </w:r>
      <w:r>
        <w:rPr>
          <w:color w:val="221F1F"/>
        </w:rPr>
        <w:t>of</w:t>
      </w:r>
      <w:r>
        <w:rPr>
          <w:color w:val="221F1F"/>
          <w:spacing w:val="-3"/>
        </w:rPr>
        <w:t xml:space="preserve"> </w:t>
      </w:r>
      <w:r>
        <w:rPr>
          <w:color w:val="221F1F"/>
          <w:spacing w:val="-4"/>
        </w:rPr>
        <w:t>Goods</w:t>
      </w:r>
    </w:p>
    <w:p w:rsidR="007F6DF9" w:rsidRDefault="007F6DF9">
      <w:pPr>
        <w:pStyle w:val="BodyText"/>
        <w:spacing w:before="31"/>
        <w:rPr>
          <w:b/>
        </w:rPr>
      </w:pPr>
    </w:p>
    <w:p w:rsidR="007F6DF9" w:rsidRDefault="00A43FBC">
      <w:pPr>
        <w:pStyle w:val="BodyText"/>
        <w:ind w:left="1378"/>
      </w:pPr>
      <w:r>
        <w:rPr>
          <w:color w:val="221F1F"/>
        </w:rPr>
        <w:t>Unless</w:t>
      </w:r>
      <w:r>
        <w:rPr>
          <w:color w:val="221F1F"/>
          <w:spacing w:val="-5"/>
        </w:rPr>
        <w:t xml:space="preserve"> </w:t>
      </w:r>
      <w:r>
        <w:rPr>
          <w:color w:val="221F1F"/>
        </w:rPr>
        <w:t>otherwise</w:t>
      </w:r>
      <w:r>
        <w:rPr>
          <w:color w:val="221F1F"/>
          <w:spacing w:val="-4"/>
        </w:rPr>
        <w:t xml:space="preserve"> </w:t>
      </w:r>
      <w:r>
        <w:rPr>
          <w:color w:val="221F1F"/>
        </w:rPr>
        <w:t>stated</w:t>
      </w:r>
      <w:r>
        <w:rPr>
          <w:color w:val="221F1F"/>
          <w:spacing w:val="-5"/>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Special</w:t>
      </w:r>
      <w:r>
        <w:rPr>
          <w:color w:val="221F1F"/>
          <w:spacing w:val="-1"/>
        </w:rPr>
        <w:t xml:space="preserve"> </w:t>
      </w:r>
      <w:r>
        <w:rPr>
          <w:color w:val="221F1F"/>
          <w:spacing w:val="-2"/>
        </w:rPr>
        <w:t>Conditions:</w:t>
      </w:r>
    </w:p>
    <w:p w:rsidR="007F6DF9" w:rsidRDefault="00A43FBC">
      <w:pPr>
        <w:pStyle w:val="ListParagraph"/>
        <w:numPr>
          <w:ilvl w:val="0"/>
          <w:numId w:val="112"/>
        </w:numPr>
        <w:tabs>
          <w:tab w:val="left" w:pos="1889"/>
          <w:tab w:val="left" w:pos="1897"/>
        </w:tabs>
        <w:spacing w:before="48" w:line="230" w:lineRule="auto"/>
        <w:ind w:right="583" w:hanging="519"/>
      </w:pPr>
      <w:r>
        <w:rPr>
          <w:color w:val="221F1F"/>
        </w:rPr>
        <w:t>the</w:t>
      </w:r>
      <w:r>
        <w:rPr>
          <w:color w:val="221F1F"/>
          <w:spacing w:val="-1"/>
        </w:rPr>
        <w:t xml:space="preserve"> </w:t>
      </w:r>
      <w:r>
        <w:rPr>
          <w:color w:val="221F1F"/>
        </w:rPr>
        <w:t>Contractor</w:t>
      </w:r>
      <w:r>
        <w:rPr>
          <w:color w:val="221F1F"/>
          <w:spacing w:val="-1"/>
        </w:rPr>
        <w:t xml:space="preserve"> </w:t>
      </w:r>
      <w:r>
        <w:rPr>
          <w:color w:val="221F1F"/>
        </w:rPr>
        <w:t>shall give</w:t>
      </w:r>
      <w:r>
        <w:rPr>
          <w:color w:val="221F1F"/>
          <w:spacing w:val="-3"/>
        </w:rPr>
        <w:t xml:space="preserve"> </w:t>
      </w:r>
      <w:r>
        <w:rPr>
          <w:color w:val="221F1F"/>
        </w:rPr>
        <w:t>the</w:t>
      </w:r>
      <w:r>
        <w:rPr>
          <w:color w:val="221F1F"/>
          <w:spacing w:val="-1"/>
        </w:rPr>
        <w:t xml:space="preserve"> </w:t>
      </w:r>
      <w:r>
        <w:rPr>
          <w:color w:val="221F1F"/>
        </w:rPr>
        <w:t>Architect</w:t>
      </w:r>
      <w:r>
        <w:rPr>
          <w:color w:val="221F1F"/>
          <w:spacing w:val="-3"/>
        </w:rPr>
        <w:t xml:space="preserve"> </w:t>
      </w:r>
      <w:r>
        <w:rPr>
          <w:color w:val="221F1F"/>
        </w:rPr>
        <w:t>not</w:t>
      </w:r>
      <w:r>
        <w:rPr>
          <w:color w:val="221F1F"/>
          <w:spacing w:val="-3"/>
        </w:rPr>
        <w:t xml:space="preserve"> </w:t>
      </w:r>
      <w:r>
        <w:rPr>
          <w:color w:val="221F1F"/>
        </w:rPr>
        <w:t>less than</w:t>
      </w:r>
      <w:r>
        <w:rPr>
          <w:color w:val="221F1F"/>
          <w:spacing w:val="-1"/>
        </w:rPr>
        <w:t xml:space="preserve"> </w:t>
      </w:r>
      <w:r>
        <w:rPr>
          <w:color w:val="221F1F"/>
        </w:rPr>
        <w:t>21</w:t>
      </w:r>
      <w:r>
        <w:rPr>
          <w:color w:val="221F1F"/>
          <w:spacing w:val="-4"/>
        </w:rPr>
        <w:t xml:space="preserve"> </w:t>
      </w:r>
      <w:r>
        <w:rPr>
          <w:color w:val="221F1F"/>
        </w:rPr>
        <w:t>days'</w:t>
      </w:r>
      <w:r>
        <w:rPr>
          <w:color w:val="221F1F"/>
          <w:spacing w:val="-3"/>
        </w:rPr>
        <w:t xml:space="preserve"> </w:t>
      </w:r>
      <w:r>
        <w:rPr>
          <w:color w:val="221F1F"/>
        </w:rPr>
        <w:t>notice</w:t>
      </w:r>
      <w:r>
        <w:rPr>
          <w:color w:val="221F1F"/>
          <w:spacing w:val="-1"/>
        </w:rPr>
        <w:t xml:space="preserve"> </w:t>
      </w:r>
      <w:r>
        <w:rPr>
          <w:color w:val="221F1F"/>
        </w:rPr>
        <w:t>of</w:t>
      </w:r>
      <w:r>
        <w:rPr>
          <w:color w:val="221F1F"/>
          <w:spacing w:val="-3"/>
        </w:rPr>
        <w:t xml:space="preserve"> </w:t>
      </w:r>
      <w:r>
        <w:rPr>
          <w:color w:val="221F1F"/>
        </w:rPr>
        <w:t>the date</w:t>
      </w:r>
      <w:r>
        <w:rPr>
          <w:color w:val="221F1F"/>
          <w:spacing w:val="-1"/>
        </w:rPr>
        <w:t xml:space="preserve"> </w:t>
      </w:r>
      <w:r>
        <w:rPr>
          <w:color w:val="221F1F"/>
        </w:rPr>
        <w:t>on</w:t>
      </w:r>
      <w:r>
        <w:rPr>
          <w:color w:val="221F1F"/>
          <w:spacing w:val="-3"/>
        </w:rPr>
        <w:t xml:space="preserve"> </w:t>
      </w:r>
      <w:r>
        <w:rPr>
          <w:color w:val="221F1F"/>
        </w:rPr>
        <w:t>which</w:t>
      </w:r>
      <w:r>
        <w:rPr>
          <w:color w:val="221F1F"/>
          <w:spacing w:val="-1"/>
        </w:rPr>
        <w:t xml:space="preserve"> </w:t>
      </w:r>
      <w:r>
        <w:rPr>
          <w:color w:val="221F1F"/>
        </w:rPr>
        <w:t>any</w:t>
      </w:r>
      <w:r>
        <w:rPr>
          <w:color w:val="221F1F"/>
          <w:spacing w:val="-1"/>
        </w:rPr>
        <w:t xml:space="preserve"> </w:t>
      </w:r>
      <w:r>
        <w:rPr>
          <w:color w:val="221F1F"/>
        </w:rPr>
        <w:t>Plant</w:t>
      </w:r>
      <w:r>
        <w:rPr>
          <w:color w:val="221F1F"/>
          <w:spacing w:val="-3"/>
        </w:rPr>
        <w:t xml:space="preserve"> </w:t>
      </w:r>
      <w:r>
        <w:rPr>
          <w:color w:val="221F1F"/>
        </w:rPr>
        <w:t>or</w:t>
      </w:r>
      <w:r>
        <w:rPr>
          <w:color w:val="221F1F"/>
          <w:spacing w:val="-1"/>
        </w:rPr>
        <w:t xml:space="preserve"> </w:t>
      </w:r>
      <w:r>
        <w:rPr>
          <w:color w:val="221F1F"/>
        </w:rPr>
        <w:t>a major item of other Goods will be delivered to the Site;</w:t>
      </w:r>
    </w:p>
    <w:p w:rsidR="007F6DF9" w:rsidRDefault="00A43FBC">
      <w:pPr>
        <w:pStyle w:val="ListParagraph"/>
        <w:numPr>
          <w:ilvl w:val="0"/>
          <w:numId w:val="112"/>
        </w:numPr>
        <w:tabs>
          <w:tab w:val="left" w:pos="1889"/>
          <w:tab w:val="left" w:pos="1897"/>
        </w:tabs>
        <w:spacing w:before="50" w:line="230" w:lineRule="auto"/>
        <w:ind w:right="891" w:hanging="519"/>
      </w:pPr>
      <w:r>
        <w:rPr>
          <w:color w:val="221F1F"/>
        </w:rPr>
        <w:t>the</w:t>
      </w:r>
      <w:r>
        <w:rPr>
          <w:color w:val="221F1F"/>
          <w:spacing w:val="-2"/>
        </w:rPr>
        <w:t xml:space="preserve"> </w:t>
      </w:r>
      <w:r>
        <w:rPr>
          <w:color w:val="221F1F"/>
        </w:rPr>
        <w:t>Contractor</w:t>
      </w:r>
      <w:r>
        <w:rPr>
          <w:color w:val="221F1F"/>
          <w:spacing w:val="-1"/>
        </w:rPr>
        <w:t xml:space="preserve"> </w:t>
      </w:r>
      <w:r>
        <w:rPr>
          <w:color w:val="221F1F"/>
        </w:rPr>
        <w:t>shall be</w:t>
      </w:r>
      <w:r>
        <w:rPr>
          <w:color w:val="221F1F"/>
          <w:spacing w:val="-2"/>
        </w:rPr>
        <w:t xml:space="preserve"> </w:t>
      </w:r>
      <w:r>
        <w:rPr>
          <w:color w:val="221F1F"/>
        </w:rPr>
        <w:t>responsible</w:t>
      </w:r>
      <w:r>
        <w:rPr>
          <w:color w:val="221F1F"/>
          <w:spacing w:val="-4"/>
        </w:rPr>
        <w:t xml:space="preserve"> </w:t>
      </w:r>
      <w:r>
        <w:rPr>
          <w:color w:val="221F1F"/>
        </w:rPr>
        <w:t>for</w:t>
      </w:r>
      <w:r>
        <w:rPr>
          <w:color w:val="221F1F"/>
          <w:spacing w:val="-4"/>
        </w:rPr>
        <w:t xml:space="preserve"> </w:t>
      </w:r>
      <w:r>
        <w:rPr>
          <w:color w:val="221F1F"/>
        </w:rPr>
        <w:t>packing,</w:t>
      </w:r>
      <w:r>
        <w:rPr>
          <w:color w:val="221F1F"/>
          <w:spacing w:val="-4"/>
        </w:rPr>
        <w:t xml:space="preserve"> </w:t>
      </w:r>
      <w:r>
        <w:rPr>
          <w:color w:val="221F1F"/>
        </w:rPr>
        <w:t>loading,</w:t>
      </w:r>
      <w:r>
        <w:rPr>
          <w:color w:val="221F1F"/>
          <w:spacing w:val="-2"/>
        </w:rPr>
        <w:t xml:space="preserve"> </w:t>
      </w:r>
      <w:r>
        <w:rPr>
          <w:color w:val="221F1F"/>
        </w:rPr>
        <w:t>transporting,</w:t>
      </w:r>
      <w:r>
        <w:rPr>
          <w:color w:val="221F1F"/>
          <w:spacing w:val="-4"/>
        </w:rPr>
        <w:t xml:space="preserve"> </w:t>
      </w:r>
      <w:r>
        <w:rPr>
          <w:color w:val="221F1F"/>
        </w:rPr>
        <w:t>receiving,</w:t>
      </w:r>
      <w:r>
        <w:rPr>
          <w:color w:val="221F1F"/>
          <w:spacing w:val="-1"/>
        </w:rPr>
        <w:t xml:space="preserve"> </w:t>
      </w:r>
      <w:r>
        <w:rPr>
          <w:color w:val="221F1F"/>
        </w:rPr>
        <w:t>unloading,</w:t>
      </w:r>
      <w:r>
        <w:rPr>
          <w:color w:val="221F1F"/>
          <w:spacing w:val="-4"/>
        </w:rPr>
        <w:t xml:space="preserve"> </w:t>
      </w:r>
      <w:r>
        <w:rPr>
          <w:color w:val="221F1F"/>
        </w:rPr>
        <w:t>storing and protecting all Goods and other things required for the Works; and</w:t>
      </w:r>
    </w:p>
    <w:p w:rsidR="007F6DF9" w:rsidRDefault="00A43FBC">
      <w:pPr>
        <w:pStyle w:val="ListParagraph"/>
        <w:numPr>
          <w:ilvl w:val="0"/>
          <w:numId w:val="112"/>
        </w:numPr>
        <w:tabs>
          <w:tab w:val="left" w:pos="1888"/>
          <w:tab w:val="left" w:pos="1897"/>
        </w:tabs>
        <w:spacing w:before="49" w:line="230" w:lineRule="auto"/>
        <w:ind w:right="564" w:hanging="519"/>
        <w:jc w:val="both"/>
      </w:pPr>
      <w:r>
        <w:rPr>
          <w:color w:val="221F1F"/>
        </w:rPr>
        <w:t>the Contractor shall indemnify and hold the Procuring Entity harmless against and from all damages, losses</w:t>
      </w:r>
      <w:r>
        <w:rPr>
          <w:color w:val="221F1F"/>
          <w:spacing w:val="-3"/>
        </w:rPr>
        <w:t xml:space="preserve"> </w:t>
      </w:r>
      <w:r>
        <w:rPr>
          <w:color w:val="221F1F"/>
        </w:rPr>
        <w:t>and</w:t>
      </w:r>
      <w:r>
        <w:rPr>
          <w:color w:val="221F1F"/>
          <w:spacing w:val="-3"/>
        </w:rPr>
        <w:t xml:space="preserve"> </w:t>
      </w:r>
      <w:r>
        <w:rPr>
          <w:color w:val="221F1F"/>
        </w:rPr>
        <w:t>expenses</w:t>
      </w:r>
      <w:r>
        <w:rPr>
          <w:color w:val="221F1F"/>
          <w:spacing w:val="-1"/>
        </w:rPr>
        <w:t xml:space="preserve"> </w:t>
      </w:r>
      <w:r>
        <w:rPr>
          <w:color w:val="221F1F"/>
        </w:rPr>
        <w:t>(including</w:t>
      </w:r>
      <w:r>
        <w:rPr>
          <w:color w:val="221F1F"/>
          <w:spacing w:val="-4"/>
        </w:rPr>
        <w:t xml:space="preserve"> </w:t>
      </w:r>
      <w:r>
        <w:rPr>
          <w:color w:val="221F1F"/>
        </w:rPr>
        <w:t>legal</w:t>
      </w:r>
      <w:r>
        <w:rPr>
          <w:color w:val="221F1F"/>
          <w:spacing w:val="-2"/>
        </w:rPr>
        <w:t xml:space="preserve"> </w:t>
      </w:r>
      <w:r>
        <w:rPr>
          <w:color w:val="221F1F"/>
        </w:rPr>
        <w:t>fees</w:t>
      </w:r>
      <w:r>
        <w:rPr>
          <w:color w:val="221F1F"/>
          <w:spacing w:val="-3"/>
        </w:rPr>
        <w:t xml:space="preserve"> </w:t>
      </w:r>
      <w:r>
        <w:rPr>
          <w:color w:val="221F1F"/>
        </w:rPr>
        <w:t>and</w:t>
      </w:r>
      <w:r>
        <w:rPr>
          <w:color w:val="221F1F"/>
          <w:spacing w:val="-3"/>
        </w:rPr>
        <w:t xml:space="preserve"> </w:t>
      </w:r>
      <w:r>
        <w:rPr>
          <w:color w:val="221F1F"/>
        </w:rPr>
        <w:t>expenses)</w:t>
      </w:r>
      <w:r>
        <w:rPr>
          <w:color w:val="221F1F"/>
          <w:spacing w:val="-1"/>
        </w:rPr>
        <w:t xml:space="preserve"> </w:t>
      </w:r>
      <w:r>
        <w:rPr>
          <w:color w:val="221F1F"/>
        </w:rPr>
        <w:t>resulting</w:t>
      </w:r>
      <w:r>
        <w:rPr>
          <w:color w:val="221F1F"/>
          <w:spacing w:val="-4"/>
        </w:rPr>
        <w:t xml:space="preserve"> </w:t>
      </w:r>
      <w:r>
        <w:rPr>
          <w:color w:val="221F1F"/>
        </w:rPr>
        <w:t>from</w:t>
      </w:r>
      <w:r>
        <w:rPr>
          <w:color w:val="221F1F"/>
          <w:spacing w:val="-3"/>
        </w:rPr>
        <w:t xml:space="preserve"> </w:t>
      </w:r>
      <w:proofErr w:type="spellStart"/>
      <w:r>
        <w:rPr>
          <w:color w:val="221F1F"/>
        </w:rPr>
        <w:t>thetransport</w:t>
      </w:r>
      <w:proofErr w:type="spellEnd"/>
      <w:r>
        <w:rPr>
          <w:color w:val="221F1F"/>
        </w:rPr>
        <w:t xml:space="preserve"> of Goods</w:t>
      </w:r>
      <w:r>
        <w:rPr>
          <w:color w:val="221F1F"/>
          <w:spacing w:val="-1"/>
        </w:rPr>
        <w:t xml:space="preserve"> </w:t>
      </w:r>
      <w:r>
        <w:rPr>
          <w:color w:val="221F1F"/>
        </w:rPr>
        <w:t>and</w:t>
      </w:r>
      <w:r>
        <w:rPr>
          <w:color w:val="221F1F"/>
          <w:spacing w:val="-1"/>
        </w:rPr>
        <w:t xml:space="preserve"> </w:t>
      </w:r>
      <w:r>
        <w:rPr>
          <w:color w:val="221F1F"/>
        </w:rPr>
        <w:t>shall negotiate and pay all claims arising from their transport.</w:t>
      </w:r>
    </w:p>
    <w:p w:rsidR="007F6DF9" w:rsidRDefault="00A43FBC">
      <w:pPr>
        <w:pStyle w:val="Heading9"/>
        <w:numPr>
          <w:ilvl w:val="1"/>
          <w:numId w:val="122"/>
        </w:numPr>
        <w:tabs>
          <w:tab w:val="left" w:pos="1380"/>
        </w:tabs>
        <w:spacing w:before="243"/>
        <w:ind w:left="1380" w:hanging="667"/>
        <w:rPr>
          <w:color w:val="221F1F"/>
        </w:rPr>
      </w:pPr>
      <w:r>
        <w:rPr>
          <w:color w:val="221F1F"/>
        </w:rPr>
        <w:t>Contractor's</w:t>
      </w:r>
      <w:r>
        <w:rPr>
          <w:color w:val="221F1F"/>
          <w:spacing w:val="-5"/>
        </w:rPr>
        <w:t xml:space="preserve"> </w:t>
      </w:r>
      <w:r>
        <w:rPr>
          <w:color w:val="221F1F"/>
          <w:spacing w:val="-2"/>
        </w:rPr>
        <w:t>Equipment</w:t>
      </w:r>
    </w:p>
    <w:p w:rsidR="007F6DF9" w:rsidRDefault="00A43FBC">
      <w:pPr>
        <w:pStyle w:val="BodyText"/>
        <w:spacing w:before="243" w:line="230" w:lineRule="auto"/>
        <w:ind w:left="1390" w:right="561" w:hanging="12"/>
        <w:jc w:val="both"/>
      </w:pPr>
      <w:r>
        <w:t>The</w:t>
      </w:r>
      <w:r>
        <w:rPr>
          <w:spacing w:val="-7"/>
        </w:rPr>
        <w:t xml:space="preserve"> </w:t>
      </w:r>
      <w:r>
        <w:t>Contractor</w:t>
      </w:r>
      <w:r>
        <w:rPr>
          <w:spacing w:val="-8"/>
        </w:rPr>
        <w:t xml:space="preserve"> </w:t>
      </w:r>
      <w:r>
        <w:t>shall</w:t>
      </w:r>
      <w:r>
        <w:rPr>
          <w:spacing w:val="-8"/>
        </w:rPr>
        <w:t xml:space="preserve"> </w:t>
      </w:r>
      <w:r>
        <w:t>be</w:t>
      </w:r>
      <w:r>
        <w:rPr>
          <w:spacing w:val="-9"/>
        </w:rPr>
        <w:t xml:space="preserve"> </w:t>
      </w:r>
      <w:r>
        <w:t>responsible</w:t>
      </w:r>
      <w:r>
        <w:rPr>
          <w:spacing w:val="-8"/>
        </w:rPr>
        <w:t xml:space="preserve"> </w:t>
      </w:r>
      <w:r>
        <w:t>for</w:t>
      </w:r>
      <w:r>
        <w:rPr>
          <w:spacing w:val="-9"/>
        </w:rPr>
        <w:t xml:space="preserve"> </w:t>
      </w:r>
      <w:r>
        <w:t>all</w:t>
      </w:r>
      <w:r>
        <w:rPr>
          <w:spacing w:val="-6"/>
        </w:rPr>
        <w:t xml:space="preserve"> </w:t>
      </w:r>
      <w:r>
        <w:t>Contractor's</w:t>
      </w:r>
      <w:r>
        <w:rPr>
          <w:spacing w:val="-8"/>
        </w:rPr>
        <w:t xml:space="preserve"> </w:t>
      </w:r>
      <w:r>
        <w:t>Equipment.</w:t>
      </w:r>
      <w:r>
        <w:rPr>
          <w:spacing w:val="-9"/>
        </w:rPr>
        <w:t xml:space="preserve"> </w:t>
      </w:r>
      <w:r>
        <w:t>When</w:t>
      </w:r>
      <w:r>
        <w:rPr>
          <w:spacing w:val="-9"/>
        </w:rPr>
        <w:t xml:space="preserve"> </w:t>
      </w:r>
      <w:r>
        <w:t>brought</w:t>
      </w:r>
      <w:r>
        <w:rPr>
          <w:spacing w:val="-11"/>
        </w:rPr>
        <w:t xml:space="preserve"> </w:t>
      </w:r>
      <w:r>
        <w:t>on</w:t>
      </w:r>
      <w:r>
        <w:rPr>
          <w:spacing w:val="-6"/>
        </w:rPr>
        <w:t xml:space="preserve"> </w:t>
      </w:r>
      <w:r>
        <w:t>to</w:t>
      </w:r>
      <w:r>
        <w:rPr>
          <w:spacing w:val="-9"/>
        </w:rPr>
        <w:t xml:space="preserve"> </w:t>
      </w:r>
      <w:r>
        <w:t>the</w:t>
      </w:r>
      <w:r>
        <w:rPr>
          <w:spacing w:val="-9"/>
        </w:rPr>
        <w:t xml:space="preserve"> </w:t>
      </w:r>
      <w:r>
        <w:t>Site,</w:t>
      </w:r>
      <w:r>
        <w:rPr>
          <w:spacing w:val="-9"/>
        </w:rPr>
        <w:t xml:space="preserve"> </w:t>
      </w:r>
      <w:r>
        <w:t>Contractor's Equipment shall be deemed to be exclusively intended for the execution of the Works.</w:t>
      </w:r>
      <w:r>
        <w:rPr>
          <w:spacing w:val="-1"/>
        </w:rPr>
        <w:t xml:space="preserve"> </w:t>
      </w:r>
      <w:r>
        <w:t>The Contractor shall not remove from the Site any major items of Contractor's Equipment without the consent of the Engineer. However, consent shall not be required for vehicles transporting Goods or Contractor's Personnel off Site.</w:t>
      </w:r>
    </w:p>
    <w:p w:rsidR="007F6DF9" w:rsidRDefault="00A43FBC">
      <w:pPr>
        <w:pStyle w:val="ListParagraph"/>
        <w:numPr>
          <w:ilvl w:val="1"/>
          <w:numId w:val="122"/>
        </w:numPr>
        <w:tabs>
          <w:tab w:val="left" w:pos="1378"/>
        </w:tabs>
        <w:spacing w:before="237"/>
        <w:ind w:left="1378" w:hanging="665"/>
        <w:rPr>
          <w:b/>
        </w:rPr>
      </w:pPr>
      <w:r>
        <w:rPr>
          <w:b/>
        </w:rPr>
        <w:t>Protection</w:t>
      </w:r>
      <w:r>
        <w:rPr>
          <w:b/>
          <w:spacing w:val="-2"/>
        </w:rPr>
        <w:t xml:space="preserve"> </w:t>
      </w:r>
      <w:r>
        <w:rPr>
          <w:b/>
        </w:rPr>
        <w:t>of</w:t>
      </w:r>
      <w:r>
        <w:rPr>
          <w:b/>
          <w:spacing w:val="-3"/>
        </w:rPr>
        <w:t xml:space="preserve"> </w:t>
      </w:r>
      <w:r>
        <w:rPr>
          <w:b/>
        </w:rPr>
        <w:t>the</w:t>
      </w:r>
      <w:r>
        <w:rPr>
          <w:b/>
          <w:spacing w:val="-1"/>
        </w:rPr>
        <w:t xml:space="preserve"> </w:t>
      </w:r>
      <w:r>
        <w:rPr>
          <w:b/>
          <w:spacing w:val="-2"/>
        </w:rPr>
        <w:t>Environment</w:t>
      </w:r>
    </w:p>
    <w:p w:rsidR="007F6DF9" w:rsidRDefault="007F6DF9">
      <w:pPr>
        <w:pStyle w:val="BodyText"/>
        <w:spacing w:before="41"/>
        <w:rPr>
          <w:b/>
        </w:rPr>
      </w:pPr>
    </w:p>
    <w:p w:rsidR="007F6DF9" w:rsidRDefault="00A43FBC">
      <w:pPr>
        <w:pStyle w:val="ListParagraph"/>
        <w:numPr>
          <w:ilvl w:val="2"/>
          <w:numId w:val="122"/>
        </w:numPr>
        <w:tabs>
          <w:tab w:val="left" w:pos="1380"/>
        </w:tabs>
        <w:ind w:left="1380" w:hanging="667"/>
        <w:rPr>
          <w:color w:val="221F1F"/>
        </w:rPr>
      </w:pPr>
      <w:r>
        <w:rPr>
          <w:color w:val="221F1F"/>
        </w:rPr>
        <w:t>The</w:t>
      </w:r>
      <w:r>
        <w:rPr>
          <w:color w:val="221F1F"/>
          <w:spacing w:val="-7"/>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comply</w:t>
      </w:r>
      <w:r>
        <w:rPr>
          <w:color w:val="221F1F"/>
          <w:spacing w:val="-4"/>
        </w:rPr>
        <w:t xml:space="preserve"> </w:t>
      </w:r>
      <w:r>
        <w:rPr>
          <w:color w:val="221F1F"/>
        </w:rPr>
        <w:t>with</w:t>
      </w:r>
      <w:r>
        <w:rPr>
          <w:color w:val="221F1F"/>
          <w:spacing w:val="-7"/>
        </w:rPr>
        <w:t xml:space="preserve"> </w:t>
      </w:r>
      <w:r>
        <w:rPr>
          <w:color w:val="221F1F"/>
        </w:rPr>
        <w:t>the</w:t>
      </w:r>
      <w:r>
        <w:rPr>
          <w:color w:val="221F1F"/>
          <w:spacing w:val="-6"/>
        </w:rPr>
        <w:t xml:space="preserve"> </w:t>
      </w:r>
      <w:r>
        <w:rPr>
          <w:color w:val="221F1F"/>
        </w:rPr>
        <w:t>applicable</w:t>
      </w:r>
      <w:r>
        <w:rPr>
          <w:color w:val="221F1F"/>
          <w:spacing w:val="-3"/>
        </w:rPr>
        <w:t xml:space="preserve"> </w:t>
      </w:r>
      <w:r>
        <w:rPr>
          <w:color w:val="221F1F"/>
        </w:rPr>
        <w:t>environmental</w:t>
      </w:r>
      <w:r>
        <w:rPr>
          <w:color w:val="221F1F"/>
          <w:spacing w:val="-3"/>
        </w:rPr>
        <w:t xml:space="preserve"> </w:t>
      </w:r>
      <w:r>
        <w:rPr>
          <w:color w:val="221F1F"/>
        </w:rPr>
        <w:t>laws,</w:t>
      </w:r>
      <w:r>
        <w:rPr>
          <w:color w:val="221F1F"/>
          <w:spacing w:val="-5"/>
        </w:rPr>
        <w:t xml:space="preserve"> </w:t>
      </w:r>
      <w:r>
        <w:rPr>
          <w:color w:val="221F1F"/>
        </w:rPr>
        <w:t>regulations</w:t>
      </w:r>
      <w:r>
        <w:rPr>
          <w:color w:val="221F1F"/>
          <w:spacing w:val="-3"/>
        </w:rPr>
        <w:t xml:space="preserve"> </w:t>
      </w:r>
      <w:r>
        <w:rPr>
          <w:color w:val="221F1F"/>
        </w:rPr>
        <w:t>and</w:t>
      </w:r>
      <w:r>
        <w:rPr>
          <w:color w:val="221F1F"/>
          <w:spacing w:val="-4"/>
        </w:rPr>
        <w:t xml:space="preserve"> </w:t>
      </w:r>
      <w:r>
        <w:rPr>
          <w:color w:val="221F1F"/>
          <w:spacing w:val="-2"/>
        </w:rPr>
        <w:t>policies.</w:t>
      </w:r>
    </w:p>
    <w:p w:rsidR="007F6DF9" w:rsidRDefault="007F6DF9">
      <w:pPr>
        <w:pStyle w:val="BodyText"/>
        <w:spacing w:before="103"/>
      </w:pPr>
    </w:p>
    <w:p w:rsidR="007F6DF9" w:rsidRDefault="00A43FBC">
      <w:pPr>
        <w:pStyle w:val="ListParagraph"/>
        <w:numPr>
          <w:ilvl w:val="2"/>
          <w:numId w:val="122"/>
        </w:numPr>
        <w:tabs>
          <w:tab w:val="left" w:pos="1376"/>
          <w:tab w:val="left" w:pos="1390"/>
        </w:tabs>
        <w:spacing w:line="230" w:lineRule="auto"/>
        <w:ind w:left="1390" w:right="559" w:hanging="678"/>
        <w:jc w:val="both"/>
        <w:rPr>
          <w:color w:val="221F1F"/>
        </w:rPr>
      </w:pPr>
      <w:r>
        <w:rPr>
          <w:color w:val="221F1F"/>
        </w:rPr>
        <w:t xml:space="preserve">The Contractor shall take all reasonable steps to protect the environment (both on and off the Site) and to limit damage and nuisance to people and property resulting from pollution, noise and other results of his </w:t>
      </w:r>
      <w:r>
        <w:rPr>
          <w:color w:val="221F1F"/>
          <w:spacing w:val="-2"/>
        </w:rPr>
        <w:t>operations.</w:t>
      </w:r>
    </w:p>
    <w:p w:rsidR="007F6DF9" w:rsidRDefault="00A43FBC">
      <w:pPr>
        <w:pStyle w:val="ListParagraph"/>
        <w:numPr>
          <w:ilvl w:val="2"/>
          <w:numId w:val="122"/>
        </w:numPr>
        <w:tabs>
          <w:tab w:val="left" w:pos="1376"/>
          <w:tab w:val="left" w:pos="1390"/>
        </w:tabs>
        <w:spacing w:before="246" w:line="230" w:lineRule="auto"/>
        <w:ind w:left="1390" w:right="561" w:hanging="678"/>
        <w:jc w:val="both"/>
        <w:rPr>
          <w:color w:val="221F1F"/>
        </w:rPr>
      </w:pPr>
      <w:r>
        <w:rPr>
          <w:color w:val="221F1F"/>
        </w:rPr>
        <w:t>The Contractors hall ensure that emissions, surfaced is charges and effluent from the Contractor's activities shall not exceed the values stated in the Specification or prescribed by applicable Laws.</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378"/>
        </w:tabs>
        <w:spacing w:line="244" w:lineRule="exact"/>
        <w:ind w:left="1378" w:hanging="665"/>
        <w:rPr>
          <w:color w:val="221F1F"/>
        </w:rPr>
      </w:pPr>
      <w:r>
        <w:rPr>
          <w:color w:val="221F1F"/>
        </w:rPr>
        <w:lastRenderedPageBreak/>
        <w:t>Electricity,</w:t>
      </w:r>
      <w:r>
        <w:rPr>
          <w:color w:val="221F1F"/>
          <w:spacing w:val="-12"/>
        </w:rPr>
        <w:t xml:space="preserve"> </w:t>
      </w:r>
      <w:r>
        <w:rPr>
          <w:color w:val="221F1F"/>
        </w:rPr>
        <w:t>Water</w:t>
      </w:r>
      <w:r>
        <w:rPr>
          <w:color w:val="221F1F"/>
          <w:spacing w:val="-12"/>
        </w:rPr>
        <w:t xml:space="preserve"> </w:t>
      </w:r>
      <w:r>
        <w:rPr>
          <w:color w:val="221F1F"/>
        </w:rPr>
        <w:t>and</w:t>
      </w:r>
      <w:r>
        <w:rPr>
          <w:color w:val="221F1F"/>
          <w:spacing w:val="-10"/>
        </w:rPr>
        <w:t xml:space="preserve"> </w:t>
      </w:r>
      <w:r>
        <w:rPr>
          <w:color w:val="221F1F"/>
          <w:spacing w:val="-5"/>
        </w:rPr>
        <w:t>Gas</w:t>
      </w:r>
    </w:p>
    <w:p w:rsidR="007F6DF9" w:rsidRDefault="007F6DF9">
      <w:pPr>
        <w:pStyle w:val="BodyText"/>
        <w:spacing w:before="49"/>
        <w:rPr>
          <w:b/>
        </w:rPr>
      </w:pPr>
    </w:p>
    <w:p w:rsidR="007F6DF9" w:rsidRDefault="00A43FBC">
      <w:pPr>
        <w:pStyle w:val="ListParagraph"/>
        <w:numPr>
          <w:ilvl w:val="2"/>
          <w:numId w:val="122"/>
        </w:numPr>
        <w:tabs>
          <w:tab w:val="left" w:pos="1376"/>
          <w:tab w:val="left" w:pos="1390"/>
        </w:tabs>
        <w:spacing w:line="230" w:lineRule="auto"/>
        <w:ind w:left="1390" w:right="563" w:hanging="678"/>
        <w:jc w:val="both"/>
        <w:rPr>
          <w:color w:val="221F1F"/>
        </w:rPr>
      </w:pPr>
      <w:r>
        <w:rPr>
          <w:color w:val="221F1F"/>
        </w:rPr>
        <w:t xml:space="preserve">The Contractor shall, except as stated below, be responsible for the provision of all power, water and other services he may require for his construction activities and to the extent defined in the Specifications, for the </w:t>
      </w:r>
      <w:r>
        <w:rPr>
          <w:color w:val="221F1F"/>
          <w:spacing w:val="-2"/>
        </w:rPr>
        <w:t>tests.</w:t>
      </w:r>
    </w:p>
    <w:p w:rsidR="007F6DF9" w:rsidRDefault="007F6DF9">
      <w:pPr>
        <w:pStyle w:val="BodyText"/>
        <w:spacing w:before="108"/>
      </w:pPr>
    </w:p>
    <w:p w:rsidR="007F6DF9" w:rsidRDefault="00A43FBC">
      <w:pPr>
        <w:pStyle w:val="ListParagraph"/>
        <w:numPr>
          <w:ilvl w:val="2"/>
          <w:numId w:val="122"/>
        </w:numPr>
        <w:tabs>
          <w:tab w:val="left" w:pos="1376"/>
          <w:tab w:val="left" w:pos="1390"/>
        </w:tabs>
        <w:spacing w:before="1" w:line="230" w:lineRule="auto"/>
        <w:ind w:left="1390" w:right="560" w:hanging="680"/>
        <w:jc w:val="both"/>
        <w:rPr>
          <w:color w:val="221F1F"/>
        </w:rPr>
      </w:pPr>
      <w:r>
        <w:rPr>
          <w:color w:val="221F1F"/>
        </w:rPr>
        <w:t>The Contractor shall be entitled to use for the purposes of the Works</w:t>
      </w:r>
      <w:r>
        <w:rPr>
          <w:color w:val="221F1F"/>
          <w:spacing w:val="-4"/>
        </w:rPr>
        <w:t xml:space="preserve"> </w:t>
      </w:r>
      <w:r>
        <w:rPr>
          <w:color w:val="221F1F"/>
        </w:rPr>
        <w:t xml:space="preserve">such supplies of electricity, water, gas and other services as may be available on the Site and of which details and prices are given in the </w:t>
      </w:r>
      <w:proofErr w:type="spellStart"/>
      <w:r>
        <w:rPr>
          <w:color w:val="221F1F"/>
        </w:rPr>
        <w:t>Specifications.The</w:t>
      </w:r>
      <w:proofErr w:type="spellEnd"/>
      <w:r>
        <w:rPr>
          <w:color w:val="221F1F"/>
          <w:spacing w:val="-2"/>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at</w:t>
      </w:r>
      <w:r>
        <w:rPr>
          <w:color w:val="221F1F"/>
          <w:spacing w:val="-1"/>
        </w:rPr>
        <w:t xml:space="preserve"> </w:t>
      </w:r>
      <w:r>
        <w:rPr>
          <w:color w:val="221F1F"/>
        </w:rPr>
        <w:t>his</w:t>
      </w:r>
      <w:r>
        <w:rPr>
          <w:color w:val="221F1F"/>
          <w:spacing w:val="-4"/>
        </w:rPr>
        <w:t xml:space="preserve"> </w:t>
      </w:r>
      <w:r>
        <w:rPr>
          <w:color w:val="221F1F"/>
        </w:rPr>
        <w:t>risk</w:t>
      </w:r>
      <w:r>
        <w:rPr>
          <w:color w:val="221F1F"/>
          <w:spacing w:val="-2"/>
        </w:rPr>
        <w:t xml:space="preserve"> </w:t>
      </w:r>
      <w:r>
        <w:rPr>
          <w:color w:val="221F1F"/>
        </w:rPr>
        <w:t>and</w:t>
      </w:r>
      <w:r>
        <w:rPr>
          <w:color w:val="221F1F"/>
          <w:spacing w:val="-5"/>
        </w:rPr>
        <w:t xml:space="preserve"> </w:t>
      </w:r>
      <w:r>
        <w:rPr>
          <w:color w:val="221F1F"/>
        </w:rPr>
        <w:t>cost,</w:t>
      </w:r>
      <w:r>
        <w:rPr>
          <w:color w:val="221F1F"/>
          <w:spacing w:val="-2"/>
        </w:rPr>
        <w:t xml:space="preserve"> </w:t>
      </w:r>
      <w:r>
        <w:rPr>
          <w:color w:val="221F1F"/>
        </w:rPr>
        <w:t>provide</w:t>
      </w:r>
      <w:r>
        <w:rPr>
          <w:color w:val="221F1F"/>
          <w:spacing w:val="-2"/>
        </w:rPr>
        <w:t xml:space="preserve"> </w:t>
      </w:r>
      <w:r>
        <w:rPr>
          <w:color w:val="221F1F"/>
        </w:rPr>
        <w:t>any</w:t>
      </w:r>
      <w:r>
        <w:rPr>
          <w:color w:val="221F1F"/>
          <w:spacing w:val="-2"/>
        </w:rPr>
        <w:t xml:space="preserve"> </w:t>
      </w:r>
      <w:r>
        <w:rPr>
          <w:color w:val="221F1F"/>
        </w:rPr>
        <w:t>apparatus</w:t>
      </w:r>
      <w:r>
        <w:rPr>
          <w:color w:val="221F1F"/>
          <w:spacing w:val="-2"/>
        </w:rPr>
        <w:t xml:space="preserve"> </w:t>
      </w:r>
      <w:r>
        <w:rPr>
          <w:color w:val="221F1F"/>
        </w:rPr>
        <w:t>necessary</w:t>
      </w:r>
      <w:r>
        <w:rPr>
          <w:color w:val="221F1F"/>
          <w:spacing w:val="-2"/>
        </w:rPr>
        <w:t xml:space="preserve"> </w:t>
      </w:r>
      <w:r>
        <w:rPr>
          <w:color w:val="221F1F"/>
        </w:rPr>
        <w:t>for</w:t>
      </w:r>
      <w:r>
        <w:rPr>
          <w:color w:val="221F1F"/>
          <w:spacing w:val="-2"/>
        </w:rPr>
        <w:t xml:space="preserve"> </w:t>
      </w:r>
      <w:r>
        <w:rPr>
          <w:color w:val="221F1F"/>
        </w:rPr>
        <w:t>his</w:t>
      </w:r>
      <w:r>
        <w:rPr>
          <w:color w:val="221F1F"/>
          <w:spacing w:val="-2"/>
        </w:rPr>
        <w:t xml:space="preserve"> </w:t>
      </w:r>
      <w:r>
        <w:rPr>
          <w:color w:val="221F1F"/>
        </w:rPr>
        <w:t>use</w:t>
      </w:r>
      <w:r>
        <w:rPr>
          <w:color w:val="221F1F"/>
          <w:spacing w:val="-2"/>
        </w:rPr>
        <w:t xml:space="preserve"> </w:t>
      </w:r>
      <w:r>
        <w:rPr>
          <w:color w:val="221F1F"/>
        </w:rPr>
        <w:t>of</w:t>
      </w:r>
      <w:r>
        <w:rPr>
          <w:color w:val="221F1F"/>
          <w:spacing w:val="-4"/>
        </w:rPr>
        <w:t xml:space="preserve"> </w:t>
      </w:r>
      <w:r>
        <w:rPr>
          <w:color w:val="221F1F"/>
        </w:rPr>
        <w:t>these services and for measuring the quantities consumed.</w:t>
      </w:r>
    </w:p>
    <w:p w:rsidR="007F6DF9" w:rsidRDefault="00A43FBC">
      <w:pPr>
        <w:pStyle w:val="ListParagraph"/>
        <w:numPr>
          <w:ilvl w:val="2"/>
          <w:numId w:val="122"/>
        </w:numPr>
        <w:tabs>
          <w:tab w:val="left" w:pos="1376"/>
          <w:tab w:val="left" w:pos="1390"/>
        </w:tabs>
        <w:spacing w:before="245" w:line="230" w:lineRule="auto"/>
        <w:ind w:left="1390" w:right="560" w:hanging="680"/>
        <w:jc w:val="both"/>
        <w:rPr>
          <w:color w:val="221F1F"/>
        </w:rPr>
      </w:pPr>
      <w:r>
        <w:rPr>
          <w:color w:val="221F1F"/>
        </w:rPr>
        <w:t>The</w:t>
      </w:r>
      <w:r>
        <w:rPr>
          <w:color w:val="221F1F"/>
          <w:spacing w:val="-12"/>
        </w:rPr>
        <w:t xml:space="preserve"> </w:t>
      </w:r>
      <w:r>
        <w:rPr>
          <w:color w:val="221F1F"/>
        </w:rPr>
        <w:t>quantities</w:t>
      </w:r>
      <w:r>
        <w:rPr>
          <w:color w:val="221F1F"/>
          <w:spacing w:val="-13"/>
        </w:rPr>
        <w:t xml:space="preserve"> </w:t>
      </w:r>
      <w:r>
        <w:rPr>
          <w:color w:val="221F1F"/>
        </w:rPr>
        <w:t>consumed</w:t>
      </w:r>
      <w:r>
        <w:rPr>
          <w:color w:val="221F1F"/>
          <w:spacing w:val="-11"/>
        </w:rPr>
        <w:t xml:space="preserve"> </w:t>
      </w:r>
      <w:r>
        <w:rPr>
          <w:color w:val="221F1F"/>
        </w:rPr>
        <w:t>and</w:t>
      </w:r>
      <w:r>
        <w:rPr>
          <w:color w:val="221F1F"/>
          <w:spacing w:val="-12"/>
        </w:rPr>
        <w:t xml:space="preserve"> </w:t>
      </w:r>
      <w:r>
        <w:rPr>
          <w:color w:val="221F1F"/>
        </w:rPr>
        <w:t>the</w:t>
      </w:r>
      <w:r>
        <w:rPr>
          <w:color w:val="221F1F"/>
          <w:spacing w:val="-14"/>
        </w:rPr>
        <w:t xml:space="preserve"> </w:t>
      </w:r>
      <w:r>
        <w:rPr>
          <w:color w:val="221F1F"/>
        </w:rPr>
        <w:t>amounts</w:t>
      </w:r>
      <w:r>
        <w:rPr>
          <w:color w:val="221F1F"/>
          <w:spacing w:val="-10"/>
        </w:rPr>
        <w:t xml:space="preserve"> </w:t>
      </w:r>
      <w:r>
        <w:rPr>
          <w:color w:val="221F1F"/>
        </w:rPr>
        <w:t>due</w:t>
      </w:r>
      <w:r>
        <w:rPr>
          <w:color w:val="221F1F"/>
          <w:spacing w:val="-11"/>
        </w:rPr>
        <w:t xml:space="preserve"> </w:t>
      </w:r>
      <w:r>
        <w:rPr>
          <w:color w:val="221F1F"/>
        </w:rPr>
        <w:t>(at</w:t>
      </w:r>
      <w:r>
        <w:rPr>
          <w:color w:val="221F1F"/>
          <w:spacing w:val="-13"/>
        </w:rPr>
        <w:t xml:space="preserve"> </w:t>
      </w:r>
      <w:r>
        <w:rPr>
          <w:color w:val="221F1F"/>
        </w:rPr>
        <w:t>these</w:t>
      </w:r>
      <w:r>
        <w:rPr>
          <w:color w:val="221F1F"/>
          <w:spacing w:val="-13"/>
        </w:rPr>
        <w:t xml:space="preserve"> </w:t>
      </w:r>
      <w:r>
        <w:rPr>
          <w:color w:val="221F1F"/>
        </w:rPr>
        <w:t>prices)</w:t>
      </w:r>
      <w:r>
        <w:rPr>
          <w:color w:val="221F1F"/>
          <w:spacing w:val="-11"/>
        </w:rPr>
        <w:t xml:space="preserve"> </w:t>
      </w:r>
      <w:r>
        <w:rPr>
          <w:color w:val="221F1F"/>
        </w:rPr>
        <w:t>for</w:t>
      </w:r>
      <w:r>
        <w:rPr>
          <w:color w:val="221F1F"/>
          <w:spacing w:val="-11"/>
        </w:rPr>
        <w:t xml:space="preserve"> </w:t>
      </w:r>
      <w:r>
        <w:rPr>
          <w:color w:val="221F1F"/>
        </w:rPr>
        <w:t>such</w:t>
      </w:r>
      <w:r>
        <w:rPr>
          <w:color w:val="221F1F"/>
          <w:spacing w:val="-14"/>
        </w:rPr>
        <w:t xml:space="preserve"> </w:t>
      </w:r>
      <w:r>
        <w:rPr>
          <w:color w:val="221F1F"/>
        </w:rPr>
        <w:t>services</w:t>
      </w:r>
      <w:r>
        <w:rPr>
          <w:color w:val="221F1F"/>
          <w:spacing w:val="-9"/>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agreed</w:t>
      </w:r>
      <w:r>
        <w:rPr>
          <w:color w:val="221F1F"/>
          <w:spacing w:val="-12"/>
        </w:rPr>
        <w:t xml:space="preserve"> </w:t>
      </w:r>
      <w:r>
        <w:rPr>
          <w:color w:val="221F1F"/>
        </w:rPr>
        <w:t>or</w:t>
      </w:r>
      <w:r>
        <w:rPr>
          <w:color w:val="221F1F"/>
          <w:spacing w:val="-13"/>
        </w:rPr>
        <w:t xml:space="preserve"> </w:t>
      </w:r>
      <w:r>
        <w:rPr>
          <w:color w:val="221F1F"/>
        </w:rPr>
        <w:t>determined by the Architect in accordance with Sub-Clause 2.5 [Procuring Entity's Claims] and Sub-Clause 3.5 [Determinations]. The Contractor shall pay these amounts to the Procuring Entity.</w:t>
      </w:r>
    </w:p>
    <w:p w:rsidR="007F6DF9" w:rsidRDefault="00A43FBC">
      <w:pPr>
        <w:pStyle w:val="Heading9"/>
        <w:numPr>
          <w:ilvl w:val="1"/>
          <w:numId w:val="122"/>
        </w:numPr>
        <w:tabs>
          <w:tab w:val="left" w:pos="1378"/>
        </w:tabs>
        <w:spacing w:before="235"/>
        <w:ind w:left="1378" w:hanging="667"/>
        <w:rPr>
          <w:color w:val="221F1F"/>
        </w:rPr>
      </w:pPr>
      <w:r>
        <w:rPr>
          <w:color w:val="221F1F"/>
        </w:rPr>
        <w:t>Procuring</w:t>
      </w:r>
      <w:r>
        <w:rPr>
          <w:color w:val="221F1F"/>
          <w:spacing w:val="-5"/>
        </w:rPr>
        <w:t xml:space="preserve"> </w:t>
      </w:r>
      <w:r>
        <w:rPr>
          <w:color w:val="221F1F"/>
        </w:rPr>
        <w:t>Entity's</w:t>
      </w:r>
      <w:r>
        <w:rPr>
          <w:color w:val="221F1F"/>
          <w:spacing w:val="-3"/>
        </w:rPr>
        <w:t xml:space="preserve"> </w:t>
      </w:r>
      <w:r>
        <w:rPr>
          <w:color w:val="221F1F"/>
        </w:rPr>
        <w:t>Equipment</w:t>
      </w:r>
      <w:r>
        <w:rPr>
          <w:color w:val="221F1F"/>
          <w:spacing w:val="-6"/>
        </w:rPr>
        <w:t xml:space="preserve"> </w:t>
      </w:r>
      <w:r>
        <w:rPr>
          <w:color w:val="221F1F"/>
        </w:rPr>
        <w:t>and</w:t>
      </w:r>
      <w:r>
        <w:rPr>
          <w:color w:val="221F1F"/>
          <w:spacing w:val="-5"/>
        </w:rPr>
        <w:t xml:space="preserve"> </w:t>
      </w:r>
      <w:r>
        <w:rPr>
          <w:color w:val="221F1F"/>
        </w:rPr>
        <w:t>Free-Issue</w:t>
      </w:r>
      <w:r>
        <w:rPr>
          <w:color w:val="221F1F"/>
          <w:spacing w:val="-6"/>
        </w:rPr>
        <w:t xml:space="preserve"> </w:t>
      </w:r>
      <w:r>
        <w:rPr>
          <w:color w:val="221F1F"/>
          <w:spacing w:val="-2"/>
        </w:rPr>
        <w:t>Materials</w:t>
      </w:r>
    </w:p>
    <w:p w:rsidR="007F6DF9" w:rsidRDefault="007F6DF9">
      <w:pPr>
        <w:pStyle w:val="BodyText"/>
        <w:spacing w:before="50"/>
        <w:rPr>
          <w:b/>
        </w:rPr>
      </w:pPr>
    </w:p>
    <w:p w:rsidR="007F6DF9" w:rsidRDefault="00A43FBC">
      <w:pPr>
        <w:pStyle w:val="ListParagraph"/>
        <w:numPr>
          <w:ilvl w:val="2"/>
          <w:numId w:val="122"/>
        </w:numPr>
        <w:tabs>
          <w:tab w:val="left" w:pos="1376"/>
          <w:tab w:val="left" w:pos="1390"/>
        </w:tabs>
        <w:spacing w:line="230" w:lineRule="auto"/>
        <w:ind w:left="1390" w:right="563" w:hanging="680"/>
        <w:jc w:val="both"/>
        <w:rPr>
          <w:color w:val="221F1F"/>
        </w:rPr>
      </w:pPr>
      <w:r>
        <w:rPr>
          <w:color w:val="221F1F"/>
        </w:rPr>
        <w:t>The Procuring Entity shall make the Procuring Entity's Equipment (if any) available for the use of the Contractor</w:t>
      </w:r>
      <w:r>
        <w:rPr>
          <w:color w:val="221F1F"/>
          <w:spacing w:val="-9"/>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execution</w:t>
      </w:r>
      <w:r>
        <w:rPr>
          <w:color w:val="221F1F"/>
          <w:spacing w:val="-8"/>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in</w:t>
      </w:r>
      <w:r>
        <w:rPr>
          <w:color w:val="221F1F"/>
          <w:spacing w:val="-9"/>
        </w:rPr>
        <w:t xml:space="preserve"> </w:t>
      </w:r>
      <w:r>
        <w:rPr>
          <w:color w:val="221F1F"/>
        </w:rPr>
        <w:t>accordance</w:t>
      </w:r>
      <w:r>
        <w:rPr>
          <w:color w:val="221F1F"/>
          <w:spacing w:val="-10"/>
        </w:rPr>
        <w:t xml:space="preserve"> </w:t>
      </w:r>
      <w:r>
        <w:rPr>
          <w:color w:val="221F1F"/>
        </w:rPr>
        <w:t>with</w:t>
      </w:r>
      <w:r>
        <w:rPr>
          <w:color w:val="221F1F"/>
          <w:spacing w:val="-9"/>
        </w:rPr>
        <w:t xml:space="preserve"> </w:t>
      </w:r>
      <w:r>
        <w:rPr>
          <w:color w:val="221F1F"/>
        </w:rPr>
        <w:t>the</w:t>
      </w:r>
      <w:r>
        <w:rPr>
          <w:color w:val="221F1F"/>
          <w:spacing w:val="-9"/>
        </w:rPr>
        <w:t xml:space="preserve"> </w:t>
      </w:r>
      <w:r>
        <w:rPr>
          <w:color w:val="221F1F"/>
        </w:rPr>
        <w:t>details,</w:t>
      </w:r>
      <w:r>
        <w:rPr>
          <w:color w:val="221F1F"/>
          <w:spacing w:val="-9"/>
        </w:rPr>
        <w:t xml:space="preserve"> </w:t>
      </w:r>
      <w:r>
        <w:rPr>
          <w:color w:val="221F1F"/>
        </w:rPr>
        <w:t>arrangements</w:t>
      </w:r>
      <w:r>
        <w:rPr>
          <w:color w:val="221F1F"/>
          <w:spacing w:val="-8"/>
        </w:rPr>
        <w:t xml:space="preserve"> </w:t>
      </w:r>
      <w:r>
        <w:rPr>
          <w:color w:val="221F1F"/>
        </w:rPr>
        <w:t>and</w:t>
      </w:r>
      <w:r>
        <w:rPr>
          <w:color w:val="221F1F"/>
          <w:spacing w:val="-7"/>
        </w:rPr>
        <w:t xml:space="preserve"> </w:t>
      </w:r>
      <w:r>
        <w:rPr>
          <w:color w:val="221F1F"/>
        </w:rPr>
        <w:t>prices</w:t>
      </w:r>
      <w:r>
        <w:rPr>
          <w:color w:val="221F1F"/>
          <w:spacing w:val="-8"/>
        </w:rPr>
        <w:t xml:space="preserve"> </w:t>
      </w:r>
      <w:r>
        <w:rPr>
          <w:color w:val="221F1F"/>
        </w:rPr>
        <w:t>stated</w:t>
      </w:r>
      <w:r>
        <w:rPr>
          <w:color w:val="221F1F"/>
          <w:spacing w:val="-7"/>
        </w:rPr>
        <w:t xml:space="preserve"> </w:t>
      </w:r>
      <w:r>
        <w:rPr>
          <w:color w:val="221F1F"/>
        </w:rPr>
        <w:t>in</w:t>
      </w:r>
      <w:r>
        <w:rPr>
          <w:color w:val="221F1F"/>
          <w:spacing w:val="-9"/>
        </w:rPr>
        <w:t xml:space="preserve"> </w:t>
      </w:r>
      <w:r>
        <w:rPr>
          <w:color w:val="221F1F"/>
        </w:rPr>
        <w:t>the Specification. Unless otherwise stated in the Specification:</w:t>
      </w:r>
    </w:p>
    <w:p w:rsidR="007F6DF9" w:rsidRDefault="00A43FBC">
      <w:pPr>
        <w:pStyle w:val="ListParagraph"/>
        <w:numPr>
          <w:ilvl w:val="0"/>
          <w:numId w:val="38"/>
        </w:numPr>
        <w:tabs>
          <w:tab w:val="left" w:pos="1885"/>
        </w:tabs>
        <w:spacing w:before="115"/>
        <w:ind w:left="1885" w:hanging="507"/>
        <w:jc w:val="both"/>
      </w:pPr>
      <w:r>
        <w:rPr>
          <w:color w:val="221F1F"/>
        </w:rPr>
        <w:t>The</w:t>
      </w:r>
      <w:r>
        <w:rPr>
          <w:color w:val="221F1F"/>
          <w:spacing w:val="-4"/>
        </w:rPr>
        <w:t xml:space="preserve"> </w:t>
      </w:r>
      <w:r>
        <w:rPr>
          <w:color w:val="221F1F"/>
        </w:rPr>
        <w:t>Procuring</w:t>
      </w:r>
      <w:r>
        <w:rPr>
          <w:color w:val="221F1F"/>
          <w:spacing w:val="-3"/>
        </w:rPr>
        <w:t xml:space="preserve"> </w:t>
      </w:r>
      <w:proofErr w:type="spellStart"/>
      <w:r>
        <w:rPr>
          <w:color w:val="221F1F"/>
        </w:rPr>
        <w:t>Entitys</w:t>
      </w:r>
      <w:proofErr w:type="spellEnd"/>
      <w:r>
        <w:rPr>
          <w:color w:val="221F1F"/>
          <w:spacing w:val="-4"/>
        </w:rPr>
        <w:t xml:space="preserve"> </w:t>
      </w:r>
      <w:r>
        <w:rPr>
          <w:color w:val="221F1F"/>
        </w:rPr>
        <w:t>hall</w:t>
      </w:r>
      <w:r>
        <w:rPr>
          <w:color w:val="221F1F"/>
          <w:spacing w:val="-4"/>
        </w:rPr>
        <w:t xml:space="preserve"> </w:t>
      </w:r>
      <w:r>
        <w:rPr>
          <w:color w:val="221F1F"/>
        </w:rPr>
        <w:t>be</w:t>
      </w:r>
      <w:r>
        <w:rPr>
          <w:color w:val="221F1F"/>
          <w:spacing w:val="-3"/>
        </w:rPr>
        <w:t xml:space="preserve"> </w:t>
      </w:r>
      <w:r>
        <w:rPr>
          <w:color w:val="221F1F"/>
        </w:rPr>
        <w:t>responsible</w:t>
      </w:r>
      <w:r>
        <w:rPr>
          <w:color w:val="221F1F"/>
          <w:spacing w:val="-6"/>
        </w:rPr>
        <w:t xml:space="preserve"> </w:t>
      </w:r>
      <w:r>
        <w:rPr>
          <w:color w:val="221F1F"/>
        </w:rPr>
        <w:t>for</w:t>
      </w:r>
      <w:r>
        <w:rPr>
          <w:color w:val="221F1F"/>
          <w:spacing w:val="-5"/>
        </w:rPr>
        <w:t xml:space="preserve"> </w:t>
      </w:r>
      <w:r>
        <w:rPr>
          <w:color w:val="221F1F"/>
        </w:rPr>
        <w:t>the</w:t>
      </w:r>
      <w:r>
        <w:rPr>
          <w:color w:val="221F1F"/>
          <w:spacing w:val="-2"/>
        </w:rPr>
        <w:t xml:space="preserve"> </w:t>
      </w:r>
      <w:r>
        <w:rPr>
          <w:color w:val="221F1F"/>
        </w:rPr>
        <w:t>Procuring</w:t>
      </w:r>
      <w:r>
        <w:rPr>
          <w:color w:val="221F1F"/>
          <w:spacing w:val="-5"/>
        </w:rPr>
        <w:t xml:space="preserve"> </w:t>
      </w:r>
      <w:r>
        <w:rPr>
          <w:color w:val="221F1F"/>
        </w:rPr>
        <w:t>Entity's</w:t>
      </w:r>
      <w:r>
        <w:rPr>
          <w:color w:val="221F1F"/>
          <w:spacing w:val="-2"/>
        </w:rPr>
        <w:t xml:space="preserve"> </w:t>
      </w:r>
      <w:r>
        <w:rPr>
          <w:color w:val="221F1F"/>
        </w:rPr>
        <w:t>Equipment,</w:t>
      </w:r>
      <w:r>
        <w:rPr>
          <w:color w:val="221F1F"/>
          <w:spacing w:val="-5"/>
        </w:rPr>
        <w:t xml:space="preserve"> </w:t>
      </w:r>
      <w:r>
        <w:rPr>
          <w:color w:val="221F1F"/>
        </w:rPr>
        <w:t>except</w:t>
      </w:r>
      <w:r>
        <w:rPr>
          <w:color w:val="221F1F"/>
          <w:spacing w:val="-4"/>
        </w:rPr>
        <w:t xml:space="preserve"> that</w:t>
      </w:r>
    </w:p>
    <w:p w:rsidR="007F6DF9" w:rsidRDefault="00A43FBC">
      <w:pPr>
        <w:pStyle w:val="ListParagraph"/>
        <w:numPr>
          <w:ilvl w:val="0"/>
          <w:numId w:val="38"/>
        </w:numPr>
        <w:tabs>
          <w:tab w:val="left" w:pos="1884"/>
          <w:tab w:val="left" w:pos="1889"/>
        </w:tabs>
        <w:spacing w:before="118" w:line="232" w:lineRule="auto"/>
        <w:ind w:left="1889" w:right="901" w:hanging="512"/>
        <w:jc w:val="both"/>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responsible</w:t>
      </w:r>
      <w:r>
        <w:rPr>
          <w:color w:val="221F1F"/>
          <w:spacing w:val="-4"/>
        </w:rPr>
        <w:t xml:space="preserve"> </w:t>
      </w:r>
      <w:r>
        <w:rPr>
          <w:color w:val="221F1F"/>
        </w:rPr>
        <w:t>for</w:t>
      </w:r>
      <w:r>
        <w:rPr>
          <w:color w:val="221F1F"/>
          <w:spacing w:val="-4"/>
        </w:rPr>
        <w:t xml:space="preserve"> </w:t>
      </w:r>
      <w:r>
        <w:rPr>
          <w:color w:val="221F1F"/>
        </w:rPr>
        <w:t>each</w:t>
      </w:r>
      <w:r>
        <w:rPr>
          <w:color w:val="221F1F"/>
          <w:spacing w:val="-2"/>
        </w:rPr>
        <w:t xml:space="preserve"> </w:t>
      </w:r>
      <w:r>
        <w:rPr>
          <w:color w:val="221F1F"/>
        </w:rPr>
        <w:t>item</w:t>
      </w:r>
      <w:r>
        <w:rPr>
          <w:color w:val="221F1F"/>
          <w:spacing w:val="-1"/>
        </w:rPr>
        <w:t xml:space="preserve"> </w:t>
      </w:r>
      <w:r>
        <w:rPr>
          <w:color w:val="221F1F"/>
        </w:rPr>
        <w:t>of</w:t>
      </w:r>
      <w:r>
        <w:rPr>
          <w:color w:val="221F1F"/>
          <w:spacing w:val="-4"/>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Equipment</w:t>
      </w:r>
      <w:r>
        <w:rPr>
          <w:color w:val="221F1F"/>
          <w:spacing w:val="-4"/>
        </w:rPr>
        <w:t xml:space="preserve"> </w:t>
      </w:r>
      <w:r>
        <w:rPr>
          <w:color w:val="221F1F"/>
        </w:rPr>
        <w:t>whilst</w:t>
      </w:r>
      <w:r>
        <w:rPr>
          <w:color w:val="221F1F"/>
          <w:spacing w:val="-1"/>
        </w:rPr>
        <w:t xml:space="preserve"> </w:t>
      </w:r>
      <w:r>
        <w:rPr>
          <w:color w:val="221F1F"/>
        </w:rPr>
        <w:t>any</w:t>
      </w:r>
      <w:r>
        <w:rPr>
          <w:color w:val="221F1F"/>
          <w:spacing w:val="-2"/>
        </w:rPr>
        <w:t xml:space="preserve"> </w:t>
      </w:r>
      <w:r>
        <w:rPr>
          <w:color w:val="221F1F"/>
        </w:rPr>
        <w:t>of</w:t>
      </w:r>
      <w:r>
        <w:rPr>
          <w:color w:val="221F1F"/>
          <w:spacing w:val="-4"/>
        </w:rPr>
        <w:t xml:space="preserve"> </w:t>
      </w:r>
      <w:r>
        <w:rPr>
          <w:color w:val="221F1F"/>
        </w:rPr>
        <w:t>the Contractor's Personnel is operating it, driving it, directing it or in possession or control of it.</w:t>
      </w:r>
    </w:p>
    <w:p w:rsidR="007F6DF9" w:rsidRDefault="007F6DF9">
      <w:pPr>
        <w:pStyle w:val="BodyText"/>
        <w:spacing w:before="103"/>
      </w:pPr>
    </w:p>
    <w:p w:rsidR="007F6DF9" w:rsidRDefault="00A43FBC">
      <w:pPr>
        <w:pStyle w:val="ListParagraph"/>
        <w:numPr>
          <w:ilvl w:val="2"/>
          <w:numId w:val="111"/>
        </w:numPr>
        <w:tabs>
          <w:tab w:val="left" w:pos="1376"/>
          <w:tab w:val="left" w:pos="1390"/>
        </w:tabs>
        <w:spacing w:before="1" w:line="230" w:lineRule="auto"/>
        <w:ind w:right="560" w:hanging="680"/>
        <w:jc w:val="both"/>
      </w:pPr>
      <w:r>
        <w:rPr>
          <w:color w:val="221F1F"/>
        </w:rPr>
        <w:t>The appropriate quantities and the amounts due (at such stated prices) for the use of Procuring Entity's Equipment shall be agreed or determined by the Architect in accordance with Sub-Clause 2.5 [Procuring Entity's Claims] and Sub-Clause3.5 [Determinations]. The Contractor shall pay these amounts to the Procuring Entity.</w:t>
      </w:r>
    </w:p>
    <w:p w:rsidR="007F6DF9" w:rsidRDefault="007F6DF9">
      <w:pPr>
        <w:pStyle w:val="BodyText"/>
        <w:spacing w:before="107"/>
      </w:pPr>
    </w:p>
    <w:p w:rsidR="007F6DF9" w:rsidRDefault="00A43FBC">
      <w:pPr>
        <w:pStyle w:val="ListParagraph"/>
        <w:numPr>
          <w:ilvl w:val="2"/>
          <w:numId w:val="111"/>
        </w:numPr>
        <w:tabs>
          <w:tab w:val="left" w:pos="1376"/>
          <w:tab w:val="left" w:pos="1390"/>
        </w:tabs>
        <w:spacing w:before="1" w:line="230" w:lineRule="auto"/>
        <w:ind w:right="563" w:hanging="680"/>
        <w:jc w:val="both"/>
      </w:pPr>
      <w:r>
        <w:rPr>
          <w:color w:val="221F1F"/>
        </w:rPr>
        <w:t>The Procuring Entity shall supply, free of charge, the “free-issue materials” (if any) in accordance with the details stated in the Specification. The Procuring Entity shall, at his risk and cost, provide these materials at the time and place specified in the Contract. The Contractor shall then visually inspect them and shall promptly give notice to the Architect of any shortage, defect or default in these materials. Unless otherwise agreed</w:t>
      </w:r>
      <w:r>
        <w:rPr>
          <w:color w:val="221F1F"/>
          <w:spacing w:val="-1"/>
        </w:rPr>
        <w:t xml:space="preserve"> </w:t>
      </w:r>
      <w:r>
        <w:rPr>
          <w:color w:val="221F1F"/>
        </w:rPr>
        <w:t>by</w:t>
      </w:r>
      <w:r>
        <w:rPr>
          <w:color w:val="221F1F"/>
          <w:spacing w:val="-1"/>
        </w:rPr>
        <w:t xml:space="preserve"> </w:t>
      </w:r>
      <w:r>
        <w:rPr>
          <w:color w:val="221F1F"/>
        </w:rPr>
        <w:t>both</w:t>
      </w:r>
      <w:r>
        <w:rPr>
          <w:color w:val="221F1F"/>
          <w:spacing w:val="-1"/>
        </w:rPr>
        <w:t xml:space="preserve"> </w:t>
      </w:r>
      <w:r>
        <w:rPr>
          <w:color w:val="221F1F"/>
        </w:rPr>
        <w:t>Parties,</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immediately rectify</w:t>
      </w:r>
      <w:r>
        <w:rPr>
          <w:color w:val="221F1F"/>
          <w:spacing w:val="-1"/>
        </w:rPr>
        <w:t xml:space="preserve"> </w:t>
      </w:r>
      <w:r>
        <w:rPr>
          <w:color w:val="221F1F"/>
        </w:rPr>
        <w:t>the</w:t>
      </w:r>
      <w:r>
        <w:rPr>
          <w:color w:val="221F1F"/>
          <w:spacing w:val="-1"/>
        </w:rPr>
        <w:t xml:space="preserve"> </w:t>
      </w:r>
      <w:r>
        <w:rPr>
          <w:color w:val="221F1F"/>
        </w:rPr>
        <w:t>notified</w:t>
      </w:r>
      <w:r>
        <w:rPr>
          <w:color w:val="221F1F"/>
          <w:spacing w:val="-3"/>
        </w:rPr>
        <w:t xml:space="preserve"> </w:t>
      </w:r>
      <w:r>
        <w:rPr>
          <w:color w:val="221F1F"/>
        </w:rPr>
        <w:t>shortage, defector</w:t>
      </w:r>
      <w:r>
        <w:rPr>
          <w:color w:val="221F1F"/>
          <w:spacing w:val="-2"/>
        </w:rPr>
        <w:t xml:space="preserve"> </w:t>
      </w:r>
      <w:r>
        <w:rPr>
          <w:color w:val="221F1F"/>
        </w:rPr>
        <w:t>default.</w:t>
      </w:r>
    </w:p>
    <w:p w:rsidR="007F6DF9" w:rsidRDefault="007F6DF9">
      <w:pPr>
        <w:pStyle w:val="BodyText"/>
        <w:spacing w:before="109"/>
      </w:pPr>
    </w:p>
    <w:p w:rsidR="007F6DF9" w:rsidRDefault="00A43FBC">
      <w:pPr>
        <w:pStyle w:val="ListParagraph"/>
        <w:numPr>
          <w:ilvl w:val="2"/>
          <w:numId w:val="111"/>
        </w:numPr>
        <w:tabs>
          <w:tab w:val="left" w:pos="1373"/>
          <w:tab w:val="left" w:pos="1388"/>
        </w:tabs>
        <w:spacing w:line="230" w:lineRule="auto"/>
        <w:ind w:left="1388" w:right="563" w:hanging="678"/>
        <w:jc w:val="both"/>
      </w:pPr>
      <w:r>
        <w:rPr>
          <w:color w:val="221F1F"/>
        </w:rPr>
        <w:t>After this visual inspection, the free-issue materials shall come under the care, custody and control of the Contractor. The Contractor's obligations of inspection, care, custody and control shall not relieve the Procuring Entity of liability for any shortage, defect or default not apparent from a visual inspection.</w:t>
      </w:r>
    </w:p>
    <w:p w:rsidR="007F6DF9" w:rsidRDefault="00A43FBC">
      <w:pPr>
        <w:pStyle w:val="Heading9"/>
        <w:numPr>
          <w:ilvl w:val="1"/>
          <w:numId w:val="122"/>
        </w:numPr>
        <w:tabs>
          <w:tab w:val="left" w:pos="1376"/>
        </w:tabs>
        <w:spacing w:before="242"/>
        <w:ind w:left="1376" w:hanging="665"/>
        <w:rPr>
          <w:color w:val="221F1F"/>
        </w:rPr>
      </w:pPr>
      <w:r>
        <w:rPr>
          <w:color w:val="221F1F"/>
        </w:rPr>
        <w:t>Progress</w:t>
      </w:r>
      <w:r>
        <w:rPr>
          <w:color w:val="221F1F"/>
          <w:spacing w:val="-1"/>
        </w:rPr>
        <w:t xml:space="preserve"> </w:t>
      </w:r>
      <w:r>
        <w:rPr>
          <w:color w:val="221F1F"/>
          <w:spacing w:val="-2"/>
        </w:rPr>
        <w:t>Reports</w:t>
      </w:r>
    </w:p>
    <w:p w:rsidR="007F6DF9" w:rsidRDefault="007F6DF9">
      <w:pPr>
        <w:pStyle w:val="BodyText"/>
        <w:spacing w:before="50"/>
        <w:rPr>
          <w:b/>
        </w:rPr>
      </w:pPr>
    </w:p>
    <w:p w:rsidR="007F6DF9" w:rsidRDefault="00A43FBC">
      <w:pPr>
        <w:pStyle w:val="ListParagraph"/>
        <w:numPr>
          <w:ilvl w:val="2"/>
          <w:numId w:val="122"/>
        </w:numPr>
        <w:tabs>
          <w:tab w:val="left" w:pos="1373"/>
          <w:tab w:val="left" w:pos="1388"/>
        </w:tabs>
        <w:spacing w:line="230" w:lineRule="auto"/>
        <w:ind w:left="1388" w:right="1040" w:hanging="678"/>
        <w:jc w:val="both"/>
        <w:rPr>
          <w:color w:val="221F1F"/>
        </w:rPr>
      </w:pPr>
      <w:r>
        <w:rPr>
          <w:color w:val="221F1F"/>
        </w:rPr>
        <w:t>Unless otherwise stated in the Special Conditions, monthly progress reports shall be prepared by the Contractor</w:t>
      </w:r>
      <w:r>
        <w:rPr>
          <w:color w:val="221F1F"/>
          <w:spacing w:val="-1"/>
        </w:rPr>
        <w:t xml:space="preserve"> </w:t>
      </w:r>
      <w:r>
        <w:rPr>
          <w:color w:val="221F1F"/>
        </w:rPr>
        <w:t>and</w:t>
      </w:r>
      <w:r>
        <w:rPr>
          <w:color w:val="221F1F"/>
          <w:spacing w:val="-2"/>
        </w:rPr>
        <w:t xml:space="preserve"> </w:t>
      </w:r>
      <w:r>
        <w:rPr>
          <w:color w:val="221F1F"/>
        </w:rPr>
        <w:t>submitted</w:t>
      </w:r>
      <w:r>
        <w:rPr>
          <w:color w:val="221F1F"/>
          <w:spacing w:val="-1"/>
        </w:rPr>
        <w:t xml:space="preserve"> </w:t>
      </w:r>
      <w:r>
        <w:rPr>
          <w:color w:val="221F1F"/>
        </w:rPr>
        <w:t>to the Architect</w:t>
      </w:r>
      <w:r>
        <w:rPr>
          <w:color w:val="221F1F"/>
          <w:spacing w:val="-1"/>
        </w:rPr>
        <w:t xml:space="preserve"> </w:t>
      </w:r>
      <w:r>
        <w:rPr>
          <w:color w:val="221F1F"/>
        </w:rPr>
        <w:t>in</w:t>
      </w:r>
      <w:r>
        <w:rPr>
          <w:color w:val="221F1F"/>
          <w:spacing w:val="-2"/>
        </w:rPr>
        <w:t xml:space="preserve"> </w:t>
      </w:r>
      <w:r>
        <w:rPr>
          <w:color w:val="221F1F"/>
        </w:rPr>
        <w:t>six</w:t>
      </w:r>
      <w:r>
        <w:rPr>
          <w:color w:val="221F1F"/>
          <w:spacing w:val="-2"/>
        </w:rPr>
        <w:t xml:space="preserve"> </w:t>
      </w:r>
      <w:r>
        <w:rPr>
          <w:color w:val="221F1F"/>
        </w:rPr>
        <w:t>copies. The</w:t>
      </w:r>
      <w:r>
        <w:rPr>
          <w:color w:val="221F1F"/>
          <w:spacing w:val="-2"/>
        </w:rPr>
        <w:t xml:space="preserve"> </w:t>
      </w:r>
      <w:r>
        <w:rPr>
          <w:color w:val="221F1F"/>
        </w:rPr>
        <w:t>first</w:t>
      </w:r>
      <w:r>
        <w:rPr>
          <w:color w:val="221F1F"/>
          <w:spacing w:val="-1"/>
        </w:rPr>
        <w:t xml:space="preserve"> </w:t>
      </w:r>
      <w:r>
        <w:rPr>
          <w:color w:val="221F1F"/>
        </w:rPr>
        <w:t>report shall</w:t>
      </w:r>
      <w:r>
        <w:rPr>
          <w:color w:val="221F1F"/>
          <w:spacing w:val="-1"/>
        </w:rPr>
        <w:t xml:space="preserve"> </w:t>
      </w:r>
      <w:r>
        <w:rPr>
          <w:color w:val="221F1F"/>
        </w:rPr>
        <w:t>cover the</w:t>
      </w:r>
      <w:r>
        <w:rPr>
          <w:color w:val="221F1F"/>
          <w:spacing w:val="-2"/>
        </w:rPr>
        <w:t xml:space="preserve"> </w:t>
      </w:r>
      <w:r>
        <w:rPr>
          <w:color w:val="221F1F"/>
        </w:rPr>
        <w:t>period</w:t>
      </w:r>
      <w:r>
        <w:rPr>
          <w:color w:val="221F1F"/>
          <w:spacing w:val="-2"/>
        </w:rPr>
        <w:t xml:space="preserve"> </w:t>
      </w:r>
      <w:r>
        <w:rPr>
          <w:color w:val="221F1F"/>
        </w:rPr>
        <w:t>up</w:t>
      </w:r>
      <w:r>
        <w:rPr>
          <w:color w:val="221F1F"/>
          <w:spacing w:val="-2"/>
        </w:rPr>
        <w:t xml:space="preserve"> </w:t>
      </w:r>
      <w:r>
        <w:rPr>
          <w:color w:val="221F1F"/>
        </w:rPr>
        <w:t>to</w:t>
      </w:r>
      <w:r>
        <w:rPr>
          <w:color w:val="221F1F"/>
          <w:spacing w:val="-2"/>
        </w:rPr>
        <w:t xml:space="preserve"> </w:t>
      </w:r>
      <w:r>
        <w:rPr>
          <w:color w:val="221F1F"/>
        </w:rPr>
        <w:t>the end</w:t>
      </w:r>
      <w:r>
        <w:rPr>
          <w:color w:val="221F1F"/>
          <w:spacing w:val="-7"/>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first</w:t>
      </w:r>
      <w:r>
        <w:rPr>
          <w:color w:val="221F1F"/>
          <w:spacing w:val="-8"/>
        </w:rPr>
        <w:t xml:space="preserve"> </w:t>
      </w:r>
      <w:r>
        <w:rPr>
          <w:color w:val="221F1F"/>
        </w:rPr>
        <w:t>calendar</w:t>
      </w:r>
      <w:r>
        <w:rPr>
          <w:color w:val="221F1F"/>
          <w:spacing w:val="-8"/>
        </w:rPr>
        <w:t xml:space="preserve"> </w:t>
      </w:r>
      <w:r>
        <w:rPr>
          <w:color w:val="221F1F"/>
        </w:rPr>
        <w:t>month</w:t>
      </w:r>
      <w:r>
        <w:rPr>
          <w:color w:val="221F1F"/>
          <w:spacing w:val="-10"/>
        </w:rPr>
        <w:t xml:space="preserve"> </w:t>
      </w:r>
      <w:r>
        <w:rPr>
          <w:color w:val="221F1F"/>
        </w:rPr>
        <w:t>following</w:t>
      </w:r>
      <w:r>
        <w:rPr>
          <w:color w:val="221F1F"/>
          <w:spacing w:val="-10"/>
        </w:rPr>
        <w:t xml:space="preserve"> </w:t>
      </w:r>
      <w:r>
        <w:rPr>
          <w:color w:val="221F1F"/>
        </w:rPr>
        <w:t>the</w:t>
      </w:r>
      <w:r>
        <w:rPr>
          <w:color w:val="221F1F"/>
          <w:spacing w:val="-9"/>
        </w:rPr>
        <w:t xml:space="preserve"> </w:t>
      </w:r>
      <w:r>
        <w:rPr>
          <w:color w:val="221F1F"/>
        </w:rPr>
        <w:t>Commencement</w:t>
      </w:r>
      <w:r>
        <w:rPr>
          <w:color w:val="221F1F"/>
          <w:spacing w:val="-8"/>
        </w:rPr>
        <w:t xml:space="preserve"> </w:t>
      </w:r>
      <w:r>
        <w:rPr>
          <w:color w:val="221F1F"/>
        </w:rPr>
        <w:t>Date.</w:t>
      </w:r>
      <w:r>
        <w:rPr>
          <w:color w:val="221F1F"/>
          <w:spacing w:val="-7"/>
        </w:rPr>
        <w:t xml:space="preserve"> </w:t>
      </w:r>
      <w:r>
        <w:rPr>
          <w:color w:val="221F1F"/>
        </w:rPr>
        <w:t>Reports</w:t>
      </w:r>
      <w:r>
        <w:rPr>
          <w:color w:val="221F1F"/>
          <w:spacing w:val="-9"/>
        </w:rPr>
        <w:t xml:space="preserve"> </w:t>
      </w:r>
      <w:r>
        <w:rPr>
          <w:color w:val="221F1F"/>
        </w:rPr>
        <w:t>shall</w:t>
      </w:r>
      <w:r>
        <w:rPr>
          <w:color w:val="221F1F"/>
          <w:spacing w:val="-9"/>
        </w:rPr>
        <w:t xml:space="preserve"> </w:t>
      </w:r>
      <w:r>
        <w:rPr>
          <w:color w:val="221F1F"/>
        </w:rPr>
        <w:t>be</w:t>
      </w:r>
      <w:r>
        <w:rPr>
          <w:color w:val="221F1F"/>
          <w:spacing w:val="-7"/>
        </w:rPr>
        <w:t xml:space="preserve"> </w:t>
      </w:r>
      <w:r>
        <w:rPr>
          <w:color w:val="221F1F"/>
        </w:rPr>
        <w:t>submitted</w:t>
      </w:r>
      <w:r>
        <w:rPr>
          <w:color w:val="221F1F"/>
          <w:spacing w:val="-12"/>
        </w:rPr>
        <w:t xml:space="preserve"> </w:t>
      </w:r>
      <w:r>
        <w:rPr>
          <w:color w:val="221F1F"/>
        </w:rPr>
        <w:t>monthly thereafter, each within 7 days after the last day of the period to which it relates.</w:t>
      </w:r>
    </w:p>
    <w:p w:rsidR="007F6DF9" w:rsidRDefault="007F6DF9">
      <w:pPr>
        <w:pStyle w:val="BodyText"/>
        <w:spacing w:before="108"/>
      </w:pPr>
    </w:p>
    <w:p w:rsidR="007F6DF9" w:rsidRDefault="00A43FBC">
      <w:pPr>
        <w:pStyle w:val="ListParagraph"/>
        <w:numPr>
          <w:ilvl w:val="2"/>
          <w:numId w:val="122"/>
        </w:numPr>
        <w:tabs>
          <w:tab w:val="left" w:pos="1373"/>
          <w:tab w:val="left" w:pos="1388"/>
        </w:tabs>
        <w:spacing w:line="230" w:lineRule="auto"/>
        <w:ind w:left="1388" w:right="1040" w:hanging="678"/>
        <w:jc w:val="both"/>
        <w:rPr>
          <w:color w:val="221F1F"/>
        </w:rPr>
      </w:pPr>
      <w:r>
        <w:rPr>
          <w:color w:val="221F1F"/>
        </w:rPr>
        <w:t>Reporting</w:t>
      </w:r>
      <w:r>
        <w:rPr>
          <w:color w:val="221F1F"/>
          <w:spacing w:val="-4"/>
        </w:rPr>
        <w:t xml:space="preserve"> </w:t>
      </w:r>
      <w:r>
        <w:rPr>
          <w:color w:val="221F1F"/>
        </w:rPr>
        <w:t>shall</w:t>
      </w:r>
      <w:r>
        <w:rPr>
          <w:color w:val="221F1F"/>
          <w:spacing w:val="-3"/>
        </w:rPr>
        <w:t xml:space="preserve"> </w:t>
      </w:r>
      <w:r>
        <w:rPr>
          <w:color w:val="221F1F"/>
        </w:rPr>
        <w:t>continue</w:t>
      </w:r>
      <w:r>
        <w:rPr>
          <w:color w:val="221F1F"/>
          <w:spacing w:val="-1"/>
        </w:rPr>
        <w:t xml:space="preserve"> </w:t>
      </w:r>
      <w:r>
        <w:rPr>
          <w:color w:val="221F1F"/>
        </w:rPr>
        <w:t>until</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has</w:t>
      </w:r>
      <w:r>
        <w:rPr>
          <w:color w:val="221F1F"/>
          <w:spacing w:val="-2"/>
        </w:rPr>
        <w:t xml:space="preserve"> </w:t>
      </w:r>
      <w:r>
        <w:rPr>
          <w:color w:val="221F1F"/>
        </w:rPr>
        <w:t>completed</w:t>
      </w:r>
      <w:r>
        <w:rPr>
          <w:color w:val="221F1F"/>
          <w:spacing w:val="-1"/>
        </w:rPr>
        <w:t xml:space="preserve"> </w:t>
      </w:r>
      <w:r>
        <w:rPr>
          <w:color w:val="221F1F"/>
        </w:rPr>
        <w:t>all</w:t>
      </w:r>
      <w:r>
        <w:rPr>
          <w:color w:val="221F1F"/>
          <w:spacing w:val="-1"/>
        </w:rPr>
        <w:t xml:space="preserve"> </w:t>
      </w:r>
      <w:r>
        <w:rPr>
          <w:color w:val="221F1F"/>
        </w:rPr>
        <w:t>work</w:t>
      </w:r>
      <w:r>
        <w:rPr>
          <w:color w:val="221F1F"/>
          <w:spacing w:val="-2"/>
        </w:rPr>
        <w:t xml:space="preserve"> </w:t>
      </w:r>
      <w:r>
        <w:rPr>
          <w:color w:val="221F1F"/>
        </w:rPr>
        <w:t>which</w:t>
      </w:r>
      <w:r>
        <w:rPr>
          <w:color w:val="221F1F"/>
          <w:spacing w:val="-4"/>
        </w:rPr>
        <w:t xml:space="preserve"> </w:t>
      </w:r>
      <w:r>
        <w:rPr>
          <w:color w:val="221F1F"/>
        </w:rPr>
        <w:t>is</w:t>
      </w:r>
      <w:r>
        <w:rPr>
          <w:color w:val="221F1F"/>
          <w:spacing w:val="-2"/>
        </w:rPr>
        <w:t xml:space="preserve"> </w:t>
      </w:r>
      <w:r>
        <w:rPr>
          <w:color w:val="221F1F"/>
        </w:rPr>
        <w:t>known</w:t>
      </w:r>
      <w:r>
        <w:rPr>
          <w:color w:val="221F1F"/>
          <w:spacing w:val="-2"/>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outstanding at the completion date stated in the Taking-Over Certificate for the Works. Each report shall include:</w:t>
      </w:r>
    </w:p>
    <w:p w:rsidR="007F6DF9" w:rsidRDefault="007F6DF9">
      <w:pPr>
        <w:pStyle w:val="BodyText"/>
        <w:spacing w:before="48"/>
      </w:pPr>
    </w:p>
    <w:p w:rsidR="007F6DF9" w:rsidRDefault="00A43FBC">
      <w:pPr>
        <w:pStyle w:val="ListParagraph"/>
        <w:numPr>
          <w:ilvl w:val="0"/>
          <w:numId w:val="37"/>
        </w:numPr>
        <w:tabs>
          <w:tab w:val="left" w:pos="1885"/>
          <w:tab w:val="left" w:pos="1894"/>
        </w:tabs>
        <w:spacing w:before="1" w:line="230" w:lineRule="auto"/>
        <w:ind w:right="1045" w:hanging="519"/>
        <w:jc w:val="both"/>
      </w:pPr>
      <w:r>
        <w:rPr>
          <w:color w:val="221F1F"/>
        </w:rPr>
        <w:t xml:space="preserve">charts and detailed descriptions of progress, including each stage of design (if any), Contractor's Documents, procurement, manufacture, delivery to Site, construction, erection and testing; and including these stages for work by each nominated Subcontractor (as defined in Clause 5 </w:t>
      </w:r>
      <w:r>
        <w:rPr>
          <w:color w:val="221F1F"/>
          <w:spacing w:val="-2"/>
        </w:rPr>
        <w:t>[</w:t>
      </w:r>
      <w:proofErr w:type="spellStart"/>
      <w:r>
        <w:rPr>
          <w:color w:val="221F1F"/>
          <w:spacing w:val="-2"/>
        </w:rPr>
        <w:t>NominatedSubcontractors</w:t>
      </w:r>
      <w:proofErr w:type="spellEnd"/>
      <w:r>
        <w:rPr>
          <w:color w:val="221F1F"/>
          <w:spacing w:val="-2"/>
        </w:rPr>
        <w:t>]),</w:t>
      </w:r>
    </w:p>
    <w:p w:rsidR="007F6DF9" w:rsidRDefault="00A43FBC">
      <w:pPr>
        <w:pStyle w:val="ListParagraph"/>
        <w:numPr>
          <w:ilvl w:val="0"/>
          <w:numId w:val="37"/>
        </w:numPr>
        <w:tabs>
          <w:tab w:val="left" w:pos="1886"/>
        </w:tabs>
        <w:spacing w:before="40"/>
        <w:ind w:left="1886" w:hanging="510"/>
        <w:jc w:val="both"/>
      </w:pPr>
      <w:r>
        <w:rPr>
          <w:color w:val="221F1F"/>
        </w:rPr>
        <w:t>photographs</w:t>
      </w:r>
      <w:r>
        <w:rPr>
          <w:color w:val="221F1F"/>
          <w:spacing w:val="-3"/>
        </w:rPr>
        <w:t xml:space="preserve"> </w:t>
      </w:r>
      <w:r>
        <w:rPr>
          <w:color w:val="221F1F"/>
        </w:rPr>
        <w:t>showing</w:t>
      </w:r>
      <w:r>
        <w:rPr>
          <w:color w:val="221F1F"/>
          <w:spacing w:val="-4"/>
        </w:rPr>
        <w:t xml:space="preserve"> </w:t>
      </w:r>
      <w:r>
        <w:rPr>
          <w:color w:val="221F1F"/>
        </w:rPr>
        <w:t>the</w:t>
      </w:r>
      <w:r>
        <w:rPr>
          <w:color w:val="221F1F"/>
          <w:spacing w:val="-4"/>
        </w:rPr>
        <w:t xml:space="preserve"> </w:t>
      </w:r>
      <w:r>
        <w:rPr>
          <w:color w:val="221F1F"/>
        </w:rPr>
        <w:t>status</w:t>
      </w:r>
      <w:r>
        <w:rPr>
          <w:color w:val="221F1F"/>
          <w:spacing w:val="-4"/>
        </w:rPr>
        <w:t xml:space="preserve"> </w:t>
      </w:r>
      <w:r>
        <w:rPr>
          <w:color w:val="221F1F"/>
        </w:rPr>
        <w:t>of</w:t>
      </w:r>
      <w:r>
        <w:rPr>
          <w:color w:val="221F1F"/>
          <w:spacing w:val="-4"/>
        </w:rPr>
        <w:t xml:space="preserve"> </w:t>
      </w:r>
      <w:r>
        <w:rPr>
          <w:color w:val="221F1F"/>
        </w:rPr>
        <w:t>manufacture</w:t>
      </w:r>
      <w:r>
        <w:rPr>
          <w:color w:val="221F1F"/>
          <w:spacing w:val="-1"/>
        </w:rPr>
        <w:t xml:space="preserve"> </w:t>
      </w:r>
      <w:r>
        <w:rPr>
          <w:color w:val="221F1F"/>
        </w:rPr>
        <w:t>and</w:t>
      </w:r>
      <w:r>
        <w:rPr>
          <w:color w:val="221F1F"/>
          <w:spacing w:val="-2"/>
        </w:rPr>
        <w:t xml:space="preserve"> </w:t>
      </w:r>
      <w:r>
        <w:rPr>
          <w:color w:val="221F1F"/>
        </w:rPr>
        <w:t>of</w:t>
      </w:r>
      <w:r>
        <w:rPr>
          <w:color w:val="221F1F"/>
          <w:spacing w:val="-6"/>
        </w:rPr>
        <w:t xml:space="preserve"> </w:t>
      </w:r>
      <w:r>
        <w:rPr>
          <w:color w:val="221F1F"/>
        </w:rPr>
        <w:t>progress</w:t>
      </w:r>
      <w:r>
        <w:rPr>
          <w:color w:val="221F1F"/>
          <w:spacing w:val="-4"/>
        </w:rPr>
        <w:t xml:space="preserve"> </w:t>
      </w:r>
      <w:r>
        <w:rPr>
          <w:color w:val="221F1F"/>
        </w:rPr>
        <w:t>on</w:t>
      </w:r>
      <w:r>
        <w:rPr>
          <w:color w:val="221F1F"/>
          <w:spacing w:val="-2"/>
        </w:rPr>
        <w:t xml:space="preserve"> </w:t>
      </w:r>
      <w:r>
        <w:rPr>
          <w:color w:val="221F1F"/>
        </w:rPr>
        <w:t>the</w:t>
      </w:r>
      <w:r>
        <w:rPr>
          <w:color w:val="221F1F"/>
          <w:spacing w:val="-1"/>
        </w:rPr>
        <w:t xml:space="preserve"> </w:t>
      </w:r>
      <w:r>
        <w:rPr>
          <w:color w:val="221F1F"/>
          <w:spacing w:val="-2"/>
        </w:rPr>
        <w:t>Site;</w:t>
      </w:r>
    </w:p>
    <w:p w:rsidR="007F6DF9" w:rsidRDefault="00A43FBC">
      <w:pPr>
        <w:pStyle w:val="ListParagraph"/>
        <w:numPr>
          <w:ilvl w:val="0"/>
          <w:numId w:val="37"/>
        </w:numPr>
        <w:tabs>
          <w:tab w:val="left" w:pos="1885"/>
          <w:tab w:val="left" w:pos="1894"/>
        </w:tabs>
        <w:spacing w:before="51" w:line="230" w:lineRule="auto"/>
        <w:ind w:right="1053" w:hanging="519"/>
        <w:jc w:val="both"/>
      </w:pPr>
      <w:r>
        <w:rPr>
          <w:color w:val="221F1F"/>
        </w:rPr>
        <w:t>for the manufacture of each main item of Plant and Materials, the name of the manufacturer, manufacture location, percentage progress, and the actual or expected dates of:</w:t>
      </w:r>
    </w:p>
    <w:p w:rsidR="007F6DF9" w:rsidRDefault="00A43FBC">
      <w:pPr>
        <w:pStyle w:val="ListParagraph"/>
        <w:numPr>
          <w:ilvl w:val="1"/>
          <w:numId w:val="37"/>
        </w:numPr>
        <w:tabs>
          <w:tab w:val="left" w:pos="2412"/>
        </w:tabs>
        <w:spacing w:before="41"/>
        <w:ind w:left="2412" w:hanging="527"/>
      </w:pPr>
      <w:r>
        <w:rPr>
          <w:color w:val="221F1F"/>
        </w:rPr>
        <w:t>commencement</w:t>
      </w:r>
      <w:r>
        <w:rPr>
          <w:color w:val="221F1F"/>
          <w:spacing w:val="-3"/>
        </w:rPr>
        <w:t xml:space="preserve"> </w:t>
      </w:r>
      <w:r>
        <w:rPr>
          <w:color w:val="221F1F"/>
        </w:rPr>
        <w:t>of</w:t>
      </w:r>
      <w:r>
        <w:rPr>
          <w:color w:val="221F1F"/>
          <w:spacing w:val="-5"/>
        </w:rPr>
        <w:t xml:space="preserve"> </w:t>
      </w:r>
      <w:r>
        <w:rPr>
          <w:color w:val="221F1F"/>
          <w:spacing w:val="-2"/>
        </w:rPr>
        <w:t>manufacture,</w:t>
      </w:r>
    </w:p>
    <w:p w:rsidR="007F6DF9" w:rsidRDefault="00A43FBC">
      <w:pPr>
        <w:pStyle w:val="ListParagraph"/>
        <w:numPr>
          <w:ilvl w:val="1"/>
          <w:numId w:val="37"/>
        </w:numPr>
        <w:tabs>
          <w:tab w:val="left" w:pos="2412"/>
        </w:tabs>
        <w:spacing w:before="40"/>
        <w:ind w:left="2412" w:hanging="527"/>
      </w:pPr>
      <w:r>
        <w:rPr>
          <w:color w:val="221F1F"/>
        </w:rPr>
        <w:t>Contractor's</w:t>
      </w:r>
      <w:r>
        <w:rPr>
          <w:color w:val="221F1F"/>
          <w:spacing w:val="-6"/>
        </w:rPr>
        <w:t xml:space="preserve"> </w:t>
      </w:r>
      <w:r>
        <w:rPr>
          <w:color w:val="221F1F"/>
          <w:spacing w:val="-2"/>
        </w:rPr>
        <w:t>inspections,</w:t>
      </w:r>
    </w:p>
    <w:p w:rsidR="007F6DF9" w:rsidRDefault="00A43FBC">
      <w:pPr>
        <w:pStyle w:val="ListParagraph"/>
        <w:numPr>
          <w:ilvl w:val="1"/>
          <w:numId w:val="37"/>
        </w:numPr>
        <w:tabs>
          <w:tab w:val="left" w:pos="2412"/>
        </w:tabs>
        <w:spacing w:before="37"/>
        <w:ind w:left="2412" w:hanging="527"/>
      </w:pPr>
      <w:r>
        <w:rPr>
          <w:color w:val="221F1F"/>
        </w:rPr>
        <w:t>tests,</w:t>
      </w:r>
      <w:r>
        <w:rPr>
          <w:color w:val="221F1F"/>
          <w:spacing w:val="-1"/>
        </w:rPr>
        <w:t xml:space="preserve"> </w:t>
      </w:r>
      <w:r>
        <w:rPr>
          <w:color w:val="221F1F"/>
          <w:spacing w:val="-5"/>
        </w:rPr>
        <w:t>and</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ListParagraph"/>
        <w:numPr>
          <w:ilvl w:val="1"/>
          <w:numId w:val="37"/>
        </w:numPr>
        <w:tabs>
          <w:tab w:val="left" w:pos="2411"/>
        </w:tabs>
        <w:spacing w:line="244" w:lineRule="exact"/>
        <w:ind w:left="2411" w:hanging="526"/>
        <w:jc w:val="both"/>
      </w:pPr>
      <w:r>
        <w:rPr>
          <w:color w:val="221F1F"/>
        </w:rPr>
        <w:lastRenderedPageBreak/>
        <w:t>shipment</w:t>
      </w:r>
      <w:r>
        <w:rPr>
          <w:color w:val="221F1F"/>
          <w:spacing w:val="-2"/>
        </w:rPr>
        <w:t xml:space="preserve"> </w:t>
      </w:r>
      <w:r>
        <w:rPr>
          <w:color w:val="221F1F"/>
        </w:rPr>
        <w:t>and</w:t>
      </w:r>
      <w:r>
        <w:rPr>
          <w:color w:val="221F1F"/>
          <w:spacing w:val="-2"/>
        </w:rPr>
        <w:t xml:space="preserve"> </w:t>
      </w:r>
      <w:r>
        <w:rPr>
          <w:color w:val="221F1F"/>
        </w:rPr>
        <w:t>arrival</w:t>
      </w:r>
      <w:r>
        <w:rPr>
          <w:color w:val="221F1F"/>
          <w:spacing w:val="-3"/>
        </w:rPr>
        <w:t xml:space="preserve"> </w:t>
      </w:r>
      <w:r>
        <w:rPr>
          <w:color w:val="221F1F"/>
        </w:rPr>
        <w:t>at</w:t>
      </w:r>
      <w:r>
        <w:rPr>
          <w:color w:val="221F1F"/>
          <w:spacing w:val="-4"/>
        </w:rPr>
        <w:t xml:space="preserve"> </w:t>
      </w:r>
      <w:r>
        <w:rPr>
          <w:color w:val="221F1F"/>
        </w:rPr>
        <w:t>the</w:t>
      </w:r>
      <w:r>
        <w:rPr>
          <w:color w:val="221F1F"/>
          <w:spacing w:val="-6"/>
        </w:rPr>
        <w:t xml:space="preserve"> </w:t>
      </w:r>
      <w:r>
        <w:rPr>
          <w:color w:val="221F1F"/>
          <w:spacing w:val="-2"/>
        </w:rPr>
        <w:t>Site;</w:t>
      </w:r>
    </w:p>
    <w:p w:rsidR="007F6DF9" w:rsidRDefault="00A43FBC">
      <w:pPr>
        <w:pStyle w:val="ListParagraph"/>
        <w:numPr>
          <w:ilvl w:val="0"/>
          <w:numId w:val="37"/>
        </w:numPr>
        <w:tabs>
          <w:tab w:val="left" w:pos="1883"/>
        </w:tabs>
        <w:spacing w:before="40"/>
        <w:ind w:left="1883" w:hanging="507"/>
        <w:jc w:val="both"/>
      </w:pPr>
      <w:r>
        <w:rPr>
          <w:color w:val="221F1F"/>
        </w:rPr>
        <w:t>the</w:t>
      </w:r>
      <w:r>
        <w:rPr>
          <w:color w:val="221F1F"/>
          <w:spacing w:val="-6"/>
        </w:rPr>
        <w:t xml:space="preserve"> </w:t>
      </w:r>
      <w:r>
        <w:rPr>
          <w:color w:val="221F1F"/>
        </w:rPr>
        <w:t>details</w:t>
      </w:r>
      <w:r>
        <w:rPr>
          <w:color w:val="221F1F"/>
          <w:spacing w:val="-3"/>
        </w:rPr>
        <w:t xml:space="preserve"> </w:t>
      </w:r>
      <w:r>
        <w:rPr>
          <w:color w:val="221F1F"/>
        </w:rPr>
        <w:t>described</w:t>
      </w:r>
      <w:r>
        <w:rPr>
          <w:color w:val="221F1F"/>
          <w:spacing w:val="-2"/>
        </w:rPr>
        <w:t xml:space="preserve"> </w:t>
      </w:r>
      <w:r>
        <w:rPr>
          <w:color w:val="221F1F"/>
        </w:rPr>
        <w:t>in</w:t>
      </w:r>
      <w:r>
        <w:rPr>
          <w:color w:val="221F1F"/>
          <w:spacing w:val="-4"/>
        </w:rPr>
        <w:t xml:space="preserve"> </w:t>
      </w:r>
      <w:r>
        <w:rPr>
          <w:color w:val="221F1F"/>
        </w:rPr>
        <w:t>Sub-Clause</w:t>
      </w:r>
      <w:r>
        <w:rPr>
          <w:color w:val="221F1F"/>
          <w:spacing w:val="-3"/>
        </w:rPr>
        <w:t xml:space="preserve"> </w:t>
      </w:r>
      <w:r>
        <w:rPr>
          <w:color w:val="221F1F"/>
        </w:rPr>
        <w:t>6.10</w:t>
      </w:r>
      <w:r>
        <w:rPr>
          <w:color w:val="221F1F"/>
          <w:spacing w:val="-3"/>
        </w:rPr>
        <w:t xml:space="preserve"> </w:t>
      </w:r>
      <w:r>
        <w:rPr>
          <w:color w:val="221F1F"/>
        </w:rPr>
        <w:t>[Records</w:t>
      </w:r>
      <w:r>
        <w:rPr>
          <w:color w:val="221F1F"/>
          <w:spacing w:val="-3"/>
        </w:rPr>
        <w:t xml:space="preserve"> </w:t>
      </w:r>
      <w:r>
        <w:rPr>
          <w:color w:val="221F1F"/>
        </w:rPr>
        <w:t>of</w:t>
      </w:r>
      <w:r>
        <w:rPr>
          <w:color w:val="221F1F"/>
          <w:spacing w:val="-6"/>
        </w:rPr>
        <w:t xml:space="preserve"> </w:t>
      </w:r>
      <w:r>
        <w:rPr>
          <w:color w:val="221F1F"/>
        </w:rPr>
        <w:t>Contractor's</w:t>
      </w:r>
      <w:r>
        <w:rPr>
          <w:color w:val="221F1F"/>
          <w:spacing w:val="-2"/>
        </w:rPr>
        <w:t xml:space="preserve"> </w:t>
      </w:r>
      <w:r>
        <w:rPr>
          <w:color w:val="221F1F"/>
        </w:rPr>
        <w:t>Personnel</w:t>
      </w:r>
      <w:r>
        <w:rPr>
          <w:color w:val="221F1F"/>
          <w:spacing w:val="-5"/>
        </w:rPr>
        <w:t xml:space="preserve"> </w:t>
      </w:r>
      <w:r>
        <w:rPr>
          <w:color w:val="221F1F"/>
        </w:rPr>
        <w:t>and</w:t>
      </w:r>
      <w:r>
        <w:rPr>
          <w:color w:val="221F1F"/>
          <w:spacing w:val="-2"/>
        </w:rPr>
        <w:t xml:space="preserve"> Equipment];</w:t>
      </w:r>
    </w:p>
    <w:p w:rsidR="007F6DF9" w:rsidRDefault="00A43FBC">
      <w:pPr>
        <w:pStyle w:val="ListParagraph"/>
        <w:numPr>
          <w:ilvl w:val="0"/>
          <w:numId w:val="37"/>
        </w:numPr>
        <w:tabs>
          <w:tab w:val="left" w:pos="1883"/>
        </w:tabs>
        <w:spacing w:before="39"/>
        <w:ind w:left="1883" w:hanging="507"/>
        <w:jc w:val="both"/>
      </w:pPr>
      <w:r>
        <w:rPr>
          <w:color w:val="221F1F"/>
        </w:rPr>
        <w:t>copies</w:t>
      </w:r>
      <w:r>
        <w:rPr>
          <w:color w:val="221F1F"/>
          <w:spacing w:val="-4"/>
        </w:rPr>
        <w:t xml:space="preserve"> </w:t>
      </w:r>
      <w:r>
        <w:rPr>
          <w:color w:val="221F1F"/>
        </w:rPr>
        <w:t>of</w:t>
      </w:r>
      <w:r>
        <w:rPr>
          <w:color w:val="221F1F"/>
          <w:spacing w:val="-4"/>
        </w:rPr>
        <w:t xml:space="preserve"> </w:t>
      </w:r>
      <w:r>
        <w:rPr>
          <w:color w:val="221F1F"/>
        </w:rPr>
        <w:t>quality</w:t>
      </w:r>
      <w:r>
        <w:rPr>
          <w:color w:val="221F1F"/>
          <w:spacing w:val="-5"/>
        </w:rPr>
        <w:t xml:space="preserve"> </w:t>
      </w:r>
      <w:r>
        <w:rPr>
          <w:color w:val="221F1F"/>
        </w:rPr>
        <w:t>assurance</w:t>
      </w:r>
      <w:r>
        <w:rPr>
          <w:color w:val="221F1F"/>
          <w:spacing w:val="-6"/>
        </w:rPr>
        <w:t xml:space="preserve"> </w:t>
      </w:r>
      <w:r>
        <w:rPr>
          <w:color w:val="221F1F"/>
        </w:rPr>
        <w:t>documents,</w:t>
      </w:r>
      <w:r>
        <w:rPr>
          <w:color w:val="221F1F"/>
          <w:spacing w:val="-7"/>
        </w:rPr>
        <w:t xml:space="preserve"> </w:t>
      </w:r>
      <w:r>
        <w:rPr>
          <w:color w:val="221F1F"/>
        </w:rPr>
        <w:t>test</w:t>
      </w:r>
      <w:r>
        <w:rPr>
          <w:color w:val="221F1F"/>
          <w:spacing w:val="-4"/>
        </w:rPr>
        <w:t xml:space="preserve"> </w:t>
      </w:r>
      <w:r>
        <w:rPr>
          <w:color w:val="221F1F"/>
        </w:rPr>
        <w:t>results</w:t>
      </w:r>
      <w:r>
        <w:rPr>
          <w:color w:val="221F1F"/>
          <w:spacing w:val="-5"/>
        </w:rPr>
        <w:t xml:space="preserve"> </w:t>
      </w:r>
      <w:r>
        <w:rPr>
          <w:color w:val="221F1F"/>
        </w:rPr>
        <w:t>and</w:t>
      </w:r>
      <w:r>
        <w:rPr>
          <w:color w:val="221F1F"/>
          <w:spacing w:val="-7"/>
        </w:rPr>
        <w:t xml:space="preserve"> </w:t>
      </w:r>
      <w:r>
        <w:rPr>
          <w:color w:val="221F1F"/>
        </w:rPr>
        <w:t>certificates</w:t>
      </w:r>
      <w:r>
        <w:rPr>
          <w:color w:val="221F1F"/>
          <w:spacing w:val="-4"/>
        </w:rPr>
        <w:t xml:space="preserve"> </w:t>
      </w:r>
      <w:r>
        <w:rPr>
          <w:color w:val="221F1F"/>
        </w:rPr>
        <w:t>of</w:t>
      </w:r>
      <w:r>
        <w:rPr>
          <w:color w:val="221F1F"/>
          <w:spacing w:val="-4"/>
        </w:rPr>
        <w:t xml:space="preserve"> </w:t>
      </w:r>
      <w:r>
        <w:rPr>
          <w:color w:val="221F1F"/>
          <w:spacing w:val="-2"/>
        </w:rPr>
        <w:t>Materials;</w:t>
      </w:r>
    </w:p>
    <w:p w:rsidR="007F6DF9" w:rsidRDefault="00A43FBC">
      <w:pPr>
        <w:pStyle w:val="ListParagraph"/>
        <w:numPr>
          <w:ilvl w:val="0"/>
          <w:numId w:val="37"/>
        </w:numPr>
        <w:tabs>
          <w:tab w:val="left" w:pos="1871"/>
          <w:tab w:val="left" w:pos="1873"/>
        </w:tabs>
        <w:spacing w:before="48" w:line="230" w:lineRule="auto"/>
        <w:ind w:left="1873" w:right="1041" w:hanging="497"/>
        <w:jc w:val="both"/>
      </w:pPr>
      <w:r>
        <w:rPr>
          <w:color w:val="221F1F"/>
        </w:rPr>
        <w:t>list of notices given under Sub-Clause 2.5 [Procuring Entity's Claims] and notices given under Sub- Clause 20.1 [Contractor's Claims];</w:t>
      </w:r>
    </w:p>
    <w:p w:rsidR="007F6DF9" w:rsidRDefault="00A43FBC">
      <w:pPr>
        <w:pStyle w:val="ListParagraph"/>
        <w:numPr>
          <w:ilvl w:val="0"/>
          <w:numId w:val="37"/>
        </w:numPr>
        <w:tabs>
          <w:tab w:val="left" w:pos="1871"/>
          <w:tab w:val="left" w:pos="1873"/>
        </w:tabs>
        <w:spacing w:before="50" w:line="230" w:lineRule="auto"/>
        <w:ind w:left="1873" w:right="1040" w:hanging="497"/>
        <w:jc w:val="both"/>
      </w:pPr>
      <w:r>
        <w:rPr>
          <w:color w:val="221F1F"/>
        </w:rPr>
        <w:t>safety statistics, including details of any hazardous incidents and activities relating to environmental aspects and public relations; and</w:t>
      </w:r>
    </w:p>
    <w:p w:rsidR="007F6DF9" w:rsidRDefault="00A43FBC">
      <w:pPr>
        <w:pStyle w:val="ListParagraph"/>
        <w:numPr>
          <w:ilvl w:val="0"/>
          <w:numId w:val="37"/>
        </w:numPr>
        <w:tabs>
          <w:tab w:val="left" w:pos="1871"/>
          <w:tab w:val="left" w:pos="1873"/>
        </w:tabs>
        <w:spacing w:before="50" w:line="230" w:lineRule="auto"/>
        <w:ind w:left="1873" w:right="1040" w:hanging="497"/>
        <w:jc w:val="both"/>
      </w:pPr>
      <w:r>
        <w:rPr>
          <w:color w:val="221F1F"/>
        </w:rPr>
        <w:t>comparison so factual and planned progress, with details of any events or circumstances which may</w:t>
      </w:r>
      <w:r>
        <w:rPr>
          <w:color w:val="221F1F"/>
          <w:spacing w:val="-6"/>
        </w:rPr>
        <w:t xml:space="preserve"> </w:t>
      </w:r>
      <w:r>
        <w:rPr>
          <w:color w:val="221F1F"/>
        </w:rPr>
        <w:t>jeopardize</w:t>
      </w:r>
      <w:r>
        <w:rPr>
          <w:color w:val="221F1F"/>
          <w:spacing w:val="-6"/>
        </w:rPr>
        <w:t xml:space="preserve"> </w:t>
      </w:r>
      <w:r>
        <w:rPr>
          <w:color w:val="221F1F"/>
        </w:rPr>
        <w:t>the</w:t>
      </w:r>
      <w:r>
        <w:rPr>
          <w:color w:val="221F1F"/>
          <w:spacing w:val="-6"/>
        </w:rPr>
        <w:t xml:space="preserve"> </w:t>
      </w:r>
      <w:r>
        <w:rPr>
          <w:color w:val="221F1F"/>
        </w:rPr>
        <w:t>completion</w:t>
      </w:r>
      <w:r>
        <w:rPr>
          <w:color w:val="221F1F"/>
          <w:spacing w:val="-6"/>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6"/>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and</w:t>
      </w:r>
      <w:r>
        <w:rPr>
          <w:color w:val="221F1F"/>
          <w:spacing w:val="-6"/>
        </w:rPr>
        <w:t xml:space="preserve"> </w:t>
      </w:r>
      <w:r>
        <w:rPr>
          <w:color w:val="221F1F"/>
        </w:rPr>
        <w:t>the</w:t>
      </w:r>
      <w:r>
        <w:rPr>
          <w:color w:val="221F1F"/>
          <w:spacing w:val="-6"/>
        </w:rPr>
        <w:t xml:space="preserve"> </w:t>
      </w:r>
      <w:r>
        <w:rPr>
          <w:color w:val="221F1F"/>
        </w:rPr>
        <w:t>measures</w:t>
      </w:r>
      <w:r>
        <w:rPr>
          <w:color w:val="221F1F"/>
          <w:spacing w:val="-5"/>
        </w:rPr>
        <w:t xml:space="preserve"> </w:t>
      </w:r>
      <w:r>
        <w:rPr>
          <w:color w:val="221F1F"/>
        </w:rPr>
        <w:t>being</w:t>
      </w:r>
      <w:r>
        <w:rPr>
          <w:color w:val="221F1F"/>
          <w:spacing w:val="-6"/>
        </w:rPr>
        <w:t xml:space="preserve"> </w:t>
      </w:r>
      <w:r>
        <w:rPr>
          <w:color w:val="221F1F"/>
        </w:rPr>
        <w:t>(or</w:t>
      </w:r>
      <w:r>
        <w:rPr>
          <w:color w:val="221F1F"/>
          <w:spacing w:val="-5"/>
        </w:rPr>
        <w:t xml:space="preserve"> </w:t>
      </w:r>
      <w:r>
        <w:rPr>
          <w:color w:val="221F1F"/>
        </w:rPr>
        <w:t>to</w:t>
      </w:r>
      <w:r>
        <w:rPr>
          <w:color w:val="221F1F"/>
          <w:spacing w:val="-4"/>
        </w:rPr>
        <w:t xml:space="preserve"> </w:t>
      </w:r>
      <w:r>
        <w:rPr>
          <w:color w:val="221F1F"/>
        </w:rPr>
        <w:t>be) adopted to overcome delays.</w:t>
      </w:r>
    </w:p>
    <w:p w:rsidR="007F6DF9" w:rsidRDefault="00A43FBC">
      <w:pPr>
        <w:pStyle w:val="Heading9"/>
        <w:numPr>
          <w:ilvl w:val="1"/>
          <w:numId w:val="122"/>
        </w:numPr>
        <w:tabs>
          <w:tab w:val="left" w:pos="1375"/>
        </w:tabs>
        <w:spacing w:before="235"/>
        <w:ind w:left="1375" w:hanging="667"/>
        <w:jc w:val="both"/>
        <w:rPr>
          <w:color w:val="221F1F"/>
        </w:rPr>
      </w:pPr>
      <w:r>
        <w:rPr>
          <w:color w:val="221F1F"/>
        </w:rPr>
        <w:t>Security</w:t>
      </w:r>
      <w:r>
        <w:rPr>
          <w:color w:val="221F1F"/>
          <w:spacing w:val="-5"/>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spacing w:val="-4"/>
        </w:rPr>
        <w:t>Site</w:t>
      </w:r>
    </w:p>
    <w:p w:rsidR="007F6DF9" w:rsidRDefault="007F6DF9">
      <w:pPr>
        <w:pStyle w:val="BodyText"/>
        <w:spacing w:before="41"/>
        <w:rPr>
          <w:b/>
        </w:rPr>
      </w:pPr>
    </w:p>
    <w:p w:rsidR="007F6DF9" w:rsidRDefault="00A43FBC">
      <w:pPr>
        <w:pStyle w:val="BodyText"/>
        <w:ind w:left="1376"/>
        <w:jc w:val="both"/>
      </w:pPr>
      <w:r>
        <w:rPr>
          <w:color w:val="221F1F"/>
        </w:rPr>
        <w:t>Unless</w:t>
      </w:r>
      <w:r>
        <w:rPr>
          <w:color w:val="221F1F"/>
          <w:spacing w:val="-5"/>
        </w:rPr>
        <w:t xml:space="preserve"> </w:t>
      </w:r>
      <w:r>
        <w:rPr>
          <w:color w:val="221F1F"/>
        </w:rPr>
        <w:t>otherwise</w:t>
      </w:r>
      <w:r>
        <w:rPr>
          <w:color w:val="221F1F"/>
          <w:spacing w:val="-4"/>
        </w:rPr>
        <w:t xml:space="preserve"> </w:t>
      </w:r>
      <w:r>
        <w:rPr>
          <w:color w:val="221F1F"/>
        </w:rPr>
        <w:t>stated</w:t>
      </w:r>
      <w:r>
        <w:rPr>
          <w:color w:val="221F1F"/>
          <w:spacing w:val="-5"/>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Special</w:t>
      </w:r>
      <w:r>
        <w:rPr>
          <w:color w:val="221F1F"/>
          <w:spacing w:val="-1"/>
        </w:rPr>
        <w:t xml:space="preserve"> </w:t>
      </w:r>
      <w:r>
        <w:rPr>
          <w:color w:val="221F1F"/>
          <w:spacing w:val="-2"/>
        </w:rPr>
        <w:t>Conditions:</w:t>
      </w:r>
    </w:p>
    <w:p w:rsidR="007F6DF9" w:rsidRDefault="00A43FBC">
      <w:pPr>
        <w:pStyle w:val="ListParagraph"/>
        <w:numPr>
          <w:ilvl w:val="0"/>
          <w:numId w:val="110"/>
        </w:numPr>
        <w:tabs>
          <w:tab w:val="left" w:pos="1879"/>
        </w:tabs>
        <w:spacing w:before="40"/>
        <w:ind w:left="1879" w:hanging="503"/>
        <w:jc w:val="both"/>
      </w:pPr>
      <w:r>
        <w:rPr>
          <w:color w:val="221F1F"/>
        </w:rPr>
        <w:t>The</w:t>
      </w:r>
      <w:r>
        <w:rPr>
          <w:color w:val="221F1F"/>
          <w:spacing w:val="-6"/>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responsible</w:t>
      </w:r>
      <w:r>
        <w:rPr>
          <w:color w:val="221F1F"/>
          <w:spacing w:val="-6"/>
        </w:rPr>
        <w:t xml:space="preserve"> </w:t>
      </w:r>
      <w:r>
        <w:rPr>
          <w:color w:val="221F1F"/>
        </w:rPr>
        <w:t>for</w:t>
      </w:r>
      <w:r>
        <w:rPr>
          <w:color w:val="221F1F"/>
          <w:spacing w:val="-2"/>
        </w:rPr>
        <w:t xml:space="preserve"> </w:t>
      </w:r>
      <w:r>
        <w:rPr>
          <w:color w:val="221F1F"/>
        </w:rPr>
        <w:t>keeping</w:t>
      </w:r>
      <w:r>
        <w:rPr>
          <w:color w:val="221F1F"/>
          <w:spacing w:val="-5"/>
        </w:rPr>
        <w:t xml:space="preserve"> </w:t>
      </w:r>
      <w:r>
        <w:rPr>
          <w:color w:val="221F1F"/>
        </w:rPr>
        <w:t>unauthorized</w:t>
      </w:r>
      <w:r>
        <w:rPr>
          <w:color w:val="221F1F"/>
          <w:spacing w:val="-3"/>
        </w:rPr>
        <w:t xml:space="preserve"> </w:t>
      </w:r>
      <w:r>
        <w:rPr>
          <w:color w:val="221F1F"/>
        </w:rPr>
        <w:t>persons</w:t>
      </w:r>
      <w:r>
        <w:rPr>
          <w:color w:val="221F1F"/>
          <w:spacing w:val="-4"/>
        </w:rPr>
        <w:t xml:space="preserve"> </w:t>
      </w:r>
      <w:r>
        <w:rPr>
          <w:color w:val="221F1F"/>
        </w:rPr>
        <w:t>off</w:t>
      </w:r>
      <w:r>
        <w:rPr>
          <w:color w:val="221F1F"/>
          <w:spacing w:val="-5"/>
        </w:rPr>
        <w:t xml:space="preserve"> </w:t>
      </w:r>
      <w:r>
        <w:rPr>
          <w:color w:val="221F1F"/>
        </w:rPr>
        <w:t>the</w:t>
      </w:r>
      <w:r>
        <w:rPr>
          <w:color w:val="221F1F"/>
          <w:spacing w:val="-2"/>
        </w:rPr>
        <w:t xml:space="preserve"> </w:t>
      </w:r>
      <w:r>
        <w:rPr>
          <w:color w:val="221F1F"/>
        </w:rPr>
        <w:t>Site,</w:t>
      </w:r>
      <w:r>
        <w:rPr>
          <w:color w:val="221F1F"/>
          <w:spacing w:val="-3"/>
        </w:rPr>
        <w:t xml:space="preserve"> </w:t>
      </w:r>
      <w:r>
        <w:rPr>
          <w:color w:val="221F1F"/>
          <w:spacing w:val="-5"/>
        </w:rPr>
        <w:t>and</w:t>
      </w:r>
    </w:p>
    <w:p w:rsidR="007F6DF9" w:rsidRDefault="00A43FBC">
      <w:pPr>
        <w:pStyle w:val="ListParagraph"/>
        <w:numPr>
          <w:ilvl w:val="0"/>
          <w:numId w:val="110"/>
        </w:numPr>
        <w:tabs>
          <w:tab w:val="left" w:pos="1880"/>
        </w:tabs>
        <w:spacing w:before="48" w:line="230" w:lineRule="auto"/>
        <w:ind w:right="1047"/>
        <w:jc w:val="both"/>
      </w:pPr>
      <w:r>
        <w:rPr>
          <w:color w:val="221F1F"/>
        </w:rPr>
        <w:t>authorized persons shall be limited to the Contractor's Personnel and the Procuring Entity's Personnel; and to any other personnel notified to the Contractor, by the Procuring Entity or the Engineer, as authorized personnel of the Procuring Entity's other contractors on the Site.</w:t>
      </w:r>
    </w:p>
    <w:p w:rsidR="007F6DF9" w:rsidRDefault="00A43FBC">
      <w:pPr>
        <w:pStyle w:val="Heading9"/>
        <w:numPr>
          <w:ilvl w:val="1"/>
          <w:numId w:val="122"/>
        </w:numPr>
        <w:tabs>
          <w:tab w:val="left" w:pos="1375"/>
        </w:tabs>
        <w:spacing w:before="238"/>
        <w:ind w:left="1375" w:hanging="667"/>
        <w:jc w:val="both"/>
        <w:rPr>
          <w:color w:val="221F1F"/>
        </w:rPr>
      </w:pPr>
      <w:r>
        <w:rPr>
          <w:color w:val="221F1F"/>
        </w:rPr>
        <w:t>Contractor's</w:t>
      </w:r>
      <w:r>
        <w:rPr>
          <w:color w:val="221F1F"/>
          <w:spacing w:val="-6"/>
        </w:rPr>
        <w:t xml:space="preserve"> </w:t>
      </w:r>
      <w:r>
        <w:rPr>
          <w:color w:val="221F1F"/>
        </w:rPr>
        <w:t>Operations</w:t>
      </w:r>
      <w:r>
        <w:rPr>
          <w:color w:val="221F1F"/>
          <w:spacing w:val="-5"/>
        </w:rPr>
        <w:t xml:space="preserve"> </w:t>
      </w:r>
      <w:r>
        <w:rPr>
          <w:color w:val="221F1F"/>
        </w:rPr>
        <w:t>on</w:t>
      </w:r>
      <w:r>
        <w:rPr>
          <w:color w:val="221F1F"/>
          <w:spacing w:val="-4"/>
        </w:rPr>
        <w:t xml:space="preserve"> Site</w:t>
      </w:r>
    </w:p>
    <w:p w:rsidR="007F6DF9" w:rsidRDefault="007F6DF9">
      <w:pPr>
        <w:pStyle w:val="BodyText"/>
        <w:spacing w:before="50"/>
        <w:rPr>
          <w:b/>
        </w:rPr>
      </w:pPr>
    </w:p>
    <w:p w:rsidR="007F6DF9" w:rsidRDefault="00A43FBC">
      <w:pPr>
        <w:pStyle w:val="ListParagraph"/>
        <w:numPr>
          <w:ilvl w:val="2"/>
          <w:numId w:val="122"/>
        </w:numPr>
        <w:tabs>
          <w:tab w:val="left" w:pos="1371"/>
          <w:tab w:val="left" w:pos="1388"/>
        </w:tabs>
        <w:spacing w:line="230" w:lineRule="auto"/>
        <w:ind w:left="1388" w:right="1044" w:hanging="680"/>
        <w:jc w:val="both"/>
        <w:rPr>
          <w:color w:val="221F1F"/>
        </w:rPr>
      </w:pPr>
      <w:r>
        <w:rPr>
          <w:color w:val="221F1F"/>
        </w:rPr>
        <w:t xml:space="preserve">The Contractor shall confine his operations to the Site, and to any additional areas which may be obtained by the Contractor and agreed by the Architect as additional working areas. The Contractor shall take all necessary precautions to keep Contractor's Equipment and Contractor's Personnel within the Site and these additional areas, and to keep them off </w:t>
      </w:r>
      <w:proofErr w:type="spellStart"/>
      <w:r>
        <w:rPr>
          <w:color w:val="221F1F"/>
        </w:rPr>
        <w:t>adjacentl</w:t>
      </w:r>
      <w:proofErr w:type="spellEnd"/>
      <w:r>
        <w:rPr>
          <w:color w:val="221F1F"/>
        </w:rPr>
        <w:t xml:space="preserve"> and.</w:t>
      </w:r>
    </w:p>
    <w:p w:rsidR="007F6DF9" w:rsidRDefault="007F6DF9">
      <w:pPr>
        <w:pStyle w:val="BodyText"/>
        <w:spacing w:before="107"/>
      </w:pPr>
    </w:p>
    <w:p w:rsidR="007F6DF9" w:rsidRDefault="00A43FBC">
      <w:pPr>
        <w:pStyle w:val="ListParagraph"/>
        <w:numPr>
          <w:ilvl w:val="2"/>
          <w:numId w:val="122"/>
        </w:numPr>
        <w:tabs>
          <w:tab w:val="left" w:pos="1371"/>
          <w:tab w:val="left" w:pos="1388"/>
        </w:tabs>
        <w:spacing w:line="230" w:lineRule="auto"/>
        <w:ind w:left="1388" w:right="1038" w:hanging="680"/>
        <w:jc w:val="both"/>
        <w:rPr>
          <w:color w:val="221F1F"/>
        </w:rPr>
      </w:pPr>
      <w:r>
        <w:rPr>
          <w:color w:val="221F1F"/>
        </w:rPr>
        <w:t>During the execution of the Works, the Contractor shall keep the Site free from all unnecessary obstruction and shall store or dispose of any Contractor's Equipment or surplus materials. The Contractor shall clear away and remove from the Site any wreckage, rubbish and Temporary Works which are no longer required.</w:t>
      </w:r>
    </w:p>
    <w:p w:rsidR="007F6DF9" w:rsidRDefault="00A43FBC">
      <w:pPr>
        <w:pStyle w:val="ListParagraph"/>
        <w:numPr>
          <w:ilvl w:val="2"/>
          <w:numId w:val="122"/>
        </w:numPr>
        <w:tabs>
          <w:tab w:val="left" w:pos="1371"/>
          <w:tab w:val="left" w:pos="1388"/>
        </w:tabs>
        <w:spacing w:before="246" w:line="230" w:lineRule="auto"/>
        <w:ind w:left="1388" w:right="1041" w:hanging="680"/>
        <w:jc w:val="both"/>
        <w:rPr>
          <w:color w:val="221F1F"/>
        </w:rPr>
      </w:pPr>
      <w:r>
        <w:rPr>
          <w:color w:val="221F1F"/>
        </w:rPr>
        <w:t>Upon</w:t>
      </w:r>
      <w:r>
        <w:rPr>
          <w:color w:val="221F1F"/>
          <w:spacing w:val="-6"/>
        </w:rPr>
        <w:t xml:space="preserve"> </w:t>
      </w:r>
      <w:r>
        <w:rPr>
          <w:color w:val="221F1F"/>
        </w:rPr>
        <w:t>the</w:t>
      </w:r>
      <w:r>
        <w:rPr>
          <w:color w:val="221F1F"/>
          <w:spacing w:val="-7"/>
        </w:rPr>
        <w:t xml:space="preserve"> </w:t>
      </w:r>
      <w:r>
        <w:rPr>
          <w:color w:val="221F1F"/>
        </w:rPr>
        <w:t>issue</w:t>
      </w:r>
      <w:r>
        <w:rPr>
          <w:color w:val="221F1F"/>
          <w:spacing w:val="-5"/>
        </w:rPr>
        <w:t xml:space="preserve"> </w:t>
      </w:r>
      <w:r>
        <w:rPr>
          <w:color w:val="221F1F"/>
        </w:rPr>
        <w:t>of</w:t>
      </w:r>
      <w:r>
        <w:rPr>
          <w:color w:val="221F1F"/>
          <w:spacing w:val="-7"/>
        </w:rPr>
        <w:t xml:space="preserve"> </w:t>
      </w:r>
      <w:r>
        <w:rPr>
          <w:color w:val="221F1F"/>
        </w:rPr>
        <w:t>a</w:t>
      </w:r>
      <w:r>
        <w:rPr>
          <w:color w:val="221F1F"/>
          <w:spacing w:val="-5"/>
        </w:rPr>
        <w:t xml:space="preserve"> </w:t>
      </w:r>
      <w:r>
        <w:rPr>
          <w:color w:val="221F1F"/>
        </w:rPr>
        <w:t>Taking-Over</w:t>
      </w:r>
      <w:r>
        <w:rPr>
          <w:color w:val="221F1F"/>
          <w:spacing w:val="-4"/>
        </w:rPr>
        <w:t xml:space="preserve"> </w:t>
      </w:r>
      <w:r>
        <w:rPr>
          <w:color w:val="221F1F"/>
        </w:rPr>
        <w:t>Certificate,</w:t>
      </w:r>
      <w:r>
        <w:rPr>
          <w:color w:val="221F1F"/>
          <w:spacing w:val="-7"/>
        </w:rPr>
        <w:t xml:space="preserve"> </w:t>
      </w:r>
      <w:r>
        <w:rPr>
          <w:color w:val="221F1F"/>
        </w:rPr>
        <w:t>the</w:t>
      </w:r>
      <w:r>
        <w:rPr>
          <w:color w:val="221F1F"/>
          <w:spacing w:val="-5"/>
        </w:rPr>
        <w:t xml:space="preserve"> </w:t>
      </w:r>
      <w:r>
        <w:rPr>
          <w:color w:val="221F1F"/>
        </w:rPr>
        <w:t>Contractor</w:t>
      </w:r>
      <w:r>
        <w:rPr>
          <w:color w:val="221F1F"/>
          <w:spacing w:val="-6"/>
        </w:rPr>
        <w:t xml:space="preserve"> </w:t>
      </w:r>
      <w:r>
        <w:rPr>
          <w:color w:val="221F1F"/>
        </w:rPr>
        <w:t>shall</w:t>
      </w:r>
      <w:r>
        <w:rPr>
          <w:color w:val="221F1F"/>
          <w:spacing w:val="-4"/>
        </w:rPr>
        <w:t xml:space="preserve"> </w:t>
      </w:r>
      <w:r>
        <w:rPr>
          <w:color w:val="221F1F"/>
        </w:rPr>
        <w:t>clear</w:t>
      </w:r>
      <w:r>
        <w:rPr>
          <w:color w:val="221F1F"/>
          <w:spacing w:val="-7"/>
        </w:rPr>
        <w:t xml:space="preserve"> </w:t>
      </w:r>
      <w:r>
        <w:rPr>
          <w:color w:val="221F1F"/>
        </w:rPr>
        <w:t>away</w:t>
      </w:r>
      <w:r>
        <w:rPr>
          <w:color w:val="221F1F"/>
          <w:spacing w:val="-8"/>
        </w:rPr>
        <w:t xml:space="preserve"> </w:t>
      </w:r>
      <w:r>
        <w:rPr>
          <w:color w:val="221F1F"/>
        </w:rPr>
        <w:t>and</w:t>
      </w:r>
      <w:r>
        <w:rPr>
          <w:color w:val="221F1F"/>
          <w:spacing w:val="-8"/>
        </w:rPr>
        <w:t xml:space="preserve"> </w:t>
      </w:r>
      <w:r>
        <w:rPr>
          <w:color w:val="221F1F"/>
        </w:rPr>
        <w:t>remove,</w:t>
      </w:r>
      <w:r>
        <w:rPr>
          <w:color w:val="221F1F"/>
          <w:spacing w:val="-7"/>
        </w:rPr>
        <w:t xml:space="preserve"> </w:t>
      </w:r>
      <w:r>
        <w:rPr>
          <w:color w:val="221F1F"/>
        </w:rPr>
        <w:t>from</w:t>
      </w:r>
      <w:r>
        <w:rPr>
          <w:color w:val="221F1F"/>
          <w:spacing w:val="-7"/>
        </w:rPr>
        <w:t xml:space="preserve"> </w:t>
      </w:r>
      <w:r>
        <w:rPr>
          <w:color w:val="221F1F"/>
        </w:rPr>
        <w:t>that</w:t>
      </w:r>
      <w:r>
        <w:rPr>
          <w:color w:val="221F1F"/>
          <w:spacing w:val="-4"/>
        </w:rPr>
        <w:t xml:space="preserve"> </w:t>
      </w:r>
      <w:r>
        <w:rPr>
          <w:color w:val="221F1F"/>
        </w:rPr>
        <w:t>part of the Site and Works</w:t>
      </w:r>
      <w:r>
        <w:rPr>
          <w:color w:val="221F1F"/>
          <w:spacing w:val="-7"/>
        </w:rPr>
        <w:t xml:space="preserve"> </w:t>
      </w:r>
      <w:r>
        <w:rPr>
          <w:color w:val="221F1F"/>
        </w:rPr>
        <w:t>to which the Taking-Over Certificate</w:t>
      </w:r>
      <w:r>
        <w:rPr>
          <w:color w:val="221F1F"/>
          <w:spacing w:val="-1"/>
        </w:rPr>
        <w:t xml:space="preserve"> </w:t>
      </w:r>
      <w:r>
        <w:rPr>
          <w:color w:val="221F1F"/>
        </w:rPr>
        <w:t>refers, all Contractor's Equipment, surplus material, wreckage,</w:t>
      </w:r>
      <w:r>
        <w:rPr>
          <w:color w:val="221F1F"/>
          <w:spacing w:val="-2"/>
        </w:rPr>
        <w:t xml:space="preserve"> </w:t>
      </w:r>
      <w:r>
        <w:rPr>
          <w:color w:val="221F1F"/>
        </w:rPr>
        <w:t>rubbish</w:t>
      </w:r>
      <w:r>
        <w:rPr>
          <w:color w:val="221F1F"/>
          <w:spacing w:val="-2"/>
        </w:rPr>
        <w:t xml:space="preserve"> </w:t>
      </w:r>
      <w:r>
        <w:rPr>
          <w:color w:val="221F1F"/>
        </w:rPr>
        <w:t>and Temporary</w:t>
      </w:r>
      <w:r>
        <w:rPr>
          <w:color w:val="221F1F"/>
          <w:spacing w:val="-3"/>
        </w:rPr>
        <w:t xml:space="preserve"> </w:t>
      </w:r>
      <w:r>
        <w:rPr>
          <w:color w:val="221F1F"/>
        </w:rPr>
        <w:t>Works.</w:t>
      </w:r>
      <w:r>
        <w:rPr>
          <w:color w:val="221F1F"/>
          <w:spacing w:val="-8"/>
        </w:rPr>
        <w:t xml:space="preserve"> </w:t>
      </w:r>
      <w:r>
        <w:rPr>
          <w:color w:val="221F1F"/>
        </w:rPr>
        <w:t>The Contractor</w:t>
      </w:r>
      <w:r>
        <w:rPr>
          <w:color w:val="221F1F"/>
          <w:spacing w:val="-2"/>
        </w:rPr>
        <w:t xml:space="preserve"> </w:t>
      </w:r>
      <w:r>
        <w:rPr>
          <w:color w:val="221F1F"/>
        </w:rPr>
        <w:t>shall leave</w:t>
      </w:r>
      <w:r>
        <w:rPr>
          <w:color w:val="221F1F"/>
          <w:spacing w:val="-3"/>
        </w:rPr>
        <w:t xml:space="preserve"> </w:t>
      </w:r>
      <w:r>
        <w:rPr>
          <w:color w:val="221F1F"/>
        </w:rPr>
        <w:t>that part</w:t>
      </w:r>
      <w:r>
        <w:rPr>
          <w:color w:val="221F1F"/>
          <w:spacing w:val="-2"/>
        </w:rPr>
        <w:t xml:space="preserve"> </w:t>
      </w:r>
      <w:r>
        <w:rPr>
          <w:color w:val="221F1F"/>
        </w:rPr>
        <w:t>of</w:t>
      </w:r>
      <w:r>
        <w:rPr>
          <w:color w:val="221F1F"/>
          <w:spacing w:val="-2"/>
        </w:rPr>
        <w:t xml:space="preserve"> </w:t>
      </w:r>
      <w:r>
        <w:rPr>
          <w:color w:val="221F1F"/>
        </w:rPr>
        <w:t>the Site and the</w:t>
      </w:r>
      <w:r>
        <w:rPr>
          <w:color w:val="221F1F"/>
          <w:spacing w:val="-8"/>
        </w:rPr>
        <w:t xml:space="preserve"> </w:t>
      </w:r>
      <w:r>
        <w:rPr>
          <w:color w:val="221F1F"/>
        </w:rPr>
        <w:t>Works</w:t>
      </w:r>
      <w:r>
        <w:rPr>
          <w:color w:val="221F1F"/>
          <w:spacing w:val="-14"/>
        </w:rPr>
        <w:t xml:space="preserve"> </w:t>
      </w:r>
      <w:r>
        <w:rPr>
          <w:color w:val="221F1F"/>
        </w:rPr>
        <w:t>in</w:t>
      </w:r>
      <w:r>
        <w:rPr>
          <w:color w:val="221F1F"/>
          <w:spacing w:val="-7"/>
        </w:rPr>
        <w:t xml:space="preserve"> </w:t>
      </w:r>
      <w:r>
        <w:rPr>
          <w:color w:val="221F1F"/>
        </w:rPr>
        <w:t>a</w:t>
      </w:r>
      <w:r>
        <w:rPr>
          <w:color w:val="221F1F"/>
          <w:spacing w:val="-9"/>
        </w:rPr>
        <w:t xml:space="preserve"> </w:t>
      </w:r>
      <w:r>
        <w:rPr>
          <w:color w:val="221F1F"/>
        </w:rPr>
        <w:t>clean</w:t>
      </w:r>
      <w:r>
        <w:rPr>
          <w:color w:val="221F1F"/>
          <w:spacing w:val="-10"/>
        </w:rPr>
        <w:t xml:space="preserve"> </w:t>
      </w:r>
      <w:r>
        <w:rPr>
          <w:color w:val="221F1F"/>
        </w:rPr>
        <w:t>and</w:t>
      </w:r>
      <w:r>
        <w:rPr>
          <w:color w:val="221F1F"/>
          <w:spacing w:val="-7"/>
        </w:rPr>
        <w:t xml:space="preserve"> </w:t>
      </w:r>
      <w:r>
        <w:rPr>
          <w:color w:val="221F1F"/>
        </w:rPr>
        <w:t>safe</w:t>
      </w:r>
      <w:r>
        <w:rPr>
          <w:color w:val="221F1F"/>
          <w:spacing w:val="-7"/>
        </w:rPr>
        <w:t xml:space="preserve"> </w:t>
      </w:r>
      <w:r>
        <w:rPr>
          <w:color w:val="221F1F"/>
        </w:rPr>
        <w:t>condition.</w:t>
      </w:r>
      <w:r>
        <w:rPr>
          <w:color w:val="221F1F"/>
          <w:spacing w:val="-10"/>
        </w:rPr>
        <w:t xml:space="preserve"> </w:t>
      </w:r>
      <w:r>
        <w:rPr>
          <w:color w:val="221F1F"/>
        </w:rPr>
        <w:t>However,</w:t>
      </w:r>
      <w:r>
        <w:rPr>
          <w:color w:val="221F1F"/>
          <w:spacing w:val="-7"/>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may</w:t>
      </w:r>
      <w:r>
        <w:rPr>
          <w:color w:val="221F1F"/>
          <w:spacing w:val="-9"/>
        </w:rPr>
        <w:t xml:space="preserve"> </w:t>
      </w:r>
      <w:r>
        <w:rPr>
          <w:color w:val="221F1F"/>
        </w:rPr>
        <w:t>retain</w:t>
      </w:r>
      <w:r>
        <w:rPr>
          <w:color w:val="221F1F"/>
          <w:spacing w:val="-7"/>
        </w:rPr>
        <w:t xml:space="preserve"> </w:t>
      </w:r>
      <w:r>
        <w:rPr>
          <w:color w:val="221F1F"/>
        </w:rPr>
        <w:t>on</w:t>
      </w:r>
      <w:r>
        <w:rPr>
          <w:color w:val="221F1F"/>
          <w:spacing w:val="-10"/>
        </w:rPr>
        <w:t xml:space="preserve"> </w:t>
      </w:r>
      <w:r>
        <w:rPr>
          <w:color w:val="221F1F"/>
        </w:rPr>
        <w:t>Site,</w:t>
      </w:r>
      <w:r>
        <w:rPr>
          <w:color w:val="221F1F"/>
          <w:spacing w:val="-7"/>
        </w:rPr>
        <w:t xml:space="preserve"> </w:t>
      </w:r>
      <w:r>
        <w:rPr>
          <w:color w:val="221F1F"/>
        </w:rPr>
        <w:t>during</w:t>
      </w:r>
      <w:r>
        <w:rPr>
          <w:color w:val="221F1F"/>
          <w:spacing w:val="-10"/>
        </w:rPr>
        <w:t xml:space="preserve"> </w:t>
      </w:r>
      <w:r>
        <w:rPr>
          <w:color w:val="221F1F"/>
        </w:rPr>
        <w:t>the</w:t>
      </w:r>
      <w:r>
        <w:rPr>
          <w:color w:val="221F1F"/>
          <w:spacing w:val="-7"/>
        </w:rPr>
        <w:t xml:space="preserve"> </w:t>
      </w:r>
      <w:r>
        <w:rPr>
          <w:color w:val="221F1F"/>
        </w:rPr>
        <w:t xml:space="preserve">Defects Notification Period, such Goods as are required for the Contractor to fulfil obligations under the </w:t>
      </w:r>
      <w:r>
        <w:rPr>
          <w:color w:val="221F1F"/>
          <w:spacing w:val="-2"/>
        </w:rPr>
        <w:t>Contract.</w:t>
      </w:r>
    </w:p>
    <w:p w:rsidR="007F6DF9" w:rsidRDefault="00A43FBC">
      <w:pPr>
        <w:pStyle w:val="Heading9"/>
        <w:numPr>
          <w:ilvl w:val="1"/>
          <w:numId w:val="122"/>
        </w:numPr>
        <w:tabs>
          <w:tab w:val="left" w:pos="1380"/>
        </w:tabs>
        <w:spacing w:before="123"/>
        <w:ind w:left="1380" w:hanging="667"/>
        <w:jc w:val="both"/>
        <w:rPr>
          <w:color w:val="221F1F"/>
        </w:rPr>
      </w:pPr>
      <w:r>
        <w:rPr>
          <w:color w:val="221F1F"/>
          <w:spacing w:val="-2"/>
        </w:rPr>
        <w:t>Fossils</w:t>
      </w:r>
    </w:p>
    <w:p w:rsidR="007F6DF9" w:rsidRDefault="007F6DF9">
      <w:pPr>
        <w:pStyle w:val="BodyText"/>
        <w:spacing w:before="50"/>
        <w:rPr>
          <w:b/>
        </w:rPr>
      </w:pPr>
    </w:p>
    <w:p w:rsidR="007F6DF9" w:rsidRDefault="00A43FBC">
      <w:pPr>
        <w:pStyle w:val="ListParagraph"/>
        <w:numPr>
          <w:ilvl w:val="2"/>
          <w:numId w:val="122"/>
        </w:numPr>
        <w:tabs>
          <w:tab w:val="left" w:pos="1375"/>
          <w:tab w:val="left" w:pos="1390"/>
        </w:tabs>
        <w:spacing w:line="230" w:lineRule="auto"/>
        <w:ind w:left="1390" w:right="560" w:hanging="678"/>
        <w:jc w:val="both"/>
        <w:rPr>
          <w:color w:val="221F1F"/>
        </w:rPr>
      </w:pPr>
      <w:r>
        <w:rPr>
          <w:color w:val="221F1F"/>
        </w:rPr>
        <w:t>All fossils, coins, articles of value or antiquity, and structures and other remains or items of geological or archaeological</w:t>
      </w:r>
      <w:r>
        <w:rPr>
          <w:color w:val="221F1F"/>
          <w:spacing w:val="-5"/>
        </w:rPr>
        <w:t xml:space="preserve"> </w:t>
      </w:r>
      <w:r>
        <w:rPr>
          <w:color w:val="221F1F"/>
        </w:rPr>
        <w:t>interest</w:t>
      </w:r>
      <w:r>
        <w:rPr>
          <w:color w:val="221F1F"/>
          <w:spacing w:val="-4"/>
        </w:rPr>
        <w:t xml:space="preserve"> </w:t>
      </w:r>
      <w:r>
        <w:rPr>
          <w:color w:val="221F1F"/>
        </w:rPr>
        <w:t>found</w:t>
      </w:r>
      <w:r>
        <w:rPr>
          <w:color w:val="221F1F"/>
          <w:spacing w:val="-3"/>
        </w:rPr>
        <w:t xml:space="preserve"> </w:t>
      </w:r>
      <w:r>
        <w:rPr>
          <w:color w:val="221F1F"/>
        </w:rPr>
        <w:t>on</w:t>
      </w:r>
      <w:r>
        <w:rPr>
          <w:color w:val="221F1F"/>
          <w:spacing w:val="-6"/>
        </w:rPr>
        <w:t xml:space="preserve"> </w:t>
      </w:r>
      <w:r>
        <w:rPr>
          <w:color w:val="221F1F"/>
        </w:rPr>
        <w:t>the</w:t>
      </w:r>
      <w:r>
        <w:rPr>
          <w:color w:val="221F1F"/>
          <w:spacing w:val="-5"/>
        </w:rPr>
        <w:t xml:space="preserve"> </w:t>
      </w:r>
      <w:r>
        <w:rPr>
          <w:color w:val="221F1F"/>
        </w:rPr>
        <w:t>Site</w:t>
      </w:r>
      <w:r>
        <w:rPr>
          <w:color w:val="221F1F"/>
          <w:spacing w:val="-5"/>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placed</w:t>
      </w:r>
      <w:r>
        <w:rPr>
          <w:color w:val="221F1F"/>
          <w:spacing w:val="-3"/>
        </w:rPr>
        <w:t xml:space="preserve"> </w:t>
      </w:r>
      <w:r>
        <w:rPr>
          <w:color w:val="221F1F"/>
        </w:rPr>
        <w:t>under</w:t>
      </w:r>
      <w:r>
        <w:rPr>
          <w:color w:val="221F1F"/>
          <w:spacing w:val="-5"/>
        </w:rPr>
        <w:t xml:space="preserve"> </w:t>
      </w:r>
      <w:r>
        <w:rPr>
          <w:color w:val="221F1F"/>
        </w:rPr>
        <w:t>the</w:t>
      </w:r>
      <w:r>
        <w:rPr>
          <w:color w:val="221F1F"/>
          <w:spacing w:val="-5"/>
        </w:rPr>
        <w:t xml:space="preserve"> </w:t>
      </w:r>
      <w:r>
        <w:rPr>
          <w:color w:val="221F1F"/>
        </w:rPr>
        <w:t>care</w:t>
      </w:r>
      <w:r>
        <w:rPr>
          <w:color w:val="221F1F"/>
          <w:spacing w:val="-5"/>
        </w:rPr>
        <w:t xml:space="preserve"> </w:t>
      </w:r>
      <w:r>
        <w:rPr>
          <w:color w:val="221F1F"/>
        </w:rPr>
        <w:t>and</w:t>
      </w:r>
      <w:r>
        <w:rPr>
          <w:color w:val="221F1F"/>
          <w:spacing w:val="-5"/>
        </w:rPr>
        <w:t xml:space="preserve"> </w:t>
      </w:r>
      <w:r>
        <w:rPr>
          <w:color w:val="221F1F"/>
        </w:rPr>
        <w:t>authority</w:t>
      </w:r>
      <w:r>
        <w:rPr>
          <w:color w:val="221F1F"/>
          <w:spacing w:val="-6"/>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Procuring Entity. The Contractor shall take reasonable precautions to prevent Contractor's Personnel or other persons from removing or damaging any of these findings.</w:t>
      </w:r>
    </w:p>
    <w:p w:rsidR="007F6DF9" w:rsidRDefault="007F6DF9">
      <w:pPr>
        <w:pStyle w:val="BodyText"/>
        <w:spacing w:before="108"/>
      </w:pPr>
    </w:p>
    <w:p w:rsidR="007F6DF9" w:rsidRDefault="00A43FBC">
      <w:pPr>
        <w:pStyle w:val="ListParagraph"/>
        <w:numPr>
          <w:ilvl w:val="2"/>
          <w:numId w:val="122"/>
        </w:numPr>
        <w:tabs>
          <w:tab w:val="left" w:pos="1375"/>
          <w:tab w:val="left" w:pos="1390"/>
        </w:tabs>
        <w:spacing w:line="230" w:lineRule="auto"/>
        <w:ind w:left="1390" w:right="561" w:hanging="678"/>
        <w:jc w:val="both"/>
        <w:rPr>
          <w:color w:val="221F1F"/>
        </w:rPr>
      </w:pPr>
      <w:r>
        <w:rPr>
          <w:color w:val="221F1F"/>
        </w:rPr>
        <w:t>The Contractor shall, upon discovery of any such finding, promptly give notice to the Engineer, who shall issue</w:t>
      </w:r>
      <w:r>
        <w:rPr>
          <w:color w:val="221F1F"/>
          <w:spacing w:val="-1"/>
        </w:rPr>
        <w:t xml:space="preserve"> </w:t>
      </w:r>
      <w:r>
        <w:rPr>
          <w:color w:val="221F1F"/>
        </w:rPr>
        <w:t>instructions</w:t>
      </w:r>
      <w:r>
        <w:rPr>
          <w:color w:val="221F1F"/>
          <w:spacing w:val="-1"/>
        </w:rPr>
        <w:t xml:space="preserve"> </w:t>
      </w:r>
      <w:r>
        <w:rPr>
          <w:color w:val="221F1F"/>
        </w:rPr>
        <w:t>for</w:t>
      </w:r>
      <w:r>
        <w:rPr>
          <w:color w:val="221F1F"/>
          <w:spacing w:val="-1"/>
        </w:rPr>
        <w:t xml:space="preserve"> </w:t>
      </w:r>
      <w:r>
        <w:rPr>
          <w:color w:val="221F1F"/>
        </w:rPr>
        <w:t>dealing</w:t>
      </w:r>
      <w:r>
        <w:rPr>
          <w:color w:val="221F1F"/>
          <w:spacing w:val="-1"/>
        </w:rPr>
        <w:t xml:space="preserve"> </w:t>
      </w:r>
      <w:r>
        <w:rPr>
          <w:color w:val="221F1F"/>
        </w:rPr>
        <w:t>with</w:t>
      </w:r>
      <w:r>
        <w:rPr>
          <w:color w:val="221F1F"/>
          <w:spacing w:val="-1"/>
        </w:rPr>
        <w:t xml:space="preserve"> </w:t>
      </w:r>
      <w:r>
        <w:rPr>
          <w:color w:val="221F1F"/>
        </w:rPr>
        <w:t>it.</w:t>
      </w:r>
      <w:r>
        <w:rPr>
          <w:color w:val="221F1F"/>
          <w:spacing w:val="-1"/>
        </w:rPr>
        <w:t xml:space="preserve"> </w:t>
      </w:r>
      <w:r>
        <w:rPr>
          <w:color w:val="221F1F"/>
        </w:rPr>
        <w:t>If</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suffers</w:t>
      </w:r>
      <w:r>
        <w:rPr>
          <w:color w:val="221F1F"/>
          <w:spacing w:val="-1"/>
        </w:rPr>
        <w:t xml:space="preserve"> </w:t>
      </w:r>
      <w:r>
        <w:rPr>
          <w:color w:val="221F1F"/>
        </w:rPr>
        <w:t>delay</w:t>
      </w:r>
      <w:r>
        <w:rPr>
          <w:color w:val="221F1F"/>
          <w:spacing w:val="-1"/>
        </w:rPr>
        <w:t xml:space="preserve"> </w:t>
      </w:r>
      <w:r>
        <w:rPr>
          <w:color w:val="221F1F"/>
        </w:rPr>
        <w:t>and/or</w:t>
      </w:r>
      <w:r>
        <w:rPr>
          <w:color w:val="221F1F"/>
          <w:spacing w:val="-1"/>
        </w:rPr>
        <w:t xml:space="preserve"> </w:t>
      </w:r>
      <w:r>
        <w:rPr>
          <w:color w:val="221F1F"/>
        </w:rPr>
        <w:t>incurs</w:t>
      </w:r>
      <w:r>
        <w:rPr>
          <w:color w:val="221F1F"/>
          <w:spacing w:val="-3"/>
        </w:rPr>
        <w:t xml:space="preserve"> </w:t>
      </w:r>
      <w:r>
        <w:rPr>
          <w:color w:val="221F1F"/>
        </w:rPr>
        <w:t>Cost from complying</w:t>
      </w:r>
      <w:r>
        <w:rPr>
          <w:color w:val="221F1F"/>
          <w:spacing w:val="-1"/>
        </w:rPr>
        <w:t xml:space="preserve"> </w:t>
      </w:r>
      <w:r>
        <w:rPr>
          <w:color w:val="221F1F"/>
        </w:rPr>
        <w:t>with the</w:t>
      </w:r>
      <w:r>
        <w:rPr>
          <w:color w:val="221F1F"/>
          <w:spacing w:val="-8"/>
        </w:rPr>
        <w:t xml:space="preserve"> </w:t>
      </w:r>
      <w:r>
        <w:rPr>
          <w:color w:val="221F1F"/>
        </w:rPr>
        <w:t>instructions,</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shall</w:t>
      </w:r>
      <w:r>
        <w:rPr>
          <w:color w:val="221F1F"/>
          <w:spacing w:val="-8"/>
        </w:rPr>
        <w:t xml:space="preserve"> </w:t>
      </w:r>
      <w:r>
        <w:rPr>
          <w:color w:val="221F1F"/>
        </w:rPr>
        <w:t>give</w:t>
      </w:r>
      <w:r>
        <w:rPr>
          <w:color w:val="221F1F"/>
          <w:spacing w:val="-8"/>
        </w:rPr>
        <w:t xml:space="preserve"> </w:t>
      </w:r>
      <w:r>
        <w:rPr>
          <w:color w:val="221F1F"/>
        </w:rPr>
        <w:t>a</w:t>
      </w:r>
      <w:r>
        <w:rPr>
          <w:color w:val="221F1F"/>
          <w:spacing w:val="-11"/>
        </w:rPr>
        <w:t xml:space="preserve"> </w:t>
      </w:r>
      <w:r>
        <w:rPr>
          <w:color w:val="221F1F"/>
        </w:rPr>
        <w:t>further</w:t>
      </w:r>
      <w:r>
        <w:rPr>
          <w:color w:val="221F1F"/>
          <w:spacing w:val="-8"/>
        </w:rPr>
        <w:t xml:space="preserve"> </w:t>
      </w:r>
      <w:r>
        <w:rPr>
          <w:color w:val="221F1F"/>
        </w:rPr>
        <w:t>notice</w:t>
      </w:r>
      <w:r>
        <w:rPr>
          <w:color w:val="221F1F"/>
          <w:spacing w:val="-8"/>
        </w:rPr>
        <w:t xml:space="preserve"> </w:t>
      </w:r>
      <w:r>
        <w:rPr>
          <w:color w:val="221F1F"/>
        </w:rPr>
        <w:t>to</w:t>
      </w:r>
      <w:r>
        <w:rPr>
          <w:color w:val="221F1F"/>
          <w:spacing w:val="-9"/>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and</w:t>
      </w:r>
      <w:r>
        <w:rPr>
          <w:color w:val="221F1F"/>
          <w:spacing w:val="-8"/>
        </w:rPr>
        <w:t xml:space="preserve"> </w:t>
      </w:r>
      <w:r>
        <w:rPr>
          <w:color w:val="221F1F"/>
        </w:rPr>
        <w:t>shall</w:t>
      </w:r>
      <w:r>
        <w:rPr>
          <w:color w:val="221F1F"/>
          <w:spacing w:val="-10"/>
        </w:rPr>
        <w:t xml:space="preserve"> </w:t>
      </w:r>
      <w:r>
        <w:rPr>
          <w:color w:val="221F1F"/>
        </w:rPr>
        <w:t>be</w:t>
      </w:r>
      <w:r>
        <w:rPr>
          <w:color w:val="221F1F"/>
          <w:spacing w:val="-8"/>
        </w:rPr>
        <w:t xml:space="preserve"> </w:t>
      </w:r>
      <w:r>
        <w:rPr>
          <w:color w:val="221F1F"/>
        </w:rPr>
        <w:t>entitled</w:t>
      </w:r>
      <w:r>
        <w:rPr>
          <w:color w:val="221F1F"/>
          <w:spacing w:val="-8"/>
        </w:rPr>
        <w:t xml:space="preserve"> </w:t>
      </w:r>
      <w:r>
        <w:rPr>
          <w:color w:val="221F1F"/>
        </w:rPr>
        <w:t>subject</w:t>
      </w:r>
      <w:r>
        <w:rPr>
          <w:color w:val="221F1F"/>
          <w:spacing w:val="-10"/>
        </w:rPr>
        <w:t xml:space="preserve"> </w:t>
      </w:r>
      <w:r>
        <w:rPr>
          <w:color w:val="221F1F"/>
        </w:rPr>
        <w:t>to</w:t>
      </w:r>
      <w:r>
        <w:rPr>
          <w:color w:val="221F1F"/>
          <w:spacing w:val="-9"/>
        </w:rPr>
        <w:t xml:space="preserve"> </w:t>
      </w:r>
      <w:r>
        <w:rPr>
          <w:color w:val="221F1F"/>
        </w:rPr>
        <w:t>Sub-Clause 20.1 [Contractor's Claims] to:</w:t>
      </w:r>
    </w:p>
    <w:p w:rsidR="007F6DF9" w:rsidRDefault="00A43FBC">
      <w:pPr>
        <w:pStyle w:val="ListParagraph"/>
        <w:numPr>
          <w:ilvl w:val="0"/>
          <w:numId w:val="36"/>
        </w:numPr>
        <w:tabs>
          <w:tab w:val="left" w:pos="1882"/>
        </w:tabs>
        <w:spacing w:before="58" w:line="230" w:lineRule="auto"/>
        <w:ind w:right="1016"/>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36"/>
        </w:numPr>
        <w:tabs>
          <w:tab w:val="left" w:pos="1885"/>
        </w:tabs>
        <w:spacing w:line="239" w:lineRule="exact"/>
        <w:ind w:left="1885" w:hanging="507"/>
        <w:jc w:val="both"/>
      </w:pPr>
      <w:r>
        <w:rPr>
          <w:color w:val="221F1F"/>
        </w:rPr>
        <w:t>payment</w:t>
      </w:r>
      <w:r>
        <w:rPr>
          <w:color w:val="221F1F"/>
          <w:spacing w:val="-4"/>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such</w:t>
      </w:r>
      <w:r>
        <w:rPr>
          <w:color w:val="221F1F"/>
          <w:spacing w:val="-1"/>
        </w:rPr>
        <w:t xml:space="preserve"> </w:t>
      </w:r>
      <w:r>
        <w:rPr>
          <w:color w:val="221F1F"/>
        </w:rPr>
        <w:t>Cost,</w:t>
      </w:r>
      <w:r>
        <w:rPr>
          <w:color w:val="221F1F"/>
          <w:spacing w:val="-5"/>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2"/>
        </w:rPr>
        <w:t>Price.</w:t>
      </w:r>
    </w:p>
    <w:p w:rsidR="007F6DF9" w:rsidRDefault="00A43FBC">
      <w:pPr>
        <w:pStyle w:val="BodyText"/>
        <w:spacing w:before="6" w:line="230" w:lineRule="auto"/>
        <w:ind w:left="1882" w:right="1047" w:firstLine="4"/>
        <w:jc w:val="both"/>
      </w:pPr>
      <w:r>
        <w:rPr>
          <w:color w:val="221F1F"/>
        </w:rPr>
        <w:t>After</w:t>
      </w:r>
      <w:r>
        <w:rPr>
          <w:color w:val="221F1F"/>
          <w:spacing w:val="-1"/>
        </w:rPr>
        <w:t xml:space="preserve"> </w:t>
      </w:r>
      <w:r>
        <w:rPr>
          <w:color w:val="221F1F"/>
        </w:rPr>
        <w:t>receiving</w:t>
      </w:r>
      <w:r>
        <w:rPr>
          <w:color w:val="221F1F"/>
          <w:spacing w:val="-1"/>
        </w:rPr>
        <w:t xml:space="preserve"> </w:t>
      </w:r>
      <w:r>
        <w:rPr>
          <w:color w:val="221F1F"/>
        </w:rPr>
        <w:t>this</w:t>
      </w:r>
      <w:r>
        <w:rPr>
          <w:color w:val="221F1F"/>
          <w:spacing w:val="-3"/>
        </w:rPr>
        <w:t xml:space="preserve"> </w:t>
      </w:r>
      <w:r>
        <w:rPr>
          <w:color w:val="221F1F"/>
        </w:rPr>
        <w:t>further</w:t>
      </w:r>
      <w:r>
        <w:rPr>
          <w:color w:val="221F1F"/>
          <w:spacing w:val="-3"/>
        </w:rPr>
        <w:t xml:space="preserve"> </w:t>
      </w:r>
      <w:r>
        <w:rPr>
          <w:color w:val="221F1F"/>
        </w:rPr>
        <w:t>notice,</w:t>
      </w:r>
      <w:r>
        <w:rPr>
          <w:color w:val="221F1F"/>
          <w:spacing w:val="-4"/>
        </w:rPr>
        <w:t xml:space="preserve"> </w:t>
      </w:r>
      <w:r>
        <w:rPr>
          <w:color w:val="221F1F"/>
        </w:rPr>
        <w:t>the</w:t>
      </w:r>
      <w:r>
        <w:rPr>
          <w:color w:val="221F1F"/>
          <w:spacing w:val="-1"/>
        </w:rPr>
        <w:t xml:space="preserve"> </w:t>
      </w:r>
      <w:r>
        <w:rPr>
          <w:color w:val="221F1F"/>
        </w:rPr>
        <w:t>Architect</w:t>
      </w:r>
      <w:r>
        <w:rPr>
          <w:color w:val="221F1F"/>
          <w:spacing w:val="-3"/>
        </w:rPr>
        <w:t xml:space="preserve"> </w:t>
      </w:r>
      <w:r>
        <w:rPr>
          <w:color w:val="221F1F"/>
        </w:rPr>
        <w:t>shall 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Sub-Clause</w:t>
      </w:r>
      <w:r>
        <w:rPr>
          <w:color w:val="221F1F"/>
          <w:spacing w:val="-3"/>
        </w:rPr>
        <w:t xml:space="preserve"> </w:t>
      </w:r>
      <w:r>
        <w:rPr>
          <w:color w:val="221F1F"/>
        </w:rPr>
        <w:t>3.5 [Determinations] to agree or determine these matters.</w:t>
      </w:r>
    </w:p>
    <w:p w:rsidR="007F6DF9" w:rsidRDefault="00A43FBC">
      <w:pPr>
        <w:pStyle w:val="Heading8"/>
        <w:numPr>
          <w:ilvl w:val="0"/>
          <w:numId w:val="122"/>
        </w:numPr>
        <w:tabs>
          <w:tab w:val="left" w:pos="1378"/>
        </w:tabs>
        <w:spacing w:before="235"/>
        <w:ind w:left="1378" w:hanging="665"/>
      </w:pPr>
      <w:bookmarkStart w:id="57" w:name="_bookmark55"/>
      <w:bookmarkEnd w:id="57"/>
      <w:r>
        <w:rPr>
          <w:color w:val="221F1F"/>
        </w:rPr>
        <w:t>NOMINATED</w:t>
      </w:r>
      <w:r>
        <w:rPr>
          <w:color w:val="221F1F"/>
          <w:spacing w:val="-9"/>
        </w:rPr>
        <w:t xml:space="preserve"> </w:t>
      </w:r>
      <w:r>
        <w:rPr>
          <w:color w:val="221F1F"/>
          <w:spacing w:val="-2"/>
        </w:rPr>
        <w:t>SUBCONTRACTORS</w:t>
      </w:r>
    </w:p>
    <w:p w:rsidR="007F6DF9" w:rsidRDefault="00A43FBC">
      <w:pPr>
        <w:pStyle w:val="Heading9"/>
        <w:numPr>
          <w:ilvl w:val="1"/>
          <w:numId w:val="122"/>
        </w:numPr>
        <w:tabs>
          <w:tab w:val="left" w:pos="1378"/>
        </w:tabs>
        <w:spacing w:before="235"/>
        <w:ind w:left="1378" w:hanging="665"/>
        <w:rPr>
          <w:color w:val="221F1F"/>
        </w:rPr>
      </w:pPr>
      <w:r>
        <w:rPr>
          <w:color w:val="221F1F"/>
        </w:rPr>
        <w:t>Definition</w:t>
      </w:r>
      <w:r>
        <w:rPr>
          <w:color w:val="221F1F"/>
          <w:spacing w:val="-10"/>
        </w:rPr>
        <w:t xml:space="preserve"> </w:t>
      </w:r>
      <w:r>
        <w:rPr>
          <w:color w:val="221F1F"/>
        </w:rPr>
        <w:t>of</w:t>
      </w:r>
      <w:r>
        <w:rPr>
          <w:color w:val="221F1F"/>
          <w:spacing w:val="-9"/>
        </w:rPr>
        <w:t xml:space="preserve"> </w:t>
      </w:r>
      <w:r>
        <w:rPr>
          <w:color w:val="221F1F"/>
        </w:rPr>
        <w:t>“nominated</w:t>
      </w:r>
      <w:r>
        <w:rPr>
          <w:color w:val="221F1F"/>
          <w:spacing w:val="-10"/>
        </w:rPr>
        <w:t xml:space="preserve"> </w:t>
      </w:r>
      <w:r>
        <w:rPr>
          <w:color w:val="221F1F"/>
          <w:spacing w:val="-2"/>
        </w:rPr>
        <w:t>Subcontractor”</w:t>
      </w:r>
    </w:p>
    <w:p w:rsidR="007F6DF9" w:rsidRDefault="00A43FBC">
      <w:pPr>
        <w:pStyle w:val="BodyText"/>
        <w:spacing w:before="40"/>
        <w:ind w:left="1378"/>
      </w:pPr>
      <w:r>
        <w:rPr>
          <w:color w:val="221F1F"/>
        </w:rPr>
        <w:t>In</w:t>
      </w:r>
      <w:r>
        <w:rPr>
          <w:color w:val="221F1F"/>
          <w:spacing w:val="-7"/>
        </w:rPr>
        <w:t xml:space="preserve"> </w:t>
      </w:r>
      <w:r>
        <w:rPr>
          <w:color w:val="221F1F"/>
        </w:rPr>
        <w:t>this</w:t>
      </w:r>
      <w:r>
        <w:rPr>
          <w:color w:val="221F1F"/>
          <w:spacing w:val="-4"/>
        </w:rPr>
        <w:t xml:space="preserve"> </w:t>
      </w:r>
      <w:r>
        <w:rPr>
          <w:color w:val="221F1F"/>
        </w:rPr>
        <w:t>Contract,</w:t>
      </w:r>
      <w:r>
        <w:rPr>
          <w:color w:val="221F1F"/>
          <w:spacing w:val="-4"/>
        </w:rPr>
        <w:t xml:space="preserve"> </w:t>
      </w:r>
      <w:r>
        <w:rPr>
          <w:color w:val="221F1F"/>
        </w:rPr>
        <w:t>“nominated</w:t>
      </w:r>
      <w:r>
        <w:rPr>
          <w:color w:val="221F1F"/>
          <w:spacing w:val="-4"/>
        </w:rPr>
        <w:t xml:space="preserve"> </w:t>
      </w:r>
      <w:r>
        <w:rPr>
          <w:color w:val="221F1F"/>
        </w:rPr>
        <w:t>Subcontractor”</w:t>
      </w:r>
      <w:r>
        <w:rPr>
          <w:color w:val="221F1F"/>
          <w:spacing w:val="-6"/>
        </w:rPr>
        <w:t xml:space="preserve"> </w:t>
      </w:r>
      <w:r>
        <w:rPr>
          <w:color w:val="221F1F"/>
        </w:rPr>
        <w:t>means</w:t>
      </w:r>
      <w:r>
        <w:rPr>
          <w:color w:val="221F1F"/>
          <w:spacing w:val="-5"/>
        </w:rPr>
        <w:t xml:space="preserve"> </w:t>
      </w:r>
      <w:r>
        <w:rPr>
          <w:color w:val="221F1F"/>
        </w:rPr>
        <w:t>a</w:t>
      </w:r>
      <w:r>
        <w:rPr>
          <w:color w:val="221F1F"/>
          <w:spacing w:val="-4"/>
        </w:rPr>
        <w:t xml:space="preserve"> </w:t>
      </w:r>
      <w:r>
        <w:rPr>
          <w:color w:val="221F1F"/>
          <w:spacing w:val="-2"/>
        </w:rPr>
        <w:t>Subcontractor:</w:t>
      </w:r>
    </w:p>
    <w:p w:rsidR="007F6DF9" w:rsidRDefault="00A43FBC">
      <w:pPr>
        <w:pStyle w:val="ListParagraph"/>
        <w:numPr>
          <w:ilvl w:val="0"/>
          <w:numId w:val="109"/>
        </w:numPr>
        <w:tabs>
          <w:tab w:val="left" w:pos="1887"/>
        </w:tabs>
        <w:spacing w:before="40"/>
      </w:pPr>
      <w:r>
        <w:rPr>
          <w:color w:val="221F1F"/>
        </w:rPr>
        <w:t>Who</w:t>
      </w:r>
      <w:r>
        <w:rPr>
          <w:color w:val="221F1F"/>
          <w:spacing w:val="-6"/>
        </w:rPr>
        <w:t xml:space="preserve"> </w:t>
      </w:r>
      <w:r>
        <w:rPr>
          <w:color w:val="221F1F"/>
        </w:rPr>
        <w:t>is</w:t>
      </w:r>
      <w:r>
        <w:rPr>
          <w:color w:val="221F1F"/>
          <w:spacing w:val="-5"/>
        </w:rPr>
        <w:t xml:space="preserve"> </w:t>
      </w:r>
      <w:r>
        <w:rPr>
          <w:color w:val="221F1F"/>
        </w:rPr>
        <w:t>nominated</w:t>
      </w:r>
      <w:r>
        <w:rPr>
          <w:color w:val="221F1F"/>
          <w:spacing w:val="-5"/>
        </w:rPr>
        <w:t xml:space="preserve"> </w:t>
      </w:r>
      <w:r>
        <w:rPr>
          <w:color w:val="221F1F"/>
        </w:rPr>
        <w:t>by</w:t>
      </w:r>
      <w:r>
        <w:rPr>
          <w:color w:val="221F1F"/>
          <w:spacing w:val="-7"/>
        </w:rPr>
        <w:t xml:space="preserve"> </w:t>
      </w:r>
      <w:r>
        <w:rPr>
          <w:color w:val="221F1F"/>
        </w:rPr>
        <w:t>the</w:t>
      </w:r>
      <w:r>
        <w:rPr>
          <w:color w:val="221F1F"/>
          <w:spacing w:val="-5"/>
        </w:rPr>
        <w:t xml:space="preserve"> </w:t>
      </w:r>
      <w:r>
        <w:rPr>
          <w:color w:val="221F1F"/>
        </w:rPr>
        <w:t>Procuring</w:t>
      </w:r>
      <w:r>
        <w:rPr>
          <w:color w:val="221F1F"/>
          <w:spacing w:val="-7"/>
        </w:rPr>
        <w:t xml:space="preserve"> </w:t>
      </w:r>
      <w:r>
        <w:rPr>
          <w:color w:val="221F1F"/>
        </w:rPr>
        <w:t>Entity,</w:t>
      </w:r>
      <w:r>
        <w:rPr>
          <w:color w:val="221F1F"/>
          <w:spacing w:val="-11"/>
        </w:rPr>
        <w:t xml:space="preserve"> </w:t>
      </w:r>
      <w:r>
        <w:rPr>
          <w:color w:val="221F1F"/>
          <w:spacing w:val="-5"/>
        </w:rPr>
        <w:t>or</w:t>
      </w:r>
    </w:p>
    <w:p w:rsidR="007F6DF9" w:rsidRDefault="00A43FBC">
      <w:pPr>
        <w:pStyle w:val="ListParagraph"/>
        <w:numPr>
          <w:ilvl w:val="0"/>
          <w:numId w:val="109"/>
        </w:numPr>
        <w:tabs>
          <w:tab w:val="left" w:pos="1887"/>
        </w:tabs>
        <w:spacing w:before="39"/>
      </w:pPr>
      <w:r>
        <w:rPr>
          <w:color w:val="221F1F"/>
        </w:rPr>
        <w:t>Contractor</w:t>
      </w:r>
      <w:r>
        <w:rPr>
          <w:color w:val="221F1F"/>
          <w:spacing w:val="-5"/>
        </w:rPr>
        <w:t xml:space="preserve"> </w:t>
      </w:r>
      <w:r>
        <w:rPr>
          <w:color w:val="221F1F"/>
        </w:rPr>
        <w:t>has</w:t>
      </w:r>
      <w:r>
        <w:rPr>
          <w:color w:val="221F1F"/>
          <w:spacing w:val="-3"/>
        </w:rPr>
        <w:t xml:space="preserve"> </w:t>
      </w:r>
      <w:r>
        <w:rPr>
          <w:color w:val="221F1F"/>
        </w:rPr>
        <w:t>nominated</w:t>
      </w:r>
      <w:r>
        <w:rPr>
          <w:color w:val="221F1F"/>
          <w:spacing w:val="-2"/>
        </w:rPr>
        <w:t xml:space="preserve"> </w:t>
      </w:r>
      <w:r>
        <w:rPr>
          <w:color w:val="221F1F"/>
        </w:rPr>
        <w:t>as</w:t>
      </w:r>
      <w:r>
        <w:rPr>
          <w:color w:val="221F1F"/>
          <w:spacing w:val="-4"/>
        </w:rPr>
        <w:t xml:space="preserve"> </w:t>
      </w:r>
      <w:r>
        <w:rPr>
          <w:color w:val="221F1F"/>
        </w:rPr>
        <w:t>a</w:t>
      </w:r>
      <w:r>
        <w:rPr>
          <w:color w:val="221F1F"/>
          <w:spacing w:val="-4"/>
        </w:rPr>
        <w:t xml:space="preserve"> </w:t>
      </w:r>
      <w:r>
        <w:rPr>
          <w:color w:val="221F1F"/>
        </w:rPr>
        <w:t>Subcontractor</w:t>
      </w:r>
      <w:r>
        <w:rPr>
          <w:color w:val="221F1F"/>
          <w:spacing w:val="-2"/>
        </w:rPr>
        <w:t xml:space="preserve"> </w:t>
      </w:r>
      <w:r>
        <w:rPr>
          <w:color w:val="221F1F"/>
        </w:rPr>
        <w:t>subject</w:t>
      </w:r>
      <w:r>
        <w:rPr>
          <w:color w:val="221F1F"/>
          <w:spacing w:val="-5"/>
        </w:rPr>
        <w:t xml:space="preserve"> </w:t>
      </w:r>
      <w:r>
        <w:rPr>
          <w:color w:val="221F1F"/>
        </w:rPr>
        <w:t>to</w:t>
      </w:r>
      <w:r>
        <w:rPr>
          <w:color w:val="221F1F"/>
          <w:spacing w:val="-6"/>
        </w:rPr>
        <w:t xml:space="preserve"> </w:t>
      </w:r>
      <w:r>
        <w:rPr>
          <w:color w:val="221F1F"/>
        </w:rPr>
        <w:t>Sub-Clause</w:t>
      </w:r>
      <w:r>
        <w:rPr>
          <w:color w:val="221F1F"/>
          <w:spacing w:val="-6"/>
        </w:rPr>
        <w:t xml:space="preserve"> </w:t>
      </w:r>
      <w:r>
        <w:rPr>
          <w:color w:val="221F1F"/>
        </w:rPr>
        <w:t>5.2</w:t>
      </w:r>
      <w:r>
        <w:rPr>
          <w:color w:val="221F1F"/>
          <w:spacing w:val="-3"/>
        </w:rPr>
        <w:t xml:space="preserve"> </w:t>
      </w:r>
      <w:r>
        <w:rPr>
          <w:color w:val="221F1F"/>
        </w:rPr>
        <w:t>[Objection</w:t>
      </w:r>
      <w:r>
        <w:rPr>
          <w:color w:val="221F1F"/>
          <w:spacing w:val="-5"/>
        </w:rPr>
        <w:t xml:space="preserve"> </w:t>
      </w:r>
      <w:r>
        <w:rPr>
          <w:color w:val="221F1F"/>
        </w:rPr>
        <w:t>to</w:t>
      </w:r>
      <w:r>
        <w:rPr>
          <w:color w:val="221F1F"/>
          <w:spacing w:val="-3"/>
        </w:rPr>
        <w:t xml:space="preserve"> </w:t>
      </w:r>
      <w:r>
        <w:rPr>
          <w:color w:val="221F1F"/>
          <w:spacing w:val="-2"/>
        </w:rPr>
        <w:t>Notification].</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378"/>
        </w:tabs>
        <w:spacing w:line="244" w:lineRule="exact"/>
        <w:ind w:left="1378" w:hanging="667"/>
        <w:jc w:val="both"/>
        <w:rPr>
          <w:color w:val="221F1F"/>
        </w:rPr>
      </w:pPr>
      <w:r>
        <w:rPr>
          <w:color w:val="221F1F"/>
        </w:rPr>
        <w:lastRenderedPageBreak/>
        <w:t>Objection</w:t>
      </w:r>
      <w:r>
        <w:rPr>
          <w:color w:val="221F1F"/>
          <w:spacing w:val="-5"/>
        </w:rPr>
        <w:t xml:space="preserve"> </w:t>
      </w:r>
      <w:r>
        <w:rPr>
          <w:color w:val="221F1F"/>
        </w:rPr>
        <w:t>to</w:t>
      </w:r>
      <w:r>
        <w:rPr>
          <w:color w:val="221F1F"/>
          <w:spacing w:val="-2"/>
        </w:rPr>
        <w:t xml:space="preserve"> Nomination</w:t>
      </w:r>
    </w:p>
    <w:p w:rsidR="007F6DF9" w:rsidRDefault="007F6DF9">
      <w:pPr>
        <w:pStyle w:val="BodyText"/>
        <w:spacing w:before="49"/>
        <w:rPr>
          <w:b/>
        </w:rPr>
      </w:pPr>
    </w:p>
    <w:p w:rsidR="007F6DF9" w:rsidRDefault="00A43FBC">
      <w:pPr>
        <w:pStyle w:val="BodyText"/>
        <w:spacing w:line="230" w:lineRule="auto"/>
        <w:ind w:left="1390" w:right="560" w:hanging="12"/>
        <w:jc w:val="both"/>
      </w:pPr>
      <w:r>
        <w:rPr>
          <w:color w:val="221F1F"/>
        </w:rPr>
        <w:t>The Contractor shall not be under any obligation to employ a nominated Subcontractor against whom the Contractor raises reasonable objection by notice to the Procuring Entity as soon as practicable, with supporting</w:t>
      </w:r>
      <w:r>
        <w:rPr>
          <w:color w:val="221F1F"/>
          <w:spacing w:val="-4"/>
        </w:rPr>
        <w:t xml:space="preserve"> </w:t>
      </w:r>
      <w:r>
        <w:rPr>
          <w:color w:val="221F1F"/>
        </w:rPr>
        <w:t>particulars.</w:t>
      </w:r>
      <w:r>
        <w:rPr>
          <w:color w:val="221F1F"/>
          <w:spacing w:val="-3"/>
        </w:rPr>
        <w:t xml:space="preserve"> </w:t>
      </w:r>
      <w:r>
        <w:rPr>
          <w:color w:val="221F1F"/>
        </w:rPr>
        <w:t>An</w:t>
      </w:r>
      <w:r>
        <w:rPr>
          <w:color w:val="221F1F"/>
          <w:spacing w:val="-6"/>
        </w:rPr>
        <w:t xml:space="preserve"> </w:t>
      </w:r>
      <w:r>
        <w:rPr>
          <w:color w:val="221F1F"/>
        </w:rPr>
        <w:t>objection</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deemed</w:t>
      </w:r>
      <w:r>
        <w:rPr>
          <w:color w:val="221F1F"/>
          <w:spacing w:val="-3"/>
        </w:rPr>
        <w:t xml:space="preserve"> </w:t>
      </w:r>
      <w:r>
        <w:rPr>
          <w:color w:val="221F1F"/>
        </w:rPr>
        <w:t>reasonable</w:t>
      </w:r>
      <w:r>
        <w:rPr>
          <w:color w:val="221F1F"/>
          <w:spacing w:val="-2"/>
        </w:rPr>
        <w:t xml:space="preserve"> </w:t>
      </w:r>
      <w:r>
        <w:rPr>
          <w:color w:val="221F1F"/>
        </w:rPr>
        <w:t>if</w:t>
      </w:r>
      <w:r>
        <w:rPr>
          <w:color w:val="221F1F"/>
          <w:spacing w:val="-5"/>
        </w:rPr>
        <w:t xml:space="preserve"> </w:t>
      </w:r>
      <w:r>
        <w:rPr>
          <w:color w:val="221F1F"/>
        </w:rPr>
        <w:t>it</w:t>
      </w:r>
      <w:r>
        <w:rPr>
          <w:color w:val="221F1F"/>
          <w:spacing w:val="-5"/>
        </w:rPr>
        <w:t xml:space="preserve"> </w:t>
      </w:r>
      <w:r>
        <w:rPr>
          <w:color w:val="221F1F"/>
        </w:rPr>
        <w:t>arises</w:t>
      </w:r>
      <w:r>
        <w:rPr>
          <w:color w:val="221F1F"/>
          <w:spacing w:val="-3"/>
        </w:rPr>
        <w:t xml:space="preserve"> </w:t>
      </w:r>
      <w:r>
        <w:rPr>
          <w:color w:val="221F1F"/>
        </w:rPr>
        <w:t>from</w:t>
      </w:r>
      <w:r>
        <w:rPr>
          <w:color w:val="221F1F"/>
          <w:spacing w:val="-5"/>
        </w:rPr>
        <w:t xml:space="preserve"> </w:t>
      </w:r>
      <w:r>
        <w:rPr>
          <w:color w:val="221F1F"/>
        </w:rPr>
        <w:t>(among</w:t>
      </w:r>
      <w:r>
        <w:rPr>
          <w:color w:val="221F1F"/>
          <w:spacing w:val="-5"/>
        </w:rPr>
        <w:t xml:space="preserve"> </w:t>
      </w:r>
      <w:r>
        <w:rPr>
          <w:color w:val="221F1F"/>
        </w:rPr>
        <w:t>other</w:t>
      </w:r>
      <w:r>
        <w:rPr>
          <w:color w:val="221F1F"/>
          <w:spacing w:val="-2"/>
        </w:rPr>
        <w:t xml:space="preserve"> </w:t>
      </w:r>
      <w:r>
        <w:rPr>
          <w:color w:val="221F1F"/>
        </w:rPr>
        <w:t>things)</w:t>
      </w:r>
      <w:r>
        <w:rPr>
          <w:color w:val="221F1F"/>
          <w:spacing w:val="-2"/>
        </w:rPr>
        <w:t xml:space="preserve"> </w:t>
      </w:r>
      <w:r>
        <w:rPr>
          <w:color w:val="221F1F"/>
        </w:rPr>
        <w:t>any</w:t>
      </w:r>
      <w:r>
        <w:rPr>
          <w:color w:val="221F1F"/>
          <w:spacing w:val="-4"/>
        </w:rPr>
        <w:t xml:space="preserve"> </w:t>
      </w:r>
      <w:r>
        <w:rPr>
          <w:color w:val="221F1F"/>
        </w:rPr>
        <w:t>of the following matters, unless the Procuring Entity agrees in writing to indemnify the Contractor against and from the consequences of the matter:</w:t>
      </w:r>
    </w:p>
    <w:p w:rsidR="007F6DF9" w:rsidRDefault="00A43FBC">
      <w:pPr>
        <w:pStyle w:val="ListParagraph"/>
        <w:numPr>
          <w:ilvl w:val="0"/>
          <w:numId w:val="108"/>
        </w:numPr>
        <w:tabs>
          <w:tab w:val="left" w:pos="1887"/>
          <w:tab w:val="left" w:pos="1889"/>
        </w:tabs>
        <w:spacing w:before="51" w:line="230" w:lineRule="auto"/>
        <w:ind w:right="784" w:hanging="512"/>
      </w:pPr>
      <w:r>
        <w:rPr>
          <w:color w:val="221F1F"/>
        </w:rPr>
        <w:t>there</w:t>
      </w:r>
      <w:r>
        <w:rPr>
          <w:color w:val="221F1F"/>
          <w:spacing w:val="-3"/>
        </w:rPr>
        <w:t xml:space="preserve"> </w:t>
      </w:r>
      <w:r>
        <w:rPr>
          <w:color w:val="221F1F"/>
        </w:rPr>
        <w:t>are</w:t>
      </w:r>
      <w:r>
        <w:rPr>
          <w:color w:val="221F1F"/>
          <w:spacing w:val="-5"/>
        </w:rPr>
        <w:t xml:space="preserve"> </w:t>
      </w:r>
      <w:r>
        <w:rPr>
          <w:color w:val="221F1F"/>
        </w:rPr>
        <w:t>reasons</w:t>
      </w:r>
      <w:r>
        <w:rPr>
          <w:color w:val="221F1F"/>
          <w:spacing w:val="-5"/>
        </w:rPr>
        <w:t xml:space="preserve"> </w:t>
      </w:r>
      <w:r>
        <w:rPr>
          <w:color w:val="221F1F"/>
        </w:rPr>
        <w:t>to</w:t>
      </w:r>
      <w:r>
        <w:rPr>
          <w:color w:val="221F1F"/>
          <w:spacing w:val="-3"/>
        </w:rPr>
        <w:t xml:space="preserve"> </w:t>
      </w:r>
      <w:r>
        <w:rPr>
          <w:color w:val="221F1F"/>
        </w:rPr>
        <w:t>believe</w:t>
      </w:r>
      <w:r>
        <w:rPr>
          <w:color w:val="221F1F"/>
          <w:spacing w:val="-5"/>
        </w:rPr>
        <w:t xml:space="preserve"> </w:t>
      </w:r>
      <w:r>
        <w:rPr>
          <w:color w:val="221F1F"/>
        </w:rPr>
        <w:t>that</w:t>
      </w:r>
      <w:r>
        <w:rPr>
          <w:color w:val="221F1F"/>
          <w:spacing w:val="-2"/>
        </w:rPr>
        <w:t xml:space="preserve"> </w:t>
      </w:r>
      <w:r>
        <w:rPr>
          <w:color w:val="221F1F"/>
        </w:rPr>
        <w:t>the</w:t>
      </w:r>
      <w:r>
        <w:rPr>
          <w:color w:val="221F1F"/>
          <w:spacing w:val="-3"/>
        </w:rPr>
        <w:t xml:space="preserve"> </w:t>
      </w:r>
      <w:r>
        <w:rPr>
          <w:color w:val="221F1F"/>
        </w:rPr>
        <w:t>Subcontractor</w:t>
      </w:r>
      <w:r>
        <w:rPr>
          <w:color w:val="221F1F"/>
          <w:spacing w:val="-5"/>
        </w:rPr>
        <w:t xml:space="preserve"> </w:t>
      </w:r>
      <w:r>
        <w:rPr>
          <w:color w:val="221F1F"/>
        </w:rPr>
        <w:t>does</w:t>
      </w:r>
      <w:r>
        <w:rPr>
          <w:color w:val="221F1F"/>
          <w:spacing w:val="-5"/>
        </w:rPr>
        <w:t xml:space="preserve"> </w:t>
      </w:r>
      <w:r>
        <w:rPr>
          <w:color w:val="221F1F"/>
        </w:rPr>
        <w:t>not</w:t>
      </w:r>
      <w:r>
        <w:rPr>
          <w:color w:val="221F1F"/>
          <w:spacing w:val="-2"/>
        </w:rPr>
        <w:t xml:space="preserve"> </w:t>
      </w:r>
      <w:r>
        <w:rPr>
          <w:color w:val="221F1F"/>
        </w:rPr>
        <w:t>have</w:t>
      </w:r>
      <w:r>
        <w:rPr>
          <w:color w:val="221F1F"/>
          <w:spacing w:val="-3"/>
        </w:rPr>
        <w:t xml:space="preserve"> </w:t>
      </w:r>
      <w:r>
        <w:rPr>
          <w:color w:val="221F1F"/>
        </w:rPr>
        <w:t>sufficient</w:t>
      </w:r>
      <w:r>
        <w:rPr>
          <w:color w:val="221F1F"/>
          <w:spacing w:val="-2"/>
        </w:rPr>
        <w:t xml:space="preserve"> </w:t>
      </w:r>
      <w:r>
        <w:rPr>
          <w:color w:val="221F1F"/>
        </w:rPr>
        <w:t>competence,</w:t>
      </w:r>
      <w:r>
        <w:rPr>
          <w:color w:val="221F1F"/>
          <w:spacing w:val="-3"/>
        </w:rPr>
        <w:t xml:space="preserve"> </w:t>
      </w:r>
      <w:r>
        <w:rPr>
          <w:color w:val="221F1F"/>
        </w:rPr>
        <w:t>resources</w:t>
      </w:r>
      <w:r>
        <w:rPr>
          <w:color w:val="221F1F"/>
          <w:spacing w:val="-3"/>
        </w:rPr>
        <w:t xml:space="preserve"> </w:t>
      </w:r>
      <w:r>
        <w:rPr>
          <w:color w:val="221F1F"/>
        </w:rPr>
        <w:t>or financial strength;</w:t>
      </w:r>
    </w:p>
    <w:p w:rsidR="007F6DF9" w:rsidRDefault="00A43FBC">
      <w:pPr>
        <w:pStyle w:val="ListParagraph"/>
        <w:numPr>
          <w:ilvl w:val="0"/>
          <w:numId w:val="108"/>
        </w:numPr>
        <w:tabs>
          <w:tab w:val="left" w:pos="1887"/>
          <w:tab w:val="left" w:pos="1889"/>
        </w:tabs>
        <w:spacing w:before="47" w:line="232" w:lineRule="auto"/>
        <w:ind w:right="1234" w:hanging="512"/>
      </w:pPr>
      <w:r>
        <w:rPr>
          <w:color w:val="221F1F"/>
        </w:rPr>
        <w:t>the</w:t>
      </w:r>
      <w:r>
        <w:rPr>
          <w:color w:val="221F1F"/>
          <w:spacing w:val="-2"/>
        </w:rPr>
        <w:t xml:space="preserve"> </w:t>
      </w:r>
      <w:r>
        <w:rPr>
          <w:color w:val="221F1F"/>
        </w:rPr>
        <w:t>nominated</w:t>
      </w:r>
      <w:r>
        <w:rPr>
          <w:color w:val="221F1F"/>
          <w:spacing w:val="-2"/>
        </w:rPr>
        <w:t xml:space="preserve"> </w:t>
      </w:r>
      <w:r>
        <w:rPr>
          <w:color w:val="221F1F"/>
        </w:rPr>
        <w:t>Subcontractor</w:t>
      </w:r>
      <w:r>
        <w:rPr>
          <w:color w:val="221F1F"/>
          <w:spacing w:val="-2"/>
        </w:rPr>
        <w:t xml:space="preserve"> </w:t>
      </w:r>
      <w:r>
        <w:rPr>
          <w:color w:val="221F1F"/>
        </w:rPr>
        <w:t>does</w:t>
      </w:r>
      <w:r>
        <w:rPr>
          <w:color w:val="221F1F"/>
          <w:spacing w:val="-2"/>
        </w:rPr>
        <w:t xml:space="preserve"> </w:t>
      </w:r>
      <w:r>
        <w:rPr>
          <w:color w:val="221F1F"/>
        </w:rPr>
        <w:t>not</w:t>
      </w:r>
      <w:r>
        <w:rPr>
          <w:color w:val="221F1F"/>
          <w:spacing w:val="-1"/>
        </w:rPr>
        <w:t xml:space="preserve"> </w:t>
      </w:r>
      <w:r>
        <w:rPr>
          <w:color w:val="221F1F"/>
        </w:rPr>
        <w:t>accept</w:t>
      </w:r>
      <w:r>
        <w:rPr>
          <w:color w:val="221F1F"/>
          <w:spacing w:val="-1"/>
        </w:rPr>
        <w:t xml:space="preserve"> </w:t>
      </w:r>
      <w:r>
        <w:rPr>
          <w:color w:val="221F1F"/>
        </w:rPr>
        <w:t>to</w:t>
      </w:r>
      <w:r>
        <w:rPr>
          <w:color w:val="221F1F"/>
          <w:spacing w:val="-5"/>
        </w:rPr>
        <w:t xml:space="preserve"> </w:t>
      </w:r>
      <w:r>
        <w:rPr>
          <w:color w:val="221F1F"/>
        </w:rPr>
        <w:t>indemnify</w:t>
      </w:r>
      <w:r>
        <w:rPr>
          <w:color w:val="221F1F"/>
          <w:spacing w:val="-5"/>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against</w:t>
      </w:r>
      <w:r>
        <w:rPr>
          <w:color w:val="221F1F"/>
          <w:spacing w:val="-4"/>
        </w:rPr>
        <w:t xml:space="preserve"> </w:t>
      </w:r>
      <w:r>
        <w:rPr>
          <w:color w:val="221F1F"/>
        </w:rPr>
        <w:t>and</w:t>
      </w:r>
      <w:r>
        <w:rPr>
          <w:color w:val="221F1F"/>
          <w:spacing w:val="-2"/>
        </w:rPr>
        <w:t xml:space="preserve"> </w:t>
      </w:r>
      <w:r>
        <w:rPr>
          <w:color w:val="221F1F"/>
        </w:rPr>
        <w:t>from</w:t>
      </w:r>
      <w:r>
        <w:rPr>
          <w:color w:val="221F1F"/>
          <w:spacing w:val="-1"/>
        </w:rPr>
        <w:t xml:space="preserve"> </w:t>
      </w:r>
      <w:r>
        <w:rPr>
          <w:color w:val="221F1F"/>
        </w:rPr>
        <w:t>any negligence or misuse of Goods by the nominated Subcontractor, his agents and employees; or</w:t>
      </w:r>
    </w:p>
    <w:p w:rsidR="007F6DF9" w:rsidRDefault="00A43FBC">
      <w:pPr>
        <w:pStyle w:val="ListParagraph"/>
        <w:numPr>
          <w:ilvl w:val="0"/>
          <w:numId w:val="108"/>
        </w:numPr>
        <w:tabs>
          <w:tab w:val="left" w:pos="1887"/>
          <w:tab w:val="left" w:pos="1889"/>
        </w:tabs>
        <w:spacing w:before="49" w:line="230" w:lineRule="auto"/>
        <w:ind w:right="825" w:hanging="512"/>
      </w:pPr>
      <w:r>
        <w:rPr>
          <w:color w:val="221F1F"/>
        </w:rPr>
        <w:t>the</w:t>
      </w:r>
      <w:r>
        <w:rPr>
          <w:color w:val="221F1F"/>
          <w:spacing w:val="-3"/>
        </w:rPr>
        <w:t xml:space="preserve"> </w:t>
      </w:r>
      <w:r>
        <w:rPr>
          <w:color w:val="221F1F"/>
        </w:rPr>
        <w:t>nominated</w:t>
      </w:r>
      <w:r>
        <w:rPr>
          <w:color w:val="221F1F"/>
          <w:spacing w:val="-3"/>
        </w:rPr>
        <w:t xml:space="preserve"> </w:t>
      </w:r>
      <w:r>
        <w:rPr>
          <w:color w:val="221F1F"/>
        </w:rPr>
        <w:t>Subcontractor</w:t>
      </w:r>
      <w:r>
        <w:rPr>
          <w:color w:val="221F1F"/>
          <w:spacing w:val="-3"/>
        </w:rPr>
        <w:t xml:space="preserve"> </w:t>
      </w:r>
      <w:r>
        <w:rPr>
          <w:color w:val="221F1F"/>
        </w:rPr>
        <w:t>does</w:t>
      </w:r>
      <w:r>
        <w:rPr>
          <w:color w:val="221F1F"/>
          <w:spacing w:val="-3"/>
        </w:rPr>
        <w:t xml:space="preserve"> </w:t>
      </w:r>
      <w:r>
        <w:rPr>
          <w:color w:val="221F1F"/>
        </w:rPr>
        <w:t>not</w:t>
      </w:r>
      <w:r>
        <w:rPr>
          <w:color w:val="221F1F"/>
          <w:spacing w:val="-2"/>
        </w:rPr>
        <w:t xml:space="preserve"> </w:t>
      </w:r>
      <w:r>
        <w:rPr>
          <w:color w:val="221F1F"/>
        </w:rPr>
        <w:t>accept</w:t>
      </w:r>
      <w:r>
        <w:rPr>
          <w:color w:val="221F1F"/>
          <w:spacing w:val="-2"/>
        </w:rPr>
        <w:t xml:space="preserve"> </w:t>
      </w:r>
      <w:r>
        <w:rPr>
          <w:color w:val="221F1F"/>
        </w:rPr>
        <w:t>to</w:t>
      </w:r>
      <w:r>
        <w:rPr>
          <w:color w:val="221F1F"/>
          <w:spacing w:val="-5"/>
        </w:rPr>
        <w:t xml:space="preserve"> </w:t>
      </w:r>
      <w:r>
        <w:rPr>
          <w:color w:val="221F1F"/>
        </w:rPr>
        <w:t>enter</w:t>
      </w:r>
      <w:r>
        <w:rPr>
          <w:color w:val="221F1F"/>
          <w:spacing w:val="-4"/>
        </w:rPr>
        <w:t xml:space="preserve"> </w:t>
      </w:r>
      <w:r>
        <w:rPr>
          <w:color w:val="221F1F"/>
        </w:rPr>
        <w:t>into</w:t>
      </w:r>
      <w:r>
        <w:rPr>
          <w:color w:val="221F1F"/>
          <w:spacing w:val="-3"/>
        </w:rPr>
        <w:t xml:space="preserve"> </w:t>
      </w:r>
      <w:r>
        <w:rPr>
          <w:color w:val="221F1F"/>
        </w:rPr>
        <w:t>a</w:t>
      </w:r>
      <w:r>
        <w:rPr>
          <w:color w:val="221F1F"/>
          <w:spacing w:val="-4"/>
        </w:rPr>
        <w:t xml:space="preserve"> </w:t>
      </w:r>
      <w:r>
        <w:rPr>
          <w:color w:val="221F1F"/>
        </w:rPr>
        <w:t>subcontract</w:t>
      </w:r>
      <w:r>
        <w:rPr>
          <w:color w:val="221F1F"/>
          <w:spacing w:val="-2"/>
        </w:rPr>
        <w:t xml:space="preserve"> </w:t>
      </w:r>
      <w:r>
        <w:rPr>
          <w:color w:val="221F1F"/>
        </w:rPr>
        <w:t>which</w:t>
      </w:r>
      <w:r>
        <w:rPr>
          <w:color w:val="221F1F"/>
          <w:spacing w:val="-3"/>
        </w:rPr>
        <w:t xml:space="preserve"> </w:t>
      </w:r>
      <w:r>
        <w:rPr>
          <w:color w:val="221F1F"/>
        </w:rPr>
        <w:t>specifies</w:t>
      </w:r>
      <w:r>
        <w:rPr>
          <w:color w:val="221F1F"/>
          <w:spacing w:val="-4"/>
        </w:rPr>
        <w:t xml:space="preserve"> </w:t>
      </w:r>
      <w:r>
        <w:rPr>
          <w:color w:val="221F1F"/>
        </w:rPr>
        <w:t>that,</w:t>
      </w:r>
      <w:r>
        <w:rPr>
          <w:color w:val="221F1F"/>
          <w:spacing w:val="-5"/>
        </w:rPr>
        <w:t xml:space="preserve"> </w:t>
      </w:r>
      <w:r>
        <w:rPr>
          <w:color w:val="221F1F"/>
        </w:rPr>
        <w:t>for</w:t>
      </w:r>
      <w:r>
        <w:rPr>
          <w:color w:val="221F1F"/>
          <w:spacing w:val="-4"/>
        </w:rPr>
        <w:t xml:space="preserve"> </w:t>
      </w:r>
      <w:r>
        <w:rPr>
          <w:color w:val="221F1F"/>
        </w:rPr>
        <w:t>the subcontracted work (including design, if any), the nominated Subcontractor shall:</w:t>
      </w:r>
    </w:p>
    <w:p w:rsidR="007F6DF9" w:rsidRDefault="00A43FBC">
      <w:pPr>
        <w:pStyle w:val="ListParagraph"/>
        <w:numPr>
          <w:ilvl w:val="1"/>
          <w:numId w:val="108"/>
        </w:numPr>
        <w:tabs>
          <w:tab w:val="left" w:pos="2315"/>
          <w:tab w:val="left" w:pos="2324"/>
        </w:tabs>
        <w:spacing w:before="47" w:line="230" w:lineRule="auto"/>
        <w:ind w:right="564" w:hanging="437"/>
        <w:jc w:val="both"/>
      </w:pPr>
      <w:r>
        <w:rPr>
          <w:color w:val="221F1F"/>
        </w:rPr>
        <w:t xml:space="preserve">undertake to the Contractor such obligations and liabilities as will enable the Contractor to discharge </w:t>
      </w:r>
      <w:proofErr w:type="spellStart"/>
      <w:r>
        <w:rPr>
          <w:color w:val="221F1F"/>
        </w:rPr>
        <w:t>hisobligations</w:t>
      </w:r>
      <w:proofErr w:type="spellEnd"/>
      <w:r>
        <w:rPr>
          <w:color w:val="221F1F"/>
        </w:rPr>
        <w:t xml:space="preserve"> and liabilities under the Contract;</w:t>
      </w:r>
    </w:p>
    <w:p w:rsidR="007F6DF9" w:rsidRDefault="00A43FBC">
      <w:pPr>
        <w:pStyle w:val="ListParagraph"/>
        <w:numPr>
          <w:ilvl w:val="1"/>
          <w:numId w:val="108"/>
        </w:numPr>
        <w:tabs>
          <w:tab w:val="left" w:pos="2314"/>
          <w:tab w:val="left" w:pos="2324"/>
        </w:tabs>
        <w:spacing w:before="50" w:line="230" w:lineRule="auto"/>
        <w:ind w:right="569" w:hanging="437"/>
        <w:jc w:val="both"/>
      </w:pPr>
      <w:r>
        <w:rPr>
          <w:color w:val="221F1F"/>
        </w:rPr>
        <w:t>indemnify the Contractor against and from all obligations and liabilities arising under or in connection with the Contract and from the consequences of any failure by the Subcontractor to perform these obligations or to fulfil these liabilities, and</w:t>
      </w:r>
    </w:p>
    <w:p w:rsidR="007F6DF9" w:rsidRDefault="00A43FBC">
      <w:pPr>
        <w:pStyle w:val="ListParagraph"/>
        <w:numPr>
          <w:ilvl w:val="1"/>
          <w:numId w:val="108"/>
        </w:numPr>
        <w:tabs>
          <w:tab w:val="left" w:pos="2313"/>
          <w:tab w:val="left" w:pos="2324"/>
        </w:tabs>
        <w:spacing w:before="52" w:line="230" w:lineRule="auto"/>
        <w:ind w:right="560" w:hanging="437"/>
        <w:jc w:val="both"/>
      </w:pPr>
      <w:r>
        <w:rPr>
          <w:color w:val="221F1F"/>
        </w:rPr>
        <w:t>be</w:t>
      </w:r>
      <w:r>
        <w:rPr>
          <w:color w:val="221F1F"/>
          <w:spacing w:val="-7"/>
        </w:rPr>
        <w:t xml:space="preserve"> </w:t>
      </w:r>
      <w:r>
        <w:rPr>
          <w:color w:val="221F1F"/>
        </w:rPr>
        <w:t>paid</w:t>
      </w:r>
      <w:r>
        <w:rPr>
          <w:color w:val="221F1F"/>
          <w:spacing w:val="-7"/>
        </w:rPr>
        <w:t xml:space="preserve"> </w:t>
      </w:r>
      <w:r>
        <w:rPr>
          <w:color w:val="221F1F"/>
        </w:rPr>
        <w:t>only</w:t>
      </w:r>
      <w:r>
        <w:rPr>
          <w:color w:val="221F1F"/>
          <w:spacing w:val="-9"/>
        </w:rPr>
        <w:t xml:space="preserve"> </w:t>
      </w:r>
      <w:r>
        <w:rPr>
          <w:color w:val="221F1F"/>
        </w:rPr>
        <w:t>if</w:t>
      </w:r>
      <w:r>
        <w:rPr>
          <w:color w:val="221F1F"/>
          <w:spacing w:val="-6"/>
        </w:rPr>
        <w:t xml:space="preserve"> </w:t>
      </w:r>
      <w:r>
        <w:rPr>
          <w:color w:val="221F1F"/>
        </w:rPr>
        <w:t>and</w:t>
      </w:r>
      <w:r>
        <w:rPr>
          <w:color w:val="221F1F"/>
          <w:spacing w:val="-7"/>
        </w:rPr>
        <w:t xml:space="preserve"> </w:t>
      </w:r>
      <w:r>
        <w:rPr>
          <w:color w:val="221F1F"/>
        </w:rPr>
        <w:t>when</w:t>
      </w:r>
      <w:r>
        <w:rPr>
          <w:color w:val="221F1F"/>
          <w:spacing w:val="-9"/>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has</w:t>
      </w:r>
      <w:r>
        <w:rPr>
          <w:color w:val="221F1F"/>
          <w:spacing w:val="-9"/>
        </w:rPr>
        <w:t xml:space="preserve"> </w:t>
      </w:r>
      <w:r>
        <w:rPr>
          <w:color w:val="221F1F"/>
        </w:rPr>
        <w:t>received</w:t>
      </w:r>
      <w:r>
        <w:rPr>
          <w:color w:val="221F1F"/>
          <w:spacing w:val="-6"/>
        </w:rPr>
        <w:t xml:space="preserve"> </w:t>
      </w:r>
      <w:r>
        <w:rPr>
          <w:color w:val="221F1F"/>
        </w:rPr>
        <w:t>from</w:t>
      </w:r>
      <w:r>
        <w:rPr>
          <w:color w:val="221F1F"/>
          <w:spacing w:val="-8"/>
        </w:rPr>
        <w:t xml:space="preserve"> </w:t>
      </w:r>
      <w:r>
        <w:rPr>
          <w:color w:val="221F1F"/>
        </w:rPr>
        <w:t>the</w:t>
      </w:r>
      <w:r>
        <w:rPr>
          <w:color w:val="221F1F"/>
          <w:spacing w:val="-9"/>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payments</w:t>
      </w:r>
      <w:r>
        <w:rPr>
          <w:color w:val="221F1F"/>
          <w:spacing w:val="-9"/>
        </w:rPr>
        <w:t xml:space="preserve"> </w:t>
      </w:r>
      <w:r>
        <w:rPr>
          <w:color w:val="221F1F"/>
        </w:rPr>
        <w:t>for</w:t>
      </w:r>
      <w:r>
        <w:rPr>
          <w:color w:val="221F1F"/>
          <w:spacing w:val="-6"/>
        </w:rPr>
        <w:t xml:space="preserve"> </w:t>
      </w:r>
      <w:r>
        <w:rPr>
          <w:color w:val="221F1F"/>
        </w:rPr>
        <w:t xml:space="preserve">sums due under the Subcontract referred to under Sub-Clause 5.3 [Payment to nominated </w:t>
      </w:r>
      <w:r>
        <w:rPr>
          <w:color w:val="221F1F"/>
          <w:spacing w:val="-2"/>
        </w:rPr>
        <w:t>Subcontractors].</w:t>
      </w:r>
    </w:p>
    <w:p w:rsidR="007F6DF9" w:rsidRDefault="007F6DF9">
      <w:pPr>
        <w:pStyle w:val="BodyText"/>
        <w:spacing w:before="21"/>
      </w:pPr>
    </w:p>
    <w:p w:rsidR="007F6DF9" w:rsidRDefault="00A43FBC">
      <w:pPr>
        <w:pStyle w:val="Heading9"/>
        <w:numPr>
          <w:ilvl w:val="1"/>
          <w:numId w:val="122"/>
        </w:numPr>
        <w:tabs>
          <w:tab w:val="left" w:pos="1377"/>
        </w:tabs>
        <w:spacing w:before="1" w:line="291" w:lineRule="exact"/>
        <w:ind w:left="1377" w:hanging="666"/>
        <w:jc w:val="both"/>
        <w:rPr>
          <w:sz w:val="26"/>
        </w:rPr>
      </w:pPr>
      <w:r>
        <w:rPr>
          <w:color w:val="221F1F"/>
        </w:rPr>
        <w:t>Payments</w:t>
      </w:r>
      <w:r>
        <w:rPr>
          <w:color w:val="221F1F"/>
          <w:spacing w:val="-5"/>
        </w:rPr>
        <w:t xml:space="preserve"> </w:t>
      </w:r>
      <w:r>
        <w:rPr>
          <w:color w:val="221F1F"/>
        </w:rPr>
        <w:t>to</w:t>
      </w:r>
      <w:r>
        <w:rPr>
          <w:color w:val="221F1F"/>
          <w:spacing w:val="-3"/>
        </w:rPr>
        <w:t xml:space="preserve"> </w:t>
      </w:r>
      <w:r>
        <w:rPr>
          <w:color w:val="221F1F"/>
        </w:rPr>
        <w:t>nominated</w:t>
      </w:r>
      <w:r>
        <w:rPr>
          <w:color w:val="221F1F"/>
          <w:spacing w:val="-2"/>
        </w:rPr>
        <w:t xml:space="preserve"> Subcontractors</w:t>
      </w:r>
    </w:p>
    <w:p w:rsidR="007F6DF9" w:rsidRDefault="00A43FBC">
      <w:pPr>
        <w:pStyle w:val="BodyText"/>
        <w:spacing w:line="230" w:lineRule="auto"/>
        <w:ind w:left="1390" w:right="563" w:hanging="12"/>
        <w:jc w:val="both"/>
      </w:pPr>
      <w:r>
        <w:rPr>
          <w:color w:val="221F1F"/>
        </w:rPr>
        <w:t>The Contractor shall pay to the nominated Subcontractor the amounts shown on the nominated Subcontractor's invoices approved by the Contractor which the Architect certifies to be due in accordance with</w:t>
      </w:r>
      <w:r>
        <w:rPr>
          <w:color w:val="221F1F"/>
          <w:spacing w:val="-3"/>
        </w:rPr>
        <w:t xml:space="preserve"> </w:t>
      </w:r>
      <w:r>
        <w:rPr>
          <w:color w:val="221F1F"/>
        </w:rPr>
        <w:t>the</w:t>
      </w:r>
      <w:r>
        <w:rPr>
          <w:color w:val="221F1F"/>
          <w:spacing w:val="-4"/>
        </w:rPr>
        <w:t xml:space="preserve"> </w:t>
      </w:r>
      <w:r>
        <w:rPr>
          <w:color w:val="221F1F"/>
        </w:rPr>
        <w:t>subcontract.</w:t>
      </w:r>
      <w:r>
        <w:rPr>
          <w:color w:val="221F1F"/>
          <w:spacing w:val="-4"/>
        </w:rPr>
        <w:t xml:space="preserve"> </w:t>
      </w:r>
      <w:r>
        <w:rPr>
          <w:color w:val="221F1F"/>
        </w:rPr>
        <w:t>These</w:t>
      </w:r>
      <w:r>
        <w:rPr>
          <w:color w:val="221F1F"/>
          <w:spacing w:val="-4"/>
        </w:rPr>
        <w:t xml:space="preserve"> </w:t>
      </w:r>
      <w:r>
        <w:rPr>
          <w:color w:val="221F1F"/>
        </w:rPr>
        <w:t>amounts</w:t>
      </w:r>
      <w:r>
        <w:rPr>
          <w:color w:val="221F1F"/>
          <w:spacing w:val="-3"/>
        </w:rPr>
        <w:t xml:space="preserve"> </w:t>
      </w:r>
      <w:r>
        <w:rPr>
          <w:color w:val="221F1F"/>
        </w:rPr>
        <w:t>plus</w:t>
      </w:r>
      <w:r>
        <w:rPr>
          <w:color w:val="221F1F"/>
          <w:spacing w:val="-4"/>
        </w:rPr>
        <w:t xml:space="preserve"> </w:t>
      </w:r>
      <w:r>
        <w:rPr>
          <w:color w:val="221F1F"/>
        </w:rPr>
        <w:t>other</w:t>
      </w:r>
      <w:r>
        <w:rPr>
          <w:color w:val="221F1F"/>
          <w:spacing w:val="-3"/>
        </w:rPr>
        <w:t xml:space="preserve"> </w:t>
      </w:r>
      <w:r>
        <w:rPr>
          <w:color w:val="221F1F"/>
        </w:rPr>
        <w:t>charges</w:t>
      </w:r>
      <w:r>
        <w:rPr>
          <w:color w:val="221F1F"/>
          <w:spacing w:val="-5"/>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included</w:t>
      </w:r>
      <w:r>
        <w:rPr>
          <w:color w:val="221F1F"/>
          <w:spacing w:val="-5"/>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in</w:t>
      </w:r>
      <w:r>
        <w:rPr>
          <w:color w:val="221F1F"/>
          <w:spacing w:val="-6"/>
        </w:rPr>
        <w:t xml:space="preserve"> </w:t>
      </w:r>
      <w:r>
        <w:rPr>
          <w:color w:val="221F1F"/>
        </w:rPr>
        <w:t>accordance with</w:t>
      </w:r>
      <w:r>
        <w:rPr>
          <w:color w:val="221F1F"/>
          <w:spacing w:val="-6"/>
        </w:rPr>
        <w:t xml:space="preserve"> </w:t>
      </w:r>
      <w:r>
        <w:rPr>
          <w:color w:val="221F1F"/>
        </w:rPr>
        <w:t>sub-paragraph</w:t>
      </w:r>
      <w:r>
        <w:rPr>
          <w:color w:val="221F1F"/>
          <w:spacing w:val="-6"/>
        </w:rPr>
        <w:t xml:space="preserve"> </w:t>
      </w:r>
      <w:r>
        <w:rPr>
          <w:color w:val="221F1F"/>
        </w:rPr>
        <w:t>(b)</w:t>
      </w:r>
      <w:r>
        <w:rPr>
          <w:color w:val="221F1F"/>
          <w:spacing w:val="-3"/>
        </w:rPr>
        <w:t xml:space="preserve"> </w:t>
      </w:r>
      <w:r>
        <w:rPr>
          <w:color w:val="221F1F"/>
        </w:rPr>
        <w:t>of</w:t>
      </w:r>
      <w:r>
        <w:rPr>
          <w:color w:val="221F1F"/>
          <w:spacing w:val="-3"/>
        </w:rPr>
        <w:t xml:space="preserve"> </w:t>
      </w:r>
      <w:r>
        <w:rPr>
          <w:color w:val="221F1F"/>
        </w:rPr>
        <w:t>Sub-Clause</w:t>
      </w:r>
      <w:r>
        <w:rPr>
          <w:color w:val="221F1F"/>
          <w:spacing w:val="-5"/>
        </w:rPr>
        <w:t xml:space="preserve"> </w:t>
      </w:r>
      <w:r>
        <w:rPr>
          <w:color w:val="221F1F"/>
        </w:rPr>
        <w:t>13.5</w:t>
      </w:r>
      <w:r>
        <w:rPr>
          <w:color w:val="221F1F"/>
          <w:spacing w:val="-6"/>
        </w:rPr>
        <w:t xml:space="preserve"> </w:t>
      </w:r>
      <w:r>
        <w:rPr>
          <w:color w:val="221F1F"/>
        </w:rPr>
        <w:t>[Provisional</w:t>
      </w:r>
      <w:r>
        <w:rPr>
          <w:color w:val="221F1F"/>
          <w:spacing w:val="-4"/>
        </w:rPr>
        <w:t xml:space="preserve"> </w:t>
      </w:r>
      <w:r>
        <w:rPr>
          <w:color w:val="221F1F"/>
        </w:rPr>
        <w:t>Sums],</w:t>
      </w:r>
      <w:r>
        <w:rPr>
          <w:color w:val="221F1F"/>
          <w:spacing w:val="-6"/>
        </w:rPr>
        <w:t xml:space="preserve"> </w:t>
      </w:r>
      <w:r>
        <w:rPr>
          <w:color w:val="221F1F"/>
        </w:rPr>
        <w:t>except</w:t>
      </w:r>
      <w:r>
        <w:rPr>
          <w:color w:val="221F1F"/>
          <w:spacing w:val="-4"/>
        </w:rPr>
        <w:t xml:space="preserve"> </w:t>
      </w:r>
      <w:r>
        <w:rPr>
          <w:color w:val="221F1F"/>
        </w:rPr>
        <w:t>as</w:t>
      </w:r>
      <w:r>
        <w:rPr>
          <w:color w:val="221F1F"/>
          <w:spacing w:val="-6"/>
        </w:rPr>
        <w:t xml:space="preserve"> </w:t>
      </w:r>
      <w:r>
        <w:rPr>
          <w:color w:val="221F1F"/>
        </w:rPr>
        <w:t>stated</w:t>
      </w:r>
      <w:r>
        <w:rPr>
          <w:color w:val="221F1F"/>
          <w:spacing w:val="-5"/>
        </w:rPr>
        <w:t xml:space="preserve"> </w:t>
      </w:r>
      <w:r>
        <w:rPr>
          <w:color w:val="221F1F"/>
        </w:rPr>
        <w:t>in</w:t>
      </w:r>
      <w:r>
        <w:rPr>
          <w:color w:val="221F1F"/>
          <w:spacing w:val="-8"/>
        </w:rPr>
        <w:t xml:space="preserve"> </w:t>
      </w:r>
      <w:r>
        <w:rPr>
          <w:color w:val="221F1F"/>
        </w:rPr>
        <w:t>Sub-Clause</w:t>
      </w:r>
      <w:r>
        <w:rPr>
          <w:color w:val="221F1F"/>
          <w:spacing w:val="-5"/>
        </w:rPr>
        <w:t xml:space="preserve"> </w:t>
      </w:r>
      <w:r>
        <w:rPr>
          <w:color w:val="221F1F"/>
        </w:rPr>
        <w:t>5.4</w:t>
      </w:r>
      <w:r>
        <w:rPr>
          <w:color w:val="221F1F"/>
          <w:spacing w:val="-6"/>
        </w:rPr>
        <w:t xml:space="preserve"> </w:t>
      </w:r>
      <w:r>
        <w:rPr>
          <w:color w:val="221F1F"/>
        </w:rPr>
        <w:t>[Evidence of Payments].</w:t>
      </w:r>
    </w:p>
    <w:p w:rsidR="007F6DF9" w:rsidRDefault="00A43FBC">
      <w:pPr>
        <w:pStyle w:val="Heading9"/>
        <w:numPr>
          <w:ilvl w:val="1"/>
          <w:numId w:val="122"/>
        </w:numPr>
        <w:tabs>
          <w:tab w:val="left" w:pos="1378"/>
        </w:tabs>
        <w:spacing w:before="236"/>
        <w:ind w:left="1378" w:hanging="667"/>
        <w:rPr>
          <w:color w:val="221F1F"/>
        </w:rPr>
      </w:pPr>
      <w:r>
        <w:rPr>
          <w:color w:val="221F1F"/>
        </w:rPr>
        <w:t>Evidence</w:t>
      </w:r>
      <w:r>
        <w:rPr>
          <w:color w:val="221F1F"/>
          <w:spacing w:val="-2"/>
        </w:rPr>
        <w:t xml:space="preserve"> </w:t>
      </w:r>
      <w:r>
        <w:rPr>
          <w:color w:val="221F1F"/>
        </w:rPr>
        <w:t>of</w:t>
      </w:r>
      <w:r>
        <w:rPr>
          <w:color w:val="221F1F"/>
          <w:spacing w:val="-1"/>
        </w:rPr>
        <w:t xml:space="preserve"> </w:t>
      </w:r>
      <w:r>
        <w:rPr>
          <w:color w:val="221F1F"/>
          <w:spacing w:val="-2"/>
        </w:rPr>
        <w:t>Payments</w:t>
      </w:r>
    </w:p>
    <w:p w:rsidR="007F6DF9" w:rsidRDefault="007F6DF9">
      <w:pPr>
        <w:pStyle w:val="BodyText"/>
        <w:spacing w:before="50"/>
        <w:rPr>
          <w:b/>
        </w:rPr>
      </w:pPr>
    </w:p>
    <w:p w:rsidR="007F6DF9" w:rsidRDefault="00A43FBC">
      <w:pPr>
        <w:pStyle w:val="ListParagraph"/>
        <w:numPr>
          <w:ilvl w:val="2"/>
          <w:numId w:val="122"/>
        </w:numPr>
        <w:tabs>
          <w:tab w:val="left" w:pos="1375"/>
          <w:tab w:val="left" w:pos="1388"/>
        </w:tabs>
        <w:spacing w:line="230" w:lineRule="auto"/>
        <w:ind w:left="1388" w:right="565" w:hanging="678"/>
        <w:jc w:val="both"/>
        <w:rPr>
          <w:color w:val="221F1F"/>
        </w:rPr>
      </w:pPr>
      <w:r>
        <w:rPr>
          <w:color w:val="221F1F"/>
        </w:rPr>
        <w:t>Before issuing a Payment Certificate which includes an amount payable to a nominated Subcontractor, the Architect may request the Contractor to supply reasonable evidence that the nominated Subcontractor has received all amounts due in accordance with previous Payment Certificates, less applicable deductions for retention or otherwise. Unless the Contractor:</w:t>
      </w:r>
    </w:p>
    <w:p w:rsidR="007F6DF9" w:rsidRDefault="00A43FBC">
      <w:pPr>
        <w:pStyle w:val="ListParagraph"/>
        <w:numPr>
          <w:ilvl w:val="0"/>
          <w:numId w:val="107"/>
        </w:numPr>
        <w:tabs>
          <w:tab w:val="left" w:pos="1883"/>
        </w:tabs>
        <w:spacing w:before="235" w:line="251" w:lineRule="exact"/>
        <w:ind w:left="1883" w:hanging="512"/>
        <w:jc w:val="both"/>
      </w:pPr>
      <w:r>
        <w:rPr>
          <w:color w:val="221F1F"/>
        </w:rPr>
        <w:t>Submits</w:t>
      </w:r>
      <w:r>
        <w:rPr>
          <w:color w:val="221F1F"/>
          <w:spacing w:val="-5"/>
        </w:rPr>
        <w:t xml:space="preserve"> </w:t>
      </w:r>
      <w:r>
        <w:rPr>
          <w:color w:val="221F1F"/>
        </w:rPr>
        <w:t>this</w:t>
      </w:r>
      <w:r>
        <w:rPr>
          <w:color w:val="221F1F"/>
          <w:spacing w:val="-5"/>
        </w:rPr>
        <w:t xml:space="preserve"> </w:t>
      </w:r>
      <w:r>
        <w:rPr>
          <w:color w:val="221F1F"/>
        </w:rPr>
        <w:t>reasonable</w:t>
      </w:r>
      <w:r>
        <w:rPr>
          <w:color w:val="221F1F"/>
          <w:spacing w:val="-3"/>
        </w:rPr>
        <w:t xml:space="preserve"> </w:t>
      </w:r>
      <w:r>
        <w:rPr>
          <w:color w:val="221F1F"/>
        </w:rPr>
        <w:t>evidence</w:t>
      </w:r>
      <w:r>
        <w:rPr>
          <w:color w:val="221F1F"/>
          <w:spacing w:val="-5"/>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Engineer,</w:t>
      </w:r>
      <w:r>
        <w:rPr>
          <w:color w:val="221F1F"/>
          <w:spacing w:val="-4"/>
        </w:rPr>
        <w:t xml:space="preserve"> </w:t>
      </w:r>
      <w:r>
        <w:rPr>
          <w:color w:val="221F1F"/>
          <w:spacing w:val="-5"/>
        </w:rPr>
        <w:t>or</w:t>
      </w:r>
    </w:p>
    <w:p w:rsidR="007F6DF9" w:rsidRDefault="00A43FBC">
      <w:pPr>
        <w:pStyle w:val="ListParagraph"/>
        <w:numPr>
          <w:ilvl w:val="0"/>
          <w:numId w:val="107"/>
        </w:numPr>
        <w:tabs>
          <w:tab w:val="left" w:pos="1883"/>
          <w:tab w:val="left" w:pos="2391"/>
        </w:tabs>
        <w:spacing w:before="4" w:line="232" w:lineRule="auto"/>
        <w:ind w:left="2391" w:right="721" w:hanging="1020"/>
        <w:jc w:val="both"/>
      </w:pPr>
      <w:proofErr w:type="spellStart"/>
      <w:r>
        <w:rPr>
          <w:color w:val="221F1F"/>
        </w:rPr>
        <w:t>i</w:t>
      </w:r>
      <w:proofErr w:type="spellEnd"/>
      <w:r>
        <w:rPr>
          <w:color w:val="221F1F"/>
        </w:rPr>
        <w:t>)</w:t>
      </w:r>
      <w:r>
        <w:rPr>
          <w:color w:val="221F1F"/>
          <w:spacing w:val="80"/>
          <w:w w:val="150"/>
        </w:rPr>
        <w:t xml:space="preserve">  </w:t>
      </w:r>
      <w:r>
        <w:rPr>
          <w:color w:val="221F1F"/>
        </w:rPr>
        <w:t>Satisfies</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in</w:t>
      </w:r>
      <w:r>
        <w:rPr>
          <w:color w:val="221F1F"/>
          <w:spacing w:val="-2"/>
        </w:rPr>
        <w:t xml:space="preserve"> </w:t>
      </w:r>
      <w:r>
        <w:rPr>
          <w:color w:val="221F1F"/>
        </w:rPr>
        <w:t>writing</w:t>
      </w:r>
      <w:r>
        <w:rPr>
          <w:color w:val="221F1F"/>
          <w:spacing w:val="-4"/>
        </w:rPr>
        <w:t xml:space="preserve"> </w:t>
      </w:r>
      <w:r>
        <w:rPr>
          <w:color w:val="221F1F"/>
        </w:rPr>
        <w:t>that</w:t>
      </w:r>
      <w:r>
        <w:rPr>
          <w:color w:val="221F1F"/>
          <w:spacing w:val="-1"/>
        </w:rPr>
        <w:t xml:space="preserve"> </w:t>
      </w:r>
      <w:r>
        <w:rPr>
          <w:color w:val="221F1F"/>
        </w:rPr>
        <w:t>the</w:t>
      </w:r>
      <w:r>
        <w:rPr>
          <w:color w:val="221F1F"/>
          <w:spacing w:val="-2"/>
        </w:rPr>
        <w:t xml:space="preserve"> </w:t>
      </w:r>
      <w:r>
        <w:rPr>
          <w:color w:val="221F1F"/>
        </w:rPr>
        <w:t>Contractor is</w:t>
      </w:r>
      <w:r>
        <w:rPr>
          <w:color w:val="221F1F"/>
          <w:spacing w:val="-2"/>
        </w:rPr>
        <w:t xml:space="preserve"> </w:t>
      </w:r>
      <w:r>
        <w:rPr>
          <w:color w:val="221F1F"/>
        </w:rPr>
        <w:t>reasonably</w:t>
      </w:r>
      <w:r>
        <w:rPr>
          <w:color w:val="221F1F"/>
          <w:spacing w:val="-4"/>
        </w:rPr>
        <w:t xml:space="preserve"> </w:t>
      </w:r>
      <w:r>
        <w:rPr>
          <w:color w:val="221F1F"/>
        </w:rPr>
        <w:t>entitled</w:t>
      </w:r>
      <w:r>
        <w:rPr>
          <w:color w:val="221F1F"/>
          <w:spacing w:val="-1"/>
        </w:rPr>
        <w:t xml:space="preserve"> </w:t>
      </w:r>
      <w:r>
        <w:rPr>
          <w:color w:val="221F1F"/>
        </w:rPr>
        <w:t>to</w:t>
      </w:r>
      <w:r>
        <w:rPr>
          <w:color w:val="221F1F"/>
          <w:spacing w:val="-2"/>
        </w:rPr>
        <w:t xml:space="preserve"> </w:t>
      </w:r>
      <w:r>
        <w:rPr>
          <w:color w:val="221F1F"/>
        </w:rPr>
        <w:t>withhold</w:t>
      </w:r>
      <w:r>
        <w:rPr>
          <w:color w:val="221F1F"/>
          <w:spacing w:val="-2"/>
        </w:rPr>
        <w:t xml:space="preserve"> </w:t>
      </w:r>
      <w:r>
        <w:rPr>
          <w:color w:val="221F1F"/>
        </w:rPr>
        <w:t>or</w:t>
      </w:r>
      <w:r>
        <w:rPr>
          <w:color w:val="221F1F"/>
          <w:spacing w:val="-1"/>
        </w:rPr>
        <w:t xml:space="preserve"> </w:t>
      </w:r>
      <w:r>
        <w:rPr>
          <w:color w:val="221F1F"/>
        </w:rPr>
        <w:t>refuse to pay these amounts, and</w:t>
      </w:r>
    </w:p>
    <w:p w:rsidR="007F6DF9" w:rsidRDefault="00A43FBC">
      <w:pPr>
        <w:pStyle w:val="ListParagraph"/>
        <w:numPr>
          <w:ilvl w:val="0"/>
          <w:numId w:val="140"/>
        </w:numPr>
        <w:tabs>
          <w:tab w:val="left" w:pos="2388"/>
          <w:tab w:val="left" w:pos="2391"/>
        </w:tabs>
        <w:spacing w:line="230" w:lineRule="auto"/>
        <w:ind w:left="2391" w:right="560" w:hanging="507"/>
        <w:jc w:val="both"/>
      </w:pPr>
      <w:r>
        <w:rPr>
          <w:color w:val="221F1F"/>
        </w:rPr>
        <w:t>Submits</w:t>
      </w:r>
      <w:r>
        <w:rPr>
          <w:color w:val="221F1F"/>
          <w:spacing w:val="-2"/>
        </w:rPr>
        <w:t xml:space="preserve"> </w:t>
      </w:r>
      <w:r>
        <w:rPr>
          <w:color w:val="221F1F"/>
        </w:rPr>
        <w:t>to</w:t>
      </w:r>
      <w:r>
        <w:rPr>
          <w:color w:val="221F1F"/>
          <w:spacing w:val="-3"/>
        </w:rPr>
        <w:t xml:space="preserve"> </w:t>
      </w:r>
      <w:r>
        <w:rPr>
          <w:color w:val="221F1F"/>
        </w:rPr>
        <w:t>the Architect</w:t>
      </w:r>
      <w:r>
        <w:rPr>
          <w:color w:val="221F1F"/>
          <w:spacing w:val="-2"/>
        </w:rPr>
        <w:t xml:space="preserve"> </w:t>
      </w:r>
      <w:r>
        <w:rPr>
          <w:color w:val="221F1F"/>
        </w:rPr>
        <w:t>reasonable</w:t>
      </w:r>
      <w:r>
        <w:rPr>
          <w:color w:val="221F1F"/>
          <w:spacing w:val="-2"/>
        </w:rPr>
        <w:t xml:space="preserve"> </w:t>
      </w:r>
      <w:r>
        <w:rPr>
          <w:color w:val="221F1F"/>
        </w:rPr>
        <w:t>evidence</w:t>
      </w:r>
      <w:r>
        <w:rPr>
          <w:color w:val="221F1F"/>
          <w:spacing w:val="-2"/>
        </w:rPr>
        <w:t xml:space="preserve"> </w:t>
      </w:r>
      <w:r>
        <w:rPr>
          <w:color w:val="221F1F"/>
        </w:rPr>
        <w:t>that the</w:t>
      </w:r>
      <w:r>
        <w:rPr>
          <w:color w:val="221F1F"/>
          <w:spacing w:val="-3"/>
        </w:rPr>
        <w:t xml:space="preserve"> </w:t>
      </w:r>
      <w:r>
        <w:rPr>
          <w:color w:val="221F1F"/>
        </w:rPr>
        <w:t>nominated Subcontractor has been</w:t>
      </w:r>
      <w:r>
        <w:rPr>
          <w:color w:val="221F1F"/>
          <w:spacing w:val="-1"/>
        </w:rPr>
        <w:t xml:space="preserve"> </w:t>
      </w:r>
      <w:r>
        <w:rPr>
          <w:color w:val="221F1F"/>
        </w:rPr>
        <w:t>notified of</w:t>
      </w:r>
      <w:r>
        <w:rPr>
          <w:color w:val="221F1F"/>
          <w:spacing w:val="-7"/>
        </w:rPr>
        <w:t xml:space="preserve"> </w:t>
      </w:r>
      <w:r>
        <w:rPr>
          <w:color w:val="221F1F"/>
        </w:rPr>
        <w:t>the</w:t>
      </w:r>
      <w:r>
        <w:rPr>
          <w:color w:val="221F1F"/>
          <w:spacing w:val="-5"/>
        </w:rPr>
        <w:t xml:space="preserve"> </w:t>
      </w:r>
      <w:r>
        <w:rPr>
          <w:color w:val="221F1F"/>
        </w:rPr>
        <w:t>Contractor's</w:t>
      </w:r>
      <w:r>
        <w:rPr>
          <w:color w:val="221F1F"/>
          <w:spacing w:val="-6"/>
        </w:rPr>
        <w:t xml:space="preserve"> </w:t>
      </w:r>
      <w:r>
        <w:rPr>
          <w:color w:val="221F1F"/>
        </w:rPr>
        <w:t>entitlement,</w:t>
      </w:r>
      <w:r>
        <w:rPr>
          <w:color w:val="221F1F"/>
          <w:spacing w:val="-7"/>
        </w:rPr>
        <w:t xml:space="preserve"> </w:t>
      </w:r>
      <w:r>
        <w:rPr>
          <w:color w:val="221F1F"/>
        </w:rPr>
        <w:t>then</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7"/>
        </w:rPr>
        <w:t xml:space="preserve"> </w:t>
      </w:r>
      <w:r>
        <w:rPr>
          <w:color w:val="221F1F"/>
        </w:rPr>
        <w:t>may</w:t>
      </w:r>
      <w:r>
        <w:rPr>
          <w:color w:val="221F1F"/>
          <w:spacing w:val="-7"/>
        </w:rPr>
        <w:t xml:space="preserve"> </w:t>
      </w:r>
      <w:r>
        <w:rPr>
          <w:color w:val="221F1F"/>
        </w:rPr>
        <w:t>(at</w:t>
      </w:r>
      <w:r>
        <w:rPr>
          <w:color w:val="221F1F"/>
          <w:spacing w:val="-7"/>
        </w:rPr>
        <w:t xml:space="preserve"> </w:t>
      </w:r>
      <w:r>
        <w:rPr>
          <w:color w:val="221F1F"/>
        </w:rPr>
        <w:t>his</w:t>
      </w:r>
      <w:r>
        <w:rPr>
          <w:color w:val="221F1F"/>
          <w:spacing w:val="-7"/>
        </w:rPr>
        <w:t xml:space="preserve"> </w:t>
      </w:r>
      <w:r>
        <w:rPr>
          <w:color w:val="221F1F"/>
        </w:rPr>
        <w:t>sole</w:t>
      </w:r>
      <w:r>
        <w:rPr>
          <w:color w:val="221F1F"/>
          <w:spacing w:val="-7"/>
        </w:rPr>
        <w:t xml:space="preserve"> </w:t>
      </w:r>
      <w:r>
        <w:rPr>
          <w:color w:val="221F1F"/>
        </w:rPr>
        <w:t>discretion)</w:t>
      </w:r>
      <w:r>
        <w:rPr>
          <w:color w:val="221F1F"/>
          <w:spacing w:val="-4"/>
        </w:rPr>
        <w:t xml:space="preserve"> </w:t>
      </w:r>
      <w:r>
        <w:rPr>
          <w:color w:val="221F1F"/>
        </w:rPr>
        <w:t>pay,</w:t>
      </w:r>
      <w:r>
        <w:rPr>
          <w:color w:val="221F1F"/>
          <w:spacing w:val="-14"/>
        </w:rPr>
        <w:t xml:space="preserve"> </w:t>
      </w:r>
      <w:proofErr w:type="spellStart"/>
      <w:r>
        <w:rPr>
          <w:color w:val="221F1F"/>
        </w:rPr>
        <w:t>directto</w:t>
      </w:r>
      <w:proofErr w:type="spellEnd"/>
      <w:r>
        <w:rPr>
          <w:color w:val="221F1F"/>
        </w:rPr>
        <w:t xml:space="preserve"> the nominated Subcontractor, part or all of such amounts previously certified (less applicable deductions) as</w:t>
      </w:r>
      <w:r>
        <w:rPr>
          <w:color w:val="221F1F"/>
          <w:spacing w:val="-1"/>
        </w:rPr>
        <w:t xml:space="preserve"> </w:t>
      </w:r>
      <w:r>
        <w:rPr>
          <w:color w:val="221F1F"/>
        </w:rPr>
        <w:t>are</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3"/>
        </w:rPr>
        <w:t xml:space="preserve"> </w:t>
      </w:r>
      <w:r>
        <w:rPr>
          <w:color w:val="221F1F"/>
        </w:rPr>
        <w:t>and</w:t>
      </w:r>
      <w:r>
        <w:rPr>
          <w:color w:val="221F1F"/>
          <w:spacing w:val="-1"/>
        </w:rPr>
        <w:t xml:space="preserve"> </w:t>
      </w:r>
      <w:r>
        <w:rPr>
          <w:color w:val="221F1F"/>
        </w:rPr>
        <w:t>for</w:t>
      </w:r>
      <w:r>
        <w:rPr>
          <w:color w:val="221F1F"/>
          <w:spacing w:val="-1"/>
        </w:rPr>
        <w:t xml:space="preserve"> </w:t>
      </w:r>
      <w:r>
        <w:rPr>
          <w:color w:val="221F1F"/>
        </w:rPr>
        <w:t>which</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has</w:t>
      </w:r>
      <w:r>
        <w:rPr>
          <w:color w:val="221F1F"/>
          <w:spacing w:val="-1"/>
        </w:rPr>
        <w:t xml:space="preserve"> </w:t>
      </w:r>
      <w:r>
        <w:rPr>
          <w:color w:val="221F1F"/>
        </w:rPr>
        <w:t>failed</w:t>
      </w:r>
      <w:r>
        <w:rPr>
          <w:color w:val="221F1F"/>
          <w:spacing w:val="-1"/>
        </w:rPr>
        <w:t xml:space="preserve"> </w:t>
      </w:r>
      <w:r>
        <w:rPr>
          <w:color w:val="221F1F"/>
        </w:rPr>
        <w:t>to submit</w:t>
      </w:r>
      <w:r>
        <w:rPr>
          <w:color w:val="221F1F"/>
          <w:spacing w:val="-9"/>
        </w:rPr>
        <w:t xml:space="preserve"> </w:t>
      </w:r>
      <w:r>
        <w:rPr>
          <w:color w:val="221F1F"/>
        </w:rPr>
        <w:t>the</w:t>
      </w:r>
      <w:r>
        <w:rPr>
          <w:color w:val="221F1F"/>
          <w:spacing w:val="-10"/>
        </w:rPr>
        <w:t xml:space="preserve"> </w:t>
      </w:r>
      <w:r>
        <w:rPr>
          <w:color w:val="221F1F"/>
        </w:rPr>
        <w:t>evidence</w:t>
      </w:r>
      <w:r>
        <w:rPr>
          <w:color w:val="221F1F"/>
          <w:spacing w:val="-7"/>
        </w:rPr>
        <w:t xml:space="preserve"> </w:t>
      </w:r>
      <w:r>
        <w:rPr>
          <w:color w:val="221F1F"/>
        </w:rPr>
        <w:t>described</w:t>
      </w:r>
      <w:r>
        <w:rPr>
          <w:color w:val="221F1F"/>
          <w:spacing w:val="-7"/>
        </w:rPr>
        <w:t xml:space="preserve"> </w:t>
      </w:r>
      <w:r>
        <w:rPr>
          <w:color w:val="221F1F"/>
        </w:rPr>
        <w:t>in</w:t>
      </w:r>
      <w:r>
        <w:rPr>
          <w:color w:val="221F1F"/>
          <w:spacing w:val="-10"/>
        </w:rPr>
        <w:t xml:space="preserve"> </w:t>
      </w:r>
      <w:r>
        <w:rPr>
          <w:color w:val="221F1F"/>
        </w:rPr>
        <w:t>sub-paragraphs</w:t>
      </w:r>
      <w:r>
        <w:rPr>
          <w:color w:val="221F1F"/>
          <w:spacing w:val="-9"/>
        </w:rPr>
        <w:t xml:space="preserve"> </w:t>
      </w:r>
      <w:r>
        <w:rPr>
          <w:color w:val="221F1F"/>
        </w:rPr>
        <w:t>(a)</w:t>
      </w:r>
      <w:r>
        <w:rPr>
          <w:color w:val="221F1F"/>
          <w:spacing w:val="-7"/>
        </w:rPr>
        <w:t xml:space="preserve"> </w:t>
      </w:r>
      <w:r>
        <w:rPr>
          <w:color w:val="221F1F"/>
        </w:rPr>
        <w:t>or</w:t>
      </w:r>
      <w:r>
        <w:rPr>
          <w:color w:val="221F1F"/>
          <w:spacing w:val="-10"/>
        </w:rPr>
        <w:t xml:space="preserve"> </w:t>
      </w:r>
      <w:r>
        <w:rPr>
          <w:color w:val="221F1F"/>
        </w:rPr>
        <w:t>(b)</w:t>
      </w:r>
      <w:r>
        <w:rPr>
          <w:color w:val="221F1F"/>
          <w:spacing w:val="-7"/>
        </w:rPr>
        <w:t xml:space="preserve"> </w:t>
      </w:r>
      <w:proofErr w:type="spellStart"/>
      <w:r>
        <w:rPr>
          <w:color w:val="221F1F"/>
        </w:rPr>
        <w:t>above.The</w:t>
      </w:r>
      <w:proofErr w:type="spellEnd"/>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then</w:t>
      </w:r>
      <w:r>
        <w:rPr>
          <w:color w:val="221F1F"/>
          <w:spacing w:val="-10"/>
        </w:rPr>
        <w:t xml:space="preserve"> </w:t>
      </w:r>
      <w:r>
        <w:rPr>
          <w:color w:val="221F1F"/>
        </w:rPr>
        <w:t>repay, to the Procuring Entity,</w:t>
      </w:r>
      <w:r>
        <w:rPr>
          <w:color w:val="221F1F"/>
          <w:spacing w:val="-3"/>
        </w:rPr>
        <w:t xml:space="preserve"> </w:t>
      </w:r>
      <w:r>
        <w:rPr>
          <w:color w:val="221F1F"/>
        </w:rPr>
        <w:t>the amount which the nominated Subcontractor was directly paid by the Procuring Entity.</w:t>
      </w:r>
    </w:p>
    <w:p w:rsidR="007F6DF9" w:rsidRDefault="007F6DF9">
      <w:pPr>
        <w:pStyle w:val="BodyText"/>
        <w:spacing w:before="150"/>
      </w:pPr>
    </w:p>
    <w:p w:rsidR="007F6DF9" w:rsidRDefault="00A43FBC">
      <w:pPr>
        <w:pStyle w:val="Heading8"/>
        <w:numPr>
          <w:ilvl w:val="0"/>
          <w:numId w:val="122"/>
        </w:numPr>
        <w:tabs>
          <w:tab w:val="left" w:pos="1371"/>
        </w:tabs>
        <w:ind w:left="1371" w:hanging="660"/>
      </w:pPr>
      <w:bookmarkStart w:id="58" w:name="_bookmark56"/>
      <w:bookmarkEnd w:id="58"/>
      <w:r>
        <w:rPr>
          <w:color w:val="221F1F"/>
        </w:rPr>
        <w:t>STAFF</w:t>
      </w:r>
      <w:r>
        <w:rPr>
          <w:color w:val="221F1F"/>
          <w:spacing w:val="-5"/>
        </w:rPr>
        <w:t xml:space="preserve"> </w:t>
      </w:r>
      <w:r>
        <w:rPr>
          <w:color w:val="221F1F"/>
        </w:rPr>
        <w:t>AND</w:t>
      </w:r>
      <w:r>
        <w:rPr>
          <w:color w:val="221F1F"/>
          <w:spacing w:val="-5"/>
        </w:rPr>
        <w:t xml:space="preserve"> </w:t>
      </w:r>
      <w:r>
        <w:rPr>
          <w:color w:val="221F1F"/>
          <w:spacing w:val="-4"/>
        </w:rPr>
        <w:t>LABOR</w:t>
      </w:r>
    </w:p>
    <w:p w:rsidR="007F6DF9" w:rsidRDefault="00A43FBC">
      <w:pPr>
        <w:pStyle w:val="Heading9"/>
        <w:numPr>
          <w:ilvl w:val="1"/>
          <w:numId w:val="122"/>
        </w:numPr>
        <w:tabs>
          <w:tab w:val="left" w:pos="1371"/>
        </w:tabs>
        <w:spacing w:before="227"/>
        <w:ind w:left="1371" w:hanging="660"/>
        <w:rPr>
          <w:color w:val="221F1F"/>
        </w:rPr>
      </w:pPr>
      <w:r>
        <w:rPr>
          <w:color w:val="221F1F"/>
        </w:rPr>
        <w:t>Engagement</w:t>
      </w:r>
      <w:r>
        <w:rPr>
          <w:color w:val="221F1F"/>
          <w:spacing w:val="-2"/>
        </w:rPr>
        <w:t xml:space="preserve"> </w:t>
      </w:r>
      <w:r>
        <w:rPr>
          <w:color w:val="221F1F"/>
        </w:rPr>
        <w:t>of</w:t>
      </w:r>
      <w:r>
        <w:rPr>
          <w:color w:val="221F1F"/>
          <w:spacing w:val="-1"/>
        </w:rPr>
        <w:t xml:space="preserve"> </w:t>
      </w:r>
      <w:r>
        <w:rPr>
          <w:color w:val="221F1F"/>
        </w:rPr>
        <w:t>Staff</w:t>
      </w:r>
      <w:r>
        <w:rPr>
          <w:color w:val="221F1F"/>
          <w:spacing w:val="-4"/>
        </w:rPr>
        <w:t xml:space="preserve"> </w:t>
      </w:r>
      <w:r>
        <w:rPr>
          <w:color w:val="221F1F"/>
        </w:rPr>
        <w:t>and</w:t>
      </w:r>
      <w:r>
        <w:rPr>
          <w:color w:val="221F1F"/>
          <w:spacing w:val="-4"/>
        </w:rPr>
        <w:t xml:space="preserve"> Labor</w:t>
      </w:r>
    </w:p>
    <w:p w:rsidR="007F6DF9" w:rsidRDefault="00A43FBC">
      <w:pPr>
        <w:pStyle w:val="BodyText"/>
        <w:spacing w:before="161" w:line="230" w:lineRule="auto"/>
        <w:ind w:left="1366" w:right="553"/>
        <w:jc w:val="both"/>
      </w:pPr>
      <w:r>
        <w:rPr>
          <w:color w:val="221F1F"/>
        </w:rPr>
        <w:t>Except as otherwise stated in the Specification, the Contractor shall make arrangements for the engagement of all staff and labor, local or otherwise, and for their payment, feeding, transport, and, when appropriate, housing. The Contractor is encouraged, to the extent practicable and reasonable, to employ staff and labor with appropriate qualifications and experience from sources within Kenya.</w:t>
      </w:r>
    </w:p>
    <w:p w:rsidR="007F6DF9" w:rsidRDefault="00A43FBC">
      <w:pPr>
        <w:pStyle w:val="Heading9"/>
        <w:numPr>
          <w:ilvl w:val="1"/>
          <w:numId w:val="122"/>
        </w:numPr>
        <w:tabs>
          <w:tab w:val="left" w:pos="1371"/>
        </w:tabs>
        <w:spacing w:before="237"/>
        <w:ind w:left="1371" w:hanging="660"/>
        <w:rPr>
          <w:color w:val="221F1F"/>
        </w:rPr>
      </w:pPr>
      <w:r>
        <w:rPr>
          <w:color w:val="221F1F"/>
        </w:rPr>
        <w:t>Rates</w:t>
      </w:r>
      <w:r>
        <w:rPr>
          <w:color w:val="221F1F"/>
          <w:spacing w:val="-5"/>
        </w:rPr>
        <w:t xml:space="preserve"> </w:t>
      </w:r>
      <w:r>
        <w:rPr>
          <w:color w:val="221F1F"/>
        </w:rPr>
        <w:t>of</w:t>
      </w:r>
      <w:r>
        <w:rPr>
          <w:color w:val="221F1F"/>
          <w:spacing w:val="-4"/>
        </w:rPr>
        <w:t xml:space="preserve"> </w:t>
      </w:r>
      <w:r>
        <w:rPr>
          <w:color w:val="221F1F"/>
        </w:rPr>
        <w:t>Wages</w:t>
      </w:r>
      <w:r>
        <w:rPr>
          <w:color w:val="221F1F"/>
          <w:spacing w:val="-12"/>
        </w:rPr>
        <w:t xml:space="preserve"> </w:t>
      </w:r>
      <w:r>
        <w:rPr>
          <w:color w:val="221F1F"/>
        </w:rPr>
        <w:t>and</w:t>
      </w:r>
      <w:r>
        <w:rPr>
          <w:color w:val="221F1F"/>
          <w:spacing w:val="-6"/>
        </w:rPr>
        <w:t xml:space="preserve"> </w:t>
      </w:r>
      <w:r>
        <w:rPr>
          <w:color w:val="221F1F"/>
        </w:rPr>
        <w:t>Conditions</w:t>
      </w:r>
      <w:r>
        <w:rPr>
          <w:color w:val="221F1F"/>
          <w:spacing w:val="-4"/>
        </w:rPr>
        <w:t xml:space="preserve"> </w:t>
      </w:r>
      <w:r>
        <w:rPr>
          <w:color w:val="221F1F"/>
        </w:rPr>
        <w:t>of</w:t>
      </w:r>
      <w:r>
        <w:rPr>
          <w:color w:val="221F1F"/>
          <w:spacing w:val="-4"/>
        </w:rPr>
        <w:t xml:space="preserve"> </w:t>
      </w:r>
      <w:r>
        <w:rPr>
          <w:color w:val="221F1F"/>
          <w:spacing w:val="-2"/>
        </w:rPr>
        <w:t>Labor</w:t>
      </w:r>
    </w:p>
    <w:p w:rsidR="007F6DF9" w:rsidRDefault="00A43FBC">
      <w:pPr>
        <w:pStyle w:val="ListParagraph"/>
        <w:numPr>
          <w:ilvl w:val="2"/>
          <w:numId w:val="122"/>
        </w:numPr>
        <w:tabs>
          <w:tab w:val="left" w:pos="1368"/>
          <w:tab w:val="left" w:pos="1376"/>
        </w:tabs>
        <w:spacing w:before="243" w:line="230" w:lineRule="auto"/>
        <w:ind w:left="1376" w:right="561" w:hanging="666"/>
        <w:jc w:val="both"/>
        <w:rPr>
          <w:color w:val="221F1F"/>
        </w:rPr>
      </w:pPr>
      <w:r>
        <w:rPr>
          <w:color w:val="221F1F"/>
        </w:rP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w:t>
      </w:r>
      <w:r>
        <w:rPr>
          <w:color w:val="221F1F"/>
          <w:spacing w:val="-14"/>
        </w:rPr>
        <w:t xml:space="preserve"> </w:t>
      </w:r>
      <w:r>
        <w:rPr>
          <w:color w:val="221F1F"/>
        </w:rPr>
        <w:t>level</w:t>
      </w:r>
      <w:r>
        <w:rPr>
          <w:color w:val="221F1F"/>
          <w:spacing w:val="-14"/>
        </w:rPr>
        <w:t xml:space="preserve"> </w:t>
      </w:r>
      <w:r>
        <w:rPr>
          <w:color w:val="221F1F"/>
        </w:rPr>
        <w:t>of</w:t>
      </w:r>
      <w:r>
        <w:rPr>
          <w:color w:val="221F1F"/>
          <w:spacing w:val="-14"/>
        </w:rPr>
        <w:t xml:space="preserve"> </w:t>
      </w:r>
      <w:r>
        <w:rPr>
          <w:color w:val="221F1F"/>
        </w:rPr>
        <w:t>wages</w:t>
      </w:r>
      <w:r>
        <w:rPr>
          <w:color w:val="221F1F"/>
          <w:spacing w:val="-14"/>
        </w:rPr>
        <w:t xml:space="preserve"> </w:t>
      </w:r>
      <w:r>
        <w:rPr>
          <w:color w:val="221F1F"/>
        </w:rPr>
        <w:t>and</w:t>
      </w:r>
      <w:r>
        <w:rPr>
          <w:color w:val="221F1F"/>
          <w:spacing w:val="-13"/>
        </w:rPr>
        <w:t xml:space="preserve"> </w:t>
      </w:r>
      <w:r>
        <w:rPr>
          <w:color w:val="221F1F"/>
        </w:rPr>
        <w:t>conditions</w:t>
      </w:r>
      <w:r>
        <w:rPr>
          <w:color w:val="221F1F"/>
          <w:spacing w:val="-13"/>
        </w:rPr>
        <w:t xml:space="preserve"> </w:t>
      </w:r>
      <w:r>
        <w:rPr>
          <w:color w:val="221F1F"/>
        </w:rPr>
        <w:t>observed</w:t>
      </w:r>
      <w:r>
        <w:rPr>
          <w:color w:val="221F1F"/>
          <w:spacing w:val="-14"/>
        </w:rPr>
        <w:t xml:space="preserve"> </w:t>
      </w:r>
      <w:r>
        <w:rPr>
          <w:color w:val="221F1F"/>
        </w:rPr>
        <w:t>locally</w:t>
      </w:r>
      <w:r>
        <w:rPr>
          <w:color w:val="221F1F"/>
          <w:spacing w:val="-12"/>
        </w:rPr>
        <w:t xml:space="preserve"> </w:t>
      </w:r>
      <w:r>
        <w:rPr>
          <w:color w:val="221F1F"/>
        </w:rPr>
        <w:t>by</w:t>
      </w:r>
      <w:r>
        <w:rPr>
          <w:color w:val="221F1F"/>
          <w:spacing w:val="-14"/>
        </w:rPr>
        <w:t xml:space="preserve"> </w:t>
      </w:r>
      <w:r>
        <w:rPr>
          <w:color w:val="221F1F"/>
        </w:rPr>
        <w:t>Procuring</w:t>
      </w:r>
      <w:r>
        <w:rPr>
          <w:color w:val="221F1F"/>
          <w:spacing w:val="-14"/>
        </w:rPr>
        <w:t xml:space="preserve"> </w:t>
      </w:r>
      <w:r>
        <w:rPr>
          <w:color w:val="221F1F"/>
        </w:rPr>
        <w:t>Entity's</w:t>
      </w:r>
      <w:r>
        <w:rPr>
          <w:color w:val="221F1F"/>
          <w:spacing w:val="-12"/>
        </w:rPr>
        <w:t xml:space="preserve"> </w:t>
      </w:r>
      <w:r>
        <w:rPr>
          <w:color w:val="221F1F"/>
        </w:rPr>
        <w:t>whose</w:t>
      </w:r>
      <w:r>
        <w:rPr>
          <w:color w:val="221F1F"/>
          <w:spacing w:val="-13"/>
        </w:rPr>
        <w:t xml:space="preserve"> </w:t>
      </w:r>
      <w:r>
        <w:rPr>
          <w:color w:val="221F1F"/>
        </w:rPr>
        <w:t>trade</w:t>
      </w:r>
      <w:r>
        <w:rPr>
          <w:color w:val="221F1F"/>
          <w:spacing w:val="-13"/>
        </w:rPr>
        <w:t xml:space="preserve"> </w:t>
      </w:r>
      <w:r>
        <w:rPr>
          <w:color w:val="221F1F"/>
        </w:rPr>
        <w:t>or</w:t>
      </w:r>
      <w:r>
        <w:rPr>
          <w:color w:val="221F1F"/>
          <w:spacing w:val="-13"/>
        </w:rPr>
        <w:t xml:space="preserve"> </w:t>
      </w:r>
      <w:r>
        <w:rPr>
          <w:color w:val="221F1F"/>
        </w:rPr>
        <w:t>industry</w:t>
      </w:r>
      <w:r>
        <w:rPr>
          <w:color w:val="221F1F"/>
          <w:spacing w:val="-14"/>
        </w:rPr>
        <w:t xml:space="preserve"> </w:t>
      </w:r>
      <w:r>
        <w:rPr>
          <w:color w:val="221F1F"/>
        </w:rPr>
        <w:t>is</w:t>
      </w:r>
      <w:r>
        <w:rPr>
          <w:color w:val="221F1F"/>
          <w:spacing w:val="-14"/>
        </w:rPr>
        <w:t xml:space="preserve"> </w:t>
      </w:r>
      <w:r>
        <w:rPr>
          <w:color w:val="221F1F"/>
        </w:rPr>
        <w:t>similar</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line="244" w:lineRule="exact"/>
        <w:ind w:left="1376"/>
        <w:jc w:val="both"/>
      </w:pPr>
      <w:r>
        <w:rPr>
          <w:noProof/>
        </w:rPr>
        <w:lastRenderedPageBreak/>
        <mc:AlternateContent>
          <mc:Choice Requires="wpg">
            <w:drawing>
              <wp:anchor distT="0" distB="0" distL="0" distR="0" simplePos="0" relativeHeight="479600128"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25" name="Graphic 32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26" name="Graphic 32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08F3F98C" id="Group 324" o:spid="_x0000_s1026" style="position:absolute;margin-left:-.1pt;margin-top:806.2pt;width:595.45pt;height:24.5pt;z-index:-2371635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E92mj5ZAwAA3AsAAA4A&#10;AAAAAAAAAAAAAAAALgIAAGRycy9lMm9Eb2MueG1sUEsBAi0AFAAGAAgAAAAhAHX34X/hAAAADAEA&#10;AA8AAAAAAAAAAAAAAAAAswUAAGRycy9kb3ducmV2LnhtbFBLBQYAAAAABAAEAPMAAADBBgAAAAA=&#10;">
                <v:shape id="Graphic 32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" path="m944880,l,,,307975r790575,l839470,300355r41910,-22225l915035,245110r22225,-42545l944880,153670,944880,xe" fillcolor="#00a650" stroked="f">
                  <v:path arrowok="t"/>
                </v:shape>
                <v:shape id="Graphic 32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to</w:t>
      </w:r>
      <w:r>
        <w:rPr>
          <w:color w:val="221F1F"/>
          <w:spacing w:val="-1"/>
        </w:rPr>
        <w:t xml:space="preserve"> </w:t>
      </w:r>
      <w:r>
        <w:rPr>
          <w:color w:val="221F1F"/>
        </w:rPr>
        <w:t>that</w:t>
      </w:r>
      <w:r>
        <w:rPr>
          <w:color w:val="221F1F"/>
          <w:spacing w:val="-2"/>
        </w:rPr>
        <w:t xml:space="preserve"> </w:t>
      </w:r>
      <w:r>
        <w:rPr>
          <w:color w:val="221F1F"/>
        </w:rPr>
        <w:t>of</w:t>
      </w:r>
      <w:r>
        <w:rPr>
          <w:color w:val="221F1F"/>
          <w:spacing w:val="-2"/>
        </w:rPr>
        <w:t xml:space="preserve"> </w:t>
      </w:r>
      <w:proofErr w:type="spellStart"/>
      <w:r>
        <w:rPr>
          <w:color w:val="221F1F"/>
          <w:spacing w:val="-2"/>
        </w:rPr>
        <w:t>theContractor</w:t>
      </w:r>
      <w:proofErr w:type="spellEnd"/>
      <w:r>
        <w:rPr>
          <w:color w:val="221F1F"/>
          <w:spacing w:val="-2"/>
        </w:rPr>
        <w:t>.</w:t>
      </w:r>
    </w:p>
    <w:p w:rsidR="007F6DF9" w:rsidRDefault="00A43FBC">
      <w:pPr>
        <w:pStyle w:val="ListParagraph"/>
        <w:numPr>
          <w:ilvl w:val="2"/>
          <w:numId w:val="122"/>
        </w:numPr>
        <w:tabs>
          <w:tab w:val="left" w:pos="1368"/>
          <w:tab w:val="left" w:pos="1376"/>
        </w:tabs>
        <w:spacing w:before="245" w:line="230" w:lineRule="auto"/>
        <w:ind w:left="1376" w:right="560" w:hanging="666"/>
        <w:jc w:val="both"/>
        <w:rPr>
          <w:color w:val="221F1F"/>
        </w:rPr>
      </w:pPr>
      <w:r>
        <w:rPr>
          <w:color w:val="221F1F"/>
        </w:rPr>
        <w:t>The Contractor shall inform the Contractor's Personnel about their liability to pay personal income taxes in Kenya in</w:t>
      </w:r>
      <w:r>
        <w:rPr>
          <w:color w:val="221F1F"/>
          <w:spacing w:val="-1"/>
        </w:rPr>
        <w:t xml:space="preserve"> </w:t>
      </w:r>
      <w:r>
        <w:rPr>
          <w:color w:val="221F1F"/>
        </w:rPr>
        <w:t>respect of such of</w:t>
      </w:r>
      <w:r>
        <w:rPr>
          <w:color w:val="221F1F"/>
          <w:spacing w:val="-1"/>
        </w:rPr>
        <w:t xml:space="preserve"> </w:t>
      </w:r>
      <w:r>
        <w:rPr>
          <w:color w:val="221F1F"/>
        </w:rPr>
        <w:t>their salaries, wages, allowances</w:t>
      </w:r>
      <w:r>
        <w:rPr>
          <w:color w:val="221F1F"/>
          <w:spacing w:val="-1"/>
        </w:rPr>
        <w:t xml:space="preserve"> </w:t>
      </w:r>
      <w:r>
        <w:rPr>
          <w:color w:val="221F1F"/>
        </w:rPr>
        <w:t>and any benefits as are subject to tax under the Laws of Kenya for the time being in force, and the Contractor shall perform such duties in regard to such deductions there of as may be imposed on him by such Laws.</w:t>
      </w:r>
    </w:p>
    <w:p w:rsidR="007F6DF9" w:rsidRDefault="00A43FBC">
      <w:pPr>
        <w:pStyle w:val="Heading9"/>
        <w:numPr>
          <w:ilvl w:val="1"/>
          <w:numId w:val="122"/>
        </w:numPr>
        <w:tabs>
          <w:tab w:val="left" w:pos="1371"/>
        </w:tabs>
        <w:spacing w:before="237"/>
        <w:ind w:left="1371" w:hanging="660"/>
        <w:rPr>
          <w:color w:val="221F1F"/>
        </w:rPr>
      </w:pPr>
      <w:r>
        <w:rPr>
          <w:color w:val="221F1F"/>
        </w:rPr>
        <w:t>Persons</w:t>
      </w:r>
      <w:r>
        <w:rPr>
          <w:color w:val="221F1F"/>
          <w:spacing w:val="-6"/>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Service</w:t>
      </w:r>
      <w:r>
        <w:rPr>
          <w:color w:val="221F1F"/>
          <w:spacing w:val="-1"/>
        </w:rPr>
        <w:t xml:space="preserve"> </w:t>
      </w:r>
      <w:r>
        <w:rPr>
          <w:color w:val="221F1F"/>
        </w:rPr>
        <w:t>of</w:t>
      </w:r>
      <w:r>
        <w:rPr>
          <w:color w:val="221F1F"/>
          <w:spacing w:val="-3"/>
        </w:rPr>
        <w:t xml:space="preserve"> </w:t>
      </w:r>
      <w:r>
        <w:rPr>
          <w:color w:val="221F1F"/>
        </w:rPr>
        <w:t>Procuring</w:t>
      </w:r>
      <w:r>
        <w:rPr>
          <w:color w:val="221F1F"/>
          <w:spacing w:val="-1"/>
        </w:rPr>
        <w:t xml:space="preserve"> </w:t>
      </w:r>
      <w:r>
        <w:rPr>
          <w:color w:val="221F1F"/>
          <w:spacing w:val="-2"/>
        </w:rPr>
        <w:t>Entity</w:t>
      </w:r>
    </w:p>
    <w:p w:rsidR="007F6DF9" w:rsidRDefault="00A43FBC">
      <w:pPr>
        <w:pStyle w:val="BodyText"/>
        <w:spacing w:before="243" w:line="230" w:lineRule="auto"/>
        <w:ind w:left="1376" w:right="572" w:hanging="5"/>
        <w:jc w:val="both"/>
      </w:pPr>
      <w:r>
        <w:rPr>
          <w:color w:val="221F1F"/>
        </w:rPr>
        <w:t xml:space="preserve">The Contractor shall not recruit, or attempt to recruit, staff and </w:t>
      </w:r>
      <w:proofErr w:type="spellStart"/>
      <w:r>
        <w:rPr>
          <w:color w:val="221F1F"/>
        </w:rPr>
        <w:t>labour</w:t>
      </w:r>
      <w:proofErr w:type="spellEnd"/>
      <w:r>
        <w:rPr>
          <w:color w:val="221F1F"/>
        </w:rPr>
        <w:t xml:space="preserve"> from amongst the Procuring Entity's </w:t>
      </w:r>
      <w:r>
        <w:rPr>
          <w:color w:val="221F1F"/>
          <w:spacing w:val="-2"/>
        </w:rPr>
        <w:t>Personnel.</w:t>
      </w:r>
    </w:p>
    <w:p w:rsidR="007F6DF9" w:rsidRDefault="00A43FBC">
      <w:pPr>
        <w:pStyle w:val="Heading9"/>
        <w:numPr>
          <w:ilvl w:val="1"/>
          <w:numId w:val="122"/>
        </w:numPr>
        <w:tabs>
          <w:tab w:val="left" w:pos="1371"/>
        </w:tabs>
        <w:spacing w:before="235"/>
        <w:ind w:left="1371" w:hanging="660"/>
        <w:rPr>
          <w:color w:val="221F1F"/>
        </w:rPr>
      </w:pPr>
      <w:proofErr w:type="spellStart"/>
      <w:r>
        <w:rPr>
          <w:color w:val="221F1F"/>
        </w:rPr>
        <w:t>Lab</w:t>
      </w:r>
      <w:r>
        <w:rPr>
          <w:color w:val="221F1F"/>
          <w:spacing w:val="-4"/>
        </w:rPr>
        <w:t xml:space="preserve"> </w:t>
      </w:r>
      <w:r>
        <w:rPr>
          <w:color w:val="221F1F"/>
        </w:rPr>
        <w:t>or</w:t>
      </w:r>
      <w:proofErr w:type="spellEnd"/>
      <w:r>
        <w:rPr>
          <w:color w:val="221F1F"/>
        </w:rPr>
        <w:t xml:space="preserve"> </w:t>
      </w:r>
      <w:r>
        <w:rPr>
          <w:color w:val="221F1F"/>
          <w:spacing w:val="-4"/>
        </w:rPr>
        <w:t>Laws</w:t>
      </w:r>
    </w:p>
    <w:p w:rsidR="007F6DF9" w:rsidRDefault="00A43FBC">
      <w:pPr>
        <w:pStyle w:val="BodyText"/>
        <w:spacing w:before="243" w:line="230" w:lineRule="auto"/>
        <w:ind w:left="1376" w:right="546" w:hanging="5"/>
        <w:jc w:val="both"/>
      </w:pPr>
      <w:r>
        <w:rPr>
          <w:color w:val="221F1F"/>
        </w:rPr>
        <w:t xml:space="preserve">The Contractor shall comply with all the relevant </w:t>
      </w:r>
      <w:proofErr w:type="spellStart"/>
      <w:r>
        <w:rPr>
          <w:color w:val="221F1F"/>
        </w:rPr>
        <w:t>labour</w:t>
      </w:r>
      <w:proofErr w:type="spellEnd"/>
      <w:r>
        <w:rPr>
          <w:color w:val="221F1F"/>
        </w:rPr>
        <w:t xml:space="preserve"> Laws applicable to the Contractor's Personnel, including Laws relating to their employment, employment of children, health, safety, welfare, immigration and</w:t>
      </w:r>
      <w:r>
        <w:rPr>
          <w:color w:val="221F1F"/>
          <w:spacing w:val="-7"/>
        </w:rPr>
        <w:t xml:space="preserve"> </w:t>
      </w:r>
      <w:r>
        <w:rPr>
          <w:color w:val="221F1F"/>
        </w:rPr>
        <w:t>emigration,</w:t>
      </w:r>
      <w:r>
        <w:rPr>
          <w:color w:val="221F1F"/>
          <w:spacing w:val="-7"/>
        </w:rPr>
        <w:t xml:space="preserve"> </w:t>
      </w:r>
      <w:r>
        <w:rPr>
          <w:color w:val="221F1F"/>
        </w:rPr>
        <w:t>and</w:t>
      </w:r>
      <w:r>
        <w:rPr>
          <w:color w:val="221F1F"/>
          <w:spacing w:val="-7"/>
        </w:rPr>
        <w:t xml:space="preserve"> </w:t>
      </w:r>
      <w:r>
        <w:rPr>
          <w:color w:val="221F1F"/>
        </w:rPr>
        <w:t>shall</w:t>
      </w:r>
      <w:r>
        <w:rPr>
          <w:color w:val="221F1F"/>
          <w:spacing w:val="-6"/>
        </w:rPr>
        <w:t xml:space="preserve"> </w:t>
      </w:r>
      <w:r>
        <w:rPr>
          <w:color w:val="221F1F"/>
        </w:rPr>
        <w:t>allow</w:t>
      </w:r>
      <w:r>
        <w:rPr>
          <w:color w:val="221F1F"/>
          <w:spacing w:val="-8"/>
        </w:rPr>
        <w:t xml:space="preserve"> </w:t>
      </w:r>
      <w:r>
        <w:rPr>
          <w:color w:val="221F1F"/>
        </w:rPr>
        <w:t>them</w:t>
      </w:r>
      <w:r>
        <w:rPr>
          <w:color w:val="221F1F"/>
          <w:spacing w:val="-8"/>
        </w:rPr>
        <w:t xml:space="preserve"> </w:t>
      </w:r>
      <w:r>
        <w:rPr>
          <w:color w:val="221F1F"/>
        </w:rPr>
        <w:t>all</w:t>
      </w:r>
      <w:r>
        <w:rPr>
          <w:color w:val="221F1F"/>
          <w:spacing w:val="-9"/>
        </w:rPr>
        <w:t xml:space="preserve"> </w:t>
      </w:r>
      <w:r>
        <w:rPr>
          <w:color w:val="221F1F"/>
        </w:rPr>
        <w:t>their</w:t>
      </w:r>
      <w:r>
        <w:rPr>
          <w:color w:val="221F1F"/>
          <w:spacing w:val="-9"/>
        </w:rPr>
        <w:t xml:space="preserve"> </w:t>
      </w:r>
      <w:r>
        <w:rPr>
          <w:color w:val="221F1F"/>
        </w:rPr>
        <w:t>legal</w:t>
      </w:r>
      <w:r>
        <w:rPr>
          <w:color w:val="221F1F"/>
          <w:spacing w:val="-8"/>
        </w:rPr>
        <w:t xml:space="preserve"> </w:t>
      </w:r>
      <w:r>
        <w:rPr>
          <w:color w:val="221F1F"/>
        </w:rPr>
        <w:t>rights.</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9"/>
        </w:rPr>
        <w:t xml:space="preserve"> </w:t>
      </w:r>
      <w:r>
        <w:rPr>
          <w:color w:val="221F1F"/>
        </w:rPr>
        <w:t>require</w:t>
      </w:r>
      <w:r>
        <w:rPr>
          <w:color w:val="221F1F"/>
          <w:spacing w:val="-9"/>
        </w:rPr>
        <w:t xml:space="preserve"> </w:t>
      </w:r>
      <w:r>
        <w:rPr>
          <w:color w:val="221F1F"/>
        </w:rPr>
        <w:t>his</w:t>
      </w:r>
      <w:r>
        <w:rPr>
          <w:color w:val="221F1F"/>
          <w:spacing w:val="-6"/>
        </w:rPr>
        <w:t xml:space="preserve"> </w:t>
      </w:r>
      <w:r>
        <w:rPr>
          <w:color w:val="221F1F"/>
        </w:rPr>
        <w:t>employees</w:t>
      </w:r>
      <w:r>
        <w:rPr>
          <w:color w:val="221F1F"/>
          <w:spacing w:val="-9"/>
        </w:rPr>
        <w:t xml:space="preserve"> </w:t>
      </w:r>
      <w:r>
        <w:rPr>
          <w:color w:val="221F1F"/>
        </w:rPr>
        <w:t>to</w:t>
      </w:r>
      <w:r>
        <w:rPr>
          <w:color w:val="221F1F"/>
          <w:spacing w:val="-7"/>
        </w:rPr>
        <w:t xml:space="preserve"> </w:t>
      </w:r>
      <w:r>
        <w:rPr>
          <w:color w:val="221F1F"/>
        </w:rPr>
        <w:t>obey all applicable Laws, including those concerning safety at work.</w:t>
      </w:r>
    </w:p>
    <w:p w:rsidR="007F6DF9" w:rsidRDefault="00A43FBC">
      <w:pPr>
        <w:pStyle w:val="Heading9"/>
        <w:numPr>
          <w:ilvl w:val="1"/>
          <w:numId w:val="122"/>
        </w:numPr>
        <w:tabs>
          <w:tab w:val="left" w:pos="1371"/>
        </w:tabs>
        <w:spacing w:before="237"/>
        <w:ind w:left="1371" w:hanging="660"/>
        <w:rPr>
          <w:color w:val="221F1F"/>
        </w:rPr>
      </w:pPr>
      <w:r>
        <w:rPr>
          <w:color w:val="221F1F"/>
        </w:rPr>
        <w:t>Working</w:t>
      </w:r>
      <w:r>
        <w:rPr>
          <w:color w:val="221F1F"/>
          <w:spacing w:val="-5"/>
        </w:rPr>
        <w:t xml:space="preserve"> </w:t>
      </w:r>
      <w:r>
        <w:rPr>
          <w:color w:val="221F1F"/>
          <w:spacing w:val="-2"/>
        </w:rPr>
        <w:t>Hours</w:t>
      </w:r>
    </w:p>
    <w:p w:rsidR="007F6DF9" w:rsidRDefault="00A43FBC">
      <w:pPr>
        <w:pStyle w:val="BodyText"/>
        <w:spacing w:before="243" w:line="230" w:lineRule="auto"/>
        <w:ind w:left="1376" w:right="575" w:hanging="5"/>
      </w:pPr>
      <w:proofErr w:type="spellStart"/>
      <w:r>
        <w:rPr>
          <w:color w:val="221F1F"/>
        </w:rPr>
        <w:t>Nowork</w:t>
      </w:r>
      <w:proofErr w:type="spellEnd"/>
      <w:r>
        <w:rPr>
          <w:color w:val="221F1F"/>
        </w:rPr>
        <w:t xml:space="preserve"> shall be carried out on the Site on locally recognized days of rest, or outside the normal working</w:t>
      </w:r>
      <w:r>
        <w:rPr>
          <w:color w:val="221F1F"/>
          <w:spacing w:val="80"/>
        </w:rPr>
        <w:t xml:space="preserve"> </w:t>
      </w:r>
      <w:r>
        <w:rPr>
          <w:color w:val="221F1F"/>
        </w:rPr>
        <w:t xml:space="preserve">hours stated in the </w:t>
      </w:r>
      <w:r>
        <w:rPr>
          <w:b/>
          <w:color w:val="221F1F"/>
        </w:rPr>
        <w:t>Special Conditions of Contract</w:t>
      </w:r>
      <w:r>
        <w:rPr>
          <w:color w:val="221F1F"/>
        </w:rPr>
        <w:t>, unless:</w:t>
      </w:r>
    </w:p>
    <w:p w:rsidR="007F6DF9" w:rsidRDefault="00A43FBC">
      <w:pPr>
        <w:pStyle w:val="ListParagraph"/>
        <w:numPr>
          <w:ilvl w:val="0"/>
          <w:numId w:val="106"/>
        </w:numPr>
        <w:tabs>
          <w:tab w:val="left" w:pos="1839"/>
        </w:tabs>
        <w:spacing w:line="237" w:lineRule="exact"/>
      </w:pP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spacing w:val="-2"/>
        </w:rPr>
        <w:t>Contract,</w:t>
      </w:r>
    </w:p>
    <w:p w:rsidR="007F6DF9" w:rsidRDefault="00A43FBC">
      <w:pPr>
        <w:pStyle w:val="ListParagraph"/>
        <w:numPr>
          <w:ilvl w:val="0"/>
          <w:numId w:val="106"/>
        </w:numPr>
        <w:tabs>
          <w:tab w:val="left" w:pos="1839"/>
        </w:tabs>
        <w:spacing w:line="246" w:lineRule="exact"/>
      </w:pPr>
      <w:r>
        <w:rPr>
          <w:color w:val="221F1F"/>
        </w:rPr>
        <w:t>The</w:t>
      </w:r>
      <w:r>
        <w:rPr>
          <w:color w:val="221F1F"/>
          <w:spacing w:val="-5"/>
        </w:rPr>
        <w:t xml:space="preserve"> </w:t>
      </w:r>
      <w:r>
        <w:rPr>
          <w:color w:val="221F1F"/>
        </w:rPr>
        <w:t>Architect</w:t>
      </w:r>
      <w:r>
        <w:rPr>
          <w:color w:val="221F1F"/>
          <w:spacing w:val="-4"/>
        </w:rPr>
        <w:t xml:space="preserve"> </w:t>
      </w:r>
      <w:r>
        <w:rPr>
          <w:color w:val="221F1F"/>
        </w:rPr>
        <w:t>gives</w:t>
      </w:r>
      <w:r>
        <w:rPr>
          <w:color w:val="221F1F"/>
          <w:spacing w:val="-4"/>
        </w:rPr>
        <w:t xml:space="preserve"> </w:t>
      </w:r>
      <w:r>
        <w:rPr>
          <w:color w:val="221F1F"/>
        </w:rPr>
        <w:t>consent,</w:t>
      </w:r>
      <w:r>
        <w:rPr>
          <w:color w:val="221F1F"/>
          <w:spacing w:val="-4"/>
        </w:rPr>
        <w:t xml:space="preserve"> </w:t>
      </w:r>
      <w:r>
        <w:rPr>
          <w:color w:val="221F1F"/>
          <w:spacing w:val="-5"/>
        </w:rPr>
        <w:t>or</w:t>
      </w:r>
    </w:p>
    <w:p w:rsidR="007F6DF9" w:rsidRDefault="00A43FBC">
      <w:pPr>
        <w:pStyle w:val="ListParagraph"/>
        <w:numPr>
          <w:ilvl w:val="0"/>
          <w:numId w:val="106"/>
        </w:numPr>
        <w:tabs>
          <w:tab w:val="left" w:pos="1839"/>
        </w:tabs>
        <w:spacing w:before="5" w:line="230" w:lineRule="auto"/>
        <w:ind w:right="555"/>
        <w:jc w:val="both"/>
      </w:pPr>
      <w:r>
        <w:rPr>
          <w:color w:val="221F1F"/>
        </w:rPr>
        <w:t>The</w:t>
      </w:r>
      <w:r>
        <w:rPr>
          <w:color w:val="221F1F"/>
          <w:spacing w:val="-13"/>
        </w:rPr>
        <w:t xml:space="preserve"> </w:t>
      </w:r>
      <w:r>
        <w:rPr>
          <w:color w:val="221F1F"/>
        </w:rPr>
        <w:t>work</w:t>
      </w:r>
      <w:r>
        <w:rPr>
          <w:color w:val="221F1F"/>
          <w:spacing w:val="-14"/>
        </w:rPr>
        <w:t xml:space="preserve"> </w:t>
      </w:r>
      <w:r>
        <w:rPr>
          <w:color w:val="221F1F"/>
        </w:rPr>
        <w:t>is</w:t>
      </w:r>
      <w:r>
        <w:rPr>
          <w:color w:val="221F1F"/>
          <w:spacing w:val="-14"/>
        </w:rPr>
        <w:t xml:space="preserve"> </w:t>
      </w:r>
      <w:r>
        <w:rPr>
          <w:color w:val="221F1F"/>
        </w:rPr>
        <w:t>unavoidable,</w:t>
      </w:r>
      <w:r>
        <w:rPr>
          <w:color w:val="221F1F"/>
          <w:spacing w:val="-11"/>
        </w:rPr>
        <w:t xml:space="preserve"> </w:t>
      </w:r>
      <w:r>
        <w:rPr>
          <w:color w:val="221F1F"/>
        </w:rPr>
        <w:t>or</w:t>
      </w:r>
      <w:r>
        <w:rPr>
          <w:color w:val="221F1F"/>
          <w:spacing w:val="-13"/>
        </w:rPr>
        <w:t xml:space="preserve"> </w:t>
      </w:r>
      <w:r>
        <w:rPr>
          <w:color w:val="221F1F"/>
        </w:rPr>
        <w:t>necessary</w:t>
      </w:r>
      <w:r>
        <w:rPr>
          <w:color w:val="221F1F"/>
          <w:spacing w:val="-14"/>
        </w:rPr>
        <w:t xml:space="preserve"> </w:t>
      </w:r>
      <w:r>
        <w:rPr>
          <w:color w:val="221F1F"/>
        </w:rPr>
        <w:t>for</w:t>
      </w:r>
      <w:r>
        <w:rPr>
          <w:color w:val="221F1F"/>
          <w:spacing w:val="-13"/>
        </w:rPr>
        <w:t xml:space="preserve"> </w:t>
      </w:r>
      <w:r>
        <w:rPr>
          <w:color w:val="221F1F"/>
        </w:rPr>
        <w:t>the</w:t>
      </w:r>
      <w:r>
        <w:rPr>
          <w:color w:val="221F1F"/>
          <w:spacing w:val="-11"/>
        </w:rPr>
        <w:t xml:space="preserve"> </w:t>
      </w:r>
      <w:r>
        <w:rPr>
          <w:color w:val="221F1F"/>
        </w:rPr>
        <w:t>protection</w:t>
      </w:r>
      <w:r>
        <w:rPr>
          <w:color w:val="221F1F"/>
          <w:spacing w:val="-13"/>
        </w:rPr>
        <w:t xml:space="preserve"> </w:t>
      </w:r>
      <w:r>
        <w:rPr>
          <w:color w:val="221F1F"/>
        </w:rPr>
        <w:t>of</w:t>
      </w:r>
      <w:r>
        <w:rPr>
          <w:color w:val="221F1F"/>
          <w:spacing w:val="-13"/>
        </w:rPr>
        <w:t xml:space="preserve"> </w:t>
      </w:r>
      <w:r>
        <w:rPr>
          <w:color w:val="221F1F"/>
        </w:rPr>
        <w:t>life</w:t>
      </w:r>
      <w:r>
        <w:rPr>
          <w:color w:val="221F1F"/>
          <w:spacing w:val="-11"/>
        </w:rPr>
        <w:t xml:space="preserve"> </w:t>
      </w:r>
      <w:r>
        <w:rPr>
          <w:color w:val="221F1F"/>
        </w:rPr>
        <w:t>or</w:t>
      </w:r>
      <w:r>
        <w:rPr>
          <w:color w:val="221F1F"/>
          <w:spacing w:val="-13"/>
        </w:rPr>
        <w:t xml:space="preserve"> </w:t>
      </w:r>
      <w:r>
        <w:rPr>
          <w:color w:val="221F1F"/>
        </w:rPr>
        <w:t>property</w:t>
      </w:r>
      <w:r>
        <w:rPr>
          <w:color w:val="221F1F"/>
          <w:spacing w:val="-14"/>
        </w:rPr>
        <w:t xml:space="preserve"> </w:t>
      </w:r>
      <w:r>
        <w:rPr>
          <w:color w:val="221F1F"/>
        </w:rPr>
        <w:t>or</w:t>
      </w:r>
      <w:r>
        <w:rPr>
          <w:color w:val="221F1F"/>
          <w:spacing w:val="-13"/>
        </w:rPr>
        <w:t xml:space="preserve"> </w:t>
      </w:r>
      <w:r>
        <w:rPr>
          <w:color w:val="221F1F"/>
        </w:rPr>
        <w:t>for</w:t>
      </w:r>
      <w:r>
        <w:rPr>
          <w:color w:val="221F1F"/>
          <w:spacing w:val="-13"/>
        </w:rPr>
        <w:t xml:space="preserve"> </w:t>
      </w:r>
      <w:r>
        <w:rPr>
          <w:color w:val="221F1F"/>
        </w:rPr>
        <w:t>the</w:t>
      </w:r>
      <w:r>
        <w:rPr>
          <w:color w:val="221F1F"/>
          <w:spacing w:val="-14"/>
        </w:rPr>
        <w:t xml:space="preserve"> </w:t>
      </w:r>
      <w:r>
        <w:rPr>
          <w:color w:val="221F1F"/>
        </w:rPr>
        <w:t>safety</w:t>
      </w:r>
      <w:r>
        <w:rPr>
          <w:color w:val="221F1F"/>
          <w:spacing w:val="-12"/>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Works, in which case the Contractor shall immediately advise the Engineer, provided that work done outside the normal working hours shall be considered and paid for as overtime.</w:t>
      </w:r>
    </w:p>
    <w:p w:rsidR="007F6DF9" w:rsidRDefault="00A43FBC">
      <w:pPr>
        <w:pStyle w:val="Heading9"/>
        <w:numPr>
          <w:ilvl w:val="1"/>
          <w:numId w:val="122"/>
        </w:numPr>
        <w:tabs>
          <w:tab w:val="left" w:pos="1371"/>
        </w:tabs>
        <w:spacing w:before="235"/>
        <w:ind w:left="1371" w:hanging="660"/>
        <w:rPr>
          <w:color w:val="221F1F"/>
        </w:rPr>
      </w:pPr>
      <w:r>
        <w:rPr>
          <w:color w:val="221F1F"/>
        </w:rPr>
        <w:t>Facilities</w:t>
      </w:r>
      <w:r>
        <w:rPr>
          <w:color w:val="221F1F"/>
          <w:spacing w:val="-2"/>
        </w:rPr>
        <w:t xml:space="preserve"> </w:t>
      </w:r>
      <w:r>
        <w:rPr>
          <w:color w:val="221F1F"/>
        </w:rPr>
        <w:t>for</w:t>
      </w:r>
      <w:r>
        <w:rPr>
          <w:color w:val="221F1F"/>
          <w:spacing w:val="-3"/>
        </w:rPr>
        <w:t xml:space="preserve"> </w:t>
      </w:r>
      <w:r>
        <w:rPr>
          <w:color w:val="221F1F"/>
        </w:rPr>
        <w:t>Staff</w:t>
      </w:r>
      <w:r>
        <w:rPr>
          <w:color w:val="221F1F"/>
          <w:spacing w:val="-5"/>
        </w:rPr>
        <w:t xml:space="preserve"> </w:t>
      </w:r>
      <w:r>
        <w:rPr>
          <w:color w:val="221F1F"/>
        </w:rPr>
        <w:t>and</w:t>
      </w:r>
      <w:r>
        <w:rPr>
          <w:color w:val="221F1F"/>
          <w:spacing w:val="-3"/>
        </w:rPr>
        <w:t xml:space="preserve"> </w:t>
      </w:r>
      <w:r>
        <w:rPr>
          <w:color w:val="221F1F"/>
          <w:spacing w:val="-2"/>
        </w:rPr>
        <w:t>Labor</w:t>
      </w:r>
    </w:p>
    <w:p w:rsidR="007F6DF9" w:rsidRDefault="00A43FBC">
      <w:pPr>
        <w:pStyle w:val="BodyText"/>
        <w:spacing w:before="245" w:line="230" w:lineRule="auto"/>
        <w:ind w:left="1376" w:right="561" w:hanging="5"/>
        <w:jc w:val="both"/>
      </w:pPr>
      <w:r>
        <w:rPr>
          <w:color w:val="221F1F"/>
        </w:rPr>
        <w:t>Except as otherwise stated in the Specification, the Contractor shall provide and maintain all necessary accommodation</w:t>
      </w:r>
      <w:r>
        <w:rPr>
          <w:color w:val="221F1F"/>
          <w:spacing w:val="-13"/>
        </w:rPr>
        <w:t xml:space="preserve"> </w:t>
      </w:r>
      <w:r>
        <w:rPr>
          <w:color w:val="221F1F"/>
        </w:rPr>
        <w:t>and</w:t>
      </w:r>
      <w:r>
        <w:rPr>
          <w:color w:val="221F1F"/>
          <w:spacing w:val="-12"/>
        </w:rPr>
        <w:t xml:space="preserve"> </w:t>
      </w:r>
      <w:r>
        <w:rPr>
          <w:color w:val="221F1F"/>
        </w:rPr>
        <w:t>welfare</w:t>
      </w:r>
      <w:r>
        <w:rPr>
          <w:color w:val="221F1F"/>
          <w:spacing w:val="-12"/>
        </w:rPr>
        <w:t xml:space="preserve"> </w:t>
      </w:r>
      <w:r>
        <w:rPr>
          <w:color w:val="221F1F"/>
        </w:rPr>
        <w:t>facilities</w:t>
      </w:r>
      <w:r>
        <w:rPr>
          <w:color w:val="221F1F"/>
          <w:spacing w:val="-12"/>
        </w:rPr>
        <w:t xml:space="preserve"> </w:t>
      </w:r>
      <w:r>
        <w:rPr>
          <w:color w:val="221F1F"/>
        </w:rPr>
        <w:t>on</w:t>
      </w:r>
      <w:r>
        <w:rPr>
          <w:color w:val="221F1F"/>
          <w:spacing w:val="-13"/>
        </w:rPr>
        <w:t xml:space="preserve"> </w:t>
      </w:r>
      <w:r>
        <w:rPr>
          <w:color w:val="221F1F"/>
        </w:rPr>
        <w:t>site</w:t>
      </w:r>
      <w:r>
        <w:rPr>
          <w:color w:val="221F1F"/>
          <w:spacing w:val="-12"/>
        </w:rPr>
        <w:t xml:space="preserve"> </w:t>
      </w:r>
      <w:r>
        <w:rPr>
          <w:color w:val="221F1F"/>
        </w:rPr>
        <w:t>for</w:t>
      </w:r>
      <w:r>
        <w:rPr>
          <w:color w:val="221F1F"/>
          <w:spacing w:val="-12"/>
        </w:rPr>
        <w:t xml:space="preserve"> </w:t>
      </w:r>
      <w:r>
        <w:rPr>
          <w:color w:val="221F1F"/>
        </w:rPr>
        <w:t>the</w:t>
      </w:r>
      <w:r>
        <w:rPr>
          <w:color w:val="221F1F"/>
          <w:spacing w:val="-12"/>
        </w:rPr>
        <w:t xml:space="preserve"> </w:t>
      </w:r>
      <w:r>
        <w:rPr>
          <w:color w:val="221F1F"/>
        </w:rPr>
        <w:t>Contractor's</w:t>
      </w:r>
      <w:r>
        <w:rPr>
          <w:color w:val="221F1F"/>
          <w:spacing w:val="-11"/>
        </w:rPr>
        <w:t xml:space="preserve"> </w:t>
      </w:r>
      <w:r>
        <w:rPr>
          <w:color w:val="221F1F"/>
        </w:rPr>
        <w:t>Personnel.</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shall</w:t>
      </w:r>
      <w:r>
        <w:rPr>
          <w:color w:val="221F1F"/>
          <w:spacing w:val="-12"/>
        </w:rPr>
        <w:t xml:space="preserve"> </w:t>
      </w:r>
      <w:r>
        <w:rPr>
          <w:color w:val="221F1F"/>
        </w:rPr>
        <w:t>also</w:t>
      </w:r>
      <w:r>
        <w:rPr>
          <w:color w:val="221F1F"/>
          <w:spacing w:val="-12"/>
        </w:rPr>
        <w:t xml:space="preserve"> </w:t>
      </w:r>
      <w:r>
        <w:rPr>
          <w:color w:val="221F1F"/>
        </w:rPr>
        <w:t>provide facilities for the Procuring</w:t>
      </w:r>
      <w:r>
        <w:rPr>
          <w:color w:val="221F1F"/>
          <w:spacing w:val="-2"/>
        </w:rPr>
        <w:t xml:space="preserve"> </w:t>
      </w:r>
      <w:r>
        <w:rPr>
          <w:color w:val="221F1F"/>
        </w:rPr>
        <w:t>Entity's Personnel as stated in</w:t>
      </w:r>
      <w:r>
        <w:rPr>
          <w:color w:val="221F1F"/>
          <w:spacing w:val="-1"/>
        </w:rPr>
        <w:t xml:space="preserve"> </w:t>
      </w:r>
      <w:r>
        <w:rPr>
          <w:color w:val="221F1F"/>
        </w:rPr>
        <w:t>the Specifications. The Contractor shall not permit any</w:t>
      </w:r>
      <w:r>
        <w:rPr>
          <w:color w:val="221F1F"/>
          <w:spacing w:val="-14"/>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Contractor's</w:t>
      </w:r>
      <w:r>
        <w:rPr>
          <w:color w:val="221F1F"/>
          <w:spacing w:val="-12"/>
        </w:rPr>
        <w:t xml:space="preserve"> </w:t>
      </w:r>
      <w:r>
        <w:rPr>
          <w:color w:val="221F1F"/>
        </w:rPr>
        <w:t>Personnel</w:t>
      </w:r>
      <w:r>
        <w:rPr>
          <w:color w:val="221F1F"/>
          <w:spacing w:val="-14"/>
        </w:rPr>
        <w:t xml:space="preserve"> </w:t>
      </w:r>
      <w:r>
        <w:rPr>
          <w:color w:val="221F1F"/>
        </w:rPr>
        <w:t>to</w:t>
      </w:r>
      <w:r>
        <w:rPr>
          <w:color w:val="221F1F"/>
          <w:spacing w:val="-13"/>
        </w:rPr>
        <w:t xml:space="preserve"> </w:t>
      </w:r>
      <w:r>
        <w:rPr>
          <w:color w:val="221F1F"/>
        </w:rPr>
        <w:t>maintain</w:t>
      </w:r>
      <w:r>
        <w:rPr>
          <w:color w:val="221F1F"/>
          <w:spacing w:val="-13"/>
        </w:rPr>
        <w:t xml:space="preserve"> </w:t>
      </w:r>
      <w:r>
        <w:rPr>
          <w:color w:val="221F1F"/>
        </w:rPr>
        <w:t>any</w:t>
      </w:r>
      <w:r>
        <w:rPr>
          <w:color w:val="221F1F"/>
          <w:spacing w:val="-13"/>
        </w:rPr>
        <w:t xml:space="preserve"> </w:t>
      </w:r>
      <w:r>
        <w:rPr>
          <w:color w:val="221F1F"/>
        </w:rPr>
        <w:t>temporary</w:t>
      </w:r>
      <w:r>
        <w:rPr>
          <w:color w:val="221F1F"/>
          <w:spacing w:val="-13"/>
        </w:rPr>
        <w:t xml:space="preserve"> </w:t>
      </w:r>
      <w:r>
        <w:rPr>
          <w:color w:val="221F1F"/>
        </w:rPr>
        <w:t>or</w:t>
      </w:r>
      <w:r>
        <w:rPr>
          <w:color w:val="221F1F"/>
          <w:spacing w:val="-13"/>
        </w:rPr>
        <w:t xml:space="preserve"> </w:t>
      </w:r>
      <w:r>
        <w:rPr>
          <w:color w:val="221F1F"/>
        </w:rPr>
        <w:t>permanent</w:t>
      </w:r>
      <w:r>
        <w:rPr>
          <w:color w:val="221F1F"/>
          <w:spacing w:val="-12"/>
        </w:rPr>
        <w:t xml:space="preserve"> </w:t>
      </w:r>
      <w:r>
        <w:rPr>
          <w:color w:val="221F1F"/>
        </w:rPr>
        <w:t>living</w:t>
      </w:r>
      <w:r>
        <w:rPr>
          <w:color w:val="221F1F"/>
          <w:spacing w:val="-13"/>
        </w:rPr>
        <w:t xml:space="preserve"> </w:t>
      </w:r>
      <w:r>
        <w:rPr>
          <w:color w:val="221F1F"/>
        </w:rPr>
        <w:t>quarters</w:t>
      </w:r>
      <w:r>
        <w:rPr>
          <w:color w:val="221F1F"/>
          <w:spacing w:val="-13"/>
        </w:rPr>
        <w:t xml:space="preserve"> </w:t>
      </w:r>
      <w:r>
        <w:rPr>
          <w:color w:val="221F1F"/>
        </w:rPr>
        <w:t>within</w:t>
      </w:r>
      <w:r>
        <w:rPr>
          <w:color w:val="221F1F"/>
          <w:spacing w:val="-13"/>
        </w:rPr>
        <w:t xml:space="preserve"> </w:t>
      </w:r>
      <w:r>
        <w:rPr>
          <w:color w:val="221F1F"/>
        </w:rPr>
        <w:t>the</w:t>
      </w:r>
      <w:r>
        <w:rPr>
          <w:color w:val="221F1F"/>
          <w:spacing w:val="-13"/>
        </w:rPr>
        <w:t xml:space="preserve"> </w:t>
      </w:r>
      <w:r>
        <w:rPr>
          <w:color w:val="221F1F"/>
        </w:rPr>
        <w:t>structures forming part of the Permanent Works.</w:t>
      </w:r>
    </w:p>
    <w:p w:rsidR="007F6DF9" w:rsidRDefault="00A43FBC">
      <w:pPr>
        <w:pStyle w:val="Heading9"/>
        <w:numPr>
          <w:ilvl w:val="1"/>
          <w:numId w:val="122"/>
        </w:numPr>
        <w:tabs>
          <w:tab w:val="left" w:pos="1371"/>
        </w:tabs>
        <w:spacing w:before="242"/>
        <w:ind w:left="1371" w:hanging="660"/>
        <w:rPr>
          <w:color w:val="221F1F"/>
        </w:rPr>
      </w:pPr>
      <w:r>
        <w:rPr>
          <w:color w:val="221F1F"/>
        </w:rPr>
        <w:t>Health</w:t>
      </w:r>
      <w:r>
        <w:rPr>
          <w:color w:val="221F1F"/>
          <w:spacing w:val="-2"/>
        </w:rPr>
        <w:t xml:space="preserve"> </w:t>
      </w:r>
      <w:r>
        <w:rPr>
          <w:color w:val="221F1F"/>
        </w:rPr>
        <w:t>and</w:t>
      </w:r>
      <w:r>
        <w:rPr>
          <w:color w:val="221F1F"/>
          <w:spacing w:val="-4"/>
        </w:rPr>
        <w:t xml:space="preserve"> </w:t>
      </w:r>
      <w:r>
        <w:rPr>
          <w:color w:val="221F1F"/>
          <w:spacing w:val="-2"/>
        </w:rPr>
        <w:t>Safety</w:t>
      </w:r>
    </w:p>
    <w:p w:rsidR="007F6DF9" w:rsidRDefault="00A43FBC">
      <w:pPr>
        <w:pStyle w:val="ListParagraph"/>
        <w:numPr>
          <w:ilvl w:val="2"/>
          <w:numId w:val="122"/>
        </w:numPr>
        <w:tabs>
          <w:tab w:val="left" w:pos="1368"/>
          <w:tab w:val="left" w:pos="1376"/>
        </w:tabs>
        <w:spacing w:before="243" w:line="230" w:lineRule="auto"/>
        <w:ind w:left="1376" w:right="558" w:hanging="666"/>
        <w:jc w:val="both"/>
        <w:rPr>
          <w:color w:val="221F1F"/>
        </w:rPr>
      </w:pPr>
      <w:r>
        <w:rPr>
          <w:color w:val="221F1F"/>
        </w:rPr>
        <w:t>The Contractor shall at all times take all reasonable precautions to maintain the health and safety of the Contractor's</w:t>
      </w:r>
      <w:r>
        <w:rPr>
          <w:color w:val="221F1F"/>
          <w:spacing w:val="-6"/>
        </w:rPr>
        <w:t xml:space="preserve"> </w:t>
      </w:r>
      <w:r>
        <w:rPr>
          <w:color w:val="221F1F"/>
        </w:rPr>
        <w:t>Personnel.</w:t>
      </w:r>
      <w:r>
        <w:rPr>
          <w:color w:val="221F1F"/>
          <w:spacing w:val="-9"/>
        </w:rPr>
        <w:t xml:space="preserve"> </w:t>
      </w:r>
      <w:r>
        <w:rPr>
          <w:color w:val="221F1F"/>
        </w:rPr>
        <w:t>In</w:t>
      </w:r>
      <w:r>
        <w:rPr>
          <w:color w:val="221F1F"/>
          <w:spacing w:val="-6"/>
        </w:rPr>
        <w:t xml:space="preserve"> </w:t>
      </w:r>
      <w:r>
        <w:rPr>
          <w:color w:val="221F1F"/>
        </w:rPr>
        <w:t>collaboration</w:t>
      </w:r>
      <w:r>
        <w:rPr>
          <w:color w:val="221F1F"/>
          <w:spacing w:val="-7"/>
        </w:rPr>
        <w:t xml:space="preserve"> </w:t>
      </w:r>
      <w:r>
        <w:rPr>
          <w:color w:val="221F1F"/>
        </w:rPr>
        <w:t>with</w:t>
      </w:r>
      <w:r>
        <w:rPr>
          <w:color w:val="221F1F"/>
          <w:spacing w:val="-9"/>
        </w:rPr>
        <w:t xml:space="preserve"> </w:t>
      </w:r>
      <w:proofErr w:type="spellStart"/>
      <w:r>
        <w:rPr>
          <w:color w:val="221F1F"/>
        </w:rPr>
        <w:t>loca</w:t>
      </w:r>
      <w:proofErr w:type="spellEnd"/>
      <w:r>
        <w:rPr>
          <w:color w:val="221F1F"/>
          <w:spacing w:val="-7"/>
        </w:rPr>
        <w:t xml:space="preserve"> </w:t>
      </w:r>
      <w:proofErr w:type="spellStart"/>
      <w:r>
        <w:rPr>
          <w:color w:val="221F1F"/>
        </w:rPr>
        <w:t>lhealth</w:t>
      </w:r>
      <w:proofErr w:type="spellEnd"/>
      <w:r>
        <w:rPr>
          <w:color w:val="221F1F"/>
          <w:spacing w:val="-6"/>
        </w:rPr>
        <w:t xml:space="preserve"> </w:t>
      </w:r>
      <w:r>
        <w:rPr>
          <w:color w:val="221F1F"/>
        </w:rPr>
        <w:t>authorities,</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8"/>
        </w:rPr>
        <w:t xml:space="preserve"> </w:t>
      </w:r>
      <w:r>
        <w:rPr>
          <w:color w:val="221F1F"/>
        </w:rPr>
        <w:t>ensure</w:t>
      </w:r>
      <w:r>
        <w:rPr>
          <w:color w:val="221F1F"/>
          <w:spacing w:val="-9"/>
        </w:rPr>
        <w:t xml:space="preserve"> </w:t>
      </w:r>
      <w:r>
        <w:rPr>
          <w:color w:val="221F1F"/>
        </w:rPr>
        <w:t>that</w:t>
      </w:r>
      <w:r>
        <w:rPr>
          <w:color w:val="221F1F"/>
          <w:spacing w:val="-8"/>
        </w:rPr>
        <w:t xml:space="preserve"> </w:t>
      </w:r>
      <w:r>
        <w:rPr>
          <w:color w:val="221F1F"/>
        </w:rPr>
        <w:t>medical staff, first aid facilities, sick bay and ambulance service are available at all times at the Site and at any accommodation for Contractor's and Procuring Entity's Personnel, and that suitable arrangements are made for all necessary welfare and hygiene requirements and for the prevention of epidemics.</w:t>
      </w:r>
    </w:p>
    <w:p w:rsidR="007F6DF9" w:rsidRDefault="00A43FBC">
      <w:pPr>
        <w:pStyle w:val="ListParagraph"/>
        <w:numPr>
          <w:ilvl w:val="2"/>
          <w:numId w:val="122"/>
        </w:numPr>
        <w:tabs>
          <w:tab w:val="left" w:pos="1368"/>
          <w:tab w:val="left" w:pos="1376"/>
        </w:tabs>
        <w:spacing w:before="247" w:line="230" w:lineRule="auto"/>
        <w:ind w:left="1376" w:right="558" w:hanging="666"/>
        <w:jc w:val="both"/>
        <w:rPr>
          <w:color w:val="221F1F"/>
        </w:rPr>
      </w:pPr>
      <w:r>
        <w:rPr>
          <w:color w:val="221F1F"/>
        </w:rPr>
        <w:t>The</w:t>
      </w:r>
      <w:r>
        <w:rPr>
          <w:color w:val="221F1F"/>
          <w:spacing w:val="-8"/>
        </w:rPr>
        <w:t xml:space="preserve"> </w:t>
      </w:r>
      <w:r>
        <w:rPr>
          <w:color w:val="221F1F"/>
        </w:rPr>
        <w:t>Contractor</w:t>
      </w:r>
      <w:r>
        <w:rPr>
          <w:color w:val="221F1F"/>
          <w:spacing w:val="-7"/>
        </w:rPr>
        <w:t xml:space="preserve"> </w:t>
      </w:r>
      <w:r>
        <w:rPr>
          <w:color w:val="221F1F"/>
        </w:rPr>
        <w:t>shall</w:t>
      </w:r>
      <w:r>
        <w:rPr>
          <w:color w:val="221F1F"/>
          <w:spacing w:val="-7"/>
        </w:rPr>
        <w:t xml:space="preserve"> </w:t>
      </w:r>
      <w:r>
        <w:rPr>
          <w:color w:val="221F1F"/>
        </w:rPr>
        <w:t>appoint</w:t>
      </w:r>
      <w:r>
        <w:rPr>
          <w:color w:val="221F1F"/>
          <w:spacing w:val="-6"/>
        </w:rPr>
        <w:t xml:space="preserve"> </w:t>
      </w:r>
      <w:r>
        <w:rPr>
          <w:color w:val="221F1F"/>
        </w:rPr>
        <w:t>an</w:t>
      </w:r>
      <w:r>
        <w:rPr>
          <w:color w:val="221F1F"/>
          <w:spacing w:val="-8"/>
        </w:rPr>
        <w:t xml:space="preserve"> </w:t>
      </w:r>
      <w:r>
        <w:rPr>
          <w:color w:val="221F1F"/>
        </w:rPr>
        <w:t>accident</w:t>
      </w:r>
      <w:r>
        <w:rPr>
          <w:color w:val="221F1F"/>
          <w:spacing w:val="-6"/>
        </w:rPr>
        <w:t xml:space="preserve"> </w:t>
      </w:r>
      <w:r>
        <w:rPr>
          <w:color w:val="221F1F"/>
        </w:rPr>
        <w:t>prevention</w:t>
      </w:r>
      <w:r>
        <w:rPr>
          <w:color w:val="221F1F"/>
          <w:spacing w:val="-8"/>
        </w:rPr>
        <w:t xml:space="preserve"> </w:t>
      </w:r>
      <w:r>
        <w:rPr>
          <w:color w:val="221F1F"/>
        </w:rPr>
        <w:t>officer</w:t>
      </w:r>
      <w:r>
        <w:rPr>
          <w:color w:val="221F1F"/>
          <w:spacing w:val="-6"/>
        </w:rPr>
        <w:t xml:space="preserve"> </w:t>
      </w:r>
      <w:r>
        <w:rPr>
          <w:color w:val="221F1F"/>
        </w:rPr>
        <w:t>at</w:t>
      </w:r>
      <w:r>
        <w:rPr>
          <w:color w:val="221F1F"/>
          <w:spacing w:val="-7"/>
        </w:rPr>
        <w:t xml:space="preserve"> </w:t>
      </w:r>
      <w:r>
        <w:rPr>
          <w:color w:val="221F1F"/>
        </w:rPr>
        <w:t>the</w:t>
      </w:r>
      <w:r>
        <w:rPr>
          <w:color w:val="221F1F"/>
          <w:spacing w:val="-7"/>
        </w:rPr>
        <w:t xml:space="preserve"> </w:t>
      </w:r>
      <w:r>
        <w:rPr>
          <w:color w:val="221F1F"/>
        </w:rPr>
        <w:t>Site,</w:t>
      </w:r>
      <w:r>
        <w:rPr>
          <w:color w:val="221F1F"/>
          <w:spacing w:val="-7"/>
        </w:rPr>
        <w:t xml:space="preserve"> </w:t>
      </w:r>
      <w:r>
        <w:rPr>
          <w:color w:val="221F1F"/>
        </w:rPr>
        <w:t>responsible</w:t>
      </w:r>
      <w:r>
        <w:rPr>
          <w:color w:val="221F1F"/>
          <w:spacing w:val="-10"/>
        </w:rPr>
        <w:t xml:space="preserve"> </w:t>
      </w:r>
      <w:r>
        <w:rPr>
          <w:color w:val="221F1F"/>
        </w:rPr>
        <w:t>for</w:t>
      </w:r>
      <w:r>
        <w:rPr>
          <w:color w:val="221F1F"/>
          <w:spacing w:val="-7"/>
        </w:rPr>
        <w:t xml:space="preserve"> </w:t>
      </w:r>
      <w:r>
        <w:rPr>
          <w:color w:val="221F1F"/>
        </w:rPr>
        <w:t>maintaining</w:t>
      </w:r>
      <w:r>
        <w:rPr>
          <w:color w:val="221F1F"/>
          <w:spacing w:val="-7"/>
        </w:rPr>
        <w:t xml:space="preserve"> </w:t>
      </w:r>
      <w:r>
        <w:rPr>
          <w:color w:val="221F1F"/>
        </w:rPr>
        <w:t>safety</w:t>
      </w:r>
      <w:r>
        <w:rPr>
          <w:color w:val="221F1F"/>
          <w:spacing w:val="-8"/>
        </w:rPr>
        <w:t xml:space="preserve"> </w:t>
      </w:r>
      <w:r>
        <w:rPr>
          <w:color w:val="221F1F"/>
        </w:rPr>
        <w:t>and protection</w:t>
      </w:r>
      <w:r>
        <w:rPr>
          <w:color w:val="221F1F"/>
          <w:spacing w:val="-4"/>
        </w:rPr>
        <w:t xml:space="preserve"> </w:t>
      </w:r>
      <w:r>
        <w:rPr>
          <w:color w:val="221F1F"/>
        </w:rPr>
        <w:t>against</w:t>
      </w:r>
      <w:r>
        <w:rPr>
          <w:color w:val="221F1F"/>
          <w:spacing w:val="-3"/>
        </w:rPr>
        <w:t xml:space="preserve"> </w:t>
      </w:r>
      <w:r>
        <w:rPr>
          <w:color w:val="221F1F"/>
        </w:rPr>
        <w:t>accidents.</w:t>
      </w:r>
      <w:r>
        <w:rPr>
          <w:color w:val="221F1F"/>
          <w:spacing w:val="-4"/>
        </w:rPr>
        <w:t xml:space="preserve"> </w:t>
      </w:r>
      <w:r>
        <w:rPr>
          <w:color w:val="221F1F"/>
        </w:rPr>
        <w:t>This</w:t>
      </w:r>
      <w:r>
        <w:rPr>
          <w:color w:val="221F1F"/>
          <w:spacing w:val="-4"/>
        </w:rPr>
        <w:t xml:space="preserve"> </w:t>
      </w:r>
      <w:r>
        <w:rPr>
          <w:color w:val="221F1F"/>
        </w:rPr>
        <w:t>person</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qualified</w:t>
      </w:r>
      <w:r>
        <w:rPr>
          <w:color w:val="221F1F"/>
          <w:spacing w:val="-4"/>
        </w:rPr>
        <w:t xml:space="preserve"> </w:t>
      </w:r>
      <w:r>
        <w:rPr>
          <w:color w:val="221F1F"/>
        </w:rPr>
        <w:t>for</w:t>
      </w:r>
      <w:r>
        <w:rPr>
          <w:color w:val="221F1F"/>
          <w:spacing w:val="-4"/>
        </w:rPr>
        <w:t xml:space="preserve"> </w:t>
      </w:r>
      <w:r>
        <w:rPr>
          <w:color w:val="221F1F"/>
        </w:rPr>
        <w:t>this</w:t>
      </w:r>
      <w:r>
        <w:rPr>
          <w:color w:val="221F1F"/>
          <w:spacing w:val="-6"/>
        </w:rPr>
        <w:t xml:space="preserve"> </w:t>
      </w:r>
      <w:r>
        <w:rPr>
          <w:color w:val="221F1F"/>
        </w:rPr>
        <w:t>responsibility</w:t>
      </w:r>
      <w:r>
        <w:rPr>
          <w:color w:val="221F1F"/>
          <w:spacing w:val="-4"/>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have</w:t>
      </w:r>
      <w:r>
        <w:rPr>
          <w:color w:val="221F1F"/>
          <w:spacing w:val="-6"/>
        </w:rPr>
        <w:t xml:space="preserve"> </w:t>
      </w:r>
      <w:r>
        <w:rPr>
          <w:color w:val="221F1F"/>
        </w:rPr>
        <w:t>the</w:t>
      </w:r>
      <w:r>
        <w:rPr>
          <w:color w:val="221F1F"/>
          <w:spacing w:val="-4"/>
        </w:rPr>
        <w:t xml:space="preserve"> </w:t>
      </w:r>
      <w:r>
        <w:rPr>
          <w:color w:val="221F1F"/>
        </w:rPr>
        <w:t xml:space="preserve">authority to issue instructions and take protective measures to prevent accidents. Throughout the execution of the Works, the Contractor shall provide </w:t>
      </w:r>
      <w:proofErr w:type="spellStart"/>
      <w:r>
        <w:rPr>
          <w:color w:val="221F1F"/>
        </w:rPr>
        <w:t>what ever</w:t>
      </w:r>
      <w:proofErr w:type="spellEnd"/>
      <w:r>
        <w:rPr>
          <w:color w:val="221F1F"/>
        </w:rPr>
        <w:t xml:space="preserve"> is required by this person to exercise this responsibility and </w:t>
      </w:r>
      <w:r>
        <w:rPr>
          <w:color w:val="221F1F"/>
          <w:spacing w:val="-2"/>
        </w:rPr>
        <w:t>authority.</w:t>
      </w:r>
    </w:p>
    <w:p w:rsidR="007F6DF9" w:rsidRDefault="00A43FBC">
      <w:pPr>
        <w:pStyle w:val="ListParagraph"/>
        <w:numPr>
          <w:ilvl w:val="2"/>
          <w:numId w:val="122"/>
        </w:numPr>
        <w:tabs>
          <w:tab w:val="left" w:pos="1368"/>
          <w:tab w:val="left" w:pos="1376"/>
        </w:tabs>
        <w:spacing w:before="245" w:line="230" w:lineRule="auto"/>
        <w:ind w:left="1376" w:right="552" w:hanging="666"/>
        <w:jc w:val="both"/>
        <w:rPr>
          <w:color w:val="221F1F"/>
        </w:rPr>
      </w:pPr>
      <w:r>
        <w:rPr>
          <w:color w:val="221F1F"/>
        </w:rPr>
        <w:t xml:space="preserve">The Contractor shall send, to the Engineer, details of any accident as soon as practicable after </w:t>
      </w:r>
      <w:proofErr w:type="spellStart"/>
      <w:r>
        <w:rPr>
          <w:color w:val="221F1F"/>
        </w:rPr>
        <w:t>itsoccurrence</w:t>
      </w:r>
      <w:proofErr w:type="spellEnd"/>
      <w:r>
        <w:rPr>
          <w:color w:val="221F1F"/>
        </w:rPr>
        <w:t>. The</w:t>
      </w:r>
      <w:r>
        <w:rPr>
          <w:color w:val="221F1F"/>
          <w:spacing w:val="-7"/>
        </w:rPr>
        <w:t xml:space="preserve"> </w:t>
      </w:r>
      <w:r>
        <w:rPr>
          <w:color w:val="221F1F"/>
        </w:rPr>
        <w:t>Contractor</w:t>
      </w:r>
      <w:r>
        <w:rPr>
          <w:color w:val="221F1F"/>
          <w:spacing w:val="-8"/>
        </w:rPr>
        <w:t xml:space="preserve"> </w:t>
      </w:r>
      <w:r>
        <w:rPr>
          <w:color w:val="221F1F"/>
        </w:rPr>
        <w:t>shall</w:t>
      </w:r>
      <w:r>
        <w:rPr>
          <w:color w:val="221F1F"/>
          <w:spacing w:val="-11"/>
        </w:rPr>
        <w:t xml:space="preserve"> </w:t>
      </w:r>
      <w:r>
        <w:rPr>
          <w:color w:val="221F1F"/>
        </w:rPr>
        <w:t>maintain</w:t>
      </w:r>
      <w:r>
        <w:rPr>
          <w:color w:val="221F1F"/>
          <w:spacing w:val="-9"/>
        </w:rPr>
        <w:t xml:space="preserve"> </w:t>
      </w:r>
      <w:r>
        <w:rPr>
          <w:color w:val="221F1F"/>
        </w:rPr>
        <w:t>records</w:t>
      </w:r>
      <w:r>
        <w:rPr>
          <w:color w:val="221F1F"/>
          <w:spacing w:val="-8"/>
        </w:rPr>
        <w:t xml:space="preserve"> </w:t>
      </w:r>
      <w:r>
        <w:rPr>
          <w:color w:val="221F1F"/>
        </w:rPr>
        <w:t>and</w:t>
      </w:r>
      <w:r>
        <w:rPr>
          <w:color w:val="221F1F"/>
          <w:spacing w:val="-10"/>
        </w:rPr>
        <w:t xml:space="preserve"> </w:t>
      </w:r>
      <w:r>
        <w:rPr>
          <w:color w:val="221F1F"/>
        </w:rPr>
        <w:t>make</w:t>
      </w:r>
      <w:r>
        <w:rPr>
          <w:color w:val="221F1F"/>
          <w:spacing w:val="-9"/>
        </w:rPr>
        <w:t xml:space="preserve"> </w:t>
      </w:r>
      <w:r>
        <w:rPr>
          <w:color w:val="221F1F"/>
        </w:rPr>
        <w:t>reports</w:t>
      </w:r>
      <w:r>
        <w:rPr>
          <w:color w:val="221F1F"/>
          <w:spacing w:val="-8"/>
        </w:rPr>
        <w:t xml:space="preserve"> </w:t>
      </w:r>
      <w:r>
        <w:rPr>
          <w:color w:val="221F1F"/>
        </w:rPr>
        <w:t>concerning</w:t>
      </w:r>
      <w:r>
        <w:rPr>
          <w:color w:val="221F1F"/>
          <w:spacing w:val="-9"/>
        </w:rPr>
        <w:t xml:space="preserve"> </w:t>
      </w:r>
      <w:r>
        <w:rPr>
          <w:color w:val="221F1F"/>
        </w:rPr>
        <w:t>health,</w:t>
      </w:r>
      <w:r>
        <w:rPr>
          <w:color w:val="221F1F"/>
          <w:spacing w:val="-9"/>
        </w:rPr>
        <w:t xml:space="preserve"> </w:t>
      </w:r>
      <w:r>
        <w:rPr>
          <w:color w:val="221F1F"/>
        </w:rPr>
        <w:t>safety</w:t>
      </w:r>
      <w:r>
        <w:rPr>
          <w:color w:val="221F1F"/>
          <w:spacing w:val="-9"/>
        </w:rPr>
        <w:t xml:space="preserve"> </w:t>
      </w:r>
      <w:r>
        <w:rPr>
          <w:color w:val="221F1F"/>
        </w:rPr>
        <w:t>and</w:t>
      </w:r>
      <w:r>
        <w:rPr>
          <w:color w:val="221F1F"/>
          <w:spacing w:val="-7"/>
        </w:rPr>
        <w:t xml:space="preserve"> </w:t>
      </w:r>
      <w:r>
        <w:rPr>
          <w:color w:val="221F1F"/>
        </w:rPr>
        <w:t>welfare</w:t>
      </w:r>
      <w:r>
        <w:rPr>
          <w:color w:val="221F1F"/>
          <w:spacing w:val="-8"/>
        </w:rPr>
        <w:t xml:space="preserve"> </w:t>
      </w:r>
      <w:r>
        <w:rPr>
          <w:color w:val="221F1F"/>
        </w:rPr>
        <w:t>of</w:t>
      </w:r>
      <w:r>
        <w:rPr>
          <w:color w:val="221F1F"/>
          <w:spacing w:val="-9"/>
        </w:rPr>
        <w:t xml:space="preserve"> </w:t>
      </w:r>
      <w:r>
        <w:rPr>
          <w:color w:val="221F1F"/>
        </w:rPr>
        <w:t>persons,</w:t>
      </w:r>
      <w:r>
        <w:rPr>
          <w:color w:val="221F1F"/>
          <w:spacing w:val="-9"/>
        </w:rPr>
        <w:t xml:space="preserve"> </w:t>
      </w:r>
      <w:r>
        <w:rPr>
          <w:color w:val="221F1F"/>
        </w:rPr>
        <w:t>and damage to property, as the Architect may reasonably require.</w:t>
      </w:r>
    </w:p>
    <w:p w:rsidR="007F6DF9" w:rsidRDefault="00A43FBC">
      <w:pPr>
        <w:pStyle w:val="ListParagraph"/>
        <w:numPr>
          <w:ilvl w:val="2"/>
          <w:numId w:val="122"/>
        </w:numPr>
        <w:tabs>
          <w:tab w:val="left" w:pos="1368"/>
          <w:tab w:val="left" w:pos="1376"/>
        </w:tabs>
        <w:spacing w:before="244" w:line="230" w:lineRule="auto"/>
        <w:ind w:left="1376" w:right="558" w:hanging="666"/>
        <w:jc w:val="both"/>
        <w:rPr>
          <w:color w:val="221F1F"/>
        </w:rPr>
      </w:pPr>
      <w:r>
        <w:rPr>
          <w:color w:val="221F1F"/>
        </w:rPr>
        <w:t xml:space="preserve">The Contractor shall conduct an awareness </w:t>
      </w:r>
      <w:proofErr w:type="spellStart"/>
      <w:r>
        <w:rPr>
          <w:color w:val="221F1F"/>
        </w:rPr>
        <w:t>programme</w:t>
      </w:r>
      <w:proofErr w:type="spellEnd"/>
      <w:r>
        <w:rPr>
          <w:color w:val="221F1F"/>
        </w:rPr>
        <w:t xml:space="preserve"> on HIV and other sexually transmitted diseases via an</w:t>
      </w:r>
      <w:r>
        <w:rPr>
          <w:color w:val="221F1F"/>
          <w:spacing w:val="-1"/>
        </w:rPr>
        <w:t xml:space="preserve"> </w:t>
      </w:r>
      <w:r>
        <w:rPr>
          <w:color w:val="221F1F"/>
        </w:rPr>
        <w:t>approved</w:t>
      </w:r>
      <w:r>
        <w:rPr>
          <w:color w:val="221F1F"/>
          <w:spacing w:val="-3"/>
        </w:rPr>
        <w:t xml:space="preserve"> </w:t>
      </w:r>
      <w:r>
        <w:rPr>
          <w:color w:val="221F1F"/>
        </w:rPr>
        <w:t>service</w:t>
      </w:r>
      <w:r>
        <w:rPr>
          <w:color w:val="221F1F"/>
          <w:spacing w:val="-1"/>
        </w:rPr>
        <w:t xml:space="preserve"> </w:t>
      </w:r>
      <w:r>
        <w:rPr>
          <w:color w:val="221F1F"/>
        </w:rPr>
        <w:t>provider and</w:t>
      </w:r>
      <w:r>
        <w:rPr>
          <w:color w:val="221F1F"/>
          <w:spacing w:val="-4"/>
        </w:rPr>
        <w:t xml:space="preserve"> </w:t>
      </w:r>
      <w:r>
        <w:rPr>
          <w:color w:val="221F1F"/>
        </w:rPr>
        <w:t>shall</w:t>
      </w:r>
      <w:r>
        <w:rPr>
          <w:color w:val="221F1F"/>
          <w:spacing w:val="-3"/>
        </w:rPr>
        <w:t xml:space="preserve"> </w:t>
      </w:r>
      <w:r>
        <w:rPr>
          <w:color w:val="221F1F"/>
        </w:rPr>
        <w:t>undertake</w:t>
      </w:r>
      <w:r>
        <w:rPr>
          <w:color w:val="221F1F"/>
          <w:spacing w:val="-3"/>
        </w:rPr>
        <w:t xml:space="preserve"> </w:t>
      </w:r>
      <w:r>
        <w:rPr>
          <w:color w:val="221F1F"/>
        </w:rPr>
        <w:t>such</w:t>
      </w:r>
      <w:r>
        <w:rPr>
          <w:color w:val="221F1F"/>
          <w:spacing w:val="-6"/>
        </w:rPr>
        <w:t xml:space="preserve"> </w:t>
      </w:r>
      <w:r>
        <w:rPr>
          <w:color w:val="221F1F"/>
        </w:rPr>
        <w:t>other</w:t>
      </w:r>
      <w:r>
        <w:rPr>
          <w:color w:val="221F1F"/>
          <w:spacing w:val="-3"/>
        </w:rPr>
        <w:t xml:space="preserve"> </w:t>
      </w:r>
      <w:r>
        <w:rPr>
          <w:color w:val="221F1F"/>
        </w:rPr>
        <w:t>measures</w:t>
      </w:r>
      <w:r>
        <w:rPr>
          <w:color w:val="221F1F"/>
          <w:spacing w:val="-3"/>
        </w:rPr>
        <w:t xml:space="preserve"> </w:t>
      </w:r>
      <w:r>
        <w:rPr>
          <w:color w:val="221F1F"/>
        </w:rPr>
        <w:t>taken</w:t>
      </w:r>
      <w:r>
        <w:rPr>
          <w:color w:val="221F1F"/>
          <w:spacing w:val="-3"/>
        </w:rPr>
        <w:t xml:space="preserve"> </w:t>
      </w:r>
      <w:r>
        <w:rPr>
          <w:color w:val="221F1F"/>
        </w:rPr>
        <w:t>to</w:t>
      </w:r>
      <w:r>
        <w:rPr>
          <w:color w:val="221F1F"/>
          <w:spacing w:val="-4"/>
        </w:rPr>
        <w:t xml:space="preserve"> </w:t>
      </w:r>
      <w:r>
        <w:rPr>
          <w:color w:val="221F1F"/>
        </w:rPr>
        <w:t>reduce</w:t>
      </w:r>
      <w:r>
        <w:rPr>
          <w:color w:val="221F1F"/>
          <w:spacing w:val="-3"/>
        </w:rPr>
        <w:t xml:space="preserve"> </w:t>
      </w:r>
      <w:r>
        <w:rPr>
          <w:color w:val="221F1F"/>
        </w:rPr>
        <w:t>the</w:t>
      </w:r>
      <w:r>
        <w:rPr>
          <w:color w:val="221F1F"/>
          <w:spacing w:val="-3"/>
        </w:rPr>
        <w:t xml:space="preserve"> </w:t>
      </w:r>
      <w:r>
        <w:rPr>
          <w:color w:val="221F1F"/>
        </w:rPr>
        <w:t>risk</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transfer of these diseases between and among the Contractor's Personnel and the local community, to promote early diagnosis and to assist affected individuals.</w:t>
      </w:r>
    </w:p>
    <w:p w:rsidR="007F6DF9" w:rsidRDefault="00A43FBC">
      <w:pPr>
        <w:pStyle w:val="Heading9"/>
        <w:numPr>
          <w:ilvl w:val="1"/>
          <w:numId w:val="122"/>
        </w:numPr>
        <w:tabs>
          <w:tab w:val="left" w:pos="1371"/>
        </w:tabs>
        <w:spacing w:before="237"/>
        <w:ind w:left="1371" w:hanging="660"/>
        <w:rPr>
          <w:color w:val="221F1F"/>
        </w:rPr>
      </w:pPr>
      <w:r>
        <w:rPr>
          <w:color w:val="221F1F"/>
        </w:rPr>
        <w:t>Contractor's</w:t>
      </w:r>
      <w:r>
        <w:rPr>
          <w:color w:val="221F1F"/>
          <w:spacing w:val="-5"/>
        </w:rPr>
        <w:t xml:space="preserve"> </w:t>
      </w:r>
      <w:r>
        <w:rPr>
          <w:color w:val="221F1F"/>
          <w:spacing w:val="-2"/>
        </w:rPr>
        <w:t>Superintendence</w:t>
      </w:r>
    </w:p>
    <w:p w:rsidR="007F6DF9" w:rsidRDefault="00A43FBC">
      <w:pPr>
        <w:pStyle w:val="ListParagraph"/>
        <w:numPr>
          <w:ilvl w:val="2"/>
          <w:numId w:val="122"/>
        </w:numPr>
        <w:tabs>
          <w:tab w:val="left" w:pos="1368"/>
          <w:tab w:val="left" w:pos="1376"/>
        </w:tabs>
        <w:spacing w:before="243" w:line="230" w:lineRule="auto"/>
        <w:ind w:left="1376" w:right="558" w:hanging="666"/>
        <w:jc w:val="both"/>
        <w:rPr>
          <w:color w:val="221F1F"/>
        </w:rPr>
      </w:pPr>
      <w:r>
        <w:rPr>
          <w:color w:val="221F1F"/>
        </w:rPr>
        <w:t xml:space="preserve">Throughout the execution of the Works, and as long thereafter as is necessary to fulfil the Contractor's obligations, the Contractor shall provide all necessary super </w:t>
      </w:r>
      <w:proofErr w:type="spellStart"/>
      <w:r>
        <w:rPr>
          <w:color w:val="221F1F"/>
        </w:rPr>
        <w:t>intendence</w:t>
      </w:r>
      <w:proofErr w:type="spellEnd"/>
      <w:r>
        <w:rPr>
          <w:color w:val="221F1F"/>
        </w:rPr>
        <w:t xml:space="preserve"> to plan, arrange, direct, manage, inspect and test the work.</w:t>
      </w:r>
    </w:p>
    <w:p w:rsidR="007F6DF9" w:rsidRDefault="007F6DF9">
      <w:pPr>
        <w:pStyle w:val="ListParagraph"/>
        <w:spacing w:line="230" w:lineRule="auto"/>
        <w:jc w:val="both"/>
        <w:sectPr w:rsidR="007F6DF9">
          <w:pgSz w:w="11920" w:h="16850"/>
          <w:pgMar w:top="360" w:right="283" w:bottom="560" w:left="141" w:header="0" w:footer="371" w:gutter="0"/>
          <w:pgNumType w:start="92"/>
          <w:cols w:space="720"/>
        </w:sectPr>
      </w:pPr>
    </w:p>
    <w:p w:rsidR="007F6DF9" w:rsidRDefault="00A43FBC">
      <w:pPr>
        <w:pStyle w:val="ListParagraph"/>
        <w:numPr>
          <w:ilvl w:val="2"/>
          <w:numId w:val="122"/>
        </w:numPr>
        <w:tabs>
          <w:tab w:val="left" w:pos="1368"/>
          <w:tab w:val="left" w:pos="1376"/>
        </w:tabs>
        <w:spacing w:line="230" w:lineRule="auto"/>
        <w:ind w:left="1376" w:right="558" w:hanging="666"/>
        <w:jc w:val="both"/>
        <w:rPr>
          <w:color w:val="221F1F"/>
        </w:rPr>
      </w:pPr>
      <w:r>
        <w:rPr>
          <w:color w:val="221F1F"/>
        </w:rPr>
        <w:lastRenderedPageBreak/>
        <w:t>Superintendence</w:t>
      </w:r>
      <w:r>
        <w:rPr>
          <w:color w:val="221F1F"/>
          <w:spacing w:val="-9"/>
        </w:rPr>
        <w:t xml:space="preserve"> </w:t>
      </w:r>
      <w:r>
        <w:rPr>
          <w:color w:val="221F1F"/>
        </w:rPr>
        <w:t>shall</w:t>
      </w:r>
      <w:r>
        <w:rPr>
          <w:color w:val="221F1F"/>
          <w:spacing w:val="-9"/>
        </w:rPr>
        <w:t xml:space="preserve"> </w:t>
      </w:r>
      <w:r>
        <w:rPr>
          <w:color w:val="221F1F"/>
        </w:rPr>
        <w:t>be</w:t>
      </w:r>
      <w:r>
        <w:rPr>
          <w:color w:val="221F1F"/>
          <w:spacing w:val="-9"/>
        </w:rPr>
        <w:t xml:space="preserve"> </w:t>
      </w:r>
      <w:r>
        <w:rPr>
          <w:color w:val="221F1F"/>
        </w:rPr>
        <w:t>given</w:t>
      </w:r>
      <w:r>
        <w:rPr>
          <w:color w:val="221F1F"/>
          <w:spacing w:val="-10"/>
        </w:rPr>
        <w:t xml:space="preserve"> </w:t>
      </w:r>
      <w:r>
        <w:rPr>
          <w:color w:val="221F1F"/>
        </w:rPr>
        <w:t>by</w:t>
      </w:r>
      <w:r>
        <w:rPr>
          <w:color w:val="221F1F"/>
          <w:spacing w:val="-10"/>
        </w:rPr>
        <w:t xml:space="preserve"> </w:t>
      </w:r>
      <w:r>
        <w:rPr>
          <w:color w:val="221F1F"/>
        </w:rPr>
        <w:t>a</w:t>
      </w:r>
      <w:r>
        <w:rPr>
          <w:color w:val="221F1F"/>
          <w:spacing w:val="-12"/>
        </w:rPr>
        <w:t xml:space="preserve"> </w:t>
      </w:r>
      <w:r>
        <w:rPr>
          <w:color w:val="221F1F"/>
        </w:rPr>
        <w:t>sufficient</w:t>
      </w:r>
      <w:r>
        <w:rPr>
          <w:color w:val="221F1F"/>
          <w:spacing w:val="-9"/>
        </w:rPr>
        <w:t xml:space="preserve"> </w:t>
      </w:r>
      <w:r>
        <w:rPr>
          <w:color w:val="221F1F"/>
        </w:rPr>
        <w:t>number</w:t>
      </w:r>
      <w:r>
        <w:rPr>
          <w:color w:val="221F1F"/>
          <w:spacing w:val="-11"/>
        </w:rPr>
        <w:t xml:space="preserve"> </w:t>
      </w:r>
      <w:r>
        <w:rPr>
          <w:color w:val="221F1F"/>
        </w:rPr>
        <w:t>of</w:t>
      </w:r>
      <w:r>
        <w:rPr>
          <w:color w:val="221F1F"/>
          <w:spacing w:val="-10"/>
        </w:rPr>
        <w:t xml:space="preserve"> </w:t>
      </w:r>
      <w:r>
        <w:rPr>
          <w:color w:val="221F1F"/>
        </w:rPr>
        <w:t>persons</w:t>
      </w:r>
      <w:r>
        <w:rPr>
          <w:color w:val="221F1F"/>
          <w:spacing w:val="-10"/>
        </w:rPr>
        <w:t xml:space="preserve"> </w:t>
      </w:r>
      <w:r>
        <w:rPr>
          <w:color w:val="221F1F"/>
        </w:rPr>
        <w:t>having</w:t>
      </w:r>
      <w:r>
        <w:rPr>
          <w:color w:val="221F1F"/>
          <w:spacing w:val="-10"/>
        </w:rPr>
        <w:t xml:space="preserve"> </w:t>
      </w:r>
      <w:r>
        <w:rPr>
          <w:color w:val="221F1F"/>
        </w:rPr>
        <w:t>adequate</w:t>
      </w:r>
      <w:r>
        <w:rPr>
          <w:color w:val="221F1F"/>
          <w:spacing w:val="-12"/>
        </w:rPr>
        <w:t xml:space="preserve"> </w:t>
      </w:r>
      <w:r>
        <w:rPr>
          <w:color w:val="221F1F"/>
        </w:rPr>
        <w:t>knowledge</w:t>
      </w:r>
      <w:r>
        <w:rPr>
          <w:color w:val="221F1F"/>
          <w:spacing w:val="-9"/>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language for</w:t>
      </w:r>
      <w:r>
        <w:rPr>
          <w:color w:val="221F1F"/>
          <w:spacing w:val="-1"/>
        </w:rPr>
        <w:t xml:space="preserve"> </w:t>
      </w:r>
      <w:r>
        <w:rPr>
          <w:color w:val="221F1F"/>
        </w:rPr>
        <w:t>communications</w:t>
      </w:r>
      <w:r>
        <w:rPr>
          <w:color w:val="221F1F"/>
          <w:spacing w:val="-1"/>
        </w:rPr>
        <w:t xml:space="preserve"> </w:t>
      </w:r>
      <w:r>
        <w:rPr>
          <w:color w:val="221F1F"/>
        </w:rPr>
        <w:t>(defined in</w:t>
      </w:r>
      <w:r>
        <w:rPr>
          <w:color w:val="221F1F"/>
          <w:spacing w:val="-2"/>
        </w:rPr>
        <w:t xml:space="preserve"> </w:t>
      </w:r>
      <w:r>
        <w:rPr>
          <w:color w:val="221F1F"/>
        </w:rPr>
        <w:t>Sub-Clause</w:t>
      </w:r>
      <w:r>
        <w:rPr>
          <w:color w:val="221F1F"/>
          <w:spacing w:val="-1"/>
        </w:rPr>
        <w:t xml:space="preserve"> </w:t>
      </w:r>
      <w:r>
        <w:rPr>
          <w:color w:val="221F1F"/>
        </w:rPr>
        <w:t>1.4</w:t>
      </w:r>
      <w:r>
        <w:rPr>
          <w:color w:val="221F1F"/>
          <w:spacing w:val="-1"/>
        </w:rPr>
        <w:t xml:space="preserve"> </w:t>
      </w:r>
      <w:r>
        <w:rPr>
          <w:color w:val="221F1F"/>
        </w:rPr>
        <w:t>[Law</w:t>
      </w:r>
      <w:r>
        <w:rPr>
          <w:color w:val="221F1F"/>
          <w:spacing w:val="-2"/>
        </w:rPr>
        <w:t xml:space="preserve"> </w:t>
      </w:r>
      <w:r>
        <w:rPr>
          <w:color w:val="221F1F"/>
        </w:rPr>
        <w:t>and Language])</w:t>
      </w:r>
      <w:r>
        <w:rPr>
          <w:color w:val="221F1F"/>
          <w:spacing w:val="-1"/>
        </w:rPr>
        <w:t xml:space="preserve"> </w:t>
      </w:r>
      <w:r>
        <w:rPr>
          <w:color w:val="221F1F"/>
        </w:rPr>
        <w:t>and</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operations</w:t>
      </w:r>
      <w:r>
        <w:rPr>
          <w:color w:val="221F1F"/>
          <w:spacing w:val="-1"/>
        </w:rPr>
        <w:t xml:space="preserve"> </w:t>
      </w:r>
      <w:r>
        <w:rPr>
          <w:color w:val="221F1F"/>
        </w:rPr>
        <w:t>to</w:t>
      </w:r>
      <w:r>
        <w:rPr>
          <w:color w:val="221F1F"/>
          <w:spacing w:val="-2"/>
        </w:rPr>
        <w:t xml:space="preserve"> </w:t>
      </w:r>
      <w:r>
        <w:rPr>
          <w:color w:val="221F1F"/>
        </w:rPr>
        <w:t>be</w:t>
      </w:r>
      <w:r>
        <w:rPr>
          <w:color w:val="221F1F"/>
          <w:spacing w:val="-1"/>
        </w:rPr>
        <w:t xml:space="preserve"> </w:t>
      </w:r>
      <w:r>
        <w:rPr>
          <w:color w:val="221F1F"/>
        </w:rPr>
        <w:t>carried</w:t>
      </w:r>
      <w:r>
        <w:rPr>
          <w:color w:val="221F1F"/>
          <w:spacing w:val="-1"/>
        </w:rPr>
        <w:t xml:space="preserve"> </w:t>
      </w:r>
      <w:r>
        <w:rPr>
          <w:color w:val="221F1F"/>
        </w:rPr>
        <w:t>out (including the methods and techniques required, the hazards likely to be encountered and methods of preventing accidents), for the satisfactory and safe execution of the Works.</w:t>
      </w:r>
    </w:p>
    <w:p w:rsidR="007F6DF9" w:rsidRDefault="00A43FBC">
      <w:pPr>
        <w:pStyle w:val="Heading9"/>
        <w:numPr>
          <w:ilvl w:val="1"/>
          <w:numId w:val="122"/>
        </w:numPr>
        <w:tabs>
          <w:tab w:val="left" w:pos="1368"/>
        </w:tabs>
        <w:spacing w:before="237"/>
        <w:ind w:left="1368" w:hanging="660"/>
        <w:jc w:val="both"/>
        <w:rPr>
          <w:color w:val="221F1F"/>
        </w:rPr>
      </w:pPr>
      <w:r>
        <w:rPr>
          <w:color w:val="221F1F"/>
        </w:rPr>
        <w:t>Contractor's</w:t>
      </w:r>
      <w:r>
        <w:rPr>
          <w:color w:val="221F1F"/>
          <w:spacing w:val="-7"/>
        </w:rPr>
        <w:t xml:space="preserve"> </w:t>
      </w:r>
      <w:r>
        <w:rPr>
          <w:color w:val="221F1F"/>
          <w:spacing w:val="-2"/>
        </w:rPr>
        <w:t>Personnel</w:t>
      </w:r>
    </w:p>
    <w:p w:rsidR="007F6DF9" w:rsidRDefault="00A43FBC">
      <w:pPr>
        <w:pStyle w:val="ListParagraph"/>
        <w:numPr>
          <w:ilvl w:val="2"/>
          <w:numId w:val="122"/>
        </w:numPr>
        <w:tabs>
          <w:tab w:val="left" w:pos="1368"/>
          <w:tab w:val="left" w:pos="1376"/>
        </w:tabs>
        <w:spacing w:before="242" w:line="230" w:lineRule="auto"/>
        <w:ind w:left="1376" w:right="558" w:hanging="668"/>
        <w:jc w:val="both"/>
        <w:rPr>
          <w:color w:val="221F1F"/>
        </w:rPr>
      </w:pPr>
      <w:r>
        <w:rPr>
          <w:color w:val="221F1F"/>
        </w:rPr>
        <w:t>The</w:t>
      </w:r>
      <w:r>
        <w:rPr>
          <w:color w:val="221F1F"/>
          <w:spacing w:val="-5"/>
        </w:rPr>
        <w:t xml:space="preserve"> </w:t>
      </w:r>
      <w:r>
        <w:rPr>
          <w:color w:val="221F1F"/>
        </w:rPr>
        <w:t>Contractor's</w:t>
      </w:r>
      <w:r>
        <w:rPr>
          <w:color w:val="221F1F"/>
          <w:spacing w:val="-4"/>
        </w:rPr>
        <w:t xml:space="preserve"> </w:t>
      </w:r>
      <w:r>
        <w:rPr>
          <w:color w:val="221F1F"/>
        </w:rPr>
        <w:t>Personnel</w:t>
      </w:r>
      <w:r>
        <w:rPr>
          <w:color w:val="221F1F"/>
          <w:spacing w:val="-5"/>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appropriately</w:t>
      </w:r>
      <w:r>
        <w:rPr>
          <w:color w:val="221F1F"/>
          <w:spacing w:val="-4"/>
        </w:rPr>
        <w:t xml:space="preserve"> </w:t>
      </w:r>
      <w:r>
        <w:rPr>
          <w:color w:val="221F1F"/>
        </w:rPr>
        <w:t>qualified,</w:t>
      </w:r>
      <w:r>
        <w:rPr>
          <w:color w:val="221F1F"/>
          <w:spacing w:val="-4"/>
        </w:rPr>
        <w:t xml:space="preserve"> </w:t>
      </w:r>
      <w:r>
        <w:rPr>
          <w:color w:val="221F1F"/>
        </w:rPr>
        <w:t>skilled</w:t>
      </w:r>
      <w:r>
        <w:rPr>
          <w:color w:val="221F1F"/>
          <w:spacing w:val="-4"/>
        </w:rPr>
        <w:t xml:space="preserve"> </w:t>
      </w:r>
      <w:r>
        <w:rPr>
          <w:color w:val="221F1F"/>
        </w:rPr>
        <w:t>and</w:t>
      </w:r>
      <w:r>
        <w:rPr>
          <w:color w:val="221F1F"/>
          <w:spacing w:val="-4"/>
        </w:rPr>
        <w:t xml:space="preserve"> </w:t>
      </w:r>
      <w:r>
        <w:rPr>
          <w:color w:val="221F1F"/>
        </w:rPr>
        <w:t>experienced</w:t>
      </w:r>
      <w:r>
        <w:rPr>
          <w:color w:val="221F1F"/>
          <w:spacing w:val="-4"/>
        </w:rPr>
        <w:t xml:space="preserve"> </w:t>
      </w:r>
      <w:r>
        <w:rPr>
          <w:color w:val="221F1F"/>
        </w:rPr>
        <w:t>in</w:t>
      </w:r>
      <w:r>
        <w:rPr>
          <w:color w:val="221F1F"/>
          <w:spacing w:val="-5"/>
        </w:rPr>
        <w:t xml:space="preserve"> </w:t>
      </w:r>
      <w:r>
        <w:rPr>
          <w:color w:val="221F1F"/>
        </w:rPr>
        <w:t>their</w:t>
      </w:r>
      <w:r>
        <w:rPr>
          <w:color w:val="221F1F"/>
          <w:spacing w:val="-3"/>
        </w:rPr>
        <w:t xml:space="preserve"> </w:t>
      </w:r>
      <w:r>
        <w:rPr>
          <w:color w:val="221F1F"/>
        </w:rPr>
        <w:t>respective</w:t>
      </w:r>
      <w:r>
        <w:rPr>
          <w:color w:val="221F1F"/>
          <w:spacing w:val="-4"/>
        </w:rPr>
        <w:t xml:space="preserve"> </w:t>
      </w:r>
      <w:r>
        <w:rPr>
          <w:color w:val="221F1F"/>
        </w:rPr>
        <w:t>trades or occupations. The Contractors Key personnel shall be named in the Special Conditions of Contract. The Architect</w:t>
      </w:r>
      <w:r>
        <w:rPr>
          <w:color w:val="221F1F"/>
          <w:spacing w:val="-5"/>
        </w:rPr>
        <w:t xml:space="preserve"> </w:t>
      </w:r>
      <w:r>
        <w:rPr>
          <w:color w:val="221F1F"/>
        </w:rPr>
        <w:t>may</w:t>
      </w:r>
      <w:r>
        <w:rPr>
          <w:color w:val="221F1F"/>
          <w:spacing w:val="-7"/>
        </w:rPr>
        <w:t xml:space="preserve"> </w:t>
      </w:r>
      <w:r>
        <w:rPr>
          <w:color w:val="221F1F"/>
        </w:rPr>
        <w:t>require</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6"/>
        </w:rPr>
        <w:t xml:space="preserve"> </w:t>
      </w:r>
      <w:r>
        <w:rPr>
          <w:color w:val="221F1F"/>
        </w:rPr>
        <w:t>to</w:t>
      </w:r>
      <w:r>
        <w:rPr>
          <w:color w:val="221F1F"/>
          <w:spacing w:val="-7"/>
        </w:rPr>
        <w:t xml:space="preserve"> </w:t>
      </w:r>
      <w:r>
        <w:rPr>
          <w:color w:val="221F1F"/>
        </w:rPr>
        <w:t>remove</w:t>
      </w:r>
      <w:r>
        <w:rPr>
          <w:color w:val="221F1F"/>
          <w:spacing w:val="-4"/>
        </w:rPr>
        <w:t xml:space="preserve"> </w:t>
      </w:r>
      <w:r>
        <w:rPr>
          <w:color w:val="221F1F"/>
        </w:rPr>
        <w:t>(or</w:t>
      </w:r>
      <w:r>
        <w:rPr>
          <w:color w:val="221F1F"/>
          <w:spacing w:val="-6"/>
        </w:rPr>
        <w:t xml:space="preserve"> </w:t>
      </w:r>
      <w:r>
        <w:rPr>
          <w:color w:val="221F1F"/>
        </w:rPr>
        <w:t>cause</w:t>
      </w:r>
      <w:r>
        <w:rPr>
          <w:color w:val="221F1F"/>
          <w:spacing w:val="-5"/>
        </w:rPr>
        <w:t xml:space="preserve"> </w:t>
      </w:r>
      <w:r>
        <w:rPr>
          <w:color w:val="221F1F"/>
        </w:rPr>
        <w:t>to</w:t>
      </w:r>
      <w:r>
        <w:rPr>
          <w:color w:val="221F1F"/>
          <w:spacing w:val="-5"/>
        </w:rPr>
        <w:t xml:space="preserve"> </w:t>
      </w:r>
      <w:r>
        <w:rPr>
          <w:color w:val="221F1F"/>
        </w:rPr>
        <w:t>be</w:t>
      </w:r>
      <w:r>
        <w:rPr>
          <w:color w:val="221F1F"/>
          <w:spacing w:val="-4"/>
        </w:rPr>
        <w:t xml:space="preserve"> </w:t>
      </w:r>
      <w:r>
        <w:rPr>
          <w:color w:val="221F1F"/>
        </w:rPr>
        <w:t>removed)</w:t>
      </w:r>
      <w:r>
        <w:rPr>
          <w:color w:val="221F1F"/>
          <w:spacing w:val="-4"/>
        </w:rPr>
        <w:t xml:space="preserve"> </w:t>
      </w:r>
      <w:r>
        <w:rPr>
          <w:color w:val="221F1F"/>
        </w:rPr>
        <w:t>any</w:t>
      </w:r>
      <w:r>
        <w:rPr>
          <w:color w:val="221F1F"/>
          <w:spacing w:val="-5"/>
        </w:rPr>
        <w:t xml:space="preserve"> </w:t>
      </w:r>
      <w:r>
        <w:rPr>
          <w:color w:val="221F1F"/>
        </w:rPr>
        <w:t>person</w:t>
      </w:r>
      <w:r>
        <w:rPr>
          <w:color w:val="221F1F"/>
          <w:spacing w:val="-4"/>
        </w:rPr>
        <w:t xml:space="preserve"> </w:t>
      </w:r>
      <w:r>
        <w:rPr>
          <w:color w:val="221F1F"/>
        </w:rPr>
        <w:t>employed</w:t>
      </w:r>
      <w:r>
        <w:rPr>
          <w:color w:val="221F1F"/>
          <w:spacing w:val="-7"/>
        </w:rPr>
        <w:t xml:space="preserve"> </w:t>
      </w:r>
      <w:r>
        <w:rPr>
          <w:color w:val="221F1F"/>
        </w:rPr>
        <w:t>on</w:t>
      </w:r>
      <w:r>
        <w:rPr>
          <w:color w:val="221F1F"/>
          <w:spacing w:val="-7"/>
        </w:rPr>
        <w:t xml:space="preserve"> </w:t>
      </w:r>
      <w:r>
        <w:rPr>
          <w:color w:val="221F1F"/>
        </w:rPr>
        <w:t>the</w:t>
      </w:r>
      <w:r>
        <w:rPr>
          <w:color w:val="221F1F"/>
          <w:spacing w:val="-7"/>
        </w:rPr>
        <w:t xml:space="preserve"> </w:t>
      </w:r>
      <w:r>
        <w:rPr>
          <w:color w:val="221F1F"/>
        </w:rPr>
        <w:t>Site</w:t>
      </w:r>
      <w:r>
        <w:rPr>
          <w:color w:val="221F1F"/>
          <w:spacing w:val="-6"/>
        </w:rPr>
        <w:t xml:space="preserve"> </w:t>
      </w:r>
      <w:r>
        <w:rPr>
          <w:color w:val="221F1F"/>
        </w:rPr>
        <w:t>or Works, including the Contractor's Representative if applicable, who:</w:t>
      </w:r>
    </w:p>
    <w:p w:rsidR="007F6DF9" w:rsidRDefault="00A43FBC">
      <w:pPr>
        <w:pStyle w:val="ListParagraph"/>
        <w:numPr>
          <w:ilvl w:val="0"/>
          <w:numId w:val="48"/>
        </w:numPr>
        <w:tabs>
          <w:tab w:val="left" w:pos="1872"/>
        </w:tabs>
        <w:spacing w:before="43"/>
        <w:ind w:left="1872" w:hanging="503"/>
      </w:pPr>
      <w:r>
        <w:rPr>
          <w:color w:val="221F1F"/>
        </w:rPr>
        <w:t>Persists</w:t>
      </w:r>
      <w:r>
        <w:rPr>
          <w:color w:val="221F1F"/>
          <w:spacing w:val="-2"/>
        </w:rPr>
        <w:t xml:space="preserve"> </w:t>
      </w:r>
      <w:r>
        <w:rPr>
          <w:color w:val="221F1F"/>
        </w:rPr>
        <w:t>in</w:t>
      </w:r>
      <w:r>
        <w:rPr>
          <w:color w:val="221F1F"/>
          <w:spacing w:val="-3"/>
        </w:rPr>
        <w:t xml:space="preserve"> </w:t>
      </w:r>
      <w:r>
        <w:rPr>
          <w:color w:val="221F1F"/>
        </w:rPr>
        <w:t>any</w:t>
      </w:r>
      <w:r>
        <w:rPr>
          <w:color w:val="221F1F"/>
          <w:spacing w:val="-4"/>
        </w:rPr>
        <w:t xml:space="preserve"> </w:t>
      </w:r>
      <w:r>
        <w:rPr>
          <w:color w:val="221F1F"/>
        </w:rPr>
        <w:t>misconduct</w:t>
      </w:r>
      <w:r>
        <w:rPr>
          <w:color w:val="221F1F"/>
          <w:spacing w:val="-4"/>
        </w:rPr>
        <w:t xml:space="preserve"> </w:t>
      </w:r>
      <w:r>
        <w:rPr>
          <w:color w:val="221F1F"/>
        </w:rPr>
        <w:t>or</w:t>
      </w:r>
      <w:r>
        <w:rPr>
          <w:color w:val="221F1F"/>
          <w:spacing w:val="-1"/>
        </w:rPr>
        <w:t xml:space="preserve"> </w:t>
      </w:r>
      <w:r>
        <w:rPr>
          <w:color w:val="221F1F"/>
        </w:rPr>
        <w:t>lack</w:t>
      </w:r>
      <w:r>
        <w:rPr>
          <w:color w:val="221F1F"/>
          <w:spacing w:val="-3"/>
        </w:rPr>
        <w:t xml:space="preserve"> </w:t>
      </w:r>
      <w:r>
        <w:rPr>
          <w:color w:val="221F1F"/>
        </w:rPr>
        <w:t>of</w:t>
      </w:r>
      <w:r>
        <w:rPr>
          <w:color w:val="221F1F"/>
          <w:spacing w:val="-1"/>
        </w:rPr>
        <w:t xml:space="preserve"> </w:t>
      </w:r>
      <w:r>
        <w:rPr>
          <w:color w:val="221F1F"/>
          <w:spacing w:val="-2"/>
        </w:rPr>
        <w:t>care,</w:t>
      </w:r>
    </w:p>
    <w:p w:rsidR="007F6DF9" w:rsidRDefault="00A43FBC">
      <w:pPr>
        <w:pStyle w:val="ListParagraph"/>
        <w:numPr>
          <w:ilvl w:val="0"/>
          <w:numId w:val="48"/>
        </w:numPr>
        <w:tabs>
          <w:tab w:val="left" w:pos="1872"/>
        </w:tabs>
        <w:spacing w:before="37"/>
        <w:ind w:left="1872" w:hanging="503"/>
      </w:pPr>
      <w:r>
        <w:rPr>
          <w:color w:val="221F1F"/>
        </w:rPr>
        <w:t>Carries</w:t>
      </w:r>
      <w:r>
        <w:rPr>
          <w:color w:val="221F1F"/>
          <w:spacing w:val="-4"/>
        </w:rPr>
        <w:t xml:space="preserve"> </w:t>
      </w:r>
      <w:r>
        <w:rPr>
          <w:color w:val="221F1F"/>
        </w:rPr>
        <w:t>out</w:t>
      </w:r>
      <w:r>
        <w:rPr>
          <w:color w:val="221F1F"/>
          <w:spacing w:val="-2"/>
        </w:rPr>
        <w:t xml:space="preserve"> </w:t>
      </w:r>
      <w:r>
        <w:rPr>
          <w:color w:val="221F1F"/>
        </w:rPr>
        <w:t>duties</w:t>
      </w:r>
      <w:r>
        <w:rPr>
          <w:color w:val="221F1F"/>
          <w:spacing w:val="-5"/>
        </w:rPr>
        <w:t xml:space="preserve"> </w:t>
      </w:r>
      <w:r>
        <w:rPr>
          <w:color w:val="221F1F"/>
        </w:rPr>
        <w:t>in</w:t>
      </w:r>
      <w:r>
        <w:rPr>
          <w:color w:val="221F1F"/>
          <w:spacing w:val="-3"/>
        </w:rPr>
        <w:t xml:space="preserve"> </w:t>
      </w:r>
      <w:r>
        <w:rPr>
          <w:color w:val="221F1F"/>
        </w:rPr>
        <w:t>competently</w:t>
      </w:r>
      <w:r>
        <w:rPr>
          <w:color w:val="221F1F"/>
          <w:spacing w:val="-3"/>
        </w:rPr>
        <w:t xml:space="preserve"> </w:t>
      </w:r>
      <w:r>
        <w:rPr>
          <w:color w:val="221F1F"/>
        </w:rPr>
        <w:t>or</w:t>
      </w:r>
      <w:r>
        <w:rPr>
          <w:color w:val="221F1F"/>
          <w:spacing w:val="-1"/>
        </w:rPr>
        <w:t xml:space="preserve"> </w:t>
      </w:r>
      <w:r>
        <w:rPr>
          <w:color w:val="221F1F"/>
          <w:spacing w:val="-2"/>
        </w:rPr>
        <w:t>negligently,</w:t>
      </w:r>
    </w:p>
    <w:p w:rsidR="007F6DF9" w:rsidRDefault="00A43FBC">
      <w:pPr>
        <w:pStyle w:val="ListParagraph"/>
        <w:numPr>
          <w:ilvl w:val="0"/>
          <w:numId w:val="48"/>
        </w:numPr>
        <w:tabs>
          <w:tab w:val="left" w:pos="1872"/>
        </w:tabs>
        <w:spacing w:before="40"/>
        <w:ind w:left="1872" w:hanging="503"/>
      </w:pPr>
      <w:r>
        <w:rPr>
          <w:color w:val="221F1F"/>
        </w:rPr>
        <w:t>fails</w:t>
      </w:r>
      <w:r>
        <w:rPr>
          <w:color w:val="221F1F"/>
          <w:spacing w:val="-5"/>
        </w:rPr>
        <w:t xml:space="preserve"> </w:t>
      </w:r>
      <w:r>
        <w:rPr>
          <w:color w:val="221F1F"/>
        </w:rPr>
        <w:t>to</w:t>
      </w:r>
      <w:r>
        <w:rPr>
          <w:color w:val="221F1F"/>
          <w:spacing w:val="-3"/>
        </w:rPr>
        <w:t xml:space="preserve"> </w:t>
      </w:r>
      <w:r>
        <w:rPr>
          <w:color w:val="221F1F"/>
        </w:rPr>
        <w:t>conform</w:t>
      </w:r>
      <w:r>
        <w:rPr>
          <w:color w:val="221F1F"/>
          <w:spacing w:val="-4"/>
        </w:rPr>
        <w:t xml:space="preserve"> </w:t>
      </w:r>
      <w:r>
        <w:rPr>
          <w:color w:val="221F1F"/>
        </w:rPr>
        <w:t>with</w:t>
      </w:r>
      <w:r>
        <w:rPr>
          <w:color w:val="221F1F"/>
          <w:spacing w:val="-2"/>
        </w:rPr>
        <w:t xml:space="preserve"> </w:t>
      </w:r>
      <w:r>
        <w:rPr>
          <w:color w:val="221F1F"/>
        </w:rPr>
        <w:t>any</w:t>
      </w:r>
      <w:r>
        <w:rPr>
          <w:color w:val="221F1F"/>
          <w:spacing w:val="-5"/>
        </w:rPr>
        <w:t xml:space="preserve"> </w:t>
      </w:r>
      <w:r>
        <w:rPr>
          <w:color w:val="221F1F"/>
        </w:rPr>
        <w:t>provisions</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Contract,</w:t>
      </w:r>
    </w:p>
    <w:p w:rsidR="007F6DF9" w:rsidRDefault="00A43FBC">
      <w:pPr>
        <w:pStyle w:val="ListParagraph"/>
        <w:numPr>
          <w:ilvl w:val="0"/>
          <w:numId w:val="48"/>
        </w:numPr>
        <w:tabs>
          <w:tab w:val="left" w:pos="1872"/>
        </w:tabs>
        <w:spacing w:before="40"/>
        <w:ind w:left="1872" w:hanging="503"/>
      </w:pPr>
      <w:r>
        <w:rPr>
          <w:color w:val="221F1F"/>
        </w:rPr>
        <w:t>persists</w:t>
      </w:r>
      <w:r>
        <w:rPr>
          <w:color w:val="221F1F"/>
          <w:spacing w:val="-7"/>
        </w:rPr>
        <w:t xml:space="preserve"> </w:t>
      </w:r>
      <w:r>
        <w:rPr>
          <w:color w:val="221F1F"/>
        </w:rPr>
        <w:t>in</w:t>
      </w:r>
      <w:r>
        <w:rPr>
          <w:color w:val="221F1F"/>
          <w:spacing w:val="-4"/>
        </w:rPr>
        <w:t xml:space="preserve"> </w:t>
      </w:r>
      <w:r>
        <w:rPr>
          <w:color w:val="221F1F"/>
        </w:rPr>
        <w:t>any</w:t>
      </w:r>
      <w:r>
        <w:rPr>
          <w:color w:val="221F1F"/>
          <w:spacing w:val="-7"/>
        </w:rPr>
        <w:t xml:space="preserve"> </w:t>
      </w:r>
      <w:r>
        <w:rPr>
          <w:color w:val="221F1F"/>
        </w:rPr>
        <w:t>conduct</w:t>
      </w:r>
      <w:r>
        <w:rPr>
          <w:color w:val="221F1F"/>
          <w:spacing w:val="-2"/>
        </w:rPr>
        <w:t xml:space="preserve"> </w:t>
      </w:r>
      <w:r>
        <w:rPr>
          <w:color w:val="221F1F"/>
        </w:rPr>
        <w:t>which</w:t>
      </w:r>
      <w:r>
        <w:rPr>
          <w:color w:val="221F1F"/>
          <w:spacing w:val="-5"/>
        </w:rPr>
        <w:t xml:space="preserve"> </w:t>
      </w:r>
      <w:r>
        <w:rPr>
          <w:color w:val="221F1F"/>
        </w:rPr>
        <w:t>is</w:t>
      </w:r>
      <w:r>
        <w:rPr>
          <w:color w:val="221F1F"/>
          <w:spacing w:val="-6"/>
        </w:rPr>
        <w:t xml:space="preserve"> </w:t>
      </w:r>
      <w:r>
        <w:rPr>
          <w:color w:val="221F1F"/>
        </w:rPr>
        <w:t>prejudicial</w:t>
      </w:r>
      <w:r>
        <w:rPr>
          <w:color w:val="221F1F"/>
          <w:spacing w:val="-4"/>
        </w:rPr>
        <w:t xml:space="preserve"> </w:t>
      </w:r>
      <w:r>
        <w:rPr>
          <w:color w:val="221F1F"/>
        </w:rPr>
        <w:t>to</w:t>
      </w:r>
      <w:r>
        <w:rPr>
          <w:color w:val="221F1F"/>
          <w:spacing w:val="-7"/>
        </w:rPr>
        <w:t xml:space="preserve"> </w:t>
      </w:r>
      <w:r>
        <w:rPr>
          <w:color w:val="221F1F"/>
        </w:rPr>
        <w:t>safety,</w:t>
      </w:r>
      <w:r>
        <w:rPr>
          <w:color w:val="221F1F"/>
          <w:spacing w:val="-11"/>
        </w:rPr>
        <w:t xml:space="preserve"> </w:t>
      </w:r>
      <w:r>
        <w:rPr>
          <w:color w:val="221F1F"/>
        </w:rPr>
        <w:t>health,</w:t>
      </w:r>
      <w:r>
        <w:rPr>
          <w:color w:val="221F1F"/>
          <w:spacing w:val="-4"/>
        </w:rPr>
        <w:t xml:space="preserve"> </w:t>
      </w:r>
      <w:r>
        <w:rPr>
          <w:color w:val="221F1F"/>
        </w:rPr>
        <w:t>or</w:t>
      </w:r>
      <w:r>
        <w:rPr>
          <w:color w:val="221F1F"/>
          <w:spacing w:val="-4"/>
        </w:rPr>
        <w:t xml:space="preserve"> </w:t>
      </w:r>
      <w:r>
        <w:rPr>
          <w:color w:val="221F1F"/>
        </w:rPr>
        <w:t>the</w:t>
      </w:r>
      <w:r>
        <w:rPr>
          <w:color w:val="221F1F"/>
          <w:spacing w:val="-4"/>
        </w:rPr>
        <w:t xml:space="preserve"> </w:t>
      </w:r>
      <w:r>
        <w:rPr>
          <w:color w:val="221F1F"/>
        </w:rPr>
        <w:t>protection</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environment,</w:t>
      </w:r>
      <w:r>
        <w:rPr>
          <w:color w:val="221F1F"/>
          <w:spacing w:val="-4"/>
        </w:rPr>
        <w:t xml:space="preserve"> </w:t>
      </w:r>
      <w:r>
        <w:rPr>
          <w:color w:val="221F1F"/>
          <w:spacing w:val="-5"/>
        </w:rPr>
        <w:t>or</w:t>
      </w:r>
    </w:p>
    <w:p w:rsidR="007F6DF9" w:rsidRDefault="00A43FBC">
      <w:pPr>
        <w:pStyle w:val="ListParagraph"/>
        <w:numPr>
          <w:ilvl w:val="0"/>
          <w:numId w:val="48"/>
        </w:numPr>
        <w:tabs>
          <w:tab w:val="left" w:pos="1872"/>
          <w:tab w:val="left" w:pos="1880"/>
        </w:tabs>
        <w:spacing w:before="48" w:line="230" w:lineRule="auto"/>
        <w:ind w:left="1880" w:right="1082" w:hanging="512"/>
      </w:pPr>
      <w:r>
        <w:rPr>
          <w:color w:val="221F1F"/>
        </w:rPr>
        <w:t>based</w:t>
      </w:r>
      <w:r>
        <w:rPr>
          <w:color w:val="221F1F"/>
          <w:spacing w:val="-4"/>
        </w:rPr>
        <w:t xml:space="preserve"> </w:t>
      </w:r>
      <w:r>
        <w:rPr>
          <w:color w:val="221F1F"/>
        </w:rPr>
        <w:t>on</w:t>
      </w:r>
      <w:r>
        <w:rPr>
          <w:color w:val="221F1F"/>
          <w:spacing w:val="-2"/>
        </w:rPr>
        <w:t xml:space="preserve"> </w:t>
      </w:r>
      <w:r>
        <w:rPr>
          <w:color w:val="221F1F"/>
        </w:rPr>
        <w:t>reasonable</w:t>
      </w:r>
      <w:r>
        <w:rPr>
          <w:color w:val="221F1F"/>
          <w:spacing w:val="-2"/>
        </w:rPr>
        <w:t xml:space="preserve"> </w:t>
      </w:r>
      <w:r>
        <w:rPr>
          <w:color w:val="221F1F"/>
        </w:rPr>
        <w:t>evidence,</w:t>
      </w:r>
      <w:r>
        <w:rPr>
          <w:color w:val="221F1F"/>
          <w:spacing w:val="-2"/>
        </w:rPr>
        <w:t xml:space="preserve"> </w:t>
      </w:r>
      <w:r>
        <w:rPr>
          <w:color w:val="221F1F"/>
        </w:rPr>
        <w:t>is</w:t>
      </w:r>
      <w:r>
        <w:rPr>
          <w:color w:val="221F1F"/>
          <w:spacing w:val="-2"/>
        </w:rPr>
        <w:t xml:space="preserve"> </w:t>
      </w:r>
      <w:r>
        <w:rPr>
          <w:color w:val="221F1F"/>
        </w:rPr>
        <w:t>determined</w:t>
      </w:r>
      <w:r>
        <w:rPr>
          <w:color w:val="221F1F"/>
          <w:spacing w:val="-4"/>
        </w:rPr>
        <w:t xml:space="preserve"> </w:t>
      </w:r>
      <w:r>
        <w:rPr>
          <w:color w:val="221F1F"/>
        </w:rPr>
        <w:t>to</w:t>
      </w:r>
      <w:r>
        <w:rPr>
          <w:color w:val="221F1F"/>
          <w:spacing w:val="-2"/>
        </w:rPr>
        <w:t xml:space="preserve"> </w:t>
      </w:r>
      <w:r>
        <w:rPr>
          <w:color w:val="221F1F"/>
        </w:rPr>
        <w:t>have</w:t>
      </w:r>
      <w:r>
        <w:rPr>
          <w:color w:val="221F1F"/>
          <w:spacing w:val="-4"/>
        </w:rPr>
        <w:t xml:space="preserve"> </w:t>
      </w:r>
      <w:r>
        <w:rPr>
          <w:color w:val="221F1F"/>
        </w:rPr>
        <w:t>engaged</w:t>
      </w:r>
      <w:r>
        <w:rPr>
          <w:color w:val="221F1F"/>
          <w:spacing w:val="-5"/>
        </w:rPr>
        <w:t xml:space="preserve"> </w:t>
      </w:r>
      <w:r>
        <w:rPr>
          <w:color w:val="221F1F"/>
        </w:rPr>
        <w:t>in</w:t>
      </w:r>
      <w:r>
        <w:rPr>
          <w:color w:val="221F1F"/>
          <w:spacing w:val="-2"/>
        </w:rPr>
        <w:t xml:space="preserve"> </w:t>
      </w:r>
      <w:r>
        <w:rPr>
          <w:color w:val="221F1F"/>
        </w:rPr>
        <w:t>Fraud</w:t>
      </w:r>
      <w:r>
        <w:rPr>
          <w:color w:val="221F1F"/>
          <w:spacing w:val="-2"/>
        </w:rPr>
        <w:t xml:space="preserve"> </w:t>
      </w:r>
      <w:r>
        <w:rPr>
          <w:color w:val="221F1F"/>
        </w:rPr>
        <w:t>and</w:t>
      </w:r>
      <w:r>
        <w:rPr>
          <w:color w:val="221F1F"/>
          <w:spacing w:val="-2"/>
        </w:rPr>
        <w:t xml:space="preserve"> </w:t>
      </w:r>
      <w:r>
        <w:rPr>
          <w:color w:val="221F1F"/>
        </w:rPr>
        <w:t>Corruption</w:t>
      </w:r>
      <w:r>
        <w:rPr>
          <w:color w:val="221F1F"/>
          <w:spacing w:val="-2"/>
        </w:rPr>
        <w:t xml:space="preserve"> </w:t>
      </w:r>
      <w:r>
        <w:rPr>
          <w:color w:val="221F1F"/>
        </w:rPr>
        <w:t>during</w:t>
      </w:r>
      <w:r>
        <w:rPr>
          <w:color w:val="221F1F"/>
          <w:spacing w:val="-2"/>
        </w:rPr>
        <w:t xml:space="preserve"> </w:t>
      </w:r>
      <w:r>
        <w:rPr>
          <w:color w:val="221F1F"/>
        </w:rPr>
        <w:t xml:space="preserve">the execution </w:t>
      </w:r>
      <w:proofErr w:type="spellStart"/>
      <w:r>
        <w:rPr>
          <w:color w:val="221F1F"/>
        </w:rPr>
        <w:t>ofthe</w:t>
      </w:r>
      <w:proofErr w:type="spellEnd"/>
      <w:r>
        <w:rPr>
          <w:color w:val="221F1F"/>
        </w:rPr>
        <w:t xml:space="preserve"> Works.</w:t>
      </w:r>
    </w:p>
    <w:p w:rsidR="007F6DF9" w:rsidRDefault="00A43FBC">
      <w:pPr>
        <w:pStyle w:val="ListParagraph"/>
        <w:numPr>
          <w:ilvl w:val="2"/>
          <w:numId w:val="122"/>
        </w:numPr>
        <w:tabs>
          <w:tab w:val="left" w:pos="1366"/>
        </w:tabs>
        <w:spacing w:before="236"/>
        <w:ind w:left="1366" w:hanging="658"/>
        <w:jc w:val="both"/>
        <w:rPr>
          <w:color w:val="221F1F"/>
        </w:rPr>
      </w:pPr>
      <w:r>
        <w:rPr>
          <w:color w:val="221F1F"/>
        </w:rPr>
        <w:t>If</w:t>
      </w:r>
      <w:r>
        <w:rPr>
          <w:color w:val="221F1F"/>
          <w:spacing w:val="-5"/>
        </w:rPr>
        <w:t xml:space="preserve"> </w:t>
      </w:r>
      <w:r>
        <w:rPr>
          <w:color w:val="221F1F"/>
        </w:rPr>
        <w:t>appropriate,</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then</w:t>
      </w:r>
      <w:r>
        <w:rPr>
          <w:color w:val="221F1F"/>
          <w:spacing w:val="-4"/>
        </w:rPr>
        <w:t xml:space="preserve"> </w:t>
      </w:r>
      <w:r>
        <w:rPr>
          <w:color w:val="221F1F"/>
        </w:rPr>
        <w:t>appoint</w:t>
      </w:r>
      <w:r>
        <w:rPr>
          <w:color w:val="221F1F"/>
          <w:spacing w:val="-3"/>
        </w:rPr>
        <w:t xml:space="preserve"> </w:t>
      </w:r>
      <w:r>
        <w:rPr>
          <w:color w:val="221F1F"/>
        </w:rPr>
        <w:t>(or</w:t>
      </w:r>
      <w:r>
        <w:rPr>
          <w:color w:val="221F1F"/>
          <w:spacing w:val="-5"/>
        </w:rPr>
        <w:t xml:space="preserve"> </w:t>
      </w:r>
      <w:r>
        <w:rPr>
          <w:color w:val="221F1F"/>
        </w:rPr>
        <w:t>cause</w:t>
      </w:r>
      <w:r>
        <w:rPr>
          <w:color w:val="221F1F"/>
          <w:spacing w:val="-2"/>
        </w:rPr>
        <w:t xml:space="preserve"> </w:t>
      </w:r>
      <w:r>
        <w:rPr>
          <w:color w:val="221F1F"/>
        </w:rPr>
        <w:t>to</w:t>
      </w:r>
      <w:r>
        <w:rPr>
          <w:color w:val="221F1F"/>
          <w:spacing w:val="-4"/>
        </w:rPr>
        <w:t xml:space="preserve"> </w:t>
      </w:r>
      <w:r>
        <w:rPr>
          <w:color w:val="221F1F"/>
        </w:rPr>
        <w:t>be</w:t>
      </w:r>
      <w:r>
        <w:rPr>
          <w:color w:val="221F1F"/>
          <w:spacing w:val="-5"/>
        </w:rPr>
        <w:t xml:space="preserve"> </w:t>
      </w:r>
      <w:r>
        <w:rPr>
          <w:color w:val="221F1F"/>
        </w:rPr>
        <w:t>appointed)</w:t>
      </w:r>
      <w:r>
        <w:rPr>
          <w:color w:val="221F1F"/>
          <w:spacing w:val="-5"/>
        </w:rPr>
        <w:t xml:space="preserve"> </w:t>
      </w:r>
      <w:r>
        <w:rPr>
          <w:color w:val="221F1F"/>
        </w:rPr>
        <w:t>a</w:t>
      </w:r>
      <w:r>
        <w:rPr>
          <w:color w:val="221F1F"/>
          <w:spacing w:val="-3"/>
        </w:rPr>
        <w:t xml:space="preserve"> </w:t>
      </w:r>
      <w:r>
        <w:rPr>
          <w:color w:val="221F1F"/>
        </w:rPr>
        <w:t>suitable</w:t>
      </w:r>
      <w:r>
        <w:rPr>
          <w:color w:val="221F1F"/>
          <w:spacing w:val="-5"/>
        </w:rPr>
        <w:t xml:space="preserve"> </w:t>
      </w:r>
      <w:r>
        <w:rPr>
          <w:color w:val="221F1F"/>
        </w:rPr>
        <w:t>replacement</w:t>
      </w:r>
      <w:r>
        <w:rPr>
          <w:color w:val="221F1F"/>
          <w:spacing w:val="-1"/>
        </w:rPr>
        <w:t xml:space="preserve"> </w:t>
      </w:r>
      <w:r>
        <w:rPr>
          <w:color w:val="221F1F"/>
          <w:spacing w:val="-2"/>
        </w:rPr>
        <w:t>person.</w:t>
      </w:r>
    </w:p>
    <w:p w:rsidR="007F6DF9" w:rsidRDefault="00A43FBC">
      <w:pPr>
        <w:pStyle w:val="Heading9"/>
        <w:numPr>
          <w:ilvl w:val="1"/>
          <w:numId w:val="122"/>
        </w:numPr>
        <w:tabs>
          <w:tab w:val="left" w:pos="1368"/>
        </w:tabs>
        <w:spacing w:before="235"/>
        <w:ind w:left="1368" w:hanging="660"/>
        <w:jc w:val="both"/>
        <w:rPr>
          <w:color w:val="221F1F"/>
        </w:rPr>
      </w:pPr>
      <w:r>
        <w:rPr>
          <w:color w:val="221F1F"/>
        </w:rPr>
        <w:t>Records</w:t>
      </w:r>
      <w:r>
        <w:rPr>
          <w:color w:val="221F1F"/>
          <w:spacing w:val="-3"/>
        </w:rPr>
        <w:t xml:space="preserve"> </w:t>
      </w:r>
      <w:r>
        <w:rPr>
          <w:color w:val="221F1F"/>
        </w:rPr>
        <w:t>of</w:t>
      </w:r>
      <w:r>
        <w:rPr>
          <w:color w:val="221F1F"/>
          <w:spacing w:val="-3"/>
        </w:rPr>
        <w:t xml:space="preserve"> </w:t>
      </w:r>
      <w:r>
        <w:rPr>
          <w:color w:val="221F1F"/>
        </w:rPr>
        <w:t>Contractor's</w:t>
      </w:r>
      <w:r>
        <w:rPr>
          <w:color w:val="221F1F"/>
          <w:spacing w:val="-3"/>
        </w:rPr>
        <w:t xml:space="preserve"> </w:t>
      </w:r>
      <w:r>
        <w:rPr>
          <w:color w:val="221F1F"/>
        </w:rPr>
        <w:t>Personnel</w:t>
      </w:r>
      <w:r>
        <w:rPr>
          <w:color w:val="221F1F"/>
          <w:spacing w:val="-3"/>
        </w:rPr>
        <w:t xml:space="preserve"> </w:t>
      </w:r>
      <w:r>
        <w:rPr>
          <w:color w:val="221F1F"/>
        </w:rPr>
        <w:t>and</w:t>
      </w:r>
      <w:r>
        <w:rPr>
          <w:color w:val="221F1F"/>
          <w:spacing w:val="-4"/>
        </w:rPr>
        <w:t xml:space="preserve"> </w:t>
      </w:r>
      <w:r>
        <w:rPr>
          <w:color w:val="221F1F"/>
          <w:spacing w:val="-2"/>
        </w:rPr>
        <w:t>Equipment</w:t>
      </w:r>
    </w:p>
    <w:p w:rsidR="007F6DF9" w:rsidRDefault="00A43FBC">
      <w:pPr>
        <w:pStyle w:val="BodyText"/>
        <w:spacing w:before="242" w:line="230" w:lineRule="auto"/>
        <w:ind w:left="1376" w:right="556" w:hanging="8"/>
        <w:jc w:val="both"/>
      </w:pPr>
      <w:r>
        <w:rPr>
          <w:color w:val="221F1F"/>
        </w:rPr>
        <w:t>The Contractor shall submit, to the Engineer, details showing the number of each class of Contractor's Personnel and of each type of Contractor's Equipment on the Site. Details shall be submitted each calendar month, in a form approved by the Engineer, until the Contractor has completed all work which is known to be outstanding at the completion date stated in the Taking-Over Certificate for the Works.</w:t>
      </w:r>
    </w:p>
    <w:p w:rsidR="007F6DF9" w:rsidRDefault="00A43FBC">
      <w:pPr>
        <w:pStyle w:val="Heading9"/>
        <w:numPr>
          <w:ilvl w:val="1"/>
          <w:numId w:val="122"/>
        </w:numPr>
        <w:tabs>
          <w:tab w:val="left" w:pos="1368"/>
        </w:tabs>
        <w:spacing w:before="237"/>
        <w:ind w:left="1368" w:hanging="660"/>
        <w:jc w:val="both"/>
        <w:rPr>
          <w:color w:val="221F1F"/>
        </w:rPr>
      </w:pPr>
      <w:r>
        <w:rPr>
          <w:color w:val="221F1F"/>
        </w:rPr>
        <w:t>Disorderly</w:t>
      </w:r>
      <w:r>
        <w:rPr>
          <w:color w:val="221F1F"/>
          <w:spacing w:val="-6"/>
        </w:rPr>
        <w:t xml:space="preserve"> </w:t>
      </w:r>
      <w:r>
        <w:rPr>
          <w:color w:val="221F1F"/>
          <w:spacing w:val="-2"/>
        </w:rPr>
        <w:t>Conduct</w:t>
      </w:r>
    </w:p>
    <w:p w:rsidR="007F6DF9" w:rsidRDefault="00A43FBC">
      <w:pPr>
        <w:pStyle w:val="BodyText"/>
        <w:spacing w:before="243" w:line="230" w:lineRule="auto"/>
        <w:ind w:left="1376" w:right="557" w:hanging="8"/>
        <w:jc w:val="both"/>
      </w:pPr>
      <w:r>
        <w:rPr>
          <w:color w:val="221F1F"/>
        </w:rPr>
        <w:t>The</w:t>
      </w:r>
      <w:r>
        <w:rPr>
          <w:color w:val="221F1F"/>
          <w:spacing w:val="-7"/>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at</w:t>
      </w:r>
      <w:r>
        <w:rPr>
          <w:color w:val="221F1F"/>
          <w:spacing w:val="-6"/>
        </w:rPr>
        <w:t xml:space="preserve"> </w:t>
      </w:r>
      <w:r>
        <w:rPr>
          <w:color w:val="221F1F"/>
        </w:rPr>
        <w:t>all</w:t>
      </w:r>
      <w:r>
        <w:rPr>
          <w:color w:val="221F1F"/>
          <w:spacing w:val="-8"/>
        </w:rPr>
        <w:t xml:space="preserve"> </w:t>
      </w:r>
      <w:r>
        <w:rPr>
          <w:color w:val="221F1F"/>
        </w:rPr>
        <w:t>times</w:t>
      </w:r>
      <w:r>
        <w:rPr>
          <w:color w:val="221F1F"/>
          <w:spacing w:val="-8"/>
        </w:rPr>
        <w:t xml:space="preserve"> </w:t>
      </w:r>
      <w:r>
        <w:rPr>
          <w:color w:val="221F1F"/>
        </w:rPr>
        <w:t>take</w:t>
      </w:r>
      <w:r>
        <w:rPr>
          <w:color w:val="221F1F"/>
          <w:spacing w:val="-9"/>
        </w:rPr>
        <w:t xml:space="preserve"> </w:t>
      </w:r>
      <w:r>
        <w:rPr>
          <w:color w:val="221F1F"/>
        </w:rPr>
        <w:t>all</w:t>
      </w:r>
      <w:r>
        <w:rPr>
          <w:color w:val="221F1F"/>
          <w:spacing w:val="-8"/>
        </w:rPr>
        <w:t xml:space="preserve"> </w:t>
      </w:r>
      <w:r>
        <w:rPr>
          <w:color w:val="221F1F"/>
        </w:rPr>
        <w:t>reasonable</w:t>
      </w:r>
      <w:r>
        <w:rPr>
          <w:color w:val="221F1F"/>
          <w:spacing w:val="-6"/>
        </w:rPr>
        <w:t xml:space="preserve"> </w:t>
      </w:r>
      <w:r>
        <w:rPr>
          <w:color w:val="221F1F"/>
        </w:rPr>
        <w:t>precautions</w:t>
      </w:r>
      <w:r>
        <w:rPr>
          <w:color w:val="221F1F"/>
          <w:spacing w:val="-10"/>
        </w:rPr>
        <w:t xml:space="preserve"> </w:t>
      </w:r>
      <w:r>
        <w:rPr>
          <w:color w:val="221F1F"/>
        </w:rPr>
        <w:t>to</w:t>
      </w:r>
      <w:r>
        <w:rPr>
          <w:color w:val="221F1F"/>
          <w:spacing w:val="-7"/>
        </w:rPr>
        <w:t xml:space="preserve"> </w:t>
      </w:r>
      <w:r>
        <w:rPr>
          <w:color w:val="221F1F"/>
        </w:rPr>
        <w:t>prevent</w:t>
      </w:r>
      <w:r>
        <w:rPr>
          <w:color w:val="221F1F"/>
          <w:spacing w:val="-8"/>
        </w:rPr>
        <w:t xml:space="preserve"> </w:t>
      </w:r>
      <w:r>
        <w:rPr>
          <w:color w:val="221F1F"/>
        </w:rPr>
        <w:t>any</w:t>
      </w:r>
      <w:r>
        <w:rPr>
          <w:color w:val="221F1F"/>
          <w:spacing w:val="-9"/>
        </w:rPr>
        <w:t xml:space="preserve"> </w:t>
      </w:r>
      <w:r>
        <w:rPr>
          <w:color w:val="221F1F"/>
        </w:rPr>
        <w:t>unlawful,</w:t>
      </w:r>
      <w:r>
        <w:rPr>
          <w:color w:val="221F1F"/>
          <w:spacing w:val="-9"/>
        </w:rPr>
        <w:t xml:space="preserve"> </w:t>
      </w:r>
      <w:r>
        <w:rPr>
          <w:color w:val="221F1F"/>
        </w:rPr>
        <w:t>riotous</w:t>
      </w:r>
      <w:r>
        <w:rPr>
          <w:color w:val="221F1F"/>
          <w:spacing w:val="-9"/>
        </w:rPr>
        <w:t xml:space="preserve"> </w:t>
      </w:r>
      <w:r>
        <w:rPr>
          <w:color w:val="221F1F"/>
        </w:rPr>
        <w:t>or</w:t>
      </w:r>
      <w:r>
        <w:rPr>
          <w:color w:val="221F1F"/>
          <w:spacing w:val="-9"/>
        </w:rPr>
        <w:t xml:space="preserve"> </w:t>
      </w:r>
      <w:r>
        <w:rPr>
          <w:color w:val="221F1F"/>
        </w:rPr>
        <w:t>disorderly conduct by or amongst the Contractor's Personnel, and to preserve peace and protection of persons and property on and near the Site.</w:t>
      </w:r>
    </w:p>
    <w:p w:rsidR="007F6DF9" w:rsidRDefault="00A43FBC">
      <w:pPr>
        <w:pStyle w:val="Heading9"/>
        <w:numPr>
          <w:ilvl w:val="1"/>
          <w:numId w:val="122"/>
        </w:numPr>
        <w:tabs>
          <w:tab w:val="left" w:pos="1371"/>
        </w:tabs>
        <w:spacing w:before="125"/>
        <w:ind w:left="1371" w:hanging="660"/>
        <w:jc w:val="both"/>
        <w:rPr>
          <w:color w:val="221F1F"/>
        </w:rPr>
      </w:pPr>
      <w:r>
        <w:rPr>
          <w:color w:val="221F1F"/>
        </w:rPr>
        <w:t>Foreign</w:t>
      </w:r>
      <w:r>
        <w:rPr>
          <w:color w:val="221F1F"/>
          <w:spacing w:val="-2"/>
        </w:rPr>
        <w:t xml:space="preserve"> Personnel</w:t>
      </w:r>
    </w:p>
    <w:p w:rsidR="007F6DF9" w:rsidRDefault="00A43FBC">
      <w:pPr>
        <w:pStyle w:val="ListParagraph"/>
        <w:numPr>
          <w:ilvl w:val="2"/>
          <w:numId w:val="122"/>
        </w:numPr>
        <w:tabs>
          <w:tab w:val="left" w:pos="1371"/>
          <w:tab w:val="left" w:pos="1376"/>
        </w:tabs>
        <w:spacing w:before="245" w:line="230" w:lineRule="auto"/>
        <w:ind w:left="1376" w:right="1082" w:hanging="666"/>
        <w:rPr>
          <w:color w:val="221F1F"/>
        </w:rPr>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employ</w:t>
      </w:r>
      <w:r>
        <w:rPr>
          <w:color w:val="221F1F"/>
          <w:spacing w:val="-2"/>
        </w:rPr>
        <w:t xml:space="preserve"> </w:t>
      </w:r>
      <w:r>
        <w:rPr>
          <w:color w:val="221F1F"/>
        </w:rPr>
        <w:t>foreign</w:t>
      </w:r>
      <w:r>
        <w:rPr>
          <w:color w:val="221F1F"/>
          <w:spacing w:val="-2"/>
        </w:rPr>
        <w:t xml:space="preserve"> </w:t>
      </w:r>
      <w:r>
        <w:rPr>
          <w:color w:val="221F1F"/>
        </w:rPr>
        <w:t>personnel</w:t>
      </w:r>
      <w:r>
        <w:rPr>
          <w:color w:val="221F1F"/>
          <w:spacing w:val="-1"/>
        </w:rPr>
        <w:t xml:space="preserve"> </w:t>
      </w:r>
      <w:r>
        <w:rPr>
          <w:color w:val="221F1F"/>
        </w:rPr>
        <w:t>unless</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demonstrates</w:t>
      </w:r>
      <w:r>
        <w:rPr>
          <w:color w:val="221F1F"/>
          <w:spacing w:val="-2"/>
        </w:rPr>
        <w:t xml:space="preserve"> </w:t>
      </w:r>
      <w:r>
        <w:rPr>
          <w:color w:val="221F1F"/>
        </w:rPr>
        <w:t>that</w:t>
      </w:r>
      <w:r>
        <w:rPr>
          <w:color w:val="221F1F"/>
          <w:spacing w:val="-1"/>
        </w:rPr>
        <w:t xml:space="preserve"> </w:t>
      </w:r>
      <w:r>
        <w:rPr>
          <w:color w:val="221F1F"/>
        </w:rPr>
        <w:t>there</w:t>
      </w:r>
      <w:r>
        <w:rPr>
          <w:color w:val="221F1F"/>
          <w:spacing w:val="-4"/>
        </w:rPr>
        <w:t xml:space="preserve"> </w:t>
      </w:r>
      <w:r>
        <w:rPr>
          <w:color w:val="221F1F"/>
        </w:rPr>
        <w:t>are</w:t>
      </w:r>
      <w:r>
        <w:rPr>
          <w:color w:val="221F1F"/>
          <w:spacing w:val="-2"/>
        </w:rPr>
        <w:t xml:space="preserve"> </w:t>
      </w:r>
      <w:r>
        <w:rPr>
          <w:color w:val="221F1F"/>
        </w:rPr>
        <w:t>no Kenyans with the required skills.</w:t>
      </w:r>
    </w:p>
    <w:p w:rsidR="007F6DF9" w:rsidRDefault="00A43FBC">
      <w:pPr>
        <w:pStyle w:val="ListParagraph"/>
        <w:numPr>
          <w:ilvl w:val="2"/>
          <w:numId w:val="122"/>
        </w:numPr>
        <w:tabs>
          <w:tab w:val="left" w:pos="1368"/>
          <w:tab w:val="left" w:pos="1376"/>
        </w:tabs>
        <w:spacing w:before="244" w:line="230" w:lineRule="auto"/>
        <w:ind w:left="1376" w:right="558" w:hanging="666"/>
        <w:jc w:val="both"/>
        <w:rPr>
          <w:color w:val="221F1F"/>
        </w:rPr>
      </w:pPr>
      <w:r>
        <w:rPr>
          <w:color w:val="221F1F"/>
        </w:rPr>
        <w:t>The Contractor shall be responsible for the return of any foreign personnel to the place where they were recruited</w:t>
      </w:r>
      <w:r>
        <w:rPr>
          <w:color w:val="221F1F"/>
          <w:spacing w:val="-7"/>
        </w:rPr>
        <w:t xml:space="preserve"> </w:t>
      </w:r>
      <w:r>
        <w:rPr>
          <w:color w:val="221F1F"/>
        </w:rPr>
        <w:t>or</w:t>
      </w:r>
      <w:r>
        <w:rPr>
          <w:color w:val="221F1F"/>
          <w:spacing w:val="-8"/>
        </w:rPr>
        <w:t xml:space="preserve"> </w:t>
      </w:r>
      <w:r>
        <w:rPr>
          <w:color w:val="221F1F"/>
        </w:rPr>
        <w:t>to</w:t>
      </w:r>
      <w:r>
        <w:rPr>
          <w:color w:val="221F1F"/>
          <w:spacing w:val="-11"/>
        </w:rPr>
        <w:t xml:space="preserve"> </w:t>
      </w:r>
      <w:r>
        <w:rPr>
          <w:color w:val="221F1F"/>
        </w:rPr>
        <w:t>their</w:t>
      </w:r>
      <w:r>
        <w:rPr>
          <w:color w:val="221F1F"/>
          <w:spacing w:val="-7"/>
        </w:rPr>
        <w:t xml:space="preserve"> </w:t>
      </w:r>
      <w:r>
        <w:rPr>
          <w:color w:val="221F1F"/>
        </w:rPr>
        <w:t>domicile.</w:t>
      </w:r>
      <w:r>
        <w:rPr>
          <w:color w:val="221F1F"/>
          <w:spacing w:val="-7"/>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death</w:t>
      </w:r>
      <w:r>
        <w:rPr>
          <w:color w:val="221F1F"/>
          <w:spacing w:val="-10"/>
        </w:rPr>
        <w:t xml:space="preserve"> </w:t>
      </w:r>
      <w:r>
        <w:rPr>
          <w:color w:val="221F1F"/>
        </w:rPr>
        <w:t>in</w:t>
      </w:r>
      <w:r>
        <w:rPr>
          <w:color w:val="221F1F"/>
          <w:spacing w:val="-8"/>
        </w:rPr>
        <w:t xml:space="preserve"> </w:t>
      </w:r>
      <w:r>
        <w:rPr>
          <w:color w:val="221F1F"/>
        </w:rPr>
        <w:t>Kenya</w:t>
      </w:r>
      <w:r>
        <w:rPr>
          <w:color w:val="221F1F"/>
          <w:spacing w:val="-8"/>
        </w:rPr>
        <w:t xml:space="preserve"> </w:t>
      </w:r>
      <w:r>
        <w:rPr>
          <w:color w:val="221F1F"/>
        </w:rPr>
        <w:t>of</w:t>
      </w:r>
      <w:r>
        <w:rPr>
          <w:color w:val="221F1F"/>
          <w:spacing w:val="-10"/>
        </w:rPr>
        <w:t xml:space="preserve"> </w:t>
      </w:r>
      <w:r>
        <w:rPr>
          <w:color w:val="221F1F"/>
        </w:rPr>
        <w:t>any</w:t>
      </w:r>
      <w:r>
        <w:rPr>
          <w:color w:val="221F1F"/>
          <w:spacing w:val="-8"/>
        </w:rPr>
        <w:t xml:space="preserve"> </w:t>
      </w:r>
      <w:r>
        <w:rPr>
          <w:color w:val="221F1F"/>
        </w:rPr>
        <w:t>of</w:t>
      </w:r>
      <w:r>
        <w:rPr>
          <w:color w:val="221F1F"/>
          <w:spacing w:val="-10"/>
        </w:rPr>
        <w:t xml:space="preserve"> </w:t>
      </w:r>
      <w:r>
        <w:rPr>
          <w:color w:val="221F1F"/>
        </w:rPr>
        <w:t>these</w:t>
      </w:r>
      <w:r>
        <w:rPr>
          <w:color w:val="221F1F"/>
          <w:spacing w:val="-7"/>
        </w:rPr>
        <w:t xml:space="preserve"> </w:t>
      </w:r>
      <w:r>
        <w:rPr>
          <w:color w:val="221F1F"/>
        </w:rPr>
        <w:t>personnel</w:t>
      </w:r>
      <w:r>
        <w:rPr>
          <w:color w:val="221F1F"/>
          <w:spacing w:val="-7"/>
        </w:rPr>
        <w:t xml:space="preserve"> </w:t>
      </w:r>
      <w:r>
        <w:rPr>
          <w:color w:val="221F1F"/>
        </w:rPr>
        <w:t>or</w:t>
      </w:r>
      <w:r>
        <w:rPr>
          <w:color w:val="221F1F"/>
          <w:spacing w:val="-10"/>
        </w:rPr>
        <w:t xml:space="preserve"> </w:t>
      </w:r>
      <w:r>
        <w:rPr>
          <w:color w:val="221F1F"/>
        </w:rPr>
        <w:t>members</w:t>
      </w:r>
      <w:r>
        <w:rPr>
          <w:color w:val="221F1F"/>
          <w:spacing w:val="-7"/>
        </w:rPr>
        <w:t xml:space="preserve"> </w:t>
      </w:r>
      <w:r>
        <w:rPr>
          <w:color w:val="221F1F"/>
        </w:rPr>
        <w:t>of</w:t>
      </w:r>
      <w:r>
        <w:rPr>
          <w:color w:val="221F1F"/>
          <w:spacing w:val="-8"/>
        </w:rPr>
        <w:t xml:space="preserve"> </w:t>
      </w:r>
      <w:r>
        <w:rPr>
          <w:color w:val="221F1F"/>
        </w:rPr>
        <w:t>their families,</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similarly</w:t>
      </w:r>
      <w:r>
        <w:rPr>
          <w:color w:val="221F1F"/>
          <w:spacing w:val="-13"/>
        </w:rPr>
        <w:t xml:space="preserve"> </w:t>
      </w:r>
      <w:r>
        <w:rPr>
          <w:color w:val="221F1F"/>
        </w:rPr>
        <w:t>be</w:t>
      </w:r>
      <w:r>
        <w:rPr>
          <w:color w:val="221F1F"/>
          <w:spacing w:val="-14"/>
        </w:rPr>
        <w:t xml:space="preserve"> </w:t>
      </w:r>
      <w:r>
        <w:rPr>
          <w:color w:val="221F1F"/>
        </w:rPr>
        <w:t>responsible</w:t>
      </w:r>
      <w:r>
        <w:rPr>
          <w:color w:val="221F1F"/>
          <w:spacing w:val="-13"/>
        </w:rPr>
        <w:t xml:space="preserve"> </w:t>
      </w:r>
      <w:r>
        <w:rPr>
          <w:color w:val="221F1F"/>
        </w:rPr>
        <w:t>for</w:t>
      </w:r>
      <w:r>
        <w:rPr>
          <w:color w:val="221F1F"/>
          <w:spacing w:val="-13"/>
        </w:rPr>
        <w:t xml:space="preserve"> </w:t>
      </w:r>
      <w:r>
        <w:rPr>
          <w:color w:val="221F1F"/>
        </w:rPr>
        <w:t>making</w:t>
      </w:r>
      <w:r>
        <w:rPr>
          <w:color w:val="221F1F"/>
          <w:spacing w:val="-14"/>
        </w:rPr>
        <w:t xml:space="preserve"> </w:t>
      </w:r>
      <w:r>
        <w:rPr>
          <w:color w:val="221F1F"/>
        </w:rPr>
        <w:t>the</w:t>
      </w:r>
      <w:r>
        <w:rPr>
          <w:color w:val="221F1F"/>
          <w:spacing w:val="-14"/>
        </w:rPr>
        <w:t xml:space="preserve"> </w:t>
      </w:r>
      <w:r>
        <w:rPr>
          <w:color w:val="221F1F"/>
        </w:rPr>
        <w:t>appropriate</w:t>
      </w:r>
      <w:r>
        <w:rPr>
          <w:color w:val="221F1F"/>
          <w:spacing w:val="-13"/>
        </w:rPr>
        <w:t xml:space="preserve"> </w:t>
      </w:r>
      <w:r>
        <w:rPr>
          <w:color w:val="221F1F"/>
        </w:rPr>
        <w:t>arrangements</w:t>
      </w:r>
      <w:r>
        <w:rPr>
          <w:color w:val="221F1F"/>
          <w:spacing w:val="-13"/>
        </w:rPr>
        <w:t xml:space="preserve"> </w:t>
      </w:r>
      <w:r>
        <w:rPr>
          <w:color w:val="221F1F"/>
        </w:rPr>
        <w:t>for</w:t>
      </w:r>
      <w:r>
        <w:rPr>
          <w:color w:val="221F1F"/>
          <w:spacing w:val="-13"/>
        </w:rPr>
        <w:t xml:space="preserve"> </w:t>
      </w:r>
      <w:r>
        <w:rPr>
          <w:color w:val="221F1F"/>
        </w:rPr>
        <w:t>their</w:t>
      </w:r>
      <w:r>
        <w:rPr>
          <w:color w:val="221F1F"/>
          <w:spacing w:val="-13"/>
        </w:rPr>
        <w:t xml:space="preserve"> </w:t>
      </w:r>
      <w:r>
        <w:rPr>
          <w:color w:val="221F1F"/>
        </w:rPr>
        <w:t>return or burial.</w:t>
      </w:r>
    </w:p>
    <w:p w:rsidR="007F6DF9" w:rsidRDefault="00A43FBC">
      <w:pPr>
        <w:pStyle w:val="Heading9"/>
        <w:numPr>
          <w:ilvl w:val="1"/>
          <w:numId w:val="122"/>
        </w:numPr>
        <w:tabs>
          <w:tab w:val="left" w:pos="1371"/>
        </w:tabs>
        <w:spacing w:before="237"/>
        <w:ind w:left="1371" w:hanging="660"/>
        <w:jc w:val="both"/>
        <w:rPr>
          <w:color w:val="221F1F"/>
        </w:rPr>
      </w:pPr>
      <w:r>
        <w:rPr>
          <w:color w:val="221F1F"/>
        </w:rPr>
        <w:t>Supply</w:t>
      </w:r>
      <w:r>
        <w:rPr>
          <w:color w:val="221F1F"/>
          <w:spacing w:val="-4"/>
        </w:rPr>
        <w:t xml:space="preserve"> </w:t>
      </w:r>
      <w:r>
        <w:rPr>
          <w:color w:val="221F1F"/>
        </w:rPr>
        <w:t>of</w:t>
      </w:r>
      <w:r>
        <w:rPr>
          <w:color w:val="221F1F"/>
          <w:spacing w:val="-2"/>
        </w:rPr>
        <w:t xml:space="preserve"> </w:t>
      </w:r>
      <w:r>
        <w:rPr>
          <w:color w:val="221F1F"/>
          <w:spacing w:val="-4"/>
        </w:rPr>
        <w:t>Water</w:t>
      </w:r>
    </w:p>
    <w:p w:rsidR="007F6DF9" w:rsidRDefault="00A43FBC">
      <w:pPr>
        <w:pStyle w:val="BodyText"/>
        <w:spacing w:before="243" w:line="230" w:lineRule="auto"/>
        <w:ind w:left="1376" w:right="556" w:hanging="5"/>
        <w:jc w:val="both"/>
      </w:pPr>
      <w:r>
        <w:rPr>
          <w:color w:val="221F1F"/>
        </w:rPr>
        <w:t xml:space="preserve">The Contractor shall, having regard to local conditions, provide on the </w:t>
      </w:r>
      <w:proofErr w:type="spellStart"/>
      <w:r>
        <w:rPr>
          <w:color w:val="221F1F"/>
        </w:rPr>
        <w:t>Sitea</w:t>
      </w:r>
      <w:proofErr w:type="spellEnd"/>
      <w:r>
        <w:rPr>
          <w:color w:val="221F1F"/>
        </w:rPr>
        <w:t xml:space="preserve"> </w:t>
      </w:r>
      <w:proofErr w:type="spellStart"/>
      <w:r>
        <w:rPr>
          <w:color w:val="221F1F"/>
        </w:rPr>
        <w:t>n</w:t>
      </w:r>
      <w:proofErr w:type="spellEnd"/>
      <w:r>
        <w:rPr>
          <w:color w:val="221F1F"/>
        </w:rPr>
        <w:t xml:space="preserve"> adequate supply of drinking and other water for the use of the Contractor's Personnel.</w:t>
      </w:r>
    </w:p>
    <w:p w:rsidR="007F6DF9" w:rsidRDefault="00A43FBC">
      <w:pPr>
        <w:pStyle w:val="Heading9"/>
        <w:numPr>
          <w:ilvl w:val="1"/>
          <w:numId w:val="122"/>
        </w:numPr>
        <w:tabs>
          <w:tab w:val="left" w:pos="1371"/>
        </w:tabs>
        <w:spacing w:before="235"/>
        <w:ind w:left="1371" w:hanging="660"/>
        <w:jc w:val="both"/>
        <w:rPr>
          <w:color w:val="221F1F"/>
        </w:rPr>
      </w:pPr>
      <w:r>
        <w:rPr>
          <w:color w:val="221F1F"/>
        </w:rPr>
        <w:t>Measures</w:t>
      </w:r>
      <w:r>
        <w:rPr>
          <w:color w:val="221F1F"/>
          <w:spacing w:val="-2"/>
        </w:rPr>
        <w:t xml:space="preserve"> </w:t>
      </w:r>
      <w:r>
        <w:rPr>
          <w:color w:val="221F1F"/>
        </w:rPr>
        <w:t>against</w:t>
      </w:r>
      <w:r>
        <w:rPr>
          <w:color w:val="221F1F"/>
          <w:spacing w:val="-4"/>
        </w:rPr>
        <w:t xml:space="preserve"> </w:t>
      </w:r>
      <w:r>
        <w:rPr>
          <w:color w:val="221F1F"/>
        </w:rPr>
        <w:t>Insect</w:t>
      </w:r>
      <w:r>
        <w:rPr>
          <w:color w:val="221F1F"/>
          <w:spacing w:val="-2"/>
        </w:rPr>
        <w:t xml:space="preserve"> </w:t>
      </w:r>
      <w:r>
        <w:rPr>
          <w:color w:val="221F1F"/>
        </w:rPr>
        <w:t>and</w:t>
      </w:r>
      <w:r>
        <w:rPr>
          <w:color w:val="221F1F"/>
          <w:spacing w:val="-4"/>
        </w:rPr>
        <w:t xml:space="preserve"> </w:t>
      </w:r>
      <w:r>
        <w:rPr>
          <w:color w:val="221F1F"/>
        </w:rPr>
        <w:t>Pest</w:t>
      </w:r>
      <w:r>
        <w:rPr>
          <w:color w:val="221F1F"/>
          <w:spacing w:val="-1"/>
        </w:rPr>
        <w:t xml:space="preserve"> </w:t>
      </w:r>
      <w:r>
        <w:rPr>
          <w:color w:val="221F1F"/>
          <w:spacing w:val="-2"/>
        </w:rPr>
        <w:t>Nuisance</w:t>
      </w:r>
    </w:p>
    <w:p w:rsidR="007F6DF9" w:rsidRDefault="00A43FBC">
      <w:pPr>
        <w:pStyle w:val="BodyText"/>
        <w:spacing w:before="243" w:line="230" w:lineRule="auto"/>
        <w:ind w:left="1376" w:right="558" w:hanging="5"/>
        <w:jc w:val="both"/>
      </w:pP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a</w:t>
      </w:r>
      <w:r>
        <w:rPr>
          <w:color w:val="221F1F"/>
          <w:spacing w:val="-13"/>
        </w:rPr>
        <w:t xml:space="preserve"> </w:t>
      </w:r>
      <w:r>
        <w:rPr>
          <w:color w:val="221F1F"/>
        </w:rPr>
        <w:t>tall</w:t>
      </w:r>
      <w:r>
        <w:rPr>
          <w:color w:val="221F1F"/>
          <w:spacing w:val="-14"/>
        </w:rPr>
        <w:t xml:space="preserve"> </w:t>
      </w:r>
      <w:r>
        <w:rPr>
          <w:color w:val="221F1F"/>
        </w:rPr>
        <w:t>times</w:t>
      </w:r>
      <w:r>
        <w:rPr>
          <w:color w:val="221F1F"/>
          <w:spacing w:val="-14"/>
        </w:rPr>
        <w:t xml:space="preserve"> </w:t>
      </w:r>
      <w:r>
        <w:rPr>
          <w:color w:val="221F1F"/>
        </w:rPr>
        <w:t>take</w:t>
      </w:r>
      <w:r>
        <w:rPr>
          <w:color w:val="221F1F"/>
          <w:spacing w:val="-14"/>
        </w:rPr>
        <w:t xml:space="preserve"> </w:t>
      </w:r>
      <w:r>
        <w:rPr>
          <w:color w:val="221F1F"/>
        </w:rPr>
        <w:t>the</w:t>
      </w:r>
      <w:r>
        <w:rPr>
          <w:color w:val="221F1F"/>
          <w:spacing w:val="-13"/>
        </w:rPr>
        <w:t xml:space="preserve"> </w:t>
      </w:r>
      <w:r>
        <w:rPr>
          <w:color w:val="221F1F"/>
        </w:rPr>
        <w:t>necessary</w:t>
      </w:r>
      <w:r>
        <w:rPr>
          <w:color w:val="221F1F"/>
          <w:spacing w:val="-14"/>
        </w:rPr>
        <w:t xml:space="preserve"> </w:t>
      </w:r>
      <w:r>
        <w:rPr>
          <w:color w:val="221F1F"/>
        </w:rPr>
        <w:t>precautions</w:t>
      </w:r>
      <w:r>
        <w:rPr>
          <w:color w:val="221F1F"/>
          <w:spacing w:val="-14"/>
        </w:rPr>
        <w:t xml:space="preserve"> </w:t>
      </w:r>
      <w:r>
        <w:rPr>
          <w:color w:val="221F1F"/>
        </w:rPr>
        <w:t>to</w:t>
      </w:r>
      <w:r>
        <w:rPr>
          <w:color w:val="221F1F"/>
          <w:spacing w:val="-14"/>
        </w:rPr>
        <w:t xml:space="preserve"> </w:t>
      </w:r>
      <w:r>
        <w:rPr>
          <w:color w:val="221F1F"/>
        </w:rPr>
        <w:t>protect</w:t>
      </w:r>
      <w:r>
        <w:rPr>
          <w:color w:val="221F1F"/>
          <w:spacing w:val="-13"/>
        </w:rPr>
        <w:t xml:space="preserve"> </w:t>
      </w:r>
      <w:r>
        <w:rPr>
          <w:color w:val="221F1F"/>
        </w:rPr>
        <w:t>the</w:t>
      </w:r>
      <w:r>
        <w:rPr>
          <w:color w:val="221F1F"/>
          <w:spacing w:val="-14"/>
        </w:rPr>
        <w:t xml:space="preserve"> </w:t>
      </w:r>
      <w:r>
        <w:rPr>
          <w:color w:val="221F1F"/>
        </w:rPr>
        <w:t>Contractor's</w:t>
      </w:r>
      <w:r>
        <w:rPr>
          <w:color w:val="221F1F"/>
          <w:spacing w:val="-14"/>
        </w:rPr>
        <w:t xml:space="preserve"> </w:t>
      </w:r>
      <w:r>
        <w:rPr>
          <w:color w:val="221F1F"/>
        </w:rPr>
        <w:t>Personnel</w:t>
      </w:r>
      <w:r>
        <w:rPr>
          <w:color w:val="221F1F"/>
          <w:spacing w:val="-14"/>
        </w:rPr>
        <w:t xml:space="preserve"> </w:t>
      </w:r>
      <w:r>
        <w:rPr>
          <w:color w:val="221F1F"/>
        </w:rPr>
        <w:t>employed on</w:t>
      </w:r>
      <w:r>
        <w:rPr>
          <w:color w:val="221F1F"/>
          <w:spacing w:val="-14"/>
        </w:rPr>
        <w:t xml:space="preserve"> </w:t>
      </w:r>
      <w:r>
        <w:rPr>
          <w:color w:val="221F1F"/>
        </w:rPr>
        <w:t>the</w:t>
      </w:r>
      <w:r>
        <w:rPr>
          <w:color w:val="221F1F"/>
          <w:spacing w:val="-14"/>
        </w:rPr>
        <w:t xml:space="preserve"> </w:t>
      </w:r>
      <w:r>
        <w:rPr>
          <w:color w:val="221F1F"/>
        </w:rPr>
        <w:t>Site</w:t>
      </w:r>
      <w:r>
        <w:rPr>
          <w:color w:val="221F1F"/>
          <w:spacing w:val="-14"/>
        </w:rPr>
        <w:t xml:space="preserve"> </w:t>
      </w:r>
      <w:r>
        <w:rPr>
          <w:color w:val="221F1F"/>
        </w:rPr>
        <w:t>from</w:t>
      </w:r>
      <w:r>
        <w:rPr>
          <w:color w:val="221F1F"/>
          <w:spacing w:val="-13"/>
        </w:rPr>
        <w:t xml:space="preserve"> </w:t>
      </w:r>
      <w:r>
        <w:rPr>
          <w:color w:val="221F1F"/>
        </w:rPr>
        <w:t>insect</w:t>
      </w:r>
      <w:r>
        <w:rPr>
          <w:color w:val="221F1F"/>
          <w:spacing w:val="-14"/>
        </w:rPr>
        <w:t xml:space="preserve"> </w:t>
      </w:r>
      <w:r>
        <w:rPr>
          <w:color w:val="221F1F"/>
        </w:rPr>
        <w:t>and</w:t>
      </w:r>
      <w:r>
        <w:rPr>
          <w:color w:val="221F1F"/>
          <w:spacing w:val="-14"/>
        </w:rPr>
        <w:t xml:space="preserve"> </w:t>
      </w:r>
      <w:r>
        <w:rPr>
          <w:color w:val="221F1F"/>
        </w:rPr>
        <w:t>pest</w:t>
      </w:r>
      <w:r>
        <w:rPr>
          <w:color w:val="221F1F"/>
          <w:spacing w:val="-14"/>
        </w:rPr>
        <w:t xml:space="preserve"> </w:t>
      </w:r>
      <w:r>
        <w:rPr>
          <w:color w:val="221F1F"/>
        </w:rPr>
        <w:t>nuisance,</w:t>
      </w:r>
      <w:r>
        <w:rPr>
          <w:color w:val="221F1F"/>
          <w:spacing w:val="-13"/>
        </w:rPr>
        <w:t xml:space="preserve"> </w:t>
      </w:r>
      <w:r>
        <w:rPr>
          <w:color w:val="221F1F"/>
        </w:rPr>
        <w:t>and</w:t>
      </w:r>
      <w:r>
        <w:rPr>
          <w:color w:val="221F1F"/>
          <w:spacing w:val="-14"/>
        </w:rPr>
        <w:t xml:space="preserve"> </w:t>
      </w:r>
      <w:r>
        <w:rPr>
          <w:color w:val="221F1F"/>
        </w:rPr>
        <w:t>to</w:t>
      </w:r>
      <w:r>
        <w:rPr>
          <w:color w:val="221F1F"/>
          <w:spacing w:val="-14"/>
        </w:rPr>
        <w:t xml:space="preserve"> </w:t>
      </w:r>
      <w:r>
        <w:rPr>
          <w:color w:val="221F1F"/>
        </w:rPr>
        <w:t>reduce</w:t>
      </w:r>
      <w:r>
        <w:rPr>
          <w:color w:val="221F1F"/>
          <w:spacing w:val="-14"/>
        </w:rPr>
        <w:t xml:space="preserve"> </w:t>
      </w:r>
      <w:r>
        <w:rPr>
          <w:color w:val="221F1F"/>
        </w:rPr>
        <w:t>the</w:t>
      </w:r>
      <w:r>
        <w:rPr>
          <w:color w:val="221F1F"/>
          <w:spacing w:val="-13"/>
        </w:rPr>
        <w:t xml:space="preserve"> </w:t>
      </w:r>
      <w:r>
        <w:rPr>
          <w:color w:val="221F1F"/>
        </w:rPr>
        <w:t>danger</w:t>
      </w:r>
      <w:r>
        <w:rPr>
          <w:color w:val="221F1F"/>
          <w:spacing w:val="-14"/>
        </w:rPr>
        <w:t xml:space="preserve"> </w:t>
      </w:r>
      <w:r>
        <w:rPr>
          <w:color w:val="221F1F"/>
        </w:rPr>
        <w:t>to</w:t>
      </w:r>
      <w:r>
        <w:rPr>
          <w:color w:val="221F1F"/>
          <w:spacing w:val="-14"/>
        </w:rPr>
        <w:t xml:space="preserve"> </w:t>
      </w:r>
      <w:r>
        <w:rPr>
          <w:color w:val="221F1F"/>
        </w:rPr>
        <w:t>their</w:t>
      </w:r>
      <w:r>
        <w:rPr>
          <w:color w:val="221F1F"/>
          <w:spacing w:val="-14"/>
        </w:rPr>
        <w:t xml:space="preserve"> </w:t>
      </w:r>
      <w:r>
        <w:rPr>
          <w:color w:val="221F1F"/>
        </w:rPr>
        <w:t>health.</w:t>
      </w:r>
      <w:r>
        <w:rPr>
          <w:color w:val="221F1F"/>
          <w:spacing w:val="-13"/>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shall</w:t>
      </w:r>
      <w:r>
        <w:rPr>
          <w:color w:val="221F1F"/>
          <w:spacing w:val="-13"/>
        </w:rPr>
        <w:t xml:space="preserve"> </w:t>
      </w:r>
      <w:r>
        <w:rPr>
          <w:color w:val="221F1F"/>
        </w:rPr>
        <w:t>comply with all the regulations of the local health authorities, including use of appropriate insecticide.</w:t>
      </w:r>
    </w:p>
    <w:p w:rsidR="007F6DF9" w:rsidRDefault="00A43FBC">
      <w:pPr>
        <w:pStyle w:val="Heading9"/>
        <w:numPr>
          <w:ilvl w:val="1"/>
          <w:numId w:val="122"/>
        </w:numPr>
        <w:tabs>
          <w:tab w:val="left" w:pos="1371"/>
        </w:tabs>
        <w:spacing w:before="237"/>
        <w:ind w:left="1371" w:hanging="660"/>
        <w:jc w:val="both"/>
        <w:rPr>
          <w:color w:val="221F1F"/>
        </w:rPr>
      </w:pPr>
      <w:r>
        <w:rPr>
          <w:color w:val="221F1F"/>
        </w:rPr>
        <w:t>Alcoholic</w:t>
      </w:r>
      <w:r>
        <w:rPr>
          <w:color w:val="221F1F"/>
          <w:spacing w:val="-3"/>
        </w:rPr>
        <w:t xml:space="preserve"> </w:t>
      </w:r>
      <w:r>
        <w:rPr>
          <w:color w:val="221F1F"/>
        </w:rPr>
        <w:t>Liquor</w:t>
      </w:r>
      <w:r>
        <w:rPr>
          <w:color w:val="221F1F"/>
          <w:spacing w:val="-5"/>
        </w:rPr>
        <w:t xml:space="preserve"> </w:t>
      </w:r>
      <w:r>
        <w:rPr>
          <w:color w:val="221F1F"/>
        </w:rPr>
        <w:t>or</w:t>
      </w:r>
      <w:r>
        <w:rPr>
          <w:color w:val="221F1F"/>
          <w:spacing w:val="-3"/>
        </w:rPr>
        <w:t xml:space="preserve"> </w:t>
      </w:r>
      <w:r>
        <w:rPr>
          <w:color w:val="221F1F"/>
          <w:spacing w:val="-4"/>
        </w:rPr>
        <w:t>Drugs</w:t>
      </w:r>
    </w:p>
    <w:p w:rsidR="007F6DF9" w:rsidRDefault="00A43FBC">
      <w:pPr>
        <w:pStyle w:val="BodyText"/>
        <w:spacing w:before="243" w:line="230" w:lineRule="auto"/>
        <w:ind w:left="1376" w:right="557" w:hanging="5"/>
        <w:jc w:val="both"/>
      </w:pPr>
      <w:r>
        <w:rPr>
          <w:color w:val="221F1F"/>
        </w:rPr>
        <w:t xml:space="preserve">The Contractor shall not, otherwise than in accordance with the Laws of Kenya, onsite, import, sell, give, barter or otherwise dispose of any alcoholic liquor or drugs, or permit or allow importation, sale, gift, barter or disposal </w:t>
      </w:r>
      <w:proofErr w:type="spellStart"/>
      <w:r>
        <w:rPr>
          <w:color w:val="221F1F"/>
        </w:rPr>
        <w:t>there of</w:t>
      </w:r>
      <w:proofErr w:type="spellEnd"/>
      <w:r>
        <w:rPr>
          <w:color w:val="221F1F"/>
        </w:rPr>
        <w:t xml:space="preserve"> by Contractor's Personnel.</w:t>
      </w:r>
    </w:p>
    <w:p w:rsidR="007F6DF9" w:rsidRDefault="00A43FBC">
      <w:pPr>
        <w:pStyle w:val="Heading9"/>
        <w:numPr>
          <w:ilvl w:val="1"/>
          <w:numId w:val="122"/>
        </w:numPr>
        <w:tabs>
          <w:tab w:val="left" w:pos="1371"/>
        </w:tabs>
        <w:spacing w:before="235"/>
        <w:ind w:left="1371" w:hanging="660"/>
        <w:jc w:val="both"/>
        <w:rPr>
          <w:color w:val="221F1F"/>
        </w:rPr>
      </w:pPr>
      <w:r>
        <w:rPr>
          <w:color w:val="221F1F"/>
        </w:rPr>
        <w:t>Prohibition</w:t>
      </w:r>
      <w:r>
        <w:rPr>
          <w:color w:val="221F1F"/>
          <w:spacing w:val="-3"/>
        </w:rPr>
        <w:t xml:space="preserve"> </w:t>
      </w:r>
      <w:r>
        <w:rPr>
          <w:color w:val="221F1F"/>
        </w:rPr>
        <w:t>of</w:t>
      </w:r>
      <w:r>
        <w:rPr>
          <w:color w:val="221F1F"/>
          <w:spacing w:val="-5"/>
        </w:rPr>
        <w:t xml:space="preserve"> </w:t>
      </w:r>
      <w:r>
        <w:rPr>
          <w:color w:val="221F1F"/>
        </w:rPr>
        <w:t>Forced</w:t>
      </w:r>
      <w:r>
        <w:rPr>
          <w:color w:val="221F1F"/>
          <w:spacing w:val="-2"/>
        </w:rPr>
        <w:t xml:space="preserve"> </w:t>
      </w:r>
      <w:r>
        <w:rPr>
          <w:color w:val="221F1F"/>
        </w:rPr>
        <w:t>or</w:t>
      </w:r>
      <w:r>
        <w:rPr>
          <w:color w:val="221F1F"/>
          <w:spacing w:val="-5"/>
        </w:rPr>
        <w:t xml:space="preserve"> </w:t>
      </w:r>
      <w:r>
        <w:rPr>
          <w:color w:val="221F1F"/>
        </w:rPr>
        <w:t>Compulsory</w:t>
      </w:r>
      <w:r>
        <w:rPr>
          <w:color w:val="221F1F"/>
          <w:spacing w:val="-2"/>
        </w:rPr>
        <w:t xml:space="preserve"> </w:t>
      </w:r>
      <w:proofErr w:type="spellStart"/>
      <w:r>
        <w:rPr>
          <w:color w:val="221F1F"/>
          <w:spacing w:val="-2"/>
        </w:rPr>
        <w:t>Labour</w:t>
      </w:r>
      <w:proofErr w:type="spellEnd"/>
    </w:p>
    <w:p w:rsidR="007F6DF9" w:rsidRDefault="00A43FBC">
      <w:pPr>
        <w:pStyle w:val="BodyText"/>
        <w:spacing w:before="243" w:line="230" w:lineRule="auto"/>
        <w:ind w:left="1376" w:right="557" w:hanging="5"/>
        <w:jc w:val="both"/>
      </w:pPr>
      <w:r>
        <w:rPr>
          <w:color w:val="221F1F"/>
        </w:rPr>
        <w:t>The Contractor shall not employ forced labor, which consists of any work or service, not voluntarily performed,</w:t>
      </w:r>
      <w:r>
        <w:rPr>
          <w:color w:val="221F1F"/>
          <w:spacing w:val="26"/>
        </w:rPr>
        <w:t xml:space="preserve"> </w:t>
      </w:r>
      <w:r>
        <w:rPr>
          <w:color w:val="221F1F"/>
        </w:rPr>
        <w:t>that</w:t>
      </w:r>
      <w:r>
        <w:rPr>
          <w:color w:val="221F1F"/>
          <w:spacing w:val="29"/>
        </w:rPr>
        <w:t xml:space="preserve"> </w:t>
      </w:r>
      <w:r>
        <w:rPr>
          <w:color w:val="221F1F"/>
        </w:rPr>
        <w:t>is</w:t>
      </w:r>
      <w:r>
        <w:rPr>
          <w:color w:val="221F1F"/>
          <w:spacing w:val="26"/>
        </w:rPr>
        <w:t xml:space="preserve"> </w:t>
      </w:r>
      <w:r>
        <w:rPr>
          <w:color w:val="221F1F"/>
        </w:rPr>
        <w:t>exacted</w:t>
      </w:r>
      <w:r>
        <w:rPr>
          <w:color w:val="221F1F"/>
          <w:spacing w:val="26"/>
        </w:rPr>
        <w:t xml:space="preserve"> </w:t>
      </w:r>
      <w:r>
        <w:rPr>
          <w:color w:val="221F1F"/>
        </w:rPr>
        <w:t>from</w:t>
      </w:r>
      <w:r>
        <w:rPr>
          <w:color w:val="221F1F"/>
          <w:spacing w:val="29"/>
        </w:rPr>
        <w:t xml:space="preserve"> </w:t>
      </w:r>
      <w:r>
        <w:rPr>
          <w:color w:val="221F1F"/>
        </w:rPr>
        <w:t>an</w:t>
      </w:r>
      <w:r>
        <w:rPr>
          <w:color w:val="221F1F"/>
          <w:spacing w:val="29"/>
        </w:rPr>
        <w:t xml:space="preserve"> </w:t>
      </w:r>
      <w:r>
        <w:rPr>
          <w:color w:val="221F1F"/>
        </w:rPr>
        <w:t>individual</w:t>
      </w:r>
      <w:r>
        <w:rPr>
          <w:color w:val="221F1F"/>
          <w:spacing w:val="29"/>
        </w:rPr>
        <w:t xml:space="preserve"> </w:t>
      </w:r>
      <w:r>
        <w:rPr>
          <w:color w:val="221F1F"/>
        </w:rPr>
        <w:t>under</w:t>
      </w:r>
      <w:r>
        <w:rPr>
          <w:color w:val="221F1F"/>
          <w:spacing w:val="27"/>
        </w:rPr>
        <w:t xml:space="preserve"> </w:t>
      </w:r>
      <w:r>
        <w:rPr>
          <w:color w:val="221F1F"/>
        </w:rPr>
        <w:t>threat</w:t>
      </w:r>
      <w:r>
        <w:rPr>
          <w:color w:val="221F1F"/>
          <w:spacing w:val="29"/>
        </w:rPr>
        <w:t xml:space="preserve"> </w:t>
      </w:r>
      <w:r>
        <w:rPr>
          <w:color w:val="221F1F"/>
        </w:rPr>
        <w:t>of</w:t>
      </w:r>
      <w:r>
        <w:rPr>
          <w:color w:val="221F1F"/>
          <w:spacing w:val="29"/>
        </w:rPr>
        <w:t xml:space="preserve"> </w:t>
      </w:r>
      <w:r>
        <w:rPr>
          <w:color w:val="221F1F"/>
        </w:rPr>
        <w:t>force</w:t>
      </w:r>
      <w:r>
        <w:rPr>
          <w:color w:val="221F1F"/>
          <w:spacing w:val="29"/>
        </w:rPr>
        <w:t xml:space="preserve"> </w:t>
      </w:r>
      <w:r>
        <w:rPr>
          <w:color w:val="221F1F"/>
        </w:rPr>
        <w:t>or</w:t>
      </w:r>
      <w:r>
        <w:rPr>
          <w:color w:val="221F1F"/>
          <w:spacing w:val="29"/>
        </w:rPr>
        <w:t xml:space="preserve"> </w:t>
      </w:r>
      <w:r>
        <w:rPr>
          <w:color w:val="221F1F"/>
        </w:rPr>
        <w:t>penalty,</w:t>
      </w:r>
      <w:r>
        <w:rPr>
          <w:color w:val="221F1F"/>
          <w:spacing w:val="26"/>
        </w:rPr>
        <w:t xml:space="preserve"> </w:t>
      </w:r>
      <w:r>
        <w:rPr>
          <w:color w:val="221F1F"/>
        </w:rPr>
        <w:t>and</w:t>
      </w:r>
      <w:r>
        <w:rPr>
          <w:color w:val="221F1F"/>
          <w:spacing w:val="29"/>
        </w:rPr>
        <w:t xml:space="preserve"> </w:t>
      </w:r>
      <w:r>
        <w:rPr>
          <w:color w:val="221F1F"/>
        </w:rPr>
        <w:t>includes</w:t>
      </w:r>
      <w:r>
        <w:rPr>
          <w:color w:val="221F1F"/>
          <w:spacing w:val="29"/>
        </w:rPr>
        <w:t xml:space="preserve"> </w:t>
      </w:r>
      <w:r>
        <w:rPr>
          <w:color w:val="221F1F"/>
        </w:rPr>
        <w:t>any</w:t>
      </w:r>
      <w:r>
        <w:rPr>
          <w:color w:val="221F1F"/>
          <w:spacing w:val="26"/>
        </w:rPr>
        <w:t xml:space="preserve"> </w:t>
      </w:r>
      <w:r>
        <w:rPr>
          <w:color w:val="221F1F"/>
        </w:rPr>
        <w:t>kind</w:t>
      </w:r>
      <w:r>
        <w:rPr>
          <w:color w:val="221F1F"/>
          <w:spacing w:val="28"/>
        </w:rPr>
        <w:t xml:space="preserve"> </w:t>
      </w:r>
      <w:r>
        <w:rPr>
          <w:color w:val="221F1F"/>
        </w:rPr>
        <w:t>of</w:t>
      </w:r>
    </w:p>
    <w:p w:rsidR="007F6DF9" w:rsidRDefault="007F6DF9">
      <w:pPr>
        <w:pStyle w:val="BodyText"/>
        <w:spacing w:line="230" w:lineRule="auto"/>
        <w:jc w:val="both"/>
        <w:sectPr w:rsidR="007F6DF9">
          <w:pgSz w:w="11920" w:h="16850"/>
          <w:pgMar w:top="360" w:right="283" w:bottom="620" w:left="141" w:header="0" w:footer="437" w:gutter="0"/>
          <w:cols w:space="720"/>
        </w:sectPr>
      </w:pPr>
    </w:p>
    <w:p w:rsidR="007F6DF9" w:rsidRDefault="00A43FBC">
      <w:pPr>
        <w:pStyle w:val="BodyText"/>
        <w:spacing w:line="230" w:lineRule="auto"/>
        <w:ind w:left="1376" w:right="560"/>
        <w:jc w:val="both"/>
      </w:pPr>
      <w:r>
        <w:rPr>
          <w:color w:val="221F1F"/>
        </w:rPr>
        <w:lastRenderedPageBreak/>
        <w:t xml:space="preserve">involuntary or compulsory labor, such as indentured labor, bonded labor or similar labor-contracting </w:t>
      </w:r>
      <w:r>
        <w:rPr>
          <w:color w:val="221F1F"/>
          <w:spacing w:val="-2"/>
        </w:rPr>
        <w:t>arrangements.</w:t>
      </w:r>
    </w:p>
    <w:p w:rsidR="007F6DF9" w:rsidRDefault="00A43FBC">
      <w:pPr>
        <w:pStyle w:val="Heading9"/>
        <w:numPr>
          <w:ilvl w:val="1"/>
          <w:numId w:val="122"/>
        </w:numPr>
        <w:tabs>
          <w:tab w:val="left" w:pos="1368"/>
        </w:tabs>
        <w:spacing w:before="237"/>
        <w:ind w:left="1368" w:hanging="660"/>
        <w:rPr>
          <w:color w:val="221F1F"/>
        </w:rPr>
      </w:pPr>
      <w:r>
        <w:rPr>
          <w:color w:val="221F1F"/>
        </w:rPr>
        <w:t>Prohibition</w:t>
      </w:r>
      <w:r>
        <w:rPr>
          <w:color w:val="221F1F"/>
          <w:spacing w:val="-4"/>
        </w:rPr>
        <w:t xml:space="preserve"> </w:t>
      </w:r>
      <w:r>
        <w:rPr>
          <w:color w:val="221F1F"/>
        </w:rPr>
        <w:t>of</w:t>
      </w:r>
      <w:r>
        <w:rPr>
          <w:color w:val="221F1F"/>
          <w:spacing w:val="-5"/>
        </w:rPr>
        <w:t xml:space="preserve"> </w:t>
      </w:r>
      <w:r>
        <w:rPr>
          <w:color w:val="221F1F"/>
        </w:rPr>
        <w:t>Harmful</w:t>
      </w:r>
      <w:r>
        <w:rPr>
          <w:color w:val="221F1F"/>
          <w:spacing w:val="-2"/>
        </w:rPr>
        <w:t xml:space="preserve"> </w:t>
      </w:r>
      <w:r>
        <w:rPr>
          <w:color w:val="221F1F"/>
        </w:rPr>
        <w:t>Child</w:t>
      </w:r>
      <w:r>
        <w:rPr>
          <w:color w:val="221F1F"/>
          <w:spacing w:val="-4"/>
        </w:rPr>
        <w:t xml:space="preserve"> Labor</w:t>
      </w:r>
    </w:p>
    <w:p w:rsidR="007F6DF9" w:rsidRDefault="00A43FBC">
      <w:pPr>
        <w:pStyle w:val="BodyText"/>
        <w:spacing w:before="241" w:line="230" w:lineRule="auto"/>
        <w:ind w:left="1376" w:right="556" w:hanging="8"/>
        <w:jc w:val="both"/>
      </w:pPr>
      <w:r>
        <w:rPr>
          <w:color w:val="221F1F"/>
        </w:rPr>
        <w:t>The Contractor shall not employ children in a manner that is economically exploitative, or is likely to be hazardous,</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interfere</w:t>
      </w:r>
      <w:r>
        <w:rPr>
          <w:color w:val="221F1F"/>
          <w:spacing w:val="-4"/>
        </w:rPr>
        <w:t xml:space="preserve"> </w:t>
      </w:r>
      <w:r>
        <w:rPr>
          <w:color w:val="221F1F"/>
        </w:rPr>
        <w:t>with,</w:t>
      </w:r>
      <w:r>
        <w:rPr>
          <w:color w:val="221F1F"/>
          <w:spacing w:val="-8"/>
        </w:rPr>
        <w:t xml:space="preserve"> </w:t>
      </w:r>
      <w:r>
        <w:rPr>
          <w:color w:val="221F1F"/>
        </w:rPr>
        <w:t>the</w:t>
      </w:r>
      <w:r>
        <w:rPr>
          <w:color w:val="221F1F"/>
          <w:spacing w:val="-8"/>
        </w:rPr>
        <w:t xml:space="preserve"> </w:t>
      </w:r>
      <w:r>
        <w:rPr>
          <w:color w:val="221F1F"/>
        </w:rPr>
        <w:t>child's</w:t>
      </w:r>
      <w:r>
        <w:rPr>
          <w:color w:val="221F1F"/>
          <w:spacing w:val="-8"/>
        </w:rPr>
        <w:t xml:space="preserve"> </w:t>
      </w:r>
      <w:r>
        <w:rPr>
          <w:color w:val="221F1F"/>
        </w:rPr>
        <w:t>education,</w:t>
      </w:r>
      <w:r>
        <w:rPr>
          <w:color w:val="221F1F"/>
          <w:spacing w:val="-8"/>
        </w:rPr>
        <w:t xml:space="preserve"> </w:t>
      </w:r>
      <w:r>
        <w:rPr>
          <w:color w:val="221F1F"/>
        </w:rPr>
        <w:t>or</w:t>
      </w:r>
      <w:r>
        <w:rPr>
          <w:color w:val="221F1F"/>
          <w:spacing w:val="-7"/>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harmful</w:t>
      </w:r>
      <w:r>
        <w:rPr>
          <w:color w:val="221F1F"/>
          <w:spacing w:val="-7"/>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child's</w:t>
      </w:r>
      <w:r>
        <w:rPr>
          <w:color w:val="221F1F"/>
          <w:spacing w:val="-8"/>
        </w:rPr>
        <w:t xml:space="preserve"> </w:t>
      </w:r>
      <w:r>
        <w:rPr>
          <w:color w:val="221F1F"/>
        </w:rPr>
        <w:t>health</w:t>
      </w:r>
      <w:r>
        <w:rPr>
          <w:color w:val="221F1F"/>
          <w:spacing w:val="-7"/>
        </w:rPr>
        <w:t xml:space="preserve"> </w:t>
      </w:r>
      <w:r>
        <w:rPr>
          <w:color w:val="221F1F"/>
        </w:rPr>
        <w:t>or</w:t>
      </w:r>
      <w:r>
        <w:rPr>
          <w:color w:val="221F1F"/>
          <w:spacing w:val="-8"/>
        </w:rPr>
        <w:t xml:space="preserve"> </w:t>
      </w:r>
      <w:r>
        <w:rPr>
          <w:color w:val="221F1F"/>
        </w:rPr>
        <w:t>physical,</w:t>
      </w:r>
      <w:r>
        <w:rPr>
          <w:color w:val="221F1F"/>
          <w:spacing w:val="-8"/>
        </w:rPr>
        <w:t xml:space="preserve"> </w:t>
      </w:r>
      <w:r>
        <w:rPr>
          <w:color w:val="221F1F"/>
        </w:rPr>
        <w:t xml:space="preserve">mental, spiritual, moral, or social development. Where the relevant </w:t>
      </w:r>
      <w:proofErr w:type="spellStart"/>
      <w:r>
        <w:rPr>
          <w:color w:val="221F1F"/>
        </w:rPr>
        <w:t>labour</w:t>
      </w:r>
      <w:proofErr w:type="spellEnd"/>
      <w:r>
        <w:rPr>
          <w:color w:val="221F1F"/>
        </w:rPr>
        <w:t xml:space="preserve"> laws of Kenya have provisions for employment of minors, the Contractor shall follow those laws applicable to the Contractor. Children below the age of 18 years shall not be employed in dangerous work.</w:t>
      </w:r>
    </w:p>
    <w:p w:rsidR="007F6DF9" w:rsidRDefault="00A43FBC">
      <w:pPr>
        <w:pStyle w:val="Heading9"/>
        <w:numPr>
          <w:ilvl w:val="1"/>
          <w:numId w:val="122"/>
        </w:numPr>
        <w:tabs>
          <w:tab w:val="left" w:pos="1368"/>
        </w:tabs>
        <w:spacing w:before="239"/>
        <w:ind w:left="1368" w:hanging="660"/>
        <w:rPr>
          <w:color w:val="221F1F"/>
        </w:rPr>
      </w:pPr>
      <w:r>
        <w:rPr>
          <w:color w:val="221F1F"/>
        </w:rPr>
        <w:t>Employment</w:t>
      </w:r>
      <w:r>
        <w:rPr>
          <w:color w:val="221F1F"/>
          <w:spacing w:val="-4"/>
        </w:rPr>
        <w:t xml:space="preserve"> </w:t>
      </w:r>
      <w:r>
        <w:rPr>
          <w:color w:val="221F1F"/>
        </w:rPr>
        <w:t>Records</w:t>
      </w:r>
      <w:r>
        <w:rPr>
          <w:color w:val="221F1F"/>
          <w:spacing w:val="-4"/>
        </w:rPr>
        <w:t xml:space="preserve"> </w:t>
      </w:r>
      <w:r>
        <w:rPr>
          <w:color w:val="221F1F"/>
        </w:rPr>
        <w:t>of</w:t>
      </w:r>
      <w:r>
        <w:rPr>
          <w:color w:val="221F1F"/>
          <w:spacing w:val="-5"/>
        </w:rPr>
        <w:t xml:space="preserve"> </w:t>
      </w:r>
      <w:r>
        <w:rPr>
          <w:color w:val="221F1F"/>
          <w:spacing w:val="-2"/>
        </w:rPr>
        <w:t>Workers</w:t>
      </w:r>
    </w:p>
    <w:p w:rsidR="007F6DF9" w:rsidRDefault="00A43FBC">
      <w:pPr>
        <w:pStyle w:val="BodyText"/>
        <w:spacing w:before="242" w:line="230" w:lineRule="auto"/>
        <w:ind w:left="1376" w:right="558" w:hanging="8"/>
        <w:jc w:val="both"/>
      </w:pPr>
      <w:r>
        <w:rPr>
          <w:color w:val="221F1F"/>
        </w:rPr>
        <w:t>The</w:t>
      </w:r>
      <w:r>
        <w:rPr>
          <w:color w:val="221F1F"/>
          <w:spacing w:val="-9"/>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keep</w:t>
      </w:r>
      <w:r>
        <w:rPr>
          <w:color w:val="221F1F"/>
          <w:spacing w:val="-8"/>
        </w:rPr>
        <w:t xml:space="preserve"> </w:t>
      </w:r>
      <w:r>
        <w:rPr>
          <w:color w:val="221F1F"/>
        </w:rPr>
        <w:t>complete</w:t>
      </w:r>
      <w:r>
        <w:rPr>
          <w:color w:val="221F1F"/>
          <w:spacing w:val="-9"/>
        </w:rPr>
        <w:t xml:space="preserve"> </w:t>
      </w:r>
      <w:r>
        <w:rPr>
          <w:color w:val="221F1F"/>
        </w:rPr>
        <w:t>and</w:t>
      </w:r>
      <w:r>
        <w:rPr>
          <w:color w:val="221F1F"/>
          <w:spacing w:val="-8"/>
        </w:rPr>
        <w:t xml:space="preserve"> </w:t>
      </w:r>
      <w:r>
        <w:rPr>
          <w:color w:val="221F1F"/>
        </w:rPr>
        <w:t>accurate</w:t>
      </w:r>
      <w:r>
        <w:rPr>
          <w:color w:val="221F1F"/>
          <w:spacing w:val="-8"/>
        </w:rPr>
        <w:t xml:space="preserve"> </w:t>
      </w:r>
      <w:r>
        <w:rPr>
          <w:color w:val="221F1F"/>
        </w:rPr>
        <w:t>records</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employment</w:t>
      </w:r>
      <w:r>
        <w:rPr>
          <w:color w:val="221F1F"/>
          <w:spacing w:val="-8"/>
        </w:rPr>
        <w:t xml:space="preserve"> </w:t>
      </w:r>
      <w:r>
        <w:rPr>
          <w:color w:val="221F1F"/>
        </w:rPr>
        <w:t>of</w:t>
      </w:r>
      <w:r>
        <w:rPr>
          <w:color w:val="221F1F"/>
          <w:spacing w:val="-8"/>
        </w:rPr>
        <w:t xml:space="preserve"> </w:t>
      </w:r>
      <w:proofErr w:type="spellStart"/>
      <w:r>
        <w:rPr>
          <w:color w:val="221F1F"/>
        </w:rPr>
        <w:t>labour</w:t>
      </w:r>
      <w:proofErr w:type="spellEnd"/>
      <w:r>
        <w:rPr>
          <w:color w:val="221F1F"/>
          <w:spacing w:val="-8"/>
        </w:rPr>
        <w:t xml:space="preserve"> </w:t>
      </w:r>
      <w:r>
        <w:rPr>
          <w:color w:val="221F1F"/>
        </w:rPr>
        <w:t>at</w:t>
      </w:r>
      <w:r>
        <w:rPr>
          <w:color w:val="221F1F"/>
          <w:spacing w:val="-10"/>
        </w:rPr>
        <w:t xml:space="preserve"> </w:t>
      </w:r>
      <w:r>
        <w:rPr>
          <w:color w:val="221F1F"/>
        </w:rPr>
        <w:t>the</w:t>
      </w:r>
      <w:r>
        <w:rPr>
          <w:color w:val="221F1F"/>
          <w:spacing w:val="-8"/>
        </w:rPr>
        <w:t xml:space="preserve"> </w:t>
      </w:r>
      <w:r>
        <w:rPr>
          <w:color w:val="221F1F"/>
        </w:rPr>
        <w:t>Site.</w:t>
      </w:r>
      <w:r>
        <w:rPr>
          <w:color w:val="221F1F"/>
          <w:spacing w:val="-9"/>
        </w:rPr>
        <w:t xml:space="preserve"> </w:t>
      </w:r>
      <w:r>
        <w:rPr>
          <w:color w:val="221F1F"/>
        </w:rPr>
        <w:t>The</w:t>
      </w:r>
      <w:r>
        <w:rPr>
          <w:color w:val="221F1F"/>
          <w:spacing w:val="-9"/>
        </w:rPr>
        <w:t xml:space="preserve"> </w:t>
      </w:r>
      <w:r>
        <w:rPr>
          <w:color w:val="221F1F"/>
        </w:rPr>
        <w:t>records shall include the names, ages, genders, hours worked and wages paid to all workers. These records shall be summarized on</w:t>
      </w:r>
      <w:r>
        <w:rPr>
          <w:color w:val="221F1F"/>
          <w:spacing w:val="-4"/>
        </w:rPr>
        <w:t xml:space="preserve"> </w:t>
      </w:r>
      <w:r>
        <w:rPr>
          <w:color w:val="221F1F"/>
        </w:rPr>
        <w:t>a</w:t>
      </w:r>
      <w:r>
        <w:rPr>
          <w:color w:val="221F1F"/>
          <w:spacing w:val="-1"/>
        </w:rPr>
        <w:t xml:space="preserve"> </w:t>
      </w:r>
      <w:r>
        <w:rPr>
          <w:color w:val="221F1F"/>
        </w:rPr>
        <w:t>monthly</w:t>
      </w:r>
      <w:r>
        <w:rPr>
          <w:color w:val="221F1F"/>
          <w:spacing w:val="-3"/>
        </w:rPr>
        <w:t xml:space="preserve"> </w:t>
      </w:r>
      <w:r>
        <w:rPr>
          <w:color w:val="221F1F"/>
        </w:rPr>
        <w:t>basis</w:t>
      </w:r>
      <w:r>
        <w:rPr>
          <w:color w:val="221F1F"/>
          <w:spacing w:val="-1"/>
        </w:rPr>
        <w:t xml:space="preserve"> </w:t>
      </w:r>
      <w:r>
        <w:rPr>
          <w:color w:val="221F1F"/>
        </w:rPr>
        <w:t>and</w:t>
      </w:r>
      <w:r>
        <w:rPr>
          <w:color w:val="221F1F"/>
          <w:spacing w:val="-3"/>
        </w:rPr>
        <w:t xml:space="preserve"> </w:t>
      </w:r>
      <w:r>
        <w:rPr>
          <w:color w:val="221F1F"/>
        </w:rPr>
        <w:t>submitted</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Engineer.</w:t>
      </w:r>
      <w:r>
        <w:rPr>
          <w:color w:val="221F1F"/>
          <w:spacing w:val="-1"/>
        </w:rPr>
        <w:t xml:space="preserve"> </w:t>
      </w:r>
      <w:r>
        <w:rPr>
          <w:color w:val="221F1F"/>
        </w:rPr>
        <w:t>These</w:t>
      </w:r>
      <w:r>
        <w:rPr>
          <w:color w:val="221F1F"/>
          <w:spacing w:val="-3"/>
        </w:rPr>
        <w:t xml:space="preserve"> </w:t>
      </w:r>
      <w:r>
        <w:rPr>
          <w:color w:val="221F1F"/>
        </w:rPr>
        <w:t>records shall</w:t>
      </w:r>
      <w:r>
        <w:rPr>
          <w:color w:val="221F1F"/>
          <w:spacing w:val="-2"/>
        </w:rPr>
        <w:t xml:space="preserve"> </w:t>
      </w:r>
      <w:r>
        <w:rPr>
          <w:color w:val="221F1F"/>
        </w:rPr>
        <w:t>be</w:t>
      </w:r>
      <w:r>
        <w:rPr>
          <w:color w:val="221F1F"/>
          <w:spacing w:val="-1"/>
        </w:rPr>
        <w:t xml:space="preserve"> </w:t>
      </w:r>
      <w:r>
        <w:rPr>
          <w:color w:val="221F1F"/>
        </w:rPr>
        <w:t>included</w:t>
      </w:r>
      <w:r>
        <w:rPr>
          <w:color w:val="221F1F"/>
          <w:spacing w:val="-3"/>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details to</w:t>
      </w:r>
      <w:r>
        <w:rPr>
          <w:color w:val="221F1F"/>
          <w:spacing w:val="-13"/>
        </w:rPr>
        <w:t xml:space="preserve"> </w:t>
      </w:r>
      <w:r>
        <w:rPr>
          <w:color w:val="221F1F"/>
        </w:rPr>
        <w:t>be</w:t>
      </w:r>
      <w:r>
        <w:rPr>
          <w:color w:val="221F1F"/>
          <w:spacing w:val="-12"/>
        </w:rPr>
        <w:t xml:space="preserve"> </w:t>
      </w:r>
      <w:r>
        <w:rPr>
          <w:color w:val="221F1F"/>
        </w:rPr>
        <w:t>submitted</w:t>
      </w:r>
      <w:r>
        <w:rPr>
          <w:color w:val="221F1F"/>
          <w:spacing w:val="-12"/>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under</w:t>
      </w:r>
      <w:r>
        <w:rPr>
          <w:color w:val="221F1F"/>
          <w:spacing w:val="-12"/>
        </w:rPr>
        <w:t xml:space="preserve"> </w:t>
      </w:r>
      <w:r>
        <w:rPr>
          <w:color w:val="221F1F"/>
        </w:rPr>
        <w:t>Sub-Clause</w:t>
      </w:r>
      <w:r>
        <w:rPr>
          <w:color w:val="221F1F"/>
          <w:spacing w:val="-11"/>
        </w:rPr>
        <w:t xml:space="preserve"> </w:t>
      </w:r>
      <w:r>
        <w:rPr>
          <w:color w:val="221F1F"/>
        </w:rPr>
        <w:t>6.10</w:t>
      </w:r>
      <w:r>
        <w:rPr>
          <w:color w:val="221F1F"/>
          <w:spacing w:val="-12"/>
        </w:rPr>
        <w:t xml:space="preserve"> </w:t>
      </w:r>
      <w:r>
        <w:rPr>
          <w:color w:val="221F1F"/>
        </w:rPr>
        <w:t>[Records</w:t>
      </w:r>
      <w:r>
        <w:rPr>
          <w:color w:val="221F1F"/>
          <w:spacing w:val="-12"/>
        </w:rPr>
        <w:t xml:space="preserve"> </w:t>
      </w:r>
      <w:r>
        <w:rPr>
          <w:color w:val="221F1F"/>
        </w:rPr>
        <w:t>of</w:t>
      </w:r>
      <w:r>
        <w:rPr>
          <w:color w:val="221F1F"/>
          <w:spacing w:val="-12"/>
        </w:rPr>
        <w:t xml:space="preserve"> </w:t>
      </w:r>
      <w:r>
        <w:rPr>
          <w:color w:val="221F1F"/>
        </w:rPr>
        <w:t>Contractor's</w:t>
      </w:r>
      <w:r>
        <w:rPr>
          <w:color w:val="221F1F"/>
          <w:spacing w:val="-14"/>
        </w:rPr>
        <w:t xml:space="preserve"> </w:t>
      </w:r>
      <w:r>
        <w:rPr>
          <w:color w:val="221F1F"/>
        </w:rPr>
        <w:t>Personnel</w:t>
      </w:r>
      <w:r>
        <w:rPr>
          <w:color w:val="221F1F"/>
          <w:spacing w:val="-13"/>
        </w:rPr>
        <w:t xml:space="preserve"> </w:t>
      </w:r>
      <w:r>
        <w:rPr>
          <w:color w:val="221F1F"/>
        </w:rPr>
        <w:t>and</w:t>
      </w:r>
      <w:r>
        <w:rPr>
          <w:color w:val="221F1F"/>
          <w:spacing w:val="-11"/>
        </w:rPr>
        <w:t xml:space="preserve"> </w:t>
      </w:r>
      <w:r>
        <w:rPr>
          <w:color w:val="221F1F"/>
          <w:spacing w:val="-2"/>
        </w:rPr>
        <w:t>Equipment].</w:t>
      </w:r>
    </w:p>
    <w:p w:rsidR="007F6DF9" w:rsidRDefault="00A43FBC">
      <w:pPr>
        <w:pStyle w:val="Heading9"/>
        <w:numPr>
          <w:ilvl w:val="1"/>
          <w:numId w:val="122"/>
        </w:numPr>
        <w:tabs>
          <w:tab w:val="left" w:pos="1368"/>
        </w:tabs>
        <w:spacing w:before="238"/>
        <w:ind w:left="1368" w:hanging="660"/>
        <w:rPr>
          <w:color w:val="221F1F"/>
        </w:rPr>
      </w:pPr>
      <w:r>
        <w:rPr>
          <w:color w:val="221F1F"/>
        </w:rPr>
        <w:t>Workers'</w:t>
      </w:r>
      <w:r>
        <w:rPr>
          <w:color w:val="221F1F"/>
          <w:spacing w:val="-3"/>
        </w:rPr>
        <w:t xml:space="preserve"> </w:t>
      </w:r>
      <w:r>
        <w:rPr>
          <w:color w:val="221F1F"/>
          <w:spacing w:val="-2"/>
        </w:rPr>
        <w:t>Organizations</w:t>
      </w:r>
    </w:p>
    <w:p w:rsidR="007F6DF9" w:rsidRDefault="00A43FBC">
      <w:pPr>
        <w:pStyle w:val="BodyText"/>
        <w:spacing w:before="242" w:line="230" w:lineRule="auto"/>
        <w:ind w:left="1376" w:right="571" w:hanging="8"/>
        <w:jc w:val="both"/>
      </w:pPr>
      <w:r>
        <w:rPr>
          <w:color w:val="221F1F"/>
        </w:rPr>
        <w:t>The Contractor shall comply with the relevant labor laws that recognize workers' rights to form and to join workers' organizations of their choosing without interference.</w:t>
      </w:r>
    </w:p>
    <w:p w:rsidR="007F6DF9" w:rsidRDefault="00A43FBC">
      <w:pPr>
        <w:pStyle w:val="Heading9"/>
        <w:numPr>
          <w:ilvl w:val="1"/>
          <w:numId w:val="122"/>
        </w:numPr>
        <w:tabs>
          <w:tab w:val="left" w:pos="1368"/>
        </w:tabs>
        <w:spacing w:before="236"/>
        <w:ind w:left="1368" w:hanging="660"/>
        <w:rPr>
          <w:color w:val="221F1F"/>
        </w:rPr>
      </w:pPr>
      <w:r>
        <w:rPr>
          <w:color w:val="221F1F"/>
        </w:rPr>
        <w:t>Non-Discrimination</w:t>
      </w:r>
      <w:r>
        <w:rPr>
          <w:color w:val="221F1F"/>
          <w:spacing w:val="-6"/>
        </w:rPr>
        <w:t xml:space="preserve"> </w:t>
      </w:r>
      <w:r>
        <w:rPr>
          <w:color w:val="221F1F"/>
        </w:rPr>
        <w:t>and</w:t>
      </w:r>
      <w:r>
        <w:rPr>
          <w:color w:val="221F1F"/>
          <w:spacing w:val="-8"/>
        </w:rPr>
        <w:t xml:space="preserve"> </w:t>
      </w:r>
      <w:r>
        <w:rPr>
          <w:color w:val="221F1F"/>
        </w:rPr>
        <w:t>Equal</w:t>
      </w:r>
      <w:r>
        <w:rPr>
          <w:color w:val="221F1F"/>
          <w:spacing w:val="-4"/>
        </w:rPr>
        <w:t xml:space="preserve"> </w:t>
      </w:r>
      <w:r>
        <w:rPr>
          <w:color w:val="221F1F"/>
          <w:spacing w:val="-2"/>
        </w:rPr>
        <w:t>Opportunity</w:t>
      </w:r>
    </w:p>
    <w:p w:rsidR="007F6DF9" w:rsidRDefault="00A43FBC">
      <w:pPr>
        <w:pStyle w:val="BodyText"/>
        <w:spacing w:before="243" w:line="230" w:lineRule="auto"/>
        <w:ind w:left="1376" w:right="560" w:hanging="8"/>
        <w:jc w:val="both"/>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8"/>
        </w:rPr>
        <w:t xml:space="preserve"> </w:t>
      </w:r>
      <w:r>
        <w:rPr>
          <w:color w:val="221F1F"/>
        </w:rPr>
        <w:t>base</w:t>
      </w:r>
      <w:r>
        <w:rPr>
          <w:color w:val="221F1F"/>
          <w:spacing w:val="-6"/>
        </w:rPr>
        <w:t xml:space="preserve"> </w:t>
      </w:r>
      <w:r>
        <w:rPr>
          <w:color w:val="221F1F"/>
        </w:rPr>
        <w:t>the</w:t>
      </w:r>
      <w:r>
        <w:rPr>
          <w:color w:val="221F1F"/>
          <w:spacing w:val="-7"/>
        </w:rPr>
        <w:t xml:space="preserve"> </w:t>
      </w:r>
      <w:proofErr w:type="spellStart"/>
      <w:r>
        <w:rPr>
          <w:color w:val="221F1F"/>
        </w:rPr>
        <w:t>labour</w:t>
      </w:r>
      <w:proofErr w:type="spellEnd"/>
      <w:r>
        <w:rPr>
          <w:color w:val="221F1F"/>
          <w:spacing w:val="-8"/>
        </w:rPr>
        <w:t xml:space="preserve"> </w:t>
      </w:r>
      <w:r>
        <w:rPr>
          <w:color w:val="221F1F"/>
        </w:rPr>
        <w:t>employment</w:t>
      </w:r>
      <w:r>
        <w:rPr>
          <w:color w:val="221F1F"/>
          <w:spacing w:val="-6"/>
        </w:rPr>
        <w:t xml:space="preserve"> </w:t>
      </w:r>
      <w:r>
        <w:rPr>
          <w:color w:val="221F1F"/>
        </w:rPr>
        <w:t>on</w:t>
      </w:r>
      <w:r>
        <w:rPr>
          <w:color w:val="221F1F"/>
          <w:spacing w:val="-7"/>
        </w:rPr>
        <w:t xml:space="preserve"> </w:t>
      </w:r>
      <w:r>
        <w:rPr>
          <w:color w:val="221F1F"/>
        </w:rPr>
        <w:t>the</w:t>
      </w:r>
      <w:r>
        <w:rPr>
          <w:color w:val="221F1F"/>
          <w:spacing w:val="-6"/>
        </w:rPr>
        <w:t xml:space="preserve"> </w:t>
      </w:r>
      <w:r>
        <w:rPr>
          <w:color w:val="221F1F"/>
        </w:rPr>
        <w:t>principle</w:t>
      </w:r>
      <w:r>
        <w:rPr>
          <w:color w:val="221F1F"/>
          <w:spacing w:val="-6"/>
        </w:rPr>
        <w:t xml:space="preserve"> </w:t>
      </w:r>
      <w:r>
        <w:rPr>
          <w:color w:val="221F1F"/>
        </w:rPr>
        <w:t>of</w:t>
      </w:r>
      <w:r>
        <w:rPr>
          <w:color w:val="221F1F"/>
          <w:spacing w:val="-9"/>
        </w:rPr>
        <w:t xml:space="preserve"> </w:t>
      </w:r>
      <w:r>
        <w:rPr>
          <w:color w:val="221F1F"/>
        </w:rPr>
        <w:t>equal</w:t>
      </w:r>
      <w:r>
        <w:rPr>
          <w:color w:val="221F1F"/>
          <w:spacing w:val="-6"/>
        </w:rPr>
        <w:t xml:space="preserve"> </w:t>
      </w:r>
      <w:r>
        <w:rPr>
          <w:color w:val="221F1F"/>
        </w:rPr>
        <w:t>opportunity</w:t>
      </w:r>
      <w:r>
        <w:rPr>
          <w:color w:val="221F1F"/>
          <w:spacing w:val="-6"/>
        </w:rPr>
        <w:t xml:space="preserve"> </w:t>
      </w:r>
      <w:r>
        <w:rPr>
          <w:color w:val="221F1F"/>
        </w:rPr>
        <w:t>and</w:t>
      </w:r>
      <w:r>
        <w:rPr>
          <w:color w:val="221F1F"/>
          <w:spacing w:val="-9"/>
        </w:rPr>
        <w:t xml:space="preserve"> </w:t>
      </w:r>
      <w:r>
        <w:rPr>
          <w:color w:val="221F1F"/>
        </w:rPr>
        <w:t>fair</w:t>
      </w:r>
      <w:r>
        <w:rPr>
          <w:color w:val="221F1F"/>
          <w:spacing w:val="-8"/>
        </w:rPr>
        <w:t xml:space="preserve"> </w:t>
      </w:r>
      <w:r>
        <w:rPr>
          <w:color w:val="221F1F"/>
        </w:rPr>
        <w:t>treatment</w:t>
      </w:r>
      <w:r>
        <w:rPr>
          <w:color w:val="221F1F"/>
          <w:spacing w:val="-5"/>
        </w:rPr>
        <w:t xml:space="preserve"> </w:t>
      </w:r>
      <w:r>
        <w:rPr>
          <w:color w:val="221F1F"/>
        </w:rPr>
        <w:t>and shall not discriminate with respect to aspects of the employment relationship, including recruitment and hiring, compensation (including wages and benefits), working conditions and terms of employment, access to training, promotion, termination of employ mentor retirement, and discipline.</w:t>
      </w:r>
    </w:p>
    <w:p w:rsidR="007F6DF9" w:rsidRDefault="007F6DF9">
      <w:pPr>
        <w:pStyle w:val="BodyText"/>
        <w:spacing w:before="219"/>
      </w:pPr>
    </w:p>
    <w:p w:rsidR="007F6DF9" w:rsidRDefault="00A43FBC">
      <w:pPr>
        <w:pStyle w:val="Heading8"/>
        <w:numPr>
          <w:ilvl w:val="0"/>
          <w:numId w:val="122"/>
        </w:numPr>
        <w:tabs>
          <w:tab w:val="left" w:pos="1371"/>
        </w:tabs>
        <w:ind w:left="1371" w:hanging="660"/>
      </w:pPr>
      <w:bookmarkStart w:id="59" w:name="_bookmark57"/>
      <w:bookmarkEnd w:id="59"/>
      <w:r>
        <w:rPr>
          <w:color w:val="221F1F"/>
        </w:rPr>
        <w:t>PLANT,</w:t>
      </w:r>
      <w:r>
        <w:rPr>
          <w:color w:val="221F1F"/>
          <w:spacing w:val="-14"/>
        </w:rPr>
        <w:t xml:space="preserve"> </w:t>
      </w:r>
      <w:r>
        <w:rPr>
          <w:color w:val="221F1F"/>
        </w:rPr>
        <w:t>MATERIALS</w:t>
      </w:r>
      <w:r>
        <w:rPr>
          <w:color w:val="221F1F"/>
          <w:spacing w:val="-14"/>
        </w:rPr>
        <w:t xml:space="preserve"> </w:t>
      </w:r>
      <w:r>
        <w:rPr>
          <w:color w:val="221F1F"/>
        </w:rPr>
        <w:t>AND</w:t>
      </w:r>
      <w:r>
        <w:rPr>
          <w:color w:val="221F1F"/>
          <w:spacing w:val="-11"/>
        </w:rPr>
        <w:t xml:space="preserve"> </w:t>
      </w:r>
      <w:r>
        <w:rPr>
          <w:color w:val="221F1F"/>
          <w:spacing w:val="-2"/>
        </w:rPr>
        <w:t>WORKMANSHIP</w:t>
      </w:r>
    </w:p>
    <w:p w:rsidR="007F6DF9" w:rsidRDefault="00A43FBC">
      <w:pPr>
        <w:pStyle w:val="Heading9"/>
        <w:numPr>
          <w:ilvl w:val="1"/>
          <w:numId w:val="122"/>
        </w:numPr>
        <w:tabs>
          <w:tab w:val="left" w:pos="1371"/>
        </w:tabs>
        <w:spacing w:before="235"/>
        <w:ind w:left="1371" w:hanging="660"/>
        <w:rPr>
          <w:color w:val="221F1F"/>
        </w:rPr>
      </w:pPr>
      <w:r>
        <w:rPr>
          <w:color w:val="221F1F"/>
        </w:rPr>
        <w:t>Manner</w:t>
      </w:r>
      <w:r>
        <w:rPr>
          <w:color w:val="221F1F"/>
          <w:spacing w:val="-2"/>
        </w:rPr>
        <w:t xml:space="preserve"> </w:t>
      </w:r>
      <w:r>
        <w:rPr>
          <w:color w:val="221F1F"/>
        </w:rPr>
        <w:t>of</w:t>
      </w:r>
      <w:r>
        <w:rPr>
          <w:color w:val="221F1F"/>
          <w:spacing w:val="1"/>
        </w:rPr>
        <w:t xml:space="preserve"> </w:t>
      </w:r>
      <w:r>
        <w:rPr>
          <w:color w:val="221F1F"/>
          <w:spacing w:val="-2"/>
        </w:rPr>
        <w:t>Execution</w:t>
      </w:r>
    </w:p>
    <w:p w:rsidR="007F6DF9" w:rsidRDefault="00A43FBC">
      <w:pPr>
        <w:pStyle w:val="BodyText"/>
        <w:spacing w:before="242" w:line="230" w:lineRule="auto"/>
        <w:ind w:left="1381" w:right="575" w:hanging="10"/>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carry</w:t>
      </w:r>
      <w:r>
        <w:rPr>
          <w:color w:val="221F1F"/>
          <w:spacing w:val="-4"/>
        </w:rPr>
        <w:t xml:space="preserve"> </w:t>
      </w:r>
      <w:r>
        <w:rPr>
          <w:color w:val="221F1F"/>
        </w:rPr>
        <w:t>out</w:t>
      </w:r>
      <w:r>
        <w:rPr>
          <w:color w:val="221F1F"/>
          <w:spacing w:val="-1"/>
        </w:rPr>
        <w:t xml:space="preserve"> </w:t>
      </w:r>
      <w:r>
        <w:rPr>
          <w:color w:val="221F1F"/>
        </w:rPr>
        <w:t>the</w:t>
      </w:r>
      <w:r>
        <w:rPr>
          <w:color w:val="221F1F"/>
          <w:spacing w:val="-4"/>
        </w:rPr>
        <w:t xml:space="preserve"> </w:t>
      </w:r>
      <w:r>
        <w:rPr>
          <w:color w:val="221F1F"/>
        </w:rPr>
        <w:t>manufacture/assemble of</w:t>
      </w:r>
      <w:r>
        <w:rPr>
          <w:color w:val="221F1F"/>
          <w:spacing w:val="-1"/>
        </w:rPr>
        <w:t xml:space="preserve"> </w:t>
      </w:r>
      <w:r>
        <w:rPr>
          <w:color w:val="221F1F"/>
        </w:rPr>
        <w:t>plant,</w:t>
      </w:r>
      <w:r>
        <w:rPr>
          <w:color w:val="221F1F"/>
          <w:spacing w:val="-2"/>
        </w:rPr>
        <w:t xml:space="preserve"> </w:t>
      </w:r>
      <w:r>
        <w:rPr>
          <w:color w:val="221F1F"/>
        </w:rPr>
        <w:t>the</w:t>
      </w:r>
      <w:r>
        <w:rPr>
          <w:color w:val="221F1F"/>
          <w:spacing w:val="-2"/>
        </w:rPr>
        <w:t xml:space="preserve"> </w:t>
      </w:r>
      <w:r>
        <w:rPr>
          <w:color w:val="221F1F"/>
        </w:rPr>
        <w:t>production</w:t>
      </w:r>
      <w:r>
        <w:rPr>
          <w:color w:val="221F1F"/>
          <w:spacing w:val="-4"/>
        </w:rPr>
        <w:t xml:space="preserve"> </w:t>
      </w:r>
      <w:r>
        <w:rPr>
          <w:color w:val="221F1F"/>
        </w:rPr>
        <w:t>and</w:t>
      </w:r>
      <w:r>
        <w:rPr>
          <w:color w:val="221F1F"/>
          <w:spacing w:val="-1"/>
        </w:rPr>
        <w:t xml:space="preserve"> </w:t>
      </w:r>
      <w:r>
        <w:rPr>
          <w:color w:val="221F1F"/>
        </w:rPr>
        <w:t>manufacture</w:t>
      </w:r>
      <w:r>
        <w:rPr>
          <w:color w:val="221F1F"/>
          <w:spacing w:val="-1"/>
        </w:rPr>
        <w:t xml:space="preserve"> </w:t>
      </w:r>
      <w:r>
        <w:rPr>
          <w:color w:val="221F1F"/>
        </w:rPr>
        <w:t>of Materials, and all other execution of the Works:</w:t>
      </w:r>
    </w:p>
    <w:p w:rsidR="007F6DF9" w:rsidRDefault="00A43FBC">
      <w:pPr>
        <w:pStyle w:val="ListParagraph"/>
        <w:numPr>
          <w:ilvl w:val="0"/>
          <w:numId w:val="105"/>
        </w:numPr>
        <w:tabs>
          <w:tab w:val="left" w:pos="1870"/>
        </w:tabs>
        <w:spacing w:before="41"/>
        <w:ind w:hanging="499"/>
      </w:pPr>
      <w:r>
        <w:rPr>
          <w:color w:val="221F1F"/>
        </w:rPr>
        <w:t>In</w:t>
      </w:r>
      <w:r>
        <w:rPr>
          <w:color w:val="221F1F"/>
          <w:spacing w:val="-4"/>
        </w:rPr>
        <w:t xml:space="preserve"> </w:t>
      </w:r>
      <w:r>
        <w:rPr>
          <w:color w:val="221F1F"/>
        </w:rPr>
        <w:t>the</w:t>
      </w:r>
      <w:r>
        <w:rPr>
          <w:color w:val="221F1F"/>
          <w:spacing w:val="-3"/>
        </w:rPr>
        <w:t xml:space="preserve"> </w:t>
      </w:r>
      <w:r>
        <w:rPr>
          <w:color w:val="221F1F"/>
        </w:rPr>
        <w:t>manner</w:t>
      </w:r>
      <w:r>
        <w:rPr>
          <w:color w:val="221F1F"/>
          <w:spacing w:val="-3"/>
        </w:rPr>
        <w:t xml:space="preserve"> </w:t>
      </w:r>
      <w:r>
        <w:rPr>
          <w:color w:val="221F1F"/>
        </w:rPr>
        <w:t>(if</w:t>
      </w:r>
      <w:r>
        <w:rPr>
          <w:color w:val="221F1F"/>
          <w:spacing w:val="-5"/>
        </w:rPr>
        <w:t xml:space="preserve"> </w:t>
      </w:r>
      <w:r>
        <w:rPr>
          <w:color w:val="221F1F"/>
        </w:rPr>
        <w:t>any)</w:t>
      </w:r>
      <w:r>
        <w:rPr>
          <w:color w:val="221F1F"/>
          <w:spacing w:val="-2"/>
        </w:rPr>
        <w:t xml:space="preserve"> </w:t>
      </w:r>
      <w:r>
        <w:rPr>
          <w:color w:val="221F1F"/>
        </w:rPr>
        <w:t>specified</w:t>
      </w:r>
      <w:r>
        <w:rPr>
          <w:color w:val="221F1F"/>
          <w:spacing w:val="-4"/>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spacing w:val="-2"/>
        </w:rPr>
        <w:t>Contract,</w:t>
      </w:r>
    </w:p>
    <w:p w:rsidR="007F6DF9" w:rsidRDefault="00A43FBC">
      <w:pPr>
        <w:pStyle w:val="ListParagraph"/>
        <w:numPr>
          <w:ilvl w:val="0"/>
          <w:numId w:val="105"/>
        </w:numPr>
        <w:tabs>
          <w:tab w:val="left" w:pos="1870"/>
        </w:tabs>
        <w:spacing w:before="40"/>
        <w:ind w:hanging="499"/>
      </w:pPr>
      <w:r>
        <w:rPr>
          <w:color w:val="221F1F"/>
        </w:rPr>
        <w:t>in</w:t>
      </w:r>
      <w:r>
        <w:rPr>
          <w:color w:val="221F1F"/>
          <w:spacing w:val="-5"/>
        </w:rPr>
        <w:t xml:space="preserve"> </w:t>
      </w:r>
      <w:r>
        <w:rPr>
          <w:color w:val="221F1F"/>
        </w:rPr>
        <w:t>a</w:t>
      </w:r>
      <w:r>
        <w:rPr>
          <w:color w:val="221F1F"/>
          <w:spacing w:val="-3"/>
        </w:rPr>
        <w:t xml:space="preserve"> </w:t>
      </w:r>
      <w:r>
        <w:rPr>
          <w:color w:val="221F1F"/>
        </w:rPr>
        <w:t>proper</w:t>
      </w:r>
      <w:r>
        <w:rPr>
          <w:color w:val="221F1F"/>
          <w:spacing w:val="-2"/>
        </w:rPr>
        <w:t xml:space="preserve"> </w:t>
      </w:r>
      <w:r>
        <w:rPr>
          <w:color w:val="221F1F"/>
        </w:rPr>
        <w:t>workman</w:t>
      </w:r>
      <w:r>
        <w:rPr>
          <w:color w:val="221F1F"/>
          <w:spacing w:val="-2"/>
        </w:rPr>
        <w:t xml:space="preserve"> </w:t>
      </w:r>
      <w:r>
        <w:rPr>
          <w:color w:val="221F1F"/>
        </w:rPr>
        <w:t>like</w:t>
      </w:r>
      <w:r>
        <w:rPr>
          <w:color w:val="221F1F"/>
          <w:spacing w:val="-5"/>
        </w:rPr>
        <w:t xml:space="preserve"> </w:t>
      </w:r>
      <w:r>
        <w:rPr>
          <w:color w:val="221F1F"/>
        </w:rPr>
        <w:t>and</w:t>
      </w:r>
      <w:r>
        <w:rPr>
          <w:color w:val="221F1F"/>
          <w:spacing w:val="-3"/>
        </w:rPr>
        <w:t xml:space="preserve"> </w:t>
      </w:r>
      <w:r>
        <w:rPr>
          <w:color w:val="221F1F"/>
        </w:rPr>
        <w:t>careful</w:t>
      </w:r>
      <w:r>
        <w:rPr>
          <w:color w:val="221F1F"/>
          <w:spacing w:val="-4"/>
        </w:rPr>
        <w:t xml:space="preserve"> </w:t>
      </w:r>
      <w:r>
        <w:rPr>
          <w:color w:val="221F1F"/>
        </w:rPr>
        <w:t>manner,</w:t>
      </w:r>
      <w:r>
        <w:rPr>
          <w:color w:val="221F1F"/>
          <w:spacing w:val="-4"/>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recognized</w:t>
      </w:r>
      <w:r>
        <w:rPr>
          <w:color w:val="221F1F"/>
          <w:spacing w:val="-4"/>
        </w:rPr>
        <w:t xml:space="preserve"> </w:t>
      </w:r>
      <w:r>
        <w:rPr>
          <w:color w:val="221F1F"/>
        </w:rPr>
        <w:t>good</w:t>
      </w:r>
      <w:r>
        <w:rPr>
          <w:color w:val="221F1F"/>
          <w:spacing w:val="-3"/>
        </w:rPr>
        <w:t xml:space="preserve"> </w:t>
      </w:r>
      <w:r>
        <w:rPr>
          <w:color w:val="221F1F"/>
        </w:rPr>
        <w:t>practice,</w:t>
      </w:r>
      <w:r>
        <w:rPr>
          <w:color w:val="221F1F"/>
          <w:spacing w:val="-4"/>
        </w:rPr>
        <w:t xml:space="preserve"> </w:t>
      </w:r>
      <w:r>
        <w:rPr>
          <w:color w:val="221F1F"/>
          <w:spacing w:val="-5"/>
        </w:rPr>
        <w:t>and</w:t>
      </w:r>
    </w:p>
    <w:p w:rsidR="007F6DF9" w:rsidRDefault="00A43FBC">
      <w:pPr>
        <w:pStyle w:val="ListParagraph"/>
        <w:numPr>
          <w:ilvl w:val="0"/>
          <w:numId w:val="105"/>
        </w:numPr>
        <w:tabs>
          <w:tab w:val="left" w:pos="1870"/>
          <w:tab w:val="left" w:pos="1880"/>
        </w:tabs>
        <w:spacing w:before="46" w:line="230" w:lineRule="auto"/>
        <w:ind w:left="1880" w:right="917" w:hanging="509"/>
      </w:pPr>
      <w:r>
        <w:rPr>
          <w:color w:val="221F1F"/>
        </w:rPr>
        <w:t>with</w:t>
      </w:r>
      <w:r>
        <w:rPr>
          <w:color w:val="221F1F"/>
          <w:spacing w:val="-3"/>
        </w:rPr>
        <w:t xml:space="preserve"> </w:t>
      </w:r>
      <w:r>
        <w:rPr>
          <w:color w:val="221F1F"/>
        </w:rPr>
        <w:t>properly</w:t>
      </w:r>
      <w:r>
        <w:rPr>
          <w:color w:val="221F1F"/>
          <w:spacing w:val="-3"/>
        </w:rPr>
        <w:t xml:space="preserve"> </w:t>
      </w:r>
      <w:r>
        <w:rPr>
          <w:color w:val="221F1F"/>
        </w:rPr>
        <w:t>equipped</w:t>
      </w:r>
      <w:r>
        <w:rPr>
          <w:color w:val="221F1F"/>
          <w:spacing w:val="-2"/>
        </w:rPr>
        <w:t xml:space="preserve"> </w:t>
      </w:r>
      <w:r>
        <w:rPr>
          <w:color w:val="221F1F"/>
        </w:rPr>
        <w:t>facilities</w:t>
      </w:r>
      <w:r>
        <w:rPr>
          <w:color w:val="221F1F"/>
          <w:spacing w:val="-3"/>
        </w:rPr>
        <w:t xml:space="preserve"> </w:t>
      </w:r>
      <w:r>
        <w:rPr>
          <w:color w:val="221F1F"/>
        </w:rPr>
        <w:t>and</w:t>
      </w:r>
      <w:r>
        <w:rPr>
          <w:color w:val="221F1F"/>
          <w:spacing w:val="-6"/>
        </w:rPr>
        <w:t xml:space="preserve"> </w:t>
      </w:r>
      <w:r>
        <w:rPr>
          <w:color w:val="221F1F"/>
        </w:rPr>
        <w:t>non-hazardous</w:t>
      </w:r>
      <w:r>
        <w:rPr>
          <w:color w:val="221F1F"/>
          <w:spacing w:val="-3"/>
        </w:rPr>
        <w:t xml:space="preserve"> </w:t>
      </w:r>
      <w:r>
        <w:rPr>
          <w:color w:val="221F1F"/>
        </w:rPr>
        <w:t>Materials,</w:t>
      </w:r>
      <w:r>
        <w:rPr>
          <w:color w:val="221F1F"/>
          <w:spacing w:val="-5"/>
        </w:rPr>
        <w:t xml:space="preserve"> </w:t>
      </w:r>
      <w:r>
        <w:rPr>
          <w:color w:val="221F1F"/>
        </w:rPr>
        <w:t>except</w:t>
      </w:r>
      <w:r>
        <w:rPr>
          <w:color w:val="221F1F"/>
          <w:spacing w:val="-5"/>
        </w:rPr>
        <w:t xml:space="preserve"> </w:t>
      </w:r>
      <w:r>
        <w:rPr>
          <w:color w:val="221F1F"/>
        </w:rPr>
        <w:t>as</w:t>
      </w:r>
      <w:r>
        <w:rPr>
          <w:color w:val="221F1F"/>
          <w:spacing w:val="-3"/>
        </w:rPr>
        <w:t xml:space="preserve"> </w:t>
      </w:r>
      <w:r>
        <w:rPr>
          <w:color w:val="221F1F"/>
        </w:rPr>
        <w:t>otherwise</w:t>
      </w:r>
      <w:r>
        <w:rPr>
          <w:color w:val="221F1F"/>
          <w:spacing w:val="-3"/>
        </w:rPr>
        <w:t xml:space="preserve"> </w:t>
      </w:r>
      <w:r>
        <w:rPr>
          <w:color w:val="221F1F"/>
        </w:rPr>
        <w:t>specified</w:t>
      </w:r>
      <w:r>
        <w:rPr>
          <w:color w:val="221F1F"/>
          <w:spacing w:val="-3"/>
        </w:rPr>
        <w:t xml:space="preserve"> </w:t>
      </w:r>
      <w:r>
        <w:rPr>
          <w:color w:val="221F1F"/>
        </w:rPr>
        <w:t>in</w:t>
      </w:r>
      <w:r>
        <w:rPr>
          <w:color w:val="221F1F"/>
          <w:spacing w:val="-6"/>
        </w:rPr>
        <w:t xml:space="preserve"> </w:t>
      </w:r>
      <w:r>
        <w:rPr>
          <w:color w:val="221F1F"/>
        </w:rPr>
        <w:t xml:space="preserve">the </w:t>
      </w:r>
      <w:r>
        <w:rPr>
          <w:color w:val="221F1F"/>
          <w:spacing w:val="-2"/>
        </w:rPr>
        <w:t>Contract.</w:t>
      </w:r>
    </w:p>
    <w:p w:rsidR="007F6DF9" w:rsidRDefault="007F6DF9">
      <w:pPr>
        <w:pStyle w:val="BodyText"/>
        <w:spacing w:before="208"/>
      </w:pPr>
    </w:p>
    <w:p w:rsidR="007F6DF9" w:rsidRDefault="00A43FBC">
      <w:pPr>
        <w:pStyle w:val="Heading9"/>
        <w:numPr>
          <w:ilvl w:val="1"/>
          <w:numId w:val="122"/>
        </w:numPr>
        <w:tabs>
          <w:tab w:val="left" w:pos="1364"/>
        </w:tabs>
        <w:ind w:left="1364" w:hanging="661"/>
        <w:rPr>
          <w:color w:val="221F1F"/>
        </w:rPr>
      </w:pPr>
      <w:r>
        <w:rPr>
          <w:color w:val="221F1F"/>
          <w:spacing w:val="-2"/>
        </w:rPr>
        <w:t>Samples</w:t>
      </w:r>
    </w:p>
    <w:p w:rsidR="007F6DF9" w:rsidRDefault="00A43FBC">
      <w:pPr>
        <w:pStyle w:val="BodyText"/>
        <w:spacing w:before="243" w:line="230" w:lineRule="auto"/>
        <w:ind w:left="1381" w:right="708" w:hanging="17"/>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submit the</w:t>
      </w:r>
      <w:r>
        <w:rPr>
          <w:color w:val="221F1F"/>
          <w:spacing w:val="-2"/>
        </w:rPr>
        <w:t xml:space="preserve"> </w:t>
      </w:r>
      <w:r>
        <w:rPr>
          <w:color w:val="221F1F"/>
        </w:rPr>
        <w:t>following</w:t>
      </w:r>
      <w:r>
        <w:rPr>
          <w:color w:val="221F1F"/>
          <w:spacing w:val="-4"/>
        </w:rPr>
        <w:t xml:space="preserve"> </w:t>
      </w:r>
      <w:r>
        <w:rPr>
          <w:color w:val="221F1F"/>
        </w:rPr>
        <w:t>samples</w:t>
      </w:r>
      <w:r>
        <w:rPr>
          <w:color w:val="221F1F"/>
          <w:spacing w:val="-1"/>
        </w:rPr>
        <w:t xml:space="preserve"> </w:t>
      </w:r>
      <w:r>
        <w:rPr>
          <w:color w:val="221F1F"/>
        </w:rPr>
        <w:t>of</w:t>
      </w:r>
      <w:r>
        <w:rPr>
          <w:color w:val="221F1F"/>
          <w:spacing w:val="-3"/>
        </w:rPr>
        <w:t xml:space="preserve"> </w:t>
      </w:r>
      <w:r>
        <w:rPr>
          <w:color w:val="221F1F"/>
        </w:rPr>
        <w:t>Materials,</w:t>
      </w:r>
      <w:r>
        <w:rPr>
          <w:color w:val="221F1F"/>
          <w:spacing w:val="-1"/>
        </w:rPr>
        <w:t xml:space="preserve"> </w:t>
      </w:r>
      <w:r>
        <w:rPr>
          <w:color w:val="221F1F"/>
        </w:rPr>
        <w:t>and</w:t>
      </w:r>
      <w:r>
        <w:rPr>
          <w:color w:val="221F1F"/>
          <w:spacing w:val="-2"/>
        </w:rPr>
        <w:t xml:space="preserve"> </w:t>
      </w:r>
      <w:r>
        <w:rPr>
          <w:color w:val="221F1F"/>
        </w:rPr>
        <w:t>relevant</w:t>
      </w:r>
      <w:r>
        <w:rPr>
          <w:color w:val="221F1F"/>
          <w:spacing w:val="-3"/>
        </w:rPr>
        <w:t xml:space="preserve"> </w:t>
      </w:r>
      <w:r>
        <w:rPr>
          <w:color w:val="221F1F"/>
        </w:rPr>
        <w:t>information,</w:t>
      </w:r>
      <w:r>
        <w:rPr>
          <w:color w:val="221F1F"/>
          <w:spacing w:val="-3"/>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Architect for consent prior to using the Material sin or for the Works:</w:t>
      </w:r>
    </w:p>
    <w:p w:rsidR="007F6DF9" w:rsidRDefault="00A43FBC">
      <w:pPr>
        <w:pStyle w:val="ListParagraph"/>
        <w:numPr>
          <w:ilvl w:val="0"/>
          <w:numId w:val="104"/>
        </w:numPr>
        <w:tabs>
          <w:tab w:val="left" w:pos="1858"/>
          <w:tab w:val="left" w:pos="1868"/>
        </w:tabs>
        <w:spacing w:before="50" w:line="230" w:lineRule="auto"/>
        <w:ind w:right="1431" w:hanging="504"/>
      </w:pPr>
      <w:r>
        <w:rPr>
          <w:color w:val="221F1F"/>
        </w:rPr>
        <w:t>manufacturer's</w:t>
      </w:r>
      <w:r>
        <w:rPr>
          <w:color w:val="221F1F"/>
          <w:spacing w:val="-4"/>
        </w:rPr>
        <w:t xml:space="preserve"> </w:t>
      </w:r>
      <w:r>
        <w:rPr>
          <w:color w:val="221F1F"/>
        </w:rPr>
        <w:t>standard</w:t>
      </w:r>
      <w:r>
        <w:rPr>
          <w:color w:val="221F1F"/>
          <w:spacing w:val="-2"/>
        </w:rPr>
        <w:t xml:space="preserve"> </w:t>
      </w:r>
      <w:r>
        <w:rPr>
          <w:color w:val="221F1F"/>
        </w:rPr>
        <w:t>samples</w:t>
      </w:r>
      <w:r>
        <w:rPr>
          <w:color w:val="221F1F"/>
          <w:spacing w:val="-2"/>
        </w:rPr>
        <w:t xml:space="preserve"> </w:t>
      </w:r>
      <w:r>
        <w:rPr>
          <w:color w:val="221F1F"/>
        </w:rPr>
        <w:t>of</w:t>
      </w:r>
      <w:r>
        <w:rPr>
          <w:color w:val="221F1F"/>
          <w:spacing w:val="-2"/>
        </w:rPr>
        <w:t xml:space="preserve"> </w:t>
      </w:r>
      <w:r>
        <w:rPr>
          <w:color w:val="221F1F"/>
        </w:rPr>
        <w:t>Materials</w:t>
      </w:r>
      <w:r>
        <w:rPr>
          <w:color w:val="221F1F"/>
          <w:spacing w:val="-2"/>
        </w:rPr>
        <w:t xml:space="preserve"> </w:t>
      </w:r>
      <w:r>
        <w:rPr>
          <w:color w:val="221F1F"/>
        </w:rPr>
        <w:t>and</w:t>
      </w:r>
      <w:r>
        <w:rPr>
          <w:color w:val="221F1F"/>
          <w:spacing w:val="-5"/>
        </w:rPr>
        <w:t xml:space="preserve"> </w:t>
      </w:r>
      <w:r>
        <w:rPr>
          <w:color w:val="221F1F"/>
        </w:rPr>
        <w:t>samples</w:t>
      </w:r>
      <w:r>
        <w:rPr>
          <w:color w:val="221F1F"/>
          <w:spacing w:val="-5"/>
        </w:rPr>
        <w:t xml:space="preserve"> </w:t>
      </w:r>
      <w:r>
        <w:rPr>
          <w:color w:val="221F1F"/>
        </w:rPr>
        <w:t>specified</w:t>
      </w:r>
      <w:r>
        <w:rPr>
          <w:color w:val="221F1F"/>
          <w:spacing w:val="-3"/>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all</w:t>
      </w:r>
      <w:r>
        <w:rPr>
          <w:color w:val="221F1F"/>
          <w:spacing w:val="-4"/>
        </w:rPr>
        <w:t xml:space="preserve"> </w:t>
      </w:r>
      <w:r>
        <w:rPr>
          <w:color w:val="221F1F"/>
        </w:rPr>
        <w:t>at</w:t>
      </w:r>
      <w:r>
        <w:rPr>
          <w:color w:val="221F1F"/>
          <w:spacing w:val="-5"/>
        </w:rPr>
        <w:t xml:space="preserve"> </w:t>
      </w:r>
      <w:r>
        <w:rPr>
          <w:color w:val="221F1F"/>
        </w:rPr>
        <w:t>the Contractor's cost, and</w:t>
      </w:r>
    </w:p>
    <w:p w:rsidR="007F6DF9" w:rsidRDefault="00A43FBC">
      <w:pPr>
        <w:pStyle w:val="ListParagraph"/>
        <w:numPr>
          <w:ilvl w:val="0"/>
          <w:numId w:val="104"/>
        </w:numPr>
        <w:tabs>
          <w:tab w:val="left" w:pos="1858"/>
        </w:tabs>
        <w:spacing w:before="41"/>
        <w:ind w:left="1858" w:hanging="494"/>
      </w:pPr>
      <w:r>
        <w:rPr>
          <w:color w:val="221F1F"/>
        </w:rPr>
        <w:t>additional</w:t>
      </w:r>
      <w:r>
        <w:rPr>
          <w:color w:val="221F1F"/>
          <w:spacing w:val="-5"/>
        </w:rPr>
        <w:t xml:space="preserve"> </w:t>
      </w:r>
      <w:r>
        <w:rPr>
          <w:color w:val="221F1F"/>
        </w:rPr>
        <w:t>samples</w:t>
      </w:r>
      <w:r>
        <w:rPr>
          <w:color w:val="221F1F"/>
          <w:spacing w:val="-6"/>
        </w:rPr>
        <w:t xml:space="preserve"> </w:t>
      </w:r>
      <w:r>
        <w:rPr>
          <w:color w:val="221F1F"/>
        </w:rPr>
        <w:t>instructed</w:t>
      </w:r>
      <w:r>
        <w:rPr>
          <w:color w:val="221F1F"/>
          <w:spacing w:val="-2"/>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as</w:t>
      </w:r>
      <w:r>
        <w:rPr>
          <w:color w:val="221F1F"/>
          <w:spacing w:val="-6"/>
        </w:rPr>
        <w:t xml:space="preserve"> </w:t>
      </w:r>
      <w:r>
        <w:rPr>
          <w:color w:val="221F1F"/>
        </w:rPr>
        <w:t>a</w:t>
      </w:r>
      <w:r>
        <w:rPr>
          <w:color w:val="221F1F"/>
          <w:spacing w:val="-3"/>
        </w:rPr>
        <w:t xml:space="preserve"> </w:t>
      </w:r>
      <w:r>
        <w:rPr>
          <w:color w:val="221F1F"/>
          <w:spacing w:val="-2"/>
        </w:rPr>
        <w:t>Variation.</w:t>
      </w:r>
    </w:p>
    <w:p w:rsidR="007F6DF9" w:rsidRDefault="00A43FBC">
      <w:pPr>
        <w:pStyle w:val="BodyText"/>
        <w:spacing w:before="234"/>
        <w:ind w:left="1364"/>
      </w:pPr>
      <w:r>
        <w:rPr>
          <w:color w:val="221F1F"/>
        </w:rPr>
        <w:t>Each</w:t>
      </w:r>
      <w:r>
        <w:rPr>
          <w:color w:val="221F1F"/>
          <w:spacing w:val="-5"/>
        </w:rPr>
        <w:t xml:space="preserve"> </w:t>
      </w:r>
      <w:r>
        <w:rPr>
          <w:color w:val="221F1F"/>
        </w:rPr>
        <w:t>sample</w:t>
      </w:r>
      <w:r>
        <w:rPr>
          <w:color w:val="221F1F"/>
          <w:spacing w:val="-4"/>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labeled</w:t>
      </w:r>
      <w:r>
        <w:rPr>
          <w:color w:val="221F1F"/>
          <w:spacing w:val="-3"/>
        </w:rPr>
        <w:t xml:space="preserve"> </w:t>
      </w:r>
      <w:r>
        <w:rPr>
          <w:color w:val="221F1F"/>
        </w:rPr>
        <w:t>as</w:t>
      </w:r>
      <w:r>
        <w:rPr>
          <w:color w:val="221F1F"/>
          <w:spacing w:val="-2"/>
        </w:rPr>
        <w:t xml:space="preserve"> </w:t>
      </w:r>
      <w:r>
        <w:rPr>
          <w:color w:val="221F1F"/>
        </w:rPr>
        <w:t>to</w:t>
      </w:r>
      <w:r>
        <w:rPr>
          <w:color w:val="221F1F"/>
          <w:spacing w:val="-3"/>
        </w:rPr>
        <w:t xml:space="preserve"> </w:t>
      </w:r>
      <w:r>
        <w:rPr>
          <w:color w:val="221F1F"/>
        </w:rPr>
        <w:t>origin</w:t>
      </w:r>
      <w:r>
        <w:rPr>
          <w:color w:val="221F1F"/>
          <w:spacing w:val="-2"/>
        </w:rPr>
        <w:t xml:space="preserve"> </w:t>
      </w:r>
      <w:r>
        <w:rPr>
          <w:color w:val="221F1F"/>
        </w:rPr>
        <w:t>and</w:t>
      </w:r>
      <w:r>
        <w:rPr>
          <w:color w:val="221F1F"/>
          <w:spacing w:val="-5"/>
        </w:rPr>
        <w:t xml:space="preserve"> </w:t>
      </w:r>
      <w:r>
        <w:rPr>
          <w:color w:val="221F1F"/>
        </w:rPr>
        <w:t>intended</w:t>
      </w:r>
      <w:r>
        <w:rPr>
          <w:color w:val="221F1F"/>
          <w:spacing w:val="-4"/>
        </w:rPr>
        <w:t xml:space="preserve"> </w:t>
      </w:r>
      <w:r>
        <w:rPr>
          <w:color w:val="221F1F"/>
        </w:rPr>
        <w:t>use</w:t>
      </w:r>
      <w:r>
        <w:rPr>
          <w:color w:val="221F1F"/>
          <w:spacing w:val="-2"/>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spacing w:val="-2"/>
        </w:rPr>
        <w:t>Works.</w:t>
      </w:r>
    </w:p>
    <w:p w:rsidR="007F6DF9" w:rsidRDefault="00A43FBC">
      <w:pPr>
        <w:pStyle w:val="Heading9"/>
        <w:numPr>
          <w:ilvl w:val="1"/>
          <w:numId w:val="122"/>
        </w:numPr>
        <w:tabs>
          <w:tab w:val="left" w:pos="1364"/>
        </w:tabs>
        <w:spacing w:before="234"/>
        <w:ind w:left="1364" w:hanging="661"/>
        <w:rPr>
          <w:color w:val="221F1F"/>
        </w:rPr>
      </w:pPr>
      <w:r>
        <w:rPr>
          <w:color w:val="221F1F"/>
          <w:spacing w:val="-2"/>
        </w:rPr>
        <w:t>Inspection</w:t>
      </w:r>
    </w:p>
    <w:p w:rsidR="007F6DF9" w:rsidRDefault="00A43FBC">
      <w:pPr>
        <w:pStyle w:val="ListParagraph"/>
        <w:numPr>
          <w:ilvl w:val="2"/>
          <w:numId w:val="122"/>
        </w:numPr>
        <w:tabs>
          <w:tab w:val="left" w:pos="1361"/>
        </w:tabs>
        <w:spacing w:before="234"/>
        <w:ind w:left="1361" w:hanging="658"/>
        <w:jc w:val="both"/>
        <w:rPr>
          <w:color w:val="221F1F"/>
        </w:rPr>
      </w:pPr>
      <w:r>
        <w:rPr>
          <w:color w:val="221F1F"/>
        </w:rPr>
        <w:t>The</w:t>
      </w:r>
      <w:r>
        <w:rPr>
          <w:color w:val="221F1F"/>
          <w:spacing w:val="-6"/>
        </w:rPr>
        <w:t xml:space="preserve"> </w:t>
      </w:r>
      <w:r>
        <w:rPr>
          <w:color w:val="221F1F"/>
        </w:rPr>
        <w:t>Procuring</w:t>
      </w:r>
      <w:r>
        <w:rPr>
          <w:color w:val="221F1F"/>
          <w:spacing w:val="-3"/>
        </w:rPr>
        <w:t xml:space="preserve"> </w:t>
      </w:r>
      <w:r>
        <w:rPr>
          <w:color w:val="221F1F"/>
        </w:rPr>
        <w:t>Entity's</w:t>
      </w:r>
      <w:r>
        <w:rPr>
          <w:color w:val="221F1F"/>
          <w:spacing w:val="-3"/>
        </w:rPr>
        <w:t xml:space="preserve"> </w:t>
      </w:r>
      <w:r>
        <w:rPr>
          <w:color w:val="221F1F"/>
        </w:rPr>
        <w:t>Personnel</w:t>
      </w:r>
      <w:r>
        <w:rPr>
          <w:color w:val="221F1F"/>
          <w:spacing w:val="-4"/>
        </w:rPr>
        <w:t xml:space="preserve"> </w:t>
      </w:r>
      <w:r>
        <w:rPr>
          <w:color w:val="221F1F"/>
        </w:rPr>
        <w:t>shall</w:t>
      </w:r>
      <w:r>
        <w:rPr>
          <w:color w:val="221F1F"/>
          <w:spacing w:val="-4"/>
        </w:rPr>
        <w:t xml:space="preserve"> </w:t>
      </w:r>
      <w:r>
        <w:rPr>
          <w:color w:val="221F1F"/>
        </w:rPr>
        <w:t>at</w:t>
      </w:r>
      <w:r>
        <w:rPr>
          <w:color w:val="221F1F"/>
          <w:spacing w:val="-5"/>
        </w:rPr>
        <w:t xml:space="preserve"> </w:t>
      </w:r>
      <w:r>
        <w:rPr>
          <w:color w:val="221F1F"/>
        </w:rPr>
        <w:t>all</w:t>
      </w:r>
      <w:r>
        <w:rPr>
          <w:color w:val="221F1F"/>
          <w:spacing w:val="-2"/>
        </w:rPr>
        <w:t xml:space="preserve"> </w:t>
      </w:r>
      <w:r>
        <w:rPr>
          <w:color w:val="221F1F"/>
        </w:rPr>
        <w:t>reasonable</w:t>
      </w:r>
      <w:r>
        <w:rPr>
          <w:color w:val="221F1F"/>
          <w:spacing w:val="-4"/>
        </w:rPr>
        <w:t xml:space="preserve"> </w:t>
      </w:r>
      <w:r>
        <w:rPr>
          <w:color w:val="221F1F"/>
          <w:spacing w:val="-2"/>
        </w:rPr>
        <w:t>times:</w:t>
      </w:r>
    </w:p>
    <w:p w:rsidR="007F6DF9" w:rsidRDefault="00A43FBC">
      <w:pPr>
        <w:pStyle w:val="ListParagraph"/>
        <w:numPr>
          <w:ilvl w:val="0"/>
          <w:numId w:val="51"/>
        </w:numPr>
        <w:tabs>
          <w:tab w:val="left" w:pos="1856"/>
          <w:tab w:val="left" w:pos="1858"/>
        </w:tabs>
        <w:spacing w:before="49" w:line="230" w:lineRule="auto"/>
        <w:ind w:right="1263"/>
        <w:jc w:val="both"/>
      </w:pPr>
      <w:r>
        <w:rPr>
          <w:color w:val="221F1F"/>
        </w:rPr>
        <w:t>Have full</w:t>
      </w:r>
      <w:r>
        <w:rPr>
          <w:color w:val="221F1F"/>
          <w:spacing w:val="-2"/>
        </w:rPr>
        <w:t xml:space="preserve"> </w:t>
      </w:r>
      <w:r>
        <w:rPr>
          <w:color w:val="221F1F"/>
        </w:rPr>
        <w:t>access</w:t>
      </w:r>
      <w:r>
        <w:rPr>
          <w:color w:val="221F1F"/>
          <w:spacing w:val="-3"/>
        </w:rPr>
        <w:t xml:space="preserve"> </w:t>
      </w:r>
      <w:r>
        <w:rPr>
          <w:color w:val="221F1F"/>
        </w:rPr>
        <w:t>to</w:t>
      </w:r>
      <w:r>
        <w:rPr>
          <w:color w:val="221F1F"/>
          <w:spacing w:val="-1"/>
        </w:rPr>
        <w:t xml:space="preserve"> </w:t>
      </w:r>
      <w:r>
        <w:rPr>
          <w:color w:val="221F1F"/>
        </w:rPr>
        <w:t>all parts</w:t>
      </w:r>
      <w:r>
        <w:rPr>
          <w:color w:val="221F1F"/>
          <w:spacing w:val="-3"/>
        </w:rPr>
        <w:t xml:space="preserve"> </w:t>
      </w:r>
      <w:r>
        <w:rPr>
          <w:color w:val="221F1F"/>
        </w:rPr>
        <w:t>of the</w:t>
      </w:r>
      <w:r>
        <w:rPr>
          <w:color w:val="221F1F"/>
          <w:spacing w:val="-1"/>
        </w:rPr>
        <w:t xml:space="preserve"> </w:t>
      </w:r>
      <w:r>
        <w:rPr>
          <w:color w:val="221F1F"/>
        </w:rPr>
        <w:t>Site</w:t>
      </w:r>
      <w:r>
        <w:rPr>
          <w:color w:val="221F1F"/>
          <w:spacing w:val="-3"/>
        </w:rPr>
        <w:t xml:space="preserve"> </w:t>
      </w:r>
      <w:r>
        <w:rPr>
          <w:color w:val="221F1F"/>
        </w:rPr>
        <w:t>and</w:t>
      </w:r>
      <w:r>
        <w:rPr>
          <w:color w:val="221F1F"/>
          <w:spacing w:val="-3"/>
        </w:rPr>
        <w:t xml:space="preserve"> </w:t>
      </w:r>
      <w:r>
        <w:rPr>
          <w:color w:val="221F1F"/>
        </w:rPr>
        <w:t>to</w:t>
      </w:r>
      <w:r>
        <w:rPr>
          <w:color w:val="221F1F"/>
          <w:spacing w:val="-1"/>
        </w:rPr>
        <w:t xml:space="preserve"> </w:t>
      </w:r>
      <w:r>
        <w:rPr>
          <w:color w:val="221F1F"/>
        </w:rPr>
        <w:t>all places</w:t>
      </w:r>
      <w:r>
        <w:rPr>
          <w:color w:val="221F1F"/>
          <w:spacing w:val="-3"/>
        </w:rPr>
        <w:t xml:space="preserve"> </w:t>
      </w:r>
      <w:r>
        <w:rPr>
          <w:color w:val="221F1F"/>
        </w:rPr>
        <w:t>from which</w:t>
      </w:r>
      <w:r>
        <w:rPr>
          <w:color w:val="221F1F"/>
          <w:spacing w:val="-1"/>
        </w:rPr>
        <w:t xml:space="preserve"> </w:t>
      </w:r>
      <w:r>
        <w:rPr>
          <w:color w:val="221F1F"/>
        </w:rPr>
        <w:t>natural</w:t>
      </w:r>
      <w:r>
        <w:rPr>
          <w:color w:val="221F1F"/>
          <w:spacing w:val="-2"/>
        </w:rPr>
        <w:t xml:space="preserve"> </w:t>
      </w:r>
      <w:r>
        <w:rPr>
          <w:color w:val="221F1F"/>
        </w:rPr>
        <w:t>Materials</w:t>
      </w:r>
      <w:r>
        <w:rPr>
          <w:color w:val="221F1F"/>
          <w:spacing w:val="-2"/>
        </w:rPr>
        <w:t xml:space="preserve"> </w:t>
      </w:r>
      <w:r>
        <w:rPr>
          <w:color w:val="221F1F"/>
        </w:rPr>
        <w:t>are</w:t>
      </w:r>
      <w:r>
        <w:rPr>
          <w:color w:val="221F1F"/>
          <w:spacing w:val="-3"/>
        </w:rPr>
        <w:t xml:space="preserve"> </w:t>
      </w:r>
      <w:r>
        <w:rPr>
          <w:color w:val="221F1F"/>
        </w:rPr>
        <w:t>being obtained, and</w:t>
      </w:r>
    </w:p>
    <w:p w:rsidR="007F6DF9" w:rsidRDefault="00A43FBC">
      <w:pPr>
        <w:pStyle w:val="ListParagraph"/>
        <w:numPr>
          <w:ilvl w:val="0"/>
          <w:numId w:val="51"/>
        </w:numPr>
        <w:tabs>
          <w:tab w:val="left" w:pos="1856"/>
          <w:tab w:val="left" w:pos="1858"/>
        </w:tabs>
        <w:spacing w:before="49" w:line="230" w:lineRule="auto"/>
        <w:ind w:right="573"/>
        <w:jc w:val="both"/>
      </w:pPr>
      <w:r>
        <w:rPr>
          <w:color w:val="221F1F"/>
        </w:rPr>
        <w:t>during production, manufacture and construction (at the Site and elsewhere), be entitled to examine, inspect, measure and test the materials and workmanship, and to check the progress of manufacture of Plant and production and manufacture of Materials.</w:t>
      </w:r>
    </w:p>
    <w:p w:rsidR="007F6DF9" w:rsidRDefault="00A43FBC">
      <w:pPr>
        <w:pStyle w:val="ListParagraph"/>
        <w:numPr>
          <w:ilvl w:val="2"/>
          <w:numId w:val="122"/>
        </w:numPr>
        <w:tabs>
          <w:tab w:val="left" w:pos="1361"/>
        </w:tabs>
        <w:spacing w:before="236"/>
        <w:ind w:left="1361" w:hanging="658"/>
        <w:jc w:val="both"/>
        <w:rPr>
          <w:color w:val="221F1F"/>
        </w:rPr>
      </w:pPr>
      <w:r>
        <w:rPr>
          <w:color w:val="221F1F"/>
        </w:rPr>
        <w:t>The</w:t>
      </w:r>
      <w:r>
        <w:rPr>
          <w:color w:val="221F1F"/>
          <w:spacing w:val="29"/>
        </w:rPr>
        <w:t xml:space="preserve"> </w:t>
      </w:r>
      <w:r>
        <w:rPr>
          <w:color w:val="221F1F"/>
        </w:rPr>
        <w:t>Contractor</w:t>
      </w:r>
      <w:r>
        <w:rPr>
          <w:color w:val="221F1F"/>
          <w:spacing w:val="32"/>
        </w:rPr>
        <w:t xml:space="preserve"> </w:t>
      </w:r>
      <w:r>
        <w:rPr>
          <w:color w:val="221F1F"/>
        </w:rPr>
        <w:t>shall</w:t>
      </w:r>
      <w:r>
        <w:rPr>
          <w:color w:val="221F1F"/>
          <w:spacing w:val="32"/>
        </w:rPr>
        <w:t xml:space="preserve"> </w:t>
      </w:r>
      <w:r>
        <w:rPr>
          <w:color w:val="221F1F"/>
        </w:rPr>
        <w:t>give</w:t>
      </w:r>
      <w:r>
        <w:rPr>
          <w:color w:val="221F1F"/>
          <w:spacing w:val="28"/>
        </w:rPr>
        <w:t xml:space="preserve"> </w:t>
      </w:r>
      <w:r>
        <w:rPr>
          <w:color w:val="221F1F"/>
        </w:rPr>
        <w:t>the</w:t>
      </w:r>
      <w:r>
        <w:rPr>
          <w:color w:val="221F1F"/>
          <w:spacing w:val="32"/>
        </w:rPr>
        <w:t xml:space="preserve"> </w:t>
      </w:r>
      <w:r>
        <w:rPr>
          <w:color w:val="221F1F"/>
        </w:rPr>
        <w:t>Procuring</w:t>
      </w:r>
      <w:r>
        <w:rPr>
          <w:color w:val="221F1F"/>
          <w:spacing w:val="32"/>
        </w:rPr>
        <w:t xml:space="preserve"> </w:t>
      </w:r>
      <w:r>
        <w:rPr>
          <w:color w:val="221F1F"/>
        </w:rPr>
        <w:t>Entity's</w:t>
      </w:r>
      <w:r>
        <w:rPr>
          <w:color w:val="221F1F"/>
          <w:spacing w:val="32"/>
        </w:rPr>
        <w:t xml:space="preserve"> </w:t>
      </w:r>
      <w:r>
        <w:rPr>
          <w:color w:val="221F1F"/>
        </w:rPr>
        <w:t>Personnel</w:t>
      </w:r>
      <w:r>
        <w:rPr>
          <w:color w:val="221F1F"/>
          <w:spacing w:val="30"/>
        </w:rPr>
        <w:t xml:space="preserve"> </w:t>
      </w:r>
      <w:r>
        <w:rPr>
          <w:color w:val="221F1F"/>
        </w:rPr>
        <w:t>full</w:t>
      </w:r>
      <w:r>
        <w:rPr>
          <w:color w:val="221F1F"/>
          <w:spacing w:val="31"/>
        </w:rPr>
        <w:t xml:space="preserve"> </w:t>
      </w:r>
      <w:r>
        <w:rPr>
          <w:color w:val="221F1F"/>
        </w:rPr>
        <w:t>opportunity</w:t>
      </w:r>
      <w:r>
        <w:rPr>
          <w:color w:val="221F1F"/>
          <w:spacing w:val="29"/>
        </w:rPr>
        <w:t xml:space="preserve"> </w:t>
      </w:r>
      <w:r>
        <w:rPr>
          <w:color w:val="221F1F"/>
        </w:rPr>
        <w:t>to</w:t>
      </w:r>
      <w:r>
        <w:rPr>
          <w:color w:val="221F1F"/>
          <w:spacing w:val="29"/>
        </w:rPr>
        <w:t xml:space="preserve"> </w:t>
      </w:r>
      <w:r>
        <w:rPr>
          <w:color w:val="221F1F"/>
        </w:rPr>
        <w:t>carry</w:t>
      </w:r>
      <w:r>
        <w:rPr>
          <w:color w:val="221F1F"/>
          <w:spacing w:val="30"/>
        </w:rPr>
        <w:t xml:space="preserve"> </w:t>
      </w:r>
      <w:r>
        <w:rPr>
          <w:color w:val="221F1F"/>
        </w:rPr>
        <w:t>out</w:t>
      </w:r>
      <w:r>
        <w:rPr>
          <w:color w:val="221F1F"/>
          <w:spacing w:val="32"/>
        </w:rPr>
        <w:t xml:space="preserve"> </w:t>
      </w:r>
      <w:r>
        <w:rPr>
          <w:color w:val="221F1F"/>
        </w:rPr>
        <w:t>these</w:t>
      </w:r>
      <w:r>
        <w:rPr>
          <w:color w:val="221F1F"/>
          <w:spacing w:val="33"/>
        </w:rPr>
        <w:t xml:space="preserve"> </w:t>
      </w:r>
      <w:r>
        <w:rPr>
          <w:color w:val="221F1F"/>
          <w:spacing w:val="-2"/>
        </w:rPr>
        <w:t>activities,</w:t>
      </w:r>
    </w:p>
    <w:p w:rsidR="007F6DF9" w:rsidRDefault="007F6DF9">
      <w:pPr>
        <w:pStyle w:val="ListParagraph"/>
        <w:jc w:val="both"/>
        <w:sectPr w:rsidR="007F6DF9">
          <w:pgSz w:w="11920" w:h="16850"/>
          <w:pgMar w:top="360" w:right="283" w:bottom="620" w:left="141" w:header="0" w:footer="437" w:gutter="0"/>
          <w:pgNumType w:start="94"/>
          <w:cols w:space="720"/>
        </w:sectPr>
      </w:pPr>
    </w:p>
    <w:p w:rsidR="007F6DF9" w:rsidRDefault="00A43FBC">
      <w:pPr>
        <w:pStyle w:val="BodyText"/>
        <w:spacing w:line="230" w:lineRule="auto"/>
        <w:ind w:left="1371"/>
      </w:pPr>
      <w:r>
        <w:rPr>
          <w:color w:val="221F1F"/>
        </w:rPr>
        <w:lastRenderedPageBreak/>
        <w:t>including providing access, facilities, permissions and safety equipment. No such activity shall relieve the Contractor from any obligation or responsibility.</w:t>
      </w:r>
    </w:p>
    <w:p w:rsidR="007F6DF9" w:rsidRDefault="00A43FBC">
      <w:pPr>
        <w:pStyle w:val="ListParagraph"/>
        <w:numPr>
          <w:ilvl w:val="2"/>
          <w:numId w:val="122"/>
        </w:numPr>
        <w:tabs>
          <w:tab w:val="left" w:pos="1361"/>
          <w:tab w:val="left" w:pos="1371"/>
        </w:tabs>
        <w:spacing w:before="246" w:line="230" w:lineRule="auto"/>
        <w:ind w:left="1371" w:right="570" w:hanging="668"/>
        <w:jc w:val="both"/>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give</w:t>
      </w:r>
      <w:r>
        <w:rPr>
          <w:color w:val="221F1F"/>
          <w:spacing w:val="-3"/>
        </w:rPr>
        <w:t xml:space="preserve"> </w:t>
      </w:r>
      <w:r>
        <w:rPr>
          <w:color w:val="221F1F"/>
        </w:rPr>
        <w:t>notice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whenever</w:t>
      </w:r>
      <w:r>
        <w:rPr>
          <w:color w:val="221F1F"/>
          <w:spacing w:val="-2"/>
        </w:rPr>
        <w:t xml:space="preserve"> </w:t>
      </w:r>
      <w:r>
        <w:rPr>
          <w:color w:val="221F1F"/>
        </w:rPr>
        <w:t>any</w:t>
      </w:r>
      <w:r>
        <w:rPr>
          <w:color w:val="221F1F"/>
          <w:spacing w:val="-4"/>
        </w:rPr>
        <w:t xml:space="preserve"> </w:t>
      </w:r>
      <w:r>
        <w:rPr>
          <w:color w:val="221F1F"/>
        </w:rPr>
        <w:t>work</w:t>
      </w:r>
      <w:r>
        <w:rPr>
          <w:color w:val="221F1F"/>
          <w:spacing w:val="-3"/>
        </w:rPr>
        <w:t xml:space="preserve"> </w:t>
      </w:r>
      <w:r>
        <w:rPr>
          <w:color w:val="221F1F"/>
        </w:rPr>
        <w:t>is</w:t>
      </w:r>
      <w:r>
        <w:rPr>
          <w:color w:val="221F1F"/>
          <w:spacing w:val="-3"/>
        </w:rPr>
        <w:t xml:space="preserve"> </w:t>
      </w:r>
      <w:r>
        <w:rPr>
          <w:color w:val="221F1F"/>
        </w:rPr>
        <w:t>ready</w:t>
      </w:r>
      <w:r>
        <w:rPr>
          <w:color w:val="221F1F"/>
          <w:spacing w:val="-3"/>
        </w:rPr>
        <w:t xml:space="preserve"> </w:t>
      </w:r>
      <w:r>
        <w:rPr>
          <w:color w:val="221F1F"/>
        </w:rPr>
        <w:t>and</w:t>
      </w:r>
      <w:r>
        <w:rPr>
          <w:color w:val="221F1F"/>
          <w:spacing w:val="-6"/>
        </w:rPr>
        <w:t xml:space="preserve"> </w:t>
      </w:r>
      <w:r>
        <w:rPr>
          <w:color w:val="221F1F"/>
        </w:rPr>
        <w:t>before</w:t>
      </w:r>
      <w:r>
        <w:rPr>
          <w:color w:val="221F1F"/>
          <w:spacing w:val="-2"/>
        </w:rPr>
        <w:t xml:space="preserve"> </w:t>
      </w:r>
      <w:r>
        <w:rPr>
          <w:color w:val="221F1F"/>
        </w:rPr>
        <w:t>it</w:t>
      </w:r>
      <w:r>
        <w:rPr>
          <w:color w:val="221F1F"/>
          <w:spacing w:val="-3"/>
        </w:rPr>
        <w:t xml:space="preserve"> </w:t>
      </w:r>
      <w:r>
        <w:rPr>
          <w:color w:val="221F1F"/>
        </w:rPr>
        <w:t>is</w:t>
      </w:r>
      <w:r>
        <w:rPr>
          <w:color w:val="221F1F"/>
          <w:spacing w:val="-3"/>
        </w:rPr>
        <w:t xml:space="preserve"> </w:t>
      </w:r>
      <w:r>
        <w:rPr>
          <w:color w:val="221F1F"/>
        </w:rPr>
        <w:t>covered</w:t>
      </w:r>
      <w:r>
        <w:rPr>
          <w:color w:val="221F1F"/>
          <w:spacing w:val="-3"/>
        </w:rPr>
        <w:t xml:space="preserve"> </w:t>
      </w:r>
      <w:r>
        <w:rPr>
          <w:color w:val="221F1F"/>
        </w:rPr>
        <w:t>up,</w:t>
      </w:r>
      <w:r>
        <w:rPr>
          <w:color w:val="221F1F"/>
          <w:spacing w:val="-4"/>
        </w:rPr>
        <w:t xml:space="preserve"> </w:t>
      </w:r>
      <w:r>
        <w:rPr>
          <w:color w:val="221F1F"/>
        </w:rPr>
        <w:t>put out of sight, or packaged for storage or transport. The Architect shall then either carry out the examination, inspection,</w:t>
      </w:r>
      <w:r>
        <w:rPr>
          <w:color w:val="221F1F"/>
          <w:spacing w:val="-12"/>
        </w:rPr>
        <w:t xml:space="preserve"> </w:t>
      </w:r>
      <w:r>
        <w:rPr>
          <w:color w:val="221F1F"/>
        </w:rPr>
        <w:t>measurement</w:t>
      </w:r>
      <w:r>
        <w:rPr>
          <w:color w:val="221F1F"/>
          <w:spacing w:val="-8"/>
        </w:rPr>
        <w:t xml:space="preserve"> </w:t>
      </w:r>
      <w:r>
        <w:rPr>
          <w:color w:val="221F1F"/>
        </w:rPr>
        <w:t>or</w:t>
      </w:r>
      <w:r>
        <w:rPr>
          <w:color w:val="221F1F"/>
          <w:spacing w:val="-12"/>
        </w:rPr>
        <w:t xml:space="preserve"> </w:t>
      </w:r>
      <w:r>
        <w:rPr>
          <w:color w:val="221F1F"/>
        </w:rPr>
        <w:t>testing</w:t>
      </w:r>
      <w:r>
        <w:rPr>
          <w:color w:val="221F1F"/>
          <w:spacing w:val="-10"/>
        </w:rPr>
        <w:t xml:space="preserve"> </w:t>
      </w:r>
      <w:r>
        <w:rPr>
          <w:color w:val="221F1F"/>
        </w:rPr>
        <w:t>without</w:t>
      </w:r>
      <w:r>
        <w:rPr>
          <w:color w:val="221F1F"/>
          <w:spacing w:val="-9"/>
        </w:rPr>
        <w:t xml:space="preserve"> </w:t>
      </w:r>
      <w:r>
        <w:rPr>
          <w:color w:val="221F1F"/>
        </w:rPr>
        <w:t>unreasonable</w:t>
      </w:r>
      <w:r>
        <w:rPr>
          <w:color w:val="221F1F"/>
          <w:spacing w:val="-9"/>
        </w:rPr>
        <w:t xml:space="preserve"> </w:t>
      </w:r>
      <w:r>
        <w:rPr>
          <w:color w:val="221F1F"/>
        </w:rPr>
        <w:t>delay,</w:t>
      </w:r>
      <w:r>
        <w:rPr>
          <w:color w:val="221F1F"/>
          <w:spacing w:val="-14"/>
        </w:rPr>
        <w:t xml:space="preserve"> </w:t>
      </w:r>
      <w:r>
        <w:rPr>
          <w:color w:val="221F1F"/>
        </w:rPr>
        <w:t>or</w:t>
      </w:r>
      <w:r>
        <w:rPr>
          <w:color w:val="221F1F"/>
          <w:spacing w:val="-10"/>
        </w:rPr>
        <w:t xml:space="preserve"> </w:t>
      </w:r>
      <w:r>
        <w:rPr>
          <w:color w:val="221F1F"/>
        </w:rPr>
        <w:t>promptly</w:t>
      </w:r>
      <w:r>
        <w:rPr>
          <w:color w:val="221F1F"/>
          <w:spacing w:val="-10"/>
        </w:rPr>
        <w:t xml:space="preserve"> </w:t>
      </w:r>
      <w:r>
        <w:rPr>
          <w:color w:val="221F1F"/>
        </w:rPr>
        <w:t>give</w:t>
      </w:r>
      <w:r>
        <w:rPr>
          <w:color w:val="221F1F"/>
          <w:spacing w:val="-10"/>
        </w:rPr>
        <w:t xml:space="preserve"> </w:t>
      </w:r>
      <w:r>
        <w:rPr>
          <w:color w:val="221F1F"/>
        </w:rPr>
        <w:t>notice</w:t>
      </w:r>
      <w:r>
        <w:rPr>
          <w:color w:val="221F1F"/>
          <w:spacing w:val="-9"/>
        </w:rPr>
        <w:t xml:space="preserve"> </w:t>
      </w:r>
      <w:r>
        <w:rPr>
          <w:color w:val="221F1F"/>
        </w:rPr>
        <w:t>to</w:t>
      </w:r>
      <w:r>
        <w:rPr>
          <w:color w:val="221F1F"/>
          <w:spacing w:val="-13"/>
        </w:rPr>
        <w:t xml:space="preserve"> </w:t>
      </w:r>
      <w:r>
        <w:rPr>
          <w:color w:val="221F1F"/>
        </w:rPr>
        <w:t>the</w:t>
      </w:r>
      <w:r>
        <w:rPr>
          <w:color w:val="221F1F"/>
          <w:spacing w:val="-10"/>
        </w:rPr>
        <w:t xml:space="preserve"> </w:t>
      </w:r>
      <w:r>
        <w:rPr>
          <w:color w:val="221F1F"/>
        </w:rPr>
        <w:t>Contractor</w:t>
      </w:r>
      <w:r>
        <w:rPr>
          <w:color w:val="221F1F"/>
          <w:spacing w:val="-9"/>
        </w:rPr>
        <w:t xml:space="preserve"> </w:t>
      </w:r>
      <w:r>
        <w:rPr>
          <w:color w:val="221F1F"/>
        </w:rPr>
        <w:t>that the</w:t>
      </w:r>
      <w:r>
        <w:rPr>
          <w:color w:val="221F1F"/>
          <w:spacing w:val="-8"/>
        </w:rPr>
        <w:t xml:space="preserve"> </w:t>
      </w:r>
      <w:r>
        <w:rPr>
          <w:color w:val="221F1F"/>
        </w:rPr>
        <w:t>Architect</w:t>
      </w:r>
      <w:r>
        <w:rPr>
          <w:color w:val="221F1F"/>
          <w:spacing w:val="-7"/>
        </w:rPr>
        <w:t xml:space="preserve"> </w:t>
      </w:r>
      <w:r>
        <w:rPr>
          <w:color w:val="221F1F"/>
        </w:rPr>
        <w:t>does</w:t>
      </w:r>
      <w:r>
        <w:rPr>
          <w:color w:val="221F1F"/>
          <w:spacing w:val="-8"/>
        </w:rPr>
        <w:t xml:space="preserve"> </w:t>
      </w:r>
      <w:r>
        <w:rPr>
          <w:color w:val="221F1F"/>
        </w:rPr>
        <w:t>not</w:t>
      </w:r>
      <w:r>
        <w:rPr>
          <w:color w:val="221F1F"/>
          <w:spacing w:val="-7"/>
        </w:rPr>
        <w:t xml:space="preserve"> </w:t>
      </w:r>
      <w:r>
        <w:rPr>
          <w:color w:val="221F1F"/>
        </w:rPr>
        <w:t>require</w:t>
      </w:r>
      <w:r>
        <w:rPr>
          <w:color w:val="221F1F"/>
          <w:spacing w:val="-7"/>
        </w:rPr>
        <w:t xml:space="preserve"> </w:t>
      </w:r>
      <w:r>
        <w:rPr>
          <w:color w:val="221F1F"/>
        </w:rPr>
        <w:t>to</w:t>
      </w:r>
      <w:r>
        <w:rPr>
          <w:color w:val="221F1F"/>
          <w:spacing w:val="-8"/>
        </w:rPr>
        <w:t xml:space="preserve"> </w:t>
      </w:r>
      <w:r>
        <w:rPr>
          <w:color w:val="221F1F"/>
        </w:rPr>
        <w:t>do</w:t>
      </w:r>
      <w:r>
        <w:rPr>
          <w:color w:val="221F1F"/>
          <w:spacing w:val="-8"/>
        </w:rPr>
        <w:t xml:space="preserve"> </w:t>
      </w:r>
      <w:r>
        <w:rPr>
          <w:color w:val="221F1F"/>
        </w:rPr>
        <w:t>so.</w:t>
      </w:r>
      <w:r>
        <w:rPr>
          <w:color w:val="221F1F"/>
          <w:spacing w:val="-8"/>
        </w:rPr>
        <w:t xml:space="preserve"> </w:t>
      </w:r>
      <w:r>
        <w:rPr>
          <w:color w:val="221F1F"/>
        </w:rPr>
        <w:t>If</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fails</w:t>
      </w:r>
      <w:r>
        <w:rPr>
          <w:color w:val="221F1F"/>
          <w:spacing w:val="-10"/>
        </w:rPr>
        <w:t xml:space="preserve"> </w:t>
      </w:r>
      <w:r>
        <w:rPr>
          <w:color w:val="221F1F"/>
        </w:rPr>
        <w:t>to</w:t>
      </w:r>
      <w:r>
        <w:rPr>
          <w:color w:val="221F1F"/>
          <w:spacing w:val="-8"/>
        </w:rPr>
        <w:t xml:space="preserve"> </w:t>
      </w:r>
      <w:r>
        <w:rPr>
          <w:color w:val="221F1F"/>
        </w:rPr>
        <w:t>give</w:t>
      </w:r>
      <w:r>
        <w:rPr>
          <w:color w:val="221F1F"/>
          <w:spacing w:val="-8"/>
        </w:rPr>
        <w:t xml:space="preserve"> </w:t>
      </w:r>
      <w:r>
        <w:rPr>
          <w:color w:val="221F1F"/>
        </w:rPr>
        <w:t>the</w:t>
      </w:r>
      <w:r>
        <w:rPr>
          <w:color w:val="221F1F"/>
          <w:spacing w:val="-8"/>
        </w:rPr>
        <w:t xml:space="preserve"> </w:t>
      </w:r>
      <w:r>
        <w:rPr>
          <w:color w:val="221F1F"/>
        </w:rPr>
        <w:t>notice,</w:t>
      </w:r>
      <w:r>
        <w:rPr>
          <w:color w:val="221F1F"/>
          <w:spacing w:val="-8"/>
        </w:rPr>
        <w:t xml:space="preserve"> </w:t>
      </w:r>
      <w:r>
        <w:rPr>
          <w:color w:val="221F1F"/>
        </w:rPr>
        <w:t>he</w:t>
      </w:r>
      <w:r>
        <w:rPr>
          <w:color w:val="221F1F"/>
          <w:spacing w:val="-10"/>
        </w:rPr>
        <w:t xml:space="preserve"> </w:t>
      </w:r>
      <w:r>
        <w:rPr>
          <w:color w:val="221F1F"/>
        </w:rPr>
        <w:t>shall,</w:t>
      </w:r>
      <w:r>
        <w:rPr>
          <w:color w:val="221F1F"/>
          <w:spacing w:val="-8"/>
        </w:rPr>
        <w:t xml:space="preserve"> </w:t>
      </w:r>
      <w:r>
        <w:rPr>
          <w:color w:val="221F1F"/>
        </w:rPr>
        <w:t>if</w:t>
      </w:r>
      <w:r>
        <w:rPr>
          <w:color w:val="221F1F"/>
          <w:spacing w:val="-8"/>
        </w:rPr>
        <w:t xml:space="preserve"> </w:t>
      </w:r>
      <w:r>
        <w:rPr>
          <w:color w:val="221F1F"/>
        </w:rPr>
        <w:t>and</w:t>
      </w:r>
      <w:r>
        <w:rPr>
          <w:color w:val="221F1F"/>
          <w:spacing w:val="-8"/>
        </w:rPr>
        <w:t xml:space="preserve"> </w:t>
      </w:r>
      <w:r>
        <w:rPr>
          <w:color w:val="221F1F"/>
        </w:rPr>
        <w:t>when</w:t>
      </w:r>
      <w:r>
        <w:rPr>
          <w:color w:val="221F1F"/>
          <w:spacing w:val="-10"/>
        </w:rPr>
        <w:t xml:space="preserve"> </w:t>
      </w:r>
      <w:r>
        <w:rPr>
          <w:color w:val="221F1F"/>
        </w:rPr>
        <w:t>required by the Engineer, uncover the work and there after reinstate and make good, all at the Contractor's cost.</w:t>
      </w:r>
    </w:p>
    <w:p w:rsidR="007F6DF9" w:rsidRDefault="00A43FBC">
      <w:pPr>
        <w:pStyle w:val="Heading9"/>
        <w:numPr>
          <w:ilvl w:val="1"/>
          <w:numId w:val="122"/>
        </w:numPr>
        <w:tabs>
          <w:tab w:val="left" w:pos="1364"/>
        </w:tabs>
        <w:spacing w:before="237"/>
        <w:ind w:left="1364" w:hanging="661"/>
        <w:rPr>
          <w:color w:val="221F1F"/>
        </w:rPr>
      </w:pPr>
      <w:r>
        <w:rPr>
          <w:color w:val="221F1F"/>
          <w:spacing w:val="-2"/>
        </w:rPr>
        <w:t>Testing</w:t>
      </w:r>
    </w:p>
    <w:p w:rsidR="007F6DF9" w:rsidRDefault="00A43FBC">
      <w:pPr>
        <w:pStyle w:val="ListParagraph"/>
        <w:numPr>
          <w:ilvl w:val="2"/>
          <w:numId w:val="122"/>
        </w:numPr>
        <w:tabs>
          <w:tab w:val="left" w:pos="1364"/>
        </w:tabs>
        <w:spacing w:before="234"/>
        <w:ind w:left="1364" w:hanging="661"/>
        <w:rPr>
          <w:color w:val="221F1F"/>
        </w:rPr>
      </w:pPr>
      <w:r>
        <w:rPr>
          <w:color w:val="221F1F"/>
        </w:rPr>
        <w:t>This</w:t>
      </w:r>
      <w:r>
        <w:rPr>
          <w:color w:val="221F1F"/>
          <w:spacing w:val="-3"/>
        </w:rPr>
        <w:t xml:space="preserve"> </w:t>
      </w:r>
      <w:r>
        <w:rPr>
          <w:color w:val="221F1F"/>
        </w:rPr>
        <w:t>Sub-Clause</w:t>
      </w:r>
      <w:r>
        <w:rPr>
          <w:color w:val="221F1F"/>
          <w:spacing w:val="-5"/>
        </w:rPr>
        <w:t xml:space="preserve"> </w:t>
      </w:r>
      <w:r>
        <w:rPr>
          <w:color w:val="221F1F"/>
        </w:rPr>
        <w:t>shall</w:t>
      </w:r>
      <w:r>
        <w:rPr>
          <w:color w:val="221F1F"/>
          <w:spacing w:val="-4"/>
        </w:rPr>
        <w:t xml:space="preserve"> </w:t>
      </w:r>
      <w:r>
        <w:rPr>
          <w:color w:val="221F1F"/>
        </w:rPr>
        <w:t>apply</w:t>
      </w:r>
      <w:r>
        <w:rPr>
          <w:color w:val="221F1F"/>
          <w:spacing w:val="-3"/>
        </w:rPr>
        <w:t xml:space="preserve"> </w:t>
      </w:r>
      <w:r>
        <w:rPr>
          <w:color w:val="221F1F"/>
        </w:rPr>
        <w:t>to</w:t>
      </w:r>
      <w:r>
        <w:rPr>
          <w:color w:val="221F1F"/>
          <w:spacing w:val="-4"/>
        </w:rPr>
        <w:t xml:space="preserve"> </w:t>
      </w:r>
      <w:r>
        <w:rPr>
          <w:color w:val="221F1F"/>
        </w:rPr>
        <w:t>all</w:t>
      </w:r>
      <w:r>
        <w:rPr>
          <w:color w:val="221F1F"/>
          <w:spacing w:val="-4"/>
        </w:rPr>
        <w:t xml:space="preserve"> </w:t>
      </w:r>
      <w:r>
        <w:rPr>
          <w:color w:val="221F1F"/>
        </w:rPr>
        <w:t>tests</w:t>
      </w:r>
      <w:r>
        <w:rPr>
          <w:color w:val="221F1F"/>
          <w:spacing w:val="-5"/>
        </w:rPr>
        <w:t xml:space="preserve"> </w:t>
      </w:r>
      <w:r>
        <w:rPr>
          <w:color w:val="221F1F"/>
        </w:rPr>
        <w:t>specified</w:t>
      </w:r>
      <w:r>
        <w:rPr>
          <w:color w:val="221F1F"/>
          <w:spacing w:val="-3"/>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spacing w:val="-2"/>
        </w:rPr>
        <w:t>Contract.</w:t>
      </w:r>
    </w:p>
    <w:p w:rsidR="007F6DF9" w:rsidRDefault="00A43FBC">
      <w:pPr>
        <w:pStyle w:val="ListParagraph"/>
        <w:numPr>
          <w:ilvl w:val="2"/>
          <w:numId w:val="122"/>
        </w:numPr>
        <w:tabs>
          <w:tab w:val="left" w:pos="1361"/>
          <w:tab w:val="left" w:pos="1371"/>
        </w:tabs>
        <w:spacing w:before="242" w:line="230" w:lineRule="auto"/>
        <w:ind w:left="1371" w:right="570" w:hanging="668"/>
        <w:jc w:val="both"/>
        <w:rPr>
          <w:color w:val="221F1F"/>
        </w:rPr>
      </w:pPr>
      <w:r>
        <w:rPr>
          <w:color w:val="221F1F"/>
        </w:rPr>
        <w:t>Except as otherwise specified in the Contract, the Contractor shall provide all apparatus, assistance, documents and other information, electricity, equipment, fuel, consumables, instruments, labor, materials, and suitably qualified and experienced staff, as are necessary to carry out the specified tests efficiently. The Contractor</w:t>
      </w:r>
      <w:r>
        <w:rPr>
          <w:color w:val="221F1F"/>
          <w:spacing w:val="-1"/>
        </w:rPr>
        <w:t xml:space="preserve"> </w:t>
      </w:r>
      <w:r>
        <w:rPr>
          <w:color w:val="221F1F"/>
        </w:rPr>
        <w:t>shall</w:t>
      </w:r>
      <w:r>
        <w:rPr>
          <w:color w:val="221F1F"/>
          <w:spacing w:val="-1"/>
        </w:rPr>
        <w:t xml:space="preserve"> </w:t>
      </w:r>
      <w:r>
        <w:rPr>
          <w:color w:val="221F1F"/>
        </w:rPr>
        <w:t>agree, with</w:t>
      </w:r>
      <w:r>
        <w:rPr>
          <w:color w:val="221F1F"/>
          <w:spacing w:val="-3"/>
        </w:rPr>
        <w:t xml:space="preserve"> </w:t>
      </w:r>
      <w:r>
        <w:rPr>
          <w:color w:val="221F1F"/>
        </w:rPr>
        <w:t>the Engineer, the</w:t>
      </w:r>
      <w:r>
        <w:rPr>
          <w:color w:val="221F1F"/>
          <w:spacing w:val="-2"/>
        </w:rPr>
        <w:t xml:space="preserve"> </w:t>
      </w:r>
      <w:r>
        <w:rPr>
          <w:color w:val="221F1F"/>
        </w:rPr>
        <w:t>time</w:t>
      </w:r>
      <w:r>
        <w:rPr>
          <w:color w:val="221F1F"/>
          <w:spacing w:val="-2"/>
        </w:rPr>
        <w:t xml:space="preserve"> </w:t>
      </w:r>
      <w:r>
        <w:rPr>
          <w:color w:val="221F1F"/>
        </w:rPr>
        <w:t>and</w:t>
      </w:r>
      <w:r>
        <w:rPr>
          <w:color w:val="221F1F"/>
          <w:spacing w:val="-1"/>
        </w:rPr>
        <w:t xml:space="preserve"> </w:t>
      </w:r>
      <w:proofErr w:type="spellStart"/>
      <w:r>
        <w:rPr>
          <w:color w:val="221F1F"/>
        </w:rPr>
        <w:t>placef</w:t>
      </w:r>
      <w:proofErr w:type="spellEnd"/>
      <w:r>
        <w:rPr>
          <w:color w:val="221F1F"/>
          <w:spacing w:val="-1"/>
        </w:rPr>
        <w:t xml:space="preserve"> </w:t>
      </w:r>
      <w:proofErr w:type="spellStart"/>
      <w:r>
        <w:rPr>
          <w:color w:val="221F1F"/>
        </w:rPr>
        <w:t>ort he</w:t>
      </w:r>
      <w:proofErr w:type="spellEnd"/>
      <w:r>
        <w:rPr>
          <w:color w:val="221F1F"/>
          <w:spacing w:val="-2"/>
        </w:rPr>
        <w:t xml:space="preserve"> </w:t>
      </w:r>
      <w:r>
        <w:rPr>
          <w:color w:val="221F1F"/>
        </w:rPr>
        <w:t>specified testing of</w:t>
      </w:r>
      <w:r>
        <w:rPr>
          <w:color w:val="221F1F"/>
          <w:spacing w:val="-1"/>
        </w:rPr>
        <w:t xml:space="preserve"> </w:t>
      </w:r>
      <w:r>
        <w:rPr>
          <w:color w:val="221F1F"/>
        </w:rPr>
        <w:t>any Plant,</w:t>
      </w:r>
      <w:r>
        <w:rPr>
          <w:color w:val="221F1F"/>
          <w:spacing w:val="-2"/>
        </w:rPr>
        <w:t xml:space="preserve"> </w:t>
      </w:r>
      <w:r>
        <w:rPr>
          <w:color w:val="221F1F"/>
        </w:rPr>
        <w:t>Materials and other parts of the Works.</w:t>
      </w:r>
    </w:p>
    <w:p w:rsidR="007F6DF9" w:rsidRDefault="00A43FBC">
      <w:pPr>
        <w:pStyle w:val="ListParagraph"/>
        <w:numPr>
          <w:ilvl w:val="2"/>
          <w:numId w:val="122"/>
        </w:numPr>
        <w:tabs>
          <w:tab w:val="left" w:pos="1361"/>
          <w:tab w:val="left" w:pos="1371"/>
        </w:tabs>
        <w:spacing w:before="246" w:line="230" w:lineRule="auto"/>
        <w:ind w:left="1371" w:right="570" w:hanging="668"/>
        <w:jc w:val="both"/>
        <w:rPr>
          <w:color w:val="221F1F"/>
        </w:rPr>
      </w:pPr>
      <w:r>
        <w:rPr>
          <w:color w:val="221F1F"/>
        </w:rPr>
        <w:t>The Architect may, under Clause 13 [Variations and Adjustments], vary the location or details of specified tests, or instruct the Contractor to carry out additional tests. If these varied or additional tests show that the tested Plant, Materials or workmanship is not in accordance with the Contract, the cost of carrying out this Variation</w:t>
      </w:r>
      <w:r>
        <w:rPr>
          <w:color w:val="221F1F"/>
          <w:spacing w:val="-1"/>
        </w:rPr>
        <w:t xml:space="preserve"> </w:t>
      </w:r>
      <w:r>
        <w:rPr>
          <w:color w:val="221F1F"/>
        </w:rPr>
        <w:t xml:space="preserve">shall be borne by the Contractor, </w:t>
      </w:r>
      <w:proofErr w:type="spellStart"/>
      <w:r>
        <w:rPr>
          <w:color w:val="221F1F"/>
        </w:rPr>
        <w:t>not withstanding</w:t>
      </w:r>
      <w:proofErr w:type="spellEnd"/>
      <w:r>
        <w:rPr>
          <w:color w:val="221F1F"/>
        </w:rPr>
        <w:t xml:space="preserve"> other provisions of the Contract.</w:t>
      </w:r>
    </w:p>
    <w:p w:rsidR="007F6DF9" w:rsidRDefault="00A43FBC">
      <w:pPr>
        <w:pStyle w:val="ListParagraph"/>
        <w:numPr>
          <w:ilvl w:val="2"/>
          <w:numId w:val="122"/>
        </w:numPr>
        <w:tabs>
          <w:tab w:val="left" w:pos="1361"/>
          <w:tab w:val="left" w:pos="1371"/>
        </w:tabs>
        <w:spacing w:before="245" w:line="230" w:lineRule="auto"/>
        <w:ind w:left="1371" w:right="570" w:hanging="668"/>
        <w:jc w:val="both"/>
        <w:rPr>
          <w:color w:val="221F1F"/>
        </w:rPr>
      </w:pPr>
      <w:r>
        <w:rPr>
          <w:color w:val="221F1F"/>
        </w:rPr>
        <w:t>The Architect shall give the Contractor not less than 24 hours' notice of the Architect intention to attend the tests.</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does</w:t>
      </w:r>
      <w:r>
        <w:rPr>
          <w:color w:val="221F1F"/>
          <w:spacing w:val="-6"/>
        </w:rPr>
        <w:t xml:space="preserve"> </w:t>
      </w:r>
      <w:r>
        <w:rPr>
          <w:color w:val="221F1F"/>
        </w:rPr>
        <w:t>not</w:t>
      </w:r>
      <w:r>
        <w:rPr>
          <w:color w:val="221F1F"/>
          <w:spacing w:val="-4"/>
        </w:rPr>
        <w:t xml:space="preserve"> </w:t>
      </w:r>
      <w:r>
        <w:rPr>
          <w:color w:val="221F1F"/>
        </w:rPr>
        <w:t>attend</w:t>
      </w:r>
      <w:r>
        <w:rPr>
          <w:color w:val="221F1F"/>
          <w:spacing w:val="-4"/>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time</w:t>
      </w:r>
      <w:r>
        <w:rPr>
          <w:color w:val="221F1F"/>
          <w:spacing w:val="-4"/>
        </w:rPr>
        <w:t xml:space="preserve"> </w:t>
      </w:r>
      <w:r>
        <w:rPr>
          <w:color w:val="221F1F"/>
        </w:rPr>
        <w:t>and</w:t>
      </w:r>
      <w:r>
        <w:rPr>
          <w:color w:val="221F1F"/>
          <w:spacing w:val="-4"/>
        </w:rPr>
        <w:t xml:space="preserve"> </w:t>
      </w:r>
      <w:r>
        <w:rPr>
          <w:color w:val="221F1F"/>
        </w:rPr>
        <w:t>place</w:t>
      </w:r>
      <w:r>
        <w:rPr>
          <w:color w:val="221F1F"/>
          <w:spacing w:val="-4"/>
        </w:rPr>
        <w:t xml:space="preserve"> </w:t>
      </w:r>
      <w:r>
        <w:rPr>
          <w:color w:val="221F1F"/>
        </w:rPr>
        <w:t>agreed,</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may</w:t>
      </w:r>
      <w:r>
        <w:rPr>
          <w:color w:val="221F1F"/>
          <w:spacing w:val="-4"/>
        </w:rPr>
        <w:t xml:space="preserve"> </w:t>
      </w:r>
      <w:r>
        <w:rPr>
          <w:color w:val="221F1F"/>
        </w:rPr>
        <w:t>proceed</w:t>
      </w:r>
      <w:r>
        <w:rPr>
          <w:color w:val="221F1F"/>
          <w:spacing w:val="-4"/>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tests, unless otherwise instructed by the Engineer, and the tests shall then be deemed to have been made in the Architect presence.</w:t>
      </w:r>
    </w:p>
    <w:p w:rsidR="007F6DF9" w:rsidRDefault="00A43FBC">
      <w:pPr>
        <w:pStyle w:val="ListParagraph"/>
        <w:numPr>
          <w:ilvl w:val="2"/>
          <w:numId w:val="122"/>
        </w:numPr>
        <w:tabs>
          <w:tab w:val="left" w:pos="1368"/>
          <w:tab w:val="left" w:pos="1376"/>
        </w:tabs>
        <w:spacing w:before="130" w:line="230" w:lineRule="auto"/>
        <w:ind w:left="1376" w:right="565" w:hanging="668"/>
        <w:jc w:val="both"/>
        <w:rPr>
          <w:color w:val="221F1F"/>
        </w:rPr>
      </w:pPr>
      <w:r>
        <w:rPr>
          <w:color w:val="221F1F"/>
        </w:rPr>
        <w:t>If the Contractor suffers delay and/ or incurs Cost from complying with these instructions or as a result of a delay</w:t>
      </w:r>
      <w:r>
        <w:rPr>
          <w:color w:val="221F1F"/>
          <w:spacing w:val="-8"/>
        </w:rPr>
        <w:t xml:space="preserve"> </w:t>
      </w:r>
      <w:r>
        <w:rPr>
          <w:color w:val="221F1F"/>
        </w:rPr>
        <w:t>for</w:t>
      </w:r>
      <w:r>
        <w:rPr>
          <w:color w:val="221F1F"/>
          <w:spacing w:val="-5"/>
        </w:rPr>
        <w:t xml:space="preserve"> </w:t>
      </w:r>
      <w:r>
        <w:rPr>
          <w:color w:val="221F1F"/>
        </w:rPr>
        <w:t>which</w:t>
      </w:r>
      <w:r>
        <w:rPr>
          <w:color w:val="221F1F"/>
          <w:spacing w:val="-8"/>
        </w:rPr>
        <w:t xml:space="preserve"> </w:t>
      </w:r>
      <w:r>
        <w:rPr>
          <w:color w:val="221F1F"/>
        </w:rPr>
        <w:t>the</w:t>
      </w:r>
      <w:r>
        <w:rPr>
          <w:color w:val="221F1F"/>
          <w:spacing w:val="-4"/>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is</w:t>
      </w:r>
      <w:r>
        <w:rPr>
          <w:color w:val="221F1F"/>
          <w:spacing w:val="-5"/>
        </w:rPr>
        <w:t xml:space="preserve"> </w:t>
      </w:r>
      <w:r>
        <w:rPr>
          <w:color w:val="221F1F"/>
        </w:rPr>
        <w:t>responsible,</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give</w:t>
      </w:r>
      <w:r>
        <w:rPr>
          <w:color w:val="221F1F"/>
          <w:spacing w:val="-6"/>
        </w:rPr>
        <w:t xml:space="preserve"> </w:t>
      </w:r>
      <w:r>
        <w:rPr>
          <w:color w:val="221F1F"/>
        </w:rPr>
        <w:t>notice</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and</w:t>
      </w:r>
      <w:r>
        <w:rPr>
          <w:color w:val="221F1F"/>
          <w:spacing w:val="-8"/>
        </w:rPr>
        <w:t xml:space="preserve"> </w:t>
      </w:r>
      <w:r>
        <w:rPr>
          <w:color w:val="221F1F"/>
        </w:rPr>
        <w:t>shall be entitled subject to Sub-Clause 20.1 [Contractor's Claims] to:</w:t>
      </w:r>
    </w:p>
    <w:p w:rsidR="007F6DF9" w:rsidRDefault="00A43FBC">
      <w:pPr>
        <w:pStyle w:val="ListParagraph"/>
        <w:numPr>
          <w:ilvl w:val="0"/>
          <w:numId w:val="50"/>
        </w:numPr>
        <w:tabs>
          <w:tab w:val="left" w:pos="1861"/>
          <w:tab w:val="left" w:pos="1863"/>
        </w:tabs>
        <w:spacing w:before="48" w:line="232" w:lineRule="auto"/>
        <w:ind w:right="1035"/>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50"/>
        </w:numPr>
        <w:tabs>
          <w:tab w:val="left" w:pos="1862"/>
        </w:tabs>
        <w:spacing w:before="38"/>
        <w:ind w:left="1862" w:hanging="493"/>
        <w:jc w:val="both"/>
      </w:pPr>
      <w:r>
        <w:rPr>
          <w:color w:val="221F1F"/>
        </w:rPr>
        <w:t>payment</w:t>
      </w:r>
      <w:r>
        <w:rPr>
          <w:color w:val="221F1F"/>
          <w:spacing w:val="-5"/>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such</w:t>
      </w:r>
      <w:r>
        <w:rPr>
          <w:color w:val="221F1F"/>
          <w:spacing w:val="-3"/>
        </w:rPr>
        <w:t xml:space="preserve"> </w:t>
      </w:r>
      <w:r>
        <w:rPr>
          <w:color w:val="221F1F"/>
        </w:rPr>
        <w:t>Cost-plus</w:t>
      </w:r>
      <w:r>
        <w:rPr>
          <w:color w:val="221F1F"/>
          <w:spacing w:val="-4"/>
        </w:rPr>
        <w:t xml:space="preserve"> </w:t>
      </w:r>
      <w:r>
        <w:rPr>
          <w:color w:val="221F1F"/>
        </w:rPr>
        <w:t>profit,</w:t>
      </w:r>
      <w:r>
        <w:rPr>
          <w:color w:val="221F1F"/>
          <w:spacing w:val="-4"/>
        </w:rPr>
        <w:t xml:space="preserve"> </w:t>
      </w:r>
      <w:r>
        <w:rPr>
          <w:color w:val="221F1F"/>
        </w:rPr>
        <w:t>which</w:t>
      </w:r>
      <w:r>
        <w:rPr>
          <w:color w:val="221F1F"/>
          <w:spacing w:val="-4"/>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included</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Price.</w:t>
      </w:r>
    </w:p>
    <w:p w:rsidR="007F6DF9" w:rsidRDefault="00A43FBC">
      <w:pPr>
        <w:pStyle w:val="ListParagraph"/>
        <w:numPr>
          <w:ilvl w:val="2"/>
          <w:numId w:val="122"/>
        </w:numPr>
        <w:tabs>
          <w:tab w:val="left" w:pos="1383"/>
          <w:tab w:val="left" w:pos="1388"/>
        </w:tabs>
        <w:spacing w:before="240" w:line="232" w:lineRule="auto"/>
        <w:ind w:left="1388" w:right="566" w:hanging="680"/>
        <w:jc w:val="both"/>
        <w:rPr>
          <w:color w:val="221F1F"/>
        </w:rPr>
      </w:pPr>
      <w:r>
        <w:rPr>
          <w:color w:val="221F1F"/>
        </w:rPr>
        <w:t>After receiving this notice, the Architect shall proceed in accordance with Sub-Clause 3.5 [Determinations] to agree or determine these matters.</w:t>
      </w:r>
    </w:p>
    <w:p w:rsidR="007F6DF9" w:rsidRDefault="00A43FBC">
      <w:pPr>
        <w:pStyle w:val="ListParagraph"/>
        <w:numPr>
          <w:ilvl w:val="2"/>
          <w:numId w:val="122"/>
        </w:numPr>
        <w:tabs>
          <w:tab w:val="left" w:pos="1383"/>
          <w:tab w:val="left" w:pos="1388"/>
        </w:tabs>
        <w:spacing w:before="244" w:line="230" w:lineRule="auto"/>
        <w:ind w:left="1388" w:right="566" w:hanging="680"/>
        <w:jc w:val="both"/>
        <w:rPr>
          <w:color w:val="221F1F"/>
        </w:rPr>
      </w:pPr>
      <w:r>
        <w:rPr>
          <w:color w:val="221F1F"/>
        </w:rPr>
        <w:t>The Contractor shall promptly forward to the Architect</w:t>
      </w:r>
      <w:r>
        <w:rPr>
          <w:color w:val="221F1F"/>
          <w:spacing w:val="-1"/>
        </w:rPr>
        <w:t xml:space="preserve"> </w:t>
      </w:r>
      <w:r>
        <w:rPr>
          <w:color w:val="221F1F"/>
        </w:rPr>
        <w:t>duly certified reports of</w:t>
      </w:r>
      <w:r>
        <w:rPr>
          <w:color w:val="221F1F"/>
          <w:spacing w:val="-2"/>
        </w:rPr>
        <w:t xml:space="preserve"> </w:t>
      </w:r>
      <w:r>
        <w:rPr>
          <w:color w:val="221F1F"/>
        </w:rPr>
        <w:t xml:space="preserve">the tests. When </w:t>
      </w:r>
      <w:proofErr w:type="spellStart"/>
      <w:r>
        <w:rPr>
          <w:color w:val="221F1F"/>
        </w:rPr>
        <w:t>thespecified</w:t>
      </w:r>
      <w:proofErr w:type="spellEnd"/>
      <w:r>
        <w:rPr>
          <w:color w:val="221F1F"/>
        </w:rPr>
        <w:t xml:space="preserve"> tests have be </w:t>
      </w:r>
      <w:proofErr w:type="spellStart"/>
      <w:r>
        <w:rPr>
          <w:color w:val="221F1F"/>
        </w:rPr>
        <w:t>enpassed</w:t>
      </w:r>
      <w:proofErr w:type="spellEnd"/>
      <w:r>
        <w:rPr>
          <w:color w:val="221F1F"/>
        </w:rPr>
        <w:t>, the Architect shall endorse the Contractor's test certificate, or issue a certificate to him,</w:t>
      </w:r>
      <w:r>
        <w:rPr>
          <w:color w:val="221F1F"/>
          <w:spacing w:val="-13"/>
        </w:rPr>
        <w:t xml:space="preserve"> </w:t>
      </w:r>
      <w:r>
        <w:rPr>
          <w:color w:val="221F1F"/>
        </w:rPr>
        <w:t>to</w:t>
      </w:r>
      <w:r>
        <w:rPr>
          <w:color w:val="221F1F"/>
          <w:spacing w:val="-11"/>
        </w:rPr>
        <w:t xml:space="preserve"> </w:t>
      </w:r>
      <w:r>
        <w:rPr>
          <w:color w:val="221F1F"/>
        </w:rPr>
        <w:t>that</w:t>
      </w:r>
      <w:r>
        <w:rPr>
          <w:color w:val="221F1F"/>
          <w:spacing w:val="-9"/>
        </w:rPr>
        <w:t xml:space="preserve"> </w:t>
      </w:r>
      <w:r>
        <w:rPr>
          <w:color w:val="221F1F"/>
        </w:rPr>
        <w:t>effect.</w:t>
      </w:r>
      <w:r>
        <w:rPr>
          <w:color w:val="221F1F"/>
          <w:spacing w:val="-11"/>
        </w:rPr>
        <w:t xml:space="preserve"> </w:t>
      </w:r>
      <w:r>
        <w:rPr>
          <w:color w:val="221F1F"/>
        </w:rPr>
        <w:t>If</w:t>
      </w:r>
      <w:r>
        <w:rPr>
          <w:color w:val="221F1F"/>
          <w:spacing w:val="-10"/>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has</w:t>
      </w:r>
      <w:r>
        <w:rPr>
          <w:color w:val="221F1F"/>
          <w:spacing w:val="-10"/>
        </w:rPr>
        <w:t xml:space="preserve"> </w:t>
      </w:r>
      <w:r>
        <w:rPr>
          <w:color w:val="221F1F"/>
        </w:rPr>
        <w:t>not</w:t>
      </w:r>
      <w:r>
        <w:rPr>
          <w:color w:val="221F1F"/>
          <w:spacing w:val="-10"/>
        </w:rPr>
        <w:t xml:space="preserve"> </w:t>
      </w:r>
      <w:r>
        <w:rPr>
          <w:color w:val="221F1F"/>
        </w:rPr>
        <w:t>attended</w:t>
      </w:r>
      <w:r>
        <w:rPr>
          <w:color w:val="221F1F"/>
          <w:spacing w:val="-11"/>
        </w:rPr>
        <w:t xml:space="preserve"> </w:t>
      </w:r>
      <w:r>
        <w:rPr>
          <w:color w:val="221F1F"/>
        </w:rPr>
        <w:t>the</w:t>
      </w:r>
      <w:r>
        <w:rPr>
          <w:color w:val="221F1F"/>
          <w:spacing w:val="-13"/>
        </w:rPr>
        <w:t xml:space="preserve"> </w:t>
      </w:r>
      <w:r>
        <w:rPr>
          <w:color w:val="221F1F"/>
        </w:rPr>
        <w:t>tests,</w:t>
      </w:r>
      <w:r>
        <w:rPr>
          <w:color w:val="221F1F"/>
          <w:spacing w:val="-10"/>
        </w:rPr>
        <w:t xml:space="preserve"> </w:t>
      </w:r>
      <w:r>
        <w:rPr>
          <w:color w:val="221F1F"/>
        </w:rPr>
        <w:t>he</w:t>
      </w:r>
      <w:r>
        <w:rPr>
          <w:color w:val="221F1F"/>
          <w:spacing w:val="-11"/>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deemed</w:t>
      </w:r>
      <w:r>
        <w:rPr>
          <w:color w:val="221F1F"/>
          <w:spacing w:val="-11"/>
        </w:rPr>
        <w:t xml:space="preserve"> </w:t>
      </w:r>
      <w:r>
        <w:rPr>
          <w:color w:val="221F1F"/>
        </w:rPr>
        <w:t>to</w:t>
      </w:r>
      <w:r>
        <w:rPr>
          <w:color w:val="221F1F"/>
          <w:spacing w:val="-13"/>
        </w:rPr>
        <w:t xml:space="preserve"> </w:t>
      </w:r>
      <w:r>
        <w:rPr>
          <w:color w:val="221F1F"/>
        </w:rPr>
        <w:t>have</w:t>
      </w:r>
      <w:r>
        <w:rPr>
          <w:color w:val="221F1F"/>
          <w:spacing w:val="-10"/>
        </w:rPr>
        <w:t xml:space="preserve"> </w:t>
      </w:r>
      <w:r>
        <w:rPr>
          <w:color w:val="221F1F"/>
        </w:rPr>
        <w:t>accepted</w:t>
      </w:r>
      <w:r>
        <w:rPr>
          <w:color w:val="221F1F"/>
          <w:spacing w:val="-11"/>
        </w:rPr>
        <w:t xml:space="preserve"> </w:t>
      </w:r>
      <w:r>
        <w:rPr>
          <w:color w:val="221F1F"/>
        </w:rPr>
        <w:t>the</w:t>
      </w:r>
      <w:r>
        <w:rPr>
          <w:color w:val="221F1F"/>
          <w:spacing w:val="-11"/>
        </w:rPr>
        <w:t xml:space="preserve"> </w:t>
      </w:r>
      <w:r>
        <w:rPr>
          <w:color w:val="221F1F"/>
        </w:rPr>
        <w:t>readings as accurate.</w:t>
      </w:r>
    </w:p>
    <w:p w:rsidR="007F6DF9" w:rsidRDefault="00A43FBC">
      <w:pPr>
        <w:pStyle w:val="Heading9"/>
        <w:numPr>
          <w:ilvl w:val="1"/>
          <w:numId w:val="122"/>
        </w:numPr>
        <w:tabs>
          <w:tab w:val="left" w:pos="1383"/>
        </w:tabs>
        <w:spacing w:before="234"/>
        <w:ind w:left="1383" w:hanging="675"/>
        <w:rPr>
          <w:color w:val="221F1F"/>
        </w:rPr>
      </w:pPr>
      <w:r>
        <w:rPr>
          <w:color w:val="221F1F"/>
          <w:spacing w:val="-2"/>
        </w:rPr>
        <w:t>Rejection</w:t>
      </w:r>
    </w:p>
    <w:p w:rsidR="007F6DF9" w:rsidRDefault="00A43FBC">
      <w:pPr>
        <w:pStyle w:val="ListParagraph"/>
        <w:numPr>
          <w:ilvl w:val="2"/>
          <w:numId w:val="122"/>
        </w:numPr>
        <w:tabs>
          <w:tab w:val="left" w:pos="1383"/>
          <w:tab w:val="left" w:pos="1388"/>
        </w:tabs>
        <w:spacing w:before="243" w:line="230" w:lineRule="auto"/>
        <w:ind w:left="1388" w:right="562" w:hanging="680"/>
        <w:jc w:val="both"/>
        <w:rPr>
          <w:color w:val="221F1F"/>
        </w:rPr>
      </w:pPr>
      <w:r>
        <w:rPr>
          <w:color w:val="221F1F"/>
        </w:rPr>
        <w:t>If,</w:t>
      </w:r>
      <w:r>
        <w:rPr>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result of</w:t>
      </w:r>
      <w:r>
        <w:rPr>
          <w:color w:val="221F1F"/>
          <w:spacing w:val="-3"/>
        </w:rPr>
        <w:t xml:space="preserve"> </w:t>
      </w:r>
      <w:r>
        <w:rPr>
          <w:color w:val="221F1F"/>
        </w:rPr>
        <w:t>an</w:t>
      </w:r>
      <w:r>
        <w:rPr>
          <w:color w:val="221F1F"/>
          <w:spacing w:val="-1"/>
        </w:rPr>
        <w:t xml:space="preserve"> </w:t>
      </w:r>
      <w:r>
        <w:rPr>
          <w:color w:val="221F1F"/>
        </w:rPr>
        <w:t>examination,</w:t>
      </w:r>
      <w:r>
        <w:rPr>
          <w:color w:val="221F1F"/>
          <w:spacing w:val="-4"/>
        </w:rPr>
        <w:t xml:space="preserve"> </w:t>
      </w:r>
      <w:r>
        <w:rPr>
          <w:color w:val="221F1F"/>
        </w:rPr>
        <w:t>inspection,</w:t>
      </w:r>
      <w:r>
        <w:rPr>
          <w:color w:val="221F1F"/>
          <w:spacing w:val="-1"/>
        </w:rPr>
        <w:t xml:space="preserve"> </w:t>
      </w:r>
      <w:r>
        <w:rPr>
          <w:color w:val="221F1F"/>
        </w:rPr>
        <w:t>measurement or</w:t>
      </w:r>
      <w:r>
        <w:rPr>
          <w:color w:val="221F1F"/>
          <w:spacing w:val="-1"/>
        </w:rPr>
        <w:t xml:space="preserve"> </w:t>
      </w:r>
      <w:r>
        <w:rPr>
          <w:color w:val="221F1F"/>
        </w:rPr>
        <w:t>testing,</w:t>
      </w:r>
      <w:r>
        <w:rPr>
          <w:color w:val="221F1F"/>
          <w:spacing w:val="-1"/>
        </w:rPr>
        <w:t xml:space="preserve"> </w:t>
      </w:r>
      <w:r>
        <w:rPr>
          <w:color w:val="221F1F"/>
        </w:rPr>
        <w:t>any</w:t>
      </w:r>
      <w:r>
        <w:rPr>
          <w:color w:val="221F1F"/>
          <w:spacing w:val="-1"/>
        </w:rPr>
        <w:t xml:space="preserve"> </w:t>
      </w:r>
      <w:r>
        <w:rPr>
          <w:color w:val="221F1F"/>
        </w:rPr>
        <w:t>Plant,</w:t>
      </w:r>
      <w:r>
        <w:rPr>
          <w:color w:val="221F1F"/>
          <w:spacing w:val="-1"/>
        </w:rPr>
        <w:t xml:space="preserve"> </w:t>
      </w:r>
      <w:r>
        <w:rPr>
          <w:color w:val="221F1F"/>
        </w:rPr>
        <w:t>Materials</w:t>
      </w:r>
      <w:r>
        <w:rPr>
          <w:color w:val="221F1F"/>
          <w:spacing w:val="-1"/>
        </w:rPr>
        <w:t xml:space="preserve"> </w:t>
      </w:r>
      <w:r>
        <w:rPr>
          <w:color w:val="221F1F"/>
        </w:rPr>
        <w:t>or</w:t>
      </w:r>
      <w:r>
        <w:rPr>
          <w:color w:val="221F1F"/>
          <w:spacing w:val="-1"/>
        </w:rPr>
        <w:t xml:space="preserve"> </w:t>
      </w:r>
      <w:r>
        <w:rPr>
          <w:color w:val="221F1F"/>
        </w:rPr>
        <w:t>workmanship</w:t>
      </w:r>
      <w:r>
        <w:rPr>
          <w:color w:val="221F1F"/>
          <w:spacing w:val="-1"/>
        </w:rPr>
        <w:t xml:space="preserve"> </w:t>
      </w:r>
      <w:r>
        <w:rPr>
          <w:color w:val="221F1F"/>
        </w:rPr>
        <w:t>is found to be defective or otherwise not in accordance with the Contract, the Architect may reject the Plant, Materials or workmanship by giving notice to the Contractor, with reasons. The Contractor shall then promptly make good the defect and ensure that the rejected item complies with the Contract.</w:t>
      </w:r>
    </w:p>
    <w:p w:rsidR="007F6DF9" w:rsidRDefault="00A43FBC">
      <w:pPr>
        <w:pStyle w:val="ListParagraph"/>
        <w:numPr>
          <w:ilvl w:val="2"/>
          <w:numId w:val="122"/>
        </w:numPr>
        <w:tabs>
          <w:tab w:val="left" w:pos="1383"/>
          <w:tab w:val="left" w:pos="1388"/>
        </w:tabs>
        <w:spacing w:before="248" w:line="230" w:lineRule="auto"/>
        <w:ind w:left="1388" w:right="564" w:hanging="680"/>
        <w:jc w:val="both"/>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requires</w:t>
      </w:r>
      <w:r>
        <w:rPr>
          <w:color w:val="221F1F"/>
          <w:spacing w:val="-2"/>
        </w:rPr>
        <w:t xml:space="preserve"> </w:t>
      </w:r>
      <w:r>
        <w:rPr>
          <w:color w:val="221F1F"/>
        </w:rPr>
        <w:t>this</w:t>
      </w:r>
      <w:r>
        <w:rPr>
          <w:color w:val="221F1F"/>
          <w:spacing w:val="-3"/>
        </w:rPr>
        <w:t xml:space="preserve"> </w:t>
      </w:r>
      <w:r>
        <w:rPr>
          <w:color w:val="221F1F"/>
        </w:rPr>
        <w:t>Plant,</w:t>
      </w:r>
      <w:r>
        <w:rPr>
          <w:color w:val="221F1F"/>
          <w:spacing w:val="-3"/>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workmanship</w:t>
      </w:r>
      <w:r>
        <w:rPr>
          <w:color w:val="221F1F"/>
          <w:spacing w:val="-3"/>
        </w:rPr>
        <w:t xml:space="preserve"> </w:t>
      </w:r>
      <w:r>
        <w:rPr>
          <w:color w:val="221F1F"/>
        </w:rPr>
        <w:t>to</w:t>
      </w:r>
      <w:r>
        <w:rPr>
          <w:color w:val="221F1F"/>
          <w:spacing w:val="-4"/>
        </w:rPr>
        <w:t xml:space="preserve"> </w:t>
      </w:r>
      <w:r>
        <w:rPr>
          <w:color w:val="221F1F"/>
        </w:rPr>
        <w:t>be</w:t>
      </w:r>
      <w:r>
        <w:rPr>
          <w:color w:val="221F1F"/>
          <w:spacing w:val="-6"/>
        </w:rPr>
        <w:t xml:space="preserve"> </w:t>
      </w:r>
      <w:r>
        <w:rPr>
          <w:color w:val="221F1F"/>
        </w:rPr>
        <w:t>retested,</w:t>
      </w:r>
      <w:r>
        <w:rPr>
          <w:color w:val="221F1F"/>
          <w:spacing w:val="-5"/>
        </w:rPr>
        <w:t xml:space="preserve"> </w:t>
      </w:r>
      <w:r>
        <w:rPr>
          <w:color w:val="221F1F"/>
        </w:rPr>
        <w:t>the</w:t>
      </w:r>
      <w:r>
        <w:rPr>
          <w:color w:val="221F1F"/>
          <w:spacing w:val="-3"/>
        </w:rPr>
        <w:t xml:space="preserve"> </w:t>
      </w:r>
      <w:r>
        <w:rPr>
          <w:color w:val="221F1F"/>
        </w:rPr>
        <w:t>tests</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repeated</w:t>
      </w:r>
      <w:r>
        <w:rPr>
          <w:color w:val="221F1F"/>
          <w:spacing w:val="-3"/>
        </w:rPr>
        <w:t xml:space="preserve"> </w:t>
      </w:r>
      <w:r>
        <w:rPr>
          <w:color w:val="221F1F"/>
        </w:rPr>
        <w:t>under the same terms and conditions. If the rejection and retesting cause the Procuring Entity to incur additional costs, the Contractor shall subject to Sub-Clause 2.5 [Procuring Entity's Claims] pay these costs to the Procuring Entity.</w:t>
      </w:r>
    </w:p>
    <w:p w:rsidR="007F6DF9" w:rsidRDefault="00A43FBC">
      <w:pPr>
        <w:pStyle w:val="Heading9"/>
        <w:numPr>
          <w:ilvl w:val="1"/>
          <w:numId w:val="122"/>
        </w:numPr>
        <w:tabs>
          <w:tab w:val="left" w:pos="1383"/>
        </w:tabs>
        <w:spacing w:before="235"/>
        <w:ind w:left="1383" w:hanging="675"/>
        <w:rPr>
          <w:color w:val="221F1F"/>
        </w:rPr>
      </w:pPr>
      <w:r>
        <w:rPr>
          <w:color w:val="221F1F"/>
        </w:rPr>
        <w:t>Remedial</w:t>
      </w:r>
      <w:r>
        <w:rPr>
          <w:color w:val="221F1F"/>
          <w:spacing w:val="-3"/>
        </w:rPr>
        <w:t xml:space="preserve"> </w:t>
      </w:r>
      <w:r>
        <w:rPr>
          <w:color w:val="221F1F"/>
          <w:spacing w:val="-4"/>
        </w:rPr>
        <w:t>Work</w:t>
      </w:r>
    </w:p>
    <w:p w:rsidR="007F6DF9" w:rsidRDefault="00A43FBC">
      <w:pPr>
        <w:pStyle w:val="ListParagraph"/>
        <w:numPr>
          <w:ilvl w:val="2"/>
          <w:numId w:val="122"/>
        </w:numPr>
        <w:tabs>
          <w:tab w:val="left" w:pos="1383"/>
        </w:tabs>
        <w:spacing w:before="234" w:line="253" w:lineRule="exact"/>
        <w:ind w:left="1383" w:hanging="675"/>
        <w:rPr>
          <w:color w:val="221F1F"/>
        </w:rPr>
      </w:pPr>
      <w:proofErr w:type="spellStart"/>
      <w:r>
        <w:rPr>
          <w:color w:val="221F1F"/>
        </w:rPr>
        <w:t>Not</w:t>
      </w:r>
      <w:r>
        <w:rPr>
          <w:color w:val="221F1F"/>
          <w:spacing w:val="-4"/>
        </w:rPr>
        <w:t xml:space="preserve"> </w:t>
      </w:r>
      <w:r>
        <w:rPr>
          <w:color w:val="221F1F"/>
        </w:rPr>
        <w:t>withstanding</w:t>
      </w:r>
      <w:proofErr w:type="spellEnd"/>
      <w:r>
        <w:rPr>
          <w:color w:val="221F1F"/>
          <w:spacing w:val="-4"/>
        </w:rPr>
        <w:t xml:space="preserve"> </w:t>
      </w:r>
      <w:r>
        <w:rPr>
          <w:color w:val="221F1F"/>
        </w:rPr>
        <w:t>any</w:t>
      </w:r>
      <w:r>
        <w:rPr>
          <w:color w:val="221F1F"/>
          <w:spacing w:val="-4"/>
        </w:rPr>
        <w:t xml:space="preserve"> </w:t>
      </w:r>
      <w:r>
        <w:rPr>
          <w:color w:val="221F1F"/>
        </w:rPr>
        <w:t>previous</w:t>
      </w:r>
      <w:r>
        <w:rPr>
          <w:color w:val="221F1F"/>
          <w:spacing w:val="-4"/>
        </w:rPr>
        <w:t xml:space="preserve"> </w:t>
      </w:r>
      <w:r>
        <w:rPr>
          <w:color w:val="221F1F"/>
        </w:rPr>
        <w:t>test</w:t>
      </w:r>
      <w:r>
        <w:rPr>
          <w:color w:val="221F1F"/>
          <w:spacing w:val="-5"/>
        </w:rPr>
        <w:t xml:space="preserve"> </w:t>
      </w:r>
      <w:r>
        <w:rPr>
          <w:color w:val="221F1F"/>
        </w:rPr>
        <w:t>or</w:t>
      </w:r>
      <w:r>
        <w:rPr>
          <w:color w:val="221F1F"/>
          <w:spacing w:val="-6"/>
        </w:rPr>
        <w:t xml:space="preserve"> </w:t>
      </w:r>
      <w:r>
        <w:rPr>
          <w:color w:val="221F1F"/>
        </w:rPr>
        <w:t>certification,</w:t>
      </w:r>
      <w:r>
        <w:rPr>
          <w:color w:val="221F1F"/>
          <w:spacing w:val="-6"/>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may</w:t>
      </w:r>
      <w:r>
        <w:rPr>
          <w:color w:val="221F1F"/>
          <w:spacing w:val="-6"/>
        </w:rPr>
        <w:t xml:space="preserve"> </w:t>
      </w:r>
      <w:r>
        <w:rPr>
          <w:color w:val="221F1F"/>
        </w:rPr>
        <w:t>instruct</w:t>
      </w:r>
      <w:r>
        <w:rPr>
          <w:color w:val="221F1F"/>
          <w:spacing w:val="-5"/>
        </w:rPr>
        <w:t xml:space="preserve"> </w:t>
      </w:r>
      <w:r>
        <w:rPr>
          <w:color w:val="221F1F"/>
        </w:rPr>
        <w:t>the</w:t>
      </w:r>
      <w:r>
        <w:rPr>
          <w:color w:val="221F1F"/>
          <w:spacing w:val="-7"/>
        </w:rPr>
        <w:t xml:space="preserve"> </w:t>
      </w:r>
      <w:proofErr w:type="spellStart"/>
      <w:r>
        <w:rPr>
          <w:color w:val="221F1F"/>
          <w:spacing w:val="-2"/>
        </w:rPr>
        <w:t>Contractorto</w:t>
      </w:r>
      <w:proofErr w:type="spellEnd"/>
      <w:r>
        <w:rPr>
          <w:color w:val="221F1F"/>
          <w:spacing w:val="-2"/>
        </w:rPr>
        <w:t>:</w:t>
      </w:r>
    </w:p>
    <w:p w:rsidR="007F6DF9" w:rsidRDefault="00A43FBC">
      <w:pPr>
        <w:pStyle w:val="ListParagraph"/>
        <w:numPr>
          <w:ilvl w:val="0"/>
          <w:numId w:val="49"/>
        </w:numPr>
        <w:tabs>
          <w:tab w:val="left" w:pos="1868"/>
        </w:tabs>
        <w:spacing w:line="253" w:lineRule="exact"/>
      </w:pPr>
      <w:r>
        <w:rPr>
          <w:color w:val="221F1F"/>
        </w:rPr>
        <w:t>Remove</w:t>
      </w:r>
      <w:r>
        <w:rPr>
          <w:color w:val="221F1F"/>
          <w:spacing w:val="-4"/>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Site</w:t>
      </w:r>
      <w:r>
        <w:rPr>
          <w:color w:val="221F1F"/>
          <w:spacing w:val="-1"/>
        </w:rPr>
        <w:t xml:space="preserve"> </w:t>
      </w:r>
      <w:r>
        <w:rPr>
          <w:color w:val="221F1F"/>
        </w:rPr>
        <w:t>and</w:t>
      </w:r>
      <w:r>
        <w:rPr>
          <w:color w:val="221F1F"/>
          <w:spacing w:val="-2"/>
        </w:rPr>
        <w:t xml:space="preserve"> </w:t>
      </w:r>
      <w:r>
        <w:rPr>
          <w:color w:val="221F1F"/>
        </w:rPr>
        <w:t>replace</w:t>
      </w:r>
      <w:r>
        <w:rPr>
          <w:color w:val="221F1F"/>
          <w:spacing w:val="-1"/>
        </w:rPr>
        <w:t xml:space="preserve"> </w:t>
      </w:r>
      <w:r>
        <w:rPr>
          <w:color w:val="221F1F"/>
        </w:rPr>
        <w:t>any</w:t>
      </w:r>
      <w:r>
        <w:rPr>
          <w:color w:val="221F1F"/>
          <w:spacing w:val="-2"/>
        </w:rPr>
        <w:t xml:space="preserve"> </w:t>
      </w:r>
      <w:r>
        <w:rPr>
          <w:color w:val="221F1F"/>
        </w:rPr>
        <w:t>Plant</w:t>
      </w:r>
      <w:r>
        <w:rPr>
          <w:color w:val="221F1F"/>
          <w:spacing w:val="-3"/>
        </w:rPr>
        <w:t xml:space="preserve"> </w:t>
      </w:r>
      <w:r>
        <w:rPr>
          <w:color w:val="221F1F"/>
        </w:rPr>
        <w:t>or</w:t>
      </w:r>
      <w:r>
        <w:rPr>
          <w:color w:val="221F1F"/>
          <w:spacing w:val="-4"/>
        </w:rPr>
        <w:t xml:space="preserve"> </w:t>
      </w:r>
      <w:r>
        <w:rPr>
          <w:color w:val="221F1F"/>
        </w:rPr>
        <w:t>Materials</w:t>
      </w:r>
      <w:r>
        <w:rPr>
          <w:color w:val="221F1F"/>
          <w:spacing w:val="-1"/>
        </w:rPr>
        <w:t xml:space="preserve"> </w:t>
      </w:r>
      <w:r>
        <w:rPr>
          <w:color w:val="221F1F"/>
        </w:rPr>
        <w:t>which</w:t>
      </w:r>
      <w:r>
        <w:rPr>
          <w:color w:val="221F1F"/>
          <w:spacing w:val="-4"/>
        </w:rPr>
        <w:t xml:space="preserve"> </w:t>
      </w:r>
      <w:r>
        <w:rPr>
          <w:color w:val="221F1F"/>
        </w:rPr>
        <w:t>is</w:t>
      </w:r>
      <w:r>
        <w:rPr>
          <w:color w:val="221F1F"/>
          <w:spacing w:val="-2"/>
        </w:rPr>
        <w:t xml:space="preserve"> </w:t>
      </w:r>
      <w:r>
        <w:rPr>
          <w:color w:val="221F1F"/>
        </w:rPr>
        <w:t>not</w:t>
      </w:r>
      <w:r>
        <w:rPr>
          <w:color w:val="221F1F"/>
          <w:spacing w:val="-1"/>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spacing w:val="-2"/>
        </w:rPr>
        <w:t>Contract,</w:t>
      </w:r>
    </w:p>
    <w:p w:rsidR="007F6DF9" w:rsidRDefault="00A43FBC">
      <w:pPr>
        <w:pStyle w:val="ListParagraph"/>
        <w:numPr>
          <w:ilvl w:val="0"/>
          <w:numId w:val="49"/>
        </w:numPr>
        <w:tabs>
          <w:tab w:val="left" w:pos="1868"/>
        </w:tabs>
        <w:spacing w:before="2" w:line="249" w:lineRule="exact"/>
      </w:pPr>
      <w:r>
        <w:rPr>
          <w:color w:val="221F1F"/>
        </w:rPr>
        <w:t>remove</w:t>
      </w:r>
      <w:r>
        <w:rPr>
          <w:color w:val="221F1F"/>
          <w:spacing w:val="-5"/>
        </w:rPr>
        <w:t xml:space="preserve"> </w:t>
      </w:r>
      <w:r>
        <w:rPr>
          <w:color w:val="221F1F"/>
        </w:rPr>
        <w:t>and</w:t>
      </w:r>
      <w:r>
        <w:rPr>
          <w:color w:val="221F1F"/>
          <w:spacing w:val="-2"/>
        </w:rPr>
        <w:t xml:space="preserve"> </w:t>
      </w:r>
      <w:r>
        <w:rPr>
          <w:color w:val="221F1F"/>
        </w:rPr>
        <w:t>re-execute</w:t>
      </w:r>
      <w:r>
        <w:rPr>
          <w:color w:val="221F1F"/>
          <w:spacing w:val="-3"/>
        </w:rPr>
        <w:t xml:space="preserve"> </w:t>
      </w:r>
      <w:r>
        <w:rPr>
          <w:color w:val="221F1F"/>
        </w:rPr>
        <w:t>any</w:t>
      </w:r>
      <w:r>
        <w:rPr>
          <w:color w:val="221F1F"/>
          <w:spacing w:val="-4"/>
        </w:rPr>
        <w:t xml:space="preserve"> </w:t>
      </w:r>
      <w:r>
        <w:rPr>
          <w:color w:val="221F1F"/>
        </w:rPr>
        <w:t>other</w:t>
      </w:r>
      <w:r>
        <w:rPr>
          <w:color w:val="221F1F"/>
          <w:spacing w:val="-1"/>
        </w:rPr>
        <w:t xml:space="preserve"> </w:t>
      </w:r>
      <w:r>
        <w:rPr>
          <w:color w:val="221F1F"/>
        </w:rPr>
        <w:t>work</w:t>
      </w:r>
      <w:r>
        <w:rPr>
          <w:color w:val="221F1F"/>
          <w:spacing w:val="-2"/>
        </w:rPr>
        <w:t xml:space="preserve"> </w:t>
      </w:r>
      <w:r>
        <w:rPr>
          <w:color w:val="221F1F"/>
        </w:rPr>
        <w:t>which</w:t>
      </w:r>
      <w:r>
        <w:rPr>
          <w:color w:val="221F1F"/>
          <w:spacing w:val="-5"/>
        </w:rPr>
        <w:t xml:space="preserve"> </w:t>
      </w:r>
      <w:r>
        <w:rPr>
          <w:color w:val="221F1F"/>
        </w:rPr>
        <w:t>is</w:t>
      </w:r>
      <w:r>
        <w:rPr>
          <w:color w:val="221F1F"/>
          <w:spacing w:val="-4"/>
        </w:rPr>
        <w:t xml:space="preserve"> </w:t>
      </w:r>
      <w:r>
        <w:rPr>
          <w:color w:val="221F1F"/>
        </w:rPr>
        <w:t>not</w:t>
      </w:r>
      <w:r>
        <w:rPr>
          <w:color w:val="221F1F"/>
          <w:spacing w:val="-4"/>
        </w:rPr>
        <w:t xml:space="preserve"> </w:t>
      </w:r>
      <w:r>
        <w:rPr>
          <w:color w:val="221F1F"/>
        </w:rPr>
        <w:t>in</w:t>
      </w:r>
      <w:r>
        <w:rPr>
          <w:color w:val="221F1F"/>
          <w:spacing w:val="-5"/>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5"/>
        </w:rPr>
        <w:t>and</w:t>
      </w:r>
    </w:p>
    <w:p w:rsidR="007F6DF9" w:rsidRDefault="00A43FBC">
      <w:pPr>
        <w:pStyle w:val="ListParagraph"/>
        <w:numPr>
          <w:ilvl w:val="0"/>
          <w:numId w:val="49"/>
        </w:numPr>
        <w:tabs>
          <w:tab w:val="left" w:pos="1868"/>
          <w:tab w:val="left" w:pos="1870"/>
        </w:tabs>
        <w:spacing w:before="4" w:line="230" w:lineRule="auto"/>
        <w:ind w:left="1870" w:right="1222" w:hanging="488"/>
      </w:pPr>
      <w:r>
        <w:rPr>
          <w:color w:val="221F1F"/>
        </w:rPr>
        <w:t>execute</w:t>
      </w:r>
      <w:r>
        <w:rPr>
          <w:color w:val="221F1F"/>
          <w:spacing w:val="-1"/>
        </w:rPr>
        <w:t xml:space="preserve"> </w:t>
      </w:r>
      <w:r>
        <w:rPr>
          <w:color w:val="221F1F"/>
        </w:rPr>
        <w:t>any</w:t>
      </w:r>
      <w:r>
        <w:rPr>
          <w:color w:val="221F1F"/>
          <w:spacing w:val="-2"/>
        </w:rPr>
        <w:t xml:space="preserve"> </w:t>
      </w:r>
      <w:r>
        <w:rPr>
          <w:color w:val="221F1F"/>
        </w:rPr>
        <w:t>work</w:t>
      </w:r>
      <w:r>
        <w:rPr>
          <w:color w:val="221F1F"/>
          <w:spacing w:val="-4"/>
        </w:rPr>
        <w:t xml:space="preserve"> </w:t>
      </w:r>
      <w:r>
        <w:rPr>
          <w:color w:val="221F1F"/>
        </w:rPr>
        <w:t>which</w:t>
      </w:r>
      <w:r>
        <w:rPr>
          <w:color w:val="221F1F"/>
          <w:spacing w:val="-1"/>
        </w:rPr>
        <w:t xml:space="preserve"> </w:t>
      </w:r>
      <w:r>
        <w:rPr>
          <w:color w:val="221F1F"/>
        </w:rPr>
        <w:t>is</w:t>
      </w:r>
      <w:r>
        <w:rPr>
          <w:color w:val="221F1F"/>
          <w:spacing w:val="-7"/>
        </w:rPr>
        <w:t xml:space="preserve"> </w:t>
      </w:r>
      <w:r>
        <w:rPr>
          <w:color w:val="221F1F"/>
        </w:rPr>
        <w:t>urgently</w:t>
      </w:r>
      <w:r>
        <w:rPr>
          <w:color w:val="221F1F"/>
          <w:spacing w:val="-4"/>
        </w:rPr>
        <w:t xml:space="preserve"> </w:t>
      </w:r>
      <w:r>
        <w:rPr>
          <w:color w:val="221F1F"/>
        </w:rPr>
        <w:t>required</w:t>
      </w:r>
      <w:r>
        <w:rPr>
          <w:color w:val="221F1F"/>
          <w:spacing w:val="-4"/>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safety</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7"/>
        </w:rPr>
        <w:t xml:space="preserve"> </w:t>
      </w:r>
      <w:r>
        <w:rPr>
          <w:color w:val="221F1F"/>
        </w:rPr>
        <w:t>whether</w:t>
      </w:r>
      <w:r>
        <w:rPr>
          <w:color w:val="221F1F"/>
          <w:spacing w:val="-3"/>
        </w:rPr>
        <w:t xml:space="preserve"> </w:t>
      </w:r>
      <w:r>
        <w:rPr>
          <w:color w:val="221F1F"/>
        </w:rPr>
        <w:t>because</w:t>
      </w:r>
      <w:r>
        <w:rPr>
          <w:color w:val="221F1F"/>
          <w:spacing w:val="-1"/>
        </w:rPr>
        <w:t xml:space="preserve"> </w:t>
      </w:r>
      <w:r>
        <w:rPr>
          <w:color w:val="221F1F"/>
        </w:rPr>
        <w:t>of</w:t>
      </w:r>
      <w:r>
        <w:rPr>
          <w:color w:val="221F1F"/>
          <w:spacing w:val="-1"/>
        </w:rPr>
        <w:t xml:space="preserve"> </w:t>
      </w:r>
      <w:r>
        <w:rPr>
          <w:color w:val="221F1F"/>
        </w:rPr>
        <w:t>an accident, unforeseen able event or otherwise.</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A43FBC">
      <w:pPr>
        <w:pStyle w:val="ListParagraph"/>
        <w:numPr>
          <w:ilvl w:val="2"/>
          <w:numId w:val="122"/>
        </w:numPr>
        <w:tabs>
          <w:tab w:val="left" w:pos="1383"/>
          <w:tab w:val="left" w:pos="1388"/>
        </w:tabs>
        <w:spacing w:line="230" w:lineRule="auto"/>
        <w:ind w:left="1388" w:right="577" w:hanging="680"/>
        <w:jc w:val="both"/>
        <w:rPr>
          <w:color w:val="221F1F"/>
        </w:rPr>
      </w:pPr>
      <w:r>
        <w:rPr>
          <w:color w:val="221F1F"/>
        </w:rPr>
        <w:lastRenderedPageBreak/>
        <w:t>The Contractor shall comply with the instruction within a reasonable time, which shall be the time (if any) specified in the instruction, or immediately if urgency is specified under sub-paragraph (c).</w:t>
      </w:r>
    </w:p>
    <w:p w:rsidR="007F6DF9" w:rsidRDefault="00A43FBC">
      <w:pPr>
        <w:pStyle w:val="ListParagraph"/>
        <w:numPr>
          <w:ilvl w:val="2"/>
          <w:numId w:val="122"/>
        </w:numPr>
        <w:tabs>
          <w:tab w:val="left" w:pos="1383"/>
          <w:tab w:val="left" w:pos="1388"/>
        </w:tabs>
        <w:spacing w:before="243" w:line="230" w:lineRule="auto"/>
        <w:ind w:left="1388" w:right="564" w:hanging="680"/>
        <w:jc w:val="both"/>
        <w:rPr>
          <w:color w:val="221F1F"/>
        </w:rPr>
      </w:pPr>
      <w:r>
        <w:rPr>
          <w:color w:val="221F1F"/>
        </w:rPr>
        <w:t>If</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fails</w:t>
      </w:r>
      <w:r>
        <w:rPr>
          <w:color w:val="221F1F"/>
          <w:spacing w:val="-8"/>
        </w:rPr>
        <w:t xml:space="preserve"> </w:t>
      </w:r>
      <w:r>
        <w:rPr>
          <w:color w:val="221F1F"/>
        </w:rPr>
        <w:t>to</w:t>
      </w:r>
      <w:r>
        <w:rPr>
          <w:color w:val="221F1F"/>
          <w:spacing w:val="-8"/>
        </w:rPr>
        <w:t xml:space="preserve"> </w:t>
      </w:r>
      <w:r>
        <w:rPr>
          <w:color w:val="221F1F"/>
        </w:rPr>
        <w:t>comply</w:t>
      </w:r>
      <w:r>
        <w:rPr>
          <w:color w:val="221F1F"/>
          <w:spacing w:val="-5"/>
        </w:rPr>
        <w:t xml:space="preserve"> </w:t>
      </w:r>
      <w:r>
        <w:rPr>
          <w:color w:val="221F1F"/>
        </w:rPr>
        <w:t>with</w:t>
      </w:r>
      <w:r>
        <w:rPr>
          <w:color w:val="221F1F"/>
          <w:spacing w:val="-8"/>
        </w:rPr>
        <w:t xml:space="preserve"> </w:t>
      </w:r>
      <w:r>
        <w:rPr>
          <w:color w:val="221F1F"/>
        </w:rPr>
        <w:t>the</w:t>
      </w:r>
      <w:r>
        <w:rPr>
          <w:color w:val="221F1F"/>
          <w:spacing w:val="-8"/>
        </w:rPr>
        <w:t xml:space="preserve"> </w:t>
      </w:r>
      <w:r>
        <w:rPr>
          <w:color w:val="221F1F"/>
        </w:rPr>
        <w:t>instruction,</w:t>
      </w:r>
      <w:r>
        <w:rPr>
          <w:color w:val="221F1F"/>
          <w:spacing w:val="-8"/>
        </w:rPr>
        <w:t xml:space="preserve"> </w:t>
      </w:r>
      <w:r>
        <w:rPr>
          <w:color w:val="221F1F"/>
        </w:rPr>
        <w:t>the</w:t>
      </w:r>
      <w:r>
        <w:rPr>
          <w:color w:val="221F1F"/>
          <w:spacing w:val="-5"/>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entitled</w:t>
      </w:r>
      <w:r>
        <w:rPr>
          <w:color w:val="221F1F"/>
          <w:spacing w:val="-7"/>
        </w:rPr>
        <w:t xml:space="preserve"> </w:t>
      </w:r>
      <w:r>
        <w:rPr>
          <w:color w:val="221F1F"/>
        </w:rPr>
        <w:t>to</w:t>
      </w:r>
      <w:r>
        <w:rPr>
          <w:color w:val="221F1F"/>
          <w:spacing w:val="-8"/>
        </w:rPr>
        <w:t xml:space="preserve"> </w:t>
      </w:r>
      <w:r>
        <w:rPr>
          <w:color w:val="221F1F"/>
        </w:rPr>
        <w:t>employ</w:t>
      </w:r>
      <w:r>
        <w:rPr>
          <w:color w:val="221F1F"/>
          <w:spacing w:val="-8"/>
        </w:rPr>
        <w:t xml:space="preserve"> </w:t>
      </w:r>
      <w:r>
        <w:rPr>
          <w:color w:val="221F1F"/>
        </w:rPr>
        <w:t>and</w:t>
      </w:r>
      <w:r>
        <w:rPr>
          <w:color w:val="221F1F"/>
          <w:spacing w:val="-8"/>
        </w:rPr>
        <w:t xml:space="preserve"> </w:t>
      </w:r>
      <w:r>
        <w:rPr>
          <w:color w:val="221F1F"/>
        </w:rPr>
        <w:t>pay other persons to carry out the work. Except to the extent that the Contractor would have been entitled to payment for the work, the Contractor shall subject to Sub-Clause 2.5 [Procuring Entity's Claims] pay to the Procuring Entity all costs arising from this failure.</w:t>
      </w:r>
    </w:p>
    <w:p w:rsidR="007F6DF9" w:rsidRDefault="00A43FBC">
      <w:pPr>
        <w:pStyle w:val="ListParagraph"/>
        <w:numPr>
          <w:ilvl w:val="2"/>
          <w:numId w:val="122"/>
        </w:numPr>
        <w:tabs>
          <w:tab w:val="left" w:pos="1380"/>
          <w:tab w:val="left" w:pos="1388"/>
        </w:tabs>
        <w:spacing w:before="246" w:line="230" w:lineRule="auto"/>
        <w:ind w:left="1388" w:right="565" w:hanging="680"/>
        <w:jc w:val="both"/>
        <w:rPr>
          <w:color w:val="221F1F"/>
        </w:rPr>
      </w:pPr>
      <w:r>
        <w:rPr>
          <w:color w:val="221F1F"/>
        </w:rPr>
        <w:t>If the contractor repeatedly delivers defective work, the Procuring Entity may consider termination in accordance with Clause 15.</w:t>
      </w:r>
    </w:p>
    <w:p w:rsidR="007F6DF9" w:rsidRDefault="00A43FBC">
      <w:pPr>
        <w:pStyle w:val="Heading9"/>
        <w:numPr>
          <w:ilvl w:val="1"/>
          <w:numId w:val="122"/>
        </w:numPr>
        <w:tabs>
          <w:tab w:val="left" w:pos="1383"/>
        </w:tabs>
        <w:spacing w:before="236"/>
        <w:ind w:left="1383" w:hanging="675"/>
        <w:rPr>
          <w:color w:val="221F1F"/>
        </w:rPr>
      </w:pPr>
      <w:r>
        <w:rPr>
          <w:color w:val="221F1F"/>
        </w:rPr>
        <w:t>Ownership</w:t>
      </w:r>
      <w:r>
        <w:rPr>
          <w:color w:val="221F1F"/>
          <w:spacing w:val="-3"/>
        </w:rPr>
        <w:t xml:space="preserve"> </w:t>
      </w:r>
      <w:r>
        <w:rPr>
          <w:color w:val="221F1F"/>
        </w:rPr>
        <w:t>of</w:t>
      </w:r>
      <w:r>
        <w:rPr>
          <w:color w:val="221F1F"/>
          <w:spacing w:val="-2"/>
        </w:rPr>
        <w:t xml:space="preserve"> </w:t>
      </w:r>
      <w:r>
        <w:rPr>
          <w:color w:val="221F1F"/>
        </w:rPr>
        <w:t>Plant</w:t>
      </w:r>
      <w:r>
        <w:rPr>
          <w:color w:val="221F1F"/>
          <w:spacing w:val="-2"/>
        </w:rPr>
        <w:t xml:space="preserve"> </w:t>
      </w:r>
      <w:r>
        <w:rPr>
          <w:color w:val="221F1F"/>
        </w:rPr>
        <w:t>and</w:t>
      </w:r>
      <w:r>
        <w:rPr>
          <w:color w:val="221F1F"/>
          <w:spacing w:val="-5"/>
        </w:rPr>
        <w:t xml:space="preserve"> </w:t>
      </w:r>
      <w:r>
        <w:rPr>
          <w:color w:val="221F1F"/>
          <w:spacing w:val="-2"/>
        </w:rPr>
        <w:t>Materials</w:t>
      </w:r>
    </w:p>
    <w:p w:rsidR="007F6DF9" w:rsidRDefault="00A43FBC">
      <w:pPr>
        <w:pStyle w:val="BodyText"/>
        <w:spacing w:before="242" w:line="230" w:lineRule="auto"/>
        <w:ind w:left="1388" w:hanging="5"/>
      </w:pPr>
      <w:r>
        <w:rPr>
          <w:color w:val="221F1F"/>
        </w:rPr>
        <w:t>Except</w:t>
      </w:r>
      <w:r>
        <w:rPr>
          <w:color w:val="221F1F"/>
          <w:spacing w:val="-2"/>
        </w:rPr>
        <w:t xml:space="preserve"> </w:t>
      </w:r>
      <w:r>
        <w:rPr>
          <w:color w:val="221F1F"/>
        </w:rPr>
        <w:t>as</w:t>
      </w:r>
      <w:r>
        <w:rPr>
          <w:color w:val="221F1F"/>
          <w:spacing w:val="-1"/>
        </w:rPr>
        <w:t xml:space="preserve"> </w:t>
      </w:r>
      <w:r>
        <w:rPr>
          <w:color w:val="221F1F"/>
        </w:rPr>
        <w:t>otherwise provided in</w:t>
      </w:r>
      <w:r>
        <w:rPr>
          <w:color w:val="221F1F"/>
          <w:spacing w:val="-4"/>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each</w:t>
      </w:r>
      <w:r>
        <w:rPr>
          <w:color w:val="221F1F"/>
          <w:spacing w:val="-3"/>
        </w:rPr>
        <w:t xml:space="preserve"> </w:t>
      </w:r>
      <w:r>
        <w:rPr>
          <w:color w:val="221F1F"/>
        </w:rPr>
        <w:t>item of</w:t>
      </w:r>
      <w:r>
        <w:rPr>
          <w:color w:val="221F1F"/>
          <w:spacing w:val="-3"/>
        </w:rPr>
        <w:t xml:space="preserve"> </w:t>
      </w:r>
      <w:r>
        <w:rPr>
          <w:color w:val="221F1F"/>
        </w:rPr>
        <w:t>Plant and</w:t>
      </w:r>
      <w:r>
        <w:rPr>
          <w:color w:val="221F1F"/>
          <w:spacing w:val="-1"/>
        </w:rPr>
        <w:t xml:space="preserve"> </w:t>
      </w:r>
      <w:r>
        <w:rPr>
          <w:color w:val="221F1F"/>
        </w:rPr>
        <w:t>Materials shall</w:t>
      </w:r>
      <w:r>
        <w:rPr>
          <w:color w:val="221F1F"/>
          <w:spacing w:val="-2"/>
        </w:rPr>
        <w:t xml:space="preserve"> </w:t>
      </w:r>
      <w:r>
        <w:rPr>
          <w:color w:val="221F1F"/>
        </w:rPr>
        <w:t>become</w:t>
      </w:r>
      <w:r>
        <w:rPr>
          <w:color w:val="221F1F"/>
          <w:spacing w:val="-3"/>
        </w:rPr>
        <w:t xml:space="preserve"> </w:t>
      </w:r>
      <w:r>
        <w:rPr>
          <w:color w:val="221F1F"/>
        </w:rPr>
        <w:t>the</w:t>
      </w:r>
      <w:r>
        <w:rPr>
          <w:color w:val="221F1F"/>
          <w:spacing w:val="-3"/>
        </w:rPr>
        <w:t xml:space="preserve"> </w:t>
      </w:r>
      <w:r>
        <w:rPr>
          <w:color w:val="221F1F"/>
        </w:rPr>
        <w:t>property</w:t>
      </w:r>
      <w:r>
        <w:rPr>
          <w:color w:val="221F1F"/>
          <w:spacing w:val="-1"/>
        </w:rPr>
        <w:t xml:space="preserve"> </w:t>
      </w:r>
      <w:r>
        <w:rPr>
          <w:color w:val="221F1F"/>
        </w:rPr>
        <w:t>of the Procuring Entity at whichever is the earlier of the following times, free from liens and other encumbrances:</w:t>
      </w:r>
    </w:p>
    <w:p w:rsidR="007F6DF9" w:rsidRDefault="00A43FBC">
      <w:pPr>
        <w:pStyle w:val="ListParagraph"/>
        <w:numPr>
          <w:ilvl w:val="0"/>
          <w:numId w:val="103"/>
        </w:numPr>
        <w:tabs>
          <w:tab w:val="left" w:pos="1863"/>
        </w:tabs>
        <w:spacing w:before="41"/>
      </w:pPr>
      <w:r>
        <w:rPr>
          <w:color w:val="221F1F"/>
        </w:rPr>
        <w:t>When</w:t>
      </w:r>
      <w:r>
        <w:rPr>
          <w:color w:val="221F1F"/>
          <w:spacing w:val="-3"/>
        </w:rPr>
        <w:t xml:space="preserve"> </w:t>
      </w:r>
      <w:r>
        <w:rPr>
          <w:color w:val="221F1F"/>
        </w:rPr>
        <w:t>it</w:t>
      </w:r>
      <w:r>
        <w:rPr>
          <w:color w:val="221F1F"/>
          <w:spacing w:val="-2"/>
        </w:rPr>
        <w:t xml:space="preserve"> </w:t>
      </w:r>
      <w:r>
        <w:rPr>
          <w:color w:val="221F1F"/>
        </w:rPr>
        <w:t>is</w:t>
      </w:r>
      <w:r>
        <w:rPr>
          <w:color w:val="221F1F"/>
          <w:spacing w:val="-3"/>
        </w:rPr>
        <w:t xml:space="preserve"> </w:t>
      </w:r>
      <w:r>
        <w:rPr>
          <w:color w:val="221F1F"/>
        </w:rPr>
        <w:t xml:space="preserve">in </w:t>
      </w:r>
      <w:proofErr w:type="spellStart"/>
      <w:r>
        <w:rPr>
          <w:color w:val="221F1F"/>
        </w:rPr>
        <w:t>corporated</w:t>
      </w:r>
      <w:proofErr w:type="spellEnd"/>
      <w:r>
        <w:rPr>
          <w:color w:val="221F1F"/>
          <w:spacing w:val="-2"/>
        </w:rPr>
        <w:t xml:space="preserve"> </w:t>
      </w:r>
      <w:r>
        <w:rPr>
          <w:color w:val="221F1F"/>
        </w:rPr>
        <w:t>in</w:t>
      </w:r>
      <w:r>
        <w:rPr>
          <w:color w:val="221F1F"/>
          <w:spacing w:val="-3"/>
        </w:rPr>
        <w:t xml:space="preserve"> </w:t>
      </w:r>
      <w:r>
        <w:rPr>
          <w:color w:val="221F1F"/>
        </w:rPr>
        <w:t>the</w:t>
      </w:r>
      <w:r>
        <w:rPr>
          <w:color w:val="221F1F"/>
          <w:spacing w:val="-2"/>
        </w:rPr>
        <w:t xml:space="preserve"> Works;</w:t>
      </w:r>
    </w:p>
    <w:p w:rsidR="007F6DF9" w:rsidRDefault="00A43FBC">
      <w:pPr>
        <w:pStyle w:val="ListParagraph"/>
        <w:numPr>
          <w:ilvl w:val="0"/>
          <w:numId w:val="103"/>
        </w:numPr>
        <w:tabs>
          <w:tab w:val="left" w:pos="1863"/>
        </w:tabs>
        <w:spacing w:before="48" w:line="230" w:lineRule="auto"/>
        <w:ind w:right="625"/>
      </w:pPr>
      <w:r>
        <w:rPr>
          <w:color w:val="221F1F"/>
        </w:rPr>
        <w:t>when</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is</w:t>
      </w:r>
      <w:r>
        <w:rPr>
          <w:color w:val="221F1F"/>
          <w:spacing w:val="-2"/>
        </w:rPr>
        <w:t xml:space="preserve"> </w:t>
      </w:r>
      <w:r>
        <w:rPr>
          <w:color w:val="221F1F"/>
        </w:rPr>
        <w:t>paid</w:t>
      </w:r>
      <w:r>
        <w:rPr>
          <w:color w:val="221F1F"/>
          <w:spacing w:val="-5"/>
        </w:rPr>
        <w:t xml:space="preserve"> </w:t>
      </w:r>
      <w:r>
        <w:rPr>
          <w:color w:val="221F1F"/>
        </w:rPr>
        <w:t>the</w:t>
      </w:r>
      <w:r>
        <w:rPr>
          <w:color w:val="221F1F"/>
          <w:spacing w:val="-2"/>
        </w:rPr>
        <w:t xml:space="preserve"> </w:t>
      </w:r>
      <w:r>
        <w:rPr>
          <w:color w:val="221F1F"/>
        </w:rPr>
        <w:t>corresponding</w:t>
      </w:r>
      <w:r>
        <w:rPr>
          <w:color w:val="221F1F"/>
          <w:spacing w:val="-2"/>
        </w:rPr>
        <w:t xml:space="preserve"> </w:t>
      </w:r>
      <w:r>
        <w:rPr>
          <w:color w:val="221F1F"/>
        </w:rPr>
        <w:t>value</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rPr>
        <w:t>Materials</w:t>
      </w:r>
      <w:r>
        <w:rPr>
          <w:color w:val="221F1F"/>
          <w:spacing w:val="-4"/>
        </w:rPr>
        <w:t xml:space="preserve"> </w:t>
      </w:r>
      <w:r>
        <w:rPr>
          <w:color w:val="221F1F"/>
        </w:rPr>
        <w:t>under Sub-Clause</w:t>
      </w:r>
      <w:r>
        <w:rPr>
          <w:color w:val="221F1F"/>
          <w:spacing w:val="-4"/>
        </w:rPr>
        <w:t xml:space="preserve"> </w:t>
      </w:r>
      <w:r>
        <w:rPr>
          <w:color w:val="221F1F"/>
        </w:rPr>
        <w:t>8.10 [Payment for Plant and Materials in Event of Suspension].</w:t>
      </w:r>
    </w:p>
    <w:p w:rsidR="007F6DF9" w:rsidRDefault="00A43FBC">
      <w:pPr>
        <w:pStyle w:val="Heading9"/>
        <w:numPr>
          <w:ilvl w:val="1"/>
          <w:numId w:val="122"/>
        </w:numPr>
        <w:tabs>
          <w:tab w:val="left" w:pos="1383"/>
        </w:tabs>
        <w:spacing w:before="237"/>
        <w:ind w:left="1383" w:hanging="675"/>
        <w:rPr>
          <w:color w:val="221F1F"/>
        </w:rPr>
      </w:pPr>
      <w:r>
        <w:rPr>
          <w:color w:val="221F1F"/>
          <w:spacing w:val="-2"/>
        </w:rPr>
        <w:t>Royalties</w:t>
      </w:r>
    </w:p>
    <w:p w:rsidR="007F6DF9" w:rsidRDefault="00A43FBC">
      <w:pPr>
        <w:pStyle w:val="BodyText"/>
        <w:spacing w:before="234"/>
        <w:ind w:left="1383"/>
        <w:jc w:val="both"/>
      </w:pPr>
      <w:r>
        <w:rPr>
          <w:color w:val="221F1F"/>
        </w:rPr>
        <w:t>Unless</w:t>
      </w:r>
      <w:r>
        <w:rPr>
          <w:color w:val="221F1F"/>
          <w:spacing w:val="-6"/>
        </w:rPr>
        <w:t xml:space="preserve"> </w:t>
      </w:r>
      <w:r>
        <w:rPr>
          <w:color w:val="221F1F"/>
        </w:rPr>
        <w:t>otherwise</w:t>
      </w:r>
      <w:r>
        <w:rPr>
          <w:color w:val="221F1F"/>
          <w:spacing w:val="-6"/>
        </w:rPr>
        <w:t xml:space="preserve"> </w:t>
      </w:r>
      <w:r>
        <w:rPr>
          <w:color w:val="221F1F"/>
        </w:rPr>
        <w:t>stated</w:t>
      </w:r>
      <w:r>
        <w:rPr>
          <w:color w:val="221F1F"/>
          <w:spacing w:val="-6"/>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Specification,</w:t>
      </w:r>
      <w:r>
        <w:rPr>
          <w:color w:val="221F1F"/>
          <w:spacing w:val="-7"/>
        </w:rPr>
        <w:t xml:space="preserve"> </w:t>
      </w:r>
      <w:r>
        <w:rPr>
          <w:color w:val="221F1F"/>
        </w:rPr>
        <w:t>the</w:t>
      </w:r>
      <w:r>
        <w:rPr>
          <w:color w:val="221F1F"/>
          <w:spacing w:val="-3"/>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pay</w:t>
      </w:r>
      <w:r>
        <w:rPr>
          <w:color w:val="221F1F"/>
          <w:spacing w:val="-5"/>
        </w:rPr>
        <w:t xml:space="preserve"> </w:t>
      </w:r>
      <w:r>
        <w:rPr>
          <w:color w:val="221F1F"/>
        </w:rPr>
        <w:t>all</w:t>
      </w:r>
      <w:r>
        <w:rPr>
          <w:color w:val="221F1F"/>
          <w:spacing w:val="-3"/>
        </w:rPr>
        <w:t xml:space="preserve"> </w:t>
      </w:r>
      <w:r>
        <w:rPr>
          <w:color w:val="221F1F"/>
        </w:rPr>
        <w:t>royalties,</w:t>
      </w:r>
      <w:r>
        <w:rPr>
          <w:color w:val="221F1F"/>
          <w:spacing w:val="-7"/>
        </w:rPr>
        <w:t xml:space="preserve"> </w:t>
      </w:r>
      <w:r>
        <w:rPr>
          <w:color w:val="221F1F"/>
        </w:rPr>
        <w:t>rents</w:t>
      </w:r>
      <w:r>
        <w:rPr>
          <w:color w:val="221F1F"/>
          <w:spacing w:val="-6"/>
        </w:rPr>
        <w:t xml:space="preserve"> </w:t>
      </w:r>
      <w:r>
        <w:rPr>
          <w:color w:val="221F1F"/>
        </w:rPr>
        <w:t>and</w:t>
      </w:r>
      <w:r>
        <w:rPr>
          <w:color w:val="221F1F"/>
          <w:spacing w:val="-3"/>
        </w:rPr>
        <w:t xml:space="preserve"> </w:t>
      </w:r>
      <w:r>
        <w:rPr>
          <w:color w:val="221F1F"/>
        </w:rPr>
        <w:t>other</w:t>
      </w:r>
      <w:r>
        <w:rPr>
          <w:color w:val="221F1F"/>
          <w:spacing w:val="-4"/>
        </w:rPr>
        <w:t xml:space="preserve"> </w:t>
      </w:r>
      <w:r>
        <w:rPr>
          <w:color w:val="221F1F"/>
        </w:rPr>
        <w:t>payments</w:t>
      </w:r>
      <w:r>
        <w:rPr>
          <w:color w:val="221F1F"/>
          <w:spacing w:val="-4"/>
        </w:rPr>
        <w:t xml:space="preserve"> for:</w:t>
      </w:r>
    </w:p>
    <w:p w:rsidR="007F6DF9" w:rsidRDefault="00A43FBC">
      <w:pPr>
        <w:pStyle w:val="ListParagraph"/>
        <w:numPr>
          <w:ilvl w:val="0"/>
          <w:numId w:val="102"/>
        </w:numPr>
        <w:tabs>
          <w:tab w:val="left" w:pos="1866"/>
        </w:tabs>
        <w:spacing w:before="40"/>
        <w:ind w:left="1866" w:hanging="483"/>
        <w:jc w:val="both"/>
      </w:pPr>
      <w:r>
        <w:rPr>
          <w:color w:val="221F1F"/>
        </w:rPr>
        <w:t>Natural</w:t>
      </w:r>
      <w:r>
        <w:rPr>
          <w:color w:val="221F1F"/>
          <w:spacing w:val="-6"/>
        </w:rPr>
        <w:t xml:space="preserve"> </w:t>
      </w:r>
      <w:r>
        <w:rPr>
          <w:color w:val="221F1F"/>
        </w:rPr>
        <w:t>materials</w:t>
      </w:r>
      <w:r>
        <w:rPr>
          <w:color w:val="221F1F"/>
          <w:spacing w:val="-3"/>
        </w:rPr>
        <w:t xml:space="preserve"> </w:t>
      </w:r>
      <w:r>
        <w:rPr>
          <w:color w:val="221F1F"/>
        </w:rPr>
        <w:t>obtained</w:t>
      </w:r>
      <w:r>
        <w:rPr>
          <w:color w:val="221F1F"/>
          <w:spacing w:val="-6"/>
        </w:rPr>
        <w:t xml:space="preserve"> </w:t>
      </w:r>
      <w:r>
        <w:rPr>
          <w:color w:val="221F1F"/>
        </w:rPr>
        <w:t>from</w:t>
      </w:r>
      <w:r>
        <w:rPr>
          <w:color w:val="221F1F"/>
          <w:spacing w:val="-3"/>
        </w:rPr>
        <w:t xml:space="preserve"> </w:t>
      </w:r>
      <w:r>
        <w:rPr>
          <w:color w:val="221F1F"/>
        </w:rPr>
        <w:t>outside</w:t>
      </w:r>
      <w:r>
        <w:rPr>
          <w:color w:val="221F1F"/>
          <w:spacing w:val="-6"/>
        </w:rPr>
        <w:t xml:space="preserve"> </w:t>
      </w:r>
      <w:r>
        <w:rPr>
          <w:color w:val="221F1F"/>
        </w:rPr>
        <w:t>the</w:t>
      </w:r>
      <w:r>
        <w:rPr>
          <w:color w:val="221F1F"/>
          <w:spacing w:val="-4"/>
        </w:rPr>
        <w:t xml:space="preserve"> </w:t>
      </w:r>
      <w:r>
        <w:rPr>
          <w:color w:val="221F1F"/>
        </w:rPr>
        <w:t>Site,</w:t>
      </w:r>
      <w:r>
        <w:rPr>
          <w:color w:val="221F1F"/>
          <w:spacing w:val="-3"/>
        </w:rPr>
        <w:t xml:space="preserve"> </w:t>
      </w:r>
      <w:r>
        <w:rPr>
          <w:color w:val="221F1F"/>
          <w:spacing w:val="-5"/>
        </w:rPr>
        <w:t>and</w:t>
      </w:r>
    </w:p>
    <w:p w:rsidR="007F6DF9" w:rsidRDefault="00A43FBC">
      <w:pPr>
        <w:pStyle w:val="ListParagraph"/>
        <w:numPr>
          <w:ilvl w:val="0"/>
          <w:numId w:val="102"/>
        </w:numPr>
        <w:tabs>
          <w:tab w:val="left" w:pos="1865"/>
          <w:tab w:val="left" w:pos="1870"/>
        </w:tabs>
        <w:spacing w:before="48" w:line="230" w:lineRule="auto"/>
        <w:ind w:left="1870" w:right="1145" w:hanging="488"/>
        <w:jc w:val="both"/>
      </w:pPr>
      <w:proofErr w:type="spellStart"/>
      <w:r>
        <w:rPr>
          <w:color w:val="221F1F"/>
        </w:rPr>
        <w:t>thedisposal</w:t>
      </w:r>
      <w:proofErr w:type="spellEnd"/>
      <w:r>
        <w:rPr>
          <w:color w:val="221F1F"/>
          <w:spacing w:val="-1"/>
        </w:rPr>
        <w:t xml:space="preserve"> </w:t>
      </w:r>
      <w:r>
        <w:rPr>
          <w:color w:val="221F1F"/>
        </w:rPr>
        <w:t>of</w:t>
      </w:r>
      <w:r>
        <w:rPr>
          <w:color w:val="221F1F"/>
          <w:spacing w:val="-4"/>
        </w:rPr>
        <w:t xml:space="preserve"> </w:t>
      </w:r>
      <w:r>
        <w:rPr>
          <w:color w:val="221F1F"/>
        </w:rPr>
        <w:t>material</w:t>
      </w:r>
      <w:r>
        <w:rPr>
          <w:color w:val="221F1F"/>
          <w:spacing w:val="-2"/>
        </w:rPr>
        <w:t xml:space="preserve"> </w:t>
      </w:r>
      <w:r>
        <w:rPr>
          <w:color w:val="221F1F"/>
        </w:rPr>
        <w:t>from</w:t>
      </w:r>
      <w:r>
        <w:rPr>
          <w:color w:val="221F1F"/>
          <w:spacing w:val="-1"/>
        </w:rPr>
        <w:t xml:space="preserve"> </w:t>
      </w:r>
      <w:r>
        <w:rPr>
          <w:color w:val="221F1F"/>
        </w:rPr>
        <w:t>demolitions</w:t>
      </w:r>
      <w:r>
        <w:rPr>
          <w:color w:val="221F1F"/>
          <w:spacing w:val="-2"/>
        </w:rPr>
        <w:t xml:space="preserve"> </w:t>
      </w:r>
      <w:r>
        <w:rPr>
          <w:color w:val="221F1F"/>
        </w:rPr>
        <w:t>and</w:t>
      </w:r>
      <w:r>
        <w:rPr>
          <w:color w:val="221F1F"/>
          <w:spacing w:val="-2"/>
        </w:rPr>
        <w:t xml:space="preserve"> </w:t>
      </w:r>
      <w:r>
        <w:rPr>
          <w:color w:val="221F1F"/>
        </w:rPr>
        <w:t>excavations</w:t>
      </w:r>
      <w:r>
        <w:rPr>
          <w:color w:val="221F1F"/>
          <w:spacing w:val="-1"/>
        </w:rPr>
        <w:t xml:space="preserve"> </w:t>
      </w:r>
      <w:r>
        <w:rPr>
          <w:color w:val="221F1F"/>
        </w:rPr>
        <w:t>and</w:t>
      </w:r>
      <w:r>
        <w:rPr>
          <w:color w:val="221F1F"/>
          <w:spacing w:val="-4"/>
        </w:rPr>
        <w:t xml:space="preserve"> </w:t>
      </w:r>
      <w:r>
        <w:rPr>
          <w:color w:val="221F1F"/>
        </w:rPr>
        <w:t>of</w:t>
      </w:r>
      <w:r>
        <w:rPr>
          <w:color w:val="221F1F"/>
          <w:spacing w:val="-1"/>
        </w:rPr>
        <w:t xml:space="preserve"> </w:t>
      </w:r>
      <w:r>
        <w:rPr>
          <w:color w:val="221F1F"/>
        </w:rPr>
        <w:t>other</w:t>
      </w:r>
      <w:r>
        <w:rPr>
          <w:color w:val="221F1F"/>
          <w:spacing w:val="-2"/>
        </w:rPr>
        <w:t xml:space="preserve"> </w:t>
      </w:r>
      <w:r>
        <w:rPr>
          <w:color w:val="221F1F"/>
        </w:rPr>
        <w:t>surplus</w:t>
      </w:r>
      <w:r>
        <w:rPr>
          <w:color w:val="221F1F"/>
          <w:spacing w:val="-3"/>
        </w:rPr>
        <w:t xml:space="preserve"> </w:t>
      </w:r>
      <w:r>
        <w:rPr>
          <w:color w:val="221F1F"/>
        </w:rPr>
        <w:t>material</w:t>
      </w:r>
      <w:r>
        <w:rPr>
          <w:color w:val="221F1F"/>
          <w:spacing w:val="-1"/>
        </w:rPr>
        <w:t xml:space="preserve"> </w:t>
      </w:r>
      <w:r>
        <w:rPr>
          <w:color w:val="221F1F"/>
        </w:rPr>
        <w:t>(whether natural</w:t>
      </w:r>
      <w:r>
        <w:rPr>
          <w:color w:val="221F1F"/>
          <w:spacing w:val="-3"/>
        </w:rPr>
        <w:t xml:space="preserve"> </w:t>
      </w:r>
      <w:proofErr w:type="spellStart"/>
      <w:r>
        <w:rPr>
          <w:color w:val="221F1F"/>
        </w:rPr>
        <w:t>orman</w:t>
      </w:r>
      <w:proofErr w:type="spellEnd"/>
      <w:r>
        <w:rPr>
          <w:color w:val="221F1F"/>
        </w:rPr>
        <w:t>-made),</w:t>
      </w:r>
      <w:r>
        <w:rPr>
          <w:color w:val="221F1F"/>
          <w:spacing w:val="-1"/>
        </w:rPr>
        <w:t xml:space="preserve"> </w:t>
      </w:r>
      <w:r>
        <w:rPr>
          <w:color w:val="221F1F"/>
        </w:rPr>
        <w:t>except</w:t>
      </w:r>
      <w:r>
        <w:rPr>
          <w:color w:val="221F1F"/>
          <w:spacing w:val="-1"/>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extent</w:t>
      </w:r>
      <w:r>
        <w:rPr>
          <w:color w:val="221F1F"/>
          <w:spacing w:val="-1"/>
        </w:rPr>
        <w:t xml:space="preserve"> </w:t>
      </w:r>
      <w:r>
        <w:rPr>
          <w:color w:val="221F1F"/>
        </w:rPr>
        <w:t>that</w:t>
      </w:r>
      <w:r>
        <w:rPr>
          <w:color w:val="221F1F"/>
          <w:spacing w:val="-3"/>
        </w:rPr>
        <w:t xml:space="preserve"> </w:t>
      </w:r>
      <w:r>
        <w:rPr>
          <w:color w:val="221F1F"/>
        </w:rPr>
        <w:t>disposal</w:t>
      </w:r>
      <w:r>
        <w:rPr>
          <w:color w:val="221F1F"/>
          <w:spacing w:val="-1"/>
        </w:rPr>
        <w:t xml:space="preserve"> </w:t>
      </w:r>
      <w:proofErr w:type="gramStart"/>
      <w:r>
        <w:rPr>
          <w:color w:val="221F1F"/>
        </w:rPr>
        <w:t>are</w:t>
      </w:r>
      <w:proofErr w:type="gramEnd"/>
      <w:r>
        <w:rPr>
          <w:color w:val="221F1F"/>
          <w:spacing w:val="-2"/>
        </w:rPr>
        <w:t xml:space="preserve"> </w:t>
      </w:r>
      <w:r>
        <w:rPr>
          <w:color w:val="221F1F"/>
        </w:rPr>
        <w:t>as</w:t>
      </w:r>
      <w:r>
        <w:rPr>
          <w:color w:val="221F1F"/>
          <w:spacing w:val="-4"/>
        </w:rPr>
        <w:t xml:space="preserve"> </w:t>
      </w:r>
      <w:r>
        <w:rPr>
          <w:color w:val="221F1F"/>
        </w:rPr>
        <w:t>within</w:t>
      </w:r>
      <w:r>
        <w:rPr>
          <w:color w:val="221F1F"/>
          <w:spacing w:val="-4"/>
        </w:rPr>
        <w:t xml:space="preserve"> </w:t>
      </w:r>
      <w:r>
        <w:rPr>
          <w:color w:val="221F1F"/>
        </w:rPr>
        <w:t>the</w:t>
      </w:r>
      <w:r>
        <w:rPr>
          <w:color w:val="221F1F"/>
          <w:spacing w:val="-2"/>
        </w:rPr>
        <w:t xml:space="preserve"> </w:t>
      </w:r>
      <w:r>
        <w:rPr>
          <w:color w:val="221F1F"/>
        </w:rPr>
        <w:t>Site</w:t>
      </w:r>
      <w:r>
        <w:rPr>
          <w:color w:val="221F1F"/>
          <w:spacing w:val="-1"/>
        </w:rPr>
        <w:t xml:space="preserve"> </w:t>
      </w:r>
      <w:r>
        <w:rPr>
          <w:color w:val="221F1F"/>
        </w:rPr>
        <w:t>are</w:t>
      </w:r>
      <w:r>
        <w:rPr>
          <w:color w:val="221F1F"/>
          <w:spacing w:val="-2"/>
        </w:rPr>
        <w:t xml:space="preserve"> </w:t>
      </w:r>
      <w:r>
        <w:rPr>
          <w:color w:val="221F1F"/>
        </w:rPr>
        <w:t>specified</w:t>
      </w:r>
      <w:r>
        <w:rPr>
          <w:color w:val="221F1F"/>
          <w:spacing w:val="-1"/>
        </w:rPr>
        <w:t xml:space="preserve"> </w:t>
      </w:r>
      <w:r>
        <w:rPr>
          <w:color w:val="221F1F"/>
        </w:rPr>
        <w:t>in</w:t>
      </w:r>
      <w:r>
        <w:rPr>
          <w:color w:val="221F1F"/>
          <w:spacing w:val="-2"/>
        </w:rPr>
        <w:t xml:space="preserve"> </w:t>
      </w:r>
      <w:r>
        <w:rPr>
          <w:color w:val="221F1F"/>
        </w:rPr>
        <w:t xml:space="preserve">the </w:t>
      </w:r>
      <w:r>
        <w:rPr>
          <w:color w:val="221F1F"/>
          <w:spacing w:val="-2"/>
        </w:rPr>
        <w:t>Contract.</w:t>
      </w:r>
    </w:p>
    <w:p w:rsidR="007F6DF9" w:rsidRDefault="007F6DF9">
      <w:pPr>
        <w:pStyle w:val="BodyText"/>
        <w:spacing w:before="215"/>
      </w:pPr>
    </w:p>
    <w:p w:rsidR="007F6DF9" w:rsidRDefault="00A43FBC">
      <w:pPr>
        <w:pStyle w:val="Heading8"/>
        <w:numPr>
          <w:ilvl w:val="0"/>
          <w:numId w:val="122"/>
        </w:numPr>
        <w:tabs>
          <w:tab w:val="left" w:pos="1368"/>
        </w:tabs>
        <w:ind w:left="1368" w:hanging="660"/>
      </w:pPr>
      <w:bookmarkStart w:id="60" w:name="_bookmark58"/>
      <w:bookmarkEnd w:id="60"/>
      <w:r>
        <w:rPr>
          <w:color w:val="221F1F"/>
          <w:spacing w:val="-2"/>
        </w:rPr>
        <w:t>COMMENCEMENT,</w:t>
      </w:r>
      <w:r>
        <w:rPr>
          <w:color w:val="221F1F"/>
          <w:spacing w:val="1"/>
        </w:rPr>
        <w:t xml:space="preserve"> </w:t>
      </w:r>
      <w:r>
        <w:rPr>
          <w:color w:val="221F1F"/>
          <w:spacing w:val="-2"/>
        </w:rPr>
        <w:t>DELAYS</w:t>
      </w:r>
      <w:r>
        <w:rPr>
          <w:color w:val="221F1F"/>
          <w:spacing w:val="-9"/>
        </w:rPr>
        <w:t xml:space="preserve"> </w:t>
      </w:r>
      <w:r>
        <w:rPr>
          <w:color w:val="221F1F"/>
          <w:spacing w:val="-2"/>
        </w:rPr>
        <w:t>AND</w:t>
      </w:r>
      <w:r>
        <w:rPr>
          <w:color w:val="221F1F"/>
          <w:spacing w:val="1"/>
        </w:rPr>
        <w:t xml:space="preserve"> </w:t>
      </w:r>
      <w:r>
        <w:rPr>
          <w:color w:val="221F1F"/>
          <w:spacing w:val="-2"/>
        </w:rPr>
        <w:t>SUSPENSION</w:t>
      </w:r>
    </w:p>
    <w:p w:rsidR="007F6DF9" w:rsidRDefault="00A43FBC">
      <w:pPr>
        <w:pStyle w:val="Heading9"/>
        <w:numPr>
          <w:ilvl w:val="1"/>
          <w:numId w:val="122"/>
        </w:numPr>
        <w:tabs>
          <w:tab w:val="left" w:pos="1368"/>
        </w:tabs>
        <w:spacing w:before="234"/>
        <w:ind w:left="1368" w:hanging="660"/>
        <w:rPr>
          <w:color w:val="221F1F"/>
        </w:rPr>
      </w:pPr>
      <w:r>
        <w:rPr>
          <w:color w:val="221F1F"/>
        </w:rPr>
        <w:t>Commencement</w:t>
      </w:r>
      <w:r>
        <w:rPr>
          <w:color w:val="221F1F"/>
          <w:spacing w:val="-6"/>
        </w:rPr>
        <w:t xml:space="preserve"> </w:t>
      </w:r>
      <w:r>
        <w:rPr>
          <w:color w:val="221F1F"/>
        </w:rPr>
        <w:t>of</w:t>
      </w:r>
      <w:r>
        <w:rPr>
          <w:color w:val="221F1F"/>
          <w:spacing w:val="-6"/>
        </w:rPr>
        <w:t xml:space="preserve"> </w:t>
      </w:r>
      <w:r>
        <w:rPr>
          <w:color w:val="221F1F"/>
          <w:spacing w:val="-4"/>
        </w:rPr>
        <w:t>Works</w:t>
      </w:r>
    </w:p>
    <w:p w:rsidR="007F6DF9" w:rsidRDefault="00A43FBC">
      <w:pPr>
        <w:pStyle w:val="ListParagraph"/>
        <w:numPr>
          <w:ilvl w:val="2"/>
          <w:numId w:val="122"/>
        </w:numPr>
        <w:tabs>
          <w:tab w:val="left" w:pos="1368"/>
          <w:tab w:val="left" w:pos="1383"/>
        </w:tabs>
        <w:spacing w:before="243" w:line="230" w:lineRule="auto"/>
        <w:ind w:left="1383" w:right="558" w:hanging="675"/>
        <w:jc w:val="both"/>
        <w:rPr>
          <w:color w:val="221F1F"/>
        </w:rPr>
      </w:pPr>
      <w:r>
        <w:rPr>
          <w:color w:val="221F1F"/>
        </w:rPr>
        <w:t>Except as otherwise specified in the Special Conditions of Contract, the Commencement Date shall be the date at which the following precedent condition shave all been fulfilled and the Architect notification recording</w:t>
      </w:r>
      <w:r>
        <w:rPr>
          <w:color w:val="221F1F"/>
          <w:spacing w:val="-9"/>
        </w:rPr>
        <w:t xml:space="preserve"> </w:t>
      </w:r>
      <w:r>
        <w:rPr>
          <w:color w:val="221F1F"/>
        </w:rPr>
        <w:t>the</w:t>
      </w:r>
      <w:r>
        <w:rPr>
          <w:color w:val="221F1F"/>
          <w:spacing w:val="-8"/>
        </w:rPr>
        <w:t xml:space="preserve"> </w:t>
      </w:r>
      <w:r>
        <w:rPr>
          <w:color w:val="221F1F"/>
        </w:rPr>
        <w:t>agreement</w:t>
      </w:r>
      <w:r>
        <w:rPr>
          <w:color w:val="221F1F"/>
          <w:spacing w:val="-7"/>
        </w:rPr>
        <w:t xml:space="preserve"> </w:t>
      </w:r>
      <w:r>
        <w:rPr>
          <w:color w:val="221F1F"/>
        </w:rPr>
        <w:t>of</w:t>
      </w:r>
      <w:r>
        <w:rPr>
          <w:color w:val="221F1F"/>
          <w:spacing w:val="-9"/>
        </w:rPr>
        <w:t xml:space="preserve"> </w:t>
      </w:r>
      <w:r>
        <w:rPr>
          <w:color w:val="221F1F"/>
        </w:rPr>
        <w:t>both</w:t>
      </w:r>
      <w:r>
        <w:rPr>
          <w:color w:val="221F1F"/>
          <w:spacing w:val="-8"/>
        </w:rPr>
        <w:t xml:space="preserve"> </w:t>
      </w:r>
      <w:r>
        <w:rPr>
          <w:color w:val="221F1F"/>
        </w:rPr>
        <w:t>Parties</w:t>
      </w:r>
      <w:r>
        <w:rPr>
          <w:color w:val="221F1F"/>
          <w:spacing w:val="-8"/>
        </w:rPr>
        <w:t xml:space="preserve"> </w:t>
      </w:r>
      <w:r>
        <w:rPr>
          <w:color w:val="221F1F"/>
        </w:rPr>
        <w:t>on</w:t>
      </w:r>
      <w:r>
        <w:rPr>
          <w:color w:val="221F1F"/>
          <w:spacing w:val="-8"/>
        </w:rPr>
        <w:t xml:space="preserve"> </w:t>
      </w:r>
      <w:r>
        <w:rPr>
          <w:color w:val="221F1F"/>
        </w:rPr>
        <w:t>such</w:t>
      </w:r>
      <w:r>
        <w:rPr>
          <w:color w:val="221F1F"/>
          <w:spacing w:val="-8"/>
        </w:rPr>
        <w:t xml:space="preserve"> </w:t>
      </w:r>
      <w:r>
        <w:rPr>
          <w:color w:val="221F1F"/>
        </w:rPr>
        <w:t>fulfilment</w:t>
      </w:r>
      <w:r>
        <w:rPr>
          <w:color w:val="221F1F"/>
          <w:spacing w:val="-7"/>
        </w:rPr>
        <w:t xml:space="preserve"> </w:t>
      </w:r>
      <w:r>
        <w:rPr>
          <w:color w:val="221F1F"/>
        </w:rPr>
        <w:t>and</w:t>
      </w:r>
      <w:r>
        <w:rPr>
          <w:color w:val="221F1F"/>
          <w:spacing w:val="-8"/>
        </w:rPr>
        <w:t xml:space="preserve"> </w:t>
      </w:r>
      <w:r>
        <w:rPr>
          <w:color w:val="221F1F"/>
        </w:rPr>
        <w:t>instructing</w:t>
      </w:r>
      <w:r>
        <w:rPr>
          <w:color w:val="221F1F"/>
          <w:spacing w:val="-8"/>
        </w:rPr>
        <w:t xml:space="preserve"> </w:t>
      </w:r>
      <w:r>
        <w:rPr>
          <w:color w:val="221F1F"/>
        </w:rPr>
        <w:t>to</w:t>
      </w:r>
      <w:r>
        <w:rPr>
          <w:color w:val="221F1F"/>
          <w:spacing w:val="-6"/>
        </w:rPr>
        <w:t xml:space="preserve"> </w:t>
      </w:r>
      <w:r>
        <w:rPr>
          <w:color w:val="221F1F"/>
        </w:rPr>
        <w:t>commence</w:t>
      </w:r>
      <w:r>
        <w:rPr>
          <w:color w:val="221F1F"/>
          <w:spacing w:val="-8"/>
        </w:rPr>
        <w:t xml:space="preserve"> </w:t>
      </w:r>
      <w:r>
        <w:rPr>
          <w:color w:val="221F1F"/>
        </w:rPr>
        <w:t>the</w:t>
      </w:r>
      <w:r>
        <w:rPr>
          <w:color w:val="221F1F"/>
          <w:spacing w:val="-3"/>
        </w:rPr>
        <w:t xml:space="preserve"> </w:t>
      </w:r>
      <w:r>
        <w:rPr>
          <w:color w:val="221F1F"/>
        </w:rPr>
        <w:t>Work</w:t>
      </w:r>
      <w:r>
        <w:rPr>
          <w:color w:val="221F1F"/>
          <w:spacing w:val="-14"/>
        </w:rPr>
        <w:t xml:space="preserve"> </w:t>
      </w:r>
      <w:r>
        <w:rPr>
          <w:color w:val="221F1F"/>
        </w:rPr>
        <w:t>is</w:t>
      </w:r>
      <w:r>
        <w:rPr>
          <w:color w:val="221F1F"/>
          <w:spacing w:val="-6"/>
        </w:rPr>
        <w:t xml:space="preserve"> </w:t>
      </w:r>
      <w:r>
        <w:rPr>
          <w:color w:val="221F1F"/>
        </w:rPr>
        <w:t>received by the Contractor:</w:t>
      </w:r>
    </w:p>
    <w:p w:rsidR="007F6DF9" w:rsidRDefault="00A43FBC">
      <w:pPr>
        <w:pStyle w:val="ListParagraph"/>
        <w:numPr>
          <w:ilvl w:val="0"/>
          <w:numId w:val="56"/>
        </w:numPr>
        <w:tabs>
          <w:tab w:val="left" w:pos="1861"/>
          <w:tab w:val="left" w:pos="1863"/>
        </w:tabs>
        <w:spacing w:before="48" w:line="230" w:lineRule="auto"/>
        <w:ind w:right="560"/>
        <w:jc w:val="both"/>
      </w:pPr>
      <w:r>
        <w:rPr>
          <w:color w:val="221F1F"/>
        </w:rPr>
        <w:t>Signature of the Contract Agreement by both Parties, and if required, approval of the Contract by relevant authorities of Kenya;</w:t>
      </w:r>
    </w:p>
    <w:p w:rsidR="007F6DF9" w:rsidRDefault="00A43FBC">
      <w:pPr>
        <w:pStyle w:val="ListParagraph"/>
        <w:numPr>
          <w:ilvl w:val="0"/>
          <w:numId w:val="56"/>
        </w:numPr>
        <w:tabs>
          <w:tab w:val="left" w:pos="1861"/>
          <w:tab w:val="left" w:pos="1863"/>
        </w:tabs>
        <w:spacing w:before="50" w:line="230" w:lineRule="auto"/>
        <w:ind w:right="557"/>
        <w:jc w:val="both"/>
      </w:pPr>
      <w:r>
        <w:rPr>
          <w:color w:val="221F1F"/>
        </w:rPr>
        <w:t>except if otherwise specified in the Special Conditions of Contract, effective access to and possession of the Site given to the Contractor together with such permission(s) under (a) of Sub-Clause 1.13 [Compliance with Laws] as required for the commencement of the Works.</w:t>
      </w:r>
    </w:p>
    <w:p w:rsidR="007F6DF9" w:rsidRDefault="00A43FBC">
      <w:pPr>
        <w:pStyle w:val="ListParagraph"/>
        <w:numPr>
          <w:ilvl w:val="0"/>
          <w:numId w:val="56"/>
        </w:numPr>
        <w:tabs>
          <w:tab w:val="left" w:pos="1861"/>
          <w:tab w:val="left" w:pos="1863"/>
        </w:tabs>
        <w:spacing w:before="51" w:line="230" w:lineRule="auto"/>
        <w:ind w:right="561"/>
        <w:jc w:val="both"/>
      </w:pPr>
      <w:r>
        <w:rPr>
          <w:color w:val="221F1F"/>
        </w:rPr>
        <w:t>Receipt</w:t>
      </w:r>
      <w:r>
        <w:rPr>
          <w:color w:val="221F1F"/>
          <w:spacing w:val="-13"/>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Advance</w:t>
      </w:r>
      <w:r>
        <w:rPr>
          <w:color w:val="221F1F"/>
          <w:spacing w:val="-13"/>
        </w:rPr>
        <w:t xml:space="preserve"> </w:t>
      </w:r>
      <w:r>
        <w:rPr>
          <w:color w:val="221F1F"/>
        </w:rPr>
        <w:t>Payment</w:t>
      </w:r>
      <w:r>
        <w:rPr>
          <w:color w:val="221F1F"/>
          <w:spacing w:val="-13"/>
        </w:rPr>
        <w:t xml:space="preserve"> </w:t>
      </w:r>
      <w:r>
        <w:rPr>
          <w:color w:val="221F1F"/>
        </w:rPr>
        <w:t>under</w:t>
      </w:r>
      <w:r>
        <w:rPr>
          <w:color w:val="221F1F"/>
          <w:spacing w:val="-13"/>
        </w:rPr>
        <w:t xml:space="preserve"> </w:t>
      </w:r>
      <w:r>
        <w:rPr>
          <w:color w:val="221F1F"/>
        </w:rPr>
        <w:t>Sub-Clause</w:t>
      </w:r>
      <w:r>
        <w:rPr>
          <w:color w:val="221F1F"/>
          <w:spacing w:val="-14"/>
        </w:rPr>
        <w:t xml:space="preserve"> </w:t>
      </w:r>
      <w:r>
        <w:rPr>
          <w:color w:val="221F1F"/>
        </w:rPr>
        <w:t>14.2</w:t>
      </w:r>
      <w:r>
        <w:rPr>
          <w:color w:val="221F1F"/>
          <w:spacing w:val="-14"/>
        </w:rPr>
        <w:t xml:space="preserve"> </w:t>
      </w:r>
      <w:r>
        <w:rPr>
          <w:color w:val="221F1F"/>
        </w:rPr>
        <w:t>[Advance</w:t>
      </w:r>
      <w:r>
        <w:rPr>
          <w:color w:val="221F1F"/>
          <w:spacing w:val="-13"/>
        </w:rPr>
        <w:t xml:space="preserve"> </w:t>
      </w:r>
      <w:r>
        <w:rPr>
          <w:color w:val="221F1F"/>
        </w:rPr>
        <w:t>Payment]</w:t>
      </w:r>
      <w:r>
        <w:rPr>
          <w:color w:val="221F1F"/>
          <w:spacing w:val="-13"/>
        </w:rPr>
        <w:t xml:space="preserve"> </w:t>
      </w:r>
      <w:r>
        <w:rPr>
          <w:color w:val="221F1F"/>
        </w:rPr>
        <w:t>provided that the corresponding bank guarantee has been delivered by the Contractor.</w:t>
      </w:r>
    </w:p>
    <w:p w:rsidR="007F6DF9" w:rsidRDefault="00A43FBC">
      <w:pPr>
        <w:pStyle w:val="ListParagraph"/>
        <w:numPr>
          <w:ilvl w:val="2"/>
          <w:numId w:val="122"/>
        </w:numPr>
        <w:tabs>
          <w:tab w:val="left" w:pos="1368"/>
          <w:tab w:val="left" w:pos="1383"/>
        </w:tabs>
        <w:spacing w:before="245" w:line="230" w:lineRule="auto"/>
        <w:ind w:left="1383" w:right="558" w:hanging="675"/>
        <w:jc w:val="both"/>
        <w:rPr>
          <w:color w:val="221F1F"/>
        </w:rPr>
      </w:pPr>
      <w:r>
        <w:rPr>
          <w:color w:val="221F1F"/>
        </w:rPr>
        <w:t>If</w:t>
      </w:r>
      <w:r>
        <w:rPr>
          <w:color w:val="221F1F"/>
          <w:spacing w:val="-11"/>
        </w:rPr>
        <w:t xml:space="preserve"> </w:t>
      </w:r>
      <w:r>
        <w:rPr>
          <w:color w:val="221F1F"/>
        </w:rPr>
        <w:t>the</w:t>
      </w:r>
      <w:r>
        <w:rPr>
          <w:color w:val="221F1F"/>
          <w:spacing w:val="-11"/>
        </w:rPr>
        <w:t xml:space="preserve"> </w:t>
      </w:r>
      <w:r>
        <w:rPr>
          <w:color w:val="221F1F"/>
        </w:rPr>
        <w:t>said</w:t>
      </w:r>
      <w:r>
        <w:rPr>
          <w:color w:val="221F1F"/>
          <w:spacing w:val="-11"/>
        </w:rPr>
        <w:t xml:space="preserve"> </w:t>
      </w:r>
      <w:r>
        <w:rPr>
          <w:color w:val="221F1F"/>
        </w:rPr>
        <w:t>Architect</w:t>
      </w:r>
      <w:r>
        <w:rPr>
          <w:color w:val="221F1F"/>
          <w:spacing w:val="-12"/>
        </w:rPr>
        <w:t xml:space="preserve"> </w:t>
      </w:r>
      <w:r>
        <w:rPr>
          <w:color w:val="221F1F"/>
        </w:rPr>
        <w:t>instruction</w:t>
      </w:r>
      <w:r>
        <w:rPr>
          <w:color w:val="221F1F"/>
          <w:spacing w:val="-11"/>
        </w:rPr>
        <w:t xml:space="preserve"> </w:t>
      </w:r>
      <w:r>
        <w:rPr>
          <w:color w:val="221F1F"/>
        </w:rPr>
        <w:t>is</w:t>
      </w:r>
      <w:r>
        <w:rPr>
          <w:color w:val="221F1F"/>
          <w:spacing w:val="-11"/>
        </w:rPr>
        <w:t xml:space="preserve"> </w:t>
      </w:r>
      <w:r>
        <w:rPr>
          <w:color w:val="221F1F"/>
        </w:rPr>
        <w:t>not</w:t>
      </w:r>
      <w:r>
        <w:rPr>
          <w:color w:val="221F1F"/>
          <w:spacing w:val="-11"/>
        </w:rPr>
        <w:t xml:space="preserve"> </w:t>
      </w:r>
      <w:r>
        <w:rPr>
          <w:color w:val="221F1F"/>
        </w:rPr>
        <w:t>received</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within</w:t>
      </w:r>
      <w:r>
        <w:rPr>
          <w:color w:val="221F1F"/>
          <w:spacing w:val="-11"/>
        </w:rPr>
        <w:t xml:space="preserve"> </w:t>
      </w:r>
      <w:r>
        <w:rPr>
          <w:color w:val="221F1F"/>
        </w:rPr>
        <w:t>180</w:t>
      </w:r>
      <w:r>
        <w:rPr>
          <w:color w:val="221F1F"/>
          <w:spacing w:val="-14"/>
        </w:rPr>
        <w:t xml:space="preserve"> </w:t>
      </w:r>
      <w:r>
        <w:rPr>
          <w:color w:val="221F1F"/>
        </w:rPr>
        <w:t>days</w:t>
      </w:r>
      <w:r>
        <w:rPr>
          <w:color w:val="221F1F"/>
          <w:spacing w:val="-13"/>
        </w:rPr>
        <w:t xml:space="preserve"> </w:t>
      </w:r>
      <w:r>
        <w:rPr>
          <w:color w:val="221F1F"/>
        </w:rPr>
        <w:t>from</w:t>
      </w:r>
      <w:r>
        <w:rPr>
          <w:color w:val="221F1F"/>
          <w:spacing w:val="-10"/>
        </w:rPr>
        <w:t xml:space="preserve"> </w:t>
      </w:r>
      <w:r>
        <w:rPr>
          <w:color w:val="221F1F"/>
        </w:rPr>
        <w:t>his</w:t>
      </w:r>
      <w:r>
        <w:rPr>
          <w:color w:val="221F1F"/>
          <w:spacing w:val="-11"/>
        </w:rPr>
        <w:t xml:space="preserve"> </w:t>
      </w:r>
      <w:r>
        <w:rPr>
          <w:color w:val="221F1F"/>
        </w:rPr>
        <w:t>receipt</w:t>
      </w:r>
      <w:r>
        <w:rPr>
          <w:color w:val="221F1F"/>
          <w:spacing w:val="-10"/>
        </w:rPr>
        <w:t xml:space="preserve"> </w:t>
      </w:r>
      <w:r>
        <w:rPr>
          <w:color w:val="221F1F"/>
        </w:rPr>
        <w:t>of</w:t>
      </w:r>
      <w:r>
        <w:rPr>
          <w:color w:val="221F1F"/>
          <w:spacing w:val="-13"/>
        </w:rPr>
        <w:t xml:space="preserve"> </w:t>
      </w:r>
      <w:r>
        <w:rPr>
          <w:color w:val="221F1F"/>
        </w:rPr>
        <w:t>the</w:t>
      </w:r>
      <w:r>
        <w:rPr>
          <w:color w:val="221F1F"/>
          <w:spacing w:val="-11"/>
        </w:rPr>
        <w:t xml:space="preserve"> </w:t>
      </w:r>
      <w:r>
        <w:rPr>
          <w:color w:val="221F1F"/>
        </w:rPr>
        <w:t>Letter of Acceptance, the Contractor shall be entitled to terminate the Contract under Sub-Clause1 6.2 [</w:t>
      </w:r>
      <w:proofErr w:type="spellStart"/>
      <w:r>
        <w:rPr>
          <w:color w:val="221F1F"/>
        </w:rPr>
        <w:t>Terminationby</w:t>
      </w:r>
      <w:proofErr w:type="spellEnd"/>
      <w:r>
        <w:rPr>
          <w:color w:val="221F1F"/>
        </w:rPr>
        <w:t xml:space="preserve"> Contractor].</w:t>
      </w:r>
    </w:p>
    <w:p w:rsidR="007F6DF9" w:rsidRDefault="00A43FBC">
      <w:pPr>
        <w:pStyle w:val="ListParagraph"/>
        <w:numPr>
          <w:ilvl w:val="2"/>
          <w:numId w:val="122"/>
        </w:numPr>
        <w:tabs>
          <w:tab w:val="left" w:pos="1368"/>
          <w:tab w:val="left" w:pos="1383"/>
        </w:tabs>
        <w:spacing w:before="246" w:line="230" w:lineRule="auto"/>
        <w:ind w:left="1383" w:right="926" w:hanging="675"/>
        <w:rPr>
          <w:color w:val="221F1F"/>
        </w:rPr>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commence</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soon</w:t>
      </w:r>
      <w:r>
        <w:rPr>
          <w:color w:val="221F1F"/>
          <w:spacing w:val="-4"/>
        </w:rPr>
        <w:t xml:space="preserve"> </w:t>
      </w:r>
      <w:r>
        <w:rPr>
          <w:color w:val="221F1F"/>
        </w:rPr>
        <w:t>as</w:t>
      </w:r>
      <w:r>
        <w:rPr>
          <w:color w:val="221F1F"/>
          <w:spacing w:val="-4"/>
        </w:rPr>
        <w:t xml:space="preserve"> </w:t>
      </w:r>
      <w:r>
        <w:rPr>
          <w:color w:val="221F1F"/>
        </w:rPr>
        <w:t>is</w:t>
      </w:r>
      <w:r>
        <w:rPr>
          <w:color w:val="221F1F"/>
          <w:spacing w:val="-2"/>
        </w:rPr>
        <w:t xml:space="preserve"> </w:t>
      </w:r>
      <w:r>
        <w:rPr>
          <w:color w:val="221F1F"/>
        </w:rPr>
        <w:t>reasonably</w:t>
      </w:r>
      <w:r>
        <w:rPr>
          <w:color w:val="221F1F"/>
          <w:spacing w:val="-2"/>
        </w:rPr>
        <w:t xml:space="preserve"> </w:t>
      </w:r>
      <w:r>
        <w:rPr>
          <w:color w:val="221F1F"/>
        </w:rPr>
        <w:t>practicable</w:t>
      </w:r>
      <w:r>
        <w:rPr>
          <w:color w:val="221F1F"/>
          <w:spacing w:val="-2"/>
        </w:rPr>
        <w:t xml:space="preserve"> </w:t>
      </w:r>
      <w:r>
        <w:rPr>
          <w:color w:val="221F1F"/>
        </w:rPr>
        <w:t>after</w:t>
      </w:r>
      <w:r>
        <w:rPr>
          <w:color w:val="221F1F"/>
          <w:spacing w:val="-4"/>
        </w:rPr>
        <w:t xml:space="preserve"> </w:t>
      </w:r>
      <w:r>
        <w:rPr>
          <w:color w:val="221F1F"/>
        </w:rPr>
        <w:t xml:space="preserve">the Commencement Date and </w:t>
      </w:r>
      <w:proofErr w:type="spellStart"/>
      <w:r>
        <w:rPr>
          <w:color w:val="221F1F"/>
        </w:rPr>
        <w:t>shal</w:t>
      </w:r>
      <w:proofErr w:type="spellEnd"/>
      <w:r>
        <w:rPr>
          <w:color w:val="221F1F"/>
        </w:rPr>
        <w:t xml:space="preserve"> </w:t>
      </w:r>
      <w:proofErr w:type="spellStart"/>
      <w:r>
        <w:rPr>
          <w:color w:val="221F1F"/>
        </w:rPr>
        <w:t>lthen</w:t>
      </w:r>
      <w:proofErr w:type="spellEnd"/>
      <w:r>
        <w:rPr>
          <w:color w:val="221F1F"/>
        </w:rPr>
        <w:t xml:space="preserve"> proceed with the Works</w:t>
      </w:r>
      <w:r>
        <w:rPr>
          <w:color w:val="221F1F"/>
          <w:spacing w:val="-3"/>
        </w:rPr>
        <w:t xml:space="preserve"> </w:t>
      </w:r>
      <w:r>
        <w:rPr>
          <w:color w:val="221F1F"/>
        </w:rPr>
        <w:t>with due expedition and without delay.</w:t>
      </w:r>
    </w:p>
    <w:p w:rsidR="007F6DF9" w:rsidRDefault="00A43FBC">
      <w:pPr>
        <w:pStyle w:val="Heading9"/>
        <w:numPr>
          <w:ilvl w:val="1"/>
          <w:numId w:val="122"/>
        </w:numPr>
        <w:tabs>
          <w:tab w:val="left" w:pos="1368"/>
        </w:tabs>
        <w:spacing w:before="235"/>
        <w:ind w:left="1368" w:hanging="660"/>
        <w:rPr>
          <w:color w:val="221F1F"/>
        </w:rPr>
      </w:pPr>
      <w:r>
        <w:rPr>
          <w:color w:val="221F1F"/>
        </w:rPr>
        <w:t>Time</w:t>
      </w:r>
      <w:r>
        <w:rPr>
          <w:color w:val="221F1F"/>
          <w:spacing w:val="-3"/>
        </w:rPr>
        <w:t xml:space="preserve"> </w:t>
      </w:r>
      <w:r>
        <w:rPr>
          <w:color w:val="221F1F"/>
        </w:rPr>
        <w:t xml:space="preserve">for </w:t>
      </w:r>
      <w:r>
        <w:rPr>
          <w:color w:val="221F1F"/>
          <w:spacing w:val="-2"/>
        </w:rPr>
        <w:t>Completion</w:t>
      </w:r>
    </w:p>
    <w:p w:rsidR="007F6DF9" w:rsidRDefault="00A43FBC">
      <w:pPr>
        <w:pStyle w:val="BodyText"/>
        <w:spacing w:before="243" w:line="230" w:lineRule="auto"/>
        <w:ind w:left="1383" w:right="1194" w:hanging="15"/>
        <w:jc w:val="both"/>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complete</w:t>
      </w:r>
      <w:r>
        <w:rPr>
          <w:color w:val="221F1F"/>
          <w:spacing w:val="-3"/>
        </w:rPr>
        <w:t xml:space="preserve"> </w:t>
      </w:r>
      <w:r>
        <w:rPr>
          <w:color w:val="221F1F"/>
        </w:rPr>
        <w:t>the</w:t>
      </w:r>
      <w:r>
        <w:rPr>
          <w:color w:val="221F1F"/>
          <w:spacing w:val="-1"/>
        </w:rPr>
        <w:t xml:space="preserve"> </w:t>
      </w:r>
      <w:r>
        <w:rPr>
          <w:color w:val="221F1F"/>
        </w:rPr>
        <w:t>whole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3"/>
        </w:rPr>
        <w:t xml:space="preserve"> </w:t>
      </w:r>
      <w:r>
        <w:rPr>
          <w:color w:val="221F1F"/>
        </w:rPr>
        <w:t>and</w:t>
      </w:r>
      <w:r>
        <w:rPr>
          <w:color w:val="221F1F"/>
          <w:spacing w:val="-1"/>
        </w:rPr>
        <w:t xml:space="preserve"> </w:t>
      </w:r>
      <w:r>
        <w:rPr>
          <w:color w:val="221F1F"/>
        </w:rPr>
        <w:t>each</w:t>
      </w:r>
      <w:r>
        <w:rPr>
          <w:color w:val="221F1F"/>
          <w:spacing w:val="-1"/>
        </w:rPr>
        <w:t xml:space="preserve"> </w:t>
      </w:r>
      <w:r>
        <w:rPr>
          <w:color w:val="221F1F"/>
        </w:rPr>
        <w:t>Section</w:t>
      </w:r>
      <w:r>
        <w:rPr>
          <w:color w:val="221F1F"/>
          <w:spacing w:val="-4"/>
        </w:rPr>
        <w:t xml:space="preserve"> </w:t>
      </w:r>
      <w:r>
        <w:rPr>
          <w:color w:val="221F1F"/>
        </w:rPr>
        <w:t>(if</w:t>
      </w:r>
      <w:r>
        <w:rPr>
          <w:color w:val="221F1F"/>
          <w:spacing w:val="-1"/>
        </w:rPr>
        <w:t xml:space="preserve"> </w:t>
      </w:r>
      <w:r>
        <w:rPr>
          <w:color w:val="221F1F"/>
        </w:rPr>
        <w:t>any),</w:t>
      </w:r>
      <w:r>
        <w:rPr>
          <w:color w:val="221F1F"/>
          <w:spacing w:val="-4"/>
        </w:rPr>
        <w:t xml:space="preserve"> </w:t>
      </w:r>
      <w:r>
        <w:rPr>
          <w:color w:val="221F1F"/>
        </w:rPr>
        <w:t>within</w:t>
      </w:r>
      <w:r>
        <w:rPr>
          <w:color w:val="221F1F"/>
          <w:spacing w:val="-1"/>
        </w:rPr>
        <w:t xml:space="preserve"> </w:t>
      </w:r>
      <w:r>
        <w:rPr>
          <w:color w:val="221F1F"/>
        </w:rPr>
        <w:t>the</w:t>
      </w:r>
      <w:r>
        <w:rPr>
          <w:color w:val="221F1F"/>
          <w:spacing w:val="-1"/>
        </w:rPr>
        <w:t xml:space="preserve"> </w:t>
      </w:r>
      <w:r>
        <w:rPr>
          <w:color w:val="221F1F"/>
        </w:rPr>
        <w:t>Time</w:t>
      </w:r>
      <w:r>
        <w:rPr>
          <w:color w:val="221F1F"/>
          <w:spacing w:val="-3"/>
        </w:rPr>
        <w:t xml:space="preserve"> </w:t>
      </w:r>
      <w:r>
        <w:rPr>
          <w:color w:val="221F1F"/>
        </w:rPr>
        <w:t>for Completion for the Works or Section (as the case may be), including:</w:t>
      </w:r>
    </w:p>
    <w:p w:rsidR="007F6DF9" w:rsidRDefault="00A43FBC">
      <w:pPr>
        <w:pStyle w:val="ListParagraph"/>
        <w:numPr>
          <w:ilvl w:val="0"/>
          <w:numId w:val="101"/>
        </w:numPr>
        <w:tabs>
          <w:tab w:val="left" w:pos="1862"/>
        </w:tabs>
        <w:spacing w:before="41"/>
        <w:ind w:left="1862" w:hanging="493"/>
        <w:jc w:val="both"/>
      </w:pPr>
      <w:r>
        <w:rPr>
          <w:color w:val="221F1F"/>
        </w:rPr>
        <w:t>Achieving</w:t>
      </w:r>
      <w:r>
        <w:rPr>
          <w:color w:val="221F1F"/>
          <w:spacing w:val="-9"/>
        </w:rPr>
        <w:t xml:space="preserve"> </w:t>
      </w:r>
      <w:r>
        <w:rPr>
          <w:color w:val="221F1F"/>
        </w:rPr>
        <w:t>the</w:t>
      </w:r>
      <w:r>
        <w:rPr>
          <w:color w:val="221F1F"/>
          <w:spacing w:val="-6"/>
        </w:rPr>
        <w:t xml:space="preserve"> </w:t>
      </w:r>
      <w:r>
        <w:rPr>
          <w:color w:val="221F1F"/>
        </w:rPr>
        <w:t>passing</w:t>
      </w:r>
      <w:r>
        <w:rPr>
          <w:color w:val="221F1F"/>
          <w:spacing w:val="-8"/>
        </w:rPr>
        <w:t xml:space="preserve"> </w:t>
      </w:r>
      <w:r>
        <w:rPr>
          <w:color w:val="221F1F"/>
        </w:rPr>
        <w:t>of</w:t>
      </w:r>
      <w:r>
        <w:rPr>
          <w:color w:val="221F1F"/>
          <w:spacing w:val="-8"/>
        </w:rPr>
        <w:t xml:space="preserve"> </w:t>
      </w:r>
      <w:r>
        <w:rPr>
          <w:color w:val="221F1F"/>
        </w:rPr>
        <w:t>the</w:t>
      </w:r>
      <w:r>
        <w:rPr>
          <w:color w:val="221F1F"/>
          <w:spacing w:val="-7"/>
        </w:rPr>
        <w:t xml:space="preserve"> </w:t>
      </w:r>
      <w:proofErr w:type="spellStart"/>
      <w:r>
        <w:rPr>
          <w:color w:val="221F1F"/>
        </w:rPr>
        <w:t>Testson</w:t>
      </w:r>
      <w:proofErr w:type="spellEnd"/>
      <w:r>
        <w:rPr>
          <w:color w:val="221F1F"/>
          <w:spacing w:val="-6"/>
        </w:rPr>
        <w:t xml:space="preserve"> </w:t>
      </w:r>
      <w:r>
        <w:rPr>
          <w:color w:val="221F1F"/>
        </w:rPr>
        <w:t>Completion,</w:t>
      </w:r>
      <w:r>
        <w:rPr>
          <w:color w:val="221F1F"/>
          <w:spacing w:val="-5"/>
        </w:rPr>
        <w:t xml:space="preserve"> and</w:t>
      </w:r>
    </w:p>
    <w:p w:rsidR="007F6DF9" w:rsidRDefault="00A43FBC">
      <w:pPr>
        <w:pStyle w:val="ListParagraph"/>
        <w:numPr>
          <w:ilvl w:val="0"/>
          <w:numId w:val="101"/>
        </w:numPr>
        <w:tabs>
          <w:tab w:val="left" w:pos="1863"/>
          <w:tab w:val="left" w:pos="1870"/>
        </w:tabs>
        <w:spacing w:before="48" w:line="230" w:lineRule="auto"/>
        <w:ind w:left="1870" w:right="558" w:hanging="502"/>
        <w:jc w:val="both"/>
      </w:pPr>
      <w:r>
        <w:rPr>
          <w:color w:val="221F1F"/>
        </w:rPr>
        <w:t>completing all work which is stated in the Contract as being required for the Works or Section to be considered</w:t>
      </w:r>
      <w:r>
        <w:rPr>
          <w:color w:val="221F1F"/>
          <w:spacing w:val="-3"/>
        </w:rPr>
        <w:t xml:space="preserve"> </w:t>
      </w:r>
      <w:r>
        <w:rPr>
          <w:color w:val="221F1F"/>
        </w:rPr>
        <w:t>to</w:t>
      </w:r>
      <w:r>
        <w:rPr>
          <w:color w:val="221F1F"/>
          <w:spacing w:val="-3"/>
        </w:rPr>
        <w:t xml:space="preserve"> </w:t>
      </w:r>
      <w:r>
        <w:rPr>
          <w:color w:val="221F1F"/>
        </w:rPr>
        <w:t>be</w:t>
      </w:r>
      <w:r>
        <w:rPr>
          <w:color w:val="221F1F"/>
          <w:spacing w:val="-3"/>
        </w:rPr>
        <w:t xml:space="preserve"> </w:t>
      </w:r>
      <w:r>
        <w:rPr>
          <w:color w:val="221F1F"/>
        </w:rPr>
        <w:t>completed</w:t>
      </w:r>
      <w:r>
        <w:rPr>
          <w:color w:val="221F1F"/>
          <w:spacing w:val="-5"/>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w:t>
      </w:r>
      <w:r>
        <w:rPr>
          <w:color w:val="221F1F"/>
          <w:spacing w:val="-3"/>
        </w:rPr>
        <w:t xml:space="preserve"> </w:t>
      </w:r>
      <w:r>
        <w:rPr>
          <w:color w:val="221F1F"/>
        </w:rPr>
        <w:t>taking-over</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10.1</w:t>
      </w:r>
      <w:r>
        <w:rPr>
          <w:color w:val="221F1F"/>
          <w:spacing w:val="-2"/>
        </w:rPr>
        <w:t xml:space="preserve"> </w:t>
      </w:r>
      <w:r>
        <w:rPr>
          <w:color w:val="221F1F"/>
        </w:rPr>
        <w:t>[Taking</w:t>
      </w:r>
      <w:r>
        <w:rPr>
          <w:color w:val="221F1F"/>
          <w:spacing w:val="-9"/>
        </w:rPr>
        <w:t xml:space="preserve"> </w:t>
      </w:r>
      <w:r>
        <w:rPr>
          <w:color w:val="221F1F"/>
        </w:rPr>
        <w:t>Over</w:t>
      </w:r>
      <w:r>
        <w:rPr>
          <w:color w:val="221F1F"/>
          <w:spacing w:val="-2"/>
        </w:rPr>
        <w:t xml:space="preserve"> </w:t>
      </w:r>
      <w:r>
        <w:rPr>
          <w:color w:val="221F1F"/>
        </w:rPr>
        <w:t>of</w:t>
      </w:r>
      <w:r>
        <w:rPr>
          <w:color w:val="221F1F"/>
          <w:spacing w:val="-3"/>
        </w:rPr>
        <w:t xml:space="preserve"> </w:t>
      </w:r>
      <w:r>
        <w:rPr>
          <w:color w:val="221F1F"/>
        </w:rPr>
        <w:t>the Works and Sections].</w:t>
      </w:r>
    </w:p>
    <w:p w:rsidR="007F6DF9" w:rsidRDefault="00A43FBC">
      <w:pPr>
        <w:pStyle w:val="Heading9"/>
        <w:numPr>
          <w:ilvl w:val="1"/>
          <w:numId w:val="122"/>
        </w:numPr>
        <w:tabs>
          <w:tab w:val="left" w:pos="1368"/>
        </w:tabs>
        <w:spacing w:before="236"/>
        <w:ind w:left="1368" w:hanging="660"/>
        <w:rPr>
          <w:color w:val="221F1F"/>
        </w:rPr>
      </w:pPr>
      <w:proofErr w:type="spellStart"/>
      <w:r>
        <w:rPr>
          <w:color w:val="221F1F"/>
          <w:spacing w:val="-2"/>
        </w:rPr>
        <w:t>Programme</w:t>
      </w:r>
      <w:proofErr w:type="spellEnd"/>
    </w:p>
    <w:p w:rsidR="007F6DF9" w:rsidRDefault="00A43FBC">
      <w:pPr>
        <w:pStyle w:val="ListParagraph"/>
        <w:numPr>
          <w:ilvl w:val="2"/>
          <w:numId w:val="122"/>
        </w:numPr>
        <w:tabs>
          <w:tab w:val="left" w:pos="1371"/>
        </w:tabs>
        <w:spacing w:before="234"/>
        <w:ind w:left="1371" w:hanging="663"/>
        <w:rPr>
          <w:color w:val="221F1F"/>
        </w:rPr>
      </w:pPr>
      <w:r>
        <w:rPr>
          <w:color w:val="221F1F"/>
        </w:rPr>
        <w:t>The</w:t>
      </w:r>
      <w:r>
        <w:rPr>
          <w:color w:val="221F1F"/>
          <w:spacing w:val="8"/>
        </w:rPr>
        <w:t xml:space="preserve"> </w:t>
      </w:r>
      <w:r>
        <w:rPr>
          <w:color w:val="221F1F"/>
        </w:rPr>
        <w:t>Contractor</w:t>
      </w:r>
      <w:r>
        <w:rPr>
          <w:color w:val="221F1F"/>
          <w:spacing w:val="12"/>
        </w:rPr>
        <w:t xml:space="preserve"> </w:t>
      </w:r>
      <w:r>
        <w:rPr>
          <w:color w:val="221F1F"/>
        </w:rPr>
        <w:t>shall</w:t>
      </w:r>
      <w:r>
        <w:rPr>
          <w:color w:val="221F1F"/>
          <w:spacing w:val="11"/>
        </w:rPr>
        <w:t xml:space="preserve"> </w:t>
      </w:r>
      <w:r>
        <w:rPr>
          <w:color w:val="221F1F"/>
        </w:rPr>
        <w:t>submit</w:t>
      </w:r>
      <w:r>
        <w:rPr>
          <w:color w:val="221F1F"/>
          <w:spacing w:val="12"/>
        </w:rPr>
        <w:t xml:space="preserve"> </w:t>
      </w:r>
      <w:r>
        <w:rPr>
          <w:color w:val="221F1F"/>
        </w:rPr>
        <w:t>a</w:t>
      </w:r>
      <w:r>
        <w:rPr>
          <w:color w:val="221F1F"/>
          <w:spacing w:val="12"/>
        </w:rPr>
        <w:t xml:space="preserve"> </w:t>
      </w:r>
      <w:r>
        <w:rPr>
          <w:color w:val="221F1F"/>
        </w:rPr>
        <w:t>detailed</w:t>
      </w:r>
      <w:r>
        <w:rPr>
          <w:color w:val="221F1F"/>
          <w:spacing w:val="10"/>
        </w:rPr>
        <w:t xml:space="preserve"> </w:t>
      </w:r>
      <w:r>
        <w:rPr>
          <w:color w:val="221F1F"/>
        </w:rPr>
        <w:t>time</w:t>
      </w:r>
      <w:r>
        <w:rPr>
          <w:color w:val="221F1F"/>
          <w:spacing w:val="11"/>
        </w:rPr>
        <w:t xml:space="preserve"> </w:t>
      </w:r>
      <w:proofErr w:type="spellStart"/>
      <w:r>
        <w:rPr>
          <w:color w:val="221F1F"/>
        </w:rPr>
        <w:t>programme</w:t>
      </w:r>
      <w:proofErr w:type="spellEnd"/>
      <w:r>
        <w:rPr>
          <w:color w:val="221F1F"/>
          <w:spacing w:val="11"/>
        </w:rPr>
        <w:t xml:space="preserve"> </w:t>
      </w:r>
      <w:r>
        <w:rPr>
          <w:color w:val="221F1F"/>
        </w:rPr>
        <w:t>to</w:t>
      </w:r>
      <w:r>
        <w:rPr>
          <w:color w:val="221F1F"/>
          <w:spacing w:val="11"/>
        </w:rPr>
        <w:t xml:space="preserve"> </w:t>
      </w:r>
      <w:r>
        <w:rPr>
          <w:color w:val="221F1F"/>
        </w:rPr>
        <w:t>the</w:t>
      </w:r>
      <w:r>
        <w:rPr>
          <w:color w:val="221F1F"/>
          <w:spacing w:val="12"/>
        </w:rPr>
        <w:t xml:space="preserve"> </w:t>
      </w:r>
      <w:r>
        <w:rPr>
          <w:color w:val="221F1F"/>
        </w:rPr>
        <w:t>Architect</w:t>
      </w:r>
      <w:r>
        <w:rPr>
          <w:color w:val="221F1F"/>
          <w:spacing w:val="12"/>
        </w:rPr>
        <w:t xml:space="preserve"> </w:t>
      </w:r>
      <w:r>
        <w:rPr>
          <w:color w:val="221F1F"/>
        </w:rPr>
        <w:t>within1</w:t>
      </w:r>
      <w:r>
        <w:rPr>
          <w:color w:val="221F1F"/>
          <w:spacing w:val="9"/>
        </w:rPr>
        <w:t xml:space="preserve"> </w:t>
      </w:r>
      <w:r>
        <w:rPr>
          <w:color w:val="221F1F"/>
        </w:rPr>
        <w:t>4</w:t>
      </w:r>
      <w:r>
        <w:rPr>
          <w:color w:val="221F1F"/>
          <w:spacing w:val="11"/>
        </w:rPr>
        <w:t xml:space="preserve"> </w:t>
      </w:r>
      <w:r>
        <w:rPr>
          <w:color w:val="221F1F"/>
        </w:rPr>
        <w:t>days</w:t>
      </w:r>
      <w:r>
        <w:rPr>
          <w:color w:val="221F1F"/>
          <w:spacing w:val="12"/>
        </w:rPr>
        <w:t xml:space="preserve"> </w:t>
      </w:r>
      <w:r>
        <w:rPr>
          <w:color w:val="221F1F"/>
        </w:rPr>
        <w:t>after</w:t>
      </w:r>
      <w:r>
        <w:rPr>
          <w:color w:val="221F1F"/>
          <w:spacing w:val="11"/>
        </w:rPr>
        <w:t xml:space="preserve"> </w:t>
      </w:r>
      <w:r>
        <w:rPr>
          <w:color w:val="221F1F"/>
        </w:rPr>
        <w:t>receiving</w:t>
      </w:r>
      <w:r>
        <w:rPr>
          <w:color w:val="221F1F"/>
          <w:spacing w:val="12"/>
        </w:rPr>
        <w:t xml:space="preserve"> </w:t>
      </w:r>
      <w:r>
        <w:rPr>
          <w:color w:val="221F1F"/>
          <w:spacing w:val="-5"/>
        </w:rPr>
        <w:t>the</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BodyText"/>
        <w:spacing w:line="230" w:lineRule="auto"/>
        <w:ind w:left="1383" w:right="564"/>
        <w:jc w:val="both"/>
      </w:pPr>
      <w:r>
        <w:rPr>
          <w:color w:val="221F1F"/>
        </w:rPr>
        <w:lastRenderedPageBreak/>
        <w:t xml:space="preserve">notice under Sub-Clause 8.1 [Commencement of Works]. The Contractor shall also submit a revised </w:t>
      </w:r>
      <w:proofErr w:type="spellStart"/>
      <w:r>
        <w:rPr>
          <w:color w:val="221F1F"/>
        </w:rPr>
        <w:t>programme</w:t>
      </w:r>
      <w:proofErr w:type="spellEnd"/>
      <w:r>
        <w:rPr>
          <w:color w:val="221F1F"/>
        </w:rPr>
        <w:t xml:space="preserve"> whenever the previous </w:t>
      </w:r>
      <w:proofErr w:type="spellStart"/>
      <w:r>
        <w:rPr>
          <w:color w:val="221F1F"/>
        </w:rPr>
        <w:t>programme</w:t>
      </w:r>
      <w:proofErr w:type="spellEnd"/>
      <w:r>
        <w:rPr>
          <w:color w:val="221F1F"/>
        </w:rPr>
        <w:t xml:space="preserve"> is inconsistent with actual progress or with the Contractor's obligations. Each </w:t>
      </w:r>
      <w:proofErr w:type="spellStart"/>
      <w:r>
        <w:rPr>
          <w:color w:val="221F1F"/>
        </w:rPr>
        <w:t>programme</w:t>
      </w:r>
      <w:proofErr w:type="spellEnd"/>
      <w:r>
        <w:rPr>
          <w:color w:val="221F1F"/>
        </w:rPr>
        <w:t xml:space="preserve"> shall include:</w:t>
      </w:r>
    </w:p>
    <w:p w:rsidR="007F6DF9" w:rsidRDefault="00A43FBC">
      <w:pPr>
        <w:pStyle w:val="ListParagraph"/>
        <w:numPr>
          <w:ilvl w:val="0"/>
          <w:numId w:val="55"/>
        </w:numPr>
        <w:tabs>
          <w:tab w:val="left" w:pos="1863"/>
          <w:tab w:val="left" w:pos="1868"/>
        </w:tabs>
        <w:spacing w:before="51" w:line="230" w:lineRule="auto"/>
        <w:ind w:right="560" w:hanging="500"/>
        <w:jc w:val="both"/>
      </w:pPr>
      <w:r>
        <w:rPr>
          <w:color w:val="221F1F"/>
        </w:rPr>
        <w:t>The order in which the Contractor intends to carry out the Works, including the anticipated timing of each stage of design (if any), Contractor's Documents, procurement, manufacture of Plant, delivery to Site, construction, erection and testing,</w:t>
      </w:r>
    </w:p>
    <w:p w:rsidR="007F6DF9" w:rsidRDefault="00A43FBC">
      <w:pPr>
        <w:pStyle w:val="ListParagraph"/>
        <w:numPr>
          <w:ilvl w:val="0"/>
          <w:numId w:val="55"/>
        </w:numPr>
        <w:tabs>
          <w:tab w:val="left" w:pos="1863"/>
          <w:tab w:val="left" w:pos="1868"/>
        </w:tabs>
        <w:spacing w:before="49" w:line="230" w:lineRule="auto"/>
        <w:ind w:right="569" w:hanging="500"/>
        <w:jc w:val="both"/>
      </w:pPr>
      <w:r>
        <w:rPr>
          <w:color w:val="221F1F"/>
        </w:rPr>
        <w:t xml:space="preserve">each of these stages for work by each nominated Subcontractor (as defined in Clause 5 [Nominated </w:t>
      </w:r>
      <w:r>
        <w:rPr>
          <w:color w:val="221F1F"/>
          <w:spacing w:val="-2"/>
        </w:rPr>
        <w:t>Subcontractors]),</w:t>
      </w:r>
    </w:p>
    <w:p w:rsidR="007F6DF9" w:rsidRDefault="00A43FBC">
      <w:pPr>
        <w:pStyle w:val="ListParagraph"/>
        <w:numPr>
          <w:ilvl w:val="0"/>
          <w:numId w:val="55"/>
        </w:numPr>
        <w:tabs>
          <w:tab w:val="left" w:pos="1862"/>
        </w:tabs>
        <w:spacing w:before="41"/>
        <w:ind w:left="1862" w:hanging="493"/>
        <w:jc w:val="both"/>
      </w:pPr>
      <w:r>
        <w:rPr>
          <w:color w:val="221F1F"/>
        </w:rPr>
        <w:t>the</w:t>
      </w:r>
      <w:r>
        <w:rPr>
          <w:color w:val="221F1F"/>
          <w:spacing w:val="-4"/>
        </w:rPr>
        <w:t xml:space="preserve"> </w:t>
      </w:r>
      <w:r>
        <w:rPr>
          <w:color w:val="221F1F"/>
        </w:rPr>
        <w:t>sequence</w:t>
      </w:r>
      <w:r>
        <w:rPr>
          <w:color w:val="221F1F"/>
          <w:spacing w:val="-6"/>
        </w:rPr>
        <w:t xml:space="preserve"> </w:t>
      </w:r>
      <w:r>
        <w:rPr>
          <w:color w:val="221F1F"/>
        </w:rPr>
        <w:t>and</w:t>
      </w:r>
      <w:r>
        <w:rPr>
          <w:color w:val="221F1F"/>
          <w:spacing w:val="-3"/>
        </w:rPr>
        <w:t xml:space="preserve"> </w:t>
      </w:r>
      <w:r>
        <w:rPr>
          <w:color w:val="221F1F"/>
        </w:rPr>
        <w:t>timing</w:t>
      </w:r>
      <w:r>
        <w:rPr>
          <w:color w:val="221F1F"/>
          <w:spacing w:val="-3"/>
        </w:rPr>
        <w:t xml:space="preserve"> </w:t>
      </w:r>
      <w:r>
        <w:rPr>
          <w:color w:val="221F1F"/>
        </w:rPr>
        <w:t>of</w:t>
      </w:r>
      <w:r>
        <w:rPr>
          <w:color w:val="221F1F"/>
          <w:spacing w:val="-5"/>
        </w:rPr>
        <w:t xml:space="preserve"> </w:t>
      </w:r>
      <w:r>
        <w:rPr>
          <w:color w:val="221F1F"/>
        </w:rPr>
        <w:t>inspections</w:t>
      </w:r>
      <w:r>
        <w:rPr>
          <w:color w:val="221F1F"/>
          <w:spacing w:val="-3"/>
        </w:rPr>
        <w:t xml:space="preserve"> </w:t>
      </w:r>
      <w:r>
        <w:rPr>
          <w:color w:val="221F1F"/>
        </w:rPr>
        <w:t>and</w:t>
      </w:r>
      <w:r>
        <w:rPr>
          <w:color w:val="221F1F"/>
          <w:spacing w:val="-6"/>
        </w:rPr>
        <w:t xml:space="preserve"> </w:t>
      </w:r>
      <w:r>
        <w:rPr>
          <w:color w:val="221F1F"/>
        </w:rPr>
        <w:t>tests</w:t>
      </w:r>
      <w:r>
        <w:rPr>
          <w:color w:val="221F1F"/>
          <w:spacing w:val="-4"/>
        </w:rPr>
        <w:t xml:space="preserve"> </w:t>
      </w:r>
      <w:r>
        <w:rPr>
          <w:color w:val="221F1F"/>
        </w:rPr>
        <w:t>specified</w:t>
      </w:r>
      <w:r>
        <w:rPr>
          <w:color w:val="221F1F"/>
          <w:spacing w:val="-4"/>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spacing w:val="-5"/>
        </w:rPr>
        <w:t>and</w:t>
      </w:r>
    </w:p>
    <w:p w:rsidR="007F6DF9" w:rsidRDefault="00A43FBC">
      <w:pPr>
        <w:pStyle w:val="ListParagraph"/>
        <w:numPr>
          <w:ilvl w:val="0"/>
          <w:numId w:val="55"/>
        </w:numPr>
        <w:tabs>
          <w:tab w:val="left" w:pos="1862"/>
        </w:tabs>
        <w:spacing w:before="40"/>
        <w:ind w:left="1862" w:hanging="493"/>
        <w:jc w:val="both"/>
      </w:pPr>
      <w:r>
        <w:rPr>
          <w:color w:val="221F1F"/>
        </w:rPr>
        <w:t>a</w:t>
      </w:r>
      <w:r>
        <w:rPr>
          <w:color w:val="221F1F"/>
          <w:spacing w:val="-3"/>
        </w:rPr>
        <w:t xml:space="preserve"> </w:t>
      </w:r>
      <w:r>
        <w:rPr>
          <w:color w:val="221F1F"/>
        </w:rPr>
        <w:t>supporting</w:t>
      </w:r>
      <w:r>
        <w:rPr>
          <w:color w:val="221F1F"/>
          <w:spacing w:val="-4"/>
        </w:rPr>
        <w:t xml:space="preserve"> </w:t>
      </w:r>
      <w:r>
        <w:rPr>
          <w:color w:val="221F1F"/>
        </w:rPr>
        <w:t>report</w:t>
      </w:r>
      <w:r>
        <w:rPr>
          <w:color w:val="221F1F"/>
          <w:spacing w:val="-3"/>
        </w:rPr>
        <w:t xml:space="preserve"> </w:t>
      </w:r>
      <w:r>
        <w:rPr>
          <w:color w:val="221F1F"/>
        </w:rPr>
        <w:t>which</w:t>
      </w:r>
      <w:r>
        <w:rPr>
          <w:color w:val="221F1F"/>
          <w:spacing w:val="-3"/>
        </w:rPr>
        <w:t xml:space="preserve"> </w:t>
      </w:r>
      <w:r>
        <w:rPr>
          <w:color w:val="221F1F"/>
          <w:spacing w:val="-2"/>
        </w:rPr>
        <w:t>includes:</w:t>
      </w:r>
    </w:p>
    <w:p w:rsidR="007F6DF9" w:rsidRDefault="00A43FBC">
      <w:pPr>
        <w:pStyle w:val="ListParagraph"/>
        <w:numPr>
          <w:ilvl w:val="1"/>
          <w:numId w:val="55"/>
        </w:numPr>
        <w:tabs>
          <w:tab w:val="left" w:pos="2297"/>
          <w:tab w:val="left" w:pos="2305"/>
        </w:tabs>
        <w:spacing w:before="48" w:line="230" w:lineRule="auto"/>
        <w:ind w:right="1055" w:hanging="440"/>
      </w:pPr>
      <w:r>
        <w:rPr>
          <w:color w:val="221F1F"/>
        </w:rPr>
        <w:t>a</w:t>
      </w:r>
      <w:r>
        <w:rPr>
          <w:color w:val="221F1F"/>
          <w:spacing w:val="-1"/>
        </w:rPr>
        <w:t xml:space="preserve"> </w:t>
      </w:r>
      <w:r>
        <w:rPr>
          <w:color w:val="221F1F"/>
        </w:rPr>
        <w:t>general description</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methods which</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intends</w:t>
      </w:r>
      <w:r>
        <w:rPr>
          <w:color w:val="221F1F"/>
          <w:spacing w:val="-3"/>
        </w:rPr>
        <w:t xml:space="preserve"> </w:t>
      </w:r>
      <w:r>
        <w:rPr>
          <w:color w:val="221F1F"/>
        </w:rPr>
        <w:t>to</w:t>
      </w:r>
      <w:r>
        <w:rPr>
          <w:color w:val="221F1F"/>
          <w:spacing w:val="-4"/>
        </w:rPr>
        <w:t xml:space="preserve"> </w:t>
      </w:r>
      <w:r>
        <w:rPr>
          <w:color w:val="221F1F"/>
        </w:rPr>
        <w:t>adopt,</w:t>
      </w:r>
      <w:r>
        <w:rPr>
          <w:color w:val="221F1F"/>
          <w:spacing w:val="-1"/>
        </w:rPr>
        <w:t xml:space="preserve"> </w:t>
      </w:r>
      <w:r>
        <w:rPr>
          <w:color w:val="221F1F"/>
        </w:rPr>
        <w:t>and</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major stages, in the execution of the Works, and</w:t>
      </w:r>
    </w:p>
    <w:p w:rsidR="007F6DF9" w:rsidRDefault="00A43FBC">
      <w:pPr>
        <w:pStyle w:val="ListParagraph"/>
        <w:numPr>
          <w:ilvl w:val="1"/>
          <w:numId w:val="55"/>
        </w:numPr>
        <w:tabs>
          <w:tab w:val="left" w:pos="2297"/>
          <w:tab w:val="left" w:pos="2305"/>
        </w:tabs>
        <w:spacing w:before="50" w:line="230" w:lineRule="auto"/>
        <w:ind w:right="691" w:hanging="440"/>
      </w:pPr>
      <w:r>
        <w:rPr>
          <w:color w:val="221F1F"/>
        </w:rPr>
        <w:t>details showing the Contractor's reasonable estimate of</w:t>
      </w:r>
      <w:r>
        <w:rPr>
          <w:color w:val="221F1F"/>
          <w:spacing w:val="-1"/>
        </w:rPr>
        <w:t xml:space="preserve"> </w:t>
      </w:r>
      <w:r>
        <w:rPr>
          <w:color w:val="221F1F"/>
        </w:rPr>
        <w:t>the number of each class of Contractor's Personnel</w:t>
      </w:r>
      <w:r>
        <w:rPr>
          <w:color w:val="221F1F"/>
          <w:spacing w:val="-2"/>
        </w:rPr>
        <w:t xml:space="preserve"> </w:t>
      </w:r>
      <w:r>
        <w:rPr>
          <w:color w:val="221F1F"/>
        </w:rPr>
        <w:t>and</w:t>
      </w:r>
      <w:r>
        <w:rPr>
          <w:color w:val="221F1F"/>
          <w:spacing w:val="-1"/>
        </w:rPr>
        <w:t xml:space="preserve"> </w:t>
      </w:r>
      <w:r>
        <w:rPr>
          <w:color w:val="221F1F"/>
        </w:rPr>
        <w:t>of</w:t>
      </w:r>
      <w:r>
        <w:rPr>
          <w:color w:val="221F1F"/>
          <w:spacing w:val="-1"/>
        </w:rPr>
        <w:t xml:space="preserve"> </w:t>
      </w:r>
      <w:r>
        <w:rPr>
          <w:color w:val="221F1F"/>
        </w:rPr>
        <w:t>each</w:t>
      </w:r>
      <w:r>
        <w:rPr>
          <w:color w:val="221F1F"/>
          <w:spacing w:val="-4"/>
        </w:rPr>
        <w:t xml:space="preserve"> </w:t>
      </w:r>
      <w:r>
        <w:rPr>
          <w:color w:val="221F1F"/>
        </w:rPr>
        <w:t>type</w:t>
      </w:r>
      <w:r>
        <w:rPr>
          <w:color w:val="221F1F"/>
          <w:spacing w:val="-3"/>
        </w:rPr>
        <w:t xml:space="preserve"> </w:t>
      </w:r>
      <w:r>
        <w:rPr>
          <w:color w:val="221F1F"/>
        </w:rPr>
        <w:t>of</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4"/>
        </w:rPr>
        <w:t xml:space="preserve"> </w:t>
      </w:r>
      <w:r>
        <w:rPr>
          <w:color w:val="221F1F"/>
        </w:rPr>
        <w:t>required</w:t>
      </w:r>
      <w:r>
        <w:rPr>
          <w:color w:val="221F1F"/>
          <w:spacing w:val="-1"/>
        </w:rPr>
        <w:t xml:space="preserve"> </w:t>
      </w:r>
      <w:r>
        <w:rPr>
          <w:color w:val="221F1F"/>
        </w:rPr>
        <w:t>on</w:t>
      </w:r>
      <w:r>
        <w:rPr>
          <w:color w:val="221F1F"/>
          <w:spacing w:val="-4"/>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for</w:t>
      </w:r>
      <w:r>
        <w:rPr>
          <w:color w:val="221F1F"/>
          <w:spacing w:val="-1"/>
        </w:rPr>
        <w:t xml:space="preserve"> </w:t>
      </w:r>
      <w:r>
        <w:rPr>
          <w:color w:val="221F1F"/>
        </w:rPr>
        <w:t>each</w:t>
      </w:r>
      <w:r>
        <w:rPr>
          <w:color w:val="221F1F"/>
          <w:spacing w:val="-2"/>
        </w:rPr>
        <w:t xml:space="preserve"> </w:t>
      </w:r>
      <w:r>
        <w:rPr>
          <w:color w:val="221F1F"/>
        </w:rPr>
        <w:t>major</w:t>
      </w:r>
      <w:r>
        <w:rPr>
          <w:color w:val="221F1F"/>
          <w:spacing w:val="-3"/>
        </w:rPr>
        <w:t xml:space="preserve"> </w:t>
      </w:r>
      <w:r>
        <w:rPr>
          <w:color w:val="221F1F"/>
        </w:rPr>
        <w:t>stage.</w:t>
      </w:r>
    </w:p>
    <w:p w:rsidR="007F6DF9" w:rsidRDefault="00A43FBC">
      <w:pPr>
        <w:pStyle w:val="ListParagraph"/>
        <w:numPr>
          <w:ilvl w:val="2"/>
          <w:numId w:val="122"/>
        </w:numPr>
        <w:tabs>
          <w:tab w:val="left" w:pos="1367"/>
          <w:tab w:val="left" w:pos="1383"/>
        </w:tabs>
        <w:spacing w:before="246" w:line="230" w:lineRule="auto"/>
        <w:ind w:left="1383" w:right="558" w:hanging="675"/>
        <w:jc w:val="both"/>
        <w:rPr>
          <w:color w:val="221F1F"/>
        </w:rPr>
      </w:pPr>
      <w:r>
        <w:rPr>
          <w:color w:val="221F1F"/>
        </w:rPr>
        <w:t xml:space="preserve">Unless the Engineer, within 14 days after receiving a </w:t>
      </w:r>
      <w:proofErr w:type="spellStart"/>
      <w:r>
        <w:rPr>
          <w:color w:val="221F1F"/>
        </w:rPr>
        <w:t>programme</w:t>
      </w:r>
      <w:proofErr w:type="spellEnd"/>
      <w:r>
        <w:rPr>
          <w:color w:val="221F1F"/>
        </w:rPr>
        <w:t xml:space="preserve">, gives notice to the Contractor stating the extent to which it does not comply with the Contract, the Contractor shall proceed in accordance with the </w:t>
      </w:r>
      <w:proofErr w:type="spellStart"/>
      <w:r>
        <w:rPr>
          <w:color w:val="221F1F"/>
        </w:rPr>
        <w:t>programme</w:t>
      </w:r>
      <w:proofErr w:type="spellEnd"/>
      <w:r>
        <w:rPr>
          <w:color w:val="221F1F"/>
        </w:rPr>
        <w:t xml:space="preserve">, subject to his other obligations under the Contract. The Procuring Entity's Personnel shall be entitled to rely upon the </w:t>
      </w:r>
      <w:proofErr w:type="spellStart"/>
      <w:r>
        <w:rPr>
          <w:color w:val="221F1F"/>
        </w:rPr>
        <w:t>programme</w:t>
      </w:r>
      <w:proofErr w:type="spellEnd"/>
      <w:r>
        <w:rPr>
          <w:color w:val="221F1F"/>
        </w:rPr>
        <w:t xml:space="preserve"> when planning their activities.</w:t>
      </w:r>
    </w:p>
    <w:p w:rsidR="007F6DF9" w:rsidRDefault="00A43FBC">
      <w:pPr>
        <w:pStyle w:val="ListParagraph"/>
        <w:numPr>
          <w:ilvl w:val="2"/>
          <w:numId w:val="122"/>
        </w:numPr>
        <w:tabs>
          <w:tab w:val="left" w:pos="1367"/>
          <w:tab w:val="left" w:pos="1383"/>
        </w:tabs>
        <w:spacing w:before="246" w:line="230" w:lineRule="auto"/>
        <w:ind w:left="1383" w:right="561" w:hanging="675"/>
        <w:jc w:val="both"/>
        <w:rPr>
          <w:color w:val="221F1F"/>
        </w:rPr>
      </w:pPr>
      <w:r>
        <w:rPr>
          <w:color w:val="221F1F"/>
        </w:rPr>
        <w:t>The</w:t>
      </w:r>
      <w:r>
        <w:rPr>
          <w:color w:val="221F1F"/>
          <w:spacing w:val="-10"/>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promptly</w:t>
      </w:r>
      <w:r>
        <w:rPr>
          <w:color w:val="221F1F"/>
          <w:spacing w:val="-8"/>
        </w:rPr>
        <w:t xml:space="preserve"> </w:t>
      </w:r>
      <w:r>
        <w:rPr>
          <w:color w:val="221F1F"/>
        </w:rPr>
        <w:t>give</w:t>
      </w:r>
      <w:r>
        <w:rPr>
          <w:color w:val="221F1F"/>
          <w:spacing w:val="-9"/>
        </w:rPr>
        <w:t xml:space="preserve"> </w:t>
      </w:r>
      <w:r>
        <w:rPr>
          <w:color w:val="221F1F"/>
        </w:rPr>
        <w:t>notice</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of</w:t>
      </w:r>
      <w:r>
        <w:rPr>
          <w:color w:val="221F1F"/>
          <w:spacing w:val="-11"/>
        </w:rPr>
        <w:t xml:space="preserve"> </w:t>
      </w:r>
      <w:r>
        <w:rPr>
          <w:color w:val="221F1F"/>
        </w:rPr>
        <w:t>specific</w:t>
      </w:r>
      <w:r>
        <w:rPr>
          <w:color w:val="221F1F"/>
          <w:spacing w:val="-9"/>
        </w:rPr>
        <w:t xml:space="preserve"> </w:t>
      </w:r>
      <w:r>
        <w:rPr>
          <w:color w:val="221F1F"/>
        </w:rPr>
        <w:t>probable</w:t>
      </w:r>
      <w:r>
        <w:rPr>
          <w:color w:val="221F1F"/>
          <w:spacing w:val="-9"/>
        </w:rPr>
        <w:t xml:space="preserve"> </w:t>
      </w:r>
      <w:r>
        <w:rPr>
          <w:color w:val="221F1F"/>
        </w:rPr>
        <w:t>future</w:t>
      </w:r>
      <w:r>
        <w:rPr>
          <w:color w:val="221F1F"/>
          <w:spacing w:val="-8"/>
        </w:rPr>
        <w:t xml:space="preserve"> </w:t>
      </w:r>
      <w:r>
        <w:rPr>
          <w:color w:val="221F1F"/>
        </w:rPr>
        <w:t>events</w:t>
      </w:r>
      <w:r>
        <w:rPr>
          <w:color w:val="221F1F"/>
          <w:spacing w:val="-8"/>
        </w:rPr>
        <w:t xml:space="preserve"> </w:t>
      </w:r>
      <w:r>
        <w:rPr>
          <w:color w:val="221F1F"/>
        </w:rPr>
        <w:t>or</w:t>
      </w:r>
      <w:r>
        <w:rPr>
          <w:color w:val="221F1F"/>
          <w:spacing w:val="-9"/>
        </w:rPr>
        <w:t xml:space="preserve"> </w:t>
      </w:r>
      <w:r>
        <w:rPr>
          <w:color w:val="221F1F"/>
        </w:rPr>
        <w:t>circumstances which may adversely affect the work, increase the Contract Price or delay the execution of the Works.</w:t>
      </w:r>
    </w:p>
    <w:p w:rsidR="007F6DF9" w:rsidRDefault="007F6DF9">
      <w:pPr>
        <w:pStyle w:val="BodyText"/>
        <w:spacing w:before="120"/>
      </w:pPr>
    </w:p>
    <w:p w:rsidR="007F6DF9" w:rsidRDefault="00A43FBC">
      <w:pPr>
        <w:pStyle w:val="ListParagraph"/>
        <w:numPr>
          <w:ilvl w:val="2"/>
          <w:numId w:val="122"/>
        </w:numPr>
        <w:tabs>
          <w:tab w:val="left" w:pos="1379"/>
          <w:tab w:val="left" w:pos="1383"/>
        </w:tabs>
        <w:spacing w:line="230" w:lineRule="auto"/>
        <w:ind w:left="1383" w:right="559" w:hanging="661"/>
        <w:jc w:val="both"/>
        <w:rPr>
          <w:color w:val="221F1F"/>
        </w:rPr>
      </w:pPr>
      <w:r>
        <w:t xml:space="preserve">If, at </w:t>
      </w:r>
      <w:proofErr w:type="spellStart"/>
      <w:r>
        <w:t>anytime</w:t>
      </w:r>
      <w:proofErr w:type="spellEnd"/>
      <w:r>
        <w:t xml:space="preserve">, the Architect gives notice to the Contractor that a </w:t>
      </w:r>
      <w:proofErr w:type="spellStart"/>
      <w:r>
        <w:t>programme</w:t>
      </w:r>
      <w:proofErr w:type="spellEnd"/>
      <w:r>
        <w:t xml:space="preserve"> fails (to the extent stated) to comply with the Contractor to be consistent with actual progress and the Contractor's stated intentions, the Contractor shall submit a revised </w:t>
      </w:r>
      <w:proofErr w:type="spellStart"/>
      <w:r>
        <w:t>programme</w:t>
      </w:r>
      <w:proofErr w:type="spellEnd"/>
      <w:r>
        <w:t xml:space="preserve"> to the Architect in accordance with this Sub-Clause.</w:t>
      </w:r>
    </w:p>
    <w:p w:rsidR="007F6DF9" w:rsidRDefault="007F6DF9">
      <w:pPr>
        <w:pStyle w:val="BodyText"/>
        <w:spacing w:before="237"/>
      </w:pPr>
    </w:p>
    <w:p w:rsidR="007F6DF9" w:rsidRDefault="00A43FBC">
      <w:pPr>
        <w:pStyle w:val="ListParagraph"/>
        <w:numPr>
          <w:ilvl w:val="1"/>
          <w:numId w:val="122"/>
        </w:numPr>
        <w:tabs>
          <w:tab w:val="left" w:pos="1378"/>
        </w:tabs>
        <w:ind w:left="1378" w:hanging="660"/>
        <w:rPr>
          <w:b/>
        </w:rPr>
      </w:pPr>
      <w:r>
        <w:rPr>
          <w:b/>
        </w:rPr>
        <w:t>Extension</w:t>
      </w:r>
      <w:r>
        <w:rPr>
          <w:b/>
          <w:spacing w:val="-3"/>
        </w:rPr>
        <w:t xml:space="preserve"> </w:t>
      </w:r>
      <w:r>
        <w:rPr>
          <w:b/>
        </w:rPr>
        <w:t>of</w:t>
      </w:r>
      <w:r>
        <w:rPr>
          <w:b/>
          <w:spacing w:val="-2"/>
        </w:rPr>
        <w:t xml:space="preserve"> </w:t>
      </w:r>
      <w:r>
        <w:rPr>
          <w:b/>
        </w:rPr>
        <w:t>Time</w:t>
      </w:r>
      <w:r>
        <w:rPr>
          <w:b/>
          <w:spacing w:val="-3"/>
        </w:rPr>
        <w:t xml:space="preserve"> </w:t>
      </w:r>
      <w:r>
        <w:rPr>
          <w:b/>
        </w:rPr>
        <w:t>for</w:t>
      </w:r>
      <w:r>
        <w:rPr>
          <w:b/>
          <w:spacing w:val="-2"/>
        </w:rPr>
        <w:t xml:space="preserve"> Completion</w:t>
      </w:r>
    </w:p>
    <w:p w:rsidR="007F6DF9" w:rsidRDefault="00A43FBC">
      <w:pPr>
        <w:pStyle w:val="ListParagraph"/>
        <w:numPr>
          <w:ilvl w:val="2"/>
          <w:numId w:val="122"/>
        </w:numPr>
        <w:tabs>
          <w:tab w:val="left" w:pos="1374"/>
          <w:tab w:val="left" w:pos="1378"/>
        </w:tabs>
        <w:spacing w:before="243" w:line="230" w:lineRule="auto"/>
        <w:ind w:left="1378" w:right="556" w:hanging="661"/>
        <w:jc w:val="both"/>
        <w:rPr>
          <w:color w:val="221F1F"/>
        </w:rPr>
      </w:pPr>
      <w:r>
        <w:t>The</w:t>
      </w:r>
      <w:r>
        <w:rPr>
          <w:spacing w:val="-6"/>
        </w:rPr>
        <w:t xml:space="preserve"> </w:t>
      </w:r>
      <w:r>
        <w:t>Contractor</w:t>
      </w:r>
      <w:r>
        <w:rPr>
          <w:spacing w:val="-5"/>
        </w:rPr>
        <w:t xml:space="preserve"> </w:t>
      </w:r>
      <w:r>
        <w:t>shall</w:t>
      </w:r>
      <w:r>
        <w:rPr>
          <w:spacing w:val="-5"/>
        </w:rPr>
        <w:t xml:space="preserve"> </w:t>
      </w:r>
      <w:r>
        <w:t>be</w:t>
      </w:r>
      <w:r>
        <w:rPr>
          <w:spacing w:val="-6"/>
        </w:rPr>
        <w:t xml:space="preserve"> </w:t>
      </w:r>
      <w:r>
        <w:t>entitled</w:t>
      </w:r>
      <w:r>
        <w:rPr>
          <w:spacing w:val="-6"/>
        </w:rPr>
        <w:t xml:space="preserve"> </w:t>
      </w:r>
      <w:r>
        <w:t>subject</w:t>
      </w:r>
      <w:r>
        <w:rPr>
          <w:spacing w:val="-5"/>
        </w:rPr>
        <w:t xml:space="preserve"> </w:t>
      </w:r>
      <w:r>
        <w:t>to</w:t>
      </w:r>
      <w:r>
        <w:rPr>
          <w:spacing w:val="-6"/>
        </w:rPr>
        <w:t xml:space="preserve"> </w:t>
      </w:r>
      <w:r>
        <w:t>Sub-Clause</w:t>
      </w:r>
      <w:r>
        <w:rPr>
          <w:spacing w:val="-5"/>
        </w:rPr>
        <w:t xml:space="preserve"> </w:t>
      </w:r>
      <w:r>
        <w:t>20.1</w:t>
      </w:r>
      <w:r>
        <w:rPr>
          <w:spacing w:val="-6"/>
        </w:rPr>
        <w:t xml:space="preserve"> </w:t>
      </w:r>
      <w:r>
        <w:t>[Contractor's</w:t>
      </w:r>
      <w:r>
        <w:rPr>
          <w:spacing w:val="-5"/>
        </w:rPr>
        <w:t xml:space="preserve"> </w:t>
      </w:r>
      <w:r>
        <w:t>Claims]</w:t>
      </w:r>
      <w:r>
        <w:rPr>
          <w:spacing w:val="-5"/>
        </w:rPr>
        <w:t xml:space="preserve"> </w:t>
      </w:r>
      <w:r>
        <w:t>to</w:t>
      </w:r>
      <w:r>
        <w:rPr>
          <w:spacing w:val="-9"/>
        </w:rPr>
        <w:t xml:space="preserve"> </w:t>
      </w:r>
      <w:r>
        <w:t>an</w:t>
      </w:r>
      <w:r>
        <w:rPr>
          <w:spacing w:val="-6"/>
        </w:rPr>
        <w:t xml:space="preserve"> </w:t>
      </w:r>
      <w:r>
        <w:t>extension</w:t>
      </w:r>
      <w:r>
        <w:rPr>
          <w:spacing w:val="-6"/>
        </w:rPr>
        <w:t xml:space="preserve"> </w:t>
      </w:r>
      <w:r>
        <w:t>of</w:t>
      </w:r>
      <w:r>
        <w:rPr>
          <w:spacing w:val="-5"/>
        </w:rPr>
        <w:t xml:space="preserve"> </w:t>
      </w:r>
      <w:r>
        <w:t>the</w:t>
      </w:r>
      <w:r>
        <w:rPr>
          <w:spacing w:val="-6"/>
        </w:rPr>
        <w:t xml:space="preserve"> </w:t>
      </w:r>
      <w:r>
        <w:t>Time for Completion if and to</w:t>
      </w:r>
      <w:r>
        <w:rPr>
          <w:spacing w:val="-2"/>
        </w:rPr>
        <w:t xml:space="preserve"> </w:t>
      </w:r>
      <w:r>
        <w:t>the extent that completion for</w:t>
      </w:r>
      <w:r>
        <w:rPr>
          <w:spacing w:val="-2"/>
        </w:rPr>
        <w:t xml:space="preserve"> </w:t>
      </w:r>
      <w:r>
        <w:t>the purposes of Sub-Clause 10.1 [Taking</w:t>
      </w:r>
      <w:r>
        <w:rPr>
          <w:spacing w:val="-5"/>
        </w:rPr>
        <w:t xml:space="preserve"> </w:t>
      </w:r>
      <w:r>
        <w:t>Over of the Works</w:t>
      </w:r>
      <w:r>
        <w:rPr>
          <w:spacing w:val="-1"/>
        </w:rPr>
        <w:t xml:space="preserve"> </w:t>
      </w:r>
      <w:r>
        <w:t>and Sections] is or will be delayed by any of the following causes:</w:t>
      </w:r>
    </w:p>
    <w:p w:rsidR="007F6DF9" w:rsidRDefault="00A43FBC">
      <w:pPr>
        <w:pStyle w:val="ListParagraph"/>
        <w:numPr>
          <w:ilvl w:val="0"/>
          <w:numId w:val="54"/>
        </w:numPr>
        <w:tabs>
          <w:tab w:val="left" w:pos="1871"/>
          <w:tab w:val="left" w:pos="1873"/>
        </w:tabs>
        <w:spacing w:before="49" w:line="230" w:lineRule="auto"/>
        <w:ind w:right="553"/>
        <w:jc w:val="both"/>
      </w:pPr>
      <w:r>
        <w:t xml:space="preserve">a Variation (unless an adjustment to the </w:t>
      </w:r>
      <w:r>
        <w:rPr>
          <w:color w:val="221F1F"/>
        </w:rPr>
        <w:t xml:space="preserve">Time for Completion has been agreed under Sub-Clause 13.3 [Variation Procedure]) or other substantial change in the quantity of an item of work included in the </w:t>
      </w:r>
      <w:r>
        <w:rPr>
          <w:color w:val="221F1F"/>
          <w:spacing w:val="-2"/>
        </w:rPr>
        <w:t>Contract,</w:t>
      </w:r>
    </w:p>
    <w:p w:rsidR="007F6DF9" w:rsidRDefault="00A43FBC">
      <w:pPr>
        <w:pStyle w:val="ListParagraph"/>
        <w:numPr>
          <w:ilvl w:val="0"/>
          <w:numId w:val="54"/>
        </w:numPr>
        <w:tabs>
          <w:tab w:val="left" w:pos="1871"/>
        </w:tabs>
        <w:spacing w:before="41"/>
        <w:ind w:left="1871" w:hanging="493"/>
        <w:jc w:val="both"/>
      </w:pPr>
      <w:r>
        <w:rPr>
          <w:color w:val="221F1F"/>
        </w:rPr>
        <w:t>a</w:t>
      </w:r>
      <w:r>
        <w:rPr>
          <w:color w:val="221F1F"/>
          <w:spacing w:val="-5"/>
        </w:rPr>
        <w:t xml:space="preserve"> </w:t>
      </w:r>
      <w:r>
        <w:rPr>
          <w:color w:val="221F1F"/>
        </w:rPr>
        <w:t>cause</w:t>
      </w:r>
      <w:r>
        <w:rPr>
          <w:color w:val="221F1F"/>
          <w:spacing w:val="-3"/>
        </w:rPr>
        <w:t xml:space="preserve"> </w:t>
      </w:r>
      <w:r>
        <w:rPr>
          <w:color w:val="221F1F"/>
        </w:rPr>
        <w:t>of</w:t>
      </w:r>
      <w:r>
        <w:rPr>
          <w:color w:val="221F1F"/>
          <w:spacing w:val="-2"/>
        </w:rPr>
        <w:t xml:space="preserve"> </w:t>
      </w:r>
      <w:r>
        <w:rPr>
          <w:color w:val="221F1F"/>
        </w:rPr>
        <w:t>delay</w:t>
      </w:r>
      <w:r>
        <w:rPr>
          <w:color w:val="221F1F"/>
          <w:spacing w:val="-3"/>
        </w:rPr>
        <w:t xml:space="preserve"> </w:t>
      </w:r>
      <w:r>
        <w:rPr>
          <w:color w:val="221F1F"/>
        </w:rPr>
        <w:t>giving</w:t>
      </w:r>
      <w:r>
        <w:rPr>
          <w:color w:val="221F1F"/>
          <w:spacing w:val="-2"/>
        </w:rPr>
        <w:t xml:space="preserve"> </w:t>
      </w:r>
      <w:r>
        <w:rPr>
          <w:color w:val="221F1F"/>
        </w:rPr>
        <w:t>an</w:t>
      </w:r>
      <w:r>
        <w:rPr>
          <w:color w:val="221F1F"/>
          <w:spacing w:val="-5"/>
        </w:rPr>
        <w:t xml:space="preserve"> </w:t>
      </w:r>
      <w:r>
        <w:rPr>
          <w:color w:val="221F1F"/>
        </w:rPr>
        <w:t>entitlement</w:t>
      </w:r>
      <w:r>
        <w:rPr>
          <w:color w:val="221F1F"/>
          <w:spacing w:val="-4"/>
        </w:rPr>
        <w:t xml:space="preserve"> </w:t>
      </w:r>
      <w:r>
        <w:rPr>
          <w:color w:val="221F1F"/>
        </w:rPr>
        <w:t>to</w:t>
      </w:r>
      <w:r>
        <w:rPr>
          <w:color w:val="221F1F"/>
          <w:spacing w:val="-3"/>
        </w:rPr>
        <w:t xml:space="preserve"> </w:t>
      </w:r>
      <w:r>
        <w:rPr>
          <w:color w:val="221F1F"/>
        </w:rPr>
        <w:t>extension</w:t>
      </w:r>
      <w:r>
        <w:rPr>
          <w:color w:val="221F1F"/>
          <w:spacing w:val="-3"/>
        </w:rPr>
        <w:t xml:space="preserve"> </w:t>
      </w:r>
      <w:r>
        <w:rPr>
          <w:color w:val="221F1F"/>
        </w:rPr>
        <w:t>of</w:t>
      </w:r>
      <w:r>
        <w:rPr>
          <w:color w:val="221F1F"/>
          <w:spacing w:val="-2"/>
        </w:rPr>
        <w:t xml:space="preserve"> </w:t>
      </w:r>
      <w:r>
        <w:rPr>
          <w:color w:val="221F1F"/>
        </w:rPr>
        <w:t>time</w:t>
      </w:r>
      <w:r>
        <w:rPr>
          <w:color w:val="221F1F"/>
          <w:spacing w:val="-3"/>
        </w:rPr>
        <w:t xml:space="preserve"> </w:t>
      </w:r>
      <w:r>
        <w:rPr>
          <w:color w:val="221F1F"/>
        </w:rPr>
        <w:t>under</w:t>
      </w:r>
      <w:r>
        <w:rPr>
          <w:color w:val="221F1F"/>
          <w:spacing w:val="-4"/>
        </w:rPr>
        <w:t xml:space="preserve"> </w:t>
      </w:r>
      <w:r>
        <w:rPr>
          <w:color w:val="221F1F"/>
        </w:rPr>
        <w:t>a</w:t>
      </w:r>
      <w:r>
        <w:rPr>
          <w:color w:val="221F1F"/>
          <w:spacing w:val="-3"/>
        </w:rPr>
        <w:t xml:space="preserve"> </w:t>
      </w:r>
      <w:r>
        <w:rPr>
          <w:color w:val="221F1F"/>
        </w:rPr>
        <w:t>Sub-Clause</w:t>
      </w:r>
      <w:r>
        <w:rPr>
          <w:color w:val="221F1F"/>
          <w:spacing w:val="-2"/>
        </w:rPr>
        <w:t xml:space="preserve"> </w:t>
      </w:r>
      <w:r>
        <w:rPr>
          <w:color w:val="221F1F"/>
        </w:rPr>
        <w:t>of</w:t>
      </w:r>
      <w:r>
        <w:rPr>
          <w:color w:val="221F1F"/>
          <w:spacing w:val="-3"/>
        </w:rPr>
        <w:t xml:space="preserve"> </w:t>
      </w:r>
      <w:r>
        <w:rPr>
          <w:color w:val="221F1F"/>
        </w:rPr>
        <w:t>these</w:t>
      </w:r>
      <w:r>
        <w:rPr>
          <w:color w:val="221F1F"/>
          <w:spacing w:val="-2"/>
        </w:rPr>
        <w:t xml:space="preserve"> Conditions,</w:t>
      </w:r>
    </w:p>
    <w:p w:rsidR="007F6DF9" w:rsidRDefault="00A43FBC">
      <w:pPr>
        <w:pStyle w:val="ListParagraph"/>
        <w:numPr>
          <w:ilvl w:val="0"/>
          <w:numId w:val="54"/>
        </w:numPr>
        <w:tabs>
          <w:tab w:val="left" w:pos="1871"/>
        </w:tabs>
        <w:spacing w:before="40"/>
        <w:ind w:left="1871" w:hanging="493"/>
        <w:jc w:val="both"/>
      </w:pPr>
      <w:r>
        <w:rPr>
          <w:color w:val="221F1F"/>
        </w:rPr>
        <w:t>exceptionally</w:t>
      </w:r>
      <w:r>
        <w:rPr>
          <w:color w:val="221F1F"/>
          <w:spacing w:val="-8"/>
        </w:rPr>
        <w:t xml:space="preserve"> </w:t>
      </w:r>
      <w:r>
        <w:rPr>
          <w:color w:val="221F1F"/>
        </w:rPr>
        <w:t>adverse</w:t>
      </w:r>
      <w:r>
        <w:rPr>
          <w:color w:val="221F1F"/>
          <w:spacing w:val="-7"/>
        </w:rPr>
        <w:t xml:space="preserve"> </w:t>
      </w:r>
      <w:r>
        <w:rPr>
          <w:color w:val="221F1F"/>
        </w:rPr>
        <w:t>climatic</w:t>
      </w:r>
      <w:r>
        <w:rPr>
          <w:color w:val="221F1F"/>
          <w:spacing w:val="-7"/>
        </w:rPr>
        <w:t xml:space="preserve"> </w:t>
      </w:r>
      <w:r>
        <w:rPr>
          <w:color w:val="221F1F"/>
          <w:spacing w:val="-2"/>
        </w:rPr>
        <w:t>conditions,</w:t>
      </w:r>
    </w:p>
    <w:p w:rsidR="007F6DF9" w:rsidRDefault="00A43FBC">
      <w:pPr>
        <w:pStyle w:val="ListParagraph"/>
        <w:numPr>
          <w:ilvl w:val="0"/>
          <w:numId w:val="54"/>
        </w:numPr>
        <w:tabs>
          <w:tab w:val="left" w:pos="1873"/>
        </w:tabs>
        <w:spacing w:before="48" w:line="230" w:lineRule="auto"/>
        <w:ind w:right="1819"/>
      </w:pPr>
      <w:r>
        <w:rPr>
          <w:color w:val="221F1F"/>
        </w:rPr>
        <w:t>Unforeseeable</w:t>
      </w:r>
      <w:r>
        <w:rPr>
          <w:color w:val="221F1F"/>
          <w:spacing w:val="-3"/>
        </w:rPr>
        <w:t xml:space="preserve"> </w:t>
      </w:r>
      <w:r>
        <w:rPr>
          <w:color w:val="221F1F"/>
        </w:rPr>
        <w:t>shortages</w:t>
      </w:r>
      <w:r>
        <w:rPr>
          <w:color w:val="221F1F"/>
          <w:spacing w:val="-5"/>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availability</w:t>
      </w:r>
      <w:r>
        <w:rPr>
          <w:color w:val="221F1F"/>
          <w:spacing w:val="-3"/>
        </w:rPr>
        <w:t xml:space="preserve"> </w:t>
      </w:r>
      <w:r>
        <w:rPr>
          <w:color w:val="221F1F"/>
        </w:rPr>
        <w:t>of</w:t>
      </w:r>
      <w:r>
        <w:rPr>
          <w:color w:val="221F1F"/>
          <w:spacing w:val="-5"/>
        </w:rPr>
        <w:t xml:space="preserve"> </w:t>
      </w:r>
      <w:r>
        <w:rPr>
          <w:color w:val="221F1F"/>
        </w:rPr>
        <w:t>personnel</w:t>
      </w:r>
      <w:r>
        <w:rPr>
          <w:color w:val="221F1F"/>
          <w:spacing w:val="-2"/>
        </w:rPr>
        <w:t xml:space="preserve"> </w:t>
      </w:r>
      <w:r>
        <w:rPr>
          <w:color w:val="221F1F"/>
        </w:rPr>
        <w:t>or</w:t>
      </w:r>
      <w:r>
        <w:rPr>
          <w:color w:val="221F1F"/>
          <w:spacing w:val="-3"/>
        </w:rPr>
        <w:t xml:space="preserve"> </w:t>
      </w:r>
      <w:r>
        <w:rPr>
          <w:color w:val="221F1F"/>
        </w:rPr>
        <w:t>Goods</w:t>
      </w:r>
      <w:r>
        <w:rPr>
          <w:color w:val="221F1F"/>
          <w:spacing w:val="-3"/>
        </w:rPr>
        <w:t xml:space="preserve"> </w:t>
      </w:r>
      <w:r>
        <w:rPr>
          <w:color w:val="221F1F"/>
        </w:rPr>
        <w:t>caused</w:t>
      </w:r>
      <w:r>
        <w:rPr>
          <w:color w:val="221F1F"/>
          <w:spacing w:val="-3"/>
        </w:rPr>
        <w:t xml:space="preserve"> </w:t>
      </w:r>
      <w:r>
        <w:rPr>
          <w:color w:val="221F1F"/>
        </w:rPr>
        <w:t>by</w:t>
      </w:r>
      <w:r>
        <w:rPr>
          <w:color w:val="221F1F"/>
          <w:spacing w:val="-3"/>
        </w:rPr>
        <w:t xml:space="preserve"> </w:t>
      </w:r>
      <w:r>
        <w:rPr>
          <w:color w:val="221F1F"/>
        </w:rPr>
        <w:t>epidemic</w:t>
      </w:r>
      <w:r>
        <w:rPr>
          <w:color w:val="221F1F"/>
          <w:spacing w:val="-3"/>
        </w:rPr>
        <w:t xml:space="preserve"> </w:t>
      </w:r>
      <w:r>
        <w:rPr>
          <w:color w:val="221F1F"/>
        </w:rPr>
        <w:t>or governmental actions, or</w:t>
      </w:r>
    </w:p>
    <w:p w:rsidR="007F6DF9" w:rsidRDefault="00A43FBC">
      <w:pPr>
        <w:pStyle w:val="ListParagraph"/>
        <w:numPr>
          <w:ilvl w:val="0"/>
          <w:numId w:val="54"/>
        </w:numPr>
        <w:tabs>
          <w:tab w:val="left" w:pos="1873"/>
        </w:tabs>
        <w:spacing w:before="49" w:line="230" w:lineRule="auto"/>
        <w:ind w:right="817"/>
      </w:pPr>
      <w:r>
        <w:rPr>
          <w:color w:val="221F1F"/>
        </w:rPr>
        <w:t>any</w:t>
      </w:r>
      <w:r>
        <w:rPr>
          <w:color w:val="221F1F"/>
          <w:spacing w:val="-4"/>
        </w:rPr>
        <w:t xml:space="preserve"> </w:t>
      </w:r>
      <w:r>
        <w:rPr>
          <w:color w:val="221F1F"/>
        </w:rPr>
        <w:t>delay,</w:t>
      </w:r>
      <w:r>
        <w:rPr>
          <w:color w:val="221F1F"/>
          <w:spacing w:val="-11"/>
        </w:rPr>
        <w:t xml:space="preserve"> </w:t>
      </w:r>
      <w:r>
        <w:rPr>
          <w:color w:val="221F1F"/>
        </w:rPr>
        <w:t>impediment</w:t>
      </w:r>
      <w:r>
        <w:rPr>
          <w:color w:val="221F1F"/>
          <w:spacing w:val="-3"/>
        </w:rPr>
        <w:t xml:space="preserve"> </w:t>
      </w:r>
      <w:r>
        <w:rPr>
          <w:color w:val="221F1F"/>
        </w:rPr>
        <w:t>or</w:t>
      </w:r>
      <w:r>
        <w:rPr>
          <w:color w:val="221F1F"/>
          <w:spacing w:val="-4"/>
        </w:rPr>
        <w:t xml:space="preserve"> </w:t>
      </w:r>
      <w:r>
        <w:rPr>
          <w:color w:val="221F1F"/>
        </w:rPr>
        <w:t>prevention</w:t>
      </w:r>
      <w:r>
        <w:rPr>
          <w:color w:val="221F1F"/>
          <w:spacing w:val="-4"/>
        </w:rPr>
        <w:t xml:space="preserve"> </w:t>
      </w:r>
      <w:r>
        <w:rPr>
          <w:color w:val="221F1F"/>
        </w:rPr>
        <w:t>caused</w:t>
      </w:r>
      <w:r>
        <w:rPr>
          <w:color w:val="221F1F"/>
          <w:spacing w:val="-6"/>
        </w:rPr>
        <w:t xml:space="preserve"> </w:t>
      </w:r>
      <w:r>
        <w:rPr>
          <w:color w:val="221F1F"/>
        </w:rPr>
        <w:t>by</w:t>
      </w:r>
      <w:r>
        <w:rPr>
          <w:color w:val="221F1F"/>
          <w:spacing w:val="-4"/>
        </w:rPr>
        <w:t xml:space="preserve"> </w:t>
      </w:r>
      <w:r>
        <w:rPr>
          <w:color w:val="221F1F"/>
        </w:rPr>
        <w:t>or</w:t>
      </w:r>
      <w:r>
        <w:rPr>
          <w:color w:val="221F1F"/>
          <w:spacing w:val="-4"/>
        </w:rPr>
        <w:t xml:space="preserve"> </w:t>
      </w:r>
      <w:r>
        <w:rPr>
          <w:color w:val="221F1F"/>
        </w:rPr>
        <w:t>attributable</w:t>
      </w:r>
      <w:r>
        <w:rPr>
          <w:color w:val="221F1F"/>
          <w:spacing w:val="-6"/>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Procuring Entity,</w:t>
      </w:r>
      <w:r>
        <w:rPr>
          <w:color w:val="221F1F"/>
          <w:spacing w:val="-11"/>
        </w:rPr>
        <w:t xml:space="preserve"> </w:t>
      </w:r>
      <w:r>
        <w:rPr>
          <w:color w:val="221F1F"/>
        </w:rPr>
        <w:t>the</w:t>
      </w:r>
      <w:r>
        <w:rPr>
          <w:color w:val="221F1F"/>
          <w:spacing w:val="-6"/>
        </w:rPr>
        <w:t xml:space="preserve"> </w:t>
      </w:r>
      <w:r>
        <w:rPr>
          <w:color w:val="221F1F"/>
        </w:rPr>
        <w:t>Procuring Entity's Personnel, or the Procuring Entity's other contractors.</w:t>
      </w:r>
    </w:p>
    <w:p w:rsidR="007F6DF9" w:rsidRDefault="00A43FBC">
      <w:pPr>
        <w:pStyle w:val="ListParagraph"/>
        <w:numPr>
          <w:ilvl w:val="2"/>
          <w:numId w:val="122"/>
        </w:numPr>
        <w:tabs>
          <w:tab w:val="left" w:pos="1374"/>
          <w:tab w:val="left" w:pos="1378"/>
        </w:tabs>
        <w:spacing w:before="245" w:line="230" w:lineRule="auto"/>
        <w:ind w:left="1378" w:right="556" w:hanging="661"/>
        <w:jc w:val="both"/>
        <w:rPr>
          <w:color w:val="221F1F"/>
        </w:rPr>
      </w:pPr>
      <w:r>
        <w:rPr>
          <w:color w:val="221F1F"/>
        </w:rPr>
        <w:t>If the Contractor considers itself to be entitled to an extension of the Time for Completion, the Contractor shall give notice to the Architect in accordance with Sub-Clause 20.1 [Contractor's Claims]. When determining</w:t>
      </w:r>
      <w:r>
        <w:rPr>
          <w:color w:val="221F1F"/>
          <w:spacing w:val="-14"/>
        </w:rPr>
        <w:t xml:space="preserve"> </w:t>
      </w:r>
      <w:r>
        <w:rPr>
          <w:color w:val="221F1F"/>
        </w:rPr>
        <w:t>each</w:t>
      </w:r>
      <w:r>
        <w:rPr>
          <w:color w:val="221F1F"/>
          <w:spacing w:val="-14"/>
        </w:rPr>
        <w:t xml:space="preserve"> </w:t>
      </w:r>
      <w:r>
        <w:rPr>
          <w:color w:val="221F1F"/>
        </w:rPr>
        <w:t>extension</w:t>
      </w:r>
      <w:r>
        <w:rPr>
          <w:color w:val="221F1F"/>
          <w:spacing w:val="-14"/>
        </w:rPr>
        <w:t xml:space="preserve"> </w:t>
      </w:r>
      <w:r>
        <w:rPr>
          <w:color w:val="221F1F"/>
        </w:rPr>
        <w:t>of</w:t>
      </w:r>
      <w:r>
        <w:rPr>
          <w:color w:val="221F1F"/>
          <w:spacing w:val="-13"/>
        </w:rPr>
        <w:t xml:space="preserve"> </w:t>
      </w:r>
      <w:r>
        <w:rPr>
          <w:color w:val="221F1F"/>
        </w:rPr>
        <w:t>time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20.1,</w:t>
      </w:r>
      <w:r>
        <w:rPr>
          <w:color w:val="221F1F"/>
          <w:spacing w:val="-13"/>
        </w:rPr>
        <w:t xml:space="preserve"> </w:t>
      </w:r>
      <w:r>
        <w:rPr>
          <w:color w:val="221F1F"/>
        </w:rPr>
        <w:t>the</w:t>
      </w:r>
      <w:r>
        <w:rPr>
          <w:color w:val="221F1F"/>
          <w:spacing w:val="-14"/>
        </w:rPr>
        <w:t xml:space="preserve"> </w:t>
      </w:r>
      <w:proofErr w:type="spellStart"/>
      <w:r>
        <w:rPr>
          <w:color w:val="221F1F"/>
        </w:rPr>
        <w:t>Architec</w:t>
      </w:r>
      <w:proofErr w:type="spellEnd"/>
      <w:r>
        <w:rPr>
          <w:color w:val="221F1F"/>
          <w:spacing w:val="-14"/>
        </w:rPr>
        <w:t xml:space="preserve"> </w:t>
      </w:r>
      <w:proofErr w:type="spellStart"/>
      <w:r>
        <w:rPr>
          <w:color w:val="221F1F"/>
        </w:rPr>
        <w:t>tshall</w:t>
      </w:r>
      <w:proofErr w:type="spellEnd"/>
      <w:r>
        <w:rPr>
          <w:color w:val="221F1F"/>
          <w:spacing w:val="-14"/>
        </w:rPr>
        <w:t xml:space="preserve"> </w:t>
      </w:r>
      <w:r>
        <w:rPr>
          <w:color w:val="221F1F"/>
        </w:rPr>
        <w:t>review</w:t>
      </w:r>
      <w:r>
        <w:rPr>
          <w:color w:val="221F1F"/>
          <w:spacing w:val="-13"/>
        </w:rPr>
        <w:t xml:space="preserve"> </w:t>
      </w:r>
      <w:r>
        <w:rPr>
          <w:color w:val="221F1F"/>
        </w:rPr>
        <w:t>previous</w:t>
      </w:r>
      <w:r>
        <w:rPr>
          <w:color w:val="221F1F"/>
          <w:spacing w:val="-14"/>
        </w:rPr>
        <w:t xml:space="preserve"> </w:t>
      </w:r>
      <w:r>
        <w:rPr>
          <w:color w:val="221F1F"/>
        </w:rPr>
        <w:t>determinations and may increase, but shall not decrease, the total extension of time.</w:t>
      </w:r>
    </w:p>
    <w:p w:rsidR="007F6DF9" w:rsidRDefault="00A43FBC">
      <w:pPr>
        <w:pStyle w:val="Heading9"/>
        <w:numPr>
          <w:ilvl w:val="1"/>
          <w:numId w:val="122"/>
        </w:numPr>
        <w:tabs>
          <w:tab w:val="left" w:pos="1378"/>
        </w:tabs>
        <w:spacing w:before="237"/>
        <w:ind w:left="1378" w:hanging="639"/>
        <w:rPr>
          <w:color w:val="221F1F"/>
        </w:rPr>
      </w:pPr>
      <w:r>
        <w:rPr>
          <w:color w:val="221F1F"/>
        </w:rPr>
        <w:t>Delays</w:t>
      </w:r>
      <w:r>
        <w:rPr>
          <w:color w:val="221F1F"/>
          <w:spacing w:val="-2"/>
        </w:rPr>
        <w:t xml:space="preserve"> </w:t>
      </w:r>
      <w:r>
        <w:rPr>
          <w:color w:val="221F1F"/>
        </w:rPr>
        <w:t>Caused</w:t>
      </w:r>
      <w:r>
        <w:rPr>
          <w:color w:val="221F1F"/>
          <w:spacing w:val="-2"/>
        </w:rPr>
        <w:t xml:space="preserve"> </w:t>
      </w:r>
      <w:r>
        <w:rPr>
          <w:color w:val="221F1F"/>
        </w:rPr>
        <w:t>by</w:t>
      </w:r>
      <w:r>
        <w:rPr>
          <w:color w:val="221F1F"/>
          <w:spacing w:val="-2"/>
        </w:rPr>
        <w:t xml:space="preserve"> Authorities</w:t>
      </w:r>
    </w:p>
    <w:p w:rsidR="007F6DF9" w:rsidRDefault="00A43FBC">
      <w:pPr>
        <w:pStyle w:val="BodyText"/>
        <w:spacing w:before="234"/>
        <w:ind w:left="1280"/>
      </w:pPr>
      <w:r>
        <w:rPr>
          <w:color w:val="221F1F"/>
        </w:rPr>
        <w:t>If</w:t>
      </w:r>
      <w:r>
        <w:rPr>
          <w:color w:val="221F1F"/>
          <w:spacing w:val="-4"/>
        </w:rPr>
        <w:t xml:space="preserve"> </w:t>
      </w:r>
      <w:r>
        <w:rPr>
          <w:color w:val="221F1F"/>
        </w:rPr>
        <w:t>the</w:t>
      </w:r>
      <w:r>
        <w:rPr>
          <w:color w:val="221F1F"/>
          <w:spacing w:val="-5"/>
        </w:rPr>
        <w:t xml:space="preserve"> </w:t>
      </w:r>
      <w:r>
        <w:rPr>
          <w:color w:val="221F1F"/>
        </w:rPr>
        <w:t>following</w:t>
      </w:r>
      <w:r>
        <w:rPr>
          <w:color w:val="221F1F"/>
          <w:spacing w:val="-3"/>
        </w:rPr>
        <w:t xml:space="preserve"> </w:t>
      </w:r>
      <w:r>
        <w:rPr>
          <w:color w:val="221F1F"/>
        </w:rPr>
        <w:t>conditions</w:t>
      </w:r>
      <w:r>
        <w:rPr>
          <w:color w:val="221F1F"/>
          <w:spacing w:val="-5"/>
        </w:rPr>
        <w:t xml:space="preserve"> </w:t>
      </w:r>
      <w:r>
        <w:rPr>
          <w:color w:val="221F1F"/>
        </w:rPr>
        <w:t>apply,</w:t>
      </w:r>
      <w:r>
        <w:rPr>
          <w:color w:val="221F1F"/>
          <w:spacing w:val="-5"/>
        </w:rPr>
        <w:t xml:space="preserve"> </w:t>
      </w:r>
      <w:r>
        <w:rPr>
          <w:color w:val="221F1F"/>
          <w:spacing w:val="-2"/>
        </w:rPr>
        <w:t>namely:</w:t>
      </w:r>
    </w:p>
    <w:p w:rsidR="007F6DF9" w:rsidRDefault="00A43FBC">
      <w:pPr>
        <w:pStyle w:val="ListParagraph"/>
        <w:numPr>
          <w:ilvl w:val="0"/>
          <w:numId w:val="100"/>
        </w:numPr>
        <w:tabs>
          <w:tab w:val="left" w:pos="1868"/>
        </w:tabs>
        <w:spacing w:before="48" w:line="230" w:lineRule="auto"/>
        <w:ind w:right="886"/>
      </w:pPr>
      <w:r>
        <w:rPr>
          <w:color w:val="221F1F"/>
        </w:rPr>
        <w:t>The</w:t>
      </w:r>
      <w:r>
        <w:rPr>
          <w:color w:val="221F1F"/>
          <w:spacing w:val="-2"/>
        </w:rPr>
        <w:t xml:space="preserve"> </w:t>
      </w:r>
      <w:r>
        <w:rPr>
          <w:color w:val="221F1F"/>
        </w:rPr>
        <w:t>Contractor</w:t>
      </w:r>
      <w:r>
        <w:rPr>
          <w:color w:val="221F1F"/>
          <w:spacing w:val="-2"/>
        </w:rPr>
        <w:t xml:space="preserve"> </w:t>
      </w:r>
      <w:r>
        <w:rPr>
          <w:color w:val="221F1F"/>
        </w:rPr>
        <w:t>has</w:t>
      </w:r>
      <w:r>
        <w:rPr>
          <w:color w:val="221F1F"/>
          <w:spacing w:val="-4"/>
        </w:rPr>
        <w:t xml:space="preserve"> </w:t>
      </w:r>
      <w:r>
        <w:rPr>
          <w:color w:val="221F1F"/>
        </w:rPr>
        <w:t>diligently</w:t>
      </w:r>
      <w:r>
        <w:rPr>
          <w:color w:val="221F1F"/>
          <w:spacing w:val="-2"/>
        </w:rPr>
        <w:t xml:space="preserve"> </w:t>
      </w:r>
      <w:r>
        <w:rPr>
          <w:color w:val="221F1F"/>
        </w:rPr>
        <w:t>followed</w:t>
      </w:r>
      <w:r>
        <w:rPr>
          <w:color w:val="221F1F"/>
          <w:spacing w:val="-4"/>
        </w:rPr>
        <w:t xml:space="preserve"> </w:t>
      </w:r>
      <w:r>
        <w:rPr>
          <w:color w:val="221F1F"/>
        </w:rPr>
        <w:t>the</w:t>
      </w:r>
      <w:r>
        <w:rPr>
          <w:color w:val="221F1F"/>
          <w:spacing w:val="-2"/>
        </w:rPr>
        <w:t xml:space="preserve"> </w:t>
      </w:r>
      <w:r>
        <w:rPr>
          <w:color w:val="221F1F"/>
        </w:rPr>
        <w:t>procedures</w:t>
      </w:r>
      <w:r>
        <w:rPr>
          <w:color w:val="221F1F"/>
          <w:spacing w:val="-4"/>
        </w:rPr>
        <w:t xml:space="preserve"> </w:t>
      </w:r>
      <w:r>
        <w:rPr>
          <w:color w:val="221F1F"/>
        </w:rPr>
        <w:t>laid</w:t>
      </w:r>
      <w:r>
        <w:rPr>
          <w:color w:val="221F1F"/>
          <w:spacing w:val="-2"/>
        </w:rPr>
        <w:t xml:space="preserve"> </w:t>
      </w:r>
      <w:r>
        <w:rPr>
          <w:color w:val="221F1F"/>
        </w:rPr>
        <w:t>down</w:t>
      </w:r>
      <w:r>
        <w:rPr>
          <w:color w:val="221F1F"/>
          <w:spacing w:val="-2"/>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relevant</w:t>
      </w:r>
      <w:r>
        <w:rPr>
          <w:color w:val="221F1F"/>
          <w:spacing w:val="-4"/>
        </w:rPr>
        <w:t xml:space="preserve"> </w:t>
      </w:r>
      <w:r>
        <w:rPr>
          <w:color w:val="221F1F"/>
        </w:rPr>
        <w:t>legally</w:t>
      </w:r>
      <w:r>
        <w:rPr>
          <w:color w:val="221F1F"/>
          <w:spacing w:val="-2"/>
        </w:rPr>
        <w:t xml:space="preserve"> </w:t>
      </w:r>
      <w:r>
        <w:rPr>
          <w:color w:val="221F1F"/>
        </w:rPr>
        <w:t>constituted public authorities in Kenya,</w:t>
      </w:r>
    </w:p>
    <w:p w:rsidR="007F6DF9" w:rsidRDefault="00A43FBC">
      <w:pPr>
        <w:pStyle w:val="ListParagraph"/>
        <w:numPr>
          <w:ilvl w:val="0"/>
          <w:numId w:val="100"/>
        </w:numPr>
        <w:tabs>
          <w:tab w:val="left" w:pos="1872"/>
        </w:tabs>
        <w:spacing w:before="41"/>
        <w:ind w:left="1872" w:hanging="494"/>
      </w:pPr>
      <w:r>
        <w:rPr>
          <w:color w:val="221F1F"/>
        </w:rPr>
        <w:t>These</w:t>
      </w:r>
      <w:r>
        <w:rPr>
          <w:color w:val="221F1F"/>
          <w:spacing w:val="-8"/>
        </w:rPr>
        <w:t xml:space="preserve"> </w:t>
      </w:r>
      <w:r>
        <w:rPr>
          <w:color w:val="221F1F"/>
        </w:rPr>
        <w:t>authorities</w:t>
      </w:r>
      <w:r>
        <w:rPr>
          <w:color w:val="221F1F"/>
          <w:spacing w:val="-4"/>
        </w:rPr>
        <w:t xml:space="preserve"> </w:t>
      </w:r>
      <w:r>
        <w:rPr>
          <w:color w:val="221F1F"/>
        </w:rPr>
        <w:t>delay</w:t>
      </w:r>
      <w:r>
        <w:rPr>
          <w:color w:val="221F1F"/>
          <w:spacing w:val="-4"/>
        </w:rPr>
        <w:t xml:space="preserve"> </w:t>
      </w:r>
      <w:r>
        <w:rPr>
          <w:color w:val="221F1F"/>
        </w:rPr>
        <w:t>or</w:t>
      </w:r>
      <w:r>
        <w:rPr>
          <w:color w:val="221F1F"/>
          <w:spacing w:val="-5"/>
        </w:rPr>
        <w:t xml:space="preserve"> </w:t>
      </w:r>
      <w:r>
        <w:rPr>
          <w:color w:val="221F1F"/>
        </w:rPr>
        <w:t>disrupt</w:t>
      </w:r>
      <w:r>
        <w:rPr>
          <w:color w:val="221F1F"/>
          <w:spacing w:val="-6"/>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work,</w:t>
      </w:r>
      <w:r>
        <w:rPr>
          <w:color w:val="221F1F"/>
          <w:spacing w:val="-3"/>
        </w:rPr>
        <w:t xml:space="preserve"> </w:t>
      </w:r>
      <w:r>
        <w:rPr>
          <w:color w:val="221F1F"/>
          <w:spacing w:val="-5"/>
        </w:rPr>
        <w:t>and</w:t>
      </w:r>
    </w:p>
    <w:p w:rsidR="007F6DF9" w:rsidRDefault="00A43FBC">
      <w:pPr>
        <w:pStyle w:val="ListParagraph"/>
        <w:numPr>
          <w:ilvl w:val="0"/>
          <w:numId w:val="100"/>
        </w:numPr>
        <w:tabs>
          <w:tab w:val="left" w:pos="1868"/>
        </w:tabs>
        <w:spacing w:before="48" w:line="230" w:lineRule="auto"/>
        <w:ind w:right="731"/>
      </w:pPr>
      <w:r>
        <w:rPr>
          <w:color w:val="221F1F"/>
        </w:rPr>
        <w:t>the</w:t>
      </w:r>
      <w:r>
        <w:rPr>
          <w:color w:val="221F1F"/>
          <w:spacing w:val="-2"/>
        </w:rPr>
        <w:t xml:space="preserve"> </w:t>
      </w:r>
      <w:r>
        <w:rPr>
          <w:color w:val="221F1F"/>
        </w:rPr>
        <w:t>delay</w:t>
      </w:r>
      <w:r>
        <w:rPr>
          <w:color w:val="221F1F"/>
          <w:spacing w:val="-2"/>
        </w:rPr>
        <w:t xml:space="preserve"> </w:t>
      </w:r>
      <w:r>
        <w:rPr>
          <w:color w:val="221F1F"/>
        </w:rPr>
        <w:t>or</w:t>
      </w:r>
      <w:r>
        <w:rPr>
          <w:color w:val="221F1F"/>
          <w:spacing w:val="-4"/>
        </w:rPr>
        <w:t xml:space="preserve"> </w:t>
      </w:r>
      <w:r>
        <w:rPr>
          <w:color w:val="221F1F"/>
        </w:rPr>
        <w:t>disruption</w:t>
      </w:r>
      <w:r>
        <w:rPr>
          <w:color w:val="221F1F"/>
          <w:spacing w:val="-2"/>
        </w:rPr>
        <w:t xml:space="preserve"> </w:t>
      </w:r>
      <w:r>
        <w:rPr>
          <w:color w:val="221F1F"/>
        </w:rPr>
        <w:t>was</w:t>
      </w:r>
      <w:r>
        <w:rPr>
          <w:color w:val="221F1F"/>
          <w:spacing w:val="-4"/>
        </w:rPr>
        <w:t xml:space="preserve"> </w:t>
      </w:r>
      <w:r>
        <w:rPr>
          <w:color w:val="221F1F"/>
        </w:rPr>
        <w:t>Unforeseeable,</w:t>
      </w:r>
      <w:r>
        <w:rPr>
          <w:color w:val="221F1F"/>
          <w:spacing w:val="-2"/>
        </w:rPr>
        <w:t xml:space="preserve"> </w:t>
      </w:r>
      <w:r>
        <w:rPr>
          <w:color w:val="221F1F"/>
        </w:rPr>
        <w:t>then</w:t>
      </w:r>
      <w:r>
        <w:rPr>
          <w:color w:val="221F1F"/>
          <w:spacing w:val="-4"/>
        </w:rPr>
        <w:t xml:space="preserve"> </w:t>
      </w:r>
      <w:r>
        <w:rPr>
          <w:color w:val="221F1F"/>
        </w:rPr>
        <w:t>this</w:t>
      </w:r>
      <w:r>
        <w:rPr>
          <w:color w:val="221F1F"/>
          <w:spacing w:val="-2"/>
        </w:rPr>
        <w:t xml:space="preserve"> </w:t>
      </w:r>
      <w:r>
        <w:rPr>
          <w:color w:val="221F1F"/>
        </w:rPr>
        <w:t>delay</w:t>
      </w:r>
      <w:r>
        <w:rPr>
          <w:color w:val="221F1F"/>
          <w:spacing w:val="-2"/>
        </w:rPr>
        <w:t xml:space="preserve"> </w:t>
      </w:r>
      <w:r>
        <w:rPr>
          <w:color w:val="221F1F"/>
        </w:rPr>
        <w:t>or</w:t>
      </w:r>
      <w:r>
        <w:rPr>
          <w:color w:val="221F1F"/>
          <w:spacing w:val="-1"/>
        </w:rPr>
        <w:t xml:space="preserve"> </w:t>
      </w:r>
      <w:r>
        <w:rPr>
          <w:color w:val="221F1F"/>
        </w:rPr>
        <w:t>disruption</w:t>
      </w:r>
      <w:r>
        <w:rPr>
          <w:color w:val="221F1F"/>
          <w:spacing w:val="-5"/>
        </w:rPr>
        <w:t xml:space="preserve"> </w:t>
      </w:r>
      <w:r>
        <w:rPr>
          <w:color w:val="221F1F"/>
        </w:rPr>
        <w:t>will</w:t>
      </w:r>
      <w:r>
        <w:rPr>
          <w:color w:val="221F1F"/>
          <w:spacing w:val="-1"/>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as</w:t>
      </w:r>
      <w:r>
        <w:rPr>
          <w:color w:val="221F1F"/>
          <w:spacing w:val="-2"/>
        </w:rPr>
        <w:t xml:space="preserve"> </w:t>
      </w:r>
      <w:r>
        <w:rPr>
          <w:color w:val="221F1F"/>
        </w:rPr>
        <w:t>a</w:t>
      </w:r>
      <w:r>
        <w:rPr>
          <w:color w:val="221F1F"/>
          <w:spacing w:val="-4"/>
        </w:rPr>
        <w:t xml:space="preserve"> </w:t>
      </w:r>
      <w:r>
        <w:rPr>
          <w:color w:val="221F1F"/>
        </w:rPr>
        <w:t>cause of delay under sub-paragraph (b) of Sub-Clause 8.4 [Extension of Time for Completion].</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A43FBC">
      <w:pPr>
        <w:pStyle w:val="BodyText"/>
      </w:pPr>
      <w:r>
        <w:rPr>
          <w:noProof/>
        </w:rPr>
        <w:lastRenderedPageBreak/>
        <mc:AlternateContent>
          <mc:Choice Requires="wpg">
            <w:drawing>
              <wp:anchor distT="0" distB="0" distL="0" distR="0" simplePos="0" relativeHeight="479600640"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45" name="Graphic 34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46" name="Graphic 34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034D84C8" id="Group 344" o:spid="_x0000_s1026" style="position:absolute;margin-left:-.1pt;margin-top:806.2pt;width:595.45pt;height:24.5pt;z-index:-23715840;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F8vjSpZAwAA3AsAAA4A&#10;AAAAAAAAAAAAAAAALgIAAGRycy9lMm9Eb2MueG1sUEsBAi0AFAAGAAgAAAAhAHX34X/hAAAADAEA&#10;AA8AAAAAAAAAAAAAAAAAswUAAGRycy9kb3ducmV2LnhtbFBLBQYAAAAABAAEAPMAAADBBgAAAAA=&#10;">
                <v:shape id="Graphic 34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" path="m944880,l,,,307975r790575,l839470,300355r41910,-22225l915035,245110r22225,-42545l944880,153670,944880,xe" fillcolor="#00a650" stroked="f">
                  <v:path arrowok="t"/>
                </v:shape>
                <v:shape id="Graphic 34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p>
    <w:p w:rsidR="007F6DF9" w:rsidRDefault="007F6DF9">
      <w:pPr>
        <w:pStyle w:val="BodyText"/>
        <w:spacing w:before="68"/>
      </w:pPr>
    </w:p>
    <w:p w:rsidR="007F6DF9" w:rsidRDefault="00A43FBC">
      <w:pPr>
        <w:pStyle w:val="Heading9"/>
        <w:numPr>
          <w:ilvl w:val="1"/>
          <w:numId w:val="122"/>
        </w:numPr>
        <w:tabs>
          <w:tab w:val="left" w:pos="1378"/>
        </w:tabs>
        <w:ind w:left="1378" w:hanging="639"/>
        <w:rPr>
          <w:color w:val="221F1F"/>
        </w:rPr>
      </w:pPr>
      <w:r>
        <w:rPr>
          <w:color w:val="221F1F"/>
        </w:rPr>
        <w:t>Rate</w:t>
      </w:r>
      <w:r>
        <w:rPr>
          <w:color w:val="221F1F"/>
          <w:spacing w:val="-1"/>
        </w:rPr>
        <w:t xml:space="preserve"> </w:t>
      </w:r>
      <w:r>
        <w:rPr>
          <w:color w:val="221F1F"/>
        </w:rPr>
        <w:t>of</w:t>
      </w:r>
      <w:r>
        <w:rPr>
          <w:color w:val="221F1F"/>
          <w:spacing w:val="-2"/>
        </w:rPr>
        <w:t xml:space="preserve"> Progress</w:t>
      </w:r>
    </w:p>
    <w:p w:rsidR="007F6DF9" w:rsidRDefault="00A43FBC">
      <w:pPr>
        <w:pStyle w:val="ListParagraph"/>
        <w:numPr>
          <w:ilvl w:val="2"/>
          <w:numId w:val="122"/>
        </w:numPr>
        <w:tabs>
          <w:tab w:val="left" w:pos="1375"/>
        </w:tabs>
        <w:spacing w:before="228" w:line="251" w:lineRule="exact"/>
        <w:ind w:left="1375" w:hanging="657"/>
        <w:jc w:val="both"/>
        <w:rPr>
          <w:color w:val="221F1F"/>
        </w:rPr>
      </w:pPr>
      <w:r>
        <w:rPr>
          <w:color w:val="221F1F"/>
        </w:rPr>
        <w:t>If,</w:t>
      </w:r>
      <w:r>
        <w:rPr>
          <w:color w:val="221F1F"/>
          <w:spacing w:val="-1"/>
        </w:rPr>
        <w:t xml:space="preserve"> </w:t>
      </w:r>
      <w:r>
        <w:rPr>
          <w:color w:val="221F1F"/>
        </w:rPr>
        <w:t xml:space="preserve">at </w:t>
      </w:r>
      <w:proofErr w:type="spellStart"/>
      <w:r>
        <w:rPr>
          <w:color w:val="221F1F"/>
          <w:spacing w:val="-2"/>
        </w:rPr>
        <w:t>anytime</w:t>
      </w:r>
      <w:proofErr w:type="spellEnd"/>
      <w:r>
        <w:rPr>
          <w:color w:val="221F1F"/>
          <w:spacing w:val="-2"/>
        </w:rPr>
        <w:t>:</w:t>
      </w:r>
    </w:p>
    <w:p w:rsidR="007F6DF9" w:rsidRDefault="00A43FBC">
      <w:pPr>
        <w:pStyle w:val="ListParagraph"/>
        <w:numPr>
          <w:ilvl w:val="0"/>
          <w:numId w:val="53"/>
        </w:numPr>
        <w:tabs>
          <w:tab w:val="left" w:pos="1871"/>
        </w:tabs>
        <w:spacing w:line="251" w:lineRule="exact"/>
        <w:ind w:left="1871" w:hanging="493"/>
        <w:jc w:val="both"/>
      </w:pPr>
      <w:r>
        <w:rPr>
          <w:color w:val="221F1F"/>
        </w:rPr>
        <w:t>Actual</w:t>
      </w:r>
      <w:r>
        <w:rPr>
          <w:color w:val="221F1F"/>
          <w:spacing w:val="-2"/>
        </w:rPr>
        <w:t xml:space="preserve"> </w:t>
      </w:r>
      <w:r>
        <w:rPr>
          <w:color w:val="221F1F"/>
        </w:rPr>
        <w:t>progress</w:t>
      </w:r>
      <w:r>
        <w:rPr>
          <w:color w:val="221F1F"/>
          <w:spacing w:val="-5"/>
        </w:rPr>
        <w:t xml:space="preserve"> </w:t>
      </w:r>
      <w:r>
        <w:rPr>
          <w:color w:val="221F1F"/>
        </w:rPr>
        <w:t>is</w:t>
      </w:r>
      <w:r>
        <w:rPr>
          <w:color w:val="221F1F"/>
          <w:spacing w:val="-5"/>
        </w:rPr>
        <w:t xml:space="preserve"> </w:t>
      </w:r>
      <w:r>
        <w:rPr>
          <w:color w:val="221F1F"/>
        </w:rPr>
        <w:t>too</w:t>
      </w:r>
      <w:r>
        <w:rPr>
          <w:color w:val="221F1F"/>
          <w:spacing w:val="-3"/>
        </w:rPr>
        <w:t xml:space="preserve"> </w:t>
      </w:r>
      <w:r>
        <w:rPr>
          <w:color w:val="221F1F"/>
        </w:rPr>
        <w:t>slow</w:t>
      </w:r>
      <w:r>
        <w:rPr>
          <w:color w:val="221F1F"/>
          <w:spacing w:val="-7"/>
        </w:rPr>
        <w:t xml:space="preserve"> </w:t>
      </w:r>
      <w:r>
        <w:rPr>
          <w:color w:val="221F1F"/>
        </w:rPr>
        <w:t>to</w:t>
      </w:r>
      <w:r>
        <w:rPr>
          <w:color w:val="221F1F"/>
          <w:spacing w:val="-3"/>
        </w:rPr>
        <w:t xml:space="preserve"> </w:t>
      </w:r>
      <w:r>
        <w:rPr>
          <w:color w:val="221F1F"/>
        </w:rPr>
        <w:t>complete</w:t>
      </w:r>
      <w:r>
        <w:rPr>
          <w:color w:val="221F1F"/>
          <w:spacing w:val="-2"/>
        </w:rPr>
        <w:t xml:space="preserve"> </w:t>
      </w:r>
      <w:r>
        <w:rPr>
          <w:color w:val="221F1F"/>
        </w:rPr>
        <w:t>within</w:t>
      </w:r>
      <w:r>
        <w:rPr>
          <w:color w:val="221F1F"/>
          <w:spacing w:val="-3"/>
        </w:rPr>
        <w:t xml:space="preserve"> </w:t>
      </w:r>
      <w:r>
        <w:rPr>
          <w:color w:val="221F1F"/>
        </w:rPr>
        <w:t>the</w:t>
      </w:r>
      <w:r>
        <w:rPr>
          <w:color w:val="221F1F"/>
          <w:spacing w:val="-2"/>
        </w:rPr>
        <w:t xml:space="preserve"> </w:t>
      </w:r>
      <w:r>
        <w:rPr>
          <w:color w:val="221F1F"/>
        </w:rPr>
        <w:t>Time</w:t>
      </w:r>
      <w:r>
        <w:rPr>
          <w:color w:val="221F1F"/>
          <w:spacing w:val="-3"/>
        </w:rPr>
        <w:t xml:space="preserve"> </w:t>
      </w:r>
      <w:r>
        <w:rPr>
          <w:color w:val="221F1F"/>
        </w:rPr>
        <w:t>for</w:t>
      </w:r>
      <w:r>
        <w:rPr>
          <w:color w:val="221F1F"/>
          <w:spacing w:val="-5"/>
        </w:rPr>
        <w:t xml:space="preserve"> </w:t>
      </w:r>
      <w:r>
        <w:rPr>
          <w:color w:val="221F1F"/>
        </w:rPr>
        <w:t>Completion,</w:t>
      </w:r>
      <w:r>
        <w:rPr>
          <w:color w:val="221F1F"/>
          <w:spacing w:val="-2"/>
        </w:rPr>
        <w:t xml:space="preserve"> and/or</w:t>
      </w:r>
    </w:p>
    <w:p w:rsidR="007F6DF9" w:rsidRDefault="00A43FBC">
      <w:pPr>
        <w:pStyle w:val="ListParagraph"/>
        <w:numPr>
          <w:ilvl w:val="0"/>
          <w:numId w:val="53"/>
        </w:numPr>
        <w:tabs>
          <w:tab w:val="left" w:pos="1873"/>
          <w:tab w:val="left" w:pos="1882"/>
        </w:tabs>
        <w:spacing w:before="48" w:line="230" w:lineRule="auto"/>
        <w:ind w:left="1882" w:right="557" w:hanging="504"/>
        <w:jc w:val="both"/>
      </w:pPr>
      <w:r>
        <w:rPr>
          <w:color w:val="221F1F"/>
        </w:rPr>
        <w:t xml:space="preserve">Progress has fallen (or will fall) behind the current </w:t>
      </w:r>
      <w:proofErr w:type="spellStart"/>
      <w:r>
        <w:rPr>
          <w:color w:val="221F1F"/>
        </w:rPr>
        <w:t>programme</w:t>
      </w:r>
      <w:proofErr w:type="spellEnd"/>
      <w:r>
        <w:rPr>
          <w:color w:val="221F1F"/>
        </w:rPr>
        <w:t xml:space="preserve"> under Sub-Clause 8.3 [</w:t>
      </w:r>
      <w:proofErr w:type="spellStart"/>
      <w:r>
        <w:rPr>
          <w:color w:val="221F1F"/>
        </w:rPr>
        <w:t>Programme</w:t>
      </w:r>
      <w:proofErr w:type="spellEnd"/>
      <w:r>
        <w:rPr>
          <w:color w:val="221F1F"/>
        </w:rPr>
        <w:t>], other than as a result of a cause listed in Sub-Clause 8.4 [Extension of Time for Completion], then the Architect may instruct the Contractor to submit, under Sub-Clause 8.3 [</w:t>
      </w:r>
      <w:proofErr w:type="spellStart"/>
      <w:r>
        <w:rPr>
          <w:color w:val="221F1F"/>
        </w:rPr>
        <w:t>Programme</w:t>
      </w:r>
      <w:proofErr w:type="spellEnd"/>
      <w:r>
        <w:rPr>
          <w:color w:val="221F1F"/>
        </w:rPr>
        <w:t xml:space="preserve">], a revised </w:t>
      </w:r>
      <w:proofErr w:type="spellStart"/>
      <w:r>
        <w:rPr>
          <w:color w:val="221F1F"/>
        </w:rPr>
        <w:t>programme</w:t>
      </w:r>
      <w:proofErr w:type="spellEnd"/>
      <w:r>
        <w:rPr>
          <w:color w:val="221F1F"/>
        </w:rPr>
        <w:t xml:space="preserve"> and supporting report describing the revised methods which the Contractor proposes to adopt in order to expedite progress and complete within the Time for Completion.</w:t>
      </w:r>
    </w:p>
    <w:p w:rsidR="007F6DF9" w:rsidRDefault="00A43FBC">
      <w:pPr>
        <w:pStyle w:val="ListParagraph"/>
        <w:numPr>
          <w:ilvl w:val="2"/>
          <w:numId w:val="122"/>
        </w:numPr>
        <w:tabs>
          <w:tab w:val="left" w:pos="1374"/>
          <w:tab w:val="left" w:pos="1378"/>
        </w:tabs>
        <w:spacing w:before="245" w:line="230" w:lineRule="auto"/>
        <w:ind w:left="1378" w:right="549" w:hanging="661"/>
        <w:jc w:val="both"/>
        <w:rPr>
          <w:color w:val="221F1F"/>
        </w:rPr>
      </w:pPr>
      <w:r>
        <w:rPr>
          <w:color w:val="221F1F"/>
        </w:rPr>
        <w:t xml:space="preserve">Unless the Architect notifies otherwise, the Contractor shall adopt these revised methods, which </w:t>
      </w:r>
      <w:proofErr w:type="spellStart"/>
      <w:r>
        <w:rPr>
          <w:color w:val="221F1F"/>
        </w:rPr>
        <w:t>mayrequire</w:t>
      </w:r>
      <w:proofErr w:type="spellEnd"/>
      <w:r>
        <w:rPr>
          <w:color w:val="221F1F"/>
        </w:rPr>
        <w:t xml:space="preserve"> increases</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working</w:t>
      </w:r>
      <w:r>
        <w:rPr>
          <w:color w:val="221F1F"/>
          <w:spacing w:val="-1"/>
        </w:rPr>
        <w:t xml:space="preserve"> </w:t>
      </w:r>
      <w:r>
        <w:rPr>
          <w:color w:val="221F1F"/>
        </w:rPr>
        <w:t>hours</w:t>
      </w:r>
      <w:r>
        <w:rPr>
          <w:color w:val="221F1F"/>
          <w:spacing w:val="-1"/>
        </w:rPr>
        <w:t xml:space="preserve"> </w:t>
      </w:r>
      <w:r>
        <w:rPr>
          <w:color w:val="221F1F"/>
        </w:rPr>
        <w:t>and/or</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numbers</w:t>
      </w:r>
      <w:r>
        <w:rPr>
          <w:color w:val="221F1F"/>
          <w:spacing w:val="-1"/>
        </w:rPr>
        <w:t xml:space="preserve"> </w:t>
      </w:r>
      <w:r>
        <w:rPr>
          <w:color w:val="221F1F"/>
        </w:rPr>
        <w:t>of</w:t>
      </w:r>
      <w:r>
        <w:rPr>
          <w:color w:val="221F1F"/>
          <w:spacing w:val="-1"/>
        </w:rPr>
        <w:t xml:space="preserve"> </w:t>
      </w:r>
      <w:r>
        <w:rPr>
          <w:color w:val="221F1F"/>
        </w:rPr>
        <w:t>Contractor's</w:t>
      </w:r>
      <w:r>
        <w:rPr>
          <w:color w:val="221F1F"/>
          <w:spacing w:val="-1"/>
        </w:rPr>
        <w:t xml:space="preserve"> </w:t>
      </w:r>
      <w:r>
        <w:rPr>
          <w:color w:val="221F1F"/>
        </w:rPr>
        <w:t>Personnel</w:t>
      </w:r>
      <w:r>
        <w:rPr>
          <w:color w:val="221F1F"/>
          <w:spacing w:val="-3"/>
        </w:rPr>
        <w:t xml:space="preserve"> </w:t>
      </w:r>
      <w:r>
        <w:rPr>
          <w:color w:val="221F1F"/>
        </w:rPr>
        <w:t>and/or</w:t>
      </w:r>
      <w:r>
        <w:rPr>
          <w:color w:val="221F1F"/>
          <w:spacing w:val="-1"/>
        </w:rPr>
        <w:t xml:space="preserve"> </w:t>
      </w:r>
      <w:r>
        <w:rPr>
          <w:color w:val="221F1F"/>
        </w:rPr>
        <w:t>Goods,</w:t>
      </w:r>
      <w:r>
        <w:rPr>
          <w:color w:val="221F1F"/>
          <w:spacing w:val="-1"/>
        </w:rPr>
        <w:t xml:space="preserve"> </w:t>
      </w:r>
      <w:r>
        <w:rPr>
          <w:color w:val="221F1F"/>
        </w:rPr>
        <w:t>at the</w:t>
      </w:r>
      <w:r>
        <w:rPr>
          <w:color w:val="221F1F"/>
          <w:spacing w:val="-3"/>
        </w:rPr>
        <w:t xml:space="preserve"> </w:t>
      </w:r>
      <w:r>
        <w:rPr>
          <w:color w:val="221F1F"/>
        </w:rPr>
        <w:t>risk</w:t>
      </w:r>
      <w:r>
        <w:rPr>
          <w:color w:val="221F1F"/>
          <w:spacing w:val="-1"/>
        </w:rPr>
        <w:t xml:space="preserve"> </w:t>
      </w:r>
      <w:r>
        <w:rPr>
          <w:color w:val="221F1F"/>
        </w:rPr>
        <w:t>and cost of the Contractor. If these revised methods cause the Procuring Entity to incur additional costs, the Contractor shall subject to notice under Sub-Clause 2.5 [Procuring Entity's Claims] pay these costs to the Procuring Entity, in addition to delay damages (if any) under Sub-Clause 8.7 below.</w:t>
      </w:r>
    </w:p>
    <w:p w:rsidR="007F6DF9" w:rsidRDefault="00A43FBC">
      <w:pPr>
        <w:pStyle w:val="ListParagraph"/>
        <w:numPr>
          <w:ilvl w:val="2"/>
          <w:numId w:val="122"/>
        </w:numPr>
        <w:tabs>
          <w:tab w:val="left" w:pos="1374"/>
          <w:tab w:val="left" w:pos="1378"/>
        </w:tabs>
        <w:spacing w:before="245" w:line="230" w:lineRule="auto"/>
        <w:ind w:left="1378" w:right="555" w:hanging="661"/>
        <w:jc w:val="both"/>
        <w:rPr>
          <w:color w:val="221F1F"/>
        </w:rPr>
      </w:pPr>
      <w:r>
        <w:rPr>
          <w:color w:val="221F1F"/>
        </w:rPr>
        <w:t>Additional costs of revised methods including acceleration measures, instructed by the Architect to reduce delays resulting from causes listed under Sub-Clause 8.4 [Extension of Time for Completion] shall be paid by</w:t>
      </w:r>
      <w:r>
        <w:rPr>
          <w:color w:val="221F1F"/>
          <w:spacing w:val="-9"/>
        </w:rPr>
        <w:t xml:space="preserve"> </w:t>
      </w:r>
      <w:r>
        <w:rPr>
          <w:color w:val="221F1F"/>
        </w:rPr>
        <w:t>the</w:t>
      </w:r>
      <w:r>
        <w:rPr>
          <w:color w:val="221F1F"/>
          <w:spacing w:val="-9"/>
        </w:rPr>
        <w:t xml:space="preserve"> </w:t>
      </w:r>
      <w:r>
        <w:rPr>
          <w:color w:val="221F1F"/>
        </w:rPr>
        <w:t>Procuring</w:t>
      </w:r>
      <w:r>
        <w:rPr>
          <w:color w:val="221F1F"/>
          <w:spacing w:val="-9"/>
        </w:rPr>
        <w:t xml:space="preserve"> </w:t>
      </w:r>
      <w:r>
        <w:rPr>
          <w:color w:val="221F1F"/>
        </w:rPr>
        <w:t>Entity,</w:t>
      </w:r>
      <w:r>
        <w:rPr>
          <w:color w:val="221F1F"/>
          <w:spacing w:val="-14"/>
        </w:rPr>
        <w:t xml:space="preserve"> </w:t>
      </w:r>
      <w:r>
        <w:rPr>
          <w:color w:val="221F1F"/>
        </w:rPr>
        <w:t>without</w:t>
      </w:r>
      <w:r>
        <w:rPr>
          <w:color w:val="221F1F"/>
          <w:spacing w:val="-7"/>
        </w:rPr>
        <w:t xml:space="preserve"> </w:t>
      </w:r>
      <w:r>
        <w:rPr>
          <w:color w:val="221F1F"/>
        </w:rPr>
        <w:t>generating,</w:t>
      </w:r>
      <w:r>
        <w:rPr>
          <w:color w:val="221F1F"/>
          <w:spacing w:val="-9"/>
        </w:rPr>
        <w:t xml:space="preserve"> </w:t>
      </w:r>
      <w:r>
        <w:rPr>
          <w:color w:val="221F1F"/>
        </w:rPr>
        <w:t>however,</w:t>
      </w:r>
      <w:r>
        <w:rPr>
          <w:color w:val="221F1F"/>
          <w:spacing w:val="-8"/>
        </w:rPr>
        <w:t xml:space="preserve"> </w:t>
      </w:r>
      <w:r>
        <w:rPr>
          <w:color w:val="221F1F"/>
        </w:rPr>
        <w:t>any</w:t>
      </w:r>
      <w:r>
        <w:rPr>
          <w:color w:val="221F1F"/>
          <w:spacing w:val="-9"/>
        </w:rPr>
        <w:t xml:space="preserve"> </w:t>
      </w:r>
      <w:r>
        <w:rPr>
          <w:color w:val="221F1F"/>
        </w:rPr>
        <w:t>other</w:t>
      </w:r>
      <w:r>
        <w:rPr>
          <w:color w:val="221F1F"/>
          <w:spacing w:val="-8"/>
        </w:rPr>
        <w:t xml:space="preserve"> </w:t>
      </w:r>
      <w:r>
        <w:rPr>
          <w:color w:val="221F1F"/>
        </w:rPr>
        <w:t>additional</w:t>
      </w:r>
      <w:r>
        <w:rPr>
          <w:color w:val="221F1F"/>
          <w:spacing w:val="-8"/>
        </w:rPr>
        <w:t xml:space="preserve"> </w:t>
      </w:r>
      <w:r>
        <w:rPr>
          <w:color w:val="221F1F"/>
        </w:rPr>
        <w:t>payment</w:t>
      </w:r>
      <w:r>
        <w:rPr>
          <w:color w:val="221F1F"/>
          <w:spacing w:val="-7"/>
        </w:rPr>
        <w:t xml:space="preserve"> </w:t>
      </w:r>
      <w:r>
        <w:rPr>
          <w:color w:val="221F1F"/>
        </w:rPr>
        <w:t>benefit</w:t>
      </w:r>
      <w:r>
        <w:rPr>
          <w:color w:val="221F1F"/>
          <w:spacing w:val="-8"/>
        </w:rPr>
        <w:t xml:space="preserve"> </w:t>
      </w:r>
      <w:r>
        <w:rPr>
          <w:color w:val="221F1F"/>
        </w:rPr>
        <w:t>to</w:t>
      </w:r>
      <w:r>
        <w:rPr>
          <w:color w:val="221F1F"/>
          <w:spacing w:val="-11"/>
        </w:rPr>
        <w:t xml:space="preserve"> </w:t>
      </w:r>
      <w:r>
        <w:rPr>
          <w:color w:val="221F1F"/>
        </w:rPr>
        <w:t>the</w:t>
      </w:r>
      <w:r>
        <w:rPr>
          <w:color w:val="221F1F"/>
          <w:spacing w:val="-9"/>
        </w:rPr>
        <w:t xml:space="preserve"> </w:t>
      </w:r>
      <w:r>
        <w:rPr>
          <w:color w:val="221F1F"/>
        </w:rPr>
        <w:t>Contractor.</w:t>
      </w:r>
    </w:p>
    <w:p w:rsidR="007F6DF9" w:rsidRDefault="00A43FBC">
      <w:pPr>
        <w:pStyle w:val="Heading9"/>
        <w:numPr>
          <w:ilvl w:val="1"/>
          <w:numId w:val="122"/>
        </w:numPr>
        <w:tabs>
          <w:tab w:val="left" w:pos="1378"/>
        </w:tabs>
        <w:spacing w:before="238"/>
        <w:ind w:left="1378" w:hanging="660"/>
        <w:rPr>
          <w:color w:val="221F1F"/>
        </w:rPr>
      </w:pPr>
      <w:r>
        <w:rPr>
          <w:color w:val="221F1F"/>
        </w:rPr>
        <w:t>Delay</w:t>
      </w:r>
      <w:r>
        <w:rPr>
          <w:color w:val="221F1F"/>
          <w:spacing w:val="-1"/>
        </w:rPr>
        <w:t xml:space="preserve"> </w:t>
      </w:r>
      <w:r>
        <w:rPr>
          <w:color w:val="221F1F"/>
          <w:spacing w:val="-2"/>
        </w:rPr>
        <w:t>Damages</w:t>
      </w:r>
    </w:p>
    <w:p w:rsidR="007F6DF9" w:rsidRDefault="00A43FBC">
      <w:pPr>
        <w:pStyle w:val="ListParagraph"/>
        <w:numPr>
          <w:ilvl w:val="2"/>
          <w:numId w:val="122"/>
        </w:numPr>
        <w:tabs>
          <w:tab w:val="left" w:pos="1362"/>
          <w:tab w:val="left" w:pos="1366"/>
        </w:tabs>
        <w:spacing w:before="242" w:line="230" w:lineRule="auto"/>
        <w:ind w:left="1366" w:right="553" w:hanging="649"/>
        <w:jc w:val="both"/>
        <w:rPr>
          <w:color w:val="221F1F"/>
        </w:rPr>
      </w:pPr>
      <w:r>
        <w:rPr>
          <w:color w:val="221F1F"/>
        </w:rPr>
        <w:t>If the Contractor fails to comply with Sub-Clause 8.2</w:t>
      </w:r>
      <w:r>
        <w:rPr>
          <w:color w:val="221F1F"/>
          <w:spacing w:val="-1"/>
        </w:rPr>
        <w:t xml:space="preserve"> </w:t>
      </w:r>
      <w:r>
        <w:rPr>
          <w:color w:val="221F1F"/>
        </w:rPr>
        <w:t>[Time for Completion], the</w:t>
      </w:r>
      <w:r>
        <w:rPr>
          <w:color w:val="221F1F"/>
          <w:spacing w:val="-1"/>
        </w:rPr>
        <w:t xml:space="preserve"> </w:t>
      </w:r>
      <w:r>
        <w:rPr>
          <w:color w:val="221F1F"/>
        </w:rPr>
        <w:t>Contractor shall subject to notice under Sub-Clause 2.5 [Procuring Entity's Claims] pay delay damages to the Procuring Entity for this default. These delay damages shall be</w:t>
      </w:r>
      <w:r>
        <w:rPr>
          <w:color w:val="221F1F"/>
          <w:spacing w:val="-2"/>
        </w:rPr>
        <w:t xml:space="preserve"> </w:t>
      </w:r>
      <w:r>
        <w:rPr>
          <w:color w:val="221F1F"/>
        </w:rPr>
        <w:t>the sum</w:t>
      </w:r>
      <w:r>
        <w:rPr>
          <w:color w:val="221F1F"/>
          <w:spacing w:val="-1"/>
        </w:rPr>
        <w:t xml:space="preserve"> </w:t>
      </w:r>
      <w:r>
        <w:rPr>
          <w:color w:val="221F1F"/>
        </w:rPr>
        <w:t>stated</w:t>
      </w:r>
      <w:r>
        <w:rPr>
          <w:color w:val="221F1F"/>
          <w:spacing w:val="-2"/>
        </w:rPr>
        <w:t xml:space="preserve"> </w:t>
      </w:r>
      <w:r>
        <w:rPr>
          <w:color w:val="221F1F"/>
        </w:rPr>
        <w:t xml:space="preserve">in the </w:t>
      </w:r>
      <w:r>
        <w:rPr>
          <w:b/>
          <w:color w:val="221F1F"/>
        </w:rPr>
        <w:t>Special Conditions of Contract</w:t>
      </w:r>
      <w:r>
        <w:rPr>
          <w:color w:val="221F1F"/>
        </w:rPr>
        <w:t>,</w:t>
      </w:r>
      <w:r>
        <w:rPr>
          <w:color w:val="221F1F"/>
          <w:spacing w:val="-3"/>
        </w:rPr>
        <w:t xml:space="preserve"> </w:t>
      </w:r>
      <w:r>
        <w:rPr>
          <w:color w:val="221F1F"/>
        </w:rPr>
        <w:t>which shall be paid for everyday which shall elapse between the relevant Time for Completion and the date stated in the taking-Over</w:t>
      </w:r>
      <w:r>
        <w:rPr>
          <w:color w:val="221F1F"/>
          <w:spacing w:val="-4"/>
        </w:rPr>
        <w:t xml:space="preserve"> </w:t>
      </w:r>
      <w:r>
        <w:rPr>
          <w:color w:val="221F1F"/>
        </w:rPr>
        <w:t>Certificate.</w:t>
      </w:r>
      <w:r>
        <w:rPr>
          <w:color w:val="221F1F"/>
          <w:spacing w:val="-5"/>
        </w:rPr>
        <w:t xml:space="preserve"> </w:t>
      </w:r>
      <w:r>
        <w:rPr>
          <w:color w:val="221F1F"/>
        </w:rPr>
        <w:t>However,</w:t>
      </w:r>
      <w:r>
        <w:rPr>
          <w:color w:val="221F1F"/>
          <w:spacing w:val="-7"/>
        </w:rPr>
        <w:t xml:space="preserve"> </w:t>
      </w:r>
      <w:r>
        <w:rPr>
          <w:color w:val="221F1F"/>
        </w:rPr>
        <w:t>the</w:t>
      </w:r>
      <w:r>
        <w:rPr>
          <w:color w:val="221F1F"/>
          <w:spacing w:val="-5"/>
        </w:rPr>
        <w:t xml:space="preserve"> </w:t>
      </w:r>
      <w:r>
        <w:rPr>
          <w:color w:val="221F1F"/>
        </w:rPr>
        <w:t>total</w:t>
      </w:r>
      <w:r>
        <w:rPr>
          <w:color w:val="221F1F"/>
          <w:spacing w:val="-7"/>
        </w:rPr>
        <w:t xml:space="preserve"> </w:t>
      </w:r>
      <w:r>
        <w:rPr>
          <w:color w:val="221F1F"/>
        </w:rPr>
        <w:t>amount</w:t>
      </w:r>
      <w:r>
        <w:rPr>
          <w:color w:val="221F1F"/>
          <w:spacing w:val="-7"/>
        </w:rPr>
        <w:t xml:space="preserve"> </w:t>
      </w:r>
      <w:r>
        <w:rPr>
          <w:color w:val="221F1F"/>
        </w:rPr>
        <w:t>due</w:t>
      </w:r>
      <w:r>
        <w:rPr>
          <w:color w:val="221F1F"/>
          <w:spacing w:val="-7"/>
        </w:rPr>
        <w:t xml:space="preserve"> </w:t>
      </w:r>
      <w:r>
        <w:rPr>
          <w:color w:val="221F1F"/>
        </w:rPr>
        <w:t>under</w:t>
      </w:r>
      <w:r>
        <w:rPr>
          <w:color w:val="221F1F"/>
          <w:spacing w:val="-7"/>
        </w:rPr>
        <w:t xml:space="preserve"> </w:t>
      </w:r>
      <w:r>
        <w:rPr>
          <w:color w:val="221F1F"/>
        </w:rPr>
        <w:t>this</w:t>
      </w:r>
      <w:r>
        <w:rPr>
          <w:color w:val="221F1F"/>
          <w:spacing w:val="-5"/>
        </w:rPr>
        <w:t xml:space="preserve"> </w:t>
      </w:r>
      <w:r>
        <w:rPr>
          <w:color w:val="221F1F"/>
        </w:rPr>
        <w:t>Sub-Clause</w:t>
      </w:r>
      <w:r>
        <w:rPr>
          <w:color w:val="221F1F"/>
          <w:spacing w:val="-7"/>
        </w:rPr>
        <w:t xml:space="preserve"> </w:t>
      </w:r>
      <w:r>
        <w:rPr>
          <w:color w:val="221F1F"/>
        </w:rPr>
        <w:t>shall</w:t>
      </w:r>
      <w:r>
        <w:rPr>
          <w:color w:val="221F1F"/>
          <w:spacing w:val="-6"/>
        </w:rPr>
        <w:t xml:space="preserve"> </w:t>
      </w:r>
      <w:r>
        <w:rPr>
          <w:color w:val="221F1F"/>
        </w:rPr>
        <w:t>not</w:t>
      </w:r>
      <w:r>
        <w:rPr>
          <w:color w:val="221F1F"/>
          <w:spacing w:val="-7"/>
        </w:rPr>
        <w:t xml:space="preserve"> </w:t>
      </w:r>
      <w:r>
        <w:rPr>
          <w:color w:val="221F1F"/>
        </w:rPr>
        <w:t>exceed</w:t>
      </w:r>
      <w:r>
        <w:rPr>
          <w:color w:val="221F1F"/>
          <w:spacing w:val="-8"/>
        </w:rPr>
        <w:t xml:space="preserve"> </w:t>
      </w:r>
      <w:r>
        <w:rPr>
          <w:color w:val="221F1F"/>
        </w:rPr>
        <w:t>the</w:t>
      </w:r>
      <w:r>
        <w:rPr>
          <w:color w:val="221F1F"/>
          <w:spacing w:val="-7"/>
        </w:rPr>
        <w:t xml:space="preserve"> </w:t>
      </w:r>
      <w:r>
        <w:rPr>
          <w:color w:val="221F1F"/>
        </w:rPr>
        <w:t>maximum amount of delay damages (if any) stated in the Special Conditions of Contract.</w:t>
      </w:r>
    </w:p>
    <w:p w:rsidR="007F6DF9" w:rsidRDefault="00A43FBC">
      <w:pPr>
        <w:pStyle w:val="ListParagraph"/>
        <w:numPr>
          <w:ilvl w:val="2"/>
          <w:numId w:val="122"/>
        </w:numPr>
        <w:tabs>
          <w:tab w:val="left" w:pos="1362"/>
          <w:tab w:val="left" w:pos="1366"/>
        </w:tabs>
        <w:spacing w:before="245" w:line="230" w:lineRule="auto"/>
        <w:ind w:left="1366" w:right="562" w:hanging="649"/>
        <w:jc w:val="both"/>
        <w:rPr>
          <w:color w:val="221F1F"/>
        </w:rPr>
      </w:pPr>
      <w:r>
        <w:rPr>
          <w:color w:val="221F1F"/>
        </w:rPr>
        <w:t>These delay damages shall be the only damages due from the Contractor for such default, other than in the event of termination under Sub-Clause 15.2 [Termination by Procuring Entity] prior to completion of the Works. These damages shall not relieve the Contractor from his obligation to complete the Works, or from any other duties, obligations or responsibilities which he may have under the Contract.</w:t>
      </w:r>
    </w:p>
    <w:p w:rsidR="007F6DF9" w:rsidRDefault="00A43FBC">
      <w:pPr>
        <w:pStyle w:val="Heading9"/>
        <w:numPr>
          <w:ilvl w:val="1"/>
          <w:numId w:val="122"/>
        </w:numPr>
        <w:tabs>
          <w:tab w:val="left" w:pos="1378"/>
        </w:tabs>
        <w:spacing w:before="235"/>
        <w:ind w:left="1378" w:hanging="639"/>
        <w:rPr>
          <w:color w:val="221F1F"/>
        </w:rPr>
      </w:pPr>
      <w:r>
        <w:rPr>
          <w:color w:val="221F1F"/>
        </w:rPr>
        <w:t>Suspension</w:t>
      </w:r>
      <w:r>
        <w:rPr>
          <w:color w:val="221F1F"/>
          <w:spacing w:val="-3"/>
        </w:rPr>
        <w:t xml:space="preserve"> </w:t>
      </w:r>
      <w:r>
        <w:rPr>
          <w:color w:val="221F1F"/>
        </w:rPr>
        <w:t>of</w:t>
      </w:r>
      <w:r>
        <w:rPr>
          <w:color w:val="221F1F"/>
          <w:spacing w:val="-3"/>
        </w:rPr>
        <w:t xml:space="preserve"> </w:t>
      </w:r>
      <w:r>
        <w:rPr>
          <w:color w:val="221F1F"/>
          <w:spacing w:val="-4"/>
        </w:rPr>
        <w:t>Work</w:t>
      </w:r>
    </w:p>
    <w:p w:rsidR="007F6DF9" w:rsidRDefault="00A43FBC">
      <w:pPr>
        <w:pStyle w:val="ListParagraph"/>
        <w:numPr>
          <w:ilvl w:val="2"/>
          <w:numId w:val="122"/>
        </w:numPr>
        <w:tabs>
          <w:tab w:val="left" w:pos="1362"/>
          <w:tab w:val="left" w:pos="1366"/>
        </w:tabs>
        <w:spacing w:before="242" w:line="230" w:lineRule="auto"/>
        <w:ind w:left="1366" w:right="564" w:hanging="649"/>
        <w:jc w:val="both"/>
        <w:rPr>
          <w:color w:val="221F1F"/>
        </w:rPr>
      </w:pPr>
      <w:r>
        <w:rPr>
          <w:color w:val="221F1F"/>
        </w:rPr>
        <w:t>The Architect</w:t>
      </w:r>
      <w:r>
        <w:rPr>
          <w:color w:val="221F1F"/>
          <w:spacing w:val="-1"/>
        </w:rPr>
        <w:t xml:space="preserve"> </w:t>
      </w:r>
      <w:r>
        <w:rPr>
          <w:color w:val="221F1F"/>
        </w:rPr>
        <w:t>may</w:t>
      </w:r>
      <w:r>
        <w:rPr>
          <w:color w:val="221F1F"/>
          <w:spacing w:val="-2"/>
        </w:rPr>
        <w:t xml:space="preserve"> </w:t>
      </w:r>
      <w:r>
        <w:rPr>
          <w:color w:val="221F1F"/>
        </w:rPr>
        <w:t>at</w:t>
      </w:r>
      <w:r>
        <w:rPr>
          <w:color w:val="221F1F"/>
          <w:spacing w:val="-1"/>
        </w:rPr>
        <w:t xml:space="preserve"> </w:t>
      </w:r>
      <w:proofErr w:type="spellStart"/>
      <w:r>
        <w:rPr>
          <w:color w:val="221F1F"/>
        </w:rPr>
        <w:t>anytime</w:t>
      </w:r>
      <w:proofErr w:type="spellEnd"/>
      <w:r>
        <w:rPr>
          <w:color w:val="221F1F"/>
          <w:spacing w:val="-1"/>
        </w:rPr>
        <w:t xml:space="preserve"> </w:t>
      </w:r>
      <w:r>
        <w:rPr>
          <w:color w:val="221F1F"/>
        </w:rPr>
        <w:t>instruct the Contractor</w:t>
      </w:r>
      <w:r>
        <w:rPr>
          <w:color w:val="221F1F"/>
          <w:spacing w:val="-1"/>
        </w:rPr>
        <w:t xml:space="preserve"> </w:t>
      </w:r>
      <w:r>
        <w:rPr>
          <w:color w:val="221F1F"/>
        </w:rPr>
        <w:t>to suspend</w:t>
      </w:r>
      <w:r>
        <w:rPr>
          <w:color w:val="221F1F"/>
          <w:spacing w:val="-2"/>
        </w:rPr>
        <w:t xml:space="preserve"> </w:t>
      </w:r>
      <w:r>
        <w:rPr>
          <w:color w:val="221F1F"/>
        </w:rPr>
        <w:t>progress of part</w:t>
      </w:r>
      <w:r>
        <w:rPr>
          <w:color w:val="221F1F"/>
          <w:spacing w:val="-3"/>
        </w:rPr>
        <w:t xml:space="preserve"> </w:t>
      </w:r>
      <w:r>
        <w:rPr>
          <w:color w:val="221F1F"/>
        </w:rPr>
        <w:t>or all</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7"/>
        </w:rPr>
        <w:t xml:space="preserve"> </w:t>
      </w:r>
      <w:r>
        <w:rPr>
          <w:color w:val="221F1F"/>
        </w:rPr>
        <w:t xml:space="preserve">During such suspension, the Contractor shall protect, store and secure such part or the Works a </w:t>
      </w:r>
      <w:proofErr w:type="spellStart"/>
      <w:r>
        <w:rPr>
          <w:color w:val="221F1F"/>
        </w:rPr>
        <w:t>gainst</w:t>
      </w:r>
      <w:proofErr w:type="spellEnd"/>
      <w:r>
        <w:rPr>
          <w:color w:val="221F1F"/>
        </w:rPr>
        <w:t xml:space="preserve"> any deterioration, loss or damage.</w:t>
      </w:r>
    </w:p>
    <w:p w:rsidR="007F6DF9" w:rsidRDefault="00A43FBC">
      <w:pPr>
        <w:pStyle w:val="ListParagraph"/>
        <w:numPr>
          <w:ilvl w:val="2"/>
          <w:numId w:val="122"/>
        </w:numPr>
        <w:tabs>
          <w:tab w:val="left" w:pos="1362"/>
          <w:tab w:val="left" w:pos="1366"/>
        </w:tabs>
        <w:spacing w:before="246" w:line="230" w:lineRule="auto"/>
        <w:ind w:left="1366" w:right="564" w:hanging="649"/>
        <w:jc w:val="both"/>
        <w:rPr>
          <w:color w:val="221F1F"/>
        </w:rPr>
      </w:pPr>
      <w:r>
        <w:rPr>
          <w:color w:val="221F1F"/>
        </w:rPr>
        <w:t>The Architect may also notify the cause for the suspension. If and</w:t>
      </w:r>
      <w:r>
        <w:rPr>
          <w:color w:val="221F1F"/>
          <w:spacing w:val="-1"/>
        </w:rPr>
        <w:t xml:space="preserve"> </w:t>
      </w:r>
      <w:r>
        <w:rPr>
          <w:color w:val="221F1F"/>
        </w:rPr>
        <w:t>to the extent that the cause is notified and is the responsibility of the Contractor, the following Sub-Clauses 8.9, 8.10 and 8.11 shall not apply.</w:t>
      </w:r>
    </w:p>
    <w:p w:rsidR="007F6DF9" w:rsidRDefault="00A43FBC">
      <w:pPr>
        <w:pStyle w:val="Heading9"/>
        <w:numPr>
          <w:ilvl w:val="1"/>
          <w:numId w:val="122"/>
        </w:numPr>
        <w:tabs>
          <w:tab w:val="left" w:pos="1378"/>
        </w:tabs>
        <w:spacing w:before="236"/>
        <w:ind w:left="1378" w:hanging="639"/>
        <w:rPr>
          <w:color w:val="221F1F"/>
        </w:rPr>
      </w:pPr>
      <w:r>
        <w:rPr>
          <w:color w:val="221F1F"/>
        </w:rPr>
        <w:t>Consequences</w:t>
      </w:r>
      <w:r>
        <w:rPr>
          <w:color w:val="221F1F"/>
          <w:spacing w:val="-4"/>
        </w:rPr>
        <w:t xml:space="preserve"> </w:t>
      </w:r>
      <w:r>
        <w:rPr>
          <w:color w:val="221F1F"/>
        </w:rPr>
        <w:t>of</w:t>
      </w:r>
      <w:r>
        <w:rPr>
          <w:color w:val="221F1F"/>
          <w:spacing w:val="-3"/>
        </w:rPr>
        <w:t xml:space="preserve"> </w:t>
      </w:r>
      <w:r>
        <w:rPr>
          <w:color w:val="221F1F"/>
          <w:spacing w:val="-2"/>
        </w:rPr>
        <w:t>Suspension</w:t>
      </w:r>
    </w:p>
    <w:p w:rsidR="007F6DF9" w:rsidRDefault="00A43FBC">
      <w:pPr>
        <w:pStyle w:val="ListParagraph"/>
        <w:numPr>
          <w:ilvl w:val="2"/>
          <w:numId w:val="122"/>
        </w:numPr>
        <w:tabs>
          <w:tab w:val="left" w:pos="1362"/>
          <w:tab w:val="left" w:pos="1366"/>
        </w:tabs>
        <w:spacing w:before="243" w:line="230" w:lineRule="auto"/>
        <w:ind w:left="1366" w:right="560" w:hanging="649"/>
        <w:jc w:val="both"/>
        <w:rPr>
          <w:color w:val="221F1F"/>
        </w:rPr>
      </w:pPr>
      <w:r>
        <w:rPr>
          <w:color w:val="221F1F"/>
        </w:rPr>
        <w:t>If</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suffers</w:t>
      </w:r>
      <w:r>
        <w:rPr>
          <w:color w:val="221F1F"/>
          <w:spacing w:val="-2"/>
        </w:rPr>
        <w:t xml:space="preserve"> </w:t>
      </w:r>
      <w:r>
        <w:rPr>
          <w:color w:val="221F1F"/>
        </w:rPr>
        <w:t>delay</w:t>
      </w:r>
      <w:r>
        <w:rPr>
          <w:color w:val="221F1F"/>
          <w:spacing w:val="-2"/>
        </w:rPr>
        <w:t xml:space="preserve"> </w:t>
      </w:r>
      <w:r>
        <w:rPr>
          <w:color w:val="221F1F"/>
        </w:rPr>
        <w:t>and/or</w:t>
      </w:r>
      <w:r>
        <w:rPr>
          <w:color w:val="221F1F"/>
          <w:spacing w:val="-4"/>
        </w:rPr>
        <w:t xml:space="preserve"> </w:t>
      </w:r>
      <w:r>
        <w:rPr>
          <w:color w:val="221F1F"/>
        </w:rPr>
        <w:t>incurs</w:t>
      </w:r>
      <w:r>
        <w:rPr>
          <w:color w:val="221F1F"/>
          <w:spacing w:val="-2"/>
        </w:rPr>
        <w:t xml:space="preserve"> </w:t>
      </w:r>
      <w:r>
        <w:rPr>
          <w:color w:val="221F1F"/>
        </w:rPr>
        <w:t>Cost</w:t>
      </w:r>
      <w:r>
        <w:rPr>
          <w:color w:val="221F1F"/>
          <w:spacing w:val="-3"/>
        </w:rPr>
        <w:t xml:space="preserve"> </w:t>
      </w:r>
      <w:r>
        <w:rPr>
          <w:color w:val="221F1F"/>
        </w:rPr>
        <w:t>from</w:t>
      </w:r>
      <w:r>
        <w:rPr>
          <w:color w:val="221F1F"/>
          <w:spacing w:val="-4"/>
        </w:rPr>
        <w:t xml:space="preserve"> </w:t>
      </w:r>
      <w:r>
        <w:rPr>
          <w:color w:val="221F1F"/>
        </w:rPr>
        <w:t>complying</w:t>
      </w:r>
      <w:r>
        <w:rPr>
          <w:color w:val="221F1F"/>
          <w:spacing w:val="-2"/>
        </w:rPr>
        <w:t xml:space="preserve"> </w:t>
      </w:r>
      <w:r>
        <w:rPr>
          <w:color w:val="221F1F"/>
        </w:rPr>
        <w:t>with</w:t>
      </w:r>
      <w:r>
        <w:rPr>
          <w:color w:val="221F1F"/>
          <w:spacing w:val="-5"/>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instructions</w:t>
      </w:r>
      <w:r>
        <w:rPr>
          <w:color w:val="221F1F"/>
          <w:spacing w:val="-2"/>
        </w:rPr>
        <w:t xml:space="preserve"> </w:t>
      </w:r>
      <w:r>
        <w:rPr>
          <w:color w:val="221F1F"/>
        </w:rPr>
        <w:t>under Sub-Clause 8.8 [Suspension of Work] and/or from resuming the work, the Contractor shall give notice to the Architect and shall be entitled subject to Sub-Clause 20.1 [Contractor's Claims] to:</w:t>
      </w:r>
    </w:p>
    <w:p w:rsidR="007F6DF9" w:rsidRDefault="00A43FBC">
      <w:pPr>
        <w:pStyle w:val="ListParagraph"/>
        <w:numPr>
          <w:ilvl w:val="0"/>
          <w:numId w:val="52"/>
        </w:numPr>
        <w:tabs>
          <w:tab w:val="left" w:pos="1870"/>
        </w:tabs>
        <w:spacing w:before="49" w:line="230" w:lineRule="auto"/>
        <w:ind w:right="1028"/>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52"/>
        </w:numPr>
        <w:tabs>
          <w:tab w:val="left" w:pos="1871"/>
        </w:tabs>
        <w:spacing w:before="41"/>
        <w:ind w:left="1871" w:hanging="493"/>
        <w:jc w:val="both"/>
      </w:pPr>
      <w:r>
        <w:rPr>
          <w:color w:val="221F1F"/>
        </w:rPr>
        <w:t>Payment</w:t>
      </w:r>
      <w:r>
        <w:rPr>
          <w:color w:val="221F1F"/>
          <w:spacing w:val="-2"/>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such</w:t>
      </w:r>
      <w:r>
        <w:rPr>
          <w:color w:val="221F1F"/>
          <w:spacing w:val="-1"/>
        </w:rPr>
        <w:t xml:space="preserve"> </w:t>
      </w:r>
      <w:r>
        <w:rPr>
          <w:color w:val="221F1F"/>
        </w:rPr>
        <w:t>Cost,</w:t>
      </w:r>
      <w:r>
        <w:rPr>
          <w:color w:val="221F1F"/>
          <w:spacing w:val="-5"/>
        </w:rPr>
        <w:t xml:space="preserve"> </w:t>
      </w:r>
      <w:r>
        <w:rPr>
          <w:color w:val="221F1F"/>
        </w:rPr>
        <w:t>which</w:t>
      </w:r>
      <w:r>
        <w:rPr>
          <w:color w:val="221F1F"/>
          <w:spacing w:val="-2"/>
        </w:rPr>
        <w:t xml:space="preserve"> </w:t>
      </w:r>
      <w:r>
        <w:rPr>
          <w:color w:val="221F1F"/>
        </w:rPr>
        <w:t>shall</w:t>
      </w:r>
      <w:r>
        <w:rPr>
          <w:color w:val="221F1F"/>
          <w:spacing w:val="-2"/>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spacing w:val="-2"/>
        </w:rPr>
        <w:t>Price.</w:t>
      </w:r>
    </w:p>
    <w:p w:rsidR="007F6DF9" w:rsidRDefault="00A43FBC">
      <w:pPr>
        <w:pStyle w:val="ListParagraph"/>
        <w:numPr>
          <w:ilvl w:val="2"/>
          <w:numId w:val="122"/>
        </w:numPr>
        <w:tabs>
          <w:tab w:val="left" w:pos="1362"/>
          <w:tab w:val="left" w:pos="1366"/>
        </w:tabs>
        <w:spacing w:before="245" w:line="230" w:lineRule="auto"/>
        <w:ind w:left="1366" w:right="562" w:hanging="649"/>
        <w:jc w:val="both"/>
        <w:rPr>
          <w:color w:val="221F1F"/>
        </w:rPr>
      </w:pPr>
      <w:r>
        <w:rPr>
          <w:color w:val="221F1F"/>
        </w:rPr>
        <w:t>After</w:t>
      </w:r>
      <w:r>
        <w:rPr>
          <w:color w:val="221F1F"/>
          <w:spacing w:val="-6"/>
        </w:rPr>
        <w:t xml:space="preserve"> </w:t>
      </w:r>
      <w:r>
        <w:rPr>
          <w:color w:val="221F1F"/>
        </w:rPr>
        <w:t>receiving</w:t>
      </w:r>
      <w:r>
        <w:rPr>
          <w:color w:val="221F1F"/>
          <w:spacing w:val="-9"/>
        </w:rPr>
        <w:t xml:space="preserve"> </w:t>
      </w:r>
      <w:r>
        <w:rPr>
          <w:color w:val="221F1F"/>
        </w:rPr>
        <w:t>this</w:t>
      </w:r>
      <w:r>
        <w:rPr>
          <w:color w:val="221F1F"/>
          <w:spacing w:val="-6"/>
        </w:rPr>
        <w:t xml:space="preserve"> </w:t>
      </w:r>
      <w:r>
        <w:rPr>
          <w:color w:val="221F1F"/>
        </w:rPr>
        <w:t>notice,</w:t>
      </w:r>
      <w:r>
        <w:rPr>
          <w:color w:val="221F1F"/>
          <w:spacing w:val="-8"/>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shall</w:t>
      </w:r>
      <w:r>
        <w:rPr>
          <w:color w:val="221F1F"/>
          <w:spacing w:val="-8"/>
        </w:rPr>
        <w:t xml:space="preserve"> </w:t>
      </w:r>
      <w:r>
        <w:rPr>
          <w:color w:val="221F1F"/>
        </w:rPr>
        <w:t>proceed</w:t>
      </w:r>
      <w:r>
        <w:rPr>
          <w:color w:val="221F1F"/>
          <w:spacing w:val="-8"/>
        </w:rPr>
        <w:t xml:space="preserve"> </w:t>
      </w:r>
      <w:r>
        <w:rPr>
          <w:color w:val="221F1F"/>
        </w:rPr>
        <w:t>in</w:t>
      </w:r>
      <w:r>
        <w:rPr>
          <w:color w:val="221F1F"/>
          <w:spacing w:val="-7"/>
        </w:rPr>
        <w:t xml:space="preserve"> </w:t>
      </w:r>
      <w:r>
        <w:rPr>
          <w:color w:val="221F1F"/>
        </w:rPr>
        <w:t>accordance</w:t>
      </w:r>
      <w:r>
        <w:rPr>
          <w:color w:val="221F1F"/>
          <w:spacing w:val="-8"/>
        </w:rPr>
        <w:t xml:space="preserve"> </w:t>
      </w:r>
      <w:r>
        <w:rPr>
          <w:color w:val="221F1F"/>
        </w:rPr>
        <w:t>with</w:t>
      </w:r>
      <w:r>
        <w:rPr>
          <w:color w:val="221F1F"/>
          <w:spacing w:val="-7"/>
        </w:rPr>
        <w:t xml:space="preserve"> </w:t>
      </w:r>
      <w:r>
        <w:rPr>
          <w:color w:val="221F1F"/>
        </w:rPr>
        <w:t>Sub-Clause3.5</w:t>
      </w:r>
      <w:r>
        <w:rPr>
          <w:color w:val="221F1F"/>
          <w:spacing w:val="-9"/>
        </w:rPr>
        <w:t xml:space="preserve"> </w:t>
      </w:r>
      <w:r>
        <w:rPr>
          <w:color w:val="221F1F"/>
        </w:rPr>
        <w:t>[Determinations]</w:t>
      </w:r>
      <w:r>
        <w:rPr>
          <w:color w:val="221F1F"/>
          <w:spacing w:val="-7"/>
        </w:rPr>
        <w:t xml:space="preserve"> </w:t>
      </w:r>
      <w:r>
        <w:rPr>
          <w:color w:val="221F1F"/>
        </w:rPr>
        <w:t>to agree or determine these matters.</w:t>
      </w:r>
    </w:p>
    <w:p w:rsidR="007F6DF9" w:rsidRDefault="00A43FBC">
      <w:pPr>
        <w:pStyle w:val="ListParagraph"/>
        <w:numPr>
          <w:ilvl w:val="2"/>
          <w:numId w:val="122"/>
        </w:numPr>
        <w:tabs>
          <w:tab w:val="left" w:pos="1362"/>
          <w:tab w:val="left" w:pos="1366"/>
        </w:tabs>
        <w:spacing w:before="244" w:line="230" w:lineRule="auto"/>
        <w:ind w:left="1366" w:right="565" w:hanging="649"/>
        <w:jc w:val="both"/>
        <w:rPr>
          <w:color w:val="221F1F"/>
        </w:rPr>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7"/>
        </w:rPr>
        <w:t xml:space="preserve"> </w:t>
      </w:r>
      <w:r>
        <w:rPr>
          <w:color w:val="221F1F"/>
        </w:rPr>
        <w:t>entitled</w:t>
      </w:r>
      <w:r>
        <w:rPr>
          <w:color w:val="221F1F"/>
          <w:spacing w:val="-5"/>
        </w:rPr>
        <w:t xml:space="preserve"> </w:t>
      </w:r>
      <w:r>
        <w:rPr>
          <w:color w:val="221F1F"/>
        </w:rPr>
        <w:t>to</w:t>
      </w:r>
      <w:r>
        <w:rPr>
          <w:color w:val="221F1F"/>
          <w:spacing w:val="-6"/>
        </w:rPr>
        <w:t xml:space="preserve"> </w:t>
      </w:r>
      <w:r>
        <w:rPr>
          <w:color w:val="221F1F"/>
        </w:rPr>
        <w:t>an</w:t>
      </w:r>
      <w:r>
        <w:rPr>
          <w:color w:val="221F1F"/>
          <w:spacing w:val="-6"/>
        </w:rPr>
        <w:t xml:space="preserve"> </w:t>
      </w:r>
      <w:r>
        <w:rPr>
          <w:color w:val="221F1F"/>
        </w:rPr>
        <w:t>extension</w:t>
      </w:r>
      <w:r>
        <w:rPr>
          <w:color w:val="221F1F"/>
          <w:spacing w:val="-6"/>
        </w:rPr>
        <w:t xml:space="preserve"> </w:t>
      </w:r>
      <w:r>
        <w:rPr>
          <w:color w:val="221F1F"/>
        </w:rPr>
        <w:t>of</w:t>
      </w:r>
      <w:r>
        <w:rPr>
          <w:color w:val="221F1F"/>
          <w:spacing w:val="-7"/>
        </w:rPr>
        <w:t xml:space="preserve"> </w:t>
      </w:r>
      <w:r>
        <w:rPr>
          <w:color w:val="221F1F"/>
        </w:rPr>
        <w:t>time</w:t>
      </w:r>
      <w:r>
        <w:rPr>
          <w:color w:val="221F1F"/>
          <w:spacing w:val="-5"/>
        </w:rPr>
        <w:t xml:space="preserve"> </w:t>
      </w:r>
      <w:r>
        <w:rPr>
          <w:color w:val="221F1F"/>
        </w:rPr>
        <w:t>for,</w:t>
      </w:r>
      <w:r>
        <w:rPr>
          <w:color w:val="221F1F"/>
          <w:spacing w:val="-11"/>
        </w:rPr>
        <w:t xml:space="preserve"> </w:t>
      </w:r>
      <w:r>
        <w:rPr>
          <w:color w:val="221F1F"/>
        </w:rPr>
        <w:t>or</w:t>
      </w:r>
      <w:r>
        <w:rPr>
          <w:color w:val="221F1F"/>
          <w:spacing w:val="-8"/>
        </w:rPr>
        <w:t xml:space="preserve"> </w:t>
      </w:r>
      <w:r>
        <w:rPr>
          <w:color w:val="221F1F"/>
        </w:rPr>
        <w:t>to</w:t>
      </w:r>
      <w:r>
        <w:rPr>
          <w:color w:val="221F1F"/>
          <w:spacing w:val="-6"/>
        </w:rPr>
        <w:t xml:space="preserve"> </w:t>
      </w:r>
      <w:r>
        <w:rPr>
          <w:color w:val="221F1F"/>
        </w:rPr>
        <w:t>payment</w:t>
      </w:r>
      <w:r>
        <w:rPr>
          <w:color w:val="221F1F"/>
          <w:spacing w:val="-5"/>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Cost</w:t>
      </w:r>
      <w:r>
        <w:rPr>
          <w:color w:val="221F1F"/>
          <w:spacing w:val="-5"/>
        </w:rPr>
        <w:t xml:space="preserve"> </w:t>
      </w:r>
      <w:r>
        <w:rPr>
          <w:color w:val="221F1F"/>
        </w:rPr>
        <w:t>incurred</w:t>
      </w:r>
      <w:r>
        <w:rPr>
          <w:color w:val="221F1F"/>
          <w:spacing w:val="-5"/>
        </w:rPr>
        <w:t xml:space="preserve"> </w:t>
      </w:r>
      <w:r>
        <w:rPr>
          <w:color w:val="221F1F"/>
        </w:rPr>
        <w:t>in,</w:t>
      </w:r>
      <w:r>
        <w:rPr>
          <w:color w:val="221F1F"/>
          <w:spacing w:val="-8"/>
        </w:rPr>
        <w:t xml:space="preserve"> </w:t>
      </w:r>
      <w:r>
        <w:rPr>
          <w:color w:val="221F1F"/>
        </w:rPr>
        <w:t>making good the consequences of the Contractor's faulty design, workmanship or materials, or of the Contractor's failure to protect, store or secure in accordance with Sub-Clause 8.8 [Suspension of Work].</w:t>
      </w:r>
    </w:p>
    <w:p w:rsidR="007F6DF9" w:rsidRDefault="00A43FBC">
      <w:pPr>
        <w:pStyle w:val="Heading9"/>
        <w:numPr>
          <w:ilvl w:val="1"/>
          <w:numId w:val="122"/>
        </w:numPr>
        <w:tabs>
          <w:tab w:val="left" w:pos="1378"/>
        </w:tabs>
        <w:spacing w:before="235"/>
        <w:ind w:left="1378" w:hanging="639"/>
        <w:rPr>
          <w:color w:val="221F1F"/>
        </w:rPr>
      </w:pPr>
      <w:r>
        <w:rPr>
          <w:color w:val="221F1F"/>
        </w:rPr>
        <w:t>Payment</w:t>
      </w:r>
      <w:r>
        <w:rPr>
          <w:color w:val="221F1F"/>
          <w:spacing w:val="-1"/>
        </w:rPr>
        <w:t xml:space="preserve"> </w:t>
      </w:r>
      <w:r>
        <w:rPr>
          <w:color w:val="221F1F"/>
        </w:rPr>
        <w:t>for</w:t>
      </w:r>
      <w:r>
        <w:rPr>
          <w:color w:val="221F1F"/>
          <w:spacing w:val="-2"/>
        </w:rPr>
        <w:t xml:space="preserve"> </w:t>
      </w:r>
      <w:r>
        <w:rPr>
          <w:color w:val="221F1F"/>
        </w:rPr>
        <w:t>Plant</w:t>
      </w:r>
      <w:r>
        <w:rPr>
          <w:color w:val="221F1F"/>
          <w:spacing w:val="-2"/>
        </w:rPr>
        <w:t xml:space="preserve"> </w:t>
      </w:r>
      <w:r>
        <w:rPr>
          <w:color w:val="221F1F"/>
        </w:rPr>
        <w:t>and</w:t>
      </w:r>
      <w:r>
        <w:rPr>
          <w:color w:val="221F1F"/>
          <w:spacing w:val="-5"/>
        </w:rPr>
        <w:t xml:space="preserve"> </w:t>
      </w:r>
      <w:r>
        <w:rPr>
          <w:color w:val="221F1F"/>
        </w:rPr>
        <w:t>Materials in</w:t>
      </w:r>
      <w:r>
        <w:rPr>
          <w:color w:val="221F1F"/>
          <w:spacing w:val="-5"/>
        </w:rPr>
        <w:t xml:space="preserve"> </w:t>
      </w:r>
      <w:r>
        <w:rPr>
          <w:color w:val="221F1F"/>
        </w:rPr>
        <w:t>Event</w:t>
      </w:r>
      <w:r>
        <w:rPr>
          <w:color w:val="221F1F"/>
          <w:spacing w:val="-4"/>
        </w:rPr>
        <w:t xml:space="preserve"> </w:t>
      </w:r>
      <w:r>
        <w:rPr>
          <w:color w:val="221F1F"/>
        </w:rPr>
        <w:t xml:space="preserve">of </w:t>
      </w:r>
      <w:r>
        <w:rPr>
          <w:color w:val="221F1F"/>
          <w:spacing w:val="-2"/>
        </w:rPr>
        <w:t>Suspension</w:t>
      </w:r>
    </w:p>
    <w:p w:rsidR="007F6DF9" w:rsidRDefault="00A43FBC">
      <w:pPr>
        <w:pStyle w:val="BodyText"/>
        <w:spacing w:before="235"/>
        <w:ind w:left="1378"/>
      </w:pPr>
      <w:r>
        <w:t>The</w:t>
      </w:r>
      <w:r>
        <w:rPr>
          <w:spacing w:val="28"/>
        </w:rPr>
        <w:t xml:space="preserve"> </w:t>
      </w:r>
      <w:r>
        <w:t>Contractor</w:t>
      </w:r>
      <w:r>
        <w:rPr>
          <w:spacing w:val="28"/>
        </w:rPr>
        <w:t xml:space="preserve"> </w:t>
      </w:r>
      <w:r>
        <w:t>shall</w:t>
      </w:r>
      <w:r>
        <w:rPr>
          <w:spacing w:val="30"/>
        </w:rPr>
        <w:t xml:space="preserve"> </w:t>
      </w:r>
      <w:r>
        <w:t>be</w:t>
      </w:r>
      <w:r>
        <w:rPr>
          <w:spacing w:val="30"/>
        </w:rPr>
        <w:t xml:space="preserve"> </w:t>
      </w:r>
      <w:r>
        <w:t>entitled</w:t>
      </w:r>
      <w:r>
        <w:rPr>
          <w:spacing w:val="29"/>
        </w:rPr>
        <w:t xml:space="preserve"> </w:t>
      </w:r>
      <w:r>
        <w:t>to</w:t>
      </w:r>
      <w:r>
        <w:rPr>
          <w:spacing w:val="27"/>
        </w:rPr>
        <w:t xml:space="preserve"> </w:t>
      </w:r>
      <w:r>
        <w:t>payment</w:t>
      </w:r>
      <w:r>
        <w:rPr>
          <w:spacing w:val="30"/>
        </w:rPr>
        <w:t xml:space="preserve"> </w:t>
      </w:r>
      <w:r>
        <w:t>of</w:t>
      </w:r>
      <w:r>
        <w:rPr>
          <w:spacing w:val="27"/>
        </w:rPr>
        <w:t xml:space="preserve"> </w:t>
      </w:r>
      <w:r>
        <w:t>the</w:t>
      </w:r>
      <w:r>
        <w:rPr>
          <w:spacing w:val="27"/>
        </w:rPr>
        <w:t xml:space="preserve"> </w:t>
      </w:r>
      <w:r>
        <w:t>value</w:t>
      </w:r>
      <w:r>
        <w:rPr>
          <w:spacing w:val="28"/>
        </w:rPr>
        <w:t xml:space="preserve"> </w:t>
      </w:r>
      <w:r>
        <w:t>(as</w:t>
      </w:r>
      <w:r>
        <w:rPr>
          <w:spacing w:val="29"/>
        </w:rPr>
        <w:t xml:space="preserve"> </w:t>
      </w:r>
      <w:r>
        <w:t>at</w:t>
      </w:r>
      <w:r>
        <w:rPr>
          <w:spacing w:val="28"/>
        </w:rPr>
        <w:t xml:space="preserve"> </w:t>
      </w:r>
      <w:r>
        <w:t>the</w:t>
      </w:r>
      <w:r>
        <w:rPr>
          <w:spacing w:val="29"/>
        </w:rPr>
        <w:t xml:space="preserve"> </w:t>
      </w:r>
      <w:r>
        <w:t>date</w:t>
      </w:r>
      <w:r>
        <w:rPr>
          <w:spacing w:val="29"/>
        </w:rPr>
        <w:t xml:space="preserve"> </w:t>
      </w:r>
      <w:r>
        <w:t>of</w:t>
      </w:r>
      <w:r>
        <w:rPr>
          <w:spacing w:val="29"/>
        </w:rPr>
        <w:t xml:space="preserve"> </w:t>
      </w:r>
      <w:r>
        <w:t>suspension)</w:t>
      </w:r>
      <w:r>
        <w:rPr>
          <w:spacing w:val="31"/>
        </w:rPr>
        <w:t xml:space="preserve"> </w:t>
      </w:r>
      <w:r>
        <w:t>of</w:t>
      </w:r>
      <w:r>
        <w:rPr>
          <w:spacing w:val="30"/>
        </w:rPr>
        <w:t xml:space="preserve"> </w:t>
      </w:r>
      <w:r>
        <w:t>Plant</w:t>
      </w:r>
      <w:r>
        <w:rPr>
          <w:spacing w:val="30"/>
        </w:rPr>
        <w:t xml:space="preserve"> </w:t>
      </w:r>
      <w:r>
        <w:t>and/</w:t>
      </w:r>
      <w:r>
        <w:rPr>
          <w:spacing w:val="30"/>
        </w:rPr>
        <w:t xml:space="preserve"> </w:t>
      </w:r>
      <w:r>
        <w:rPr>
          <w:spacing w:val="-5"/>
        </w:rPr>
        <w:t>or</w:t>
      </w:r>
    </w:p>
    <w:p w:rsidR="007F6DF9" w:rsidRDefault="007F6DF9">
      <w:pPr>
        <w:pStyle w:val="BodyText"/>
        <w:sectPr w:rsidR="007F6DF9">
          <w:pgSz w:w="11920" w:h="16850"/>
          <w:pgMar w:top="360" w:right="283" w:bottom="560" w:left="141" w:header="0" w:footer="375" w:gutter="0"/>
          <w:pgNumType w:start="98"/>
          <w:cols w:space="720"/>
        </w:sectPr>
      </w:pPr>
    </w:p>
    <w:p w:rsidR="007F6DF9" w:rsidRDefault="00A43FBC">
      <w:pPr>
        <w:pStyle w:val="BodyText"/>
        <w:spacing w:line="244" w:lineRule="exact"/>
        <w:ind w:left="1366"/>
      </w:pPr>
      <w:r>
        <w:lastRenderedPageBreak/>
        <w:t>Materials</w:t>
      </w:r>
      <w:r>
        <w:rPr>
          <w:spacing w:val="-4"/>
        </w:rPr>
        <w:t xml:space="preserve"> </w:t>
      </w:r>
      <w:r>
        <w:t>which</w:t>
      </w:r>
      <w:r>
        <w:rPr>
          <w:spacing w:val="-2"/>
        </w:rPr>
        <w:t xml:space="preserve"> </w:t>
      </w:r>
      <w:r>
        <w:t>have</w:t>
      </w:r>
      <w:r>
        <w:rPr>
          <w:spacing w:val="-3"/>
        </w:rPr>
        <w:t xml:space="preserve"> </w:t>
      </w:r>
      <w:r>
        <w:t>not</w:t>
      </w:r>
      <w:r>
        <w:rPr>
          <w:spacing w:val="-3"/>
        </w:rPr>
        <w:t xml:space="preserve"> </w:t>
      </w:r>
      <w:r>
        <w:t>been</w:t>
      </w:r>
      <w:r>
        <w:rPr>
          <w:spacing w:val="-3"/>
        </w:rPr>
        <w:t xml:space="preserve"> </w:t>
      </w:r>
      <w:r>
        <w:t>delivered</w:t>
      </w:r>
      <w:r>
        <w:rPr>
          <w:spacing w:val="-3"/>
        </w:rPr>
        <w:t xml:space="preserve"> </w:t>
      </w:r>
      <w:r>
        <w:t>to</w:t>
      </w:r>
      <w:r>
        <w:rPr>
          <w:spacing w:val="-3"/>
        </w:rPr>
        <w:t xml:space="preserve"> </w:t>
      </w:r>
      <w:r>
        <w:t>Site,</w:t>
      </w:r>
      <w:r>
        <w:rPr>
          <w:spacing w:val="-5"/>
        </w:rPr>
        <w:t xml:space="preserve"> if:</w:t>
      </w:r>
    </w:p>
    <w:p w:rsidR="007F6DF9" w:rsidRDefault="00A43FBC">
      <w:pPr>
        <w:pStyle w:val="ListParagraph"/>
        <w:numPr>
          <w:ilvl w:val="0"/>
          <w:numId w:val="99"/>
        </w:numPr>
        <w:tabs>
          <w:tab w:val="left" w:pos="1872"/>
        </w:tabs>
        <w:spacing w:before="40"/>
        <w:ind w:left="1872" w:hanging="494"/>
      </w:pPr>
      <w:r>
        <w:t>The</w:t>
      </w:r>
      <w:r>
        <w:rPr>
          <w:spacing w:val="-3"/>
        </w:rPr>
        <w:t xml:space="preserve"> </w:t>
      </w:r>
      <w:r>
        <w:t>work</w:t>
      </w:r>
      <w:r>
        <w:rPr>
          <w:spacing w:val="-2"/>
        </w:rPr>
        <w:t xml:space="preserve"> </w:t>
      </w:r>
      <w:r>
        <w:t>on</w:t>
      </w:r>
      <w:r>
        <w:rPr>
          <w:spacing w:val="-3"/>
        </w:rPr>
        <w:t xml:space="preserve"> </w:t>
      </w:r>
      <w:r>
        <w:t>Plant</w:t>
      </w:r>
      <w:r>
        <w:rPr>
          <w:spacing w:val="-1"/>
        </w:rPr>
        <w:t xml:space="preserve"> </w:t>
      </w:r>
      <w:r>
        <w:t>or</w:t>
      </w:r>
      <w:r>
        <w:rPr>
          <w:spacing w:val="-2"/>
        </w:rPr>
        <w:t xml:space="preserve"> </w:t>
      </w:r>
      <w:r>
        <w:t>delivery</w:t>
      </w:r>
      <w:r>
        <w:rPr>
          <w:spacing w:val="-2"/>
        </w:rPr>
        <w:t xml:space="preserve"> </w:t>
      </w:r>
      <w:r>
        <w:t>of</w:t>
      </w:r>
      <w:r>
        <w:rPr>
          <w:spacing w:val="-2"/>
        </w:rPr>
        <w:t xml:space="preserve"> </w:t>
      </w:r>
      <w:r>
        <w:t>Plant</w:t>
      </w:r>
      <w:r>
        <w:rPr>
          <w:spacing w:val="-3"/>
        </w:rPr>
        <w:t xml:space="preserve"> </w:t>
      </w:r>
      <w:r>
        <w:t>and/</w:t>
      </w:r>
      <w:r>
        <w:rPr>
          <w:spacing w:val="-1"/>
        </w:rPr>
        <w:t xml:space="preserve"> </w:t>
      </w:r>
      <w:r>
        <w:t>or</w:t>
      </w:r>
      <w:r>
        <w:rPr>
          <w:spacing w:val="-5"/>
        </w:rPr>
        <w:t xml:space="preserve"> </w:t>
      </w:r>
      <w:r>
        <w:t>Materials</w:t>
      </w:r>
      <w:r>
        <w:rPr>
          <w:spacing w:val="-1"/>
        </w:rPr>
        <w:t xml:space="preserve"> </w:t>
      </w:r>
      <w:r>
        <w:t>has</w:t>
      </w:r>
      <w:r>
        <w:rPr>
          <w:spacing w:val="-3"/>
        </w:rPr>
        <w:t xml:space="preserve"> </w:t>
      </w:r>
      <w:r>
        <w:t>been</w:t>
      </w:r>
      <w:r>
        <w:rPr>
          <w:spacing w:val="-2"/>
        </w:rPr>
        <w:t xml:space="preserve"> </w:t>
      </w:r>
      <w:r>
        <w:t>suspended</w:t>
      </w:r>
      <w:r>
        <w:rPr>
          <w:spacing w:val="-2"/>
        </w:rPr>
        <w:t xml:space="preserve"> </w:t>
      </w:r>
      <w:r>
        <w:t>for</w:t>
      </w:r>
      <w:r>
        <w:rPr>
          <w:spacing w:val="-4"/>
        </w:rPr>
        <w:t xml:space="preserve"> </w:t>
      </w:r>
      <w:r>
        <w:t>more</w:t>
      </w:r>
      <w:r>
        <w:rPr>
          <w:spacing w:val="-2"/>
        </w:rPr>
        <w:t xml:space="preserve"> </w:t>
      </w:r>
      <w:r>
        <w:t>than</w:t>
      </w:r>
      <w:r>
        <w:rPr>
          <w:spacing w:val="-3"/>
        </w:rPr>
        <w:t xml:space="preserve"> </w:t>
      </w:r>
      <w:r>
        <w:t>30</w:t>
      </w:r>
      <w:r>
        <w:rPr>
          <w:spacing w:val="-5"/>
        </w:rPr>
        <w:t xml:space="preserve"> </w:t>
      </w:r>
      <w:r>
        <w:t>days,</w:t>
      </w:r>
      <w:r>
        <w:rPr>
          <w:spacing w:val="-4"/>
        </w:rPr>
        <w:t xml:space="preserve"> </w:t>
      </w:r>
      <w:r>
        <w:rPr>
          <w:spacing w:val="-5"/>
        </w:rPr>
        <w:t>and</w:t>
      </w:r>
    </w:p>
    <w:p w:rsidR="007F6DF9" w:rsidRDefault="00A43FBC">
      <w:pPr>
        <w:pStyle w:val="ListParagraph"/>
        <w:numPr>
          <w:ilvl w:val="0"/>
          <w:numId w:val="99"/>
        </w:numPr>
        <w:tabs>
          <w:tab w:val="left" w:pos="1872"/>
          <w:tab w:val="left" w:pos="1875"/>
        </w:tabs>
        <w:spacing w:before="48" w:line="230" w:lineRule="auto"/>
        <w:ind w:left="1875" w:right="680" w:hanging="497"/>
      </w:pPr>
      <w:r>
        <w:t>the</w:t>
      </w:r>
      <w:r>
        <w:rPr>
          <w:spacing w:val="-2"/>
        </w:rPr>
        <w:t xml:space="preserve"> </w:t>
      </w:r>
      <w:r>
        <w:t>Contractor</w:t>
      </w:r>
      <w:r>
        <w:rPr>
          <w:spacing w:val="-2"/>
        </w:rPr>
        <w:t xml:space="preserve"> </w:t>
      </w:r>
      <w:r>
        <w:t>has</w:t>
      </w:r>
      <w:r>
        <w:rPr>
          <w:spacing w:val="-4"/>
        </w:rPr>
        <w:t xml:space="preserve"> </w:t>
      </w:r>
      <w:r>
        <w:t>marked</w:t>
      </w:r>
      <w:r>
        <w:rPr>
          <w:spacing w:val="-4"/>
        </w:rPr>
        <w:t xml:space="preserve"> </w:t>
      </w:r>
      <w:r>
        <w:t>the</w:t>
      </w:r>
      <w:r>
        <w:rPr>
          <w:spacing w:val="-2"/>
        </w:rPr>
        <w:t xml:space="preserve"> </w:t>
      </w:r>
      <w:r>
        <w:t>Plant</w:t>
      </w:r>
      <w:r>
        <w:rPr>
          <w:spacing w:val="-1"/>
        </w:rPr>
        <w:t xml:space="preserve"> </w:t>
      </w:r>
      <w:r>
        <w:t>and/or</w:t>
      </w:r>
      <w:r>
        <w:rPr>
          <w:spacing w:val="-4"/>
        </w:rPr>
        <w:t xml:space="preserve"> </w:t>
      </w:r>
      <w:r>
        <w:t>Materials</w:t>
      </w:r>
      <w:r>
        <w:rPr>
          <w:spacing w:val="-2"/>
        </w:rPr>
        <w:t xml:space="preserve"> </w:t>
      </w:r>
      <w:r>
        <w:t>as</w:t>
      </w:r>
      <w:r>
        <w:rPr>
          <w:spacing w:val="-4"/>
        </w:rPr>
        <w:t xml:space="preserve"> </w:t>
      </w:r>
      <w:r>
        <w:t>the</w:t>
      </w:r>
      <w:r>
        <w:rPr>
          <w:spacing w:val="-2"/>
        </w:rPr>
        <w:t xml:space="preserve"> </w:t>
      </w:r>
      <w:r>
        <w:t>Procuring</w:t>
      </w:r>
      <w:r>
        <w:rPr>
          <w:spacing w:val="-2"/>
        </w:rPr>
        <w:t xml:space="preserve"> </w:t>
      </w:r>
      <w:r>
        <w:t>Entity's</w:t>
      </w:r>
      <w:r>
        <w:rPr>
          <w:spacing w:val="-2"/>
        </w:rPr>
        <w:t xml:space="preserve"> </w:t>
      </w:r>
      <w:r>
        <w:t>property</w:t>
      </w:r>
      <w:r>
        <w:rPr>
          <w:spacing w:val="-5"/>
        </w:rPr>
        <w:t xml:space="preserve"> </w:t>
      </w:r>
      <w:r>
        <w:t>in</w:t>
      </w:r>
      <w:r>
        <w:rPr>
          <w:spacing w:val="-5"/>
        </w:rPr>
        <w:t xml:space="preserve"> </w:t>
      </w:r>
      <w:r>
        <w:t>accordance with the Architect instructions.</w:t>
      </w:r>
    </w:p>
    <w:p w:rsidR="007F6DF9" w:rsidRDefault="00A43FBC">
      <w:pPr>
        <w:pStyle w:val="Heading9"/>
        <w:numPr>
          <w:ilvl w:val="1"/>
          <w:numId w:val="122"/>
        </w:numPr>
        <w:tabs>
          <w:tab w:val="left" w:pos="1378"/>
        </w:tabs>
        <w:spacing w:before="236"/>
        <w:ind w:left="1378" w:hanging="660"/>
        <w:rPr>
          <w:color w:val="221F1F"/>
        </w:rPr>
      </w:pPr>
      <w:r>
        <w:rPr>
          <w:color w:val="221F1F"/>
        </w:rPr>
        <w:t>Prolonged</w:t>
      </w:r>
      <w:r>
        <w:rPr>
          <w:color w:val="221F1F"/>
          <w:spacing w:val="-3"/>
        </w:rPr>
        <w:t xml:space="preserve"> </w:t>
      </w:r>
      <w:r>
        <w:rPr>
          <w:color w:val="221F1F"/>
          <w:spacing w:val="-2"/>
        </w:rPr>
        <w:t>Suspension</w:t>
      </w:r>
    </w:p>
    <w:p w:rsidR="007F6DF9" w:rsidRDefault="00A43FBC">
      <w:pPr>
        <w:pStyle w:val="BodyText"/>
        <w:spacing w:before="242" w:line="230" w:lineRule="auto"/>
        <w:ind w:left="1366" w:right="558" w:firstLine="12"/>
        <w:jc w:val="both"/>
      </w:pPr>
      <w:r>
        <w:rPr>
          <w:color w:val="221F1F"/>
        </w:rPr>
        <w:t>If the suspension under Sub-Clause 8.8 [Suspension of Work] has continued for more than 84 days, the Contractor</w:t>
      </w:r>
      <w:r>
        <w:rPr>
          <w:color w:val="221F1F"/>
          <w:spacing w:val="-4"/>
        </w:rPr>
        <w:t xml:space="preserve"> </w:t>
      </w:r>
      <w:r>
        <w:rPr>
          <w:color w:val="221F1F"/>
        </w:rPr>
        <w:t>may</w:t>
      </w:r>
      <w:r>
        <w:rPr>
          <w:color w:val="221F1F"/>
          <w:spacing w:val="-4"/>
        </w:rPr>
        <w:t xml:space="preserve"> </w:t>
      </w:r>
      <w:r>
        <w:rPr>
          <w:color w:val="221F1F"/>
        </w:rPr>
        <w:t>request</w:t>
      </w:r>
      <w:r>
        <w:rPr>
          <w:color w:val="221F1F"/>
          <w:spacing w:val="-4"/>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permission</w:t>
      </w:r>
      <w:r>
        <w:rPr>
          <w:color w:val="221F1F"/>
          <w:spacing w:val="-7"/>
        </w:rPr>
        <w:t xml:space="preserve"> </w:t>
      </w:r>
      <w:r>
        <w:rPr>
          <w:color w:val="221F1F"/>
        </w:rPr>
        <w:t>to</w:t>
      </w:r>
      <w:r>
        <w:rPr>
          <w:color w:val="221F1F"/>
          <w:spacing w:val="-5"/>
        </w:rPr>
        <w:t xml:space="preserve"> </w:t>
      </w:r>
      <w:r>
        <w:rPr>
          <w:color w:val="221F1F"/>
        </w:rPr>
        <w:t>proceed.</w:t>
      </w:r>
      <w:r>
        <w:rPr>
          <w:color w:val="221F1F"/>
          <w:spacing w:val="-4"/>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does</w:t>
      </w:r>
      <w:r>
        <w:rPr>
          <w:color w:val="221F1F"/>
          <w:spacing w:val="-6"/>
        </w:rPr>
        <w:t xml:space="preserve"> </w:t>
      </w:r>
      <w:r>
        <w:rPr>
          <w:color w:val="221F1F"/>
        </w:rPr>
        <w:t>not</w:t>
      </w:r>
      <w:r>
        <w:rPr>
          <w:color w:val="221F1F"/>
          <w:spacing w:val="-4"/>
        </w:rPr>
        <w:t xml:space="preserve"> </w:t>
      </w:r>
      <w:r>
        <w:rPr>
          <w:color w:val="221F1F"/>
        </w:rPr>
        <w:t>give</w:t>
      </w:r>
      <w:r>
        <w:rPr>
          <w:color w:val="221F1F"/>
          <w:spacing w:val="-4"/>
        </w:rPr>
        <w:t xml:space="preserve"> </w:t>
      </w:r>
      <w:r>
        <w:rPr>
          <w:color w:val="221F1F"/>
        </w:rPr>
        <w:t>permission within 30 days after being requested to do so, the Contractor may, by giving notice to the Engineer, treat the suspension</w:t>
      </w:r>
      <w:r>
        <w:rPr>
          <w:color w:val="221F1F"/>
          <w:spacing w:val="-7"/>
        </w:rPr>
        <w:t xml:space="preserve"> </w:t>
      </w:r>
      <w:r>
        <w:rPr>
          <w:color w:val="221F1F"/>
        </w:rPr>
        <w:t>as</w:t>
      </w:r>
      <w:r>
        <w:rPr>
          <w:color w:val="221F1F"/>
          <w:spacing w:val="-6"/>
        </w:rPr>
        <w:t xml:space="preserve"> </w:t>
      </w:r>
      <w:r>
        <w:rPr>
          <w:color w:val="221F1F"/>
        </w:rPr>
        <w:t>an</w:t>
      </w:r>
      <w:r>
        <w:rPr>
          <w:color w:val="221F1F"/>
          <w:spacing w:val="-7"/>
        </w:rPr>
        <w:t xml:space="preserve"> </w:t>
      </w:r>
      <w:r>
        <w:rPr>
          <w:color w:val="221F1F"/>
        </w:rPr>
        <w:t>omission</w:t>
      </w:r>
      <w:r>
        <w:rPr>
          <w:color w:val="221F1F"/>
          <w:spacing w:val="-8"/>
        </w:rPr>
        <w:t xml:space="preserve"> </w:t>
      </w:r>
      <w:r>
        <w:rPr>
          <w:color w:val="221F1F"/>
        </w:rPr>
        <w:t>under</w:t>
      </w:r>
      <w:r>
        <w:rPr>
          <w:color w:val="221F1F"/>
          <w:spacing w:val="-5"/>
        </w:rPr>
        <w:t xml:space="preserve"> </w:t>
      </w:r>
      <w:r>
        <w:rPr>
          <w:color w:val="221F1F"/>
        </w:rPr>
        <w:t>Clause</w:t>
      </w:r>
      <w:r>
        <w:rPr>
          <w:color w:val="221F1F"/>
          <w:spacing w:val="-6"/>
        </w:rPr>
        <w:t xml:space="preserve"> </w:t>
      </w:r>
      <w:r>
        <w:rPr>
          <w:color w:val="221F1F"/>
        </w:rPr>
        <w:t>13</w:t>
      </w:r>
      <w:r>
        <w:rPr>
          <w:color w:val="221F1F"/>
          <w:spacing w:val="-7"/>
        </w:rPr>
        <w:t xml:space="preserve"> </w:t>
      </w:r>
      <w:r>
        <w:rPr>
          <w:color w:val="221F1F"/>
        </w:rPr>
        <w:t>[Variations</w:t>
      </w:r>
      <w:r>
        <w:rPr>
          <w:color w:val="221F1F"/>
          <w:spacing w:val="-13"/>
        </w:rPr>
        <w:t xml:space="preserve"> </w:t>
      </w:r>
      <w:r>
        <w:rPr>
          <w:color w:val="221F1F"/>
        </w:rPr>
        <w:t>and</w:t>
      </w:r>
      <w:r>
        <w:rPr>
          <w:color w:val="221F1F"/>
          <w:spacing w:val="-6"/>
        </w:rPr>
        <w:t xml:space="preserve"> </w:t>
      </w:r>
      <w:r>
        <w:rPr>
          <w:color w:val="221F1F"/>
        </w:rPr>
        <w:t>Adjustments]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affected</w:t>
      </w:r>
      <w:r>
        <w:rPr>
          <w:color w:val="221F1F"/>
          <w:spacing w:val="-5"/>
        </w:rPr>
        <w:t xml:space="preserve"> </w:t>
      </w:r>
      <w:r>
        <w:rPr>
          <w:color w:val="221F1F"/>
        </w:rPr>
        <w:t>part</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If the suspension affects the whole of the Works, the Contractor may give notice of termination under Sub-Clause 16.2 [Termination by Contractor].</w:t>
      </w:r>
    </w:p>
    <w:p w:rsidR="007F6DF9" w:rsidRDefault="00A43FBC">
      <w:pPr>
        <w:pStyle w:val="Heading9"/>
        <w:numPr>
          <w:ilvl w:val="1"/>
          <w:numId w:val="122"/>
        </w:numPr>
        <w:tabs>
          <w:tab w:val="left" w:pos="1378"/>
        </w:tabs>
        <w:spacing w:before="236"/>
        <w:ind w:left="1378" w:hanging="660"/>
        <w:rPr>
          <w:color w:val="221F1F"/>
        </w:rPr>
      </w:pPr>
      <w:r>
        <w:rPr>
          <w:color w:val="221F1F"/>
        </w:rPr>
        <w:t>Resumption</w:t>
      </w:r>
      <w:r>
        <w:rPr>
          <w:color w:val="221F1F"/>
          <w:spacing w:val="-8"/>
        </w:rPr>
        <w:t xml:space="preserve"> </w:t>
      </w:r>
      <w:r>
        <w:rPr>
          <w:color w:val="221F1F"/>
        </w:rPr>
        <w:t>of</w:t>
      </w:r>
      <w:r>
        <w:rPr>
          <w:color w:val="221F1F"/>
          <w:spacing w:val="-1"/>
        </w:rPr>
        <w:t xml:space="preserve"> </w:t>
      </w:r>
      <w:r>
        <w:rPr>
          <w:color w:val="221F1F"/>
          <w:spacing w:val="-4"/>
        </w:rPr>
        <w:t>Work</w:t>
      </w:r>
    </w:p>
    <w:p w:rsidR="007F6DF9" w:rsidRDefault="00A43FBC">
      <w:pPr>
        <w:pStyle w:val="BodyText"/>
        <w:spacing w:before="243" w:line="230" w:lineRule="auto"/>
        <w:ind w:left="1366" w:right="565" w:firstLine="12"/>
        <w:jc w:val="both"/>
      </w:pPr>
      <w:r>
        <w:rPr>
          <w:color w:val="221F1F"/>
        </w:rPr>
        <w:t>After</w:t>
      </w:r>
      <w:r>
        <w:rPr>
          <w:color w:val="221F1F"/>
          <w:spacing w:val="-6"/>
        </w:rPr>
        <w:t xml:space="preserve"> </w:t>
      </w:r>
      <w:r>
        <w:rPr>
          <w:color w:val="221F1F"/>
        </w:rPr>
        <w:t>the</w:t>
      </w:r>
      <w:r>
        <w:rPr>
          <w:color w:val="221F1F"/>
          <w:spacing w:val="-6"/>
        </w:rPr>
        <w:t xml:space="preserve"> </w:t>
      </w:r>
      <w:r>
        <w:rPr>
          <w:color w:val="221F1F"/>
        </w:rPr>
        <w:t>permission</w:t>
      </w:r>
      <w:r>
        <w:rPr>
          <w:color w:val="221F1F"/>
          <w:spacing w:val="-7"/>
        </w:rPr>
        <w:t xml:space="preserve"> </w:t>
      </w:r>
      <w:r>
        <w:rPr>
          <w:color w:val="221F1F"/>
        </w:rPr>
        <w:t>or</w:t>
      </w:r>
      <w:r>
        <w:rPr>
          <w:color w:val="221F1F"/>
          <w:spacing w:val="-6"/>
        </w:rPr>
        <w:t xml:space="preserve"> </w:t>
      </w:r>
      <w:r>
        <w:rPr>
          <w:color w:val="221F1F"/>
        </w:rPr>
        <w:t>instruction</w:t>
      </w:r>
      <w:r>
        <w:rPr>
          <w:color w:val="221F1F"/>
          <w:spacing w:val="-8"/>
        </w:rPr>
        <w:t xml:space="preserve"> </w:t>
      </w:r>
      <w:r>
        <w:rPr>
          <w:color w:val="221F1F"/>
        </w:rPr>
        <w:t>to</w:t>
      </w:r>
      <w:r>
        <w:rPr>
          <w:color w:val="221F1F"/>
          <w:spacing w:val="-7"/>
        </w:rPr>
        <w:t xml:space="preserve"> </w:t>
      </w:r>
      <w:r>
        <w:rPr>
          <w:color w:val="221F1F"/>
        </w:rPr>
        <w:t>proceed</w:t>
      </w:r>
      <w:r>
        <w:rPr>
          <w:color w:val="221F1F"/>
          <w:spacing w:val="-6"/>
        </w:rPr>
        <w:t xml:space="preserve"> </w:t>
      </w:r>
      <w:r>
        <w:rPr>
          <w:color w:val="221F1F"/>
        </w:rPr>
        <w:t>is</w:t>
      </w:r>
      <w:r>
        <w:rPr>
          <w:color w:val="221F1F"/>
          <w:spacing w:val="-7"/>
        </w:rPr>
        <w:t xml:space="preserve"> </w:t>
      </w:r>
      <w:r>
        <w:rPr>
          <w:color w:val="221F1F"/>
        </w:rPr>
        <w:t>given,</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and</w:t>
      </w:r>
      <w:r>
        <w:rPr>
          <w:color w:val="221F1F"/>
          <w:spacing w:val="-7"/>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shall</w:t>
      </w:r>
      <w:r>
        <w:rPr>
          <w:color w:val="221F1F"/>
          <w:spacing w:val="-8"/>
        </w:rPr>
        <w:t xml:space="preserve"> </w:t>
      </w:r>
      <w:r>
        <w:rPr>
          <w:color w:val="221F1F"/>
        </w:rPr>
        <w:t>jointly</w:t>
      </w:r>
      <w:r>
        <w:rPr>
          <w:color w:val="221F1F"/>
          <w:spacing w:val="-7"/>
        </w:rPr>
        <w:t xml:space="preserve"> </w:t>
      </w:r>
      <w:r>
        <w:rPr>
          <w:color w:val="221F1F"/>
        </w:rPr>
        <w:t>examine the Works and the Plant and Materials affected by the suspension. The Contractor shall make good any deterioration</w:t>
      </w:r>
      <w:r>
        <w:rPr>
          <w:color w:val="221F1F"/>
          <w:spacing w:val="-10"/>
        </w:rPr>
        <w:t xml:space="preserve"> </w:t>
      </w:r>
      <w:r>
        <w:rPr>
          <w:color w:val="221F1F"/>
        </w:rPr>
        <w:t>or</w:t>
      </w:r>
      <w:r>
        <w:rPr>
          <w:color w:val="221F1F"/>
          <w:spacing w:val="-9"/>
        </w:rPr>
        <w:t xml:space="preserve"> </w:t>
      </w:r>
      <w:r>
        <w:rPr>
          <w:color w:val="221F1F"/>
        </w:rPr>
        <w:t>defect</w:t>
      </w:r>
      <w:r>
        <w:rPr>
          <w:color w:val="221F1F"/>
          <w:spacing w:val="-8"/>
        </w:rPr>
        <w:t xml:space="preserve"> </w:t>
      </w:r>
      <w:r>
        <w:rPr>
          <w:color w:val="221F1F"/>
        </w:rPr>
        <w:t>in</w:t>
      </w:r>
      <w:r>
        <w:rPr>
          <w:color w:val="221F1F"/>
          <w:spacing w:val="-9"/>
        </w:rPr>
        <w:t xml:space="preserve"> </w:t>
      </w:r>
      <w:r>
        <w:rPr>
          <w:color w:val="221F1F"/>
        </w:rPr>
        <w:t>or</w:t>
      </w:r>
      <w:r>
        <w:rPr>
          <w:color w:val="221F1F"/>
          <w:spacing w:val="-11"/>
        </w:rPr>
        <w:t xml:space="preserve"> </w:t>
      </w:r>
      <w:r>
        <w:rPr>
          <w:color w:val="221F1F"/>
        </w:rPr>
        <w:t>loss</w:t>
      </w:r>
      <w:r>
        <w:rPr>
          <w:color w:val="221F1F"/>
          <w:spacing w:val="-8"/>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or</w:t>
      </w:r>
      <w:r>
        <w:rPr>
          <w:color w:val="221F1F"/>
          <w:spacing w:val="-9"/>
        </w:rPr>
        <w:t xml:space="preserve"> </w:t>
      </w:r>
      <w:r>
        <w:rPr>
          <w:color w:val="221F1F"/>
        </w:rPr>
        <w:t>Plant</w:t>
      </w:r>
      <w:r>
        <w:rPr>
          <w:color w:val="221F1F"/>
          <w:spacing w:val="-8"/>
        </w:rPr>
        <w:t xml:space="preserve"> </w:t>
      </w:r>
      <w:r>
        <w:rPr>
          <w:color w:val="221F1F"/>
        </w:rPr>
        <w:t>or</w:t>
      </w:r>
      <w:r>
        <w:rPr>
          <w:color w:val="221F1F"/>
          <w:spacing w:val="-8"/>
        </w:rPr>
        <w:t xml:space="preserve"> </w:t>
      </w:r>
      <w:r>
        <w:rPr>
          <w:color w:val="221F1F"/>
        </w:rPr>
        <w:t>Materials,</w:t>
      </w:r>
      <w:r>
        <w:rPr>
          <w:color w:val="221F1F"/>
          <w:spacing w:val="-9"/>
        </w:rPr>
        <w:t xml:space="preserve"> </w:t>
      </w:r>
      <w:r>
        <w:rPr>
          <w:color w:val="221F1F"/>
        </w:rPr>
        <w:t>which</w:t>
      </w:r>
      <w:r>
        <w:rPr>
          <w:color w:val="221F1F"/>
          <w:spacing w:val="-9"/>
        </w:rPr>
        <w:t xml:space="preserve"> </w:t>
      </w:r>
      <w:r>
        <w:rPr>
          <w:color w:val="221F1F"/>
        </w:rPr>
        <w:t>has</w:t>
      </w:r>
      <w:r>
        <w:rPr>
          <w:color w:val="221F1F"/>
          <w:spacing w:val="-9"/>
        </w:rPr>
        <w:t xml:space="preserve"> </w:t>
      </w:r>
      <w:r>
        <w:rPr>
          <w:color w:val="221F1F"/>
        </w:rPr>
        <w:t>occurred</w:t>
      </w:r>
      <w:r>
        <w:rPr>
          <w:color w:val="221F1F"/>
          <w:spacing w:val="-8"/>
        </w:rPr>
        <w:t xml:space="preserve"> </w:t>
      </w:r>
      <w:r>
        <w:rPr>
          <w:color w:val="221F1F"/>
        </w:rPr>
        <w:t>during</w:t>
      </w:r>
      <w:r>
        <w:rPr>
          <w:color w:val="221F1F"/>
          <w:spacing w:val="-9"/>
        </w:rPr>
        <w:t xml:space="preserve"> </w:t>
      </w:r>
      <w:r>
        <w:rPr>
          <w:color w:val="221F1F"/>
        </w:rPr>
        <w:t>the</w:t>
      </w:r>
      <w:r>
        <w:rPr>
          <w:color w:val="221F1F"/>
          <w:spacing w:val="-9"/>
        </w:rPr>
        <w:t xml:space="preserve"> </w:t>
      </w:r>
      <w:r>
        <w:rPr>
          <w:color w:val="221F1F"/>
        </w:rPr>
        <w:t>suspension after</w:t>
      </w:r>
      <w:r>
        <w:rPr>
          <w:color w:val="221F1F"/>
          <w:spacing w:val="-3"/>
        </w:rPr>
        <w:t xml:space="preserve"> </w:t>
      </w:r>
      <w:proofErr w:type="spellStart"/>
      <w:r>
        <w:rPr>
          <w:color w:val="221F1F"/>
        </w:rPr>
        <w:t>receivingf</w:t>
      </w:r>
      <w:proofErr w:type="spellEnd"/>
      <w:r>
        <w:rPr>
          <w:color w:val="221F1F"/>
          <w:spacing w:val="-1"/>
        </w:rPr>
        <w:t xml:space="preserve"> </w:t>
      </w:r>
      <w:r>
        <w:rPr>
          <w:color w:val="221F1F"/>
        </w:rPr>
        <w:t>rom</w:t>
      </w:r>
      <w:r>
        <w:rPr>
          <w:color w:val="221F1F"/>
          <w:spacing w:val="-3"/>
        </w:rPr>
        <w:t xml:space="preserve"> </w:t>
      </w:r>
      <w:r>
        <w:rPr>
          <w:color w:val="221F1F"/>
        </w:rPr>
        <w:t>the</w:t>
      </w:r>
      <w:r>
        <w:rPr>
          <w:color w:val="221F1F"/>
          <w:spacing w:val="-2"/>
        </w:rPr>
        <w:t xml:space="preserve"> </w:t>
      </w:r>
      <w:proofErr w:type="spellStart"/>
      <w:r>
        <w:rPr>
          <w:color w:val="221F1F"/>
        </w:rPr>
        <w:t>Architec</w:t>
      </w:r>
      <w:proofErr w:type="spellEnd"/>
      <w:r>
        <w:rPr>
          <w:color w:val="221F1F"/>
          <w:spacing w:val="-3"/>
        </w:rPr>
        <w:t xml:space="preserve"> </w:t>
      </w:r>
      <w:r>
        <w:rPr>
          <w:color w:val="221F1F"/>
        </w:rPr>
        <w:t>tan</w:t>
      </w:r>
      <w:r>
        <w:rPr>
          <w:color w:val="221F1F"/>
          <w:spacing w:val="-4"/>
        </w:rPr>
        <w:t xml:space="preserve"> </w:t>
      </w:r>
      <w:r>
        <w:rPr>
          <w:color w:val="221F1F"/>
        </w:rPr>
        <w:t>instruction</w:t>
      </w:r>
      <w:r>
        <w:rPr>
          <w:color w:val="221F1F"/>
          <w:spacing w:val="-4"/>
        </w:rPr>
        <w:t xml:space="preserve"> </w:t>
      </w:r>
      <w:r>
        <w:rPr>
          <w:color w:val="221F1F"/>
        </w:rPr>
        <w:t>to</w:t>
      </w:r>
      <w:r>
        <w:rPr>
          <w:color w:val="221F1F"/>
          <w:spacing w:val="-5"/>
        </w:rPr>
        <w:t xml:space="preserve"> </w:t>
      </w:r>
      <w:r>
        <w:rPr>
          <w:color w:val="221F1F"/>
        </w:rPr>
        <w:t>this</w:t>
      </w:r>
      <w:r>
        <w:rPr>
          <w:color w:val="221F1F"/>
          <w:spacing w:val="-4"/>
        </w:rPr>
        <w:t xml:space="preserve"> </w:t>
      </w:r>
      <w:r>
        <w:rPr>
          <w:color w:val="221F1F"/>
        </w:rPr>
        <w:t>effect</w:t>
      </w:r>
      <w:r>
        <w:rPr>
          <w:color w:val="221F1F"/>
          <w:spacing w:val="-3"/>
        </w:rPr>
        <w:t xml:space="preserve"> </w:t>
      </w:r>
      <w:r>
        <w:rPr>
          <w:color w:val="221F1F"/>
        </w:rPr>
        <w:t>under</w:t>
      </w:r>
      <w:r>
        <w:rPr>
          <w:color w:val="221F1F"/>
          <w:spacing w:val="-1"/>
        </w:rPr>
        <w:t xml:space="preserve"> </w:t>
      </w:r>
      <w:r>
        <w:rPr>
          <w:color w:val="221F1F"/>
        </w:rPr>
        <w:t>Clause</w:t>
      </w:r>
      <w:r>
        <w:rPr>
          <w:color w:val="221F1F"/>
          <w:spacing w:val="-4"/>
        </w:rPr>
        <w:t xml:space="preserve"> </w:t>
      </w:r>
      <w:r>
        <w:rPr>
          <w:color w:val="221F1F"/>
        </w:rPr>
        <w:t>13</w:t>
      </w:r>
      <w:r>
        <w:rPr>
          <w:color w:val="221F1F"/>
          <w:spacing w:val="-5"/>
        </w:rPr>
        <w:t xml:space="preserve"> </w:t>
      </w:r>
      <w:r>
        <w:rPr>
          <w:color w:val="221F1F"/>
        </w:rPr>
        <w:t>[Variations</w:t>
      </w:r>
      <w:r>
        <w:rPr>
          <w:color w:val="221F1F"/>
          <w:spacing w:val="-8"/>
        </w:rPr>
        <w:t xml:space="preserve"> </w:t>
      </w:r>
      <w:r>
        <w:rPr>
          <w:color w:val="221F1F"/>
        </w:rPr>
        <w:t>and</w:t>
      </w:r>
      <w:r>
        <w:rPr>
          <w:color w:val="221F1F"/>
          <w:spacing w:val="-2"/>
        </w:rPr>
        <w:t xml:space="preserve"> </w:t>
      </w:r>
      <w:r>
        <w:rPr>
          <w:color w:val="221F1F"/>
        </w:rPr>
        <w:t>Adjustments].</w:t>
      </w:r>
    </w:p>
    <w:p w:rsidR="007F6DF9" w:rsidRDefault="007F6DF9">
      <w:pPr>
        <w:pStyle w:val="BodyText"/>
        <w:spacing w:before="205"/>
      </w:pPr>
    </w:p>
    <w:p w:rsidR="007F6DF9" w:rsidRDefault="00A43FBC">
      <w:pPr>
        <w:pStyle w:val="Heading8"/>
        <w:numPr>
          <w:ilvl w:val="0"/>
          <w:numId w:val="122"/>
        </w:numPr>
        <w:tabs>
          <w:tab w:val="left" w:pos="1368"/>
        </w:tabs>
        <w:ind w:left="1368" w:hanging="660"/>
      </w:pPr>
      <w:bookmarkStart w:id="61" w:name="_bookmark59"/>
      <w:bookmarkEnd w:id="61"/>
      <w:r>
        <w:rPr>
          <w:color w:val="221F1F"/>
        </w:rPr>
        <w:t>TESTS</w:t>
      </w:r>
      <w:r>
        <w:rPr>
          <w:color w:val="221F1F"/>
          <w:spacing w:val="-3"/>
        </w:rPr>
        <w:t xml:space="preserve"> </w:t>
      </w:r>
      <w:r>
        <w:rPr>
          <w:color w:val="221F1F"/>
        </w:rPr>
        <w:t>ON</w:t>
      </w:r>
      <w:r>
        <w:rPr>
          <w:color w:val="221F1F"/>
          <w:spacing w:val="-2"/>
        </w:rPr>
        <w:t xml:space="preserve"> COMPLETION</w:t>
      </w:r>
    </w:p>
    <w:p w:rsidR="007F6DF9" w:rsidRDefault="00A43FBC">
      <w:pPr>
        <w:pStyle w:val="Heading9"/>
        <w:numPr>
          <w:ilvl w:val="1"/>
          <w:numId w:val="122"/>
        </w:numPr>
        <w:tabs>
          <w:tab w:val="left" w:pos="1368"/>
        </w:tabs>
        <w:spacing w:before="235"/>
        <w:ind w:left="1368" w:hanging="660"/>
        <w:rPr>
          <w:color w:val="221F1F"/>
        </w:rPr>
      </w:pPr>
      <w:r>
        <w:rPr>
          <w:color w:val="221F1F"/>
        </w:rPr>
        <w:t>Contractor's</w:t>
      </w:r>
      <w:r>
        <w:rPr>
          <w:color w:val="221F1F"/>
          <w:spacing w:val="-8"/>
        </w:rPr>
        <w:t xml:space="preserve"> </w:t>
      </w:r>
      <w:r>
        <w:rPr>
          <w:color w:val="221F1F"/>
          <w:spacing w:val="-2"/>
        </w:rPr>
        <w:t>Obligations</w:t>
      </w:r>
    </w:p>
    <w:p w:rsidR="007F6DF9" w:rsidRDefault="00A43FBC">
      <w:pPr>
        <w:pStyle w:val="ListParagraph"/>
        <w:numPr>
          <w:ilvl w:val="2"/>
          <w:numId w:val="122"/>
        </w:numPr>
        <w:tabs>
          <w:tab w:val="left" w:pos="1367"/>
          <w:tab w:val="left" w:pos="1373"/>
        </w:tabs>
        <w:spacing w:before="242" w:line="230" w:lineRule="auto"/>
        <w:ind w:left="1373" w:right="557" w:hanging="666"/>
        <w:jc w:val="both"/>
        <w:rPr>
          <w:color w:val="221F1F"/>
        </w:rPr>
      </w:pPr>
      <w:r>
        <w:rPr>
          <w:color w:val="221F1F"/>
        </w:rPr>
        <w:t>The Contractor shall carry out the Tests on Completion in accordance with this Clause and Sub-Clause 7.4 [Testing], after providing the documents in accordance with sub-paragraph (d) of Sub-Clause 4.1 [Contractor's General Obligations].</w:t>
      </w:r>
    </w:p>
    <w:p w:rsidR="007F6DF9" w:rsidRDefault="00A43FBC">
      <w:pPr>
        <w:pStyle w:val="ListParagraph"/>
        <w:numPr>
          <w:ilvl w:val="2"/>
          <w:numId w:val="122"/>
        </w:numPr>
        <w:tabs>
          <w:tab w:val="left" w:pos="1367"/>
          <w:tab w:val="left" w:pos="1373"/>
        </w:tabs>
        <w:spacing w:before="246" w:line="230" w:lineRule="auto"/>
        <w:ind w:left="1373" w:right="558" w:hanging="666"/>
        <w:jc w:val="both"/>
        <w:rPr>
          <w:color w:val="221F1F"/>
        </w:rPr>
      </w:pPr>
      <w:r>
        <w:rPr>
          <w:color w:val="221F1F"/>
        </w:rPr>
        <w:t>The</w:t>
      </w:r>
      <w:r>
        <w:rPr>
          <w:color w:val="221F1F"/>
          <w:spacing w:val="-1"/>
        </w:rPr>
        <w:t xml:space="preserve"> </w:t>
      </w:r>
      <w:r>
        <w:rPr>
          <w:color w:val="221F1F"/>
        </w:rPr>
        <w:t>Contractor shall give to</w:t>
      </w:r>
      <w:r>
        <w:rPr>
          <w:color w:val="221F1F"/>
          <w:spacing w:val="-1"/>
        </w:rPr>
        <w:t xml:space="preserve"> </w:t>
      </w:r>
      <w:r>
        <w:rPr>
          <w:color w:val="221F1F"/>
        </w:rPr>
        <w:t>the</w:t>
      </w:r>
      <w:r>
        <w:rPr>
          <w:color w:val="221F1F"/>
          <w:spacing w:val="-1"/>
        </w:rPr>
        <w:t xml:space="preserve"> </w:t>
      </w:r>
      <w:r>
        <w:rPr>
          <w:color w:val="221F1F"/>
        </w:rPr>
        <w:t>Architect not</w:t>
      </w:r>
      <w:r>
        <w:rPr>
          <w:color w:val="221F1F"/>
          <w:spacing w:val="-3"/>
        </w:rPr>
        <w:t xml:space="preserve"> </w:t>
      </w:r>
      <w:r>
        <w:rPr>
          <w:color w:val="221F1F"/>
        </w:rPr>
        <w:t>less</w:t>
      </w:r>
      <w:r>
        <w:rPr>
          <w:color w:val="221F1F"/>
          <w:spacing w:val="-1"/>
        </w:rPr>
        <w:t xml:space="preserve"> </w:t>
      </w:r>
      <w:r>
        <w:rPr>
          <w:color w:val="221F1F"/>
        </w:rPr>
        <w:t>than</w:t>
      </w:r>
      <w:r>
        <w:rPr>
          <w:color w:val="221F1F"/>
          <w:spacing w:val="-1"/>
        </w:rPr>
        <w:t xml:space="preserve"> </w:t>
      </w:r>
      <w:r>
        <w:rPr>
          <w:color w:val="221F1F"/>
        </w:rPr>
        <w:t>21</w:t>
      </w:r>
      <w:r>
        <w:rPr>
          <w:color w:val="221F1F"/>
          <w:spacing w:val="-1"/>
        </w:rPr>
        <w:t xml:space="preserve"> </w:t>
      </w:r>
      <w:r>
        <w:rPr>
          <w:color w:val="221F1F"/>
        </w:rPr>
        <w:t>days'</w:t>
      </w:r>
      <w:r>
        <w:rPr>
          <w:color w:val="221F1F"/>
          <w:spacing w:val="-2"/>
        </w:rPr>
        <w:t xml:space="preserve"> </w:t>
      </w:r>
      <w:r>
        <w:rPr>
          <w:color w:val="221F1F"/>
        </w:rPr>
        <w:t>notice of the</w:t>
      </w:r>
      <w:r>
        <w:rPr>
          <w:color w:val="221F1F"/>
          <w:spacing w:val="-1"/>
        </w:rPr>
        <w:t xml:space="preserve"> </w:t>
      </w:r>
      <w:r>
        <w:rPr>
          <w:color w:val="221F1F"/>
        </w:rPr>
        <w:t>date</w:t>
      </w:r>
      <w:r>
        <w:rPr>
          <w:color w:val="221F1F"/>
          <w:spacing w:val="-1"/>
        </w:rPr>
        <w:t xml:space="preserve"> </w:t>
      </w:r>
      <w:r>
        <w:rPr>
          <w:color w:val="221F1F"/>
        </w:rPr>
        <w:t>after which</w:t>
      </w:r>
      <w:r>
        <w:rPr>
          <w:color w:val="221F1F"/>
          <w:spacing w:val="-1"/>
        </w:rPr>
        <w:t xml:space="preserve"> </w:t>
      </w:r>
      <w:r>
        <w:rPr>
          <w:color w:val="221F1F"/>
        </w:rPr>
        <w:t>the</w:t>
      </w:r>
      <w:r>
        <w:rPr>
          <w:color w:val="221F1F"/>
          <w:spacing w:val="-1"/>
        </w:rPr>
        <w:t xml:space="preserve"> </w:t>
      </w:r>
      <w:r>
        <w:rPr>
          <w:color w:val="221F1F"/>
        </w:rPr>
        <w:t>Contractor will be ready to carry out each of the Tests on Completion. Unless otherwise agreed, Tests on Completion shall be carried out within 14 days after this date, on such day or days as the Architect shall instruct.</w:t>
      </w:r>
    </w:p>
    <w:p w:rsidR="007F6DF9" w:rsidRDefault="00A43FBC">
      <w:pPr>
        <w:pStyle w:val="ListParagraph"/>
        <w:numPr>
          <w:ilvl w:val="2"/>
          <w:numId w:val="122"/>
        </w:numPr>
        <w:tabs>
          <w:tab w:val="left" w:pos="1367"/>
          <w:tab w:val="left" w:pos="1373"/>
        </w:tabs>
        <w:spacing w:before="244" w:line="230" w:lineRule="auto"/>
        <w:ind w:left="1373" w:right="557" w:hanging="666"/>
        <w:jc w:val="both"/>
        <w:rPr>
          <w:color w:val="221F1F"/>
        </w:rPr>
      </w:pPr>
      <w:r>
        <w:rPr>
          <w:color w:val="221F1F"/>
        </w:rPr>
        <w:t>In considering the results of the Tests</w:t>
      </w:r>
      <w:r>
        <w:rPr>
          <w:color w:val="221F1F"/>
          <w:spacing w:val="-2"/>
        </w:rPr>
        <w:t xml:space="preserve"> </w:t>
      </w:r>
      <w:r>
        <w:rPr>
          <w:color w:val="221F1F"/>
        </w:rPr>
        <w:t>on Completion, the Architect shall make allowances for the effect of any use of the Works by the Procuring Entity on the performance or other characteristics of the Works. As soon</w:t>
      </w:r>
      <w:r>
        <w:rPr>
          <w:color w:val="221F1F"/>
          <w:spacing w:val="-6"/>
        </w:rPr>
        <w:t xml:space="preserve"> </w:t>
      </w:r>
      <w:r>
        <w:rPr>
          <w:color w:val="221F1F"/>
        </w:rPr>
        <w:t>as</w:t>
      </w:r>
      <w:r>
        <w:rPr>
          <w:color w:val="221F1F"/>
          <w:spacing w:val="-9"/>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or</w:t>
      </w:r>
      <w:r>
        <w:rPr>
          <w:color w:val="221F1F"/>
          <w:spacing w:val="-6"/>
        </w:rPr>
        <w:t xml:space="preserve"> </w:t>
      </w:r>
      <w:r>
        <w:rPr>
          <w:color w:val="221F1F"/>
        </w:rPr>
        <w:t>a</w:t>
      </w:r>
      <w:r>
        <w:rPr>
          <w:color w:val="221F1F"/>
          <w:spacing w:val="-6"/>
        </w:rPr>
        <w:t xml:space="preserve"> </w:t>
      </w:r>
      <w:r>
        <w:rPr>
          <w:color w:val="221F1F"/>
        </w:rPr>
        <w:t>Section,</w:t>
      </w:r>
      <w:r>
        <w:rPr>
          <w:color w:val="221F1F"/>
          <w:spacing w:val="-8"/>
        </w:rPr>
        <w:t xml:space="preserve"> </w:t>
      </w:r>
      <w:r>
        <w:rPr>
          <w:color w:val="221F1F"/>
        </w:rPr>
        <w:t>have</w:t>
      </w:r>
      <w:r>
        <w:rPr>
          <w:color w:val="221F1F"/>
          <w:spacing w:val="-8"/>
        </w:rPr>
        <w:t xml:space="preserve"> </w:t>
      </w:r>
      <w:r>
        <w:rPr>
          <w:color w:val="221F1F"/>
        </w:rPr>
        <w:t>passed</w:t>
      </w:r>
      <w:r>
        <w:rPr>
          <w:color w:val="221F1F"/>
          <w:spacing w:val="-6"/>
        </w:rPr>
        <w:t xml:space="preserve"> </w:t>
      </w:r>
      <w:r>
        <w:rPr>
          <w:color w:val="221F1F"/>
        </w:rPr>
        <w:t>any</w:t>
      </w:r>
      <w:r>
        <w:rPr>
          <w:color w:val="221F1F"/>
          <w:spacing w:val="-7"/>
        </w:rPr>
        <w:t xml:space="preserve"> </w:t>
      </w:r>
      <w:r>
        <w:rPr>
          <w:color w:val="221F1F"/>
        </w:rPr>
        <w:t>Tests</w:t>
      </w:r>
      <w:r>
        <w:rPr>
          <w:color w:val="221F1F"/>
          <w:spacing w:val="-14"/>
        </w:rPr>
        <w:t xml:space="preserve"> </w:t>
      </w:r>
      <w:r>
        <w:rPr>
          <w:color w:val="221F1F"/>
        </w:rPr>
        <w:t>on</w:t>
      </w:r>
      <w:r>
        <w:rPr>
          <w:color w:val="221F1F"/>
          <w:spacing w:val="-7"/>
        </w:rPr>
        <w:t xml:space="preserve"> </w:t>
      </w:r>
      <w:r>
        <w:rPr>
          <w:color w:val="221F1F"/>
        </w:rPr>
        <w:t>Completion,</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5"/>
        </w:rPr>
        <w:t xml:space="preserve"> </w:t>
      </w:r>
      <w:r>
        <w:rPr>
          <w:color w:val="221F1F"/>
        </w:rPr>
        <w:t>submit</w:t>
      </w:r>
      <w:r>
        <w:rPr>
          <w:color w:val="221F1F"/>
          <w:spacing w:val="-6"/>
        </w:rPr>
        <w:t xml:space="preserve"> </w:t>
      </w:r>
      <w:r>
        <w:rPr>
          <w:color w:val="221F1F"/>
        </w:rPr>
        <w:t>a</w:t>
      </w:r>
      <w:r>
        <w:rPr>
          <w:color w:val="221F1F"/>
          <w:spacing w:val="-6"/>
        </w:rPr>
        <w:t xml:space="preserve"> </w:t>
      </w:r>
      <w:r>
        <w:rPr>
          <w:color w:val="221F1F"/>
        </w:rPr>
        <w:t xml:space="preserve">certified report of the </w:t>
      </w:r>
      <w:proofErr w:type="spellStart"/>
      <w:r>
        <w:rPr>
          <w:color w:val="221F1F"/>
        </w:rPr>
        <w:t>resultsof</w:t>
      </w:r>
      <w:proofErr w:type="spellEnd"/>
      <w:r>
        <w:rPr>
          <w:color w:val="221F1F"/>
        </w:rPr>
        <w:t xml:space="preserve"> these Tests to the Engineer.</w:t>
      </w:r>
    </w:p>
    <w:p w:rsidR="007F6DF9" w:rsidRDefault="00A43FBC">
      <w:pPr>
        <w:pStyle w:val="Heading9"/>
        <w:numPr>
          <w:ilvl w:val="1"/>
          <w:numId w:val="122"/>
        </w:numPr>
        <w:tabs>
          <w:tab w:val="left" w:pos="1368"/>
        </w:tabs>
        <w:spacing w:before="237"/>
        <w:ind w:left="1368" w:hanging="660"/>
        <w:rPr>
          <w:color w:val="221F1F"/>
        </w:rPr>
      </w:pPr>
      <w:r>
        <w:rPr>
          <w:color w:val="221F1F"/>
        </w:rPr>
        <w:t>Delayed</w:t>
      </w:r>
      <w:r>
        <w:rPr>
          <w:color w:val="221F1F"/>
          <w:spacing w:val="-3"/>
        </w:rPr>
        <w:t xml:space="preserve"> </w:t>
      </w:r>
      <w:r>
        <w:rPr>
          <w:color w:val="221F1F"/>
          <w:spacing w:val="-2"/>
        </w:rPr>
        <w:t>Tests</w:t>
      </w:r>
    </w:p>
    <w:p w:rsidR="007F6DF9" w:rsidRDefault="00A43FBC">
      <w:pPr>
        <w:pStyle w:val="ListParagraph"/>
        <w:numPr>
          <w:ilvl w:val="2"/>
          <w:numId w:val="122"/>
        </w:numPr>
        <w:tabs>
          <w:tab w:val="left" w:pos="1365"/>
          <w:tab w:val="left" w:pos="1373"/>
        </w:tabs>
        <w:spacing w:before="242" w:line="230" w:lineRule="auto"/>
        <w:ind w:left="1373" w:right="559" w:hanging="666"/>
        <w:jc w:val="both"/>
        <w:rPr>
          <w:color w:val="221F1F"/>
        </w:rPr>
      </w:pPr>
      <w:r>
        <w:rPr>
          <w:color w:val="221F1F"/>
        </w:rPr>
        <w:t>If</w:t>
      </w:r>
      <w:r>
        <w:rPr>
          <w:color w:val="221F1F"/>
          <w:spacing w:val="-1"/>
        </w:rPr>
        <w:t xml:space="preserve"> </w:t>
      </w:r>
      <w:r>
        <w:rPr>
          <w:color w:val="221F1F"/>
        </w:rPr>
        <w:t>the</w:t>
      </w:r>
      <w:r>
        <w:rPr>
          <w:color w:val="221F1F"/>
          <w:spacing w:val="-1"/>
        </w:rPr>
        <w:t xml:space="preserve"> </w:t>
      </w:r>
      <w:r>
        <w:rPr>
          <w:color w:val="221F1F"/>
        </w:rPr>
        <w:t>Tests</w:t>
      </w:r>
      <w:r>
        <w:rPr>
          <w:color w:val="221F1F"/>
          <w:spacing w:val="-10"/>
        </w:rPr>
        <w:t xml:space="preserve"> </w:t>
      </w:r>
      <w:r>
        <w:rPr>
          <w:color w:val="221F1F"/>
        </w:rPr>
        <w:t>on</w:t>
      </w:r>
      <w:r>
        <w:rPr>
          <w:color w:val="221F1F"/>
          <w:spacing w:val="-2"/>
        </w:rPr>
        <w:t xml:space="preserve"> </w:t>
      </w:r>
      <w:r>
        <w:rPr>
          <w:color w:val="221F1F"/>
        </w:rPr>
        <w:t>Completion</w:t>
      </w:r>
      <w:r>
        <w:rPr>
          <w:color w:val="221F1F"/>
          <w:spacing w:val="-2"/>
        </w:rPr>
        <w:t xml:space="preserve"> </w:t>
      </w:r>
      <w:r>
        <w:rPr>
          <w:color w:val="221F1F"/>
        </w:rPr>
        <w:t>are</w:t>
      </w:r>
      <w:r>
        <w:rPr>
          <w:color w:val="221F1F"/>
          <w:spacing w:val="-2"/>
        </w:rPr>
        <w:t xml:space="preserve"> </w:t>
      </w:r>
      <w:r>
        <w:rPr>
          <w:color w:val="221F1F"/>
        </w:rPr>
        <w:t>being</w:t>
      </w:r>
      <w:r>
        <w:rPr>
          <w:color w:val="221F1F"/>
          <w:spacing w:val="-2"/>
        </w:rPr>
        <w:t xml:space="preserve"> </w:t>
      </w:r>
      <w:r>
        <w:rPr>
          <w:color w:val="221F1F"/>
        </w:rPr>
        <w:t>unduly</w:t>
      </w:r>
      <w:r>
        <w:rPr>
          <w:color w:val="221F1F"/>
          <w:spacing w:val="-2"/>
        </w:rPr>
        <w:t xml:space="preserve"> </w:t>
      </w:r>
      <w:r>
        <w:rPr>
          <w:color w:val="221F1F"/>
        </w:rPr>
        <w:t>delayed</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Procuring Entity,</w:t>
      </w:r>
      <w:r>
        <w:rPr>
          <w:color w:val="221F1F"/>
          <w:spacing w:val="-7"/>
        </w:rPr>
        <w:t xml:space="preserve"> </w:t>
      </w:r>
      <w:r>
        <w:rPr>
          <w:color w:val="221F1F"/>
        </w:rPr>
        <w:t>Sub-Clause</w:t>
      </w:r>
      <w:r>
        <w:rPr>
          <w:color w:val="221F1F"/>
          <w:spacing w:val="-2"/>
        </w:rPr>
        <w:t xml:space="preserve"> </w:t>
      </w:r>
      <w:r>
        <w:rPr>
          <w:color w:val="221F1F"/>
        </w:rPr>
        <w:t>7.4</w:t>
      </w:r>
      <w:r>
        <w:rPr>
          <w:color w:val="221F1F"/>
          <w:spacing w:val="-4"/>
        </w:rPr>
        <w:t xml:space="preserve"> </w:t>
      </w:r>
      <w:r>
        <w:rPr>
          <w:color w:val="221F1F"/>
        </w:rPr>
        <w:t>[Testing]</w:t>
      </w:r>
      <w:r>
        <w:rPr>
          <w:color w:val="221F1F"/>
          <w:spacing w:val="-4"/>
        </w:rPr>
        <w:t xml:space="preserve"> </w:t>
      </w:r>
      <w:r>
        <w:rPr>
          <w:color w:val="221F1F"/>
        </w:rPr>
        <w:t>(fifth paragraph) and/ or Sub-Clause 10.3 [Interference with Tests</w:t>
      </w:r>
      <w:r>
        <w:rPr>
          <w:color w:val="221F1F"/>
          <w:spacing w:val="-1"/>
        </w:rPr>
        <w:t xml:space="preserve"> </w:t>
      </w:r>
      <w:r>
        <w:rPr>
          <w:color w:val="221F1F"/>
        </w:rPr>
        <w:t>on Completion] shall be applicable.</w:t>
      </w:r>
    </w:p>
    <w:p w:rsidR="007F6DF9" w:rsidRDefault="00A43FBC">
      <w:pPr>
        <w:pStyle w:val="ListParagraph"/>
        <w:numPr>
          <w:ilvl w:val="2"/>
          <w:numId w:val="122"/>
        </w:numPr>
        <w:tabs>
          <w:tab w:val="left" w:pos="1365"/>
          <w:tab w:val="left" w:pos="1373"/>
        </w:tabs>
        <w:spacing w:before="244" w:line="230" w:lineRule="auto"/>
        <w:ind w:left="1373" w:right="556" w:hanging="666"/>
        <w:jc w:val="both"/>
        <w:rPr>
          <w:color w:val="221F1F"/>
        </w:rPr>
      </w:pPr>
      <w:r>
        <w:rPr>
          <w:color w:val="221F1F"/>
        </w:rPr>
        <w:t>If the Tests</w:t>
      </w:r>
      <w:r>
        <w:rPr>
          <w:color w:val="221F1F"/>
          <w:spacing w:val="-4"/>
        </w:rPr>
        <w:t xml:space="preserve"> </w:t>
      </w:r>
      <w:r>
        <w:rPr>
          <w:color w:val="221F1F"/>
        </w:rPr>
        <w:t>on Completion are being unduly delayed by the Contractor, the Architect may by notice require the Contractor</w:t>
      </w:r>
      <w:r>
        <w:rPr>
          <w:color w:val="221F1F"/>
          <w:spacing w:val="-2"/>
        </w:rPr>
        <w:t xml:space="preserve"> </w:t>
      </w:r>
      <w:r>
        <w:rPr>
          <w:color w:val="221F1F"/>
        </w:rPr>
        <w:t>to</w:t>
      </w:r>
      <w:r>
        <w:rPr>
          <w:color w:val="221F1F"/>
          <w:spacing w:val="-2"/>
        </w:rPr>
        <w:t xml:space="preserve"> </w:t>
      </w:r>
      <w:r>
        <w:rPr>
          <w:color w:val="221F1F"/>
        </w:rPr>
        <w:t>carry out</w:t>
      </w:r>
      <w:r>
        <w:rPr>
          <w:color w:val="221F1F"/>
          <w:spacing w:val="-1"/>
        </w:rPr>
        <w:t xml:space="preserve"> </w:t>
      </w:r>
      <w:r>
        <w:rPr>
          <w:color w:val="221F1F"/>
        </w:rPr>
        <w:t>the Tests</w:t>
      </w:r>
      <w:r>
        <w:rPr>
          <w:color w:val="221F1F"/>
          <w:spacing w:val="-8"/>
        </w:rPr>
        <w:t xml:space="preserve"> </w:t>
      </w:r>
      <w:r>
        <w:rPr>
          <w:color w:val="221F1F"/>
        </w:rPr>
        <w:t>within 21</w:t>
      </w:r>
      <w:r>
        <w:rPr>
          <w:color w:val="221F1F"/>
          <w:spacing w:val="-2"/>
        </w:rPr>
        <w:t xml:space="preserve"> </w:t>
      </w:r>
      <w:r>
        <w:rPr>
          <w:color w:val="221F1F"/>
        </w:rPr>
        <w:t>days</w:t>
      </w:r>
      <w:r>
        <w:rPr>
          <w:color w:val="221F1F"/>
          <w:spacing w:val="-2"/>
        </w:rPr>
        <w:t xml:space="preserve"> </w:t>
      </w:r>
      <w:r>
        <w:rPr>
          <w:color w:val="221F1F"/>
        </w:rPr>
        <w:t>after receiving</w:t>
      </w:r>
      <w:r>
        <w:rPr>
          <w:color w:val="221F1F"/>
          <w:spacing w:val="-2"/>
        </w:rPr>
        <w:t xml:space="preserve"> </w:t>
      </w:r>
      <w:r>
        <w:rPr>
          <w:color w:val="221F1F"/>
        </w:rPr>
        <w:t>the</w:t>
      </w:r>
      <w:r>
        <w:rPr>
          <w:color w:val="221F1F"/>
          <w:spacing w:val="-2"/>
        </w:rPr>
        <w:t xml:space="preserve"> </w:t>
      </w:r>
      <w:r>
        <w:rPr>
          <w:color w:val="221F1F"/>
        </w:rPr>
        <w:t>notice. 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carry</w:t>
      </w:r>
      <w:r>
        <w:rPr>
          <w:color w:val="221F1F"/>
          <w:spacing w:val="-2"/>
        </w:rPr>
        <w:t xml:space="preserve"> </w:t>
      </w:r>
      <w:r>
        <w:rPr>
          <w:color w:val="221F1F"/>
        </w:rPr>
        <w:t>out the</w:t>
      </w:r>
      <w:r>
        <w:rPr>
          <w:color w:val="221F1F"/>
          <w:spacing w:val="-5"/>
        </w:rPr>
        <w:t xml:space="preserve"> </w:t>
      </w:r>
      <w:proofErr w:type="spellStart"/>
      <w:r>
        <w:rPr>
          <w:color w:val="221F1F"/>
        </w:rPr>
        <w:t>Testson</w:t>
      </w:r>
      <w:proofErr w:type="spellEnd"/>
      <w:r>
        <w:rPr>
          <w:color w:val="221F1F"/>
          <w:spacing w:val="-8"/>
        </w:rPr>
        <w:t xml:space="preserve"> </w:t>
      </w:r>
      <w:r>
        <w:rPr>
          <w:color w:val="221F1F"/>
        </w:rPr>
        <w:t>such</w:t>
      </w:r>
      <w:r>
        <w:rPr>
          <w:color w:val="221F1F"/>
          <w:spacing w:val="-8"/>
        </w:rPr>
        <w:t xml:space="preserve"> </w:t>
      </w:r>
      <w:r>
        <w:rPr>
          <w:color w:val="221F1F"/>
        </w:rPr>
        <w:t>day</w:t>
      </w:r>
      <w:r>
        <w:rPr>
          <w:color w:val="221F1F"/>
          <w:spacing w:val="-8"/>
        </w:rPr>
        <w:t xml:space="preserve"> </w:t>
      </w:r>
      <w:r>
        <w:rPr>
          <w:color w:val="221F1F"/>
        </w:rPr>
        <w:t>or</w:t>
      </w:r>
      <w:r>
        <w:rPr>
          <w:color w:val="221F1F"/>
          <w:spacing w:val="-5"/>
        </w:rPr>
        <w:t xml:space="preserve"> </w:t>
      </w:r>
      <w:r>
        <w:rPr>
          <w:color w:val="221F1F"/>
        </w:rPr>
        <w:t>days</w:t>
      </w:r>
      <w:r>
        <w:rPr>
          <w:color w:val="221F1F"/>
          <w:spacing w:val="-5"/>
        </w:rPr>
        <w:t xml:space="preserve"> </w:t>
      </w:r>
      <w:r>
        <w:rPr>
          <w:color w:val="221F1F"/>
        </w:rPr>
        <w:t>within</w:t>
      </w:r>
      <w:r>
        <w:rPr>
          <w:color w:val="221F1F"/>
          <w:spacing w:val="-7"/>
        </w:rPr>
        <w:t xml:space="preserve"> </w:t>
      </w:r>
      <w:r>
        <w:rPr>
          <w:color w:val="221F1F"/>
        </w:rPr>
        <w:t>that</w:t>
      </w:r>
      <w:r>
        <w:rPr>
          <w:color w:val="221F1F"/>
          <w:spacing w:val="-4"/>
        </w:rPr>
        <w:t xml:space="preserve"> </w:t>
      </w:r>
      <w:r>
        <w:rPr>
          <w:color w:val="221F1F"/>
        </w:rPr>
        <w:t>period</w:t>
      </w:r>
      <w:r>
        <w:rPr>
          <w:color w:val="221F1F"/>
          <w:spacing w:val="-6"/>
        </w:rPr>
        <w:t xml:space="preserve"> </w:t>
      </w:r>
      <w:r>
        <w:rPr>
          <w:color w:val="221F1F"/>
        </w:rPr>
        <w:t>as</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6"/>
        </w:rPr>
        <w:t xml:space="preserve"> </w:t>
      </w:r>
      <w:r>
        <w:rPr>
          <w:color w:val="221F1F"/>
        </w:rPr>
        <w:t>may</w:t>
      </w:r>
      <w:r>
        <w:rPr>
          <w:color w:val="221F1F"/>
          <w:spacing w:val="-8"/>
        </w:rPr>
        <w:t xml:space="preserve"> </w:t>
      </w:r>
      <w:r>
        <w:rPr>
          <w:color w:val="221F1F"/>
        </w:rPr>
        <w:t>fix</w:t>
      </w:r>
      <w:r>
        <w:rPr>
          <w:color w:val="221F1F"/>
          <w:spacing w:val="-6"/>
        </w:rPr>
        <w:t xml:space="preserve"> </w:t>
      </w:r>
      <w:r>
        <w:rPr>
          <w:color w:val="221F1F"/>
        </w:rPr>
        <w:t>and</w:t>
      </w:r>
      <w:r>
        <w:rPr>
          <w:color w:val="221F1F"/>
          <w:spacing w:val="-6"/>
        </w:rPr>
        <w:t xml:space="preserve"> </w:t>
      </w:r>
      <w:r>
        <w:rPr>
          <w:color w:val="221F1F"/>
        </w:rPr>
        <w:t>of</w:t>
      </w:r>
      <w:r>
        <w:rPr>
          <w:color w:val="221F1F"/>
          <w:spacing w:val="-5"/>
        </w:rPr>
        <w:t xml:space="preserve"> </w:t>
      </w:r>
      <w:r>
        <w:rPr>
          <w:color w:val="221F1F"/>
        </w:rPr>
        <w:t>which</w:t>
      </w:r>
      <w:r>
        <w:rPr>
          <w:color w:val="221F1F"/>
          <w:spacing w:val="-4"/>
        </w:rPr>
        <w:t xml:space="preserve"> </w:t>
      </w:r>
      <w:r>
        <w:rPr>
          <w:color w:val="221F1F"/>
        </w:rPr>
        <w:t>he</w:t>
      </w:r>
      <w:r>
        <w:rPr>
          <w:color w:val="221F1F"/>
          <w:spacing w:val="-5"/>
        </w:rPr>
        <w:t xml:space="preserve"> </w:t>
      </w:r>
      <w:r>
        <w:rPr>
          <w:color w:val="221F1F"/>
        </w:rPr>
        <w:t>shall</w:t>
      </w:r>
      <w:r>
        <w:rPr>
          <w:color w:val="221F1F"/>
          <w:spacing w:val="-4"/>
        </w:rPr>
        <w:t xml:space="preserve"> </w:t>
      </w:r>
      <w:r>
        <w:rPr>
          <w:color w:val="221F1F"/>
        </w:rPr>
        <w:t>give</w:t>
      </w:r>
      <w:r>
        <w:rPr>
          <w:color w:val="221F1F"/>
          <w:spacing w:val="-5"/>
        </w:rPr>
        <w:t xml:space="preserve"> </w:t>
      </w:r>
      <w:r>
        <w:rPr>
          <w:color w:val="221F1F"/>
        </w:rPr>
        <w:t>notice</w:t>
      </w:r>
      <w:r>
        <w:rPr>
          <w:color w:val="221F1F"/>
          <w:spacing w:val="-7"/>
        </w:rPr>
        <w:t xml:space="preserve"> </w:t>
      </w:r>
      <w:r>
        <w:rPr>
          <w:color w:val="221F1F"/>
        </w:rPr>
        <w:t>to the Engineer.</w:t>
      </w:r>
    </w:p>
    <w:p w:rsidR="007F6DF9" w:rsidRDefault="00A43FBC">
      <w:pPr>
        <w:pStyle w:val="ListParagraph"/>
        <w:numPr>
          <w:ilvl w:val="2"/>
          <w:numId w:val="122"/>
        </w:numPr>
        <w:tabs>
          <w:tab w:val="left" w:pos="1365"/>
          <w:tab w:val="left" w:pos="1373"/>
        </w:tabs>
        <w:spacing w:before="246" w:line="230" w:lineRule="auto"/>
        <w:ind w:left="1373" w:right="560" w:hanging="666"/>
        <w:jc w:val="both"/>
        <w:rPr>
          <w:color w:val="221F1F"/>
        </w:rPr>
      </w:pPr>
      <w:r>
        <w:rPr>
          <w:color w:val="221F1F"/>
        </w:rPr>
        <w:t>If</w:t>
      </w:r>
      <w:r>
        <w:rPr>
          <w:color w:val="221F1F"/>
          <w:spacing w:val="-8"/>
        </w:rPr>
        <w:t xml:space="preserve"> </w:t>
      </w:r>
      <w:r>
        <w:rPr>
          <w:color w:val="221F1F"/>
        </w:rPr>
        <w:t>the</w:t>
      </w:r>
      <w:r>
        <w:rPr>
          <w:color w:val="221F1F"/>
          <w:spacing w:val="-9"/>
        </w:rPr>
        <w:t xml:space="preserve"> </w:t>
      </w:r>
      <w:r>
        <w:rPr>
          <w:color w:val="221F1F"/>
        </w:rPr>
        <w:t>Contractor</w:t>
      </w:r>
      <w:r>
        <w:rPr>
          <w:color w:val="221F1F"/>
          <w:spacing w:val="-8"/>
        </w:rPr>
        <w:t xml:space="preserve"> </w:t>
      </w:r>
      <w:r>
        <w:rPr>
          <w:color w:val="221F1F"/>
        </w:rPr>
        <w:t>fails</w:t>
      </w:r>
      <w:r>
        <w:rPr>
          <w:color w:val="221F1F"/>
          <w:spacing w:val="-8"/>
        </w:rPr>
        <w:t xml:space="preserve"> </w:t>
      </w:r>
      <w:r>
        <w:rPr>
          <w:color w:val="221F1F"/>
        </w:rPr>
        <w:t>to</w:t>
      </w:r>
      <w:r>
        <w:rPr>
          <w:color w:val="221F1F"/>
          <w:spacing w:val="-9"/>
        </w:rPr>
        <w:t xml:space="preserve"> </w:t>
      </w:r>
      <w:proofErr w:type="spellStart"/>
      <w:r>
        <w:rPr>
          <w:color w:val="221F1F"/>
        </w:rPr>
        <w:t>carryout</w:t>
      </w:r>
      <w:proofErr w:type="spellEnd"/>
      <w:r>
        <w:rPr>
          <w:color w:val="221F1F"/>
          <w:spacing w:val="-7"/>
        </w:rPr>
        <w:t xml:space="preserve"> </w:t>
      </w:r>
      <w:r>
        <w:rPr>
          <w:color w:val="221F1F"/>
        </w:rPr>
        <w:t>the</w:t>
      </w:r>
      <w:r>
        <w:rPr>
          <w:color w:val="221F1F"/>
          <w:spacing w:val="-7"/>
        </w:rPr>
        <w:t xml:space="preserve"> </w:t>
      </w:r>
      <w:r>
        <w:rPr>
          <w:color w:val="221F1F"/>
        </w:rPr>
        <w:t>Tests</w:t>
      </w:r>
      <w:r>
        <w:rPr>
          <w:color w:val="221F1F"/>
          <w:spacing w:val="-14"/>
        </w:rPr>
        <w:t xml:space="preserve"> </w:t>
      </w:r>
      <w:r>
        <w:rPr>
          <w:color w:val="221F1F"/>
        </w:rPr>
        <w:t>on</w:t>
      </w:r>
      <w:r>
        <w:rPr>
          <w:color w:val="221F1F"/>
          <w:spacing w:val="-9"/>
        </w:rPr>
        <w:t xml:space="preserve"> </w:t>
      </w:r>
      <w:r>
        <w:rPr>
          <w:color w:val="221F1F"/>
        </w:rPr>
        <w:t>Completion</w:t>
      </w:r>
      <w:r>
        <w:rPr>
          <w:color w:val="221F1F"/>
          <w:spacing w:val="-6"/>
        </w:rPr>
        <w:t xml:space="preserve"> </w:t>
      </w:r>
      <w:r>
        <w:rPr>
          <w:color w:val="221F1F"/>
        </w:rPr>
        <w:t>within</w:t>
      </w:r>
      <w:r>
        <w:rPr>
          <w:color w:val="221F1F"/>
          <w:spacing w:val="-9"/>
        </w:rPr>
        <w:t xml:space="preserve"> </w:t>
      </w:r>
      <w:r>
        <w:rPr>
          <w:color w:val="221F1F"/>
        </w:rPr>
        <w:t>the</w:t>
      </w:r>
      <w:r>
        <w:rPr>
          <w:color w:val="221F1F"/>
          <w:spacing w:val="-6"/>
        </w:rPr>
        <w:t xml:space="preserve"> </w:t>
      </w:r>
      <w:r>
        <w:rPr>
          <w:color w:val="221F1F"/>
        </w:rPr>
        <w:t>period</w:t>
      </w:r>
      <w:r>
        <w:rPr>
          <w:color w:val="221F1F"/>
          <w:spacing w:val="-9"/>
        </w:rPr>
        <w:t xml:space="preserve"> </w:t>
      </w:r>
      <w:r>
        <w:rPr>
          <w:color w:val="221F1F"/>
        </w:rPr>
        <w:t>of</w:t>
      </w:r>
      <w:r>
        <w:rPr>
          <w:color w:val="221F1F"/>
          <w:spacing w:val="-9"/>
        </w:rPr>
        <w:t xml:space="preserve"> </w:t>
      </w:r>
      <w:r>
        <w:rPr>
          <w:color w:val="221F1F"/>
        </w:rPr>
        <w:t>21</w:t>
      </w:r>
      <w:r>
        <w:rPr>
          <w:color w:val="221F1F"/>
          <w:spacing w:val="-7"/>
        </w:rPr>
        <w:t xml:space="preserve"> </w:t>
      </w:r>
      <w:r>
        <w:rPr>
          <w:color w:val="221F1F"/>
        </w:rPr>
        <w:t>days,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7"/>
        </w:rPr>
        <w:t xml:space="preserve"> </w:t>
      </w:r>
      <w:r>
        <w:rPr>
          <w:color w:val="221F1F"/>
        </w:rPr>
        <w:t>Entity's Personnel may proceed with the Test</w:t>
      </w:r>
      <w:r>
        <w:rPr>
          <w:color w:val="221F1F"/>
          <w:spacing w:val="-2"/>
        </w:rPr>
        <w:t xml:space="preserve"> </w:t>
      </w:r>
      <w:r>
        <w:rPr>
          <w:color w:val="221F1F"/>
        </w:rPr>
        <w:t>sat the risk and cost of the Contractor. The Tests</w:t>
      </w:r>
      <w:r>
        <w:rPr>
          <w:color w:val="221F1F"/>
          <w:spacing w:val="-2"/>
        </w:rPr>
        <w:t xml:space="preserve"> </w:t>
      </w:r>
      <w:r>
        <w:rPr>
          <w:color w:val="221F1F"/>
        </w:rPr>
        <w:t>on Completion shall then</w:t>
      </w:r>
      <w:r>
        <w:rPr>
          <w:color w:val="221F1F"/>
          <w:spacing w:val="-4"/>
        </w:rPr>
        <w:t xml:space="preserve"> </w:t>
      </w:r>
      <w:r>
        <w:rPr>
          <w:color w:val="221F1F"/>
        </w:rPr>
        <w:t>be</w:t>
      </w:r>
      <w:r>
        <w:rPr>
          <w:color w:val="221F1F"/>
          <w:spacing w:val="-4"/>
        </w:rPr>
        <w:t xml:space="preserve"> </w:t>
      </w:r>
      <w:r>
        <w:rPr>
          <w:color w:val="221F1F"/>
        </w:rPr>
        <w:t>deemed</w:t>
      </w:r>
      <w:r>
        <w:rPr>
          <w:color w:val="221F1F"/>
          <w:spacing w:val="-4"/>
        </w:rPr>
        <w:t xml:space="preserve"> </w:t>
      </w:r>
      <w:r>
        <w:rPr>
          <w:color w:val="221F1F"/>
        </w:rPr>
        <w:t>to</w:t>
      </w:r>
      <w:r>
        <w:rPr>
          <w:color w:val="221F1F"/>
          <w:spacing w:val="-7"/>
        </w:rPr>
        <w:t xml:space="preserve"> </w:t>
      </w:r>
      <w:r>
        <w:rPr>
          <w:color w:val="221F1F"/>
        </w:rPr>
        <w:t>have</w:t>
      </w:r>
      <w:r>
        <w:rPr>
          <w:color w:val="221F1F"/>
          <w:spacing w:val="-6"/>
        </w:rPr>
        <w:t xml:space="preserve"> </w:t>
      </w:r>
      <w:r>
        <w:rPr>
          <w:color w:val="221F1F"/>
        </w:rPr>
        <w:t>been</w:t>
      </w:r>
      <w:r>
        <w:rPr>
          <w:color w:val="221F1F"/>
          <w:spacing w:val="-4"/>
        </w:rPr>
        <w:t xml:space="preserve"> </w:t>
      </w:r>
      <w:r>
        <w:rPr>
          <w:color w:val="221F1F"/>
        </w:rPr>
        <w:t>carried</w:t>
      </w:r>
      <w:r>
        <w:rPr>
          <w:color w:val="221F1F"/>
          <w:spacing w:val="-4"/>
        </w:rPr>
        <w:t xml:space="preserve"> </w:t>
      </w:r>
      <w:r>
        <w:rPr>
          <w:color w:val="221F1F"/>
        </w:rPr>
        <w:t>out</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presence</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and</w:t>
      </w:r>
      <w:r>
        <w:rPr>
          <w:color w:val="221F1F"/>
          <w:spacing w:val="-5"/>
        </w:rPr>
        <w:t xml:space="preserve"> </w:t>
      </w:r>
      <w:r>
        <w:rPr>
          <w:color w:val="221F1F"/>
        </w:rPr>
        <w:t>the</w:t>
      </w:r>
      <w:r>
        <w:rPr>
          <w:color w:val="221F1F"/>
          <w:spacing w:val="-7"/>
        </w:rPr>
        <w:t xml:space="preserve"> </w:t>
      </w:r>
      <w:r>
        <w:rPr>
          <w:color w:val="221F1F"/>
        </w:rPr>
        <w:t>results</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Tests</w:t>
      </w:r>
      <w:r>
        <w:rPr>
          <w:color w:val="221F1F"/>
          <w:spacing w:val="-14"/>
        </w:rPr>
        <w:t xml:space="preserve"> </w:t>
      </w:r>
      <w:r>
        <w:rPr>
          <w:color w:val="221F1F"/>
        </w:rPr>
        <w:t>shall</w:t>
      </w:r>
      <w:r>
        <w:rPr>
          <w:color w:val="221F1F"/>
          <w:spacing w:val="-3"/>
        </w:rPr>
        <w:t xml:space="preserve"> </w:t>
      </w:r>
      <w:r>
        <w:rPr>
          <w:color w:val="221F1F"/>
        </w:rPr>
        <w:t xml:space="preserve">be accepted </w:t>
      </w:r>
      <w:proofErr w:type="spellStart"/>
      <w:r>
        <w:rPr>
          <w:color w:val="221F1F"/>
        </w:rPr>
        <w:t>asaccurate</w:t>
      </w:r>
      <w:proofErr w:type="spellEnd"/>
      <w:r>
        <w:rPr>
          <w:color w:val="221F1F"/>
        </w:rPr>
        <w:t>.</w:t>
      </w:r>
    </w:p>
    <w:p w:rsidR="007F6DF9" w:rsidRDefault="00A43FBC">
      <w:pPr>
        <w:pStyle w:val="Heading9"/>
        <w:numPr>
          <w:ilvl w:val="1"/>
          <w:numId w:val="122"/>
        </w:numPr>
        <w:tabs>
          <w:tab w:val="left" w:pos="1368"/>
        </w:tabs>
        <w:spacing w:before="237"/>
        <w:ind w:left="1368" w:hanging="660"/>
        <w:rPr>
          <w:color w:val="221F1F"/>
        </w:rPr>
      </w:pPr>
      <w:r>
        <w:rPr>
          <w:color w:val="221F1F"/>
        </w:rPr>
        <w:t>Retesting</w:t>
      </w:r>
      <w:r>
        <w:rPr>
          <w:color w:val="221F1F"/>
          <w:spacing w:val="-5"/>
        </w:rPr>
        <w:t xml:space="preserve"> </w:t>
      </w:r>
      <w:r>
        <w:rPr>
          <w:color w:val="221F1F"/>
        </w:rPr>
        <w:t>of</w:t>
      </w:r>
      <w:r>
        <w:rPr>
          <w:color w:val="221F1F"/>
          <w:spacing w:val="-4"/>
        </w:rPr>
        <w:t xml:space="preserve"> </w:t>
      </w:r>
      <w:r>
        <w:rPr>
          <w:color w:val="221F1F"/>
        </w:rPr>
        <w:t>related</w:t>
      </w:r>
      <w:r>
        <w:rPr>
          <w:color w:val="221F1F"/>
          <w:spacing w:val="-3"/>
        </w:rPr>
        <w:t xml:space="preserve"> </w:t>
      </w:r>
      <w:r>
        <w:rPr>
          <w:color w:val="221F1F"/>
          <w:spacing w:val="-4"/>
        </w:rPr>
        <w:t>works</w:t>
      </w:r>
    </w:p>
    <w:p w:rsidR="007F6DF9" w:rsidRDefault="00A43FBC">
      <w:pPr>
        <w:pStyle w:val="BodyText"/>
        <w:spacing w:before="243" w:line="230" w:lineRule="auto"/>
        <w:ind w:left="1373" w:right="560" w:hanging="5"/>
        <w:jc w:val="both"/>
      </w:pPr>
      <w:r>
        <w:rPr>
          <w:color w:val="221F1F"/>
        </w:rPr>
        <w:t>If the Works,</w:t>
      </w:r>
      <w:r>
        <w:rPr>
          <w:color w:val="221F1F"/>
          <w:spacing w:val="-4"/>
        </w:rPr>
        <w:t xml:space="preserve"> </w:t>
      </w:r>
      <w:r>
        <w:rPr>
          <w:color w:val="221F1F"/>
        </w:rPr>
        <w:t>or a Section, fail to pass the Tests</w:t>
      </w:r>
      <w:r>
        <w:rPr>
          <w:color w:val="221F1F"/>
          <w:spacing w:val="-5"/>
        </w:rPr>
        <w:t xml:space="preserve"> </w:t>
      </w:r>
      <w:r>
        <w:rPr>
          <w:color w:val="221F1F"/>
        </w:rPr>
        <w:t>on Completion, Sub-Clause 7.5 [Rejection] shall apply,</w:t>
      </w:r>
      <w:r>
        <w:rPr>
          <w:color w:val="221F1F"/>
          <w:spacing w:val="-4"/>
        </w:rPr>
        <w:t xml:space="preserve"> </w:t>
      </w:r>
      <w:r>
        <w:rPr>
          <w:color w:val="221F1F"/>
        </w:rPr>
        <w:t>and the</w:t>
      </w:r>
      <w:r>
        <w:rPr>
          <w:color w:val="221F1F"/>
          <w:spacing w:val="-5"/>
        </w:rPr>
        <w:t xml:space="preserve"> </w:t>
      </w:r>
      <w:r>
        <w:rPr>
          <w:color w:val="221F1F"/>
        </w:rPr>
        <w:t>Architect</w:t>
      </w:r>
      <w:r>
        <w:rPr>
          <w:color w:val="221F1F"/>
          <w:spacing w:val="-5"/>
        </w:rPr>
        <w:t xml:space="preserve"> </w:t>
      </w:r>
      <w:r>
        <w:rPr>
          <w:color w:val="221F1F"/>
        </w:rPr>
        <w:t>or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may</w:t>
      </w:r>
      <w:r>
        <w:rPr>
          <w:color w:val="221F1F"/>
          <w:spacing w:val="-5"/>
        </w:rPr>
        <w:t xml:space="preserve"> </w:t>
      </w:r>
      <w:r>
        <w:rPr>
          <w:color w:val="221F1F"/>
        </w:rPr>
        <w:t>require</w:t>
      </w:r>
      <w:r>
        <w:rPr>
          <w:color w:val="221F1F"/>
          <w:spacing w:val="-5"/>
        </w:rPr>
        <w:t xml:space="preserve"> </w:t>
      </w:r>
      <w:r>
        <w:rPr>
          <w:color w:val="221F1F"/>
        </w:rPr>
        <w:t>the</w:t>
      </w:r>
      <w:r>
        <w:rPr>
          <w:color w:val="221F1F"/>
          <w:spacing w:val="-5"/>
        </w:rPr>
        <w:t xml:space="preserve"> </w:t>
      </w:r>
      <w:r>
        <w:rPr>
          <w:color w:val="221F1F"/>
        </w:rPr>
        <w:t>failed</w:t>
      </w:r>
      <w:r>
        <w:rPr>
          <w:color w:val="221F1F"/>
          <w:spacing w:val="-2"/>
        </w:rPr>
        <w:t xml:space="preserve"> </w:t>
      </w:r>
      <w:r>
        <w:rPr>
          <w:color w:val="221F1F"/>
        </w:rPr>
        <w:t>Tests,</w:t>
      </w:r>
      <w:r>
        <w:rPr>
          <w:color w:val="221F1F"/>
          <w:spacing w:val="-11"/>
        </w:rPr>
        <w:t xml:space="preserve"> </w:t>
      </w:r>
      <w:r>
        <w:rPr>
          <w:color w:val="221F1F"/>
        </w:rPr>
        <w:t>and</w:t>
      </w:r>
      <w:r>
        <w:rPr>
          <w:color w:val="221F1F"/>
          <w:spacing w:val="-5"/>
        </w:rPr>
        <w:t xml:space="preserve"> </w:t>
      </w:r>
      <w:r>
        <w:rPr>
          <w:color w:val="221F1F"/>
        </w:rPr>
        <w:t>Tests</w:t>
      </w:r>
      <w:r>
        <w:rPr>
          <w:color w:val="221F1F"/>
          <w:spacing w:val="-13"/>
        </w:rPr>
        <w:t xml:space="preserve"> </w:t>
      </w:r>
      <w:r>
        <w:rPr>
          <w:color w:val="221F1F"/>
        </w:rPr>
        <w:t>on</w:t>
      </w:r>
      <w:r>
        <w:rPr>
          <w:color w:val="221F1F"/>
          <w:spacing w:val="-6"/>
        </w:rPr>
        <w:t xml:space="preserve"> </w:t>
      </w:r>
      <w:r>
        <w:rPr>
          <w:color w:val="221F1F"/>
        </w:rPr>
        <w:t>Completion</w:t>
      </w:r>
      <w:r>
        <w:rPr>
          <w:color w:val="221F1F"/>
          <w:spacing w:val="-6"/>
        </w:rPr>
        <w:t xml:space="preserve"> </w:t>
      </w:r>
      <w:r>
        <w:rPr>
          <w:color w:val="221F1F"/>
        </w:rPr>
        <w:t>on</w:t>
      </w:r>
      <w:r>
        <w:rPr>
          <w:color w:val="221F1F"/>
          <w:spacing w:val="-6"/>
        </w:rPr>
        <w:t xml:space="preserve"> </w:t>
      </w:r>
      <w:r>
        <w:rPr>
          <w:color w:val="221F1F"/>
        </w:rPr>
        <w:t>any</w:t>
      </w:r>
      <w:r>
        <w:rPr>
          <w:color w:val="221F1F"/>
          <w:spacing w:val="-5"/>
        </w:rPr>
        <w:t xml:space="preserve"> </w:t>
      </w:r>
      <w:r>
        <w:rPr>
          <w:color w:val="221F1F"/>
        </w:rPr>
        <w:t>related</w:t>
      </w:r>
      <w:r>
        <w:rPr>
          <w:color w:val="221F1F"/>
          <w:spacing w:val="-5"/>
        </w:rPr>
        <w:t xml:space="preserve"> </w:t>
      </w:r>
      <w:r>
        <w:rPr>
          <w:color w:val="221F1F"/>
        </w:rPr>
        <w:t>work,</w:t>
      </w:r>
      <w:r>
        <w:rPr>
          <w:color w:val="221F1F"/>
          <w:spacing w:val="-6"/>
        </w:rPr>
        <w:t xml:space="preserve"> </w:t>
      </w:r>
      <w:r>
        <w:rPr>
          <w:color w:val="221F1F"/>
        </w:rPr>
        <w:t>to be repeated under the same terms and conditions.</w:t>
      </w:r>
    </w:p>
    <w:p w:rsidR="007F6DF9" w:rsidRDefault="00A43FBC">
      <w:pPr>
        <w:pStyle w:val="Heading9"/>
        <w:numPr>
          <w:ilvl w:val="1"/>
          <w:numId w:val="122"/>
        </w:numPr>
        <w:tabs>
          <w:tab w:val="left" w:pos="1368"/>
        </w:tabs>
        <w:spacing w:before="238"/>
        <w:ind w:left="1368" w:hanging="660"/>
        <w:rPr>
          <w:color w:val="221F1F"/>
        </w:rPr>
      </w:pPr>
      <w:r>
        <w:rPr>
          <w:color w:val="221F1F"/>
        </w:rPr>
        <w:t>Failure</w:t>
      </w:r>
      <w:r>
        <w:rPr>
          <w:color w:val="221F1F"/>
          <w:spacing w:val="-8"/>
        </w:rPr>
        <w:t xml:space="preserve"> </w:t>
      </w:r>
      <w:r>
        <w:rPr>
          <w:color w:val="221F1F"/>
        </w:rPr>
        <w:t>to</w:t>
      </w:r>
      <w:r>
        <w:rPr>
          <w:color w:val="221F1F"/>
          <w:spacing w:val="-5"/>
        </w:rPr>
        <w:t xml:space="preserve"> </w:t>
      </w:r>
      <w:r>
        <w:rPr>
          <w:color w:val="221F1F"/>
        </w:rPr>
        <w:t>Pass</w:t>
      </w:r>
      <w:r>
        <w:rPr>
          <w:color w:val="221F1F"/>
          <w:spacing w:val="-7"/>
        </w:rPr>
        <w:t xml:space="preserve"> </w:t>
      </w:r>
      <w:r>
        <w:rPr>
          <w:color w:val="221F1F"/>
        </w:rPr>
        <w:t>Tests</w:t>
      </w:r>
      <w:r>
        <w:rPr>
          <w:color w:val="221F1F"/>
          <w:spacing w:val="-14"/>
        </w:rPr>
        <w:t xml:space="preserve"> </w:t>
      </w:r>
      <w:r>
        <w:rPr>
          <w:color w:val="221F1F"/>
        </w:rPr>
        <w:t>on</w:t>
      </w:r>
      <w:r>
        <w:rPr>
          <w:color w:val="221F1F"/>
          <w:spacing w:val="-5"/>
        </w:rPr>
        <w:t xml:space="preserve"> </w:t>
      </w:r>
      <w:r>
        <w:rPr>
          <w:color w:val="221F1F"/>
          <w:spacing w:val="-2"/>
        </w:rPr>
        <w:t>Completion</w:t>
      </w:r>
    </w:p>
    <w:p w:rsidR="007F6DF9" w:rsidRDefault="00A43FBC">
      <w:pPr>
        <w:pStyle w:val="ListParagraph"/>
        <w:numPr>
          <w:ilvl w:val="2"/>
          <w:numId w:val="122"/>
        </w:numPr>
        <w:tabs>
          <w:tab w:val="left" w:pos="1365"/>
          <w:tab w:val="left" w:pos="1373"/>
        </w:tabs>
        <w:spacing w:before="242" w:line="230" w:lineRule="auto"/>
        <w:ind w:left="1373" w:right="560" w:hanging="666"/>
        <w:jc w:val="both"/>
        <w:rPr>
          <w:color w:val="221F1F"/>
        </w:rPr>
      </w:pPr>
      <w:r>
        <w:rPr>
          <w:color w:val="221F1F"/>
        </w:rPr>
        <w:t>If the Works, or a Section, fail to pass the Tests on Completion repeated under Sub-Clause 9.3 [Retesting], the Architect shall be entitled to:</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ListParagraph"/>
        <w:numPr>
          <w:ilvl w:val="0"/>
          <w:numId w:val="57"/>
        </w:numPr>
        <w:tabs>
          <w:tab w:val="left" w:pos="1862"/>
        </w:tabs>
        <w:spacing w:line="244" w:lineRule="exact"/>
        <w:ind w:left="1862" w:hanging="493"/>
        <w:jc w:val="both"/>
      </w:pPr>
      <w:r>
        <w:rPr>
          <w:noProof/>
        </w:rPr>
        <w:lastRenderedPageBreak/>
        <mc:AlternateContent>
          <mc:Choice Requires="wpg">
            <w:drawing>
              <wp:anchor distT="0" distB="0" distL="0" distR="0" simplePos="0" relativeHeight="15762432" behindDoc="0" locked="0" layoutInCell="1" allowOverlap="1">
                <wp:simplePos x="0" y="0"/>
                <wp:positionH relativeFrom="page">
                  <wp:posOffset>-1372</wp:posOffset>
                </wp:positionH>
                <wp:positionV relativeFrom="page">
                  <wp:posOffset>10238638</wp:posOffset>
                </wp:positionV>
                <wp:extent cx="7562215" cy="31115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54" name="Graphic 348"/>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55" name="Graphic 349"/>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6A715DB7" id="Group 347" o:spid="_x0000_s1026" style="position:absolute;margin-left:-.1pt;margin-top:806.2pt;width:595.45pt;height:24.5pt;z-index:1576243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">
                <v:shape id="Graphic 348"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" path="m944880,l,,,307975r790575,l839470,300355r41910,-22225l915035,245110r22225,-42545l944880,153670,944880,xe" fillcolor="#00a650" stroked="f">
                  <v:path arrowok="t"/>
                </v:shape>
                <v:shape id="Graphic 349"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Order</w:t>
      </w:r>
      <w:r>
        <w:rPr>
          <w:color w:val="221F1F"/>
          <w:spacing w:val="-6"/>
        </w:rPr>
        <w:t xml:space="preserve"> </w:t>
      </w:r>
      <w:r>
        <w:rPr>
          <w:color w:val="221F1F"/>
        </w:rPr>
        <w:t>further</w:t>
      </w:r>
      <w:r>
        <w:rPr>
          <w:color w:val="221F1F"/>
          <w:spacing w:val="-4"/>
        </w:rPr>
        <w:t xml:space="preserve"> </w:t>
      </w:r>
      <w:r>
        <w:rPr>
          <w:color w:val="221F1F"/>
        </w:rPr>
        <w:t>repetition</w:t>
      </w:r>
      <w:r>
        <w:rPr>
          <w:color w:val="221F1F"/>
          <w:spacing w:val="-4"/>
        </w:rPr>
        <w:t xml:space="preserve"> </w:t>
      </w:r>
      <w:r>
        <w:rPr>
          <w:color w:val="221F1F"/>
        </w:rPr>
        <w:t>of</w:t>
      </w:r>
      <w:r>
        <w:rPr>
          <w:color w:val="221F1F"/>
          <w:spacing w:val="-7"/>
        </w:rPr>
        <w:t xml:space="preserve"> </w:t>
      </w:r>
      <w:r>
        <w:rPr>
          <w:color w:val="221F1F"/>
        </w:rPr>
        <w:t>Tests</w:t>
      </w:r>
      <w:r>
        <w:rPr>
          <w:color w:val="221F1F"/>
          <w:spacing w:val="-13"/>
        </w:rPr>
        <w:t xml:space="preserve"> </w:t>
      </w:r>
      <w:r>
        <w:rPr>
          <w:color w:val="221F1F"/>
        </w:rPr>
        <w:t>on</w:t>
      </w:r>
      <w:r>
        <w:rPr>
          <w:color w:val="221F1F"/>
          <w:spacing w:val="-5"/>
        </w:rPr>
        <w:t xml:space="preserve"> </w:t>
      </w:r>
      <w:r>
        <w:rPr>
          <w:color w:val="221F1F"/>
        </w:rPr>
        <w:t>Completion</w:t>
      </w:r>
      <w:r>
        <w:rPr>
          <w:color w:val="221F1F"/>
          <w:spacing w:val="-5"/>
        </w:rPr>
        <w:t xml:space="preserve"> </w:t>
      </w:r>
      <w:r>
        <w:rPr>
          <w:color w:val="221F1F"/>
        </w:rPr>
        <w:t>under</w:t>
      </w:r>
      <w:r>
        <w:rPr>
          <w:color w:val="221F1F"/>
          <w:spacing w:val="-7"/>
        </w:rPr>
        <w:t xml:space="preserve"> </w:t>
      </w:r>
      <w:r>
        <w:rPr>
          <w:color w:val="221F1F"/>
        </w:rPr>
        <w:t>Sub-Clause</w:t>
      </w:r>
      <w:r>
        <w:rPr>
          <w:color w:val="221F1F"/>
          <w:spacing w:val="-7"/>
        </w:rPr>
        <w:t xml:space="preserve"> </w:t>
      </w:r>
      <w:r>
        <w:rPr>
          <w:color w:val="221F1F"/>
        </w:rPr>
        <w:t>9.3;</w:t>
      </w:r>
      <w:r>
        <w:rPr>
          <w:color w:val="221F1F"/>
          <w:spacing w:val="-6"/>
        </w:rPr>
        <w:t xml:space="preserve"> </w:t>
      </w:r>
      <w:r>
        <w:rPr>
          <w:color w:val="221F1F"/>
          <w:spacing w:val="-5"/>
        </w:rPr>
        <w:t>or</w:t>
      </w:r>
    </w:p>
    <w:p w:rsidR="007F6DF9" w:rsidRDefault="00A43FBC">
      <w:pPr>
        <w:pStyle w:val="ListParagraph"/>
        <w:numPr>
          <w:ilvl w:val="0"/>
          <w:numId w:val="57"/>
        </w:numPr>
        <w:tabs>
          <w:tab w:val="left" w:pos="1861"/>
          <w:tab w:val="left" w:pos="1870"/>
        </w:tabs>
        <w:spacing w:before="48" w:line="230" w:lineRule="auto"/>
        <w:ind w:left="1870" w:right="560" w:hanging="502"/>
        <w:jc w:val="both"/>
      </w:pPr>
      <w:r>
        <w:rPr>
          <w:color w:val="221F1F"/>
        </w:rPr>
        <w:t>if the failure deprives the Procuring Entity of substantially the whole benefit of the Works</w:t>
      </w:r>
      <w:r>
        <w:rPr>
          <w:color w:val="221F1F"/>
          <w:spacing w:val="-2"/>
        </w:rPr>
        <w:t xml:space="preserve"> </w:t>
      </w:r>
      <w:r>
        <w:rPr>
          <w:color w:val="221F1F"/>
        </w:rPr>
        <w:t>or Section, reject the Works or Section (as the case may be), in which event the Procuring Entity shall have the same remedies as are provided in sub-paragraph (c) of Sub-Clause1 1.4 [Failure to Remedy Defects].</w:t>
      </w:r>
    </w:p>
    <w:p w:rsidR="007F6DF9" w:rsidRDefault="00A43FBC">
      <w:pPr>
        <w:pStyle w:val="Heading8"/>
        <w:numPr>
          <w:ilvl w:val="0"/>
          <w:numId w:val="122"/>
        </w:numPr>
        <w:tabs>
          <w:tab w:val="left" w:pos="1365"/>
        </w:tabs>
        <w:spacing w:before="238"/>
        <w:ind w:left="1365" w:hanging="657"/>
        <w:jc w:val="both"/>
      </w:pPr>
      <w:bookmarkStart w:id="62" w:name="_bookmark60"/>
      <w:bookmarkEnd w:id="62"/>
      <w:r>
        <w:rPr>
          <w:color w:val="221F1F"/>
          <w:spacing w:val="-2"/>
        </w:rPr>
        <w:t>PROCURING</w:t>
      </w:r>
      <w:r>
        <w:rPr>
          <w:color w:val="221F1F"/>
          <w:spacing w:val="4"/>
        </w:rPr>
        <w:t xml:space="preserve"> </w:t>
      </w:r>
      <w:r>
        <w:rPr>
          <w:color w:val="221F1F"/>
          <w:spacing w:val="-2"/>
        </w:rPr>
        <w:t>ENTITY'S</w:t>
      </w:r>
      <w:r>
        <w:rPr>
          <w:color w:val="221F1F"/>
          <w:spacing w:val="2"/>
        </w:rPr>
        <w:t xml:space="preserve"> </w:t>
      </w:r>
      <w:r>
        <w:rPr>
          <w:color w:val="221F1F"/>
          <w:spacing w:val="-2"/>
        </w:rPr>
        <w:t>TAKING</w:t>
      </w:r>
      <w:r>
        <w:rPr>
          <w:color w:val="221F1F"/>
          <w:spacing w:val="-3"/>
        </w:rPr>
        <w:t xml:space="preserve"> </w:t>
      </w:r>
      <w:r>
        <w:rPr>
          <w:color w:val="221F1F"/>
          <w:spacing w:val="-4"/>
        </w:rPr>
        <w:t>OVER</w:t>
      </w:r>
    </w:p>
    <w:p w:rsidR="007F6DF9" w:rsidRDefault="00A43FBC">
      <w:pPr>
        <w:pStyle w:val="Heading9"/>
        <w:numPr>
          <w:ilvl w:val="1"/>
          <w:numId w:val="122"/>
        </w:numPr>
        <w:tabs>
          <w:tab w:val="left" w:pos="1368"/>
        </w:tabs>
        <w:spacing w:before="234"/>
        <w:ind w:left="1368" w:hanging="660"/>
        <w:jc w:val="both"/>
        <w:rPr>
          <w:color w:val="221F1F"/>
        </w:rPr>
      </w:pPr>
      <w:r>
        <w:rPr>
          <w:color w:val="221F1F"/>
        </w:rPr>
        <w:t>Taking</w:t>
      </w:r>
      <w:r>
        <w:rPr>
          <w:color w:val="221F1F"/>
          <w:spacing w:val="-14"/>
        </w:rPr>
        <w:t xml:space="preserve"> </w:t>
      </w:r>
      <w:r>
        <w:rPr>
          <w:color w:val="221F1F"/>
        </w:rPr>
        <w:t>Over</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Works</w:t>
      </w:r>
      <w:r>
        <w:rPr>
          <w:color w:val="221F1F"/>
          <w:spacing w:val="-13"/>
        </w:rPr>
        <w:t xml:space="preserve"> </w:t>
      </w:r>
      <w:r>
        <w:rPr>
          <w:color w:val="221F1F"/>
        </w:rPr>
        <w:t>and</w:t>
      </w:r>
      <w:r>
        <w:rPr>
          <w:color w:val="221F1F"/>
          <w:spacing w:val="-9"/>
        </w:rPr>
        <w:t xml:space="preserve"> </w:t>
      </w:r>
      <w:r>
        <w:rPr>
          <w:color w:val="221F1F"/>
          <w:spacing w:val="-2"/>
        </w:rPr>
        <w:t>Sections</w:t>
      </w:r>
    </w:p>
    <w:p w:rsidR="007F6DF9" w:rsidRDefault="00A43FBC">
      <w:pPr>
        <w:pStyle w:val="ListParagraph"/>
        <w:numPr>
          <w:ilvl w:val="2"/>
          <w:numId w:val="122"/>
        </w:numPr>
        <w:tabs>
          <w:tab w:val="left" w:pos="1366"/>
          <w:tab w:val="left" w:pos="1371"/>
        </w:tabs>
        <w:spacing w:before="242" w:line="230" w:lineRule="auto"/>
        <w:ind w:left="1371" w:right="557" w:hanging="663"/>
        <w:jc w:val="both"/>
        <w:rPr>
          <w:color w:val="221F1F"/>
        </w:rPr>
      </w:pPr>
      <w:r>
        <w:rPr>
          <w:color w:val="221F1F"/>
        </w:rPr>
        <w:t>Except as stated in Sub-Clause 9.4 [Failure to Pass Tests</w:t>
      </w:r>
      <w:r>
        <w:rPr>
          <w:color w:val="221F1F"/>
          <w:spacing w:val="-2"/>
        </w:rPr>
        <w:t xml:space="preserve"> </w:t>
      </w:r>
      <w:r>
        <w:rPr>
          <w:color w:val="221F1F"/>
        </w:rPr>
        <w:t>on Completion], the Works</w:t>
      </w:r>
      <w:r>
        <w:rPr>
          <w:color w:val="221F1F"/>
          <w:spacing w:val="-2"/>
        </w:rPr>
        <w:t xml:space="preserve"> </w:t>
      </w:r>
      <w:r>
        <w:rPr>
          <w:color w:val="221F1F"/>
        </w:rPr>
        <w:t>shall be taken over by 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when</w:t>
      </w:r>
      <w:r>
        <w:rPr>
          <w:color w:val="221F1F"/>
          <w:spacing w:val="-4"/>
        </w:rPr>
        <w:t xml:space="preserve"> </w:t>
      </w:r>
      <w:r>
        <w:rPr>
          <w:color w:val="221F1F"/>
        </w:rPr>
        <w:t>(</w:t>
      </w:r>
      <w:proofErr w:type="spellStart"/>
      <w:r>
        <w:rPr>
          <w:color w:val="221F1F"/>
        </w:rPr>
        <w:t>i</w:t>
      </w:r>
      <w:proofErr w:type="spellEnd"/>
      <w:r>
        <w:rPr>
          <w:color w:val="221F1F"/>
        </w:rPr>
        <w:t>)</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have</w:t>
      </w:r>
      <w:r>
        <w:rPr>
          <w:color w:val="221F1F"/>
          <w:spacing w:val="-2"/>
        </w:rPr>
        <w:t xml:space="preserve"> </w:t>
      </w:r>
      <w:r>
        <w:rPr>
          <w:color w:val="221F1F"/>
        </w:rPr>
        <w:t>been</w:t>
      </w:r>
      <w:r>
        <w:rPr>
          <w:color w:val="221F1F"/>
          <w:spacing w:val="-2"/>
        </w:rPr>
        <w:t xml:space="preserve"> </w:t>
      </w:r>
      <w:r>
        <w:rPr>
          <w:color w:val="221F1F"/>
        </w:rPr>
        <w:t>completed</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r>
        <w:rPr>
          <w:color w:val="221F1F"/>
          <w:spacing w:val="-5"/>
        </w:rPr>
        <w:t xml:space="preserve"> </w:t>
      </w:r>
      <w:r>
        <w:rPr>
          <w:color w:val="221F1F"/>
        </w:rPr>
        <w:t>including</w:t>
      </w:r>
      <w:r>
        <w:rPr>
          <w:color w:val="221F1F"/>
          <w:spacing w:val="-2"/>
        </w:rPr>
        <w:t xml:space="preserve"> </w:t>
      </w:r>
      <w:r>
        <w:rPr>
          <w:color w:val="221F1F"/>
        </w:rPr>
        <w:t>the matters</w:t>
      </w:r>
      <w:r>
        <w:rPr>
          <w:color w:val="221F1F"/>
          <w:spacing w:val="-14"/>
        </w:rPr>
        <w:t xml:space="preserve"> </w:t>
      </w:r>
      <w:r>
        <w:rPr>
          <w:color w:val="221F1F"/>
        </w:rPr>
        <w:t>described</w:t>
      </w:r>
      <w:r>
        <w:rPr>
          <w:color w:val="221F1F"/>
          <w:spacing w:val="-14"/>
        </w:rPr>
        <w:t xml:space="preserve"> </w:t>
      </w:r>
      <w:r>
        <w:rPr>
          <w:color w:val="221F1F"/>
        </w:rPr>
        <w:t>in</w:t>
      </w:r>
      <w:r>
        <w:rPr>
          <w:color w:val="221F1F"/>
          <w:spacing w:val="-14"/>
        </w:rPr>
        <w:t xml:space="preserve"> </w:t>
      </w:r>
      <w:r>
        <w:rPr>
          <w:color w:val="221F1F"/>
        </w:rPr>
        <w:t>Sub-Clause</w:t>
      </w:r>
      <w:r>
        <w:rPr>
          <w:color w:val="221F1F"/>
          <w:spacing w:val="-13"/>
        </w:rPr>
        <w:t xml:space="preserve"> </w:t>
      </w:r>
      <w:r>
        <w:rPr>
          <w:color w:val="221F1F"/>
        </w:rPr>
        <w:t>8.2</w:t>
      </w:r>
      <w:r>
        <w:rPr>
          <w:color w:val="221F1F"/>
          <w:spacing w:val="-14"/>
        </w:rPr>
        <w:t xml:space="preserve"> </w:t>
      </w:r>
      <w:r>
        <w:rPr>
          <w:color w:val="221F1F"/>
        </w:rPr>
        <w:t>[Time</w:t>
      </w:r>
      <w:r>
        <w:rPr>
          <w:color w:val="221F1F"/>
          <w:spacing w:val="-13"/>
        </w:rPr>
        <w:t xml:space="preserve"> </w:t>
      </w:r>
      <w:r>
        <w:rPr>
          <w:color w:val="221F1F"/>
        </w:rPr>
        <w:t>for</w:t>
      </w:r>
      <w:r>
        <w:rPr>
          <w:color w:val="221F1F"/>
          <w:spacing w:val="-11"/>
        </w:rPr>
        <w:t xml:space="preserve"> </w:t>
      </w:r>
      <w:r>
        <w:rPr>
          <w:color w:val="221F1F"/>
        </w:rPr>
        <w:t>Completion]</w:t>
      </w:r>
      <w:r>
        <w:rPr>
          <w:color w:val="221F1F"/>
          <w:spacing w:val="-12"/>
        </w:rPr>
        <w:t xml:space="preserve"> </w:t>
      </w:r>
      <w:r>
        <w:rPr>
          <w:color w:val="221F1F"/>
        </w:rPr>
        <w:t>and</w:t>
      </w:r>
      <w:r>
        <w:rPr>
          <w:color w:val="221F1F"/>
          <w:spacing w:val="-14"/>
        </w:rPr>
        <w:t xml:space="preserve"> </w:t>
      </w:r>
      <w:r>
        <w:rPr>
          <w:color w:val="221F1F"/>
        </w:rPr>
        <w:t>except</w:t>
      </w:r>
      <w:r>
        <w:rPr>
          <w:color w:val="221F1F"/>
          <w:spacing w:val="-13"/>
        </w:rPr>
        <w:t xml:space="preserve"> </w:t>
      </w:r>
      <w:r>
        <w:rPr>
          <w:color w:val="221F1F"/>
        </w:rPr>
        <w:t>as</w:t>
      </w:r>
      <w:r>
        <w:rPr>
          <w:color w:val="221F1F"/>
          <w:spacing w:val="-14"/>
        </w:rPr>
        <w:t xml:space="preserve"> </w:t>
      </w:r>
      <w:r>
        <w:rPr>
          <w:color w:val="221F1F"/>
        </w:rPr>
        <w:t>allowed</w:t>
      </w:r>
      <w:r>
        <w:rPr>
          <w:color w:val="221F1F"/>
          <w:spacing w:val="-12"/>
        </w:rPr>
        <w:t xml:space="preserve"> </w:t>
      </w:r>
      <w:r>
        <w:rPr>
          <w:color w:val="221F1F"/>
        </w:rPr>
        <w:t>in</w:t>
      </w:r>
      <w:r>
        <w:rPr>
          <w:color w:val="221F1F"/>
          <w:spacing w:val="-11"/>
        </w:rPr>
        <w:t xml:space="preserve"> </w:t>
      </w:r>
      <w:r>
        <w:rPr>
          <w:color w:val="221F1F"/>
        </w:rPr>
        <w:t>sub-paragraph</w:t>
      </w:r>
      <w:r>
        <w:rPr>
          <w:color w:val="221F1F"/>
          <w:spacing w:val="-14"/>
        </w:rPr>
        <w:t xml:space="preserve"> </w:t>
      </w:r>
      <w:r>
        <w:rPr>
          <w:color w:val="221F1F"/>
        </w:rPr>
        <w:t>(a)</w:t>
      </w:r>
      <w:r>
        <w:rPr>
          <w:color w:val="221F1F"/>
          <w:spacing w:val="-11"/>
        </w:rPr>
        <w:t xml:space="preserve"> </w:t>
      </w:r>
      <w:r>
        <w:rPr>
          <w:color w:val="221F1F"/>
        </w:rPr>
        <w:t>below, and (ii) a Taking-Over Certificate for the Works has been issued, or is deemed to have been issued in accordance with this Sub-Clause.</w:t>
      </w:r>
    </w:p>
    <w:p w:rsidR="007F6DF9" w:rsidRDefault="00A43FBC">
      <w:pPr>
        <w:pStyle w:val="ListParagraph"/>
        <w:numPr>
          <w:ilvl w:val="2"/>
          <w:numId w:val="122"/>
        </w:numPr>
        <w:tabs>
          <w:tab w:val="left" w:pos="1365"/>
          <w:tab w:val="left" w:pos="1371"/>
        </w:tabs>
        <w:spacing w:before="245" w:line="230" w:lineRule="auto"/>
        <w:ind w:left="1371" w:right="558" w:hanging="666"/>
        <w:jc w:val="both"/>
        <w:rPr>
          <w:color w:val="221F1F"/>
        </w:rPr>
      </w:pPr>
      <w:r>
        <w:rPr>
          <w:color w:val="221F1F"/>
        </w:rPr>
        <w:t>The Contractor may apply by notice to the Architect for a Taking-Over Certificate not earlier than 14 days before the Works will, in the Contractor's opinion, be complete and ready for taking over. If the Works are divided into Sections, the Contract or may similarly apply for a Taking-Over Certificate for each Section.</w:t>
      </w:r>
    </w:p>
    <w:p w:rsidR="007F6DF9" w:rsidRDefault="00A43FBC">
      <w:pPr>
        <w:pStyle w:val="ListParagraph"/>
        <w:numPr>
          <w:ilvl w:val="2"/>
          <w:numId w:val="122"/>
        </w:numPr>
        <w:tabs>
          <w:tab w:val="left" w:pos="1369"/>
        </w:tabs>
        <w:spacing w:before="236" w:line="252" w:lineRule="exact"/>
        <w:ind w:left="1369" w:hanging="658"/>
        <w:jc w:val="both"/>
        <w:rPr>
          <w:color w:val="221F1F"/>
        </w:rPr>
      </w:pPr>
      <w:r>
        <w:rPr>
          <w:color w:val="221F1F"/>
        </w:rPr>
        <w:t>The</w:t>
      </w:r>
      <w:r>
        <w:rPr>
          <w:color w:val="221F1F"/>
          <w:spacing w:val="-4"/>
        </w:rPr>
        <w:t xml:space="preserve"> </w:t>
      </w:r>
      <w:r>
        <w:rPr>
          <w:color w:val="221F1F"/>
        </w:rPr>
        <w:t>Architect</w:t>
      </w:r>
      <w:r>
        <w:rPr>
          <w:color w:val="221F1F"/>
          <w:spacing w:val="-3"/>
        </w:rPr>
        <w:t xml:space="preserve"> </w:t>
      </w:r>
      <w:r>
        <w:rPr>
          <w:color w:val="221F1F"/>
        </w:rPr>
        <w:t>shall,</w:t>
      </w:r>
      <w:r>
        <w:rPr>
          <w:color w:val="221F1F"/>
          <w:spacing w:val="-4"/>
        </w:rPr>
        <w:t xml:space="preserve"> </w:t>
      </w:r>
      <w:r>
        <w:rPr>
          <w:color w:val="221F1F"/>
        </w:rPr>
        <w:t>within</w:t>
      </w:r>
      <w:r>
        <w:rPr>
          <w:color w:val="221F1F"/>
          <w:spacing w:val="-5"/>
        </w:rPr>
        <w:t xml:space="preserve"> </w:t>
      </w:r>
      <w:r>
        <w:rPr>
          <w:color w:val="221F1F"/>
        </w:rPr>
        <w:t>30</w:t>
      </w:r>
      <w:r>
        <w:rPr>
          <w:color w:val="221F1F"/>
          <w:spacing w:val="-4"/>
        </w:rPr>
        <w:t xml:space="preserve"> </w:t>
      </w:r>
      <w:r>
        <w:rPr>
          <w:color w:val="221F1F"/>
        </w:rPr>
        <w:t>days</w:t>
      </w:r>
      <w:r>
        <w:rPr>
          <w:color w:val="221F1F"/>
          <w:spacing w:val="-6"/>
        </w:rPr>
        <w:t xml:space="preserve"> </w:t>
      </w:r>
      <w:r>
        <w:rPr>
          <w:color w:val="221F1F"/>
        </w:rPr>
        <w:t>after</w:t>
      </w:r>
      <w:r>
        <w:rPr>
          <w:color w:val="221F1F"/>
          <w:spacing w:val="-2"/>
        </w:rPr>
        <w:t xml:space="preserve"> </w:t>
      </w:r>
      <w:r>
        <w:rPr>
          <w:color w:val="221F1F"/>
        </w:rPr>
        <w:t>receiving</w:t>
      </w:r>
      <w:r>
        <w:rPr>
          <w:color w:val="221F1F"/>
          <w:spacing w:val="-4"/>
        </w:rPr>
        <w:t xml:space="preserve"> </w:t>
      </w:r>
      <w:r>
        <w:rPr>
          <w:color w:val="221F1F"/>
        </w:rPr>
        <w:t>the</w:t>
      </w:r>
      <w:r>
        <w:rPr>
          <w:color w:val="221F1F"/>
          <w:spacing w:val="-6"/>
        </w:rPr>
        <w:t xml:space="preserve"> </w:t>
      </w:r>
      <w:r>
        <w:rPr>
          <w:color w:val="221F1F"/>
        </w:rPr>
        <w:t>Contractor's</w:t>
      </w:r>
      <w:r>
        <w:rPr>
          <w:color w:val="221F1F"/>
          <w:spacing w:val="-2"/>
        </w:rPr>
        <w:t xml:space="preserve"> application:</w:t>
      </w:r>
    </w:p>
    <w:p w:rsidR="007F6DF9" w:rsidRDefault="00A43FBC">
      <w:pPr>
        <w:pStyle w:val="ListParagraph"/>
        <w:numPr>
          <w:ilvl w:val="0"/>
          <w:numId w:val="60"/>
        </w:numPr>
        <w:tabs>
          <w:tab w:val="left" w:pos="1856"/>
          <w:tab w:val="left" w:pos="1858"/>
        </w:tabs>
        <w:spacing w:before="8" w:line="230" w:lineRule="auto"/>
        <w:ind w:right="553"/>
        <w:jc w:val="both"/>
      </w:pPr>
      <w:r>
        <w:rPr>
          <w:color w:val="221F1F"/>
        </w:rPr>
        <w:t>Issue</w:t>
      </w:r>
      <w:r>
        <w:rPr>
          <w:color w:val="221F1F"/>
          <w:spacing w:val="-14"/>
        </w:rPr>
        <w:t xml:space="preserve"> </w:t>
      </w:r>
      <w:r>
        <w:rPr>
          <w:color w:val="221F1F"/>
        </w:rPr>
        <w:t>the</w:t>
      </w:r>
      <w:r>
        <w:rPr>
          <w:color w:val="221F1F"/>
          <w:spacing w:val="-14"/>
        </w:rPr>
        <w:t xml:space="preserve"> </w:t>
      </w:r>
      <w:r>
        <w:rPr>
          <w:color w:val="221F1F"/>
        </w:rPr>
        <w:t>Taking-Over</w:t>
      </w:r>
      <w:r>
        <w:rPr>
          <w:color w:val="221F1F"/>
          <w:spacing w:val="-14"/>
        </w:rPr>
        <w:t xml:space="preserve"> </w:t>
      </w:r>
      <w:r>
        <w:rPr>
          <w:color w:val="221F1F"/>
        </w:rPr>
        <w:t>Certificate</w:t>
      </w:r>
      <w:r>
        <w:rPr>
          <w:color w:val="221F1F"/>
          <w:spacing w:val="-13"/>
        </w:rPr>
        <w:t xml:space="preserve"> </w:t>
      </w:r>
      <w:r>
        <w:rPr>
          <w:color w:val="221F1F"/>
        </w:rPr>
        <w:t>to</w:t>
      </w:r>
      <w:r>
        <w:rPr>
          <w:color w:val="221F1F"/>
          <w:spacing w:val="-14"/>
        </w:rPr>
        <w:t xml:space="preserve"> </w:t>
      </w:r>
      <w:r>
        <w:rPr>
          <w:color w:val="221F1F"/>
        </w:rPr>
        <w:t>the</w:t>
      </w:r>
      <w:r>
        <w:rPr>
          <w:color w:val="221F1F"/>
          <w:spacing w:val="-11"/>
        </w:rPr>
        <w:t xml:space="preserve"> </w:t>
      </w:r>
      <w:r>
        <w:rPr>
          <w:color w:val="221F1F"/>
        </w:rPr>
        <w:t>Contract</w:t>
      </w:r>
      <w:r>
        <w:rPr>
          <w:color w:val="221F1F"/>
          <w:spacing w:val="-13"/>
        </w:rPr>
        <w:t xml:space="preserve"> </w:t>
      </w:r>
      <w:r>
        <w:rPr>
          <w:color w:val="221F1F"/>
        </w:rPr>
        <w:t>or,</w:t>
      </w:r>
      <w:r>
        <w:rPr>
          <w:color w:val="221F1F"/>
          <w:spacing w:val="-13"/>
        </w:rPr>
        <w:t xml:space="preserve"> </w:t>
      </w:r>
      <w:r>
        <w:rPr>
          <w:color w:val="221F1F"/>
        </w:rPr>
        <w:t>stating</w:t>
      </w:r>
      <w:r>
        <w:rPr>
          <w:color w:val="221F1F"/>
          <w:spacing w:val="-13"/>
        </w:rPr>
        <w:t xml:space="preserve"> </w:t>
      </w:r>
      <w:r>
        <w:rPr>
          <w:color w:val="221F1F"/>
        </w:rPr>
        <w:t>the</w:t>
      </w:r>
      <w:r>
        <w:rPr>
          <w:color w:val="221F1F"/>
          <w:spacing w:val="-13"/>
        </w:rPr>
        <w:t xml:space="preserve"> </w:t>
      </w:r>
      <w:r>
        <w:rPr>
          <w:color w:val="221F1F"/>
        </w:rPr>
        <w:t>date</w:t>
      </w:r>
      <w:r>
        <w:rPr>
          <w:color w:val="221F1F"/>
          <w:spacing w:val="-12"/>
        </w:rPr>
        <w:t xml:space="preserve"> </w:t>
      </w:r>
      <w:r>
        <w:rPr>
          <w:color w:val="221F1F"/>
        </w:rPr>
        <w:t>on</w:t>
      </w:r>
      <w:r>
        <w:rPr>
          <w:color w:val="221F1F"/>
          <w:spacing w:val="-13"/>
        </w:rPr>
        <w:t xml:space="preserve"> </w:t>
      </w:r>
      <w:r>
        <w:rPr>
          <w:color w:val="221F1F"/>
        </w:rPr>
        <w:t>which</w:t>
      </w:r>
      <w:r>
        <w:rPr>
          <w:color w:val="221F1F"/>
          <w:spacing w:val="-14"/>
        </w:rPr>
        <w:t xml:space="preserve"> </w:t>
      </w:r>
      <w:r>
        <w:rPr>
          <w:color w:val="221F1F"/>
        </w:rPr>
        <w:t>the</w:t>
      </w:r>
      <w:r>
        <w:rPr>
          <w:color w:val="221F1F"/>
          <w:spacing w:val="-12"/>
        </w:rPr>
        <w:t xml:space="preserve"> </w:t>
      </w:r>
      <w:r>
        <w:rPr>
          <w:color w:val="221F1F"/>
        </w:rPr>
        <w:t>Works</w:t>
      </w:r>
      <w:r>
        <w:rPr>
          <w:color w:val="221F1F"/>
          <w:spacing w:val="-14"/>
        </w:rPr>
        <w:t xml:space="preserve"> </w:t>
      </w:r>
      <w:r>
        <w:rPr>
          <w:color w:val="221F1F"/>
        </w:rPr>
        <w:t>or</w:t>
      </w:r>
      <w:r>
        <w:rPr>
          <w:color w:val="221F1F"/>
          <w:spacing w:val="-12"/>
        </w:rPr>
        <w:t xml:space="preserve"> </w:t>
      </w:r>
      <w:r>
        <w:rPr>
          <w:color w:val="221F1F"/>
        </w:rPr>
        <w:t>Section</w:t>
      </w:r>
      <w:r>
        <w:rPr>
          <w:color w:val="221F1F"/>
          <w:spacing w:val="-13"/>
        </w:rPr>
        <w:t xml:space="preserve"> </w:t>
      </w:r>
      <w:r>
        <w:rPr>
          <w:color w:val="221F1F"/>
        </w:rPr>
        <w:t xml:space="preserve">were completed in accordance with the Contract, except for any minor </w:t>
      </w:r>
      <w:proofErr w:type="spellStart"/>
      <w:r>
        <w:rPr>
          <w:color w:val="221F1F"/>
        </w:rPr>
        <w:t>out standing</w:t>
      </w:r>
      <w:proofErr w:type="spellEnd"/>
      <w:r>
        <w:rPr>
          <w:color w:val="221F1F"/>
        </w:rPr>
        <w:t xml:space="preserve"> work and defects which will not substantially affect the use of the Works or Section for their intended purpose (either until or whilst this work is completed and these defects are remedied); or</w:t>
      </w:r>
    </w:p>
    <w:p w:rsidR="007F6DF9" w:rsidRDefault="00A43FBC">
      <w:pPr>
        <w:pStyle w:val="ListParagraph"/>
        <w:numPr>
          <w:ilvl w:val="0"/>
          <w:numId w:val="60"/>
        </w:numPr>
        <w:tabs>
          <w:tab w:val="left" w:pos="1856"/>
          <w:tab w:val="left" w:pos="1858"/>
        </w:tabs>
        <w:spacing w:line="230" w:lineRule="auto"/>
        <w:ind w:right="561" w:hanging="490"/>
        <w:jc w:val="both"/>
      </w:pPr>
      <w:r>
        <w:rPr>
          <w:color w:val="221F1F"/>
        </w:rPr>
        <w:t xml:space="preserve">reject the application, giving reasons and specifying the work required to be done by the Contractor to enable the Taking-Over Certificate to be issued. The Contractor shall then complete this work before issuing a further notice </w:t>
      </w:r>
      <w:proofErr w:type="spellStart"/>
      <w:r>
        <w:rPr>
          <w:color w:val="221F1F"/>
        </w:rPr>
        <w:t>undert</w:t>
      </w:r>
      <w:proofErr w:type="spellEnd"/>
      <w:r>
        <w:rPr>
          <w:color w:val="221F1F"/>
        </w:rPr>
        <w:t xml:space="preserve"> his Sub-Clause.</w:t>
      </w:r>
    </w:p>
    <w:p w:rsidR="007F6DF9" w:rsidRDefault="00A43FBC">
      <w:pPr>
        <w:pStyle w:val="ListParagraph"/>
        <w:numPr>
          <w:ilvl w:val="2"/>
          <w:numId w:val="122"/>
        </w:numPr>
        <w:tabs>
          <w:tab w:val="left" w:pos="1366"/>
          <w:tab w:val="left" w:pos="1369"/>
        </w:tabs>
        <w:spacing w:before="246" w:line="230" w:lineRule="auto"/>
        <w:ind w:left="1369" w:right="553" w:hanging="661"/>
        <w:jc w:val="both"/>
        <w:rPr>
          <w:color w:val="221F1F"/>
        </w:rPr>
      </w:pPr>
      <w:r>
        <w:rPr>
          <w:color w:val="221F1F"/>
        </w:rPr>
        <w:t>If</w:t>
      </w:r>
      <w:r>
        <w:rPr>
          <w:color w:val="221F1F"/>
          <w:spacing w:val="-7"/>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fails</w:t>
      </w:r>
      <w:r>
        <w:rPr>
          <w:color w:val="221F1F"/>
          <w:spacing w:val="-9"/>
        </w:rPr>
        <w:t xml:space="preserve"> </w:t>
      </w:r>
      <w:r>
        <w:rPr>
          <w:color w:val="221F1F"/>
        </w:rPr>
        <w:t>either</w:t>
      </w:r>
      <w:r>
        <w:rPr>
          <w:color w:val="221F1F"/>
          <w:spacing w:val="-6"/>
        </w:rPr>
        <w:t xml:space="preserve"> </w:t>
      </w:r>
      <w:r>
        <w:rPr>
          <w:color w:val="221F1F"/>
        </w:rPr>
        <w:t>to</w:t>
      </w:r>
      <w:r>
        <w:rPr>
          <w:color w:val="221F1F"/>
          <w:spacing w:val="-7"/>
        </w:rPr>
        <w:t xml:space="preserve"> </w:t>
      </w:r>
      <w:r>
        <w:rPr>
          <w:color w:val="221F1F"/>
        </w:rPr>
        <w:t>issue</w:t>
      </w:r>
      <w:r>
        <w:rPr>
          <w:color w:val="221F1F"/>
          <w:spacing w:val="-8"/>
        </w:rPr>
        <w:t xml:space="preserve"> </w:t>
      </w:r>
      <w:r>
        <w:rPr>
          <w:color w:val="221F1F"/>
        </w:rPr>
        <w:t>the</w:t>
      </w:r>
      <w:r>
        <w:rPr>
          <w:color w:val="221F1F"/>
          <w:spacing w:val="-9"/>
        </w:rPr>
        <w:t xml:space="preserve"> </w:t>
      </w:r>
      <w:r>
        <w:rPr>
          <w:color w:val="221F1F"/>
        </w:rPr>
        <w:t>Taking-Over</w:t>
      </w:r>
      <w:r>
        <w:rPr>
          <w:color w:val="221F1F"/>
          <w:spacing w:val="-8"/>
        </w:rPr>
        <w:t xml:space="preserve"> </w:t>
      </w:r>
      <w:r>
        <w:rPr>
          <w:color w:val="221F1F"/>
        </w:rPr>
        <w:t>Certificate</w:t>
      </w:r>
      <w:r>
        <w:rPr>
          <w:color w:val="221F1F"/>
          <w:spacing w:val="-7"/>
        </w:rPr>
        <w:t xml:space="preserve"> </w:t>
      </w:r>
      <w:r>
        <w:rPr>
          <w:color w:val="221F1F"/>
        </w:rPr>
        <w:t>or</w:t>
      </w:r>
      <w:r>
        <w:rPr>
          <w:color w:val="221F1F"/>
          <w:spacing w:val="-9"/>
        </w:rPr>
        <w:t xml:space="preserve"> </w:t>
      </w:r>
      <w:r>
        <w:rPr>
          <w:color w:val="221F1F"/>
        </w:rPr>
        <w:t>to</w:t>
      </w:r>
      <w:r>
        <w:rPr>
          <w:color w:val="221F1F"/>
          <w:spacing w:val="-9"/>
        </w:rPr>
        <w:t xml:space="preserve"> </w:t>
      </w:r>
      <w:r>
        <w:rPr>
          <w:color w:val="221F1F"/>
        </w:rPr>
        <w:t>reject</w:t>
      </w:r>
      <w:r>
        <w:rPr>
          <w:color w:val="221F1F"/>
          <w:spacing w:val="-8"/>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application</w:t>
      </w:r>
      <w:r>
        <w:rPr>
          <w:color w:val="221F1F"/>
          <w:spacing w:val="-7"/>
        </w:rPr>
        <w:t xml:space="preserve"> </w:t>
      </w:r>
      <w:r>
        <w:rPr>
          <w:color w:val="221F1F"/>
        </w:rPr>
        <w:t>within the period of 30 days, and if the Works</w:t>
      </w:r>
      <w:r>
        <w:rPr>
          <w:color w:val="221F1F"/>
          <w:spacing w:val="-4"/>
        </w:rPr>
        <w:t xml:space="preserve"> </w:t>
      </w:r>
      <w:r>
        <w:rPr>
          <w:color w:val="221F1F"/>
        </w:rPr>
        <w:t>or Section (as the case may be) are substantially in accordance with the Contract, the Taking-Over Certificate</w:t>
      </w:r>
      <w:r>
        <w:rPr>
          <w:color w:val="221F1F"/>
          <w:spacing w:val="-1"/>
        </w:rPr>
        <w:t xml:space="preserve"> </w:t>
      </w:r>
      <w:r>
        <w:rPr>
          <w:color w:val="221F1F"/>
        </w:rPr>
        <w:t>shall be deemed</w:t>
      </w:r>
      <w:r>
        <w:rPr>
          <w:color w:val="221F1F"/>
          <w:spacing w:val="-1"/>
        </w:rPr>
        <w:t xml:space="preserve"> </w:t>
      </w:r>
      <w:r>
        <w:rPr>
          <w:color w:val="221F1F"/>
        </w:rPr>
        <w:t>to have been</w:t>
      </w:r>
      <w:r>
        <w:rPr>
          <w:color w:val="221F1F"/>
          <w:spacing w:val="-1"/>
        </w:rPr>
        <w:t xml:space="preserve"> </w:t>
      </w:r>
      <w:r>
        <w:rPr>
          <w:color w:val="221F1F"/>
        </w:rPr>
        <w:t>issued on</w:t>
      </w:r>
      <w:r>
        <w:rPr>
          <w:color w:val="221F1F"/>
          <w:spacing w:val="-2"/>
        </w:rPr>
        <w:t xml:space="preserve"> </w:t>
      </w:r>
      <w:proofErr w:type="spellStart"/>
      <w:r>
        <w:rPr>
          <w:color w:val="221F1F"/>
        </w:rPr>
        <w:t>thel</w:t>
      </w:r>
      <w:proofErr w:type="spellEnd"/>
      <w:r>
        <w:rPr>
          <w:color w:val="221F1F"/>
        </w:rPr>
        <w:t xml:space="preserve"> </w:t>
      </w:r>
      <w:proofErr w:type="spellStart"/>
      <w:r>
        <w:rPr>
          <w:color w:val="221F1F"/>
        </w:rPr>
        <w:t>ast</w:t>
      </w:r>
      <w:proofErr w:type="spellEnd"/>
      <w:r>
        <w:rPr>
          <w:color w:val="221F1F"/>
        </w:rPr>
        <w:t xml:space="preserve"> day of</w:t>
      </w:r>
      <w:r>
        <w:rPr>
          <w:color w:val="221F1F"/>
          <w:spacing w:val="-1"/>
        </w:rPr>
        <w:t xml:space="preserve"> </w:t>
      </w:r>
      <w:r>
        <w:rPr>
          <w:color w:val="221F1F"/>
        </w:rPr>
        <w:t>that period.</w:t>
      </w:r>
    </w:p>
    <w:p w:rsidR="007F6DF9" w:rsidRDefault="00A43FBC">
      <w:pPr>
        <w:pStyle w:val="Heading9"/>
        <w:numPr>
          <w:ilvl w:val="1"/>
          <w:numId w:val="122"/>
        </w:numPr>
        <w:tabs>
          <w:tab w:val="left" w:pos="1368"/>
        </w:tabs>
        <w:spacing w:before="238"/>
        <w:ind w:left="1368" w:hanging="660"/>
        <w:jc w:val="both"/>
        <w:rPr>
          <w:color w:val="221F1F"/>
        </w:rPr>
      </w:pPr>
      <w:r>
        <w:rPr>
          <w:color w:val="221F1F"/>
        </w:rPr>
        <w:t>Taking</w:t>
      </w:r>
      <w:r>
        <w:rPr>
          <w:color w:val="221F1F"/>
          <w:spacing w:val="-14"/>
        </w:rPr>
        <w:t xml:space="preserve"> </w:t>
      </w:r>
      <w:r>
        <w:rPr>
          <w:color w:val="221F1F"/>
        </w:rPr>
        <w:t>Over</w:t>
      </w:r>
      <w:r>
        <w:rPr>
          <w:color w:val="221F1F"/>
          <w:spacing w:val="-5"/>
        </w:rPr>
        <w:t xml:space="preserve"> </w:t>
      </w:r>
      <w:r>
        <w:rPr>
          <w:color w:val="221F1F"/>
        </w:rPr>
        <w:t>of</w:t>
      </w:r>
      <w:r>
        <w:rPr>
          <w:color w:val="221F1F"/>
          <w:spacing w:val="-6"/>
        </w:rPr>
        <w:t xml:space="preserve"> </w:t>
      </w:r>
      <w:r>
        <w:rPr>
          <w:color w:val="221F1F"/>
        </w:rPr>
        <w:t>Parts</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spacing w:val="-4"/>
        </w:rPr>
        <w:t>Works</w:t>
      </w:r>
    </w:p>
    <w:p w:rsidR="007F6DF9" w:rsidRDefault="00A43FBC">
      <w:pPr>
        <w:pStyle w:val="ListParagraph"/>
        <w:numPr>
          <w:ilvl w:val="2"/>
          <w:numId w:val="122"/>
        </w:numPr>
        <w:tabs>
          <w:tab w:val="left" w:pos="1368"/>
          <w:tab w:val="left" w:pos="1388"/>
        </w:tabs>
        <w:spacing w:before="243" w:line="230" w:lineRule="auto"/>
        <w:ind w:left="1388" w:right="556" w:hanging="680"/>
        <w:jc w:val="both"/>
        <w:rPr>
          <w:color w:val="221F1F"/>
        </w:rPr>
      </w:pPr>
      <w:r>
        <w:rPr>
          <w:color w:val="221F1F"/>
        </w:rPr>
        <w:t>The</w:t>
      </w:r>
      <w:r>
        <w:rPr>
          <w:color w:val="221F1F"/>
          <w:spacing w:val="-4"/>
        </w:rPr>
        <w:t xml:space="preserve"> </w:t>
      </w:r>
      <w:r>
        <w:rPr>
          <w:color w:val="221F1F"/>
        </w:rPr>
        <w:t>Architect</w:t>
      </w:r>
      <w:r>
        <w:rPr>
          <w:color w:val="221F1F"/>
          <w:spacing w:val="-5"/>
        </w:rPr>
        <w:t xml:space="preserve"> </w:t>
      </w:r>
      <w:r>
        <w:rPr>
          <w:color w:val="221F1F"/>
        </w:rPr>
        <w:t>may,</w:t>
      </w:r>
      <w:r>
        <w:rPr>
          <w:color w:val="221F1F"/>
          <w:spacing w:val="-14"/>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sole</w:t>
      </w:r>
      <w:r>
        <w:rPr>
          <w:color w:val="221F1F"/>
          <w:spacing w:val="-4"/>
        </w:rPr>
        <w:t xml:space="preserve"> </w:t>
      </w:r>
      <w:r>
        <w:rPr>
          <w:color w:val="221F1F"/>
        </w:rPr>
        <w:t>discretion</w:t>
      </w:r>
      <w:r>
        <w:rPr>
          <w:color w:val="221F1F"/>
          <w:spacing w:val="-6"/>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9"/>
        </w:rPr>
        <w:t xml:space="preserve"> </w:t>
      </w:r>
      <w:r>
        <w:rPr>
          <w:color w:val="221F1F"/>
        </w:rPr>
        <w:t>issue</w:t>
      </w:r>
      <w:r>
        <w:rPr>
          <w:color w:val="221F1F"/>
          <w:spacing w:val="-6"/>
        </w:rPr>
        <w:t xml:space="preserve"> </w:t>
      </w:r>
      <w:r>
        <w:rPr>
          <w:color w:val="221F1F"/>
        </w:rPr>
        <w:t>a</w:t>
      </w:r>
      <w:r>
        <w:rPr>
          <w:color w:val="221F1F"/>
          <w:spacing w:val="-4"/>
        </w:rPr>
        <w:t xml:space="preserve"> </w:t>
      </w:r>
      <w:r>
        <w:rPr>
          <w:color w:val="221F1F"/>
        </w:rPr>
        <w:t>Taking-Over</w:t>
      </w:r>
      <w:r>
        <w:rPr>
          <w:color w:val="221F1F"/>
          <w:spacing w:val="-2"/>
        </w:rPr>
        <w:t xml:space="preserve"> </w:t>
      </w:r>
      <w:r>
        <w:rPr>
          <w:color w:val="221F1F"/>
        </w:rPr>
        <w:t>Certificate</w:t>
      </w:r>
      <w:r>
        <w:rPr>
          <w:color w:val="221F1F"/>
          <w:spacing w:val="-3"/>
        </w:rPr>
        <w:t xml:space="preserve"> </w:t>
      </w:r>
      <w:r>
        <w:rPr>
          <w:color w:val="221F1F"/>
        </w:rPr>
        <w:t>for</w:t>
      </w:r>
      <w:r>
        <w:rPr>
          <w:color w:val="221F1F"/>
          <w:spacing w:val="-3"/>
        </w:rPr>
        <w:t xml:space="preserve"> </w:t>
      </w:r>
      <w:r>
        <w:rPr>
          <w:color w:val="221F1F"/>
        </w:rPr>
        <w:t>any</w:t>
      </w:r>
      <w:r>
        <w:rPr>
          <w:color w:val="221F1F"/>
          <w:spacing w:val="-4"/>
        </w:rPr>
        <w:t xml:space="preserve"> </w:t>
      </w:r>
      <w:r>
        <w:rPr>
          <w:color w:val="221F1F"/>
        </w:rPr>
        <w:t>part of the Permanent Works.</w:t>
      </w:r>
    </w:p>
    <w:p w:rsidR="007F6DF9" w:rsidRDefault="00A43FBC">
      <w:pPr>
        <w:pStyle w:val="ListParagraph"/>
        <w:numPr>
          <w:ilvl w:val="2"/>
          <w:numId w:val="122"/>
        </w:numPr>
        <w:tabs>
          <w:tab w:val="left" w:pos="1368"/>
          <w:tab w:val="left" w:pos="1388"/>
        </w:tabs>
        <w:spacing w:before="244" w:line="230" w:lineRule="auto"/>
        <w:ind w:left="1388" w:right="553" w:hanging="680"/>
        <w:jc w:val="both"/>
        <w:rPr>
          <w:color w:val="221F1F"/>
        </w:rPr>
      </w:pPr>
      <w:r>
        <w:rPr>
          <w:color w:val="221F1F"/>
        </w:rPr>
        <w:t>The Procuring Entity shall not use any part of the Works</w:t>
      </w:r>
      <w:r>
        <w:rPr>
          <w:color w:val="221F1F"/>
          <w:spacing w:val="-6"/>
        </w:rPr>
        <w:t xml:space="preserve"> </w:t>
      </w:r>
      <w:r>
        <w:rPr>
          <w:color w:val="221F1F"/>
        </w:rPr>
        <w:t>(other than as a temporary measure which is either specified in the Contract or agreed by both Parties) unless and until the Architect has issued a Taking-Over Certificate for this part. However, if the Procuring Entity does use any part of the Works</w:t>
      </w:r>
      <w:r>
        <w:rPr>
          <w:color w:val="221F1F"/>
          <w:spacing w:val="-6"/>
        </w:rPr>
        <w:t xml:space="preserve"> </w:t>
      </w:r>
      <w:r>
        <w:rPr>
          <w:color w:val="221F1F"/>
        </w:rPr>
        <w:t>before the Taking-Over Certificate is issued:</w:t>
      </w:r>
    </w:p>
    <w:p w:rsidR="007F6DF9" w:rsidRDefault="00A43FBC">
      <w:pPr>
        <w:pStyle w:val="ListParagraph"/>
        <w:numPr>
          <w:ilvl w:val="0"/>
          <w:numId w:val="59"/>
        </w:numPr>
        <w:tabs>
          <w:tab w:val="left" w:pos="1863"/>
        </w:tabs>
        <w:spacing w:before="42"/>
        <w:ind w:hanging="494"/>
      </w:pPr>
      <w:r>
        <w:rPr>
          <w:color w:val="221F1F"/>
        </w:rPr>
        <w:t>The</w:t>
      </w:r>
      <w:r>
        <w:rPr>
          <w:color w:val="221F1F"/>
          <w:spacing w:val="-2"/>
        </w:rPr>
        <w:t xml:space="preserve"> </w:t>
      </w:r>
      <w:r>
        <w:rPr>
          <w:color w:val="221F1F"/>
        </w:rPr>
        <w:t>part</w:t>
      </w:r>
      <w:r>
        <w:rPr>
          <w:color w:val="221F1F"/>
          <w:spacing w:val="-1"/>
        </w:rPr>
        <w:t xml:space="preserve"> </w:t>
      </w:r>
      <w:r>
        <w:rPr>
          <w:color w:val="221F1F"/>
        </w:rPr>
        <w:t>which</w:t>
      </w:r>
      <w:r>
        <w:rPr>
          <w:color w:val="221F1F"/>
          <w:spacing w:val="-4"/>
        </w:rPr>
        <w:t xml:space="preserve"> </w:t>
      </w:r>
      <w:r>
        <w:rPr>
          <w:color w:val="221F1F"/>
        </w:rPr>
        <w:t>is</w:t>
      </w:r>
      <w:r>
        <w:rPr>
          <w:color w:val="221F1F"/>
          <w:spacing w:val="-2"/>
        </w:rPr>
        <w:t xml:space="preserve"> </w:t>
      </w:r>
      <w:r>
        <w:rPr>
          <w:color w:val="221F1F"/>
        </w:rPr>
        <w:t>used</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deemed</w:t>
      </w:r>
      <w:r>
        <w:rPr>
          <w:color w:val="221F1F"/>
          <w:spacing w:val="-3"/>
        </w:rPr>
        <w:t xml:space="preserve"> </w:t>
      </w:r>
      <w:r>
        <w:rPr>
          <w:color w:val="221F1F"/>
        </w:rPr>
        <w:t>to</w:t>
      </w:r>
      <w:r>
        <w:rPr>
          <w:color w:val="221F1F"/>
          <w:spacing w:val="-2"/>
        </w:rPr>
        <w:t xml:space="preserve"> </w:t>
      </w:r>
      <w:r>
        <w:rPr>
          <w:color w:val="221F1F"/>
        </w:rPr>
        <w:t>have</w:t>
      </w:r>
      <w:r>
        <w:rPr>
          <w:color w:val="221F1F"/>
          <w:spacing w:val="-2"/>
        </w:rPr>
        <w:t xml:space="preserve"> </w:t>
      </w:r>
      <w:r>
        <w:rPr>
          <w:color w:val="221F1F"/>
        </w:rPr>
        <w:t>been</w:t>
      </w:r>
      <w:r>
        <w:rPr>
          <w:color w:val="221F1F"/>
          <w:spacing w:val="-4"/>
        </w:rPr>
        <w:t xml:space="preserve"> </w:t>
      </w:r>
      <w:r>
        <w:rPr>
          <w:color w:val="221F1F"/>
        </w:rPr>
        <w:t>taken</w:t>
      </w:r>
      <w:r>
        <w:rPr>
          <w:color w:val="221F1F"/>
          <w:spacing w:val="-2"/>
        </w:rPr>
        <w:t xml:space="preserve"> </w:t>
      </w:r>
      <w:r>
        <w:rPr>
          <w:color w:val="221F1F"/>
        </w:rPr>
        <w:t>over</w:t>
      </w:r>
      <w:r>
        <w:rPr>
          <w:color w:val="221F1F"/>
          <w:spacing w:val="-1"/>
        </w:rPr>
        <w:t xml:space="preserve"> </w:t>
      </w:r>
      <w:r>
        <w:rPr>
          <w:color w:val="221F1F"/>
        </w:rPr>
        <w:t>as</w:t>
      </w:r>
      <w:r>
        <w:rPr>
          <w:color w:val="221F1F"/>
          <w:spacing w:val="-2"/>
        </w:rPr>
        <w:t xml:space="preserve"> </w:t>
      </w:r>
      <w:r>
        <w:rPr>
          <w:color w:val="221F1F"/>
        </w:rPr>
        <w:t>from</w:t>
      </w:r>
      <w:r>
        <w:rPr>
          <w:color w:val="221F1F"/>
          <w:spacing w:val="-2"/>
        </w:rPr>
        <w:t xml:space="preserve"> </w:t>
      </w:r>
      <w:r>
        <w:rPr>
          <w:color w:val="221F1F"/>
        </w:rPr>
        <w:t>the</w:t>
      </w:r>
      <w:r>
        <w:rPr>
          <w:color w:val="221F1F"/>
          <w:spacing w:val="-2"/>
        </w:rPr>
        <w:t xml:space="preserve"> </w:t>
      </w:r>
      <w:r>
        <w:rPr>
          <w:color w:val="221F1F"/>
        </w:rPr>
        <w:t>date</w:t>
      </w:r>
      <w:r>
        <w:rPr>
          <w:color w:val="221F1F"/>
          <w:spacing w:val="-1"/>
        </w:rPr>
        <w:t xml:space="preserve"> </w:t>
      </w:r>
      <w:r>
        <w:rPr>
          <w:color w:val="221F1F"/>
        </w:rPr>
        <w:t>on</w:t>
      </w:r>
      <w:r>
        <w:rPr>
          <w:color w:val="221F1F"/>
          <w:spacing w:val="-2"/>
        </w:rPr>
        <w:t xml:space="preserve"> </w:t>
      </w:r>
      <w:r>
        <w:rPr>
          <w:color w:val="221F1F"/>
        </w:rPr>
        <w:t>which</w:t>
      </w:r>
      <w:r>
        <w:rPr>
          <w:color w:val="221F1F"/>
          <w:spacing w:val="-4"/>
        </w:rPr>
        <w:t xml:space="preserve"> </w:t>
      </w:r>
      <w:r>
        <w:rPr>
          <w:color w:val="221F1F"/>
        </w:rPr>
        <w:t>it</w:t>
      </w:r>
      <w:r>
        <w:rPr>
          <w:color w:val="221F1F"/>
          <w:spacing w:val="-4"/>
        </w:rPr>
        <w:t xml:space="preserve"> </w:t>
      </w:r>
      <w:r>
        <w:rPr>
          <w:color w:val="221F1F"/>
        </w:rPr>
        <w:t>is</w:t>
      </w:r>
      <w:r>
        <w:rPr>
          <w:color w:val="221F1F"/>
          <w:spacing w:val="-3"/>
        </w:rPr>
        <w:t xml:space="preserve"> </w:t>
      </w:r>
      <w:r>
        <w:rPr>
          <w:color w:val="221F1F"/>
          <w:spacing w:val="-2"/>
        </w:rPr>
        <w:t>used,</w:t>
      </w:r>
    </w:p>
    <w:p w:rsidR="007F6DF9" w:rsidRDefault="00A43FBC">
      <w:pPr>
        <w:pStyle w:val="ListParagraph"/>
        <w:numPr>
          <w:ilvl w:val="0"/>
          <w:numId w:val="59"/>
        </w:numPr>
        <w:tabs>
          <w:tab w:val="left" w:pos="1863"/>
        </w:tabs>
        <w:spacing w:before="48" w:line="230" w:lineRule="auto"/>
        <w:ind w:right="553"/>
      </w:pPr>
      <w:r>
        <w:rPr>
          <w:color w:val="221F1F"/>
        </w:rPr>
        <w:t>the Contractor shall cease to be liable for the care of such part as from this date, when responsibility</w:t>
      </w:r>
      <w:r>
        <w:rPr>
          <w:color w:val="221F1F"/>
          <w:spacing w:val="40"/>
        </w:rPr>
        <w:t xml:space="preserve"> </w:t>
      </w:r>
      <w:r>
        <w:rPr>
          <w:color w:val="221F1F"/>
        </w:rPr>
        <w:t>shall pass to the Procuring Entity, and</w:t>
      </w:r>
    </w:p>
    <w:p w:rsidR="007F6DF9" w:rsidRDefault="00A43FBC">
      <w:pPr>
        <w:pStyle w:val="ListParagraph"/>
        <w:numPr>
          <w:ilvl w:val="0"/>
          <w:numId w:val="59"/>
        </w:numPr>
        <w:tabs>
          <w:tab w:val="left" w:pos="1863"/>
        </w:tabs>
        <w:spacing w:before="39"/>
        <w:ind w:hanging="494"/>
      </w:pPr>
      <w:r>
        <w:rPr>
          <w:color w:val="221F1F"/>
        </w:rPr>
        <w:t>if</w:t>
      </w:r>
      <w:r>
        <w:rPr>
          <w:color w:val="221F1F"/>
          <w:spacing w:val="-7"/>
        </w:rPr>
        <w:t xml:space="preserve"> </w:t>
      </w:r>
      <w:r>
        <w:rPr>
          <w:color w:val="221F1F"/>
        </w:rPr>
        <w:t>requested</w:t>
      </w:r>
      <w:r>
        <w:rPr>
          <w:color w:val="221F1F"/>
          <w:spacing w:val="-5"/>
        </w:rPr>
        <w:t xml:space="preserve"> </w:t>
      </w:r>
      <w:r>
        <w:rPr>
          <w:color w:val="221F1F"/>
        </w:rPr>
        <w:t>by</w:t>
      </w:r>
      <w:r>
        <w:rPr>
          <w:color w:val="221F1F"/>
          <w:spacing w:val="-7"/>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the</w:t>
      </w:r>
      <w:r>
        <w:rPr>
          <w:color w:val="221F1F"/>
          <w:spacing w:val="-5"/>
        </w:rPr>
        <w:t xml:space="preserve"> </w:t>
      </w:r>
      <w:r>
        <w:rPr>
          <w:color w:val="221F1F"/>
        </w:rPr>
        <w:t>Architect</w:t>
      </w:r>
      <w:r>
        <w:rPr>
          <w:color w:val="221F1F"/>
          <w:spacing w:val="-4"/>
        </w:rPr>
        <w:t xml:space="preserve"> </w:t>
      </w:r>
      <w:r>
        <w:rPr>
          <w:color w:val="221F1F"/>
        </w:rPr>
        <w:t>shall</w:t>
      </w:r>
      <w:r>
        <w:rPr>
          <w:color w:val="221F1F"/>
          <w:spacing w:val="-3"/>
        </w:rPr>
        <w:t xml:space="preserve"> </w:t>
      </w:r>
      <w:r>
        <w:rPr>
          <w:color w:val="221F1F"/>
        </w:rPr>
        <w:t>issue</w:t>
      </w:r>
      <w:r>
        <w:rPr>
          <w:color w:val="221F1F"/>
          <w:spacing w:val="-7"/>
        </w:rPr>
        <w:t xml:space="preserve"> </w:t>
      </w:r>
      <w:r>
        <w:rPr>
          <w:color w:val="221F1F"/>
        </w:rPr>
        <w:t>a</w:t>
      </w:r>
      <w:r>
        <w:rPr>
          <w:color w:val="221F1F"/>
          <w:spacing w:val="-4"/>
        </w:rPr>
        <w:t xml:space="preserve"> </w:t>
      </w:r>
      <w:r>
        <w:rPr>
          <w:color w:val="221F1F"/>
        </w:rPr>
        <w:t>Taking-Over</w:t>
      </w:r>
      <w:r>
        <w:rPr>
          <w:color w:val="221F1F"/>
          <w:spacing w:val="-4"/>
        </w:rPr>
        <w:t xml:space="preserve"> </w:t>
      </w:r>
      <w:r>
        <w:rPr>
          <w:color w:val="221F1F"/>
        </w:rPr>
        <w:t>Certificate</w:t>
      </w:r>
      <w:r>
        <w:rPr>
          <w:color w:val="221F1F"/>
          <w:spacing w:val="-6"/>
        </w:rPr>
        <w:t xml:space="preserve"> </w:t>
      </w:r>
      <w:r>
        <w:rPr>
          <w:color w:val="221F1F"/>
        </w:rPr>
        <w:t>for</w:t>
      </w:r>
      <w:r>
        <w:rPr>
          <w:color w:val="221F1F"/>
          <w:spacing w:val="-3"/>
        </w:rPr>
        <w:t xml:space="preserve"> </w:t>
      </w:r>
      <w:r>
        <w:rPr>
          <w:color w:val="221F1F"/>
        </w:rPr>
        <w:t>this</w:t>
      </w:r>
      <w:r>
        <w:rPr>
          <w:color w:val="221F1F"/>
          <w:spacing w:val="-7"/>
        </w:rPr>
        <w:t xml:space="preserve"> </w:t>
      </w:r>
      <w:r>
        <w:rPr>
          <w:color w:val="221F1F"/>
          <w:spacing w:val="-2"/>
        </w:rPr>
        <w:t>part.</w:t>
      </w:r>
    </w:p>
    <w:p w:rsidR="007F6DF9" w:rsidRDefault="00A43FBC">
      <w:pPr>
        <w:pStyle w:val="ListParagraph"/>
        <w:numPr>
          <w:ilvl w:val="2"/>
          <w:numId w:val="122"/>
        </w:numPr>
        <w:tabs>
          <w:tab w:val="left" w:pos="1368"/>
          <w:tab w:val="left" w:pos="1388"/>
        </w:tabs>
        <w:spacing w:before="243" w:line="230" w:lineRule="auto"/>
        <w:ind w:left="1388" w:right="550" w:hanging="680"/>
        <w:jc w:val="both"/>
        <w:rPr>
          <w:color w:val="221F1F"/>
        </w:rPr>
      </w:pPr>
      <w:r>
        <w:rPr>
          <w:color w:val="221F1F"/>
        </w:rPr>
        <w:t>After</w:t>
      </w:r>
      <w:r>
        <w:rPr>
          <w:color w:val="221F1F"/>
          <w:spacing w:val="-7"/>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has</w:t>
      </w:r>
      <w:r>
        <w:rPr>
          <w:color w:val="221F1F"/>
          <w:spacing w:val="-7"/>
        </w:rPr>
        <w:t xml:space="preserve"> </w:t>
      </w:r>
      <w:r>
        <w:rPr>
          <w:color w:val="221F1F"/>
        </w:rPr>
        <w:t>issued</w:t>
      </w:r>
      <w:r>
        <w:rPr>
          <w:color w:val="221F1F"/>
          <w:spacing w:val="-7"/>
        </w:rPr>
        <w:t xml:space="preserve"> </w:t>
      </w:r>
      <w:r>
        <w:rPr>
          <w:color w:val="221F1F"/>
        </w:rPr>
        <w:t>a</w:t>
      </w:r>
      <w:r>
        <w:rPr>
          <w:color w:val="221F1F"/>
          <w:spacing w:val="-8"/>
        </w:rPr>
        <w:t xml:space="preserve"> </w:t>
      </w:r>
      <w:r>
        <w:rPr>
          <w:color w:val="221F1F"/>
        </w:rPr>
        <w:t>Taking-Over</w:t>
      </w:r>
      <w:r>
        <w:rPr>
          <w:color w:val="221F1F"/>
          <w:spacing w:val="-7"/>
        </w:rPr>
        <w:t xml:space="preserve"> </w:t>
      </w:r>
      <w:r>
        <w:rPr>
          <w:color w:val="221F1F"/>
        </w:rPr>
        <w:t>Certificate</w:t>
      </w:r>
      <w:r>
        <w:rPr>
          <w:color w:val="221F1F"/>
          <w:spacing w:val="-7"/>
        </w:rPr>
        <w:t xml:space="preserve"> </w:t>
      </w:r>
      <w:r>
        <w:rPr>
          <w:color w:val="221F1F"/>
        </w:rPr>
        <w:t>for</w:t>
      </w:r>
      <w:r>
        <w:rPr>
          <w:color w:val="221F1F"/>
          <w:spacing w:val="-7"/>
        </w:rPr>
        <w:t xml:space="preserve"> </w:t>
      </w:r>
      <w:r>
        <w:rPr>
          <w:color w:val="221F1F"/>
        </w:rPr>
        <w:t>a</w:t>
      </w:r>
      <w:r>
        <w:rPr>
          <w:color w:val="221F1F"/>
          <w:spacing w:val="-8"/>
        </w:rPr>
        <w:t xml:space="preserve"> </w:t>
      </w:r>
      <w:r>
        <w:rPr>
          <w:color w:val="221F1F"/>
        </w:rPr>
        <w:t>part</w:t>
      </w:r>
      <w:r>
        <w:rPr>
          <w:color w:val="221F1F"/>
          <w:spacing w:val="-7"/>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Works,</w:t>
      </w:r>
      <w:r>
        <w:rPr>
          <w:color w:val="221F1F"/>
          <w:spacing w:val="-13"/>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 the earliest opportunity to take such steps as may be necessary to carry out any outstanding Tests on Completion.</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carry</w:t>
      </w:r>
      <w:r>
        <w:rPr>
          <w:color w:val="221F1F"/>
          <w:spacing w:val="-14"/>
        </w:rPr>
        <w:t xml:space="preserve"> </w:t>
      </w:r>
      <w:r>
        <w:rPr>
          <w:color w:val="221F1F"/>
        </w:rPr>
        <w:t>out</w:t>
      </w:r>
      <w:r>
        <w:rPr>
          <w:color w:val="221F1F"/>
          <w:spacing w:val="-13"/>
        </w:rPr>
        <w:t xml:space="preserve"> </w:t>
      </w:r>
      <w:r>
        <w:rPr>
          <w:color w:val="221F1F"/>
        </w:rPr>
        <w:t>these</w:t>
      </w:r>
      <w:r>
        <w:rPr>
          <w:color w:val="221F1F"/>
          <w:spacing w:val="-8"/>
        </w:rPr>
        <w:t xml:space="preserve"> </w:t>
      </w:r>
      <w:r>
        <w:rPr>
          <w:color w:val="221F1F"/>
        </w:rPr>
        <w:t>Tests</w:t>
      </w:r>
      <w:r>
        <w:rPr>
          <w:color w:val="221F1F"/>
          <w:spacing w:val="-14"/>
        </w:rPr>
        <w:t xml:space="preserve"> </w:t>
      </w:r>
      <w:r>
        <w:rPr>
          <w:color w:val="221F1F"/>
        </w:rPr>
        <w:t>on</w:t>
      </w:r>
      <w:r>
        <w:rPr>
          <w:color w:val="221F1F"/>
          <w:spacing w:val="-12"/>
        </w:rPr>
        <w:t xml:space="preserve"> </w:t>
      </w:r>
      <w:r>
        <w:rPr>
          <w:color w:val="221F1F"/>
        </w:rPr>
        <w:t>Completion</w:t>
      </w:r>
      <w:r>
        <w:rPr>
          <w:color w:val="221F1F"/>
          <w:spacing w:val="-12"/>
        </w:rPr>
        <w:t xml:space="preserve"> </w:t>
      </w:r>
      <w:r>
        <w:rPr>
          <w:color w:val="221F1F"/>
        </w:rPr>
        <w:t>as</w:t>
      </w:r>
      <w:r>
        <w:rPr>
          <w:color w:val="221F1F"/>
          <w:spacing w:val="-14"/>
        </w:rPr>
        <w:t xml:space="preserve"> </w:t>
      </w:r>
      <w:r>
        <w:rPr>
          <w:color w:val="221F1F"/>
        </w:rPr>
        <w:t>soon</w:t>
      </w:r>
      <w:r>
        <w:rPr>
          <w:color w:val="221F1F"/>
          <w:spacing w:val="-14"/>
        </w:rPr>
        <w:t xml:space="preserve"> </w:t>
      </w:r>
      <w:r>
        <w:rPr>
          <w:color w:val="221F1F"/>
        </w:rPr>
        <w:t>as</w:t>
      </w:r>
      <w:r>
        <w:rPr>
          <w:color w:val="221F1F"/>
          <w:spacing w:val="-11"/>
        </w:rPr>
        <w:t xml:space="preserve"> </w:t>
      </w:r>
      <w:r>
        <w:rPr>
          <w:color w:val="221F1F"/>
        </w:rPr>
        <w:t>practicable</w:t>
      </w:r>
      <w:r>
        <w:rPr>
          <w:color w:val="221F1F"/>
          <w:spacing w:val="-14"/>
        </w:rPr>
        <w:t xml:space="preserve"> </w:t>
      </w:r>
      <w:r>
        <w:rPr>
          <w:color w:val="221F1F"/>
        </w:rPr>
        <w:t>before</w:t>
      </w:r>
      <w:r>
        <w:rPr>
          <w:color w:val="221F1F"/>
          <w:spacing w:val="-14"/>
        </w:rPr>
        <w:t xml:space="preserve"> </w:t>
      </w:r>
      <w:r>
        <w:rPr>
          <w:color w:val="221F1F"/>
        </w:rPr>
        <w:t>the</w:t>
      </w:r>
      <w:r>
        <w:rPr>
          <w:color w:val="221F1F"/>
          <w:spacing w:val="-13"/>
        </w:rPr>
        <w:t xml:space="preserve"> </w:t>
      </w:r>
      <w:r>
        <w:rPr>
          <w:color w:val="221F1F"/>
        </w:rPr>
        <w:t>expiry date of the relevant Defects Notification Period.</w:t>
      </w:r>
    </w:p>
    <w:p w:rsidR="007F6DF9" w:rsidRDefault="00A43FBC">
      <w:pPr>
        <w:pStyle w:val="ListParagraph"/>
        <w:numPr>
          <w:ilvl w:val="2"/>
          <w:numId w:val="122"/>
        </w:numPr>
        <w:tabs>
          <w:tab w:val="left" w:pos="1368"/>
          <w:tab w:val="left" w:pos="1388"/>
        </w:tabs>
        <w:spacing w:before="246" w:line="230" w:lineRule="auto"/>
        <w:ind w:left="1388" w:right="550" w:hanging="680"/>
        <w:jc w:val="both"/>
        <w:rPr>
          <w:color w:val="221F1F"/>
        </w:rPr>
      </w:pPr>
      <w:r>
        <w:rPr>
          <w:color w:val="221F1F"/>
        </w:rPr>
        <w:t>If the</w:t>
      </w:r>
      <w:r>
        <w:rPr>
          <w:color w:val="221F1F"/>
          <w:spacing w:val="-2"/>
        </w:rPr>
        <w:t xml:space="preserve"> </w:t>
      </w:r>
      <w:r>
        <w:rPr>
          <w:color w:val="221F1F"/>
        </w:rPr>
        <w:t>Contractor incurs Cost as a</w:t>
      </w:r>
      <w:r>
        <w:rPr>
          <w:color w:val="221F1F"/>
          <w:spacing w:val="-2"/>
        </w:rPr>
        <w:t xml:space="preserve"> </w:t>
      </w:r>
      <w:r>
        <w:rPr>
          <w:color w:val="221F1F"/>
        </w:rPr>
        <w:t>result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 Entity taking over</w:t>
      </w:r>
      <w:r>
        <w:rPr>
          <w:color w:val="221F1F"/>
          <w:spacing w:val="-2"/>
        </w:rPr>
        <w:t xml:space="preserve"> </w:t>
      </w:r>
      <w:r>
        <w:rPr>
          <w:color w:val="221F1F"/>
        </w:rPr>
        <w:t>and/or using</w:t>
      </w:r>
      <w:r>
        <w:rPr>
          <w:color w:val="221F1F"/>
          <w:spacing w:val="-2"/>
        </w:rPr>
        <w:t xml:space="preserve"> </w:t>
      </w:r>
      <w:r>
        <w:rPr>
          <w:color w:val="221F1F"/>
        </w:rPr>
        <w:t>a part of</w:t>
      </w:r>
      <w:r>
        <w:rPr>
          <w:color w:val="221F1F"/>
          <w:spacing w:val="-2"/>
        </w:rPr>
        <w:t xml:space="preserve"> </w:t>
      </w:r>
      <w:r>
        <w:rPr>
          <w:color w:val="221F1F"/>
        </w:rPr>
        <w:t>the Works, other than such use as is specified in the Contractor agreed by the Contractor, the Contractor shall (</w:t>
      </w:r>
      <w:proofErr w:type="spellStart"/>
      <w:r>
        <w:rPr>
          <w:color w:val="221F1F"/>
        </w:rPr>
        <w:t>i</w:t>
      </w:r>
      <w:proofErr w:type="spellEnd"/>
      <w:r>
        <w:rPr>
          <w:color w:val="221F1F"/>
        </w:rPr>
        <w:t>) give notice</w:t>
      </w:r>
      <w:r>
        <w:rPr>
          <w:color w:val="221F1F"/>
          <w:spacing w:val="-7"/>
        </w:rPr>
        <w:t xml:space="preserve"> </w:t>
      </w:r>
      <w:r>
        <w:rPr>
          <w:color w:val="221F1F"/>
        </w:rPr>
        <w:t>to</w:t>
      </w:r>
      <w:r>
        <w:rPr>
          <w:color w:val="221F1F"/>
          <w:spacing w:val="-10"/>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and</w:t>
      </w:r>
      <w:r>
        <w:rPr>
          <w:color w:val="221F1F"/>
          <w:spacing w:val="-7"/>
        </w:rPr>
        <w:t xml:space="preserve"> </w:t>
      </w:r>
      <w:r>
        <w:rPr>
          <w:color w:val="221F1F"/>
        </w:rPr>
        <w:t>(ii)</w:t>
      </w:r>
      <w:r>
        <w:rPr>
          <w:color w:val="221F1F"/>
          <w:spacing w:val="-7"/>
        </w:rPr>
        <w:t xml:space="preserve"> </w:t>
      </w:r>
      <w:r>
        <w:rPr>
          <w:color w:val="221F1F"/>
        </w:rPr>
        <w:t>be</w:t>
      </w:r>
      <w:r>
        <w:rPr>
          <w:color w:val="221F1F"/>
          <w:spacing w:val="-7"/>
        </w:rPr>
        <w:t xml:space="preserve"> </w:t>
      </w:r>
      <w:r>
        <w:rPr>
          <w:color w:val="221F1F"/>
        </w:rPr>
        <w:t>entitled</w:t>
      </w:r>
      <w:r>
        <w:rPr>
          <w:color w:val="221F1F"/>
          <w:spacing w:val="-7"/>
        </w:rPr>
        <w:t xml:space="preserve"> </w:t>
      </w:r>
      <w:r>
        <w:rPr>
          <w:color w:val="221F1F"/>
        </w:rPr>
        <w:t>subject</w:t>
      </w:r>
      <w:r>
        <w:rPr>
          <w:color w:val="221F1F"/>
          <w:spacing w:val="-9"/>
        </w:rPr>
        <w:t xml:space="preserve"> </w:t>
      </w:r>
      <w:r>
        <w:rPr>
          <w:color w:val="221F1F"/>
        </w:rPr>
        <w:t>to</w:t>
      </w:r>
      <w:r>
        <w:rPr>
          <w:color w:val="221F1F"/>
          <w:spacing w:val="-8"/>
        </w:rPr>
        <w:t xml:space="preserve"> </w:t>
      </w:r>
      <w:r>
        <w:rPr>
          <w:color w:val="221F1F"/>
        </w:rPr>
        <w:t>Sub-Clause</w:t>
      </w:r>
      <w:r>
        <w:rPr>
          <w:color w:val="221F1F"/>
          <w:spacing w:val="-7"/>
        </w:rPr>
        <w:t xml:space="preserve"> </w:t>
      </w:r>
      <w:r>
        <w:rPr>
          <w:color w:val="221F1F"/>
        </w:rPr>
        <w:t>20.1</w:t>
      </w:r>
      <w:r>
        <w:rPr>
          <w:color w:val="221F1F"/>
          <w:spacing w:val="-8"/>
        </w:rPr>
        <w:t xml:space="preserve"> </w:t>
      </w:r>
      <w:r>
        <w:rPr>
          <w:color w:val="221F1F"/>
        </w:rPr>
        <w:t>[Contractor's</w:t>
      </w:r>
      <w:r>
        <w:rPr>
          <w:color w:val="221F1F"/>
          <w:spacing w:val="-9"/>
        </w:rPr>
        <w:t xml:space="preserve"> </w:t>
      </w:r>
      <w:r>
        <w:rPr>
          <w:color w:val="221F1F"/>
        </w:rPr>
        <w:t>Claims]</w:t>
      </w:r>
      <w:r>
        <w:rPr>
          <w:color w:val="221F1F"/>
          <w:spacing w:val="-7"/>
        </w:rPr>
        <w:t xml:space="preserve"> </w:t>
      </w:r>
      <w:r>
        <w:rPr>
          <w:color w:val="221F1F"/>
        </w:rPr>
        <w:t>to</w:t>
      </w:r>
      <w:r>
        <w:rPr>
          <w:color w:val="221F1F"/>
          <w:spacing w:val="-8"/>
        </w:rPr>
        <w:t xml:space="preserve"> </w:t>
      </w:r>
      <w:r>
        <w:rPr>
          <w:color w:val="221F1F"/>
        </w:rPr>
        <w:t>payment</w:t>
      </w:r>
      <w:r>
        <w:rPr>
          <w:color w:val="221F1F"/>
          <w:spacing w:val="-7"/>
        </w:rPr>
        <w:t xml:space="preserve"> </w:t>
      </w:r>
      <w:r>
        <w:rPr>
          <w:color w:val="221F1F"/>
        </w:rPr>
        <w:t>of</w:t>
      </w:r>
      <w:r>
        <w:rPr>
          <w:color w:val="221F1F"/>
          <w:spacing w:val="-7"/>
        </w:rPr>
        <w:t xml:space="preserve"> </w:t>
      </w:r>
      <w:r>
        <w:rPr>
          <w:color w:val="221F1F"/>
        </w:rPr>
        <w:t>any such accrued costs, which shall be included in the Contract Price. After receiving this notice, the Architect shall proceed in accordance with Sub-Clause 3.5 [Determinations] to agree or determine this accrued cost.</w:t>
      </w:r>
    </w:p>
    <w:p w:rsidR="007F6DF9" w:rsidRDefault="00A43FBC">
      <w:pPr>
        <w:pStyle w:val="ListParagraph"/>
        <w:numPr>
          <w:ilvl w:val="2"/>
          <w:numId w:val="122"/>
        </w:numPr>
        <w:tabs>
          <w:tab w:val="left" w:pos="1366"/>
          <w:tab w:val="left" w:pos="1388"/>
        </w:tabs>
        <w:spacing w:before="244" w:line="230" w:lineRule="auto"/>
        <w:ind w:left="1388" w:right="533" w:hanging="680"/>
        <w:jc w:val="both"/>
        <w:rPr>
          <w:color w:val="221F1F"/>
        </w:rPr>
      </w:pPr>
      <w:r>
        <w:rPr>
          <w:color w:val="221F1F"/>
        </w:rPr>
        <w:t>If</w:t>
      </w:r>
      <w:r>
        <w:rPr>
          <w:color w:val="221F1F"/>
          <w:spacing w:val="-5"/>
        </w:rPr>
        <w:t xml:space="preserve"> </w:t>
      </w:r>
      <w:r>
        <w:rPr>
          <w:color w:val="221F1F"/>
        </w:rPr>
        <w:t>a</w:t>
      </w:r>
      <w:r>
        <w:rPr>
          <w:color w:val="221F1F"/>
          <w:spacing w:val="-5"/>
        </w:rPr>
        <w:t xml:space="preserve"> </w:t>
      </w:r>
      <w:r>
        <w:rPr>
          <w:color w:val="221F1F"/>
        </w:rPr>
        <w:t>Taking-Over</w:t>
      </w:r>
      <w:r>
        <w:rPr>
          <w:color w:val="221F1F"/>
          <w:spacing w:val="-5"/>
        </w:rPr>
        <w:t xml:space="preserve"> </w:t>
      </w:r>
      <w:r>
        <w:rPr>
          <w:color w:val="221F1F"/>
        </w:rPr>
        <w:t>Certificate</w:t>
      </w:r>
      <w:r>
        <w:rPr>
          <w:color w:val="221F1F"/>
          <w:spacing w:val="-6"/>
        </w:rPr>
        <w:t xml:space="preserve"> </w:t>
      </w:r>
      <w:r>
        <w:rPr>
          <w:color w:val="221F1F"/>
        </w:rPr>
        <w:t>has</w:t>
      </w:r>
      <w:r>
        <w:rPr>
          <w:color w:val="221F1F"/>
          <w:spacing w:val="-5"/>
        </w:rPr>
        <w:t xml:space="preserve"> </w:t>
      </w:r>
      <w:r>
        <w:rPr>
          <w:color w:val="221F1F"/>
        </w:rPr>
        <w:t>been</w:t>
      </w:r>
      <w:r>
        <w:rPr>
          <w:color w:val="221F1F"/>
          <w:spacing w:val="-6"/>
        </w:rPr>
        <w:t xml:space="preserve"> </w:t>
      </w:r>
      <w:r>
        <w:rPr>
          <w:color w:val="221F1F"/>
        </w:rPr>
        <w:t>issued</w:t>
      </w:r>
      <w:r>
        <w:rPr>
          <w:color w:val="221F1F"/>
          <w:spacing w:val="-8"/>
        </w:rPr>
        <w:t xml:space="preserve"> </w:t>
      </w:r>
      <w:r>
        <w:rPr>
          <w:color w:val="221F1F"/>
        </w:rPr>
        <w:t>for</w:t>
      </w:r>
      <w:r>
        <w:rPr>
          <w:color w:val="221F1F"/>
          <w:spacing w:val="-7"/>
        </w:rPr>
        <w:t xml:space="preserve"> </w:t>
      </w:r>
      <w:r>
        <w:rPr>
          <w:color w:val="221F1F"/>
        </w:rPr>
        <w:t>a</w:t>
      </w:r>
      <w:r>
        <w:rPr>
          <w:color w:val="221F1F"/>
          <w:spacing w:val="-5"/>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(other</w:t>
      </w:r>
      <w:r>
        <w:rPr>
          <w:color w:val="221F1F"/>
          <w:spacing w:val="-3"/>
        </w:rPr>
        <w:t xml:space="preserve"> </w:t>
      </w:r>
      <w:r>
        <w:rPr>
          <w:color w:val="221F1F"/>
        </w:rPr>
        <w:t>than</w:t>
      </w:r>
      <w:r>
        <w:rPr>
          <w:color w:val="221F1F"/>
          <w:spacing w:val="-5"/>
        </w:rPr>
        <w:t xml:space="preserve"> </w:t>
      </w:r>
      <w:r>
        <w:rPr>
          <w:color w:val="221F1F"/>
        </w:rPr>
        <w:t>a</w:t>
      </w:r>
      <w:r>
        <w:rPr>
          <w:color w:val="221F1F"/>
          <w:spacing w:val="-5"/>
        </w:rPr>
        <w:t xml:space="preserve"> </w:t>
      </w:r>
      <w:r>
        <w:rPr>
          <w:color w:val="221F1F"/>
        </w:rPr>
        <w:t>Section),</w:t>
      </w:r>
      <w:r>
        <w:rPr>
          <w:color w:val="221F1F"/>
          <w:spacing w:val="-7"/>
        </w:rPr>
        <w:t xml:space="preserve"> </w:t>
      </w:r>
      <w:r>
        <w:rPr>
          <w:color w:val="221F1F"/>
        </w:rPr>
        <w:t>the</w:t>
      </w:r>
      <w:r>
        <w:rPr>
          <w:color w:val="221F1F"/>
          <w:spacing w:val="-5"/>
        </w:rPr>
        <w:t xml:space="preserve"> </w:t>
      </w:r>
      <w:r>
        <w:rPr>
          <w:color w:val="221F1F"/>
        </w:rPr>
        <w:t>delay</w:t>
      </w:r>
      <w:r>
        <w:rPr>
          <w:color w:val="221F1F"/>
          <w:spacing w:val="-5"/>
        </w:rPr>
        <w:t xml:space="preserve"> </w:t>
      </w:r>
      <w:r>
        <w:rPr>
          <w:color w:val="221F1F"/>
        </w:rPr>
        <w:t xml:space="preserve">damages </w:t>
      </w:r>
      <w:proofErr w:type="spellStart"/>
      <w:r>
        <w:rPr>
          <w:color w:val="221F1F"/>
        </w:rPr>
        <w:t>there after</w:t>
      </w:r>
      <w:proofErr w:type="spellEnd"/>
      <w:r>
        <w:rPr>
          <w:color w:val="221F1F"/>
        </w:rPr>
        <w:t xml:space="preserve"> for completion of the remainder of the Works</w:t>
      </w:r>
      <w:r>
        <w:rPr>
          <w:color w:val="221F1F"/>
          <w:spacing w:val="-1"/>
        </w:rPr>
        <w:t xml:space="preserve"> </w:t>
      </w:r>
      <w:r>
        <w:rPr>
          <w:color w:val="221F1F"/>
        </w:rPr>
        <w:t>shall be reduced. Similarly, the delay damages for the remainder of the Section (if any) in which this part is included shall also be reduced. For any period of delay after the date stated in this Taking-Over Certificate, the proportional reduction in these delay damages shall</w:t>
      </w:r>
      <w:r>
        <w:rPr>
          <w:color w:val="221F1F"/>
          <w:spacing w:val="-4"/>
        </w:rPr>
        <w:t xml:space="preserve"> </w:t>
      </w:r>
      <w:r>
        <w:rPr>
          <w:color w:val="221F1F"/>
        </w:rPr>
        <w:t>be</w:t>
      </w:r>
      <w:r>
        <w:rPr>
          <w:color w:val="221F1F"/>
          <w:spacing w:val="-5"/>
        </w:rPr>
        <w:t xml:space="preserve"> </w:t>
      </w:r>
      <w:r>
        <w:rPr>
          <w:color w:val="221F1F"/>
        </w:rPr>
        <w:t>calculated</w:t>
      </w:r>
      <w:r>
        <w:rPr>
          <w:color w:val="221F1F"/>
          <w:spacing w:val="-5"/>
        </w:rPr>
        <w:t xml:space="preserve"> </w:t>
      </w:r>
      <w:r>
        <w:rPr>
          <w:color w:val="221F1F"/>
        </w:rPr>
        <w:t>as</w:t>
      </w:r>
      <w:r>
        <w:rPr>
          <w:color w:val="221F1F"/>
          <w:spacing w:val="-5"/>
        </w:rPr>
        <w:t xml:space="preserve"> </w:t>
      </w:r>
      <w:r>
        <w:rPr>
          <w:color w:val="221F1F"/>
        </w:rPr>
        <w:t>the</w:t>
      </w:r>
      <w:r>
        <w:rPr>
          <w:color w:val="221F1F"/>
          <w:spacing w:val="-5"/>
        </w:rPr>
        <w:t xml:space="preserve"> </w:t>
      </w:r>
      <w:r>
        <w:rPr>
          <w:color w:val="221F1F"/>
        </w:rPr>
        <w:t>proportion</w:t>
      </w:r>
      <w:r>
        <w:rPr>
          <w:color w:val="221F1F"/>
          <w:spacing w:val="-8"/>
        </w:rPr>
        <w:t xml:space="preserve"> </w:t>
      </w:r>
      <w:r>
        <w:rPr>
          <w:color w:val="221F1F"/>
        </w:rPr>
        <w:t>which</w:t>
      </w:r>
      <w:r>
        <w:rPr>
          <w:color w:val="221F1F"/>
          <w:spacing w:val="-8"/>
        </w:rPr>
        <w:t xml:space="preserve"> </w:t>
      </w:r>
      <w:r>
        <w:rPr>
          <w:color w:val="221F1F"/>
        </w:rPr>
        <w:t>the</w:t>
      </w:r>
      <w:r>
        <w:rPr>
          <w:color w:val="221F1F"/>
          <w:spacing w:val="-8"/>
        </w:rPr>
        <w:t xml:space="preserve"> </w:t>
      </w:r>
      <w:r>
        <w:rPr>
          <w:color w:val="221F1F"/>
        </w:rPr>
        <w:t>value</w:t>
      </w:r>
      <w:r>
        <w:rPr>
          <w:color w:val="221F1F"/>
          <w:spacing w:val="-5"/>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part</w:t>
      </w:r>
      <w:r>
        <w:rPr>
          <w:color w:val="221F1F"/>
          <w:spacing w:val="-7"/>
        </w:rPr>
        <w:t xml:space="preserve"> </w:t>
      </w:r>
      <w:r>
        <w:rPr>
          <w:color w:val="221F1F"/>
        </w:rPr>
        <w:t>so</w:t>
      </w:r>
      <w:r>
        <w:rPr>
          <w:color w:val="221F1F"/>
          <w:spacing w:val="-8"/>
        </w:rPr>
        <w:t xml:space="preserve"> </w:t>
      </w:r>
      <w:r>
        <w:rPr>
          <w:color w:val="221F1F"/>
        </w:rPr>
        <w:t>certified</w:t>
      </w:r>
      <w:r>
        <w:rPr>
          <w:color w:val="221F1F"/>
          <w:spacing w:val="-8"/>
        </w:rPr>
        <w:t xml:space="preserve"> </w:t>
      </w:r>
      <w:r>
        <w:rPr>
          <w:color w:val="221F1F"/>
        </w:rPr>
        <w:t>bears</w:t>
      </w:r>
      <w:r>
        <w:rPr>
          <w:color w:val="221F1F"/>
          <w:spacing w:val="-7"/>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value</w:t>
      </w:r>
      <w:r>
        <w:rPr>
          <w:color w:val="221F1F"/>
          <w:spacing w:val="-8"/>
        </w:rPr>
        <w:t xml:space="preserve"> </w:t>
      </w:r>
      <w:r>
        <w:rPr>
          <w:color w:val="221F1F"/>
        </w:rPr>
        <w:t>of</w:t>
      </w:r>
      <w:r>
        <w:rPr>
          <w:color w:val="221F1F"/>
          <w:spacing w:val="-7"/>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or Section (as the case may be) as a whole. The Architect shall proceed in accordance with Sub-Clause 3.5 [Determinations] to agree or determine these proportions. The provisions of this paragraph shall only apply</w:t>
      </w:r>
    </w:p>
    <w:p w:rsidR="007F6DF9" w:rsidRDefault="007F6DF9">
      <w:pPr>
        <w:pStyle w:val="ListParagraph"/>
        <w:spacing w:line="230" w:lineRule="auto"/>
        <w:jc w:val="both"/>
        <w:sectPr w:rsidR="007F6DF9">
          <w:pgSz w:w="11920" w:h="16850"/>
          <w:pgMar w:top="360" w:right="283" w:bottom="600" w:left="141" w:header="0" w:footer="375" w:gutter="0"/>
          <w:cols w:space="720"/>
        </w:sectPr>
      </w:pPr>
    </w:p>
    <w:p w:rsidR="007F6DF9" w:rsidRDefault="00A43FBC">
      <w:pPr>
        <w:pStyle w:val="BodyText"/>
        <w:spacing w:line="230" w:lineRule="auto"/>
        <w:ind w:left="1388"/>
      </w:pPr>
      <w:r>
        <w:rPr>
          <w:color w:val="221F1F"/>
        </w:rPr>
        <w:lastRenderedPageBreak/>
        <w:t>to</w:t>
      </w:r>
      <w:r>
        <w:rPr>
          <w:color w:val="221F1F"/>
          <w:spacing w:val="-1"/>
        </w:rPr>
        <w:t xml:space="preserve"> </w:t>
      </w:r>
      <w:r>
        <w:rPr>
          <w:color w:val="221F1F"/>
        </w:rPr>
        <w:t>the</w:t>
      </w:r>
      <w:r>
        <w:rPr>
          <w:color w:val="221F1F"/>
          <w:spacing w:val="-1"/>
        </w:rPr>
        <w:t xml:space="preserve"> </w:t>
      </w:r>
      <w:r>
        <w:rPr>
          <w:color w:val="221F1F"/>
        </w:rPr>
        <w:t>daily</w:t>
      </w:r>
      <w:r>
        <w:rPr>
          <w:color w:val="221F1F"/>
          <w:spacing w:val="-1"/>
        </w:rPr>
        <w:t xml:space="preserve"> </w:t>
      </w:r>
      <w:r>
        <w:rPr>
          <w:color w:val="221F1F"/>
        </w:rPr>
        <w:t>rate</w:t>
      </w:r>
      <w:r>
        <w:rPr>
          <w:color w:val="221F1F"/>
          <w:spacing w:val="-1"/>
        </w:rPr>
        <w:t xml:space="preserve"> </w:t>
      </w:r>
      <w:r>
        <w:rPr>
          <w:color w:val="221F1F"/>
        </w:rPr>
        <w:t>of delay</w:t>
      </w:r>
      <w:r>
        <w:rPr>
          <w:color w:val="221F1F"/>
          <w:spacing w:val="-1"/>
        </w:rPr>
        <w:t xml:space="preserve"> </w:t>
      </w:r>
      <w:r>
        <w:rPr>
          <w:color w:val="221F1F"/>
        </w:rPr>
        <w:t>damages under Sub-Clause 8.7 [Delay Damages] and</w:t>
      </w:r>
      <w:r>
        <w:rPr>
          <w:color w:val="221F1F"/>
          <w:spacing w:val="-1"/>
        </w:rPr>
        <w:t xml:space="preserve"> </w:t>
      </w:r>
      <w:r>
        <w:rPr>
          <w:color w:val="221F1F"/>
        </w:rPr>
        <w:t>shall not affect the</w:t>
      </w:r>
      <w:r>
        <w:rPr>
          <w:color w:val="221F1F"/>
          <w:spacing w:val="-1"/>
        </w:rPr>
        <w:t xml:space="preserve"> </w:t>
      </w:r>
      <w:r>
        <w:rPr>
          <w:color w:val="221F1F"/>
        </w:rPr>
        <w:t>maximum amount of these damages.</w:t>
      </w:r>
    </w:p>
    <w:p w:rsidR="007F6DF9" w:rsidRDefault="007F6DF9">
      <w:pPr>
        <w:pStyle w:val="BodyText"/>
        <w:spacing w:before="152"/>
      </w:pPr>
    </w:p>
    <w:p w:rsidR="007F6DF9" w:rsidRDefault="00A43FBC">
      <w:pPr>
        <w:pStyle w:val="Heading9"/>
        <w:numPr>
          <w:ilvl w:val="1"/>
          <w:numId w:val="122"/>
        </w:numPr>
        <w:tabs>
          <w:tab w:val="left" w:pos="1383"/>
        </w:tabs>
        <w:ind w:left="1383" w:hanging="668"/>
        <w:rPr>
          <w:color w:val="221F1F"/>
        </w:rPr>
      </w:pPr>
      <w:r>
        <w:rPr>
          <w:color w:val="221F1F"/>
        </w:rPr>
        <w:t>Interference</w:t>
      </w:r>
      <w:r>
        <w:rPr>
          <w:color w:val="221F1F"/>
          <w:spacing w:val="-13"/>
        </w:rPr>
        <w:t xml:space="preserve"> </w:t>
      </w:r>
      <w:r>
        <w:rPr>
          <w:color w:val="221F1F"/>
        </w:rPr>
        <w:t>with</w:t>
      </w:r>
      <w:r>
        <w:rPr>
          <w:color w:val="221F1F"/>
          <w:spacing w:val="-8"/>
        </w:rPr>
        <w:t xml:space="preserve"> </w:t>
      </w:r>
      <w:r>
        <w:rPr>
          <w:color w:val="221F1F"/>
        </w:rPr>
        <w:t>Tests</w:t>
      </w:r>
      <w:r>
        <w:rPr>
          <w:color w:val="221F1F"/>
          <w:spacing w:val="-14"/>
        </w:rPr>
        <w:t xml:space="preserve"> </w:t>
      </w:r>
      <w:r>
        <w:rPr>
          <w:color w:val="221F1F"/>
        </w:rPr>
        <w:t>on</w:t>
      </w:r>
      <w:r>
        <w:rPr>
          <w:color w:val="221F1F"/>
          <w:spacing w:val="-10"/>
        </w:rPr>
        <w:t xml:space="preserve"> </w:t>
      </w:r>
      <w:r>
        <w:rPr>
          <w:color w:val="221F1F"/>
          <w:spacing w:val="-2"/>
        </w:rPr>
        <w:t>Completion</w:t>
      </w:r>
    </w:p>
    <w:p w:rsidR="007F6DF9" w:rsidRDefault="00A43FBC">
      <w:pPr>
        <w:pStyle w:val="ListParagraph"/>
        <w:numPr>
          <w:ilvl w:val="2"/>
          <w:numId w:val="122"/>
        </w:numPr>
        <w:tabs>
          <w:tab w:val="left" w:pos="1373"/>
          <w:tab w:val="left" w:pos="1376"/>
        </w:tabs>
        <w:spacing w:before="243" w:line="230" w:lineRule="auto"/>
        <w:ind w:left="1376" w:right="543" w:hanging="661"/>
        <w:jc w:val="both"/>
        <w:rPr>
          <w:color w:val="221F1F"/>
        </w:rPr>
      </w:pPr>
      <w:r>
        <w:rPr>
          <w:color w:val="221F1F"/>
        </w:rPr>
        <w:t>If the Contractor is prevented, for more than 14 days, from carrying out the Tests</w:t>
      </w:r>
      <w:r>
        <w:rPr>
          <w:color w:val="221F1F"/>
          <w:spacing w:val="-6"/>
        </w:rPr>
        <w:t xml:space="preserve"> </w:t>
      </w:r>
      <w:r>
        <w:rPr>
          <w:color w:val="221F1F"/>
        </w:rPr>
        <w:t>on Completion by a cause for which the Procuring Entity is responsible, the Procuring Entity shall be deemed to have taken over the Works</w:t>
      </w:r>
      <w:r>
        <w:rPr>
          <w:color w:val="221F1F"/>
          <w:spacing w:val="-12"/>
        </w:rPr>
        <w:t xml:space="preserve"> </w:t>
      </w:r>
      <w:r>
        <w:rPr>
          <w:color w:val="221F1F"/>
        </w:rPr>
        <w:t>or</w:t>
      </w:r>
      <w:r>
        <w:rPr>
          <w:color w:val="221F1F"/>
          <w:spacing w:val="-3"/>
        </w:rPr>
        <w:t xml:space="preserve"> </w:t>
      </w:r>
      <w:r>
        <w:rPr>
          <w:color w:val="221F1F"/>
        </w:rPr>
        <w:t>Section</w:t>
      </w:r>
      <w:r>
        <w:rPr>
          <w:color w:val="221F1F"/>
          <w:spacing w:val="-3"/>
        </w:rPr>
        <w:t xml:space="preserve"> </w:t>
      </w:r>
      <w:r>
        <w:rPr>
          <w:color w:val="221F1F"/>
        </w:rPr>
        <w:t>(as</w:t>
      </w:r>
      <w:r>
        <w:rPr>
          <w:color w:val="221F1F"/>
          <w:spacing w:val="-3"/>
        </w:rPr>
        <w:t xml:space="preserve"> </w:t>
      </w:r>
      <w:r>
        <w:rPr>
          <w:color w:val="221F1F"/>
        </w:rPr>
        <w:t>the</w:t>
      </w:r>
      <w:r>
        <w:rPr>
          <w:color w:val="221F1F"/>
          <w:spacing w:val="-2"/>
        </w:rPr>
        <w:t xml:space="preserve"> </w:t>
      </w:r>
      <w:r>
        <w:rPr>
          <w:color w:val="221F1F"/>
        </w:rPr>
        <w:t>case</w:t>
      </w:r>
      <w:r>
        <w:rPr>
          <w:color w:val="221F1F"/>
          <w:spacing w:val="-2"/>
        </w:rPr>
        <w:t xml:space="preserve"> </w:t>
      </w:r>
      <w:r>
        <w:rPr>
          <w:color w:val="221F1F"/>
        </w:rPr>
        <w:t>may</w:t>
      </w:r>
      <w:r>
        <w:rPr>
          <w:color w:val="221F1F"/>
          <w:spacing w:val="-3"/>
        </w:rPr>
        <w:t xml:space="preserve"> </w:t>
      </w:r>
      <w:r>
        <w:rPr>
          <w:color w:val="221F1F"/>
        </w:rPr>
        <w:t>be)</w:t>
      </w:r>
      <w:r>
        <w:rPr>
          <w:color w:val="221F1F"/>
          <w:spacing w:val="-2"/>
        </w:rPr>
        <w:t xml:space="preserve"> </w:t>
      </w:r>
      <w:r>
        <w:rPr>
          <w:color w:val="221F1F"/>
        </w:rPr>
        <w:t>on</w:t>
      </w:r>
      <w:r>
        <w:rPr>
          <w:color w:val="221F1F"/>
          <w:spacing w:val="-3"/>
        </w:rPr>
        <w:t xml:space="preserve"> </w:t>
      </w:r>
      <w:r>
        <w:rPr>
          <w:color w:val="221F1F"/>
        </w:rPr>
        <w:t>the</w:t>
      </w:r>
      <w:r>
        <w:rPr>
          <w:color w:val="221F1F"/>
          <w:spacing w:val="-3"/>
        </w:rPr>
        <w:t xml:space="preserve"> </w:t>
      </w:r>
      <w:r>
        <w:rPr>
          <w:color w:val="221F1F"/>
        </w:rPr>
        <w:t>date</w:t>
      </w:r>
      <w:r>
        <w:rPr>
          <w:color w:val="221F1F"/>
          <w:spacing w:val="-3"/>
        </w:rPr>
        <w:t xml:space="preserve"> </w:t>
      </w:r>
      <w:r>
        <w:rPr>
          <w:color w:val="221F1F"/>
        </w:rPr>
        <w:t>when</w:t>
      </w:r>
      <w:r>
        <w:rPr>
          <w:color w:val="221F1F"/>
          <w:spacing w:val="-3"/>
        </w:rPr>
        <w:t xml:space="preserve"> </w:t>
      </w:r>
      <w:r>
        <w:rPr>
          <w:color w:val="221F1F"/>
        </w:rPr>
        <w:t>the</w:t>
      </w:r>
      <w:r>
        <w:rPr>
          <w:color w:val="221F1F"/>
          <w:spacing w:val="-3"/>
        </w:rPr>
        <w:t xml:space="preserve"> </w:t>
      </w:r>
      <w:r>
        <w:rPr>
          <w:color w:val="221F1F"/>
        </w:rPr>
        <w:t>Tests</w:t>
      </w:r>
      <w:r>
        <w:rPr>
          <w:color w:val="221F1F"/>
          <w:spacing w:val="-12"/>
        </w:rPr>
        <w:t xml:space="preserve"> </w:t>
      </w:r>
      <w:r>
        <w:rPr>
          <w:color w:val="221F1F"/>
        </w:rPr>
        <w:t>on</w:t>
      </w:r>
      <w:r>
        <w:rPr>
          <w:color w:val="221F1F"/>
          <w:spacing w:val="-3"/>
        </w:rPr>
        <w:t xml:space="preserve"> </w:t>
      </w:r>
      <w:r>
        <w:rPr>
          <w:color w:val="221F1F"/>
        </w:rPr>
        <w:t>Completion</w:t>
      </w:r>
      <w:r>
        <w:rPr>
          <w:color w:val="221F1F"/>
          <w:spacing w:val="-5"/>
        </w:rPr>
        <w:t xml:space="preserve"> </w:t>
      </w:r>
      <w:r>
        <w:rPr>
          <w:color w:val="221F1F"/>
        </w:rPr>
        <w:t>would</w:t>
      </w:r>
      <w:r>
        <w:rPr>
          <w:color w:val="221F1F"/>
          <w:spacing w:val="-2"/>
        </w:rPr>
        <w:t xml:space="preserve"> </w:t>
      </w:r>
      <w:r>
        <w:rPr>
          <w:color w:val="221F1F"/>
        </w:rPr>
        <w:t>otherwise</w:t>
      </w:r>
      <w:r>
        <w:rPr>
          <w:color w:val="221F1F"/>
          <w:spacing w:val="-2"/>
        </w:rPr>
        <w:t xml:space="preserve"> </w:t>
      </w:r>
      <w:r>
        <w:rPr>
          <w:color w:val="221F1F"/>
        </w:rPr>
        <w:t>have</w:t>
      </w:r>
      <w:r>
        <w:rPr>
          <w:color w:val="221F1F"/>
          <w:spacing w:val="-2"/>
        </w:rPr>
        <w:t xml:space="preserve"> </w:t>
      </w:r>
      <w:r>
        <w:rPr>
          <w:color w:val="221F1F"/>
        </w:rPr>
        <w:t xml:space="preserve">been </w:t>
      </w:r>
      <w:r>
        <w:rPr>
          <w:color w:val="221F1F"/>
          <w:spacing w:val="-2"/>
        </w:rPr>
        <w:t>completed.</w:t>
      </w:r>
    </w:p>
    <w:p w:rsidR="007F6DF9" w:rsidRDefault="00A43FBC">
      <w:pPr>
        <w:pStyle w:val="ListParagraph"/>
        <w:numPr>
          <w:ilvl w:val="2"/>
          <w:numId w:val="122"/>
        </w:numPr>
        <w:tabs>
          <w:tab w:val="left" w:pos="1373"/>
          <w:tab w:val="left" w:pos="1376"/>
        </w:tabs>
        <w:spacing w:before="246" w:line="230" w:lineRule="auto"/>
        <w:ind w:left="1376" w:right="543" w:hanging="661"/>
        <w:jc w:val="both"/>
        <w:rPr>
          <w:color w:val="221F1F"/>
        </w:rPr>
      </w:pPr>
      <w:r>
        <w:rPr>
          <w:color w:val="221F1F"/>
        </w:rPr>
        <w:t>The Architect shall then issue a Taking-Over Certificate accordingly, and the Contractor shall carry out the Tests on Completion as soon as practicable, before the expiry date of the Defects Notification Period. The Architect</w:t>
      </w:r>
      <w:r>
        <w:rPr>
          <w:color w:val="221F1F"/>
          <w:spacing w:val="-1"/>
        </w:rPr>
        <w:t xml:space="preserve"> </w:t>
      </w:r>
      <w:r>
        <w:rPr>
          <w:color w:val="221F1F"/>
        </w:rPr>
        <w:t>shall</w:t>
      </w:r>
      <w:r>
        <w:rPr>
          <w:color w:val="221F1F"/>
          <w:spacing w:val="-1"/>
        </w:rPr>
        <w:t xml:space="preserve"> </w:t>
      </w:r>
      <w:r>
        <w:rPr>
          <w:color w:val="221F1F"/>
        </w:rPr>
        <w:t>require</w:t>
      </w:r>
      <w:r>
        <w:rPr>
          <w:color w:val="221F1F"/>
          <w:spacing w:val="-2"/>
        </w:rPr>
        <w:t xml:space="preserve"> </w:t>
      </w:r>
      <w:r>
        <w:rPr>
          <w:color w:val="221F1F"/>
        </w:rPr>
        <w:t>the</w:t>
      </w:r>
      <w:r>
        <w:rPr>
          <w:color w:val="221F1F"/>
          <w:spacing w:val="-2"/>
        </w:rPr>
        <w:t xml:space="preserve"> </w:t>
      </w:r>
      <w:r>
        <w:rPr>
          <w:color w:val="221F1F"/>
        </w:rPr>
        <w:t>Tests</w:t>
      </w:r>
      <w:r>
        <w:rPr>
          <w:color w:val="221F1F"/>
          <w:spacing w:val="-11"/>
        </w:rPr>
        <w:t xml:space="preserve"> </w:t>
      </w:r>
      <w:r>
        <w:rPr>
          <w:color w:val="221F1F"/>
        </w:rPr>
        <w:t>on</w:t>
      </w:r>
      <w:r>
        <w:rPr>
          <w:color w:val="221F1F"/>
          <w:spacing w:val="-2"/>
        </w:rPr>
        <w:t xml:space="preserve"> </w:t>
      </w:r>
      <w:r>
        <w:rPr>
          <w:color w:val="221F1F"/>
        </w:rPr>
        <w:t>Completion</w:t>
      </w:r>
      <w:r>
        <w:rPr>
          <w:color w:val="221F1F"/>
          <w:spacing w:val="-5"/>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carried</w:t>
      </w:r>
      <w:r>
        <w:rPr>
          <w:color w:val="221F1F"/>
          <w:spacing w:val="-2"/>
        </w:rPr>
        <w:t xml:space="preserve"> </w:t>
      </w:r>
      <w:r>
        <w:rPr>
          <w:color w:val="221F1F"/>
        </w:rPr>
        <w:t>out</w:t>
      </w:r>
      <w:r>
        <w:rPr>
          <w:color w:val="221F1F"/>
          <w:spacing w:val="-1"/>
        </w:rPr>
        <w:t xml:space="preserve"> </w:t>
      </w:r>
      <w:r>
        <w:rPr>
          <w:color w:val="221F1F"/>
        </w:rPr>
        <w:t>by</w:t>
      </w:r>
      <w:r>
        <w:rPr>
          <w:color w:val="221F1F"/>
          <w:spacing w:val="-2"/>
        </w:rPr>
        <w:t xml:space="preserve"> </w:t>
      </w:r>
      <w:r>
        <w:rPr>
          <w:color w:val="221F1F"/>
        </w:rPr>
        <w:t>giving</w:t>
      </w:r>
      <w:r>
        <w:rPr>
          <w:color w:val="221F1F"/>
          <w:spacing w:val="-2"/>
        </w:rPr>
        <w:t xml:space="preserve"> </w:t>
      </w:r>
      <w:r>
        <w:rPr>
          <w:color w:val="221F1F"/>
        </w:rPr>
        <w:t>14</w:t>
      </w:r>
      <w:r>
        <w:rPr>
          <w:color w:val="221F1F"/>
          <w:spacing w:val="-2"/>
        </w:rPr>
        <w:t xml:space="preserve"> </w:t>
      </w:r>
      <w:r>
        <w:rPr>
          <w:color w:val="221F1F"/>
        </w:rPr>
        <w:t>days'</w:t>
      </w:r>
      <w:r>
        <w:rPr>
          <w:color w:val="221F1F"/>
          <w:spacing w:val="-3"/>
        </w:rPr>
        <w:t xml:space="preserve"> </w:t>
      </w:r>
      <w:r>
        <w:rPr>
          <w:color w:val="221F1F"/>
        </w:rPr>
        <w:t>notice</w:t>
      </w:r>
      <w:r>
        <w:rPr>
          <w:color w:val="221F1F"/>
          <w:spacing w:val="-2"/>
        </w:rPr>
        <w:t xml:space="preserve"> </w:t>
      </w:r>
      <w:r>
        <w:rPr>
          <w:color w:val="221F1F"/>
        </w:rPr>
        <w:t>and</w:t>
      </w:r>
      <w:r>
        <w:rPr>
          <w:color w:val="221F1F"/>
          <w:spacing w:val="-2"/>
        </w:rPr>
        <w:t xml:space="preserve"> </w:t>
      </w:r>
      <w:r>
        <w:rPr>
          <w:color w:val="221F1F"/>
        </w:rPr>
        <w:t>in</w:t>
      </w:r>
      <w:r>
        <w:rPr>
          <w:color w:val="221F1F"/>
          <w:spacing w:val="-2"/>
        </w:rPr>
        <w:t xml:space="preserve"> </w:t>
      </w:r>
      <w:r>
        <w:rPr>
          <w:color w:val="221F1F"/>
        </w:rPr>
        <w:t>accordance with the relevant provisions of the Contract.</w:t>
      </w:r>
    </w:p>
    <w:p w:rsidR="007F6DF9" w:rsidRDefault="007F6DF9">
      <w:pPr>
        <w:pStyle w:val="BodyText"/>
        <w:spacing w:before="4"/>
      </w:pPr>
    </w:p>
    <w:p w:rsidR="007F6DF9" w:rsidRDefault="00A43FBC">
      <w:pPr>
        <w:pStyle w:val="ListParagraph"/>
        <w:numPr>
          <w:ilvl w:val="2"/>
          <w:numId w:val="122"/>
        </w:numPr>
        <w:tabs>
          <w:tab w:val="left" w:pos="1366"/>
          <w:tab w:val="left" w:pos="1369"/>
        </w:tabs>
        <w:spacing w:line="230" w:lineRule="auto"/>
        <w:ind w:left="1369" w:right="554" w:hanging="661"/>
        <w:jc w:val="both"/>
        <w:rPr>
          <w:color w:val="221F1F"/>
        </w:rPr>
      </w:pPr>
      <w:r>
        <w:rPr>
          <w:color w:val="221F1F"/>
        </w:rPr>
        <w:t>If the Contractor suffers delay and/or incurs Cost as a result of this delay in carrying out the Tests on Completion,</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give</w:t>
      </w:r>
      <w:r>
        <w:rPr>
          <w:color w:val="221F1F"/>
          <w:spacing w:val="-1"/>
        </w:rPr>
        <w:t xml:space="preserve"> </w:t>
      </w:r>
      <w:r>
        <w:rPr>
          <w:color w:val="221F1F"/>
        </w:rPr>
        <w:t>notice</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Architect</w:t>
      </w:r>
      <w:r>
        <w:rPr>
          <w:color w:val="221F1F"/>
          <w:spacing w:val="-3"/>
        </w:rPr>
        <w:t xml:space="preserve"> </w:t>
      </w:r>
      <w:r>
        <w:rPr>
          <w:color w:val="221F1F"/>
        </w:rPr>
        <w:t>and</w:t>
      </w:r>
      <w:r>
        <w:rPr>
          <w:color w:val="221F1F"/>
          <w:spacing w:val="-3"/>
        </w:rPr>
        <w:t xml:space="preserve"> </w:t>
      </w:r>
      <w:r>
        <w:rPr>
          <w:color w:val="221F1F"/>
        </w:rPr>
        <w:t>shall be</w:t>
      </w:r>
      <w:r>
        <w:rPr>
          <w:color w:val="221F1F"/>
          <w:spacing w:val="-3"/>
        </w:rPr>
        <w:t xml:space="preserve"> </w:t>
      </w:r>
      <w:r>
        <w:rPr>
          <w:color w:val="221F1F"/>
        </w:rPr>
        <w:t>entitled</w:t>
      </w:r>
      <w:r>
        <w:rPr>
          <w:color w:val="221F1F"/>
          <w:spacing w:val="-3"/>
        </w:rPr>
        <w:t xml:space="preserve"> </w:t>
      </w:r>
      <w:r>
        <w:rPr>
          <w:color w:val="221F1F"/>
        </w:rPr>
        <w:t>subject</w:t>
      </w:r>
      <w:r>
        <w:rPr>
          <w:color w:val="221F1F"/>
          <w:spacing w:val="-3"/>
        </w:rPr>
        <w:t xml:space="preserve"> </w:t>
      </w:r>
      <w:r>
        <w:rPr>
          <w:color w:val="221F1F"/>
        </w:rPr>
        <w:t>to</w:t>
      </w:r>
      <w:r>
        <w:rPr>
          <w:color w:val="221F1F"/>
          <w:spacing w:val="-1"/>
        </w:rPr>
        <w:t xml:space="preserve"> </w:t>
      </w:r>
      <w:r>
        <w:rPr>
          <w:color w:val="221F1F"/>
        </w:rPr>
        <w:t>Sub-Clause</w:t>
      </w:r>
      <w:r>
        <w:rPr>
          <w:color w:val="221F1F"/>
          <w:spacing w:val="-1"/>
        </w:rPr>
        <w:t xml:space="preserve"> </w:t>
      </w:r>
      <w:r>
        <w:rPr>
          <w:color w:val="221F1F"/>
        </w:rPr>
        <w:t>20.1 [Contractor's Claims] to:</w:t>
      </w:r>
    </w:p>
    <w:p w:rsidR="007F6DF9" w:rsidRDefault="00A43FBC">
      <w:pPr>
        <w:pStyle w:val="ListParagraph"/>
        <w:numPr>
          <w:ilvl w:val="0"/>
          <w:numId w:val="58"/>
        </w:numPr>
        <w:tabs>
          <w:tab w:val="left" w:pos="1868"/>
          <w:tab w:val="left" w:pos="1877"/>
        </w:tabs>
        <w:spacing w:before="50" w:line="230" w:lineRule="auto"/>
        <w:ind w:right="1028" w:hanging="502"/>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58"/>
        </w:numPr>
        <w:tabs>
          <w:tab w:val="left" w:pos="1869"/>
        </w:tabs>
        <w:spacing w:before="41"/>
        <w:ind w:left="1869" w:hanging="493"/>
        <w:jc w:val="both"/>
      </w:pPr>
      <w:r>
        <w:rPr>
          <w:color w:val="221F1F"/>
        </w:rPr>
        <w:t>payment</w:t>
      </w:r>
      <w:r>
        <w:rPr>
          <w:color w:val="221F1F"/>
          <w:spacing w:val="-5"/>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such</w:t>
      </w:r>
      <w:r>
        <w:rPr>
          <w:color w:val="221F1F"/>
          <w:spacing w:val="-2"/>
        </w:rPr>
        <w:t xml:space="preserve"> </w:t>
      </w:r>
      <w:r>
        <w:rPr>
          <w:color w:val="221F1F"/>
        </w:rPr>
        <w:t>accrued</w:t>
      </w:r>
      <w:r>
        <w:rPr>
          <w:color w:val="221F1F"/>
          <w:spacing w:val="-4"/>
        </w:rPr>
        <w:t xml:space="preserve"> </w:t>
      </w:r>
      <w:r>
        <w:rPr>
          <w:color w:val="221F1F"/>
        </w:rPr>
        <w:t>costs,</w:t>
      </w:r>
      <w:r>
        <w:rPr>
          <w:color w:val="221F1F"/>
          <w:spacing w:val="-3"/>
        </w:rPr>
        <w:t xml:space="preserve"> </w:t>
      </w:r>
      <w:r>
        <w:rPr>
          <w:color w:val="221F1F"/>
        </w:rPr>
        <w:t>which</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2"/>
        </w:rPr>
        <w:t xml:space="preserve"> Price.</w:t>
      </w:r>
    </w:p>
    <w:p w:rsidR="007F6DF9" w:rsidRDefault="007F6DF9">
      <w:pPr>
        <w:pStyle w:val="BodyText"/>
        <w:spacing w:before="88"/>
      </w:pPr>
    </w:p>
    <w:p w:rsidR="007F6DF9" w:rsidRDefault="00A43FBC">
      <w:pPr>
        <w:pStyle w:val="ListParagraph"/>
        <w:numPr>
          <w:ilvl w:val="2"/>
          <w:numId w:val="122"/>
        </w:numPr>
        <w:tabs>
          <w:tab w:val="left" w:pos="1373"/>
          <w:tab w:val="left" w:pos="1383"/>
        </w:tabs>
        <w:spacing w:line="230" w:lineRule="auto"/>
        <w:ind w:left="1383" w:right="564" w:hanging="675"/>
        <w:jc w:val="both"/>
        <w:rPr>
          <w:color w:val="221F1F"/>
        </w:rPr>
      </w:pPr>
      <w:r>
        <w:rPr>
          <w:color w:val="221F1F"/>
        </w:rPr>
        <w:t>After receiving this notice, the Architect shall proceed in accordance with Sub-Clause 3.5 [Determinations] to agree or determine these matters.</w:t>
      </w:r>
    </w:p>
    <w:p w:rsidR="007F6DF9" w:rsidRDefault="00A43FBC">
      <w:pPr>
        <w:pStyle w:val="Heading9"/>
        <w:numPr>
          <w:ilvl w:val="1"/>
          <w:numId w:val="122"/>
        </w:numPr>
        <w:tabs>
          <w:tab w:val="left" w:pos="1376"/>
        </w:tabs>
        <w:spacing w:before="235"/>
        <w:ind w:left="1376" w:hanging="668"/>
        <w:rPr>
          <w:color w:val="221F1F"/>
        </w:rPr>
      </w:pPr>
      <w:r>
        <w:rPr>
          <w:color w:val="221F1F"/>
        </w:rPr>
        <w:t>Surfaces</w:t>
      </w:r>
      <w:r>
        <w:rPr>
          <w:color w:val="221F1F"/>
          <w:spacing w:val="-4"/>
        </w:rPr>
        <w:t xml:space="preserve"> </w:t>
      </w:r>
      <w:r>
        <w:rPr>
          <w:color w:val="221F1F"/>
        </w:rPr>
        <w:t>Requiring</w:t>
      </w:r>
      <w:r>
        <w:rPr>
          <w:color w:val="221F1F"/>
          <w:spacing w:val="-4"/>
        </w:rPr>
        <w:t xml:space="preserve"> </w:t>
      </w:r>
      <w:r>
        <w:rPr>
          <w:color w:val="221F1F"/>
          <w:spacing w:val="-2"/>
        </w:rPr>
        <w:t>Reinstatement</w:t>
      </w:r>
    </w:p>
    <w:p w:rsidR="007F6DF9" w:rsidRDefault="00A43FBC">
      <w:pPr>
        <w:pStyle w:val="BodyText"/>
        <w:spacing w:before="241" w:line="232" w:lineRule="auto"/>
        <w:ind w:left="1369" w:right="575" w:firstLine="7"/>
      </w:pPr>
      <w:r>
        <w:rPr>
          <w:color w:val="221F1F"/>
        </w:rPr>
        <w:t>Except</w:t>
      </w:r>
      <w:r>
        <w:rPr>
          <w:color w:val="221F1F"/>
          <w:spacing w:val="-5"/>
        </w:rPr>
        <w:t xml:space="preserve"> </w:t>
      </w:r>
      <w:r>
        <w:rPr>
          <w:color w:val="221F1F"/>
        </w:rPr>
        <w:t>as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5"/>
        </w:rPr>
        <w:t xml:space="preserve"> </w:t>
      </w:r>
      <w:r>
        <w:rPr>
          <w:color w:val="221F1F"/>
        </w:rPr>
        <w:t>in</w:t>
      </w:r>
      <w:r>
        <w:rPr>
          <w:color w:val="221F1F"/>
          <w:spacing w:val="-4"/>
        </w:rPr>
        <w:t xml:space="preserve"> </w:t>
      </w:r>
      <w:r>
        <w:rPr>
          <w:color w:val="221F1F"/>
        </w:rPr>
        <w:t>a</w:t>
      </w:r>
      <w:r>
        <w:rPr>
          <w:color w:val="221F1F"/>
          <w:spacing w:val="-4"/>
        </w:rPr>
        <w:t xml:space="preserve"> </w:t>
      </w:r>
      <w:r>
        <w:rPr>
          <w:color w:val="221F1F"/>
        </w:rPr>
        <w:t>Taking-Over</w:t>
      </w:r>
      <w:r>
        <w:rPr>
          <w:color w:val="221F1F"/>
          <w:spacing w:val="-3"/>
        </w:rPr>
        <w:t xml:space="preserve"> </w:t>
      </w:r>
      <w:r>
        <w:rPr>
          <w:color w:val="221F1F"/>
        </w:rPr>
        <w:t>Certificate,</w:t>
      </w:r>
      <w:r>
        <w:rPr>
          <w:color w:val="221F1F"/>
          <w:spacing w:val="-3"/>
        </w:rPr>
        <w:t xml:space="preserve"> </w:t>
      </w:r>
      <w:r>
        <w:rPr>
          <w:color w:val="221F1F"/>
        </w:rPr>
        <w:t>a</w:t>
      </w:r>
      <w:r>
        <w:rPr>
          <w:color w:val="221F1F"/>
          <w:spacing w:val="-4"/>
        </w:rPr>
        <w:t xml:space="preserve"> </w:t>
      </w:r>
      <w:r>
        <w:rPr>
          <w:color w:val="221F1F"/>
        </w:rPr>
        <w:t>certificate</w:t>
      </w:r>
      <w:r>
        <w:rPr>
          <w:color w:val="221F1F"/>
          <w:spacing w:val="-6"/>
        </w:rPr>
        <w:t xml:space="preserve"> </w:t>
      </w:r>
      <w:r>
        <w:rPr>
          <w:color w:val="221F1F"/>
        </w:rPr>
        <w:t>for</w:t>
      </w:r>
      <w:r>
        <w:rPr>
          <w:color w:val="221F1F"/>
          <w:spacing w:val="-6"/>
        </w:rPr>
        <w:t xml:space="preserve"> </w:t>
      </w:r>
      <w:r>
        <w:rPr>
          <w:color w:val="221F1F"/>
        </w:rPr>
        <w:t>a</w:t>
      </w:r>
      <w:r>
        <w:rPr>
          <w:color w:val="221F1F"/>
          <w:spacing w:val="-4"/>
        </w:rPr>
        <w:t xml:space="preserve"> </w:t>
      </w:r>
      <w:r>
        <w:rPr>
          <w:color w:val="221F1F"/>
        </w:rPr>
        <w:t>Section</w:t>
      </w:r>
      <w:r>
        <w:rPr>
          <w:color w:val="221F1F"/>
          <w:spacing w:val="-7"/>
        </w:rPr>
        <w:t xml:space="preserve"> </w:t>
      </w:r>
      <w:r>
        <w:rPr>
          <w:color w:val="221F1F"/>
        </w:rPr>
        <w:t>or</w:t>
      </w:r>
      <w:r>
        <w:rPr>
          <w:color w:val="221F1F"/>
          <w:spacing w:val="-3"/>
        </w:rPr>
        <w:t xml:space="preserve"> </w:t>
      </w:r>
      <w:r>
        <w:rPr>
          <w:color w:val="221F1F"/>
        </w:rPr>
        <w:t>part</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shall not be deemed to certify completion of any ground or other surfaces requiring reinstatement.</w:t>
      </w:r>
    </w:p>
    <w:p w:rsidR="007F6DF9" w:rsidRDefault="00A43FBC">
      <w:pPr>
        <w:pStyle w:val="Heading8"/>
        <w:numPr>
          <w:ilvl w:val="0"/>
          <w:numId w:val="122"/>
        </w:numPr>
        <w:tabs>
          <w:tab w:val="left" w:pos="1376"/>
        </w:tabs>
        <w:spacing w:before="235"/>
        <w:ind w:left="1376" w:hanging="668"/>
      </w:pPr>
      <w:bookmarkStart w:id="63" w:name="_bookmark61"/>
      <w:bookmarkEnd w:id="63"/>
      <w:r>
        <w:rPr>
          <w:color w:val="221F1F"/>
        </w:rPr>
        <w:t>DEFECTS</w:t>
      </w:r>
      <w:r>
        <w:rPr>
          <w:color w:val="221F1F"/>
          <w:spacing w:val="-9"/>
        </w:rPr>
        <w:t xml:space="preserve"> </w:t>
      </w:r>
      <w:r>
        <w:rPr>
          <w:color w:val="221F1F"/>
          <w:spacing w:val="-2"/>
        </w:rPr>
        <w:t>LIABILITY</w:t>
      </w:r>
    </w:p>
    <w:p w:rsidR="007F6DF9" w:rsidRDefault="00A43FBC">
      <w:pPr>
        <w:pStyle w:val="Heading9"/>
        <w:numPr>
          <w:ilvl w:val="1"/>
          <w:numId w:val="122"/>
        </w:numPr>
        <w:tabs>
          <w:tab w:val="left" w:pos="1376"/>
        </w:tabs>
        <w:spacing w:before="234"/>
        <w:ind w:left="1376" w:hanging="668"/>
        <w:rPr>
          <w:color w:val="221F1F"/>
        </w:rPr>
      </w:pPr>
      <w:r>
        <w:rPr>
          <w:color w:val="221F1F"/>
        </w:rPr>
        <w:t>Completion</w:t>
      </w:r>
      <w:r>
        <w:rPr>
          <w:color w:val="221F1F"/>
          <w:spacing w:val="-7"/>
        </w:rPr>
        <w:t xml:space="preserve"> </w:t>
      </w:r>
      <w:r>
        <w:rPr>
          <w:color w:val="221F1F"/>
        </w:rPr>
        <w:t>of</w:t>
      </w:r>
      <w:r>
        <w:rPr>
          <w:color w:val="221F1F"/>
          <w:spacing w:val="-8"/>
        </w:rPr>
        <w:t xml:space="preserve"> </w:t>
      </w:r>
      <w:r>
        <w:rPr>
          <w:color w:val="221F1F"/>
        </w:rPr>
        <w:t>Outstanding</w:t>
      </w:r>
      <w:r>
        <w:rPr>
          <w:color w:val="221F1F"/>
          <w:spacing w:val="-6"/>
        </w:rPr>
        <w:t xml:space="preserve"> </w:t>
      </w:r>
      <w:r>
        <w:rPr>
          <w:color w:val="221F1F"/>
        </w:rPr>
        <w:t>Work</w:t>
      </w:r>
      <w:r>
        <w:rPr>
          <w:color w:val="221F1F"/>
          <w:spacing w:val="-13"/>
        </w:rPr>
        <w:t xml:space="preserve"> </w:t>
      </w:r>
      <w:r>
        <w:rPr>
          <w:color w:val="221F1F"/>
        </w:rPr>
        <w:t>and</w:t>
      </w:r>
      <w:r>
        <w:rPr>
          <w:color w:val="221F1F"/>
          <w:spacing w:val="-7"/>
        </w:rPr>
        <w:t xml:space="preserve"> </w:t>
      </w:r>
      <w:r>
        <w:rPr>
          <w:color w:val="221F1F"/>
        </w:rPr>
        <w:t>Remedying</w:t>
      </w:r>
      <w:r>
        <w:rPr>
          <w:color w:val="221F1F"/>
          <w:spacing w:val="-7"/>
        </w:rPr>
        <w:t xml:space="preserve"> </w:t>
      </w:r>
      <w:r>
        <w:rPr>
          <w:color w:val="221F1F"/>
          <w:spacing w:val="-2"/>
        </w:rPr>
        <w:t>Defects</w:t>
      </w:r>
    </w:p>
    <w:p w:rsidR="007F6DF9" w:rsidRDefault="00A43FBC">
      <w:pPr>
        <w:pStyle w:val="ListParagraph"/>
        <w:numPr>
          <w:ilvl w:val="2"/>
          <w:numId w:val="122"/>
        </w:numPr>
        <w:tabs>
          <w:tab w:val="left" w:pos="1366"/>
          <w:tab w:val="left" w:pos="1369"/>
        </w:tabs>
        <w:spacing w:before="240" w:line="230" w:lineRule="auto"/>
        <w:ind w:left="1369" w:right="562" w:hanging="661"/>
        <w:jc w:val="both"/>
        <w:rPr>
          <w:color w:val="221F1F"/>
        </w:rPr>
      </w:pPr>
      <w:r>
        <w:rPr>
          <w:color w:val="221F1F"/>
        </w:rPr>
        <w:t>In order that the Works</w:t>
      </w:r>
      <w:r>
        <w:rPr>
          <w:color w:val="221F1F"/>
          <w:spacing w:val="-6"/>
        </w:rPr>
        <w:t xml:space="preserve"> </w:t>
      </w:r>
      <w:r>
        <w:rPr>
          <w:color w:val="221F1F"/>
        </w:rPr>
        <w:t>and Contractor's Documents, and each Section, shall be in the condition required by the Contract (</w:t>
      </w:r>
      <w:proofErr w:type="spellStart"/>
      <w:r>
        <w:rPr>
          <w:color w:val="221F1F"/>
        </w:rPr>
        <w:t>fairwear</w:t>
      </w:r>
      <w:proofErr w:type="spellEnd"/>
      <w:r>
        <w:rPr>
          <w:color w:val="221F1F"/>
        </w:rPr>
        <w:t xml:space="preserve"> and</w:t>
      </w:r>
      <w:r>
        <w:rPr>
          <w:color w:val="221F1F"/>
          <w:spacing w:val="-1"/>
        </w:rPr>
        <w:t xml:space="preserve"> </w:t>
      </w:r>
      <w:r>
        <w:rPr>
          <w:color w:val="221F1F"/>
        </w:rPr>
        <w:t>tear</w:t>
      </w:r>
      <w:r>
        <w:rPr>
          <w:color w:val="221F1F"/>
          <w:spacing w:val="-1"/>
        </w:rPr>
        <w:t xml:space="preserve"> </w:t>
      </w:r>
      <w:r>
        <w:rPr>
          <w:color w:val="221F1F"/>
        </w:rPr>
        <w:t>excepted) by</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date</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relevant Defects Notification</w:t>
      </w:r>
      <w:r>
        <w:rPr>
          <w:color w:val="221F1F"/>
          <w:spacing w:val="-2"/>
        </w:rPr>
        <w:t xml:space="preserve"> </w:t>
      </w:r>
      <w:r>
        <w:rPr>
          <w:color w:val="221F1F"/>
        </w:rPr>
        <w:t xml:space="preserve">Period or as soon as practicable </w:t>
      </w:r>
      <w:proofErr w:type="spellStart"/>
      <w:r>
        <w:rPr>
          <w:color w:val="221F1F"/>
        </w:rPr>
        <w:t>there after</w:t>
      </w:r>
      <w:proofErr w:type="spellEnd"/>
      <w:r>
        <w:rPr>
          <w:color w:val="221F1F"/>
        </w:rPr>
        <w:t>, the Contractor shall:</w:t>
      </w:r>
    </w:p>
    <w:p w:rsidR="007F6DF9" w:rsidRDefault="00A43FBC">
      <w:pPr>
        <w:pStyle w:val="ListParagraph"/>
        <w:numPr>
          <w:ilvl w:val="0"/>
          <w:numId w:val="62"/>
        </w:numPr>
        <w:tabs>
          <w:tab w:val="left" w:pos="1869"/>
          <w:tab w:val="left" w:pos="1873"/>
        </w:tabs>
        <w:spacing w:before="52" w:line="230" w:lineRule="auto"/>
        <w:ind w:right="787" w:hanging="497"/>
        <w:jc w:val="both"/>
      </w:pPr>
      <w:r>
        <w:rPr>
          <w:color w:val="221F1F"/>
        </w:rPr>
        <w:t>complete</w:t>
      </w:r>
      <w:r>
        <w:rPr>
          <w:color w:val="221F1F"/>
          <w:spacing w:val="-2"/>
        </w:rPr>
        <w:t xml:space="preserve"> </w:t>
      </w:r>
      <w:r>
        <w:rPr>
          <w:color w:val="221F1F"/>
        </w:rPr>
        <w:t>any</w:t>
      </w:r>
      <w:r>
        <w:rPr>
          <w:color w:val="221F1F"/>
          <w:spacing w:val="-2"/>
        </w:rPr>
        <w:t xml:space="preserve"> </w:t>
      </w:r>
      <w:r>
        <w:rPr>
          <w:color w:val="221F1F"/>
        </w:rPr>
        <w:t>work</w:t>
      </w:r>
      <w:r>
        <w:rPr>
          <w:color w:val="221F1F"/>
          <w:spacing w:val="-2"/>
        </w:rPr>
        <w:t xml:space="preserve"> </w:t>
      </w:r>
      <w:r>
        <w:rPr>
          <w:color w:val="221F1F"/>
        </w:rPr>
        <w:t>which</w:t>
      </w:r>
      <w:r>
        <w:rPr>
          <w:color w:val="221F1F"/>
          <w:spacing w:val="-4"/>
        </w:rPr>
        <w:t xml:space="preserve"> </w:t>
      </w:r>
      <w:r>
        <w:rPr>
          <w:color w:val="221F1F"/>
        </w:rPr>
        <w:t>is</w:t>
      </w:r>
      <w:r>
        <w:rPr>
          <w:color w:val="221F1F"/>
          <w:spacing w:val="-2"/>
        </w:rPr>
        <w:t xml:space="preserve"> </w:t>
      </w:r>
      <w:r>
        <w:rPr>
          <w:color w:val="221F1F"/>
        </w:rPr>
        <w:t>outstanding</w:t>
      </w:r>
      <w:r>
        <w:rPr>
          <w:color w:val="221F1F"/>
          <w:spacing w:val="-2"/>
        </w:rPr>
        <w:t xml:space="preserve"> </w:t>
      </w:r>
      <w:r>
        <w:rPr>
          <w:color w:val="221F1F"/>
        </w:rPr>
        <w:t>on</w:t>
      </w:r>
      <w:r>
        <w:rPr>
          <w:color w:val="221F1F"/>
          <w:spacing w:val="-5"/>
        </w:rPr>
        <w:t xml:space="preserve"> </w:t>
      </w:r>
      <w:r>
        <w:rPr>
          <w:color w:val="221F1F"/>
        </w:rPr>
        <w:t>the</w:t>
      </w:r>
      <w:r>
        <w:rPr>
          <w:color w:val="221F1F"/>
          <w:spacing w:val="-2"/>
        </w:rPr>
        <w:t xml:space="preserve"> </w:t>
      </w:r>
      <w:r>
        <w:rPr>
          <w:color w:val="221F1F"/>
        </w:rPr>
        <w:t>date</w:t>
      </w:r>
      <w:r>
        <w:rPr>
          <w:color w:val="221F1F"/>
          <w:spacing w:val="-4"/>
        </w:rPr>
        <w:t xml:space="preserve"> </w:t>
      </w:r>
      <w:r>
        <w:rPr>
          <w:color w:val="221F1F"/>
        </w:rPr>
        <w:t>stated</w:t>
      </w:r>
      <w:r>
        <w:rPr>
          <w:color w:val="221F1F"/>
          <w:spacing w:val="-4"/>
        </w:rPr>
        <w:t xml:space="preserve"> </w:t>
      </w:r>
      <w:r>
        <w:rPr>
          <w:color w:val="221F1F"/>
        </w:rPr>
        <w:t>in</w:t>
      </w:r>
      <w:r>
        <w:rPr>
          <w:color w:val="221F1F"/>
          <w:spacing w:val="-2"/>
        </w:rPr>
        <w:t xml:space="preserve"> </w:t>
      </w:r>
      <w:r>
        <w:rPr>
          <w:color w:val="221F1F"/>
        </w:rPr>
        <w:t>a</w:t>
      </w:r>
      <w:r>
        <w:rPr>
          <w:color w:val="221F1F"/>
          <w:spacing w:val="-4"/>
        </w:rPr>
        <w:t xml:space="preserve"> </w:t>
      </w:r>
      <w:r>
        <w:rPr>
          <w:color w:val="221F1F"/>
        </w:rPr>
        <w:t>Taking-Over</w:t>
      </w:r>
      <w:r>
        <w:rPr>
          <w:color w:val="221F1F"/>
          <w:spacing w:val="-1"/>
        </w:rPr>
        <w:t xml:space="preserve"> </w:t>
      </w:r>
      <w:r>
        <w:rPr>
          <w:color w:val="221F1F"/>
        </w:rPr>
        <w:t>Certificate,</w:t>
      </w:r>
      <w:r>
        <w:rPr>
          <w:color w:val="221F1F"/>
          <w:spacing w:val="-2"/>
        </w:rPr>
        <w:t xml:space="preserve"> </w:t>
      </w:r>
      <w:r>
        <w:rPr>
          <w:color w:val="221F1F"/>
        </w:rPr>
        <w:t>within</w:t>
      </w:r>
      <w:r>
        <w:rPr>
          <w:color w:val="221F1F"/>
          <w:spacing w:val="-5"/>
        </w:rPr>
        <w:t xml:space="preserve"> </w:t>
      </w:r>
      <w:r>
        <w:rPr>
          <w:color w:val="221F1F"/>
        </w:rPr>
        <w:t>such reasonable time as is instructed by the Engineer, and</w:t>
      </w:r>
    </w:p>
    <w:p w:rsidR="007F6DF9" w:rsidRDefault="00A43FBC">
      <w:pPr>
        <w:pStyle w:val="ListParagraph"/>
        <w:numPr>
          <w:ilvl w:val="0"/>
          <w:numId w:val="62"/>
        </w:numPr>
        <w:tabs>
          <w:tab w:val="left" w:pos="1869"/>
          <w:tab w:val="left" w:pos="1873"/>
        </w:tabs>
        <w:spacing w:before="49" w:line="230" w:lineRule="auto"/>
        <w:ind w:right="560" w:hanging="497"/>
        <w:jc w:val="both"/>
      </w:pPr>
      <w:r>
        <w:rPr>
          <w:color w:val="221F1F"/>
        </w:rPr>
        <w:t>execute all work required to remedy defects or damage, as may be notified by (or on behalf of) the Procuring</w:t>
      </w:r>
      <w:r>
        <w:rPr>
          <w:color w:val="221F1F"/>
          <w:spacing w:val="-14"/>
        </w:rPr>
        <w:t xml:space="preserve"> </w:t>
      </w:r>
      <w:r>
        <w:rPr>
          <w:color w:val="221F1F"/>
        </w:rPr>
        <w:t>Entity</w:t>
      </w:r>
      <w:r>
        <w:rPr>
          <w:color w:val="221F1F"/>
          <w:spacing w:val="-13"/>
        </w:rPr>
        <w:t xml:space="preserve"> </w:t>
      </w:r>
      <w:r>
        <w:rPr>
          <w:color w:val="221F1F"/>
        </w:rPr>
        <w:t>on</w:t>
      </w:r>
      <w:r>
        <w:rPr>
          <w:color w:val="221F1F"/>
          <w:spacing w:val="-10"/>
        </w:rPr>
        <w:t xml:space="preserve"> </w:t>
      </w:r>
      <w:r>
        <w:rPr>
          <w:color w:val="221F1F"/>
        </w:rPr>
        <w:t>or</w:t>
      </w:r>
      <w:r>
        <w:rPr>
          <w:color w:val="221F1F"/>
          <w:spacing w:val="-11"/>
        </w:rPr>
        <w:t xml:space="preserve"> </w:t>
      </w:r>
      <w:r>
        <w:rPr>
          <w:color w:val="221F1F"/>
        </w:rPr>
        <w:t>before</w:t>
      </w:r>
      <w:r>
        <w:rPr>
          <w:color w:val="221F1F"/>
          <w:spacing w:val="-12"/>
        </w:rPr>
        <w:t xml:space="preserve"> </w:t>
      </w:r>
      <w:r>
        <w:rPr>
          <w:color w:val="221F1F"/>
        </w:rPr>
        <w:t>the</w:t>
      </w:r>
      <w:r>
        <w:rPr>
          <w:color w:val="221F1F"/>
          <w:spacing w:val="-12"/>
        </w:rPr>
        <w:t xml:space="preserve"> </w:t>
      </w:r>
      <w:r>
        <w:rPr>
          <w:color w:val="221F1F"/>
        </w:rPr>
        <w:t>expiry</w:t>
      </w:r>
      <w:r>
        <w:rPr>
          <w:color w:val="221F1F"/>
          <w:spacing w:val="-11"/>
        </w:rPr>
        <w:t xml:space="preserve"> </w:t>
      </w:r>
      <w:r>
        <w:rPr>
          <w:color w:val="221F1F"/>
        </w:rPr>
        <w:t>date</w:t>
      </w:r>
      <w:r>
        <w:rPr>
          <w:color w:val="221F1F"/>
          <w:spacing w:val="-12"/>
        </w:rPr>
        <w:t xml:space="preserve"> </w:t>
      </w:r>
      <w:r>
        <w:rPr>
          <w:color w:val="221F1F"/>
        </w:rPr>
        <w:t>of</w:t>
      </w:r>
      <w:r>
        <w:rPr>
          <w:color w:val="221F1F"/>
          <w:spacing w:val="-12"/>
        </w:rPr>
        <w:t xml:space="preserve"> </w:t>
      </w:r>
      <w:r>
        <w:rPr>
          <w:color w:val="221F1F"/>
        </w:rPr>
        <w:t>the</w:t>
      </w:r>
      <w:r>
        <w:rPr>
          <w:color w:val="221F1F"/>
          <w:spacing w:val="-11"/>
        </w:rPr>
        <w:t xml:space="preserve"> </w:t>
      </w:r>
      <w:r>
        <w:rPr>
          <w:color w:val="221F1F"/>
        </w:rPr>
        <w:t>Defects</w:t>
      </w:r>
      <w:r>
        <w:rPr>
          <w:color w:val="221F1F"/>
          <w:spacing w:val="-12"/>
        </w:rPr>
        <w:t xml:space="preserve"> </w:t>
      </w:r>
      <w:r>
        <w:rPr>
          <w:color w:val="221F1F"/>
        </w:rPr>
        <w:t>Notification</w:t>
      </w:r>
      <w:r>
        <w:rPr>
          <w:color w:val="221F1F"/>
          <w:spacing w:val="-11"/>
        </w:rPr>
        <w:t xml:space="preserve"> </w:t>
      </w:r>
      <w:r>
        <w:rPr>
          <w:color w:val="221F1F"/>
        </w:rPr>
        <w:t>Period</w:t>
      </w:r>
      <w:r>
        <w:rPr>
          <w:color w:val="221F1F"/>
          <w:spacing w:val="-12"/>
        </w:rPr>
        <w:t xml:space="preserve"> </w:t>
      </w:r>
      <w:r>
        <w:rPr>
          <w:color w:val="221F1F"/>
        </w:rPr>
        <w:t>for</w:t>
      </w:r>
      <w:r>
        <w:rPr>
          <w:color w:val="221F1F"/>
          <w:spacing w:val="-12"/>
        </w:rPr>
        <w:t xml:space="preserve"> </w:t>
      </w:r>
      <w:r>
        <w:rPr>
          <w:color w:val="221F1F"/>
        </w:rPr>
        <w:t>the</w:t>
      </w:r>
      <w:r>
        <w:rPr>
          <w:color w:val="221F1F"/>
          <w:spacing w:val="-12"/>
        </w:rPr>
        <w:t xml:space="preserve"> </w:t>
      </w:r>
      <w:r>
        <w:rPr>
          <w:color w:val="221F1F"/>
        </w:rPr>
        <w:t>Works</w:t>
      </w:r>
      <w:r>
        <w:rPr>
          <w:color w:val="221F1F"/>
          <w:spacing w:val="-14"/>
        </w:rPr>
        <w:t xml:space="preserve"> </w:t>
      </w:r>
      <w:r>
        <w:rPr>
          <w:color w:val="221F1F"/>
        </w:rPr>
        <w:t>or</w:t>
      </w:r>
      <w:r>
        <w:rPr>
          <w:color w:val="221F1F"/>
          <w:spacing w:val="-10"/>
        </w:rPr>
        <w:t xml:space="preserve"> </w:t>
      </w:r>
      <w:r>
        <w:rPr>
          <w:color w:val="221F1F"/>
        </w:rPr>
        <w:t>Section (as the case may be).</w:t>
      </w:r>
    </w:p>
    <w:p w:rsidR="007F6DF9" w:rsidRDefault="00A43FBC">
      <w:pPr>
        <w:pStyle w:val="ListParagraph"/>
        <w:numPr>
          <w:ilvl w:val="2"/>
          <w:numId w:val="122"/>
        </w:numPr>
        <w:tabs>
          <w:tab w:val="left" w:pos="1376"/>
        </w:tabs>
        <w:spacing w:before="239"/>
        <w:ind w:left="1376" w:hanging="668"/>
        <w:rPr>
          <w:color w:val="221F1F"/>
        </w:rPr>
      </w:pPr>
      <w:r>
        <w:rPr>
          <w:color w:val="221F1F"/>
        </w:rPr>
        <w:t>If</w:t>
      </w:r>
      <w:r>
        <w:rPr>
          <w:color w:val="221F1F"/>
          <w:spacing w:val="-3"/>
        </w:rPr>
        <w:t xml:space="preserve"> </w:t>
      </w:r>
      <w:r>
        <w:rPr>
          <w:color w:val="221F1F"/>
        </w:rPr>
        <w:t>a</w:t>
      </w:r>
      <w:r>
        <w:rPr>
          <w:color w:val="221F1F"/>
          <w:spacing w:val="-4"/>
        </w:rPr>
        <w:t xml:space="preserve"> </w:t>
      </w:r>
      <w:r>
        <w:rPr>
          <w:color w:val="221F1F"/>
        </w:rPr>
        <w:t>defect</w:t>
      </w:r>
      <w:r>
        <w:rPr>
          <w:color w:val="221F1F"/>
          <w:spacing w:val="-2"/>
        </w:rPr>
        <w:t xml:space="preserve"> </w:t>
      </w:r>
      <w:r>
        <w:rPr>
          <w:color w:val="221F1F"/>
        </w:rPr>
        <w:t>appears</w:t>
      </w:r>
      <w:r>
        <w:rPr>
          <w:color w:val="221F1F"/>
          <w:spacing w:val="-3"/>
        </w:rPr>
        <w:t xml:space="preserve"> </w:t>
      </w:r>
      <w:r>
        <w:rPr>
          <w:color w:val="221F1F"/>
        </w:rPr>
        <w:t>or</w:t>
      </w:r>
      <w:r>
        <w:rPr>
          <w:color w:val="221F1F"/>
          <w:spacing w:val="-6"/>
        </w:rPr>
        <w:t xml:space="preserve"> </w:t>
      </w:r>
      <w:r>
        <w:rPr>
          <w:color w:val="221F1F"/>
        </w:rPr>
        <w:t>damage</w:t>
      </w:r>
      <w:r>
        <w:rPr>
          <w:color w:val="221F1F"/>
          <w:spacing w:val="-2"/>
        </w:rPr>
        <w:t xml:space="preserve"> </w:t>
      </w:r>
      <w:r>
        <w:rPr>
          <w:color w:val="221F1F"/>
        </w:rPr>
        <w:t>occurs,</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notified</w:t>
      </w:r>
      <w:r>
        <w:rPr>
          <w:color w:val="221F1F"/>
          <w:spacing w:val="-4"/>
        </w:rPr>
        <w:t xml:space="preserve"> </w:t>
      </w:r>
      <w:r>
        <w:rPr>
          <w:color w:val="221F1F"/>
        </w:rPr>
        <w:t>accordingly</w:t>
      </w:r>
      <w:r>
        <w:rPr>
          <w:color w:val="221F1F"/>
          <w:spacing w:val="-5"/>
        </w:rPr>
        <w:t xml:space="preserve"> </w:t>
      </w:r>
      <w:r>
        <w:rPr>
          <w:color w:val="221F1F"/>
        </w:rPr>
        <w:t>by</w:t>
      </w:r>
      <w:r>
        <w:rPr>
          <w:color w:val="221F1F"/>
          <w:spacing w:val="-4"/>
        </w:rPr>
        <w:t xml:space="preserve"> </w:t>
      </w:r>
      <w:r>
        <w:rPr>
          <w:color w:val="221F1F"/>
        </w:rPr>
        <w:t>the</w:t>
      </w:r>
      <w:r>
        <w:rPr>
          <w:color w:val="221F1F"/>
          <w:spacing w:val="-5"/>
        </w:rPr>
        <w:t xml:space="preserve"> </w:t>
      </w:r>
      <w:r>
        <w:rPr>
          <w:color w:val="221F1F"/>
          <w:spacing w:val="-2"/>
        </w:rPr>
        <w:t>Engineer.</w:t>
      </w:r>
    </w:p>
    <w:p w:rsidR="007F6DF9" w:rsidRDefault="00A43FBC">
      <w:pPr>
        <w:pStyle w:val="Heading9"/>
        <w:numPr>
          <w:ilvl w:val="1"/>
          <w:numId w:val="122"/>
        </w:numPr>
        <w:tabs>
          <w:tab w:val="left" w:pos="1376"/>
        </w:tabs>
        <w:spacing w:before="234"/>
        <w:ind w:left="1376" w:hanging="668"/>
        <w:rPr>
          <w:color w:val="221F1F"/>
        </w:rPr>
      </w:pPr>
      <w:r>
        <w:rPr>
          <w:color w:val="221F1F"/>
        </w:rPr>
        <w:t>Cost</w:t>
      </w:r>
      <w:r>
        <w:rPr>
          <w:color w:val="221F1F"/>
          <w:spacing w:val="-2"/>
        </w:rPr>
        <w:t xml:space="preserve"> </w:t>
      </w:r>
      <w:r>
        <w:rPr>
          <w:color w:val="221F1F"/>
        </w:rPr>
        <w:t>of</w:t>
      </w:r>
      <w:r>
        <w:rPr>
          <w:color w:val="221F1F"/>
          <w:spacing w:val="-4"/>
        </w:rPr>
        <w:t xml:space="preserve"> </w:t>
      </w:r>
      <w:r>
        <w:rPr>
          <w:color w:val="221F1F"/>
        </w:rPr>
        <w:t>Remedying</w:t>
      </w:r>
      <w:r>
        <w:rPr>
          <w:color w:val="221F1F"/>
          <w:spacing w:val="-4"/>
        </w:rPr>
        <w:t xml:space="preserve"> </w:t>
      </w:r>
      <w:r>
        <w:rPr>
          <w:color w:val="221F1F"/>
          <w:spacing w:val="-2"/>
        </w:rPr>
        <w:t>Defects</w:t>
      </w:r>
    </w:p>
    <w:p w:rsidR="007F6DF9" w:rsidRDefault="00A43FBC">
      <w:pPr>
        <w:pStyle w:val="ListParagraph"/>
        <w:numPr>
          <w:ilvl w:val="2"/>
          <w:numId w:val="122"/>
        </w:numPr>
        <w:tabs>
          <w:tab w:val="left" w:pos="1366"/>
          <w:tab w:val="left" w:pos="1369"/>
        </w:tabs>
        <w:spacing w:before="240" w:line="230" w:lineRule="auto"/>
        <w:ind w:left="1369" w:right="562" w:hanging="661"/>
        <w:jc w:val="both"/>
        <w:rPr>
          <w:color w:val="221F1F"/>
        </w:rPr>
      </w:pPr>
      <w:r>
        <w:rPr>
          <w:color w:val="221F1F"/>
        </w:rPr>
        <w:t>All work referred to in sub-paragraph (b) of Sub-Clause 11.1 [Completion of Outstanding Work and Remedying</w:t>
      </w:r>
      <w:r>
        <w:rPr>
          <w:color w:val="221F1F"/>
          <w:spacing w:val="-6"/>
        </w:rPr>
        <w:t xml:space="preserve"> </w:t>
      </w:r>
      <w:r>
        <w:rPr>
          <w:color w:val="221F1F"/>
        </w:rPr>
        <w:t>Defects]</w:t>
      </w:r>
      <w:r>
        <w:rPr>
          <w:color w:val="221F1F"/>
          <w:spacing w:val="-4"/>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executed</w:t>
      </w:r>
      <w:r>
        <w:rPr>
          <w:color w:val="221F1F"/>
          <w:spacing w:val="-5"/>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risk</w:t>
      </w:r>
      <w:r>
        <w:rPr>
          <w:color w:val="221F1F"/>
          <w:spacing w:val="-5"/>
        </w:rPr>
        <w:t xml:space="preserve"> </w:t>
      </w:r>
      <w:r>
        <w:rPr>
          <w:color w:val="221F1F"/>
        </w:rPr>
        <w:t>and</w:t>
      </w:r>
      <w:r>
        <w:rPr>
          <w:color w:val="221F1F"/>
          <w:spacing w:val="-6"/>
        </w:rPr>
        <w:t xml:space="preserve"> </w:t>
      </w:r>
      <w:r>
        <w:rPr>
          <w:color w:val="221F1F"/>
        </w:rPr>
        <w:t>cost</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if</w:t>
      </w:r>
      <w:r>
        <w:rPr>
          <w:color w:val="221F1F"/>
          <w:spacing w:val="-5"/>
        </w:rPr>
        <w:t xml:space="preserve"> </w:t>
      </w:r>
      <w:r>
        <w:rPr>
          <w:color w:val="221F1F"/>
        </w:rPr>
        <w:t>and</w:t>
      </w:r>
      <w:r>
        <w:rPr>
          <w:color w:val="221F1F"/>
          <w:spacing w:val="-6"/>
        </w:rPr>
        <w:t xml:space="preserve"> </w:t>
      </w:r>
      <w:r>
        <w:rPr>
          <w:color w:val="221F1F"/>
        </w:rPr>
        <w:t>to</w:t>
      </w:r>
      <w:r>
        <w:rPr>
          <w:color w:val="221F1F"/>
          <w:spacing w:val="-5"/>
        </w:rPr>
        <w:t xml:space="preserve"> </w:t>
      </w:r>
      <w:r>
        <w:rPr>
          <w:color w:val="221F1F"/>
        </w:rPr>
        <w:t>the</w:t>
      </w:r>
      <w:r>
        <w:rPr>
          <w:color w:val="221F1F"/>
          <w:spacing w:val="-6"/>
        </w:rPr>
        <w:t xml:space="preserve"> </w:t>
      </w:r>
      <w:r>
        <w:rPr>
          <w:color w:val="221F1F"/>
        </w:rPr>
        <w:t>extent</w:t>
      </w:r>
      <w:r>
        <w:rPr>
          <w:color w:val="221F1F"/>
          <w:spacing w:val="-4"/>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work is attributable to:</w:t>
      </w:r>
    </w:p>
    <w:p w:rsidR="007F6DF9" w:rsidRDefault="00A43FBC">
      <w:pPr>
        <w:pStyle w:val="ListParagraph"/>
        <w:numPr>
          <w:ilvl w:val="0"/>
          <w:numId w:val="61"/>
        </w:numPr>
        <w:tabs>
          <w:tab w:val="left" w:pos="1870"/>
        </w:tabs>
        <w:spacing w:before="41"/>
        <w:ind w:hanging="494"/>
      </w:pPr>
      <w:r>
        <w:rPr>
          <w:color w:val="221F1F"/>
        </w:rPr>
        <w:t>Any</w:t>
      </w:r>
      <w:r>
        <w:rPr>
          <w:color w:val="221F1F"/>
          <w:spacing w:val="-3"/>
        </w:rPr>
        <w:t xml:space="preserve"> </w:t>
      </w:r>
      <w:r>
        <w:rPr>
          <w:color w:val="221F1F"/>
        </w:rPr>
        <w:t>design</w:t>
      </w:r>
      <w:r>
        <w:rPr>
          <w:color w:val="221F1F"/>
          <w:spacing w:val="-3"/>
        </w:rPr>
        <w:t xml:space="preserve"> </w:t>
      </w:r>
      <w:r>
        <w:rPr>
          <w:color w:val="221F1F"/>
        </w:rPr>
        <w:t>for</w:t>
      </w:r>
      <w:r>
        <w:rPr>
          <w:color w:val="221F1F"/>
          <w:spacing w:val="-1"/>
        </w:rPr>
        <w:t xml:space="preserve"> </w:t>
      </w:r>
      <w:r>
        <w:rPr>
          <w:color w:val="221F1F"/>
        </w:rPr>
        <w:t>which</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is</w:t>
      </w:r>
      <w:r>
        <w:rPr>
          <w:color w:val="221F1F"/>
          <w:spacing w:val="-4"/>
        </w:rPr>
        <w:t xml:space="preserve"> </w:t>
      </w:r>
      <w:r>
        <w:rPr>
          <w:color w:val="221F1F"/>
          <w:spacing w:val="-2"/>
        </w:rPr>
        <w:t>responsible,</w:t>
      </w:r>
    </w:p>
    <w:p w:rsidR="007F6DF9" w:rsidRDefault="00A43FBC">
      <w:pPr>
        <w:pStyle w:val="ListParagraph"/>
        <w:numPr>
          <w:ilvl w:val="0"/>
          <w:numId w:val="61"/>
        </w:numPr>
        <w:tabs>
          <w:tab w:val="left" w:pos="1870"/>
        </w:tabs>
        <w:spacing w:before="42"/>
        <w:ind w:hanging="494"/>
      </w:pPr>
      <w:r>
        <w:rPr>
          <w:color w:val="221F1F"/>
        </w:rPr>
        <w:t>Plant,</w:t>
      </w:r>
      <w:r>
        <w:rPr>
          <w:color w:val="221F1F"/>
          <w:spacing w:val="-4"/>
        </w:rPr>
        <w:t xml:space="preserve"> </w:t>
      </w:r>
      <w:r>
        <w:rPr>
          <w:color w:val="221F1F"/>
        </w:rPr>
        <w:t>Materials</w:t>
      </w:r>
      <w:r>
        <w:rPr>
          <w:color w:val="221F1F"/>
          <w:spacing w:val="-3"/>
        </w:rPr>
        <w:t xml:space="preserve"> </w:t>
      </w:r>
      <w:r>
        <w:rPr>
          <w:color w:val="221F1F"/>
        </w:rPr>
        <w:t>or</w:t>
      </w:r>
      <w:r>
        <w:rPr>
          <w:color w:val="221F1F"/>
          <w:spacing w:val="-2"/>
        </w:rPr>
        <w:t xml:space="preserve"> </w:t>
      </w:r>
      <w:r>
        <w:rPr>
          <w:color w:val="221F1F"/>
        </w:rPr>
        <w:t>workmanship</w:t>
      </w:r>
      <w:r>
        <w:rPr>
          <w:color w:val="221F1F"/>
          <w:spacing w:val="-5"/>
        </w:rPr>
        <w:t xml:space="preserve"> </w:t>
      </w:r>
      <w:r>
        <w:rPr>
          <w:color w:val="221F1F"/>
        </w:rPr>
        <w:t>not</w:t>
      </w:r>
      <w:r>
        <w:rPr>
          <w:color w:val="221F1F"/>
          <w:spacing w:val="-5"/>
        </w:rPr>
        <w:t xml:space="preserve"> </w:t>
      </w:r>
      <w:r>
        <w:rPr>
          <w:color w:val="221F1F"/>
        </w:rPr>
        <w:t>being</w:t>
      </w:r>
      <w:r>
        <w:rPr>
          <w:color w:val="221F1F"/>
          <w:spacing w:val="-4"/>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Contract,</w:t>
      </w:r>
      <w:r>
        <w:rPr>
          <w:color w:val="221F1F"/>
          <w:spacing w:val="-5"/>
        </w:rPr>
        <w:t xml:space="preserve"> or</w:t>
      </w:r>
    </w:p>
    <w:p w:rsidR="007F6DF9" w:rsidRDefault="00A43FBC">
      <w:pPr>
        <w:pStyle w:val="ListParagraph"/>
        <w:numPr>
          <w:ilvl w:val="0"/>
          <w:numId w:val="61"/>
        </w:numPr>
        <w:tabs>
          <w:tab w:val="left" w:pos="1870"/>
        </w:tabs>
        <w:spacing w:before="40"/>
        <w:ind w:hanging="494"/>
      </w:pPr>
      <w:r>
        <w:rPr>
          <w:color w:val="221F1F"/>
        </w:rPr>
        <w:t>Failure</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to</w:t>
      </w:r>
      <w:r>
        <w:rPr>
          <w:color w:val="221F1F"/>
          <w:spacing w:val="-5"/>
        </w:rPr>
        <w:t xml:space="preserve"> </w:t>
      </w:r>
      <w:r>
        <w:rPr>
          <w:color w:val="221F1F"/>
        </w:rPr>
        <w:t>comply</w:t>
      </w:r>
      <w:r>
        <w:rPr>
          <w:color w:val="221F1F"/>
          <w:spacing w:val="-3"/>
        </w:rPr>
        <w:t xml:space="preserve"> </w:t>
      </w:r>
      <w:r>
        <w:rPr>
          <w:color w:val="221F1F"/>
        </w:rPr>
        <w:t>with</w:t>
      </w:r>
      <w:r>
        <w:rPr>
          <w:color w:val="221F1F"/>
          <w:spacing w:val="-5"/>
        </w:rPr>
        <w:t xml:space="preserve"> </w:t>
      </w:r>
      <w:r>
        <w:rPr>
          <w:color w:val="221F1F"/>
        </w:rPr>
        <w:t>any</w:t>
      </w:r>
      <w:r>
        <w:rPr>
          <w:color w:val="221F1F"/>
          <w:spacing w:val="-3"/>
        </w:rPr>
        <w:t xml:space="preserve"> </w:t>
      </w:r>
      <w:r>
        <w:rPr>
          <w:color w:val="221F1F"/>
        </w:rPr>
        <w:t>other</w:t>
      </w:r>
      <w:r>
        <w:rPr>
          <w:color w:val="221F1F"/>
          <w:spacing w:val="-1"/>
        </w:rPr>
        <w:t xml:space="preserve"> </w:t>
      </w:r>
      <w:r>
        <w:rPr>
          <w:color w:val="221F1F"/>
          <w:spacing w:val="-2"/>
        </w:rPr>
        <w:t>obligation.</w:t>
      </w:r>
    </w:p>
    <w:p w:rsidR="007F6DF9" w:rsidRDefault="00A43FBC">
      <w:pPr>
        <w:pStyle w:val="ListParagraph"/>
        <w:numPr>
          <w:ilvl w:val="2"/>
          <w:numId w:val="122"/>
        </w:numPr>
        <w:tabs>
          <w:tab w:val="left" w:pos="1366"/>
          <w:tab w:val="left" w:pos="1369"/>
        </w:tabs>
        <w:spacing w:before="242" w:line="230" w:lineRule="auto"/>
        <w:ind w:left="1369" w:right="562" w:hanging="661"/>
        <w:jc w:val="both"/>
        <w:rPr>
          <w:color w:val="221F1F"/>
        </w:rPr>
      </w:pPr>
      <w:r>
        <w:rPr>
          <w:color w:val="221F1F"/>
        </w:rPr>
        <w:t>If</w:t>
      </w:r>
      <w:r>
        <w:rPr>
          <w:color w:val="221F1F"/>
          <w:spacing w:val="-4"/>
        </w:rPr>
        <w:t xml:space="preserve"> </w:t>
      </w:r>
      <w:r>
        <w:rPr>
          <w:color w:val="221F1F"/>
        </w:rPr>
        <w:t>and</w:t>
      </w:r>
      <w:r>
        <w:rPr>
          <w:color w:val="221F1F"/>
          <w:spacing w:val="-7"/>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extent</w:t>
      </w:r>
      <w:r>
        <w:rPr>
          <w:color w:val="221F1F"/>
          <w:spacing w:val="-5"/>
        </w:rPr>
        <w:t xml:space="preserve"> </w:t>
      </w:r>
      <w:r>
        <w:rPr>
          <w:color w:val="221F1F"/>
        </w:rPr>
        <w:t>that</w:t>
      </w:r>
      <w:r>
        <w:rPr>
          <w:color w:val="221F1F"/>
          <w:spacing w:val="-6"/>
        </w:rPr>
        <w:t xml:space="preserve"> </w:t>
      </w:r>
      <w:r>
        <w:rPr>
          <w:color w:val="221F1F"/>
        </w:rPr>
        <w:t>such</w:t>
      </w:r>
      <w:r>
        <w:rPr>
          <w:color w:val="221F1F"/>
          <w:spacing w:val="-4"/>
        </w:rPr>
        <w:t xml:space="preserve"> </w:t>
      </w:r>
      <w:r>
        <w:rPr>
          <w:color w:val="221F1F"/>
        </w:rPr>
        <w:t>work</w:t>
      </w:r>
      <w:r>
        <w:rPr>
          <w:color w:val="221F1F"/>
          <w:spacing w:val="-7"/>
        </w:rPr>
        <w:t xml:space="preserve"> </w:t>
      </w:r>
      <w:r>
        <w:rPr>
          <w:color w:val="221F1F"/>
        </w:rPr>
        <w:t>is</w:t>
      </w:r>
      <w:r>
        <w:rPr>
          <w:color w:val="221F1F"/>
          <w:spacing w:val="-4"/>
        </w:rPr>
        <w:t xml:space="preserve"> </w:t>
      </w:r>
      <w:r>
        <w:rPr>
          <w:color w:val="221F1F"/>
        </w:rPr>
        <w:t>attributable</w:t>
      </w:r>
      <w:r>
        <w:rPr>
          <w:color w:val="221F1F"/>
          <w:spacing w:val="-6"/>
        </w:rPr>
        <w:t xml:space="preserve"> </w:t>
      </w:r>
      <w:r>
        <w:rPr>
          <w:color w:val="221F1F"/>
        </w:rPr>
        <w:t>to</w:t>
      </w:r>
      <w:r>
        <w:rPr>
          <w:color w:val="221F1F"/>
          <w:spacing w:val="-7"/>
        </w:rPr>
        <w:t xml:space="preserve"> </w:t>
      </w:r>
      <w:r>
        <w:rPr>
          <w:color w:val="221F1F"/>
        </w:rPr>
        <w:t>any</w:t>
      </w:r>
      <w:r>
        <w:rPr>
          <w:color w:val="221F1F"/>
          <w:spacing w:val="-4"/>
        </w:rPr>
        <w:t xml:space="preserve"> </w:t>
      </w:r>
      <w:r>
        <w:rPr>
          <w:color w:val="221F1F"/>
        </w:rPr>
        <w:t>other</w:t>
      </w:r>
      <w:r>
        <w:rPr>
          <w:color w:val="221F1F"/>
          <w:spacing w:val="-6"/>
        </w:rPr>
        <w:t xml:space="preserve"> </w:t>
      </w:r>
      <w:r>
        <w:rPr>
          <w:color w:val="221F1F"/>
        </w:rPr>
        <w:t>cause,</w:t>
      </w:r>
      <w:r>
        <w:rPr>
          <w:color w:val="221F1F"/>
          <w:spacing w:val="-7"/>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notified</w:t>
      </w:r>
      <w:r>
        <w:rPr>
          <w:color w:val="221F1F"/>
          <w:spacing w:val="-7"/>
        </w:rPr>
        <w:t xml:space="preserve"> </w:t>
      </w:r>
      <w:r>
        <w:rPr>
          <w:color w:val="221F1F"/>
        </w:rPr>
        <w:t>promptly by (or on behalf of) the Procuring Entity,</w:t>
      </w:r>
      <w:r>
        <w:rPr>
          <w:color w:val="221F1F"/>
          <w:spacing w:val="-1"/>
        </w:rPr>
        <w:t xml:space="preserve"> </w:t>
      </w:r>
      <w:r>
        <w:rPr>
          <w:color w:val="221F1F"/>
        </w:rPr>
        <w:t>and Sub-Clause 13.3 [Variation</w:t>
      </w:r>
      <w:r>
        <w:rPr>
          <w:color w:val="221F1F"/>
          <w:spacing w:val="-1"/>
        </w:rPr>
        <w:t xml:space="preserve"> </w:t>
      </w:r>
      <w:r>
        <w:rPr>
          <w:color w:val="221F1F"/>
        </w:rPr>
        <w:t>Procedure] shall apply.</w:t>
      </w:r>
    </w:p>
    <w:p w:rsidR="007F6DF9" w:rsidRDefault="00A43FBC">
      <w:pPr>
        <w:pStyle w:val="Heading9"/>
        <w:numPr>
          <w:ilvl w:val="1"/>
          <w:numId w:val="122"/>
        </w:numPr>
        <w:tabs>
          <w:tab w:val="left" w:pos="1376"/>
        </w:tabs>
        <w:spacing w:before="236"/>
        <w:ind w:left="1376" w:hanging="670"/>
        <w:rPr>
          <w:color w:val="221F1F"/>
        </w:rPr>
      </w:pPr>
      <w:r>
        <w:rPr>
          <w:color w:val="221F1F"/>
        </w:rPr>
        <w:t>Extension</w:t>
      </w:r>
      <w:r>
        <w:rPr>
          <w:color w:val="221F1F"/>
          <w:spacing w:val="-9"/>
        </w:rPr>
        <w:t xml:space="preserve"> </w:t>
      </w:r>
      <w:r>
        <w:rPr>
          <w:color w:val="221F1F"/>
        </w:rPr>
        <w:t>of</w:t>
      </w:r>
      <w:r>
        <w:rPr>
          <w:color w:val="221F1F"/>
          <w:spacing w:val="-7"/>
        </w:rPr>
        <w:t xml:space="preserve"> </w:t>
      </w:r>
      <w:r>
        <w:rPr>
          <w:color w:val="221F1F"/>
        </w:rPr>
        <w:t>Defects</w:t>
      </w:r>
      <w:r>
        <w:rPr>
          <w:color w:val="221F1F"/>
          <w:spacing w:val="-8"/>
        </w:rPr>
        <w:t xml:space="preserve"> </w:t>
      </w:r>
      <w:r>
        <w:rPr>
          <w:color w:val="221F1F"/>
        </w:rPr>
        <w:t>Notification</w:t>
      </w:r>
      <w:r>
        <w:rPr>
          <w:color w:val="221F1F"/>
          <w:spacing w:val="-8"/>
        </w:rPr>
        <w:t xml:space="preserve"> </w:t>
      </w:r>
      <w:r>
        <w:rPr>
          <w:color w:val="221F1F"/>
          <w:spacing w:val="-2"/>
        </w:rPr>
        <w:t>Period</w:t>
      </w:r>
    </w:p>
    <w:p w:rsidR="007F6DF9" w:rsidRDefault="00A43FBC">
      <w:pPr>
        <w:pStyle w:val="ListParagraph"/>
        <w:numPr>
          <w:ilvl w:val="2"/>
          <w:numId w:val="122"/>
        </w:numPr>
        <w:tabs>
          <w:tab w:val="left" w:pos="1363"/>
          <w:tab w:val="left" w:pos="1366"/>
        </w:tabs>
        <w:spacing w:before="243" w:line="230" w:lineRule="auto"/>
        <w:ind w:left="1366" w:right="562" w:hanging="661"/>
        <w:jc w:val="both"/>
        <w:rPr>
          <w:color w:val="221F1F"/>
        </w:rPr>
      </w:pPr>
      <w:r>
        <w:rPr>
          <w:color w:val="221F1F"/>
        </w:rPr>
        <w:t>The Procuring Entity shall be entitled subject to Sub-Clause 2.5 [Procuring Entity's Claims] to an extension of</w:t>
      </w:r>
      <w:r>
        <w:rPr>
          <w:color w:val="221F1F"/>
          <w:spacing w:val="-3"/>
        </w:rPr>
        <w:t xml:space="preserve"> </w:t>
      </w:r>
      <w:r>
        <w:rPr>
          <w:color w:val="221F1F"/>
        </w:rPr>
        <w:t>the</w:t>
      </w:r>
      <w:r>
        <w:rPr>
          <w:color w:val="221F1F"/>
          <w:spacing w:val="-3"/>
        </w:rPr>
        <w:t xml:space="preserve"> </w:t>
      </w:r>
      <w:r>
        <w:rPr>
          <w:color w:val="221F1F"/>
        </w:rPr>
        <w:t>Defects Notification</w:t>
      </w:r>
      <w:r>
        <w:rPr>
          <w:color w:val="221F1F"/>
          <w:spacing w:val="-4"/>
        </w:rPr>
        <w:t xml:space="preserve"> </w:t>
      </w:r>
      <w:r>
        <w:rPr>
          <w:color w:val="221F1F"/>
        </w:rPr>
        <w:t>Period</w:t>
      </w:r>
      <w:r>
        <w:rPr>
          <w:color w:val="221F1F"/>
          <w:spacing w:val="-3"/>
        </w:rPr>
        <w:t xml:space="preserve"> </w:t>
      </w:r>
      <w:r>
        <w:rPr>
          <w:color w:val="221F1F"/>
        </w:rPr>
        <w:t>for</w:t>
      </w:r>
      <w:r>
        <w:rPr>
          <w:color w:val="221F1F"/>
          <w:spacing w:val="-2"/>
        </w:rPr>
        <w:t xml:space="preserve"> </w:t>
      </w:r>
      <w:r>
        <w:rPr>
          <w:color w:val="221F1F"/>
        </w:rPr>
        <w:t>the Works</w:t>
      </w:r>
      <w:r>
        <w:rPr>
          <w:color w:val="221F1F"/>
          <w:spacing w:val="-12"/>
        </w:rPr>
        <w:t xml:space="preserve"> </w:t>
      </w:r>
      <w:r>
        <w:rPr>
          <w:color w:val="221F1F"/>
        </w:rPr>
        <w:t>or</w:t>
      </w:r>
      <w:r>
        <w:rPr>
          <w:color w:val="221F1F"/>
          <w:spacing w:val="-2"/>
        </w:rPr>
        <w:t xml:space="preserve"> </w:t>
      </w:r>
      <w:r>
        <w:rPr>
          <w:color w:val="221F1F"/>
        </w:rPr>
        <w:t>a Section</w:t>
      </w:r>
      <w:r>
        <w:rPr>
          <w:color w:val="221F1F"/>
          <w:spacing w:val="-2"/>
        </w:rPr>
        <w:t xml:space="preserve"> </w:t>
      </w:r>
      <w:r>
        <w:rPr>
          <w:color w:val="221F1F"/>
        </w:rPr>
        <w:t>if</w:t>
      </w:r>
      <w:r>
        <w:rPr>
          <w:color w:val="221F1F"/>
          <w:spacing w:val="-2"/>
        </w:rPr>
        <w:t xml:space="preserve"> </w:t>
      </w:r>
      <w:r>
        <w:rPr>
          <w:color w:val="221F1F"/>
        </w:rPr>
        <w:t>and</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extent</w:t>
      </w:r>
      <w:r>
        <w:rPr>
          <w:color w:val="221F1F"/>
          <w:spacing w:val="-2"/>
        </w:rPr>
        <w:t xml:space="preserve"> </w:t>
      </w:r>
      <w:r>
        <w:rPr>
          <w:color w:val="221F1F"/>
        </w:rPr>
        <w:t>that</w:t>
      </w:r>
      <w:r>
        <w:rPr>
          <w:color w:val="221F1F"/>
          <w:spacing w:val="-1"/>
        </w:rPr>
        <w:t xml:space="preserve"> </w:t>
      </w:r>
      <w:r>
        <w:rPr>
          <w:color w:val="221F1F"/>
        </w:rPr>
        <w:t>the</w:t>
      </w:r>
      <w:r>
        <w:rPr>
          <w:color w:val="221F1F"/>
          <w:spacing w:val="-5"/>
        </w:rPr>
        <w:t xml:space="preserve"> </w:t>
      </w:r>
      <w:r>
        <w:rPr>
          <w:color w:val="221F1F"/>
        </w:rPr>
        <w:t>Works,</w:t>
      </w:r>
      <w:r>
        <w:rPr>
          <w:color w:val="221F1F"/>
          <w:spacing w:val="-8"/>
        </w:rPr>
        <w:t xml:space="preserve"> </w:t>
      </w:r>
      <w:r>
        <w:rPr>
          <w:color w:val="221F1F"/>
        </w:rPr>
        <w:t>Section</w:t>
      </w:r>
      <w:r>
        <w:rPr>
          <w:color w:val="221F1F"/>
          <w:spacing w:val="-3"/>
        </w:rPr>
        <w:t xml:space="preserve"> </w:t>
      </w:r>
      <w:r>
        <w:rPr>
          <w:color w:val="221F1F"/>
        </w:rPr>
        <w:t>or</w:t>
      </w:r>
      <w:r>
        <w:rPr>
          <w:color w:val="221F1F"/>
          <w:spacing w:val="-2"/>
        </w:rPr>
        <w:t xml:space="preserve"> </w:t>
      </w:r>
      <w:r>
        <w:rPr>
          <w:color w:val="221F1F"/>
        </w:rPr>
        <w:t>a major</w:t>
      </w:r>
      <w:r>
        <w:rPr>
          <w:color w:val="221F1F"/>
          <w:spacing w:val="-8"/>
        </w:rPr>
        <w:t xml:space="preserve"> </w:t>
      </w:r>
      <w:r>
        <w:rPr>
          <w:color w:val="221F1F"/>
        </w:rPr>
        <w:t>item</w:t>
      </w:r>
      <w:r>
        <w:rPr>
          <w:color w:val="221F1F"/>
          <w:spacing w:val="-7"/>
        </w:rPr>
        <w:t xml:space="preserve"> </w:t>
      </w:r>
      <w:r>
        <w:rPr>
          <w:color w:val="221F1F"/>
        </w:rPr>
        <w:t>of</w:t>
      </w:r>
      <w:r>
        <w:rPr>
          <w:color w:val="221F1F"/>
          <w:spacing w:val="-5"/>
        </w:rPr>
        <w:t xml:space="preserve"> </w:t>
      </w:r>
      <w:r>
        <w:rPr>
          <w:color w:val="221F1F"/>
        </w:rPr>
        <w:t>Plant</w:t>
      </w:r>
      <w:r>
        <w:rPr>
          <w:color w:val="221F1F"/>
          <w:spacing w:val="-5"/>
        </w:rPr>
        <w:t xml:space="preserve"> </w:t>
      </w:r>
      <w:r>
        <w:rPr>
          <w:color w:val="221F1F"/>
        </w:rPr>
        <w:t>(as</w:t>
      </w:r>
      <w:r>
        <w:rPr>
          <w:color w:val="221F1F"/>
          <w:spacing w:val="-5"/>
        </w:rPr>
        <w:t xml:space="preserve"> </w:t>
      </w:r>
      <w:r>
        <w:rPr>
          <w:color w:val="221F1F"/>
        </w:rPr>
        <w:t>the</w:t>
      </w:r>
      <w:r>
        <w:rPr>
          <w:color w:val="221F1F"/>
          <w:spacing w:val="-8"/>
        </w:rPr>
        <w:t xml:space="preserve"> </w:t>
      </w:r>
      <w:r>
        <w:rPr>
          <w:color w:val="221F1F"/>
        </w:rPr>
        <w:t>case</w:t>
      </w:r>
      <w:r>
        <w:rPr>
          <w:color w:val="221F1F"/>
          <w:spacing w:val="-8"/>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and</w:t>
      </w:r>
      <w:r>
        <w:rPr>
          <w:color w:val="221F1F"/>
          <w:spacing w:val="-6"/>
        </w:rPr>
        <w:t xml:space="preserve"> </w:t>
      </w:r>
      <w:r>
        <w:rPr>
          <w:color w:val="221F1F"/>
        </w:rPr>
        <w:t>after</w:t>
      </w:r>
      <w:r>
        <w:rPr>
          <w:color w:val="221F1F"/>
          <w:spacing w:val="-7"/>
        </w:rPr>
        <w:t xml:space="preserve"> </w:t>
      </w:r>
      <w:r>
        <w:rPr>
          <w:color w:val="221F1F"/>
        </w:rPr>
        <w:t>taking</w:t>
      </w:r>
      <w:r>
        <w:rPr>
          <w:color w:val="221F1F"/>
          <w:spacing w:val="-6"/>
        </w:rPr>
        <w:t xml:space="preserve"> </w:t>
      </w:r>
      <w:r>
        <w:rPr>
          <w:color w:val="221F1F"/>
        </w:rPr>
        <w:t>over)</w:t>
      </w:r>
      <w:r>
        <w:rPr>
          <w:color w:val="221F1F"/>
          <w:spacing w:val="-5"/>
        </w:rPr>
        <w:t xml:space="preserve"> </w:t>
      </w:r>
      <w:r>
        <w:rPr>
          <w:color w:val="221F1F"/>
        </w:rPr>
        <w:t>cannot</w:t>
      </w:r>
      <w:r>
        <w:rPr>
          <w:color w:val="221F1F"/>
          <w:spacing w:val="-5"/>
        </w:rPr>
        <w:t xml:space="preserve"> </w:t>
      </w:r>
      <w:r>
        <w:rPr>
          <w:color w:val="221F1F"/>
        </w:rPr>
        <w:t>be</w:t>
      </w:r>
      <w:r>
        <w:rPr>
          <w:color w:val="221F1F"/>
          <w:spacing w:val="-6"/>
        </w:rPr>
        <w:t xml:space="preserve"> </w:t>
      </w:r>
      <w:r>
        <w:rPr>
          <w:color w:val="221F1F"/>
        </w:rPr>
        <w:t>used</w:t>
      </w:r>
      <w:r>
        <w:rPr>
          <w:color w:val="221F1F"/>
          <w:spacing w:val="-9"/>
        </w:rPr>
        <w:t xml:space="preserve"> </w:t>
      </w:r>
      <w:r>
        <w:rPr>
          <w:color w:val="221F1F"/>
        </w:rPr>
        <w:t>for</w:t>
      </w:r>
      <w:r>
        <w:rPr>
          <w:color w:val="221F1F"/>
          <w:spacing w:val="-8"/>
        </w:rPr>
        <w:t xml:space="preserve"> </w:t>
      </w:r>
      <w:r>
        <w:rPr>
          <w:color w:val="221F1F"/>
        </w:rPr>
        <w:t>the</w:t>
      </w:r>
      <w:r>
        <w:rPr>
          <w:color w:val="221F1F"/>
          <w:spacing w:val="-6"/>
        </w:rPr>
        <w:t xml:space="preserve"> </w:t>
      </w:r>
      <w:r>
        <w:rPr>
          <w:color w:val="221F1F"/>
        </w:rPr>
        <w:t>purposes</w:t>
      </w:r>
      <w:r>
        <w:rPr>
          <w:color w:val="221F1F"/>
          <w:spacing w:val="-5"/>
        </w:rPr>
        <w:t xml:space="preserve"> </w:t>
      </w:r>
      <w:r>
        <w:rPr>
          <w:color w:val="221F1F"/>
        </w:rPr>
        <w:t>for</w:t>
      </w:r>
      <w:r>
        <w:rPr>
          <w:color w:val="221F1F"/>
          <w:spacing w:val="-5"/>
        </w:rPr>
        <w:t xml:space="preserve"> </w:t>
      </w:r>
      <w:r>
        <w:rPr>
          <w:color w:val="221F1F"/>
        </w:rPr>
        <w:t>which</w:t>
      </w:r>
      <w:r>
        <w:rPr>
          <w:color w:val="221F1F"/>
          <w:spacing w:val="-6"/>
        </w:rPr>
        <w:t xml:space="preserve"> </w:t>
      </w:r>
      <w:r>
        <w:rPr>
          <w:color w:val="221F1F"/>
        </w:rPr>
        <w:t>they</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line="230" w:lineRule="auto"/>
        <w:ind w:left="1366" w:right="570"/>
        <w:jc w:val="both"/>
      </w:pPr>
      <w:r>
        <w:rPr>
          <w:color w:val="221F1F"/>
        </w:rPr>
        <w:lastRenderedPageBreak/>
        <w:t>are</w:t>
      </w:r>
      <w:r>
        <w:rPr>
          <w:color w:val="221F1F"/>
          <w:spacing w:val="-1"/>
        </w:rPr>
        <w:t xml:space="preserve"> </w:t>
      </w:r>
      <w:r>
        <w:rPr>
          <w:color w:val="221F1F"/>
        </w:rPr>
        <w:t>intended</w:t>
      </w:r>
      <w:r>
        <w:rPr>
          <w:color w:val="221F1F"/>
          <w:spacing w:val="-1"/>
        </w:rPr>
        <w:t xml:space="preserve"> </w:t>
      </w:r>
      <w:r>
        <w:rPr>
          <w:color w:val="221F1F"/>
        </w:rPr>
        <w:t>by</w:t>
      </w:r>
      <w:r>
        <w:rPr>
          <w:color w:val="221F1F"/>
          <w:spacing w:val="-3"/>
        </w:rPr>
        <w:t xml:space="preserve"> </w:t>
      </w:r>
      <w:r>
        <w:rPr>
          <w:color w:val="221F1F"/>
        </w:rPr>
        <w:t>reason</w:t>
      </w:r>
      <w:r>
        <w:rPr>
          <w:color w:val="221F1F"/>
          <w:spacing w:val="-1"/>
        </w:rPr>
        <w:t xml:space="preserve"> </w:t>
      </w:r>
      <w:r>
        <w:rPr>
          <w:color w:val="221F1F"/>
        </w:rPr>
        <w:t>of</w:t>
      </w:r>
      <w:r>
        <w:rPr>
          <w:color w:val="221F1F"/>
          <w:spacing w:val="-3"/>
        </w:rPr>
        <w:t xml:space="preserve"> </w:t>
      </w:r>
      <w:r>
        <w:rPr>
          <w:color w:val="221F1F"/>
        </w:rPr>
        <w:t>a</w:t>
      </w:r>
      <w:r>
        <w:rPr>
          <w:color w:val="221F1F"/>
          <w:spacing w:val="-1"/>
        </w:rPr>
        <w:t xml:space="preserve"> </w:t>
      </w:r>
      <w:r>
        <w:rPr>
          <w:color w:val="221F1F"/>
        </w:rPr>
        <w:t>defect or</w:t>
      </w:r>
      <w:r>
        <w:rPr>
          <w:color w:val="221F1F"/>
          <w:spacing w:val="-1"/>
        </w:rPr>
        <w:t xml:space="preserve"> </w:t>
      </w:r>
      <w:r>
        <w:rPr>
          <w:color w:val="221F1F"/>
        </w:rPr>
        <w:t>by</w:t>
      </w:r>
      <w:r>
        <w:rPr>
          <w:color w:val="221F1F"/>
          <w:spacing w:val="-1"/>
        </w:rPr>
        <w:t xml:space="preserve"> </w:t>
      </w:r>
      <w:r>
        <w:rPr>
          <w:color w:val="221F1F"/>
        </w:rPr>
        <w:t>reason</w:t>
      </w:r>
      <w:r>
        <w:rPr>
          <w:color w:val="221F1F"/>
          <w:spacing w:val="-1"/>
        </w:rPr>
        <w:t xml:space="preserve"> </w:t>
      </w:r>
      <w:r>
        <w:rPr>
          <w:color w:val="221F1F"/>
        </w:rPr>
        <w:t>of</w:t>
      </w:r>
      <w:r>
        <w:rPr>
          <w:color w:val="221F1F"/>
          <w:spacing w:val="-1"/>
        </w:rPr>
        <w:t xml:space="preserve"> </w:t>
      </w:r>
      <w:r>
        <w:rPr>
          <w:color w:val="221F1F"/>
        </w:rPr>
        <w:t>damage</w:t>
      </w:r>
      <w:r>
        <w:rPr>
          <w:color w:val="221F1F"/>
          <w:spacing w:val="-1"/>
        </w:rPr>
        <w:t xml:space="preserve"> </w:t>
      </w:r>
      <w:r>
        <w:rPr>
          <w:color w:val="221F1F"/>
        </w:rPr>
        <w:t>attributable</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However,</w:t>
      </w:r>
      <w:r>
        <w:rPr>
          <w:color w:val="221F1F"/>
          <w:spacing w:val="-1"/>
        </w:rPr>
        <w:t xml:space="preserve"> </w:t>
      </w:r>
      <w:r>
        <w:rPr>
          <w:color w:val="221F1F"/>
        </w:rPr>
        <w:t>a</w:t>
      </w:r>
      <w:r>
        <w:rPr>
          <w:color w:val="221F1F"/>
          <w:spacing w:val="-1"/>
        </w:rPr>
        <w:t xml:space="preserve"> </w:t>
      </w:r>
      <w:r>
        <w:rPr>
          <w:color w:val="221F1F"/>
        </w:rPr>
        <w:t>Defects Notification Period shall not be extended by more than two years.</w:t>
      </w:r>
    </w:p>
    <w:p w:rsidR="007F6DF9" w:rsidRDefault="00A43FBC">
      <w:pPr>
        <w:pStyle w:val="ListParagraph"/>
        <w:numPr>
          <w:ilvl w:val="2"/>
          <w:numId w:val="122"/>
        </w:numPr>
        <w:tabs>
          <w:tab w:val="left" w:pos="1363"/>
          <w:tab w:val="left" w:pos="1366"/>
        </w:tabs>
        <w:spacing w:before="246" w:line="230" w:lineRule="auto"/>
        <w:ind w:left="1366" w:right="562" w:hanging="661"/>
        <w:jc w:val="both"/>
        <w:rPr>
          <w:color w:val="221F1F"/>
        </w:rPr>
      </w:pPr>
      <w:r>
        <w:rPr>
          <w:color w:val="221F1F"/>
        </w:rPr>
        <w:t>If delivery and/ or erection of Plant and/ or Materials was suspended under Sub-Clause 8.8 [Suspension of Work]</w:t>
      </w:r>
      <w:r>
        <w:rPr>
          <w:color w:val="221F1F"/>
          <w:spacing w:val="-14"/>
        </w:rPr>
        <w:t xml:space="preserve"> </w:t>
      </w:r>
      <w:r>
        <w:rPr>
          <w:color w:val="221F1F"/>
        </w:rPr>
        <w:t>or</w:t>
      </w:r>
      <w:r>
        <w:rPr>
          <w:color w:val="221F1F"/>
          <w:spacing w:val="-14"/>
        </w:rPr>
        <w:t xml:space="preserve"> </w:t>
      </w:r>
      <w:r>
        <w:rPr>
          <w:color w:val="221F1F"/>
        </w:rPr>
        <w:t>Sub-Clause</w:t>
      </w:r>
      <w:r>
        <w:rPr>
          <w:color w:val="221F1F"/>
          <w:spacing w:val="-14"/>
        </w:rPr>
        <w:t xml:space="preserve"> </w:t>
      </w:r>
      <w:r>
        <w:rPr>
          <w:color w:val="221F1F"/>
        </w:rPr>
        <w:t>16.1</w:t>
      </w:r>
      <w:r>
        <w:rPr>
          <w:color w:val="221F1F"/>
          <w:spacing w:val="-13"/>
        </w:rPr>
        <w:t xml:space="preserve"> </w:t>
      </w:r>
      <w:r>
        <w:rPr>
          <w:color w:val="221F1F"/>
        </w:rPr>
        <w:t>[Contractor's</w:t>
      </w:r>
      <w:r>
        <w:rPr>
          <w:color w:val="221F1F"/>
          <w:spacing w:val="-14"/>
        </w:rPr>
        <w:t xml:space="preserve"> </w:t>
      </w:r>
      <w:r>
        <w:rPr>
          <w:color w:val="221F1F"/>
        </w:rPr>
        <w:t>Entitlement</w:t>
      </w:r>
      <w:r>
        <w:rPr>
          <w:color w:val="221F1F"/>
          <w:spacing w:val="-14"/>
        </w:rPr>
        <w:t xml:space="preserve"> </w:t>
      </w:r>
      <w:r>
        <w:rPr>
          <w:color w:val="221F1F"/>
        </w:rPr>
        <w:t>to</w:t>
      </w:r>
      <w:r>
        <w:rPr>
          <w:color w:val="221F1F"/>
          <w:spacing w:val="-14"/>
        </w:rPr>
        <w:t xml:space="preserve"> </w:t>
      </w:r>
      <w:r>
        <w:rPr>
          <w:color w:val="221F1F"/>
        </w:rPr>
        <w:t>Suspend</w:t>
      </w:r>
      <w:r>
        <w:rPr>
          <w:color w:val="221F1F"/>
          <w:spacing w:val="-13"/>
        </w:rPr>
        <w:t xml:space="preserve"> </w:t>
      </w:r>
      <w:r>
        <w:rPr>
          <w:color w:val="221F1F"/>
        </w:rPr>
        <w:t>Work],</w:t>
      </w:r>
      <w:r>
        <w:rPr>
          <w:color w:val="221F1F"/>
          <w:spacing w:val="-14"/>
        </w:rPr>
        <w:t xml:space="preserve"> </w:t>
      </w:r>
      <w:r>
        <w:rPr>
          <w:color w:val="221F1F"/>
        </w:rPr>
        <w:t>the</w:t>
      </w:r>
      <w:r>
        <w:rPr>
          <w:color w:val="221F1F"/>
          <w:spacing w:val="-14"/>
        </w:rPr>
        <w:t xml:space="preserve"> </w:t>
      </w:r>
      <w:r>
        <w:rPr>
          <w:color w:val="221F1F"/>
        </w:rPr>
        <w:t>Contractor's</w:t>
      </w:r>
      <w:r>
        <w:rPr>
          <w:color w:val="221F1F"/>
          <w:spacing w:val="-14"/>
        </w:rPr>
        <w:t xml:space="preserve"> </w:t>
      </w:r>
      <w:r>
        <w:rPr>
          <w:color w:val="221F1F"/>
        </w:rPr>
        <w:t>obligations</w:t>
      </w:r>
      <w:r>
        <w:rPr>
          <w:color w:val="221F1F"/>
          <w:spacing w:val="-13"/>
        </w:rPr>
        <w:t xml:space="preserve"> </w:t>
      </w:r>
      <w:r>
        <w:rPr>
          <w:color w:val="221F1F"/>
        </w:rPr>
        <w:t>under</w:t>
      </w:r>
      <w:r>
        <w:rPr>
          <w:color w:val="221F1F"/>
          <w:spacing w:val="-14"/>
        </w:rPr>
        <w:t xml:space="preserve"> </w:t>
      </w:r>
      <w:r>
        <w:rPr>
          <w:color w:val="221F1F"/>
        </w:rPr>
        <w:t>this Clause</w:t>
      </w:r>
      <w:r>
        <w:rPr>
          <w:color w:val="221F1F"/>
          <w:spacing w:val="-3"/>
        </w:rPr>
        <w:t xml:space="preserve"> </w:t>
      </w:r>
      <w:r>
        <w:rPr>
          <w:color w:val="221F1F"/>
        </w:rPr>
        <w:t xml:space="preserve">shall not </w:t>
      </w:r>
      <w:proofErr w:type="spellStart"/>
      <w:r>
        <w:rPr>
          <w:color w:val="221F1F"/>
        </w:rPr>
        <w:t>appl</w:t>
      </w:r>
      <w:proofErr w:type="spellEnd"/>
      <w:r>
        <w:rPr>
          <w:color w:val="221F1F"/>
        </w:rPr>
        <w:t xml:space="preserve"> </w:t>
      </w:r>
      <w:proofErr w:type="spellStart"/>
      <w:r>
        <w:rPr>
          <w:color w:val="221F1F"/>
        </w:rPr>
        <w:t>yto</w:t>
      </w:r>
      <w:proofErr w:type="spellEnd"/>
      <w:r>
        <w:rPr>
          <w:color w:val="221F1F"/>
        </w:rPr>
        <w:t xml:space="preserve"> any</w:t>
      </w:r>
      <w:r>
        <w:rPr>
          <w:color w:val="221F1F"/>
          <w:spacing w:val="-1"/>
        </w:rPr>
        <w:t xml:space="preserve"> </w:t>
      </w:r>
      <w:proofErr w:type="spellStart"/>
      <w:r>
        <w:rPr>
          <w:color w:val="221F1F"/>
        </w:rPr>
        <w:t>defectsor</w:t>
      </w:r>
      <w:proofErr w:type="spellEnd"/>
      <w:r>
        <w:rPr>
          <w:color w:val="221F1F"/>
        </w:rPr>
        <w:t xml:space="preserve"> damage occurring more than two</w:t>
      </w:r>
      <w:r>
        <w:rPr>
          <w:color w:val="221F1F"/>
          <w:spacing w:val="-1"/>
        </w:rPr>
        <w:t xml:space="preserve"> </w:t>
      </w:r>
      <w:r>
        <w:rPr>
          <w:color w:val="221F1F"/>
        </w:rPr>
        <w:t>years after the Defects Notification Period for the Plant and/ or Materials would otherwise have expired.</w:t>
      </w:r>
    </w:p>
    <w:p w:rsidR="007F6DF9" w:rsidRDefault="00A43FBC">
      <w:pPr>
        <w:pStyle w:val="Heading9"/>
        <w:numPr>
          <w:ilvl w:val="1"/>
          <w:numId w:val="122"/>
        </w:numPr>
        <w:tabs>
          <w:tab w:val="left" w:pos="1373"/>
        </w:tabs>
        <w:spacing w:before="237"/>
        <w:ind w:left="1373" w:hanging="667"/>
        <w:rPr>
          <w:color w:val="221F1F"/>
        </w:rPr>
      </w:pPr>
      <w:r>
        <w:rPr>
          <w:color w:val="221F1F"/>
        </w:rPr>
        <w:t>Failure</w:t>
      </w:r>
      <w:r>
        <w:rPr>
          <w:color w:val="221F1F"/>
          <w:spacing w:val="-4"/>
        </w:rPr>
        <w:t xml:space="preserve"> </w:t>
      </w:r>
      <w:r>
        <w:rPr>
          <w:color w:val="221F1F"/>
        </w:rPr>
        <w:t>to</w:t>
      </w:r>
      <w:r>
        <w:rPr>
          <w:color w:val="221F1F"/>
          <w:spacing w:val="-3"/>
        </w:rPr>
        <w:t xml:space="preserve"> </w:t>
      </w:r>
      <w:r>
        <w:rPr>
          <w:color w:val="221F1F"/>
        </w:rPr>
        <w:t>Remedy</w:t>
      </w:r>
      <w:r>
        <w:rPr>
          <w:color w:val="221F1F"/>
          <w:spacing w:val="-2"/>
        </w:rPr>
        <w:t xml:space="preserve"> Defects</w:t>
      </w:r>
    </w:p>
    <w:p w:rsidR="007F6DF9" w:rsidRDefault="00A43FBC">
      <w:pPr>
        <w:pStyle w:val="ListParagraph"/>
        <w:numPr>
          <w:ilvl w:val="2"/>
          <w:numId w:val="122"/>
        </w:numPr>
        <w:tabs>
          <w:tab w:val="left" w:pos="1363"/>
          <w:tab w:val="left" w:pos="1366"/>
        </w:tabs>
        <w:spacing w:before="243" w:line="230" w:lineRule="auto"/>
        <w:ind w:left="1366" w:right="571" w:hanging="661"/>
        <w:jc w:val="both"/>
        <w:rPr>
          <w:color w:val="221F1F"/>
        </w:rPr>
      </w:pPr>
      <w:r>
        <w:rPr>
          <w:color w:val="221F1F"/>
        </w:rPr>
        <w:t>If the Contractor fails to remedy any defect or damage within a reasonable time, a date may be fixed by the Engineer, on or by which the defect or damage is to be remedied. The Contractor shall be given reasonable notice of this date.</w:t>
      </w:r>
    </w:p>
    <w:p w:rsidR="007F6DF9" w:rsidRDefault="00A43FBC">
      <w:pPr>
        <w:pStyle w:val="ListParagraph"/>
        <w:numPr>
          <w:ilvl w:val="2"/>
          <w:numId w:val="122"/>
        </w:numPr>
        <w:tabs>
          <w:tab w:val="left" w:pos="1366"/>
          <w:tab w:val="left" w:pos="1369"/>
        </w:tabs>
        <w:spacing w:before="130" w:line="230" w:lineRule="auto"/>
        <w:ind w:left="1369" w:right="550" w:hanging="661"/>
        <w:jc w:val="both"/>
        <w:rPr>
          <w:color w:val="221F1F"/>
        </w:rPr>
      </w:pPr>
      <w:r>
        <w:rPr>
          <w:color w:val="221F1F"/>
        </w:rPr>
        <w:t xml:space="preserve">If the Contractor fails to remedy the defect or damage by this notified date and this remedial work was to be executed at the cost of the Contractor under Sub-Clause 11.2[ </w:t>
      </w:r>
      <w:proofErr w:type="spellStart"/>
      <w:r>
        <w:rPr>
          <w:color w:val="221F1F"/>
        </w:rPr>
        <w:t>Costo</w:t>
      </w:r>
      <w:proofErr w:type="spellEnd"/>
      <w:r>
        <w:rPr>
          <w:color w:val="221F1F"/>
        </w:rPr>
        <w:t xml:space="preserve"> f Remedying Defects], the Procuring Entity may (at his option):</w:t>
      </w:r>
    </w:p>
    <w:p w:rsidR="007F6DF9" w:rsidRDefault="00A43FBC">
      <w:pPr>
        <w:pStyle w:val="ListParagraph"/>
        <w:numPr>
          <w:ilvl w:val="0"/>
          <w:numId w:val="98"/>
        </w:numPr>
        <w:tabs>
          <w:tab w:val="left" w:pos="1940"/>
        </w:tabs>
        <w:spacing w:before="47" w:line="232" w:lineRule="auto"/>
        <w:ind w:right="551"/>
        <w:jc w:val="both"/>
      </w:pPr>
      <w:r>
        <w:rPr>
          <w:color w:val="221F1F"/>
        </w:rPr>
        <w:t>Carry out the work itself or by others, in a reasonable manner and at the Contractor's cost, but the Contractor shall have no responsibility for this work; and the Contractor shall subject to Sub-Clause</w:t>
      </w:r>
    </w:p>
    <w:p w:rsidR="007F6DF9" w:rsidRDefault="00A43FBC">
      <w:pPr>
        <w:pStyle w:val="BodyText"/>
        <w:spacing w:line="230" w:lineRule="auto"/>
        <w:ind w:left="1940" w:right="559"/>
        <w:jc w:val="both"/>
      </w:pPr>
      <w:r>
        <w:rPr>
          <w:color w:val="221F1F"/>
        </w:rPr>
        <w:t>2.5 [Procuring Entity's Claims] pay to the Procuring Entity the costs reasonably incurred by the Procuring Entity in remedying the defect or damage;</w:t>
      </w:r>
    </w:p>
    <w:p w:rsidR="007F6DF9" w:rsidRDefault="00A43FBC">
      <w:pPr>
        <w:pStyle w:val="ListParagraph"/>
        <w:numPr>
          <w:ilvl w:val="0"/>
          <w:numId w:val="98"/>
        </w:numPr>
        <w:tabs>
          <w:tab w:val="left" w:pos="1938"/>
          <w:tab w:val="left" w:pos="1940"/>
        </w:tabs>
        <w:spacing w:before="35" w:line="237" w:lineRule="auto"/>
        <w:ind w:right="599" w:hanging="668"/>
        <w:jc w:val="both"/>
      </w:pPr>
      <w:proofErr w:type="spellStart"/>
      <w:r>
        <w:rPr>
          <w:color w:val="221F1F"/>
        </w:rPr>
        <w:t>Requirethe</w:t>
      </w:r>
      <w:proofErr w:type="spellEnd"/>
      <w:r>
        <w:rPr>
          <w:color w:val="221F1F"/>
          <w:spacing w:val="-1"/>
        </w:rPr>
        <w:t xml:space="preserve"> </w:t>
      </w:r>
      <w:r>
        <w:rPr>
          <w:color w:val="221F1F"/>
        </w:rPr>
        <w:t>Architect to</w:t>
      </w:r>
      <w:r>
        <w:rPr>
          <w:color w:val="221F1F"/>
          <w:spacing w:val="-1"/>
        </w:rPr>
        <w:t xml:space="preserve"> </w:t>
      </w:r>
      <w:r>
        <w:rPr>
          <w:color w:val="221F1F"/>
        </w:rPr>
        <w:t>agree</w:t>
      </w:r>
      <w:r>
        <w:rPr>
          <w:color w:val="221F1F"/>
          <w:spacing w:val="-1"/>
        </w:rPr>
        <w:t xml:space="preserve"> </w:t>
      </w:r>
      <w:r>
        <w:rPr>
          <w:color w:val="221F1F"/>
        </w:rPr>
        <w:t>or</w:t>
      </w:r>
      <w:r>
        <w:rPr>
          <w:color w:val="221F1F"/>
          <w:spacing w:val="-3"/>
        </w:rPr>
        <w:t xml:space="preserve"> </w:t>
      </w:r>
      <w:r>
        <w:rPr>
          <w:color w:val="221F1F"/>
        </w:rPr>
        <w:t>determine</w:t>
      </w:r>
      <w:r>
        <w:rPr>
          <w:color w:val="221F1F"/>
          <w:spacing w:val="-1"/>
        </w:rPr>
        <w:t xml:space="preserve"> </w:t>
      </w:r>
      <w:r>
        <w:rPr>
          <w:color w:val="221F1F"/>
        </w:rPr>
        <w:t>a</w:t>
      </w:r>
      <w:r>
        <w:rPr>
          <w:color w:val="221F1F"/>
          <w:spacing w:val="-3"/>
        </w:rPr>
        <w:t xml:space="preserve"> </w:t>
      </w:r>
      <w:r>
        <w:rPr>
          <w:color w:val="221F1F"/>
        </w:rPr>
        <w:t>reasonable</w:t>
      </w:r>
      <w:r>
        <w:rPr>
          <w:color w:val="221F1F"/>
          <w:spacing w:val="-1"/>
        </w:rPr>
        <w:t xml:space="preserve"> </w:t>
      </w:r>
      <w:r>
        <w:rPr>
          <w:color w:val="221F1F"/>
        </w:rPr>
        <w:t>reduction</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w:t>
      </w:r>
      <w:r>
        <w:rPr>
          <w:color w:val="221F1F"/>
          <w:spacing w:val="-4"/>
        </w:rPr>
        <w:t xml:space="preserve"> </w:t>
      </w:r>
      <w:r>
        <w:rPr>
          <w:color w:val="221F1F"/>
        </w:rPr>
        <w:t>Price</w:t>
      </w:r>
      <w:r>
        <w:rPr>
          <w:color w:val="221F1F"/>
          <w:spacing w:val="-1"/>
        </w:rPr>
        <w:t xml:space="preserve"> </w:t>
      </w:r>
      <w:r>
        <w:rPr>
          <w:color w:val="221F1F"/>
        </w:rPr>
        <w:t>in</w:t>
      </w:r>
      <w:r>
        <w:rPr>
          <w:color w:val="221F1F"/>
          <w:spacing w:val="-4"/>
        </w:rPr>
        <w:t xml:space="preserve"> </w:t>
      </w:r>
      <w:r>
        <w:rPr>
          <w:color w:val="221F1F"/>
        </w:rPr>
        <w:t>accordance with Sub-Clause 3.5 [Determinations]; or</w:t>
      </w:r>
    </w:p>
    <w:p w:rsidR="007F6DF9" w:rsidRDefault="00A43FBC">
      <w:pPr>
        <w:pStyle w:val="ListParagraph"/>
        <w:numPr>
          <w:ilvl w:val="0"/>
          <w:numId w:val="98"/>
        </w:numPr>
        <w:tabs>
          <w:tab w:val="left" w:pos="1940"/>
        </w:tabs>
        <w:spacing w:before="48" w:line="230" w:lineRule="auto"/>
        <w:ind w:right="550"/>
        <w:jc w:val="both"/>
      </w:pPr>
      <w:r>
        <w:rPr>
          <w:color w:val="221F1F"/>
        </w:rPr>
        <w:t>if</w:t>
      </w:r>
      <w:r>
        <w:rPr>
          <w:color w:val="221F1F"/>
          <w:spacing w:val="-9"/>
        </w:rPr>
        <w:t xml:space="preserve"> </w:t>
      </w:r>
      <w:r>
        <w:rPr>
          <w:color w:val="221F1F"/>
        </w:rPr>
        <w:t>the</w:t>
      </w:r>
      <w:r>
        <w:rPr>
          <w:color w:val="221F1F"/>
          <w:spacing w:val="-8"/>
        </w:rPr>
        <w:t xml:space="preserve"> </w:t>
      </w:r>
      <w:r>
        <w:rPr>
          <w:color w:val="221F1F"/>
        </w:rPr>
        <w:t>defect</w:t>
      </w:r>
      <w:r>
        <w:rPr>
          <w:color w:val="221F1F"/>
          <w:spacing w:val="-7"/>
        </w:rPr>
        <w:t xml:space="preserve"> </w:t>
      </w:r>
      <w:r>
        <w:rPr>
          <w:color w:val="221F1F"/>
        </w:rPr>
        <w:t>or</w:t>
      </w:r>
      <w:r>
        <w:rPr>
          <w:color w:val="221F1F"/>
          <w:spacing w:val="-7"/>
        </w:rPr>
        <w:t xml:space="preserve"> </w:t>
      </w:r>
      <w:r>
        <w:rPr>
          <w:color w:val="221F1F"/>
        </w:rPr>
        <w:t>damage</w:t>
      </w:r>
      <w:r>
        <w:rPr>
          <w:color w:val="221F1F"/>
          <w:spacing w:val="-8"/>
        </w:rPr>
        <w:t xml:space="preserve"> </w:t>
      </w:r>
      <w:r>
        <w:rPr>
          <w:color w:val="221F1F"/>
        </w:rPr>
        <w:t>deprives</w:t>
      </w:r>
      <w:r>
        <w:rPr>
          <w:color w:val="221F1F"/>
          <w:spacing w:val="-10"/>
        </w:rPr>
        <w:t xml:space="preserve"> </w:t>
      </w:r>
      <w:r>
        <w:rPr>
          <w:color w:val="221F1F"/>
        </w:rPr>
        <w:t>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of</w:t>
      </w:r>
      <w:r>
        <w:rPr>
          <w:color w:val="221F1F"/>
          <w:spacing w:val="-10"/>
        </w:rPr>
        <w:t xml:space="preserve"> </w:t>
      </w:r>
      <w:r>
        <w:rPr>
          <w:color w:val="221F1F"/>
        </w:rPr>
        <w:t>substantially</w:t>
      </w:r>
      <w:r>
        <w:rPr>
          <w:color w:val="221F1F"/>
          <w:spacing w:val="-11"/>
        </w:rPr>
        <w:t xml:space="preserve"> </w:t>
      </w:r>
      <w:r>
        <w:rPr>
          <w:color w:val="221F1F"/>
        </w:rPr>
        <w:t>the</w:t>
      </w:r>
      <w:r>
        <w:rPr>
          <w:color w:val="221F1F"/>
          <w:spacing w:val="-8"/>
        </w:rPr>
        <w:t xml:space="preserve"> </w:t>
      </w:r>
      <w:r>
        <w:rPr>
          <w:color w:val="221F1F"/>
        </w:rPr>
        <w:t>whole</w:t>
      </w:r>
      <w:r>
        <w:rPr>
          <w:color w:val="221F1F"/>
          <w:spacing w:val="-8"/>
        </w:rPr>
        <w:t xml:space="preserve"> </w:t>
      </w:r>
      <w:r>
        <w:rPr>
          <w:color w:val="221F1F"/>
        </w:rPr>
        <w:t>benefit</w:t>
      </w:r>
      <w:r>
        <w:rPr>
          <w:color w:val="221F1F"/>
          <w:spacing w:val="-2"/>
        </w:rPr>
        <w:t xml:space="preserve"> </w:t>
      </w:r>
      <w:r>
        <w:rPr>
          <w:color w:val="221F1F"/>
        </w:rPr>
        <w:t>of</w:t>
      </w:r>
      <w:r>
        <w:rPr>
          <w:color w:val="221F1F"/>
          <w:spacing w:val="-10"/>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or any major part of the Works,</w:t>
      </w:r>
      <w:r>
        <w:rPr>
          <w:color w:val="221F1F"/>
          <w:spacing w:val="-4"/>
        </w:rPr>
        <w:t xml:space="preserve"> </w:t>
      </w:r>
      <w:r>
        <w:rPr>
          <w:color w:val="221F1F"/>
        </w:rPr>
        <w:t xml:space="preserve">terminate the </w:t>
      </w:r>
      <w:proofErr w:type="spellStart"/>
      <w:r>
        <w:rPr>
          <w:color w:val="221F1F"/>
        </w:rPr>
        <w:t>Contractas</w:t>
      </w:r>
      <w:proofErr w:type="spellEnd"/>
      <w:r>
        <w:rPr>
          <w:color w:val="221F1F"/>
        </w:rPr>
        <w:t xml:space="preserve"> a whole, or in respect of such major part which cannot</w:t>
      </w:r>
      <w:r>
        <w:rPr>
          <w:color w:val="221F1F"/>
          <w:spacing w:val="-10"/>
        </w:rPr>
        <w:t xml:space="preserve"> </w:t>
      </w:r>
      <w:r>
        <w:rPr>
          <w:color w:val="221F1F"/>
        </w:rPr>
        <w:t>be</w:t>
      </w:r>
      <w:r>
        <w:rPr>
          <w:color w:val="221F1F"/>
          <w:spacing w:val="-11"/>
        </w:rPr>
        <w:t xml:space="preserve"> </w:t>
      </w:r>
      <w:r>
        <w:rPr>
          <w:color w:val="221F1F"/>
        </w:rPr>
        <w:t>put</w:t>
      </w:r>
      <w:r>
        <w:rPr>
          <w:color w:val="221F1F"/>
          <w:spacing w:val="-13"/>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intended</w:t>
      </w:r>
      <w:r>
        <w:rPr>
          <w:color w:val="221F1F"/>
          <w:spacing w:val="-12"/>
        </w:rPr>
        <w:t xml:space="preserve"> </w:t>
      </w:r>
      <w:r>
        <w:rPr>
          <w:color w:val="221F1F"/>
        </w:rPr>
        <w:t>use.</w:t>
      </w:r>
      <w:r>
        <w:rPr>
          <w:color w:val="221F1F"/>
          <w:spacing w:val="-14"/>
        </w:rPr>
        <w:t xml:space="preserve"> </w:t>
      </w:r>
      <w:r>
        <w:rPr>
          <w:color w:val="221F1F"/>
        </w:rPr>
        <w:t>Without</w:t>
      </w:r>
      <w:r>
        <w:rPr>
          <w:color w:val="221F1F"/>
          <w:spacing w:val="-13"/>
        </w:rPr>
        <w:t xml:space="preserve"> </w:t>
      </w:r>
      <w:r>
        <w:rPr>
          <w:color w:val="221F1F"/>
        </w:rPr>
        <w:t>prejudice</w:t>
      </w:r>
      <w:r>
        <w:rPr>
          <w:color w:val="221F1F"/>
          <w:spacing w:val="-13"/>
        </w:rPr>
        <w:t xml:space="preserve"> </w:t>
      </w:r>
      <w:r>
        <w:rPr>
          <w:color w:val="221F1F"/>
        </w:rPr>
        <w:t>to</w:t>
      </w:r>
      <w:r>
        <w:rPr>
          <w:color w:val="221F1F"/>
          <w:spacing w:val="-14"/>
        </w:rPr>
        <w:t xml:space="preserve"> </w:t>
      </w:r>
      <w:r>
        <w:rPr>
          <w:color w:val="221F1F"/>
        </w:rPr>
        <w:t>any</w:t>
      </w:r>
      <w:r>
        <w:rPr>
          <w:color w:val="221F1F"/>
          <w:spacing w:val="-11"/>
        </w:rPr>
        <w:t xml:space="preserve"> </w:t>
      </w:r>
      <w:r>
        <w:rPr>
          <w:color w:val="221F1F"/>
        </w:rPr>
        <w:t>other</w:t>
      </w:r>
      <w:r>
        <w:rPr>
          <w:color w:val="221F1F"/>
          <w:spacing w:val="-13"/>
        </w:rPr>
        <w:t xml:space="preserve"> </w:t>
      </w:r>
      <w:r>
        <w:rPr>
          <w:color w:val="221F1F"/>
        </w:rPr>
        <w:t>rights,</w:t>
      </w:r>
      <w:r>
        <w:rPr>
          <w:color w:val="221F1F"/>
          <w:spacing w:val="-13"/>
        </w:rPr>
        <w:t xml:space="preserve"> </w:t>
      </w:r>
      <w:r>
        <w:rPr>
          <w:color w:val="221F1F"/>
        </w:rPr>
        <w:t>under</w:t>
      </w:r>
      <w:r>
        <w:rPr>
          <w:color w:val="221F1F"/>
          <w:spacing w:val="-12"/>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otherwise, the Procuring Entity shall then be entitled to recover all sums paid for the Works</w:t>
      </w:r>
      <w:r>
        <w:rPr>
          <w:color w:val="221F1F"/>
          <w:spacing w:val="-1"/>
        </w:rPr>
        <w:t xml:space="preserve"> </w:t>
      </w:r>
      <w:r>
        <w:rPr>
          <w:color w:val="221F1F"/>
        </w:rPr>
        <w:t>or for such part (as the case may be), plus financing costs and the cost of dismantling the same, clearing the Site and returning Plant and Materials to the Contractor.</w:t>
      </w:r>
    </w:p>
    <w:p w:rsidR="007F6DF9" w:rsidRDefault="00A43FBC">
      <w:pPr>
        <w:pStyle w:val="Heading9"/>
        <w:numPr>
          <w:ilvl w:val="1"/>
          <w:numId w:val="122"/>
        </w:numPr>
        <w:tabs>
          <w:tab w:val="left" w:pos="1376"/>
        </w:tabs>
        <w:spacing w:before="236"/>
        <w:ind w:left="1376" w:hanging="668"/>
        <w:rPr>
          <w:color w:val="221F1F"/>
        </w:rPr>
      </w:pPr>
      <w:r>
        <w:rPr>
          <w:color w:val="221F1F"/>
        </w:rPr>
        <w:t>Removal</w:t>
      </w:r>
      <w:r>
        <w:rPr>
          <w:color w:val="221F1F"/>
          <w:spacing w:val="-3"/>
        </w:rPr>
        <w:t xml:space="preserve"> </w:t>
      </w:r>
      <w:r>
        <w:rPr>
          <w:color w:val="221F1F"/>
        </w:rPr>
        <w:t>of</w:t>
      </w:r>
      <w:r>
        <w:rPr>
          <w:color w:val="221F1F"/>
          <w:spacing w:val="-4"/>
        </w:rPr>
        <w:t xml:space="preserve"> </w:t>
      </w:r>
      <w:r>
        <w:rPr>
          <w:color w:val="221F1F"/>
        </w:rPr>
        <w:t>Defective</w:t>
      </w:r>
      <w:r>
        <w:rPr>
          <w:color w:val="221F1F"/>
          <w:spacing w:val="-3"/>
        </w:rPr>
        <w:t xml:space="preserve"> </w:t>
      </w:r>
      <w:r>
        <w:rPr>
          <w:color w:val="221F1F"/>
          <w:spacing w:val="-4"/>
        </w:rPr>
        <w:t>Work</w:t>
      </w:r>
    </w:p>
    <w:p w:rsidR="007F6DF9" w:rsidRDefault="00A43FBC">
      <w:pPr>
        <w:pStyle w:val="BodyText"/>
        <w:spacing w:before="243" w:line="230" w:lineRule="auto"/>
        <w:ind w:left="1369" w:right="550" w:firstLine="7"/>
        <w:jc w:val="both"/>
      </w:pPr>
      <w:r>
        <w:rPr>
          <w:color w:val="221F1F"/>
        </w:rPr>
        <w:t>If the defector damage</w:t>
      </w:r>
      <w:r>
        <w:rPr>
          <w:color w:val="221F1F"/>
          <w:spacing w:val="-1"/>
        </w:rPr>
        <w:t xml:space="preserve"> </w:t>
      </w:r>
      <w:r>
        <w:rPr>
          <w:color w:val="221F1F"/>
        </w:rPr>
        <w:t>cannot be</w:t>
      </w:r>
      <w:r>
        <w:rPr>
          <w:color w:val="221F1F"/>
          <w:spacing w:val="-2"/>
        </w:rPr>
        <w:t xml:space="preserve"> </w:t>
      </w:r>
      <w:r>
        <w:rPr>
          <w:color w:val="221F1F"/>
        </w:rPr>
        <w:t>remedied expeditiously on</w:t>
      </w:r>
      <w:r>
        <w:rPr>
          <w:color w:val="221F1F"/>
          <w:spacing w:val="-2"/>
        </w:rPr>
        <w:t xml:space="preserve"> </w:t>
      </w:r>
      <w:r>
        <w:rPr>
          <w:color w:val="221F1F"/>
        </w:rPr>
        <w:t>the Site and</w:t>
      </w:r>
      <w:r>
        <w:rPr>
          <w:color w:val="221F1F"/>
          <w:spacing w:val="-2"/>
        </w:rPr>
        <w:t xml:space="preserve"> </w:t>
      </w:r>
      <w:r>
        <w:rPr>
          <w:color w:val="221F1F"/>
        </w:rPr>
        <w:t>the Procuring Entity gives consent, the Contractor may remove from the Site for the purposes of repair such items of Plant as are defective or damaged.</w:t>
      </w:r>
      <w:r>
        <w:rPr>
          <w:color w:val="221F1F"/>
          <w:spacing w:val="-6"/>
        </w:rPr>
        <w:t xml:space="preserve"> </w:t>
      </w:r>
      <w:r>
        <w:rPr>
          <w:color w:val="221F1F"/>
        </w:rPr>
        <w:t>This</w:t>
      </w:r>
      <w:r>
        <w:rPr>
          <w:color w:val="221F1F"/>
          <w:spacing w:val="-5"/>
        </w:rPr>
        <w:t xml:space="preserve"> </w:t>
      </w:r>
      <w:r>
        <w:rPr>
          <w:color w:val="221F1F"/>
        </w:rPr>
        <w:t>consent</w:t>
      </w:r>
      <w:r>
        <w:rPr>
          <w:color w:val="221F1F"/>
          <w:spacing w:val="-7"/>
        </w:rPr>
        <w:t xml:space="preserve"> </w:t>
      </w:r>
      <w:r>
        <w:rPr>
          <w:color w:val="221F1F"/>
        </w:rPr>
        <w:t>may</w:t>
      </w:r>
      <w:r>
        <w:rPr>
          <w:color w:val="221F1F"/>
          <w:spacing w:val="-8"/>
        </w:rPr>
        <w:t xml:space="preserve"> </w:t>
      </w:r>
      <w:r>
        <w:rPr>
          <w:color w:val="221F1F"/>
        </w:rPr>
        <w:t>require</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to</w:t>
      </w:r>
      <w:r>
        <w:rPr>
          <w:color w:val="221F1F"/>
          <w:spacing w:val="-6"/>
        </w:rPr>
        <w:t xml:space="preserve"> </w:t>
      </w:r>
      <w:r>
        <w:rPr>
          <w:color w:val="221F1F"/>
        </w:rPr>
        <w:t>increase</w:t>
      </w:r>
      <w:r>
        <w:rPr>
          <w:color w:val="221F1F"/>
          <w:spacing w:val="-5"/>
        </w:rPr>
        <w:t xml:space="preserve"> </w:t>
      </w:r>
      <w:r>
        <w:rPr>
          <w:color w:val="221F1F"/>
        </w:rPr>
        <w:t>the</w:t>
      </w:r>
      <w:r>
        <w:rPr>
          <w:color w:val="221F1F"/>
          <w:spacing w:val="-6"/>
        </w:rPr>
        <w:t xml:space="preserve"> </w:t>
      </w:r>
      <w:r>
        <w:rPr>
          <w:color w:val="221F1F"/>
        </w:rPr>
        <w:t>amount</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6"/>
        </w:rPr>
        <w:t xml:space="preserve"> </w:t>
      </w:r>
      <w:r>
        <w:rPr>
          <w:color w:val="221F1F"/>
        </w:rPr>
        <w:t>Security</w:t>
      </w:r>
      <w:r>
        <w:rPr>
          <w:color w:val="221F1F"/>
          <w:spacing w:val="-6"/>
        </w:rPr>
        <w:t xml:space="preserve"> </w:t>
      </w:r>
      <w:r>
        <w:rPr>
          <w:color w:val="221F1F"/>
        </w:rPr>
        <w:t>by</w:t>
      </w:r>
      <w:r>
        <w:rPr>
          <w:color w:val="221F1F"/>
          <w:spacing w:val="-9"/>
        </w:rPr>
        <w:t xml:space="preserve"> </w:t>
      </w:r>
      <w:r>
        <w:rPr>
          <w:color w:val="221F1F"/>
        </w:rPr>
        <w:t>the full replacement cost of these items, or to provide other appropriate security.</w:t>
      </w:r>
    </w:p>
    <w:p w:rsidR="007F6DF9" w:rsidRDefault="00A43FBC">
      <w:pPr>
        <w:pStyle w:val="Heading9"/>
        <w:numPr>
          <w:ilvl w:val="1"/>
          <w:numId w:val="122"/>
        </w:numPr>
        <w:tabs>
          <w:tab w:val="left" w:pos="1376"/>
        </w:tabs>
        <w:spacing w:before="240"/>
        <w:ind w:left="1376" w:hanging="668"/>
        <w:rPr>
          <w:color w:val="221F1F"/>
        </w:rPr>
      </w:pPr>
      <w:r>
        <w:rPr>
          <w:color w:val="221F1F"/>
        </w:rPr>
        <w:t>Further</w:t>
      </w:r>
      <w:r>
        <w:rPr>
          <w:color w:val="221F1F"/>
          <w:spacing w:val="-4"/>
        </w:rPr>
        <w:t xml:space="preserve"> </w:t>
      </w:r>
      <w:r>
        <w:rPr>
          <w:color w:val="221F1F"/>
          <w:spacing w:val="-2"/>
        </w:rPr>
        <w:t>Tests</w:t>
      </w:r>
    </w:p>
    <w:p w:rsidR="007F6DF9" w:rsidRDefault="00A43FBC">
      <w:pPr>
        <w:pStyle w:val="ListParagraph"/>
        <w:numPr>
          <w:ilvl w:val="2"/>
          <w:numId w:val="122"/>
        </w:numPr>
        <w:tabs>
          <w:tab w:val="left" w:pos="1366"/>
          <w:tab w:val="left" w:pos="1369"/>
        </w:tabs>
        <w:spacing w:before="240" w:line="230" w:lineRule="auto"/>
        <w:ind w:left="1369" w:right="550" w:hanging="661"/>
        <w:jc w:val="both"/>
        <w:rPr>
          <w:color w:val="221F1F"/>
        </w:rPr>
      </w:pPr>
      <w:r>
        <w:rPr>
          <w:color w:val="221F1F"/>
        </w:rPr>
        <w:t>If</w:t>
      </w:r>
      <w:r>
        <w:rPr>
          <w:color w:val="221F1F"/>
          <w:spacing w:val="-11"/>
        </w:rPr>
        <w:t xml:space="preserve"> </w:t>
      </w:r>
      <w:r>
        <w:rPr>
          <w:color w:val="221F1F"/>
        </w:rPr>
        <w:t>the</w:t>
      </w:r>
      <w:r>
        <w:rPr>
          <w:color w:val="221F1F"/>
          <w:spacing w:val="-9"/>
        </w:rPr>
        <w:t xml:space="preserve"> </w:t>
      </w:r>
      <w:r>
        <w:rPr>
          <w:color w:val="221F1F"/>
        </w:rPr>
        <w:t>work</w:t>
      </w:r>
      <w:r>
        <w:rPr>
          <w:color w:val="221F1F"/>
          <w:spacing w:val="-12"/>
        </w:rPr>
        <w:t xml:space="preserve"> </w:t>
      </w:r>
      <w:r>
        <w:rPr>
          <w:color w:val="221F1F"/>
        </w:rPr>
        <w:t>of</w:t>
      </w:r>
      <w:r>
        <w:rPr>
          <w:color w:val="221F1F"/>
          <w:spacing w:val="-9"/>
        </w:rPr>
        <w:t xml:space="preserve"> </w:t>
      </w:r>
      <w:r>
        <w:rPr>
          <w:color w:val="221F1F"/>
        </w:rPr>
        <w:t>remedying</w:t>
      </w:r>
      <w:r>
        <w:rPr>
          <w:color w:val="221F1F"/>
          <w:spacing w:val="-9"/>
        </w:rPr>
        <w:t xml:space="preserve"> </w:t>
      </w:r>
      <w:r>
        <w:rPr>
          <w:color w:val="221F1F"/>
        </w:rPr>
        <w:t>of</w:t>
      </w:r>
      <w:r>
        <w:rPr>
          <w:color w:val="221F1F"/>
          <w:spacing w:val="-11"/>
        </w:rPr>
        <w:t xml:space="preserve"> </w:t>
      </w:r>
      <w:r>
        <w:rPr>
          <w:color w:val="221F1F"/>
        </w:rPr>
        <w:t>any</w:t>
      </w:r>
      <w:r>
        <w:rPr>
          <w:color w:val="221F1F"/>
          <w:spacing w:val="-9"/>
        </w:rPr>
        <w:t xml:space="preserve"> </w:t>
      </w:r>
      <w:r>
        <w:rPr>
          <w:color w:val="221F1F"/>
        </w:rPr>
        <w:t>defector</w:t>
      </w:r>
      <w:r>
        <w:rPr>
          <w:color w:val="221F1F"/>
          <w:spacing w:val="-8"/>
        </w:rPr>
        <w:t xml:space="preserve"> </w:t>
      </w:r>
      <w:r>
        <w:rPr>
          <w:color w:val="221F1F"/>
        </w:rPr>
        <w:t>damage</w:t>
      </w:r>
      <w:r>
        <w:rPr>
          <w:color w:val="221F1F"/>
          <w:spacing w:val="-11"/>
        </w:rPr>
        <w:t xml:space="preserve"> </w:t>
      </w:r>
      <w:r>
        <w:rPr>
          <w:color w:val="221F1F"/>
        </w:rPr>
        <w:t>may</w:t>
      </w:r>
      <w:r>
        <w:rPr>
          <w:color w:val="221F1F"/>
          <w:spacing w:val="-11"/>
        </w:rPr>
        <w:t xml:space="preserve"> </w:t>
      </w:r>
      <w:r>
        <w:rPr>
          <w:color w:val="221F1F"/>
        </w:rPr>
        <w:t>affect</w:t>
      </w:r>
      <w:r>
        <w:rPr>
          <w:color w:val="221F1F"/>
          <w:spacing w:val="-10"/>
        </w:rPr>
        <w:t xml:space="preserve"> </w:t>
      </w:r>
      <w:r>
        <w:rPr>
          <w:color w:val="221F1F"/>
        </w:rPr>
        <w:t>the</w:t>
      </w:r>
      <w:r>
        <w:rPr>
          <w:color w:val="221F1F"/>
          <w:spacing w:val="-9"/>
        </w:rPr>
        <w:t xml:space="preserve"> </w:t>
      </w:r>
      <w:r>
        <w:rPr>
          <w:color w:val="221F1F"/>
        </w:rPr>
        <w:t>performance</w:t>
      </w:r>
      <w:r>
        <w:rPr>
          <w:color w:val="221F1F"/>
          <w:spacing w:val="-8"/>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Works,</w:t>
      </w:r>
      <w:r>
        <w:rPr>
          <w:color w:val="221F1F"/>
          <w:spacing w:val="-14"/>
        </w:rPr>
        <w:t xml:space="preserve"> </w:t>
      </w:r>
      <w:r>
        <w:rPr>
          <w:color w:val="221F1F"/>
        </w:rPr>
        <w:t>the</w:t>
      </w:r>
      <w:r>
        <w:rPr>
          <w:color w:val="221F1F"/>
          <w:spacing w:val="-8"/>
        </w:rPr>
        <w:t xml:space="preserve"> </w:t>
      </w:r>
      <w:r>
        <w:rPr>
          <w:color w:val="221F1F"/>
        </w:rPr>
        <w:t>Architect</w:t>
      </w:r>
      <w:r>
        <w:rPr>
          <w:color w:val="221F1F"/>
          <w:spacing w:val="-10"/>
        </w:rPr>
        <w:t xml:space="preserve"> </w:t>
      </w:r>
      <w:r>
        <w:rPr>
          <w:color w:val="221F1F"/>
        </w:rPr>
        <w:t>may require the repetition of any of the tests described in the Contract. The requirement shall be made by notice within 14 days after the defect or damage is remedied.</w:t>
      </w:r>
    </w:p>
    <w:p w:rsidR="007F6DF9" w:rsidRDefault="00A43FBC">
      <w:pPr>
        <w:pStyle w:val="ListParagraph"/>
        <w:numPr>
          <w:ilvl w:val="2"/>
          <w:numId w:val="122"/>
        </w:numPr>
        <w:tabs>
          <w:tab w:val="left" w:pos="1366"/>
          <w:tab w:val="left" w:pos="1369"/>
        </w:tabs>
        <w:spacing w:before="245" w:line="230" w:lineRule="auto"/>
        <w:ind w:left="1369" w:right="536" w:hanging="661"/>
        <w:jc w:val="both"/>
        <w:rPr>
          <w:color w:val="221F1F"/>
        </w:rPr>
      </w:pPr>
      <w:r>
        <w:rPr>
          <w:color w:val="221F1F"/>
        </w:rPr>
        <w:t>These</w:t>
      </w:r>
      <w:r>
        <w:rPr>
          <w:color w:val="221F1F"/>
          <w:spacing w:val="-1"/>
        </w:rPr>
        <w:t xml:space="preserve"> </w:t>
      </w:r>
      <w:r>
        <w:rPr>
          <w:color w:val="221F1F"/>
        </w:rPr>
        <w:t>tests</w:t>
      </w:r>
      <w:r>
        <w:rPr>
          <w:color w:val="221F1F"/>
          <w:spacing w:val="-1"/>
        </w:rPr>
        <w:t xml:space="preserve"> </w:t>
      </w:r>
      <w:r>
        <w:rPr>
          <w:color w:val="221F1F"/>
        </w:rPr>
        <w:t>shall be</w:t>
      </w:r>
      <w:r>
        <w:rPr>
          <w:color w:val="221F1F"/>
          <w:spacing w:val="-1"/>
        </w:rPr>
        <w:t xml:space="preserve"> </w:t>
      </w:r>
      <w:r>
        <w:rPr>
          <w:color w:val="221F1F"/>
        </w:rPr>
        <w:t>carried</w:t>
      </w:r>
      <w:r>
        <w:rPr>
          <w:color w:val="221F1F"/>
          <w:spacing w:val="-3"/>
        </w:rPr>
        <w:t xml:space="preserve"> </w:t>
      </w:r>
      <w:r>
        <w:rPr>
          <w:color w:val="221F1F"/>
        </w:rPr>
        <w:t>out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terms</w:t>
      </w:r>
      <w:r>
        <w:rPr>
          <w:color w:val="221F1F"/>
          <w:spacing w:val="-1"/>
        </w:rPr>
        <w:t xml:space="preserve"> </w:t>
      </w:r>
      <w:r>
        <w:rPr>
          <w:color w:val="221F1F"/>
        </w:rPr>
        <w:t>applicable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previous</w:t>
      </w:r>
      <w:r>
        <w:rPr>
          <w:color w:val="221F1F"/>
          <w:spacing w:val="-1"/>
        </w:rPr>
        <w:t xml:space="preserve"> </w:t>
      </w:r>
      <w:r>
        <w:rPr>
          <w:color w:val="221F1F"/>
        </w:rPr>
        <w:t>tests,</w:t>
      </w:r>
      <w:r>
        <w:rPr>
          <w:color w:val="221F1F"/>
          <w:spacing w:val="-1"/>
        </w:rPr>
        <w:t xml:space="preserve"> </w:t>
      </w:r>
      <w:r>
        <w:rPr>
          <w:color w:val="221F1F"/>
        </w:rPr>
        <w:t>except that they shall</w:t>
      </w:r>
      <w:r>
        <w:rPr>
          <w:color w:val="221F1F"/>
          <w:spacing w:val="-14"/>
        </w:rPr>
        <w:t xml:space="preserve"> </w:t>
      </w:r>
      <w:r>
        <w:rPr>
          <w:color w:val="221F1F"/>
        </w:rPr>
        <w:t>be</w:t>
      </w:r>
      <w:r>
        <w:rPr>
          <w:color w:val="221F1F"/>
          <w:spacing w:val="-14"/>
        </w:rPr>
        <w:t xml:space="preserve"> </w:t>
      </w:r>
      <w:r>
        <w:rPr>
          <w:color w:val="221F1F"/>
        </w:rPr>
        <w:t>carried</w:t>
      </w:r>
      <w:r>
        <w:rPr>
          <w:color w:val="221F1F"/>
          <w:spacing w:val="-14"/>
        </w:rPr>
        <w:t xml:space="preserve"> </w:t>
      </w:r>
      <w:r>
        <w:rPr>
          <w:color w:val="221F1F"/>
        </w:rPr>
        <w:t>out</w:t>
      </w:r>
      <w:r>
        <w:rPr>
          <w:color w:val="221F1F"/>
          <w:spacing w:val="-13"/>
        </w:rPr>
        <w:t xml:space="preserve"> </w:t>
      </w:r>
      <w:r>
        <w:rPr>
          <w:color w:val="221F1F"/>
        </w:rPr>
        <w:t>at</w:t>
      </w:r>
      <w:r>
        <w:rPr>
          <w:color w:val="221F1F"/>
          <w:spacing w:val="-14"/>
        </w:rPr>
        <w:t xml:space="preserve"> </w:t>
      </w:r>
      <w:r>
        <w:rPr>
          <w:color w:val="221F1F"/>
        </w:rPr>
        <w:t>the</w:t>
      </w:r>
      <w:r>
        <w:rPr>
          <w:color w:val="221F1F"/>
          <w:spacing w:val="-14"/>
        </w:rPr>
        <w:t xml:space="preserve"> </w:t>
      </w:r>
      <w:r>
        <w:rPr>
          <w:color w:val="221F1F"/>
        </w:rPr>
        <w:t>risk</w:t>
      </w:r>
      <w:r>
        <w:rPr>
          <w:color w:val="221F1F"/>
          <w:spacing w:val="-14"/>
        </w:rPr>
        <w:t xml:space="preserve"> </w:t>
      </w:r>
      <w:r>
        <w:rPr>
          <w:color w:val="221F1F"/>
        </w:rPr>
        <w:t>and</w:t>
      </w:r>
      <w:r>
        <w:rPr>
          <w:color w:val="221F1F"/>
          <w:spacing w:val="-13"/>
        </w:rPr>
        <w:t xml:space="preserve"> </w:t>
      </w:r>
      <w:r>
        <w:rPr>
          <w:color w:val="221F1F"/>
        </w:rPr>
        <w:t>cost</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Party</w:t>
      </w:r>
      <w:r>
        <w:rPr>
          <w:color w:val="221F1F"/>
          <w:spacing w:val="-13"/>
        </w:rPr>
        <w:t xml:space="preserve"> </w:t>
      </w:r>
      <w:r>
        <w:rPr>
          <w:color w:val="221F1F"/>
        </w:rPr>
        <w:t>liable,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11.2</w:t>
      </w:r>
      <w:r>
        <w:rPr>
          <w:color w:val="221F1F"/>
          <w:spacing w:val="-13"/>
        </w:rPr>
        <w:t xml:space="preserve"> </w:t>
      </w:r>
      <w:r>
        <w:rPr>
          <w:color w:val="221F1F"/>
        </w:rPr>
        <w:t>[Cost</w:t>
      </w:r>
      <w:r>
        <w:rPr>
          <w:color w:val="221F1F"/>
          <w:spacing w:val="-14"/>
        </w:rPr>
        <w:t xml:space="preserve"> </w:t>
      </w:r>
      <w:r>
        <w:rPr>
          <w:color w:val="221F1F"/>
        </w:rPr>
        <w:t>of</w:t>
      </w:r>
      <w:r>
        <w:rPr>
          <w:color w:val="221F1F"/>
          <w:spacing w:val="-14"/>
        </w:rPr>
        <w:t xml:space="preserve"> </w:t>
      </w:r>
      <w:r>
        <w:rPr>
          <w:color w:val="221F1F"/>
        </w:rPr>
        <w:t>Remedying</w:t>
      </w:r>
      <w:r>
        <w:rPr>
          <w:color w:val="221F1F"/>
          <w:spacing w:val="-14"/>
        </w:rPr>
        <w:t xml:space="preserve"> </w:t>
      </w:r>
      <w:r>
        <w:rPr>
          <w:color w:val="221F1F"/>
        </w:rPr>
        <w:t>Defects], for the cost of the remedial work.</w:t>
      </w:r>
    </w:p>
    <w:p w:rsidR="007F6DF9" w:rsidRDefault="00A43FBC">
      <w:pPr>
        <w:pStyle w:val="Heading9"/>
        <w:numPr>
          <w:ilvl w:val="1"/>
          <w:numId w:val="122"/>
        </w:numPr>
        <w:tabs>
          <w:tab w:val="left" w:pos="1376"/>
        </w:tabs>
        <w:spacing w:before="239"/>
        <w:ind w:left="1376" w:hanging="668"/>
        <w:rPr>
          <w:color w:val="221F1F"/>
        </w:rPr>
      </w:pPr>
      <w:r>
        <w:rPr>
          <w:color w:val="221F1F"/>
        </w:rPr>
        <w:t>Right</w:t>
      </w:r>
      <w:r>
        <w:rPr>
          <w:color w:val="221F1F"/>
          <w:spacing w:val="-5"/>
        </w:rPr>
        <w:t xml:space="preserve"> </w:t>
      </w:r>
      <w:r>
        <w:rPr>
          <w:color w:val="221F1F"/>
        </w:rPr>
        <w:t>of</w:t>
      </w:r>
      <w:r>
        <w:rPr>
          <w:color w:val="221F1F"/>
          <w:spacing w:val="-1"/>
        </w:rPr>
        <w:t xml:space="preserve"> </w:t>
      </w:r>
      <w:r>
        <w:rPr>
          <w:color w:val="221F1F"/>
          <w:spacing w:val="-2"/>
        </w:rPr>
        <w:t>Access</w:t>
      </w:r>
    </w:p>
    <w:p w:rsidR="007F6DF9" w:rsidRDefault="00A43FBC">
      <w:pPr>
        <w:pStyle w:val="BodyText"/>
        <w:spacing w:before="240" w:line="230" w:lineRule="auto"/>
        <w:ind w:left="1369" w:right="544" w:firstLine="7"/>
        <w:jc w:val="both"/>
      </w:pPr>
      <w:proofErr w:type="spellStart"/>
      <w:r>
        <w:rPr>
          <w:color w:val="221F1F"/>
        </w:rPr>
        <w:t>Unti</w:t>
      </w:r>
      <w:proofErr w:type="spellEnd"/>
      <w:r>
        <w:rPr>
          <w:color w:val="221F1F"/>
          <w:spacing w:val="-2"/>
        </w:rPr>
        <w:t xml:space="preserve"> </w:t>
      </w:r>
      <w:proofErr w:type="spellStart"/>
      <w:r>
        <w:rPr>
          <w:color w:val="221F1F"/>
        </w:rPr>
        <w:t>lthe</w:t>
      </w:r>
      <w:proofErr w:type="spellEnd"/>
      <w:r>
        <w:rPr>
          <w:color w:val="221F1F"/>
          <w:spacing w:val="-3"/>
        </w:rPr>
        <w:t xml:space="preserve"> </w:t>
      </w:r>
      <w:r>
        <w:rPr>
          <w:color w:val="221F1F"/>
        </w:rPr>
        <w:t>Completion</w:t>
      </w:r>
      <w:r>
        <w:rPr>
          <w:color w:val="221F1F"/>
          <w:spacing w:val="-3"/>
        </w:rPr>
        <w:t xml:space="preserve"> </w:t>
      </w:r>
      <w:r>
        <w:rPr>
          <w:color w:val="221F1F"/>
        </w:rPr>
        <w:t>Certificate</w:t>
      </w:r>
      <w:r>
        <w:rPr>
          <w:color w:val="221F1F"/>
          <w:spacing w:val="-2"/>
        </w:rPr>
        <w:t xml:space="preserve"> </w:t>
      </w:r>
      <w:r>
        <w:rPr>
          <w:color w:val="221F1F"/>
        </w:rPr>
        <w:t>has</w:t>
      </w:r>
      <w:r>
        <w:rPr>
          <w:color w:val="221F1F"/>
          <w:spacing w:val="-2"/>
        </w:rPr>
        <w:t xml:space="preserve"> </w:t>
      </w:r>
      <w:r>
        <w:rPr>
          <w:color w:val="221F1F"/>
        </w:rPr>
        <w:t>been</w:t>
      </w:r>
      <w:r>
        <w:rPr>
          <w:color w:val="221F1F"/>
          <w:spacing w:val="-5"/>
        </w:rPr>
        <w:t xml:space="preserve"> </w:t>
      </w:r>
      <w:r>
        <w:rPr>
          <w:color w:val="221F1F"/>
        </w:rPr>
        <w:t>issued,</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have</w:t>
      </w:r>
      <w:r>
        <w:rPr>
          <w:color w:val="221F1F"/>
          <w:spacing w:val="-2"/>
        </w:rPr>
        <w:t xml:space="preserve"> </w:t>
      </w:r>
      <w:r>
        <w:rPr>
          <w:color w:val="221F1F"/>
        </w:rPr>
        <w:t>such</w:t>
      </w:r>
      <w:r>
        <w:rPr>
          <w:color w:val="221F1F"/>
          <w:spacing w:val="-3"/>
        </w:rPr>
        <w:t xml:space="preserve"> </w:t>
      </w:r>
      <w:r>
        <w:rPr>
          <w:color w:val="221F1F"/>
        </w:rPr>
        <w:t>right</w:t>
      </w:r>
      <w:r>
        <w:rPr>
          <w:color w:val="221F1F"/>
          <w:spacing w:val="-1"/>
        </w:rPr>
        <w:t xml:space="preserve"> </w:t>
      </w:r>
      <w:r>
        <w:rPr>
          <w:color w:val="221F1F"/>
        </w:rPr>
        <w:t>of</w:t>
      </w:r>
      <w:r>
        <w:rPr>
          <w:color w:val="221F1F"/>
          <w:spacing w:val="-2"/>
        </w:rPr>
        <w:t xml:space="preserve"> </w:t>
      </w:r>
      <w:r>
        <w:rPr>
          <w:color w:val="221F1F"/>
        </w:rPr>
        <w:t>access</w:t>
      </w:r>
      <w:r>
        <w:rPr>
          <w:color w:val="221F1F"/>
          <w:spacing w:val="-2"/>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Works as</w:t>
      </w:r>
      <w:r>
        <w:rPr>
          <w:color w:val="221F1F"/>
          <w:spacing w:val="-14"/>
        </w:rPr>
        <w:t xml:space="preserve"> </w:t>
      </w:r>
      <w:r>
        <w:rPr>
          <w:color w:val="221F1F"/>
        </w:rPr>
        <w:t>is</w:t>
      </w:r>
      <w:r>
        <w:rPr>
          <w:color w:val="221F1F"/>
          <w:spacing w:val="-12"/>
        </w:rPr>
        <w:t xml:space="preserve"> </w:t>
      </w:r>
      <w:r>
        <w:rPr>
          <w:color w:val="221F1F"/>
        </w:rPr>
        <w:t>reasonably</w:t>
      </w:r>
      <w:r>
        <w:rPr>
          <w:color w:val="221F1F"/>
          <w:spacing w:val="-12"/>
        </w:rPr>
        <w:t xml:space="preserve"> </w:t>
      </w:r>
      <w:r>
        <w:rPr>
          <w:color w:val="221F1F"/>
        </w:rPr>
        <w:t>required</w:t>
      </w:r>
      <w:r>
        <w:rPr>
          <w:color w:val="221F1F"/>
          <w:spacing w:val="-12"/>
        </w:rPr>
        <w:t xml:space="preserve"> </w:t>
      </w:r>
      <w:r>
        <w:rPr>
          <w:color w:val="221F1F"/>
        </w:rPr>
        <w:t>in</w:t>
      </w:r>
      <w:r>
        <w:rPr>
          <w:color w:val="221F1F"/>
          <w:spacing w:val="-14"/>
        </w:rPr>
        <w:t xml:space="preserve"> </w:t>
      </w:r>
      <w:r>
        <w:rPr>
          <w:color w:val="221F1F"/>
        </w:rPr>
        <w:t>order</w:t>
      </w:r>
      <w:r>
        <w:rPr>
          <w:color w:val="221F1F"/>
          <w:spacing w:val="-12"/>
        </w:rPr>
        <w:t xml:space="preserve"> </w:t>
      </w:r>
      <w:r>
        <w:rPr>
          <w:color w:val="221F1F"/>
        </w:rPr>
        <w:t>to</w:t>
      </w:r>
      <w:r>
        <w:rPr>
          <w:color w:val="221F1F"/>
          <w:spacing w:val="-12"/>
        </w:rPr>
        <w:t xml:space="preserve"> </w:t>
      </w:r>
      <w:r>
        <w:rPr>
          <w:color w:val="221F1F"/>
        </w:rPr>
        <w:t>comply</w:t>
      </w:r>
      <w:r>
        <w:rPr>
          <w:color w:val="221F1F"/>
          <w:spacing w:val="-12"/>
        </w:rPr>
        <w:t xml:space="preserve"> </w:t>
      </w:r>
      <w:r>
        <w:rPr>
          <w:color w:val="221F1F"/>
        </w:rPr>
        <w:t>with</w:t>
      </w:r>
      <w:r>
        <w:rPr>
          <w:color w:val="221F1F"/>
          <w:spacing w:val="-12"/>
        </w:rPr>
        <w:t xml:space="preserve"> </w:t>
      </w:r>
      <w:r>
        <w:rPr>
          <w:color w:val="221F1F"/>
        </w:rPr>
        <w:t>this</w:t>
      </w:r>
      <w:r>
        <w:rPr>
          <w:color w:val="221F1F"/>
          <w:spacing w:val="-12"/>
        </w:rPr>
        <w:t xml:space="preserve"> </w:t>
      </w:r>
      <w:r>
        <w:rPr>
          <w:color w:val="221F1F"/>
        </w:rPr>
        <w:t>Clause,</w:t>
      </w:r>
      <w:r>
        <w:rPr>
          <w:color w:val="221F1F"/>
          <w:spacing w:val="-12"/>
        </w:rPr>
        <w:t xml:space="preserve"> </w:t>
      </w:r>
      <w:r>
        <w:rPr>
          <w:color w:val="221F1F"/>
        </w:rPr>
        <w:t>except</w:t>
      </w:r>
      <w:r>
        <w:rPr>
          <w:color w:val="221F1F"/>
          <w:spacing w:val="-11"/>
        </w:rPr>
        <w:t xml:space="preserve"> </w:t>
      </w:r>
      <w:r>
        <w:rPr>
          <w:color w:val="221F1F"/>
        </w:rPr>
        <w:t>as</w:t>
      </w:r>
      <w:r>
        <w:rPr>
          <w:color w:val="221F1F"/>
          <w:spacing w:val="-12"/>
        </w:rPr>
        <w:t xml:space="preserve"> </w:t>
      </w:r>
      <w:r>
        <w:rPr>
          <w:color w:val="221F1F"/>
        </w:rPr>
        <w:t>may</w:t>
      </w:r>
      <w:r>
        <w:rPr>
          <w:color w:val="221F1F"/>
          <w:spacing w:val="-12"/>
        </w:rPr>
        <w:t xml:space="preserve"> </w:t>
      </w:r>
      <w:r>
        <w:rPr>
          <w:color w:val="221F1F"/>
        </w:rPr>
        <w:t>be</w:t>
      </w:r>
      <w:r>
        <w:rPr>
          <w:color w:val="221F1F"/>
          <w:spacing w:val="-12"/>
        </w:rPr>
        <w:t xml:space="preserve"> </w:t>
      </w:r>
      <w:r>
        <w:rPr>
          <w:color w:val="221F1F"/>
        </w:rPr>
        <w:t>inconsistent</w:t>
      </w:r>
      <w:r>
        <w:rPr>
          <w:color w:val="221F1F"/>
          <w:spacing w:val="-11"/>
        </w:rPr>
        <w:t xml:space="preserve"> </w:t>
      </w:r>
      <w:r>
        <w:rPr>
          <w:color w:val="221F1F"/>
        </w:rPr>
        <w:t>with</w:t>
      </w:r>
      <w:r>
        <w:rPr>
          <w:color w:val="221F1F"/>
          <w:spacing w:val="-14"/>
        </w:rPr>
        <w:t xml:space="preserve"> </w:t>
      </w:r>
      <w:r>
        <w:rPr>
          <w:color w:val="221F1F"/>
        </w:rPr>
        <w:t>the</w:t>
      </w:r>
      <w:r>
        <w:rPr>
          <w:color w:val="221F1F"/>
          <w:spacing w:val="-12"/>
        </w:rPr>
        <w:t xml:space="preserve"> </w:t>
      </w:r>
      <w:r>
        <w:rPr>
          <w:color w:val="221F1F"/>
        </w:rPr>
        <w:t>Procuring Entity's reasonable security restrictions.</w:t>
      </w:r>
    </w:p>
    <w:p w:rsidR="007F6DF9" w:rsidRDefault="00A43FBC">
      <w:pPr>
        <w:pStyle w:val="Heading9"/>
        <w:numPr>
          <w:ilvl w:val="1"/>
          <w:numId w:val="122"/>
        </w:numPr>
        <w:tabs>
          <w:tab w:val="left" w:pos="1376"/>
        </w:tabs>
        <w:spacing w:before="237"/>
        <w:ind w:left="1376" w:hanging="668"/>
        <w:rPr>
          <w:color w:val="221F1F"/>
        </w:rPr>
      </w:pPr>
      <w:r>
        <w:rPr>
          <w:color w:val="221F1F"/>
        </w:rPr>
        <w:t>Contractor</w:t>
      </w:r>
      <w:r>
        <w:rPr>
          <w:color w:val="221F1F"/>
          <w:spacing w:val="-6"/>
        </w:rPr>
        <w:t xml:space="preserve"> </w:t>
      </w:r>
      <w:r>
        <w:rPr>
          <w:color w:val="221F1F"/>
        </w:rPr>
        <w:t>to</w:t>
      </w:r>
      <w:r>
        <w:rPr>
          <w:color w:val="221F1F"/>
          <w:spacing w:val="-2"/>
        </w:rPr>
        <w:t xml:space="preserve"> Search</w:t>
      </w:r>
    </w:p>
    <w:p w:rsidR="007F6DF9" w:rsidRDefault="00A43FBC">
      <w:pPr>
        <w:pStyle w:val="BodyText"/>
        <w:spacing w:before="243" w:line="230" w:lineRule="auto"/>
        <w:ind w:left="1366" w:right="551" w:firstLine="7"/>
        <w:jc w:val="both"/>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if</w:t>
      </w:r>
      <w:r>
        <w:rPr>
          <w:color w:val="221F1F"/>
          <w:spacing w:val="-3"/>
        </w:rPr>
        <w:t xml:space="preserve"> </w:t>
      </w:r>
      <w:r>
        <w:rPr>
          <w:color w:val="221F1F"/>
        </w:rPr>
        <w:t>required</w:t>
      </w:r>
      <w:r>
        <w:rPr>
          <w:color w:val="221F1F"/>
          <w:spacing w:val="-3"/>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search</w:t>
      </w:r>
      <w:r>
        <w:rPr>
          <w:color w:val="221F1F"/>
          <w:spacing w:val="-3"/>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cause</w:t>
      </w:r>
      <w:r>
        <w:rPr>
          <w:color w:val="221F1F"/>
          <w:spacing w:val="-2"/>
        </w:rPr>
        <w:t xml:space="preserve"> </w:t>
      </w:r>
      <w:r>
        <w:rPr>
          <w:color w:val="221F1F"/>
        </w:rPr>
        <w:t>of</w:t>
      </w:r>
      <w:r>
        <w:rPr>
          <w:color w:val="221F1F"/>
          <w:spacing w:val="-3"/>
        </w:rPr>
        <w:t xml:space="preserve"> </w:t>
      </w:r>
      <w:r>
        <w:rPr>
          <w:color w:val="221F1F"/>
        </w:rPr>
        <w:t>any</w:t>
      </w:r>
      <w:r>
        <w:rPr>
          <w:color w:val="221F1F"/>
          <w:spacing w:val="-4"/>
        </w:rPr>
        <w:t xml:space="preserve"> </w:t>
      </w:r>
      <w:proofErr w:type="spellStart"/>
      <w:r>
        <w:rPr>
          <w:color w:val="221F1F"/>
        </w:rPr>
        <w:t>defecton</w:t>
      </w:r>
      <w:proofErr w:type="spellEnd"/>
      <w:r>
        <w:rPr>
          <w:color w:val="221F1F"/>
          <w:spacing w:val="-3"/>
        </w:rPr>
        <w:t xml:space="preserve"> </w:t>
      </w:r>
      <w:r>
        <w:rPr>
          <w:color w:val="221F1F"/>
        </w:rPr>
        <w:t>parts</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3"/>
        </w:rPr>
        <w:t xml:space="preserve"> </w:t>
      </w:r>
      <w:r>
        <w:rPr>
          <w:color w:val="221F1F"/>
        </w:rPr>
        <w:t>that have already accepted, under the direction of the Engineer. Unless the defect is</w:t>
      </w:r>
      <w:r>
        <w:rPr>
          <w:color w:val="221F1F"/>
          <w:spacing w:val="-1"/>
        </w:rPr>
        <w:t xml:space="preserve"> </w:t>
      </w:r>
      <w:r>
        <w:rPr>
          <w:color w:val="221F1F"/>
        </w:rPr>
        <w:t>to</w:t>
      </w:r>
      <w:r>
        <w:rPr>
          <w:color w:val="221F1F"/>
          <w:spacing w:val="-1"/>
        </w:rPr>
        <w:t xml:space="preserve"> </w:t>
      </w:r>
      <w:r>
        <w:rPr>
          <w:color w:val="221F1F"/>
        </w:rPr>
        <w:t>be remedied at the cost of the Contractor under Sub-Clause 11.2 [Cost of Remedying Defects], the Cost of the search plus profit shall be agreed or determined by the Architect in accordance with Sub-Clause 3.5 [Determinations] and shall be included in the Contract Price.</w:t>
      </w:r>
    </w:p>
    <w:p w:rsidR="007F6DF9" w:rsidRDefault="00A43FBC">
      <w:pPr>
        <w:pStyle w:val="Heading9"/>
        <w:numPr>
          <w:ilvl w:val="1"/>
          <w:numId w:val="122"/>
        </w:numPr>
        <w:tabs>
          <w:tab w:val="left" w:pos="1376"/>
        </w:tabs>
        <w:spacing w:before="237"/>
        <w:ind w:left="1376" w:hanging="670"/>
        <w:rPr>
          <w:color w:val="221F1F"/>
        </w:rPr>
      </w:pPr>
      <w:r>
        <w:rPr>
          <w:color w:val="221F1F"/>
        </w:rPr>
        <w:t>Completion</w:t>
      </w:r>
      <w:r>
        <w:rPr>
          <w:color w:val="221F1F"/>
          <w:spacing w:val="-6"/>
        </w:rPr>
        <w:t xml:space="preserve"> </w:t>
      </w:r>
      <w:r>
        <w:rPr>
          <w:color w:val="221F1F"/>
          <w:spacing w:val="-2"/>
        </w:rPr>
        <w:t>Certificate</w:t>
      </w:r>
    </w:p>
    <w:p w:rsidR="007F6DF9" w:rsidRDefault="00A43FBC">
      <w:pPr>
        <w:pStyle w:val="ListParagraph"/>
        <w:numPr>
          <w:ilvl w:val="2"/>
          <w:numId w:val="122"/>
        </w:numPr>
        <w:tabs>
          <w:tab w:val="left" w:pos="1366"/>
        </w:tabs>
        <w:spacing w:before="234"/>
        <w:ind w:left="1366" w:hanging="660"/>
        <w:rPr>
          <w:color w:val="221F1F"/>
        </w:rPr>
      </w:pPr>
      <w:r>
        <w:rPr>
          <w:color w:val="221F1F"/>
        </w:rPr>
        <w:t>Performance</w:t>
      </w:r>
      <w:r>
        <w:rPr>
          <w:color w:val="221F1F"/>
          <w:spacing w:val="-16"/>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Contractor's</w:t>
      </w:r>
      <w:r>
        <w:rPr>
          <w:color w:val="221F1F"/>
          <w:spacing w:val="-13"/>
        </w:rPr>
        <w:t xml:space="preserve"> </w:t>
      </w:r>
      <w:r>
        <w:rPr>
          <w:color w:val="221F1F"/>
        </w:rPr>
        <w:t>obligations</w:t>
      </w:r>
      <w:r>
        <w:rPr>
          <w:color w:val="221F1F"/>
          <w:spacing w:val="-14"/>
        </w:rPr>
        <w:t xml:space="preserve"> </w:t>
      </w:r>
      <w:r>
        <w:rPr>
          <w:color w:val="221F1F"/>
        </w:rPr>
        <w:t>shall</w:t>
      </w:r>
      <w:r>
        <w:rPr>
          <w:color w:val="221F1F"/>
          <w:spacing w:val="-14"/>
        </w:rPr>
        <w:t xml:space="preserve"> </w:t>
      </w:r>
      <w:r>
        <w:rPr>
          <w:color w:val="221F1F"/>
        </w:rPr>
        <w:t>not</w:t>
      </w:r>
      <w:r>
        <w:rPr>
          <w:color w:val="221F1F"/>
          <w:spacing w:val="-14"/>
        </w:rPr>
        <w:t xml:space="preserve"> </w:t>
      </w:r>
      <w:r>
        <w:rPr>
          <w:color w:val="221F1F"/>
        </w:rPr>
        <w:t>be</w:t>
      </w:r>
      <w:r>
        <w:rPr>
          <w:color w:val="221F1F"/>
          <w:spacing w:val="-13"/>
        </w:rPr>
        <w:t xml:space="preserve"> </w:t>
      </w:r>
      <w:r>
        <w:rPr>
          <w:color w:val="221F1F"/>
        </w:rPr>
        <w:t>considered</w:t>
      </w:r>
      <w:r>
        <w:rPr>
          <w:color w:val="221F1F"/>
          <w:spacing w:val="-14"/>
        </w:rPr>
        <w:t xml:space="preserve"> </w:t>
      </w:r>
      <w:r>
        <w:rPr>
          <w:color w:val="221F1F"/>
        </w:rPr>
        <w:t>to</w:t>
      </w:r>
      <w:r>
        <w:rPr>
          <w:color w:val="221F1F"/>
          <w:spacing w:val="-14"/>
        </w:rPr>
        <w:t xml:space="preserve"> </w:t>
      </w:r>
      <w:r>
        <w:rPr>
          <w:color w:val="221F1F"/>
        </w:rPr>
        <w:t>have</w:t>
      </w:r>
      <w:r>
        <w:rPr>
          <w:color w:val="221F1F"/>
          <w:spacing w:val="-14"/>
        </w:rPr>
        <w:t xml:space="preserve"> </w:t>
      </w:r>
      <w:r>
        <w:rPr>
          <w:color w:val="221F1F"/>
        </w:rPr>
        <w:t>been</w:t>
      </w:r>
      <w:r>
        <w:rPr>
          <w:color w:val="221F1F"/>
          <w:spacing w:val="-13"/>
        </w:rPr>
        <w:t xml:space="preserve"> </w:t>
      </w:r>
      <w:r>
        <w:rPr>
          <w:color w:val="221F1F"/>
        </w:rPr>
        <w:t>completed</w:t>
      </w:r>
      <w:r>
        <w:rPr>
          <w:color w:val="221F1F"/>
          <w:spacing w:val="-14"/>
        </w:rPr>
        <w:t xml:space="preserve"> </w:t>
      </w:r>
      <w:r>
        <w:rPr>
          <w:color w:val="221F1F"/>
        </w:rPr>
        <w:t>until</w:t>
      </w:r>
      <w:r>
        <w:rPr>
          <w:color w:val="221F1F"/>
          <w:spacing w:val="-13"/>
        </w:rPr>
        <w:t xml:space="preserve"> </w:t>
      </w:r>
      <w:r>
        <w:rPr>
          <w:color w:val="221F1F"/>
        </w:rPr>
        <w:t>the</w:t>
      </w:r>
      <w:r>
        <w:rPr>
          <w:color w:val="221F1F"/>
          <w:spacing w:val="-13"/>
        </w:rPr>
        <w:t xml:space="preserve"> </w:t>
      </w:r>
      <w:r>
        <w:rPr>
          <w:color w:val="221F1F"/>
          <w:spacing w:val="-2"/>
        </w:rPr>
        <w:t>Architect</w:t>
      </w:r>
    </w:p>
    <w:p w:rsidR="007F6DF9" w:rsidRDefault="007F6DF9">
      <w:pPr>
        <w:pStyle w:val="ListParagraph"/>
        <w:sectPr w:rsidR="007F6DF9">
          <w:pgSz w:w="11920" w:h="16850"/>
          <w:pgMar w:top="360" w:right="283" w:bottom="780" w:left="141" w:header="0" w:footer="589" w:gutter="0"/>
          <w:pgNumType w:start="102"/>
          <w:cols w:space="720"/>
        </w:sectPr>
      </w:pPr>
    </w:p>
    <w:p w:rsidR="007F6DF9" w:rsidRDefault="00A43FBC">
      <w:pPr>
        <w:pStyle w:val="BodyText"/>
        <w:spacing w:line="244" w:lineRule="exact"/>
        <w:ind w:left="1366"/>
      </w:pPr>
      <w:r>
        <w:rPr>
          <w:color w:val="221F1F"/>
        </w:rPr>
        <w:lastRenderedPageBreak/>
        <w:t>his</w:t>
      </w:r>
      <w:r>
        <w:rPr>
          <w:color w:val="221F1F"/>
          <w:spacing w:val="-3"/>
        </w:rPr>
        <w:t xml:space="preserve"> </w:t>
      </w:r>
      <w:r>
        <w:rPr>
          <w:color w:val="221F1F"/>
        </w:rPr>
        <w:t>obligations</w:t>
      </w:r>
      <w:r>
        <w:rPr>
          <w:color w:val="221F1F"/>
          <w:spacing w:val="-3"/>
        </w:rPr>
        <w:t xml:space="preserve"> </w:t>
      </w:r>
      <w:r>
        <w:rPr>
          <w:color w:val="221F1F"/>
        </w:rPr>
        <w:t>under</w:t>
      </w:r>
      <w:r>
        <w:rPr>
          <w:color w:val="221F1F"/>
          <w:spacing w:val="-3"/>
        </w:rPr>
        <w:t xml:space="preserve"> </w:t>
      </w:r>
      <w:r>
        <w:rPr>
          <w:color w:val="221F1F"/>
        </w:rPr>
        <w:t>the</w:t>
      </w:r>
      <w:r>
        <w:rPr>
          <w:color w:val="221F1F"/>
          <w:spacing w:val="-2"/>
        </w:rPr>
        <w:t xml:space="preserve"> Contract.</w:t>
      </w:r>
    </w:p>
    <w:p w:rsidR="007F6DF9" w:rsidRDefault="00A43FBC">
      <w:pPr>
        <w:pStyle w:val="ListParagraph"/>
        <w:numPr>
          <w:ilvl w:val="2"/>
          <w:numId w:val="122"/>
        </w:numPr>
        <w:tabs>
          <w:tab w:val="left" w:pos="1363"/>
          <w:tab w:val="left" w:pos="1366"/>
        </w:tabs>
        <w:spacing w:before="245" w:line="230" w:lineRule="auto"/>
        <w:ind w:left="1366" w:right="551" w:hanging="661"/>
        <w:jc w:val="both"/>
        <w:rPr>
          <w:color w:val="221F1F"/>
        </w:rPr>
      </w:pPr>
      <w:r>
        <w:rPr>
          <w:color w:val="221F1F"/>
        </w:rPr>
        <w:t>The Architect shall issue the Completion Certificate within 30days after the latest of the expiry dates of the Defects</w:t>
      </w:r>
      <w:r>
        <w:rPr>
          <w:color w:val="221F1F"/>
          <w:spacing w:val="-1"/>
        </w:rPr>
        <w:t xml:space="preserve"> </w:t>
      </w:r>
      <w:r>
        <w:rPr>
          <w:color w:val="221F1F"/>
        </w:rPr>
        <w:t>Liability</w:t>
      </w:r>
      <w:r>
        <w:rPr>
          <w:color w:val="221F1F"/>
          <w:spacing w:val="-2"/>
        </w:rPr>
        <w:t xml:space="preserve"> </w:t>
      </w:r>
      <w:r>
        <w:rPr>
          <w:color w:val="221F1F"/>
        </w:rPr>
        <w:t>Period,</w:t>
      </w:r>
      <w:r>
        <w:rPr>
          <w:color w:val="221F1F"/>
          <w:spacing w:val="-1"/>
        </w:rPr>
        <w:t xml:space="preserve"> </w:t>
      </w:r>
      <w:r>
        <w:rPr>
          <w:color w:val="221F1F"/>
        </w:rPr>
        <w:t>or</w:t>
      </w:r>
      <w:r>
        <w:rPr>
          <w:color w:val="221F1F"/>
          <w:spacing w:val="-4"/>
        </w:rPr>
        <w:t xml:space="preserve"> </w:t>
      </w:r>
      <w:r>
        <w:rPr>
          <w:color w:val="221F1F"/>
        </w:rPr>
        <w:t>as</w:t>
      </w:r>
      <w:r>
        <w:rPr>
          <w:color w:val="221F1F"/>
          <w:spacing w:val="-2"/>
        </w:rPr>
        <w:t xml:space="preserve"> </w:t>
      </w:r>
      <w:r>
        <w:rPr>
          <w:color w:val="221F1F"/>
        </w:rPr>
        <w:t>soon</w:t>
      </w:r>
      <w:r>
        <w:rPr>
          <w:color w:val="221F1F"/>
          <w:spacing w:val="-2"/>
        </w:rPr>
        <w:t xml:space="preserve"> </w:t>
      </w:r>
      <w:proofErr w:type="spellStart"/>
      <w:r>
        <w:rPr>
          <w:color w:val="221F1F"/>
        </w:rPr>
        <w:t>there</w:t>
      </w:r>
      <w:r>
        <w:rPr>
          <w:color w:val="221F1F"/>
          <w:spacing w:val="-2"/>
        </w:rPr>
        <w:t xml:space="preserve"> </w:t>
      </w:r>
      <w:r>
        <w:rPr>
          <w:color w:val="221F1F"/>
        </w:rPr>
        <w:t>after</w:t>
      </w:r>
      <w:proofErr w:type="spellEnd"/>
      <w:r>
        <w:rPr>
          <w:color w:val="221F1F"/>
          <w:spacing w:val="-1"/>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Contractor has</w:t>
      </w:r>
      <w:r>
        <w:rPr>
          <w:color w:val="221F1F"/>
          <w:spacing w:val="-2"/>
        </w:rPr>
        <w:t xml:space="preserve"> </w:t>
      </w:r>
      <w:r>
        <w:rPr>
          <w:color w:val="221F1F"/>
        </w:rPr>
        <w:t>supplied</w:t>
      </w:r>
      <w:r>
        <w:rPr>
          <w:color w:val="221F1F"/>
          <w:spacing w:val="-2"/>
        </w:rPr>
        <w:t xml:space="preserve"> </w:t>
      </w:r>
      <w:r>
        <w:rPr>
          <w:color w:val="221F1F"/>
        </w:rPr>
        <w:t>all</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 xml:space="preserve">Documents and completed and tested all the Works, including remedying any defects. A copy of the </w:t>
      </w:r>
      <w:proofErr w:type="spellStart"/>
      <w:r>
        <w:rPr>
          <w:color w:val="221F1F"/>
        </w:rPr>
        <w:t>Completionn</w:t>
      </w:r>
      <w:proofErr w:type="spellEnd"/>
      <w:r>
        <w:rPr>
          <w:color w:val="221F1F"/>
        </w:rPr>
        <w:t xml:space="preserve"> Certificate shall be issued to the Procuring Entity.</w:t>
      </w:r>
    </w:p>
    <w:p w:rsidR="007F6DF9" w:rsidRDefault="00A43FBC">
      <w:pPr>
        <w:pStyle w:val="ListParagraph"/>
        <w:numPr>
          <w:ilvl w:val="2"/>
          <w:numId w:val="122"/>
        </w:numPr>
        <w:tabs>
          <w:tab w:val="left" w:pos="1373"/>
        </w:tabs>
        <w:spacing w:before="235"/>
        <w:ind w:left="1373" w:hanging="667"/>
        <w:rPr>
          <w:color w:val="221F1F"/>
        </w:rPr>
      </w:pPr>
      <w:r>
        <w:rPr>
          <w:color w:val="221F1F"/>
        </w:rPr>
        <w:t>Only</w:t>
      </w:r>
      <w:r>
        <w:rPr>
          <w:color w:val="221F1F"/>
          <w:spacing w:val="-5"/>
        </w:rPr>
        <w:t xml:space="preserve"> </w:t>
      </w:r>
      <w:r>
        <w:rPr>
          <w:color w:val="221F1F"/>
        </w:rPr>
        <w:t>the</w:t>
      </w:r>
      <w:r>
        <w:rPr>
          <w:color w:val="221F1F"/>
          <w:spacing w:val="-4"/>
        </w:rPr>
        <w:t xml:space="preserve"> </w:t>
      </w:r>
      <w:r>
        <w:rPr>
          <w:color w:val="221F1F"/>
        </w:rPr>
        <w:t>Completion</w:t>
      </w:r>
      <w:r>
        <w:rPr>
          <w:color w:val="221F1F"/>
          <w:spacing w:val="-5"/>
        </w:rPr>
        <w:t xml:space="preserve"> </w:t>
      </w:r>
      <w:r>
        <w:rPr>
          <w:color w:val="221F1F"/>
        </w:rPr>
        <w:t>Certificate</w:t>
      </w:r>
      <w:r>
        <w:rPr>
          <w:color w:val="221F1F"/>
          <w:spacing w:val="-5"/>
        </w:rPr>
        <w:t xml:space="preserve"> </w:t>
      </w:r>
      <w:r>
        <w:rPr>
          <w:color w:val="221F1F"/>
        </w:rPr>
        <w:t>shall</w:t>
      </w:r>
      <w:r>
        <w:rPr>
          <w:color w:val="221F1F"/>
          <w:spacing w:val="-5"/>
        </w:rPr>
        <w:t xml:space="preserve"> </w:t>
      </w:r>
      <w:r>
        <w:rPr>
          <w:color w:val="221F1F"/>
        </w:rPr>
        <w:t>be</w:t>
      </w:r>
      <w:r>
        <w:rPr>
          <w:color w:val="221F1F"/>
          <w:spacing w:val="-4"/>
        </w:rPr>
        <w:t xml:space="preserve"> </w:t>
      </w:r>
      <w:r>
        <w:rPr>
          <w:color w:val="221F1F"/>
        </w:rPr>
        <w:t>deemed</w:t>
      </w:r>
      <w:r>
        <w:rPr>
          <w:color w:val="221F1F"/>
          <w:spacing w:val="-7"/>
        </w:rPr>
        <w:t xml:space="preserve"> </w:t>
      </w:r>
      <w:r>
        <w:rPr>
          <w:color w:val="221F1F"/>
        </w:rPr>
        <w:t>to</w:t>
      </w:r>
      <w:r>
        <w:rPr>
          <w:color w:val="221F1F"/>
          <w:spacing w:val="-4"/>
        </w:rPr>
        <w:t xml:space="preserve"> </w:t>
      </w:r>
      <w:r>
        <w:rPr>
          <w:color w:val="221F1F"/>
        </w:rPr>
        <w:t>constitute</w:t>
      </w:r>
      <w:r>
        <w:rPr>
          <w:color w:val="221F1F"/>
          <w:spacing w:val="-3"/>
        </w:rPr>
        <w:t xml:space="preserve"> </w:t>
      </w:r>
      <w:r>
        <w:rPr>
          <w:color w:val="221F1F"/>
        </w:rPr>
        <w:t>acceptance</w:t>
      </w:r>
      <w:r>
        <w:rPr>
          <w:color w:val="221F1F"/>
          <w:spacing w:val="-4"/>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spacing w:val="-2"/>
        </w:rPr>
        <w:t>Works.</w:t>
      </w:r>
    </w:p>
    <w:p w:rsidR="007F6DF9" w:rsidRDefault="007F6DF9">
      <w:pPr>
        <w:pStyle w:val="BodyText"/>
        <w:spacing w:before="216"/>
      </w:pPr>
    </w:p>
    <w:p w:rsidR="007F6DF9" w:rsidRDefault="00A43FBC">
      <w:pPr>
        <w:pStyle w:val="Heading9"/>
        <w:numPr>
          <w:ilvl w:val="1"/>
          <w:numId w:val="122"/>
        </w:numPr>
        <w:tabs>
          <w:tab w:val="left" w:pos="1443"/>
        </w:tabs>
        <w:ind w:left="1443" w:hanging="735"/>
        <w:rPr>
          <w:color w:val="221F1F"/>
        </w:rPr>
      </w:pPr>
      <w:r>
        <w:rPr>
          <w:color w:val="221F1F"/>
          <w:spacing w:val="-2"/>
        </w:rPr>
        <w:t>Unfulfilled</w:t>
      </w:r>
      <w:r>
        <w:rPr>
          <w:color w:val="221F1F"/>
          <w:spacing w:val="3"/>
        </w:rPr>
        <w:t xml:space="preserve"> </w:t>
      </w:r>
      <w:r>
        <w:rPr>
          <w:color w:val="221F1F"/>
          <w:spacing w:val="-2"/>
        </w:rPr>
        <w:t>Obligations</w:t>
      </w:r>
    </w:p>
    <w:p w:rsidR="007F6DF9" w:rsidRDefault="00A43FBC">
      <w:pPr>
        <w:pStyle w:val="BodyText"/>
        <w:spacing w:before="243" w:line="230" w:lineRule="auto"/>
        <w:ind w:left="1469" w:right="561" w:firstLine="7"/>
        <w:jc w:val="both"/>
      </w:pPr>
      <w:r>
        <w:rPr>
          <w:color w:val="221F1F"/>
        </w:rPr>
        <w:t>After the Completion Certificate has been issued, each Party shall remain liable for the fulfilment of any obligation which remains unperformed at that time. For the purposes of determining the nature and extent of unperformed obligations, the Contract shall be deemed to remain in force.</w:t>
      </w:r>
    </w:p>
    <w:p w:rsidR="007F6DF9" w:rsidRDefault="00A43FBC">
      <w:pPr>
        <w:pStyle w:val="Heading9"/>
        <w:numPr>
          <w:ilvl w:val="1"/>
          <w:numId w:val="122"/>
        </w:numPr>
        <w:tabs>
          <w:tab w:val="left" w:pos="1476"/>
        </w:tabs>
        <w:spacing w:before="235"/>
        <w:ind w:left="1476" w:hanging="768"/>
        <w:rPr>
          <w:color w:val="221F1F"/>
        </w:rPr>
      </w:pPr>
      <w:r>
        <w:rPr>
          <w:color w:val="221F1F"/>
        </w:rPr>
        <w:t>Clearance</w:t>
      </w:r>
      <w:r>
        <w:rPr>
          <w:color w:val="221F1F"/>
          <w:spacing w:val="-5"/>
        </w:rPr>
        <w:t xml:space="preserve"> </w:t>
      </w:r>
      <w:r>
        <w:rPr>
          <w:color w:val="221F1F"/>
        </w:rPr>
        <w:t>of</w:t>
      </w:r>
      <w:r>
        <w:rPr>
          <w:color w:val="221F1F"/>
          <w:spacing w:val="-3"/>
        </w:rPr>
        <w:t xml:space="preserve"> </w:t>
      </w:r>
      <w:r>
        <w:rPr>
          <w:color w:val="221F1F"/>
          <w:spacing w:val="-4"/>
        </w:rPr>
        <w:t>Site</w:t>
      </w:r>
    </w:p>
    <w:p w:rsidR="007F6DF9" w:rsidRDefault="00A43FBC">
      <w:pPr>
        <w:pStyle w:val="ListParagraph"/>
        <w:numPr>
          <w:ilvl w:val="2"/>
          <w:numId w:val="122"/>
        </w:numPr>
        <w:tabs>
          <w:tab w:val="left" w:pos="1465"/>
          <w:tab w:val="left" w:pos="1469"/>
        </w:tabs>
        <w:spacing w:before="245" w:line="230" w:lineRule="auto"/>
        <w:ind w:left="1469" w:right="573" w:hanging="762"/>
        <w:jc w:val="both"/>
        <w:rPr>
          <w:color w:val="221F1F"/>
        </w:rPr>
      </w:pPr>
      <w:r>
        <w:rPr>
          <w:color w:val="221F1F"/>
        </w:rPr>
        <w:t>Upon receiving the Completion Certificate, the Contractor shall remove any remaining Contractor's Equipment, surplus material, wreckage, rubbish and Temporary Works from the Site.</w:t>
      </w:r>
    </w:p>
    <w:p w:rsidR="007F6DF9" w:rsidRDefault="00A43FBC">
      <w:pPr>
        <w:pStyle w:val="ListParagraph"/>
        <w:numPr>
          <w:ilvl w:val="2"/>
          <w:numId w:val="122"/>
        </w:numPr>
        <w:tabs>
          <w:tab w:val="left" w:pos="1465"/>
          <w:tab w:val="left" w:pos="1469"/>
        </w:tabs>
        <w:spacing w:before="244" w:line="230" w:lineRule="auto"/>
        <w:ind w:left="1469" w:right="560" w:hanging="762"/>
        <w:jc w:val="both"/>
        <w:rPr>
          <w:color w:val="221F1F"/>
        </w:rPr>
      </w:pPr>
      <w:r>
        <w:rPr>
          <w:color w:val="221F1F"/>
        </w:rPr>
        <w:t>If all these items have not been removed within 30 days after receipt by the Contractor of the Completion Certificate,</w:t>
      </w:r>
      <w:r>
        <w:rPr>
          <w:color w:val="221F1F"/>
          <w:spacing w:val="-9"/>
        </w:rPr>
        <w:t xml:space="preserve"> </w:t>
      </w:r>
      <w:r>
        <w:rPr>
          <w:color w:val="221F1F"/>
        </w:rPr>
        <w:t>the</w:t>
      </w:r>
      <w:r>
        <w:rPr>
          <w:color w:val="221F1F"/>
          <w:spacing w:val="-9"/>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may</w:t>
      </w:r>
      <w:r>
        <w:rPr>
          <w:color w:val="221F1F"/>
          <w:spacing w:val="-9"/>
        </w:rPr>
        <w:t xml:space="preserve"> </w:t>
      </w:r>
      <w:r>
        <w:rPr>
          <w:color w:val="221F1F"/>
        </w:rPr>
        <w:t>sell</w:t>
      </w:r>
      <w:r>
        <w:rPr>
          <w:color w:val="221F1F"/>
          <w:spacing w:val="-6"/>
        </w:rPr>
        <w:t xml:space="preserve"> </w:t>
      </w:r>
      <w:r>
        <w:rPr>
          <w:color w:val="221F1F"/>
        </w:rPr>
        <w:t>or</w:t>
      </w:r>
      <w:r>
        <w:rPr>
          <w:color w:val="221F1F"/>
          <w:spacing w:val="-6"/>
        </w:rPr>
        <w:t xml:space="preserve"> </w:t>
      </w:r>
      <w:r>
        <w:rPr>
          <w:color w:val="221F1F"/>
        </w:rPr>
        <w:t>otherwise</w:t>
      </w:r>
      <w:r>
        <w:rPr>
          <w:color w:val="221F1F"/>
          <w:spacing w:val="-8"/>
        </w:rPr>
        <w:t xml:space="preserve"> </w:t>
      </w:r>
      <w:r>
        <w:rPr>
          <w:color w:val="221F1F"/>
        </w:rPr>
        <w:t>dispose</w:t>
      </w:r>
      <w:r>
        <w:rPr>
          <w:color w:val="221F1F"/>
          <w:spacing w:val="-6"/>
        </w:rPr>
        <w:t xml:space="preserve"> </w:t>
      </w:r>
      <w:r>
        <w:rPr>
          <w:color w:val="221F1F"/>
        </w:rPr>
        <w:t>of</w:t>
      </w:r>
      <w:r>
        <w:rPr>
          <w:color w:val="221F1F"/>
          <w:spacing w:val="-6"/>
        </w:rPr>
        <w:t xml:space="preserve"> </w:t>
      </w:r>
      <w:r>
        <w:rPr>
          <w:color w:val="221F1F"/>
        </w:rPr>
        <w:t>any</w:t>
      </w:r>
      <w:r>
        <w:rPr>
          <w:color w:val="221F1F"/>
          <w:spacing w:val="-7"/>
        </w:rPr>
        <w:t xml:space="preserve"> </w:t>
      </w:r>
      <w:r>
        <w:rPr>
          <w:color w:val="221F1F"/>
        </w:rPr>
        <w:t>remaining</w:t>
      </w:r>
      <w:r>
        <w:rPr>
          <w:color w:val="221F1F"/>
          <w:spacing w:val="-9"/>
        </w:rPr>
        <w:t xml:space="preserve"> </w:t>
      </w:r>
      <w:r>
        <w:rPr>
          <w:color w:val="221F1F"/>
        </w:rPr>
        <w:t>items.</w:t>
      </w:r>
      <w:r>
        <w:rPr>
          <w:color w:val="221F1F"/>
          <w:spacing w:val="-8"/>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 shall</w:t>
      </w:r>
      <w:r>
        <w:rPr>
          <w:color w:val="221F1F"/>
          <w:spacing w:val="-3"/>
        </w:rPr>
        <w:t xml:space="preserve"> </w:t>
      </w:r>
      <w:r>
        <w:rPr>
          <w:color w:val="221F1F"/>
        </w:rPr>
        <w:t>be</w:t>
      </w:r>
      <w:r>
        <w:rPr>
          <w:color w:val="221F1F"/>
          <w:spacing w:val="-3"/>
        </w:rPr>
        <w:t xml:space="preserve"> </w:t>
      </w:r>
      <w:r>
        <w:rPr>
          <w:color w:val="221F1F"/>
        </w:rPr>
        <w:t>entitled</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paid</w:t>
      </w:r>
      <w:r>
        <w:rPr>
          <w:color w:val="221F1F"/>
          <w:spacing w:val="-5"/>
        </w:rPr>
        <w:t xml:space="preserve"> </w:t>
      </w:r>
      <w:r>
        <w:rPr>
          <w:color w:val="221F1F"/>
        </w:rPr>
        <w:t>the</w:t>
      </w:r>
      <w:r>
        <w:rPr>
          <w:color w:val="221F1F"/>
          <w:spacing w:val="-3"/>
        </w:rPr>
        <w:t xml:space="preserve"> </w:t>
      </w:r>
      <w:r>
        <w:rPr>
          <w:color w:val="221F1F"/>
        </w:rPr>
        <w:t>costs</w:t>
      </w:r>
      <w:r>
        <w:rPr>
          <w:color w:val="221F1F"/>
          <w:spacing w:val="-3"/>
        </w:rPr>
        <w:t xml:space="preserve"> </w:t>
      </w:r>
      <w:r>
        <w:rPr>
          <w:color w:val="221F1F"/>
        </w:rPr>
        <w:t>incurred</w:t>
      </w:r>
      <w:r>
        <w:rPr>
          <w:color w:val="221F1F"/>
          <w:spacing w:val="-3"/>
        </w:rPr>
        <w:t xml:space="preserve"> </w:t>
      </w:r>
      <w:r>
        <w:rPr>
          <w:color w:val="221F1F"/>
        </w:rPr>
        <w:t>in</w:t>
      </w:r>
      <w:r>
        <w:rPr>
          <w:color w:val="221F1F"/>
          <w:spacing w:val="-4"/>
        </w:rPr>
        <w:t xml:space="preserve"> </w:t>
      </w:r>
      <w:r>
        <w:rPr>
          <w:color w:val="221F1F"/>
        </w:rPr>
        <w:t>connection</w:t>
      </w:r>
      <w:r>
        <w:rPr>
          <w:color w:val="221F1F"/>
          <w:spacing w:val="-3"/>
        </w:rPr>
        <w:t xml:space="preserve"> </w:t>
      </w:r>
      <w:r>
        <w:rPr>
          <w:color w:val="221F1F"/>
        </w:rPr>
        <w:t>with,</w:t>
      </w:r>
      <w:r>
        <w:rPr>
          <w:color w:val="221F1F"/>
          <w:spacing w:val="-3"/>
        </w:rPr>
        <w:t xml:space="preserve"> </w:t>
      </w:r>
      <w:r>
        <w:rPr>
          <w:color w:val="221F1F"/>
        </w:rPr>
        <w:t>or</w:t>
      </w:r>
      <w:r>
        <w:rPr>
          <w:color w:val="221F1F"/>
          <w:spacing w:val="-5"/>
        </w:rPr>
        <w:t xml:space="preserve"> </w:t>
      </w:r>
      <w:r>
        <w:rPr>
          <w:color w:val="221F1F"/>
        </w:rPr>
        <w:t>attributable</w:t>
      </w:r>
      <w:r>
        <w:rPr>
          <w:color w:val="221F1F"/>
          <w:spacing w:val="-2"/>
        </w:rPr>
        <w:t xml:space="preserve"> </w:t>
      </w:r>
      <w:r>
        <w:rPr>
          <w:color w:val="221F1F"/>
        </w:rPr>
        <w:t>to,</w:t>
      </w:r>
      <w:r>
        <w:rPr>
          <w:color w:val="221F1F"/>
          <w:spacing w:val="-6"/>
        </w:rPr>
        <w:t xml:space="preserve"> </w:t>
      </w:r>
      <w:r>
        <w:rPr>
          <w:color w:val="221F1F"/>
        </w:rPr>
        <w:t>such</w:t>
      </w:r>
      <w:r>
        <w:rPr>
          <w:color w:val="221F1F"/>
          <w:spacing w:val="-3"/>
        </w:rPr>
        <w:t xml:space="preserve"> </w:t>
      </w:r>
      <w:r>
        <w:rPr>
          <w:color w:val="221F1F"/>
        </w:rPr>
        <w:t>sale</w:t>
      </w:r>
      <w:r>
        <w:rPr>
          <w:color w:val="221F1F"/>
          <w:spacing w:val="-3"/>
        </w:rPr>
        <w:t xml:space="preserve"> </w:t>
      </w:r>
      <w:r>
        <w:rPr>
          <w:color w:val="221F1F"/>
        </w:rPr>
        <w:t>or</w:t>
      </w:r>
      <w:r>
        <w:rPr>
          <w:color w:val="221F1F"/>
          <w:spacing w:val="-3"/>
        </w:rPr>
        <w:t xml:space="preserve"> </w:t>
      </w:r>
      <w:r>
        <w:rPr>
          <w:color w:val="221F1F"/>
        </w:rPr>
        <w:t>disposal</w:t>
      </w:r>
      <w:r>
        <w:rPr>
          <w:color w:val="221F1F"/>
          <w:spacing w:val="-5"/>
        </w:rPr>
        <w:t xml:space="preserve"> </w:t>
      </w:r>
      <w:r>
        <w:rPr>
          <w:color w:val="221F1F"/>
        </w:rPr>
        <w:t>and restoring the Site.</w:t>
      </w:r>
    </w:p>
    <w:p w:rsidR="007F6DF9" w:rsidRDefault="00A43FBC">
      <w:pPr>
        <w:pStyle w:val="ListParagraph"/>
        <w:numPr>
          <w:ilvl w:val="2"/>
          <w:numId w:val="122"/>
        </w:numPr>
        <w:tabs>
          <w:tab w:val="left" w:pos="1402"/>
          <w:tab w:val="left" w:pos="1469"/>
        </w:tabs>
        <w:spacing w:before="245" w:line="230" w:lineRule="auto"/>
        <w:ind w:left="1469" w:right="574" w:hanging="762"/>
        <w:jc w:val="both"/>
        <w:rPr>
          <w:color w:val="221F1F"/>
        </w:rPr>
      </w:pPr>
      <w:r>
        <w:rPr>
          <w:color w:val="221F1F"/>
        </w:rPr>
        <w:t>Any balance of the moneys from the sale shall be paid to the Contractor. If these moneys are less than the Procuring Entity's costs, the Contractor shall pay the outstanding balance to the Procuring Entity.</w:t>
      </w:r>
    </w:p>
    <w:p w:rsidR="007F6DF9" w:rsidRDefault="00A43FBC">
      <w:pPr>
        <w:pStyle w:val="Heading8"/>
        <w:numPr>
          <w:ilvl w:val="0"/>
          <w:numId w:val="122"/>
        </w:numPr>
        <w:tabs>
          <w:tab w:val="left" w:pos="1476"/>
        </w:tabs>
        <w:spacing w:before="236"/>
        <w:ind w:left="1476" w:hanging="768"/>
      </w:pPr>
      <w:bookmarkStart w:id="64" w:name="_bookmark62"/>
      <w:bookmarkEnd w:id="64"/>
      <w:r>
        <w:rPr>
          <w:color w:val="221F1F"/>
        </w:rPr>
        <w:t>MEASUREMENT</w:t>
      </w:r>
      <w:r>
        <w:rPr>
          <w:color w:val="221F1F"/>
          <w:spacing w:val="-7"/>
        </w:rPr>
        <w:t xml:space="preserve"> </w:t>
      </w:r>
      <w:r>
        <w:rPr>
          <w:color w:val="221F1F"/>
        </w:rPr>
        <w:t>AN</w:t>
      </w:r>
      <w:r>
        <w:rPr>
          <w:color w:val="221F1F"/>
          <w:spacing w:val="-6"/>
        </w:rPr>
        <w:t xml:space="preserve"> </w:t>
      </w:r>
      <w:r>
        <w:rPr>
          <w:color w:val="221F1F"/>
          <w:spacing w:val="-2"/>
        </w:rPr>
        <w:t>DEVALUATION</w:t>
      </w:r>
    </w:p>
    <w:p w:rsidR="007F6DF9" w:rsidRDefault="00A43FBC">
      <w:pPr>
        <w:pStyle w:val="Heading9"/>
        <w:numPr>
          <w:ilvl w:val="1"/>
          <w:numId w:val="122"/>
        </w:numPr>
        <w:tabs>
          <w:tab w:val="left" w:pos="1476"/>
        </w:tabs>
        <w:spacing w:before="234"/>
        <w:ind w:left="1476" w:hanging="768"/>
        <w:rPr>
          <w:color w:val="221F1F"/>
        </w:rPr>
      </w:pPr>
      <w:r>
        <w:rPr>
          <w:color w:val="221F1F"/>
        </w:rPr>
        <w:t>Works</w:t>
      </w:r>
      <w:r>
        <w:rPr>
          <w:color w:val="221F1F"/>
          <w:spacing w:val="-12"/>
        </w:rPr>
        <w:t xml:space="preserve"> </w:t>
      </w:r>
      <w:r>
        <w:rPr>
          <w:color w:val="221F1F"/>
        </w:rPr>
        <w:t>to</w:t>
      </w:r>
      <w:r>
        <w:rPr>
          <w:color w:val="221F1F"/>
          <w:spacing w:val="-6"/>
        </w:rPr>
        <w:t xml:space="preserve"> </w:t>
      </w:r>
      <w:r>
        <w:rPr>
          <w:color w:val="221F1F"/>
        </w:rPr>
        <w:t>be</w:t>
      </w:r>
      <w:r>
        <w:rPr>
          <w:color w:val="221F1F"/>
          <w:spacing w:val="-5"/>
        </w:rPr>
        <w:t xml:space="preserve"> </w:t>
      </w:r>
      <w:r>
        <w:rPr>
          <w:color w:val="221F1F"/>
          <w:spacing w:val="-2"/>
        </w:rPr>
        <w:t>Measured</w:t>
      </w:r>
    </w:p>
    <w:p w:rsidR="007F6DF9" w:rsidRDefault="00A43FBC">
      <w:pPr>
        <w:pStyle w:val="ListParagraph"/>
        <w:numPr>
          <w:ilvl w:val="2"/>
          <w:numId w:val="122"/>
        </w:numPr>
        <w:tabs>
          <w:tab w:val="left" w:pos="1466"/>
          <w:tab w:val="left" w:pos="1469"/>
        </w:tabs>
        <w:spacing w:before="243" w:line="230" w:lineRule="auto"/>
        <w:ind w:left="1469" w:right="562" w:hanging="762"/>
        <w:jc w:val="both"/>
        <w:rPr>
          <w:color w:val="221F1F"/>
        </w:rPr>
      </w:pPr>
      <w:r>
        <w:rPr>
          <w:color w:val="221F1F"/>
        </w:rPr>
        <w:t>The</w:t>
      </w:r>
      <w:r>
        <w:rPr>
          <w:color w:val="221F1F"/>
          <w:spacing w:val="-3"/>
        </w:rPr>
        <w:t xml:space="preserve"> </w:t>
      </w:r>
      <w:r>
        <w:rPr>
          <w:color w:val="221F1F"/>
        </w:rPr>
        <w:t>Works</w:t>
      </w:r>
      <w:r>
        <w:rPr>
          <w:color w:val="221F1F"/>
          <w:spacing w:val="-12"/>
        </w:rPr>
        <w:t xml:space="preserve"> </w:t>
      </w:r>
      <w:r>
        <w:rPr>
          <w:color w:val="221F1F"/>
        </w:rPr>
        <w:t>shall</w:t>
      </w:r>
      <w:r>
        <w:rPr>
          <w:color w:val="221F1F"/>
          <w:spacing w:val="-2"/>
        </w:rPr>
        <w:t xml:space="preserve"> </w:t>
      </w:r>
      <w:r>
        <w:rPr>
          <w:color w:val="221F1F"/>
        </w:rPr>
        <w:t>be</w:t>
      </w:r>
      <w:r>
        <w:rPr>
          <w:color w:val="221F1F"/>
          <w:spacing w:val="-5"/>
        </w:rPr>
        <w:t xml:space="preserve"> </w:t>
      </w:r>
      <w:r>
        <w:rPr>
          <w:color w:val="221F1F"/>
        </w:rPr>
        <w:t>measured,</w:t>
      </w:r>
      <w:r>
        <w:rPr>
          <w:color w:val="221F1F"/>
          <w:spacing w:val="-2"/>
        </w:rPr>
        <w:t xml:space="preserve"> </w:t>
      </w:r>
      <w:r>
        <w:rPr>
          <w:color w:val="221F1F"/>
        </w:rPr>
        <w:t>and</w:t>
      </w:r>
      <w:r>
        <w:rPr>
          <w:color w:val="221F1F"/>
          <w:spacing w:val="-3"/>
        </w:rPr>
        <w:t xml:space="preserve"> </w:t>
      </w:r>
      <w:r>
        <w:rPr>
          <w:color w:val="221F1F"/>
        </w:rPr>
        <w:t>valued</w:t>
      </w:r>
      <w:r>
        <w:rPr>
          <w:color w:val="221F1F"/>
          <w:spacing w:val="-2"/>
        </w:rPr>
        <w:t xml:space="preserve"> </w:t>
      </w:r>
      <w:r>
        <w:rPr>
          <w:color w:val="221F1F"/>
        </w:rPr>
        <w:t>for</w:t>
      </w:r>
      <w:r>
        <w:rPr>
          <w:color w:val="221F1F"/>
          <w:spacing w:val="-2"/>
        </w:rPr>
        <w:t xml:space="preserve"> </w:t>
      </w:r>
      <w:r>
        <w:rPr>
          <w:color w:val="221F1F"/>
        </w:rPr>
        <w:t>payment,</w:t>
      </w:r>
      <w:r>
        <w:rPr>
          <w:color w:val="221F1F"/>
          <w:spacing w:val="-3"/>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this</w:t>
      </w:r>
      <w:r>
        <w:rPr>
          <w:color w:val="221F1F"/>
          <w:spacing w:val="-2"/>
        </w:rPr>
        <w:t xml:space="preserve"> </w:t>
      </w:r>
      <w:r>
        <w:rPr>
          <w:color w:val="221F1F"/>
        </w:rPr>
        <w:t>Clause.</w:t>
      </w:r>
      <w:r>
        <w:rPr>
          <w:color w:val="221F1F"/>
          <w:spacing w:val="-2"/>
        </w:rPr>
        <w:t xml:space="preserve"> </w:t>
      </w:r>
      <w:r>
        <w:rPr>
          <w:color w:val="221F1F"/>
        </w:rPr>
        <w:t>The</w:t>
      </w:r>
      <w:r>
        <w:rPr>
          <w:color w:val="221F1F"/>
          <w:spacing w:val="-3"/>
        </w:rPr>
        <w:t xml:space="preserve"> </w:t>
      </w:r>
      <w:proofErr w:type="spellStart"/>
      <w:r>
        <w:rPr>
          <w:color w:val="221F1F"/>
        </w:rPr>
        <w:t>Contractorshall</w:t>
      </w:r>
      <w:proofErr w:type="spellEnd"/>
      <w:r>
        <w:rPr>
          <w:color w:val="221F1F"/>
        </w:rPr>
        <w:t xml:space="preserve"> show in each application under Sub-Clauses 14.3 [Application for Interim Payment Certificates], 14.10 [Statement on Completion] and 14.11 [Application for Final Payment Certificate] the quantities and other particulars detailing the amounts which he considers to be entitled under the Contract.</w:t>
      </w:r>
    </w:p>
    <w:p w:rsidR="007F6DF9" w:rsidRDefault="00A43FBC">
      <w:pPr>
        <w:pStyle w:val="ListParagraph"/>
        <w:numPr>
          <w:ilvl w:val="2"/>
          <w:numId w:val="122"/>
        </w:numPr>
        <w:tabs>
          <w:tab w:val="left" w:pos="1469"/>
        </w:tabs>
        <w:spacing w:before="246" w:line="230" w:lineRule="auto"/>
        <w:ind w:left="1469" w:right="559" w:hanging="762"/>
        <w:rPr>
          <w:color w:val="221F1F"/>
        </w:rPr>
      </w:pPr>
      <w:r>
        <w:rPr>
          <w:color w:val="221F1F"/>
        </w:rPr>
        <w:t>Whenever the Architect requires any part of the Works</w:t>
      </w:r>
      <w:r>
        <w:rPr>
          <w:color w:val="221F1F"/>
          <w:spacing w:val="-6"/>
        </w:rPr>
        <w:t xml:space="preserve"> </w:t>
      </w:r>
      <w:r>
        <w:rPr>
          <w:color w:val="221F1F"/>
        </w:rPr>
        <w:t>to be measured, reasonable notice shall be given to the Contractor's Representative, who shall:</w:t>
      </w:r>
    </w:p>
    <w:p w:rsidR="007F6DF9" w:rsidRDefault="00A43FBC">
      <w:pPr>
        <w:pStyle w:val="ListParagraph"/>
        <w:numPr>
          <w:ilvl w:val="0"/>
          <w:numId w:val="64"/>
        </w:numPr>
        <w:tabs>
          <w:tab w:val="left" w:pos="1870"/>
          <w:tab w:val="left" w:pos="1873"/>
        </w:tabs>
        <w:spacing w:line="232" w:lineRule="auto"/>
        <w:ind w:right="914" w:hanging="396"/>
      </w:pPr>
      <w:r>
        <w:rPr>
          <w:color w:val="221F1F"/>
        </w:rPr>
        <w:t>promptly</w:t>
      </w:r>
      <w:r>
        <w:rPr>
          <w:color w:val="221F1F"/>
          <w:spacing w:val="-3"/>
        </w:rPr>
        <w:t xml:space="preserve"> </w:t>
      </w:r>
      <w:r>
        <w:rPr>
          <w:color w:val="221F1F"/>
        </w:rPr>
        <w:t>either</w:t>
      </w:r>
      <w:r>
        <w:rPr>
          <w:color w:val="221F1F"/>
          <w:spacing w:val="-5"/>
        </w:rPr>
        <w:t xml:space="preserve"> </w:t>
      </w:r>
      <w:r>
        <w:rPr>
          <w:color w:val="221F1F"/>
        </w:rPr>
        <w:t>attend</w:t>
      </w:r>
      <w:r>
        <w:rPr>
          <w:color w:val="221F1F"/>
          <w:spacing w:val="-5"/>
        </w:rPr>
        <w:t xml:space="preserve"> </w:t>
      </w:r>
      <w:r>
        <w:rPr>
          <w:color w:val="221F1F"/>
        </w:rPr>
        <w:t>or</w:t>
      </w:r>
      <w:r>
        <w:rPr>
          <w:color w:val="221F1F"/>
          <w:spacing w:val="-3"/>
        </w:rPr>
        <w:t xml:space="preserve"> </w:t>
      </w:r>
      <w:r>
        <w:rPr>
          <w:color w:val="221F1F"/>
        </w:rPr>
        <w:t>send</w:t>
      </w:r>
      <w:r>
        <w:rPr>
          <w:color w:val="221F1F"/>
          <w:spacing w:val="-3"/>
        </w:rPr>
        <w:t xml:space="preserve"> </w:t>
      </w:r>
      <w:r>
        <w:rPr>
          <w:color w:val="221F1F"/>
        </w:rPr>
        <w:t>another</w:t>
      </w:r>
      <w:r>
        <w:rPr>
          <w:color w:val="221F1F"/>
          <w:spacing w:val="-3"/>
        </w:rPr>
        <w:t xml:space="preserve"> </w:t>
      </w:r>
      <w:r>
        <w:rPr>
          <w:color w:val="221F1F"/>
        </w:rPr>
        <w:t>qualified representative</w:t>
      </w:r>
      <w:r>
        <w:rPr>
          <w:color w:val="221F1F"/>
          <w:spacing w:val="-3"/>
        </w:rPr>
        <w:t xml:space="preserve"> </w:t>
      </w:r>
      <w:r>
        <w:rPr>
          <w:color w:val="221F1F"/>
        </w:rPr>
        <w:t>to</w:t>
      </w:r>
      <w:r>
        <w:rPr>
          <w:color w:val="221F1F"/>
          <w:spacing w:val="-6"/>
        </w:rPr>
        <w:t xml:space="preserve"> </w:t>
      </w:r>
      <w:r>
        <w:rPr>
          <w:color w:val="221F1F"/>
        </w:rPr>
        <w:t>assist</w:t>
      </w:r>
      <w:r>
        <w:rPr>
          <w:color w:val="221F1F"/>
          <w:spacing w:val="-2"/>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in</w:t>
      </w:r>
      <w:r>
        <w:rPr>
          <w:color w:val="221F1F"/>
          <w:spacing w:val="-3"/>
        </w:rPr>
        <w:t xml:space="preserve"> </w:t>
      </w:r>
      <w:r>
        <w:rPr>
          <w:color w:val="221F1F"/>
        </w:rPr>
        <w:t>making</w:t>
      </w:r>
      <w:r>
        <w:rPr>
          <w:color w:val="221F1F"/>
          <w:spacing w:val="-3"/>
        </w:rPr>
        <w:t xml:space="preserve"> </w:t>
      </w:r>
      <w:r>
        <w:rPr>
          <w:color w:val="221F1F"/>
        </w:rPr>
        <w:t>the measurement, and</w:t>
      </w:r>
    </w:p>
    <w:p w:rsidR="007F6DF9" w:rsidRDefault="00A43FBC">
      <w:pPr>
        <w:pStyle w:val="ListParagraph"/>
        <w:numPr>
          <w:ilvl w:val="0"/>
          <w:numId w:val="64"/>
        </w:numPr>
        <w:tabs>
          <w:tab w:val="left" w:pos="1870"/>
        </w:tabs>
        <w:spacing w:line="243" w:lineRule="exact"/>
        <w:ind w:left="1870" w:hanging="393"/>
      </w:pPr>
      <w:r>
        <w:rPr>
          <w:color w:val="221F1F"/>
        </w:rPr>
        <w:t>supply</w:t>
      </w:r>
      <w:r>
        <w:rPr>
          <w:color w:val="221F1F"/>
          <w:spacing w:val="-3"/>
        </w:rPr>
        <w:t xml:space="preserve"> </w:t>
      </w:r>
      <w:r>
        <w:rPr>
          <w:color w:val="221F1F"/>
        </w:rPr>
        <w:t>any</w:t>
      </w:r>
      <w:r>
        <w:rPr>
          <w:color w:val="221F1F"/>
          <w:spacing w:val="-3"/>
        </w:rPr>
        <w:t xml:space="preserve"> </w:t>
      </w:r>
      <w:r>
        <w:rPr>
          <w:color w:val="221F1F"/>
        </w:rPr>
        <w:t>particulars</w:t>
      </w:r>
      <w:r>
        <w:rPr>
          <w:color w:val="221F1F"/>
          <w:spacing w:val="-4"/>
        </w:rPr>
        <w:t xml:space="preserve"> </w:t>
      </w:r>
      <w:r>
        <w:rPr>
          <w:color w:val="221F1F"/>
        </w:rPr>
        <w:t>requested</w:t>
      </w:r>
      <w:r>
        <w:rPr>
          <w:color w:val="221F1F"/>
          <w:spacing w:val="-2"/>
        </w:rPr>
        <w:t xml:space="preserve"> </w:t>
      </w:r>
      <w:r>
        <w:rPr>
          <w:color w:val="221F1F"/>
        </w:rPr>
        <w:t>by</w:t>
      </w:r>
      <w:r>
        <w:rPr>
          <w:color w:val="221F1F"/>
          <w:spacing w:val="-6"/>
        </w:rPr>
        <w:t xml:space="preserve"> </w:t>
      </w:r>
      <w:r>
        <w:rPr>
          <w:color w:val="221F1F"/>
        </w:rPr>
        <w:t>the</w:t>
      </w:r>
      <w:r>
        <w:rPr>
          <w:color w:val="221F1F"/>
          <w:spacing w:val="-2"/>
        </w:rPr>
        <w:t xml:space="preserve"> Engineer.</w:t>
      </w:r>
    </w:p>
    <w:p w:rsidR="007F6DF9" w:rsidRDefault="00A43FBC">
      <w:pPr>
        <w:pStyle w:val="ListParagraph"/>
        <w:numPr>
          <w:ilvl w:val="2"/>
          <w:numId w:val="122"/>
        </w:numPr>
        <w:tabs>
          <w:tab w:val="left" w:pos="1469"/>
        </w:tabs>
        <w:spacing w:before="237" w:line="232" w:lineRule="auto"/>
        <w:ind w:left="1469" w:right="571" w:hanging="762"/>
        <w:rPr>
          <w:color w:val="221F1F"/>
        </w:rPr>
      </w:pPr>
      <w:r>
        <w:rPr>
          <w:color w:val="221F1F"/>
        </w:rPr>
        <w:t>If the Contractor fails to attend or send a representative, the measurement made by the Architect shall be accepted as accurate.</w:t>
      </w:r>
    </w:p>
    <w:p w:rsidR="007F6DF9" w:rsidRDefault="00A43FBC">
      <w:pPr>
        <w:pStyle w:val="ListParagraph"/>
        <w:numPr>
          <w:ilvl w:val="2"/>
          <w:numId w:val="122"/>
        </w:numPr>
        <w:tabs>
          <w:tab w:val="left" w:pos="1466"/>
          <w:tab w:val="left" w:pos="1469"/>
        </w:tabs>
        <w:spacing w:before="244" w:line="230" w:lineRule="auto"/>
        <w:ind w:left="1469" w:right="560" w:hanging="762"/>
        <w:jc w:val="both"/>
        <w:rPr>
          <w:color w:val="221F1F"/>
        </w:rPr>
      </w:pPr>
      <w:r>
        <w:rPr>
          <w:color w:val="221F1F"/>
        </w:rPr>
        <w:t>Except</w:t>
      </w:r>
      <w:r>
        <w:rPr>
          <w:color w:val="221F1F"/>
          <w:spacing w:val="-14"/>
        </w:rPr>
        <w:t xml:space="preserve"> </w:t>
      </w:r>
      <w:r>
        <w:rPr>
          <w:color w:val="221F1F"/>
        </w:rPr>
        <w:t>as</w:t>
      </w:r>
      <w:r>
        <w:rPr>
          <w:color w:val="221F1F"/>
          <w:spacing w:val="-9"/>
        </w:rPr>
        <w:t xml:space="preserve"> </w:t>
      </w:r>
      <w:r>
        <w:rPr>
          <w:color w:val="221F1F"/>
        </w:rPr>
        <w:t>otherwise</w:t>
      </w:r>
      <w:r>
        <w:rPr>
          <w:color w:val="221F1F"/>
          <w:spacing w:val="-11"/>
        </w:rPr>
        <w:t xml:space="preserve"> </w:t>
      </w:r>
      <w:r>
        <w:rPr>
          <w:color w:val="221F1F"/>
        </w:rPr>
        <w:t>stated</w:t>
      </w:r>
      <w:r>
        <w:rPr>
          <w:color w:val="221F1F"/>
          <w:spacing w:val="-11"/>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Contract,</w:t>
      </w:r>
      <w:r>
        <w:rPr>
          <w:color w:val="221F1F"/>
          <w:spacing w:val="-9"/>
        </w:rPr>
        <w:t xml:space="preserve"> </w:t>
      </w:r>
      <w:r>
        <w:rPr>
          <w:color w:val="221F1F"/>
        </w:rPr>
        <w:t>wherever</w:t>
      </w:r>
      <w:r>
        <w:rPr>
          <w:color w:val="221F1F"/>
          <w:spacing w:val="-8"/>
        </w:rPr>
        <w:t xml:space="preserve"> </w:t>
      </w:r>
      <w:r>
        <w:rPr>
          <w:color w:val="221F1F"/>
        </w:rPr>
        <w:t>any</w:t>
      </w:r>
      <w:r>
        <w:rPr>
          <w:color w:val="221F1F"/>
          <w:spacing w:val="-9"/>
        </w:rPr>
        <w:t xml:space="preserve"> </w:t>
      </w:r>
      <w:r>
        <w:rPr>
          <w:color w:val="221F1F"/>
        </w:rPr>
        <w:t>Permanent</w:t>
      </w:r>
      <w:r>
        <w:rPr>
          <w:color w:val="221F1F"/>
          <w:spacing w:val="-8"/>
        </w:rPr>
        <w:t xml:space="preserve"> </w:t>
      </w:r>
      <w:r>
        <w:rPr>
          <w:color w:val="221F1F"/>
        </w:rPr>
        <w:t>Works</w:t>
      </w:r>
      <w:r>
        <w:rPr>
          <w:color w:val="221F1F"/>
          <w:spacing w:val="-14"/>
        </w:rPr>
        <w:t xml:space="preserve"> </w:t>
      </w:r>
      <w:r>
        <w:rPr>
          <w:color w:val="221F1F"/>
        </w:rPr>
        <w:t>are</w:t>
      </w:r>
      <w:r>
        <w:rPr>
          <w:color w:val="221F1F"/>
          <w:spacing w:val="-11"/>
        </w:rPr>
        <w:t xml:space="preserve"> </w:t>
      </w:r>
      <w:r>
        <w:rPr>
          <w:color w:val="221F1F"/>
        </w:rPr>
        <w:t>to</w:t>
      </w:r>
      <w:r>
        <w:rPr>
          <w:color w:val="221F1F"/>
          <w:spacing w:val="-9"/>
        </w:rPr>
        <w:t xml:space="preserve"> </w:t>
      </w:r>
      <w:r>
        <w:rPr>
          <w:color w:val="221F1F"/>
        </w:rPr>
        <w:t>be</w:t>
      </w:r>
      <w:r>
        <w:rPr>
          <w:color w:val="221F1F"/>
          <w:spacing w:val="-8"/>
        </w:rPr>
        <w:t xml:space="preserve"> </w:t>
      </w:r>
      <w:r>
        <w:rPr>
          <w:color w:val="221F1F"/>
        </w:rPr>
        <w:t>measured</w:t>
      </w:r>
      <w:r>
        <w:rPr>
          <w:color w:val="221F1F"/>
          <w:spacing w:val="-9"/>
        </w:rPr>
        <w:t xml:space="preserve"> </w:t>
      </w:r>
      <w:r>
        <w:rPr>
          <w:color w:val="221F1F"/>
        </w:rPr>
        <w:t>from</w:t>
      </w:r>
      <w:r>
        <w:rPr>
          <w:color w:val="221F1F"/>
          <w:spacing w:val="-8"/>
        </w:rPr>
        <w:t xml:space="preserve"> </w:t>
      </w:r>
      <w:r>
        <w:rPr>
          <w:color w:val="221F1F"/>
        </w:rPr>
        <w:t>records, these</w:t>
      </w:r>
      <w:r>
        <w:rPr>
          <w:color w:val="221F1F"/>
          <w:spacing w:val="-6"/>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prepared</w:t>
      </w:r>
      <w:r>
        <w:rPr>
          <w:color w:val="221F1F"/>
          <w:spacing w:val="-6"/>
        </w:rPr>
        <w:t xml:space="preserve"> </w:t>
      </w:r>
      <w:r>
        <w:rPr>
          <w:color w:val="221F1F"/>
        </w:rPr>
        <w:t>by</w:t>
      </w:r>
      <w:r>
        <w:rPr>
          <w:color w:val="221F1F"/>
          <w:spacing w:val="-5"/>
        </w:rPr>
        <w:t xml:space="preserve"> </w:t>
      </w:r>
      <w:r>
        <w:rPr>
          <w:color w:val="221F1F"/>
        </w:rPr>
        <w:t>the</w:t>
      </w:r>
      <w:r>
        <w:rPr>
          <w:color w:val="221F1F"/>
          <w:spacing w:val="-6"/>
        </w:rPr>
        <w:t xml:space="preserve"> </w:t>
      </w:r>
      <w:r>
        <w:rPr>
          <w:color w:val="221F1F"/>
        </w:rPr>
        <w:t>Engineer.</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6"/>
        </w:rPr>
        <w:t xml:space="preserve"> </w:t>
      </w:r>
      <w:r>
        <w:rPr>
          <w:color w:val="221F1F"/>
        </w:rPr>
        <w:t>as</w:t>
      </w:r>
      <w:r>
        <w:rPr>
          <w:color w:val="221F1F"/>
          <w:spacing w:val="-6"/>
        </w:rPr>
        <w:t xml:space="preserve"> </w:t>
      </w:r>
      <w:r>
        <w:rPr>
          <w:color w:val="221F1F"/>
        </w:rPr>
        <w:t>and</w:t>
      </w:r>
      <w:r>
        <w:rPr>
          <w:color w:val="221F1F"/>
          <w:spacing w:val="-6"/>
        </w:rPr>
        <w:t xml:space="preserve"> </w:t>
      </w:r>
      <w:r>
        <w:rPr>
          <w:color w:val="221F1F"/>
        </w:rPr>
        <w:t>when</w:t>
      </w:r>
      <w:r>
        <w:rPr>
          <w:color w:val="221F1F"/>
          <w:spacing w:val="-6"/>
        </w:rPr>
        <w:t xml:space="preserve"> </w:t>
      </w:r>
      <w:r>
        <w:rPr>
          <w:color w:val="221F1F"/>
        </w:rPr>
        <w:t>requested,</w:t>
      </w:r>
      <w:r>
        <w:rPr>
          <w:color w:val="221F1F"/>
          <w:spacing w:val="-5"/>
        </w:rPr>
        <w:t xml:space="preserve"> </w:t>
      </w:r>
      <w:r>
        <w:rPr>
          <w:color w:val="221F1F"/>
        </w:rPr>
        <w:t>attend</w:t>
      </w:r>
      <w:r>
        <w:rPr>
          <w:color w:val="221F1F"/>
          <w:spacing w:val="-8"/>
        </w:rPr>
        <w:t xml:space="preserve"> </w:t>
      </w:r>
      <w:r>
        <w:rPr>
          <w:color w:val="221F1F"/>
        </w:rPr>
        <w:t>to</w:t>
      </w:r>
      <w:r>
        <w:rPr>
          <w:color w:val="221F1F"/>
          <w:spacing w:val="-6"/>
        </w:rPr>
        <w:t xml:space="preserve"> </w:t>
      </w:r>
      <w:r>
        <w:rPr>
          <w:color w:val="221F1F"/>
        </w:rPr>
        <w:t>examine</w:t>
      </w:r>
      <w:r>
        <w:rPr>
          <w:color w:val="221F1F"/>
          <w:spacing w:val="-5"/>
        </w:rPr>
        <w:t xml:space="preserve"> </w:t>
      </w:r>
      <w:r>
        <w:rPr>
          <w:color w:val="221F1F"/>
        </w:rPr>
        <w:t xml:space="preserve">and </w:t>
      </w:r>
      <w:proofErr w:type="spellStart"/>
      <w:r>
        <w:rPr>
          <w:color w:val="221F1F"/>
        </w:rPr>
        <w:t>agreet</w:t>
      </w:r>
      <w:proofErr w:type="spellEnd"/>
      <w:r>
        <w:rPr>
          <w:color w:val="221F1F"/>
          <w:spacing w:val="-2"/>
        </w:rPr>
        <w:t xml:space="preserve"> </w:t>
      </w:r>
      <w:r>
        <w:rPr>
          <w:color w:val="221F1F"/>
        </w:rPr>
        <w:t>her</w:t>
      </w:r>
      <w:r>
        <w:rPr>
          <w:color w:val="221F1F"/>
          <w:spacing w:val="-2"/>
        </w:rPr>
        <w:t xml:space="preserve"> </w:t>
      </w:r>
      <w:proofErr w:type="spellStart"/>
      <w:r>
        <w:rPr>
          <w:color w:val="221F1F"/>
        </w:rPr>
        <w:t>ecords</w:t>
      </w:r>
      <w:proofErr w:type="spellEnd"/>
      <w:r>
        <w:rPr>
          <w:color w:val="221F1F"/>
        </w:rPr>
        <w:t xml:space="preserve"> with</w:t>
      </w:r>
      <w:r>
        <w:rPr>
          <w:color w:val="221F1F"/>
          <w:spacing w:val="-3"/>
        </w:rPr>
        <w:t xml:space="preserve"> </w:t>
      </w:r>
      <w:r>
        <w:rPr>
          <w:color w:val="221F1F"/>
        </w:rPr>
        <w:t>the</w:t>
      </w:r>
      <w:r>
        <w:rPr>
          <w:color w:val="221F1F"/>
          <w:spacing w:val="-5"/>
        </w:rPr>
        <w:t xml:space="preserve"> </w:t>
      </w:r>
      <w:r>
        <w:rPr>
          <w:color w:val="221F1F"/>
        </w:rPr>
        <w:t>Engineer,</w:t>
      </w:r>
      <w:r>
        <w:rPr>
          <w:color w:val="221F1F"/>
          <w:spacing w:val="-3"/>
        </w:rPr>
        <w:t xml:space="preserve"> </w:t>
      </w:r>
      <w:r>
        <w:rPr>
          <w:color w:val="221F1F"/>
        </w:rPr>
        <w:t>and</w:t>
      </w:r>
      <w:r>
        <w:rPr>
          <w:color w:val="221F1F"/>
          <w:spacing w:val="-3"/>
        </w:rPr>
        <w:t xml:space="preserve"> </w:t>
      </w:r>
      <w:r>
        <w:rPr>
          <w:color w:val="221F1F"/>
        </w:rPr>
        <w:t>shall</w:t>
      </w:r>
      <w:r>
        <w:rPr>
          <w:color w:val="221F1F"/>
          <w:spacing w:val="-2"/>
        </w:rPr>
        <w:t xml:space="preserve"> </w:t>
      </w:r>
      <w:r>
        <w:rPr>
          <w:color w:val="221F1F"/>
        </w:rPr>
        <w:t>sign</w:t>
      </w:r>
      <w:r>
        <w:rPr>
          <w:color w:val="221F1F"/>
          <w:spacing w:val="-4"/>
        </w:rPr>
        <w:t xml:space="preserve"> </w:t>
      </w:r>
      <w:r>
        <w:rPr>
          <w:color w:val="221F1F"/>
        </w:rPr>
        <w:t>the</w:t>
      </w:r>
      <w:r>
        <w:rPr>
          <w:color w:val="221F1F"/>
          <w:spacing w:val="-3"/>
        </w:rPr>
        <w:t xml:space="preserve"> </w:t>
      </w:r>
      <w:r>
        <w:rPr>
          <w:color w:val="221F1F"/>
        </w:rPr>
        <w:t>same</w:t>
      </w:r>
      <w:r>
        <w:rPr>
          <w:color w:val="221F1F"/>
          <w:spacing w:val="-1"/>
        </w:rPr>
        <w:t xml:space="preserve"> </w:t>
      </w:r>
      <w:r>
        <w:rPr>
          <w:color w:val="221F1F"/>
        </w:rPr>
        <w:t>when</w:t>
      </w:r>
      <w:r>
        <w:rPr>
          <w:color w:val="221F1F"/>
          <w:spacing w:val="-3"/>
        </w:rPr>
        <w:t xml:space="preserve"> </w:t>
      </w:r>
      <w:r>
        <w:rPr>
          <w:color w:val="221F1F"/>
        </w:rPr>
        <w:t>agreed.</w:t>
      </w:r>
      <w:r>
        <w:rPr>
          <w:color w:val="221F1F"/>
          <w:spacing w:val="-1"/>
        </w:rPr>
        <w:t xml:space="preserve"> </w:t>
      </w:r>
      <w:r>
        <w:rPr>
          <w:color w:val="221F1F"/>
        </w:rPr>
        <w:t>If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does</w:t>
      </w:r>
      <w:r>
        <w:rPr>
          <w:color w:val="221F1F"/>
          <w:spacing w:val="-3"/>
        </w:rPr>
        <w:t xml:space="preserve"> </w:t>
      </w:r>
      <w:r>
        <w:rPr>
          <w:color w:val="221F1F"/>
        </w:rPr>
        <w:t>not attend, the records shall be accepted as accurate.</w:t>
      </w:r>
    </w:p>
    <w:p w:rsidR="007F6DF9" w:rsidRDefault="00A43FBC">
      <w:pPr>
        <w:pStyle w:val="ListParagraph"/>
        <w:numPr>
          <w:ilvl w:val="2"/>
          <w:numId w:val="122"/>
        </w:numPr>
        <w:tabs>
          <w:tab w:val="left" w:pos="1466"/>
          <w:tab w:val="left" w:pos="1469"/>
        </w:tabs>
        <w:spacing w:before="245" w:line="230" w:lineRule="auto"/>
        <w:ind w:left="1469" w:right="561" w:hanging="762"/>
        <w:jc w:val="both"/>
        <w:rPr>
          <w:color w:val="221F1F"/>
        </w:rPr>
      </w:pPr>
      <w:r>
        <w:rPr>
          <w:color w:val="221F1F"/>
        </w:rPr>
        <w:t>If the Contractor examines and disagrees the records, and/ or does not sign them as agreed, then the Contractor</w:t>
      </w:r>
      <w:r>
        <w:rPr>
          <w:color w:val="221F1F"/>
          <w:spacing w:val="-10"/>
        </w:rPr>
        <w:t xml:space="preserve"> </w:t>
      </w:r>
      <w:r>
        <w:rPr>
          <w:color w:val="221F1F"/>
        </w:rPr>
        <w:t>shall</w:t>
      </w:r>
      <w:r>
        <w:rPr>
          <w:color w:val="221F1F"/>
          <w:spacing w:val="-10"/>
        </w:rPr>
        <w:t xml:space="preserve"> </w:t>
      </w:r>
      <w:r>
        <w:rPr>
          <w:color w:val="221F1F"/>
        </w:rPr>
        <w:t>give</w:t>
      </w:r>
      <w:r>
        <w:rPr>
          <w:color w:val="221F1F"/>
          <w:spacing w:val="-11"/>
        </w:rPr>
        <w:t xml:space="preserve"> </w:t>
      </w:r>
      <w:r>
        <w:rPr>
          <w:color w:val="221F1F"/>
        </w:rPr>
        <w:t>notice</w:t>
      </w:r>
      <w:r>
        <w:rPr>
          <w:color w:val="221F1F"/>
          <w:spacing w:val="-13"/>
        </w:rPr>
        <w:t xml:space="preserve"> </w:t>
      </w:r>
      <w:r>
        <w:rPr>
          <w:color w:val="221F1F"/>
        </w:rPr>
        <w:t>to</w:t>
      </w:r>
      <w:r>
        <w:rPr>
          <w:color w:val="221F1F"/>
          <w:spacing w:val="-11"/>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respects</w:t>
      </w:r>
      <w:r>
        <w:rPr>
          <w:color w:val="221F1F"/>
          <w:spacing w:val="-13"/>
        </w:rPr>
        <w:t xml:space="preserve"> </w:t>
      </w:r>
      <w:r>
        <w:rPr>
          <w:color w:val="221F1F"/>
        </w:rPr>
        <w:t>in</w:t>
      </w:r>
      <w:r>
        <w:rPr>
          <w:color w:val="221F1F"/>
          <w:spacing w:val="-11"/>
        </w:rPr>
        <w:t xml:space="preserve"> </w:t>
      </w:r>
      <w:r>
        <w:rPr>
          <w:color w:val="221F1F"/>
        </w:rPr>
        <w:t>which</w:t>
      </w:r>
      <w:r>
        <w:rPr>
          <w:color w:val="221F1F"/>
          <w:spacing w:val="-11"/>
        </w:rPr>
        <w:t xml:space="preserve"> </w:t>
      </w:r>
      <w:r>
        <w:rPr>
          <w:color w:val="221F1F"/>
        </w:rPr>
        <w:t>the</w:t>
      </w:r>
      <w:r>
        <w:rPr>
          <w:color w:val="221F1F"/>
          <w:spacing w:val="-11"/>
        </w:rPr>
        <w:t xml:space="preserve"> </w:t>
      </w:r>
      <w:r>
        <w:rPr>
          <w:color w:val="221F1F"/>
        </w:rPr>
        <w:t>records</w:t>
      </w:r>
      <w:r>
        <w:rPr>
          <w:color w:val="221F1F"/>
          <w:spacing w:val="-13"/>
        </w:rPr>
        <w:t xml:space="preserve"> </w:t>
      </w:r>
      <w:r>
        <w:rPr>
          <w:color w:val="221F1F"/>
        </w:rPr>
        <w:t>are</w:t>
      </w:r>
      <w:r>
        <w:rPr>
          <w:color w:val="221F1F"/>
          <w:spacing w:val="-13"/>
        </w:rPr>
        <w:t xml:space="preserve"> </w:t>
      </w:r>
      <w:r>
        <w:rPr>
          <w:color w:val="221F1F"/>
        </w:rPr>
        <w:t>asserted</w:t>
      </w:r>
      <w:r>
        <w:rPr>
          <w:color w:val="221F1F"/>
          <w:spacing w:val="-11"/>
        </w:rPr>
        <w:t xml:space="preserve"> </w:t>
      </w:r>
      <w:r>
        <w:rPr>
          <w:color w:val="221F1F"/>
        </w:rPr>
        <w:t>to</w:t>
      </w:r>
      <w:r>
        <w:rPr>
          <w:color w:val="221F1F"/>
          <w:spacing w:val="-13"/>
        </w:rPr>
        <w:t xml:space="preserve"> </w:t>
      </w:r>
      <w:r>
        <w:rPr>
          <w:color w:val="221F1F"/>
        </w:rPr>
        <w:t>be</w:t>
      </w:r>
      <w:r>
        <w:rPr>
          <w:color w:val="221F1F"/>
          <w:spacing w:val="-13"/>
        </w:rPr>
        <w:t xml:space="preserve"> </w:t>
      </w:r>
      <w:r>
        <w:rPr>
          <w:color w:val="221F1F"/>
        </w:rPr>
        <w:t>inaccurate. After</w:t>
      </w:r>
      <w:r>
        <w:rPr>
          <w:color w:val="221F1F"/>
          <w:spacing w:val="-9"/>
        </w:rPr>
        <w:t xml:space="preserve"> </w:t>
      </w:r>
      <w:r>
        <w:rPr>
          <w:color w:val="221F1F"/>
        </w:rPr>
        <w:t>receiving</w:t>
      </w:r>
      <w:r>
        <w:rPr>
          <w:color w:val="221F1F"/>
          <w:spacing w:val="-9"/>
        </w:rPr>
        <w:t xml:space="preserve"> </w:t>
      </w:r>
      <w:r>
        <w:rPr>
          <w:color w:val="221F1F"/>
        </w:rPr>
        <w:t>this</w:t>
      </w:r>
      <w:r>
        <w:rPr>
          <w:color w:val="221F1F"/>
          <w:spacing w:val="-9"/>
        </w:rPr>
        <w:t xml:space="preserve"> </w:t>
      </w:r>
      <w:r>
        <w:rPr>
          <w:color w:val="221F1F"/>
        </w:rPr>
        <w:t>notice,</w:t>
      </w:r>
      <w:r>
        <w:rPr>
          <w:color w:val="221F1F"/>
          <w:spacing w:val="-9"/>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shall</w:t>
      </w:r>
      <w:r>
        <w:rPr>
          <w:color w:val="221F1F"/>
          <w:spacing w:val="-9"/>
        </w:rPr>
        <w:t xml:space="preserve"> </w:t>
      </w:r>
      <w:r>
        <w:rPr>
          <w:color w:val="221F1F"/>
        </w:rPr>
        <w:t>review</w:t>
      </w:r>
      <w:r>
        <w:rPr>
          <w:color w:val="221F1F"/>
          <w:spacing w:val="-9"/>
        </w:rPr>
        <w:t xml:space="preserve"> </w:t>
      </w:r>
      <w:r>
        <w:rPr>
          <w:color w:val="221F1F"/>
        </w:rPr>
        <w:t>the</w:t>
      </w:r>
      <w:r>
        <w:rPr>
          <w:color w:val="221F1F"/>
          <w:spacing w:val="-9"/>
        </w:rPr>
        <w:t xml:space="preserve"> </w:t>
      </w:r>
      <w:r>
        <w:rPr>
          <w:color w:val="221F1F"/>
        </w:rPr>
        <w:t>records</w:t>
      </w:r>
      <w:r>
        <w:rPr>
          <w:color w:val="221F1F"/>
          <w:spacing w:val="-9"/>
        </w:rPr>
        <w:t xml:space="preserve"> </w:t>
      </w:r>
      <w:r>
        <w:rPr>
          <w:color w:val="221F1F"/>
        </w:rPr>
        <w:t>and</w:t>
      </w:r>
      <w:r>
        <w:rPr>
          <w:color w:val="221F1F"/>
          <w:spacing w:val="-9"/>
        </w:rPr>
        <w:t xml:space="preserve"> </w:t>
      </w:r>
      <w:r>
        <w:rPr>
          <w:color w:val="221F1F"/>
        </w:rPr>
        <w:t>either</w:t>
      </w:r>
      <w:r>
        <w:rPr>
          <w:color w:val="221F1F"/>
          <w:spacing w:val="-8"/>
        </w:rPr>
        <w:t xml:space="preserve"> </w:t>
      </w:r>
      <w:r>
        <w:rPr>
          <w:color w:val="221F1F"/>
        </w:rPr>
        <w:t>confirm</w:t>
      </w:r>
      <w:r>
        <w:rPr>
          <w:color w:val="221F1F"/>
          <w:spacing w:val="-10"/>
        </w:rPr>
        <w:t xml:space="preserve"> </w:t>
      </w:r>
      <w:r>
        <w:rPr>
          <w:color w:val="221F1F"/>
        </w:rPr>
        <w:t>or</w:t>
      </w:r>
      <w:r>
        <w:rPr>
          <w:color w:val="221F1F"/>
          <w:spacing w:val="-9"/>
        </w:rPr>
        <w:t xml:space="preserve"> </w:t>
      </w:r>
      <w:r>
        <w:rPr>
          <w:color w:val="221F1F"/>
        </w:rPr>
        <w:t>vary</w:t>
      </w:r>
      <w:r>
        <w:rPr>
          <w:color w:val="221F1F"/>
          <w:spacing w:val="-9"/>
        </w:rPr>
        <w:t xml:space="preserve"> </w:t>
      </w:r>
      <w:r>
        <w:rPr>
          <w:color w:val="221F1F"/>
        </w:rPr>
        <w:t>them</w:t>
      </w:r>
      <w:r>
        <w:rPr>
          <w:color w:val="221F1F"/>
          <w:spacing w:val="-8"/>
        </w:rPr>
        <w:t xml:space="preserve"> </w:t>
      </w:r>
      <w:r>
        <w:rPr>
          <w:color w:val="221F1F"/>
        </w:rPr>
        <w:t>and</w:t>
      </w:r>
      <w:r>
        <w:rPr>
          <w:color w:val="221F1F"/>
          <w:spacing w:val="-9"/>
        </w:rPr>
        <w:t xml:space="preserve"> </w:t>
      </w:r>
      <w:r>
        <w:rPr>
          <w:color w:val="221F1F"/>
        </w:rPr>
        <w:t xml:space="preserve">certify the </w:t>
      </w:r>
      <w:proofErr w:type="spellStart"/>
      <w:r>
        <w:rPr>
          <w:color w:val="221F1F"/>
        </w:rPr>
        <w:t>paymentofthe</w:t>
      </w:r>
      <w:proofErr w:type="spellEnd"/>
      <w:r>
        <w:rPr>
          <w:color w:val="221F1F"/>
        </w:rPr>
        <w:t xml:space="preserve"> undisputed part. If the Contractor does not so give notice to the Architect within 14 days after being requested to examine the records, they shall be accepted as accurate.</w:t>
      </w:r>
    </w:p>
    <w:p w:rsidR="007F6DF9" w:rsidRDefault="00A43FBC">
      <w:pPr>
        <w:pStyle w:val="Heading9"/>
        <w:numPr>
          <w:ilvl w:val="1"/>
          <w:numId w:val="122"/>
        </w:numPr>
        <w:tabs>
          <w:tab w:val="left" w:pos="1474"/>
        </w:tabs>
        <w:spacing w:before="237"/>
        <w:ind w:left="1474" w:hanging="768"/>
        <w:rPr>
          <w:color w:val="221F1F"/>
        </w:rPr>
      </w:pPr>
      <w:r>
        <w:rPr>
          <w:color w:val="221F1F"/>
        </w:rPr>
        <w:t>Method</w:t>
      </w:r>
      <w:r>
        <w:rPr>
          <w:color w:val="221F1F"/>
          <w:spacing w:val="-3"/>
        </w:rPr>
        <w:t xml:space="preserve"> </w:t>
      </w:r>
      <w:r>
        <w:rPr>
          <w:color w:val="221F1F"/>
        </w:rPr>
        <w:t>of</w:t>
      </w:r>
      <w:r>
        <w:rPr>
          <w:color w:val="221F1F"/>
          <w:spacing w:val="-2"/>
        </w:rPr>
        <w:t xml:space="preserve"> Measurement</w:t>
      </w:r>
    </w:p>
    <w:p w:rsidR="007F6DF9" w:rsidRDefault="00A43FBC">
      <w:pPr>
        <w:pStyle w:val="BodyText"/>
        <w:spacing w:before="105" w:line="250" w:lineRule="exact"/>
        <w:ind w:left="1474"/>
      </w:pPr>
      <w:r>
        <w:rPr>
          <w:color w:val="221F1F"/>
        </w:rPr>
        <w:t>Except</w:t>
      </w:r>
      <w:r>
        <w:rPr>
          <w:color w:val="221F1F"/>
          <w:spacing w:val="-4"/>
        </w:rPr>
        <w:t xml:space="preserve"> </w:t>
      </w:r>
      <w:r>
        <w:rPr>
          <w:color w:val="221F1F"/>
        </w:rPr>
        <w:t>as</w:t>
      </w:r>
      <w:r>
        <w:rPr>
          <w:color w:val="221F1F"/>
          <w:spacing w:val="-2"/>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3"/>
        </w:rPr>
        <w:t xml:space="preserve"> </w:t>
      </w:r>
      <w:r>
        <w:rPr>
          <w:color w:val="221F1F"/>
        </w:rPr>
        <w:t>the</w:t>
      </w:r>
      <w:r>
        <w:rPr>
          <w:color w:val="221F1F"/>
          <w:spacing w:val="-2"/>
        </w:rPr>
        <w:t xml:space="preserve"> Contract:</w:t>
      </w:r>
    </w:p>
    <w:p w:rsidR="007F6DF9" w:rsidRDefault="00A43FBC">
      <w:pPr>
        <w:pStyle w:val="ListParagraph"/>
        <w:numPr>
          <w:ilvl w:val="0"/>
          <w:numId w:val="97"/>
        </w:numPr>
        <w:tabs>
          <w:tab w:val="left" w:pos="1870"/>
        </w:tabs>
        <w:spacing w:line="247" w:lineRule="exact"/>
      </w:pPr>
      <w:r>
        <w:rPr>
          <w:color w:val="221F1F"/>
        </w:rPr>
        <w:t>Measurement</w:t>
      </w:r>
      <w:r>
        <w:rPr>
          <w:color w:val="221F1F"/>
          <w:spacing w:val="-4"/>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made</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net</w:t>
      </w:r>
      <w:r>
        <w:rPr>
          <w:color w:val="221F1F"/>
          <w:spacing w:val="-4"/>
        </w:rPr>
        <w:t xml:space="preserve"> </w:t>
      </w:r>
      <w:r>
        <w:rPr>
          <w:color w:val="221F1F"/>
        </w:rPr>
        <w:t>actual</w:t>
      </w:r>
      <w:r>
        <w:rPr>
          <w:color w:val="221F1F"/>
          <w:spacing w:val="-5"/>
        </w:rPr>
        <w:t xml:space="preserve"> </w:t>
      </w:r>
      <w:r>
        <w:rPr>
          <w:color w:val="221F1F"/>
        </w:rPr>
        <w:t>quantity</w:t>
      </w:r>
      <w:r>
        <w:rPr>
          <w:color w:val="221F1F"/>
          <w:spacing w:val="-6"/>
        </w:rPr>
        <w:t xml:space="preserve"> </w:t>
      </w:r>
      <w:r>
        <w:rPr>
          <w:color w:val="221F1F"/>
        </w:rPr>
        <w:t>of</w:t>
      </w:r>
      <w:r>
        <w:rPr>
          <w:color w:val="221F1F"/>
          <w:spacing w:val="-3"/>
        </w:rPr>
        <w:t xml:space="preserve"> </w:t>
      </w:r>
      <w:r>
        <w:rPr>
          <w:color w:val="221F1F"/>
        </w:rPr>
        <w:t>each</w:t>
      </w:r>
      <w:r>
        <w:rPr>
          <w:color w:val="221F1F"/>
          <w:spacing w:val="-4"/>
        </w:rPr>
        <w:t xml:space="preserve"> </w:t>
      </w:r>
      <w:r>
        <w:rPr>
          <w:color w:val="221F1F"/>
        </w:rPr>
        <w:t>item</w:t>
      </w:r>
      <w:r>
        <w:rPr>
          <w:color w:val="221F1F"/>
          <w:spacing w:val="-3"/>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Permanent</w:t>
      </w:r>
      <w:r>
        <w:rPr>
          <w:color w:val="221F1F"/>
          <w:spacing w:val="-4"/>
        </w:rPr>
        <w:t xml:space="preserve"> </w:t>
      </w:r>
      <w:r>
        <w:rPr>
          <w:color w:val="221F1F"/>
        </w:rPr>
        <w:t>Works,</w:t>
      </w:r>
      <w:r>
        <w:rPr>
          <w:color w:val="221F1F"/>
          <w:spacing w:val="-10"/>
        </w:rPr>
        <w:t xml:space="preserve"> </w:t>
      </w:r>
      <w:r>
        <w:rPr>
          <w:color w:val="221F1F"/>
          <w:spacing w:val="-5"/>
        </w:rPr>
        <w:t>and</w:t>
      </w:r>
    </w:p>
    <w:p w:rsidR="007F6DF9" w:rsidRDefault="00A43FBC">
      <w:pPr>
        <w:pStyle w:val="ListParagraph"/>
        <w:numPr>
          <w:ilvl w:val="0"/>
          <w:numId w:val="97"/>
        </w:numPr>
        <w:tabs>
          <w:tab w:val="left" w:pos="1870"/>
          <w:tab w:val="left" w:pos="1873"/>
        </w:tabs>
        <w:spacing w:before="5" w:line="230" w:lineRule="auto"/>
        <w:ind w:left="1873" w:right="1105" w:hanging="399"/>
      </w:pPr>
      <w:r>
        <w:rPr>
          <w:color w:val="221F1F"/>
        </w:rPr>
        <w:t>the</w:t>
      </w:r>
      <w:r>
        <w:rPr>
          <w:color w:val="221F1F"/>
          <w:spacing w:val="-4"/>
        </w:rPr>
        <w:t xml:space="preserve"> </w:t>
      </w:r>
      <w:r>
        <w:rPr>
          <w:color w:val="221F1F"/>
        </w:rPr>
        <w:t>method</w:t>
      </w:r>
      <w:r>
        <w:rPr>
          <w:color w:val="221F1F"/>
          <w:spacing w:val="-2"/>
        </w:rPr>
        <w:t xml:space="preserve"> </w:t>
      </w:r>
      <w:r>
        <w:rPr>
          <w:color w:val="221F1F"/>
        </w:rPr>
        <w:t>of</w:t>
      </w:r>
      <w:r>
        <w:rPr>
          <w:color w:val="221F1F"/>
          <w:spacing w:val="-4"/>
        </w:rPr>
        <w:t xml:space="preserve"> </w:t>
      </w:r>
      <w:r>
        <w:rPr>
          <w:color w:val="221F1F"/>
        </w:rPr>
        <w:t>measurement</w:t>
      </w:r>
      <w:r>
        <w:rPr>
          <w:color w:val="221F1F"/>
          <w:spacing w:val="-4"/>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in</w:t>
      </w:r>
      <w:r>
        <w:rPr>
          <w:color w:val="221F1F"/>
          <w:spacing w:val="-5"/>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the</w:t>
      </w:r>
      <w:r>
        <w:rPr>
          <w:color w:val="221F1F"/>
          <w:spacing w:val="-2"/>
        </w:rPr>
        <w:t xml:space="preserve"> </w:t>
      </w:r>
      <w:r>
        <w:rPr>
          <w:color w:val="221F1F"/>
        </w:rPr>
        <w:t>Bill</w:t>
      </w:r>
      <w:r>
        <w:rPr>
          <w:color w:val="221F1F"/>
          <w:spacing w:val="-1"/>
        </w:rPr>
        <w:t xml:space="preserve"> </w:t>
      </w:r>
      <w:r>
        <w:rPr>
          <w:color w:val="221F1F"/>
        </w:rPr>
        <w:t>of</w:t>
      </w:r>
      <w:r>
        <w:rPr>
          <w:color w:val="221F1F"/>
          <w:spacing w:val="-2"/>
        </w:rPr>
        <w:t xml:space="preserve"> </w:t>
      </w:r>
      <w:r>
        <w:rPr>
          <w:color w:val="221F1F"/>
        </w:rPr>
        <w:t>Quantities</w:t>
      </w:r>
      <w:r>
        <w:rPr>
          <w:color w:val="221F1F"/>
          <w:spacing w:val="-2"/>
        </w:rPr>
        <w:t xml:space="preserve"> </w:t>
      </w:r>
      <w:r>
        <w:rPr>
          <w:color w:val="221F1F"/>
        </w:rPr>
        <w:t>or</w:t>
      </w:r>
      <w:r>
        <w:rPr>
          <w:color w:val="221F1F"/>
          <w:spacing w:val="-4"/>
        </w:rPr>
        <w:t xml:space="preserve"> </w:t>
      </w:r>
      <w:r>
        <w:rPr>
          <w:color w:val="221F1F"/>
        </w:rPr>
        <w:t>other</w:t>
      </w:r>
      <w:r>
        <w:rPr>
          <w:color w:val="221F1F"/>
          <w:spacing w:val="-1"/>
        </w:rPr>
        <w:t xml:space="preserve"> </w:t>
      </w:r>
      <w:r>
        <w:rPr>
          <w:color w:val="221F1F"/>
        </w:rPr>
        <w:t xml:space="preserve">applicable </w:t>
      </w:r>
      <w:r>
        <w:rPr>
          <w:color w:val="221F1F"/>
          <w:spacing w:val="-2"/>
        </w:rPr>
        <w:t>Schedules.</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474"/>
        </w:tabs>
        <w:spacing w:line="244" w:lineRule="exact"/>
        <w:ind w:left="1474" w:hanging="768"/>
        <w:rPr>
          <w:color w:val="221F1F"/>
        </w:rPr>
      </w:pPr>
      <w:r>
        <w:rPr>
          <w:noProof/>
        </w:rPr>
        <w:lastRenderedPageBreak/>
        <mc:AlternateContent>
          <mc:Choice Requires="wpg">
            <w:drawing>
              <wp:anchor distT="0" distB="0" distL="0" distR="0" simplePos="0" relativeHeight="479601664"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69" name="Graphic 369"/>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70" name="Graphic 370"/>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1D78980B" id="Group 368" o:spid="_x0000_s1026" style="position:absolute;margin-left:-.1pt;margin-top:806.2pt;width:595.45pt;height:24.5pt;z-index:-23714816;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">
                <v:shape id="Graphic 369"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" path="m944880,l,,,307975r790575,l839470,300355r41910,-22225l915035,245110r22225,-42545l944880,153670,944880,xe" fillcolor="#00a650" stroked="f">
                  <v:path arrowok="t"/>
                </v:shape>
                <v:shape id="Graphic 370"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spacing w:val="-2"/>
        </w:rPr>
        <w:t>Evaluation</w:t>
      </w:r>
    </w:p>
    <w:p w:rsidR="007F6DF9" w:rsidRDefault="00A43FBC">
      <w:pPr>
        <w:pStyle w:val="ListParagraph"/>
        <w:numPr>
          <w:ilvl w:val="2"/>
          <w:numId w:val="122"/>
        </w:numPr>
        <w:tabs>
          <w:tab w:val="left" w:pos="1466"/>
          <w:tab w:val="left" w:pos="1469"/>
        </w:tabs>
        <w:spacing w:before="242" w:line="230" w:lineRule="auto"/>
        <w:ind w:left="1469" w:right="562" w:hanging="764"/>
        <w:jc w:val="both"/>
        <w:rPr>
          <w:color w:val="221F1F"/>
        </w:rPr>
      </w:pPr>
      <w:r>
        <w:rPr>
          <w:color w:val="221F1F"/>
        </w:rPr>
        <w:t xml:space="preserve">Except as otherwise stated in the Contract, the Architect shall proceed in accordance with Sub-Clause 3.5 [Determinations] to agree or determine the value of </w:t>
      </w:r>
      <w:proofErr w:type="spellStart"/>
      <w:r>
        <w:rPr>
          <w:color w:val="221F1F"/>
        </w:rPr>
        <w:t>workd</w:t>
      </w:r>
      <w:proofErr w:type="spellEnd"/>
      <w:r>
        <w:rPr>
          <w:color w:val="221F1F"/>
        </w:rPr>
        <w:t xml:space="preserve"> one by evaluating each item of work, applying the measurement agreed or determined in accordance with the above Sub-Clauses 12.1 and 12.2 and the appropriate rate or price for the item.</w:t>
      </w:r>
    </w:p>
    <w:p w:rsidR="007F6DF9" w:rsidRDefault="00A43FBC">
      <w:pPr>
        <w:pStyle w:val="ListParagraph"/>
        <w:numPr>
          <w:ilvl w:val="2"/>
          <w:numId w:val="122"/>
        </w:numPr>
        <w:tabs>
          <w:tab w:val="left" w:pos="1366"/>
          <w:tab w:val="left" w:pos="1369"/>
        </w:tabs>
        <w:spacing w:before="248" w:line="230" w:lineRule="auto"/>
        <w:ind w:left="1369" w:right="560" w:hanging="661"/>
        <w:jc w:val="both"/>
        <w:rPr>
          <w:color w:val="221F1F"/>
        </w:rPr>
      </w:pPr>
      <w:r>
        <w:rPr>
          <w:color w:val="221F1F"/>
        </w:rPr>
        <w:t>For each item of work, the appropriate rate or price for the item shall be the rate or price specified for such item in the Contractor, if there is no such item, specified for similar work.</w:t>
      </w:r>
    </w:p>
    <w:p w:rsidR="007F6DF9" w:rsidRDefault="00A43FBC">
      <w:pPr>
        <w:pStyle w:val="ListParagraph"/>
        <w:numPr>
          <w:ilvl w:val="2"/>
          <w:numId w:val="122"/>
        </w:numPr>
        <w:tabs>
          <w:tab w:val="left" w:pos="1366"/>
          <w:tab w:val="left" w:pos="1369"/>
        </w:tabs>
        <w:spacing w:before="244" w:line="230" w:lineRule="auto"/>
        <w:ind w:left="1369" w:right="558" w:hanging="661"/>
        <w:jc w:val="both"/>
        <w:rPr>
          <w:color w:val="221F1F"/>
        </w:rPr>
      </w:pPr>
      <w:r>
        <w:rPr>
          <w:color w:val="221F1F"/>
        </w:rPr>
        <w:t>Any</w:t>
      </w:r>
      <w:r>
        <w:rPr>
          <w:color w:val="221F1F"/>
          <w:spacing w:val="-14"/>
        </w:rPr>
        <w:t xml:space="preserve"> </w:t>
      </w:r>
      <w:r>
        <w:rPr>
          <w:color w:val="221F1F"/>
        </w:rPr>
        <w:t>item</w:t>
      </w:r>
      <w:r>
        <w:rPr>
          <w:color w:val="221F1F"/>
          <w:spacing w:val="-14"/>
        </w:rPr>
        <w:t xml:space="preserve"> </w:t>
      </w:r>
      <w:r>
        <w:rPr>
          <w:color w:val="221F1F"/>
        </w:rPr>
        <w:t>of</w:t>
      </w:r>
      <w:r>
        <w:rPr>
          <w:color w:val="221F1F"/>
          <w:spacing w:val="-14"/>
        </w:rPr>
        <w:t xml:space="preserve"> </w:t>
      </w:r>
      <w:r>
        <w:rPr>
          <w:color w:val="221F1F"/>
        </w:rPr>
        <w:t>work</w:t>
      </w:r>
      <w:r>
        <w:rPr>
          <w:color w:val="221F1F"/>
          <w:spacing w:val="-13"/>
        </w:rPr>
        <w:t xml:space="preserve"> </w:t>
      </w:r>
      <w:r>
        <w:rPr>
          <w:color w:val="221F1F"/>
        </w:rPr>
        <w:t>included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Bill</w:t>
      </w:r>
      <w:r>
        <w:rPr>
          <w:color w:val="221F1F"/>
          <w:spacing w:val="-13"/>
        </w:rPr>
        <w:t xml:space="preserve"> </w:t>
      </w:r>
      <w:r>
        <w:rPr>
          <w:color w:val="221F1F"/>
        </w:rPr>
        <w:t>of</w:t>
      </w:r>
      <w:r>
        <w:rPr>
          <w:color w:val="221F1F"/>
          <w:spacing w:val="-13"/>
        </w:rPr>
        <w:t xml:space="preserve"> </w:t>
      </w:r>
      <w:r>
        <w:rPr>
          <w:color w:val="221F1F"/>
        </w:rPr>
        <w:t>Quantities</w:t>
      </w:r>
      <w:r>
        <w:rPr>
          <w:color w:val="221F1F"/>
          <w:spacing w:val="-14"/>
        </w:rPr>
        <w:t xml:space="preserve"> </w:t>
      </w:r>
      <w:r>
        <w:rPr>
          <w:color w:val="221F1F"/>
        </w:rPr>
        <w:t>for</w:t>
      </w:r>
      <w:r>
        <w:rPr>
          <w:color w:val="221F1F"/>
          <w:spacing w:val="-14"/>
        </w:rPr>
        <w:t xml:space="preserve"> </w:t>
      </w:r>
      <w:r>
        <w:rPr>
          <w:color w:val="221F1F"/>
        </w:rPr>
        <w:t>which</w:t>
      </w:r>
      <w:r>
        <w:rPr>
          <w:color w:val="221F1F"/>
          <w:spacing w:val="-13"/>
        </w:rPr>
        <w:t xml:space="preserve"> </w:t>
      </w:r>
      <w:r>
        <w:rPr>
          <w:color w:val="221F1F"/>
        </w:rPr>
        <w:t>no</w:t>
      </w:r>
      <w:r>
        <w:rPr>
          <w:color w:val="221F1F"/>
          <w:spacing w:val="-14"/>
        </w:rPr>
        <w:t xml:space="preserve"> </w:t>
      </w:r>
      <w:r>
        <w:rPr>
          <w:color w:val="221F1F"/>
        </w:rPr>
        <w:t>rate</w:t>
      </w:r>
      <w:r>
        <w:rPr>
          <w:color w:val="221F1F"/>
          <w:spacing w:val="-14"/>
        </w:rPr>
        <w:t xml:space="preserve"> </w:t>
      </w:r>
      <w:r>
        <w:rPr>
          <w:color w:val="221F1F"/>
        </w:rPr>
        <w:t>or</w:t>
      </w:r>
      <w:r>
        <w:rPr>
          <w:color w:val="221F1F"/>
          <w:spacing w:val="-13"/>
        </w:rPr>
        <w:t xml:space="preserve"> </w:t>
      </w:r>
      <w:r>
        <w:rPr>
          <w:color w:val="221F1F"/>
        </w:rPr>
        <w:t>price</w:t>
      </w:r>
      <w:r>
        <w:rPr>
          <w:color w:val="221F1F"/>
          <w:spacing w:val="-12"/>
        </w:rPr>
        <w:t xml:space="preserve"> </w:t>
      </w:r>
      <w:r>
        <w:rPr>
          <w:color w:val="221F1F"/>
        </w:rPr>
        <w:t>was</w:t>
      </w:r>
      <w:r>
        <w:rPr>
          <w:color w:val="221F1F"/>
          <w:spacing w:val="-14"/>
        </w:rPr>
        <w:t xml:space="preserve"> </w:t>
      </w:r>
      <w:r>
        <w:rPr>
          <w:color w:val="221F1F"/>
        </w:rPr>
        <w:t>specified</w:t>
      </w:r>
      <w:r>
        <w:rPr>
          <w:color w:val="221F1F"/>
          <w:spacing w:val="-13"/>
        </w:rPr>
        <w:t xml:space="preserve"> </w:t>
      </w:r>
      <w:r>
        <w:rPr>
          <w:color w:val="221F1F"/>
        </w:rPr>
        <w:t>shall</w:t>
      </w:r>
      <w:r>
        <w:rPr>
          <w:color w:val="221F1F"/>
          <w:spacing w:val="-13"/>
        </w:rPr>
        <w:t xml:space="preserve"> </w:t>
      </w:r>
      <w:r>
        <w:rPr>
          <w:color w:val="221F1F"/>
        </w:rPr>
        <w:t>be</w:t>
      </w:r>
      <w:r>
        <w:rPr>
          <w:color w:val="221F1F"/>
          <w:spacing w:val="-13"/>
        </w:rPr>
        <w:t xml:space="preserve"> </w:t>
      </w:r>
      <w:r>
        <w:rPr>
          <w:color w:val="221F1F"/>
        </w:rPr>
        <w:t>considered as included in other rates and prices in the Bill of Quantities and will not be paid for separately.</w:t>
      </w:r>
    </w:p>
    <w:p w:rsidR="007F6DF9" w:rsidRDefault="00A43FBC">
      <w:pPr>
        <w:pStyle w:val="ListParagraph"/>
        <w:numPr>
          <w:ilvl w:val="2"/>
          <w:numId w:val="122"/>
        </w:numPr>
        <w:tabs>
          <w:tab w:val="left" w:pos="1376"/>
        </w:tabs>
        <w:spacing w:before="236"/>
        <w:ind w:left="1376" w:hanging="668"/>
        <w:rPr>
          <w:color w:val="221F1F"/>
        </w:rPr>
      </w:pPr>
      <w:r>
        <w:rPr>
          <w:color w:val="221F1F"/>
        </w:rPr>
        <w:t>However,</w:t>
      </w:r>
      <w:r>
        <w:rPr>
          <w:color w:val="221F1F"/>
          <w:spacing w:val="-5"/>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new</w:t>
      </w:r>
      <w:r>
        <w:rPr>
          <w:color w:val="221F1F"/>
          <w:spacing w:val="-5"/>
        </w:rPr>
        <w:t xml:space="preserve"> </w:t>
      </w:r>
      <w:r>
        <w:rPr>
          <w:color w:val="221F1F"/>
        </w:rPr>
        <w:t>item</w:t>
      </w:r>
      <w:r>
        <w:rPr>
          <w:color w:val="221F1F"/>
          <w:spacing w:val="-1"/>
        </w:rPr>
        <w:t xml:space="preserve"> </w:t>
      </w:r>
      <w:r>
        <w:rPr>
          <w:color w:val="221F1F"/>
        </w:rPr>
        <w:t>of</w:t>
      </w:r>
      <w:r>
        <w:rPr>
          <w:color w:val="221F1F"/>
          <w:spacing w:val="-5"/>
        </w:rPr>
        <w:t xml:space="preserve"> </w:t>
      </w:r>
      <w:r>
        <w:rPr>
          <w:color w:val="221F1F"/>
        </w:rPr>
        <w:t>work,</w:t>
      </w:r>
      <w:r>
        <w:rPr>
          <w:color w:val="221F1F"/>
          <w:spacing w:val="-2"/>
        </w:rPr>
        <w:t xml:space="preserve"> </w:t>
      </w:r>
      <w:r>
        <w:rPr>
          <w:color w:val="221F1F"/>
        </w:rPr>
        <w:t>a</w:t>
      </w:r>
      <w:r>
        <w:rPr>
          <w:color w:val="221F1F"/>
          <w:spacing w:val="-3"/>
        </w:rPr>
        <w:t xml:space="preserve"> </w:t>
      </w:r>
      <w:r>
        <w:rPr>
          <w:color w:val="221F1F"/>
        </w:rPr>
        <w:t>new</w:t>
      </w:r>
      <w:r>
        <w:rPr>
          <w:color w:val="221F1F"/>
          <w:spacing w:val="-3"/>
        </w:rPr>
        <w:t xml:space="preserve"> </w:t>
      </w:r>
      <w:r>
        <w:rPr>
          <w:color w:val="221F1F"/>
        </w:rPr>
        <w:t>rate</w:t>
      </w:r>
      <w:r>
        <w:rPr>
          <w:color w:val="221F1F"/>
          <w:spacing w:val="-3"/>
        </w:rPr>
        <w:t xml:space="preserve"> </w:t>
      </w:r>
      <w:r>
        <w:rPr>
          <w:color w:val="221F1F"/>
        </w:rPr>
        <w:t>or</w:t>
      </w:r>
      <w:r>
        <w:rPr>
          <w:color w:val="221F1F"/>
          <w:spacing w:val="-1"/>
        </w:rPr>
        <w:t xml:space="preserve"> </w:t>
      </w:r>
      <w:r>
        <w:rPr>
          <w:color w:val="221F1F"/>
        </w:rPr>
        <w:t>price</w:t>
      </w:r>
      <w:r>
        <w:rPr>
          <w:color w:val="221F1F"/>
          <w:spacing w:val="-2"/>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appropriate</w:t>
      </w:r>
      <w:r>
        <w:rPr>
          <w:color w:val="221F1F"/>
          <w:spacing w:val="-2"/>
        </w:rPr>
        <w:t xml:space="preserve"> </w:t>
      </w:r>
      <w:r>
        <w:rPr>
          <w:color w:val="221F1F"/>
        </w:rPr>
        <w:t>for</w:t>
      </w:r>
      <w:r>
        <w:rPr>
          <w:color w:val="221F1F"/>
          <w:spacing w:val="-1"/>
        </w:rPr>
        <w:t xml:space="preserve"> </w:t>
      </w:r>
      <w:r>
        <w:rPr>
          <w:color w:val="221F1F"/>
        </w:rPr>
        <w:t>such</w:t>
      </w:r>
      <w:r>
        <w:rPr>
          <w:color w:val="221F1F"/>
          <w:spacing w:val="-5"/>
        </w:rPr>
        <w:t xml:space="preserve"> </w:t>
      </w:r>
      <w:r>
        <w:rPr>
          <w:color w:val="221F1F"/>
        </w:rPr>
        <w:t>item</w:t>
      </w:r>
      <w:r>
        <w:rPr>
          <w:color w:val="221F1F"/>
          <w:spacing w:val="-1"/>
        </w:rPr>
        <w:t xml:space="preserve"> </w:t>
      </w:r>
      <w:r>
        <w:rPr>
          <w:color w:val="221F1F"/>
        </w:rPr>
        <w:t>of</w:t>
      </w:r>
      <w:r>
        <w:rPr>
          <w:color w:val="221F1F"/>
          <w:spacing w:val="-2"/>
        </w:rPr>
        <w:t xml:space="preserve"> </w:t>
      </w:r>
      <w:r>
        <w:rPr>
          <w:color w:val="221F1F"/>
        </w:rPr>
        <w:t>work</w:t>
      </w:r>
      <w:r>
        <w:rPr>
          <w:color w:val="221F1F"/>
          <w:spacing w:val="-2"/>
        </w:rPr>
        <w:t xml:space="preserve"> </w:t>
      </w:r>
      <w:r>
        <w:rPr>
          <w:color w:val="221F1F"/>
          <w:spacing w:val="-5"/>
        </w:rPr>
        <w:t>if:</w:t>
      </w:r>
    </w:p>
    <w:p w:rsidR="007F6DF9" w:rsidRDefault="00A43FBC">
      <w:pPr>
        <w:pStyle w:val="ListParagraph"/>
        <w:numPr>
          <w:ilvl w:val="0"/>
          <w:numId w:val="63"/>
        </w:numPr>
        <w:tabs>
          <w:tab w:val="left" w:pos="1870"/>
        </w:tabs>
        <w:spacing w:before="40"/>
        <w:ind w:hanging="494"/>
      </w:pPr>
      <w:r>
        <w:rPr>
          <w:color w:val="221F1F"/>
        </w:rPr>
        <w:t>The</w:t>
      </w:r>
      <w:r>
        <w:rPr>
          <w:color w:val="221F1F"/>
          <w:spacing w:val="-10"/>
        </w:rPr>
        <w:t xml:space="preserve"> </w:t>
      </w:r>
      <w:r>
        <w:rPr>
          <w:color w:val="221F1F"/>
        </w:rPr>
        <w:t>work</w:t>
      </w:r>
      <w:r>
        <w:rPr>
          <w:color w:val="221F1F"/>
          <w:spacing w:val="-9"/>
        </w:rPr>
        <w:t xml:space="preserve"> </w:t>
      </w:r>
      <w:r>
        <w:rPr>
          <w:color w:val="221F1F"/>
        </w:rPr>
        <w:t>is</w:t>
      </w:r>
      <w:r>
        <w:rPr>
          <w:color w:val="221F1F"/>
          <w:spacing w:val="-9"/>
        </w:rPr>
        <w:t xml:space="preserve"> </w:t>
      </w:r>
      <w:r>
        <w:rPr>
          <w:color w:val="221F1F"/>
        </w:rPr>
        <w:t>instructed</w:t>
      </w:r>
      <w:r>
        <w:rPr>
          <w:color w:val="221F1F"/>
          <w:spacing w:val="-5"/>
        </w:rPr>
        <w:t xml:space="preserve"> </w:t>
      </w:r>
      <w:r>
        <w:rPr>
          <w:color w:val="221F1F"/>
        </w:rPr>
        <w:t>under</w:t>
      </w:r>
      <w:r>
        <w:rPr>
          <w:color w:val="221F1F"/>
          <w:spacing w:val="-7"/>
        </w:rPr>
        <w:t xml:space="preserve"> </w:t>
      </w:r>
      <w:r>
        <w:rPr>
          <w:color w:val="221F1F"/>
        </w:rPr>
        <w:t>Clause13</w:t>
      </w:r>
      <w:r>
        <w:rPr>
          <w:color w:val="221F1F"/>
          <w:spacing w:val="-9"/>
        </w:rPr>
        <w:t xml:space="preserve"> </w:t>
      </w:r>
      <w:r>
        <w:rPr>
          <w:color w:val="221F1F"/>
        </w:rPr>
        <w:t>[Variations</w:t>
      </w:r>
      <w:r>
        <w:rPr>
          <w:color w:val="221F1F"/>
          <w:spacing w:val="-11"/>
        </w:rPr>
        <w:t xml:space="preserve"> </w:t>
      </w:r>
      <w:r>
        <w:rPr>
          <w:color w:val="221F1F"/>
        </w:rPr>
        <w:t>and</w:t>
      </w:r>
      <w:r>
        <w:rPr>
          <w:color w:val="221F1F"/>
          <w:spacing w:val="-9"/>
        </w:rPr>
        <w:t xml:space="preserve"> </w:t>
      </w:r>
      <w:r>
        <w:rPr>
          <w:color w:val="221F1F"/>
          <w:spacing w:val="-2"/>
        </w:rPr>
        <w:t>Adjustments],</w:t>
      </w:r>
    </w:p>
    <w:p w:rsidR="007F6DF9" w:rsidRDefault="00A43FBC">
      <w:pPr>
        <w:pStyle w:val="ListParagraph"/>
        <w:numPr>
          <w:ilvl w:val="0"/>
          <w:numId w:val="63"/>
        </w:numPr>
        <w:tabs>
          <w:tab w:val="left" w:pos="1870"/>
        </w:tabs>
        <w:spacing w:before="39"/>
        <w:ind w:hanging="494"/>
      </w:pPr>
      <w:r>
        <w:rPr>
          <w:color w:val="221F1F"/>
        </w:rPr>
        <w:t>no</w:t>
      </w:r>
      <w:r>
        <w:rPr>
          <w:color w:val="221F1F"/>
          <w:spacing w:val="-4"/>
        </w:rPr>
        <w:t xml:space="preserve"> </w:t>
      </w:r>
      <w:r>
        <w:rPr>
          <w:color w:val="221F1F"/>
        </w:rPr>
        <w:t>rate</w:t>
      </w:r>
      <w:r>
        <w:rPr>
          <w:color w:val="221F1F"/>
          <w:spacing w:val="-4"/>
        </w:rPr>
        <w:t xml:space="preserve"> </w:t>
      </w:r>
      <w:r>
        <w:rPr>
          <w:color w:val="221F1F"/>
        </w:rPr>
        <w:t>or</w:t>
      </w:r>
      <w:r>
        <w:rPr>
          <w:color w:val="221F1F"/>
          <w:spacing w:val="-2"/>
        </w:rPr>
        <w:t xml:space="preserve"> </w:t>
      </w:r>
      <w:r>
        <w:rPr>
          <w:color w:val="221F1F"/>
        </w:rPr>
        <w:t>price</w:t>
      </w:r>
      <w:r>
        <w:rPr>
          <w:color w:val="221F1F"/>
          <w:spacing w:val="-4"/>
        </w:rPr>
        <w:t xml:space="preserve"> </w:t>
      </w:r>
      <w:r>
        <w:rPr>
          <w:color w:val="221F1F"/>
        </w:rPr>
        <w:t>is</w:t>
      </w:r>
      <w:r>
        <w:rPr>
          <w:color w:val="221F1F"/>
          <w:spacing w:val="-3"/>
        </w:rPr>
        <w:t xml:space="preserve"> </w:t>
      </w:r>
      <w:r>
        <w:rPr>
          <w:color w:val="221F1F"/>
        </w:rPr>
        <w:t>specified</w:t>
      </w:r>
      <w:r>
        <w:rPr>
          <w:color w:val="221F1F"/>
          <w:spacing w:val="-5"/>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for</w:t>
      </w:r>
      <w:r>
        <w:rPr>
          <w:color w:val="221F1F"/>
          <w:spacing w:val="-6"/>
        </w:rPr>
        <w:t xml:space="preserve"> </w:t>
      </w:r>
      <w:r>
        <w:rPr>
          <w:color w:val="221F1F"/>
        </w:rPr>
        <w:t>this</w:t>
      </w:r>
      <w:r>
        <w:rPr>
          <w:color w:val="221F1F"/>
          <w:spacing w:val="-4"/>
        </w:rPr>
        <w:t xml:space="preserve"> </w:t>
      </w:r>
      <w:r>
        <w:rPr>
          <w:color w:val="221F1F"/>
        </w:rPr>
        <w:t>item,</w:t>
      </w:r>
      <w:r>
        <w:rPr>
          <w:color w:val="221F1F"/>
          <w:spacing w:val="-4"/>
        </w:rPr>
        <w:t xml:space="preserve"> </w:t>
      </w:r>
      <w:r>
        <w:rPr>
          <w:color w:val="221F1F"/>
          <w:spacing w:val="-5"/>
        </w:rPr>
        <w:t>and</w:t>
      </w:r>
    </w:p>
    <w:p w:rsidR="007F6DF9" w:rsidRDefault="00A43FBC">
      <w:pPr>
        <w:pStyle w:val="ListParagraph"/>
        <w:numPr>
          <w:ilvl w:val="0"/>
          <w:numId w:val="63"/>
        </w:numPr>
        <w:tabs>
          <w:tab w:val="left" w:pos="1870"/>
        </w:tabs>
        <w:spacing w:before="49" w:line="230" w:lineRule="auto"/>
        <w:ind w:right="779"/>
      </w:pPr>
      <w:r>
        <w:rPr>
          <w:color w:val="221F1F"/>
        </w:rPr>
        <w:t>no</w:t>
      </w:r>
      <w:r>
        <w:rPr>
          <w:color w:val="221F1F"/>
          <w:spacing w:val="-2"/>
        </w:rPr>
        <w:t xml:space="preserve"> </w:t>
      </w:r>
      <w:r>
        <w:rPr>
          <w:color w:val="221F1F"/>
        </w:rPr>
        <w:t>specified</w:t>
      </w:r>
      <w:r>
        <w:rPr>
          <w:color w:val="221F1F"/>
          <w:spacing w:val="-2"/>
        </w:rPr>
        <w:t xml:space="preserve"> </w:t>
      </w:r>
      <w:r>
        <w:rPr>
          <w:color w:val="221F1F"/>
        </w:rPr>
        <w:t>rate</w:t>
      </w:r>
      <w:r>
        <w:rPr>
          <w:color w:val="221F1F"/>
          <w:spacing w:val="-2"/>
        </w:rPr>
        <w:t xml:space="preserve"> </w:t>
      </w:r>
      <w:r>
        <w:rPr>
          <w:color w:val="221F1F"/>
        </w:rPr>
        <w:t>or</w:t>
      </w:r>
      <w:r>
        <w:rPr>
          <w:color w:val="221F1F"/>
          <w:spacing w:val="-2"/>
        </w:rPr>
        <w:t xml:space="preserve"> </w:t>
      </w:r>
      <w:r>
        <w:rPr>
          <w:color w:val="221F1F"/>
        </w:rPr>
        <w:t>price</w:t>
      </w:r>
      <w:r>
        <w:rPr>
          <w:color w:val="221F1F"/>
          <w:spacing w:val="-2"/>
        </w:rPr>
        <w:t xml:space="preserve"> </w:t>
      </w:r>
      <w:r>
        <w:rPr>
          <w:color w:val="221F1F"/>
        </w:rPr>
        <w:t>is</w:t>
      </w:r>
      <w:r>
        <w:rPr>
          <w:color w:val="221F1F"/>
          <w:spacing w:val="-4"/>
        </w:rPr>
        <w:t xml:space="preserve"> </w:t>
      </w:r>
      <w:r>
        <w:rPr>
          <w:color w:val="221F1F"/>
        </w:rPr>
        <w:t>appropriate</w:t>
      </w:r>
      <w:r>
        <w:rPr>
          <w:color w:val="221F1F"/>
          <w:spacing w:val="-2"/>
        </w:rPr>
        <w:t xml:space="preserve"> </w:t>
      </w:r>
      <w:r>
        <w:rPr>
          <w:color w:val="221F1F"/>
        </w:rPr>
        <w:t>because</w:t>
      </w:r>
      <w:r>
        <w:rPr>
          <w:color w:val="221F1F"/>
          <w:spacing w:val="-2"/>
        </w:rPr>
        <w:t xml:space="preserve"> </w:t>
      </w:r>
      <w:r>
        <w:rPr>
          <w:color w:val="221F1F"/>
        </w:rPr>
        <w:t>the</w:t>
      </w:r>
      <w:r>
        <w:rPr>
          <w:color w:val="221F1F"/>
          <w:spacing w:val="-2"/>
        </w:rPr>
        <w:t xml:space="preserve"> </w:t>
      </w:r>
      <w:r>
        <w:rPr>
          <w:color w:val="221F1F"/>
        </w:rPr>
        <w:t>item</w:t>
      </w:r>
      <w:r>
        <w:rPr>
          <w:color w:val="221F1F"/>
          <w:spacing w:val="-1"/>
        </w:rPr>
        <w:t xml:space="preserve"> </w:t>
      </w:r>
      <w:r>
        <w:rPr>
          <w:color w:val="221F1F"/>
        </w:rPr>
        <w:t>of</w:t>
      </w:r>
      <w:r>
        <w:rPr>
          <w:color w:val="221F1F"/>
          <w:spacing w:val="-2"/>
        </w:rPr>
        <w:t xml:space="preserve"> </w:t>
      </w:r>
      <w:r>
        <w:rPr>
          <w:color w:val="221F1F"/>
        </w:rPr>
        <w:t>work</w:t>
      </w:r>
      <w:r>
        <w:rPr>
          <w:color w:val="221F1F"/>
          <w:spacing w:val="-5"/>
        </w:rPr>
        <w:t xml:space="preserve"> </w:t>
      </w:r>
      <w:r>
        <w:rPr>
          <w:color w:val="221F1F"/>
        </w:rPr>
        <w:t>is</w:t>
      </w:r>
      <w:r>
        <w:rPr>
          <w:color w:val="221F1F"/>
          <w:spacing w:val="-2"/>
        </w:rPr>
        <w:t xml:space="preserve"> </w:t>
      </w:r>
      <w:r>
        <w:rPr>
          <w:color w:val="221F1F"/>
        </w:rPr>
        <w:t>not</w:t>
      </w:r>
      <w:r>
        <w:rPr>
          <w:color w:val="221F1F"/>
          <w:spacing w:val="-1"/>
        </w:rPr>
        <w:t xml:space="preserve"> </w:t>
      </w:r>
      <w:r>
        <w:rPr>
          <w:color w:val="221F1F"/>
        </w:rPr>
        <w:t>of similar</w:t>
      </w:r>
      <w:r>
        <w:rPr>
          <w:color w:val="221F1F"/>
          <w:spacing w:val="-4"/>
        </w:rPr>
        <w:t xml:space="preserve"> </w:t>
      </w:r>
      <w:r>
        <w:rPr>
          <w:color w:val="221F1F"/>
        </w:rPr>
        <w:t>character,</w:t>
      </w:r>
      <w:r>
        <w:rPr>
          <w:color w:val="221F1F"/>
          <w:spacing w:val="-5"/>
        </w:rPr>
        <w:t xml:space="preserve"> </w:t>
      </w:r>
      <w:r>
        <w:rPr>
          <w:color w:val="221F1F"/>
        </w:rPr>
        <w:t>or</w:t>
      </w:r>
      <w:r>
        <w:rPr>
          <w:color w:val="221F1F"/>
          <w:spacing w:val="-4"/>
        </w:rPr>
        <w:t xml:space="preserve"> </w:t>
      </w:r>
      <w:r>
        <w:rPr>
          <w:color w:val="221F1F"/>
        </w:rPr>
        <w:t>is</w:t>
      </w:r>
      <w:r>
        <w:rPr>
          <w:color w:val="221F1F"/>
          <w:spacing w:val="-2"/>
        </w:rPr>
        <w:t xml:space="preserve"> </w:t>
      </w:r>
      <w:r>
        <w:rPr>
          <w:color w:val="221F1F"/>
        </w:rPr>
        <w:t>not executed under similar conditions, as any item in the Contract.</w:t>
      </w:r>
    </w:p>
    <w:p w:rsidR="007F6DF9" w:rsidRDefault="00A43FBC">
      <w:pPr>
        <w:pStyle w:val="ListParagraph"/>
        <w:numPr>
          <w:ilvl w:val="2"/>
          <w:numId w:val="122"/>
        </w:numPr>
        <w:tabs>
          <w:tab w:val="left" w:pos="1366"/>
          <w:tab w:val="left" w:pos="1369"/>
        </w:tabs>
        <w:spacing w:before="244" w:line="230" w:lineRule="auto"/>
        <w:ind w:left="1369" w:right="562" w:hanging="661"/>
        <w:jc w:val="both"/>
        <w:rPr>
          <w:color w:val="221F1F"/>
        </w:rPr>
      </w:pPr>
      <w:r>
        <w:rPr>
          <w:color w:val="221F1F"/>
        </w:rPr>
        <w:t>Each new rate</w:t>
      </w:r>
      <w:r>
        <w:rPr>
          <w:color w:val="221F1F"/>
          <w:spacing w:val="-1"/>
        </w:rPr>
        <w:t xml:space="preserve"> </w:t>
      </w:r>
      <w:r>
        <w:rPr>
          <w:color w:val="221F1F"/>
        </w:rPr>
        <w:t>or price shall be</w:t>
      </w:r>
      <w:r>
        <w:rPr>
          <w:color w:val="221F1F"/>
          <w:spacing w:val="-1"/>
        </w:rPr>
        <w:t xml:space="preserve"> </w:t>
      </w:r>
      <w:r>
        <w:rPr>
          <w:color w:val="221F1F"/>
        </w:rPr>
        <w:t>derived from any</w:t>
      </w:r>
      <w:r>
        <w:rPr>
          <w:color w:val="221F1F"/>
          <w:spacing w:val="-1"/>
        </w:rPr>
        <w:t xml:space="preserve"> </w:t>
      </w:r>
      <w:r>
        <w:rPr>
          <w:color w:val="221F1F"/>
        </w:rPr>
        <w:t>relevant rates or prices in</w:t>
      </w:r>
      <w:r>
        <w:rPr>
          <w:color w:val="221F1F"/>
          <w:spacing w:val="-1"/>
        </w:rPr>
        <w:t xml:space="preserve"> </w:t>
      </w:r>
      <w:r>
        <w:rPr>
          <w:color w:val="221F1F"/>
        </w:rPr>
        <w:t>the</w:t>
      </w:r>
      <w:r>
        <w:rPr>
          <w:color w:val="221F1F"/>
          <w:spacing w:val="-1"/>
        </w:rPr>
        <w:t xml:space="preserve"> </w:t>
      </w:r>
      <w:r>
        <w:rPr>
          <w:color w:val="221F1F"/>
        </w:rPr>
        <w:t>Contract. If no</w:t>
      </w:r>
      <w:r>
        <w:rPr>
          <w:color w:val="221F1F"/>
          <w:spacing w:val="-1"/>
        </w:rPr>
        <w:t xml:space="preserve"> </w:t>
      </w:r>
      <w:r>
        <w:rPr>
          <w:color w:val="221F1F"/>
        </w:rPr>
        <w:t>rates or prices are relevant for the new item of work, it shall be derived from the reasonable Cost of executing such work, prevailing market rates, together with profit, taking account of any other relevant matters.</w:t>
      </w:r>
    </w:p>
    <w:p w:rsidR="007F6DF9" w:rsidRDefault="00A43FBC">
      <w:pPr>
        <w:pStyle w:val="ListParagraph"/>
        <w:numPr>
          <w:ilvl w:val="2"/>
          <w:numId w:val="122"/>
        </w:numPr>
        <w:tabs>
          <w:tab w:val="left" w:pos="1366"/>
          <w:tab w:val="left" w:pos="1369"/>
        </w:tabs>
        <w:spacing w:before="246" w:line="230" w:lineRule="auto"/>
        <w:ind w:left="1369" w:right="563" w:hanging="661"/>
        <w:jc w:val="both"/>
        <w:rPr>
          <w:color w:val="221F1F"/>
        </w:rPr>
      </w:pPr>
      <w:r>
        <w:rPr>
          <w:color w:val="221F1F"/>
        </w:rPr>
        <w:t xml:space="preserve">Until such time as an appropriate rate or price is agreed or determined, the Architect shall determine a provisional rate or price for the purposes of Interim Payment Certificates as soon as the concerned work </w:t>
      </w:r>
      <w:r>
        <w:rPr>
          <w:color w:val="221F1F"/>
          <w:spacing w:val="-2"/>
        </w:rPr>
        <w:t>commences.</w:t>
      </w:r>
    </w:p>
    <w:p w:rsidR="007F6DF9" w:rsidRDefault="00A43FBC">
      <w:pPr>
        <w:pStyle w:val="ListParagraph"/>
        <w:numPr>
          <w:ilvl w:val="2"/>
          <w:numId w:val="122"/>
        </w:numPr>
        <w:tabs>
          <w:tab w:val="left" w:pos="1366"/>
          <w:tab w:val="left" w:pos="1369"/>
        </w:tabs>
        <w:spacing w:before="243" w:line="230" w:lineRule="auto"/>
        <w:ind w:left="1369" w:right="557" w:hanging="661"/>
        <w:jc w:val="both"/>
        <w:rPr>
          <w:color w:val="221F1F"/>
        </w:rPr>
      </w:pPr>
      <w:r>
        <w:rPr>
          <w:color w:val="221F1F"/>
        </w:rPr>
        <w:t>Where the contract price is different from the corrected tender price, in order to ensure the contractor is not paid less or more relative to the contract price (</w:t>
      </w:r>
      <w:r>
        <w:rPr>
          <w:i/>
          <w:color w:val="221F1F"/>
        </w:rPr>
        <w:t>which would be the tender price</w:t>
      </w:r>
      <w:r>
        <w:rPr>
          <w:color w:val="221F1F"/>
        </w:rPr>
        <w:t>), payment valuation certificates</w:t>
      </w:r>
      <w:r>
        <w:rPr>
          <w:color w:val="221F1F"/>
          <w:spacing w:val="-1"/>
        </w:rPr>
        <w:t xml:space="preserve"> </w:t>
      </w:r>
      <w:r>
        <w:rPr>
          <w:color w:val="221F1F"/>
        </w:rPr>
        <w:t>and variation</w:t>
      </w:r>
      <w:r>
        <w:rPr>
          <w:color w:val="221F1F"/>
          <w:spacing w:val="-1"/>
        </w:rPr>
        <w:t xml:space="preserve"> </w:t>
      </w:r>
      <w:r>
        <w:rPr>
          <w:color w:val="221F1F"/>
        </w:rPr>
        <w:t>orders</w:t>
      </w:r>
      <w:r>
        <w:rPr>
          <w:color w:val="221F1F"/>
          <w:spacing w:val="-2"/>
        </w:rPr>
        <w:t xml:space="preserve"> </w:t>
      </w:r>
      <w:r>
        <w:rPr>
          <w:color w:val="221F1F"/>
        </w:rPr>
        <w:t>on omissions and</w:t>
      </w:r>
      <w:r>
        <w:rPr>
          <w:color w:val="221F1F"/>
          <w:spacing w:val="-2"/>
        </w:rPr>
        <w:t xml:space="preserve"> </w:t>
      </w:r>
      <w:r>
        <w:rPr>
          <w:color w:val="221F1F"/>
        </w:rPr>
        <w:t>additions</w:t>
      </w:r>
      <w:r>
        <w:rPr>
          <w:color w:val="221F1F"/>
          <w:spacing w:val="-1"/>
        </w:rPr>
        <w:t xml:space="preserve"> </w:t>
      </w:r>
      <w:r>
        <w:rPr>
          <w:color w:val="221F1F"/>
        </w:rPr>
        <w:t>valued</w:t>
      </w:r>
      <w:r>
        <w:rPr>
          <w:color w:val="221F1F"/>
          <w:spacing w:val="-2"/>
        </w:rPr>
        <w:t xml:space="preserve"> </w:t>
      </w:r>
      <w:r>
        <w:rPr>
          <w:color w:val="221F1F"/>
        </w:rPr>
        <w:t>based on</w:t>
      </w:r>
      <w:r>
        <w:rPr>
          <w:color w:val="221F1F"/>
          <w:spacing w:val="-2"/>
        </w:rPr>
        <w:t xml:space="preserve"> </w:t>
      </w:r>
      <w:r>
        <w:rPr>
          <w:color w:val="221F1F"/>
        </w:rPr>
        <w:t>rates</w:t>
      </w:r>
      <w:r>
        <w:rPr>
          <w:color w:val="221F1F"/>
          <w:spacing w:val="-1"/>
        </w:rPr>
        <w:t xml:space="preserve"> </w:t>
      </w:r>
      <w:r>
        <w:rPr>
          <w:color w:val="221F1F"/>
        </w:rPr>
        <w:t>in the Bill</w:t>
      </w:r>
      <w:r>
        <w:rPr>
          <w:color w:val="221F1F"/>
          <w:spacing w:val="-1"/>
        </w:rPr>
        <w:t xml:space="preserve"> </w:t>
      </w:r>
      <w:r>
        <w:rPr>
          <w:color w:val="221F1F"/>
        </w:rPr>
        <w:t>of</w:t>
      </w:r>
      <w:r>
        <w:rPr>
          <w:color w:val="221F1F"/>
          <w:spacing w:val="-1"/>
        </w:rPr>
        <w:t xml:space="preserve"> </w:t>
      </w:r>
      <w:r>
        <w:rPr>
          <w:color w:val="221F1F"/>
        </w:rPr>
        <w:t>Quantities or schedule</w:t>
      </w:r>
      <w:r>
        <w:rPr>
          <w:color w:val="221F1F"/>
          <w:spacing w:val="-14"/>
        </w:rPr>
        <w:t xml:space="preserve"> </w:t>
      </w:r>
      <w:r>
        <w:rPr>
          <w:color w:val="221F1F"/>
        </w:rPr>
        <w:t>of</w:t>
      </w:r>
      <w:r>
        <w:rPr>
          <w:color w:val="221F1F"/>
          <w:spacing w:val="-14"/>
        </w:rPr>
        <w:t xml:space="preserve"> </w:t>
      </w:r>
      <w:r>
        <w:rPr>
          <w:color w:val="221F1F"/>
        </w:rPr>
        <w:t>rates</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Tender,</w:t>
      </w:r>
      <w:r>
        <w:rPr>
          <w:color w:val="221F1F"/>
          <w:spacing w:val="-14"/>
        </w:rPr>
        <w:t xml:space="preserve"> </w:t>
      </w:r>
      <w:r>
        <w:rPr>
          <w:color w:val="221F1F"/>
        </w:rPr>
        <w:t>will</w:t>
      </w:r>
      <w:r>
        <w:rPr>
          <w:color w:val="221F1F"/>
          <w:spacing w:val="-14"/>
        </w:rPr>
        <w:t xml:space="preserve"> </w:t>
      </w:r>
      <w:r>
        <w:rPr>
          <w:color w:val="221F1F"/>
        </w:rPr>
        <w:t>be</w:t>
      </w:r>
      <w:r>
        <w:rPr>
          <w:color w:val="221F1F"/>
          <w:spacing w:val="-13"/>
        </w:rPr>
        <w:t xml:space="preserve"> </w:t>
      </w:r>
      <w:r>
        <w:rPr>
          <w:color w:val="221F1F"/>
        </w:rPr>
        <w:t>adjusted</w:t>
      </w:r>
      <w:r>
        <w:rPr>
          <w:color w:val="221F1F"/>
          <w:spacing w:val="-14"/>
        </w:rPr>
        <w:t xml:space="preserve"> </w:t>
      </w:r>
      <w:r>
        <w:rPr>
          <w:color w:val="221F1F"/>
        </w:rPr>
        <w:t>by</w:t>
      </w:r>
      <w:r>
        <w:rPr>
          <w:color w:val="221F1F"/>
          <w:spacing w:val="-14"/>
        </w:rPr>
        <w:t xml:space="preserve"> </w:t>
      </w:r>
      <w:r>
        <w:rPr>
          <w:color w:val="221F1F"/>
        </w:rPr>
        <w:t>a</w:t>
      </w:r>
      <w:r>
        <w:rPr>
          <w:color w:val="221F1F"/>
          <w:spacing w:val="-14"/>
        </w:rPr>
        <w:t xml:space="preserve"> </w:t>
      </w:r>
      <w:r>
        <w:rPr>
          <w:color w:val="221F1F"/>
          <w:u w:val="single" w:color="221F1F"/>
        </w:rPr>
        <w:t>plus</w:t>
      </w:r>
      <w:r>
        <w:rPr>
          <w:color w:val="221F1F"/>
          <w:spacing w:val="-13"/>
          <w:u w:val="single" w:color="221F1F"/>
        </w:rPr>
        <w:t xml:space="preserve"> </w:t>
      </w:r>
      <w:r>
        <w:rPr>
          <w:color w:val="221F1F"/>
          <w:u w:val="single" w:color="221F1F"/>
        </w:rPr>
        <w:t>or</w:t>
      </w:r>
      <w:r>
        <w:rPr>
          <w:color w:val="221F1F"/>
          <w:spacing w:val="-13"/>
          <w:u w:val="single" w:color="221F1F"/>
        </w:rPr>
        <w:t xml:space="preserve"> </w:t>
      </w:r>
      <w:r>
        <w:rPr>
          <w:color w:val="221F1F"/>
          <w:u w:val="single" w:color="221F1F"/>
        </w:rPr>
        <w:t>minus</w:t>
      </w:r>
      <w:r>
        <w:rPr>
          <w:color w:val="221F1F"/>
          <w:spacing w:val="-12"/>
        </w:rPr>
        <w:t xml:space="preserve"> </w:t>
      </w:r>
      <w:r>
        <w:rPr>
          <w:color w:val="221F1F"/>
        </w:rPr>
        <w:t>percentage.</w:t>
      </w:r>
      <w:r>
        <w:rPr>
          <w:color w:val="221F1F"/>
          <w:spacing w:val="-14"/>
        </w:rPr>
        <w:t xml:space="preserve"> </w:t>
      </w:r>
      <w:r>
        <w:rPr>
          <w:color w:val="221F1F"/>
        </w:rPr>
        <w:t>The</w:t>
      </w:r>
      <w:r>
        <w:rPr>
          <w:color w:val="221F1F"/>
          <w:spacing w:val="-13"/>
        </w:rPr>
        <w:t xml:space="preserve"> </w:t>
      </w:r>
      <w:r>
        <w:rPr>
          <w:color w:val="221F1F"/>
        </w:rPr>
        <w:t>percentage</w:t>
      </w:r>
      <w:r>
        <w:rPr>
          <w:color w:val="221F1F"/>
          <w:spacing w:val="-14"/>
        </w:rPr>
        <w:t xml:space="preserve"> </w:t>
      </w:r>
      <w:r>
        <w:rPr>
          <w:color w:val="221F1F"/>
        </w:rPr>
        <w:t>already</w:t>
      </w:r>
      <w:r>
        <w:rPr>
          <w:color w:val="221F1F"/>
          <w:spacing w:val="-14"/>
        </w:rPr>
        <w:t xml:space="preserve"> </w:t>
      </w:r>
      <w:r>
        <w:rPr>
          <w:color w:val="221F1F"/>
        </w:rPr>
        <w:t>worked out during</w:t>
      </w:r>
      <w:r>
        <w:rPr>
          <w:color w:val="221F1F"/>
          <w:spacing w:val="-1"/>
        </w:rPr>
        <w:t xml:space="preserve"> </w:t>
      </w:r>
      <w:r>
        <w:rPr>
          <w:color w:val="221F1F"/>
        </w:rPr>
        <w:t>tender evaluation is</w:t>
      </w:r>
      <w:r>
        <w:rPr>
          <w:color w:val="221F1F"/>
          <w:spacing w:val="-1"/>
        </w:rPr>
        <w:t xml:space="preserve"> </w:t>
      </w:r>
      <w:r>
        <w:rPr>
          <w:color w:val="221F1F"/>
        </w:rPr>
        <w:t>worked</w:t>
      </w:r>
      <w:r>
        <w:rPr>
          <w:color w:val="221F1F"/>
          <w:spacing w:val="-1"/>
        </w:rPr>
        <w:t xml:space="preserve"> </w:t>
      </w:r>
      <w:r>
        <w:rPr>
          <w:color w:val="221F1F"/>
        </w:rPr>
        <w:t>out as</w:t>
      </w:r>
      <w:r>
        <w:rPr>
          <w:color w:val="221F1F"/>
          <w:spacing w:val="-1"/>
        </w:rPr>
        <w:t xml:space="preserve"> </w:t>
      </w:r>
      <w:r>
        <w:rPr>
          <w:color w:val="221F1F"/>
        </w:rPr>
        <w:t>follows:</w:t>
      </w:r>
      <w:r>
        <w:rPr>
          <w:color w:val="221F1F"/>
          <w:spacing w:val="-1"/>
        </w:rPr>
        <w:t xml:space="preserve"> </w:t>
      </w:r>
      <w:r>
        <w:rPr>
          <w:i/>
          <w:color w:val="221F1F"/>
        </w:rPr>
        <w:t>(corrected tender price–</w:t>
      </w:r>
      <w:r>
        <w:rPr>
          <w:i/>
          <w:color w:val="221F1F"/>
          <w:spacing w:val="-1"/>
        </w:rPr>
        <w:t xml:space="preserve"> </w:t>
      </w:r>
      <w:r>
        <w:rPr>
          <w:i/>
          <w:color w:val="221F1F"/>
        </w:rPr>
        <w:t xml:space="preserve">tender price)/ tender price X </w:t>
      </w:r>
      <w:r>
        <w:rPr>
          <w:i/>
          <w:color w:val="221F1F"/>
          <w:spacing w:val="-4"/>
        </w:rPr>
        <w:t>100</w:t>
      </w:r>
      <w:r>
        <w:rPr>
          <w:color w:val="221F1F"/>
          <w:spacing w:val="-4"/>
        </w:rPr>
        <w:t>.</w:t>
      </w:r>
    </w:p>
    <w:p w:rsidR="007F6DF9" w:rsidRDefault="00A43FBC">
      <w:pPr>
        <w:pStyle w:val="Heading9"/>
        <w:numPr>
          <w:ilvl w:val="1"/>
          <w:numId w:val="122"/>
        </w:numPr>
        <w:tabs>
          <w:tab w:val="left" w:pos="1376"/>
        </w:tabs>
        <w:spacing w:before="230" w:line="251" w:lineRule="exact"/>
        <w:ind w:left="1376" w:hanging="668"/>
        <w:rPr>
          <w:color w:val="221F1F"/>
        </w:rPr>
      </w:pPr>
      <w:r>
        <w:rPr>
          <w:color w:val="221F1F"/>
          <w:spacing w:val="-2"/>
        </w:rPr>
        <w:t>Omissions</w:t>
      </w:r>
    </w:p>
    <w:p w:rsidR="007F6DF9" w:rsidRDefault="00A43FBC">
      <w:pPr>
        <w:pStyle w:val="BodyText"/>
        <w:spacing w:line="237" w:lineRule="auto"/>
        <w:ind w:left="1376" w:right="429"/>
      </w:pPr>
      <w:r>
        <w:rPr>
          <w:color w:val="221F1F"/>
        </w:rPr>
        <w:t>Whenever</w:t>
      </w:r>
      <w:r>
        <w:rPr>
          <w:color w:val="221F1F"/>
          <w:spacing w:val="-3"/>
        </w:rPr>
        <w:t xml:space="preserve"> </w:t>
      </w:r>
      <w:r>
        <w:rPr>
          <w:color w:val="221F1F"/>
        </w:rPr>
        <w:t>the</w:t>
      </w:r>
      <w:r>
        <w:rPr>
          <w:color w:val="221F1F"/>
          <w:spacing w:val="-4"/>
        </w:rPr>
        <w:t xml:space="preserve"> </w:t>
      </w:r>
      <w:r>
        <w:rPr>
          <w:color w:val="221F1F"/>
        </w:rPr>
        <w:t>omission</w:t>
      </w:r>
      <w:r>
        <w:rPr>
          <w:color w:val="221F1F"/>
          <w:spacing w:val="-4"/>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work</w:t>
      </w:r>
      <w:r>
        <w:rPr>
          <w:color w:val="221F1F"/>
          <w:spacing w:val="-4"/>
        </w:rPr>
        <w:t xml:space="preserve"> </w:t>
      </w:r>
      <w:r>
        <w:rPr>
          <w:color w:val="221F1F"/>
        </w:rPr>
        <w:t>forms</w:t>
      </w:r>
      <w:r>
        <w:rPr>
          <w:color w:val="221F1F"/>
          <w:spacing w:val="-2"/>
        </w:rPr>
        <w:t xml:space="preserve"> </w:t>
      </w:r>
      <w:r>
        <w:rPr>
          <w:color w:val="221F1F"/>
        </w:rPr>
        <w:t>part</w:t>
      </w:r>
      <w:r>
        <w:rPr>
          <w:color w:val="221F1F"/>
          <w:spacing w:val="-3"/>
        </w:rPr>
        <w:t xml:space="preserve"> </w:t>
      </w:r>
      <w:r>
        <w:rPr>
          <w:color w:val="221F1F"/>
        </w:rPr>
        <w:t>(or</w:t>
      </w:r>
      <w:r>
        <w:rPr>
          <w:color w:val="221F1F"/>
          <w:spacing w:val="-4"/>
        </w:rPr>
        <w:t xml:space="preserve"> </w:t>
      </w:r>
      <w:r>
        <w:rPr>
          <w:color w:val="221F1F"/>
        </w:rPr>
        <w:t>all)</w:t>
      </w:r>
      <w:r>
        <w:rPr>
          <w:color w:val="221F1F"/>
          <w:spacing w:val="-3"/>
        </w:rPr>
        <w:t xml:space="preserve"> </w:t>
      </w:r>
      <w:r>
        <w:rPr>
          <w:color w:val="221F1F"/>
        </w:rPr>
        <w:t>of</w:t>
      </w:r>
      <w:r>
        <w:rPr>
          <w:color w:val="221F1F"/>
          <w:spacing w:val="-2"/>
        </w:rPr>
        <w:t xml:space="preserve"> </w:t>
      </w:r>
      <w:r>
        <w:rPr>
          <w:color w:val="221F1F"/>
        </w:rPr>
        <w:t>a</w:t>
      </w:r>
      <w:r>
        <w:rPr>
          <w:color w:val="221F1F"/>
          <w:spacing w:val="-3"/>
        </w:rPr>
        <w:t xml:space="preserve"> </w:t>
      </w:r>
      <w:r>
        <w:rPr>
          <w:color w:val="221F1F"/>
        </w:rPr>
        <w:t>Variation,</w:t>
      </w:r>
      <w:r>
        <w:rPr>
          <w:color w:val="221F1F"/>
          <w:spacing w:val="-7"/>
        </w:rPr>
        <w:t xml:space="preserve"> </w:t>
      </w:r>
      <w:r>
        <w:rPr>
          <w:color w:val="221F1F"/>
        </w:rPr>
        <w:t>the</w:t>
      </w:r>
      <w:r>
        <w:rPr>
          <w:color w:val="221F1F"/>
          <w:spacing w:val="-3"/>
        </w:rPr>
        <w:t xml:space="preserve"> </w:t>
      </w:r>
      <w:r>
        <w:rPr>
          <w:color w:val="221F1F"/>
        </w:rPr>
        <w:t>value</w:t>
      </w:r>
      <w:r>
        <w:rPr>
          <w:color w:val="221F1F"/>
          <w:spacing w:val="-4"/>
        </w:rPr>
        <w:t xml:space="preserve"> </w:t>
      </w:r>
      <w:r>
        <w:rPr>
          <w:color w:val="221F1F"/>
        </w:rPr>
        <w:t>of</w:t>
      </w:r>
      <w:r>
        <w:rPr>
          <w:color w:val="221F1F"/>
          <w:spacing w:val="-3"/>
        </w:rPr>
        <w:t xml:space="preserve"> </w:t>
      </w:r>
      <w:r>
        <w:rPr>
          <w:color w:val="221F1F"/>
        </w:rPr>
        <w:t>which</w:t>
      </w:r>
      <w:r>
        <w:rPr>
          <w:color w:val="221F1F"/>
          <w:spacing w:val="-3"/>
        </w:rPr>
        <w:t xml:space="preserve"> </w:t>
      </w:r>
      <w:r>
        <w:rPr>
          <w:color w:val="221F1F"/>
        </w:rPr>
        <w:t>has</w:t>
      </w:r>
      <w:r>
        <w:rPr>
          <w:color w:val="221F1F"/>
          <w:spacing w:val="-2"/>
        </w:rPr>
        <w:t xml:space="preserve"> </w:t>
      </w:r>
      <w:r>
        <w:rPr>
          <w:color w:val="221F1F"/>
        </w:rPr>
        <w:t>not</w:t>
      </w:r>
      <w:r>
        <w:rPr>
          <w:color w:val="221F1F"/>
          <w:spacing w:val="-2"/>
        </w:rPr>
        <w:t xml:space="preserve"> </w:t>
      </w:r>
      <w:r>
        <w:rPr>
          <w:color w:val="221F1F"/>
        </w:rPr>
        <w:t>been</w:t>
      </w:r>
      <w:r>
        <w:rPr>
          <w:color w:val="221F1F"/>
          <w:spacing w:val="-3"/>
        </w:rPr>
        <w:t xml:space="preserve"> </w:t>
      </w:r>
      <w:r>
        <w:rPr>
          <w:color w:val="221F1F"/>
        </w:rPr>
        <w:t xml:space="preserve">agreed, </w:t>
      </w:r>
      <w:r>
        <w:rPr>
          <w:color w:val="221F1F"/>
          <w:spacing w:val="-4"/>
        </w:rPr>
        <w:t>if:</w:t>
      </w:r>
    </w:p>
    <w:p w:rsidR="007F6DF9" w:rsidRDefault="00A43FBC">
      <w:pPr>
        <w:pStyle w:val="ListParagraph"/>
        <w:numPr>
          <w:ilvl w:val="0"/>
          <w:numId w:val="96"/>
        </w:numPr>
        <w:tabs>
          <w:tab w:val="left" w:pos="1870"/>
          <w:tab w:val="left" w:pos="1877"/>
        </w:tabs>
        <w:spacing w:before="48" w:line="230" w:lineRule="auto"/>
        <w:ind w:right="1137" w:hanging="502"/>
      </w:pPr>
      <w:r>
        <w:rPr>
          <w:color w:val="221F1F"/>
        </w:rPr>
        <w:t xml:space="preserve">The Contractor will incur (or has incurred) cost which, if the work had not been omitted, </w:t>
      </w:r>
      <w:proofErr w:type="spellStart"/>
      <w:r>
        <w:rPr>
          <w:color w:val="221F1F"/>
        </w:rPr>
        <w:t>wouldhavebeen</w:t>
      </w:r>
      <w:proofErr w:type="spellEnd"/>
      <w:r>
        <w:rPr>
          <w:color w:val="221F1F"/>
          <w:spacing w:val="-2"/>
        </w:rPr>
        <w:t xml:space="preserve"> </w:t>
      </w:r>
      <w:r>
        <w:rPr>
          <w:color w:val="221F1F"/>
        </w:rPr>
        <w:t>deemed</w:t>
      </w:r>
      <w:r>
        <w:rPr>
          <w:color w:val="221F1F"/>
          <w:spacing w:val="-1"/>
        </w:rPr>
        <w:t xml:space="preserve"> </w:t>
      </w:r>
      <w:r>
        <w:rPr>
          <w:color w:val="221F1F"/>
        </w:rPr>
        <w:t>to</w:t>
      </w:r>
      <w:r>
        <w:rPr>
          <w:color w:val="221F1F"/>
          <w:spacing w:val="-5"/>
        </w:rPr>
        <w:t xml:space="preserve"> </w:t>
      </w:r>
      <w:r>
        <w:rPr>
          <w:color w:val="221F1F"/>
        </w:rPr>
        <w:t>be</w:t>
      </w:r>
      <w:r>
        <w:rPr>
          <w:color w:val="221F1F"/>
          <w:spacing w:val="-2"/>
        </w:rPr>
        <w:t xml:space="preserve"> </w:t>
      </w:r>
      <w:r>
        <w:rPr>
          <w:color w:val="221F1F"/>
        </w:rPr>
        <w:t>covered</w:t>
      </w:r>
      <w:r>
        <w:rPr>
          <w:color w:val="221F1F"/>
          <w:spacing w:val="-4"/>
        </w:rPr>
        <w:t xml:space="preserve"> </w:t>
      </w:r>
      <w:r>
        <w:rPr>
          <w:color w:val="221F1F"/>
        </w:rPr>
        <w:t>by</w:t>
      </w:r>
      <w:r>
        <w:rPr>
          <w:color w:val="221F1F"/>
          <w:spacing w:val="-2"/>
        </w:rPr>
        <w:t xml:space="preserve"> </w:t>
      </w:r>
      <w:r>
        <w:rPr>
          <w:color w:val="221F1F"/>
        </w:rPr>
        <w:t>a</w:t>
      </w:r>
      <w:r>
        <w:rPr>
          <w:color w:val="221F1F"/>
          <w:spacing w:val="-4"/>
        </w:rPr>
        <w:t xml:space="preserve"> </w:t>
      </w:r>
      <w:r>
        <w:rPr>
          <w:color w:val="221F1F"/>
        </w:rPr>
        <w:t>sum</w:t>
      </w:r>
      <w:r>
        <w:rPr>
          <w:color w:val="221F1F"/>
          <w:spacing w:val="-1"/>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 Amount;</w:t>
      </w:r>
    </w:p>
    <w:p w:rsidR="007F6DF9" w:rsidRDefault="00A43FBC">
      <w:pPr>
        <w:pStyle w:val="ListParagraph"/>
        <w:numPr>
          <w:ilvl w:val="0"/>
          <w:numId w:val="96"/>
        </w:numPr>
        <w:tabs>
          <w:tab w:val="left" w:pos="1870"/>
        </w:tabs>
        <w:spacing w:before="41"/>
        <w:ind w:left="1870" w:right="463"/>
      </w:pPr>
      <w:r>
        <w:rPr>
          <w:color w:val="221F1F"/>
        </w:rPr>
        <w:t>The</w:t>
      </w:r>
      <w:r>
        <w:rPr>
          <w:color w:val="221F1F"/>
          <w:spacing w:val="-1"/>
        </w:rPr>
        <w:t xml:space="preserve"> </w:t>
      </w:r>
      <w:r>
        <w:rPr>
          <w:color w:val="221F1F"/>
        </w:rPr>
        <w:t>omission</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work</w:t>
      </w:r>
      <w:r>
        <w:rPr>
          <w:color w:val="221F1F"/>
          <w:spacing w:val="-3"/>
        </w:rPr>
        <w:t xml:space="preserve"> </w:t>
      </w:r>
      <w:r>
        <w:rPr>
          <w:color w:val="221F1F"/>
        </w:rPr>
        <w:t>will</w:t>
      </w:r>
      <w:r>
        <w:rPr>
          <w:color w:val="221F1F"/>
          <w:spacing w:val="-2"/>
        </w:rPr>
        <w:t xml:space="preserve"> </w:t>
      </w:r>
      <w:r>
        <w:rPr>
          <w:color w:val="221F1F"/>
        </w:rPr>
        <w:t>result</w:t>
      </w:r>
      <w:r>
        <w:rPr>
          <w:color w:val="221F1F"/>
          <w:spacing w:val="-1"/>
        </w:rPr>
        <w:t xml:space="preserve"> </w:t>
      </w:r>
      <w:r>
        <w:rPr>
          <w:color w:val="221F1F"/>
        </w:rPr>
        <w:t>(or</w:t>
      </w:r>
      <w:r>
        <w:rPr>
          <w:color w:val="221F1F"/>
          <w:spacing w:val="-1"/>
        </w:rPr>
        <w:t xml:space="preserve"> </w:t>
      </w:r>
      <w:r>
        <w:rPr>
          <w:color w:val="221F1F"/>
        </w:rPr>
        <w:t>has</w:t>
      </w:r>
      <w:r>
        <w:rPr>
          <w:color w:val="221F1F"/>
          <w:spacing w:val="-1"/>
        </w:rPr>
        <w:t xml:space="preserve"> </w:t>
      </w:r>
      <w:r>
        <w:rPr>
          <w:color w:val="221F1F"/>
        </w:rPr>
        <w:t>resulted)</w:t>
      </w:r>
      <w:r>
        <w:rPr>
          <w:color w:val="221F1F"/>
          <w:spacing w:val="-2"/>
        </w:rPr>
        <w:t xml:space="preserve"> </w:t>
      </w:r>
      <w:r>
        <w:rPr>
          <w:color w:val="221F1F"/>
        </w:rPr>
        <w:t>in</w:t>
      </w:r>
      <w:r>
        <w:rPr>
          <w:color w:val="221F1F"/>
          <w:spacing w:val="-1"/>
        </w:rPr>
        <w:t xml:space="preserve"> </w:t>
      </w:r>
      <w:r>
        <w:rPr>
          <w:color w:val="221F1F"/>
        </w:rPr>
        <w:t>this</w:t>
      </w:r>
      <w:r>
        <w:rPr>
          <w:color w:val="221F1F"/>
          <w:spacing w:val="-3"/>
        </w:rPr>
        <w:t xml:space="preserve"> </w:t>
      </w:r>
      <w:r>
        <w:rPr>
          <w:color w:val="221F1F"/>
        </w:rPr>
        <w:t>sum</w:t>
      </w:r>
      <w:r>
        <w:rPr>
          <w:color w:val="221F1F"/>
          <w:spacing w:val="-1"/>
        </w:rPr>
        <w:t xml:space="preserve"> </w:t>
      </w:r>
      <w:r>
        <w:rPr>
          <w:color w:val="221F1F"/>
        </w:rPr>
        <w:t>not</w:t>
      </w:r>
      <w:r>
        <w:rPr>
          <w:color w:val="221F1F"/>
          <w:spacing w:val="-1"/>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 xml:space="preserve">Price; </w:t>
      </w:r>
      <w:r>
        <w:rPr>
          <w:color w:val="221F1F"/>
          <w:spacing w:val="-4"/>
        </w:rPr>
        <w:t>and</w:t>
      </w:r>
    </w:p>
    <w:p w:rsidR="007F6DF9" w:rsidRDefault="00A43FBC">
      <w:pPr>
        <w:pStyle w:val="ListParagraph"/>
        <w:numPr>
          <w:ilvl w:val="0"/>
          <w:numId w:val="96"/>
        </w:numPr>
        <w:tabs>
          <w:tab w:val="left" w:pos="1868"/>
          <w:tab w:val="left" w:pos="1877"/>
        </w:tabs>
        <w:spacing w:before="47" w:line="230" w:lineRule="auto"/>
        <w:ind w:right="564" w:hanging="502"/>
        <w:jc w:val="both"/>
      </w:pPr>
      <w:r>
        <w:rPr>
          <w:color w:val="221F1F"/>
        </w:rPr>
        <w:t>this cost is not deemed to be included in the evaluation of any substituted work; then the Contractor shall give notice to the Architect accordingly, with supporting particulars. Upon receiving this notice, the Architect shall proceed in accordance with Sub-Clause 3.5 [Determinations] to agree or determine this cost, which shall be included in the Contract Price.</w:t>
      </w:r>
    </w:p>
    <w:p w:rsidR="007F6DF9" w:rsidRDefault="00A43FBC">
      <w:pPr>
        <w:pStyle w:val="Heading8"/>
        <w:numPr>
          <w:ilvl w:val="0"/>
          <w:numId w:val="122"/>
        </w:numPr>
        <w:tabs>
          <w:tab w:val="left" w:pos="1376"/>
        </w:tabs>
        <w:spacing w:before="238"/>
        <w:ind w:left="1376" w:hanging="670"/>
      </w:pPr>
      <w:bookmarkStart w:id="65" w:name="_bookmark63"/>
      <w:bookmarkEnd w:id="65"/>
      <w:r>
        <w:rPr>
          <w:color w:val="221F1F"/>
          <w:spacing w:val="-4"/>
        </w:rPr>
        <w:t>VARIATIONS</w:t>
      </w:r>
      <w:r>
        <w:rPr>
          <w:color w:val="221F1F"/>
          <w:spacing w:val="-11"/>
        </w:rPr>
        <w:t xml:space="preserve"> </w:t>
      </w:r>
      <w:r>
        <w:rPr>
          <w:color w:val="221F1F"/>
          <w:spacing w:val="-4"/>
        </w:rPr>
        <w:t>AND</w:t>
      </w:r>
      <w:r>
        <w:rPr>
          <w:color w:val="221F1F"/>
          <w:spacing w:val="-3"/>
        </w:rPr>
        <w:t xml:space="preserve"> </w:t>
      </w:r>
      <w:r>
        <w:rPr>
          <w:color w:val="221F1F"/>
          <w:spacing w:val="-4"/>
        </w:rPr>
        <w:t>ADJUSTMENTS</w:t>
      </w:r>
    </w:p>
    <w:p w:rsidR="007F6DF9" w:rsidRDefault="00A43FBC">
      <w:pPr>
        <w:pStyle w:val="Heading9"/>
        <w:numPr>
          <w:ilvl w:val="1"/>
          <w:numId w:val="122"/>
        </w:numPr>
        <w:tabs>
          <w:tab w:val="left" w:pos="1375"/>
        </w:tabs>
        <w:spacing w:before="234" w:line="251" w:lineRule="exact"/>
        <w:ind w:left="1375" w:hanging="669"/>
        <w:jc w:val="both"/>
        <w:rPr>
          <w:color w:val="221F1F"/>
        </w:rPr>
      </w:pPr>
      <w:r>
        <w:rPr>
          <w:color w:val="221F1F"/>
        </w:rPr>
        <w:t>Right</w:t>
      </w:r>
      <w:r>
        <w:rPr>
          <w:color w:val="221F1F"/>
          <w:spacing w:val="-5"/>
        </w:rPr>
        <w:t xml:space="preserve"> </w:t>
      </w:r>
      <w:r>
        <w:rPr>
          <w:color w:val="221F1F"/>
        </w:rPr>
        <w:t>to</w:t>
      </w:r>
      <w:r>
        <w:rPr>
          <w:color w:val="221F1F"/>
          <w:spacing w:val="-1"/>
        </w:rPr>
        <w:t xml:space="preserve"> </w:t>
      </w:r>
      <w:r>
        <w:rPr>
          <w:color w:val="221F1F"/>
          <w:spacing w:val="-4"/>
        </w:rPr>
        <w:t>Vary</w:t>
      </w:r>
    </w:p>
    <w:p w:rsidR="007F6DF9" w:rsidRDefault="00A43FBC">
      <w:pPr>
        <w:pStyle w:val="ListParagraph"/>
        <w:numPr>
          <w:ilvl w:val="2"/>
          <w:numId w:val="122"/>
        </w:numPr>
        <w:tabs>
          <w:tab w:val="left" w:pos="1363"/>
          <w:tab w:val="left" w:pos="1366"/>
        </w:tabs>
        <w:spacing w:before="7" w:line="230" w:lineRule="auto"/>
        <w:ind w:left="1366" w:right="562" w:hanging="661"/>
        <w:jc w:val="both"/>
        <w:rPr>
          <w:color w:val="221F1F"/>
        </w:rPr>
      </w:pPr>
      <w:r>
        <w:rPr>
          <w:color w:val="221F1F"/>
        </w:rPr>
        <w:t>Variations may be initiated by the Architect at any time prior to issuing the Taking-Over Certificate for the Works,</w:t>
      </w:r>
      <w:r>
        <w:rPr>
          <w:color w:val="221F1F"/>
          <w:spacing w:val="-14"/>
        </w:rPr>
        <w:t xml:space="preserve"> </w:t>
      </w:r>
      <w:r>
        <w:rPr>
          <w:color w:val="221F1F"/>
        </w:rPr>
        <w:t>either</w:t>
      </w:r>
      <w:r>
        <w:rPr>
          <w:color w:val="221F1F"/>
          <w:spacing w:val="-14"/>
        </w:rPr>
        <w:t xml:space="preserve"> </w:t>
      </w:r>
      <w:r>
        <w:rPr>
          <w:color w:val="221F1F"/>
        </w:rPr>
        <w:t>by</w:t>
      </w:r>
      <w:r>
        <w:rPr>
          <w:color w:val="221F1F"/>
          <w:spacing w:val="-14"/>
        </w:rPr>
        <w:t xml:space="preserve"> </w:t>
      </w:r>
      <w:r>
        <w:rPr>
          <w:color w:val="221F1F"/>
        </w:rPr>
        <w:t>an</w:t>
      </w:r>
      <w:r>
        <w:rPr>
          <w:color w:val="221F1F"/>
          <w:spacing w:val="-13"/>
        </w:rPr>
        <w:t xml:space="preserve"> </w:t>
      </w:r>
      <w:r>
        <w:rPr>
          <w:color w:val="221F1F"/>
        </w:rPr>
        <w:t>instruction</w:t>
      </w:r>
      <w:r>
        <w:rPr>
          <w:color w:val="221F1F"/>
          <w:spacing w:val="-14"/>
        </w:rPr>
        <w:t xml:space="preserve"> </w:t>
      </w:r>
      <w:r>
        <w:rPr>
          <w:color w:val="221F1F"/>
        </w:rPr>
        <w:t>or</w:t>
      </w:r>
      <w:r>
        <w:rPr>
          <w:color w:val="221F1F"/>
          <w:spacing w:val="-13"/>
        </w:rPr>
        <w:t xml:space="preserve"> </w:t>
      </w:r>
      <w:r>
        <w:rPr>
          <w:color w:val="221F1F"/>
        </w:rPr>
        <w:t>by</w:t>
      </w:r>
      <w:r>
        <w:rPr>
          <w:color w:val="221F1F"/>
          <w:spacing w:val="-13"/>
        </w:rPr>
        <w:t xml:space="preserve"> </w:t>
      </w:r>
      <w:r>
        <w:rPr>
          <w:color w:val="221F1F"/>
        </w:rPr>
        <w:t>a</w:t>
      </w:r>
      <w:r>
        <w:rPr>
          <w:color w:val="221F1F"/>
          <w:spacing w:val="-12"/>
        </w:rPr>
        <w:t xml:space="preserve"> </w:t>
      </w:r>
      <w:r>
        <w:rPr>
          <w:color w:val="221F1F"/>
        </w:rPr>
        <w:t>request</w:t>
      </w:r>
      <w:r>
        <w:rPr>
          <w:color w:val="221F1F"/>
          <w:spacing w:val="-12"/>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Contractor</w:t>
      </w:r>
      <w:r>
        <w:rPr>
          <w:color w:val="221F1F"/>
          <w:spacing w:val="-11"/>
        </w:rPr>
        <w:t xml:space="preserve"> </w:t>
      </w:r>
      <w:r>
        <w:rPr>
          <w:color w:val="221F1F"/>
        </w:rPr>
        <w:t>to</w:t>
      </w:r>
      <w:r>
        <w:rPr>
          <w:color w:val="221F1F"/>
          <w:spacing w:val="-13"/>
        </w:rPr>
        <w:t xml:space="preserve"> </w:t>
      </w:r>
      <w:r>
        <w:rPr>
          <w:color w:val="221F1F"/>
        </w:rPr>
        <w:t>submit</w:t>
      </w:r>
      <w:r>
        <w:rPr>
          <w:color w:val="221F1F"/>
          <w:spacing w:val="-12"/>
        </w:rPr>
        <w:t xml:space="preserve"> </w:t>
      </w:r>
      <w:r>
        <w:rPr>
          <w:color w:val="221F1F"/>
        </w:rPr>
        <w:t>a</w:t>
      </w:r>
      <w:r>
        <w:rPr>
          <w:color w:val="221F1F"/>
          <w:spacing w:val="-12"/>
        </w:rPr>
        <w:t xml:space="preserve"> </w:t>
      </w:r>
      <w:r>
        <w:rPr>
          <w:color w:val="221F1F"/>
        </w:rPr>
        <w:t>proposal.</w:t>
      </w:r>
      <w:r>
        <w:rPr>
          <w:color w:val="221F1F"/>
          <w:spacing w:val="-10"/>
        </w:rPr>
        <w:t xml:space="preserve"> </w:t>
      </w:r>
      <w:r>
        <w:rPr>
          <w:color w:val="221F1F"/>
        </w:rPr>
        <w:t>No</w:t>
      </w:r>
      <w:r>
        <w:rPr>
          <w:color w:val="221F1F"/>
          <w:spacing w:val="-13"/>
        </w:rPr>
        <w:t xml:space="preserve"> </w:t>
      </w:r>
      <w:r>
        <w:rPr>
          <w:color w:val="221F1F"/>
        </w:rPr>
        <w:t>Variation</w:t>
      </w:r>
      <w:r>
        <w:rPr>
          <w:color w:val="221F1F"/>
          <w:spacing w:val="-14"/>
        </w:rPr>
        <w:t xml:space="preserve"> </w:t>
      </w:r>
      <w:r>
        <w:rPr>
          <w:color w:val="221F1F"/>
        </w:rPr>
        <w:t>instructed by the Architect under this Clause shall in any way vitiate or invalidate the Contract.</w:t>
      </w:r>
    </w:p>
    <w:p w:rsidR="007F6DF9" w:rsidRDefault="00A43FBC">
      <w:pPr>
        <w:pStyle w:val="ListParagraph"/>
        <w:numPr>
          <w:ilvl w:val="2"/>
          <w:numId w:val="122"/>
        </w:numPr>
        <w:tabs>
          <w:tab w:val="left" w:pos="1363"/>
          <w:tab w:val="left" w:pos="1366"/>
        </w:tabs>
        <w:spacing w:before="238" w:line="230" w:lineRule="auto"/>
        <w:ind w:left="1366" w:right="567" w:hanging="663"/>
        <w:jc w:val="both"/>
        <w:rPr>
          <w:color w:val="221F1F"/>
        </w:rPr>
      </w:pPr>
      <w:r>
        <w:rPr>
          <w:color w:val="221F1F"/>
        </w:rPr>
        <w:t>The</w:t>
      </w:r>
      <w:r>
        <w:rPr>
          <w:color w:val="221F1F"/>
          <w:spacing w:val="-3"/>
        </w:rPr>
        <w:t xml:space="preserve"> </w:t>
      </w:r>
      <w:r>
        <w:rPr>
          <w:color w:val="221F1F"/>
        </w:rPr>
        <w:t>Contractor</w:t>
      </w:r>
      <w:r>
        <w:rPr>
          <w:color w:val="221F1F"/>
          <w:spacing w:val="-4"/>
        </w:rPr>
        <w:t xml:space="preserve"> </w:t>
      </w:r>
      <w:r>
        <w:rPr>
          <w:color w:val="221F1F"/>
        </w:rPr>
        <w:t>shall</w:t>
      </w:r>
      <w:r>
        <w:rPr>
          <w:color w:val="221F1F"/>
          <w:spacing w:val="-2"/>
        </w:rPr>
        <w:t xml:space="preserve"> </w:t>
      </w:r>
      <w:r>
        <w:rPr>
          <w:color w:val="221F1F"/>
        </w:rPr>
        <w:t>execute</w:t>
      </w:r>
      <w:r>
        <w:rPr>
          <w:color w:val="221F1F"/>
          <w:spacing w:val="-2"/>
        </w:rPr>
        <w:t xml:space="preserve"> </w:t>
      </w:r>
      <w:r>
        <w:rPr>
          <w:color w:val="221F1F"/>
        </w:rPr>
        <w:t>and</w:t>
      </w:r>
      <w:r>
        <w:rPr>
          <w:color w:val="221F1F"/>
          <w:spacing w:val="-3"/>
        </w:rPr>
        <w:t xml:space="preserve"> </w:t>
      </w:r>
      <w:r>
        <w:rPr>
          <w:color w:val="221F1F"/>
        </w:rPr>
        <w:t>be</w:t>
      </w:r>
      <w:r>
        <w:rPr>
          <w:color w:val="221F1F"/>
          <w:spacing w:val="-3"/>
        </w:rPr>
        <w:t xml:space="preserve"> </w:t>
      </w:r>
      <w:r>
        <w:rPr>
          <w:color w:val="221F1F"/>
        </w:rPr>
        <w:t>bound</w:t>
      </w:r>
      <w:r>
        <w:rPr>
          <w:color w:val="221F1F"/>
          <w:spacing w:val="-3"/>
        </w:rPr>
        <w:t xml:space="preserve"> </w:t>
      </w:r>
      <w:r>
        <w:rPr>
          <w:color w:val="221F1F"/>
        </w:rPr>
        <w:t>by</w:t>
      </w:r>
      <w:r>
        <w:rPr>
          <w:color w:val="221F1F"/>
          <w:spacing w:val="-3"/>
        </w:rPr>
        <w:t xml:space="preserve"> </w:t>
      </w:r>
      <w:r>
        <w:rPr>
          <w:color w:val="221F1F"/>
        </w:rPr>
        <w:t>each</w:t>
      </w:r>
      <w:r>
        <w:rPr>
          <w:color w:val="221F1F"/>
          <w:spacing w:val="-3"/>
        </w:rPr>
        <w:t xml:space="preserve"> </w:t>
      </w:r>
      <w:r>
        <w:rPr>
          <w:color w:val="221F1F"/>
        </w:rPr>
        <w:t>Variation,</w:t>
      </w:r>
      <w:r>
        <w:rPr>
          <w:color w:val="221F1F"/>
          <w:spacing w:val="-8"/>
        </w:rPr>
        <w:t xml:space="preserve"> </w:t>
      </w:r>
      <w:r>
        <w:rPr>
          <w:color w:val="221F1F"/>
        </w:rPr>
        <w:t>unless</w:t>
      </w:r>
      <w:r>
        <w:rPr>
          <w:color w:val="221F1F"/>
          <w:spacing w:val="-2"/>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promptly</w:t>
      </w:r>
      <w:r>
        <w:rPr>
          <w:color w:val="221F1F"/>
          <w:spacing w:val="-3"/>
        </w:rPr>
        <w:t xml:space="preserve"> </w:t>
      </w:r>
      <w:r>
        <w:rPr>
          <w:color w:val="221F1F"/>
        </w:rPr>
        <w:t>gives</w:t>
      </w:r>
      <w:r>
        <w:rPr>
          <w:color w:val="221F1F"/>
          <w:spacing w:val="-3"/>
        </w:rPr>
        <w:t xml:space="preserve"> </w:t>
      </w:r>
      <w:r>
        <w:rPr>
          <w:color w:val="221F1F"/>
        </w:rPr>
        <w:t>notice</w:t>
      </w:r>
      <w:r>
        <w:rPr>
          <w:color w:val="221F1F"/>
          <w:spacing w:val="-3"/>
        </w:rPr>
        <w:t xml:space="preserve"> </w:t>
      </w:r>
      <w:r>
        <w:rPr>
          <w:color w:val="221F1F"/>
        </w:rPr>
        <w:t>to the Architect stating (with supporting particulars) that (</w:t>
      </w:r>
      <w:proofErr w:type="spellStart"/>
      <w:r>
        <w:rPr>
          <w:color w:val="221F1F"/>
        </w:rPr>
        <w:t>i</w:t>
      </w:r>
      <w:proofErr w:type="spellEnd"/>
      <w:r>
        <w:rPr>
          <w:color w:val="221F1F"/>
        </w:rPr>
        <w:t>) the Contractor cannot readily obtain the Goods required for the Variation,</w:t>
      </w:r>
      <w:r>
        <w:rPr>
          <w:color w:val="221F1F"/>
          <w:spacing w:val="-4"/>
        </w:rPr>
        <w:t xml:space="preserve"> </w:t>
      </w:r>
      <w:r>
        <w:rPr>
          <w:color w:val="221F1F"/>
        </w:rPr>
        <w:t>or (ii) such Variation</w:t>
      </w:r>
      <w:r>
        <w:rPr>
          <w:color w:val="221F1F"/>
          <w:spacing w:val="-2"/>
        </w:rPr>
        <w:t xml:space="preserve"> </w:t>
      </w:r>
      <w:r>
        <w:rPr>
          <w:color w:val="221F1F"/>
        </w:rPr>
        <w:t>triggers a substantial change in the sequence or progress of the Works.</w:t>
      </w:r>
      <w:r>
        <w:rPr>
          <w:color w:val="221F1F"/>
          <w:spacing w:val="-1"/>
        </w:rPr>
        <w:t xml:space="preserve"> </w:t>
      </w:r>
      <w:r>
        <w:rPr>
          <w:color w:val="221F1F"/>
        </w:rPr>
        <w:t>Upon receiving this notice, the Architect shall cancel, confirm or vary the instruction.</w:t>
      </w:r>
    </w:p>
    <w:p w:rsidR="007F6DF9" w:rsidRDefault="00A43FBC">
      <w:pPr>
        <w:pStyle w:val="ListParagraph"/>
        <w:numPr>
          <w:ilvl w:val="2"/>
          <w:numId w:val="122"/>
        </w:numPr>
        <w:tabs>
          <w:tab w:val="left" w:pos="1373"/>
        </w:tabs>
        <w:spacing w:before="238"/>
        <w:ind w:left="1373" w:hanging="667"/>
        <w:rPr>
          <w:color w:val="221F1F"/>
        </w:rPr>
      </w:pPr>
      <w:r>
        <w:rPr>
          <w:color w:val="221F1F"/>
        </w:rPr>
        <w:t>Each</w:t>
      </w:r>
      <w:r>
        <w:rPr>
          <w:color w:val="221F1F"/>
          <w:spacing w:val="-14"/>
        </w:rPr>
        <w:t xml:space="preserve"> </w:t>
      </w:r>
      <w:r>
        <w:rPr>
          <w:color w:val="221F1F"/>
        </w:rPr>
        <w:t>Variation</w:t>
      </w:r>
      <w:r>
        <w:rPr>
          <w:color w:val="221F1F"/>
          <w:spacing w:val="-14"/>
        </w:rPr>
        <w:t xml:space="preserve"> </w:t>
      </w:r>
      <w:r>
        <w:rPr>
          <w:color w:val="221F1F"/>
        </w:rPr>
        <w:t>may</w:t>
      </w:r>
      <w:r>
        <w:rPr>
          <w:color w:val="221F1F"/>
          <w:spacing w:val="-12"/>
        </w:rPr>
        <w:t xml:space="preserve"> </w:t>
      </w:r>
      <w:r>
        <w:rPr>
          <w:color w:val="221F1F"/>
          <w:spacing w:val="-2"/>
        </w:rPr>
        <w:t>include:</w:t>
      </w:r>
    </w:p>
    <w:p w:rsidR="007F6DF9" w:rsidRDefault="00A43FBC">
      <w:pPr>
        <w:pStyle w:val="ListParagraph"/>
        <w:numPr>
          <w:ilvl w:val="0"/>
          <w:numId w:val="65"/>
        </w:numPr>
        <w:tabs>
          <w:tab w:val="left" w:pos="1868"/>
          <w:tab w:val="left" w:pos="1877"/>
        </w:tabs>
        <w:spacing w:before="48" w:line="230" w:lineRule="auto"/>
        <w:ind w:right="702" w:hanging="504"/>
      </w:pPr>
      <w:r>
        <w:rPr>
          <w:color w:val="221F1F"/>
        </w:rPr>
        <w:t>changes</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quantities</w:t>
      </w:r>
      <w:r>
        <w:rPr>
          <w:color w:val="221F1F"/>
          <w:spacing w:val="-2"/>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item</w:t>
      </w:r>
      <w:r>
        <w:rPr>
          <w:color w:val="221F1F"/>
          <w:spacing w:val="-1"/>
        </w:rPr>
        <w:t xml:space="preserve"> </w:t>
      </w:r>
      <w:r>
        <w:rPr>
          <w:color w:val="221F1F"/>
        </w:rPr>
        <w:t>of</w:t>
      </w:r>
      <w:r>
        <w:rPr>
          <w:color w:val="221F1F"/>
          <w:spacing w:val="-2"/>
        </w:rPr>
        <w:t xml:space="preserve"> </w:t>
      </w:r>
      <w:r>
        <w:rPr>
          <w:color w:val="221F1F"/>
        </w:rPr>
        <w:t>work</w:t>
      </w:r>
      <w:r>
        <w:rPr>
          <w:color w:val="221F1F"/>
          <w:spacing w:val="-5"/>
        </w:rPr>
        <w:t xml:space="preserve"> </w:t>
      </w:r>
      <w:r>
        <w:rPr>
          <w:color w:val="221F1F"/>
        </w:rPr>
        <w:t>included</w:t>
      </w:r>
      <w:r>
        <w:rPr>
          <w:color w:val="221F1F"/>
          <w:spacing w:val="-4"/>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(however,</w:t>
      </w:r>
      <w:r>
        <w:rPr>
          <w:color w:val="221F1F"/>
          <w:spacing w:val="-5"/>
        </w:rPr>
        <w:t xml:space="preserve"> </w:t>
      </w:r>
      <w:r>
        <w:rPr>
          <w:color w:val="221F1F"/>
        </w:rPr>
        <w:t>such</w:t>
      </w:r>
      <w:r>
        <w:rPr>
          <w:color w:val="221F1F"/>
          <w:spacing w:val="-2"/>
        </w:rPr>
        <w:t xml:space="preserve"> </w:t>
      </w:r>
      <w:r>
        <w:rPr>
          <w:color w:val="221F1F"/>
        </w:rPr>
        <w:t>changes</w:t>
      </w:r>
      <w:r>
        <w:rPr>
          <w:color w:val="221F1F"/>
          <w:spacing w:val="-4"/>
        </w:rPr>
        <w:t xml:space="preserve"> </w:t>
      </w:r>
      <w:r>
        <w:rPr>
          <w:color w:val="221F1F"/>
        </w:rPr>
        <w:t>do</w:t>
      </w:r>
      <w:r>
        <w:rPr>
          <w:color w:val="221F1F"/>
          <w:spacing w:val="-2"/>
        </w:rPr>
        <w:t xml:space="preserve"> </w:t>
      </w:r>
      <w:r>
        <w:rPr>
          <w:color w:val="221F1F"/>
        </w:rPr>
        <w:t>not necessarily constitute a Variation),</w:t>
      </w:r>
    </w:p>
    <w:p w:rsidR="007F6DF9" w:rsidRDefault="00A43FBC">
      <w:pPr>
        <w:pStyle w:val="ListParagraph"/>
        <w:numPr>
          <w:ilvl w:val="0"/>
          <w:numId w:val="65"/>
        </w:numPr>
        <w:tabs>
          <w:tab w:val="left" w:pos="1868"/>
        </w:tabs>
        <w:spacing w:before="41"/>
        <w:ind w:left="1868"/>
      </w:pPr>
      <w:r>
        <w:rPr>
          <w:color w:val="221F1F"/>
        </w:rPr>
        <w:t>changes</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quality</w:t>
      </w:r>
      <w:r>
        <w:rPr>
          <w:color w:val="221F1F"/>
          <w:spacing w:val="-2"/>
        </w:rPr>
        <w:t xml:space="preserve"> </w:t>
      </w:r>
      <w:r>
        <w:rPr>
          <w:color w:val="221F1F"/>
        </w:rPr>
        <w:t>and</w:t>
      </w:r>
      <w:r>
        <w:rPr>
          <w:color w:val="221F1F"/>
          <w:spacing w:val="-5"/>
        </w:rPr>
        <w:t xml:space="preserve"> </w:t>
      </w:r>
      <w:proofErr w:type="spellStart"/>
      <w:r>
        <w:rPr>
          <w:color w:val="221F1F"/>
        </w:rPr>
        <w:t>otherc</w:t>
      </w:r>
      <w:proofErr w:type="spellEnd"/>
      <w:r>
        <w:rPr>
          <w:color w:val="221F1F"/>
          <w:spacing w:val="-3"/>
        </w:rPr>
        <w:t xml:space="preserve"> </w:t>
      </w:r>
      <w:proofErr w:type="spellStart"/>
      <w:r>
        <w:rPr>
          <w:color w:val="221F1F"/>
        </w:rPr>
        <w:t>haracteristics</w:t>
      </w:r>
      <w:proofErr w:type="spellEnd"/>
      <w:r>
        <w:rPr>
          <w:color w:val="221F1F"/>
          <w:spacing w:val="-3"/>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item</w:t>
      </w:r>
      <w:r>
        <w:rPr>
          <w:color w:val="221F1F"/>
          <w:spacing w:val="-2"/>
        </w:rPr>
        <w:t xml:space="preserve"> </w:t>
      </w:r>
      <w:r>
        <w:rPr>
          <w:color w:val="221F1F"/>
        </w:rPr>
        <w:t>of</w:t>
      </w:r>
      <w:r>
        <w:rPr>
          <w:color w:val="221F1F"/>
          <w:spacing w:val="-1"/>
        </w:rPr>
        <w:t xml:space="preserve"> </w:t>
      </w:r>
      <w:r>
        <w:rPr>
          <w:color w:val="221F1F"/>
          <w:spacing w:val="-2"/>
        </w:rPr>
        <w:t>work,</w:t>
      </w:r>
    </w:p>
    <w:p w:rsidR="007F6DF9" w:rsidRDefault="00A43FBC">
      <w:pPr>
        <w:pStyle w:val="ListParagraph"/>
        <w:numPr>
          <w:ilvl w:val="0"/>
          <w:numId w:val="65"/>
        </w:numPr>
        <w:tabs>
          <w:tab w:val="left" w:pos="1868"/>
        </w:tabs>
        <w:spacing w:before="40"/>
        <w:ind w:left="1868"/>
      </w:pPr>
      <w:r>
        <w:rPr>
          <w:color w:val="221F1F"/>
        </w:rPr>
        <w:t>changes</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levels,</w:t>
      </w:r>
      <w:r>
        <w:rPr>
          <w:color w:val="221F1F"/>
          <w:spacing w:val="-2"/>
        </w:rPr>
        <w:t xml:space="preserve"> </w:t>
      </w:r>
      <w:r>
        <w:rPr>
          <w:color w:val="221F1F"/>
        </w:rPr>
        <w:t>positions</w:t>
      </w:r>
      <w:r>
        <w:rPr>
          <w:color w:val="221F1F"/>
          <w:spacing w:val="-3"/>
        </w:rPr>
        <w:t xml:space="preserve"> </w:t>
      </w:r>
      <w:r>
        <w:rPr>
          <w:color w:val="221F1F"/>
        </w:rPr>
        <w:t>and/</w:t>
      </w:r>
      <w:r>
        <w:rPr>
          <w:color w:val="221F1F"/>
          <w:spacing w:val="-2"/>
        </w:rPr>
        <w:t xml:space="preserve"> </w:t>
      </w:r>
      <w:r>
        <w:rPr>
          <w:color w:val="221F1F"/>
        </w:rPr>
        <w:t>or</w:t>
      </w:r>
      <w:r>
        <w:rPr>
          <w:color w:val="221F1F"/>
          <w:spacing w:val="-2"/>
        </w:rPr>
        <w:t xml:space="preserve"> </w:t>
      </w:r>
      <w:r>
        <w:rPr>
          <w:color w:val="221F1F"/>
        </w:rPr>
        <w:t>dimensions</w:t>
      </w:r>
      <w:r>
        <w:rPr>
          <w:color w:val="221F1F"/>
          <w:spacing w:val="-2"/>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spacing w:val="-2"/>
        </w:rPr>
        <w:t>Works,</w:t>
      </w:r>
    </w:p>
    <w:p w:rsidR="007F6DF9" w:rsidRDefault="007F6DF9">
      <w:pPr>
        <w:pStyle w:val="ListParagraph"/>
        <w:sectPr w:rsidR="007F6DF9">
          <w:pgSz w:w="11920" w:h="16850"/>
          <w:pgMar w:top="360" w:right="283" w:bottom="600" w:left="141" w:header="0" w:footer="402" w:gutter="0"/>
          <w:pgNumType w:start="104"/>
          <w:cols w:space="720"/>
        </w:sectPr>
      </w:pPr>
    </w:p>
    <w:p w:rsidR="007F6DF9" w:rsidRDefault="00A43FBC">
      <w:pPr>
        <w:pStyle w:val="ListParagraph"/>
        <w:numPr>
          <w:ilvl w:val="0"/>
          <w:numId w:val="65"/>
        </w:numPr>
        <w:tabs>
          <w:tab w:val="left" w:pos="1868"/>
        </w:tabs>
        <w:spacing w:line="244" w:lineRule="exact"/>
        <w:ind w:left="1868"/>
      </w:pPr>
      <w:r>
        <w:rPr>
          <w:color w:val="221F1F"/>
        </w:rPr>
        <w:lastRenderedPageBreak/>
        <w:t>omission</w:t>
      </w:r>
      <w:r>
        <w:rPr>
          <w:color w:val="221F1F"/>
          <w:spacing w:val="-2"/>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work</w:t>
      </w:r>
      <w:r>
        <w:rPr>
          <w:color w:val="221F1F"/>
          <w:spacing w:val="-1"/>
        </w:rPr>
        <w:t xml:space="preserve"> </w:t>
      </w:r>
      <w:r>
        <w:rPr>
          <w:color w:val="221F1F"/>
        </w:rPr>
        <w:t>unless</w:t>
      </w:r>
      <w:r>
        <w:rPr>
          <w:color w:val="221F1F"/>
          <w:spacing w:val="-2"/>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carried</w:t>
      </w:r>
      <w:r>
        <w:rPr>
          <w:color w:val="221F1F"/>
          <w:spacing w:val="-4"/>
        </w:rPr>
        <w:t xml:space="preserve"> </w:t>
      </w:r>
      <w:r>
        <w:rPr>
          <w:color w:val="221F1F"/>
        </w:rPr>
        <w:t>out</w:t>
      </w:r>
      <w:r>
        <w:rPr>
          <w:color w:val="221F1F"/>
          <w:spacing w:val="-3"/>
        </w:rPr>
        <w:t xml:space="preserve"> </w:t>
      </w:r>
      <w:r>
        <w:rPr>
          <w:color w:val="221F1F"/>
        </w:rPr>
        <w:t>by</w:t>
      </w:r>
      <w:r>
        <w:rPr>
          <w:color w:val="221F1F"/>
          <w:spacing w:val="-1"/>
        </w:rPr>
        <w:t xml:space="preserve"> </w:t>
      </w:r>
      <w:r>
        <w:rPr>
          <w:color w:val="221F1F"/>
          <w:spacing w:val="-2"/>
        </w:rPr>
        <w:t>others,</w:t>
      </w:r>
    </w:p>
    <w:p w:rsidR="007F6DF9" w:rsidRDefault="00A43FBC">
      <w:pPr>
        <w:pStyle w:val="ListParagraph"/>
        <w:numPr>
          <w:ilvl w:val="0"/>
          <w:numId w:val="65"/>
        </w:numPr>
        <w:tabs>
          <w:tab w:val="left" w:pos="1868"/>
          <w:tab w:val="left" w:pos="1877"/>
        </w:tabs>
        <w:spacing w:before="48" w:line="230" w:lineRule="auto"/>
        <w:ind w:right="875" w:hanging="504"/>
      </w:pPr>
      <w:r>
        <w:rPr>
          <w:color w:val="221F1F"/>
        </w:rPr>
        <w:t>any</w:t>
      </w:r>
      <w:r>
        <w:rPr>
          <w:color w:val="221F1F"/>
          <w:spacing w:val="-3"/>
        </w:rPr>
        <w:t xml:space="preserve"> </w:t>
      </w:r>
      <w:r>
        <w:rPr>
          <w:color w:val="221F1F"/>
        </w:rPr>
        <w:t>additional</w:t>
      </w:r>
      <w:r>
        <w:rPr>
          <w:color w:val="221F1F"/>
          <w:spacing w:val="-2"/>
        </w:rPr>
        <w:t xml:space="preserve"> </w:t>
      </w:r>
      <w:r>
        <w:rPr>
          <w:color w:val="221F1F"/>
        </w:rPr>
        <w:t>work,</w:t>
      </w:r>
      <w:r>
        <w:rPr>
          <w:color w:val="221F1F"/>
          <w:spacing w:val="-3"/>
        </w:rPr>
        <w:t xml:space="preserve"> </w:t>
      </w:r>
      <w:r>
        <w:rPr>
          <w:color w:val="221F1F"/>
        </w:rPr>
        <w:t>Plant,</w:t>
      </w:r>
      <w:r>
        <w:rPr>
          <w:color w:val="221F1F"/>
          <w:spacing w:val="-6"/>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services</w:t>
      </w:r>
      <w:r>
        <w:rPr>
          <w:color w:val="221F1F"/>
          <w:spacing w:val="-5"/>
        </w:rPr>
        <w:t xml:space="preserve"> </w:t>
      </w:r>
      <w:r>
        <w:rPr>
          <w:color w:val="221F1F"/>
        </w:rPr>
        <w:t>necessary</w:t>
      </w:r>
      <w:r>
        <w:rPr>
          <w:color w:val="221F1F"/>
          <w:spacing w:val="-6"/>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Permanent Works,</w:t>
      </w:r>
      <w:r>
        <w:rPr>
          <w:color w:val="221F1F"/>
          <w:spacing w:val="-10"/>
        </w:rPr>
        <w:t xml:space="preserve"> </w:t>
      </w:r>
      <w:r>
        <w:rPr>
          <w:color w:val="221F1F"/>
        </w:rPr>
        <w:t>including</w:t>
      </w:r>
      <w:r>
        <w:rPr>
          <w:color w:val="221F1F"/>
          <w:spacing w:val="-6"/>
        </w:rPr>
        <w:t xml:space="preserve"> </w:t>
      </w:r>
      <w:r>
        <w:rPr>
          <w:color w:val="221F1F"/>
        </w:rPr>
        <w:t>any associated Tests on Completion, boreholes and other testing and exploratory work, or</w:t>
      </w:r>
    </w:p>
    <w:p w:rsidR="007F6DF9" w:rsidRDefault="00A43FBC">
      <w:pPr>
        <w:pStyle w:val="ListParagraph"/>
        <w:numPr>
          <w:ilvl w:val="0"/>
          <w:numId w:val="65"/>
        </w:numPr>
        <w:tabs>
          <w:tab w:val="left" w:pos="1868"/>
        </w:tabs>
        <w:spacing w:before="41"/>
        <w:ind w:left="1868"/>
      </w:pPr>
      <w:r>
        <w:rPr>
          <w:color w:val="221F1F"/>
        </w:rPr>
        <w:t>changes</w:t>
      </w:r>
      <w:r>
        <w:rPr>
          <w:color w:val="221F1F"/>
          <w:spacing w:val="-4"/>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sequence</w:t>
      </w:r>
      <w:r>
        <w:rPr>
          <w:color w:val="221F1F"/>
          <w:spacing w:val="-1"/>
        </w:rPr>
        <w:t xml:space="preserve"> </w:t>
      </w:r>
      <w:r>
        <w:rPr>
          <w:color w:val="221F1F"/>
        </w:rPr>
        <w:t>or</w:t>
      </w:r>
      <w:r>
        <w:rPr>
          <w:color w:val="221F1F"/>
          <w:spacing w:val="-6"/>
        </w:rPr>
        <w:t xml:space="preserve"> </w:t>
      </w:r>
      <w:r>
        <w:rPr>
          <w:color w:val="221F1F"/>
        </w:rPr>
        <w:t>timing</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Works.</w:t>
      </w:r>
    </w:p>
    <w:p w:rsidR="007F6DF9" w:rsidRDefault="007F6DF9">
      <w:pPr>
        <w:pStyle w:val="BodyText"/>
        <w:spacing w:before="2"/>
      </w:pPr>
    </w:p>
    <w:p w:rsidR="007F6DF9" w:rsidRDefault="00A43FBC">
      <w:pPr>
        <w:pStyle w:val="ListParagraph"/>
        <w:numPr>
          <w:ilvl w:val="2"/>
          <w:numId w:val="122"/>
        </w:numPr>
        <w:tabs>
          <w:tab w:val="left" w:pos="1371"/>
        </w:tabs>
        <w:spacing w:line="230" w:lineRule="auto"/>
        <w:ind w:left="1371" w:right="722" w:hanging="661"/>
        <w:rPr>
          <w:color w:val="221F1F"/>
        </w:rPr>
      </w:pP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make</w:t>
      </w:r>
      <w:r>
        <w:rPr>
          <w:color w:val="221F1F"/>
          <w:spacing w:val="-3"/>
        </w:rPr>
        <w:t xml:space="preserve"> </w:t>
      </w:r>
      <w:r>
        <w:rPr>
          <w:color w:val="221F1F"/>
        </w:rPr>
        <w:t>any</w:t>
      </w:r>
      <w:r>
        <w:rPr>
          <w:color w:val="221F1F"/>
          <w:spacing w:val="-4"/>
        </w:rPr>
        <w:t xml:space="preserve"> </w:t>
      </w:r>
      <w:r>
        <w:rPr>
          <w:color w:val="221F1F"/>
        </w:rPr>
        <w:t>alteration</w:t>
      </w:r>
      <w:r>
        <w:rPr>
          <w:color w:val="221F1F"/>
          <w:spacing w:val="-6"/>
        </w:rPr>
        <w:t xml:space="preserve"> </w:t>
      </w:r>
      <w:r>
        <w:rPr>
          <w:color w:val="221F1F"/>
        </w:rPr>
        <w:t>and/or</w:t>
      </w:r>
      <w:r>
        <w:rPr>
          <w:color w:val="221F1F"/>
          <w:spacing w:val="-6"/>
        </w:rPr>
        <w:t xml:space="preserve"> </w:t>
      </w:r>
      <w:r>
        <w:rPr>
          <w:color w:val="221F1F"/>
        </w:rPr>
        <w:t>modification</w:t>
      </w:r>
      <w:r>
        <w:rPr>
          <w:color w:val="221F1F"/>
          <w:spacing w:val="-4"/>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Permanent</w:t>
      </w:r>
      <w:r>
        <w:rPr>
          <w:color w:val="221F1F"/>
          <w:spacing w:val="-2"/>
        </w:rPr>
        <w:t xml:space="preserve"> </w:t>
      </w:r>
      <w:r>
        <w:rPr>
          <w:color w:val="221F1F"/>
        </w:rPr>
        <w:t>Works,</w:t>
      </w:r>
      <w:r>
        <w:rPr>
          <w:color w:val="221F1F"/>
          <w:spacing w:val="-9"/>
        </w:rPr>
        <w:t xml:space="preserve"> </w:t>
      </w:r>
      <w:r>
        <w:rPr>
          <w:color w:val="221F1F"/>
        </w:rPr>
        <w:t>unless</w:t>
      </w:r>
      <w:r>
        <w:rPr>
          <w:color w:val="221F1F"/>
          <w:spacing w:val="-3"/>
        </w:rPr>
        <w:t xml:space="preserve"> </w:t>
      </w:r>
      <w:r>
        <w:rPr>
          <w:color w:val="221F1F"/>
        </w:rPr>
        <w:t>and</w:t>
      </w:r>
      <w:r>
        <w:rPr>
          <w:color w:val="221F1F"/>
          <w:spacing w:val="-4"/>
        </w:rPr>
        <w:t xml:space="preserve"> </w:t>
      </w:r>
      <w:r>
        <w:rPr>
          <w:color w:val="221F1F"/>
        </w:rPr>
        <w:t>until the Architect instructs after obtaining approval of the Procuring Entity.</w:t>
      </w:r>
    </w:p>
    <w:p w:rsidR="007F6DF9" w:rsidRDefault="00A43FBC">
      <w:pPr>
        <w:pStyle w:val="Heading9"/>
        <w:numPr>
          <w:ilvl w:val="1"/>
          <w:numId w:val="95"/>
        </w:numPr>
        <w:tabs>
          <w:tab w:val="left" w:pos="1380"/>
        </w:tabs>
        <w:spacing w:before="236"/>
        <w:ind w:left="1380" w:hanging="669"/>
      </w:pPr>
      <w:r>
        <w:rPr>
          <w:color w:val="221F1F"/>
          <w:spacing w:val="-2"/>
        </w:rPr>
        <w:t>Variation</w:t>
      </w:r>
      <w:r>
        <w:rPr>
          <w:color w:val="221F1F"/>
          <w:spacing w:val="-9"/>
        </w:rPr>
        <w:t xml:space="preserve"> </w:t>
      </w:r>
      <w:r>
        <w:rPr>
          <w:color w:val="221F1F"/>
          <w:spacing w:val="-2"/>
        </w:rPr>
        <w:t>Order</w:t>
      </w:r>
      <w:r>
        <w:rPr>
          <w:color w:val="221F1F"/>
          <w:spacing w:val="-1"/>
        </w:rPr>
        <w:t xml:space="preserve"> </w:t>
      </w:r>
      <w:r>
        <w:rPr>
          <w:color w:val="221F1F"/>
          <w:spacing w:val="-2"/>
        </w:rPr>
        <w:t>Procedure</w:t>
      </w:r>
    </w:p>
    <w:p w:rsidR="007F6DF9" w:rsidRDefault="00A43FBC">
      <w:pPr>
        <w:pStyle w:val="ListParagraph"/>
        <w:numPr>
          <w:ilvl w:val="2"/>
          <w:numId w:val="95"/>
        </w:numPr>
        <w:tabs>
          <w:tab w:val="left" w:pos="1367"/>
          <w:tab w:val="left" w:pos="1371"/>
        </w:tabs>
        <w:spacing w:before="242" w:line="230" w:lineRule="auto"/>
        <w:ind w:right="561"/>
        <w:jc w:val="both"/>
        <w:rPr>
          <w:color w:val="221F1F"/>
        </w:rPr>
      </w:pPr>
      <w:r>
        <w:rPr>
          <w:color w:val="221F1F"/>
        </w:rPr>
        <w:t>Prior to any Variation</w:t>
      </w:r>
      <w:r>
        <w:rPr>
          <w:color w:val="221F1F"/>
          <w:spacing w:val="-1"/>
        </w:rPr>
        <w:t xml:space="preserve"> </w:t>
      </w:r>
      <w:r>
        <w:rPr>
          <w:color w:val="221F1F"/>
        </w:rPr>
        <w:t>Order under Sub-Clause 13.1.4 the Architect shall notify the Contractor of the nature and</w:t>
      </w:r>
      <w:r>
        <w:rPr>
          <w:color w:val="221F1F"/>
          <w:spacing w:val="-7"/>
        </w:rPr>
        <w:t xml:space="preserve"> </w:t>
      </w:r>
      <w:r>
        <w:rPr>
          <w:color w:val="221F1F"/>
        </w:rPr>
        <w:t>form</w:t>
      </w:r>
      <w:r>
        <w:rPr>
          <w:color w:val="221F1F"/>
          <w:spacing w:val="-6"/>
        </w:rPr>
        <w:t xml:space="preserve"> </w:t>
      </w:r>
      <w:r>
        <w:rPr>
          <w:color w:val="221F1F"/>
        </w:rPr>
        <w:t>of</w:t>
      </w:r>
      <w:r>
        <w:rPr>
          <w:color w:val="221F1F"/>
          <w:spacing w:val="-9"/>
        </w:rPr>
        <w:t xml:space="preserve"> </w:t>
      </w:r>
      <w:r>
        <w:rPr>
          <w:color w:val="221F1F"/>
        </w:rPr>
        <w:t>such</w:t>
      </w:r>
      <w:r>
        <w:rPr>
          <w:color w:val="221F1F"/>
          <w:spacing w:val="-7"/>
        </w:rPr>
        <w:t xml:space="preserve"> </w:t>
      </w:r>
      <w:r>
        <w:rPr>
          <w:color w:val="221F1F"/>
        </w:rPr>
        <w:t>variation.</w:t>
      </w:r>
      <w:r>
        <w:rPr>
          <w:color w:val="221F1F"/>
          <w:spacing w:val="-8"/>
        </w:rPr>
        <w:t xml:space="preserve"> </w:t>
      </w:r>
      <w:r>
        <w:rPr>
          <w:color w:val="221F1F"/>
        </w:rPr>
        <w:t>As</w:t>
      </w:r>
      <w:r>
        <w:rPr>
          <w:color w:val="221F1F"/>
          <w:spacing w:val="-7"/>
        </w:rPr>
        <w:t xml:space="preserve"> </w:t>
      </w:r>
      <w:r>
        <w:rPr>
          <w:color w:val="221F1F"/>
        </w:rPr>
        <w:t>soon</w:t>
      </w:r>
      <w:r>
        <w:rPr>
          <w:color w:val="221F1F"/>
          <w:spacing w:val="-9"/>
        </w:rPr>
        <w:t xml:space="preserve"> </w:t>
      </w:r>
      <w:r>
        <w:rPr>
          <w:color w:val="221F1F"/>
        </w:rPr>
        <w:t>as</w:t>
      </w:r>
      <w:r>
        <w:rPr>
          <w:color w:val="221F1F"/>
          <w:spacing w:val="-7"/>
        </w:rPr>
        <w:t xml:space="preserve"> </w:t>
      </w:r>
      <w:r>
        <w:rPr>
          <w:color w:val="221F1F"/>
        </w:rPr>
        <w:t>possible</w:t>
      </w:r>
      <w:r>
        <w:rPr>
          <w:color w:val="221F1F"/>
          <w:spacing w:val="-7"/>
        </w:rPr>
        <w:t xml:space="preserve"> </w:t>
      </w:r>
      <w:r>
        <w:rPr>
          <w:color w:val="221F1F"/>
        </w:rPr>
        <w:t>after</w:t>
      </w:r>
      <w:r>
        <w:rPr>
          <w:color w:val="221F1F"/>
          <w:spacing w:val="-6"/>
        </w:rPr>
        <w:t xml:space="preserve"> </w:t>
      </w:r>
      <w:r>
        <w:rPr>
          <w:color w:val="221F1F"/>
        </w:rPr>
        <w:t>having</w:t>
      </w:r>
      <w:r>
        <w:rPr>
          <w:color w:val="221F1F"/>
          <w:spacing w:val="-9"/>
        </w:rPr>
        <w:t xml:space="preserve"> </w:t>
      </w:r>
      <w:r>
        <w:rPr>
          <w:color w:val="221F1F"/>
        </w:rPr>
        <w:t>received</w:t>
      </w:r>
      <w:r>
        <w:rPr>
          <w:color w:val="221F1F"/>
          <w:spacing w:val="-6"/>
        </w:rPr>
        <w:t xml:space="preserve"> </w:t>
      </w:r>
      <w:r>
        <w:rPr>
          <w:color w:val="221F1F"/>
        </w:rPr>
        <w:t>such</w:t>
      </w:r>
      <w:r>
        <w:rPr>
          <w:color w:val="221F1F"/>
          <w:spacing w:val="-7"/>
        </w:rPr>
        <w:t xml:space="preserve"> </w:t>
      </w:r>
      <w:r>
        <w:rPr>
          <w:color w:val="221F1F"/>
        </w:rPr>
        <w:t>notice,</w:t>
      </w:r>
      <w:r>
        <w:rPr>
          <w:color w:val="221F1F"/>
          <w:spacing w:val="-9"/>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submit to the Engineer:</w:t>
      </w:r>
    </w:p>
    <w:p w:rsidR="007F6DF9" w:rsidRDefault="00A43FBC">
      <w:pPr>
        <w:pStyle w:val="ListParagraph"/>
        <w:numPr>
          <w:ilvl w:val="3"/>
          <w:numId w:val="95"/>
        </w:numPr>
        <w:tabs>
          <w:tab w:val="left" w:pos="1874"/>
        </w:tabs>
        <w:spacing w:before="43"/>
        <w:ind w:left="1874" w:hanging="493"/>
        <w:jc w:val="both"/>
      </w:pPr>
      <w:r>
        <w:rPr>
          <w:color w:val="221F1F"/>
        </w:rPr>
        <w:t>A</w:t>
      </w:r>
      <w:r>
        <w:rPr>
          <w:color w:val="221F1F"/>
          <w:spacing w:val="-7"/>
        </w:rPr>
        <w:t xml:space="preserve"> </w:t>
      </w:r>
      <w:r>
        <w:rPr>
          <w:color w:val="221F1F"/>
        </w:rPr>
        <w:t>description</w:t>
      </w:r>
      <w:r>
        <w:rPr>
          <w:color w:val="221F1F"/>
          <w:spacing w:val="-3"/>
        </w:rPr>
        <w:t xml:space="preserve"> </w:t>
      </w:r>
      <w:r>
        <w:rPr>
          <w:color w:val="221F1F"/>
        </w:rPr>
        <w:t>of</w:t>
      </w:r>
      <w:r>
        <w:rPr>
          <w:color w:val="221F1F"/>
          <w:spacing w:val="-3"/>
        </w:rPr>
        <w:t xml:space="preserve"> </w:t>
      </w:r>
      <w:r>
        <w:rPr>
          <w:color w:val="221F1F"/>
        </w:rPr>
        <w:t>work,</w:t>
      </w:r>
      <w:r>
        <w:rPr>
          <w:color w:val="221F1F"/>
          <w:spacing w:val="-5"/>
        </w:rPr>
        <w:t xml:space="preserve"> </w:t>
      </w:r>
      <w:r>
        <w:rPr>
          <w:color w:val="221F1F"/>
        </w:rPr>
        <w:t>if</w:t>
      </w:r>
      <w:r>
        <w:rPr>
          <w:color w:val="221F1F"/>
          <w:spacing w:val="-3"/>
        </w:rPr>
        <w:t xml:space="preserve"> </w:t>
      </w:r>
      <w:r>
        <w:rPr>
          <w:color w:val="221F1F"/>
        </w:rPr>
        <w:t>any,</w:t>
      </w:r>
      <w:r>
        <w:rPr>
          <w:color w:val="221F1F"/>
          <w:spacing w:val="-13"/>
        </w:rPr>
        <w:t xml:space="preserve"> </w:t>
      </w:r>
      <w:r>
        <w:rPr>
          <w:color w:val="221F1F"/>
        </w:rPr>
        <w:t>to</w:t>
      </w:r>
      <w:r>
        <w:rPr>
          <w:color w:val="221F1F"/>
          <w:spacing w:val="-3"/>
        </w:rPr>
        <w:t xml:space="preserve"> </w:t>
      </w:r>
      <w:r>
        <w:rPr>
          <w:color w:val="221F1F"/>
        </w:rPr>
        <w:t>be</w:t>
      </w:r>
      <w:r>
        <w:rPr>
          <w:color w:val="221F1F"/>
          <w:spacing w:val="-4"/>
        </w:rPr>
        <w:t xml:space="preserve"> </w:t>
      </w:r>
      <w:r>
        <w:rPr>
          <w:color w:val="221F1F"/>
        </w:rPr>
        <w:t>performed</w:t>
      </w:r>
      <w:r>
        <w:rPr>
          <w:color w:val="221F1F"/>
          <w:spacing w:val="-2"/>
        </w:rPr>
        <w:t xml:space="preserve"> </w:t>
      </w:r>
      <w:r>
        <w:rPr>
          <w:color w:val="221F1F"/>
        </w:rPr>
        <w:t>and</w:t>
      </w:r>
      <w:r>
        <w:rPr>
          <w:color w:val="221F1F"/>
          <w:spacing w:val="-3"/>
        </w:rPr>
        <w:t xml:space="preserve"> </w:t>
      </w:r>
      <w:r>
        <w:rPr>
          <w:color w:val="221F1F"/>
        </w:rPr>
        <w:t>a</w:t>
      </w:r>
      <w:r>
        <w:rPr>
          <w:color w:val="221F1F"/>
          <w:spacing w:val="-4"/>
        </w:rPr>
        <w:t xml:space="preserve"> </w:t>
      </w:r>
      <w:proofErr w:type="spellStart"/>
      <w:r>
        <w:rPr>
          <w:color w:val="221F1F"/>
        </w:rPr>
        <w:t>programme</w:t>
      </w:r>
      <w:proofErr w:type="spellEnd"/>
      <w:r>
        <w:rPr>
          <w:color w:val="221F1F"/>
          <w:spacing w:val="-2"/>
        </w:rPr>
        <w:t xml:space="preserve"> </w:t>
      </w:r>
      <w:r>
        <w:rPr>
          <w:color w:val="221F1F"/>
        </w:rPr>
        <w:t>for</w:t>
      </w:r>
      <w:r>
        <w:rPr>
          <w:color w:val="221F1F"/>
          <w:spacing w:val="-6"/>
        </w:rPr>
        <w:t xml:space="preserve"> </w:t>
      </w:r>
      <w:r>
        <w:rPr>
          <w:color w:val="221F1F"/>
        </w:rPr>
        <w:t>its</w:t>
      </w:r>
      <w:r>
        <w:rPr>
          <w:color w:val="221F1F"/>
          <w:spacing w:val="-5"/>
        </w:rPr>
        <w:t xml:space="preserve"> </w:t>
      </w:r>
      <w:r>
        <w:rPr>
          <w:color w:val="221F1F"/>
        </w:rPr>
        <w:t>execution,</w:t>
      </w:r>
      <w:r>
        <w:rPr>
          <w:color w:val="221F1F"/>
          <w:spacing w:val="-5"/>
        </w:rPr>
        <w:t xml:space="preserve"> and</w:t>
      </w:r>
    </w:p>
    <w:p w:rsidR="007F6DF9" w:rsidRDefault="00A43FBC">
      <w:pPr>
        <w:pStyle w:val="ListParagraph"/>
        <w:numPr>
          <w:ilvl w:val="3"/>
          <w:numId w:val="95"/>
        </w:numPr>
        <w:tabs>
          <w:tab w:val="left" w:pos="1874"/>
        </w:tabs>
        <w:spacing w:before="40" w:line="248" w:lineRule="exact"/>
        <w:ind w:left="1874" w:hanging="493"/>
        <w:jc w:val="both"/>
      </w:pPr>
      <w:r>
        <w:rPr>
          <w:color w:val="221F1F"/>
        </w:rPr>
        <w:t>the</w:t>
      </w:r>
      <w:r>
        <w:rPr>
          <w:color w:val="221F1F"/>
          <w:spacing w:val="-6"/>
        </w:rPr>
        <w:t xml:space="preserve"> </w:t>
      </w:r>
      <w:r>
        <w:rPr>
          <w:color w:val="221F1F"/>
        </w:rPr>
        <w:t>Contractor's</w:t>
      </w:r>
      <w:r>
        <w:rPr>
          <w:color w:val="221F1F"/>
          <w:spacing w:val="-4"/>
        </w:rPr>
        <w:t xml:space="preserve"> </w:t>
      </w:r>
      <w:r>
        <w:rPr>
          <w:color w:val="221F1F"/>
        </w:rPr>
        <w:t>proposals</w:t>
      </w:r>
      <w:r>
        <w:rPr>
          <w:color w:val="221F1F"/>
          <w:spacing w:val="-4"/>
        </w:rPr>
        <w:t xml:space="preserve"> </w:t>
      </w:r>
      <w:r>
        <w:rPr>
          <w:color w:val="221F1F"/>
        </w:rPr>
        <w:t>for</w:t>
      </w:r>
      <w:r>
        <w:rPr>
          <w:color w:val="221F1F"/>
          <w:spacing w:val="-5"/>
        </w:rPr>
        <w:t xml:space="preserve"> </w:t>
      </w:r>
      <w:r>
        <w:rPr>
          <w:color w:val="221F1F"/>
        </w:rPr>
        <w:t>any</w:t>
      </w:r>
      <w:r>
        <w:rPr>
          <w:color w:val="221F1F"/>
          <w:spacing w:val="-7"/>
        </w:rPr>
        <w:t xml:space="preserve"> </w:t>
      </w:r>
      <w:r>
        <w:rPr>
          <w:color w:val="221F1F"/>
        </w:rPr>
        <w:t>necessary</w:t>
      </w:r>
      <w:r>
        <w:rPr>
          <w:color w:val="221F1F"/>
          <w:spacing w:val="-7"/>
        </w:rPr>
        <w:t xml:space="preserve"> </w:t>
      </w:r>
      <w:r>
        <w:rPr>
          <w:color w:val="221F1F"/>
        </w:rPr>
        <w:t>modifications</w:t>
      </w:r>
      <w:r>
        <w:rPr>
          <w:color w:val="221F1F"/>
          <w:spacing w:val="-4"/>
        </w:rPr>
        <w:t xml:space="preserve"> </w:t>
      </w:r>
      <w:r>
        <w:rPr>
          <w:color w:val="221F1F"/>
        </w:rPr>
        <w:t>to</w:t>
      </w:r>
      <w:r>
        <w:rPr>
          <w:color w:val="221F1F"/>
          <w:spacing w:val="-8"/>
        </w:rPr>
        <w:t xml:space="preserve"> </w:t>
      </w:r>
      <w:r>
        <w:rPr>
          <w:color w:val="221F1F"/>
        </w:rPr>
        <w:t>the</w:t>
      </w:r>
      <w:r>
        <w:rPr>
          <w:color w:val="221F1F"/>
          <w:spacing w:val="-5"/>
        </w:rPr>
        <w:t xml:space="preserve"> </w:t>
      </w:r>
      <w:proofErr w:type="spellStart"/>
      <w:r>
        <w:rPr>
          <w:color w:val="221F1F"/>
        </w:rPr>
        <w:t>Programme</w:t>
      </w:r>
      <w:proofErr w:type="spellEnd"/>
      <w:r>
        <w:rPr>
          <w:color w:val="221F1F"/>
          <w:spacing w:val="-4"/>
        </w:rPr>
        <w:t xml:space="preserve"> </w:t>
      </w:r>
      <w:r>
        <w:rPr>
          <w:color w:val="221F1F"/>
        </w:rPr>
        <w:t>according</w:t>
      </w:r>
      <w:r>
        <w:rPr>
          <w:color w:val="221F1F"/>
          <w:spacing w:val="-7"/>
        </w:rPr>
        <w:t xml:space="preserve"> </w:t>
      </w:r>
      <w:r>
        <w:rPr>
          <w:color w:val="221F1F"/>
        </w:rPr>
        <w:t>to</w:t>
      </w:r>
      <w:r>
        <w:rPr>
          <w:color w:val="221F1F"/>
          <w:spacing w:val="-6"/>
        </w:rPr>
        <w:t xml:space="preserve"> </w:t>
      </w:r>
      <w:r>
        <w:rPr>
          <w:color w:val="221F1F"/>
        </w:rPr>
        <w:t>Sub-</w:t>
      </w:r>
      <w:r>
        <w:rPr>
          <w:color w:val="221F1F"/>
          <w:spacing w:val="-2"/>
        </w:rPr>
        <w:t>Clause</w:t>
      </w:r>
    </w:p>
    <w:p w:rsidR="007F6DF9" w:rsidRDefault="00A43FBC">
      <w:pPr>
        <w:pStyle w:val="BodyText"/>
        <w:spacing w:line="248" w:lineRule="exact"/>
        <w:ind w:left="1882"/>
        <w:jc w:val="both"/>
      </w:pPr>
      <w:r>
        <w:rPr>
          <w:color w:val="221F1F"/>
        </w:rPr>
        <w:t>8.3</w:t>
      </w:r>
      <w:r>
        <w:rPr>
          <w:color w:val="221F1F"/>
          <w:spacing w:val="-3"/>
        </w:rPr>
        <w:t xml:space="preserve"> </w:t>
      </w:r>
      <w:r>
        <w:rPr>
          <w:color w:val="221F1F"/>
        </w:rPr>
        <w:t>or</w:t>
      </w:r>
      <w:r>
        <w:rPr>
          <w:color w:val="221F1F"/>
          <w:spacing w:val="-4"/>
        </w:rPr>
        <w:t xml:space="preserve"> </w:t>
      </w:r>
      <w:r>
        <w:rPr>
          <w:color w:val="221F1F"/>
        </w:rPr>
        <w:t>to</w:t>
      </w:r>
      <w:r>
        <w:rPr>
          <w:color w:val="221F1F"/>
          <w:spacing w:val="-2"/>
        </w:rPr>
        <w:t xml:space="preserve"> </w:t>
      </w:r>
      <w:r>
        <w:rPr>
          <w:color w:val="221F1F"/>
        </w:rPr>
        <w:t>any</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1"/>
        </w:rPr>
        <w:t xml:space="preserve"> </w:t>
      </w:r>
      <w:r>
        <w:rPr>
          <w:color w:val="221F1F"/>
        </w:rPr>
        <w:t>obligations</w:t>
      </w:r>
      <w:r>
        <w:rPr>
          <w:color w:val="221F1F"/>
          <w:spacing w:val="-1"/>
        </w:rPr>
        <w:t xml:space="preserve"> </w:t>
      </w:r>
      <w:r>
        <w:rPr>
          <w:color w:val="221F1F"/>
        </w:rPr>
        <w:t>under</w:t>
      </w:r>
      <w:r>
        <w:rPr>
          <w:color w:val="221F1F"/>
          <w:spacing w:val="-3"/>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spacing w:val="-5"/>
        </w:rPr>
        <w:t>and</w:t>
      </w:r>
    </w:p>
    <w:p w:rsidR="007F6DF9" w:rsidRDefault="00A43FBC">
      <w:pPr>
        <w:pStyle w:val="ListParagraph"/>
        <w:numPr>
          <w:ilvl w:val="3"/>
          <w:numId w:val="95"/>
        </w:numPr>
        <w:tabs>
          <w:tab w:val="left" w:pos="1908"/>
        </w:tabs>
        <w:spacing w:before="40"/>
        <w:ind w:left="1908" w:hanging="527"/>
        <w:jc w:val="both"/>
      </w:pPr>
      <w:r>
        <w:rPr>
          <w:color w:val="221F1F"/>
        </w:rPr>
        <w:t>the</w:t>
      </w:r>
      <w:r>
        <w:rPr>
          <w:color w:val="221F1F"/>
          <w:spacing w:val="-4"/>
        </w:rPr>
        <w:t xml:space="preserve"> </w:t>
      </w:r>
      <w:r>
        <w:rPr>
          <w:color w:val="221F1F"/>
        </w:rPr>
        <w:t>Contractor's</w:t>
      </w:r>
      <w:r>
        <w:rPr>
          <w:color w:val="221F1F"/>
          <w:spacing w:val="-4"/>
        </w:rPr>
        <w:t xml:space="preserve"> </w:t>
      </w:r>
      <w:r>
        <w:rPr>
          <w:color w:val="221F1F"/>
        </w:rPr>
        <w:t>proposals</w:t>
      </w:r>
      <w:r>
        <w:rPr>
          <w:color w:val="221F1F"/>
          <w:spacing w:val="-3"/>
        </w:rPr>
        <w:t xml:space="preserve"> </w:t>
      </w:r>
      <w:r>
        <w:rPr>
          <w:color w:val="221F1F"/>
        </w:rPr>
        <w:t>for</w:t>
      </w:r>
      <w:r>
        <w:rPr>
          <w:color w:val="221F1F"/>
          <w:spacing w:val="-3"/>
        </w:rPr>
        <w:t xml:space="preserve"> </w:t>
      </w:r>
      <w:r>
        <w:rPr>
          <w:color w:val="221F1F"/>
        </w:rPr>
        <w:t>adjustment</w:t>
      </w:r>
      <w:r>
        <w:rPr>
          <w:color w:val="221F1F"/>
          <w:spacing w:val="-5"/>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spacing w:val="-2"/>
        </w:rPr>
        <w:t>Price.</w:t>
      </w:r>
    </w:p>
    <w:p w:rsidR="007F6DF9" w:rsidRDefault="00A43FBC">
      <w:pPr>
        <w:pStyle w:val="BodyText"/>
        <w:spacing w:before="243" w:line="230" w:lineRule="auto"/>
        <w:ind w:left="1371" w:right="560" w:firstLine="7"/>
        <w:jc w:val="both"/>
      </w:pPr>
      <w:r>
        <w:rPr>
          <w:color w:val="221F1F"/>
        </w:rPr>
        <w:t>Following the receipt of the Contractor's submission the Architect shall, after due consultation with the Employer and the Contractor, decide as soon as possible whether or not the variation shall be carried out. If the</w:t>
      </w:r>
      <w:r>
        <w:rPr>
          <w:color w:val="221F1F"/>
          <w:spacing w:val="-4"/>
        </w:rPr>
        <w:t xml:space="preserve"> </w:t>
      </w:r>
      <w:r>
        <w:rPr>
          <w:color w:val="221F1F"/>
        </w:rPr>
        <w:t>Architect</w:t>
      </w:r>
      <w:r>
        <w:rPr>
          <w:color w:val="221F1F"/>
          <w:spacing w:val="-3"/>
        </w:rPr>
        <w:t xml:space="preserve"> </w:t>
      </w:r>
      <w:r>
        <w:rPr>
          <w:color w:val="221F1F"/>
        </w:rPr>
        <w:t>decides</w:t>
      </w:r>
      <w:r>
        <w:rPr>
          <w:color w:val="221F1F"/>
          <w:spacing w:val="-3"/>
        </w:rPr>
        <w:t xml:space="preserve"> </w:t>
      </w:r>
      <w:r>
        <w:rPr>
          <w:color w:val="221F1F"/>
        </w:rPr>
        <w:t>that</w:t>
      </w:r>
      <w:r>
        <w:rPr>
          <w:color w:val="221F1F"/>
          <w:spacing w:val="-2"/>
        </w:rPr>
        <w:t xml:space="preserve"> </w:t>
      </w:r>
      <w:r>
        <w:rPr>
          <w:color w:val="221F1F"/>
        </w:rPr>
        <w:t>the</w:t>
      </w:r>
      <w:r>
        <w:rPr>
          <w:color w:val="221F1F"/>
          <w:spacing w:val="-4"/>
        </w:rPr>
        <w:t xml:space="preserve"> </w:t>
      </w:r>
      <w:r>
        <w:rPr>
          <w:color w:val="221F1F"/>
        </w:rPr>
        <w:t>variation</w:t>
      </w:r>
      <w:r>
        <w:rPr>
          <w:color w:val="221F1F"/>
          <w:spacing w:val="-5"/>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carried</w:t>
      </w:r>
      <w:r>
        <w:rPr>
          <w:color w:val="221F1F"/>
          <w:spacing w:val="-5"/>
        </w:rPr>
        <w:t xml:space="preserve"> </w:t>
      </w:r>
      <w:r>
        <w:rPr>
          <w:color w:val="221F1F"/>
        </w:rPr>
        <w:t>out,</w:t>
      </w:r>
      <w:r>
        <w:rPr>
          <w:color w:val="221F1F"/>
          <w:spacing w:val="-4"/>
        </w:rPr>
        <w:t xml:space="preserve"> </w:t>
      </w:r>
      <w:r>
        <w:rPr>
          <w:color w:val="221F1F"/>
        </w:rPr>
        <w:t>he</w:t>
      </w:r>
      <w:r>
        <w:rPr>
          <w:color w:val="221F1F"/>
          <w:spacing w:val="-4"/>
        </w:rPr>
        <w:t xml:space="preserve"> </w:t>
      </w:r>
      <w:r>
        <w:rPr>
          <w:color w:val="221F1F"/>
        </w:rPr>
        <w:t>shall</w:t>
      </w:r>
      <w:r>
        <w:rPr>
          <w:color w:val="221F1F"/>
          <w:spacing w:val="-3"/>
        </w:rPr>
        <w:t xml:space="preserve"> </w:t>
      </w:r>
      <w:r>
        <w:rPr>
          <w:color w:val="221F1F"/>
        </w:rPr>
        <w:t>issue</w:t>
      </w:r>
      <w:r>
        <w:rPr>
          <w:color w:val="221F1F"/>
          <w:spacing w:val="-3"/>
        </w:rPr>
        <w:t xml:space="preserve"> </w:t>
      </w:r>
      <w:r>
        <w:rPr>
          <w:color w:val="221F1F"/>
        </w:rPr>
        <w:t>a</w:t>
      </w:r>
      <w:r>
        <w:rPr>
          <w:color w:val="221F1F"/>
          <w:spacing w:val="-4"/>
        </w:rPr>
        <w:t xml:space="preserve"> </w:t>
      </w:r>
      <w:r>
        <w:rPr>
          <w:color w:val="221F1F"/>
        </w:rPr>
        <w:t>Variation</w:t>
      </w:r>
      <w:r>
        <w:rPr>
          <w:color w:val="221F1F"/>
          <w:spacing w:val="-8"/>
        </w:rPr>
        <w:t xml:space="preserve"> </w:t>
      </w:r>
      <w:r>
        <w:rPr>
          <w:color w:val="221F1F"/>
        </w:rPr>
        <w:t>Order</w:t>
      </w:r>
      <w:r>
        <w:rPr>
          <w:color w:val="221F1F"/>
          <w:spacing w:val="-3"/>
        </w:rPr>
        <w:t xml:space="preserve"> </w:t>
      </w:r>
      <w:r>
        <w:rPr>
          <w:color w:val="221F1F"/>
        </w:rPr>
        <w:t>clearly</w:t>
      </w:r>
      <w:r>
        <w:rPr>
          <w:color w:val="221F1F"/>
          <w:spacing w:val="-4"/>
        </w:rPr>
        <w:t xml:space="preserve"> </w:t>
      </w:r>
      <w:r>
        <w:rPr>
          <w:color w:val="221F1F"/>
        </w:rPr>
        <w:t>identified as such in accordance with the Contractor's submission or as modified by agreement.</w:t>
      </w:r>
    </w:p>
    <w:p w:rsidR="007F6DF9" w:rsidRDefault="00A43FBC">
      <w:pPr>
        <w:pStyle w:val="BodyText"/>
        <w:spacing w:before="245" w:line="230" w:lineRule="auto"/>
        <w:ind w:left="1371" w:right="535" w:firstLine="7"/>
        <w:jc w:val="both"/>
      </w:pPr>
      <w:r>
        <w:rPr>
          <w:color w:val="221F1F"/>
        </w:rPr>
        <w:t>If</w:t>
      </w:r>
      <w:r>
        <w:rPr>
          <w:color w:val="221F1F"/>
          <w:spacing w:val="-2"/>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are</w:t>
      </w:r>
      <w:r>
        <w:rPr>
          <w:color w:val="221F1F"/>
          <w:spacing w:val="-2"/>
        </w:rPr>
        <w:t xml:space="preserve"> </w:t>
      </w:r>
      <w:r>
        <w:rPr>
          <w:color w:val="221F1F"/>
        </w:rPr>
        <w:t>unable</w:t>
      </w:r>
      <w:r>
        <w:rPr>
          <w:color w:val="221F1F"/>
          <w:spacing w:val="-2"/>
        </w:rPr>
        <w:t xml:space="preserve"> </w:t>
      </w:r>
      <w:r>
        <w:rPr>
          <w:color w:val="221F1F"/>
        </w:rPr>
        <w:t>to</w:t>
      </w:r>
      <w:r>
        <w:rPr>
          <w:color w:val="221F1F"/>
          <w:spacing w:val="-2"/>
        </w:rPr>
        <w:t xml:space="preserve"> </w:t>
      </w:r>
      <w:r>
        <w:rPr>
          <w:color w:val="221F1F"/>
        </w:rPr>
        <w:t>agree</w:t>
      </w:r>
      <w:r>
        <w:rPr>
          <w:color w:val="221F1F"/>
          <w:spacing w:val="-4"/>
        </w:rPr>
        <w:t xml:space="preserve"> </w:t>
      </w:r>
      <w:r>
        <w:rPr>
          <w:color w:val="221F1F"/>
        </w:rPr>
        <w:t>the</w:t>
      </w:r>
      <w:r>
        <w:rPr>
          <w:color w:val="221F1F"/>
          <w:spacing w:val="-2"/>
        </w:rPr>
        <w:t xml:space="preserve"> </w:t>
      </w:r>
      <w:r>
        <w:rPr>
          <w:color w:val="221F1F"/>
        </w:rPr>
        <w:t>adjustment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5"/>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 Sub-Clause 13.2.2 shall apply.</w:t>
      </w:r>
    </w:p>
    <w:p w:rsidR="007F6DF9" w:rsidRDefault="00A43FBC">
      <w:pPr>
        <w:pStyle w:val="Heading9"/>
        <w:numPr>
          <w:ilvl w:val="2"/>
          <w:numId w:val="95"/>
        </w:numPr>
        <w:tabs>
          <w:tab w:val="left" w:pos="1378"/>
        </w:tabs>
        <w:spacing w:before="236"/>
        <w:ind w:left="1378" w:hanging="667"/>
        <w:rPr>
          <w:color w:val="221F1F"/>
        </w:rPr>
      </w:pPr>
      <w:r>
        <w:rPr>
          <w:color w:val="221F1F"/>
        </w:rPr>
        <w:t>Disagreement</w:t>
      </w:r>
      <w:r>
        <w:rPr>
          <w:color w:val="221F1F"/>
          <w:spacing w:val="-5"/>
        </w:rPr>
        <w:t xml:space="preserve"> </w:t>
      </w:r>
      <w:r>
        <w:rPr>
          <w:color w:val="221F1F"/>
        </w:rPr>
        <w:t>on</w:t>
      </w:r>
      <w:r>
        <w:rPr>
          <w:color w:val="221F1F"/>
          <w:spacing w:val="-4"/>
        </w:rPr>
        <w:t xml:space="preserve"> </w:t>
      </w:r>
      <w:r>
        <w:rPr>
          <w:color w:val="221F1F"/>
        </w:rPr>
        <w:t>Adjustment</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spacing w:val="-4"/>
        </w:rPr>
        <w:t>Price</w:t>
      </w:r>
    </w:p>
    <w:p w:rsidR="007F6DF9" w:rsidRDefault="00A43FBC">
      <w:pPr>
        <w:pStyle w:val="BodyText"/>
        <w:spacing w:before="161" w:line="230" w:lineRule="auto"/>
        <w:ind w:left="1366" w:right="565"/>
        <w:jc w:val="both"/>
      </w:pPr>
      <w:r>
        <w:rPr>
          <w:color w:val="221F1F"/>
        </w:rPr>
        <w:t>If</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and</w:t>
      </w:r>
      <w:r>
        <w:rPr>
          <w:color w:val="221F1F"/>
          <w:spacing w:val="-6"/>
        </w:rPr>
        <w:t xml:space="preserve"> </w:t>
      </w:r>
      <w:r>
        <w:rPr>
          <w:color w:val="221F1F"/>
        </w:rPr>
        <w:t>the</w:t>
      </w:r>
      <w:r>
        <w:rPr>
          <w:color w:val="221F1F"/>
          <w:spacing w:val="-5"/>
        </w:rPr>
        <w:t xml:space="preserve"> </w:t>
      </w:r>
      <w:r>
        <w:rPr>
          <w:color w:val="221F1F"/>
        </w:rPr>
        <w:t>Architecture</w:t>
      </w:r>
      <w:r>
        <w:rPr>
          <w:color w:val="221F1F"/>
          <w:spacing w:val="-4"/>
        </w:rPr>
        <w:t xml:space="preserve"> </w:t>
      </w:r>
      <w:r>
        <w:rPr>
          <w:color w:val="221F1F"/>
        </w:rPr>
        <w:t>unable</w:t>
      </w:r>
      <w:r>
        <w:rPr>
          <w:color w:val="221F1F"/>
          <w:spacing w:val="-6"/>
        </w:rPr>
        <w:t xml:space="preserve"> </w:t>
      </w:r>
      <w:r>
        <w:rPr>
          <w:color w:val="221F1F"/>
        </w:rPr>
        <w:t>to</w:t>
      </w:r>
      <w:r>
        <w:rPr>
          <w:color w:val="221F1F"/>
          <w:spacing w:val="-8"/>
        </w:rPr>
        <w:t xml:space="preserve"> </w:t>
      </w:r>
      <w:r>
        <w:rPr>
          <w:color w:val="221F1F"/>
        </w:rPr>
        <w:t>agree</w:t>
      </w:r>
      <w:r>
        <w:rPr>
          <w:color w:val="221F1F"/>
          <w:spacing w:val="-5"/>
        </w:rPr>
        <w:t xml:space="preserve"> </w:t>
      </w:r>
      <w:r>
        <w:rPr>
          <w:color w:val="221F1F"/>
        </w:rPr>
        <w:t>on</w:t>
      </w:r>
      <w:r>
        <w:rPr>
          <w:color w:val="221F1F"/>
          <w:spacing w:val="-6"/>
        </w:rPr>
        <w:t xml:space="preserve"> </w:t>
      </w:r>
      <w:r>
        <w:rPr>
          <w:color w:val="221F1F"/>
        </w:rPr>
        <w:t>the</w:t>
      </w:r>
      <w:r>
        <w:rPr>
          <w:color w:val="221F1F"/>
          <w:spacing w:val="-6"/>
        </w:rPr>
        <w:t xml:space="preserve"> </w:t>
      </w:r>
      <w:r>
        <w:rPr>
          <w:color w:val="221F1F"/>
        </w:rPr>
        <w:t>adjustment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w:t>
      </w:r>
      <w:r>
        <w:rPr>
          <w:color w:val="221F1F"/>
          <w:spacing w:val="-4"/>
        </w:rPr>
        <w:t xml:space="preserve"> </w:t>
      </w:r>
      <w:r>
        <w:rPr>
          <w:color w:val="221F1F"/>
        </w:rPr>
        <w:t>Price,</w:t>
      </w:r>
      <w:r>
        <w:rPr>
          <w:color w:val="221F1F"/>
          <w:spacing w:val="-5"/>
        </w:rPr>
        <w:t xml:space="preserve"> </w:t>
      </w:r>
      <w:r>
        <w:rPr>
          <w:color w:val="221F1F"/>
        </w:rPr>
        <w:t>the</w:t>
      </w:r>
      <w:r>
        <w:rPr>
          <w:color w:val="221F1F"/>
          <w:spacing w:val="-6"/>
        </w:rPr>
        <w:t xml:space="preserve"> </w:t>
      </w:r>
      <w:r>
        <w:rPr>
          <w:color w:val="221F1F"/>
        </w:rPr>
        <w:t>adjustment shall be determined in</w:t>
      </w:r>
      <w:r>
        <w:rPr>
          <w:color w:val="221F1F"/>
          <w:spacing w:val="-2"/>
        </w:rPr>
        <w:t xml:space="preserve"> </w:t>
      </w:r>
      <w:r>
        <w:rPr>
          <w:color w:val="221F1F"/>
        </w:rPr>
        <w:t>accordance with the rates</w:t>
      </w:r>
      <w:r>
        <w:rPr>
          <w:color w:val="221F1F"/>
          <w:spacing w:val="-2"/>
        </w:rPr>
        <w:t xml:space="preserve"> </w:t>
      </w:r>
      <w:r>
        <w:rPr>
          <w:color w:val="221F1F"/>
        </w:rPr>
        <w:t>specified in</w:t>
      </w:r>
      <w:r>
        <w:rPr>
          <w:color w:val="221F1F"/>
          <w:spacing w:val="-2"/>
        </w:rPr>
        <w:t xml:space="preserve"> </w:t>
      </w:r>
      <w:r>
        <w:rPr>
          <w:color w:val="221F1F"/>
        </w:rPr>
        <w:t xml:space="preserve">the Bills of Quantities or Schedule of </w:t>
      </w:r>
      <w:proofErr w:type="spellStart"/>
      <w:r>
        <w:rPr>
          <w:color w:val="221F1F"/>
        </w:rPr>
        <w:t>Daywork</w:t>
      </w:r>
      <w:proofErr w:type="spellEnd"/>
      <w:r>
        <w:rPr>
          <w:color w:val="221F1F"/>
        </w:rPr>
        <w:t xml:space="preserve"> Prices. If the rates contained in the Bills of Quantities or </w:t>
      </w:r>
      <w:proofErr w:type="spellStart"/>
      <w:r>
        <w:rPr>
          <w:color w:val="221F1F"/>
        </w:rPr>
        <w:t>Dayworks</w:t>
      </w:r>
      <w:proofErr w:type="spellEnd"/>
      <w:r>
        <w:rPr>
          <w:color w:val="221F1F"/>
        </w:rPr>
        <w:t xml:space="preserve"> Prices are not directly applicable to the specific</w:t>
      </w:r>
      <w:r>
        <w:rPr>
          <w:color w:val="221F1F"/>
          <w:spacing w:val="-3"/>
        </w:rPr>
        <w:t xml:space="preserve"> </w:t>
      </w:r>
      <w:r>
        <w:rPr>
          <w:color w:val="221F1F"/>
        </w:rPr>
        <w:t>work</w:t>
      </w:r>
      <w:r>
        <w:rPr>
          <w:color w:val="221F1F"/>
          <w:spacing w:val="-3"/>
        </w:rPr>
        <w:t xml:space="preserve"> </w:t>
      </w:r>
      <w:r>
        <w:rPr>
          <w:color w:val="221F1F"/>
        </w:rPr>
        <w:t>in</w:t>
      </w:r>
      <w:r>
        <w:rPr>
          <w:color w:val="221F1F"/>
          <w:spacing w:val="-3"/>
        </w:rPr>
        <w:t xml:space="preserve"> </w:t>
      </w:r>
      <w:r>
        <w:rPr>
          <w:color w:val="221F1F"/>
        </w:rPr>
        <w:t>question,</w:t>
      </w:r>
      <w:r>
        <w:rPr>
          <w:color w:val="221F1F"/>
          <w:spacing w:val="-2"/>
        </w:rPr>
        <w:t xml:space="preserve"> </w:t>
      </w:r>
      <w:r>
        <w:rPr>
          <w:color w:val="221F1F"/>
        </w:rPr>
        <w:t>suitable</w:t>
      </w:r>
      <w:r>
        <w:rPr>
          <w:color w:val="221F1F"/>
          <w:spacing w:val="-3"/>
        </w:rPr>
        <w:t xml:space="preserve"> </w:t>
      </w:r>
      <w:r>
        <w:rPr>
          <w:color w:val="221F1F"/>
        </w:rPr>
        <w:t>rates</w:t>
      </w:r>
      <w:r>
        <w:rPr>
          <w:color w:val="221F1F"/>
          <w:spacing w:val="-4"/>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established</w:t>
      </w:r>
      <w:r>
        <w:rPr>
          <w:color w:val="221F1F"/>
          <w:spacing w:val="-2"/>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reflecting</w:t>
      </w:r>
      <w:r>
        <w:rPr>
          <w:color w:val="221F1F"/>
          <w:spacing w:val="-5"/>
        </w:rPr>
        <w:t xml:space="preserve"> </w:t>
      </w:r>
      <w:r>
        <w:rPr>
          <w:color w:val="221F1F"/>
        </w:rPr>
        <w:t>the</w:t>
      </w:r>
      <w:r>
        <w:rPr>
          <w:color w:val="221F1F"/>
          <w:spacing w:val="-5"/>
        </w:rPr>
        <w:t xml:space="preserve"> </w:t>
      </w:r>
      <w:r>
        <w:rPr>
          <w:color w:val="221F1F"/>
        </w:rPr>
        <w:t>level</w:t>
      </w:r>
      <w:r>
        <w:rPr>
          <w:color w:val="221F1F"/>
          <w:spacing w:val="-2"/>
        </w:rPr>
        <w:t xml:space="preserve"> </w:t>
      </w:r>
      <w:r>
        <w:rPr>
          <w:color w:val="221F1F"/>
        </w:rPr>
        <w:t>of</w:t>
      </w:r>
      <w:r>
        <w:rPr>
          <w:color w:val="221F1F"/>
          <w:spacing w:val="-2"/>
        </w:rPr>
        <w:t xml:space="preserve"> </w:t>
      </w:r>
      <w:r>
        <w:rPr>
          <w:color w:val="221F1F"/>
        </w:rPr>
        <w:t>pricing</w:t>
      </w:r>
      <w:r>
        <w:rPr>
          <w:color w:val="221F1F"/>
          <w:spacing w:val="-5"/>
        </w:rPr>
        <w:t xml:space="preserve"> </w:t>
      </w:r>
      <w:r>
        <w:rPr>
          <w:color w:val="221F1F"/>
        </w:rPr>
        <w:t xml:space="preserve">in the </w:t>
      </w:r>
      <w:proofErr w:type="spellStart"/>
      <w:r>
        <w:rPr>
          <w:color w:val="221F1F"/>
        </w:rPr>
        <w:t>Dayworks</w:t>
      </w:r>
      <w:proofErr w:type="spellEnd"/>
      <w:r>
        <w:rPr>
          <w:color w:val="221F1F"/>
        </w:rPr>
        <w:t xml:space="preserve"> Prices. Where rates are not contained in the said Prices, the amount shall be such as is in all the circumstances reasonable, reflecting a market price. Due account shall be taken of any over-or under-recovery</w:t>
      </w:r>
      <w:r>
        <w:rPr>
          <w:color w:val="221F1F"/>
          <w:spacing w:val="-12"/>
        </w:rPr>
        <w:t xml:space="preserve"> </w:t>
      </w:r>
      <w:r>
        <w:rPr>
          <w:color w:val="221F1F"/>
        </w:rPr>
        <w:t>of</w:t>
      </w:r>
      <w:r>
        <w:rPr>
          <w:color w:val="221F1F"/>
          <w:spacing w:val="-8"/>
        </w:rPr>
        <w:t xml:space="preserve"> </w:t>
      </w:r>
      <w:r>
        <w:rPr>
          <w:color w:val="221F1F"/>
        </w:rPr>
        <w:t>overheads</w:t>
      </w:r>
      <w:r>
        <w:rPr>
          <w:color w:val="221F1F"/>
          <w:spacing w:val="-8"/>
        </w:rPr>
        <w:t xml:space="preserve"> </w:t>
      </w:r>
      <w:r>
        <w:rPr>
          <w:color w:val="221F1F"/>
        </w:rPr>
        <w:t>by</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in</w:t>
      </w:r>
      <w:r>
        <w:rPr>
          <w:color w:val="221F1F"/>
          <w:spacing w:val="-9"/>
        </w:rPr>
        <w:t xml:space="preserve"> </w:t>
      </w:r>
      <w:r>
        <w:rPr>
          <w:color w:val="221F1F"/>
        </w:rPr>
        <w:t>consequence</w:t>
      </w:r>
      <w:r>
        <w:rPr>
          <w:color w:val="221F1F"/>
          <w:spacing w:val="-8"/>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variation.</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8"/>
        </w:rPr>
        <w:t xml:space="preserve"> </w:t>
      </w:r>
      <w:r>
        <w:rPr>
          <w:color w:val="221F1F"/>
        </w:rPr>
        <w:t>also</w:t>
      </w:r>
      <w:r>
        <w:rPr>
          <w:color w:val="221F1F"/>
          <w:spacing w:val="-11"/>
        </w:rPr>
        <w:t xml:space="preserve"> </w:t>
      </w:r>
      <w:r>
        <w:rPr>
          <w:color w:val="221F1F"/>
        </w:rPr>
        <w:t>be</w:t>
      </w:r>
      <w:r>
        <w:rPr>
          <w:color w:val="221F1F"/>
          <w:spacing w:val="-9"/>
        </w:rPr>
        <w:t xml:space="preserve"> </w:t>
      </w:r>
      <w:r>
        <w:rPr>
          <w:color w:val="221F1F"/>
        </w:rPr>
        <w:t>entitled to be paid:</w:t>
      </w:r>
    </w:p>
    <w:p w:rsidR="007F6DF9" w:rsidRDefault="00A43FBC">
      <w:pPr>
        <w:pStyle w:val="ListParagraph"/>
        <w:numPr>
          <w:ilvl w:val="3"/>
          <w:numId w:val="95"/>
        </w:numPr>
        <w:tabs>
          <w:tab w:val="left" w:pos="1872"/>
        </w:tabs>
        <w:spacing w:line="245" w:lineRule="exact"/>
        <w:ind w:left="1872" w:hanging="494"/>
      </w:pPr>
      <w:r>
        <w:rPr>
          <w:color w:val="221F1F"/>
        </w:rPr>
        <w:t>The</w:t>
      </w:r>
      <w:r>
        <w:rPr>
          <w:color w:val="221F1F"/>
          <w:spacing w:val="-6"/>
        </w:rPr>
        <w:t xml:space="preserve"> </w:t>
      </w:r>
      <w:r>
        <w:rPr>
          <w:color w:val="221F1F"/>
        </w:rPr>
        <w:t>cost</w:t>
      </w:r>
      <w:r>
        <w:rPr>
          <w:color w:val="221F1F"/>
          <w:spacing w:val="-2"/>
        </w:rPr>
        <w:t xml:space="preserve"> </w:t>
      </w:r>
      <w:r>
        <w:rPr>
          <w:color w:val="221F1F"/>
        </w:rPr>
        <w:t>of</w:t>
      </w:r>
      <w:r>
        <w:rPr>
          <w:color w:val="221F1F"/>
          <w:spacing w:val="-2"/>
        </w:rPr>
        <w:t xml:space="preserve"> </w:t>
      </w:r>
      <w:r>
        <w:rPr>
          <w:color w:val="221F1F"/>
        </w:rPr>
        <w:t>any</w:t>
      </w:r>
      <w:r>
        <w:rPr>
          <w:color w:val="221F1F"/>
          <w:spacing w:val="-6"/>
        </w:rPr>
        <w:t xml:space="preserve"> </w:t>
      </w:r>
      <w:r>
        <w:rPr>
          <w:color w:val="221F1F"/>
        </w:rPr>
        <w:t>partial</w:t>
      </w:r>
      <w:r>
        <w:rPr>
          <w:color w:val="221F1F"/>
          <w:spacing w:val="-4"/>
        </w:rPr>
        <w:t xml:space="preserve"> </w:t>
      </w:r>
      <w:r>
        <w:rPr>
          <w:color w:val="221F1F"/>
        </w:rPr>
        <w:t>execution</w:t>
      </w:r>
      <w:r>
        <w:rPr>
          <w:color w:val="221F1F"/>
          <w:spacing w:val="-3"/>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w:t>
      </w:r>
      <w:r>
        <w:rPr>
          <w:color w:val="221F1F"/>
          <w:spacing w:val="-13"/>
        </w:rPr>
        <w:t xml:space="preserve"> </w:t>
      </w:r>
      <w:proofErr w:type="spellStart"/>
      <w:r>
        <w:rPr>
          <w:color w:val="221F1F"/>
        </w:rPr>
        <w:t>srendered</w:t>
      </w:r>
      <w:proofErr w:type="spellEnd"/>
      <w:r>
        <w:rPr>
          <w:color w:val="221F1F"/>
          <w:spacing w:val="-3"/>
        </w:rPr>
        <w:t xml:space="preserve"> </w:t>
      </w:r>
      <w:r>
        <w:rPr>
          <w:color w:val="221F1F"/>
        </w:rPr>
        <w:t>useless</w:t>
      </w:r>
      <w:r>
        <w:rPr>
          <w:color w:val="221F1F"/>
          <w:spacing w:val="-4"/>
        </w:rPr>
        <w:t xml:space="preserve"> </w:t>
      </w:r>
      <w:r>
        <w:rPr>
          <w:color w:val="221F1F"/>
        </w:rPr>
        <w:t>by</w:t>
      </w:r>
      <w:r>
        <w:rPr>
          <w:color w:val="221F1F"/>
          <w:spacing w:val="-3"/>
        </w:rPr>
        <w:t xml:space="preserve"> </w:t>
      </w:r>
      <w:r>
        <w:rPr>
          <w:color w:val="221F1F"/>
        </w:rPr>
        <w:t>any</w:t>
      </w:r>
      <w:r>
        <w:rPr>
          <w:color w:val="221F1F"/>
          <w:spacing w:val="-3"/>
        </w:rPr>
        <w:t xml:space="preserve"> </w:t>
      </w:r>
      <w:r>
        <w:rPr>
          <w:color w:val="221F1F"/>
        </w:rPr>
        <w:t>such</w:t>
      </w:r>
      <w:r>
        <w:rPr>
          <w:color w:val="221F1F"/>
          <w:spacing w:val="-3"/>
        </w:rPr>
        <w:t xml:space="preserve"> </w:t>
      </w:r>
      <w:r>
        <w:rPr>
          <w:color w:val="221F1F"/>
          <w:spacing w:val="-2"/>
        </w:rPr>
        <w:t>variation,</w:t>
      </w:r>
    </w:p>
    <w:p w:rsidR="007F6DF9" w:rsidRDefault="00A43FBC">
      <w:pPr>
        <w:pStyle w:val="ListParagraph"/>
        <w:numPr>
          <w:ilvl w:val="3"/>
          <w:numId w:val="95"/>
        </w:numPr>
        <w:tabs>
          <w:tab w:val="left" w:pos="1872"/>
          <w:tab w:val="left" w:pos="1889"/>
        </w:tabs>
        <w:spacing w:before="4" w:line="230" w:lineRule="auto"/>
        <w:ind w:left="1889" w:right="621" w:hanging="512"/>
      </w:pPr>
      <w:proofErr w:type="spellStart"/>
      <w:r>
        <w:rPr>
          <w:color w:val="221F1F"/>
        </w:rPr>
        <w:t>Thecostof</w:t>
      </w:r>
      <w:proofErr w:type="spellEnd"/>
      <w:r>
        <w:rPr>
          <w:color w:val="221F1F"/>
          <w:spacing w:val="-3"/>
        </w:rPr>
        <w:t xml:space="preserve"> </w:t>
      </w:r>
      <w:r>
        <w:rPr>
          <w:color w:val="221F1F"/>
        </w:rPr>
        <w:t>making</w:t>
      </w:r>
      <w:r>
        <w:rPr>
          <w:color w:val="221F1F"/>
          <w:spacing w:val="-2"/>
        </w:rPr>
        <w:t xml:space="preserve"> </w:t>
      </w:r>
      <w:r>
        <w:rPr>
          <w:color w:val="221F1F"/>
        </w:rPr>
        <w:t>necessary</w:t>
      </w:r>
      <w:r>
        <w:rPr>
          <w:color w:val="221F1F"/>
          <w:spacing w:val="-1"/>
        </w:rPr>
        <w:t xml:space="preserve"> </w:t>
      </w:r>
      <w:r>
        <w:rPr>
          <w:color w:val="221F1F"/>
        </w:rPr>
        <w:t>alterations</w:t>
      </w:r>
      <w:r>
        <w:rPr>
          <w:color w:val="221F1F"/>
          <w:spacing w:val="-4"/>
        </w:rPr>
        <w:t xml:space="preserve"> </w:t>
      </w:r>
      <w:r>
        <w:rPr>
          <w:color w:val="221F1F"/>
        </w:rPr>
        <w:t>to</w:t>
      </w:r>
      <w:r>
        <w:rPr>
          <w:color w:val="221F1F"/>
          <w:spacing w:val="-2"/>
        </w:rPr>
        <w:t xml:space="preserve"> </w:t>
      </w:r>
      <w:r>
        <w:rPr>
          <w:color w:val="221F1F"/>
        </w:rPr>
        <w:t>Plant</w:t>
      </w:r>
      <w:r>
        <w:rPr>
          <w:color w:val="221F1F"/>
          <w:spacing w:val="-1"/>
        </w:rPr>
        <w:t xml:space="preserve"> </w:t>
      </w:r>
      <w:r>
        <w:rPr>
          <w:color w:val="221F1F"/>
        </w:rPr>
        <w:t>already</w:t>
      </w:r>
      <w:r>
        <w:rPr>
          <w:color w:val="221F1F"/>
          <w:spacing w:val="-2"/>
        </w:rPr>
        <w:t xml:space="preserve"> </w:t>
      </w:r>
      <w:r>
        <w:rPr>
          <w:color w:val="221F1F"/>
        </w:rPr>
        <w:t>manufactured</w:t>
      </w:r>
      <w:r>
        <w:rPr>
          <w:color w:val="221F1F"/>
          <w:spacing w:val="-3"/>
        </w:rPr>
        <w:t xml:space="preserve"> </w:t>
      </w:r>
      <w:r>
        <w:rPr>
          <w:color w:val="221F1F"/>
        </w:rPr>
        <w:t>or</w:t>
      </w:r>
      <w:r>
        <w:rPr>
          <w:color w:val="221F1F"/>
          <w:spacing w:val="-4"/>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course</w:t>
      </w:r>
      <w:r>
        <w:rPr>
          <w:color w:val="221F1F"/>
          <w:spacing w:val="-4"/>
        </w:rPr>
        <w:t xml:space="preserve"> </w:t>
      </w:r>
      <w:r>
        <w:rPr>
          <w:color w:val="221F1F"/>
        </w:rPr>
        <w:t>of</w:t>
      </w:r>
      <w:r>
        <w:rPr>
          <w:color w:val="221F1F"/>
          <w:spacing w:val="-4"/>
        </w:rPr>
        <w:t xml:space="preserve"> </w:t>
      </w:r>
      <w:r>
        <w:rPr>
          <w:color w:val="221F1F"/>
        </w:rPr>
        <w:t>manufacture or of any work done that has to be altered in consequence of such a variation,</w:t>
      </w:r>
    </w:p>
    <w:p w:rsidR="007F6DF9" w:rsidRDefault="00A43FBC">
      <w:pPr>
        <w:pStyle w:val="ListParagraph"/>
        <w:numPr>
          <w:ilvl w:val="3"/>
          <w:numId w:val="95"/>
        </w:numPr>
        <w:tabs>
          <w:tab w:val="left" w:pos="1872"/>
          <w:tab w:val="left" w:pos="1889"/>
        </w:tabs>
        <w:spacing w:line="230" w:lineRule="auto"/>
        <w:ind w:left="1889" w:right="1150" w:hanging="512"/>
      </w:pPr>
      <w:r>
        <w:rPr>
          <w:color w:val="221F1F"/>
        </w:rPr>
        <w:t>any</w:t>
      </w:r>
      <w:r>
        <w:rPr>
          <w:color w:val="221F1F"/>
          <w:spacing w:val="-3"/>
        </w:rPr>
        <w:t xml:space="preserve"> </w:t>
      </w:r>
      <w:r>
        <w:rPr>
          <w:color w:val="221F1F"/>
        </w:rPr>
        <w:t>additional</w:t>
      </w:r>
      <w:r>
        <w:rPr>
          <w:color w:val="221F1F"/>
          <w:spacing w:val="-4"/>
        </w:rPr>
        <w:t xml:space="preserve"> </w:t>
      </w:r>
      <w:r>
        <w:rPr>
          <w:color w:val="221F1F"/>
        </w:rPr>
        <w:t>costs</w:t>
      </w:r>
      <w:r>
        <w:rPr>
          <w:color w:val="221F1F"/>
          <w:spacing w:val="-2"/>
        </w:rPr>
        <w:t xml:space="preserve"> </w:t>
      </w:r>
      <w:r>
        <w:rPr>
          <w:color w:val="221F1F"/>
        </w:rPr>
        <w:t>incurred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disruption</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progress</w:t>
      </w:r>
      <w:r>
        <w:rPr>
          <w:color w:val="221F1F"/>
          <w:spacing w:val="-4"/>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 xml:space="preserve">as detailed in the </w:t>
      </w:r>
      <w:proofErr w:type="spellStart"/>
      <w:r>
        <w:rPr>
          <w:color w:val="221F1F"/>
        </w:rPr>
        <w:t>Programme</w:t>
      </w:r>
      <w:proofErr w:type="spellEnd"/>
      <w:r>
        <w:rPr>
          <w:color w:val="221F1F"/>
        </w:rPr>
        <w:t>, and</w:t>
      </w:r>
    </w:p>
    <w:p w:rsidR="007F6DF9" w:rsidRDefault="00A43FBC">
      <w:pPr>
        <w:pStyle w:val="ListParagraph"/>
        <w:numPr>
          <w:ilvl w:val="3"/>
          <w:numId w:val="95"/>
        </w:numPr>
        <w:tabs>
          <w:tab w:val="left" w:pos="1872"/>
        </w:tabs>
        <w:ind w:left="1872" w:hanging="494"/>
      </w:pPr>
      <w:r>
        <w:rPr>
          <w:color w:val="221F1F"/>
        </w:rPr>
        <w:t>the</w:t>
      </w:r>
      <w:r>
        <w:rPr>
          <w:color w:val="221F1F"/>
          <w:spacing w:val="-5"/>
        </w:rPr>
        <w:t xml:space="preserve"> </w:t>
      </w:r>
      <w:r>
        <w:rPr>
          <w:color w:val="221F1F"/>
        </w:rPr>
        <w:t>net</w:t>
      </w:r>
      <w:r>
        <w:rPr>
          <w:color w:val="221F1F"/>
          <w:spacing w:val="-3"/>
        </w:rPr>
        <w:t xml:space="preserve"> </w:t>
      </w:r>
      <w:r>
        <w:rPr>
          <w:color w:val="221F1F"/>
        </w:rPr>
        <w:t>effect</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Contractor's</w:t>
      </w:r>
      <w:r>
        <w:rPr>
          <w:color w:val="221F1F"/>
          <w:spacing w:val="-3"/>
        </w:rPr>
        <w:t xml:space="preserve"> </w:t>
      </w:r>
      <w:proofErr w:type="spellStart"/>
      <w:r>
        <w:rPr>
          <w:color w:val="221F1F"/>
        </w:rPr>
        <w:t>financec</w:t>
      </w:r>
      <w:proofErr w:type="spellEnd"/>
      <w:r>
        <w:rPr>
          <w:color w:val="221F1F"/>
          <w:spacing w:val="-3"/>
        </w:rPr>
        <w:t xml:space="preserve"> </w:t>
      </w:r>
      <w:proofErr w:type="spellStart"/>
      <w:r>
        <w:rPr>
          <w:color w:val="221F1F"/>
        </w:rPr>
        <w:t>osts</w:t>
      </w:r>
      <w:proofErr w:type="spellEnd"/>
      <w:r>
        <w:rPr>
          <w:color w:val="221F1F"/>
        </w:rPr>
        <w:t>,</w:t>
      </w:r>
      <w:r>
        <w:rPr>
          <w:color w:val="221F1F"/>
          <w:spacing w:val="-6"/>
        </w:rPr>
        <w:t xml:space="preserve"> </w:t>
      </w:r>
      <w:r>
        <w:rPr>
          <w:color w:val="221F1F"/>
        </w:rPr>
        <w:t>including</w:t>
      </w:r>
      <w:r>
        <w:rPr>
          <w:color w:val="221F1F"/>
          <w:spacing w:val="-4"/>
        </w:rPr>
        <w:t xml:space="preserve"> </w:t>
      </w:r>
      <w:r>
        <w:rPr>
          <w:color w:val="221F1F"/>
        </w:rPr>
        <w:t>interest,</w:t>
      </w:r>
      <w:r>
        <w:rPr>
          <w:color w:val="221F1F"/>
          <w:spacing w:val="-4"/>
        </w:rPr>
        <w:t xml:space="preserve"> </w:t>
      </w:r>
      <w:r>
        <w:rPr>
          <w:color w:val="221F1F"/>
        </w:rPr>
        <w:t>caused</w:t>
      </w:r>
      <w:r>
        <w:rPr>
          <w:color w:val="221F1F"/>
          <w:spacing w:val="-6"/>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spacing w:val="-2"/>
        </w:rPr>
        <w:t>variation.</w:t>
      </w:r>
    </w:p>
    <w:p w:rsidR="007F6DF9" w:rsidRDefault="007F6DF9">
      <w:pPr>
        <w:pStyle w:val="BodyText"/>
        <w:spacing w:before="25"/>
      </w:pPr>
    </w:p>
    <w:p w:rsidR="007F6DF9" w:rsidRDefault="00A43FBC">
      <w:pPr>
        <w:pStyle w:val="BodyText"/>
        <w:spacing w:line="230" w:lineRule="auto"/>
        <w:ind w:left="1371" w:right="499" w:firstLine="7"/>
        <w:jc w:val="both"/>
      </w:pPr>
      <w:r>
        <w:rPr>
          <w:color w:val="221F1F"/>
        </w:rPr>
        <w:t>The</w:t>
      </w:r>
      <w:r>
        <w:rPr>
          <w:color w:val="221F1F"/>
          <w:spacing w:val="-1"/>
        </w:rPr>
        <w:t xml:space="preserve"> </w:t>
      </w:r>
      <w:r>
        <w:rPr>
          <w:color w:val="221F1F"/>
        </w:rPr>
        <w:t>Architect shall</w:t>
      </w:r>
      <w:r>
        <w:rPr>
          <w:color w:val="221F1F"/>
          <w:spacing w:val="-3"/>
        </w:rPr>
        <w:t xml:space="preserve"> </w:t>
      </w:r>
      <w:r>
        <w:rPr>
          <w:color w:val="221F1F"/>
        </w:rPr>
        <w:t>on</w:t>
      </w:r>
      <w:r>
        <w:rPr>
          <w:color w:val="221F1F"/>
          <w:spacing w:val="-1"/>
        </w:rPr>
        <w:t xml:space="preserve"> </w:t>
      </w:r>
      <w:r>
        <w:rPr>
          <w:color w:val="221F1F"/>
        </w:rPr>
        <w:t>this</w:t>
      </w:r>
      <w:r>
        <w:rPr>
          <w:color w:val="221F1F"/>
          <w:spacing w:val="-6"/>
        </w:rPr>
        <w:t xml:space="preserve"> </w:t>
      </w:r>
      <w:r>
        <w:rPr>
          <w:color w:val="221F1F"/>
        </w:rPr>
        <w:t>basis</w:t>
      </w:r>
      <w:r>
        <w:rPr>
          <w:color w:val="221F1F"/>
          <w:spacing w:val="-1"/>
        </w:rPr>
        <w:t xml:space="preserve"> </w:t>
      </w:r>
      <w:r>
        <w:rPr>
          <w:color w:val="221F1F"/>
        </w:rPr>
        <w:t>determine</w:t>
      </w:r>
      <w:r>
        <w:rPr>
          <w:color w:val="221F1F"/>
          <w:spacing w:val="-3"/>
        </w:rPr>
        <w:t xml:space="preserve"> </w:t>
      </w:r>
      <w:r>
        <w:rPr>
          <w:color w:val="221F1F"/>
        </w:rPr>
        <w:t>the</w:t>
      </w:r>
      <w:r>
        <w:rPr>
          <w:color w:val="221F1F"/>
          <w:spacing w:val="-3"/>
        </w:rPr>
        <w:t xml:space="preserve"> </w:t>
      </w:r>
      <w:r>
        <w:rPr>
          <w:color w:val="221F1F"/>
        </w:rPr>
        <w:t>rates</w:t>
      </w:r>
      <w:r>
        <w:rPr>
          <w:color w:val="221F1F"/>
          <w:spacing w:val="-3"/>
        </w:rPr>
        <w:t xml:space="preserve"> </w:t>
      </w:r>
      <w:r>
        <w:rPr>
          <w:color w:val="221F1F"/>
        </w:rPr>
        <w:t>or</w:t>
      </w:r>
      <w:r>
        <w:rPr>
          <w:color w:val="221F1F"/>
          <w:spacing w:val="-3"/>
        </w:rPr>
        <w:t xml:space="preserve"> </w:t>
      </w:r>
      <w:r>
        <w:rPr>
          <w:color w:val="221F1F"/>
        </w:rPr>
        <w:t>prices</w:t>
      </w:r>
      <w:r>
        <w:rPr>
          <w:color w:val="221F1F"/>
          <w:spacing w:val="-3"/>
        </w:rPr>
        <w:t xml:space="preserve"> </w:t>
      </w:r>
      <w:r>
        <w:rPr>
          <w:color w:val="221F1F"/>
        </w:rPr>
        <w:t>to</w:t>
      </w:r>
      <w:r>
        <w:rPr>
          <w:color w:val="221F1F"/>
          <w:spacing w:val="-1"/>
        </w:rPr>
        <w:t xml:space="preserve"> </w:t>
      </w:r>
      <w:r>
        <w:rPr>
          <w:color w:val="221F1F"/>
        </w:rPr>
        <w:t>enable</w:t>
      </w:r>
      <w:r>
        <w:rPr>
          <w:color w:val="221F1F"/>
          <w:spacing w:val="-1"/>
        </w:rPr>
        <w:t xml:space="preserve"> </w:t>
      </w:r>
      <w:r>
        <w:rPr>
          <w:color w:val="221F1F"/>
        </w:rPr>
        <w:t>on-account payment</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included</w:t>
      </w:r>
      <w:r>
        <w:rPr>
          <w:color w:val="221F1F"/>
          <w:spacing w:val="-1"/>
        </w:rPr>
        <w:t xml:space="preserve"> </w:t>
      </w:r>
      <w:r>
        <w:rPr>
          <w:color w:val="221F1F"/>
        </w:rPr>
        <w:t>in certificates of payment.</w:t>
      </w:r>
    </w:p>
    <w:p w:rsidR="007F6DF9" w:rsidRDefault="00A43FBC">
      <w:pPr>
        <w:pStyle w:val="Heading9"/>
        <w:numPr>
          <w:ilvl w:val="2"/>
          <w:numId w:val="95"/>
        </w:numPr>
        <w:tabs>
          <w:tab w:val="left" w:pos="1378"/>
        </w:tabs>
        <w:spacing w:before="236"/>
        <w:ind w:left="1378" w:hanging="667"/>
        <w:rPr>
          <w:color w:val="221F1F"/>
        </w:rPr>
      </w:pPr>
      <w:r>
        <w:rPr>
          <w:color w:val="221F1F"/>
        </w:rPr>
        <w:t>Contractor</w:t>
      </w:r>
      <w:r>
        <w:rPr>
          <w:color w:val="221F1F"/>
          <w:spacing w:val="-4"/>
        </w:rPr>
        <w:t xml:space="preserve"> </w:t>
      </w:r>
      <w:r>
        <w:rPr>
          <w:color w:val="221F1F"/>
        </w:rPr>
        <w:t>to</w:t>
      </w:r>
      <w:r>
        <w:rPr>
          <w:color w:val="221F1F"/>
          <w:spacing w:val="-2"/>
        </w:rPr>
        <w:t xml:space="preserve"> Proceed</w:t>
      </w:r>
    </w:p>
    <w:p w:rsidR="007F6DF9" w:rsidRDefault="00A43FBC">
      <w:pPr>
        <w:pStyle w:val="BodyText"/>
        <w:spacing w:before="243" w:line="230" w:lineRule="auto"/>
        <w:ind w:left="1371" w:right="561" w:firstLine="7"/>
        <w:jc w:val="both"/>
      </w:pPr>
      <w:r>
        <w:rPr>
          <w:color w:val="221F1F"/>
        </w:rPr>
        <w:t>On</w:t>
      </w:r>
      <w:r>
        <w:rPr>
          <w:color w:val="221F1F"/>
          <w:spacing w:val="-14"/>
        </w:rPr>
        <w:t xml:space="preserve"> </w:t>
      </w:r>
      <w:r>
        <w:rPr>
          <w:color w:val="221F1F"/>
        </w:rPr>
        <w:t>receipt</w:t>
      </w:r>
      <w:r>
        <w:rPr>
          <w:color w:val="221F1F"/>
          <w:spacing w:val="-14"/>
        </w:rPr>
        <w:t xml:space="preserve"> </w:t>
      </w:r>
      <w:r>
        <w:rPr>
          <w:color w:val="221F1F"/>
        </w:rPr>
        <w:t>of</w:t>
      </w:r>
      <w:r>
        <w:rPr>
          <w:color w:val="221F1F"/>
          <w:spacing w:val="-12"/>
        </w:rPr>
        <w:t xml:space="preserve"> </w:t>
      </w:r>
      <w:r>
        <w:rPr>
          <w:color w:val="221F1F"/>
        </w:rPr>
        <w:t>a</w:t>
      </w:r>
      <w:r>
        <w:rPr>
          <w:color w:val="221F1F"/>
          <w:spacing w:val="-14"/>
        </w:rPr>
        <w:t xml:space="preserve"> </w:t>
      </w:r>
      <w:r>
        <w:rPr>
          <w:color w:val="221F1F"/>
        </w:rPr>
        <w:t>Variation</w:t>
      </w:r>
      <w:r>
        <w:rPr>
          <w:color w:val="221F1F"/>
          <w:spacing w:val="-14"/>
        </w:rPr>
        <w:t xml:space="preserve"> </w:t>
      </w:r>
      <w:r>
        <w:rPr>
          <w:color w:val="221F1F"/>
        </w:rPr>
        <w:t>Order,</w:t>
      </w:r>
      <w:r>
        <w:rPr>
          <w:color w:val="221F1F"/>
          <w:spacing w:val="-13"/>
        </w:rPr>
        <w:t xml:space="preserve"> </w:t>
      </w:r>
      <w:r>
        <w:rPr>
          <w:color w:val="221F1F"/>
        </w:rPr>
        <w:t>the</w:t>
      </w:r>
      <w:r>
        <w:rPr>
          <w:color w:val="221F1F"/>
          <w:spacing w:val="-14"/>
        </w:rPr>
        <w:t xml:space="preserve"> </w:t>
      </w:r>
      <w:r>
        <w:rPr>
          <w:color w:val="221F1F"/>
        </w:rPr>
        <w:t>Contractor</w:t>
      </w:r>
      <w:r>
        <w:rPr>
          <w:color w:val="221F1F"/>
          <w:spacing w:val="-10"/>
        </w:rPr>
        <w:t xml:space="preserve"> </w:t>
      </w:r>
      <w:r>
        <w:rPr>
          <w:color w:val="221F1F"/>
        </w:rPr>
        <w:t>shall</w:t>
      </w:r>
      <w:r>
        <w:rPr>
          <w:color w:val="221F1F"/>
          <w:spacing w:val="-12"/>
        </w:rPr>
        <w:t xml:space="preserve"> </w:t>
      </w:r>
      <w:r>
        <w:rPr>
          <w:color w:val="221F1F"/>
        </w:rPr>
        <w:t>forth</w:t>
      </w:r>
      <w:r>
        <w:rPr>
          <w:color w:val="221F1F"/>
          <w:spacing w:val="-11"/>
        </w:rPr>
        <w:t xml:space="preserve"> </w:t>
      </w:r>
      <w:r>
        <w:rPr>
          <w:color w:val="221F1F"/>
        </w:rPr>
        <w:t>with</w:t>
      </w:r>
      <w:r>
        <w:rPr>
          <w:color w:val="221F1F"/>
          <w:spacing w:val="-12"/>
        </w:rPr>
        <w:t xml:space="preserve"> </w:t>
      </w:r>
      <w:r>
        <w:rPr>
          <w:color w:val="221F1F"/>
        </w:rPr>
        <w:t>proceed</w:t>
      </w:r>
      <w:r>
        <w:rPr>
          <w:color w:val="221F1F"/>
          <w:spacing w:val="-14"/>
        </w:rPr>
        <w:t xml:space="preserve"> </w:t>
      </w:r>
      <w:r>
        <w:rPr>
          <w:color w:val="221F1F"/>
        </w:rPr>
        <w:t>to</w:t>
      </w:r>
      <w:r>
        <w:rPr>
          <w:color w:val="221F1F"/>
          <w:spacing w:val="-14"/>
        </w:rPr>
        <w:t xml:space="preserve"> </w:t>
      </w:r>
      <w:r>
        <w:rPr>
          <w:color w:val="221F1F"/>
        </w:rPr>
        <w:t>carry</w:t>
      </w:r>
      <w:r>
        <w:rPr>
          <w:color w:val="221F1F"/>
          <w:spacing w:val="-14"/>
        </w:rPr>
        <w:t xml:space="preserve"> </w:t>
      </w:r>
      <w:r>
        <w:rPr>
          <w:color w:val="221F1F"/>
        </w:rPr>
        <w:t>out</w:t>
      </w:r>
      <w:r>
        <w:rPr>
          <w:color w:val="221F1F"/>
          <w:spacing w:val="-13"/>
        </w:rPr>
        <w:t xml:space="preserve"> </w:t>
      </w:r>
      <w:r>
        <w:rPr>
          <w:color w:val="221F1F"/>
        </w:rPr>
        <w:t>the</w:t>
      </w:r>
      <w:r>
        <w:rPr>
          <w:color w:val="221F1F"/>
          <w:spacing w:val="-12"/>
        </w:rPr>
        <w:t xml:space="preserve"> </w:t>
      </w:r>
      <w:r>
        <w:rPr>
          <w:color w:val="221F1F"/>
        </w:rPr>
        <w:t>variation</w:t>
      </w:r>
      <w:r>
        <w:rPr>
          <w:color w:val="221F1F"/>
          <w:spacing w:val="-14"/>
        </w:rPr>
        <w:t xml:space="preserve"> </w:t>
      </w:r>
      <w:r>
        <w:rPr>
          <w:color w:val="221F1F"/>
        </w:rPr>
        <w:t>and</w:t>
      </w:r>
      <w:r>
        <w:rPr>
          <w:color w:val="221F1F"/>
          <w:spacing w:val="-14"/>
        </w:rPr>
        <w:t xml:space="preserve"> </w:t>
      </w:r>
      <w:r>
        <w:rPr>
          <w:color w:val="221F1F"/>
        </w:rPr>
        <w:t>be</w:t>
      </w:r>
      <w:r>
        <w:rPr>
          <w:color w:val="221F1F"/>
          <w:spacing w:val="-14"/>
        </w:rPr>
        <w:t xml:space="preserve"> </w:t>
      </w:r>
      <w:r>
        <w:rPr>
          <w:color w:val="221F1F"/>
        </w:rPr>
        <w:t>bound to</w:t>
      </w:r>
      <w:r>
        <w:rPr>
          <w:color w:val="221F1F"/>
          <w:spacing w:val="-1"/>
        </w:rPr>
        <w:t xml:space="preserve"> </w:t>
      </w:r>
      <w:r>
        <w:rPr>
          <w:color w:val="221F1F"/>
        </w:rPr>
        <w:t>these</w:t>
      </w:r>
      <w:r>
        <w:rPr>
          <w:color w:val="221F1F"/>
          <w:spacing w:val="-3"/>
        </w:rPr>
        <w:t xml:space="preserve"> </w:t>
      </w:r>
      <w:r>
        <w:rPr>
          <w:color w:val="221F1F"/>
        </w:rPr>
        <w:t>Conditions</w:t>
      </w:r>
      <w:r>
        <w:rPr>
          <w:color w:val="221F1F"/>
          <w:spacing w:val="-3"/>
        </w:rPr>
        <w:t xml:space="preserve"> </w:t>
      </w:r>
      <w:r>
        <w:rPr>
          <w:color w:val="221F1F"/>
        </w:rPr>
        <w:t>in</w:t>
      </w:r>
      <w:r>
        <w:rPr>
          <w:color w:val="221F1F"/>
          <w:spacing w:val="-1"/>
        </w:rPr>
        <w:t xml:space="preserve"> </w:t>
      </w:r>
      <w:r>
        <w:rPr>
          <w:color w:val="221F1F"/>
        </w:rPr>
        <w:t>so</w:t>
      </w:r>
      <w:r>
        <w:rPr>
          <w:color w:val="221F1F"/>
          <w:spacing w:val="-1"/>
        </w:rPr>
        <w:t xml:space="preserve"> </w:t>
      </w:r>
      <w:r>
        <w:rPr>
          <w:color w:val="221F1F"/>
        </w:rPr>
        <w:t>doing</w:t>
      </w:r>
      <w:r>
        <w:rPr>
          <w:color w:val="221F1F"/>
          <w:spacing w:val="-1"/>
        </w:rPr>
        <w:t xml:space="preserve"> </w:t>
      </w:r>
      <w:r>
        <w:rPr>
          <w:color w:val="221F1F"/>
        </w:rPr>
        <w:t>as</w:t>
      </w:r>
      <w:r>
        <w:rPr>
          <w:color w:val="221F1F"/>
          <w:spacing w:val="-1"/>
        </w:rPr>
        <w:t xml:space="preserve"> </w:t>
      </w:r>
      <w:r>
        <w:rPr>
          <w:color w:val="221F1F"/>
        </w:rPr>
        <w:t>if</w:t>
      </w:r>
      <w:r>
        <w:rPr>
          <w:color w:val="221F1F"/>
          <w:spacing w:val="-1"/>
        </w:rPr>
        <w:t xml:space="preserve"> </w:t>
      </w:r>
      <w:r>
        <w:rPr>
          <w:color w:val="221F1F"/>
        </w:rPr>
        <w:t>such</w:t>
      </w:r>
      <w:r>
        <w:rPr>
          <w:color w:val="221F1F"/>
          <w:spacing w:val="-1"/>
        </w:rPr>
        <w:t xml:space="preserve"> </w:t>
      </w:r>
      <w:r>
        <w:rPr>
          <w:color w:val="221F1F"/>
        </w:rPr>
        <w:t>variation</w:t>
      </w:r>
      <w:r>
        <w:rPr>
          <w:color w:val="221F1F"/>
          <w:spacing w:val="-1"/>
        </w:rPr>
        <w:t xml:space="preserve"> </w:t>
      </w:r>
      <w:r>
        <w:rPr>
          <w:color w:val="221F1F"/>
        </w:rPr>
        <w:t>was</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4"/>
        </w:rPr>
        <w:t xml:space="preserve"> </w:t>
      </w:r>
      <w:r>
        <w:rPr>
          <w:color w:val="221F1F"/>
        </w:rPr>
        <w:t>work</w:t>
      </w:r>
      <w:r>
        <w:rPr>
          <w:color w:val="221F1F"/>
          <w:spacing w:val="-1"/>
        </w:rPr>
        <w:t xml:space="preserve"> </w:t>
      </w:r>
      <w:r>
        <w:rPr>
          <w:color w:val="221F1F"/>
        </w:rPr>
        <w:t>shall not be</w:t>
      </w:r>
      <w:r>
        <w:rPr>
          <w:color w:val="221F1F"/>
          <w:spacing w:val="-1"/>
        </w:rPr>
        <w:t xml:space="preserve"> </w:t>
      </w:r>
      <w:r>
        <w:rPr>
          <w:color w:val="221F1F"/>
        </w:rPr>
        <w:t>delayed pending</w:t>
      </w:r>
      <w:r>
        <w:rPr>
          <w:color w:val="221F1F"/>
          <w:spacing w:val="-8"/>
        </w:rPr>
        <w:t xml:space="preserve"> </w:t>
      </w:r>
      <w:r>
        <w:rPr>
          <w:color w:val="221F1F"/>
        </w:rPr>
        <w:t>the</w:t>
      </w:r>
      <w:r>
        <w:rPr>
          <w:color w:val="221F1F"/>
          <w:spacing w:val="-8"/>
        </w:rPr>
        <w:t xml:space="preserve"> </w:t>
      </w:r>
      <w:r>
        <w:rPr>
          <w:color w:val="221F1F"/>
        </w:rPr>
        <w:t>granting</w:t>
      </w:r>
      <w:r>
        <w:rPr>
          <w:color w:val="221F1F"/>
          <w:spacing w:val="-8"/>
        </w:rPr>
        <w:t xml:space="preserve"> </w:t>
      </w:r>
      <w:r>
        <w:rPr>
          <w:color w:val="221F1F"/>
        </w:rPr>
        <w:t>of</w:t>
      </w:r>
      <w:r>
        <w:rPr>
          <w:color w:val="221F1F"/>
          <w:spacing w:val="-8"/>
        </w:rPr>
        <w:t xml:space="preserve"> </w:t>
      </w:r>
      <w:r>
        <w:rPr>
          <w:color w:val="221F1F"/>
        </w:rPr>
        <w:t>an</w:t>
      </w:r>
      <w:r>
        <w:rPr>
          <w:color w:val="221F1F"/>
          <w:spacing w:val="-8"/>
        </w:rPr>
        <w:t xml:space="preserve"> </w:t>
      </w:r>
      <w:r>
        <w:rPr>
          <w:color w:val="221F1F"/>
        </w:rPr>
        <w:t>extension</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Time</w:t>
      </w:r>
      <w:r>
        <w:rPr>
          <w:color w:val="221F1F"/>
          <w:spacing w:val="-8"/>
        </w:rPr>
        <w:t xml:space="preserve"> </w:t>
      </w:r>
      <w:r>
        <w:rPr>
          <w:color w:val="221F1F"/>
        </w:rPr>
        <w:t>for</w:t>
      </w:r>
      <w:r>
        <w:rPr>
          <w:color w:val="221F1F"/>
          <w:spacing w:val="-5"/>
        </w:rPr>
        <w:t xml:space="preserve"> </w:t>
      </w:r>
      <w:r>
        <w:rPr>
          <w:color w:val="221F1F"/>
        </w:rPr>
        <w:t>Completion</w:t>
      </w:r>
      <w:r>
        <w:rPr>
          <w:color w:val="221F1F"/>
          <w:spacing w:val="-8"/>
        </w:rPr>
        <w:t xml:space="preserve"> </w:t>
      </w:r>
      <w:r>
        <w:rPr>
          <w:color w:val="221F1F"/>
        </w:rPr>
        <w:t>or</w:t>
      </w:r>
      <w:r>
        <w:rPr>
          <w:color w:val="221F1F"/>
          <w:spacing w:val="-8"/>
        </w:rPr>
        <w:t xml:space="preserve"> </w:t>
      </w:r>
      <w:r>
        <w:rPr>
          <w:color w:val="221F1F"/>
        </w:rPr>
        <w:t>an</w:t>
      </w:r>
      <w:r>
        <w:rPr>
          <w:color w:val="221F1F"/>
          <w:spacing w:val="-8"/>
        </w:rPr>
        <w:t xml:space="preserve"> </w:t>
      </w:r>
      <w:r>
        <w:rPr>
          <w:color w:val="221F1F"/>
        </w:rPr>
        <w:t>adjustment</w:t>
      </w:r>
      <w:r>
        <w:rPr>
          <w:color w:val="221F1F"/>
          <w:spacing w:val="-9"/>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rPr>
        <w:t>Price</w:t>
      </w:r>
      <w:r>
        <w:rPr>
          <w:color w:val="221F1F"/>
          <w:spacing w:val="-5"/>
        </w:rPr>
        <w:t xml:space="preserve"> </w:t>
      </w:r>
      <w:r>
        <w:rPr>
          <w:color w:val="221F1F"/>
        </w:rPr>
        <w:t xml:space="preserve">under </w:t>
      </w:r>
      <w:r>
        <w:rPr>
          <w:color w:val="221F1F"/>
          <w:spacing w:val="-2"/>
        </w:rPr>
        <w:t>Sub-Clause31.3.</w:t>
      </w:r>
    </w:p>
    <w:p w:rsidR="007F6DF9" w:rsidRDefault="00A43FBC">
      <w:pPr>
        <w:pStyle w:val="Heading9"/>
        <w:numPr>
          <w:ilvl w:val="1"/>
          <w:numId w:val="94"/>
        </w:numPr>
        <w:tabs>
          <w:tab w:val="left" w:pos="1378"/>
        </w:tabs>
        <w:spacing w:before="237"/>
        <w:ind w:hanging="667"/>
      </w:pPr>
      <w:r>
        <w:rPr>
          <w:color w:val="221F1F"/>
          <w:spacing w:val="-5"/>
        </w:rPr>
        <w:t>Value</w:t>
      </w:r>
      <w:r>
        <w:rPr>
          <w:color w:val="221F1F"/>
          <w:spacing w:val="-7"/>
        </w:rPr>
        <w:t xml:space="preserve"> </w:t>
      </w:r>
      <w:r>
        <w:rPr>
          <w:color w:val="221F1F"/>
          <w:spacing w:val="-2"/>
        </w:rPr>
        <w:t>Engineering</w:t>
      </w:r>
    </w:p>
    <w:p w:rsidR="007F6DF9" w:rsidRDefault="00A43FBC">
      <w:pPr>
        <w:pStyle w:val="ListParagraph"/>
        <w:numPr>
          <w:ilvl w:val="2"/>
          <w:numId w:val="94"/>
        </w:numPr>
        <w:tabs>
          <w:tab w:val="left" w:pos="1366"/>
          <w:tab w:val="left" w:pos="1371"/>
        </w:tabs>
        <w:spacing w:before="242" w:line="230" w:lineRule="auto"/>
        <w:ind w:right="560"/>
        <w:jc w:val="both"/>
      </w:pPr>
      <w:proofErr w:type="spellStart"/>
      <w:r>
        <w:rPr>
          <w:color w:val="221F1F"/>
        </w:rPr>
        <w:t>TheContractor</w:t>
      </w:r>
      <w:proofErr w:type="spellEnd"/>
      <w:r>
        <w:rPr>
          <w:color w:val="221F1F"/>
          <w:spacing w:val="-3"/>
        </w:rPr>
        <w:t xml:space="preserve"> </w:t>
      </w:r>
      <w:r>
        <w:rPr>
          <w:color w:val="221F1F"/>
        </w:rPr>
        <w:t>may,</w:t>
      </w:r>
      <w:r>
        <w:rPr>
          <w:color w:val="221F1F"/>
          <w:spacing w:val="-7"/>
        </w:rPr>
        <w:t xml:space="preserve"> </w:t>
      </w:r>
      <w:r>
        <w:rPr>
          <w:color w:val="221F1F"/>
        </w:rPr>
        <w:t xml:space="preserve">at </w:t>
      </w:r>
      <w:proofErr w:type="spellStart"/>
      <w:r>
        <w:rPr>
          <w:color w:val="221F1F"/>
        </w:rPr>
        <w:t>anytime</w:t>
      </w:r>
      <w:proofErr w:type="spellEnd"/>
      <w:r>
        <w:rPr>
          <w:color w:val="221F1F"/>
        </w:rPr>
        <w:t>, submit to the Architect written proposal which (in the Contractor's opinion) will,</w:t>
      </w:r>
      <w:r>
        <w:rPr>
          <w:color w:val="221F1F"/>
          <w:spacing w:val="-16"/>
        </w:rPr>
        <w:t xml:space="preserve"> </w:t>
      </w:r>
      <w:r>
        <w:rPr>
          <w:color w:val="221F1F"/>
        </w:rPr>
        <w:t>if</w:t>
      </w:r>
      <w:r>
        <w:rPr>
          <w:color w:val="221F1F"/>
          <w:spacing w:val="-14"/>
        </w:rPr>
        <w:t xml:space="preserve"> </w:t>
      </w:r>
      <w:r>
        <w:rPr>
          <w:color w:val="221F1F"/>
        </w:rPr>
        <w:t>adopted,</w:t>
      </w:r>
      <w:r>
        <w:rPr>
          <w:color w:val="221F1F"/>
          <w:spacing w:val="-14"/>
        </w:rPr>
        <w:t xml:space="preserve"> </w:t>
      </w:r>
      <w:r>
        <w:rPr>
          <w:color w:val="221F1F"/>
        </w:rPr>
        <w:t>(</w:t>
      </w:r>
      <w:proofErr w:type="spellStart"/>
      <w:r>
        <w:rPr>
          <w:color w:val="221F1F"/>
        </w:rPr>
        <w:t>i</w:t>
      </w:r>
      <w:proofErr w:type="spellEnd"/>
      <w:r>
        <w:rPr>
          <w:color w:val="221F1F"/>
        </w:rPr>
        <w:t>)</w:t>
      </w:r>
      <w:r>
        <w:rPr>
          <w:color w:val="221F1F"/>
          <w:spacing w:val="-13"/>
        </w:rPr>
        <w:t xml:space="preserve"> </w:t>
      </w:r>
      <w:r>
        <w:rPr>
          <w:color w:val="221F1F"/>
        </w:rPr>
        <w:t>accelerate</w:t>
      </w:r>
      <w:r>
        <w:rPr>
          <w:color w:val="221F1F"/>
          <w:spacing w:val="-14"/>
        </w:rPr>
        <w:t xml:space="preserve"> </w:t>
      </w:r>
      <w:r>
        <w:rPr>
          <w:color w:val="221F1F"/>
        </w:rPr>
        <w:t>completion,</w:t>
      </w:r>
      <w:r>
        <w:rPr>
          <w:color w:val="221F1F"/>
          <w:spacing w:val="-14"/>
        </w:rPr>
        <w:t xml:space="preserve"> </w:t>
      </w:r>
      <w:r>
        <w:rPr>
          <w:color w:val="221F1F"/>
        </w:rPr>
        <w:t>(ii)</w:t>
      </w:r>
      <w:r>
        <w:rPr>
          <w:color w:val="221F1F"/>
          <w:spacing w:val="-14"/>
        </w:rPr>
        <w:t xml:space="preserve"> </w:t>
      </w:r>
      <w:r>
        <w:rPr>
          <w:color w:val="221F1F"/>
        </w:rPr>
        <w:t>reduce</w:t>
      </w:r>
      <w:r>
        <w:rPr>
          <w:color w:val="221F1F"/>
          <w:spacing w:val="-13"/>
        </w:rPr>
        <w:t xml:space="preserve"> </w:t>
      </w:r>
      <w:r>
        <w:rPr>
          <w:color w:val="221F1F"/>
        </w:rPr>
        <w:t>the</w:t>
      </w:r>
      <w:r>
        <w:rPr>
          <w:color w:val="221F1F"/>
          <w:spacing w:val="-14"/>
        </w:rPr>
        <w:t xml:space="preserve"> </w:t>
      </w:r>
      <w:r>
        <w:rPr>
          <w:color w:val="221F1F"/>
        </w:rPr>
        <w:t>cost</w:t>
      </w:r>
      <w:r>
        <w:rPr>
          <w:color w:val="221F1F"/>
          <w:spacing w:val="-14"/>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of</w:t>
      </w:r>
      <w:r>
        <w:rPr>
          <w:color w:val="221F1F"/>
          <w:spacing w:val="-14"/>
        </w:rPr>
        <w:t xml:space="preserve"> </w:t>
      </w:r>
      <w:r>
        <w:rPr>
          <w:color w:val="221F1F"/>
        </w:rPr>
        <w:t>executing,</w:t>
      </w:r>
      <w:r>
        <w:rPr>
          <w:color w:val="221F1F"/>
          <w:spacing w:val="-13"/>
        </w:rPr>
        <w:t xml:space="preserve"> </w:t>
      </w:r>
      <w:r>
        <w:rPr>
          <w:color w:val="221F1F"/>
        </w:rPr>
        <w:t>maintaining or</w:t>
      </w:r>
      <w:r>
        <w:rPr>
          <w:color w:val="221F1F"/>
          <w:spacing w:val="-3"/>
        </w:rPr>
        <w:t xml:space="preserve"> </w:t>
      </w:r>
      <w:r>
        <w:rPr>
          <w:color w:val="221F1F"/>
        </w:rPr>
        <w:t>operating</w:t>
      </w:r>
      <w:r>
        <w:rPr>
          <w:color w:val="221F1F"/>
          <w:spacing w:val="-4"/>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(iii)</w:t>
      </w:r>
      <w:r>
        <w:rPr>
          <w:color w:val="221F1F"/>
          <w:spacing w:val="-3"/>
        </w:rPr>
        <w:t xml:space="preserve"> </w:t>
      </w:r>
      <w:r>
        <w:rPr>
          <w:color w:val="221F1F"/>
        </w:rPr>
        <w:t>improve</w:t>
      </w:r>
      <w:r>
        <w:rPr>
          <w:color w:val="221F1F"/>
          <w:spacing w:val="-4"/>
        </w:rPr>
        <w:t xml:space="preserve"> </w:t>
      </w:r>
      <w:r>
        <w:rPr>
          <w:color w:val="221F1F"/>
        </w:rPr>
        <w:t>the</w:t>
      </w:r>
      <w:r>
        <w:rPr>
          <w:color w:val="221F1F"/>
          <w:spacing w:val="-5"/>
        </w:rPr>
        <w:t xml:space="preserve"> </w:t>
      </w:r>
      <w:r>
        <w:rPr>
          <w:color w:val="221F1F"/>
        </w:rPr>
        <w:t>efficiency</w:t>
      </w:r>
      <w:r>
        <w:rPr>
          <w:color w:val="221F1F"/>
          <w:spacing w:val="-4"/>
        </w:rPr>
        <w:t xml:space="preserve"> </w:t>
      </w:r>
      <w:r>
        <w:rPr>
          <w:color w:val="221F1F"/>
        </w:rPr>
        <w:t>or</w:t>
      </w:r>
      <w:r>
        <w:rPr>
          <w:color w:val="221F1F"/>
          <w:spacing w:val="-5"/>
        </w:rPr>
        <w:t xml:space="preserve"> </w:t>
      </w:r>
      <w:r>
        <w:rPr>
          <w:color w:val="221F1F"/>
        </w:rPr>
        <w:t>value</w:t>
      </w:r>
      <w:r>
        <w:rPr>
          <w:color w:val="221F1F"/>
          <w:spacing w:val="-5"/>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completed</w:t>
      </w:r>
      <w:r>
        <w:rPr>
          <w:color w:val="221F1F"/>
          <w:spacing w:val="-5"/>
        </w:rPr>
        <w:t xml:space="preserve"> </w:t>
      </w:r>
      <w:r>
        <w:rPr>
          <w:color w:val="221F1F"/>
        </w:rPr>
        <w:t xml:space="preserve">Works, </w:t>
      </w:r>
      <w:r>
        <w:rPr>
          <w:color w:val="221F1F"/>
          <w:spacing w:val="-6"/>
        </w:rPr>
        <w:t>or</w:t>
      </w:r>
    </w:p>
    <w:p w:rsidR="007F6DF9" w:rsidRDefault="00A43FBC">
      <w:pPr>
        <w:pStyle w:val="BodyText"/>
        <w:spacing w:line="246" w:lineRule="exact"/>
        <w:ind w:left="1371"/>
        <w:jc w:val="both"/>
      </w:pPr>
      <w:r>
        <w:rPr>
          <w:color w:val="221F1F"/>
        </w:rPr>
        <w:t>(iv)</w:t>
      </w:r>
      <w:r>
        <w:rPr>
          <w:color w:val="221F1F"/>
          <w:spacing w:val="-4"/>
        </w:rPr>
        <w:t xml:space="preserve"> </w:t>
      </w:r>
      <w:r>
        <w:rPr>
          <w:color w:val="221F1F"/>
        </w:rPr>
        <w:t>otherwise</w:t>
      </w:r>
      <w:r>
        <w:rPr>
          <w:color w:val="221F1F"/>
          <w:spacing w:val="-6"/>
        </w:rPr>
        <w:t xml:space="preserve"> </w:t>
      </w:r>
      <w:r>
        <w:rPr>
          <w:color w:val="221F1F"/>
        </w:rPr>
        <w:t>be</w:t>
      </w:r>
      <w:r>
        <w:rPr>
          <w:color w:val="221F1F"/>
          <w:spacing w:val="-4"/>
        </w:rPr>
        <w:t xml:space="preserve"> </w:t>
      </w:r>
      <w:r>
        <w:rPr>
          <w:color w:val="221F1F"/>
        </w:rPr>
        <w:t>of</w:t>
      </w:r>
      <w:r>
        <w:rPr>
          <w:color w:val="221F1F"/>
          <w:spacing w:val="-4"/>
        </w:rPr>
        <w:t xml:space="preserve"> </w:t>
      </w:r>
      <w:r>
        <w:rPr>
          <w:color w:val="221F1F"/>
        </w:rPr>
        <w:t>benefit</w:t>
      </w:r>
      <w:r>
        <w:rPr>
          <w:color w:val="221F1F"/>
          <w:spacing w:val="-6"/>
        </w:rPr>
        <w:t xml:space="preserve"> </w:t>
      </w:r>
      <w:r>
        <w:rPr>
          <w:color w:val="221F1F"/>
        </w:rPr>
        <w:t>to</w:t>
      </w:r>
      <w:r>
        <w:rPr>
          <w:color w:val="221F1F"/>
          <w:spacing w:val="-3"/>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spacing w:val="-2"/>
        </w:rPr>
        <w:t>Entity.</w:t>
      </w:r>
    </w:p>
    <w:p w:rsidR="007F6DF9" w:rsidRDefault="00A43FBC">
      <w:pPr>
        <w:pStyle w:val="ListParagraph"/>
        <w:numPr>
          <w:ilvl w:val="2"/>
          <w:numId w:val="94"/>
        </w:numPr>
        <w:tabs>
          <w:tab w:val="left" w:pos="1371"/>
        </w:tabs>
        <w:spacing w:before="234" w:line="248" w:lineRule="exact"/>
        <w:ind w:hanging="660"/>
      </w:pPr>
      <w:r>
        <w:rPr>
          <w:color w:val="221F1F"/>
        </w:rPr>
        <w:t>The</w:t>
      </w:r>
      <w:r>
        <w:rPr>
          <w:color w:val="221F1F"/>
          <w:spacing w:val="-5"/>
        </w:rPr>
        <w:t xml:space="preserve"> </w:t>
      </w:r>
      <w:r>
        <w:rPr>
          <w:color w:val="221F1F"/>
        </w:rPr>
        <w:t>proposal</w:t>
      </w:r>
      <w:r>
        <w:rPr>
          <w:color w:val="221F1F"/>
          <w:spacing w:val="-1"/>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prepared</w:t>
      </w:r>
      <w:r>
        <w:rPr>
          <w:color w:val="221F1F"/>
          <w:spacing w:val="-1"/>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cost</w:t>
      </w:r>
      <w:r>
        <w:rPr>
          <w:color w:val="221F1F"/>
          <w:spacing w:val="-3"/>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and</w:t>
      </w:r>
      <w:r>
        <w:rPr>
          <w:color w:val="221F1F"/>
          <w:spacing w:val="-5"/>
        </w:rPr>
        <w:t xml:space="preserve"> </w:t>
      </w:r>
      <w:r>
        <w:rPr>
          <w:color w:val="221F1F"/>
        </w:rPr>
        <w:t>shall</w:t>
      </w:r>
      <w:r>
        <w:rPr>
          <w:color w:val="221F1F"/>
          <w:spacing w:val="-3"/>
        </w:rPr>
        <w:t xml:space="preserve"> </w:t>
      </w:r>
      <w:r>
        <w:rPr>
          <w:color w:val="221F1F"/>
        </w:rPr>
        <w:t>include</w:t>
      </w:r>
      <w:r>
        <w:rPr>
          <w:color w:val="221F1F"/>
          <w:spacing w:val="-4"/>
        </w:rPr>
        <w:t xml:space="preserve"> </w:t>
      </w:r>
      <w:r>
        <w:rPr>
          <w:color w:val="221F1F"/>
        </w:rPr>
        <w:t>the</w:t>
      </w:r>
      <w:r>
        <w:rPr>
          <w:color w:val="221F1F"/>
          <w:spacing w:val="-4"/>
        </w:rPr>
        <w:t xml:space="preserve"> </w:t>
      </w:r>
      <w:r>
        <w:rPr>
          <w:color w:val="221F1F"/>
        </w:rPr>
        <w:t>items</w:t>
      </w:r>
      <w:r>
        <w:rPr>
          <w:color w:val="221F1F"/>
          <w:spacing w:val="-4"/>
        </w:rPr>
        <w:t xml:space="preserve"> </w:t>
      </w:r>
      <w:r>
        <w:rPr>
          <w:color w:val="221F1F"/>
        </w:rPr>
        <w:t>listed</w:t>
      </w:r>
      <w:r>
        <w:rPr>
          <w:color w:val="221F1F"/>
          <w:spacing w:val="-2"/>
        </w:rPr>
        <w:t xml:space="preserve"> </w:t>
      </w:r>
      <w:r>
        <w:rPr>
          <w:color w:val="221F1F"/>
        </w:rPr>
        <w:t>in</w:t>
      </w:r>
      <w:r>
        <w:rPr>
          <w:color w:val="221F1F"/>
          <w:spacing w:val="-2"/>
        </w:rPr>
        <w:t xml:space="preserve"> </w:t>
      </w:r>
      <w:r>
        <w:rPr>
          <w:color w:val="221F1F"/>
        </w:rPr>
        <w:t>Sub-</w:t>
      </w:r>
      <w:r>
        <w:rPr>
          <w:color w:val="221F1F"/>
          <w:spacing w:val="-2"/>
        </w:rPr>
        <w:t>Clause</w:t>
      </w:r>
    </w:p>
    <w:p w:rsidR="007F6DF9" w:rsidRDefault="00A43FBC">
      <w:pPr>
        <w:pStyle w:val="BodyText"/>
        <w:spacing w:line="248" w:lineRule="exact"/>
        <w:ind w:left="1371"/>
        <w:jc w:val="both"/>
      </w:pPr>
      <w:r>
        <w:rPr>
          <w:color w:val="221F1F"/>
          <w:spacing w:val="-2"/>
        </w:rPr>
        <w:t>13.3</w:t>
      </w:r>
      <w:r>
        <w:rPr>
          <w:color w:val="221F1F"/>
          <w:spacing w:val="-3"/>
        </w:rPr>
        <w:t xml:space="preserve"> </w:t>
      </w:r>
      <w:r>
        <w:rPr>
          <w:color w:val="221F1F"/>
          <w:spacing w:val="-2"/>
        </w:rPr>
        <w:t>[Variation</w:t>
      </w:r>
      <w:r>
        <w:rPr>
          <w:color w:val="221F1F"/>
          <w:spacing w:val="-10"/>
        </w:rPr>
        <w:t xml:space="preserve"> </w:t>
      </w:r>
      <w:r>
        <w:rPr>
          <w:color w:val="221F1F"/>
          <w:spacing w:val="-2"/>
        </w:rPr>
        <w:t>Procedure].</w:t>
      </w:r>
    </w:p>
    <w:p w:rsidR="007F6DF9" w:rsidRDefault="007F6DF9">
      <w:pPr>
        <w:pStyle w:val="BodyText"/>
        <w:spacing w:line="248" w:lineRule="exact"/>
        <w:jc w:val="both"/>
        <w:sectPr w:rsidR="007F6DF9">
          <w:pgSz w:w="11920" w:h="16850"/>
          <w:pgMar w:top="360" w:right="283" w:bottom="620" w:left="141" w:header="0" w:footer="437" w:gutter="0"/>
          <w:cols w:space="720"/>
        </w:sectPr>
      </w:pPr>
    </w:p>
    <w:p w:rsidR="007F6DF9" w:rsidRDefault="00A43FBC">
      <w:pPr>
        <w:pStyle w:val="ListParagraph"/>
        <w:numPr>
          <w:ilvl w:val="2"/>
          <w:numId w:val="93"/>
        </w:numPr>
        <w:tabs>
          <w:tab w:val="left" w:pos="1367"/>
          <w:tab w:val="left" w:pos="1371"/>
        </w:tabs>
        <w:spacing w:line="230" w:lineRule="auto"/>
        <w:ind w:right="786"/>
        <w:jc w:val="both"/>
      </w:pPr>
      <w:r>
        <w:rPr>
          <w:color w:val="221F1F"/>
        </w:rPr>
        <w:lastRenderedPageBreak/>
        <w:t>If</w:t>
      </w:r>
      <w:r>
        <w:rPr>
          <w:color w:val="221F1F"/>
          <w:spacing w:val="-1"/>
        </w:rPr>
        <w:t xml:space="preserve"> </w:t>
      </w:r>
      <w:r>
        <w:rPr>
          <w:color w:val="221F1F"/>
        </w:rPr>
        <w:t>a</w:t>
      </w:r>
      <w:r>
        <w:rPr>
          <w:color w:val="221F1F"/>
          <w:spacing w:val="-1"/>
        </w:rPr>
        <w:t xml:space="preserve"> </w:t>
      </w:r>
      <w:r>
        <w:rPr>
          <w:color w:val="221F1F"/>
        </w:rPr>
        <w:t>proposal,</w:t>
      </w:r>
      <w:r>
        <w:rPr>
          <w:color w:val="221F1F"/>
          <w:spacing w:val="-1"/>
        </w:rPr>
        <w:t xml:space="preserve"> </w:t>
      </w:r>
      <w:r>
        <w:rPr>
          <w:color w:val="221F1F"/>
        </w:rPr>
        <w:t>which</w:t>
      </w:r>
      <w:r>
        <w:rPr>
          <w:color w:val="221F1F"/>
          <w:spacing w:val="-1"/>
        </w:rPr>
        <w:t xml:space="preserve"> </w:t>
      </w:r>
      <w:r>
        <w:rPr>
          <w:color w:val="221F1F"/>
        </w:rPr>
        <w:t>is</w:t>
      </w:r>
      <w:r>
        <w:rPr>
          <w:color w:val="221F1F"/>
          <w:spacing w:val="-1"/>
        </w:rPr>
        <w:t xml:space="preserve"> </w:t>
      </w:r>
      <w:r>
        <w:rPr>
          <w:color w:val="221F1F"/>
        </w:rPr>
        <w:t>approved</w:t>
      </w:r>
      <w:r>
        <w:rPr>
          <w:color w:val="221F1F"/>
          <w:spacing w:val="-1"/>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includes</w:t>
      </w:r>
      <w:r>
        <w:rPr>
          <w:color w:val="221F1F"/>
          <w:spacing w:val="-1"/>
        </w:rPr>
        <w:t xml:space="preserve"> </w:t>
      </w:r>
      <w:r>
        <w:rPr>
          <w:color w:val="221F1F"/>
        </w:rPr>
        <w:t>a</w:t>
      </w:r>
      <w:r>
        <w:rPr>
          <w:color w:val="221F1F"/>
          <w:spacing w:val="-3"/>
        </w:rPr>
        <w:t xml:space="preserve"> </w:t>
      </w:r>
      <w:r>
        <w:rPr>
          <w:color w:val="221F1F"/>
        </w:rPr>
        <w:t>change</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design</w:t>
      </w:r>
      <w:r>
        <w:rPr>
          <w:color w:val="221F1F"/>
          <w:spacing w:val="-4"/>
        </w:rPr>
        <w:t xml:space="preserve"> </w:t>
      </w:r>
      <w:r>
        <w:rPr>
          <w:color w:val="221F1F"/>
        </w:rPr>
        <w:t>of</w:t>
      </w:r>
      <w:r>
        <w:rPr>
          <w:color w:val="221F1F"/>
          <w:spacing w:val="-1"/>
        </w:rPr>
        <w:t xml:space="preserve"> </w:t>
      </w:r>
      <w:r>
        <w:rPr>
          <w:color w:val="221F1F"/>
        </w:rPr>
        <w:t>part of</w:t>
      </w:r>
      <w:r>
        <w:rPr>
          <w:color w:val="221F1F"/>
          <w:spacing w:val="-3"/>
        </w:rPr>
        <w:t xml:space="preserve"> </w:t>
      </w:r>
      <w:r>
        <w:rPr>
          <w:color w:val="221F1F"/>
        </w:rPr>
        <w:t>the</w:t>
      </w:r>
      <w:r>
        <w:rPr>
          <w:color w:val="221F1F"/>
          <w:spacing w:val="-1"/>
        </w:rPr>
        <w:t xml:space="preserve"> </w:t>
      </w:r>
      <w:r>
        <w:rPr>
          <w:color w:val="221F1F"/>
        </w:rPr>
        <w:t>Permanent Works, then unless otherwise agreed by both Parties:</w:t>
      </w:r>
    </w:p>
    <w:p w:rsidR="007F6DF9" w:rsidRDefault="00A43FBC">
      <w:pPr>
        <w:pStyle w:val="ListParagraph"/>
        <w:numPr>
          <w:ilvl w:val="3"/>
          <w:numId w:val="93"/>
        </w:numPr>
        <w:tabs>
          <w:tab w:val="left" w:pos="1866"/>
        </w:tabs>
        <w:spacing w:line="246" w:lineRule="exact"/>
        <w:ind w:left="1866" w:hanging="488"/>
        <w:jc w:val="both"/>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design</w:t>
      </w:r>
      <w:r>
        <w:rPr>
          <w:color w:val="221F1F"/>
          <w:spacing w:val="-5"/>
        </w:rPr>
        <w:t xml:space="preserve"> </w:t>
      </w:r>
      <w:r>
        <w:rPr>
          <w:color w:val="221F1F"/>
        </w:rPr>
        <w:t>this</w:t>
      </w:r>
      <w:r>
        <w:rPr>
          <w:color w:val="221F1F"/>
          <w:spacing w:val="-3"/>
        </w:rPr>
        <w:t xml:space="preserve"> </w:t>
      </w:r>
      <w:r>
        <w:rPr>
          <w:color w:val="221F1F"/>
          <w:spacing w:val="-2"/>
        </w:rPr>
        <w:t>part,</w:t>
      </w:r>
    </w:p>
    <w:p w:rsidR="007F6DF9" w:rsidRDefault="00A43FBC">
      <w:pPr>
        <w:pStyle w:val="ListParagraph"/>
        <w:numPr>
          <w:ilvl w:val="3"/>
          <w:numId w:val="93"/>
        </w:numPr>
        <w:tabs>
          <w:tab w:val="left" w:pos="1859"/>
        </w:tabs>
        <w:spacing w:before="114" w:line="253" w:lineRule="exact"/>
        <w:ind w:left="1859" w:hanging="495"/>
        <w:jc w:val="both"/>
      </w:pPr>
      <w:r>
        <w:rPr>
          <w:color w:val="221F1F"/>
        </w:rPr>
        <w:t>sub-paragraphs</w:t>
      </w:r>
      <w:r>
        <w:rPr>
          <w:color w:val="221F1F"/>
          <w:spacing w:val="-9"/>
        </w:rPr>
        <w:t xml:space="preserve"> </w:t>
      </w:r>
      <w:r>
        <w:rPr>
          <w:color w:val="221F1F"/>
        </w:rPr>
        <w:t>(a)</w:t>
      </w:r>
      <w:r>
        <w:rPr>
          <w:color w:val="221F1F"/>
          <w:spacing w:val="-6"/>
        </w:rPr>
        <w:t xml:space="preserve"> </w:t>
      </w:r>
      <w:r>
        <w:rPr>
          <w:color w:val="221F1F"/>
        </w:rPr>
        <w:t>to</w:t>
      </w:r>
      <w:r>
        <w:rPr>
          <w:color w:val="221F1F"/>
          <w:spacing w:val="-7"/>
        </w:rPr>
        <w:t xml:space="preserve"> </w:t>
      </w:r>
      <w:r>
        <w:rPr>
          <w:color w:val="221F1F"/>
        </w:rPr>
        <w:t>(d)</w:t>
      </w:r>
      <w:r>
        <w:rPr>
          <w:color w:val="221F1F"/>
          <w:spacing w:val="-7"/>
        </w:rPr>
        <w:t xml:space="preserve"> </w:t>
      </w:r>
      <w:r>
        <w:rPr>
          <w:color w:val="221F1F"/>
        </w:rPr>
        <w:t>of</w:t>
      </w:r>
      <w:r>
        <w:rPr>
          <w:color w:val="221F1F"/>
          <w:spacing w:val="-6"/>
        </w:rPr>
        <w:t xml:space="preserve"> </w:t>
      </w:r>
      <w:r>
        <w:rPr>
          <w:color w:val="221F1F"/>
        </w:rPr>
        <w:t>Sub-Clause</w:t>
      </w:r>
      <w:r>
        <w:rPr>
          <w:color w:val="221F1F"/>
          <w:spacing w:val="-7"/>
        </w:rPr>
        <w:t xml:space="preserve"> </w:t>
      </w:r>
      <w:r>
        <w:rPr>
          <w:color w:val="221F1F"/>
        </w:rPr>
        <w:t>4.1</w:t>
      </w:r>
      <w:r>
        <w:rPr>
          <w:color w:val="221F1F"/>
          <w:spacing w:val="-5"/>
        </w:rPr>
        <w:t xml:space="preserve"> </w:t>
      </w:r>
      <w:r>
        <w:rPr>
          <w:color w:val="221F1F"/>
        </w:rPr>
        <w:t>[Contractor's</w:t>
      </w:r>
      <w:r>
        <w:rPr>
          <w:color w:val="221F1F"/>
          <w:spacing w:val="-3"/>
        </w:rPr>
        <w:t xml:space="preserve"> </w:t>
      </w:r>
      <w:r>
        <w:rPr>
          <w:color w:val="221F1F"/>
        </w:rPr>
        <w:t>General</w:t>
      </w:r>
      <w:r>
        <w:rPr>
          <w:color w:val="221F1F"/>
          <w:spacing w:val="-3"/>
        </w:rPr>
        <w:t xml:space="preserve"> </w:t>
      </w:r>
      <w:r>
        <w:rPr>
          <w:color w:val="221F1F"/>
        </w:rPr>
        <w:t>Obligations]</w:t>
      </w:r>
      <w:r>
        <w:rPr>
          <w:color w:val="221F1F"/>
          <w:spacing w:val="-3"/>
        </w:rPr>
        <w:t xml:space="preserve"> </w:t>
      </w:r>
      <w:r>
        <w:rPr>
          <w:color w:val="221F1F"/>
        </w:rPr>
        <w:t>shall</w:t>
      </w:r>
      <w:r>
        <w:rPr>
          <w:color w:val="221F1F"/>
          <w:spacing w:val="-6"/>
        </w:rPr>
        <w:t xml:space="preserve"> </w:t>
      </w:r>
      <w:r>
        <w:rPr>
          <w:color w:val="221F1F"/>
        </w:rPr>
        <w:t>apply,</w:t>
      </w:r>
      <w:r>
        <w:rPr>
          <w:color w:val="221F1F"/>
          <w:spacing w:val="-12"/>
        </w:rPr>
        <w:t xml:space="preserve"> </w:t>
      </w:r>
      <w:r>
        <w:rPr>
          <w:color w:val="221F1F"/>
          <w:spacing w:val="-5"/>
        </w:rPr>
        <w:t>and</w:t>
      </w:r>
    </w:p>
    <w:p w:rsidR="007F6DF9" w:rsidRDefault="00A43FBC">
      <w:pPr>
        <w:pStyle w:val="ListParagraph"/>
        <w:numPr>
          <w:ilvl w:val="3"/>
          <w:numId w:val="93"/>
        </w:numPr>
        <w:tabs>
          <w:tab w:val="left" w:pos="1859"/>
          <w:tab w:val="left" w:pos="1868"/>
        </w:tabs>
        <w:spacing w:before="7" w:line="230" w:lineRule="auto"/>
        <w:ind w:right="558" w:hanging="504"/>
        <w:jc w:val="both"/>
      </w:pPr>
      <w:r>
        <w:rPr>
          <w:color w:val="221F1F"/>
        </w:rPr>
        <w:t>if this change results in a reduction in the contract value of this part, the Architect shall proceed in accordance with Sub-Clause 3.5 [Determinations] to agree or determine a fee, which shall be included in the Contract Price. This fee shall behalf (50%) of the difference between the following amounts:</w:t>
      </w:r>
    </w:p>
    <w:p w:rsidR="007F6DF9" w:rsidRDefault="00A43FBC">
      <w:pPr>
        <w:pStyle w:val="ListParagraph"/>
        <w:numPr>
          <w:ilvl w:val="4"/>
          <w:numId w:val="93"/>
        </w:numPr>
        <w:tabs>
          <w:tab w:val="left" w:pos="2241"/>
        </w:tabs>
        <w:spacing w:line="238" w:lineRule="exact"/>
        <w:ind w:left="2241" w:hanging="380"/>
        <w:jc w:val="both"/>
      </w:pPr>
      <w:r>
        <w:rPr>
          <w:color w:val="221F1F"/>
        </w:rPr>
        <w:t>such</w:t>
      </w:r>
      <w:r>
        <w:rPr>
          <w:color w:val="221F1F"/>
          <w:spacing w:val="-6"/>
        </w:rPr>
        <w:t xml:space="preserve"> </w:t>
      </w:r>
      <w:r>
        <w:rPr>
          <w:color w:val="221F1F"/>
        </w:rPr>
        <w:t>reduction</w:t>
      </w:r>
      <w:r>
        <w:rPr>
          <w:color w:val="221F1F"/>
          <w:spacing w:val="-2"/>
        </w:rPr>
        <w:t xml:space="preserve"> </w:t>
      </w:r>
      <w:r>
        <w:rPr>
          <w:color w:val="221F1F"/>
        </w:rPr>
        <w:t>in</w:t>
      </w:r>
      <w:r>
        <w:rPr>
          <w:color w:val="221F1F"/>
          <w:spacing w:val="-4"/>
        </w:rPr>
        <w:t xml:space="preserve"> </w:t>
      </w:r>
      <w:r>
        <w:rPr>
          <w:color w:val="221F1F"/>
        </w:rPr>
        <w:t>contract</w:t>
      </w:r>
      <w:r>
        <w:rPr>
          <w:color w:val="221F1F"/>
          <w:spacing w:val="-4"/>
        </w:rPr>
        <w:t xml:space="preserve"> </w:t>
      </w:r>
      <w:r>
        <w:rPr>
          <w:color w:val="221F1F"/>
        </w:rPr>
        <w:t>value,</w:t>
      </w:r>
      <w:r>
        <w:rPr>
          <w:color w:val="221F1F"/>
          <w:spacing w:val="-6"/>
        </w:rPr>
        <w:t xml:space="preserve"> </w:t>
      </w:r>
      <w:r>
        <w:rPr>
          <w:color w:val="221F1F"/>
        </w:rPr>
        <w:t>resulting</w:t>
      </w:r>
      <w:r>
        <w:rPr>
          <w:color w:val="221F1F"/>
          <w:spacing w:val="-3"/>
        </w:rPr>
        <w:t xml:space="preserve"> </w:t>
      </w:r>
      <w:r>
        <w:rPr>
          <w:color w:val="221F1F"/>
        </w:rPr>
        <w:t>from</w:t>
      </w:r>
      <w:r>
        <w:rPr>
          <w:color w:val="221F1F"/>
          <w:spacing w:val="-3"/>
        </w:rPr>
        <w:t xml:space="preserve"> </w:t>
      </w:r>
      <w:r>
        <w:rPr>
          <w:color w:val="221F1F"/>
        </w:rPr>
        <w:t>the</w:t>
      </w:r>
      <w:r>
        <w:rPr>
          <w:color w:val="221F1F"/>
          <w:spacing w:val="-3"/>
        </w:rPr>
        <w:t xml:space="preserve"> </w:t>
      </w:r>
      <w:r>
        <w:rPr>
          <w:color w:val="221F1F"/>
        </w:rPr>
        <w:t>change,</w:t>
      </w:r>
      <w:r>
        <w:rPr>
          <w:color w:val="221F1F"/>
          <w:spacing w:val="-3"/>
        </w:rPr>
        <w:t xml:space="preserve"> </w:t>
      </w:r>
      <w:r>
        <w:rPr>
          <w:color w:val="221F1F"/>
        </w:rPr>
        <w:t>excluding</w:t>
      </w:r>
      <w:r>
        <w:rPr>
          <w:color w:val="221F1F"/>
          <w:spacing w:val="-6"/>
        </w:rPr>
        <w:t xml:space="preserve"> </w:t>
      </w:r>
      <w:r>
        <w:rPr>
          <w:color w:val="221F1F"/>
        </w:rPr>
        <w:t>adjustments</w:t>
      </w:r>
      <w:r>
        <w:rPr>
          <w:color w:val="221F1F"/>
          <w:spacing w:val="-7"/>
        </w:rPr>
        <w:t xml:space="preserve"> </w:t>
      </w:r>
      <w:r>
        <w:rPr>
          <w:color w:val="221F1F"/>
        </w:rPr>
        <w:t>under</w:t>
      </w:r>
      <w:r>
        <w:rPr>
          <w:color w:val="221F1F"/>
          <w:spacing w:val="-2"/>
        </w:rPr>
        <w:t xml:space="preserve"> </w:t>
      </w:r>
      <w:r>
        <w:rPr>
          <w:color w:val="221F1F"/>
        </w:rPr>
        <w:t>Sub-</w:t>
      </w:r>
      <w:r>
        <w:rPr>
          <w:color w:val="221F1F"/>
          <w:spacing w:val="-2"/>
        </w:rPr>
        <w:t>Clause</w:t>
      </w:r>
    </w:p>
    <w:p w:rsidR="007F6DF9" w:rsidRDefault="00A43FBC">
      <w:pPr>
        <w:pStyle w:val="BodyText"/>
        <w:spacing w:before="6" w:line="230" w:lineRule="auto"/>
        <w:ind w:left="2249" w:right="668"/>
        <w:jc w:val="both"/>
      </w:pPr>
      <w:r>
        <w:rPr>
          <w:color w:val="221F1F"/>
        </w:rPr>
        <w:t>13.8</w:t>
      </w:r>
      <w:r>
        <w:rPr>
          <w:color w:val="221F1F"/>
          <w:spacing w:val="-3"/>
        </w:rPr>
        <w:t xml:space="preserve"> </w:t>
      </w:r>
      <w:r>
        <w:rPr>
          <w:color w:val="221F1F"/>
        </w:rPr>
        <w:t>[Adjustments</w:t>
      </w:r>
      <w:r>
        <w:rPr>
          <w:color w:val="221F1F"/>
          <w:spacing w:val="-3"/>
        </w:rPr>
        <w:t xml:space="preserve"> </w:t>
      </w:r>
      <w:r>
        <w:rPr>
          <w:color w:val="221F1F"/>
        </w:rPr>
        <w:t>for</w:t>
      </w:r>
      <w:r>
        <w:rPr>
          <w:color w:val="221F1F"/>
          <w:spacing w:val="-3"/>
        </w:rPr>
        <w:t xml:space="preserve"> </w:t>
      </w:r>
      <w:r>
        <w:rPr>
          <w:color w:val="221F1F"/>
        </w:rPr>
        <w:t>Changes</w:t>
      </w:r>
      <w:r>
        <w:rPr>
          <w:color w:val="221F1F"/>
          <w:spacing w:val="-5"/>
        </w:rPr>
        <w:t xml:space="preserve"> </w:t>
      </w:r>
      <w:r>
        <w:rPr>
          <w:color w:val="221F1F"/>
        </w:rPr>
        <w:t>in</w:t>
      </w:r>
      <w:r>
        <w:rPr>
          <w:color w:val="221F1F"/>
          <w:spacing w:val="-3"/>
        </w:rPr>
        <w:t xml:space="preserve"> </w:t>
      </w:r>
      <w:r>
        <w:rPr>
          <w:color w:val="221F1F"/>
        </w:rPr>
        <w:t>Legislation]</w:t>
      </w:r>
      <w:r>
        <w:rPr>
          <w:color w:val="221F1F"/>
          <w:spacing w:val="-3"/>
        </w:rPr>
        <w:t xml:space="preserve"> </w:t>
      </w:r>
      <w:r>
        <w:rPr>
          <w:color w:val="221F1F"/>
        </w:rPr>
        <w:t>and</w:t>
      </w:r>
      <w:r>
        <w:rPr>
          <w:color w:val="221F1F"/>
          <w:spacing w:val="-3"/>
        </w:rPr>
        <w:t xml:space="preserve"> </w:t>
      </w:r>
      <w:r>
        <w:rPr>
          <w:color w:val="221F1F"/>
        </w:rPr>
        <w:t>Sub-Clause</w:t>
      </w:r>
      <w:r>
        <w:rPr>
          <w:color w:val="221F1F"/>
          <w:spacing w:val="-3"/>
        </w:rPr>
        <w:t xml:space="preserve"> </w:t>
      </w:r>
      <w:r>
        <w:rPr>
          <w:color w:val="221F1F"/>
        </w:rPr>
        <w:t>13.8</w:t>
      </w:r>
      <w:r>
        <w:rPr>
          <w:color w:val="221F1F"/>
          <w:spacing w:val="-3"/>
        </w:rPr>
        <w:t xml:space="preserve"> </w:t>
      </w:r>
      <w:r>
        <w:rPr>
          <w:color w:val="221F1F"/>
        </w:rPr>
        <w:t>[Adjustments</w:t>
      </w:r>
      <w:r>
        <w:rPr>
          <w:color w:val="221F1F"/>
          <w:spacing w:val="-3"/>
        </w:rPr>
        <w:t xml:space="preserve"> </w:t>
      </w:r>
      <w:r>
        <w:rPr>
          <w:color w:val="221F1F"/>
        </w:rPr>
        <w:t>for</w:t>
      </w:r>
      <w:r>
        <w:rPr>
          <w:color w:val="221F1F"/>
          <w:spacing w:val="-3"/>
        </w:rPr>
        <w:t xml:space="preserve"> </w:t>
      </w:r>
      <w:r>
        <w:rPr>
          <w:color w:val="221F1F"/>
        </w:rPr>
        <w:t>Changes</w:t>
      </w:r>
      <w:r>
        <w:rPr>
          <w:color w:val="221F1F"/>
          <w:spacing w:val="-3"/>
        </w:rPr>
        <w:t xml:space="preserve"> </w:t>
      </w:r>
      <w:r>
        <w:rPr>
          <w:color w:val="221F1F"/>
        </w:rPr>
        <w:t>in Cost], and</w:t>
      </w:r>
    </w:p>
    <w:p w:rsidR="007F6DF9" w:rsidRDefault="00A43FBC">
      <w:pPr>
        <w:pStyle w:val="ListParagraph"/>
        <w:numPr>
          <w:ilvl w:val="4"/>
          <w:numId w:val="93"/>
        </w:numPr>
        <w:tabs>
          <w:tab w:val="left" w:pos="2239"/>
          <w:tab w:val="left" w:pos="2249"/>
        </w:tabs>
        <w:spacing w:before="1" w:line="230" w:lineRule="auto"/>
        <w:ind w:left="2249" w:right="829" w:hanging="389"/>
        <w:jc w:val="both"/>
      </w:pPr>
      <w:r>
        <w:rPr>
          <w:color w:val="221F1F"/>
        </w:rPr>
        <w:t>the</w:t>
      </w:r>
      <w:r>
        <w:rPr>
          <w:color w:val="221F1F"/>
          <w:spacing w:val="-3"/>
        </w:rPr>
        <w:t xml:space="preserve"> </w:t>
      </w:r>
      <w:r>
        <w:rPr>
          <w:color w:val="221F1F"/>
        </w:rPr>
        <w:t>reduction</w:t>
      </w:r>
      <w:r>
        <w:rPr>
          <w:color w:val="221F1F"/>
          <w:spacing w:val="-1"/>
        </w:rPr>
        <w:t xml:space="preserve"> </w:t>
      </w:r>
      <w:r>
        <w:rPr>
          <w:color w:val="221F1F"/>
        </w:rPr>
        <w:t>(if</w:t>
      </w:r>
      <w:r>
        <w:rPr>
          <w:color w:val="221F1F"/>
          <w:spacing w:val="-2"/>
        </w:rPr>
        <w:t xml:space="preserve"> </w:t>
      </w:r>
      <w:r>
        <w:rPr>
          <w:color w:val="221F1F"/>
        </w:rPr>
        <w:t>any) in</w:t>
      </w:r>
      <w:r>
        <w:rPr>
          <w:color w:val="221F1F"/>
          <w:spacing w:val="-4"/>
        </w:rPr>
        <w:t xml:space="preserve"> </w:t>
      </w:r>
      <w:r>
        <w:rPr>
          <w:color w:val="221F1F"/>
        </w:rPr>
        <w:t>the</w:t>
      </w:r>
      <w:r>
        <w:rPr>
          <w:color w:val="221F1F"/>
          <w:spacing w:val="-3"/>
        </w:rPr>
        <w:t xml:space="preserve"> </w:t>
      </w:r>
      <w:r>
        <w:rPr>
          <w:color w:val="221F1F"/>
        </w:rPr>
        <w:t>value</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varied</w:t>
      </w:r>
      <w:r>
        <w:rPr>
          <w:color w:val="221F1F"/>
          <w:spacing w:val="-1"/>
        </w:rPr>
        <w:t xml:space="preserve"> </w:t>
      </w:r>
      <w:r>
        <w:rPr>
          <w:color w:val="221F1F"/>
        </w:rPr>
        <w:t>works, taking</w:t>
      </w:r>
      <w:r>
        <w:rPr>
          <w:color w:val="221F1F"/>
          <w:spacing w:val="-1"/>
        </w:rPr>
        <w:t xml:space="preserve"> </w:t>
      </w:r>
      <w:r>
        <w:rPr>
          <w:color w:val="221F1F"/>
        </w:rPr>
        <w:t>account</w:t>
      </w:r>
      <w:r>
        <w:rPr>
          <w:color w:val="221F1F"/>
          <w:spacing w:val="-2"/>
        </w:rPr>
        <w:t xml:space="preserve"> </w:t>
      </w:r>
      <w:r>
        <w:rPr>
          <w:color w:val="221F1F"/>
        </w:rPr>
        <w:t>of any improvement in quality, anticipated life or operational efficiencies.</w:t>
      </w:r>
    </w:p>
    <w:p w:rsidR="007F6DF9" w:rsidRDefault="00A43FBC">
      <w:pPr>
        <w:pStyle w:val="BodyText"/>
        <w:spacing w:before="244" w:line="230" w:lineRule="auto"/>
        <w:ind w:left="1357" w:right="570" w:hanging="661"/>
        <w:jc w:val="both"/>
      </w:pPr>
      <w:r>
        <w:rPr>
          <w:color w:val="221F1F"/>
        </w:rPr>
        <w:t>13.3.4</w:t>
      </w:r>
      <w:r>
        <w:rPr>
          <w:color w:val="221F1F"/>
          <w:spacing w:val="-1"/>
        </w:rPr>
        <w:t xml:space="preserve"> </w:t>
      </w:r>
      <w:r>
        <w:rPr>
          <w:color w:val="221F1F"/>
        </w:rPr>
        <w:t>However,</w:t>
      </w:r>
      <w:r>
        <w:rPr>
          <w:color w:val="221F1F"/>
          <w:spacing w:val="-1"/>
        </w:rPr>
        <w:t xml:space="preserve"> </w:t>
      </w:r>
      <w:r>
        <w:rPr>
          <w:color w:val="221F1F"/>
        </w:rPr>
        <w:t>if</w:t>
      </w:r>
      <w:r>
        <w:rPr>
          <w:color w:val="221F1F"/>
          <w:spacing w:val="-1"/>
        </w:rPr>
        <w:t xml:space="preserve"> </w:t>
      </w:r>
      <w:r>
        <w:rPr>
          <w:color w:val="221F1F"/>
        </w:rPr>
        <w:t>the</w:t>
      </w:r>
      <w:r>
        <w:rPr>
          <w:color w:val="221F1F"/>
          <w:spacing w:val="-1"/>
        </w:rPr>
        <w:t xml:space="preserve"> </w:t>
      </w:r>
      <w:r>
        <w:rPr>
          <w:color w:val="221F1F"/>
        </w:rPr>
        <w:t>amount established</w:t>
      </w:r>
      <w:r>
        <w:rPr>
          <w:color w:val="221F1F"/>
          <w:spacing w:val="-4"/>
        </w:rPr>
        <w:t xml:space="preserve"> </w:t>
      </w:r>
      <w:r>
        <w:rPr>
          <w:color w:val="221F1F"/>
        </w:rPr>
        <w:t>in</w:t>
      </w:r>
      <w:r>
        <w:rPr>
          <w:color w:val="221F1F"/>
          <w:spacing w:val="-4"/>
        </w:rPr>
        <w:t xml:space="preserve"> </w:t>
      </w:r>
      <w:r>
        <w:rPr>
          <w:color w:val="221F1F"/>
        </w:rPr>
        <w:t>item 13.2.3</w:t>
      </w:r>
      <w:r>
        <w:rPr>
          <w:color w:val="221F1F"/>
          <w:spacing w:val="-1"/>
        </w:rPr>
        <w:t xml:space="preserve"> </w:t>
      </w:r>
      <w:r>
        <w:rPr>
          <w:color w:val="221F1F"/>
        </w:rPr>
        <w:t>(c)</w:t>
      </w:r>
      <w:r>
        <w:rPr>
          <w:color w:val="221F1F"/>
          <w:spacing w:val="-3"/>
        </w:rPr>
        <w:t xml:space="preserve"> </w:t>
      </w:r>
      <w:r>
        <w:rPr>
          <w:color w:val="221F1F"/>
        </w:rPr>
        <w:t>(</w:t>
      </w:r>
      <w:proofErr w:type="spellStart"/>
      <w:r>
        <w:rPr>
          <w:color w:val="221F1F"/>
        </w:rPr>
        <w:t>i</w:t>
      </w:r>
      <w:proofErr w:type="spellEnd"/>
      <w:r>
        <w:rPr>
          <w:color w:val="221F1F"/>
        </w:rPr>
        <w:t>)</w:t>
      </w:r>
      <w:r>
        <w:rPr>
          <w:color w:val="221F1F"/>
          <w:spacing w:val="-1"/>
        </w:rPr>
        <w:t xml:space="preserve"> </w:t>
      </w:r>
      <w:r>
        <w:rPr>
          <w:color w:val="221F1F"/>
        </w:rPr>
        <w:t>is</w:t>
      </w:r>
      <w:r>
        <w:rPr>
          <w:color w:val="221F1F"/>
          <w:spacing w:val="-1"/>
        </w:rPr>
        <w:t xml:space="preserve"> </w:t>
      </w:r>
      <w:r>
        <w:rPr>
          <w:color w:val="221F1F"/>
        </w:rPr>
        <w:t>less than</w:t>
      </w:r>
      <w:r>
        <w:rPr>
          <w:color w:val="221F1F"/>
          <w:spacing w:val="-1"/>
        </w:rPr>
        <w:t xml:space="preserve"> </w:t>
      </w:r>
      <w:r>
        <w:rPr>
          <w:color w:val="221F1F"/>
        </w:rPr>
        <w:t>amount established</w:t>
      </w:r>
      <w:r>
        <w:rPr>
          <w:color w:val="221F1F"/>
          <w:spacing w:val="-3"/>
        </w:rPr>
        <w:t xml:space="preserve"> </w:t>
      </w:r>
      <w:r>
        <w:rPr>
          <w:color w:val="221F1F"/>
        </w:rPr>
        <w:t>in</w:t>
      </w:r>
      <w:r>
        <w:rPr>
          <w:color w:val="221F1F"/>
          <w:spacing w:val="-1"/>
        </w:rPr>
        <w:t xml:space="preserve"> </w:t>
      </w:r>
      <w:r>
        <w:rPr>
          <w:color w:val="221F1F"/>
        </w:rPr>
        <w:t>item 13.2.3</w:t>
      </w:r>
      <w:r>
        <w:rPr>
          <w:color w:val="221F1F"/>
          <w:spacing w:val="-4"/>
        </w:rPr>
        <w:t xml:space="preserve"> </w:t>
      </w:r>
      <w:r>
        <w:rPr>
          <w:color w:val="221F1F"/>
        </w:rPr>
        <w:t>(c</w:t>
      </w:r>
      <w:r>
        <w:rPr>
          <w:color w:val="221F1F"/>
          <w:spacing w:val="-1"/>
        </w:rPr>
        <w:t xml:space="preserve"> </w:t>
      </w:r>
      <w:r>
        <w:rPr>
          <w:color w:val="221F1F"/>
        </w:rPr>
        <w:t>(ii), there shall not be a fee. However, if the if the amount established in item 13.2.3 (c) (</w:t>
      </w:r>
      <w:proofErr w:type="spellStart"/>
      <w:r>
        <w:rPr>
          <w:color w:val="221F1F"/>
        </w:rPr>
        <w:t>i</w:t>
      </w:r>
      <w:proofErr w:type="spellEnd"/>
      <w:r>
        <w:rPr>
          <w:color w:val="221F1F"/>
        </w:rPr>
        <w:t>) is more than amount established in item 13.2.3 (c (ii), it shall result in a price variation to the Procuring Entity.</w:t>
      </w:r>
    </w:p>
    <w:p w:rsidR="007F6DF9" w:rsidRDefault="00A43FBC">
      <w:pPr>
        <w:pStyle w:val="Heading9"/>
        <w:numPr>
          <w:ilvl w:val="1"/>
          <w:numId w:val="94"/>
        </w:numPr>
        <w:tabs>
          <w:tab w:val="left" w:pos="1364"/>
        </w:tabs>
        <w:spacing w:before="238"/>
        <w:ind w:left="1364"/>
      </w:pPr>
      <w:r>
        <w:rPr>
          <w:color w:val="221F1F"/>
          <w:spacing w:val="-2"/>
        </w:rPr>
        <w:t>Variation</w:t>
      </w:r>
      <w:r>
        <w:rPr>
          <w:color w:val="221F1F"/>
          <w:spacing w:val="-6"/>
        </w:rPr>
        <w:t xml:space="preserve"> </w:t>
      </w:r>
      <w:r>
        <w:rPr>
          <w:color w:val="221F1F"/>
          <w:spacing w:val="-2"/>
        </w:rPr>
        <w:t>Procedure</w:t>
      </w:r>
      <w:r>
        <w:rPr>
          <w:color w:val="221F1F"/>
          <w:spacing w:val="3"/>
        </w:rPr>
        <w:t xml:space="preserve"> </w:t>
      </w:r>
      <w:r>
        <w:rPr>
          <w:color w:val="221F1F"/>
          <w:spacing w:val="-2"/>
        </w:rPr>
        <w:t>for</w:t>
      </w:r>
      <w:r>
        <w:rPr>
          <w:color w:val="221F1F"/>
          <w:spacing w:val="2"/>
        </w:rPr>
        <w:t xml:space="preserve"> </w:t>
      </w:r>
      <w:r>
        <w:rPr>
          <w:color w:val="221F1F"/>
          <w:spacing w:val="-2"/>
        </w:rPr>
        <w:t>Value</w:t>
      </w:r>
      <w:r>
        <w:rPr>
          <w:color w:val="221F1F"/>
          <w:spacing w:val="-9"/>
        </w:rPr>
        <w:t xml:space="preserve"> </w:t>
      </w:r>
      <w:r>
        <w:rPr>
          <w:color w:val="221F1F"/>
          <w:spacing w:val="-2"/>
        </w:rPr>
        <w:t>Engineering</w:t>
      </w:r>
      <w:r>
        <w:rPr>
          <w:color w:val="221F1F"/>
          <w:spacing w:val="4"/>
        </w:rPr>
        <w:t xml:space="preserve"> </w:t>
      </w:r>
      <w:r>
        <w:rPr>
          <w:color w:val="221F1F"/>
          <w:spacing w:val="-2"/>
        </w:rPr>
        <w:t>proposal</w:t>
      </w:r>
    </w:p>
    <w:p w:rsidR="007F6DF9" w:rsidRDefault="00A43FBC">
      <w:pPr>
        <w:pStyle w:val="ListParagraph"/>
        <w:numPr>
          <w:ilvl w:val="2"/>
          <w:numId w:val="94"/>
        </w:numPr>
        <w:tabs>
          <w:tab w:val="left" w:pos="1357"/>
        </w:tabs>
        <w:spacing w:before="240" w:line="230" w:lineRule="auto"/>
        <w:ind w:left="1357" w:right="563"/>
      </w:pPr>
      <w:r>
        <w:rPr>
          <w:color w:val="221F1F"/>
        </w:rPr>
        <w:t>If</w:t>
      </w:r>
      <w:r>
        <w:rPr>
          <w:color w:val="221F1F"/>
          <w:spacing w:val="-5"/>
        </w:rPr>
        <w:t xml:space="preserve"> </w:t>
      </w:r>
      <w:r>
        <w:rPr>
          <w:color w:val="221F1F"/>
        </w:rPr>
        <w:t>the</w:t>
      </w:r>
      <w:r>
        <w:rPr>
          <w:color w:val="221F1F"/>
          <w:spacing w:val="-5"/>
        </w:rPr>
        <w:t xml:space="preserve"> </w:t>
      </w:r>
      <w:r>
        <w:rPr>
          <w:color w:val="221F1F"/>
        </w:rPr>
        <w:t>Architect</w:t>
      </w:r>
      <w:r>
        <w:rPr>
          <w:color w:val="221F1F"/>
          <w:spacing w:val="-6"/>
        </w:rPr>
        <w:t xml:space="preserve"> </w:t>
      </w:r>
      <w:r>
        <w:rPr>
          <w:color w:val="221F1F"/>
        </w:rPr>
        <w:t>requests</w:t>
      </w:r>
      <w:r>
        <w:rPr>
          <w:color w:val="221F1F"/>
          <w:spacing w:val="-5"/>
        </w:rPr>
        <w:t xml:space="preserve"> </w:t>
      </w:r>
      <w:r>
        <w:rPr>
          <w:color w:val="221F1F"/>
        </w:rPr>
        <w:t>a</w:t>
      </w:r>
      <w:r>
        <w:rPr>
          <w:color w:val="221F1F"/>
          <w:spacing w:val="-5"/>
        </w:rPr>
        <w:t xml:space="preserve"> </w:t>
      </w:r>
      <w:r>
        <w:rPr>
          <w:color w:val="221F1F"/>
        </w:rPr>
        <w:t>proposal,</w:t>
      </w:r>
      <w:r>
        <w:rPr>
          <w:color w:val="221F1F"/>
          <w:spacing w:val="-5"/>
        </w:rPr>
        <w:t xml:space="preserve"> </w:t>
      </w:r>
      <w:r>
        <w:rPr>
          <w:color w:val="221F1F"/>
        </w:rPr>
        <w:t>prior</w:t>
      </w:r>
      <w:r>
        <w:rPr>
          <w:color w:val="221F1F"/>
          <w:spacing w:val="-7"/>
        </w:rPr>
        <w:t xml:space="preserve"> </w:t>
      </w:r>
      <w:r>
        <w:rPr>
          <w:color w:val="221F1F"/>
        </w:rPr>
        <w:t>to</w:t>
      </w:r>
      <w:r>
        <w:rPr>
          <w:color w:val="221F1F"/>
          <w:spacing w:val="-6"/>
        </w:rPr>
        <w:t xml:space="preserve"> </w:t>
      </w:r>
      <w:r>
        <w:rPr>
          <w:color w:val="221F1F"/>
        </w:rPr>
        <w:t>instructing</w:t>
      </w:r>
      <w:r>
        <w:rPr>
          <w:color w:val="221F1F"/>
          <w:spacing w:val="-7"/>
        </w:rPr>
        <w:t xml:space="preserve"> </w:t>
      </w:r>
      <w:r>
        <w:rPr>
          <w:color w:val="221F1F"/>
        </w:rPr>
        <w:t>a</w:t>
      </w:r>
      <w:r>
        <w:rPr>
          <w:color w:val="221F1F"/>
          <w:spacing w:val="-5"/>
        </w:rPr>
        <w:t xml:space="preserve"> </w:t>
      </w:r>
      <w:r>
        <w:rPr>
          <w:color w:val="221F1F"/>
        </w:rPr>
        <w:t>Variation,</w:t>
      </w:r>
      <w:r>
        <w:rPr>
          <w:color w:val="221F1F"/>
          <w:spacing w:val="-13"/>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shall</w:t>
      </w:r>
      <w:r>
        <w:rPr>
          <w:color w:val="221F1F"/>
          <w:spacing w:val="-4"/>
        </w:rPr>
        <w:t xml:space="preserve"> </w:t>
      </w:r>
      <w:r>
        <w:rPr>
          <w:color w:val="221F1F"/>
        </w:rPr>
        <w:t>respond</w:t>
      </w:r>
      <w:r>
        <w:rPr>
          <w:color w:val="221F1F"/>
          <w:spacing w:val="-5"/>
        </w:rPr>
        <w:t xml:space="preserve"> </w:t>
      </w:r>
      <w:r>
        <w:rPr>
          <w:color w:val="221F1F"/>
        </w:rPr>
        <w:t>in</w:t>
      </w:r>
      <w:r>
        <w:rPr>
          <w:color w:val="221F1F"/>
          <w:spacing w:val="-6"/>
        </w:rPr>
        <w:t xml:space="preserve"> </w:t>
      </w:r>
      <w:proofErr w:type="spellStart"/>
      <w:r>
        <w:rPr>
          <w:color w:val="221F1F"/>
        </w:rPr>
        <w:t>writinga</w:t>
      </w:r>
      <w:proofErr w:type="spellEnd"/>
      <w:r>
        <w:rPr>
          <w:color w:val="221F1F"/>
          <w:spacing w:val="-7"/>
        </w:rPr>
        <w:t xml:space="preserve"> </w:t>
      </w:r>
      <w:r>
        <w:rPr>
          <w:color w:val="221F1F"/>
        </w:rPr>
        <w:t>s soon as practicable, either by giving reasons why he cannot comply (if this is the case) or by submitting:</w:t>
      </w:r>
    </w:p>
    <w:p w:rsidR="007F6DF9" w:rsidRDefault="00A43FBC">
      <w:pPr>
        <w:pStyle w:val="ListParagraph"/>
        <w:numPr>
          <w:ilvl w:val="3"/>
          <w:numId w:val="94"/>
        </w:numPr>
        <w:tabs>
          <w:tab w:val="left" w:pos="1858"/>
        </w:tabs>
        <w:spacing w:line="240" w:lineRule="exact"/>
        <w:ind w:hanging="494"/>
      </w:pPr>
      <w:r>
        <w:rPr>
          <w:color w:val="221F1F"/>
        </w:rPr>
        <w:t>A</w:t>
      </w:r>
      <w:r>
        <w:rPr>
          <w:color w:val="221F1F"/>
          <w:spacing w:val="-6"/>
        </w:rPr>
        <w:t xml:space="preserve"> </w:t>
      </w:r>
      <w:r>
        <w:rPr>
          <w:color w:val="221F1F"/>
        </w:rPr>
        <w:t>description</w:t>
      </w:r>
      <w:r>
        <w:rPr>
          <w:color w:val="221F1F"/>
          <w:spacing w:val="-2"/>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proposed</w:t>
      </w:r>
      <w:r>
        <w:rPr>
          <w:color w:val="221F1F"/>
          <w:spacing w:val="-2"/>
        </w:rPr>
        <w:t xml:space="preserve"> </w:t>
      </w:r>
      <w:r>
        <w:rPr>
          <w:color w:val="221F1F"/>
        </w:rPr>
        <w:t>work</w:t>
      </w:r>
      <w:r>
        <w:rPr>
          <w:color w:val="221F1F"/>
          <w:spacing w:val="-4"/>
        </w:rPr>
        <w:t xml:space="preserve"> </w:t>
      </w:r>
      <w:r>
        <w:rPr>
          <w:color w:val="221F1F"/>
        </w:rPr>
        <w:t>to</w:t>
      </w:r>
      <w:r>
        <w:rPr>
          <w:color w:val="221F1F"/>
          <w:spacing w:val="-2"/>
        </w:rPr>
        <w:t xml:space="preserve"> </w:t>
      </w:r>
      <w:r>
        <w:rPr>
          <w:color w:val="221F1F"/>
        </w:rPr>
        <w:t>be</w:t>
      </w:r>
      <w:r>
        <w:rPr>
          <w:color w:val="221F1F"/>
          <w:spacing w:val="-5"/>
        </w:rPr>
        <w:t xml:space="preserve"> </w:t>
      </w:r>
      <w:r>
        <w:rPr>
          <w:color w:val="221F1F"/>
        </w:rPr>
        <w:t>performed</w:t>
      </w:r>
      <w:r>
        <w:rPr>
          <w:color w:val="221F1F"/>
          <w:spacing w:val="-1"/>
        </w:rPr>
        <w:t xml:space="preserve"> </w:t>
      </w:r>
      <w:r>
        <w:rPr>
          <w:color w:val="221F1F"/>
        </w:rPr>
        <w:t>and</w:t>
      </w:r>
      <w:r>
        <w:rPr>
          <w:color w:val="221F1F"/>
          <w:spacing w:val="-2"/>
        </w:rPr>
        <w:t xml:space="preserve"> </w:t>
      </w:r>
      <w:r>
        <w:rPr>
          <w:color w:val="221F1F"/>
        </w:rPr>
        <w:t>a</w:t>
      </w:r>
      <w:r>
        <w:rPr>
          <w:color w:val="221F1F"/>
          <w:spacing w:val="-3"/>
        </w:rPr>
        <w:t xml:space="preserve"> </w:t>
      </w:r>
      <w:proofErr w:type="spellStart"/>
      <w:r>
        <w:rPr>
          <w:color w:val="221F1F"/>
        </w:rPr>
        <w:t>programme</w:t>
      </w:r>
      <w:proofErr w:type="spellEnd"/>
      <w:r>
        <w:rPr>
          <w:color w:val="221F1F"/>
          <w:spacing w:val="-4"/>
        </w:rPr>
        <w:t xml:space="preserve"> </w:t>
      </w:r>
      <w:r>
        <w:rPr>
          <w:color w:val="221F1F"/>
        </w:rPr>
        <w:t>for</w:t>
      </w:r>
      <w:r>
        <w:rPr>
          <w:color w:val="221F1F"/>
          <w:spacing w:val="-4"/>
        </w:rPr>
        <w:t xml:space="preserve"> </w:t>
      </w:r>
      <w:r>
        <w:rPr>
          <w:color w:val="221F1F"/>
        </w:rPr>
        <w:t>its</w:t>
      </w:r>
      <w:r>
        <w:rPr>
          <w:color w:val="221F1F"/>
          <w:spacing w:val="-1"/>
        </w:rPr>
        <w:t xml:space="preserve"> </w:t>
      </w:r>
      <w:r>
        <w:rPr>
          <w:color w:val="221F1F"/>
          <w:spacing w:val="-2"/>
        </w:rPr>
        <w:t>execution,</w:t>
      </w:r>
    </w:p>
    <w:p w:rsidR="007F6DF9" w:rsidRDefault="00A43FBC">
      <w:pPr>
        <w:pStyle w:val="ListParagraph"/>
        <w:numPr>
          <w:ilvl w:val="3"/>
          <w:numId w:val="94"/>
        </w:numPr>
        <w:tabs>
          <w:tab w:val="left" w:pos="1858"/>
        </w:tabs>
        <w:spacing w:line="246" w:lineRule="exact"/>
        <w:ind w:hanging="494"/>
      </w:pPr>
      <w:r>
        <w:rPr>
          <w:color w:val="221F1F"/>
        </w:rPr>
        <w:t>the</w:t>
      </w:r>
      <w:r>
        <w:rPr>
          <w:color w:val="221F1F"/>
          <w:spacing w:val="-6"/>
        </w:rPr>
        <w:t xml:space="preserve"> </w:t>
      </w:r>
      <w:r>
        <w:rPr>
          <w:color w:val="221F1F"/>
        </w:rPr>
        <w:t>Contractor's</w:t>
      </w:r>
      <w:r>
        <w:rPr>
          <w:color w:val="221F1F"/>
          <w:spacing w:val="-5"/>
        </w:rPr>
        <w:t xml:space="preserve"> </w:t>
      </w:r>
      <w:r>
        <w:rPr>
          <w:color w:val="221F1F"/>
        </w:rPr>
        <w:t>proposal</w:t>
      </w:r>
      <w:r>
        <w:rPr>
          <w:color w:val="221F1F"/>
          <w:spacing w:val="-5"/>
        </w:rPr>
        <w:t xml:space="preserve"> </w:t>
      </w:r>
      <w:r>
        <w:rPr>
          <w:color w:val="221F1F"/>
        </w:rPr>
        <w:t>for</w:t>
      </w:r>
      <w:r>
        <w:rPr>
          <w:color w:val="221F1F"/>
          <w:spacing w:val="-5"/>
        </w:rPr>
        <w:t xml:space="preserve"> </w:t>
      </w:r>
      <w:r>
        <w:rPr>
          <w:color w:val="221F1F"/>
        </w:rPr>
        <w:t>any</w:t>
      </w:r>
      <w:r>
        <w:rPr>
          <w:color w:val="221F1F"/>
          <w:spacing w:val="-5"/>
        </w:rPr>
        <w:t xml:space="preserve"> </w:t>
      </w:r>
      <w:r>
        <w:rPr>
          <w:color w:val="221F1F"/>
        </w:rPr>
        <w:t>necessary</w:t>
      </w:r>
      <w:r>
        <w:rPr>
          <w:color w:val="221F1F"/>
          <w:spacing w:val="-8"/>
        </w:rPr>
        <w:t xml:space="preserve"> </w:t>
      </w:r>
      <w:r>
        <w:rPr>
          <w:color w:val="221F1F"/>
        </w:rPr>
        <w:t>modifications</w:t>
      </w:r>
      <w:r>
        <w:rPr>
          <w:color w:val="221F1F"/>
          <w:spacing w:val="-4"/>
        </w:rPr>
        <w:t xml:space="preserve"> </w:t>
      </w:r>
      <w:r>
        <w:rPr>
          <w:color w:val="221F1F"/>
        </w:rPr>
        <w:t>to</w:t>
      </w:r>
      <w:r>
        <w:rPr>
          <w:color w:val="221F1F"/>
          <w:spacing w:val="-9"/>
        </w:rPr>
        <w:t xml:space="preserve"> </w:t>
      </w:r>
      <w:r>
        <w:rPr>
          <w:color w:val="221F1F"/>
        </w:rPr>
        <w:t>the</w:t>
      </w:r>
      <w:r>
        <w:rPr>
          <w:color w:val="221F1F"/>
          <w:spacing w:val="-7"/>
        </w:rPr>
        <w:t xml:space="preserve"> </w:t>
      </w:r>
      <w:proofErr w:type="spellStart"/>
      <w:r>
        <w:rPr>
          <w:color w:val="221F1F"/>
        </w:rPr>
        <w:t>programme</w:t>
      </w:r>
      <w:proofErr w:type="spellEnd"/>
      <w:r>
        <w:rPr>
          <w:color w:val="221F1F"/>
          <w:spacing w:val="-5"/>
        </w:rPr>
        <w:t xml:space="preserve"> </w:t>
      </w:r>
      <w:r>
        <w:rPr>
          <w:color w:val="221F1F"/>
        </w:rPr>
        <w:t>according</w:t>
      </w:r>
      <w:r>
        <w:rPr>
          <w:color w:val="221F1F"/>
          <w:spacing w:val="-4"/>
        </w:rPr>
        <w:t xml:space="preserve"> </w:t>
      </w:r>
      <w:r>
        <w:rPr>
          <w:color w:val="221F1F"/>
        </w:rPr>
        <w:t>to</w:t>
      </w:r>
      <w:r>
        <w:rPr>
          <w:color w:val="221F1F"/>
          <w:spacing w:val="-6"/>
        </w:rPr>
        <w:t xml:space="preserve"> </w:t>
      </w:r>
      <w:r>
        <w:rPr>
          <w:color w:val="221F1F"/>
        </w:rPr>
        <w:t>Sub-</w:t>
      </w:r>
      <w:r>
        <w:rPr>
          <w:color w:val="221F1F"/>
          <w:spacing w:val="-2"/>
        </w:rPr>
        <w:t>Clause</w:t>
      </w:r>
    </w:p>
    <w:p w:rsidR="007F6DF9" w:rsidRDefault="00A43FBC">
      <w:pPr>
        <w:pStyle w:val="BodyText"/>
        <w:spacing w:line="242" w:lineRule="exact"/>
        <w:ind w:left="1873"/>
      </w:pPr>
      <w:r>
        <w:rPr>
          <w:color w:val="221F1F"/>
        </w:rPr>
        <w:t>8.3</w:t>
      </w:r>
      <w:r>
        <w:rPr>
          <w:color w:val="221F1F"/>
          <w:spacing w:val="-3"/>
        </w:rPr>
        <w:t xml:space="preserve"> </w:t>
      </w:r>
      <w:r>
        <w:rPr>
          <w:color w:val="221F1F"/>
        </w:rPr>
        <w:t>[</w:t>
      </w:r>
      <w:proofErr w:type="spellStart"/>
      <w:r>
        <w:rPr>
          <w:color w:val="221F1F"/>
        </w:rPr>
        <w:t>Programme</w:t>
      </w:r>
      <w:proofErr w:type="spellEnd"/>
      <w:r>
        <w:rPr>
          <w:color w:val="221F1F"/>
        </w:rPr>
        <w:t>]</w:t>
      </w:r>
      <w:r>
        <w:rPr>
          <w:color w:val="221F1F"/>
          <w:spacing w:val="-1"/>
        </w:rPr>
        <w:t xml:space="preserve"> </w:t>
      </w:r>
      <w:r>
        <w:rPr>
          <w:color w:val="221F1F"/>
        </w:rPr>
        <w:t>and</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Time</w:t>
      </w:r>
      <w:r>
        <w:rPr>
          <w:color w:val="221F1F"/>
          <w:spacing w:val="-3"/>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spacing w:val="-5"/>
        </w:rPr>
        <w:t>and</w:t>
      </w:r>
    </w:p>
    <w:p w:rsidR="007F6DF9" w:rsidRDefault="00A43FBC">
      <w:pPr>
        <w:pStyle w:val="ListParagraph"/>
        <w:numPr>
          <w:ilvl w:val="3"/>
          <w:numId w:val="94"/>
        </w:numPr>
        <w:tabs>
          <w:tab w:val="left" w:pos="1858"/>
        </w:tabs>
        <w:spacing w:line="248" w:lineRule="exact"/>
        <w:ind w:hanging="494"/>
      </w:pPr>
      <w:r>
        <w:rPr>
          <w:color w:val="221F1F"/>
        </w:rPr>
        <w:t>the</w:t>
      </w:r>
      <w:r>
        <w:rPr>
          <w:color w:val="221F1F"/>
          <w:spacing w:val="-4"/>
        </w:rPr>
        <w:t xml:space="preserve"> </w:t>
      </w:r>
      <w:r>
        <w:rPr>
          <w:color w:val="221F1F"/>
        </w:rPr>
        <w:t>Contractor's</w:t>
      </w:r>
      <w:r>
        <w:rPr>
          <w:color w:val="221F1F"/>
          <w:spacing w:val="-3"/>
        </w:rPr>
        <w:t xml:space="preserve"> </w:t>
      </w:r>
      <w:r>
        <w:rPr>
          <w:color w:val="221F1F"/>
        </w:rPr>
        <w:t>proposal</w:t>
      </w:r>
      <w:r>
        <w:rPr>
          <w:color w:val="221F1F"/>
          <w:spacing w:val="-4"/>
        </w:rPr>
        <w:t xml:space="preserve"> </w:t>
      </w:r>
      <w:r>
        <w:rPr>
          <w:color w:val="221F1F"/>
        </w:rPr>
        <w:t>for</w:t>
      </w:r>
      <w:r>
        <w:rPr>
          <w:color w:val="221F1F"/>
          <w:spacing w:val="-3"/>
        </w:rPr>
        <w:t xml:space="preserve"> </w:t>
      </w:r>
      <w:r>
        <w:rPr>
          <w:color w:val="221F1F"/>
        </w:rPr>
        <w:t>evaluation</w:t>
      </w:r>
      <w:r>
        <w:rPr>
          <w:color w:val="221F1F"/>
          <w:spacing w:val="-4"/>
        </w:rPr>
        <w:t xml:space="preserve"> </w:t>
      </w:r>
      <w:r>
        <w:rPr>
          <w:color w:val="221F1F"/>
        </w:rPr>
        <w:t>of</w:t>
      </w:r>
      <w:r>
        <w:rPr>
          <w:color w:val="221F1F"/>
          <w:spacing w:val="-6"/>
        </w:rPr>
        <w:t xml:space="preserve"> </w:t>
      </w:r>
      <w:r>
        <w:rPr>
          <w:color w:val="221F1F"/>
        </w:rPr>
        <w:t>the</w:t>
      </w:r>
      <w:r>
        <w:rPr>
          <w:color w:val="221F1F"/>
          <w:spacing w:val="-3"/>
        </w:rPr>
        <w:t xml:space="preserve"> </w:t>
      </w:r>
      <w:r>
        <w:rPr>
          <w:color w:val="221F1F"/>
          <w:spacing w:val="-2"/>
        </w:rPr>
        <w:t>Variation.</w:t>
      </w:r>
    </w:p>
    <w:p w:rsidR="007F6DF9" w:rsidRDefault="00A43FBC">
      <w:pPr>
        <w:pStyle w:val="ListParagraph"/>
        <w:numPr>
          <w:ilvl w:val="2"/>
          <w:numId w:val="94"/>
        </w:numPr>
        <w:tabs>
          <w:tab w:val="left" w:pos="1354"/>
          <w:tab w:val="left" w:pos="1357"/>
        </w:tabs>
        <w:spacing w:before="243" w:line="230" w:lineRule="auto"/>
        <w:ind w:left="1357" w:right="557"/>
        <w:jc w:val="both"/>
      </w:pPr>
      <w:r>
        <w:rPr>
          <w:color w:val="221F1F"/>
        </w:rPr>
        <w:t>The</w:t>
      </w:r>
      <w:r>
        <w:rPr>
          <w:color w:val="221F1F"/>
          <w:spacing w:val="-14"/>
        </w:rPr>
        <w:t xml:space="preserve"> </w:t>
      </w:r>
      <w:r>
        <w:rPr>
          <w:color w:val="221F1F"/>
        </w:rPr>
        <w:t>Architect</w:t>
      </w:r>
      <w:r>
        <w:rPr>
          <w:color w:val="221F1F"/>
          <w:spacing w:val="-14"/>
        </w:rPr>
        <w:t xml:space="preserve"> </w:t>
      </w:r>
      <w:r>
        <w:rPr>
          <w:color w:val="221F1F"/>
        </w:rPr>
        <w:t>shall,</w:t>
      </w:r>
      <w:r>
        <w:rPr>
          <w:color w:val="221F1F"/>
          <w:spacing w:val="-14"/>
        </w:rPr>
        <w:t xml:space="preserve"> </w:t>
      </w:r>
      <w:r>
        <w:rPr>
          <w:color w:val="221F1F"/>
        </w:rPr>
        <w:t>as</w:t>
      </w:r>
      <w:r>
        <w:rPr>
          <w:color w:val="221F1F"/>
          <w:spacing w:val="-13"/>
        </w:rPr>
        <w:t xml:space="preserve"> </w:t>
      </w:r>
      <w:r>
        <w:rPr>
          <w:color w:val="221F1F"/>
        </w:rPr>
        <w:t>soon</w:t>
      </w:r>
      <w:r>
        <w:rPr>
          <w:color w:val="221F1F"/>
          <w:spacing w:val="-14"/>
        </w:rPr>
        <w:t xml:space="preserve"> </w:t>
      </w:r>
      <w:r>
        <w:rPr>
          <w:color w:val="221F1F"/>
        </w:rPr>
        <w:t>as</w:t>
      </w:r>
      <w:r>
        <w:rPr>
          <w:color w:val="221F1F"/>
          <w:spacing w:val="-14"/>
        </w:rPr>
        <w:t xml:space="preserve"> </w:t>
      </w:r>
      <w:r>
        <w:rPr>
          <w:color w:val="221F1F"/>
        </w:rPr>
        <w:t>practicable</w:t>
      </w:r>
      <w:r>
        <w:rPr>
          <w:color w:val="221F1F"/>
          <w:spacing w:val="-14"/>
        </w:rPr>
        <w:t xml:space="preserve"> </w:t>
      </w:r>
      <w:r>
        <w:rPr>
          <w:color w:val="221F1F"/>
        </w:rPr>
        <w:t>after</w:t>
      </w:r>
      <w:r>
        <w:rPr>
          <w:color w:val="221F1F"/>
          <w:spacing w:val="-13"/>
        </w:rPr>
        <w:t xml:space="preserve"> </w:t>
      </w:r>
      <w:r>
        <w:rPr>
          <w:color w:val="221F1F"/>
        </w:rPr>
        <w:t>receiving</w:t>
      </w:r>
      <w:r>
        <w:rPr>
          <w:color w:val="221F1F"/>
          <w:spacing w:val="-14"/>
        </w:rPr>
        <w:t xml:space="preserve"> </w:t>
      </w:r>
      <w:r>
        <w:rPr>
          <w:color w:val="221F1F"/>
        </w:rPr>
        <w:t>such</w:t>
      </w:r>
      <w:r>
        <w:rPr>
          <w:color w:val="221F1F"/>
          <w:spacing w:val="-14"/>
        </w:rPr>
        <w:t xml:space="preserve"> </w:t>
      </w:r>
      <w:r>
        <w:rPr>
          <w:color w:val="221F1F"/>
        </w:rPr>
        <w:t>proposal</w:t>
      </w:r>
      <w:r>
        <w:rPr>
          <w:color w:val="221F1F"/>
          <w:spacing w:val="-14"/>
        </w:rPr>
        <w:t xml:space="preserve"> </w:t>
      </w:r>
      <w:r>
        <w:rPr>
          <w:color w:val="221F1F"/>
        </w:rPr>
        <w:t>(under</w:t>
      </w:r>
      <w:r>
        <w:rPr>
          <w:color w:val="221F1F"/>
          <w:spacing w:val="-13"/>
        </w:rPr>
        <w:t xml:space="preserve"> </w:t>
      </w:r>
      <w:r>
        <w:rPr>
          <w:color w:val="221F1F"/>
        </w:rPr>
        <w:t>Sub-Clause</w:t>
      </w:r>
      <w:r>
        <w:rPr>
          <w:color w:val="221F1F"/>
          <w:spacing w:val="-14"/>
        </w:rPr>
        <w:t xml:space="preserve"> </w:t>
      </w:r>
      <w:r>
        <w:rPr>
          <w:color w:val="221F1F"/>
        </w:rPr>
        <w:t>13.2</w:t>
      </w:r>
      <w:r>
        <w:rPr>
          <w:color w:val="221F1F"/>
          <w:spacing w:val="-14"/>
        </w:rPr>
        <w:t xml:space="preserve"> </w:t>
      </w:r>
      <w:r>
        <w:rPr>
          <w:color w:val="221F1F"/>
        </w:rPr>
        <w:t>[Value</w:t>
      </w:r>
      <w:r>
        <w:rPr>
          <w:color w:val="221F1F"/>
          <w:spacing w:val="-14"/>
        </w:rPr>
        <w:t xml:space="preserve"> </w:t>
      </w:r>
      <w:r>
        <w:rPr>
          <w:color w:val="221F1F"/>
        </w:rPr>
        <w:t>Project Engineering]</w:t>
      </w:r>
      <w:r>
        <w:rPr>
          <w:color w:val="221F1F"/>
          <w:spacing w:val="-4"/>
        </w:rPr>
        <w:t xml:space="preserve"> </w:t>
      </w:r>
      <w:r>
        <w:rPr>
          <w:color w:val="221F1F"/>
        </w:rPr>
        <w:t>or</w:t>
      </w:r>
      <w:r>
        <w:rPr>
          <w:color w:val="221F1F"/>
          <w:spacing w:val="-4"/>
        </w:rPr>
        <w:t xml:space="preserve"> </w:t>
      </w:r>
      <w:r>
        <w:rPr>
          <w:color w:val="221F1F"/>
        </w:rPr>
        <w:t>otherwise),</w:t>
      </w:r>
      <w:r>
        <w:rPr>
          <w:color w:val="221F1F"/>
          <w:spacing w:val="-5"/>
        </w:rPr>
        <w:t xml:space="preserve"> </w:t>
      </w:r>
      <w:r>
        <w:rPr>
          <w:color w:val="221F1F"/>
        </w:rPr>
        <w:t>respond</w:t>
      </w:r>
      <w:r>
        <w:rPr>
          <w:color w:val="221F1F"/>
          <w:spacing w:val="-2"/>
        </w:rPr>
        <w:t xml:space="preserve"> </w:t>
      </w:r>
      <w:r>
        <w:rPr>
          <w:color w:val="221F1F"/>
        </w:rPr>
        <w:t>with</w:t>
      </w:r>
      <w:r>
        <w:rPr>
          <w:color w:val="221F1F"/>
          <w:spacing w:val="-5"/>
        </w:rPr>
        <w:t xml:space="preserve"> </w:t>
      </w:r>
      <w:r>
        <w:rPr>
          <w:color w:val="221F1F"/>
        </w:rPr>
        <w:t>approval,</w:t>
      </w:r>
      <w:r>
        <w:rPr>
          <w:color w:val="221F1F"/>
          <w:spacing w:val="-2"/>
        </w:rPr>
        <w:t xml:space="preserve"> </w:t>
      </w:r>
      <w:r>
        <w:rPr>
          <w:color w:val="221F1F"/>
        </w:rPr>
        <w:t>disapproval</w:t>
      </w:r>
      <w:r>
        <w:rPr>
          <w:color w:val="221F1F"/>
          <w:spacing w:val="-4"/>
        </w:rPr>
        <w:t xml:space="preserve"> </w:t>
      </w:r>
      <w:r>
        <w:rPr>
          <w:color w:val="221F1F"/>
        </w:rPr>
        <w:t>or</w:t>
      </w:r>
      <w:r>
        <w:rPr>
          <w:color w:val="221F1F"/>
          <w:spacing w:val="-4"/>
        </w:rPr>
        <w:t xml:space="preserve"> </w:t>
      </w:r>
      <w:r>
        <w:rPr>
          <w:color w:val="221F1F"/>
        </w:rPr>
        <w:t>comments.</w:t>
      </w:r>
      <w:r>
        <w:rPr>
          <w:color w:val="221F1F"/>
          <w:spacing w:val="-2"/>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1"/>
        </w:rPr>
        <w:t xml:space="preserve"> </w:t>
      </w:r>
      <w:r>
        <w:rPr>
          <w:color w:val="221F1F"/>
        </w:rPr>
        <w:t xml:space="preserve">not delay any work whilst </w:t>
      </w:r>
      <w:proofErr w:type="spellStart"/>
      <w:r>
        <w:rPr>
          <w:color w:val="221F1F"/>
        </w:rPr>
        <w:t>a waiting</w:t>
      </w:r>
      <w:proofErr w:type="spellEnd"/>
      <w:r>
        <w:rPr>
          <w:color w:val="221F1F"/>
        </w:rPr>
        <w:t xml:space="preserve"> a response.</w:t>
      </w:r>
    </w:p>
    <w:p w:rsidR="007F6DF9" w:rsidRDefault="00A43FBC">
      <w:pPr>
        <w:pStyle w:val="ListParagraph"/>
        <w:numPr>
          <w:ilvl w:val="2"/>
          <w:numId w:val="94"/>
        </w:numPr>
        <w:tabs>
          <w:tab w:val="left" w:pos="1357"/>
        </w:tabs>
        <w:spacing w:before="246" w:line="230" w:lineRule="auto"/>
        <w:ind w:left="1357" w:right="562"/>
      </w:pPr>
      <w:r>
        <w:rPr>
          <w:color w:val="221F1F"/>
        </w:rPr>
        <w:t>Each instruction to execute a Variation,</w:t>
      </w:r>
      <w:r>
        <w:rPr>
          <w:color w:val="221F1F"/>
          <w:spacing w:val="-3"/>
        </w:rPr>
        <w:t xml:space="preserve"> </w:t>
      </w:r>
      <w:r>
        <w:rPr>
          <w:color w:val="221F1F"/>
        </w:rPr>
        <w:t>with any requirements for the recording of Costs, shall be issued by the Architect to the Contractor, who shall acknowledge receipt.</w:t>
      </w:r>
    </w:p>
    <w:p w:rsidR="007F6DF9" w:rsidRDefault="00A43FBC">
      <w:pPr>
        <w:pStyle w:val="ListParagraph"/>
        <w:numPr>
          <w:ilvl w:val="2"/>
          <w:numId w:val="94"/>
        </w:numPr>
        <w:tabs>
          <w:tab w:val="left" w:pos="1357"/>
        </w:tabs>
        <w:spacing w:before="244" w:line="230" w:lineRule="auto"/>
        <w:ind w:left="1357" w:right="572"/>
      </w:pPr>
      <w:r>
        <w:rPr>
          <w:color w:val="221F1F"/>
        </w:rPr>
        <w:t>Each Variation shall be evaluated in accordance with Clause 12 [Measurement and Evaluation], unless the Architect instructs or approves otherwise in accordance with this Clause.</w:t>
      </w:r>
    </w:p>
    <w:p w:rsidR="007F6DF9" w:rsidRDefault="00A43FBC">
      <w:pPr>
        <w:pStyle w:val="Heading9"/>
        <w:numPr>
          <w:ilvl w:val="1"/>
          <w:numId w:val="94"/>
        </w:numPr>
        <w:tabs>
          <w:tab w:val="left" w:pos="1364"/>
        </w:tabs>
        <w:spacing w:before="236"/>
        <w:ind w:left="1364"/>
      </w:pPr>
      <w:proofErr w:type="spellStart"/>
      <w:r>
        <w:rPr>
          <w:color w:val="221F1F"/>
        </w:rPr>
        <w:t>Paymentin</w:t>
      </w:r>
      <w:proofErr w:type="spellEnd"/>
      <w:r>
        <w:rPr>
          <w:color w:val="221F1F"/>
          <w:spacing w:val="-7"/>
        </w:rPr>
        <w:t xml:space="preserve"> </w:t>
      </w:r>
      <w:r>
        <w:rPr>
          <w:color w:val="221F1F"/>
        </w:rPr>
        <w:t>Applicable</w:t>
      </w:r>
      <w:r>
        <w:rPr>
          <w:color w:val="221F1F"/>
          <w:spacing w:val="-6"/>
        </w:rPr>
        <w:t xml:space="preserve"> </w:t>
      </w:r>
      <w:r>
        <w:rPr>
          <w:color w:val="221F1F"/>
          <w:spacing w:val="-2"/>
        </w:rPr>
        <w:t>Currencies</w:t>
      </w:r>
    </w:p>
    <w:p w:rsidR="007F6DF9" w:rsidRDefault="00A43FBC">
      <w:pPr>
        <w:pStyle w:val="BodyText"/>
        <w:spacing w:before="242" w:line="230" w:lineRule="auto"/>
        <w:ind w:left="1357" w:right="563" w:firstLine="7"/>
        <w:jc w:val="both"/>
      </w:pPr>
      <w:r>
        <w:rPr>
          <w:color w:val="221F1F"/>
        </w:rPr>
        <w:t>If the Contract provides for payment of the Contract Price in more than one currency, then whenever an adjustment is agreed, approved or determined as stated above, the amount payable in each of the applicable currencies shall be specified. For this purpose, reference shall be made to the actual or expected currency proportions</w:t>
      </w:r>
      <w:r>
        <w:rPr>
          <w:color w:val="221F1F"/>
          <w:spacing w:val="-6"/>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Cost</w:t>
      </w:r>
      <w:r>
        <w:rPr>
          <w:color w:val="221F1F"/>
          <w:spacing w:val="-6"/>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varied</w:t>
      </w:r>
      <w:r>
        <w:rPr>
          <w:color w:val="221F1F"/>
          <w:spacing w:val="-4"/>
        </w:rPr>
        <w:t xml:space="preserve"> </w:t>
      </w:r>
      <w:r>
        <w:rPr>
          <w:color w:val="221F1F"/>
        </w:rPr>
        <w:t>work,</w:t>
      </w:r>
      <w:r>
        <w:rPr>
          <w:color w:val="221F1F"/>
          <w:spacing w:val="-7"/>
        </w:rPr>
        <w:t xml:space="preserve"> </w:t>
      </w:r>
      <w:r>
        <w:rPr>
          <w:color w:val="221F1F"/>
        </w:rPr>
        <w:t>and</w:t>
      </w:r>
      <w:r>
        <w:rPr>
          <w:color w:val="221F1F"/>
          <w:spacing w:val="-7"/>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proportions</w:t>
      </w:r>
      <w:r>
        <w:rPr>
          <w:color w:val="221F1F"/>
          <w:spacing w:val="-6"/>
        </w:rPr>
        <w:t xml:space="preserve"> </w:t>
      </w:r>
      <w:r>
        <w:rPr>
          <w:color w:val="221F1F"/>
        </w:rPr>
        <w:t>of</w:t>
      </w:r>
      <w:r>
        <w:rPr>
          <w:color w:val="221F1F"/>
          <w:spacing w:val="-6"/>
        </w:rPr>
        <w:t xml:space="preserve"> </w:t>
      </w:r>
      <w:r>
        <w:rPr>
          <w:color w:val="221F1F"/>
        </w:rPr>
        <w:t>various</w:t>
      </w:r>
      <w:r>
        <w:rPr>
          <w:color w:val="221F1F"/>
          <w:spacing w:val="-4"/>
        </w:rPr>
        <w:t xml:space="preserve"> </w:t>
      </w:r>
      <w:r>
        <w:rPr>
          <w:color w:val="221F1F"/>
        </w:rPr>
        <w:t>currencies</w:t>
      </w:r>
      <w:r>
        <w:rPr>
          <w:color w:val="221F1F"/>
          <w:spacing w:val="-5"/>
        </w:rPr>
        <w:t xml:space="preserve"> </w:t>
      </w:r>
      <w:r>
        <w:rPr>
          <w:color w:val="221F1F"/>
        </w:rPr>
        <w:t>specified</w:t>
      </w:r>
      <w:r>
        <w:rPr>
          <w:color w:val="221F1F"/>
          <w:spacing w:val="-7"/>
        </w:rPr>
        <w:t xml:space="preserve"> </w:t>
      </w:r>
      <w:r>
        <w:rPr>
          <w:color w:val="221F1F"/>
        </w:rPr>
        <w:t>for</w:t>
      </w:r>
      <w:r>
        <w:rPr>
          <w:color w:val="221F1F"/>
          <w:spacing w:val="-6"/>
        </w:rPr>
        <w:t xml:space="preserve"> </w:t>
      </w:r>
      <w:r>
        <w:rPr>
          <w:color w:val="221F1F"/>
        </w:rPr>
        <w:t>payment of the Contract Price.</w:t>
      </w:r>
    </w:p>
    <w:p w:rsidR="007F6DF9" w:rsidRDefault="00A43FBC">
      <w:pPr>
        <w:pStyle w:val="Heading9"/>
        <w:numPr>
          <w:ilvl w:val="1"/>
          <w:numId w:val="94"/>
        </w:numPr>
        <w:tabs>
          <w:tab w:val="left" w:pos="1364"/>
        </w:tabs>
        <w:spacing w:before="237"/>
        <w:ind w:left="1364"/>
      </w:pPr>
      <w:r>
        <w:rPr>
          <w:color w:val="221F1F"/>
        </w:rPr>
        <w:t>Provisional</w:t>
      </w:r>
      <w:r>
        <w:rPr>
          <w:color w:val="221F1F"/>
          <w:spacing w:val="-6"/>
        </w:rPr>
        <w:t xml:space="preserve"> </w:t>
      </w:r>
      <w:r>
        <w:rPr>
          <w:color w:val="221F1F"/>
          <w:spacing w:val="-4"/>
        </w:rPr>
        <w:t>Sums</w:t>
      </w:r>
    </w:p>
    <w:p w:rsidR="007F6DF9" w:rsidRDefault="00A43FBC">
      <w:pPr>
        <w:pStyle w:val="ListParagraph"/>
        <w:numPr>
          <w:ilvl w:val="2"/>
          <w:numId w:val="94"/>
        </w:numPr>
        <w:tabs>
          <w:tab w:val="left" w:pos="1354"/>
          <w:tab w:val="left" w:pos="1357"/>
        </w:tabs>
        <w:spacing w:before="245" w:line="230" w:lineRule="auto"/>
        <w:ind w:left="1357" w:right="558"/>
        <w:jc w:val="both"/>
      </w:pPr>
      <w:r>
        <w:rPr>
          <w:color w:val="221F1F"/>
        </w:rPr>
        <w:t xml:space="preserve">Each Provisional Sum shall only be used, in whole or </w:t>
      </w:r>
      <w:proofErr w:type="spellStart"/>
      <w:r>
        <w:rPr>
          <w:color w:val="221F1F"/>
        </w:rPr>
        <w:t>inpart</w:t>
      </w:r>
      <w:proofErr w:type="spellEnd"/>
      <w:r>
        <w:rPr>
          <w:color w:val="221F1F"/>
        </w:rPr>
        <w:t xml:space="preserve">, in accordance with the Architect instructions, and the Contract Price shall be adjusted accordingly. The total sum paid to the Contractor shall include </w:t>
      </w:r>
      <w:proofErr w:type="spellStart"/>
      <w:r>
        <w:rPr>
          <w:color w:val="221F1F"/>
        </w:rPr>
        <w:t>onlysuch</w:t>
      </w:r>
      <w:proofErr w:type="spellEnd"/>
      <w:r>
        <w:rPr>
          <w:color w:val="221F1F"/>
        </w:rPr>
        <w:t xml:space="preserve"> amounts, for the work, supplies or services to which the Provisional Sum relates, as the Architect shall have instructed. For each Provisional Sum, the Architect May instruct:</w:t>
      </w:r>
    </w:p>
    <w:p w:rsidR="007F6DF9" w:rsidRDefault="00A43FBC">
      <w:pPr>
        <w:pStyle w:val="ListParagraph"/>
        <w:numPr>
          <w:ilvl w:val="3"/>
          <w:numId w:val="94"/>
        </w:numPr>
        <w:tabs>
          <w:tab w:val="left" w:pos="1856"/>
          <w:tab w:val="left" w:pos="1858"/>
        </w:tabs>
        <w:spacing w:before="118" w:line="230" w:lineRule="auto"/>
        <w:ind w:right="1056"/>
        <w:jc w:val="both"/>
      </w:pPr>
      <w:r>
        <w:rPr>
          <w:color w:val="221F1F"/>
        </w:rPr>
        <w:t>Work</w:t>
      </w:r>
      <w:r>
        <w:rPr>
          <w:color w:val="221F1F"/>
          <w:spacing w:val="-3"/>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executed</w:t>
      </w:r>
      <w:r>
        <w:rPr>
          <w:color w:val="221F1F"/>
          <w:spacing w:val="-1"/>
        </w:rPr>
        <w:t xml:space="preserve"> </w:t>
      </w:r>
      <w:r>
        <w:rPr>
          <w:color w:val="221F1F"/>
        </w:rPr>
        <w:t>(including</w:t>
      </w:r>
      <w:r>
        <w:rPr>
          <w:color w:val="221F1F"/>
          <w:spacing w:val="-2"/>
        </w:rPr>
        <w:t xml:space="preserve"> </w:t>
      </w:r>
      <w:r>
        <w:rPr>
          <w:color w:val="221F1F"/>
        </w:rPr>
        <w:t>Plant,</w:t>
      </w:r>
      <w:r>
        <w:rPr>
          <w:color w:val="221F1F"/>
          <w:spacing w:val="-2"/>
        </w:rPr>
        <w:t xml:space="preserve"> </w:t>
      </w:r>
      <w:proofErr w:type="spellStart"/>
      <w:r>
        <w:rPr>
          <w:color w:val="221F1F"/>
        </w:rPr>
        <w:t>Materialso</w:t>
      </w:r>
      <w:proofErr w:type="spellEnd"/>
      <w:r>
        <w:rPr>
          <w:color w:val="221F1F"/>
          <w:spacing w:val="-1"/>
        </w:rPr>
        <w:t xml:space="preserve"> </w:t>
      </w:r>
      <w:r>
        <w:rPr>
          <w:color w:val="221F1F"/>
        </w:rPr>
        <w:t>r</w:t>
      </w:r>
      <w:r>
        <w:rPr>
          <w:color w:val="221F1F"/>
          <w:spacing w:val="-3"/>
        </w:rPr>
        <w:t xml:space="preserve"> </w:t>
      </w:r>
      <w:r>
        <w:rPr>
          <w:color w:val="221F1F"/>
        </w:rPr>
        <w:t>services</w:t>
      </w:r>
      <w:r>
        <w:rPr>
          <w:color w:val="221F1F"/>
          <w:spacing w:val="-1"/>
        </w:rPr>
        <w:t xml:space="preserve"> </w:t>
      </w:r>
      <w:r>
        <w:rPr>
          <w:color w:val="221F1F"/>
        </w:rPr>
        <w:t>to</w:t>
      </w:r>
      <w:r>
        <w:rPr>
          <w:color w:val="221F1F"/>
          <w:spacing w:val="-4"/>
        </w:rPr>
        <w:t xml:space="preserve"> </w:t>
      </w:r>
      <w:r>
        <w:rPr>
          <w:color w:val="221F1F"/>
        </w:rPr>
        <w:t>be</w:t>
      </w:r>
      <w:r>
        <w:rPr>
          <w:color w:val="221F1F"/>
          <w:spacing w:val="-2"/>
        </w:rPr>
        <w:t xml:space="preserve"> </w:t>
      </w:r>
      <w:r>
        <w:rPr>
          <w:color w:val="221F1F"/>
        </w:rPr>
        <w:t>supplied)</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and valued under Sub-Clause 13.3 [Variation Procedure]; and/or</w:t>
      </w:r>
    </w:p>
    <w:p w:rsidR="007F6DF9" w:rsidRDefault="00A43FBC">
      <w:pPr>
        <w:pStyle w:val="ListParagraph"/>
        <w:numPr>
          <w:ilvl w:val="3"/>
          <w:numId w:val="94"/>
        </w:numPr>
        <w:tabs>
          <w:tab w:val="left" w:pos="1856"/>
          <w:tab w:val="left" w:pos="1858"/>
        </w:tabs>
        <w:spacing w:before="119" w:line="230" w:lineRule="auto"/>
        <w:ind w:right="564"/>
        <w:jc w:val="both"/>
      </w:pPr>
      <w:r>
        <w:rPr>
          <w:color w:val="221F1F"/>
        </w:rPr>
        <w:t>Plant, Materials or services to be purchased by the Contractor, from a nominated Subcontractor (as defined</w:t>
      </w:r>
      <w:r>
        <w:rPr>
          <w:color w:val="221F1F"/>
          <w:spacing w:val="-5"/>
        </w:rPr>
        <w:t xml:space="preserve"> </w:t>
      </w:r>
      <w:r>
        <w:rPr>
          <w:color w:val="221F1F"/>
        </w:rPr>
        <w:t>in</w:t>
      </w:r>
      <w:r>
        <w:rPr>
          <w:color w:val="221F1F"/>
          <w:spacing w:val="-6"/>
        </w:rPr>
        <w:t xml:space="preserve"> </w:t>
      </w:r>
      <w:r>
        <w:rPr>
          <w:color w:val="221F1F"/>
        </w:rPr>
        <w:t>Clause</w:t>
      </w:r>
      <w:r>
        <w:rPr>
          <w:color w:val="221F1F"/>
          <w:spacing w:val="-5"/>
        </w:rPr>
        <w:t xml:space="preserve"> </w:t>
      </w:r>
      <w:r>
        <w:rPr>
          <w:color w:val="221F1F"/>
        </w:rPr>
        <w:t>5</w:t>
      </w:r>
      <w:r>
        <w:rPr>
          <w:color w:val="221F1F"/>
          <w:spacing w:val="-5"/>
        </w:rPr>
        <w:t xml:space="preserve"> </w:t>
      </w:r>
      <w:r>
        <w:rPr>
          <w:color w:val="221F1F"/>
        </w:rPr>
        <w:t>[Nominated</w:t>
      </w:r>
      <w:r>
        <w:rPr>
          <w:color w:val="221F1F"/>
          <w:spacing w:val="-5"/>
        </w:rPr>
        <w:t xml:space="preserve"> </w:t>
      </w:r>
      <w:r>
        <w:rPr>
          <w:color w:val="221F1F"/>
        </w:rPr>
        <w:t>Subcontractors])</w:t>
      </w:r>
      <w:r>
        <w:rPr>
          <w:color w:val="221F1F"/>
          <w:spacing w:val="-1"/>
        </w:rPr>
        <w:t xml:space="preserve"> </w:t>
      </w:r>
      <w:r>
        <w:rPr>
          <w:color w:val="221F1F"/>
        </w:rPr>
        <w:t>or</w:t>
      </w:r>
      <w:r>
        <w:rPr>
          <w:color w:val="221F1F"/>
          <w:spacing w:val="-2"/>
        </w:rPr>
        <w:t xml:space="preserve"> </w:t>
      </w:r>
      <w:r>
        <w:rPr>
          <w:color w:val="221F1F"/>
        </w:rPr>
        <w:t>otherwise;</w:t>
      </w:r>
      <w:r>
        <w:rPr>
          <w:color w:val="221F1F"/>
          <w:spacing w:val="-4"/>
        </w:rPr>
        <w:t xml:space="preserve"> </w:t>
      </w:r>
      <w:r>
        <w:rPr>
          <w:color w:val="221F1F"/>
        </w:rPr>
        <w:t>and</w:t>
      </w:r>
      <w:r>
        <w:rPr>
          <w:color w:val="221F1F"/>
          <w:spacing w:val="-3"/>
        </w:rPr>
        <w:t xml:space="preserve"> </w:t>
      </w:r>
      <w:r>
        <w:rPr>
          <w:color w:val="221F1F"/>
        </w:rPr>
        <w:t>for</w:t>
      </w:r>
      <w:r>
        <w:rPr>
          <w:color w:val="221F1F"/>
          <w:spacing w:val="-2"/>
        </w:rPr>
        <w:t xml:space="preserve"> </w:t>
      </w:r>
      <w:r>
        <w:rPr>
          <w:color w:val="221F1F"/>
        </w:rPr>
        <w:t>which</w:t>
      </w:r>
      <w:r>
        <w:rPr>
          <w:color w:val="221F1F"/>
          <w:spacing w:val="-4"/>
        </w:rPr>
        <w:t xml:space="preserve"> </w:t>
      </w:r>
      <w:r>
        <w:rPr>
          <w:color w:val="221F1F"/>
        </w:rPr>
        <w:t>there</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included</w:t>
      </w:r>
      <w:r>
        <w:rPr>
          <w:color w:val="221F1F"/>
          <w:spacing w:val="-5"/>
        </w:rPr>
        <w:t xml:space="preserve"> </w:t>
      </w:r>
      <w:r>
        <w:rPr>
          <w:color w:val="221F1F"/>
        </w:rPr>
        <w:t>in the Contract Price:</w:t>
      </w:r>
    </w:p>
    <w:p w:rsidR="007F6DF9" w:rsidRDefault="00A43FBC">
      <w:pPr>
        <w:pStyle w:val="ListParagraph"/>
        <w:numPr>
          <w:ilvl w:val="4"/>
          <w:numId w:val="94"/>
        </w:numPr>
        <w:tabs>
          <w:tab w:val="left" w:pos="2231"/>
        </w:tabs>
        <w:spacing w:before="108"/>
        <w:ind w:left="2231" w:hanging="373"/>
        <w:jc w:val="both"/>
      </w:pPr>
      <w:r>
        <w:rPr>
          <w:color w:val="221F1F"/>
        </w:rPr>
        <w:t>The</w:t>
      </w:r>
      <w:r>
        <w:rPr>
          <w:color w:val="221F1F"/>
          <w:spacing w:val="-5"/>
        </w:rPr>
        <w:t xml:space="preserve"> </w:t>
      </w:r>
      <w:r>
        <w:rPr>
          <w:color w:val="221F1F"/>
        </w:rPr>
        <w:t>actual</w:t>
      </w:r>
      <w:r>
        <w:rPr>
          <w:color w:val="221F1F"/>
          <w:spacing w:val="-2"/>
        </w:rPr>
        <w:t xml:space="preserve"> </w:t>
      </w:r>
      <w:r>
        <w:rPr>
          <w:color w:val="221F1F"/>
        </w:rPr>
        <w:t>amounts</w:t>
      </w:r>
      <w:r>
        <w:rPr>
          <w:color w:val="221F1F"/>
          <w:spacing w:val="-2"/>
        </w:rPr>
        <w:t xml:space="preserve"> </w:t>
      </w:r>
      <w:r>
        <w:rPr>
          <w:color w:val="221F1F"/>
        </w:rPr>
        <w:t>paid</w:t>
      </w:r>
      <w:r>
        <w:rPr>
          <w:color w:val="221F1F"/>
          <w:spacing w:val="-4"/>
        </w:rPr>
        <w:t xml:space="preserve"> </w:t>
      </w:r>
      <w:r>
        <w:rPr>
          <w:color w:val="221F1F"/>
        </w:rPr>
        <w:t>(or</w:t>
      </w:r>
      <w:r>
        <w:rPr>
          <w:color w:val="221F1F"/>
          <w:spacing w:val="-2"/>
        </w:rPr>
        <w:t xml:space="preserve"> </w:t>
      </w:r>
      <w:r>
        <w:rPr>
          <w:color w:val="221F1F"/>
        </w:rPr>
        <w:t>due</w:t>
      </w:r>
      <w:r>
        <w:rPr>
          <w:color w:val="221F1F"/>
          <w:spacing w:val="-5"/>
        </w:rPr>
        <w:t xml:space="preserve"> </w:t>
      </w:r>
      <w:r>
        <w:rPr>
          <w:color w:val="221F1F"/>
        </w:rPr>
        <w:t>to</w:t>
      </w:r>
      <w:r>
        <w:rPr>
          <w:color w:val="221F1F"/>
          <w:spacing w:val="-3"/>
        </w:rPr>
        <w:t xml:space="preserve"> </w:t>
      </w:r>
      <w:r>
        <w:rPr>
          <w:color w:val="221F1F"/>
        </w:rPr>
        <w:t>be</w:t>
      </w:r>
      <w:r>
        <w:rPr>
          <w:color w:val="221F1F"/>
          <w:spacing w:val="-2"/>
        </w:rPr>
        <w:t xml:space="preserve"> </w:t>
      </w:r>
      <w:r>
        <w:rPr>
          <w:color w:val="221F1F"/>
        </w:rPr>
        <w:t>paid)</w:t>
      </w:r>
      <w:r>
        <w:rPr>
          <w:color w:val="221F1F"/>
          <w:spacing w:val="-2"/>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spacing w:val="-5"/>
        </w:rPr>
        <w:t>and</w:t>
      </w:r>
    </w:p>
    <w:p w:rsidR="007F6DF9" w:rsidRDefault="00A43FBC">
      <w:pPr>
        <w:pStyle w:val="ListParagraph"/>
        <w:numPr>
          <w:ilvl w:val="4"/>
          <w:numId w:val="94"/>
        </w:numPr>
        <w:tabs>
          <w:tab w:val="left" w:pos="2230"/>
          <w:tab w:val="left" w:pos="2233"/>
        </w:tabs>
        <w:spacing w:before="121" w:line="230" w:lineRule="auto"/>
        <w:ind w:right="566"/>
        <w:jc w:val="both"/>
      </w:pPr>
      <w:r>
        <w:rPr>
          <w:color w:val="221F1F"/>
        </w:rPr>
        <w:t>a sum for overhead charges and profit, calculated as a percentage of these actual amounts by applying</w:t>
      </w:r>
      <w:r>
        <w:rPr>
          <w:color w:val="221F1F"/>
          <w:spacing w:val="-4"/>
        </w:rPr>
        <w:t xml:space="preserve"> </w:t>
      </w:r>
      <w:r>
        <w:rPr>
          <w:color w:val="221F1F"/>
        </w:rPr>
        <w:t>the</w:t>
      </w:r>
      <w:r>
        <w:rPr>
          <w:color w:val="221F1F"/>
          <w:spacing w:val="-3"/>
        </w:rPr>
        <w:t xml:space="preserve"> </w:t>
      </w:r>
      <w:r>
        <w:rPr>
          <w:color w:val="221F1F"/>
        </w:rPr>
        <w:t>relevant percentage</w:t>
      </w:r>
      <w:r>
        <w:rPr>
          <w:color w:val="221F1F"/>
          <w:spacing w:val="-3"/>
        </w:rPr>
        <w:t xml:space="preserve"> </w:t>
      </w:r>
      <w:r>
        <w:rPr>
          <w:color w:val="221F1F"/>
        </w:rPr>
        <w:t>rate</w:t>
      </w:r>
      <w:r>
        <w:rPr>
          <w:color w:val="221F1F"/>
          <w:spacing w:val="-1"/>
        </w:rPr>
        <w:t xml:space="preserve"> </w:t>
      </w:r>
      <w:r>
        <w:rPr>
          <w:color w:val="221F1F"/>
        </w:rPr>
        <w:t>(if</w:t>
      </w:r>
      <w:r>
        <w:rPr>
          <w:color w:val="221F1F"/>
          <w:spacing w:val="-3"/>
        </w:rPr>
        <w:t xml:space="preserve"> </w:t>
      </w:r>
      <w:r>
        <w:rPr>
          <w:color w:val="221F1F"/>
        </w:rPr>
        <w:t>any)</w:t>
      </w:r>
      <w:r>
        <w:rPr>
          <w:color w:val="221F1F"/>
          <w:spacing w:val="-3"/>
        </w:rPr>
        <w:t xml:space="preserve"> </w:t>
      </w:r>
      <w:r>
        <w:rPr>
          <w:color w:val="221F1F"/>
        </w:rPr>
        <w:t>stated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appropriate</w:t>
      </w:r>
      <w:r>
        <w:rPr>
          <w:color w:val="221F1F"/>
          <w:spacing w:val="-1"/>
        </w:rPr>
        <w:t xml:space="preserve"> </w:t>
      </w:r>
      <w:r>
        <w:rPr>
          <w:color w:val="221F1F"/>
        </w:rPr>
        <w:t>Schedule.</w:t>
      </w:r>
      <w:r>
        <w:rPr>
          <w:color w:val="221F1F"/>
          <w:spacing w:val="-1"/>
        </w:rPr>
        <w:t xml:space="preserve"> </w:t>
      </w:r>
      <w:r>
        <w:rPr>
          <w:color w:val="221F1F"/>
        </w:rPr>
        <w:t>If</w:t>
      </w:r>
      <w:r>
        <w:rPr>
          <w:color w:val="221F1F"/>
          <w:spacing w:val="-1"/>
        </w:rPr>
        <w:t xml:space="preserve"> </w:t>
      </w:r>
      <w:r>
        <w:rPr>
          <w:color w:val="221F1F"/>
        </w:rPr>
        <w:t>there</w:t>
      </w:r>
      <w:r>
        <w:rPr>
          <w:color w:val="221F1F"/>
          <w:spacing w:val="-1"/>
        </w:rPr>
        <w:t xml:space="preserve"> </w:t>
      </w:r>
      <w:r>
        <w:rPr>
          <w:color w:val="221F1F"/>
        </w:rPr>
        <w:t>is</w:t>
      </w:r>
      <w:r>
        <w:rPr>
          <w:color w:val="221F1F"/>
          <w:spacing w:val="-1"/>
        </w:rPr>
        <w:t xml:space="preserve"> </w:t>
      </w:r>
      <w:r>
        <w:rPr>
          <w:color w:val="221F1F"/>
        </w:rPr>
        <w:t>no</w:t>
      </w:r>
      <w:r>
        <w:rPr>
          <w:color w:val="221F1F"/>
          <w:spacing w:val="-1"/>
        </w:rPr>
        <w:t xml:space="preserve"> </w:t>
      </w:r>
      <w:r>
        <w:rPr>
          <w:color w:val="221F1F"/>
        </w:rPr>
        <w:t xml:space="preserve">such rate, the percentage rate stated in </w:t>
      </w:r>
      <w:r>
        <w:rPr>
          <w:b/>
          <w:color w:val="221F1F"/>
        </w:rPr>
        <w:t xml:space="preserve">the Special Conditions of Contract </w:t>
      </w:r>
      <w:r>
        <w:rPr>
          <w:color w:val="221F1F"/>
        </w:rPr>
        <w:t>shall be applied.</w:t>
      </w:r>
    </w:p>
    <w:p w:rsidR="007F6DF9" w:rsidRDefault="00A43FBC">
      <w:pPr>
        <w:pStyle w:val="ListParagraph"/>
        <w:numPr>
          <w:ilvl w:val="2"/>
          <w:numId w:val="94"/>
        </w:numPr>
        <w:tabs>
          <w:tab w:val="left" w:pos="1357"/>
        </w:tabs>
        <w:spacing w:before="243" w:line="230" w:lineRule="auto"/>
        <w:ind w:left="1357" w:right="563"/>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when</w:t>
      </w:r>
      <w:r>
        <w:rPr>
          <w:color w:val="221F1F"/>
          <w:spacing w:val="-6"/>
        </w:rPr>
        <w:t xml:space="preserve"> </w:t>
      </w:r>
      <w:r>
        <w:rPr>
          <w:color w:val="221F1F"/>
        </w:rPr>
        <w:t>required</w:t>
      </w:r>
      <w:r>
        <w:rPr>
          <w:color w:val="221F1F"/>
          <w:spacing w:val="-4"/>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Engineer,</w:t>
      </w:r>
      <w:r>
        <w:rPr>
          <w:color w:val="221F1F"/>
          <w:spacing w:val="-7"/>
        </w:rPr>
        <w:t xml:space="preserve"> </w:t>
      </w:r>
      <w:r>
        <w:rPr>
          <w:color w:val="221F1F"/>
        </w:rPr>
        <w:t>produce</w:t>
      </w:r>
      <w:r>
        <w:rPr>
          <w:color w:val="221F1F"/>
          <w:spacing w:val="-4"/>
        </w:rPr>
        <w:t xml:space="preserve"> </w:t>
      </w:r>
      <w:r>
        <w:rPr>
          <w:color w:val="221F1F"/>
        </w:rPr>
        <w:t>quotations,</w:t>
      </w:r>
      <w:r>
        <w:rPr>
          <w:color w:val="221F1F"/>
          <w:spacing w:val="-6"/>
        </w:rPr>
        <w:t xml:space="preserve"> </w:t>
      </w:r>
      <w:r>
        <w:rPr>
          <w:color w:val="221F1F"/>
        </w:rPr>
        <w:t>invoices,</w:t>
      </w:r>
      <w:r>
        <w:rPr>
          <w:color w:val="221F1F"/>
          <w:spacing w:val="-4"/>
        </w:rPr>
        <w:t xml:space="preserve"> </w:t>
      </w:r>
      <w:r>
        <w:rPr>
          <w:color w:val="221F1F"/>
        </w:rPr>
        <w:t>vouchers</w:t>
      </w:r>
      <w:r>
        <w:rPr>
          <w:color w:val="221F1F"/>
          <w:spacing w:val="-6"/>
        </w:rPr>
        <w:t xml:space="preserve"> </w:t>
      </w:r>
      <w:r>
        <w:rPr>
          <w:color w:val="221F1F"/>
        </w:rPr>
        <w:t>and</w:t>
      </w:r>
      <w:r>
        <w:rPr>
          <w:color w:val="221F1F"/>
          <w:spacing w:val="-7"/>
        </w:rPr>
        <w:t xml:space="preserve"> </w:t>
      </w:r>
      <w:r>
        <w:rPr>
          <w:color w:val="221F1F"/>
        </w:rPr>
        <w:t>accounts</w:t>
      </w:r>
      <w:r>
        <w:rPr>
          <w:color w:val="221F1F"/>
          <w:spacing w:val="-6"/>
        </w:rPr>
        <w:t xml:space="preserve"> </w:t>
      </w:r>
      <w:r>
        <w:rPr>
          <w:color w:val="221F1F"/>
        </w:rPr>
        <w:t>or receipts in substantiation.</w:t>
      </w:r>
    </w:p>
    <w:p w:rsidR="007F6DF9" w:rsidRDefault="007F6DF9">
      <w:pPr>
        <w:pStyle w:val="ListParagraph"/>
        <w:spacing w:line="230" w:lineRule="auto"/>
        <w:sectPr w:rsidR="007F6DF9">
          <w:pgSz w:w="11920" w:h="16850"/>
          <w:pgMar w:top="360" w:right="283" w:bottom="620" w:left="141" w:header="0" w:footer="437" w:gutter="0"/>
          <w:pgNumType w:start="106"/>
          <w:cols w:space="720"/>
        </w:sectPr>
      </w:pPr>
    </w:p>
    <w:p w:rsidR="007F6DF9" w:rsidRDefault="007F6DF9">
      <w:pPr>
        <w:pStyle w:val="BodyText"/>
        <w:spacing w:before="221"/>
      </w:pPr>
    </w:p>
    <w:p w:rsidR="007F6DF9" w:rsidRDefault="00A43FBC">
      <w:pPr>
        <w:pStyle w:val="Heading9"/>
        <w:numPr>
          <w:ilvl w:val="1"/>
          <w:numId w:val="94"/>
        </w:numPr>
        <w:tabs>
          <w:tab w:val="left" w:pos="1371"/>
        </w:tabs>
        <w:ind w:left="1371"/>
      </w:pPr>
      <w:proofErr w:type="spellStart"/>
      <w:r>
        <w:rPr>
          <w:color w:val="221F1F"/>
          <w:spacing w:val="-2"/>
        </w:rPr>
        <w:t>Dayworks</w:t>
      </w:r>
      <w:proofErr w:type="spellEnd"/>
    </w:p>
    <w:p w:rsidR="007F6DF9" w:rsidRDefault="00A43FBC">
      <w:pPr>
        <w:pStyle w:val="ListParagraph"/>
        <w:numPr>
          <w:ilvl w:val="2"/>
          <w:numId w:val="94"/>
        </w:numPr>
        <w:tabs>
          <w:tab w:val="left" w:pos="1361"/>
          <w:tab w:val="left" w:pos="1364"/>
        </w:tabs>
        <w:spacing w:before="243" w:line="230" w:lineRule="auto"/>
        <w:ind w:left="1364" w:right="556"/>
        <w:jc w:val="both"/>
      </w:pPr>
      <w:r>
        <w:rPr>
          <w:color w:val="221F1F"/>
        </w:rPr>
        <w:t xml:space="preserve">For work of a minor or incidental nature, the Architect may instruct that a Variation shall be executed on a </w:t>
      </w:r>
      <w:proofErr w:type="spellStart"/>
      <w:r>
        <w:rPr>
          <w:color w:val="221F1F"/>
        </w:rPr>
        <w:t>daywork</w:t>
      </w:r>
      <w:proofErr w:type="spellEnd"/>
      <w:r>
        <w:rPr>
          <w:color w:val="221F1F"/>
        </w:rPr>
        <w:t xml:space="preserve"> basis. The work shall then be valued in accordance with the </w:t>
      </w:r>
      <w:proofErr w:type="spellStart"/>
      <w:r>
        <w:rPr>
          <w:color w:val="221F1F"/>
        </w:rPr>
        <w:t>Daywork</w:t>
      </w:r>
      <w:proofErr w:type="spellEnd"/>
      <w:r>
        <w:rPr>
          <w:color w:val="221F1F"/>
        </w:rPr>
        <w:t xml:space="preserve"> Schedule included in the Contract,</w:t>
      </w:r>
      <w:r>
        <w:rPr>
          <w:color w:val="221F1F"/>
          <w:spacing w:val="-9"/>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following</w:t>
      </w:r>
      <w:r>
        <w:rPr>
          <w:color w:val="221F1F"/>
          <w:spacing w:val="-8"/>
        </w:rPr>
        <w:t xml:space="preserve"> </w:t>
      </w:r>
      <w:r>
        <w:rPr>
          <w:color w:val="221F1F"/>
        </w:rPr>
        <w:t>procedure</w:t>
      </w:r>
      <w:r>
        <w:rPr>
          <w:color w:val="221F1F"/>
          <w:spacing w:val="-6"/>
        </w:rPr>
        <w:t xml:space="preserve"> </w:t>
      </w:r>
      <w:r>
        <w:rPr>
          <w:color w:val="221F1F"/>
        </w:rPr>
        <w:t>shall</w:t>
      </w:r>
      <w:r>
        <w:rPr>
          <w:color w:val="221F1F"/>
          <w:spacing w:val="-6"/>
        </w:rPr>
        <w:t xml:space="preserve"> </w:t>
      </w:r>
      <w:r>
        <w:rPr>
          <w:color w:val="221F1F"/>
        </w:rPr>
        <w:t>apply.</w:t>
      </w:r>
      <w:r>
        <w:rPr>
          <w:color w:val="221F1F"/>
          <w:spacing w:val="-12"/>
        </w:rPr>
        <w:t xml:space="preserve"> </w:t>
      </w:r>
      <w:r>
        <w:rPr>
          <w:color w:val="221F1F"/>
        </w:rPr>
        <w:t>If</w:t>
      </w:r>
      <w:r>
        <w:rPr>
          <w:color w:val="221F1F"/>
          <w:spacing w:val="-6"/>
        </w:rPr>
        <w:t xml:space="preserve"> </w:t>
      </w:r>
      <w:r>
        <w:rPr>
          <w:color w:val="221F1F"/>
        </w:rPr>
        <w:t>a</w:t>
      </w:r>
      <w:r>
        <w:rPr>
          <w:color w:val="221F1F"/>
          <w:spacing w:val="-9"/>
        </w:rPr>
        <w:t xml:space="preserve"> </w:t>
      </w:r>
      <w:proofErr w:type="spellStart"/>
      <w:r>
        <w:rPr>
          <w:color w:val="221F1F"/>
        </w:rPr>
        <w:t>Daywork</w:t>
      </w:r>
      <w:proofErr w:type="spellEnd"/>
      <w:r>
        <w:rPr>
          <w:color w:val="221F1F"/>
          <w:spacing w:val="-7"/>
        </w:rPr>
        <w:t xml:space="preserve"> </w:t>
      </w:r>
      <w:r>
        <w:rPr>
          <w:color w:val="221F1F"/>
        </w:rPr>
        <w:t>Schedule</w:t>
      </w:r>
      <w:r>
        <w:rPr>
          <w:color w:val="221F1F"/>
          <w:spacing w:val="-7"/>
        </w:rPr>
        <w:t xml:space="preserve"> </w:t>
      </w:r>
      <w:r>
        <w:rPr>
          <w:color w:val="221F1F"/>
        </w:rPr>
        <w:t>is</w:t>
      </w:r>
      <w:r>
        <w:rPr>
          <w:color w:val="221F1F"/>
          <w:spacing w:val="-7"/>
        </w:rPr>
        <w:t xml:space="preserve"> </w:t>
      </w:r>
      <w:r>
        <w:rPr>
          <w:color w:val="221F1F"/>
        </w:rPr>
        <w:t>not</w:t>
      </w:r>
      <w:r>
        <w:rPr>
          <w:color w:val="221F1F"/>
          <w:spacing w:val="-6"/>
        </w:rPr>
        <w:t xml:space="preserve"> </w:t>
      </w:r>
      <w:r>
        <w:rPr>
          <w:color w:val="221F1F"/>
        </w:rPr>
        <w:t>included</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Contract,</w:t>
      </w:r>
      <w:r>
        <w:rPr>
          <w:color w:val="221F1F"/>
          <w:spacing w:val="-9"/>
        </w:rPr>
        <w:t xml:space="preserve"> </w:t>
      </w:r>
      <w:r>
        <w:rPr>
          <w:color w:val="221F1F"/>
        </w:rPr>
        <w:t>this Sub-Clause shall not apply.</w:t>
      </w:r>
    </w:p>
    <w:p w:rsidR="007F6DF9" w:rsidRDefault="00A43FBC">
      <w:pPr>
        <w:pStyle w:val="ListParagraph"/>
        <w:numPr>
          <w:ilvl w:val="2"/>
          <w:numId w:val="94"/>
        </w:numPr>
        <w:tabs>
          <w:tab w:val="left" w:pos="1361"/>
          <w:tab w:val="left" w:pos="1364"/>
        </w:tabs>
        <w:spacing w:before="245" w:line="230" w:lineRule="auto"/>
        <w:ind w:left="1364" w:right="555"/>
        <w:jc w:val="both"/>
      </w:pPr>
      <w:r>
        <w:rPr>
          <w:color w:val="221F1F"/>
        </w:rPr>
        <w:t>Before ordering Goods for the work, the Contractor shall submit quotations to the Engineer. When applying for payment, the Contractor shall submit invoices, vouchers and accounts or receipts for any Goods.</w:t>
      </w:r>
    </w:p>
    <w:p w:rsidR="007F6DF9" w:rsidRDefault="00A43FBC">
      <w:pPr>
        <w:pStyle w:val="ListParagraph"/>
        <w:numPr>
          <w:ilvl w:val="2"/>
          <w:numId w:val="94"/>
        </w:numPr>
        <w:tabs>
          <w:tab w:val="left" w:pos="1361"/>
          <w:tab w:val="left" w:pos="1364"/>
        </w:tabs>
        <w:spacing w:before="244" w:line="230" w:lineRule="auto"/>
        <w:ind w:left="1364" w:right="549"/>
        <w:jc w:val="both"/>
      </w:pPr>
      <w:r>
        <w:rPr>
          <w:color w:val="221F1F"/>
        </w:rPr>
        <w:t>Except</w:t>
      </w:r>
      <w:r>
        <w:rPr>
          <w:color w:val="221F1F"/>
          <w:spacing w:val="-4"/>
        </w:rPr>
        <w:t xml:space="preserve"> </w:t>
      </w:r>
      <w:r>
        <w:rPr>
          <w:color w:val="221F1F"/>
        </w:rPr>
        <w:t>for</w:t>
      </w:r>
      <w:r>
        <w:rPr>
          <w:color w:val="221F1F"/>
          <w:spacing w:val="-2"/>
        </w:rPr>
        <w:t xml:space="preserve"> </w:t>
      </w:r>
      <w:r>
        <w:rPr>
          <w:color w:val="221F1F"/>
        </w:rPr>
        <w:t>any</w:t>
      </w:r>
      <w:r>
        <w:rPr>
          <w:color w:val="221F1F"/>
          <w:spacing w:val="-2"/>
        </w:rPr>
        <w:t xml:space="preserve"> </w:t>
      </w:r>
      <w:r>
        <w:rPr>
          <w:color w:val="221F1F"/>
        </w:rPr>
        <w:t>items</w:t>
      </w:r>
      <w:r>
        <w:rPr>
          <w:color w:val="221F1F"/>
          <w:spacing w:val="-2"/>
        </w:rPr>
        <w:t xml:space="preserve"> </w:t>
      </w:r>
      <w:r>
        <w:rPr>
          <w:color w:val="221F1F"/>
        </w:rPr>
        <w:t>for</w:t>
      </w:r>
      <w:r>
        <w:rPr>
          <w:color w:val="221F1F"/>
          <w:spacing w:val="-2"/>
        </w:rPr>
        <w:t xml:space="preserve"> </w:t>
      </w:r>
      <w:r>
        <w:rPr>
          <w:color w:val="221F1F"/>
        </w:rPr>
        <w:t>which</w:t>
      </w:r>
      <w:r>
        <w:rPr>
          <w:color w:val="221F1F"/>
          <w:spacing w:val="-2"/>
        </w:rPr>
        <w:t xml:space="preserve"> </w:t>
      </w:r>
      <w:r>
        <w:rPr>
          <w:color w:val="221F1F"/>
        </w:rPr>
        <w:t>the</w:t>
      </w:r>
      <w:r>
        <w:rPr>
          <w:color w:val="221F1F"/>
          <w:spacing w:val="-2"/>
        </w:rPr>
        <w:t xml:space="preserve"> </w:t>
      </w:r>
      <w:proofErr w:type="spellStart"/>
      <w:r>
        <w:rPr>
          <w:color w:val="221F1F"/>
        </w:rPr>
        <w:t>Daywork</w:t>
      </w:r>
      <w:proofErr w:type="spellEnd"/>
      <w:r>
        <w:rPr>
          <w:color w:val="221F1F"/>
          <w:spacing w:val="-2"/>
        </w:rPr>
        <w:t xml:space="preserve"> </w:t>
      </w:r>
      <w:r>
        <w:rPr>
          <w:color w:val="221F1F"/>
        </w:rPr>
        <w:t>Schedule</w:t>
      </w:r>
      <w:r>
        <w:rPr>
          <w:color w:val="221F1F"/>
          <w:spacing w:val="-4"/>
        </w:rPr>
        <w:t xml:space="preserve"> </w:t>
      </w:r>
      <w:r>
        <w:rPr>
          <w:color w:val="221F1F"/>
        </w:rPr>
        <w:t>specifies</w:t>
      </w:r>
      <w:r>
        <w:rPr>
          <w:color w:val="221F1F"/>
          <w:spacing w:val="-2"/>
        </w:rPr>
        <w:t xml:space="preserve"> </w:t>
      </w:r>
      <w:r>
        <w:rPr>
          <w:color w:val="221F1F"/>
        </w:rPr>
        <w:t>that</w:t>
      </w:r>
      <w:r>
        <w:rPr>
          <w:color w:val="221F1F"/>
          <w:spacing w:val="-1"/>
        </w:rPr>
        <w:t xml:space="preserve"> </w:t>
      </w:r>
      <w:r>
        <w:rPr>
          <w:color w:val="221F1F"/>
        </w:rPr>
        <w:t>payment</w:t>
      </w:r>
      <w:r>
        <w:rPr>
          <w:color w:val="221F1F"/>
          <w:spacing w:val="-1"/>
        </w:rPr>
        <w:t xml:space="preserve"> </w:t>
      </w:r>
      <w:r>
        <w:rPr>
          <w:color w:val="221F1F"/>
        </w:rPr>
        <w:t>is</w:t>
      </w:r>
      <w:r>
        <w:rPr>
          <w:color w:val="221F1F"/>
          <w:spacing w:val="-2"/>
        </w:rPr>
        <w:t xml:space="preserve"> </w:t>
      </w:r>
      <w:r>
        <w:rPr>
          <w:color w:val="221F1F"/>
        </w:rPr>
        <w:t>not</w:t>
      </w:r>
      <w:r>
        <w:rPr>
          <w:color w:val="221F1F"/>
          <w:spacing w:val="-1"/>
        </w:rPr>
        <w:t xml:space="preserve"> </w:t>
      </w:r>
      <w:r>
        <w:rPr>
          <w:color w:val="221F1F"/>
        </w:rPr>
        <w:t>due,</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 xml:space="preserve">shall </w:t>
      </w:r>
      <w:proofErr w:type="spellStart"/>
      <w:r>
        <w:rPr>
          <w:color w:val="221F1F"/>
        </w:rPr>
        <w:t>delive</w:t>
      </w:r>
      <w:proofErr w:type="spellEnd"/>
      <w:r>
        <w:rPr>
          <w:color w:val="221F1F"/>
          <w:spacing w:val="-2"/>
        </w:rPr>
        <w:t xml:space="preserve"> </w:t>
      </w:r>
      <w:r>
        <w:rPr>
          <w:color w:val="221F1F"/>
        </w:rPr>
        <w:t>reach day</w:t>
      </w:r>
      <w:r>
        <w:rPr>
          <w:color w:val="221F1F"/>
          <w:spacing w:val="-2"/>
        </w:rPr>
        <w:t xml:space="preserve"> </w:t>
      </w:r>
      <w:r>
        <w:rPr>
          <w:color w:val="221F1F"/>
        </w:rPr>
        <w:t>to</w:t>
      </w:r>
      <w:r>
        <w:rPr>
          <w:color w:val="221F1F"/>
          <w:spacing w:val="-2"/>
        </w:rPr>
        <w:t xml:space="preserve"> </w:t>
      </w:r>
      <w:r>
        <w:rPr>
          <w:color w:val="221F1F"/>
        </w:rPr>
        <w:t>the Architect accurate</w:t>
      </w:r>
      <w:r>
        <w:rPr>
          <w:color w:val="221F1F"/>
          <w:spacing w:val="-1"/>
        </w:rPr>
        <w:t xml:space="preserve"> </w:t>
      </w:r>
      <w:r>
        <w:rPr>
          <w:color w:val="221F1F"/>
        </w:rPr>
        <w:t>statements</w:t>
      </w:r>
      <w:r>
        <w:rPr>
          <w:color w:val="221F1F"/>
          <w:spacing w:val="-1"/>
        </w:rPr>
        <w:t xml:space="preserve"> </w:t>
      </w:r>
      <w:r>
        <w:rPr>
          <w:color w:val="221F1F"/>
        </w:rPr>
        <w:t>induplicate which</w:t>
      </w:r>
      <w:r>
        <w:rPr>
          <w:color w:val="221F1F"/>
          <w:spacing w:val="-2"/>
        </w:rPr>
        <w:t xml:space="preserve"> </w:t>
      </w:r>
      <w:r>
        <w:rPr>
          <w:color w:val="221F1F"/>
        </w:rPr>
        <w:t>shall</w:t>
      </w:r>
      <w:r>
        <w:rPr>
          <w:color w:val="221F1F"/>
          <w:spacing w:val="-1"/>
        </w:rPr>
        <w:t xml:space="preserve"> </w:t>
      </w:r>
      <w:r>
        <w:rPr>
          <w:color w:val="221F1F"/>
        </w:rPr>
        <w:t>include the following</w:t>
      </w:r>
      <w:r>
        <w:rPr>
          <w:color w:val="221F1F"/>
          <w:spacing w:val="-2"/>
        </w:rPr>
        <w:t xml:space="preserve"> </w:t>
      </w:r>
      <w:r>
        <w:rPr>
          <w:color w:val="221F1F"/>
        </w:rPr>
        <w:t>details of the resources used in executing the previous day's work:</w:t>
      </w:r>
    </w:p>
    <w:p w:rsidR="007F6DF9" w:rsidRDefault="00A43FBC">
      <w:pPr>
        <w:pStyle w:val="ListParagraph"/>
        <w:numPr>
          <w:ilvl w:val="3"/>
          <w:numId w:val="94"/>
        </w:numPr>
        <w:tabs>
          <w:tab w:val="left" w:pos="1868"/>
        </w:tabs>
        <w:spacing w:line="237" w:lineRule="exact"/>
        <w:ind w:left="1868" w:hanging="497"/>
      </w:pPr>
      <w:r>
        <w:rPr>
          <w:color w:val="221F1F"/>
        </w:rPr>
        <w:t>The</w:t>
      </w:r>
      <w:r>
        <w:rPr>
          <w:color w:val="221F1F"/>
          <w:spacing w:val="-4"/>
        </w:rPr>
        <w:t xml:space="preserve"> </w:t>
      </w:r>
      <w:r>
        <w:rPr>
          <w:color w:val="221F1F"/>
        </w:rPr>
        <w:t>names,</w:t>
      </w:r>
      <w:r>
        <w:rPr>
          <w:color w:val="221F1F"/>
          <w:spacing w:val="-6"/>
        </w:rPr>
        <w:t xml:space="preserve"> </w:t>
      </w:r>
      <w:r>
        <w:rPr>
          <w:color w:val="221F1F"/>
        </w:rPr>
        <w:t>occupations</w:t>
      </w:r>
      <w:r>
        <w:rPr>
          <w:color w:val="221F1F"/>
          <w:spacing w:val="-1"/>
        </w:rPr>
        <w:t xml:space="preserve"> </w:t>
      </w:r>
      <w:r>
        <w:rPr>
          <w:color w:val="221F1F"/>
        </w:rPr>
        <w:t>and</w:t>
      </w:r>
      <w:r>
        <w:rPr>
          <w:color w:val="221F1F"/>
          <w:spacing w:val="-4"/>
        </w:rPr>
        <w:t xml:space="preserve"> </w:t>
      </w:r>
      <w:r>
        <w:rPr>
          <w:color w:val="221F1F"/>
        </w:rPr>
        <w:t>time</w:t>
      </w:r>
      <w:r>
        <w:rPr>
          <w:color w:val="221F1F"/>
          <w:spacing w:val="-5"/>
        </w:rPr>
        <w:t xml:space="preserve"> </w:t>
      </w:r>
      <w:r>
        <w:rPr>
          <w:color w:val="221F1F"/>
        </w:rPr>
        <w:t>of</w:t>
      </w:r>
      <w:r>
        <w:rPr>
          <w:color w:val="221F1F"/>
          <w:spacing w:val="-3"/>
        </w:rPr>
        <w:t xml:space="preserve"> </w:t>
      </w:r>
      <w:r>
        <w:rPr>
          <w:color w:val="221F1F"/>
        </w:rPr>
        <w:t>Contractor's</w:t>
      </w:r>
      <w:r>
        <w:rPr>
          <w:color w:val="221F1F"/>
          <w:spacing w:val="-2"/>
        </w:rPr>
        <w:t xml:space="preserve"> Personnel,</w:t>
      </w:r>
    </w:p>
    <w:p w:rsidR="007F6DF9" w:rsidRDefault="00A43FBC">
      <w:pPr>
        <w:pStyle w:val="ListParagraph"/>
        <w:numPr>
          <w:ilvl w:val="3"/>
          <w:numId w:val="94"/>
        </w:numPr>
        <w:tabs>
          <w:tab w:val="left" w:pos="1868"/>
        </w:tabs>
        <w:spacing w:line="246" w:lineRule="exact"/>
        <w:ind w:left="1868" w:hanging="497"/>
      </w:pPr>
      <w:r>
        <w:rPr>
          <w:color w:val="221F1F"/>
        </w:rPr>
        <w:t>the</w:t>
      </w:r>
      <w:r>
        <w:rPr>
          <w:color w:val="221F1F"/>
          <w:spacing w:val="-9"/>
        </w:rPr>
        <w:t xml:space="preserve"> </w:t>
      </w:r>
      <w:r>
        <w:rPr>
          <w:color w:val="221F1F"/>
        </w:rPr>
        <w:t>identification,</w:t>
      </w:r>
      <w:r>
        <w:rPr>
          <w:color w:val="221F1F"/>
          <w:spacing w:val="-8"/>
        </w:rPr>
        <w:t xml:space="preserve"> </w:t>
      </w:r>
      <w:r>
        <w:rPr>
          <w:color w:val="221F1F"/>
        </w:rPr>
        <w:t>type</w:t>
      </w:r>
      <w:r>
        <w:rPr>
          <w:color w:val="221F1F"/>
          <w:spacing w:val="-5"/>
        </w:rPr>
        <w:t xml:space="preserve"> </w:t>
      </w:r>
      <w:r>
        <w:rPr>
          <w:color w:val="221F1F"/>
        </w:rPr>
        <w:t>and</w:t>
      </w:r>
      <w:r>
        <w:rPr>
          <w:color w:val="221F1F"/>
          <w:spacing w:val="-8"/>
        </w:rPr>
        <w:t xml:space="preserve"> </w:t>
      </w:r>
      <w:r>
        <w:rPr>
          <w:color w:val="221F1F"/>
        </w:rPr>
        <w:t>time</w:t>
      </w:r>
      <w:r>
        <w:rPr>
          <w:color w:val="221F1F"/>
          <w:spacing w:val="-7"/>
        </w:rPr>
        <w:t xml:space="preserve"> </w:t>
      </w:r>
      <w:r>
        <w:rPr>
          <w:color w:val="221F1F"/>
        </w:rPr>
        <w:t>of</w:t>
      </w:r>
      <w:r>
        <w:rPr>
          <w:color w:val="221F1F"/>
          <w:spacing w:val="-5"/>
        </w:rPr>
        <w:t xml:space="preserve"> </w:t>
      </w:r>
      <w:r>
        <w:rPr>
          <w:color w:val="221F1F"/>
        </w:rPr>
        <w:t>Contractor's</w:t>
      </w:r>
      <w:r>
        <w:rPr>
          <w:color w:val="221F1F"/>
          <w:spacing w:val="-6"/>
        </w:rPr>
        <w:t xml:space="preserve"> </w:t>
      </w:r>
      <w:r>
        <w:rPr>
          <w:color w:val="221F1F"/>
        </w:rPr>
        <w:t>Equipment</w:t>
      </w:r>
      <w:r>
        <w:rPr>
          <w:color w:val="221F1F"/>
          <w:spacing w:val="-4"/>
        </w:rPr>
        <w:t xml:space="preserve"> </w:t>
      </w:r>
      <w:r>
        <w:rPr>
          <w:color w:val="221F1F"/>
        </w:rPr>
        <w:t>and</w:t>
      </w:r>
      <w:r>
        <w:rPr>
          <w:color w:val="221F1F"/>
          <w:spacing w:val="-7"/>
        </w:rPr>
        <w:t xml:space="preserve"> </w:t>
      </w:r>
      <w:r>
        <w:rPr>
          <w:color w:val="221F1F"/>
        </w:rPr>
        <w:t>Temporary</w:t>
      </w:r>
      <w:r>
        <w:rPr>
          <w:color w:val="221F1F"/>
          <w:spacing w:val="-8"/>
        </w:rPr>
        <w:t xml:space="preserve"> </w:t>
      </w:r>
      <w:r>
        <w:rPr>
          <w:color w:val="221F1F"/>
        </w:rPr>
        <w:t>Works,</w:t>
      </w:r>
      <w:r>
        <w:rPr>
          <w:color w:val="221F1F"/>
          <w:spacing w:val="-13"/>
        </w:rPr>
        <w:t xml:space="preserve"> </w:t>
      </w:r>
      <w:r>
        <w:rPr>
          <w:color w:val="221F1F"/>
          <w:spacing w:val="-5"/>
        </w:rPr>
        <w:t>and</w:t>
      </w:r>
    </w:p>
    <w:p w:rsidR="007F6DF9" w:rsidRDefault="00A43FBC">
      <w:pPr>
        <w:pStyle w:val="ListParagraph"/>
        <w:numPr>
          <w:ilvl w:val="3"/>
          <w:numId w:val="94"/>
        </w:numPr>
        <w:tabs>
          <w:tab w:val="left" w:pos="1868"/>
        </w:tabs>
        <w:spacing w:line="250" w:lineRule="exact"/>
        <w:ind w:left="1868" w:hanging="497"/>
      </w:pPr>
      <w:r>
        <w:rPr>
          <w:color w:val="221F1F"/>
        </w:rPr>
        <w:t>the</w:t>
      </w:r>
      <w:r>
        <w:rPr>
          <w:color w:val="221F1F"/>
          <w:spacing w:val="-4"/>
        </w:rPr>
        <w:t xml:space="preserve"> </w:t>
      </w:r>
      <w:r>
        <w:rPr>
          <w:color w:val="221F1F"/>
        </w:rPr>
        <w:t>quantities</w:t>
      </w:r>
      <w:r>
        <w:rPr>
          <w:color w:val="221F1F"/>
          <w:spacing w:val="-2"/>
        </w:rPr>
        <w:t xml:space="preserve"> </w:t>
      </w:r>
      <w:r>
        <w:rPr>
          <w:color w:val="221F1F"/>
        </w:rPr>
        <w:t>and</w:t>
      </w:r>
      <w:r>
        <w:rPr>
          <w:color w:val="221F1F"/>
          <w:spacing w:val="-4"/>
        </w:rPr>
        <w:t xml:space="preserve"> </w:t>
      </w:r>
      <w:r>
        <w:rPr>
          <w:color w:val="221F1F"/>
        </w:rPr>
        <w:t>types</w:t>
      </w:r>
      <w:r>
        <w:rPr>
          <w:color w:val="221F1F"/>
          <w:spacing w:val="-3"/>
        </w:rPr>
        <w:t xml:space="preserve"> </w:t>
      </w:r>
      <w:r>
        <w:rPr>
          <w:color w:val="221F1F"/>
        </w:rPr>
        <w:t>of</w:t>
      </w:r>
      <w:r>
        <w:rPr>
          <w:color w:val="221F1F"/>
          <w:spacing w:val="-4"/>
        </w:rPr>
        <w:t xml:space="preserve"> </w:t>
      </w:r>
      <w:r>
        <w:rPr>
          <w:color w:val="221F1F"/>
        </w:rPr>
        <w:t>Plant</w:t>
      </w:r>
      <w:r>
        <w:rPr>
          <w:color w:val="221F1F"/>
          <w:spacing w:val="-3"/>
        </w:rPr>
        <w:t xml:space="preserve"> </w:t>
      </w:r>
      <w:r>
        <w:rPr>
          <w:color w:val="221F1F"/>
        </w:rPr>
        <w:t>and</w:t>
      </w:r>
      <w:r>
        <w:rPr>
          <w:color w:val="221F1F"/>
          <w:spacing w:val="-4"/>
        </w:rPr>
        <w:t xml:space="preserve"> </w:t>
      </w:r>
      <w:r>
        <w:rPr>
          <w:color w:val="221F1F"/>
        </w:rPr>
        <w:t>Materials</w:t>
      </w:r>
      <w:r>
        <w:rPr>
          <w:color w:val="221F1F"/>
          <w:spacing w:val="-2"/>
        </w:rPr>
        <w:t xml:space="preserve"> used.</w:t>
      </w:r>
    </w:p>
    <w:p w:rsidR="007F6DF9" w:rsidRDefault="00A43FBC">
      <w:pPr>
        <w:pStyle w:val="ListParagraph"/>
        <w:numPr>
          <w:ilvl w:val="2"/>
          <w:numId w:val="94"/>
        </w:numPr>
        <w:tabs>
          <w:tab w:val="left" w:pos="1361"/>
          <w:tab w:val="left" w:pos="1364"/>
        </w:tabs>
        <w:spacing w:before="243" w:line="230" w:lineRule="auto"/>
        <w:ind w:left="1364" w:right="554"/>
        <w:jc w:val="both"/>
      </w:pPr>
      <w:r>
        <w:rPr>
          <w:color w:val="221F1F"/>
        </w:rPr>
        <w:t>One copy of each statement will, if correct, or when agreed, be signed by the Architect and returned to the Contractor. The Contractor shall then submit priced statements of these resources to the Engineer, prior to their inclusion in the next Statement under Sub-Clause 14.3 [Application for Interim Payment Certificates].</w:t>
      </w:r>
    </w:p>
    <w:p w:rsidR="007F6DF9" w:rsidRDefault="00A43FBC">
      <w:pPr>
        <w:pStyle w:val="Heading9"/>
        <w:numPr>
          <w:ilvl w:val="1"/>
          <w:numId w:val="94"/>
        </w:numPr>
        <w:tabs>
          <w:tab w:val="left" w:pos="1371"/>
        </w:tabs>
        <w:spacing w:before="238"/>
        <w:ind w:left="1371"/>
      </w:pPr>
      <w:r>
        <w:rPr>
          <w:color w:val="221F1F"/>
        </w:rPr>
        <w:t>Adjustments</w:t>
      </w:r>
      <w:r>
        <w:rPr>
          <w:color w:val="221F1F"/>
          <w:spacing w:val="-3"/>
        </w:rPr>
        <w:t xml:space="preserve"> </w:t>
      </w:r>
      <w:r>
        <w:rPr>
          <w:color w:val="221F1F"/>
        </w:rPr>
        <w:t>for</w:t>
      </w:r>
      <w:r>
        <w:rPr>
          <w:color w:val="221F1F"/>
          <w:spacing w:val="-3"/>
        </w:rPr>
        <w:t xml:space="preserve"> </w:t>
      </w:r>
      <w:r>
        <w:rPr>
          <w:color w:val="221F1F"/>
        </w:rPr>
        <w:t>Changes</w:t>
      </w:r>
      <w:r>
        <w:rPr>
          <w:color w:val="221F1F"/>
          <w:spacing w:val="-5"/>
        </w:rPr>
        <w:t xml:space="preserve"> </w:t>
      </w:r>
      <w:r>
        <w:rPr>
          <w:color w:val="221F1F"/>
        </w:rPr>
        <w:t>in</w:t>
      </w:r>
      <w:r>
        <w:rPr>
          <w:color w:val="221F1F"/>
          <w:spacing w:val="-3"/>
        </w:rPr>
        <w:t xml:space="preserve"> </w:t>
      </w:r>
      <w:r>
        <w:rPr>
          <w:color w:val="221F1F"/>
          <w:spacing w:val="-2"/>
        </w:rPr>
        <w:t>Legislation</w:t>
      </w:r>
    </w:p>
    <w:p w:rsidR="007F6DF9" w:rsidRDefault="00A43FBC">
      <w:pPr>
        <w:pStyle w:val="ListParagraph"/>
        <w:numPr>
          <w:ilvl w:val="2"/>
          <w:numId w:val="94"/>
        </w:numPr>
        <w:tabs>
          <w:tab w:val="left" w:pos="1361"/>
          <w:tab w:val="left" w:pos="1364"/>
        </w:tabs>
        <w:spacing w:before="242" w:line="230" w:lineRule="auto"/>
        <w:ind w:left="1364" w:right="553"/>
        <w:jc w:val="both"/>
      </w:pPr>
      <w:r>
        <w:rPr>
          <w:color w:val="221F1F"/>
        </w:rPr>
        <w:t>The Contract Price shall be adjusted to take account of any increase or decrease in Cost resulting from a change in the Laws of Kenya (including the introduction of new Laws and the repeal or modification of existing Laws) or in the judicial or official governmental interpretation of such Laws, made after the Base Date, which affect the Contractor in the performance of obligations under the Contract.</w:t>
      </w:r>
    </w:p>
    <w:p w:rsidR="007F6DF9" w:rsidRDefault="00A43FBC">
      <w:pPr>
        <w:pStyle w:val="ListParagraph"/>
        <w:numPr>
          <w:ilvl w:val="2"/>
          <w:numId w:val="94"/>
        </w:numPr>
        <w:tabs>
          <w:tab w:val="left" w:pos="1361"/>
          <w:tab w:val="left" w:pos="1364"/>
        </w:tabs>
        <w:spacing w:before="246" w:line="230" w:lineRule="auto"/>
        <w:ind w:left="1364" w:right="541"/>
        <w:jc w:val="both"/>
      </w:pPr>
      <w:r>
        <w:rPr>
          <w:color w:val="221F1F"/>
        </w:rPr>
        <w:t>If</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suffers</w:t>
      </w:r>
      <w:r>
        <w:rPr>
          <w:color w:val="221F1F"/>
          <w:spacing w:val="-2"/>
        </w:rPr>
        <w:t xml:space="preserve"> </w:t>
      </w:r>
      <w:r>
        <w:rPr>
          <w:color w:val="221F1F"/>
        </w:rPr>
        <w:t>(or</w:t>
      </w:r>
      <w:r>
        <w:rPr>
          <w:color w:val="221F1F"/>
          <w:spacing w:val="-1"/>
        </w:rPr>
        <w:t xml:space="preserve"> </w:t>
      </w:r>
      <w:r>
        <w:rPr>
          <w:color w:val="221F1F"/>
        </w:rPr>
        <w:t>will</w:t>
      </w:r>
      <w:r>
        <w:rPr>
          <w:color w:val="221F1F"/>
          <w:spacing w:val="-4"/>
        </w:rPr>
        <w:t xml:space="preserve"> </w:t>
      </w:r>
      <w:r>
        <w:rPr>
          <w:color w:val="221F1F"/>
        </w:rPr>
        <w:t>suffer)</w:t>
      </w:r>
      <w:r>
        <w:rPr>
          <w:color w:val="221F1F"/>
          <w:spacing w:val="-2"/>
        </w:rPr>
        <w:t xml:space="preserve"> </w:t>
      </w:r>
      <w:r>
        <w:rPr>
          <w:color w:val="221F1F"/>
        </w:rPr>
        <w:t>delay</w:t>
      </w:r>
      <w:r>
        <w:rPr>
          <w:color w:val="221F1F"/>
          <w:spacing w:val="-2"/>
        </w:rPr>
        <w:t xml:space="preserve"> </w:t>
      </w:r>
      <w:r>
        <w:rPr>
          <w:color w:val="221F1F"/>
        </w:rPr>
        <w:t>and/or</w:t>
      </w:r>
      <w:r>
        <w:rPr>
          <w:color w:val="221F1F"/>
          <w:spacing w:val="-4"/>
        </w:rPr>
        <w:t xml:space="preserve"> </w:t>
      </w:r>
      <w:r>
        <w:rPr>
          <w:color w:val="221F1F"/>
        </w:rPr>
        <w:t>incurs</w:t>
      </w:r>
      <w:r>
        <w:rPr>
          <w:color w:val="221F1F"/>
          <w:spacing w:val="-4"/>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incur)</w:t>
      </w:r>
      <w:r>
        <w:rPr>
          <w:color w:val="221F1F"/>
          <w:spacing w:val="-2"/>
        </w:rPr>
        <w:t xml:space="preserve"> </w:t>
      </w:r>
      <w:r>
        <w:rPr>
          <w:color w:val="221F1F"/>
        </w:rPr>
        <w:t>additional</w:t>
      </w:r>
      <w:r>
        <w:rPr>
          <w:color w:val="221F1F"/>
          <w:spacing w:val="-1"/>
        </w:rPr>
        <w:t xml:space="preserve"> </w:t>
      </w:r>
      <w:r>
        <w:rPr>
          <w:color w:val="221F1F"/>
        </w:rPr>
        <w:t>Cost</w:t>
      </w:r>
      <w:r>
        <w:rPr>
          <w:color w:val="221F1F"/>
          <w:spacing w:val="-1"/>
        </w:rPr>
        <w:t xml:space="preserve"> </w:t>
      </w:r>
      <w:r>
        <w:rPr>
          <w:color w:val="221F1F"/>
        </w:rPr>
        <w:t>as</w:t>
      </w:r>
      <w:r>
        <w:rPr>
          <w:color w:val="221F1F"/>
          <w:spacing w:val="-4"/>
        </w:rPr>
        <w:t xml:space="preserve"> </w:t>
      </w:r>
      <w:r>
        <w:rPr>
          <w:color w:val="221F1F"/>
        </w:rPr>
        <w:t>a</w:t>
      </w:r>
      <w:r>
        <w:rPr>
          <w:color w:val="221F1F"/>
          <w:spacing w:val="-2"/>
        </w:rPr>
        <w:t xml:space="preserve"> </w:t>
      </w:r>
      <w:r>
        <w:rPr>
          <w:color w:val="221F1F"/>
        </w:rPr>
        <w:t>result</w:t>
      </w:r>
      <w:r>
        <w:rPr>
          <w:color w:val="221F1F"/>
          <w:spacing w:val="-1"/>
        </w:rPr>
        <w:t xml:space="preserve"> </w:t>
      </w:r>
      <w:r>
        <w:rPr>
          <w:color w:val="221F1F"/>
        </w:rPr>
        <w:t>of these changes in the Laws or in such interpretations, made after the Base Date, the Contractor shall give notice to the Architect and shall be entitled subject to Sub-Clause 20.1 [Contractor's Claims] to:</w:t>
      </w:r>
    </w:p>
    <w:p w:rsidR="007F6DF9" w:rsidRDefault="00A43FBC">
      <w:pPr>
        <w:pStyle w:val="ListParagraph"/>
        <w:numPr>
          <w:ilvl w:val="3"/>
          <w:numId w:val="94"/>
        </w:numPr>
        <w:tabs>
          <w:tab w:val="left" w:pos="1866"/>
          <w:tab w:val="left" w:pos="1873"/>
        </w:tabs>
        <w:spacing w:before="1" w:line="230" w:lineRule="auto"/>
        <w:ind w:left="1873" w:right="1030" w:hanging="502"/>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3"/>
          <w:numId w:val="94"/>
        </w:numPr>
        <w:tabs>
          <w:tab w:val="left" w:pos="1866"/>
        </w:tabs>
        <w:spacing w:line="244" w:lineRule="exact"/>
        <w:ind w:left="1866"/>
        <w:jc w:val="both"/>
      </w:pPr>
      <w:r>
        <w:rPr>
          <w:color w:val="221F1F"/>
        </w:rPr>
        <w:t>payment</w:t>
      </w:r>
      <w:r>
        <w:rPr>
          <w:color w:val="221F1F"/>
          <w:spacing w:val="-4"/>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such</w:t>
      </w:r>
      <w:r>
        <w:rPr>
          <w:color w:val="221F1F"/>
          <w:spacing w:val="-1"/>
        </w:rPr>
        <w:t xml:space="preserve"> </w:t>
      </w:r>
      <w:r>
        <w:rPr>
          <w:color w:val="221F1F"/>
        </w:rPr>
        <w:t>Cost,</w:t>
      </w:r>
      <w:r>
        <w:rPr>
          <w:color w:val="221F1F"/>
          <w:spacing w:val="-5"/>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2"/>
        </w:rPr>
        <w:t>Price.</w:t>
      </w:r>
    </w:p>
    <w:p w:rsidR="007F6DF9" w:rsidRDefault="00A43FBC">
      <w:pPr>
        <w:pStyle w:val="ListParagraph"/>
        <w:numPr>
          <w:ilvl w:val="2"/>
          <w:numId w:val="94"/>
        </w:numPr>
        <w:tabs>
          <w:tab w:val="left" w:pos="1361"/>
          <w:tab w:val="left" w:pos="1364"/>
        </w:tabs>
        <w:spacing w:before="240" w:line="232" w:lineRule="auto"/>
        <w:ind w:left="1364" w:right="555"/>
        <w:jc w:val="both"/>
      </w:pPr>
      <w:r>
        <w:rPr>
          <w:color w:val="221F1F"/>
        </w:rPr>
        <w:t>After receiving this notice, the Architect shall proceed in accordance with Sub-Clause 3.5 [Determinations] to agree or determine these matters.</w:t>
      </w:r>
    </w:p>
    <w:p w:rsidR="007F6DF9" w:rsidRDefault="00A43FBC">
      <w:pPr>
        <w:pStyle w:val="ListParagraph"/>
        <w:numPr>
          <w:ilvl w:val="2"/>
          <w:numId w:val="94"/>
        </w:numPr>
        <w:tabs>
          <w:tab w:val="left" w:pos="1361"/>
          <w:tab w:val="left" w:pos="1364"/>
        </w:tabs>
        <w:spacing w:before="244" w:line="230" w:lineRule="auto"/>
        <w:ind w:left="1364" w:right="554"/>
        <w:jc w:val="both"/>
      </w:pPr>
      <w:proofErr w:type="spellStart"/>
      <w:r>
        <w:rPr>
          <w:color w:val="221F1F"/>
        </w:rPr>
        <w:t>Not withstanding</w:t>
      </w:r>
      <w:proofErr w:type="spellEnd"/>
      <w:r>
        <w:rPr>
          <w:color w:val="221F1F"/>
        </w:rPr>
        <w:t xml:space="preserve"> the foregoing, the Contractor shall not be entitled to an extension of time if the relevant delay</w:t>
      </w:r>
      <w:r>
        <w:rPr>
          <w:color w:val="221F1F"/>
          <w:spacing w:val="-3"/>
        </w:rPr>
        <w:t xml:space="preserve"> </w:t>
      </w:r>
      <w:r>
        <w:rPr>
          <w:color w:val="221F1F"/>
        </w:rPr>
        <w:t>has</w:t>
      </w:r>
      <w:r>
        <w:rPr>
          <w:color w:val="221F1F"/>
          <w:spacing w:val="-3"/>
        </w:rPr>
        <w:t xml:space="preserve"> </w:t>
      </w:r>
      <w:r>
        <w:rPr>
          <w:color w:val="221F1F"/>
        </w:rPr>
        <w:t>already</w:t>
      </w:r>
      <w:r>
        <w:rPr>
          <w:color w:val="221F1F"/>
          <w:spacing w:val="-1"/>
        </w:rPr>
        <w:t xml:space="preserve"> </w:t>
      </w:r>
      <w:r>
        <w:rPr>
          <w:color w:val="221F1F"/>
        </w:rPr>
        <w:t>been</w:t>
      </w:r>
      <w:r>
        <w:rPr>
          <w:color w:val="221F1F"/>
          <w:spacing w:val="-3"/>
        </w:rPr>
        <w:t xml:space="preserve"> </w:t>
      </w:r>
      <w:r>
        <w:rPr>
          <w:color w:val="221F1F"/>
        </w:rPr>
        <w:t>taken</w:t>
      </w:r>
      <w:r>
        <w:rPr>
          <w:color w:val="221F1F"/>
          <w:spacing w:val="-1"/>
        </w:rPr>
        <w:t xml:space="preserve"> </w:t>
      </w:r>
      <w:r>
        <w:rPr>
          <w:color w:val="221F1F"/>
        </w:rPr>
        <w:t>into</w:t>
      </w:r>
      <w:r>
        <w:rPr>
          <w:color w:val="221F1F"/>
          <w:spacing w:val="-1"/>
        </w:rPr>
        <w:t xml:space="preserve"> </w:t>
      </w:r>
      <w:r>
        <w:rPr>
          <w:color w:val="221F1F"/>
        </w:rPr>
        <w:t>account</w:t>
      </w:r>
      <w:r>
        <w:rPr>
          <w:color w:val="221F1F"/>
          <w:spacing w:val="-2"/>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determination of a</w:t>
      </w:r>
      <w:r>
        <w:rPr>
          <w:color w:val="221F1F"/>
          <w:spacing w:val="-3"/>
        </w:rPr>
        <w:t xml:space="preserve"> </w:t>
      </w:r>
      <w:r>
        <w:rPr>
          <w:color w:val="221F1F"/>
        </w:rPr>
        <w:t>previous extension</w:t>
      </w:r>
      <w:r>
        <w:rPr>
          <w:color w:val="221F1F"/>
          <w:spacing w:val="-3"/>
        </w:rPr>
        <w:t xml:space="preserve"> </w:t>
      </w:r>
      <w:r>
        <w:rPr>
          <w:color w:val="221F1F"/>
        </w:rPr>
        <w:t>of</w:t>
      </w:r>
      <w:r>
        <w:rPr>
          <w:color w:val="221F1F"/>
          <w:spacing w:val="-3"/>
        </w:rPr>
        <w:t xml:space="preserve"> </w:t>
      </w:r>
      <w:r>
        <w:rPr>
          <w:color w:val="221F1F"/>
        </w:rPr>
        <w:t>time</w:t>
      </w:r>
      <w:r>
        <w:rPr>
          <w:color w:val="221F1F"/>
          <w:spacing w:val="-3"/>
        </w:rPr>
        <w:t xml:space="preserve"> </w:t>
      </w:r>
      <w:r>
        <w:rPr>
          <w:color w:val="221F1F"/>
        </w:rPr>
        <w:t>and</w:t>
      </w:r>
      <w:r>
        <w:rPr>
          <w:color w:val="221F1F"/>
          <w:spacing w:val="-3"/>
        </w:rPr>
        <w:t xml:space="preserve"> </w:t>
      </w:r>
      <w:r>
        <w:rPr>
          <w:color w:val="221F1F"/>
        </w:rPr>
        <w:t>such</w:t>
      </w:r>
      <w:r>
        <w:rPr>
          <w:color w:val="221F1F"/>
          <w:spacing w:val="-3"/>
        </w:rPr>
        <w:t xml:space="preserve"> </w:t>
      </w:r>
      <w:r>
        <w:rPr>
          <w:color w:val="221F1F"/>
        </w:rPr>
        <w:t>Cost shall not be separately paid if the same shall already have been taken into account in the indexing of any inputs</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table</w:t>
      </w:r>
      <w:r>
        <w:rPr>
          <w:color w:val="221F1F"/>
          <w:spacing w:val="-2"/>
        </w:rPr>
        <w:t xml:space="preserve"> </w:t>
      </w:r>
      <w:r>
        <w:rPr>
          <w:color w:val="221F1F"/>
        </w:rPr>
        <w:t>of</w:t>
      </w:r>
      <w:r>
        <w:rPr>
          <w:color w:val="221F1F"/>
          <w:spacing w:val="-3"/>
        </w:rPr>
        <w:t xml:space="preserve"> </w:t>
      </w:r>
      <w:r>
        <w:rPr>
          <w:color w:val="221F1F"/>
        </w:rPr>
        <w:t>adjustment data</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4"/>
        </w:rPr>
        <w:t xml:space="preserve"> </w:t>
      </w:r>
      <w:r>
        <w:rPr>
          <w:color w:val="221F1F"/>
        </w:rPr>
        <w:t>Sub-Clause</w:t>
      </w:r>
      <w:r>
        <w:rPr>
          <w:color w:val="221F1F"/>
          <w:spacing w:val="-1"/>
        </w:rPr>
        <w:t xml:space="preserve"> </w:t>
      </w:r>
      <w:r>
        <w:rPr>
          <w:color w:val="221F1F"/>
        </w:rPr>
        <w:t>13.8</w:t>
      </w:r>
      <w:r>
        <w:rPr>
          <w:color w:val="221F1F"/>
          <w:spacing w:val="-2"/>
        </w:rPr>
        <w:t xml:space="preserve"> </w:t>
      </w:r>
      <w:r>
        <w:rPr>
          <w:color w:val="221F1F"/>
        </w:rPr>
        <w:t>[Adjustments</w:t>
      </w:r>
      <w:r>
        <w:rPr>
          <w:color w:val="221F1F"/>
          <w:spacing w:val="-1"/>
        </w:rPr>
        <w:t xml:space="preserve"> </w:t>
      </w:r>
      <w:r>
        <w:rPr>
          <w:color w:val="221F1F"/>
        </w:rPr>
        <w:t>for Changes in Cost].</w:t>
      </w:r>
    </w:p>
    <w:p w:rsidR="007F6DF9" w:rsidRDefault="00A43FBC">
      <w:pPr>
        <w:pStyle w:val="Heading9"/>
        <w:numPr>
          <w:ilvl w:val="1"/>
          <w:numId w:val="94"/>
        </w:numPr>
        <w:tabs>
          <w:tab w:val="left" w:pos="1371"/>
        </w:tabs>
        <w:spacing w:before="235"/>
        <w:ind w:left="1371"/>
      </w:pPr>
      <w:r>
        <w:rPr>
          <w:color w:val="221F1F"/>
        </w:rPr>
        <w:t>Adjustments</w:t>
      </w:r>
      <w:r>
        <w:rPr>
          <w:color w:val="221F1F"/>
          <w:spacing w:val="-3"/>
        </w:rPr>
        <w:t xml:space="preserve"> </w:t>
      </w:r>
      <w:r>
        <w:rPr>
          <w:color w:val="221F1F"/>
        </w:rPr>
        <w:t>for</w:t>
      </w:r>
      <w:r>
        <w:rPr>
          <w:color w:val="221F1F"/>
          <w:spacing w:val="-3"/>
        </w:rPr>
        <w:t xml:space="preserve"> </w:t>
      </w:r>
      <w:r>
        <w:rPr>
          <w:color w:val="221F1F"/>
        </w:rPr>
        <w:t>Changes</w:t>
      </w:r>
      <w:r>
        <w:rPr>
          <w:color w:val="221F1F"/>
          <w:spacing w:val="-5"/>
        </w:rPr>
        <w:t xml:space="preserve"> </w:t>
      </w:r>
      <w:r>
        <w:rPr>
          <w:color w:val="221F1F"/>
        </w:rPr>
        <w:t>in</w:t>
      </w:r>
      <w:r>
        <w:rPr>
          <w:color w:val="221F1F"/>
          <w:spacing w:val="-3"/>
        </w:rPr>
        <w:t xml:space="preserve"> </w:t>
      </w:r>
      <w:r>
        <w:rPr>
          <w:color w:val="221F1F"/>
          <w:spacing w:val="-4"/>
        </w:rPr>
        <w:t>Cost</w:t>
      </w:r>
    </w:p>
    <w:p w:rsidR="007F6DF9" w:rsidRDefault="00A43FBC">
      <w:pPr>
        <w:pStyle w:val="ListParagraph"/>
        <w:numPr>
          <w:ilvl w:val="2"/>
          <w:numId w:val="94"/>
        </w:numPr>
        <w:tabs>
          <w:tab w:val="left" w:pos="1361"/>
          <w:tab w:val="left" w:pos="1364"/>
        </w:tabs>
        <w:spacing w:before="242" w:line="230" w:lineRule="auto"/>
        <w:ind w:left="1364" w:right="556"/>
        <w:jc w:val="both"/>
      </w:pPr>
      <w:r>
        <w:rPr>
          <w:color w:val="221F1F"/>
        </w:rPr>
        <w:t>In this Sub-Clause, “table of adjustment data” means the completed table of adjustment data for local and foreign</w:t>
      </w:r>
      <w:r>
        <w:rPr>
          <w:color w:val="221F1F"/>
          <w:spacing w:val="-13"/>
        </w:rPr>
        <w:t xml:space="preserve"> </w:t>
      </w:r>
      <w:r>
        <w:rPr>
          <w:color w:val="221F1F"/>
        </w:rPr>
        <w:t>currencies</w:t>
      </w:r>
      <w:r>
        <w:rPr>
          <w:color w:val="221F1F"/>
          <w:spacing w:val="-10"/>
        </w:rPr>
        <w:t xml:space="preserve"> </w:t>
      </w:r>
      <w:r>
        <w:rPr>
          <w:color w:val="221F1F"/>
        </w:rPr>
        <w:t>included</w:t>
      </w:r>
      <w:r>
        <w:rPr>
          <w:color w:val="221F1F"/>
          <w:spacing w:val="-12"/>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Schedules.</w:t>
      </w:r>
      <w:r>
        <w:rPr>
          <w:color w:val="221F1F"/>
          <w:spacing w:val="-11"/>
        </w:rPr>
        <w:t xml:space="preserve"> </w:t>
      </w:r>
      <w:r>
        <w:rPr>
          <w:color w:val="221F1F"/>
        </w:rPr>
        <w:t>If</w:t>
      </w:r>
      <w:r>
        <w:rPr>
          <w:color w:val="221F1F"/>
          <w:spacing w:val="-10"/>
        </w:rPr>
        <w:t xml:space="preserve"> </w:t>
      </w:r>
      <w:r>
        <w:rPr>
          <w:color w:val="221F1F"/>
        </w:rPr>
        <w:t>there</w:t>
      </w:r>
      <w:r>
        <w:rPr>
          <w:color w:val="221F1F"/>
          <w:spacing w:val="-11"/>
        </w:rPr>
        <w:t xml:space="preserve"> </w:t>
      </w:r>
      <w:r>
        <w:rPr>
          <w:color w:val="221F1F"/>
        </w:rPr>
        <w:t>is</w:t>
      </w:r>
      <w:r>
        <w:rPr>
          <w:color w:val="221F1F"/>
          <w:spacing w:val="-12"/>
        </w:rPr>
        <w:t xml:space="preserve"> </w:t>
      </w:r>
      <w:r>
        <w:rPr>
          <w:color w:val="221F1F"/>
        </w:rPr>
        <w:t>no</w:t>
      </w:r>
      <w:r>
        <w:rPr>
          <w:color w:val="221F1F"/>
          <w:spacing w:val="-11"/>
        </w:rPr>
        <w:t xml:space="preserve"> </w:t>
      </w:r>
      <w:r>
        <w:rPr>
          <w:color w:val="221F1F"/>
        </w:rPr>
        <w:t>such</w:t>
      </w:r>
      <w:r>
        <w:rPr>
          <w:color w:val="221F1F"/>
          <w:spacing w:val="-13"/>
        </w:rPr>
        <w:t xml:space="preserve"> </w:t>
      </w:r>
      <w:r>
        <w:rPr>
          <w:color w:val="221F1F"/>
        </w:rPr>
        <w:t>table</w:t>
      </w:r>
      <w:r>
        <w:rPr>
          <w:color w:val="221F1F"/>
          <w:spacing w:val="-10"/>
        </w:rPr>
        <w:t xml:space="preserve"> </w:t>
      </w:r>
      <w:r>
        <w:rPr>
          <w:color w:val="221F1F"/>
        </w:rPr>
        <w:t>of</w:t>
      </w:r>
      <w:r>
        <w:rPr>
          <w:color w:val="221F1F"/>
          <w:spacing w:val="-10"/>
        </w:rPr>
        <w:t xml:space="preserve"> </w:t>
      </w:r>
      <w:r>
        <w:rPr>
          <w:color w:val="221F1F"/>
        </w:rPr>
        <w:t>adjustment</w:t>
      </w:r>
      <w:r>
        <w:rPr>
          <w:color w:val="221F1F"/>
          <w:spacing w:val="-11"/>
        </w:rPr>
        <w:t xml:space="preserve"> </w:t>
      </w:r>
      <w:r>
        <w:rPr>
          <w:color w:val="221F1F"/>
        </w:rPr>
        <w:t>data,</w:t>
      </w:r>
      <w:r>
        <w:rPr>
          <w:color w:val="221F1F"/>
          <w:spacing w:val="-12"/>
        </w:rPr>
        <w:t xml:space="preserve"> </w:t>
      </w:r>
      <w:r>
        <w:rPr>
          <w:color w:val="221F1F"/>
        </w:rPr>
        <w:t>this</w:t>
      </w:r>
      <w:r>
        <w:rPr>
          <w:color w:val="221F1F"/>
          <w:spacing w:val="-10"/>
        </w:rPr>
        <w:t xml:space="preserve"> </w:t>
      </w:r>
      <w:r>
        <w:rPr>
          <w:color w:val="221F1F"/>
        </w:rPr>
        <w:t>Sub-Clause</w:t>
      </w:r>
      <w:r>
        <w:rPr>
          <w:color w:val="221F1F"/>
          <w:spacing w:val="-10"/>
        </w:rPr>
        <w:t xml:space="preserve"> </w:t>
      </w:r>
      <w:r>
        <w:rPr>
          <w:color w:val="221F1F"/>
        </w:rPr>
        <w:t>shall not apply.</w:t>
      </w:r>
    </w:p>
    <w:p w:rsidR="007F6DF9" w:rsidRDefault="00A43FBC">
      <w:pPr>
        <w:pStyle w:val="ListParagraph"/>
        <w:numPr>
          <w:ilvl w:val="2"/>
          <w:numId w:val="94"/>
        </w:numPr>
        <w:tabs>
          <w:tab w:val="left" w:pos="1361"/>
          <w:tab w:val="left" w:pos="1364"/>
        </w:tabs>
        <w:spacing w:before="246" w:line="230" w:lineRule="auto"/>
        <w:ind w:left="1364" w:right="554"/>
        <w:jc w:val="both"/>
      </w:pPr>
      <w:r>
        <w:rPr>
          <w:color w:val="221F1F"/>
        </w:rPr>
        <w:t>If</w:t>
      </w:r>
      <w:r>
        <w:rPr>
          <w:color w:val="221F1F"/>
          <w:spacing w:val="-5"/>
        </w:rPr>
        <w:t xml:space="preserve"> </w:t>
      </w:r>
      <w:r>
        <w:rPr>
          <w:color w:val="221F1F"/>
        </w:rPr>
        <w:t>this</w:t>
      </w:r>
      <w:r>
        <w:rPr>
          <w:color w:val="221F1F"/>
          <w:spacing w:val="-6"/>
        </w:rPr>
        <w:t xml:space="preserve"> </w:t>
      </w:r>
      <w:r>
        <w:rPr>
          <w:color w:val="221F1F"/>
        </w:rPr>
        <w:t>Sub-Clause</w:t>
      </w:r>
      <w:r>
        <w:rPr>
          <w:color w:val="221F1F"/>
          <w:spacing w:val="-5"/>
        </w:rPr>
        <w:t xml:space="preserve"> </w:t>
      </w:r>
      <w:r>
        <w:rPr>
          <w:color w:val="221F1F"/>
        </w:rPr>
        <w:t>applies,</w:t>
      </w:r>
      <w:r>
        <w:rPr>
          <w:color w:val="221F1F"/>
          <w:spacing w:val="-8"/>
        </w:rPr>
        <w:t xml:space="preserve"> </w:t>
      </w:r>
      <w:r>
        <w:rPr>
          <w:color w:val="221F1F"/>
        </w:rPr>
        <w:t>the</w:t>
      </w:r>
      <w:r>
        <w:rPr>
          <w:color w:val="221F1F"/>
          <w:spacing w:val="-6"/>
        </w:rPr>
        <w:t xml:space="preserve"> </w:t>
      </w:r>
      <w:r>
        <w:rPr>
          <w:color w:val="221F1F"/>
        </w:rPr>
        <w:t>amounts</w:t>
      </w:r>
      <w:r>
        <w:rPr>
          <w:color w:val="221F1F"/>
          <w:spacing w:val="-5"/>
        </w:rPr>
        <w:t xml:space="preserve"> </w:t>
      </w:r>
      <w:r>
        <w:rPr>
          <w:color w:val="221F1F"/>
        </w:rPr>
        <w:t>payable</w:t>
      </w:r>
      <w:r>
        <w:rPr>
          <w:color w:val="221F1F"/>
          <w:spacing w:val="-8"/>
        </w:rPr>
        <w:t xml:space="preserve"> </w:t>
      </w:r>
      <w:r>
        <w:rPr>
          <w:color w:val="221F1F"/>
        </w:rPr>
        <w:t>to</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be</w:t>
      </w:r>
      <w:r>
        <w:rPr>
          <w:color w:val="221F1F"/>
          <w:spacing w:val="-8"/>
        </w:rPr>
        <w:t xml:space="preserve"> </w:t>
      </w:r>
      <w:r>
        <w:rPr>
          <w:color w:val="221F1F"/>
        </w:rPr>
        <w:t>adjusted</w:t>
      </w:r>
      <w:r>
        <w:rPr>
          <w:color w:val="221F1F"/>
          <w:spacing w:val="-8"/>
        </w:rPr>
        <w:t xml:space="preserve"> </w:t>
      </w:r>
      <w:r>
        <w:rPr>
          <w:color w:val="221F1F"/>
        </w:rPr>
        <w:t>for</w:t>
      </w:r>
      <w:r>
        <w:rPr>
          <w:color w:val="221F1F"/>
          <w:spacing w:val="-7"/>
        </w:rPr>
        <w:t xml:space="preserve"> </w:t>
      </w:r>
      <w:r>
        <w:rPr>
          <w:color w:val="221F1F"/>
        </w:rPr>
        <w:t>rises</w:t>
      </w:r>
      <w:r>
        <w:rPr>
          <w:color w:val="221F1F"/>
          <w:spacing w:val="-5"/>
        </w:rPr>
        <w:t xml:space="preserve"> </w:t>
      </w:r>
      <w:r>
        <w:rPr>
          <w:color w:val="221F1F"/>
        </w:rPr>
        <w:t>or</w:t>
      </w:r>
      <w:r>
        <w:rPr>
          <w:color w:val="221F1F"/>
          <w:spacing w:val="-8"/>
        </w:rPr>
        <w:t xml:space="preserve"> </w:t>
      </w:r>
      <w:r>
        <w:rPr>
          <w:color w:val="221F1F"/>
        </w:rPr>
        <w:t>falls</w:t>
      </w:r>
      <w:r>
        <w:rPr>
          <w:color w:val="221F1F"/>
          <w:spacing w:val="-7"/>
        </w:rPr>
        <w:t xml:space="preserve"> </w:t>
      </w:r>
      <w:r>
        <w:rPr>
          <w:color w:val="221F1F"/>
        </w:rPr>
        <w:t>in</w:t>
      </w:r>
      <w:r>
        <w:rPr>
          <w:color w:val="221F1F"/>
          <w:spacing w:val="-8"/>
        </w:rPr>
        <w:t xml:space="preserve"> </w:t>
      </w:r>
      <w:r>
        <w:rPr>
          <w:color w:val="221F1F"/>
        </w:rPr>
        <w:t>the</w:t>
      </w:r>
      <w:r>
        <w:rPr>
          <w:color w:val="221F1F"/>
          <w:spacing w:val="-6"/>
        </w:rPr>
        <w:t xml:space="preserve"> </w:t>
      </w:r>
      <w:r>
        <w:rPr>
          <w:color w:val="221F1F"/>
        </w:rPr>
        <w:t>cost of</w:t>
      </w:r>
      <w:r>
        <w:rPr>
          <w:color w:val="221F1F"/>
          <w:spacing w:val="-4"/>
        </w:rPr>
        <w:t xml:space="preserve"> </w:t>
      </w:r>
      <w:r>
        <w:rPr>
          <w:color w:val="221F1F"/>
        </w:rPr>
        <w:t>labor,</w:t>
      </w:r>
      <w:r>
        <w:rPr>
          <w:color w:val="221F1F"/>
          <w:spacing w:val="-5"/>
        </w:rPr>
        <w:t xml:space="preserve"> </w:t>
      </w:r>
      <w:r>
        <w:rPr>
          <w:color w:val="221F1F"/>
        </w:rPr>
        <w:t>Goods</w:t>
      </w:r>
      <w:r>
        <w:rPr>
          <w:color w:val="221F1F"/>
          <w:spacing w:val="-7"/>
        </w:rPr>
        <w:t xml:space="preserve"> </w:t>
      </w:r>
      <w:r>
        <w:rPr>
          <w:color w:val="221F1F"/>
        </w:rPr>
        <w:t>and</w:t>
      </w:r>
      <w:r>
        <w:rPr>
          <w:color w:val="221F1F"/>
          <w:spacing w:val="-7"/>
        </w:rPr>
        <w:t xml:space="preserve"> </w:t>
      </w:r>
      <w:r>
        <w:rPr>
          <w:color w:val="221F1F"/>
        </w:rPr>
        <w:t>other</w:t>
      </w:r>
      <w:r>
        <w:rPr>
          <w:color w:val="221F1F"/>
          <w:spacing w:val="-6"/>
        </w:rPr>
        <w:t xml:space="preserve"> </w:t>
      </w:r>
      <w:r>
        <w:rPr>
          <w:color w:val="221F1F"/>
        </w:rPr>
        <w:t>inputs</w:t>
      </w:r>
      <w:r>
        <w:rPr>
          <w:color w:val="221F1F"/>
          <w:spacing w:val="-7"/>
        </w:rPr>
        <w:t xml:space="preserve"> </w:t>
      </w:r>
      <w:r>
        <w:rPr>
          <w:color w:val="221F1F"/>
        </w:rPr>
        <w:t>to</w:t>
      </w:r>
      <w:r>
        <w:rPr>
          <w:color w:val="221F1F"/>
          <w:spacing w:val="-7"/>
        </w:rPr>
        <w:t xml:space="preserve"> </w:t>
      </w:r>
      <w:r>
        <w:rPr>
          <w:color w:val="221F1F"/>
        </w:rPr>
        <w:t>the</w:t>
      </w:r>
      <w:r>
        <w:rPr>
          <w:color w:val="221F1F"/>
          <w:spacing w:val="-2"/>
        </w:rPr>
        <w:t xml:space="preserve"> </w:t>
      </w:r>
      <w:r>
        <w:rPr>
          <w:color w:val="221F1F"/>
        </w:rPr>
        <w:t>Works,</w:t>
      </w:r>
      <w:r>
        <w:rPr>
          <w:color w:val="221F1F"/>
          <w:spacing w:val="-9"/>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addition</w:t>
      </w:r>
      <w:r>
        <w:rPr>
          <w:color w:val="221F1F"/>
          <w:spacing w:val="-7"/>
        </w:rPr>
        <w:t xml:space="preserve"> </w:t>
      </w:r>
      <w:r>
        <w:rPr>
          <w:color w:val="221F1F"/>
        </w:rPr>
        <w:t>or</w:t>
      </w:r>
      <w:r>
        <w:rPr>
          <w:color w:val="221F1F"/>
          <w:spacing w:val="-6"/>
        </w:rPr>
        <w:t xml:space="preserve"> </w:t>
      </w:r>
      <w:r>
        <w:rPr>
          <w:color w:val="221F1F"/>
        </w:rPr>
        <w:t>deduction</w:t>
      </w:r>
      <w:r>
        <w:rPr>
          <w:color w:val="221F1F"/>
          <w:spacing w:val="-5"/>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amounts</w:t>
      </w:r>
      <w:r>
        <w:rPr>
          <w:color w:val="221F1F"/>
          <w:spacing w:val="-7"/>
        </w:rPr>
        <w:t xml:space="preserve"> </w:t>
      </w:r>
      <w:r>
        <w:rPr>
          <w:color w:val="221F1F"/>
        </w:rPr>
        <w:t>determined</w:t>
      </w:r>
      <w:r>
        <w:rPr>
          <w:color w:val="221F1F"/>
          <w:spacing w:val="-7"/>
        </w:rPr>
        <w:t xml:space="preserve"> </w:t>
      </w:r>
      <w:r>
        <w:rPr>
          <w:color w:val="221F1F"/>
        </w:rPr>
        <w:t>by</w:t>
      </w:r>
      <w:r>
        <w:rPr>
          <w:color w:val="221F1F"/>
          <w:spacing w:val="-7"/>
        </w:rPr>
        <w:t xml:space="preserve"> </w:t>
      </w:r>
      <w:r>
        <w:rPr>
          <w:color w:val="221F1F"/>
        </w:rPr>
        <w:t>the formulae</w:t>
      </w:r>
      <w:r>
        <w:rPr>
          <w:color w:val="221F1F"/>
          <w:spacing w:val="-14"/>
        </w:rPr>
        <w:t xml:space="preserve"> </w:t>
      </w:r>
      <w:r>
        <w:rPr>
          <w:color w:val="221F1F"/>
        </w:rPr>
        <w:t>prescribed</w:t>
      </w:r>
      <w:r>
        <w:rPr>
          <w:color w:val="221F1F"/>
          <w:spacing w:val="-9"/>
        </w:rPr>
        <w:t xml:space="preserve"> </w:t>
      </w:r>
      <w:r>
        <w:rPr>
          <w:color w:val="221F1F"/>
        </w:rPr>
        <w:t>in</w:t>
      </w:r>
      <w:r>
        <w:rPr>
          <w:color w:val="221F1F"/>
          <w:spacing w:val="-9"/>
        </w:rPr>
        <w:t xml:space="preserve"> </w:t>
      </w:r>
      <w:r>
        <w:rPr>
          <w:color w:val="221F1F"/>
        </w:rPr>
        <w:t>this</w:t>
      </w:r>
      <w:r>
        <w:rPr>
          <w:color w:val="221F1F"/>
          <w:spacing w:val="-8"/>
        </w:rPr>
        <w:t xml:space="preserve"> </w:t>
      </w:r>
      <w:r>
        <w:rPr>
          <w:color w:val="221F1F"/>
        </w:rPr>
        <w:t>Sub-Clause.</w:t>
      </w:r>
      <w:r>
        <w:rPr>
          <w:color w:val="221F1F"/>
          <w:spacing w:val="-9"/>
        </w:rPr>
        <w:t xml:space="preserve"> </w:t>
      </w:r>
      <w:r>
        <w:rPr>
          <w:color w:val="221F1F"/>
        </w:rPr>
        <w:t>To</w:t>
      </w:r>
      <w:r>
        <w:rPr>
          <w:color w:val="221F1F"/>
          <w:spacing w:val="-14"/>
        </w:rPr>
        <w:t xml:space="preserve"> </w:t>
      </w:r>
      <w:r>
        <w:rPr>
          <w:color w:val="221F1F"/>
        </w:rPr>
        <w:t>the</w:t>
      </w:r>
      <w:r>
        <w:rPr>
          <w:color w:val="221F1F"/>
          <w:spacing w:val="-8"/>
        </w:rPr>
        <w:t xml:space="preserve"> </w:t>
      </w:r>
      <w:r>
        <w:rPr>
          <w:color w:val="221F1F"/>
        </w:rPr>
        <w:t>extent</w:t>
      </w:r>
      <w:r>
        <w:rPr>
          <w:color w:val="221F1F"/>
          <w:spacing w:val="-6"/>
        </w:rPr>
        <w:t xml:space="preserve"> </w:t>
      </w:r>
      <w:r>
        <w:rPr>
          <w:color w:val="221F1F"/>
        </w:rPr>
        <w:t>that</w:t>
      </w:r>
      <w:r>
        <w:rPr>
          <w:color w:val="221F1F"/>
          <w:spacing w:val="-8"/>
        </w:rPr>
        <w:t xml:space="preserve"> </w:t>
      </w:r>
      <w:r>
        <w:rPr>
          <w:color w:val="221F1F"/>
        </w:rPr>
        <w:t>full</w:t>
      </w:r>
      <w:r>
        <w:rPr>
          <w:color w:val="221F1F"/>
          <w:spacing w:val="-6"/>
        </w:rPr>
        <w:t xml:space="preserve"> </w:t>
      </w:r>
      <w:r>
        <w:rPr>
          <w:color w:val="221F1F"/>
        </w:rPr>
        <w:t>compensation</w:t>
      </w:r>
      <w:r>
        <w:rPr>
          <w:color w:val="221F1F"/>
          <w:spacing w:val="-7"/>
        </w:rPr>
        <w:t xml:space="preserve"> </w:t>
      </w:r>
      <w:r>
        <w:rPr>
          <w:color w:val="221F1F"/>
        </w:rPr>
        <w:t>for</w:t>
      </w:r>
      <w:r>
        <w:rPr>
          <w:color w:val="221F1F"/>
          <w:spacing w:val="-6"/>
        </w:rPr>
        <w:t xml:space="preserve"> </w:t>
      </w:r>
      <w:r>
        <w:rPr>
          <w:color w:val="221F1F"/>
        </w:rPr>
        <w:t>any</w:t>
      </w:r>
      <w:r>
        <w:rPr>
          <w:color w:val="221F1F"/>
          <w:spacing w:val="-7"/>
        </w:rPr>
        <w:t xml:space="preserve"> </w:t>
      </w:r>
      <w:r>
        <w:rPr>
          <w:color w:val="221F1F"/>
        </w:rPr>
        <w:t>rise</w:t>
      </w:r>
      <w:r>
        <w:rPr>
          <w:color w:val="221F1F"/>
          <w:spacing w:val="-6"/>
        </w:rPr>
        <w:t xml:space="preserve"> </w:t>
      </w:r>
      <w:r>
        <w:rPr>
          <w:color w:val="221F1F"/>
        </w:rPr>
        <w:t>or</w:t>
      </w:r>
      <w:r>
        <w:rPr>
          <w:color w:val="221F1F"/>
          <w:spacing w:val="-6"/>
        </w:rPr>
        <w:t xml:space="preserve"> </w:t>
      </w:r>
      <w:r>
        <w:rPr>
          <w:color w:val="221F1F"/>
        </w:rPr>
        <w:t>fall</w:t>
      </w:r>
      <w:r>
        <w:rPr>
          <w:color w:val="221F1F"/>
          <w:spacing w:val="-6"/>
        </w:rPr>
        <w:t xml:space="preserve"> </w:t>
      </w:r>
      <w:r>
        <w:rPr>
          <w:color w:val="221F1F"/>
        </w:rPr>
        <w:t>in</w:t>
      </w:r>
      <w:r>
        <w:rPr>
          <w:color w:val="221F1F"/>
          <w:spacing w:val="-7"/>
        </w:rPr>
        <w:t xml:space="preserve"> </w:t>
      </w:r>
      <w:r>
        <w:rPr>
          <w:color w:val="221F1F"/>
        </w:rPr>
        <w:t>Costs</w:t>
      </w:r>
      <w:r>
        <w:rPr>
          <w:color w:val="221F1F"/>
          <w:spacing w:val="-9"/>
        </w:rPr>
        <w:t xml:space="preserve"> </w:t>
      </w:r>
      <w:r>
        <w:rPr>
          <w:color w:val="221F1F"/>
        </w:rPr>
        <w:t>is</w:t>
      </w:r>
      <w:r>
        <w:rPr>
          <w:color w:val="221F1F"/>
          <w:spacing w:val="-7"/>
        </w:rPr>
        <w:t xml:space="preserve"> </w:t>
      </w:r>
      <w:r>
        <w:rPr>
          <w:color w:val="221F1F"/>
        </w:rPr>
        <w:t>not covered by the provisions of this or other Clauses, the Accepted Contract Amount shall be deemed to have included a mounts to cover the contingency of other rises and falls in costs.</w:t>
      </w:r>
    </w:p>
    <w:p w:rsidR="007F6DF9" w:rsidRDefault="00A43FBC">
      <w:pPr>
        <w:pStyle w:val="ListParagraph"/>
        <w:numPr>
          <w:ilvl w:val="2"/>
          <w:numId w:val="94"/>
        </w:numPr>
        <w:tabs>
          <w:tab w:val="left" w:pos="1361"/>
          <w:tab w:val="left" w:pos="1364"/>
        </w:tabs>
        <w:spacing w:before="245" w:line="230" w:lineRule="auto"/>
        <w:ind w:left="1364" w:right="555"/>
        <w:jc w:val="both"/>
      </w:pPr>
      <w:r>
        <w:rPr>
          <w:color w:val="221F1F"/>
        </w:rPr>
        <w:t>The</w:t>
      </w:r>
      <w:r>
        <w:rPr>
          <w:color w:val="221F1F"/>
          <w:spacing w:val="-6"/>
        </w:rPr>
        <w:t xml:space="preserve"> </w:t>
      </w:r>
      <w:r>
        <w:rPr>
          <w:color w:val="221F1F"/>
        </w:rPr>
        <w:t>adjustment</w:t>
      </w:r>
      <w:r>
        <w:rPr>
          <w:color w:val="221F1F"/>
          <w:spacing w:val="-7"/>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applied</w:t>
      </w:r>
      <w:r>
        <w:rPr>
          <w:color w:val="221F1F"/>
          <w:spacing w:val="-5"/>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amount</w:t>
      </w:r>
      <w:r>
        <w:rPr>
          <w:color w:val="221F1F"/>
          <w:spacing w:val="-5"/>
        </w:rPr>
        <w:t xml:space="preserve"> </w:t>
      </w:r>
      <w:r>
        <w:rPr>
          <w:color w:val="221F1F"/>
        </w:rPr>
        <w:t>otherwise</w:t>
      </w:r>
      <w:r>
        <w:rPr>
          <w:color w:val="221F1F"/>
          <w:spacing w:val="-7"/>
        </w:rPr>
        <w:t xml:space="preserve"> </w:t>
      </w:r>
      <w:r>
        <w:rPr>
          <w:color w:val="221F1F"/>
        </w:rPr>
        <w:t>payable</w:t>
      </w:r>
      <w:r>
        <w:rPr>
          <w:color w:val="221F1F"/>
          <w:spacing w:val="-7"/>
        </w:rPr>
        <w:t xml:space="preserve"> </w:t>
      </w:r>
      <w:r>
        <w:rPr>
          <w:color w:val="221F1F"/>
        </w:rPr>
        <w:t>to</w:t>
      </w:r>
      <w:r>
        <w:rPr>
          <w:color w:val="221F1F"/>
          <w:spacing w:val="-8"/>
        </w:rPr>
        <w:t xml:space="preserve"> </w:t>
      </w:r>
      <w:r>
        <w:rPr>
          <w:color w:val="221F1F"/>
        </w:rPr>
        <w:t>the</w:t>
      </w:r>
      <w:r>
        <w:rPr>
          <w:color w:val="221F1F"/>
          <w:spacing w:val="-5"/>
        </w:rPr>
        <w:t xml:space="preserve"> </w:t>
      </w:r>
      <w:r>
        <w:rPr>
          <w:color w:val="221F1F"/>
        </w:rPr>
        <w:t>Contractor,</w:t>
      </w:r>
      <w:r>
        <w:rPr>
          <w:color w:val="221F1F"/>
          <w:spacing w:val="-8"/>
        </w:rPr>
        <w:t xml:space="preserve"> </w:t>
      </w:r>
      <w:r>
        <w:rPr>
          <w:color w:val="221F1F"/>
        </w:rPr>
        <w:t>as</w:t>
      </w:r>
      <w:r>
        <w:rPr>
          <w:color w:val="221F1F"/>
          <w:spacing w:val="-10"/>
        </w:rPr>
        <w:t xml:space="preserve"> </w:t>
      </w:r>
      <w:r>
        <w:rPr>
          <w:color w:val="221F1F"/>
        </w:rPr>
        <w:t>valued</w:t>
      </w:r>
      <w:r>
        <w:rPr>
          <w:color w:val="221F1F"/>
          <w:spacing w:val="-8"/>
        </w:rPr>
        <w:t xml:space="preserve"> </w:t>
      </w:r>
      <w:r>
        <w:rPr>
          <w:color w:val="221F1F"/>
        </w:rPr>
        <w:t>in</w:t>
      </w:r>
      <w:r>
        <w:rPr>
          <w:color w:val="221F1F"/>
          <w:spacing w:val="-8"/>
        </w:rPr>
        <w:t xml:space="preserve"> </w:t>
      </w:r>
      <w:r>
        <w:rPr>
          <w:color w:val="221F1F"/>
        </w:rPr>
        <w:t>accordance</w:t>
      </w:r>
      <w:r>
        <w:rPr>
          <w:color w:val="221F1F"/>
          <w:spacing w:val="-7"/>
        </w:rPr>
        <w:t xml:space="preserve"> </w:t>
      </w:r>
      <w:r>
        <w:rPr>
          <w:color w:val="221F1F"/>
        </w:rPr>
        <w:t>with the</w:t>
      </w:r>
      <w:r>
        <w:rPr>
          <w:color w:val="221F1F"/>
          <w:spacing w:val="-8"/>
        </w:rPr>
        <w:t xml:space="preserve"> </w:t>
      </w:r>
      <w:r>
        <w:rPr>
          <w:color w:val="221F1F"/>
        </w:rPr>
        <w:t>appropriate</w:t>
      </w:r>
      <w:r>
        <w:rPr>
          <w:color w:val="221F1F"/>
          <w:spacing w:val="-7"/>
        </w:rPr>
        <w:t xml:space="preserve"> </w:t>
      </w:r>
      <w:r>
        <w:rPr>
          <w:color w:val="221F1F"/>
        </w:rPr>
        <w:t>Schedule</w:t>
      </w:r>
      <w:r>
        <w:rPr>
          <w:color w:val="221F1F"/>
          <w:spacing w:val="-6"/>
        </w:rPr>
        <w:t xml:space="preserve"> </w:t>
      </w:r>
      <w:r>
        <w:rPr>
          <w:color w:val="221F1F"/>
        </w:rPr>
        <w:t>and</w:t>
      </w:r>
      <w:r>
        <w:rPr>
          <w:color w:val="221F1F"/>
          <w:spacing w:val="-6"/>
        </w:rPr>
        <w:t xml:space="preserve"> </w:t>
      </w:r>
      <w:r>
        <w:rPr>
          <w:color w:val="221F1F"/>
        </w:rPr>
        <w:t>certified</w:t>
      </w:r>
      <w:r>
        <w:rPr>
          <w:color w:val="221F1F"/>
          <w:spacing w:val="-8"/>
        </w:rPr>
        <w:t xml:space="preserve"> </w:t>
      </w:r>
      <w:r>
        <w:rPr>
          <w:color w:val="221F1F"/>
        </w:rPr>
        <w:t>in</w:t>
      </w:r>
      <w:r>
        <w:rPr>
          <w:color w:val="221F1F"/>
          <w:spacing w:val="-6"/>
        </w:rPr>
        <w:t xml:space="preserve"> </w:t>
      </w:r>
      <w:r>
        <w:rPr>
          <w:color w:val="221F1F"/>
        </w:rPr>
        <w:t>Payment</w:t>
      </w:r>
      <w:r>
        <w:rPr>
          <w:color w:val="221F1F"/>
          <w:spacing w:val="-7"/>
        </w:rPr>
        <w:t xml:space="preserve"> </w:t>
      </w:r>
      <w:r>
        <w:rPr>
          <w:color w:val="221F1F"/>
        </w:rPr>
        <w:t>Certificates,</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determined</w:t>
      </w:r>
      <w:r>
        <w:rPr>
          <w:color w:val="221F1F"/>
          <w:spacing w:val="-9"/>
        </w:rPr>
        <w:t xml:space="preserve"> </w:t>
      </w:r>
      <w:r>
        <w:rPr>
          <w:color w:val="221F1F"/>
        </w:rPr>
        <w:t>from</w:t>
      </w:r>
      <w:r>
        <w:rPr>
          <w:color w:val="221F1F"/>
          <w:spacing w:val="-7"/>
        </w:rPr>
        <w:t xml:space="preserve"> </w:t>
      </w:r>
      <w:r>
        <w:rPr>
          <w:color w:val="221F1F"/>
        </w:rPr>
        <w:t>formulae</w:t>
      </w:r>
      <w:r>
        <w:rPr>
          <w:color w:val="221F1F"/>
          <w:spacing w:val="-7"/>
        </w:rPr>
        <w:t xml:space="preserve"> </w:t>
      </w:r>
      <w:r>
        <w:rPr>
          <w:color w:val="221F1F"/>
        </w:rPr>
        <w:t>for</w:t>
      </w:r>
      <w:r>
        <w:rPr>
          <w:color w:val="221F1F"/>
          <w:spacing w:val="-7"/>
        </w:rPr>
        <w:t xml:space="preserve"> </w:t>
      </w:r>
      <w:r>
        <w:rPr>
          <w:color w:val="221F1F"/>
        </w:rPr>
        <w:t>each</w:t>
      </w:r>
      <w:r>
        <w:rPr>
          <w:color w:val="221F1F"/>
          <w:spacing w:val="-6"/>
        </w:rPr>
        <w:t xml:space="preserve"> </w:t>
      </w:r>
      <w:r>
        <w:rPr>
          <w:color w:val="221F1F"/>
        </w:rPr>
        <w:t>of the currencies in which the Contract Price is payable. No adjustment is to be applied to work valued on the basis of Cost or current prices. The formulae shall be of the following general type: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rPr>
          <w:sz w:val="20"/>
        </w:rPr>
      </w:pPr>
    </w:p>
    <w:p w:rsidR="007F6DF9" w:rsidRDefault="007F6DF9">
      <w:pPr>
        <w:pStyle w:val="BodyText"/>
        <w:spacing w:before="133"/>
        <w:rPr>
          <w:sz w:val="20"/>
        </w:rPr>
      </w:pPr>
    </w:p>
    <w:p w:rsidR="007F6DF9" w:rsidRDefault="00A43FBC">
      <w:pPr>
        <w:ind w:left="1263"/>
        <w:rPr>
          <w:sz w:val="20"/>
        </w:rPr>
      </w:pPr>
      <w:r>
        <w:rPr>
          <w:noProof/>
          <w:sz w:val="20"/>
        </w:rPr>
        <mc:AlternateContent>
          <mc:Choice Requires="wps">
            <w:drawing>
              <wp:inline distT="0" distB="0" distL="0" distR="0">
                <wp:extent cx="5995035" cy="3653790"/>
                <wp:effectExtent l="0" t="0" r="0" b="0"/>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3653790"/>
                        </a:xfrm>
                        <a:prstGeom prst="rect">
                          <a:avLst/>
                        </a:prstGeom>
                        <a:solidFill>
                          <a:srgbClr val="E6E7E8"/>
                        </a:solidFill>
                      </wps:spPr>
                      <wps:txbx>
                        <w:txbxContent>
                          <w:p w:rsidR="00883FED" w:rsidRDefault="00883FED">
                            <w:pPr>
                              <w:spacing w:before="153"/>
                              <w:ind w:left="120"/>
                              <w:jc w:val="both"/>
                              <w:rPr>
                                <w:b/>
                                <w:color w:val="000000"/>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pacing w:val="-2"/>
                                <w:sz w:val="24"/>
                              </w:rPr>
                              <w:t>Formula</w:t>
                            </w:r>
                          </w:p>
                          <w:p w:rsidR="00883FED" w:rsidRDefault="00883FED">
                            <w:pPr>
                              <w:spacing w:before="264" w:line="230" w:lineRule="auto"/>
                              <w:ind w:left="120" w:right="134"/>
                              <w:jc w:val="both"/>
                              <w:rPr>
                                <w:color w:val="000000"/>
                                <w:sz w:val="24"/>
                              </w:rPr>
                            </w:pPr>
                            <w:r>
                              <w:rPr>
                                <w:color w:val="221F1F"/>
                                <w:sz w:val="24"/>
                              </w:rPr>
                              <w:t>Prices</w:t>
                            </w:r>
                            <w:r>
                              <w:rPr>
                                <w:color w:val="221F1F"/>
                                <w:spacing w:val="-6"/>
                                <w:sz w:val="24"/>
                              </w:rPr>
                              <w:t xml:space="preserve"> </w:t>
                            </w:r>
                            <w:r>
                              <w:rPr>
                                <w:color w:val="221F1F"/>
                                <w:sz w:val="24"/>
                              </w:rPr>
                              <w:t>shall</w:t>
                            </w:r>
                            <w:r>
                              <w:rPr>
                                <w:color w:val="221F1F"/>
                                <w:spacing w:val="-5"/>
                                <w:sz w:val="24"/>
                              </w:rPr>
                              <w:t xml:space="preserve"> </w:t>
                            </w:r>
                            <w:r>
                              <w:rPr>
                                <w:color w:val="221F1F"/>
                                <w:sz w:val="24"/>
                              </w:rPr>
                              <w:t>be</w:t>
                            </w:r>
                            <w:r>
                              <w:rPr>
                                <w:color w:val="221F1F"/>
                                <w:spacing w:val="-4"/>
                                <w:sz w:val="24"/>
                              </w:rPr>
                              <w:t xml:space="preserve"> </w:t>
                            </w:r>
                            <w:r>
                              <w:rPr>
                                <w:color w:val="221F1F"/>
                                <w:sz w:val="24"/>
                              </w:rPr>
                              <w:t>adjusted</w:t>
                            </w:r>
                            <w:r>
                              <w:rPr>
                                <w:color w:val="221F1F"/>
                                <w:spacing w:val="-6"/>
                                <w:sz w:val="24"/>
                              </w:rPr>
                              <w:t xml:space="preserve"> </w:t>
                            </w:r>
                            <w:r>
                              <w:rPr>
                                <w:color w:val="221F1F"/>
                                <w:sz w:val="24"/>
                              </w:rPr>
                              <w:t>for</w:t>
                            </w:r>
                            <w:r>
                              <w:rPr>
                                <w:color w:val="221F1F"/>
                                <w:spacing w:val="-7"/>
                                <w:sz w:val="24"/>
                              </w:rPr>
                              <w:t xml:space="preserve"> </w:t>
                            </w:r>
                            <w:r>
                              <w:rPr>
                                <w:color w:val="221F1F"/>
                                <w:sz w:val="24"/>
                              </w:rPr>
                              <w:t>fluctuations</w:t>
                            </w:r>
                            <w:r>
                              <w:rPr>
                                <w:color w:val="221F1F"/>
                                <w:spacing w:val="-5"/>
                                <w:sz w:val="24"/>
                              </w:rPr>
                              <w:t xml:space="preserve"> </w:t>
                            </w:r>
                            <w:r>
                              <w:rPr>
                                <w:color w:val="221F1F"/>
                                <w:sz w:val="24"/>
                              </w:rPr>
                              <w:t>in</w:t>
                            </w:r>
                            <w:r>
                              <w:rPr>
                                <w:color w:val="221F1F"/>
                                <w:spacing w:val="-5"/>
                                <w:sz w:val="24"/>
                              </w:rPr>
                              <w:t xml:space="preserve"> </w:t>
                            </w:r>
                            <w:r>
                              <w:rPr>
                                <w:color w:val="221F1F"/>
                                <w:sz w:val="24"/>
                              </w:rPr>
                              <w:t>the</w:t>
                            </w:r>
                            <w:r>
                              <w:rPr>
                                <w:color w:val="221F1F"/>
                                <w:spacing w:val="-6"/>
                                <w:sz w:val="24"/>
                              </w:rPr>
                              <w:t xml:space="preserve"> </w:t>
                            </w:r>
                            <w:r>
                              <w:rPr>
                                <w:color w:val="221F1F"/>
                                <w:sz w:val="24"/>
                              </w:rPr>
                              <w:t>cost</w:t>
                            </w:r>
                            <w:r>
                              <w:rPr>
                                <w:color w:val="221F1F"/>
                                <w:spacing w:val="-3"/>
                                <w:sz w:val="24"/>
                              </w:rPr>
                              <w:t xml:space="preserve"> </w:t>
                            </w:r>
                            <w:r>
                              <w:rPr>
                                <w:color w:val="221F1F"/>
                                <w:sz w:val="24"/>
                              </w:rPr>
                              <w:t>of</w:t>
                            </w:r>
                            <w:r>
                              <w:rPr>
                                <w:color w:val="221F1F"/>
                                <w:spacing w:val="-7"/>
                                <w:sz w:val="24"/>
                              </w:rPr>
                              <w:t xml:space="preserve"> </w:t>
                            </w:r>
                            <w:r>
                              <w:rPr>
                                <w:color w:val="221F1F"/>
                                <w:sz w:val="24"/>
                              </w:rPr>
                              <w:t>inputs</w:t>
                            </w:r>
                            <w:r>
                              <w:rPr>
                                <w:color w:val="221F1F"/>
                                <w:spacing w:val="-6"/>
                                <w:sz w:val="24"/>
                              </w:rPr>
                              <w:t xml:space="preserve"> </w:t>
                            </w:r>
                            <w:r>
                              <w:rPr>
                                <w:color w:val="221F1F"/>
                                <w:sz w:val="24"/>
                              </w:rPr>
                              <w:t>only</w:t>
                            </w:r>
                            <w:r>
                              <w:rPr>
                                <w:color w:val="221F1F"/>
                                <w:spacing w:val="-5"/>
                                <w:sz w:val="24"/>
                              </w:rPr>
                              <w:t xml:space="preserve"> </w:t>
                            </w:r>
                            <w:r>
                              <w:rPr>
                                <w:color w:val="221F1F"/>
                                <w:sz w:val="24"/>
                              </w:rPr>
                              <w:t>if</w:t>
                            </w:r>
                            <w:r>
                              <w:rPr>
                                <w:color w:val="221F1F"/>
                                <w:spacing w:val="-4"/>
                                <w:sz w:val="24"/>
                              </w:rPr>
                              <w:t xml:space="preserve"> </w:t>
                            </w:r>
                            <w:r>
                              <w:rPr>
                                <w:b/>
                                <w:color w:val="221F1F"/>
                                <w:sz w:val="24"/>
                              </w:rPr>
                              <w:t>provided</w:t>
                            </w:r>
                            <w:r>
                              <w:rPr>
                                <w:b/>
                                <w:color w:val="221F1F"/>
                                <w:spacing w:val="-5"/>
                                <w:sz w:val="24"/>
                              </w:rPr>
                              <w:t xml:space="preserve"> </w:t>
                            </w:r>
                            <w:r>
                              <w:rPr>
                                <w:b/>
                                <w:color w:val="221F1F"/>
                                <w:sz w:val="24"/>
                              </w:rPr>
                              <w:t>for</w:t>
                            </w:r>
                            <w:r>
                              <w:rPr>
                                <w:b/>
                                <w:color w:val="221F1F"/>
                                <w:spacing w:val="-8"/>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7"/>
                                <w:sz w:val="24"/>
                              </w:rPr>
                              <w:t xml:space="preserve"> </w:t>
                            </w:r>
                            <w:r>
                              <w:rPr>
                                <w:b/>
                                <w:color w:val="221F1F"/>
                                <w:sz w:val="24"/>
                              </w:rPr>
                              <w:t>SCC.</w:t>
                            </w:r>
                            <w:r>
                              <w:rPr>
                                <w:b/>
                                <w:color w:val="221F1F"/>
                                <w:spacing w:val="-2"/>
                                <w:sz w:val="24"/>
                              </w:rPr>
                              <w:t xml:space="preserve"> </w:t>
                            </w:r>
                            <w:r>
                              <w:rPr>
                                <w:color w:val="221F1F"/>
                                <w:sz w:val="24"/>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883FED" w:rsidRDefault="00883FED">
                            <w:pPr>
                              <w:spacing w:before="251" w:line="272" w:lineRule="exact"/>
                              <w:ind w:left="120"/>
                              <w:jc w:val="both"/>
                              <w:rPr>
                                <w:b/>
                                <w:color w:val="000000"/>
                                <w:sz w:val="24"/>
                              </w:rPr>
                            </w:pPr>
                            <w:r>
                              <w:rPr>
                                <w:b/>
                                <w:color w:val="221F1F"/>
                                <w:sz w:val="24"/>
                              </w:rPr>
                              <w:t xml:space="preserve">P = A + B </w:t>
                            </w:r>
                            <w:proofErr w:type="spellStart"/>
                            <w:r>
                              <w:rPr>
                                <w:b/>
                                <w:color w:val="221F1F"/>
                                <w:spacing w:val="-2"/>
                                <w:sz w:val="24"/>
                              </w:rPr>
                              <w:t>Im</w:t>
                            </w:r>
                            <w:proofErr w:type="spellEnd"/>
                            <w:r>
                              <w:rPr>
                                <w:b/>
                                <w:color w:val="221F1F"/>
                                <w:spacing w:val="-2"/>
                                <w:sz w:val="24"/>
                              </w:rPr>
                              <w:t>/Io</w:t>
                            </w:r>
                          </w:p>
                          <w:p w:rsidR="00883FED" w:rsidRDefault="00883FED">
                            <w:pPr>
                              <w:spacing w:line="268" w:lineRule="exact"/>
                              <w:ind w:left="120"/>
                              <w:rPr>
                                <w:color w:val="000000"/>
                                <w:sz w:val="24"/>
                              </w:rPr>
                            </w:pPr>
                            <w:r>
                              <w:rPr>
                                <w:color w:val="221F1F"/>
                                <w:spacing w:val="-2"/>
                                <w:sz w:val="24"/>
                              </w:rPr>
                              <w:t>where:</w:t>
                            </w:r>
                          </w:p>
                          <w:p w:rsidR="00883FED" w:rsidRDefault="00883FED">
                            <w:pPr>
                              <w:spacing w:line="269" w:lineRule="exact"/>
                              <w:ind w:left="480"/>
                              <w:rPr>
                                <w:color w:val="000000"/>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w:t>
                            </w:r>
                            <w:r>
                              <w:rPr>
                                <w:color w:val="221F1F"/>
                                <w:spacing w:val="-1"/>
                                <w:sz w:val="24"/>
                              </w:rPr>
                              <w:t xml:space="preserve"> </w:t>
                            </w:r>
                            <w:r>
                              <w:rPr>
                                <w:color w:val="221F1F"/>
                                <w:sz w:val="24"/>
                              </w:rPr>
                              <w:t>of</w:t>
                            </w:r>
                            <w:r>
                              <w:rPr>
                                <w:color w:val="221F1F"/>
                                <w:spacing w:val="-1"/>
                                <w:sz w:val="24"/>
                              </w:rPr>
                              <w:t xml:space="preserve"> </w:t>
                            </w:r>
                            <w:r>
                              <w:rPr>
                                <w:color w:val="221F1F"/>
                                <w:sz w:val="24"/>
                              </w:rPr>
                              <w:t>the</w:t>
                            </w:r>
                            <w:r>
                              <w:rPr>
                                <w:color w:val="221F1F"/>
                                <w:spacing w:val="-1"/>
                                <w:sz w:val="24"/>
                              </w:rPr>
                              <w:t xml:space="preserve"> </w:t>
                            </w:r>
                            <w:r>
                              <w:rPr>
                                <w:color w:val="221F1F"/>
                                <w:sz w:val="24"/>
                              </w:rPr>
                              <w:t>Contract</w:t>
                            </w:r>
                            <w:r>
                              <w:rPr>
                                <w:color w:val="221F1F"/>
                                <w:spacing w:val="-1"/>
                                <w:sz w:val="24"/>
                              </w:rPr>
                              <w:t xml:space="preserve"> </w:t>
                            </w:r>
                            <w:r>
                              <w:rPr>
                                <w:color w:val="221F1F"/>
                                <w:sz w:val="24"/>
                              </w:rPr>
                              <w:t>Price</w:t>
                            </w:r>
                            <w:r>
                              <w:rPr>
                                <w:color w:val="221F1F"/>
                                <w:spacing w:val="-1"/>
                                <w:sz w:val="24"/>
                              </w:rPr>
                              <w:t xml:space="preserve"> </w:t>
                            </w:r>
                            <w:r>
                              <w:rPr>
                                <w:color w:val="221F1F"/>
                                <w:spacing w:val="-2"/>
                                <w:sz w:val="24"/>
                              </w:rPr>
                              <w:t>payable.</w:t>
                            </w:r>
                          </w:p>
                          <w:p w:rsidR="00883FED" w:rsidRDefault="00883FED">
                            <w:pPr>
                              <w:spacing w:before="6" w:line="230" w:lineRule="auto"/>
                              <w:ind w:left="970" w:right="100" w:hanging="490"/>
                              <w:rPr>
                                <w:color w:val="000000"/>
                                <w:sz w:val="24"/>
                              </w:rPr>
                            </w:pPr>
                            <w:proofErr w:type="gramStart"/>
                            <w:r>
                              <w:rPr>
                                <w:b/>
                                <w:color w:val="221F1F"/>
                                <w:sz w:val="24"/>
                              </w:rPr>
                              <w:t>A</w:t>
                            </w:r>
                            <w:proofErr w:type="gramEnd"/>
                            <w:r>
                              <w:rPr>
                                <w:b/>
                                <w:color w:val="221F1F"/>
                                <w:spacing w:val="-7"/>
                                <w:sz w:val="24"/>
                              </w:rPr>
                              <w:t xml:space="preserve"> </w:t>
                            </w:r>
                            <w:r>
                              <w:rPr>
                                <w:color w:val="221F1F"/>
                                <w:sz w:val="24"/>
                              </w:rPr>
                              <w:t>and</w:t>
                            </w:r>
                            <w:r>
                              <w:rPr>
                                <w:color w:val="221F1F"/>
                                <w:spacing w:val="-6"/>
                                <w:sz w:val="24"/>
                              </w:rPr>
                              <w:t xml:space="preserve"> </w:t>
                            </w:r>
                            <w:r>
                              <w:rPr>
                                <w:b/>
                                <w:color w:val="221F1F"/>
                                <w:sz w:val="24"/>
                              </w:rPr>
                              <w:t>B</w:t>
                            </w:r>
                            <w:r>
                              <w:rPr>
                                <w:b/>
                                <w:color w:val="221F1F"/>
                                <w:spacing w:val="-6"/>
                                <w:sz w:val="24"/>
                              </w:rPr>
                              <w:t xml:space="preserve"> </w:t>
                            </w:r>
                            <w:r>
                              <w:rPr>
                                <w:color w:val="221F1F"/>
                                <w:sz w:val="24"/>
                              </w:rPr>
                              <w:t>a</w:t>
                            </w:r>
                            <w:r>
                              <w:rPr>
                                <w:color w:val="221F1F"/>
                                <w:spacing w:val="-7"/>
                                <w:sz w:val="24"/>
                              </w:rPr>
                              <w:t xml:space="preserve"> </w:t>
                            </w:r>
                            <w:proofErr w:type="spellStart"/>
                            <w:r>
                              <w:rPr>
                                <w:color w:val="221F1F"/>
                                <w:sz w:val="24"/>
                              </w:rPr>
                              <w:t>recoefficients</w:t>
                            </w:r>
                            <w:proofErr w:type="spellEnd"/>
                            <w:r>
                              <w:rPr>
                                <w:color w:val="221F1F"/>
                                <w:spacing w:val="-5"/>
                                <w:sz w:val="24"/>
                              </w:rPr>
                              <w:t xml:space="preserve"> </w:t>
                            </w:r>
                            <w:r>
                              <w:rPr>
                                <w:b/>
                                <w:color w:val="221F1F"/>
                                <w:sz w:val="24"/>
                              </w:rPr>
                              <w:t>specified</w:t>
                            </w:r>
                            <w:r>
                              <w:rPr>
                                <w:b/>
                                <w:color w:val="221F1F"/>
                                <w:spacing w:val="-6"/>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6"/>
                                <w:sz w:val="24"/>
                              </w:rPr>
                              <w:t xml:space="preserve"> </w:t>
                            </w:r>
                            <w:r>
                              <w:rPr>
                                <w:b/>
                                <w:color w:val="221F1F"/>
                                <w:sz w:val="24"/>
                              </w:rPr>
                              <w:t>SCC,</w:t>
                            </w:r>
                            <w:r>
                              <w:rPr>
                                <w:b/>
                                <w:color w:val="221F1F"/>
                                <w:spacing w:val="-5"/>
                                <w:sz w:val="24"/>
                              </w:rPr>
                              <w:t xml:space="preserve"> </w:t>
                            </w:r>
                            <w:r>
                              <w:rPr>
                                <w:color w:val="221F1F"/>
                                <w:sz w:val="24"/>
                              </w:rPr>
                              <w:t>representing</w:t>
                            </w:r>
                            <w:r>
                              <w:rPr>
                                <w:color w:val="221F1F"/>
                                <w:spacing w:val="-6"/>
                                <w:sz w:val="24"/>
                              </w:rPr>
                              <w:t xml:space="preserve"> </w:t>
                            </w:r>
                            <w:r>
                              <w:rPr>
                                <w:color w:val="221F1F"/>
                                <w:sz w:val="24"/>
                              </w:rPr>
                              <w:t>then</w:t>
                            </w:r>
                            <w:r>
                              <w:rPr>
                                <w:color w:val="221F1F"/>
                                <w:spacing w:val="-6"/>
                                <w:sz w:val="24"/>
                              </w:rPr>
                              <w:t xml:space="preserve"> </w:t>
                            </w:r>
                            <w:r>
                              <w:rPr>
                                <w:color w:val="221F1F"/>
                                <w:sz w:val="24"/>
                              </w:rPr>
                              <w:t>on</w:t>
                            </w:r>
                            <w:r>
                              <w:rPr>
                                <w:color w:val="221F1F"/>
                                <w:spacing w:val="-6"/>
                                <w:sz w:val="24"/>
                              </w:rPr>
                              <w:t xml:space="preserve"> </w:t>
                            </w:r>
                            <w:r>
                              <w:rPr>
                                <w:color w:val="221F1F"/>
                                <w:sz w:val="24"/>
                              </w:rPr>
                              <w:t>adjustable</w:t>
                            </w:r>
                            <w:r>
                              <w:rPr>
                                <w:color w:val="221F1F"/>
                                <w:spacing w:val="-6"/>
                                <w:sz w:val="24"/>
                              </w:rPr>
                              <w:t xml:space="preserve"> </w:t>
                            </w:r>
                            <w:r>
                              <w:rPr>
                                <w:color w:val="221F1F"/>
                                <w:sz w:val="24"/>
                              </w:rPr>
                              <w:t>and adjustable portions, respectively, of the Contract Price payable and</w:t>
                            </w:r>
                          </w:p>
                          <w:p w:rsidR="00883FED" w:rsidRDefault="00883FED">
                            <w:pPr>
                              <w:spacing w:before="1" w:line="230" w:lineRule="auto"/>
                              <w:ind w:left="970" w:hanging="490"/>
                              <w:rPr>
                                <w:color w:val="000000"/>
                                <w:sz w:val="24"/>
                              </w:rPr>
                            </w:pPr>
                            <w:proofErr w:type="spellStart"/>
                            <w:r>
                              <w:rPr>
                                <w:b/>
                                <w:color w:val="221F1F"/>
                                <w:sz w:val="24"/>
                              </w:rPr>
                              <w:t>I</w:t>
                            </w:r>
                            <w:r>
                              <w:rPr>
                                <w:b/>
                                <w:color w:val="221F1F"/>
                                <w:spacing w:val="-3"/>
                                <w:sz w:val="24"/>
                              </w:rPr>
                              <w:t xml:space="preserve"> </w:t>
                            </w:r>
                            <w:r>
                              <w:rPr>
                                <w:b/>
                                <w:color w:val="221F1F"/>
                                <w:sz w:val="24"/>
                              </w:rPr>
                              <w:t>m</w:t>
                            </w:r>
                            <w:proofErr w:type="spellEnd"/>
                            <w:r>
                              <w:rPr>
                                <w:b/>
                                <w:color w:val="221F1F"/>
                                <w:spacing w:val="-2"/>
                                <w:sz w:val="24"/>
                              </w:rPr>
                              <w:t xml:space="preserve"> </w:t>
                            </w:r>
                            <w:r>
                              <w:rPr>
                                <w:color w:val="221F1F"/>
                                <w:sz w:val="24"/>
                              </w:rPr>
                              <w:t>is</w:t>
                            </w:r>
                            <w:r>
                              <w:rPr>
                                <w:color w:val="221F1F"/>
                                <w:spacing w:val="-3"/>
                                <w:sz w:val="24"/>
                              </w:rPr>
                              <w:t xml:space="preserve"> </w:t>
                            </w:r>
                            <w:r>
                              <w:rPr>
                                <w:color w:val="221F1F"/>
                                <w:sz w:val="24"/>
                              </w:rPr>
                              <w:t>the</w:t>
                            </w:r>
                            <w:r>
                              <w:rPr>
                                <w:color w:val="221F1F"/>
                                <w:spacing w:val="-4"/>
                                <w:sz w:val="24"/>
                              </w:rPr>
                              <w:t xml:space="preserve"> </w:t>
                            </w:r>
                            <w:r>
                              <w:rPr>
                                <w:color w:val="221F1F"/>
                                <w:sz w:val="24"/>
                              </w:rPr>
                              <w:t>index</w:t>
                            </w:r>
                            <w:r>
                              <w:rPr>
                                <w:color w:val="221F1F"/>
                                <w:spacing w:val="-3"/>
                                <w:sz w:val="24"/>
                              </w:rPr>
                              <w:t xml:space="preserve"> </w:t>
                            </w:r>
                            <w:r>
                              <w:rPr>
                                <w:color w:val="221F1F"/>
                                <w:sz w:val="24"/>
                              </w:rPr>
                              <w:t>prevailing</w:t>
                            </w:r>
                            <w:r>
                              <w:rPr>
                                <w:color w:val="221F1F"/>
                                <w:spacing w:val="-3"/>
                                <w:sz w:val="24"/>
                              </w:rPr>
                              <w:t xml:space="preserve"> </w:t>
                            </w:r>
                            <w:r>
                              <w:rPr>
                                <w:color w:val="221F1F"/>
                                <w:sz w:val="24"/>
                              </w:rPr>
                              <w:t>at</w:t>
                            </w:r>
                            <w:r>
                              <w:rPr>
                                <w:color w:val="221F1F"/>
                                <w:spacing w:val="-3"/>
                                <w:sz w:val="24"/>
                              </w:rPr>
                              <w:t xml:space="preserve"> </w:t>
                            </w:r>
                            <w:r>
                              <w:rPr>
                                <w:color w:val="221F1F"/>
                                <w:sz w:val="24"/>
                              </w:rPr>
                              <w:t>the</w:t>
                            </w:r>
                            <w:r>
                              <w:rPr>
                                <w:color w:val="221F1F"/>
                                <w:spacing w:val="-3"/>
                                <w:sz w:val="24"/>
                              </w:rPr>
                              <w:t xml:space="preserve"> </w:t>
                            </w:r>
                            <w:r>
                              <w:rPr>
                                <w:color w:val="221F1F"/>
                                <w:sz w:val="24"/>
                              </w:rPr>
                              <w:t>end</w:t>
                            </w:r>
                            <w:r>
                              <w:rPr>
                                <w:color w:val="221F1F"/>
                                <w:spacing w:val="-3"/>
                                <w:sz w:val="24"/>
                              </w:rPr>
                              <w:t xml:space="preserve"> </w:t>
                            </w:r>
                            <w:r>
                              <w:rPr>
                                <w:color w:val="221F1F"/>
                                <w:sz w:val="24"/>
                              </w:rPr>
                              <w:t>of</w:t>
                            </w:r>
                            <w:r>
                              <w:rPr>
                                <w:color w:val="221F1F"/>
                                <w:spacing w:val="-4"/>
                                <w:sz w:val="24"/>
                              </w:rPr>
                              <w:t xml:space="preserve"> </w:t>
                            </w:r>
                            <w:r>
                              <w:rPr>
                                <w:color w:val="221F1F"/>
                                <w:sz w:val="24"/>
                              </w:rPr>
                              <w:t>the</w:t>
                            </w:r>
                            <w:r>
                              <w:rPr>
                                <w:color w:val="221F1F"/>
                                <w:spacing w:val="-3"/>
                                <w:sz w:val="24"/>
                              </w:rPr>
                              <w:t xml:space="preserve"> </w:t>
                            </w:r>
                            <w:r>
                              <w:rPr>
                                <w:color w:val="221F1F"/>
                                <w:sz w:val="24"/>
                              </w:rPr>
                              <w:t>month</w:t>
                            </w:r>
                            <w:r>
                              <w:rPr>
                                <w:color w:val="221F1F"/>
                                <w:spacing w:val="-1"/>
                                <w:sz w:val="24"/>
                              </w:rPr>
                              <w:t xml:space="preserve"> </w:t>
                            </w:r>
                            <w:r>
                              <w:rPr>
                                <w:color w:val="221F1F"/>
                                <w:sz w:val="24"/>
                              </w:rPr>
                              <w:t>being</w:t>
                            </w:r>
                            <w:r>
                              <w:rPr>
                                <w:color w:val="221F1F"/>
                                <w:spacing w:val="-3"/>
                                <w:sz w:val="24"/>
                              </w:rPr>
                              <w:t xml:space="preserve"> </w:t>
                            </w:r>
                            <w:r>
                              <w:rPr>
                                <w:color w:val="221F1F"/>
                                <w:sz w:val="24"/>
                              </w:rPr>
                              <w:t>invoiced</w:t>
                            </w:r>
                            <w:r>
                              <w:rPr>
                                <w:color w:val="221F1F"/>
                                <w:spacing w:val="-3"/>
                                <w:sz w:val="24"/>
                              </w:rPr>
                              <w:t xml:space="preserve"> </w:t>
                            </w:r>
                            <w:r>
                              <w:rPr>
                                <w:color w:val="221F1F"/>
                                <w:sz w:val="24"/>
                              </w:rPr>
                              <w:t>and</w:t>
                            </w:r>
                            <w:r>
                              <w:rPr>
                                <w:color w:val="221F1F"/>
                                <w:spacing w:val="-1"/>
                                <w:sz w:val="24"/>
                              </w:rPr>
                              <w:t xml:space="preserve"> </w:t>
                            </w:r>
                            <w:proofErr w:type="spellStart"/>
                            <w:r>
                              <w:rPr>
                                <w:b/>
                                <w:color w:val="221F1F"/>
                                <w:sz w:val="24"/>
                              </w:rPr>
                              <w:t>Io</w:t>
                            </w:r>
                            <w:r>
                              <w:rPr>
                                <w:color w:val="221F1F"/>
                                <w:sz w:val="24"/>
                              </w:rPr>
                              <w:t>c</w:t>
                            </w:r>
                            <w:proofErr w:type="spellEnd"/>
                            <w:r>
                              <w:rPr>
                                <w:color w:val="221F1F"/>
                                <w:spacing w:val="-4"/>
                                <w:sz w:val="24"/>
                              </w:rPr>
                              <w:t xml:space="preserve"> </w:t>
                            </w:r>
                            <w:r>
                              <w:rPr>
                                <w:color w:val="221F1F"/>
                                <w:sz w:val="24"/>
                              </w:rPr>
                              <w:t>is</w:t>
                            </w:r>
                            <w:r>
                              <w:rPr>
                                <w:color w:val="221F1F"/>
                                <w:spacing w:val="-3"/>
                                <w:sz w:val="24"/>
                              </w:rPr>
                              <w:t xml:space="preserve"> </w:t>
                            </w:r>
                            <w:r>
                              <w:rPr>
                                <w:color w:val="221F1F"/>
                                <w:sz w:val="24"/>
                              </w:rPr>
                              <w:t>the</w:t>
                            </w:r>
                            <w:r>
                              <w:rPr>
                                <w:color w:val="221F1F"/>
                                <w:spacing w:val="-3"/>
                                <w:sz w:val="24"/>
                              </w:rPr>
                              <w:t xml:space="preserve"> </w:t>
                            </w:r>
                            <w:r>
                              <w:rPr>
                                <w:color w:val="221F1F"/>
                                <w:sz w:val="24"/>
                              </w:rPr>
                              <w:t>index prevailing 30 days before Bid opening for inputs payable.</w:t>
                            </w:r>
                          </w:p>
                          <w:p w:rsidR="00883FED" w:rsidRDefault="00883FED">
                            <w:pPr>
                              <w:spacing w:before="268" w:line="230" w:lineRule="auto"/>
                              <w:ind w:left="970" w:right="136" w:hanging="850"/>
                              <w:jc w:val="both"/>
                              <w:rPr>
                                <w:color w:val="000000"/>
                                <w:sz w:val="24"/>
                              </w:rPr>
                            </w:pPr>
                            <w:r>
                              <w:rPr>
                                <w:b/>
                                <w:color w:val="221F1F"/>
                                <w:sz w:val="24"/>
                              </w:rPr>
                              <w:t xml:space="preserve">NOTE: </w:t>
                            </w:r>
                            <w:r>
                              <w:rPr>
                                <w:color w:val="221F1F"/>
                                <w:sz w:val="24"/>
                              </w:rPr>
                              <w:t>The sum of the two coefficients A and B should be 1 (one) in the formula for each currency. Normally, both coefficients shall be the same in the formulae for all currencies,</w:t>
                            </w:r>
                            <w:r>
                              <w:rPr>
                                <w:color w:val="221F1F"/>
                                <w:spacing w:val="-9"/>
                                <w:sz w:val="24"/>
                              </w:rPr>
                              <w:t xml:space="preserve"> </w:t>
                            </w:r>
                            <w:r>
                              <w:rPr>
                                <w:color w:val="221F1F"/>
                                <w:sz w:val="24"/>
                              </w:rPr>
                              <w:t>since</w:t>
                            </w:r>
                            <w:r>
                              <w:rPr>
                                <w:color w:val="221F1F"/>
                                <w:spacing w:val="-9"/>
                                <w:sz w:val="24"/>
                              </w:rPr>
                              <w:t xml:space="preserve"> </w:t>
                            </w:r>
                            <w:r>
                              <w:rPr>
                                <w:color w:val="221F1F"/>
                                <w:sz w:val="24"/>
                              </w:rPr>
                              <w:t>coefficient</w:t>
                            </w:r>
                            <w:r>
                              <w:rPr>
                                <w:color w:val="221F1F"/>
                                <w:spacing w:val="-8"/>
                                <w:sz w:val="24"/>
                              </w:rPr>
                              <w:t xml:space="preserve"> </w:t>
                            </w:r>
                            <w:r>
                              <w:rPr>
                                <w:color w:val="221F1F"/>
                                <w:sz w:val="24"/>
                              </w:rPr>
                              <w:t>A,</w:t>
                            </w:r>
                            <w:r>
                              <w:rPr>
                                <w:color w:val="221F1F"/>
                                <w:spacing w:val="-9"/>
                                <w:sz w:val="24"/>
                              </w:rPr>
                              <w:t xml:space="preserve"> </w:t>
                            </w:r>
                            <w:r>
                              <w:rPr>
                                <w:color w:val="221F1F"/>
                                <w:sz w:val="24"/>
                              </w:rPr>
                              <w:t>for</w:t>
                            </w:r>
                            <w:r>
                              <w:rPr>
                                <w:color w:val="221F1F"/>
                                <w:spacing w:val="-9"/>
                                <w:sz w:val="24"/>
                              </w:rPr>
                              <w:t xml:space="preserve"> </w:t>
                            </w:r>
                            <w:r>
                              <w:rPr>
                                <w:color w:val="221F1F"/>
                                <w:sz w:val="24"/>
                              </w:rPr>
                              <w:t>the</w:t>
                            </w:r>
                            <w:r>
                              <w:rPr>
                                <w:color w:val="221F1F"/>
                                <w:spacing w:val="-9"/>
                                <w:sz w:val="24"/>
                              </w:rPr>
                              <w:t xml:space="preserve"> </w:t>
                            </w:r>
                            <w:proofErr w:type="spellStart"/>
                            <w:r>
                              <w:rPr>
                                <w:color w:val="221F1F"/>
                                <w:sz w:val="24"/>
                              </w:rPr>
                              <w:t>non</w:t>
                            </w:r>
                            <w:r>
                              <w:rPr>
                                <w:color w:val="221F1F"/>
                                <w:spacing w:val="-6"/>
                                <w:sz w:val="24"/>
                              </w:rPr>
                              <w:t xml:space="preserve"> </w:t>
                            </w:r>
                            <w:r>
                              <w:rPr>
                                <w:color w:val="221F1F"/>
                                <w:sz w:val="24"/>
                              </w:rPr>
                              <w:t>adjustable</w:t>
                            </w:r>
                            <w:proofErr w:type="spellEnd"/>
                            <w:r>
                              <w:rPr>
                                <w:color w:val="221F1F"/>
                                <w:spacing w:val="-9"/>
                                <w:sz w:val="24"/>
                              </w:rPr>
                              <w:t xml:space="preserve"> </w:t>
                            </w:r>
                            <w:r>
                              <w:rPr>
                                <w:color w:val="221F1F"/>
                                <w:sz w:val="24"/>
                              </w:rPr>
                              <w:t>portion</w:t>
                            </w:r>
                            <w:r>
                              <w:rPr>
                                <w:color w:val="221F1F"/>
                                <w:spacing w:val="-8"/>
                                <w:sz w:val="24"/>
                              </w:rPr>
                              <w:t xml:space="preserve"> </w:t>
                            </w:r>
                            <w:r>
                              <w:rPr>
                                <w:color w:val="221F1F"/>
                                <w:sz w:val="24"/>
                              </w:rPr>
                              <w:t>of</w:t>
                            </w:r>
                            <w:r>
                              <w:rPr>
                                <w:color w:val="221F1F"/>
                                <w:spacing w:val="-9"/>
                                <w:sz w:val="24"/>
                              </w:rPr>
                              <w:t xml:space="preserve"> </w:t>
                            </w:r>
                            <w:r>
                              <w:rPr>
                                <w:color w:val="221F1F"/>
                                <w:sz w:val="24"/>
                              </w:rPr>
                              <w:t>the</w:t>
                            </w:r>
                            <w:r>
                              <w:rPr>
                                <w:color w:val="221F1F"/>
                                <w:spacing w:val="-9"/>
                                <w:sz w:val="24"/>
                              </w:rPr>
                              <w:t xml:space="preserve"> </w:t>
                            </w:r>
                            <w:r>
                              <w:rPr>
                                <w:color w:val="221F1F"/>
                                <w:sz w:val="24"/>
                              </w:rPr>
                              <w:t>payments,</w:t>
                            </w:r>
                            <w:r>
                              <w:rPr>
                                <w:color w:val="221F1F"/>
                                <w:spacing w:val="-8"/>
                                <w:sz w:val="24"/>
                              </w:rPr>
                              <w:t xml:space="preserve"> </w:t>
                            </w:r>
                            <w:r>
                              <w:rPr>
                                <w:color w:val="221F1F"/>
                                <w:sz w:val="24"/>
                              </w:rPr>
                              <w:t>is</w:t>
                            </w:r>
                            <w:r>
                              <w:rPr>
                                <w:color w:val="221F1F"/>
                                <w:spacing w:val="-8"/>
                                <w:sz w:val="24"/>
                              </w:rPr>
                              <w:t xml:space="preserve"> </w:t>
                            </w:r>
                            <w:r>
                              <w:rPr>
                                <w:color w:val="221F1F"/>
                                <w:sz w:val="24"/>
                              </w:rPr>
                              <w:t>a</w:t>
                            </w:r>
                            <w:r>
                              <w:rPr>
                                <w:color w:val="221F1F"/>
                                <w:spacing w:val="-9"/>
                                <w:sz w:val="24"/>
                              </w:rPr>
                              <w:t xml:space="preserve"> </w:t>
                            </w:r>
                            <w:r>
                              <w:rPr>
                                <w:color w:val="221F1F"/>
                                <w:sz w:val="24"/>
                              </w:rPr>
                              <w:t>very approximate figure (usually 0.15) to take account of fixed cost elements or other nonadjustable</w:t>
                            </w:r>
                            <w:r>
                              <w:rPr>
                                <w:color w:val="221F1F"/>
                                <w:spacing w:val="-1"/>
                                <w:sz w:val="24"/>
                              </w:rPr>
                              <w:t xml:space="preserve"> </w:t>
                            </w:r>
                            <w:r>
                              <w:rPr>
                                <w:color w:val="221F1F"/>
                                <w:sz w:val="24"/>
                              </w:rPr>
                              <w:t>components. The</w:t>
                            </w:r>
                            <w:r>
                              <w:rPr>
                                <w:color w:val="221F1F"/>
                                <w:spacing w:val="-2"/>
                                <w:sz w:val="24"/>
                              </w:rPr>
                              <w:t xml:space="preserve"> </w:t>
                            </w:r>
                            <w:r>
                              <w:rPr>
                                <w:color w:val="221F1F"/>
                                <w:sz w:val="24"/>
                              </w:rPr>
                              <w:t>sum of</w:t>
                            </w:r>
                            <w:r>
                              <w:rPr>
                                <w:color w:val="221F1F"/>
                                <w:spacing w:val="-1"/>
                                <w:sz w:val="24"/>
                              </w:rPr>
                              <w:t xml:space="preserve"> </w:t>
                            </w:r>
                            <w:r>
                              <w:rPr>
                                <w:color w:val="221F1F"/>
                                <w:sz w:val="24"/>
                              </w:rPr>
                              <w:t>the</w:t>
                            </w:r>
                            <w:r>
                              <w:rPr>
                                <w:color w:val="221F1F"/>
                                <w:spacing w:val="-1"/>
                                <w:sz w:val="24"/>
                              </w:rPr>
                              <w:t xml:space="preserve"> </w:t>
                            </w:r>
                            <w:r>
                              <w:rPr>
                                <w:color w:val="221F1F"/>
                                <w:sz w:val="24"/>
                              </w:rPr>
                              <w:t>adjustments for</w:t>
                            </w:r>
                            <w:r>
                              <w:rPr>
                                <w:color w:val="221F1F"/>
                                <w:spacing w:val="-2"/>
                                <w:sz w:val="24"/>
                              </w:rPr>
                              <w:t xml:space="preserve"> </w:t>
                            </w:r>
                            <w:r>
                              <w:rPr>
                                <w:color w:val="221F1F"/>
                                <w:sz w:val="24"/>
                              </w:rPr>
                              <w:t>each currency are added to the Contract Price.</w:t>
                            </w:r>
                          </w:p>
                        </w:txbxContent>
                      </wps:txbx>
                      <wps:bodyPr wrap="square" lIns="0" tIns="0" rIns="0" bIns="0" rtlCol="0">
                        <a:noAutofit/>
                      </wps:bodyPr>
                    </wps:wsp>
                  </a:graphicData>
                </a:graphic>
              </wp:inline>
            </w:drawing>
          </mc:Choice>
          <mc:Fallback>
            <w:pict>
              <v:shape id="Textbox 381" o:spid="_x0000_s1036" type="#_x0000_t202" style="width:472.05pt;height:2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" fillcolor="#e6e7e8" stroked="f">
                <v:path arrowok="t"/>
                <v:textbox inset="0,0,0,0">
                  <w:txbxContent>
                    <w:p w:rsidR="00883FED" w:rsidRDefault="00883FED">
                      <w:pPr>
                        <w:spacing w:before="153"/>
                        <w:ind w:left="120"/>
                        <w:jc w:val="both"/>
                        <w:rPr>
                          <w:b/>
                          <w:color w:val="000000"/>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pacing w:val="-2"/>
                          <w:sz w:val="24"/>
                        </w:rPr>
                        <w:t>Formula</w:t>
                      </w:r>
                    </w:p>
                    <w:p w:rsidR="00883FED" w:rsidRDefault="00883FED">
                      <w:pPr>
                        <w:spacing w:before="264" w:line="230" w:lineRule="auto"/>
                        <w:ind w:left="120" w:right="134"/>
                        <w:jc w:val="both"/>
                        <w:rPr>
                          <w:color w:val="000000"/>
                          <w:sz w:val="24"/>
                        </w:rPr>
                      </w:pPr>
                      <w:r>
                        <w:rPr>
                          <w:color w:val="221F1F"/>
                          <w:sz w:val="24"/>
                        </w:rPr>
                        <w:t>Prices</w:t>
                      </w:r>
                      <w:r>
                        <w:rPr>
                          <w:color w:val="221F1F"/>
                          <w:spacing w:val="-6"/>
                          <w:sz w:val="24"/>
                        </w:rPr>
                        <w:t xml:space="preserve"> </w:t>
                      </w:r>
                      <w:r>
                        <w:rPr>
                          <w:color w:val="221F1F"/>
                          <w:sz w:val="24"/>
                        </w:rPr>
                        <w:t>shall</w:t>
                      </w:r>
                      <w:r>
                        <w:rPr>
                          <w:color w:val="221F1F"/>
                          <w:spacing w:val="-5"/>
                          <w:sz w:val="24"/>
                        </w:rPr>
                        <w:t xml:space="preserve"> </w:t>
                      </w:r>
                      <w:r>
                        <w:rPr>
                          <w:color w:val="221F1F"/>
                          <w:sz w:val="24"/>
                        </w:rPr>
                        <w:t>be</w:t>
                      </w:r>
                      <w:r>
                        <w:rPr>
                          <w:color w:val="221F1F"/>
                          <w:spacing w:val="-4"/>
                          <w:sz w:val="24"/>
                        </w:rPr>
                        <w:t xml:space="preserve"> </w:t>
                      </w:r>
                      <w:r>
                        <w:rPr>
                          <w:color w:val="221F1F"/>
                          <w:sz w:val="24"/>
                        </w:rPr>
                        <w:t>adjusted</w:t>
                      </w:r>
                      <w:r>
                        <w:rPr>
                          <w:color w:val="221F1F"/>
                          <w:spacing w:val="-6"/>
                          <w:sz w:val="24"/>
                        </w:rPr>
                        <w:t xml:space="preserve"> </w:t>
                      </w:r>
                      <w:r>
                        <w:rPr>
                          <w:color w:val="221F1F"/>
                          <w:sz w:val="24"/>
                        </w:rPr>
                        <w:t>for</w:t>
                      </w:r>
                      <w:r>
                        <w:rPr>
                          <w:color w:val="221F1F"/>
                          <w:spacing w:val="-7"/>
                          <w:sz w:val="24"/>
                        </w:rPr>
                        <w:t xml:space="preserve"> </w:t>
                      </w:r>
                      <w:r>
                        <w:rPr>
                          <w:color w:val="221F1F"/>
                          <w:sz w:val="24"/>
                        </w:rPr>
                        <w:t>fluctuations</w:t>
                      </w:r>
                      <w:r>
                        <w:rPr>
                          <w:color w:val="221F1F"/>
                          <w:spacing w:val="-5"/>
                          <w:sz w:val="24"/>
                        </w:rPr>
                        <w:t xml:space="preserve"> </w:t>
                      </w:r>
                      <w:r>
                        <w:rPr>
                          <w:color w:val="221F1F"/>
                          <w:sz w:val="24"/>
                        </w:rPr>
                        <w:t>in</w:t>
                      </w:r>
                      <w:r>
                        <w:rPr>
                          <w:color w:val="221F1F"/>
                          <w:spacing w:val="-5"/>
                          <w:sz w:val="24"/>
                        </w:rPr>
                        <w:t xml:space="preserve"> </w:t>
                      </w:r>
                      <w:r>
                        <w:rPr>
                          <w:color w:val="221F1F"/>
                          <w:sz w:val="24"/>
                        </w:rPr>
                        <w:t>the</w:t>
                      </w:r>
                      <w:r>
                        <w:rPr>
                          <w:color w:val="221F1F"/>
                          <w:spacing w:val="-6"/>
                          <w:sz w:val="24"/>
                        </w:rPr>
                        <w:t xml:space="preserve"> </w:t>
                      </w:r>
                      <w:r>
                        <w:rPr>
                          <w:color w:val="221F1F"/>
                          <w:sz w:val="24"/>
                        </w:rPr>
                        <w:t>cost</w:t>
                      </w:r>
                      <w:r>
                        <w:rPr>
                          <w:color w:val="221F1F"/>
                          <w:spacing w:val="-3"/>
                          <w:sz w:val="24"/>
                        </w:rPr>
                        <w:t xml:space="preserve"> </w:t>
                      </w:r>
                      <w:r>
                        <w:rPr>
                          <w:color w:val="221F1F"/>
                          <w:sz w:val="24"/>
                        </w:rPr>
                        <w:t>of</w:t>
                      </w:r>
                      <w:r>
                        <w:rPr>
                          <w:color w:val="221F1F"/>
                          <w:spacing w:val="-7"/>
                          <w:sz w:val="24"/>
                        </w:rPr>
                        <w:t xml:space="preserve"> </w:t>
                      </w:r>
                      <w:r>
                        <w:rPr>
                          <w:color w:val="221F1F"/>
                          <w:sz w:val="24"/>
                        </w:rPr>
                        <w:t>inputs</w:t>
                      </w:r>
                      <w:r>
                        <w:rPr>
                          <w:color w:val="221F1F"/>
                          <w:spacing w:val="-6"/>
                          <w:sz w:val="24"/>
                        </w:rPr>
                        <w:t xml:space="preserve"> </w:t>
                      </w:r>
                      <w:r>
                        <w:rPr>
                          <w:color w:val="221F1F"/>
                          <w:sz w:val="24"/>
                        </w:rPr>
                        <w:t>only</w:t>
                      </w:r>
                      <w:r>
                        <w:rPr>
                          <w:color w:val="221F1F"/>
                          <w:spacing w:val="-5"/>
                          <w:sz w:val="24"/>
                        </w:rPr>
                        <w:t xml:space="preserve"> </w:t>
                      </w:r>
                      <w:r>
                        <w:rPr>
                          <w:color w:val="221F1F"/>
                          <w:sz w:val="24"/>
                        </w:rPr>
                        <w:t>if</w:t>
                      </w:r>
                      <w:r>
                        <w:rPr>
                          <w:color w:val="221F1F"/>
                          <w:spacing w:val="-4"/>
                          <w:sz w:val="24"/>
                        </w:rPr>
                        <w:t xml:space="preserve"> </w:t>
                      </w:r>
                      <w:r>
                        <w:rPr>
                          <w:b/>
                          <w:color w:val="221F1F"/>
                          <w:sz w:val="24"/>
                        </w:rPr>
                        <w:t>provided</w:t>
                      </w:r>
                      <w:r>
                        <w:rPr>
                          <w:b/>
                          <w:color w:val="221F1F"/>
                          <w:spacing w:val="-5"/>
                          <w:sz w:val="24"/>
                        </w:rPr>
                        <w:t xml:space="preserve"> </w:t>
                      </w:r>
                      <w:r>
                        <w:rPr>
                          <w:b/>
                          <w:color w:val="221F1F"/>
                          <w:sz w:val="24"/>
                        </w:rPr>
                        <w:t>for</w:t>
                      </w:r>
                      <w:r>
                        <w:rPr>
                          <w:b/>
                          <w:color w:val="221F1F"/>
                          <w:spacing w:val="-8"/>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7"/>
                          <w:sz w:val="24"/>
                        </w:rPr>
                        <w:t xml:space="preserve"> </w:t>
                      </w:r>
                      <w:r>
                        <w:rPr>
                          <w:b/>
                          <w:color w:val="221F1F"/>
                          <w:sz w:val="24"/>
                        </w:rPr>
                        <w:t>SCC.</w:t>
                      </w:r>
                      <w:r>
                        <w:rPr>
                          <w:b/>
                          <w:color w:val="221F1F"/>
                          <w:spacing w:val="-2"/>
                          <w:sz w:val="24"/>
                        </w:rPr>
                        <w:t xml:space="preserve"> </w:t>
                      </w:r>
                      <w:r>
                        <w:rPr>
                          <w:color w:val="221F1F"/>
                          <w:sz w:val="24"/>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883FED" w:rsidRDefault="00883FED">
                      <w:pPr>
                        <w:spacing w:before="251" w:line="272" w:lineRule="exact"/>
                        <w:ind w:left="120"/>
                        <w:jc w:val="both"/>
                        <w:rPr>
                          <w:b/>
                          <w:color w:val="000000"/>
                          <w:sz w:val="24"/>
                        </w:rPr>
                      </w:pPr>
                      <w:r>
                        <w:rPr>
                          <w:b/>
                          <w:color w:val="221F1F"/>
                          <w:sz w:val="24"/>
                        </w:rPr>
                        <w:t xml:space="preserve">P = A + B </w:t>
                      </w:r>
                      <w:proofErr w:type="spellStart"/>
                      <w:r>
                        <w:rPr>
                          <w:b/>
                          <w:color w:val="221F1F"/>
                          <w:spacing w:val="-2"/>
                          <w:sz w:val="24"/>
                        </w:rPr>
                        <w:t>Im</w:t>
                      </w:r>
                      <w:proofErr w:type="spellEnd"/>
                      <w:r>
                        <w:rPr>
                          <w:b/>
                          <w:color w:val="221F1F"/>
                          <w:spacing w:val="-2"/>
                          <w:sz w:val="24"/>
                        </w:rPr>
                        <w:t>/Io</w:t>
                      </w:r>
                    </w:p>
                    <w:p w:rsidR="00883FED" w:rsidRDefault="00883FED">
                      <w:pPr>
                        <w:spacing w:line="268" w:lineRule="exact"/>
                        <w:ind w:left="120"/>
                        <w:rPr>
                          <w:color w:val="000000"/>
                          <w:sz w:val="24"/>
                        </w:rPr>
                      </w:pPr>
                      <w:r>
                        <w:rPr>
                          <w:color w:val="221F1F"/>
                          <w:spacing w:val="-2"/>
                          <w:sz w:val="24"/>
                        </w:rPr>
                        <w:t>where:</w:t>
                      </w:r>
                    </w:p>
                    <w:p w:rsidR="00883FED" w:rsidRDefault="00883FED">
                      <w:pPr>
                        <w:spacing w:line="269" w:lineRule="exact"/>
                        <w:ind w:left="480"/>
                        <w:rPr>
                          <w:color w:val="000000"/>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w:t>
                      </w:r>
                      <w:r>
                        <w:rPr>
                          <w:color w:val="221F1F"/>
                          <w:spacing w:val="-1"/>
                          <w:sz w:val="24"/>
                        </w:rPr>
                        <w:t xml:space="preserve"> </w:t>
                      </w:r>
                      <w:r>
                        <w:rPr>
                          <w:color w:val="221F1F"/>
                          <w:sz w:val="24"/>
                        </w:rPr>
                        <w:t>of</w:t>
                      </w:r>
                      <w:r>
                        <w:rPr>
                          <w:color w:val="221F1F"/>
                          <w:spacing w:val="-1"/>
                          <w:sz w:val="24"/>
                        </w:rPr>
                        <w:t xml:space="preserve"> </w:t>
                      </w:r>
                      <w:r>
                        <w:rPr>
                          <w:color w:val="221F1F"/>
                          <w:sz w:val="24"/>
                        </w:rPr>
                        <w:t>the</w:t>
                      </w:r>
                      <w:r>
                        <w:rPr>
                          <w:color w:val="221F1F"/>
                          <w:spacing w:val="-1"/>
                          <w:sz w:val="24"/>
                        </w:rPr>
                        <w:t xml:space="preserve"> </w:t>
                      </w:r>
                      <w:r>
                        <w:rPr>
                          <w:color w:val="221F1F"/>
                          <w:sz w:val="24"/>
                        </w:rPr>
                        <w:t>Contract</w:t>
                      </w:r>
                      <w:r>
                        <w:rPr>
                          <w:color w:val="221F1F"/>
                          <w:spacing w:val="-1"/>
                          <w:sz w:val="24"/>
                        </w:rPr>
                        <w:t xml:space="preserve"> </w:t>
                      </w:r>
                      <w:r>
                        <w:rPr>
                          <w:color w:val="221F1F"/>
                          <w:sz w:val="24"/>
                        </w:rPr>
                        <w:t>Price</w:t>
                      </w:r>
                      <w:r>
                        <w:rPr>
                          <w:color w:val="221F1F"/>
                          <w:spacing w:val="-1"/>
                          <w:sz w:val="24"/>
                        </w:rPr>
                        <w:t xml:space="preserve"> </w:t>
                      </w:r>
                      <w:r>
                        <w:rPr>
                          <w:color w:val="221F1F"/>
                          <w:spacing w:val="-2"/>
                          <w:sz w:val="24"/>
                        </w:rPr>
                        <w:t>payable.</w:t>
                      </w:r>
                    </w:p>
                    <w:p w:rsidR="00883FED" w:rsidRDefault="00883FED">
                      <w:pPr>
                        <w:spacing w:before="6" w:line="230" w:lineRule="auto"/>
                        <w:ind w:left="970" w:right="100" w:hanging="490"/>
                        <w:rPr>
                          <w:color w:val="000000"/>
                          <w:sz w:val="24"/>
                        </w:rPr>
                      </w:pPr>
                      <w:proofErr w:type="gramStart"/>
                      <w:r>
                        <w:rPr>
                          <w:b/>
                          <w:color w:val="221F1F"/>
                          <w:sz w:val="24"/>
                        </w:rPr>
                        <w:t>A</w:t>
                      </w:r>
                      <w:proofErr w:type="gramEnd"/>
                      <w:r>
                        <w:rPr>
                          <w:b/>
                          <w:color w:val="221F1F"/>
                          <w:spacing w:val="-7"/>
                          <w:sz w:val="24"/>
                        </w:rPr>
                        <w:t xml:space="preserve"> </w:t>
                      </w:r>
                      <w:r>
                        <w:rPr>
                          <w:color w:val="221F1F"/>
                          <w:sz w:val="24"/>
                        </w:rPr>
                        <w:t>and</w:t>
                      </w:r>
                      <w:r>
                        <w:rPr>
                          <w:color w:val="221F1F"/>
                          <w:spacing w:val="-6"/>
                          <w:sz w:val="24"/>
                        </w:rPr>
                        <w:t xml:space="preserve"> </w:t>
                      </w:r>
                      <w:r>
                        <w:rPr>
                          <w:b/>
                          <w:color w:val="221F1F"/>
                          <w:sz w:val="24"/>
                        </w:rPr>
                        <w:t>B</w:t>
                      </w:r>
                      <w:r>
                        <w:rPr>
                          <w:b/>
                          <w:color w:val="221F1F"/>
                          <w:spacing w:val="-6"/>
                          <w:sz w:val="24"/>
                        </w:rPr>
                        <w:t xml:space="preserve"> </w:t>
                      </w:r>
                      <w:r>
                        <w:rPr>
                          <w:color w:val="221F1F"/>
                          <w:sz w:val="24"/>
                        </w:rPr>
                        <w:t>a</w:t>
                      </w:r>
                      <w:r>
                        <w:rPr>
                          <w:color w:val="221F1F"/>
                          <w:spacing w:val="-7"/>
                          <w:sz w:val="24"/>
                        </w:rPr>
                        <w:t xml:space="preserve"> </w:t>
                      </w:r>
                      <w:proofErr w:type="spellStart"/>
                      <w:r>
                        <w:rPr>
                          <w:color w:val="221F1F"/>
                          <w:sz w:val="24"/>
                        </w:rPr>
                        <w:t>recoefficients</w:t>
                      </w:r>
                      <w:proofErr w:type="spellEnd"/>
                      <w:r>
                        <w:rPr>
                          <w:color w:val="221F1F"/>
                          <w:spacing w:val="-5"/>
                          <w:sz w:val="24"/>
                        </w:rPr>
                        <w:t xml:space="preserve"> </w:t>
                      </w:r>
                      <w:r>
                        <w:rPr>
                          <w:b/>
                          <w:color w:val="221F1F"/>
                          <w:sz w:val="24"/>
                        </w:rPr>
                        <w:t>specified</w:t>
                      </w:r>
                      <w:r>
                        <w:rPr>
                          <w:b/>
                          <w:color w:val="221F1F"/>
                          <w:spacing w:val="-6"/>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6"/>
                          <w:sz w:val="24"/>
                        </w:rPr>
                        <w:t xml:space="preserve"> </w:t>
                      </w:r>
                      <w:r>
                        <w:rPr>
                          <w:b/>
                          <w:color w:val="221F1F"/>
                          <w:sz w:val="24"/>
                        </w:rPr>
                        <w:t>SCC,</w:t>
                      </w:r>
                      <w:r>
                        <w:rPr>
                          <w:b/>
                          <w:color w:val="221F1F"/>
                          <w:spacing w:val="-5"/>
                          <w:sz w:val="24"/>
                        </w:rPr>
                        <w:t xml:space="preserve"> </w:t>
                      </w:r>
                      <w:r>
                        <w:rPr>
                          <w:color w:val="221F1F"/>
                          <w:sz w:val="24"/>
                        </w:rPr>
                        <w:t>representing</w:t>
                      </w:r>
                      <w:r>
                        <w:rPr>
                          <w:color w:val="221F1F"/>
                          <w:spacing w:val="-6"/>
                          <w:sz w:val="24"/>
                        </w:rPr>
                        <w:t xml:space="preserve"> </w:t>
                      </w:r>
                      <w:r>
                        <w:rPr>
                          <w:color w:val="221F1F"/>
                          <w:sz w:val="24"/>
                        </w:rPr>
                        <w:t>then</w:t>
                      </w:r>
                      <w:r>
                        <w:rPr>
                          <w:color w:val="221F1F"/>
                          <w:spacing w:val="-6"/>
                          <w:sz w:val="24"/>
                        </w:rPr>
                        <w:t xml:space="preserve"> </w:t>
                      </w:r>
                      <w:r>
                        <w:rPr>
                          <w:color w:val="221F1F"/>
                          <w:sz w:val="24"/>
                        </w:rPr>
                        <w:t>on</w:t>
                      </w:r>
                      <w:r>
                        <w:rPr>
                          <w:color w:val="221F1F"/>
                          <w:spacing w:val="-6"/>
                          <w:sz w:val="24"/>
                        </w:rPr>
                        <w:t xml:space="preserve"> </w:t>
                      </w:r>
                      <w:r>
                        <w:rPr>
                          <w:color w:val="221F1F"/>
                          <w:sz w:val="24"/>
                        </w:rPr>
                        <w:t>adjustable</w:t>
                      </w:r>
                      <w:r>
                        <w:rPr>
                          <w:color w:val="221F1F"/>
                          <w:spacing w:val="-6"/>
                          <w:sz w:val="24"/>
                        </w:rPr>
                        <w:t xml:space="preserve"> </w:t>
                      </w:r>
                      <w:r>
                        <w:rPr>
                          <w:color w:val="221F1F"/>
                          <w:sz w:val="24"/>
                        </w:rPr>
                        <w:t>and adjustable portions, respectively, of the Contract Price payable and</w:t>
                      </w:r>
                    </w:p>
                    <w:p w:rsidR="00883FED" w:rsidRDefault="00883FED">
                      <w:pPr>
                        <w:spacing w:before="1" w:line="230" w:lineRule="auto"/>
                        <w:ind w:left="970" w:hanging="490"/>
                        <w:rPr>
                          <w:color w:val="000000"/>
                          <w:sz w:val="24"/>
                        </w:rPr>
                      </w:pPr>
                      <w:proofErr w:type="spellStart"/>
                      <w:r>
                        <w:rPr>
                          <w:b/>
                          <w:color w:val="221F1F"/>
                          <w:sz w:val="24"/>
                        </w:rPr>
                        <w:t>I</w:t>
                      </w:r>
                      <w:r>
                        <w:rPr>
                          <w:b/>
                          <w:color w:val="221F1F"/>
                          <w:spacing w:val="-3"/>
                          <w:sz w:val="24"/>
                        </w:rPr>
                        <w:t xml:space="preserve"> </w:t>
                      </w:r>
                      <w:r>
                        <w:rPr>
                          <w:b/>
                          <w:color w:val="221F1F"/>
                          <w:sz w:val="24"/>
                        </w:rPr>
                        <w:t>m</w:t>
                      </w:r>
                      <w:proofErr w:type="spellEnd"/>
                      <w:r>
                        <w:rPr>
                          <w:b/>
                          <w:color w:val="221F1F"/>
                          <w:spacing w:val="-2"/>
                          <w:sz w:val="24"/>
                        </w:rPr>
                        <w:t xml:space="preserve"> </w:t>
                      </w:r>
                      <w:r>
                        <w:rPr>
                          <w:color w:val="221F1F"/>
                          <w:sz w:val="24"/>
                        </w:rPr>
                        <w:t>is</w:t>
                      </w:r>
                      <w:r>
                        <w:rPr>
                          <w:color w:val="221F1F"/>
                          <w:spacing w:val="-3"/>
                          <w:sz w:val="24"/>
                        </w:rPr>
                        <w:t xml:space="preserve"> </w:t>
                      </w:r>
                      <w:r>
                        <w:rPr>
                          <w:color w:val="221F1F"/>
                          <w:sz w:val="24"/>
                        </w:rPr>
                        <w:t>the</w:t>
                      </w:r>
                      <w:r>
                        <w:rPr>
                          <w:color w:val="221F1F"/>
                          <w:spacing w:val="-4"/>
                          <w:sz w:val="24"/>
                        </w:rPr>
                        <w:t xml:space="preserve"> </w:t>
                      </w:r>
                      <w:r>
                        <w:rPr>
                          <w:color w:val="221F1F"/>
                          <w:sz w:val="24"/>
                        </w:rPr>
                        <w:t>index</w:t>
                      </w:r>
                      <w:r>
                        <w:rPr>
                          <w:color w:val="221F1F"/>
                          <w:spacing w:val="-3"/>
                          <w:sz w:val="24"/>
                        </w:rPr>
                        <w:t xml:space="preserve"> </w:t>
                      </w:r>
                      <w:r>
                        <w:rPr>
                          <w:color w:val="221F1F"/>
                          <w:sz w:val="24"/>
                        </w:rPr>
                        <w:t>prevailing</w:t>
                      </w:r>
                      <w:r>
                        <w:rPr>
                          <w:color w:val="221F1F"/>
                          <w:spacing w:val="-3"/>
                          <w:sz w:val="24"/>
                        </w:rPr>
                        <w:t xml:space="preserve"> </w:t>
                      </w:r>
                      <w:r>
                        <w:rPr>
                          <w:color w:val="221F1F"/>
                          <w:sz w:val="24"/>
                        </w:rPr>
                        <w:t>at</w:t>
                      </w:r>
                      <w:r>
                        <w:rPr>
                          <w:color w:val="221F1F"/>
                          <w:spacing w:val="-3"/>
                          <w:sz w:val="24"/>
                        </w:rPr>
                        <w:t xml:space="preserve"> </w:t>
                      </w:r>
                      <w:r>
                        <w:rPr>
                          <w:color w:val="221F1F"/>
                          <w:sz w:val="24"/>
                        </w:rPr>
                        <w:t>the</w:t>
                      </w:r>
                      <w:r>
                        <w:rPr>
                          <w:color w:val="221F1F"/>
                          <w:spacing w:val="-3"/>
                          <w:sz w:val="24"/>
                        </w:rPr>
                        <w:t xml:space="preserve"> </w:t>
                      </w:r>
                      <w:r>
                        <w:rPr>
                          <w:color w:val="221F1F"/>
                          <w:sz w:val="24"/>
                        </w:rPr>
                        <w:t>end</w:t>
                      </w:r>
                      <w:r>
                        <w:rPr>
                          <w:color w:val="221F1F"/>
                          <w:spacing w:val="-3"/>
                          <w:sz w:val="24"/>
                        </w:rPr>
                        <w:t xml:space="preserve"> </w:t>
                      </w:r>
                      <w:r>
                        <w:rPr>
                          <w:color w:val="221F1F"/>
                          <w:sz w:val="24"/>
                        </w:rPr>
                        <w:t>of</w:t>
                      </w:r>
                      <w:r>
                        <w:rPr>
                          <w:color w:val="221F1F"/>
                          <w:spacing w:val="-4"/>
                          <w:sz w:val="24"/>
                        </w:rPr>
                        <w:t xml:space="preserve"> </w:t>
                      </w:r>
                      <w:r>
                        <w:rPr>
                          <w:color w:val="221F1F"/>
                          <w:sz w:val="24"/>
                        </w:rPr>
                        <w:t>the</w:t>
                      </w:r>
                      <w:r>
                        <w:rPr>
                          <w:color w:val="221F1F"/>
                          <w:spacing w:val="-3"/>
                          <w:sz w:val="24"/>
                        </w:rPr>
                        <w:t xml:space="preserve"> </w:t>
                      </w:r>
                      <w:r>
                        <w:rPr>
                          <w:color w:val="221F1F"/>
                          <w:sz w:val="24"/>
                        </w:rPr>
                        <w:t>month</w:t>
                      </w:r>
                      <w:r>
                        <w:rPr>
                          <w:color w:val="221F1F"/>
                          <w:spacing w:val="-1"/>
                          <w:sz w:val="24"/>
                        </w:rPr>
                        <w:t xml:space="preserve"> </w:t>
                      </w:r>
                      <w:r>
                        <w:rPr>
                          <w:color w:val="221F1F"/>
                          <w:sz w:val="24"/>
                        </w:rPr>
                        <w:t>being</w:t>
                      </w:r>
                      <w:r>
                        <w:rPr>
                          <w:color w:val="221F1F"/>
                          <w:spacing w:val="-3"/>
                          <w:sz w:val="24"/>
                        </w:rPr>
                        <w:t xml:space="preserve"> </w:t>
                      </w:r>
                      <w:r>
                        <w:rPr>
                          <w:color w:val="221F1F"/>
                          <w:sz w:val="24"/>
                        </w:rPr>
                        <w:t>invoiced</w:t>
                      </w:r>
                      <w:r>
                        <w:rPr>
                          <w:color w:val="221F1F"/>
                          <w:spacing w:val="-3"/>
                          <w:sz w:val="24"/>
                        </w:rPr>
                        <w:t xml:space="preserve"> </w:t>
                      </w:r>
                      <w:r>
                        <w:rPr>
                          <w:color w:val="221F1F"/>
                          <w:sz w:val="24"/>
                        </w:rPr>
                        <w:t>and</w:t>
                      </w:r>
                      <w:r>
                        <w:rPr>
                          <w:color w:val="221F1F"/>
                          <w:spacing w:val="-1"/>
                          <w:sz w:val="24"/>
                        </w:rPr>
                        <w:t xml:space="preserve"> </w:t>
                      </w:r>
                      <w:proofErr w:type="spellStart"/>
                      <w:r>
                        <w:rPr>
                          <w:b/>
                          <w:color w:val="221F1F"/>
                          <w:sz w:val="24"/>
                        </w:rPr>
                        <w:t>Io</w:t>
                      </w:r>
                      <w:r>
                        <w:rPr>
                          <w:color w:val="221F1F"/>
                          <w:sz w:val="24"/>
                        </w:rPr>
                        <w:t>c</w:t>
                      </w:r>
                      <w:proofErr w:type="spellEnd"/>
                      <w:r>
                        <w:rPr>
                          <w:color w:val="221F1F"/>
                          <w:spacing w:val="-4"/>
                          <w:sz w:val="24"/>
                        </w:rPr>
                        <w:t xml:space="preserve"> </w:t>
                      </w:r>
                      <w:r>
                        <w:rPr>
                          <w:color w:val="221F1F"/>
                          <w:sz w:val="24"/>
                        </w:rPr>
                        <w:t>is</w:t>
                      </w:r>
                      <w:r>
                        <w:rPr>
                          <w:color w:val="221F1F"/>
                          <w:spacing w:val="-3"/>
                          <w:sz w:val="24"/>
                        </w:rPr>
                        <w:t xml:space="preserve"> </w:t>
                      </w:r>
                      <w:r>
                        <w:rPr>
                          <w:color w:val="221F1F"/>
                          <w:sz w:val="24"/>
                        </w:rPr>
                        <w:t>the</w:t>
                      </w:r>
                      <w:r>
                        <w:rPr>
                          <w:color w:val="221F1F"/>
                          <w:spacing w:val="-3"/>
                          <w:sz w:val="24"/>
                        </w:rPr>
                        <w:t xml:space="preserve"> </w:t>
                      </w:r>
                      <w:r>
                        <w:rPr>
                          <w:color w:val="221F1F"/>
                          <w:sz w:val="24"/>
                        </w:rPr>
                        <w:t>index prevailing 30 days before Bid opening for inputs payable.</w:t>
                      </w:r>
                    </w:p>
                    <w:p w:rsidR="00883FED" w:rsidRDefault="00883FED">
                      <w:pPr>
                        <w:spacing w:before="268" w:line="230" w:lineRule="auto"/>
                        <w:ind w:left="970" w:right="136" w:hanging="850"/>
                        <w:jc w:val="both"/>
                        <w:rPr>
                          <w:color w:val="000000"/>
                          <w:sz w:val="24"/>
                        </w:rPr>
                      </w:pPr>
                      <w:r>
                        <w:rPr>
                          <w:b/>
                          <w:color w:val="221F1F"/>
                          <w:sz w:val="24"/>
                        </w:rPr>
                        <w:t xml:space="preserve">NOTE: </w:t>
                      </w:r>
                      <w:r>
                        <w:rPr>
                          <w:color w:val="221F1F"/>
                          <w:sz w:val="24"/>
                        </w:rPr>
                        <w:t>The sum of the two coefficients A and B should be 1 (one) in the formula for each currency. Normally, both coefficients shall be the same in the formulae for all currencies,</w:t>
                      </w:r>
                      <w:r>
                        <w:rPr>
                          <w:color w:val="221F1F"/>
                          <w:spacing w:val="-9"/>
                          <w:sz w:val="24"/>
                        </w:rPr>
                        <w:t xml:space="preserve"> </w:t>
                      </w:r>
                      <w:r>
                        <w:rPr>
                          <w:color w:val="221F1F"/>
                          <w:sz w:val="24"/>
                        </w:rPr>
                        <w:t>since</w:t>
                      </w:r>
                      <w:r>
                        <w:rPr>
                          <w:color w:val="221F1F"/>
                          <w:spacing w:val="-9"/>
                          <w:sz w:val="24"/>
                        </w:rPr>
                        <w:t xml:space="preserve"> </w:t>
                      </w:r>
                      <w:r>
                        <w:rPr>
                          <w:color w:val="221F1F"/>
                          <w:sz w:val="24"/>
                        </w:rPr>
                        <w:t>coefficient</w:t>
                      </w:r>
                      <w:r>
                        <w:rPr>
                          <w:color w:val="221F1F"/>
                          <w:spacing w:val="-8"/>
                          <w:sz w:val="24"/>
                        </w:rPr>
                        <w:t xml:space="preserve"> </w:t>
                      </w:r>
                      <w:r>
                        <w:rPr>
                          <w:color w:val="221F1F"/>
                          <w:sz w:val="24"/>
                        </w:rPr>
                        <w:t>A,</w:t>
                      </w:r>
                      <w:r>
                        <w:rPr>
                          <w:color w:val="221F1F"/>
                          <w:spacing w:val="-9"/>
                          <w:sz w:val="24"/>
                        </w:rPr>
                        <w:t xml:space="preserve"> </w:t>
                      </w:r>
                      <w:r>
                        <w:rPr>
                          <w:color w:val="221F1F"/>
                          <w:sz w:val="24"/>
                        </w:rPr>
                        <w:t>for</w:t>
                      </w:r>
                      <w:r>
                        <w:rPr>
                          <w:color w:val="221F1F"/>
                          <w:spacing w:val="-9"/>
                          <w:sz w:val="24"/>
                        </w:rPr>
                        <w:t xml:space="preserve"> </w:t>
                      </w:r>
                      <w:r>
                        <w:rPr>
                          <w:color w:val="221F1F"/>
                          <w:sz w:val="24"/>
                        </w:rPr>
                        <w:t>the</w:t>
                      </w:r>
                      <w:r>
                        <w:rPr>
                          <w:color w:val="221F1F"/>
                          <w:spacing w:val="-9"/>
                          <w:sz w:val="24"/>
                        </w:rPr>
                        <w:t xml:space="preserve"> </w:t>
                      </w:r>
                      <w:proofErr w:type="spellStart"/>
                      <w:r>
                        <w:rPr>
                          <w:color w:val="221F1F"/>
                          <w:sz w:val="24"/>
                        </w:rPr>
                        <w:t>non</w:t>
                      </w:r>
                      <w:r>
                        <w:rPr>
                          <w:color w:val="221F1F"/>
                          <w:spacing w:val="-6"/>
                          <w:sz w:val="24"/>
                        </w:rPr>
                        <w:t xml:space="preserve"> </w:t>
                      </w:r>
                      <w:r>
                        <w:rPr>
                          <w:color w:val="221F1F"/>
                          <w:sz w:val="24"/>
                        </w:rPr>
                        <w:t>adjustable</w:t>
                      </w:r>
                      <w:proofErr w:type="spellEnd"/>
                      <w:r>
                        <w:rPr>
                          <w:color w:val="221F1F"/>
                          <w:spacing w:val="-9"/>
                          <w:sz w:val="24"/>
                        </w:rPr>
                        <w:t xml:space="preserve"> </w:t>
                      </w:r>
                      <w:r>
                        <w:rPr>
                          <w:color w:val="221F1F"/>
                          <w:sz w:val="24"/>
                        </w:rPr>
                        <w:t>portion</w:t>
                      </w:r>
                      <w:r>
                        <w:rPr>
                          <w:color w:val="221F1F"/>
                          <w:spacing w:val="-8"/>
                          <w:sz w:val="24"/>
                        </w:rPr>
                        <w:t xml:space="preserve"> </w:t>
                      </w:r>
                      <w:r>
                        <w:rPr>
                          <w:color w:val="221F1F"/>
                          <w:sz w:val="24"/>
                        </w:rPr>
                        <w:t>of</w:t>
                      </w:r>
                      <w:r>
                        <w:rPr>
                          <w:color w:val="221F1F"/>
                          <w:spacing w:val="-9"/>
                          <w:sz w:val="24"/>
                        </w:rPr>
                        <w:t xml:space="preserve"> </w:t>
                      </w:r>
                      <w:r>
                        <w:rPr>
                          <w:color w:val="221F1F"/>
                          <w:sz w:val="24"/>
                        </w:rPr>
                        <w:t>the</w:t>
                      </w:r>
                      <w:r>
                        <w:rPr>
                          <w:color w:val="221F1F"/>
                          <w:spacing w:val="-9"/>
                          <w:sz w:val="24"/>
                        </w:rPr>
                        <w:t xml:space="preserve"> </w:t>
                      </w:r>
                      <w:r>
                        <w:rPr>
                          <w:color w:val="221F1F"/>
                          <w:sz w:val="24"/>
                        </w:rPr>
                        <w:t>payments,</w:t>
                      </w:r>
                      <w:r>
                        <w:rPr>
                          <w:color w:val="221F1F"/>
                          <w:spacing w:val="-8"/>
                          <w:sz w:val="24"/>
                        </w:rPr>
                        <w:t xml:space="preserve"> </w:t>
                      </w:r>
                      <w:r>
                        <w:rPr>
                          <w:color w:val="221F1F"/>
                          <w:sz w:val="24"/>
                        </w:rPr>
                        <w:t>is</w:t>
                      </w:r>
                      <w:r>
                        <w:rPr>
                          <w:color w:val="221F1F"/>
                          <w:spacing w:val="-8"/>
                          <w:sz w:val="24"/>
                        </w:rPr>
                        <w:t xml:space="preserve"> </w:t>
                      </w:r>
                      <w:r>
                        <w:rPr>
                          <w:color w:val="221F1F"/>
                          <w:sz w:val="24"/>
                        </w:rPr>
                        <w:t>a</w:t>
                      </w:r>
                      <w:r>
                        <w:rPr>
                          <w:color w:val="221F1F"/>
                          <w:spacing w:val="-9"/>
                          <w:sz w:val="24"/>
                        </w:rPr>
                        <w:t xml:space="preserve"> </w:t>
                      </w:r>
                      <w:r>
                        <w:rPr>
                          <w:color w:val="221F1F"/>
                          <w:sz w:val="24"/>
                        </w:rPr>
                        <w:t>very approximate figure (usually 0.15) to take account of fixed cost elements or other nonadjustable</w:t>
                      </w:r>
                      <w:r>
                        <w:rPr>
                          <w:color w:val="221F1F"/>
                          <w:spacing w:val="-1"/>
                          <w:sz w:val="24"/>
                        </w:rPr>
                        <w:t xml:space="preserve"> </w:t>
                      </w:r>
                      <w:r>
                        <w:rPr>
                          <w:color w:val="221F1F"/>
                          <w:sz w:val="24"/>
                        </w:rPr>
                        <w:t>components. The</w:t>
                      </w:r>
                      <w:r>
                        <w:rPr>
                          <w:color w:val="221F1F"/>
                          <w:spacing w:val="-2"/>
                          <w:sz w:val="24"/>
                        </w:rPr>
                        <w:t xml:space="preserve"> </w:t>
                      </w:r>
                      <w:r>
                        <w:rPr>
                          <w:color w:val="221F1F"/>
                          <w:sz w:val="24"/>
                        </w:rPr>
                        <w:t>sum of</w:t>
                      </w:r>
                      <w:r>
                        <w:rPr>
                          <w:color w:val="221F1F"/>
                          <w:spacing w:val="-1"/>
                          <w:sz w:val="24"/>
                        </w:rPr>
                        <w:t xml:space="preserve"> </w:t>
                      </w:r>
                      <w:r>
                        <w:rPr>
                          <w:color w:val="221F1F"/>
                          <w:sz w:val="24"/>
                        </w:rPr>
                        <w:t>the</w:t>
                      </w:r>
                      <w:r>
                        <w:rPr>
                          <w:color w:val="221F1F"/>
                          <w:spacing w:val="-1"/>
                          <w:sz w:val="24"/>
                        </w:rPr>
                        <w:t xml:space="preserve"> </w:t>
                      </w:r>
                      <w:r>
                        <w:rPr>
                          <w:color w:val="221F1F"/>
                          <w:sz w:val="24"/>
                        </w:rPr>
                        <w:t>adjustments for</w:t>
                      </w:r>
                      <w:r>
                        <w:rPr>
                          <w:color w:val="221F1F"/>
                          <w:spacing w:val="-2"/>
                          <w:sz w:val="24"/>
                        </w:rPr>
                        <w:t xml:space="preserve"> </w:t>
                      </w:r>
                      <w:r>
                        <w:rPr>
                          <w:color w:val="221F1F"/>
                          <w:sz w:val="24"/>
                        </w:rPr>
                        <w:t>each currency are added to the Contract Price.</w:t>
                      </w:r>
                    </w:p>
                  </w:txbxContent>
                </v:textbox>
                <w10:anchorlock/>
              </v:shape>
            </w:pict>
          </mc:Fallback>
        </mc:AlternateContent>
      </w:r>
    </w:p>
    <w:p w:rsidR="007F6DF9" w:rsidRDefault="007F6DF9">
      <w:pPr>
        <w:pStyle w:val="BodyText"/>
        <w:spacing w:before="225"/>
      </w:pPr>
    </w:p>
    <w:p w:rsidR="007F6DF9" w:rsidRDefault="00A43FBC">
      <w:pPr>
        <w:pStyle w:val="ListParagraph"/>
        <w:numPr>
          <w:ilvl w:val="2"/>
          <w:numId w:val="94"/>
        </w:numPr>
        <w:tabs>
          <w:tab w:val="left" w:pos="1390"/>
          <w:tab w:val="left" w:pos="1393"/>
        </w:tabs>
        <w:spacing w:line="230" w:lineRule="auto"/>
        <w:ind w:left="1393" w:right="554" w:hanging="685"/>
        <w:jc w:val="both"/>
      </w:pPr>
      <w:r>
        <w:rPr>
          <w:color w:val="221F1F"/>
        </w:rPr>
        <w:t xml:space="preserve">The cost indices or reference prices stated in the table of adjustment data shall be used. If their source is in doubt, </w:t>
      </w:r>
      <w:proofErr w:type="spellStart"/>
      <w:r>
        <w:rPr>
          <w:color w:val="221F1F"/>
        </w:rPr>
        <w:t>itshall</w:t>
      </w:r>
      <w:proofErr w:type="spellEnd"/>
      <w:r>
        <w:rPr>
          <w:color w:val="221F1F"/>
        </w:rPr>
        <w:t xml:space="preserve"> be determined by the Engineer. Forth is purpose, reference shall be made to the values of the indices at stated dates (quoted in the fourth and fifth columns respectively of the table) for the purposes of clarification of the source; although these dates (and thus these values) may not correspond to the base cost </w:t>
      </w:r>
      <w:r>
        <w:rPr>
          <w:color w:val="221F1F"/>
          <w:spacing w:val="-2"/>
        </w:rPr>
        <w:t>indices.</w:t>
      </w:r>
    </w:p>
    <w:p w:rsidR="007F6DF9" w:rsidRDefault="00A43FBC">
      <w:pPr>
        <w:pStyle w:val="ListParagraph"/>
        <w:numPr>
          <w:ilvl w:val="2"/>
          <w:numId w:val="94"/>
        </w:numPr>
        <w:tabs>
          <w:tab w:val="left" w:pos="1390"/>
          <w:tab w:val="left" w:pos="1393"/>
        </w:tabs>
        <w:spacing w:before="247" w:line="230" w:lineRule="auto"/>
        <w:ind w:left="1393" w:right="555" w:hanging="687"/>
        <w:jc w:val="both"/>
      </w:pPr>
      <w:proofErr w:type="spellStart"/>
      <w:r>
        <w:rPr>
          <w:color w:val="221F1F"/>
        </w:rPr>
        <w:t>Incases</w:t>
      </w:r>
      <w:proofErr w:type="spellEnd"/>
      <w:r>
        <w:rPr>
          <w:color w:val="221F1F"/>
          <w:spacing w:val="-4"/>
        </w:rPr>
        <w:t xml:space="preserve"> </w:t>
      </w:r>
      <w:r>
        <w:rPr>
          <w:color w:val="221F1F"/>
        </w:rPr>
        <w:t>where</w:t>
      </w:r>
      <w:r>
        <w:rPr>
          <w:color w:val="221F1F"/>
          <w:spacing w:val="-5"/>
        </w:rPr>
        <w:t xml:space="preserve"> </w:t>
      </w:r>
      <w:r>
        <w:rPr>
          <w:color w:val="221F1F"/>
        </w:rPr>
        <w:t>the</w:t>
      </w:r>
      <w:r>
        <w:rPr>
          <w:color w:val="221F1F"/>
          <w:spacing w:val="-4"/>
        </w:rPr>
        <w:t xml:space="preserve"> </w:t>
      </w:r>
      <w:r>
        <w:rPr>
          <w:color w:val="221F1F"/>
        </w:rPr>
        <w:t>“currency</w:t>
      </w:r>
      <w:r>
        <w:rPr>
          <w:color w:val="221F1F"/>
          <w:spacing w:val="-4"/>
        </w:rPr>
        <w:t xml:space="preserve"> </w:t>
      </w:r>
      <w:r>
        <w:rPr>
          <w:color w:val="221F1F"/>
        </w:rPr>
        <w:t>of</w:t>
      </w:r>
      <w:r>
        <w:rPr>
          <w:color w:val="221F1F"/>
          <w:spacing w:val="-5"/>
        </w:rPr>
        <w:t xml:space="preserve"> </w:t>
      </w:r>
      <w:r>
        <w:rPr>
          <w:color w:val="221F1F"/>
        </w:rPr>
        <w:t>index”</w:t>
      </w:r>
      <w:r>
        <w:rPr>
          <w:color w:val="221F1F"/>
          <w:spacing w:val="-6"/>
        </w:rPr>
        <w:t xml:space="preserve"> </w:t>
      </w:r>
      <w:r>
        <w:rPr>
          <w:color w:val="221F1F"/>
        </w:rPr>
        <w:t>is</w:t>
      </w:r>
      <w:r>
        <w:rPr>
          <w:color w:val="221F1F"/>
          <w:spacing w:val="-4"/>
        </w:rPr>
        <w:t xml:space="preserve"> </w:t>
      </w:r>
      <w:r>
        <w:rPr>
          <w:color w:val="221F1F"/>
        </w:rPr>
        <w:t>not</w:t>
      </w:r>
      <w:r>
        <w:rPr>
          <w:color w:val="221F1F"/>
          <w:spacing w:val="-5"/>
        </w:rPr>
        <w:t xml:space="preserve"> </w:t>
      </w:r>
      <w:r>
        <w:rPr>
          <w:color w:val="221F1F"/>
        </w:rPr>
        <w:t>the</w:t>
      </w:r>
      <w:r>
        <w:rPr>
          <w:color w:val="221F1F"/>
          <w:spacing w:val="-6"/>
        </w:rPr>
        <w:t xml:space="preserve"> </w:t>
      </w:r>
      <w:r>
        <w:rPr>
          <w:color w:val="221F1F"/>
        </w:rPr>
        <w:t>relevant</w:t>
      </w:r>
      <w:r>
        <w:rPr>
          <w:color w:val="221F1F"/>
          <w:spacing w:val="-3"/>
        </w:rPr>
        <w:t xml:space="preserve"> </w:t>
      </w:r>
      <w:r>
        <w:rPr>
          <w:color w:val="221F1F"/>
        </w:rPr>
        <w:t>currency</w:t>
      </w:r>
      <w:r>
        <w:rPr>
          <w:color w:val="221F1F"/>
          <w:spacing w:val="-6"/>
        </w:rPr>
        <w:t xml:space="preserve"> </w:t>
      </w:r>
      <w:r>
        <w:rPr>
          <w:color w:val="221F1F"/>
        </w:rPr>
        <w:t>of</w:t>
      </w:r>
      <w:r>
        <w:rPr>
          <w:color w:val="221F1F"/>
          <w:spacing w:val="-4"/>
        </w:rPr>
        <w:t xml:space="preserve"> </w:t>
      </w:r>
      <w:r>
        <w:rPr>
          <w:color w:val="221F1F"/>
        </w:rPr>
        <w:t>payment,</w:t>
      </w:r>
      <w:r>
        <w:rPr>
          <w:color w:val="221F1F"/>
          <w:spacing w:val="-4"/>
        </w:rPr>
        <w:t xml:space="preserve"> </w:t>
      </w:r>
      <w:r>
        <w:rPr>
          <w:color w:val="221F1F"/>
        </w:rPr>
        <w:t>each</w:t>
      </w:r>
      <w:r>
        <w:rPr>
          <w:color w:val="221F1F"/>
          <w:spacing w:val="-4"/>
        </w:rPr>
        <w:t xml:space="preserve"> </w:t>
      </w:r>
      <w:r>
        <w:rPr>
          <w:color w:val="221F1F"/>
        </w:rPr>
        <w:t>index</w:t>
      </w:r>
      <w:r>
        <w:rPr>
          <w:color w:val="221F1F"/>
          <w:spacing w:val="-4"/>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converted into the relevant currency of payment at the selling rate, established by the Central Bank of Kenya, of this relevant currency on the above date for which the index is required to be applicable.</w:t>
      </w:r>
    </w:p>
    <w:p w:rsidR="007F6DF9" w:rsidRDefault="00A43FBC">
      <w:pPr>
        <w:pStyle w:val="ListParagraph"/>
        <w:numPr>
          <w:ilvl w:val="2"/>
          <w:numId w:val="94"/>
        </w:numPr>
        <w:tabs>
          <w:tab w:val="left" w:pos="1390"/>
          <w:tab w:val="left" w:pos="1393"/>
        </w:tabs>
        <w:spacing w:before="244" w:line="230" w:lineRule="auto"/>
        <w:ind w:left="1393" w:right="556" w:hanging="687"/>
        <w:jc w:val="both"/>
      </w:pPr>
      <w:r>
        <w:rPr>
          <w:color w:val="221F1F"/>
        </w:rPr>
        <w:t>Until such time as each current cost index is available, the Architect shall determine a provisional index for the issue of Interim Payment Certificates. When a current cost index is available, the adjustment shall be recalculated accordingly.</w:t>
      </w:r>
    </w:p>
    <w:p w:rsidR="007F6DF9" w:rsidRDefault="00A43FBC">
      <w:pPr>
        <w:pStyle w:val="ListParagraph"/>
        <w:numPr>
          <w:ilvl w:val="2"/>
          <w:numId w:val="94"/>
        </w:numPr>
        <w:tabs>
          <w:tab w:val="left" w:pos="1390"/>
          <w:tab w:val="left" w:pos="1393"/>
        </w:tabs>
        <w:spacing w:before="246" w:line="230" w:lineRule="auto"/>
        <w:ind w:left="1393" w:right="555" w:hanging="687"/>
        <w:jc w:val="both"/>
      </w:pPr>
      <w:r>
        <w:rPr>
          <w:color w:val="221F1F"/>
        </w:rPr>
        <w:t>If</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fails</w:t>
      </w:r>
      <w:r>
        <w:rPr>
          <w:color w:val="221F1F"/>
          <w:spacing w:val="-11"/>
        </w:rPr>
        <w:t xml:space="preserve"> </w:t>
      </w:r>
      <w:r>
        <w:rPr>
          <w:color w:val="221F1F"/>
        </w:rPr>
        <w:t>to</w:t>
      </w:r>
      <w:r>
        <w:rPr>
          <w:color w:val="221F1F"/>
          <w:spacing w:val="-9"/>
        </w:rPr>
        <w:t xml:space="preserve"> </w:t>
      </w:r>
      <w:r>
        <w:rPr>
          <w:color w:val="221F1F"/>
        </w:rPr>
        <w:t>complete</w:t>
      </w:r>
      <w:r>
        <w:rPr>
          <w:color w:val="221F1F"/>
          <w:spacing w:val="-8"/>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within</w:t>
      </w:r>
      <w:r>
        <w:rPr>
          <w:color w:val="221F1F"/>
          <w:spacing w:val="-9"/>
        </w:rPr>
        <w:t xml:space="preserve"> </w:t>
      </w:r>
      <w:r>
        <w:rPr>
          <w:color w:val="221F1F"/>
        </w:rPr>
        <w:t>the</w:t>
      </w:r>
      <w:r>
        <w:rPr>
          <w:color w:val="221F1F"/>
          <w:spacing w:val="-11"/>
        </w:rPr>
        <w:t xml:space="preserve"> </w:t>
      </w:r>
      <w:r>
        <w:rPr>
          <w:color w:val="221F1F"/>
        </w:rPr>
        <w:t>Time</w:t>
      </w:r>
      <w:r>
        <w:rPr>
          <w:color w:val="221F1F"/>
          <w:spacing w:val="-9"/>
        </w:rPr>
        <w:t xml:space="preserve"> </w:t>
      </w:r>
      <w:r>
        <w:rPr>
          <w:color w:val="221F1F"/>
        </w:rPr>
        <w:t>for</w:t>
      </w:r>
      <w:r>
        <w:rPr>
          <w:color w:val="221F1F"/>
          <w:spacing w:val="-9"/>
        </w:rPr>
        <w:t xml:space="preserve"> </w:t>
      </w:r>
      <w:r>
        <w:rPr>
          <w:color w:val="221F1F"/>
        </w:rPr>
        <w:t>Completion,</w:t>
      </w:r>
      <w:r>
        <w:rPr>
          <w:color w:val="221F1F"/>
          <w:spacing w:val="-9"/>
        </w:rPr>
        <w:t xml:space="preserve"> </w:t>
      </w:r>
      <w:r>
        <w:rPr>
          <w:color w:val="221F1F"/>
        </w:rPr>
        <w:t>adjustment</w:t>
      </w:r>
      <w:r>
        <w:rPr>
          <w:color w:val="221F1F"/>
          <w:spacing w:val="-7"/>
        </w:rPr>
        <w:t xml:space="preserve"> </w:t>
      </w:r>
      <w:r>
        <w:rPr>
          <w:color w:val="221F1F"/>
        </w:rPr>
        <w:t>of</w:t>
      </w:r>
      <w:r>
        <w:rPr>
          <w:color w:val="221F1F"/>
          <w:spacing w:val="-9"/>
        </w:rPr>
        <w:t xml:space="preserve"> </w:t>
      </w:r>
      <w:r>
        <w:rPr>
          <w:color w:val="221F1F"/>
        </w:rPr>
        <w:t>prices</w:t>
      </w:r>
      <w:r>
        <w:rPr>
          <w:color w:val="221F1F"/>
          <w:spacing w:val="-9"/>
        </w:rPr>
        <w:t xml:space="preserve"> </w:t>
      </w:r>
      <w:r>
        <w:rPr>
          <w:color w:val="221F1F"/>
        </w:rPr>
        <w:t>there</w:t>
      </w:r>
      <w:r>
        <w:rPr>
          <w:color w:val="221F1F"/>
          <w:spacing w:val="-9"/>
        </w:rPr>
        <w:t xml:space="preserve"> </w:t>
      </w:r>
      <w:r>
        <w:rPr>
          <w:color w:val="221F1F"/>
        </w:rPr>
        <w:t>after shall be made using either (</w:t>
      </w:r>
      <w:proofErr w:type="spellStart"/>
      <w:r>
        <w:rPr>
          <w:color w:val="221F1F"/>
        </w:rPr>
        <w:t>i</w:t>
      </w:r>
      <w:proofErr w:type="spellEnd"/>
      <w:r>
        <w:rPr>
          <w:color w:val="221F1F"/>
        </w:rPr>
        <w:t xml:space="preserve">) each index or price </w:t>
      </w:r>
      <w:proofErr w:type="spellStart"/>
      <w:r>
        <w:rPr>
          <w:color w:val="221F1F"/>
        </w:rPr>
        <w:t>applicableo</w:t>
      </w:r>
      <w:proofErr w:type="spellEnd"/>
      <w:r>
        <w:rPr>
          <w:color w:val="221F1F"/>
        </w:rPr>
        <w:t xml:space="preserve"> n the date 49 days prior to the expiry of the Time for Completion of the Works, or (ii) the current index or price, whichever is more favorable to the Procuring Entity.</w:t>
      </w:r>
    </w:p>
    <w:p w:rsidR="007F6DF9" w:rsidRDefault="00A43FBC">
      <w:pPr>
        <w:pStyle w:val="ListParagraph"/>
        <w:numPr>
          <w:ilvl w:val="2"/>
          <w:numId w:val="94"/>
        </w:numPr>
        <w:tabs>
          <w:tab w:val="left" w:pos="1390"/>
          <w:tab w:val="left" w:pos="1393"/>
        </w:tabs>
        <w:spacing w:before="246" w:line="230" w:lineRule="auto"/>
        <w:ind w:left="1393" w:right="555" w:hanging="687"/>
        <w:jc w:val="both"/>
      </w:pPr>
      <w:r>
        <w:rPr>
          <w:color w:val="221F1F"/>
        </w:rPr>
        <w:t>The</w:t>
      </w:r>
      <w:r>
        <w:rPr>
          <w:color w:val="221F1F"/>
          <w:spacing w:val="-7"/>
        </w:rPr>
        <w:t xml:space="preserve"> </w:t>
      </w:r>
      <w:r>
        <w:rPr>
          <w:color w:val="221F1F"/>
        </w:rPr>
        <w:t>weightings</w:t>
      </w:r>
      <w:r>
        <w:rPr>
          <w:color w:val="221F1F"/>
          <w:spacing w:val="-8"/>
        </w:rPr>
        <w:t xml:space="preserve"> </w:t>
      </w:r>
      <w:r>
        <w:rPr>
          <w:color w:val="221F1F"/>
        </w:rPr>
        <w:t>(coefficients)</w:t>
      </w:r>
      <w:r>
        <w:rPr>
          <w:color w:val="221F1F"/>
          <w:spacing w:val="-7"/>
        </w:rPr>
        <w:t xml:space="preserve"> </w:t>
      </w:r>
      <w:r>
        <w:rPr>
          <w:color w:val="221F1F"/>
        </w:rPr>
        <w:t>for</w:t>
      </w:r>
      <w:r>
        <w:rPr>
          <w:color w:val="221F1F"/>
          <w:spacing w:val="-8"/>
        </w:rPr>
        <w:t xml:space="preserve"> </w:t>
      </w:r>
      <w:r>
        <w:rPr>
          <w:color w:val="221F1F"/>
        </w:rPr>
        <w:t>each</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factors</w:t>
      </w:r>
      <w:r>
        <w:rPr>
          <w:color w:val="221F1F"/>
          <w:spacing w:val="-8"/>
        </w:rPr>
        <w:t xml:space="preserve"> </w:t>
      </w:r>
      <w:r>
        <w:rPr>
          <w:color w:val="221F1F"/>
        </w:rPr>
        <w:t>of</w:t>
      </w:r>
      <w:r>
        <w:rPr>
          <w:color w:val="221F1F"/>
          <w:spacing w:val="-11"/>
        </w:rPr>
        <w:t xml:space="preserve"> </w:t>
      </w:r>
      <w:r>
        <w:rPr>
          <w:color w:val="221F1F"/>
        </w:rPr>
        <w:t>cost</w:t>
      </w:r>
      <w:r>
        <w:rPr>
          <w:color w:val="221F1F"/>
          <w:spacing w:val="-8"/>
        </w:rPr>
        <w:t xml:space="preserve"> </w:t>
      </w:r>
      <w:r>
        <w:rPr>
          <w:color w:val="221F1F"/>
        </w:rPr>
        <w:t>stated</w:t>
      </w:r>
      <w:r>
        <w:rPr>
          <w:color w:val="221F1F"/>
          <w:spacing w:val="-9"/>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table(s)</w:t>
      </w:r>
      <w:r>
        <w:rPr>
          <w:color w:val="221F1F"/>
          <w:spacing w:val="-6"/>
        </w:rPr>
        <w:t xml:space="preserve"> </w:t>
      </w:r>
      <w:r>
        <w:rPr>
          <w:color w:val="221F1F"/>
        </w:rPr>
        <w:t>of</w:t>
      </w:r>
      <w:r>
        <w:rPr>
          <w:color w:val="221F1F"/>
          <w:spacing w:val="-8"/>
        </w:rPr>
        <w:t xml:space="preserve"> </w:t>
      </w:r>
      <w:r>
        <w:rPr>
          <w:color w:val="221F1F"/>
        </w:rPr>
        <w:t>adjustment</w:t>
      </w:r>
      <w:r>
        <w:rPr>
          <w:color w:val="221F1F"/>
          <w:spacing w:val="-5"/>
        </w:rPr>
        <w:t xml:space="preserve"> </w:t>
      </w:r>
      <w:r>
        <w:rPr>
          <w:color w:val="221F1F"/>
        </w:rPr>
        <w:t>data</w:t>
      </w:r>
      <w:r>
        <w:rPr>
          <w:color w:val="221F1F"/>
          <w:spacing w:val="-7"/>
        </w:rPr>
        <w:t xml:space="preserve"> </w:t>
      </w:r>
      <w:r>
        <w:rPr>
          <w:color w:val="221F1F"/>
        </w:rPr>
        <w:t>shall</w:t>
      </w:r>
      <w:r>
        <w:rPr>
          <w:color w:val="221F1F"/>
          <w:spacing w:val="-8"/>
        </w:rPr>
        <w:t xml:space="preserve"> </w:t>
      </w:r>
      <w:r>
        <w:rPr>
          <w:color w:val="221F1F"/>
        </w:rPr>
        <w:t>only be adjusted if they have been rendered unreasonable, unbalanced or in applicable, as a result of Variations.</w:t>
      </w:r>
    </w:p>
    <w:p w:rsidR="007F6DF9" w:rsidRDefault="00A43FBC">
      <w:pPr>
        <w:pStyle w:val="Heading8"/>
        <w:numPr>
          <w:ilvl w:val="0"/>
          <w:numId w:val="122"/>
        </w:numPr>
        <w:tabs>
          <w:tab w:val="left" w:pos="1395"/>
        </w:tabs>
        <w:spacing w:before="235"/>
        <w:ind w:left="1395" w:hanging="689"/>
        <w:jc w:val="both"/>
      </w:pPr>
      <w:bookmarkStart w:id="66" w:name="_bookmark64"/>
      <w:bookmarkEnd w:id="66"/>
      <w:r>
        <w:rPr>
          <w:color w:val="221F1F"/>
        </w:rPr>
        <w:t>CONTRACT</w:t>
      </w:r>
      <w:r>
        <w:rPr>
          <w:color w:val="221F1F"/>
          <w:spacing w:val="-6"/>
        </w:rPr>
        <w:t xml:space="preserve"> </w:t>
      </w:r>
      <w:r>
        <w:rPr>
          <w:color w:val="221F1F"/>
        </w:rPr>
        <w:t>PRICE</w:t>
      </w:r>
      <w:r>
        <w:rPr>
          <w:color w:val="221F1F"/>
          <w:spacing w:val="-7"/>
        </w:rPr>
        <w:t xml:space="preserve"> </w:t>
      </w:r>
      <w:r>
        <w:rPr>
          <w:color w:val="221F1F"/>
        </w:rPr>
        <w:t>AND</w:t>
      </w:r>
      <w:r>
        <w:rPr>
          <w:color w:val="221F1F"/>
          <w:spacing w:val="-4"/>
        </w:rPr>
        <w:t xml:space="preserve"> </w:t>
      </w:r>
      <w:r>
        <w:rPr>
          <w:color w:val="221F1F"/>
          <w:spacing w:val="-2"/>
        </w:rPr>
        <w:t>PAYMENT</w:t>
      </w:r>
    </w:p>
    <w:p w:rsidR="007F6DF9" w:rsidRDefault="00A43FBC">
      <w:pPr>
        <w:pStyle w:val="Heading9"/>
        <w:numPr>
          <w:ilvl w:val="1"/>
          <w:numId w:val="122"/>
        </w:numPr>
        <w:tabs>
          <w:tab w:val="left" w:pos="1397"/>
        </w:tabs>
        <w:spacing w:before="235"/>
        <w:ind w:left="1397" w:hanging="691"/>
        <w:jc w:val="both"/>
        <w:rPr>
          <w:color w:val="221F1F"/>
        </w:rPr>
      </w:pPr>
      <w:r>
        <w:rPr>
          <w:color w:val="221F1F"/>
        </w:rPr>
        <w:t>The</w:t>
      </w:r>
      <w:r>
        <w:rPr>
          <w:color w:val="221F1F"/>
          <w:spacing w:val="-5"/>
        </w:rPr>
        <w:t xml:space="preserve"> </w:t>
      </w:r>
      <w:r>
        <w:rPr>
          <w:color w:val="221F1F"/>
        </w:rPr>
        <w:t>Contract</w:t>
      </w:r>
      <w:r>
        <w:rPr>
          <w:color w:val="221F1F"/>
          <w:spacing w:val="-1"/>
        </w:rPr>
        <w:t xml:space="preserve"> </w:t>
      </w:r>
      <w:r>
        <w:rPr>
          <w:color w:val="221F1F"/>
          <w:spacing w:val="-4"/>
        </w:rPr>
        <w:t>Price</w:t>
      </w:r>
    </w:p>
    <w:p w:rsidR="007F6DF9" w:rsidRDefault="00A43FBC">
      <w:pPr>
        <w:pStyle w:val="ListParagraph"/>
        <w:numPr>
          <w:ilvl w:val="2"/>
          <w:numId w:val="122"/>
        </w:numPr>
        <w:tabs>
          <w:tab w:val="left" w:pos="1395"/>
        </w:tabs>
        <w:spacing w:before="234"/>
        <w:ind w:left="1395" w:hanging="689"/>
        <w:jc w:val="both"/>
        <w:rPr>
          <w:color w:val="221F1F"/>
        </w:rPr>
      </w:pPr>
      <w:r>
        <w:rPr>
          <w:color w:val="221F1F"/>
        </w:rPr>
        <w:t>Unless</w:t>
      </w:r>
      <w:r>
        <w:rPr>
          <w:color w:val="221F1F"/>
          <w:spacing w:val="-5"/>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spacing w:val="-2"/>
        </w:rPr>
        <w:t>Conditions:</w:t>
      </w:r>
    </w:p>
    <w:p w:rsidR="007F6DF9" w:rsidRDefault="00A43FBC">
      <w:pPr>
        <w:pStyle w:val="ListParagraph"/>
        <w:numPr>
          <w:ilvl w:val="0"/>
          <w:numId w:val="75"/>
        </w:numPr>
        <w:tabs>
          <w:tab w:val="left" w:pos="1865"/>
        </w:tabs>
        <w:spacing w:before="48" w:line="230" w:lineRule="auto"/>
        <w:ind w:right="557"/>
        <w:jc w:val="both"/>
      </w:pPr>
      <w:r>
        <w:rPr>
          <w:color w:val="221F1F"/>
        </w:rPr>
        <w:t>The</w:t>
      </w:r>
      <w:r>
        <w:rPr>
          <w:color w:val="221F1F"/>
          <w:spacing w:val="-3"/>
        </w:rPr>
        <w:t xml:space="preserve"> </w:t>
      </w:r>
      <w:r>
        <w:rPr>
          <w:color w:val="221F1F"/>
        </w:rPr>
        <w:t>value</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payment</w:t>
      </w:r>
      <w:r>
        <w:rPr>
          <w:color w:val="221F1F"/>
          <w:spacing w:val="-1"/>
        </w:rPr>
        <w:t xml:space="preserve"> </w:t>
      </w:r>
      <w:r>
        <w:rPr>
          <w:color w:val="221F1F"/>
        </w:rPr>
        <w:t>certificate</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agreed</w:t>
      </w:r>
      <w:r>
        <w:rPr>
          <w:color w:val="221F1F"/>
          <w:spacing w:val="-2"/>
        </w:rPr>
        <w:t xml:space="preserve"> </w:t>
      </w:r>
      <w:r>
        <w:rPr>
          <w:color w:val="221F1F"/>
        </w:rPr>
        <w:t>or</w:t>
      </w:r>
      <w:r>
        <w:rPr>
          <w:color w:val="221F1F"/>
          <w:spacing w:val="-5"/>
        </w:rPr>
        <w:t xml:space="preserve"> </w:t>
      </w:r>
      <w:r>
        <w:rPr>
          <w:color w:val="221F1F"/>
        </w:rPr>
        <w:t>determined</w:t>
      </w:r>
      <w:r>
        <w:rPr>
          <w:color w:val="221F1F"/>
          <w:spacing w:val="-3"/>
        </w:rPr>
        <w:t xml:space="preserve"> </w:t>
      </w:r>
      <w:r>
        <w:rPr>
          <w:color w:val="221F1F"/>
        </w:rPr>
        <w:t>under</w:t>
      </w:r>
      <w:r>
        <w:rPr>
          <w:color w:val="221F1F"/>
          <w:spacing w:val="-2"/>
        </w:rPr>
        <w:t xml:space="preserve"> </w:t>
      </w:r>
      <w:r>
        <w:rPr>
          <w:color w:val="221F1F"/>
        </w:rPr>
        <w:t>Sub-Clause</w:t>
      </w:r>
      <w:r>
        <w:rPr>
          <w:color w:val="221F1F"/>
          <w:spacing w:val="-2"/>
        </w:rPr>
        <w:t xml:space="preserve"> </w:t>
      </w:r>
      <w:r>
        <w:rPr>
          <w:color w:val="221F1F"/>
        </w:rPr>
        <w:t>12.3</w:t>
      </w:r>
      <w:r>
        <w:rPr>
          <w:color w:val="221F1F"/>
          <w:spacing w:val="-3"/>
        </w:rPr>
        <w:t xml:space="preserve"> </w:t>
      </w:r>
      <w:r>
        <w:rPr>
          <w:color w:val="221F1F"/>
        </w:rPr>
        <w:t>[Evaluation] and be subject to adjustments in accordance with the Contract;</w:t>
      </w:r>
    </w:p>
    <w:p w:rsidR="007F6DF9" w:rsidRDefault="00A43FBC">
      <w:pPr>
        <w:pStyle w:val="ListParagraph"/>
        <w:numPr>
          <w:ilvl w:val="0"/>
          <w:numId w:val="75"/>
        </w:numPr>
        <w:tabs>
          <w:tab w:val="left" w:pos="1865"/>
        </w:tabs>
        <w:spacing w:before="49" w:line="230" w:lineRule="auto"/>
        <w:ind w:right="555"/>
        <w:jc w:val="both"/>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pay</w:t>
      </w:r>
      <w:r>
        <w:rPr>
          <w:color w:val="221F1F"/>
          <w:spacing w:val="-6"/>
        </w:rPr>
        <w:t xml:space="preserve"> </w:t>
      </w:r>
      <w:r>
        <w:rPr>
          <w:color w:val="221F1F"/>
        </w:rPr>
        <w:t>all</w:t>
      </w:r>
      <w:r>
        <w:rPr>
          <w:color w:val="221F1F"/>
          <w:spacing w:val="-5"/>
        </w:rPr>
        <w:t xml:space="preserve"> </w:t>
      </w:r>
      <w:r>
        <w:rPr>
          <w:color w:val="221F1F"/>
        </w:rPr>
        <w:t>taxes,</w:t>
      </w:r>
      <w:r>
        <w:rPr>
          <w:color w:val="221F1F"/>
          <w:spacing w:val="-5"/>
        </w:rPr>
        <w:t xml:space="preserve"> </w:t>
      </w:r>
      <w:r>
        <w:rPr>
          <w:color w:val="221F1F"/>
        </w:rPr>
        <w:t>duties</w:t>
      </w:r>
      <w:r>
        <w:rPr>
          <w:color w:val="221F1F"/>
          <w:spacing w:val="-5"/>
        </w:rPr>
        <w:t xml:space="preserve"> </w:t>
      </w:r>
      <w:r>
        <w:rPr>
          <w:color w:val="221F1F"/>
        </w:rPr>
        <w:t>and</w:t>
      </w:r>
      <w:r>
        <w:rPr>
          <w:color w:val="221F1F"/>
          <w:spacing w:val="-6"/>
        </w:rPr>
        <w:t xml:space="preserve"> </w:t>
      </w:r>
      <w:r>
        <w:rPr>
          <w:color w:val="221F1F"/>
        </w:rPr>
        <w:t>fees</w:t>
      </w:r>
      <w:r>
        <w:rPr>
          <w:color w:val="221F1F"/>
          <w:spacing w:val="-5"/>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paid</w:t>
      </w:r>
      <w:r>
        <w:rPr>
          <w:color w:val="221F1F"/>
          <w:spacing w:val="-6"/>
        </w:rPr>
        <w:t xml:space="preserve"> </w:t>
      </w:r>
      <w:r>
        <w:rPr>
          <w:color w:val="221F1F"/>
        </w:rPr>
        <w:t>by</w:t>
      </w:r>
      <w:r>
        <w:rPr>
          <w:color w:val="221F1F"/>
          <w:spacing w:val="-6"/>
        </w:rPr>
        <w:t xml:space="preserve"> </w:t>
      </w:r>
      <w:r>
        <w:rPr>
          <w:color w:val="221F1F"/>
        </w:rPr>
        <w:t>him</w:t>
      </w:r>
      <w:r>
        <w:rPr>
          <w:color w:val="221F1F"/>
          <w:spacing w:val="-5"/>
        </w:rPr>
        <w:t xml:space="preserve"> </w:t>
      </w:r>
      <w:r>
        <w:rPr>
          <w:color w:val="221F1F"/>
        </w:rPr>
        <w:t>under</w:t>
      </w:r>
      <w:r>
        <w:rPr>
          <w:color w:val="221F1F"/>
          <w:spacing w:val="-5"/>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and</w:t>
      </w:r>
      <w:r>
        <w:rPr>
          <w:color w:val="221F1F"/>
          <w:spacing w:val="-6"/>
        </w:rPr>
        <w:t xml:space="preserve"> </w:t>
      </w:r>
      <w:r>
        <w:rPr>
          <w:color w:val="221F1F"/>
        </w:rPr>
        <w:t>the Contract Price shall not be adjusted for any of these costs except as stated in Sub-Clause 13.7 [Adjustments for Changes in Legislation];</w:t>
      </w:r>
    </w:p>
    <w:p w:rsidR="007F6DF9" w:rsidRDefault="00A43FBC">
      <w:pPr>
        <w:pStyle w:val="ListParagraph"/>
        <w:numPr>
          <w:ilvl w:val="0"/>
          <w:numId w:val="75"/>
        </w:numPr>
        <w:tabs>
          <w:tab w:val="left" w:pos="1865"/>
        </w:tabs>
        <w:spacing w:before="50" w:line="230" w:lineRule="auto"/>
        <w:ind w:right="554"/>
        <w:jc w:val="both"/>
      </w:pPr>
      <w:r>
        <w:rPr>
          <w:color w:val="221F1F"/>
        </w:rPr>
        <w:t>any quantities</w:t>
      </w:r>
      <w:r>
        <w:rPr>
          <w:color w:val="221F1F"/>
          <w:spacing w:val="-1"/>
        </w:rPr>
        <w:t xml:space="preserve"> </w:t>
      </w:r>
      <w:r>
        <w:rPr>
          <w:color w:val="221F1F"/>
        </w:rPr>
        <w:t>which may be set out in the Bill</w:t>
      </w:r>
      <w:r>
        <w:rPr>
          <w:color w:val="221F1F"/>
          <w:spacing w:val="-1"/>
        </w:rPr>
        <w:t xml:space="preserve"> </w:t>
      </w:r>
      <w:r>
        <w:rPr>
          <w:color w:val="221F1F"/>
        </w:rPr>
        <w:t>of Quantities or other</w:t>
      </w:r>
      <w:r>
        <w:rPr>
          <w:color w:val="221F1F"/>
          <w:spacing w:val="-1"/>
        </w:rPr>
        <w:t xml:space="preserve"> </w:t>
      </w:r>
      <w:r>
        <w:rPr>
          <w:color w:val="221F1F"/>
        </w:rPr>
        <w:t>Schedule are</w:t>
      </w:r>
      <w:r>
        <w:rPr>
          <w:color w:val="221F1F"/>
          <w:spacing w:val="-2"/>
        </w:rPr>
        <w:t xml:space="preserve"> </w:t>
      </w:r>
      <w:r>
        <w:rPr>
          <w:color w:val="221F1F"/>
        </w:rPr>
        <w:t>estimated quantities and are not to be taken as the actual and correct quantities:</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04"/>
      </w:pPr>
    </w:p>
    <w:p w:rsidR="007F6DF9" w:rsidRDefault="00A43FBC">
      <w:pPr>
        <w:pStyle w:val="ListParagraph"/>
        <w:numPr>
          <w:ilvl w:val="1"/>
          <w:numId w:val="75"/>
        </w:numPr>
        <w:tabs>
          <w:tab w:val="left" w:pos="2300"/>
        </w:tabs>
        <w:ind w:hanging="451"/>
      </w:pPr>
      <w:r>
        <w:rPr>
          <w:color w:val="221F1F"/>
        </w:rPr>
        <w:t>of</w:t>
      </w:r>
      <w:r>
        <w:rPr>
          <w:color w:val="221F1F"/>
          <w:spacing w:val="-5"/>
        </w:rPr>
        <w:t xml:space="preserve"> </w:t>
      </w:r>
      <w:r>
        <w:rPr>
          <w:color w:val="221F1F"/>
        </w:rPr>
        <w:t>the</w:t>
      </w:r>
      <w:r>
        <w:rPr>
          <w:color w:val="221F1F"/>
          <w:spacing w:val="-3"/>
        </w:rPr>
        <w:t xml:space="preserve"> </w:t>
      </w:r>
      <w:r>
        <w:rPr>
          <w:color w:val="221F1F"/>
        </w:rPr>
        <w:t>Works</w:t>
      </w:r>
      <w:r>
        <w:rPr>
          <w:color w:val="221F1F"/>
          <w:spacing w:val="-13"/>
        </w:rPr>
        <w:t xml:space="preserve"> </w:t>
      </w:r>
      <w:r>
        <w:rPr>
          <w:color w:val="221F1F"/>
        </w:rPr>
        <w:t>which</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is</w:t>
      </w:r>
      <w:r>
        <w:rPr>
          <w:color w:val="221F1F"/>
          <w:spacing w:val="-5"/>
        </w:rPr>
        <w:t xml:space="preserve"> </w:t>
      </w:r>
      <w:r>
        <w:rPr>
          <w:color w:val="221F1F"/>
        </w:rPr>
        <w:t>required</w:t>
      </w:r>
      <w:r>
        <w:rPr>
          <w:color w:val="221F1F"/>
          <w:spacing w:val="-4"/>
        </w:rPr>
        <w:t xml:space="preserve"> </w:t>
      </w:r>
      <w:r>
        <w:rPr>
          <w:color w:val="221F1F"/>
        </w:rPr>
        <w:t>to</w:t>
      </w:r>
      <w:r>
        <w:rPr>
          <w:color w:val="221F1F"/>
          <w:spacing w:val="-7"/>
        </w:rPr>
        <w:t xml:space="preserve"> </w:t>
      </w:r>
      <w:r>
        <w:rPr>
          <w:color w:val="221F1F"/>
        </w:rPr>
        <w:t>execute,</w:t>
      </w:r>
      <w:r>
        <w:rPr>
          <w:color w:val="221F1F"/>
          <w:spacing w:val="-4"/>
        </w:rPr>
        <w:t xml:space="preserve"> </w:t>
      </w:r>
      <w:r>
        <w:rPr>
          <w:color w:val="221F1F"/>
          <w:spacing w:val="-5"/>
        </w:rPr>
        <w:t>or</w:t>
      </w:r>
    </w:p>
    <w:p w:rsidR="007F6DF9" w:rsidRDefault="00A43FBC">
      <w:pPr>
        <w:pStyle w:val="ListParagraph"/>
        <w:numPr>
          <w:ilvl w:val="1"/>
          <w:numId w:val="75"/>
        </w:numPr>
        <w:tabs>
          <w:tab w:val="left" w:pos="2300"/>
        </w:tabs>
        <w:spacing w:before="40"/>
        <w:ind w:hanging="451"/>
      </w:pPr>
      <w:r>
        <w:rPr>
          <w:color w:val="221F1F"/>
        </w:rPr>
        <w:t>for</w:t>
      </w:r>
      <w:r>
        <w:rPr>
          <w:color w:val="221F1F"/>
          <w:spacing w:val="-8"/>
        </w:rPr>
        <w:t xml:space="preserve"> </w:t>
      </w:r>
      <w:r>
        <w:rPr>
          <w:color w:val="221F1F"/>
        </w:rPr>
        <w:t>the</w:t>
      </w:r>
      <w:r>
        <w:rPr>
          <w:color w:val="221F1F"/>
          <w:spacing w:val="-4"/>
        </w:rPr>
        <w:t xml:space="preserve"> </w:t>
      </w:r>
      <w:r>
        <w:rPr>
          <w:color w:val="221F1F"/>
        </w:rPr>
        <w:t>purposes</w:t>
      </w:r>
      <w:r>
        <w:rPr>
          <w:color w:val="221F1F"/>
          <w:spacing w:val="-5"/>
        </w:rPr>
        <w:t xml:space="preserve"> </w:t>
      </w:r>
      <w:r>
        <w:rPr>
          <w:color w:val="221F1F"/>
        </w:rPr>
        <w:t>of</w:t>
      </w:r>
      <w:r>
        <w:rPr>
          <w:color w:val="221F1F"/>
          <w:spacing w:val="-3"/>
        </w:rPr>
        <w:t xml:space="preserve"> </w:t>
      </w:r>
      <w:r>
        <w:rPr>
          <w:color w:val="221F1F"/>
        </w:rPr>
        <w:t>Clause12</w:t>
      </w:r>
      <w:r>
        <w:rPr>
          <w:color w:val="221F1F"/>
          <w:spacing w:val="-4"/>
        </w:rPr>
        <w:t xml:space="preserve"> </w:t>
      </w:r>
      <w:r>
        <w:rPr>
          <w:color w:val="221F1F"/>
        </w:rPr>
        <w:t>[Measurement</w:t>
      </w:r>
      <w:r>
        <w:rPr>
          <w:color w:val="221F1F"/>
          <w:spacing w:val="-2"/>
        </w:rPr>
        <w:t xml:space="preserve"> </w:t>
      </w:r>
      <w:r>
        <w:rPr>
          <w:color w:val="221F1F"/>
        </w:rPr>
        <w:t>and</w:t>
      </w:r>
      <w:r>
        <w:rPr>
          <w:color w:val="221F1F"/>
          <w:spacing w:val="-4"/>
        </w:rPr>
        <w:t xml:space="preserve"> </w:t>
      </w:r>
      <w:r>
        <w:rPr>
          <w:color w:val="221F1F"/>
        </w:rPr>
        <w:t>Evaluation];</w:t>
      </w:r>
      <w:r>
        <w:rPr>
          <w:color w:val="221F1F"/>
          <w:spacing w:val="-3"/>
        </w:rPr>
        <w:t xml:space="preserve"> </w:t>
      </w:r>
      <w:r>
        <w:rPr>
          <w:color w:val="221F1F"/>
          <w:spacing w:val="-5"/>
        </w:rPr>
        <w:t>and</w:t>
      </w:r>
    </w:p>
    <w:p w:rsidR="007F6DF9" w:rsidRDefault="00A43FBC">
      <w:pPr>
        <w:pStyle w:val="ListParagraph"/>
        <w:numPr>
          <w:ilvl w:val="0"/>
          <w:numId w:val="75"/>
        </w:numPr>
        <w:tabs>
          <w:tab w:val="left" w:pos="1849"/>
          <w:tab w:val="left" w:pos="1858"/>
        </w:tabs>
        <w:spacing w:before="243" w:line="230" w:lineRule="auto"/>
        <w:ind w:left="1858" w:right="560" w:hanging="459"/>
        <w:jc w:val="both"/>
      </w:pPr>
      <w:r>
        <w:rPr>
          <w:color w:val="221F1F"/>
        </w:rPr>
        <w:t>the Contractor shall submit to the Engineer, within 30</w:t>
      </w:r>
      <w:r>
        <w:rPr>
          <w:color w:val="221F1F"/>
          <w:spacing w:val="-2"/>
        </w:rPr>
        <w:t xml:space="preserve"> </w:t>
      </w:r>
      <w:r>
        <w:rPr>
          <w:color w:val="221F1F"/>
        </w:rPr>
        <w:t>days after the Commencement Date, a proposed breakdown</w:t>
      </w:r>
      <w:r>
        <w:rPr>
          <w:color w:val="221F1F"/>
          <w:spacing w:val="-7"/>
        </w:rPr>
        <w:t xml:space="preserve"> </w:t>
      </w:r>
      <w:r>
        <w:rPr>
          <w:color w:val="221F1F"/>
        </w:rPr>
        <w:t>of</w:t>
      </w:r>
      <w:r>
        <w:rPr>
          <w:color w:val="221F1F"/>
          <w:spacing w:val="-9"/>
        </w:rPr>
        <w:t xml:space="preserve"> </w:t>
      </w:r>
      <w:r>
        <w:rPr>
          <w:color w:val="221F1F"/>
        </w:rPr>
        <w:t>each</w:t>
      </w:r>
      <w:r>
        <w:rPr>
          <w:color w:val="221F1F"/>
          <w:spacing w:val="-9"/>
        </w:rPr>
        <w:t xml:space="preserve"> </w:t>
      </w:r>
      <w:r>
        <w:rPr>
          <w:color w:val="221F1F"/>
        </w:rPr>
        <w:t>lump</w:t>
      </w:r>
      <w:r>
        <w:rPr>
          <w:color w:val="221F1F"/>
          <w:spacing w:val="-9"/>
        </w:rPr>
        <w:t xml:space="preserve"> </w:t>
      </w:r>
      <w:r>
        <w:rPr>
          <w:color w:val="221F1F"/>
        </w:rPr>
        <w:t>sum</w:t>
      </w:r>
      <w:r>
        <w:rPr>
          <w:color w:val="221F1F"/>
          <w:spacing w:val="-6"/>
        </w:rPr>
        <w:t xml:space="preserve"> </w:t>
      </w:r>
      <w:r>
        <w:rPr>
          <w:color w:val="221F1F"/>
        </w:rPr>
        <w:t>price</w:t>
      </w:r>
      <w:r>
        <w:rPr>
          <w:color w:val="221F1F"/>
          <w:spacing w:val="-8"/>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Schedules.</w:t>
      </w:r>
      <w:r>
        <w:rPr>
          <w:color w:val="221F1F"/>
          <w:spacing w:val="-6"/>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may</w:t>
      </w:r>
      <w:r>
        <w:rPr>
          <w:color w:val="221F1F"/>
          <w:spacing w:val="-9"/>
        </w:rPr>
        <w:t xml:space="preserve"> </w:t>
      </w:r>
      <w:r>
        <w:rPr>
          <w:color w:val="221F1F"/>
        </w:rPr>
        <w:t>take</w:t>
      </w:r>
      <w:r>
        <w:rPr>
          <w:color w:val="221F1F"/>
          <w:spacing w:val="-7"/>
        </w:rPr>
        <w:t xml:space="preserve"> </w:t>
      </w:r>
      <w:r>
        <w:rPr>
          <w:color w:val="221F1F"/>
        </w:rPr>
        <w:t>account</w:t>
      </w:r>
      <w:r>
        <w:rPr>
          <w:color w:val="221F1F"/>
          <w:spacing w:val="-7"/>
        </w:rPr>
        <w:t xml:space="preserve"> </w:t>
      </w:r>
      <w:r>
        <w:rPr>
          <w:color w:val="221F1F"/>
        </w:rPr>
        <w:t>of</w:t>
      </w:r>
      <w:r>
        <w:rPr>
          <w:color w:val="221F1F"/>
          <w:spacing w:val="-9"/>
        </w:rPr>
        <w:t xml:space="preserve"> </w:t>
      </w:r>
      <w:r>
        <w:rPr>
          <w:color w:val="221F1F"/>
        </w:rPr>
        <w:t>the</w:t>
      </w:r>
      <w:r>
        <w:rPr>
          <w:color w:val="221F1F"/>
          <w:spacing w:val="-6"/>
        </w:rPr>
        <w:t xml:space="preserve"> </w:t>
      </w:r>
      <w:r>
        <w:rPr>
          <w:color w:val="221F1F"/>
        </w:rPr>
        <w:t>break</w:t>
      </w:r>
      <w:r>
        <w:rPr>
          <w:color w:val="221F1F"/>
          <w:spacing w:val="-7"/>
        </w:rPr>
        <w:t xml:space="preserve"> </w:t>
      </w:r>
      <w:r>
        <w:rPr>
          <w:color w:val="221F1F"/>
        </w:rPr>
        <w:t>down when preparing Payment Certificates but shall not be bound by it.</w:t>
      </w:r>
    </w:p>
    <w:p w:rsidR="007F6DF9" w:rsidRDefault="00A43FBC">
      <w:pPr>
        <w:pStyle w:val="ListParagraph"/>
        <w:numPr>
          <w:ilvl w:val="2"/>
          <w:numId w:val="122"/>
        </w:numPr>
        <w:tabs>
          <w:tab w:val="left" w:pos="1397"/>
          <w:tab w:val="left" w:pos="1405"/>
        </w:tabs>
        <w:spacing w:before="246" w:line="230" w:lineRule="auto"/>
        <w:ind w:left="1405" w:right="561" w:hanging="697"/>
        <w:jc w:val="both"/>
        <w:rPr>
          <w:color w:val="221F1F"/>
        </w:rPr>
      </w:pPr>
      <w:r>
        <w:rPr>
          <w:color w:val="221F1F"/>
        </w:rPr>
        <w:t>Notwithstanding</w:t>
      </w:r>
      <w:r>
        <w:rPr>
          <w:color w:val="221F1F"/>
          <w:spacing w:val="-1"/>
        </w:rPr>
        <w:t xml:space="preserve"> </w:t>
      </w:r>
      <w:r>
        <w:rPr>
          <w:color w:val="221F1F"/>
        </w:rPr>
        <w:t>the</w:t>
      </w:r>
      <w:r>
        <w:rPr>
          <w:color w:val="221F1F"/>
          <w:spacing w:val="-1"/>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subparagraph</w:t>
      </w:r>
      <w:r>
        <w:rPr>
          <w:color w:val="221F1F"/>
          <w:spacing w:val="-1"/>
        </w:rPr>
        <w:t xml:space="preserve"> </w:t>
      </w:r>
      <w:r>
        <w:rPr>
          <w:color w:val="221F1F"/>
        </w:rPr>
        <w:t>(b),</w:t>
      </w:r>
      <w:r>
        <w:rPr>
          <w:color w:val="221F1F"/>
          <w:spacing w:val="-2"/>
        </w:rPr>
        <w:t xml:space="preserve"> </w:t>
      </w:r>
      <w:r>
        <w:rPr>
          <w:color w:val="221F1F"/>
        </w:rPr>
        <w:t>Contractor's Equipment,</w:t>
      </w:r>
      <w:r>
        <w:rPr>
          <w:color w:val="221F1F"/>
          <w:spacing w:val="-2"/>
        </w:rPr>
        <w:t xml:space="preserve"> </w:t>
      </w:r>
      <w:r>
        <w:rPr>
          <w:color w:val="221F1F"/>
        </w:rPr>
        <w:t>including</w:t>
      </w:r>
      <w:r>
        <w:rPr>
          <w:color w:val="221F1F"/>
          <w:spacing w:val="-2"/>
        </w:rPr>
        <w:t xml:space="preserve"> </w:t>
      </w:r>
      <w:r>
        <w:rPr>
          <w:color w:val="221F1F"/>
        </w:rPr>
        <w:t>essential spare</w:t>
      </w:r>
      <w:r>
        <w:rPr>
          <w:color w:val="221F1F"/>
          <w:spacing w:val="-1"/>
        </w:rPr>
        <w:t xml:space="preserve"> </w:t>
      </w:r>
      <w:r>
        <w:rPr>
          <w:color w:val="221F1F"/>
        </w:rPr>
        <w:t>parts there</w:t>
      </w:r>
      <w:r>
        <w:rPr>
          <w:color w:val="221F1F"/>
          <w:spacing w:val="-6"/>
        </w:rPr>
        <w:t xml:space="preserve"> </w:t>
      </w:r>
      <w:r>
        <w:rPr>
          <w:color w:val="221F1F"/>
        </w:rPr>
        <w:t>for,</w:t>
      </w:r>
      <w:r>
        <w:rPr>
          <w:color w:val="221F1F"/>
          <w:spacing w:val="-6"/>
        </w:rPr>
        <w:t xml:space="preserve"> </w:t>
      </w:r>
      <w:r>
        <w:rPr>
          <w:color w:val="221F1F"/>
        </w:rPr>
        <w:t>imported</w:t>
      </w:r>
      <w:r>
        <w:rPr>
          <w:color w:val="221F1F"/>
          <w:spacing w:val="-5"/>
        </w:rPr>
        <w:t xml:space="preserve"> </w:t>
      </w:r>
      <w:r>
        <w:rPr>
          <w:color w:val="221F1F"/>
        </w:rPr>
        <w:t>by</w:t>
      </w:r>
      <w:r>
        <w:rPr>
          <w:color w:val="221F1F"/>
          <w:spacing w:val="-8"/>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for</w:t>
      </w:r>
      <w:r>
        <w:rPr>
          <w:color w:val="221F1F"/>
          <w:spacing w:val="-5"/>
        </w:rPr>
        <w:t xml:space="preserve"> </w:t>
      </w:r>
      <w:r>
        <w:rPr>
          <w:color w:val="221F1F"/>
        </w:rPr>
        <w:t>the</w:t>
      </w:r>
      <w:r>
        <w:rPr>
          <w:color w:val="221F1F"/>
          <w:spacing w:val="-5"/>
        </w:rPr>
        <w:t xml:space="preserve"> </w:t>
      </w:r>
      <w:r>
        <w:rPr>
          <w:color w:val="221F1F"/>
        </w:rPr>
        <w:t>sole</w:t>
      </w:r>
      <w:r>
        <w:rPr>
          <w:color w:val="221F1F"/>
          <w:spacing w:val="-6"/>
        </w:rPr>
        <w:t xml:space="preserve"> </w:t>
      </w:r>
      <w:r>
        <w:rPr>
          <w:color w:val="221F1F"/>
        </w:rPr>
        <w:t>purpose</w:t>
      </w:r>
      <w:r>
        <w:rPr>
          <w:color w:val="221F1F"/>
          <w:spacing w:val="-5"/>
        </w:rPr>
        <w:t xml:space="preserve"> </w:t>
      </w:r>
      <w:r>
        <w:rPr>
          <w:color w:val="221F1F"/>
        </w:rPr>
        <w:t>of</w:t>
      </w:r>
      <w:r>
        <w:rPr>
          <w:color w:val="221F1F"/>
          <w:spacing w:val="-5"/>
        </w:rPr>
        <w:t xml:space="preserve"> </w:t>
      </w:r>
      <w:r>
        <w:rPr>
          <w:color w:val="221F1F"/>
        </w:rPr>
        <w:t>executing</w:t>
      </w:r>
      <w:r>
        <w:rPr>
          <w:color w:val="221F1F"/>
          <w:spacing w:val="-8"/>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6"/>
        </w:rPr>
        <w:t xml:space="preserve"> </w:t>
      </w:r>
      <w:r>
        <w:rPr>
          <w:color w:val="221F1F"/>
        </w:rPr>
        <w:t>exempt</w:t>
      </w:r>
      <w:r>
        <w:rPr>
          <w:color w:val="221F1F"/>
          <w:spacing w:val="-5"/>
        </w:rPr>
        <w:t xml:space="preserve"> </w:t>
      </w:r>
      <w:r>
        <w:rPr>
          <w:color w:val="221F1F"/>
        </w:rPr>
        <w:t>from the payment of import duties and taxes upon importation.</w:t>
      </w:r>
    </w:p>
    <w:p w:rsidR="007F6DF9" w:rsidRDefault="00A43FBC">
      <w:pPr>
        <w:pStyle w:val="Heading9"/>
        <w:numPr>
          <w:ilvl w:val="1"/>
          <w:numId w:val="122"/>
        </w:numPr>
        <w:tabs>
          <w:tab w:val="left" w:pos="1400"/>
        </w:tabs>
        <w:spacing w:before="235"/>
        <w:ind w:left="1400" w:hanging="692"/>
        <w:rPr>
          <w:color w:val="221F1F"/>
        </w:rPr>
      </w:pPr>
      <w:r>
        <w:rPr>
          <w:color w:val="221F1F"/>
        </w:rPr>
        <w:t>Advance</w:t>
      </w:r>
      <w:r>
        <w:rPr>
          <w:color w:val="221F1F"/>
          <w:spacing w:val="-3"/>
        </w:rPr>
        <w:t xml:space="preserve"> </w:t>
      </w:r>
      <w:r>
        <w:rPr>
          <w:color w:val="221F1F"/>
          <w:spacing w:val="-2"/>
        </w:rPr>
        <w:t>Payment</w:t>
      </w:r>
    </w:p>
    <w:p w:rsidR="007F6DF9" w:rsidRDefault="007F6DF9">
      <w:pPr>
        <w:pStyle w:val="BodyText"/>
        <w:spacing w:before="104"/>
        <w:rPr>
          <w:b/>
        </w:rPr>
      </w:pPr>
    </w:p>
    <w:p w:rsidR="007F6DF9" w:rsidRDefault="00A43FBC">
      <w:pPr>
        <w:pStyle w:val="ListParagraph"/>
        <w:numPr>
          <w:ilvl w:val="2"/>
          <w:numId w:val="122"/>
        </w:numPr>
        <w:tabs>
          <w:tab w:val="left" w:pos="1397"/>
          <w:tab w:val="left" w:pos="1405"/>
        </w:tabs>
        <w:spacing w:before="1" w:line="230" w:lineRule="auto"/>
        <w:ind w:left="1405" w:right="558" w:hanging="697"/>
        <w:jc w:val="both"/>
        <w:rPr>
          <w:b/>
          <w:color w:val="221F1F"/>
        </w:rPr>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 make</w:t>
      </w:r>
      <w:r>
        <w:rPr>
          <w:color w:val="221F1F"/>
          <w:spacing w:val="-1"/>
        </w:rPr>
        <w:t xml:space="preserve"> </w:t>
      </w:r>
      <w:r>
        <w:rPr>
          <w:color w:val="221F1F"/>
        </w:rPr>
        <w:t>an</w:t>
      </w:r>
      <w:r>
        <w:rPr>
          <w:color w:val="221F1F"/>
          <w:spacing w:val="-2"/>
        </w:rPr>
        <w:t xml:space="preserve"> </w:t>
      </w:r>
      <w:r>
        <w:rPr>
          <w:color w:val="221F1F"/>
        </w:rPr>
        <w:t>advance</w:t>
      </w:r>
      <w:r>
        <w:rPr>
          <w:color w:val="221F1F"/>
          <w:spacing w:val="-1"/>
        </w:rPr>
        <w:t xml:space="preserve"> </w:t>
      </w:r>
      <w:r>
        <w:rPr>
          <w:color w:val="221F1F"/>
        </w:rPr>
        <w:t>payment,</w:t>
      </w:r>
      <w:r>
        <w:rPr>
          <w:color w:val="221F1F"/>
          <w:spacing w:val="-4"/>
        </w:rPr>
        <w:t xml:space="preserve"> </w:t>
      </w:r>
      <w:r>
        <w:rPr>
          <w:color w:val="221F1F"/>
        </w:rPr>
        <w:t>as</w:t>
      </w:r>
      <w:r>
        <w:rPr>
          <w:color w:val="221F1F"/>
          <w:spacing w:val="-2"/>
        </w:rPr>
        <w:t xml:space="preserve"> </w:t>
      </w:r>
      <w:r>
        <w:rPr>
          <w:color w:val="221F1F"/>
        </w:rPr>
        <w:t>an</w:t>
      </w:r>
      <w:r>
        <w:rPr>
          <w:color w:val="221F1F"/>
          <w:spacing w:val="-2"/>
        </w:rPr>
        <w:t xml:space="preserve"> </w:t>
      </w:r>
      <w:r>
        <w:rPr>
          <w:color w:val="221F1F"/>
        </w:rPr>
        <w:t>interest-free</w:t>
      </w:r>
      <w:r>
        <w:rPr>
          <w:color w:val="221F1F"/>
          <w:spacing w:val="-1"/>
        </w:rPr>
        <w:t xml:space="preserve"> </w:t>
      </w:r>
      <w:r>
        <w:rPr>
          <w:color w:val="221F1F"/>
        </w:rPr>
        <w:t>loan</w:t>
      </w:r>
      <w:r>
        <w:rPr>
          <w:color w:val="221F1F"/>
          <w:spacing w:val="-4"/>
        </w:rPr>
        <w:t xml:space="preserve"> </w:t>
      </w:r>
      <w:r>
        <w:rPr>
          <w:color w:val="221F1F"/>
        </w:rPr>
        <w:t>for</w:t>
      </w:r>
      <w:r>
        <w:rPr>
          <w:color w:val="221F1F"/>
          <w:spacing w:val="-4"/>
        </w:rPr>
        <w:t xml:space="preserve"> </w:t>
      </w:r>
      <w:r>
        <w:rPr>
          <w:color w:val="221F1F"/>
        </w:rPr>
        <w:t>mobilization</w:t>
      </w:r>
      <w:r>
        <w:rPr>
          <w:color w:val="221F1F"/>
          <w:spacing w:val="-1"/>
        </w:rPr>
        <w:t xml:space="preserve"> </w:t>
      </w:r>
      <w:r>
        <w:rPr>
          <w:color w:val="221F1F"/>
        </w:rPr>
        <w:t>and</w:t>
      </w:r>
      <w:r>
        <w:rPr>
          <w:color w:val="221F1F"/>
          <w:spacing w:val="-2"/>
        </w:rPr>
        <w:t xml:space="preserve"> </w:t>
      </w:r>
      <w:proofErr w:type="spellStart"/>
      <w:r>
        <w:rPr>
          <w:color w:val="221F1F"/>
        </w:rPr>
        <w:t>cashflow</w:t>
      </w:r>
      <w:proofErr w:type="spellEnd"/>
      <w:r>
        <w:rPr>
          <w:color w:val="221F1F"/>
        </w:rPr>
        <w:t xml:space="preserve"> support,</w:t>
      </w:r>
      <w:r>
        <w:rPr>
          <w:color w:val="221F1F"/>
          <w:spacing w:val="-12"/>
        </w:rPr>
        <w:t xml:space="preserve"> </w:t>
      </w:r>
      <w:r>
        <w:rPr>
          <w:color w:val="221F1F"/>
        </w:rPr>
        <w:t>when</w:t>
      </w:r>
      <w:r>
        <w:rPr>
          <w:color w:val="221F1F"/>
          <w:spacing w:val="-14"/>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submits</w:t>
      </w:r>
      <w:r>
        <w:rPr>
          <w:color w:val="221F1F"/>
          <w:spacing w:val="-11"/>
        </w:rPr>
        <w:t xml:space="preserve"> </w:t>
      </w:r>
      <w:r>
        <w:rPr>
          <w:color w:val="221F1F"/>
        </w:rPr>
        <w:t>a</w:t>
      </w:r>
      <w:r>
        <w:rPr>
          <w:color w:val="221F1F"/>
          <w:spacing w:val="-11"/>
        </w:rPr>
        <w:t xml:space="preserve"> </w:t>
      </w:r>
      <w:r>
        <w:rPr>
          <w:color w:val="221F1F"/>
        </w:rPr>
        <w:t>guarantee</w:t>
      </w:r>
      <w:r>
        <w:rPr>
          <w:color w:val="221F1F"/>
          <w:spacing w:val="-11"/>
        </w:rPr>
        <w:t xml:space="preserve"> </w:t>
      </w:r>
      <w:r>
        <w:rPr>
          <w:color w:val="221F1F"/>
        </w:rPr>
        <w:t>in</w:t>
      </w:r>
      <w:r>
        <w:rPr>
          <w:color w:val="221F1F"/>
          <w:spacing w:val="-12"/>
        </w:rPr>
        <w:t xml:space="preserve"> </w:t>
      </w:r>
      <w:r>
        <w:rPr>
          <w:color w:val="221F1F"/>
        </w:rPr>
        <w:t>accordance</w:t>
      </w:r>
      <w:r>
        <w:rPr>
          <w:color w:val="221F1F"/>
          <w:spacing w:val="-10"/>
        </w:rPr>
        <w:t xml:space="preserve"> </w:t>
      </w:r>
      <w:r>
        <w:rPr>
          <w:color w:val="221F1F"/>
        </w:rPr>
        <w:t>with</w:t>
      </w:r>
      <w:r>
        <w:rPr>
          <w:color w:val="221F1F"/>
          <w:spacing w:val="-12"/>
        </w:rPr>
        <w:t xml:space="preserve"> </w:t>
      </w:r>
      <w:r>
        <w:rPr>
          <w:color w:val="221F1F"/>
        </w:rPr>
        <w:t>this</w:t>
      </w:r>
      <w:r>
        <w:rPr>
          <w:color w:val="221F1F"/>
          <w:spacing w:val="-11"/>
        </w:rPr>
        <w:t xml:space="preserve"> </w:t>
      </w:r>
      <w:r>
        <w:rPr>
          <w:color w:val="221F1F"/>
        </w:rPr>
        <w:t>Clause.</w:t>
      </w:r>
      <w:r>
        <w:rPr>
          <w:color w:val="221F1F"/>
          <w:spacing w:val="-14"/>
        </w:rPr>
        <w:t xml:space="preserve"> </w:t>
      </w:r>
      <w:r>
        <w:rPr>
          <w:color w:val="221F1F"/>
        </w:rPr>
        <w:t>The</w:t>
      </w:r>
      <w:r>
        <w:rPr>
          <w:color w:val="221F1F"/>
          <w:spacing w:val="-10"/>
        </w:rPr>
        <w:t xml:space="preserve"> </w:t>
      </w:r>
      <w:r>
        <w:rPr>
          <w:color w:val="221F1F"/>
        </w:rPr>
        <w:t>total</w:t>
      </w:r>
      <w:r>
        <w:rPr>
          <w:color w:val="221F1F"/>
          <w:spacing w:val="-12"/>
        </w:rPr>
        <w:t xml:space="preserve"> </w:t>
      </w:r>
      <w:r>
        <w:rPr>
          <w:color w:val="221F1F"/>
        </w:rPr>
        <w:t>advance</w:t>
      </w:r>
      <w:r>
        <w:rPr>
          <w:color w:val="221F1F"/>
          <w:spacing w:val="-11"/>
        </w:rPr>
        <w:t xml:space="preserve"> </w:t>
      </w:r>
      <w:r>
        <w:rPr>
          <w:color w:val="221F1F"/>
        </w:rPr>
        <w:t>payment, the</w:t>
      </w:r>
      <w:r>
        <w:rPr>
          <w:color w:val="221F1F"/>
          <w:spacing w:val="-6"/>
        </w:rPr>
        <w:t xml:space="preserve"> </w:t>
      </w:r>
      <w:r>
        <w:rPr>
          <w:color w:val="221F1F"/>
        </w:rPr>
        <w:t>number</w:t>
      </w:r>
      <w:r>
        <w:rPr>
          <w:color w:val="221F1F"/>
          <w:spacing w:val="-5"/>
        </w:rPr>
        <w:t xml:space="preserve"> </w:t>
      </w:r>
      <w:r>
        <w:rPr>
          <w:color w:val="221F1F"/>
        </w:rPr>
        <w:t>and</w:t>
      </w:r>
      <w:r>
        <w:rPr>
          <w:color w:val="221F1F"/>
          <w:spacing w:val="-6"/>
        </w:rPr>
        <w:t xml:space="preserve"> </w:t>
      </w:r>
      <w:r>
        <w:rPr>
          <w:color w:val="221F1F"/>
        </w:rPr>
        <w:t>timing</w:t>
      </w:r>
      <w:r>
        <w:rPr>
          <w:color w:val="221F1F"/>
          <w:spacing w:val="-6"/>
        </w:rPr>
        <w:t xml:space="preserve"> </w:t>
      </w:r>
      <w:r>
        <w:rPr>
          <w:color w:val="221F1F"/>
        </w:rPr>
        <w:t>of</w:t>
      </w:r>
      <w:r>
        <w:rPr>
          <w:color w:val="221F1F"/>
          <w:spacing w:val="-5"/>
        </w:rPr>
        <w:t xml:space="preserve"> </w:t>
      </w:r>
      <w:r>
        <w:rPr>
          <w:color w:val="221F1F"/>
        </w:rPr>
        <w:t>instalments</w:t>
      </w:r>
      <w:r>
        <w:rPr>
          <w:color w:val="221F1F"/>
          <w:spacing w:val="-5"/>
        </w:rPr>
        <w:t xml:space="preserve"> </w:t>
      </w:r>
      <w:r>
        <w:rPr>
          <w:color w:val="221F1F"/>
        </w:rPr>
        <w:t>(if</w:t>
      </w:r>
      <w:r>
        <w:rPr>
          <w:color w:val="221F1F"/>
          <w:spacing w:val="-5"/>
        </w:rPr>
        <w:t xml:space="preserve"> </w:t>
      </w:r>
      <w:r>
        <w:rPr>
          <w:color w:val="221F1F"/>
        </w:rPr>
        <w:t>more</w:t>
      </w:r>
      <w:r>
        <w:rPr>
          <w:color w:val="221F1F"/>
          <w:spacing w:val="-8"/>
        </w:rPr>
        <w:t xml:space="preserve"> </w:t>
      </w:r>
      <w:r>
        <w:rPr>
          <w:color w:val="221F1F"/>
        </w:rPr>
        <w:t>than</w:t>
      </w:r>
      <w:r>
        <w:rPr>
          <w:color w:val="221F1F"/>
          <w:spacing w:val="-6"/>
        </w:rPr>
        <w:t xml:space="preserve"> </w:t>
      </w:r>
      <w:r>
        <w:rPr>
          <w:color w:val="221F1F"/>
        </w:rPr>
        <w:t>one),</w:t>
      </w:r>
      <w:r>
        <w:rPr>
          <w:color w:val="221F1F"/>
          <w:spacing w:val="-5"/>
        </w:rPr>
        <w:t xml:space="preserve"> </w:t>
      </w:r>
      <w:r>
        <w:rPr>
          <w:color w:val="221F1F"/>
        </w:rPr>
        <w:t>and</w:t>
      </w:r>
      <w:r>
        <w:rPr>
          <w:color w:val="221F1F"/>
          <w:spacing w:val="-6"/>
        </w:rPr>
        <w:t xml:space="preserve"> </w:t>
      </w:r>
      <w:r>
        <w:rPr>
          <w:color w:val="221F1F"/>
        </w:rPr>
        <w:t>the</w:t>
      </w:r>
      <w:r>
        <w:rPr>
          <w:color w:val="221F1F"/>
          <w:spacing w:val="-5"/>
        </w:rPr>
        <w:t xml:space="preserve"> </w:t>
      </w:r>
      <w:r>
        <w:rPr>
          <w:color w:val="221F1F"/>
        </w:rPr>
        <w:t>applicable</w:t>
      </w:r>
      <w:r>
        <w:rPr>
          <w:color w:val="221F1F"/>
          <w:spacing w:val="-5"/>
        </w:rPr>
        <w:t xml:space="preserve"> </w:t>
      </w:r>
      <w:r>
        <w:rPr>
          <w:color w:val="221F1F"/>
        </w:rPr>
        <w:t>currencies</w:t>
      </w:r>
      <w:r>
        <w:rPr>
          <w:color w:val="221F1F"/>
          <w:spacing w:val="-6"/>
        </w:rPr>
        <w:t xml:space="preserve"> </w:t>
      </w:r>
      <w:r>
        <w:rPr>
          <w:color w:val="221F1F"/>
        </w:rPr>
        <w:t>and</w:t>
      </w:r>
      <w:r>
        <w:rPr>
          <w:color w:val="221F1F"/>
          <w:spacing w:val="-6"/>
        </w:rPr>
        <w:t xml:space="preserve"> </w:t>
      </w:r>
      <w:r>
        <w:rPr>
          <w:color w:val="221F1F"/>
        </w:rPr>
        <w:t>proportions,</w:t>
      </w:r>
      <w:r>
        <w:rPr>
          <w:color w:val="221F1F"/>
          <w:spacing w:val="-5"/>
        </w:rPr>
        <w:t xml:space="preserve"> </w:t>
      </w:r>
      <w:r>
        <w:rPr>
          <w:color w:val="221F1F"/>
        </w:rPr>
        <w:t xml:space="preserve">shall be as stated in the </w:t>
      </w:r>
      <w:r>
        <w:rPr>
          <w:b/>
          <w:color w:val="221F1F"/>
        </w:rPr>
        <w:t>Special Conditions of Contract.</w:t>
      </w:r>
    </w:p>
    <w:p w:rsidR="007F6DF9" w:rsidRDefault="007F6DF9">
      <w:pPr>
        <w:pStyle w:val="BodyText"/>
        <w:spacing w:before="108"/>
        <w:rPr>
          <w:b/>
        </w:rPr>
      </w:pPr>
    </w:p>
    <w:p w:rsidR="007F6DF9" w:rsidRDefault="00A43FBC">
      <w:pPr>
        <w:pStyle w:val="ListParagraph"/>
        <w:numPr>
          <w:ilvl w:val="2"/>
          <w:numId w:val="122"/>
        </w:numPr>
        <w:tabs>
          <w:tab w:val="left" w:pos="1397"/>
          <w:tab w:val="left" w:pos="1405"/>
        </w:tabs>
        <w:spacing w:line="230" w:lineRule="auto"/>
        <w:ind w:left="1405" w:right="561" w:hanging="697"/>
        <w:jc w:val="both"/>
        <w:rPr>
          <w:color w:val="221F1F"/>
        </w:rPr>
      </w:pPr>
      <w:r>
        <w:rPr>
          <w:color w:val="221F1F"/>
        </w:rPr>
        <w:t>Unless and</w:t>
      </w:r>
      <w:r>
        <w:rPr>
          <w:color w:val="221F1F"/>
          <w:spacing w:val="-1"/>
        </w:rPr>
        <w:t xml:space="preserve"> </w:t>
      </w:r>
      <w:r>
        <w:rPr>
          <w:color w:val="221F1F"/>
        </w:rPr>
        <w:t>until the</w:t>
      </w:r>
      <w:r>
        <w:rPr>
          <w:color w:val="221F1F"/>
          <w:spacing w:val="-1"/>
        </w:rPr>
        <w:t xml:space="preserve"> </w:t>
      </w:r>
      <w:r>
        <w:rPr>
          <w:color w:val="221F1F"/>
        </w:rPr>
        <w:t>Procuring Entity</w:t>
      </w:r>
      <w:r>
        <w:rPr>
          <w:color w:val="221F1F"/>
          <w:spacing w:val="-1"/>
        </w:rPr>
        <w:t xml:space="preserve"> </w:t>
      </w:r>
      <w:r>
        <w:rPr>
          <w:color w:val="221F1F"/>
        </w:rPr>
        <w:t>receives this guarantee, or</w:t>
      </w:r>
      <w:r>
        <w:rPr>
          <w:color w:val="221F1F"/>
          <w:spacing w:val="-3"/>
        </w:rPr>
        <w:t xml:space="preserve"> </w:t>
      </w:r>
      <w:r>
        <w:rPr>
          <w:color w:val="221F1F"/>
        </w:rPr>
        <w:t>if the</w:t>
      </w:r>
      <w:r>
        <w:rPr>
          <w:color w:val="221F1F"/>
          <w:spacing w:val="-1"/>
        </w:rPr>
        <w:t xml:space="preserve"> </w:t>
      </w:r>
      <w:r>
        <w:rPr>
          <w:color w:val="221F1F"/>
        </w:rPr>
        <w:t>total advance payment is</w:t>
      </w:r>
      <w:r>
        <w:rPr>
          <w:color w:val="221F1F"/>
          <w:spacing w:val="-1"/>
        </w:rPr>
        <w:t xml:space="preserve"> </w:t>
      </w:r>
      <w:r>
        <w:rPr>
          <w:color w:val="221F1F"/>
        </w:rPr>
        <w:t>not stated</w:t>
      </w:r>
      <w:r>
        <w:rPr>
          <w:color w:val="221F1F"/>
          <w:spacing w:val="-1"/>
        </w:rPr>
        <w:t xml:space="preserve"> </w:t>
      </w:r>
      <w:r>
        <w:rPr>
          <w:color w:val="221F1F"/>
        </w:rPr>
        <w:t>in the Special Conditions of Contract, this Sub-Clause shall not apply.</w:t>
      </w:r>
    </w:p>
    <w:p w:rsidR="007F6DF9" w:rsidRDefault="007F6DF9">
      <w:pPr>
        <w:pStyle w:val="BodyText"/>
        <w:spacing w:before="106"/>
      </w:pPr>
    </w:p>
    <w:p w:rsidR="007F6DF9" w:rsidRDefault="00A43FBC">
      <w:pPr>
        <w:pStyle w:val="ListParagraph"/>
        <w:numPr>
          <w:ilvl w:val="2"/>
          <w:numId w:val="122"/>
        </w:numPr>
        <w:tabs>
          <w:tab w:val="left" w:pos="1397"/>
          <w:tab w:val="left" w:pos="1405"/>
        </w:tabs>
        <w:spacing w:line="230" w:lineRule="auto"/>
        <w:ind w:left="1405" w:right="560" w:hanging="697"/>
        <w:jc w:val="both"/>
        <w:rPr>
          <w:color w:val="221F1F"/>
        </w:rPr>
      </w:pPr>
      <w:r>
        <w:rPr>
          <w:color w:val="221F1F"/>
        </w:rPr>
        <w:t>The Architect shall deliver to the Procuring Entity and to the Contractor an Interim Payment Certificate for the advance payment or its first instalment after receiving a Statement (under Sub-Clause 14.3 [Application for Interim Payment Certificates]) and after the Procuring Entity receives (</w:t>
      </w:r>
      <w:proofErr w:type="spellStart"/>
      <w:r>
        <w:rPr>
          <w:color w:val="221F1F"/>
        </w:rPr>
        <w:t>i</w:t>
      </w:r>
      <w:proofErr w:type="spellEnd"/>
      <w:r>
        <w:rPr>
          <w:color w:val="221F1F"/>
        </w:rPr>
        <w:t>) the Performance Security in accordance</w:t>
      </w:r>
      <w:r>
        <w:rPr>
          <w:color w:val="221F1F"/>
          <w:spacing w:val="-7"/>
        </w:rPr>
        <w:t xml:space="preserve"> </w:t>
      </w:r>
      <w:r>
        <w:rPr>
          <w:color w:val="221F1F"/>
        </w:rPr>
        <w:t>with</w:t>
      </w:r>
      <w:r>
        <w:rPr>
          <w:color w:val="221F1F"/>
          <w:spacing w:val="-9"/>
        </w:rPr>
        <w:t xml:space="preserve"> </w:t>
      </w:r>
      <w:r>
        <w:rPr>
          <w:color w:val="221F1F"/>
        </w:rPr>
        <w:t>Sub-Clause</w:t>
      </w:r>
      <w:r>
        <w:rPr>
          <w:color w:val="221F1F"/>
          <w:spacing w:val="-7"/>
        </w:rPr>
        <w:t xml:space="preserve"> </w:t>
      </w:r>
      <w:r>
        <w:rPr>
          <w:color w:val="221F1F"/>
        </w:rPr>
        <w:t>4.2</w:t>
      </w:r>
      <w:r>
        <w:rPr>
          <w:color w:val="221F1F"/>
          <w:spacing w:val="-9"/>
        </w:rPr>
        <w:t xml:space="preserve"> </w:t>
      </w:r>
      <w:r>
        <w:rPr>
          <w:color w:val="221F1F"/>
        </w:rPr>
        <w:t>[Performance</w:t>
      </w:r>
      <w:r>
        <w:rPr>
          <w:color w:val="221F1F"/>
          <w:spacing w:val="-7"/>
        </w:rPr>
        <w:t xml:space="preserve"> </w:t>
      </w:r>
      <w:r>
        <w:rPr>
          <w:color w:val="221F1F"/>
        </w:rPr>
        <w:t>Security]</w:t>
      </w:r>
      <w:r>
        <w:rPr>
          <w:color w:val="221F1F"/>
          <w:spacing w:val="-6"/>
        </w:rPr>
        <w:t xml:space="preserve"> </w:t>
      </w:r>
      <w:r>
        <w:rPr>
          <w:color w:val="221F1F"/>
        </w:rPr>
        <w:t>and</w:t>
      </w:r>
      <w:r>
        <w:rPr>
          <w:color w:val="221F1F"/>
          <w:spacing w:val="-8"/>
        </w:rPr>
        <w:t xml:space="preserve"> </w:t>
      </w:r>
      <w:r>
        <w:rPr>
          <w:color w:val="221F1F"/>
        </w:rPr>
        <w:t>(ii)</w:t>
      </w:r>
      <w:r>
        <w:rPr>
          <w:color w:val="221F1F"/>
          <w:spacing w:val="-8"/>
        </w:rPr>
        <w:t xml:space="preserve"> </w:t>
      </w:r>
      <w:r>
        <w:rPr>
          <w:color w:val="221F1F"/>
        </w:rPr>
        <w:t>a</w:t>
      </w:r>
      <w:r>
        <w:rPr>
          <w:color w:val="221F1F"/>
          <w:spacing w:val="-8"/>
        </w:rPr>
        <w:t xml:space="preserve"> </w:t>
      </w:r>
      <w:r>
        <w:rPr>
          <w:color w:val="221F1F"/>
        </w:rPr>
        <w:t>guarantee</w:t>
      </w:r>
      <w:r>
        <w:rPr>
          <w:color w:val="221F1F"/>
          <w:spacing w:val="-9"/>
        </w:rPr>
        <w:t xml:space="preserve"> </w:t>
      </w:r>
      <w:r>
        <w:rPr>
          <w:color w:val="221F1F"/>
        </w:rPr>
        <w:t>in</w:t>
      </w:r>
      <w:r>
        <w:rPr>
          <w:color w:val="221F1F"/>
          <w:spacing w:val="-9"/>
        </w:rPr>
        <w:t xml:space="preserve"> </w:t>
      </w:r>
      <w:r>
        <w:rPr>
          <w:color w:val="221F1F"/>
        </w:rPr>
        <w:t>amounts</w:t>
      </w:r>
      <w:r>
        <w:rPr>
          <w:color w:val="221F1F"/>
          <w:spacing w:val="-8"/>
        </w:rPr>
        <w:t xml:space="preserve"> </w:t>
      </w:r>
      <w:r>
        <w:rPr>
          <w:color w:val="221F1F"/>
        </w:rPr>
        <w:t>and</w:t>
      </w:r>
      <w:r>
        <w:rPr>
          <w:color w:val="221F1F"/>
          <w:spacing w:val="-9"/>
        </w:rPr>
        <w:t xml:space="preserve"> </w:t>
      </w:r>
      <w:r>
        <w:rPr>
          <w:color w:val="221F1F"/>
        </w:rPr>
        <w:t>currencies</w:t>
      </w:r>
      <w:r>
        <w:rPr>
          <w:color w:val="221F1F"/>
          <w:spacing w:val="-8"/>
        </w:rPr>
        <w:t xml:space="preserve"> </w:t>
      </w:r>
      <w:r>
        <w:rPr>
          <w:color w:val="221F1F"/>
        </w:rPr>
        <w:t xml:space="preserve">equal to the a </w:t>
      </w:r>
      <w:proofErr w:type="spellStart"/>
      <w:r>
        <w:rPr>
          <w:color w:val="221F1F"/>
        </w:rPr>
        <w:t>dvance</w:t>
      </w:r>
      <w:proofErr w:type="spellEnd"/>
      <w:r>
        <w:rPr>
          <w:color w:val="221F1F"/>
        </w:rPr>
        <w:t xml:space="preserve"> payment. This guarantee shall be issued by a reputable bank or financial institutions elected by</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3"/>
        </w:rPr>
        <w:t xml:space="preserve"> </w:t>
      </w:r>
      <w:r>
        <w:rPr>
          <w:color w:val="221F1F"/>
        </w:rPr>
        <w:t>shall</w:t>
      </w:r>
      <w:r>
        <w:rPr>
          <w:color w:val="221F1F"/>
          <w:spacing w:val="-5"/>
        </w:rPr>
        <w:t xml:space="preserve"> </w:t>
      </w:r>
      <w:r>
        <w:rPr>
          <w:color w:val="221F1F"/>
        </w:rPr>
        <w:t>be</w:t>
      </w:r>
      <w:r>
        <w:rPr>
          <w:color w:val="221F1F"/>
          <w:spacing w:val="-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form</w:t>
      </w:r>
      <w:r>
        <w:rPr>
          <w:color w:val="221F1F"/>
          <w:spacing w:val="-3"/>
        </w:rPr>
        <w:t xml:space="preserve"> </w:t>
      </w:r>
      <w:r>
        <w:rPr>
          <w:color w:val="221F1F"/>
        </w:rPr>
        <w:t>annexed</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Special</w:t>
      </w:r>
      <w:r>
        <w:rPr>
          <w:color w:val="221F1F"/>
          <w:spacing w:val="-3"/>
        </w:rPr>
        <w:t xml:space="preserve"> </w:t>
      </w:r>
      <w:r>
        <w:rPr>
          <w:color w:val="221F1F"/>
        </w:rPr>
        <w:t>Conditions</w:t>
      </w:r>
      <w:r>
        <w:rPr>
          <w:color w:val="221F1F"/>
          <w:spacing w:val="-3"/>
        </w:rPr>
        <w:t xml:space="preserve"> </w:t>
      </w:r>
      <w:r>
        <w:rPr>
          <w:color w:val="221F1F"/>
        </w:rPr>
        <w:t>or</w:t>
      </w:r>
      <w:r>
        <w:rPr>
          <w:color w:val="221F1F"/>
          <w:spacing w:val="-5"/>
        </w:rPr>
        <w:t xml:space="preserve"> </w:t>
      </w:r>
      <w:r>
        <w:rPr>
          <w:color w:val="221F1F"/>
        </w:rPr>
        <w:t>in</w:t>
      </w:r>
      <w:r>
        <w:rPr>
          <w:color w:val="221F1F"/>
          <w:spacing w:val="-6"/>
        </w:rPr>
        <w:t xml:space="preserve"> </w:t>
      </w:r>
      <w:r>
        <w:rPr>
          <w:color w:val="221F1F"/>
        </w:rPr>
        <w:t>another</w:t>
      </w:r>
      <w:r>
        <w:rPr>
          <w:color w:val="221F1F"/>
          <w:spacing w:val="-3"/>
        </w:rPr>
        <w:t xml:space="preserve"> </w:t>
      </w:r>
      <w:r>
        <w:rPr>
          <w:color w:val="221F1F"/>
        </w:rPr>
        <w:t>form</w:t>
      </w:r>
      <w:r>
        <w:rPr>
          <w:color w:val="221F1F"/>
          <w:spacing w:val="-3"/>
        </w:rPr>
        <w:t xml:space="preserve"> </w:t>
      </w:r>
      <w:r>
        <w:rPr>
          <w:color w:val="221F1F"/>
        </w:rPr>
        <w:t>approved</w:t>
      </w:r>
      <w:r>
        <w:rPr>
          <w:color w:val="221F1F"/>
          <w:spacing w:val="-3"/>
        </w:rPr>
        <w:t xml:space="preserve"> </w:t>
      </w:r>
      <w:r>
        <w:rPr>
          <w:color w:val="221F1F"/>
        </w:rPr>
        <w:t>by the Procuring Entity.</w:t>
      </w:r>
    </w:p>
    <w:p w:rsidR="007F6DF9" w:rsidRDefault="007F6DF9">
      <w:pPr>
        <w:pStyle w:val="BodyText"/>
        <w:spacing w:before="109"/>
      </w:pPr>
    </w:p>
    <w:p w:rsidR="007F6DF9" w:rsidRDefault="00A43FBC">
      <w:pPr>
        <w:pStyle w:val="ListParagraph"/>
        <w:numPr>
          <w:ilvl w:val="2"/>
          <w:numId w:val="122"/>
        </w:numPr>
        <w:tabs>
          <w:tab w:val="left" w:pos="1397"/>
          <w:tab w:val="left" w:pos="1405"/>
        </w:tabs>
        <w:spacing w:line="230" w:lineRule="auto"/>
        <w:ind w:left="1405" w:right="560" w:hanging="697"/>
        <w:jc w:val="both"/>
        <w:rPr>
          <w:color w:val="221F1F"/>
        </w:rPr>
      </w:pPr>
      <w:r>
        <w:rPr>
          <w:color w:val="221F1F"/>
        </w:rPr>
        <w:t>The Contractor shall ensure that the guarantee is valid and enforceable until the advance payment has been repaid, but</w:t>
      </w:r>
      <w:r>
        <w:rPr>
          <w:color w:val="221F1F"/>
          <w:spacing w:val="-1"/>
        </w:rPr>
        <w:t xml:space="preserve"> </w:t>
      </w:r>
      <w:r>
        <w:rPr>
          <w:color w:val="221F1F"/>
        </w:rPr>
        <w:t>its amount shall be progressively reduced by the</w:t>
      </w:r>
      <w:r>
        <w:rPr>
          <w:color w:val="221F1F"/>
          <w:spacing w:val="-2"/>
        </w:rPr>
        <w:t xml:space="preserve"> </w:t>
      </w:r>
      <w:r>
        <w:rPr>
          <w:color w:val="221F1F"/>
        </w:rPr>
        <w:t>amount repaid by</w:t>
      </w:r>
      <w:r>
        <w:rPr>
          <w:color w:val="221F1F"/>
          <w:spacing w:val="-2"/>
        </w:rPr>
        <w:t xml:space="preserve"> </w:t>
      </w:r>
      <w:r>
        <w:rPr>
          <w:color w:val="221F1F"/>
        </w:rPr>
        <w:t>the</w:t>
      </w:r>
      <w:r>
        <w:rPr>
          <w:color w:val="221F1F"/>
          <w:spacing w:val="-1"/>
        </w:rPr>
        <w:t xml:space="preserve"> </w:t>
      </w:r>
      <w:r>
        <w:rPr>
          <w:color w:val="221F1F"/>
        </w:rPr>
        <w:t>Contractor as</w:t>
      </w:r>
      <w:r>
        <w:rPr>
          <w:color w:val="221F1F"/>
          <w:spacing w:val="-2"/>
        </w:rPr>
        <w:t xml:space="preserve"> </w:t>
      </w:r>
      <w:r>
        <w:rPr>
          <w:color w:val="221F1F"/>
        </w:rPr>
        <w:t>indicated</w:t>
      </w:r>
      <w:r>
        <w:rPr>
          <w:color w:val="221F1F"/>
          <w:spacing w:val="-1"/>
        </w:rPr>
        <w:t xml:space="preserve"> </w:t>
      </w:r>
      <w:r>
        <w:rPr>
          <w:color w:val="221F1F"/>
        </w:rPr>
        <w:t>in the Payment Certificates. If the terms of the guarantee specify its expiry date, and the advance payment has not been repaid by the date 30 days prior to the expiry date, the Contractor shall extend the validity of the guarantee until the advance payment has been repaid.</w:t>
      </w:r>
    </w:p>
    <w:p w:rsidR="007F6DF9" w:rsidRDefault="007F6DF9">
      <w:pPr>
        <w:pStyle w:val="BodyText"/>
        <w:spacing w:before="107"/>
      </w:pPr>
    </w:p>
    <w:p w:rsidR="007F6DF9" w:rsidRDefault="00A43FBC">
      <w:pPr>
        <w:pStyle w:val="ListParagraph"/>
        <w:numPr>
          <w:ilvl w:val="2"/>
          <w:numId w:val="122"/>
        </w:numPr>
        <w:tabs>
          <w:tab w:val="left" w:pos="1397"/>
          <w:tab w:val="left" w:pos="1405"/>
        </w:tabs>
        <w:spacing w:line="232" w:lineRule="auto"/>
        <w:ind w:left="1405" w:right="560" w:hanging="697"/>
        <w:jc w:val="both"/>
        <w:rPr>
          <w:color w:val="221F1F"/>
        </w:rPr>
      </w:pPr>
      <w:r>
        <w:rPr>
          <w:color w:val="221F1F"/>
        </w:rPr>
        <w:t>Unless</w:t>
      </w:r>
      <w:r>
        <w:rPr>
          <w:color w:val="221F1F"/>
          <w:spacing w:val="-11"/>
        </w:rPr>
        <w:t xml:space="preserve"> </w:t>
      </w:r>
      <w:r>
        <w:rPr>
          <w:color w:val="221F1F"/>
        </w:rPr>
        <w:t>stated</w:t>
      </w:r>
      <w:r>
        <w:rPr>
          <w:color w:val="221F1F"/>
          <w:spacing w:val="-11"/>
        </w:rPr>
        <w:t xml:space="preserve"> </w:t>
      </w:r>
      <w:r>
        <w:rPr>
          <w:color w:val="221F1F"/>
        </w:rPr>
        <w:t>otherwise</w:t>
      </w:r>
      <w:r>
        <w:rPr>
          <w:color w:val="221F1F"/>
          <w:spacing w:val="-11"/>
        </w:rPr>
        <w:t xml:space="preserve"> </w:t>
      </w:r>
      <w:r>
        <w:rPr>
          <w:color w:val="221F1F"/>
        </w:rPr>
        <w:t>in</w:t>
      </w:r>
      <w:r>
        <w:rPr>
          <w:color w:val="221F1F"/>
          <w:spacing w:val="-11"/>
        </w:rPr>
        <w:t xml:space="preserve"> </w:t>
      </w:r>
      <w:r>
        <w:rPr>
          <w:b/>
          <w:color w:val="221F1F"/>
        </w:rPr>
        <w:t>the</w:t>
      </w:r>
      <w:r>
        <w:rPr>
          <w:b/>
          <w:color w:val="221F1F"/>
          <w:spacing w:val="-9"/>
        </w:rPr>
        <w:t xml:space="preserve"> </w:t>
      </w:r>
      <w:r>
        <w:rPr>
          <w:b/>
          <w:color w:val="221F1F"/>
        </w:rPr>
        <w:t>Special</w:t>
      </w:r>
      <w:r>
        <w:rPr>
          <w:b/>
          <w:color w:val="221F1F"/>
          <w:spacing w:val="-8"/>
        </w:rPr>
        <w:t xml:space="preserve"> </w:t>
      </w:r>
      <w:r>
        <w:rPr>
          <w:b/>
          <w:color w:val="221F1F"/>
        </w:rPr>
        <w:t>Conditions</w:t>
      </w:r>
      <w:r>
        <w:rPr>
          <w:b/>
          <w:color w:val="221F1F"/>
          <w:spacing w:val="-11"/>
        </w:rPr>
        <w:t xml:space="preserve"> </w:t>
      </w:r>
      <w:r>
        <w:rPr>
          <w:b/>
          <w:color w:val="221F1F"/>
        </w:rPr>
        <w:t>of</w:t>
      </w:r>
      <w:r>
        <w:rPr>
          <w:b/>
          <w:color w:val="221F1F"/>
          <w:spacing w:val="-11"/>
        </w:rPr>
        <w:t xml:space="preserve"> </w:t>
      </w:r>
      <w:r>
        <w:rPr>
          <w:b/>
          <w:color w:val="221F1F"/>
        </w:rPr>
        <w:t>Contract</w:t>
      </w:r>
      <w:r>
        <w:rPr>
          <w:color w:val="221F1F"/>
        </w:rPr>
        <w:t>,</w:t>
      </w:r>
      <w:r>
        <w:rPr>
          <w:color w:val="221F1F"/>
          <w:spacing w:val="-11"/>
        </w:rPr>
        <w:t xml:space="preserve"> </w:t>
      </w:r>
      <w:r>
        <w:rPr>
          <w:color w:val="221F1F"/>
        </w:rPr>
        <w:t>the</w:t>
      </w:r>
      <w:r>
        <w:rPr>
          <w:color w:val="221F1F"/>
          <w:spacing w:val="-11"/>
        </w:rPr>
        <w:t xml:space="preserve"> </w:t>
      </w:r>
      <w:r>
        <w:rPr>
          <w:color w:val="221F1F"/>
        </w:rPr>
        <w:t>advance</w:t>
      </w:r>
      <w:r>
        <w:rPr>
          <w:color w:val="221F1F"/>
          <w:spacing w:val="-9"/>
        </w:rPr>
        <w:t xml:space="preserve"> </w:t>
      </w:r>
      <w:r>
        <w:rPr>
          <w:color w:val="221F1F"/>
        </w:rPr>
        <w:t>payment</w:t>
      </w:r>
      <w:r>
        <w:rPr>
          <w:color w:val="221F1F"/>
          <w:spacing w:val="-8"/>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repaid</w:t>
      </w:r>
      <w:r>
        <w:rPr>
          <w:color w:val="221F1F"/>
          <w:spacing w:val="-11"/>
        </w:rPr>
        <w:t xml:space="preserve"> </w:t>
      </w:r>
      <w:r>
        <w:rPr>
          <w:color w:val="221F1F"/>
        </w:rPr>
        <w:t>through percentage</w:t>
      </w:r>
      <w:r>
        <w:rPr>
          <w:color w:val="221F1F"/>
          <w:spacing w:val="-13"/>
        </w:rPr>
        <w:t xml:space="preserve"> </w:t>
      </w:r>
      <w:r>
        <w:rPr>
          <w:color w:val="221F1F"/>
        </w:rPr>
        <w:t>deductions</w:t>
      </w:r>
      <w:r>
        <w:rPr>
          <w:color w:val="221F1F"/>
          <w:spacing w:val="-13"/>
        </w:rPr>
        <w:t xml:space="preserve"> </w:t>
      </w:r>
      <w:r>
        <w:rPr>
          <w:color w:val="221F1F"/>
        </w:rPr>
        <w:t>from</w:t>
      </w:r>
      <w:r>
        <w:rPr>
          <w:color w:val="221F1F"/>
          <w:spacing w:val="-14"/>
        </w:rPr>
        <w:t xml:space="preserve"> </w:t>
      </w:r>
      <w:r>
        <w:rPr>
          <w:color w:val="221F1F"/>
        </w:rPr>
        <w:t>the</w:t>
      </w:r>
      <w:r>
        <w:rPr>
          <w:color w:val="221F1F"/>
          <w:spacing w:val="-14"/>
        </w:rPr>
        <w:t xml:space="preserve"> </w:t>
      </w:r>
      <w:r>
        <w:rPr>
          <w:color w:val="221F1F"/>
        </w:rPr>
        <w:t>interim</w:t>
      </w:r>
      <w:r>
        <w:rPr>
          <w:color w:val="221F1F"/>
          <w:spacing w:val="-12"/>
        </w:rPr>
        <w:t xml:space="preserve"> </w:t>
      </w:r>
      <w:r>
        <w:rPr>
          <w:color w:val="221F1F"/>
        </w:rPr>
        <w:t>payments</w:t>
      </w:r>
      <w:r>
        <w:rPr>
          <w:color w:val="221F1F"/>
          <w:spacing w:val="-14"/>
        </w:rPr>
        <w:t xml:space="preserve"> </w:t>
      </w:r>
      <w:r>
        <w:rPr>
          <w:color w:val="221F1F"/>
        </w:rPr>
        <w:t>determined</w:t>
      </w:r>
      <w:r>
        <w:rPr>
          <w:color w:val="221F1F"/>
          <w:spacing w:val="-13"/>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Architect</w:t>
      </w:r>
      <w:r>
        <w:rPr>
          <w:color w:val="221F1F"/>
          <w:spacing w:val="-11"/>
        </w:rPr>
        <w:t xml:space="preserve"> </w:t>
      </w:r>
      <w:r>
        <w:rPr>
          <w:color w:val="221F1F"/>
        </w:rPr>
        <w:t>in</w:t>
      </w:r>
      <w:r>
        <w:rPr>
          <w:color w:val="221F1F"/>
          <w:spacing w:val="-14"/>
        </w:rPr>
        <w:t xml:space="preserve"> </w:t>
      </w:r>
      <w:r>
        <w:rPr>
          <w:color w:val="221F1F"/>
        </w:rPr>
        <w:t>accordance</w:t>
      </w:r>
      <w:r>
        <w:rPr>
          <w:color w:val="221F1F"/>
          <w:spacing w:val="-13"/>
        </w:rPr>
        <w:t xml:space="preserve"> </w:t>
      </w:r>
      <w:r>
        <w:rPr>
          <w:color w:val="221F1F"/>
        </w:rPr>
        <w:t>with</w:t>
      </w:r>
      <w:r>
        <w:rPr>
          <w:color w:val="221F1F"/>
          <w:spacing w:val="-14"/>
        </w:rPr>
        <w:t xml:space="preserve"> </w:t>
      </w:r>
      <w:r>
        <w:rPr>
          <w:color w:val="221F1F"/>
        </w:rPr>
        <w:t>Sub-Clause</w:t>
      </w:r>
    </w:p>
    <w:p w:rsidR="007F6DF9" w:rsidRDefault="00A43FBC">
      <w:pPr>
        <w:pStyle w:val="BodyText"/>
        <w:spacing w:line="248" w:lineRule="exact"/>
        <w:ind w:left="1405"/>
        <w:jc w:val="both"/>
      </w:pPr>
      <w:r>
        <w:rPr>
          <w:color w:val="221F1F"/>
        </w:rPr>
        <w:t>14.6</w:t>
      </w:r>
      <w:r>
        <w:rPr>
          <w:color w:val="221F1F"/>
          <w:spacing w:val="-6"/>
        </w:rPr>
        <w:t xml:space="preserve"> </w:t>
      </w:r>
      <w:r>
        <w:rPr>
          <w:color w:val="221F1F"/>
        </w:rPr>
        <w:t>[Issue</w:t>
      </w:r>
      <w:r>
        <w:rPr>
          <w:color w:val="221F1F"/>
          <w:spacing w:val="-6"/>
        </w:rPr>
        <w:t xml:space="preserve"> </w:t>
      </w:r>
      <w:r>
        <w:rPr>
          <w:color w:val="221F1F"/>
        </w:rPr>
        <w:t>of</w:t>
      </w:r>
      <w:r>
        <w:rPr>
          <w:color w:val="221F1F"/>
          <w:spacing w:val="-7"/>
        </w:rPr>
        <w:t xml:space="preserve"> </w:t>
      </w:r>
      <w:r>
        <w:rPr>
          <w:color w:val="221F1F"/>
        </w:rPr>
        <w:t>Interim</w:t>
      </w:r>
      <w:r>
        <w:rPr>
          <w:color w:val="221F1F"/>
          <w:spacing w:val="-5"/>
        </w:rPr>
        <w:t xml:space="preserve"> </w:t>
      </w:r>
      <w:r>
        <w:rPr>
          <w:color w:val="221F1F"/>
        </w:rPr>
        <w:t>Payment</w:t>
      </w:r>
      <w:r>
        <w:rPr>
          <w:color w:val="221F1F"/>
          <w:spacing w:val="-6"/>
        </w:rPr>
        <w:t xml:space="preserve"> </w:t>
      </w:r>
      <w:r>
        <w:rPr>
          <w:color w:val="221F1F"/>
        </w:rPr>
        <w:t>Certificates],</w:t>
      </w:r>
      <w:r>
        <w:rPr>
          <w:color w:val="221F1F"/>
          <w:spacing w:val="-6"/>
        </w:rPr>
        <w:t xml:space="preserve"> </w:t>
      </w:r>
      <w:r>
        <w:rPr>
          <w:color w:val="221F1F"/>
        </w:rPr>
        <w:t>as</w:t>
      </w:r>
      <w:r>
        <w:rPr>
          <w:color w:val="221F1F"/>
          <w:spacing w:val="-6"/>
        </w:rPr>
        <w:t xml:space="preserve"> </w:t>
      </w:r>
      <w:r>
        <w:rPr>
          <w:color w:val="221F1F"/>
          <w:spacing w:val="-2"/>
        </w:rPr>
        <w:t>follows:</w:t>
      </w:r>
    </w:p>
    <w:p w:rsidR="007F6DF9" w:rsidRDefault="00A43FBC">
      <w:pPr>
        <w:pStyle w:val="ListParagraph"/>
        <w:numPr>
          <w:ilvl w:val="0"/>
          <w:numId w:val="92"/>
        </w:numPr>
        <w:tabs>
          <w:tab w:val="left" w:pos="1872"/>
          <w:tab w:val="left" w:pos="1885"/>
        </w:tabs>
        <w:spacing w:before="46" w:line="230" w:lineRule="auto"/>
        <w:ind w:right="561" w:hanging="480"/>
        <w:jc w:val="both"/>
      </w:pPr>
      <w:r>
        <w:rPr>
          <w:color w:val="221F1F"/>
        </w:rPr>
        <w:t>Deductions</w:t>
      </w:r>
      <w:r>
        <w:rPr>
          <w:color w:val="221F1F"/>
          <w:spacing w:val="-6"/>
        </w:rPr>
        <w:t xml:space="preserve"> </w:t>
      </w:r>
      <w:r>
        <w:rPr>
          <w:color w:val="221F1F"/>
        </w:rPr>
        <w:t>shall</w:t>
      </w:r>
      <w:r>
        <w:rPr>
          <w:color w:val="221F1F"/>
          <w:spacing w:val="-4"/>
        </w:rPr>
        <w:t xml:space="preserve"> </w:t>
      </w:r>
      <w:r>
        <w:rPr>
          <w:color w:val="221F1F"/>
        </w:rPr>
        <w:t>commence</w:t>
      </w:r>
      <w:r>
        <w:rPr>
          <w:color w:val="221F1F"/>
          <w:spacing w:val="-5"/>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next</w:t>
      </w:r>
      <w:r>
        <w:rPr>
          <w:color w:val="221F1F"/>
          <w:spacing w:val="-5"/>
        </w:rPr>
        <w:t xml:space="preserve"> </w:t>
      </w:r>
      <w:r>
        <w:rPr>
          <w:color w:val="221F1F"/>
        </w:rPr>
        <w:t>interim</w:t>
      </w:r>
      <w:r>
        <w:rPr>
          <w:color w:val="221F1F"/>
          <w:spacing w:val="-4"/>
        </w:rPr>
        <w:t xml:space="preserve"> </w:t>
      </w:r>
      <w:r>
        <w:rPr>
          <w:color w:val="221F1F"/>
        </w:rPr>
        <w:t>Payment</w:t>
      </w:r>
      <w:r>
        <w:rPr>
          <w:color w:val="221F1F"/>
          <w:spacing w:val="-4"/>
        </w:rPr>
        <w:t xml:space="preserve"> </w:t>
      </w:r>
      <w:r>
        <w:rPr>
          <w:color w:val="221F1F"/>
        </w:rPr>
        <w:t>Certificate</w:t>
      </w:r>
      <w:r>
        <w:rPr>
          <w:color w:val="221F1F"/>
          <w:spacing w:val="-5"/>
        </w:rPr>
        <w:t xml:space="preserve"> </w:t>
      </w:r>
      <w:r>
        <w:rPr>
          <w:color w:val="221F1F"/>
        </w:rPr>
        <w:t>following</w:t>
      </w:r>
      <w:r>
        <w:rPr>
          <w:color w:val="221F1F"/>
          <w:spacing w:val="-4"/>
        </w:rPr>
        <w:t xml:space="preserve"> </w:t>
      </w:r>
      <w:r>
        <w:rPr>
          <w:color w:val="221F1F"/>
        </w:rPr>
        <w:t>that</w:t>
      </w:r>
      <w:r>
        <w:rPr>
          <w:color w:val="221F1F"/>
          <w:spacing w:val="-5"/>
        </w:rPr>
        <w:t xml:space="preserve"> </w:t>
      </w:r>
      <w:r>
        <w:rPr>
          <w:color w:val="221F1F"/>
        </w:rPr>
        <w:t>in</w:t>
      </w:r>
      <w:r>
        <w:rPr>
          <w:color w:val="221F1F"/>
          <w:spacing w:val="-5"/>
        </w:rPr>
        <w:t xml:space="preserve"> </w:t>
      </w:r>
      <w:r>
        <w:rPr>
          <w:color w:val="221F1F"/>
        </w:rPr>
        <w:t>which</w:t>
      </w:r>
      <w:r>
        <w:rPr>
          <w:color w:val="221F1F"/>
          <w:spacing w:val="-6"/>
        </w:rPr>
        <w:t xml:space="preserve"> </w:t>
      </w:r>
      <w:r>
        <w:rPr>
          <w:color w:val="221F1F"/>
        </w:rPr>
        <w:t>the</w:t>
      </w:r>
      <w:r>
        <w:rPr>
          <w:color w:val="221F1F"/>
          <w:spacing w:val="-5"/>
        </w:rPr>
        <w:t xml:space="preserve"> </w:t>
      </w:r>
      <w:r>
        <w:rPr>
          <w:color w:val="221F1F"/>
        </w:rPr>
        <w:t>total</w:t>
      </w:r>
      <w:r>
        <w:rPr>
          <w:color w:val="221F1F"/>
          <w:spacing w:val="-4"/>
        </w:rPr>
        <w:t xml:space="preserve"> </w:t>
      </w:r>
      <w:r>
        <w:rPr>
          <w:color w:val="221F1F"/>
        </w:rPr>
        <w:t xml:space="preserve">of all certified interim payments (excluding the advance payment and deductions and repayments of retention) exceeds 30 percent (30%) of the Accepted Contract Amount </w:t>
      </w:r>
      <w:proofErr w:type="gramStart"/>
      <w:r>
        <w:rPr>
          <w:color w:val="221F1F"/>
        </w:rPr>
        <w:t>less</w:t>
      </w:r>
      <w:proofErr w:type="gramEnd"/>
      <w:r>
        <w:rPr>
          <w:color w:val="221F1F"/>
        </w:rPr>
        <w:t xml:space="preserve"> Provisional Sums; and</w:t>
      </w:r>
    </w:p>
    <w:p w:rsidR="007F6DF9" w:rsidRDefault="00A43FBC">
      <w:pPr>
        <w:pStyle w:val="ListParagraph"/>
        <w:numPr>
          <w:ilvl w:val="0"/>
          <w:numId w:val="92"/>
        </w:numPr>
        <w:tabs>
          <w:tab w:val="left" w:pos="1871"/>
          <w:tab w:val="left" w:pos="1882"/>
        </w:tabs>
        <w:spacing w:before="52" w:line="230" w:lineRule="auto"/>
        <w:ind w:left="1882" w:right="561" w:hanging="478"/>
        <w:jc w:val="both"/>
      </w:pPr>
      <w:r>
        <w:rPr>
          <w:color w:val="221F1F"/>
        </w:rPr>
        <w:t xml:space="preserve">deductions shall be made at the amortization rate stated in the </w:t>
      </w:r>
      <w:r>
        <w:rPr>
          <w:b/>
          <w:color w:val="221F1F"/>
        </w:rPr>
        <w:t xml:space="preserve">Special Conditions of Contract </w:t>
      </w:r>
      <w:r>
        <w:rPr>
          <w:color w:val="221F1F"/>
        </w:rPr>
        <w:t>of the amount of each Interim Payment Certificate (excluding the advance payment and deductions for its repayments</w:t>
      </w:r>
      <w:r>
        <w:rPr>
          <w:color w:val="221F1F"/>
          <w:spacing w:val="-6"/>
        </w:rPr>
        <w:t xml:space="preserve"> </w:t>
      </w:r>
      <w:r>
        <w:rPr>
          <w:color w:val="221F1F"/>
        </w:rPr>
        <w:t>as</w:t>
      </w:r>
      <w:r>
        <w:rPr>
          <w:color w:val="221F1F"/>
          <w:spacing w:val="-7"/>
        </w:rPr>
        <w:t xml:space="preserve"> </w:t>
      </w:r>
      <w:r>
        <w:rPr>
          <w:color w:val="221F1F"/>
        </w:rPr>
        <w:t>well</w:t>
      </w:r>
      <w:r>
        <w:rPr>
          <w:color w:val="221F1F"/>
          <w:spacing w:val="-5"/>
        </w:rPr>
        <w:t xml:space="preserve"> </w:t>
      </w:r>
      <w:r>
        <w:rPr>
          <w:color w:val="221F1F"/>
        </w:rPr>
        <w:t>as</w:t>
      </w:r>
      <w:r>
        <w:rPr>
          <w:color w:val="221F1F"/>
          <w:spacing w:val="-7"/>
        </w:rPr>
        <w:t xml:space="preserve"> </w:t>
      </w:r>
      <w:r>
        <w:rPr>
          <w:color w:val="221F1F"/>
        </w:rPr>
        <w:t>deductions</w:t>
      </w:r>
      <w:r>
        <w:rPr>
          <w:color w:val="221F1F"/>
          <w:spacing w:val="-6"/>
        </w:rPr>
        <w:t xml:space="preserve"> </w:t>
      </w:r>
      <w:r>
        <w:rPr>
          <w:color w:val="221F1F"/>
        </w:rPr>
        <w:t>for</w:t>
      </w:r>
      <w:r>
        <w:rPr>
          <w:color w:val="221F1F"/>
          <w:spacing w:val="-6"/>
        </w:rPr>
        <w:t xml:space="preserve"> </w:t>
      </w:r>
      <w:r>
        <w:rPr>
          <w:color w:val="221F1F"/>
        </w:rPr>
        <w:t>retention</w:t>
      </w:r>
      <w:r>
        <w:rPr>
          <w:color w:val="221F1F"/>
          <w:spacing w:val="-7"/>
        </w:rPr>
        <w:t xml:space="preserve"> </w:t>
      </w:r>
      <w:r>
        <w:rPr>
          <w:color w:val="221F1F"/>
        </w:rPr>
        <w:t>money)</w:t>
      </w:r>
      <w:r>
        <w:rPr>
          <w:color w:val="221F1F"/>
          <w:spacing w:val="-8"/>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currencies</w:t>
      </w:r>
      <w:r>
        <w:rPr>
          <w:color w:val="221F1F"/>
          <w:spacing w:val="-6"/>
        </w:rPr>
        <w:t xml:space="preserve"> </w:t>
      </w:r>
      <w:r>
        <w:rPr>
          <w:color w:val="221F1F"/>
        </w:rPr>
        <w:t>and</w:t>
      </w:r>
      <w:r>
        <w:rPr>
          <w:color w:val="221F1F"/>
          <w:spacing w:val="-7"/>
        </w:rPr>
        <w:t xml:space="preserve"> </w:t>
      </w:r>
      <w:r>
        <w:rPr>
          <w:color w:val="221F1F"/>
        </w:rPr>
        <w:t>proportions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advance payment until such time as the advance payment has been repaid; provided that the advance payment shall be completely repaid prior to the time when 90 percent (90%) of the Accepted Contract Amount less Provisional Sums has been certified for payment.</w:t>
      </w:r>
    </w:p>
    <w:p w:rsidR="007F6DF9" w:rsidRDefault="007F6DF9">
      <w:pPr>
        <w:pStyle w:val="BodyText"/>
        <w:spacing w:before="42"/>
      </w:pPr>
    </w:p>
    <w:p w:rsidR="007F6DF9" w:rsidRDefault="00A43FBC">
      <w:pPr>
        <w:pStyle w:val="ListParagraph"/>
        <w:numPr>
          <w:ilvl w:val="2"/>
          <w:numId w:val="122"/>
        </w:numPr>
        <w:tabs>
          <w:tab w:val="left" w:pos="1365"/>
          <w:tab w:val="left" w:pos="1373"/>
        </w:tabs>
        <w:spacing w:line="230" w:lineRule="auto"/>
        <w:ind w:left="1373" w:right="560" w:hanging="668"/>
        <w:jc w:val="both"/>
        <w:rPr>
          <w:color w:val="221F1F"/>
        </w:rPr>
      </w:pPr>
      <w:r>
        <w:rPr>
          <w:color w:val="221F1F"/>
        </w:rPr>
        <w:t>If</w:t>
      </w:r>
      <w:r>
        <w:rPr>
          <w:color w:val="221F1F"/>
          <w:spacing w:val="-3"/>
        </w:rPr>
        <w:t xml:space="preserve"> </w:t>
      </w:r>
      <w:r>
        <w:rPr>
          <w:color w:val="221F1F"/>
        </w:rPr>
        <w:t>the</w:t>
      </w:r>
      <w:r>
        <w:rPr>
          <w:color w:val="221F1F"/>
          <w:spacing w:val="-5"/>
        </w:rPr>
        <w:t xml:space="preserve"> </w:t>
      </w:r>
      <w:r>
        <w:rPr>
          <w:color w:val="221F1F"/>
        </w:rPr>
        <w:t>advance</w:t>
      </w:r>
      <w:r>
        <w:rPr>
          <w:color w:val="221F1F"/>
          <w:spacing w:val="-5"/>
        </w:rPr>
        <w:t xml:space="preserve"> </w:t>
      </w:r>
      <w:r>
        <w:rPr>
          <w:color w:val="221F1F"/>
        </w:rPr>
        <w:t>payment</w:t>
      </w:r>
      <w:r>
        <w:rPr>
          <w:color w:val="221F1F"/>
          <w:spacing w:val="-2"/>
        </w:rPr>
        <w:t xml:space="preserve"> </w:t>
      </w:r>
      <w:r>
        <w:rPr>
          <w:color w:val="221F1F"/>
        </w:rPr>
        <w:t>has</w:t>
      </w:r>
      <w:r>
        <w:rPr>
          <w:color w:val="221F1F"/>
          <w:spacing w:val="-5"/>
        </w:rPr>
        <w:t xml:space="preserve"> </w:t>
      </w:r>
      <w:r>
        <w:rPr>
          <w:color w:val="221F1F"/>
        </w:rPr>
        <w:t>not</w:t>
      </w:r>
      <w:r>
        <w:rPr>
          <w:color w:val="221F1F"/>
          <w:spacing w:val="-5"/>
        </w:rPr>
        <w:t xml:space="preserve"> </w:t>
      </w:r>
      <w:r>
        <w:rPr>
          <w:color w:val="221F1F"/>
        </w:rPr>
        <w:t>been</w:t>
      </w:r>
      <w:r>
        <w:rPr>
          <w:color w:val="221F1F"/>
          <w:spacing w:val="-6"/>
        </w:rPr>
        <w:t xml:space="preserve"> </w:t>
      </w:r>
      <w:r>
        <w:rPr>
          <w:color w:val="221F1F"/>
        </w:rPr>
        <w:t>repaid</w:t>
      </w:r>
      <w:r>
        <w:rPr>
          <w:color w:val="221F1F"/>
          <w:spacing w:val="-3"/>
        </w:rPr>
        <w:t xml:space="preserve"> </w:t>
      </w:r>
      <w:r>
        <w:rPr>
          <w:color w:val="221F1F"/>
        </w:rPr>
        <w:t>prior</w:t>
      </w:r>
      <w:r>
        <w:rPr>
          <w:color w:val="221F1F"/>
          <w:spacing w:val="-3"/>
        </w:rPr>
        <w:t xml:space="preserve"> </w:t>
      </w:r>
      <w:r>
        <w:rPr>
          <w:color w:val="221F1F"/>
        </w:rPr>
        <w:t>to</w:t>
      </w:r>
      <w:r>
        <w:rPr>
          <w:color w:val="221F1F"/>
          <w:spacing w:val="-3"/>
        </w:rPr>
        <w:t xml:space="preserve"> </w:t>
      </w:r>
      <w:r>
        <w:rPr>
          <w:color w:val="221F1F"/>
        </w:rPr>
        <w:t>the</w:t>
      </w:r>
      <w:r>
        <w:rPr>
          <w:color w:val="221F1F"/>
          <w:spacing w:val="-5"/>
        </w:rPr>
        <w:t xml:space="preserve"> </w:t>
      </w:r>
      <w:r>
        <w:rPr>
          <w:color w:val="221F1F"/>
        </w:rPr>
        <w:t>issue</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Taking-Over</w:t>
      </w:r>
      <w:r>
        <w:rPr>
          <w:color w:val="221F1F"/>
          <w:spacing w:val="-2"/>
        </w:rPr>
        <w:t xml:space="preserve"> </w:t>
      </w:r>
      <w:r>
        <w:rPr>
          <w:color w:val="221F1F"/>
        </w:rPr>
        <w:t>Certificate</w:t>
      </w:r>
      <w:r>
        <w:rPr>
          <w:color w:val="221F1F"/>
          <w:spacing w:val="-5"/>
        </w:rPr>
        <w:t xml:space="preserve"> </w:t>
      </w:r>
      <w:r>
        <w:rPr>
          <w:color w:val="221F1F"/>
        </w:rPr>
        <w:t>for</w:t>
      </w:r>
      <w:r>
        <w:rPr>
          <w:color w:val="221F1F"/>
          <w:spacing w:val="-5"/>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or prior to termination under Clause 15 [Termination by Procuring Entity], Clause 16 [Suspension and Termination</w:t>
      </w:r>
      <w:r>
        <w:rPr>
          <w:color w:val="221F1F"/>
          <w:spacing w:val="-6"/>
        </w:rPr>
        <w:t xml:space="preserve"> </w:t>
      </w:r>
      <w:r>
        <w:rPr>
          <w:color w:val="221F1F"/>
        </w:rPr>
        <w:t>by</w:t>
      </w:r>
      <w:r>
        <w:rPr>
          <w:color w:val="221F1F"/>
          <w:spacing w:val="-6"/>
        </w:rPr>
        <w:t xml:space="preserve"> </w:t>
      </w:r>
      <w:r>
        <w:rPr>
          <w:color w:val="221F1F"/>
        </w:rPr>
        <w:t>Contractor]</w:t>
      </w:r>
      <w:r>
        <w:rPr>
          <w:color w:val="221F1F"/>
          <w:spacing w:val="-6"/>
        </w:rPr>
        <w:t xml:space="preserve"> </w:t>
      </w:r>
      <w:r>
        <w:rPr>
          <w:color w:val="221F1F"/>
        </w:rPr>
        <w:t>or</w:t>
      </w:r>
      <w:r>
        <w:rPr>
          <w:color w:val="221F1F"/>
          <w:spacing w:val="-5"/>
        </w:rPr>
        <w:t xml:space="preserve"> </w:t>
      </w:r>
      <w:r>
        <w:rPr>
          <w:color w:val="221F1F"/>
        </w:rPr>
        <w:t>Clause</w:t>
      </w:r>
      <w:r>
        <w:rPr>
          <w:color w:val="221F1F"/>
          <w:spacing w:val="-5"/>
        </w:rPr>
        <w:t xml:space="preserve"> </w:t>
      </w:r>
      <w:r>
        <w:rPr>
          <w:color w:val="221F1F"/>
        </w:rPr>
        <w:t>19</w:t>
      </w:r>
      <w:r>
        <w:rPr>
          <w:color w:val="221F1F"/>
          <w:spacing w:val="-6"/>
        </w:rPr>
        <w:t xml:space="preserve"> </w:t>
      </w:r>
      <w:r>
        <w:rPr>
          <w:color w:val="221F1F"/>
        </w:rPr>
        <w:t>[Force</w:t>
      </w:r>
      <w:r>
        <w:rPr>
          <w:color w:val="221F1F"/>
          <w:spacing w:val="-7"/>
        </w:rPr>
        <w:t xml:space="preserve"> </w:t>
      </w:r>
      <w:r>
        <w:rPr>
          <w:color w:val="221F1F"/>
        </w:rPr>
        <w:t>Majeure]</w:t>
      </w:r>
      <w:r>
        <w:rPr>
          <w:color w:val="221F1F"/>
          <w:spacing w:val="-6"/>
        </w:rPr>
        <w:t xml:space="preserve"> </w:t>
      </w:r>
      <w:r>
        <w:rPr>
          <w:color w:val="221F1F"/>
        </w:rPr>
        <w:t>(as</w:t>
      </w:r>
      <w:r>
        <w:rPr>
          <w:color w:val="221F1F"/>
          <w:spacing w:val="-5"/>
        </w:rPr>
        <w:t xml:space="preserve"> </w:t>
      </w:r>
      <w:proofErr w:type="spellStart"/>
      <w:r>
        <w:rPr>
          <w:color w:val="221F1F"/>
        </w:rPr>
        <w:t>thec</w:t>
      </w:r>
      <w:proofErr w:type="spellEnd"/>
      <w:r>
        <w:rPr>
          <w:color w:val="221F1F"/>
          <w:spacing w:val="-5"/>
        </w:rPr>
        <w:t xml:space="preserve"> </w:t>
      </w:r>
      <w:proofErr w:type="spellStart"/>
      <w:r>
        <w:rPr>
          <w:color w:val="221F1F"/>
        </w:rPr>
        <w:t>ase</w:t>
      </w:r>
      <w:proofErr w:type="spellEnd"/>
      <w:r>
        <w:rPr>
          <w:color w:val="221F1F"/>
          <w:spacing w:val="-8"/>
        </w:rPr>
        <w:t xml:space="preserve"> </w:t>
      </w:r>
      <w:r>
        <w:rPr>
          <w:color w:val="221F1F"/>
        </w:rPr>
        <w:t>may</w:t>
      </w:r>
      <w:r>
        <w:rPr>
          <w:color w:val="221F1F"/>
          <w:spacing w:val="-6"/>
        </w:rPr>
        <w:t xml:space="preserve"> </w:t>
      </w:r>
      <w:r>
        <w:rPr>
          <w:color w:val="221F1F"/>
        </w:rPr>
        <w:t>be),</w:t>
      </w:r>
      <w:r>
        <w:rPr>
          <w:color w:val="221F1F"/>
          <w:spacing w:val="-6"/>
        </w:rPr>
        <w:t xml:space="preserve"> </w:t>
      </w:r>
      <w:r>
        <w:rPr>
          <w:color w:val="221F1F"/>
        </w:rPr>
        <w:t>the</w:t>
      </w:r>
      <w:r>
        <w:rPr>
          <w:color w:val="221F1F"/>
          <w:spacing w:val="-7"/>
        </w:rPr>
        <w:t xml:space="preserve"> </w:t>
      </w:r>
      <w:r>
        <w:rPr>
          <w:color w:val="221F1F"/>
        </w:rPr>
        <w:t>whole</w:t>
      </w:r>
      <w:r>
        <w:rPr>
          <w:color w:val="221F1F"/>
          <w:spacing w:val="-5"/>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rPr>
        <w:t>balance</w:t>
      </w:r>
      <w:r>
        <w:rPr>
          <w:color w:val="221F1F"/>
          <w:spacing w:val="-5"/>
        </w:rPr>
        <w:t xml:space="preserve"> </w:t>
      </w:r>
      <w:r>
        <w:rPr>
          <w:color w:val="221F1F"/>
        </w:rPr>
        <w:t>then outstanding shall immediately become due and in case of termination under Clause 15 [Termination by Procuring Entity], except for Sub-Clause 14.2.7 [Procuring Entity's Entitlement to Termination for Convenience], payable by the Contractor to the Procuring Entity.</w:t>
      </w:r>
    </w:p>
    <w:p w:rsidR="007F6DF9" w:rsidRDefault="00A43FBC">
      <w:pPr>
        <w:pStyle w:val="Heading9"/>
        <w:numPr>
          <w:ilvl w:val="1"/>
          <w:numId w:val="122"/>
        </w:numPr>
        <w:tabs>
          <w:tab w:val="left" w:pos="1368"/>
        </w:tabs>
        <w:spacing w:before="244"/>
        <w:ind w:left="1368" w:hanging="660"/>
        <w:rPr>
          <w:color w:val="221F1F"/>
        </w:rPr>
      </w:pPr>
      <w:r>
        <w:rPr>
          <w:color w:val="221F1F"/>
        </w:rPr>
        <w:t>Application</w:t>
      </w:r>
      <w:r>
        <w:rPr>
          <w:color w:val="221F1F"/>
          <w:spacing w:val="-5"/>
        </w:rPr>
        <w:t xml:space="preserve"> </w:t>
      </w:r>
      <w:r>
        <w:rPr>
          <w:color w:val="221F1F"/>
        </w:rPr>
        <w:t>for</w:t>
      </w:r>
      <w:r>
        <w:rPr>
          <w:color w:val="221F1F"/>
          <w:spacing w:val="-5"/>
        </w:rPr>
        <w:t xml:space="preserve"> </w:t>
      </w:r>
      <w:r>
        <w:rPr>
          <w:color w:val="221F1F"/>
        </w:rPr>
        <w:t>Interim</w:t>
      </w:r>
      <w:r>
        <w:rPr>
          <w:color w:val="221F1F"/>
          <w:spacing w:val="-4"/>
        </w:rPr>
        <w:t xml:space="preserve"> </w:t>
      </w:r>
      <w:r>
        <w:rPr>
          <w:color w:val="221F1F"/>
        </w:rPr>
        <w:t>Payment</w:t>
      </w:r>
      <w:r>
        <w:rPr>
          <w:color w:val="221F1F"/>
          <w:spacing w:val="-4"/>
        </w:rPr>
        <w:t xml:space="preserve"> </w:t>
      </w:r>
      <w:r>
        <w:rPr>
          <w:color w:val="221F1F"/>
          <w:spacing w:val="-2"/>
        </w:rPr>
        <w:t>Certificates</w:t>
      </w:r>
    </w:p>
    <w:p w:rsidR="007F6DF9" w:rsidRDefault="007F6DF9">
      <w:pPr>
        <w:pStyle w:val="BodyText"/>
        <w:spacing w:before="104"/>
        <w:rPr>
          <w:b/>
        </w:rPr>
      </w:pPr>
    </w:p>
    <w:p w:rsidR="007F6DF9" w:rsidRDefault="00A43FBC">
      <w:pPr>
        <w:pStyle w:val="ListParagraph"/>
        <w:numPr>
          <w:ilvl w:val="2"/>
          <w:numId w:val="122"/>
        </w:numPr>
        <w:tabs>
          <w:tab w:val="left" w:pos="1368"/>
          <w:tab w:val="left" w:pos="1376"/>
        </w:tabs>
        <w:spacing w:line="230" w:lineRule="auto"/>
        <w:ind w:left="1376" w:right="566" w:hanging="668"/>
        <w:jc w:val="both"/>
        <w:rPr>
          <w:color w:val="221F1F"/>
        </w:rPr>
      </w:pPr>
      <w:r>
        <w:rPr>
          <w:color w:val="221F1F"/>
        </w:rPr>
        <w:t xml:space="preserve">The Contractor shall submit a Statement (in number of copies indicated in the </w:t>
      </w:r>
      <w:r>
        <w:rPr>
          <w:b/>
          <w:color w:val="221F1F"/>
        </w:rPr>
        <w:t>Special Conditions of Contract</w:t>
      </w:r>
      <w:r>
        <w:rPr>
          <w:color w:val="221F1F"/>
        </w:rPr>
        <w:t>)</w:t>
      </w:r>
      <w:r>
        <w:rPr>
          <w:color w:val="221F1F"/>
          <w:spacing w:val="-8"/>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Architect</w:t>
      </w:r>
      <w:r>
        <w:rPr>
          <w:color w:val="221F1F"/>
          <w:spacing w:val="-6"/>
        </w:rPr>
        <w:t xml:space="preserve"> </w:t>
      </w:r>
      <w:r>
        <w:rPr>
          <w:color w:val="221F1F"/>
        </w:rPr>
        <w:t>after</w:t>
      </w:r>
      <w:r>
        <w:rPr>
          <w:color w:val="221F1F"/>
          <w:spacing w:val="-5"/>
        </w:rPr>
        <w:t xml:space="preserve"> </w:t>
      </w:r>
      <w:r>
        <w:rPr>
          <w:color w:val="221F1F"/>
        </w:rPr>
        <w:t>the</w:t>
      </w:r>
      <w:r>
        <w:rPr>
          <w:color w:val="221F1F"/>
          <w:spacing w:val="-6"/>
        </w:rPr>
        <w:t xml:space="preserve"> </w:t>
      </w:r>
      <w:r>
        <w:rPr>
          <w:color w:val="221F1F"/>
        </w:rPr>
        <w:t>end</w:t>
      </w:r>
      <w:r>
        <w:rPr>
          <w:color w:val="221F1F"/>
          <w:spacing w:val="-6"/>
        </w:rPr>
        <w:t xml:space="preserve"> </w:t>
      </w:r>
      <w:r>
        <w:rPr>
          <w:color w:val="221F1F"/>
        </w:rPr>
        <w:t>of</w:t>
      </w:r>
      <w:r>
        <w:rPr>
          <w:color w:val="221F1F"/>
          <w:spacing w:val="-5"/>
        </w:rPr>
        <w:t xml:space="preserve"> </w:t>
      </w:r>
      <w:r>
        <w:rPr>
          <w:color w:val="221F1F"/>
        </w:rPr>
        <w:t>each</w:t>
      </w:r>
      <w:r>
        <w:rPr>
          <w:color w:val="221F1F"/>
          <w:spacing w:val="-6"/>
        </w:rPr>
        <w:t xml:space="preserve"> </w:t>
      </w:r>
      <w:r>
        <w:rPr>
          <w:color w:val="221F1F"/>
        </w:rPr>
        <w:t>month,</w:t>
      </w:r>
      <w:r>
        <w:rPr>
          <w:color w:val="221F1F"/>
          <w:spacing w:val="-8"/>
        </w:rPr>
        <w:t xml:space="preserve"> </w:t>
      </w:r>
      <w:r>
        <w:rPr>
          <w:color w:val="221F1F"/>
        </w:rPr>
        <w:t>in</w:t>
      </w:r>
      <w:r>
        <w:rPr>
          <w:color w:val="221F1F"/>
          <w:spacing w:val="-6"/>
        </w:rPr>
        <w:t xml:space="preserve"> </w:t>
      </w:r>
      <w:proofErr w:type="spellStart"/>
      <w:r>
        <w:rPr>
          <w:color w:val="221F1F"/>
        </w:rPr>
        <w:t>aform</w:t>
      </w:r>
      <w:proofErr w:type="spellEnd"/>
      <w:r>
        <w:rPr>
          <w:color w:val="221F1F"/>
          <w:spacing w:val="-7"/>
        </w:rPr>
        <w:t xml:space="preserve"> </w:t>
      </w:r>
      <w:r>
        <w:rPr>
          <w:color w:val="221F1F"/>
        </w:rPr>
        <w:t>approved</w:t>
      </w:r>
      <w:r>
        <w:rPr>
          <w:color w:val="221F1F"/>
          <w:spacing w:val="-6"/>
        </w:rPr>
        <w:t xml:space="preserve"> </w:t>
      </w:r>
      <w:r>
        <w:rPr>
          <w:color w:val="221F1F"/>
        </w:rPr>
        <w:t>by</w:t>
      </w:r>
      <w:r>
        <w:rPr>
          <w:color w:val="221F1F"/>
          <w:spacing w:val="-8"/>
        </w:rPr>
        <w:t xml:space="preserve"> </w:t>
      </w:r>
      <w:r>
        <w:rPr>
          <w:color w:val="221F1F"/>
        </w:rPr>
        <w:t>the</w:t>
      </w:r>
      <w:r>
        <w:rPr>
          <w:color w:val="221F1F"/>
          <w:spacing w:val="-6"/>
        </w:rPr>
        <w:t xml:space="preserve"> </w:t>
      </w:r>
      <w:r>
        <w:rPr>
          <w:color w:val="221F1F"/>
        </w:rPr>
        <w:t>Engineer,</w:t>
      </w:r>
      <w:r>
        <w:rPr>
          <w:color w:val="221F1F"/>
          <w:spacing w:val="-5"/>
        </w:rPr>
        <w:t xml:space="preserve"> </w:t>
      </w:r>
      <w:r>
        <w:rPr>
          <w:color w:val="221F1F"/>
        </w:rPr>
        <w:t>showing</w:t>
      </w:r>
      <w:r>
        <w:rPr>
          <w:color w:val="221F1F"/>
          <w:spacing w:val="-8"/>
        </w:rPr>
        <w:t xml:space="preserve"> </w:t>
      </w:r>
      <w:r>
        <w:rPr>
          <w:color w:val="221F1F"/>
        </w:rPr>
        <w:t>in</w:t>
      </w:r>
      <w:r>
        <w:rPr>
          <w:color w:val="221F1F"/>
          <w:spacing w:val="-6"/>
        </w:rPr>
        <w:t xml:space="preserve"> </w:t>
      </w:r>
      <w:r>
        <w:rPr>
          <w:color w:val="221F1F"/>
        </w:rPr>
        <w:t>detail</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line="230" w:lineRule="auto"/>
        <w:ind w:left="1376" w:right="565"/>
        <w:jc w:val="both"/>
      </w:pPr>
      <w:r>
        <w:rPr>
          <w:color w:val="221F1F"/>
        </w:rPr>
        <w:lastRenderedPageBreak/>
        <w:t>the</w:t>
      </w:r>
      <w:r>
        <w:rPr>
          <w:color w:val="221F1F"/>
          <w:spacing w:val="-11"/>
        </w:rPr>
        <w:t xml:space="preserve"> </w:t>
      </w:r>
      <w:r>
        <w:rPr>
          <w:color w:val="221F1F"/>
        </w:rPr>
        <w:t>amounts</w:t>
      </w:r>
      <w:r>
        <w:rPr>
          <w:color w:val="221F1F"/>
          <w:spacing w:val="-11"/>
        </w:rPr>
        <w:t xml:space="preserve"> </w:t>
      </w:r>
      <w:r>
        <w:rPr>
          <w:color w:val="221F1F"/>
        </w:rPr>
        <w:t>to</w:t>
      </w:r>
      <w:r>
        <w:rPr>
          <w:color w:val="221F1F"/>
          <w:spacing w:val="-12"/>
        </w:rPr>
        <w:t xml:space="preserve"> </w:t>
      </w:r>
      <w:r>
        <w:rPr>
          <w:color w:val="221F1F"/>
        </w:rPr>
        <w:t>which</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considers</w:t>
      </w:r>
      <w:r>
        <w:rPr>
          <w:color w:val="221F1F"/>
          <w:spacing w:val="-13"/>
        </w:rPr>
        <w:t xml:space="preserve"> </w:t>
      </w:r>
      <w:r>
        <w:rPr>
          <w:color w:val="221F1F"/>
        </w:rPr>
        <w:t>itself</w:t>
      </w:r>
      <w:r>
        <w:rPr>
          <w:color w:val="221F1F"/>
          <w:spacing w:val="-10"/>
        </w:rPr>
        <w:t xml:space="preserve"> </w:t>
      </w:r>
      <w:r>
        <w:rPr>
          <w:color w:val="221F1F"/>
        </w:rPr>
        <w:t>to</w:t>
      </w:r>
      <w:r>
        <w:rPr>
          <w:color w:val="221F1F"/>
          <w:spacing w:val="-11"/>
        </w:rPr>
        <w:t xml:space="preserve"> </w:t>
      </w:r>
      <w:r>
        <w:rPr>
          <w:color w:val="221F1F"/>
        </w:rPr>
        <w:t>be</w:t>
      </w:r>
      <w:r>
        <w:rPr>
          <w:color w:val="221F1F"/>
          <w:spacing w:val="-9"/>
        </w:rPr>
        <w:t xml:space="preserve"> </w:t>
      </w:r>
      <w:r>
        <w:rPr>
          <w:color w:val="221F1F"/>
        </w:rPr>
        <w:t>entitled,</w:t>
      </w:r>
      <w:r>
        <w:rPr>
          <w:color w:val="221F1F"/>
          <w:spacing w:val="-11"/>
        </w:rPr>
        <w:t xml:space="preserve"> </w:t>
      </w:r>
      <w:r>
        <w:rPr>
          <w:color w:val="221F1F"/>
        </w:rPr>
        <w:t>together</w:t>
      </w:r>
      <w:r>
        <w:rPr>
          <w:color w:val="221F1F"/>
          <w:spacing w:val="-10"/>
        </w:rPr>
        <w:t xml:space="preserve"> </w:t>
      </w:r>
      <w:r>
        <w:rPr>
          <w:color w:val="221F1F"/>
        </w:rPr>
        <w:t>with</w:t>
      </w:r>
      <w:r>
        <w:rPr>
          <w:color w:val="221F1F"/>
          <w:spacing w:val="-12"/>
        </w:rPr>
        <w:t xml:space="preserve"> </w:t>
      </w:r>
      <w:r>
        <w:rPr>
          <w:color w:val="221F1F"/>
        </w:rPr>
        <w:t>supporting</w:t>
      </w:r>
      <w:r>
        <w:rPr>
          <w:color w:val="221F1F"/>
          <w:spacing w:val="-11"/>
        </w:rPr>
        <w:t xml:space="preserve"> </w:t>
      </w:r>
      <w:r>
        <w:rPr>
          <w:color w:val="221F1F"/>
        </w:rPr>
        <w:t>documents</w:t>
      </w:r>
      <w:r>
        <w:rPr>
          <w:color w:val="221F1F"/>
          <w:spacing w:val="-9"/>
        </w:rPr>
        <w:t xml:space="preserve"> </w:t>
      </w:r>
      <w:r>
        <w:rPr>
          <w:color w:val="221F1F"/>
        </w:rPr>
        <w:t xml:space="preserve">which shall include there </w:t>
      </w:r>
      <w:proofErr w:type="spellStart"/>
      <w:r>
        <w:rPr>
          <w:color w:val="221F1F"/>
        </w:rPr>
        <w:t>porton</w:t>
      </w:r>
      <w:proofErr w:type="spellEnd"/>
      <w:r>
        <w:rPr>
          <w:color w:val="221F1F"/>
        </w:rPr>
        <w:t xml:space="preserve"> the progress during this month in accordance with Sub-Clause4.21 [Progress </w:t>
      </w:r>
      <w:r>
        <w:rPr>
          <w:color w:val="221F1F"/>
          <w:spacing w:val="-2"/>
        </w:rPr>
        <w:t>Reports].</w:t>
      </w:r>
    </w:p>
    <w:p w:rsidR="007F6DF9" w:rsidRDefault="007F6DF9">
      <w:pPr>
        <w:pStyle w:val="BodyText"/>
        <w:spacing w:before="108"/>
      </w:pPr>
    </w:p>
    <w:p w:rsidR="007F6DF9" w:rsidRDefault="00A43FBC">
      <w:pPr>
        <w:pStyle w:val="ListParagraph"/>
        <w:numPr>
          <w:ilvl w:val="2"/>
          <w:numId w:val="122"/>
        </w:numPr>
        <w:tabs>
          <w:tab w:val="left" w:pos="1368"/>
          <w:tab w:val="left" w:pos="1376"/>
        </w:tabs>
        <w:spacing w:line="230" w:lineRule="auto"/>
        <w:ind w:left="1376" w:right="572" w:hanging="668"/>
        <w:jc w:val="both"/>
        <w:rPr>
          <w:color w:val="221F1F"/>
        </w:rPr>
      </w:pPr>
      <w:r>
        <w:rPr>
          <w:color w:val="221F1F"/>
        </w:rPr>
        <w:t>The Statement shall include the following items, as applicable, which shall be expressed in the various currencies in which the Contract Price is payable, in the sequence listed:</w:t>
      </w:r>
    </w:p>
    <w:p w:rsidR="007F6DF9" w:rsidRDefault="00A43FBC">
      <w:pPr>
        <w:pStyle w:val="ListParagraph"/>
        <w:numPr>
          <w:ilvl w:val="0"/>
          <w:numId w:val="74"/>
        </w:numPr>
        <w:tabs>
          <w:tab w:val="left" w:pos="1864"/>
          <w:tab w:val="left" w:pos="1873"/>
        </w:tabs>
        <w:spacing w:before="49" w:line="230" w:lineRule="auto"/>
        <w:ind w:right="558" w:hanging="504"/>
        <w:jc w:val="both"/>
      </w:pPr>
      <w:r>
        <w:rPr>
          <w:color w:val="221F1F"/>
        </w:rPr>
        <w:t>the</w:t>
      </w:r>
      <w:r>
        <w:rPr>
          <w:color w:val="221F1F"/>
          <w:spacing w:val="-3"/>
        </w:rPr>
        <w:t xml:space="preserve"> </w:t>
      </w:r>
      <w:r>
        <w:rPr>
          <w:color w:val="221F1F"/>
        </w:rPr>
        <w:t>estimated</w:t>
      </w:r>
      <w:r>
        <w:rPr>
          <w:color w:val="221F1F"/>
          <w:spacing w:val="-3"/>
        </w:rPr>
        <w:t xml:space="preserve"> </w:t>
      </w:r>
      <w:r>
        <w:rPr>
          <w:color w:val="221F1F"/>
        </w:rPr>
        <w:t>contract</w:t>
      </w:r>
      <w:r>
        <w:rPr>
          <w:color w:val="221F1F"/>
          <w:spacing w:val="-2"/>
        </w:rPr>
        <w:t xml:space="preserve"> </w:t>
      </w:r>
      <w:r>
        <w:rPr>
          <w:color w:val="221F1F"/>
        </w:rPr>
        <w:t>value</w:t>
      </w:r>
      <w:r>
        <w:rPr>
          <w:color w:val="221F1F"/>
          <w:spacing w:val="-3"/>
        </w:rPr>
        <w:t xml:space="preserve"> </w:t>
      </w:r>
      <w:r>
        <w:rPr>
          <w:color w:val="221F1F"/>
        </w:rPr>
        <w:t>of</w:t>
      </w:r>
      <w:r>
        <w:rPr>
          <w:color w:val="221F1F"/>
          <w:spacing w:val="-2"/>
        </w:rPr>
        <w:t xml:space="preserve"> </w:t>
      </w:r>
      <w:r>
        <w:rPr>
          <w:color w:val="221F1F"/>
        </w:rPr>
        <w:t>the Works</w:t>
      </w:r>
      <w:r>
        <w:rPr>
          <w:color w:val="221F1F"/>
          <w:spacing w:val="-11"/>
        </w:rPr>
        <w:t xml:space="preserve"> </w:t>
      </w:r>
      <w:r>
        <w:rPr>
          <w:color w:val="221F1F"/>
        </w:rPr>
        <w:t>executed</w:t>
      </w:r>
      <w:r>
        <w:rPr>
          <w:color w:val="221F1F"/>
          <w:spacing w:val="-5"/>
        </w:rPr>
        <w:t xml:space="preserve"> </w:t>
      </w:r>
      <w:r>
        <w:rPr>
          <w:color w:val="221F1F"/>
        </w:rPr>
        <w:t>and</w:t>
      </w:r>
      <w:r>
        <w:rPr>
          <w:color w:val="221F1F"/>
          <w:spacing w:val="-3"/>
        </w:rPr>
        <w:t xml:space="preserve"> </w:t>
      </w:r>
      <w:r>
        <w:rPr>
          <w:color w:val="221F1F"/>
        </w:rPr>
        <w:t>the</w:t>
      </w:r>
      <w:r>
        <w:rPr>
          <w:color w:val="221F1F"/>
          <w:spacing w:val="-3"/>
        </w:rPr>
        <w:t xml:space="preserve"> </w:t>
      </w:r>
      <w:r>
        <w:rPr>
          <w:color w:val="221F1F"/>
        </w:rPr>
        <w:t>Contractor's</w:t>
      </w:r>
      <w:r>
        <w:rPr>
          <w:color w:val="221F1F"/>
          <w:spacing w:val="-3"/>
        </w:rPr>
        <w:t xml:space="preserve"> </w:t>
      </w:r>
      <w:r>
        <w:rPr>
          <w:color w:val="221F1F"/>
        </w:rPr>
        <w:t>Documents</w:t>
      </w:r>
      <w:r>
        <w:rPr>
          <w:color w:val="221F1F"/>
          <w:spacing w:val="-3"/>
        </w:rPr>
        <w:t xml:space="preserve"> </w:t>
      </w:r>
      <w:r>
        <w:rPr>
          <w:color w:val="221F1F"/>
        </w:rPr>
        <w:t>produced</w:t>
      </w:r>
      <w:r>
        <w:rPr>
          <w:color w:val="221F1F"/>
          <w:spacing w:val="-3"/>
        </w:rPr>
        <w:t xml:space="preserve"> </w:t>
      </w:r>
      <w:r>
        <w:rPr>
          <w:color w:val="221F1F"/>
        </w:rPr>
        <w:t>up</w:t>
      </w:r>
      <w:r>
        <w:rPr>
          <w:color w:val="221F1F"/>
          <w:spacing w:val="-5"/>
        </w:rPr>
        <w:t xml:space="preserve"> </w:t>
      </w:r>
      <w:r>
        <w:rPr>
          <w:color w:val="221F1F"/>
        </w:rPr>
        <w:t>to</w:t>
      </w:r>
      <w:r>
        <w:rPr>
          <w:color w:val="221F1F"/>
          <w:spacing w:val="-3"/>
        </w:rPr>
        <w:t xml:space="preserve"> </w:t>
      </w:r>
      <w:r>
        <w:rPr>
          <w:color w:val="221F1F"/>
        </w:rPr>
        <w:t xml:space="preserve">the end of the month (including Variations but excluding items described in sub-paragraphs (b) to (g) </w:t>
      </w:r>
      <w:r>
        <w:rPr>
          <w:color w:val="221F1F"/>
          <w:spacing w:val="-2"/>
        </w:rPr>
        <w:t>below);</w:t>
      </w:r>
    </w:p>
    <w:p w:rsidR="007F6DF9" w:rsidRDefault="00A43FBC">
      <w:pPr>
        <w:pStyle w:val="ListParagraph"/>
        <w:numPr>
          <w:ilvl w:val="0"/>
          <w:numId w:val="74"/>
        </w:numPr>
        <w:tabs>
          <w:tab w:val="left" w:pos="1864"/>
          <w:tab w:val="left" w:pos="1873"/>
        </w:tabs>
        <w:spacing w:before="47" w:line="230" w:lineRule="auto"/>
        <w:ind w:right="566" w:hanging="504"/>
        <w:jc w:val="both"/>
      </w:pPr>
      <w:r>
        <w:rPr>
          <w:color w:val="221F1F"/>
        </w:rPr>
        <w:t>any amounts to be added and deducted for changes in legislation and changes in cost, in accordance with</w:t>
      </w:r>
      <w:r>
        <w:rPr>
          <w:color w:val="221F1F"/>
          <w:spacing w:val="-2"/>
        </w:rPr>
        <w:t xml:space="preserve"> </w:t>
      </w:r>
      <w:r>
        <w:rPr>
          <w:color w:val="221F1F"/>
        </w:rPr>
        <w:t>Sub-Clause</w:t>
      </w:r>
      <w:r>
        <w:rPr>
          <w:color w:val="221F1F"/>
          <w:spacing w:val="-4"/>
        </w:rPr>
        <w:t xml:space="preserve"> </w:t>
      </w:r>
      <w:r>
        <w:rPr>
          <w:color w:val="221F1F"/>
        </w:rPr>
        <w:t>13.7</w:t>
      </w:r>
      <w:r>
        <w:rPr>
          <w:color w:val="221F1F"/>
          <w:spacing w:val="-5"/>
        </w:rPr>
        <w:t xml:space="preserve"> </w:t>
      </w:r>
      <w:r>
        <w:rPr>
          <w:color w:val="221F1F"/>
        </w:rPr>
        <w:t>[Adjustments</w:t>
      </w:r>
      <w:r>
        <w:rPr>
          <w:color w:val="221F1F"/>
          <w:spacing w:val="-4"/>
        </w:rPr>
        <w:t xml:space="preserve"> </w:t>
      </w:r>
      <w:r>
        <w:rPr>
          <w:color w:val="221F1F"/>
        </w:rPr>
        <w:t>for</w:t>
      </w:r>
      <w:r>
        <w:rPr>
          <w:color w:val="221F1F"/>
          <w:spacing w:val="-2"/>
        </w:rPr>
        <w:t xml:space="preserve"> </w:t>
      </w:r>
      <w:r>
        <w:rPr>
          <w:color w:val="221F1F"/>
        </w:rPr>
        <w:t>Changes</w:t>
      </w:r>
      <w:r>
        <w:rPr>
          <w:color w:val="221F1F"/>
          <w:spacing w:val="-2"/>
        </w:rPr>
        <w:t xml:space="preserve"> </w:t>
      </w:r>
      <w:r>
        <w:rPr>
          <w:color w:val="221F1F"/>
        </w:rPr>
        <w:t>in</w:t>
      </w:r>
      <w:r>
        <w:rPr>
          <w:color w:val="221F1F"/>
          <w:spacing w:val="-5"/>
        </w:rPr>
        <w:t xml:space="preserve"> </w:t>
      </w:r>
      <w:r>
        <w:rPr>
          <w:color w:val="221F1F"/>
        </w:rPr>
        <w:t>Legislation]</w:t>
      </w:r>
      <w:r>
        <w:rPr>
          <w:color w:val="221F1F"/>
          <w:spacing w:val="-2"/>
        </w:rPr>
        <w:t xml:space="preserve"> </w:t>
      </w:r>
      <w:r>
        <w:rPr>
          <w:color w:val="221F1F"/>
        </w:rPr>
        <w:t>and</w:t>
      </w:r>
      <w:r>
        <w:rPr>
          <w:color w:val="221F1F"/>
          <w:spacing w:val="-4"/>
        </w:rPr>
        <w:t xml:space="preserve"> </w:t>
      </w:r>
      <w:r>
        <w:rPr>
          <w:color w:val="221F1F"/>
        </w:rPr>
        <w:t>Sub-Clause</w:t>
      </w:r>
      <w:r>
        <w:rPr>
          <w:color w:val="221F1F"/>
          <w:spacing w:val="-2"/>
        </w:rPr>
        <w:t xml:space="preserve"> </w:t>
      </w:r>
      <w:r>
        <w:rPr>
          <w:color w:val="221F1F"/>
        </w:rPr>
        <w:t>13.8</w:t>
      </w:r>
      <w:r>
        <w:rPr>
          <w:color w:val="221F1F"/>
          <w:spacing w:val="-2"/>
        </w:rPr>
        <w:t xml:space="preserve"> </w:t>
      </w:r>
      <w:r>
        <w:rPr>
          <w:color w:val="221F1F"/>
        </w:rPr>
        <w:t>[Adjustments</w:t>
      </w:r>
      <w:r>
        <w:rPr>
          <w:color w:val="221F1F"/>
          <w:spacing w:val="-2"/>
        </w:rPr>
        <w:t xml:space="preserve"> </w:t>
      </w:r>
      <w:r>
        <w:rPr>
          <w:color w:val="221F1F"/>
        </w:rPr>
        <w:t>for Changes in Cost];</w:t>
      </w:r>
    </w:p>
    <w:p w:rsidR="007F6DF9" w:rsidRDefault="00A43FBC">
      <w:pPr>
        <w:pStyle w:val="ListParagraph"/>
        <w:numPr>
          <w:ilvl w:val="0"/>
          <w:numId w:val="74"/>
        </w:numPr>
        <w:tabs>
          <w:tab w:val="left" w:pos="1864"/>
          <w:tab w:val="left" w:pos="1873"/>
        </w:tabs>
        <w:spacing w:before="51" w:line="230" w:lineRule="auto"/>
        <w:ind w:right="565" w:hanging="504"/>
        <w:jc w:val="both"/>
      </w:pPr>
      <w:r>
        <w:rPr>
          <w:color w:val="221F1F"/>
        </w:rPr>
        <w:t>any</w:t>
      </w:r>
      <w:r>
        <w:rPr>
          <w:color w:val="221F1F"/>
          <w:spacing w:val="-8"/>
        </w:rPr>
        <w:t xml:space="preserve"> </w:t>
      </w:r>
      <w:r>
        <w:rPr>
          <w:color w:val="221F1F"/>
        </w:rPr>
        <w:t>amount</w:t>
      </w:r>
      <w:r>
        <w:rPr>
          <w:color w:val="221F1F"/>
          <w:spacing w:val="-10"/>
        </w:rPr>
        <w:t xml:space="preserve"> </w:t>
      </w:r>
      <w:r>
        <w:rPr>
          <w:color w:val="221F1F"/>
        </w:rPr>
        <w:t>to</w:t>
      </w:r>
      <w:r>
        <w:rPr>
          <w:color w:val="221F1F"/>
          <w:spacing w:val="-8"/>
        </w:rPr>
        <w:t xml:space="preserve"> </w:t>
      </w:r>
      <w:r>
        <w:rPr>
          <w:color w:val="221F1F"/>
        </w:rPr>
        <w:t>be</w:t>
      </w:r>
      <w:r>
        <w:rPr>
          <w:color w:val="221F1F"/>
          <w:spacing w:val="-10"/>
        </w:rPr>
        <w:t xml:space="preserve"> </w:t>
      </w:r>
      <w:r>
        <w:rPr>
          <w:color w:val="221F1F"/>
        </w:rPr>
        <w:t>deducted</w:t>
      </w:r>
      <w:r>
        <w:rPr>
          <w:color w:val="221F1F"/>
          <w:spacing w:val="-10"/>
        </w:rPr>
        <w:t xml:space="preserve"> </w:t>
      </w:r>
      <w:r>
        <w:rPr>
          <w:color w:val="221F1F"/>
        </w:rPr>
        <w:t>for</w:t>
      </w:r>
      <w:r>
        <w:rPr>
          <w:color w:val="221F1F"/>
          <w:spacing w:val="-10"/>
        </w:rPr>
        <w:t xml:space="preserve"> </w:t>
      </w:r>
      <w:r>
        <w:rPr>
          <w:color w:val="221F1F"/>
        </w:rPr>
        <w:t>retention,</w:t>
      </w:r>
      <w:r>
        <w:rPr>
          <w:color w:val="221F1F"/>
          <w:spacing w:val="-8"/>
        </w:rPr>
        <w:t xml:space="preserve"> </w:t>
      </w:r>
      <w:r>
        <w:rPr>
          <w:color w:val="221F1F"/>
        </w:rPr>
        <w:t>calculated</w:t>
      </w:r>
      <w:r>
        <w:rPr>
          <w:color w:val="221F1F"/>
          <w:spacing w:val="-7"/>
        </w:rPr>
        <w:t xml:space="preserve"> </w:t>
      </w:r>
      <w:r>
        <w:rPr>
          <w:color w:val="221F1F"/>
        </w:rPr>
        <w:t>by</w:t>
      </w:r>
      <w:r>
        <w:rPr>
          <w:color w:val="221F1F"/>
          <w:spacing w:val="-11"/>
        </w:rPr>
        <w:t xml:space="preserve"> </w:t>
      </w:r>
      <w:r>
        <w:rPr>
          <w:color w:val="221F1F"/>
        </w:rPr>
        <w:t>applying</w:t>
      </w:r>
      <w:r>
        <w:rPr>
          <w:color w:val="221F1F"/>
          <w:spacing w:val="-11"/>
        </w:rPr>
        <w:t xml:space="preserve"> </w:t>
      </w:r>
      <w:r>
        <w:rPr>
          <w:color w:val="221F1F"/>
        </w:rPr>
        <w:t>the</w:t>
      </w:r>
      <w:r>
        <w:rPr>
          <w:color w:val="221F1F"/>
          <w:spacing w:val="-10"/>
        </w:rPr>
        <w:t xml:space="preserve"> </w:t>
      </w:r>
      <w:r>
        <w:rPr>
          <w:color w:val="221F1F"/>
        </w:rPr>
        <w:t>percentage</w:t>
      </w:r>
      <w:r>
        <w:rPr>
          <w:color w:val="221F1F"/>
          <w:spacing w:val="-7"/>
        </w:rPr>
        <w:t xml:space="preserve"> </w:t>
      </w:r>
      <w:r>
        <w:rPr>
          <w:color w:val="221F1F"/>
        </w:rPr>
        <w:t>of</w:t>
      </w:r>
      <w:r>
        <w:rPr>
          <w:color w:val="221F1F"/>
          <w:spacing w:val="-10"/>
        </w:rPr>
        <w:t xml:space="preserve"> </w:t>
      </w:r>
      <w:r>
        <w:rPr>
          <w:color w:val="221F1F"/>
        </w:rPr>
        <w:t>retention</w:t>
      </w:r>
      <w:r>
        <w:rPr>
          <w:color w:val="221F1F"/>
          <w:spacing w:val="-8"/>
        </w:rPr>
        <w:t xml:space="preserve"> </w:t>
      </w:r>
      <w:r>
        <w:rPr>
          <w:color w:val="221F1F"/>
        </w:rPr>
        <w:t>stated</w:t>
      </w:r>
      <w:r>
        <w:rPr>
          <w:color w:val="221F1F"/>
          <w:spacing w:val="-10"/>
        </w:rPr>
        <w:t xml:space="preserve"> </w:t>
      </w:r>
      <w:r>
        <w:rPr>
          <w:color w:val="221F1F"/>
        </w:rPr>
        <w:t>in</w:t>
      </w:r>
      <w:r>
        <w:rPr>
          <w:color w:val="221F1F"/>
          <w:spacing w:val="-11"/>
        </w:rPr>
        <w:t xml:space="preserve"> </w:t>
      </w:r>
      <w:r>
        <w:rPr>
          <w:b/>
          <w:color w:val="221F1F"/>
        </w:rPr>
        <w:t xml:space="preserve">the Special Conditions of Contract </w:t>
      </w:r>
      <w:r>
        <w:rPr>
          <w:color w:val="221F1F"/>
        </w:rPr>
        <w:t>to</w:t>
      </w:r>
      <w:r>
        <w:rPr>
          <w:color w:val="221F1F"/>
          <w:spacing w:val="-1"/>
        </w:rPr>
        <w:t xml:space="preserve"> </w:t>
      </w:r>
      <w:r>
        <w:rPr>
          <w:color w:val="221F1F"/>
        </w:rPr>
        <w:t>the</w:t>
      </w:r>
      <w:r>
        <w:rPr>
          <w:color w:val="221F1F"/>
          <w:spacing w:val="-1"/>
        </w:rPr>
        <w:t xml:space="preserve"> </w:t>
      </w:r>
      <w:r>
        <w:rPr>
          <w:color w:val="221F1F"/>
        </w:rPr>
        <w:t>total of the</w:t>
      </w:r>
      <w:r>
        <w:rPr>
          <w:color w:val="221F1F"/>
          <w:spacing w:val="-1"/>
        </w:rPr>
        <w:t xml:space="preserve"> </w:t>
      </w:r>
      <w:r>
        <w:rPr>
          <w:color w:val="221F1F"/>
        </w:rPr>
        <w:t>above amounts, until the</w:t>
      </w:r>
      <w:r>
        <w:rPr>
          <w:color w:val="221F1F"/>
          <w:spacing w:val="-1"/>
        </w:rPr>
        <w:t xml:space="preserve"> </w:t>
      </w:r>
      <w:r>
        <w:rPr>
          <w:color w:val="221F1F"/>
        </w:rPr>
        <w:t xml:space="preserve">amount so retained by the Procuring Entity reaches the limit of Retention Money (if any) stated </w:t>
      </w:r>
      <w:r>
        <w:rPr>
          <w:b/>
          <w:color w:val="221F1F"/>
        </w:rPr>
        <w:t xml:space="preserve">in the Special Conditions of </w:t>
      </w:r>
      <w:r>
        <w:rPr>
          <w:b/>
          <w:color w:val="221F1F"/>
          <w:spacing w:val="-2"/>
        </w:rPr>
        <w:t>Contract</w:t>
      </w:r>
      <w:r>
        <w:rPr>
          <w:color w:val="221F1F"/>
          <w:spacing w:val="-2"/>
        </w:rPr>
        <w:t>;</w:t>
      </w:r>
    </w:p>
    <w:p w:rsidR="007F6DF9" w:rsidRDefault="00A43FBC">
      <w:pPr>
        <w:pStyle w:val="ListParagraph"/>
        <w:numPr>
          <w:ilvl w:val="0"/>
          <w:numId w:val="74"/>
        </w:numPr>
        <w:tabs>
          <w:tab w:val="left" w:pos="1862"/>
          <w:tab w:val="left" w:pos="1873"/>
        </w:tabs>
        <w:spacing w:before="51" w:line="230" w:lineRule="auto"/>
        <w:ind w:right="567" w:hanging="504"/>
        <w:jc w:val="both"/>
      </w:pPr>
      <w:r>
        <w:rPr>
          <w:color w:val="221F1F"/>
        </w:rPr>
        <w:t>any</w:t>
      </w:r>
      <w:r>
        <w:rPr>
          <w:color w:val="221F1F"/>
          <w:spacing w:val="-3"/>
        </w:rPr>
        <w:t xml:space="preserve"> </w:t>
      </w:r>
      <w:r>
        <w:rPr>
          <w:color w:val="221F1F"/>
        </w:rPr>
        <w:t>amounts</w:t>
      </w:r>
      <w:r>
        <w:rPr>
          <w:color w:val="221F1F"/>
          <w:spacing w:val="-5"/>
        </w:rPr>
        <w:t xml:space="preserve"> </w:t>
      </w:r>
      <w:r>
        <w:rPr>
          <w:color w:val="221F1F"/>
        </w:rPr>
        <w:t>to</w:t>
      </w:r>
      <w:r>
        <w:rPr>
          <w:color w:val="221F1F"/>
          <w:spacing w:val="-4"/>
        </w:rPr>
        <w:t xml:space="preserve"> </w:t>
      </w:r>
      <w:r>
        <w:rPr>
          <w:color w:val="221F1F"/>
        </w:rPr>
        <w:t>be</w:t>
      </w:r>
      <w:r>
        <w:rPr>
          <w:color w:val="221F1F"/>
          <w:spacing w:val="-6"/>
        </w:rPr>
        <w:t xml:space="preserve"> </w:t>
      </w:r>
      <w:r>
        <w:rPr>
          <w:color w:val="221F1F"/>
        </w:rPr>
        <w:t>added</w:t>
      </w:r>
      <w:r>
        <w:rPr>
          <w:color w:val="221F1F"/>
          <w:spacing w:val="-5"/>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advance</w:t>
      </w:r>
      <w:r>
        <w:rPr>
          <w:color w:val="221F1F"/>
          <w:spacing w:val="-5"/>
        </w:rPr>
        <w:t xml:space="preserve"> </w:t>
      </w:r>
      <w:r>
        <w:rPr>
          <w:color w:val="221F1F"/>
        </w:rPr>
        <w:t>payment</w:t>
      </w:r>
      <w:r>
        <w:rPr>
          <w:color w:val="221F1F"/>
          <w:spacing w:val="-4"/>
        </w:rPr>
        <w:t xml:space="preserve"> </w:t>
      </w:r>
      <w:r>
        <w:rPr>
          <w:color w:val="221F1F"/>
        </w:rPr>
        <w:t>and</w:t>
      </w:r>
      <w:r>
        <w:rPr>
          <w:color w:val="221F1F"/>
          <w:spacing w:val="-8"/>
        </w:rPr>
        <w:t xml:space="preserve"> </w:t>
      </w:r>
      <w:r>
        <w:rPr>
          <w:color w:val="221F1F"/>
        </w:rPr>
        <w:t>(if</w:t>
      </w:r>
      <w:r>
        <w:rPr>
          <w:color w:val="221F1F"/>
          <w:spacing w:val="-7"/>
        </w:rPr>
        <w:t xml:space="preserve"> </w:t>
      </w:r>
      <w:r>
        <w:rPr>
          <w:color w:val="221F1F"/>
        </w:rPr>
        <w:t>more</w:t>
      </w:r>
      <w:r>
        <w:rPr>
          <w:color w:val="221F1F"/>
          <w:spacing w:val="-6"/>
        </w:rPr>
        <w:t xml:space="preserve"> </w:t>
      </w:r>
      <w:r>
        <w:rPr>
          <w:color w:val="221F1F"/>
        </w:rPr>
        <w:t>than</w:t>
      </w:r>
      <w:r>
        <w:rPr>
          <w:color w:val="221F1F"/>
          <w:spacing w:val="-6"/>
        </w:rPr>
        <w:t xml:space="preserve"> </w:t>
      </w:r>
      <w:r>
        <w:rPr>
          <w:color w:val="221F1F"/>
        </w:rPr>
        <w:t>one</w:t>
      </w:r>
      <w:r>
        <w:rPr>
          <w:color w:val="221F1F"/>
          <w:spacing w:val="-6"/>
        </w:rPr>
        <w:t xml:space="preserve"> </w:t>
      </w:r>
      <w:r>
        <w:rPr>
          <w:color w:val="221F1F"/>
        </w:rPr>
        <w:t>instalment)</w:t>
      </w:r>
      <w:r>
        <w:rPr>
          <w:color w:val="221F1F"/>
          <w:spacing w:val="-4"/>
        </w:rPr>
        <w:t xml:space="preserve"> </w:t>
      </w:r>
      <w:r>
        <w:rPr>
          <w:color w:val="221F1F"/>
        </w:rPr>
        <w:t>and</w:t>
      </w:r>
      <w:r>
        <w:rPr>
          <w:color w:val="221F1F"/>
          <w:spacing w:val="-6"/>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deducted for its repayments in accordance with Sub-Clause 14.2 [Advance Payment];</w:t>
      </w:r>
    </w:p>
    <w:p w:rsidR="007F6DF9" w:rsidRDefault="00A43FBC">
      <w:pPr>
        <w:pStyle w:val="ListParagraph"/>
        <w:numPr>
          <w:ilvl w:val="0"/>
          <w:numId w:val="74"/>
        </w:numPr>
        <w:tabs>
          <w:tab w:val="left" w:pos="1862"/>
          <w:tab w:val="left" w:pos="1873"/>
        </w:tabs>
        <w:spacing w:before="50" w:line="230" w:lineRule="auto"/>
        <w:ind w:right="567" w:hanging="504"/>
        <w:jc w:val="both"/>
      </w:pPr>
      <w:r>
        <w:rPr>
          <w:color w:val="221F1F"/>
        </w:rPr>
        <w:t>any amounts to be added and deducted for Plant and Materials in accordance with Sub-Clause 14.5 [Plant and Materials intended for the Works];</w:t>
      </w:r>
    </w:p>
    <w:p w:rsidR="007F6DF9" w:rsidRDefault="00A43FBC">
      <w:pPr>
        <w:pStyle w:val="ListParagraph"/>
        <w:numPr>
          <w:ilvl w:val="0"/>
          <w:numId w:val="74"/>
        </w:numPr>
        <w:tabs>
          <w:tab w:val="left" w:pos="1862"/>
          <w:tab w:val="left" w:pos="1873"/>
        </w:tabs>
        <w:spacing w:before="50" w:line="230" w:lineRule="auto"/>
        <w:ind w:right="565" w:hanging="504"/>
        <w:jc w:val="both"/>
      </w:pPr>
      <w:r>
        <w:rPr>
          <w:color w:val="221F1F"/>
        </w:rPr>
        <w:t>any other additions or deductions which may have become due under the Contractor otherwise, including those under Clause 20 [Claims, Disputes and Arbitration]; and</w:t>
      </w:r>
    </w:p>
    <w:p w:rsidR="007F6DF9" w:rsidRDefault="00A43FBC">
      <w:pPr>
        <w:pStyle w:val="ListParagraph"/>
        <w:numPr>
          <w:ilvl w:val="0"/>
          <w:numId w:val="74"/>
        </w:numPr>
        <w:tabs>
          <w:tab w:val="left" w:pos="1862"/>
        </w:tabs>
        <w:spacing w:before="41"/>
        <w:ind w:left="1862" w:hanging="493"/>
        <w:jc w:val="both"/>
      </w:pPr>
      <w:r>
        <w:rPr>
          <w:color w:val="221F1F"/>
        </w:rPr>
        <w:t>the</w:t>
      </w:r>
      <w:r>
        <w:rPr>
          <w:color w:val="221F1F"/>
          <w:spacing w:val="-5"/>
        </w:rPr>
        <w:t xml:space="preserve"> </w:t>
      </w:r>
      <w:r>
        <w:rPr>
          <w:color w:val="221F1F"/>
        </w:rPr>
        <w:t>deduction</w:t>
      </w:r>
      <w:r>
        <w:rPr>
          <w:color w:val="221F1F"/>
          <w:spacing w:val="-5"/>
        </w:rPr>
        <w:t xml:space="preserve"> </w:t>
      </w:r>
      <w:r>
        <w:rPr>
          <w:color w:val="221F1F"/>
        </w:rPr>
        <w:t>of</w:t>
      </w:r>
      <w:r>
        <w:rPr>
          <w:color w:val="221F1F"/>
          <w:spacing w:val="-7"/>
        </w:rPr>
        <w:t xml:space="preserve"> </w:t>
      </w:r>
      <w:r>
        <w:rPr>
          <w:color w:val="221F1F"/>
        </w:rPr>
        <w:t>amounts</w:t>
      </w:r>
      <w:r>
        <w:rPr>
          <w:color w:val="221F1F"/>
          <w:spacing w:val="-4"/>
        </w:rPr>
        <w:t xml:space="preserve"> </w:t>
      </w:r>
      <w:r>
        <w:rPr>
          <w:color w:val="221F1F"/>
        </w:rPr>
        <w:t>certified</w:t>
      </w:r>
      <w:r>
        <w:rPr>
          <w:color w:val="221F1F"/>
          <w:spacing w:val="-6"/>
        </w:rPr>
        <w:t xml:space="preserve"> </w:t>
      </w:r>
      <w:r>
        <w:rPr>
          <w:color w:val="221F1F"/>
        </w:rPr>
        <w:t>in</w:t>
      </w:r>
      <w:r>
        <w:rPr>
          <w:color w:val="221F1F"/>
          <w:spacing w:val="-5"/>
        </w:rPr>
        <w:t xml:space="preserve"> </w:t>
      </w:r>
      <w:r>
        <w:rPr>
          <w:color w:val="221F1F"/>
        </w:rPr>
        <w:t>all</w:t>
      </w:r>
      <w:r>
        <w:rPr>
          <w:color w:val="221F1F"/>
          <w:spacing w:val="-4"/>
        </w:rPr>
        <w:t xml:space="preserve"> </w:t>
      </w:r>
      <w:r>
        <w:rPr>
          <w:color w:val="221F1F"/>
        </w:rPr>
        <w:t>previous</w:t>
      </w:r>
      <w:r>
        <w:rPr>
          <w:color w:val="221F1F"/>
          <w:spacing w:val="-4"/>
        </w:rPr>
        <w:t xml:space="preserve"> </w:t>
      </w:r>
      <w:r>
        <w:rPr>
          <w:color w:val="221F1F"/>
        </w:rPr>
        <w:t>Payment</w:t>
      </w:r>
      <w:r>
        <w:rPr>
          <w:color w:val="221F1F"/>
          <w:spacing w:val="-4"/>
        </w:rPr>
        <w:t xml:space="preserve"> </w:t>
      </w:r>
      <w:r>
        <w:rPr>
          <w:color w:val="221F1F"/>
          <w:spacing w:val="-2"/>
        </w:rPr>
        <w:t>Certificates.</w:t>
      </w:r>
    </w:p>
    <w:p w:rsidR="007F6DF9" w:rsidRDefault="00A43FBC">
      <w:pPr>
        <w:pStyle w:val="Heading9"/>
        <w:numPr>
          <w:ilvl w:val="1"/>
          <w:numId w:val="122"/>
        </w:numPr>
        <w:tabs>
          <w:tab w:val="left" w:pos="1368"/>
        </w:tabs>
        <w:spacing w:before="234"/>
        <w:ind w:left="1368" w:hanging="660"/>
        <w:rPr>
          <w:color w:val="221F1F"/>
        </w:rPr>
      </w:pPr>
      <w:r>
        <w:rPr>
          <w:color w:val="221F1F"/>
        </w:rPr>
        <w:t>Schedule</w:t>
      </w:r>
      <w:r>
        <w:rPr>
          <w:color w:val="221F1F"/>
          <w:spacing w:val="-2"/>
        </w:rPr>
        <w:t xml:space="preserve"> </w:t>
      </w:r>
      <w:r>
        <w:rPr>
          <w:color w:val="221F1F"/>
        </w:rPr>
        <w:t xml:space="preserve">of </w:t>
      </w:r>
      <w:r>
        <w:rPr>
          <w:color w:val="221F1F"/>
          <w:spacing w:val="-2"/>
        </w:rPr>
        <w:t>Payments</w:t>
      </w:r>
    </w:p>
    <w:p w:rsidR="007F6DF9" w:rsidRDefault="007F6DF9">
      <w:pPr>
        <w:pStyle w:val="BodyText"/>
        <w:spacing w:before="100"/>
        <w:rPr>
          <w:b/>
        </w:rPr>
      </w:pPr>
    </w:p>
    <w:p w:rsidR="007F6DF9" w:rsidRDefault="00A43FBC">
      <w:pPr>
        <w:pStyle w:val="ListParagraph"/>
        <w:numPr>
          <w:ilvl w:val="2"/>
          <w:numId w:val="122"/>
        </w:numPr>
        <w:tabs>
          <w:tab w:val="left" w:pos="1365"/>
          <w:tab w:val="left" w:pos="1373"/>
        </w:tabs>
        <w:spacing w:line="232" w:lineRule="auto"/>
        <w:ind w:left="1373" w:right="563" w:hanging="666"/>
        <w:jc w:val="both"/>
        <w:rPr>
          <w:color w:val="221F1F"/>
        </w:rPr>
      </w:pPr>
      <w:r>
        <w:rPr>
          <w:color w:val="221F1F"/>
        </w:rPr>
        <w:t xml:space="preserve">I </w:t>
      </w:r>
      <w:proofErr w:type="spellStart"/>
      <w:r>
        <w:rPr>
          <w:color w:val="221F1F"/>
        </w:rPr>
        <w:t>fthe</w:t>
      </w:r>
      <w:proofErr w:type="spellEnd"/>
      <w:r>
        <w:rPr>
          <w:color w:val="221F1F"/>
        </w:rPr>
        <w:t xml:space="preserve"> Contract includes a schedule of payments specifying the instalments in which the Contract Price will be paid, then unless otherwise stated in this schedule:</w:t>
      </w:r>
    </w:p>
    <w:p w:rsidR="007F6DF9" w:rsidRDefault="00A43FBC">
      <w:pPr>
        <w:pStyle w:val="ListParagraph"/>
        <w:numPr>
          <w:ilvl w:val="0"/>
          <w:numId w:val="73"/>
        </w:numPr>
        <w:tabs>
          <w:tab w:val="left" w:pos="1861"/>
          <w:tab w:val="left" w:pos="1865"/>
        </w:tabs>
        <w:spacing w:before="73" w:line="230" w:lineRule="auto"/>
        <w:ind w:right="565" w:hanging="497"/>
        <w:jc w:val="both"/>
      </w:pPr>
      <w:r>
        <w:rPr>
          <w:color w:val="221F1F"/>
        </w:rPr>
        <w:t>The instalments quoted in this schedule of payments shall be the estimated contract values for the purposes of sub-paragraph (a) of Sub-Clause 14.3 [Application for Interim Payment Certificates];</w:t>
      </w:r>
    </w:p>
    <w:p w:rsidR="007F6DF9" w:rsidRDefault="00A43FBC">
      <w:pPr>
        <w:pStyle w:val="ListParagraph"/>
        <w:numPr>
          <w:ilvl w:val="0"/>
          <w:numId w:val="73"/>
        </w:numPr>
        <w:tabs>
          <w:tab w:val="left" w:pos="1862"/>
        </w:tabs>
        <w:spacing w:before="66"/>
        <w:ind w:left="1862" w:hanging="493"/>
        <w:jc w:val="both"/>
      </w:pPr>
      <w:r>
        <w:rPr>
          <w:color w:val="221F1F"/>
        </w:rPr>
        <w:t>Sub-Clause</w:t>
      </w:r>
      <w:r>
        <w:rPr>
          <w:color w:val="221F1F"/>
          <w:spacing w:val="-7"/>
        </w:rPr>
        <w:t xml:space="preserve"> </w:t>
      </w:r>
      <w:r>
        <w:rPr>
          <w:color w:val="221F1F"/>
        </w:rPr>
        <w:t>14.5</w:t>
      </w:r>
      <w:r>
        <w:rPr>
          <w:color w:val="221F1F"/>
          <w:spacing w:val="-7"/>
        </w:rPr>
        <w:t xml:space="preserve"> </w:t>
      </w:r>
      <w:r>
        <w:rPr>
          <w:color w:val="221F1F"/>
        </w:rPr>
        <w:t>[Plant</w:t>
      </w:r>
      <w:r>
        <w:rPr>
          <w:color w:val="221F1F"/>
          <w:spacing w:val="-2"/>
        </w:rPr>
        <w:t xml:space="preserve"> </w:t>
      </w:r>
      <w:r>
        <w:rPr>
          <w:color w:val="221F1F"/>
        </w:rPr>
        <w:t>and</w:t>
      </w:r>
      <w:r>
        <w:rPr>
          <w:color w:val="221F1F"/>
          <w:spacing w:val="-8"/>
        </w:rPr>
        <w:t xml:space="preserve"> </w:t>
      </w:r>
      <w:r>
        <w:rPr>
          <w:color w:val="221F1F"/>
        </w:rPr>
        <w:t>Materials</w:t>
      </w:r>
      <w:r>
        <w:rPr>
          <w:color w:val="221F1F"/>
          <w:spacing w:val="-3"/>
        </w:rPr>
        <w:t xml:space="preserve"> </w:t>
      </w:r>
      <w:r>
        <w:rPr>
          <w:color w:val="221F1F"/>
        </w:rPr>
        <w:t>intended</w:t>
      </w:r>
      <w:r>
        <w:rPr>
          <w:color w:val="221F1F"/>
          <w:spacing w:val="-6"/>
        </w:rPr>
        <w:t xml:space="preserve"> </w:t>
      </w:r>
      <w:r>
        <w:rPr>
          <w:color w:val="221F1F"/>
        </w:rPr>
        <w:t>for</w:t>
      </w:r>
      <w:r>
        <w:rPr>
          <w:color w:val="221F1F"/>
          <w:spacing w:val="-6"/>
        </w:rPr>
        <w:t xml:space="preserve"> </w:t>
      </w:r>
      <w:r>
        <w:rPr>
          <w:color w:val="221F1F"/>
        </w:rPr>
        <w:t>the</w:t>
      </w:r>
      <w:r>
        <w:rPr>
          <w:color w:val="221F1F"/>
          <w:spacing w:val="-6"/>
        </w:rPr>
        <w:t xml:space="preserve"> </w:t>
      </w:r>
      <w:r>
        <w:rPr>
          <w:color w:val="221F1F"/>
        </w:rPr>
        <w:t>Works]</w:t>
      </w:r>
      <w:r>
        <w:rPr>
          <w:color w:val="221F1F"/>
          <w:spacing w:val="-8"/>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apply;</w:t>
      </w:r>
      <w:r>
        <w:rPr>
          <w:color w:val="221F1F"/>
          <w:spacing w:val="-2"/>
        </w:rPr>
        <w:t xml:space="preserve"> </w:t>
      </w:r>
      <w:r>
        <w:rPr>
          <w:color w:val="221F1F"/>
          <w:spacing w:val="-5"/>
        </w:rPr>
        <w:t>and</w:t>
      </w:r>
    </w:p>
    <w:p w:rsidR="007F6DF9" w:rsidRDefault="00A43FBC">
      <w:pPr>
        <w:pStyle w:val="ListParagraph"/>
        <w:numPr>
          <w:ilvl w:val="0"/>
          <w:numId w:val="73"/>
        </w:numPr>
        <w:tabs>
          <w:tab w:val="left" w:pos="1861"/>
          <w:tab w:val="left" w:pos="1865"/>
        </w:tabs>
        <w:spacing w:before="72" w:line="230" w:lineRule="auto"/>
        <w:ind w:right="565" w:hanging="497"/>
        <w:jc w:val="both"/>
      </w:pPr>
      <w:r>
        <w:rPr>
          <w:color w:val="221F1F"/>
        </w:rPr>
        <w:t>If</w:t>
      </w:r>
      <w:r>
        <w:rPr>
          <w:color w:val="221F1F"/>
          <w:spacing w:val="-8"/>
        </w:rPr>
        <w:t xml:space="preserve"> </w:t>
      </w:r>
      <w:r>
        <w:rPr>
          <w:color w:val="221F1F"/>
        </w:rPr>
        <w:t>these</w:t>
      </w:r>
      <w:r>
        <w:rPr>
          <w:color w:val="221F1F"/>
          <w:spacing w:val="-9"/>
        </w:rPr>
        <w:t xml:space="preserve"> </w:t>
      </w:r>
      <w:r>
        <w:rPr>
          <w:color w:val="221F1F"/>
        </w:rPr>
        <w:t>instalments</w:t>
      </w:r>
      <w:r>
        <w:rPr>
          <w:color w:val="221F1F"/>
          <w:spacing w:val="-7"/>
        </w:rPr>
        <w:t xml:space="preserve"> </w:t>
      </w:r>
      <w:r>
        <w:rPr>
          <w:color w:val="221F1F"/>
        </w:rPr>
        <w:t>are</w:t>
      </w:r>
      <w:r>
        <w:rPr>
          <w:color w:val="221F1F"/>
          <w:spacing w:val="-8"/>
        </w:rPr>
        <w:t xml:space="preserve"> </w:t>
      </w:r>
      <w:r>
        <w:rPr>
          <w:color w:val="221F1F"/>
        </w:rPr>
        <w:t>not</w:t>
      </w:r>
      <w:r>
        <w:rPr>
          <w:color w:val="221F1F"/>
          <w:spacing w:val="-9"/>
        </w:rPr>
        <w:t xml:space="preserve"> </w:t>
      </w:r>
      <w:r>
        <w:rPr>
          <w:color w:val="221F1F"/>
        </w:rPr>
        <w:t>defined</w:t>
      </w:r>
      <w:r>
        <w:rPr>
          <w:color w:val="221F1F"/>
          <w:spacing w:val="-9"/>
        </w:rPr>
        <w:t xml:space="preserve"> </w:t>
      </w:r>
      <w:r>
        <w:rPr>
          <w:color w:val="221F1F"/>
        </w:rPr>
        <w:t>by</w:t>
      </w:r>
      <w:r>
        <w:rPr>
          <w:color w:val="221F1F"/>
          <w:spacing w:val="-9"/>
        </w:rPr>
        <w:t xml:space="preserve"> </w:t>
      </w:r>
      <w:r>
        <w:rPr>
          <w:color w:val="221F1F"/>
        </w:rPr>
        <w:t>reference</w:t>
      </w:r>
      <w:r>
        <w:rPr>
          <w:color w:val="221F1F"/>
          <w:spacing w:val="-8"/>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actual</w:t>
      </w:r>
      <w:r>
        <w:rPr>
          <w:color w:val="221F1F"/>
          <w:spacing w:val="-7"/>
        </w:rPr>
        <w:t xml:space="preserve"> </w:t>
      </w:r>
      <w:r>
        <w:rPr>
          <w:color w:val="221F1F"/>
        </w:rPr>
        <w:t>progress</w:t>
      </w:r>
      <w:r>
        <w:rPr>
          <w:color w:val="221F1F"/>
          <w:spacing w:val="-8"/>
        </w:rPr>
        <w:t xml:space="preserve"> </w:t>
      </w:r>
      <w:r>
        <w:rPr>
          <w:color w:val="221F1F"/>
        </w:rPr>
        <w:t>achieved</w:t>
      </w:r>
      <w:r>
        <w:rPr>
          <w:color w:val="221F1F"/>
          <w:spacing w:val="-9"/>
        </w:rPr>
        <w:t xml:space="preserve"> </w:t>
      </w:r>
      <w:r>
        <w:rPr>
          <w:color w:val="221F1F"/>
        </w:rPr>
        <w:t>in</w:t>
      </w:r>
      <w:r>
        <w:rPr>
          <w:color w:val="221F1F"/>
          <w:spacing w:val="-10"/>
        </w:rPr>
        <w:t xml:space="preserve"> </w:t>
      </w:r>
      <w:r>
        <w:rPr>
          <w:color w:val="221F1F"/>
        </w:rPr>
        <w:t>executing</w:t>
      </w:r>
      <w:r>
        <w:rPr>
          <w:color w:val="221F1F"/>
          <w:spacing w:val="-8"/>
        </w:rPr>
        <w:t xml:space="preserve"> </w:t>
      </w:r>
      <w:r>
        <w:rPr>
          <w:color w:val="221F1F"/>
        </w:rPr>
        <w:t>the</w:t>
      </w:r>
      <w:r>
        <w:rPr>
          <w:color w:val="221F1F"/>
          <w:spacing w:val="-8"/>
        </w:rPr>
        <w:t xml:space="preserve"> </w:t>
      </w:r>
      <w:r>
        <w:rPr>
          <w:color w:val="221F1F"/>
        </w:rPr>
        <w:t>Works, and if actual progress is found to be less or more than that on which this schedule of payments was based,</w:t>
      </w:r>
      <w:r>
        <w:rPr>
          <w:color w:val="221F1F"/>
          <w:spacing w:val="-3"/>
        </w:rPr>
        <w:t xml:space="preserve"> </w:t>
      </w:r>
      <w:r>
        <w:rPr>
          <w:color w:val="221F1F"/>
        </w:rPr>
        <w:t>then</w:t>
      </w:r>
      <w:r>
        <w:rPr>
          <w:color w:val="221F1F"/>
          <w:spacing w:val="-3"/>
        </w:rPr>
        <w:t xml:space="preserve"> </w:t>
      </w:r>
      <w:r>
        <w:rPr>
          <w:color w:val="221F1F"/>
        </w:rPr>
        <w:t>the</w:t>
      </w:r>
      <w:r>
        <w:rPr>
          <w:color w:val="221F1F"/>
          <w:spacing w:val="-1"/>
        </w:rPr>
        <w:t xml:space="preserve"> </w:t>
      </w:r>
      <w:r>
        <w:rPr>
          <w:color w:val="221F1F"/>
        </w:rPr>
        <w:t>Architect</w:t>
      </w:r>
      <w:r>
        <w:rPr>
          <w:color w:val="221F1F"/>
          <w:spacing w:val="-3"/>
        </w:rPr>
        <w:t xml:space="preserve"> </w:t>
      </w:r>
      <w:r>
        <w:rPr>
          <w:color w:val="221F1F"/>
        </w:rPr>
        <w:t>may</w:t>
      </w:r>
      <w:r>
        <w:rPr>
          <w:color w:val="221F1F"/>
          <w:spacing w:val="-1"/>
        </w:rPr>
        <w:t xml:space="preserve"> </w:t>
      </w:r>
      <w:r>
        <w:rPr>
          <w:color w:val="221F1F"/>
        </w:rPr>
        <w:t>proceed</w:t>
      </w:r>
      <w:r>
        <w:rPr>
          <w:color w:val="221F1F"/>
          <w:spacing w:val="-4"/>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3"/>
        </w:rPr>
        <w:t xml:space="preserve"> </w:t>
      </w:r>
      <w:r>
        <w:rPr>
          <w:color w:val="221F1F"/>
        </w:rPr>
        <w:t>to</w:t>
      </w:r>
      <w:r>
        <w:rPr>
          <w:color w:val="221F1F"/>
          <w:spacing w:val="-1"/>
        </w:rPr>
        <w:t xml:space="preserve"> </w:t>
      </w:r>
      <w:r>
        <w:rPr>
          <w:color w:val="221F1F"/>
        </w:rPr>
        <w:t>agree</w:t>
      </w:r>
      <w:r>
        <w:rPr>
          <w:color w:val="221F1F"/>
          <w:spacing w:val="-1"/>
        </w:rPr>
        <w:t xml:space="preserve"> </w:t>
      </w:r>
      <w:r>
        <w:rPr>
          <w:color w:val="221F1F"/>
        </w:rPr>
        <w:t>or determine</w:t>
      </w:r>
      <w:r>
        <w:rPr>
          <w:color w:val="221F1F"/>
          <w:spacing w:val="-1"/>
        </w:rPr>
        <w:t xml:space="preserve"> </w:t>
      </w:r>
      <w:r>
        <w:rPr>
          <w:color w:val="221F1F"/>
        </w:rPr>
        <w:t>revised instalments, which</w:t>
      </w:r>
      <w:r>
        <w:rPr>
          <w:color w:val="221F1F"/>
          <w:spacing w:val="-1"/>
        </w:rPr>
        <w:t xml:space="preserve"> </w:t>
      </w:r>
      <w:r>
        <w:rPr>
          <w:color w:val="221F1F"/>
        </w:rPr>
        <w:t>shall take account of</w:t>
      </w:r>
      <w:r>
        <w:rPr>
          <w:color w:val="221F1F"/>
          <w:spacing w:val="-1"/>
        </w:rPr>
        <w:t xml:space="preserve"> </w:t>
      </w:r>
      <w:r>
        <w:rPr>
          <w:color w:val="221F1F"/>
        </w:rPr>
        <w:t>the extent to</w:t>
      </w:r>
      <w:r>
        <w:rPr>
          <w:color w:val="221F1F"/>
          <w:spacing w:val="-2"/>
        </w:rPr>
        <w:t xml:space="preserve"> </w:t>
      </w:r>
      <w:r>
        <w:rPr>
          <w:color w:val="221F1F"/>
        </w:rPr>
        <w:t>which progress is less</w:t>
      </w:r>
      <w:r>
        <w:rPr>
          <w:color w:val="221F1F"/>
          <w:spacing w:val="-1"/>
        </w:rPr>
        <w:t xml:space="preserve"> </w:t>
      </w:r>
      <w:r>
        <w:rPr>
          <w:color w:val="221F1F"/>
        </w:rPr>
        <w:t>or more than that on which the instalments were previously based.</w:t>
      </w:r>
    </w:p>
    <w:p w:rsidR="007F6DF9" w:rsidRDefault="007F6DF9">
      <w:pPr>
        <w:pStyle w:val="BodyText"/>
        <w:spacing w:before="107"/>
      </w:pPr>
    </w:p>
    <w:p w:rsidR="007F6DF9" w:rsidRDefault="00A43FBC">
      <w:pPr>
        <w:pStyle w:val="ListParagraph"/>
        <w:numPr>
          <w:ilvl w:val="2"/>
          <w:numId w:val="122"/>
        </w:numPr>
        <w:tabs>
          <w:tab w:val="left" w:pos="1365"/>
          <w:tab w:val="left" w:pos="1373"/>
        </w:tabs>
        <w:spacing w:line="230" w:lineRule="auto"/>
        <w:ind w:left="1373" w:right="566" w:hanging="666"/>
        <w:jc w:val="both"/>
        <w:rPr>
          <w:color w:val="221F1F"/>
        </w:rPr>
      </w:pPr>
      <w:r>
        <w:rPr>
          <w:color w:val="221F1F"/>
        </w:rPr>
        <w:t>If the Contract does not include a schedule of payments, the Contractor shall submit non-binding estimates of the payments which he expects to become due during each quarterly period. The first estimate shall be submitted within 42 days after the Commencement Date. Revised estimates shall be submitted at quarterly intervals, until the Taking-Over Certificate has been issued for the Works.</w:t>
      </w:r>
    </w:p>
    <w:p w:rsidR="007F6DF9" w:rsidRDefault="00A43FBC">
      <w:pPr>
        <w:pStyle w:val="Heading9"/>
        <w:numPr>
          <w:ilvl w:val="1"/>
          <w:numId w:val="122"/>
        </w:numPr>
        <w:tabs>
          <w:tab w:val="left" w:pos="1366"/>
        </w:tabs>
        <w:spacing w:before="238"/>
        <w:ind w:left="1366" w:hanging="658"/>
        <w:rPr>
          <w:color w:val="221F1F"/>
        </w:rPr>
      </w:pPr>
      <w:r>
        <w:rPr>
          <w:color w:val="221F1F"/>
        </w:rPr>
        <w:t>Plant</w:t>
      </w:r>
      <w:r>
        <w:rPr>
          <w:color w:val="221F1F"/>
          <w:spacing w:val="-2"/>
        </w:rPr>
        <w:t xml:space="preserve"> </w:t>
      </w:r>
      <w:r>
        <w:rPr>
          <w:color w:val="221F1F"/>
        </w:rPr>
        <w:t>and</w:t>
      </w:r>
      <w:r>
        <w:rPr>
          <w:color w:val="221F1F"/>
          <w:spacing w:val="-4"/>
        </w:rPr>
        <w:t xml:space="preserve"> </w:t>
      </w:r>
      <w:r>
        <w:rPr>
          <w:color w:val="221F1F"/>
        </w:rPr>
        <w:t>Materials</w:t>
      </w:r>
      <w:r>
        <w:rPr>
          <w:color w:val="221F1F"/>
          <w:spacing w:val="-2"/>
        </w:rPr>
        <w:t xml:space="preserve"> </w:t>
      </w:r>
      <w:r>
        <w:rPr>
          <w:color w:val="221F1F"/>
        </w:rPr>
        <w:t>intended</w:t>
      </w:r>
      <w:r>
        <w:rPr>
          <w:color w:val="221F1F"/>
          <w:spacing w:val="-2"/>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spacing w:val="-4"/>
        </w:rPr>
        <w:t>Works</w:t>
      </w:r>
    </w:p>
    <w:p w:rsidR="007F6DF9" w:rsidRDefault="007F6DF9">
      <w:pPr>
        <w:pStyle w:val="BodyText"/>
        <w:spacing w:before="104"/>
        <w:rPr>
          <w:b/>
        </w:rPr>
      </w:pPr>
    </w:p>
    <w:p w:rsidR="007F6DF9" w:rsidRDefault="00A43FBC">
      <w:pPr>
        <w:pStyle w:val="ListParagraph"/>
        <w:numPr>
          <w:ilvl w:val="2"/>
          <w:numId w:val="122"/>
        </w:numPr>
        <w:tabs>
          <w:tab w:val="left" w:pos="1365"/>
          <w:tab w:val="left" w:pos="1373"/>
        </w:tabs>
        <w:spacing w:before="1" w:line="230" w:lineRule="auto"/>
        <w:ind w:left="1373" w:right="563" w:hanging="666"/>
        <w:jc w:val="both"/>
        <w:rPr>
          <w:color w:val="221F1F"/>
        </w:rPr>
      </w:pPr>
      <w:r>
        <w:rPr>
          <w:color w:val="221F1F"/>
        </w:rPr>
        <w:t>If</w:t>
      </w:r>
      <w:r>
        <w:rPr>
          <w:color w:val="221F1F"/>
          <w:spacing w:val="-7"/>
        </w:rPr>
        <w:t xml:space="preserve"> </w:t>
      </w:r>
      <w:r>
        <w:rPr>
          <w:color w:val="221F1F"/>
        </w:rPr>
        <w:t>this</w:t>
      </w:r>
      <w:r>
        <w:rPr>
          <w:color w:val="221F1F"/>
          <w:spacing w:val="-8"/>
        </w:rPr>
        <w:t xml:space="preserve"> </w:t>
      </w:r>
      <w:r>
        <w:rPr>
          <w:color w:val="221F1F"/>
        </w:rPr>
        <w:t>Sub-Clause</w:t>
      </w:r>
      <w:r>
        <w:rPr>
          <w:color w:val="221F1F"/>
          <w:spacing w:val="-7"/>
        </w:rPr>
        <w:t xml:space="preserve"> </w:t>
      </w:r>
      <w:r>
        <w:rPr>
          <w:color w:val="221F1F"/>
        </w:rPr>
        <w:t>applies,</w:t>
      </w:r>
      <w:r>
        <w:rPr>
          <w:color w:val="221F1F"/>
          <w:spacing w:val="-7"/>
        </w:rPr>
        <w:t xml:space="preserve"> </w:t>
      </w:r>
      <w:r>
        <w:rPr>
          <w:color w:val="221F1F"/>
        </w:rPr>
        <w:t>Interim</w:t>
      </w:r>
      <w:r>
        <w:rPr>
          <w:color w:val="221F1F"/>
          <w:spacing w:val="-7"/>
        </w:rPr>
        <w:t xml:space="preserve"> </w:t>
      </w:r>
      <w:r>
        <w:rPr>
          <w:color w:val="221F1F"/>
        </w:rPr>
        <w:t>Payment</w:t>
      </w:r>
      <w:r>
        <w:rPr>
          <w:color w:val="221F1F"/>
          <w:spacing w:val="-7"/>
        </w:rPr>
        <w:t xml:space="preserve"> </w:t>
      </w:r>
      <w:r>
        <w:rPr>
          <w:color w:val="221F1F"/>
        </w:rPr>
        <w:t>Certificates</w:t>
      </w:r>
      <w:r>
        <w:rPr>
          <w:color w:val="221F1F"/>
          <w:spacing w:val="-9"/>
        </w:rPr>
        <w:t xml:space="preserve"> </w:t>
      </w:r>
      <w:r>
        <w:rPr>
          <w:color w:val="221F1F"/>
        </w:rPr>
        <w:t>shall</w:t>
      </w:r>
      <w:r>
        <w:rPr>
          <w:color w:val="221F1F"/>
          <w:spacing w:val="-9"/>
        </w:rPr>
        <w:t xml:space="preserve"> </w:t>
      </w:r>
      <w:r>
        <w:rPr>
          <w:color w:val="221F1F"/>
        </w:rPr>
        <w:t>include,</w:t>
      </w:r>
      <w:r>
        <w:rPr>
          <w:color w:val="221F1F"/>
          <w:spacing w:val="-10"/>
        </w:rPr>
        <w:t xml:space="preserve"> </w:t>
      </w:r>
      <w:r>
        <w:rPr>
          <w:color w:val="221F1F"/>
        </w:rPr>
        <w:t>under</w:t>
      </w:r>
      <w:r>
        <w:rPr>
          <w:color w:val="221F1F"/>
          <w:spacing w:val="-7"/>
        </w:rPr>
        <w:t xml:space="preserve"> </w:t>
      </w:r>
      <w:r>
        <w:rPr>
          <w:color w:val="221F1F"/>
        </w:rPr>
        <w:t>sub-paragraph</w:t>
      </w:r>
      <w:r>
        <w:rPr>
          <w:color w:val="221F1F"/>
          <w:spacing w:val="-9"/>
        </w:rPr>
        <w:t xml:space="preserve"> </w:t>
      </w:r>
      <w:r>
        <w:rPr>
          <w:color w:val="221F1F"/>
        </w:rPr>
        <w:t>(e)</w:t>
      </w:r>
      <w:r>
        <w:rPr>
          <w:color w:val="221F1F"/>
          <w:spacing w:val="-9"/>
        </w:rPr>
        <w:t xml:space="preserve"> </w:t>
      </w:r>
      <w:r>
        <w:rPr>
          <w:color w:val="221F1F"/>
        </w:rPr>
        <w:t>of</w:t>
      </w:r>
      <w:r>
        <w:rPr>
          <w:color w:val="221F1F"/>
          <w:spacing w:val="-7"/>
        </w:rPr>
        <w:t xml:space="preserve"> </w:t>
      </w:r>
      <w:r>
        <w:rPr>
          <w:color w:val="221F1F"/>
        </w:rPr>
        <w:t>Sub-Clause 14.3,</w:t>
      </w:r>
      <w:r>
        <w:rPr>
          <w:color w:val="221F1F"/>
          <w:spacing w:val="-13"/>
        </w:rPr>
        <w:t xml:space="preserve"> </w:t>
      </w:r>
      <w:r>
        <w:rPr>
          <w:color w:val="221F1F"/>
        </w:rPr>
        <w:t>(</w:t>
      </w:r>
      <w:proofErr w:type="spellStart"/>
      <w:r>
        <w:rPr>
          <w:color w:val="221F1F"/>
        </w:rPr>
        <w:t>i</w:t>
      </w:r>
      <w:proofErr w:type="spellEnd"/>
      <w:r>
        <w:rPr>
          <w:color w:val="221F1F"/>
        </w:rPr>
        <w:t>)</w:t>
      </w:r>
      <w:r>
        <w:rPr>
          <w:color w:val="221F1F"/>
          <w:spacing w:val="-10"/>
        </w:rPr>
        <w:t xml:space="preserve"> </w:t>
      </w:r>
      <w:r>
        <w:rPr>
          <w:color w:val="221F1F"/>
        </w:rPr>
        <w:t>an</w:t>
      </w:r>
      <w:r>
        <w:rPr>
          <w:color w:val="221F1F"/>
          <w:spacing w:val="-11"/>
        </w:rPr>
        <w:t xml:space="preserve"> </w:t>
      </w:r>
      <w:r>
        <w:rPr>
          <w:color w:val="221F1F"/>
        </w:rPr>
        <w:t>amount</w:t>
      </w:r>
      <w:r>
        <w:rPr>
          <w:color w:val="221F1F"/>
          <w:spacing w:val="-12"/>
        </w:rPr>
        <w:t xml:space="preserve"> </w:t>
      </w:r>
      <w:r>
        <w:rPr>
          <w:color w:val="221F1F"/>
        </w:rPr>
        <w:t>for</w:t>
      </w:r>
      <w:r>
        <w:rPr>
          <w:color w:val="221F1F"/>
          <w:spacing w:val="-10"/>
        </w:rPr>
        <w:t xml:space="preserve"> </w:t>
      </w:r>
      <w:r>
        <w:rPr>
          <w:color w:val="221F1F"/>
        </w:rPr>
        <w:t>Plant</w:t>
      </w:r>
      <w:r>
        <w:rPr>
          <w:color w:val="221F1F"/>
          <w:spacing w:val="-11"/>
        </w:rPr>
        <w:t xml:space="preserve"> </w:t>
      </w:r>
      <w:r>
        <w:rPr>
          <w:color w:val="221F1F"/>
        </w:rPr>
        <w:t>and</w:t>
      </w:r>
      <w:r>
        <w:rPr>
          <w:color w:val="221F1F"/>
          <w:spacing w:val="-13"/>
        </w:rPr>
        <w:t xml:space="preserve"> </w:t>
      </w:r>
      <w:r>
        <w:rPr>
          <w:color w:val="221F1F"/>
        </w:rPr>
        <w:t>Materials</w:t>
      </w:r>
      <w:r>
        <w:rPr>
          <w:color w:val="221F1F"/>
          <w:spacing w:val="-12"/>
        </w:rPr>
        <w:t xml:space="preserve"> </w:t>
      </w:r>
      <w:r>
        <w:rPr>
          <w:color w:val="221F1F"/>
        </w:rPr>
        <w:t>which</w:t>
      </w:r>
      <w:r>
        <w:rPr>
          <w:color w:val="221F1F"/>
          <w:spacing w:val="-13"/>
        </w:rPr>
        <w:t xml:space="preserve"> </w:t>
      </w:r>
      <w:r>
        <w:rPr>
          <w:color w:val="221F1F"/>
        </w:rPr>
        <w:t>have</w:t>
      </w:r>
      <w:r>
        <w:rPr>
          <w:color w:val="221F1F"/>
          <w:spacing w:val="-12"/>
        </w:rPr>
        <w:t xml:space="preserve"> </w:t>
      </w:r>
      <w:r>
        <w:rPr>
          <w:color w:val="221F1F"/>
        </w:rPr>
        <w:t>been</w:t>
      </w:r>
      <w:r>
        <w:rPr>
          <w:color w:val="221F1F"/>
          <w:spacing w:val="-13"/>
        </w:rPr>
        <w:t xml:space="preserve"> </w:t>
      </w:r>
      <w:r>
        <w:rPr>
          <w:color w:val="221F1F"/>
        </w:rPr>
        <w:t>sent</w:t>
      </w:r>
      <w:r>
        <w:rPr>
          <w:color w:val="221F1F"/>
          <w:spacing w:val="-12"/>
        </w:rPr>
        <w:t xml:space="preserve"> </w:t>
      </w:r>
      <w:r>
        <w:rPr>
          <w:color w:val="221F1F"/>
        </w:rPr>
        <w:t>to</w:t>
      </w:r>
      <w:r>
        <w:rPr>
          <w:color w:val="221F1F"/>
          <w:spacing w:val="-13"/>
        </w:rPr>
        <w:t xml:space="preserve"> </w:t>
      </w:r>
      <w:r>
        <w:rPr>
          <w:color w:val="221F1F"/>
        </w:rPr>
        <w:t>the</w:t>
      </w:r>
      <w:r>
        <w:rPr>
          <w:color w:val="221F1F"/>
          <w:spacing w:val="-13"/>
        </w:rPr>
        <w:t xml:space="preserve"> </w:t>
      </w:r>
      <w:r>
        <w:rPr>
          <w:color w:val="221F1F"/>
        </w:rPr>
        <w:t>Site</w:t>
      </w:r>
      <w:r>
        <w:rPr>
          <w:color w:val="221F1F"/>
          <w:spacing w:val="-13"/>
        </w:rPr>
        <w:t xml:space="preserve"> </w:t>
      </w:r>
      <w:r>
        <w:rPr>
          <w:color w:val="221F1F"/>
        </w:rPr>
        <w:t>for</w:t>
      </w:r>
      <w:r>
        <w:rPr>
          <w:color w:val="221F1F"/>
          <w:spacing w:val="-12"/>
        </w:rPr>
        <w:t xml:space="preserve"> </w:t>
      </w:r>
      <w:r>
        <w:rPr>
          <w:color w:val="221F1F"/>
        </w:rPr>
        <w:t>incorporation</w:t>
      </w:r>
      <w:r>
        <w:rPr>
          <w:color w:val="221F1F"/>
          <w:spacing w:val="-14"/>
        </w:rPr>
        <w:t xml:space="preserve"> </w:t>
      </w:r>
      <w:r>
        <w:rPr>
          <w:color w:val="221F1F"/>
        </w:rPr>
        <w:t>in</w:t>
      </w:r>
      <w:r>
        <w:rPr>
          <w:color w:val="221F1F"/>
          <w:spacing w:val="-13"/>
        </w:rPr>
        <w:t xml:space="preserve"> </w:t>
      </w:r>
      <w:r>
        <w:rPr>
          <w:color w:val="221F1F"/>
        </w:rPr>
        <w:t>the</w:t>
      </w:r>
      <w:r>
        <w:rPr>
          <w:color w:val="221F1F"/>
          <w:spacing w:val="-13"/>
        </w:rPr>
        <w:t xml:space="preserve"> </w:t>
      </w:r>
      <w:r>
        <w:rPr>
          <w:color w:val="221F1F"/>
        </w:rPr>
        <w:t>Permanent Works, and (ii) a reduction when the contract value of such Plant and Materials is included as part of the Permanent</w:t>
      </w:r>
      <w:r>
        <w:rPr>
          <w:color w:val="221F1F"/>
          <w:spacing w:val="-14"/>
        </w:rPr>
        <w:t xml:space="preserve"> </w:t>
      </w:r>
      <w:r>
        <w:rPr>
          <w:color w:val="221F1F"/>
        </w:rPr>
        <w:t>Works</w:t>
      </w:r>
      <w:r>
        <w:rPr>
          <w:color w:val="221F1F"/>
          <w:spacing w:val="-19"/>
        </w:rPr>
        <w:t xml:space="preserve"> </w:t>
      </w:r>
      <w:r>
        <w:rPr>
          <w:color w:val="221F1F"/>
        </w:rPr>
        <w:t>under</w:t>
      </w:r>
      <w:r>
        <w:rPr>
          <w:color w:val="221F1F"/>
          <w:spacing w:val="-14"/>
        </w:rPr>
        <w:t xml:space="preserve"> </w:t>
      </w:r>
      <w:r>
        <w:rPr>
          <w:color w:val="221F1F"/>
        </w:rPr>
        <w:t>sub-paragraph</w:t>
      </w:r>
      <w:r>
        <w:rPr>
          <w:color w:val="221F1F"/>
          <w:spacing w:val="-14"/>
        </w:rPr>
        <w:t xml:space="preserve"> </w:t>
      </w:r>
      <w:r>
        <w:rPr>
          <w:color w:val="221F1F"/>
        </w:rPr>
        <w:t>(a)</w:t>
      </w:r>
      <w:r>
        <w:rPr>
          <w:color w:val="221F1F"/>
          <w:spacing w:val="-13"/>
        </w:rPr>
        <w:t xml:space="preserve"> </w:t>
      </w:r>
      <w:r>
        <w:rPr>
          <w:color w:val="221F1F"/>
        </w:rPr>
        <w:t>of</w:t>
      </w:r>
      <w:r>
        <w:rPr>
          <w:color w:val="221F1F"/>
          <w:spacing w:val="-14"/>
        </w:rPr>
        <w:t xml:space="preserve"> </w:t>
      </w:r>
      <w:r>
        <w:rPr>
          <w:color w:val="221F1F"/>
        </w:rPr>
        <w:t>Sub-Clause</w:t>
      </w:r>
      <w:r>
        <w:rPr>
          <w:color w:val="221F1F"/>
          <w:spacing w:val="-14"/>
        </w:rPr>
        <w:t xml:space="preserve"> </w:t>
      </w:r>
      <w:r>
        <w:rPr>
          <w:color w:val="221F1F"/>
        </w:rPr>
        <w:t>14.3</w:t>
      </w:r>
      <w:r>
        <w:rPr>
          <w:color w:val="221F1F"/>
          <w:spacing w:val="-14"/>
        </w:rPr>
        <w:t xml:space="preserve"> </w:t>
      </w:r>
      <w:r>
        <w:rPr>
          <w:color w:val="221F1F"/>
        </w:rPr>
        <w:t>[Application</w:t>
      </w:r>
      <w:r>
        <w:rPr>
          <w:color w:val="221F1F"/>
          <w:spacing w:val="-13"/>
        </w:rPr>
        <w:t xml:space="preserve"> </w:t>
      </w:r>
      <w:r>
        <w:rPr>
          <w:color w:val="221F1F"/>
        </w:rPr>
        <w:t>for</w:t>
      </w:r>
      <w:r>
        <w:rPr>
          <w:color w:val="221F1F"/>
          <w:spacing w:val="-14"/>
        </w:rPr>
        <w:t xml:space="preserve"> </w:t>
      </w:r>
      <w:r>
        <w:rPr>
          <w:color w:val="221F1F"/>
        </w:rPr>
        <w:t>Interim</w:t>
      </w:r>
      <w:r>
        <w:rPr>
          <w:color w:val="221F1F"/>
          <w:spacing w:val="-14"/>
        </w:rPr>
        <w:t xml:space="preserve"> </w:t>
      </w:r>
      <w:r>
        <w:rPr>
          <w:color w:val="221F1F"/>
        </w:rPr>
        <w:t>Payment</w:t>
      </w:r>
      <w:r>
        <w:rPr>
          <w:color w:val="221F1F"/>
          <w:spacing w:val="-14"/>
        </w:rPr>
        <w:t xml:space="preserve"> </w:t>
      </w:r>
      <w:r>
        <w:rPr>
          <w:color w:val="221F1F"/>
        </w:rPr>
        <w:t>Certificates].</w:t>
      </w:r>
    </w:p>
    <w:p w:rsidR="007F6DF9" w:rsidRDefault="007F6DF9">
      <w:pPr>
        <w:pStyle w:val="BodyText"/>
        <w:spacing w:before="112"/>
      </w:pPr>
    </w:p>
    <w:p w:rsidR="007F6DF9" w:rsidRDefault="00A43FBC">
      <w:pPr>
        <w:pStyle w:val="ListParagraph"/>
        <w:numPr>
          <w:ilvl w:val="2"/>
          <w:numId w:val="122"/>
        </w:numPr>
        <w:tabs>
          <w:tab w:val="left" w:pos="1368"/>
          <w:tab w:val="left" w:pos="1373"/>
        </w:tabs>
        <w:spacing w:line="230" w:lineRule="auto"/>
        <w:ind w:left="1373" w:right="563" w:hanging="668"/>
        <w:rPr>
          <w:color w:val="221F1F"/>
        </w:rPr>
      </w:pPr>
      <w:r>
        <w:rPr>
          <w:color w:val="221F1F"/>
        </w:rPr>
        <w:t>If</w:t>
      </w:r>
      <w:r>
        <w:rPr>
          <w:color w:val="221F1F"/>
          <w:spacing w:val="19"/>
        </w:rPr>
        <w:t xml:space="preserve"> </w:t>
      </w:r>
      <w:r>
        <w:rPr>
          <w:color w:val="221F1F"/>
        </w:rPr>
        <w:t>the</w:t>
      </w:r>
      <w:r>
        <w:rPr>
          <w:color w:val="221F1F"/>
          <w:spacing w:val="16"/>
        </w:rPr>
        <w:t xml:space="preserve"> </w:t>
      </w:r>
      <w:r>
        <w:rPr>
          <w:color w:val="221F1F"/>
        </w:rPr>
        <w:t>lists</w:t>
      </w:r>
      <w:r>
        <w:rPr>
          <w:color w:val="221F1F"/>
          <w:spacing w:val="19"/>
        </w:rPr>
        <w:t xml:space="preserve"> </w:t>
      </w:r>
      <w:r>
        <w:rPr>
          <w:color w:val="221F1F"/>
        </w:rPr>
        <w:t>referred</w:t>
      </w:r>
      <w:r>
        <w:rPr>
          <w:color w:val="221F1F"/>
          <w:spacing w:val="16"/>
        </w:rPr>
        <w:t xml:space="preserve"> </w:t>
      </w:r>
      <w:r>
        <w:rPr>
          <w:color w:val="221F1F"/>
        </w:rPr>
        <w:t>to</w:t>
      </w:r>
      <w:r>
        <w:rPr>
          <w:color w:val="221F1F"/>
          <w:spacing w:val="18"/>
        </w:rPr>
        <w:t xml:space="preserve"> </w:t>
      </w:r>
      <w:r>
        <w:rPr>
          <w:color w:val="221F1F"/>
        </w:rPr>
        <w:t>in</w:t>
      </w:r>
      <w:r>
        <w:rPr>
          <w:color w:val="221F1F"/>
          <w:spacing w:val="19"/>
        </w:rPr>
        <w:t xml:space="preserve"> </w:t>
      </w:r>
      <w:r>
        <w:rPr>
          <w:color w:val="221F1F"/>
        </w:rPr>
        <w:t>sub-paragraphs</w:t>
      </w:r>
      <w:r>
        <w:rPr>
          <w:color w:val="221F1F"/>
          <w:spacing w:val="17"/>
        </w:rPr>
        <w:t xml:space="preserve"> </w:t>
      </w:r>
      <w:r>
        <w:rPr>
          <w:color w:val="221F1F"/>
        </w:rPr>
        <w:t>(b)(</w:t>
      </w:r>
      <w:proofErr w:type="spellStart"/>
      <w:r>
        <w:rPr>
          <w:color w:val="221F1F"/>
        </w:rPr>
        <w:t>i</w:t>
      </w:r>
      <w:proofErr w:type="spellEnd"/>
      <w:r>
        <w:rPr>
          <w:color w:val="221F1F"/>
        </w:rPr>
        <w:t>)</w:t>
      </w:r>
      <w:r>
        <w:rPr>
          <w:color w:val="221F1F"/>
          <w:spacing w:val="17"/>
        </w:rPr>
        <w:t xml:space="preserve"> </w:t>
      </w:r>
      <w:r>
        <w:rPr>
          <w:color w:val="221F1F"/>
        </w:rPr>
        <w:t>or</w:t>
      </w:r>
      <w:r>
        <w:rPr>
          <w:color w:val="221F1F"/>
          <w:spacing w:val="16"/>
        </w:rPr>
        <w:t xml:space="preserve"> </w:t>
      </w:r>
      <w:r>
        <w:rPr>
          <w:color w:val="221F1F"/>
        </w:rPr>
        <w:t>(c)(</w:t>
      </w:r>
      <w:proofErr w:type="spellStart"/>
      <w:r>
        <w:rPr>
          <w:color w:val="221F1F"/>
        </w:rPr>
        <w:t>i</w:t>
      </w:r>
      <w:proofErr w:type="spellEnd"/>
      <w:r>
        <w:rPr>
          <w:color w:val="221F1F"/>
        </w:rPr>
        <w:t>)</w:t>
      </w:r>
      <w:r>
        <w:rPr>
          <w:color w:val="221F1F"/>
          <w:spacing w:val="19"/>
        </w:rPr>
        <w:t xml:space="preserve"> </w:t>
      </w:r>
      <w:r>
        <w:rPr>
          <w:color w:val="221F1F"/>
        </w:rPr>
        <w:t>below</w:t>
      </w:r>
      <w:r>
        <w:rPr>
          <w:color w:val="221F1F"/>
          <w:spacing w:val="17"/>
        </w:rPr>
        <w:t xml:space="preserve"> </w:t>
      </w:r>
      <w:r>
        <w:rPr>
          <w:color w:val="221F1F"/>
        </w:rPr>
        <w:t>are</w:t>
      </w:r>
      <w:r>
        <w:rPr>
          <w:color w:val="221F1F"/>
          <w:spacing w:val="19"/>
        </w:rPr>
        <w:t xml:space="preserve"> </w:t>
      </w:r>
      <w:r>
        <w:rPr>
          <w:color w:val="221F1F"/>
        </w:rPr>
        <w:t>not</w:t>
      </w:r>
      <w:r>
        <w:rPr>
          <w:color w:val="221F1F"/>
          <w:spacing w:val="17"/>
        </w:rPr>
        <w:t xml:space="preserve"> </w:t>
      </w:r>
      <w:r>
        <w:rPr>
          <w:color w:val="221F1F"/>
        </w:rPr>
        <w:t>included</w:t>
      </w:r>
      <w:r>
        <w:rPr>
          <w:color w:val="221F1F"/>
          <w:spacing w:val="18"/>
        </w:rPr>
        <w:t xml:space="preserve"> </w:t>
      </w:r>
      <w:r>
        <w:rPr>
          <w:color w:val="221F1F"/>
        </w:rPr>
        <w:t>in</w:t>
      </w:r>
      <w:r>
        <w:rPr>
          <w:color w:val="221F1F"/>
          <w:spacing w:val="19"/>
        </w:rPr>
        <w:t xml:space="preserve"> </w:t>
      </w:r>
      <w:r>
        <w:rPr>
          <w:color w:val="221F1F"/>
        </w:rPr>
        <w:t>the</w:t>
      </w:r>
      <w:r>
        <w:rPr>
          <w:color w:val="221F1F"/>
          <w:spacing w:val="16"/>
        </w:rPr>
        <w:t xml:space="preserve"> </w:t>
      </w:r>
      <w:r>
        <w:rPr>
          <w:color w:val="221F1F"/>
        </w:rPr>
        <w:t>Schedules,</w:t>
      </w:r>
      <w:r>
        <w:rPr>
          <w:color w:val="221F1F"/>
          <w:spacing w:val="16"/>
        </w:rPr>
        <w:t xml:space="preserve"> </w:t>
      </w:r>
      <w:r>
        <w:rPr>
          <w:color w:val="221F1F"/>
        </w:rPr>
        <w:t>this</w:t>
      </w:r>
      <w:r>
        <w:rPr>
          <w:color w:val="221F1F"/>
          <w:spacing w:val="19"/>
        </w:rPr>
        <w:t xml:space="preserve"> </w:t>
      </w:r>
      <w:r>
        <w:rPr>
          <w:color w:val="221F1F"/>
        </w:rPr>
        <w:t>Sub-Clause shall not apply.</w:t>
      </w:r>
    </w:p>
    <w:p w:rsidR="007F6DF9" w:rsidRDefault="00A43FBC">
      <w:pPr>
        <w:pStyle w:val="ListParagraph"/>
        <w:numPr>
          <w:ilvl w:val="2"/>
          <w:numId w:val="122"/>
        </w:numPr>
        <w:tabs>
          <w:tab w:val="left" w:pos="1385"/>
        </w:tabs>
        <w:spacing w:before="123"/>
        <w:ind w:left="1385" w:hanging="667"/>
        <w:rPr>
          <w:color w:val="221F1F"/>
        </w:rPr>
      </w:pPr>
      <w:r>
        <w:rPr>
          <w:color w:val="221F1F"/>
        </w:rPr>
        <w:t>The</w:t>
      </w:r>
      <w:r>
        <w:rPr>
          <w:color w:val="221F1F"/>
          <w:spacing w:val="-6"/>
        </w:rPr>
        <w:t xml:space="preserve"> </w:t>
      </w:r>
      <w:r>
        <w:rPr>
          <w:color w:val="221F1F"/>
        </w:rPr>
        <w:t>Architect</w:t>
      </w:r>
      <w:r>
        <w:rPr>
          <w:color w:val="221F1F"/>
          <w:spacing w:val="-2"/>
        </w:rPr>
        <w:t xml:space="preserve"> </w:t>
      </w:r>
      <w:r>
        <w:rPr>
          <w:color w:val="221F1F"/>
        </w:rPr>
        <w:t>shall</w:t>
      </w:r>
      <w:r>
        <w:rPr>
          <w:color w:val="221F1F"/>
          <w:spacing w:val="-4"/>
        </w:rPr>
        <w:t xml:space="preserve"> </w:t>
      </w:r>
      <w:r>
        <w:rPr>
          <w:color w:val="221F1F"/>
        </w:rPr>
        <w:t>determine</w:t>
      </w:r>
      <w:r>
        <w:rPr>
          <w:color w:val="221F1F"/>
          <w:spacing w:val="-2"/>
        </w:rPr>
        <w:t xml:space="preserve"> </w:t>
      </w:r>
      <w:r>
        <w:rPr>
          <w:color w:val="221F1F"/>
        </w:rPr>
        <w:t>and</w:t>
      </w:r>
      <w:r>
        <w:rPr>
          <w:color w:val="221F1F"/>
          <w:spacing w:val="-5"/>
        </w:rPr>
        <w:t xml:space="preserve"> </w:t>
      </w:r>
      <w:r>
        <w:rPr>
          <w:color w:val="221F1F"/>
        </w:rPr>
        <w:t>certify</w:t>
      </w:r>
      <w:r>
        <w:rPr>
          <w:color w:val="221F1F"/>
          <w:spacing w:val="-3"/>
        </w:rPr>
        <w:t xml:space="preserve"> </w:t>
      </w:r>
      <w:r>
        <w:rPr>
          <w:color w:val="221F1F"/>
        </w:rPr>
        <w:t>each</w:t>
      </w:r>
      <w:r>
        <w:rPr>
          <w:color w:val="221F1F"/>
          <w:spacing w:val="-5"/>
        </w:rPr>
        <w:t xml:space="preserve"> </w:t>
      </w:r>
      <w:r>
        <w:rPr>
          <w:color w:val="221F1F"/>
        </w:rPr>
        <w:t>addition</w:t>
      </w:r>
      <w:r>
        <w:rPr>
          <w:color w:val="221F1F"/>
          <w:spacing w:val="-5"/>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following</w:t>
      </w:r>
      <w:r>
        <w:rPr>
          <w:color w:val="221F1F"/>
          <w:spacing w:val="-3"/>
        </w:rPr>
        <w:t xml:space="preserve"> </w:t>
      </w:r>
      <w:r>
        <w:rPr>
          <w:color w:val="221F1F"/>
        </w:rPr>
        <w:t>conditions</w:t>
      </w:r>
      <w:r>
        <w:rPr>
          <w:color w:val="221F1F"/>
          <w:spacing w:val="-4"/>
        </w:rPr>
        <w:t xml:space="preserve"> </w:t>
      </w:r>
      <w:r>
        <w:rPr>
          <w:color w:val="221F1F"/>
        </w:rPr>
        <w:t>a</w:t>
      </w:r>
      <w:r>
        <w:rPr>
          <w:color w:val="221F1F"/>
          <w:spacing w:val="-3"/>
        </w:rPr>
        <w:t xml:space="preserve"> </w:t>
      </w:r>
      <w:proofErr w:type="spellStart"/>
      <w:r>
        <w:rPr>
          <w:color w:val="221F1F"/>
          <w:spacing w:val="-2"/>
        </w:rPr>
        <w:t>resatisfied</w:t>
      </w:r>
      <w:proofErr w:type="spellEnd"/>
      <w:r>
        <w:rPr>
          <w:color w:val="221F1F"/>
          <w:spacing w:val="-2"/>
        </w:rPr>
        <w:t>:</w:t>
      </w:r>
    </w:p>
    <w:p w:rsidR="007F6DF9" w:rsidRDefault="00A43FBC">
      <w:pPr>
        <w:pStyle w:val="ListParagraph"/>
        <w:numPr>
          <w:ilvl w:val="0"/>
          <w:numId w:val="72"/>
        </w:numPr>
        <w:tabs>
          <w:tab w:val="left" w:pos="1877"/>
        </w:tabs>
        <w:spacing w:before="37" w:line="251" w:lineRule="exact"/>
      </w:pPr>
      <w:r>
        <w:rPr>
          <w:color w:val="221F1F"/>
        </w:rPr>
        <w:t>The</w:t>
      </w:r>
      <w:r>
        <w:rPr>
          <w:color w:val="221F1F"/>
          <w:spacing w:val="-7"/>
        </w:rPr>
        <w:t xml:space="preserve"> </w:t>
      </w:r>
      <w:r>
        <w:rPr>
          <w:color w:val="221F1F"/>
        </w:rPr>
        <w:t>Contractor</w:t>
      </w:r>
      <w:r>
        <w:rPr>
          <w:color w:val="221F1F"/>
          <w:spacing w:val="-3"/>
        </w:rPr>
        <w:t xml:space="preserve"> </w:t>
      </w:r>
      <w:r>
        <w:rPr>
          <w:color w:val="221F1F"/>
          <w:spacing w:val="-4"/>
        </w:rPr>
        <w:t>has:</w:t>
      </w:r>
    </w:p>
    <w:p w:rsidR="007F6DF9" w:rsidRDefault="00A43FBC">
      <w:pPr>
        <w:pStyle w:val="ListParagraph"/>
        <w:numPr>
          <w:ilvl w:val="1"/>
          <w:numId w:val="72"/>
        </w:numPr>
        <w:tabs>
          <w:tab w:val="left" w:pos="2458"/>
        </w:tabs>
        <w:spacing w:before="5" w:line="232" w:lineRule="auto"/>
        <w:ind w:right="799"/>
      </w:pPr>
      <w:r>
        <w:rPr>
          <w:color w:val="221F1F"/>
        </w:rPr>
        <w:t>kept</w:t>
      </w:r>
      <w:r>
        <w:rPr>
          <w:color w:val="221F1F"/>
          <w:spacing w:val="-4"/>
        </w:rPr>
        <w:t xml:space="preserve"> </w:t>
      </w:r>
      <w:r>
        <w:rPr>
          <w:color w:val="221F1F"/>
        </w:rPr>
        <w:t>satisfactory</w:t>
      </w:r>
      <w:r>
        <w:rPr>
          <w:color w:val="221F1F"/>
          <w:spacing w:val="-2"/>
        </w:rPr>
        <w:t xml:space="preserve"> </w:t>
      </w:r>
      <w:r>
        <w:rPr>
          <w:color w:val="221F1F"/>
        </w:rPr>
        <w:t>records</w:t>
      </w:r>
      <w:r>
        <w:rPr>
          <w:color w:val="221F1F"/>
          <w:spacing w:val="-4"/>
        </w:rPr>
        <w:t xml:space="preserve"> </w:t>
      </w:r>
      <w:r>
        <w:rPr>
          <w:color w:val="221F1F"/>
        </w:rPr>
        <w:t>(including</w:t>
      </w:r>
      <w:r>
        <w:rPr>
          <w:color w:val="221F1F"/>
          <w:spacing w:val="-5"/>
        </w:rPr>
        <w:t xml:space="preserve"> </w:t>
      </w:r>
      <w:r>
        <w:rPr>
          <w:color w:val="221F1F"/>
        </w:rPr>
        <w:t>the</w:t>
      </w:r>
      <w:r>
        <w:rPr>
          <w:color w:val="221F1F"/>
          <w:spacing w:val="-2"/>
        </w:rPr>
        <w:t xml:space="preserve"> </w:t>
      </w:r>
      <w:r>
        <w:rPr>
          <w:color w:val="221F1F"/>
        </w:rPr>
        <w:t>orders,</w:t>
      </w:r>
      <w:r>
        <w:rPr>
          <w:color w:val="221F1F"/>
          <w:spacing w:val="-4"/>
        </w:rPr>
        <w:t xml:space="preserve"> </w:t>
      </w:r>
      <w:r>
        <w:rPr>
          <w:color w:val="221F1F"/>
        </w:rPr>
        <w:t>receipts,</w:t>
      </w:r>
      <w:r>
        <w:rPr>
          <w:color w:val="221F1F"/>
          <w:spacing w:val="-4"/>
        </w:rPr>
        <w:t xml:space="preserve"> </w:t>
      </w:r>
      <w:r>
        <w:rPr>
          <w:color w:val="221F1F"/>
        </w:rPr>
        <w:t>Costs</w:t>
      </w:r>
      <w:r>
        <w:rPr>
          <w:color w:val="221F1F"/>
          <w:spacing w:val="-4"/>
        </w:rPr>
        <w:t xml:space="preserve"> </w:t>
      </w:r>
      <w:r>
        <w:rPr>
          <w:color w:val="221F1F"/>
        </w:rPr>
        <w:t>and</w:t>
      </w:r>
      <w:r>
        <w:rPr>
          <w:color w:val="221F1F"/>
          <w:spacing w:val="-2"/>
        </w:rPr>
        <w:t xml:space="preserve"> </w:t>
      </w:r>
      <w:r>
        <w:rPr>
          <w:color w:val="221F1F"/>
        </w:rPr>
        <w:t>use</w:t>
      </w:r>
      <w:r>
        <w:rPr>
          <w:color w:val="221F1F"/>
          <w:spacing w:val="-2"/>
        </w:rPr>
        <w:t xml:space="preserve"> </w:t>
      </w:r>
      <w:r>
        <w:rPr>
          <w:color w:val="221F1F"/>
        </w:rPr>
        <w:t>of</w:t>
      </w:r>
      <w:r>
        <w:rPr>
          <w:color w:val="221F1F"/>
          <w:spacing w:val="-2"/>
        </w:rPr>
        <w:t xml:space="preserve"> </w:t>
      </w:r>
      <w:r>
        <w:rPr>
          <w:color w:val="221F1F"/>
        </w:rPr>
        <w:t>Plant</w:t>
      </w:r>
      <w:r>
        <w:rPr>
          <w:color w:val="221F1F"/>
          <w:spacing w:val="-4"/>
        </w:rPr>
        <w:t xml:space="preserve"> </w:t>
      </w:r>
      <w:r>
        <w:rPr>
          <w:color w:val="221F1F"/>
        </w:rPr>
        <w:t>and</w:t>
      </w:r>
      <w:r>
        <w:rPr>
          <w:color w:val="221F1F"/>
          <w:spacing w:val="-4"/>
        </w:rPr>
        <w:t xml:space="preserve"> </w:t>
      </w:r>
      <w:r>
        <w:rPr>
          <w:color w:val="221F1F"/>
        </w:rPr>
        <w:t>Materials) which are available for inspection, and</w:t>
      </w:r>
    </w:p>
    <w:p w:rsidR="007F6DF9" w:rsidRDefault="00A43FBC">
      <w:pPr>
        <w:pStyle w:val="BodyText"/>
        <w:tabs>
          <w:tab w:val="left" w:pos="2482"/>
        </w:tabs>
        <w:spacing w:before="1" w:line="230" w:lineRule="auto"/>
        <w:ind w:left="2458" w:right="678" w:hanging="581"/>
      </w:pPr>
      <w:r>
        <w:rPr>
          <w:color w:val="221F1F"/>
          <w:spacing w:val="-4"/>
        </w:rPr>
        <w:t>(ii)</w:t>
      </w:r>
      <w:r>
        <w:rPr>
          <w:color w:val="221F1F"/>
        </w:rPr>
        <w:tab/>
      </w:r>
      <w:r>
        <w:rPr>
          <w:color w:val="221F1F"/>
        </w:rPr>
        <w:tab/>
        <w:t>submitted</w:t>
      </w:r>
      <w:r>
        <w:rPr>
          <w:color w:val="221F1F"/>
          <w:spacing w:val="-3"/>
        </w:rPr>
        <w:t xml:space="preserve"> </w:t>
      </w:r>
      <w:r>
        <w:rPr>
          <w:color w:val="221F1F"/>
        </w:rPr>
        <w:t>statement of</w:t>
      </w:r>
      <w:r>
        <w:rPr>
          <w:color w:val="221F1F"/>
          <w:spacing w:val="-3"/>
        </w:rPr>
        <w:t xml:space="preserve"> </w:t>
      </w:r>
      <w:r>
        <w:rPr>
          <w:color w:val="221F1F"/>
        </w:rPr>
        <w:t>the</w:t>
      </w:r>
      <w:r>
        <w:rPr>
          <w:color w:val="221F1F"/>
          <w:spacing w:val="-3"/>
        </w:rPr>
        <w:t xml:space="preserve"> </w:t>
      </w:r>
      <w:r>
        <w:rPr>
          <w:color w:val="221F1F"/>
        </w:rPr>
        <w:t>Cost</w:t>
      </w:r>
      <w:r>
        <w:rPr>
          <w:color w:val="221F1F"/>
          <w:spacing w:val="-1"/>
        </w:rPr>
        <w:t xml:space="preserve"> </w:t>
      </w:r>
      <w:r>
        <w:rPr>
          <w:color w:val="221F1F"/>
        </w:rPr>
        <w:t>of</w:t>
      </w:r>
      <w:r>
        <w:rPr>
          <w:color w:val="221F1F"/>
          <w:spacing w:val="-1"/>
        </w:rPr>
        <w:t xml:space="preserve"> </w:t>
      </w:r>
      <w:r>
        <w:rPr>
          <w:color w:val="221F1F"/>
        </w:rPr>
        <w:t>acquiring</w:t>
      </w:r>
      <w:r>
        <w:rPr>
          <w:color w:val="221F1F"/>
          <w:spacing w:val="-3"/>
        </w:rPr>
        <w:t xml:space="preserve"> </w:t>
      </w:r>
      <w:r>
        <w:rPr>
          <w:color w:val="221F1F"/>
        </w:rPr>
        <w:t>and</w:t>
      </w:r>
      <w:r>
        <w:rPr>
          <w:color w:val="221F1F"/>
          <w:spacing w:val="-1"/>
        </w:rPr>
        <w:t xml:space="preserve"> </w:t>
      </w:r>
      <w:r>
        <w:rPr>
          <w:color w:val="221F1F"/>
        </w:rPr>
        <w:t>delivering</w:t>
      </w:r>
      <w:r>
        <w:rPr>
          <w:color w:val="221F1F"/>
          <w:spacing w:val="-1"/>
        </w:rPr>
        <w:t xml:space="preserve"> </w:t>
      </w:r>
      <w:r>
        <w:rPr>
          <w:color w:val="221F1F"/>
        </w:rPr>
        <w:t>the</w:t>
      </w:r>
      <w:r>
        <w:rPr>
          <w:color w:val="221F1F"/>
          <w:spacing w:val="-1"/>
        </w:rPr>
        <w:t xml:space="preserve"> </w:t>
      </w:r>
      <w:r>
        <w:rPr>
          <w:color w:val="221F1F"/>
        </w:rPr>
        <w:t>Plant</w:t>
      </w:r>
      <w:r>
        <w:rPr>
          <w:color w:val="221F1F"/>
          <w:spacing w:val="-3"/>
        </w:rPr>
        <w:t xml:space="preserve"> </w:t>
      </w:r>
      <w:r>
        <w:rPr>
          <w:color w:val="221F1F"/>
        </w:rPr>
        <w:t>and</w:t>
      </w:r>
      <w:r>
        <w:rPr>
          <w:color w:val="221F1F"/>
          <w:spacing w:val="-3"/>
        </w:rPr>
        <w:t xml:space="preserve"> </w:t>
      </w:r>
      <w:r>
        <w:rPr>
          <w:color w:val="221F1F"/>
        </w:rPr>
        <w:t>Materials</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Site, supported by satisfactory evidence;</w:t>
      </w:r>
    </w:p>
    <w:p w:rsidR="007F6DF9" w:rsidRDefault="00A43FBC">
      <w:pPr>
        <w:pStyle w:val="BodyText"/>
        <w:spacing w:before="113"/>
        <w:ind w:left="1877"/>
      </w:pPr>
      <w:r>
        <w:rPr>
          <w:color w:val="221F1F"/>
        </w:rPr>
        <w:t xml:space="preserve">and </w:t>
      </w:r>
      <w:r>
        <w:rPr>
          <w:color w:val="221F1F"/>
          <w:spacing w:val="-2"/>
        </w:rPr>
        <w:t>either:</w:t>
      </w:r>
    </w:p>
    <w:p w:rsidR="007F6DF9" w:rsidRDefault="007F6DF9">
      <w:pPr>
        <w:pStyle w:val="BodyText"/>
        <w:sectPr w:rsidR="007F6DF9">
          <w:pgSz w:w="11920" w:h="16850"/>
          <w:pgMar w:top="360" w:right="283" w:bottom="620" w:left="141" w:header="0" w:footer="437" w:gutter="0"/>
          <w:cols w:space="720"/>
        </w:sectPr>
      </w:pPr>
    </w:p>
    <w:p w:rsidR="007F6DF9" w:rsidRDefault="00A43FBC">
      <w:pPr>
        <w:pStyle w:val="ListParagraph"/>
        <w:numPr>
          <w:ilvl w:val="0"/>
          <w:numId w:val="72"/>
        </w:numPr>
        <w:tabs>
          <w:tab w:val="left" w:pos="1876"/>
        </w:tabs>
        <w:spacing w:line="244" w:lineRule="exact"/>
        <w:ind w:left="1876" w:hanging="491"/>
        <w:jc w:val="both"/>
      </w:pPr>
      <w:r>
        <w:rPr>
          <w:noProof/>
        </w:rPr>
        <w:lastRenderedPageBreak/>
        <mc:AlternateContent>
          <mc:Choice Requires="wpg">
            <w:drawing>
              <wp:anchor distT="0" distB="0" distL="0" distR="0" simplePos="0" relativeHeight="479602688" behindDoc="1" locked="0" layoutInCell="1" allowOverlap="1">
                <wp:simplePos x="0" y="0"/>
                <wp:positionH relativeFrom="page">
                  <wp:posOffset>0</wp:posOffset>
                </wp:positionH>
                <wp:positionV relativeFrom="page">
                  <wp:posOffset>10238638</wp:posOffset>
                </wp:positionV>
                <wp:extent cx="7561580" cy="31115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390" name="Graphic 390"/>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391" name="Graphic 391"/>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47F894BB" id="Group 389" o:spid="_x0000_s1026" style="position:absolute;margin-left:0;margin-top:806.2pt;width:595.4pt;height:24.5pt;z-index:-23713792;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">
                <v:shape id="Graphic 390"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" path="m946150,l,,,153670r7620,48895l29845,245110r33020,33020l105409,300355r48261,7620l946150,307975,946150,xe" fillcolor="#011f5e" stroked="f">
                  <v:path arrowok="t"/>
                </v:shape>
                <v:shape id="Graphic 391"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the</w:t>
      </w:r>
      <w:r>
        <w:rPr>
          <w:color w:val="221F1F"/>
          <w:spacing w:val="-5"/>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spacing w:val="-2"/>
        </w:rPr>
        <w:t>Materials:</w:t>
      </w:r>
    </w:p>
    <w:p w:rsidR="007F6DF9" w:rsidRDefault="00A43FBC">
      <w:pPr>
        <w:pStyle w:val="ListParagraph"/>
        <w:numPr>
          <w:ilvl w:val="1"/>
          <w:numId w:val="72"/>
        </w:numPr>
        <w:tabs>
          <w:tab w:val="left" w:pos="2432"/>
        </w:tabs>
        <w:spacing w:before="40"/>
        <w:ind w:left="2432" w:hanging="555"/>
        <w:jc w:val="both"/>
      </w:pPr>
      <w:r>
        <w:rPr>
          <w:color w:val="221F1F"/>
        </w:rPr>
        <w:t>are</w:t>
      </w:r>
      <w:r>
        <w:rPr>
          <w:color w:val="221F1F"/>
          <w:spacing w:val="-5"/>
        </w:rPr>
        <w:t xml:space="preserve"> </w:t>
      </w:r>
      <w:r>
        <w:rPr>
          <w:color w:val="221F1F"/>
        </w:rPr>
        <w:t>those</w:t>
      </w:r>
      <w:r>
        <w:rPr>
          <w:color w:val="221F1F"/>
          <w:spacing w:val="-2"/>
        </w:rPr>
        <w:t xml:space="preserve"> </w:t>
      </w:r>
      <w:r>
        <w:rPr>
          <w:color w:val="221F1F"/>
        </w:rPr>
        <w:t>listed</w:t>
      </w:r>
      <w:r>
        <w:rPr>
          <w:color w:val="221F1F"/>
          <w:spacing w:val="-3"/>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Schedules</w:t>
      </w:r>
      <w:r>
        <w:rPr>
          <w:color w:val="221F1F"/>
          <w:spacing w:val="-5"/>
        </w:rPr>
        <w:t xml:space="preserve"> </w:t>
      </w:r>
      <w:r>
        <w:rPr>
          <w:color w:val="221F1F"/>
        </w:rPr>
        <w:t>for</w:t>
      </w:r>
      <w:r>
        <w:rPr>
          <w:color w:val="221F1F"/>
          <w:spacing w:val="-1"/>
        </w:rPr>
        <w:t xml:space="preserve"> </w:t>
      </w:r>
      <w:r>
        <w:rPr>
          <w:color w:val="221F1F"/>
        </w:rPr>
        <w:t>payment</w:t>
      </w:r>
      <w:r>
        <w:rPr>
          <w:color w:val="221F1F"/>
          <w:spacing w:val="-1"/>
        </w:rPr>
        <w:t xml:space="preserve"> </w:t>
      </w:r>
      <w:r>
        <w:rPr>
          <w:color w:val="221F1F"/>
        </w:rPr>
        <w:t>when</w:t>
      </w:r>
      <w:r>
        <w:rPr>
          <w:color w:val="221F1F"/>
          <w:spacing w:val="-2"/>
        </w:rPr>
        <w:t xml:space="preserve"> shipped,</w:t>
      </w:r>
    </w:p>
    <w:p w:rsidR="007F6DF9" w:rsidRDefault="00A43FBC">
      <w:pPr>
        <w:pStyle w:val="ListParagraph"/>
        <w:numPr>
          <w:ilvl w:val="1"/>
          <w:numId w:val="72"/>
        </w:numPr>
        <w:tabs>
          <w:tab w:val="left" w:pos="2432"/>
        </w:tabs>
        <w:spacing w:before="39"/>
        <w:ind w:left="2432" w:hanging="555"/>
        <w:jc w:val="both"/>
      </w:pPr>
      <w:r>
        <w:rPr>
          <w:color w:val="221F1F"/>
        </w:rPr>
        <w:t>have</w:t>
      </w:r>
      <w:r>
        <w:rPr>
          <w:color w:val="221F1F"/>
          <w:spacing w:val="-3"/>
        </w:rPr>
        <w:t xml:space="preserve"> </w:t>
      </w:r>
      <w:r>
        <w:rPr>
          <w:color w:val="221F1F"/>
        </w:rPr>
        <w:t>been</w:t>
      </w:r>
      <w:r>
        <w:rPr>
          <w:color w:val="221F1F"/>
          <w:spacing w:val="-3"/>
        </w:rPr>
        <w:t xml:space="preserve"> </w:t>
      </w:r>
      <w:r>
        <w:rPr>
          <w:color w:val="221F1F"/>
        </w:rPr>
        <w:t>shipped</w:t>
      </w:r>
      <w:r>
        <w:rPr>
          <w:color w:val="221F1F"/>
          <w:spacing w:val="-1"/>
        </w:rPr>
        <w:t xml:space="preserve"> </w:t>
      </w:r>
      <w:r>
        <w:rPr>
          <w:color w:val="221F1F"/>
        </w:rPr>
        <w:t>to</w:t>
      </w:r>
      <w:r>
        <w:rPr>
          <w:color w:val="221F1F"/>
          <w:spacing w:val="-3"/>
        </w:rPr>
        <w:t xml:space="preserve"> </w:t>
      </w:r>
      <w:r>
        <w:rPr>
          <w:color w:val="221F1F"/>
        </w:rPr>
        <w:t>Kenya,</w:t>
      </w:r>
      <w:r>
        <w:rPr>
          <w:color w:val="221F1F"/>
          <w:spacing w:val="-3"/>
        </w:rPr>
        <w:t xml:space="preserve"> </w:t>
      </w:r>
      <w:proofErr w:type="spellStart"/>
      <w:r>
        <w:rPr>
          <w:color w:val="221F1F"/>
        </w:rPr>
        <w:t>enroute</w:t>
      </w:r>
      <w:proofErr w:type="spellEnd"/>
      <w:r>
        <w:rPr>
          <w:color w:val="221F1F"/>
          <w:spacing w:val="-2"/>
        </w:rPr>
        <w:t xml:space="preserve"> </w:t>
      </w:r>
      <w:r>
        <w:rPr>
          <w:color w:val="221F1F"/>
        </w:rPr>
        <w:t>to</w:t>
      </w:r>
      <w:r>
        <w:rPr>
          <w:color w:val="221F1F"/>
          <w:spacing w:val="-6"/>
        </w:rPr>
        <w:t xml:space="preserve"> </w:t>
      </w:r>
      <w:r>
        <w:rPr>
          <w:color w:val="221F1F"/>
        </w:rPr>
        <w:t>the</w:t>
      </w:r>
      <w:r>
        <w:rPr>
          <w:color w:val="221F1F"/>
          <w:spacing w:val="-4"/>
        </w:rPr>
        <w:t xml:space="preserve"> </w:t>
      </w:r>
      <w:r>
        <w:rPr>
          <w:color w:val="221F1F"/>
        </w:rPr>
        <w:t>Site,</w:t>
      </w:r>
      <w:r>
        <w:rPr>
          <w:color w:val="221F1F"/>
          <w:spacing w:val="-5"/>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spacing w:val="-5"/>
        </w:rPr>
        <w:t>and</w:t>
      </w:r>
    </w:p>
    <w:p w:rsidR="007F6DF9" w:rsidRDefault="00A43FBC">
      <w:pPr>
        <w:pStyle w:val="ListParagraph"/>
        <w:numPr>
          <w:ilvl w:val="1"/>
          <w:numId w:val="72"/>
        </w:numPr>
        <w:tabs>
          <w:tab w:val="left" w:pos="2430"/>
          <w:tab w:val="left" w:pos="2434"/>
        </w:tabs>
        <w:spacing w:before="48" w:line="230" w:lineRule="auto"/>
        <w:ind w:left="2434" w:right="556" w:hanging="557"/>
        <w:jc w:val="both"/>
      </w:pPr>
      <w:r>
        <w:rPr>
          <w:color w:val="221F1F"/>
        </w:rPr>
        <w:t>are described in a clean shipped bill of lading or other evidence of shipment, which has been submitted</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together</w:t>
      </w:r>
      <w:r>
        <w:rPr>
          <w:color w:val="221F1F"/>
          <w:spacing w:val="-1"/>
        </w:rPr>
        <w:t xml:space="preserve"> </w:t>
      </w:r>
      <w:r>
        <w:rPr>
          <w:color w:val="221F1F"/>
        </w:rPr>
        <w:t>with</w:t>
      </w:r>
      <w:r>
        <w:rPr>
          <w:color w:val="221F1F"/>
          <w:spacing w:val="-2"/>
        </w:rPr>
        <w:t xml:space="preserve"> </w:t>
      </w:r>
      <w:r>
        <w:rPr>
          <w:color w:val="221F1F"/>
        </w:rPr>
        <w:t>evidence</w:t>
      </w:r>
      <w:r>
        <w:rPr>
          <w:color w:val="221F1F"/>
          <w:spacing w:val="-2"/>
        </w:rPr>
        <w:t xml:space="preserve"> </w:t>
      </w:r>
      <w:r>
        <w:rPr>
          <w:color w:val="221F1F"/>
        </w:rPr>
        <w:t>of</w:t>
      </w:r>
      <w:r>
        <w:rPr>
          <w:color w:val="221F1F"/>
          <w:spacing w:val="-2"/>
        </w:rPr>
        <w:t xml:space="preserve"> </w:t>
      </w:r>
      <w:r>
        <w:rPr>
          <w:color w:val="221F1F"/>
        </w:rPr>
        <w:t>payment</w:t>
      </w:r>
      <w:r>
        <w:rPr>
          <w:color w:val="221F1F"/>
          <w:spacing w:val="-1"/>
        </w:rPr>
        <w:t xml:space="preserve"> </w:t>
      </w:r>
      <w:r>
        <w:rPr>
          <w:color w:val="221F1F"/>
        </w:rPr>
        <w:t>of</w:t>
      </w:r>
      <w:r>
        <w:rPr>
          <w:color w:val="221F1F"/>
          <w:spacing w:val="-4"/>
        </w:rPr>
        <w:t xml:space="preserve"> </w:t>
      </w:r>
      <w:r>
        <w:rPr>
          <w:color w:val="221F1F"/>
        </w:rPr>
        <w:t>freight</w:t>
      </w:r>
      <w:r>
        <w:rPr>
          <w:color w:val="221F1F"/>
          <w:spacing w:val="-1"/>
        </w:rPr>
        <w:t xml:space="preserve"> </w:t>
      </w:r>
      <w:r>
        <w:rPr>
          <w:color w:val="221F1F"/>
        </w:rPr>
        <w:t>and</w:t>
      </w:r>
      <w:r>
        <w:rPr>
          <w:color w:val="221F1F"/>
          <w:spacing w:val="-2"/>
        </w:rPr>
        <w:t xml:space="preserve"> </w:t>
      </w:r>
      <w:r>
        <w:rPr>
          <w:color w:val="221F1F"/>
        </w:rPr>
        <w:t>insurance,</w:t>
      </w:r>
      <w:r>
        <w:rPr>
          <w:color w:val="221F1F"/>
          <w:spacing w:val="-2"/>
        </w:rPr>
        <w:t xml:space="preserve"> </w:t>
      </w:r>
      <w:r>
        <w:rPr>
          <w:color w:val="221F1F"/>
        </w:rPr>
        <w:t>any</w:t>
      </w:r>
      <w:r>
        <w:rPr>
          <w:color w:val="221F1F"/>
          <w:spacing w:val="-2"/>
        </w:rPr>
        <w:t xml:space="preserve"> </w:t>
      </w:r>
      <w:r>
        <w:rPr>
          <w:color w:val="221F1F"/>
        </w:rPr>
        <w:t>other documents</w:t>
      </w:r>
      <w:r>
        <w:rPr>
          <w:color w:val="221F1F"/>
          <w:spacing w:val="-4"/>
        </w:rPr>
        <w:t xml:space="preserve"> </w:t>
      </w:r>
      <w:r>
        <w:rPr>
          <w:color w:val="221F1F"/>
        </w:rPr>
        <w:t>reasonably</w:t>
      </w:r>
      <w:r>
        <w:rPr>
          <w:color w:val="221F1F"/>
          <w:spacing w:val="-3"/>
        </w:rPr>
        <w:t xml:space="preserve"> </w:t>
      </w:r>
      <w:r>
        <w:rPr>
          <w:color w:val="221F1F"/>
        </w:rPr>
        <w:t>required,</w:t>
      </w:r>
      <w:r>
        <w:rPr>
          <w:color w:val="221F1F"/>
          <w:spacing w:val="-4"/>
        </w:rPr>
        <w:t xml:space="preserve"> </w:t>
      </w:r>
      <w:r>
        <w:rPr>
          <w:color w:val="221F1F"/>
        </w:rPr>
        <w:t>and</w:t>
      </w:r>
      <w:r>
        <w:rPr>
          <w:color w:val="221F1F"/>
          <w:spacing w:val="-7"/>
        </w:rPr>
        <w:t xml:space="preserve"> </w:t>
      </w:r>
      <w:r>
        <w:rPr>
          <w:color w:val="221F1F"/>
        </w:rPr>
        <w:t>a</w:t>
      </w:r>
      <w:r>
        <w:rPr>
          <w:color w:val="221F1F"/>
          <w:spacing w:val="-4"/>
        </w:rPr>
        <w:t xml:space="preserve"> </w:t>
      </w:r>
      <w:r>
        <w:rPr>
          <w:color w:val="221F1F"/>
        </w:rPr>
        <w:t>bank</w:t>
      </w:r>
      <w:r>
        <w:rPr>
          <w:color w:val="221F1F"/>
          <w:spacing w:val="-4"/>
        </w:rPr>
        <w:t xml:space="preserve"> </w:t>
      </w:r>
      <w:r>
        <w:rPr>
          <w:color w:val="221F1F"/>
        </w:rPr>
        <w:t>guarantee</w:t>
      </w:r>
      <w:r>
        <w:rPr>
          <w:color w:val="221F1F"/>
          <w:spacing w:val="-4"/>
        </w:rPr>
        <w:t xml:space="preserve"> </w:t>
      </w:r>
      <w:r>
        <w:rPr>
          <w:color w:val="221F1F"/>
        </w:rPr>
        <w:t>in</w:t>
      </w:r>
      <w:r>
        <w:rPr>
          <w:color w:val="221F1F"/>
          <w:spacing w:val="-5"/>
        </w:rPr>
        <w:t xml:space="preserve"> </w:t>
      </w:r>
      <w:r>
        <w:rPr>
          <w:color w:val="221F1F"/>
        </w:rPr>
        <w:t>a</w:t>
      </w:r>
      <w:r>
        <w:rPr>
          <w:color w:val="221F1F"/>
          <w:spacing w:val="-4"/>
        </w:rPr>
        <w:t xml:space="preserve"> </w:t>
      </w:r>
      <w:r>
        <w:rPr>
          <w:color w:val="221F1F"/>
        </w:rPr>
        <w:t>form</w:t>
      </w:r>
      <w:r>
        <w:rPr>
          <w:color w:val="221F1F"/>
          <w:spacing w:val="-3"/>
        </w:rPr>
        <w:t xml:space="preserve"> </w:t>
      </w:r>
      <w:r>
        <w:rPr>
          <w:color w:val="221F1F"/>
        </w:rPr>
        <w:t>and</w:t>
      </w:r>
      <w:r>
        <w:rPr>
          <w:color w:val="221F1F"/>
          <w:spacing w:val="-7"/>
        </w:rPr>
        <w:t xml:space="preserve"> </w:t>
      </w:r>
      <w:r>
        <w:rPr>
          <w:color w:val="221F1F"/>
        </w:rPr>
        <w:t>issued</w:t>
      </w:r>
      <w:r>
        <w:rPr>
          <w:color w:val="221F1F"/>
          <w:spacing w:val="-4"/>
        </w:rPr>
        <w:t xml:space="preserve"> </w:t>
      </w:r>
      <w:r>
        <w:rPr>
          <w:color w:val="221F1F"/>
        </w:rPr>
        <w:t>by</w:t>
      </w:r>
      <w:r>
        <w:rPr>
          <w:color w:val="221F1F"/>
          <w:spacing w:val="-5"/>
        </w:rPr>
        <w:t xml:space="preserve"> </w:t>
      </w:r>
      <w:r>
        <w:rPr>
          <w:color w:val="221F1F"/>
        </w:rPr>
        <w:t>an</w:t>
      </w:r>
      <w:r>
        <w:rPr>
          <w:color w:val="221F1F"/>
          <w:spacing w:val="-7"/>
        </w:rPr>
        <w:t xml:space="preserve"> </w:t>
      </w:r>
      <w:r>
        <w:rPr>
          <w:color w:val="221F1F"/>
        </w:rPr>
        <w:t>entity</w:t>
      </w:r>
      <w:r>
        <w:rPr>
          <w:color w:val="221F1F"/>
          <w:spacing w:val="-4"/>
        </w:rPr>
        <w:t xml:space="preserve"> </w:t>
      </w:r>
      <w:r>
        <w:rPr>
          <w:color w:val="221F1F"/>
        </w:rPr>
        <w:t>approved by</w:t>
      </w:r>
      <w:r>
        <w:rPr>
          <w:color w:val="221F1F"/>
          <w:spacing w:val="-12"/>
        </w:rPr>
        <w:t xml:space="preserve"> </w:t>
      </w:r>
      <w:r>
        <w:rPr>
          <w:color w:val="221F1F"/>
        </w:rPr>
        <w:t>the</w:t>
      </w:r>
      <w:r>
        <w:rPr>
          <w:color w:val="221F1F"/>
          <w:spacing w:val="-11"/>
        </w:rPr>
        <w:t xml:space="preserve"> </w:t>
      </w:r>
      <w:r>
        <w:rPr>
          <w:color w:val="221F1F"/>
        </w:rPr>
        <w:t>Procuring</w:t>
      </w:r>
      <w:r>
        <w:rPr>
          <w:color w:val="221F1F"/>
          <w:spacing w:val="-11"/>
        </w:rPr>
        <w:t xml:space="preserve"> </w:t>
      </w:r>
      <w:r>
        <w:rPr>
          <w:color w:val="221F1F"/>
        </w:rPr>
        <w:t>Entity</w:t>
      </w:r>
      <w:r>
        <w:rPr>
          <w:color w:val="221F1F"/>
          <w:spacing w:val="-14"/>
        </w:rPr>
        <w:t xml:space="preserve"> </w:t>
      </w:r>
      <w:r>
        <w:rPr>
          <w:color w:val="221F1F"/>
        </w:rPr>
        <w:t>in</w:t>
      </w:r>
      <w:r>
        <w:rPr>
          <w:color w:val="221F1F"/>
          <w:spacing w:val="-14"/>
        </w:rPr>
        <w:t xml:space="preserve"> </w:t>
      </w:r>
      <w:r>
        <w:rPr>
          <w:color w:val="221F1F"/>
        </w:rPr>
        <w:t>amounts</w:t>
      </w:r>
      <w:r>
        <w:rPr>
          <w:color w:val="221F1F"/>
          <w:spacing w:val="-12"/>
        </w:rPr>
        <w:t xml:space="preserve"> </w:t>
      </w:r>
      <w:r>
        <w:rPr>
          <w:color w:val="221F1F"/>
        </w:rPr>
        <w:t>and</w:t>
      </w:r>
      <w:r>
        <w:rPr>
          <w:color w:val="221F1F"/>
          <w:spacing w:val="-14"/>
        </w:rPr>
        <w:t xml:space="preserve"> </w:t>
      </w:r>
      <w:r>
        <w:rPr>
          <w:color w:val="221F1F"/>
        </w:rPr>
        <w:t>currencies</w:t>
      </w:r>
      <w:r>
        <w:rPr>
          <w:color w:val="221F1F"/>
          <w:spacing w:val="-11"/>
        </w:rPr>
        <w:t xml:space="preserve"> </w:t>
      </w:r>
      <w:r>
        <w:rPr>
          <w:color w:val="221F1F"/>
        </w:rPr>
        <w:t>equal</w:t>
      </w:r>
      <w:r>
        <w:rPr>
          <w:color w:val="221F1F"/>
          <w:spacing w:val="-11"/>
        </w:rPr>
        <w:t xml:space="preserve"> </w:t>
      </w:r>
      <w:r>
        <w:rPr>
          <w:color w:val="221F1F"/>
        </w:rPr>
        <w:t>to</w:t>
      </w:r>
      <w:r>
        <w:rPr>
          <w:color w:val="221F1F"/>
          <w:spacing w:val="-12"/>
        </w:rPr>
        <w:t xml:space="preserve"> </w:t>
      </w:r>
      <w:r>
        <w:rPr>
          <w:color w:val="221F1F"/>
        </w:rPr>
        <w:t>the</w:t>
      </w:r>
      <w:r>
        <w:rPr>
          <w:color w:val="221F1F"/>
          <w:spacing w:val="-14"/>
        </w:rPr>
        <w:t xml:space="preserve"> </w:t>
      </w:r>
      <w:r>
        <w:rPr>
          <w:color w:val="221F1F"/>
        </w:rPr>
        <w:t>amount</w:t>
      </w:r>
      <w:r>
        <w:rPr>
          <w:color w:val="221F1F"/>
          <w:spacing w:val="-13"/>
        </w:rPr>
        <w:t xml:space="preserve"> </w:t>
      </w:r>
      <w:r>
        <w:rPr>
          <w:color w:val="221F1F"/>
        </w:rPr>
        <w:t>due</w:t>
      </w:r>
      <w:r>
        <w:rPr>
          <w:color w:val="221F1F"/>
          <w:spacing w:val="-13"/>
        </w:rPr>
        <w:t xml:space="preserve"> </w:t>
      </w:r>
      <w:r>
        <w:rPr>
          <w:color w:val="221F1F"/>
        </w:rPr>
        <w:t>under</w:t>
      </w:r>
      <w:r>
        <w:rPr>
          <w:color w:val="221F1F"/>
          <w:spacing w:val="-13"/>
        </w:rPr>
        <w:t xml:space="preserve"> </w:t>
      </w:r>
      <w:r>
        <w:rPr>
          <w:color w:val="221F1F"/>
        </w:rPr>
        <w:t>this</w:t>
      </w:r>
      <w:r>
        <w:rPr>
          <w:color w:val="221F1F"/>
          <w:spacing w:val="-11"/>
        </w:rPr>
        <w:t xml:space="preserve"> </w:t>
      </w:r>
      <w:r>
        <w:rPr>
          <w:color w:val="221F1F"/>
        </w:rPr>
        <w:t>Sub-Clause: this guarantee may be in a similar form to the form referred to in Sub-Clause14.2 [Advance Payment]</w:t>
      </w:r>
      <w:r>
        <w:rPr>
          <w:color w:val="221F1F"/>
          <w:spacing w:val="-10"/>
        </w:rPr>
        <w:t xml:space="preserve"> </w:t>
      </w:r>
      <w:r>
        <w:rPr>
          <w:color w:val="221F1F"/>
        </w:rPr>
        <w:t>and</w:t>
      </w:r>
      <w:r>
        <w:rPr>
          <w:color w:val="221F1F"/>
          <w:spacing w:val="-11"/>
        </w:rPr>
        <w:t xml:space="preserve"> </w:t>
      </w:r>
      <w:r>
        <w:rPr>
          <w:color w:val="221F1F"/>
        </w:rPr>
        <w:t>shall</w:t>
      </w:r>
      <w:r>
        <w:rPr>
          <w:color w:val="221F1F"/>
          <w:spacing w:val="-10"/>
        </w:rPr>
        <w:t xml:space="preserve"> </w:t>
      </w:r>
      <w:r>
        <w:rPr>
          <w:color w:val="221F1F"/>
        </w:rPr>
        <w:t>be</w:t>
      </w:r>
      <w:r>
        <w:rPr>
          <w:color w:val="221F1F"/>
          <w:spacing w:val="-9"/>
        </w:rPr>
        <w:t xml:space="preserve"> </w:t>
      </w:r>
      <w:r>
        <w:rPr>
          <w:color w:val="221F1F"/>
        </w:rPr>
        <w:t>valid</w:t>
      </w:r>
      <w:r>
        <w:rPr>
          <w:color w:val="221F1F"/>
          <w:spacing w:val="-13"/>
        </w:rPr>
        <w:t xml:space="preserve"> </w:t>
      </w:r>
      <w:r>
        <w:rPr>
          <w:color w:val="221F1F"/>
        </w:rPr>
        <w:t>until</w:t>
      </w:r>
      <w:r>
        <w:rPr>
          <w:color w:val="221F1F"/>
          <w:spacing w:val="-10"/>
        </w:rPr>
        <w:t xml:space="preserve"> </w:t>
      </w:r>
      <w:r>
        <w:rPr>
          <w:color w:val="221F1F"/>
        </w:rPr>
        <w:t>the</w:t>
      </w:r>
      <w:r>
        <w:rPr>
          <w:color w:val="221F1F"/>
          <w:spacing w:val="-11"/>
        </w:rPr>
        <w:t xml:space="preserve"> </w:t>
      </w:r>
      <w:r>
        <w:rPr>
          <w:color w:val="221F1F"/>
        </w:rPr>
        <w:t>Plant</w:t>
      </w:r>
      <w:r>
        <w:rPr>
          <w:color w:val="221F1F"/>
          <w:spacing w:val="-10"/>
        </w:rPr>
        <w:t xml:space="preserve"> </w:t>
      </w:r>
      <w:r>
        <w:rPr>
          <w:color w:val="221F1F"/>
        </w:rPr>
        <w:t>and</w:t>
      </w:r>
      <w:r>
        <w:rPr>
          <w:color w:val="221F1F"/>
          <w:spacing w:val="-11"/>
        </w:rPr>
        <w:t xml:space="preserve"> </w:t>
      </w:r>
      <w:r>
        <w:rPr>
          <w:color w:val="221F1F"/>
        </w:rPr>
        <w:t>Materials</w:t>
      </w:r>
      <w:r>
        <w:rPr>
          <w:color w:val="221F1F"/>
          <w:spacing w:val="-10"/>
        </w:rPr>
        <w:t xml:space="preserve"> </w:t>
      </w:r>
      <w:r>
        <w:rPr>
          <w:color w:val="221F1F"/>
        </w:rPr>
        <w:t>are</w:t>
      </w:r>
      <w:r>
        <w:rPr>
          <w:color w:val="221F1F"/>
          <w:spacing w:val="-11"/>
        </w:rPr>
        <w:t xml:space="preserve"> </w:t>
      </w:r>
      <w:r>
        <w:rPr>
          <w:color w:val="221F1F"/>
        </w:rPr>
        <w:t>properly</w:t>
      </w:r>
      <w:r>
        <w:rPr>
          <w:color w:val="221F1F"/>
          <w:spacing w:val="-11"/>
        </w:rPr>
        <w:t xml:space="preserve"> </w:t>
      </w:r>
      <w:r>
        <w:rPr>
          <w:color w:val="221F1F"/>
        </w:rPr>
        <w:t>stored</w:t>
      </w:r>
      <w:r>
        <w:rPr>
          <w:color w:val="221F1F"/>
          <w:spacing w:val="-11"/>
        </w:rPr>
        <w:t xml:space="preserve"> </w:t>
      </w:r>
      <w:r>
        <w:rPr>
          <w:color w:val="221F1F"/>
        </w:rPr>
        <w:t>on</w:t>
      </w:r>
      <w:r>
        <w:rPr>
          <w:color w:val="221F1F"/>
          <w:spacing w:val="-11"/>
        </w:rPr>
        <w:t xml:space="preserve"> </w:t>
      </w:r>
      <w:r>
        <w:rPr>
          <w:color w:val="221F1F"/>
        </w:rPr>
        <w:t>Site</w:t>
      </w:r>
      <w:r>
        <w:rPr>
          <w:color w:val="221F1F"/>
          <w:spacing w:val="-13"/>
        </w:rPr>
        <w:t xml:space="preserve"> </w:t>
      </w:r>
      <w:r>
        <w:rPr>
          <w:color w:val="221F1F"/>
        </w:rPr>
        <w:t>and</w:t>
      </w:r>
      <w:r>
        <w:rPr>
          <w:color w:val="221F1F"/>
          <w:spacing w:val="-11"/>
        </w:rPr>
        <w:t xml:space="preserve"> </w:t>
      </w:r>
      <w:r>
        <w:rPr>
          <w:color w:val="221F1F"/>
        </w:rPr>
        <w:t>protected against loss, damage or deterioration; or</w:t>
      </w:r>
    </w:p>
    <w:p w:rsidR="007F6DF9" w:rsidRDefault="00A43FBC">
      <w:pPr>
        <w:pStyle w:val="ListParagraph"/>
        <w:numPr>
          <w:ilvl w:val="0"/>
          <w:numId w:val="72"/>
        </w:numPr>
        <w:tabs>
          <w:tab w:val="left" w:pos="1873"/>
        </w:tabs>
        <w:spacing w:before="117"/>
        <w:ind w:left="1873" w:hanging="488"/>
        <w:jc w:val="both"/>
      </w:pPr>
      <w:r>
        <w:rPr>
          <w:color w:val="221F1F"/>
        </w:rPr>
        <w:t>the</w:t>
      </w:r>
      <w:r>
        <w:rPr>
          <w:color w:val="221F1F"/>
          <w:spacing w:val="-5"/>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spacing w:val="-2"/>
        </w:rPr>
        <w:t>Materials:</w:t>
      </w:r>
    </w:p>
    <w:p w:rsidR="007F6DF9" w:rsidRDefault="00A43FBC">
      <w:pPr>
        <w:pStyle w:val="ListParagraph"/>
        <w:numPr>
          <w:ilvl w:val="1"/>
          <w:numId w:val="72"/>
        </w:numPr>
        <w:tabs>
          <w:tab w:val="left" w:pos="2396"/>
        </w:tabs>
        <w:spacing w:before="39"/>
        <w:ind w:left="2396" w:hanging="519"/>
        <w:jc w:val="both"/>
      </w:pPr>
      <w:r>
        <w:rPr>
          <w:color w:val="221F1F"/>
        </w:rPr>
        <w:t>are</w:t>
      </w:r>
      <w:r>
        <w:rPr>
          <w:color w:val="221F1F"/>
          <w:spacing w:val="-5"/>
        </w:rPr>
        <w:t xml:space="preserve"> </w:t>
      </w:r>
      <w:r>
        <w:rPr>
          <w:color w:val="221F1F"/>
        </w:rPr>
        <w:t>those</w:t>
      </w:r>
      <w:r>
        <w:rPr>
          <w:color w:val="221F1F"/>
          <w:spacing w:val="-2"/>
        </w:rPr>
        <w:t xml:space="preserve"> </w:t>
      </w:r>
      <w:r>
        <w:rPr>
          <w:color w:val="221F1F"/>
        </w:rPr>
        <w:t>listed</w:t>
      </w:r>
      <w:r>
        <w:rPr>
          <w:color w:val="221F1F"/>
          <w:spacing w:val="-3"/>
        </w:rPr>
        <w:t xml:space="preserve"> </w:t>
      </w:r>
      <w:r>
        <w:rPr>
          <w:color w:val="221F1F"/>
        </w:rPr>
        <w:t>in</w:t>
      </w:r>
      <w:r>
        <w:rPr>
          <w:color w:val="221F1F"/>
          <w:spacing w:val="-6"/>
        </w:rPr>
        <w:t xml:space="preserve"> </w:t>
      </w:r>
      <w:r>
        <w:rPr>
          <w:color w:val="221F1F"/>
        </w:rPr>
        <w:t>the</w:t>
      </w:r>
      <w:r>
        <w:rPr>
          <w:color w:val="221F1F"/>
          <w:spacing w:val="-2"/>
        </w:rPr>
        <w:t xml:space="preserve"> </w:t>
      </w:r>
      <w:r>
        <w:rPr>
          <w:color w:val="221F1F"/>
        </w:rPr>
        <w:t>Schedules</w:t>
      </w:r>
      <w:r>
        <w:rPr>
          <w:color w:val="221F1F"/>
          <w:spacing w:val="-4"/>
        </w:rPr>
        <w:t xml:space="preserve"> </w:t>
      </w:r>
      <w:r>
        <w:rPr>
          <w:color w:val="221F1F"/>
        </w:rPr>
        <w:t>for</w:t>
      </w:r>
      <w:r>
        <w:rPr>
          <w:color w:val="221F1F"/>
          <w:spacing w:val="-2"/>
        </w:rPr>
        <w:t xml:space="preserve"> </w:t>
      </w:r>
      <w:r>
        <w:rPr>
          <w:color w:val="221F1F"/>
        </w:rPr>
        <w:t>payment</w:t>
      </w:r>
      <w:r>
        <w:rPr>
          <w:color w:val="221F1F"/>
          <w:spacing w:val="-1"/>
        </w:rPr>
        <w:t xml:space="preserve"> </w:t>
      </w:r>
      <w:r>
        <w:rPr>
          <w:color w:val="221F1F"/>
        </w:rPr>
        <w:t>when</w:t>
      </w:r>
      <w:r>
        <w:rPr>
          <w:color w:val="221F1F"/>
          <w:spacing w:val="-2"/>
        </w:rPr>
        <w:t xml:space="preserve"> </w:t>
      </w:r>
      <w:r>
        <w:rPr>
          <w:color w:val="221F1F"/>
        </w:rPr>
        <w:t>delivered</w:t>
      </w:r>
      <w:r>
        <w:rPr>
          <w:color w:val="221F1F"/>
          <w:spacing w:val="-5"/>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Site,</w:t>
      </w:r>
      <w:r>
        <w:rPr>
          <w:color w:val="221F1F"/>
          <w:spacing w:val="-3"/>
        </w:rPr>
        <w:t xml:space="preserve"> </w:t>
      </w:r>
      <w:r>
        <w:rPr>
          <w:color w:val="221F1F"/>
          <w:spacing w:val="-5"/>
        </w:rPr>
        <w:t>and</w:t>
      </w:r>
    </w:p>
    <w:p w:rsidR="007F6DF9" w:rsidRDefault="00A43FBC">
      <w:pPr>
        <w:pStyle w:val="ListParagraph"/>
        <w:numPr>
          <w:ilvl w:val="1"/>
          <w:numId w:val="72"/>
        </w:numPr>
        <w:tabs>
          <w:tab w:val="left" w:pos="2396"/>
          <w:tab w:val="left" w:pos="2398"/>
        </w:tabs>
        <w:spacing w:before="48" w:line="230" w:lineRule="auto"/>
        <w:ind w:left="2398" w:right="657" w:hanging="521"/>
        <w:jc w:val="both"/>
      </w:pPr>
      <w:r>
        <w:rPr>
          <w:color w:val="221F1F"/>
        </w:rPr>
        <w:t>have</w:t>
      </w:r>
      <w:r>
        <w:rPr>
          <w:color w:val="221F1F"/>
          <w:spacing w:val="-2"/>
        </w:rPr>
        <w:t xml:space="preserve"> </w:t>
      </w:r>
      <w:r>
        <w:rPr>
          <w:color w:val="221F1F"/>
        </w:rPr>
        <w:t>been</w:t>
      </w:r>
      <w:r>
        <w:rPr>
          <w:color w:val="221F1F"/>
          <w:spacing w:val="-2"/>
        </w:rPr>
        <w:t xml:space="preserve"> </w:t>
      </w:r>
      <w:r>
        <w:rPr>
          <w:color w:val="221F1F"/>
        </w:rPr>
        <w:t>delivered</w:t>
      </w:r>
      <w:r>
        <w:rPr>
          <w:color w:val="221F1F"/>
          <w:spacing w:val="-3"/>
        </w:rPr>
        <w:t xml:space="preserve"> </w:t>
      </w:r>
      <w:r>
        <w:rPr>
          <w:color w:val="221F1F"/>
        </w:rPr>
        <w:t>to</w:t>
      </w:r>
      <w:r>
        <w:rPr>
          <w:color w:val="221F1F"/>
          <w:spacing w:val="-2"/>
        </w:rPr>
        <w:t xml:space="preserve"> </w:t>
      </w:r>
      <w:r>
        <w:rPr>
          <w:color w:val="221F1F"/>
        </w:rPr>
        <w:t>and</w:t>
      </w:r>
      <w:r>
        <w:rPr>
          <w:color w:val="221F1F"/>
          <w:spacing w:val="-4"/>
        </w:rPr>
        <w:t xml:space="preserve"> </w:t>
      </w:r>
      <w:r>
        <w:rPr>
          <w:color w:val="221F1F"/>
        </w:rPr>
        <w:t>are</w:t>
      </w:r>
      <w:r>
        <w:rPr>
          <w:color w:val="221F1F"/>
          <w:spacing w:val="-2"/>
        </w:rPr>
        <w:t xml:space="preserve"> </w:t>
      </w:r>
      <w:r>
        <w:rPr>
          <w:color w:val="221F1F"/>
        </w:rPr>
        <w:t>properly</w:t>
      </w:r>
      <w:r>
        <w:rPr>
          <w:color w:val="221F1F"/>
          <w:spacing w:val="-2"/>
        </w:rPr>
        <w:t xml:space="preserve"> </w:t>
      </w:r>
      <w:r>
        <w:rPr>
          <w:color w:val="221F1F"/>
        </w:rPr>
        <w:t>stored</w:t>
      </w:r>
      <w:r>
        <w:rPr>
          <w:color w:val="221F1F"/>
          <w:spacing w:val="-2"/>
        </w:rPr>
        <w:t xml:space="preserve"> </w:t>
      </w:r>
      <w:r>
        <w:rPr>
          <w:color w:val="221F1F"/>
        </w:rPr>
        <w:t>on</w:t>
      </w:r>
      <w:r>
        <w:rPr>
          <w:color w:val="221F1F"/>
          <w:spacing w:val="-4"/>
        </w:rPr>
        <w:t xml:space="preserve"> </w:t>
      </w:r>
      <w:r>
        <w:rPr>
          <w:color w:val="221F1F"/>
        </w:rPr>
        <w:t>the</w:t>
      </w:r>
      <w:r>
        <w:rPr>
          <w:color w:val="221F1F"/>
          <w:spacing w:val="-2"/>
        </w:rPr>
        <w:t xml:space="preserve"> </w:t>
      </w:r>
      <w:r>
        <w:rPr>
          <w:color w:val="221F1F"/>
        </w:rPr>
        <w:t>Site,</w:t>
      </w:r>
      <w:r>
        <w:rPr>
          <w:color w:val="221F1F"/>
          <w:spacing w:val="-3"/>
        </w:rPr>
        <w:t xml:space="preserve"> </w:t>
      </w:r>
      <w:r>
        <w:rPr>
          <w:color w:val="221F1F"/>
        </w:rPr>
        <w:t>are</w:t>
      </w:r>
      <w:r>
        <w:rPr>
          <w:color w:val="221F1F"/>
          <w:spacing w:val="-2"/>
        </w:rPr>
        <w:t xml:space="preserve"> </w:t>
      </w:r>
      <w:r>
        <w:rPr>
          <w:color w:val="221F1F"/>
        </w:rPr>
        <w:t>protected</w:t>
      </w:r>
      <w:r>
        <w:rPr>
          <w:color w:val="221F1F"/>
          <w:spacing w:val="-2"/>
        </w:rPr>
        <w:t xml:space="preserve"> </w:t>
      </w:r>
      <w:r>
        <w:rPr>
          <w:color w:val="221F1F"/>
        </w:rPr>
        <w:t>against</w:t>
      </w:r>
      <w:r>
        <w:rPr>
          <w:color w:val="221F1F"/>
          <w:spacing w:val="-3"/>
        </w:rPr>
        <w:t xml:space="preserve"> </w:t>
      </w:r>
      <w:r>
        <w:rPr>
          <w:color w:val="221F1F"/>
        </w:rPr>
        <w:t>loss,</w:t>
      </w:r>
      <w:r>
        <w:rPr>
          <w:color w:val="221F1F"/>
          <w:spacing w:val="-2"/>
        </w:rPr>
        <w:t xml:space="preserve"> </w:t>
      </w:r>
      <w:r>
        <w:rPr>
          <w:color w:val="221F1F"/>
        </w:rPr>
        <w:t>damage</w:t>
      </w:r>
      <w:r>
        <w:rPr>
          <w:color w:val="221F1F"/>
          <w:spacing w:val="-2"/>
        </w:rPr>
        <w:t xml:space="preserve"> </w:t>
      </w:r>
      <w:r>
        <w:rPr>
          <w:color w:val="221F1F"/>
        </w:rPr>
        <w:t>or deterioration and appear to be in accordance with the Contract.</w:t>
      </w:r>
    </w:p>
    <w:p w:rsidR="007F6DF9" w:rsidRDefault="007F6DF9">
      <w:pPr>
        <w:pStyle w:val="BodyText"/>
        <w:spacing w:before="106"/>
      </w:pPr>
    </w:p>
    <w:p w:rsidR="007F6DF9" w:rsidRDefault="00A43FBC">
      <w:pPr>
        <w:pStyle w:val="ListParagraph"/>
        <w:numPr>
          <w:ilvl w:val="2"/>
          <w:numId w:val="122"/>
        </w:numPr>
        <w:tabs>
          <w:tab w:val="left" w:pos="1375"/>
          <w:tab w:val="left" w:pos="1378"/>
        </w:tabs>
        <w:spacing w:before="1" w:line="230" w:lineRule="auto"/>
        <w:ind w:left="1378" w:right="556" w:hanging="661"/>
        <w:jc w:val="both"/>
        <w:rPr>
          <w:color w:val="221F1F"/>
        </w:rPr>
      </w:pPr>
      <w:r>
        <w:rPr>
          <w:color w:val="221F1F"/>
        </w:rPr>
        <w:t>The additional amount to be certified shall be the equivalent of eighty percent (80%) of the Architect determination of the cost of the Plant and Materials (including delivery to Site), taking account of the documents mentioned in this Sub-Clause and of the contract value of the Plant and Materials.</w:t>
      </w:r>
    </w:p>
    <w:p w:rsidR="007F6DF9" w:rsidRDefault="007F6DF9">
      <w:pPr>
        <w:pStyle w:val="BodyText"/>
        <w:spacing w:before="106"/>
      </w:pPr>
    </w:p>
    <w:p w:rsidR="007F6DF9" w:rsidRDefault="00A43FBC">
      <w:pPr>
        <w:pStyle w:val="ListParagraph"/>
        <w:numPr>
          <w:ilvl w:val="2"/>
          <w:numId w:val="122"/>
        </w:numPr>
        <w:tabs>
          <w:tab w:val="left" w:pos="1375"/>
          <w:tab w:val="left" w:pos="1378"/>
        </w:tabs>
        <w:spacing w:line="230" w:lineRule="auto"/>
        <w:ind w:left="1378" w:right="552" w:hanging="661"/>
        <w:jc w:val="both"/>
        <w:rPr>
          <w:color w:val="221F1F"/>
        </w:rPr>
      </w:pPr>
      <w:r>
        <w:rPr>
          <w:color w:val="221F1F"/>
        </w:rPr>
        <w:t>The</w:t>
      </w:r>
      <w:r>
        <w:rPr>
          <w:color w:val="221F1F"/>
          <w:spacing w:val="-6"/>
        </w:rPr>
        <w:t xml:space="preserve"> </w:t>
      </w:r>
      <w:r>
        <w:rPr>
          <w:color w:val="221F1F"/>
        </w:rPr>
        <w:t>currencies</w:t>
      </w:r>
      <w:r>
        <w:rPr>
          <w:color w:val="221F1F"/>
          <w:spacing w:val="-5"/>
        </w:rPr>
        <w:t xml:space="preserve"> </w:t>
      </w:r>
      <w:r>
        <w:rPr>
          <w:color w:val="221F1F"/>
        </w:rPr>
        <w:t>for</w:t>
      </w:r>
      <w:r>
        <w:rPr>
          <w:color w:val="221F1F"/>
          <w:spacing w:val="-5"/>
        </w:rPr>
        <w:t xml:space="preserve"> </w:t>
      </w:r>
      <w:r>
        <w:rPr>
          <w:color w:val="221F1F"/>
        </w:rPr>
        <w:t>this</w:t>
      </w:r>
      <w:r>
        <w:rPr>
          <w:color w:val="221F1F"/>
          <w:spacing w:val="-8"/>
        </w:rPr>
        <w:t xml:space="preserve"> </w:t>
      </w:r>
      <w:r>
        <w:rPr>
          <w:color w:val="221F1F"/>
        </w:rPr>
        <w:t>additional</w:t>
      </w:r>
      <w:r>
        <w:rPr>
          <w:color w:val="221F1F"/>
          <w:spacing w:val="-4"/>
        </w:rPr>
        <w:t xml:space="preserve"> </w:t>
      </w:r>
      <w:r>
        <w:rPr>
          <w:color w:val="221F1F"/>
        </w:rPr>
        <w:t>amount</w:t>
      </w:r>
      <w:r>
        <w:rPr>
          <w:color w:val="221F1F"/>
          <w:spacing w:val="-5"/>
        </w:rPr>
        <w:t xml:space="preserve"> </w:t>
      </w:r>
      <w:r>
        <w:rPr>
          <w:color w:val="221F1F"/>
        </w:rPr>
        <w:t>shall</w:t>
      </w:r>
      <w:r>
        <w:rPr>
          <w:color w:val="221F1F"/>
          <w:spacing w:val="-5"/>
        </w:rPr>
        <w:t xml:space="preserve"> </w:t>
      </w:r>
      <w:r>
        <w:rPr>
          <w:color w:val="221F1F"/>
        </w:rPr>
        <w:t>be</w:t>
      </w:r>
      <w:r>
        <w:rPr>
          <w:color w:val="221F1F"/>
          <w:spacing w:val="-8"/>
        </w:rPr>
        <w:t xml:space="preserve"> </w:t>
      </w:r>
      <w:r>
        <w:rPr>
          <w:color w:val="221F1F"/>
        </w:rPr>
        <w:t>the</w:t>
      </w:r>
      <w:r>
        <w:rPr>
          <w:color w:val="221F1F"/>
          <w:spacing w:val="-8"/>
        </w:rPr>
        <w:t xml:space="preserve"> </w:t>
      </w:r>
      <w:r>
        <w:rPr>
          <w:color w:val="221F1F"/>
        </w:rPr>
        <w:t>same</w:t>
      </w:r>
      <w:r>
        <w:rPr>
          <w:color w:val="221F1F"/>
          <w:spacing w:val="-7"/>
        </w:rPr>
        <w:t xml:space="preserve"> </w:t>
      </w:r>
      <w:r>
        <w:rPr>
          <w:color w:val="221F1F"/>
        </w:rPr>
        <w:t>as</w:t>
      </w:r>
      <w:r>
        <w:rPr>
          <w:color w:val="221F1F"/>
          <w:spacing w:val="-6"/>
        </w:rPr>
        <w:t xml:space="preserve"> </w:t>
      </w:r>
      <w:r>
        <w:rPr>
          <w:color w:val="221F1F"/>
        </w:rPr>
        <w:t>those</w:t>
      </w:r>
      <w:r>
        <w:rPr>
          <w:color w:val="221F1F"/>
          <w:spacing w:val="-8"/>
        </w:rPr>
        <w:t xml:space="preserve"> </w:t>
      </w:r>
      <w:r>
        <w:rPr>
          <w:color w:val="221F1F"/>
        </w:rPr>
        <w:t>in</w:t>
      </w:r>
      <w:r>
        <w:rPr>
          <w:color w:val="221F1F"/>
          <w:spacing w:val="-6"/>
        </w:rPr>
        <w:t xml:space="preserve"> </w:t>
      </w:r>
      <w:r>
        <w:rPr>
          <w:color w:val="221F1F"/>
        </w:rPr>
        <w:t>which</w:t>
      </w:r>
      <w:r>
        <w:rPr>
          <w:color w:val="221F1F"/>
          <w:spacing w:val="-6"/>
        </w:rPr>
        <w:t xml:space="preserve"> </w:t>
      </w:r>
      <w:r>
        <w:rPr>
          <w:color w:val="221F1F"/>
        </w:rPr>
        <w:t>payment</w:t>
      </w:r>
      <w:r>
        <w:rPr>
          <w:color w:val="221F1F"/>
          <w:spacing w:val="-4"/>
        </w:rPr>
        <w:t xml:space="preserve"> </w:t>
      </w:r>
      <w:r>
        <w:rPr>
          <w:color w:val="221F1F"/>
        </w:rPr>
        <w:t>will</w:t>
      </w:r>
      <w:r>
        <w:rPr>
          <w:color w:val="221F1F"/>
          <w:spacing w:val="-5"/>
        </w:rPr>
        <w:t xml:space="preserve"> </w:t>
      </w:r>
      <w:r>
        <w:rPr>
          <w:color w:val="221F1F"/>
        </w:rPr>
        <w:t>become</w:t>
      </w:r>
      <w:r>
        <w:rPr>
          <w:color w:val="221F1F"/>
          <w:spacing w:val="-6"/>
        </w:rPr>
        <w:t xml:space="preserve"> </w:t>
      </w:r>
      <w:r>
        <w:rPr>
          <w:color w:val="221F1F"/>
        </w:rPr>
        <w:t>due</w:t>
      </w:r>
      <w:r>
        <w:rPr>
          <w:color w:val="221F1F"/>
          <w:spacing w:val="-6"/>
        </w:rPr>
        <w:t xml:space="preserve"> </w:t>
      </w:r>
      <w:r>
        <w:rPr>
          <w:color w:val="221F1F"/>
        </w:rPr>
        <w:t>when the contract value is included under sub-paragraph (a) of Sub-Clause 14.3 [Application for Interim Payment Certificates]. At that time, the Payment Certificate shall include the applicable reduction which shall be equivalent</w:t>
      </w:r>
      <w:r>
        <w:rPr>
          <w:color w:val="221F1F"/>
          <w:spacing w:val="-8"/>
        </w:rPr>
        <w:t xml:space="preserve"> </w:t>
      </w:r>
      <w:r>
        <w:rPr>
          <w:color w:val="221F1F"/>
        </w:rPr>
        <w:t>to,</w:t>
      </w:r>
      <w:r>
        <w:rPr>
          <w:color w:val="221F1F"/>
          <w:spacing w:val="-7"/>
        </w:rPr>
        <w:t xml:space="preserve"> </w:t>
      </w:r>
      <w:r>
        <w:rPr>
          <w:color w:val="221F1F"/>
        </w:rPr>
        <w:t>and</w:t>
      </w:r>
      <w:r>
        <w:rPr>
          <w:color w:val="221F1F"/>
          <w:spacing w:val="-9"/>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same</w:t>
      </w:r>
      <w:r>
        <w:rPr>
          <w:color w:val="221F1F"/>
          <w:spacing w:val="-6"/>
        </w:rPr>
        <w:t xml:space="preserve"> </w:t>
      </w:r>
      <w:r>
        <w:rPr>
          <w:color w:val="221F1F"/>
        </w:rPr>
        <w:t>currencies</w:t>
      </w:r>
      <w:r>
        <w:rPr>
          <w:color w:val="221F1F"/>
          <w:spacing w:val="-6"/>
        </w:rPr>
        <w:t xml:space="preserve"> </w:t>
      </w:r>
      <w:r>
        <w:rPr>
          <w:color w:val="221F1F"/>
        </w:rPr>
        <w:t>and</w:t>
      </w:r>
      <w:r>
        <w:rPr>
          <w:color w:val="221F1F"/>
          <w:spacing w:val="-7"/>
        </w:rPr>
        <w:t xml:space="preserve"> </w:t>
      </w:r>
      <w:r>
        <w:rPr>
          <w:color w:val="221F1F"/>
        </w:rPr>
        <w:t>proportions</w:t>
      </w:r>
      <w:r>
        <w:rPr>
          <w:color w:val="221F1F"/>
          <w:spacing w:val="-6"/>
        </w:rPr>
        <w:t xml:space="preserve"> </w:t>
      </w:r>
      <w:r>
        <w:rPr>
          <w:color w:val="221F1F"/>
        </w:rPr>
        <w:t>as,</w:t>
      </w:r>
      <w:r>
        <w:rPr>
          <w:color w:val="221F1F"/>
          <w:spacing w:val="-9"/>
        </w:rPr>
        <w:t xml:space="preserve"> </w:t>
      </w:r>
      <w:r>
        <w:rPr>
          <w:color w:val="221F1F"/>
        </w:rPr>
        <w:t>this</w:t>
      </w:r>
      <w:r>
        <w:rPr>
          <w:color w:val="221F1F"/>
          <w:spacing w:val="-6"/>
        </w:rPr>
        <w:t xml:space="preserve"> </w:t>
      </w:r>
      <w:r>
        <w:rPr>
          <w:color w:val="221F1F"/>
        </w:rPr>
        <w:t>additional</w:t>
      </w:r>
      <w:r>
        <w:rPr>
          <w:color w:val="221F1F"/>
          <w:spacing w:val="-6"/>
        </w:rPr>
        <w:t xml:space="preserve"> </w:t>
      </w:r>
      <w:r>
        <w:rPr>
          <w:color w:val="221F1F"/>
        </w:rPr>
        <w:t>amount</w:t>
      </w:r>
      <w:r>
        <w:rPr>
          <w:color w:val="221F1F"/>
          <w:spacing w:val="-5"/>
        </w:rPr>
        <w:t xml:space="preserve"> </w:t>
      </w:r>
      <w:r>
        <w:rPr>
          <w:color w:val="221F1F"/>
        </w:rPr>
        <w:t>for</w:t>
      </w:r>
      <w:r>
        <w:rPr>
          <w:color w:val="221F1F"/>
          <w:spacing w:val="-6"/>
        </w:rPr>
        <w:t xml:space="preserve"> </w:t>
      </w:r>
      <w:r>
        <w:rPr>
          <w:color w:val="221F1F"/>
        </w:rPr>
        <w:t>the</w:t>
      </w:r>
      <w:r>
        <w:rPr>
          <w:color w:val="221F1F"/>
          <w:spacing w:val="-6"/>
        </w:rPr>
        <w:t xml:space="preserve"> </w:t>
      </w:r>
      <w:r>
        <w:rPr>
          <w:color w:val="221F1F"/>
        </w:rPr>
        <w:t>relevant</w:t>
      </w:r>
      <w:r>
        <w:rPr>
          <w:color w:val="221F1F"/>
          <w:spacing w:val="-5"/>
        </w:rPr>
        <w:t xml:space="preserve"> </w:t>
      </w:r>
      <w:r>
        <w:rPr>
          <w:color w:val="221F1F"/>
        </w:rPr>
        <w:t>Plant</w:t>
      </w:r>
      <w:r>
        <w:rPr>
          <w:color w:val="221F1F"/>
          <w:spacing w:val="-6"/>
        </w:rPr>
        <w:t xml:space="preserve"> </w:t>
      </w:r>
      <w:r>
        <w:rPr>
          <w:color w:val="221F1F"/>
        </w:rPr>
        <w:t xml:space="preserve">and </w:t>
      </w:r>
      <w:r>
        <w:rPr>
          <w:color w:val="221F1F"/>
          <w:spacing w:val="-2"/>
        </w:rPr>
        <w:t>Materials.</w:t>
      </w:r>
    </w:p>
    <w:p w:rsidR="007F6DF9" w:rsidRDefault="00A43FBC">
      <w:pPr>
        <w:pStyle w:val="Heading9"/>
        <w:numPr>
          <w:ilvl w:val="1"/>
          <w:numId w:val="122"/>
        </w:numPr>
        <w:tabs>
          <w:tab w:val="left" w:pos="1382"/>
        </w:tabs>
        <w:spacing w:before="236"/>
        <w:ind w:left="1382" w:hanging="664"/>
        <w:jc w:val="both"/>
        <w:rPr>
          <w:color w:val="221F1F"/>
        </w:rPr>
      </w:pPr>
      <w:r>
        <w:rPr>
          <w:color w:val="221F1F"/>
        </w:rPr>
        <w:t>Issue</w:t>
      </w:r>
      <w:r>
        <w:rPr>
          <w:color w:val="221F1F"/>
          <w:spacing w:val="-6"/>
        </w:rPr>
        <w:t xml:space="preserve"> </w:t>
      </w:r>
      <w:r>
        <w:rPr>
          <w:color w:val="221F1F"/>
        </w:rPr>
        <w:t>of</w:t>
      </w:r>
      <w:r>
        <w:rPr>
          <w:color w:val="221F1F"/>
          <w:spacing w:val="-2"/>
        </w:rPr>
        <w:t xml:space="preserve"> </w:t>
      </w:r>
      <w:r>
        <w:rPr>
          <w:color w:val="221F1F"/>
        </w:rPr>
        <w:t>Interim</w:t>
      </w:r>
      <w:r>
        <w:rPr>
          <w:color w:val="221F1F"/>
          <w:spacing w:val="-2"/>
        </w:rPr>
        <w:t xml:space="preserve"> </w:t>
      </w:r>
      <w:r>
        <w:rPr>
          <w:color w:val="221F1F"/>
        </w:rPr>
        <w:t>Payment</w:t>
      </w:r>
      <w:r>
        <w:rPr>
          <w:color w:val="221F1F"/>
          <w:spacing w:val="-4"/>
        </w:rPr>
        <w:t xml:space="preserve"> </w:t>
      </w:r>
      <w:r>
        <w:rPr>
          <w:color w:val="221F1F"/>
          <w:spacing w:val="-2"/>
        </w:rPr>
        <w:t>Certificates</w:t>
      </w:r>
    </w:p>
    <w:p w:rsidR="007F6DF9" w:rsidRDefault="007F6DF9">
      <w:pPr>
        <w:pStyle w:val="BodyText"/>
        <w:spacing w:before="107"/>
        <w:rPr>
          <w:b/>
        </w:rPr>
      </w:pPr>
    </w:p>
    <w:p w:rsidR="007F6DF9" w:rsidRDefault="00A43FBC">
      <w:pPr>
        <w:pStyle w:val="ListParagraph"/>
        <w:numPr>
          <w:ilvl w:val="2"/>
          <w:numId w:val="122"/>
        </w:numPr>
        <w:tabs>
          <w:tab w:val="left" w:pos="1375"/>
          <w:tab w:val="left" w:pos="1378"/>
        </w:tabs>
        <w:spacing w:before="1" w:line="230" w:lineRule="auto"/>
        <w:ind w:left="1378" w:right="555" w:hanging="661"/>
        <w:jc w:val="both"/>
        <w:rPr>
          <w:color w:val="221F1F"/>
        </w:rPr>
      </w:pPr>
      <w:r>
        <w:rPr>
          <w:color w:val="221F1F"/>
        </w:rPr>
        <w:t>No amount will be certified or paid until the Procuring Entity has received and approved the Performance Security.</w:t>
      </w:r>
      <w:r>
        <w:rPr>
          <w:color w:val="221F1F"/>
          <w:spacing w:val="-14"/>
        </w:rPr>
        <w:t xml:space="preserve"> </w:t>
      </w:r>
      <w:r>
        <w:rPr>
          <w:color w:val="221F1F"/>
        </w:rPr>
        <w:t>Thereafter,</w:t>
      </w:r>
      <w:r>
        <w:rPr>
          <w:color w:val="221F1F"/>
          <w:spacing w:val="-14"/>
        </w:rPr>
        <w:t xml:space="preserve"> </w:t>
      </w:r>
      <w:r>
        <w:rPr>
          <w:color w:val="221F1F"/>
        </w:rPr>
        <w:t>the</w:t>
      </w:r>
      <w:r>
        <w:rPr>
          <w:color w:val="221F1F"/>
          <w:spacing w:val="-14"/>
        </w:rPr>
        <w:t xml:space="preserve"> </w:t>
      </w:r>
      <w:r>
        <w:rPr>
          <w:color w:val="221F1F"/>
        </w:rPr>
        <w:t>Architect</w:t>
      </w:r>
      <w:r>
        <w:rPr>
          <w:color w:val="221F1F"/>
          <w:spacing w:val="-13"/>
        </w:rPr>
        <w:t xml:space="preserve"> </w:t>
      </w:r>
      <w:r>
        <w:rPr>
          <w:color w:val="221F1F"/>
        </w:rPr>
        <w:t>shall,</w:t>
      </w:r>
      <w:r>
        <w:rPr>
          <w:color w:val="221F1F"/>
          <w:spacing w:val="-14"/>
        </w:rPr>
        <w:t xml:space="preserve"> </w:t>
      </w:r>
      <w:r>
        <w:rPr>
          <w:color w:val="221F1F"/>
        </w:rPr>
        <w:t>within</w:t>
      </w:r>
      <w:r>
        <w:rPr>
          <w:color w:val="221F1F"/>
          <w:spacing w:val="-14"/>
        </w:rPr>
        <w:t xml:space="preserve"> </w:t>
      </w:r>
      <w:r>
        <w:rPr>
          <w:color w:val="221F1F"/>
        </w:rPr>
        <w:t>30</w:t>
      </w:r>
      <w:r>
        <w:rPr>
          <w:color w:val="221F1F"/>
          <w:spacing w:val="-14"/>
        </w:rPr>
        <w:t xml:space="preserve"> </w:t>
      </w:r>
      <w:r>
        <w:rPr>
          <w:color w:val="221F1F"/>
        </w:rPr>
        <w:t>days</w:t>
      </w:r>
      <w:r>
        <w:rPr>
          <w:color w:val="221F1F"/>
          <w:spacing w:val="-13"/>
        </w:rPr>
        <w:t xml:space="preserve"> </w:t>
      </w:r>
      <w:r>
        <w:rPr>
          <w:color w:val="221F1F"/>
        </w:rPr>
        <w:t>after</w:t>
      </w:r>
      <w:r>
        <w:rPr>
          <w:color w:val="221F1F"/>
          <w:spacing w:val="-14"/>
        </w:rPr>
        <w:t xml:space="preserve"> </w:t>
      </w:r>
      <w:r>
        <w:rPr>
          <w:color w:val="221F1F"/>
        </w:rPr>
        <w:t>receiving</w:t>
      </w:r>
      <w:r>
        <w:rPr>
          <w:color w:val="221F1F"/>
          <w:spacing w:val="-14"/>
        </w:rPr>
        <w:t xml:space="preserve"> </w:t>
      </w:r>
      <w:r>
        <w:rPr>
          <w:color w:val="221F1F"/>
        </w:rPr>
        <w:t>a</w:t>
      </w:r>
      <w:r>
        <w:rPr>
          <w:color w:val="221F1F"/>
          <w:spacing w:val="-14"/>
        </w:rPr>
        <w:t xml:space="preserve"> </w:t>
      </w:r>
      <w:r>
        <w:rPr>
          <w:color w:val="221F1F"/>
        </w:rPr>
        <w:t>Statement</w:t>
      </w:r>
      <w:r>
        <w:rPr>
          <w:color w:val="221F1F"/>
          <w:spacing w:val="-13"/>
        </w:rPr>
        <w:t xml:space="preserve"> </w:t>
      </w:r>
      <w:r>
        <w:rPr>
          <w:color w:val="221F1F"/>
        </w:rPr>
        <w:t>and</w:t>
      </w:r>
      <w:r>
        <w:rPr>
          <w:color w:val="221F1F"/>
          <w:spacing w:val="-14"/>
        </w:rPr>
        <w:t xml:space="preserve"> </w:t>
      </w:r>
      <w:r>
        <w:rPr>
          <w:color w:val="221F1F"/>
        </w:rPr>
        <w:t>supporting</w:t>
      </w:r>
      <w:r>
        <w:rPr>
          <w:color w:val="221F1F"/>
          <w:spacing w:val="-14"/>
        </w:rPr>
        <w:t xml:space="preserve"> </w:t>
      </w:r>
      <w:r>
        <w:rPr>
          <w:color w:val="221F1F"/>
        </w:rPr>
        <w:t xml:space="preserve">documents, deliver to the Procuring Entity and to the Contractor an Interim Payment Certificate which shall state the amount which the Architect fairly determines to be due, with all supporting particulars for any reduction or withholding made by the Architect on the </w:t>
      </w:r>
      <w:proofErr w:type="spellStart"/>
      <w:r>
        <w:rPr>
          <w:color w:val="221F1F"/>
        </w:rPr>
        <w:t>Statemen</w:t>
      </w:r>
      <w:proofErr w:type="spellEnd"/>
      <w:r>
        <w:rPr>
          <w:color w:val="221F1F"/>
        </w:rPr>
        <w:t xml:space="preserve"> </w:t>
      </w:r>
      <w:proofErr w:type="spellStart"/>
      <w:r>
        <w:rPr>
          <w:color w:val="221F1F"/>
        </w:rPr>
        <w:t>tif</w:t>
      </w:r>
      <w:proofErr w:type="spellEnd"/>
      <w:r>
        <w:rPr>
          <w:color w:val="221F1F"/>
        </w:rPr>
        <w:t xml:space="preserve"> any.</w:t>
      </w:r>
    </w:p>
    <w:p w:rsidR="007F6DF9" w:rsidRDefault="007F6DF9">
      <w:pPr>
        <w:pStyle w:val="BodyText"/>
        <w:spacing w:before="112"/>
      </w:pPr>
    </w:p>
    <w:p w:rsidR="007F6DF9" w:rsidRDefault="00A43FBC">
      <w:pPr>
        <w:pStyle w:val="ListParagraph"/>
        <w:numPr>
          <w:ilvl w:val="2"/>
          <w:numId w:val="122"/>
        </w:numPr>
        <w:tabs>
          <w:tab w:val="left" w:pos="1375"/>
          <w:tab w:val="left" w:pos="1378"/>
        </w:tabs>
        <w:spacing w:line="230" w:lineRule="auto"/>
        <w:ind w:left="1378" w:right="555" w:hanging="661"/>
        <w:jc w:val="both"/>
        <w:rPr>
          <w:color w:val="221F1F"/>
        </w:rPr>
      </w:pPr>
      <w:r>
        <w:rPr>
          <w:color w:val="221F1F"/>
        </w:rPr>
        <w:t>However,</w:t>
      </w:r>
      <w:r>
        <w:rPr>
          <w:color w:val="221F1F"/>
          <w:spacing w:val="-10"/>
        </w:rPr>
        <w:t xml:space="preserve"> </w:t>
      </w:r>
      <w:r>
        <w:rPr>
          <w:color w:val="221F1F"/>
        </w:rPr>
        <w:t>prior</w:t>
      </w:r>
      <w:r>
        <w:rPr>
          <w:color w:val="221F1F"/>
          <w:spacing w:val="-9"/>
        </w:rPr>
        <w:t xml:space="preserve"> </w:t>
      </w:r>
      <w:r>
        <w:rPr>
          <w:color w:val="221F1F"/>
        </w:rPr>
        <w:t>to</w:t>
      </w:r>
      <w:r>
        <w:rPr>
          <w:color w:val="221F1F"/>
          <w:spacing w:val="-10"/>
        </w:rPr>
        <w:t xml:space="preserve"> </w:t>
      </w:r>
      <w:r>
        <w:rPr>
          <w:color w:val="221F1F"/>
        </w:rPr>
        <w:t>issuing</w:t>
      </w:r>
      <w:r>
        <w:rPr>
          <w:color w:val="221F1F"/>
          <w:spacing w:val="-10"/>
        </w:rPr>
        <w:t xml:space="preserve"> </w:t>
      </w:r>
      <w:r>
        <w:rPr>
          <w:color w:val="221F1F"/>
        </w:rPr>
        <w:t>the</w:t>
      </w:r>
      <w:r>
        <w:rPr>
          <w:color w:val="221F1F"/>
          <w:spacing w:val="-7"/>
        </w:rPr>
        <w:t xml:space="preserve"> </w:t>
      </w:r>
      <w:r>
        <w:rPr>
          <w:color w:val="221F1F"/>
        </w:rPr>
        <w:t>Taking-Over</w:t>
      </w:r>
      <w:r>
        <w:rPr>
          <w:color w:val="221F1F"/>
          <w:spacing w:val="-9"/>
        </w:rPr>
        <w:t xml:space="preserve"> </w:t>
      </w:r>
      <w:r>
        <w:rPr>
          <w:color w:val="221F1F"/>
        </w:rPr>
        <w:t>Certificate</w:t>
      </w:r>
      <w:r>
        <w:rPr>
          <w:color w:val="221F1F"/>
          <w:spacing w:val="-7"/>
        </w:rPr>
        <w:t xml:space="preserve"> </w:t>
      </w:r>
      <w:r>
        <w:rPr>
          <w:color w:val="221F1F"/>
        </w:rPr>
        <w:t>for</w:t>
      </w:r>
      <w:r>
        <w:rPr>
          <w:color w:val="221F1F"/>
          <w:spacing w:val="-7"/>
        </w:rPr>
        <w:t xml:space="preserve"> </w:t>
      </w:r>
      <w:r>
        <w:rPr>
          <w:color w:val="221F1F"/>
        </w:rPr>
        <w:t>the</w:t>
      </w:r>
      <w:r>
        <w:rPr>
          <w:color w:val="221F1F"/>
          <w:spacing w:val="-10"/>
        </w:rPr>
        <w:t xml:space="preserve"> </w:t>
      </w:r>
      <w:r>
        <w:rPr>
          <w:color w:val="221F1F"/>
        </w:rPr>
        <w:t>Works,</w:t>
      </w:r>
      <w:r>
        <w:rPr>
          <w:color w:val="221F1F"/>
          <w:spacing w:val="-14"/>
        </w:rPr>
        <w:t xml:space="preserve"> </w:t>
      </w:r>
      <w:r>
        <w:rPr>
          <w:color w:val="221F1F"/>
        </w:rPr>
        <w:t>the</w:t>
      </w:r>
      <w:r>
        <w:rPr>
          <w:color w:val="221F1F"/>
          <w:spacing w:val="-8"/>
        </w:rPr>
        <w:t xml:space="preserve"> </w:t>
      </w:r>
      <w:r>
        <w:rPr>
          <w:color w:val="221F1F"/>
        </w:rPr>
        <w:t>Architect</w:t>
      </w:r>
      <w:r>
        <w:rPr>
          <w:color w:val="221F1F"/>
          <w:spacing w:val="-11"/>
        </w:rPr>
        <w:t xml:space="preserve"> </w:t>
      </w:r>
      <w:r>
        <w:rPr>
          <w:color w:val="221F1F"/>
        </w:rPr>
        <w:t>shall</w:t>
      </w:r>
      <w:r>
        <w:rPr>
          <w:color w:val="221F1F"/>
          <w:spacing w:val="-6"/>
        </w:rPr>
        <w:t xml:space="preserve"> </w:t>
      </w:r>
      <w:r>
        <w:rPr>
          <w:color w:val="221F1F"/>
        </w:rPr>
        <w:t>not</w:t>
      </w:r>
      <w:r>
        <w:rPr>
          <w:color w:val="221F1F"/>
          <w:spacing w:val="-9"/>
        </w:rPr>
        <w:t xml:space="preserve"> </w:t>
      </w:r>
      <w:r>
        <w:rPr>
          <w:color w:val="221F1F"/>
        </w:rPr>
        <w:t>be</w:t>
      </w:r>
      <w:r>
        <w:rPr>
          <w:color w:val="221F1F"/>
          <w:spacing w:val="-8"/>
        </w:rPr>
        <w:t xml:space="preserve"> </w:t>
      </w:r>
      <w:r>
        <w:rPr>
          <w:color w:val="221F1F"/>
        </w:rPr>
        <w:t>bound</w:t>
      </w:r>
      <w:r>
        <w:rPr>
          <w:color w:val="221F1F"/>
          <w:spacing w:val="-10"/>
        </w:rPr>
        <w:t xml:space="preserve"> </w:t>
      </w:r>
      <w:r>
        <w:rPr>
          <w:color w:val="221F1F"/>
        </w:rPr>
        <w:t>to</w:t>
      </w:r>
      <w:r>
        <w:rPr>
          <w:color w:val="221F1F"/>
          <w:spacing w:val="-10"/>
        </w:rPr>
        <w:t xml:space="preserve"> </w:t>
      </w:r>
      <w:r>
        <w:rPr>
          <w:color w:val="221F1F"/>
        </w:rPr>
        <w:t>issue an Interim Payment Certificate</w:t>
      </w:r>
      <w:r>
        <w:rPr>
          <w:color w:val="221F1F"/>
          <w:spacing w:val="-1"/>
        </w:rPr>
        <w:t xml:space="preserve"> </w:t>
      </w:r>
      <w:r>
        <w:rPr>
          <w:color w:val="221F1F"/>
        </w:rPr>
        <w:t>in</w:t>
      </w:r>
      <w:r>
        <w:rPr>
          <w:color w:val="221F1F"/>
          <w:spacing w:val="-2"/>
        </w:rPr>
        <w:t xml:space="preserve"> </w:t>
      </w:r>
      <w:r>
        <w:rPr>
          <w:color w:val="221F1F"/>
        </w:rPr>
        <w:t>an</w:t>
      </w:r>
      <w:r>
        <w:rPr>
          <w:color w:val="221F1F"/>
          <w:spacing w:val="-2"/>
        </w:rPr>
        <w:t xml:space="preserve"> </w:t>
      </w:r>
      <w:r>
        <w:rPr>
          <w:color w:val="221F1F"/>
        </w:rPr>
        <w:t>amount</w:t>
      </w:r>
      <w:r>
        <w:rPr>
          <w:color w:val="221F1F"/>
          <w:spacing w:val="-1"/>
        </w:rPr>
        <w:t xml:space="preserve"> </w:t>
      </w:r>
      <w:r>
        <w:rPr>
          <w:color w:val="221F1F"/>
        </w:rPr>
        <w:t>which would</w:t>
      </w:r>
      <w:r>
        <w:rPr>
          <w:color w:val="221F1F"/>
          <w:spacing w:val="-2"/>
        </w:rPr>
        <w:t xml:space="preserve"> </w:t>
      </w:r>
      <w:r>
        <w:rPr>
          <w:color w:val="221F1F"/>
        </w:rPr>
        <w:t>(after</w:t>
      </w:r>
      <w:r>
        <w:rPr>
          <w:color w:val="221F1F"/>
          <w:spacing w:val="-1"/>
        </w:rPr>
        <w:t xml:space="preserve"> </w:t>
      </w:r>
      <w:r>
        <w:rPr>
          <w:color w:val="221F1F"/>
        </w:rPr>
        <w:t>retention</w:t>
      </w:r>
      <w:r>
        <w:rPr>
          <w:color w:val="221F1F"/>
          <w:spacing w:val="-2"/>
        </w:rPr>
        <w:t xml:space="preserve"> </w:t>
      </w:r>
      <w:r>
        <w:rPr>
          <w:color w:val="221F1F"/>
        </w:rPr>
        <w:t>and</w:t>
      </w:r>
      <w:r>
        <w:rPr>
          <w:color w:val="221F1F"/>
          <w:spacing w:val="-2"/>
        </w:rPr>
        <w:t xml:space="preserve"> </w:t>
      </w:r>
      <w:r>
        <w:rPr>
          <w:color w:val="221F1F"/>
        </w:rPr>
        <w:t>other deductions) be</w:t>
      </w:r>
      <w:r>
        <w:rPr>
          <w:color w:val="221F1F"/>
          <w:spacing w:val="-2"/>
        </w:rPr>
        <w:t xml:space="preserve"> </w:t>
      </w:r>
      <w:r>
        <w:rPr>
          <w:color w:val="221F1F"/>
        </w:rPr>
        <w:t>less</w:t>
      </w:r>
      <w:r>
        <w:rPr>
          <w:color w:val="221F1F"/>
          <w:spacing w:val="-1"/>
        </w:rPr>
        <w:t xml:space="preserve"> </w:t>
      </w:r>
      <w:r>
        <w:rPr>
          <w:color w:val="221F1F"/>
        </w:rPr>
        <w:t>than the</w:t>
      </w:r>
      <w:r>
        <w:rPr>
          <w:color w:val="221F1F"/>
          <w:spacing w:val="-8"/>
        </w:rPr>
        <w:t xml:space="preserve"> </w:t>
      </w:r>
      <w:r>
        <w:rPr>
          <w:color w:val="221F1F"/>
        </w:rPr>
        <w:t>minimum</w:t>
      </w:r>
      <w:r>
        <w:rPr>
          <w:color w:val="221F1F"/>
          <w:spacing w:val="-6"/>
        </w:rPr>
        <w:t xml:space="preserve"> </w:t>
      </w:r>
      <w:r>
        <w:rPr>
          <w:color w:val="221F1F"/>
        </w:rPr>
        <w:t>amount</w:t>
      </w:r>
      <w:r>
        <w:rPr>
          <w:color w:val="221F1F"/>
          <w:spacing w:val="-4"/>
        </w:rPr>
        <w:t xml:space="preserve"> </w:t>
      </w:r>
      <w:r>
        <w:rPr>
          <w:color w:val="221F1F"/>
        </w:rPr>
        <w:t>of</w:t>
      </w:r>
      <w:r>
        <w:rPr>
          <w:color w:val="221F1F"/>
          <w:spacing w:val="-5"/>
        </w:rPr>
        <w:t xml:space="preserve"> </w:t>
      </w:r>
      <w:r>
        <w:rPr>
          <w:color w:val="221F1F"/>
        </w:rPr>
        <w:t>Interim</w:t>
      </w:r>
      <w:r>
        <w:rPr>
          <w:color w:val="221F1F"/>
          <w:spacing w:val="-4"/>
        </w:rPr>
        <w:t xml:space="preserve"> </w:t>
      </w:r>
      <w:r>
        <w:rPr>
          <w:color w:val="221F1F"/>
        </w:rPr>
        <w:t>Payment</w:t>
      </w:r>
      <w:r>
        <w:rPr>
          <w:color w:val="221F1F"/>
          <w:spacing w:val="-4"/>
        </w:rPr>
        <w:t xml:space="preserve"> </w:t>
      </w:r>
      <w:r>
        <w:rPr>
          <w:color w:val="221F1F"/>
        </w:rPr>
        <w:t>Certificates</w:t>
      </w:r>
      <w:r>
        <w:rPr>
          <w:color w:val="221F1F"/>
          <w:spacing w:val="-4"/>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stated</w:t>
      </w:r>
      <w:r>
        <w:rPr>
          <w:color w:val="221F1F"/>
          <w:spacing w:val="-7"/>
        </w:rPr>
        <w:t xml:space="preserve"> </w:t>
      </w:r>
      <w:r>
        <w:rPr>
          <w:b/>
          <w:color w:val="221F1F"/>
        </w:rPr>
        <w:t>in</w:t>
      </w:r>
      <w:r>
        <w:rPr>
          <w:b/>
          <w:color w:val="221F1F"/>
          <w:spacing w:val="-6"/>
        </w:rPr>
        <w:t xml:space="preserve"> </w:t>
      </w:r>
      <w:r>
        <w:rPr>
          <w:b/>
          <w:color w:val="221F1F"/>
        </w:rPr>
        <w:t>the</w:t>
      </w:r>
      <w:r>
        <w:rPr>
          <w:b/>
          <w:color w:val="221F1F"/>
          <w:spacing w:val="-5"/>
        </w:rPr>
        <w:t xml:space="preserve"> </w:t>
      </w:r>
      <w:r>
        <w:rPr>
          <w:b/>
          <w:color w:val="221F1F"/>
        </w:rPr>
        <w:t>Special</w:t>
      </w:r>
      <w:r>
        <w:rPr>
          <w:b/>
          <w:color w:val="221F1F"/>
          <w:spacing w:val="-6"/>
        </w:rPr>
        <w:t xml:space="preserve"> </w:t>
      </w:r>
      <w:r>
        <w:rPr>
          <w:b/>
          <w:color w:val="221F1F"/>
        </w:rPr>
        <w:t>Conditions</w:t>
      </w:r>
      <w:r>
        <w:rPr>
          <w:b/>
          <w:color w:val="221F1F"/>
          <w:spacing w:val="-5"/>
        </w:rPr>
        <w:t xml:space="preserve"> </w:t>
      </w:r>
      <w:r>
        <w:rPr>
          <w:b/>
          <w:color w:val="221F1F"/>
        </w:rPr>
        <w:t>of</w:t>
      </w:r>
      <w:r>
        <w:rPr>
          <w:b/>
          <w:color w:val="221F1F"/>
          <w:spacing w:val="-5"/>
        </w:rPr>
        <w:t xml:space="preserve"> </w:t>
      </w:r>
      <w:r>
        <w:rPr>
          <w:b/>
          <w:color w:val="221F1F"/>
        </w:rPr>
        <w:t>Contract</w:t>
      </w:r>
      <w:r>
        <w:rPr>
          <w:color w:val="221F1F"/>
        </w:rPr>
        <w:t>. In this event, the Architect shall give notice to the Contractor accordingly.</w:t>
      </w:r>
    </w:p>
    <w:p w:rsidR="007F6DF9" w:rsidRDefault="007F6DF9">
      <w:pPr>
        <w:pStyle w:val="BodyText"/>
        <w:spacing w:before="99"/>
      </w:pPr>
    </w:p>
    <w:p w:rsidR="007F6DF9" w:rsidRDefault="00A43FBC">
      <w:pPr>
        <w:pStyle w:val="ListParagraph"/>
        <w:numPr>
          <w:ilvl w:val="2"/>
          <w:numId w:val="122"/>
        </w:numPr>
        <w:tabs>
          <w:tab w:val="left" w:pos="1381"/>
        </w:tabs>
        <w:ind w:left="1381" w:hanging="663"/>
        <w:jc w:val="both"/>
        <w:rPr>
          <w:color w:val="221F1F"/>
        </w:rPr>
      </w:pPr>
      <w:r>
        <w:rPr>
          <w:color w:val="221F1F"/>
        </w:rPr>
        <w:t>An</w:t>
      </w:r>
      <w:r>
        <w:rPr>
          <w:color w:val="221F1F"/>
          <w:spacing w:val="-4"/>
        </w:rPr>
        <w:t xml:space="preserve"> </w:t>
      </w:r>
      <w:r>
        <w:rPr>
          <w:color w:val="221F1F"/>
        </w:rPr>
        <w:t>Interim</w:t>
      </w:r>
      <w:r>
        <w:rPr>
          <w:color w:val="221F1F"/>
          <w:spacing w:val="-3"/>
        </w:rPr>
        <w:t xml:space="preserve"> </w:t>
      </w:r>
      <w:r>
        <w:rPr>
          <w:color w:val="221F1F"/>
        </w:rPr>
        <w:t>Payment</w:t>
      </w:r>
      <w:r>
        <w:rPr>
          <w:color w:val="221F1F"/>
          <w:spacing w:val="-5"/>
        </w:rPr>
        <w:t xml:space="preserve"> </w:t>
      </w:r>
      <w:r>
        <w:rPr>
          <w:color w:val="221F1F"/>
        </w:rPr>
        <w:t>Certificate</w:t>
      </w:r>
      <w:r>
        <w:rPr>
          <w:color w:val="221F1F"/>
          <w:spacing w:val="-4"/>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be</w:t>
      </w:r>
      <w:r>
        <w:rPr>
          <w:color w:val="221F1F"/>
          <w:spacing w:val="-3"/>
        </w:rPr>
        <w:t xml:space="preserve"> </w:t>
      </w:r>
      <w:r>
        <w:rPr>
          <w:color w:val="221F1F"/>
        </w:rPr>
        <w:t>withheld</w:t>
      </w:r>
      <w:r>
        <w:rPr>
          <w:color w:val="221F1F"/>
          <w:spacing w:val="-6"/>
        </w:rPr>
        <w:t xml:space="preserve"> </w:t>
      </w:r>
      <w:r>
        <w:rPr>
          <w:color w:val="221F1F"/>
        </w:rPr>
        <w:t>for</w:t>
      </w:r>
      <w:r>
        <w:rPr>
          <w:color w:val="221F1F"/>
          <w:spacing w:val="-3"/>
        </w:rPr>
        <w:t xml:space="preserve"> </w:t>
      </w:r>
      <w:r>
        <w:rPr>
          <w:color w:val="221F1F"/>
        </w:rPr>
        <w:t>any</w:t>
      </w:r>
      <w:r>
        <w:rPr>
          <w:color w:val="221F1F"/>
          <w:spacing w:val="-5"/>
        </w:rPr>
        <w:t xml:space="preserve"> </w:t>
      </w:r>
      <w:r>
        <w:rPr>
          <w:color w:val="221F1F"/>
        </w:rPr>
        <w:t>other</w:t>
      </w:r>
      <w:r>
        <w:rPr>
          <w:color w:val="221F1F"/>
          <w:spacing w:val="-5"/>
        </w:rPr>
        <w:t xml:space="preserve"> </w:t>
      </w:r>
      <w:r>
        <w:rPr>
          <w:color w:val="221F1F"/>
        </w:rPr>
        <w:t>reason,</w:t>
      </w:r>
      <w:r>
        <w:rPr>
          <w:color w:val="221F1F"/>
          <w:spacing w:val="-3"/>
        </w:rPr>
        <w:t xml:space="preserve"> </w:t>
      </w:r>
      <w:r>
        <w:rPr>
          <w:color w:val="221F1F"/>
          <w:spacing w:val="-2"/>
        </w:rPr>
        <w:t>although:</w:t>
      </w:r>
    </w:p>
    <w:p w:rsidR="007F6DF9" w:rsidRDefault="00A43FBC">
      <w:pPr>
        <w:pStyle w:val="ListParagraph"/>
        <w:numPr>
          <w:ilvl w:val="0"/>
          <w:numId w:val="71"/>
        </w:numPr>
        <w:tabs>
          <w:tab w:val="left" w:pos="1875"/>
          <w:tab w:val="left" w:pos="1882"/>
        </w:tabs>
        <w:spacing w:before="48" w:line="230" w:lineRule="auto"/>
        <w:ind w:right="564" w:hanging="500"/>
        <w:jc w:val="both"/>
      </w:pPr>
      <w:r>
        <w:rPr>
          <w:color w:val="221F1F"/>
        </w:rPr>
        <w:t>if anything supplied</w:t>
      </w:r>
      <w:r>
        <w:rPr>
          <w:color w:val="221F1F"/>
          <w:spacing w:val="-1"/>
        </w:rPr>
        <w:t xml:space="preserve"> </w:t>
      </w:r>
      <w:r>
        <w:rPr>
          <w:color w:val="221F1F"/>
        </w:rPr>
        <w:t>or work done by</w:t>
      </w:r>
      <w:r>
        <w:rPr>
          <w:color w:val="221F1F"/>
          <w:spacing w:val="-1"/>
        </w:rPr>
        <w:t xml:space="preserve"> </w:t>
      </w:r>
      <w:r>
        <w:rPr>
          <w:color w:val="221F1F"/>
        </w:rPr>
        <w:t>the Contractor</w:t>
      </w:r>
      <w:r>
        <w:rPr>
          <w:color w:val="221F1F"/>
          <w:spacing w:val="-1"/>
        </w:rPr>
        <w:t xml:space="preserve"> </w:t>
      </w:r>
      <w:r>
        <w:rPr>
          <w:color w:val="221F1F"/>
        </w:rPr>
        <w:t>is</w:t>
      </w:r>
      <w:r>
        <w:rPr>
          <w:color w:val="221F1F"/>
          <w:spacing w:val="-1"/>
        </w:rPr>
        <w:t xml:space="preserve"> </w:t>
      </w:r>
      <w:r>
        <w:rPr>
          <w:color w:val="221F1F"/>
        </w:rPr>
        <w:t>not in</w:t>
      </w:r>
      <w:r>
        <w:rPr>
          <w:color w:val="221F1F"/>
          <w:spacing w:val="-1"/>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 xml:space="preserve">cost of rectification or replacement may be withheld until rectification or replacement has been completed; </w:t>
      </w:r>
      <w:r>
        <w:rPr>
          <w:color w:val="221F1F"/>
          <w:spacing w:val="-2"/>
        </w:rPr>
        <w:t>and/or</w:t>
      </w:r>
    </w:p>
    <w:p w:rsidR="007F6DF9" w:rsidRDefault="00A43FBC">
      <w:pPr>
        <w:pStyle w:val="ListParagraph"/>
        <w:numPr>
          <w:ilvl w:val="0"/>
          <w:numId w:val="71"/>
        </w:numPr>
        <w:tabs>
          <w:tab w:val="left" w:pos="1875"/>
          <w:tab w:val="left" w:pos="1882"/>
        </w:tabs>
        <w:spacing w:before="50" w:line="230" w:lineRule="auto"/>
        <w:ind w:right="555" w:hanging="500"/>
        <w:jc w:val="both"/>
      </w:pPr>
      <w:r>
        <w:rPr>
          <w:color w:val="221F1F"/>
        </w:rPr>
        <w:t>if the Contractor was or is failing to perform any work or obligation in accordance with the Contract, and</w:t>
      </w:r>
      <w:r>
        <w:rPr>
          <w:color w:val="221F1F"/>
          <w:spacing w:val="-4"/>
        </w:rPr>
        <w:t xml:space="preserve"> </w:t>
      </w:r>
      <w:r>
        <w:rPr>
          <w:color w:val="221F1F"/>
        </w:rPr>
        <w:t>had</w:t>
      </w:r>
      <w:r>
        <w:rPr>
          <w:color w:val="221F1F"/>
          <w:spacing w:val="-4"/>
        </w:rPr>
        <w:t xml:space="preserve"> </w:t>
      </w:r>
      <w:r>
        <w:rPr>
          <w:color w:val="221F1F"/>
        </w:rPr>
        <w:t>been</w:t>
      </w:r>
      <w:r>
        <w:rPr>
          <w:color w:val="221F1F"/>
          <w:spacing w:val="-7"/>
        </w:rPr>
        <w:t xml:space="preserve"> </w:t>
      </w:r>
      <w:r>
        <w:rPr>
          <w:color w:val="221F1F"/>
        </w:rPr>
        <w:t>so</w:t>
      </w:r>
      <w:r>
        <w:rPr>
          <w:color w:val="221F1F"/>
          <w:spacing w:val="-7"/>
        </w:rPr>
        <w:t xml:space="preserve"> </w:t>
      </w:r>
      <w:r>
        <w:rPr>
          <w:color w:val="221F1F"/>
        </w:rPr>
        <w:t>notified</w:t>
      </w:r>
      <w:r>
        <w:rPr>
          <w:color w:val="221F1F"/>
          <w:spacing w:val="-6"/>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Engineer,</w:t>
      </w:r>
      <w:r>
        <w:rPr>
          <w:color w:val="221F1F"/>
          <w:spacing w:val="-7"/>
        </w:rPr>
        <w:t xml:space="preserve"> </w:t>
      </w:r>
      <w:r>
        <w:rPr>
          <w:color w:val="221F1F"/>
        </w:rPr>
        <w:t>the</w:t>
      </w:r>
      <w:r>
        <w:rPr>
          <w:color w:val="221F1F"/>
          <w:spacing w:val="-7"/>
        </w:rPr>
        <w:t xml:space="preserve"> </w:t>
      </w:r>
      <w:r>
        <w:rPr>
          <w:color w:val="221F1F"/>
        </w:rPr>
        <w:t>value</w:t>
      </w:r>
      <w:r>
        <w:rPr>
          <w:color w:val="221F1F"/>
          <w:spacing w:val="-4"/>
        </w:rPr>
        <w:t xml:space="preserve"> </w:t>
      </w:r>
      <w:r>
        <w:rPr>
          <w:color w:val="221F1F"/>
        </w:rPr>
        <w:t>of</w:t>
      </w:r>
      <w:r>
        <w:rPr>
          <w:color w:val="221F1F"/>
          <w:spacing w:val="-6"/>
        </w:rPr>
        <w:t xml:space="preserve"> </w:t>
      </w:r>
      <w:r>
        <w:rPr>
          <w:color w:val="221F1F"/>
        </w:rPr>
        <w:t>this</w:t>
      </w:r>
      <w:r>
        <w:rPr>
          <w:color w:val="221F1F"/>
          <w:spacing w:val="-4"/>
        </w:rPr>
        <w:t xml:space="preserve"> </w:t>
      </w:r>
      <w:r>
        <w:rPr>
          <w:color w:val="221F1F"/>
        </w:rPr>
        <w:t>work</w:t>
      </w:r>
      <w:r>
        <w:rPr>
          <w:color w:val="221F1F"/>
          <w:spacing w:val="-7"/>
        </w:rPr>
        <w:t xml:space="preserve"> </w:t>
      </w:r>
      <w:r>
        <w:rPr>
          <w:color w:val="221F1F"/>
        </w:rPr>
        <w:t>or</w:t>
      </w:r>
      <w:r>
        <w:rPr>
          <w:color w:val="221F1F"/>
          <w:spacing w:val="-6"/>
        </w:rPr>
        <w:t xml:space="preserve"> </w:t>
      </w:r>
      <w:r>
        <w:rPr>
          <w:color w:val="221F1F"/>
        </w:rPr>
        <w:t>obligation</w:t>
      </w:r>
      <w:r>
        <w:rPr>
          <w:color w:val="221F1F"/>
          <w:spacing w:val="-6"/>
        </w:rPr>
        <w:t xml:space="preserve"> </w:t>
      </w:r>
      <w:r>
        <w:rPr>
          <w:color w:val="221F1F"/>
        </w:rPr>
        <w:t>may</w:t>
      </w:r>
      <w:r>
        <w:rPr>
          <w:color w:val="221F1F"/>
          <w:spacing w:val="-9"/>
        </w:rPr>
        <w:t xml:space="preserve"> </w:t>
      </w:r>
      <w:r>
        <w:rPr>
          <w:color w:val="221F1F"/>
        </w:rPr>
        <w:t>be</w:t>
      </w:r>
      <w:r>
        <w:rPr>
          <w:color w:val="221F1F"/>
          <w:spacing w:val="-4"/>
        </w:rPr>
        <w:t xml:space="preserve"> </w:t>
      </w:r>
      <w:r>
        <w:rPr>
          <w:color w:val="221F1F"/>
        </w:rPr>
        <w:t>withheld</w:t>
      </w:r>
      <w:r>
        <w:rPr>
          <w:color w:val="221F1F"/>
          <w:spacing w:val="-7"/>
        </w:rPr>
        <w:t xml:space="preserve"> </w:t>
      </w:r>
      <w:r>
        <w:rPr>
          <w:color w:val="221F1F"/>
        </w:rPr>
        <w:t>until</w:t>
      </w:r>
      <w:r>
        <w:rPr>
          <w:color w:val="221F1F"/>
          <w:spacing w:val="-6"/>
        </w:rPr>
        <w:t xml:space="preserve"> </w:t>
      </w:r>
      <w:r>
        <w:rPr>
          <w:color w:val="221F1F"/>
        </w:rPr>
        <w:t>the work or obligation has been performed.</w:t>
      </w:r>
    </w:p>
    <w:p w:rsidR="007F6DF9" w:rsidRDefault="007F6DF9">
      <w:pPr>
        <w:pStyle w:val="BodyText"/>
        <w:spacing w:before="101"/>
      </w:pPr>
    </w:p>
    <w:p w:rsidR="007F6DF9" w:rsidRDefault="00A43FBC">
      <w:pPr>
        <w:pStyle w:val="BodyText"/>
        <w:spacing w:line="230" w:lineRule="auto"/>
        <w:ind w:left="1378" w:right="559" w:hanging="661"/>
        <w:jc w:val="both"/>
      </w:pPr>
      <w:r>
        <w:rPr>
          <w:color w:val="221F1F"/>
        </w:rPr>
        <w:t>4.6.4</w:t>
      </w:r>
      <w:r>
        <w:rPr>
          <w:color w:val="221F1F"/>
          <w:spacing w:val="80"/>
        </w:rPr>
        <w:t xml:space="preserve"> </w:t>
      </w:r>
      <w:r>
        <w:rPr>
          <w:color w:val="221F1F"/>
        </w:rPr>
        <w:t>The Architect may in any Payment Certificate make any correction or modification that should properly be made</w:t>
      </w:r>
      <w:r>
        <w:rPr>
          <w:color w:val="221F1F"/>
          <w:spacing w:val="-16"/>
        </w:rPr>
        <w:t xml:space="preserve"> </w:t>
      </w:r>
      <w:r>
        <w:rPr>
          <w:color w:val="221F1F"/>
        </w:rPr>
        <w:t>to</w:t>
      </w:r>
      <w:r>
        <w:rPr>
          <w:color w:val="221F1F"/>
          <w:spacing w:val="-14"/>
        </w:rPr>
        <w:t xml:space="preserve"> </w:t>
      </w:r>
      <w:r>
        <w:rPr>
          <w:color w:val="221F1F"/>
        </w:rPr>
        <w:t>any</w:t>
      </w:r>
      <w:r>
        <w:rPr>
          <w:color w:val="221F1F"/>
          <w:spacing w:val="-14"/>
        </w:rPr>
        <w:t xml:space="preserve"> </w:t>
      </w:r>
      <w:r>
        <w:rPr>
          <w:color w:val="221F1F"/>
        </w:rPr>
        <w:t>previous</w:t>
      </w:r>
      <w:r>
        <w:rPr>
          <w:color w:val="221F1F"/>
          <w:spacing w:val="-13"/>
        </w:rPr>
        <w:t xml:space="preserve"> </w:t>
      </w:r>
      <w:r>
        <w:rPr>
          <w:color w:val="221F1F"/>
        </w:rPr>
        <w:t>Payment</w:t>
      </w:r>
      <w:r>
        <w:rPr>
          <w:color w:val="221F1F"/>
          <w:spacing w:val="-14"/>
        </w:rPr>
        <w:t xml:space="preserve"> </w:t>
      </w:r>
      <w:r>
        <w:rPr>
          <w:color w:val="221F1F"/>
        </w:rPr>
        <w:t>Certificate.</w:t>
      </w:r>
      <w:r>
        <w:rPr>
          <w:color w:val="221F1F"/>
          <w:spacing w:val="-14"/>
        </w:rPr>
        <w:t xml:space="preserve"> </w:t>
      </w:r>
      <w:r>
        <w:rPr>
          <w:color w:val="221F1F"/>
        </w:rPr>
        <w:t>A</w:t>
      </w:r>
      <w:r>
        <w:rPr>
          <w:color w:val="221F1F"/>
          <w:spacing w:val="-14"/>
        </w:rPr>
        <w:t xml:space="preserve"> </w:t>
      </w:r>
      <w:r>
        <w:rPr>
          <w:color w:val="221F1F"/>
        </w:rPr>
        <w:t>Payment</w:t>
      </w:r>
      <w:r>
        <w:rPr>
          <w:color w:val="221F1F"/>
          <w:spacing w:val="-13"/>
        </w:rPr>
        <w:t xml:space="preserve"> </w:t>
      </w:r>
      <w:r>
        <w:rPr>
          <w:color w:val="221F1F"/>
        </w:rPr>
        <w:t>Certificate</w:t>
      </w:r>
      <w:r>
        <w:rPr>
          <w:color w:val="221F1F"/>
          <w:spacing w:val="-14"/>
        </w:rPr>
        <w:t xml:space="preserve"> </w:t>
      </w:r>
      <w:r>
        <w:rPr>
          <w:color w:val="221F1F"/>
        </w:rPr>
        <w:t>shall</w:t>
      </w:r>
      <w:r>
        <w:rPr>
          <w:color w:val="221F1F"/>
          <w:spacing w:val="-14"/>
        </w:rPr>
        <w:t xml:space="preserve"> </w:t>
      </w:r>
      <w:r>
        <w:rPr>
          <w:color w:val="221F1F"/>
        </w:rPr>
        <w:t>not</w:t>
      </w:r>
      <w:r>
        <w:rPr>
          <w:color w:val="221F1F"/>
          <w:spacing w:val="-14"/>
        </w:rPr>
        <w:t xml:space="preserve"> </w:t>
      </w:r>
      <w:r>
        <w:rPr>
          <w:color w:val="221F1F"/>
        </w:rPr>
        <w:t>be</w:t>
      </w:r>
      <w:r>
        <w:rPr>
          <w:color w:val="221F1F"/>
          <w:spacing w:val="-13"/>
        </w:rPr>
        <w:t xml:space="preserve"> </w:t>
      </w:r>
      <w:r>
        <w:rPr>
          <w:color w:val="221F1F"/>
        </w:rPr>
        <w:t>deemed</w:t>
      </w:r>
      <w:r>
        <w:rPr>
          <w:color w:val="221F1F"/>
          <w:spacing w:val="-14"/>
        </w:rPr>
        <w:t xml:space="preserve"> </w:t>
      </w:r>
      <w:r>
        <w:rPr>
          <w:color w:val="221F1F"/>
        </w:rPr>
        <w:t>to</w:t>
      </w:r>
      <w:r>
        <w:rPr>
          <w:color w:val="221F1F"/>
          <w:spacing w:val="-14"/>
        </w:rPr>
        <w:t xml:space="preserve"> </w:t>
      </w:r>
      <w:r>
        <w:rPr>
          <w:color w:val="221F1F"/>
        </w:rPr>
        <w:t>indicate</w:t>
      </w:r>
      <w:r>
        <w:rPr>
          <w:color w:val="221F1F"/>
          <w:spacing w:val="-14"/>
        </w:rPr>
        <w:t xml:space="preserve"> </w:t>
      </w:r>
      <w:r>
        <w:rPr>
          <w:color w:val="221F1F"/>
        </w:rPr>
        <w:t>the</w:t>
      </w:r>
      <w:r>
        <w:rPr>
          <w:color w:val="221F1F"/>
          <w:spacing w:val="-13"/>
        </w:rPr>
        <w:t xml:space="preserve"> </w:t>
      </w:r>
      <w:r>
        <w:rPr>
          <w:color w:val="221F1F"/>
        </w:rPr>
        <w:t>Architect acceptance, approval, consent or satisfaction.</w:t>
      </w:r>
    </w:p>
    <w:p w:rsidR="007F6DF9" w:rsidRDefault="00A43FBC">
      <w:pPr>
        <w:pStyle w:val="Heading9"/>
        <w:numPr>
          <w:ilvl w:val="1"/>
          <w:numId w:val="122"/>
        </w:numPr>
        <w:tabs>
          <w:tab w:val="left" w:pos="1375"/>
        </w:tabs>
        <w:spacing w:before="125"/>
        <w:ind w:left="1375" w:hanging="667"/>
        <w:jc w:val="both"/>
        <w:rPr>
          <w:color w:val="221F1F"/>
        </w:rPr>
      </w:pPr>
      <w:r>
        <w:rPr>
          <w:color w:val="221F1F"/>
          <w:spacing w:val="-2"/>
        </w:rPr>
        <w:t>Payment</w:t>
      </w:r>
    </w:p>
    <w:p w:rsidR="007F6DF9" w:rsidRDefault="007F6DF9">
      <w:pPr>
        <w:pStyle w:val="BodyText"/>
        <w:spacing w:before="96"/>
        <w:rPr>
          <w:b/>
        </w:rPr>
      </w:pPr>
    </w:p>
    <w:p w:rsidR="007F6DF9" w:rsidRDefault="00A43FBC">
      <w:pPr>
        <w:pStyle w:val="ListParagraph"/>
        <w:numPr>
          <w:ilvl w:val="2"/>
          <w:numId w:val="122"/>
        </w:numPr>
        <w:tabs>
          <w:tab w:val="left" w:pos="1371"/>
        </w:tabs>
        <w:ind w:left="1371" w:hanging="663"/>
        <w:jc w:val="both"/>
        <w:rPr>
          <w:color w:val="221F1F"/>
        </w:rPr>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2"/>
        </w:rPr>
        <w:t xml:space="preserve"> </w:t>
      </w:r>
      <w:r>
        <w:rPr>
          <w:color w:val="221F1F"/>
        </w:rPr>
        <w:t>pay</w:t>
      </w:r>
      <w:r>
        <w:rPr>
          <w:color w:val="221F1F"/>
          <w:spacing w:val="-2"/>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spacing w:val="-2"/>
        </w:rPr>
        <w:t>Contractor:</w:t>
      </w:r>
    </w:p>
    <w:p w:rsidR="007F6DF9" w:rsidRDefault="00A43FBC">
      <w:pPr>
        <w:pStyle w:val="ListParagraph"/>
        <w:numPr>
          <w:ilvl w:val="0"/>
          <w:numId w:val="70"/>
        </w:numPr>
        <w:tabs>
          <w:tab w:val="left" w:pos="1866"/>
          <w:tab w:val="left" w:pos="1870"/>
        </w:tabs>
        <w:spacing w:before="53" w:line="230" w:lineRule="auto"/>
        <w:ind w:right="560" w:hanging="495"/>
        <w:jc w:val="both"/>
        <w:rPr>
          <w:color w:val="221F1F"/>
        </w:rPr>
      </w:pPr>
      <w:r>
        <w:rPr>
          <w:color w:val="221F1F"/>
        </w:rPr>
        <w:t>The</w:t>
      </w:r>
      <w:r>
        <w:rPr>
          <w:color w:val="221F1F"/>
          <w:spacing w:val="-7"/>
        </w:rPr>
        <w:t xml:space="preserve"> </w:t>
      </w:r>
      <w:r>
        <w:rPr>
          <w:color w:val="221F1F"/>
        </w:rPr>
        <w:t>advance</w:t>
      </w:r>
      <w:r>
        <w:rPr>
          <w:color w:val="221F1F"/>
          <w:spacing w:val="-7"/>
        </w:rPr>
        <w:t xml:space="preserve"> </w:t>
      </w:r>
      <w:r>
        <w:rPr>
          <w:color w:val="221F1F"/>
        </w:rPr>
        <w:t>payment</w:t>
      </w:r>
      <w:r>
        <w:rPr>
          <w:color w:val="221F1F"/>
          <w:spacing w:val="-7"/>
        </w:rPr>
        <w:t xml:space="preserve"> </w:t>
      </w:r>
      <w:r>
        <w:rPr>
          <w:color w:val="221F1F"/>
        </w:rPr>
        <w:t>shall</w:t>
      </w:r>
      <w:r>
        <w:rPr>
          <w:color w:val="221F1F"/>
          <w:spacing w:val="-8"/>
        </w:rPr>
        <w:t xml:space="preserve"> </w:t>
      </w:r>
      <w:r>
        <w:rPr>
          <w:color w:val="221F1F"/>
        </w:rPr>
        <w:t>be</w:t>
      </w:r>
      <w:r>
        <w:rPr>
          <w:color w:val="221F1F"/>
          <w:spacing w:val="-7"/>
        </w:rPr>
        <w:t xml:space="preserve"> </w:t>
      </w:r>
      <w:r>
        <w:rPr>
          <w:color w:val="221F1F"/>
        </w:rPr>
        <w:t>paid</w:t>
      </w:r>
      <w:r>
        <w:rPr>
          <w:color w:val="221F1F"/>
          <w:spacing w:val="-7"/>
        </w:rPr>
        <w:t xml:space="preserve"> </w:t>
      </w:r>
      <w:r>
        <w:rPr>
          <w:color w:val="221F1F"/>
        </w:rPr>
        <w:t>within</w:t>
      </w:r>
      <w:r>
        <w:rPr>
          <w:color w:val="221F1F"/>
          <w:spacing w:val="-9"/>
        </w:rPr>
        <w:t xml:space="preserve"> </w:t>
      </w:r>
      <w:r>
        <w:rPr>
          <w:color w:val="221F1F"/>
        </w:rPr>
        <w:t>60</w:t>
      </w:r>
      <w:r>
        <w:rPr>
          <w:color w:val="221F1F"/>
          <w:spacing w:val="-7"/>
        </w:rPr>
        <w:t xml:space="preserve"> </w:t>
      </w:r>
      <w:r>
        <w:rPr>
          <w:color w:val="221F1F"/>
        </w:rPr>
        <w:t>days</w:t>
      </w:r>
      <w:r>
        <w:rPr>
          <w:color w:val="221F1F"/>
          <w:spacing w:val="-8"/>
        </w:rPr>
        <w:t xml:space="preserve"> </w:t>
      </w:r>
      <w:r>
        <w:rPr>
          <w:color w:val="221F1F"/>
        </w:rPr>
        <w:t>after</w:t>
      </w:r>
      <w:r>
        <w:rPr>
          <w:color w:val="221F1F"/>
          <w:spacing w:val="-8"/>
        </w:rPr>
        <w:t xml:space="preserve"> </w:t>
      </w:r>
      <w:r>
        <w:rPr>
          <w:color w:val="221F1F"/>
        </w:rPr>
        <w:t>signing</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contract</w:t>
      </w:r>
      <w:r>
        <w:rPr>
          <w:color w:val="221F1F"/>
          <w:spacing w:val="-7"/>
        </w:rPr>
        <w:t xml:space="preserve"> </w:t>
      </w:r>
      <w:r>
        <w:rPr>
          <w:color w:val="221F1F"/>
        </w:rPr>
        <w:t>by</w:t>
      </w:r>
      <w:r>
        <w:rPr>
          <w:color w:val="221F1F"/>
          <w:spacing w:val="-7"/>
        </w:rPr>
        <w:t xml:space="preserve"> </w:t>
      </w:r>
      <w:r>
        <w:rPr>
          <w:color w:val="221F1F"/>
        </w:rPr>
        <w:t>both</w:t>
      </w:r>
      <w:r>
        <w:rPr>
          <w:color w:val="221F1F"/>
          <w:spacing w:val="-7"/>
        </w:rPr>
        <w:t xml:space="preserve"> </w:t>
      </w:r>
      <w:r>
        <w:rPr>
          <w:color w:val="221F1F"/>
        </w:rPr>
        <w:t>parties</w:t>
      </w:r>
      <w:r>
        <w:rPr>
          <w:color w:val="221F1F"/>
          <w:spacing w:val="-6"/>
        </w:rPr>
        <w:t xml:space="preserve"> </w:t>
      </w:r>
      <w:r>
        <w:rPr>
          <w:color w:val="221F1F"/>
        </w:rPr>
        <w:t>or</w:t>
      </w:r>
      <w:r>
        <w:rPr>
          <w:color w:val="221F1F"/>
          <w:spacing w:val="-6"/>
        </w:rPr>
        <w:t xml:space="preserve"> </w:t>
      </w:r>
      <w:r>
        <w:rPr>
          <w:color w:val="221F1F"/>
        </w:rPr>
        <w:t xml:space="preserve">within 60 days after receiving the documents in accordance with Sub-Clause 4.2 [Performance Security] and Sub- Clause 14.2 [Advance Payment], </w:t>
      </w:r>
      <w:proofErr w:type="spellStart"/>
      <w:r>
        <w:rPr>
          <w:color w:val="221F1F"/>
        </w:rPr>
        <w:t>which ever</w:t>
      </w:r>
      <w:proofErr w:type="spellEnd"/>
      <w:r>
        <w:rPr>
          <w:color w:val="221F1F"/>
        </w:rPr>
        <w:t xml:space="preserve"> is later;</w:t>
      </w:r>
    </w:p>
    <w:p w:rsidR="007F6DF9" w:rsidRDefault="00A43FBC">
      <w:pPr>
        <w:pStyle w:val="ListParagraph"/>
        <w:numPr>
          <w:ilvl w:val="0"/>
          <w:numId w:val="70"/>
        </w:numPr>
        <w:tabs>
          <w:tab w:val="left" w:pos="1866"/>
          <w:tab w:val="left" w:pos="1870"/>
        </w:tabs>
        <w:spacing w:line="232" w:lineRule="auto"/>
        <w:ind w:right="561" w:hanging="495"/>
        <w:jc w:val="both"/>
        <w:rPr>
          <w:color w:val="221F1F"/>
        </w:rPr>
      </w:pPr>
      <w:r>
        <w:rPr>
          <w:color w:val="221F1F"/>
        </w:rPr>
        <w:t>The amount certified in each Interim Payment Certificate within 60 days after the Architect Issues Interim Payment Certificate; and</w:t>
      </w:r>
    </w:p>
    <w:p w:rsidR="007F6DF9" w:rsidRDefault="00A43FBC">
      <w:pPr>
        <w:pStyle w:val="ListParagraph"/>
        <w:numPr>
          <w:ilvl w:val="0"/>
          <w:numId w:val="70"/>
        </w:numPr>
        <w:tabs>
          <w:tab w:val="left" w:pos="1866"/>
          <w:tab w:val="left" w:pos="1870"/>
        </w:tabs>
        <w:spacing w:line="230" w:lineRule="auto"/>
        <w:ind w:right="561" w:hanging="495"/>
        <w:jc w:val="both"/>
        <w:rPr>
          <w:color w:val="221F1F"/>
        </w:rPr>
      </w:pPr>
      <w:r>
        <w:rPr>
          <w:color w:val="221F1F"/>
        </w:rPr>
        <w:t>the amount certified in the Final Payment Certificate within 60 days after the Procuring Entity Issues Interim</w:t>
      </w:r>
      <w:r>
        <w:rPr>
          <w:color w:val="221F1F"/>
          <w:spacing w:val="-16"/>
        </w:rPr>
        <w:t xml:space="preserve"> </w:t>
      </w:r>
      <w:r>
        <w:rPr>
          <w:color w:val="221F1F"/>
        </w:rPr>
        <w:t>Payment</w:t>
      </w:r>
      <w:r>
        <w:rPr>
          <w:color w:val="221F1F"/>
          <w:spacing w:val="-14"/>
        </w:rPr>
        <w:t xml:space="preserve"> </w:t>
      </w:r>
      <w:r>
        <w:rPr>
          <w:color w:val="221F1F"/>
        </w:rPr>
        <w:t>Certificate;</w:t>
      </w:r>
      <w:r>
        <w:rPr>
          <w:color w:val="221F1F"/>
          <w:spacing w:val="-14"/>
        </w:rPr>
        <w:t xml:space="preserve"> </w:t>
      </w:r>
      <w:r>
        <w:rPr>
          <w:color w:val="221F1F"/>
        </w:rPr>
        <w:t>or</w:t>
      </w:r>
      <w:r>
        <w:rPr>
          <w:color w:val="221F1F"/>
          <w:spacing w:val="-14"/>
        </w:rPr>
        <w:t xml:space="preserve"> </w:t>
      </w:r>
      <w:r>
        <w:rPr>
          <w:color w:val="221F1F"/>
        </w:rPr>
        <w:t>after</w:t>
      </w:r>
      <w:r>
        <w:rPr>
          <w:color w:val="221F1F"/>
          <w:spacing w:val="-13"/>
        </w:rPr>
        <w:t xml:space="preserve"> </w:t>
      </w:r>
      <w:r>
        <w:rPr>
          <w:color w:val="221F1F"/>
        </w:rPr>
        <w:t>determination</w:t>
      </w:r>
      <w:r>
        <w:rPr>
          <w:color w:val="221F1F"/>
          <w:spacing w:val="-14"/>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disputed</w:t>
      </w:r>
      <w:r>
        <w:rPr>
          <w:color w:val="221F1F"/>
          <w:spacing w:val="-14"/>
        </w:rPr>
        <w:t xml:space="preserve"> </w:t>
      </w:r>
      <w:r>
        <w:rPr>
          <w:color w:val="221F1F"/>
        </w:rPr>
        <w:t>amount</w:t>
      </w:r>
      <w:r>
        <w:rPr>
          <w:color w:val="221F1F"/>
          <w:spacing w:val="-14"/>
        </w:rPr>
        <w:t xml:space="preserve"> </w:t>
      </w:r>
      <w:r>
        <w:rPr>
          <w:color w:val="221F1F"/>
        </w:rPr>
        <w:t>shown</w:t>
      </w:r>
      <w:r>
        <w:rPr>
          <w:color w:val="221F1F"/>
          <w:spacing w:val="-15"/>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Final</w:t>
      </w:r>
      <w:r>
        <w:rPr>
          <w:color w:val="221F1F"/>
          <w:spacing w:val="-13"/>
        </w:rPr>
        <w:t xml:space="preserve"> </w:t>
      </w:r>
      <w:r>
        <w:rPr>
          <w:color w:val="221F1F"/>
        </w:rPr>
        <w:t>Statement</w:t>
      </w:r>
    </w:p>
    <w:p w:rsidR="007F6DF9" w:rsidRDefault="007F6DF9">
      <w:pPr>
        <w:pStyle w:val="ListParagraph"/>
        <w:spacing w:line="230" w:lineRule="auto"/>
        <w:jc w:val="both"/>
        <w:sectPr w:rsidR="007F6DF9">
          <w:pgSz w:w="11920" w:h="16850"/>
          <w:pgMar w:top="360" w:right="283" w:bottom="560" w:left="141" w:header="0" w:footer="378" w:gutter="0"/>
          <w:pgNumType w:start="111"/>
          <w:cols w:space="720"/>
        </w:sectPr>
      </w:pPr>
    </w:p>
    <w:p w:rsidR="007F6DF9" w:rsidRDefault="00A43FBC">
      <w:pPr>
        <w:pStyle w:val="BodyText"/>
        <w:spacing w:line="244" w:lineRule="exact"/>
        <w:ind w:left="1870"/>
      </w:pPr>
      <w:r>
        <w:rPr>
          <w:color w:val="221F1F"/>
        </w:rPr>
        <w:lastRenderedPageBreak/>
        <w:t>in</w:t>
      </w:r>
      <w:r>
        <w:rPr>
          <w:color w:val="221F1F"/>
          <w:spacing w:val="-4"/>
        </w:rPr>
        <w:t xml:space="preserve"> </w:t>
      </w:r>
      <w:r>
        <w:rPr>
          <w:color w:val="221F1F"/>
        </w:rPr>
        <w:t>accordance</w:t>
      </w:r>
      <w:r>
        <w:rPr>
          <w:color w:val="221F1F"/>
          <w:spacing w:val="-4"/>
        </w:rPr>
        <w:t xml:space="preserve"> </w:t>
      </w:r>
      <w:r>
        <w:rPr>
          <w:color w:val="221F1F"/>
        </w:rPr>
        <w:t>with</w:t>
      </w:r>
      <w:r>
        <w:rPr>
          <w:color w:val="221F1F"/>
          <w:spacing w:val="-4"/>
        </w:rPr>
        <w:t xml:space="preserve"> </w:t>
      </w:r>
      <w:r>
        <w:rPr>
          <w:color w:val="221F1F"/>
        </w:rPr>
        <w:t>Sub-Clause</w:t>
      </w:r>
      <w:r>
        <w:rPr>
          <w:color w:val="221F1F"/>
          <w:spacing w:val="-3"/>
        </w:rPr>
        <w:t xml:space="preserve"> </w:t>
      </w:r>
      <w:r>
        <w:rPr>
          <w:color w:val="221F1F"/>
        </w:rPr>
        <w:t>16.2</w:t>
      </w:r>
      <w:r>
        <w:rPr>
          <w:color w:val="221F1F"/>
          <w:spacing w:val="-6"/>
        </w:rPr>
        <w:t xml:space="preserve"> </w:t>
      </w:r>
      <w:r>
        <w:rPr>
          <w:color w:val="221F1F"/>
        </w:rPr>
        <w:t>[</w:t>
      </w:r>
      <w:proofErr w:type="spellStart"/>
      <w:r>
        <w:rPr>
          <w:color w:val="221F1F"/>
        </w:rPr>
        <w:t>Terminationby</w:t>
      </w:r>
      <w:proofErr w:type="spellEnd"/>
      <w:r>
        <w:rPr>
          <w:color w:val="221F1F"/>
          <w:spacing w:val="-3"/>
        </w:rPr>
        <w:t xml:space="preserve"> </w:t>
      </w:r>
      <w:r>
        <w:rPr>
          <w:color w:val="221F1F"/>
          <w:spacing w:val="-2"/>
        </w:rPr>
        <w:t>Contractor].</w:t>
      </w:r>
    </w:p>
    <w:p w:rsidR="007F6DF9" w:rsidRDefault="007F6DF9">
      <w:pPr>
        <w:pStyle w:val="BodyText"/>
        <w:spacing w:before="107"/>
      </w:pPr>
    </w:p>
    <w:p w:rsidR="007F6DF9" w:rsidRDefault="00A43FBC">
      <w:pPr>
        <w:pStyle w:val="ListParagraph"/>
        <w:numPr>
          <w:ilvl w:val="2"/>
          <w:numId w:val="122"/>
        </w:numPr>
        <w:tabs>
          <w:tab w:val="left" w:pos="1371"/>
          <w:tab w:val="left" w:pos="1383"/>
        </w:tabs>
        <w:spacing w:line="230" w:lineRule="auto"/>
        <w:ind w:left="1383" w:right="563" w:hanging="675"/>
        <w:jc w:val="both"/>
        <w:rPr>
          <w:color w:val="221F1F"/>
        </w:rPr>
      </w:pPr>
      <w:r>
        <w:rPr>
          <w:color w:val="221F1F"/>
        </w:rPr>
        <w:t>Payment of the amount due in each currency shall be made into the bank account, nominated by the Contractor, in the payment country (forth is currency) specified in the Contract.</w:t>
      </w:r>
    </w:p>
    <w:p w:rsidR="007F6DF9" w:rsidRDefault="00A43FBC">
      <w:pPr>
        <w:pStyle w:val="Heading9"/>
        <w:numPr>
          <w:ilvl w:val="1"/>
          <w:numId w:val="122"/>
        </w:numPr>
        <w:tabs>
          <w:tab w:val="left" w:pos="1376"/>
        </w:tabs>
        <w:spacing w:before="236"/>
        <w:ind w:left="1376" w:hanging="668"/>
        <w:rPr>
          <w:color w:val="221F1F"/>
        </w:rPr>
      </w:pPr>
      <w:r>
        <w:rPr>
          <w:color w:val="221F1F"/>
        </w:rPr>
        <w:t>Delayed</w:t>
      </w:r>
      <w:r>
        <w:rPr>
          <w:color w:val="221F1F"/>
          <w:spacing w:val="-1"/>
        </w:rPr>
        <w:t xml:space="preserve"> </w:t>
      </w:r>
      <w:r>
        <w:rPr>
          <w:color w:val="221F1F"/>
          <w:spacing w:val="-2"/>
        </w:rPr>
        <w:t>Payment</w:t>
      </w:r>
    </w:p>
    <w:p w:rsidR="007F6DF9" w:rsidRDefault="007F6DF9">
      <w:pPr>
        <w:pStyle w:val="BodyText"/>
        <w:spacing w:before="104"/>
        <w:rPr>
          <w:b/>
        </w:rPr>
      </w:pPr>
    </w:p>
    <w:p w:rsidR="007F6DF9" w:rsidRDefault="00A43FBC">
      <w:pPr>
        <w:pStyle w:val="ListParagraph"/>
        <w:numPr>
          <w:ilvl w:val="2"/>
          <w:numId w:val="122"/>
        </w:numPr>
        <w:tabs>
          <w:tab w:val="left" w:pos="1371"/>
          <w:tab w:val="left" w:pos="1383"/>
        </w:tabs>
        <w:spacing w:line="230" w:lineRule="auto"/>
        <w:ind w:left="1383" w:right="560" w:hanging="675"/>
        <w:jc w:val="both"/>
        <w:rPr>
          <w:color w:val="221F1F"/>
        </w:rPr>
      </w:pPr>
      <w:r>
        <w:rPr>
          <w:color w:val="221F1F"/>
        </w:rPr>
        <w:t>If the Contractor does not receive payment in accordance with Sub-Clause 14.7 [Payment], the Contractor shall</w:t>
      </w:r>
      <w:r>
        <w:rPr>
          <w:color w:val="221F1F"/>
          <w:spacing w:val="-16"/>
        </w:rPr>
        <w:t xml:space="preserve"> </w:t>
      </w:r>
      <w:r>
        <w:rPr>
          <w:color w:val="221F1F"/>
        </w:rPr>
        <w:t>be</w:t>
      </w:r>
      <w:r>
        <w:rPr>
          <w:color w:val="221F1F"/>
          <w:spacing w:val="-14"/>
        </w:rPr>
        <w:t xml:space="preserve"> </w:t>
      </w:r>
      <w:r>
        <w:rPr>
          <w:color w:val="221F1F"/>
        </w:rPr>
        <w:t>entitled</w:t>
      </w:r>
      <w:r>
        <w:rPr>
          <w:color w:val="221F1F"/>
          <w:spacing w:val="-14"/>
        </w:rPr>
        <w:t xml:space="preserve"> </w:t>
      </w:r>
      <w:r>
        <w:rPr>
          <w:color w:val="221F1F"/>
        </w:rPr>
        <w:t>to</w:t>
      </w:r>
      <w:r>
        <w:rPr>
          <w:color w:val="221F1F"/>
          <w:spacing w:val="-13"/>
        </w:rPr>
        <w:t xml:space="preserve"> </w:t>
      </w:r>
      <w:r>
        <w:rPr>
          <w:color w:val="221F1F"/>
        </w:rPr>
        <w:t>receive</w:t>
      </w:r>
      <w:r>
        <w:rPr>
          <w:color w:val="221F1F"/>
          <w:spacing w:val="-14"/>
        </w:rPr>
        <w:t xml:space="preserve"> </w:t>
      </w:r>
      <w:r>
        <w:rPr>
          <w:color w:val="221F1F"/>
        </w:rPr>
        <w:t>financing</w:t>
      </w:r>
      <w:r>
        <w:rPr>
          <w:color w:val="221F1F"/>
          <w:spacing w:val="-14"/>
        </w:rPr>
        <w:t xml:space="preserve"> </w:t>
      </w:r>
      <w:r>
        <w:rPr>
          <w:color w:val="221F1F"/>
        </w:rPr>
        <w:t>charges</w:t>
      </w:r>
      <w:r>
        <w:rPr>
          <w:color w:val="221F1F"/>
          <w:spacing w:val="-14"/>
        </w:rPr>
        <w:t xml:space="preserve"> </w:t>
      </w:r>
      <w:r>
        <w:rPr>
          <w:color w:val="221F1F"/>
        </w:rPr>
        <w:t>(simple</w:t>
      </w:r>
      <w:r>
        <w:rPr>
          <w:color w:val="221F1F"/>
          <w:spacing w:val="-13"/>
        </w:rPr>
        <w:t xml:space="preserve"> </w:t>
      </w:r>
      <w:r>
        <w:rPr>
          <w:color w:val="221F1F"/>
        </w:rPr>
        <w:t>interest)</w:t>
      </w:r>
      <w:r>
        <w:rPr>
          <w:color w:val="221F1F"/>
          <w:spacing w:val="-14"/>
        </w:rPr>
        <w:t xml:space="preserve"> </w:t>
      </w:r>
      <w:r>
        <w:rPr>
          <w:color w:val="221F1F"/>
        </w:rPr>
        <w:t>monthly</w:t>
      </w:r>
      <w:r>
        <w:rPr>
          <w:color w:val="221F1F"/>
          <w:spacing w:val="-14"/>
        </w:rPr>
        <w:t xml:space="preserve"> </w:t>
      </w:r>
      <w:r>
        <w:rPr>
          <w:color w:val="221F1F"/>
        </w:rPr>
        <w:t>on</w:t>
      </w:r>
      <w:r>
        <w:rPr>
          <w:color w:val="221F1F"/>
          <w:spacing w:val="-14"/>
        </w:rPr>
        <w:t xml:space="preserve"> </w:t>
      </w:r>
      <w:r>
        <w:rPr>
          <w:color w:val="221F1F"/>
        </w:rPr>
        <w:t>the</w:t>
      </w:r>
      <w:r>
        <w:rPr>
          <w:color w:val="221F1F"/>
          <w:spacing w:val="-13"/>
        </w:rPr>
        <w:t xml:space="preserve"> </w:t>
      </w:r>
      <w:r>
        <w:rPr>
          <w:color w:val="221F1F"/>
        </w:rPr>
        <w:t>amount</w:t>
      </w:r>
      <w:r>
        <w:rPr>
          <w:color w:val="221F1F"/>
          <w:spacing w:val="-14"/>
        </w:rPr>
        <w:t xml:space="preserve"> </w:t>
      </w:r>
      <w:r>
        <w:rPr>
          <w:color w:val="221F1F"/>
        </w:rPr>
        <w:t>unpaid</w:t>
      </w:r>
      <w:r>
        <w:rPr>
          <w:color w:val="221F1F"/>
          <w:spacing w:val="-14"/>
        </w:rPr>
        <w:t xml:space="preserve"> </w:t>
      </w:r>
      <w:r>
        <w:rPr>
          <w:color w:val="221F1F"/>
        </w:rPr>
        <w:t>during</w:t>
      </w:r>
      <w:r>
        <w:rPr>
          <w:color w:val="221F1F"/>
          <w:spacing w:val="-14"/>
        </w:rPr>
        <w:t xml:space="preserve"> </w:t>
      </w:r>
      <w:r>
        <w:rPr>
          <w:color w:val="221F1F"/>
        </w:rPr>
        <w:t>the</w:t>
      </w:r>
      <w:r>
        <w:rPr>
          <w:color w:val="221F1F"/>
          <w:spacing w:val="-13"/>
        </w:rPr>
        <w:t xml:space="preserve"> </w:t>
      </w:r>
      <w:r>
        <w:rPr>
          <w:color w:val="221F1F"/>
        </w:rPr>
        <w:t xml:space="preserve">period of delay. This period shall be deemed to commence on the date for payment specified in Sub-Clause 14.7 [Payment], irrespective (in the case of its sub-paragraph (b) of the date on which any Interim Payment Certificate </w:t>
      </w:r>
      <w:proofErr w:type="spellStart"/>
      <w:r>
        <w:rPr>
          <w:color w:val="221F1F"/>
        </w:rPr>
        <w:t>isissued</w:t>
      </w:r>
      <w:proofErr w:type="spellEnd"/>
      <w:r>
        <w:rPr>
          <w:color w:val="221F1F"/>
        </w:rPr>
        <w:t>.</w:t>
      </w:r>
    </w:p>
    <w:p w:rsidR="007F6DF9" w:rsidRDefault="007F6DF9">
      <w:pPr>
        <w:pStyle w:val="BodyText"/>
        <w:spacing w:before="107"/>
      </w:pPr>
    </w:p>
    <w:p w:rsidR="007F6DF9" w:rsidRDefault="00A43FBC">
      <w:pPr>
        <w:pStyle w:val="ListParagraph"/>
        <w:numPr>
          <w:ilvl w:val="2"/>
          <w:numId w:val="122"/>
        </w:numPr>
        <w:tabs>
          <w:tab w:val="left" w:pos="1371"/>
          <w:tab w:val="left" w:pos="1383"/>
        </w:tabs>
        <w:spacing w:before="1" w:line="230" w:lineRule="auto"/>
        <w:ind w:left="1383" w:right="560" w:hanging="675"/>
        <w:jc w:val="both"/>
        <w:rPr>
          <w:color w:val="221F1F"/>
        </w:rPr>
      </w:pPr>
      <w:r>
        <w:rPr>
          <w:color w:val="221F1F"/>
        </w:rPr>
        <w:t>These</w:t>
      </w:r>
      <w:r>
        <w:rPr>
          <w:color w:val="221F1F"/>
          <w:spacing w:val="-2"/>
        </w:rPr>
        <w:t xml:space="preserve"> </w:t>
      </w:r>
      <w:r>
        <w:rPr>
          <w:color w:val="221F1F"/>
        </w:rPr>
        <w:t>financing</w:t>
      </w:r>
      <w:r>
        <w:rPr>
          <w:color w:val="221F1F"/>
          <w:spacing w:val="-2"/>
        </w:rPr>
        <w:t xml:space="preserve"> </w:t>
      </w:r>
      <w:r>
        <w:rPr>
          <w:color w:val="221F1F"/>
        </w:rPr>
        <w:t>charges</w:t>
      </w:r>
      <w:r>
        <w:rPr>
          <w:color w:val="221F1F"/>
          <w:spacing w:val="-1"/>
        </w:rPr>
        <w:t xml:space="preserve"> </w:t>
      </w:r>
      <w:r>
        <w:rPr>
          <w:color w:val="221F1F"/>
        </w:rPr>
        <w:t>shall be</w:t>
      </w:r>
      <w:r>
        <w:rPr>
          <w:color w:val="221F1F"/>
          <w:spacing w:val="-2"/>
        </w:rPr>
        <w:t xml:space="preserve"> </w:t>
      </w:r>
      <w:r>
        <w:rPr>
          <w:color w:val="221F1F"/>
        </w:rPr>
        <w:t>calculated</w:t>
      </w:r>
      <w:r>
        <w:rPr>
          <w:color w:val="221F1F"/>
          <w:spacing w:val="-1"/>
        </w:rPr>
        <w:t xml:space="preserve"> </w:t>
      </w:r>
      <w:r>
        <w:rPr>
          <w:color w:val="221F1F"/>
        </w:rPr>
        <w:t>at</w:t>
      </w:r>
      <w:r>
        <w:rPr>
          <w:color w:val="221F1F"/>
          <w:spacing w:val="-1"/>
        </w:rPr>
        <w:t xml:space="preserve"> </w:t>
      </w:r>
      <w:r>
        <w:rPr>
          <w:color w:val="221F1F"/>
        </w:rPr>
        <w:t>the</w:t>
      </w:r>
      <w:r>
        <w:rPr>
          <w:color w:val="221F1F"/>
          <w:spacing w:val="-2"/>
        </w:rPr>
        <w:t xml:space="preserve"> </w:t>
      </w:r>
      <w:r>
        <w:rPr>
          <w:color w:val="221F1F"/>
        </w:rPr>
        <w:t>annual rate</w:t>
      </w:r>
      <w:r>
        <w:rPr>
          <w:color w:val="221F1F"/>
          <w:spacing w:val="-2"/>
        </w:rPr>
        <w:t xml:space="preserve"> </w:t>
      </w:r>
      <w:r>
        <w:rPr>
          <w:color w:val="221F1F"/>
        </w:rPr>
        <w:t>of</w:t>
      </w:r>
      <w:r>
        <w:rPr>
          <w:color w:val="221F1F"/>
          <w:spacing w:val="-1"/>
        </w:rPr>
        <w:t xml:space="preserve"> </w:t>
      </w:r>
      <w:r>
        <w:rPr>
          <w:color w:val="221F1F"/>
        </w:rPr>
        <w:t>three percentage</w:t>
      </w:r>
      <w:r>
        <w:rPr>
          <w:color w:val="221F1F"/>
          <w:spacing w:val="-1"/>
        </w:rPr>
        <w:t xml:space="preserve"> </w:t>
      </w:r>
      <w:r>
        <w:rPr>
          <w:color w:val="221F1F"/>
        </w:rPr>
        <w:t>points</w:t>
      </w:r>
      <w:r>
        <w:rPr>
          <w:color w:val="221F1F"/>
          <w:spacing w:val="-1"/>
        </w:rPr>
        <w:t xml:space="preserve"> </w:t>
      </w:r>
      <w:r>
        <w:rPr>
          <w:color w:val="221F1F"/>
        </w:rPr>
        <w:t>above</w:t>
      </w:r>
      <w:r>
        <w:rPr>
          <w:color w:val="221F1F"/>
          <w:spacing w:val="-1"/>
        </w:rPr>
        <w:t xml:space="preserve"> </w:t>
      </w:r>
      <w:r>
        <w:rPr>
          <w:color w:val="221F1F"/>
        </w:rPr>
        <w:t>the</w:t>
      </w:r>
      <w:r>
        <w:rPr>
          <w:color w:val="221F1F"/>
          <w:spacing w:val="-2"/>
        </w:rPr>
        <w:t xml:space="preserve"> </w:t>
      </w:r>
      <w:r>
        <w:rPr>
          <w:color w:val="221F1F"/>
        </w:rPr>
        <w:t>mean</w:t>
      </w:r>
      <w:r>
        <w:rPr>
          <w:color w:val="221F1F"/>
          <w:spacing w:val="-2"/>
        </w:rPr>
        <w:t xml:space="preserve"> </w:t>
      </w:r>
      <w:r>
        <w:rPr>
          <w:color w:val="221F1F"/>
        </w:rPr>
        <w:t>rate of</w:t>
      </w:r>
      <w:r>
        <w:rPr>
          <w:color w:val="221F1F"/>
          <w:spacing w:val="-1"/>
        </w:rPr>
        <w:t xml:space="preserve"> </w:t>
      </w:r>
      <w:r>
        <w:rPr>
          <w:color w:val="221F1F"/>
        </w:rPr>
        <w:t>the</w:t>
      </w:r>
      <w:r>
        <w:rPr>
          <w:color w:val="221F1F"/>
          <w:spacing w:val="-1"/>
        </w:rPr>
        <w:t xml:space="preserve"> </w:t>
      </w:r>
      <w:r>
        <w:rPr>
          <w:color w:val="221F1F"/>
        </w:rPr>
        <w:t>Central Bank</w:t>
      </w:r>
      <w:r>
        <w:rPr>
          <w:color w:val="221F1F"/>
          <w:spacing w:val="-1"/>
        </w:rPr>
        <w:t xml:space="preserve"> </w:t>
      </w:r>
      <w:r>
        <w:rPr>
          <w:color w:val="221F1F"/>
        </w:rPr>
        <w:t>in</w:t>
      </w:r>
      <w:r>
        <w:rPr>
          <w:color w:val="221F1F"/>
          <w:spacing w:val="-1"/>
        </w:rPr>
        <w:t xml:space="preserve"> </w:t>
      </w:r>
      <w:r>
        <w:rPr>
          <w:color w:val="221F1F"/>
        </w:rPr>
        <w:t>Kenya of the</w:t>
      </w:r>
      <w:r>
        <w:rPr>
          <w:color w:val="221F1F"/>
          <w:spacing w:val="-1"/>
        </w:rPr>
        <w:t xml:space="preserve"> </w:t>
      </w:r>
      <w:r>
        <w:rPr>
          <w:color w:val="221F1F"/>
        </w:rPr>
        <w:t>currency</w:t>
      </w:r>
      <w:r>
        <w:rPr>
          <w:color w:val="221F1F"/>
          <w:spacing w:val="-1"/>
        </w:rPr>
        <w:t xml:space="preserve"> </w:t>
      </w:r>
      <w:r>
        <w:rPr>
          <w:color w:val="221F1F"/>
        </w:rPr>
        <w:t>of payment,</w:t>
      </w:r>
      <w:r>
        <w:rPr>
          <w:color w:val="221F1F"/>
          <w:spacing w:val="-1"/>
        </w:rPr>
        <w:t xml:space="preserve"> </w:t>
      </w:r>
      <w:r>
        <w:rPr>
          <w:color w:val="221F1F"/>
        </w:rPr>
        <w:t>or if not available, the</w:t>
      </w:r>
      <w:r>
        <w:rPr>
          <w:color w:val="221F1F"/>
          <w:spacing w:val="-1"/>
        </w:rPr>
        <w:t xml:space="preserve"> </w:t>
      </w:r>
      <w:proofErr w:type="spellStart"/>
      <w:r>
        <w:rPr>
          <w:color w:val="221F1F"/>
        </w:rPr>
        <w:t>inter bank</w:t>
      </w:r>
      <w:proofErr w:type="spellEnd"/>
      <w:r>
        <w:rPr>
          <w:color w:val="221F1F"/>
        </w:rPr>
        <w:t xml:space="preserve"> offered</w:t>
      </w:r>
      <w:r>
        <w:rPr>
          <w:color w:val="221F1F"/>
          <w:spacing w:val="-1"/>
        </w:rPr>
        <w:t xml:space="preserve"> </w:t>
      </w:r>
      <w:r>
        <w:rPr>
          <w:color w:val="221F1F"/>
        </w:rPr>
        <w:t>rate,</w:t>
      </w:r>
      <w:r>
        <w:rPr>
          <w:color w:val="221F1F"/>
          <w:spacing w:val="-1"/>
        </w:rPr>
        <w:t xml:space="preserve"> </w:t>
      </w:r>
      <w:r>
        <w:rPr>
          <w:color w:val="221F1F"/>
        </w:rPr>
        <w:t>and shall be paid in such currency.</w:t>
      </w:r>
    </w:p>
    <w:p w:rsidR="007F6DF9" w:rsidRDefault="007F6DF9">
      <w:pPr>
        <w:pStyle w:val="BodyText"/>
        <w:spacing w:before="104"/>
      </w:pPr>
    </w:p>
    <w:p w:rsidR="007F6DF9" w:rsidRDefault="00A43FBC">
      <w:pPr>
        <w:pStyle w:val="ListParagraph"/>
        <w:numPr>
          <w:ilvl w:val="2"/>
          <w:numId w:val="122"/>
        </w:numPr>
        <w:tabs>
          <w:tab w:val="left" w:pos="1371"/>
          <w:tab w:val="left" w:pos="1383"/>
        </w:tabs>
        <w:spacing w:line="232" w:lineRule="auto"/>
        <w:ind w:left="1383" w:right="561" w:hanging="675"/>
        <w:jc w:val="both"/>
        <w:rPr>
          <w:color w:val="221F1F"/>
        </w:rPr>
      </w:pPr>
      <w:r>
        <w:rPr>
          <w:color w:val="221F1F"/>
        </w:rPr>
        <w:t>The</w:t>
      </w:r>
      <w:r>
        <w:rPr>
          <w:color w:val="221F1F"/>
          <w:spacing w:val="-10"/>
        </w:rPr>
        <w:t xml:space="preserve"> </w:t>
      </w:r>
      <w:r>
        <w:rPr>
          <w:color w:val="221F1F"/>
        </w:rPr>
        <w:t>Contractor</w:t>
      </w:r>
      <w:r>
        <w:rPr>
          <w:color w:val="221F1F"/>
          <w:spacing w:val="-10"/>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entitled</w:t>
      </w:r>
      <w:r>
        <w:rPr>
          <w:color w:val="221F1F"/>
          <w:spacing w:val="-11"/>
        </w:rPr>
        <w:t xml:space="preserve"> </w:t>
      </w:r>
      <w:r>
        <w:rPr>
          <w:color w:val="221F1F"/>
        </w:rPr>
        <w:t>to</w:t>
      </w:r>
      <w:r>
        <w:rPr>
          <w:color w:val="221F1F"/>
          <w:spacing w:val="-12"/>
        </w:rPr>
        <w:t xml:space="preserve"> </w:t>
      </w:r>
      <w:r>
        <w:rPr>
          <w:color w:val="221F1F"/>
        </w:rPr>
        <w:t>this</w:t>
      </w:r>
      <w:r>
        <w:rPr>
          <w:color w:val="221F1F"/>
          <w:spacing w:val="-10"/>
        </w:rPr>
        <w:t xml:space="preserve"> </w:t>
      </w:r>
      <w:r>
        <w:rPr>
          <w:color w:val="221F1F"/>
        </w:rPr>
        <w:t>payment</w:t>
      </w:r>
      <w:r>
        <w:rPr>
          <w:color w:val="221F1F"/>
          <w:spacing w:val="-10"/>
        </w:rPr>
        <w:t xml:space="preserve"> </w:t>
      </w:r>
      <w:r>
        <w:rPr>
          <w:color w:val="221F1F"/>
        </w:rPr>
        <w:t>without</w:t>
      </w:r>
      <w:r>
        <w:rPr>
          <w:color w:val="221F1F"/>
          <w:spacing w:val="-10"/>
        </w:rPr>
        <w:t xml:space="preserve"> </w:t>
      </w:r>
      <w:r>
        <w:rPr>
          <w:color w:val="221F1F"/>
        </w:rPr>
        <w:t>formal</w:t>
      </w:r>
      <w:r>
        <w:rPr>
          <w:color w:val="221F1F"/>
          <w:spacing w:val="-10"/>
        </w:rPr>
        <w:t xml:space="preserve"> </w:t>
      </w:r>
      <w:r>
        <w:rPr>
          <w:color w:val="221F1F"/>
        </w:rPr>
        <w:t>notice</w:t>
      </w:r>
      <w:r>
        <w:rPr>
          <w:color w:val="221F1F"/>
          <w:spacing w:val="-10"/>
        </w:rPr>
        <w:t xml:space="preserve"> </w:t>
      </w:r>
      <w:r>
        <w:rPr>
          <w:color w:val="221F1F"/>
        </w:rPr>
        <w:t>and</w:t>
      </w:r>
      <w:r>
        <w:rPr>
          <w:color w:val="221F1F"/>
          <w:spacing w:val="-10"/>
        </w:rPr>
        <w:t xml:space="preserve"> </w:t>
      </w:r>
      <w:r>
        <w:rPr>
          <w:color w:val="221F1F"/>
        </w:rPr>
        <w:t>certification,</w:t>
      </w:r>
      <w:r>
        <w:rPr>
          <w:color w:val="221F1F"/>
          <w:spacing w:val="-11"/>
        </w:rPr>
        <w:t xml:space="preserve"> </w:t>
      </w:r>
      <w:r>
        <w:rPr>
          <w:color w:val="221F1F"/>
        </w:rPr>
        <w:t>and</w:t>
      </w:r>
      <w:r>
        <w:rPr>
          <w:color w:val="221F1F"/>
          <w:spacing w:val="-10"/>
        </w:rPr>
        <w:t xml:space="preserve"> </w:t>
      </w:r>
      <w:r>
        <w:rPr>
          <w:color w:val="221F1F"/>
        </w:rPr>
        <w:t>without</w:t>
      </w:r>
      <w:r>
        <w:rPr>
          <w:color w:val="221F1F"/>
          <w:spacing w:val="-11"/>
        </w:rPr>
        <w:t xml:space="preserve"> </w:t>
      </w:r>
      <w:r>
        <w:rPr>
          <w:color w:val="221F1F"/>
        </w:rPr>
        <w:t>prejudice to any other right or remedy.</w:t>
      </w:r>
    </w:p>
    <w:p w:rsidR="007F6DF9" w:rsidRDefault="00A43FBC">
      <w:pPr>
        <w:pStyle w:val="Heading9"/>
        <w:numPr>
          <w:ilvl w:val="1"/>
          <w:numId w:val="122"/>
        </w:numPr>
        <w:tabs>
          <w:tab w:val="left" w:pos="1376"/>
        </w:tabs>
        <w:spacing w:before="235"/>
        <w:ind w:left="1376" w:hanging="668"/>
        <w:rPr>
          <w:color w:val="221F1F"/>
        </w:rPr>
      </w:pPr>
      <w:r>
        <w:rPr>
          <w:color w:val="221F1F"/>
        </w:rPr>
        <w:t>Payment</w:t>
      </w:r>
      <w:r>
        <w:rPr>
          <w:color w:val="221F1F"/>
          <w:spacing w:val="-3"/>
        </w:rPr>
        <w:t xml:space="preserve"> </w:t>
      </w:r>
      <w:r>
        <w:rPr>
          <w:color w:val="221F1F"/>
        </w:rPr>
        <w:t>of</w:t>
      </w:r>
      <w:r>
        <w:rPr>
          <w:color w:val="221F1F"/>
          <w:spacing w:val="-4"/>
        </w:rPr>
        <w:t xml:space="preserve"> </w:t>
      </w:r>
      <w:r>
        <w:rPr>
          <w:color w:val="221F1F"/>
        </w:rPr>
        <w:t>Retention</w:t>
      </w:r>
      <w:r>
        <w:rPr>
          <w:color w:val="221F1F"/>
          <w:spacing w:val="-3"/>
        </w:rPr>
        <w:t xml:space="preserve"> </w:t>
      </w:r>
      <w:r>
        <w:rPr>
          <w:color w:val="221F1F"/>
          <w:spacing w:val="-2"/>
        </w:rPr>
        <w:t>Money</w:t>
      </w:r>
    </w:p>
    <w:p w:rsidR="007F6DF9" w:rsidRDefault="007F6DF9">
      <w:pPr>
        <w:pStyle w:val="BodyText"/>
        <w:spacing w:before="102"/>
        <w:rPr>
          <w:b/>
        </w:rPr>
      </w:pPr>
    </w:p>
    <w:p w:rsidR="007F6DF9" w:rsidRDefault="00A43FBC">
      <w:pPr>
        <w:pStyle w:val="ListParagraph"/>
        <w:numPr>
          <w:ilvl w:val="2"/>
          <w:numId w:val="122"/>
        </w:numPr>
        <w:tabs>
          <w:tab w:val="left" w:pos="1371"/>
          <w:tab w:val="left" w:pos="1383"/>
        </w:tabs>
        <w:spacing w:line="230" w:lineRule="auto"/>
        <w:ind w:left="1383" w:right="560" w:hanging="675"/>
        <w:jc w:val="both"/>
        <w:rPr>
          <w:color w:val="221F1F"/>
        </w:rPr>
      </w:pPr>
      <w:r>
        <w:rPr>
          <w:color w:val="221F1F"/>
        </w:rPr>
        <w:t>When</w:t>
      </w:r>
      <w:r>
        <w:rPr>
          <w:color w:val="221F1F"/>
          <w:spacing w:val="-1"/>
        </w:rPr>
        <w:t xml:space="preserve"> </w:t>
      </w:r>
      <w:r>
        <w:rPr>
          <w:color w:val="221F1F"/>
        </w:rPr>
        <w:t>the Taking-Over Certificate has been</w:t>
      </w:r>
      <w:r>
        <w:rPr>
          <w:color w:val="221F1F"/>
          <w:spacing w:val="-1"/>
        </w:rPr>
        <w:t xml:space="preserve"> </w:t>
      </w:r>
      <w:r>
        <w:rPr>
          <w:color w:val="221F1F"/>
        </w:rPr>
        <w:t>issued for the Works,</w:t>
      </w:r>
      <w:r>
        <w:rPr>
          <w:color w:val="221F1F"/>
          <w:spacing w:val="-6"/>
        </w:rPr>
        <w:t xml:space="preserve"> </w:t>
      </w:r>
      <w:r>
        <w:rPr>
          <w:color w:val="221F1F"/>
        </w:rPr>
        <w:t>the first half of the Retention Money</w:t>
      </w:r>
      <w:r>
        <w:rPr>
          <w:color w:val="221F1F"/>
          <w:spacing w:val="-1"/>
        </w:rPr>
        <w:t xml:space="preserve"> </w:t>
      </w:r>
      <w:r>
        <w:rPr>
          <w:color w:val="221F1F"/>
        </w:rPr>
        <w:t>shall be</w:t>
      </w:r>
      <w:r>
        <w:rPr>
          <w:color w:val="221F1F"/>
          <w:spacing w:val="-11"/>
        </w:rPr>
        <w:t xml:space="preserve"> </w:t>
      </w:r>
      <w:r>
        <w:rPr>
          <w:color w:val="221F1F"/>
        </w:rPr>
        <w:t>certified</w:t>
      </w:r>
      <w:r>
        <w:rPr>
          <w:color w:val="221F1F"/>
          <w:spacing w:val="-11"/>
        </w:rPr>
        <w:t xml:space="preserve"> </w:t>
      </w:r>
      <w:r>
        <w:rPr>
          <w:color w:val="221F1F"/>
        </w:rPr>
        <w:t>by</w:t>
      </w:r>
      <w:r>
        <w:rPr>
          <w:color w:val="221F1F"/>
          <w:spacing w:val="-13"/>
        </w:rPr>
        <w:t xml:space="preserve"> </w:t>
      </w:r>
      <w:r>
        <w:rPr>
          <w:color w:val="221F1F"/>
        </w:rPr>
        <w:t>the</w:t>
      </w:r>
      <w:r>
        <w:rPr>
          <w:color w:val="221F1F"/>
          <w:spacing w:val="-11"/>
        </w:rPr>
        <w:t xml:space="preserve"> </w:t>
      </w:r>
      <w:r>
        <w:rPr>
          <w:color w:val="221F1F"/>
        </w:rPr>
        <w:t>Architect</w:t>
      </w:r>
      <w:r>
        <w:rPr>
          <w:color w:val="221F1F"/>
          <w:spacing w:val="-11"/>
        </w:rPr>
        <w:t xml:space="preserve"> </w:t>
      </w:r>
      <w:r>
        <w:rPr>
          <w:color w:val="221F1F"/>
        </w:rPr>
        <w:t>for</w:t>
      </w:r>
      <w:r>
        <w:rPr>
          <w:color w:val="221F1F"/>
          <w:spacing w:val="-10"/>
        </w:rPr>
        <w:t xml:space="preserve"> </w:t>
      </w:r>
      <w:r>
        <w:rPr>
          <w:color w:val="221F1F"/>
        </w:rPr>
        <w:t>payment</w:t>
      </w:r>
      <w:r>
        <w:rPr>
          <w:color w:val="221F1F"/>
          <w:spacing w:val="-12"/>
        </w:rPr>
        <w:t xml:space="preserve"> </w:t>
      </w:r>
      <w:r>
        <w:rPr>
          <w:color w:val="221F1F"/>
        </w:rPr>
        <w:t>to</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1"/>
        </w:rPr>
        <w:t xml:space="preserve"> </w:t>
      </w:r>
      <w:r>
        <w:rPr>
          <w:color w:val="221F1F"/>
        </w:rPr>
        <w:t>If</w:t>
      </w:r>
      <w:r>
        <w:rPr>
          <w:color w:val="221F1F"/>
          <w:spacing w:val="-12"/>
        </w:rPr>
        <w:t xml:space="preserve"> </w:t>
      </w:r>
      <w:r>
        <w:rPr>
          <w:color w:val="221F1F"/>
        </w:rPr>
        <w:t>a</w:t>
      </w:r>
      <w:r>
        <w:rPr>
          <w:color w:val="221F1F"/>
          <w:spacing w:val="-11"/>
        </w:rPr>
        <w:t xml:space="preserve"> </w:t>
      </w:r>
      <w:r>
        <w:rPr>
          <w:color w:val="221F1F"/>
        </w:rPr>
        <w:t>Taking-Over</w:t>
      </w:r>
      <w:r>
        <w:rPr>
          <w:color w:val="221F1F"/>
          <w:spacing w:val="-10"/>
        </w:rPr>
        <w:t xml:space="preserve"> </w:t>
      </w:r>
      <w:r>
        <w:rPr>
          <w:color w:val="221F1F"/>
        </w:rPr>
        <w:t>Certificate</w:t>
      </w:r>
      <w:r>
        <w:rPr>
          <w:color w:val="221F1F"/>
          <w:spacing w:val="-12"/>
        </w:rPr>
        <w:t xml:space="preserve"> </w:t>
      </w:r>
      <w:r>
        <w:rPr>
          <w:color w:val="221F1F"/>
        </w:rPr>
        <w:t>is</w:t>
      </w:r>
      <w:r>
        <w:rPr>
          <w:color w:val="221F1F"/>
          <w:spacing w:val="-12"/>
        </w:rPr>
        <w:t xml:space="preserve"> </w:t>
      </w:r>
      <w:r>
        <w:rPr>
          <w:color w:val="221F1F"/>
        </w:rPr>
        <w:t>issued</w:t>
      </w:r>
      <w:r>
        <w:rPr>
          <w:color w:val="221F1F"/>
          <w:spacing w:val="-12"/>
        </w:rPr>
        <w:t xml:space="preserve"> </w:t>
      </w:r>
      <w:r>
        <w:rPr>
          <w:color w:val="221F1F"/>
        </w:rPr>
        <w:t>for</w:t>
      </w:r>
      <w:r>
        <w:rPr>
          <w:color w:val="221F1F"/>
          <w:spacing w:val="-10"/>
        </w:rPr>
        <w:t xml:space="preserve"> </w:t>
      </w:r>
      <w:r>
        <w:rPr>
          <w:color w:val="221F1F"/>
        </w:rPr>
        <w:t>a</w:t>
      </w:r>
      <w:r>
        <w:rPr>
          <w:color w:val="221F1F"/>
          <w:spacing w:val="-12"/>
        </w:rPr>
        <w:t xml:space="preserve"> </w:t>
      </w:r>
      <w:r>
        <w:rPr>
          <w:color w:val="221F1F"/>
        </w:rPr>
        <w:t>Section or part of the Works,</w:t>
      </w:r>
      <w:r>
        <w:rPr>
          <w:color w:val="221F1F"/>
          <w:spacing w:val="-1"/>
        </w:rPr>
        <w:t xml:space="preserve"> </w:t>
      </w:r>
      <w:r>
        <w:rPr>
          <w:color w:val="221F1F"/>
        </w:rPr>
        <w:t>a proportion of the Retention Money shall be certified and paid. This proportion shall behalf (50%) of the proportion calculated by dividing the estimated contract value of the Section or part, by the estimated final Contract Price.</w:t>
      </w:r>
    </w:p>
    <w:p w:rsidR="007F6DF9" w:rsidRDefault="007F6DF9">
      <w:pPr>
        <w:pStyle w:val="BodyText"/>
        <w:spacing w:before="109"/>
      </w:pPr>
    </w:p>
    <w:p w:rsidR="007F6DF9" w:rsidRDefault="00A43FBC">
      <w:pPr>
        <w:pStyle w:val="ListParagraph"/>
        <w:numPr>
          <w:ilvl w:val="2"/>
          <w:numId w:val="122"/>
        </w:numPr>
        <w:tabs>
          <w:tab w:val="left" w:pos="1371"/>
          <w:tab w:val="left" w:pos="1383"/>
        </w:tabs>
        <w:spacing w:before="1" w:line="230" w:lineRule="auto"/>
        <w:ind w:left="1383" w:right="560" w:hanging="675"/>
        <w:jc w:val="both"/>
        <w:rPr>
          <w:color w:val="221F1F"/>
        </w:rPr>
      </w:pPr>
      <w:r>
        <w:rPr>
          <w:color w:val="221F1F"/>
        </w:rPr>
        <w:t xml:space="preserve">Promptly after the latest of the expiry dates of the Defects Liability Periods, the outstanding balance of the </w:t>
      </w:r>
      <w:r>
        <w:rPr>
          <w:color w:val="221F1F"/>
          <w:spacing w:val="-2"/>
        </w:rPr>
        <w:t>Retention</w:t>
      </w:r>
      <w:r>
        <w:rPr>
          <w:color w:val="221F1F"/>
          <w:spacing w:val="-5"/>
        </w:rPr>
        <w:t xml:space="preserve"> </w:t>
      </w:r>
      <w:r>
        <w:rPr>
          <w:color w:val="221F1F"/>
          <w:spacing w:val="-2"/>
        </w:rPr>
        <w:t>Money</w:t>
      </w:r>
      <w:r>
        <w:rPr>
          <w:color w:val="221F1F"/>
          <w:spacing w:val="-6"/>
        </w:rPr>
        <w:t xml:space="preserve"> </w:t>
      </w:r>
      <w:r>
        <w:rPr>
          <w:color w:val="221F1F"/>
          <w:spacing w:val="-2"/>
        </w:rPr>
        <w:t>shall</w:t>
      </w:r>
      <w:r>
        <w:rPr>
          <w:color w:val="221F1F"/>
          <w:spacing w:val="-4"/>
        </w:rPr>
        <w:t xml:space="preserve"> </w:t>
      </w:r>
      <w:r>
        <w:rPr>
          <w:color w:val="221F1F"/>
          <w:spacing w:val="-2"/>
        </w:rPr>
        <w:t>be</w:t>
      </w:r>
      <w:r>
        <w:rPr>
          <w:color w:val="221F1F"/>
          <w:spacing w:val="-7"/>
        </w:rPr>
        <w:t xml:space="preserve"> </w:t>
      </w:r>
      <w:r>
        <w:rPr>
          <w:color w:val="221F1F"/>
          <w:spacing w:val="-2"/>
        </w:rPr>
        <w:t>certified</w:t>
      </w:r>
      <w:r>
        <w:rPr>
          <w:color w:val="221F1F"/>
          <w:spacing w:val="-5"/>
        </w:rPr>
        <w:t xml:space="preserve"> </w:t>
      </w:r>
      <w:r>
        <w:rPr>
          <w:color w:val="221F1F"/>
          <w:spacing w:val="-2"/>
        </w:rPr>
        <w:t>by</w:t>
      </w:r>
      <w:r>
        <w:rPr>
          <w:color w:val="221F1F"/>
          <w:spacing w:val="-9"/>
        </w:rPr>
        <w:t xml:space="preserve"> </w:t>
      </w:r>
      <w:r>
        <w:rPr>
          <w:color w:val="221F1F"/>
          <w:spacing w:val="-2"/>
        </w:rPr>
        <w:t>the</w:t>
      </w:r>
      <w:r>
        <w:rPr>
          <w:color w:val="221F1F"/>
          <w:spacing w:val="-5"/>
        </w:rPr>
        <w:t xml:space="preserve"> </w:t>
      </w:r>
      <w:r>
        <w:rPr>
          <w:color w:val="221F1F"/>
          <w:spacing w:val="-2"/>
        </w:rPr>
        <w:t>Architect</w:t>
      </w:r>
      <w:r>
        <w:rPr>
          <w:color w:val="221F1F"/>
          <w:spacing w:val="-4"/>
        </w:rPr>
        <w:t xml:space="preserve"> </w:t>
      </w:r>
      <w:r>
        <w:rPr>
          <w:color w:val="221F1F"/>
          <w:spacing w:val="-2"/>
        </w:rPr>
        <w:t>for</w:t>
      </w:r>
      <w:r>
        <w:rPr>
          <w:color w:val="221F1F"/>
          <w:spacing w:val="-7"/>
        </w:rPr>
        <w:t xml:space="preserve"> </w:t>
      </w:r>
      <w:r>
        <w:rPr>
          <w:color w:val="221F1F"/>
          <w:spacing w:val="-2"/>
        </w:rPr>
        <w:t>payment</w:t>
      </w:r>
      <w:r>
        <w:rPr>
          <w:color w:val="221F1F"/>
          <w:spacing w:val="-6"/>
        </w:rPr>
        <w:t xml:space="preserve"> </w:t>
      </w:r>
      <w:r>
        <w:rPr>
          <w:color w:val="221F1F"/>
          <w:spacing w:val="-2"/>
        </w:rPr>
        <w:t>to</w:t>
      </w:r>
      <w:r>
        <w:rPr>
          <w:color w:val="221F1F"/>
          <w:spacing w:val="-6"/>
        </w:rPr>
        <w:t xml:space="preserve"> </w:t>
      </w:r>
      <w:r>
        <w:rPr>
          <w:color w:val="221F1F"/>
          <w:spacing w:val="-2"/>
        </w:rPr>
        <w:t>the</w:t>
      </w:r>
      <w:r>
        <w:rPr>
          <w:color w:val="221F1F"/>
          <w:spacing w:val="-5"/>
        </w:rPr>
        <w:t xml:space="preserve"> </w:t>
      </w:r>
      <w:r>
        <w:rPr>
          <w:color w:val="221F1F"/>
          <w:spacing w:val="-2"/>
        </w:rPr>
        <w:t>Contractor.</w:t>
      </w:r>
      <w:r>
        <w:rPr>
          <w:color w:val="221F1F"/>
          <w:spacing w:val="-5"/>
        </w:rPr>
        <w:t xml:space="preserve"> </w:t>
      </w:r>
      <w:r>
        <w:rPr>
          <w:color w:val="221F1F"/>
          <w:spacing w:val="-2"/>
        </w:rPr>
        <w:t>If</w:t>
      </w:r>
      <w:r>
        <w:rPr>
          <w:color w:val="221F1F"/>
          <w:spacing w:val="-4"/>
        </w:rPr>
        <w:t xml:space="preserve"> </w:t>
      </w:r>
      <w:r>
        <w:rPr>
          <w:color w:val="221F1F"/>
          <w:spacing w:val="-2"/>
        </w:rPr>
        <w:t>a</w:t>
      </w:r>
      <w:r>
        <w:rPr>
          <w:color w:val="221F1F"/>
          <w:spacing w:val="-5"/>
        </w:rPr>
        <w:t xml:space="preserve"> </w:t>
      </w:r>
      <w:r>
        <w:rPr>
          <w:color w:val="221F1F"/>
          <w:spacing w:val="-2"/>
        </w:rPr>
        <w:t>Taking-Over</w:t>
      </w:r>
      <w:r>
        <w:rPr>
          <w:color w:val="221F1F"/>
          <w:spacing w:val="-4"/>
        </w:rPr>
        <w:t xml:space="preserve"> </w:t>
      </w:r>
      <w:r>
        <w:rPr>
          <w:color w:val="221F1F"/>
          <w:spacing w:val="-2"/>
        </w:rPr>
        <w:t xml:space="preserve">Certificate </w:t>
      </w:r>
      <w:r>
        <w:rPr>
          <w:color w:val="221F1F"/>
        </w:rPr>
        <w:t>was issued for a Section, a proportion of the second half of the Retention Money shall be certified and paid promptly</w:t>
      </w:r>
      <w:r>
        <w:rPr>
          <w:color w:val="221F1F"/>
          <w:spacing w:val="-4"/>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expiry</w:t>
      </w:r>
      <w:r>
        <w:rPr>
          <w:color w:val="221F1F"/>
          <w:spacing w:val="-4"/>
        </w:rPr>
        <w:t xml:space="preserve"> </w:t>
      </w:r>
      <w:r>
        <w:rPr>
          <w:color w:val="221F1F"/>
        </w:rPr>
        <w:t>date</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Defects</w:t>
      </w:r>
      <w:r>
        <w:rPr>
          <w:color w:val="221F1F"/>
          <w:spacing w:val="-4"/>
        </w:rPr>
        <w:t xml:space="preserve"> </w:t>
      </w:r>
      <w:r>
        <w:rPr>
          <w:color w:val="221F1F"/>
        </w:rPr>
        <w:t>Notification</w:t>
      </w:r>
      <w:r>
        <w:rPr>
          <w:color w:val="221F1F"/>
          <w:spacing w:val="-4"/>
        </w:rPr>
        <w:t xml:space="preserve"> </w:t>
      </w:r>
      <w:r>
        <w:rPr>
          <w:color w:val="221F1F"/>
        </w:rPr>
        <w:t>Period</w:t>
      </w:r>
      <w:r>
        <w:rPr>
          <w:color w:val="221F1F"/>
          <w:spacing w:val="-5"/>
        </w:rPr>
        <w:t xml:space="preserve"> </w:t>
      </w:r>
      <w:r>
        <w:rPr>
          <w:color w:val="221F1F"/>
        </w:rPr>
        <w:t>for</w:t>
      </w:r>
      <w:r>
        <w:rPr>
          <w:color w:val="221F1F"/>
          <w:spacing w:val="-6"/>
        </w:rPr>
        <w:t xml:space="preserve"> </w:t>
      </w:r>
      <w:r>
        <w:rPr>
          <w:color w:val="221F1F"/>
        </w:rPr>
        <w:t>the</w:t>
      </w:r>
      <w:r>
        <w:rPr>
          <w:color w:val="221F1F"/>
          <w:spacing w:val="-4"/>
        </w:rPr>
        <w:t xml:space="preserve"> </w:t>
      </w:r>
      <w:r>
        <w:rPr>
          <w:color w:val="221F1F"/>
        </w:rPr>
        <w:t>Section.</w:t>
      </w:r>
      <w:r>
        <w:rPr>
          <w:color w:val="221F1F"/>
          <w:spacing w:val="-5"/>
        </w:rPr>
        <w:t xml:space="preserve"> </w:t>
      </w:r>
      <w:r>
        <w:rPr>
          <w:color w:val="221F1F"/>
        </w:rPr>
        <w:t>This</w:t>
      </w:r>
      <w:r>
        <w:rPr>
          <w:color w:val="221F1F"/>
          <w:spacing w:val="-3"/>
        </w:rPr>
        <w:t xml:space="preserve"> </w:t>
      </w:r>
      <w:r>
        <w:rPr>
          <w:color w:val="221F1F"/>
        </w:rPr>
        <w:t>proportion</w:t>
      </w:r>
      <w:r>
        <w:rPr>
          <w:color w:val="221F1F"/>
          <w:spacing w:val="-5"/>
        </w:rPr>
        <w:t xml:space="preserve"> </w:t>
      </w:r>
      <w:r>
        <w:rPr>
          <w:color w:val="221F1F"/>
        </w:rPr>
        <w:t>shall</w:t>
      </w:r>
      <w:r>
        <w:rPr>
          <w:color w:val="221F1F"/>
          <w:spacing w:val="-3"/>
        </w:rPr>
        <w:t xml:space="preserve"> </w:t>
      </w:r>
      <w:r>
        <w:rPr>
          <w:color w:val="221F1F"/>
        </w:rPr>
        <w:t>behalf (50%) of the proportion calculated by dividing the estimated contract value of the Section by the estimated final Contract Price.</w:t>
      </w:r>
    </w:p>
    <w:p w:rsidR="007F6DF9" w:rsidRDefault="007F6DF9">
      <w:pPr>
        <w:pStyle w:val="BodyText"/>
        <w:spacing w:before="107"/>
      </w:pPr>
    </w:p>
    <w:p w:rsidR="007F6DF9" w:rsidRDefault="00A43FBC">
      <w:pPr>
        <w:pStyle w:val="ListParagraph"/>
        <w:numPr>
          <w:ilvl w:val="2"/>
          <w:numId w:val="122"/>
        </w:numPr>
        <w:tabs>
          <w:tab w:val="left" w:pos="1371"/>
          <w:tab w:val="left" w:pos="1383"/>
        </w:tabs>
        <w:spacing w:line="230" w:lineRule="auto"/>
        <w:ind w:left="1383" w:right="564" w:hanging="675"/>
        <w:jc w:val="both"/>
        <w:rPr>
          <w:color w:val="221F1F"/>
        </w:rPr>
      </w:pPr>
      <w:r>
        <w:rPr>
          <w:color w:val="221F1F"/>
        </w:rPr>
        <w:t>However, if any work remains to be executed under Clause 11 [Defects Liability], the Architects hall be entitled to withhold certification of the estimated cost of this work until it has been executed.</w:t>
      </w:r>
    </w:p>
    <w:p w:rsidR="007F6DF9" w:rsidRDefault="007F6DF9">
      <w:pPr>
        <w:pStyle w:val="BodyText"/>
        <w:spacing w:before="106"/>
      </w:pPr>
    </w:p>
    <w:p w:rsidR="007F6DF9" w:rsidRDefault="00A43FBC">
      <w:pPr>
        <w:pStyle w:val="ListParagraph"/>
        <w:numPr>
          <w:ilvl w:val="2"/>
          <w:numId w:val="122"/>
        </w:numPr>
        <w:tabs>
          <w:tab w:val="left" w:pos="1371"/>
          <w:tab w:val="left" w:pos="1383"/>
        </w:tabs>
        <w:spacing w:line="230" w:lineRule="auto"/>
        <w:ind w:left="1383" w:right="560" w:hanging="675"/>
        <w:jc w:val="both"/>
        <w:rPr>
          <w:color w:val="221F1F"/>
        </w:rPr>
      </w:pPr>
      <w:r>
        <w:rPr>
          <w:color w:val="221F1F"/>
        </w:rPr>
        <w:t>When calculating these proportions, no account shall be taken of any adjustments under Sub-Clause 13.7 [Adjustments for Changes in Legislation] and Sub-Clause13.8 [Adjustments for Changes in Cost].</w:t>
      </w:r>
    </w:p>
    <w:p w:rsidR="007F6DF9" w:rsidRDefault="00A43FBC">
      <w:pPr>
        <w:pStyle w:val="ListParagraph"/>
        <w:numPr>
          <w:ilvl w:val="2"/>
          <w:numId w:val="122"/>
        </w:numPr>
        <w:tabs>
          <w:tab w:val="left" w:pos="1371"/>
          <w:tab w:val="left" w:pos="1383"/>
        </w:tabs>
        <w:spacing w:before="246" w:line="230" w:lineRule="auto"/>
        <w:ind w:left="1383" w:right="561" w:hanging="675"/>
        <w:jc w:val="both"/>
        <w:rPr>
          <w:color w:val="221F1F"/>
        </w:rPr>
      </w:pPr>
      <w:r>
        <w:rPr>
          <w:color w:val="221F1F"/>
        </w:rPr>
        <w:t xml:space="preserve">Unless otherwise stated in the Special Conditions, when the Taking-Over Certificate has been issued for the </w:t>
      </w:r>
      <w:r>
        <w:rPr>
          <w:color w:val="221F1F"/>
          <w:spacing w:val="-2"/>
        </w:rPr>
        <w:t>Works</w:t>
      </w:r>
      <w:r>
        <w:rPr>
          <w:color w:val="221F1F"/>
          <w:spacing w:val="-12"/>
        </w:rPr>
        <w:t xml:space="preserve"> </w:t>
      </w:r>
      <w:r>
        <w:rPr>
          <w:color w:val="221F1F"/>
          <w:spacing w:val="-2"/>
        </w:rPr>
        <w:t>and</w:t>
      </w:r>
      <w:r>
        <w:rPr>
          <w:color w:val="221F1F"/>
          <w:spacing w:val="-7"/>
        </w:rPr>
        <w:t xml:space="preserve"> </w:t>
      </w:r>
      <w:r>
        <w:rPr>
          <w:color w:val="221F1F"/>
          <w:spacing w:val="-2"/>
        </w:rPr>
        <w:t>the</w:t>
      </w:r>
      <w:r>
        <w:rPr>
          <w:color w:val="221F1F"/>
          <w:spacing w:val="-6"/>
        </w:rPr>
        <w:t xml:space="preserve"> </w:t>
      </w:r>
      <w:r>
        <w:rPr>
          <w:color w:val="221F1F"/>
          <w:spacing w:val="-2"/>
        </w:rPr>
        <w:t>first</w:t>
      </w:r>
      <w:r>
        <w:rPr>
          <w:color w:val="221F1F"/>
          <w:spacing w:val="-4"/>
        </w:rPr>
        <w:t xml:space="preserve"> </w:t>
      </w:r>
      <w:r>
        <w:rPr>
          <w:color w:val="221F1F"/>
          <w:spacing w:val="-2"/>
        </w:rPr>
        <w:t>half</w:t>
      </w:r>
      <w:r>
        <w:rPr>
          <w:color w:val="221F1F"/>
          <w:spacing w:val="-4"/>
        </w:rPr>
        <w:t xml:space="preserve"> </w:t>
      </w:r>
      <w:r>
        <w:rPr>
          <w:color w:val="221F1F"/>
          <w:spacing w:val="-2"/>
        </w:rPr>
        <w:t>of</w:t>
      </w:r>
      <w:r>
        <w:rPr>
          <w:color w:val="221F1F"/>
          <w:spacing w:val="-4"/>
        </w:rPr>
        <w:t xml:space="preserve"> </w:t>
      </w:r>
      <w:r>
        <w:rPr>
          <w:color w:val="221F1F"/>
          <w:spacing w:val="-2"/>
        </w:rPr>
        <w:t>the</w:t>
      </w:r>
      <w:r>
        <w:rPr>
          <w:color w:val="221F1F"/>
          <w:spacing w:val="-6"/>
        </w:rPr>
        <w:t xml:space="preserve"> </w:t>
      </w:r>
      <w:r>
        <w:rPr>
          <w:color w:val="221F1F"/>
          <w:spacing w:val="-2"/>
        </w:rPr>
        <w:t>Retention</w:t>
      </w:r>
      <w:r>
        <w:rPr>
          <w:color w:val="221F1F"/>
          <w:spacing w:val="-6"/>
        </w:rPr>
        <w:t xml:space="preserve"> </w:t>
      </w:r>
      <w:r>
        <w:rPr>
          <w:color w:val="221F1F"/>
          <w:spacing w:val="-2"/>
        </w:rPr>
        <w:t>Money</w:t>
      </w:r>
      <w:r>
        <w:rPr>
          <w:color w:val="221F1F"/>
          <w:spacing w:val="-6"/>
        </w:rPr>
        <w:t xml:space="preserve"> </w:t>
      </w:r>
      <w:r>
        <w:rPr>
          <w:color w:val="221F1F"/>
          <w:spacing w:val="-2"/>
        </w:rPr>
        <w:t>has</w:t>
      </w:r>
      <w:r>
        <w:rPr>
          <w:color w:val="221F1F"/>
          <w:spacing w:val="-6"/>
        </w:rPr>
        <w:t xml:space="preserve"> </w:t>
      </w:r>
      <w:r>
        <w:rPr>
          <w:color w:val="221F1F"/>
          <w:spacing w:val="-2"/>
        </w:rPr>
        <w:t>been</w:t>
      </w:r>
      <w:r>
        <w:rPr>
          <w:color w:val="221F1F"/>
          <w:spacing w:val="-6"/>
        </w:rPr>
        <w:t xml:space="preserve"> </w:t>
      </w:r>
      <w:r>
        <w:rPr>
          <w:color w:val="221F1F"/>
          <w:spacing w:val="-2"/>
        </w:rPr>
        <w:t>certified</w:t>
      </w:r>
      <w:r>
        <w:rPr>
          <w:color w:val="221F1F"/>
          <w:spacing w:val="-4"/>
        </w:rPr>
        <w:t xml:space="preserve"> </w:t>
      </w:r>
      <w:r>
        <w:rPr>
          <w:color w:val="221F1F"/>
          <w:spacing w:val="-2"/>
        </w:rPr>
        <w:t>for</w:t>
      </w:r>
      <w:r>
        <w:rPr>
          <w:color w:val="221F1F"/>
          <w:spacing w:val="-4"/>
        </w:rPr>
        <w:t xml:space="preserve"> </w:t>
      </w:r>
      <w:r>
        <w:rPr>
          <w:color w:val="221F1F"/>
          <w:spacing w:val="-2"/>
        </w:rPr>
        <w:t>payment</w:t>
      </w:r>
      <w:r>
        <w:rPr>
          <w:color w:val="221F1F"/>
          <w:spacing w:val="-4"/>
        </w:rPr>
        <w:t xml:space="preserve"> </w:t>
      </w:r>
      <w:r>
        <w:rPr>
          <w:color w:val="221F1F"/>
          <w:spacing w:val="-2"/>
        </w:rPr>
        <w:t>by</w:t>
      </w:r>
      <w:r>
        <w:rPr>
          <w:color w:val="221F1F"/>
          <w:spacing w:val="-9"/>
        </w:rPr>
        <w:t xml:space="preserve"> </w:t>
      </w:r>
      <w:r>
        <w:rPr>
          <w:color w:val="221F1F"/>
          <w:spacing w:val="-2"/>
        </w:rPr>
        <w:t>the</w:t>
      </w:r>
      <w:r>
        <w:rPr>
          <w:color w:val="221F1F"/>
          <w:spacing w:val="-4"/>
        </w:rPr>
        <w:t xml:space="preserve"> </w:t>
      </w:r>
      <w:r>
        <w:rPr>
          <w:color w:val="221F1F"/>
          <w:spacing w:val="-2"/>
        </w:rPr>
        <w:t>Engineer,</w:t>
      </w:r>
      <w:r>
        <w:rPr>
          <w:color w:val="221F1F"/>
          <w:spacing w:val="-8"/>
        </w:rPr>
        <w:t xml:space="preserve"> </w:t>
      </w:r>
      <w:r>
        <w:rPr>
          <w:color w:val="221F1F"/>
          <w:spacing w:val="-2"/>
        </w:rPr>
        <w:t>the</w:t>
      </w:r>
      <w:r>
        <w:rPr>
          <w:color w:val="221F1F"/>
          <w:spacing w:val="-6"/>
        </w:rPr>
        <w:t xml:space="preserve"> </w:t>
      </w:r>
      <w:r>
        <w:rPr>
          <w:color w:val="221F1F"/>
          <w:spacing w:val="-2"/>
        </w:rPr>
        <w:t xml:space="preserve">Contractor </w:t>
      </w:r>
      <w:r>
        <w:rPr>
          <w:color w:val="221F1F"/>
        </w:rPr>
        <w:t>shall be entitled to substitute a Retention Money Security guarantee, in the form annexed to the Special Conditions or in another form approved by the Procuring Entity and issued by a reputable bank or financial institution selected by the Contractor, for the second half of the Retention Money.</w:t>
      </w:r>
    </w:p>
    <w:p w:rsidR="007F6DF9" w:rsidRDefault="007F6DF9">
      <w:pPr>
        <w:pStyle w:val="BodyText"/>
      </w:pPr>
    </w:p>
    <w:p w:rsidR="007F6DF9" w:rsidRDefault="00A43FBC">
      <w:pPr>
        <w:pStyle w:val="ListParagraph"/>
        <w:numPr>
          <w:ilvl w:val="2"/>
          <w:numId w:val="122"/>
        </w:numPr>
        <w:tabs>
          <w:tab w:val="left" w:pos="1462"/>
          <w:tab w:val="left" w:pos="1467"/>
        </w:tabs>
        <w:spacing w:line="230" w:lineRule="auto"/>
        <w:ind w:left="1467" w:right="569" w:hanging="759"/>
        <w:jc w:val="both"/>
        <w:rPr>
          <w:color w:val="221F1F"/>
        </w:rPr>
      </w:pPr>
      <w:r>
        <w:rPr>
          <w:color w:val="221F1F"/>
        </w:rPr>
        <w:t>The Procuring Entity shall return</w:t>
      </w:r>
      <w:r>
        <w:rPr>
          <w:color w:val="221F1F"/>
          <w:spacing w:val="-1"/>
        </w:rPr>
        <w:t xml:space="preserve"> </w:t>
      </w:r>
      <w:r>
        <w:rPr>
          <w:color w:val="221F1F"/>
        </w:rPr>
        <w:t>the Retention Money</w:t>
      </w:r>
      <w:r>
        <w:rPr>
          <w:color w:val="221F1F"/>
          <w:spacing w:val="-1"/>
        </w:rPr>
        <w:t xml:space="preserve"> </w:t>
      </w:r>
      <w:r>
        <w:rPr>
          <w:color w:val="221F1F"/>
        </w:rPr>
        <w:t>Security</w:t>
      </w:r>
      <w:r>
        <w:rPr>
          <w:color w:val="221F1F"/>
          <w:spacing w:val="-1"/>
        </w:rPr>
        <w:t xml:space="preserve"> </w:t>
      </w:r>
      <w:r>
        <w:rPr>
          <w:color w:val="221F1F"/>
        </w:rPr>
        <w:t>guarantee</w:t>
      </w:r>
      <w:r>
        <w:rPr>
          <w:color w:val="221F1F"/>
          <w:spacing w:val="-1"/>
        </w:rPr>
        <w:t xml:space="preserve"> </w:t>
      </w:r>
      <w:r>
        <w:rPr>
          <w:color w:val="221F1F"/>
        </w:rPr>
        <w:t>to the</w:t>
      </w:r>
      <w:r>
        <w:rPr>
          <w:color w:val="221F1F"/>
          <w:spacing w:val="-1"/>
        </w:rPr>
        <w:t xml:space="preserve"> </w:t>
      </w:r>
      <w:r>
        <w:rPr>
          <w:color w:val="221F1F"/>
        </w:rPr>
        <w:t>Contractor within 14 days after receiving a copy of the Completion Certificate.</w:t>
      </w:r>
    </w:p>
    <w:p w:rsidR="007F6DF9" w:rsidRDefault="00A43FBC">
      <w:pPr>
        <w:pStyle w:val="Heading9"/>
        <w:numPr>
          <w:ilvl w:val="1"/>
          <w:numId w:val="122"/>
        </w:numPr>
        <w:tabs>
          <w:tab w:val="left" w:pos="1467"/>
        </w:tabs>
        <w:spacing w:before="235"/>
        <w:ind w:left="1467" w:hanging="759"/>
        <w:rPr>
          <w:color w:val="221F1F"/>
        </w:rPr>
      </w:pPr>
      <w:r>
        <w:rPr>
          <w:color w:val="221F1F"/>
        </w:rPr>
        <w:t>Statement</w:t>
      </w:r>
      <w:r>
        <w:rPr>
          <w:color w:val="221F1F"/>
          <w:spacing w:val="-3"/>
        </w:rPr>
        <w:t xml:space="preserve"> </w:t>
      </w:r>
      <w:r>
        <w:rPr>
          <w:color w:val="221F1F"/>
        </w:rPr>
        <w:t>at</w:t>
      </w:r>
      <w:r>
        <w:rPr>
          <w:color w:val="221F1F"/>
          <w:spacing w:val="-2"/>
        </w:rPr>
        <w:t xml:space="preserve"> Completion</w:t>
      </w:r>
    </w:p>
    <w:p w:rsidR="007F6DF9" w:rsidRDefault="007F6DF9">
      <w:pPr>
        <w:pStyle w:val="BodyText"/>
        <w:spacing w:before="107"/>
        <w:rPr>
          <w:b/>
        </w:rPr>
      </w:pPr>
    </w:p>
    <w:p w:rsidR="007F6DF9" w:rsidRDefault="00A43FBC">
      <w:pPr>
        <w:pStyle w:val="ListParagraph"/>
        <w:numPr>
          <w:ilvl w:val="2"/>
          <w:numId w:val="122"/>
        </w:numPr>
        <w:tabs>
          <w:tab w:val="left" w:pos="1461"/>
          <w:tab w:val="left" w:pos="1467"/>
        </w:tabs>
        <w:spacing w:before="1" w:line="230" w:lineRule="auto"/>
        <w:ind w:left="1467" w:right="558" w:hanging="759"/>
        <w:jc w:val="both"/>
        <w:rPr>
          <w:color w:val="221F1F"/>
        </w:rPr>
      </w:pPr>
      <w:r>
        <w:rPr>
          <w:color w:val="221F1F"/>
        </w:rPr>
        <w:t>Within</w:t>
      </w:r>
      <w:r>
        <w:rPr>
          <w:color w:val="221F1F"/>
          <w:spacing w:val="-6"/>
        </w:rPr>
        <w:t xml:space="preserve"> </w:t>
      </w:r>
      <w:r>
        <w:rPr>
          <w:color w:val="221F1F"/>
        </w:rPr>
        <w:t>84</w:t>
      </w:r>
      <w:r>
        <w:rPr>
          <w:color w:val="221F1F"/>
          <w:spacing w:val="-6"/>
        </w:rPr>
        <w:t xml:space="preserve"> </w:t>
      </w:r>
      <w:r>
        <w:rPr>
          <w:color w:val="221F1F"/>
        </w:rPr>
        <w:t>days</w:t>
      </w:r>
      <w:r>
        <w:rPr>
          <w:color w:val="221F1F"/>
          <w:spacing w:val="-5"/>
        </w:rPr>
        <w:t xml:space="preserve"> </w:t>
      </w:r>
      <w:r>
        <w:rPr>
          <w:color w:val="221F1F"/>
        </w:rPr>
        <w:t>after</w:t>
      </w:r>
      <w:r>
        <w:rPr>
          <w:color w:val="221F1F"/>
          <w:spacing w:val="-5"/>
        </w:rPr>
        <w:t xml:space="preserve"> </w:t>
      </w:r>
      <w:r>
        <w:rPr>
          <w:color w:val="221F1F"/>
        </w:rPr>
        <w:t>receiving</w:t>
      </w:r>
      <w:r>
        <w:rPr>
          <w:color w:val="221F1F"/>
          <w:spacing w:val="-3"/>
        </w:rPr>
        <w:t xml:space="preserve"> </w:t>
      </w:r>
      <w:r>
        <w:rPr>
          <w:color w:val="221F1F"/>
        </w:rPr>
        <w:t>the</w:t>
      </w:r>
      <w:r>
        <w:rPr>
          <w:color w:val="221F1F"/>
          <w:spacing w:val="-3"/>
        </w:rPr>
        <w:t xml:space="preserve"> </w:t>
      </w:r>
      <w:r>
        <w:rPr>
          <w:color w:val="221F1F"/>
        </w:rPr>
        <w:t>Taking-Over</w:t>
      </w:r>
      <w:r>
        <w:rPr>
          <w:color w:val="221F1F"/>
          <w:spacing w:val="-3"/>
        </w:rPr>
        <w:t xml:space="preserve"> </w:t>
      </w:r>
      <w:r>
        <w:rPr>
          <w:color w:val="221F1F"/>
        </w:rPr>
        <w:t>Certificate</w:t>
      </w:r>
      <w:r>
        <w:rPr>
          <w:color w:val="221F1F"/>
          <w:spacing w:val="-5"/>
        </w:rPr>
        <w:t xml:space="preserve"> </w:t>
      </w:r>
      <w:r>
        <w:rPr>
          <w:color w:val="221F1F"/>
        </w:rPr>
        <w:t>for</w:t>
      </w:r>
      <w:r>
        <w:rPr>
          <w:color w:val="221F1F"/>
          <w:spacing w:val="-5"/>
        </w:rPr>
        <w:t xml:space="preserve"> </w:t>
      </w:r>
      <w:r>
        <w:rPr>
          <w:color w:val="221F1F"/>
        </w:rPr>
        <w:t>the</w:t>
      </w:r>
      <w:r>
        <w:rPr>
          <w:color w:val="221F1F"/>
          <w:spacing w:val="-4"/>
        </w:rPr>
        <w:t xml:space="preserve"> </w:t>
      </w:r>
      <w:r>
        <w:rPr>
          <w:color w:val="221F1F"/>
        </w:rPr>
        <w:t>Works,</w:t>
      </w:r>
      <w:r>
        <w:rPr>
          <w:color w:val="221F1F"/>
          <w:spacing w:val="-10"/>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5"/>
        </w:rPr>
        <w:t xml:space="preserve"> </w:t>
      </w:r>
      <w:r>
        <w:rPr>
          <w:color w:val="221F1F"/>
        </w:rPr>
        <w:t>submit</w:t>
      </w:r>
      <w:r>
        <w:rPr>
          <w:color w:val="221F1F"/>
          <w:spacing w:val="-5"/>
        </w:rPr>
        <w:t xml:space="preserve"> </w:t>
      </w:r>
      <w:r>
        <w:rPr>
          <w:color w:val="221F1F"/>
        </w:rPr>
        <w:t>to</w:t>
      </w:r>
      <w:r>
        <w:rPr>
          <w:color w:val="221F1F"/>
          <w:spacing w:val="-3"/>
        </w:rPr>
        <w:t xml:space="preserve"> </w:t>
      </w:r>
      <w:r>
        <w:rPr>
          <w:color w:val="221F1F"/>
        </w:rPr>
        <w:t>the Architect three copies of a Statement at completion with supporting documents, in accordance with Sub-Clause 14.3 [Application for Interim Payment Certificates], showing:</w:t>
      </w:r>
    </w:p>
    <w:p w:rsidR="007F6DF9" w:rsidRDefault="00A43FBC">
      <w:pPr>
        <w:pStyle w:val="ListParagraph"/>
        <w:numPr>
          <w:ilvl w:val="0"/>
          <w:numId w:val="69"/>
        </w:numPr>
        <w:tabs>
          <w:tab w:val="left" w:pos="1867"/>
          <w:tab w:val="left" w:pos="1880"/>
        </w:tabs>
        <w:spacing w:line="230" w:lineRule="auto"/>
        <w:ind w:right="901" w:hanging="492"/>
        <w:jc w:val="both"/>
      </w:pPr>
      <w:r>
        <w:rPr>
          <w:color w:val="221F1F"/>
        </w:rPr>
        <w:t>the</w:t>
      </w:r>
      <w:r>
        <w:rPr>
          <w:color w:val="221F1F"/>
          <w:spacing w:val="-1"/>
        </w:rPr>
        <w:t xml:space="preserve"> </w:t>
      </w:r>
      <w:r>
        <w:rPr>
          <w:color w:val="221F1F"/>
        </w:rPr>
        <w:t>value</w:t>
      </w:r>
      <w:r>
        <w:rPr>
          <w:color w:val="221F1F"/>
          <w:spacing w:val="-1"/>
        </w:rPr>
        <w:t xml:space="preserve"> </w:t>
      </w:r>
      <w:r>
        <w:rPr>
          <w:color w:val="221F1F"/>
        </w:rPr>
        <w:t>of</w:t>
      </w:r>
      <w:r>
        <w:rPr>
          <w:color w:val="221F1F"/>
          <w:spacing w:val="-3"/>
        </w:rPr>
        <w:t xml:space="preserve"> </w:t>
      </w:r>
      <w:r>
        <w:rPr>
          <w:color w:val="221F1F"/>
        </w:rPr>
        <w:t>all work</w:t>
      </w:r>
      <w:r>
        <w:rPr>
          <w:color w:val="221F1F"/>
          <w:spacing w:val="-4"/>
        </w:rPr>
        <w:t xml:space="preserve"> </w:t>
      </w:r>
      <w:r>
        <w:rPr>
          <w:color w:val="221F1F"/>
        </w:rPr>
        <w:t>done</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 Contract up</w:t>
      </w:r>
      <w:r>
        <w:rPr>
          <w:color w:val="221F1F"/>
          <w:spacing w:val="-4"/>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date</w:t>
      </w:r>
      <w:r>
        <w:rPr>
          <w:color w:val="221F1F"/>
          <w:spacing w:val="-3"/>
        </w:rPr>
        <w:t xml:space="preserve"> </w:t>
      </w:r>
      <w:r>
        <w:rPr>
          <w:color w:val="221F1F"/>
        </w:rPr>
        <w:t>stated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Taking-Over Certificate for the Works,</w:t>
      </w:r>
    </w:p>
    <w:p w:rsidR="007F6DF9" w:rsidRDefault="00A43FBC">
      <w:pPr>
        <w:pStyle w:val="ListParagraph"/>
        <w:numPr>
          <w:ilvl w:val="0"/>
          <w:numId w:val="69"/>
        </w:numPr>
        <w:tabs>
          <w:tab w:val="left" w:pos="1867"/>
        </w:tabs>
        <w:spacing w:line="235" w:lineRule="exact"/>
        <w:ind w:left="1867" w:hanging="479"/>
        <w:jc w:val="both"/>
      </w:pPr>
      <w:r>
        <w:rPr>
          <w:color w:val="221F1F"/>
        </w:rPr>
        <w:t>any</w:t>
      </w:r>
      <w:r>
        <w:rPr>
          <w:color w:val="221F1F"/>
          <w:spacing w:val="-3"/>
        </w:rPr>
        <w:t xml:space="preserve"> </w:t>
      </w:r>
      <w:r>
        <w:rPr>
          <w:color w:val="221F1F"/>
        </w:rPr>
        <w:t>further</w:t>
      </w:r>
      <w:r>
        <w:rPr>
          <w:color w:val="221F1F"/>
          <w:spacing w:val="-3"/>
        </w:rPr>
        <w:t xml:space="preserve"> </w:t>
      </w:r>
      <w:r>
        <w:rPr>
          <w:color w:val="221F1F"/>
        </w:rPr>
        <w:t>sums</w:t>
      </w:r>
      <w:r>
        <w:rPr>
          <w:color w:val="221F1F"/>
          <w:spacing w:val="-3"/>
        </w:rPr>
        <w:t xml:space="preserve"> </w:t>
      </w:r>
      <w:r>
        <w:rPr>
          <w:color w:val="221F1F"/>
        </w:rPr>
        <w:t>which</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considers</w:t>
      </w:r>
      <w:r>
        <w:rPr>
          <w:color w:val="221F1F"/>
          <w:spacing w:val="-1"/>
        </w:rPr>
        <w:t xml:space="preserve"> </w:t>
      </w:r>
      <w:r>
        <w:rPr>
          <w:color w:val="221F1F"/>
        </w:rPr>
        <w:t>to</w:t>
      </w:r>
      <w:r>
        <w:rPr>
          <w:color w:val="221F1F"/>
          <w:spacing w:val="-3"/>
        </w:rPr>
        <w:t xml:space="preserve"> </w:t>
      </w:r>
      <w:r>
        <w:rPr>
          <w:color w:val="221F1F"/>
        </w:rPr>
        <w:t>be</w:t>
      </w:r>
      <w:r>
        <w:rPr>
          <w:color w:val="221F1F"/>
          <w:spacing w:val="-4"/>
        </w:rPr>
        <w:t xml:space="preserve"> </w:t>
      </w:r>
      <w:r>
        <w:rPr>
          <w:color w:val="221F1F"/>
        </w:rPr>
        <w:t>due,</w:t>
      </w:r>
      <w:r>
        <w:rPr>
          <w:color w:val="221F1F"/>
          <w:spacing w:val="-2"/>
        </w:rPr>
        <w:t xml:space="preserve"> </w:t>
      </w:r>
      <w:r>
        <w:rPr>
          <w:color w:val="221F1F"/>
          <w:spacing w:val="-5"/>
        </w:rPr>
        <w:t>and</w:t>
      </w:r>
    </w:p>
    <w:p w:rsidR="007F6DF9" w:rsidRDefault="00A43FBC">
      <w:pPr>
        <w:pStyle w:val="ListParagraph"/>
        <w:numPr>
          <w:ilvl w:val="0"/>
          <w:numId w:val="69"/>
        </w:numPr>
        <w:tabs>
          <w:tab w:val="left" w:pos="1867"/>
          <w:tab w:val="left" w:pos="1880"/>
        </w:tabs>
        <w:spacing w:before="3" w:line="230" w:lineRule="auto"/>
        <w:ind w:right="889" w:hanging="492"/>
        <w:jc w:val="both"/>
      </w:pPr>
      <w:r>
        <w:rPr>
          <w:color w:val="221F1F"/>
        </w:rPr>
        <w:t>an</w:t>
      </w:r>
      <w:r>
        <w:rPr>
          <w:color w:val="221F1F"/>
          <w:spacing w:val="-2"/>
        </w:rPr>
        <w:t xml:space="preserve"> </w:t>
      </w:r>
      <w:r>
        <w:rPr>
          <w:color w:val="221F1F"/>
        </w:rPr>
        <w:t>estimate</w:t>
      </w:r>
      <w:r>
        <w:rPr>
          <w:color w:val="221F1F"/>
          <w:spacing w:val="-2"/>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other</w:t>
      </w:r>
      <w:r>
        <w:rPr>
          <w:color w:val="221F1F"/>
          <w:spacing w:val="-4"/>
        </w:rPr>
        <w:t xml:space="preserve"> </w:t>
      </w:r>
      <w:r>
        <w:rPr>
          <w:color w:val="221F1F"/>
        </w:rPr>
        <w:t>amounts</w:t>
      </w:r>
      <w:r>
        <w:rPr>
          <w:color w:val="221F1F"/>
          <w:spacing w:val="-2"/>
        </w:rPr>
        <w:t xml:space="preserve"> </w:t>
      </w:r>
      <w:r>
        <w:rPr>
          <w:color w:val="221F1F"/>
        </w:rPr>
        <w:t>which</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considers</w:t>
      </w:r>
      <w:r>
        <w:rPr>
          <w:color w:val="221F1F"/>
          <w:spacing w:val="-2"/>
        </w:rPr>
        <w:t xml:space="preserve"> </w:t>
      </w:r>
      <w:r>
        <w:rPr>
          <w:color w:val="221F1F"/>
        </w:rPr>
        <w:t>will</w:t>
      </w:r>
      <w:r>
        <w:rPr>
          <w:color w:val="221F1F"/>
          <w:spacing w:val="-1"/>
        </w:rPr>
        <w:t xml:space="preserve"> </w:t>
      </w:r>
      <w:r>
        <w:rPr>
          <w:color w:val="221F1F"/>
        </w:rPr>
        <w:t>become</w:t>
      </w:r>
      <w:r>
        <w:rPr>
          <w:color w:val="221F1F"/>
          <w:spacing w:val="-4"/>
        </w:rPr>
        <w:t xml:space="preserve"> </w:t>
      </w:r>
      <w:r>
        <w:rPr>
          <w:color w:val="221F1F"/>
        </w:rPr>
        <w:t>due</w:t>
      </w:r>
      <w:r>
        <w:rPr>
          <w:color w:val="221F1F"/>
          <w:spacing w:val="-4"/>
        </w:rPr>
        <w:t xml:space="preserve"> </w:t>
      </w:r>
      <w:r>
        <w:rPr>
          <w:color w:val="221F1F"/>
        </w:rPr>
        <w:t>to</w:t>
      </w:r>
      <w:r>
        <w:rPr>
          <w:color w:val="221F1F"/>
          <w:spacing w:val="-2"/>
        </w:rPr>
        <w:t xml:space="preserve"> </w:t>
      </w:r>
      <w:r>
        <w:rPr>
          <w:color w:val="221F1F"/>
        </w:rPr>
        <w:t>him</w:t>
      </w:r>
      <w:r>
        <w:rPr>
          <w:color w:val="221F1F"/>
          <w:spacing w:val="-1"/>
        </w:rPr>
        <w:t xml:space="preserve"> </w:t>
      </w:r>
      <w:r>
        <w:rPr>
          <w:color w:val="221F1F"/>
        </w:rPr>
        <w:t>under the Contract. Estimated amounts shall be shown separately in this Statement at completion.</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93"/>
      </w:pPr>
    </w:p>
    <w:p w:rsidR="007F6DF9" w:rsidRDefault="00A43FBC">
      <w:pPr>
        <w:pStyle w:val="ListParagraph"/>
        <w:numPr>
          <w:ilvl w:val="2"/>
          <w:numId w:val="122"/>
        </w:numPr>
        <w:tabs>
          <w:tab w:val="left" w:pos="1467"/>
        </w:tabs>
        <w:ind w:left="1467" w:hanging="759"/>
        <w:rPr>
          <w:color w:val="221F1F"/>
        </w:rPr>
      </w:pPr>
      <w:r>
        <w:rPr>
          <w:color w:val="221F1F"/>
        </w:rPr>
        <w:t>The</w:t>
      </w:r>
      <w:r>
        <w:rPr>
          <w:color w:val="221F1F"/>
          <w:spacing w:val="-6"/>
        </w:rPr>
        <w:t xml:space="preserve"> </w:t>
      </w:r>
      <w:r>
        <w:rPr>
          <w:color w:val="221F1F"/>
        </w:rPr>
        <w:t>Architect</w:t>
      </w:r>
      <w:r>
        <w:rPr>
          <w:color w:val="221F1F"/>
          <w:spacing w:val="-3"/>
        </w:rPr>
        <w:t xml:space="preserve"> </w:t>
      </w:r>
      <w:r>
        <w:rPr>
          <w:color w:val="221F1F"/>
        </w:rPr>
        <w:t>shall</w:t>
      </w:r>
      <w:r>
        <w:rPr>
          <w:color w:val="221F1F"/>
          <w:spacing w:val="-5"/>
        </w:rPr>
        <w:t xml:space="preserve"> </w:t>
      </w:r>
      <w:r>
        <w:rPr>
          <w:color w:val="221F1F"/>
        </w:rPr>
        <w:t>then</w:t>
      </w:r>
      <w:r>
        <w:rPr>
          <w:color w:val="221F1F"/>
          <w:spacing w:val="-2"/>
        </w:rPr>
        <w:t xml:space="preserve"> </w:t>
      </w:r>
      <w:r>
        <w:rPr>
          <w:color w:val="221F1F"/>
        </w:rPr>
        <w:t>certify</w:t>
      </w:r>
      <w:r>
        <w:rPr>
          <w:color w:val="221F1F"/>
          <w:spacing w:val="-4"/>
        </w:rPr>
        <w:t xml:space="preserve"> </w:t>
      </w:r>
      <w:r>
        <w:rPr>
          <w:color w:val="221F1F"/>
        </w:rPr>
        <w:t>in</w:t>
      </w:r>
      <w:r>
        <w:rPr>
          <w:color w:val="221F1F"/>
          <w:spacing w:val="-7"/>
        </w:rPr>
        <w:t xml:space="preserve"> </w:t>
      </w:r>
      <w:r>
        <w:rPr>
          <w:color w:val="221F1F"/>
        </w:rPr>
        <w:t>accordance</w:t>
      </w:r>
      <w:r>
        <w:rPr>
          <w:color w:val="221F1F"/>
          <w:spacing w:val="-3"/>
        </w:rPr>
        <w:t xml:space="preserve"> </w:t>
      </w:r>
      <w:r>
        <w:rPr>
          <w:color w:val="221F1F"/>
        </w:rPr>
        <w:t>with</w:t>
      </w:r>
      <w:r>
        <w:rPr>
          <w:color w:val="221F1F"/>
          <w:spacing w:val="-5"/>
        </w:rPr>
        <w:t xml:space="preserve"> </w:t>
      </w:r>
      <w:r>
        <w:rPr>
          <w:color w:val="221F1F"/>
        </w:rPr>
        <w:t>Sub-Clause</w:t>
      </w:r>
      <w:r>
        <w:rPr>
          <w:color w:val="221F1F"/>
          <w:spacing w:val="-3"/>
        </w:rPr>
        <w:t xml:space="preserve"> </w:t>
      </w:r>
      <w:r>
        <w:rPr>
          <w:color w:val="221F1F"/>
        </w:rPr>
        <w:t>14.6</w:t>
      </w:r>
      <w:r>
        <w:rPr>
          <w:color w:val="221F1F"/>
          <w:spacing w:val="-4"/>
        </w:rPr>
        <w:t xml:space="preserve"> </w:t>
      </w:r>
      <w:r>
        <w:rPr>
          <w:color w:val="221F1F"/>
        </w:rPr>
        <w:t>[Issue</w:t>
      </w:r>
      <w:r>
        <w:rPr>
          <w:color w:val="221F1F"/>
          <w:spacing w:val="-3"/>
        </w:rPr>
        <w:t xml:space="preserve"> </w:t>
      </w:r>
      <w:r>
        <w:rPr>
          <w:color w:val="221F1F"/>
        </w:rPr>
        <w:t>of</w:t>
      </w:r>
      <w:r>
        <w:rPr>
          <w:color w:val="221F1F"/>
          <w:spacing w:val="-6"/>
        </w:rPr>
        <w:t xml:space="preserve"> </w:t>
      </w:r>
      <w:r>
        <w:rPr>
          <w:color w:val="221F1F"/>
        </w:rPr>
        <w:t>Interim</w:t>
      </w:r>
      <w:r>
        <w:rPr>
          <w:color w:val="221F1F"/>
          <w:spacing w:val="-2"/>
        </w:rPr>
        <w:t xml:space="preserve"> </w:t>
      </w:r>
      <w:r>
        <w:rPr>
          <w:color w:val="221F1F"/>
        </w:rPr>
        <w:t>Payment</w:t>
      </w:r>
      <w:r>
        <w:rPr>
          <w:color w:val="221F1F"/>
          <w:spacing w:val="-4"/>
        </w:rPr>
        <w:t xml:space="preserve"> </w:t>
      </w:r>
      <w:r>
        <w:rPr>
          <w:color w:val="221F1F"/>
          <w:spacing w:val="-2"/>
        </w:rPr>
        <w:t>Certificates].</w:t>
      </w:r>
    </w:p>
    <w:p w:rsidR="007F6DF9" w:rsidRDefault="00A43FBC">
      <w:pPr>
        <w:pStyle w:val="Heading9"/>
        <w:numPr>
          <w:ilvl w:val="1"/>
          <w:numId w:val="122"/>
        </w:numPr>
        <w:tabs>
          <w:tab w:val="left" w:pos="1467"/>
        </w:tabs>
        <w:spacing w:before="232"/>
        <w:ind w:left="1467" w:hanging="759"/>
        <w:rPr>
          <w:color w:val="221F1F"/>
        </w:rPr>
      </w:pPr>
      <w:r>
        <w:rPr>
          <w:color w:val="221F1F"/>
        </w:rPr>
        <w:t>Application</w:t>
      </w:r>
      <w:r>
        <w:rPr>
          <w:color w:val="221F1F"/>
          <w:spacing w:val="-4"/>
        </w:rPr>
        <w:t xml:space="preserve"> </w:t>
      </w:r>
      <w:r>
        <w:rPr>
          <w:color w:val="221F1F"/>
        </w:rPr>
        <w:t>for</w:t>
      </w:r>
      <w:r>
        <w:rPr>
          <w:color w:val="221F1F"/>
          <w:spacing w:val="-4"/>
        </w:rPr>
        <w:t xml:space="preserve"> </w:t>
      </w:r>
      <w:r>
        <w:rPr>
          <w:color w:val="221F1F"/>
        </w:rPr>
        <w:t>Final</w:t>
      </w:r>
      <w:r>
        <w:rPr>
          <w:color w:val="221F1F"/>
          <w:spacing w:val="-4"/>
        </w:rPr>
        <w:t xml:space="preserve"> </w:t>
      </w:r>
      <w:r>
        <w:rPr>
          <w:color w:val="221F1F"/>
        </w:rPr>
        <w:t>Payment</w:t>
      </w:r>
      <w:r>
        <w:rPr>
          <w:color w:val="221F1F"/>
          <w:spacing w:val="-4"/>
        </w:rPr>
        <w:t xml:space="preserve"> </w:t>
      </w:r>
      <w:r>
        <w:rPr>
          <w:color w:val="221F1F"/>
          <w:spacing w:val="-2"/>
        </w:rPr>
        <w:t>Certificate</w:t>
      </w:r>
    </w:p>
    <w:p w:rsidR="007F6DF9" w:rsidRDefault="007F6DF9">
      <w:pPr>
        <w:pStyle w:val="BodyText"/>
        <w:spacing w:before="105"/>
        <w:rPr>
          <w:b/>
        </w:rPr>
      </w:pPr>
    </w:p>
    <w:p w:rsidR="007F6DF9" w:rsidRDefault="00A43FBC">
      <w:pPr>
        <w:pStyle w:val="ListParagraph"/>
        <w:numPr>
          <w:ilvl w:val="2"/>
          <w:numId w:val="122"/>
        </w:numPr>
        <w:tabs>
          <w:tab w:val="left" w:pos="1461"/>
          <w:tab w:val="left" w:pos="1467"/>
        </w:tabs>
        <w:spacing w:line="230" w:lineRule="auto"/>
        <w:ind w:left="1467" w:right="567" w:hanging="759"/>
        <w:jc w:val="both"/>
        <w:rPr>
          <w:color w:val="221F1F"/>
        </w:rPr>
      </w:pPr>
      <w:r>
        <w:rPr>
          <w:color w:val="221F1F"/>
        </w:rPr>
        <w:t xml:space="preserve">Within 60 days after receiving the Completion Certificate, the Contractor shall submit, to the Engineer, six copies of a draft final statement with supporting documents showing in detail in a form approved by the </w:t>
      </w:r>
      <w:r>
        <w:rPr>
          <w:color w:val="221F1F"/>
          <w:spacing w:val="-2"/>
        </w:rPr>
        <w:t>Engineer:</w:t>
      </w:r>
    </w:p>
    <w:p w:rsidR="007F6DF9" w:rsidRDefault="00A43FBC">
      <w:pPr>
        <w:pStyle w:val="ListParagraph"/>
        <w:numPr>
          <w:ilvl w:val="0"/>
          <w:numId w:val="68"/>
        </w:numPr>
        <w:tabs>
          <w:tab w:val="left" w:pos="1866"/>
        </w:tabs>
        <w:spacing w:before="41" w:line="251" w:lineRule="exact"/>
        <w:ind w:left="1866" w:hanging="399"/>
        <w:jc w:val="both"/>
        <w:rPr>
          <w:color w:val="221F1F"/>
        </w:rPr>
      </w:pPr>
      <w:r>
        <w:rPr>
          <w:color w:val="221F1F"/>
        </w:rPr>
        <w:t>The</w:t>
      </w:r>
      <w:r>
        <w:rPr>
          <w:color w:val="221F1F"/>
          <w:spacing w:val="-3"/>
        </w:rPr>
        <w:t xml:space="preserve"> </w:t>
      </w:r>
      <w:r>
        <w:rPr>
          <w:color w:val="221F1F"/>
        </w:rPr>
        <w:t>value</w:t>
      </w:r>
      <w:r>
        <w:rPr>
          <w:color w:val="221F1F"/>
          <w:spacing w:val="-3"/>
        </w:rPr>
        <w:t xml:space="preserve"> </w:t>
      </w:r>
      <w:r>
        <w:rPr>
          <w:color w:val="221F1F"/>
        </w:rPr>
        <w:t>of</w:t>
      </w:r>
      <w:r>
        <w:rPr>
          <w:color w:val="221F1F"/>
          <w:spacing w:val="-3"/>
        </w:rPr>
        <w:t xml:space="preserve"> </w:t>
      </w:r>
      <w:r>
        <w:rPr>
          <w:color w:val="221F1F"/>
        </w:rPr>
        <w:t>all</w:t>
      </w:r>
      <w:r>
        <w:rPr>
          <w:color w:val="221F1F"/>
          <w:spacing w:val="-2"/>
        </w:rPr>
        <w:t xml:space="preserve"> </w:t>
      </w:r>
      <w:r>
        <w:rPr>
          <w:color w:val="221F1F"/>
        </w:rPr>
        <w:t>work</w:t>
      </w:r>
      <w:r>
        <w:rPr>
          <w:color w:val="221F1F"/>
          <w:spacing w:val="-2"/>
        </w:rPr>
        <w:t xml:space="preserve"> </w:t>
      </w:r>
      <w:r>
        <w:rPr>
          <w:color w:val="221F1F"/>
        </w:rPr>
        <w:t>done</w:t>
      </w:r>
      <w:r>
        <w:rPr>
          <w:color w:val="221F1F"/>
          <w:spacing w:val="-5"/>
        </w:rPr>
        <w:t xml:space="preserve"> </w:t>
      </w:r>
      <w:r>
        <w:rPr>
          <w:color w:val="221F1F"/>
        </w:rPr>
        <w:t>in</w:t>
      </w:r>
      <w:r>
        <w:rPr>
          <w:color w:val="221F1F"/>
          <w:spacing w:val="-3"/>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spacing w:val="-5"/>
        </w:rPr>
        <w:t>and</w:t>
      </w:r>
    </w:p>
    <w:p w:rsidR="007F6DF9" w:rsidRDefault="00A43FBC">
      <w:pPr>
        <w:pStyle w:val="ListParagraph"/>
        <w:numPr>
          <w:ilvl w:val="0"/>
          <w:numId w:val="68"/>
        </w:numPr>
        <w:tabs>
          <w:tab w:val="left" w:pos="1866"/>
        </w:tabs>
        <w:spacing w:line="251" w:lineRule="exact"/>
        <w:ind w:left="1866" w:hanging="399"/>
        <w:jc w:val="both"/>
        <w:rPr>
          <w:color w:val="221F1F"/>
        </w:rPr>
      </w:pPr>
      <w:r>
        <w:rPr>
          <w:color w:val="221F1F"/>
        </w:rPr>
        <w:t>Any</w:t>
      </w:r>
      <w:r>
        <w:rPr>
          <w:color w:val="221F1F"/>
          <w:spacing w:val="-5"/>
        </w:rPr>
        <w:t xml:space="preserve"> </w:t>
      </w:r>
      <w:r>
        <w:rPr>
          <w:color w:val="221F1F"/>
        </w:rPr>
        <w:t>further</w:t>
      </w:r>
      <w:r>
        <w:rPr>
          <w:color w:val="221F1F"/>
          <w:spacing w:val="-2"/>
        </w:rPr>
        <w:t xml:space="preserve"> </w:t>
      </w:r>
      <w:r>
        <w:rPr>
          <w:color w:val="221F1F"/>
        </w:rPr>
        <w:t>sums</w:t>
      </w:r>
      <w:r>
        <w:rPr>
          <w:color w:val="221F1F"/>
          <w:spacing w:val="-3"/>
        </w:rPr>
        <w:t xml:space="preserve"> </w:t>
      </w:r>
      <w:r>
        <w:rPr>
          <w:color w:val="221F1F"/>
        </w:rPr>
        <w:t>which</w:t>
      </w:r>
      <w:r>
        <w:rPr>
          <w:color w:val="221F1F"/>
          <w:spacing w:val="-3"/>
        </w:rPr>
        <w:t xml:space="preserve"> </w:t>
      </w:r>
      <w:r>
        <w:rPr>
          <w:color w:val="221F1F"/>
        </w:rPr>
        <w:t>the</w:t>
      </w:r>
      <w:r>
        <w:rPr>
          <w:color w:val="221F1F"/>
          <w:spacing w:val="-5"/>
        </w:rPr>
        <w:t xml:space="preserve"> </w:t>
      </w:r>
      <w:r>
        <w:rPr>
          <w:color w:val="221F1F"/>
        </w:rPr>
        <w:t>Contractor</w:t>
      </w:r>
      <w:r>
        <w:rPr>
          <w:color w:val="221F1F"/>
          <w:spacing w:val="-2"/>
        </w:rPr>
        <w:t xml:space="preserve"> </w:t>
      </w:r>
      <w:r>
        <w:rPr>
          <w:color w:val="221F1F"/>
        </w:rPr>
        <w:t>considers</w:t>
      </w:r>
      <w:r>
        <w:rPr>
          <w:color w:val="221F1F"/>
          <w:spacing w:val="-4"/>
        </w:rPr>
        <w:t xml:space="preserve"> </w:t>
      </w:r>
      <w:r>
        <w:rPr>
          <w:color w:val="221F1F"/>
        </w:rPr>
        <w:t>to</w:t>
      </w:r>
      <w:r>
        <w:rPr>
          <w:color w:val="221F1F"/>
          <w:spacing w:val="-2"/>
        </w:rPr>
        <w:t xml:space="preserve"> </w:t>
      </w:r>
      <w:r>
        <w:rPr>
          <w:color w:val="221F1F"/>
        </w:rPr>
        <w:t>be</w:t>
      </w:r>
      <w:r>
        <w:rPr>
          <w:color w:val="221F1F"/>
          <w:spacing w:val="-5"/>
        </w:rPr>
        <w:t xml:space="preserve"> </w:t>
      </w:r>
      <w:r>
        <w:rPr>
          <w:color w:val="221F1F"/>
        </w:rPr>
        <w:t>due</w:t>
      </w:r>
      <w:r>
        <w:rPr>
          <w:color w:val="221F1F"/>
          <w:spacing w:val="-3"/>
        </w:rPr>
        <w:t xml:space="preserve"> </w:t>
      </w:r>
      <w:r>
        <w:rPr>
          <w:color w:val="221F1F"/>
        </w:rPr>
        <w:t>to</w:t>
      </w:r>
      <w:r>
        <w:rPr>
          <w:color w:val="221F1F"/>
          <w:spacing w:val="-5"/>
        </w:rPr>
        <w:t xml:space="preserve"> </w:t>
      </w:r>
      <w:r>
        <w:rPr>
          <w:color w:val="221F1F"/>
        </w:rPr>
        <w:t>him</w:t>
      </w:r>
      <w:r>
        <w:rPr>
          <w:color w:val="221F1F"/>
          <w:spacing w:val="-2"/>
        </w:rPr>
        <w:t xml:space="preserve"> </w:t>
      </w:r>
      <w:r>
        <w:rPr>
          <w:color w:val="221F1F"/>
        </w:rPr>
        <w:t>under</w:t>
      </w:r>
      <w:r>
        <w:rPr>
          <w:color w:val="221F1F"/>
          <w:spacing w:val="-4"/>
        </w:rPr>
        <w:t xml:space="preserve"> </w:t>
      </w:r>
      <w:r>
        <w:rPr>
          <w:color w:val="221F1F"/>
        </w:rPr>
        <w:t>the</w:t>
      </w:r>
      <w:r>
        <w:rPr>
          <w:color w:val="221F1F"/>
          <w:spacing w:val="-3"/>
        </w:rPr>
        <w:t xml:space="preserve"> </w:t>
      </w:r>
      <w:r>
        <w:rPr>
          <w:color w:val="221F1F"/>
        </w:rPr>
        <w:t xml:space="preserve">Contractor </w:t>
      </w:r>
      <w:r>
        <w:rPr>
          <w:color w:val="221F1F"/>
          <w:spacing w:val="-2"/>
        </w:rPr>
        <w:t>otherwise.</w:t>
      </w:r>
    </w:p>
    <w:p w:rsidR="007F6DF9" w:rsidRDefault="007F6DF9">
      <w:pPr>
        <w:pStyle w:val="BodyText"/>
        <w:spacing w:before="104"/>
      </w:pPr>
    </w:p>
    <w:p w:rsidR="007F6DF9" w:rsidRDefault="00A43FBC">
      <w:pPr>
        <w:pStyle w:val="ListParagraph"/>
        <w:numPr>
          <w:ilvl w:val="2"/>
          <w:numId w:val="122"/>
        </w:numPr>
        <w:tabs>
          <w:tab w:val="left" w:pos="1461"/>
          <w:tab w:val="left" w:pos="1467"/>
        </w:tabs>
        <w:spacing w:before="1" w:line="230" w:lineRule="auto"/>
        <w:ind w:left="1467" w:right="560" w:hanging="759"/>
        <w:jc w:val="both"/>
        <w:rPr>
          <w:color w:val="221F1F"/>
        </w:rPr>
      </w:pPr>
      <w:r>
        <w:rPr>
          <w:color w:val="221F1F"/>
        </w:rPr>
        <w:t>If the Architect disagrees with or cannot verify any part of the draft final statement, the Contractor shall submit</w:t>
      </w:r>
      <w:r>
        <w:rPr>
          <w:color w:val="221F1F"/>
          <w:spacing w:val="-5"/>
        </w:rPr>
        <w:t xml:space="preserve"> </w:t>
      </w:r>
      <w:r>
        <w:rPr>
          <w:color w:val="221F1F"/>
        </w:rPr>
        <w:t>such</w:t>
      </w:r>
      <w:r>
        <w:rPr>
          <w:color w:val="221F1F"/>
          <w:spacing w:val="-6"/>
        </w:rPr>
        <w:t xml:space="preserve"> </w:t>
      </w:r>
      <w:r>
        <w:rPr>
          <w:color w:val="221F1F"/>
        </w:rPr>
        <w:t>further</w:t>
      </w:r>
      <w:r>
        <w:rPr>
          <w:color w:val="221F1F"/>
          <w:spacing w:val="-4"/>
        </w:rPr>
        <w:t xml:space="preserve"> </w:t>
      </w:r>
      <w:r>
        <w:rPr>
          <w:color w:val="221F1F"/>
        </w:rPr>
        <w:t>information</w:t>
      </w:r>
      <w:r>
        <w:rPr>
          <w:color w:val="221F1F"/>
          <w:spacing w:val="-5"/>
        </w:rPr>
        <w:t xml:space="preserve"> </w:t>
      </w:r>
      <w:r>
        <w:rPr>
          <w:color w:val="221F1F"/>
        </w:rPr>
        <w:t>as</w:t>
      </w:r>
      <w:r>
        <w:rPr>
          <w:color w:val="221F1F"/>
          <w:spacing w:val="-6"/>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may</w:t>
      </w:r>
      <w:r>
        <w:rPr>
          <w:color w:val="221F1F"/>
          <w:spacing w:val="-3"/>
        </w:rPr>
        <w:t xml:space="preserve"> </w:t>
      </w:r>
      <w:r>
        <w:rPr>
          <w:color w:val="221F1F"/>
        </w:rPr>
        <w:t>reasonably</w:t>
      </w:r>
      <w:r>
        <w:rPr>
          <w:color w:val="221F1F"/>
          <w:spacing w:val="-6"/>
        </w:rPr>
        <w:t xml:space="preserve"> </w:t>
      </w:r>
      <w:r>
        <w:rPr>
          <w:color w:val="221F1F"/>
        </w:rPr>
        <w:t>require</w:t>
      </w:r>
      <w:r>
        <w:rPr>
          <w:color w:val="221F1F"/>
          <w:spacing w:val="-3"/>
        </w:rPr>
        <w:t xml:space="preserve"> </w:t>
      </w:r>
      <w:r>
        <w:rPr>
          <w:color w:val="221F1F"/>
        </w:rPr>
        <w:t>within</w:t>
      </w:r>
      <w:r>
        <w:rPr>
          <w:color w:val="221F1F"/>
          <w:spacing w:val="-6"/>
        </w:rPr>
        <w:t xml:space="preserve"> </w:t>
      </w:r>
      <w:r>
        <w:rPr>
          <w:color w:val="221F1F"/>
        </w:rPr>
        <w:t>30</w:t>
      </w:r>
      <w:r>
        <w:rPr>
          <w:color w:val="221F1F"/>
          <w:spacing w:val="-5"/>
        </w:rPr>
        <w:t xml:space="preserve"> </w:t>
      </w:r>
      <w:r>
        <w:rPr>
          <w:color w:val="221F1F"/>
        </w:rPr>
        <w:t>days</w:t>
      </w:r>
      <w:r>
        <w:rPr>
          <w:color w:val="221F1F"/>
          <w:spacing w:val="-5"/>
        </w:rPr>
        <w:t xml:space="preserve"> </w:t>
      </w:r>
      <w:r>
        <w:rPr>
          <w:color w:val="221F1F"/>
        </w:rPr>
        <w:t>from</w:t>
      </w:r>
      <w:r>
        <w:rPr>
          <w:color w:val="221F1F"/>
          <w:spacing w:val="-2"/>
        </w:rPr>
        <w:t xml:space="preserve"> </w:t>
      </w:r>
      <w:r>
        <w:rPr>
          <w:color w:val="221F1F"/>
        </w:rPr>
        <w:t>receipt</w:t>
      </w:r>
      <w:r>
        <w:rPr>
          <w:color w:val="221F1F"/>
          <w:spacing w:val="-2"/>
        </w:rPr>
        <w:t xml:space="preserve"> </w:t>
      </w:r>
      <w:r>
        <w:rPr>
          <w:color w:val="221F1F"/>
        </w:rPr>
        <w:t>of</w:t>
      </w:r>
      <w:r>
        <w:rPr>
          <w:color w:val="221F1F"/>
          <w:spacing w:val="-5"/>
        </w:rPr>
        <w:t xml:space="preserve"> </w:t>
      </w:r>
      <w:r>
        <w:rPr>
          <w:color w:val="221F1F"/>
        </w:rPr>
        <w:t>said draft and shall make such changes in the draft as may be agreed between them. The Contractor shall then prepare</w:t>
      </w:r>
      <w:r>
        <w:rPr>
          <w:color w:val="221F1F"/>
          <w:spacing w:val="-11"/>
        </w:rPr>
        <w:t xml:space="preserve"> </w:t>
      </w:r>
      <w:r>
        <w:rPr>
          <w:color w:val="221F1F"/>
        </w:rPr>
        <w:t>and</w:t>
      </w:r>
      <w:r>
        <w:rPr>
          <w:color w:val="221F1F"/>
          <w:spacing w:val="-12"/>
        </w:rPr>
        <w:t xml:space="preserve"> </w:t>
      </w:r>
      <w:r>
        <w:rPr>
          <w:color w:val="221F1F"/>
        </w:rPr>
        <w:t>submit</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the</w:t>
      </w:r>
      <w:r>
        <w:rPr>
          <w:color w:val="221F1F"/>
          <w:spacing w:val="-12"/>
        </w:rPr>
        <w:t xml:space="preserve"> </w:t>
      </w:r>
      <w:r>
        <w:rPr>
          <w:color w:val="221F1F"/>
        </w:rPr>
        <w:t>final</w:t>
      </w:r>
      <w:r>
        <w:rPr>
          <w:color w:val="221F1F"/>
          <w:spacing w:val="-11"/>
        </w:rPr>
        <w:t xml:space="preserve"> </w:t>
      </w:r>
      <w:r>
        <w:rPr>
          <w:color w:val="221F1F"/>
        </w:rPr>
        <w:t>statement</w:t>
      </w:r>
      <w:r>
        <w:rPr>
          <w:color w:val="221F1F"/>
          <w:spacing w:val="-10"/>
        </w:rPr>
        <w:t xml:space="preserve"> </w:t>
      </w:r>
      <w:r>
        <w:rPr>
          <w:color w:val="221F1F"/>
        </w:rPr>
        <w:t>as</w:t>
      </w:r>
      <w:r>
        <w:rPr>
          <w:color w:val="221F1F"/>
          <w:spacing w:val="-11"/>
        </w:rPr>
        <w:t xml:space="preserve"> </w:t>
      </w:r>
      <w:r>
        <w:rPr>
          <w:color w:val="221F1F"/>
        </w:rPr>
        <w:t>agreed.</w:t>
      </w:r>
      <w:r>
        <w:rPr>
          <w:color w:val="221F1F"/>
          <w:spacing w:val="-11"/>
        </w:rPr>
        <w:t xml:space="preserve"> </w:t>
      </w:r>
      <w:r>
        <w:rPr>
          <w:color w:val="221F1F"/>
        </w:rPr>
        <w:t>This</w:t>
      </w:r>
      <w:r>
        <w:rPr>
          <w:color w:val="221F1F"/>
          <w:spacing w:val="-11"/>
        </w:rPr>
        <w:t xml:space="preserve"> </w:t>
      </w:r>
      <w:r>
        <w:rPr>
          <w:color w:val="221F1F"/>
        </w:rPr>
        <w:t>agreed</w:t>
      </w:r>
      <w:r>
        <w:rPr>
          <w:color w:val="221F1F"/>
          <w:spacing w:val="-11"/>
        </w:rPr>
        <w:t xml:space="preserve"> </w:t>
      </w:r>
      <w:r>
        <w:rPr>
          <w:color w:val="221F1F"/>
        </w:rPr>
        <w:t>statement</w:t>
      </w:r>
      <w:r>
        <w:rPr>
          <w:color w:val="221F1F"/>
          <w:spacing w:val="-10"/>
        </w:rPr>
        <w:t xml:space="preserve"> </w:t>
      </w:r>
      <w:r>
        <w:rPr>
          <w:color w:val="221F1F"/>
        </w:rPr>
        <w:t>is</w:t>
      </w:r>
      <w:r>
        <w:rPr>
          <w:color w:val="221F1F"/>
          <w:spacing w:val="-11"/>
        </w:rPr>
        <w:t xml:space="preserve"> </w:t>
      </w:r>
      <w:r>
        <w:rPr>
          <w:color w:val="221F1F"/>
        </w:rPr>
        <w:t>referred</w:t>
      </w:r>
      <w:r>
        <w:rPr>
          <w:color w:val="221F1F"/>
          <w:spacing w:val="-11"/>
        </w:rPr>
        <w:t xml:space="preserve"> </w:t>
      </w:r>
      <w:r>
        <w:rPr>
          <w:color w:val="221F1F"/>
        </w:rPr>
        <w:t>to</w:t>
      </w:r>
      <w:r>
        <w:rPr>
          <w:color w:val="221F1F"/>
          <w:spacing w:val="-12"/>
        </w:rPr>
        <w:t xml:space="preserve"> </w:t>
      </w:r>
      <w:r>
        <w:rPr>
          <w:color w:val="221F1F"/>
        </w:rPr>
        <w:t>in</w:t>
      </w:r>
      <w:r>
        <w:rPr>
          <w:color w:val="221F1F"/>
          <w:spacing w:val="-12"/>
        </w:rPr>
        <w:t xml:space="preserve"> </w:t>
      </w:r>
      <w:r>
        <w:rPr>
          <w:color w:val="221F1F"/>
        </w:rPr>
        <w:t>these Conditions as the “Final Statement”.</w:t>
      </w:r>
    </w:p>
    <w:p w:rsidR="007F6DF9" w:rsidRDefault="007F6DF9">
      <w:pPr>
        <w:pStyle w:val="BodyText"/>
        <w:spacing w:before="110"/>
      </w:pPr>
    </w:p>
    <w:p w:rsidR="007F6DF9" w:rsidRDefault="00A43FBC">
      <w:pPr>
        <w:pStyle w:val="ListParagraph"/>
        <w:numPr>
          <w:ilvl w:val="2"/>
          <w:numId w:val="122"/>
        </w:numPr>
        <w:tabs>
          <w:tab w:val="left" w:pos="1461"/>
          <w:tab w:val="left" w:pos="1467"/>
        </w:tabs>
        <w:spacing w:line="230" w:lineRule="auto"/>
        <w:ind w:left="1467" w:right="560" w:hanging="759"/>
        <w:jc w:val="both"/>
        <w:rPr>
          <w:color w:val="221F1F"/>
        </w:rPr>
      </w:pPr>
      <w:r>
        <w:rPr>
          <w:color w:val="221F1F"/>
        </w:rPr>
        <w:t xml:space="preserve">However, if, following discussions between the Architect and the Contractor and any changes to the draft final statement which are agreed, it </w:t>
      </w:r>
      <w:proofErr w:type="spellStart"/>
      <w:r>
        <w:rPr>
          <w:color w:val="221F1F"/>
        </w:rPr>
        <w:t>be comes</w:t>
      </w:r>
      <w:proofErr w:type="spellEnd"/>
      <w:r>
        <w:rPr>
          <w:color w:val="221F1F"/>
        </w:rPr>
        <w:t xml:space="preserve"> evident that a dispute exists, the Architect shall deliver to the Procuring Entity (with a copy to the Contractor) an Interim Payment Certificate for the agreed parts of the draft</w:t>
      </w:r>
      <w:r>
        <w:rPr>
          <w:color w:val="221F1F"/>
          <w:spacing w:val="-5"/>
        </w:rPr>
        <w:t xml:space="preserve"> </w:t>
      </w:r>
      <w:r>
        <w:rPr>
          <w:color w:val="221F1F"/>
        </w:rPr>
        <w:t>final</w:t>
      </w:r>
      <w:r>
        <w:rPr>
          <w:color w:val="221F1F"/>
          <w:spacing w:val="-5"/>
        </w:rPr>
        <w:t xml:space="preserve"> </w:t>
      </w:r>
      <w:r>
        <w:rPr>
          <w:color w:val="221F1F"/>
        </w:rPr>
        <w:t>statement.</w:t>
      </w:r>
      <w:r>
        <w:rPr>
          <w:color w:val="221F1F"/>
          <w:spacing w:val="-6"/>
        </w:rPr>
        <w:t xml:space="preserve"> </w:t>
      </w:r>
      <w:r>
        <w:rPr>
          <w:color w:val="221F1F"/>
        </w:rPr>
        <w:t>Thereafter,</w:t>
      </w:r>
      <w:r>
        <w:rPr>
          <w:color w:val="221F1F"/>
          <w:spacing w:val="-6"/>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dispute</w:t>
      </w:r>
      <w:r>
        <w:rPr>
          <w:color w:val="221F1F"/>
          <w:spacing w:val="-8"/>
        </w:rPr>
        <w:t xml:space="preserve"> </w:t>
      </w:r>
      <w:r>
        <w:rPr>
          <w:color w:val="221F1F"/>
        </w:rPr>
        <w:t>is</w:t>
      </w:r>
      <w:r>
        <w:rPr>
          <w:color w:val="221F1F"/>
          <w:spacing w:val="-5"/>
        </w:rPr>
        <w:t xml:space="preserve"> </w:t>
      </w:r>
      <w:r>
        <w:rPr>
          <w:color w:val="221F1F"/>
        </w:rPr>
        <w:t>finally</w:t>
      </w:r>
      <w:r>
        <w:rPr>
          <w:color w:val="221F1F"/>
          <w:spacing w:val="-6"/>
        </w:rPr>
        <w:t xml:space="preserve"> </w:t>
      </w:r>
      <w:r>
        <w:rPr>
          <w:color w:val="221F1F"/>
        </w:rPr>
        <w:t>resolved</w:t>
      </w:r>
      <w:r>
        <w:rPr>
          <w:color w:val="221F1F"/>
          <w:spacing w:val="-5"/>
        </w:rPr>
        <w:t xml:space="preserve"> </w:t>
      </w:r>
      <w:r>
        <w:rPr>
          <w:color w:val="221F1F"/>
        </w:rPr>
        <w:t>under</w:t>
      </w:r>
      <w:r>
        <w:rPr>
          <w:color w:val="221F1F"/>
          <w:spacing w:val="-5"/>
        </w:rPr>
        <w:t xml:space="preserve"> </w:t>
      </w:r>
      <w:r>
        <w:rPr>
          <w:color w:val="221F1F"/>
        </w:rPr>
        <w:t>Sub-Clause</w:t>
      </w:r>
      <w:r>
        <w:rPr>
          <w:color w:val="221F1F"/>
          <w:spacing w:val="-5"/>
        </w:rPr>
        <w:t xml:space="preserve"> </w:t>
      </w:r>
      <w:r>
        <w:rPr>
          <w:color w:val="221F1F"/>
        </w:rPr>
        <w:t>20.4</w:t>
      </w:r>
      <w:r>
        <w:rPr>
          <w:color w:val="221F1F"/>
          <w:spacing w:val="-6"/>
        </w:rPr>
        <w:t xml:space="preserve"> </w:t>
      </w:r>
      <w:r>
        <w:rPr>
          <w:color w:val="221F1F"/>
        </w:rPr>
        <w:t>[Obtaining</w:t>
      </w:r>
      <w:r>
        <w:rPr>
          <w:color w:val="221F1F"/>
          <w:spacing w:val="-6"/>
        </w:rPr>
        <w:t xml:space="preserve"> </w:t>
      </w:r>
      <w:r>
        <w:rPr>
          <w:color w:val="221F1F"/>
        </w:rPr>
        <w:t>Dispute Board's Decision] or Sub-Clause 20.5 [Amicable Settlement], the Contractor shall then prepare and submit to the Procuring Entity (with a copy to the Engineer) a Final Statement.</w:t>
      </w:r>
    </w:p>
    <w:p w:rsidR="007F6DF9" w:rsidRDefault="00A43FBC">
      <w:pPr>
        <w:pStyle w:val="Heading9"/>
        <w:numPr>
          <w:ilvl w:val="1"/>
          <w:numId w:val="122"/>
        </w:numPr>
        <w:tabs>
          <w:tab w:val="left" w:pos="1464"/>
        </w:tabs>
        <w:spacing w:before="238"/>
        <w:ind w:left="1464" w:hanging="756"/>
        <w:rPr>
          <w:color w:val="221F1F"/>
        </w:rPr>
      </w:pPr>
      <w:r>
        <w:rPr>
          <w:color w:val="221F1F"/>
          <w:spacing w:val="-2"/>
        </w:rPr>
        <w:t>Discharge</w:t>
      </w:r>
    </w:p>
    <w:p w:rsidR="007F6DF9" w:rsidRDefault="00A43FBC">
      <w:pPr>
        <w:pStyle w:val="BodyText"/>
        <w:spacing w:before="240" w:line="230" w:lineRule="auto"/>
        <w:ind w:left="1465" w:right="562"/>
        <w:jc w:val="both"/>
      </w:pPr>
      <w:r>
        <w:rPr>
          <w:color w:val="221F1F"/>
        </w:rPr>
        <w:t>When submitting the Final</w:t>
      </w:r>
      <w:r>
        <w:rPr>
          <w:color w:val="221F1F"/>
          <w:spacing w:val="-1"/>
        </w:rPr>
        <w:t xml:space="preserve"> </w:t>
      </w:r>
      <w:r>
        <w:rPr>
          <w:color w:val="221F1F"/>
        </w:rPr>
        <w:t>Statement,</w:t>
      </w:r>
      <w:r>
        <w:rPr>
          <w:color w:val="221F1F"/>
          <w:spacing w:val="-2"/>
        </w:rPr>
        <w:t xml:space="preserve"> </w:t>
      </w:r>
      <w:r>
        <w:rPr>
          <w:color w:val="221F1F"/>
        </w:rPr>
        <w:t>the Contractor shall submit a discharge which confirms</w:t>
      </w:r>
      <w:r>
        <w:rPr>
          <w:color w:val="221F1F"/>
          <w:spacing w:val="-2"/>
        </w:rPr>
        <w:t xml:space="preserve"> </w:t>
      </w:r>
      <w:r>
        <w:rPr>
          <w:color w:val="221F1F"/>
        </w:rPr>
        <w:t xml:space="preserve">that the total of the Final Statement represents full and final settlement of all moneys due to the Contractor under or in connection with the Contract. This discharge may state that it becomes effective when the Contractor has received the Performance Security and the </w:t>
      </w:r>
      <w:proofErr w:type="spellStart"/>
      <w:r>
        <w:rPr>
          <w:color w:val="221F1F"/>
        </w:rPr>
        <w:t>out standing</w:t>
      </w:r>
      <w:proofErr w:type="spellEnd"/>
      <w:r>
        <w:rPr>
          <w:color w:val="221F1F"/>
        </w:rPr>
        <w:t xml:space="preserve"> balance of this total, in which event the discharge shall be effective on such date.</w:t>
      </w:r>
    </w:p>
    <w:p w:rsidR="007F6DF9" w:rsidRDefault="00A43FBC">
      <w:pPr>
        <w:pStyle w:val="Heading9"/>
        <w:numPr>
          <w:ilvl w:val="1"/>
          <w:numId w:val="122"/>
        </w:numPr>
        <w:tabs>
          <w:tab w:val="left" w:pos="1464"/>
        </w:tabs>
        <w:spacing w:before="238"/>
        <w:ind w:left="1464" w:hanging="756"/>
        <w:rPr>
          <w:color w:val="221F1F"/>
        </w:rPr>
      </w:pPr>
      <w:r>
        <w:rPr>
          <w:color w:val="221F1F"/>
        </w:rPr>
        <w:t>Issue</w:t>
      </w:r>
      <w:r>
        <w:rPr>
          <w:color w:val="221F1F"/>
          <w:spacing w:val="-4"/>
        </w:rPr>
        <w:t xml:space="preserve"> </w:t>
      </w:r>
      <w:r>
        <w:rPr>
          <w:color w:val="221F1F"/>
        </w:rPr>
        <w:t>of</w:t>
      </w:r>
      <w:r>
        <w:rPr>
          <w:color w:val="221F1F"/>
          <w:spacing w:val="-1"/>
        </w:rPr>
        <w:t xml:space="preserve"> </w:t>
      </w:r>
      <w:r>
        <w:rPr>
          <w:color w:val="221F1F"/>
        </w:rPr>
        <w:t>Final</w:t>
      </w:r>
      <w:r>
        <w:rPr>
          <w:color w:val="221F1F"/>
          <w:spacing w:val="-1"/>
        </w:rPr>
        <w:t xml:space="preserve"> </w:t>
      </w:r>
      <w:r>
        <w:rPr>
          <w:color w:val="221F1F"/>
        </w:rPr>
        <w:t>Payment</w:t>
      </w:r>
      <w:r>
        <w:rPr>
          <w:color w:val="221F1F"/>
          <w:spacing w:val="-1"/>
        </w:rPr>
        <w:t xml:space="preserve"> </w:t>
      </w:r>
      <w:r>
        <w:rPr>
          <w:color w:val="221F1F"/>
          <w:spacing w:val="-2"/>
        </w:rPr>
        <w:t>Certificate</w:t>
      </w:r>
    </w:p>
    <w:p w:rsidR="007F6DF9" w:rsidRDefault="007F6DF9">
      <w:pPr>
        <w:pStyle w:val="BodyText"/>
        <w:spacing w:before="51"/>
        <w:rPr>
          <w:b/>
        </w:rPr>
      </w:pPr>
    </w:p>
    <w:p w:rsidR="007F6DF9" w:rsidRDefault="00A43FBC">
      <w:pPr>
        <w:pStyle w:val="ListParagraph"/>
        <w:numPr>
          <w:ilvl w:val="2"/>
          <w:numId w:val="122"/>
        </w:numPr>
        <w:tabs>
          <w:tab w:val="left" w:pos="1459"/>
          <w:tab w:val="left" w:pos="1465"/>
        </w:tabs>
        <w:spacing w:line="230" w:lineRule="auto"/>
        <w:ind w:left="1465" w:right="560" w:hanging="757"/>
        <w:jc w:val="both"/>
        <w:rPr>
          <w:color w:val="221F1F"/>
        </w:rPr>
      </w:pPr>
      <w:r>
        <w:rPr>
          <w:color w:val="221F1F"/>
        </w:rPr>
        <w:t>Within 30days after receiving the Final Statement and discharge in accordance with Sub-Clause 14.11 [Application for Final Payment Certificate] and Sub-Clause 14.12 [Discharge], the Architect shall deliver, to the Procuring Entity and to the Contractor, the Final Payment Certificate which shall state:</w:t>
      </w:r>
    </w:p>
    <w:p w:rsidR="007F6DF9" w:rsidRDefault="00A43FBC">
      <w:pPr>
        <w:pStyle w:val="ListParagraph"/>
        <w:numPr>
          <w:ilvl w:val="0"/>
          <w:numId w:val="67"/>
        </w:numPr>
        <w:tabs>
          <w:tab w:val="left" w:pos="1869"/>
        </w:tabs>
        <w:spacing w:before="39" w:line="252" w:lineRule="exact"/>
        <w:ind w:left="1869" w:hanging="404"/>
        <w:jc w:val="both"/>
        <w:rPr>
          <w:color w:val="221F1F"/>
        </w:rPr>
      </w:pPr>
      <w:r>
        <w:rPr>
          <w:color w:val="221F1F"/>
        </w:rPr>
        <w:t>The</w:t>
      </w:r>
      <w:r>
        <w:rPr>
          <w:color w:val="221F1F"/>
          <w:spacing w:val="-5"/>
        </w:rPr>
        <w:t xml:space="preserve"> </w:t>
      </w:r>
      <w:r>
        <w:rPr>
          <w:color w:val="221F1F"/>
        </w:rPr>
        <w:t>amount</w:t>
      </w:r>
      <w:r>
        <w:rPr>
          <w:color w:val="221F1F"/>
          <w:spacing w:val="-3"/>
        </w:rPr>
        <w:t xml:space="preserve"> </w:t>
      </w:r>
      <w:r>
        <w:rPr>
          <w:color w:val="221F1F"/>
        </w:rPr>
        <w:t>which</w:t>
      </w:r>
      <w:r>
        <w:rPr>
          <w:color w:val="221F1F"/>
          <w:spacing w:val="-4"/>
        </w:rPr>
        <w:t xml:space="preserve"> </w:t>
      </w:r>
      <w:r>
        <w:rPr>
          <w:color w:val="221F1F"/>
        </w:rPr>
        <w:t>he</w:t>
      </w:r>
      <w:r>
        <w:rPr>
          <w:color w:val="221F1F"/>
          <w:spacing w:val="-6"/>
        </w:rPr>
        <w:t xml:space="preserve"> </w:t>
      </w:r>
      <w:r>
        <w:rPr>
          <w:color w:val="221F1F"/>
        </w:rPr>
        <w:t>fairly</w:t>
      </w:r>
      <w:r>
        <w:rPr>
          <w:color w:val="221F1F"/>
          <w:spacing w:val="-6"/>
        </w:rPr>
        <w:t xml:space="preserve"> </w:t>
      </w:r>
      <w:r>
        <w:rPr>
          <w:color w:val="221F1F"/>
        </w:rPr>
        <w:t>determines</w:t>
      </w:r>
      <w:r>
        <w:rPr>
          <w:color w:val="221F1F"/>
          <w:spacing w:val="-6"/>
        </w:rPr>
        <w:t xml:space="preserve"> </w:t>
      </w:r>
      <w:r>
        <w:rPr>
          <w:color w:val="221F1F"/>
        </w:rPr>
        <w:t>is</w:t>
      </w:r>
      <w:r>
        <w:rPr>
          <w:color w:val="221F1F"/>
          <w:spacing w:val="-4"/>
        </w:rPr>
        <w:t xml:space="preserve"> </w:t>
      </w:r>
      <w:r>
        <w:rPr>
          <w:color w:val="221F1F"/>
        </w:rPr>
        <w:t>finally</w:t>
      </w:r>
      <w:r>
        <w:rPr>
          <w:color w:val="221F1F"/>
          <w:spacing w:val="-4"/>
        </w:rPr>
        <w:t xml:space="preserve"> </w:t>
      </w:r>
      <w:r>
        <w:rPr>
          <w:color w:val="221F1F"/>
        </w:rPr>
        <w:t>due,</w:t>
      </w:r>
      <w:r>
        <w:rPr>
          <w:color w:val="221F1F"/>
          <w:spacing w:val="-6"/>
        </w:rPr>
        <w:t xml:space="preserve"> </w:t>
      </w:r>
      <w:r>
        <w:rPr>
          <w:color w:val="221F1F"/>
          <w:spacing w:val="-5"/>
        </w:rPr>
        <w:t>and</w:t>
      </w:r>
    </w:p>
    <w:p w:rsidR="007F6DF9" w:rsidRDefault="00A43FBC">
      <w:pPr>
        <w:pStyle w:val="ListParagraph"/>
        <w:numPr>
          <w:ilvl w:val="0"/>
          <w:numId w:val="67"/>
        </w:numPr>
        <w:tabs>
          <w:tab w:val="left" w:pos="1868"/>
          <w:tab w:val="left" w:pos="1877"/>
        </w:tabs>
        <w:spacing w:before="8" w:line="230" w:lineRule="auto"/>
        <w:ind w:left="1877" w:right="560" w:hanging="413"/>
        <w:jc w:val="both"/>
        <w:rPr>
          <w:color w:val="221F1F"/>
        </w:rPr>
      </w:pPr>
      <w:r>
        <w:rPr>
          <w:color w:val="221F1F"/>
        </w:rPr>
        <w:t>After giving credit to the Procuring Entity for all amounts previously paid by</w:t>
      </w:r>
      <w:r>
        <w:rPr>
          <w:color w:val="221F1F"/>
          <w:spacing w:val="-1"/>
        </w:rPr>
        <w:t xml:space="preserve"> </w:t>
      </w:r>
      <w:r>
        <w:rPr>
          <w:color w:val="221F1F"/>
        </w:rPr>
        <w:t>the</w:t>
      </w:r>
      <w:r>
        <w:rPr>
          <w:color w:val="221F1F"/>
          <w:spacing w:val="-1"/>
        </w:rPr>
        <w:t xml:space="preserve"> </w:t>
      </w:r>
      <w:r>
        <w:rPr>
          <w:color w:val="221F1F"/>
        </w:rPr>
        <w:t>Procuring Entity and for</w:t>
      </w:r>
      <w:r>
        <w:rPr>
          <w:color w:val="221F1F"/>
          <w:spacing w:val="-5"/>
        </w:rPr>
        <w:t xml:space="preserve"> </w:t>
      </w:r>
      <w:r>
        <w:rPr>
          <w:color w:val="221F1F"/>
        </w:rPr>
        <w:t>all</w:t>
      </w:r>
      <w:r>
        <w:rPr>
          <w:color w:val="221F1F"/>
          <w:spacing w:val="-7"/>
        </w:rPr>
        <w:t xml:space="preserve"> </w:t>
      </w:r>
      <w:r>
        <w:rPr>
          <w:color w:val="221F1F"/>
        </w:rPr>
        <w:t>sums</w:t>
      </w:r>
      <w:r>
        <w:rPr>
          <w:color w:val="221F1F"/>
          <w:spacing w:val="-5"/>
        </w:rPr>
        <w:t xml:space="preserve"> </w:t>
      </w:r>
      <w:r>
        <w:rPr>
          <w:color w:val="221F1F"/>
        </w:rPr>
        <w:t>to</w:t>
      </w:r>
      <w:r>
        <w:rPr>
          <w:color w:val="221F1F"/>
          <w:spacing w:val="-6"/>
        </w:rPr>
        <w:t xml:space="preserve"> </w:t>
      </w:r>
      <w:r>
        <w:rPr>
          <w:color w:val="221F1F"/>
        </w:rPr>
        <w:t>which</w:t>
      </w:r>
      <w:r>
        <w:rPr>
          <w:color w:val="221F1F"/>
          <w:spacing w:val="-7"/>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is</w:t>
      </w:r>
      <w:r>
        <w:rPr>
          <w:color w:val="221F1F"/>
          <w:spacing w:val="-6"/>
        </w:rPr>
        <w:t xml:space="preserve"> </w:t>
      </w:r>
      <w:r>
        <w:rPr>
          <w:color w:val="221F1F"/>
        </w:rPr>
        <w:t>entitled,</w:t>
      </w:r>
      <w:r>
        <w:rPr>
          <w:color w:val="221F1F"/>
          <w:spacing w:val="-5"/>
        </w:rPr>
        <w:t xml:space="preserve"> </w:t>
      </w:r>
      <w:r>
        <w:rPr>
          <w:color w:val="221F1F"/>
        </w:rPr>
        <w:t>the</w:t>
      </w:r>
      <w:r>
        <w:rPr>
          <w:color w:val="221F1F"/>
          <w:spacing w:val="-5"/>
        </w:rPr>
        <w:t xml:space="preserve"> </w:t>
      </w:r>
      <w:r>
        <w:rPr>
          <w:color w:val="221F1F"/>
        </w:rPr>
        <w:t>balance</w:t>
      </w:r>
      <w:r>
        <w:rPr>
          <w:color w:val="221F1F"/>
          <w:spacing w:val="-8"/>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due</w:t>
      </w:r>
      <w:r>
        <w:rPr>
          <w:color w:val="221F1F"/>
          <w:spacing w:val="-7"/>
        </w:rPr>
        <w:t xml:space="preserve"> </w:t>
      </w:r>
      <w:r>
        <w:rPr>
          <w:color w:val="221F1F"/>
        </w:rPr>
        <w:t>from</w:t>
      </w:r>
      <w:r>
        <w:rPr>
          <w:color w:val="221F1F"/>
          <w:spacing w:val="-7"/>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 to the Contractor or from the Contractor to the Procuring Entity, as the case may be.</w:t>
      </w:r>
    </w:p>
    <w:p w:rsidR="007F6DF9" w:rsidRDefault="007F6DF9">
      <w:pPr>
        <w:pStyle w:val="BodyText"/>
        <w:spacing w:before="106"/>
      </w:pPr>
    </w:p>
    <w:p w:rsidR="007F6DF9" w:rsidRDefault="00A43FBC">
      <w:pPr>
        <w:pStyle w:val="ListParagraph"/>
        <w:numPr>
          <w:ilvl w:val="2"/>
          <w:numId w:val="122"/>
        </w:numPr>
        <w:tabs>
          <w:tab w:val="left" w:pos="1415"/>
          <w:tab w:val="left" w:pos="1436"/>
        </w:tabs>
        <w:spacing w:line="230" w:lineRule="auto"/>
        <w:ind w:left="1436" w:right="560" w:hanging="728"/>
        <w:jc w:val="both"/>
        <w:rPr>
          <w:color w:val="221F1F"/>
        </w:rPr>
      </w:pPr>
      <w:r>
        <w:rPr>
          <w:color w:val="221F1F"/>
        </w:rPr>
        <w:t xml:space="preserve">If the Contractor has not applied for a Final Payment Certificate in accordance with Sub-Clause 14.11 [Application for Final Payment Certificate] and Sub-Clause 14.12 [Discharge], the Architect shall request </w:t>
      </w:r>
      <w:proofErr w:type="spellStart"/>
      <w:r>
        <w:rPr>
          <w:color w:val="221F1F"/>
        </w:rPr>
        <w:t>theContractor</w:t>
      </w:r>
      <w:proofErr w:type="spellEnd"/>
      <w:r>
        <w:rPr>
          <w:color w:val="221F1F"/>
        </w:rPr>
        <w:t xml:space="preserve"> to do so. If the Contractor fails to submit an application within a period of 30 days, the Architect shall issue the Final Payment Certificate for such amount as he fairly determines to be due.</w:t>
      </w:r>
    </w:p>
    <w:p w:rsidR="007F6DF9" w:rsidRDefault="007F6DF9">
      <w:pPr>
        <w:pStyle w:val="BodyText"/>
        <w:spacing w:before="224"/>
      </w:pPr>
    </w:p>
    <w:p w:rsidR="007F6DF9" w:rsidRDefault="00A43FBC">
      <w:pPr>
        <w:pStyle w:val="Heading9"/>
        <w:numPr>
          <w:ilvl w:val="1"/>
          <w:numId w:val="122"/>
        </w:numPr>
        <w:tabs>
          <w:tab w:val="left" w:pos="1421"/>
        </w:tabs>
        <w:ind w:left="1421" w:hanging="720"/>
        <w:rPr>
          <w:color w:val="221F1F"/>
        </w:rPr>
      </w:pPr>
      <w:r>
        <w:rPr>
          <w:color w:val="221F1F"/>
        </w:rPr>
        <w:t>Cessation</w:t>
      </w:r>
      <w:r>
        <w:rPr>
          <w:color w:val="221F1F"/>
          <w:spacing w:val="-5"/>
        </w:rPr>
        <w:t xml:space="preserve"> </w:t>
      </w:r>
      <w:r>
        <w:rPr>
          <w:color w:val="221F1F"/>
        </w:rPr>
        <w:t>of</w:t>
      </w:r>
      <w:r>
        <w:rPr>
          <w:color w:val="221F1F"/>
          <w:spacing w:val="-4"/>
        </w:rPr>
        <w:t xml:space="preserve"> </w:t>
      </w:r>
      <w:r>
        <w:rPr>
          <w:color w:val="221F1F"/>
        </w:rPr>
        <w:t>Procuring</w:t>
      </w:r>
      <w:r>
        <w:rPr>
          <w:color w:val="221F1F"/>
          <w:spacing w:val="-5"/>
        </w:rPr>
        <w:t xml:space="preserve"> </w:t>
      </w:r>
      <w:r>
        <w:rPr>
          <w:color w:val="221F1F"/>
        </w:rPr>
        <w:t>Entity's</w:t>
      </w:r>
      <w:r>
        <w:rPr>
          <w:color w:val="221F1F"/>
          <w:spacing w:val="-4"/>
        </w:rPr>
        <w:t xml:space="preserve"> </w:t>
      </w:r>
      <w:r>
        <w:rPr>
          <w:color w:val="221F1F"/>
          <w:spacing w:val="-2"/>
        </w:rPr>
        <w:t>Liability</w:t>
      </w:r>
    </w:p>
    <w:p w:rsidR="007F6DF9" w:rsidRDefault="007F6DF9">
      <w:pPr>
        <w:pStyle w:val="BodyText"/>
        <w:spacing w:before="104"/>
        <w:rPr>
          <w:b/>
        </w:rPr>
      </w:pPr>
    </w:p>
    <w:p w:rsidR="007F6DF9" w:rsidRDefault="00A43FBC">
      <w:pPr>
        <w:pStyle w:val="ListParagraph"/>
        <w:numPr>
          <w:ilvl w:val="2"/>
          <w:numId w:val="122"/>
        </w:numPr>
        <w:tabs>
          <w:tab w:val="left" w:pos="1417"/>
          <w:tab w:val="left" w:pos="1431"/>
        </w:tabs>
        <w:spacing w:before="1" w:line="230" w:lineRule="auto"/>
        <w:ind w:left="1431" w:right="550" w:hanging="731"/>
        <w:jc w:val="both"/>
        <w:rPr>
          <w:color w:val="221F1F"/>
        </w:rPr>
      </w:pP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4"/>
        </w:rPr>
        <w:t xml:space="preserve"> </w:t>
      </w:r>
      <w:r>
        <w:rPr>
          <w:color w:val="221F1F"/>
        </w:rPr>
        <w:t>not</w:t>
      </w:r>
      <w:r>
        <w:rPr>
          <w:color w:val="221F1F"/>
          <w:spacing w:val="-3"/>
        </w:rPr>
        <w:t xml:space="preserve"> </w:t>
      </w:r>
      <w:r>
        <w:rPr>
          <w:color w:val="221F1F"/>
        </w:rPr>
        <w:t>be</w:t>
      </w:r>
      <w:r>
        <w:rPr>
          <w:color w:val="221F1F"/>
          <w:spacing w:val="-6"/>
        </w:rPr>
        <w:t xml:space="preserve"> </w:t>
      </w:r>
      <w:r>
        <w:rPr>
          <w:color w:val="221F1F"/>
        </w:rPr>
        <w:t>liable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for</w:t>
      </w:r>
      <w:r>
        <w:rPr>
          <w:color w:val="221F1F"/>
          <w:spacing w:val="-3"/>
        </w:rPr>
        <w:t xml:space="preserve"> </w:t>
      </w:r>
      <w:r>
        <w:rPr>
          <w:color w:val="221F1F"/>
        </w:rPr>
        <w:t>any</w:t>
      </w:r>
      <w:r>
        <w:rPr>
          <w:color w:val="221F1F"/>
          <w:spacing w:val="-6"/>
        </w:rPr>
        <w:t xml:space="preserve"> </w:t>
      </w:r>
      <w:r>
        <w:rPr>
          <w:color w:val="221F1F"/>
        </w:rPr>
        <w:t>matter</w:t>
      </w:r>
      <w:r>
        <w:rPr>
          <w:color w:val="221F1F"/>
          <w:spacing w:val="-2"/>
        </w:rPr>
        <w:t xml:space="preserve"> </w:t>
      </w:r>
      <w:r>
        <w:rPr>
          <w:color w:val="221F1F"/>
        </w:rPr>
        <w:t>or</w:t>
      </w:r>
      <w:r>
        <w:rPr>
          <w:color w:val="221F1F"/>
          <w:spacing w:val="-3"/>
        </w:rPr>
        <w:t xml:space="preserve"> </w:t>
      </w:r>
      <w:r>
        <w:rPr>
          <w:color w:val="221F1F"/>
        </w:rPr>
        <w:t>thing</w:t>
      </w:r>
      <w:r>
        <w:rPr>
          <w:color w:val="221F1F"/>
          <w:spacing w:val="-6"/>
        </w:rPr>
        <w:t xml:space="preserve"> </w:t>
      </w:r>
      <w:r>
        <w:rPr>
          <w:color w:val="221F1F"/>
        </w:rPr>
        <w:t>under</w:t>
      </w:r>
      <w:r>
        <w:rPr>
          <w:color w:val="221F1F"/>
          <w:spacing w:val="-2"/>
        </w:rPr>
        <w:t xml:space="preserve"> </w:t>
      </w:r>
      <w:r>
        <w:rPr>
          <w:color w:val="221F1F"/>
        </w:rPr>
        <w:t>or</w:t>
      </w:r>
      <w:r>
        <w:rPr>
          <w:color w:val="221F1F"/>
          <w:spacing w:val="-3"/>
        </w:rPr>
        <w:t xml:space="preserve"> </w:t>
      </w:r>
      <w:r>
        <w:rPr>
          <w:color w:val="221F1F"/>
        </w:rPr>
        <w:t>in</w:t>
      </w:r>
      <w:r>
        <w:rPr>
          <w:color w:val="221F1F"/>
          <w:spacing w:val="-6"/>
        </w:rPr>
        <w:t xml:space="preserve"> </w:t>
      </w:r>
      <w:r>
        <w:rPr>
          <w:color w:val="221F1F"/>
        </w:rPr>
        <w:t>connection</w:t>
      </w:r>
      <w:r>
        <w:rPr>
          <w:color w:val="221F1F"/>
          <w:spacing w:val="-3"/>
        </w:rPr>
        <w:t xml:space="preserve"> </w:t>
      </w:r>
      <w:r>
        <w:rPr>
          <w:color w:val="221F1F"/>
        </w:rPr>
        <w:t>with the</w:t>
      </w:r>
      <w:r>
        <w:rPr>
          <w:color w:val="221F1F"/>
          <w:spacing w:val="-14"/>
        </w:rPr>
        <w:t xml:space="preserve"> </w:t>
      </w:r>
      <w:r>
        <w:rPr>
          <w:color w:val="221F1F"/>
        </w:rPr>
        <w:t>Contract</w:t>
      </w:r>
      <w:r>
        <w:rPr>
          <w:color w:val="221F1F"/>
          <w:spacing w:val="-14"/>
        </w:rPr>
        <w:t xml:space="preserve"> </w:t>
      </w:r>
      <w:r>
        <w:rPr>
          <w:color w:val="221F1F"/>
        </w:rPr>
        <w:t>or</w:t>
      </w:r>
      <w:r>
        <w:rPr>
          <w:color w:val="221F1F"/>
          <w:spacing w:val="-14"/>
        </w:rPr>
        <w:t xml:space="preserve"> </w:t>
      </w:r>
      <w:r>
        <w:rPr>
          <w:color w:val="221F1F"/>
        </w:rPr>
        <w:t>execution</w:t>
      </w:r>
      <w:r>
        <w:rPr>
          <w:color w:val="221F1F"/>
          <w:spacing w:val="-1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Works,</w:t>
      </w:r>
      <w:r>
        <w:rPr>
          <w:color w:val="221F1F"/>
          <w:spacing w:val="-14"/>
        </w:rPr>
        <w:t xml:space="preserve"> </w:t>
      </w:r>
      <w:r>
        <w:rPr>
          <w:color w:val="221F1F"/>
        </w:rPr>
        <w:t>except</w:t>
      </w:r>
      <w:r>
        <w:rPr>
          <w:color w:val="221F1F"/>
          <w:spacing w:val="-13"/>
        </w:rPr>
        <w:t xml:space="preserve"> </w:t>
      </w:r>
      <w:r>
        <w:rPr>
          <w:color w:val="221F1F"/>
        </w:rPr>
        <w:t>to</w:t>
      </w:r>
      <w:r>
        <w:rPr>
          <w:color w:val="221F1F"/>
          <w:spacing w:val="-14"/>
        </w:rPr>
        <w:t xml:space="preserve"> </w:t>
      </w:r>
      <w:r>
        <w:rPr>
          <w:color w:val="221F1F"/>
        </w:rPr>
        <w:t>the</w:t>
      </w:r>
      <w:r>
        <w:rPr>
          <w:color w:val="221F1F"/>
          <w:spacing w:val="-14"/>
        </w:rPr>
        <w:t xml:space="preserve"> </w:t>
      </w:r>
      <w:r>
        <w:rPr>
          <w:color w:val="221F1F"/>
        </w:rPr>
        <w:t>extent</w:t>
      </w:r>
      <w:r>
        <w:rPr>
          <w:color w:val="221F1F"/>
          <w:spacing w:val="-12"/>
        </w:rPr>
        <w:t xml:space="preserve"> </w:t>
      </w:r>
      <w:r>
        <w:rPr>
          <w:color w:val="221F1F"/>
        </w:rPr>
        <w:t>that</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11"/>
        </w:rPr>
        <w:t xml:space="preserve"> </w:t>
      </w:r>
      <w:r>
        <w:rPr>
          <w:color w:val="221F1F"/>
        </w:rPr>
        <w:t>shall</w:t>
      </w:r>
      <w:r>
        <w:rPr>
          <w:color w:val="221F1F"/>
          <w:spacing w:val="-13"/>
        </w:rPr>
        <w:t xml:space="preserve"> </w:t>
      </w:r>
      <w:r>
        <w:rPr>
          <w:color w:val="221F1F"/>
        </w:rPr>
        <w:t>have</w:t>
      </w:r>
      <w:r>
        <w:rPr>
          <w:color w:val="221F1F"/>
          <w:spacing w:val="-14"/>
        </w:rPr>
        <w:t xml:space="preserve"> </w:t>
      </w:r>
      <w:r>
        <w:rPr>
          <w:color w:val="221F1F"/>
        </w:rPr>
        <w:t>included</w:t>
      </w:r>
      <w:r>
        <w:rPr>
          <w:color w:val="221F1F"/>
          <w:spacing w:val="-14"/>
        </w:rPr>
        <w:t xml:space="preserve"> </w:t>
      </w:r>
      <w:r>
        <w:rPr>
          <w:color w:val="221F1F"/>
        </w:rPr>
        <w:t>an</w:t>
      </w:r>
      <w:r>
        <w:rPr>
          <w:color w:val="221F1F"/>
          <w:spacing w:val="-11"/>
        </w:rPr>
        <w:t xml:space="preserve"> </w:t>
      </w:r>
      <w:r>
        <w:rPr>
          <w:color w:val="221F1F"/>
        </w:rPr>
        <w:t>amount expressly for it:</w:t>
      </w:r>
    </w:p>
    <w:p w:rsidR="007F6DF9" w:rsidRDefault="00A43FBC">
      <w:pPr>
        <w:pStyle w:val="ListParagraph"/>
        <w:numPr>
          <w:ilvl w:val="0"/>
          <w:numId w:val="66"/>
        </w:numPr>
        <w:tabs>
          <w:tab w:val="left" w:pos="1866"/>
        </w:tabs>
        <w:spacing w:before="40" w:line="251" w:lineRule="exact"/>
        <w:ind w:left="1866" w:hanging="445"/>
        <w:jc w:val="both"/>
        <w:rPr>
          <w:color w:val="221F1F"/>
        </w:rPr>
      </w:pPr>
      <w:r>
        <w:rPr>
          <w:color w:val="221F1F"/>
        </w:rPr>
        <w:t>in</w:t>
      </w:r>
      <w:r>
        <w:rPr>
          <w:color w:val="221F1F"/>
          <w:spacing w:val="-3"/>
        </w:rPr>
        <w:t xml:space="preserve"> </w:t>
      </w:r>
      <w:r>
        <w:rPr>
          <w:color w:val="221F1F"/>
        </w:rPr>
        <w:t>the</w:t>
      </w:r>
      <w:r>
        <w:rPr>
          <w:color w:val="221F1F"/>
          <w:spacing w:val="-3"/>
        </w:rPr>
        <w:t xml:space="preserve"> </w:t>
      </w:r>
      <w:r>
        <w:rPr>
          <w:color w:val="221F1F"/>
        </w:rPr>
        <w:t>Final</w:t>
      </w:r>
      <w:r>
        <w:rPr>
          <w:color w:val="221F1F"/>
          <w:spacing w:val="-3"/>
        </w:rPr>
        <w:t xml:space="preserve"> </w:t>
      </w:r>
      <w:r>
        <w:rPr>
          <w:color w:val="221F1F"/>
        </w:rPr>
        <w:t>Statement</w:t>
      </w:r>
      <w:r>
        <w:rPr>
          <w:color w:val="221F1F"/>
          <w:spacing w:val="-1"/>
        </w:rPr>
        <w:t xml:space="preserve"> </w:t>
      </w:r>
      <w:r>
        <w:rPr>
          <w:color w:val="221F1F"/>
        </w:rPr>
        <w:t>and</w:t>
      </w:r>
      <w:r>
        <w:rPr>
          <w:color w:val="221F1F"/>
          <w:spacing w:val="-5"/>
        </w:rPr>
        <w:t xml:space="preserve"> </w:t>
      </w:r>
      <w:r>
        <w:rPr>
          <w:color w:val="221F1F"/>
          <w:spacing w:val="-2"/>
        </w:rPr>
        <w:t>also,</w:t>
      </w:r>
    </w:p>
    <w:p w:rsidR="007F6DF9" w:rsidRDefault="00A43FBC">
      <w:pPr>
        <w:pStyle w:val="ListParagraph"/>
        <w:numPr>
          <w:ilvl w:val="0"/>
          <w:numId w:val="66"/>
        </w:numPr>
        <w:tabs>
          <w:tab w:val="left" w:pos="1866"/>
          <w:tab w:val="left" w:pos="1887"/>
        </w:tabs>
        <w:spacing w:before="5" w:line="232" w:lineRule="auto"/>
        <w:ind w:left="1887" w:right="584" w:hanging="466"/>
        <w:jc w:val="both"/>
        <w:rPr>
          <w:color w:val="221F1F"/>
        </w:rPr>
      </w:pPr>
      <w:r>
        <w:rPr>
          <w:color w:val="221F1F"/>
        </w:rPr>
        <w:t>(except</w:t>
      </w:r>
      <w:r>
        <w:rPr>
          <w:color w:val="221F1F"/>
          <w:spacing w:val="-4"/>
        </w:rPr>
        <w:t xml:space="preserve"> </w:t>
      </w:r>
      <w:r>
        <w:rPr>
          <w:color w:val="221F1F"/>
        </w:rPr>
        <w:t>for</w:t>
      </w:r>
      <w:r>
        <w:rPr>
          <w:color w:val="221F1F"/>
          <w:spacing w:val="-4"/>
        </w:rPr>
        <w:t xml:space="preserve"> </w:t>
      </w:r>
      <w:r>
        <w:rPr>
          <w:color w:val="221F1F"/>
        </w:rPr>
        <w:t>matters</w:t>
      </w:r>
      <w:r>
        <w:rPr>
          <w:color w:val="221F1F"/>
          <w:spacing w:val="-3"/>
        </w:rPr>
        <w:t xml:space="preserve"> </w:t>
      </w:r>
      <w:r>
        <w:rPr>
          <w:color w:val="221F1F"/>
        </w:rPr>
        <w:t>or</w:t>
      </w:r>
      <w:r>
        <w:rPr>
          <w:color w:val="221F1F"/>
          <w:spacing w:val="-4"/>
        </w:rPr>
        <w:t xml:space="preserve"> </w:t>
      </w:r>
      <w:r>
        <w:rPr>
          <w:color w:val="221F1F"/>
        </w:rPr>
        <w:t>things</w:t>
      </w:r>
      <w:r>
        <w:rPr>
          <w:color w:val="221F1F"/>
          <w:spacing w:val="-3"/>
        </w:rPr>
        <w:t xml:space="preserve"> </w:t>
      </w:r>
      <w:r>
        <w:rPr>
          <w:color w:val="221F1F"/>
        </w:rPr>
        <w:t>arising</w:t>
      </w:r>
      <w:r>
        <w:rPr>
          <w:color w:val="221F1F"/>
          <w:spacing w:val="-3"/>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issue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Taking-Over</w:t>
      </w:r>
      <w:r>
        <w:rPr>
          <w:color w:val="221F1F"/>
          <w:spacing w:val="-2"/>
        </w:rPr>
        <w:t xml:space="preserve"> </w:t>
      </w:r>
      <w:r>
        <w:rPr>
          <w:color w:val="221F1F"/>
        </w:rPr>
        <w:t>Certificate</w:t>
      </w:r>
      <w:r>
        <w:rPr>
          <w:color w:val="221F1F"/>
          <w:spacing w:val="-4"/>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Works)</w:t>
      </w:r>
      <w:r>
        <w:rPr>
          <w:color w:val="221F1F"/>
          <w:spacing w:val="-9"/>
        </w:rPr>
        <w:t xml:space="preserve"> </w:t>
      </w:r>
      <w:r>
        <w:rPr>
          <w:color w:val="221F1F"/>
        </w:rPr>
        <w:t>in</w:t>
      </w:r>
      <w:r>
        <w:rPr>
          <w:color w:val="221F1F"/>
          <w:spacing w:val="-3"/>
        </w:rPr>
        <w:t xml:space="preserve"> </w:t>
      </w:r>
      <w:r>
        <w:rPr>
          <w:color w:val="221F1F"/>
        </w:rPr>
        <w:t>the Statement at completion described in Sub-Clause 14.10 [Statement at Completion].</w:t>
      </w:r>
    </w:p>
    <w:p w:rsidR="007F6DF9" w:rsidRDefault="007F6DF9">
      <w:pPr>
        <w:pStyle w:val="BodyText"/>
        <w:spacing w:before="106"/>
      </w:pPr>
    </w:p>
    <w:p w:rsidR="007F6DF9" w:rsidRDefault="00A43FBC">
      <w:pPr>
        <w:pStyle w:val="ListParagraph"/>
        <w:numPr>
          <w:ilvl w:val="2"/>
          <w:numId w:val="122"/>
        </w:numPr>
        <w:tabs>
          <w:tab w:val="left" w:pos="1418"/>
          <w:tab w:val="left" w:pos="1429"/>
        </w:tabs>
        <w:spacing w:line="230" w:lineRule="auto"/>
        <w:ind w:right="550" w:hanging="728"/>
        <w:jc w:val="both"/>
        <w:rPr>
          <w:color w:val="221F1F"/>
        </w:rPr>
      </w:pPr>
      <w:r>
        <w:rPr>
          <w:color w:val="221F1F"/>
        </w:rPr>
        <w:t xml:space="preserve">However, this Sub-Clause shall not limit the Procuring Entity's liability under his in </w:t>
      </w:r>
      <w:proofErr w:type="spellStart"/>
      <w:r>
        <w:rPr>
          <w:color w:val="221F1F"/>
        </w:rPr>
        <w:t>demnification</w:t>
      </w:r>
      <w:proofErr w:type="spellEnd"/>
      <w:r>
        <w:rPr>
          <w:color w:val="221F1F"/>
        </w:rPr>
        <w:t xml:space="preserve"> obligations, or</w:t>
      </w:r>
      <w:r>
        <w:rPr>
          <w:color w:val="221F1F"/>
          <w:spacing w:val="-1"/>
        </w:rPr>
        <w:t xml:space="preserve"> </w:t>
      </w:r>
      <w:r>
        <w:rPr>
          <w:color w:val="221F1F"/>
        </w:rPr>
        <w:t>the</w:t>
      </w:r>
      <w:r>
        <w:rPr>
          <w:color w:val="221F1F"/>
          <w:spacing w:val="-1"/>
        </w:rPr>
        <w:t xml:space="preserve"> </w:t>
      </w:r>
      <w:r>
        <w:rPr>
          <w:color w:val="221F1F"/>
        </w:rPr>
        <w:t>Procuring Entity's liability</w:t>
      </w:r>
      <w:r>
        <w:rPr>
          <w:color w:val="221F1F"/>
          <w:spacing w:val="-1"/>
        </w:rPr>
        <w:t xml:space="preserve"> </w:t>
      </w:r>
      <w:r>
        <w:rPr>
          <w:color w:val="221F1F"/>
        </w:rPr>
        <w:t>in</w:t>
      </w:r>
      <w:r>
        <w:rPr>
          <w:color w:val="221F1F"/>
          <w:spacing w:val="-1"/>
        </w:rPr>
        <w:t xml:space="preserve"> </w:t>
      </w:r>
      <w:r>
        <w:rPr>
          <w:color w:val="221F1F"/>
        </w:rPr>
        <w:t>any</w:t>
      </w:r>
      <w:r>
        <w:rPr>
          <w:color w:val="221F1F"/>
          <w:spacing w:val="-1"/>
        </w:rPr>
        <w:t xml:space="preserve"> </w:t>
      </w:r>
      <w:r>
        <w:rPr>
          <w:color w:val="221F1F"/>
        </w:rPr>
        <w:t>case of</w:t>
      </w:r>
      <w:r>
        <w:rPr>
          <w:color w:val="221F1F"/>
          <w:spacing w:val="-1"/>
        </w:rPr>
        <w:t xml:space="preserve"> </w:t>
      </w:r>
      <w:r>
        <w:rPr>
          <w:color w:val="221F1F"/>
        </w:rPr>
        <w:t>fraud, deliberate</w:t>
      </w:r>
      <w:r>
        <w:rPr>
          <w:color w:val="221F1F"/>
          <w:spacing w:val="-1"/>
        </w:rPr>
        <w:t xml:space="preserve"> </w:t>
      </w:r>
      <w:r>
        <w:rPr>
          <w:color w:val="221F1F"/>
        </w:rPr>
        <w:t>default or</w:t>
      </w:r>
      <w:r>
        <w:rPr>
          <w:color w:val="221F1F"/>
          <w:spacing w:val="-1"/>
        </w:rPr>
        <w:t xml:space="preserve"> </w:t>
      </w:r>
      <w:r>
        <w:rPr>
          <w:color w:val="221F1F"/>
        </w:rPr>
        <w:t>reckless</w:t>
      </w:r>
      <w:r>
        <w:rPr>
          <w:color w:val="221F1F"/>
          <w:spacing w:val="-1"/>
        </w:rPr>
        <w:t xml:space="preserve"> </w:t>
      </w:r>
      <w:r>
        <w:rPr>
          <w:color w:val="221F1F"/>
        </w:rPr>
        <w:t>misconduct by the Procuring Entity.</w:t>
      </w:r>
    </w:p>
    <w:p w:rsidR="007F6DF9" w:rsidRDefault="007F6DF9">
      <w:pPr>
        <w:pStyle w:val="ListParagraph"/>
        <w:spacing w:line="230" w:lineRule="auto"/>
        <w:jc w:val="both"/>
        <w:sectPr w:rsidR="007F6DF9">
          <w:pgSz w:w="11920" w:h="16850"/>
          <w:pgMar w:top="360" w:right="283" w:bottom="620" w:left="141" w:header="0" w:footer="437" w:gutter="0"/>
          <w:pgNumType w:start="113"/>
          <w:cols w:space="720"/>
        </w:sectPr>
      </w:pPr>
    </w:p>
    <w:p w:rsidR="007F6DF9" w:rsidRDefault="007F6DF9">
      <w:pPr>
        <w:pStyle w:val="BodyText"/>
        <w:spacing w:before="94"/>
      </w:pPr>
    </w:p>
    <w:p w:rsidR="007F6DF9" w:rsidRDefault="00A43FBC">
      <w:pPr>
        <w:pStyle w:val="Heading9"/>
        <w:numPr>
          <w:ilvl w:val="1"/>
          <w:numId w:val="122"/>
        </w:numPr>
        <w:tabs>
          <w:tab w:val="left" w:pos="1421"/>
        </w:tabs>
        <w:ind w:left="1421" w:hanging="720"/>
        <w:rPr>
          <w:color w:val="221F1F"/>
        </w:rPr>
      </w:pPr>
      <w:r>
        <w:rPr>
          <w:color w:val="221F1F"/>
        </w:rPr>
        <w:t>Currencies</w:t>
      </w:r>
      <w:r>
        <w:rPr>
          <w:color w:val="221F1F"/>
          <w:spacing w:val="-4"/>
        </w:rPr>
        <w:t xml:space="preserve"> </w:t>
      </w:r>
      <w:r>
        <w:rPr>
          <w:color w:val="221F1F"/>
        </w:rPr>
        <w:t>of</w:t>
      </w:r>
      <w:r>
        <w:rPr>
          <w:color w:val="221F1F"/>
          <w:spacing w:val="-3"/>
        </w:rPr>
        <w:t xml:space="preserve"> </w:t>
      </w:r>
      <w:r>
        <w:rPr>
          <w:color w:val="221F1F"/>
          <w:spacing w:val="-2"/>
        </w:rPr>
        <w:t>Payment</w:t>
      </w:r>
    </w:p>
    <w:p w:rsidR="007F6DF9" w:rsidRDefault="007F6DF9">
      <w:pPr>
        <w:pStyle w:val="BodyText"/>
        <w:spacing w:before="104"/>
        <w:rPr>
          <w:b/>
        </w:rPr>
      </w:pPr>
    </w:p>
    <w:p w:rsidR="007F6DF9" w:rsidRDefault="00A43FBC">
      <w:pPr>
        <w:pStyle w:val="BodyText"/>
        <w:spacing w:before="1" w:line="230" w:lineRule="auto"/>
        <w:ind w:left="1433" w:right="1545" w:hanging="12"/>
        <w:jc w:val="both"/>
      </w:pP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2"/>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paid</w:t>
      </w:r>
      <w:r>
        <w:rPr>
          <w:color w:val="221F1F"/>
          <w:spacing w:val="-4"/>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currency</w:t>
      </w:r>
      <w:r>
        <w:rPr>
          <w:color w:val="221F1F"/>
          <w:spacing w:val="-4"/>
        </w:rPr>
        <w:t xml:space="preserve"> </w:t>
      </w:r>
      <w:r>
        <w:rPr>
          <w:color w:val="221F1F"/>
        </w:rPr>
        <w:t>or</w:t>
      </w:r>
      <w:r>
        <w:rPr>
          <w:color w:val="221F1F"/>
          <w:spacing w:val="-4"/>
        </w:rPr>
        <w:t xml:space="preserve"> </w:t>
      </w:r>
      <w:r>
        <w:rPr>
          <w:color w:val="221F1F"/>
        </w:rPr>
        <w:t>currencies</w:t>
      </w:r>
      <w:r>
        <w:rPr>
          <w:color w:val="221F1F"/>
          <w:spacing w:val="-1"/>
        </w:rPr>
        <w:t xml:space="preserve"> </w:t>
      </w:r>
      <w:r>
        <w:rPr>
          <w:color w:val="221F1F"/>
        </w:rPr>
        <w:t>named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Schedule</w:t>
      </w:r>
      <w:r>
        <w:rPr>
          <w:color w:val="221F1F"/>
          <w:spacing w:val="-1"/>
        </w:rPr>
        <w:t xml:space="preserve"> </w:t>
      </w:r>
      <w:r>
        <w:rPr>
          <w:color w:val="221F1F"/>
        </w:rPr>
        <w:t>of</w:t>
      </w:r>
      <w:r>
        <w:rPr>
          <w:color w:val="221F1F"/>
          <w:spacing w:val="-1"/>
        </w:rPr>
        <w:t xml:space="preserve"> </w:t>
      </w:r>
      <w:r>
        <w:rPr>
          <w:color w:val="221F1F"/>
        </w:rPr>
        <w:t>Payment Currencies. If more than one currency is so named, payments shall be made as follows:</w:t>
      </w:r>
    </w:p>
    <w:p w:rsidR="007F6DF9" w:rsidRDefault="00A43FBC">
      <w:pPr>
        <w:pStyle w:val="ListParagraph"/>
        <w:numPr>
          <w:ilvl w:val="0"/>
          <w:numId w:val="91"/>
        </w:numPr>
        <w:tabs>
          <w:tab w:val="left" w:pos="1832"/>
        </w:tabs>
        <w:spacing w:before="46"/>
        <w:ind w:left="1832" w:hanging="411"/>
        <w:jc w:val="both"/>
      </w:pPr>
      <w:r>
        <w:rPr>
          <w:color w:val="221F1F"/>
        </w:rPr>
        <w:t>If</w:t>
      </w:r>
      <w:r>
        <w:rPr>
          <w:color w:val="221F1F"/>
          <w:spacing w:val="-3"/>
        </w:rPr>
        <w:t xml:space="preserve"> </w:t>
      </w:r>
      <w:r>
        <w:rPr>
          <w:color w:val="221F1F"/>
        </w:rPr>
        <w:t>the</w:t>
      </w:r>
      <w:r>
        <w:rPr>
          <w:color w:val="221F1F"/>
          <w:spacing w:val="-4"/>
        </w:rPr>
        <w:t xml:space="preserve"> </w:t>
      </w:r>
      <w:r>
        <w:rPr>
          <w:color w:val="221F1F"/>
        </w:rPr>
        <w:t>Accepted</w:t>
      </w:r>
      <w:r>
        <w:rPr>
          <w:color w:val="221F1F"/>
          <w:spacing w:val="-3"/>
        </w:rPr>
        <w:t xml:space="preserve"> </w:t>
      </w:r>
      <w:r>
        <w:rPr>
          <w:color w:val="221F1F"/>
        </w:rPr>
        <w:t>Contract</w:t>
      </w:r>
      <w:r>
        <w:rPr>
          <w:color w:val="221F1F"/>
          <w:spacing w:val="-3"/>
        </w:rPr>
        <w:t xml:space="preserve"> </w:t>
      </w:r>
      <w:r>
        <w:rPr>
          <w:color w:val="221F1F"/>
        </w:rPr>
        <w:t>Amount</w:t>
      </w:r>
      <w:r>
        <w:rPr>
          <w:color w:val="221F1F"/>
          <w:spacing w:val="-3"/>
        </w:rPr>
        <w:t xml:space="preserve"> </w:t>
      </w:r>
      <w:r>
        <w:rPr>
          <w:color w:val="221F1F"/>
        </w:rPr>
        <w:t>was</w:t>
      </w:r>
      <w:r>
        <w:rPr>
          <w:color w:val="221F1F"/>
          <w:spacing w:val="-6"/>
        </w:rPr>
        <w:t xml:space="preserve"> </w:t>
      </w:r>
      <w:r>
        <w:rPr>
          <w:color w:val="221F1F"/>
        </w:rPr>
        <w:t>expressed</w:t>
      </w:r>
      <w:r>
        <w:rPr>
          <w:color w:val="221F1F"/>
          <w:spacing w:val="-2"/>
        </w:rPr>
        <w:t xml:space="preserve"> </w:t>
      </w:r>
      <w:r>
        <w:rPr>
          <w:color w:val="221F1F"/>
        </w:rPr>
        <w:t>in</w:t>
      </w:r>
      <w:r>
        <w:rPr>
          <w:color w:val="221F1F"/>
          <w:spacing w:val="-4"/>
        </w:rPr>
        <w:t xml:space="preserve"> </w:t>
      </w:r>
      <w:r>
        <w:rPr>
          <w:color w:val="221F1F"/>
        </w:rPr>
        <w:t>Local</w:t>
      </w:r>
      <w:r>
        <w:rPr>
          <w:color w:val="221F1F"/>
          <w:spacing w:val="-3"/>
        </w:rPr>
        <w:t xml:space="preserve"> </w:t>
      </w:r>
      <w:r>
        <w:rPr>
          <w:color w:val="221F1F"/>
        </w:rPr>
        <w:t>Currency</w:t>
      </w:r>
      <w:r>
        <w:rPr>
          <w:color w:val="221F1F"/>
          <w:spacing w:val="-3"/>
        </w:rPr>
        <w:t xml:space="preserve"> </w:t>
      </w:r>
      <w:r>
        <w:rPr>
          <w:color w:val="221F1F"/>
          <w:spacing w:val="-2"/>
        </w:rPr>
        <w:t>only:</w:t>
      </w:r>
    </w:p>
    <w:p w:rsidR="007F6DF9" w:rsidRDefault="00A43FBC">
      <w:pPr>
        <w:pStyle w:val="ListParagraph"/>
        <w:numPr>
          <w:ilvl w:val="1"/>
          <w:numId w:val="91"/>
        </w:numPr>
        <w:tabs>
          <w:tab w:val="left" w:pos="2291"/>
          <w:tab w:val="left" w:pos="2293"/>
        </w:tabs>
        <w:spacing w:before="50" w:line="230" w:lineRule="auto"/>
        <w:ind w:right="553"/>
        <w:jc w:val="both"/>
      </w:pPr>
      <w:r>
        <w:rPr>
          <w:color w:val="221F1F"/>
        </w:rPr>
        <w:t>the</w:t>
      </w:r>
      <w:r>
        <w:rPr>
          <w:color w:val="221F1F"/>
          <w:spacing w:val="-4"/>
        </w:rPr>
        <w:t xml:space="preserve"> </w:t>
      </w:r>
      <w:r>
        <w:rPr>
          <w:color w:val="221F1F"/>
        </w:rPr>
        <w:t>proportions</w:t>
      </w:r>
      <w:r>
        <w:rPr>
          <w:color w:val="221F1F"/>
          <w:spacing w:val="-3"/>
        </w:rPr>
        <w:t xml:space="preserve"> </w:t>
      </w:r>
      <w:r>
        <w:rPr>
          <w:color w:val="221F1F"/>
        </w:rPr>
        <w:t>or</w:t>
      </w:r>
      <w:r>
        <w:rPr>
          <w:color w:val="221F1F"/>
          <w:spacing w:val="-6"/>
        </w:rPr>
        <w:t xml:space="preserve"> </w:t>
      </w:r>
      <w:r>
        <w:rPr>
          <w:color w:val="221F1F"/>
        </w:rPr>
        <w:t>amounts</w:t>
      </w:r>
      <w:r>
        <w:rPr>
          <w:color w:val="221F1F"/>
          <w:spacing w:val="-6"/>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Local</w:t>
      </w:r>
      <w:r>
        <w:rPr>
          <w:color w:val="221F1F"/>
          <w:spacing w:val="-6"/>
        </w:rPr>
        <w:t xml:space="preserve"> </w:t>
      </w:r>
      <w:r>
        <w:rPr>
          <w:color w:val="221F1F"/>
        </w:rPr>
        <w:t>and</w:t>
      </w:r>
      <w:r>
        <w:rPr>
          <w:color w:val="221F1F"/>
          <w:spacing w:val="-6"/>
        </w:rPr>
        <w:t xml:space="preserve"> </w:t>
      </w:r>
      <w:r>
        <w:rPr>
          <w:color w:val="221F1F"/>
        </w:rPr>
        <w:t>Foreign</w:t>
      </w:r>
      <w:r>
        <w:rPr>
          <w:color w:val="221F1F"/>
          <w:spacing w:val="-7"/>
        </w:rPr>
        <w:t xml:space="preserve"> </w:t>
      </w:r>
      <w:r>
        <w:rPr>
          <w:color w:val="221F1F"/>
        </w:rPr>
        <w:t>Currencies,</w:t>
      </w:r>
      <w:r>
        <w:rPr>
          <w:color w:val="221F1F"/>
          <w:spacing w:val="-6"/>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fixed</w:t>
      </w:r>
      <w:r>
        <w:rPr>
          <w:color w:val="221F1F"/>
          <w:spacing w:val="-7"/>
        </w:rPr>
        <w:t xml:space="preserve"> </w:t>
      </w:r>
      <w:r>
        <w:rPr>
          <w:color w:val="221F1F"/>
        </w:rPr>
        <w:t>rates</w:t>
      </w:r>
      <w:r>
        <w:rPr>
          <w:color w:val="221F1F"/>
          <w:spacing w:val="-4"/>
        </w:rPr>
        <w:t xml:space="preserve"> </w:t>
      </w:r>
      <w:r>
        <w:rPr>
          <w:color w:val="221F1F"/>
        </w:rPr>
        <w:t>of</w:t>
      </w:r>
      <w:r>
        <w:rPr>
          <w:color w:val="221F1F"/>
          <w:spacing w:val="-6"/>
        </w:rPr>
        <w:t xml:space="preserve"> </w:t>
      </w:r>
      <w:r>
        <w:rPr>
          <w:color w:val="221F1F"/>
        </w:rPr>
        <w:t>exchange</w:t>
      </w:r>
      <w:r>
        <w:rPr>
          <w:color w:val="221F1F"/>
          <w:spacing w:val="-8"/>
        </w:rPr>
        <w:t xml:space="preserve"> </w:t>
      </w:r>
      <w:r>
        <w:rPr>
          <w:color w:val="221F1F"/>
        </w:rPr>
        <w:t>to be used for calculating the payments, shall be as stated in the Schedule of Payment Currencies, except as otherwise agreed by both Parties;</w:t>
      </w:r>
    </w:p>
    <w:p w:rsidR="007F6DF9" w:rsidRDefault="00A43FBC">
      <w:pPr>
        <w:pStyle w:val="ListParagraph"/>
        <w:numPr>
          <w:ilvl w:val="1"/>
          <w:numId w:val="91"/>
        </w:numPr>
        <w:tabs>
          <w:tab w:val="left" w:pos="2288"/>
          <w:tab w:val="left" w:pos="2290"/>
        </w:tabs>
        <w:spacing w:before="50" w:line="230" w:lineRule="auto"/>
        <w:ind w:left="2290" w:right="553" w:hanging="425"/>
        <w:jc w:val="both"/>
      </w:pPr>
      <w:r>
        <w:rPr>
          <w:color w:val="221F1F"/>
        </w:rPr>
        <w:t>payments and deductions under Sub-Clause 13.5 [Provisional Sums] and Sub-Clause 13.7 [Adjustments for Changes in Legislation] shall be made in the applicable currencies and proportions; and</w:t>
      </w:r>
    </w:p>
    <w:p w:rsidR="007F6DF9" w:rsidRDefault="00A43FBC">
      <w:pPr>
        <w:pStyle w:val="ListParagraph"/>
        <w:numPr>
          <w:ilvl w:val="1"/>
          <w:numId w:val="91"/>
        </w:numPr>
        <w:tabs>
          <w:tab w:val="left" w:pos="2286"/>
          <w:tab w:val="left" w:pos="2290"/>
        </w:tabs>
        <w:spacing w:before="49" w:line="230" w:lineRule="auto"/>
        <w:ind w:left="2290" w:right="551" w:hanging="425"/>
        <w:jc w:val="both"/>
      </w:pPr>
      <w:proofErr w:type="spellStart"/>
      <w:r>
        <w:rPr>
          <w:color w:val="221F1F"/>
        </w:rPr>
        <w:t>otherpaymentsanddeductions</w:t>
      </w:r>
      <w:proofErr w:type="spellEnd"/>
      <w:r>
        <w:rPr>
          <w:color w:val="221F1F"/>
        </w:rPr>
        <w:t xml:space="preserve"> under sub-paragraphs (a) to (d) of Sub-Clause 14.3 [Application for Interim Payment Certificates] shall be made in the currencies and proportions specified in sub-paragraph (a) (</w:t>
      </w:r>
      <w:proofErr w:type="spellStart"/>
      <w:r>
        <w:rPr>
          <w:color w:val="221F1F"/>
        </w:rPr>
        <w:t>i</w:t>
      </w:r>
      <w:proofErr w:type="spellEnd"/>
      <w:r>
        <w:rPr>
          <w:color w:val="221F1F"/>
        </w:rPr>
        <w:t>) above;</w:t>
      </w:r>
    </w:p>
    <w:p w:rsidR="007F6DF9" w:rsidRDefault="00A43FBC">
      <w:pPr>
        <w:pStyle w:val="ListParagraph"/>
        <w:numPr>
          <w:ilvl w:val="0"/>
          <w:numId w:val="91"/>
        </w:numPr>
        <w:tabs>
          <w:tab w:val="left" w:pos="1834"/>
        </w:tabs>
        <w:spacing w:before="47" w:line="232" w:lineRule="auto"/>
        <w:ind w:right="1472"/>
      </w:pPr>
      <w:r>
        <w:rPr>
          <w:color w:val="221F1F"/>
        </w:rPr>
        <w:t>payment</w:t>
      </w:r>
      <w:r>
        <w:rPr>
          <w:color w:val="221F1F"/>
          <w:spacing w:val="-3"/>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damages</w:t>
      </w:r>
      <w:r>
        <w:rPr>
          <w:color w:val="221F1F"/>
          <w:spacing w:val="-3"/>
        </w:rPr>
        <w:t xml:space="preserve"> </w:t>
      </w:r>
      <w:r>
        <w:rPr>
          <w:color w:val="221F1F"/>
        </w:rPr>
        <w:t>specified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1"/>
        </w:rPr>
        <w:t xml:space="preserve"> </w:t>
      </w:r>
      <w:r>
        <w:rPr>
          <w:color w:val="221F1F"/>
        </w:rPr>
        <w:t>of</w:t>
      </w:r>
      <w:r>
        <w:rPr>
          <w:color w:val="221F1F"/>
          <w:spacing w:val="-4"/>
        </w:rPr>
        <w:t xml:space="preserve"> </w:t>
      </w:r>
      <w:r>
        <w:rPr>
          <w:color w:val="221F1F"/>
        </w:rPr>
        <w:t>Contract,</w:t>
      </w:r>
      <w:r>
        <w:rPr>
          <w:color w:val="221F1F"/>
          <w:spacing w:val="-2"/>
        </w:rPr>
        <w:t xml:space="preserve"> </w:t>
      </w:r>
      <w:r>
        <w:rPr>
          <w:color w:val="221F1F"/>
        </w:rPr>
        <w:t>shall be</w:t>
      </w:r>
      <w:r>
        <w:rPr>
          <w:color w:val="221F1F"/>
          <w:spacing w:val="-7"/>
        </w:rPr>
        <w:t xml:space="preserve"> </w:t>
      </w:r>
      <w:r>
        <w:rPr>
          <w:color w:val="221F1F"/>
        </w:rPr>
        <w:t>made</w:t>
      </w:r>
      <w:r>
        <w:rPr>
          <w:color w:val="221F1F"/>
          <w:spacing w:val="-4"/>
        </w:rPr>
        <w:t xml:space="preserve"> </w:t>
      </w:r>
      <w:r>
        <w:rPr>
          <w:color w:val="221F1F"/>
        </w:rPr>
        <w:t>in</w:t>
      </w:r>
      <w:r>
        <w:rPr>
          <w:color w:val="221F1F"/>
          <w:spacing w:val="-5"/>
        </w:rPr>
        <w:t xml:space="preserve"> </w:t>
      </w:r>
      <w:r>
        <w:rPr>
          <w:color w:val="221F1F"/>
        </w:rPr>
        <w:t>the currencies and proportions specified in the Schedule of Payment Currencies;</w:t>
      </w:r>
    </w:p>
    <w:p w:rsidR="007F6DF9" w:rsidRDefault="00A43FBC">
      <w:pPr>
        <w:pStyle w:val="ListParagraph"/>
        <w:numPr>
          <w:ilvl w:val="0"/>
          <w:numId w:val="91"/>
        </w:numPr>
        <w:tabs>
          <w:tab w:val="left" w:pos="1834"/>
        </w:tabs>
        <w:spacing w:before="49" w:line="230" w:lineRule="auto"/>
        <w:ind w:right="853"/>
      </w:pPr>
      <w:r>
        <w:rPr>
          <w:color w:val="221F1F"/>
        </w:rPr>
        <w:t>other payments</w:t>
      </w:r>
      <w:r>
        <w:rPr>
          <w:color w:val="221F1F"/>
          <w:spacing w:val="-3"/>
        </w:rPr>
        <w:t xml:space="preserve"> </w:t>
      </w:r>
      <w:r>
        <w:rPr>
          <w:color w:val="221F1F"/>
        </w:rPr>
        <w:t>to</w:t>
      </w:r>
      <w:r>
        <w:rPr>
          <w:color w:val="221F1F"/>
          <w:spacing w:val="-4"/>
        </w:rPr>
        <w:t xml:space="preserve"> </w:t>
      </w:r>
      <w:r>
        <w:rPr>
          <w:color w:val="221F1F"/>
        </w:rPr>
        <w:t>the Procuring</w:t>
      </w:r>
      <w:r>
        <w:rPr>
          <w:color w:val="221F1F"/>
          <w:spacing w:val="-3"/>
        </w:rPr>
        <w:t xml:space="preserve"> </w:t>
      </w:r>
      <w:r>
        <w:rPr>
          <w:color w:val="221F1F"/>
        </w:rPr>
        <w:t>Entity</w:t>
      </w:r>
      <w:r>
        <w:rPr>
          <w:color w:val="221F1F"/>
          <w:spacing w:val="-3"/>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 be</w:t>
      </w:r>
      <w:r>
        <w:rPr>
          <w:color w:val="221F1F"/>
          <w:spacing w:val="-1"/>
        </w:rPr>
        <w:t xml:space="preserve"> </w:t>
      </w:r>
      <w:r>
        <w:rPr>
          <w:color w:val="221F1F"/>
        </w:rPr>
        <w:t>made</w:t>
      </w:r>
      <w:r>
        <w:rPr>
          <w:color w:val="221F1F"/>
          <w:spacing w:val="-3"/>
        </w:rPr>
        <w:t xml:space="preserve"> </w:t>
      </w:r>
      <w:r>
        <w:rPr>
          <w:color w:val="221F1F"/>
        </w:rPr>
        <w:t>in</w:t>
      </w:r>
      <w:r>
        <w:rPr>
          <w:color w:val="221F1F"/>
          <w:spacing w:val="-4"/>
        </w:rPr>
        <w:t xml:space="preserve"> </w:t>
      </w:r>
      <w:r>
        <w:rPr>
          <w:color w:val="221F1F"/>
        </w:rPr>
        <w:t>the currency</w:t>
      </w:r>
      <w:r>
        <w:rPr>
          <w:color w:val="221F1F"/>
          <w:spacing w:val="-3"/>
        </w:rPr>
        <w:t xml:space="preserve"> </w:t>
      </w:r>
      <w:r>
        <w:rPr>
          <w:color w:val="221F1F"/>
        </w:rPr>
        <w:t>in</w:t>
      </w:r>
      <w:r>
        <w:rPr>
          <w:color w:val="221F1F"/>
          <w:spacing w:val="-1"/>
        </w:rPr>
        <w:t xml:space="preserve"> </w:t>
      </w:r>
      <w:r>
        <w:rPr>
          <w:color w:val="221F1F"/>
        </w:rPr>
        <w:t>which</w:t>
      </w:r>
      <w:r>
        <w:rPr>
          <w:color w:val="221F1F"/>
          <w:spacing w:val="-3"/>
        </w:rPr>
        <w:t xml:space="preserve"> </w:t>
      </w:r>
      <w:r>
        <w:rPr>
          <w:color w:val="221F1F"/>
        </w:rPr>
        <w:t>the sum was expended by the Procuring Entity,</w:t>
      </w:r>
      <w:r>
        <w:rPr>
          <w:color w:val="221F1F"/>
          <w:spacing w:val="-1"/>
        </w:rPr>
        <w:t xml:space="preserve"> </w:t>
      </w:r>
      <w:r>
        <w:rPr>
          <w:color w:val="221F1F"/>
        </w:rPr>
        <w:t>or in such currency as may be agreed by both Parties;</w:t>
      </w:r>
    </w:p>
    <w:p w:rsidR="007F6DF9" w:rsidRDefault="00A43FBC">
      <w:pPr>
        <w:pStyle w:val="ListParagraph"/>
        <w:numPr>
          <w:ilvl w:val="0"/>
          <w:numId w:val="91"/>
        </w:numPr>
        <w:tabs>
          <w:tab w:val="left" w:pos="1832"/>
          <w:tab w:val="left" w:pos="1834"/>
        </w:tabs>
        <w:spacing w:before="49" w:line="230" w:lineRule="auto"/>
        <w:ind w:right="553"/>
        <w:jc w:val="both"/>
      </w:pPr>
      <w:r>
        <w:rPr>
          <w:color w:val="221F1F"/>
        </w:rPr>
        <w:t>if</w:t>
      </w:r>
      <w:r>
        <w:rPr>
          <w:color w:val="221F1F"/>
          <w:spacing w:val="-8"/>
        </w:rPr>
        <w:t xml:space="preserve"> </w:t>
      </w:r>
      <w:r>
        <w:rPr>
          <w:color w:val="221F1F"/>
        </w:rPr>
        <w:t>any</w:t>
      </w:r>
      <w:r>
        <w:rPr>
          <w:color w:val="221F1F"/>
          <w:spacing w:val="-9"/>
        </w:rPr>
        <w:t xml:space="preserve"> </w:t>
      </w:r>
      <w:r>
        <w:rPr>
          <w:color w:val="221F1F"/>
        </w:rPr>
        <w:t>amount</w:t>
      </w:r>
      <w:r>
        <w:rPr>
          <w:color w:val="221F1F"/>
          <w:spacing w:val="-7"/>
        </w:rPr>
        <w:t xml:space="preserve"> </w:t>
      </w:r>
      <w:r>
        <w:rPr>
          <w:color w:val="221F1F"/>
        </w:rPr>
        <w:t>payable</w:t>
      </w:r>
      <w:r>
        <w:rPr>
          <w:color w:val="221F1F"/>
          <w:spacing w:val="-7"/>
        </w:rPr>
        <w:t xml:space="preserve"> </w:t>
      </w:r>
      <w:r>
        <w:rPr>
          <w:color w:val="221F1F"/>
        </w:rPr>
        <w:t>by</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9"/>
        </w:rPr>
        <w:t xml:space="preserve"> </w:t>
      </w:r>
      <w:r>
        <w:rPr>
          <w:color w:val="221F1F"/>
        </w:rPr>
        <w:t>to</w:t>
      </w:r>
      <w:r>
        <w:rPr>
          <w:color w:val="221F1F"/>
          <w:spacing w:val="-11"/>
        </w:rPr>
        <w:t xml:space="preserve"> </w:t>
      </w: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in</w:t>
      </w:r>
      <w:r>
        <w:rPr>
          <w:color w:val="221F1F"/>
          <w:spacing w:val="-8"/>
        </w:rPr>
        <w:t xml:space="preserve"> </w:t>
      </w:r>
      <w:r>
        <w:rPr>
          <w:color w:val="221F1F"/>
        </w:rPr>
        <w:t>a</w:t>
      </w:r>
      <w:r>
        <w:rPr>
          <w:color w:val="221F1F"/>
          <w:spacing w:val="-10"/>
        </w:rPr>
        <w:t xml:space="preserve"> </w:t>
      </w:r>
      <w:r>
        <w:rPr>
          <w:color w:val="221F1F"/>
        </w:rPr>
        <w:t>particular</w:t>
      </w:r>
      <w:r>
        <w:rPr>
          <w:color w:val="221F1F"/>
          <w:spacing w:val="-9"/>
        </w:rPr>
        <w:t xml:space="preserve"> </w:t>
      </w:r>
      <w:r>
        <w:rPr>
          <w:color w:val="221F1F"/>
        </w:rPr>
        <w:t>currency</w:t>
      </w:r>
      <w:r>
        <w:rPr>
          <w:color w:val="221F1F"/>
          <w:spacing w:val="-8"/>
        </w:rPr>
        <w:t xml:space="preserve"> </w:t>
      </w:r>
      <w:r>
        <w:rPr>
          <w:color w:val="221F1F"/>
        </w:rPr>
        <w:t>exceeds</w:t>
      </w:r>
      <w:r>
        <w:rPr>
          <w:color w:val="221F1F"/>
          <w:spacing w:val="-8"/>
        </w:rPr>
        <w:t xml:space="preserve"> </w:t>
      </w:r>
      <w:r>
        <w:rPr>
          <w:color w:val="221F1F"/>
        </w:rPr>
        <w:t>the</w:t>
      </w:r>
      <w:r>
        <w:rPr>
          <w:color w:val="221F1F"/>
          <w:spacing w:val="-8"/>
        </w:rPr>
        <w:t xml:space="preserve"> </w:t>
      </w:r>
      <w:r>
        <w:rPr>
          <w:color w:val="221F1F"/>
        </w:rPr>
        <w:t>sum payable</w:t>
      </w:r>
      <w:r>
        <w:rPr>
          <w:color w:val="221F1F"/>
          <w:spacing w:val="-5"/>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3"/>
        </w:rPr>
        <w:t xml:space="preserve"> </w:t>
      </w:r>
      <w:r>
        <w:rPr>
          <w:color w:val="221F1F"/>
        </w:rPr>
        <w:t>Entity</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in</w:t>
      </w:r>
      <w:r>
        <w:rPr>
          <w:color w:val="221F1F"/>
          <w:spacing w:val="-6"/>
        </w:rPr>
        <w:t xml:space="preserve"> </w:t>
      </w:r>
      <w:r>
        <w:rPr>
          <w:color w:val="221F1F"/>
        </w:rPr>
        <w:t>that</w:t>
      </w:r>
      <w:r>
        <w:rPr>
          <w:color w:val="221F1F"/>
          <w:spacing w:val="-4"/>
        </w:rPr>
        <w:t xml:space="preserve"> </w:t>
      </w:r>
      <w:r>
        <w:rPr>
          <w:color w:val="221F1F"/>
        </w:rPr>
        <w:t>currency,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may</w:t>
      </w:r>
      <w:r>
        <w:rPr>
          <w:color w:val="221F1F"/>
          <w:spacing w:val="-4"/>
        </w:rPr>
        <w:t xml:space="preserve"> </w:t>
      </w:r>
      <w:r>
        <w:rPr>
          <w:color w:val="221F1F"/>
        </w:rPr>
        <w:t>recover</w:t>
      </w:r>
      <w:r>
        <w:rPr>
          <w:color w:val="221F1F"/>
          <w:spacing w:val="-4"/>
        </w:rPr>
        <w:t xml:space="preserve"> </w:t>
      </w:r>
      <w:r>
        <w:rPr>
          <w:color w:val="221F1F"/>
        </w:rPr>
        <w:t>the balance of this amount from the sums otherwise payable to the Contractor in other currencies; and</w:t>
      </w:r>
    </w:p>
    <w:p w:rsidR="007F6DF9" w:rsidRDefault="00A43FBC">
      <w:pPr>
        <w:pStyle w:val="ListParagraph"/>
        <w:numPr>
          <w:ilvl w:val="0"/>
          <w:numId w:val="91"/>
        </w:numPr>
        <w:tabs>
          <w:tab w:val="left" w:pos="1832"/>
          <w:tab w:val="left" w:pos="1834"/>
        </w:tabs>
        <w:spacing w:before="49" w:line="230" w:lineRule="auto"/>
        <w:ind w:right="579"/>
        <w:jc w:val="both"/>
      </w:pPr>
      <w:r>
        <w:rPr>
          <w:color w:val="221F1F"/>
        </w:rPr>
        <w:t>if no</w:t>
      </w:r>
      <w:r>
        <w:rPr>
          <w:color w:val="221F1F"/>
          <w:spacing w:val="-4"/>
        </w:rPr>
        <w:t xml:space="preserve"> </w:t>
      </w:r>
      <w:r>
        <w:rPr>
          <w:color w:val="221F1F"/>
        </w:rPr>
        <w:t>rates</w:t>
      </w:r>
      <w:r>
        <w:rPr>
          <w:color w:val="221F1F"/>
          <w:spacing w:val="-2"/>
        </w:rPr>
        <w:t xml:space="preserve"> </w:t>
      </w:r>
      <w:r>
        <w:rPr>
          <w:color w:val="221F1F"/>
        </w:rPr>
        <w:t>of</w:t>
      </w:r>
      <w:r>
        <w:rPr>
          <w:color w:val="221F1F"/>
          <w:spacing w:val="-3"/>
        </w:rPr>
        <w:t xml:space="preserve"> </w:t>
      </w:r>
      <w:r>
        <w:rPr>
          <w:color w:val="221F1F"/>
        </w:rPr>
        <w:t>exchange</w:t>
      </w:r>
      <w:r>
        <w:rPr>
          <w:color w:val="221F1F"/>
          <w:spacing w:val="-2"/>
        </w:rPr>
        <w:t xml:space="preserve"> </w:t>
      </w:r>
      <w:r>
        <w:rPr>
          <w:color w:val="221F1F"/>
        </w:rPr>
        <w:t>are</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Schedule of Payment Currencies,</w:t>
      </w:r>
      <w:r>
        <w:rPr>
          <w:color w:val="221F1F"/>
          <w:spacing w:val="-3"/>
        </w:rPr>
        <w:t xml:space="preserve"> </w:t>
      </w:r>
      <w:r>
        <w:rPr>
          <w:color w:val="221F1F"/>
        </w:rPr>
        <w:t>they</w:t>
      </w:r>
      <w:r>
        <w:rPr>
          <w:color w:val="221F1F"/>
          <w:spacing w:val="-3"/>
        </w:rPr>
        <w:t xml:space="preserve"> </w:t>
      </w:r>
      <w:r>
        <w:rPr>
          <w:color w:val="221F1F"/>
        </w:rPr>
        <w:t>shall be</w:t>
      </w:r>
      <w:r>
        <w:rPr>
          <w:color w:val="221F1F"/>
          <w:spacing w:val="-3"/>
        </w:rPr>
        <w:t xml:space="preserve"> </w:t>
      </w:r>
      <w:r>
        <w:rPr>
          <w:color w:val="221F1F"/>
        </w:rPr>
        <w:t>those</w:t>
      </w:r>
      <w:r>
        <w:rPr>
          <w:color w:val="221F1F"/>
          <w:spacing w:val="-1"/>
        </w:rPr>
        <w:t xml:space="preserve"> </w:t>
      </w:r>
      <w:r>
        <w:rPr>
          <w:color w:val="221F1F"/>
        </w:rPr>
        <w:t>prevailing on the Base Date and determined by the Central Bank of Kenya.</w:t>
      </w:r>
    </w:p>
    <w:p w:rsidR="007F6DF9" w:rsidRDefault="007F6DF9">
      <w:pPr>
        <w:pStyle w:val="BodyText"/>
        <w:spacing w:before="31"/>
      </w:pPr>
    </w:p>
    <w:p w:rsidR="007F6DF9" w:rsidRDefault="00A43FBC">
      <w:pPr>
        <w:pStyle w:val="Heading8"/>
        <w:numPr>
          <w:ilvl w:val="0"/>
          <w:numId w:val="122"/>
        </w:numPr>
        <w:tabs>
          <w:tab w:val="left" w:pos="1421"/>
        </w:tabs>
        <w:ind w:left="1421" w:hanging="720"/>
      </w:pPr>
      <w:bookmarkStart w:id="67" w:name="_bookmark65"/>
      <w:bookmarkEnd w:id="67"/>
      <w:r>
        <w:rPr>
          <w:color w:val="221F1F"/>
        </w:rPr>
        <w:t>TERMINATION</w:t>
      </w:r>
      <w:r>
        <w:rPr>
          <w:color w:val="221F1F"/>
          <w:spacing w:val="-7"/>
        </w:rPr>
        <w:t xml:space="preserve"> </w:t>
      </w:r>
      <w:r>
        <w:rPr>
          <w:color w:val="221F1F"/>
        </w:rPr>
        <w:t>BY</w:t>
      </w:r>
      <w:r>
        <w:rPr>
          <w:color w:val="221F1F"/>
          <w:spacing w:val="-7"/>
        </w:rPr>
        <w:t xml:space="preserve"> </w:t>
      </w:r>
      <w:r>
        <w:rPr>
          <w:color w:val="221F1F"/>
        </w:rPr>
        <w:t>PROCURING</w:t>
      </w:r>
      <w:r>
        <w:rPr>
          <w:color w:val="221F1F"/>
          <w:spacing w:val="-4"/>
        </w:rPr>
        <w:t xml:space="preserve"> </w:t>
      </w:r>
      <w:r>
        <w:rPr>
          <w:color w:val="221F1F"/>
          <w:spacing w:val="-2"/>
        </w:rPr>
        <w:t>ENTITY</w:t>
      </w:r>
    </w:p>
    <w:p w:rsidR="007F6DF9" w:rsidRDefault="00A43FBC">
      <w:pPr>
        <w:pStyle w:val="Heading9"/>
        <w:numPr>
          <w:ilvl w:val="1"/>
          <w:numId w:val="122"/>
        </w:numPr>
        <w:tabs>
          <w:tab w:val="left" w:pos="1421"/>
        </w:tabs>
        <w:spacing w:before="234"/>
        <w:ind w:left="1421" w:hanging="720"/>
        <w:rPr>
          <w:color w:val="221F1F"/>
        </w:rPr>
      </w:pPr>
      <w:r>
        <w:rPr>
          <w:color w:val="221F1F"/>
        </w:rPr>
        <w:t>Notice</w:t>
      </w:r>
      <w:r>
        <w:rPr>
          <w:color w:val="221F1F"/>
          <w:spacing w:val="-3"/>
        </w:rPr>
        <w:t xml:space="preserve"> </w:t>
      </w:r>
      <w:r>
        <w:rPr>
          <w:color w:val="221F1F"/>
        </w:rPr>
        <w:t>to</w:t>
      </w:r>
      <w:r>
        <w:rPr>
          <w:color w:val="221F1F"/>
          <w:spacing w:val="-5"/>
        </w:rPr>
        <w:t xml:space="preserve"> </w:t>
      </w:r>
      <w:r>
        <w:rPr>
          <w:color w:val="221F1F"/>
        </w:rPr>
        <w:t>correct</w:t>
      </w:r>
      <w:r>
        <w:rPr>
          <w:color w:val="221F1F"/>
          <w:spacing w:val="-2"/>
        </w:rPr>
        <w:t xml:space="preserve"> </w:t>
      </w:r>
      <w:r>
        <w:rPr>
          <w:color w:val="221F1F"/>
        </w:rPr>
        <w:t>any</w:t>
      </w:r>
      <w:r>
        <w:rPr>
          <w:color w:val="221F1F"/>
          <w:spacing w:val="-1"/>
        </w:rPr>
        <w:t xml:space="preserve"> </w:t>
      </w:r>
      <w:r>
        <w:rPr>
          <w:color w:val="221F1F"/>
        </w:rPr>
        <w:t>defects</w:t>
      </w:r>
      <w:r>
        <w:rPr>
          <w:color w:val="221F1F"/>
          <w:spacing w:val="-2"/>
        </w:rPr>
        <w:t xml:space="preserve"> </w:t>
      </w:r>
      <w:r>
        <w:rPr>
          <w:color w:val="221F1F"/>
        </w:rPr>
        <w:t>or</w:t>
      </w:r>
      <w:r>
        <w:rPr>
          <w:color w:val="221F1F"/>
          <w:spacing w:val="-1"/>
        </w:rPr>
        <w:t xml:space="preserve"> </w:t>
      </w:r>
      <w:r>
        <w:rPr>
          <w:color w:val="221F1F"/>
          <w:spacing w:val="-2"/>
        </w:rPr>
        <w:t>failures</w:t>
      </w:r>
    </w:p>
    <w:p w:rsidR="007F6DF9" w:rsidRDefault="00A43FBC">
      <w:pPr>
        <w:pStyle w:val="BodyText"/>
        <w:spacing w:before="243" w:line="230" w:lineRule="auto"/>
        <w:ind w:left="1426" w:right="708" w:hanging="5"/>
      </w:pPr>
      <w:r>
        <w:rPr>
          <w:color w:val="221F1F"/>
        </w:rPr>
        <w:t>If</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fails</w:t>
      </w:r>
      <w:r>
        <w:rPr>
          <w:color w:val="221F1F"/>
          <w:spacing w:val="-4"/>
        </w:rPr>
        <w:t xml:space="preserve"> </w:t>
      </w:r>
      <w:r>
        <w:rPr>
          <w:color w:val="221F1F"/>
        </w:rPr>
        <w:t>to</w:t>
      </w:r>
      <w:r>
        <w:rPr>
          <w:color w:val="221F1F"/>
          <w:spacing w:val="-2"/>
        </w:rPr>
        <w:t xml:space="preserve"> </w:t>
      </w:r>
      <w:r>
        <w:rPr>
          <w:color w:val="221F1F"/>
        </w:rPr>
        <w:t>carry</w:t>
      </w:r>
      <w:r>
        <w:rPr>
          <w:color w:val="221F1F"/>
          <w:spacing w:val="-2"/>
        </w:rPr>
        <w:t xml:space="preserve"> </w:t>
      </w:r>
      <w:r>
        <w:rPr>
          <w:color w:val="221F1F"/>
        </w:rPr>
        <w:t>out</w:t>
      </w:r>
      <w:r>
        <w:rPr>
          <w:color w:val="221F1F"/>
          <w:spacing w:val="-1"/>
        </w:rPr>
        <w:t xml:space="preserve"> </w:t>
      </w:r>
      <w:r>
        <w:rPr>
          <w:color w:val="221F1F"/>
        </w:rPr>
        <w:t>any</w:t>
      </w:r>
      <w:r>
        <w:rPr>
          <w:color w:val="221F1F"/>
          <w:spacing w:val="-4"/>
        </w:rPr>
        <w:t xml:space="preserve"> </w:t>
      </w:r>
      <w:r>
        <w:rPr>
          <w:color w:val="221F1F"/>
        </w:rPr>
        <w:t>obligation</w:t>
      </w:r>
      <w:r>
        <w:rPr>
          <w:color w:val="221F1F"/>
          <w:spacing w:val="-2"/>
        </w:rPr>
        <w:t xml:space="preserve"> </w:t>
      </w:r>
      <w:r>
        <w:rPr>
          <w:color w:val="221F1F"/>
        </w:rPr>
        <w:t>under</w:t>
      </w:r>
      <w:r>
        <w:rPr>
          <w:color w:val="221F1F"/>
          <w:spacing w:val="-4"/>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the</w:t>
      </w:r>
      <w:r>
        <w:rPr>
          <w:color w:val="221F1F"/>
          <w:spacing w:val="-2"/>
        </w:rPr>
        <w:t xml:space="preserve"> </w:t>
      </w:r>
      <w:r>
        <w:rPr>
          <w:color w:val="221F1F"/>
        </w:rPr>
        <w:t>Architect</w:t>
      </w:r>
      <w:r>
        <w:rPr>
          <w:color w:val="221F1F"/>
          <w:spacing w:val="-4"/>
        </w:rPr>
        <w:t xml:space="preserve"> </w:t>
      </w:r>
      <w:r>
        <w:rPr>
          <w:color w:val="221F1F"/>
        </w:rPr>
        <w:t>may</w:t>
      </w:r>
      <w:r>
        <w:rPr>
          <w:color w:val="221F1F"/>
          <w:spacing w:val="-2"/>
        </w:rPr>
        <w:t xml:space="preserve"> </w:t>
      </w:r>
      <w:r>
        <w:rPr>
          <w:color w:val="221F1F"/>
        </w:rPr>
        <w:t>by</w:t>
      </w:r>
      <w:r>
        <w:rPr>
          <w:color w:val="221F1F"/>
          <w:spacing w:val="-2"/>
        </w:rPr>
        <w:t xml:space="preserve"> </w:t>
      </w:r>
      <w:r>
        <w:rPr>
          <w:color w:val="221F1F"/>
        </w:rPr>
        <w:t>notice</w:t>
      </w:r>
      <w:r>
        <w:rPr>
          <w:color w:val="221F1F"/>
          <w:spacing w:val="-2"/>
        </w:rPr>
        <w:t xml:space="preserve"> </w:t>
      </w:r>
      <w:r>
        <w:rPr>
          <w:color w:val="221F1F"/>
        </w:rPr>
        <w:t>require the Contractor to make good the failure and to remedy it within 30 days.</w:t>
      </w:r>
    </w:p>
    <w:p w:rsidR="007F6DF9" w:rsidRDefault="00A43FBC">
      <w:pPr>
        <w:pStyle w:val="Heading9"/>
        <w:numPr>
          <w:ilvl w:val="1"/>
          <w:numId w:val="122"/>
        </w:numPr>
        <w:tabs>
          <w:tab w:val="left" w:pos="1421"/>
        </w:tabs>
        <w:spacing w:before="236"/>
        <w:ind w:left="1421" w:hanging="720"/>
        <w:rPr>
          <w:color w:val="221F1F"/>
        </w:rPr>
      </w:pPr>
      <w:r>
        <w:rPr>
          <w:color w:val="221F1F"/>
        </w:rPr>
        <w:t>Termination</w:t>
      </w:r>
      <w:r>
        <w:rPr>
          <w:color w:val="221F1F"/>
          <w:spacing w:val="-5"/>
        </w:rPr>
        <w:t xml:space="preserve"> </w:t>
      </w:r>
      <w:r>
        <w:rPr>
          <w:color w:val="221F1F"/>
        </w:rPr>
        <w:t>by</w:t>
      </w:r>
      <w:r>
        <w:rPr>
          <w:color w:val="221F1F"/>
          <w:spacing w:val="-5"/>
        </w:rPr>
        <w:t xml:space="preserve"> </w:t>
      </w:r>
      <w:r>
        <w:rPr>
          <w:color w:val="221F1F"/>
        </w:rPr>
        <w:t>Procuring</w:t>
      </w:r>
      <w:r>
        <w:rPr>
          <w:color w:val="221F1F"/>
          <w:spacing w:val="-3"/>
        </w:rPr>
        <w:t xml:space="preserve"> </w:t>
      </w:r>
      <w:r>
        <w:rPr>
          <w:color w:val="221F1F"/>
          <w:spacing w:val="-2"/>
        </w:rPr>
        <w:t>Entity</w:t>
      </w:r>
    </w:p>
    <w:p w:rsidR="007F6DF9" w:rsidRDefault="00A43FBC">
      <w:pPr>
        <w:pStyle w:val="ListParagraph"/>
        <w:numPr>
          <w:ilvl w:val="2"/>
          <w:numId w:val="122"/>
        </w:numPr>
        <w:tabs>
          <w:tab w:val="left" w:pos="1421"/>
          <w:tab w:val="left" w:pos="1426"/>
        </w:tabs>
        <w:spacing w:before="245" w:line="230" w:lineRule="auto"/>
        <w:ind w:left="1426" w:right="1092" w:hanging="726"/>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3"/>
        </w:rPr>
        <w:t xml:space="preserve"> </w:t>
      </w:r>
      <w:r>
        <w:rPr>
          <w:color w:val="221F1F"/>
        </w:rPr>
        <w:t>be</w:t>
      </w:r>
      <w:r>
        <w:rPr>
          <w:color w:val="221F1F"/>
          <w:spacing w:val="-1"/>
        </w:rPr>
        <w:t xml:space="preserve"> </w:t>
      </w:r>
      <w:r>
        <w:rPr>
          <w:color w:val="221F1F"/>
        </w:rPr>
        <w:t>entitled</w:t>
      </w:r>
      <w:r>
        <w:rPr>
          <w:color w:val="221F1F"/>
          <w:spacing w:val="-1"/>
        </w:rPr>
        <w:t xml:space="preserve"> </w:t>
      </w:r>
      <w:r>
        <w:rPr>
          <w:color w:val="221F1F"/>
        </w:rPr>
        <w:t>to</w:t>
      </w:r>
      <w:r>
        <w:rPr>
          <w:color w:val="221F1F"/>
          <w:spacing w:val="-4"/>
        </w:rPr>
        <w:t xml:space="preserve"> </w:t>
      </w:r>
      <w:r>
        <w:rPr>
          <w:color w:val="221F1F"/>
        </w:rPr>
        <w:t>terminate</w:t>
      </w:r>
      <w:r>
        <w:rPr>
          <w:color w:val="221F1F"/>
          <w:spacing w:val="-3"/>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if</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breaches</w:t>
      </w:r>
      <w:r>
        <w:rPr>
          <w:color w:val="221F1F"/>
          <w:spacing w:val="-3"/>
        </w:rPr>
        <w:t xml:space="preserve"> </w:t>
      </w:r>
      <w:r>
        <w:rPr>
          <w:color w:val="221F1F"/>
        </w:rPr>
        <w:t>the</w:t>
      </w:r>
      <w:r>
        <w:rPr>
          <w:color w:val="221F1F"/>
          <w:spacing w:val="-3"/>
        </w:rPr>
        <w:t xml:space="preserve"> </w:t>
      </w:r>
      <w:r>
        <w:rPr>
          <w:color w:val="221F1F"/>
        </w:rPr>
        <w:t>contract based on following circumstances which shall include but not limited to:</w:t>
      </w:r>
    </w:p>
    <w:p w:rsidR="007F6DF9" w:rsidRDefault="00A43FBC">
      <w:pPr>
        <w:pStyle w:val="ListParagraph"/>
        <w:numPr>
          <w:ilvl w:val="0"/>
          <w:numId w:val="77"/>
        </w:numPr>
        <w:tabs>
          <w:tab w:val="left" w:pos="1870"/>
        </w:tabs>
        <w:spacing w:before="49" w:line="230" w:lineRule="auto"/>
        <w:ind w:right="836"/>
      </w:pPr>
      <w:r>
        <w:rPr>
          <w:color w:val="221F1F"/>
        </w:rPr>
        <w:t>fails</w:t>
      </w:r>
      <w:r>
        <w:rPr>
          <w:color w:val="221F1F"/>
          <w:spacing w:val="-3"/>
        </w:rPr>
        <w:t xml:space="preserve"> </w:t>
      </w:r>
      <w:r>
        <w:rPr>
          <w:color w:val="221F1F"/>
        </w:rPr>
        <w:t>to</w:t>
      </w:r>
      <w:r>
        <w:rPr>
          <w:color w:val="221F1F"/>
          <w:spacing w:val="-1"/>
        </w:rPr>
        <w:t xml:space="preserve"> </w:t>
      </w:r>
      <w:r>
        <w:rPr>
          <w:color w:val="221F1F"/>
        </w:rPr>
        <w:t>comply</w:t>
      </w:r>
      <w:r>
        <w:rPr>
          <w:color w:val="221F1F"/>
          <w:spacing w:val="-1"/>
        </w:rPr>
        <w:t xml:space="preserve"> </w:t>
      </w:r>
      <w:r>
        <w:rPr>
          <w:color w:val="221F1F"/>
        </w:rPr>
        <w:t>with</w:t>
      </w:r>
      <w:r>
        <w:rPr>
          <w:color w:val="221F1F"/>
          <w:spacing w:val="-2"/>
        </w:rPr>
        <w:t xml:space="preserve"> </w:t>
      </w:r>
      <w:r>
        <w:rPr>
          <w:color w:val="221F1F"/>
        </w:rPr>
        <w:t>Sub-Clause</w:t>
      </w:r>
      <w:r>
        <w:rPr>
          <w:color w:val="221F1F"/>
          <w:spacing w:val="-1"/>
        </w:rPr>
        <w:t xml:space="preserve"> </w:t>
      </w:r>
      <w:r>
        <w:rPr>
          <w:color w:val="221F1F"/>
        </w:rPr>
        <w:t>4.2</w:t>
      </w:r>
      <w:r>
        <w:rPr>
          <w:color w:val="221F1F"/>
          <w:spacing w:val="-1"/>
        </w:rPr>
        <w:t xml:space="preserve"> </w:t>
      </w:r>
      <w:r>
        <w:rPr>
          <w:color w:val="221F1F"/>
        </w:rPr>
        <w:t>[Performance</w:t>
      </w:r>
      <w:r>
        <w:rPr>
          <w:color w:val="221F1F"/>
          <w:spacing w:val="-2"/>
        </w:rPr>
        <w:t xml:space="preserve"> </w:t>
      </w:r>
      <w:r>
        <w:rPr>
          <w:color w:val="221F1F"/>
        </w:rPr>
        <w:t>Security]</w:t>
      </w:r>
      <w:r>
        <w:rPr>
          <w:color w:val="221F1F"/>
          <w:spacing w:val="-1"/>
        </w:rPr>
        <w:t xml:space="preserve"> </w:t>
      </w:r>
      <w:r>
        <w:rPr>
          <w:color w:val="221F1F"/>
        </w:rPr>
        <w:t>or</w:t>
      </w:r>
      <w:r>
        <w:rPr>
          <w:color w:val="221F1F"/>
          <w:spacing w:val="-1"/>
        </w:rPr>
        <w:t xml:space="preserve"> </w:t>
      </w:r>
      <w:r>
        <w:rPr>
          <w:color w:val="221F1F"/>
        </w:rPr>
        <w:t>with</w:t>
      </w:r>
      <w:r>
        <w:rPr>
          <w:color w:val="221F1F"/>
          <w:spacing w:val="-2"/>
        </w:rPr>
        <w:t xml:space="preserve"> </w:t>
      </w:r>
      <w:r>
        <w:rPr>
          <w:color w:val="221F1F"/>
        </w:rPr>
        <w:t>a</w:t>
      </w:r>
      <w:r>
        <w:rPr>
          <w:color w:val="221F1F"/>
          <w:spacing w:val="-3"/>
        </w:rPr>
        <w:t xml:space="preserve"> </w:t>
      </w:r>
      <w:r>
        <w:rPr>
          <w:color w:val="221F1F"/>
        </w:rPr>
        <w:t>notice</w:t>
      </w:r>
      <w:r>
        <w:rPr>
          <w:color w:val="221F1F"/>
          <w:spacing w:val="-3"/>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15.1 [Notice to Correct],</w:t>
      </w:r>
    </w:p>
    <w:p w:rsidR="007F6DF9" w:rsidRDefault="00A43FBC">
      <w:pPr>
        <w:pStyle w:val="ListParagraph"/>
        <w:numPr>
          <w:ilvl w:val="0"/>
          <w:numId w:val="77"/>
        </w:numPr>
        <w:tabs>
          <w:tab w:val="left" w:pos="1870"/>
        </w:tabs>
        <w:spacing w:before="50" w:line="230" w:lineRule="auto"/>
        <w:ind w:right="871"/>
      </w:pPr>
      <w:r>
        <w:rPr>
          <w:color w:val="221F1F"/>
        </w:rPr>
        <w:t>abandons</w:t>
      </w:r>
      <w:r>
        <w:rPr>
          <w:color w:val="221F1F"/>
          <w:spacing w:val="-3"/>
        </w:rPr>
        <w:t xml:space="preserve"> </w:t>
      </w:r>
      <w:r>
        <w:rPr>
          <w:color w:val="221F1F"/>
        </w:rPr>
        <w:t>the</w:t>
      </w:r>
      <w:r>
        <w:rPr>
          <w:color w:val="221F1F"/>
          <w:spacing w:val="-2"/>
        </w:rPr>
        <w:t xml:space="preserve"> </w:t>
      </w:r>
      <w:r>
        <w:rPr>
          <w:color w:val="221F1F"/>
        </w:rPr>
        <w:t>Works</w:t>
      </w:r>
      <w:r>
        <w:rPr>
          <w:color w:val="221F1F"/>
          <w:spacing w:val="-12"/>
        </w:rPr>
        <w:t xml:space="preserve"> </w:t>
      </w:r>
      <w:r>
        <w:rPr>
          <w:color w:val="221F1F"/>
        </w:rPr>
        <w:t>or</w:t>
      </w:r>
      <w:r>
        <w:rPr>
          <w:color w:val="221F1F"/>
          <w:spacing w:val="-3"/>
        </w:rPr>
        <w:t xml:space="preserve"> </w:t>
      </w:r>
      <w:r>
        <w:rPr>
          <w:color w:val="221F1F"/>
        </w:rPr>
        <w:t>otherwise</w:t>
      </w:r>
      <w:r>
        <w:rPr>
          <w:color w:val="221F1F"/>
          <w:spacing w:val="-5"/>
        </w:rPr>
        <w:t xml:space="preserve"> </w:t>
      </w:r>
      <w:r>
        <w:rPr>
          <w:color w:val="221F1F"/>
        </w:rPr>
        <w:t>plainly</w:t>
      </w:r>
      <w:r>
        <w:rPr>
          <w:color w:val="221F1F"/>
          <w:spacing w:val="-3"/>
        </w:rPr>
        <w:t xml:space="preserve"> </w:t>
      </w:r>
      <w:r>
        <w:rPr>
          <w:color w:val="221F1F"/>
        </w:rPr>
        <w:t>demonstrates</w:t>
      </w:r>
      <w:r>
        <w:rPr>
          <w:color w:val="221F1F"/>
          <w:spacing w:val="-5"/>
        </w:rPr>
        <w:t xml:space="preserve"> </w:t>
      </w:r>
      <w:r>
        <w:rPr>
          <w:color w:val="221F1F"/>
        </w:rPr>
        <w:t>the</w:t>
      </w:r>
      <w:r>
        <w:rPr>
          <w:color w:val="221F1F"/>
          <w:spacing w:val="-5"/>
        </w:rPr>
        <w:t xml:space="preserve"> </w:t>
      </w:r>
      <w:r>
        <w:rPr>
          <w:color w:val="221F1F"/>
        </w:rPr>
        <w:t>intention</w:t>
      </w:r>
      <w:r>
        <w:rPr>
          <w:color w:val="221F1F"/>
          <w:spacing w:val="-3"/>
        </w:rPr>
        <w:t xml:space="preserve"> </w:t>
      </w:r>
      <w:r>
        <w:rPr>
          <w:color w:val="221F1F"/>
        </w:rPr>
        <w:t>not</w:t>
      </w:r>
      <w:r>
        <w:rPr>
          <w:color w:val="221F1F"/>
          <w:spacing w:val="-5"/>
        </w:rPr>
        <w:t xml:space="preserve"> </w:t>
      </w:r>
      <w:r>
        <w:rPr>
          <w:color w:val="221F1F"/>
        </w:rPr>
        <w:t>to</w:t>
      </w:r>
      <w:r>
        <w:rPr>
          <w:color w:val="221F1F"/>
          <w:spacing w:val="-3"/>
        </w:rPr>
        <w:t xml:space="preserve"> </w:t>
      </w:r>
      <w:r>
        <w:rPr>
          <w:color w:val="221F1F"/>
        </w:rPr>
        <w:t>continue</w:t>
      </w:r>
      <w:r>
        <w:rPr>
          <w:color w:val="221F1F"/>
          <w:spacing w:val="-3"/>
        </w:rPr>
        <w:t xml:space="preserve"> </w:t>
      </w:r>
      <w:r>
        <w:rPr>
          <w:color w:val="221F1F"/>
        </w:rPr>
        <w:t>performance</w:t>
      </w:r>
      <w:r>
        <w:rPr>
          <w:color w:val="221F1F"/>
          <w:spacing w:val="-3"/>
        </w:rPr>
        <w:t xml:space="preserve"> </w:t>
      </w:r>
      <w:r>
        <w:rPr>
          <w:color w:val="221F1F"/>
        </w:rPr>
        <w:t>of his obligations under the Contract,</w:t>
      </w:r>
    </w:p>
    <w:p w:rsidR="007F6DF9" w:rsidRDefault="00A43FBC">
      <w:pPr>
        <w:pStyle w:val="ListParagraph"/>
        <w:numPr>
          <w:ilvl w:val="0"/>
          <w:numId w:val="77"/>
        </w:numPr>
        <w:tabs>
          <w:tab w:val="left" w:pos="1875"/>
        </w:tabs>
        <w:spacing w:before="120"/>
        <w:ind w:left="1875" w:hanging="444"/>
      </w:pPr>
      <w:r>
        <w:rPr>
          <w:color w:val="221F1F"/>
        </w:rPr>
        <w:t>without</w:t>
      </w:r>
      <w:r>
        <w:rPr>
          <w:color w:val="221F1F"/>
          <w:spacing w:val="-5"/>
        </w:rPr>
        <w:t xml:space="preserve"> </w:t>
      </w:r>
      <w:r>
        <w:rPr>
          <w:color w:val="221F1F"/>
        </w:rPr>
        <w:t>reasonable</w:t>
      </w:r>
      <w:r>
        <w:rPr>
          <w:color w:val="221F1F"/>
          <w:spacing w:val="-4"/>
        </w:rPr>
        <w:t xml:space="preserve"> </w:t>
      </w:r>
      <w:r>
        <w:rPr>
          <w:color w:val="221F1F"/>
        </w:rPr>
        <w:t>excuse</w:t>
      </w:r>
      <w:r>
        <w:rPr>
          <w:color w:val="221F1F"/>
          <w:spacing w:val="-4"/>
        </w:rPr>
        <w:t xml:space="preserve"> </w:t>
      </w:r>
      <w:r>
        <w:rPr>
          <w:color w:val="221F1F"/>
          <w:spacing w:val="-2"/>
        </w:rPr>
        <w:t>fails:</w:t>
      </w:r>
    </w:p>
    <w:p w:rsidR="007F6DF9" w:rsidRDefault="00A43FBC">
      <w:pPr>
        <w:pStyle w:val="ListParagraph"/>
        <w:numPr>
          <w:ilvl w:val="1"/>
          <w:numId w:val="77"/>
        </w:numPr>
        <w:tabs>
          <w:tab w:val="left" w:pos="2401"/>
        </w:tabs>
        <w:spacing w:before="49" w:line="230" w:lineRule="auto"/>
        <w:ind w:right="1572"/>
      </w:pPr>
      <w:r>
        <w:rPr>
          <w:color w:val="221F1F"/>
        </w:rPr>
        <w:t>to</w:t>
      </w:r>
      <w:r>
        <w:rPr>
          <w:color w:val="221F1F"/>
          <w:spacing w:val="-4"/>
        </w:rPr>
        <w:t xml:space="preserve"> </w:t>
      </w:r>
      <w:r>
        <w:rPr>
          <w:color w:val="221F1F"/>
        </w:rPr>
        <w:t>proceed</w:t>
      </w:r>
      <w:r>
        <w:rPr>
          <w:color w:val="221F1F"/>
          <w:spacing w:val="-4"/>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in</w:t>
      </w:r>
      <w:r>
        <w:rPr>
          <w:color w:val="221F1F"/>
          <w:spacing w:val="-4"/>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Clause</w:t>
      </w:r>
      <w:r>
        <w:rPr>
          <w:color w:val="221F1F"/>
          <w:spacing w:val="-4"/>
        </w:rPr>
        <w:t xml:space="preserve"> </w:t>
      </w:r>
      <w:r>
        <w:rPr>
          <w:color w:val="221F1F"/>
        </w:rPr>
        <w:t>8</w:t>
      </w:r>
      <w:r>
        <w:rPr>
          <w:color w:val="221F1F"/>
          <w:spacing w:val="-7"/>
        </w:rPr>
        <w:t xml:space="preserve"> </w:t>
      </w:r>
      <w:r>
        <w:rPr>
          <w:color w:val="221F1F"/>
        </w:rPr>
        <w:t>[Commencement,</w:t>
      </w:r>
      <w:r>
        <w:rPr>
          <w:color w:val="221F1F"/>
          <w:spacing w:val="-3"/>
        </w:rPr>
        <w:t xml:space="preserve"> </w:t>
      </w:r>
      <w:r>
        <w:rPr>
          <w:color w:val="221F1F"/>
        </w:rPr>
        <w:t>Delays</w:t>
      </w:r>
      <w:r>
        <w:rPr>
          <w:color w:val="221F1F"/>
          <w:spacing w:val="-6"/>
        </w:rPr>
        <w:t xml:space="preserve"> </w:t>
      </w:r>
      <w:r>
        <w:rPr>
          <w:color w:val="221F1F"/>
        </w:rPr>
        <w:t>and Suspension], or</w:t>
      </w:r>
    </w:p>
    <w:p w:rsidR="007F6DF9" w:rsidRDefault="00A43FBC">
      <w:pPr>
        <w:pStyle w:val="ListParagraph"/>
        <w:numPr>
          <w:ilvl w:val="1"/>
          <w:numId w:val="77"/>
        </w:numPr>
        <w:tabs>
          <w:tab w:val="left" w:pos="2401"/>
        </w:tabs>
        <w:spacing w:before="49" w:line="230" w:lineRule="auto"/>
        <w:ind w:right="790"/>
      </w:pPr>
      <w:r>
        <w:rPr>
          <w:color w:val="221F1F"/>
        </w:rPr>
        <w:t>to</w:t>
      </w:r>
      <w:r>
        <w:rPr>
          <w:color w:val="221F1F"/>
          <w:spacing w:val="-2"/>
        </w:rPr>
        <w:t xml:space="preserve"> </w:t>
      </w:r>
      <w:r>
        <w:rPr>
          <w:color w:val="221F1F"/>
        </w:rPr>
        <w:t>comply</w:t>
      </w:r>
      <w:r>
        <w:rPr>
          <w:color w:val="221F1F"/>
          <w:spacing w:val="-2"/>
        </w:rPr>
        <w:t xml:space="preserve"> </w:t>
      </w:r>
      <w:r>
        <w:rPr>
          <w:color w:val="221F1F"/>
        </w:rPr>
        <w:t>with</w:t>
      </w:r>
      <w:r>
        <w:rPr>
          <w:color w:val="221F1F"/>
          <w:spacing w:val="-2"/>
        </w:rPr>
        <w:t xml:space="preserve"> </w:t>
      </w:r>
      <w:r>
        <w:rPr>
          <w:color w:val="221F1F"/>
        </w:rPr>
        <w:t>a</w:t>
      </w:r>
      <w:r>
        <w:rPr>
          <w:color w:val="221F1F"/>
          <w:spacing w:val="-4"/>
        </w:rPr>
        <w:t xml:space="preserve"> </w:t>
      </w:r>
      <w:r>
        <w:rPr>
          <w:color w:val="221F1F"/>
        </w:rPr>
        <w:t>notice</w:t>
      </w:r>
      <w:r>
        <w:rPr>
          <w:color w:val="221F1F"/>
          <w:spacing w:val="-4"/>
        </w:rPr>
        <w:t xml:space="preserve"> </w:t>
      </w:r>
      <w:r>
        <w:rPr>
          <w:color w:val="221F1F"/>
        </w:rPr>
        <w:t>issued</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4"/>
        </w:rPr>
        <w:t xml:space="preserve"> </w:t>
      </w:r>
      <w:r>
        <w:rPr>
          <w:color w:val="221F1F"/>
        </w:rPr>
        <w:t>7.5</w:t>
      </w:r>
      <w:r>
        <w:rPr>
          <w:color w:val="221F1F"/>
          <w:spacing w:val="-2"/>
        </w:rPr>
        <w:t xml:space="preserve"> </w:t>
      </w:r>
      <w:r>
        <w:rPr>
          <w:color w:val="221F1F"/>
        </w:rPr>
        <w:t>[Rejection]</w:t>
      </w:r>
      <w:r>
        <w:rPr>
          <w:color w:val="221F1F"/>
          <w:spacing w:val="-2"/>
        </w:rPr>
        <w:t xml:space="preserve"> </w:t>
      </w:r>
      <w:r>
        <w:rPr>
          <w:color w:val="221F1F"/>
        </w:rPr>
        <w:t>or</w:t>
      </w:r>
      <w:r>
        <w:rPr>
          <w:color w:val="221F1F"/>
          <w:spacing w:val="-2"/>
        </w:rPr>
        <w:t xml:space="preserve"> </w:t>
      </w:r>
      <w:r>
        <w:rPr>
          <w:color w:val="221F1F"/>
        </w:rPr>
        <w:t>Sub-Clause</w:t>
      </w:r>
      <w:r>
        <w:rPr>
          <w:color w:val="221F1F"/>
          <w:spacing w:val="-4"/>
        </w:rPr>
        <w:t xml:space="preserve"> </w:t>
      </w:r>
      <w:r>
        <w:rPr>
          <w:color w:val="221F1F"/>
        </w:rPr>
        <w:t>7.6</w:t>
      </w:r>
      <w:r>
        <w:rPr>
          <w:color w:val="221F1F"/>
          <w:spacing w:val="-2"/>
        </w:rPr>
        <w:t xml:space="preserve"> </w:t>
      </w:r>
      <w:r>
        <w:rPr>
          <w:color w:val="221F1F"/>
        </w:rPr>
        <w:t>[Remedial Work], within 30 days after receiving it,</w:t>
      </w:r>
    </w:p>
    <w:p w:rsidR="007F6DF9" w:rsidRDefault="00A43FBC">
      <w:pPr>
        <w:pStyle w:val="ListParagraph"/>
        <w:numPr>
          <w:ilvl w:val="0"/>
          <w:numId w:val="77"/>
        </w:numPr>
        <w:tabs>
          <w:tab w:val="left" w:pos="1875"/>
          <w:tab w:val="left" w:pos="1880"/>
        </w:tabs>
        <w:spacing w:before="50" w:line="230" w:lineRule="auto"/>
        <w:ind w:left="1880" w:right="804"/>
      </w:pPr>
      <w:r>
        <w:rPr>
          <w:color w:val="221F1F"/>
        </w:rPr>
        <w:t>subcontracts</w:t>
      </w:r>
      <w:r>
        <w:rPr>
          <w:color w:val="221F1F"/>
          <w:spacing w:val="-3"/>
        </w:rPr>
        <w:t xml:space="preserve"> </w:t>
      </w:r>
      <w:r>
        <w:rPr>
          <w:color w:val="221F1F"/>
        </w:rPr>
        <w:t>the</w:t>
      </w:r>
      <w:r>
        <w:rPr>
          <w:color w:val="221F1F"/>
          <w:spacing w:val="-4"/>
        </w:rPr>
        <w:t xml:space="preserve"> </w:t>
      </w:r>
      <w:r>
        <w:rPr>
          <w:color w:val="221F1F"/>
        </w:rPr>
        <w:t>major</w:t>
      </w:r>
      <w:r>
        <w:rPr>
          <w:color w:val="221F1F"/>
          <w:spacing w:val="-3"/>
        </w:rPr>
        <w:t xml:space="preserve"> </w:t>
      </w:r>
      <w:r>
        <w:rPr>
          <w:color w:val="221F1F"/>
        </w:rPr>
        <w:t>part</w:t>
      </w:r>
      <w:r>
        <w:rPr>
          <w:color w:val="221F1F"/>
          <w:spacing w:val="-4"/>
        </w:rPr>
        <w:t xml:space="preserve"> </w:t>
      </w:r>
      <w:r>
        <w:rPr>
          <w:color w:val="221F1F"/>
        </w:rPr>
        <w:t>or</w:t>
      </w:r>
      <w:r>
        <w:rPr>
          <w:color w:val="221F1F"/>
          <w:spacing w:val="-3"/>
        </w:rPr>
        <w:t xml:space="preserve"> </w:t>
      </w:r>
      <w:r>
        <w:rPr>
          <w:color w:val="221F1F"/>
        </w:rPr>
        <w:t>whole</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or</w:t>
      </w:r>
      <w:r>
        <w:rPr>
          <w:color w:val="221F1F"/>
          <w:spacing w:val="-3"/>
        </w:rPr>
        <w:t xml:space="preserve"> </w:t>
      </w:r>
      <w:r>
        <w:rPr>
          <w:color w:val="221F1F"/>
        </w:rPr>
        <w:t>assigns</w:t>
      </w:r>
      <w:r>
        <w:rPr>
          <w:color w:val="221F1F"/>
          <w:spacing w:val="-3"/>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without</w:t>
      </w:r>
      <w:r>
        <w:rPr>
          <w:color w:val="221F1F"/>
          <w:spacing w:val="-4"/>
        </w:rPr>
        <w:t xml:space="preserve"> </w:t>
      </w:r>
      <w:r>
        <w:rPr>
          <w:color w:val="221F1F"/>
        </w:rPr>
        <w:t>the</w:t>
      </w:r>
      <w:r>
        <w:rPr>
          <w:color w:val="221F1F"/>
          <w:spacing w:val="-3"/>
        </w:rPr>
        <w:t xml:space="preserve"> </w:t>
      </w:r>
      <w:r>
        <w:rPr>
          <w:color w:val="221F1F"/>
        </w:rPr>
        <w:t>consent</w:t>
      </w:r>
      <w:r>
        <w:rPr>
          <w:color w:val="221F1F"/>
          <w:spacing w:val="-2"/>
        </w:rPr>
        <w:t xml:space="preserve"> </w:t>
      </w:r>
      <w:r>
        <w:rPr>
          <w:color w:val="221F1F"/>
        </w:rPr>
        <w:t>of</w:t>
      </w:r>
      <w:r>
        <w:rPr>
          <w:color w:val="221F1F"/>
          <w:spacing w:val="-4"/>
        </w:rPr>
        <w:t xml:space="preserve"> </w:t>
      </w:r>
      <w:r>
        <w:rPr>
          <w:color w:val="221F1F"/>
        </w:rPr>
        <w:t>the Procuring Entity,</w:t>
      </w:r>
    </w:p>
    <w:p w:rsidR="007F6DF9" w:rsidRDefault="00A43FBC">
      <w:pPr>
        <w:pStyle w:val="ListParagraph"/>
        <w:numPr>
          <w:ilvl w:val="0"/>
          <w:numId w:val="77"/>
        </w:numPr>
        <w:tabs>
          <w:tab w:val="left" w:pos="1874"/>
          <w:tab w:val="left" w:pos="1880"/>
        </w:tabs>
        <w:spacing w:before="49" w:line="230" w:lineRule="auto"/>
        <w:ind w:left="1880" w:right="556"/>
        <w:jc w:val="both"/>
      </w:pPr>
      <w:r>
        <w:rPr>
          <w:color w:val="221F1F"/>
        </w:rPr>
        <w:t>becomes bankrupt or insolvent, goes into liquidation, has a receiving or administration order made against him, compounds with his creditors, or carries on business under a receiver, trustee or manager for</w:t>
      </w:r>
      <w:r>
        <w:rPr>
          <w:color w:val="221F1F"/>
          <w:spacing w:val="-2"/>
        </w:rPr>
        <w:t xml:space="preserve"> </w:t>
      </w:r>
      <w:r>
        <w:rPr>
          <w:color w:val="221F1F"/>
        </w:rPr>
        <w:t>the benefit</w:t>
      </w:r>
      <w:r>
        <w:rPr>
          <w:color w:val="221F1F"/>
          <w:spacing w:val="-1"/>
        </w:rPr>
        <w:t xml:space="preserve"> </w:t>
      </w:r>
      <w:r>
        <w:rPr>
          <w:color w:val="221F1F"/>
        </w:rPr>
        <w:t>of his creditors, or if any act</w:t>
      </w:r>
      <w:r>
        <w:rPr>
          <w:color w:val="221F1F"/>
          <w:spacing w:val="-1"/>
        </w:rPr>
        <w:t xml:space="preserve"> </w:t>
      </w:r>
      <w:r>
        <w:rPr>
          <w:color w:val="221F1F"/>
        </w:rPr>
        <w:t>is done or</w:t>
      </w:r>
      <w:r>
        <w:rPr>
          <w:color w:val="221F1F"/>
          <w:spacing w:val="-1"/>
        </w:rPr>
        <w:t xml:space="preserve"> </w:t>
      </w:r>
      <w:r>
        <w:rPr>
          <w:color w:val="221F1F"/>
        </w:rPr>
        <w:t>event</w:t>
      </w:r>
      <w:r>
        <w:rPr>
          <w:color w:val="221F1F"/>
          <w:spacing w:val="-1"/>
        </w:rPr>
        <w:t xml:space="preserve"> </w:t>
      </w:r>
      <w:r>
        <w:rPr>
          <w:color w:val="221F1F"/>
        </w:rPr>
        <w:t>occurs which (under</w:t>
      </w:r>
      <w:r>
        <w:rPr>
          <w:color w:val="221F1F"/>
          <w:spacing w:val="-1"/>
        </w:rPr>
        <w:t xml:space="preserve"> </w:t>
      </w:r>
      <w:r>
        <w:rPr>
          <w:color w:val="221F1F"/>
        </w:rPr>
        <w:t xml:space="preserve">applicable Laws) has a similar effect to any of </w:t>
      </w:r>
      <w:proofErr w:type="spellStart"/>
      <w:r>
        <w:rPr>
          <w:color w:val="221F1F"/>
        </w:rPr>
        <w:t>theseacts</w:t>
      </w:r>
      <w:proofErr w:type="spellEnd"/>
      <w:r>
        <w:rPr>
          <w:color w:val="221F1F"/>
        </w:rPr>
        <w:t xml:space="preserve"> or events, or</w:t>
      </w:r>
    </w:p>
    <w:p w:rsidR="007F6DF9" w:rsidRDefault="00A43FBC">
      <w:pPr>
        <w:pStyle w:val="ListParagraph"/>
        <w:numPr>
          <w:ilvl w:val="0"/>
          <w:numId w:val="77"/>
        </w:numPr>
        <w:tabs>
          <w:tab w:val="left" w:pos="1875"/>
          <w:tab w:val="left" w:pos="1880"/>
        </w:tabs>
        <w:spacing w:before="51" w:line="230" w:lineRule="auto"/>
        <w:ind w:left="1880" w:right="928"/>
      </w:pPr>
      <w:r>
        <w:rPr>
          <w:color w:val="221F1F"/>
        </w:rPr>
        <w:t>gives</w:t>
      </w:r>
      <w:r>
        <w:rPr>
          <w:color w:val="221F1F"/>
          <w:spacing w:val="-4"/>
        </w:rPr>
        <w:t xml:space="preserve"> </w:t>
      </w:r>
      <w:r>
        <w:rPr>
          <w:color w:val="221F1F"/>
        </w:rPr>
        <w:t>or</w:t>
      </w:r>
      <w:r>
        <w:rPr>
          <w:color w:val="221F1F"/>
          <w:spacing w:val="-1"/>
        </w:rPr>
        <w:t xml:space="preserve"> </w:t>
      </w:r>
      <w:r>
        <w:rPr>
          <w:color w:val="221F1F"/>
        </w:rPr>
        <w:t>offers</w:t>
      </w:r>
      <w:r>
        <w:rPr>
          <w:color w:val="221F1F"/>
          <w:spacing w:val="-2"/>
        </w:rPr>
        <w:t xml:space="preserve"> </w:t>
      </w:r>
      <w:r>
        <w:rPr>
          <w:color w:val="221F1F"/>
        </w:rPr>
        <w:t>to</w:t>
      </w:r>
      <w:r>
        <w:rPr>
          <w:color w:val="221F1F"/>
          <w:spacing w:val="-5"/>
        </w:rPr>
        <w:t xml:space="preserve"> </w:t>
      </w:r>
      <w:r>
        <w:rPr>
          <w:color w:val="221F1F"/>
        </w:rPr>
        <w:t>give</w:t>
      </w:r>
      <w:r>
        <w:rPr>
          <w:color w:val="221F1F"/>
          <w:spacing w:val="-1"/>
        </w:rPr>
        <w:t xml:space="preserve"> </w:t>
      </w:r>
      <w:r>
        <w:rPr>
          <w:color w:val="221F1F"/>
        </w:rPr>
        <w:t>(directly</w:t>
      </w:r>
      <w:r>
        <w:rPr>
          <w:color w:val="221F1F"/>
          <w:spacing w:val="-2"/>
        </w:rPr>
        <w:t xml:space="preserve"> </w:t>
      </w:r>
      <w:r>
        <w:rPr>
          <w:color w:val="221F1F"/>
        </w:rPr>
        <w:t>or</w:t>
      </w:r>
      <w:r>
        <w:rPr>
          <w:color w:val="221F1F"/>
          <w:spacing w:val="-4"/>
        </w:rPr>
        <w:t xml:space="preserve"> </w:t>
      </w:r>
      <w:r>
        <w:rPr>
          <w:color w:val="221F1F"/>
        </w:rPr>
        <w:t>indirectly) to</w:t>
      </w:r>
      <w:r>
        <w:rPr>
          <w:color w:val="221F1F"/>
          <w:spacing w:val="-5"/>
        </w:rPr>
        <w:t xml:space="preserve"> </w:t>
      </w:r>
      <w:r>
        <w:rPr>
          <w:color w:val="221F1F"/>
        </w:rPr>
        <w:t>any</w:t>
      </w:r>
      <w:r>
        <w:rPr>
          <w:color w:val="221F1F"/>
          <w:spacing w:val="-1"/>
        </w:rPr>
        <w:t xml:space="preserve"> </w:t>
      </w:r>
      <w:r>
        <w:rPr>
          <w:color w:val="221F1F"/>
        </w:rPr>
        <w:t>person</w:t>
      </w:r>
      <w:r>
        <w:rPr>
          <w:color w:val="221F1F"/>
          <w:spacing w:val="-4"/>
        </w:rPr>
        <w:t xml:space="preserve"> </w:t>
      </w:r>
      <w:r>
        <w:rPr>
          <w:color w:val="221F1F"/>
        </w:rPr>
        <w:t>any</w:t>
      </w:r>
      <w:r>
        <w:rPr>
          <w:color w:val="221F1F"/>
          <w:spacing w:val="-2"/>
        </w:rPr>
        <w:t xml:space="preserve"> </w:t>
      </w:r>
      <w:r>
        <w:rPr>
          <w:color w:val="221F1F"/>
        </w:rPr>
        <w:t>bribe,</w:t>
      </w:r>
      <w:r>
        <w:rPr>
          <w:color w:val="221F1F"/>
          <w:spacing w:val="-1"/>
        </w:rPr>
        <w:t xml:space="preserve"> </w:t>
      </w:r>
      <w:r>
        <w:rPr>
          <w:color w:val="221F1F"/>
        </w:rPr>
        <w:t>gift,</w:t>
      </w:r>
      <w:r>
        <w:rPr>
          <w:color w:val="221F1F"/>
          <w:spacing w:val="-2"/>
        </w:rPr>
        <w:t xml:space="preserve"> </w:t>
      </w:r>
      <w:r>
        <w:rPr>
          <w:color w:val="221F1F"/>
        </w:rPr>
        <w:t>gratuity,</w:t>
      </w:r>
      <w:r>
        <w:rPr>
          <w:color w:val="221F1F"/>
          <w:spacing w:val="-1"/>
        </w:rPr>
        <w:t xml:space="preserve"> </w:t>
      </w:r>
      <w:r>
        <w:rPr>
          <w:color w:val="221F1F"/>
        </w:rPr>
        <w:t>commission</w:t>
      </w:r>
      <w:r>
        <w:rPr>
          <w:color w:val="221F1F"/>
          <w:spacing w:val="-2"/>
        </w:rPr>
        <w:t xml:space="preserve"> </w:t>
      </w:r>
      <w:r>
        <w:rPr>
          <w:color w:val="221F1F"/>
        </w:rPr>
        <w:t>or other thing of value, as an induce mentor reward:</w:t>
      </w:r>
    </w:p>
    <w:p w:rsidR="007F6DF9" w:rsidRDefault="00A43FBC">
      <w:pPr>
        <w:pStyle w:val="ListParagraph"/>
        <w:numPr>
          <w:ilvl w:val="1"/>
          <w:numId w:val="77"/>
        </w:numPr>
        <w:tabs>
          <w:tab w:val="left" w:pos="1875"/>
        </w:tabs>
        <w:spacing w:before="41"/>
        <w:ind w:left="1875" w:hanging="444"/>
      </w:pPr>
      <w:r>
        <w:rPr>
          <w:color w:val="221F1F"/>
        </w:rPr>
        <w:t>for</w:t>
      </w:r>
      <w:r>
        <w:rPr>
          <w:color w:val="221F1F"/>
          <w:spacing w:val="-1"/>
        </w:rPr>
        <w:t xml:space="preserve"> </w:t>
      </w:r>
      <w:r>
        <w:rPr>
          <w:color w:val="221F1F"/>
        </w:rPr>
        <w:t>doing</w:t>
      </w:r>
      <w:r>
        <w:rPr>
          <w:color w:val="221F1F"/>
          <w:spacing w:val="-3"/>
        </w:rPr>
        <w:t xml:space="preserve"> </w:t>
      </w:r>
      <w:r>
        <w:rPr>
          <w:color w:val="221F1F"/>
        </w:rPr>
        <w:t>or</w:t>
      </w:r>
      <w:r>
        <w:rPr>
          <w:color w:val="221F1F"/>
          <w:spacing w:val="-4"/>
        </w:rPr>
        <w:t xml:space="preserve"> </w:t>
      </w:r>
      <w:r>
        <w:rPr>
          <w:color w:val="221F1F"/>
        </w:rPr>
        <w:t>for</w:t>
      </w:r>
      <w:r>
        <w:rPr>
          <w:color w:val="221F1F"/>
          <w:spacing w:val="-3"/>
        </w:rPr>
        <w:t xml:space="preserve"> </w:t>
      </w:r>
      <w:r>
        <w:rPr>
          <w:color w:val="221F1F"/>
        </w:rPr>
        <w:t>bearing</w:t>
      </w:r>
      <w:r>
        <w:rPr>
          <w:color w:val="221F1F"/>
          <w:spacing w:val="-4"/>
        </w:rPr>
        <w:t xml:space="preserve"> </w:t>
      </w:r>
      <w:r>
        <w:rPr>
          <w:color w:val="221F1F"/>
        </w:rPr>
        <w:t>to</w:t>
      </w:r>
      <w:r>
        <w:rPr>
          <w:color w:val="221F1F"/>
          <w:spacing w:val="-4"/>
        </w:rPr>
        <w:t xml:space="preserve"> </w:t>
      </w:r>
      <w:r>
        <w:rPr>
          <w:color w:val="221F1F"/>
        </w:rPr>
        <w:t>do</w:t>
      </w:r>
      <w:r>
        <w:rPr>
          <w:color w:val="221F1F"/>
          <w:spacing w:val="-1"/>
        </w:rPr>
        <w:t xml:space="preserve"> </w:t>
      </w:r>
      <w:r>
        <w:rPr>
          <w:color w:val="221F1F"/>
        </w:rPr>
        <w:t>any</w:t>
      </w:r>
      <w:r>
        <w:rPr>
          <w:color w:val="221F1F"/>
          <w:spacing w:val="-2"/>
        </w:rPr>
        <w:t xml:space="preserve"> </w:t>
      </w:r>
      <w:r>
        <w:rPr>
          <w:color w:val="221F1F"/>
        </w:rPr>
        <w:t>action</w:t>
      </w:r>
      <w:r>
        <w:rPr>
          <w:color w:val="221F1F"/>
          <w:spacing w:val="-3"/>
        </w:rPr>
        <w:t xml:space="preserve"> </w:t>
      </w:r>
      <w:r>
        <w:rPr>
          <w:color w:val="221F1F"/>
        </w:rPr>
        <w:t>in</w:t>
      </w:r>
      <w:r>
        <w:rPr>
          <w:color w:val="221F1F"/>
          <w:spacing w:val="-2"/>
        </w:rPr>
        <w:t xml:space="preserve"> </w:t>
      </w:r>
      <w:r>
        <w:rPr>
          <w:color w:val="221F1F"/>
        </w:rPr>
        <w:t>relation</w:t>
      </w:r>
      <w:r>
        <w:rPr>
          <w:color w:val="221F1F"/>
          <w:spacing w:val="-3"/>
        </w:rPr>
        <w:t xml:space="preserve"> </w:t>
      </w:r>
      <w:r>
        <w:rPr>
          <w:color w:val="221F1F"/>
        </w:rPr>
        <w:t>to</w:t>
      </w:r>
      <w:r>
        <w:rPr>
          <w:color w:val="221F1F"/>
          <w:spacing w:val="-5"/>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spacing w:val="-5"/>
        </w:rPr>
        <w:t>or</w:t>
      </w:r>
    </w:p>
    <w:p w:rsidR="007F6DF9" w:rsidRDefault="00A43FBC">
      <w:pPr>
        <w:pStyle w:val="ListParagraph"/>
        <w:numPr>
          <w:ilvl w:val="1"/>
          <w:numId w:val="77"/>
        </w:numPr>
        <w:tabs>
          <w:tab w:val="left" w:pos="1875"/>
        </w:tabs>
        <w:spacing w:before="41"/>
        <w:ind w:left="1875" w:hanging="444"/>
      </w:pPr>
      <w:r>
        <w:rPr>
          <w:color w:val="221F1F"/>
        </w:rPr>
        <w:t>for</w:t>
      </w:r>
      <w:r>
        <w:rPr>
          <w:color w:val="221F1F"/>
          <w:spacing w:val="-4"/>
        </w:rPr>
        <w:t xml:space="preserve"> </w:t>
      </w:r>
      <w:r>
        <w:rPr>
          <w:color w:val="221F1F"/>
        </w:rPr>
        <w:t>showing</w:t>
      </w:r>
      <w:r>
        <w:rPr>
          <w:color w:val="221F1F"/>
          <w:spacing w:val="-4"/>
        </w:rPr>
        <w:t xml:space="preserve"> </w:t>
      </w:r>
      <w:r>
        <w:rPr>
          <w:color w:val="221F1F"/>
        </w:rPr>
        <w:t>or</w:t>
      </w:r>
      <w:r>
        <w:rPr>
          <w:color w:val="221F1F"/>
          <w:spacing w:val="-3"/>
        </w:rPr>
        <w:t xml:space="preserve"> </w:t>
      </w:r>
      <w:r>
        <w:rPr>
          <w:color w:val="221F1F"/>
        </w:rPr>
        <w:t>for</w:t>
      </w:r>
      <w:r>
        <w:rPr>
          <w:color w:val="221F1F"/>
          <w:spacing w:val="-4"/>
        </w:rPr>
        <w:t xml:space="preserve"> </w:t>
      </w:r>
      <w:r>
        <w:rPr>
          <w:color w:val="221F1F"/>
        </w:rPr>
        <w:t>bearing</w:t>
      </w:r>
      <w:r>
        <w:rPr>
          <w:color w:val="221F1F"/>
          <w:spacing w:val="-1"/>
        </w:rPr>
        <w:t xml:space="preserve"> </w:t>
      </w:r>
      <w:r>
        <w:rPr>
          <w:color w:val="221F1F"/>
        </w:rPr>
        <w:t>to</w:t>
      </w:r>
      <w:r>
        <w:rPr>
          <w:color w:val="221F1F"/>
          <w:spacing w:val="-1"/>
        </w:rPr>
        <w:t xml:space="preserve"> </w:t>
      </w:r>
      <w:r>
        <w:rPr>
          <w:color w:val="221F1F"/>
        </w:rPr>
        <w:t>show</w:t>
      </w:r>
      <w:r>
        <w:rPr>
          <w:color w:val="221F1F"/>
          <w:spacing w:val="-3"/>
        </w:rPr>
        <w:t xml:space="preserve"> </w:t>
      </w:r>
      <w:r>
        <w:rPr>
          <w:color w:val="221F1F"/>
        </w:rPr>
        <w:t>favor</w:t>
      </w:r>
      <w:r>
        <w:rPr>
          <w:color w:val="221F1F"/>
          <w:spacing w:val="-3"/>
        </w:rPr>
        <w:t xml:space="preserve"> </w:t>
      </w:r>
      <w:r>
        <w:rPr>
          <w:color w:val="221F1F"/>
        </w:rPr>
        <w:t>or</w:t>
      </w:r>
      <w:r>
        <w:rPr>
          <w:color w:val="221F1F"/>
          <w:spacing w:val="-1"/>
        </w:rPr>
        <w:t xml:space="preserve"> </w:t>
      </w:r>
      <w:r>
        <w:rPr>
          <w:color w:val="221F1F"/>
        </w:rPr>
        <w:t>disfavor to</w:t>
      </w:r>
      <w:r>
        <w:rPr>
          <w:color w:val="221F1F"/>
          <w:spacing w:val="-5"/>
        </w:rPr>
        <w:t xml:space="preserve"> </w:t>
      </w:r>
      <w:r>
        <w:rPr>
          <w:color w:val="221F1F"/>
        </w:rPr>
        <w:t>any</w:t>
      </w:r>
      <w:r>
        <w:rPr>
          <w:color w:val="221F1F"/>
          <w:spacing w:val="-2"/>
        </w:rPr>
        <w:t xml:space="preserve"> </w:t>
      </w:r>
      <w:r>
        <w:rPr>
          <w:color w:val="221F1F"/>
        </w:rPr>
        <w:t>person</w:t>
      </w:r>
      <w:r>
        <w:rPr>
          <w:color w:val="221F1F"/>
          <w:spacing w:val="-3"/>
        </w:rPr>
        <w:t xml:space="preserve"> </w:t>
      </w:r>
      <w:r>
        <w:rPr>
          <w:color w:val="221F1F"/>
        </w:rPr>
        <w:t>in</w:t>
      </w:r>
      <w:r>
        <w:rPr>
          <w:color w:val="221F1F"/>
          <w:spacing w:val="-5"/>
        </w:rPr>
        <w:t xml:space="preserve"> </w:t>
      </w:r>
      <w:r>
        <w:rPr>
          <w:color w:val="221F1F"/>
        </w:rPr>
        <w:t>relation</w:t>
      </w:r>
      <w:r>
        <w:rPr>
          <w:color w:val="221F1F"/>
          <w:spacing w:val="-2"/>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5"/>
        </w:rPr>
        <w:t>or</w:t>
      </w:r>
    </w:p>
    <w:p w:rsidR="007F6DF9" w:rsidRDefault="00A43FBC">
      <w:pPr>
        <w:pStyle w:val="ListParagraph"/>
        <w:numPr>
          <w:ilvl w:val="1"/>
          <w:numId w:val="77"/>
        </w:numPr>
        <w:tabs>
          <w:tab w:val="left" w:pos="1871"/>
          <w:tab w:val="left" w:pos="1880"/>
        </w:tabs>
        <w:spacing w:before="48" w:line="230" w:lineRule="auto"/>
        <w:ind w:left="1880" w:right="555" w:hanging="449"/>
      </w:pPr>
      <w:r>
        <w:rPr>
          <w:color w:val="221F1F"/>
        </w:rPr>
        <w:t>if</w:t>
      </w:r>
      <w:r>
        <w:rPr>
          <w:color w:val="221F1F"/>
          <w:spacing w:val="40"/>
        </w:rPr>
        <w:t xml:space="preserve"> </w:t>
      </w:r>
      <w:r>
        <w:rPr>
          <w:color w:val="221F1F"/>
        </w:rPr>
        <w:t>any</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Contractor's</w:t>
      </w:r>
      <w:r>
        <w:rPr>
          <w:color w:val="221F1F"/>
          <w:spacing w:val="40"/>
        </w:rPr>
        <w:t xml:space="preserve"> </w:t>
      </w:r>
      <w:r>
        <w:rPr>
          <w:color w:val="221F1F"/>
        </w:rPr>
        <w:t>Personnel,</w:t>
      </w:r>
      <w:r>
        <w:rPr>
          <w:color w:val="221F1F"/>
          <w:spacing w:val="40"/>
        </w:rPr>
        <w:t xml:space="preserve"> </w:t>
      </w:r>
      <w:r>
        <w:rPr>
          <w:color w:val="221F1F"/>
        </w:rPr>
        <w:t>agents</w:t>
      </w:r>
      <w:r>
        <w:rPr>
          <w:color w:val="221F1F"/>
          <w:spacing w:val="40"/>
        </w:rPr>
        <w:t xml:space="preserve"> </w:t>
      </w:r>
      <w:r>
        <w:rPr>
          <w:color w:val="221F1F"/>
        </w:rPr>
        <w:t>or</w:t>
      </w:r>
      <w:r>
        <w:rPr>
          <w:color w:val="221F1F"/>
          <w:spacing w:val="40"/>
        </w:rPr>
        <w:t xml:space="preserve"> </w:t>
      </w:r>
      <w:r>
        <w:rPr>
          <w:color w:val="221F1F"/>
        </w:rPr>
        <w:t>Subcontractors</w:t>
      </w:r>
      <w:r>
        <w:rPr>
          <w:color w:val="221F1F"/>
          <w:spacing w:val="40"/>
        </w:rPr>
        <w:t xml:space="preserve"> </w:t>
      </w:r>
      <w:r>
        <w:rPr>
          <w:color w:val="221F1F"/>
        </w:rPr>
        <w:t>gives</w:t>
      </w:r>
      <w:r>
        <w:rPr>
          <w:color w:val="221F1F"/>
          <w:spacing w:val="40"/>
        </w:rPr>
        <w:t xml:space="preserve"> </w:t>
      </w:r>
      <w:r>
        <w:rPr>
          <w:color w:val="221F1F"/>
        </w:rPr>
        <w:t>or</w:t>
      </w:r>
      <w:r>
        <w:rPr>
          <w:color w:val="221F1F"/>
          <w:spacing w:val="40"/>
        </w:rPr>
        <w:t xml:space="preserve"> </w:t>
      </w:r>
      <w:r>
        <w:rPr>
          <w:color w:val="221F1F"/>
        </w:rPr>
        <w:t>offers</w:t>
      </w:r>
      <w:r>
        <w:rPr>
          <w:color w:val="221F1F"/>
          <w:spacing w:val="40"/>
        </w:rPr>
        <w:t xml:space="preserve"> </w:t>
      </w:r>
      <w:r>
        <w:rPr>
          <w:color w:val="221F1F"/>
        </w:rPr>
        <w:t>to</w:t>
      </w:r>
      <w:r>
        <w:rPr>
          <w:color w:val="221F1F"/>
          <w:spacing w:val="40"/>
        </w:rPr>
        <w:t xml:space="preserve"> </w:t>
      </w:r>
      <w:r>
        <w:rPr>
          <w:color w:val="221F1F"/>
        </w:rPr>
        <w:t>give</w:t>
      </w:r>
      <w:r>
        <w:rPr>
          <w:color w:val="221F1F"/>
          <w:spacing w:val="40"/>
        </w:rPr>
        <w:t xml:space="preserve"> </w:t>
      </w:r>
      <w:r>
        <w:rPr>
          <w:color w:val="221F1F"/>
        </w:rPr>
        <w:t>(directly</w:t>
      </w:r>
      <w:r>
        <w:rPr>
          <w:color w:val="221F1F"/>
          <w:spacing w:val="40"/>
        </w:rPr>
        <w:t xml:space="preserve"> </w:t>
      </w:r>
      <w:r>
        <w:rPr>
          <w:color w:val="221F1F"/>
        </w:rPr>
        <w:t>or indirectly)</w:t>
      </w:r>
      <w:r>
        <w:rPr>
          <w:color w:val="221F1F"/>
          <w:spacing w:val="31"/>
        </w:rPr>
        <w:t xml:space="preserve"> </w:t>
      </w:r>
      <w:r>
        <w:rPr>
          <w:color w:val="221F1F"/>
        </w:rPr>
        <w:t>to</w:t>
      </w:r>
      <w:r>
        <w:rPr>
          <w:color w:val="221F1F"/>
          <w:spacing w:val="31"/>
        </w:rPr>
        <w:t xml:space="preserve"> </w:t>
      </w:r>
      <w:r>
        <w:rPr>
          <w:color w:val="221F1F"/>
        </w:rPr>
        <w:t>any</w:t>
      </w:r>
      <w:r>
        <w:rPr>
          <w:color w:val="221F1F"/>
          <w:spacing w:val="30"/>
        </w:rPr>
        <w:t xml:space="preserve"> </w:t>
      </w:r>
      <w:r>
        <w:rPr>
          <w:color w:val="221F1F"/>
        </w:rPr>
        <w:t>person</w:t>
      </w:r>
      <w:r>
        <w:rPr>
          <w:color w:val="221F1F"/>
          <w:spacing w:val="31"/>
        </w:rPr>
        <w:t xml:space="preserve"> </w:t>
      </w:r>
      <w:r>
        <w:rPr>
          <w:color w:val="221F1F"/>
        </w:rPr>
        <w:t>any</w:t>
      </w:r>
      <w:r>
        <w:rPr>
          <w:color w:val="221F1F"/>
          <w:spacing w:val="32"/>
        </w:rPr>
        <w:t xml:space="preserve"> </w:t>
      </w:r>
      <w:r>
        <w:rPr>
          <w:color w:val="221F1F"/>
        </w:rPr>
        <w:t>such</w:t>
      </w:r>
      <w:r>
        <w:rPr>
          <w:color w:val="221F1F"/>
          <w:spacing w:val="30"/>
        </w:rPr>
        <w:t xml:space="preserve"> </w:t>
      </w:r>
      <w:r>
        <w:rPr>
          <w:color w:val="221F1F"/>
        </w:rPr>
        <w:t>induce</w:t>
      </w:r>
      <w:r>
        <w:rPr>
          <w:color w:val="221F1F"/>
          <w:spacing w:val="30"/>
        </w:rPr>
        <w:t xml:space="preserve"> </w:t>
      </w:r>
      <w:r>
        <w:rPr>
          <w:color w:val="221F1F"/>
        </w:rPr>
        <w:t>mentor</w:t>
      </w:r>
      <w:r>
        <w:rPr>
          <w:color w:val="221F1F"/>
          <w:spacing w:val="32"/>
        </w:rPr>
        <w:t xml:space="preserve"> </w:t>
      </w:r>
      <w:r>
        <w:rPr>
          <w:color w:val="221F1F"/>
        </w:rPr>
        <w:t>reward</w:t>
      </w:r>
      <w:r>
        <w:rPr>
          <w:color w:val="221F1F"/>
          <w:spacing w:val="33"/>
        </w:rPr>
        <w:t xml:space="preserve"> </w:t>
      </w:r>
      <w:r>
        <w:rPr>
          <w:color w:val="221F1F"/>
        </w:rPr>
        <w:t>as</w:t>
      </w:r>
      <w:r>
        <w:rPr>
          <w:color w:val="221F1F"/>
          <w:spacing w:val="30"/>
        </w:rPr>
        <w:t xml:space="preserve"> </w:t>
      </w:r>
      <w:r>
        <w:rPr>
          <w:color w:val="221F1F"/>
        </w:rPr>
        <w:t>is</w:t>
      </w:r>
      <w:r>
        <w:rPr>
          <w:color w:val="221F1F"/>
          <w:spacing w:val="30"/>
        </w:rPr>
        <w:t xml:space="preserve"> </w:t>
      </w:r>
      <w:r>
        <w:rPr>
          <w:color w:val="221F1F"/>
        </w:rPr>
        <w:t>described</w:t>
      </w:r>
      <w:r>
        <w:rPr>
          <w:color w:val="221F1F"/>
          <w:spacing w:val="31"/>
        </w:rPr>
        <w:t xml:space="preserve"> </w:t>
      </w:r>
      <w:r>
        <w:rPr>
          <w:color w:val="221F1F"/>
        </w:rPr>
        <w:t>in</w:t>
      </w:r>
      <w:r>
        <w:rPr>
          <w:color w:val="221F1F"/>
          <w:spacing w:val="30"/>
        </w:rPr>
        <w:t xml:space="preserve"> </w:t>
      </w:r>
      <w:r>
        <w:rPr>
          <w:color w:val="221F1F"/>
        </w:rPr>
        <w:t>this</w:t>
      </w:r>
      <w:r>
        <w:rPr>
          <w:color w:val="221F1F"/>
          <w:spacing w:val="33"/>
        </w:rPr>
        <w:t xml:space="preserve"> </w:t>
      </w:r>
      <w:r>
        <w:rPr>
          <w:color w:val="221F1F"/>
        </w:rPr>
        <w:t>sub-paragraph</w:t>
      </w:r>
      <w:r>
        <w:rPr>
          <w:color w:val="221F1F"/>
          <w:spacing w:val="31"/>
        </w:rPr>
        <w:t xml:space="preserve"> </w:t>
      </w:r>
      <w:r>
        <w:rPr>
          <w:color w:val="221F1F"/>
        </w:rPr>
        <w:t>(f).</w:t>
      </w:r>
    </w:p>
    <w:p w:rsidR="007F6DF9" w:rsidRDefault="00A43FBC">
      <w:pPr>
        <w:pStyle w:val="BodyText"/>
        <w:spacing w:line="244" w:lineRule="exact"/>
        <w:ind w:left="1880"/>
      </w:pPr>
      <w:r>
        <w:rPr>
          <w:color w:val="221F1F"/>
        </w:rPr>
        <w:t>However,</w:t>
      </w:r>
      <w:r>
        <w:rPr>
          <w:color w:val="221F1F"/>
          <w:spacing w:val="-9"/>
        </w:rPr>
        <w:t xml:space="preserve"> </w:t>
      </w:r>
      <w:r>
        <w:rPr>
          <w:color w:val="221F1F"/>
        </w:rPr>
        <w:t>lawful</w:t>
      </w:r>
      <w:r>
        <w:rPr>
          <w:color w:val="221F1F"/>
          <w:spacing w:val="-6"/>
        </w:rPr>
        <w:t xml:space="preserve"> </w:t>
      </w:r>
      <w:r>
        <w:rPr>
          <w:color w:val="221F1F"/>
        </w:rPr>
        <w:t>inducements</w:t>
      </w:r>
      <w:r>
        <w:rPr>
          <w:color w:val="221F1F"/>
          <w:spacing w:val="-2"/>
        </w:rPr>
        <w:t xml:space="preserve"> </w:t>
      </w:r>
      <w:r>
        <w:rPr>
          <w:color w:val="221F1F"/>
        </w:rPr>
        <w:t>and</w:t>
      </w:r>
      <w:r>
        <w:rPr>
          <w:color w:val="221F1F"/>
          <w:spacing w:val="-4"/>
        </w:rPr>
        <w:t xml:space="preserve"> </w:t>
      </w:r>
      <w:r>
        <w:rPr>
          <w:color w:val="221F1F"/>
        </w:rPr>
        <w:t>rewards</w:t>
      </w:r>
      <w:r>
        <w:rPr>
          <w:color w:val="221F1F"/>
          <w:spacing w:val="-4"/>
        </w:rPr>
        <w:t xml:space="preserve"> </w:t>
      </w:r>
      <w:r>
        <w:rPr>
          <w:color w:val="221F1F"/>
        </w:rPr>
        <w:t>to</w:t>
      </w:r>
      <w:r>
        <w:rPr>
          <w:color w:val="221F1F"/>
          <w:spacing w:val="-7"/>
        </w:rPr>
        <w:t xml:space="preserve"> </w:t>
      </w:r>
      <w:r>
        <w:rPr>
          <w:color w:val="221F1F"/>
        </w:rPr>
        <w:t>Contractor's</w:t>
      </w:r>
      <w:r>
        <w:rPr>
          <w:color w:val="221F1F"/>
          <w:spacing w:val="-3"/>
        </w:rPr>
        <w:t xml:space="preserve"> </w:t>
      </w:r>
      <w:r>
        <w:rPr>
          <w:color w:val="221F1F"/>
        </w:rPr>
        <w:t>Personnel</w:t>
      </w:r>
      <w:r>
        <w:rPr>
          <w:color w:val="221F1F"/>
          <w:spacing w:val="-4"/>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entitle</w:t>
      </w:r>
      <w:r>
        <w:rPr>
          <w:color w:val="221F1F"/>
          <w:spacing w:val="-6"/>
        </w:rPr>
        <w:t xml:space="preserve"> </w:t>
      </w:r>
      <w:r>
        <w:rPr>
          <w:color w:val="221F1F"/>
        </w:rPr>
        <w:t>termination,</w:t>
      </w:r>
      <w:r>
        <w:rPr>
          <w:color w:val="221F1F"/>
          <w:spacing w:val="-4"/>
        </w:rPr>
        <w:t xml:space="preserve"> </w:t>
      </w:r>
      <w:r>
        <w:rPr>
          <w:color w:val="221F1F"/>
          <w:spacing w:val="-5"/>
        </w:rPr>
        <w:t>or</w:t>
      </w:r>
    </w:p>
    <w:p w:rsidR="007F6DF9" w:rsidRDefault="00A43FBC">
      <w:pPr>
        <w:pStyle w:val="ListParagraph"/>
        <w:numPr>
          <w:ilvl w:val="0"/>
          <w:numId w:val="77"/>
        </w:numPr>
        <w:tabs>
          <w:tab w:val="left" w:pos="1872"/>
        </w:tabs>
        <w:spacing w:before="40"/>
        <w:ind w:left="1872" w:hanging="443"/>
      </w:pPr>
      <w:r>
        <w:rPr>
          <w:color w:val="221F1F"/>
        </w:rPr>
        <w:t>If</w:t>
      </w:r>
      <w:r>
        <w:rPr>
          <w:color w:val="221F1F"/>
          <w:spacing w:val="-3"/>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or</w:t>
      </w:r>
      <w:r>
        <w:rPr>
          <w:color w:val="221F1F"/>
          <w:spacing w:val="-3"/>
        </w:rPr>
        <w:t xml:space="preserve"> </w:t>
      </w:r>
      <w:r>
        <w:rPr>
          <w:color w:val="221F1F"/>
        </w:rPr>
        <w:t>repeatedly</w:t>
      </w:r>
      <w:r>
        <w:rPr>
          <w:color w:val="221F1F"/>
          <w:spacing w:val="-4"/>
        </w:rPr>
        <w:t xml:space="preserve"> </w:t>
      </w:r>
      <w:r>
        <w:rPr>
          <w:color w:val="221F1F"/>
        </w:rPr>
        <w:t>fails</w:t>
      </w:r>
      <w:r>
        <w:rPr>
          <w:color w:val="221F1F"/>
          <w:spacing w:val="-6"/>
        </w:rPr>
        <w:t xml:space="preserve"> </w:t>
      </w:r>
      <w:r>
        <w:rPr>
          <w:color w:val="221F1F"/>
        </w:rPr>
        <w:t>to</w:t>
      </w:r>
      <w:r>
        <w:rPr>
          <w:color w:val="221F1F"/>
          <w:spacing w:val="-6"/>
        </w:rPr>
        <w:t xml:space="preserve"> </w:t>
      </w:r>
      <w:r>
        <w:rPr>
          <w:color w:val="221F1F"/>
        </w:rPr>
        <w:t>remedy</w:t>
      </w:r>
      <w:r>
        <w:rPr>
          <w:color w:val="221F1F"/>
          <w:spacing w:val="-4"/>
        </w:rPr>
        <w:t xml:space="preserve"> </w:t>
      </w:r>
      <w:r>
        <w:rPr>
          <w:color w:val="221F1F"/>
        </w:rPr>
        <w:t>delivers</w:t>
      </w:r>
      <w:r>
        <w:rPr>
          <w:color w:val="221F1F"/>
          <w:spacing w:val="-3"/>
        </w:rPr>
        <w:t xml:space="preserve"> </w:t>
      </w:r>
      <w:r>
        <w:rPr>
          <w:color w:val="221F1F"/>
        </w:rPr>
        <w:t>defective</w:t>
      </w:r>
      <w:r>
        <w:rPr>
          <w:color w:val="221F1F"/>
          <w:spacing w:val="-2"/>
        </w:rPr>
        <w:t xml:space="preserve"> work,</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ListParagraph"/>
        <w:numPr>
          <w:ilvl w:val="0"/>
          <w:numId w:val="77"/>
        </w:numPr>
        <w:tabs>
          <w:tab w:val="left" w:pos="1871"/>
          <w:tab w:val="left" w:pos="1880"/>
        </w:tabs>
        <w:spacing w:line="230" w:lineRule="auto"/>
        <w:ind w:left="1880" w:right="635" w:hanging="452"/>
        <w:jc w:val="both"/>
      </w:pPr>
      <w:r>
        <w:rPr>
          <w:color w:val="221F1F"/>
        </w:rPr>
        <w:lastRenderedPageBreak/>
        <w:t>based</w:t>
      </w:r>
      <w:r>
        <w:rPr>
          <w:color w:val="221F1F"/>
          <w:spacing w:val="-4"/>
        </w:rPr>
        <w:t xml:space="preserve"> </w:t>
      </w:r>
      <w:r>
        <w:rPr>
          <w:color w:val="221F1F"/>
        </w:rPr>
        <w:t>on</w:t>
      </w:r>
      <w:r>
        <w:rPr>
          <w:color w:val="221F1F"/>
          <w:spacing w:val="-3"/>
        </w:rPr>
        <w:t xml:space="preserve"> </w:t>
      </w:r>
      <w:r>
        <w:rPr>
          <w:color w:val="221F1F"/>
        </w:rPr>
        <w:t>reasonable</w:t>
      </w:r>
      <w:r>
        <w:rPr>
          <w:color w:val="221F1F"/>
          <w:spacing w:val="-3"/>
        </w:rPr>
        <w:t xml:space="preserve"> </w:t>
      </w:r>
      <w:r>
        <w:rPr>
          <w:color w:val="221F1F"/>
        </w:rPr>
        <w:t>evidence,</w:t>
      </w:r>
      <w:r>
        <w:rPr>
          <w:color w:val="221F1F"/>
          <w:spacing w:val="-3"/>
        </w:rPr>
        <w:t xml:space="preserve"> </w:t>
      </w:r>
      <w:r>
        <w:rPr>
          <w:color w:val="221F1F"/>
        </w:rPr>
        <w:t>has</w:t>
      </w:r>
      <w:r>
        <w:rPr>
          <w:color w:val="221F1F"/>
          <w:spacing w:val="-3"/>
        </w:rPr>
        <w:t xml:space="preserve"> </w:t>
      </w:r>
      <w:r>
        <w:rPr>
          <w:color w:val="221F1F"/>
        </w:rPr>
        <w:t>engaged</w:t>
      </w:r>
      <w:r>
        <w:rPr>
          <w:color w:val="221F1F"/>
          <w:spacing w:val="-5"/>
        </w:rPr>
        <w:t xml:space="preserve"> </w:t>
      </w:r>
      <w:r>
        <w:rPr>
          <w:color w:val="221F1F"/>
        </w:rPr>
        <w:t>in</w:t>
      </w:r>
      <w:r>
        <w:rPr>
          <w:color w:val="221F1F"/>
          <w:spacing w:val="-3"/>
        </w:rPr>
        <w:t xml:space="preserve"> </w:t>
      </w:r>
      <w:r>
        <w:rPr>
          <w:color w:val="221F1F"/>
        </w:rPr>
        <w:t>Fraud</w:t>
      </w:r>
      <w:r>
        <w:rPr>
          <w:color w:val="221F1F"/>
          <w:spacing w:val="-4"/>
        </w:rPr>
        <w:t xml:space="preserve"> </w:t>
      </w:r>
      <w:r>
        <w:rPr>
          <w:color w:val="221F1F"/>
        </w:rPr>
        <w:t>and</w:t>
      </w:r>
      <w:r>
        <w:rPr>
          <w:color w:val="221F1F"/>
          <w:spacing w:val="-3"/>
        </w:rPr>
        <w:t xml:space="preserve"> </w:t>
      </w:r>
      <w:r>
        <w:rPr>
          <w:color w:val="221F1F"/>
        </w:rPr>
        <w:t>Corruption</w:t>
      </w:r>
      <w:r>
        <w:rPr>
          <w:color w:val="221F1F"/>
          <w:spacing w:val="-3"/>
        </w:rPr>
        <w:t xml:space="preserve"> </w:t>
      </w:r>
      <w:r>
        <w:rPr>
          <w:color w:val="221F1F"/>
        </w:rPr>
        <w:t>as</w:t>
      </w:r>
      <w:r>
        <w:rPr>
          <w:color w:val="221F1F"/>
          <w:spacing w:val="-3"/>
        </w:rPr>
        <w:t xml:space="preserve"> </w:t>
      </w:r>
      <w:r>
        <w:rPr>
          <w:color w:val="221F1F"/>
        </w:rPr>
        <w:t>defined</w:t>
      </w:r>
      <w:r>
        <w:rPr>
          <w:color w:val="221F1F"/>
          <w:spacing w:val="-3"/>
        </w:rPr>
        <w:t xml:space="preserve"> </w:t>
      </w:r>
      <w:r>
        <w:rPr>
          <w:color w:val="221F1F"/>
        </w:rPr>
        <w:t>in</w:t>
      </w:r>
      <w:r>
        <w:rPr>
          <w:color w:val="221F1F"/>
          <w:spacing w:val="-5"/>
        </w:rPr>
        <w:t xml:space="preserve"> </w:t>
      </w:r>
      <w:r>
        <w:rPr>
          <w:color w:val="221F1F"/>
        </w:rPr>
        <w:t>paragraph</w:t>
      </w:r>
      <w:r>
        <w:rPr>
          <w:color w:val="221F1F"/>
          <w:spacing w:val="-3"/>
        </w:rPr>
        <w:t xml:space="preserve"> </w:t>
      </w:r>
      <w:r>
        <w:rPr>
          <w:color w:val="221F1F"/>
        </w:rPr>
        <w:t>2.2</w:t>
      </w:r>
      <w:r>
        <w:rPr>
          <w:color w:val="221F1F"/>
          <w:spacing w:val="-3"/>
        </w:rPr>
        <w:t xml:space="preserve"> </w:t>
      </w:r>
      <w:r>
        <w:rPr>
          <w:color w:val="221F1F"/>
        </w:rPr>
        <w:t>of</w:t>
      </w:r>
      <w:r>
        <w:rPr>
          <w:color w:val="221F1F"/>
          <w:spacing w:val="-3"/>
        </w:rPr>
        <w:t xml:space="preserve"> </w:t>
      </w:r>
      <w:r>
        <w:rPr>
          <w:color w:val="221F1F"/>
        </w:rPr>
        <w:t xml:space="preserve">the Appendix B to these General Conditions, </w:t>
      </w:r>
      <w:proofErr w:type="spellStart"/>
      <w:r>
        <w:rPr>
          <w:color w:val="221F1F"/>
        </w:rPr>
        <w:t>incompeting</w:t>
      </w:r>
      <w:proofErr w:type="spellEnd"/>
      <w:r>
        <w:rPr>
          <w:color w:val="221F1F"/>
        </w:rPr>
        <w:t xml:space="preserve"> for or in executing the Contract.</w:t>
      </w:r>
    </w:p>
    <w:p w:rsidR="007F6DF9" w:rsidRDefault="00A43FBC">
      <w:pPr>
        <w:pStyle w:val="ListParagraph"/>
        <w:numPr>
          <w:ilvl w:val="2"/>
          <w:numId w:val="122"/>
        </w:numPr>
        <w:tabs>
          <w:tab w:val="left" w:pos="1427"/>
          <w:tab w:val="left" w:pos="1438"/>
        </w:tabs>
        <w:spacing w:before="246" w:line="230" w:lineRule="auto"/>
        <w:ind w:left="1438" w:right="556" w:hanging="731"/>
        <w:jc w:val="both"/>
        <w:rPr>
          <w:color w:val="221F1F"/>
        </w:rPr>
      </w:pPr>
      <w:r>
        <w:rPr>
          <w:color w:val="221F1F"/>
        </w:rPr>
        <w:t>In any of these events or circumstances, the Procuring Entity may, upon giving 14 days' notice to the Contractor, terminate the Contract and expel the Contractor from the Site. However, in the case of sub-paragraph (e) or (f) or (g) or (h), the Procuring Entity may by notice terminate the Contract immediately.</w:t>
      </w:r>
    </w:p>
    <w:p w:rsidR="007F6DF9" w:rsidRDefault="00A43FBC">
      <w:pPr>
        <w:pStyle w:val="ListParagraph"/>
        <w:numPr>
          <w:ilvl w:val="2"/>
          <w:numId w:val="122"/>
        </w:numPr>
        <w:tabs>
          <w:tab w:val="left" w:pos="1427"/>
          <w:tab w:val="left" w:pos="1438"/>
        </w:tabs>
        <w:spacing w:before="243" w:line="230" w:lineRule="auto"/>
        <w:ind w:left="1438" w:right="558" w:hanging="731"/>
        <w:jc w:val="both"/>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Entity's</w:t>
      </w:r>
      <w:r>
        <w:rPr>
          <w:color w:val="221F1F"/>
          <w:spacing w:val="-6"/>
        </w:rPr>
        <w:t xml:space="preserve"> </w:t>
      </w:r>
      <w:r>
        <w:rPr>
          <w:color w:val="221F1F"/>
        </w:rPr>
        <w:t>election</w:t>
      </w:r>
      <w:r>
        <w:rPr>
          <w:color w:val="221F1F"/>
          <w:spacing w:val="-8"/>
        </w:rPr>
        <w:t xml:space="preserve"> </w:t>
      </w:r>
      <w:r>
        <w:rPr>
          <w:color w:val="221F1F"/>
        </w:rPr>
        <w:t>to</w:t>
      </w:r>
      <w:r>
        <w:rPr>
          <w:color w:val="221F1F"/>
          <w:spacing w:val="-9"/>
        </w:rPr>
        <w:t xml:space="preserve"> </w:t>
      </w:r>
      <w:r>
        <w:rPr>
          <w:color w:val="221F1F"/>
        </w:rPr>
        <w:t>terminate</w:t>
      </w:r>
      <w:r>
        <w:rPr>
          <w:color w:val="221F1F"/>
          <w:spacing w:val="-8"/>
        </w:rPr>
        <w:t xml:space="preserve"> </w:t>
      </w:r>
      <w:r>
        <w:rPr>
          <w:color w:val="221F1F"/>
        </w:rPr>
        <w:t>the</w:t>
      </w:r>
      <w:r>
        <w:rPr>
          <w:color w:val="221F1F"/>
          <w:spacing w:val="-9"/>
        </w:rPr>
        <w:t xml:space="preserve"> </w:t>
      </w:r>
      <w:r>
        <w:rPr>
          <w:color w:val="221F1F"/>
        </w:rPr>
        <w:t>Contract</w:t>
      </w:r>
      <w:r>
        <w:rPr>
          <w:color w:val="221F1F"/>
          <w:spacing w:val="-5"/>
        </w:rPr>
        <w:t xml:space="preserve"> </w:t>
      </w:r>
      <w:r>
        <w:rPr>
          <w:color w:val="221F1F"/>
        </w:rPr>
        <w:t>shall</w:t>
      </w:r>
      <w:r>
        <w:rPr>
          <w:color w:val="221F1F"/>
          <w:spacing w:val="-6"/>
        </w:rPr>
        <w:t xml:space="preserve"> </w:t>
      </w:r>
      <w:r>
        <w:rPr>
          <w:color w:val="221F1F"/>
        </w:rPr>
        <w:t>not</w:t>
      </w:r>
      <w:r>
        <w:rPr>
          <w:color w:val="221F1F"/>
          <w:spacing w:val="-8"/>
        </w:rPr>
        <w:t xml:space="preserve"> </w:t>
      </w:r>
      <w:r>
        <w:rPr>
          <w:color w:val="221F1F"/>
        </w:rPr>
        <w:t>prejudice</w:t>
      </w:r>
      <w:r>
        <w:rPr>
          <w:color w:val="221F1F"/>
          <w:spacing w:val="-8"/>
        </w:rPr>
        <w:t xml:space="preserve"> </w:t>
      </w:r>
      <w:r>
        <w:rPr>
          <w:color w:val="221F1F"/>
        </w:rPr>
        <w:t>any</w:t>
      </w:r>
      <w:r>
        <w:rPr>
          <w:color w:val="221F1F"/>
          <w:spacing w:val="-9"/>
        </w:rPr>
        <w:t xml:space="preserve"> </w:t>
      </w:r>
      <w:r>
        <w:rPr>
          <w:color w:val="221F1F"/>
        </w:rPr>
        <w:t>other</w:t>
      </w:r>
      <w:r>
        <w:rPr>
          <w:color w:val="221F1F"/>
          <w:spacing w:val="-8"/>
        </w:rPr>
        <w:t xml:space="preserve"> </w:t>
      </w:r>
      <w:r>
        <w:rPr>
          <w:color w:val="221F1F"/>
        </w:rPr>
        <w:t>rights</w:t>
      </w:r>
      <w:r>
        <w:rPr>
          <w:color w:val="221F1F"/>
          <w:spacing w:val="-8"/>
        </w:rPr>
        <w:t xml:space="preserve"> </w:t>
      </w:r>
      <w:r>
        <w:rPr>
          <w:color w:val="221F1F"/>
        </w:rPr>
        <w:t>of</w:t>
      </w:r>
      <w:r>
        <w:rPr>
          <w:color w:val="221F1F"/>
          <w:spacing w:val="-9"/>
        </w:rPr>
        <w:t xml:space="preserve"> </w:t>
      </w:r>
      <w:r>
        <w:rPr>
          <w:color w:val="221F1F"/>
        </w:rPr>
        <w:t>the</w:t>
      </w:r>
      <w:r>
        <w:rPr>
          <w:color w:val="221F1F"/>
          <w:spacing w:val="-6"/>
        </w:rPr>
        <w:t xml:space="preserve"> </w:t>
      </w:r>
      <w:r>
        <w:rPr>
          <w:color w:val="221F1F"/>
        </w:rPr>
        <w:t>Procuring Entity, under the Contractor otherwise.</w:t>
      </w:r>
    </w:p>
    <w:p w:rsidR="007F6DF9" w:rsidRDefault="00A43FBC">
      <w:pPr>
        <w:pStyle w:val="ListParagraph"/>
        <w:numPr>
          <w:ilvl w:val="2"/>
          <w:numId w:val="122"/>
        </w:numPr>
        <w:tabs>
          <w:tab w:val="left" w:pos="1427"/>
          <w:tab w:val="left" w:pos="1438"/>
        </w:tabs>
        <w:spacing w:before="244" w:line="230" w:lineRule="auto"/>
        <w:ind w:left="1438" w:right="555" w:hanging="731"/>
        <w:jc w:val="both"/>
        <w:rPr>
          <w:color w:val="221F1F"/>
        </w:rPr>
      </w:pPr>
      <w:r>
        <w:rPr>
          <w:color w:val="221F1F"/>
        </w:rPr>
        <w:t>The Contractor shall then leave the Site and deliver any required Goods, all Contractor's Documents, and other design documents made by or for him, to the Engineer. However, the Contractor shall use his best efforts</w:t>
      </w:r>
      <w:r>
        <w:rPr>
          <w:color w:val="221F1F"/>
          <w:spacing w:val="-1"/>
        </w:rPr>
        <w:t xml:space="preserve"> </w:t>
      </w:r>
      <w:r>
        <w:rPr>
          <w:color w:val="221F1F"/>
        </w:rPr>
        <w:t>to</w:t>
      </w:r>
      <w:r>
        <w:rPr>
          <w:color w:val="221F1F"/>
          <w:spacing w:val="-1"/>
        </w:rPr>
        <w:t xml:space="preserve"> </w:t>
      </w:r>
      <w:r>
        <w:rPr>
          <w:color w:val="221F1F"/>
        </w:rPr>
        <w:t>comply</w:t>
      </w:r>
      <w:r>
        <w:rPr>
          <w:color w:val="221F1F"/>
          <w:spacing w:val="-2"/>
        </w:rPr>
        <w:t xml:space="preserve"> </w:t>
      </w:r>
      <w:r>
        <w:rPr>
          <w:color w:val="221F1F"/>
        </w:rPr>
        <w:t>immediately with</w:t>
      </w:r>
      <w:r>
        <w:rPr>
          <w:color w:val="221F1F"/>
          <w:spacing w:val="-2"/>
        </w:rPr>
        <w:t xml:space="preserve"> </w:t>
      </w:r>
      <w:r>
        <w:rPr>
          <w:color w:val="221F1F"/>
        </w:rPr>
        <w:t>any</w:t>
      </w:r>
      <w:r>
        <w:rPr>
          <w:color w:val="221F1F"/>
          <w:spacing w:val="-1"/>
        </w:rPr>
        <w:t xml:space="preserve"> </w:t>
      </w:r>
      <w:r>
        <w:rPr>
          <w:color w:val="221F1F"/>
        </w:rPr>
        <w:t>reasonable</w:t>
      </w:r>
      <w:r>
        <w:rPr>
          <w:color w:val="221F1F"/>
          <w:spacing w:val="-1"/>
        </w:rPr>
        <w:t xml:space="preserve"> </w:t>
      </w:r>
      <w:r>
        <w:rPr>
          <w:color w:val="221F1F"/>
        </w:rPr>
        <w:t>instructions</w:t>
      </w:r>
      <w:r>
        <w:rPr>
          <w:color w:val="221F1F"/>
          <w:spacing w:val="-1"/>
        </w:rPr>
        <w:t xml:space="preserve"> </w:t>
      </w:r>
      <w:r>
        <w:rPr>
          <w:color w:val="221F1F"/>
        </w:rPr>
        <w:t>included</w:t>
      </w:r>
      <w:r>
        <w:rPr>
          <w:color w:val="221F1F"/>
          <w:spacing w:val="-1"/>
        </w:rPr>
        <w:t xml:space="preserve"> </w:t>
      </w:r>
      <w:r>
        <w:rPr>
          <w:color w:val="221F1F"/>
        </w:rPr>
        <w:t>in</w:t>
      </w:r>
      <w:r>
        <w:rPr>
          <w:color w:val="221F1F"/>
          <w:spacing w:val="-2"/>
        </w:rPr>
        <w:t xml:space="preserve"> </w:t>
      </w:r>
      <w:r>
        <w:rPr>
          <w:color w:val="221F1F"/>
        </w:rPr>
        <w:t>the notice</w:t>
      </w:r>
      <w:r>
        <w:rPr>
          <w:color w:val="221F1F"/>
          <w:spacing w:val="-1"/>
        </w:rPr>
        <w:t xml:space="preserve"> </w:t>
      </w:r>
      <w:r>
        <w:rPr>
          <w:color w:val="221F1F"/>
        </w:rPr>
        <w:t>(</w:t>
      </w:r>
      <w:proofErr w:type="spellStart"/>
      <w:r>
        <w:rPr>
          <w:color w:val="221F1F"/>
        </w:rPr>
        <w:t>i</w:t>
      </w:r>
      <w:proofErr w:type="spellEnd"/>
      <w:r>
        <w:rPr>
          <w:color w:val="221F1F"/>
        </w:rPr>
        <w:t>)</w:t>
      </w:r>
      <w:r>
        <w:rPr>
          <w:color w:val="221F1F"/>
          <w:spacing w:val="-1"/>
        </w:rPr>
        <w:t xml:space="preserve"> </w:t>
      </w:r>
      <w:r>
        <w:rPr>
          <w:color w:val="221F1F"/>
        </w:rPr>
        <w:t>for</w:t>
      </w:r>
      <w:r>
        <w:rPr>
          <w:color w:val="221F1F"/>
          <w:spacing w:val="-1"/>
        </w:rPr>
        <w:t xml:space="preserve"> </w:t>
      </w:r>
      <w:r>
        <w:rPr>
          <w:color w:val="221F1F"/>
        </w:rPr>
        <w:t>the assignment of any subcontract, and (ii) for the protection of life or property or for the safety of the Works.</w:t>
      </w:r>
    </w:p>
    <w:p w:rsidR="007F6DF9" w:rsidRDefault="00A43FBC">
      <w:pPr>
        <w:pStyle w:val="ListParagraph"/>
        <w:numPr>
          <w:ilvl w:val="2"/>
          <w:numId w:val="122"/>
        </w:numPr>
        <w:tabs>
          <w:tab w:val="left" w:pos="1427"/>
          <w:tab w:val="left" w:pos="1438"/>
        </w:tabs>
        <w:spacing w:before="246" w:line="230" w:lineRule="auto"/>
        <w:ind w:left="1438" w:right="560" w:hanging="731"/>
        <w:jc w:val="both"/>
        <w:rPr>
          <w:color w:val="221F1F"/>
        </w:rPr>
      </w:pPr>
      <w:r>
        <w:rPr>
          <w:color w:val="221F1F"/>
        </w:rPr>
        <w:t>After termination, the Procuring Entity may complete</w:t>
      </w:r>
      <w:r>
        <w:rPr>
          <w:color w:val="221F1F"/>
          <w:spacing w:val="-1"/>
        </w:rPr>
        <w:t xml:space="preserve"> </w:t>
      </w:r>
      <w:r>
        <w:rPr>
          <w:color w:val="221F1F"/>
        </w:rPr>
        <w:t>the Works</w:t>
      </w:r>
      <w:r>
        <w:rPr>
          <w:color w:val="221F1F"/>
          <w:spacing w:val="-9"/>
        </w:rPr>
        <w:t xml:space="preserve"> </w:t>
      </w:r>
      <w:r>
        <w:rPr>
          <w:color w:val="221F1F"/>
        </w:rPr>
        <w:t>and/ or arrange for any other entities to do so.</w:t>
      </w:r>
      <w:r>
        <w:rPr>
          <w:color w:val="221F1F"/>
          <w:spacing w:val="-16"/>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3"/>
        </w:rPr>
        <w:t xml:space="preserve"> </w:t>
      </w:r>
      <w:r>
        <w:rPr>
          <w:color w:val="221F1F"/>
        </w:rPr>
        <w:t>and</w:t>
      </w:r>
      <w:r>
        <w:rPr>
          <w:color w:val="221F1F"/>
          <w:spacing w:val="-14"/>
        </w:rPr>
        <w:t xml:space="preserve"> </w:t>
      </w:r>
      <w:r>
        <w:rPr>
          <w:color w:val="221F1F"/>
        </w:rPr>
        <w:t>these</w:t>
      </w:r>
      <w:r>
        <w:rPr>
          <w:color w:val="221F1F"/>
          <w:spacing w:val="-14"/>
        </w:rPr>
        <w:t xml:space="preserve"> </w:t>
      </w:r>
      <w:r>
        <w:rPr>
          <w:color w:val="221F1F"/>
        </w:rPr>
        <w:t>entities</w:t>
      </w:r>
      <w:r>
        <w:rPr>
          <w:color w:val="221F1F"/>
          <w:spacing w:val="-14"/>
        </w:rPr>
        <w:t xml:space="preserve"> </w:t>
      </w:r>
      <w:r>
        <w:rPr>
          <w:color w:val="221F1F"/>
        </w:rPr>
        <w:t>may</w:t>
      </w:r>
      <w:r>
        <w:rPr>
          <w:color w:val="221F1F"/>
          <w:spacing w:val="-13"/>
        </w:rPr>
        <w:t xml:space="preserve"> </w:t>
      </w:r>
      <w:r>
        <w:rPr>
          <w:color w:val="221F1F"/>
        </w:rPr>
        <w:t>then</w:t>
      </w:r>
      <w:r>
        <w:rPr>
          <w:color w:val="221F1F"/>
          <w:spacing w:val="-14"/>
        </w:rPr>
        <w:t xml:space="preserve"> </w:t>
      </w:r>
      <w:r>
        <w:rPr>
          <w:color w:val="221F1F"/>
        </w:rPr>
        <w:t>use</w:t>
      </w:r>
      <w:r>
        <w:rPr>
          <w:color w:val="221F1F"/>
          <w:spacing w:val="-14"/>
        </w:rPr>
        <w:t xml:space="preserve"> </w:t>
      </w:r>
      <w:r>
        <w:rPr>
          <w:color w:val="221F1F"/>
        </w:rPr>
        <w:t>any</w:t>
      </w:r>
      <w:r>
        <w:rPr>
          <w:color w:val="221F1F"/>
          <w:spacing w:val="-14"/>
        </w:rPr>
        <w:t xml:space="preserve"> </w:t>
      </w:r>
      <w:r>
        <w:rPr>
          <w:color w:val="221F1F"/>
        </w:rPr>
        <w:t>Goods,</w:t>
      </w:r>
      <w:r>
        <w:rPr>
          <w:color w:val="221F1F"/>
          <w:spacing w:val="-13"/>
        </w:rPr>
        <w:t xml:space="preserve"> </w:t>
      </w:r>
      <w:r>
        <w:rPr>
          <w:color w:val="221F1F"/>
        </w:rPr>
        <w:t>Contractor's</w:t>
      </w:r>
      <w:r>
        <w:rPr>
          <w:color w:val="221F1F"/>
          <w:spacing w:val="-14"/>
        </w:rPr>
        <w:t xml:space="preserve"> </w:t>
      </w:r>
      <w:r>
        <w:rPr>
          <w:color w:val="221F1F"/>
        </w:rPr>
        <w:t>Documents</w:t>
      </w:r>
      <w:r>
        <w:rPr>
          <w:color w:val="221F1F"/>
          <w:spacing w:val="-14"/>
        </w:rPr>
        <w:t xml:space="preserve"> </w:t>
      </w:r>
      <w:r>
        <w:rPr>
          <w:color w:val="221F1F"/>
        </w:rPr>
        <w:t>and</w:t>
      </w:r>
      <w:r>
        <w:rPr>
          <w:color w:val="221F1F"/>
          <w:spacing w:val="-14"/>
        </w:rPr>
        <w:t xml:space="preserve"> </w:t>
      </w:r>
      <w:r>
        <w:rPr>
          <w:color w:val="221F1F"/>
        </w:rPr>
        <w:t>other</w:t>
      </w:r>
      <w:r>
        <w:rPr>
          <w:color w:val="221F1F"/>
          <w:spacing w:val="-13"/>
        </w:rPr>
        <w:t xml:space="preserve"> </w:t>
      </w:r>
      <w:r>
        <w:rPr>
          <w:color w:val="221F1F"/>
        </w:rPr>
        <w:t>design documents made by or on behalf of the Contractor.</w:t>
      </w:r>
    </w:p>
    <w:p w:rsidR="007F6DF9" w:rsidRDefault="00A43FBC">
      <w:pPr>
        <w:pStyle w:val="ListParagraph"/>
        <w:numPr>
          <w:ilvl w:val="2"/>
          <w:numId w:val="122"/>
        </w:numPr>
        <w:tabs>
          <w:tab w:val="left" w:pos="1427"/>
          <w:tab w:val="left" w:pos="1438"/>
        </w:tabs>
        <w:spacing w:before="246" w:line="230" w:lineRule="auto"/>
        <w:ind w:left="1438" w:right="557" w:hanging="731"/>
        <w:jc w:val="both"/>
        <w:rPr>
          <w:color w:val="221F1F"/>
        </w:rPr>
      </w:pPr>
      <w:r>
        <w:rPr>
          <w:color w:val="221F1F"/>
        </w:rPr>
        <w:t>The Procuring Entity shall then give notice that the Contractor's Equipment and Temporary Works</w:t>
      </w:r>
      <w:r>
        <w:rPr>
          <w:color w:val="221F1F"/>
          <w:spacing w:val="-2"/>
        </w:rPr>
        <w:t xml:space="preserve"> </w:t>
      </w:r>
      <w:r>
        <w:rPr>
          <w:color w:val="221F1F"/>
        </w:rPr>
        <w:t>will be released</w:t>
      </w:r>
      <w:r>
        <w:rPr>
          <w:color w:val="221F1F"/>
          <w:spacing w:val="-8"/>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at</w:t>
      </w:r>
      <w:r>
        <w:rPr>
          <w:color w:val="221F1F"/>
          <w:spacing w:val="-6"/>
        </w:rPr>
        <w:t xml:space="preserve"> </w:t>
      </w:r>
      <w:r>
        <w:rPr>
          <w:color w:val="221F1F"/>
        </w:rPr>
        <w:t>or</w:t>
      </w:r>
      <w:r>
        <w:rPr>
          <w:color w:val="221F1F"/>
          <w:spacing w:val="-9"/>
        </w:rPr>
        <w:t xml:space="preserve"> </w:t>
      </w:r>
      <w:r>
        <w:rPr>
          <w:color w:val="221F1F"/>
        </w:rPr>
        <w:t>near</w:t>
      </w:r>
      <w:r>
        <w:rPr>
          <w:color w:val="221F1F"/>
          <w:spacing w:val="-8"/>
        </w:rPr>
        <w:t xml:space="preserve"> </w:t>
      </w:r>
      <w:r>
        <w:rPr>
          <w:color w:val="221F1F"/>
        </w:rPr>
        <w:t>the</w:t>
      </w:r>
      <w:r>
        <w:rPr>
          <w:color w:val="221F1F"/>
          <w:spacing w:val="-7"/>
        </w:rPr>
        <w:t xml:space="preserve"> </w:t>
      </w:r>
      <w:r>
        <w:rPr>
          <w:color w:val="221F1F"/>
        </w:rPr>
        <w:t>Site.</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promptly</w:t>
      </w:r>
      <w:r>
        <w:rPr>
          <w:color w:val="221F1F"/>
          <w:spacing w:val="-9"/>
        </w:rPr>
        <w:t xml:space="preserve"> </w:t>
      </w:r>
      <w:r>
        <w:rPr>
          <w:color w:val="221F1F"/>
        </w:rPr>
        <w:t>arrange</w:t>
      </w:r>
      <w:r>
        <w:rPr>
          <w:color w:val="221F1F"/>
          <w:spacing w:val="-6"/>
        </w:rPr>
        <w:t xml:space="preserve"> </w:t>
      </w:r>
      <w:r>
        <w:rPr>
          <w:color w:val="221F1F"/>
        </w:rPr>
        <w:t>their</w:t>
      </w:r>
      <w:r>
        <w:rPr>
          <w:color w:val="221F1F"/>
          <w:spacing w:val="-6"/>
        </w:rPr>
        <w:t xml:space="preserve"> </w:t>
      </w:r>
      <w:r>
        <w:rPr>
          <w:color w:val="221F1F"/>
        </w:rPr>
        <w:t>removal,</w:t>
      </w:r>
      <w:r>
        <w:rPr>
          <w:color w:val="221F1F"/>
          <w:spacing w:val="-7"/>
        </w:rPr>
        <w:t xml:space="preserve"> </w:t>
      </w:r>
      <w:r>
        <w:rPr>
          <w:color w:val="221F1F"/>
        </w:rPr>
        <w:t>at</w:t>
      </w:r>
      <w:r>
        <w:rPr>
          <w:color w:val="221F1F"/>
          <w:spacing w:val="-6"/>
        </w:rPr>
        <w:t xml:space="preserve"> </w:t>
      </w:r>
      <w:r>
        <w:rPr>
          <w:color w:val="221F1F"/>
        </w:rPr>
        <w:t>the</w:t>
      </w:r>
      <w:r>
        <w:rPr>
          <w:color w:val="221F1F"/>
          <w:spacing w:val="-9"/>
        </w:rPr>
        <w:t xml:space="preserve"> </w:t>
      </w:r>
      <w:r>
        <w:rPr>
          <w:color w:val="221F1F"/>
        </w:rPr>
        <w:t>risk and cost of the Contractor. However, if by this time the Contractor has failed to</w:t>
      </w:r>
      <w:r>
        <w:rPr>
          <w:color w:val="221F1F"/>
          <w:spacing w:val="-2"/>
        </w:rPr>
        <w:t xml:space="preserve"> </w:t>
      </w:r>
      <w:r>
        <w:rPr>
          <w:color w:val="221F1F"/>
        </w:rPr>
        <w:t>make a payment due to the Procuring Entity, these items may be sold by the Procuring Entity in order to recover this payment. Any balance of the proceeds shall then be paid to the Contractor.</w:t>
      </w:r>
    </w:p>
    <w:p w:rsidR="007F6DF9" w:rsidRDefault="00A43FBC">
      <w:pPr>
        <w:pStyle w:val="Heading9"/>
        <w:numPr>
          <w:ilvl w:val="1"/>
          <w:numId w:val="122"/>
        </w:numPr>
        <w:tabs>
          <w:tab w:val="left" w:pos="1428"/>
        </w:tabs>
        <w:spacing w:before="237"/>
        <w:ind w:left="1428" w:hanging="720"/>
        <w:rPr>
          <w:color w:val="221F1F"/>
        </w:rPr>
      </w:pPr>
      <w:r>
        <w:rPr>
          <w:color w:val="221F1F"/>
        </w:rPr>
        <w:t>Valuation</w:t>
      </w:r>
      <w:r>
        <w:rPr>
          <w:color w:val="221F1F"/>
          <w:spacing w:val="-16"/>
        </w:rPr>
        <w:t xml:space="preserve"> </w:t>
      </w:r>
      <w:r>
        <w:rPr>
          <w:color w:val="221F1F"/>
        </w:rPr>
        <w:t>at</w:t>
      </w:r>
      <w:r>
        <w:rPr>
          <w:color w:val="221F1F"/>
          <w:spacing w:val="-11"/>
        </w:rPr>
        <w:t xml:space="preserve"> </w:t>
      </w:r>
      <w:r>
        <w:rPr>
          <w:color w:val="221F1F"/>
        </w:rPr>
        <w:t>Date</w:t>
      </w:r>
      <w:r>
        <w:rPr>
          <w:color w:val="221F1F"/>
          <w:spacing w:val="-9"/>
        </w:rPr>
        <w:t xml:space="preserve"> </w:t>
      </w:r>
      <w:r>
        <w:rPr>
          <w:color w:val="221F1F"/>
        </w:rPr>
        <w:t>of</w:t>
      </w:r>
      <w:r>
        <w:rPr>
          <w:color w:val="221F1F"/>
          <w:spacing w:val="-8"/>
        </w:rPr>
        <w:t xml:space="preserve"> </w:t>
      </w:r>
      <w:r>
        <w:rPr>
          <w:color w:val="221F1F"/>
          <w:spacing w:val="-2"/>
        </w:rPr>
        <w:t>Termination</w:t>
      </w:r>
    </w:p>
    <w:p w:rsidR="007F6DF9" w:rsidRDefault="00A43FBC">
      <w:pPr>
        <w:pStyle w:val="BodyText"/>
        <w:spacing w:before="242" w:line="230" w:lineRule="auto"/>
        <w:ind w:left="1438" w:right="558" w:hanging="10"/>
        <w:jc w:val="both"/>
      </w:pPr>
      <w:r>
        <w:rPr>
          <w:color w:val="221F1F"/>
        </w:rPr>
        <w:t>As</w:t>
      </w:r>
      <w:r>
        <w:rPr>
          <w:color w:val="221F1F"/>
          <w:spacing w:val="-11"/>
        </w:rPr>
        <w:t xml:space="preserve"> </w:t>
      </w:r>
      <w:r>
        <w:rPr>
          <w:color w:val="221F1F"/>
        </w:rPr>
        <w:t>soon</w:t>
      </w:r>
      <w:r>
        <w:rPr>
          <w:color w:val="221F1F"/>
          <w:spacing w:val="-11"/>
        </w:rPr>
        <w:t xml:space="preserve"> </w:t>
      </w:r>
      <w:r>
        <w:rPr>
          <w:color w:val="221F1F"/>
        </w:rPr>
        <w:t>as</w:t>
      </w:r>
      <w:r>
        <w:rPr>
          <w:color w:val="221F1F"/>
          <w:spacing w:val="-11"/>
        </w:rPr>
        <w:t xml:space="preserve"> </w:t>
      </w:r>
      <w:r>
        <w:rPr>
          <w:color w:val="221F1F"/>
        </w:rPr>
        <w:t>practicable</w:t>
      </w:r>
      <w:r>
        <w:rPr>
          <w:color w:val="221F1F"/>
          <w:spacing w:val="-10"/>
        </w:rPr>
        <w:t xml:space="preserve"> </w:t>
      </w:r>
      <w:r>
        <w:rPr>
          <w:color w:val="221F1F"/>
        </w:rPr>
        <w:t>after</w:t>
      </w:r>
      <w:r>
        <w:rPr>
          <w:color w:val="221F1F"/>
          <w:spacing w:val="-13"/>
        </w:rPr>
        <w:t xml:space="preserve"> </w:t>
      </w:r>
      <w:r>
        <w:rPr>
          <w:color w:val="221F1F"/>
        </w:rPr>
        <w:t>a</w:t>
      </w:r>
      <w:r>
        <w:rPr>
          <w:color w:val="221F1F"/>
          <w:spacing w:val="-11"/>
        </w:rPr>
        <w:t xml:space="preserve"> </w:t>
      </w:r>
      <w:r>
        <w:rPr>
          <w:color w:val="221F1F"/>
        </w:rPr>
        <w:t>notice</w:t>
      </w:r>
      <w:r>
        <w:rPr>
          <w:color w:val="221F1F"/>
          <w:spacing w:val="-11"/>
        </w:rPr>
        <w:t xml:space="preserve"> </w:t>
      </w:r>
      <w:r>
        <w:rPr>
          <w:color w:val="221F1F"/>
        </w:rPr>
        <w:t>of</w:t>
      </w:r>
      <w:r>
        <w:rPr>
          <w:color w:val="221F1F"/>
          <w:spacing w:val="-11"/>
        </w:rPr>
        <w:t xml:space="preserve"> </w:t>
      </w:r>
      <w:r>
        <w:rPr>
          <w:color w:val="221F1F"/>
        </w:rPr>
        <w:t>termination</w:t>
      </w:r>
      <w:r>
        <w:rPr>
          <w:color w:val="221F1F"/>
          <w:spacing w:val="-11"/>
        </w:rPr>
        <w:t xml:space="preserve"> </w:t>
      </w:r>
      <w:r>
        <w:rPr>
          <w:color w:val="221F1F"/>
        </w:rPr>
        <w:t>under</w:t>
      </w:r>
      <w:r>
        <w:rPr>
          <w:color w:val="221F1F"/>
          <w:spacing w:val="-11"/>
        </w:rPr>
        <w:t xml:space="preserve"> </w:t>
      </w:r>
      <w:r>
        <w:rPr>
          <w:color w:val="221F1F"/>
        </w:rPr>
        <w:t>Sub-Clause</w:t>
      </w:r>
      <w:r>
        <w:rPr>
          <w:color w:val="221F1F"/>
          <w:spacing w:val="-11"/>
        </w:rPr>
        <w:t xml:space="preserve"> </w:t>
      </w:r>
      <w:r>
        <w:rPr>
          <w:color w:val="221F1F"/>
        </w:rPr>
        <w:t>15.2</w:t>
      </w:r>
      <w:r>
        <w:rPr>
          <w:color w:val="221F1F"/>
          <w:spacing w:val="-12"/>
        </w:rPr>
        <w:t xml:space="preserve"> </w:t>
      </w:r>
      <w:r>
        <w:rPr>
          <w:color w:val="221F1F"/>
        </w:rPr>
        <w:t>[Termination</w:t>
      </w:r>
      <w:r>
        <w:rPr>
          <w:color w:val="221F1F"/>
          <w:spacing w:val="-10"/>
        </w:rPr>
        <w:t xml:space="preserve"> </w:t>
      </w:r>
      <w:r>
        <w:rPr>
          <w:color w:val="221F1F"/>
        </w:rPr>
        <w:t>by</w:t>
      </w:r>
      <w:r>
        <w:rPr>
          <w:color w:val="221F1F"/>
          <w:spacing w:val="-12"/>
        </w:rPr>
        <w:t xml:space="preserve"> </w:t>
      </w:r>
      <w:r>
        <w:rPr>
          <w:color w:val="221F1F"/>
        </w:rPr>
        <w:t>Procuring</w:t>
      </w:r>
      <w:r>
        <w:rPr>
          <w:color w:val="221F1F"/>
          <w:spacing w:val="-11"/>
        </w:rPr>
        <w:t xml:space="preserve"> </w:t>
      </w:r>
      <w:r>
        <w:rPr>
          <w:color w:val="221F1F"/>
        </w:rPr>
        <w:t>Entity] has</w:t>
      </w:r>
      <w:r>
        <w:rPr>
          <w:color w:val="221F1F"/>
          <w:spacing w:val="-4"/>
        </w:rPr>
        <w:t xml:space="preserve"> </w:t>
      </w:r>
      <w:r>
        <w:rPr>
          <w:color w:val="221F1F"/>
        </w:rPr>
        <w:t>taken</w:t>
      </w:r>
      <w:r>
        <w:rPr>
          <w:color w:val="221F1F"/>
          <w:spacing w:val="-7"/>
        </w:rPr>
        <w:t xml:space="preserve"> </w:t>
      </w:r>
      <w:r>
        <w:rPr>
          <w:color w:val="221F1F"/>
        </w:rPr>
        <w:t>effect,</w:t>
      </w:r>
      <w:r>
        <w:rPr>
          <w:color w:val="221F1F"/>
          <w:spacing w:val="-7"/>
        </w:rPr>
        <w:t xml:space="preserve"> </w:t>
      </w:r>
      <w:r>
        <w:rPr>
          <w:color w:val="221F1F"/>
        </w:rPr>
        <w:t>the</w:t>
      </w:r>
      <w:r>
        <w:rPr>
          <w:color w:val="221F1F"/>
          <w:spacing w:val="-4"/>
        </w:rPr>
        <w:t xml:space="preserve"> </w:t>
      </w:r>
      <w:r>
        <w:rPr>
          <w:color w:val="221F1F"/>
        </w:rPr>
        <w:t>Architect</w:t>
      </w:r>
      <w:r>
        <w:rPr>
          <w:color w:val="221F1F"/>
          <w:spacing w:val="-5"/>
        </w:rPr>
        <w:t xml:space="preserve"> </w:t>
      </w:r>
      <w:r>
        <w:rPr>
          <w:color w:val="221F1F"/>
        </w:rPr>
        <w:t>shall</w:t>
      </w:r>
      <w:r>
        <w:rPr>
          <w:color w:val="221F1F"/>
          <w:spacing w:val="-3"/>
        </w:rPr>
        <w:t xml:space="preserve"> </w:t>
      </w:r>
      <w:r>
        <w:rPr>
          <w:color w:val="221F1F"/>
        </w:rPr>
        <w:t>proceed</w:t>
      </w:r>
      <w:r>
        <w:rPr>
          <w:color w:val="221F1F"/>
          <w:spacing w:val="-7"/>
        </w:rPr>
        <w:t xml:space="preserve"> </w:t>
      </w:r>
      <w:r>
        <w:rPr>
          <w:color w:val="221F1F"/>
        </w:rPr>
        <w:t>in</w:t>
      </w:r>
      <w:r>
        <w:rPr>
          <w:color w:val="221F1F"/>
          <w:spacing w:val="-5"/>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Sub-Clause</w:t>
      </w:r>
      <w:r>
        <w:rPr>
          <w:color w:val="221F1F"/>
          <w:spacing w:val="-6"/>
        </w:rPr>
        <w:t xml:space="preserve"> </w:t>
      </w:r>
      <w:r>
        <w:rPr>
          <w:color w:val="221F1F"/>
        </w:rPr>
        <w:t>3.5</w:t>
      </w:r>
      <w:r>
        <w:rPr>
          <w:color w:val="221F1F"/>
          <w:spacing w:val="-7"/>
        </w:rPr>
        <w:t xml:space="preserve"> </w:t>
      </w:r>
      <w:r>
        <w:rPr>
          <w:color w:val="221F1F"/>
        </w:rPr>
        <w:t>[Determinations]</w:t>
      </w:r>
      <w:r>
        <w:rPr>
          <w:color w:val="221F1F"/>
          <w:spacing w:val="-2"/>
        </w:rPr>
        <w:t xml:space="preserve"> </w:t>
      </w:r>
      <w:r>
        <w:rPr>
          <w:color w:val="221F1F"/>
        </w:rPr>
        <w:t>to</w:t>
      </w:r>
      <w:r>
        <w:rPr>
          <w:color w:val="221F1F"/>
          <w:spacing w:val="-7"/>
        </w:rPr>
        <w:t xml:space="preserve"> </w:t>
      </w:r>
      <w:r>
        <w:rPr>
          <w:color w:val="221F1F"/>
        </w:rPr>
        <w:t>agree</w:t>
      </w:r>
      <w:r>
        <w:rPr>
          <w:color w:val="221F1F"/>
          <w:spacing w:val="-4"/>
        </w:rPr>
        <w:t xml:space="preserve"> </w:t>
      </w:r>
      <w:r>
        <w:rPr>
          <w:color w:val="221F1F"/>
        </w:rPr>
        <w:t>or determine the value of the Works, Goods and Contractor's Documents, and any other sums due to the Contractor for work executed in accordance with the Contract.</w:t>
      </w:r>
    </w:p>
    <w:p w:rsidR="007F6DF9" w:rsidRDefault="00A43FBC">
      <w:pPr>
        <w:pStyle w:val="Heading9"/>
        <w:numPr>
          <w:ilvl w:val="1"/>
          <w:numId w:val="122"/>
        </w:numPr>
        <w:tabs>
          <w:tab w:val="left" w:pos="1428"/>
        </w:tabs>
        <w:spacing w:before="238"/>
        <w:ind w:left="1428" w:hanging="720"/>
        <w:rPr>
          <w:color w:val="221F1F"/>
        </w:rPr>
      </w:pPr>
      <w:r>
        <w:rPr>
          <w:color w:val="221F1F"/>
        </w:rPr>
        <w:t>Payment</w:t>
      </w:r>
      <w:r>
        <w:rPr>
          <w:color w:val="221F1F"/>
          <w:spacing w:val="-3"/>
        </w:rPr>
        <w:t xml:space="preserve"> </w:t>
      </w:r>
      <w:r>
        <w:rPr>
          <w:color w:val="221F1F"/>
        </w:rPr>
        <w:t>after</w:t>
      </w:r>
      <w:r>
        <w:rPr>
          <w:color w:val="221F1F"/>
          <w:spacing w:val="-3"/>
        </w:rPr>
        <w:t xml:space="preserve"> </w:t>
      </w:r>
      <w:r>
        <w:rPr>
          <w:color w:val="221F1F"/>
          <w:spacing w:val="-2"/>
        </w:rPr>
        <w:t>Termination</w:t>
      </w:r>
    </w:p>
    <w:p w:rsidR="007F6DF9" w:rsidRDefault="00A43FBC">
      <w:pPr>
        <w:pStyle w:val="BodyText"/>
        <w:spacing w:before="242" w:line="230" w:lineRule="auto"/>
        <w:ind w:left="1441" w:right="578" w:hanging="12"/>
        <w:jc w:val="both"/>
      </w:pPr>
      <w:r>
        <w:rPr>
          <w:color w:val="221F1F"/>
        </w:rPr>
        <w:t>After</w:t>
      </w:r>
      <w:r>
        <w:rPr>
          <w:color w:val="221F1F"/>
          <w:spacing w:val="-2"/>
        </w:rPr>
        <w:t xml:space="preserve"> </w:t>
      </w:r>
      <w:r>
        <w:rPr>
          <w:color w:val="221F1F"/>
        </w:rPr>
        <w:t>a</w:t>
      </w:r>
      <w:r>
        <w:rPr>
          <w:color w:val="221F1F"/>
          <w:spacing w:val="-2"/>
        </w:rPr>
        <w:t xml:space="preserve"> </w:t>
      </w:r>
      <w:r>
        <w:rPr>
          <w:color w:val="221F1F"/>
        </w:rPr>
        <w:t>notice</w:t>
      </w:r>
      <w:r>
        <w:rPr>
          <w:color w:val="221F1F"/>
          <w:spacing w:val="-2"/>
        </w:rPr>
        <w:t xml:space="preserve"> </w:t>
      </w:r>
      <w:r>
        <w:rPr>
          <w:color w:val="221F1F"/>
        </w:rPr>
        <w:t>of</w:t>
      </w:r>
      <w:r>
        <w:rPr>
          <w:color w:val="221F1F"/>
          <w:spacing w:val="-2"/>
        </w:rPr>
        <w:t xml:space="preserve"> </w:t>
      </w:r>
      <w:r>
        <w:rPr>
          <w:color w:val="221F1F"/>
        </w:rPr>
        <w:t>termination</w:t>
      </w:r>
      <w:r>
        <w:rPr>
          <w:color w:val="221F1F"/>
          <w:spacing w:val="-2"/>
        </w:rPr>
        <w:t xml:space="preserve"> </w:t>
      </w:r>
      <w:r>
        <w:rPr>
          <w:color w:val="221F1F"/>
        </w:rPr>
        <w:t>under</w:t>
      </w:r>
      <w:r>
        <w:rPr>
          <w:color w:val="221F1F"/>
          <w:spacing w:val="-2"/>
        </w:rPr>
        <w:t xml:space="preserve"> </w:t>
      </w:r>
      <w:r>
        <w:rPr>
          <w:color w:val="221F1F"/>
        </w:rPr>
        <w:t>Sub-Clause</w:t>
      </w:r>
      <w:r>
        <w:rPr>
          <w:color w:val="221F1F"/>
          <w:spacing w:val="-2"/>
        </w:rPr>
        <w:t xml:space="preserve"> </w:t>
      </w:r>
      <w:r>
        <w:rPr>
          <w:color w:val="221F1F"/>
        </w:rPr>
        <w:t>15.2</w:t>
      </w:r>
      <w:r>
        <w:rPr>
          <w:color w:val="221F1F"/>
          <w:spacing w:val="-2"/>
        </w:rPr>
        <w:t xml:space="preserve"> </w:t>
      </w:r>
      <w:r>
        <w:rPr>
          <w:color w:val="221F1F"/>
        </w:rPr>
        <w:t>[Termination</w:t>
      </w:r>
      <w:r>
        <w:rPr>
          <w:color w:val="221F1F"/>
          <w:spacing w:val="-2"/>
        </w:rPr>
        <w:t xml:space="preserve"> </w:t>
      </w:r>
      <w:r>
        <w:rPr>
          <w:color w:val="221F1F"/>
        </w:rPr>
        <w:t>by</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has</w:t>
      </w:r>
      <w:r>
        <w:rPr>
          <w:color w:val="221F1F"/>
          <w:spacing w:val="-4"/>
        </w:rPr>
        <w:t xml:space="preserve"> </w:t>
      </w:r>
      <w:r>
        <w:rPr>
          <w:color w:val="221F1F"/>
        </w:rPr>
        <w:t>taken</w:t>
      </w:r>
      <w:r>
        <w:rPr>
          <w:color w:val="221F1F"/>
          <w:spacing w:val="-2"/>
        </w:rPr>
        <w:t xml:space="preserve"> </w:t>
      </w:r>
      <w:r>
        <w:rPr>
          <w:color w:val="221F1F"/>
        </w:rPr>
        <w:t>effect,</w:t>
      </w:r>
      <w:r>
        <w:rPr>
          <w:color w:val="221F1F"/>
          <w:spacing w:val="-5"/>
        </w:rPr>
        <w:t xml:space="preserve"> </w:t>
      </w:r>
      <w:r>
        <w:rPr>
          <w:color w:val="221F1F"/>
        </w:rPr>
        <w:t>the Procuring Entity may:</w:t>
      </w:r>
    </w:p>
    <w:p w:rsidR="007F6DF9" w:rsidRDefault="00A43FBC">
      <w:pPr>
        <w:pStyle w:val="ListParagraph"/>
        <w:numPr>
          <w:ilvl w:val="0"/>
          <w:numId w:val="90"/>
        </w:numPr>
        <w:tabs>
          <w:tab w:val="left" w:pos="1872"/>
        </w:tabs>
        <w:spacing w:line="239" w:lineRule="exact"/>
        <w:ind w:left="1872" w:hanging="443"/>
        <w:jc w:val="both"/>
      </w:pPr>
      <w:r>
        <w:rPr>
          <w:color w:val="221F1F"/>
        </w:rPr>
        <w:t>Proceed</w:t>
      </w:r>
      <w:r>
        <w:rPr>
          <w:color w:val="221F1F"/>
          <w:spacing w:val="-6"/>
        </w:rPr>
        <w:t xml:space="preserve"> </w:t>
      </w:r>
      <w:r>
        <w:rPr>
          <w:color w:val="221F1F"/>
        </w:rPr>
        <w:t>in</w:t>
      </w:r>
      <w:r>
        <w:rPr>
          <w:color w:val="221F1F"/>
          <w:spacing w:val="-3"/>
        </w:rPr>
        <w:t xml:space="preserve"> </w:t>
      </w:r>
      <w:r>
        <w:rPr>
          <w:color w:val="221F1F"/>
        </w:rPr>
        <w:t>accordance</w:t>
      </w:r>
      <w:r>
        <w:rPr>
          <w:color w:val="221F1F"/>
          <w:spacing w:val="-5"/>
        </w:rPr>
        <w:t xml:space="preserve"> </w:t>
      </w:r>
      <w:r>
        <w:rPr>
          <w:color w:val="221F1F"/>
        </w:rPr>
        <w:t>with</w:t>
      </w:r>
      <w:r>
        <w:rPr>
          <w:color w:val="221F1F"/>
          <w:spacing w:val="-5"/>
        </w:rPr>
        <w:t xml:space="preserve"> </w:t>
      </w:r>
      <w:r>
        <w:rPr>
          <w:color w:val="221F1F"/>
        </w:rPr>
        <w:t>Sub-Clause</w:t>
      </w:r>
      <w:r>
        <w:rPr>
          <w:color w:val="221F1F"/>
          <w:spacing w:val="-5"/>
        </w:rPr>
        <w:t xml:space="preserve"> </w:t>
      </w:r>
      <w:r>
        <w:rPr>
          <w:color w:val="221F1F"/>
        </w:rPr>
        <w:t>2.5</w:t>
      </w:r>
      <w:r>
        <w:rPr>
          <w:color w:val="221F1F"/>
          <w:spacing w:val="-4"/>
        </w:rPr>
        <w:t xml:space="preserve"> </w:t>
      </w:r>
      <w:r>
        <w:rPr>
          <w:color w:val="221F1F"/>
        </w:rPr>
        <w:t>[</w:t>
      </w:r>
      <w:proofErr w:type="spellStart"/>
      <w:r>
        <w:rPr>
          <w:color w:val="221F1F"/>
        </w:rPr>
        <w:t>Procurin</w:t>
      </w:r>
      <w:proofErr w:type="spellEnd"/>
      <w:r>
        <w:rPr>
          <w:color w:val="221F1F"/>
          <w:spacing w:val="-5"/>
        </w:rPr>
        <w:t xml:space="preserve"> </w:t>
      </w:r>
      <w:r>
        <w:rPr>
          <w:color w:val="221F1F"/>
        </w:rPr>
        <w:t>Entity's</w:t>
      </w:r>
      <w:r>
        <w:rPr>
          <w:color w:val="221F1F"/>
          <w:spacing w:val="-3"/>
        </w:rPr>
        <w:t xml:space="preserve"> </w:t>
      </w:r>
      <w:r>
        <w:rPr>
          <w:color w:val="221F1F"/>
          <w:spacing w:val="-2"/>
        </w:rPr>
        <w:t>Claims],</w:t>
      </w:r>
    </w:p>
    <w:p w:rsidR="007F6DF9" w:rsidRDefault="00A43FBC">
      <w:pPr>
        <w:pStyle w:val="ListParagraph"/>
        <w:numPr>
          <w:ilvl w:val="0"/>
          <w:numId w:val="90"/>
        </w:numPr>
        <w:tabs>
          <w:tab w:val="left" w:pos="1873"/>
          <w:tab w:val="left" w:pos="1877"/>
        </w:tabs>
        <w:spacing w:before="5" w:line="230" w:lineRule="auto"/>
        <w:ind w:left="1877" w:right="558" w:hanging="449"/>
        <w:jc w:val="both"/>
      </w:pPr>
      <w:r>
        <w:rPr>
          <w:color w:val="221F1F"/>
        </w:rPr>
        <w:t>withhold further payments</w:t>
      </w:r>
      <w:r>
        <w:rPr>
          <w:color w:val="221F1F"/>
          <w:spacing w:val="-1"/>
        </w:rPr>
        <w:t xml:space="preserve"> </w:t>
      </w:r>
      <w:r>
        <w:rPr>
          <w:color w:val="221F1F"/>
        </w:rPr>
        <w:t>to the Contractor until the</w:t>
      </w:r>
      <w:r>
        <w:rPr>
          <w:color w:val="221F1F"/>
          <w:spacing w:val="-1"/>
        </w:rPr>
        <w:t xml:space="preserve"> </w:t>
      </w:r>
      <w:r>
        <w:rPr>
          <w:color w:val="221F1F"/>
        </w:rPr>
        <w:t>costs of execution, completion and remedying of any defects, damages for delay in completion (if any), and all other costs incurred by the Procuring Entity, have been established, and/ or</w:t>
      </w:r>
    </w:p>
    <w:p w:rsidR="007F6DF9" w:rsidRDefault="007F6DF9">
      <w:pPr>
        <w:pStyle w:val="BodyText"/>
        <w:spacing w:before="3"/>
      </w:pPr>
    </w:p>
    <w:p w:rsidR="007F6DF9" w:rsidRDefault="00A43FBC">
      <w:pPr>
        <w:pStyle w:val="ListParagraph"/>
        <w:numPr>
          <w:ilvl w:val="0"/>
          <w:numId w:val="90"/>
        </w:numPr>
        <w:tabs>
          <w:tab w:val="left" w:pos="1874"/>
          <w:tab w:val="left" w:pos="1880"/>
        </w:tabs>
        <w:spacing w:line="230" w:lineRule="auto"/>
        <w:ind w:left="1880" w:right="558" w:hanging="449"/>
        <w:jc w:val="both"/>
      </w:pPr>
      <w:r>
        <w:rPr>
          <w:color w:val="221F1F"/>
        </w:rPr>
        <w:t>recover from the Contractor any losses and damages incurred by the Procuring Entity and any extra costs</w:t>
      </w:r>
      <w:r>
        <w:rPr>
          <w:color w:val="221F1F"/>
          <w:spacing w:val="-5"/>
        </w:rPr>
        <w:t xml:space="preserve"> </w:t>
      </w:r>
      <w:r>
        <w:rPr>
          <w:color w:val="221F1F"/>
        </w:rPr>
        <w:t>of</w:t>
      </w:r>
      <w:r>
        <w:rPr>
          <w:color w:val="221F1F"/>
          <w:spacing w:val="-5"/>
        </w:rPr>
        <w:t xml:space="preserve"> </w:t>
      </w:r>
      <w:r>
        <w:rPr>
          <w:color w:val="221F1F"/>
        </w:rPr>
        <w:t>completing</w:t>
      </w:r>
      <w:r>
        <w:rPr>
          <w:color w:val="221F1F"/>
          <w:spacing w:val="-8"/>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after</w:t>
      </w:r>
      <w:r>
        <w:rPr>
          <w:color w:val="221F1F"/>
          <w:spacing w:val="-5"/>
        </w:rPr>
        <w:t xml:space="preserve"> </w:t>
      </w:r>
      <w:r>
        <w:rPr>
          <w:color w:val="221F1F"/>
        </w:rPr>
        <w:t>allowing</w:t>
      </w:r>
      <w:r>
        <w:rPr>
          <w:color w:val="221F1F"/>
          <w:spacing w:val="-8"/>
        </w:rPr>
        <w:t xml:space="preserve"> </w:t>
      </w:r>
      <w:r>
        <w:rPr>
          <w:color w:val="221F1F"/>
        </w:rPr>
        <w:t>for</w:t>
      </w:r>
      <w:r>
        <w:rPr>
          <w:color w:val="221F1F"/>
          <w:spacing w:val="-7"/>
        </w:rPr>
        <w:t xml:space="preserve"> </w:t>
      </w:r>
      <w:r>
        <w:rPr>
          <w:color w:val="221F1F"/>
        </w:rPr>
        <w:t>any</w:t>
      </w:r>
      <w:r>
        <w:rPr>
          <w:color w:val="221F1F"/>
          <w:spacing w:val="-8"/>
        </w:rPr>
        <w:t xml:space="preserve"> </w:t>
      </w:r>
      <w:r>
        <w:rPr>
          <w:color w:val="221F1F"/>
        </w:rPr>
        <w:t>sum</w:t>
      </w:r>
      <w:r>
        <w:rPr>
          <w:color w:val="221F1F"/>
          <w:spacing w:val="-5"/>
        </w:rPr>
        <w:t xml:space="preserve"> </w:t>
      </w:r>
      <w:r>
        <w:rPr>
          <w:color w:val="221F1F"/>
        </w:rPr>
        <w:t>due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under</w:t>
      </w:r>
      <w:r>
        <w:rPr>
          <w:color w:val="221F1F"/>
          <w:spacing w:val="-7"/>
        </w:rPr>
        <w:t xml:space="preserve"> </w:t>
      </w:r>
      <w:r>
        <w:rPr>
          <w:color w:val="221F1F"/>
        </w:rPr>
        <w:t>Sub-Clause</w:t>
      </w:r>
      <w:r>
        <w:rPr>
          <w:color w:val="221F1F"/>
          <w:spacing w:val="-5"/>
        </w:rPr>
        <w:t xml:space="preserve"> </w:t>
      </w:r>
      <w:r>
        <w:rPr>
          <w:color w:val="221F1F"/>
        </w:rPr>
        <w:t>15.3 [Valuation at Date of Termination]. After recovering any such losses, damages and extra costs, the Procuring Entity shall pay any balance to the Contractor.</w:t>
      </w:r>
    </w:p>
    <w:p w:rsidR="007F6DF9" w:rsidRDefault="00A43FBC">
      <w:pPr>
        <w:pStyle w:val="Heading9"/>
        <w:numPr>
          <w:ilvl w:val="1"/>
          <w:numId w:val="122"/>
        </w:numPr>
        <w:tabs>
          <w:tab w:val="left" w:pos="1431"/>
        </w:tabs>
        <w:spacing w:before="238"/>
        <w:ind w:left="1431" w:hanging="720"/>
        <w:rPr>
          <w:color w:val="221F1F"/>
        </w:rPr>
      </w:pPr>
      <w:r>
        <w:rPr>
          <w:color w:val="221F1F"/>
        </w:rPr>
        <w:t>Procuring</w:t>
      </w:r>
      <w:r>
        <w:rPr>
          <w:color w:val="221F1F"/>
          <w:spacing w:val="-5"/>
        </w:rPr>
        <w:t xml:space="preserve"> </w:t>
      </w:r>
      <w:r>
        <w:rPr>
          <w:color w:val="221F1F"/>
        </w:rPr>
        <w:t>Entity's</w:t>
      </w:r>
      <w:r>
        <w:rPr>
          <w:color w:val="221F1F"/>
          <w:spacing w:val="-4"/>
        </w:rPr>
        <w:t xml:space="preserve"> </w:t>
      </w:r>
      <w:r>
        <w:rPr>
          <w:color w:val="221F1F"/>
        </w:rPr>
        <w:t>Entitlement</w:t>
      </w:r>
      <w:r>
        <w:rPr>
          <w:color w:val="221F1F"/>
          <w:spacing w:val="-5"/>
        </w:rPr>
        <w:t xml:space="preserve"> </w:t>
      </w:r>
      <w:r>
        <w:rPr>
          <w:color w:val="221F1F"/>
        </w:rPr>
        <w:t>to</w:t>
      </w:r>
      <w:r>
        <w:rPr>
          <w:color w:val="221F1F"/>
          <w:spacing w:val="-5"/>
        </w:rPr>
        <w:t xml:space="preserve"> </w:t>
      </w:r>
      <w:r>
        <w:rPr>
          <w:color w:val="221F1F"/>
        </w:rPr>
        <w:t>Termination</w:t>
      </w:r>
      <w:r>
        <w:rPr>
          <w:color w:val="221F1F"/>
          <w:spacing w:val="-6"/>
        </w:rPr>
        <w:t xml:space="preserve"> </w:t>
      </w:r>
      <w:r>
        <w:rPr>
          <w:color w:val="221F1F"/>
        </w:rPr>
        <w:t>for</w:t>
      </w:r>
      <w:r>
        <w:rPr>
          <w:color w:val="221F1F"/>
          <w:spacing w:val="-6"/>
        </w:rPr>
        <w:t xml:space="preserve"> </w:t>
      </w:r>
      <w:r>
        <w:rPr>
          <w:color w:val="221F1F"/>
          <w:spacing w:val="-2"/>
        </w:rPr>
        <w:t>Convenience</w:t>
      </w:r>
    </w:p>
    <w:p w:rsidR="007F6DF9" w:rsidRDefault="00A43FBC">
      <w:pPr>
        <w:pStyle w:val="BodyText"/>
        <w:spacing w:before="242" w:line="230" w:lineRule="auto"/>
        <w:ind w:left="1429" w:right="556"/>
        <w:jc w:val="both"/>
      </w:pPr>
      <w:r>
        <w:rPr>
          <w:color w:val="221F1F"/>
        </w:rPr>
        <w:t>The Procuring Entity shall be entitled to terminate the Contract, at any time at the Procuring Entity's convenience,</w:t>
      </w:r>
      <w:r>
        <w:rPr>
          <w:color w:val="221F1F"/>
          <w:spacing w:val="-11"/>
        </w:rPr>
        <w:t xml:space="preserve"> </w:t>
      </w:r>
      <w:r>
        <w:rPr>
          <w:color w:val="221F1F"/>
        </w:rPr>
        <w:t>by</w:t>
      </w:r>
      <w:r>
        <w:rPr>
          <w:color w:val="221F1F"/>
          <w:spacing w:val="-12"/>
        </w:rPr>
        <w:t xml:space="preserve"> </w:t>
      </w:r>
      <w:r>
        <w:rPr>
          <w:color w:val="221F1F"/>
        </w:rPr>
        <w:t>giving</w:t>
      </w:r>
      <w:r>
        <w:rPr>
          <w:color w:val="221F1F"/>
          <w:spacing w:val="-14"/>
        </w:rPr>
        <w:t xml:space="preserve"> </w:t>
      </w:r>
      <w:r>
        <w:rPr>
          <w:color w:val="221F1F"/>
        </w:rPr>
        <w:t>notice</w:t>
      </w:r>
      <w:r>
        <w:rPr>
          <w:color w:val="221F1F"/>
          <w:spacing w:val="-10"/>
        </w:rPr>
        <w:t xml:space="preserve"> </w:t>
      </w:r>
      <w:r>
        <w:rPr>
          <w:color w:val="221F1F"/>
        </w:rPr>
        <w:t>of</w:t>
      </w:r>
      <w:r>
        <w:rPr>
          <w:color w:val="221F1F"/>
          <w:spacing w:val="-13"/>
        </w:rPr>
        <w:t xml:space="preserve"> </w:t>
      </w:r>
      <w:r>
        <w:rPr>
          <w:color w:val="221F1F"/>
        </w:rPr>
        <w:t>such</w:t>
      </w:r>
      <w:r>
        <w:rPr>
          <w:color w:val="221F1F"/>
          <w:spacing w:val="-12"/>
        </w:rPr>
        <w:t xml:space="preserve"> </w:t>
      </w:r>
      <w:r>
        <w:rPr>
          <w:color w:val="221F1F"/>
        </w:rPr>
        <w:t>termination</w:t>
      </w:r>
      <w:r>
        <w:rPr>
          <w:color w:val="221F1F"/>
          <w:spacing w:val="-14"/>
        </w:rPr>
        <w:t xml:space="preserve"> </w:t>
      </w:r>
      <w:r>
        <w:rPr>
          <w:color w:val="221F1F"/>
        </w:rPr>
        <w:t>to</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1"/>
        </w:rPr>
        <w:t xml:space="preserve"> </w:t>
      </w:r>
      <w:r>
        <w:rPr>
          <w:color w:val="221F1F"/>
        </w:rPr>
        <w:t>The</w:t>
      </w:r>
      <w:r>
        <w:rPr>
          <w:color w:val="221F1F"/>
          <w:spacing w:val="-14"/>
        </w:rPr>
        <w:t xml:space="preserve"> </w:t>
      </w:r>
      <w:r>
        <w:rPr>
          <w:color w:val="221F1F"/>
        </w:rPr>
        <w:t>termination</w:t>
      </w:r>
      <w:r>
        <w:rPr>
          <w:color w:val="221F1F"/>
          <w:spacing w:val="-11"/>
        </w:rPr>
        <w:t xml:space="preserve"> </w:t>
      </w:r>
      <w:r>
        <w:rPr>
          <w:color w:val="221F1F"/>
        </w:rPr>
        <w:t>shall</w:t>
      </w:r>
      <w:r>
        <w:rPr>
          <w:color w:val="221F1F"/>
          <w:spacing w:val="-13"/>
        </w:rPr>
        <w:t xml:space="preserve"> </w:t>
      </w:r>
      <w:r>
        <w:rPr>
          <w:color w:val="221F1F"/>
        </w:rPr>
        <w:t>take</w:t>
      </w:r>
      <w:r>
        <w:rPr>
          <w:color w:val="221F1F"/>
          <w:spacing w:val="-11"/>
        </w:rPr>
        <w:t xml:space="preserve"> </w:t>
      </w:r>
      <w:r>
        <w:rPr>
          <w:color w:val="221F1F"/>
        </w:rPr>
        <w:t>effect</w:t>
      </w:r>
      <w:r>
        <w:rPr>
          <w:color w:val="221F1F"/>
          <w:spacing w:val="-10"/>
        </w:rPr>
        <w:t xml:space="preserve"> </w:t>
      </w:r>
      <w:r>
        <w:rPr>
          <w:color w:val="221F1F"/>
        </w:rPr>
        <w:t>30</w:t>
      </w:r>
      <w:r>
        <w:rPr>
          <w:color w:val="221F1F"/>
          <w:spacing w:val="-12"/>
        </w:rPr>
        <w:t xml:space="preserve"> </w:t>
      </w:r>
      <w:r>
        <w:rPr>
          <w:color w:val="221F1F"/>
        </w:rPr>
        <w:t>days after the later of the dates on which the Contractor receives this notice or the Procuring Entity returns the Performance Security. The Procuring Entity shall not terminate the Contract under this Sub-</w:t>
      </w:r>
      <w:proofErr w:type="spellStart"/>
      <w:r>
        <w:rPr>
          <w:color w:val="221F1F"/>
        </w:rPr>
        <w:t>Clausein</w:t>
      </w:r>
      <w:proofErr w:type="spellEnd"/>
      <w:r>
        <w:rPr>
          <w:color w:val="221F1F"/>
        </w:rPr>
        <w:t xml:space="preserve"> order to execute the Works itself or to arrange for the Works to be executed by another contractor or to avoid a termination of the Contract by the Contractor under Clause 16.2 [Termination by Contractor]. After this termination, the Contractor shall proceed in accordance with Sub-Clause 16.3 [Cessation of Work and Removal of Contractor's Equipment] and shall be paid in accordance with Sub-Clause 16.4 [Payment on </w:t>
      </w:r>
      <w:r>
        <w:rPr>
          <w:color w:val="221F1F"/>
          <w:spacing w:val="-2"/>
        </w:rPr>
        <w:t>Termination].</w:t>
      </w:r>
    </w:p>
    <w:p w:rsidR="007F6DF9" w:rsidRDefault="00A43FBC">
      <w:pPr>
        <w:pStyle w:val="Heading9"/>
        <w:numPr>
          <w:ilvl w:val="1"/>
          <w:numId w:val="122"/>
        </w:numPr>
        <w:tabs>
          <w:tab w:val="left" w:pos="1428"/>
        </w:tabs>
        <w:spacing w:before="237"/>
        <w:ind w:left="1428" w:hanging="720"/>
        <w:rPr>
          <w:color w:val="221F1F"/>
        </w:rPr>
      </w:pPr>
      <w:r>
        <w:rPr>
          <w:color w:val="221F1F"/>
        </w:rPr>
        <w:t>Fraud</w:t>
      </w:r>
      <w:r>
        <w:rPr>
          <w:color w:val="221F1F"/>
          <w:spacing w:val="-1"/>
        </w:rPr>
        <w:t xml:space="preserve"> </w:t>
      </w:r>
      <w:r>
        <w:rPr>
          <w:color w:val="221F1F"/>
        </w:rPr>
        <w:t>and</w:t>
      </w:r>
      <w:r>
        <w:rPr>
          <w:color w:val="221F1F"/>
          <w:spacing w:val="-1"/>
        </w:rPr>
        <w:t xml:space="preserve"> </w:t>
      </w:r>
      <w:r>
        <w:rPr>
          <w:color w:val="221F1F"/>
          <w:spacing w:val="-2"/>
        </w:rPr>
        <w:t>Corruption</w:t>
      </w:r>
    </w:p>
    <w:p w:rsidR="007F6DF9" w:rsidRDefault="00A43FBC">
      <w:pPr>
        <w:pStyle w:val="BodyText"/>
        <w:spacing w:before="241" w:line="232" w:lineRule="auto"/>
        <w:ind w:left="1429" w:right="560"/>
        <w:jc w:val="both"/>
      </w:pPr>
      <w:r>
        <w:rPr>
          <w:color w:val="221F1F"/>
        </w:rPr>
        <w:t>The Contractor shall ensure compliance with the Kenya Government's Anti-Corruption Laws and its prevailing sanctions.</w:t>
      </w:r>
    </w:p>
    <w:p w:rsidR="007F6DF9" w:rsidRDefault="007F6DF9">
      <w:pPr>
        <w:pStyle w:val="BodyText"/>
        <w:spacing w:line="232" w:lineRule="auto"/>
        <w:jc w:val="bot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428"/>
        </w:tabs>
        <w:spacing w:line="244" w:lineRule="exact"/>
        <w:ind w:left="1428" w:hanging="720"/>
        <w:jc w:val="both"/>
        <w:rPr>
          <w:color w:val="221F1F"/>
        </w:rPr>
      </w:pPr>
      <w:r>
        <w:rPr>
          <w:color w:val="221F1F"/>
        </w:rPr>
        <w:lastRenderedPageBreak/>
        <w:t>Corrupt</w:t>
      </w:r>
      <w:r>
        <w:rPr>
          <w:color w:val="221F1F"/>
          <w:spacing w:val="-3"/>
        </w:rPr>
        <w:t xml:space="preserve"> </w:t>
      </w:r>
      <w:r>
        <w:rPr>
          <w:color w:val="221F1F"/>
        </w:rPr>
        <w:t>gifts</w:t>
      </w:r>
      <w:r>
        <w:rPr>
          <w:color w:val="221F1F"/>
          <w:spacing w:val="-3"/>
        </w:rPr>
        <w:t xml:space="preserve"> </w:t>
      </w:r>
      <w:r>
        <w:rPr>
          <w:color w:val="221F1F"/>
        </w:rPr>
        <w:t>and</w:t>
      </w:r>
      <w:r>
        <w:rPr>
          <w:color w:val="221F1F"/>
          <w:spacing w:val="-5"/>
        </w:rPr>
        <w:t xml:space="preserve"> </w:t>
      </w:r>
      <w:r>
        <w:rPr>
          <w:color w:val="221F1F"/>
        </w:rPr>
        <w:t>payments</w:t>
      </w:r>
      <w:r>
        <w:rPr>
          <w:color w:val="221F1F"/>
          <w:spacing w:val="-3"/>
        </w:rPr>
        <w:t xml:space="preserve"> </w:t>
      </w:r>
      <w:r>
        <w:rPr>
          <w:color w:val="221F1F"/>
        </w:rPr>
        <w:t>of</w:t>
      </w:r>
      <w:r>
        <w:rPr>
          <w:color w:val="221F1F"/>
          <w:spacing w:val="-2"/>
        </w:rPr>
        <w:t xml:space="preserve"> commission</w:t>
      </w:r>
    </w:p>
    <w:p w:rsidR="007F6DF9" w:rsidRDefault="00A43FBC">
      <w:pPr>
        <w:pStyle w:val="ListParagraph"/>
        <w:numPr>
          <w:ilvl w:val="2"/>
          <w:numId w:val="122"/>
        </w:numPr>
        <w:tabs>
          <w:tab w:val="left" w:pos="1426"/>
        </w:tabs>
        <w:spacing w:before="234"/>
        <w:ind w:left="1426" w:hanging="718"/>
        <w:jc w:val="both"/>
        <w:rPr>
          <w:color w:val="221F1F"/>
        </w:rPr>
      </w:pPr>
      <w:r>
        <w:rPr>
          <w:color w:val="221F1F"/>
        </w:rPr>
        <w:t>The</w:t>
      </w:r>
      <w:r>
        <w:rPr>
          <w:color w:val="221F1F"/>
          <w:spacing w:val="-6"/>
        </w:rPr>
        <w:t xml:space="preserve"> </w:t>
      </w:r>
      <w:r>
        <w:rPr>
          <w:color w:val="221F1F"/>
        </w:rPr>
        <w:t>Contractor</w:t>
      </w:r>
      <w:r>
        <w:rPr>
          <w:color w:val="221F1F"/>
          <w:spacing w:val="-2"/>
        </w:rPr>
        <w:t xml:space="preserve"> </w:t>
      </w:r>
      <w:r>
        <w:rPr>
          <w:color w:val="221F1F"/>
        </w:rPr>
        <w:t>shall</w:t>
      </w:r>
      <w:r>
        <w:rPr>
          <w:color w:val="221F1F"/>
          <w:spacing w:val="-4"/>
        </w:rPr>
        <w:t xml:space="preserve"> not;</w:t>
      </w:r>
    </w:p>
    <w:p w:rsidR="007F6DF9" w:rsidRDefault="00A43FBC">
      <w:pPr>
        <w:pStyle w:val="ListParagraph"/>
        <w:numPr>
          <w:ilvl w:val="0"/>
          <w:numId w:val="76"/>
        </w:numPr>
        <w:tabs>
          <w:tab w:val="left" w:pos="1873"/>
          <w:tab w:val="left" w:pos="1880"/>
        </w:tabs>
        <w:spacing w:before="48" w:line="230" w:lineRule="auto"/>
        <w:ind w:right="558" w:hanging="452"/>
        <w:jc w:val="both"/>
      </w:pPr>
      <w:r>
        <w:rPr>
          <w:color w:val="221F1F"/>
        </w:rPr>
        <w:t>Offer or give or agree to give to any person in the service of the Procuring Entity any gift or consideration of any kind as an inducement or</w:t>
      </w:r>
      <w:r>
        <w:rPr>
          <w:color w:val="221F1F"/>
          <w:spacing w:val="-1"/>
        </w:rPr>
        <w:t xml:space="preserve"> </w:t>
      </w:r>
      <w:r>
        <w:rPr>
          <w:color w:val="221F1F"/>
        </w:rPr>
        <w:t>reward</w:t>
      </w:r>
      <w:r>
        <w:rPr>
          <w:color w:val="221F1F"/>
          <w:spacing w:val="-1"/>
        </w:rPr>
        <w:t xml:space="preserve"> </w:t>
      </w:r>
      <w:r>
        <w:rPr>
          <w:color w:val="221F1F"/>
        </w:rPr>
        <w:t>for doing or for bearing to</w:t>
      </w:r>
      <w:r>
        <w:rPr>
          <w:color w:val="221F1F"/>
          <w:spacing w:val="-2"/>
        </w:rPr>
        <w:t xml:space="preserve"> </w:t>
      </w:r>
      <w:r>
        <w:rPr>
          <w:color w:val="221F1F"/>
        </w:rPr>
        <w:t>door for having done or for borne to do any act in relation to the obtaining or execution of this or any other Contract for the Procuring</w:t>
      </w:r>
      <w:r>
        <w:rPr>
          <w:color w:val="221F1F"/>
          <w:spacing w:val="-9"/>
        </w:rPr>
        <w:t xml:space="preserve"> </w:t>
      </w:r>
      <w:r>
        <w:rPr>
          <w:color w:val="221F1F"/>
        </w:rPr>
        <w:t>Entity</w:t>
      </w:r>
      <w:r>
        <w:rPr>
          <w:color w:val="221F1F"/>
          <w:spacing w:val="-7"/>
        </w:rPr>
        <w:t xml:space="preserve"> </w:t>
      </w:r>
      <w:r>
        <w:rPr>
          <w:color w:val="221F1F"/>
        </w:rPr>
        <w:t>or</w:t>
      </w:r>
      <w:r>
        <w:rPr>
          <w:color w:val="221F1F"/>
          <w:spacing w:val="-6"/>
        </w:rPr>
        <w:t xml:space="preserve"> </w:t>
      </w:r>
      <w:r>
        <w:rPr>
          <w:color w:val="221F1F"/>
        </w:rPr>
        <w:t>for</w:t>
      </w:r>
      <w:r>
        <w:rPr>
          <w:color w:val="221F1F"/>
          <w:spacing w:val="-9"/>
        </w:rPr>
        <w:t xml:space="preserve"> </w:t>
      </w:r>
      <w:r>
        <w:rPr>
          <w:color w:val="221F1F"/>
        </w:rPr>
        <w:t>showing</w:t>
      </w:r>
      <w:r>
        <w:rPr>
          <w:color w:val="221F1F"/>
          <w:spacing w:val="-6"/>
        </w:rPr>
        <w:t xml:space="preserve"> </w:t>
      </w:r>
      <w:r>
        <w:rPr>
          <w:color w:val="221F1F"/>
        </w:rPr>
        <w:t>or</w:t>
      </w:r>
      <w:r>
        <w:rPr>
          <w:color w:val="221F1F"/>
          <w:spacing w:val="-6"/>
        </w:rPr>
        <w:t xml:space="preserve"> </w:t>
      </w:r>
      <w:r>
        <w:rPr>
          <w:color w:val="221F1F"/>
        </w:rPr>
        <w:t>for</w:t>
      </w:r>
      <w:r>
        <w:rPr>
          <w:color w:val="221F1F"/>
          <w:spacing w:val="-9"/>
        </w:rPr>
        <w:t xml:space="preserve"> </w:t>
      </w:r>
      <w:r>
        <w:rPr>
          <w:color w:val="221F1F"/>
        </w:rPr>
        <w:t>bearing</w:t>
      </w:r>
      <w:r>
        <w:rPr>
          <w:color w:val="221F1F"/>
          <w:spacing w:val="-9"/>
        </w:rPr>
        <w:t xml:space="preserve"> </w:t>
      </w:r>
      <w:r>
        <w:rPr>
          <w:color w:val="221F1F"/>
        </w:rPr>
        <w:t>to</w:t>
      </w:r>
      <w:r>
        <w:rPr>
          <w:color w:val="221F1F"/>
          <w:spacing w:val="-7"/>
        </w:rPr>
        <w:t xml:space="preserve"> </w:t>
      </w:r>
      <w:r>
        <w:rPr>
          <w:color w:val="221F1F"/>
        </w:rPr>
        <w:t>show</w:t>
      </w:r>
      <w:r>
        <w:rPr>
          <w:color w:val="221F1F"/>
          <w:spacing w:val="-8"/>
        </w:rPr>
        <w:t xml:space="preserve"> </w:t>
      </w:r>
      <w:r>
        <w:rPr>
          <w:color w:val="221F1F"/>
        </w:rPr>
        <w:t>favor</w:t>
      </w:r>
      <w:r>
        <w:rPr>
          <w:color w:val="221F1F"/>
          <w:spacing w:val="-6"/>
        </w:rPr>
        <w:t xml:space="preserve"> </w:t>
      </w:r>
      <w:r>
        <w:rPr>
          <w:color w:val="221F1F"/>
        </w:rPr>
        <w:t>or</w:t>
      </w:r>
      <w:r>
        <w:rPr>
          <w:color w:val="221F1F"/>
          <w:spacing w:val="-6"/>
        </w:rPr>
        <w:t xml:space="preserve"> </w:t>
      </w:r>
      <w:r>
        <w:rPr>
          <w:color w:val="221F1F"/>
        </w:rPr>
        <w:t>disfavor</w:t>
      </w:r>
      <w:r>
        <w:rPr>
          <w:color w:val="221F1F"/>
          <w:spacing w:val="-8"/>
        </w:rPr>
        <w:t xml:space="preserve"> </w:t>
      </w:r>
      <w:r>
        <w:rPr>
          <w:color w:val="221F1F"/>
        </w:rPr>
        <w:t>to</w:t>
      </w:r>
      <w:r>
        <w:rPr>
          <w:color w:val="221F1F"/>
          <w:spacing w:val="-7"/>
        </w:rPr>
        <w:t xml:space="preserve"> </w:t>
      </w:r>
      <w:r>
        <w:rPr>
          <w:color w:val="221F1F"/>
        </w:rPr>
        <w:t>any</w:t>
      </w:r>
      <w:r>
        <w:rPr>
          <w:color w:val="221F1F"/>
          <w:spacing w:val="-7"/>
        </w:rPr>
        <w:t xml:space="preserve"> </w:t>
      </w:r>
      <w:r>
        <w:rPr>
          <w:color w:val="221F1F"/>
        </w:rPr>
        <w:t>person</w:t>
      </w:r>
      <w:r>
        <w:rPr>
          <w:color w:val="221F1F"/>
          <w:spacing w:val="-9"/>
        </w:rPr>
        <w:t xml:space="preserve"> </w:t>
      </w:r>
      <w:r>
        <w:rPr>
          <w:color w:val="221F1F"/>
        </w:rPr>
        <w:t>in</w:t>
      </w:r>
      <w:r>
        <w:rPr>
          <w:color w:val="221F1F"/>
          <w:spacing w:val="-7"/>
        </w:rPr>
        <w:t xml:space="preserve"> </w:t>
      </w:r>
      <w:r>
        <w:rPr>
          <w:color w:val="221F1F"/>
        </w:rPr>
        <w:t>relation</w:t>
      </w:r>
      <w:r>
        <w:rPr>
          <w:color w:val="221F1F"/>
          <w:spacing w:val="-9"/>
        </w:rPr>
        <w:t xml:space="preserve"> </w:t>
      </w:r>
      <w:r>
        <w:rPr>
          <w:color w:val="221F1F"/>
        </w:rPr>
        <w:t>to</w:t>
      </w:r>
      <w:r>
        <w:rPr>
          <w:color w:val="221F1F"/>
          <w:spacing w:val="-9"/>
        </w:rPr>
        <w:t xml:space="preserve"> </w:t>
      </w:r>
      <w:r>
        <w:rPr>
          <w:color w:val="221F1F"/>
        </w:rPr>
        <w:t>this or any other contract for the Procuring Entity.</w:t>
      </w:r>
    </w:p>
    <w:p w:rsidR="007F6DF9" w:rsidRDefault="00A43FBC">
      <w:pPr>
        <w:pStyle w:val="ListParagraph"/>
        <w:numPr>
          <w:ilvl w:val="0"/>
          <w:numId w:val="76"/>
        </w:numPr>
        <w:tabs>
          <w:tab w:val="left" w:pos="1873"/>
          <w:tab w:val="left" w:pos="1880"/>
        </w:tabs>
        <w:spacing w:before="51" w:line="230" w:lineRule="auto"/>
        <w:ind w:right="558" w:hanging="452"/>
        <w:jc w:val="both"/>
      </w:pPr>
      <w:r>
        <w:rPr>
          <w:color w:val="221F1F"/>
        </w:rPr>
        <w:t>Enter</w:t>
      </w:r>
      <w:r>
        <w:rPr>
          <w:color w:val="221F1F"/>
          <w:spacing w:val="-10"/>
        </w:rPr>
        <w:t xml:space="preserve"> </w:t>
      </w:r>
      <w:r>
        <w:rPr>
          <w:color w:val="221F1F"/>
        </w:rPr>
        <w:t>into</w:t>
      </w:r>
      <w:r>
        <w:rPr>
          <w:color w:val="221F1F"/>
          <w:spacing w:val="-11"/>
        </w:rPr>
        <w:t xml:space="preserve"> </w:t>
      </w:r>
      <w:r>
        <w:rPr>
          <w:color w:val="221F1F"/>
        </w:rPr>
        <w:t>this</w:t>
      </w:r>
      <w:r>
        <w:rPr>
          <w:color w:val="221F1F"/>
          <w:spacing w:val="-8"/>
        </w:rPr>
        <w:t xml:space="preserve"> </w:t>
      </w:r>
      <w:r>
        <w:rPr>
          <w:color w:val="221F1F"/>
        </w:rPr>
        <w:t>or</w:t>
      </w:r>
      <w:r>
        <w:rPr>
          <w:color w:val="221F1F"/>
          <w:spacing w:val="-10"/>
        </w:rPr>
        <w:t xml:space="preserve"> </w:t>
      </w:r>
      <w:r>
        <w:rPr>
          <w:color w:val="221F1F"/>
        </w:rPr>
        <w:t>any</w:t>
      </w:r>
      <w:r>
        <w:rPr>
          <w:color w:val="221F1F"/>
          <w:spacing w:val="-7"/>
        </w:rPr>
        <w:t xml:space="preserve"> </w:t>
      </w:r>
      <w:r>
        <w:rPr>
          <w:color w:val="221F1F"/>
        </w:rPr>
        <w:t>other</w:t>
      </w:r>
      <w:r>
        <w:rPr>
          <w:color w:val="221F1F"/>
          <w:spacing w:val="-10"/>
        </w:rPr>
        <w:t xml:space="preserve"> </w:t>
      </w:r>
      <w:r>
        <w:rPr>
          <w:color w:val="221F1F"/>
        </w:rPr>
        <w:t>contract</w:t>
      </w:r>
      <w:r>
        <w:rPr>
          <w:color w:val="221F1F"/>
          <w:spacing w:val="-7"/>
        </w:rPr>
        <w:t xml:space="preserve"> </w:t>
      </w:r>
      <w:r>
        <w:rPr>
          <w:color w:val="221F1F"/>
        </w:rPr>
        <w:t>with</w:t>
      </w:r>
      <w:r>
        <w:rPr>
          <w:color w:val="221F1F"/>
          <w:spacing w:val="-11"/>
        </w:rPr>
        <w:t xml:space="preserve"> </w:t>
      </w:r>
      <w:r>
        <w:rPr>
          <w:color w:val="221F1F"/>
        </w:rPr>
        <w:t>the</w:t>
      </w:r>
      <w:r>
        <w:rPr>
          <w:color w:val="221F1F"/>
          <w:spacing w:val="-8"/>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w:t>
      </w:r>
      <w:r>
        <w:rPr>
          <w:color w:val="221F1F"/>
          <w:spacing w:val="-8"/>
        </w:rPr>
        <w:t xml:space="preserve"> </w:t>
      </w:r>
      <w:r>
        <w:rPr>
          <w:color w:val="221F1F"/>
        </w:rPr>
        <w:t>which</w:t>
      </w:r>
      <w:r>
        <w:rPr>
          <w:color w:val="221F1F"/>
          <w:spacing w:val="-10"/>
        </w:rPr>
        <w:t xml:space="preserve"> </w:t>
      </w:r>
      <w:r>
        <w:rPr>
          <w:color w:val="221F1F"/>
        </w:rPr>
        <w:t>commission</w:t>
      </w:r>
      <w:r>
        <w:rPr>
          <w:color w:val="221F1F"/>
          <w:spacing w:val="-8"/>
        </w:rPr>
        <w:t xml:space="preserve"> </w:t>
      </w:r>
      <w:r>
        <w:rPr>
          <w:color w:val="221F1F"/>
        </w:rPr>
        <w:t>has been paid or agreed to be paid by him or on his behalf or to his knowledge, unless before the Contract is made particulars of any such commission and of the terms and conditions of any agreement for the payment there of have been disclosed in writing to the Procuring Entity.</w:t>
      </w:r>
    </w:p>
    <w:p w:rsidR="007F6DF9" w:rsidRDefault="00A43FBC">
      <w:pPr>
        <w:pStyle w:val="ListParagraph"/>
        <w:numPr>
          <w:ilvl w:val="2"/>
          <w:numId w:val="122"/>
        </w:numPr>
        <w:tabs>
          <w:tab w:val="left" w:pos="1426"/>
          <w:tab w:val="left" w:pos="1429"/>
        </w:tabs>
        <w:spacing w:before="245" w:line="230" w:lineRule="auto"/>
        <w:ind w:right="558" w:hanging="721"/>
        <w:jc w:val="both"/>
        <w:rPr>
          <w:color w:val="221F1F"/>
        </w:rPr>
      </w:pPr>
      <w:r>
        <w:rPr>
          <w:color w:val="221F1F"/>
        </w:rPr>
        <w:t xml:space="preserve">Any breach of this Condition by the Contractor or by anyone employed by him or acting on his behalf (whether with or without the knowledge of the Contractor) shall be an offence under the provisions of the Public Procurement and Asset Disposal Act (2015) and the Anti-Corruption and Economic Crimes Act </w:t>
      </w:r>
      <w:bookmarkStart w:id="68" w:name="_bookmark66"/>
      <w:bookmarkEnd w:id="68"/>
      <w:r>
        <w:rPr>
          <w:color w:val="221F1F"/>
        </w:rPr>
        <w:t>(2003) of the Laws of Kenya.</w:t>
      </w:r>
    </w:p>
    <w:p w:rsidR="007F6DF9" w:rsidRDefault="00A43FBC">
      <w:pPr>
        <w:pStyle w:val="Heading8"/>
        <w:numPr>
          <w:ilvl w:val="0"/>
          <w:numId w:val="122"/>
        </w:numPr>
        <w:tabs>
          <w:tab w:val="left" w:pos="1425"/>
        </w:tabs>
        <w:spacing w:before="238"/>
        <w:ind w:left="1425" w:hanging="717"/>
        <w:jc w:val="both"/>
      </w:pPr>
      <w:r>
        <w:rPr>
          <w:color w:val="221F1F"/>
        </w:rPr>
        <w:t>SUSPENSION</w:t>
      </w:r>
      <w:r>
        <w:rPr>
          <w:color w:val="221F1F"/>
          <w:spacing w:val="-5"/>
        </w:rPr>
        <w:t xml:space="preserve"> </w:t>
      </w:r>
      <w:r>
        <w:rPr>
          <w:color w:val="221F1F"/>
        </w:rPr>
        <w:t>AND</w:t>
      </w:r>
      <w:r>
        <w:rPr>
          <w:color w:val="221F1F"/>
          <w:spacing w:val="-5"/>
        </w:rPr>
        <w:t xml:space="preserve"> </w:t>
      </w:r>
      <w:r>
        <w:rPr>
          <w:color w:val="221F1F"/>
        </w:rPr>
        <w:t>TERMINATION</w:t>
      </w:r>
      <w:r>
        <w:rPr>
          <w:color w:val="221F1F"/>
          <w:spacing w:val="-5"/>
        </w:rPr>
        <w:t xml:space="preserve"> </w:t>
      </w:r>
      <w:r>
        <w:rPr>
          <w:color w:val="221F1F"/>
        </w:rPr>
        <w:t>BY</w:t>
      </w:r>
      <w:r>
        <w:rPr>
          <w:color w:val="221F1F"/>
          <w:spacing w:val="-4"/>
        </w:rPr>
        <w:t xml:space="preserve"> </w:t>
      </w:r>
      <w:r>
        <w:rPr>
          <w:color w:val="221F1F"/>
          <w:spacing w:val="-2"/>
        </w:rPr>
        <w:t>CONTRACTOR</w:t>
      </w:r>
    </w:p>
    <w:p w:rsidR="007F6DF9" w:rsidRDefault="00A43FBC">
      <w:pPr>
        <w:pStyle w:val="Heading9"/>
        <w:numPr>
          <w:ilvl w:val="1"/>
          <w:numId w:val="122"/>
        </w:numPr>
        <w:tabs>
          <w:tab w:val="left" w:pos="1428"/>
        </w:tabs>
        <w:spacing w:before="234"/>
        <w:ind w:left="1428" w:hanging="720"/>
        <w:jc w:val="both"/>
        <w:rPr>
          <w:color w:val="221F1F"/>
        </w:rPr>
      </w:pPr>
      <w:r>
        <w:rPr>
          <w:color w:val="221F1F"/>
        </w:rPr>
        <w:t>Contractor's</w:t>
      </w:r>
      <w:r>
        <w:rPr>
          <w:color w:val="221F1F"/>
          <w:spacing w:val="-6"/>
        </w:rPr>
        <w:t xml:space="preserve"> </w:t>
      </w:r>
      <w:r>
        <w:rPr>
          <w:color w:val="221F1F"/>
        </w:rPr>
        <w:t>Entitlement</w:t>
      </w:r>
      <w:r>
        <w:rPr>
          <w:color w:val="221F1F"/>
          <w:spacing w:val="-5"/>
        </w:rPr>
        <w:t xml:space="preserve"> </w:t>
      </w:r>
      <w:r>
        <w:rPr>
          <w:color w:val="221F1F"/>
        </w:rPr>
        <w:t>to</w:t>
      </w:r>
      <w:r>
        <w:rPr>
          <w:color w:val="221F1F"/>
          <w:spacing w:val="-4"/>
        </w:rPr>
        <w:t xml:space="preserve"> </w:t>
      </w:r>
      <w:r>
        <w:rPr>
          <w:color w:val="221F1F"/>
        </w:rPr>
        <w:t>Suspend</w:t>
      </w:r>
      <w:r>
        <w:rPr>
          <w:color w:val="221F1F"/>
          <w:spacing w:val="-7"/>
        </w:rPr>
        <w:t xml:space="preserve"> </w:t>
      </w:r>
      <w:r>
        <w:rPr>
          <w:color w:val="221F1F"/>
          <w:spacing w:val="-4"/>
        </w:rPr>
        <w:t>Work</w:t>
      </w:r>
    </w:p>
    <w:p w:rsidR="007F6DF9" w:rsidRDefault="00A43FBC">
      <w:pPr>
        <w:pStyle w:val="ListParagraph"/>
        <w:numPr>
          <w:ilvl w:val="2"/>
          <w:numId w:val="122"/>
        </w:numPr>
        <w:tabs>
          <w:tab w:val="left" w:pos="1426"/>
          <w:tab w:val="left" w:pos="1429"/>
        </w:tabs>
        <w:spacing w:before="243" w:line="230" w:lineRule="auto"/>
        <w:ind w:right="558" w:hanging="721"/>
        <w:jc w:val="both"/>
        <w:rPr>
          <w:color w:val="221F1F"/>
        </w:rPr>
      </w:pPr>
      <w:r>
        <w:rPr>
          <w:color w:val="221F1F"/>
        </w:rPr>
        <w:t>If</w:t>
      </w:r>
      <w:r>
        <w:rPr>
          <w:color w:val="221F1F"/>
          <w:spacing w:val="-6"/>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fails</w:t>
      </w:r>
      <w:r>
        <w:rPr>
          <w:color w:val="221F1F"/>
          <w:spacing w:val="-6"/>
        </w:rPr>
        <w:t xml:space="preserve"> </w:t>
      </w:r>
      <w:r>
        <w:rPr>
          <w:color w:val="221F1F"/>
        </w:rPr>
        <w:t>to</w:t>
      </w:r>
      <w:r>
        <w:rPr>
          <w:color w:val="221F1F"/>
          <w:spacing w:val="-9"/>
        </w:rPr>
        <w:t xml:space="preserve"> </w:t>
      </w:r>
      <w:r>
        <w:rPr>
          <w:color w:val="221F1F"/>
        </w:rPr>
        <w:t>certify</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7"/>
        </w:rPr>
        <w:t xml:space="preserve"> </w:t>
      </w:r>
      <w:r>
        <w:rPr>
          <w:color w:val="221F1F"/>
        </w:rPr>
        <w:t>Sub-Clause</w:t>
      </w:r>
      <w:r>
        <w:rPr>
          <w:color w:val="221F1F"/>
          <w:spacing w:val="-9"/>
        </w:rPr>
        <w:t xml:space="preserve"> </w:t>
      </w:r>
      <w:r>
        <w:rPr>
          <w:color w:val="221F1F"/>
        </w:rPr>
        <w:t>14.6</w:t>
      </w:r>
      <w:r>
        <w:rPr>
          <w:color w:val="221F1F"/>
          <w:spacing w:val="-9"/>
        </w:rPr>
        <w:t xml:space="preserve"> </w:t>
      </w:r>
      <w:r>
        <w:rPr>
          <w:color w:val="221F1F"/>
        </w:rPr>
        <w:t>[Issue</w:t>
      </w:r>
      <w:r>
        <w:rPr>
          <w:color w:val="221F1F"/>
          <w:spacing w:val="-9"/>
        </w:rPr>
        <w:t xml:space="preserve"> </w:t>
      </w:r>
      <w:r>
        <w:rPr>
          <w:color w:val="221F1F"/>
        </w:rPr>
        <w:t>of</w:t>
      </w:r>
      <w:r>
        <w:rPr>
          <w:color w:val="221F1F"/>
          <w:spacing w:val="-6"/>
        </w:rPr>
        <w:t xml:space="preserve"> </w:t>
      </w:r>
      <w:r>
        <w:rPr>
          <w:color w:val="221F1F"/>
        </w:rPr>
        <w:t>Interim</w:t>
      </w:r>
      <w:r>
        <w:rPr>
          <w:color w:val="221F1F"/>
          <w:spacing w:val="-5"/>
        </w:rPr>
        <w:t xml:space="preserve"> </w:t>
      </w:r>
      <w:r>
        <w:rPr>
          <w:color w:val="221F1F"/>
        </w:rPr>
        <w:t>Payment</w:t>
      </w:r>
      <w:r>
        <w:rPr>
          <w:color w:val="221F1F"/>
          <w:spacing w:val="-6"/>
        </w:rPr>
        <w:t xml:space="preserve"> </w:t>
      </w:r>
      <w:r>
        <w:rPr>
          <w:color w:val="221F1F"/>
        </w:rPr>
        <w:t>Certificates]</w:t>
      </w:r>
      <w:r>
        <w:rPr>
          <w:color w:val="221F1F"/>
          <w:spacing w:val="-8"/>
        </w:rPr>
        <w:t xml:space="preserve"> </w:t>
      </w:r>
      <w:r>
        <w:rPr>
          <w:color w:val="221F1F"/>
        </w:rPr>
        <w:t>or Sub-Clause 14.7 [Payment],or</w:t>
      </w:r>
      <w:r>
        <w:rPr>
          <w:color w:val="221F1F"/>
          <w:spacing w:val="40"/>
        </w:rPr>
        <w:t xml:space="preserve"> </w:t>
      </w:r>
      <w:r>
        <w:rPr>
          <w:color w:val="221F1F"/>
        </w:rPr>
        <w:t>not receiving instructions that would enable the contractor to proceed with the works in accordance with the program, the Contractor may,</w:t>
      </w:r>
      <w:r>
        <w:rPr>
          <w:color w:val="221F1F"/>
          <w:spacing w:val="-5"/>
        </w:rPr>
        <w:t xml:space="preserve"> </w:t>
      </w:r>
      <w:r>
        <w:rPr>
          <w:color w:val="221F1F"/>
        </w:rPr>
        <w:t>after giving not less than 30 days' notice to 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7"/>
        </w:rPr>
        <w:t xml:space="preserve"> </w:t>
      </w:r>
      <w:r>
        <w:rPr>
          <w:color w:val="221F1F"/>
        </w:rPr>
        <w:t>suspend</w:t>
      </w:r>
      <w:r>
        <w:rPr>
          <w:color w:val="221F1F"/>
          <w:spacing w:val="-1"/>
        </w:rPr>
        <w:t xml:space="preserve"> </w:t>
      </w:r>
      <w:r>
        <w:rPr>
          <w:color w:val="221F1F"/>
        </w:rPr>
        <w:t>work</w:t>
      </w:r>
      <w:r>
        <w:rPr>
          <w:color w:val="221F1F"/>
          <w:spacing w:val="-4"/>
        </w:rPr>
        <w:t xml:space="preserve"> </w:t>
      </w:r>
      <w:r>
        <w:rPr>
          <w:color w:val="221F1F"/>
        </w:rPr>
        <w:t>(or</w:t>
      </w:r>
      <w:r>
        <w:rPr>
          <w:color w:val="221F1F"/>
          <w:spacing w:val="-3"/>
        </w:rPr>
        <w:t xml:space="preserve"> </w:t>
      </w:r>
      <w:r>
        <w:rPr>
          <w:color w:val="221F1F"/>
        </w:rPr>
        <w:t>reduce</w:t>
      </w:r>
      <w:r>
        <w:rPr>
          <w:color w:val="221F1F"/>
          <w:spacing w:val="-3"/>
        </w:rPr>
        <w:t xml:space="preserve"> </w:t>
      </w:r>
      <w:r>
        <w:rPr>
          <w:color w:val="221F1F"/>
        </w:rPr>
        <w:t>the</w:t>
      </w:r>
      <w:r>
        <w:rPr>
          <w:color w:val="221F1F"/>
          <w:spacing w:val="-3"/>
        </w:rPr>
        <w:t xml:space="preserve"> </w:t>
      </w:r>
      <w:r>
        <w:rPr>
          <w:color w:val="221F1F"/>
        </w:rPr>
        <w:t>rate of work)</w:t>
      </w:r>
      <w:r>
        <w:rPr>
          <w:color w:val="221F1F"/>
          <w:spacing w:val="-3"/>
        </w:rPr>
        <w:t xml:space="preserve"> </w:t>
      </w:r>
      <w:r>
        <w:rPr>
          <w:color w:val="221F1F"/>
        </w:rPr>
        <w:t>unless</w:t>
      </w:r>
      <w:r>
        <w:rPr>
          <w:color w:val="221F1F"/>
          <w:spacing w:val="-1"/>
        </w:rPr>
        <w:t xml:space="preserve"> </w:t>
      </w:r>
      <w:r>
        <w:rPr>
          <w:color w:val="221F1F"/>
        </w:rPr>
        <w:t>and</w:t>
      </w:r>
      <w:r>
        <w:rPr>
          <w:color w:val="221F1F"/>
          <w:spacing w:val="-1"/>
        </w:rPr>
        <w:t xml:space="preserve"> </w:t>
      </w:r>
      <w:r>
        <w:rPr>
          <w:color w:val="221F1F"/>
        </w:rPr>
        <w:t>until</w:t>
      </w:r>
      <w:r>
        <w:rPr>
          <w:color w:val="221F1F"/>
          <w:spacing w:val="-2"/>
        </w:rPr>
        <w:t xml:space="preserve"> </w:t>
      </w:r>
      <w:r>
        <w:rPr>
          <w:color w:val="221F1F"/>
        </w:rPr>
        <w:t>the</w:t>
      </w:r>
      <w:r>
        <w:rPr>
          <w:color w:val="221F1F"/>
          <w:spacing w:val="-1"/>
        </w:rPr>
        <w:t xml:space="preserve"> </w:t>
      </w:r>
      <w:r>
        <w:rPr>
          <w:color w:val="221F1F"/>
        </w:rPr>
        <w:t>Contractor has</w:t>
      </w:r>
      <w:r>
        <w:rPr>
          <w:color w:val="221F1F"/>
          <w:spacing w:val="-3"/>
        </w:rPr>
        <w:t xml:space="preserve"> </w:t>
      </w:r>
      <w:r>
        <w:rPr>
          <w:color w:val="221F1F"/>
        </w:rPr>
        <w:t>received the Payment Certificate, reasonable evidence</w:t>
      </w:r>
      <w:r>
        <w:rPr>
          <w:color w:val="221F1F"/>
          <w:spacing w:val="-2"/>
        </w:rPr>
        <w:t xml:space="preserve"> </w:t>
      </w:r>
      <w:r>
        <w:rPr>
          <w:color w:val="221F1F"/>
        </w:rPr>
        <w:t>or payment, as</w:t>
      </w:r>
      <w:r>
        <w:rPr>
          <w:color w:val="221F1F"/>
          <w:spacing w:val="-2"/>
        </w:rPr>
        <w:t xml:space="preserve"> </w:t>
      </w:r>
      <w:r>
        <w:rPr>
          <w:color w:val="221F1F"/>
        </w:rPr>
        <w:t>the case</w:t>
      </w:r>
      <w:r>
        <w:rPr>
          <w:color w:val="221F1F"/>
          <w:spacing w:val="-2"/>
        </w:rPr>
        <w:t xml:space="preserve"> </w:t>
      </w:r>
      <w:r>
        <w:rPr>
          <w:color w:val="221F1F"/>
        </w:rPr>
        <w:t xml:space="preserve">may </w:t>
      </w:r>
      <w:proofErr w:type="spellStart"/>
      <w:r>
        <w:rPr>
          <w:color w:val="221F1F"/>
        </w:rPr>
        <w:t>bea</w:t>
      </w:r>
      <w:proofErr w:type="spellEnd"/>
      <w:r>
        <w:rPr>
          <w:color w:val="221F1F"/>
        </w:rPr>
        <w:t xml:space="preserve"> </w:t>
      </w:r>
      <w:proofErr w:type="spellStart"/>
      <w:r>
        <w:rPr>
          <w:color w:val="221F1F"/>
        </w:rPr>
        <w:t>nd</w:t>
      </w:r>
      <w:proofErr w:type="spellEnd"/>
      <w:r>
        <w:rPr>
          <w:color w:val="221F1F"/>
          <w:spacing w:val="-3"/>
        </w:rPr>
        <w:t xml:space="preserve"> </w:t>
      </w:r>
      <w:r>
        <w:rPr>
          <w:color w:val="221F1F"/>
        </w:rPr>
        <w:t>as described</w:t>
      </w:r>
      <w:r>
        <w:rPr>
          <w:color w:val="221F1F"/>
          <w:spacing w:val="-2"/>
        </w:rPr>
        <w:t xml:space="preserve"> </w:t>
      </w:r>
      <w:r>
        <w:rPr>
          <w:color w:val="221F1F"/>
        </w:rPr>
        <w:t>in</w:t>
      </w:r>
      <w:r>
        <w:rPr>
          <w:color w:val="221F1F"/>
          <w:spacing w:val="-3"/>
        </w:rPr>
        <w:t xml:space="preserve"> </w:t>
      </w:r>
      <w:r>
        <w:rPr>
          <w:color w:val="221F1F"/>
        </w:rPr>
        <w:t>the notice.</w:t>
      </w:r>
    </w:p>
    <w:p w:rsidR="007F6DF9" w:rsidRDefault="00A43FBC">
      <w:pPr>
        <w:pStyle w:val="ListParagraph"/>
        <w:numPr>
          <w:ilvl w:val="2"/>
          <w:numId w:val="122"/>
        </w:numPr>
        <w:tabs>
          <w:tab w:val="left" w:pos="1429"/>
        </w:tabs>
        <w:spacing w:before="245" w:line="230" w:lineRule="auto"/>
        <w:ind w:right="982" w:hanging="721"/>
        <w:rPr>
          <w:color w:val="221F1F"/>
        </w:rPr>
      </w:pPr>
      <w:r>
        <w:rPr>
          <w:color w:val="221F1F"/>
        </w:rPr>
        <w:t>The</w:t>
      </w:r>
      <w:r>
        <w:rPr>
          <w:color w:val="221F1F"/>
          <w:spacing w:val="-3"/>
        </w:rPr>
        <w:t xml:space="preserve"> </w:t>
      </w:r>
      <w:r>
        <w:rPr>
          <w:color w:val="221F1F"/>
        </w:rPr>
        <w:t>Contractor's</w:t>
      </w:r>
      <w:r>
        <w:rPr>
          <w:color w:val="221F1F"/>
          <w:spacing w:val="-3"/>
        </w:rPr>
        <w:t xml:space="preserve"> </w:t>
      </w:r>
      <w:r>
        <w:rPr>
          <w:color w:val="221F1F"/>
        </w:rPr>
        <w:t>action</w:t>
      </w:r>
      <w:r>
        <w:rPr>
          <w:color w:val="221F1F"/>
          <w:spacing w:val="-6"/>
        </w:rPr>
        <w:t xml:space="preserve"> </w:t>
      </w:r>
      <w:r>
        <w:rPr>
          <w:color w:val="221F1F"/>
        </w:rPr>
        <w:t>shall</w:t>
      </w:r>
      <w:r>
        <w:rPr>
          <w:color w:val="221F1F"/>
          <w:spacing w:val="-2"/>
        </w:rPr>
        <w:t xml:space="preserve"> </w:t>
      </w:r>
      <w:r>
        <w:rPr>
          <w:color w:val="221F1F"/>
        </w:rPr>
        <w:t>not</w:t>
      </w:r>
      <w:r>
        <w:rPr>
          <w:color w:val="221F1F"/>
          <w:spacing w:val="-2"/>
        </w:rPr>
        <w:t xml:space="preserve"> </w:t>
      </w:r>
      <w:r>
        <w:rPr>
          <w:color w:val="221F1F"/>
        </w:rPr>
        <w:t>prejudice</w:t>
      </w:r>
      <w:r>
        <w:rPr>
          <w:color w:val="221F1F"/>
          <w:spacing w:val="-3"/>
        </w:rPr>
        <w:t xml:space="preserve"> </w:t>
      </w:r>
      <w:r>
        <w:rPr>
          <w:color w:val="221F1F"/>
        </w:rPr>
        <w:t>his</w:t>
      </w:r>
      <w:r>
        <w:rPr>
          <w:color w:val="221F1F"/>
          <w:spacing w:val="-5"/>
        </w:rPr>
        <w:t xml:space="preserve"> </w:t>
      </w:r>
      <w:r>
        <w:rPr>
          <w:color w:val="221F1F"/>
        </w:rPr>
        <w:t>entitlements</w:t>
      </w:r>
      <w:r>
        <w:rPr>
          <w:color w:val="221F1F"/>
          <w:spacing w:val="-5"/>
        </w:rPr>
        <w:t xml:space="preserve"> </w:t>
      </w:r>
      <w:r>
        <w:rPr>
          <w:color w:val="221F1F"/>
        </w:rPr>
        <w:t>to</w:t>
      </w:r>
      <w:r>
        <w:rPr>
          <w:color w:val="221F1F"/>
          <w:spacing w:val="-3"/>
        </w:rPr>
        <w:t xml:space="preserve"> </w:t>
      </w:r>
      <w:r>
        <w:rPr>
          <w:color w:val="221F1F"/>
        </w:rPr>
        <w:t>financing</w:t>
      </w:r>
      <w:r>
        <w:rPr>
          <w:color w:val="221F1F"/>
          <w:spacing w:val="-3"/>
        </w:rPr>
        <w:t xml:space="preserve"> </w:t>
      </w:r>
      <w:r>
        <w:rPr>
          <w:color w:val="221F1F"/>
        </w:rPr>
        <w:t>charges</w:t>
      </w:r>
      <w:r>
        <w:rPr>
          <w:color w:val="221F1F"/>
          <w:spacing w:val="-3"/>
        </w:rPr>
        <w:t xml:space="preserve"> </w:t>
      </w:r>
      <w:r>
        <w:rPr>
          <w:color w:val="221F1F"/>
        </w:rPr>
        <w:t>under</w:t>
      </w:r>
      <w:r>
        <w:rPr>
          <w:color w:val="221F1F"/>
          <w:spacing w:val="-2"/>
        </w:rPr>
        <w:t xml:space="preserve"> </w:t>
      </w:r>
      <w:r>
        <w:rPr>
          <w:color w:val="221F1F"/>
        </w:rPr>
        <w:t>Sub-Clause</w:t>
      </w:r>
      <w:r>
        <w:rPr>
          <w:color w:val="221F1F"/>
          <w:spacing w:val="-5"/>
        </w:rPr>
        <w:t xml:space="preserve"> </w:t>
      </w:r>
      <w:r>
        <w:rPr>
          <w:color w:val="221F1F"/>
        </w:rPr>
        <w:t>14.8 [Delayed Payment] and to termination under Sub-Clause 16.2 [</w:t>
      </w:r>
      <w:proofErr w:type="spellStart"/>
      <w:r>
        <w:rPr>
          <w:color w:val="221F1F"/>
        </w:rPr>
        <w:t>Terminationby</w:t>
      </w:r>
      <w:proofErr w:type="spellEnd"/>
      <w:r>
        <w:rPr>
          <w:color w:val="221F1F"/>
        </w:rPr>
        <w:t xml:space="preserve"> Contractor].</w:t>
      </w:r>
    </w:p>
    <w:p w:rsidR="007F6DF9" w:rsidRDefault="00A43FBC">
      <w:pPr>
        <w:pStyle w:val="ListParagraph"/>
        <w:numPr>
          <w:ilvl w:val="2"/>
          <w:numId w:val="122"/>
        </w:numPr>
        <w:tabs>
          <w:tab w:val="left" w:pos="1426"/>
          <w:tab w:val="left" w:pos="1429"/>
        </w:tabs>
        <w:spacing w:before="244" w:line="230" w:lineRule="auto"/>
        <w:ind w:right="559" w:hanging="721"/>
        <w:jc w:val="both"/>
        <w:rPr>
          <w:color w:val="221F1F"/>
        </w:rPr>
      </w:pPr>
      <w:r>
        <w:rPr>
          <w:color w:val="221F1F"/>
        </w:rPr>
        <w:t>If the Contractor subsequently receives such Payment Certificate, evidence or payment (as described in the relevant Sub-Clause and in the above notice) before giving a notice of termination, the Contractor shall resume normal working as soon as is reasonably practicable.</w:t>
      </w:r>
    </w:p>
    <w:p w:rsidR="007F6DF9" w:rsidRDefault="00A43FBC">
      <w:pPr>
        <w:pStyle w:val="ListParagraph"/>
        <w:numPr>
          <w:ilvl w:val="2"/>
          <w:numId w:val="122"/>
        </w:numPr>
        <w:tabs>
          <w:tab w:val="left" w:pos="1426"/>
          <w:tab w:val="left" w:pos="1429"/>
        </w:tabs>
        <w:spacing w:before="246" w:line="230" w:lineRule="auto"/>
        <w:ind w:right="561" w:hanging="721"/>
        <w:jc w:val="both"/>
        <w:rPr>
          <w:color w:val="221F1F"/>
        </w:rPr>
      </w:pPr>
      <w:r>
        <w:rPr>
          <w:color w:val="221F1F"/>
        </w:rPr>
        <w:t>If the Contractor suffers delay and/</w:t>
      </w:r>
      <w:proofErr w:type="spellStart"/>
      <w:r>
        <w:rPr>
          <w:color w:val="221F1F"/>
        </w:rPr>
        <w:t>ori</w:t>
      </w:r>
      <w:proofErr w:type="spellEnd"/>
      <w:r>
        <w:rPr>
          <w:color w:val="221F1F"/>
        </w:rPr>
        <w:t xml:space="preserve"> </w:t>
      </w:r>
      <w:proofErr w:type="spellStart"/>
      <w:r>
        <w:rPr>
          <w:color w:val="221F1F"/>
        </w:rPr>
        <w:t>ncurs</w:t>
      </w:r>
      <w:proofErr w:type="spellEnd"/>
      <w:r>
        <w:rPr>
          <w:color w:val="221F1F"/>
        </w:rPr>
        <w:t xml:space="preserve"> Cost as a result of suspending work (or reducing the rate of work) in accordance with this Sub-Clause, the Contractor shall give notice to the Architect and shall be entitled subject to Sub-Clause 20.1 [Contractor's Claims] to:</w:t>
      </w:r>
    </w:p>
    <w:p w:rsidR="007F6DF9" w:rsidRDefault="00A43FBC">
      <w:pPr>
        <w:pStyle w:val="ListParagraph"/>
        <w:numPr>
          <w:ilvl w:val="0"/>
          <w:numId w:val="79"/>
        </w:numPr>
        <w:tabs>
          <w:tab w:val="left" w:pos="1869"/>
          <w:tab w:val="left" w:pos="1873"/>
        </w:tabs>
        <w:spacing w:before="248" w:line="230" w:lineRule="auto"/>
        <w:ind w:right="558" w:hanging="449"/>
        <w:jc w:val="both"/>
      </w:pPr>
      <w:r>
        <w:rPr>
          <w:color w:val="221F1F"/>
        </w:rPr>
        <w:t>an extension of time for any such delay, if completion is or will be delayed, under Sub-Clause 8.4 [Extension of Time for Completion], and</w:t>
      </w:r>
    </w:p>
    <w:p w:rsidR="007F6DF9" w:rsidRDefault="00A43FBC">
      <w:pPr>
        <w:pStyle w:val="ListParagraph"/>
        <w:numPr>
          <w:ilvl w:val="0"/>
          <w:numId w:val="79"/>
        </w:numPr>
        <w:tabs>
          <w:tab w:val="left" w:pos="1868"/>
        </w:tabs>
        <w:spacing w:line="246" w:lineRule="exact"/>
        <w:ind w:left="1868" w:hanging="444"/>
      </w:pPr>
      <w:r>
        <w:rPr>
          <w:color w:val="221F1F"/>
        </w:rPr>
        <w:t>payment</w:t>
      </w:r>
      <w:r>
        <w:rPr>
          <w:color w:val="221F1F"/>
          <w:spacing w:val="-5"/>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such</w:t>
      </w:r>
      <w:r>
        <w:rPr>
          <w:color w:val="221F1F"/>
          <w:spacing w:val="-3"/>
        </w:rPr>
        <w:t xml:space="preserve"> </w:t>
      </w:r>
      <w:r>
        <w:rPr>
          <w:color w:val="221F1F"/>
        </w:rPr>
        <w:t>Cost-plus</w:t>
      </w:r>
      <w:r>
        <w:rPr>
          <w:color w:val="221F1F"/>
          <w:spacing w:val="-4"/>
        </w:rPr>
        <w:t xml:space="preserve"> </w:t>
      </w:r>
      <w:r>
        <w:rPr>
          <w:color w:val="221F1F"/>
        </w:rPr>
        <w:t>profit,</w:t>
      </w:r>
      <w:r>
        <w:rPr>
          <w:color w:val="221F1F"/>
          <w:spacing w:val="-4"/>
        </w:rPr>
        <w:t xml:space="preserve"> </w:t>
      </w:r>
      <w:r>
        <w:rPr>
          <w:color w:val="221F1F"/>
        </w:rPr>
        <w:t>which</w:t>
      </w:r>
      <w:r>
        <w:rPr>
          <w:color w:val="221F1F"/>
          <w:spacing w:val="-4"/>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included</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Price.</w:t>
      </w:r>
    </w:p>
    <w:p w:rsidR="007F6DF9" w:rsidRDefault="00A43FBC">
      <w:pPr>
        <w:pStyle w:val="ListParagraph"/>
        <w:numPr>
          <w:ilvl w:val="1"/>
          <w:numId w:val="122"/>
        </w:numPr>
        <w:tabs>
          <w:tab w:val="left" w:pos="1419"/>
        </w:tabs>
        <w:spacing w:before="242" w:line="230" w:lineRule="auto"/>
        <w:ind w:right="610"/>
        <w:rPr>
          <w:b/>
        </w:rPr>
      </w:pPr>
      <w:r>
        <w:rPr>
          <w:color w:val="221F1F"/>
        </w:rPr>
        <w:t>After</w:t>
      </w:r>
      <w:r>
        <w:rPr>
          <w:color w:val="221F1F"/>
          <w:spacing w:val="-1"/>
        </w:rPr>
        <w:t xml:space="preserve"> </w:t>
      </w:r>
      <w:r>
        <w:rPr>
          <w:color w:val="221F1F"/>
        </w:rPr>
        <w:t>receiving</w:t>
      </w:r>
      <w:r>
        <w:rPr>
          <w:color w:val="221F1F"/>
          <w:spacing w:val="-2"/>
        </w:rPr>
        <w:t xml:space="preserve"> </w:t>
      </w:r>
      <w:r>
        <w:rPr>
          <w:color w:val="221F1F"/>
        </w:rPr>
        <w:t>this</w:t>
      </w:r>
      <w:r>
        <w:rPr>
          <w:color w:val="221F1F"/>
          <w:spacing w:val="-1"/>
        </w:rPr>
        <w:t xml:space="preserve"> </w:t>
      </w:r>
      <w:r>
        <w:rPr>
          <w:color w:val="221F1F"/>
        </w:rPr>
        <w:t>notice,</w:t>
      </w:r>
      <w:r>
        <w:rPr>
          <w:color w:val="221F1F"/>
          <w:spacing w:val="-4"/>
        </w:rPr>
        <w:t xml:space="preserve"> </w:t>
      </w:r>
      <w:r>
        <w:rPr>
          <w:color w:val="221F1F"/>
        </w:rPr>
        <w:t>the</w:t>
      </w:r>
      <w:r>
        <w:rPr>
          <w:color w:val="221F1F"/>
          <w:spacing w:val="-2"/>
        </w:rPr>
        <w:t xml:space="preserve"> </w:t>
      </w:r>
      <w:r>
        <w:rPr>
          <w:color w:val="221F1F"/>
        </w:rPr>
        <w:t>Architect shall</w:t>
      </w:r>
      <w:r>
        <w:rPr>
          <w:color w:val="221F1F"/>
          <w:spacing w:val="-1"/>
        </w:rPr>
        <w:t xml:space="preserve"> </w:t>
      </w:r>
      <w:r>
        <w:rPr>
          <w:color w:val="221F1F"/>
        </w:rPr>
        <w:t>proceed</w:t>
      </w:r>
      <w:r>
        <w:rPr>
          <w:color w:val="221F1F"/>
          <w:spacing w:val="-3"/>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Sub-Clause</w:t>
      </w:r>
      <w:r>
        <w:rPr>
          <w:color w:val="221F1F"/>
          <w:spacing w:val="-1"/>
        </w:rPr>
        <w:t xml:space="preserve"> </w:t>
      </w:r>
      <w:r>
        <w:rPr>
          <w:color w:val="221F1F"/>
        </w:rPr>
        <w:t>3.5</w:t>
      </w:r>
      <w:r>
        <w:rPr>
          <w:color w:val="221F1F"/>
          <w:spacing w:val="-5"/>
        </w:rPr>
        <w:t xml:space="preserve"> </w:t>
      </w:r>
      <w:r>
        <w:rPr>
          <w:color w:val="221F1F"/>
        </w:rPr>
        <w:t>[Determinations] to agree or determine these matters.</w:t>
      </w:r>
    </w:p>
    <w:p w:rsidR="007F6DF9" w:rsidRDefault="00A43FBC">
      <w:pPr>
        <w:pStyle w:val="Heading9"/>
        <w:numPr>
          <w:ilvl w:val="1"/>
          <w:numId w:val="122"/>
        </w:numPr>
        <w:tabs>
          <w:tab w:val="left" w:pos="1423"/>
        </w:tabs>
        <w:spacing w:before="237"/>
        <w:ind w:left="1423" w:hanging="720"/>
        <w:jc w:val="both"/>
        <w:rPr>
          <w:color w:val="221F1F"/>
        </w:rPr>
      </w:pPr>
      <w:r>
        <w:rPr>
          <w:color w:val="221F1F"/>
        </w:rPr>
        <w:t>Termination</w:t>
      </w:r>
      <w:r>
        <w:rPr>
          <w:color w:val="221F1F"/>
          <w:spacing w:val="-3"/>
        </w:rPr>
        <w:t xml:space="preserve"> </w:t>
      </w:r>
      <w:r>
        <w:rPr>
          <w:color w:val="221F1F"/>
        </w:rPr>
        <w:t>by</w:t>
      </w:r>
      <w:r>
        <w:rPr>
          <w:color w:val="221F1F"/>
          <w:spacing w:val="-2"/>
        </w:rPr>
        <w:t xml:space="preserve"> Contractor</w:t>
      </w:r>
    </w:p>
    <w:p w:rsidR="007F6DF9" w:rsidRDefault="00A43FBC">
      <w:pPr>
        <w:pStyle w:val="ListParagraph"/>
        <w:numPr>
          <w:ilvl w:val="2"/>
          <w:numId w:val="122"/>
        </w:numPr>
        <w:tabs>
          <w:tab w:val="left" w:pos="1421"/>
        </w:tabs>
        <w:spacing w:before="234"/>
        <w:ind w:left="1421" w:hanging="718"/>
        <w:jc w:val="both"/>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5"/>
        </w:rPr>
        <w:t xml:space="preserve"> </w:t>
      </w:r>
      <w:r>
        <w:rPr>
          <w:color w:val="221F1F"/>
        </w:rPr>
        <w:t>be</w:t>
      </w:r>
      <w:r>
        <w:rPr>
          <w:color w:val="221F1F"/>
          <w:spacing w:val="-3"/>
        </w:rPr>
        <w:t xml:space="preserve"> </w:t>
      </w:r>
      <w:r>
        <w:rPr>
          <w:color w:val="221F1F"/>
        </w:rPr>
        <w:t>entitled</w:t>
      </w:r>
      <w:r>
        <w:rPr>
          <w:color w:val="221F1F"/>
          <w:spacing w:val="-3"/>
        </w:rPr>
        <w:t xml:space="preserve"> </w:t>
      </w:r>
      <w:r>
        <w:rPr>
          <w:color w:val="221F1F"/>
        </w:rPr>
        <w:t>to</w:t>
      </w:r>
      <w:r>
        <w:rPr>
          <w:color w:val="221F1F"/>
          <w:spacing w:val="-6"/>
        </w:rPr>
        <w:t xml:space="preserve"> </w:t>
      </w:r>
      <w:r>
        <w:rPr>
          <w:color w:val="221F1F"/>
        </w:rPr>
        <w:t>terminate</w:t>
      </w:r>
      <w:r>
        <w:rPr>
          <w:color w:val="221F1F"/>
          <w:spacing w:val="-5"/>
        </w:rPr>
        <w:t xml:space="preserve"> </w:t>
      </w:r>
      <w:r>
        <w:rPr>
          <w:color w:val="221F1F"/>
        </w:rPr>
        <w:t>the</w:t>
      </w:r>
      <w:r>
        <w:rPr>
          <w:color w:val="221F1F"/>
          <w:spacing w:val="-4"/>
        </w:rPr>
        <w:t xml:space="preserve"> </w:t>
      </w:r>
      <w:r>
        <w:rPr>
          <w:color w:val="221F1F"/>
        </w:rPr>
        <w:t>Contract</w:t>
      </w:r>
      <w:r>
        <w:rPr>
          <w:color w:val="221F1F"/>
          <w:spacing w:val="-1"/>
        </w:rPr>
        <w:t xml:space="preserve"> </w:t>
      </w:r>
      <w:r>
        <w:rPr>
          <w:color w:val="221F1F"/>
          <w:spacing w:val="-5"/>
        </w:rPr>
        <w:t>if:</w:t>
      </w:r>
    </w:p>
    <w:p w:rsidR="007F6DF9" w:rsidRDefault="00A43FBC">
      <w:pPr>
        <w:pStyle w:val="ListParagraph"/>
        <w:numPr>
          <w:ilvl w:val="0"/>
          <w:numId w:val="78"/>
        </w:numPr>
        <w:tabs>
          <w:tab w:val="left" w:pos="1869"/>
          <w:tab w:val="left" w:pos="1873"/>
        </w:tabs>
        <w:spacing w:before="48" w:line="230" w:lineRule="auto"/>
        <w:ind w:right="571" w:hanging="449"/>
        <w:jc w:val="both"/>
      </w:pPr>
      <w:r>
        <w:rPr>
          <w:color w:val="221F1F"/>
        </w:rPr>
        <w:t>the Architect fails, within 60 days after receiving a Statement and supporting documents, to issue the relevant Payment Certificate,</w:t>
      </w:r>
    </w:p>
    <w:p w:rsidR="007F6DF9" w:rsidRDefault="00A43FBC">
      <w:pPr>
        <w:pStyle w:val="ListParagraph"/>
        <w:numPr>
          <w:ilvl w:val="0"/>
          <w:numId w:val="78"/>
        </w:numPr>
        <w:tabs>
          <w:tab w:val="left" w:pos="1869"/>
          <w:tab w:val="left" w:pos="1873"/>
        </w:tabs>
        <w:spacing w:before="49" w:line="230" w:lineRule="auto"/>
        <w:ind w:right="558" w:hanging="449"/>
        <w:jc w:val="both"/>
      </w:pPr>
      <w:r>
        <w:rPr>
          <w:color w:val="221F1F"/>
        </w:rPr>
        <w:t>the Contractor does not receive the amount due under an Interim Payment Certificate within 90 days after the expiry of the time stated in Sub-Clause1 4.7 [Payment] within which payment is to be made (except for deductions in accordance with Sub-Clause 2.5 [Procuring Entity's Claims]),</w:t>
      </w:r>
    </w:p>
    <w:p w:rsidR="007F6DF9" w:rsidRDefault="00A43FBC">
      <w:pPr>
        <w:pStyle w:val="ListParagraph"/>
        <w:numPr>
          <w:ilvl w:val="0"/>
          <w:numId w:val="78"/>
        </w:numPr>
        <w:tabs>
          <w:tab w:val="left" w:pos="1869"/>
          <w:tab w:val="left" w:pos="1873"/>
        </w:tabs>
        <w:spacing w:before="49" w:line="230" w:lineRule="auto"/>
        <w:ind w:right="558" w:hanging="449"/>
        <w:jc w:val="both"/>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4"/>
        </w:rPr>
        <w:t xml:space="preserve"> </w:t>
      </w:r>
      <w:r>
        <w:rPr>
          <w:color w:val="221F1F"/>
        </w:rPr>
        <w:t>substantially</w:t>
      </w:r>
      <w:r>
        <w:rPr>
          <w:color w:val="221F1F"/>
          <w:spacing w:val="-2"/>
        </w:rPr>
        <w:t xml:space="preserve"> </w:t>
      </w:r>
      <w:r>
        <w:rPr>
          <w:color w:val="221F1F"/>
        </w:rPr>
        <w:t>fails</w:t>
      </w:r>
      <w:r>
        <w:rPr>
          <w:color w:val="221F1F"/>
          <w:spacing w:val="-1"/>
        </w:rPr>
        <w:t xml:space="preserve"> </w:t>
      </w:r>
      <w:r>
        <w:rPr>
          <w:color w:val="221F1F"/>
        </w:rPr>
        <w:t>to</w:t>
      </w:r>
      <w:r>
        <w:rPr>
          <w:color w:val="221F1F"/>
          <w:spacing w:val="-2"/>
        </w:rPr>
        <w:t xml:space="preserve"> </w:t>
      </w:r>
      <w:r>
        <w:rPr>
          <w:color w:val="221F1F"/>
        </w:rPr>
        <w:t>perform his</w:t>
      </w:r>
      <w:r>
        <w:rPr>
          <w:color w:val="221F1F"/>
          <w:spacing w:val="-4"/>
        </w:rPr>
        <w:t xml:space="preserve"> </w:t>
      </w:r>
      <w:r>
        <w:rPr>
          <w:color w:val="221F1F"/>
        </w:rPr>
        <w:t>obligations</w:t>
      </w:r>
      <w:r>
        <w:rPr>
          <w:color w:val="221F1F"/>
          <w:spacing w:val="-1"/>
        </w:rPr>
        <w:t xml:space="preserve"> </w:t>
      </w:r>
      <w:r>
        <w:rPr>
          <w:color w:val="221F1F"/>
        </w:rPr>
        <w:t>under</w:t>
      </w:r>
      <w:r>
        <w:rPr>
          <w:color w:val="221F1F"/>
          <w:spacing w:val="-1"/>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in</w:t>
      </w:r>
      <w:r>
        <w:rPr>
          <w:color w:val="221F1F"/>
          <w:spacing w:val="-2"/>
        </w:rPr>
        <w:t xml:space="preserve"> </w:t>
      </w:r>
      <w:r>
        <w:rPr>
          <w:color w:val="221F1F"/>
        </w:rPr>
        <w:t>such</w:t>
      </w:r>
      <w:r>
        <w:rPr>
          <w:color w:val="221F1F"/>
          <w:spacing w:val="-2"/>
        </w:rPr>
        <w:t xml:space="preserve"> </w:t>
      </w:r>
      <w:r>
        <w:rPr>
          <w:color w:val="221F1F"/>
        </w:rPr>
        <w:t>manner</w:t>
      </w:r>
      <w:r>
        <w:rPr>
          <w:color w:val="221F1F"/>
          <w:spacing w:val="-1"/>
        </w:rPr>
        <w:t xml:space="preserve"> </w:t>
      </w:r>
      <w:r>
        <w:rPr>
          <w:color w:val="221F1F"/>
        </w:rPr>
        <w:t>as to materially and adversely affect the economic balance of the Contract and/or the ability of the Contractor to perform the Contract,</w:t>
      </w:r>
    </w:p>
    <w:p w:rsidR="007F6DF9" w:rsidRDefault="00A43FBC">
      <w:pPr>
        <w:pStyle w:val="ListParagraph"/>
        <w:numPr>
          <w:ilvl w:val="0"/>
          <w:numId w:val="78"/>
        </w:numPr>
        <w:tabs>
          <w:tab w:val="left" w:pos="1869"/>
          <w:tab w:val="left" w:pos="1873"/>
        </w:tabs>
        <w:spacing w:before="49" w:line="230" w:lineRule="auto"/>
        <w:ind w:right="558" w:hanging="449"/>
        <w:jc w:val="both"/>
      </w:pPr>
      <w:r>
        <w:rPr>
          <w:color w:val="221F1F"/>
        </w:rPr>
        <w:t>a prolonged suspension affects the whole of the Works as described in Sub-Clause 8.11 [Prolonged Suspension], or</w:t>
      </w:r>
    </w:p>
    <w:p w:rsidR="007F6DF9" w:rsidRDefault="00A43FBC">
      <w:pPr>
        <w:pStyle w:val="ListParagraph"/>
        <w:numPr>
          <w:ilvl w:val="0"/>
          <w:numId w:val="78"/>
        </w:numPr>
        <w:tabs>
          <w:tab w:val="left" w:pos="1869"/>
          <w:tab w:val="left" w:pos="1873"/>
        </w:tabs>
        <w:spacing w:before="50" w:line="230" w:lineRule="auto"/>
        <w:ind w:right="565" w:hanging="449"/>
        <w:jc w:val="both"/>
      </w:pPr>
      <w:r>
        <w:rPr>
          <w:color w:val="221F1F"/>
        </w:rPr>
        <w:t>the Procuring Entity becomes bankrupt or insolvent, goes into liquidation, has a receiving or administration order made against him, compounds with his creditors, or carries on business under a receiver, trustee or manager for the benefit of his creditors, or if any act is done or event occurs which (under applicable Laws) has a similar effect to any of these acts or events.</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ListParagraph"/>
        <w:numPr>
          <w:ilvl w:val="0"/>
          <w:numId w:val="78"/>
        </w:numPr>
        <w:tabs>
          <w:tab w:val="left" w:pos="1866"/>
          <w:tab w:val="left" w:pos="1873"/>
        </w:tabs>
        <w:spacing w:line="230" w:lineRule="auto"/>
        <w:ind w:right="550" w:hanging="449"/>
        <w:jc w:val="both"/>
      </w:pPr>
      <w:r>
        <w:rPr>
          <w:noProof/>
        </w:rPr>
        <w:lastRenderedPageBreak/>
        <mc:AlternateContent>
          <mc:Choice Requires="wpg">
            <w:drawing>
              <wp:anchor distT="0" distB="0" distL="0" distR="0" simplePos="0" relativeHeight="479603200"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09" name="Graphic 40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10" name="Graphic 40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61357826" id="Group 406" o:spid="_x0000_s1026" style="position:absolute;margin-left:0;margin-top:806.2pt;width:595.4pt;height:24.5pt;z-index:-23713280;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">
                <v:shape id="Graphic 40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" path="m946150,l,,,153670r7620,48895l29845,245110r33020,33020l105409,300355r48261,7620l946150,307975,946150,xe" fillcolor="#011f5e" stroked="f">
                  <v:path arrowok="t"/>
                </v:shape>
                <v:shape id="Graphic 40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the</w:t>
      </w:r>
      <w:r>
        <w:rPr>
          <w:color w:val="221F1F"/>
          <w:spacing w:val="-2"/>
        </w:rPr>
        <w:t xml:space="preserve"> </w:t>
      </w:r>
      <w:r>
        <w:rPr>
          <w:color w:val="221F1F"/>
        </w:rPr>
        <w:t>Contractor</w:t>
      </w:r>
      <w:r>
        <w:rPr>
          <w:color w:val="221F1F"/>
          <w:spacing w:val="-4"/>
        </w:rPr>
        <w:t xml:space="preserve"> </w:t>
      </w:r>
      <w:r>
        <w:rPr>
          <w:color w:val="221F1F"/>
        </w:rPr>
        <w:t>does</w:t>
      </w:r>
      <w:r>
        <w:rPr>
          <w:color w:val="221F1F"/>
          <w:spacing w:val="-2"/>
        </w:rPr>
        <w:t xml:space="preserve"> </w:t>
      </w:r>
      <w:r>
        <w:rPr>
          <w:color w:val="221F1F"/>
        </w:rPr>
        <w:t>not</w:t>
      </w:r>
      <w:r>
        <w:rPr>
          <w:color w:val="221F1F"/>
          <w:spacing w:val="-4"/>
        </w:rPr>
        <w:t xml:space="preserve"> </w:t>
      </w:r>
      <w:r>
        <w:rPr>
          <w:color w:val="221F1F"/>
        </w:rPr>
        <w:t>receive</w:t>
      </w:r>
      <w:r>
        <w:rPr>
          <w:color w:val="221F1F"/>
          <w:spacing w:val="-4"/>
        </w:rPr>
        <w:t xml:space="preserve"> </w:t>
      </w:r>
      <w:r>
        <w:rPr>
          <w:color w:val="221F1F"/>
        </w:rPr>
        <w:t>the</w:t>
      </w:r>
      <w:r>
        <w:rPr>
          <w:color w:val="221F1F"/>
          <w:spacing w:val="-2"/>
        </w:rPr>
        <w:t xml:space="preserve"> </w:t>
      </w:r>
      <w:r>
        <w:rPr>
          <w:color w:val="221F1F"/>
        </w:rPr>
        <w:t>Architect</w:t>
      </w:r>
      <w:r>
        <w:rPr>
          <w:color w:val="221F1F"/>
          <w:spacing w:val="-4"/>
        </w:rPr>
        <w:t xml:space="preserve"> </w:t>
      </w:r>
      <w:r>
        <w:rPr>
          <w:color w:val="221F1F"/>
        </w:rPr>
        <w:t>instruction</w:t>
      </w:r>
      <w:r>
        <w:rPr>
          <w:color w:val="221F1F"/>
          <w:spacing w:val="-2"/>
        </w:rPr>
        <w:t xml:space="preserve"> </w:t>
      </w:r>
      <w:r>
        <w:rPr>
          <w:color w:val="221F1F"/>
        </w:rPr>
        <w:t>recording</w:t>
      </w:r>
      <w:r>
        <w:rPr>
          <w:color w:val="221F1F"/>
          <w:spacing w:val="-5"/>
        </w:rPr>
        <w:t xml:space="preserve"> </w:t>
      </w:r>
      <w:r>
        <w:rPr>
          <w:color w:val="221F1F"/>
        </w:rPr>
        <w:t>the</w:t>
      </w:r>
      <w:r>
        <w:rPr>
          <w:color w:val="221F1F"/>
          <w:spacing w:val="-2"/>
        </w:rPr>
        <w:t xml:space="preserve"> </w:t>
      </w:r>
      <w:r>
        <w:rPr>
          <w:color w:val="221F1F"/>
        </w:rPr>
        <w:t>agreement</w:t>
      </w:r>
      <w:r>
        <w:rPr>
          <w:color w:val="221F1F"/>
          <w:spacing w:val="-6"/>
        </w:rPr>
        <w:t xml:space="preserve"> </w:t>
      </w:r>
      <w:r>
        <w:rPr>
          <w:color w:val="221F1F"/>
        </w:rPr>
        <w:t>of</w:t>
      </w:r>
      <w:r>
        <w:rPr>
          <w:color w:val="221F1F"/>
          <w:spacing w:val="-2"/>
        </w:rPr>
        <w:t xml:space="preserve"> </w:t>
      </w:r>
      <w:r>
        <w:rPr>
          <w:color w:val="221F1F"/>
        </w:rPr>
        <w:t>both</w:t>
      </w:r>
      <w:r>
        <w:rPr>
          <w:color w:val="221F1F"/>
          <w:spacing w:val="-2"/>
        </w:rPr>
        <w:t xml:space="preserve"> </w:t>
      </w:r>
      <w:r>
        <w:rPr>
          <w:color w:val="221F1F"/>
        </w:rPr>
        <w:t>Parties</w:t>
      </w:r>
      <w:r>
        <w:rPr>
          <w:color w:val="221F1F"/>
          <w:spacing w:val="-2"/>
        </w:rPr>
        <w:t xml:space="preserve"> </w:t>
      </w:r>
      <w:r>
        <w:rPr>
          <w:color w:val="221F1F"/>
        </w:rPr>
        <w:t>on the fulfilment of the conditions for the Commencement of Works</w:t>
      </w:r>
      <w:r>
        <w:rPr>
          <w:color w:val="221F1F"/>
          <w:spacing w:val="-1"/>
        </w:rPr>
        <w:t xml:space="preserve"> </w:t>
      </w:r>
      <w:r>
        <w:rPr>
          <w:color w:val="221F1F"/>
        </w:rPr>
        <w:t>under Sub-Clause 8.1 [Commencement of Works].</w:t>
      </w:r>
    </w:p>
    <w:p w:rsidR="007F6DF9" w:rsidRDefault="00A43FBC">
      <w:pPr>
        <w:pStyle w:val="ListParagraph"/>
        <w:numPr>
          <w:ilvl w:val="2"/>
          <w:numId w:val="122"/>
        </w:numPr>
        <w:tabs>
          <w:tab w:val="left" w:pos="1421"/>
          <w:tab w:val="left" w:pos="1436"/>
        </w:tabs>
        <w:spacing w:before="245" w:line="230" w:lineRule="auto"/>
        <w:ind w:left="1436" w:right="558" w:hanging="733"/>
        <w:jc w:val="both"/>
        <w:rPr>
          <w:color w:val="221F1F"/>
        </w:rPr>
      </w:pPr>
      <w:r>
        <w:rPr>
          <w:color w:val="221F1F"/>
        </w:rPr>
        <w:t>In any of these events or circumstances, the Contractor may, upon giving 14 days' notice to the Procuring Entity,</w:t>
      </w:r>
      <w:r>
        <w:rPr>
          <w:color w:val="221F1F"/>
          <w:spacing w:val="-14"/>
        </w:rPr>
        <w:t xml:space="preserve"> </w:t>
      </w:r>
      <w:r>
        <w:rPr>
          <w:color w:val="221F1F"/>
        </w:rPr>
        <w:t>terminate</w:t>
      </w:r>
      <w:r>
        <w:rPr>
          <w:color w:val="221F1F"/>
          <w:spacing w:val="-11"/>
        </w:rPr>
        <w:t xml:space="preserve"> </w:t>
      </w:r>
      <w:r>
        <w:rPr>
          <w:color w:val="221F1F"/>
        </w:rPr>
        <w:t>the</w:t>
      </w:r>
      <w:r>
        <w:rPr>
          <w:color w:val="221F1F"/>
          <w:spacing w:val="-9"/>
        </w:rPr>
        <w:t xml:space="preserve"> </w:t>
      </w:r>
      <w:r>
        <w:rPr>
          <w:color w:val="221F1F"/>
        </w:rPr>
        <w:t>Contract.</w:t>
      </w:r>
      <w:r>
        <w:rPr>
          <w:color w:val="221F1F"/>
          <w:spacing w:val="-8"/>
        </w:rPr>
        <w:t xml:space="preserve"> </w:t>
      </w:r>
      <w:r>
        <w:rPr>
          <w:color w:val="221F1F"/>
        </w:rPr>
        <w:t>However,</w:t>
      </w:r>
      <w:r>
        <w:rPr>
          <w:color w:val="221F1F"/>
          <w:spacing w:val="-9"/>
        </w:rPr>
        <w:t xml:space="preserve"> </w:t>
      </w:r>
      <w:r>
        <w:rPr>
          <w:color w:val="221F1F"/>
        </w:rPr>
        <w:t>in</w:t>
      </w:r>
      <w:r>
        <w:rPr>
          <w:color w:val="221F1F"/>
          <w:spacing w:val="-12"/>
        </w:rPr>
        <w:t xml:space="preserve"> </w:t>
      </w:r>
      <w:r>
        <w:rPr>
          <w:color w:val="221F1F"/>
        </w:rPr>
        <w:t>the</w:t>
      </w:r>
      <w:r>
        <w:rPr>
          <w:color w:val="221F1F"/>
          <w:spacing w:val="-9"/>
        </w:rPr>
        <w:t xml:space="preserve"> </w:t>
      </w:r>
      <w:r>
        <w:rPr>
          <w:color w:val="221F1F"/>
        </w:rPr>
        <w:t>case</w:t>
      </w:r>
      <w:r>
        <w:rPr>
          <w:color w:val="221F1F"/>
          <w:spacing w:val="-8"/>
        </w:rPr>
        <w:t xml:space="preserve"> </w:t>
      </w:r>
      <w:r>
        <w:rPr>
          <w:color w:val="221F1F"/>
        </w:rPr>
        <w:t>of</w:t>
      </w:r>
      <w:r>
        <w:rPr>
          <w:color w:val="221F1F"/>
          <w:spacing w:val="-11"/>
        </w:rPr>
        <w:t xml:space="preserve"> </w:t>
      </w:r>
      <w:r>
        <w:rPr>
          <w:color w:val="221F1F"/>
        </w:rPr>
        <w:t>sub-paragraph</w:t>
      </w:r>
      <w:r>
        <w:rPr>
          <w:color w:val="221F1F"/>
          <w:spacing w:val="-11"/>
        </w:rPr>
        <w:t xml:space="preserve"> </w:t>
      </w:r>
      <w:r>
        <w:rPr>
          <w:color w:val="221F1F"/>
        </w:rPr>
        <w:t>(f)</w:t>
      </w:r>
      <w:r>
        <w:rPr>
          <w:color w:val="221F1F"/>
          <w:spacing w:val="-8"/>
        </w:rPr>
        <w:t xml:space="preserve"> </w:t>
      </w:r>
      <w:r>
        <w:rPr>
          <w:color w:val="221F1F"/>
        </w:rPr>
        <w:t>or</w:t>
      </w:r>
      <w:r>
        <w:rPr>
          <w:color w:val="221F1F"/>
          <w:spacing w:val="-9"/>
        </w:rPr>
        <w:t xml:space="preserve"> </w:t>
      </w:r>
      <w:r>
        <w:rPr>
          <w:color w:val="221F1F"/>
        </w:rPr>
        <w:t>(g),</w:t>
      </w:r>
      <w:r>
        <w:rPr>
          <w:color w:val="221F1F"/>
          <w:spacing w:val="-9"/>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may</w:t>
      </w:r>
      <w:r>
        <w:rPr>
          <w:color w:val="221F1F"/>
          <w:spacing w:val="-9"/>
        </w:rPr>
        <w:t xml:space="preserve"> </w:t>
      </w:r>
      <w:r>
        <w:rPr>
          <w:color w:val="221F1F"/>
        </w:rPr>
        <w:t>by</w:t>
      </w:r>
      <w:r>
        <w:rPr>
          <w:color w:val="221F1F"/>
          <w:spacing w:val="-9"/>
        </w:rPr>
        <w:t xml:space="preserve"> </w:t>
      </w:r>
      <w:r>
        <w:rPr>
          <w:color w:val="221F1F"/>
        </w:rPr>
        <w:t>notice terminate the Contract immediately.</w:t>
      </w:r>
    </w:p>
    <w:p w:rsidR="007F6DF9" w:rsidRDefault="00A43FBC">
      <w:pPr>
        <w:pStyle w:val="ListParagraph"/>
        <w:numPr>
          <w:ilvl w:val="2"/>
          <w:numId w:val="122"/>
        </w:numPr>
        <w:tabs>
          <w:tab w:val="left" w:pos="1424"/>
          <w:tab w:val="left" w:pos="1436"/>
        </w:tabs>
        <w:spacing w:before="244" w:line="230" w:lineRule="auto"/>
        <w:ind w:left="1436" w:right="867" w:hanging="733"/>
        <w:rPr>
          <w:color w:val="221F1F"/>
        </w:rPr>
      </w:pPr>
      <w:r>
        <w:rPr>
          <w:color w:val="221F1F"/>
        </w:rPr>
        <w:t>The</w:t>
      </w:r>
      <w:r>
        <w:rPr>
          <w:color w:val="221F1F"/>
          <w:spacing w:val="-2"/>
        </w:rPr>
        <w:t xml:space="preserve"> </w:t>
      </w:r>
      <w:r>
        <w:rPr>
          <w:color w:val="221F1F"/>
        </w:rPr>
        <w:t>Contractor's</w:t>
      </w:r>
      <w:r>
        <w:rPr>
          <w:color w:val="221F1F"/>
          <w:spacing w:val="-1"/>
        </w:rPr>
        <w:t xml:space="preserve"> </w:t>
      </w:r>
      <w:r>
        <w:rPr>
          <w:color w:val="221F1F"/>
        </w:rPr>
        <w:t>election</w:t>
      </w:r>
      <w:r>
        <w:rPr>
          <w:color w:val="221F1F"/>
          <w:spacing w:val="-3"/>
        </w:rPr>
        <w:t xml:space="preserve"> </w:t>
      </w:r>
      <w:r>
        <w:rPr>
          <w:color w:val="221F1F"/>
        </w:rPr>
        <w:t>to</w:t>
      </w:r>
      <w:r>
        <w:rPr>
          <w:color w:val="221F1F"/>
          <w:spacing w:val="-5"/>
        </w:rPr>
        <w:t xml:space="preserve"> </w:t>
      </w:r>
      <w:r>
        <w:rPr>
          <w:color w:val="221F1F"/>
        </w:rPr>
        <w:t>terminate</w:t>
      </w:r>
      <w:r>
        <w:rPr>
          <w:color w:val="221F1F"/>
          <w:spacing w:val="-4"/>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shall</w:t>
      </w:r>
      <w:r>
        <w:rPr>
          <w:color w:val="221F1F"/>
          <w:spacing w:val="-1"/>
        </w:rPr>
        <w:t xml:space="preserve"> </w:t>
      </w:r>
      <w:r>
        <w:rPr>
          <w:color w:val="221F1F"/>
        </w:rPr>
        <w:t>not</w:t>
      </w:r>
      <w:r>
        <w:rPr>
          <w:color w:val="221F1F"/>
          <w:spacing w:val="-4"/>
        </w:rPr>
        <w:t xml:space="preserve"> </w:t>
      </w:r>
      <w:r>
        <w:rPr>
          <w:color w:val="221F1F"/>
        </w:rPr>
        <w:t>prejudice</w:t>
      </w:r>
      <w:r>
        <w:rPr>
          <w:color w:val="221F1F"/>
          <w:spacing w:val="-1"/>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rights</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Contractor, under the Contractor otherwise.</w:t>
      </w:r>
    </w:p>
    <w:p w:rsidR="007F6DF9" w:rsidRDefault="00A43FBC">
      <w:pPr>
        <w:pStyle w:val="Heading9"/>
        <w:numPr>
          <w:ilvl w:val="1"/>
          <w:numId w:val="122"/>
        </w:numPr>
        <w:tabs>
          <w:tab w:val="left" w:pos="1424"/>
        </w:tabs>
        <w:spacing w:before="236"/>
        <w:ind w:left="1424" w:hanging="721"/>
        <w:rPr>
          <w:color w:val="221F1F"/>
        </w:rPr>
      </w:pPr>
      <w:r>
        <w:rPr>
          <w:color w:val="221F1F"/>
        </w:rPr>
        <w:t>Cessation</w:t>
      </w:r>
      <w:r>
        <w:rPr>
          <w:color w:val="221F1F"/>
          <w:spacing w:val="-7"/>
        </w:rPr>
        <w:t xml:space="preserve"> </w:t>
      </w:r>
      <w:r>
        <w:rPr>
          <w:color w:val="221F1F"/>
        </w:rPr>
        <w:t>of</w:t>
      </w:r>
      <w:r>
        <w:rPr>
          <w:color w:val="221F1F"/>
          <w:spacing w:val="-4"/>
        </w:rPr>
        <w:t xml:space="preserve"> </w:t>
      </w:r>
      <w:r>
        <w:rPr>
          <w:color w:val="221F1F"/>
        </w:rPr>
        <w:t>Work</w:t>
      </w:r>
      <w:r>
        <w:rPr>
          <w:color w:val="221F1F"/>
          <w:spacing w:val="-14"/>
        </w:rPr>
        <w:t xml:space="preserve"> </w:t>
      </w:r>
      <w:r>
        <w:rPr>
          <w:color w:val="221F1F"/>
        </w:rPr>
        <w:t>and</w:t>
      </w:r>
      <w:r>
        <w:rPr>
          <w:color w:val="221F1F"/>
          <w:spacing w:val="-5"/>
        </w:rPr>
        <w:t xml:space="preserve"> </w:t>
      </w:r>
      <w:r>
        <w:rPr>
          <w:color w:val="221F1F"/>
        </w:rPr>
        <w:t>Removal</w:t>
      </w:r>
      <w:r>
        <w:rPr>
          <w:color w:val="221F1F"/>
          <w:spacing w:val="-5"/>
        </w:rPr>
        <w:t xml:space="preserve"> </w:t>
      </w:r>
      <w:r>
        <w:rPr>
          <w:color w:val="221F1F"/>
        </w:rPr>
        <w:t>of</w:t>
      </w:r>
      <w:r>
        <w:rPr>
          <w:color w:val="221F1F"/>
          <w:spacing w:val="-4"/>
        </w:rPr>
        <w:t xml:space="preserve"> </w:t>
      </w:r>
      <w:r>
        <w:rPr>
          <w:color w:val="221F1F"/>
        </w:rPr>
        <w:t>Contractor's</w:t>
      </w:r>
      <w:r>
        <w:rPr>
          <w:color w:val="221F1F"/>
          <w:spacing w:val="-6"/>
        </w:rPr>
        <w:t xml:space="preserve"> </w:t>
      </w:r>
      <w:r>
        <w:rPr>
          <w:color w:val="221F1F"/>
          <w:spacing w:val="-2"/>
        </w:rPr>
        <w:t>Equipment</w:t>
      </w:r>
    </w:p>
    <w:p w:rsidR="007F6DF9" w:rsidRDefault="00A43FBC">
      <w:pPr>
        <w:pStyle w:val="BodyText"/>
        <w:spacing w:before="242" w:line="230" w:lineRule="auto"/>
        <w:ind w:left="1436" w:right="560" w:hanging="12"/>
        <w:jc w:val="both"/>
      </w:pPr>
      <w:r>
        <w:rPr>
          <w:color w:val="221F1F"/>
        </w:rPr>
        <w:t>After a notice of termination under Sub-Clause 15.5 [Procuring Entity's Entitlement to Termination for Convenience], Sub-Clause 16.2 [Termination by Contractor] or Sub-Clause 19.6 [Optional Termination, Payment and Release] has taken effect, the Contractor shall promptly:</w:t>
      </w:r>
    </w:p>
    <w:p w:rsidR="007F6DF9" w:rsidRDefault="00A43FBC">
      <w:pPr>
        <w:pStyle w:val="ListParagraph"/>
        <w:numPr>
          <w:ilvl w:val="0"/>
          <w:numId w:val="89"/>
        </w:numPr>
        <w:tabs>
          <w:tab w:val="left" w:pos="1868"/>
          <w:tab w:val="left" w:pos="1873"/>
        </w:tabs>
        <w:spacing w:before="1" w:line="230" w:lineRule="auto"/>
        <w:ind w:right="562" w:hanging="449"/>
      </w:pPr>
      <w:r>
        <w:rPr>
          <w:color w:val="221F1F"/>
        </w:rPr>
        <w:t>cease</w:t>
      </w:r>
      <w:r>
        <w:rPr>
          <w:color w:val="221F1F"/>
          <w:spacing w:val="29"/>
        </w:rPr>
        <w:t xml:space="preserve"> </w:t>
      </w:r>
      <w:r>
        <w:rPr>
          <w:color w:val="221F1F"/>
        </w:rPr>
        <w:t>all</w:t>
      </w:r>
      <w:r>
        <w:rPr>
          <w:color w:val="221F1F"/>
          <w:spacing w:val="30"/>
        </w:rPr>
        <w:t xml:space="preserve"> </w:t>
      </w:r>
      <w:r>
        <w:rPr>
          <w:color w:val="221F1F"/>
        </w:rPr>
        <w:t>further</w:t>
      </w:r>
      <w:r>
        <w:rPr>
          <w:color w:val="221F1F"/>
          <w:spacing w:val="30"/>
        </w:rPr>
        <w:t xml:space="preserve"> </w:t>
      </w:r>
      <w:r>
        <w:rPr>
          <w:color w:val="221F1F"/>
        </w:rPr>
        <w:t>work,</w:t>
      </w:r>
      <w:r>
        <w:rPr>
          <w:color w:val="221F1F"/>
          <w:spacing w:val="29"/>
        </w:rPr>
        <w:t xml:space="preserve"> </w:t>
      </w:r>
      <w:r>
        <w:rPr>
          <w:color w:val="221F1F"/>
        </w:rPr>
        <w:t>except</w:t>
      </w:r>
      <w:r>
        <w:rPr>
          <w:color w:val="221F1F"/>
          <w:spacing w:val="30"/>
        </w:rPr>
        <w:t xml:space="preserve"> </w:t>
      </w:r>
      <w:r>
        <w:rPr>
          <w:color w:val="221F1F"/>
        </w:rPr>
        <w:t>for</w:t>
      </w:r>
      <w:r>
        <w:rPr>
          <w:color w:val="221F1F"/>
          <w:spacing w:val="29"/>
        </w:rPr>
        <w:t xml:space="preserve"> </w:t>
      </w:r>
      <w:r>
        <w:rPr>
          <w:color w:val="221F1F"/>
        </w:rPr>
        <w:t>such</w:t>
      </w:r>
      <w:r>
        <w:rPr>
          <w:color w:val="221F1F"/>
          <w:spacing w:val="29"/>
        </w:rPr>
        <w:t xml:space="preserve"> </w:t>
      </w:r>
      <w:r>
        <w:rPr>
          <w:color w:val="221F1F"/>
        </w:rPr>
        <w:t>work</w:t>
      </w:r>
      <w:r>
        <w:rPr>
          <w:color w:val="221F1F"/>
          <w:spacing w:val="29"/>
        </w:rPr>
        <w:t xml:space="preserve"> </w:t>
      </w:r>
      <w:r>
        <w:rPr>
          <w:color w:val="221F1F"/>
        </w:rPr>
        <w:t>as</w:t>
      </w:r>
      <w:r>
        <w:rPr>
          <w:color w:val="221F1F"/>
          <w:spacing w:val="29"/>
        </w:rPr>
        <w:t xml:space="preserve"> </w:t>
      </w:r>
      <w:r>
        <w:rPr>
          <w:color w:val="221F1F"/>
        </w:rPr>
        <w:t>may</w:t>
      </w:r>
      <w:r>
        <w:rPr>
          <w:color w:val="221F1F"/>
          <w:spacing w:val="27"/>
        </w:rPr>
        <w:t xml:space="preserve"> </w:t>
      </w:r>
      <w:r>
        <w:rPr>
          <w:color w:val="221F1F"/>
        </w:rPr>
        <w:t>have</w:t>
      </w:r>
      <w:r>
        <w:rPr>
          <w:color w:val="221F1F"/>
          <w:spacing w:val="29"/>
        </w:rPr>
        <w:t xml:space="preserve"> </w:t>
      </w:r>
      <w:r>
        <w:rPr>
          <w:color w:val="221F1F"/>
        </w:rPr>
        <w:t>been</w:t>
      </w:r>
      <w:r>
        <w:rPr>
          <w:color w:val="221F1F"/>
          <w:spacing w:val="29"/>
        </w:rPr>
        <w:t xml:space="preserve"> </w:t>
      </w:r>
      <w:r>
        <w:rPr>
          <w:color w:val="221F1F"/>
        </w:rPr>
        <w:t>instructed</w:t>
      </w:r>
      <w:r>
        <w:rPr>
          <w:color w:val="221F1F"/>
          <w:spacing w:val="29"/>
        </w:rPr>
        <w:t xml:space="preserve"> </w:t>
      </w:r>
      <w:r>
        <w:rPr>
          <w:color w:val="221F1F"/>
        </w:rPr>
        <w:t>by</w:t>
      </w:r>
      <w:r>
        <w:rPr>
          <w:color w:val="221F1F"/>
          <w:spacing w:val="26"/>
        </w:rPr>
        <w:t xml:space="preserve"> </w:t>
      </w:r>
      <w:r>
        <w:rPr>
          <w:color w:val="221F1F"/>
        </w:rPr>
        <w:t>the</w:t>
      </w:r>
      <w:r>
        <w:rPr>
          <w:color w:val="221F1F"/>
          <w:spacing w:val="38"/>
        </w:rPr>
        <w:t xml:space="preserve"> </w:t>
      </w:r>
      <w:r>
        <w:rPr>
          <w:color w:val="221F1F"/>
        </w:rPr>
        <w:t>Architect</w:t>
      </w:r>
      <w:r>
        <w:rPr>
          <w:color w:val="221F1F"/>
          <w:spacing w:val="27"/>
        </w:rPr>
        <w:t xml:space="preserve"> </w:t>
      </w:r>
      <w:r>
        <w:rPr>
          <w:color w:val="221F1F"/>
        </w:rPr>
        <w:t>for</w:t>
      </w:r>
      <w:r>
        <w:rPr>
          <w:color w:val="221F1F"/>
          <w:spacing w:val="27"/>
        </w:rPr>
        <w:t xml:space="preserve"> </w:t>
      </w:r>
      <w:r>
        <w:rPr>
          <w:color w:val="221F1F"/>
        </w:rPr>
        <w:t>the protection of life or property or for the safety of the Works,</w:t>
      </w:r>
    </w:p>
    <w:p w:rsidR="007F6DF9" w:rsidRDefault="00A43FBC">
      <w:pPr>
        <w:pStyle w:val="ListParagraph"/>
        <w:numPr>
          <w:ilvl w:val="0"/>
          <w:numId w:val="89"/>
        </w:numPr>
        <w:tabs>
          <w:tab w:val="left" w:pos="1868"/>
          <w:tab w:val="left" w:pos="1873"/>
        </w:tabs>
        <w:spacing w:before="2" w:line="230" w:lineRule="auto"/>
        <w:ind w:right="567" w:hanging="449"/>
      </w:pPr>
      <w:r>
        <w:rPr>
          <w:color w:val="221F1F"/>
        </w:rPr>
        <w:t>hand</w:t>
      </w:r>
      <w:r>
        <w:rPr>
          <w:color w:val="221F1F"/>
          <w:spacing w:val="34"/>
        </w:rPr>
        <w:t xml:space="preserve"> </w:t>
      </w:r>
      <w:r>
        <w:rPr>
          <w:color w:val="221F1F"/>
        </w:rPr>
        <w:t>over</w:t>
      </w:r>
      <w:r>
        <w:rPr>
          <w:color w:val="221F1F"/>
          <w:spacing w:val="35"/>
        </w:rPr>
        <w:t xml:space="preserve"> </w:t>
      </w:r>
      <w:r>
        <w:rPr>
          <w:color w:val="221F1F"/>
        </w:rPr>
        <w:t>Contractor's</w:t>
      </w:r>
      <w:r>
        <w:rPr>
          <w:color w:val="221F1F"/>
          <w:spacing w:val="36"/>
        </w:rPr>
        <w:t xml:space="preserve"> </w:t>
      </w:r>
      <w:r>
        <w:rPr>
          <w:color w:val="221F1F"/>
        </w:rPr>
        <w:t>Documents,</w:t>
      </w:r>
      <w:r>
        <w:rPr>
          <w:color w:val="221F1F"/>
          <w:spacing w:val="36"/>
        </w:rPr>
        <w:t xml:space="preserve"> </w:t>
      </w:r>
      <w:r>
        <w:rPr>
          <w:color w:val="221F1F"/>
        </w:rPr>
        <w:t>Plant,</w:t>
      </w:r>
      <w:r>
        <w:rPr>
          <w:color w:val="221F1F"/>
          <w:spacing w:val="33"/>
        </w:rPr>
        <w:t xml:space="preserve"> </w:t>
      </w:r>
      <w:r>
        <w:rPr>
          <w:color w:val="221F1F"/>
        </w:rPr>
        <w:t>Materials</w:t>
      </w:r>
      <w:r>
        <w:rPr>
          <w:color w:val="221F1F"/>
          <w:spacing w:val="31"/>
        </w:rPr>
        <w:t xml:space="preserve"> </w:t>
      </w:r>
      <w:r>
        <w:rPr>
          <w:color w:val="221F1F"/>
        </w:rPr>
        <w:t>and</w:t>
      </w:r>
      <w:r>
        <w:rPr>
          <w:color w:val="221F1F"/>
          <w:spacing w:val="36"/>
        </w:rPr>
        <w:t xml:space="preserve"> </w:t>
      </w:r>
      <w:r>
        <w:rPr>
          <w:color w:val="221F1F"/>
        </w:rPr>
        <w:t>other</w:t>
      </w:r>
      <w:r>
        <w:rPr>
          <w:color w:val="221F1F"/>
          <w:spacing w:val="36"/>
        </w:rPr>
        <w:t xml:space="preserve"> </w:t>
      </w:r>
      <w:r>
        <w:rPr>
          <w:color w:val="221F1F"/>
        </w:rPr>
        <w:t>work,</w:t>
      </w:r>
      <w:r>
        <w:rPr>
          <w:color w:val="221F1F"/>
          <w:spacing w:val="33"/>
        </w:rPr>
        <w:t xml:space="preserve"> </w:t>
      </w:r>
      <w:r>
        <w:rPr>
          <w:color w:val="221F1F"/>
        </w:rPr>
        <w:t>for</w:t>
      </w:r>
      <w:r>
        <w:rPr>
          <w:color w:val="221F1F"/>
          <w:spacing w:val="36"/>
        </w:rPr>
        <w:t xml:space="preserve"> </w:t>
      </w:r>
      <w:r>
        <w:rPr>
          <w:color w:val="221F1F"/>
        </w:rPr>
        <w:t>which</w:t>
      </w:r>
      <w:r>
        <w:rPr>
          <w:color w:val="221F1F"/>
          <w:spacing w:val="34"/>
        </w:rPr>
        <w:t xml:space="preserve"> </w:t>
      </w:r>
      <w:r>
        <w:rPr>
          <w:color w:val="221F1F"/>
        </w:rPr>
        <w:t>the</w:t>
      </w:r>
      <w:r>
        <w:rPr>
          <w:color w:val="221F1F"/>
          <w:spacing w:val="36"/>
        </w:rPr>
        <w:t xml:space="preserve"> </w:t>
      </w:r>
      <w:r>
        <w:rPr>
          <w:color w:val="221F1F"/>
        </w:rPr>
        <w:t>Contractor</w:t>
      </w:r>
      <w:r>
        <w:rPr>
          <w:color w:val="221F1F"/>
          <w:spacing w:val="34"/>
        </w:rPr>
        <w:t xml:space="preserve"> </w:t>
      </w:r>
      <w:r>
        <w:rPr>
          <w:color w:val="221F1F"/>
        </w:rPr>
        <w:t>has received payment, and</w:t>
      </w:r>
    </w:p>
    <w:p w:rsidR="007F6DF9" w:rsidRDefault="00A43FBC">
      <w:pPr>
        <w:pStyle w:val="ListParagraph"/>
        <w:numPr>
          <w:ilvl w:val="0"/>
          <w:numId w:val="89"/>
        </w:numPr>
        <w:tabs>
          <w:tab w:val="left" w:pos="1868"/>
        </w:tabs>
        <w:spacing w:line="244" w:lineRule="exact"/>
        <w:ind w:left="1868"/>
      </w:pPr>
      <w:r>
        <w:rPr>
          <w:color w:val="221F1F"/>
        </w:rPr>
        <w:t>remove</w:t>
      </w:r>
      <w:r>
        <w:rPr>
          <w:color w:val="221F1F"/>
          <w:spacing w:val="-8"/>
        </w:rPr>
        <w:t xml:space="preserve"> </w:t>
      </w:r>
      <w:r>
        <w:rPr>
          <w:color w:val="221F1F"/>
        </w:rPr>
        <w:t>all</w:t>
      </w:r>
      <w:r>
        <w:rPr>
          <w:color w:val="221F1F"/>
          <w:spacing w:val="-2"/>
        </w:rPr>
        <w:t xml:space="preserve"> </w:t>
      </w:r>
      <w:r>
        <w:rPr>
          <w:color w:val="221F1F"/>
        </w:rPr>
        <w:t>other</w:t>
      </w:r>
      <w:r>
        <w:rPr>
          <w:color w:val="221F1F"/>
          <w:spacing w:val="-3"/>
        </w:rPr>
        <w:t xml:space="preserve"> </w:t>
      </w:r>
      <w:r>
        <w:rPr>
          <w:color w:val="221F1F"/>
        </w:rPr>
        <w:t>Goods</w:t>
      </w:r>
      <w:r>
        <w:rPr>
          <w:color w:val="221F1F"/>
          <w:spacing w:val="-5"/>
        </w:rPr>
        <w:t xml:space="preserve"> </w:t>
      </w:r>
      <w:r>
        <w:rPr>
          <w:color w:val="221F1F"/>
        </w:rPr>
        <w:t>from</w:t>
      </w:r>
      <w:r>
        <w:rPr>
          <w:color w:val="221F1F"/>
          <w:spacing w:val="-3"/>
        </w:rPr>
        <w:t xml:space="preserve"> </w:t>
      </w:r>
      <w:r>
        <w:rPr>
          <w:color w:val="221F1F"/>
        </w:rPr>
        <w:t>the</w:t>
      </w:r>
      <w:r>
        <w:rPr>
          <w:color w:val="221F1F"/>
          <w:spacing w:val="-4"/>
        </w:rPr>
        <w:t xml:space="preserve"> </w:t>
      </w:r>
      <w:r>
        <w:rPr>
          <w:color w:val="221F1F"/>
        </w:rPr>
        <w:t>Site,</w:t>
      </w:r>
      <w:r>
        <w:rPr>
          <w:color w:val="221F1F"/>
          <w:spacing w:val="-5"/>
        </w:rPr>
        <w:t xml:space="preserve"> </w:t>
      </w:r>
      <w:r>
        <w:rPr>
          <w:color w:val="221F1F"/>
        </w:rPr>
        <w:t>except</w:t>
      </w:r>
      <w:r>
        <w:rPr>
          <w:color w:val="221F1F"/>
          <w:spacing w:val="-4"/>
        </w:rPr>
        <w:t xml:space="preserve"> </w:t>
      </w:r>
      <w:r>
        <w:rPr>
          <w:color w:val="221F1F"/>
        </w:rPr>
        <w:t>as</w:t>
      </w:r>
      <w:r>
        <w:rPr>
          <w:color w:val="221F1F"/>
          <w:spacing w:val="-3"/>
        </w:rPr>
        <w:t xml:space="preserve"> </w:t>
      </w:r>
      <w:r>
        <w:rPr>
          <w:color w:val="221F1F"/>
        </w:rPr>
        <w:t>necessary</w:t>
      </w:r>
      <w:r>
        <w:rPr>
          <w:color w:val="221F1F"/>
          <w:spacing w:val="-4"/>
        </w:rPr>
        <w:t xml:space="preserve"> </w:t>
      </w:r>
      <w:r>
        <w:rPr>
          <w:color w:val="221F1F"/>
        </w:rPr>
        <w:t>for</w:t>
      </w:r>
      <w:r>
        <w:rPr>
          <w:color w:val="221F1F"/>
          <w:spacing w:val="-5"/>
        </w:rPr>
        <w:t xml:space="preserve"> </w:t>
      </w:r>
      <w:r>
        <w:rPr>
          <w:color w:val="221F1F"/>
        </w:rPr>
        <w:t>safety,</w:t>
      </w:r>
      <w:r>
        <w:rPr>
          <w:color w:val="221F1F"/>
          <w:spacing w:val="-10"/>
        </w:rPr>
        <w:t xml:space="preserve"> </w:t>
      </w:r>
      <w:r>
        <w:rPr>
          <w:color w:val="221F1F"/>
        </w:rPr>
        <w:t>and</w:t>
      </w:r>
      <w:r>
        <w:rPr>
          <w:color w:val="221F1F"/>
          <w:spacing w:val="-5"/>
        </w:rPr>
        <w:t xml:space="preserve"> </w:t>
      </w:r>
      <w:r>
        <w:rPr>
          <w:color w:val="221F1F"/>
        </w:rPr>
        <w:t>leave</w:t>
      </w:r>
      <w:r>
        <w:rPr>
          <w:color w:val="221F1F"/>
          <w:spacing w:val="-3"/>
        </w:rPr>
        <w:t xml:space="preserve"> </w:t>
      </w:r>
      <w:r>
        <w:rPr>
          <w:color w:val="221F1F"/>
        </w:rPr>
        <w:t>the</w:t>
      </w:r>
      <w:r>
        <w:rPr>
          <w:color w:val="221F1F"/>
          <w:spacing w:val="-5"/>
        </w:rPr>
        <w:t xml:space="preserve"> </w:t>
      </w:r>
      <w:r>
        <w:rPr>
          <w:color w:val="221F1F"/>
          <w:spacing w:val="-2"/>
        </w:rPr>
        <w:t>Site.</w:t>
      </w:r>
    </w:p>
    <w:p w:rsidR="007F6DF9" w:rsidRDefault="00A43FBC">
      <w:pPr>
        <w:pStyle w:val="Heading9"/>
        <w:numPr>
          <w:ilvl w:val="1"/>
          <w:numId w:val="122"/>
        </w:numPr>
        <w:tabs>
          <w:tab w:val="left" w:pos="1424"/>
        </w:tabs>
        <w:spacing w:before="234"/>
        <w:ind w:left="1424" w:hanging="721"/>
        <w:rPr>
          <w:color w:val="221F1F"/>
        </w:rPr>
      </w:pPr>
      <w:proofErr w:type="spellStart"/>
      <w:r>
        <w:rPr>
          <w:color w:val="221F1F"/>
          <w:spacing w:val="-2"/>
        </w:rPr>
        <w:t>PaymentonTermination</w:t>
      </w:r>
      <w:proofErr w:type="spellEnd"/>
    </w:p>
    <w:p w:rsidR="007F6DF9" w:rsidRDefault="00A43FBC">
      <w:pPr>
        <w:pStyle w:val="BodyText"/>
        <w:spacing w:before="241" w:line="232" w:lineRule="auto"/>
        <w:ind w:left="1429" w:right="332" w:hanging="5"/>
      </w:pPr>
      <w:r>
        <w:rPr>
          <w:color w:val="221F1F"/>
        </w:rPr>
        <w:t>After</w:t>
      </w:r>
      <w:r>
        <w:rPr>
          <w:color w:val="221F1F"/>
          <w:spacing w:val="-2"/>
        </w:rPr>
        <w:t xml:space="preserve"> </w:t>
      </w:r>
      <w:r>
        <w:rPr>
          <w:color w:val="221F1F"/>
        </w:rPr>
        <w:t>a</w:t>
      </w:r>
      <w:r>
        <w:rPr>
          <w:color w:val="221F1F"/>
          <w:spacing w:val="-2"/>
        </w:rPr>
        <w:t xml:space="preserve"> </w:t>
      </w:r>
      <w:r>
        <w:rPr>
          <w:color w:val="221F1F"/>
        </w:rPr>
        <w:t>notice</w:t>
      </w:r>
      <w:r>
        <w:rPr>
          <w:color w:val="221F1F"/>
          <w:spacing w:val="-2"/>
        </w:rPr>
        <w:t xml:space="preserve"> </w:t>
      </w:r>
      <w:r>
        <w:rPr>
          <w:color w:val="221F1F"/>
        </w:rPr>
        <w:t>of</w:t>
      </w:r>
      <w:r>
        <w:rPr>
          <w:color w:val="221F1F"/>
          <w:spacing w:val="-2"/>
        </w:rPr>
        <w:t xml:space="preserve"> </w:t>
      </w:r>
      <w:r>
        <w:rPr>
          <w:color w:val="221F1F"/>
        </w:rPr>
        <w:t>termination</w:t>
      </w:r>
      <w:r>
        <w:rPr>
          <w:color w:val="221F1F"/>
          <w:spacing w:val="-2"/>
        </w:rPr>
        <w:t xml:space="preserve"> </w:t>
      </w:r>
      <w:r>
        <w:rPr>
          <w:color w:val="221F1F"/>
        </w:rPr>
        <w:t>under</w:t>
      </w:r>
      <w:r>
        <w:rPr>
          <w:color w:val="221F1F"/>
          <w:spacing w:val="-2"/>
        </w:rPr>
        <w:t xml:space="preserve"> </w:t>
      </w:r>
      <w:r>
        <w:rPr>
          <w:color w:val="221F1F"/>
        </w:rPr>
        <w:t>Sub-Clause</w:t>
      </w:r>
      <w:r>
        <w:rPr>
          <w:color w:val="221F1F"/>
          <w:spacing w:val="-2"/>
        </w:rPr>
        <w:t xml:space="preserve"> </w:t>
      </w:r>
      <w:r>
        <w:rPr>
          <w:color w:val="221F1F"/>
        </w:rPr>
        <w:t>16.2</w:t>
      </w:r>
      <w:r>
        <w:rPr>
          <w:color w:val="221F1F"/>
          <w:spacing w:val="-2"/>
        </w:rPr>
        <w:t xml:space="preserve"> </w:t>
      </w:r>
      <w:r>
        <w:rPr>
          <w:color w:val="221F1F"/>
        </w:rPr>
        <w:t>[Termination</w:t>
      </w:r>
      <w:r>
        <w:rPr>
          <w:color w:val="221F1F"/>
          <w:spacing w:val="-2"/>
        </w:rPr>
        <w:t xml:space="preserve"> </w:t>
      </w:r>
      <w:r>
        <w:rPr>
          <w:color w:val="221F1F"/>
        </w:rPr>
        <w:t>by</w:t>
      </w:r>
      <w:r>
        <w:rPr>
          <w:color w:val="221F1F"/>
          <w:spacing w:val="-2"/>
        </w:rPr>
        <w:t xml:space="preserve"> </w:t>
      </w:r>
      <w:r>
        <w:rPr>
          <w:color w:val="221F1F"/>
        </w:rPr>
        <w:t>Contractor]</w:t>
      </w:r>
      <w:r>
        <w:rPr>
          <w:color w:val="221F1F"/>
          <w:spacing w:val="-4"/>
        </w:rPr>
        <w:t xml:space="preserve"> </w:t>
      </w:r>
      <w:r>
        <w:rPr>
          <w:color w:val="221F1F"/>
        </w:rPr>
        <w:t>has</w:t>
      </w:r>
      <w:r>
        <w:rPr>
          <w:color w:val="221F1F"/>
          <w:spacing w:val="-2"/>
        </w:rPr>
        <w:t xml:space="preserve"> </w:t>
      </w:r>
      <w:r>
        <w:rPr>
          <w:color w:val="221F1F"/>
        </w:rPr>
        <w:t>taken</w:t>
      </w:r>
      <w:r>
        <w:rPr>
          <w:color w:val="221F1F"/>
          <w:spacing w:val="-5"/>
        </w:rPr>
        <w:t xml:space="preserve"> </w:t>
      </w:r>
      <w:r>
        <w:rPr>
          <w:color w:val="221F1F"/>
        </w:rPr>
        <w:t>effect,</w:t>
      </w:r>
      <w:r>
        <w:rPr>
          <w:color w:val="221F1F"/>
          <w:spacing w:val="-5"/>
        </w:rPr>
        <w:t xml:space="preserve"> </w:t>
      </w:r>
      <w:r>
        <w:rPr>
          <w:color w:val="221F1F"/>
        </w:rPr>
        <w:t>the Procuring Entity shall promptly:</w:t>
      </w:r>
    </w:p>
    <w:p w:rsidR="007F6DF9" w:rsidRDefault="00A43FBC">
      <w:pPr>
        <w:pStyle w:val="ListParagraph"/>
        <w:numPr>
          <w:ilvl w:val="0"/>
          <w:numId w:val="88"/>
        </w:numPr>
        <w:tabs>
          <w:tab w:val="left" w:pos="1868"/>
        </w:tabs>
        <w:spacing w:before="38"/>
      </w:pPr>
      <w:r>
        <w:rPr>
          <w:color w:val="221F1F"/>
        </w:rPr>
        <w:t>Return</w:t>
      </w:r>
      <w:r>
        <w:rPr>
          <w:color w:val="221F1F"/>
          <w:spacing w:val="-5"/>
        </w:rPr>
        <w:t xml:space="preserve"> </w:t>
      </w:r>
      <w:r>
        <w:rPr>
          <w:color w:val="221F1F"/>
        </w:rPr>
        <w:t>the</w:t>
      </w:r>
      <w:r>
        <w:rPr>
          <w:color w:val="221F1F"/>
          <w:spacing w:val="-2"/>
        </w:rPr>
        <w:t xml:space="preserve"> </w:t>
      </w:r>
      <w:r>
        <w:rPr>
          <w:color w:val="221F1F"/>
        </w:rPr>
        <w:t>Performance</w:t>
      </w:r>
      <w:r>
        <w:rPr>
          <w:color w:val="221F1F"/>
          <w:spacing w:val="-1"/>
        </w:rPr>
        <w:t xml:space="preserve"> </w:t>
      </w:r>
      <w:r>
        <w:rPr>
          <w:color w:val="221F1F"/>
        </w:rPr>
        <w:t>Security</w:t>
      </w:r>
      <w:r>
        <w:rPr>
          <w:color w:val="221F1F"/>
          <w:spacing w:val="-5"/>
        </w:rPr>
        <w:t xml:space="preserve"> </w:t>
      </w:r>
      <w:r>
        <w:rPr>
          <w:color w:val="221F1F"/>
        </w:rPr>
        <w:t>to</w:t>
      </w:r>
      <w:r>
        <w:rPr>
          <w:color w:val="221F1F"/>
          <w:spacing w:val="-5"/>
        </w:rPr>
        <w:t xml:space="preserve"> </w:t>
      </w:r>
      <w:r>
        <w:rPr>
          <w:color w:val="221F1F"/>
        </w:rPr>
        <w:t>the</w:t>
      </w:r>
      <w:r>
        <w:rPr>
          <w:color w:val="221F1F"/>
          <w:spacing w:val="-2"/>
        </w:rPr>
        <w:t xml:space="preserve"> Contractor,</w:t>
      </w:r>
    </w:p>
    <w:p w:rsidR="007F6DF9" w:rsidRDefault="00A43FBC">
      <w:pPr>
        <w:pStyle w:val="ListParagraph"/>
        <w:numPr>
          <w:ilvl w:val="0"/>
          <w:numId w:val="88"/>
        </w:numPr>
        <w:tabs>
          <w:tab w:val="left" w:pos="1868"/>
          <w:tab w:val="left" w:pos="1873"/>
        </w:tabs>
        <w:spacing w:before="46" w:line="232" w:lineRule="auto"/>
        <w:ind w:left="1873" w:right="562" w:hanging="449"/>
      </w:pPr>
      <w:r>
        <w:rPr>
          <w:color w:val="221F1F"/>
        </w:rPr>
        <w:t>pay the Contractor in</w:t>
      </w:r>
      <w:r>
        <w:rPr>
          <w:color w:val="221F1F"/>
          <w:spacing w:val="-3"/>
        </w:rPr>
        <w:t xml:space="preserve"> </w:t>
      </w:r>
      <w:r>
        <w:rPr>
          <w:color w:val="221F1F"/>
        </w:rPr>
        <w:t>accordance with Sub-Clause 19.6 [Optional Termination, Payment</w:t>
      </w:r>
      <w:r>
        <w:rPr>
          <w:color w:val="221F1F"/>
          <w:spacing w:val="-1"/>
        </w:rPr>
        <w:t xml:space="preserve"> </w:t>
      </w:r>
      <w:r>
        <w:rPr>
          <w:color w:val="221F1F"/>
        </w:rPr>
        <w:t xml:space="preserve">and Release], </w:t>
      </w:r>
      <w:r>
        <w:rPr>
          <w:color w:val="221F1F"/>
          <w:spacing w:val="-4"/>
        </w:rPr>
        <w:t>and</w:t>
      </w:r>
    </w:p>
    <w:p w:rsidR="007F6DF9" w:rsidRDefault="00A43FBC">
      <w:pPr>
        <w:pStyle w:val="ListParagraph"/>
        <w:numPr>
          <w:ilvl w:val="0"/>
          <w:numId w:val="88"/>
        </w:numPr>
        <w:tabs>
          <w:tab w:val="left" w:pos="1868"/>
          <w:tab w:val="left" w:pos="1873"/>
        </w:tabs>
        <w:spacing w:before="46" w:line="230" w:lineRule="auto"/>
        <w:ind w:left="1873" w:right="568" w:hanging="449"/>
      </w:pPr>
      <w:r>
        <w:rPr>
          <w:color w:val="221F1F"/>
        </w:rPr>
        <w:t xml:space="preserve">pay to the Contractor the amount of any loss or damage sustained by the Contractor as a result of this </w:t>
      </w:r>
      <w:r>
        <w:rPr>
          <w:color w:val="221F1F"/>
          <w:spacing w:val="-2"/>
        </w:rPr>
        <w:t>termination.</w:t>
      </w:r>
    </w:p>
    <w:p w:rsidR="007F6DF9" w:rsidRDefault="007F6DF9">
      <w:pPr>
        <w:pStyle w:val="BodyText"/>
        <w:spacing w:before="226"/>
      </w:pPr>
    </w:p>
    <w:p w:rsidR="007F6DF9" w:rsidRDefault="00A43FBC">
      <w:pPr>
        <w:pStyle w:val="Heading8"/>
        <w:numPr>
          <w:ilvl w:val="0"/>
          <w:numId w:val="122"/>
        </w:numPr>
        <w:tabs>
          <w:tab w:val="left" w:pos="1431"/>
        </w:tabs>
        <w:ind w:left="1431" w:hanging="720"/>
      </w:pPr>
      <w:bookmarkStart w:id="69" w:name="_bookmark67"/>
      <w:bookmarkEnd w:id="69"/>
      <w:r>
        <w:rPr>
          <w:color w:val="221F1F"/>
        </w:rPr>
        <w:t>RISK</w:t>
      </w:r>
      <w:r>
        <w:rPr>
          <w:color w:val="221F1F"/>
          <w:spacing w:val="-3"/>
        </w:rPr>
        <w:t xml:space="preserve"> </w:t>
      </w:r>
      <w:r>
        <w:rPr>
          <w:color w:val="221F1F"/>
        </w:rPr>
        <w:t>AND</w:t>
      </w:r>
      <w:r>
        <w:rPr>
          <w:color w:val="221F1F"/>
          <w:spacing w:val="-3"/>
        </w:rPr>
        <w:t xml:space="preserve"> </w:t>
      </w:r>
      <w:r>
        <w:rPr>
          <w:color w:val="221F1F"/>
          <w:spacing w:val="-2"/>
        </w:rPr>
        <w:t>RESPONSIBILITY</w:t>
      </w:r>
    </w:p>
    <w:p w:rsidR="007F6DF9" w:rsidRDefault="00A43FBC">
      <w:pPr>
        <w:pStyle w:val="Heading9"/>
        <w:numPr>
          <w:ilvl w:val="1"/>
          <w:numId w:val="122"/>
        </w:numPr>
        <w:tabs>
          <w:tab w:val="left" w:pos="1431"/>
        </w:tabs>
        <w:spacing w:before="234"/>
        <w:ind w:left="1431" w:hanging="720"/>
        <w:rPr>
          <w:color w:val="221F1F"/>
        </w:rPr>
      </w:pPr>
      <w:r>
        <w:rPr>
          <w:color w:val="221F1F"/>
          <w:spacing w:val="-2"/>
        </w:rPr>
        <w:t>Indemnities</w:t>
      </w:r>
    </w:p>
    <w:p w:rsidR="007F6DF9" w:rsidRDefault="00A43FBC">
      <w:pPr>
        <w:pStyle w:val="ListParagraph"/>
        <w:numPr>
          <w:ilvl w:val="2"/>
          <w:numId w:val="122"/>
        </w:numPr>
        <w:tabs>
          <w:tab w:val="left" w:pos="1428"/>
          <w:tab w:val="left" w:pos="1441"/>
        </w:tabs>
        <w:spacing w:before="245" w:line="230" w:lineRule="auto"/>
        <w:ind w:left="1441" w:right="564" w:hanging="731"/>
        <w:jc w:val="both"/>
        <w:rPr>
          <w:color w:val="221F1F"/>
        </w:rPr>
      </w:pPr>
      <w:r>
        <w:rPr>
          <w:color w:val="221F1F"/>
        </w:rPr>
        <w:t>The</w:t>
      </w:r>
      <w:r>
        <w:rPr>
          <w:color w:val="221F1F"/>
          <w:spacing w:val="-14"/>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indemnify</w:t>
      </w:r>
      <w:r>
        <w:rPr>
          <w:color w:val="221F1F"/>
          <w:spacing w:val="-12"/>
        </w:rPr>
        <w:t xml:space="preserve"> </w:t>
      </w:r>
      <w:r>
        <w:rPr>
          <w:color w:val="221F1F"/>
        </w:rPr>
        <w:t>and</w:t>
      </w:r>
      <w:r>
        <w:rPr>
          <w:color w:val="221F1F"/>
          <w:spacing w:val="-13"/>
        </w:rPr>
        <w:t xml:space="preserve"> </w:t>
      </w:r>
      <w:r>
        <w:rPr>
          <w:color w:val="221F1F"/>
        </w:rPr>
        <w:t>hold</w:t>
      </w:r>
      <w:r>
        <w:rPr>
          <w:color w:val="221F1F"/>
          <w:spacing w:val="-13"/>
        </w:rPr>
        <w:t xml:space="preserve"> </w:t>
      </w:r>
      <w:r>
        <w:rPr>
          <w:color w:val="221F1F"/>
        </w:rPr>
        <w:t>harmless</w:t>
      </w:r>
      <w:r>
        <w:rPr>
          <w:color w:val="221F1F"/>
          <w:spacing w:val="-12"/>
        </w:rPr>
        <w:t xml:space="preserve"> </w:t>
      </w:r>
      <w:r>
        <w:rPr>
          <w:color w:val="221F1F"/>
        </w:rPr>
        <w:t>the</w:t>
      </w:r>
      <w:r>
        <w:rPr>
          <w:color w:val="221F1F"/>
          <w:spacing w:val="-14"/>
        </w:rPr>
        <w:t xml:space="preserve"> </w:t>
      </w:r>
      <w:r>
        <w:rPr>
          <w:color w:val="221F1F"/>
        </w:rPr>
        <w:t>Procuring</w:t>
      </w:r>
      <w:r>
        <w:rPr>
          <w:color w:val="221F1F"/>
          <w:spacing w:val="-11"/>
        </w:rPr>
        <w:t xml:space="preserve"> </w:t>
      </w:r>
      <w:r>
        <w:rPr>
          <w:color w:val="221F1F"/>
        </w:rPr>
        <w:t>Entity,</w:t>
      </w:r>
      <w:r>
        <w:rPr>
          <w:color w:val="221F1F"/>
          <w:spacing w:val="-14"/>
        </w:rPr>
        <w:t xml:space="preserve"> </w:t>
      </w:r>
      <w:r>
        <w:rPr>
          <w:color w:val="221F1F"/>
        </w:rPr>
        <w:t>the</w:t>
      </w:r>
      <w:r>
        <w:rPr>
          <w:color w:val="221F1F"/>
          <w:spacing w:val="-11"/>
        </w:rPr>
        <w:t xml:space="preserve"> </w:t>
      </w:r>
      <w:r>
        <w:rPr>
          <w:color w:val="221F1F"/>
        </w:rPr>
        <w:t>Procuring</w:t>
      </w:r>
      <w:r>
        <w:rPr>
          <w:color w:val="221F1F"/>
          <w:spacing w:val="-12"/>
        </w:rPr>
        <w:t xml:space="preserve"> </w:t>
      </w:r>
      <w:r>
        <w:rPr>
          <w:color w:val="221F1F"/>
        </w:rPr>
        <w:t>Entity's</w:t>
      </w:r>
      <w:r>
        <w:rPr>
          <w:color w:val="221F1F"/>
          <w:spacing w:val="-12"/>
        </w:rPr>
        <w:t xml:space="preserve"> </w:t>
      </w:r>
      <w:r>
        <w:rPr>
          <w:color w:val="221F1F"/>
        </w:rPr>
        <w:t>Personnel,</w:t>
      </w:r>
      <w:r>
        <w:rPr>
          <w:color w:val="221F1F"/>
          <w:spacing w:val="-12"/>
        </w:rPr>
        <w:t xml:space="preserve"> </w:t>
      </w:r>
      <w:r>
        <w:rPr>
          <w:color w:val="221F1F"/>
        </w:rPr>
        <w:t>and their respective agents, against and from all claims, damages, losses and expenses (including legal fees and expenses) in respect of:</w:t>
      </w:r>
    </w:p>
    <w:p w:rsidR="007F6DF9" w:rsidRDefault="00A43FBC">
      <w:pPr>
        <w:pStyle w:val="ListParagraph"/>
        <w:numPr>
          <w:ilvl w:val="0"/>
          <w:numId w:val="81"/>
        </w:numPr>
        <w:tabs>
          <w:tab w:val="left" w:pos="1876"/>
          <w:tab w:val="left" w:pos="1880"/>
        </w:tabs>
        <w:spacing w:before="49" w:line="230" w:lineRule="auto"/>
        <w:ind w:right="562" w:hanging="449"/>
        <w:jc w:val="both"/>
      </w:pPr>
      <w:r>
        <w:rPr>
          <w:color w:val="221F1F"/>
        </w:rPr>
        <w:t>Bodily</w:t>
      </w:r>
      <w:r>
        <w:rPr>
          <w:color w:val="221F1F"/>
          <w:spacing w:val="-7"/>
        </w:rPr>
        <w:t xml:space="preserve"> </w:t>
      </w:r>
      <w:r>
        <w:rPr>
          <w:color w:val="221F1F"/>
        </w:rPr>
        <w:t>injury,</w:t>
      </w:r>
      <w:r>
        <w:rPr>
          <w:color w:val="221F1F"/>
          <w:spacing w:val="-9"/>
        </w:rPr>
        <w:t xml:space="preserve"> </w:t>
      </w:r>
      <w:r>
        <w:rPr>
          <w:color w:val="221F1F"/>
        </w:rPr>
        <w:t>sickness,</w:t>
      </w:r>
      <w:r>
        <w:rPr>
          <w:color w:val="221F1F"/>
          <w:spacing w:val="-1"/>
        </w:rPr>
        <w:t xml:space="preserve"> </w:t>
      </w:r>
      <w:r>
        <w:rPr>
          <w:color w:val="221F1F"/>
        </w:rPr>
        <w:t>disease</w:t>
      </w:r>
      <w:r>
        <w:rPr>
          <w:color w:val="221F1F"/>
          <w:spacing w:val="-3"/>
        </w:rPr>
        <w:t xml:space="preserve"> </w:t>
      </w:r>
      <w:r>
        <w:rPr>
          <w:color w:val="221F1F"/>
        </w:rPr>
        <w:t>or</w:t>
      </w:r>
      <w:r>
        <w:rPr>
          <w:color w:val="221F1F"/>
          <w:spacing w:val="-4"/>
        </w:rPr>
        <w:t xml:space="preserve"> </w:t>
      </w:r>
      <w:r>
        <w:rPr>
          <w:color w:val="221F1F"/>
        </w:rPr>
        <w:t>death,</w:t>
      </w:r>
      <w:r>
        <w:rPr>
          <w:color w:val="221F1F"/>
          <w:spacing w:val="-4"/>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person</w:t>
      </w:r>
      <w:r>
        <w:rPr>
          <w:color w:val="221F1F"/>
          <w:spacing w:val="-4"/>
        </w:rPr>
        <w:t xml:space="preserve"> </w:t>
      </w:r>
      <w:r>
        <w:rPr>
          <w:color w:val="221F1F"/>
        </w:rPr>
        <w:t>what</w:t>
      </w:r>
      <w:r>
        <w:rPr>
          <w:color w:val="221F1F"/>
          <w:spacing w:val="-3"/>
        </w:rPr>
        <w:t xml:space="preserve"> </w:t>
      </w:r>
      <w:r>
        <w:rPr>
          <w:color w:val="221F1F"/>
        </w:rPr>
        <w:t>so</w:t>
      </w:r>
      <w:r>
        <w:rPr>
          <w:color w:val="221F1F"/>
          <w:spacing w:val="-5"/>
        </w:rPr>
        <w:t xml:space="preserve"> </w:t>
      </w:r>
      <w:r>
        <w:rPr>
          <w:color w:val="221F1F"/>
        </w:rPr>
        <w:t>ever</w:t>
      </w:r>
      <w:r>
        <w:rPr>
          <w:color w:val="221F1F"/>
          <w:spacing w:val="-1"/>
        </w:rPr>
        <w:t xml:space="preserve"> </w:t>
      </w:r>
      <w:r>
        <w:rPr>
          <w:color w:val="221F1F"/>
        </w:rPr>
        <w:t>arising</w:t>
      </w:r>
      <w:r>
        <w:rPr>
          <w:color w:val="221F1F"/>
          <w:spacing w:val="-2"/>
        </w:rPr>
        <w:t xml:space="preserve"> </w:t>
      </w:r>
      <w:proofErr w:type="spellStart"/>
      <w:r>
        <w:rPr>
          <w:color w:val="221F1F"/>
        </w:rPr>
        <w:t>outo</w:t>
      </w:r>
      <w:proofErr w:type="spellEnd"/>
      <w:r>
        <w:rPr>
          <w:color w:val="221F1F"/>
          <w:spacing w:val="-4"/>
        </w:rPr>
        <w:t xml:space="preserve"> </w:t>
      </w:r>
      <w:r>
        <w:rPr>
          <w:color w:val="221F1F"/>
        </w:rPr>
        <w:t>for</w:t>
      </w:r>
      <w:r>
        <w:rPr>
          <w:color w:val="221F1F"/>
          <w:spacing w:val="-4"/>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course</w:t>
      </w:r>
      <w:r>
        <w:rPr>
          <w:color w:val="221F1F"/>
          <w:spacing w:val="-4"/>
        </w:rPr>
        <w:t xml:space="preserve"> </w:t>
      </w:r>
      <w:r>
        <w:rPr>
          <w:color w:val="221F1F"/>
        </w:rPr>
        <w:t>of</w:t>
      </w:r>
      <w:r>
        <w:rPr>
          <w:color w:val="221F1F"/>
          <w:spacing w:val="-4"/>
        </w:rPr>
        <w:t xml:space="preserve"> </w:t>
      </w:r>
      <w:r>
        <w:rPr>
          <w:color w:val="221F1F"/>
        </w:rPr>
        <w:t>or by reason of the Contractor's design (if any), the execution and completion of the Works and the remedying</w:t>
      </w:r>
      <w:r>
        <w:rPr>
          <w:color w:val="221F1F"/>
          <w:spacing w:val="-2"/>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defects,</w:t>
      </w:r>
      <w:r>
        <w:rPr>
          <w:color w:val="221F1F"/>
          <w:spacing w:val="-1"/>
        </w:rPr>
        <w:t xml:space="preserve"> </w:t>
      </w:r>
      <w:r>
        <w:rPr>
          <w:color w:val="221F1F"/>
        </w:rPr>
        <w:t>unless</w:t>
      </w:r>
      <w:r>
        <w:rPr>
          <w:color w:val="221F1F"/>
          <w:spacing w:val="-2"/>
        </w:rPr>
        <w:t xml:space="preserve"> </w:t>
      </w:r>
      <w:r>
        <w:rPr>
          <w:color w:val="221F1F"/>
        </w:rPr>
        <w:t>attributable</w:t>
      </w:r>
      <w:r>
        <w:rPr>
          <w:color w:val="221F1F"/>
          <w:spacing w:val="-3"/>
        </w:rPr>
        <w:t xml:space="preserve"> </w:t>
      </w:r>
      <w:r>
        <w:rPr>
          <w:color w:val="221F1F"/>
        </w:rPr>
        <w:t>to</w:t>
      </w:r>
      <w:r>
        <w:rPr>
          <w:color w:val="221F1F"/>
          <w:spacing w:val="-2"/>
        </w:rPr>
        <w:t xml:space="preserve"> </w:t>
      </w:r>
      <w:r>
        <w:rPr>
          <w:color w:val="221F1F"/>
        </w:rPr>
        <w:t>any</w:t>
      </w:r>
      <w:r>
        <w:rPr>
          <w:color w:val="221F1F"/>
          <w:spacing w:val="-2"/>
        </w:rPr>
        <w:t xml:space="preserve"> </w:t>
      </w:r>
      <w:r>
        <w:rPr>
          <w:color w:val="221F1F"/>
        </w:rPr>
        <w:t>negligence,</w:t>
      </w:r>
      <w:r>
        <w:rPr>
          <w:color w:val="221F1F"/>
          <w:spacing w:val="-2"/>
        </w:rPr>
        <w:t xml:space="preserve"> </w:t>
      </w:r>
      <w:r>
        <w:rPr>
          <w:color w:val="221F1F"/>
        </w:rPr>
        <w:t>willful</w:t>
      </w:r>
      <w:r>
        <w:rPr>
          <w:color w:val="221F1F"/>
          <w:spacing w:val="-1"/>
        </w:rPr>
        <w:t xml:space="preserve"> </w:t>
      </w:r>
      <w:r>
        <w:rPr>
          <w:color w:val="221F1F"/>
        </w:rPr>
        <w:t>actor breach</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by the Procuring Entity, the Procuring Entity's Personnel, or any of their respective agents, and</w:t>
      </w:r>
    </w:p>
    <w:p w:rsidR="007F6DF9" w:rsidRDefault="00A43FBC">
      <w:pPr>
        <w:pStyle w:val="ListParagraph"/>
        <w:numPr>
          <w:ilvl w:val="0"/>
          <w:numId w:val="81"/>
        </w:numPr>
        <w:tabs>
          <w:tab w:val="left" w:pos="1876"/>
          <w:tab w:val="left" w:pos="1880"/>
        </w:tabs>
        <w:spacing w:before="52" w:line="230" w:lineRule="auto"/>
        <w:ind w:right="562" w:hanging="449"/>
        <w:jc w:val="both"/>
      </w:pPr>
      <w:r>
        <w:rPr>
          <w:color w:val="221F1F"/>
        </w:rPr>
        <w:t>damage</w:t>
      </w:r>
      <w:r>
        <w:rPr>
          <w:color w:val="221F1F"/>
          <w:spacing w:val="-14"/>
        </w:rPr>
        <w:t xml:space="preserve"> </w:t>
      </w:r>
      <w:r>
        <w:rPr>
          <w:color w:val="221F1F"/>
        </w:rPr>
        <w:t>to</w:t>
      </w:r>
      <w:r>
        <w:rPr>
          <w:color w:val="221F1F"/>
          <w:spacing w:val="-14"/>
        </w:rPr>
        <w:t xml:space="preserve"> </w:t>
      </w:r>
      <w:r>
        <w:rPr>
          <w:color w:val="221F1F"/>
        </w:rPr>
        <w:t>or</w:t>
      </w:r>
      <w:r>
        <w:rPr>
          <w:color w:val="221F1F"/>
          <w:spacing w:val="-14"/>
        </w:rPr>
        <w:t xml:space="preserve"> </w:t>
      </w:r>
      <w:r>
        <w:rPr>
          <w:color w:val="221F1F"/>
        </w:rPr>
        <w:t>loss</w:t>
      </w:r>
      <w:r>
        <w:rPr>
          <w:color w:val="221F1F"/>
          <w:spacing w:val="-13"/>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property,</w:t>
      </w:r>
      <w:r>
        <w:rPr>
          <w:color w:val="221F1F"/>
          <w:spacing w:val="-14"/>
        </w:rPr>
        <w:t xml:space="preserve"> </w:t>
      </w:r>
      <w:r>
        <w:rPr>
          <w:color w:val="221F1F"/>
        </w:rPr>
        <w:t>real</w:t>
      </w:r>
      <w:r>
        <w:rPr>
          <w:color w:val="221F1F"/>
          <w:spacing w:val="-12"/>
        </w:rPr>
        <w:t xml:space="preserve"> </w:t>
      </w:r>
      <w:r>
        <w:rPr>
          <w:color w:val="221F1F"/>
        </w:rPr>
        <w:t>or</w:t>
      </w:r>
      <w:r>
        <w:rPr>
          <w:color w:val="221F1F"/>
          <w:spacing w:val="-13"/>
        </w:rPr>
        <w:t xml:space="preserve"> </w:t>
      </w:r>
      <w:r>
        <w:rPr>
          <w:color w:val="221F1F"/>
        </w:rPr>
        <w:t>personal</w:t>
      </w:r>
      <w:r>
        <w:rPr>
          <w:color w:val="221F1F"/>
          <w:spacing w:val="-13"/>
        </w:rPr>
        <w:t xml:space="preserve"> </w:t>
      </w:r>
      <w:r>
        <w:rPr>
          <w:color w:val="221F1F"/>
        </w:rPr>
        <w:t>(other</w:t>
      </w:r>
      <w:r>
        <w:rPr>
          <w:color w:val="221F1F"/>
          <w:spacing w:val="-13"/>
        </w:rPr>
        <w:t xml:space="preserve"> </w:t>
      </w:r>
      <w:r>
        <w:rPr>
          <w:color w:val="221F1F"/>
        </w:rPr>
        <w:t>than</w:t>
      </w:r>
      <w:r>
        <w:rPr>
          <w:color w:val="221F1F"/>
          <w:spacing w:val="-14"/>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to</w:t>
      </w:r>
      <w:r>
        <w:rPr>
          <w:color w:val="221F1F"/>
          <w:spacing w:val="-13"/>
        </w:rPr>
        <w:t xml:space="preserve"> </w:t>
      </w:r>
      <w:r>
        <w:rPr>
          <w:color w:val="221F1F"/>
        </w:rPr>
        <w:t>the</w:t>
      </w:r>
      <w:r>
        <w:rPr>
          <w:color w:val="221F1F"/>
          <w:spacing w:val="-13"/>
        </w:rPr>
        <w:t xml:space="preserve"> </w:t>
      </w:r>
      <w:r>
        <w:rPr>
          <w:color w:val="221F1F"/>
        </w:rPr>
        <w:t>extent</w:t>
      </w:r>
      <w:r>
        <w:rPr>
          <w:color w:val="221F1F"/>
          <w:spacing w:val="-13"/>
        </w:rPr>
        <w:t xml:space="preserve"> </w:t>
      </w:r>
      <w:r>
        <w:rPr>
          <w:color w:val="221F1F"/>
        </w:rPr>
        <w:t>that</w:t>
      </w:r>
      <w:r>
        <w:rPr>
          <w:color w:val="221F1F"/>
          <w:spacing w:val="-13"/>
        </w:rPr>
        <w:t xml:space="preserve"> </w:t>
      </w:r>
      <w:r>
        <w:rPr>
          <w:color w:val="221F1F"/>
        </w:rPr>
        <w:t>such</w:t>
      </w:r>
      <w:r>
        <w:rPr>
          <w:color w:val="221F1F"/>
          <w:spacing w:val="-12"/>
        </w:rPr>
        <w:t xml:space="preserve"> </w:t>
      </w:r>
      <w:r>
        <w:rPr>
          <w:color w:val="221F1F"/>
        </w:rPr>
        <w:t>damage or loss arises out of or in the course of or by reason of the Contractor's design (if any), the execution and completion of the Works</w:t>
      </w:r>
      <w:r>
        <w:rPr>
          <w:color w:val="221F1F"/>
          <w:spacing w:val="-4"/>
        </w:rPr>
        <w:t xml:space="preserve"> </w:t>
      </w:r>
      <w:r>
        <w:rPr>
          <w:color w:val="221F1F"/>
        </w:rPr>
        <w:t>and the remedying of any defects, unless and to the extent that any such damage or loss is attributable to any negligence, willful act or breach of the Contract by the Procuring Entity, the Procuring Entity's Personnel, their respective agents, or anyone directly or indirectly employed by any of them.</w:t>
      </w:r>
    </w:p>
    <w:p w:rsidR="007F6DF9" w:rsidRDefault="00A43FBC">
      <w:pPr>
        <w:pStyle w:val="ListParagraph"/>
        <w:numPr>
          <w:ilvl w:val="2"/>
          <w:numId w:val="122"/>
        </w:numPr>
        <w:tabs>
          <w:tab w:val="left" w:pos="1421"/>
          <w:tab w:val="left" w:pos="1424"/>
        </w:tabs>
        <w:spacing w:before="244" w:line="230" w:lineRule="auto"/>
        <w:ind w:left="1424" w:right="563" w:hanging="714"/>
        <w:jc w:val="both"/>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w:t>
      </w:r>
      <w:r>
        <w:rPr>
          <w:color w:val="221F1F"/>
          <w:spacing w:val="-7"/>
        </w:rPr>
        <w:t xml:space="preserve"> </w:t>
      </w:r>
      <w:r>
        <w:rPr>
          <w:color w:val="221F1F"/>
        </w:rPr>
        <w:t>shall</w:t>
      </w:r>
      <w:r>
        <w:rPr>
          <w:color w:val="221F1F"/>
          <w:spacing w:val="-8"/>
        </w:rPr>
        <w:t xml:space="preserve"> </w:t>
      </w:r>
      <w:r>
        <w:rPr>
          <w:color w:val="221F1F"/>
        </w:rPr>
        <w:t>indemnify</w:t>
      </w:r>
      <w:r>
        <w:rPr>
          <w:color w:val="221F1F"/>
          <w:spacing w:val="-7"/>
        </w:rPr>
        <w:t xml:space="preserve"> </w:t>
      </w:r>
      <w:r>
        <w:rPr>
          <w:color w:val="221F1F"/>
        </w:rPr>
        <w:t>and</w:t>
      </w:r>
      <w:r>
        <w:rPr>
          <w:color w:val="221F1F"/>
          <w:spacing w:val="-7"/>
        </w:rPr>
        <w:t xml:space="preserve"> </w:t>
      </w:r>
      <w:r>
        <w:rPr>
          <w:color w:val="221F1F"/>
        </w:rPr>
        <w:t>hold</w:t>
      </w:r>
      <w:r>
        <w:rPr>
          <w:color w:val="221F1F"/>
          <w:spacing w:val="-9"/>
        </w:rPr>
        <w:t xml:space="preserve"> </w:t>
      </w:r>
      <w:r>
        <w:rPr>
          <w:color w:val="221F1F"/>
        </w:rPr>
        <w:t>harmless</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9"/>
        </w:rPr>
        <w:t xml:space="preserve"> </w:t>
      </w:r>
      <w:r>
        <w:rPr>
          <w:color w:val="221F1F"/>
        </w:rPr>
        <w:t>the</w:t>
      </w:r>
      <w:r>
        <w:rPr>
          <w:color w:val="221F1F"/>
          <w:spacing w:val="-6"/>
        </w:rPr>
        <w:t xml:space="preserve"> </w:t>
      </w:r>
      <w:r>
        <w:rPr>
          <w:color w:val="221F1F"/>
        </w:rPr>
        <w:t>Contractor's</w:t>
      </w:r>
      <w:r>
        <w:rPr>
          <w:color w:val="221F1F"/>
          <w:spacing w:val="-8"/>
        </w:rPr>
        <w:t xml:space="preserve"> </w:t>
      </w:r>
      <w:r>
        <w:rPr>
          <w:color w:val="221F1F"/>
        </w:rPr>
        <w:t>Personnel,</w:t>
      </w:r>
      <w:r>
        <w:rPr>
          <w:color w:val="221F1F"/>
          <w:spacing w:val="-9"/>
        </w:rPr>
        <w:t xml:space="preserve"> </w:t>
      </w:r>
      <w:r>
        <w:rPr>
          <w:color w:val="221F1F"/>
        </w:rPr>
        <w:t>and</w:t>
      </w:r>
      <w:r>
        <w:rPr>
          <w:color w:val="221F1F"/>
          <w:spacing w:val="-9"/>
        </w:rPr>
        <w:t xml:space="preserve"> </w:t>
      </w:r>
      <w:r>
        <w:rPr>
          <w:color w:val="221F1F"/>
        </w:rPr>
        <w:t>their respective agents, against and from all claims, damages, losses and expenses (including legal fees and expenses) in</w:t>
      </w:r>
      <w:r>
        <w:rPr>
          <w:color w:val="221F1F"/>
          <w:spacing w:val="-1"/>
        </w:rPr>
        <w:t xml:space="preserve"> </w:t>
      </w:r>
      <w:r>
        <w:rPr>
          <w:color w:val="221F1F"/>
        </w:rPr>
        <w:t>respect of (1) bodily injury,</w:t>
      </w:r>
      <w:r>
        <w:rPr>
          <w:color w:val="221F1F"/>
          <w:spacing w:val="-6"/>
        </w:rPr>
        <w:t xml:space="preserve"> </w:t>
      </w:r>
      <w:r>
        <w:rPr>
          <w:color w:val="221F1F"/>
        </w:rPr>
        <w:t>sickness, disease or death, which is attributable</w:t>
      </w:r>
      <w:r>
        <w:rPr>
          <w:color w:val="221F1F"/>
          <w:spacing w:val="-1"/>
        </w:rPr>
        <w:t xml:space="preserve"> </w:t>
      </w:r>
      <w:r>
        <w:rPr>
          <w:color w:val="221F1F"/>
        </w:rPr>
        <w:t>to any negligence, willful</w:t>
      </w:r>
      <w:r>
        <w:rPr>
          <w:color w:val="221F1F"/>
          <w:spacing w:val="-3"/>
        </w:rPr>
        <w:t xml:space="preserve"> </w:t>
      </w:r>
      <w:r>
        <w:rPr>
          <w:color w:val="221F1F"/>
        </w:rPr>
        <w:t>act</w:t>
      </w:r>
      <w:r>
        <w:rPr>
          <w:color w:val="221F1F"/>
          <w:spacing w:val="-6"/>
        </w:rPr>
        <w:t xml:space="preserve"> </w:t>
      </w:r>
      <w:r>
        <w:rPr>
          <w:color w:val="221F1F"/>
        </w:rPr>
        <w:t>or</w:t>
      </w:r>
      <w:r>
        <w:rPr>
          <w:color w:val="221F1F"/>
          <w:spacing w:val="-4"/>
        </w:rPr>
        <w:t xml:space="preserve"> </w:t>
      </w:r>
      <w:r>
        <w:rPr>
          <w:color w:val="221F1F"/>
        </w:rPr>
        <w:t>breach</w:t>
      </w:r>
      <w:r>
        <w:rPr>
          <w:color w:val="221F1F"/>
          <w:spacing w:val="-7"/>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Contract</w:t>
      </w:r>
      <w:r>
        <w:rPr>
          <w:color w:val="221F1F"/>
          <w:spacing w:val="-5"/>
        </w:rPr>
        <w:t xml:space="preserve"> </w:t>
      </w:r>
      <w:r>
        <w:rPr>
          <w:color w:val="221F1F"/>
        </w:rPr>
        <w:t>by</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14"/>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Entity's</w:t>
      </w:r>
      <w:r>
        <w:rPr>
          <w:color w:val="221F1F"/>
          <w:spacing w:val="-6"/>
        </w:rPr>
        <w:t xml:space="preserve"> </w:t>
      </w:r>
      <w:r>
        <w:rPr>
          <w:color w:val="221F1F"/>
        </w:rPr>
        <w:t>Personnel,</w:t>
      </w:r>
      <w:r>
        <w:rPr>
          <w:color w:val="221F1F"/>
          <w:spacing w:val="-4"/>
        </w:rPr>
        <w:t xml:space="preserve"> </w:t>
      </w:r>
      <w:r>
        <w:rPr>
          <w:color w:val="221F1F"/>
        </w:rPr>
        <w:t>or</w:t>
      </w:r>
      <w:r>
        <w:rPr>
          <w:color w:val="221F1F"/>
          <w:spacing w:val="-6"/>
        </w:rPr>
        <w:t xml:space="preserve"> </w:t>
      </w:r>
      <w:r>
        <w:rPr>
          <w:color w:val="221F1F"/>
        </w:rPr>
        <w:t>any</w:t>
      </w:r>
      <w:r>
        <w:rPr>
          <w:color w:val="221F1F"/>
          <w:spacing w:val="-7"/>
        </w:rPr>
        <w:t xml:space="preserve"> </w:t>
      </w:r>
      <w:r>
        <w:rPr>
          <w:color w:val="221F1F"/>
        </w:rPr>
        <w:t>of</w:t>
      </w:r>
      <w:r>
        <w:rPr>
          <w:color w:val="221F1F"/>
          <w:spacing w:val="-6"/>
        </w:rPr>
        <w:t xml:space="preserve"> </w:t>
      </w:r>
      <w:r>
        <w:rPr>
          <w:color w:val="221F1F"/>
        </w:rPr>
        <w:t>their respective</w:t>
      </w:r>
      <w:r>
        <w:rPr>
          <w:color w:val="221F1F"/>
          <w:spacing w:val="-8"/>
        </w:rPr>
        <w:t xml:space="preserve"> </w:t>
      </w:r>
      <w:r>
        <w:rPr>
          <w:color w:val="221F1F"/>
        </w:rPr>
        <w:t>agents,</w:t>
      </w:r>
      <w:r>
        <w:rPr>
          <w:color w:val="221F1F"/>
          <w:spacing w:val="-6"/>
        </w:rPr>
        <w:t xml:space="preserve"> </w:t>
      </w:r>
      <w:r>
        <w:rPr>
          <w:color w:val="221F1F"/>
        </w:rPr>
        <w:t>and</w:t>
      </w:r>
      <w:r>
        <w:rPr>
          <w:color w:val="221F1F"/>
          <w:spacing w:val="-7"/>
        </w:rPr>
        <w:t xml:space="preserve"> </w:t>
      </w:r>
      <w:r>
        <w:rPr>
          <w:color w:val="221F1F"/>
        </w:rPr>
        <w:t>(2)</w:t>
      </w:r>
      <w:r>
        <w:rPr>
          <w:color w:val="221F1F"/>
          <w:spacing w:val="-8"/>
        </w:rPr>
        <w:t xml:space="preserve"> </w:t>
      </w:r>
      <w:r>
        <w:rPr>
          <w:color w:val="221F1F"/>
        </w:rPr>
        <w:t>the</w:t>
      </w:r>
      <w:r>
        <w:rPr>
          <w:color w:val="221F1F"/>
          <w:spacing w:val="-6"/>
        </w:rPr>
        <w:t xml:space="preserve"> </w:t>
      </w:r>
      <w:r>
        <w:rPr>
          <w:color w:val="221F1F"/>
        </w:rPr>
        <w:t>matters</w:t>
      </w:r>
      <w:r>
        <w:rPr>
          <w:color w:val="221F1F"/>
          <w:spacing w:val="-9"/>
        </w:rPr>
        <w:t xml:space="preserve"> </w:t>
      </w:r>
      <w:r>
        <w:rPr>
          <w:color w:val="221F1F"/>
        </w:rPr>
        <w:t>for</w:t>
      </w:r>
      <w:r>
        <w:rPr>
          <w:color w:val="221F1F"/>
          <w:spacing w:val="-8"/>
        </w:rPr>
        <w:t xml:space="preserve"> </w:t>
      </w:r>
      <w:r>
        <w:rPr>
          <w:color w:val="221F1F"/>
        </w:rPr>
        <w:t>which</w:t>
      </w:r>
      <w:r>
        <w:rPr>
          <w:color w:val="221F1F"/>
          <w:spacing w:val="-9"/>
        </w:rPr>
        <w:t xml:space="preserve"> </w:t>
      </w:r>
      <w:r>
        <w:rPr>
          <w:color w:val="221F1F"/>
        </w:rPr>
        <w:t>liability</w:t>
      </w:r>
      <w:r>
        <w:rPr>
          <w:color w:val="221F1F"/>
          <w:spacing w:val="-9"/>
        </w:rPr>
        <w:t xml:space="preserve"> </w:t>
      </w:r>
      <w:r>
        <w:rPr>
          <w:color w:val="221F1F"/>
        </w:rPr>
        <w:t>may</w:t>
      </w:r>
      <w:r>
        <w:rPr>
          <w:color w:val="221F1F"/>
          <w:spacing w:val="-9"/>
        </w:rPr>
        <w:t xml:space="preserve"> </w:t>
      </w:r>
      <w:r>
        <w:rPr>
          <w:color w:val="221F1F"/>
        </w:rPr>
        <w:t>be</w:t>
      </w:r>
      <w:r>
        <w:rPr>
          <w:color w:val="221F1F"/>
          <w:spacing w:val="-9"/>
        </w:rPr>
        <w:t xml:space="preserve"> </w:t>
      </w:r>
      <w:r>
        <w:rPr>
          <w:color w:val="221F1F"/>
        </w:rPr>
        <w:t>excluded</w:t>
      </w:r>
      <w:r>
        <w:rPr>
          <w:color w:val="221F1F"/>
          <w:spacing w:val="-6"/>
        </w:rPr>
        <w:t xml:space="preserve"> </w:t>
      </w:r>
      <w:r>
        <w:rPr>
          <w:color w:val="221F1F"/>
        </w:rPr>
        <w:t>from</w:t>
      </w:r>
      <w:r>
        <w:rPr>
          <w:color w:val="221F1F"/>
          <w:spacing w:val="-8"/>
        </w:rPr>
        <w:t xml:space="preserve"> </w:t>
      </w:r>
      <w:r>
        <w:rPr>
          <w:color w:val="221F1F"/>
        </w:rPr>
        <w:t>insurance</w:t>
      </w:r>
      <w:r>
        <w:rPr>
          <w:color w:val="221F1F"/>
          <w:spacing w:val="-5"/>
        </w:rPr>
        <w:t xml:space="preserve"> </w:t>
      </w:r>
      <w:r>
        <w:rPr>
          <w:color w:val="221F1F"/>
        </w:rPr>
        <w:t>cover,</w:t>
      </w:r>
      <w:r>
        <w:rPr>
          <w:color w:val="221F1F"/>
          <w:spacing w:val="-9"/>
        </w:rPr>
        <w:t xml:space="preserve"> </w:t>
      </w:r>
      <w:r>
        <w:rPr>
          <w:color w:val="221F1F"/>
        </w:rPr>
        <w:t>as</w:t>
      </w:r>
      <w:r>
        <w:rPr>
          <w:color w:val="221F1F"/>
          <w:spacing w:val="-9"/>
        </w:rPr>
        <w:t xml:space="preserve"> </w:t>
      </w:r>
      <w:r>
        <w:rPr>
          <w:color w:val="221F1F"/>
        </w:rPr>
        <w:t>described in sub-paragraphs (d)(</w:t>
      </w:r>
      <w:proofErr w:type="spellStart"/>
      <w:r>
        <w:rPr>
          <w:color w:val="221F1F"/>
        </w:rPr>
        <w:t>i</w:t>
      </w:r>
      <w:proofErr w:type="spellEnd"/>
      <w:r>
        <w:rPr>
          <w:color w:val="221F1F"/>
        </w:rPr>
        <w:t>), (ii) and (iii) of Sub-Clause 18.3 [Insurance Against Injury to Persons and Damage to Property], unless and to the extent that any such damage or loss is attributable to any negligence, willful actor breach of the Contract by the contractor, the contractor's Personnel, their respective agents, or anyone directly or indirectly employed by any of them.</w:t>
      </w:r>
    </w:p>
    <w:p w:rsidR="007F6DF9" w:rsidRDefault="00A43FBC">
      <w:pPr>
        <w:pStyle w:val="Heading9"/>
        <w:numPr>
          <w:ilvl w:val="1"/>
          <w:numId w:val="122"/>
        </w:numPr>
        <w:tabs>
          <w:tab w:val="left" w:pos="1431"/>
        </w:tabs>
        <w:spacing w:before="240"/>
        <w:ind w:left="1431" w:hanging="720"/>
        <w:rPr>
          <w:color w:val="221F1F"/>
        </w:rPr>
      </w:pPr>
      <w:r>
        <w:rPr>
          <w:color w:val="221F1F"/>
        </w:rPr>
        <w:t>Contractor's</w:t>
      </w:r>
      <w:r>
        <w:rPr>
          <w:color w:val="221F1F"/>
          <w:spacing w:val="-2"/>
        </w:rPr>
        <w:t xml:space="preserve"> </w:t>
      </w:r>
      <w:r>
        <w:rPr>
          <w:color w:val="221F1F"/>
        </w:rPr>
        <w:t>Care</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spacing w:val="-2"/>
        </w:rPr>
        <w:t>Works</w:t>
      </w:r>
    </w:p>
    <w:p w:rsidR="007F6DF9" w:rsidRDefault="00A43FBC">
      <w:pPr>
        <w:pStyle w:val="ListParagraph"/>
        <w:numPr>
          <w:ilvl w:val="2"/>
          <w:numId w:val="122"/>
        </w:numPr>
        <w:tabs>
          <w:tab w:val="left" w:pos="1424"/>
        </w:tabs>
        <w:spacing w:before="234"/>
        <w:ind w:left="1424" w:hanging="713"/>
        <w:rPr>
          <w:color w:val="221F1F"/>
        </w:rPr>
      </w:pPr>
      <w:r>
        <w:rPr>
          <w:color w:val="221F1F"/>
        </w:rPr>
        <w:t>The Contractor</w:t>
      </w:r>
      <w:r>
        <w:rPr>
          <w:color w:val="221F1F"/>
          <w:spacing w:val="3"/>
        </w:rPr>
        <w:t xml:space="preserve"> </w:t>
      </w:r>
      <w:r>
        <w:rPr>
          <w:color w:val="221F1F"/>
        </w:rPr>
        <w:t>shall</w:t>
      </w:r>
      <w:r>
        <w:rPr>
          <w:color w:val="221F1F"/>
          <w:spacing w:val="4"/>
        </w:rPr>
        <w:t xml:space="preserve"> </w:t>
      </w:r>
      <w:r>
        <w:rPr>
          <w:color w:val="221F1F"/>
        </w:rPr>
        <w:t>take full</w:t>
      </w:r>
      <w:r>
        <w:rPr>
          <w:color w:val="221F1F"/>
          <w:spacing w:val="1"/>
        </w:rPr>
        <w:t xml:space="preserve"> </w:t>
      </w:r>
      <w:r>
        <w:rPr>
          <w:color w:val="221F1F"/>
        </w:rPr>
        <w:t>responsibility for</w:t>
      </w:r>
      <w:r>
        <w:rPr>
          <w:color w:val="221F1F"/>
          <w:spacing w:val="3"/>
        </w:rPr>
        <w:t xml:space="preserve"> </w:t>
      </w:r>
      <w:r>
        <w:rPr>
          <w:color w:val="221F1F"/>
        </w:rPr>
        <w:t>the</w:t>
      </w:r>
      <w:r>
        <w:rPr>
          <w:color w:val="221F1F"/>
          <w:spacing w:val="3"/>
        </w:rPr>
        <w:t xml:space="preserve"> </w:t>
      </w:r>
      <w:r>
        <w:rPr>
          <w:color w:val="221F1F"/>
        </w:rPr>
        <w:t>care</w:t>
      </w:r>
      <w:r>
        <w:rPr>
          <w:color w:val="221F1F"/>
          <w:spacing w:val="2"/>
        </w:rPr>
        <w:t xml:space="preserve"> </w:t>
      </w:r>
      <w:r>
        <w:rPr>
          <w:color w:val="221F1F"/>
        </w:rPr>
        <w:t>of</w:t>
      </w:r>
      <w:r>
        <w:rPr>
          <w:color w:val="221F1F"/>
          <w:spacing w:val="3"/>
        </w:rPr>
        <w:t xml:space="preserve"> </w:t>
      </w:r>
      <w:r>
        <w:rPr>
          <w:color w:val="221F1F"/>
        </w:rPr>
        <w:t>the</w:t>
      </w:r>
      <w:r>
        <w:rPr>
          <w:color w:val="221F1F"/>
          <w:spacing w:val="9"/>
        </w:rPr>
        <w:t xml:space="preserve"> </w:t>
      </w:r>
      <w:r>
        <w:rPr>
          <w:color w:val="221F1F"/>
        </w:rPr>
        <w:t>Works</w:t>
      </w:r>
      <w:r>
        <w:rPr>
          <w:color w:val="221F1F"/>
          <w:spacing w:val="-6"/>
        </w:rPr>
        <w:t xml:space="preserve"> </w:t>
      </w:r>
      <w:r>
        <w:rPr>
          <w:color w:val="221F1F"/>
        </w:rPr>
        <w:t>and</w:t>
      </w:r>
      <w:r>
        <w:rPr>
          <w:color w:val="221F1F"/>
          <w:spacing w:val="3"/>
        </w:rPr>
        <w:t xml:space="preserve"> </w:t>
      </w:r>
      <w:r>
        <w:rPr>
          <w:color w:val="221F1F"/>
        </w:rPr>
        <w:t>Goods</w:t>
      </w:r>
      <w:r>
        <w:rPr>
          <w:color w:val="221F1F"/>
          <w:spacing w:val="1"/>
        </w:rPr>
        <w:t xml:space="preserve"> </w:t>
      </w:r>
      <w:r>
        <w:rPr>
          <w:color w:val="221F1F"/>
        </w:rPr>
        <w:t>from</w:t>
      </w:r>
      <w:r>
        <w:rPr>
          <w:color w:val="221F1F"/>
          <w:spacing w:val="1"/>
        </w:rPr>
        <w:t xml:space="preserve"> </w:t>
      </w:r>
      <w:r>
        <w:rPr>
          <w:color w:val="221F1F"/>
        </w:rPr>
        <w:t>the</w:t>
      </w:r>
      <w:r>
        <w:rPr>
          <w:color w:val="221F1F"/>
          <w:spacing w:val="3"/>
        </w:rPr>
        <w:t xml:space="preserve"> </w:t>
      </w:r>
      <w:r>
        <w:rPr>
          <w:color w:val="221F1F"/>
          <w:spacing w:val="-2"/>
        </w:rPr>
        <w:t>Commencement</w:t>
      </w:r>
    </w:p>
    <w:p w:rsidR="007F6DF9" w:rsidRDefault="007F6DF9">
      <w:pPr>
        <w:pStyle w:val="ListParagraph"/>
        <w:sectPr w:rsidR="007F6DF9">
          <w:pgSz w:w="11920" w:h="16850"/>
          <w:pgMar w:top="360" w:right="283" w:bottom="580" w:left="141" w:header="0" w:footer="380" w:gutter="0"/>
          <w:cols w:space="720"/>
        </w:sectPr>
      </w:pPr>
    </w:p>
    <w:p w:rsidR="007F6DF9" w:rsidRDefault="00A43FBC">
      <w:pPr>
        <w:pStyle w:val="BodyText"/>
        <w:spacing w:line="230" w:lineRule="auto"/>
        <w:ind w:left="1424" w:right="560"/>
        <w:jc w:val="both"/>
      </w:pPr>
      <w:r>
        <w:rPr>
          <w:noProof/>
        </w:rPr>
        <w:lastRenderedPageBreak/>
        <mc:AlternateContent>
          <mc:Choice Requires="wpg">
            <w:drawing>
              <wp:anchor distT="0" distB="0" distL="0" distR="0" simplePos="0" relativeHeight="479603712"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3" name="Graphic 410"/>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4" name="Graphic 411"/>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3788D296" id="Group 19" o:spid="_x0000_s1026" style="position:absolute;margin-left:-.1pt;margin-top:806.2pt;width:595.45pt;height:24.5pt;z-index:-23712768;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">
                <v:shape id="Graphic 410"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" path="m944880,l,,,307975r790575,l839470,300355r41910,-22225l915035,245110r22225,-42545l944880,153670,944880,xe" fillcolor="#00a650" stroked="f">
                  <v:path arrowok="t"/>
                </v:shape>
                <v:shape id="Graphic 411"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Date until the Taking-Over Certificate is issued (or is deemed to be issued under Sub-Clause 10.1 [Taking Over of the Works</w:t>
      </w:r>
      <w:r>
        <w:rPr>
          <w:color w:val="221F1F"/>
          <w:spacing w:val="-7"/>
        </w:rPr>
        <w:t xml:space="preserve"> </w:t>
      </w:r>
      <w:r>
        <w:rPr>
          <w:color w:val="221F1F"/>
        </w:rPr>
        <w:t>and Sections]) for the Works,</w:t>
      </w:r>
      <w:r>
        <w:rPr>
          <w:color w:val="221F1F"/>
          <w:spacing w:val="-6"/>
        </w:rPr>
        <w:t xml:space="preserve"> </w:t>
      </w:r>
      <w:r>
        <w:rPr>
          <w:color w:val="221F1F"/>
        </w:rPr>
        <w:t>when</w:t>
      </w:r>
      <w:r>
        <w:rPr>
          <w:color w:val="221F1F"/>
          <w:spacing w:val="-1"/>
        </w:rPr>
        <w:t xml:space="preserve"> </w:t>
      </w:r>
      <w:r>
        <w:rPr>
          <w:color w:val="221F1F"/>
        </w:rPr>
        <w:t>responsibility for the care</w:t>
      </w:r>
      <w:r>
        <w:rPr>
          <w:color w:val="221F1F"/>
          <w:spacing w:val="-1"/>
        </w:rPr>
        <w:t xml:space="preserve"> </w:t>
      </w:r>
      <w:r>
        <w:rPr>
          <w:color w:val="221F1F"/>
        </w:rPr>
        <w:t>of the Works</w:t>
      </w:r>
      <w:r>
        <w:rPr>
          <w:color w:val="221F1F"/>
          <w:spacing w:val="-7"/>
        </w:rPr>
        <w:t xml:space="preserve"> </w:t>
      </w:r>
      <w:r>
        <w:rPr>
          <w:color w:val="221F1F"/>
        </w:rPr>
        <w:t>shall pass</w:t>
      </w:r>
      <w:r>
        <w:rPr>
          <w:color w:val="221F1F"/>
          <w:spacing w:val="-1"/>
        </w:rPr>
        <w:t xml:space="preserve"> </w:t>
      </w:r>
      <w:r>
        <w:rPr>
          <w:color w:val="221F1F"/>
        </w:rPr>
        <w:t>to the</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7"/>
        </w:rPr>
        <w:t xml:space="preserve"> </w:t>
      </w:r>
      <w:r>
        <w:rPr>
          <w:color w:val="221F1F"/>
        </w:rPr>
        <w:t>If a Taking-Over Certificate is issued (or</w:t>
      </w:r>
      <w:r>
        <w:rPr>
          <w:color w:val="221F1F"/>
          <w:spacing w:val="-2"/>
        </w:rPr>
        <w:t xml:space="preserve"> </w:t>
      </w:r>
      <w:r>
        <w:rPr>
          <w:color w:val="221F1F"/>
        </w:rPr>
        <w:t>is so</w:t>
      </w:r>
      <w:r>
        <w:rPr>
          <w:color w:val="221F1F"/>
          <w:spacing w:val="-3"/>
        </w:rPr>
        <w:t xml:space="preserve"> </w:t>
      </w:r>
      <w:r>
        <w:rPr>
          <w:color w:val="221F1F"/>
        </w:rPr>
        <w:t>deemed</w:t>
      </w:r>
      <w:r>
        <w:rPr>
          <w:color w:val="221F1F"/>
          <w:spacing w:val="-3"/>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issued)</w:t>
      </w:r>
      <w:r>
        <w:rPr>
          <w:color w:val="221F1F"/>
          <w:spacing w:val="-2"/>
        </w:rPr>
        <w:t xml:space="preserve"> </w:t>
      </w:r>
      <w:r>
        <w:rPr>
          <w:color w:val="221F1F"/>
        </w:rPr>
        <w:t>for</w:t>
      </w:r>
      <w:r>
        <w:rPr>
          <w:color w:val="221F1F"/>
          <w:spacing w:val="-2"/>
        </w:rPr>
        <w:t xml:space="preserve"> </w:t>
      </w:r>
      <w:r>
        <w:rPr>
          <w:color w:val="221F1F"/>
        </w:rPr>
        <w:t>any Section</w:t>
      </w:r>
      <w:r>
        <w:rPr>
          <w:color w:val="221F1F"/>
          <w:spacing w:val="-1"/>
        </w:rPr>
        <w:t xml:space="preserve"> </w:t>
      </w:r>
      <w:r>
        <w:rPr>
          <w:color w:val="221F1F"/>
        </w:rPr>
        <w:t>or part of the Works,</w:t>
      </w:r>
      <w:r>
        <w:rPr>
          <w:color w:val="221F1F"/>
          <w:spacing w:val="-1"/>
        </w:rPr>
        <w:t xml:space="preserve"> </w:t>
      </w:r>
      <w:r>
        <w:rPr>
          <w:color w:val="221F1F"/>
        </w:rPr>
        <w:t>responsibility for the care of the Section or part shall then pass to the Procuring Entity.</w:t>
      </w:r>
    </w:p>
    <w:p w:rsidR="007F6DF9" w:rsidRDefault="00A43FBC">
      <w:pPr>
        <w:pStyle w:val="ListParagraph"/>
        <w:numPr>
          <w:ilvl w:val="2"/>
          <w:numId w:val="122"/>
        </w:numPr>
        <w:tabs>
          <w:tab w:val="left" w:pos="1421"/>
          <w:tab w:val="left" w:pos="1424"/>
        </w:tabs>
        <w:spacing w:before="245" w:line="230" w:lineRule="auto"/>
        <w:ind w:left="1424" w:right="563" w:hanging="714"/>
        <w:jc w:val="both"/>
        <w:rPr>
          <w:color w:val="221F1F"/>
        </w:rPr>
      </w:pPr>
      <w:r>
        <w:rPr>
          <w:color w:val="221F1F"/>
        </w:rPr>
        <w:t>After responsibility has accordingly passed to the Procuring Entity,</w:t>
      </w:r>
      <w:r>
        <w:rPr>
          <w:color w:val="221F1F"/>
          <w:spacing w:val="-1"/>
        </w:rPr>
        <w:t xml:space="preserve"> </w:t>
      </w:r>
      <w:r>
        <w:rPr>
          <w:color w:val="221F1F"/>
        </w:rPr>
        <w:t>the Contractor shall take responsibility for the care of any work which is outstanding on the date stated in a Taking-Over Certificate, until this outstanding work has been completed.</w:t>
      </w:r>
    </w:p>
    <w:p w:rsidR="007F6DF9" w:rsidRDefault="00A43FBC">
      <w:pPr>
        <w:pStyle w:val="ListParagraph"/>
        <w:numPr>
          <w:ilvl w:val="2"/>
          <w:numId w:val="122"/>
        </w:numPr>
        <w:tabs>
          <w:tab w:val="left" w:pos="1421"/>
          <w:tab w:val="left" w:pos="1424"/>
        </w:tabs>
        <w:spacing w:before="246" w:line="230" w:lineRule="auto"/>
        <w:ind w:left="1424" w:right="564" w:hanging="714"/>
        <w:jc w:val="both"/>
        <w:rPr>
          <w:color w:val="221F1F"/>
        </w:rPr>
      </w:pPr>
      <w:r>
        <w:rPr>
          <w:color w:val="221F1F"/>
        </w:rPr>
        <w:t xml:space="preserve">If any loss or damage happens to the Works, Goods or Contractor's Documents during the period when the </w:t>
      </w:r>
      <w:proofErr w:type="spellStart"/>
      <w:r>
        <w:rPr>
          <w:color w:val="221F1F"/>
        </w:rPr>
        <w:t>Contractorisresponsiblefor</w:t>
      </w:r>
      <w:proofErr w:type="spellEnd"/>
      <w:r>
        <w:rPr>
          <w:color w:val="221F1F"/>
          <w:spacing w:val="-14"/>
        </w:rPr>
        <w:t xml:space="preserve"> </w:t>
      </w:r>
      <w:r>
        <w:rPr>
          <w:color w:val="221F1F"/>
        </w:rPr>
        <w:t>their</w:t>
      </w:r>
      <w:r>
        <w:rPr>
          <w:color w:val="221F1F"/>
          <w:spacing w:val="-14"/>
        </w:rPr>
        <w:t xml:space="preserve"> </w:t>
      </w:r>
      <w:r>
        <w:rPr>
          <w:color w:val="221F1F"/>
        </w:rPr>
        <w:t>care,</w:t>
      </w:r>
      <w:r>
        <w:rPr>
          <w:color w:val="221F1F"/>
          <w:spacing w:val="-14"/>
        </w:rPr>
        <w:t xml:space="preserve"> </w:t>
      </w:r>
      <w:r>
        <w:rPr>
          <w:color w:val="221F1F"/>
        </w:rPr>
        <w:t>from</w:t>
      </w:r>
      <w:r>
        <w:rPr>
          <w:color w:val="221F1F"/>
          <w:spacing w:val="-13"/>
        </w:rPr>
        <w:t xml:space="preserve"> </w:t>
      </w:r>
      <w:r>
        <w:rPr>
          <w:color w:val="221F1F"/>
        </w:rPr>
        <w:t>any</w:t>
      </w:r>
      <w:r>
        <w:rPr>
          <w:color w:val="221F1F"/>
          <w:spacing w:val="-14"/>
        </w:rPr>
        <w:t xml:space="preserve"> </w:t>
      </w:r>
      <w:r>
        <w:rPr>
          <w:color w:val="221F1F"/>
        </w:rPr>
        <w:t>cause</w:t>
      </w:r>
      <w:r>
        <w:rPr>
          <w:color w:val="221F1F"/>
          <w:spacing w:val="-14"/>
        </w:rPr>
        <w:t xml:space="preserve"> </w:t>
      </w:r>
      <w:r>
        <w:rPr>
          <w:color w:val="221F1F"/>
        </w:rPr>
        <w:t>not</w:t>
      </w:r>
      <w:r>
        <w:rPr>
          <w:color w:val="221F1F"/>
          <w:spacing w:val="-14"/>
        </w:rPr>
        <w:t xml:space="preserve"> </w:t>
      </w:r>
      <w:r>
        <w:rPr>
          <w:color w:val="221F1F"/>
        </w:rPr>
        <w:t>listed</w:t>
      </w:r>
      <w:r>
        <w:rPr>
          <w:color w:val="221F1F"/>
          <w:spacing w:val="-13"/>
        </w:rPr>
        <w:t xml:space="preserve"> </w:t>
      </w:r>
      <w:r>
        <w:rPr>
          <w:color w:val="221F1F"/>
        </w:rPr>
        <w:t>in</w:t>
      </w:r>
      <w:r>
        <w:rPr>
          <w:color w:val="221F1F"/>
          <w:spacing w:val="-14"/>
        </w:rPr>
        <w:t xml:space="preserve"> </w:t>
      </w:r>
      <w:r>
        <w:rPr>
          <w:color w:val="221F1F"/>
        </w:rPr>
        <w:t>Sub-Clause</w:t>
      </w:r>
      <w:r>
        <w:rPr>
          <w:color w:val="221F1F"/>
          <w:spacing w:val="-14"/>
        </w:rPr>
        <w:t xml:space="preserve"> </w:t>
      </w:r>
      <w:r>
        <w:rPr>
          <w:color w:val="221F1F"/>
        </w:rPr>
        <w:t>17.3</w:t>
      </w:r>
      <w:r>
        <w:rPr>
          <w:color w:val="221F1F"/>
          <w:spacing w:val="-14"/>
        </w:rPr>
        <w:t xml:space="preserve"> </w:t>
      </w:r>
      <w:r>
        <w:rPr>
          <w:color w:val="221F1F"/>
        </w:rPr>
        <w:t>[Procuring</w:t>
      </w:r>
      <w:r>
        <w:rPr>
          <w:color w:val="221F1F"/>
          <w:spacing w:val="-13"/>
        </w:rPr>
        <w:t xml:space="preserve"> </w:t>
      </w:r>
      <w:r>
        <w:rPr>
          <w:color w:val="221F1F"/>
        </w:rPr>
        <w:t>Entity's</w:t>
      </w:r>
      <w:r>
        <w:rPr>
          <w:color w:val="221F1F"/>
          <w:spacing w:val="-14"/>
        </w:rPr>
        <w:t xml:space="preserve"> </w:t>
      </w:r>
      <w:r>
        <w:rPr>
          <w:color w:val="221F1F"/>
        </w:rPr>
        <w:t>Risks], 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rectify</w:t>
      </w:r>
      <w:r>
        <w:rPr>
          <w:color w:val="221F1F"/>
          <w:spacing w:val="-8"/>
        </w:rPr>
        <w:t xml:space="preserve"> </w:t>
      </w:r>
      <w:r>
        <w:rPr>
          <w:color w:val="221F1F"/>
        </w:rPr>
        <w:t>the</w:t>
      </w:r>
      <w:r>
        <w:rPr>
          <w:color w:val="221F1F"/>
          <w:spacing w:val="-9"/>
        </w:rPr>
        <w:t xml:space="preserve"> </w:t>
      </w:r>
      <w:r>
        <w:rPr>
          <w:color w:val="221F1F"/>
        </w:rPr>
        <w:t>loss</w:t>
      </w:r>
      <w:r>
        <w:rPr>
          <w:color w:val="221F1F"/>
          <w:spacing w:val="-6"/>
        </w:rPr>
        <w:t xml:space="preserve"> </w:t>
      </w:r>
      <w:r>
        <w:rPr>
          <w:color w:val="221F1F"/>
        </w:rPr>
        <w:t>or</w:t>
      </w:r>
      <w:r>
        <w:rPr>
          <w:color w:val="221F1F"/>
          <w:spacing w:val="-6"/>
        </w:rPr>
        <w:t xml:space="preserve"> </w:t>
      </w:r>
      <w:r>
        <w:rPr>
          <w:color w:val="221F1F"/>
        </w:rPr>
        <w:t>damage</w:t>
      </w:r>
      <w:r>
        <w:rPr>
          <w:color w:val="221F1F"/>
          <w:spacing w:val="-7"/>
        </w:rPr>
        <w:t xml:space="preserve"> </w:t>
      </w:r>
      <w:r>
        <w:rPr>
          <w:color w:val="221F1F"/>
        </w:rPr>
        <w:t>at</w:t>
      </w:r>
      <w:r>
        <w:rPr>
          <w:color w:val="221F1F"/>
          <w:spacing w:val="-6"/>
        </w:rPr>
        <w:t xml:space="preserve"> </w:t>
      </w:r>
      <w:r>
        <w:rPr>
          <w:color w:val="221F1F"/>
        </w:rPr>
        <w:t>the</w:t>
      </w:r>
      <w:r>
        <w:rPr>
          <w:color w:val="221F1F"/>
          <w:spacing w:val="-6"/>
        </w:rPr>
        <w:t xml:space="preserve"> </w:t>
      </w:r>
      <w:r>
        <w:rPr>
          <w:color w:val="221F1F"/>
        </w:rPr>
        <w:t>Contractor's</w:t>
      </w:r>
      <w:r>
        <w:rPr>
          <w:color w:val="221F1F"/>
          <w:spacing w:val="-6"/>
        </w:rPr>
        <w:t xml:space="preserve"> </w:t>
      </w:r>
      <w:r>
        <w:rPr>
          <w:color w:val="221F1F"/>
        </w:rPr>
        <w:t>risk</w:t>
      </w:r>
      <w:r>
        <w:rPr>
          <w:color w:val="221F1F"/>
          <w:spacing w:val="-9"/>
        </w:rPr>
        <w:t xml:space="preserve"> </w:t>
      </w:r>
      <w:r>
        <w:rPr>
          <w:color w:val="221F1F"/>
        </w:rPr>
        <w:t>and</w:t>
      </w:r>
      <w:r>
        <w:rPr>
          <w:color w:val="221F1F"/>
          <w:spacing w:val="-7"/>
        </w:rPr>
        <w:t xml:space="preserve"> </w:t>
      </w:r>
      <w:r>
        <w:rPr>
          <w:color w:val="221F1F"/>
        </w:rPr>
        <w:t>cost,</w:t>
      </w:r>
      <w:r>
        <w:rPr>
          <w:color w:val="221F1F"/>
          <w:spacing w:val="-9"/>
        </w:rPr>
        <w:t xml:space="preserve"> </w:t>
      </w:r>
      <w:r>
        <w:rPr>
          <w:color w:val="221F1F"/>
        </w:rPr>
        <w:t>so</w:t>
      </w:r>
      <w:r>
        <w:rPr>
          <w:color w:val="221F1F"/>
          <w:spacing w:val="-10"/>
        </w:rPr>
        <w:t xml:space="preserve"> </w:t>
      </w:r>
      <w:r>
        <w:rPr>
          <w:color w:val="221F1F"/>
        </w:rPr>
        <w:t>that</w:t>
      </w:r>
      <w:r>
        <w:rPr>
          <w:color w:val="221F1F"/>
          <w:spacing w:val="-5"/>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Goods</w:t>
      </w:r>
      <w:r>
        <w:rPr>
          <w:color w:val="221F1F"/>
          <w:spacing w:val="-9"/>
        </w:rPr>
        <w:t xml:space="preserve"> </w:t>
      </w:r>
      <w:r>
        <w:rPr>
          <w:color w:val="221F1F"/>
        </w:rPr>
        <w:t>and Contractor's Documents conform with the Contract.</w:t>
      </w:r>
    </w:p>
    <w:p w:rsidR="007F6DF9" w:rsidRDefault="00A43FBC">
      <w:pPr>
        <w:pStyle w:val="ListParagraph"/>
        <w:numPr>
          <w:ilvl w:val="2"/>
          <w:numId w:val="122"/>
        </w:numPr>
        <w:tabs>
          <w:tab w:val="left" w:pos="1421"/>
          <w:tab w:val="left" w:pos="1424"/>
        </w:tabs>
        <w:spacing w:before="245" w:line="230" w:lineRule="auto"/>
        <w:ind w:left="1424" w:right="564" w:hanging="714"/>
        <w:jc w:val="both"/>
        <w:rPr>
          <w:color w:val="221F1F"/>
        </w:rPr>
      </w:pPr>
      <w:r>
        <w:rPr>
          <w:color w:val="221F1F"/>
        </w:rPr>
        <w:t>The Contractor shall be liable for any loss or damage caused by any actions performed by the Contractor after a Taking-Over Certificate has been issued. The Contractor shall also be liable for any loss or damage which occurs after a Taking-Over Certificate has been issued and which arose from a previous event for which the Contractor was liable.</w:t>
      </w:r>
    </w:p>
    <w:p w:rsidR="007F6DF9" w:rsidRDefault="00A43FBC">
      <w:pPr>
        <w:pStyle w:val="Heading9"/>
        <w:numPr>
          <w:ilvl w:val="1"/>
          <w:numId w:val="122"/>
        </w:numPr>
        <w:tabs>
          <w:tab w:val="left" w:pos="1431"/>
        </w:tabs>
        <w:spacing w:before="238"/>
        <w:ind w:left="1431" w:hanging="720"/>
        <w:rPr>
          <w:color w:val="221F1F"/>
        </w:rPr>
      </w:pPr>
      <w:r>
        <w:rPr>
          <w:color w:val="221F1F"/>
        </w:rPr>
        <w:t>Procuring</w:t>
      </w:r>
      <w:r>
        <w:rPr>
          <w:color w:val="221F1F"/>
          <w:spacing w:val="-6"/>
        </w:rPr>
        <w:t xml:space="preserve"> </w:t>
      </w:r>
      <w:r>
        <w:rPr>
          <w:color w:val="221F1F"/>
        </w:rPr>
        <w:t>Entity's</w:t>
      </w:r>
      <w:r>
        <w:rPr>
          <w:color w:val="221F1F"/>
          <w:spacing w:val="-3"/>
        </w:rPr>
        <w:t xml:space="preserve"> </w:t>
      </w:r>
      <w:r>
        <w:rPr>
          <w:color w:val="221F1F"/>
          <w:spacing w:val="-2"/>
        </w:rPr>
        <w:t>Risks</w:t>
      </w:r>
    </w:p>
    <w:p w:rsidR="007F6DF9" w:rsidRDefault="00A43FBC">
      <w:pPr>
        <w:pStyle w:val="BodyText"/>
        <w:spacing w:before="240" w:line="230" w:lineRule="auto"/>
        <w:ind w:left="1431"/>
      </w:pPr>
      <w:r>
        <w:rPr>
          <w:color w:val="221F1F"/>
        </w:rPr>
        <w:t>The</w:t>
      </w:r>
      <w:r>
        <w:rPr>
          <w:color w:val="221F1F"/>
          <w:spacing w:val="-1"/>
        </w:rPr>
        <w:t xml:space="preserve"> </w:t>
      </w:r>
      <w:r>
        <w:rPr>
          <w:color w:val="221F1F"/>
        </w:rPr>
        <w:t>risks</w:t>
      </w:r>
      <w:r>
        <w:rPr>
          <w:color w:val="221F1F"/>
          <w:spacing w:val="-3"/>
        </w:rPr>
        <w:t xml:space="preserve"> </w:t>
      </w:r>
      <w:r>
        <w:rPr>
          <w:color w:val="221F1F"/>
        </w:rPr>
        <w:t>referred</w:t>
      </w:r>
      <w:r>
        <w:rPr>
          <w:color w:val="221F1F"/>
          <w:spacing w:val="-3"/>
        </w:rPr>
        <w:t xml:space="preserve"> </w:t>
      </w:r>
      <w:r>
        <w:rPr>
          <w:color w:val="221F1F"/>
        </w:rPr>
        <w:t>to</w:t>
      </w:r>
      <w:r>
        <w:rPr>
          <w:color w:val="221F1F"/>
          <w:spacing w:val="-4"/>
        </w:rPr>
        <w:t xml:space="preserve"> </w:t>
      </w:r>
      <w:r>
        <w:rPr>
          <w:color w:val="221F1F"/>
        </w:rPr>
        <w:t>in</w:t>
      </w:r>
      <w:r>
        <w:rPr>
          <w:color w:val="221F1F"/>
          <w:spacing w:val="-1"/>
        </w:rPr>
        <w:t xml:space="preserve"> </w:t>
      </w:r>
      <w:r>
        <w:rPr>
          <w:color w:val="221F1F"/>
        </w:rPr>
        <w:t>Sub-Clause</w:t>
      </w:r>
      <w:r>
        <w:rPr>
          <w:color w:val="221F1F"/>
          <w:spacing w:val="-1"/>
        </w:rPr>
        <w:t xml:space="preserve"> </w:t>
      </w:r>
      <w:r>
        <w:rPr>
          <w:color w:val="221F1F"/>
        </w:rPr>
        <w:t>17.4</w:t>
      </w:r>
      <w:r>
        <w:rPr>
          <w:color w:val="221F1F"/>
          <w:spacing w:val="-1"/>
        </w:rPr>
        <w:t xml:space="preserve"> </w:t>
      </w:r>
      <w:r>
        <w:rPr>
          <w:color w:val="221F1F"/>
        </w:rPr>
        <w:t>[Consequences</w:t>
      </w:r>
      <w:r>
        <w:rPr>
          <w:color w:val="221F1F"/>
          <w:spacing w:val="-1"/>
        </w:rPr>
        <w:t xml:space="preserve"> </w:t>
      </w:r>
      <w:r>
        <w:rPr>
          <w:color w:val="221F1F"/>
        </w:rPr>
        <w:t>of Procuring</w:t>
      </w:r>
      <w:r>
        <w:rPr>
          <w:color w:val="221F1F"/>
          <w:spacing w:val="-1"/>
        </w:rPr>
        <w:t xml:space="preserve"> </w:t>
      </w:r>
      <w:r>
        <w:rPr>
          <w:color w:val="221F1F"/>
        </w:rPr>
        <w:t>Entity's</w:t>
      </w:r>
      <w:r>
        <w:rPr>
          <w:color w:val="221F1F"/>
          <w:spacing w:val="-1"/>
        </w:rPr>
        <w:t xml:space="preserve"> </w:t>
      </w:r>
      <w:r>
        <w:rPr>
          <w:color w:val="221F1F"/>
        </w:rPr>
        <w:t>Risks] below,</w:t>
      </w:r>
      <w:r>
        <w:rPr>
          <w:color w:val="221F1F"/>
          <w:spacing w:val="-4"/>
        </w:rPr>
        <w:t xml:space="preserve"> </w:t>
      </w:r>
      <w:r>
        <w:rPr>
          <w:color w:val="221F1F"/>
        </w:rPr>
        <w:t>in so</w:t>
      </w:r>
      <w:r>
        <w:rPr>
          <w:color w:val="221F1F"/>
          <w:spacing w:val="-4"/>
        </w:rPr>
        <w:t xml:space="preserve"> </w:t>
      </w:r>
      <w:r>
        <w:rPr>
          <w:color w:val="221F1F"/>
        </w:rPr>
        <w:t>far</w:t>
      </w:r>
      <w:r>
        <w:rPr>
          <w:color w:val="221F1F"/>
          <w:spacing w:val="-1"/>
        </w:rPr>
        <w:t xml:space="preserve"> </w:t>
      </w:r>
      <w:r>
        <w:rPr>
          <w:color w:val="221F1F"/>
        </w:rPr>
        <w:t>as</w:t>
      </w:r>
      <w:r>
        <w:rPr>
          <w:color w:val="221F1F"/>
          <w:spacing w:val="-3"/>
        </w:rPr>
        <w:t xml:space="preserve"> </w:t>
      </w:r>
      <w:r>
        <w:rPr>
          <w:color w:val="221F1F"/>
        </w:rPr>
        <w:t>they directly affect the execution of the Works in Kenya, are:</w:t>
      </w:r>
    </w:p>
    <w:p w:rsidR="007F6DF9" w:rsidRDefault="00A43FBC">
      <w:pPr>
        <w:pStyle w:val="ListParagraph"/>
        <w:numPr>
          <w:ilvl w:val="0"/>
          <w:numId w:val="87"/>
        </w:numPr>
        <w:tabs>
          <w:tab w:val="left" w:pos="1875"/>
        </w:tabs>
        <w:spacing w:before="41"/>
      </w:pPr>
      <w:r>
        <w:rPr>
          <w:color w:val="221F1F"/>
        </w:rPr>
        <w:t>War</w:t>
      </w:r>
      <w:r>
        <w:rPr>
          <w:color w:val="221F1F"/>
          <w:spacing w:val="-8"/>
        </w:rPr>
        <w:t xml:space="preserve"> </w:t>
      </w:r>
      <w:r>
        <w:rPr>
          <w:color w:val="221F1F"/>
        </w:rPr>
        <w:t>hostilities</w:t>
      </w:r>
      <w:r>
        <w:rPr>
          <w:color w:val="221F1F"/>
          <w:spacing w:val="-3"/>
        </w:rPr>
        <w:t xml:space="preserve"> </w:t>
      </w:r>
      <w:r>
        <w:rPr>
          <w:color w:val="221F1F"/>
        </w:rPr>
        <w:t>(whether</w:t>
      </w:r>
      <w:r>
        <w:rPr>
          <w:color w:val="221F1F"/>
          <w:spacing w:val="-2"/>
        </w:rPr>
        <w:t xml:space="preserve"> </w:t>
      </w:r>
      <w:r>
        <w:rPr>
          <w:color w:val="221F1F"/>
        </w:rPr>
        <w:t>war</w:t>
      </w:r>
      <w:r>
        <w:rPr>
          <w:color w:val="221F1F"/>
          <w:spacing w:val="-2"/>
        </w:rPr>
        <w:t xml:space="preserve"> </w:t>
      </w:r>
      <w:r>
        <w:rPr>
          <w:color w:val="221F1F"/>
        </w:rPr>
        <w:t>be</w:t>
      </w:r>
      <w:r>
        <w:rPr>
          <w:color w:val="221F1F"/>
          <w:spacing w:val="-4"/>
        </w:rPr>
        <w:t xml:space="preserve"> </w:t>
      </w:r>
      <w:r>
        <w:rPr>
          <w:color w:val="221F1F"/>
        </w:rPr>
        <w:t>declared</w:t>
      </w:r>
      <w:r>
        <w:rPr>
          <w:color w:val="221F1F"/>
          <w:spacing w:val="-4"/>
        </w:rPr>
        <w:t xml:space="preserve"> </w:t>
      </w:r>
      <w:r>
        <w:rPr>
          <w:color w:val="221F1F"/>
        </w:rPr>
        <w:t>or</w:t>
      </w:r>
      <w:r>
        <w:rPr>
          <w:color w:val="221F1F"/>
          <w:spacing w:val="-5"/>
        </w:rPr>
        <w:t xml:space="preserve"> </w:t>
      </w:r>
      <w:r>
        <w:rPr>
          <w:color w:val="221F1F"/>
          <w:spacing w:val="-4"/>
        </w:rPr>
        <w:t>not),</w:t>
      </w:r>
    </w:p>
    <w:p w:rsidR="007F6DF9" w:rsidRDefault="00A43FBC">
      <w:pPr>
        <w:pStyle w:val="ListParagraph"/>
        <w:numPr>
          <w:ilvl w:val="0"/>
          <w:numId w:val="87"/>
        </w:numPr>
        <w:tabs>
          <w:tab w:val="left" w:pos="1875"/>
          <w:tab w:val="left" w:pos="1880"/>
        </w:tabs>
        <w:spacing w:before="48" w:line="230" w:lineRule="auto"/>
        <w:ind w:left="1880" w:right="573" w:hanging="449"/>
      </w:pPr>
      <w:r>
        <w:rPr>
          <w:color w:val="221F1F"/>
        </w:rPr>
        <w:t>rebellion,</w:t>
      </w:r>
      <w:r>
        <w:rPr>
          <w:color w:val="221F1F"/>
          <w:spacing w:val="40"/>
        </w:rPr>
        <w:t xml:space="preserve"> </w:t>
      </w:r>
      <w:r>
        <w:rPr>
          <w:color w:val="221F1F"/>
        </w:rPr>
        <w:t>riot,</w:t>
      </w:r>
      <w:r>
        <w:rPr>
          <w:color w:val="221F1F"/>
          <w:spacing w:val="40"/>
        </w:rPr>
        <w:t xml:space="preserve"> </w:t>
      </w:r>
      <w:r>
        <w:rPr>
          <w:color w:val="221F1F"/>
        </w:rPr>
        <w:t>commotion</w:t>
      </w:r>
      <w:r>
        <w:rPr>
          <w:color w:val="221F1F"/>
          <w:spacing w:val="40"/>
        </w:rPr>
        <w:t xml:space="preserve"> </w:t>
      </w:r>
      <w:r>
        <w:rPr>
          <w:color w:val="221F1F"/>
        </w:rPr>
        <w:t>or</w:t>
      </w:r>
      <w:r>
        <w:rPr>
          <w:color w:val="221F1F"/>
          <w:spacing w:val="40"/>
        </w:rPr>
        <w:t xml:space="preserve"> </w:t>
      </w:r>
      <w:r>
        <w:rPr>
          <w:color w:val="221F1F"/>
        </w:rPr>
        <w:t>disorder,</w:t>
      </w:r>
      <w:r>
        <w:rPr>
          <w:color w:val="221F1F"/>
          <w:spacing w:val="38"/>
        </w:rPr>
        <w:t xml:space="preserve"> </w:t>
      </w:r>
      <w:r>
        <w:rPr>
          <w:color w:val="221F1F"/>
        </w:rPr>
        <w:t>terrorism,</w:t>
      </w:r>
      <w:r>
        <w:rPr>
          <w:color w:val="221F1F"/>
          <w:spacing w:val="40"/>
        </w:rPr>
        <w:t xml:space="preserve"> </w:t>
      </w:r>
      <w:r>
        <w:rPr>
          <w:color w:val="221F1F"/>
        </w:rPr>
        <w:t>sabotage</w:t>
      </w:r>
      <w:r>
        <w:rPr>
          <w:color w:val="221F1F"/>
          <w:spacing w:val="40"/>
        </w:rPr>
        <w:t xml:space="preserve"> </w:t>
      </w:r>
      <w:r>
        <w:rPr>
          <w:color w:val="221F1F"/>
        </w:rPr>
        <w:t>by</w:t>
      </w:r>
      <w:r>
        <w:rPr>
          <w:color w:val="221F1F"/>
          <w:spacing w:val="40"/>
        </w:rPr>
        <w:t xml:space="preserve"> </w:t>
      </w:r>
      <w:r>
        <w:rPr>
          <w:color w:val="221F1F"/>
        </w:rPr>
        <w:t>persons</w:t>
      </w:r>
      <w:r>
        <w:rPr>
          <w:color w:val="221F1F"/>
          <w:spacing w:val="40"/>
        </w:rPr>
        <w:t xml:space="preserve"> </w:t>
      </w:r>
      <w:r>
        <w:rPr>
          <w:color w:val="221F1F"/>
        </w:rPr>
        <w:t>other</w:t>
      </w:r>
      <w:r>
        <w:rPr>
          <w:color w:val="221F1F"/>
          <w:spacing w:val="40"/>
        </w:rPr>
        <w:t xml:space="preserve"> </w:t>
      </w:r>
      <w:r>
        <w:rPr>
          <w:color w:val="221F1F"/>
        </w:rPr>
        <w:t>than</w:t>
      </w:r>
      <w:r>
        <w:rPr>
          <w:color w:val="221F1F"/>
          <w:spacing w:val="40"/>
        </w:rPr>
        <w:t xml:space="preserve"> </w:t>
      </w:r>
      <w:r>
        <w:rPr>
          <w:color w:val="221F1F"/>
        </w:rPr>
        <w:t>the</w:t>
      </w:r>
      <w:r>
        <w:rPr>
          <w:color w:val="221F1F"/>
          <w:spacing w:val="40"/>
        </w:rPr>
        <w:t xml:space="preserve"> </w:t>
      </w:r>
      <w:r>
        <w:rPr>
          <w:color w:val="221F1F"/>
        </w:rPr>
        <w:t xml:space="preserve">Contractor's </w:t>
      </w:r>
      <w:r>
        <w:rPr>
          <w:color w:val="221F1F"/>
          <w:spacing w:val="-2"/>
        </w:rPr>
        <w:t>Personnel,</w:t>
      </w:r>
    </w:p>
    <w:p w:rsidR="007F6DF9" w:rsidRDefault="00A43FBC">
      <w:pPr>
        <w:pStyle w:val="ListParagraph"/>
        <w:numPr>
          <w:ilvl w:val="0"/>
          <w:numId w:val="87"/>
        </w:numPr>
        <w:tabs>
          <w:tab w:val="left" w:pos="1875"/>
          <w:tab w:val="left" w:pos="1880"/>
        </w:tabs>
        <w:spacing w:before="50" w:line="230" w:lineRule="auto"/>
        <w:ind w:left="1880" w:right="564" w:hanging="449"/>
      </w:pPr>
      <w:r>
        <w:rPr>
          <w:color w:val="221F1F"/>
        </w:rPr>
        <w:t>explosive</w:t>
      </w:r>
      <w:r>
        <w:rPr>
          <w:color w:val="221F1F"/>
          <w:spacing w:val="78"/>
        </w:rPr>
        <w:t xml:space="preserve"> </w:t>
      </w:r>
      <w:r>
        <w:rPr>
          <w:color w:val="221F1F"/>
        </w:rPr>
        <w:t>materials,</w:t>
      </w:r>
      <w:r>
        <w:rPr>
          <w:color w:val="221F1F"/>
          <w:spacing w:val="79"/>
        </w:rPr>
        <w:t xml:space="preserve"> </w:t>
      </w:r>
      <w:r>
        <w:rPr>
          <w:color w:val="221F1F"/>
        </w:rPr>
        <w:t>ionizing</w:t>
      </w:r>
      <w:r>
        <w:rPr>
          <w:color w:val="221F1F"/>
          <w:spacing w:val="77"/>
        </w:rPr>
        <w:t xml:space="preserve"> </w:t>
      </w:r>
      <w:proofErr w:type="spellStart"/>
      <w:r>
        <w:rPr>
          <w:color w:val="221F1F"/>
        </w:rPr>
        <w:t>gradiation</w:t>
      </w:r>
      <w:proofErr w:type="spellEnd"/>
      <w:r>
        <w:rPr>
          <w:color w:val="221F1F"/>
          <w:spacing w:val="77"/>
        </w:rPr>
        <w:t xml:space="preserve"> </w:t>
      </w:r>
      <w:r>
        <w:rPr>
          <w:color w:val="221F1F"/>
        </w:rPr>
        <w:t>or</w:t>
      </w:r>
      <w:r>
        <w:rPr>
          <w:color w:val="221F1F"/>
          <w:spacing w:val="78"/>
        </w:rPr>
        <w:t xml:space="preserve"> </w:t>
      </w:r>
      <w:r>
        <w:rPr>
          <w:color w:val="221F1F"/>
        </w:rPr>
        <w:t>contamination</w:t>
      </w:r>
      <w:r>
        <w:rPr>
          <w:color w:val="221F1F"/>
          <w:spacing w:val="76"/>
        </w:rPr>
        <w:t xml:space="preserve"> </w:t>
      </w:r>
      <w:r>
        <w:rPr>
          <w:color w:val="221F1F"/>
        </w:rPr>
        <w:t>by</w:t>
      </w:r>
      <w:r>
        <w:rPr>
          <w:color w:val="221F1F"/>
          <w:spacing w:val="77"/>
        </w:rPr>
        <w:t xml:space="preserve"> </w:t>
      </w:r>
      <w:r>
        <w:rPr>
          <w:color w:val="221F1F"/>
        </w:rPr>
        <w:t>radio-activity,</w:t>
      </w:r>
      <w:r>
        <w:rPr>
          <w:color w:val="221F1F"/>
          <w:spacing w:val="76"/>
        </w:rPr>
        <w:t xml:space="preserve"> </w:t>
      </w:r>
      <w:r>
        <w:rPr>
          <w:color w:val="221F1F"/>
        </w:rPr>
        <w:t>except</w:t>
      </w:r>
      <w:r>
        <w:rPr>
          <w:color w:val="221F1F"/>
          <w:spacing w:val="78"/>
        </w:rPr>
        <w:t xml:space="preserve"> </w:t>
      </w:r>
      <w:r>
        <w:rPr>
          <w:color w:val="221F1F"/>
        </w:rPr>
        <w:t>as</w:t>
      </w:r>
      <w:r>
        <w:rPr>
          <w:color w:val="221F1F"/>
          <w:spacing w:val="75"/>
        </w:rPr>
        <w:t xml:space="preserve"> </w:t>
      </w:r>
      <w:r>
        <w:rPr>
          <w:color w:val="221F1F"/>
        </w:rPr>
        <w:t>may</w:t>
      </w:r>
      <w:r>
        <w:rPr>
          <w:color w:val="221F1F"/>
          <w:spacing w:val="77"/>
        </w:rPr>
        <w:t xml:space="preserve"> </w:t>
      </w:r>
      <w:r>
        <w:rPr>
          <w:color w:val="221F1F"/>
        </w:rPr>
        <w:t>be attributable to the Contractor's use of such explosives, radiation or radio-activity,</w:t>
      </w:r>
    </w:p>
    <w:p w:rsidR="007F6DF9" w:rsidRDefault="00A43FBC">
      <w:pPr>
        <w:pStyle w:val="ListParagraph"/>
        <w:numPr>
          <w:ilvl w:val="0"/>
          <w:numId w:val="87"/>
        </w:numPr>
        <w:tabs>
          <w:tab w:val="left" w:pos="1875"/>
        </w:tabs>
        <w:spacing w:before="41"/>
      </w:pPr>
      <w:r>
        <w:rPr>
          <w:color w:val="221F1F"/>
        </w:rPr>
        <w:t>pressure</w:t>
      </w:r>
      <w:r>
        <w:rPr>
          <w:color w:val="221F1F"/>
          <w:spacing w:val="-5"/>
        </w:rPr>
        <w:t xml:space="preserve"> </w:t>
      </w:r>
      <w:r>
        <w:rPr>
          <w:color w:val="221F1F"/>
        </w:rPr>
        <w:t>waves</w:t>
      </w:r>
      <w:r>
        <w:rPr>
          <w:color w:val="221F1F"/>
          <w:spacing w:val="-4"/>
        </w:rPr>
        <w:t xml:space="preserve"> </w:t>
      </w:r>
      <w:r>
        <w:rPr>
          <w:color w:val="221F1F"/>
        </w:rPr>
        <w:t>caused</w:t>
      </w:r>
      <w:r>
        <w:rPr>
          <w:color w:val="221F1F"/>
          <w:spacing w:val="-3"/>
        </w:rPr>
        <w:t xml:space="preserve"> </w:t>
      </w:r>
      <w:r>
        <w:rPr>
          <w:color w:val="221F1F"/>
        </w:rPr>
        <w:t>by</w:t>
      </w:r>
      <w:r>
        <w:rPr>
          <w:color w:val="221F1F"/>
          <w:spacing w:val="-4"/>
        </w:rPr>
        <w:t xml:space="preserve"> </w:t>
      </w:r>
      <w:r>
        <w:rPr>
          <w:color w:val="221F1F"/>
        </w:rPr>
        <w:t>aircraft</w:t>
      </w:r>
      <w:r>
        <w:rPr>
          <w:color w:val="221F1F"/>
          <w:spacing w:val="-2"/>
        </w:rPr>
        <w:t xml:space="preserve"> </w:t>
      </w:r>
      <w:r>
        <w:rPr>
          <w:color w:val="221F1F"/>
        </w:rPr>
        <w:t>or</w:t>
      </w:r>
      <w:r>
        <w:rPr>
          <w:color w:val="221F1F"/>
          <w:spacing w:val="-3"/>
        </w:rPr>
        <w:t xml:space="preserve"> </w:t>
      </w:r>
      <w:r>
        <w:rPr>
          <w:color w:val="221F1F"/>
        </w:rPr>
        <w:t>other</w:t>
      </w:r>
      <w:r>
        <w:rPr>
          <w:color w:val="221F1F"/>
          <w:spacing w:val="-3"/>
        </w:rPr>
        <w:t xml:space="preserve"> </w:t>
      </w:r>
      <w:r>
        <w:rPr>
          <w:color w:val="221F1F"/>
        </w:rPr>
        <w:t>aerial</w:t>
      </w:r>
      <w:r>
        <w:rPr>
          <w:color w:val="221F1F"/>
          <w:spacing w:val="-2"/>
        </w:rPr>
        <w:t xml:space="preserve"> </w:t>
      </w:r>
      <w:r>
        <w:rPr>
          <w:color w:val="221F1F"/>
        </w:rPr>
        <w:t>devices</w:t>
      </w:r>
      <w:r>
        <w:rPr>
          <w:color w:val="221F1F"/>
          <w:spacing w:val="-3"/>
        </w:rPr>
        <w:t xml:space="preserve"> </w:t>
      </w:r>
      <w:r>
        <w:rPr>
          <w:color w:val="221F1F"/>
        </w:rPr>
        <w:t>traveling</w:t>
      </w:r>
      <w:r>
        <w:rPr>
          <w:color w:val="221F1F"/>
          <w:spacing w:val="-4"/>
        </w:rPr>
        <w:t xml:space="preserve"> </w:t>
      </w:r>
      <w:r>
        <w:rPr>
          <w:color w:val="221F1F"/>
        </w:rPr>
        <w:t>at</w:t>
      </w:r>
      <w:r>
        <w:rPr>
          <w:color w:val="221F1F"/>
          <w:spacing w:val="-3"/>
        </w:rPr>
        <w:t xml:space="preserve"> </w:t>
      </w:r>
      <w:r>
        <w:rPr>
          <w:color w:val="221F1F"/>
        </w:rPr>
        <w:t>sonic</w:t>
      </w:r>
      <w:r>
        <w:rPr>
          <w:color w:val="221F1F"/>
          <w:spacing w:val="-5"/>
        </w:rPr>
        <w:t xml:space="preserve"> </w:t>
      </w:r>
      <w:r>
        <w:rPr>
          <w:color w:val="221F1F"/>
        </w:rPr>
        <w:t>or</w:t>
      </w:r>
      <w:r>
        <w:rPr>
          <w:color w:val="221F1F"/>
          <w:spacing w:val="-3"/>
        </w:rPr>
        <w:t xml:space="preserve"> </w:t>
      </w:r>
      <w:r>
        <w:rPr>
          <w:color w:val="221F1F"/>
        </w:rPr>
        <w:t>supersonic</w:t>
      </w:r>
      <w:r>
        <w:rPr>
          <w:color w:val="221F1F"/>
          <w:spacing w:val="-5"/>
        </w:rPr>
        <w:t xml:space="preserve"> </w:t>
      </w:r>
      <w:r>
        <w:rPr>
          <w:color w:val="221F1F"/>
          <w:spacing w:val="-2"/>
        </w:rPr>
        <w:t>speeds,</w:t>
      </w:r>
    </w:p>
    <w:p w:rsidR="007F6DF9" w:rsidRDefault="00A43FBC">
      <w:pPr>
        <w:pStyle w:val="ListParagraph"/>
        <w:numPr>
          <w:ilvl w:val="0"/>
          <w:numId w:val="87"/>
        </w:numPr>
        <w:tabs>
          <w:tab w:val="left" w:pos="1875"/>
          <w:tab w:val="left" w:pos="1880"/>
        </w:tabs>
        <w:spacing w:before="250" w:line="232" w:lineRule="auto"/>
        <w:ind w:left="1880" w:right="1136" w:hanging="449"/>
      </w:pPr>
      <w:r>
        <w:rPr>
          <w:color w:val="221F1F"/>
        </w:rPr>
        <w:t>use</w:t>
      </w:r>
      <w:r>
        <w:rPr>
          <w:color w:val="221F1F"/>
          <w:spacing w:val="-2"/>
        </w:rPr>
        <w:t xml:space="preserve"> </w:t>
      </w:r>
      <w:r>
        <w:rPr>
          <w:color w:val="221F1F"/>
        </w:rPr>
        <w:t>or</w:t>
      </w:r>
      <w:r>
        <w:rPr>
          <w:color w:val="221F1F"/>
          <w:spacing w:val="-2"/>
        </w:rPr>
        <w:t xml:space="preserve"> </w:t>
      </w:r>
      <w:r>
        <w:rPr>
          <w:color w:val="221F1F"/>
        </w:rPr>
        <w:t>occupation</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of</w:t>
      </w:r>
      <w:r>
        <w:rPr>
          <w:color w:val="221F1F"/>
          <w:spacing w:val="-2"/>
        </w:rPr>
        <w:t xml:space="preserve"> </w:t>
      </w:r>
      <w:r>
        <w:rPr>
          <w:color w:val="221F1F"/>
        </w:rPr>
        <w:t>any</w:t>
      </w:r>
      <w:r>
        <w:rPr>
          <w:color w:val="221F1F"/>
          <w:spacing w:val="-5"/>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Permanent</w:t>
      </w:r>
      <w:r>
        <w:rPr>
          <w:color w:val="221F1F"/>
          <w:spacing w:val="-2"/>
        </w:rPr>
        <w:t xml:space="preserve"> </w:t>
      </w:r>
      <w:r>
        <w:rPr>
          <w:color w:val="221F1F"/>
        </w:rPr>
        <w:t>Works,</w:t>
      </w:r>
      <w:r>
        <w:rPr>
          <w:color w:val="221F1F"/>
          <w:spacing w:val="-10"/>
        </w:rPr>
        <w:t xml:space="preserve"> </w:t>
      </w:r>
      <w:r>
        <w:rPr>
          <w:color w:val="221F1F"/>
        </w:rPr>
        <w:t>except</w:t>
      </w:r>
      <w:r>
        <w:rPr>
          <w:color w:val="221F1F"/>
          <w:spacing w:val="-2"/>
        </w:rPr>
        <w:t xml:space="preserve"> </w:t>
      </w:r>
      <w:r>
        <w:rPr>
          <w:color w:val="221F1F"/>
        </w:rPr>
        <w:t>as</w:t>
      </w:r>
      <w:r>
        <w:rPr>
          <w:color w:val="221F1F"/>
          <w:spacing w:val="-3"/>
        </w:rPr>
        <w:t xml:space="preserve"> </w:t>
      </w:r>
      <w:r>
        <w:rPr>
          <w:color w:val="221F1F"/>
        </w:rPr>
        <w:t>may</w:t>
      </w:r>
      <w:r>
        <w:rPr>
          <w:color w:val="221F1F"/>
          <w:spacing w:val="-3"/>
        </w:rPr>
        <w:t xml:space="preserve"> </w:t>
      </w:r>
      <w:r>
        <w:rPr>
          <w:color w:val="221F1F"/>
        </w:rPr>
        <w:t>be specified in the Contract,</w:t>
      </w:r>
    </w:p>
    <w:p w:rsidR="007F6DF9" w:rsidRDefault="00A43FBC">
      <w:pPr>
        <w:pStyle w:val="ListParagraph"/>
        <w:numPr>
          <w:ilvl w:val="0"/>
          <w:numId w:val="87"/>
        </w:numPr>
        <w:tabs>
          <w:tab w:val="left" w:pos="1875"/>
          <w:tab w:val="left" w:pos="1880"/>
        </w:tabs>
        <w:spacing w:line="230" w:lineRule="auto"/>
        <w:ind w:left="1880" w:right="1337" w:hanging="449"/>
      </w:pPr>
      <w:r>
        <w:rPr>
          <w:color w:val="221F1F"/>
        </w:rPr>
        <w:t>design</w:t>
      </w:r>
      <w:r>
        <w:rPr>
          <w:color w:val="221F1F"/>
          <w:spacing w:val="-3"/>
        </w:rPr>
        <w:t xml:space="preserve"> </w:t>
      </w:r>
      <w:r>
        <w:rPr>
          <w:color w:val="221F1F"/>
        </w:rPr>
        <w:t>of</w:t>
      </w:r>
      <w:r>
        <w:rPr>
          <w:color w:val="221F1F"/>
          <w:spacing w:val="-5"/>
        </w:rPr>
        <w:t xml:space="preserve"> </w:t>
      </w:r>
      <w:r>
        <w:rPr>
          <w:color w:val="221F1F"/>
        </w:rPr>
        <w:t>any</w:t>
      </w:r>
      <w:r>
        <w:rPr>
          <w:color w:val="221F1F"/>
          <w:spacing w:val="-3"/>
        </w:rPr>
        <w:t xml:space="preserve"> </w:t>
      </w:r>
      <w:r>
        <w:rPr>
          <w:color w:val="221F1F"/>
        </w:rPr>
        <w:t>part</w:t>
      </w:r>
      <w:r>
        <w:rPr>
          <w:color w:val="221F1F"/>
          <w:spacing w:val="-2"/>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r>
        <w:rPr>
          <w:color w:val="221F1F"/>
          <w:spacing w:val="-1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5"/>
        </w:rPr>
        <w:t xml:space="preserve"> </w:t>
      </w:r>
      <w:r>
        <w:rPr>
          <w:color w:val="221F1F"/>
        </w:rPr>
        <w:t>Entity's</w:t>
      </w:r>
      <w:r>
        <w:rPr>
          <w:color w:val="221F1F"/>
          <w:spacing w:val="-3"/>
        </w:rPr>
        <w:t xml:space="preserve"> </w:t>
      </w:r>
      <w:r>
        <w:rPr>
          <w:color w:val="221F1F"/>
        </w:rPr>
        <w:t>Personnel</w:t>
      </w:r>
      <w:r>
        <w:rPr>
          <w:color w:val="221F1F"/>
          <w:spacing w:val="-2"/>
        </w:rPr>
        <w:t xml:space="preserve"> </w:t>
      </w:r>
      <w:r>
        <w:rPr>
          <w:color w:val="221F1F"/>
        </w:rPr>
        <w:t>or</w:t>
      </w:r>
      <w:r>
        <w:rPr>
          <w:color w:val="221F1F"/>
          <w:spacing w:val="-2"/>
        </w:rPr>
        <w:t xml:space="preserve"> </w:t>
      </w:r>
      <w:r>
        <w:rPr>
          <w:color w:val="221F1F"/>
        </w:rPr>
        <w:t>by</w:t>
      </w:r>
      <w:r>
        <w:rPr>
          <w:color w:val="221F1F"/>
          <w:spacing w:val="-3"/>
        </w:rPr>
        <w:t xml:space="preserve"> </w:t>
      </w:r>
      <w:r>
        <w:rPr>
          <w:color w:val="221F1F"/>
        </w:rPr>
        <w:t>others</w:t>
      </w:r>
      <w:r>
        <w:rPr>
          <w:color w:val="221F1F"/>
          <w:spacing w:val="-2"/>
        </w:rPr>
        <w:t xml:space="preserve"> </w:t>
      </w:r>
      <w:r>
        <w:rPr>
          <w:color w:val="221F1F"/>
        </w:rPr>
        <w:t>for</w:t>
      </w:r>
      <w:r>
        <w:rPr>
          <w:color w:val="221F1F"/>
          <w:spacing w:val="-2"/>
        </w:rPr>
        <w:t xml:space="preserve"> </w:t>
      </w:r>
      <w:r>
        <w:rPr>
          <w:color w:val="221F1F"/>
        </w:rPr>
        <w:t>whom</w:t>
      </w:r>
      <w:r>
        <w:rPr>
          <w:color w:val="221F1F"/>
          <w:spacing w:val="-2"/>
        </w:rPr>
        <w:t xml:space="preserve"> </w:t>
      </w:r>
      <w:r>
        <w:rPr>
          <w:color w:val="221F1F"/>
        </w:rPr>
        <w:t>the Procuring Entity is responsible, and</w:t>
      </w:r>
    </w:p>
    <w:p w:rsidR="007F6DF9" w:rsidRDefault="00A43FBC">
      <w:pPr>
        <w:pStyle w:val="ListParagraph"/>
        <w:numPr>
          <w:ilvl w:val="0"/>
          <w:numId w:val="87"/>
        </w:numPr>
        <w:tabs>
          <w:tab w:val="left" w:pos="1875"/>
          <w:tab w:val="left" w:pos="1880"/>
        </w:tabs>
        <w:spacing w:line="230" w:lineRule="auto"/>
        <w:ind w:left="1880" w:right="873" w:hanging="449"/>
      </w:pPr>
      <w:r>
        <w:rPr>
          <w:color w:val="221F1F"/>
        </w:rPr>
        <w:t>any operation of the forces of nature which is Unforeseeable or against which an experienced contractor</w:t>
      </w:r>
      <w:r>
        <w:rPr>
          <w:color w:val="221F1F"/>
          <w:spacing w:val="-4"/>
        </w:rPr>
        <w:t xml:space="preserve"> </w:t>
      </w:r>
      <w:r>
        <w:rPr>
          <w:color w:val="221F1F"/>
        </w:rPr>
        <w:t>could</w:t>
      </w:r>
      <w:r>
        <w:rPr>
          <w:color w:val="221F1F"/>
          <w:spacing w:val="-2"/>
        </w:rPr>
        <w:t xml:space="preserve"> </w:t>
      </w:r>
      <w:r>
        <w:rPr>
          <w:color w:val="221F1F"/>
        </w:rPr>
        <w:t>not</w:t>
      </w:r>
      <w:r>
        <w:rPr>
          <w:color w:val="221F1F"/>
          <w:spacing w:val="-2"/>
        </w:rPr>
        <w:t xml:space="preserve"> </w:t>
      </w:r>
      <w:r>
        <w:rPr>
          <w:color w:val="221F1F"/>
        </w:rPr>
        <w:t>reasonably</w:t>
      </w:r>
      <w:r>
        <w:rPr>
          <w:color w:val="221F1F"/>
          <w:spacing w:val="-2"/>
        </w:rPr>
        <w:t xml:space="preserve"> </w:t>
      </w:r>
      <w:r>
        <w:rPr>
          <w:color w:val="221F1F"/>
        </w:rPr>
        <w:t>have</w:t>
      </w:r>
      <w:r>
        <w:rPr>
          <w:color w:val="221F1F"/>
          <w:spacing w:val="-2"/>
        </w:rPr>
        <w:t xml:space="preserve"> </w:t>
      </w:r>
      <w:r>
        <w:rPr>
          <w:color w:val="221F1F"/>
        </w:rPr>
        <w:t>been</w:t>
      </w:r>
      <w:r>
        <w:rPr>
          <w:color w:val="221F1F"/>
          <w:spacing w:val="-4"/>
        </w:rPr>
        <w:t xml:space="preserve"> </w:t>
      </w:r>
      <w:r>
        <w:rPr>
          <w:color w:val="221F1F"/>
        </w:rPr>
        <w:t>expected</w:t>
      </w:r>
      <w:r>
        <w:rPr>
          <w:color w:val="221F1F"/>
          <w:spacing w:val="-2"/>
        </w:rPr>
        <w:t xml:space="preserve"> </w:t>
      </w:r>
      <w:r>
        <w:rPr>
          <w:color w:val="221F1F"/>
        </w:rPr>
        <w:t>to</w:t>
      </w:r>
      <w:r>
        <w:rPr>
          <w:color w:val="221F1F"/>
          <w:spacing w:val="-5"/>
        </w:rPr>
        <w:t xml:space="preserve"> </w:t>
      </w:r>
      <w:r>
        <w:rPr>
          <w:color w:val="221F1F"/>
        </w:rPr>
        <w:t>have</w:t>
      </w:r>
      <w:r>
        <w:rPr>
          <w:color w:val="221F1F"/>
          <w:spacing w:val="-4"/>
        </w:rPr>
        <w:t xml:space="preserve"> </w:t>
      </w:r>
      <w:r>
        <w:rPr>
          <w:color w:val="221F1F"/>
        </w:rPr>
        <w:t>taken</w:t>
      </w:r>
      <w:r>
        <w:rPr>
          <w:color w:val="221F1F"/>
          <w:spacing w:val="-3"/>
        </w:rPr>
        <w:t xml:space="preserve"> </w:t>
      </w:r>
      <w:r>
        <w:rPr>
          <w:color w:val="221F1F"/>
        </w:rPr>
        <w:t>adequate</w:t>
      </w:r>
      <w:r>
        <w:rPr>
          <w:color w:val="221F1F"/>
          <w:spacing w:val="-3"/>
        </w:rPr>
        <w:t xml:space="preserve"> </w:t>
      </w:r>
      <w:r>
        <w:rPr>
          <w:color w:val="221F1F"/>
        </w:rPr>
        <w:t>preventive</w:t>
      </w:r>
      <w:r>
        <w:rPr>
          <w:color w:val="221F1F"/>
          <w:spacing w:val="-1"/>
        </w:rPr>
        <w:t xml:space="preserve"> </w:t>
      </w:r>
      <w:r>
        <w:rPr>
          <w:color w:val="221F1F"/>
        </w:rPr>
        <w:t>precautions.</w:t>
      </w:r>
    </w:p>
    <w:p w:rsidR="007F6DF9" w:rsidRDefault="00A43FBC">
      <w:pPr>
        <w:pStyle w:val="Heading9"/>
        <w:numPr>
          <w:ilvl w:val="1"/>
          <w:numId w:val="122"/>
        </w:numPr>
        <w:tabs>
          <w:tab w:val="left" w:pos="1431"/>
        </w:tabs>
        <w:spacing w:before="236"/>
        <w:ind w:left="1431" w:hanging="720"/>
        <w:rPr>
          <w:color w:val="221F1F"/>
        </w:rPr>
      </w:pPr>
      <w:r>
        <w:rPr>
          <w:color w:val="221F1F"/>
        </w:rPr>
        <w:t>Consequences</w:t>
      </w:r>
      <w:r>
        <w:rPr>
          <w:color w:val="221F1F"/>
          <w:spacing w:val="-7"/>
        </w:rPr>
        <w:t xml:space="preserve"> </w:t>
      </w:r>
      <w:r>
        <w:rPr>
          <w:color w:val="221F1F"/>
        </w:rPr>
        <w:t>of</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4"/>
        </w:rPr>
        <w:t xml:space="preserve"> Risks</w:t>
      </w:r>
    </w:p>
    <w:p w:rsidR="007F6DF9" w:rsidRDefault="00A43FBC">
      <w:pPr>
        <w:pStyle w:val="ListParagraph"/>
        <w:numPr>
          <w:ilvl w:val="2"/>
          <w:numId w:val="122"/>
        </w:numPr>
        <w:tabs>
          <w:tab w:val="left" w:pos="1428"/>
          <w:tab w:val="left" w:pos="1443"/>
        </w:tabs>
        <w:spacing w:before="243" w:line="230" w:lineRule="auto"/>
        <w:ind w:left="1443" w:right="564" w:hanging="733"/>
        <w:jc w:val="both"/>
        <w:rPr>
          <w:color w:val="221F1F"/>
        </w:rPr>
      </w:pPr>
      <w:r>
        <w:rPr>
          <w:color w:val="221F1F"/>
        </w:rPr>
        <w:t>If and to the extent that any of the risks listed in Sub-Clause 17.3 above results in loss or damage to the Works, Goods or Contractor's Documents, the Contractor shall promptly give notice to the Architect and shall rectify this loss or damage to the extent required by the Engineer.</w:t>
      </w:r>
    </w:p>
    <w:p w:rsidR="007F6DF9" w:rsidRDefault="00A43FBC">
      <w:pPr>
        <w:pStyle w:val="ListParagraph"/>
        <w:numPr>
          <w:ilvl w:val="2"/>
          <w:numId w:val="122"/>
        </w:numPr>
        <w:tabs>
          <w:tab w:val="left" w:pos="1428"/>
          <w:tab w:val="left" w:pos="1443"/>
        </w:tabs>
        <w:spacing w:before="243" w:line="230" w:lineRule="auto"/>
        <w:ind w:left="1443" w:right="563" w:hanging="733"/>
        <w:jc w:val="both"/>
        <w:rPr>
          <w:color w:val="221F1F"/>
        </w:rPr>
      </w:pPr>
      <w:r>
        <w:rPr>
          <w:color w:val="221F1F"/>
        </w:rPr>
        <w:t xml:space="preserve">If the Contractor suffers delay and/ or incurs Cost from rectifying this loss or damage, the Contractor shall give a further notice to the Architect and shall be entitled subject to Sub-Clause 20.1 [Contractor's Claims] </w:t>
      </w:r>
      <w:r>
        <w:rPr>
          <w:color w:val="221F1F"/>
          <w:spacing w:val="-4"/>
        </w:rPr>
        <w:t>to:</w:t>
      </w:r>
    </w:p>
    <w:p w:rsidR="007F6DF9" w:rsidRDefault="00A43FBC">
      <w:pPr>
        <w:pStyle w:val="ListParagraph"/>
        <w:numPr>
          <w:ilvl w:val="0"/>
          <w:numId w:val="86"/>
        </w:numPr>
        <w:tabs>
          <w:tab w:val="left" w:pos="1431"/>
          <w:tab w:val="left" w:pos="1443"/>
        </w:tabs>
        <w:spacing w:before="246" w:line="230" w:lineRule="auto"/>
        <w:ind w:right="563" w:hanging="733"/>
      </w:pPr>
      <w:r>
        <w:rPr>
          <w:color w:val="221F1F"/>
        </w:rPr>
        <w:t>An</w:t>
      </w:r>
      <w:r>
        <w:rPr>
          <w:color w:val="221F1F"/>
          <w:spacing w:val="-14"/>
        </w:rPr>
        <w:t xml:space="preserve"> </w:t>
      </w:r>
      <w:r>
        <w:rPr>
          <w:color w:val="221F1F"/>
        </w:rPr>
        <w:t>extension</w:t>
      </w:r>
      <w:r>
        <w:rPr>
          <w:color w:val="221F1F"/>
          <w:spacing w:val="-11"/>
        </w:rPr>
        <w:t xml:space="preserve"> </w:t>
      </w:r>
      <w:r>
        <w:rPr>
          <w:color w:val="221F1F"/>
        </w:rPr>
        <w:t>of</w:t>
      </w:r>
      <w:r>
        <w:rPr>
          <w:color w:val="221F1F"/>
          <w:spacing w:val="-13"/>
        </w:rPr>
        <w:t xml:space="preserve"> </w:t>
      </w:r>
      <w:r>
        <w:rPr>
          <w:color w:val="221F1F"/>
        </w:rPr>
        <w:t>time</w:t>
      </w:r>
      <w:r>
        <w:rPr>
          <w:color w:val="221F1F"/>
          <w:spacing w:val="-11"/>
        </w:rPr>
        <w:t xml:space="preserve"> </w:t>
      </w:r>
      <w:r>
        <w:rPr>
          <w:color w:val="221F1F"/>
        </w:rPr>
        <w:t>for</w:t>
      </w:r>
      <w:r>
        <w:rPr>
          <w:color w:val="221F1F"/>
          <w:spacing w:val="-10"/>
        </w:rPr>
        <w:t xml:space="preserve"> </w:t>
      </w:r>
      <w:r>
        <w:rPr>
          <w:color w:val="221F1F"/>
        </w:rPr>
        <w:t>any</w:t>
      </w:r>
      <w:r>
        <w:rPr>
          <w:color w:val="221F1F"/>
          <w:spacing w:val="-12"/>
        </w:rPr>
        <w:t xml:space="preserve"> </w:t>
      </w:r>
      <w:r>
        <w:rPr>
          <w:color w:val="221F1F"/>
        </w:rPr>
        <w:t>such</w:t>
      </w:r>
      <w:r>
        <w:rPr>
          <w:color w:val="221F1F"/>
          <w:spacing w:val="-12"/>
        </w:rPr>
        <w:t xml:space="preserve"> </w:t>
      </w:r>
      <w:r>
        <w:rPr>
          <w:color w:val="221F1F"/>
        </w:rPr>
        <w:t>delay,</w:t>
      </w:r>
      <w:r>
        <w:rPr>
          <w:color w:val="221F1F"/>
          <w:spacing w:val="-15"/>
        </w:rPr>
        <w:t xml:space="preserve"> </w:t>
      </w:r>
      <w:r>
        <w:rPr>
          <w:color w:val="221F1F"/>
        </w:rPr>
        <w:t>if</w:t>
      </w:r>
      <w:r>
        <w:rPr>
          <w:color w:val="221F1F"/>
          <w:spacing w:val="-11"/>
        </w:rPr>
        <w:t xml:space="preserve"> </w:t>
      </w:r>
      <w:r>
        <w:rPr>
          <w:color w:val="221F1F"/>
        </w:rPr>
        <w:t>completion</w:t>
      </w:r>
      <w:r>
        <w:rPr>
          <w:color w:val="221F1F"/>
          <w:spacing w:val="-13"/>
        </w:rPr>
        <w:t xml:space="preserve"> </w:t>
      </w:r>
      <w:r>
        <w:rPr>
          <w:color w:val="221F1F"/>
        </w:rPr>
        <w:t>is</w:t>
      </w:r>
      <w:r>
        <w:rPr>
          <w:color w:val="221F1F"/>
          <w:spacing w:val="-11"/>
        </w:rPr>
        <w:t xml:space="preserve"> </w:t>
      </w:r>
      <w:r>
        <w:rPr>
          <w:color w:val="221F1F"/>
        </w:rPr>
        <w:t>or</w:t>
      </w:r>
      <w:r>
        <w:rPr>
          <w:color w:val="221F1F"/>
          <w:spacing w:val="-11"/>
        </w:rPr>
        <w:t xml:space="preserve"> </w:t>
      </w:r>
      <w:r>
        <w:rPr>
          <w:color w:val="221F1F"/>
        </w:rPr>
        <w:t>will</w:t>
      </w:r>
      <w:r>
        <w:rPr>
          <w:color w:val="221F1F"/>
          <w:spacing w:val="-11"/>
        </w:rPr>
        <w:t xml:space="preserve"> </w:t>
      </w:r>
      <w:r>
        <w:rPr>
          <w:color w:val="221F1F"/>
        </w:rPr>
        <w:t>be</w:t>
      </w:r>
      <w:r>
        <w:rPr>
          <w:color w:val="221F1F"/>
          <w:spacing w:val="-11"/>
        </w:rPr>
        <w:t xml:space="preserve"> </w:t>
      </w:r>
      <w:r>
        <w:rPr>
          <w:color w:val="221F1F"/>
        </w:rPr>
        <w:t>delayed,</w:t>
      </w:r>
      <w:r>
        <w:rPr>
          <w:color w:val="221F1F"/>
          <w:spacing w:val="-14"/>
        </w:rPr>
        <w:t xml:space="preserve"> </w:t>
      </w:r>
      <w:r>
        <w:rPr>
          <w:color w:val="221F1F"/>
        </w:rPr>
        <w:t>under</w:t>
      </w:r>
      <w:r>
        <w:rPr>
          <w:color w:val="221F1F"/>
          <w:spacing w:val="-11"/>
        </w:rPr>
        <w:t xml:space="preserve"> </w:t>
      </w:r>
      <w:r>
        <w:rPr>
          <w:color w:val="221F1F"/>
        </w:rPr>
        <w:t>Sub-Clause</w:t>
      </w:r>
      <w:r>
        <w:rPr>
          <w:color w:val="221F1F"/>
          <w:spacing w:val="-11"/>
        </w:rPr>
        <w:t xml:space="preserve"> </w:t>
      </w:r>
      <w:r>
        <w:rPr>
          <w:color w:val="221F1F"/>
        </w:rPr>
        <w:t>8.4</w:t>
      </w:r>
      <w:r>
        <w:rPr>
          <w:color w:val="221F1F"/>
          <w:spacing w:val="-12"/>
        </w:rPr>
        <w:t xml:space="preserve"> </w:t>
      </w:r>
      <w:r>
        <w:rPr>
          <w:color w:val="221F1F"/>
        </w:rPr>
        <w:t xml:space="preserve">[Extension of </w:t>
      </w:r>
      <w:proofErr w:type="spellStart"/>
      <w:r>
        <w:rPr>
          <w:color w:val="221F1F"/>
        </w:rPr>
        <w:t>TimeforCompletion</w:t>
      </w:r>
      <w:proofErr w:type="spellEnd"/>
      <w:r>
        <w:rPr>
          <w:color w:val="221F1F"/>
        </w:rPr>
        <w:t>], and</w:t>
      </w:r>
    </w:p>
    <w:p w:rsidR="007F6DF9" w:rsidRDefault="00A43FBC">
      <w:pPr>
        <w:pStyle w:val="ListParagraph"/>
        <w:numPr>
          <w:ilvl w:val="0"/>
          <w:numId w:val="86"/>
        </w:numPr>
        <w:tabs>
          <w:tab w:val="left" w:pos="1431"/>
        </w:tabs>
        <w:spacing w:line="239" w:lineRule="exact"/>
        <w:ind w:left="1431" w:hanging="720"/>
      </w:pPr>
      <w:proofErr w:type="spellStart"/>
      <w:r>
        <w:rPr>
          <w:color w:val="221F1F"/>
        </w:rPr>
        <w:t>paymentofany</w:t>
      </w:r>
      <w:proofErr w:type="spellEnd"/>
      <w:r>
        <w:rPr>
          <w:color w:val="221F1F"/>
          <w:spacing w:val="-6"/>
        </w:rPr>
        <w:t xml:space="preserve"> </w:t>
      </w:r>
      <w:r>
        <w:rPr>
          <w:color w:val="221F1F"/>
        </w:rPr>
        <w:t>such</w:t>
      </w:r>
      <w:r>
        <w:rPr>
          <w:color w:val="221F1F"/>
          <w:spacing w:val="-3"/>
        </w:rPr>
        <w:t xml:space="preserve"> </w:t>
      </w:r>
      <w:r>
        <w:rPr>
          <w:color w:val="221F1F"/>
        </w:rPr>
        <w:t>Cost,</w:t>
      </w:r>
      <w:r>
        <w:rPr>
          <w:color w:val="221F1F"/>
          <w:spacing w:val="-2"/>
        </w:rPr>
        <w:t xml:space="preserve"> </w:t>
      </w:r>
      <w:r>
        <w:rPr>
          <w:color w:val="221F1F"/>
        </w:rPr>
        <w:t>which</w:t>
      </w:r>
      <w:r>
        <w:rPr>
          <w:color w:val="221F1F"/>
          <w:spacing w:val="-5"/>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included</w:t>
      </w:r>
      <w:r>
        <w:rPr>
          <w:color w:val="221F1F"/>
          <w:spacing w:val="-5"/>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In</w:t>
      </w:r>
      <w:r>
        <w:rPr>
          <w:color w:val="221F1F"/>
          <w:spacing w:val="-3"/>
        </w:rPr>
        <w:t xml:space="preserve"> </w:t>
      </w:r>
      <w:r>
        <w:rPr>
          <w:color w:val="221F1F"/>
        </w:rPr>
        <w:t>the</w:t>
      </w:r>
      <w:r>
        <w:rPr>
          <w:color w:val="221F1F"/>
          <w:spacing w:val="-5"/>
        </w:rPr>
        <w:t xml:space="preserve"> </w:t>
      </w:r>
      <w:r>
        <w:rPr>
          <w:color w:val="221F1F"/>
        </w:rPr>
        <w:t>case</w:t>
      </w:r>
      <w:r>
        <w:rPr>
          <w:color w:val="221F1F"/>
          <w:spacing w:val="-2"/>
        </w:rPr>
        <w:t xml:space="preserve"> </w:t>
      </w:r>
      <w:r>
        <w:rPr>
          <w:color w:val="221F1F"/>
        </w:rPr>
        <w:t>of</w:t>
      </w:r>
      <w:r>
        <w:rPr>
          <w:color w:val="221F1F"/>
          <w:spacing w:val="-3"/>
        </w:rPr>
        <w:t xml:space="preserve"> </w:t>
      </w:r>
      <w:r>
        <w:rPr>
          <w:color w:val="221F1F"/>
        </w:rPr>
        <w:t>sub-paragraphs</w:t>
      </w:r>
      <w:r>
        <w:rPr>
          <w:color w:val="221F1F"/>
          <w:spacing w:val="-4"/>
        </w:rPr>
        <w:t xml:space="preserve"> </w:t>
      </w:r>
      <w:r>
        <w:rPr>
          <w:color w:val="221F1F"/>
          <w:spacing w:val="-2"/>
        </w:rPr>
        <w:t>(e)and</w:t>
      </w:r>
    </w:p>
    <w:p w:rsidR="007F6DF9" w:rsidRDefault="00A43FBC">
      <w:pPr>
        <w:pStyle w:val="BodyText"/>
        <w:spacing w:line="250" w:lineRule="exact"/>
        <w:ind w:left="1443"/>
      </w:pPr>
      <w:r>
        <w:rPr>
          <w:color w:val="221F1F"/>
        </w:rPr>
        <w:t>(g)</w:t>
      </w:r>
      <w:r>
        <w:rPr>
          <w:color w:val="221F1F"/>
          <w:spacing w:val="-6"/>
        </w:rPr>
        <w:t xml:space="preserve"> </w:t>
      </w:r>
      <w:r>
        <w:rPr>
          <w:color w:val="221F1F"/>
        </w:rPr>
        <w:t>of</w:t>
      </w:r>
      <w:r>
        <w:rPr>
          <w:color w:val="221F1F"/>
          <w:spacing w:val="-3"/>
        </w:rPr>
        <w:t xml:space="preserve"> </w:t>
      </w:r>
      <w:r>
        <w:rPr>
          <w:color w:val="221F1F"/>
        </w:rPr>
        <w:t>Sub-Clause</w:t>
      </w:r>
      <w:r>
        <w:rPr>
          <w:color w:val="221F1F"/>
          <w:spacing w:val="-4"/>
        </w:rPr>
        <w:t xml:space="preserve"> </w:t>
      </w:r>
      <w:r>
        <w:rPr>
          <w:color w:val="221F1F"/>
        </w:rPr>
        <w:t>17.3</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rPr>
        <w:t>Risks],</w:t>
      </w:r>
      <w:r>
        <w:rPr>
          <w:color w:val="221F1F"/>
          <w:spacing w:val="-7"/>
        </w:rPr>
        <w:t xml:space="preserve"> </w:t>
      </w:r>
      <w:r>
        <w:rPr>
          <w:color w:val="221F1F"/>
        </w:rPr>
        <w:t>Accrued</w:t>
      </w:r>
      <w:r>
        <w:rPr>
          <w:color w:val="221F1F"/>
          <w:spacing w:val="-3"/>
        </w:rPr>
        <w:t xml:space="preserve"> </w:t>
      </w:r>
      <w:r>
        <w:rPr>
          <w:color w:val="221F1F"/>
        </w:rPr>
        <w:t>Costs</w:t>
      </w:r>
      <w:r>
        <w:rPr>
          <w:color w:val="221F1F"/>
          <w:spacing w:val="-4"/>
        </w:rPr>
        <w:t xml:space="preserve"> </w:t>
      </w:r>
      <w:r>
        <w:rPr>
          <w:color w:val="221F1F"/>
        </w:rPr>
        <w:t>shall</w:t>
      </w:r>
      <w:r>
        <w:rPr>
          <w:color w:val="221F1F"/>
          <w:spacing w:val="-2"/>
        </w:rPr>
        <w:t xml:space="preserve"> </w:t>
      </w:r>
      <w:r>
        <w:rPr>
          <w:color w:val="221F1F"/>
        </w:rPr>
        <w:t>be</w:t>
      </w:r>
      <w:r>
        <w:rPr>
          <w:color w:val="221F1F"/>
          <w:spacing w:val="-5"/>
        </w:rPr>
        <w:t xml:space="preserve"> </w:t>
      </w:r>
      <w:r>
        <w:rPr>
          <w:color w:val="221F1F"/>
          <w:spacing w:val="-2"/>
        </w:rPr>
        <w:t>payable.</w:t>
      </w:r>
    </w:p>
    <w:p w:rsidR="007F6DF9" w:rsidRDefault="00A43FBC">
      <w:pPr>
        <w:pStyle w:val="ListParagraph"/>
        <w:numPr>
          <w:ilvl w:val="2"/>
          <w:numId w:val="122"/>
        </w:numPr>
        <w:tabs>
          <w:tab w:val="left" w:pos="1431"/>
          <w:tab w:val="left" w:pos="1443"/>
        </w:tabs>
        <w:spacing w:before="243" w:line="230" w:lineRule="auto"/>
        <w:ind w:left="1443" w:right="563" w:hanging="733"/>
        <w:rPr>
          <w:color w:val="221F1F"/>
        </w:rPr>
      </w:pPr>
      <w:r>
        <w:rPr>
          <w:color w:val="221F1F"/>
        </w:rPr>
        <w:t>After</w:t>
      </w:r>
      <w:r>
        <w:rPr>
          <w:color w:val="221F1F"/>
          <w:spacing w:val="70"/>
        </w:rPr>
        <w:t xml:space="preserve"> </w:t>
      </w:r>
      <w:r>
        <w:rPr>
          <w:color w:val="221F1F"/>
        </w:rPr>
        <w:t>receiving</w:t>
      </w:r>
      <w:r>
        <w:rPr>
          <w:color w:val="221F1F"/>
          <w:spacing w:val="67"/>
        </w:rPr>
        <w:t xml:space="preserve"> </w:t>
      </w:r>
      <w:r>
        <w:rPr>
          <w:color w:val="221F1F"/>
        </w:rPr>
        <w:t>this</w:t>
      </w:r>
      <w:r>
        <w:rPr>
          <w:color w:val="221F1F"/>
          <w:spacing w:val="70"/>
        </w:rPr>
        <w:t xml:space="preserve"> </w:t>
      </w:r>
      <w:r>
        <w:rPr>
          <w:color w:val="221F1F"/>
        </w:rPr>
        <w:t>further</w:t>
      </w:r>
      <w:r>
        <w:rPr>
          <w:color w:val="221F1F"/>
          <w:spacing w:val="71"/>
        </w:rPr>
        <w:t xml:space="preserve"> </w:t>
      </w:r>
      <w:r>
        <w:rPr>
          <w:color w:val="221F1F"/>
        </w:rPr>
        <w:t>notice,</w:t>
      </w:r>
      <w:r>
        <w:rPr>
          <w:color w:val="221F1F"/>
          <w:spacing w:val="70"/>
        </w:rPr>
        <w:t xml:space="preserve"> </w:t>
      </w:r>
      <w:r>
        <w:rPr>
          <w:color w:val="221F1F"/>
        </w:rPr>
        <w:t>the</w:t>
      </w:r>
      <w:r>
        <w:rPr>
          <w:color w:val="221F1F"/>
          <w:spacing w:val="75"/>
        </w:rPr>
        <w:t xml:space="preserve"> </w:t>
      </w:r>
      <w:r>
        <w:rPr>
          <w:color w:val="221F1F"/>
        </w:rPr>
        <w:t>Architect</w:t>
      </w:r>
      <w:r>
        <w:rPr>
          <w:color w:val="221F1F"/>
          <w:spacing w:val="70"/>
        </w:rPr>
        <w:t xml:space="preserve"> </w:t>
      </w:r>
      <w:r>
        <w:rPr>
          <w:color w:val="221F1F"/>
        </w:rPr>
        <w:t>shall</w:t>
      </w:r>
      <w:r>
        <w:rPr>
          <w:color w:val="221F1F"/>
          <w:spacing w:val="70"/>
        </w:rPr>
        <w:t xml:space="preserve"> </w:t>
      </w:r>
      <w:r>
        <w:rPr>
          <w:color w:val="221F1F"/>
        </w:rPr>
        <w:t>proceed</w:t>
      </w:r>
      <w:r>
        <w:rPr>
          <w:color w:val="221F1F"/>
          <w:spacing w:val="67"/>
        </w:rPr>
        <w:t xml:space="preserve"> </w:t>
      </w:r>
      <w:r>
        <w:rPr>
          <w:color w:val="221F1F"/>
        </w:rPr>
        <w:t>in</w:t>
      </w:r>
      <w:r>
        <w:rPr>
          <w:color w:val="221F1F"/>
          <w:spacing w:val="69"/>
        </w:rPr>
        <w:t xml:space="preserve"> </w:t>
      </w:r>
      <w:r>
        <w:rPr>
          <w:color w:val="221F1F"/>
        </w:rPr>
        <w:t>accordance</w:t>
      </w:r>
      <w:r>
        <w:rPr>
          <w:color w:val="221F1F"/>
          <w:spacing w:val="70"/>
        </w:rPr>
        <w:t xml:space="preserve"> </w:t>
      </w:r>
      <w:r>
        <w:rPr>
          <w:color w:val="221F1F"/>
        </w:rPr>
        <w:t>with</w:t>
      </w:r>
      <w:r>
        <w:rPr>
          <w:color w:val="221F1F"/>
          <w:spacing w:val="69"/>
        </w:rPr>
        <w:t xml:space="preserve"> </w:t>
      </w:r>
      <w:r>
        <w:rPr>
          <w:color w:val="221F1F"/>
        </w:rPr>
        <w:t>Sub-Clause</w:t>
      </w:r>
      <w:r>
        <w:rPr>
          <w:color w:val="221F1F"/>
          <w:spacing w:val="70"/>
        </w:rPr>
        <w:t xml:space="preserve"> </w:t>
      </w:r>
      <w:r>
        <w:rPr>
          <w:color w:val="221F1F"/>
        </w:rPr>
        <w:t>3.5 [Determinations] to agree or determine these matters.</w:t>
      </w:r>
    </w:p>
    <w:p w:rsidR="007F6DF9" w:rsidRDefault="00A43FBC">
      <w:pPr>
        <w:pStyle w:val="Heading9"/>
        <w:numPr>
          <w:ilvl w:val="1"/>
          <w:numId w:val="122"/>
        </w:numPr>
        <w:tabs>
          <w:tab w:val="left" w:pos="1431"/>
        </w:tabs>
        <w:spacing w:before="235"/>
        <w:ind w:left="1431" w:hanging="720"/>
        <w:rPr>
          <w:color w:val="221F1F"/>
        </w:rPr>
      </w:pPr>
      <w:r>
        <w:rPr>
          <w:color w:val="221F1F"/>
        </w:rPr>
        <w:t>Intellectual</w:t>
      </w:r>
      <w:r>
        <w:rPr>
          <w:color w:val="221F1F"/>
          <w:spacing w:val="-6"/>
        </w:rPr>
        <w:t xml:space="preserve"> </w:t>
      </w:r>
      <w:r>
        <w:rPr>
          <w:color w:val="221F1F"/>
        </w:rPr>
        <w:t>and</w:t>
      </w:r>
      <w:r>
        <w:rPr>
          <w:color w:val="221F1F"/>
          <w:spacing w:val="-6"/>
        </w:rPr>
        <w:t xml:space="preserve"> </w:t>
      </w:r>
      <w:r>
        <w:rPr>
          <w:color w:val="221F1F"/>
        </w:rPr>
        <w:t>Industrial</w:t>
      </w:r>
      <w:r>
        <w:rPr>
          <w:color w:val="221F1F"/>
          <w:spacing w:val="-2"/>
        </w:rPr>
        <w:t xml:space="preserve"> </w:t>
      </w:r>
      <w:r>
        <w:rPr>
          <w:color w:val="221F1F"/>
        </w:rPr>
        <w:t>Property</w:t>
      </w:r>
      <w:r>
        <w:rPr>
          <w:color w:val="221F1F"/>
          <w:spacing w:val="-4"/>
        </w:rPr>
        <w:t xml:space="preserve"> </w:t>
      </w:r>
      <w:r>
        <w:rPr>
          <w:color w:val="221F1F"/>
          <w:spacing w:val="-2"/>
        </w:rPr>
        <w:t>Rights</w:t>
      </w:r>
    </w:p>
    <w:p w:rsidR="007F6DF9" w:rsidRDefault="00A43FBC">
      <w:pPr>
        <w:pStyle w:val="ListParagraph"/>
        <w:numPr>
          <w:ilvl w:val="2"/>
          <w:numId w:val="122"/>
        </w:numPr>
        <w:tabs>
          <w:tab w:val="left" w:pos="1428"/>
          <w:tab w:val="left" w:pos="1443"/>
        </w:tabs>
        <w:spacing w:before="243" w:line="230" w:lineRule="auto"/>
        <w:ind w:left="1443" w:right="568" w:hanging="733"/>
        <w:jc w:val="both"/>
        <w:rPr>
          <w:color w:val="221F1F"/>
        </w:rPr>
      </w:pPr>
      <w:r>
        <w:rPr>
          <w:color w:val="221F1F"/>
        </w:rPr>
        <w:t>In this Sub-Clause, “infringement” shall refer to an infringement (or alleged infringement) of any patent, registered design, copyright, trade mark, trade name, trade secret or other intellectual or industrial property right relating to the Works;</w:t>
      </w:r>
      <w:r>
        <w:rPr>
          <w:color w:val="221F1F"/>
          <w:spacing w:val="-5"/>
        </w:rPr>
        <w:t xml:space="preserve"> </w:t>
      </w:r>
      <w:r>
        <w:rPr>
          <w:color w:val="221F1F"/>
        </w:rPr>
        <w:t xml:space="preserve">and “claim” shall refer to a claim (or proceedings pursuing a claim) alleging an </w:t>
      </w:r>
      <w:r>
        <w:rPr>
          <w:color w:val="221F1F"/>
          <w:spacing w:val="-2"/>
        </w:rPr>
        <w:t>infringement.</w:t>
      </w:r>
    </w:p>
    <w:p w:rsidR="007F6DF9" w:rsidRDefault="00A43FBC">
      <w:pPr>
        <w:pStyle w:val="ListParagraph"/>
        <w:numPr>
          <w:ilvl w:val="2"/>
          <w:numId w:val="122"/>
        </w:numPr>
        <w:tabs>
          <w:tab w:val="left" w:pos="1431"/>
          <w:tab w:val="left" w:pos="1443"/>
        </w:tabs>
        <w:spacing w:before="246" w:line="230" w:lineRule="auto"/>
        <w:ind w:left="1443" w:right="563" w:hanging="733"/>
        <w:rPr>
          <w:color w:val="221F1F"/>
        </w:rPr>
      </w:pPr>
      <w:r>
        <w:rPr>
          <w:color w:val="221F1F"/>
        </w:rPr>
        <w:t>Whenever</w:t>
      </w:r>
      <w:r>
        <w:rPr>
          <w:color w:val="221F1F"/>
          <w:spacing w:val="-2"/>
        </w:rPr>
        <w:t xml:space="preserve"> </w:t>
      </w:r>
      <w:r>
        <w:rPr>
          <w:color w:val="221F1F"/>
        </w:rPr>
        <w:t>a</w:t>
      </w:r>
      <w:r>
        <w:rPr>
          <w:color w:val="221F1F"/>
          <w:spacing w:val="-3"/>
        </w:rPr>
        <w:t xml:space="preserve"> </w:t>
      </w:r>
      <w:r>
        <w:rPr>
          <w:color w:val="221F1F"/>
        </w:rPr>
        <w:t>Party</w:t>
      </w:r>
      <w:r>
        <w:rPr>
          <w:color w:val="221F1F"/>
          <w:spacing w:val="-3"/>
        </w:rPr>
        <w:t xml:space="preserve"> </w:t>
      </w:r>
      <w:r>
        <w:rPr>
          <w:color w:val="221F1F"/>
        </w:rPr>
        <w:t>does</w:t>
      </w:r>
      <w:r>
        <w:rPr>
          <w:color w:val="221F1F"/>
          <w:spacing w:val="-3"/>
        </w:rPr>
        <w:t xml:space="preserve"> </w:t>
      </w:r>
      <w:r>
        <w:rPr>
          <w:color w:val="221F1F"/>
        </w:rPr>
        <w:t>not</w:t>
      </w:r>
      <w:r>
        <w:rPr>
          <w:color w:val="221F1F"/>
          <w:spacing w:val="-4"/>
        </w:rPr>
        <w:t xml:space="preserve"> </w:t>
      </w:r>
      <w:r>
        <w:rPr>
          <w:color w:val="221F1F"/>
        </w:rPr>
        <w:t>give</w:t>
      </w:r>
      <w:r>
        <w:rPr>
          <w:color w:val="221F1F"/>
          <w:spacing w:val="-3"/>
        </w:rPr>
        <w:t xml:space="preserve"> </w:t>
      </w:r>
      <w:r>
        <w:rPr>
          <w:color w:val="221F1F"/>
        </w:rPr>
        <w:t>notice</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other</w:t>
      </w:r>
      <w:r>
        <w:rPr>
          <w:color w:val="221F1F"/>
          <w:spacing w:val="-3"/>
        </w:rPr>
        <w:t xml:space="preserve"> </w:t>
      </w:r>
      <w:r>
        <w:rPr>
          <w:color w:val="221F1F"/>
        </w:rPr>
        <w:t>Party</w:t>
      </w:r>
      <w:r>
        <w:rPr>
          <w:color w:val="221F1F"/>
          <w:spacing w:val="-3"/>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claim</w:t>
      </w:r>
      <w:r>
        <w:rPr>
          <w:color w:val="221F1F"/>
          <w:spacing w:val="-2"/>
        </w:rPr>
        <w:t xml:space="preserve"> </w:t>
      </w:r>
      <w:r>
        <w:rPr>
          <w:color w:val="221F1F"/>
        </w:rPr>
        <w:t>within</w:t>
      </w:r>
      <w:r>
        <w:rPr>
          <w:color w:val="221F1F"/>
          <w:spacing w:val="-3"/>
        </w:rPr>
        <w:t xml:space="preserve"> </w:t>
      </w:r>
      <w:r>
        <w:rPr>
          <w:color w:val="221F1F"/>
        </w:rPr>
        <w:t>30</w:t>
      </w:r>
      <w:r>
        <w:rPr>
          <w:color w:val="221F1F"/>
          <w:spacing w:val="-4"/>
        </w:rPr>
        <w:t xml:space="preserve"> </w:t>
      </w:r>
      <w:r>
        <w:rPr>
          <w:color w:val="221F1F"/>
        </w:rPr>
        <w:t>days</w:t>
      </w:r>
      <w:r>
        <w:rPr>
          <w:color w:val="221F1F"/>
          <w:spacing w:val="-3"/>
        </w:rPr>
        <w:t xml:space="preserve"> </w:t>
      </w:r>
      <w:r>
        <w:rPr>
          <w:color w:val="221F1F"/>
        </w:rPr>
        <w:t>of</w:t>
      </w:r>
      <w:r>
        <w:rPr>
          <w:color w:val="221F1F"/>
          <w:spacing w:val="-3"/>
        </w:rPr>
        <w:t xml:space="preserve"> </w:t>
      </w:r>
      <w:r>
        <w:rPr>
          <w:color w:val="221F1F"/>
        </w:rPr>
        <w:t>receiving</w:t>
      </w:r>
      <w:r>
        <w:rPr>
          <w:color w:val="221F1F"/>
          <w:spacing w:val="-3"/>
        </w:rPr>
        <w:t xml:space="preserve"> </w:t>
      </w:r>
      <w:r>
        <w:rPr>
          <w:color w:val="221F1F"/>
        </w:rPr>
        <w:t>the</w:t>
      </w:r>
      <w:r>
        <w:rPr>
          <w:color w:val="221F1F"/>
          <w:spacing w:val="-3"/>
        </w:rPr>
        <w:t xml:space="preserve"> </w:t>
      </w:r>
      <w:r>
        <w:rPr>
          <w:color w:val="221F1F"/>
        </w:rPr>
        <w:t>claim, the first Party shall be deemed to have waived any right to indemnity under this Sub-Clause.</w:t>
      </w:r>
    </w:p>
    <w:p w:rsidR="007F6DF9" w:rsidRDefault="007F6DF9">
      <w:pPr>
        <w:pStyle w:val="ListParagraph"/>
        <w:spacing w:line="230" w:lineRule="auto"/>
        <w:sectPr w:rsidR="007F6DF9">
          <w:pgSz w:w="11920" w:h="16850"/>
          <w:pgMar w:top="360" w:right="283" w:bottom="600" w:left="141" w:header="0" w:footer="419" w:gutter="0"/>
          <w:cols w:space="720"/>
        </w:sectPr>
      </w:pPr>
    </w:p>
    <w:p w:rsidR="007F6DF9" w:rsidRDefault="00A43FBC">
      <w:pPr>
        <w:pStyle w:val="ListParagraph"/>
        <w:numPr>
          <w:ilvl w:val="2"/>
          <w:numId w:val="122"/>
        </w:numPr>
        <w:tabs>
          <w:tab w:val="left" w:pos="1431"/>
          <w:tab w:val="left" w:pos="1443"/>
        </w:tabs>
        <w:spacing w:line="230" w:lineRule="auto"/>
        <w:ind w:left="1443" w:right="565" w:hanging="733"/>
        <w:rPr>
          <w:color w:val="221F1F"/>
        </w:rPr>
      </w:pPr>
      <w:r>
        <w:rPr>
          <w:color w:val="221F1F"/>
        </w:rPr>
        <w:lastRenderedPageBreak/>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4"/>
        </w:rPr>
        <w:t xml:space="preserve"> </w:t>
      </w:r>
      <w:r>
        <w:rPr>
          <w:color w:val="221F1F"/>
        </w:rPr>
        <w:t>shall indemnify</w:t>
      </w:r>
      <w:r>
        <w:rPr>
          <w:color w:val="221F1F"/>
          <w:spacing w:val="-2"/>
        </w:rPr>
        <w:t xml:space="preserve"> </w:t>
      </w:r>
      <w:r>
        <w:rPr>
          <w:color w:val="221F1F"/>
        </w:rPr>
        <w:t>and</w:t>
      </w:r>
      <w:r>
        <w:rPr>
          <w:color w:val="221F1F"/>
          <w:spacing w:val="-2"/>
        </w:rPr>
        <w:t xml:space="preserve"> </w:t>
      </w:r>
      <w:r>
        <w:rPr>
          <w:color w:val="221F1F"/>
        </w:rPr>
        <w:t>hold</w:t>
      </w:r>
      <w:r>
        <w:rPr>
          <w:color w:val="221F1F"/>
          <w:spacing w:val="-2"/>
        </w:rPr>
        <w:t xml:space="preserve"> </w:t>
      </w:r>
      <w:r>
        <w:rPr>
          <w:color w:val="221F1F"/>
        </w:rPr>
        <w:t>the</w:t>
      </w:r>
      <w:r>
        <w:rPr>
          <w:color w:val="221F1F"/>
          <w:spacing w:val="-2"/>
        </w:rPr>
        <w:t xml:space="preserve"> </w:t>
      </w:r>
      <w:r>
        <w:rPr>
          <w:color w:val="221F1F"/>
        </w:rPr>
        <w:t>Contractor harmless</w:t>
      </w:r>
      <w:r>
        <w:rPr>
          <w:color w:val="221F1F"/>
          <w:spacing w:val="-1"/>
        </w:rPr>
        <w:t xml:space="preserve"> </w:t>
      </w:r>
      <w:r>
        <w:rPr>
          <w:color w:val="221F1F"/>
        </w:rPr>
        <w:t>against</w:t>
      </w:r>
      <w:r>
        <w:rPr>
          <w:color w:val="221F1F"/>
          <w:spacing w:val="-1"/>
        </w:rPr>
        <w:t xml:space="preserve"> </w:t>
      </w:r>
      <w:r>
        <w:rPr>
          <w:color w:val="221F1F"/>
        </w:rPr>
        <w:t>and</w:t>
      </w:r>
      <w:r>
        <w:rPr>
          <w:color w:val="221F1F"/>
          <w:spacing w:val="-2"/>
        </w:rPr>
        <w:t xml:space="preserve"> </w:t>
      </w:r>
      <w:r>
        <w:rPr>
          <w:color w:val="221F1F"/>
        </w:rPr>
        <w:t>from</w:t>
      </w:r>
      <w:r>
        <w:rPr>
          <w:color w:val="221F1F"/>
          <w:spacing w:val="-1"/>
        </w:rPr>
        <w:t xml:space="preserve"> </w:t>
      </w:r>
      <w:r>
        <w:rPr>
          <w:color w:val="221F1F"/>
        </w:rPr>
        <w:t>any</w:t>
      </w:r>
      <w:r>
        <w:rPr>
          <w:color w:val="221F1F"/>
          <w:spacing w:val="-2"/>
        </w:rPr>
        <w:t xml:space="preserve"> </w:t>
      </w:r>
      <w:r>
        <w:rPr>
          <w:color w:val="221F1F"/>
        </w:rPr>
        <w:t>claim</w:t>
      </w:r>
      <w:r>
        <w:rPr>
          <w:color w:val="221F1F"/>
          <w:spacing w:val="-3"/>
        </w:rPr>
        <w:t xml:space="preserve"> </w:t>
      </w:r>
      <w:r>
        <w:rPr>
          <w:color w:val="221F1F"/>
        </w:rPr>
        <w:t>alleging an infringement which is or was:</w:t>
      </w:r>
    </w:p>
    <w:p w:rsidR="007F6DF9" w:rsidRDefault="00A43FBC">
      <w:pPr>
        <w:pStyle w:val="ListParagraph"/>
        <w:numPr>
          <w:ilvl w:val="0"/>
          <w:numId w:val="80"/>
        </w:numPr>
        <w:tabs>
          <w:tab w:val="left" w:pos="1875"/>
        </w:tabs>
        <w:spacing w:line="237" w:lineRule="exact"/>
      </w:pPr>
      <w:r>
        <w:rPr>
          <w:color w:val="221F1F"/>
        </w:rPr>
        <w:t>An</w:t>
      </w:r>
      <w:r>
        <w:rPr>
          <w:color w:val="221F1F"/>
          <w:spacing w:val="-6"/>
        </w:rPr>
        <w:t xml:space="preserve"> </w:t>
      </w:r>
      <w:r>
        <w:rPr>
          <w:color w:val="221F1F"/>
        </w:rPr>
        <w:t>un</w:t>
      </w:r>
      <w:r>
        <w:rPr>
          <w:color w:val="221F1F"/>
          <w:spacing w:val="-4"/>
        </w:rPr>
        <w:t xml:space="preserve"> </w:t>
      </w:r>
      <w:r>
        <w:rPr>
          <w:color w:val="221F1F"/>
        </w:rPr>
        <w:t>avoidable</w:t>
      </w:r>
      <w:r>
        <w:rPr>
          <w:color w:val="221F1F"/>
          <w:spacing w:val="-5"/>
        </w:rPr>
        <w:t xml:space="preserve"> </w:t>
      </w:r>
      <w:r>
        <w:rPr>
          <w:color w:val="221F1F"/>
        </w:rPr>
        <w:t>result</w:t>
      </w:r>
      <w:r>
        <w:rPr>
          <w:color w:val="221F1F"/>
          <w:spacing w:val="-2"/>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Contractor's</w:t>
      </w:r>
      <w:r>
        <w:rPr>
          <w:color w:val="221F1F"/>
          <w:spacing w:val="-2"/>
        </w:rPr>
        <w:t xml:space="preserve"> </w:t>
      </w:r>
      <w:r>
        <w:rPr>
          <w:color w:val="221F1F"/>
        </w:rPr>
        <w:t>compliance</w:t>
      </w:r>
      <w:r>
        <w:rPr>
          <w:color w:val="221F1F"/>
          <w:spacing w:val="-5"/>
        </w:rPr>
        <w:t xml:space="preserve"> </w:t>
      </w:r>
      <w:r>
        <w:rPr>
          <w:color w:val="221F1F"/>
        </w:rPr>
        <w:t>with</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spacing w:val="-5"/>
        </w:rPr>
        <w:t>or</w:t>
      </w:r>
    </w:p>
    <w:p w:rsidR="007F6DF9" w:rsidRDefault="00A43FBC">
      <w:pPr>
        <w:pStyle w:val="ListParagraph"/>
        <w:numPr>
          <w:ilvl w:val="0"/>
          <w:numId w:val="80"/>
        </w:numPr>
        <w:tabs>
          <w:tab w:val="left" w:pos="1875"/>
        </w:tabs>
        <w:spacing w:line="244" w:lineRule="exact"/>
      </w:pPr>
      <w:r>
        <w:rPr>
          <w:color w:val="221F1F"/>
        </w:rPr>
        <w:t>A</w:t>
      </w:r>
      <w:r>
        <w:rPr>
          <w:color w:val="221F1F"/>
          <w:spacing w:val="-8"/>
        </w:rPr>
        <w:t xml:space="preserve"> </w:t>
      </w:r>
      <w:r>
        <w:rPr>
          <w:color w:val="221F1F"/>
        </w:rPr>
        <w:t>result</w:t>
      </w:r>
      <w:r>
        <w:rPr>
          <w:color w:val="221F1F"/>
          <w:spacing w:val="-3"/>
        </w:rPr>
        <w:t xml:space="preserve"> </w:t>
      </w:r>
      <w:r>
        <w:rPr>
          <w:color w:val="221F1F"/>
        </w:rPr>
        <w:t>of</w:t>
      </w:r>
      <w:r>
        <w:rPr>
          <w:color w:val="221F1F"/>
          <w:spacing w:val="-3"/>
        </w:rPr>
        <w:t xml:space="preserve"> </w:t>
      </w:r>
      <w:r>
        <w:rPr>
          <w:color w:val="221F1F"/>
        </w:rPr>
        <w:t>any</w:t>
      </w:r>
      <w:r>
        <w:rPr>
          <w:color w:val="221F1F"/>
          <w:spacing w:val="-5"/>
        </w:rPr>
        <w:t xml:space="preserve"> </w:t>
      </w:r>
      <w:r>
        <w:rPr>
          <w:color w:val="221F1F"/>
        </w:rPr>
        <w:t>Works</w:t>
      </w:r>
      <w:r>
        <w:rPr>
          <w:color w:val="221F1F"/>
          <w:spacing w:val="-12"/>
        </w:rPr>
        <w:t xml:space="preserve"> </w:t>
      </w:r>
      <w:r>
        <w:rPr>
          <w:color w:val="221F1F"/>
        </w:rPr>
        <w:t>be</w:t>
      </w:r>
      <w:r>
        <w:rPr>
          <w:color w:val="221F1F"/>
          <w:spacing w:val="-4"/>
        </w:rPr>
        <w:t xml:space="preserve"> </w:t>
      </w:r>
      <w:proofErr w:type="spellStart"/>
      <w:r>
        <w:rPr>
          <w:color w:val="221F1F"/>
        </w:rPr>
        <w:t>ingused</w:t>
      </w:r>
      <w:proofErr w:type="spellEnd"/>
      <w:r>
        <w:rPr>
          <w:color w:val="221F1F"/>
          <w:spacing w:val="-5"/>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spacing w:val="-2"/>
        </w:rPr>
        <w:t>Entity:</w:t>
      </w:r>
    </w:p>
    <w:p w:rsidR="007F6DF9" w:rsidRDefault="00A43FBC">
      <w:pPr>
        <w:pStyle w:val="ListParagraph"/>
        <w:numPr>
          <w:ilvl w:val="1"/>
          <w:numId w:val="80"/>
        </w:numPr>
        <w:tabs>
          <w:tab w:val="left" w:pos="2292"/>
        </w:tabs>
        <w:spacing w:line="245" w:lineRule="exact"/>
        <w:ind w:left="2292" w:hanging="417"/>
      </w:pPr>
      <w:r>
        <w:rPr>
          <w:color w:val="221F1F"/>
        </w:rPr>
        <w:t>for</w:t>
      </w:r>
      <w:r>
        <w:rPr>
          <w:color w:val="221F1F"/>
          <w:spacing w:val="-6"/>
        </w:rPr>
        <w:t xml:space="preserve"> </w:t>
      </w:r>
      <w:r>
        <w:rPr>
          <w:color w:val="221F1F"/>
        </w:rPr>
        <w:t>a</w:t>
      </w:r>
      <w:r>
        <w:rPr>
          <w:color w:val="221F1F"/>
          <w:spacing w:val="-5"/>
        </w:rPr>
        <w:t xml:space="preserve"> </w:t>
      </w:r>
      <w:r>
        <w:rPr>
          <w:color w:val="221F1F"/>
        </w:rPr>
        <w:t>purpose</w:t>
      </w:r>
      <w:r>
        <w:rPr>
          <w:color w:val="221F1F"/>
          <w:spacing w:val="-4"/>
        </w:rPr>
        <w:t xml:space="preserve"> </w:t>
      </w:r>
      <w:r>
        <w:rPr>
          <w:color w:val="221F1F"/>
        </w:rPr>
        <w:t>other</w:t>
      </w:r>
      <w:r>
        <w:rPr>
          <w:color w:val="221F1F"/>
          <w:spacing w:val="-4"/>
        </w:rPr>
        <w:t xml:space="preserve"> </w:t>
      </w:r>
      <w:r>
        <w:rPr>
          <w:color w:val="221F1F"/>
        </w:rPr>
        <w:t>than</w:t>
      </w:r>
      <w:r>
        <w:rPr>
          <w:color w:val="221F1F"/>
          <w:spacing w:val="-5"/>
        </w:rPr>
        <w:t xml:space="preserve"> </w:t>
      </w:r>
      <w:r>
        <w:rPr>
          <w:color w:val="221F1F"/>
        </w:rPr>
        <w:t>that</w:t>
      </w:r>
      <w:r>
        <w:rPr>
          <w:color w:val="221F1F"/>
          <w:spacing w:val="-2"/>
        </w:rPr>
        <w:t xml:space="preserve"> </w:t>
      </w:r>
      <w:r>
        <w:rPr>
          <w:color w:val="221F1F"/>
        </w:rPr>
        <w:t>indicated</w:t>
      </w:r>
      <w:r>
        <w:rPr>
          <w:color w:val="221F1F"/>
          <w:spacing w:val="-2"/>
        </w:rPr>
        <w:t xml:space="preserve"> </w:t>
      </w:r>
      <w:r>
        <w:rPr>
          <w:color w:val="221F1F"/>
        </w:rPr>
        <w:t>by,</w:t>
      </w:r>
      <w:r>
        <w:rPr>
          <w:color w:val="221F1F"/>
          <w:spacing w:val="-14"/>
        </w:rPr>
        <w:t xml:space="preserve"> </w:t>
      </w:r>
      <w:r>
        <w:rPr>
          <w:color w:val="221F1F"/>
        </w:rPr>
        <w:t>or</w:t>
      </w:r>
      <w:r>
        <w:rPr>
          <w:color w:val="221F1F"/>
          <w:spacing w:val="-4"/>
        </w:rPr>
        <w:t xml:space="preserve"> </w:t>
      </w:r>
      <w:r>
        <w:rPr>
          <w:color w:val="221F1F"/>
        </w:rPr>
        <w:t>reasonably</w:t>
      </w:r>
      <w:r>
        <w:rPr>
          <w:color w:val="221F1F"/>
          <w:spacing w:val="-3"/>
        </w:rPr>
        <w:t xml:space="preserve"> </w:t>
      </w:r>
      <w:r>
        <w:rPr>
          <w:color w:val="221F1F"/>
        </w:rPr>
        <w:t>to</w:t>
      </w:r>
      <w:r>
        <w:rPr>
          <w:color w:val="221F1F"/>
          <w:spacing w:val="-3"/>
        </w:rPr>
        <w:t xml:space="preserve"> </w:t>
      </w:r>
      <w:r>
        <w:rPr>
          <w:color w:val="221F1F"/>
        </w:rPr>
        <w:t>be</w:t>
      </w:r>
      <w:r>
        <w:rPr>
          <w:color w:val="221F1F"/>
          <w:spacing w:val="-4"/>
        </w:rPr>
        <w:t xml:space="preserve"> </w:t>
      </w:r>
      <w:r>
        <w:rPr>
          <w:color w:val="221F1F"/>
        </w:rPr>
        <w:t>inferred</w:t>
      </w:r>
      <w:r>
        <w:rPr>
          <w:color w:val="221F1F"/>
          <w:spacing w:val="-4"/>
        </w:rPr>
        <w:t xml:space="preserve"> </w:t>
      </w:r>
      <w:r>
        <w:rPr>
          <w:color w:val="221F1F"/>
        </w:rPr>
        <w:t>from,</w:t>
      </w:r>
      <w:r>
        <w:rPr>
          <w:color w:val="221F1F"/>
          <w:spacing w:val="-5"/>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spacing w:val="-5"/>
        </w:rPr>
        <w:t>or</w:t>
      </w:r>
    </w:p>
    <w:p w:rsidR="007F6DF9" w:rsidRDefault="00A43FBC">
      <w:pPr>
        <w:pStyle w:val="ListParagraph"/>
        <w:numPr>
          <w:ilvl w:val="1"/>
          <w:numId w:val="80"/>
        </w:numPr>
        <w:tabs>
          <w:tab w:val="left" w:pos="2292"/>
          <w:tab w:val="left" w:pos="2300"/>
        </w:tabs>
        <w:spacing w:before="5" w:line="230" w:lineRule="auto"/>
        <w:ind w:left="2300" w:right="638" w:hanging="425"/>
      </w:pPr>
      <w:r>
        <w:rPr>
          <w:color w:val="221F1F"/>
        </w:rPr>
        <w:t>in</w:t>
      </w:r>
      <w:r>
        <w:rPr>
          <w:color w:val="221F1F"/>
          <w:spacing w:val="-2"/>
        </w:rPr>
        <w:t xml:space="preserve"> </w:t>
      </w:r>
      <w:r>
        <w:rPr>
          <w:color w:val="221F1F"/>
        </w:rPr>
        <w:t>conjunction</w:t>
      </w:r>
      <w:r>
        <w:rPr>
          <w:color w:val="221F1F"/>
          <w:spacing w:val="-2"/>
        </w:rPr>
        <w:t xml:space="preserve"> </w:t>
      </w:r>
      <w:r>
        <w:rPr>
          <w:color w:val="221F1F"/>
        </w:rPr>
        <w:t>with</w:t>
      </w:r>
      <w:r>
        <w:rPr>
          <w:color w:val="221F1F"/>
          <w:spacing w:val="-2"/>
        </w:rPr>
        <w:t xml:space="preserve"> </w:t>
      </w:r>
      <w:r>
        <w:rPr>
          <w:color w:val="221F1F"/>
        </w:rPr>
        <w:t>anything</w:t>
      </w:r>
      <w:r>
        <w:rPr>
          <w:color w:val="221F1F"/>
          <w:spacing w:val="-2"/>
        </w:rPr>
        <w:t xml:space="preserve"> </w:t>
      </w:r>
      <w:r>
        <w:rPr>
          <w:color w:val="221F1F"/>
        </w:rPr>
        <w:t>not</w:t>
      </w:r>
      <w:r>
        <w:rPr>
          <w:color w:val="221F1F"/>
          <w:spacing w:val="-4"/>
        </w:rPr>
        <w:t xml:space="preserve"> </w:t>
      </w:r>
      <w:r>
        <w:rPr>
          <w:color w:val="221F1F"/>
        </w:rPr>
        <w:t>supplied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unless</w:t>
      </w:r>
      <w:r>
        <w:rPr>
          <w:color w:val="221F1F"/>
          <w:spacing w:val="-2"/>
        </w:rPr>
        <w:t xml:space="preserve"> </w:t>
      </w:r>
      <w:r>
        <w:rPr>
          <w:color w:val="221F1F"/>
        </w:rPr>
        <w:t>such</w:t>
      </w:r>
      <w:r>
        <w:rPr>
          <w:color w:val="221F1F"/>
          <w:spacing w:val="-2"/>
        </w:rPr>
        <w:t xml:space="preserve"> </w:t>
      </w:r>
      <w:r>
        <w:rPr>
          <w:color w:val="221F1F"/>
        </w:rPr>
        <w:t>use</w:t>
      </w:r>
      <w:r>
        <w:rPr>
          <w:color w:val="221F1F"/>
          <w:spacing w:val="-2"/>
        </w:rPr>
        <w:t xml:space="preserve"> </w:t>
      </w:r>
      <w:r>
        <w:rPr>
          <w:color w:val="221F1F"/>
        </w:rPr>
        <w:t>was</w:t>
      </w:r>
      <w:r>
        <w:rPr>
          <w:color w:val="221F1F"/>
          <w:spacing w:val="-4"/>
        </w:rPr>
        <w:t xml:space="preserve"> </w:t>
      </w:r>
      <w:r>
        <w:rPr>
          <w:color w:val="221F1F"/>
        </w:rPr>
        <w:t>disclosed</w:t>
      </w:r>
      <w:r>
        <w:rPr>
          <w:color w:val="221F1F"/>
          <w:spacing w:val="-2"/>
        </w:rPr>
        <w:t xml:space="preserve"> </w:t>
      </w:r>
      <w:r>
        <w:rPr>
          <w:color w:val="221F1F"/>
        </w:rPr>
        <w:t>to</w:t>
      </w:r>
      <w:r>
        <w:rPr>
          <w:color w:val="221F1F"/>
          <w:spacing w:val="-2"/>
        </w:rPr>
        <w:t xml:space="preserve"> </w:t>
      </w:r>
      <w:r>
        <w:rPr>
          <w:color w:val="221F1F"/>
        </w:rPr>
        <w:t>the Contractor prior to the Base Date or is stated in the Contract.</w:t>
      </w:r>
    </w:p>
    <w:p w:rsidR="007F6DF9" w:rsidRDefault="00A43FBC">
      <w:pPr>
        <w:pStyle w:val="ListParagraph"/>
        <w:numPr>
          <w:ilvl w:val="2"/>
          <w:numId w:val="122"/>
        </w:numPr>
        <w:tabs>
          <w:tab w:val="left" w:pos="1428"/>
          <w:tab w:val="left" w:pos="1431"/>
        </w:tabs>
        <w:spacing w:before="244" w:line="230" w:lineRule="auto"/>
        <w:ind w:left="1431" w:right="565" w:hanging="721"/>
        <w:jc w:val="both"/>
        <w:rPr>
          <w:color w:val="221F1F"/>
        </w:rPr>
      </w:pPr>
      <w:r>
        <w:rPr>
          <w:color w:val="221F1F"/>
        </w:rPr>
        <w:t>The Contractor shall indemnify and hold the Procuring Entity harmless again stand from any other claim which arises out of or in relation to (</w:t>
      </w:r>
      <w:proofErr w:type="spellStart"/>
      <w:r>
        <w:rPr>
          <w:color w:val="221F1F"/>
        </w:rPr>
        <w:t>i</w:t>
      </w:r>
      <w:proofErr w:type="spellEnd"/>
      <w:r>
        <w:rPr>
          <w:color w:val="221F1F"/>
        </w:rPr>
        <w:t>) the</w:t>
      </w:r>
      <w:r>
        <w:rPr>
          <w:color w:val="221F1F"/>
          <w:spacing w:val="-1"/>
        </w:rPr>
        <w:t xml:space="preserve"> </w:t>
      </w:r>
      <w:r>
        <w:rPr>
          <w:color w:val="221F1F"/>
        </w:rPr>
        <w:t>manufacture, use, sale or import of any Goods, or (ii) any design for which the Contractor is responsible.</w:t>
      </w:r>
    </w:p>
    <w:p w:rsidR="007F6DF9" w:rsidRDefault="00A43FBC">
      <w:pPr>
        <w:pStyle w:val="ListParagraph"/>
        <w:numPr>
          <w:ilvl w:val="2"/>
          <w:numId w:val="122"/>
        </w:numPr>
        <w:tabs>
          <w:tab w:val="left" w:pos="1426"/>
          <w:tab w:val="left" w:pos="1429"/>
        </w:tabs>
        <w:spacing w:before="246" w:line="230" w:lineRule="auto"/>
        <w:ind w:right="562"/>
        <w:jc w:val="both"/>
        <w:rPr>
          <w:color w:val="221F1F"/>
        </w:rPr>
      </w:pPr>
      <w:r>
        <w:rPr>
          <w:color w:val="221F1F"/>
        </w:rPr>
        <w:t>If</w:t>
      </w:r>
      <w:r>
        <w:rPr>
          <w:color w:val="221F1F"/>
          <w:spacing w:val="-13"/>
        </w:rPr>
        <w:t xml:space="preserve"> </w:t>
      </w:r>
      <w:r>
        <w:rPr>
          <w:color w:val="221F1F"/>
        </w:rPr>
        <w:t>a</w:t>
      </w:r>
      <w:r>
        <w:rPr>
          <w:color w:val="221F1F"/>
          <w:spacing w:val="-14"/>
        </w:rPr>
        <w:t xml:space="preserve"> </w:t>
      </w:r>
      <w:r>
        <w:rPr>
          <w:color w:val="221F1F"/>
        </w:rPr>
        <w:t>Party</w:t>
      </w:r>
      <w:r>
        <w:rPr>
          <w:color w:val="221F1F"/>
          <w:spacing w:val="-13"/>
        </w:rPr>
        <w:t xml:space="preserve"> </w:t>
      </w:r>
      <w:r>
        <w:rPr>
          <w:color w:val="221F1F"/>
        </w:rPr>
        <w:t>is</w:t>
      </w:r>
      <w:r>
        <w:rPr>
          <w:color w:val="221F1F"/>
          <w:spacing w:val="-14"/>
        </w:rPr>
        <w:t xml:space="preserve"> </w:t>
      </w:r>
      <w:r>
        <w:rPr>
          <w:color w:val="221F1F"/>
        </w:rPr>
        <w:t>entitled</w:t>
      </w:r>
      <w:r>
        <w:rPr>
          <w:color w:val="221F1F"/>
          <w:spacing w:val="-13"/>
        </w:rPr>
        <w:t xml:space="preserve"> </w:t>
      </w:r>
      <w:r>
        <w:rPr>
          <w:color w:val="221F1F"/>
        </w:rPr>
        <w:t>to</w:t>
      </w:r>
      <w:r>
        <w:rPr>
          <w:color w:val="221F1F"/>
          <w:spacing w:val="-14"/>
        </w:rPr>
        <w:t xml:space="preserve"> </w:t>
      </w:r>
      <w:r>
        <w:rPr>
          <w:color w:val="221F1F"/>
        </w:rPr>
        <w:t>be</w:t>
      </w:r>
      <w:r>
        <w:rPr>
          <w:color w:val="221F1F"/>
          <w:spacing w:val="-12"/>
        </w:rPr>
        <w:t xml:space="preserve"> </w:t>
      </w:r>
      <w:r>
        <w:rPr>
          <w:color w:val="221F1F"/>
        </w:rPr>
        <w:t>indemnified</w:t>
      </w:r>
      <w:r>
        <w:rPr>
          <w:color w:val="221F1F"/>
          <w:spacing w:val="-14"/>
        </w:rPr>
        <w:t xml:space="preserve"> </w:t>
      </w:r>
      <w:r>
        <w:rPr>
          <w:color w:val="221F1F"/>
        </w:rPr>
        <w:t>under</w:t>
      </w:r>
      <w:r>
        <w:rPr>
          <w:color w:val="221F1F"/>
          <w:spacing w:val="-12"/>
        </w:rPr>
        <w:t xml:space="preserve"> </w:t>
      </w:r>
      <w:r>
        <w:rPr>
          <w:color w:val="221F1F"/>
        </w:rPr>
        <w:t>this</w:t>
      </w:r>
      <w:r>
        <w:rPr>
          <w:color w:val="221F1F"/>
          <w:spacing w:val="-14"/>
        </w:rPr>
        <w:t xml:space="preserve"> </w:t>
      </w:r>
      <w:r>
        <w:rPr>
          <w:color w:val="221F1F"/>
        </w:rPr>
        <w:t>Sub-Clause,</w:t>
      </w:r>
      <w:r>
        <w:rPr>
          <w:color w:val="221F1F"/>
          <w:spacing w:val="-12"/>
        </w:rPr>
        <w:t xml:space="preserve"> </w:t>
      </w:r>
      <w:r>
        <w:rPr>
          <w:color w:val="221F1F"/>
        </w:rPr>
        <w:t>the</w:t>
      </w:r>
      <w:r>
        <w:rPr>
          <w:color w:val="221F1F"/>
          <w:spacing w:val="-14"/>
        </w:rPr>
        <w:t xml:space="preserve"> </w:t>
      </w:r>
      <w:r>
        <w:rPr>
          <w:color w:val="221F1F"/>
        </w:rPr>
        <w:t>indemnifying</w:t>
      </w:r>
      <w:r>
        <w:rPr>
          <w:color w:val="221F1F"/>
          <w:spacing w:val="-12"/>
        </w:rPr>
        <w:t xml:space="preserve"> </w:t>
      </w:r>
      <w:r>
        <w:rPr>
          <w:color w:val="221F1F"/>
        </w:rPr>
        <w:t>Party</w:t>
      </w:r>
      <w:r>
        <w:rPr>
          <w:color w:val="221F1F"/>
          <w:spacing w:val="-13"/>
        </w:rPr>
        <w:t xml:space="preserve"> </w:t>
      </w:r>
      <w:r>
        <w:rPr>
          <w:color w:val="221F1F"/>
        </w:rPr>
        <w:t>may</w:t>
      </w:r>
      <w:r>
        <w:rPr>
          <w:color w:val="221F1F"/>
          <w:spacing w:val="-14"/>
        </w:rPr>
        <w:t xml:space="preserve"> </w:t>
      </w:r>
      <w:r>
        <w:rPr>
          <w:color w:val="221F1F"/>
        </w:rPr>
        <w:t>(at</w:t>
      </w:r>
      <w:r>
        <w:rPr>
          <w:color w:val="221F1F"/>
          <w:spacing w:val="-12"/>
        </w:rPr>
        <w:t xml:space="preserve"> </w:t>
      </w:r>
      <w:r>
        <w:rPr>
          <w:color w:val="221F1F"/>
        </w:rPr>
        <w:t>its</w:t>
      </w:r>
      <w:r>
        <w:rPr>
          <w:color w:val="221F1F"/>
          <w:spacing w:val="-14"/>
        </w:rPr>
        <w:t xml:space="preserve"> </w:t>
      </w:r>
      <w:r>
        <w:rPr>
          <w:color w:val="221F1F"/>
        </w:rPr>
        <w:t>cost)</w:t>
      </w:r>
      <w:r>
        <w:rPr>
          <w:color w:val="221F1F"/>
          <w:spacing w:val="-12"/>
        </w:rPr>
        <w:t xml:space="preserve"> </w:t>
      </w:r>
      <w:r>
        <w:rPr>
          <w:color w:val="221F1F"/>
        </w:rPr>
        <w:t>conduct negotiations for the settlement of the claim, and any litigation or arbitration which may arise from it. The other</w:t>
      </w:r>
      <w:r>
        <w:rPr>
          <w:color w:val="221F1F"/>
          <w:spacing w:val="-1"/>
        </w:rPr>
        <w:t xml:space="preserve"> </w:t>
      </w:r>
      <w:r>
        <w:rPr>
          <w:color w:val="221F1F"/>
        </w:rPr>
        <w:t>Party</w:t>
      </w:r>
      <w:r>
        <w:rPr>
          <w:color w:val="221F1F"/>
          <w:spacing w:val="-1"/>
        </w:rPr>
        <w:t xml:space="preserve"> </w:t>
      </w:r>
      <w:r>
        <w:rPr>
          <w:color w:val="221F1F"/>
        </w:rPr>
        <w:t>shall,</w:t>
      </w:r>
      <w:r>
        <w:rPr>
          <w:color w:val="221F1F"/>
          <w:spacing w:val="-1"/>
        </w:rPr>
        <w:t xml:space="preserve"> </w:t>
      </w:r>
      <w:r>
        <w:rPr>
          <w:color w:val="221F1F"/>
        </w:rPr>
        <w:t>at</w:t>
      </w:r>
      <w:r>
        <w:rPr>
          <w:color w:val="221F1F"/>
          <w:spacing w:val="-3"/>
        </w:rPr>
        <w:t xml:space="preserve"> </w:t>
      </w:r>
      <w:r>
        <w:rPr>
          <w:color w:val="221F1F"/>
        </w:rPr>
        <w:t>the</w:t>
      </w:r>
      <w:r>
        <w:rPr>
          <w:color w:val="221F1F"/>
          <w:spacing w:val="-1"/>
        </w:rPr>
        <w:t xml:space="preserve"> </w:t>
      </w:r>
      <w:r>
        <w:rPr>
          <w:color w:val="221F1F"/>
        </w:rPr>
        <w:t>request and</w:t>
      </w:r>
      <w:r>
        <w:rPr>
          <w:color w:val="221F1F"/>
          <w:spacing w:val="-1"/>
        </w:rPr>
        <w:t xml:space="preserve"> </w:t>
      </w:r>
      <w:r>
        <w:rPr>
          <w:color w:val="221F1F"/>
        </w:rPr>
        <w:t>cost of</w:t>
      </w:r>
      <w:r>
        <w:rPr>
          <w:color w:val="221F1F"/>
          <w:spacing w:val="-3"/>
        </w:rPr>
        <w:t xml:space="preserve"> </w:t>
      </w:r>
      <w:r>
        <w:rPr>
          <w:color w:val="221F1F"/>
        </w:rPr>
        <w:t>the</w:t>
      </w:r>
      <w:r>
        <w:rPr>
          <w:color w:val="221F1F"/>
          <w:spacing w:val="-3"/>
        </w:rPr>
        <w:t xml:space="preserve"> </w:t>
      </w:r>
      <w:r>
        <w:rPr>
          <w:color w:val="221F1F"/>
        </w:rPr>
        <w:t>indemnifying</w:t>
      </w:r>
      <w:r>
        <w:rPr>
          <w:color w:val="221F1F"/>
          <w:spacing w:val="-1"/>
        </w:rPr>
        <w:t xml:space="preserve"> </w:t>
      </w:r>
      <w:r>
        <w:rPr>
          <w:color w:val="221F1F"/>
        </w:rPr>
        <w:t>Party,</w:t>
      </w:r>
      <w:r>
        <w:rPr>
          <w:color w:val="221F1F"/>
          <w:spacing w:val="-4"/>
        </w:rPr>
        <w:t xml:space="preserve"> </w:t>
      </w:r>
      <w:r>
        <w:rPr>
          <w:color w:val="221F1F"/>
        </w:rPr>
        <w:t>assist in</w:t>
      </w:r>
      <w:r>
        <w:rPr>
          <w:color w:val="221F1F"/>
          <w:spacing w:val="-1"/>
        </w:rPr>
        <w:t xml:space="preserve"> </w:t>
      </w:r>
      <w:r>
        <w:rPr>
          <w:color w:val="221F1F"/>
        </w:rPr>
        <w:t>contesting</w:t>
      </w:r>
      <w:r>
        <w:rPr>
          <w:color w:val="221F1F"/>
          <w:spacing w:val="-1"/>
        </w:rPr>
        <w:t xml:space="preserve"> </w:t>
      </w:r>
      <w:r>
        <w:rPr>
          <w:color w:val="221F1F"/>
        </w:rPr>
        <w:t>the</w:t>
      </w:r>
      <w:r>
        <w:rPr>
          <w:color w:val="221F1F"/>
          <w:spacing w:val="-1"/>
        </w:rPr>
        <w:t xml:space="preserve"> </w:t>
      </w:r>
      <w:r>
        <w:rPr>
          <w:color w:val="221F1F"/>
        </w:rPr>
        <w:t>claim.</w:t>
      </w:r>
      <w:r>
        <w:rPr>
          <w:color w:val="221F1F"/>
          <w:spacing w:val="-1"/>
        </w:rPr>
        <w:t xml:space="preserve"> </w:t>
      </w:r>
      <w:r>
        <w:rPr>
          <w:color w:val="221F1F"/>
        </w:rPr>
        <w:t>This</w:t>
      </w:r>
      <w:r>
        <w:rPr>
          <w:color w:val="221F1F"/>
          <w:spacing w:val="-1"/>
        </w:rPr>
        <w:t xml:space="preserve"> </w:t>
      </w:r>
      <w:r>
        <w:rPr>
          <w:color w:val="221F1F"/>
        </w:rPr>
        <w:t>other Party</w:t>
      </w:r>
      <w:r>
        <w:rPr>
          <w:color w:val="221F1F"/>
          <w:spacing w:val="-12"/>
        </w:rPr>
        <w:t xml:space="preserve"> </w:t>
      </w:r>
      <w:r>
        <w:rPr>
          <w:color w:val="221F1F"/>
        </w:rPr>
        <w:t>(and</w:t>
      </w:r>
      <w:r>
        <w:rPr>
          <w:color w:val="221F1F"/>
          <w:spacing w:val="-11"/>
        </w:rPr>
        <w:t xml:space="preserve"> </w:t>
      </w:r>
      <w:r>
        <w:rPr>
          <w:color w:val="221F1F"/>
        </w:rPr>
        <w:t>its</w:t>
      </w:r>
      <w:r>
        <w:rPr>
          <w:color w:val="221F1F"/>
          <w:spacing w:val="-9"/>
        </w:rPr>
        <w:t xml:space="preserve"> </w:t>
      </w:r>
      <w:r>
        <w:rPr>
          <w:color w:val="221F1F"/>
        </w:rPr>
        <w:t>Personnel)</w:t>
      </w:r>
      <w:r>
        <w:rPr>
          <w:color w:val="221F1F"/>
          <w:spacing w:val="-10"/>
        </w:rPr>
        <w:t xml:space="preserve"> </w:t>
      </w:r>
      <w:r>
        <w:rPr>
          <w:color w:val="221F1F"/>
        </w:rPr>
        <w:t>shall</w:t>
      </w:r>
      <w:r>
        <w:rPr>
          <w:color w:val="221F1F"/>
          <w:spacing w:val="-8"/>
        </w:rPr>
        <w:t xml:space="preserve"> </w:t>
      </w:r>
      <w:r>
        <w:rPr>
          <w:color w:val="221F1F"/>
        </w:rPr>
        <w:t>not</w:t>
      </w:r>
      <w:r>
        <w:rPr>
          <w:color w:val="221F1F"/>
          <w:spacing w:val="-11"/>
        </w:rPr>
        <w:t xml:space="preserve"> </w:t>
      </w:r>
      <w:r>
        <w:rPr>
          <w:color w:val="221F1F"/>
        </w:rPr>
        <w:t>make</w:t>
      </w:r>
      <w:r>
        <w:rPr>
          <w:color w:val="221F1F"/>
          <w:spacing w:val="-9"/>
        </w:rPr>
        <w:t xml:space="preserve"> </w:t>
      </w:r>
      <w:r>
        <w:rPr>
          <w:color w:val="221F1F"/>
        </w:rPr>
        <w:t>any</w:t>
      </w:r>
      <w:r>
        <w:rPr>
          <w:color w:val="221F1F"/>
          <w:spacing w:val="-10"/>
        </w:rPr>
        <w:t xml:space="preserve"> </w:t>
      </w:r>
      <w:r>
        <w:rPr>
          <w:color w:val="221F1F"/>
        </w:rPr>
        <w:t>admission</w:t>
      </w:r>
      <w:r>
        <w:rPr>
          <w:color w:val="221F1F"/>
          <w:spacing w:val="-11"/>
        </w:rPr>
        <w:t xml:space="preserve"> </w:t>
      </w:r>
      <w:r>
        <w:rPr>
          <w:color w:val="221F1F"/>
        </w:rPr>
        <w:t>which</w:t>
      </w:r>
      <w:r>
        <w:rPr>
          <w:color w:val="221F1F"/>
          <w:spacing w:val="-9"/>
        </w:rPr>
        <w:t xml:space="preserve"> </w:t>
      </w:r>
      <w:r>
        <w:rPr>
          <w:color w:val="221F1F"/>
        </w:rPr>
        <w:t>might</w:t>
      </w:r>
      <w:r>
        <w:rPr>
          <w:color w:val="221F1F"/>
          <w:spacing w:val="-8"/>
        </w:rPr>
        <w:t xml:space="preserve"> </w:t>
      </w:r>
      <w:r>
        <w:rPr>
          <w:color w:val="221F1F"/>
        </w:rPr>
        <w:t>be</w:t>
      </w:r>
      <w:r>
        <w:rPr>
          <w:color w:val="221F1F"/>
          <w:spacing w:val="-9"/>
        </w:rPr>
        <w:t xml:space="preserve"> </w:t>
      </w:r>
      <w:r>
        <w:rPr>
          <w:color w:val="221F1F"/>
        </w:rPr>
        <w:t>prejudicial</w:t>
      </w:r>
      <w:r>
        <w:rPr>
          <w:color w:val="221F1F"/>
          <w:spacing w:val="-7"/>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indemnifying</w:t>
      </w:r>
      <w:r>
        <w:rPr>
          <w:color w:val="221F1F"/>
          <w:spacing w:val="-9"/>
        </w:rPr>
        <w:t xml:space="preserve"> </w:t>
      </w:r>
      <w:r>
        <w:rPr>
          <w:color w:val="221F1F"/>
        </w:rPr>
        <w:t>Party, unless the indemnifying Party failed to take over the conduct of any negotiations, litigation or arbitration upon being requested to do so by such other Party.</w:t>
      </w:r>
    </w:p>
    <w:p w:rsidR="007F6DF9" w:rsidRDefault="00A43FBC">
      <w:pPr>
        <w:pStyle w:val="ListParagraph"/>
        <w:numPr>
          <w:ilvl w:val="2"/>
          <w:numId w:val="122"/>
        </w:numPr>
        <w:tabs>
          <w:tab w:val="left" w:pos="1426"/>
          <w:tab w:val="left" w:pos="1429"/>
        </w:tabs>
        <w:spacing w:before="247" w:line="230" w:lineRule="auto"/>
        <w:ind w:right="565" w:hanging="721"/>
        <w:jc w:val="both"/>
        <w:rPr>
          <w:color w:val="221F1F"/>
        </w:rPr>
      </w:pPr>
      <w:r>
        <w:rPr>
          <w:color w:val="221F1F"/>
        </w:rPr>
        <w:t>For</w:t>
      </w:r>
      <w:r>
        <w:rPr>
          <w:color w:val="221F1F"/>
          <w:spacing w:val="-9"/>
        </w:rPr>
        <w:t xml:space="preserve"> </w:t>
      </w:r>
      <w:r>
        <w:rPr>
          <w:color w:val="221F1F"/>
        </w:rPr>
        <w:t>operation</w:t>
      </w:r>
      <w:r>
        <w:rPr>
          <w:color w:val="221F1F"/>
          <w:spacing w:val="-9"/>
        </w:rPr>
        <w:t xml:space="preserve"> </w:t>
      </w:r>
      <w:r>
        <w:rPr>
          <w:color w:val="221F1F"/>
        </w:rPr>
        <w:t>and</w:t>
      </w:r>
      <w:r>
        <w:rPr>
          <w:color w:val="221F1F"/>
          <w:spacing w:val="-12"/>
        </w:rPr>
        <w:t xml:space="preserve"> </w:t>
      </w:r>
      <w:r>
        <w:rPr>
          <w:color w:val="221F1F"/>
        </w:rPr>
        <w:t>maintenance</w:t>
      </w:r>
      <w:r>
        <w:rPr>
          <w:color w:val="221F1F"/>
          <w:spacing w:val="-8"/>
        </w:rPr>
        <w:t xml:space="preserve"> </w:t>
      </w:r>
      <w:r>
        <w:rPr>
          <w:color w:val="221F1F"/>
        </w:rPr>
        <w:t>of</w:t>
      </w:r>
      <w:r>
        <w:rPr>
          <w:color w:val="221F1F"/>
          <w:spacing w:val="-9"/>
        </w:rPr>
        <w:t xml:space="preserve"> </w:t>
      </w:r>
      <w:r>
        <w:rPr>
          <w:color w:val="221F1F"/>
        </w:rPr>
        <w:t>any</w:t>
      </w:r>
      <w:r>
        <w:rPr>
          <w:color w:val="221F1F"/>
          <w:spacing w:val="-10"/>
        </w:rPr>
        <w:t xml:space="preserve"> </w:t>
      </w:r>
      <w:r>
        <w:rPr>
          <w:color w:val="221F1F"/>
        </w:rPr>
        <w:t>plan</w:t>
      </w:r>
      <w:r>
        <w:rPr>
          <w:color w:val="221F1F"/>
          <w:spacing w:val="-11"/>
        </w:rPr>
        <w:t xml:space="preserve"> </w:t>
      </w:r>
      <w:r>
        <w:rPr>
          <w:color w:val="221F1F"/>
        </w:rPr>
        <w:t>to</w:t>
      </w:r>
      <w:r>
        <w:rPr>
          <w:color w:val="221F1F"/>
          <w:spacing w:val="-12"/>
        </w:rPr>
        <w:t xml:space="preserve"> </w:t>
      </w:r>
      <w:proofErr w:type="spellStart"/>
      <w:r>
        <w:rPr>
          <w:color w:val="221F1F"/>
        </w:rPr>
        <w:t>requipment</w:t>
      </w:r>
      <w:proofErr w:type="spellEnd"/>
      <w:r>
        <w:rPr>
          <w:color w:val="221F1F"/>
          <w:spacing w:val="-10"/>
        </w:rPr>
        <w:t xml:space="preserve"> </w:t>
      </w:r>
      <w:r>
        <w:rPr>
          <w:color w:val="221F1F"/>
        </w:rPr>
        <w:t>installed,</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11"/>
        </w:rPr>
        <w:t xml:space="preserve"> </w:t>
      </w:r>
      <w:r>
        <w:rPr>
          <w:color w:val="221F1F"/>
        </w:rPr>
        <w:t>shall</w:t>
      </w:r>
      <w:r>
        <w:rPr>
          <w:color w:val="221F1F"/>
          <w:spacing w:val="-8"/>
        </w:rPr>
        <w:t xml:space="preserve"> </w:t>
      </w:r>
      <w:r>
        <w:rPr>
          <w:color w:val="221F1F"/>
        </w:rPr>
        <w:t>grant</w:t>
      </w:r>
      <w:r>
        <w:rPr>
          <w:color w:val="221F1F"/>
          <w:spacing w:val="-10"/>
        </w:rPr>
        <w:t xml:space="preserve"> </w:t>
      </w:r>
      <w:r>
        <w:rPr>
          <w:color w:val="221F1F"/>
        </w:rPr>
        <w:t>a</w:t>
      </w:r>
      <w:r>
        <w:rPr>
          <w:color w:val="221F1F"/>
          <w:spacing w:val="-11"/>
        </w:rPr>
        <w:t xml:space="preserve"> </w:t>
      </w:r>
      <w:r>
        <w:rPr>
          <w:color w:val="221F1F"/>
        </w:rPr>
        <w:t>non-exclusive and non-transferable license to the Procuring Entity under the patent, utility models ,or other intellectual rights owned by the contractor or a third party from whom the contract or has received the rights to grant sub-licenses</w:t>
      </w:r>
      <w:r>
        <w:rPr>
          <w:color w:val="221F1F"/>
          <w:spacing w:val="-8"/>
        </w:rPr>
        <w:t xml:space="preserve"> </w:t>
      </w:r>
      <w:r>
        <w:rPr>
          <w:color w:val="221F1F"/>
        </w:rPr>
        <w:t>and</w:t>
      </w:r>
      <w:r>
        <w:rPr>
          <w:color w:val="221F1F"/>
          <w:spacing w:val="-8"/>
        </w:rPr>
        <w:t xml:space="preserve"> </w:t>
      </w:r>
      <w:r>
        <w:rPr>
          <w:color w:val="221F1F"/>
        </w:rPr>
        <w:t>shall</w:t>
      </w:r>
      <w:r>
        <w:rPr>
          <w:color w:val="221F1F"/>
          <w:spacing w:val="-7"/>
        </w:rPr>
        <w:t xml:space="preserve"> </w:t>
      </w:r>
      <w:r>
        <w:rPr>
          <w:color w:val="221F1F"/>
        </w:rPr>
        <w:t>also</w:t>
      </w:r>
      <w:r>
        <w:rPr>
          <w:color w:val="221F1F"/>
          <w:spacing w:val="-10"/>
        </w:rPr>
        <w:t xml:space="preserve"> </w:t>
      </w:r>
      <w:r>
        <w:rPr>
          <w:color w:val="221F1F"/>
        </w:rPr>
        <w:t>grant</w:t>
      </w:r>
      <w:r>
        <w:rPr>
          <w:color w:val="221F1F"/>
          <w:spacing w:val="-7"/>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5"/>
        </w:rPr>
        <w:t xml:space="preserve"> </w:t>
      </w:r>
      <w:r>
        <w:rPr>
          <w:color w:val="221F1F"/>
        </w:rPr>
        <w:t>a</w:t>
      </w:r>
      <w:r>
        <w:rPr>
          <w:color w:val="221F1F"/>
          <w:spacing w:val="-8"/>
        </w:rPr>
        <w:t xml:space="preserve"> </w:t>
      </w:r>
      <w:r>
        <w:rPr>
          <w:color w:val="221F1F"/>
        </w:rPr>
        <w:t>non-exclusive</w:t>
      </w:r>
      <w:r>
        <w:rPr>
          <w:color w:val="221F1F"/>
          <w:spacing w:val="-8"/>
        </w:rPr>
        <w:t xml:space="preserve"> </w:t>
      </w:r>
      <w:r>
        <w:rPr>
          <w:color w:val="221F1F"/>
        </w:rPr>
        <w:t>and</w:t>
      </w:r>
      <w:r>
        <w:rPr>
          <w:color w:val="221F1F"/>
          <w:spacing w:val="-8"/>
        </w:rPr>
        <w:t xml:space="preserve"> </w:t>
      </w:r>
      <w:r>
        <w:rPr>
          <w:color w:val="221F1F"/>
        </w:rPr>
        <w:t>non-transferable</w:t>
      </w:r>
      <w:r>
        <w:rPr>
          <w:color w:val="221F1F"/>
          <w:spacing w:val="-7"/>
        </w:rPr>
        <w:t xml:space="preserve"> </w:t>
      </w:r>
      <w:r>
        <w:rPr>
          <w:color w:val="221F1F"/>
        </w:rPr>
        <w:t>rights</w:t>
      </w:r>
      <w:r>
        <w:rPr>
          <w:color w:val="221F1F"/>
          <w:spacing w:val="-7"/>
        </w:rPr>
        <w:t xml:space="preserve"> </w:t>
      </w:r>
      <w:r>
        <w:rPr>
          <w:color w:val="221F1F"/>
        </w:rPr>
        <w:t xml:space="preserve">(without the rights to sub-license) to use the </w:t>
      </w:r>
      <w:proofErr w:type="spellStart"/>
      <w:r>
        <w:rPr>
          <w:color w:val="221F1F"/>
        </w:rPr>
        <w:t>know how</w:t>
      </w:r>
      <w:proofErr w:type="spellEnd"/>
      <w:r>
        <w:rPr>
          <w:color w:val="221F1F"/>
        </w:rPr>
        <w:t xml:space="preserve"> and other technical information disclosed to the contract or under the contract. Nothing contained here-in shall be construed as transferring ownership of any patent, utility</w:t>
      </w:r>
      <w:r>
        <w:rPr>
          <w:color w:val="221F1F"/>
          <w:spacing w:val="-8"/>
        </w:rPr>
        <w:t xml:space="preserve"> </w:t>
      </w:r>
      <w:r>
        <w:rPr>
          <w:color w:val="221F1F"/>
        </w:rPr>
        <w:t>model,</w:t>
      </w:r>
      <w:r>
        <w:rPr>
          <w:color w:val="221F1F"/>
          <w:spacing w:val="-8"/>
        </w:rPr>
        <w:t xml:space="preserve"> </w:t>
      </w:r>
      <w:r>
        <w:rPr>
          <w:color w:val="221F1F"/>
        </w:rPr>
        <w:t>trademark,</w:t>
      </w:r>
      <w:r>
        <w:rPr>
          <w:color w:val="221F1F"/>
          <w:spacing w:val="-9"/>
        </w:rPr>
        <w:t xml:space="preserve"> </w:t>
      </w:r>
      <w:r>
        <w:rPr>
          <w:color w:val="221F1F"/>
        </w:rPr>
        <w:t>design,</w:t>
      </w:r>
      <w:r>
        <w:rPr>
          <w:color w:val="221F1F"/>
          <w:spacing w:val="-9"/>
        </w:rPr>
        <w:t xml:space="preserve"> </w:t>
      </w:r>
      <w:r>
        <w:rPr>
          <w:color w:val="221F1F"/>
        </w:rPr>
        <w:t>copy</w:t>
      </w:r>
      <w:r>
        <w:rPr>
          <w:color w:val="221F1F"/>
          <w:spacing w:val="-6"/>
        </w:rPr>
        <w:t xml:space="preserve"> </w:t>
      </w:r>
      <w:r>
        <w:rPr>
          <w:color w:val="221F1F"/>
        </w:rPr>
        <w:t>right,</w:t>
      </w:r>
      <w:r>
        <w:rPr>
          <w:color w:val="221F1F"/>
          <w:spacing w:val="-9"/>
        </w:rPr>
        <w:t xml:space="preserve"> </w:t>
      </w:r>
      <w:r>
        <w:rPr>
          <w:color w:val="221F1F"/>
        </w:rPr>
        <w:t>know-how</w:t>
      </w:r>
      <w:r>
        <w:rPr>
          <w:color w:val="221F1F"/>
          <w:spacing w:val="-7"/>
        </w:rPr>
        <w:t xml:space="preserve"> </w:t>
      </w:r>
      <w:r>
        <w:rPr>
          <w:color w:val="221F1F"/>
        </w:rPr>
        <w:t>or</w:t>
      </w:r>
      <w:r>
        <w:rPr>
          <w:color w:val="221F1F"/>
          <w:spacing w:val="-8"/>
        </w:rPr>
        <w:t xml:space="preserve"> </w:t>
      </w:r>
      <w:r>
        <w:rPr>
          <w:color w:val="221F1F"/>
        </w:rPr>
        <w:t>other</w:t>
      </w:r>
      <w:r>
        <w:rPr>
          <w:color w:val="221F1F"/>
          <w:spacing w:val="-7"/>
        </w:rPr>
        <w:t xml:space="preserve"> </w:t>
      </w:r>
      <w:r>
        <w:rPr>
          <w:color w:val="221F1F"/>
        </w:rPr>
        <w:t>intellectual</w:t>
      </w:r>
      <w:r>
        <w:rPr>
          <w:color w:val="221F1F"/>
          <w:spacing w:val="-7"/>
        </w:rPr>
        <w:t xml:space="preserve"> </w:t>
      </w:r>
      <w:r>
        <w:rPr>
          <w:color w:val="221F1F"/>
        </w:rPr>
        <w:t>rights</w:t>
      </w:r>
      <w:r>
        <w:rPr>
          <w:color w:val="221F1F"/>
          <w:spacing w:val="-8"/>
        </w:rPr>
        <w:t xml:space="preserve"> </w:t>
      </w:r>
      <w:r>
        <w:rPr>
          <w:color w:val="221F1F"/>
        </w:rPr>
        <w:t>from</w:t>
      </w:r>
      <w:r>
        <w:rPr>
          <w:color w:val="221F1F"/>
          <w:spacing w:val="-7"/>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or</w:t>
      </w:r>
      <w:r>
        <w:rPr>
          <w:color w:val="221F1F"/>
          <w:spacing w:val="-8"/>
        </w:rPr>
        <w:t xml:space="preserve"> </w:t>
      </w:r>
      <w:r>
        <w:rPr>
          <w:color w:val="221F1F"/>
        </w:rPr>
        <w:t>any other third party to the Procuring Entity.</w:t>
      </w:r>
    </w:p>
    <w:p w:rsidR="007F6DF9" w:rsidRDefault="00A43FBC">
      <w:pPr>
        <w:pStyle w:val="Heading9"/>
        <w:numPr>
          <w:ilvl w:val="1"/>
          <w:numId w:val="122"/>
        </w:numPr>
        <w:tabs>
          <w:tab w:val="left" w:pos="1426"/>
        </w:tabs>
        <w:spacing w:before="240"/>
        <w:ind w:left="1426" w:hanging="720"/>
        <w:rPr>
          <w:color w:val="221F1F"/>
        </w:rPr>
      </w:pPr>
      <w:r>
        <w:rPr>
          <w:color w:val="221F1F"/>
        </w:rPr>
        <w:t>Limitation</w:t>
      </w:r>
      <w:r>
        <w:rPr>
          <w:color w:val="221F1F"/>
          <w:spacing w:val="-5"/>
        </w:rPr>
        <w:t xml:space="preserve"> </w:t>
      </w:r>
      <w:r>
        <w:rPr>
          <w:color w:val="221F1F"/>
        </w:rPr>
        <w:t>of</w:t>
      </w:r>
      <w:r>
        <w:rPr>
          <w:color w:val="221F1F"/>
          <w:spacing w:val="-2"/>
        </w:rPr>
        <w:t xml:space="preserve"> Liability</w:t>
      </w:r>
    </w:p>
    <w:p w:rsidR="007F6DF9" w:rsidRDefault="00A43FBC">
      <w:pPr>
        <w:pStyle w:val="ListParagraph"/>
        <w:numPr>
          <w:ilvl w:val="2"/>
          <w:numId w:val="122"/>
        </w:numPr>
        <w:tabs>
          <w:tab w:val="left" w:pos="1423"/>
          <w:tab w:val="left" w:pos="1431"/>
        </w:tabs>
        <w:spacing w:before="243" w:line="230" w:lineRule="auto"/>
        <w:ind w:left="1431" w:right="560" w:hanging="726"/>
        <w:jc w:val="both"/>
        <w:rPr>
          <w:color w:val="221F1F"/>
        </w:rPr>
      </w:pPr>
      <w:r>
        <w:rPr>
          <w:color w:val="221F1F"/>
          <w:spacing w:val="-2"/>
        </w:rPr>
        <w:t>Neither</w:t>
      </w:r>
      <w:r>
        <w:rPr>
          <w:color w:val="221F1F"/>
          <w:spacing w:val="-8"/>
        </w:rPr>
        <w:t xml:space="preserve"> </w:t>
      </w:r>
      <w:r>
        <w:rPr>
          <w:color w:val="221F1F"/>
          <w:spacing w:val="-2"/>
        </w:rPr>
        <w:t>Party</w:t>
      </w:r>
      <w:r>
        <w:rPr>
          <w:color w:val="221F1F"/>
          <w:spacing w:val="-7"/>
        </w:rPr>
        <w:t xml:space="preserve"> </w:t>
      </w:r>
      <w:r>
        <w:rPr>
          <w:color w:val="221F1F"/>
          <w:spacing w:val="-2"/>
        </w:rPr>
        <w:t>shall</w:t>
      </w:r>
      <w:r>
        <w:rPr>
          <w:color w:val="221F1F"/>
          <w:spacing w:val="-6"/>
        </w:rPr>
        <w:t xml:space="preserve"> </w:t>
      </w:r>
      <w:r>
        <w:rPr>
          <w:color w:val="221F1F"/>
          <w:spacing w:val="-2"/>
        </w:rPr>
        <w:t>be</w:t>
      </w:r>
      <w:r>
        <w:rPr>
          <w:color w:val="221F1F"/>
          <w:spacing w:val="-7"/>
        </w:rPr>
        <w:t xml:space="preserve"> </w:t>
      </w:r>
      <w:r>
        <w:rPr>
          <w:color w:val="221F1F"/>
          <w:spacing w:val="-2"/>
        </w:rPr>
        <w:t>liable</w:t>
      </w:r>
      <w:r>
        <w:rPr>
          <w:color w:val="221F1F"/>
          <w:spacing w:val="-9"/>
        </w:rPr>
        <w:t xml:space="preserve"> </w:t>
      </w:r>
      <w:r>
        <w:rPr>
          <w:color w:val="221F1F"/>
          <w:spacing w:val="-2"/>
        </w:rPr>
        <w:t>to</w:t>
      </w:r>
      <w:r>
        <w:rPr>
          <w:color w:val="221F1F"/>
          <w:spacing w:val="-8"/>
        </w:rPr>
        <w:t xml:space="preserve"> </w:t>
      </w:r>
      <w:r>
        <w:rPr>
          <w:color w:val="221F1F"/>
          <w:spacing w:val="-2"/>
        </w:rPr>
        <w:t>the</w:t>
      </w:r>
      <w:r>
        <w:rPr>
          <w:color w:val="221F1F"/>
          <w:spacing w:val="-7"/>
        </w:rPr>
        <w:t xml:space="preserve"> </w:t>
      </w:r>
      <w:r>
        <w:rPr>
          <w:color w:val="221F1F"/>
          <w:spacing w:val="-2"/>
        </w:rPr>
        <w:t>other</w:t>
      </w:r>
      <w:r>
        <w:rPr>
          <w:color w:val="221F1F"/>
          <w:spacing w:val="-7"/>
        </w:rPr>
        <w:t xml:space="preserve"> </w:t>
      </w:r>
      <w:r>
        <w:rPr>
          <w:color w:val="221F1F"/>
          <w:spacing w:val="-2"/>
        </w:rPr>
        <w:t>Party</w:t>
      </w:r>
      <w:r>
        <w:rPr>
          <w:color w:val="221F1F"/>
          <w:spacing w:val="-8"/>
        </w:rPr>
        <w:t xml:space="preserve"> </w:t>
      </w:r>
      <w:r>
        <w:rPr>
          <w:color w:val="221F1F"/>
          <w:spacing w:val="-2"/>
        </w:rPr>
        <w:t>for</w:t>
      </w:r>
      <w:r>
        <w:rPr>
          <w:color w:val="221F1F"/>
          <w:spacing w:val="-7"/>
        </w:rPr>
        <w:t xml:space="preserve"> </w:t>
      </w:r>
      <w:r>
        <w:rPr>
          <w:color w:val="221F1F"/>
          <w:spacing w:val="-2"/>
        </w:rPr>
        <w:t>loss</w:t>
      </w:r>
      <w:r>
        <w:rPr>
          <w:color w:val="221F1F"/>
          <w:spacing w:val="-7"/>
        </w:rPr>
        <w:t xml:space="preserve"> </w:t>
      </w:r>
      <w:r>
        <w:rPr>
          <w:color w:val="221F1F"/>
          <w:spacing w:val="-2"/>
        </w:rPr>
        <w:t>of</w:t>
      </w:r>
      <w:r>
        <w:rPr>
          <w:color w:val="221F1F"/>
          <w:spacing w:val="-9"/>
        </w:rPr>
        <w:t xml:space="preserve"> </w:t>
      </w:r>
      <w:r>
        <w:rPr>
          <w:color w:val="221F1F"/>
          <w:spacing w:val="-2"/>
        </w:rPr>
        <w:t>use</w:t>
      </w:r>
      <w:r>
        <w:rPr>
          <w:color w:val="221F1F"/>
          <w:spacing w:val="-7"/>
        </w:rPr>
        <w:t xml:space="preserve"> </w:t>
      </w:r>
      <w:r>
        <w:rPr>
          <w:color w:val="221F1F"/>
          <w:spacing w:val="-2"/>
        </w:rPr>
        <w:t>of</w:t>
      </w:r>
      <w:r>
        <w:rPr>
          <w:color w:val="221F1F"/>
          <w:spacing w:val="-7"/>
        </w:rPr>
        <w:t xml:space="preserve"> </w:t>
      </w:r>
      <w:proofErr w:type="spellStart"/>
      <w:r>
        <w:rPr>
          <w:color w:val="221F1F"/>
          <w:spacing w:val="-2"/>
        </w:rPr>
        <w:t>anyW</w:t>
      </w:r>
      <w:proofErr w:type="spellEnd"/>
      <w:r>
        <w:rPr>
          <w:color w:val="221F1F"/>
          <w:spacing w:val="-12"/>
        </w:rPr>
        <w:t xml:space="preserve"> </w:t>
      </w:r>
      <w:proofErr w:type="spellStart"/>
      <w:r>
        <w:rPr>
          <w:color w:val="221F1F"/>
          <w:spacing w:val="-2"/>
        </w:rPr>
        <w:t>orks</w:t>
      </w:r>
      <w:proofErr w:type="spellEnd"/>
      <w:r>
        <w:rPr>
          <w:color w:val="221F1F"/>
          <w:spacing w:val="-2"/>
        </w:rPr>
        <w:t>,</w:t>
      </w:r>
      <w:r>
        <w:rPr>
          <w:color w:val="221F1F"/>
          <w:spacing w:val="-12"/>
        </w:rPr>
        <w:t xml:space="preserve"> </w:t>
      </w:r>
      <w:r>
        <w:rPr>
          <w:color w:val="221F1F"/>
          <w:spacing w:val="-2"/>
        </w:rPr>
        <w:t>loss</w:t>
      </w:r>
      <w:r>
        <w:rPr>
          <w:color w:val="221F1F"/>
          <w:spacing w:val="-7"/>
        </w:rPr>
        <w:t xml:space="preserve"> </w:t>
      </w:r>
      <w:r>
        <w:rPr>
          <w:color w:val="221F1F"/>
          <w:spacing w:val="-2"/>
        </w:rPr>
        <w:t>of</w:t>
      </w:r>
      <w:r>
        <w:rPr>
          <w:color w:val="221F1F"/>
          <w:spacing w:val="-7"/>
        </w:rPr>
        <w:t xml:space="preserve"> </w:t>
      </w:r>
      <w:r>
        <w:rPr>
          <w:color w:val="221F1F"/>
          <w:spacing w:val="-2"/>
        </w:rPr>
        <w:t>profit,</w:t>
      </w:r>
      <w:r>
        <w:rPr>
          <w:color w:val="221F1F"/>
          <w:spacing w:val="-6"/>
        </w:rPr>
        <w:t xml:space="preserve"> </w:t>
      </w:r>
      <w:r>
        <w:rPr>
          <w:color w:val="221F1F"/>
          <w:spacing w:val="-2"/>
        </w:rPr>
        <w:t>loss</w:t>
      </w:r>
      <w:r>
        <w:rPr>
          <w:color w:val="221F1F"/>
          <w:spacing w:val="-7"/>
        </w:rPr>
        <w:t xml:space="preserve"> </w:t>
      </w:r>
      <w:r>
        <w:rPr>
          <w:color w:val="221F1F"/>
          <w:spacing w:val="-2"/>
        </w:rPr>
        <w:t>of</w:t>
      </w:r>
      <w:r>
        <w:rPr>
          <w:color w:val="221F1F"/>
          <w:spacing w:val="-7"/>
        </w:rPr>
        <w:t xml:space="preserve"> </w:t>
      </w:r>
      <w:r>
        <w:rPr>
          <w:color w:val="221F1F"/>
          <w:spacing w:val="-2"/>
        </w:rPr>
        <w:t>any</w:t>
      </w:r>
      <w:r>
        <w:rPr>
          <w:color w:val="221F1F"/>
          <w:spacing w:val="-7"/>
        </w:rPr>
        <w:t xml:space="preserve"> </w:t>
      </w:r>
      <w:r>
        <w:rPr>
          <w:color w:val="221F1F"/>
          <w:spacing w:val="-2"/>
        </w:rPr>
        <w:t xml:space="preserve">contractor </w:t>
      </w:r>
      <w:r>
        <w:rPr>
          <w:color w:val="221F1F"/>
        </w:rPr>
        <w:t>for</w:t>
      </w:r>
      <w:r>
        <w:rPr>
          <w:color w:val="221F1F"/>
          <w:spacing w:val="-7"/>
        </w:rPr>
        <w:t xml:space="preserve"> </w:t>
      </w:r>
      <w:r>
        <w:rPr>
          <w:color w:val="221F1F"/>
        </w:rPr>
        <w:t>any</w:t>
      </w:r>
      <w:r>
        <w:rPr>
          <w:color w:val="221F1F"/>
          <w:spacing w:val="-9"/>
        </w:rPr>
        <w:t xml:space="preserve"> </w:t>
      </w:r>
      <w:r>
        <w:rPr>
          <w:color w:val="221F1F"/>
        </w:rPr>
        <w:t>in</w:t>
      </w:r>
      <w:r>
        <w:rPr>
          <w:color w:val="221F1F"/>
          <w:spacing w:val="-11"/>
        </w:rPr>
        <w:t xml:space="preserve"> </w:t>
      </w:r>
      <w:r>
        <w:rPr>
          <w:color w:val="221F1F"/>
        </w:rPr>
        <w:t>director</w:t>
      </w:r>
      <w:r>
        <w:rPr>
          <w:color w:val="221F1F"/>
          <w:spacing w:val="-9"/>
        </w:rPr>
        <w:t xml:space="preserve"> </w:t>
      </w:r>
      <w:r>
        <w:rPr>
          <w:color w:val="221F1F"/>
        </w:rPr>
        <w:t>consequential</w:t>
      </w:r>
      <w:r>
        <w:rPr>
          <w:color w:val="221F1F"/>
          <w:spacing w:val="-9"/>
        </w:rPr>
        <w:t xml:space="preserve"> </w:t>
      </w:r>
      <w:r>
        <w:rPr>
          <w:color w:val="221F1F"/>
        </w:rPr>
        <w:t>loss</w:t>
      </w:r>
      <w:r>
        <w:rPr>
          <w:color w:val="221F1F"/>
          <w:spacing w:val="-10"/>
        </w:rPr>
        <w:t xml:space="preserve"> </w:t>
      </w:r>
      <w:r>
        <w:rPr>
          <w:color w:val="221F1F"/>
        </w:rPr>
        <w:t>or</w:t>
      </w:r>
      <w:r>
        <w:rPr>
          <w:color w:val="221F1F"/>
          <w:spacing w:val="-8"/>
        </w:rPr>
        <w:t xml:space="preserve"> </w:t>
      </w:r>
      <w:r>
        <w:rPr>
          <w:color w:val="221F1F"/>
        </w:rPr>
        <w:t>damage</w:t>
      </w:r>
      <w:r>
        <w:rPr>
          <w:color w:val="221F1F"/>
          <w:spacing w:val="-8"/>
        </w:rPr>
        <w:t xml:space="preserve"> </w:t>
      </w:r>
      <w:r>
        <w:rPr>
          <w:color w:val="221F1F"/>
        </w:rPr>
        <w:t>which</w:t>
      </w:r>
      <w:r>
        <w:rPr>
          <w:color w:val="221F1F"/>
          <w:spacing w:val="-10"/>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suffered</w:t>
      </w:r>
      <w:r>
        <w:rPr>
          <w:color w:val="221F1F"/>
          <w:spacing w:val="-10"/>
        </w:rPr>
        <w:t xml:space="preserve"> </w:t>
      </w:r>
      <w:r>
        <w:rPr>
          <w:color w:val="221F1F"/>
        </w:rPr>
        <w:t>by</w:t>
      </w:r>
      <w:r>
        <w:rPr>
          <w:color w:val="221F1F"/>
          <w:spacing w:val="-8"/>
        </w:rPr>
        <w:t xml:space="preserve"> </w:t>
      </w:r>
      <w:r>
        <w:rPr>
          <w:color w:val="221F1F"/>
        </w:rPr>
        <w:t>the</w:t>
      </w:r>
      <w:r>
        <w:rPr>
          <w:color w:val="221F1F"/>
          <w:spacing w:val="-8"/>
        </w:rPr>
        <w:t xml:space="preserve"> </w:t>
      </w:r>
      <w:r>
        <w:rPr>
          <w:color w:val="221F1F"/>
        </w:rPr>
        <w:t>other</w:t>
      </w:r>
      <w:r>
        <w:rPr>
          <w:color w:val="221F1F"/>
          <w:spacing w:val="-7"/>
        </w:rPr>
        <w:t xml:space="preserve"> </w:t>
      </w:r>
      <w:r>
        <w:rPr>
          <w:color w:val="221F1F"/>
        </w:rPr>
        <w:t>Party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 the</w:t>
      </w:r>
      <w:r>
        <w:rPr>
          <w:color w:val="221F1F"/>
          <w:spacing w:val="-5"/>
        </w:rPr>
        <w:t xml:space="preserve"> </w:t>
      </w:r>
      <w:r>
        <w:rPr>
          <w:color w:val="221F1F"/>
        </w:rPr>
        <w:t>Contract,</w:t>
      </w:r>
      <w:r>
        <w:rPr>
          <w:color w:val="221F1F"/>
          <w:spacing w:val="-5"/>
        </w:rPr>
        <w:t xml:space="preserve"> </w:t>
      </w:r>
      <w:r>
        <w:rPr>
          <w:color w:val="221F1F"/>
        </w:rPr>
        <w:t>other</w:t>
      </w:r>
      <w:r>
        <w:rPr>
          <w:color w:val="221F1F"/>
          <w:spacing w:val="-7"/>
        </w:rPr>
        <w:t xml:space="preserve"> </w:t>
      </w:r>
      <w:r>
        <w:rPr>
          <w:color w:val="221F1F"/>
        </w:rPr>
        <w:t>than</w:t>
      </w:r>
      <w:r>
        <w:rPr>
          <w:color w:val="221F1F"/>
          <w:spacing w:val="-8"/>
        </w:rPr>
        <w:t xml:space="preserve"> </w:t>
      </w:r>
      <w:r>
        <w:rPr>
          <w:color w:val="221F1F"/>
        </w:rPr>
        <w:t>as</w:t>
      </w:r>
      <w:r>
        <w:rPr>
          <w:color w:val="221F1F"/>
          <w:spacing w:val="-7"/>
        </w:rPr>
        <w:t xml:space="preserve"> </w:t>
      </w:r>
      <w:r>
        <w:rPr>
          <w:color w:val="221F1F"/>
        </w:rPr>
        <w:t>specifically</w:t>
      </w:r>
      <w:r>
        <w:rPr>
          <w:color w:val="221F1F"/>
          <w:spacing w:val="-5"/>
        </w:rPr>
        <w:t xml:space="preserve"> </w:t>
      </w:r>
      <w:r>
        <w:rPr>
          <w:color w:val="221F1F"/>
        </w:rPr>
        <w:t>provided</w:t>
      </w:r>
      <w:r>
        <w:rPr>
          <w:color w:val="221F1F"/>
          <w:spacing w:val="-7"/>
        </w:rPr>
        <w:t xml:space="preserve"> </w:t>
      </w:r>
      <w:r>
        <w:rPr>
          <w:color w:val="221F1F"/>
        </w:rPr>
        <w:t>in</w:t>
      </w:r>
      <w:r>
        <w:rPr>
          <w:color w:val="221F1F"/>
          <w:spacing w:val="-6"/>
        </w:rPr>
        <w:t xml:space="preserve"> </w:t>
      </w:r>
      <w:r>
        <w:rPr>
          <w:color w:val="221F1F"/>
        </w:rPr>
        <w:t>Sub-Clause</w:t>
      </w:r>
      <w:r>
        <w:rPr>
          <w:color w:val="221F1F"/>
          <w:spacing w:val="-7"/>
        </w:rPr>
        <w:t xml:space="preserve"> </w:t>
      </w:r>
      <w:r>
        <w:rPr>
          <w:color w:val="221F1F"/>
        </w:rPr>
        <w:t>8.7</w:t>
      </w:r>
      <w:r>
        <w:rPr>
          <w:color w:val="221F1F"/>
          <w:spacing w:val="-8"/>
        </w:rPr>
        <w:t xml:space="preserve"> </w:t>
      </w:r>
      <w:r>
        <w:rPr>
          <w:color w:val="221F1F"/>
        </w:rPr>
        <w:t>[Delay</w:t>
      </w:r>
      <w:r>
        <w:rPr>
          <w:color w:val="221F1F"/>
          <w:spacing w:val="-5"/>
        </w:rPr>
        <w:t xml:space="preserve"> </w:t>
      </w:r>
      <w:r>
        <w:rPr>
          <w:color w:val="221F1F"/>
        </w:rPr>
        <w:t>Damages];</w:t>
      </w:r>
      <w:r>
        <w:rPr>
          <w:color w:val="221F1F"/>
          <w:spacing w:val="-3"/>
        </w:rPr>
        <w:t xml:space="preserve"> </w:t>
      </w:r>
      <w:r>
        <w:rPr>
          <w:color w:val="221F1F"/>
        </w:rPr>
        <w:t>Sub-Clause</w:t>
      </w:r>
      <w:r>
        <w:rPr>
          <w:color w:val="221F1F"/>
          <w:spacing w:val="-7"/>
        </w:rPr>
        <w:t xml:space="preserve"> </w:t>
      </w:r>
      <w:r>
        <w:rPr>
          <w:color w:val="221F1F"/>
        </w:rPr>
        <w:t>11.2</w:t>
      </w:r>
      <w:r>
        <w:rPr>
          <w:color w:val="221F1F"/>
          <w:spacing w:val="-13"/>
        </w:rPr>
        <w:t xml:space="preserve"> </w:t>
      </w:r>
      <w:r>
        <w:rPr>
          <w:color w:val="221F1F"/>
        </w:rPr>
        <w:t>[Cost of Remedying Defects]; Sub-Clause 15.4 [Payment after Termination]; Sub-Clause 16.4 [Payment on Termination]; Sub-Clause 17.1 [Indemnities]; Sub-Clause 17.4(b) [Consequences of Procuring Entity's Risks] and Sub-Clause 17.5 [Intellectual and Industrial Property Rights].</w:t>
      </w:r>
    </w:p>
    <w:p w:rsidR="007F6DF9" w:rsidRDefault="00A43FBC">
      <w:pPr>
        <w:pStyle w:val="ListParagraph"/>
        <w:numPr>
          <w:ilvl w:val="2"/>
          <w:numId w:val="122"/>
        </w:numPr>
        <w:tabs>
          <w:tab w:val="left" w:pos="1423"/>
          <w:tab w:val="left" w:pos="1431"/>
        </w:tabs>
        <w:spacing w:before="244" w:line="230" w:lineRule="auto"/>
        <w:ind w:left="1431" w:right="558" w:hanging="726"/>
        <w:jc w:val="both"/>
        <w:rPr>
          <w:color w:val="221F1F"/>
        </w:rPr>
      </w:pPr>
      <w:r>
        <w:rPr>
          <w:color w:val="221F1F"/>
        </w:rPr>
        <w:t>The total liability of the Contractor to the Procuring Entity, under or in connection with the Contract other than under Sub-Clause 4.19 [Electricity, Water and Gas], Sub-Clause 4.20 [Procuring Entity's Equipment and Free- Issue Materials], Sub-Clause 17.1 [Indemnities] and Sub-Clause 17.5 [Intellectual and Industrial Property</w:t>
      </w:r>
      <w:r>
        <w:rPr>
          <w:color w:val="221F1F"/>
          <w:spacing w:val="-4"/>
        </w:rPr>
        <w:t xml:space="preserve"> </w:t>
      </w:r>
      <w:r>
        <w:rPr>
          <w:color w:val="221F1F"/>
        </w:rPr>
        <w:t>Rights],</w:t>
      </w:r>
      <w:r>
        <w:rPr>
          <w:color w:val="221F1F"/>
          <w:spacing w:val="-4"/>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exceed</w:t>
      </w:r>
      <w:r>
        <w:rPr>
          <w:color w:val="221F1F"/>
          <w:spacing w:val="-4"/>
        </w:rPr>
        <w:t xml:space="preserve"> </w:t>
      </w:r>
      <w:r>
        <w:rPr>
          <w:color w:val="221F1F"/>
        </w:rPr>
        <w:t>the</w:t>
      </w:r>
      <w:r>
        <w:rPr>
          <w:color w:val="221F1F"/>
          <w:spacing w:val="-4"/>
        </w:rPr>
        <w:t xml:space="preserve"> </w:t>
      </w:r>
      <w:r>
        <w:rPr>
          <w:color w:val="221F1F"/>
        </w:rPr>
        <w:t>sum</w:t>
      </w:r>
      <w:r>
        <w:rPr>
          <w:color w:val="221F1F"/>
          <w:spacing w:val="-4"/>
        </w:rPr>
        <w:t xml:space="preserve"> </w:t>
      </w:r>
      <w:r>
        <w:rPr>
          <w:color w:val="221F1F"/>
        </w:rPr>
        <w:t>resulting</w:t>
      </w:r>
      <w:r>
        <w:rPr>
          <w:color w:val="221F1F"/>
          <w:spacing w:val="-4"/>
        </w:rPr>
        <w:t xml:space="preserve"> </w:t>
      </w:r>
      <w:r>
        <w:rPr>
          <w:color w:val="221F1F"/>
        </w:rPr>
        <w:t>from</w:t>
      </w:r>
      <w:r>
        <w:rPr>
          <w:color w:val="221F1F"/>
          <w:spacing w:val="-3"/>
        </w:rPr>
        <w:t xml:space="preserve"> </w:t>
      </w:r>
      <w:r>
        <w:rPr>
          <w:color w:val="221F1F"/>
        </w:rPr>
        <w:t>the</w:t>
      </w:r>
      <w:r>
        <w:rPr>
          <w:color w:val="221F1F"/>
          <w:spacing w:val="-4"/>
        </w:rPr>
        <w:t xml:space="preserve"> </w:t>
      </w:r>
      <w:r>
        <w:rPr>
          <w:color w:val="221F1F"/>
        </w:rPr>
        <w:t>application</w:t>
      </w:r>
      <w:r>
        <w:rPr>
          <w:color w:val="221F1F"/>
          <w:spacing w:val="-2"/>
        </w:rPr>
        <w:t xml:space="preserve"> </w:t>
      </w:r>
      <w:r>
        <w:rPr>
          <w:color w:val="221F1F"/>
        </w:rPr>
        <w:t>of</w:t>
      </w:r>
      <w:r>
        <w:rPr>
          <w:color w:val="221F1F"/>
          <w:spacing w:val="-4"/>
        </w:rPr>
        <w:t xml:space="preserve"> </w:t>
      </w:r>
      <w:r>
        <w:rPr>
          <w:color w:val="221F1F"/>
        </w:rPr>
        <w:t>a</w:t>
      </w:r>
      <w:r>
        <w:rPr>
          <w:color w:val="221F1F"/>
          <w:spacing w:val="-4"/>
        </w:rPr>
        <w:t xml:space="preserve"> </w:t>
      </w:r>
      <w:r>
        <w:rPr>
          <w:color w:val="221F1F"/>
        </w:rPr>
        <w:t>multiplier</w:t>
      </w:r>
      <w:r>
        <w:rPr>
          <w:color w:val="221F1F"/>
          <w:spacing w:val="-2"/>
        </w:rPr>
        <w:t xml:space="preserve"> </w:t>
      </w:r>
      <w:r>
        <w:rPr>
          <w:color w:val="221F1F"/>
        </w:rPr>
        <w:t>(less</w:t>
      </w:r>
      <w:r>
        <w:rPr>
          <w:color w:val="221F1F"/>
          <w:spacing w:val="-2"/>
        </w:rPr>
        <w:t xml:space="preserve"> </w:t>
      </w:r>
      <w:r>
        <w:rPr>
          <w:color w:val="221F1F"/>
        </w:rPr>
        <w:t>or</w:t>
      </w:r>
      <w:r>
        <w:rPr>
          <w:color w:val="221F1F"/>
          <w:spacing w:val="-1"/>
        </w:rPr>
        <w:t xml:space="preserve"> </w:t>
      </w:r>
      <w:r>
        <w:rPr>
          <w:color w:val="221F1F"/>
        </w:rPr>
        <w:t>greater</w:t>
      </w:r>
      <w:r>
        <w:rPr>
          <w:color w:val="221F1F"/>
          <w:spacing w:val="-3"/>
        </w:rPr>
        <w:t xml:space="preserve"> </w:t>
      </w:r>
      <w:r>
        <w:rPr>
          <w:color w:val="221F1F"/>
        </w:rPr>
        <w:t xml:space="preserve">than one) to the Accepted Contract Amount, as stated in </w:t>
      </w:r>
      <w:r>
        <w:rPr>
          <w:b/>
          <w:color w:val="221F1F"/>
        </w:rPr>
        <w:t>the Special Conditions of Contract</w:t>
      </w:r>
      <w:r>
        <w:rPr>
          <w:color w:val="221F1F"/>
        </w:rPr>
        <w:t>, or (if such multiplier or other sum is not so stated) the Accepted Contract Amount.</w:t>
      </w:r>
    </w:p>
    <w:p w:rsidR="007F6DF9" w:rsidRDefault="00A43FBC">
      <w:pPr>
        <w:pStyle w:val="ListParagraph"/>
        <w:numPr>
          <w:ilvl w:val="2"/>
          <w:numId w:val="122"/>
        </w:numPr>
        <w:tabs>
          <w:tab w:val="left" w:pos="1423"/>
          <w:tab w:val="left" w:pos="1431"/>
        </w:tabs>
        <w:spacing w:before="250" w:line="230" w:lineRule="auto"/>
        <w:ind w:left="1431" w:right="560" w:hanging="726"/>
        <w:jc w:val="both"/>
        <w:rPr>
          <w:color w:val="221F1F"/>
        </w:rPr>
      </w:pPr>
      <w:r>
        <w:rPr>
          <w:color w:val="221F1F"/>
        </w:rPr>
        <w:t>This</w:t>
      </w:r>
      <w:r>
        <w:rPr>
          <w:color w:val="221F1F"/>
          <w:spacing w:val="-6"/>
        </w:rPr>
        <w:t xml:space="preserve"> </w:t>
      </w:r>
      <w:r>
        <w:rPr>
          <w:color w:val="221F1F"/>
        </w:rPr>
        <w:t>Sub-Clause</w:t>
      </w:r>
      <w:r>
        <w:rPr>
          <w:color w:val="221F1F"/>
          <w:spacing w:val="-6"/>
        </w:rPr>
        <w:t xml:space="preserve"> </w:t>
      </w:r>
      <w:r>
        <w:rPr>
          <w:color w:val="221F1F"/>
        </w:rPr>
        <w:t>shall</w:t>
      </w:r>
      <w:r>
        <w:rPr>
          <w:color w:val="221F1F"/>
          <w:spacing w:val="-6"/>
        </w:rPr>
        <w:t xml:space="preserve"> </w:t>
      </w:r>
      <w:r>
        <w:rPr>
          <w:color w:val="221F1F"/>
        </w:rPr>
        <w:t>not</w:t>
      </w:r>
      <w:r>
        <w:rPr>
          <w:color w:val="221F1F"/>
          <w:spacing w:val="-5"/>
        </w:rPr>
        <w:t xml:space="preserve"> </w:t>
      </w:r>
      <w:r>
        <w:rPr>
          <w:color w:val="221F1F"/>
        </w:rPr>
        <w:t>limit</w:t>
      </w:r>
      <w:r>
        <w:rPr>
          <w:color w:val="221F1F"/>
          <w:spacing w:val="-6"/>
        </w:rPr>
        <w:t xml:space="preserve"> </w:t>
      </w:r>
      <w:r>
        <w:rPr>
          <w:color w:val="221F1F"/>
        </w:rPr>
        <w:t>liability</w:t>
      </w:r>
      <w:r>
        <w:rPr>
          <w:color w:val="221F1F"/>
          <w:spacing w:val="-7"/>
        </w:rPr>
        <w:t xml:space="preserve"> </w:t>
      </w:r>
      <w:r>
        <w:rPr>
          <w:color w:val="221F1F"/>
        </w:rPr>
        <w:t>in</w:t>
      </w:r>
      <w:r>
        <w:rPr>
          <w:color w:val="221F1F"/>
          <w:spacing w:val="-7"/>
        </w:rPr>
        <w:t xml:space="preserve"> </w:t>
      </w:r>
      <w:r>
        <w:rPr>
          <w:color w:val="221F1F"/>
        </w:rPr>
        <w:t>any</w:t>
      </w:r>
      <w:r>
        <w:rPr>
          <w:color w:val="221F1F"/>
          <w:spacing w:val="-9"/>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fraud,</w:t>
      </w:r>
      <w:r>
        <w:rPr>
          <w:color w:val="221F1F"/>
          <w:spacing w:val="-9"/>
        </w:rPr>
        <w:t xml:space="preserve"> </w:t>
      </w:r>
      <w:r>
        <w:rPr>
          <w:color w:val="221F1F"/>
        </w:rPr>
        <w:t>deliberate</w:t>
      </w:r>
      <w:r>
        <w:rPr>
          <w:color w:val="221F1F"/>
          <w:spacing w:val="-6"/>
        </w:rPr>
        <w:t xml:space="preserve"> </w:t>
      </w:r>
      <w:r>
        <w:rPr>
          <w:color w:val="221F1F"/>
        </w:rPr>
        <w:t>default</w:t>
      </w:r>
      <w:r>
        <w:rPr>
          <w:color w:val="221F1F"/>
          <w:spacing w:val="-6"/>
        </w:rPr>
        <w:t xml:space="preserve"> </w:t>
      </w:r>
      <w:r>
        <w:rPr>
          <w:color w:val="221F1F"/>
        </w:rPr>
        <w:t>or</w:t>
      </w:r>
      <w:r>
        <w:rPr>
          <w:color w:val="221F1F"/>
          <w:spacing w:val="-9"/>
        </w:rPr>
        <w:t xml:space="preserve"> </w:t>
      </w:r>
      <w:r>
        <w:rPr>
          <w:color w:val="221F1F"/>
        </w:rPr>
        <w:t>reckless</w:t>
      </w:r>
      <w:r>
        <w:rPr>
          <w:color w:val="221F1F"/>
          <w:spacing w:val="-8"/>
        </w:rPr>
        <w:t xml:space="preserve"> </w:t>
      </w:r>
      <w:r>
        <w:rPr>
          <w:color w:val="221F1F"/>
        </w:rPr>
        <w:t>misconduct</w:t>
      </w:r>
      <w:r>
        <w:rPr>
          <w:color w:val="221F1F"/>
          <w:spacing w:val="-6"/>
        </w:rPr>
        <w:t xml:space="preserve"> </w:t>
      </w:r>
      <w:r>
        <w:rPr>
          <w:color w:val="221F1F"/>
        </w:rPr>
        <w:t>by</w:t>
      </w:r>
      <w:r>
        <w:rPr>
          <w:color w:val="221F1F"/>
          <w:spacing w:val="-9"/>
        </w:rPr>
        <w:t xml:space="preserve"> </w:t>
      </w:r>
      <w:r>
        <w:rPr>
          <w:color w:val="221F1F"/>
        </w:rPr>
        <w:t>the defaulting Party.</w:t>
      </w:r>
    </w:p>
    <w:p w:rsidR="007F6DF9" w:rsidRDefault="00A43FBC">
      <w:pPr>
        <w:pStyle w:val="Heading9"/>
        <w:numPr>
          <w:ilvl w:val="1"/>
          <w:numId w:val="122"/>
        </w:numPr>
        <w:tabs>
          <w:tab w:val="left" w:pos="1426"/>
        </w:tabs>
        <w:spacing w:before="236"/>
        <w:ind w:left="1426" w:hanging="720"/>
        <w:rPr>
          <w:color w:val="221F1F"/>
        </w:rPr>
      </w:pPr>
      <w:r>
        <w:rPr>
          <w:color w:val="221F1F"/>
        </w:rPr>
        <w:t>Use</w:t>
      </w:r>
      <w:r>
        <w:rPr>
          <w:color w:val="221F1F"/>
          <w:spacing w:val="-5"/>
        </w:rPr>
        <w:t xml:space="preserve"> </w:t>
      </w:r>
      <w:r>
        <w:rPr>
          <w:color w:val="221F1F"/>
        </w:rPr>
        <w:t>of</w:t>
      </w:r>
      <w:r>
        <w:rPr>
          <w:color w:val="221F1F"/>
          <w:spacing w:val="-2"/>
        </w:rPr>
        <w:t xml:space="preserve"> </w:t>
      </w:r>
      <w:r>
        <w:rPr>
          <w:color w:val="221F1F"/>
        </w:rPr>
        <w:t>Procuring</w:t>
      </w:r>
      <w:r>
        <w:rPr>
          <w:color w:val="221F1F"/>
          <w:spacing w:val="-3"/>
        </w:rPr>
        <w:t xml:space="preserve"> </w:t>
      </w:r>
      <w:r>
        <w:rPr>
          <w:color w:val="221F1F"/>
        </w:rPr>
        <w:t>Entity's</w:t>
      </w:r>
      <w:r>
        <w:rPr>
          <w:color w:val="221F1F"/>
          <w:spacing w:val="-7"/>
        </w:rPr>
        <w:t xml:space="preserve"> </w:t>
      </w:r>
      <w:r>
        <w:rPr>
          <w:color w:val="221F1F"/>
          <w:spacing w:val="-2"/>
        </w:rPr>
        <w:t>Accommodation/Facilities</w:t>
      </w:r>
    </w:p>
    <w:p w:rsidR="007F6DF9" w:rsidRDefault="00A43FBC">
      <w:pPr>
        <w:pStyle w:val="ListParagraph"/>
        <w:numPr>
          <w:ilvl w:val="2"/>
          <w:numId w:val="122"/>
        </w:numPr>
        <w:tabs>
          <w:tab w:val="left" w:pos="1423"/>
          <w:tab w:val="left" w:pos="1431"/>
        </w:tabs>
        <w:spacing w:before="242" w:line="230" w:lineRule="auto"/>
        <w:ind w:left="1431" w:right="560" w:hanging="726"/>
        <w:jc w:val="both"/>
        <w:rPr>
          <w:color w:val="221F1F"/>
        </w:rPr>
      </w:pPr>
      <w:r>
        <w:rPr>
          <w:color w:val="221F1F"/>
        </w:rPr>
        <w:t>The Contractor shall take full responsibility for the care of the Procuring Entity provided accommodation and</w:t>
      </w:r>
      <w:r>
        <w:rPr>
          <w:color w:val="221F1F"/>
          <w:spacing w:val="-11"/>
        </w:rPr>
        <w:t xml:space="preserve"> </w:t>
      </w:r>
      <w:r>
        <w:rPr>
          <w:color w:val="221F1F"/>
        </w:rPr>
        <w:t>facilities,</w:t>
      </w:r>
      <w:r>
        <w:rPr>
          <w:color w:val="221F1F"/>
          <w:spacing w:val="-10"/>
        </w:rPr>
        <w:t xml:space="preserve"> </w:t>
      </w:r>
      <w:r>
        <w:rPr>
          <w:color w:val="221F1F"/>
        </w:rPr>
        <w:t>if</w:t>
      </w:r>
      <w:r>
        <w:rPr>
          <w:color w:val="221F1F"/>
          <w:spacing w:val="-7"/>
        </w:rPr>
        <w:t xml:space="preserve"> </w:t>
      </w:r>
      <w:r>
        <w:rPr>
          <w:color w:val="221F1F"/>
        </w:rPr>
        <w:t>any,</w:t>
      </w:r>
      <w:r>
        <w:rPr>
          <w:color w:val="221F1F"/>
          <w:spacing w:val="-14"/>
        </w:rPr>
        <w:t xml:space="preserve"> </w:t>
      </w:r>
      <w:r>
        <w:rPr>
          <w:color w:val="221F1F"/>
        </w:rPr>
        <w:t>as</w:t>
      </w:r>
      <w:r>
        <w:rPr>
          <w:color w:val="221F1F"/>
          <w:spacing w:val="-8"/>
        </w:rPr>
        <w:t xml:space="preserve"> </w:t>
      </w:r>
      <w:r>
        <w:rPr>
          <w:color w:val="221F1F"/>
        </w:rPr>
        <w:t>detailed</w:t>
      </w:r>
      <w:r>
        <w:rPr>
          <w:color w:val="221F1F"/>
          <w:spacing w:val="-7"/>
        </w:rPr>
        <w:t xml:space="preserve"> </w:t>
      </w:r>
      <w:r>
        <w:rPr>
          <w:color w:val="221F1F"/>
        </w:rPr>
        <w:t>in</w:t>
      </w:r>
      <w:r>
        <w:rPr>
          <w:color w:val="221F1F"/>
          <w:spacing w:val="-10"/>
        </w:rPr>
        <w:t xml:space="preserve"> </w:t>
      </w:r>
      <w:r>
        <w:rPr>
          <w:color w:val="221F1F"/>
        </w:rPr>
        <w:t>the</w:t>
      </w:r>
      <w:r>
        <w:rPr>
          <w:color w:val="221F1F"/>
          <w:spacing w:val="-8"/>
        </w:rPr>
        <w:t xml:space="preserve"> </w:t>
      </w:r>
      <w:r>
        <w:rPr>
          <w:color w:val="221F1F"/>
        </w:rPr>
        <w:t>Specification,</w:t>
      </w:r>
      <w:r>
        <w:rPr>
          <w:color w:val="221F1F"/>
          <w:spacing w:val="-8"/>
        </w:rPr>
        <w:t xml:space="preserve"> </w:t>
      </w:r>
      <w:r>
        <w:rPr>
          <w:color w:val="221F1F"/>
        </w:rPr>
        <w:t>from</w:t>
      </w:r>
      <w:r>
        <w:rPr>
          <w:color w:val="221F1F"/>
          <w:spacing w:val="-7"/>
        </w:rPr>
        <w:t xml:space="preserve"> </w:t>
      </w:r>
      <w:r>
        <w:rPr>
          <w:color w:val="221F1F"/>
        </w:rPr>
        <w:t>the</w:t>
      </w:r>
      <w:r>
        <w:rPr>
          <w:color w:val="221F1F"/>
          <w:spacing w:val="-7"/>
        </w:rPr>
        <w:t xml:space="preserve"> </w:t>
      </w:r>
      <w:r>
        <w:rPr>
          <w:color w:val="221F1F"/>
        </w:rPr>
        <w:t>respective</w:t>
      </w:r>
      <w:r>
        <w:rPr>
          <w:color w:val="221F1F"/>
          <w:spacing w:val="-10"/>
        </w:rPr>
        <w:t xml:space="preserve"> </w:t>
      </w:r>
      <w:r>
        <w:rPr>
          <w:color w:val="221F1F"/>
        </w:rPr>
        <w:t>dates</w:t>
      </w:r>
      <w:r>
        <w:rPr>
          <w:color w:val="221F1F"/>
          <w:spacing w:val="-7"/>
        </w:rPr>
        <w:t xml:space="preserve"> </w:t>
      </w:r>
      <w:r>
        <w:rPr>
          <w:color w:val="221F1F"/>
        </w:rPr>
        <w:t>of</w:t>
      </w:r>
      <w:r>
        <w:rPr>
          <w:color w:val="221F1F"/>
          <w:spacing w:val="-7"/>
        </w:rPr>
        <w:t xml:space="preserve"> </w:t>
      </w:r>
      <w:r>
        <w:rPr>
          <w:color w:val="221F1F"/>
        </w:rPr>
        <w:t>hand-over</w:t>
      </w:r>
      <w:r>
        <w:rPr>
          <w:color w:val="221F1F"/>
          <w:spacing w:val="-9"/>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Contractor until</w:t>
      </w:r>
      <w:r>
        <w:rPr>
          <w:color w:val="221F1F"/>
          <w:spacing w:val="-11"/>
        </w:rPr>
        <w:t xml:space="preserve"> </w:t>
      </w:r>
      <w:r>
        <w:rPr>
          <w:color w:val="221F1F"/>
        </w:rPr>
        <w:t>cessation</w:t>
      </w:r>
      <w:r>
        <w:rPr>
          <w:color w:val="221F1F"/>
          <w:spacing w:val="-11"/>
        </w:rPr>
        <w:t xml:space="preserve"> </w:t>
      </w:r>
      <w:r>
        <w:rPr>
          <w:color w:val="221F1F"/>
        </w:rPr>
        <w:t>of</w:t>
      </w:r>
      <w:r>
        <w:rPr>
          <w:color w:val="221F1F"/>
          <w:spacing w:val="-13"/>
        </w:rPr>
        <w:t xml:space="preserve"> </w:t>
      </w:r>
      <w:r>
        <w:rPr>
          <w:color w:val="221F1F"/>
        </w:rPr>
        <w:t>occupation</w:t>
      </w:r>
      <w:r>
        <w:rPr>
          <w:color w:val="221F1F"/>
          <w:spacing w:val="-11"/>
        </w:rPr>
        <w:t xml:space="preserve"> </w:t>
      </w:r>
      <w:r>
        <w:rPr>
          <w:color w:val="221F1F"/>
        </w:rPr>
        <w:t>(where</w:t>
      </w:r>
      <w:r>
        <w:rPr>
          <w:color w:val="221F1F"/>
          <w:spacing w:val="-11"/>
        </w:rPr>
        <w:t xml:space="preserve"> </w:t>
      </w:r>
      <w:r>
        <w:rPr>
          <w:color w:val="221F1F"/>
        </w:rPr>
        <w:t>hand-over</w:t>
      </w:r>
      <w:r>
        <w:rPr>
          <w:color w:val="221F1F"/>
          <w:spacing w:val="-11"/>
        </w:rPr>
        <w:t xml:space="preserve"> </w:t>
      </w:r>
      <w:r>
        <w:rPr>
          <w:color w:val="221F1F"/>
        </w:rPr>
        <w:t>or</w:t>
      </w:r>
      <w:r>
        <w:rPr>
          <w:color w:val="221F1F"/>
          <w:spacing w:val="-11"/>
        </w:rPr>
        <w:t xml:space="preserve"> </w:t>
      </w:r>
      <w:r>
        <w:rPr>
          <w:color w:val="221F1F"/>
        </w:rPr>
        <w:t>cessation</w:t>
      </w:r>
      <w:r>
        <w:rPr>
          <w:color w:val="221F1F"/>
          <w:spacing w:val="-13"/>
        </w:rPr>
        <w:t xml:space="preserve"> </w:t>
      </w:r>
      <w:r>
        <w:rPr>
          <w:color w:val="221F1F"/>
        </w:rPr>
        <w:t>of</w:t>
      </w:r>
      <w:r>
        <w:rPr>
          <w:color w:val="221F1F"/>
          <w:spacing w:val="-11"/>
        </w:rPr>
        <w:t xml:space="preserve"> </w:t>
      </w:r>
      <w:r>
        <w:rPr>
          <w:color w:val="221F1F"/>
        </w:rPr>
        <w:t>occupation</w:t>
      </w:r>
      <w:r>
        <w:rPr>
          <w:color w:val="221F1F"/>
          <w:spacing w:val="-12"/>
        </w:rPr>
        <w:t xml:space="preserve"> </w:t>
      </w:r>
      <w:r>
        <w:rPr>
          <w:color w:val="221F1F"/>
        </w:rPr>
        <w:t>may</w:t>
      </w:r>
      <w:r>
        <w:rPr>
          <w:color w:val="221F1F"/>
          <w:spacing w:val="-12"/>
        </w:rPr>
        <w:t xml:space="preserve"> </w:t>
      </w:r>
      <w:r>
        <w:rPr>
          <w:color w:val="221F1F"/>
        </w:rPr>
        <w:t>take</w:t>
      </w:r>
      <w:r>
        <w:rPr>
          <w:color w:val="221F1F"/>
          <w:spacing w:val="-13"/>
        </w:rPr>
        <w:t xml:space="preserve"> </w:t>
      </w:r>
      <w:r>
        <w:rPr>
          <w:color w:val="221F1F"/>
        </w:rPr>
        <w:t>place</w:t>
      </w:r>
      <w:r>
        <w:rPr>
          <w:color w:val="221F1F"/>
          <w:spacing w:val="-11"/>
        </w:rPr>
        <w:t xml:space="preserve"> </w:t>
      </w:r>
      <w:r>
        <w:rPr>
          <w:color w:val="221F1F"/>
        </w:rPr>
        <w:t>after</w:t>
      </w:r>
      <w:r>
        <w:rPr>
          <w:color w:val="221F1F"/>
          <w:spacing w:val="-11"/>
        </w:rPr>
        <w:t xml:space="preserve"> </w:t>
      </w:r>
      <w:r>
        <w:rPr>
          <w:color w:val="221F1F"/>
        </w:rPr>
        <w:t>the</w:t>
      </w:r>
      <w:r>
        <w:rPr>
          <w:color w:val="221F1F"/>
          <w:spacing w:val="-11"/>
        </w:rPr>
        <w:t xml:space="preserve"> </w:t>
      </w:r>
      <w:r>
        <w:rPr>
          <w:color w:val="221F1F"/>
        </w:rPr>
        <w:t>date</w:t>
      </w:r>
      <w:r>
        <w:rPr>
          <w:color w:val="221F1F"/>
          <w:spacing w:val="-11"/>
        </w:rPr>
        <w:t xml:space="preserve"> </w:t>
      </w:r>
      <w:r>
        <w:rPr>
          <w:color w:val="221F1F"/>
        </w:rPr>
        <w:t>stated in the Taking-Over Certificate for the Works).</w:t>
      </w:r>
    </w:p>
    <w:p w:rsidR="007F6DF9" w:rsidRDefault="00A43FBC">
      <w:pPr>
        <w:pStyle w:val="ListParagraph"/>
        <w:numPr>
          <w:ilvl w:val="2"/>
          <w:numId w:val="122"/>
        </w:numPr>
        <w:tabs>
          <w:tab w:val="left" w:pos="1423"/>
          <w:tab w:val="left" w:pos="1431"/>
        </w:tabs>
        <w:spacing w:before="246" w:line="230" w:lineRule="auto"/>
        <w:ind w:left="1431" w:right="560" w:hanging="728"/>
        <w:jc w:val="both"/>
        <w:rPr>
          <w:color w:val="221F1F"/>
        </w:rPr>
      </w:pPr>
      <w:r>
        <w:rPr>
          <w:color w:val="221F1F"/>
        </w:rPr>
        <w:t>If any loss or damage happens to any of the above items while the Contractor is responsible for their care arising from any cause whatsoever other than those for which the Procuring Entity is liable, the Contractor shall, at his own cost, rectify the loss or damage to the satisfaction of the Engineer.</w:t>
      </w:r>
    </w:p>
    <w:p w:rsidR="007F6DF9" w:rsidRDefault="00A43FBC">
      <w:pPr>
        <w:pStyle w:val="Heading8"/>
        <w:numPr>
          <w:ilvl w:val="0"/>
          <w:numId w:val="122"/>
        </w:numPr>
        <w:tabs>
          <w:tab w:val="left" w:pos="1424"/>
        </w:tabs>
        <w:spacing w:before="235"/>
        <w:ind w:left="1424" w:hanging="721"/>
      </w:pPr>
      <w:bookmarkStart w:id="70" w:name="_bookmark68"/>
      <w:bookmarkEnd w:id="70"/>
      <w:r>
        <w:rPr>
          <w:color w:val="221F1F"/>
          <w:spacing w:val="-2"/>
        </w:rPr>
        <w:t>INSURANCE</w:t>
      </w:r>
    </w:p>
    <w:p w:rsidR="007F6DF9" w:rsidRDefault="00A43FBC">
      <w:pPr>
        <w:pStyle w:val="Heading9"/>
        <w:numPr>
          <w:ilvl w:val="1"/>
          <w:numId w:val="122"/>
        </w:numPr>
        <w:tabs>
          <w:tab w:val="left" w:pos="1424"/>
        </w:tabs>
        <w:spacing w:before="234"/>
        <w:ind w:left="1424" w:hanging="721"/>
        <w:rPr>
          <w:color w:val="221F1F"/>
        </w:rPr>
      </w:pPr>
      <w:r>
        <w:rPr>
          <w:color w:val="221F1F"/>
        </w:rPr>
        <w:t>General</w:t>
      </w:r>
      <w:r>
        <w:rPr>
          <w:color w:val="221F1F"/>
          <w:spacing w:val="-4"/>
        </w:rPr>
        <w:t xml:space="preserve"> </w:t>
      </w:r>
      <w:r>
        <w:rPr>
          <w:color w:val="221F1F"/>
        </w:rPr>
        <w:t>Requirements</w:t>
      </w:r>
      <w:r>
        <w:rPr>
          <w:color w:val="221F1F"/>
          <w:spacing w:val="-6"/>
        </w:rPr>
        <w:t xml:space="preserve"> </w:t>
      </w:r>
      <w:r>
        <w:rPr>
          <w:color w:val="221F1F"/>
        </w:rPr>
        <w:t>for</w:t>
      </w:r>
      <w:r>
        <w:rPr>
          <w:color w:val="221F1F"/>
          <w:spacing w:val="-4"/>
        </w:rPr>
        <w:t xml:space="preserve"> </w:t>
      </w:r>
      <w:r>
        <w:rPr>
          <w:color w:val="221F1F"/>
          <w:spacing w:val="-2"/>
        </w:rPr>
        <w:t>Insurances</w:t>
      </w:r>
    </w:p>
    <w:p w:rsidR="007F6DF9" w:rsidRDefault="00A43FBC">
      <w:pPr>
        <w:pStyle w:val="ListParagraph"/>
        <w:numPr>
          <w:ilvl w:val="2"/>
          <w:numId w:val="122"/>
        </w:numPr>
        <w:tabs>
          <w:tab w:val="left" w:pos="1423"/>
          <w:tab w:val="left" w:pos="1431"/>
        </w:tabs>
        <w:spacing w:before="243" w:line="230" w:lineRule="auto"/>
        <w:ind w:left="1431" w:right="570" w:hanging="728"/>
        <w:jc w:val="both"/>
        <w:rPr>
          <w:color w:val="221F1F"/>
        </w:rPr>
      </w:pPr>
      <w:r>
        <w:rPr>
          <w:color w:val="221F1F"/>
        </w:rPr>
        <w:t>In this Clause, “insuring Party” means, for each type of insurance, the Party responsible for effecting and maintaining the insurance specified in the relevant Sub-Clause.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ListParagraph"/>
        <w:numPr>
          <w:ilvl w:val="2"/>
          <w:numId w:val="122"/>
        </w:numPr>
        <w:tabs>
          <w:tab w:val="left" w:pos="1423"/>
          <w:tab w:val="left" w:pos="1431"/>
        </w:tabs>
        <w:spacing w:line="230" w:lineRule="auto"/>
        <w:ind w:left="1431" w:right="560" w:hanging="728"/>
        <w:jc w:val="both"/>
        <w:rPr>
          <w:color w:val="221F1F"/>
        </w:rPr>
      </w:pPr>
      <w:r>
        <w:rPr>
          <w:color w:val="221F1F"/>
        </w:rPr>
        <w:lastRenderedPageBreak/>
        <w:t>Wherever the Contractor is the insuring Party, each insurance shall be effected with insurers and in terms approved by the Procuring Entity. These terms shall be consistent with any terms agreed by both Parties before</w:t>
      </w:r>
      <w:r>
        <w:rPr>
          <w:color w:val="221F1F"/>
          <w:spacing w:val="-14"/>
        </w:rPr>
        <w:t xml:space="preserve"> </w:t>
      </w:r>
      <w:r>
        <w:rPr>
          <w:color w:val="221F1F"/>
        </w:rPr>
        <w:t>the</w:t>
      </w:r>
      <w:r>
        <w:rPr>
          <w:color w:val="221F1F"/>
          <w:spacing w:val="-14"/>
        </w:rPr>
        <w:t xml:space="preserve"> </w:t>
      </w:r>
      <w:r>
        <w:rPr>
          <w:color w:val="221F1F"/>
        </w:rPr>
        <w:t>date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Letter</w:t>
      </w:r>
      <w:r>
        <w:rPr>
          <w:color w:val="221F1F"/>
          <w:spacing w:val="-14"/>
        </w:rPr>
        <w:t xml:space="preserve"> </w:t>
      </w:r>
      <w:r>
        <w:rPr>
          <w:color w:val="221F1F"/>
        </w:rPr>
        <w:t>of</w:t>
      </w:r>
      <w:r>
        <w:rPr>
          <w:color w:val="221F1F"/>
          <w:spacing w:val="-14"/>
        </w:rPr>
        <w:t xml:space="preserve"> </w:t>
      </w:r>
      <w:r>
        <w:rPr>
          <w:color w:val="221F1F"/>
        </w:rPr>
        <w:t>Acceptance.</w:t>
      </w:r>
      <w:r>
        <w:rPr>
          <w:color w:val="221F1F"/>
          <w:spacing w:val="-13"/>
        </w:rPr>
        <w:t xml:space="preserve"> </w:t>
      </w:r>
      <w:r>
        <w:rPr>
          <w:color w:val="221F1F"/>
        </w:rPr>
        <w:t>This</w:t>
      </w:r>
      <w:r>
        <w:rPr>
          <w:color w:val="221F1F"/>
          <w:spacing w:val="-14"/>
        </w:rPr>
        <w:t xml:space="preserve"> </w:t>
      </w:r>
      <w:r>
        <w:rPr>
          <w:color w:val="221F1F"/>
        </w:rPr>
        <w:t>agreement</w:t>
      </w:r>
      <w:r>
        <w:rPr>
          <w:color w:val="221F1F"/>
          <w:spacing w:val="-14"/>
        </w:rPr>
        <w:t xml:space="preserve"> </w:t>
      </w:r>
      <w:r>
        <w:rPr>
          <w:color w:val="221F1F"/>
        </w:rPr>
        <w:t>of</w:t>
      </w:r>
      <w:r>
        <w:rPr>
          <w:color w:val="221F1F"/>
          <w:spacing w:val="-14"/>
        </w:rPr>
        <w:t xml:space="preserve"> </w:t>
      </w:r>
      <w:r>
        <w:rPr>
          <w:color w:val="221F1F"/>
        </w:rPr>
        <w:t>terms</w:t>
      </w:r>
      <w:r>
        <w:rPr>
          <w:color w:val="221F1F"/>
          <w:spacing w:val="-13"/>
        </w:rPr>
        <w:t xml:space="preserve"> </w:t>
      </w:r>
      <w:r>
        <w:rPr>
          <w:color w:val="221F1F"/>
        </w:rPr>
        <w:t>shall</w:t>
      </w:r>
      <w:r>
        <w:rPr>
          <w:color w:val="221F1F"/>
          <w:spacing w:val="-14"/>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3"/>
        </w:rPr>
        <w:t xml:space="preserve"> </w:t>
      </w:r>
      <w:r>
        <w:rPr>
          <w:color w:val="221F1F"/>
        </w:rPr>
        <w:t>the</w:t>
      </w:r>
      <w:r>
        <w:rPr>
          <w:color w:val="221F1F"/>
          <w:spacing w:val="-14"/>
        </w:rPr>
        <w:t xml:space="preserve"> </w:t>
      </w:r>
      <w:r>
        <w:rPr>
          <w:color w:val="221F1F"/>
        </w:rPr>
        <w:t>provisions of this Clause.</w:t>
      </w:r>
    </w:p>
    <w:p w:rsidR="007F6DF9" w:rsidRDefault="00A43FBC">
      <w:pPr>
        <w:pStyle w:val="ListParagraph"/>
        <w:numPr>
          <w:ilvl w:val="2"/>
          <w:numId w:val="122"/>
        </w:numPr>
        <w:tabs>
          <w:tab w:val="left" w:pos="1423"/>
          <w:tab w:val="left" w:pos="1431"/>
        </w:tabs>
        <w:spacing w:before="245" w:line="230" w:lineRule="auto"/>
        <w:ind w:left="1431" w:right="561" w:hanging="728"/>
        <w:jc w:val="both"/>
        <w:rPr>
          <w:color w:val="221F1F"/>
        </w:rPr>
      </w:pPr>
      <w:r>
        <w:rPr>
          <w:color w:val="221F1F"/>
        </w:rPr>
        <w:t>Wherever the Procuring Entity is the insuring Party, each insurance shall be effected with insurers and in terms acceptable to the Contractor. These terms shall be consistent with any terms agreed by both Parties before</w:t>
      </w:r>
      <w:r>
        <w:rPr>
          <w:color w:val="221F1F"/>
          <w:spacing w:val="-14"/>
        </w:rPr>
        <w:t xml:space="preserve"> </w:t>
      </w:r>
      <w:r>
        <w:rPr>
          <w:color w:val="221F1F"/>
        </w:rPr>
        <w:t>the</w:t>
      </w:r>
      <w:r>
        <w:rPr>
          <w:color w:val="221F1F"/>
          <w:spacing w:val="-14"/>
        </w:rPr>
        <w:t xml:space="preserve"> </w:t>
      </w:r>
      <w:r>
        <w:rPr>
          <w:color w:val="221F1F"/>
        </w:rPr>
        <w:t>date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Letter</w:t>
      </w:r>
      <w:r>
        <w:rPr>
          <w:color w:val="221F1F"/>
          <w:spacing w:val="-14"/>
        </w:rPr>
        <w:t xml:space="preserve"> </w:t>
      </w:r>
      <w:r>
        <w:rPr>
          <w:color w:val="221F1F"/>
        </w:rPr>
        <w:t>of</w:t>
      </w:r>
      <w:r>
        <w:rPr>
          <w:color w:val="221F1F"/>
          <w:spacing w:val="-14"/>
        </w:rPr>
        <w:t xml:space="preserve"> </w:t>
      </w:r>
      <w:r>
        <w:rPr>
          <w:color w:val="221F1F"/>
        </w:rPr>
        <w:t>Acceptance.</w:t>
      </w:r>
      <w:r>
        <w:rPr>
          <w:color w:val="221F1F"/>
          <w:spacing w:val="-13"/>
        </w:rPr>
        <w:t xml:space="preserve"> </w:t>
      </w:r>
      <w:r>
        <w:rPr>
          <w:color w:val="221F1F"/>
        </w:rPr>
        <w:t>This</w:t>
      </w:r>
      <w:r>
        <w:rPr>
          <w:color w:val="221F1F"/>
          <w:spacing w:val="-14"/>
        </w:rPr>
        <w:t xml:space="preserve"> </w:t>
      </w:r>
      <w:r>
        <w:rPr>
          <w:color w:val="221F1F"/>
        </w:rPr>
        <w:t>agreement</w:t>
      </w:r>
      <w:r>
        <w:rPr>
          <w:color w:val="221F1F"/>
          <w:spacing w:val="-14"/>
        </w:rPr>
        <w:t xml:space="preserve"> </w:t>
      </w:r>
      <w:r>
        <w:rPr>
          <w:color w:val="221F1F"/>
        </w:rPr>
        <w:t>of</w:t>
      </w:r>
      <w:r>
        <w:rPr>
          <w:color w:val="221F1F"/>
          <w:spacing w:val="-14"/>
        </w:rPr>
        <w:t xml:space="preserve"> </w:t>
      </w:r>
      <w:r>
        <w:rPr>
          <w:color w:val="221F1F"/>
        </w:rPr>
        <w:t>terms</w:t>
      </w:r>
      <w:r>
        <w:rPr>
          <w:color w:val="221F1F"/>
          <w:spacing w:val="-13"/>
        </w:rPr>
        <w:t xml:space="preserve"> </w:t>
      </w:r>
      <w:r>
        <w:rPr>
          <w:color w:val="221F1F"/>
        </w:rPr>
        <w:t>shall</w:t>
      </w:r>
      <w:r>
        <w:rPr>
          <w:color w:val="221F1F"/>
          <w:spacing w:val="-14"/>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3"/>
        </w:rPr>
        <w:t xml:space="preserve"> </w:t>
      </w:r>
      <w:r>
        <w:rPr>
          <w:color w:val="221F1F"/>
        </w:rPr>
        <w:t>the</w:t>
      </w:r>
      <w:r>
        <w:rPr>
          <w:color w:val="221F1F"/>
          <w:spacing w:val="-14"/>
        </w:rPr>
        <w:t xml:space="preserve"> </w:t>
      </w:r>
      <w:r>
        <w:rPr>
          <w:color w:val="221F1F"/>
        </w:rPr>
        <w:t>provisions of this Clause.</w:t>
      </w:r>
    </w:p>
    <w:p w:rsidR="007F6DF9" w:rsidRDefault="00A43FBC">
      <w:pPr>
        <w:pStyle w:val="ListParagraph"/>
        <w:numPr>
          <w:ilvl w:val="2"/>
          <w:numId w:val="122"/>
        </w:numPr>
        <w:tabs>
          <w:tab w:val="left" w:pos="1423"/>
          <w:tab w:val="left" w:pos="1431"/>
        </w:tabs>
        <w:spacing w:before="245" w:line="230" w:lineRule="auto"/>
        <w:ind w:left="1431" w:right="560" w:hanging="728"/>
        <w:jc w:val="both"/>
        <w:rPr>
          <w:color w:val="221F1F"/>
        </w:rPr>
      </w:pPr>
      <w:r>
        <w:rPr>
          <w:color w:val="221F1F"/>
        </w:rPr>
        <w:t>If a policy is required to indemnify joint insured, the cover shall apply separately to each insured as though a</w:t>
      </w:r>
      <w:r>
        <w:rPr>
          <w:color w:val="221F1F"/>
          <w:spacing w:val="-12"/>
        </w:rPr>
        <w:t xml:space="preserve"> </w:t>
      </w:r>
      <w:r>
        <w:rPr>
          <w:color w:val="221F1F"/>
        </w:rPr>
        <w:t>separate</w:t>
      </w:r>
      <w:r>
        <w:rPr>
          <w:color w:val="221F1F"/>
          <w:spacing w:val="-14"/>
        </w:rPr>
        <w:t xml:space="preserve"> </w:t>
      </w:r>
      <w:r>
        <w:rPr>
          <w:color w:val="221F1F"/>
        </w:rPr>
        <w:t>policy</w:t>
      </w:r>
      <w:r>
        <w:rPr>
          <w:color w:val="221F1F"/>
          <w:spacing w:val="-14"/>
        </w:rPr>
        <w:t xml:space="preserve"> </w:t>
      </w:r>
      <w:r>
        <w:rPr>
          <w:color w:val="221F1F"/>
        </w:rPr>
        <w:t>had</w:t>
      </w:r>
      <w:r>
        <w:rPr>
          <w:color w:val="221F1F"/>
          <w:spacing w:val="-12"/>
        </w:rPr>
        <w:t xml:space="preserve"> </w:t>
      </w:r>
      <w:r>
        <w:rPr>
          <w:color w:val="221F1F"/>
        </w:rPr>
        <w:t>been</w:t>
      </w:r>
      <w:r>
        <w:rPr>
          <w:color w:val="221F1F"/>
          <w:spacing w:val="-14"/>
        </w:rPr>
        <w:t xml:space="preserve"> </w:t>
      </w:r>
      <w:r>
        <w:rPr>
          <w:color w:val="221F1F"/>
        </w:rPr>
        <w:t>issued</w:t>
      </w:r>
      <w:r>
        <w:rPr>
          <w:color w:val="221F1F"/>
          <w:spacing w:val="-14"/>
        </w:rPr>
        <w:t xml:space="preserve"> </w:t>
      </w:r>
      <w:r>
        <w:rPr>
          <w:color w:val="221F1F"/>
        </w:rPr>
        <w:t>for</w:t>
      </w:r>
      <w:r>
        <w:rPr>
          <w:color w:val="221F1F"/>
          <w:spacing w:val="-11"/>
        </w:rPr>
        <w:t xml:space="preserve"> </w:t>
      </w:r>
      <w:r>
        <w:rPr>
          <w:color w:val="221F1F"/>
        </w:rPr>
        <w:t>each</w:t>
      </w:r>
      <w:r>
        <w:rPr>
          <w:color w:val="221F1F"/>
          <w:spacing w:val="-12"/>
        </w:rPr>
        <w:t xml:space="preserve"> </w:t>
      </w:r>
      <w:r>
        <w:rPr>
          <w:color w:val="221F1F"/>
        </w:rPr>
        <w:t>of</w:t>
      </w:r>
      <w:r>
        <w:rPr>
          <w:color w:val="221F1F"/>
          <w:spacing w:val="-11"/>
        </w:rPr>
        <w:t xml:space="preserve"> </w:t>
      </w:r>
      <w:r>
        <w:rPr>
          <w:color w:val="221F1F"/>
        </w:rPr>
        <w:t>the</w:t>
      </w:r>
      <w:r>
        <w:rPr>
          <w:color w:val="221F1F"/>
          <w:spacing w:val="-12"/>
        </w:rPr>
        <w:t xml:space="preserve"> </w:t>
      </w:r>
      <w:r>
        <w:rPr>
          <w:color w:val="221F1F"/>
        </w:rPr>
        <w:t>joint</w:t>
      </w:r>
      <w:r>
        <w:rPr>
          <w:color w:val="221F1F"/>
          <w:spacing w:val="-13"/>
        </w:rPr>
        <w:t xml:space="preserve"> </w:t>
      </w:r>
      <w:r>
        <w:rPr>
          <w:color w:val="221F1F"/>
        </w:rPr>
        <w:t>insured.</w:t>
      </w:r>
      <w:r>
        <w:rPr>
          <w:color w:val="221F1F"/>
          <w:spacing w:val="-12"/>
        </w:rPr>
        <w:t xml:space="preserve"> </w:t>
      </w:r>
      <w:r>
        <w:rPr>
          <w:color w:val="221F1F"/>
        </w:rPr>
        <w:t>If</w:t>
      </w:r>
      <w:r>
        <w:rPr>
          <w:color w:val="221F1F"/>
          <w:spacing w:val="-11"/>
        </w:rPr>
        <w:t xml:space="preserve"> </w:t>
      </w:r>
      <w:r>
        <w:rPr>
          <w:color w:val="221F1F"/>
        </w:rPr>
        <w:t>a</w:t>
      </w:r>
      <w:r>
        <w:rPr>
          <w:color w:val="221F1F"/>
          <w:spacing w:val="-12"/>
        </w:rPr>
        <w:t xml:space="preserve"> </w:t>
      </w:r>
      <w:r>
        <w:rPr>
          <w:color w:val="221F1F"/>
        </w:rPr>
        <w:t>policy</w:t>
      </w:r>
      <w:r>
        <w:rPr>
          <w:color w:val="221F1F"/>
          <w:spacing w:val="-14"/>
        </w:rPr>
        <w:t xml:space="preserve"> </w:t>
      </w:r>
      <w:r>
        <w:rPr>
          <w:color w:val="221F1F"/>
        </w:rPr>
        <w:t>indemnifies</w:t>
      </w:r>
      <w:r>
        <w:rPr>
          <w:color w:val="221F1F"/>
          <w:spacing w:val="-11"/>
        </w:rPr>
        <w:t xml:space="preserve"> </w:t>
      </w:r>
      <w:r>
        <w:rPr>
          <w:color w:val="221F1F"/>
        </w:rPr>
        <w:t>additional</w:t>
      </w:r>
      <w:r>
        <w:rPr>
          <w:color w:val="221F1F"/>
          <w:spacing w:val="-13"/>
        </w:rPr>
        <w:t xml:space="preserve"> </w:t>
      </w:r>
      <w:r>
        <w:rPr>
          <w:color w:val="221F1F"/>
        </w:rPr>
        <w:t>joint</w:t>
      </w:r>
      <w:r>
        <w:rPr>
          <w:color w:val="221F1F"/>
          <w:spacing w:val="-8"/>
        </w:rPr>
        <w:t xml:space="preserve"> </w:t>
      </w:r>
      <w:r>
        <w:rPr>
          <w:color w:val="221F1F"/>
        </w:rPr>
        <w:t>insured, namely in addition to the insured specified in this Clause, (</w:t>
      </w:r>
      <w:proofErr w:type="spellStart"/>
      <w:r>
        <w:rPr>
          <w:color w:val="221F1F"/>
        </w:rPr>
        <w:t>i</w:t>
      </w:r>
      <w:proofErr w:type="spellEnd"/>
      <w:r>
        <w:rPr>
          <w:color w:val="221F1F"/>
        </w:rPr>
        <w:t>) the Contractor shall act under the policy on behalf of these additional joint insured except that the Procuring Entity shall act for Procuring Entity's Personnel, (ii) additional joint insured shall not be entitled to receive payments directly from the insurer or to</w:t>
      </w:r>
      <w:r>
        <w:rPr>
          <w:color w:val="221F1F"/>
          <w:spacing w:val="-5"/>
        </w:rPr>
        <w:t xml:space="preserve"> </w:t>
      </w:r>
      <w:r>
        <w:rPr>
          <w:color w:val="221F1F"/>
        </w:rPr>
        <w:t>have</w:t>
      </w:r>
      <w:r>
        <w:rPr>
          <w:color w:val="221F1F"/>
          <w:spacing w:val="-6"/>
        </w:rPr>
        <w:t xml:space="preserve"> </w:t>
      </w:r>
      <w:r>
        <w:rPr>
          <w:color w:val="221F1F"/>
        </w:rPr>
        <w:t>any</w:t>
      </w:r>
      <w:r>
        <w:rPr>
          <w:color w:val="221F1F"/>
          <w:spacing w:val="-7"/>
        </w:rPr>
        <w:t xml:space="preserve"> </w:t>
      </w:r>
      <w:r>
        <w:rPr>
          <w:color w:val="221F1F"/>
        </w:rPr>
        <w:t>other</w:t>
      </w:r>
      <w:r>
        <w:rPr>
          <w:color w:val="221F1F"/>
          <w:spacing w:val="-6"/>
        </w:rPr>
        <w:t xml:space="preserve"> </w:t>
      </w:r>
      <w:r>
        <w:rPr>
          <w:color w:val="221F1F"/>
        </w:rPr>
        <w:t>direct</w:t>
      </w:r>
      <w:r>
        <w:rPr>
          <w:color w:val="221F1F"/>
          <w:spacing w:val="-5"/>
        </w:rPr>
        <w:t xml:space="preserve"> </w:t>
      </w:r>
      <w:r>
        <w:rPr>
          <w:color w:val="221F1F"/>
        </w:rPr>
        <w:t>dealings</w:t>
      </w:r>
      <w:r>
        <w:rPr>
          <w:color w:val="221F1F"/>
          <w:spacing w:val="-3"/>
        </w:rPr>
        <w:t xml:space="preserve"> </w:t>
      </w:r>
      <w:r>
        <w:rPr>
          <w:color w:val="221F1F"/>
        </w:rPr>
        <w:t>with</w:t>
      </w:r>
      <w:r>
        <w:rPr>
          <w:color w:val="221F1F"/>
          <w:spacing w:val="-7"/>
        </w:rPr>
        <w:t xml:space="preserve"> </w:t>
      </w:r>
      <w:r>
        <w:rPr>
          <w:color w:val="221F1F"/>
        </w:rPr>
        <w:t>the</w:t>
      </w:r>
      <w:r>
        <w:rPr>
          <w:color w:val="221F1F"/>
          <w:spacing w:val="-6"/>
        </w:rPr>
        <w:t xml:space="preserve"> </w:t>
      </w:r>
      <w:r>
        <w:rPr>
          <w:color w:val="221F1F"/>
        </w:rPr>
        <w:t>insurer,</w:t>
      </w:r>
      <w:r>
        <w:rPr>
          <w:color w:val="221F1F"/>
          <w:spacing w:val="-4"/>
        </w:rPr>
        <w:t xml:space="preserve"> </w:t>
      </w:r>
      <w:r>
        <w:rPr>
          <w:color w:val="221F1F"/>
        </w:rPr>
        <w:t>and</w:t>
      </w:r>
      <w:r>
        <w:rPr>
          <w:color w:val="221F1F"/>
          <w:spacing w:val="-7"/>
        </w:rPr>
        <w:t xml:space="preserve"> </w:t>
      </w:r>
      <w:r>
        <w:rPr>
          <w:color w:val="221F1F"/>
        </w:rPr>
        <w:t>(iii)</w:t>
      </w:r>
      <w:r>
        <w:rPr>
          <w:color w:val="221F1F"/>
          <w:spacing w:val="-6"/>
        </w:rPr>
        <w:t xml:space="preserve"> </w:t>
      </w:r>
      <w:r>
        <w:rPr>
          <w:color w:val="221F1F"/>
        </w:rPr>
        <w:t>the</w:t>
      </w:r>
      <w:r>
        <w:rPr>
          <w:color w:val="221F1F"/>
          <w:spacing w:val="-6"/>
        </w:rPr>
        <w:t xml:space="preserve"> </w:t>
      </w:r>
      <w:r>
        <w:rPr>
          <w:color w:val="221F1F"/>
        </w:rPr>
        <w:t>insuring</w:t>
      </w:r>
      <w:r>
        <w:rPr>
          <w:color w:val="221F1F"/>
          <w:spacing w:val="-4"/>
        </w:rPr>
        <w:t xml:space="preserve"> </w:t>
      </w:r>
      <w:r>
        <w:rPr>
          <w:color w:val="221F1F"/>
        </w:rPr>
        <w:t>Party</w:t>
      </w:r>
      <w:r>
        <w:rPr>
          <w:color w:val="221F1F"/>
          <w:spacing w:val="-7"/>
        </w:rPr>
        <w:t xml:space="preserve"> </w:t>
      </w:r>
      <w:r>
        <w:rPr>
          <w:color w:val="221F1F"/>
        </w:rPr>
        <w:t>shall</w:t>
      </w:r>
      <w:r>
        <w:rPr>
          <w:color w:val="221F1F"/>
          <w:spacing w:val="-5"/>
        </w:rPr>
        <w:t xml:space="preserve"> </w:t>
      </w:r>
      <w:r>
        <w:rPr>
          <w:color w:val="221F1F"/>
        </w:rPr>
        <w:t>require</w:t>
      </w:r>
      <w:r>
        <w:rPr>
          <w:color w:val="221F1F"/>
          <w:spacing w:val="-6"/>
        </w:rPr>
        <w:t xml:space="preserve"> </w:t>
      </w:r>
      <w:r>
        <w:rPr>
          <w:color w:val="221F1F"/>
        </w:rPr>
        <w:t>all</w:t>
      </w:r>
      <w:r>
        <w:rPr>
          <w:color w:val="221F1F"/>
          <w:spacing w:val="-6"/>
        </w:rPr>
        <w:t xml:space="preserve"> </w:t>
      </w:r>
      <w:r>
        <w:rPr>
          <w:color w:val="221F1F"/>
        </w:rPr>
        <w:t>additional</w:t>
      </w:r>
      <w:r>
        <w:rPr>
          <w:color w:val="221F1F"/>
          <w:spacing w:val="-5"/>
        </w:rPr>
        <w:t xml:space="preserve"> </w:t>
      </w:r>
      <w:r>
        <w:rPr>
          <w:color w:val="221F1F"/>
        </w:rPr>
        <w:t>joint insured to comply with the conditions stipulated in the policy.</w:t>
      </w:r>
    </w:p>
    <w:p w:rsidR="007F6DF9" w:rsidRDefault="00A43FBC">
      <w:pPr>
        <w:pStyle w:val="ListParagraph"/>
        <w:numPr>
          <w:ilvl w:val="2"/>
          <w:numId w:val="122"/>
        </w:numPr>
        <w:tabs>
          <w:tab w:val="left" w:pos="1423"/>
          <w:tab w:val="left" w:pos="1431"/>
        </w:tabs>
        <w:spacing w:before="247" w:line="230" w:lineRule="auto"/>
        <w:ind w:left="1431" w:right="562" w:hanging="728"/>
        <w:jc w:val="both"/>
        <w:rPr>
          <w:color w:val="221F1F"/>
        </w:rPr>
      </w:pPr>
      <w:r>
        <w:rPr>
          <w:color w:val="221F1F"/>
        </w:rPr>
        <w:t>Each</w:t>
      </w:r>
      <w:r>
        <w:rPr>
          <w:color w:val="221F1F"/>
          <w:spacing w:val="-8"/>
        </w:rPr>
        <w:t xml:space="preserve"> </w:t>
      </w:r>
      <w:r>
        <w:rPr>
          <w:color w:val="221F1F"/>
        </w:rPr>
        <w:t>policy</w:t>
      </w:r>
      <w:r>
        <w:rPr>
          <w:color w:val="221F1F"/>
          <w:spacing w:val="-8"/>
        </w:rPr>
        <w:t xml:space="preserve"> </w:t>
      </w:r>
      <w:r>
        <w:rPr>
          <w:color w:val="221F1F"/>
        </w:rPr>
        <w:t>insuring</w:t>
      </w:r>
      <w:r>
        <w:rPr>
          <w:color w:val="221F1F"/>
          <w:spacing w:val="-8"/>
        </w:rPr>
        <w:t xml:space="preserve"> </w:t>
      </w:r>
      <w:r>
        <w:rPr>
          <w:color w:val="221F1F"/>
        </w:rPr>
        <w:t>against</w:t>
      </w:r>
      <w:r>
        <w:rPr>
          <w:color w:val="221F1F"/>
          <w:spacing w:val="-6"/>
        </w:rPr>
        <w:t xml:space="preserve"> </w:t>
      </w:r>
      <w:r>
        <w:rPr>
          <w:color w:val="221F1F"/>
        </w:rPr>
        <w:t>loss</w:t>
      </w:r>
      <w:r>
        <w:rPr>
          <w:color w:val="221F1F"/>
          <w:spacing w:val="-7"/>
        </w:rPr>
        <w:t xml:space="preserve"> </w:t>
      </w:r>
      <w:r>
        <w:rPr>
          <w:color w:val="221F1F"/>
        </w:rPr>
        <w:t>or</w:t>
      </w:r>
      <w:r>
        <w:rPr>
          <w:color w:val="221F1F"/>
          <w:spacing w:val="-8"/>
        </w:rPr>
        <w:t xml:space="preserve"> </w:t>
      </w:r>
      <w:r>
        <w:rPr>
          <w:color w:val="221F1F"/>
        </w:rPr>
        <w:t>damage</w:t>
      </w:r>
      <w:r>
        <w:rPr>
          <w:color w:val="221F1F"/>
          <w:spacing w:val="-8"/>
        </w:rPr>
        <w:t xml:space="preserve"> </w:t>
      </w:r>
      <w:r>
        <w:rPr>
          <w:color w:val="221F1F"/>
        </w:rPr>
        <w:t>shall</w:t>
      </w:r>
      <w:r>
        <w:rPr>
          <w:color w:val="221F1F"/>
          <w:spacing w:val="-7"/>
        </w:rPr>
        <w:t xml:space="preserve"> </w:t>
      </w:r>
      <w:r>
        <w:rPr>
          <w:color w:val="221F1F"/>
        </w:rPr>
        <w:t>provide</w:t>
      </w:r>
      <w:r>
        <w:rPr>
          <w:color w:val="221F1F"/>
          <w:spacing w:val="-7"/>
        </w:rPr>
        <w:t xml:space="preserve"> </w:t>
      </w:r>
      <w:r>
        <w:rPr>
          <w:color w:val="221F1F"/>
        </w:rPr>
        <w:t>for</w:t>
      </w:r>
      <w:r>
        <w:rPr>
          <w:color w:val="221F1F"/>
          <w:spacing w:val="-7"/>
        </w:rPr>
        <w:t xml:space="preserve"> </w:t>
      </w:r>
      <w:r>
        <w:rPr>
          <w:color w:val="221F1F"/>
        </w:rPr>
        <w:t>payments</w:t>
      </w:r>
      <w:r>
        <w:rPr>
          <w:color w:val="221F1F"/>
          <w:spacing w:val="-10"/>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made</w:t>
      </w:r>
      <w:r>
        <w:rPr>
          <w:color w:val="221F1F"/>
          <w:spacing w:val="-10"/>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currencies</w:t>
      </w:r>
      <w:r>
        <w:rPr>
          <w:color w:val="221F1F"/>
          <w:spacing w:val="-7"/>
        </w:rPr>
        <w:t xml:space="preserve"> </w:t>
      </w:r>
      <w:r>
        <w:rPr>
          <w:color w:val="221F1F"/>
        </w:rPr>
        <w:t>required to rectify the loss or damage. Payments received from insurers shall be used for the rectification of the loss or damage.</w:t>
      </w:r>
    </w:p>
    <w:p w:rsidR="007F6DF9" w:rsidRDefault="00A43FBC">
      <w:pPr>
        <w:pStyle w:val="ListParagraph"/>
        <w:numPr>
          <w:ilvl w:val="2"/>
          <w:numId w:val="122"/>
        </w:numPr>
        <w:tabs>
          <w:tab w:val="left" w:pos="1431"/>
        </w:tabs>
        <w:spacing w:before="125" w:line="248" w:lineRule="exact"/>
        <w:ind w:left="1431" w:hanging="720"/>
        <w:rPr>
          <w:color w:val="221F1F"/>
        </w:rPr>
      </w:pPr>
      <w:r>
        <w:rPr>
          <w:color w:val="221F1F"/>
        </w:rPr>
        <w:t>The</w:t>
      </w:r>
      <w:r>
        <w:rPr>
          <w:color w:val="221F1F"/>
          <w:spacing w:val="-14"/>
        </w:rPr>
        <w:t xml:space="preserve"> </w:t>
      </w:r>
      <w:r>
        <w:rPr>
          <w:color w:val="221F1F"/>
        </w:rPr>
        <w:t>relevant</w:t>
      </w:r>
      <w:r>
        <w:rPr>
          <w:color w:val="221F1F"/>
          <w:spacing w:val="-12"/>
        </w:rPr>
        <w:t xml:space="preserve"> </w:t>
      </w:r>
      <w:r>
        <w:rPr>
          <w:color w:val="221F1F"/>
        </w:rPr>
        <w:t>insuring</w:t>
      </w:r>
      <w:r>
        <w:rPr>
          <w:color w:val="221F1F"/>
          <w:spacing w:val="-12"/>
        </w:rPr>
        <w:t xml:space="preserve"> </w:t>
      </w:r>
      <w:r>
        <w:rPr>
          <w:color w:val="221F1F"/>
        </w:rPr>
        <w:t>Party</w:t>
      </w:r>
      <w:r>
        <w:rPr>
          <w:color w:val="221F1F"/>
          <w:spacing w:val="-14"/>
        </w:rPr>
        <w:t xml:space="preserve"> </w:t>
      </w:r>
      <w:r>
        <w:rPr>
          <w:color w:val="221F1F"/>
        </w:rPr>
        <w:t>shall,</w:t>
      </w:r>
      <w:r>
        <w:rPr>
          <w:color w:val="221F1F"/>
          <w:spacing w:val="-10"/>
        </w:rPr>
        <w:t xml:space="preserve"> </w:t>
      </w:r>
      <w:r>
        <w:rPr>
          <w:color w:val="221F1F"/>
        </w:rPr>
        <w:t>within</w:t>
      </w:r>
      <w:r>
        <w:rPr>
          <w:color w:val="221F1F"/>
          <w:spacing w:val="-12"/>
        </w:rPr>
        <w:t xml:space="preserve"> </w:t>
      </w:r>
      <w:r>
        <w:rPr>
          <w:color w:val="221F1F"/>
        </w:rPr>
        <w:t>the</w:t>
      </w:r>
      <w:r>
        <w:rPr>
          <w:color w:val="221F1F"/>
          <w:spacing w:val="-12"/>
        </w:rPr>
        <w:t xml:space="preserve"> </w:t>
      </w:r>
      <w:r>
        <w:rPr>
          <w:color w:val="221F1F"/>
        </w:rPr>
        <w:t>respective</w:t>
      </w:r>
      <w:r>
        <w:rPr>
          <w:color w:val="221F1F"/>
          <w:spacing w:val="-14"/>
        </w:rPr>
        <w:t xml:space="preserve"> </w:t>
      </w:r>
      <w:r>
        <w:rPr>
          <w:color w:val="221F1F"/>
        </w:rPr>
        <w:t>periods</w:t>
      </w:r>
      <w:r>
        <w:rPr>
          <w:color w:val="221F1F"/>
          <w:spacing w:val="-12"/>
        </w:rPr>
        <w:t xml:space="preserve"> </w:t>
      </w:r>
      <w:r>
        <w:rPr>
          <w:color w:val="221F1F"/>
        </w:rPr>
        <w:t>stated</w:t>
      </w:r>
      <w:r>
        <w:rPr>
          <w:color w:val="221F1F"/>
          <w:spacing w:val="-13"/>
        </w:rPr>
        <w:t xml:space="preserve"> </w:t>
      </w:r>
      <w:r>
        <w:rPr>
          <w:color w:val="221F1F"/>
        </w:rPr>
        <w:t>in</w:t>
      </w:r>
      <w:r>
        <w:rPr>
          <w:color w:val="221F1F"/>
          <w:spacing w:val="-13"/>
        </w:rPr>
        <w:t xml:space="preserve"> </w:t>
      </w:r>
      <w:r>
        <w:rPr>
          <w:b/>
          <w:color w:val="221F1F"/>
        </w:rPr>
        <w:t>the</w:t>
      </w:r>
      <w:r>
        <w:rPr>
          <w:b/>
          <w:color w:val="221F1F"/>
          <w:spacing w:val="-10"/>
        </w:rPr>
        <w:t xml:space="preserve"> </w:t>
      </w:r>
      <w:r>
        <w:rPr>
          <w:b/>
          <w:color w:val="221F1F"/>
        </w:rPr>
        <w:t>Special</w:t>
      </w:r>
      <w:r>
        <w:rPr>
          <w:b/>
          <w:color w:val="221F1F"/>
          <w:spacing w:val="-9"/>
        </w:rPr>
        <w:t xml:space="preserve"> </w:t>
      </w:r>
      <w:r>
        <w:rPr>
          <w:b/>
          <w:color w:val="221F1F"/>
        </w:rPr>
        <w:t>Conditions</w:t>
      </w:r>
      <w:r>
        <w:rPr>
          <w:b/>
          <w:color w:val="221F1F"/>
          <w:spacing w:val="-10"/>
        </w:rPr>
        <w:t xml:space="preserve"> </w:t>
      </w:r>
      <w:r>
        <w:rPr>
          <w:b/>
          <w:color w:val="221F1F"/>
        </w:rPr>
        <w:t>of</w:t>
      </w:r>
      <w:r>
        <w:rPr>
          <w:b/>
          <w:color w:val="221F1F"/>
          <w:spacing w:val="-10"/>
        </w:rPr>
        <w:t xml:space="preserve"> </w:t>
      </w:r>
      <w:r>
        <w:rPr>
          <w:b/>
          <w:color w:val="221F1F"/>
          <w:spacing w:val="-2"/>
        </w:rPr>
        <w:t>Contract</w:t>
      </w:r>
    </w:p>
    <w:p w:rsidR="007F6DF9" w:rsidRDefault="00A43FBC">
      <w:pPr>
        <w:pStyle w:val="BodyText"/>
        <w:spacing w:line="248" w:lineRule="exact"/>
        <w:ind w:left="1436"/>
      </w:pPr>
      <w:r>
        <w:rPr>
          <w:color w:val="221F1F"/>
        </w:rPr>
        <w:t>(calculated</w:t>
      </w:r>
      <w:r>
        <w:rPr>
          <w:color w:val="221F1F"/>
          <w:spacing w:val="-4"/>
        </w:rPr>
        <w:t xml:space="preserve"> </w:t>
      </w:r>
      <w:r>
        <w:rPr>
          <w:color w:val="221F1F"/>
        </w:rPr>
        <w:t>from</w:t>
      </w:r>
      <w:r>
        <w:rPr>
          <w:color w:val="221F1F"/>
          <w:spacing w:val="-3"/>
        </w:rPr>
        <w:t xml:space="preserve"> </w:t>
      </w:r>
      <w:r>
        <w:rPr>
          <w:color w:val="221F1F"/>
        </w:rPr>
        <w:t>the</w:t>
      </w:r>
      <w:r>
        <w:rPr>
          <w:color w:val="221F1F"/>
          <w:spacing w:val="-4"/>
        </w:rPr>
        <w:t xml:space="preserve"> </w:t>
      </w:r>
      <w:r>
        <w:rPr>
          <w:color w:val="221F1F"/>
        </w:rPr>
        <w:t>Commencement</w:t>
      </w:r>
      <w:r>
        <w:rPr>
          <w:color w:val="221F1F"/>
          <w:spacing w:val="-2"/>
        </w:rPr>
        <w:t xml:space="preserve"> </w:t>
      </w:r>
      <w:r>
        <w:rPr>
          <w:color w:val="221F1F"/>
        </w:rPr>
        <w:t>Date),</w:t>
      </w:r>
      <w:r>
        <w:rPr>
          <w:color w:val="221F1F"/>
          <w:spacing w:val="-6"/>
        </w:rPr>
        <w:t xml:space="preserve"> </w:t>
      </w:r>
      <w:r>
        <w:rPr>
          <w:color w:val="221F1F"/>
        </w:rPr>
        <w:t>submit</w:t>
      </w:r>
      <w:r>
        <w:rPr>
          <w:color w:val="221F1F"/>
          <w:spacing w:val="-3"/>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other</w:t>
      </w:r>
      <w:r>
        <w:rPr>
          <w:color w:val="221F1F"/>
          <w:spacing w:val="-3"/>
        </w:rPr>
        <w:t xml:space="preserve"> </w:t>
      </w:r>
      <w:r>
        <w:rPr>
          <w:color w:val="221F1F"/>
          <w:spacing w:val="-2"/>
        </w:rPr>
        <w:t>Party:</w:t>
      </w:r>
    </w:p>
    <w:p w:rsidR="007F6DF9" w:rsidRDefault="007F6DF9">
      <w:pPr>
        <w:pStyle w:val="BodyText"/>
        <w:spacing w:before="111"/>
      </w:pPr>
    </w:p>
    <w:p w:rsidR="007F6DF9" w:rsidRDefault="00A43FBC">
      <w:pPr>
        <w:pStyle w:val="ListParagraph"/>
        <w:numPr>
          <w:ilvl w:val="0"/>
          <w:numId w:val="84"/>
        </w:numPr>
        <w:tabs>
          <w:tab w:val="left" w:pos="1874"/>
        </w:tabs>
        <w:spacing w:line="251" w:lineRule="exact"/>
        <w:ind w:left="1874" w:hanging="443"/>
        <w:jc w:val="both"/>
      </w:pPr>
      <w:r>
        <w:rPr>
          <w:color w:val="221F1F"/>
        </w:rPr>
        <w:t>Evidence</w:t>
      </w:r>
      <w:r>
        <w:rPr>
          <w:color w:val="221F1F"/>
          <w:spacing w:val="-7"/>
        </w:rPr>
        <w:t xml:space="preserve"> </w:t>
      </w:r>
      <w:r>
        <w:rPr>
          <w:color w:val="221F1F"/>
        </w:rPr>
        <w:t>that</w:t>
      </w:r>
      <w:r>
        <w:rPr>
          <w:color w:val="221F1F"/>
          <w:spacing w:val="-3"/>
        </w:rPr>
        <w:t xml:space="preserve"> </w:t>
      </w:r>
      <w:r>
        <w:rPr>
          <w:color w:val="221F1F"/>
        </w:rPr>
        <w:t>the</w:t>
      </w:r>
      <w:r>
        <w:rPr>
          <w:color w:val="221F1F"/>
          <w:spacing w:val="-3"/>
        </w:rPr>
        <w:t xml:space="preserve"> </w:t>
      </w:r>
      <w:r>
        <w:rPr>
          <w:color w:val="221F1F"/>
        </w:rPr>
        <w:t>insurances</w:t>
      </w:r>
      <w:r>
        <w:rPr>
          <w:color w:val="221F1F"/>
          <w:spacing w:val="-2"/>
        </w:rPr>
        <w:t xml:space="preserve"> </w:t>
      </w:r>
      <w:r>
        <w:rPr>
          <w:color w:val="221F1F"/>
        </w:rPr>
        <w:t>described</w:t>
      </w:r>
      <w:r>
        <w:rPr>
          <w:color w:val="221F1F"/>
          <w:spacing w:val="-5"/>
        </w:rPr>
        <w:t xml:space="preserve"> </w:t>
      </w:r>
      <w:r>
        <w:rPr>
          <w:color w:val="221F1F"/>
        </w:rPr>
        <w:t>in</w:t>
      </w:r>
      <w:r>
        <w:rPr>
          <w:color w:val="221F1F"/>
          <w:spacing w:val="-6"/>
        </w:rPr>
        <w:t xml:space="preserve"> </w:t>
      </w:r>
      <w:r>
        <w:rPr>
          <w:color w:val="221F1F"/>
        </w:rPr>
        <w:t>this</w:t>
      </w:r>
      <w:r>
        <w:rPr>
          <w:color w:val="221F1F"/>
          <w:spacing w:val="-3"/>
        </w:rPr>
        <w:t xml:space="preserve"> </w:t>
      </w:r>
      <w:r>
        <w:rPr>
          <w:color w:val="221F1F"/>
        </w:rPr>
        <w:t>Clause</w:t>
      </w:r>
      <w:r>
        <w:rPr>
          <w:color w:val="221F1F"/>
          <w:spacing w:val="-2"/>
        </w:rPr>
        <w:t xml:space="preserve"> </w:t>
      </w:r>
      <w:r>
        <w:rPr>
          <w:color w:val="221F1F"/>
        </w:rPr>
        <w:t>have</w:t>
      </w:r>
      <w:r>
        <w:rPr>
          <w:color w:val="221F1F"/>
          <w:spacing w:val="-2"/>
        </w:rPr>
        <w:t xml:space="preserve"> </w:t>
      </w:r>
      <w:r>
        <w:rPr>
          <w:color w:val="221F1F"/>
        </w:rPr>
        <w:t>been</w:t>
      </w:r>
      <w:r>
        <w:rPr>
          <w:color w:val="221F1F"/>
          <w:spacing w:val="-3"/>
        </w:rPr>
        <w:t xml:space="preserve"> </w:t>
      </w:r>
      <w:r>
        <w:rPr>
          <w:color w:val="221F1F"/>
        </w:rPr>
        <w:t>affected,</w:t>
      </w:r>
      <w:r>
        <w:rPr>
          <w:color w:val="221F1F"/>
          <w:spacing w:val="-2"/>
        </w:rPr>
        <w:t xml:space="preserve"> </w:t>
      </w:r>
      <w:r>
        <w:rPr>
          <w:color w:val="221F1F"/>
          <w:spacing w:val="-5"/>
        </w:rPr>
        <w:t>and</w:t>
      </w:r>
    </w:p>
    <w:p w:rsidR="007F6DF9" w:rsidRDefault="00A43FBC">
      <w:pPr>
        <w:pStyle w:val="ListParagraph"/>
        <w:numPr>
          <w:ilvl w:val="0"/>
          <w:numId w:val="84"/>
        </w:numPr>
        <w:tabs>
          <w:tab w:val="left" w:pos="1876"/>
          <w:tab w:val="left" w:pos="1880"/>
        </w:tabs>
        <w:spacing w:before="7" w:line="230" w:lineRule="auto"/>
        <w:ind w:left="1880" w:right="564" w:hanging="449"/>
        <w:jc w:val="both"/>
      </w:pPr>
      <w:r>
        <w:rPr>
          <w:color w:val="221F1F"/>
        </w:rPr>
        <w:t xml:space="preserve">copies of the policies for the insurances described in Sub-Clause 18.2 [Insurance for Works and Contractor's Equipment] and Sub-Clause 18.3 [Insurance against Injury to Persons and Damage to </w:t>
      </w:r>
      <w:r>
        <w:rPr>
          <w:color w:val="221F1F"/>
          <w:spacing w:val="-2"/>
        </w:rPr>
        <w:t>Property].</w:t>
      </w:r>
    </w:p>
    <w:p w:rsidR="007F6DF9" w:rsidRDefault="00A43FBC">
      <w:pPr>
        <w:pStyle w:val="ListParagraph"/>
        <w:numPr>
          <w:ilvl w:val="2"/>
          <w:numId w:val="122"/>
        </w:numPr>
        <w:tabs>
          <w:tab w:val="left" w:pos="1428"/>
          <w:tab w:val="left" w:pos="1443"/>
        </w:tabs>
        <w:spacing w:before="243" w:line="230" w:lineRule="auto"/>
        <w:ind w:left="1443" w:right="562" w:hanging="733"/>
        <w:jc w:val="both"/>
        <w:rPr>
          <w:color w:val="221F1F"/>
        </w:rPr>
      </w:pPr>
      <w:r>
        <w:rPr>
          <w:color w:val="221F1F"/>
        </w:rPr>
        <w:t>When each premium is paid, the insuring Party shall submit evidence of payment to the other Party. Whenever evidence or policies are submitted, the insuring Party shall also give notice to the Engineer.</w:t>
      </w:r>
    </w:p>
    <w:p w:rsidR="007F6DF9" w:rsidRDefault="00A43FBC">
      <w:pPr>
        <w:pStyle w:val="ListParagraph"/>
        <w:numPr>
          <w:ilvl w:val="2"/>
          <w:numId w:val="122"/>
        </w:numPr>
        <w:tabs>
          <w:tab w:val="left" w:pos="1428"/>
          <w:tab w:val="left" w:pos="1443"/>
        </w:tabs>
        <w:spacing w:before="244" w:line="230" w:lineRule="auto"/>
        <w:ind w:left="1443" w:right="565" w:hanging="733"/>
        <w:jc w:val="both"/>
        <w:rPr>
          <w:color w:val="221F1F"/>
        </w:rPr>
      </w:pPr>
      <w:r>
        <w:rPr>
          <w:color w:val="221F1F"/>
        </w:rPr>
        <w:t>Each Party shall comply with the conditions stipulated in each of the insurance policies. The insuring Party shall keep the insurers informed of any relevant changes to the execution of the Works and ensure that insurance is maintained in accordance with this Clause.</w:t>
      </w:r>
    </w:p>
    <w:p w:rsidR="007F6DF9" w:rsidRDefault="00A43FBC">
      <w:pPr>
        <w:pStyle w:val="ListParagraph"/>
        <w:numPr>
          <w:ilvl w:val="2"/>
          <w:numId w:val="122"/>
        </w:numPr>
        <w:tabs>
          <w:tab w:val="left" w:pos="1428"/>
          <w:tab w:val="left" w:pos="1443"/>
        </w:tabs>
        <w:spacing w:before="246" w:line="230" w:lineRule="auto"/>
        <w:ind w:left="1443" w:right="563" w:hanging="733"/>
        <w:jc w:val="both"/>
        <w:rPr>
          <w:color w:val="221F1F"/>
        </w:rPr>
      </w:pPr>
      <w:r>
        <w:rPr>
          <w:color w:val="221F1F"/>
        </w:rPr>
        <w:t>Neither Party shall make any material alteration to the terms of any insurance without the prior approval of the</w:t>
      </w:r>
      <w:r>
        <w:rPr>
          <w:color w:val="221F1F"/>
          <w:spacing w:val="-11"/>
        </w:rPr>
        <w:t xml:space="preserve"> </w:t>
      </w:r>
      <w:r>
        <w:rPr>
          <w:color w:val="221F1F"/>
        </w:rPr>
        <w:t>other</w:t>
      </w:r>
      <w:r>
        <w:rPr>
          <w:color w:val="221F1F"/>
          <w:spacing w:val="-10"/>
        </w:rPr>
        <w:t xml:space="preserve"> </w:t>
      </w:r>
      <w:r>
        <w:rPr>
          <w:color w:val="221F1F"/>
        </w:rPr>
        <w:t>Party.</w:t>
      </w:r>
      <w:r>
        <w:rPr>
          <w:color w:val="221F1F"/>
          <w:spacing w:val="-14"/>
        </w:rPr>
        <w:t xml:space="preserve"> </w:t>
      </w:r>
      <w:r>
        <w:rPr>
          <w:color w:val="221F1F"/>
        </w:rPr>
        <w:t>If</w:t>
      </w:r>
      <w:r>
        <w:rPr>
          <w:color w:val="221F1F"/>
          <w:spacing w:val="-10"/>
        </w:rPr>
        <w:t xml:space="preserve"> </w:t>
      </w:r>
      <w:r>
        <w:rPr>
          <w:color w:val="221F1F"/>
        </w:rPr>
        <w:t>an</w:t>
      </w:r>
      <w:r>
        <w:rPr>
          <w:color w:val="221F1F"/>
          <w:spacing w:val="-10"/>
        </w:rPr>
        <w:t xml:space="preserve"> </w:t>
      </w:r>
      <w:r>
        <w:rPr>
          <w:color w:val="221F1F"/>
        </w:rPr>
        <w:t>insurer</w:t>
      </w:r>
      <w:r>
        <w:rPr>
          <w:color w:val="221F1F"/>
          <w:spacing w:val="-11"/>
        </w:rPr>
        <w:t xml:space="preserve"> </w:t>
      </w:r>
      <w:r>
        <w:rPr>
          <w:color w:val="221F1F"/>
        </w:rPr>
        <w:t>makes</w:t>
      </w:r>
      <w:r>
        <w:rPr>
          <w:color w:val="221F1F"/>
          <w:spacing w:val="-10"/>
        </w:rPr>
        <w:t xml:space="preserve"> </w:t>
      </w:r>
      <w:r>
        <w:rPr>
          <w:color w:val="221F1F"/>
        </w:rPr>
        <w:t>(or</w:t>
      </w:r>
      <w:r>
        <w:rPr>
          <w:color w:val="221F1F"/>
          <w:spacing w:val="-12"/>
        </w:rPr>
        <w:t xml:space="preserve"> </w:t>
      </w:r>
      <w:r>
        <w:rPr>
          <w:color w:val="221F1F"/>
        </w:rPr>
        <w:t>at</w:t>
      </w:r>
      <w:r>
        <w:rPr>
          <w:color w:val="221F1F"/>
          <w:spacing w:val="-12"/>
        </w:rPr>
        <w:t xml:space="preserve"> </w:t>
      </w:r>
      <w:r>
        <w:rPr>
          <w:color w:val="221F1F"/>
        </w:rPr>
        <w:t>tempts</w:t>
      </w:r>
      <w:r>
        <w:rPr>
          <w:color w:val="221F1F"/>
          <w:spacing w:val="-10"/>
        </w:rPr>
        <w:t xml:space="preserve"> </w:t>
      </w:r>
      <w:r>
        <w:rPr>
          <w:color w:val="221F1F"/>
        </w:rPr>
        <w:t>to</w:t>
      </w:r>
      <w:r>
        <w:rPr>
          <w:color w:val="221F1F"/>
          <w:spacing w:val="-10"/>
        </w:rPr>
        <w:t xml:space="preserve"> </w:t>
      </w:r>
      <w:r>
        <w:rPr>
          <w:color w:val="221F1F"/>
        </w:rPr>
        <w:t>make)</w:t>
      </w:r>
      <w:r>
        <w:rPr>
          <w:color w:val="221F1F"/>
          <w:spacing w:val="-10"/>
        </w:rPr>
        <w:t xml:space="preserve"> </w:t>
      </w:r>
      <w:r>
        <w:rPr>
          <w:color w:val="221F1F"/>
        </w:rPr>
        <w:t>any</w:t>
      </w:r>
      <w:r>
        <w:rPr>
          <w:color w:val="221F1F"/>
          <w:spacing w:val="-11"/>
        </w:rPr>
        <w:t xml:space="preserve"> </w:t>
      </w:r>
      <w:r>
        <w:rPr>
          <w:color w:val="221F1F"/>
        </w:rPr>
        <w:t>alteration,</w:t>
      </w:r>
      <w:r>
        <w:rPr>
          <w:color w:val="221F1F"/>
          <w:spacing w:val="-10"/>
        </w:rPr>
        <w:t xml:space="preserve"> </w:t>
      </w:r>
      <w:r>
        <w:rPr>
          <w:color w:val="221F1F"/>
        </w:rPr>
        <w:t>the</w:t>
      </w:r>
      <w:r>
        <w:rPr>
          <w:color w:val="221F1F"/>
          <w:spacing w:val="-10"/>
        </w:rPr>
        <w:t xml:space="preserve"> </w:t>
      </w:r>
      <w:r>
        <w:rPr>
          <w:color w:val="221F1F"/>
        </w:rPr>
        <w:t>Party</w:t>
      </w:r>
      <w:r>
        <w:rPr>
          <w:color w:val="221F1F"/>
          <w:spacing w:val="-12"/>
        </w:rPr>
        <w:t xml:space="preserve"> </w:t>
      </w:r>
      <w:r>
        <w:rPr>
          <w:color w:val="221F1F"/>
        </w:rPr>
        <w:t>first</w:t>
      </w:r>
      <w:r>
        <w:rPr>
          <w:color w:val="221F1F"/>
          <w:spacing w:val="-11"/>
        </w:rPr>
        <w:t xml:space="preserve"> </w:t>
      </w:r>
      <w:r>
        <w:rPr>
          <w:color w:val="221F1F"/>
        </w:rPr>
        <w:t>notified</w:t>
      </w:r>
      <w:r>
        <w:rPr>
          <w:color w:val="221F1F"/>
          <w:spacing w:val="-13"/>
        </w:rPr>
        <w:t xml:space="preserve"> </w:t>
      </w:r>
      <w:r>
        <w:rPr>
          <w:color w:val="221F1F"/>
        </w:rPr>
        <w:t>by</w:t>
      </w:r>
      <w:r>
        <w:rPr>
          <w:color w:val="221F1F"/>
          <w:spacing w:val="-10"/>
        </w:rPr>
        <w:t xml:space="preserve"> </w:t>
      </w:r>
      <w:r>
        <w:rPr>
          <w:color w:val="221F1F"/>
        </w:rPr>
        <w:t>the</w:t>
      </w:r>
      <w:r>
        <w:rPr>
          <w:color w:val="221F1F"/>
          <w:spacing w:val="-13"/>
        </w:rPr>
        <w:t xml:space="preserve"> </w:t>
      </w:r>
      <w:r>
        <w:rPr>
          <w:color w:val="221F1F"/>
        </w:rPr>
        <w:t>insurer shall promptly give notice to the other Party.</w:t>
      </w:r>
    </w:p>
    <w:p w:rsidR="007F6DF9" w:rsidRDefault="00A43FBC">
      <w:pPr>
        <w:pStyle w:val="ListParagraph"/>
        <w:numPr>
          <w:ilvl w:val="2"/>
          <w:numId w:val="122"/>
        </w:numPr>
        <w:tabs>
          <w:tab w:val="left" w:pos="1417"/>
          <w:tab w:val="left" w:pos="1443"/>
        </w:tabs>
        <w:spacing w:before="246" w:line="230" w:lineRule="auto"/>
        <w:ind w:left="1443" w:right="563" w:hanging="733"/>
        <w:jc w:val="both"/>
        <w:rPr>
          <w:color w:val="221F1F"/>
        </w:rPr>
      </w:pPr>
      <w:r>
        <w:rPr>
          <w:color w:val="221F1F"/>
        </w:rPr>
        <w:t>If</w:t>
      </w:r>
      <w:r>
        <w:rPr>
          <w:color w:val="221F1F"/>
          <w:spacing w:val="-5"/>
        </w:rPr>
        <w:t xml:space="preserve"> </w:t>
      </w:r>
      <w:r>
        <w:rPr>
          <w:color w:val="221F1F"/>
        </w:rPr>
        <w:t>the</w:t>
      </w:r>
      <w:r>
        <w:rPr>
          <w:color w:val="221F1F"/>
          <w:spacing w:val="-10"/>
        </w:rPr>
        <w:t xml:space="preserve"> </w:t>
      </w:r>
      <w:r>
        <w:rPr>
          <w:color w:val="221F1F"/>
        </w:rPr>
        <w:t>insuring</w:t>
      </w:r>
      <w:r>
        <w:rPr>
          <w:color w:val="221F1F"/>
          <w:spacing w:val="-5"/>
        </w:rPr>
        <w:t xml:space="preserve"> </w:t>
      </w:r>
      <w:r>
        <w:rPr>
          <w:color w:val="221F1F"/>
        </w:rPr>
        <w:t>Party</w:t>
      </w:r>
      <w:r>
        <w:rPr>
          <w:color w:val="221F1F"/>
          <w:spacing w:val="-8"/>
        </w:rPr>
        <w:t xml:space="preserve"> </w:t>
      </w:r>
      <w:r>
        <w:rPr>
          <w:color w:val="221F1F"/>
        </w:rPr>
        <w:t>fails</w:t>
      </w:r>
      <w:r>
        <w:rPr>
          <w:color w:val="221F1F"/>
          <w:spacing w:val="-7"/>
        </w:rPr>
        <w:t xml:space="preserve"> </w:t>
      </w:r>
      <w:r>
        <w:rPr>
          <w:color w:val="221F1F"/>
        </w:rPr>
        <w:t>to</w:t>
      </w:r>
      <w:r>
        <w:rPr>
          <w:color w:val="221F1F"/>
          <w:spacing w:val="-8"/>
        </w:rPr>
        <w:t xml:space="preserve"> </w:t>
      </w:r>
      <w:r>
        <w:rPr>
          <w:color w:val="221F1F"/>
        </w:rPr>
        <w:t>effect</w:t>
      </w:r>
      <w:r>
        <w:rPr>
          <w:color w:val="221F1F"/>
          <w:spacing w:val="-7"/>
        </w:rPr>
        <w:t xml:space="preserve"> </w:t>
      </w:r>
      <w:r>
        <w:rPr>
          <w:color w:val="221F1F"/>
        </w:rPr>
        <w:t>and</w:t>
      </w:r>
      <w:r>
        <w:rPr>
          <w:color w:val="221F1F"/>
          <w:spacing w:val="-6"/>
        </w:rPr>
        <w:t xml:space="preserve"> </w:t>
      </w:r>
      <w:r>
        <w:rPr>
          <w:color w:val="221F1F"/>
        </w:rPr>
        <w:t>keep</w:t>
      </w:r>
      <w:r>
        <w:rPr>
          <w:color w:val="221F1F"/>
          <w:spacing w:val="-8"/>
        </w:rPr>
        <w:t xml:space="preserve"> </w:t>
      </w:r>
      <w:r>
        <w:rPr>
          <w:color w:val="221F1F"/>
        </w:rPr>
        <w:t>in</w:t>
      </w:r>
      <w:r>
        <w:rPr>
          <w:color w:val="221F1F"/>
          <w:spacing w:val="-8"/>
        </w:rPr>
        <w:t xml:space="preserve"> </w:t>
      </w:r>
      <w:r>
        <w:rPr>
          <w:color w:val="221F1F"/>
        </w:rPr>
        <w:t>force</w:t>
      </w:r>
      <w:r>
        <w:rPr>
          <w:color w:val="221F1F"/>
          <w:spacing w:val="-5"/>
        </w:rPr>
        <w:t xml:space="preserve"> </w:t>
      </w:r>
      <w:r>
        <w:rPr>
          <w:color w:val="221F1F"/>
        </w:rPr>
        <w:t>any</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insurances</w:t>
      </w:r>
      <w:r>
        <w:rPr>
          <w:color w:val="221F1F"/>
          <w:spacing w:val="-7"/>
        </w:rPr>
        <w:t xml:space="preserve"> </w:t>
      </w:r>
      <w:r>
        <w:rPr>
          <w:color w:val="221F1F"/>
        </w:rPr>
        <w:t>it</w:t>
      </w:r>
      <w:r>
        <w:rPr>
          <w:color w:val="221F1F"/>
          <w:spacing w:val="-7"/>
        </w:rPr>
        <w:t xml:space="preserve"> </w:t>
      </w:r>
      <w:r>
        <w:rPr>
          <w:color w:val="221F1F"/>
        </w:rPr>
        <w:t>is</w:t>
      </w:r>
      <w:r>
        <w:rPr>
          <w:color w:val="221F1F"/>
          <w:spacing w:val="-8"/>
        </w:rPr>
        <w:t xml:space="preserve"> </w:t>
      </w:r>
      <w:r>
        <w:rPr>
          <w:color w:val="221F1F"/>
        </w:rPr>
        <w:t>required</w:t>
      </w:r>
      <w:r>
        <w:rPr>
          <w:color w:val="221F1F"/>
          <w:spacing w:val="-7"/>
        </w:rPr>
        <w:t xml:space="preserve"> </w:t>
      </w:r>
      <w:r>
        <w:rPr>
          <w:color w:val="221F1F"/>
        </w:rPr>
        <w:t>to</w:t>
      </w:r>
      <w:r>
        <w:rPr>
          <w:color w:val="221F1F"/>
          <w:spacing w:val="-8"/>
        </w:rPr>
        <w:t xml:space="preserve"> </w:t>
      </w:r>
      <w:r>
        <w:rPr>
          <w:color w:val="221F1F"/>
        </w:rPr>
        <w:t>effect</w:t>
      </w:r>
      <w:r>
        <w:rPr>
          <w:color w:val="221F1F"/>
          <w:spacing w:val="-7"/>
        </w:rPr>
        <w:t xml:space="preserve"> </w:t>
      </w:r>
      <w:r>
        <w:rPr>
          <w:color w:val="221F1F"/>
        </w:rPr>
        <w:t>and</w:t>
      </w:r>
      <w:r>
        <w:rPr>
          <w:color w:val="221F1F"/>
          <w:spacing w:val="-10"/>
        </w:rPr>
        <w:t xml:space="preserve"> </w:t>
      </w:r>
      <w:r>
        <w:rPr>
          <w:color w:val="221F1F"/>
        </w:rPr>
        <w:t>maintain under the Contractor fails to provide satisfactory evidence and copies of policies in accordance with this Sub- Clause, the other Party may (at its option and without prejudice to any other right or remedy) effect insurance for the relevant coverage and pay the premiums due. The insuring Party shall pay the amount of these premiums to the other Party, and the Contract Price shall be adjusted accordingly.</w:t>
      </w:r>
    </w:p>
    <w:p w:rsidR="007F6DF9" w:rsidRDefault="00A43FBC">
      <w:pPr>
        <w:pStyle w:val="ListParagraph"/>
        <w:numPr>
          <w:ilvl w:val="2"/>
          <w:numId w:val="122"/>
        </w:numPr>
        <w:tabs>
          <w:tab w:val="left" w:pos="1427"/>
          <w:tab w:val="left" w:pos="1443"/>
        </w:tabs>
        <w:spacing w:before="245" w:line="230" w:lineRule="auto"/>
        <w:ind w:left="1443" w:right="556" w:hanging="733"/>
        <w:jc w:val="both"/>
        <w:rPr>
          <w:color w:val="221F1F"/>
        </w:rPr>
      </w:pPr>
      <w:r>
        <w:rPr>
          <w:color w:val="221F1F"/>
        </w:rPr>
        <w:t>Nothing</w:t>
      </w:r>
      <w:r>
        <w:rPr>
          <w:color w:val="221F1F"/>
          <w:spacing w:val="-1"/>
        </w:rPr>
        <w:t xml:space="preserve"> </w:t>
      </w:r>
      <w:r>
        <w:rPr>
          <w:color w:val="221F1F"/>
        </w:rPr>
        <w:t>in</w:t>
      </w:r>
      <w:r>
        <w:rPr>
          <w:color w:val="221F1F"/>
          <w:spacing w:val="-1"/>
        </w:rPr>
        <w:t xml:space="preserve"> </w:t>
      </w:r>
      <w:r>
        <w:rPr>
          <w:color w:val="221F1F"/>
        </w:rPr>
        <w:t>this</w:t>
      </w:r>
      <w:r>
        <w:rPr>
          <w:color w:val="221F1F"/>
          <w:spacing w:val="-1"/>
        </w:rPr>
        <w:t xml:space="preserve"> </w:t>
      </w:r>
      <w:r>
        <w:rPr>
          <w:color w:val="221F1F"/>
        </w:rPr>
        <w:t>Clause</w:t>
      </w:r>
      <w:r>
        <w:rPr>
          <w:color w:val="221F1F"/>
          <w:spacing w:val="-1"/>
        </w:rPr>
        <w:t xml:space="preserve"> </w:t>
      </w:r>
      <w:r>
        <w:rPr>
          <w:color w:val="221F1F"/>
        </w:rPr>
        <w:t>limits</w:t>
      </w:r>
      <w:r>
        <w:rPr>
          <w:color w:val="221F1F"/>
          <w:spacing w:val="-1"/>
        </w:rPr>
        <w:t xml:space="preserve"> </w:t>
      </w:r>
      <w:r>
        <w:rPr>
          <w:color w:val="221F1F"/>
        </w:rPr>
        <w:t>the</w:t>
      </w:r>
      <w:r>
        <w:rPr>
          <w:color w:val="221F1F"/>
          <w:spacing w:val="-1"/>
        </w:rPr>
        <w:t xml:space="preserve"> </w:t>
      </w:r>
      <w:r>
        <w:rPr>
          <w:color w:val="221F1F"/>
        </w:rPr>
        <w:t>obligations,</w:t>
      </w:r>
      <w:r>
        <w:rPr>
          <w:color w:val="221F1F"/>
          <w:spacing w:val="-1"/>
        </w:rPr>
        <w:t xml:space="preserve"> </w:t>
      </w:r>
      <w:r>
        <w:rPr>
          <w:color w:val="221F1F"/>
        </w:rPr>
        <w:t>liabilities</w:t>
      </w:r>
      <w:r>
        <w:rPr>
          <w:color w:val="221F1F"/>
          <w:spacing w:val="-3"/>
        </w:rPr>
        <w:t xml:space="preserve"> </w:t>
      </w:r>
      <w:r>
        <w:rPr>
          <w:color w:val="221F1F"/>
        </w:rPr>
        <w:t>or</w:t>
      </w:r>
      <w:r>
        <w:rPr>
          <w:color w:val="221F1F"/>
          <w:spacing w:val="-1"/>
        </w:rPr>
        <w:t xml:space="preserve"> </w:t>
      </w:r>
      <w:r>
        <w:rPr>
          <w:color w:val="221F1F"/>
        </w:rPr>
        <w:t>responsibilities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or</w:t>
      </w:r>
      <w:r>
        <w:rPr>
          <w:color w:val="221F1F"/>
          <w:spacing w:val="-3"/>
        </w:rPr>
        <w:t xml:space="preserve"> </w:t>
      </w:r>
      <w:r>
        <w:rPr>
          <w:color w:val="221F1F"/>
        </w:rPr>
        <w:t>the</w:t>
      </w:r>
      <w:r>
        <w:rPr>
          <w:color w:val="221F1F"/>
          <w:spacing w:val="-1"/>
        </w:rPr>
        <w:t xml:space="preserve"> </w:t>
      </w:r>
      <w:r>
        <w:rPr>
          <w:color w:val="221F1F"/>
        </w:rPr>
        <w:t>Procuring Entity, under the other terms of the Contractor otherwise. Any amounts not insured or not recovered from the insurers shall be borne by the Contractor and/or the Procuring Entity.</w:t>
      </w:r>
    </w:p>
    <w:p w:rsidR="007F6DF9" w:rsidRDefault="00A43FBC">
      <w:pPr>
        <w:pStyle w:val="ListParagraph"/>
        <w:numPr>
          <w:ilvl w:val="2"/>
          <w:numId w:val="122"/>
        </w:numPr>
        <w:tabs>
          <w:tab w:val="left" w:pos="1427"/>
          <w:tab w:val="left" w:pos="1443"/>
        </w:tabs>
        <w:spacing w:before="241" w:line="230" w:lineRule="auto"/>
        <w:ind w:left="1443" w:right="563" w:hanging="733"/>
        <w:jc w:val="both"/>
        <w:rPr>
          <w:color w:val="221F1F"/>
        </w:rPr>
      </w:pPr>
      <w:r>
        <w:rPr>
          <w:color w:val="221F1F"/>
        </w:rPr>
        <w:t>Procuring</w:t>
      </w:r>
      <w:r>
        <w:rPr>
          <w:color w:val="221F1F"/>
          <w:spacing w:val="-6"/>
        </w:rPr>
        <w:t xml:space="preserve"> </w:t>
      </w:r>
      <w:r>
        <w:rPr>
          <w:color w:val="221F1F"/>
        </w:rPr>
        <w:t>Entity</w:t>
      </w:r>
      <w:r>
        <w:rPr>
          <w:color w:val="221F1F"/>
          <w:spacing w:val="-6"/>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6"/>
        </w:rPr>
        <w:t xml:space="preserve"> </w:t>
      </w:r>
      <w:r>
        <w:rPr>
          <w:color w:val="221F1F"/>
        </w:rPr>
        <w:t>these</w:t>
      </w:r>
      <w:r>
        <w:rPr>
          <w:color w:val="221F1F"/>
          <w:spacing w:val="-6"/>
        </w:rPr>
        <w:t xml:space="preserve"> </w:t>
      </w:r>
      <w:r>
        <w:rPr>
          <w:color w:val="221F1F"/>
        </w:rPr>
        <w:t>obligations,</w:t>
      </w:r>
      <w:r>
        <w:rPr>
          <w:color w:val="221F1F"/>
          <w:spacing w:val="-4"/>
        </w:rPr>
        <w:t xml:space="preserve"> </w:t>
      </w:r>
      <w:proofErr w:type="spellStart"/>
      <w:r>
        <w:rPr>
          <w:color w:val="221F1F"/>
        </w:rPr>
        <w:t>liabilitieso</w:t>
      </w:r>
      <w:proofErr w:type="spellEnd"/>
      <w:r>
        <w:rPr>
          <w:color w:val="221F1F"/>
          <w:spacing w:val="-5"/>
        </w:rPr>
        <w:t xml:space="preserve"> </w:t>
      </w:r>
      <w:r>
        <w:rPr>
          <w:color w:val="221F1F"/>
        </w:rPr>
        <w:t>r</w:t>
      </w:r>
      <w:r>
        <w:rPr>
          <w:color w:val="221F1F"/>
          <w:spacing w:val="-5"/>
        </w:rPr>
        <w:t xml:space="preserve"> </w:t>
      </w:r>
      <w:r>
        <w:rPr>
          <w:color w:val="221F1F"/>
        </w:rPr>
        <w:t>responsibilities.</w:t>
      </w:r>
      <w:r>
        <w:rPr>
          <w:color w:val="221F1F"/>
          <w:spacing w:val="-5"/>
        </w:rPr>
        <w:t xml:space="preserve"> </w:t>
      </w:r>
      <w:r>
        <w:rPr>
          <w:color w:val="221F1F"/>
        </w:rPr>
        <w:t>However,</w:t>
      </w:r>
      <w:r>
        <w:rPr>
          <w:color w:val="221F1F"/>
          <w:spacing w:val="-6"/>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insuring Party fails to effect and keep in force an insurance which is available and which it is required to effect and maintain</w:t>
      </w:r>
      <w:r>
        <w:rPr>
          <w:color w:val="221F1F"/>
          <w:spacing w:val="-2"/>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 and</w:t>
      </w:r>
      <w:r>
        <w:rPr>
          <w:color w:val="221F1F"/>
          <w:spacing w:val="-1"/>
        </w:rPr>
        <w:t xml:space="preserve"> </w:t>
      </w:r>
      <w:r>
        <w:rPr>
          <w:color w:val="221F1F"/>
        </w:rPr>
        <w:t>the</w:t>
      </w:r>
      <w:r>
        <w:rPr>
          <w:color w:val="221F1F"/>
          <w:spacing w:val="-1"/>
        </w:rPr>
        <w:t xml:space="preserve"> </w:t>
      </w:r>
      <w:r>
        <w:rPr>
          <w:color w:val="221F1F"/>
        </w:rPr>
        <w:t>other Party</w:t>
      </w:r>
      <w:r>
        <w:rPr>
          <w:color w:val="221F1F"/>
          <w:spacing w:val="-2"/>
        </w:rPr>
        <w:t xml:space="preserve"> </w:t>
      </w:r>
      <w:r>
        <w:rPr>
          <w:color w:val="221F1F"/>
        </w:rPr>
        <w:t>neither approves</w:t>
      </w:r>
      <w:r>
        <w:rPr>
          <w:color w:val="221F1F"/>
          <w:spacing w:val="-1"/>
        </w:rPr>
        <w:t xml:space="preserve"> </w:t>
      </w:r>
      <w:r>
        <w:rPr>
          <w:color w:val="221F1F"/>
        </w:rPr>
        <w:t>the</w:t>
      </w:r>
      <w:r>
        <w:rPr>
          <w:color w:val="221F1F"/>
          <w:spacing w:val="-1"/>
        </w:rPr>
        <w:t xml:space="preserve"> </w:t>
      </w:r>
      <w:r>
        <w:rPr>
          <w:color w:val="221F1F"/>
        </w:rPr>
        <w:t>omission nor</w:t>
      </w:r>
      <w:r>
        <w:rPr>
          <w:color w:val="221F1F"/>
          <w:spacing w:val="-1"/>
        </w:rPr>
        <w:t xml:space="preserve"> </w:t>
      </w:r>
      <w:r>
        <w:rPr>
          <w:color w:val="221F1F"/>
        </w:rPr>
        <w:t>effects</w:t>
      </w:r>
      <w:r>
        <w:rPr>
          <w:color w:val="221F1F"/>
          <w:spacing w:val="-1"/>
        </w:rPr>
        <w:t xml:space="preserve"> </w:t>
      </w:r>
      <w:r>
        <w:rPr>
          <w:color w:val="221F1F"/>
        </w:rPr>
        <w:t>insurance</w:t>
      </w:r>
      <w:r>
        <w:rPr>
          <w:color w:val="221F1F"/>
          <w:spacing w:val="-1"/>
        </w:rPr>
        <w:t xml:space="preserve"> </w:t>
      </w:r>
      <w:r>
        <w:rPr>
          <w:color w:val="221F1F"/>
        </w:rPr>
        <w:t>for</w:t>
      </w:r>
      <w:r>
        <w:rPr>
          <w:color w:val="221F1F"/>
          <w:spacing w:val="-1"/>
        </w:rPr>
        <w:t xml:space="preserve"> </w:t>
      </w:r>
      <w:r>
        <w:rPr>
          <w:color w:val="221F1F"/>
        </w:rPr>
        <w:t>the coverage</w:t>
      </w:r>
      <w:r>
        <w:rPr>
          <w:color w:val="221F1F"/>
          <w:spacing w:val="-8"/>
        </w:rPr>
        <w:t xml:space="preserve"> </w:t>
      </w:r>
      <w:r>
        <w:rPr>
          <w:color w:val="221F1F"/>
        </w:rPr>
        <w:t>relevant</w:t>
      </w:r>
      <w:r>
        <w:rPr>
          <w:color w:val="221F1F"/>
          <w:spacing w:val="-5"/>
        </w:rPr>
        <w:t xml:space="preserve"> </w:t>
      </w:r>
      <w:r>
        <w:rPr>
          <w:color w:val="221F1F"/>
        </w:rPr>
        <w:t>to</w:t>
      </w:r>
      <w:r>
        <w:rPr>
          <w:color w:val="221F1F"/>
          <w:spacing w:val="-7"/>
        </w:rPr>
        <w:t xml:space="preserve"> </w:t>
      </w:r>
      <w:r>
        <w:rPr>
          <w:color w:val="221F1F"/>
        </w:rPr>
        <w:t>this</w:t>
      </w:r>
      <w:r>
        <w:rPr>
          <w:color w:val="221F1F"/>
          <w:spacing w:val="-6"/>
        </w:rPr>
        <w:t xml:space="preserve"> </w:t>
      </w:r>
      <w:r>
        <w:rPr>
          <w:color w:val="221F1F"/>
        </w:rPr>
        <w:t>default,</w:t>
      </w:r>
      <w:r>
        <w:rPr>
          <w:color w:val="221F1F"/>
          <w:spacing w:val="-7"/>
        </w:rPr>
        <w:t xml:space="preserve"> </w:t>
      </w:r>
      <w:r>
        <w:rPr>
          <w:color w:val="221F1F"/>
        </w:rPr>
        <w:t>any</w:t>
      </w:r>
      <w:r>
        <w:rPr>
          <w:color w:val="221F1F"/>
          <w:spacing w:val="-7"/>
        </w:rPr>
        <w:t xml:space="preserve"> </w:t>
      </w:r>
      <w:r>
        <w:rPr>
          <w:color w:val="221F1F"/>
        </w:rPr>
        <w:t>moneys</w:t>
      </w:r>
      <w:r>
        <w:rPr>
          <w:color w:val="221F1F"/>
          <w:spacing w:val="-6"/>
        </w:rPr>
        <w:t xml:space="preserve"> </w:t>
      </w:r>
      <w:r>
        <w:rPr>
          <w:color w:val="221F1F"/>
        </w:rPr>
        <w:t>which</w:t>
      </w:r>
      <w:r>
        <w:rPr>
          <w:color w:val="221F1F"/>
          <w:spacing w:val="-9"/>
        </w:rPr>
        <w:t xml:space="preserve"> </w:t>
      </w:r>
      <w:r>
        <w:rPr>
          <w:color w:val="221F1F"/>
        </w:rPr>
        <w:t>should</w:t>
      </w:r>
      <w:r>
        <w:rPr>
          <w:color w:val="221F1F"/>
          <w:spacing w:val="-6"/>
        </w:rPr>
        <w:t xml:space="preserve"> </w:t>
      </w:r>
      <w:r>
        <w:rPr>
          <w:color w:val="221F1F"/>
        </w:rPr>
        <w:t>have</w:t>
      </w:r>
      <w:r>
        <w:rPr>
          <w:color w:val="221F1F"/>
          <w:spacing w:val="-7"/>
        </w:rPr>
        <w:t xml:space="preserve"> </w:t>
      </w:r>
      <w:r>
        <w:rPr>
          <w:color w:val="221F1F"/>
        </w:rPr>
        <w:t>been</w:t>
      </w:r>
      <w:r>
        <w:rPr>
          <w:color w:val="221F1F"/>
          <w:spacing w:val="-7"/>
        </w:rPr>
        <w:t xml:space="preserve"> </w:t>
      </w:r>
      <w:r>
        <w:rPr>
          <w:color w:val="221F1F"/>
        </w:rPr>
        <w:t>recoverable</w:t>
      </w:r>
      <w:r>
        <w:rPr>
          <w:color w:val="221F1F"/>
          <w:spacing w:val="-8"/>
        </w:rPr>
        <w:t xml:space="preserve"> </w:t>
      </w:r>
      <w:r>
        <w:rPr>
          <w:color w:val="221F1F"/>
        </w:rPr>
        <w:t>under</w:t>
      </w:r>
      <w:r>
        <w:rPr>
          <w:color w:val="221F1F"/>
          <w:spacing w:val="-8"/>
        </w:rPr>
        <w:t xml:space="preserve"> </w:t>
      </w:r>
      <w:r>
        <w:rPr>
          <w:color w:val="221F1F"/>
        </w:rPr>
        <w:t>this</w:t>
      </w:r>
      <w:r>
        <w:rPr>
          <w:color w:val="221F1F"/>
          <w:spacing w:val="-6"/>
        </w:rPr>
        <w:t xml:space="preserve"> </w:t>
      </w:r>
      <w:r>
        <w:rPr>
          <w:color w:val="221F1F"/>
        </w:rPr>
        <w:t>insurance</w:t>
      </w:r>
      <w:r>
        <w:rPr>
          <w:color w:val="221F1F"/>
          <w:spacing w:val="-8"/>
        </w:rPr>
        <w:t xml:space="preserve"> </w:t>
      </w:r>
      <w:r>
        <w:rPr>
          <w:color w:val="221F1F"/>
        </w:rPr>
        <w:t>shall be paid by the insuring Party.</w:t>
      </w:r>
    </w:p>
    <w:p w:rsidR="007F6DF9" w:rsidRDefault="00A43FBC">
      <w:pPr>
        <w:pStyle w:val="ListParagraph"/>
        <w:numPr>
          <w:ilvl w:val="2"/>
          <w:numId w:val="122"/>
        </w:numPr>
        <w:tabs>
          <w:tab w:val="left" w:pos="1405"/>
          <w:tab w:val="left" w:pos="1443"/>
        </w:tabs>
        <w:spacing w:before="245" w:line="230" w:lineRule="auto"/>
        <w:ind w:left="1443" w:right="568" w:hanging="733"/>
        <w:jc w:val="both"/>
        <w:rPr>
          <w:color w:val="221F1F"/>
        </w:rPr>
      </w:pPr>
      <w:r>
        <w:rPr>
          <w:color w:val="221F1F"/>
        </w:rPr>
        <w:t>Payments by one Party to the other Party shall be subject to Sub-Clause 2.5 [Procuring Entity's Claims] or Sub- Clause 20.1 [Contractor's Claims], as applicable.</w:t>
      </w:r>
    </w:p>
    <w:p w:rsidR="007F6DF9" w:rsidRDefault="00A43FBC">
      <w:pPr>
        <w:pStyle w:val="ListParagraph"/>
        <w:numPr>
          <w:ilvl w:val="2"/>
          <w:numId w:val="122"/>
        </w:numPr>
        <w:tabs>
          <w:tab w:val="left" w:pos="1405"/>
          <w:tab w:val="left" w:pos="1443"/>
        </w:tabs>
        <w:spacing w:before="245" w:line="230" w:lineRule="auto"/>
        <w:ind w:left="1443" w:right="566" w:hanging="733"/>
        <w:jc w:val="both"/>
        <w:rPr>
          <w:color w:val="221F1F"/>
        </w:rPr>
      </w:pPr>
      <w:r>
        <w:rPr>
          <w:color w:val="221F1F"/>
        </w:rPr>
        <w:t>The Contractor shall be entitled to place all insurance relating to the Contract (including, but not limited to the insurance referred to Clause 18) with insurers from any eligible source country.</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431"/>
        </w:tabs>
        <w:spacing w:line="244" w:lineRule="exact"/>
        <w:ind w:left="1431" w:hanging="720"/>
        <w:rPr>
          <w:color w:val="221F1F"/>
        </w:rPr>
      </w:pPr>
      <w:r>
        <w:rPr>
          <w:noProof/>
        </w:rPr>
        <w:lastRenderedPageBreak/>
        <mc:AlternateContent>
          <mc:Choice Requires="wpg">
            <w:drawing>
              <wp:anchor distT="0" distB="0" distL="0" distR="0" simplePos="0" relativeHeight="479604224"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29" name="Graphic 42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30" name="Graphic 42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w:pict>
              <v:group w14:anchorId="4B4FCF0F" id="Group 426" o:spid="_x0000_s1026" style="position:absolute;margin-left:0;margin-top:806.2pt;width:595.4pt;height:24.5pt;z-index:-2371225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">
                <v:shape id="Graphic 42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" path="m946150,l,,,153670r7620,48895l29845,245110r33020,33020l105409,300355r48261,7620l946150,307975,946150,xe" fillcolor="#011f5e" stroked="f">
                  <v:path arrowok="t"/>
                </v:shape>
                <v:shape id="Graphic 42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Insurance</w:t>
      </w:r>
      <w:r>
        <w:rPr>
          <w:color w:val="221F1F"/>
          <w:spacing w:val="-6"/>
        </w:rPr>
        <w:t xml:space="preserve"> </w:t>
      </w:r>
      <w:r>
        <w:rPr>
          <w:color w:val="221F1F"/>
        </w:rPr>
        <w:t>for</w:t>
      </w:r>
      <w:r>
        <w:rPr>
          <w:color w:val="221F1F"/>
          <w:spacing w:val="-5"/>
        </w:rPr>
        <w:t xml:space="preserve"> </w:t>
      </w:r>
      <w:r>
        <w:rPr>
          <w:color w:val="221F1F"/>
        </w:rPr>
        <w:t>Works</w:t>
      </w:r>
      <w:r>
        <w:rPr>
          <w:color w:val="221F1F"/>
          <w:spacing w:val="-12"/>
        </w:rPr>
        <w:t xml:space="preserve"> </w:t>
      </w:r>
      <w:r>
        <w:rPr>
          <w:color w:val="221F1F"/>
        </w:rPr>
        <w:t>and</w:t>
      </w:r>
      <w:r>
        <w:rPr>
          <w:color w:val="221F1F"/>
          <w:spacing w:val="-8"/>
        </w:rPr>
        <w:t xml:space="preserve"> </w:t>
      </w:r>
      <w:r>
        <w:rPr>
          <w:color w:val="221F1F"/>
        </w:rPr>
        <w:t>Contractor's</w:t>
      </w:r>
      <w:r>
        <w:rPr>
          <w:color w:val="221F1F"/>
          <w:spacing w:val="-4"/>
        </w:rPr>
        <w:t xml:space="preserve"> </w:t>
      </w:r>
      <w:r>
        <w:rPr>
          <w:color w:val="221F1F"/>
          <w:spacing w:val="-2"/>
        </w:rPr>
        <w:t>Equipment</w:t>
      </w:r>
    </w:p>
    <w:p w:rsidR="007F6DF9" w:rsidRDefault="00A43FBC">
      <w:pPr>
        <w:pStyle w:val="ListParagraph"/>
        <w:numPr>
          <w:ilvl w:val="2"/>
          <w:numId w:val="122"/>
        </w:numPr>
        <w:tabs>
          <w:tab w:val="left" w:pos="1428"/>
          <w:tab w:val="left" w:pos="1443"/>
        </w:tabs>
        <w:spacing w:before="242" w:line="230" w:lineRule="auto"/>
        <w:ind w:left="1443" w:right="563" w:hanging="733"/>
        <w:jc w:val="both"/>
        <w:rPr>
          <w:color w:val="221F1F"/>
        </w:rPr>
      </w:pPr>
      <w:r>
        <w:rPr>
          <w:color w:val="221F1F"/>
        </w:rPr>
        <w:t>The</w:t>
      </w:r>
      <w:r>
        <w:rPr>
          <w:color w:val="221F1F"/>
          <w:spacing w:val="-2"/>
        </w:rPr>
        <w:t xml:space="preserve"> </w:t>
      </w:r>
      <w:r>
        <w:rPr>
          <w:color w:val="221F1F"/>
        </w:rPr>
        <w:t>insuring</w:t>
      </w:r>
      <w:r>
        <w:rPr>
          <w:color w:val="221F1F"/>
          <w:spacing w:val="-2"/>
        </w:rPr>
        <w:t xml:space="preserve"> </w:t>
      </w:r>
      <w:r>
        <w:rPr>
          <w:color w:val="221F1F"/>
        </w:rPr>
        <w:t>Party</w:t>
      </w:r>
      <w:r>
        <w:rPr>
          <w:color w:val="221F1F"/>
          <w:spacing w:val="-2"/>
        </w:rPr>
        <w:t xml:space="preserve"> </w:t>
      </w:r>
      <w:r>
        <w:rPr>
          <w:color w:val="221F1F"/>
        </w:rPr>
        <w:t>shall insure</w:t>
      </w:r>
      <w:r>
        <w:rPr>
          <w:color w:val="221F1F"/>
          <w:spacing w:val="-4"/>
        </w:rPr>
        <w:t xml:space="preserve"> </w:t>
      </w:r>
      <w:r>
        <w:rPr>
          <w:color w:val="221F1F"/>
        </w:rPr>
        <w:t>the</w:t>
      </w:r>
      <w:r>
        <w:rPr>
          <w:color w:val="221F1F"/>
          <w:spacing w:val="-4"/>
        </w:rPr>
        <w:t xml:space="preserve"> </w:t>
      </w:r>
      <w:r>
        <w:rPr>
          <w:color w:val="221F1F"/>
        </w:rPr>
        <w:t>Works,</w:t>
      </w:r>
      <w:r>
        <w:rPr>
          <w:color w:val="221F1F"/>
          <w:spacing w:val="-9"/>
        </w:rPr>
        <w:t xml:space="preserve"> </w:t>
      </w:r>
      <w:r>
        <w:rPr>
          <w:color w:val="221F1F"/>
        </w:rPr>
        <w:t>Plant,</w:t>
      </w:r>
      <w:r>
        <w:rPr>
          <w:color w:val="221F1F"/>
          <w:spacing w:val="-4"/>
        </w:rPr>
        <w:t xml:space="preserve"> </w:t>
      </w:r>
      <w:r>
        <w:rPr>
          <w:color w:val="221F1F"/>
        </w:rPr>
        <w:t>Material</w:t>
      </w:r>
      <w:r>
        <w:rPr>
          <w:color w:val="221F1F"/>
          <w:spacing w:val="-2"/>
        </w:rPr>
        <w:t xml:space="preserve"> </w:t>
      </w:r>
      <w:r>
        <w:rPr>
          <w:color w:val="221F1F"/>
        </w:rPr>
        <w:t>sand</w:t>
      </w:r>
      <w:r>
        <w:rPr>
          <w:color w:val="221F1F"/>
          <w:spacing w:val="-4"/>
        </w:rPr>
        <w:t xml:space="preserve"> </w:t>
      </w:r>
      <w:r>
        <w:rPr>
          <w:color w:val="221F1F"/>
        </w:rPr>
        <w:t>Contractor's</w:t>
      </w:r>
      <w:r>
        <w:rPr>
          <w:color w:val="221F1F"/>
          <w:spacing w:val="-1"/>
        </w:rPr>
        <w:t xml:space="preserve"> </w:t>
      </w:r>
      <w:r>
        <w:rPr>
          <w:color w:val="221F1F"/>
        </w:rPr>
        <w:t>Documents</w:t>
      </w:r>
      <w:r>
        <w:rPr>
          <w:color w:val="221F1F"/>
          <w:spacing w:val="-3"/>
        </w:rPr>
        <w:t xml:space="preserve"> </w:t>
      </w:r>
      <w:r>
        <w:rPr>
          <w:color w:val="221F1F"/>
        </w:rPr>
        <w:t>for</w:t>
      </w:r>
      <w:r>
        <w:rPr>
          <w:color w:val="221F1F"/>
          <w:spacing w:val="-4"/>
        </w:rPr>
        <w:t xml:space="preserve"> </w:t>
      </w:r>
      <w:r>
        <w:rPr>
          <w:color w:val="221F1F"/>
        </w:rPr>
        <w:t>not</w:t>
      </w:r>
      <w:r>
        <w:rPr>
          <w:color w:val="221F1F"/>
          <w:spacing w:val="-4"/>
        </w:rPr>
        <w:t xml:space="preserve"> </w:t>
      </w:r>
      <w:r>
        <w:rPr>
          <w:color w:val="221F1F"/>
        </w:rPr>
        <w:t>less</w:t>
      </w:r>
      <w:r>
        <w:rPr>
          <w:color w:val="221F1F"/>
          <w:spacing w:val="-4"/>
        </w:rPr>
        <w:t xml:space="preserve"> </w:t>
      </w:r>
      <w:r>
        <w:rPr>
          <w:color w:val="221F1F"/>
        </w:rPr>
        <w:t>than</w:t>
      </w:r>
      <w:r>
        <w:rPr>
          <w:color w:val="221F1F"/>
          <w:spacing w:val="-4"/>
        </w:rPr>
        <w:t xml:space="preserve"> </w:t>
      </w:r>
      <w:r>
        <w:rPr>
          <w:color w:val="221F1F"/>
        </w:rPr>
        <w:t>the full reinstatement cost</w:t>
      </w:r>
      <w:r>
        <w:rPr>
          <w:color w:val="221F1F"/>
          <w:spacing w:val="-2"/>
        </w:rPr>
        <w:t xml:space="preserve"> </w:t>
      </w:r>
      <w:r>
        <w:rPr>
          <w:color w:val="221F1F"/>
        </w:rPr>
        <w:t>including</w:t>
      </w:r>
      <w:r>
        <w:rPr>
          <w:color w:val="221F1F"/>
          <w:spacing w:val="-2"/>
        </w:rPr>
        <w:t xml:space="preserve"> </w:t>
      </w:r>
      <w:r>
        <w:rPr>
          <w:color w:val="221F1F"/>
        </w:rPr>
        <w:t>the</w:t>
      </w:r>
      <w:r>
        <w:rPr>
          <w:color w:val="221F1F"/>
          <w:spacing w:val="-3"/>
        </w:rPr>
        <w:t xml:space="preserve"> </w:t>
      </w:r>
      <w:r>
        <w:rPr>
          <w:color w:val="221F1F"/>
        </w:rPr>
        <w:t>costs of demolition, removal of debris and</w:t>
      </w:r>
      <w:r>
        <w:rPr>
          <w:color w:val="221F1F"/>
          <w:spacing w:val="-1"/>
        </w:rPr>
        <w:t xml:space="preserve"> </w:t>
      </w:r>
      <w:r>
        <w:rPr>
          <w:color w:val="221F1F"/>
        </w:rPr>
        <w:t>professional fees</w:t>
      </w:r>
      <w:r>
        <w:rPr>
          <w:color w:val="221F1F"/>
          <w:spacing w:val="-2"/>
        </w:rPr>
        <w:t xml:space="preserve"> </w:t>
      </w:r>
      <w:r>
        <w:rPr>
          <w:color w:val="221F1F"/>
        </w:rPr>
        <w:t>and profit. This</w:t>
      </w:r>
      <w:r>
        <w:rPr>
          <w:color w:val="221F1F"/>
          <w:spacing w:val="-8"/>
        </w:rPr>
        <w:t xml:space="preserve"> </w:t>
      </w:r>
      <w:r>
        <w:rPr>
          <w:color w:val="221F1F"/>
        </w:rPr>
        <w:t>insurance</w:t>
      </w:r>
      <w:r>
        <w:rPr>
          <w:color w:val="221F1F"/>
          <w:spacing w:val="-8"/>
        </w:rPr>
        <w:t xml:space="preserve"> </w:t>
      </w:r>
      <w:r>
        <w:rPr>
          <w:color w:val="221F1F"/>
        </w:rPr>
        <w:t>shall</w:t>
      </w:r>
      <w:r>
        <w:rPr>
          <w:color w:val="221F1F"/>
          <w:spacing w:val="-7"/>
        </w:rPr>
        <w:t xml:space="preserve"> </w:t>
      </w:r>
      <w:r>
        <w:rPr>
          <w:color w:val="221F1F"/>
        </w:rPr>
        <w:t>be</w:t>
      </w:r>
      <w:r>
        <w:rPr>
          <w:color w:val="221F1F"/>
          <w:spacing w:val="-10"/>
        </w:rPr>
        <w:t xml:space="preserve"> </w:t>
      </w:r>
      <w:r>
        <w:rPr>
          <w:color w:val="221F1F"/>
        </w:rPr>
        <w:t>effective</w:t>
      </w:r>
      <w:r>
        <w:rPr>
          <w:color w:val="221F1F"/>
          <w:spacing w:val="-7"/>
        </w:rPr>
        <w:t xml:space="preserve"> </w:t>
      </w:r>
      <w:r>
        <w:rPr>
          <w:color w:val="221F1F"/>
        </w:rPr>
        <w:t>from</w:t>
      </w:r>
      <w:r>
        <w:rPr>
          <w:color w:val="221F1F"/>
          <w:spacing w:val="-10"/>
        </w:rPr>
        <w:t xml:space="preserve"> </w:t>
      </w:r>
      <w:r>
        <w:rPr>
          <w:color w:val="221F1F"/>
        </w:rPr>
        <w:t>the</w:t>
      </w:r>
      <w:r>
        <w:rPr>
          <w:color w:val="221F1F"/>
          <w:spacing w:val="-8"/>
        </w:rPr>
        <w:t xml:space="preserve"> </w:t>
      </w:r>
      <w:r>
        <w:rPr>
          <w:color w:val="221F1F"/>
        </w:rPr>
        <w:t>date</w:t>
      </w:r>
      <w:r>
        <w:rPr>
          <w:color w:val="221F1F"/>
          <w:spacing w:val="-8"/>
        </w:rPr>
        <w:t xml:space="preserve"> </w:t>
      </w:r>
      <w:r>
        <w:rPr>
          <w:color w:val="221F1F"/>
        </w:rPr>
        <w:t>by</w:t>
      </w:r>
      <w:r>
        <w:rPr>
          <w:color w:val="221F1F"/>
          <w:spacing w:val="-8"/>
        </w:rPr>
        <w:t xml:space="preserve"> </w:t>
      </w:r>
      <w:r>
        <w:rPr>
          <w:color w:val="221F1F"/>
        </w:rPr>
        <w:t>which</w:t>
      </w:r>
      <w:r>
        <w:rPr>
          <w:color w:val="221F1F"/>
          <w:spacing w:val="-8"/>
        </w:rPr>
        <w:t xml:space="preserve"> </w:t>
      </w:r>
      <w:r>
        <w:rPr>
          <w:color w:val="221F1F"/>
        </w:rPr>
        <w:t>the</w:t>
      </w:r>
      <w:r>
        <w:rPr>
          <w:color w:val="221F1F"/>
          <w:spacing w:val="-8"/>
        </w:rPr>
        <w:t xml:space="preserve"> </w:t>
      </w:r>
      <w:r>
        <w:rPr>
          <w:color w:val="221F1F"/>
        </w:rPr>
        <w:t>evidence</w:t>
      </w:r>
      <w:r>
        <w:rPr>
          <w:color w:val="221F1F"/>
          <w:spacing w:val="-8"/>
        </w:rPr>
        <w:t xml:space="preserve"> </w:t>
      </w:r>
      <w:r>
        <w:rPr>
          <w:color w:val="221F1F"/>
        </w:rPr>
        <w:t>is</w:t>
      </w:r>
      <w:r>
        <w:rPr>
          <w:color w:val="221F1F"/>
          <w:spacing w:val="-8"/>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submitted</w:t>
      </w:r>
      <w:r>
        <w:rPr>
          <w:color w:val="221F1F"/>
          <w:spacing w:val="-7"/>
        </w:rPr>
        <w:t xml:space="preserve"> </w:t>
      </w:r>
      <w:r>
        <w:rPr>
          <w:color w:val="221F1F"/>
        </w:rPr>
        <w:t>under</w:t>
      </w:r>
      <w:r>
        <w:rPr>
          <w:color w:val="221F1F"/>
          <w:spacing w:val="-7"/>
        </w:rPr>
        <w:t xml:space="preserve"> </w:t>
      </w:r>
      <w:r>
        <w:rPr>
          <w:color w:val="221F1F"/>
        </w:rPr>
        <w:t>sub-paragraph</w:t>
      </w:r>
    </w:p>
    <w:p w:rsidR="007F6DF9" w:rsidRDefault="00A43FBC">
      <w:pPr>
        <w:pStyle w:val="BodyText"/>
        <w:spacing w:before="2" w:line="230" w:lineRule="auto"/>
        <w:ind w:left="1443" w:right="565"/>
        <w:jc w:val="both"/>
      </w:pPr>
      <w:r>
        <w:rPr>
          <w:color w:val="221F1F"/>
        </w:rPr>
        <w:t>(a) of Sub-Clause 18.1 [General Requirements for Insurances], until the date of issue of the Taking-Over Certificate for the Works.</w:t>
      </w:r>
    </w:p>
    <w:p w:rsidR="007F6DF9" w:rsidRDefault="00A43FBC">
      <w:pPr>
        <w:pStyle w:val="ListParagraph"/>
        <w:numPr>
          <w:ilvl w:val="2"/>
          <w:numId w:val="122"/>
        </w:numPr>
        <w:tabs>
          <w:tab w:val="left" w:pos="1428"/>
          <w:tab w:val="left" w:pos="1441"/>
        </w:tabs>
        <w:spacing w:before="246" w:line="230" w:lineRule="auto"/>
        <w:ind w:left="1441" w:right="565" w:hanging="731"/>
        <w:jc w:val="both"/>
        <w:rPr>
          <w:color w:val="221F1F"/>
        </w:rPr>
      </w:pPr>
      <w:r>
        <w:rPr>
          <w:color w:val="221F1F"/>
        </w:rPr>
        <w:t>The insuring Party shall maintain this insurance to provide cover until the date of issue of the Performance Certificate, for loss or damage for which the Contractor is liable arising from a cause occurring prior to the issue of the Taking-Over Certificate, and for loss or damage caused by the Contractor in the course of any other operations (including those under Clause 11 [Defects Liability]).</w:t>
      </w:r>
    </w:p>
    <w:p w:rsidR="007F6DF9" w:rsidRDefault="00A43FBC">
      <w:pPr>
        <w:pStyle w:val="ListParagraph"/>
        <w:numPr>
          <w:ilvl w:val="2"/>
          <w:numId w:val="122"/>
        </w:numPr>
        <w:tabs>
          <w:tab w:val="left" w:pos="1428"/>
          <w:tab w:val="left" w:pos="1441"/>
        </w:tabs>
        <w:spacing w:before="245" w:line="230" w:lineRule="auto"/>
        <w:ind w:left="1441" w:right="567" w:hanging="733"/>
        <w:jc w:val="both"/>
        <w:rPr>
          <w:color w:val="221F1F"/>
        </w:rPr>
      </w:pPr>
      <w:r>
        <w:rPr>
          <w:color w:val="221F1F"/>
        </w:rPr>
        <w:t>The insuring Party shall insure the Contractor's Equipment for not less than the full replacement value, including</w:t>
      </w:r>
      <w:r>
        <w:rPr>
          <w:color w:val="221F1F"/>
          <w:spacing w:val="-2"/>
        </w:rPr>
        <w:t xml:space="preserve"> </w:t>
      </w:r>
      <w:r>
        <w:rPr>
          <w:color w:val="221F1F"/>
        </w:rPr>
        <w:t>delivery</w:t>
      </w:r>
      <w:r>
        <w:rPr>
          <w:color w:val="221F1F"/>
          <w:spacing w:val="-4"/>
        </w:rPr>
        <w:t xml:space="preserve"> </w:t>
      </w:r>
      <w:r>
        <w:rPr>
          <w:color w:val="221F1F"/>
        </w:rPr>
        <w:t>to</w:t>
      </w:r>
      <w:r>
        <w:rPr>
          <w:color w:val="221F1F"/>
          <w:spacing w:val="-2"/>
        </w:rPr>
        <w:t xml:space="preserve"> </w:t>
      </w:r>
      <w:r>
        <w:rPr>
          <w:color w:val="221F1F"/>
        </w:rPr>
        <w:t>Site.</w:t>
      </w:r>
      <w:r>
        <w:rPr>
          <w:color w:val="221F1F"/>
          <w:spacing w:val="-6"/>
        </w:rPr>
        <w:t xml:space="preserve"> </w:t>
      </w:r>
      <w:r>
        <w:rPr>
          <w:color w:val="221F1F"/>
        </w:rPr>
        <w:t>For</w:t>
      </w:r>
      <w:r>
        <w:rPr>
          <w:color w:val="221F1F"/>
          <w:spacing w:val="-2"/>
        </w:rPr>
        <w:t xml:space="preserve"> </w:t>
      </w:r>
      <w:r>
        <w:rPr>
          <w:color w:val="221F1F"/>
        </w:rPr>
        <w:t>each</w:t>
      </w:r>
      <w:r>
        <w:rPr>
          <w:color w:val="221F1F"/>
          <w:spacing w:val="-4"/>
        </w:rPr>
        <w:t xml:space="preserve"> </w:t>
      </w:r>
      <w:r>
        <w:rPr>
          <w:color w:val="221F1F"/>
        </w:rPr>
        <w:t>item</w:t>
      </w:r>
      <w:r>
        <w:rPr>
          <w:color w:val="221F1F"/>
          <w:spacing w:val="-3"/>
        </w:rPr>
        <w:t xml:space="preserve"> </w:t>
      </w:r>
      <w:r>
        <w:rPr>
          <w:color w:val="221F1F"/>
        </w:rPr>
        <w:t>of</w:t>
      </w:r>
      <w:r>
        <w:rPr>
          <w:color w:val="221F1F"/>
          <w:spacing w:val="-4"/>
        </w:rPr>
        <w:t xml:space="preserve"> </w:t>
      </w:r>
      <w:r>
        <w:rPr>
          <w:color w:val="221F1F"/>
        </w:rPr>
        <w:t>Contractor's</w:t>
      </w:r>
      <w:r>
        <w:rPr>
          <w:color w:val="221F1F"/>
          <w:spacing w:val="-1"/>
        </w:rPr>
        <w:t xml:space="preserve"> </w:t>
      </w:r>
      <w:r>
        <w:rPr>
          <w:color w:val="221F1F"/>
        </w:rPr>
        <w:t>Equipment,</w:t>
      </w:r>
      <w:r>
        <w:rPr>
          <w:color w:val="221F1F"/>
          <w:spacing w:val="-4"/>
        </w:rPr>
        <w:t xml:space="preserve"> </w:t>
      </w:r>
      <w:r>
        <w:rPr>
          <w:color w:val="221F1F"/>
        </w:rPr>
        <w:t>the</w:t>
      </w:r>
      <w:r>
        <w:rPr>
          <w:color w:val="221F1F"/>
          <w:spacing w:val="-4"/>
        </w:rPr>
        <w:t xml:space="preserve"> </w:t>
      </w:r>
      <w:r>
        <w:rPr>
          <w:color w:val="221F1F"/>
        </w:rPr>
        <w:t>insurance</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effective</w:t>
      </w:r>
      <w:r>
        <w:rPr>
          <w:color w:val="221F1F"/>
          <w:spacing w:val="-1"/>
        </w:rPr>
        <w:t xml:space="preserve"> </w:t>
      </w:r>
      <w:r>
        <w:rPr>
          <w:color w:val="221F1F"/>
        </w:rPr>
        <w:t>while</w:t>
      </w:r>
      <w:r>
        <w:rPr>
          <w:color w:val="221F1F"/>
          <w:spacing w:val="-4"/>
        </w:rPr>
        <w:t xml:space="preserve"> </w:t>
      </w:r>
      <w:r>
        <w:rPr>
          <w:color w:val="221F1F"/>
        </w:rPr>
        <w:t>it is being transported to the Site and until it is no longer required as Contractor's Equipment.</w:t>
      </w:r>
    </w:p>
    <w:p w:rsidR="007F6DF9" w:rsidRDefault="00A43FBC">
      <w:pPr>
        <w:pStyle w:val="ListParagraph"/>
        <w:numPr>
          <w:ilvl w:val="2"/>
          <w:numId w:val="122"/>
        </w:numPr>
        <w:tabs>
          <w:tab w:val="left" w:pos="1428"/>
        </w:tabs>
        <w:spacing w:before="228" w:line="252" w:lineRule="exact"/>
        <w:ind w:left="1428" w:hanging="720"/>
        <w:rPr>
          <w:color w:val="221F1F"/>
        </w:rPr>
      </w:pPr>
      <w:r>
        <w:rPr>
          <w:color w:val="221F1F"/>
        </w:rPr>
        <w:t>Unless</w:t>
      </w:r>
      <w:r>
        <w:rPr>
          <w:color w:val="221F1F"/>
          <w:spacing w:val="-6"/>
        </w:rPr>
        <w:t xml:space="preserve"> </w:t>
      </w:r>
      <w:r>
        <w:rPr>
          <w:color w:val="221F1F"/>
        </w:rPr>
        <w:t>otherwise</w:t>
      </w:r>
      <w:r>
        <w:rPr>
          <w:color w:val="221F1F"/>
          <w:spacing w:val="-5"/>
        </w:rPr>
        <w:t xml:space="preserve"> </w:t>
      </w:r>
      <w:r>
        <w:rPr>
          <w:color w:val="221F1F"/>
        </w:rPr>
        <w:t>stated</w:t>
      </w:r>
      <w:r>
        <w:rPr>
          <w:color w:val="221F1F"/>
          <w:spacing w:val="-5"/>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Special</w:t>
      </w:r>
      <w:r>
        <w:rPr>
          <w:color w:val="221F1F"/>
          <w:spacing w:val="-3"/>
        </w:rPr>
        <w:t xml:space="preserve"> </w:t>
      </w:r>
      <w:r>
        <w:rPr>
          <w:color w:val="221F1F"/>
        </w:rPr>
        <w:t>Conditions,</w:t>
      </w:r>
      <w:r>
        <w:rPr>
          <w:color w:val="221F1F"/>
          <w:spacing w:val="-5"/>
        </w:rPr>
        <w:t xml:space="preserve"> </w:t>
      </w:r>
      <w:r>
        <w:rPr>
          <w:color w:val="221F1F"/>
        </w:rPr>
        <w:t>insurances</w:t>
      </w:r>
      <w:r>
        <w:rPr>
          <w:color w:val="221F1F"/>
          <w:spacing w:val="-2"/>
        </w:rPr>
        <w:t xml:space="preserve"> </w:t>
      </w:r>
      <w:r>
        <w:rPr>
          <w:color w:val="221F1F"/>
        </w:rPr>
        <w:t>under</w:t>
      </w:r>
      <w:r>
        <w:rPr>
          <w:color w:val="221F1F"/>
          <w:spacing w:val="-5"/>
        </w:rPr>
        <w:t xml:space="preserve"> </w:t>
      </w:r>
      <w:r>
        <w:rPr>
          <w:color w:val="221F1F"/>
        </w:rPr>
        <w:t>this</w:t>
      </w:r>
      <w:r>
        <w:rPr>
          <w:color w:val="221F1F"/>
          <w:spacing w:val="-2"/>
        </w:rPr>
        <w:t xml:space="preserve"> </w:t>
      </w:r>
      <w:r>
        <w:rPr>
          <w:color w:val="221F1F"/>
        </w:rPr>
        <w:t>Sub-</w:t>
      </w:r>
      <w:r>
        <w:rPr>
          <w:color w:val="221F1F"/>
          <w:spacing w:val="-2"/>
        </w:rPr>
        <w:t>Clause:</w:t>
      </w:r>
    </w:p>
    <w:p w:rsidR="007F6DF9" w:rsidRDefault="00A43FBC">
      <w:pPr>
        <w:pStyle w:val="ListParagraph"/>
        <w:numPr>
          <w:ilvl w:val="0"/>
          <w:numId w:val="83"/>
        </w:numPr>
        <w:tabs>
          <w:tab w:val="left" w:pos="1872"/>
        </w:tabs>
        <w:spacing w:line="252" w:lineRule="exact"/>
        <w:ind w:left="1872" w:hanging="443"/>
        <w:jc w:val="both"/>
      </w:pPr>
      <w:proofErr w:type="spellStart"/>
      <w:r>
        <w:rPr>
          <w:color w:val="221F1F"/>
        </w:rPr>
        <w:t>Shal</w:t>
      </w:r>
      <w:proofErr w:type="spellEnd"/>
      <w:r>
        <w:rPr>
          <w:color w:val="221F1F"/>
          <w:spacing w:val="-6"/>
        </w:rPr>
        <w:t xml:space="preserve"> </w:t>
      </w:r>
      <w:proofErr w:type="spellStart"/>
      <w:r>
        <w:rPr>
          <w:color w:val="221F1F"/>
        </w:rPr>
        <w:t>lbe</w:t>
      </w:r>
      <w:proofErr w:type="spellEnd"/>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2"/>
        </w:rPr>
        <w:t xml:space="preserve"> Party,</w:t>
      </w:r>
    </w:p>
    <w:p w:rsidR="007F6DF9" w:rsidRDefault="00A43FBC">
      <w:pPr>
        <w:pStyle w:val="ListParagraph"/>
        <w:numPr>
          <w:ilvl w:val="0"/>
          <w:numId w:val="83"/>
        </w:numPr>
        <w:tabs>
          <w:tab w:val="left" w:pos="1871"/>
          <w:tab w:val="left" w:pos="1875"/>
        </w:tabs>
        <w:spacing w:before="135" w:line="230" w:lineRule="auto"/>
        <w:ind w:left="1875" w:right="568" w:hanging="449"/>
        <w:jc w:val="both"/>
      </w:pPr>
      <w:r>
        <w:rPr>
          <w:color w:val="221F1F"/>
        </w:rPr>
        <w:t>shall be in the joint names of the Parties, who shall be jointly entitled to receive payments from the insurers, payments being held or allocated to the Party actually bearing the costs of rectifying the loss or damage,</w:t>
      </w:r>
    </w:p>
    <w:p w:rsidR="007F6DF9" w:rsidRDefault="00A43FBC">
      <w:pPr>
        <w:pStyle w:val="ListParagraph"/>
        <w:numPr>
          <w:ilvl w:val="0"/>
          <w:numId w:val="83"/>
        </w:numPr>
        <w:tabs>
          <w:tab w:val="left" w:pos="1869"/>
        </w:tabs>
        <w:spacing w:before="40"/>
        <w:ind w:left="1869" w:hanging="443"/>
        <w:jc w:val="both"/>
      </w:pPr>
      <w:r>
        <w:rPr>
          <w:color w:val="221F1F"/>
        </w:rPr>
        <w:t>shall</w:t>
      </w:r>
      <w:r>
        <w:rPr>
          <w:color w:val="221F1F"/>
          <w:spacing w:val="-4"/>
        </w:rPr>
        <w:t xml:space="preserve"> </w:t>
      </w:r>
      <w:r>
        <w:rPr>
          <w:color w:val="221F1F"/>
        </w:rPr>
        <w:t>cover</w:t>
      </w:r>
      <w:r>
        <w:rPr>
          <w:color w:val="221F1F"/>
          <w:spacing w:val="-4"/>
        </w:rPr>
        <w:t xml:space="preserve"> </w:t>
      </w:r>
      <w:r>
        <w:rPr>
          <w:color w:val="221F1F"/>
        </w:rPr>
        <w:t>all</w:t>
      </w:r>
      <w:r>
        <w:rPr>
          <w:color w:val="221F1F"/>
          <w:spacing w:val="-2"/>
        </w:rPr>
        <w:t xml:space="preserve"> </w:t>
      </w:r>
      <w:r>
        <w:rPr>
          <w:color w:val="221F1F"/>
        </w:rPr>
        <w:t>loss</w:t>
      </w:r>
      <w:r>
        <w:rPr>
          <w:color w:val="221F1F"/>
          <w:spacing w:val="-5"/>
        </w:rPr>
        <w:t xml:space="preserve"> </w:t>
      </w:r>
      <w:r>
        <w:rPr>
          <w:color w:val="221F1F"/>
        </w:rPr>
        <w:t>and</w:t>
      </w:r>
      <w:r>
        <w:rPr>
          <w:color w:val="221F1F"/>
          <w:spacing w:val="-2"/>
        </w:rPr>
        <w:t xml:space="preserve"> </w:t>
      </w:r>
      <w:r>
        <w:rPr>
          <w:color w:val="221F1F"/>
        </w:rPr>
        <w:t>damage</w:t>
      </w:r>
      <w:r>
        <w:rPr>
          <w:color w:val="221F1F"/>
          <w:spacing w:val="-2"/>
        </w:rPr>
        <w:t xml:space="preserve"> </w:t>
      </w:r>
      <w:r>
        <w:rPr>
          <w:color w:val="221F1F"/>
        </w:rPr>
        <w:t>from</w:t>
      </w:r>
      <w:r>
        <w:rPr>
          <w:color w:val="221F1F"/>
          <w:spacing w:val="-2"/>
        </w:rPr>
        <w:t xml:space="preserve"> </w:t>
      </w:r>
      <w:r>
        <w:rPr>
          <w:color w:val="221F1F"/>
        </w:rPr>
        <w:t>any</w:t>
      </w:r>
      <w:r>
        <w:rPr>
          <w:color w:val="221F1F"/>
          <w:spacing w:val="-5"/>
        </w:rPr>
        <w:t xml:space="preserve"> </w:t>
      </w:r>
      <w:r>
        <w:rPr>
          <w:color w:val="221F1F"/>
        </w:rPr>
        <w:t>cause</w:t>
      </w:r>
      <w:r>
        <w:rPr>
          <w:color w:val="221F1F"/>
          <w:spacing w:val="-2"/>
        </w:rPr>
        <w:t xml:space="preserve"> </w:t>
      </w:r>
      <w:r>
        <w:rPr>
          <w:color w:val="221F1F"/>
        </w:rPr>
        <w:t>not</w:t>
      </w:r>
      <w:r>
        <w:rPr>
          <w:color w:val="221F1F"/>
          <w:spacing w:val="-2"/>
        </w:rPr>
        <w:t xml:space="preserve"> </w:t>
      </w:r>
      <w:r>
        <w:rPr>
          <w:color w:val="221F1F"/>
        </w:rPr>
        <w:t>listed</w:t>
      </w:r>
      <w:r>
        <w:rPr>
          <w:color w:val="221F1F"/>
          <w:spacing w:val="-3"/>
        </w:rPr>
        <w:t xml:space="preserve"> </w:t>
      </w:r>
      <w:r>
        <w:rPr>
          <w:color w:val="221F1F"/>
        </w:rPr>
        <w:t>in</w:t>
      </w:r>
      <w:r>
        <w:rPr>
          <w:color w:val="221F1F"/>
          <w:spacing w:val="-3"/>
        </w:rPr>
        <w:t xml:space="preserve"> </w:t>
      </w:r>
      <w:r>
        <w:rPr>
          <w:color w:val="221F1F"/>
        </w:rPr>
        <w:t>Sub-Clause</w:t>
      </w:r>
      <w:r>
        <w:rPr>
          <w:color w:val="221F1F"/>
          <w:spacing w:val="-3"/>
        </w:rPr>
        <w:t xml:space="preserve"> </w:t>
      </w:r>
      <w:r>
        <w:rPr>
          <w:color w:val="221F1F"/>
        </w:rPr>
        <w:t>17.3</w:t>
      </w:r>
      <w:r>
        <w:rPr>
          <w:color w:val="221F1F"/>
          <w:spacing w:val="-5"/>
        </w:rPr>
        <w:t xml:space="preserve"> </w:t>
      </w:r>
      <w:r>
        <w:rPr>
          <w:color w:val="221F1F"/>
        </w:rPr>
        <w:t>[Procuring</w:t>
      </w:r>
      <w:r>
        <w:rPr>
          <w:color w:val="221F1F"/>
          <w:spacing w:val="-3"/>
        </w:rPr>
        <w:t xml:space="preserve"> </w:t>
      </w:r>
      <w:r>
        <w:rPr>
          <w:color w:val="221F1F"/>
        </w:rPr>
        <w:t>Entity's</w:t>
      </w:r>
      <w:r>
        <w:rPr>
          <w:color w:val="221F1F"/>
          <w:spacing w:val="-2"/>
        </w:rPr>
        <w:t xml:space="preserve"> Risks],</w:t>
      </w:r>
    </w:p>
    <w:p w:rsidR="007F6DF9" w:rsidRDefault="00A43FBC">
      <w:pPr>
        <w:pStyle w:val="ListParagraph"/>
        <w:numPr>
          <w:ilvl w:val="0"/>
          <w:numId w:val="83"/>
        </w:numPr>
        <w:tabs>
          <w:tab w:val="left" w:pos="1871"/>
          <w:tab w:val="left" w:pos="1875"/>
        </w:tabs>
        <w:spacing w:before="48" w:line="230" w:lineRule="auto"/>
        <w:ind w:left="1875" w:right="567" w:hanging="449"/>
        <w:jc w:val="both"/>
      </w:pPr>
      <w:r>
        <w:rPr>
          <w:color w:val="221F1F"/>
        </w:rPr>
        <w:t>shall also cover, to the extent specifically required in the tendering documents of the Contract, loss or damage</w:t>
      </w:r>
      <w:r>
        <w:rPr>
          <w:color w:val="221F1F"/>
          <w:spacing w:val="-1"/>
        </w:rPr>
        <w:t xml:space="preserve"> </w:t>
      </w:r>
      <w:r>
        <w:rPr>
          <w:color w:val="221F1F"/>
        </w:rPr>
        <w:t>to a</w:t>
      </w:r>
      <w:r>
        <w:rPr>
          <w:color w:val="221F1F"/>
          <w:spacing w:val="-1"/>
        </w:rPr>
        <w:t xml:space="preserve"> </w:t>
      </w:r>
      <w:r>
        <w:rPr>
          <w:color w:val="221F1F"/>
        </w:rPr>
        <w:t>part of</w:t>
      </w:r>
      <w:r>
        <w:rPr>
          <w:color w:val="221F1F"/>
          <w:spacing w:val="-1"/>
        </w:rPr>
        <w:t xml:space="preserve"> </w:t>
      </w:r>
      <w:r>
        <w:rPr>
          <w:color w:val="221F1F"/>
        </w:rPr>
        <w:t>the Works</w:t>
      </w:r>
      <w:r>
        <w:rPr>
          <w:color w:val="221F1F"/>
          <w:spacing w:val="-8"/>
        </w:rPr>
        <w:t xml:space="preserve"> </w:t>
      </w:r>
      <w:r>
        <w:rPr>
          <w:color w:val="221F1F"/>
        </w:rPr>
        <w:t>which</w:t>
      </w:r>
      <w:r>
        <w:rPr>
          <w:color w:val="221F1F"/>
          <w:spacing w:val="-1"/>
        </w:rPr>
        <w:t xml:space="preserve"> </w:t>
      </w:r>
      <w:r>
        <w:rPr>
          <w:color w:val="221F1F"/>
        </w:rPr>
        <w:t>is</w:t>
      </w:r>
      <w:r>
        <w:rPr>
          <w:color w:val="221F1F"/>
          <w:spacing w:val="-1"/>
        </w:rPr>
        <w:t xml:space="preserve"> </w:t>
      </w:r>
      <w:r>
        <w:rPr>
          <w:color w:val="221F1F"/>
        </w:rPr>
        <w:t>attributable</w:t>
      </w:r>
      <w:r>
        <w:rPr>
          <w:color w:val="221F1F"/>
          <w:spacing w:val="-1"/>
        </w:rPr>
        <w:t xml:space="preserve"> </w:t>
      </w:r>
      <w:r>
        <w:rPr>
          <w:color w:val="221F1F"/>
        </w:rPr>
        <w:t>to</w:t>
      </w:r>
      <w:r>
        <w:rPr>
          <w:color w:val="221F1F"/>
          <w:spacing w:val="-1"/>
        </w:rPr>
        <w:t xml:space="preserve"> </w:t>
      </w:r>
      <w:r>
        <w:rPr>
          <w:color w:val="221F1F"/>
        </w:rPr>
        <w:t>the use or</w:t>
      </w:r>
      <w:r>
        <w:rPr>
          <w:color w:val="221F1F"/>
          <w:spacing w:val="-1"/>
        </w:rPr>
        <w:t xml:space="preserve"> </w:t>
      </w:r>
      <w:r>
        <w:rPr>
          <w:color w:val="221F1F"/>
        </w:rPr>
        <w:t>occupation</w:t>
      </w:r>
      <w:r>
        <w:rPr>
          <w:color w:val="221F1F"/>
          <w:spacing w:val="-2"/>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Procuring Entity of another</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6"/>
        </w:rPr>
        <w:t xml:space="preserve"> </w:t>
      </w:r>
      <w:r>
        <w:rPr>
          <w:color w:val="221F1F"/>
        </w:rPr>
        <w:t>and loss</w:t>
      </w:r>
      <w:r>
        <w:rPr>
          <w:color w:val="221F1F"/>
          <w:spacing w:val="-1"/>
        </w:rPr>
        <w:t xml:space="preserve"> </w:t>
      </w:r>
      <w:r>
        <w:rPr>
          <w:color w:val="221F1F"/>
        </w:rPr>
        <w:t>or</w:t>
      </w:r>
      <w:r>
        <w:rPr>
          <w:color w:val="221F1F"/>
          <w:spacing w:val="-2"/>
        </w:rPr>
        <w:t xml:space="preserve"> </w:t>
      </w:r>
      <w:r>
        <w:rPr>
          <w:color w:val="221F1F"/>
        </w:rPr>
        <w:t>damage from</w:t>
      </w:r>
      <w:r>
        <w:rPr>
          <w:color w:val="221F1F"/>
          <w:spacing w:val="-1"/>
        </w:rPr>
        <w:t xml:space="preserve"> </w:t>
      </w:r>
      <w:r>
        <w:rPr>
          <w:color w:val="221F1F"/>
        </w:rPr>
        <w:t>the</w:t>
      </w:r>
      <w:r>
        <w:rPr>
          <w:color w:val="221F1F"/>
          <w:spacing w:val="-2"/>
        </w:rPr>
        <w:t xml:space="preserve"> </w:t>
      </w:r>
      <w:r>
        <w:rPr>
          <w:color w:val="221F1F"/>
        </w:rPr>
        <w:t>risks</w:t>
      </w:r>
      <w:r>
        <w:rPr>
          <w:color w:val="221F1F"/>
          <w:spacing w:val="-1"/>
        </w:rPr>
        <w:t xml:space="preserve"> </w:t>
      </w:r>
      <w:r>
        <w:rPr>
          <w:color w:val="221F1F"/>
        </w:rPr>
        <w:t>listed</w:t>
      </w:r>
      <w:r>
        <w:rPr>
          <w:color w:val="221F1F"/>
          <w:spacing w:val="-2"/>
        </w:rPr>
        <w:t xml:space="preserve"> </w:t>
      </w:r>
      <w:r>
        <w:rPr>
          <w:color w:val="221F1F"/>
        </w:rPr>
        <w:t>in</w:t>
      </w:r>
      <w:r>
        <w:rPr>
          <w:color w:val="221F1F"/>
          <w:spacing w:val="-3"/>
        </w:rPr>
        <w:t xml:space="preserve"> </w:t>
      </w:r>
      <w:r>
        <w:rPr>
          <w:color w:val="221F1F"/>
        </w:rPr>
        <w:t>sub-paragraphs (c),</w:t>
      </w:r>
      <w:r>
        <w:rPr>
          <w:color w:val="221F1F"/>
          <w:spacing w:val="-3"/>
        </w:rPr>
        <w:t xml:space="preserve"> </w:t>
      </w:r>
      <w:r>
        <w:rPr>
          <w:color w:val="221F1F"/>
        </w:rPr>
        <w:t>(g) and</w:t>
      </w:r>
      <w:r>
        <w:rPr>
          <w:color w:val="221F1F"/>
          <w:spacing w:val="-2"/>
        </w:rPr>
        <w:t xml:space="preserve"> </w:t>
      </w:r>
      <w:r>
        <w:rPr>
          <w:color w:val="221F1F"/>
        </w:rPr>
        <w:t>(h)of Sub-Clause 17.3 [Procuring Entity's Risks], excluding (in each case) risks which are not insurable at commercially</w:t>
      </w:r>
      <w:r>
        <w:rPr>
          <w:color w:val="221F1F"/>
          <w:spacing w:val="-2"/>
        </w:rPr>
        <w:t xml:space="preserve"> </w:t>
      </w:r>
      <w:r>
        <w:rPr>
          <w:color w:val="221F1F"/>
        </w:rPr>
        <w:t>reasonable</w:t>
      </w:r>
      <w:r>
        <w:rPr>
          <w:color w:val="221F1F"/>
          <w:spacing w:val="-2"/>
        </w:rPr>
        <w:t xml:space="preserve"> </w:t>
      </w:r>
      <w:r>
        <w:rPr>
          <w:color w:val="221F1F"/>
        </w:rPr>
        <w:t>terms,</w:t>
      </w:r>
      <w:r>
        <w:rPr>
          <w:color w:val="221F1F"/>
          <w:spacing w:val="-2"/>
        </w:rPr>
        <w:t xml:space="preserve"> </w:t>
      </w:r>
      <w:r>
        <w:rPr>
          <w:color w:val="221F1F"/>
        </w:rPr>
        <w:t>with</w:t>
      </w:r>
      <w:r>
        <w:rPr>
          <w:color w:val="221F1F"/>
          <w:spacing w:val="-2"/>
        </w:rPr>
        <w:t xml:space="preserve"> </w:t>
      </w:r>
      <w:r>
        <w:rPr>
          <w:color w:val="221F1F"/>
        </w:rPr>
        <w:t>deductibles</w:t>
      </w:r>
      <w:r>
        <w:rPr>
          <w:color w:val="221F1F"/>
          <w:spacing w:val="-2"/>
        </w:rPr>
        <w:t xml:space="preserve"> </w:t>
      </w:r>
      <w:r>
        <w:rPr>
          <w:color w:val="221F1F"/>
        </w:rPr>
        <w:t>per</w:t>
      </w:r>
      <w:r>
        <w:rPr>
          <w:color w:val="221F1F"/>
          <w:spacing w:val="-1"/>
        </w:rPr>
        <w:t xml:space="preserve"> </w:t>
      </w:r>
      <w:r>
        <w:rPr>
          <w:color w:val="221F1F"/>
        </w:rPr>
        <w:t>occurrence</w:t>
      </w:r>
      <w:r>
        <w:rPr>
          <w:color w:val="221F1F"/>
          <w:spacing w:val="-2"/>
        </w:rPr>
        <w:t xml:space="preserve"> </w:t>
      </w:r>
      <w:r>
        <w:rPr>
          <w:color w:val="221F1F"/>
        </w:rPr>
        <w:t>of</w:t>
      </w:r>
      <w:r>
        <w:rPr>
          <w:color w:val="221F1F"/>
          <w:spacing w:val="-2"/>
        </w:rPr>
        <w:t xml:space="preserve"> </w:t>
      </w:r>
      <w:r>
        <w:rPr>
          <w:color w:val="221F1F"/>
        </w:rPr>
        <w:t>not</w:t>
      </w:r>
      <w:r>
        <w:rPr>
          <w:color w:val="221F1F"/>
          <w:spacing w:val="-1"/>
        </w:rPr>
        <w:t xml:space="preserve"> </w:t>
      </w:r>
      <w:r>
        <w:rPr>
          <w:color w:val="221F1F"/>
        </w:rPr>
        <w:t>more</w:t>
      </w:r>
      <w:r>
        <w:rPr>
          <w:color w:val="221F1F"/>
          <w:spacing w:val="-2"/>
        </w:rPr>
        <w:t xml:space="preserve"> </w:t>
      </w:r>
      <w:r>
        <w:rPr>
          <w:color w:val="221F1F"/>
        </w:rPr>
        <w:t>than</w:t>
      </w:r>
      <w:r>
        <w:rPr>
          <w:color w:val="221F1F"/>
          <w:spacing w:val="-2"/>
        </w:rPr>
        <w:t xml:space="preserve"> </w:t>
      </w:r>
      <w:r>
        <w:rPr>
          <w:color w:val="221F1F"/>
        </w:rPr>
        <w:t>the</w:t>
      </w:r>
      <w:r>
        <w:rPr>
          <w:color w:val="221F1F"/>
          <w:spacing w:val="-2"/>
        </w:rPr>
        <w:t xml:space="preserve"> </w:t>
      </w:r>
      <w:r>
        <w:rPr>
          <w:color w:val="221F1F"/>
        </w:rPr>
        <w:t>amount</w:t>
      </w:r>
      <w:r>
        <w:rPr>
          <w:color w:val="221F1F"/>
          <w:spacing w:val="-1"/>
        </w:rPr>
        <w:t xml:space="preserve"> </w:t>
      </w:r>
      <w:r>
        <w:rPr>
          <w:color w:val="221F1F"/>
        </w:rPr>
        <w:t xml:space="preserve">stated </w:t>
      </w:r>
      <w:r>
        <w:rPr>
          <w:b/>
          <w:color w:val="221F1F"/>
        </w:rPr>
        <w:t xml:space="preserve">in the Special Conditions </w:t>
      </w:r>
      <w:r>
        <w:rPr>
          <w:color w:val="221F1F"/>
        </w:rPr>
        <w:t>of Contract (if an amount is not so stated,</w:t>
      </w:r>
      <w:proofErr w:type="spellStart"/>
      <w:r>
        <w:rPr>
          <w:color w:val="221F1F"/>
        </w:rPr>
        <w:t>t his</w:t>
      </w:r>
      <w:proofErr w:type="spellEnd"/>
      <w:r>
        <w:rPr>
          <w:color w:val="221F1F"/>
        </w:rPr>
        <w:t xml:space="preserve"> sub-paragraph (d) shall not apply), and</w:t>
      </w:r>
    </w:p>
    <w:p w:rsidR="007F6DF9" w:rsidRDefault="00A43FBC">
      <w:pPr>
        <w:pStyle w:val="ListParagraph"/>
        <w:numPr>
          <w:ilvl w:val="0"/>
          <w:numId w:val="83"/>
        </w:numPr>
        <w:tabs>
          <w:tab w:val="left" w:pos="1869"/>
        </w:tabs>
        <w:spacing w:line="244" w:lineRule="exact"/>
        <w:ind w:left="1869" w:hanging="443"/>
        <w:jc w:val="both"/>
      </w:pPr>
      <w:r>
        <w:rPr>
          <w:color w:val="221F1F"/>
        </w:rPr>
        <w:t>may</w:t>
      </w:r>
      <w:r>
        <w:rPr>
          <w:color w:val="221F1F"/>
          <w:spacing w:val="-4"/>
        </w:rPr>
        <w:t xml:space="preserve"> </w:t>
      </w:r>
      <w:r>
        <w:rPr>
          <w:color w:val="221F1F"/>
        </w:rPr>
        <w:t>however</w:t>
      </w:r>
      <w:r>
        <w:rPr>
          <w:color w:val="221F1F"/>
          <w:spacing w:val="-2"/>
        </w:rPr>
        <w:t xml:space="preserve"> </w:t>
      </w:r>
      <w:r>
        <w:rPr>
          <w:color w:val="221F1F"/>
        </w:rPr>
        <w:t>exclude</w:t>
      </w:r>
      <w:r>
        <w:rPr>
          <w:color w:val="221F1F"/>
          <w:spacing w:val="-3"/>
        </w:rPr>
        <w:t xml:space="preserve"> </w:t>
      </w:r>
      <w:r>
        <w:rPr>
          <w:color w:val="221F1F"/>
        </w:rPr>
        <w:t>loss</w:t>
      </w:r>
      <w:r>
        <w:rPr>
          <w:color w:val="221F1F"/>
          <w:spacing w:val="-5"/>
        </w:rPr>
        <w:t xml:space="preserve"> </w:t>
      </w:r>
      <w:r>
        <w:rPr>
          <w:color w:val="221F1F"/>
        </w:rPr>
        <w:t>of,</w:t>
      </w:r>
      <w:r>
        <w:rPr>
          <w:color w:val="221F1F"/>
          <w:spacing w:val="-3"/>
        </w:rPr>
        <w:t xml:space="preserve"> </w:t>
      </w:r>
      <w:r>
        <w:rPr>
          <w:color w:val="221F1F"/>
        </w:rPr>
        <w:t>damage</w:t>
      </w:r>
      <w:r>
        <w:rPr>
          <w:color w:val="221F1F"/>
          <w:spacing w:val="-4"/>
        </w:rPr>
        <w:t xml:space="preserve"> </w:t>
      </w:r>
      <w:r>
        <w:rPr>
          <w:color w:val="221F1F"/>
        </w:rPr>
        <w:t>to,</w:t>
      </w:r>
      <w:r>
        <w:rPr>
          <w:color w:val="221F1F"/>
          <w:spacing w:val="-3"/>
        </w:rPr>
        <w:t xml:space="preserve"> </w:t>
      </w:r>
      <w:r>
        <w:rPr>
          <w:color w:val="221F1F"/>
        </w:rPr>
        <w:t>and</w:t>
      </w:r>
      <w:r>
        <w:rPr>
          <w:color w:val="221F1F"/>
          <w:spacing w:val="-5"/>
        </w:rPr>
        <w:t xml:space="preserve"> </w:t>
      </w:r>
      <w:r>
        <w:rPr>
          <w:color w:val="221F1F"/>
        </w:rPr>
        <w:t>reinstatement</w:t>
      </w:r>
      <w:r>
        <w:rPr>
          <w:color w:val="221F1F"/>
          <w:spacing w:val="-2"/>
        </w:rPr>
        <w:t xml:space="preserve"> </w:t>
      </w:r>
      <w:r>
        <w:rPr>
          <w:color w:val="221F1F"/>
          <w:spacing w:val="-5"/>
        </w:rPr>
        <w:t>of:</w:t>
      </w:r>
    </w:p>
    <w:p w:rsidR="007F6DF9" w:rsidRDefault="00A43FBC">
      <w:pPr>
        <w:pStyle w:val="ListParagraph"/>
        <w:numPr>
          <w:ilvl w:val="1"/>
          <w:numId w:val="83"/>
        </w:numPr>
        <w:tabs>
          <w:tab w:val="left" w:pos="2368"/>
          <w:tab w:val="left" w:pos="2374"/>
        </w:tabs>
        <w:spacing w:before="51" w:line="230" w:lineRule="auto"/>
        <w:ind w:right="568" w:hanging="504"/>
        <w:jc w:val="both"/>
      </w:pPr>
      <w:r>
        <w:rPr>
          <w:color w:val="221F1F"/>
        </w:rPr>
        <w:t>a part of the Works which is in a defective condition due to a defect in its design, materials or workmanship</w:t>
      </w:r>
      <w:r>
        <w:rPr>
          <w:color w:val="221F1F"/>
          <w:spacing w:val="-3"/>
        </w:rPr>
        <w:t xml:space="preserve"> </w:t>
      </w:r>
      <w:r>
        <w:rPr>
          <w:color w:val="221F1F"/>
        </w:rPr>
        <w:t>(but</w:t>
      </w:r>
      <w:r>
        <w:rPr>
          <w:color w:val="221F1F"/>
          <w:spacing w:val="-1"/>
        </w:rPr>
        <w:t xml:space="preserve"> </w:t>
      </w:r>
      <w:r>
        <w:rPr>
          <w:color w:val="221F1F"/>
        </w:rPr>
        <w:t>cover</w:t>
      </w:r>
      <w:r>
        <w:rPr>
          <w:color w:val="221F1F"/>
          <w:spacing w:val="-1"/>
        </w:rPr>
        <w:t xml:space="preserve"> </w:t>
      </w:r>
      <w:r>
        <w:rPr>
          <w:color w:val="221F1F"/>
        </w:rPr>
        <w:t>shall</w:t>
      </w:r>
      <w:r>
        <w:rPr>
          <w:color w:val="221F1F"/>
          <w:spacing w:val="-3"/>
        </w:rPr>
        <w:t xml:space="preserve"> </w:t>
      </w:r>
      <w:r>
        <w:rPr>
          <w:color w:val="221F1F"/>
        </w:rPr>
        <w:t>include</w:t>
      </w:r>
      <w:r>
        <w:rPr>
          <w:color w:val="221F1F"/>
          <w:spacing w:val="-4"/>
        </w:rPr>
        <w:t xml:space="preserve"> </w:t>
      </w:r>
      <w:r>
        <w:rPr>
          <w:color w:val="221F1F"/>
        </w:rPr>
        <w:t>any</w:t>
      </w:r>
      <w:r>
        <w:rPr>
          <w:color w:val="221F1F"/>
          <w:spacing w:val="-4"/>
        </w:rPr>
        <w:t xml:space="preserve"> </w:t>
      </w:r>
      <w:r>
        <w:rPr>
          <w:color w:val="221F1F"/>
        </w:rPr>
        <w:t>other</w:t>
      </w:r>
      <w:r>
        <w:rPr>
          <w:color w:val="221F1F"/>
          <w:spacing w:val="-3"/>
        </w:rPr>
        <w:t xml:space="preserve"> </w:t>
      </w:r>
      <w:r>
        <w:rPr>
          <w:color w:val="221F1F"/>
        </w:rPr>
        <w:t>parts</w:t>
      </w:r>
      <w:r>
        <w:rPr>
          <w:color w:val="221F1F"/>
          <w:spacing w:val="-6"/>
        </w:rPr>
        <w:t xml:space="preserve"> </w:t>
      </w:r>
      <w:r>
        <w:rPr>
          <w:color w:val="221F1F"/>
        </w:rPr>
        <w:t>which</w:t>
      </w:r>
      <w:r>
        <w:rPr>
          <w:color w:val="221F1F"/>
          <w:spacing w:val="-4"/>
        </w:rPr>
        <w:t xml:space="preserve"> </w:t>
      </w:r>
      <w:r>
        <w:rPr>
          <w:color w:val="221F1F"/>
        </w:rPr>
        <w:t>are</w:t>
      </w:r>
      <w:r>
        <w:rPr>
          <w:color w:val="221F1F"/>
          <w:spacing w:val="-4"/>
        </w:rPr>
        <w:t xml:space="preserve"> </w:t>
      </w:r>
      <w:r>
        <w:rPr>
          <w:color w:val="221F1F"/>
        </w:rPr>
        <w:t>lost</w:t>
      </w:r>
      <w:r>
        <w:rPr>
          <w:color w:val="221F1F"/>
          <w:spacing w:val="-3"/>
        </w:rPr>
        <w:t xml:space="preserve"> </w:t>
      </w:r>
      <w:r>
        <w:rPr>
          <w:color w:val="221F1F"/>
        </w:rPr>
        <w:t>or</w:t>
      </w:r>
      <w:r>
        <w:rPr>
          <w:color w:val="221F1F"/>
          <w:spacing w:val="-1"/>
        </w:rPr>
        <w:t xml:space="preserve"> </w:t>
      </w:r>
      <w:r>
        <w:rPr>
          <w:color w:val="221F1F"/>
        </w:rPr>
        <w:t>damaged</w:t>
      </w:r>
      <w:r>
        <w:rPr>
          <w:color w:val="221F1F"/>
          <w:spacing w:val="-6"/>
        </w:rPr>
        <w:t xml:space="preserve"> </w:t>
      </w:r>
      <w:r>
        <w:rPr>
          <w:color w:val="221F1F"/>
        </w:rPr>
        <w:t>as</w:t>
      </w:r>
      <w:r>
        <w:rPr>
          <w:color w:val="221F1F"/>
          <w:spacing w:val="-2"/>
        </w:rPr>
        <w:t xml:space="preserve"> </w:t>
      </w:r>
      <w:r>
        <w:rPr>
          <w:color w:val="221F1F"/>
        </w:rPr>
        <w:t>a</w:t>
      </w:r>
      <w:r>
        <w:rPr>
          <w:color w:val="221F1F"/>
          <w:spacing w:val="-4"/>
        </w:rPr>
        <w:t xml:space="preserve"> </w:t>
      </w:r>
      <w:r>
        <w:rPr>
          <w:color w:val="221F1F"/>
        </w:rPr>
        <w:t>direct</w:t>
      </w:r>
      <w:r>
        <w:rPr>
          <w:color w:val="221F1F"/>
          <w:spacing w:val="-3"/>
        </w:rPr>
        <w:t xml:space="preserve"> </w:t>
      </w:r>
      <w:r>
        <w:rPr>
          <w:color w:val="221F1F"/>
        </w:rPr>
        <w:t>result of this defective condition and not as described in sub-paragraph (ii) below),</w:t>
      </w:r>
    </w:p>
    <w:p w:rsidR="007F6DF9" w:rsidRDefault="00A43FBC">
      <w:pPr>
        <w:pStyle w:val="ListParagraph"/>
        <w:numPr>
          <w:ilvl w:val="1"/>
          <w:numId w:val="83"/>
        </w:numPr>
        <w:tabs>
          <w:tab w:val="left" w:pos="2365"/>
          <w:tab w:val="left" w:pos="2374"/>
        </w:tabs>
        <w:spacing w:before="49" w:line="230" w:lineRule="auto"/>
        <w:ind w:right="632" w:hanging="504"/>
        <w:jc w:val="both"/>
      </w:pPr>
      <w:r>
        <w:rPr>
          <w:color w:val="221F1F"/>
        </w:rPr>
        <w:t xml:space="preserve">apart of the Works which is lost or damaged </w:t>
      </w:r>
      <w:proofErr w:type="spellStart"/>
      <w:r>
        <w:rPr>
          <w:color w:val="221F1F"/>
        </w:rPr>
        <w:t>inorder</w:t>
      </w:r>
      <w:proofErr w:type="spellEnd"/>
      <w:r>
        <w:rPr>
          <w:color w:val="221F1F"/>
        </w:rPr>
        <w:t xml:space="preserve"> to reinstate any other part of the Works if this</w:t>
      </w:r>
      <w:r>
        <w:rPr>
          <w:color w:val="221F1F"/>
          <w:spacing w:val="-1"/>
        </w:rPr>
        <w:t xml:space="preserve"> </w:t>
      </w:r>
      <w:r>
        <w:rPr>
          <w:color w:val="221F1F"/>
        </w:rPr>
        <w:t>other</w:t>
      </w:r>
      <w:r>
        <w:rPr>
          <w:color w:val="221F1F"/>
          <w:spacing w:val="-2"/>
        </w:rPr>
        <w:t xml:space="preserve"> </w:t>
      </w:r>
      <w:r>
        <w:rPr>
          <w:color w:val="221F1F"/>
        </w:rPr>
        <w:t>part is</w:t>
      </w:r>
      <w:r>
        <w:rPr>
          <w:color w:val="221F1F"/>
          <w:spacing w:val="-1"/>
        </w:rPr>
        <w:t xml:space="preserve"> </w:t>
      </w:r>
      <w:r>
        <w:rPr>
          <w:color w:val="221F1F"/>
        </w:rPr>
        <w:t>in</w:t>
      </w:r>
      <w:r>
        <w:rPr>
          <w:color w:val="221F1F"/>
          <w:spacing w:val="-1"/>
        </w:rPr>
        <w:t xml:space="preserve"> </w:t>
      </w:r>
      <w:r>
        <w:rPr>
          <w:color w:val="221F1F"/>
        </w:rPr>
        <w:t>a</w:t>
      </w:r>
      <w:r>
        <w:rPr>
          <w:color w:val="221F1F"/>
          <w:spacing w:val="-1"/>
        </w:rPr>
        <w:t xml:space="preserve"> </w:t>
      </w:r>
      <w:r>
        <w:rPr>
          <w:color w:val="221F1F"/>
        </w:rPr>
        <w:t>defective</w:t>
      </w:r>
      <w:r>
        <w:rPr>
          <w:color w:val="221F1F"/>
          <w:spacing w:val="-1"/>
        </w:rPr>
        <w:t xml:space="preserve"> </w:t>
      </w:r>
      <w:r>
        <w:rPr>
          <w:color w:val="221F1F"/>
        </w:rPr>
        <w:t>condition</w:t>
      </w:r>
      <w:r>
        <w:rPr>
          <w:color w:val="221F1F"/>
          <w:spacing w:val="-3"/>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a</w:t>
      </w:r>
      <w:r>
        <w:rPr>
          <w:color w:val="221F1F"/>
          <w:spacing w:val="-1"/>
        </w:rPr>
        <w:t xml:space="preserve"> </w:t>
      </w:r>
      <w:r>
        <w:rPr>
          <w:color w:val="221F1F"/>
        </w:rPr>
        <w:t>defect</w:t>
      </w:r>
      <w:r>
        <w:rPr>
          <w:color w:val="221F1F"/>
          <w:spacing w:val="-2"/>
        </w:rPr>
        <w:t xml:space="preserve"> </w:t>
      </w:r>
      <w:r>
        <w:rPr>
          <w:color w:val="221F1F"/>
        </w:rPr>
        <w:t>in</w:t>
      </w:r>
      <w:r>
        <w:rPr>
          <w:color w:val="221F1F"/>
          <w:spacing w:val="-1"/>
        </w:rPr>
        <w:t xml:space="preserve"> </w:t>
      </w:r>
      <w:r>
        <w:rPr>
          <w:color w:val="221F1F"/>
        </w:rPr>
        <w:t>its</w:t>
      </w:r>
      <w:r>
        <w:rPr>
          <w:color w:val="221F1F"/>
          <w:spacing w:val="-1"/>
        </w:rPr>
        <w:t xml:space="preserve"> </w:t>
      </w:r>
      <w:r>
        <w:rPr>
          <w:color w:val="221F1F"/>
        </w:rPr>
        <w:t>design,</w:t>
      </w:r>
      <w:r>
        <w:rPr>
          <w:color w:val="221F1F"/>
          <w:spacing w:val="-3"/>
        </w:rPr>
        <w:t xml:space="preserve"> </w:t>
      </w:r>
      <w:r>
        <w:rPr>
          <w:color w:val="221F1F"/>
        </w:rPr>
        <w:t>materials or</w:t>
      </w:r>
      <w:r>
        <w:rPr>
          <w:color w:val="221F1F"/>
          <w:spacing w:val="-3"/>
        </w:rPr>
        <w:t xml:space="preserve"> </w:t>
      </w:r>
      <w:r>
        <w:rPr>
          <w:color w:val="221F1F"/>
        </w:rPr>
        <w:t>workmanship,</w:t>
      </w:r>
    </w:p>
    <w:p w:rsidR="007F6DF9" w:rsidRDefault="00A43FBC">
      <w:pPr>
        <w:pStyle w:val="ListParagraph"/>
        <w:numPr>
          <w:ilvl w:val="1"/>
          <w:numId w:val="83"/>
        </w:numPr>
        <w:tabs>
          <w:tab w:val="left" w:pos="2367"/>
          <w:tab w:val="left" w:pos="2372"/>
        </w:tabs>
        <w:spacing w:before="50" w:line="230" w:lineRule="auto"/>
        <w:ind w:left="2372" w:right="806" w:hanging="502"/>
      </w:pPr>
      <w:r>
        <w:rPr>
          <w:color w:val="221F1F"/>
        </w:rPr>
        <w:t>apart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which</w:t>
      </w:r>
      <w:r>
        <w:rPr>
          <w:color w:val="221F1F"/>
          <w:spacing w:val="-6"/>
        </w:rPr>
        <w:t xml:space="preserve"> </w:t>
      </w:r>
      <w:r>
        <w:rPr>
          <w:color w:val="221F1F"/>
        </w:rPr>
        <w:t>has</w:t>
      </w:r>
      <w:r>
        <w:rPr>
          <w:color w:val="221F1F"/>
          <w:spacing w:val="-3"/>
        </w:rPr>
        <w:t xml:space="preserve"> </w:t>
      </w:r>
      <w:r>
        <w:rPr>
          <w:color w:val="221F1F"/>
        </w:rPr>
        <w:t>been</w:t>
      </w:r>
      <w:r>
        <w:rPr>
          <w:color w:val="221F1F"/>
          <w:spacing w:val="-4"/>
        </w:rPr>
        <w:t xml:space="preserve"> </w:t>
      </w:r>
      <w:r>
        <w:rPr>
          <w:color w:val="221F1F"/>
        </w:rPr>
        <w:t>taken</w:t>
      </w:r>
      <w:r>
        <w:rPr>
          <w:color w:val="221F1F"/>
          <w:spacing w:val="-4"/>
        </w:rPr>
        <w:t xml:space="preserve"> </w:t>
      </w:r>
      <w:r>
        <w:rPr>
          <w:color w:val="221F1F"/>
        </w:rPr>
        <w:t>over</w:t>
      </w:r>
      <w:r>
        <w:rPr>
          <w:color w:val="221F1F"/>
          <w:spacing w:val="-5"/>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Procuring</w:t>
      </w:r>
      <w:r>
        <w:rPr>
          <w:color w:val="221F1F"/>
          <w:spacing w:val="-6"/>
        </w:rPr>
        <w:t xml:space="preserve"> </w:t>
      </w:r>
      <w:r>
        <w:rPr>
          <w:color w:val="221F1F"/>
        </w:rPr>
        <w:t>Entity,</w:t>
      </w:r>
      <w:r>
        <w:rPr>
          <w:color w:val="221F1F"/>
          <w:spacing w:val="-10"/>
        </w:rPr>
        <w:t xml:space="preserve"> </w:t>
      </w:r>
      <w:r>
        <w:rPr>
          <w:color w:val="221F1F"/>
        </w:rPr>
        <w:t>except</w:t>
      </w:r>
      <w:r>
        <w:rPr>
          <w:color w:val="221F1F"/>
          <w:spacing w:val="-4"/>
        </w:rPr>
        <w:t xml:space="preserve"> </w:t>
      </w:r>
      <w:r>
        <w:rPr>
          <w:color w:val="221F1F"/>
        </w:rPr>
        <w:t>to</w:t>
      </w:r>
      <w:r>
        <w:rPr>
          <w:color w:val="221F1F"/>
          <w:spacing w:val="-6"/>
        </w:rPr>
        <w:t xml:space="preserve"> </w:t>
      </w:r>
      <w:r>
        <w:rPr>
          <w:color w:val="221F1F"/>
        </w:rPr>
        <w:t>the</w:t>
      </w:r>
      <w:r>
        <w:rPr>
          <w:color w:val="221F1F"/>
          <w:spacing w:val="-4"/>
        </w:rPr>
        <w:t xml:space="preserve"> </w:t>
      </w:r>
      <w:r>
        <w:rPr>
          <w:color w:val="221F1F"/>
        </w:rPr>
        <w:t>extent</w:t>
      </w:r>
      <w:r>
        <w:rPr>
          <w:color w:val="221F1F"/>
          <w:spacing w:val="-5"/>
        </w:rPr>
        <w:t xml:space="preserve"> </w:t>
      </w:r>
      <w:r>
        <w:rPr>
          <w:color w:val="221F1F"/>
        </w:rPr>
        <w:t>that the Contractor is liable for the loss or damage, and</w:t>
      </w:r>
    </w:p>
    <w:p w:rsidR="007F6DF9" w:rsidRDefault="00A43FBC">
      <w:pPr>
        <w:pStyle w:val="ListParagraph"/>
        <w:numPr>
          <w:ilvl w:val="1"/>
          <w:numId w:val="83"/>
        </w:numPr>
        <w:tabs>
          <w:tab w:val="left" w:pos="2367"/>
          <w:tab w:val="left" w:pos="2372"/>
        </w:tabs>
        <w:spacing w:before="49" w:line="230" w:lineRule="auto"/>
        <w:ind w:left="2372" w:right="614" w:hanging="502"/>
      </w:pPr>
      <w:r>
        <w:rPr>
          <w:color w:val="221F1F"/>
        </w:rPr>
        <w:t>Goods</w:t>
      </w:r>
      <w:r>
        <w:rPr>
          <w:color w:val="221F1F"/>
          <w:spacing w:val="-1"/>
        </w:rPr>
        <w:t xml:space="preserve"> </w:t>
      </w:r>
      <w:r>
        <w:rPr>
          <w:color w:val="221F1F"/>
        </w:rPr>
        <w:t>while</w:t>
      </w:r>
      <w:r>
        <w:rPr>
          <w:color w:val="221F1F"/>
          <w:spacing w:val="-3"/>
        </w:rPr>
        <w:t xml:space="preserve"> </w:t>
      </w:r>
      <w:r>
        <w:rPr>
          <w:color w:val="221F1F"/>
        </w:rPr>
        <w:t>they</w:t>
      </w:r>
      <w:r>
        <w:rPr>
          <w:color w:val="221F1F"/>
          <w:spacing w:val="-3"/>
        </w:rPr>
        <w:t xml:space="preserve"> </w:t>
      </w:r>
      <w:r>
        <w:rPr>
          <w:color w:val="221F1F"/>
        </w:rPr>
        <w:t>are</w:t>
      </w:r>
      <w:r>
        <w:rPr>
          <w:color w:val="221F1F"/>
          <w:spacing w:val="-3"/>
        </w:rPr>
        <w:t xml:space="preserve"> </w:t>
      </w:r>
      <w:r>
        <w:rPr>
          <w:color w:val="221F1F"/>
        </w:rPr>
        <w:t>not</w:t>
      </w:r>
      <w:r>
        <w:rPr>
          <w:color w:val="221F1F"/>
          <w:spacing w:val="-3"/>
        </w:rPr>
        <w:t xml:space="preserve"> </w:t>
      </w:r>
      <w:r>
        <w:rPr>
          <w:color w:val="221F1F"/>
        </w:rPr>
        <w:t>in</w:t>
      </w:r>
      <w:r>
        <w:rPr>
          <w:color w:val="221F1F"/>
          <w:spacing w:val="-4"/>
        </w:rPr>
        <w:t xml:space="preserve"> </w:t>
      </w:r>
      <w:r>
        <w:rPr>
          <w:color w:val="221F1F"/>
        </w:rPr>
        <w:t>Kenya,</w:t>
      </w:r>
      <w:r>
        <w:rPr>
          <w:color w:val="221F1F"/>
          <w:spacing w:val="-1"/>
        </w:rPr>
        <w:t xml:space="preserve"> </w:t>
      </w:r>
      <w:r>
        <w:rPr>
          <w:color w:val="221F1F"/>
        </w:rPr>
        <w:t>subject</w:t>
      </w:r>
      <w:r>
        <w:rPr>
          <w:color w:val="221F1F"/>
          <w:spacing w:val="-2"/>
        </w:rPr>
        <w:t xml:space="preserve"> </w:t>
      </w:r>
      <w:r>
        <w:rPr>
          <w:color w:val="221F1F"/>
        </w:rPr>
        <w:t>to</w:t>
      </w:r>
      <w:r>
        <w:rPr>
          <w:color w:val="221F1F"/>
          <w:spacing w:val="-1"/>
        </w:rPr>
        <w:t xml:space="preserve"> </w:t>
      </w:r>
      <w:r>
        <w:rPr>
          <w:color w:val="221F1F"/>
        </w:rPr>
        <w:t>Sub-Clause 14.5</w:t>
      </w:r>
      <w:r>
        <w:rPr>
          <w:color w:val="221F1F"/>
          <w:spacing w:val="-4"/>
        </w:rPr>
        <w:t xml:space="preserve"> </w:t>
      </w:r>
      <w:r>
        <w:rPr>
          <w:color w:val="221F1F"/>
        </w:rPr>
        <w:t>[Plant and</w:t>
      </w:r>
      <w:r>
        <w:rPr>
          <w:color w:val="221F1F"/>
          <w:spacing w:val="-3"/>
        </w:rPr>
        <w:t xml:space="preserve"> </w:t>
      </w:r>
      <w:r>
        <w:rPr>
          <w:color w:val="221F1F"/>
        </w:rPr>
        <w:t>Materials intended</w:t>
      </w:r>
      <w:r>
        <w:rPr>
          <w:color w:val="221F1F"/>
          <w:spacing w:val="-3"/>
        </w:rPr>
        <w:t xml:space="preserve"> </w:t>
      </w:r>
      <w:r>
        <w:rPr>
          <w:color w:val="221F1F"/>
        </w:rPr>
        <w:t>for the Works].</w:t>
      </w:r>
    </w:p>
    <w:p w:rsidR="007F6DF9" w:rsidRDefault="00A43FBC">
      <w:pPr>
        <w:pStyle w:val="ListParagraph"/>
        <w:numPr>
          <w:ilvl w:val="2"/>
          <w:numId w:val="122"/>
        </w:numPr>
        <w:tabs>
          <w:tab w:val="left" w:pos="1421"/>
          <w:tab w:val="left" w:pos="1424"/>
        </w:tabs>
        <w:spacing w:before="244" w:line="230" w:lineRule="auto"/>
        <w:ind w:left="1424" w:right="567" w:hanging="721"/>
        <w:jc w:val="both"/>
        <w:rPr>
          <w:color w:val="221F1F"/>
        </w:rPr>
      </w:pPr>
      <w:r>
        <w:rPr>
          <w:color w:val="221F1F"/>
        </w:rPr>
        <w:t>If, more than one year after the Base Date, the cover described in sub-paragraph (d) above ceases to be available at commercially reasonable terms, the Contractor shall (as insuring Party) give notice to the Procuring Entity,</w:t>
      </w:r>
      <w:r>
        <w:rPr>
          <w:color w:val="221F1F"/>
          <w:spacing w:val="-3"/>
        </w:rPr>
        <w:t xml:space="preserve"> </w:t>
      </w:r>
      <w:r>
        <w:rPr>
          <w:color w:val="221F1F"/>
        </w:rPr>
        <w:t>with supporting particulars. The Procuring Entity shall then (</w:t>
      </w:r>
      <w:proofErr w:type="spellStart"/>
      <w:r>
        <w:rPr>
          <w:color w:val="221F1F"/>
        </w:rPr>
        <w:t>i</w:t>
      </w:r>
      <w:proofErr w:type="spellEnd"/>
      <w:r>
        <w:rPr>
          <w:color w:val="221F1F"/>
        </w:rPr>
        <w:t>) be entitled subject to Sub-Clause</w:t>
      </w:r>
      <w:r>
        <w:rPr>
          <w:color w:val="221F1F"/>
          <w:spacing w:val="-9"/>
        </w:rPr>
        <w:t xml:space="preserve"> </w:t>
      </w:r>
      <w:r>
        <w:rPr>
          <w:color w:val="221F1F"/>
        </w:rPr>
        <w:t>2.5</w:t>
      </w:r>
      <w:r>
        <w:rPr>
          <w:color w:val="221F1F"/>
          <w:spacing w:val="-9"/>
        </w:rPr>
        <w:t xml:space="preserve"> </w:t>
      </w:r>
      <w:r>
        <w:rPr>
          <w:color w:val="221F1F"/>
        </w:rPr>
        <w:t>[Procuring</w:t>
      </w:r>
      <w:r>
        <w:rPr>
          <w:color w:val="221F1F"/>
          <w:spacing w:val="-7"/>
        </w:rPr>
        <w:t xml:space="preserve"> </w:t>
      </w:r>
      <w:r>
        <w:rPr>
          <w:color w:val="221F1F"/>
        </w:rPr>
        <w:t>Entity's</w:t>
      </w:r>
      <w:r>
        <w:rPr>
          <w:color w:val="221F1F"/>
          <w:spacing w:val="-5"/>
        </w:rPr>
        <w:t xml:space="preserve"> </w:t>
      </w:r>
      <w:r>
        <w:rPr>
          <w:color w:val="221F1F"/>
        </w:rPr>
        <w:t>Claims]</w:t>
      </w:r>
      <w:r>
        <w:rPr>
          <w:color w:val="221F1F"/>
          <w:spacing w:val="-8"/>
        </w:rPr>
        <w:t xml:space="preserve"> </w:t>
      </w:r>
      <w:r>
        <w:rPr>
          <w:color w:val="221F1F"/>
        </w:rPr>
        <w:t>to</w:t>
      </w:r>
      <w:r>
        <w:rPr>
          <w:color w:val="221F1F"/>
          <w:spacing w:val="-9"/>
        </w:rPr>
        <w:t xml:space="preserve"> </w:t>
      </w:r>
      <w:r>
        <w:rPr>
          <w:color w:val="221F1F"/>
        </w:rPr>
        <w:t>payment</w:t>
      </w:r>
      <w:r>
        <w:rPr>
          <w:color w:val="221F1F"/>
          <w:spacing w:val="-6"/>
        </w:rPr>
        <w:t xml:space="preserve"> </w:t>
      </w:r>
      <w:r>
        <w:rPr>
          <w:color w:val="221F1F"/>
        </w:rPr>
        <w:t>of</w:t>
      </w:r>
      <w:r>
        <w:rPr>
          <w:color w:val="221F1F"/>
          <w:spacing w:val="-6"/>
        </w:rPr>
        <w:t xml:space="preserve"> </w:t>
      </w:r>
      <w:r>
        <w:rPr>
          <w:color w:val="221F1F"/>
        </w:rPr>
        <w:t>an</w:t>
      </w:r>
      <w:r>
        <w:rPr>
          <w:color w:val="221F1F"/>
          <w:spacing w:val="-7"/>
        </w:rPr>
        <w:t xml:space="preserve"> </w:t>
      </w:r>
      <w:r>
        <w:rPr>
          <w:color w:val="221F1F"/>
        </w:rPr>
        <w:t>amount</w:t>
      </w:r>
      <w:r>
        <w:rPr>
          <w:color w:val="221F1F"/>
          <w:spacing w:val="-6"/>
        </w:rPr>
        <w:t xml:space="preserve"> </w:t>
      </w:r>
      <w:r>
        <w:rPr>
          <w:color w:val="221F1F"/>
        </w:rPr>
        <w:t>equivalent</w:t>
      </w:r>
      <w:r>
        <w:rPr>
          <w:color w:val="221F1F"/>
          <w:spacing w:val="-8"/>
        </w:rPr>
        <w:t xml:space="preserve"> </w:t>
      </w:r>
      <w:r>
        <w:rPr>
          <w:color w:val="221F1F"/>
        </w:rPr>
        <w:t>to</w:t>
      </w:r>
      <w:r>
        <w:rPr>
          <w:color w:val="221F1F"/>
          <w:spacing w:val="-9"/>
        </w:rPr>
        <w:t xml:space="preserve"> </w:t>
      </w:r>
      <w:r>
        <w:rPr>
          <w:color w:val="221F1F"/>
        </w:rPr>
        <w:t>such</w:t>
      </w:r>
      <w:r>
        <w:rPr>
          <w:color w:val="221F1F"/>
          <w:spacing w:val="-6"/>
        </w:rPr>
        <w:t xml:space="preserve"> </w:t>
      </w:r>
      <w:r>
        <w:rPr>
          <w:color w:val="221F1F"/>
        </w:rPr>
        <w:t>commercially</w:t>
      </w:r>
      <w:r>
        <w:rPr>
          <w:color w:val="221F1F"/>
          <w:spacing w:val="-6"/>
        </w:rPr>
        <w:t xml:space="preserve"> </w:t>
      </w:r>
      <w:r>
        <w:rPr>
          <w:color w:val="221F1F"/>
        </w:rPr>
        <w:t xml:space="preserve">reasonable terms </w:t>
      </w:r>
      <w:proofErr w:type="spellStart"/>
      <w:r>
        <w:rPr>
          <w:color w:val="221F1F"/>
        </w:rPr>
        <w:t>asthe</w:t>
      </w:r>
      <w:proofErr w:type="spellEnd"/>
      <w:r>
        <w:rPr>
          <w:color w:val="221F1F"/>
        </w:rPr>
        <w:t xml:space="preserve"> Contractor should have expected to have paid for such cover, and (ii) be deemed, unless he obtains the cover at commercially reasonable terms, to have approved the omission under Sub-Clause 18.1 [General Requirements for Insurances].</w:t>
      </w:r>
    </w:p>
    <w:p w:rsidR="007F6DF9" w:rsidRDefault="00A43FBC">
      <w:pPr>
        <w:pStyle w:val="Heading9"/>
        <w:numPr>
          <w:ilvl w:val="1"/>
          <w:numId w:val="122"/>
        </w:numPr>
        <w:tabs>
          <w:tab w:val="left" w:pos="1424"/>
        </w:tabs>
        <w:spacing w:before="239"/>
        <w:ind w:left="1424" w:hanging="721"/>
        <w:rPr>
          <w:color w:val="221F1F"/>
        </w:rPr>
      </w:pPr>
      <w:r>
        <w:rPr>
          <w:color w:val="221F1F"/>
        </w:rPr>
        <w:t>Insurance</w:t>
      </w:r>
      <w:r>
        <w:rPr>
          <w:color w:val="221F1F"/>
          <w:spacing w:val="-5"/>
        </w:rPr>
        <w:t xml:space="preserve"> </w:t>
      </w:r>
      <w:r>
        <w:rPr>
          <w:color w:val="221F1F"/>
        </w:rPr>
        <w:t>against</w:t>
      </w:r>
      <w:r>
        <w:rPr>
          <w:color w:val="221F1F"/>
          <w:spacing w:val="-1"/>
        </w:rPr>
        <w:t xml:space="preserve"> </w:t>
      </w:r>
      <w:r>
        <w:rPr>
          <w:color w:val="221F1F"/>
        </w:rPr>
        <w:t>Injury</w:t>
      </w:r>
      <w:r>
        <w:rPr>
          <w:color w:val="221F1F"/>
          <w:spacing w:val="-5"/>
        </w:rPr>
        <w:t xml:space="preserve"> </w:t>
      </w:r>
      <w:r>
        <w:rPr>
          <w:color w:val="221F1F"/>
        </w:rPr>
        <w:t>to</w:t>
      </w:r>
      <w:r>
        <w:rPr>
          <w:color w:val="221F1F"/>
          <w:spacing w:val="-2"/>
        </w:rPr>
        <w:t xml:space="preserve"> </w:t>
      </w:r>
      <w:r>
        <w:rPr>
          <w:color w:val="221F1F"/>
        </w:rPr>
        <w:t>Persons</w:t>
      </w:r>
      <w:r>
        <w:rPr>
          <w:color w:val="221F1F"/>
          <w:spacing w:val="-2"/>
        </w:rPr>
        <w:t xml:space="preserve"> </w:t>
      </w:r>
      <w:r>
        <w:rPr>
          <w:color w:val="221F1F"/>
        </w:rPr>
        <w:t>and</w:t>
      </w:r>
      <w:r>
        <w:rPr>
          <w:color w:val="221F1F"/>
          <w:spacing w:val="-6"/>
        </w:rPr>
        <w:t xml:space="preserve"> </w:t>
      </w:r>
      <w:r>
        <w:rPr>
          <w:color w:val="221F1F"/>
        </w:rPr>
        <w:t>Damage</w:t>
      </w:r>
      <w:r>
        <w:rPr>
          <w:color w:val="221F1F"/>
          <w:spacing w:val="-2"/>
        </w:rPr>
        <w:t xml:space="preserve"> </w:t>
      </w:r>
      <w:r>
        <w:rPr>
          <w:color w:val="221F1F"/>
        </w:rPr>
        <w:t>to</w:t>
      </w:r>
      <w:r>
        <w:rPr>
          <w:color w:val="221F1F"/>
          <w:spacing w:val="-4"/>
        </w:rPr>
        <w:t xml:space="preserve"> </w:t>
      </w:r>
      <w:r>
        <w:rPr>
          <w:color w:val="221F1F"/>
          <w:spacing w:val="-2"/>
        </w:rPr>
        <w:t>Property</w:t>
      </w:r>
    </w:p>
    <w:p w:rsidR="007F6DF9" w:rsidRDefault="00A43FBC">
      <w:pPr>
        <w:pStyle w:val="ListParagraph"/>
        <w:numPr>
          <w:ilvl w:val="2"/>
          <w:numId w:val="122"/>
        </w:numPr>
        <w:tabs>
          <w:tab w:val="left" w:pos="1421"/>
          <w:tab w:val="left" w:pos="1424"/>
        </w:tabs>
        <w:spacing w:before="242" w:line="230" w:lineRule="auto"/>
        <w:ind w:left="1424" w:right="565" w:hanging="721"/>
        <w:jc w:val="both"/>
        <w:rPr>
          <w:color w:val="221F1F"/>
        </w:rPr>
      </w:pPr>
      <w:r>
        <w:rPr>
          <w:color w:val="221F1F"/>
        </w:rPr>
        <w:t>The insuring Party shall insure against each Party's liability for any loss, damage, death or bodily injury which</w:t>
      </w:r>
      <w:r>
        <w:rPr>
          <w:color w:val="221F1F"/>
          <w:spacing w:val="-14"/>
        </w:rPr>
        <w:t xml:space="preserve"> </w:t>
      </w:r>
      <w:r>
        <w:rPr>
          <w:color w:val="221F1F"/>
        </w:rPr>
        <w:t>may</w:t>
      </w:r>
      <w:r>
        <w:rPr>
          <w:color w:val="221F1F"/>
          <w:spacing w:val="-14"/>
        </w:rPr>
        <w:t xml:space="preserve"> </w:t>
      </w:r>
      <w:r>
        <w:rPr>
          <w:color w:val="221F1F"/>
        </w:rPr>
        <w:t>occur</w:t>
      </w:r>
      <w:r>
        <w:rPr>
          <w:color w:val="221F1F"/>
          <w:spacing w:val="-14"/>
        </w:rPr>
        <w:t xml:space="preserve"> </w:t>
      </w:r>
      <w:r>
        <w:rPr>
          <w:color w:val="221F1F"/>
        </w:rPr>
        <w:t>to</w:t>
      </w:r>
      <w:r>
        <w:rPr>
          <w:color w:val="221F1F"/>
          <w:spacing w:val="-13"/>
        </w:rPr>
        <w:t xml:space="preserve"> </w:t>
      </w:r>
      <w:r>
        <w:rPr>
          <w:color w:val="221F1F"/>
        </w:rPr>
        <w:t>any</w:t>
      </w:r>
      <w:r>
        <w:rPr>
          <w:color w:val="221F1F"/>
          <w:spacing w:val="-14"/>
        </w:rPr>
        <w:t xml:space="preserve"> </w:t>
      </w:r>
      <w:r>
        <w:rPr>
          <w:color w:val="221F1F"/>
        </w:rPr>
        <w:t>physical</w:t>
      </w:r>
      <w:r>
        <w:rPr>
          <w:color w:val="221F1F"/>
          <w:spacing w:val="-14"/>
        </w:rPr>
        <w:t xml:space="preserve"> </w:t>
      </w:r>
      <w:r>
        <w:rPr>
          <w:color w:val="221F1F"/>
        </w:rPr>
        <w:t>property</w:t>
      </w:r>
      <w:r>
        <w:rPr>
          <w:color w:val="221F1F"/>
          <w:spacing w:val="-14"/>
        </w:rPr>
        <w:t xml:space="preserve"> </w:t>
      </w:r>
      <w:r>
        <w:rPr>
          <w:color w:val="221F1F"/>
        </w:rPr>
        <w:t>(except</w:t>
      </w:r>
      <w:r>
        <w:rPr>
          <w:color w:val="221F1F"/>
          <w:spacing w:val="-13"/>
        </w:rPr>
        <w:t xml:space="preserve"> </w:t>
      </w:r>
      <w:r>
        <w:rPr>
          <w:color w:val="221F1F"/>
        </w:rPr>
        <w:t>things</w:t>
      </w:r>
      <w:r>
        <w:rPr>
          <w:color w:val="221F1F"/>
          <w:spacing w:val="-14"/>
        </w:rPr>
        <w:t xml:space="preserve"> </w:t>
      </w:r>
      <w:r>
        <w:rPr>
          <w:color w:val="221F1F"/>
        </w:rPr>
        <w:t>insured</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3"/>
        </w:rPr>
        <w:t xml:space="preserve"> </w:t>
      </w:r>
      <w:r>
        <w:rPr>
          <w:color w:val="221F1F"/>
        </w:rPr>
        <w:t>18.2</w:t>
      </w:r>
      <w:r>
        <w:rPr>
          <w:color w:val="221F1F"/>
          <w:spacing w:val="-14"/>
        </w:rPr>
        <w:t xml:space="preserve"> </w:t>
      </w:r>
      <w:r>
        <w:rPr>
          <w:color w:val="221F1F"/>
        </w:rPr>
        <w:t>[Insurance</w:t>
      </w:r>
      <w:r>
        <w:rPr>
          <w:color w:val="221F1F"/>
          <w:spacing w:val="-14"/>
        </w:rPr>
        <w:t xml:space="preserve"> </w:t>
      </w:r>
      <w:r>
        <w:rPr>
          <w:color w:val="221F1F"/>
        </w:rPr>
        <w:t>for</w:t>
      </w:r>
      <w:r>
        <w:rPr>
          <w:color w:val="221F1F"/>
          <w:spacing w:val="-14"/>
        </w:rPr>
        <w:t xml:space="preserve"> </w:t>
      </w:r>
      <w:r>
        <w:rPr>
          <w:color w:val="221F1F"/>
        </w:rPr>
        <w:t>Works and</w:t>
      </w:r>
      <w:r>
        <w:rPr>
          <w:color w:val="221F1F"/>
          <w:spacing w:val="-8"/>
        </w:rPr>
        <w:t xml:space="preserve"> </w:t>
      </w:r>
      <w:r>
        <w:rPr>
          <w:color w:val="221F1F"/>
        </w:rPr>
        <w:t>Contractor's</w:t>
      </w:r>
      <w:r>
        <w:rPr>
          <w:color w:val="221F1F"/>
          <w:spacing w:val="-8"/>
        </w:rPr>
        <w:t xml:space="preserve"> </w:t>
      </w:r>
      <w:r>
        <w:rPr>
          <w:color w:val="221F1F"/>
        </w:rPr>
        <w:t>Equipment])</w:t>
      </w:r>
      <w:r>
        <w:rPr>
          <w:color w:val="221F1F"/>
          <w:spacing w:val="-8"/>
        </w:rPr>
        <w:t xml:space="preserve"> </w:t>
      </w:r>
      <w:r>
        <w:rPr>
          <w:color w:val="221F1F"/>
        </w:rPr>
        <w:t>or</w:t>
      </w:r>
      <w:r>
        <w:rPr>
          <w:color w:val="221F1F"/>
          <w:spacing w:val="-10"/>
        </w:rPr>
        <w:t xml:space="preserve"> </w:t>
      </w:r>
      <w:r>
        <w:rPr>
          <w:color w:val="221F1F"/>
        </w:rPr>
        <w:t>to</w:t>
      </w:r>
      <w:r>
        <w:rPr>
          <w:color w:val="221F1F"/>
          <w:spacing w:val="-9"/>
        </w:rPr>
        <w:t xml:space="preserve"> </w:t>
      </w:r>
      <w:r>
        <w:rPr>
          <w:color w:val="221F1F"/>
        </w:rPr>
        <w:t>any</w:t>
      </w:r>
      <w:r>
        <w:rPr>
          <w:color w:val="221F1F"/>
          <w:spacing w:val="-8"/>
        </w:rPr>
        <w:t xml:space="preserve"> </w:t>
      </w:r>
      <w:r>
        <w:rPr>
          <w:color w:val="221F1F"/>
        </w:rPr>
        <w:t>person</w:t>
      </w:r>
      <w:r>
        <w:rPr>
          <w:color w:val="221F1F"/>
          <w:spacing w:val="-10"/>
        </w:rPr>
        <w:t xml:space="preserve"> </w:t>
      </w:r>
      <w:r>
        <w:rPr>
          <w:color w:val="221F1F"/>
        </w:rPr>
        <w:t>(except</w:t>
      </w:r>
      <w:r>
        <w:rPr>
          <w:color w:val="221F1F"/>
          <w:spacing w:val="-7"/>
        </w:rPr>
        <w:t xml:space="preserve"> </w:t>
      </w:r>
      <w:r>
        <w:rPr>
          <w:color w:val="221F1F"/>
        </w:rPr>
        <w:t>persons</w:t>
      </w:r>
      <w:r>
        <w:rPr>
          <w:color w:val="221F1F"/>
          <w:spacing w:val="-8"/>
        </w:rPr>
        <w:t xml:space="preserve"> </w:t>
      </w:r>
      <w:r>
        <w:rPr>
          <w:color w:val="221F1F"/>
        </w:rPr>
        <w:t>insured</w:t>
      </w:r>
      <w:r>
        <w:rPr>
          <w:color w:val="221F1F"/>
          <w:spacing w:val="-9"/>
        </w:rPr>
        <w:t xml:space="preserve"> </w:t>
      </w:r>
      <w:r>
        <w:rPr>
          <w:color w:val="221F1F"/>
        </w:rPr>
        <w:t>under</w:t>
      </w:r>
      <w:r>
        <w:rPr>
          <w:color w:val="221F1F"/>
          <w:spacing w:val="-8"/>
        </w:rPr>
        <w:t xml:space="preserve"> </w:t>
      </w:r>
      <w:r>
        <w:rPr>
          <w:color w:val="221F1F"/>
        </w:rPr>
        <w:t>Sub-Clause</w:t>
      </w:r>
      <w:r>
        <w:rPr>
          <w:color w:val="221F1F"/>
          <w:spacing w:val="-8"/>
        </w:rPr>
        <w:t xml:space="preserve"> </w:t>
      </w:r>
      <w:r>
        <w:rPr>
          <w:color w:val="221F1F"/>
        </w:rPr>
        <w:t>18.4</w:t>
      </w:r>
      <w:r>
        <w:rPr>
          <w:color w:val="221F1F"/>
          <w:spacing w:val="-9"/>
        </w:rPr>
        <w:t xml:space="preserve"> </w:t>
      </w:r>
      <w:r>
        <w:rPr>
          <w:color w:val="221F1F"/>
        </w:rPr>
        <w:t>[Insurance</w:t>
      </w:r>
      <w:r>
        <w:rPr>
          <w:color w:val="221F1F"/>
          <w:spacing w:val="-8"/>
        </w:rPr>
        <w:t xml:space="preserve"> </w:t>
      </w:r>
      <w:r>
        <w:rPr>
          <w:color w:val="221F1F"/>
        </w:rPr>
        <w:t>for Contractor's</w:t>
      </w:r>
      <w:r>
        <w:rPr>
          <w:color w:val="221F1F"/>
          <w:spacing w:val="-3"/>
        </w:rPr>
        <w:t xml:space="preserve"> </w:t>
      </w:r>
      <w:r>
        <w:rPr>
          <w:color w:val="221F1F"/>
        </w:rPr>
        <w:t>Personnel]),</w:t>
      </w:r>
      <w:r>
        <w:rPr>
          <w:color w:val="221F1F"/>
          <w:spacing w:val="-3"/>
        </w:rPr>
        <w:t xml:space="preserve"> </w:t>
      </w:r>
      <w:r>
        <w:rPr>
          <w:color w:val="221F1F"/>
        </w:rPr>
        <w:t>which</w:t>
      </w:r>
      <w:r>
        <w:rPr>
          <w:color w:val="221F1F"/>
          <w:spacing w:val="-7"/>
        </w:rPr>
        <w:t xml:space="preserve"> </w:t>
      </w:r>
      <w:r>
        <w:rPr>
          <w:color w:val="221F1F"/>
        </w:rPr>
        <w:t>may</w:t>
      </w:r>
      <w:r>
        <w:rPr>
          <w:color w:val="221F1F"/>
          <w:spacing w:val="-7"/>
        </w:rPr>
        <w:t xml:space="preserve"> </w:t>
      </w:r>
      <w:r>
        <w:rPr>
          <w:color w:val="221F1F"/>
        </w:rPr>
        <w:t>arise</w:t>
      </w:r>
      <w:r>
        <w:rPr>
          <w:color w:val="221F1F"/>
          <w:spacing w:val="-4"/>
        </w:rPr>
        <w:t xml:space="preserve"> </w:t>
      </w:r>
      <w:r>
        <w:rPr>
          <w:color w:val="221F1F"/>
        </w:rPr>
        <w:t>out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performance</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7"/>
        </w:rPr>
        <w:t xml:space="preserve"> </w:t>
      </w:r>
      <w:r>
        <w:rPr>
          <w:color w:val="221F1F"/>
        </w:rPr>
        <w:t>occurring before the issue of the Performance Certificate.</w:t>
      </w:r>
    </w:p>
    <w:p w:rsidR="007F6DF9" w:rsidRDefault="00A43FBC">
      <w:pPr>
        <w:pStyle w:val="ListParagraph"/>
        <w:numPr>
          <w:ilvl w:val="2"/>
          <w:numId w:val="122"/>
        </w:numPr>
        <w:tabs>
          <w:tab w:val="left" w:pos="1421"/>
          <w:tab w:val="left" w:pos="1424"/>
        </w:tabs>
        <w:spacing w:before="246" w:line="230" w:lineRule="auto"/>
        <w:ind w:left="1424" w:right="569" w:hanging="721"/>
        <w:jc w:val="both"/>
        <w:rPr>
          <w:color w:val="221F1F"/>
        </w:rPr>
      </w:pPr>
      <w:r>
        <w:rPr>
          <w:color w:val="221F1F"/>
        </w:rPr>
        <w:t>This</w:t>
      </w:r>
      <w:r>
        <w:rPr>
          <w:color w:val="221F1F"/>
          <w:spacing w:val="-13"/>
        </w:rPr>
        <w:t xml:space="preserve"> </w:t>
      </w:r>
      <w:r>
        <w:rPr>
          <w:color w:val="221F1F"/>
        </w:rPr>
        <w:t>insurance</w:t>
      </w:r>
      <w:r>
        <w:rPr>
          <w:color w:val="221F1F"/>
          <w:spacing w:val="-12"/>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for</w:t>
      </w:r>
      <w:r>
        <w:rPr>
          <w:color w:val="221F1F"/>
          <w:spacing w:val="-12"/>
        </w:rPr>
        <w:t xml:space="preserve"> </w:t>
      </w:r>
      <w:r>
        <w:rPr>
          <w:color w:val="221F1F"/>
        </w:rPr>
        <w:t>a</w:t>
      </w:r>
      <w:r>
        <w:rPr>
          <w:color w:val="221F1F"/>
          <w:spacing w:val="-14"/>
        </w:rPr>
        <w:t xml:space="preserve"> </w:t>
      </w:r>
      <w:r>
        <w:rPr>
          <w:color w:val="221F1F"/>
        </w:rPr>
        <w:t>limit</w:t>
      </w:r>
      <w:r>
        <w:rPr>
          <w:color w:val="221F1F"/>
          <w:spacing w:val="-12"/>
        </w:rPr>
        <w:t xml:space="preserve"> </w:t>
      </w:r>
      <w:r>
        <w:rPr>
          <w:color w:val="221F1F"/>
        </w:rPr>
        <w:t>per</w:t>
      </w:r>
      <w:r>
        <w:rPr>
          <w:color w:val="221F1F"/>
          <w:spacing w:val="-12"/>
        </w:rPr>
        <w:t xml:space="preserve"> </w:t>
      </w:r>
      <w:r>
        <w:rPr>
          <w:color w:val="221F1F"/>
        </w:rPr>
        <w:t>occurrence</w:t>
      </w:r>
      <w:r>
        <w:rPr>
          <w:color w:val="221F1F"/>
          <w:spacing w:val="-13"/>
        </w:rPr>
        <w:t xml:space="preserve"> </w:t>
      </w:r>
      <w:r>
        <w:rPr>
          <w:color w:val="221F1F"/>
        </w:rPr>
        <w:t>of</w:t>
      </w:r>
      <w:r>
        <w:rPr>
          <w:color w:val="221F1F"/>
          <w:spacing w:val="-12"/>
        </w:rPr>
        <w:t xml:space="preserve"> </w:t>
      </w:r>
      <w:r>
        <w:rPr>
          <w:color w:val="221F1F"/>
        </w:rPr>
        <w:t>not</w:t>
      </w:r>
      <w:r>
        <w:rPr>
          <w:color w:val="221F1F"/>
          <w:spacing w:val="-12"/>
        </w:rPr>
        <w:t xml:space="preserve"> </w:t>
      </w:r>
      <w:r>
        <w:rPr>
          <w:color w:val="221F1F"/>
        </w:rPr>
        <w:t>less</w:t>
      </w:r>
      <w:r>
        <w:rPr>
          <w:color w:val="221F1F"/>
          <w:spacing w:val="-13"/>
        </w:rPr>
        <w:t xml:space="preserve"> </w:t>
      </w:r>
      <w:r>
        <w:rPr>
          <w:color w:val="221F1F"/>
        </w:rPr>
        <w:t>than</w:t>
      </w:r>
      <w:r>
        <w:rPr>
          <w:color w:val="221F1F"/>
          <w:spacing w:val="-13"/>
        </w:rPr>
        <w:t xml:space="preserve"> </w:t>
      </w:r>
      <w:r>
        <w:rPr>
          <w:color w:val="221F1F"/>
        </w:rPr>
        <w:t>the</w:t>
      </w:r>
      <w:r>
        <w:rPr>
          <w:color w:val="221F1F"/>
          <w:spacing w:val="-13"/>
        </w:rPr>
        <w:t xml:space="preserve"> </w:t>
      </w:r>
      <w:r>
        <w:rPr>
          <w:color w:val="221F1F"/>
        </w:rPr>
        <w:t>amount</w:t>
      </w:r>
      <w:r>
        <w:rPr>
          <w:color w:val="221F1F"/>
          <w:spacing w:val="-12"/>
        </w:rPr>
        <w:t xml:space="preserve"> </w:t>
      </w:r>
      <w:r>
        <w:rPr>
          <w:color w:val="221F1F"/>
        </w:rPr>
        <w:t>stated</w:t>
      </w:r>
      <w:r>
        <w:rPr>
          <w:color w:val="221F1F"/>
          <w:spacing w:val="-13"/>
        </w:rPr>
        <w:t xml:space="preserve"> </w:t>
      </w:r>
      <w:r>
        <w:rPr>
          <w:color w:val="221F1F"/>
        </w:rPr>
        <w:t>in</w:t>
      </w:r>
      <w:r>
        <w:rPr>
          <w:color w:val="221F1F"/>
          <w:spacing w:val="-13"/>
        </w:rPr>
        <w:t xml:space="preserve"> </w:t>
      </w:r>
      <w:r>
        <w:rPr>
          <w:b/>
          <w:color w:val="221F1F"/>
        </w:rPr>
        <w:t>the</w:t>
      </w:r>
      <w:r>
        <w:rPr>
          <w:b/>
          <w:color w:val="221F1F"/>
          <w:spacing w:val="-13"/>
        </w:rPr>
        <w:t xml:space="preserve"> </w:t>
      </w:r>
      <w:r>
        <w:rPr>
          <w:b/>
          <w:color w:val="221F1F"/>
        </w:rPr>
        <w:t>Special</w:t>
      </w:r>
      <w:r>
        <w:rPr>
          <w:b/>
          <w:color w:val="221F1F"/>
          <w:spacing w:val="-12"/>
        </w:rPr>
        <w:t xml:space="preserve"> </w:t>
      </w:r>
      <w:r>
        <w:rPr>
          <w:b/>
          <w:color w:val="221F1F"/>
        </w:rPr>
        <w:t>Conditions of</w:t>
      </w:r>
      <w:r>
        <w:rPr>
          <w:b/>
          <w:color w:val="221F1F"/>
          <w:spacing w:val="-12"/>
        </w:rPr>
        <w:t xml:space="preserve"> </w:t>
      </w:r>
      <w:r>
        <w:rPr>
          <w:b/>
          <w:color w:val="221F1F"/>
        </w:rPr>
        <w:t>Contract</w:t>
      </w:r>
      <w:r>
        <w:rPr>
          <w:color w:val="221F1F"/>
        </w:rPr>
        <w:t>,</w:t>
      </w:r>
      <w:r>
        <w:rPr>
          <w:color w:val="221F1F"/>
          <w:spacing w:val="-13"/>
        </w:rPr>
        <w:t xml:space="preserve"> </w:t>
      </w:r>
      <w:r>
        <w:rPr>
          <w:color w:val="221F1F"/>
        </w:rPr>
        <w:t>with</w:t>
      </w:r>
      <w:r>
        <w:rPr>
          <w:color w:val="221F1F"/>
          <w:spacing w:val="-13"/>
        </w:rPr>
        <w:t xml:space="preserve"> </w:t>
      </w:r>
      <w:r>
        <w:rPr>
          <w:color w:val="221F1F"/>
        </w:rPr>
        <w:t>no</w:t>
      </w:r>
      <w:r>
        <w:rPr>
          <w:color w:val="221F1F"/>
          <w:spacing w:val="-13"/>
        </w:rPr>
        <w:t xml:space="preserve"> </w:t>
      </w:r>
      <w:r>
        <w:rPr>
          <w:color w:val="221F1F"/>
        </w:rPr>
        <w:t>limit</w:t>
      </w:r>
      <w:r>
        <w:rPr>
          <w:color w:val="221F1F"/>
          <w:spacing w:val="-11"/>
        </w:rPr>
        <w:t xml:space="preserve"> </w:t>
      </w:r>
      <w:r>
        <w:rPr>
          <w:color w:val="221F1F"/>
        </w:rPr>
        <w:t>on</w:t>
      </w:r>
      <w:r>
        <w:rPr>
          <w:color w:val="221F1F"/>
          <w:spacing w:val="-13"/>
        </w:rPr>
        <w:t xml:space="preserve"> </w:t>
      </w:r>
      <w:r>
        <w:rPr>
          <w:color w:val="221F1F"/>
        </w:rPr>
        <w:t>the</w:t>
      </w:r>
      <w:r>
        <w:rPr>
          <w:color w:val="221F1F"/>
          <w:spacing w:val="-13"/>
        </w:rPr>
        <w:t xml:space="preserve"> </w:t>
      </w:r>
      <w:r>
        <w:rPr>
          <w:color w:val="221F1F"/>
        </w:rPr>
        <w:t>number</w:t>
      </w:r>
      <w:r>
        <w:rPr>
          <w:color w:val="221F1F"/>
          <w:spacing w:val="-12"/>
        </w:rPr>
        <w:t xml:space="preserve"> </w:t>
      </w:r>
      <w:r>
        <w:rPr>
          <w:color w:val="221F1F"/>
        </w:rPr>
        <w:t>of</w:t>
      </w:r>
      <w:r>
        <w:rPr>
          <w:color w:val="221F1F"/>
          <w:spacing w:val="-12"/>
        </w:rPr>
        <w:t xml:space="preserve"> </w:t>
      </w:r>
      <w:r>
        <w:rPr>
          <w:color w:val="221F1F"/>
        </w:rPr>
        <w:t>occurrences.</w:t>
      </w:r>
      <w:r>
        <w:rPr>
          <w:color w:val="221F1F"/>
          <w:spacing w:val="-11"/>
        </w:rPr>
        <w:t xml:space="preserve"> </w:t>
      </w:r>
      <w:r>
        <w:rPr>
          <w:color w:val="221F1F"/>
        </w:rPr>
        <w:t>If</w:t>
      </w:r>
      <w:r>
        <w:rPr>
          <w:color w:val="221F1F"/>
          <w:spacing w:val="-12"/>
        </w:rPr>
        <w:t xml:space="preserve"> </w:t>
      </w:r>
      <w:r>
        <w:rPr>
          <w:color w:val="221F1F"/>
        </w:rPr>
        <w:t>an</w:t>
      </w:r>
      <w:r>
        <w:rPr>
          <w:color w:val="221F1F"/>
          <w:spacing w:val="-13"/>
        </w:rPr>
        <w:t xml:space="preserve"> </w:t>
      </w:r>
      <w:r>
        <w:rPr>
          <w:color w:val="221F1F"/>
        </w:rPr>
        <w:t>amount</w:t>
      </w:r>
      <w:r>
        <w:rPr>
          <w:color w:val="221F1F"/>
          <w:spacing w:val="-12"/>
        </w:rPr>
        <w:t xml:space="preserve"> </w:t>
      </w:r>
      <w:r>
        <w:rPr>
          <w:color w:val="221F1F"/>
        </w:rPr>
        <w:t>is</w:t>
      </w:r>
      <w:r>
        <w:rPr>
          <w:color w:val="221F1F"/>
          <w:spacing w:val="-13"/>
        </w:rPr>
        <w:t xml:space="preserve"> </w:t>
      </w:r>
      <w:r>
        <w:rPr>
          <w:color w:val="221F1F"/>
        </w:rPr>
        <w:t>not</w:t>
      </w:r>
      <w:r>
        <w:rPr>
          <w:color w:val="221F1F"/>
          <w:spacing w:val="-12"/>
        </w:rPr>
        <w:t xml:space="preserve"> </w:t>
      </w:r>
      <w:r>
        <w:rPr>
          <w:color w:val="221F1F"/>
        </w:rPr>
        <w:t>stated</w:t>
      </w:r>
      <w:r>
        <w:rPr>
          <w:color w:val="221F1F"/>
          <w:spacing w:val="-12"/>
        </w:rPr>
        <w:t xml:space="preserve"> </w:t>
      </w:r>
      <w:r>
        <w:rPr>
          <w:color w:val="221F1F"/>
        </w:rPr>
        <w:t>in</w:t>
      </w:r>
      <w:r>
        <w:rPr>
          <w:color w:val="221F1F"/>
          <w:spacing w:val="-13"/>
        </w:rPr>
        <w:t xml:space="preserve"> </w:t>
      </w:r>
      <w:r>
        <w:rPr>
          <w:color w:val="221F1F"/>
        </w:rPr>
        <w:t>the</w:t>
      </w:r>
      <w:r>
        <w:rPr>
          <w:color w:val="221F1F"/>
          <w:spacing w:val="-13"/>
        </w:rPr>
        <w:t xml:space="preserve"> </w:t>
      </w:r>
      <w:r>
        <w:rPr>
          <w:b/>
          <w:color w:val="221F1F"/>
        </w:rPr>
        <w:t>Special</w:t>
      </w:r>
      <w:r>
        <w:rPr>
          <w:b/>
          <w:color w:val="221F1F"/>
          <w:spacing w:val="-12"/>
        </w:rPr>
        <w:t xml:space="preserve"> </w:t>
      </w:r>
      <w:r>
        <w:rPr>
          <w:b/>
          <w:color w:val="221F1F"/>
        </w:rPr>
        <w:t>Conditions of Contract</w:t>
      </w:r>
      <w:r>
        <w:rPr>
          <w:color w:val="221F1F"/>
        </w:rPr>
        <w:t>, this Sub-Clause shall not apply.</w:t>
      </w:r>
    </w:p>
    <w:p w:rsidR="007F6DF9" w:rsidRDefault="00A43FBC">
      <w:pPr>
        <w:pStyle w:val="ListParagraph"/>
        <w:numPr>
          <w:ilvl w:val="2"/>
          <w:numId w:val="122"/>
        </w:numPr>
        <w:tabs>
          <w:tab w:val="left" w:pos="1424"/>
        </w:tabs>
        <w:spacing w:before="237"/>
        <w:ind w:left="1424" w:hanging="721"/>
        <w:rPr>
          <w:color w:val="221F1F"/>
        </w:rPr>
      </w:pPr>
      <w:r>
        <w:rPr>
          <w:color w:val="221F1F"/>
        </w:rPr>
        <w:t>Unless</w:t>
      </w:r>
      <w:r>
        <w:rPr>
          <w:color w:val="221F1F"/>
          <w:spacing w:val="-7"/>
        </w:rPr>
        <w:t xml:space="preserve"> </w:t>
      </w:r>
      <w:r>
        <w:rPr>
          <w:color w:val="221F1F"/>
        </w:rPr>
        <w:t>otherwise</w:t>
      </w:r>
      <w:r>
        <w:rPr>
          <w:color w:val="221F1F"/>
          <w:spacing w:val="-5"/>
        </w:rPr>
        <w:t xml:space="preserve"> </w:t>
      </w:r>
      <w:r>
        <w:rPr>
          <w:color w:val="221F1F"/>
        </w:rPr>
        <w:t>stated</w:t>
      </w:r>
      <w:r>
        <w:rPr>
          <w:color w:val="221F1F"/>
          <w:spacing w:val="-6"/>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Special</w:t>
      </w:r>
      <w:r>
        <w:rPr>
          <w:color w:val="221F1F"/>
          <w:spacing w:val="-4"/>
        </w:rPr>
        <w:t xml:space="preserve"> </w:t>
      </w:r>
      <w:r>
        <w:rPr>
          <w:color w:val="221F1F"/>
        </w:rPr>
        <w:t>Conditions,</w:t>
      </w:r>
      <w:r>
        <w:rPr>
          <w:color w:val="221F1F"/>
          <w:spacing w:val="-6"/>
        </w:rPr>
        <w:t xml:space="preserve"> </w:t>
      </w:r>
      <w:r>
        <w:rPr>
          <w:color w:val="221F1F"/>
        </w:rPr>
        <w:t>the</w:t>
      </w:r>
      <w:r>
        <w:rPr>
          <w:color w:val="221F1F"/>
          <w:spacing w:val="-3"/>
        </w:rPr>
        <w:t xml:space="preserve"> </w:t>
      </w:r>
      <w:r>
        <w:rPr>
          <w:color w:val="221F1F"/>
        </w:rPr>
        <w:t>insurances</w:t>
      </w:r>
      <w:r>
        <w:rPr>
          <w:color w:val="221F1F"/>
          <w:spacing w:val="-4"/>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this</w:t>
      </w:r>
      <w:r>
        <w:rPr>
          <w:color w:val="221F1F"/>
          <w:spacing w:val="-7"/>
        </w:rPr>
        <w:t xml:space="preserve"> </w:t>
      </w:r>
      <w:r>
        <w:rPr>
          <w:color w:val="221F1F"/>
        </w:rPr>
        <w:t>Sub-</w:t>
      </w:r>
      <w:r>
        <w:rPr>
          <w:color w:val="221F1F"/>
          <w:spacing w:val="-2"/>
        </w:rPr>
        <w:t>Clause:</w:t>
      </w:r>
    </w:p>
    <w:p w:rsidR="007F6DF9" w:rsidRDefault="00A43FBC">
      <w:pPr>
        <w:pStyle w:val="ListParagraph"/>
        <w:numPr>
          <w:ilvl w:val="0"/>
          <w:numId w:val="82"/>
        </w:numPr>
        <w:tabs>
          <w:tab w:val="left" w:pos="1869"/>
        </w:tabs>
        <w:spacing w:before="40"/>
        <w:ind w:left="1869" w:hanging="445"/>
        <w:jc w:val="both"/>
      </w:pPr>
      <w:r>
        <w:rPr>
          <w:color w:val="221F1F"/>
        </w:rPr>
        <w:t>Shall</w:t>
      </w:r>
      <w:r>
        <w:rPr>
          <w:color w:val="221F1F"/>
          <w:spacing w:val="-5"/>
        </w:rPr>
        <w:t xml:space="preserve"> </w:t>
      </w:r>
      <w:r>
        <w:rPr>
          <w:color w:val="221F1F"/>
        </w:rPr>
        <w:t>be</w:t>
      </w:r>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3"/>
        </w:rPr>
        <w:t xml:space="preserve"> </w:t>
      </w:r>
      <w:r>
        <w:rPr>
          <w:color w:val="221F1F"/>
          <w:spacing w:val="-2"/>
        </w:rPr>
        <w:t>Party,</w:t>
      </w:r>
    </w:p>
    <w:p w:rsidR="007F6DF9" w:rsidRDefault="007F6DF9">
      <w:pPr>
        <w:pStyle w:val="ListParagraph"/>
        <w:jc w:val="both"/>
        <w:sectPr w:rsidR="007F6DF9">
          <w:pgSz w:w="11920" w:h="16850"/>
          <w:pgMar w:top="360" w:right="283" w:bottom="580" w:left="141" w:header="0" w:footer="385" w:gutter="0"/>
          <w:cols w:space="720"/>
        </w:sectPr>
      </w:pPr>
    </w:p>
    <w:p w:rsidR="007F6DF9" w:rsidRDefault="00A43FBC">
      <w:pPr>
        <w:pStyle w:val="ListParagraph"/>
        <w:numPr>
          <w:ilvl w:val="0"/>
          <w:numId w:val="82"/>
        </w:numPr>
        <w:tabs>
          <w:tab w:val="left" w:pos="1870"/>
        </w:tabs>
        <w:spacing w:line="244" w:lineRule="exact"/>
        <w:ind w:hanging="446"/>
      </w:pPr>
      <w:r>
        <w:rPr>
          <w:noProof/>
        </w:rPr>
        <w:lastRenderedPageBreak/>
        <mc:AlternateContent>
          <mc:Choice Requires="wpg">
            <w:drawing>
              <wp:anchor distT="0" distB="0" distL="0" distR="0" simplePos="0" relativeHeight="479604736"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6" name="Graphic 430"/>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7" name="Graphic 431"/>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4959F93B" id="Group 22" o:spid="_x0000_s1026" style="position:absolute;margin-left:-.1pt;margin-top:806.2pt;width:595.45pt;height:24.5pt;z-index:-2371174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">
                <v:shape id="Graphic 430"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" path="m944880,l,,,307975r790575,l839470,300355r41910,-22225l915035,245110r22225,-42545l944880,153670,944880,xe" fillcolor="#00a650" stroked="f">
                  <v:path arrowok="t"/>
                </v:shape>
                <v:shape id="Graphic 431"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shall</w:t>
      </w:r>
      <w:r>
        <w:rPr>
          <w:color w:val="221F1F"/>
          <w:spacing w:val="-1"/>
        </w:rPr>
        <w:t xml:space="preserve"> </w:t>
      </w:r>
      <w:r>
        <w:rPr>
          <w:color w:val="221F1F"/>
        </w:rPr>
        <w:t>be</w:t>
      </w:r>
      <w:r>
        <w:rPr>
          <w:color w:val="221F1F"/>
          <w:spacing w:val="-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joint</w:t>
      </w:r>
      <w:r>
        <w:rPr>
          <w:color w:val="221F1F"/>
          <w:spacing w:val="-2"/>
        </w:rPr>
        <w:t xml:space="preserve"> </w:t>
      </w:r>
      <w:r>
        <w:rPr>
          <w:color w:val="221F1F"/>
        </w:rPr>
        <w:t>names</w:t>
      </w:r>
      <w:r>
        <w:rPr>
          <w:color w:val="221F1F"/>
          <w:spacing w:val="-3"/>
        </w:rPr>
        <w:t xml:space="preserve"> </w:t>
      </w:r>
      <w:r>
        <w:rPr>
          <w:color w:val="221F1F"/>
        </w:rPr>
        <w:t>of the</w:t>
      </w:r>
      <w:r>
        <w:rPr>
          <w:color w:val="221F1F"/>
          <w:spacing w:val="-1"/>
        </w:rPr>
        <w:t xml:space="preserve"> </w:t>
      </w:r>
      <w:r>
        <w:rPr>
          <w:color w:val="221F1F"/>
          <w:spacing w:val="-2"/>
        </w:rPr>
        <w:t>Parties,</w:t>
      </w:r>
    </w:p>
    <w:p w:rsidR="007F6DF9" w:rsidRDefault="00A43FBC">
      <w:pPr>
        <w:pStyle w:val="ListParagraph"/>
        <w:numPr>
          <w:ilvl w:val="0"/>
          <w:numId w:val="82"/>
        </w:numPr>
        <w:tabs>
          <w:tab w:val="left" w:pos="1868"/>
          <w:tab w:val="left" w:pos="1875"/>
        </w:tabs>
        <w:spacing w:before="48" w:line="230" w:lineRule="auto"/>
        <w:ind w:left="1875" w:right="584" w:hanging="452"/>
      </w:pPr>
      <w:r>
        <w:rPr>
          <w:color w:val="221F1F"/>
        </w:rPr>
        <w:t>shall be extended to cover liability for all loss and damage to the Procuring Entity's property (except things</w:t>
      </w:r>
      <w:r>
        <w:rPr>
          <w:color w:val="221F1F"/>
          <w:spacing w:val="-1"/>
        </w:rPr>
        <w:t xml:space="preserve"> </w:t>
      </w:r>
      <w:r>
        <w:rPr>
          <w:color w:val="221F1F"/>
        </w:rPr>
        <w:t>insured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2"/>
        </w:rPr>
        <w:t xml:space="preserve"> </w:t>
      </w:r>
      <w:r>
        <w:rPr>
          <w:color w:val="221F1F"/>
        </w:rPr>
        <w:t>18.2)</w:t>
      </w:r>
      <w:r>
        <w:rPr>
          <w:color w:val="221F1F"/>
          <w:spacing w:val="-1"/>
        </w:rPr>
        <w:t xml:space="preserve"> </w:t>
      </w:r>
      <w:r>
        <w:rPr>
          <w:color w:val="221F1F"/>
        </w:rPr>
        <w:t>arising</w:t>
      </w:r>
      <w:r>
        <w:rPr>
          <w:color w:val="221F1F"/>
          <w:spacing w:val="-4"/>
        </w:rPr>
        <w:t xml:space="preserve"> </w:t>
      </w:r>
      <w:r>
        <w:rPr>
          <w:color w:val="221F1F"/>
        </w:rPr>
        <w:t>out</w:t>
      </w:r>
      <w:r>
        <w:rPr>
          <w:color w:val="221F1F"/>
          <w:spacing w:val="-3"/>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Contractor's</w:t>
      </w:r>
      <w:r>
        <w:rPr>
          <w:color w:val="221F1F"/>
          <w:spacing w:val="-1"/>
        </w:rPr>
        <w:t xml:space="preserve"> </w:t>
      </w:r>
      <w:r>
        <w:rPr>
          <w:color w:val="221F1F"/>
        </w:rPr>
        <w:t>performance</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and</w:t>
      </w:r>
    </w:p>
    <w:p w:rsidR="007F6DF9" w:rsidRDefault="00A43FBC">
      <w:pPr>
        <w:pStyle w:val="ListParagraph"/>
        <w:numPr>
          <w:ilvl w:val="0"/>
          <w:numId w:val="82"/>
        </w:numPr>
        <w:tabs>
          <w:tab w:val="left" w:pos="1868"/>
        </w:tabs>
        <w:spacing w:before="41"/>
        <w:ind w:left="1868" w:hanging="444"/>
      </w:pPr>
      <w:r>
        <w:rPr>
          <w:color w:val="221F1F"/>
        </w:rPr>
        <w:t>may</w:t>
      </w:r>
      <w:r>
        <w:rPr>
          <w:color w:val="221F1F"/>
          <w:spacing w:val="-4"/>
        </w:rPr>
        <w:t xml:space="preserve"> </w:t>
      </w:r>
      <w:r>
        <w:rPr>
          <w:color w:val="221F1F"/>
        </w:rPr>
        <w:t>however</w:t>
      </w:r>
      <w:r>
        <w:rPr>
          <w:color w:val="221F1F"/>
          <w:spacing w:val="-2"/>
        </w:rPr>
        <w:t xml:space="preserve"> </w:t>
      </w:r>
      <w:r>
        <w:rPr>
          <w:color w:val="221F1F"/>
        </w:rPr>
        <w:t>exclude</w:t>
      </w:r>
      <w:r>
        <w:rPr>
          <w:color w:val="221F1F"/>
          <w:spacing w:val="-2"/>
        </w:rPr>
        <w:t xml:space="preserve"> </w:t>
      </w:r>
      <w:r>
        <w:rPr>
          <w:color w:val="221F1F"/>
        </w:rPr>
        <w:t>liability</w:t>
      </w:r>
      <w:r>
        <w:rPr>
          <w:color w:val="221F1F"/>
          <w:spacing w:val="-5"/>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extent</w:t>
      </w:r>
      <w:r>
        <w:rPr>
          <w:color w:val="221F1F"/>
          <w:spacing w:val="-4"/>
        </w:rPr>
        <w:t xml:space="preserve"> </w:t>
      </w:r>
      <w:r>
        <w:rPr>
          <w:color w:val="221F1F"/>
        </w:rPr>
        <w:t>that</w:t>
      </w:r>
      <w:r>
        <w:rPr>
          <w:color w:val="221F1F"/>
          <w:spacing w:val="-2"/>
        </w:rPr>
        <w:t xml:space="preserve"> </w:t>
      </w:r>
      <w:r>
        <w:rPr>
          <w:color w:val="221F1F"/>
        </w:rPr>
        <w:t>it</w:t>
      </w:r>
      <w:r>
        <w:rPr>
          <w:color w:val="221F1F"/>
          <w:spacing w:val="-2"/>
        </w:rPr>
        <w:t xml:space="preserve"> </w:t>
      </w:r>
      <w:r>
        <w:rPr>
          <w:color w:val="221F1F"/>
        </w:rPr>
        <w:t>arises</w:t>
      </w:r>
      <w:r>
        <w:rPr>
          <w:color w:val="221F1F"/>
          <w:spacing w:val="-3"/>
        </w:rPr>
        <w:t xml:space="preserve"> </w:t>
      </w:r>
      <w:r>
        <w:rPr>
          <w:color w:val="221F1F"/>
          <w:spacing w:val="-2"/>
        </w:rPr>
        <w:t>from:</w:t>
      </w:r>
    </w:p>
    <w:p w:rsidR="007F6DF9" w:rsidRDefault="00A43FBC">
      <w:pPr>
        <w:pStyle w:val="ListParagraph"/>
        <w:numPr>
          <w:ilvl w:val="1"/>
          <w:numId w:val="82"/>
        </w:numPr>
        <w:tabs>
          <w:tab w:val="left" w:pos="2331"/>
        </w:tabs>
        <w:spacing w:before="40"/>
        <w:ind w:hanging="463"/>
      </w:pPr>
      <w:r>
        <w:rPr>
          <w:color w:val="221F1F"/>
        </w:rPr>
        <w:t>the</w:t>
      </w:r>
      <w:r>
        <w:rPr>
          <w:color w:val="221F1F"/>
          <w:spacing w:val="-5"/>
        </w:rPr>
        <w:t xml:space="preserve"> </w:t>
      </w:r>
      <w:r>
        <w:rPr>
          <w:color w:val="221F1F"/>
        </w:rPr>
        <w:t>Procuring</w:t>
      </w:r>
      <w:r>
        <w:rPr>
          <w:color w:val="221F1F"/>
          <w:spacing w:val="-3"/>
        </w:rPr>
        <w:t xml:space="preserve"> </w:t>
      </w:r>
      <w:r>
        <w:rPr>
          <w:color w:val="221F1F"/>
        </w:rPr>
        <w:t>Entity's</w:t>
      </w:r>
      <w:r>
        <w:rPr>
          <w:color w:val="221F1F"/>
          <w:spacing w:val="-4"/>
        </w:rPr>
        <w:t xml:space="preserve"> </w:t>
      </w:r>
      <w:r>
        <w:rPr>
          <w:color w:val="221F1F"/>
        </w:rPr>
        <w:t>right</w:t>
      </w:r>
      <w:r>
        <w:rPr>
          <w:color w:val="221F1F"/>
          <w:spacing w:val="-5"/>
        </w:rPr>
        <w:t xml:space="preserve"> </w:t>
      </w:r>
      <w:r>
        <w:rPr>
          <w:color w:val="221F1F"/>
        </w:rPr>
        <w:t>to</w:t>
      </w:r>
      <w:r>
        <w:rPr>
          <w:color w:val="221F1F"/>
          <w:spacing w:val="-4"/>
        </w:rPr>
        <w:t xml:space="preserve"> </w:t>
      </w:r>
      <w:r>
        <w:rPr>
          <w:color w:val="221F1F"/>
        </w:rPr>
        <w:t>have</w:t>
      </w:r>
      <w:r>
        <w:rPr>
          <w:color w:val="221F1F"/>
          <w:spacing w:val="-4"/>
        </w:rPr>
        <w:t xml:space="preserve"> </w:t>
      </w:r>
      <w:r>
        <w:rPr>
          <w:color w:val="221F1F"/>
        </w:rPr>
        <w:t>the</w:t>
      </w:r>
      <w:r>
        <w:rPr>
          <w:color w:val="221F1F"/>
          <w:spacing w:val="-4"/>
        </w:rPr>
        <w:t xml:space="preserve"> </w:t>
      </w:r>
      <w:r>
        <w:rPr>
          <w:color w:val="221F1F"/>
        </w:rPr>
        <w:t>Permanent</w:t>
      </w:r>
      <w:r>
        <w:rPr>
          <w:color w:val="221F1F"/>
          <w:spacing w:val="-3"/>
        </w:rPr>
        <w:t xml:space="preserve"> </w:t>
      </w:r>
      <w:r>
        <w:rPr>
          <w:color w:val="221F1F"/>
        </w:rPr>
        <w:t>Works</w:t>
      </w:r>
      <w:r>
        <w:rPr>
          <w:color w:val="221F1F"/>
          <w:spacing w:val="-12"/>
        </w:rPr>
        <w:t xml:space="preserve"> </w:t>
      </w:r>
      <w:r>
        <w:rPr>
          <w:color w:val="221F1F"/>
        </w:rPr>
        <w:t>executed</w:t>
      </w:r>
      <w:r>
        <w:rPr>
          <w:color w:val="221F1F"/>
          <w:spacing w:val="-3"/>
        </w:rPr>
        <w:t xml:space="preserve"> </w:t>
      </w:r>
      <w:r>
        <w:rPr>
          <w:color w:val="221F1F"/>
        </w:rPr>
        <w:t>on,</w:t>
      </w:r>
      <w:r>
        <w:rPr>
          <w:color w:val="221F1F"/>
          <w:spacing w:val="-7"/>
        </w:rPr>
        <w:t xml:space="preserve"> </w:t>
      </w:r>
      <w:r>
        <w:rPr>
          <w:color w:val="221F1F"/>
        </w:rPr>
        <w:t>over,</w:t>
      </w:r>
      <w:r>
        <w:rPr>
          <w:color w:val="221F1F"/>
          <w:spacing w:val="-3"/>
        </w:rPr>
        <w:t xml:space="preserve"> </w:t>
      </w:r>
      <w:r>
        <w:rPr>
          <w:color w:val="221F1F"/>
        </w:rPr>
        <w:t>under,</w:t>
      </w:r>
      <w:r>
        <w:rPr>
          <w:color w:val="221F1F"/>
          <w:spacing w:val="-4"/>
        </w:rPr>
        <w:t xml:space="preserve"> </w:t>
      </w:r>
      <w:r>
        <w:rPr>
          <w:color w:val="221F1F"/>
        </w:rPr>
        <w:t>in</w:t>
      </w:r>
      <w:r>
        <w:rPr>
          <w:color w:val="221F1F"/>
          <w:spacing w:val="-4"/>
        </w:rPr>
        <w:t xml:space="preserve"> </w:t>
      </w:r>
      <w:r>
        <w:rPr>
          <w:color w:val="221F1F"/>
          <w:spacing w:val="-5"/>
        </w:rPr>
        <w:t>or</w:t>
      </w:r>
    </w:p>
    <w:p w:rsidR="007F6DF9" w:rsidRDefault="00A43FBC">
      <w:pPr>
        <w:pStyle w:val="ListParagraph"/>
        <w:numPr>
          <w:ilvl w:val="1"/>
          <w:numId w:val="82"/>
        </w:numPr>
        <w:tabs>
          <w:tab w:val="left" w:pos="2331"/>
        </w:tabs>
        <w:spacing w:before="40"/>
        <w:ind w:hanging="463"/>
      </w:pPr>
      <w:r>
        <w:rPr>
          <w:color w:val="221F1F"/>
        </w:rPr>
        <w:t>through</w:t>
      </w:r>
      <w:r>
        <w:rPr>
          <w:color w:val="221F1F"/>
          <w:spacing w:val="-5"/>
        </w:rPr>
        <w:t xml:space="preserve"> </w:t>
      </w:r>
      <w:r>
        <w:rPr>
          <w:color w:val="221F1F"/>
        </w:rPr>
        <w:t>any</w:t>
      </w:r>
      <w:r>
        <w:rPr>
          <w:color w:val="221F1F"/>
          <w:spacing w:val="-2"/>
        </w:rPr>
        <w:t xml:space="preserve"> </w:t>
      </w:r>
      <w:r>
        <w:rPr>
          <w:color w:val="221F1F"/>
        </w:rPr>
        <w:t>land,</w:t>
      </w:r>
      <w:r>
        <w:rPr>
          <w:color w:val="221F1F"/>
          <w:spacing w:val="-3"/>
        </w:rPr>
        <w:t xml:space="preserve"> </w:t>
      </w:r>
      <w:r>
        <w:rPr>
          <w:color w:val="221F1F"/>
        </w:rPr>
        <w:t>and</w:t>
      </w:r>
      <w:r>
        <w:rPr>
          <w:color w:val="221F1F"/>
          <w:spacing w:val="-2"/>
        </w:rPr>
        <w:t xml:space="preserve"> </w:t>
      </w:r>
      <w:r>
        <w:rPr>
          <w:color w:val="221F1F"/>
        </w:rPr>
        <w:t>to</w:t>
      </w:r>
      <w:r>
        <w:rPr>
          <w:color w:val="221F1F"/>
          <w:spacing w:val="-5"/>
        </w:rPr>
        <w:t xml:space="preserve"> </w:t>
      </w:r>
      <w:r>
        <w:rPr>
          <w:color w:val="221F1F"/>
        </w:rPr>
        <w:t>occupy</w:t>
      </w:r>
      <w:r>
        <w:rPr>
          <w:color w:val="221F1F"/>
          <w:spacing w:val="-3"/>
        </w:rPr>
        <w:t xml:space="preserve"> </w:t>
      </w:r>
      <w:r>
        <w:rPr>
          <w:color w:val="221F1F"/>
        </w:rPr>
        <w:t>this</w:t>
      </w:r>
      <w:r>
        <w:rPr>
          <w:color w:val="221F1F"/>
          <w:spacing w:val="-4"/>
        </w:rPr>
        <w:t xml:space="preserve"> </w:t>
      </w:r>
      <w:r>
        <w:rPr>
          <w:color w:val="221F1F"/>
        </w:rPr>
        <w:t>land</w:t>
      </w:r>
      <w:r>
        <w:rPr>
          <w:color w:val="221F1F"/>
          <w:spacing w:val="-2"/>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spacing w:val="-2"/>
        </w:rPr>
        <w:t>Works,</w:t>
      </w:r>
    </w:p>
    <w:p w:rsidR="007F6DF9" w:rsidRDefault="00A43FBC">
      <w:pPr>
        <w:pStyle w:val="ListParagraph"/>
        <w:numPr>
          <w:ilvl w:val="1"/>
          <w:numId w:val="82"/>
        </w:numPr>
        <w:tabs>
          <w:tab w:val="left" w:pos="2331"/>
        </w:tabs>
        <w:spacing w:before="40"/>
        <w:ind w:hanging="463"/>
      </w:pPr>
      <w:r>
        <w:rPr>
          <w:color w:val="221F1F"/>
        </w:rPr>
        <w:t>damage</w:t>
      </w:r>
      <w:r>
        <w:rPr>
          <w:color w:val="221F1F"/>
          <w:spacing w:val="-6"/>
        </w:rPr>
        <w:t xml:space="preserve"> </w:t>
      </w:r>
      <w:r>
        <w:rPr>
          <w:color w:val="221F1F"/>
        </w:rPr>
        <w:t>which</w:t>
      </w:r>
      <w:r>
        <w:rPr>
          <w:color w:val="221F1F"/>
          <w:spacing w:val="-3"/>
        </w:rPr>
        <w:t xml:space="preserve"> </w:t>
      </w:r>
      <w:r>
        <w:rPr>
          <w:color w:val="221F1F"/>
        </w:rPr>
        <w:t>is</w:t>
      </w:r>
      <w:r>
        <w:rPr>
          <w:color w:val="221F1F"/>
          <w:spacing w:val="-4"/>
        </w:rPr>
        <w:t xml:space="preserve"> </w:t>
      </w:r>
      <w:r>
        <w:rPr>
          <w:color w:val="221F1F"/>
        </w:rPr>
        <w:t>an</w:t>
      </w:r>
      <w:r>
        <w:rPr>
          <w:color w:val="221F1F"/>
          <w:spacing w:val="-5"/>
        </w:rPr>
        <w:t xml:space="preserve"> </w:t>
      </w:r>
      <w:r>
        <w:rPr>
          <w:color w:val="221F1F"/>
        </w:rPr>
        <w:t>unavoidable</w:t>
      </w:r>
      <w:r>
        <w:rPr>
          <w:color w:val="221F1F"/>
          <w:spacing w:val="-5"/>
        </w:rPr>
        <w:t xml:space="preserve"> </w:t>
      </w:r>
      <w:r>
        <w:rPr>
          <w:color w:val="221F1F"/>
        </w:rPr>
        <w:t>result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Contractor's</w:t>
      </w:r>
      <w:r>
        <w:rPr>
          <w:color w:val="221F1F"/>
          <w:spacing w:val="-2"/>
        </w:rPr>
        <w:t xml:space="preserve"> </w:t>
      </w:r>
      <w:r>
        <w:rPr>
          <w:color w:val="221F1F"/>
        </w:rPr>
        <w:t>obligations</w:t>
      </w:r>
      <w:r>
        <w:rPr>
          <w:color w:val="221F1F"/>
          <w:spacing w:val="-5"/>
        </w:rPr>
        <w:t xml:space="preserve"> </w:t>
      </w:r>
      <w:r>
        <w:rPr>
          <w:color w:val="221F1F"/>
        </w:rPr>
        <w:t>to</w:t>
      </w:r>
      <w:r>
        <w:rPr>
          <w:color w:val="221F1F"/>
          <w:spacing w:val="-3"/>
        </w:rPr>
        <w:t xml:space="preserve"> </w:t>
      </w:r>
      <w:r>
        <w:rPr>
          <w:color w:val="221F1F"/>
        </w:rPr>
        <w:t>execute</w:t>
      </w:r>
      <w:r>
        <w:rPr>
          <w:color w:val="221F1F"/>
          <w:spacing w:val="-4"/>
        </w:rPr>
        <w:t xml:space="preserve"> </w:t>
      </w:r>
      <w:r>
        <w:rPr>
          <w:color w:val="221F1F"/>
          <w:spacing w:val="-5"/>
        </w:rPr>
        <w:t>the</w:t>
      </w:r>
    </w:p>
    <w:p w:rsidR="007F6DF9" w:rsidRDefault="00A43FBC">
      <w:pPr>
        <w:pStyle w:val="ListParagraph"/>
        <w:numPr>
          <w:ilvl w:val="1"/>
          <w:numId w:val="82"/>
        </w:numPr>
        <w:tabs>
          <w:tab w:val="left" w:pos="2331"/>
        </w:tabs>
        <w:spacing w:before="37"/>
        <w:ind w:hanging="463"/>
      </w:pPr>
      <w:r>
        <w:rPr>
          <w:color w:val="221F1F"/>
        </w:rPr>
        <w:t>Works</w:t>
      </w:r>
      <w:r>
        <w:rPr>
          <w:color w:val="221F1F"/>
          <w:spacing w:val="-14"/>
        </w:rPr>
        <w:t xml:space="preserve"> </w:t>
      </w:r>
      <w:r>
        <w:rPr>
          <w:color w:val="221F1F"/>
        </w:rPr>
        <w:t>and</w:t>
      </w:r>
      <w:r>
        <w:rPr>
          <w:color w:val="221F1F"/>
          <w:spacing w:val="-7"/>
        </w:rPr>
        <w:t xml:space="preserve"> </w:t>
      </w:r>
      <w:r>
        <w:rPr>
          <w:color w:val="221F1F"/>
        </w:rPr>
        <w:t>remedy</w:t>
      </w:r>
      <w:r>
        <w:rPr>
          <w:color w:val="221F1F"/>
          <w:spacing w:val="-5"/>
        </w:rPr>
        <w:t xml:space="preserve"> </w:t>
      </w:r>
      <w:r>
        <w:rPr>
          <w:color w:val="221F1F"/>
        </w:rPr>
        <w:t>any</w:t>
      </w:r>
      <w:r>
        <w:rPr>
          <w:color w:val="221F1F"/>
          <w:spacing w:val="-6"/>
        </w:rPr>
        <w:t xml:space="preserve"> </w:t>
      </w:r>
      <w:r>
        <w:rPr>
          <w:color w:val="221F1F"/>
        </w:rPr>
        <w:t>defects,</w:t>
      </w:r>
      <w:r>
        <w:rPr>
          <w:color w:val="221F1F"/>
          <w:spacing w:val="-7"/>
        </w:rPr>
        <w:t xml:space="preserve"> </w:t>
      </w:r>
      <w:r>
        <w:rPr>
          <w:color w:val="221F1F"/>
          <w:spacing w:val="-5"/>
        </w:rPr>
        <w:t>and</w:t>
      </w:r>
    </w:p>
    <w:p w:rsidR="007F6DF9" w:rsidRDefault="00A43FBC">
      <w:pPr>
        <w:pStyle w:val="ListParagraph"/>
        <w:numPr>
          <w:ilvl w:val="1"/>
          <w:numId w:val="82"/>
        </w:numPr>
        <w:tabs>
          <w:tab w:val="left" w:pos="2331"/>
        </w:tabs>
        <w:spacing w:before="48" w:line="230" w:lineRule="auto"/>
        <w:ind w:right="955"/>
      </w:pPr>
      <w:r>
        <w:rPr>
          <w:color w:val="221F1F"/>
        </w:rPr>
        <w:t>a</w:t>
      </w:r>
      <w:r>
        <w:rPr>
          <w:color w:val="221F1F"/>
          <w:spacing w:val="-2"/>
        </w:rPr>
        <w:t xml:space="preserve"> </w:t>
      </w:r>
      <w:r>
        <w:rPr>
          <w:color w:val="221F1F"/>
        </w:rPr>
        <w:t>cause</w:t>
      </w:r>
      <w:r>
        <w:rPr>
          <w:color w:val="221F1F"/>
          <w:spacing w:val="-2"/>
        </w:rPr>
        <w:t xml:space="preserve"> </w:t>
      </w:r>
      <w:r>
        <w:rPr>
          <w:color w:val="221F1F"/>
        </w:rPr>
        <w:t>listed</w:t>
      </w:r>
      <w:r>
        <w:rPr>
          <w:color w:val="221F1F"/>
          <w:spacing w:val="-4"/>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17.3</w:t>
      </w:r>
      <w:r>
        <w:rPr>
          <w:color w:val="221F1F"/>
          <w:spacing w:val="-4"/>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Risks],</w:t>
      </w:r>
      <w:r>
        <w:rPr>
          <w:color w:val="221F1F"/>
          <w:spacing w:val="-2"/>
        </w:rPr>
        <w:t xml:space="preserve"> </w:t>
      </w:r>
      <w:r>
        <w:rPr>
          <w:color w:val="221F1F"/>
        </w:rPr>
        <w:t>except</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extent</w:t>
      </w:r>
      <w:r>
        <w:rPr>
          <w:color w:val="221F1F"/>
          <w:spacing w:val="-1"/>
        </w:rPr>
        <w:t xml:space="preserve"> </w:t>
      </w:r>
      <w:r>
        <w:rPr>
          <w:color w:val="221F1F"/>
        </w:rPr>
        <w:t>that</w:t>
      </w:r>
      <w:r>
        <w:rPr>
          <w:color w:val="221F1F"/>
          <w:spacing w:val="-1"/>
        </w:rPr>
        <w:t xml:space="preserve"> </w:t>
      </w:r>
      <w:r>
        <w:rPr>
          <w:color w:val="221F1F"/>
        </w:rPr>
        <w:t>cover</w:t>
      </w:r>
      <w:r>
        <w:rPr>
          <w:color w:val="221F1F"/>
          <w:spacing w:val="-2"/>
        </w:rPr>
        <w:t xml:space="preserve"> </w:t>
      </w:r>
      <w:r>
        <w:rPr>
          <w:color w:val="221F1F"/>
        </w:rPr>
        <w:t>is available at commercially reasonable terms.</w:t>
      </w:r>
    </w:p>
    <w:p w:rsidR="007F6DF9" w:rsidRDefault="00A43FBC">
      <w:pPr>
        <w:pStyle w:val="Heading9"/>
        <w:numPr>
          <w:ilvl w:val="1"/>
          <w:numId w:val="122"/>
        </w:numPr>
        <w:tabs>
          <w:tab w:val="left" w:pos="1426"/>
        </w:tabs>
        <w:spacing w:before="126"/>
        <w:ind w:left="1426" w:hanging="713"/>
        <w:rPr>
          <w:color w:val="221F1F"/>
        </w:rPr>
      </w:pPr>
      <w:r>
        <w:rPr>
          <w:color w:val="221F1F"/>
        </w:rPr>
        <w:t>Insurance</w:t>
      </w:r>
      <w:r>
        <w:rPr>
          <w:color w:val="221F1F"/>
          <w:spacing w:val="-5"/>
        </w:rPr>
        <w:t xml:space="preserve"> </w:t>
      </w:r>
      <w:r>
        <w:rPr>
          <w:color w:val="221F1F"/>
        </w:rPr>
        <w:t>for</w:t>
      </w:r>
      <w:r>
        <w:rPr>
          <w:color w:val="221F1F"/>
          <w:spacing w:val="-5"/>
        </w:rPr>
        <w:t xml:space="preserve"> </w:t>
      </w:r>
      <w:r>
        <w:rPr>
          <w:color w:val="221F1F"/>
        </w:rPr>
        <w:t>Contractor's</w:t>
      </w:r>
      <w:r>
        <w:rPr>
          <w:color w:val="221F1F"/>
          <w:spacing w:val="-3"/>
        </w:rPr>
        <w:t xml:space="preserve"> </w:t>
      </w:r>
      <w:r>
        <w:rPr>
          <w:color w:val="221F1F"/>
          <w:spacing w:val="-2"/>
        </w:rPr>
        <w:t>Personnel</w:t>
      </w:r>
    </w:p>
    <w:p w:rsidR="007F6DF9" w:rsidRDefault="00A43FBC">
      <w:pPr>
        <w:pStyle w:val="ListParagraph"/>
        <w:numPr>
          <w:ilvl w:val="2"/>
          <w:numId w:val="122"/>
        </w:numPr>
        <w:tabs>
          <w:tab w:val="left" w:pos="1425"/>
          <w:tab w:val="left" w:pos="1433"/>
        </w:tabs>
        <w:spacing w:before="244" w:line="230" w:lineRule="auto"/>
        <w:ind w:left="1433" w:right="553" w:hanging="721"/>
        <w:jc w:val="both"/>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effect</w:t>
      </w:r>
      <w:r>
        <w:rPr>
          <w:color w:val="221F1F"/>
          <w:spacing w:val="-5"/>
        </w:rPr>
        <w:t xml:space="preserve"> </w:t>
      </w:r>
      <w:r>
        <w:rPr>
          <w:color w:val="221F1F"/>
        </w:rPr>
        <w:t>and</w:t>
      </w:r>
      <w:r>
        <w:rPr>
          <w:color w:val="221F1F"/>
          <w:spacing w:val="-7"/>
        </w:rPr>
        <w:t xml:space="preserve"> </w:t>
      </w:r>
      <w:r>
        <w:rPr>
          <w:color w:val="221F1F"/>
        </w:rPr>
        <w:t>maintain</w:t>
      </w:r>
      <w:r>
        <w:rPr>
          <w:color w:val="221F1F"/>
          <w:spacing w:val="-6"/>
        </w:rPr>
        <w:t xml:space="preserve"> </w:t>
      </w:r>
      <w:r>
        <w:rPr>
          <w:color w:val="221F1F"/>
        </w:rPr>
        <w:t>insurance</w:t>
      </w:r>
      <w:r>
        <w:rPr>
          <w:color w:val="221F1F"/>
          <w:spacing w:val="-6"/>
        </w:rPr>
        <w:t xml:space="preserve"> </w:t>
      </w:r>
      <w:r>
        <w:rPr>
          <w:color w:val="221F1F"/>
        </w:rPr>
        <w:t>against</w:t>
      </w:r>
      <w:r>
        <w:rPr>
          <w:color w:val="221F1F"/>
          <w:spacing w:val="-5"/>
        </w:rPr>
        <w:t xml:space="preserve"> </w:t>
      </w:r>
      <w:r>
        <w:rPr>
          <w:color w:val="221F1F"/>
        </w:rPr>
        <w:t>liability</w:t>
      </w:r>
      <w:r>
        <w:rPr>
          <w:color w:val="221F1F"/>
          <w:spacing w:val="-7"/>
        </w:rPr>
        <w:t xml:space="preserve"> </w:t>
      </w:r>
      <w:r>
        <w:rPr>
          <w:color w:val="221F1F"/>
        </w:rPr>
        <w:t>for</w:t>
      </w:r>
      <w:r>
        <w:rPr>
          <w:color w:val="221F1F"/>
          <w:spacing w:val="-6"/>
        </w:rPr>
        <w:t xml:space="preserve"> </w:t>
      </w:r>
      <w:r>
        <w:rPr>
          <w:color w:val="221F1F"/>
        </w:rPr>
        <w:t>claims,</w:t>
      </w:r>
      <w:r>
        <w:rPr>
          <w:color w:val="221F1F"/>
          <w:spacing w:val="-6"/>
        </w:rPr>
        <w:t xml:space="preserve"> </w:t>
      </w:r>
      <w:r>
        <w:rPr>
          <w:color w:val="221F1F"/>
        </w:rPr>
        <w:t>damages,</w:t>
      </w:r>
      <w:r>
        <w:rPr>
          <w:color w:val="221F1F"/>
          <w:spacing w:val="-6"/>
        </w:rPr>
        <w:t xml:space="preserve"> </w:t>
      </w:r>
      <w:r>
        <w:rPr>
          <w:color w:val="221F1F"/>
        </w:rPr>
        <w:t>losses</w:t>
      </w:r>
      <w:r>
        <w:rPr>
          <w:color w:val="221F1F"/>
          <w:spacing w:val="-6"/>
        </w:rPr>
        <w:t xml:space="preserve"> </w:t>
      </w:r>
      <w:r>
        <w:rPr>
          <w:color w:val="221F1F"/>
        </w:rPr>
        <w:t>and</w:t>
      </w:r>
      <w:r>
        <w:rPr>
          <w:color w:val="221F1F"/>
          <w:spacing w:val="-7"/>
        </w:rPr>
        <w:t xml:space="preserve"> </w:t>
      </w:r>
      <w:r>
        <w:rPr>
          <w:color w:val="221F1F"/>
        </w:rPr>
        <w:t>expenses (including legal fees and expenses) arising from injury, sickness, disease or death of any person employed by the Contractor or any other of the Contractor's Personnel.</w:t>
      </w:r>
    </w:p>
    <w:p w:rsidR="007F6DF9" w:rsidRDefault="00A43FBC">
      <w:pPr>
        <w:pStyle w:val="ListParagraph"/>
        <w:numPr>
          <w:ilvl w:val="2"/>
          <w:numId w:val="122"/>
        </w:numPr>
        <w:tabs>
          <w:tab w:val="left" w:pos="1425"/>
          <w:tab w:val="left" w:pos="1433"/>
        </w:tabs>
        <w:spacing w:before="244" w:line="230" w:lineRule="auto"/>
        <w:ind w:left="1433" w:right="553" w:hanging="721"/>
        <w:jc w:val="both"/>
        <w:rPr>
          <w:color w:val="221F1F"/>
        </w:rPr>
      </w:pPr>
      <w:r>
        <w:t>The</w:t>
      </w:r>
      <w:r>
        <w:rPr>
          <w:spacing w:val="-5"/>
        </w:rPr>
        <w:t xml:space="preserve"> </w:t>
      </w:r>
      <w:r>
        <w:t>insurance</w:t>
      </w:r>
      <w:r>
        <w:rPr>
          <w:spacing w:val="-6"/>
        </w:rPr>
        <w:t xml:space="preserve"> </w:t>
      </w:r>
      <w:r>
        <w:t>shall</w:t>
      </w:r>
      <w:r>
        <w:rPr>
          <w:spacing w:val="-6"/>
        </w:rPr>
        <w:t xml:space="preserve"> </w:t>
      </w:r>
      <w:r>
        <w:t>cover</w:t>
      </w:r>
      <w:r>
        <w:rPr>
          <w:spacing w:val="-3"/>
        </w:rPr>
        <w:t xml:space="preserve"> </w:t>
      </w:r>
      <w:r>
        <w:t>the</w:t>
      </w:r>
      <w:r>
        <w:rPr>
          <w:spacing w:val="-4"/>
        </w:rPr>
        <w:t xml:space="preserve"> </w:t>
      </w:r>
      <w:r>
        <w:t>Procuring</w:t>
      </w:r>
      <w:r>
        <w:rPr>
          <w:spacing w:val="-4"/>
        </w:rPr>
        <w:t xml:space="preserve"> </w:t>
      </w:r>
      <w:r>
        <w:t>Entity</w:t>
      </w:r>
      <w:r>
        <w:rPr>
          <w:spacing w:val="-4"/>
        </w:rPr>
        <w:t xml:space="preserve"> </w:t>
      </w:r>
      <w:r>
        <w:t>and</w:t>
      </w:r>
      <w:r>
        <w:rPr>
          <w:spacing w:val="-5"/>
        </w:rPr>
        <w:t xml:space="preserve"> </w:t>
      </w:r>
      <w:r>
        <w:t>the</w:t>
      </w:r>
      <w:r>
        <w:rPr>
          <w:spacing w:val="-6"/>
        </w:rPr>
        <w:t xml:space="preserve"> </w:t>
      </w:r>
      <w:r>
        <w:t>Architect</w:t>
      </w:r>
      <w:r>
        <w:rPr>
          <w:spacing w:val="-3"/>
        </w:rPr>
        <w:t xml:space="preserve"> </w:t>
      </w:r>
      <w:r>
        <w:t>against</w:t>
      </w:r>
      <w:r>
        <w:rPr>
          <w:spacing w:val="-5"/>
        </w:rPr>
        <w:t xml:space="preserve"> </w:t>
      </w:r>
      <w:r>
        <w:t>liability</w:t>
      </w:r>
      <w:r>
        <w:rPr>
          <w:spacing w:val="-6"/>
        </w:rPr>
        <w:t xml:space="preserve"> </w:t>
      </w:r>
      <w:r>
        <w:t>for</w:t>
      </w:r>
      <w:r>
        <w:rPr>
          <w:spacing w:val="-3"/>
        </w:rPr>
        <w:t xml:space="preserve"> </w:t>
      </w:r>
      <w:r>
        <w:t>claims,</w:t>
      </w:r>
      <w:r>
        <w:rPr>
          <w:spacing w:val="-6"/>
        </w:rPr>
        <w:t xml:space="preserve"> </w:t>
      </w:r>
      <w:r>
        <w:t>damages,</w:t>
      </w:r>
      <w:r>
        <w:rPr>
          <w:spacing w:val="-7"/>
        </w:rPr>
        <w:t xml:space="preserve"> </w:t>
      </w:r>
      <w:r>
        <w:t>losses and</w:t>
      </w:r>
      <w:r>
        <w:rPr>
          <w:spacing w:val="-13"/>
        </w:rPr>
        <w:t xml:space="preserve"> </w:t>
      </w:r>
      <w:r>
        <w:t>expenses</w:t>
      </w:r>
      <w:r>
        <w:rPr>
          <w:spacing w:val="-11"/>
        </w:rPr>
        <w:t xml:space="preserve"> </w:t>
      </w:r>
      <w:r>
        <w:t>(including</w:t>
      </w:r>
      <w:r>
        <w:rPr>
          <w:spacing w:val="-11"/>
        </w:rPr>
        <w:t xml:space="preserve"> </w:t>
      </w:r>
      <w:r>
        <w:t>legal</w:t>
      </w:r>
      <w:r>
        <w:rPr>
          <w:spacing w:val="-11"/>
        </w:rPr>
        <w:t xml:space="preserve"> </w:t>
      </w:r>
      <w:r>
        <w:t>fees</w:t>
      </w:r>
      <w:r>
        <w:rPr>
          <w:spacing w:val="-12"/>
        </w:rPr>
        <w:t xml:space="preserve"> </w:t>
      </w:r>
      <w:r>
        <w:t>and</w:t>
      </w:r>
      <w:r>
        <w:rPr>
          <w:spacing w:val="-12"/>
        </w:rPr>
        <w:t xml:space="preserve"> </w:t>
      </w:r>
      <w:r>
        <w:t>expenses)</w:t>
      </w:r>
      <w:r>
        <w:rPr>
          <w:spacing w:val="-11"/>
        </w:rPr>
        <w:t xml:space="preserve"> </w:t>
      </w:r>
      <w:r>
        <w:t>arising</w:t>
      </w:r>
      <w:r>
        <w:rPr>
          <w:spacing w:val="-10"/>
        </w:rPr>
        <w:t xml:space="preserve"> </w:t>
      </w:r>
      <w:r>
        <w:t>from</w:t>
      </w:r>
      <w:r>
        <w:rPr>
          <w:spacing w:val="-11"/>
        </w:rPr>
        <w:t xml:space="preserve"> </w:t>
      </w:r>
      <w:r>
        <w:t>injury,</w:t>
      </w:r>
      <w:r>
        <w:rPr>
          <w:spacing w:val="-14"/>
        </w:rPr>
        <w:t xml:space="preserve"> </w:t>
      </w:r>
      <w:r>
        <w:t>sickness,</w:t>
      </w:r>
      <w:r>
        <w:rPr>
          <w:spacing w:val="-12"/>
        </w:rPr>
        <w:t xml:space="preserve"> </w:t>
      </w:r>
      <w:r>
        <w:t>disease</w:t>
      </w:r>
      <w:r>
        <w:rPr>
          <w:spacing w:val="-9"/>
        </w:rPr>
        <w:t xml:space="preserve"> </w:t>
      </w:r>
      <w:r>
        <w:t>or</w:t>
      </w:r>
      <w:r>
        <w:rPr>
          <w:spacing w:val="-10"/>
        </w:rPr>
        <w:t xml:space="preserve"> </w:t>
      </w:r>
      <w:r>
        <w:t>death</w:t>
      </w:r>
      <w:r>
        <w:rPr>
          <w:spacing w:val="-10"/>
        </w:rPr>
        <w:t xml:space="preserve"> </w:t>
      </w:r>
      <w:r>
        <w:t>of</w:t>
      </w:r>
      <w:r>
        <w:rPr>
          <w:spacing w:val="-12"/>
        </w:rPr>
        <w:t xml:space="preserve"> </w:t>
      </w:r>
      <w:r>
        <w:t>any</w:t>
      </w:r>
      <w:r>
        <w:rPr>
          <w:spacing w:val="-12"/>
        </w:rPr>
        <w:t xml:space="preserve"> </w:t>
      </w:r>
      <w:r>
        <w:t>person employed</w:t>
      </w:r>
      <w:r>
        <w:rPr>
          <w:spacing w:val="-13"/>
        </w:rPr>
        <w:t xml:space="preserve"> </w:t>
      </w:r>
      <w:r>
        <w:t>by</w:t>
      </w:r>
      <w:r>
        <w:rPr>
          <w:spacing w:val="-14"/>
        </w:rPr>
        <w:t xml:space="preserve"> </w:t>
      </w:r>
      <w:r>
        <w:t>the</w:t>
      </w:r>
      <w:r>
        <w:rPr>
          <w:spacing w:val="-10"/>
        </w:rPr>
        <w:t xml:space="preserve"> </w:t>
      </w:r>
      <w:proofErr w:type="spellStart"/>
      <w:r>
        <w:t>Contractoror</w:t>
      </w:r>
      <w:proofErr w:type="spellEnd"/>
      <w:r>
        <w:rPr>
          <w:spacing w:val="-10"/>
        </w:rPr>
        <w:t xml:space="preserve"> </w:t>
      </w:r>
      <w:r>
        <w:t>any</w:t>
      </w:r>
      <w:r>
        <w:rPr>
          <w:spacing w:val="-14"/>
        </w:rPr>
        <w:t xml:space="preserve"> </w:t>
      </w:r>
      <w:proofErr w:type="spellStart"/>
      <w:r>
        <w:t>othe</w:t>
      </w:r>
      <w:proofErr w:type="spellEnd"/>
      <w:r>
        <w:rPr>
          <w:spacing w:val="-10"/>
        </w:rPr>
        <w:t xml:space="preserve"> </w:t>
      </w:r>
      <w:proofErr w:type="spellStart"/>
      <w:r>
        <w:t>rof</w:t>
      </w:r>
      <w:proofErr w:type="spellEnd"/>
      <w:r>
        <w:rPr>
          <w:spacing w:val="-13"/>
        </w:rPr>
        <w:t xml:space="preserve"> </w:t>
      </w:r>
      <w:r>
        <w:t>the</w:t>
      </w:r>
      <w:r>
        <w:rPr>
          <w:spacing w:val="-11"/>
        </w:rPr>
        <w:t xml:space="preserve"> </w:t>
      </w:r>
      <w:r>
        <w:t>Contractor's</w:t>
      </w:r>
      <w:r>
        <w:rPr>
          <w:spacing w:val="-10"/>
        </w:rPr>
        <w:t xml:space="preserve"> </w:t>
      </w:r>
      <w:r>
        <w:t>Personnel,</w:t>
      </w:r>
      <w:r>
        <w:rPr>
          <w:spacing w:val="-14"/>
        </w:rPr>
        <w:t xml:space="preserve"> </w:t>
      </w:r>
      <w:r>
        <w:t>except</w:t>
      </w:r>
      <w:r>
        <w:rPr>
          <w:spacing w:val="-12"/>
        </w:rPr>
        <w:t xml:space="preserve"> </w:t>
      </w:r>
      <w:r>
        <w:t>that</w:t>
      </w:r>
      <w:r>
        <w:rPr>
          <w:spacing w:val="-13"/>
        </w:rPr>
        <w:t xml:space="preserve"> </w:t>
      </w:r>
      <w:r>
        <w:t>this</w:t>
      </w:r>
      <w:r>
        <w:rPr>
          <w:spacing w:val="-13"/>
        </w:rPr>
        <w:t xml:space="preserve"> </w:t>
      </w:r>
      <w:r>
        <w:t>insurance</w:t>
      </w:r>
      <w:r>
        <w:rPr>
          <w:spacing w:val="-13"/>
        </w:rPr>
        <w:t xml:space="preserve"> </w:t>
      </w:r>
      <w:r>
        <w:t>may</w:t>
      </w:r>
      <w:r>
        <w:rPr>
          <w:spacing w:val="-14"/>
        </w:rPr>
        <w:t xml:space="preserve"> </w:t>
      </w:r>
      <w:r>
        <w:t>exclude losses and claims to the extent that they arise from any act or neglect of the Procuring Entity or of the Procuring Entity's Personnel.</w:t>
      </w:r>
    </w:p>
    <w:p w:rsidR="007F6DF9" w:rsidRDefault="00A43FBC">
      <w:pPr>
        <w:pStyle w:val="ListParagraph"/>
        <w:numPr>
          <w:ilvl w:val="2"/>
          <w:numId w:val="122"/>
        </w:numPr>
        <w:tabs>
          <w:tab w:val="left" w:pos="1425"/>
          <w:tab w:val="left" w:pos="1431"/>
        </w:tabs>
        <w:spacing w:before="245" w:line="230" w:lineRule="auto"/>
        <w:ind w:left="1431" w:right="554"/>
        <w:jc w:val="both"/>
        <w:rPr>
          <w:color w:val="221F1F"/>
        </w:rPr>
      </w:pPr>
      <w:r>
        <w:rPr>
          <w:color w:val="221F1F"/>
        </w:rPr>
        <w:t>The insurance shall be maintained in full force and effect during the whole time that these personnel are assisting in the execution of the Works.</w:t>
      </w:r>
      <w:r>
        <w:rPr>
          <w:color w:val="221F1F"/>
          <w:spacing w:val="-2"/>
        </w:rPr>
        <w:t xml:space="preserve"> </w:t>
      </w:r>
      <w:r>
        <w:rPr>
          <w:color w:val="221F1F"/>
        </w:rPr>
        <w:t>For a Subcontractor's employees, the insurance may be effected by the Subcontractor, but the Contractor shall be responsible for compliance with this Clause.</w:t>
      </w:r>
    </w:p>
    <w:p w:rsidR="007F6DF9" w:rsidRDefault="00A43FBC">
      <w:pPr>
        <w:pStyle w:val="Heading8"/>
        <w:numPr>
          <w:ilvl w:val="0"/>
          <w:numId w:val="122"/>
        </w:numPr>
        <w:tabs>
          <w:tab w:val="left" w:pos="1426"/>
        </w:tabs>
        <w:spacing w:before="238"/>
        <w:ind w:left="1426" w:hanging="715"/>
      </w:pPr>
      <w:bookmarkStart w:id="71" w:name="_bookmark69"/>
      <w:bookmarkEnd w:id="71"/>
      <w:r>
        <w:rPr>
          <w:color w:val="221F1F"/>
        </w:rPr>
        <w:t>FORCE</w:t>
      </w:r>
      <w:r>
        <w:rPr>
          <w:color w:val="221F1F"/>
          <w:spacing w:val="-3"/>
        </w:rPr>
        <w:t xml:space="preserve"> </w:t>
      </w:r>
      <w:r>
        <w:rPr>
          <w:color w:val="221F1F"/>
          <w:spacing w:val="-2"/>
        </w:rPr>
        <w:t>MAJEURE</w:t>
      </w:r>
    </w:p>
    <w:p w:rsidR="007F6DF9" w:rsidRDefault="00A43FBC">
      <w:pPr>
        <w:pStyle w:val="Heading9"/>
        <w:numPr>
          <w:ilvl w:val="1"/>
          <w:numId w:val="122"/>
        </w:numPr>
        <w:tabs>
          <w:tab w:val="left" w:pos="1426"/>
        </w:tabs>
        <w:spacing w:before="234"/>
        <w:ind w:left="1426" w:hanging="715"/>
        <w:rPr>
          <w:color w:val="221F1F"/>
        </w:rPr>
      </w:pPr>
      <w:r>
        <w:rPr>
          <w:color w:val="221F1F"/>
        </w:rPr>
        <w:t>Definition</w:t>
      </w:r>
      <w:r>
        <w:rPr>
          <w:color w:val="221F1F"/>
          <w:spacing w:val="-9"/>
        </w:rPr>
        <w:t xml:space="preserve"> </w:t>
      </w:r>
      <w:r>
        <w:rPr>
          <w:color w:val="221F1F"/>
        </w:rPr>
        <w:t>of</w:t>
      </w:r>
      <w:r>
        <w:rPr>
          <w:color w:val="221F1F"/>
          <w:spacing w:val="-7"/>
        </w:rPr>
        <w:t xml:space="preserve"> </w:t>
      </w:r>
      <w:r>
        <w:rPr>
          <w:color w:val="221F1F"/>
        </w:rPr>
        <w:t>Force</w:t>
      </w:r>
      <w:r>
        <w:rPr>
          <w:color w:val="221F1F"/>
          <w:spacing w:val="-8"/>
        </w:rPr>
        <w:t xml:space="preserve"> </w:t>
      </w:r>
      <w:r>
        <w:rPr>
          <w:color w:val="221F1F"/>
          <w:spacing w:val="-2"/>
        </w:rPr>
        <w:t>Majeure</w:t>
      </w:r>
    </w:p>
    <w:p w:rsidR="007F6DF9" w:rsidRDefault="00A43FBC">
      <w:pPr>
        <w:pStyle w:val="ListParagraph"/>
        <w:numPr>
          <w:ilvl w:val="2"/>
          <w:numId w:val="122"/>
        </w:numPr>
        <w:tabs>
          <w:tab w:val="left" w:pos="1426"/>
        </w:tabs>
        <w:spacing w:before="235"/>
        <w:ind w:left="1426" w:hanging="715"/>
        <w:rPr>
          <w:color w:val="221F1F"/>
        </w:rPr>
      </w:pPr>
      <w:r>
        <w:rPr>
          <w:color w:val="221F1F"/>
        </w:rPr>
        <w:t>In</w:t>
      </w:r>
      <w:r>
        <w:rPr>
          <w:color w:val="221F1F"/>
          <w:spacing w:val="-5"/>
        </w:rPr>
        <w:t xml:space="preserve"> </w:t>
      </w:r>
      <w:r>
        <w:rPr>
          <w:color w:val="221F1F"/>
        </w:rPr>
        <w:t>this</w:t>
      </w:r>
      <w:r>
        <w:rPr>
          <w:color w:val="221F1F"/>
          <w:spacing w:val="-3"/>
        </w:rPr>
        <w:t xml:space="preserve"> </w:t>
      </w:r>
      <w:r>
        <w:rPr>
          <w:color w:val="221F1F"/>
        </w:rPr>
        <w:t>Clause,</w:t>
      </w:r>
      <w:r>
        <w:rPr>
          <w:color w:val="221F1F"/>
          <w:spacing w:val="-3"/>
        </w:rPr>
        <w:t xml:space="preserve"> </w:t>
      </w:r>
      <w:r>
        <w:rPr>
          <w:color w:val="221F1F"/>
        </w:rPr>
        <w:t>“Force</w:t>
      </w:r>
      <w:r>
        <w:rPr>
          <w:color w:val="221F1F"/>
          <w:spacing w:val="-2"/>
        </w:rPr>
        <w:t xml:space="preserve"> </w:t>
      </w:r>
      <w:r>
        <w:rPr>
          <w:color w:val="221F1F"/>
        </w:rPr>
        <w:t>Majeure”</w:t>
      </w:r>
      <w:r>
        <w:rPr>
          <w:color w:val="221F1F"/>
          <w:spacing w:val="-4"/>
        </w:rPr>
        <w:t xml:space="preserve"> </w:t>
      </w:r>
      <w:r>
        <w:rPr>
          <w:color w:val="221F1F"/>
        </w:rPr>
        <w:t>means</w:t>
      </w:r>
      <w:r>
        <w:rPr>
          <w:color w:val="221F1F"/>
          <w:spacing w:val="-5"/>
        </w:rPr>
        <w:t xml:space="preserve"> </w:t>
      </w:r>
      <w:r>
        <w:rPr>
          <w:color w:val="221F1F"/>
        </w:rPr>
        <w:t>an</w:t>
      </w:r>
      <w:r>
        <w:rPr>
          <w:color w:val="221F1F"/>
          <w:spacing w:val="-2"/>
        </w:rPr>
        <w:t xml:space="preserve"> </w:t>
      </w:r>
      <w:r>
        <w:rPr>
          <w:color w:val="221F1F"/>
        </w:rPr>
        <w:t>exceptional</w:t>
      </w:r>
      <w:r>
        <w:rPr>
          <w:color w:val="221F1F"/>
          <w:spacing w:val="-3"/>
        </w:rPr>
        <w:t xml:space="preserve"> </w:t>
      </w:r>
      <w:r>
        <w:rPr>
          <w:color w:val="221F1F"/>
        </w:rPr>
        <w:t>event</w:t>
      </w:r>
      <w:r>
        <w:rPr>
          <w:color w:val="221F1F"/>
          <w:spacing w:val="-4"/>
        </w:rPr>
        <w:t xml:space="preserve"> </w:t>
      </w:r>
      <w:r>
        <w:rPr>
          <w:color w:val="221F1F"/>
        </w:rPr>
        <w:t>or</w:t>
      </w:r>
      <w:r>
        <w:rPr>
          <w:color w:val="221F1F"/>
          <w:spacing w:val="-4"/>
        </w:rPr>
        <w:t xml:space="preserve"> </w:t>
      </w:r>
      <w:r>
        <w:rPr>
          <w:color w:val="221F1F"/>
          <w:spacing w:val="-2"/>
        </w:rPr>
        <w:t>circumstance:</w:t>
      </w:r>
    </w:p>
    <w:p w:rsidR="007F6DF9" w:rsidRDefault="00A43FBC">
      <w:pPr>
        <w:pStyle w:val="ListParagraph"/>
        <w:numPr>
          <w:ilvl w:val="0"/>
          <w:numId w:val="85"/>
        </w:numPr>
        <w:tabs>
          <w:tab w:val="left" w:pos="1872"/>
        </w:tabs>
        <w:spacing w:before="40"/>
        <w:ind w:left="1872" w:hanging="446"/>
      </w:pPr>
      <w:r>
        <w:rPr>
          <w:color w:val="221F1F"/>
        </w:rPr>
        <w:t>Which</w:t>
      </w:r>
      <w:r>
        <w:rPr>
          <w:color w:val="221F1F"/>
          <w:spacing w:val="-3"/>
        </w:rPr>
        <w:t xml:space="preserve"> </w:t>
      </w:r>
      <w:r>
        <w:rPr>
          <w:color w:val="221F1F"/>
        </w:rPr>
        <w:t>is</w:t>
      </w:r>
      <w:r>
        <w:rPr>
          <w:color w:val="221F1F"/>
          <w:spacing w:val="-3"/>
        </w:rPr>
        <w:t xml:space="preserve"> </w:t>
      </w:r>
      <w:r>
        <w:rPr>
          <w:color w:val="221F1F"/>
        </w:rPr>
        <w:t>beyond</w:t>
      </w:r>
      <w:r>
        <w:rPr>
          <w:color w:val="221F1F"/>
          <w:spacing w:val="-2"/>
        </w:rPr>
        <w:t xml:space="preserve"> </w:t>
      </w:r>
      <w:r>
        <w:rPr>
          <w:color w:val="221F1F"/>
        </w:rPr>
        <w:t>a</w:t>
      </w:r>
      <w:r>
        <w:rPr>
          <w:color w:val="221F1F"/>
          <w:spacing w:val="-3"/>
        </w:rPr>
        <w:t xml:space="preserve"> </w:t>
      </w:r>
      <w:r>
        <w:rPr>
          <w:color w:val="221F1F"/>
        </w:rPr>
        <w:t>Party's</w:t>
      </w:r>
      <w:r>
        <w:rPr>
          <w:color w:val="221F1F"/>
          <w:spacing w:val="-1"/>
        </w:rPr>
        <w:t xml:space="preserve"> </w:t>
      </w:r>
      <w:r>
        <w:rPr>
          <w:color w:val="221F1F"/>
          <w:spacing w:val="-2"/>
        </w:rPr>
        <w:t>control,</w:t>
      </w:r>
    </w:p>
    <w:p w:rsidR="007F6DF9" w:rsidRDefault="00A43FBC">
      <w:pPr>
        <w:pStyle w:val="ListParagraph"/>
        <w:numPr>
          <w:ilvl w:val="0"/>
          <w:numId w:val="85"/>
        </w:numPr>
        <w:tabs>
          <w:tab w:val="left" w:pos="1872"/>
        </w:tabs>
        <w:spacing w:before="39"/>
        <w:ind w:left="1872" w:hanging="446"/>
      </w:pPr>
      <w:r>
        <w:rPr>
          <w:color w:val="221F1F"/>
        </w:rPr>
        <w:t>Which</w:t>
      </w:r>
      <w:r>
        <w:rPr>
          <w:color w:val="221F1F"/>
          <w:spacing w:val="-5"/>
        </w:rPr>
        <w:t xml:space="preserve"> </w:t>
      </w:r>
      <w:r>
        <w:rPr>
          <w:color w:val="221F1F"/>
        </w:rPr>
        <w:t>such</w:t>
      </w:r>
      <w:r>
        <w:rPr>
          <w:color w:val="221F1F"/>
          <w:spacing w:val="-3"/>
        </w:rPr>
        <w:t xml:space="preserve"> </w:t>
      </w:r>
      <w:r>
        <w:rPr>
          <w:color w:val="221F1F"/>
        </w:rPr>
        <w:t>Party</w:t>
      </w:r>
      <w:r>
        <w:rPr>
          <w:color w:val="221F1F"/>
          <w:spacing w:val="-4"/>
        </w:rPr>
        <w:t xml:space="preserve"> </w:t>
      </w:r>
      <w:r>
        <w:rPr>
          <w:color w:val="221F1F"/>
        </w:rPr>
        <w:t>could</w:t>
      </w:r>
      <w:r>
        <w:rPr>
          <w:color w:val="221F1F"/>
          <w:spacing w:val="-3"/>
        </w:rPr>
        <w:t xml:space="preserve"> </w:t>
      </w:r>
      <w:r>
        <w:rPr>
          <w:color w:val="221F1F"/>
        </w:rPr>
        <w:t>not</w:t>
      </w:r>
      <w:r>
        <w:rPr>
          <w:color w:val="221F1F"/>
          <w:spacing w:val="-5"/>
        </w:rPr>
        <w:t xml:space="preserve"> </w:t>
      </w:r>
      <w:r>
        <w:rPr>
          <w:color w:val="221F1F"/>
        </w:rPr>
        <w:t>reasonably</w:t>
      </w:r>
      <w:r>
        <w:rPr>
          <w:color w:val="221F1F"/>
          <w:spacing w:val="-2"/>
        </w:rPr>
        <w:t xml:space="preserve"> </w:t>
      </w:r>
      <w:r>
        <w:rPr>
          <w:color w:val="221F1F"/>
        </w:rPr>
        <w:t>have</w:t>
      </w:r>
      <w:r>
        <w:rPr>
          <w:color w:val="221F1F"/>
          <w:spacing w:val="-2"/>
        </w:rPr>
        <w:t xml:space="preserve"> </w:t>
      </w:r>
      <w:r>
        <w:rPr>
          <w:color w:val="221F1F"/>
        </w:rPr>
        <w:t>provided</w:t>
      </w:r>
      <w:r>
        <w:rPr>
          <w:color w:val="221F1F"/>
          <w:spacing w:val="-4"/>
        </w:rPr>
        <w:t xml:space="preserve"> </w:t>
      </w:r>
      <w:r>
        <w:rPr>
          <w:color w:val="221F1F"/>
        </w:rPr>
        <w:t>against</w:t>
      </w:r>
      <w:r>
        <w:rPr>
          <w:color w:val="221F1F"/>
          <w:spacing w:val="-3"/>
        </w:rPr>
        <w:t xml:space="preserve"> </w:t>
      </w:r>
      <w:r>
        <w:rPr>
          <w:color w:val="221F1F"/>
        </w:rPr>
        <w:t>before</w:t>
      </w:r>
      <w:r>
        <w:rPr>
          <w:color w:val="221F1F"/>
          <w:spacing w:val="-5"/>
        </w:rPr>
        <w:t xml:space="preserve"> </w:t>
      </w:r>
      <w:r>
        <w:rPr>
          <w:color w:val="221F1F"/>
        </w:rPr>
        <w:t>entering</w:t>
      </w:r>
      <w:r>
        <w:rPr>
          <w:color w:val="221F1F"/>
          <w:spacing w:val="-4"/>
        </w:rPr>
        <w:t xml:space="preserve"> </w:t>
      </w:r>
      <w:r>
        <w:rPr>
          <w:color w:val="221F1F"/>
        </w:rPr>
        <w:t>into</w:t>
      </w:r>
      <w:r>
        <w:rPr>
          <w:color w:val="221F1F"/>
          <w:spacing w:val="-5"/>
        </w:rPr>
        <w:t xml:space="preserve"> </w:t>
      </w:r>
      <w:r>
        <w:rPr>
          <w:color w:val="221F1F"/>
        </w:rPr>
        <w:t>the</w:t>
      </w:r>
      <w:r>
        <w:rPr>
          <w:color w:val="221F1F"/>
          <w:spacing w:val="-2"/>
        </w:rPr>
        <w:t xml:space="preserve"> Contract,</w:t>
      </w:r>
    </w:p>
    <w:p w:rsidR="007F6DF9" w:rsidRDefault="00A43FBC">
      <w:pPr>
        <w:pStyle w:val="ListParagraph"/>
        <w:numPr>
          <w:ilvl w:val="0"/>
          <w:numId w:val="85"/>
        </w:numPr>
        <w:tabs>
          <w:tab w:val="left" w:pos="1872"/>
        </w:tabs>
        <w:spacing w:before="40"/>
        <w:ind w:left="1872" w:hanging="446"/>
      </w:pPr>
      <w:r>
        <w:rPr>
          <w:color w:val="221F1F"/>
        </w:rPr>
        <w:t>which,</w:t>
      </w:r>
      <w:r>
        <w:rPr>
          <w:color w:val="221F1F"/>
          <w:spacing w:val="-3"/>
        </w:rPr>
        <w:t xml:space="preserve"> </w:t>
      </w:r>
      <w:r>
        <w:rPr>
          <w:color w:val="221F1F"/>
        </w:rPr>
        <w:t>having</w:t>
      </w:r>
      <w:r>
        <w:rPr>
          <w:color w:val="221F1F"/>
          <w:spacing w:val="-3"/>
        </w:rPr>
        <w:t xml:space="preserve"> </w:t>
      </w:r>
      <w:r>
        <w:rPr>
          <w:color w:val="221F1F"/>
        </w:rPr>
        <w:t>arisen,</w:t>
      </w:r>
      <w:r>
        <w:rPr>
          <w:color w:val="221F1F"/>
          <w:spacing w:val="-2"/>
        </w:rPr>
        <w:t xml:space="preserve"> </w:t>
      </w:r>
      <w:r>
        <w:rPr>
          <w:color w:val="221F1F"/>
        </w:rPr>
        <w:t>such</w:t>
      </w:r>
      <w:r>
        <w:rPr>
          <w:color w:val="221F1F"/>
          <w:spacing w:val="-5"/>
        </w:rPr>
        <w:t xml:space="preserve"> </w:t>
      </w:r>
      <w:r>
        <w:rPr>
          <w:color w:val="221F1F"/>
        </w:rPr>
        <w:t>Party</w:t>
      </w:r>
      <w:r>
        <w:rPr>
          <w:color w:val="221F1F"/>
          <w:spacing w:val="-4"/>
        </w:rPr>
        <w:t xml:space="preserve"> </w:t>
      </w:r>
      <w:r>
        <w:rPr>
          <w:color w:val="221F1F"/>
        </w:rPr>
        <w:t>could</w:t>
      </w:r>
      <w:r>
        <w:rPr>
          <w:color w:val="221F1F"/>
          <w:spacing w:val="-3"/>
        </w:rPr>
        <w:t xml:space="preserve"> </w:t>
      </w:r>
      <w:r>
        <w:rPr>
          <w:color w:val="221F1F"/>
        </w:rPr>
        <w:t>not</w:t>
      </w:r>
      <w:r>
        <w:rPr>
          <w:color w:val="221F1F"/>
          <w:spacing w:val="-2"/>
        </w:rPr>
        <w:t xml:space="preserve"> </w:t>
      </w:r>
      <w:r>
        <w:rPr>
          <w:color w:val="221F1F"/>
        </w:rPr>
        <w:t>reasonably</w:t>
      </w:r>
      <w:r>
        <w:rPr>
          <w:color w:val="221F1F"/>
          <w:spacing w:val="-5"/>
        </w:rPr>
        <w:t xml:space="preserve"> </w:t>
      </w:r>
      <w:r>
        <w:rPr>
          <w:color w:val="221F1F"/>
        </w:rPr>
        <w:t>have</w:t>
      </w:r>
      <w:r>
        <w:rPr>
          <w:color w:val="221F1F"/>
          <w:spacing w:val="-1"/>
        </w:rPr>
        <w:t xml:space="preserve"> </w:t>
      </w:r>
      <w:r>
        <w:rPr>
          <w:color w:val="221F1F"/>
        </w:rPr>
        <w:t>avoided</w:t>
      </w:r>
      <w:r>
        <w:rPr>
          <w:color w:val="221F1F"/>
          <w:spacing w:val="-3"/>
        </w:rPr>
        <w:t xml:space="preserve"> </w:t>
      </w:r>
      <w:r>
        <w:rPr>
          <w:color w:val="221F1F"/>
        </w:rPr>
        <w:t>or</w:t>
      </w:r>
      <w:r>
        <w:rPr>
          <w:color w:val="221F1F"/>
          <w:spacing w:val="-2"/>
        </w:rPr>
        <w:t xml:space="preserve"> </w:t>
      </w:r>
      <w:proofErr w:type="spellStart"/>
      <w:r>
        <w:rPr>
          <w:color w:val="221F1F"/>
        </w:rPr>
        <w:t>over</w:t>
      </w:r>
      <w:r>
        <w:rPr>
          <w:color w:val="221F1F"/>
          <w:spacing w:val="-2"/>
        </w:rPr>
        <w:t xml:space="preserve"> </w:t>
      </w:r>
      <w:r>
        <w:rPr>
          <w:color w:val="221F1F"/>
        </w:rPr>
        <w:t>come</w:t>
      </w:r>
      <w:proofErr w:type="spellEnd"/>
      <w:r>
        <w:rPr>
          <w:color w:val="221F1F"/>
        </w:rPr>
        <w:t>,</w:t>
      </w:r>
      <w:r>
        <w:rPr>
          <w:color w:val="221F1F"/>
          <w:spacing w:val="-4"/>
        </w:rPr>
        <w:t xml:space="preserve"> </w:t>
      </w:r>
      <w:r>
        <w:rPr>
          <w:color w:val="221F1F"/>
          <w:spacing w:val="-5"/>
        </w:rPr>
        <w:t>and</w:t>
      </w:r>
    </w:p>
    <w:p w:rsidR="007F6DF9" w:rsidRDefault="00A43FBC">
      <w:pPr>
        <w:pStyle w:val="ListParagraph"/>
        <w:numPr>
          <w:ilvl w:val="0"/>
          <w:numId w:val="85"/>
        </w:numPr>
        <w:tabs>
          <w:tab w:val="left" w:pos="1872"/>
        </w:tabs>
        <w:spacing w:before="38"/>
        <w:ind w:left="1872" w:hanging="446"/>
      </w:pPr>
      <w:r>
        <w:rPr>
          <w:color w:val="221F1F"/>
        </w:rPr>
        <w:t>which</w:t>
      </w:r>
      <w:r>
        <w:rPr>
          <w:color w:val="221F1F"/>
          <w:spacing w:val="-5"/>
        </w:rPr>
        <w:t xml:space="preserve"> </w:t>
      </w:r>
      <w:r>
        <w:rPr>
          <w:color w:val="221F1F"/>
        </w:rPr>
        <w:t>is</w:t>
      </w:r>
      <w:r>
        <w:rPr>
          <w:color w:val="221F1F"/>
          <w:spacing w:val="-3"/>
        </w:rPr>
        <w:t xml:space="preserve"> </w:t>
      </w:r>
      <w:r>
        <w:rPr>
          <w:color w:val="221F1F"/>
        </w:rPr>
        <w:t>not</w:t>
      </w:r>
      <w:r>
        <w:rPr>
          <w:color w:val="221F1F"/>
          <w:spacing w:val="-3"/>
        </w:rPr>
        <w:t xml:space="preserve"> </w:t>
      </w:r>
      <w:r>
        <w:rPr>
          <w:color w:val="221F1F"/>
        </w:rPr>
        <w:t>substantially</w:t>
      </w:r>
      <w:r>
        <w:rPr>
          <w:color w:val="221F1F"/>
          <w:spacing w:val="-4"/>
        </w:rPr>
        <w:t xml:space="preserve"> </w:t>
      </w:r>
      <w:r>
        <w:rPr>
          <w:color w:val="221F1F"/>
        </w:rPr>
        <w:t>attributable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other</w:t>
      </w:r>
      <w:r>
        <w:rPr>
          <w:color w:val="221F1F"/>
          <w:spacing w:val="-2"/>
        </w:rPr>
        <w:t xml:space="preserve"> Party.</w:t>
      </w:r>
    </w:p>
    <w:p w:rsidR="007F6DF9" w:rsidRDefault="00A43FBC">
      <w:pPr>
        <w:pStyle w:val="ListParagraph"/>
        <w:numPr>
          <w:ilvl w:val="2"/>
          <w:numId w:val="122"/>
        </w:numPr>
        <w:tabs>
          <w:tab w:val="left" w:pos="1426"/>
          <w:tab w:val="left" w:pos="1431"/>
        </w:tabs>
        <w:spacing w:before="240" w:line="232" w:lineRule="auto"/>
        <w:ind w:left="1431" w:right="552" w:hanging="721"/>
        <w:rPr>
          <w:color w:val="221F1F"/>
        </w:rPr>
      </w:pPr>
      <w:r>
        <w:rPr>
          <w:color w:val="221F1F"/>
        </w:rPr>
        <w:t>Force</w:t>
      </w:r>
      <w:r>
        <w:rPr>
          <w:color w:val="221F1F"/>
          <w:spacing w:val="-14"/>
        </w:rPr>
        <w:t xml:space="preserve"> </w:t>
      </w:r>
      <w:r>
        <w:rPr>
          <w:color w:val="221F1F"/>
        </w:rPr>
        <w:t>Majeure</w:t>
      </w:r>
      <w:r>
        <w:rPr>
          <w:color w:val="221F1F"/>
          <w:spacing w:val="-14"/>
        </w:rPr>
        <w:t xml:space="preserve"> </w:t>
      </w:r>
      <w:r>
        <w:rPr>
          <w:color w:val="221F1F"/>
        </w:rPr>
        <w:t>may</w:t>
      </w:r>
      <w:r>
        <w:rPr>
          <w:color w:val="221F1F"/>
          <w:spacing w:val="-14"/>
        </w:rPr>
        <w:t xml:space="preserve"> </w:t>
      </w:r>
      <w:r>
        <w:rPr>
          <w:color w:val="221F1F"/>
        </w:rPr>
        <w:t>include,</w:t>
      </w:r>
      <w:r>
        <w:rPr>
          <w:color w:val="221F1F"/>
          <w:spacing w:val="-14"/>
        </w:rPr>
        <w:t xml:space="preserve"> </w:t>
      </w:r>
      <w:r>
        <w:rPr>
          <w:color w:val="221F1F"/>
        </w:rPr>
        <w:t>but</w:t>
      </w:r>
      <w:r>
        <w:rPr>
          <w:color w:val="221F1F"/>
          <w:spacing w:val="-14"/>
        </w:rPr>
        <w:t xml:space="preserve"> </w:t>
      </w:r>
      <w:r>
        <w:rPr>
          <w:color w:val="221F1F"/>
        </w:rPr>
        <w:t>is</w:t>
      </w:r>
      <w:r>
        <w:rPr>
          <w:color w:val="221F1F"/>
          <w:spacing w:val="-14"/>
        </w:rPr>
        <w:t xml:space="preserve"> </w:t>
      </w:r>
      <w:r>
        <w:rPr>
          <w:color w:val="221F1F"/>
        </w:rPr>
        <w:t>not</w:t>
      </w:r>
      <w:r>
        <w:rPr>
          <w:color w:val="221F1F"/>
          <w:spacing w:val="-14"/>
        </w:rPr>
        <w:t xml:space="preserve"> </w:t>
      </w:r>
      <w:r>
        <w:rPr>
          <w:color w:val="221F1F"/>
        </w:rPr>
        <w:t>limited</w:t>
      </w:r>
      <w:r>
        <w:rPr>
          <w:color w:val="221F1F"/>
          <w:spacing w:val="-14"/>
        </w:rPr>
        <w:t xml:space="preserve"> </w:t>
      </w:r>
      <w:r>
        <w:rPr>
          <w:color w:val="221F1F"/>
        </w:rPr>
        <w:t>to,</w:t>
      </w:r>
      <w:r>
        <w:rPr>
          <w:color w:val="221F1F"/>
          <w:spacing w:val="-15"/>
        </w:rPr>
        <w:t xml:space="preserve"> </w:t>
      </w:r>
      <w:r>
        <w:rPr>
          <w:color w:val="221F1F"/>
        </w:rPr>
        <w:t>exceptional</w:t>
      </w:r>
      <w:r>
        <w:rPr>
          <w:color w:val="221F1F"/>
          <w:spacing w:val="-13"/>
        </w:rPr>
        <w:t xml:space="preserve"> </w:t>
      </w:r>
      <w:r>
        <w:rPr>
          <w:color w:val="221F1F"/>
        </w:rPr>
        <w:t>events</w:t>
      </w:r>
      <w:r>
        <w:rPr>
          <w:color w:val="221F1F"/>
          <w:spacing w:val="-14"/>
        </w:rPr>
        <w:t xml:space="preserve"> </w:t>
      </w:r>
      <w:r>
        <w:rPr>
          <w:color w:val="221F1F"/>
        </w:rPr>
        <w:t>or</w:t>
      </w:r>
      <w:r>
        <w:rPr>
          <w:color w:val="221F1F"/>
          <w:spacing w:val="-14"/>
        </w:rPr>
        <w:t xml:space="preserve"> </w:t>
      </w:r>
      <w:r>
        <w:rPr>
          <w:color w:val="221F1F"/>
        </w:rPr>
        <w:t>circumstances</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kind</w:t>
      </w:r>
      <w:r>
        <w:rPr>
          <w:color w:val="221F1F"/>
          <w:spacing w:val="-15"/>
        </w:rPr>
        <w:t xml:space="preserve"> </w:t>
      </w:r>
      <w:r>
        <w:rPr>
          <w:color w:val="221F1F"/>
        </w:rPr>
        <w:t>listed</w:t>
      </w:r>
      <w:r>
        <w:rPr>
          <w:color w:val="221F1F"/>
          <w:spacing w:val="-14"/>
        </w:rPr>
        <w:t xml:space="preserve"> </w:t>
      </w:r>
      <w:r>
        <w:rPr>
          <w:color w:val="221F1F"/>
        </w:rPr>
        <w:t xml:space="preserve">below, s </w:t>
      </w:r>
      <w:proofErr w:type="spellStart"/>
      <w:r>
        <w:rPr>
          <w:color w:val="221F1F"/>
        </w:rPr>
        <w:t>olong</w:t>
      </w:r>
      <w:proofErr w:type="spellEnd"/>
      <w:r>
        <w:rPr>
          <w:color w:val="221F1F"/>
        </w:rPr>
        <w:t xml:space="preserve"> as conditions (a) to (d) above are satisfied:</w:t>
      </w:r>
    </w:p>
    <w:p w:rsidR="007F6DF9" w:rsidRDefault="00A43FBC">
      <w:pPr>
        <w:pStyle w:val="ListParagraph"/>
        <w:numPr>
          <w:ilvl w:val="0"/>
          <w:numId w:val="47"/>
        </w:numPr>
        <w:tabs>
          <w:tab w:val="left" w:pos="1872"/>
        </w:tabs>
        <w:spacing w:line="246" w:lineRule="exact"/>
        <w:ind w:left="1872" w:hanging="446"/>
      </w:pPr>
      <w:r>
        <w:rPr>
          <w:color w:val="221F1F"/>
        </w:rPr>
        <w:t>war,</w:t>
      </w:r>
      <w:r>
        <w:rPr>
          <w:color w:val="221F1F"/>
          <w:spacing w:val="-11"/>
        </w:rPr>
        <w:t xml:space="preserve"> </w:t>
      </w:r>
      <w:r>
        <w:rPr>
          <w:color w:val="221F1F"/>
        </w:rPr>
        <w:t>hostilities</w:t>
      </w:r>
      <w:r>
        <w:rPr>
          <w:color w:val="221F1F"/>
          <w:spacing w:val="-5"/>
        </w:rPr>
        <w:t xml:space="preserve"> </w:t>
      </w:r>
      <w:r>
        <w:rPr>
          <w:color w:val="221F1F"/>
        </w:rPr>
        <w:t>(whether</w:t>
      </w:r>
      <w:r>
        <w:rPr>
          <w:color w:val="221F1F"/>
          <w:spacing w:val="-3"/>
        </w:rPr>
        <w:t xml:space="preserve"> </w:t>
      </w:r>
      <w:r>
        <w:rPr>
          <w:color w:val="221F1F"/>
        </w:rPr>
        <w:t>war</w:t>
      </w:r>
      <w:r>
        <w:rPr>
          <w:color w:val="221F1F"/>
          <w:spacing w:val="-3"/>
        </w:rPr>
        <w:t xml:space="preserve"> </w:t>
      </w:r>
      <w:r>
        <w:rPr>
          <w:color w:val="221F1F"/>
        </w:rPr>
        <w:t>be</w:t>
      </w:r>
      <w:r>
        <w:rPr>
          <w:color w:val="221F1F"/>
          <w:spacing w:val="-4"/>
        </w:rPr>
        <w:t xml:space="preserve"> </w:t>
      </w:r>
      <w:r>
        <w:rPr>
          <w:color w:val="221F1F"/>
        </w:rPr>
        <w:t>declared</w:t>
      </w:r>
      <w:r>
        <w:rPr>
          <w:color w:val="221F1F"/>
          <w:spacing w:val="-4"/>
        </w:rPr>
        <w:t xml:space="preserve"> </w:t>
      </w:r>
      <w:r>
        <w:rPr>
          <w:color w:val="221F1F"/>
        </w:rPr>
        <w:t>or</w:t>
      </w:r>
      <w:r>
        <w:rPr>
          <w:color w:val="221F1F"/>
          <w:spacing w:val="-7"/>
        </w:rPr>
        <w:t xml:space="preserve"> </w:t>
      </w:r>
      <w:r>
        <w:rPr>
          <w:color w:val="221F1F"/>
        </w:rPr>
        <w:t>not),</w:t>
      </w:r>
      <w:r>
        <w:rPr>
          <w:color w:val="221F1F"/>
          <w:spacing w:val="-4"/>
        </w:rPr>
        <w:t xml:space="preserve"> </w:t>
      </w:r>
      <w:r>
        <w:rPr>
          <w:color w:val="221F1F"/>
        </w:rPr>
        <w:t>invasion,</w:t>
      </w:r>
      <w:r>
        <w:rPr>
          <w:color w:val="221F1F"/>
          <w:spacing w:val="-4"/>
        </w:rPr>
        <w:t xml:space="preserve"> </w:t>
      </w:r>
      <w:r>
        <w:rPr>
          <w:color w:val="221F1F"/>
        </w:rPr>
        <w:t>act</w:t>
      </w:r>
      <w:r>
        <w:rPr>
          <w:color w:val="221F1F"/>
          <w:spacing w:val="-3"/>
        </w:rPr>
        <w:t xml:space="preserve"> </w:t>
      </w:r>
      <w:r>
        <w:rPr>
          <w:color w:val="221F1F"/>
        </w:rPr>
        <w:t>of</w:t>
      </w:r>
      <w:r>
        <w:rPr>
          <w:color w:val="221F1F"/>
          <w:spacing w:val="-6"/>
        </w:rPr>
        <w:t xml:space="preserve"> </w:t>
      </w:r>
      <w:r>
        <w:rPr>
          <w:color w:val="221F1F"/>
        </w:rPr>
        <w:t>foreign</w:t>
      </w:r>
      <w:r>
        <w:rPr>
          <w:color w:val="221F1F"/>
          <w:spacing w:val="-4"/>
        </w:rPr>
        <w:t xml:space="preserve"> </w:t>
      </w:r>
      <w:r>
        <w:rPr>
          <w:color w:val="221F1F"/>
          <w:spacing w:val="-2"/>
        </w:rPr>
        <w:t>enemies,</w:t>
      </w:r>
    </w:p>
    <w:p w:rsidR="007F6DF9" w:rsidRDefault="00A43FBC">
      <w:pPr>
        <w:pStyle w:val="ListParagraph"/>
        <w:numPr>
          <w:ilvl w:val="0"/>
          <w:numId w:val="47"/>
        </w:numPr>
        <w:tabs>
          <w:tab w:val="left" w:pos="1872"/>
          <w:tab w:val="left" w:pos="1882"/>
        </w:tabs>
        <w:spacing w:before="4" w:line="230" w:lineRule="auto"/>
        <w:ind w:left="1882" w:right="1650" w:hanging="456"/>
      </w:pPr>
      <w:r>
        <w:rPr>
          <w:color w:val="221F1F"/>
        </w:rPr>
        <w:t>rebellion,</w:t>
      </w:r>
      <w:r>
        <w:rPr>
          <w:color w:val="221F1F"/>
          <w:spacing w:val="-5"/>
        </w:rPr>
        <w:t xml:space="preserve"> </w:t>
      </w:r>
      <w:r>
        <w:rPr>
          <w:color w:val="221F1F"/>
        </w:rPr>
        <w:t>terrorism,</w:t>
      </w:r>
      <w:r>
        <w:rPr>
          <w:color w:val="221F1F"/>
          <w:spacing w:val="-4"/>
        </w:rPr>
        <w:t xml:space="preserve"> </w:t>
      </w:r>
      <w:r>
        <w:rPr>
          <w:color w:val="221F1F"/>
        </w:rPr>
        <w:t>sabotage</w:t>
      </w:r>
      <w:r>
        <w:rPr>
          <w:color w:val="221F1F"/>
          <w:spacing w:val="-2"/>
        </w:rPr>
        <w:t xml:space="preserve"> </w:t>
      </w:r>
      <w:r>
        <w:rPr>
          <w:color w:val="221F1F"/>
        </w:rPr>
        <w:t>by</w:t>
      </w:r>
      <w:r>
        <w:rPr>
          <w:color w:val="221F1F"/>
          <w:spacing w:val="-3"/>
        </w:rPr>
        <w:t xml:space="preserve"> </w:t>
      </w:r>
      <w:r>
        <w:rPr>
          <w:color w:val="221F1F"/>
        </w:rPr>
        <w:t>persons</w:t>
      </w:r>
      <w:r>
        <w:rPr>
          <w:color w:val="221F1F"/>
          <w:spacing w:val="-3"/>
        </w:rPr>
        <w:t xml:space="preserve"> </w:t>
      </w:r>
      <w:r>
        <w:rPr>
          <w:color w:val="221F1F"/>
        </w:rPr>
        <w:t>other</w:t>
      </w:r>
      <w:r>
        <w:rPr>
          <w:color w:val="221F1F"/>
          <w:spacing w:val="-2"/>
        </w:rPr>
        <w:t xml:space="preserve"> </w:t>
      </w:r>
      <w:r>
        <w:rPr>
          <w:color w:val="221F1F"/>
        </w:rPr>
        <w:t>than</w:t>
      </w:r>
      <w:r>
        <w:rPr>
          <w:color w:val="221F1F"/>
          <w:spacing w:val="-2"/>
        </w:rPr>
        <w:t xml:space="preserve"> </w:t>
      </w:r>
      <w:r>
        <w:rPr>
          <w:color w:val="221F1F"/>
        </w:rPr>
        <w:t>the</w:t>
      </w:r>
      <w:r>
        <w:rPr>
          <w:color w:val="221F1F"/>
          <w:spacing w:val="-3"/>
        </w:rPr>
        <w:t xml:space="preserve"> </w:t>
      </w:r>
      <w:r>
        <w:rPr>
          <w:color w:val="221F1F"/>
        </w:rPr>
        <w:t>Contractor's</w:t>
      </w:r>
      <w:r>
        <w:rPr>
          <w:color w:val="221F1F"/>
          <w:spacing w:val="-2"/>
        </w:rPr>
        <w:t xml:space="preserve"> </w:t>
      </w:r>
      <w:r>
        <w:rPr>
          <w:color w:val="221F1F"/>
        </w:rPr>
        <w:t>Personnel,</w:t>
      </w:r>
      <w:r>
        <w:rPr>
          <w:color w:val="221F1F"/>
          <w:spacing w:val="-2"/>
        </w:rPr>
        <w:t xml:space="preserve"> </w:t>
      </w:r>
      <w:r>
        <w:rPr>
          <w:color w:val="221F1F"/>
        </w:rPr>
        <w:t>revolution, insurrection, military or usurped power, or civil war,</w:t>
      </w:r>
    </w:p>
    <w:p w:rsidR="007F6DF9" w:rsidRDefault="00A43FBC">
      <w:pPr>
        <w:pStyle w:val="ListParagraph"/>
        <w:numPr>
          <w:ilvl w:val="0"/>
          <w:numId w:val="47"/>
        </w:numPr>
        <w:tabs>
          <w:tab w:val="left" w:pos="1872"/>
        </w:tabs>
        <w:spacing w:line="248" w:lineRule="exact"/>
        <w:ind w:left="1872" w:hanging="446"/>
      </w:pPr>
      <w:r>
        <w:rPr>
          <w:color w:val="221F1F"/>
        </w:rPr>
        <w:t>riot,</w:t>
      </w:r>
      <w:r>
        <w:rPr>
          <w:color w:val="221F1F"/>
          <w:spacing w:val="-6"/>
        </w:rPr>
        <w:t xml:space="preserve"> </w:t>
      </w:r>
      <w:r>
        <w:rPr>
          <w:color w:val="221F1F"/>
        </w:rPr>
        <w:t>commotion,</w:t>
      </w:r>
      <w:r>
        <w:rPr>
          <w:color w:val="221F1F"/>
          <w:spacing w:val="-5"/>
        </w:rPr>
        <w:t xml:space="preserve"> </w:t>
      </w:r>
      <w:r>
        <w:rPr>
          <w:color w:val="221F1F"/>
        </w:rPr>
        <w:t>disorder,</w:t>
      </w:r>
      <w:r>
        <w:rPr>
          <w:color w:val="221F1F"/>
          <w:spacing w:val="-4"/>
        </w:rPr>
        <w:t xml:space="preserve"> </w:t>
      </w:r>
      <w:r>
        <w:rPr>
          <w:color w:val="221F1F"/>
        </w:rPr>
        <w:t>strike</w:t>
      </w:r>
      <w:r>
        <w:rPr>
          <w:color w:val="221F1F"/>
          <w:spacing w:val="-3"/>
        </w:rPr>
        <w:t xml:space="preserve"> </w:t>
      </w:r>
      <w:r>
        <w:rPr>
          <w:color w:val="221F1F"/>
        </w:rPr>
        <w:t>or</w:t>
      </w:r>
      <w:r>
        <w:rPr>
          <w:color w:val="221F1F"/>
          <w:spacing w:val="-2"/>
        </w:rPr>
        <w:t xml:space="preserve"> </w:t>
      </w:r>
      <w:proofErr w:type="spellStart"/>
      <w:r>
        <w:rPr>
          <w:color w:val="221F1F"/>
        </w:rPr>
        <w:t>lock</w:t>
      </w:r>
      <w:r>
        <w:rPr>
          <w:color w:val="221F1F"/>
          <w:spacing w:val="-3"/>
        </w:rPr>
        <w:t xml:space="preserve"> </w:t>
      </w:r>
      <w:r>
        <w:rPr>
          <w:color w:val="221F1F"/>
        </w:rPr>
        <w:t>out</w:t>
      </w:r>
      <w:proofErr w:type="spellEnd"/>
      <w:r>
        <w:rPr>
          <w:color w:val="221F1F"/>
          <w:spacing w:val="-3"/>
        </w:rPr>
        <w:t xml:space="preserve"> </w:t>
      </w:r>
      <w:r>
        <w:rPr>
          <w:color w:val="221F1F"/>
        </w:rPr>
        <w:t>by</w:t>
      </w:r>
      <w:r>
        <w:rPr>
          <w:color w:val="221F1F"/>
          <w:spacing w:val="-6"/>
        </w:rPr>
        <w:t xml:space="preserve"> </w:t>
      </w:r>
      <w:r>
        <w:rPr>
          <w:color w:val="221F1F"/>
        </w:rPr>
        <w:t>persons</w:t>
      </w:r>
      <w:r>
        <w:rPr>
          <w:color w:val="221F1F"/>
          <w:spacing w:val="-4"/>
        </w:rPr>
        <w:t xml:space="preserve"> </w:t>
      </w:r>
      <w:r>
        <w:rPr>
          <w:color w:val="221F1F"/>
        </w:rPr>
        <w:t>other</w:t>
      </w:r>
      <w:r>
        <w:rPr>
          <w:color w:val="221F1F"/>
          <w:spacing w:val="-3"/>
        </w:rPr>
        <w:t xml:space="preserve"> </w:t>
      </w:r>
      <w:r>
        <w:rPr>
          <w:color w:val="221F1F"/>
        </w:rPr>
        <w:t>than</w:t>
      </w:r>
      <w:r>
        <w:rPr>
          <w:color w:val="221F1F"/>
          <w:spacing w:val="-5"/>
        </w:rPr>
        <w:t xml:space="preserve"> </w:t>
      </w:r>
      <w:r>
        <w:rPr>
          <w:color w:val="221F1F"/>
        </w:rPr>
        <w:t>the</w:t>
      </w:r>
      <w:r>
        <w:rPr>
          <w:color w:val="221F1F"/>
          <w:spacing w:val="-3"/>
        </w:rPr>
        <w:t xml:space="preserve"> </w:t>
      </w:r>
      <w:r>
        <w:rPr>
          <w:color w:val="221F1F"/>
        </w:rPr>
        <w:t>Contractor's</w:t>
      </w:r>
      <w:r>
        <w:rPr>
          <w:color w:val="221F1F"/>
          <w:spacing w:val="-4"/>
        </w:rPr>
        <w:t xml:space="preserve"> </w:t>
      </w:r>
      <w:r>
        <w:rPr>
          <w:color w:val="221F1F"/>
          <w:spacing w:val="-2"/>
        </w:rPr>
        <w:t>Personnel,</w:t>
      </w:r>
    </w:p>
    <w:p w:rsidR="007F6DF9" w:rsidRDefault="00A43FBC">
      <w:pPr>
        <w:pStyle w:val="ListParagraph"/>
        <w:numPr>
          <w:ilvl w:val="0"/>
          <w:numId w:val="47"/>
        </w:numPr>
        <w:tabs>
          <w:tab w:val="left" w:pos="1872"/>
          <w:tab w:val="left" w:pos="1882"/>
        </w:tabs>
        <w:spacing w:before="6" w:line="230" w:lineRule="auto"/>
        <w:ind w:left="1882" w:right="651" w:hanging="456"/>
      </w:pPr>
      <w:r>
        <w:rPr>
          <w:color w:val="221F1F"/>
        </w:rPr>
        <w:t>munitions</w:t>
      </w:r>
      <w:r>
        <w:rPr>
          <w:color w:val="221F1F"/>
          <w:spacing w:val="-5"/>
        </w:rPr>
        <w:t xml:space="preserve"> </w:t>
      </w:r>
      <w:r>
        <w:rPr>
          <w:color w:val="221F1F"/>
        </w:rPr>
        <w:t>of</w:t>
      </w:r>
      <w:r>
        <w:rPr>
          <w:color w:val="221F1F"/>
          <w:spacing w:val="-2"/>
        </w:rPr>
        <w:t xml:space="preserve"> </w:t>
      </w:r>
      <w:r>
        <w:rPr>
          <w:color w:val="221F1F"/>
        </w:rPr>
        <w:t>war,</w:t>
      </w:r>
      <w:r>
        <w:rPr>
          <w:color w:val="221F1F"/>
          <w:spacing w:val="-8"/>
        </w:rPr>
        <w:t xml:space="preserve"> </w:t>
      </w:r>
      <w:r>
        <w:rPr>
          <w:color w:val="221F1F"/>
        </w:rPr>
        <w:t>explosive</w:t>
      </w:r>
      <w:r>
        <w:rPr>
          <w:color w:val="221F1F"/>
          <w:spacing w:val="-5"/>
        </w:rPr>
        <w:t xml:space="preserve"> </w:t>
      </w:r>
      <w:r>
        <w:rPr>
          <w:color w:val="221F1F"/>
        </w:rPr>
        <w:t>materials,</w:t>
      </w:r>
      <w:r>
        <w:rPr>
          <w:color w:val="221F1F"/>
          <w:spacing w:val="-5"/>
        </w:rPr>
        <w:t xml:space="preserve"> </w:t>
      </w:r>
      <w:r>
        <w:rPr>
          <w:color w:val="221F1F"/>
        </w:rPr>
        <w:t>ionizing</w:t>
      </w:r>
      <w:r>
        <w:rPr>
          <w:color w:val="221F1F"/>
          <w:spacing w:val="-3"/>
        </w:rPr>
        <w:t xml:space="preserve"> </w:t>
      </w:r>
      <w:r>
        <w:rPr>
          <w:color w:val="221F1F"/>
        </w:rPr>
        <w:t>radiation</w:t>
      </w:r>
      <w:r>
        <w:rPr>
          <w:color w:val="221F1F"/>
          <w:spacing w:val="-3"/>
        </w:rPr>
        <w:t xml:space="preserve"> </w:t>
      </w:r>
      <w:r>
        <w:rPr>
          <w:color w:val="221F1F"/>
        </w:rPr>
        <w:t>or</w:t>
      </w:r>
      <w:r>
        <w:rPr>
          <w:color w:val="221F1F"/>
          <w:spacing w:val="-3"/>
        </w:rPr>
        <w:t xml:space="preserve"> </w:t>
      </w:r>
      <w:r>
        <w:rPr>
          <w:color w:val="221F1F"/>
        </w:rPr>
        <w:t>contamination</w:t>
      </w:r>
      <w:r>
        <w:rPr>
          <w:color w:val="221F1F"/>
          <w:spacing w:val="-3"/>
        </w:rPr>
        <w:t xml:space="preserve"> </w:t>
      </w:r>
      <w:r>
        <w:rPr>
          <w:color w:val="221F1F"/>
        </w:rPr>
        <w:t>by</w:t>
      </w:r>
      <w:r>
        <w:rPr>
          <w:color w:val="221F1F"/>
          <w:spacing w:val="-3"/>
        </w:rPr>
        <w:t xml:space="preserve"> </w:t>
      </w:r>
      <w:r>
        <w:rPr>
          <w:color w:val="221F1F"/>
        </w:rPr>
        <w:t>radio-activity,</w:t>
      </w:r>
      <w:r>
        <w:rPr>
          <w:color w:val="221F1F"/>
          <w:spacing w:val="-3"/>
        </w:rPr>
        <w:t xml:space="preserve"> </w:t>
      </w:r>
      <w:r>
        <w:rPr>
          <w:color w:val="221F1F"/>
        </w:rPr>
        <w:t>except</w:t>
      </w:r>
      <w:r>
        <w:rPr>
          <w:color w:val="221F1F"/>
          <w:spacing w:val="-4"/>
        </w:rPr>
        <w:t xml:space="preserve"> </w:t>
      </w:r>
      <w:r>
        <w:rPr>
          <w:color w:val="221F1F"/>
        </w:rPr>
        <w:t xml:space="preserve">as </w:t>
      </w:r>
      <w:proofErr w:type="spellStart"/>
      <w:r>
        <w:rPr>
          <w:color w:val="221F1F"/>
        </w:rPr>
        <w:t>maybeattributabletotheContractor'suseofsuchmunitions</w:t>
      </w:r>
      <w:proofErr w:type="spellEnd"/>
      <w:r>
        <w:rPr>
          <w:color w:val="221F1F"/>
        </w:rPr>
        <w:t>, explosives, radiation or radio-activity, and</w:t>
      </w:r>
    </w:p>
    <w:p w:rsidR="007F6DF9" w:rsidRDefault="00A43FBC">
      <w:pPr>
        <w:pStyle w:val="ListParagraph"/>
        <w:numPr>
          <w:ilvl w:val="0"/>
          <w:numId w:val="47"/>
        </w:numPr>
        <w:tabs>
          <w:tab w:val="left" w:pos="1872"/>
        </w:tabs>
        <w:spacing w:line="251" w:lineRule="exact"/>
        <w:ind w:left="1872" w:hanging="446"/>
      </w:pPr>
      <w:r>
        <w:rPr>
          <w:color w:val="221F1F"/>
        </w:rPr>
        <w:t>natural</w:t>
      </w:r>
      <w:r>
        <w:rPr>
          <w:color w:val="221F1F"/>
          <w:spacing w:val="-7"/>
        </w:rPr>
        <w:t xml:space="preserve"> </w:t>
      </w:r>
      <w:r>
        <w:rPr>
          <w:color w:val="221F1F"/>
        </w:rPr>
        <w:t>catastrophes</w:t>
      </w:r>
      <w:r>
        <w:rPr>
          <w:color w:val="221F1F"/>
          <w:spacing w:val="-4"/>
        </w:rPr>
        <w:t xml:space="preserve"> </w:t>
      </w:r>
      <w:r>
        <w:rPr>
          <w:color w:val="221F1F"/>
        </w:rPr>
        <w:t>such</w:t>
      </w:r>
      <w:r>
        <w:rPr>
          <w:color w:val="221F1F"/>
          <w:spacing w:val="-3"/>
        </w:rPr>
        <w:t xml:space="preserve"> </w:t>
      </w:r>
      <w:r>
        <w:rPr>
          <w:color w:val="221F1F"/>
        </w:rPr>
        <w:t>as</w:t>
      </w:r>
      <w:r>
        <w:rPr>
          <w:color w:val="221F1F"/>
          <w:spacing w:val="-6"/>
        </w:rPr>
        <w:t xml:space="preserve"> </w:t>
      </w:r>
      <w:r>
        <w:rPr>
          <w:color w:val="221F1F"/>
        </w:rPr>
        <w:t>earthquake,</w:t>
      </w:r>
      <w:r>
        <w:rPr>
          <w:color w:val="221F1F"/>
          <w:spacing w:val="-2"/>
        </w:rPr>
        <w:t xml:space="preserve"> </w:t>
      </w:r>
      <w:r>
        <w:rPr>
          <w:color w:val="221F1F"/>
        </w:rPr>
        <w:t>hurricane,</w:t>
      </w:r>
      <w:r>
        <w:rPr>
          <w:color w:val="221F1F"/>
          <w:spacing w:val="-5"/>
        </w:rPr>
        <w:t xml:space="preserve"> </w:t>
      </w:r>
      <w:r>
        <w:rPr>
          <w:color w:val="221F1F"/>
        </w:rPr>
        <w:t>typhoon</w:t>
      </w:r>
      <w:r>
        <w:rPr>
          <w:color w:val="221F1F"/>
          <w:spacing w:val="-4"/>
        </w:rPr>
        <w:t xml:space="preserve"> </w:t>
      </w:r>
      <w:r>
        <w:rPr>
          <w:color w:val="221F1F"/>
        </w:rPr>
        <w:t>or</w:t>
      </w:r>
      <w:r>
        <w:rPr>
          <w:color w:val="221F1F"/>
          <w:spacing w:val="-5"/>
        </w:rPr>
        <w:t xml:space="preserve"> </w:t>
      </w:r>
      <w:r>
        <w:rPr>
          <w:color w:val="221F1F"/>
        </w:rPr>
        <w:t>volcanic</w:t>
      </w:r>
      <w:r>
        <w:rPr>
          <w:color w:val="221F1F"/>
          <w:spacing w:val="-2"/>
        </w:rPr>
        <w:t xml:space="preserve"> activity.</w:t>
      </w:r>
    </w:p>
    <w:p w:rsidR="007F6DF9" w:rsidRDefault="00A43FBC">
      <w:pPr>
        <w:pStyle w:val="Heading9"/>
        <w:numPr>
          <w:ilvl w:val="1"/>
          <w:numId w:val="122"/>
        </w:numPr>
        <w:tabs>
          <w:tab w:val="left" w:pos="1426"/>
        </w:tabs>
        <w:spacing w:before="162"/>
        <w:ind w:left="1426" w:hanging="715"/>
        <w:rPr>
          <w:color w:val="221F1F"/>
        </w:rPr>
      </w:pPr>
      <w:r>
        <w:rPr>
          <w:color w:val="221F1F"/>
        </w:rPr>
        <w:t>Notice</w:t>
      </w:r>
      <w:r>
        <w:rPr>
          <w:color w:val="221F1F"/>
          <w:spacing w:val="-3"/>
        </w:rPr>
        <w:t xml:space="preserve"> </w:t>
      </w:r>
      <w:r>
        <w:rPr>
          <w:color w:val="221F1F"/>
        </w:rPr>
        <w:t>of</w:t>
      </w:r>
      <w:r>
        <w:rPr>
          <w:color w:val="221F1F"/>
          <w:spacing w:val="-1"/>
        </w:rPr>
        <w:t xml:space="preserve"> </w:t>
      </w:r>
      <w:r>
        <w:rPr>
          <w:color w:val="221F1F"/>
        </w:rPr>
        <w:t>Force</w:t>
      </w:r>
      <w:r>
        <w:rPr>
          <w:color w:val="221F1F"/>
          <w:spacing w:val="-4"/>
        </w:rPr>
        <w:t xml:space="preserve"> </w:t>
      </w:r>
      <w:r>
        <w:rPr>
          <w:color w:val="221F1F"/>
          <w:spacing w:val="-2"/>
        </w:rPr>
        <w:t>Majeure</w:t>
      </w:r>
    </w:p>
    <w:p w:rsidR="007F6DF9" w:rsidRDefault="00A43FBC">
      <w:pPr>
        <w:pStyle w:val="ListParagraph"/>
        <w:numPr>
          <w:ilvl w:val="2"/>
          <w:numId w:val="122"/>
        </w:numPr>
        <w:tabs>
          <w:tab w:val="left" w:pos="1423"/>
          <w:tab w:val="left" w:pos="1431"/>
        </w:tabs>
        <w:spacing w:before="158" w:line="230" w:lineRule="auto"/>
        <w:ind w:left="1431" w:right="553" w:hanging="721"/>
        <w:jc w:val="both"/>
        <w:rPr>
          <w:color w:val="221F1F"/>
        </w:rPr>
      </w:pPr>
      <w:r>
        <w:rPr>
          <w:color w:val="221F1F"/>
        </w:rPr>
        <w:t>If a Party is or will be prevented from performing its substantial obligations under the Contract by Force Majeure, then it shall give notice to the other Party of the event or circumstances constituting the Force Majeure</w:t>
      </w:r>
      <w:r>
        <w:rPr>
          <w:color w:val="221F1F"/>
          <w:spacing w:val="-3"/>
        </w:rPr>
        <w:t xml:space="preserve"> </w:t>
      </w:r>
      <w:r>
        <w:rPr>
          <w:color w:val="221F1F"/>
        </w:rPr>
        <w:t>and</w:t>
      </w:r>
      <w:r>
        <w:rPr>
          <w:color w:val="221F1F"/>
          <w:spacing w:val="-6"/>
        </w:rPr>
        <w:t xml:space="preserve"> </w:t>
      </w:r>
      <w:r>
        <w:rPr>
          <w:color w:val="221F1F"/>
        </w:rPr>
        <w:t>shall</w:t>
      </w:r>
      <w:r>
        <w:rPr>
          <w:color w:val="221F1F"/>
          <w:spacing w:val="-5"/>
        </w:rPr>
        <w:t xml:space="preserve"> </w:t>
      </w:r>
      <w:r>
        <w:rPr>
          <w:color w:val="221F1F"/>
        </w:rPr>
        <w:t>specify</w:t>
      </w:r>
      <w:r>
        <w:rPr>
          <w:color w:val="221F1F"/>
          <w:spacing w:val="-3"/>
        </w:rPr>
        <w:t xml:space="preserve"> </w:t>
      </w:r>
      <w:r>
        <w:rPr>
          <w:color w:val="221F1F"/>
        </w:rPr>
        <w:t>the</w:t>
      </w:r>
      <w:r>
        <w:rPr>
          <w:color w:val="221F1F"/>
          <w:spacing w:val="-3"/>
        </w:rPr>
        <w:t xml:space="preserve"> </w:t>
      </w:r>
      <w:r>
        <w:rPr>
          <w:color w:val="221F1F"/>
        </w:rPr>
        <w:t>obligations,</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2"/>
        </w:rPr>
        <w:t xml:space="preserve"> </w:t>
      </w:r>
      <w:r>
        <w:rPr>
          <w:color w:val="221F1F"/>
        </w:rPr>
        <w:t>of</w:t>
      </w:r>
      <w:r>
        <w:rPr>
          <w:color w:val="221F1F"/>
          <w:spacing w:val="-3"/>
        </w:rPr>
        <w:t xml:space="preserve"> </w:t>
      </w:r>
      <w:r>
        <w:rPr>
          <w:color w:val="221F1F"/>
        </w:rPr>
        <w:t>which</w:t>
      </w:r>
      <w:r>
        <w:rPr>
          <w:color w:val="221F1F"/>
          <w:spacing w:val="-3"/>
        </w:rPr>
        <w:t xml:space="preserve"> </w:t>
      </w:r>
      <w:r>
        <w:rPr>
          <w:color w:val="221F1F"/>
        </w:rPr>
        <w:t>is</w:t>
      </w:r>
      <w:r>
        <w:rPr>
          <w:color w:val="221F1F"/>
          <w:spacing w:val="-3"/>
        </w:rPr>
        <w:t xml:space="preserve"> </w:t>
      </w:r>
      <w:r>
        <w:rPr>
          <w:color w:val="221F1F"/>
        </w:rPr>
        <w:t>or</w:t>
      </w:r>
      <w:r>
        <w:rPr>
          <w:color w:val="221F1F"/>
          <w:spacing w:val="-5"/>
        </w:rPr>
        <w:t xml:space="preserve"> </w:t>
      </w:r>
      <w:r>
        <w:rPr>
          <w:color w:val="221F1F"/>
        </w:rPr>
        <w:t>will</w:t>
      </w:r>
      <w:r>
        <w:rPr>
          <w:color w:val="221F1F"/>
          <w:spacing w:val="-2"/>
        </w:rPr>
        <w:t xml:space="preserve"> </w:t>
      </w:r>
      <w:r>
        <w:rPr>
          <w:color w:val="221F1F"/>
        </w:rPr>
        <w:t>be</w:t>
      </w:r>
      <w:r>
        <w:rPr>
          <w:color w:val="221F1F"/>
          <w:spacing w:val="-8"/>
        </w:rPr>
        <w:t xml:space="preserve"> </w:t>
      </w:r>
      <w:r>
        <w:rPr>
          <w:color w:val="221F1F"/>
        </w:rPr>
        <w:t>prevented.</w:t>
      </w:r>
      <w:r>
        <w:rPr>
          <w:color w:val="221F1F"/>
          <w:spacing w:val="-3"/>
        </w:rPr>
        <w:t xml:space="preserve"> </w:t>
      </w:r>
      <w:r>
        <w:rPr>
          <w:color w:val="221F1F"/>
        </w:rPr>
        <w:t>The</w:t>
      </w:r>
      <w:r>
        <w:rPr>
          <w:color w:val="221F1F"/>
          <w:spacing w:val="-4"/>
        </w:rPr>
        <w:t xml:space="preserve"> </w:t>
      </w:r>
      <w:r>
        <w:rPr>
          <w:color w:val="221F1F"/>
        </w:rPr>
        <w:t>notice</w:t>
      </w:r>
      <w:r>
        <w:rPr>
          <w:color w:val="221F1F"/>
          <w:spacing w:val="-5"/>
        </w:rPr>
        <w:t xml:space="preserve"> </w:t>
      </w:r>
      <w:r>
        <w:rPr>
          <w:color w:val="221F1F"/>
        </w:rPr>
        <w:t>shall be given within 14 days after the Party became aware, or should have become aware, of the relevant event or circumstance constituting Force Majeure.</w:t>
      </w:r>
    </w:p>
    <w:p w:rsidR="007F6DF9" w:rsidRDefault="00A43FBC">
      <w:pPr>
        <w:pStyle w:val="ListParagraph"/>
        <w:numPr>
          <w:ilvl w:val="2"/>
          <w:numId w:val="122"/>
        </w:numPr>
        <w:tabs>
          <w:tab w:val="left" w:pos="1426"/>
          <w:tab w:val="left" w:pos="1431"/>
        </w:tabs>
        <w:spacing w:before="157" w:line="230" w:lineRule="auto"/>
        <w:ind w:left="1431" w:right="563" w:hanging="721"/>
        <w:rPr>
          <w:color w:val="221F1F"/>
        </w:rPr>
      </w:pPr>
      <w:r>
        <w:rPr>
          <w:color w:val="221F1F"/>
        </w:rPr>
        <w:t>The Party shall, having given notice, be excused performance of its obligations for so long as such Force</w:t>
      </w:r>
      <w:r>
        <w:rPr>
          <w:color w:val="221F1F"/>
          <w:spacing w:val="40"/>
        </w:rPr>
        <w:t xml:space="preserve"> </w:t>
      </w:r>
      <w:r>
        <w:rPr>
          <w:color w:val="221F1F"/>
        </w:rPr>
        <w:t>Majeure prevents it from performing them.</w:t>
      </w:r>
    </w:p>
    <w:p w:rsidR="007F6DF9" w:rsidRDefault="00A43FBC">
      <w:pPr>
        <w:pStyle w:val="ListParagraph"/>
        <w:numPr>
          <w:ilvl w:val="2"/>
          <w:numId w:val="122"/>
        </w:numPr>
        <w:tabs>
          <w:tab w:val="left" w:pos="1426"/>
          <w:tab w:val="left" w:pos="1431"/>
        </w:tabs>
        <w:spacing w:before="160" w:line="230" w:lineRule="auto"/>
        <w:ind w:left="1431" w:right="556" w:hanging="721"/>
        <w:rPr>
          <w:color w:val="221F1F"/>
        </w:rPr>
      </w:pPr>
      <w:proofErr w:type="spellStart"/>
      <w:r>
        <w:rPr>
          <w:color w:val="221F1F"/>
        </w:rPr>
        <w:t>Not withstanding</w:t>
      </w:r>
      <w:proofErr w:type="spellEnd"/>
      <w:r>
        <w:rPr>
          <w:color w:val="221F1F"/>
        </w:rPr>
        <w:t xml:space="preserve"> any other provision of this Clause, Force Majeure shall not apply to obligations of either Party to make payments to the other Party under the Contract.</w:t>
      </w:r>
    </w:p>
    <w:p w:rsidR="007F6DF9" w:rsidRDefault="00A43FBC">
      <w:pPr>
        <w:pStyle w:val="Heading9"/>
        <w:numPr>
          <w:ilvl w:val="1"/>
          <w:numId w:val="122"/>
        </w:numPr>
        <w:tabs>
          <w:tab w:val="left" w:pos="1426"/>
        </w:tabs>
        <w:spacing w:before="161"/>
        <w:ind w:left="1426" w:hanging="715"/>
        <w:rPr>
          <w:color w:val="221F1F"/>
        </w:rPr>
      </w:pPr>
      <w:r>
        <w:rPr>
          <w:color w:val="221F1F"/>
        </w:rPr>
        <w:t>Duty</w:t>
      </w:r>
      <w:r>
        <w:rPr>
          <w:color w:val="221F1F"/>
          <w:spacing w:val="-5"/>
        </w:rPr>
        <w:t xml:space="preserve"> </w:t>
      </w:r>
      <w:r>
        <w:rPr>
          <w:color w:val="221F1F"/>
        </w:rPr>
        <w:t>to</w:t>
      </w:r>
      <w:r>
        <w:rPr>
          <w:color w:val="221F1F"/>
          <w:spacing w:val="-6"/>
        </w:rPr>
        <w:t xml:space="preserve"> </w:t>
      </w:r>
      <w:r>
        <w:rPr>
          <w:color w:val="221F1F"/>
        </w:rPr>
        <w:t>Minimize</w:t>
      </w:r>
      <w:r>
        <w:rPr>
          <w:color w:val="221F1F"/>
          <w:spacing w:val="-1"/>
        </w:rPr>
        <w:t xml:space="preserve"> </w:t>
      </w:r>
      <w:r>
        <w:rPr>
          <w:color w:val="221F1F"/>
          <w:spacing w:val="-4"/>
        </w:rPr>
        <w:t>Delay</w:t>
      </w:r>
    </w:p>
    <w:p w:rsidR="007F6DF9" w:rsidRDefault="00A43FBC">
      <w:pPr>
        <w:pStyle w:val="BodyText"/>
        <w:spacing w:before="159" w:line="230" w:lineRule="auto"/>
        <w:ind w:left="1431" w:right="332" w:hanging="5"/>
      </w:pPr>
      <w:r>
        <w:rPr>
          <w:color w:val="221F1F"/>
        </w:rPr>
        <w:t>Each Party shall at all times use all reasonable endeavors to minimize any delay in the performance of the Contract</w:t>
      </w:r>
      <w:r>
        <w:rPr>
          <w:color w:val="221F1F"/>
          <w:spacing w:val="-16"/>
        </w:rPr>
        <w:t xml:space="preserve"> </w:t>
      </w:r>
      <w:r>
        <w:rPr>
          <w:color w:val="221F1F"/>
        </w:rPr>
        <w:t>as</w:t>
      </w:r>
      <w:r>
        <w:rPr>
          <w:color w:val="221F1F"/>
          <w:spacing w:val="-14"/>
        </w:rPr>
        <w:t xml:space="preserve"> </w:t>
      </w:r>
      <w:r>
        <w:rPr>
          <w:color w:val="221F1F"/>
        </w:rPr>
        <w:t>a</w:t>
      </w:r>
      <w:r>
        <w:rPr>
          <w:color w:val="221F1F"/>
          <w:spacing w:val="-14"/>
        </w:rPr>
        <w:t xml:space="preserve"> </w:t>
      </w:r>
      <w:r>
        <w:rPr>
          <w:color w:val="221F1F"/>
        </w:rPr>
        <w:t>result</w:t>
      </w:r>
      <w:r>
        <w:rPr>
          <w:color w:val="221F1F"/>
          <w:spacing w:val="-13"/>
        </w:rPr>
        <w:t xml:space="preserve"> </w:t>
      </w:r>
      <w:r>
        <w:rPr>
          <w:color w:val="221F1F"/>
        </w:rPr>
        <w:t>of</w:t>
      </w:r>
      <w:r>
        <w:rPr>
          <w:color w:val="221F1F"/>
          <w:spacing w:val="-13"/>
        </w:rPr>
        <w:t xml:space="preserve"> </w:t>
      </w:r>
      <w:r>
        <w:rPr>
          <w:color w:val="221F1F"/>
        </w:rPr>
        <w:t>Force</w:t>
      </w:r>
      <w:r>
        <w:rPr>
          <w:color w:val="221F1F"/>
          <w:spacing w:val="-14"/>
        </w:rPr>
        <w:t xml:space="preserve"> </w:t>
      </w:r>
      <w:r>
        <w:rPr>
          <w:color w:val="221F1F"/>
        </w:rPr>
        <w:t>Majeure.</w:t>
      </w:r>
      <w:r>
        <w:rPr>
          <w:color w:val="221F1F"/>
          <w:spacing w:val="-11"/>
        </w:rPr>
        <w:t xml:space="preserve"> </w:t>
      </w:r>
      <w:r>
        <w:rPr>
          <w:color w:val="221F1F"/>
        </w:rPr>
        <w:t>A</w:t>
      </w:r>
      <w:r>
        <w:rPr>
          <w:color w:val="221F1F"/>
          <w:spacing w:val="-14"/>
        </w:rPr>
        <w:t xml:space="preserve"> </w:t>
      </w:r>
      <w:r>
        <w:rPr>
          <w:color w:val="221F1F"/>
        </w:rPr>
        <w:t>Party</w:t>
      </w:r>
      <w:r>
        <w:rPr>
          <w:color w:val="221F1F"/>
          <w:spacing w:val="-13"/>
        </w:rPr>
        <w:t xml:space="preserve"> </w:t>
      </w:r>
      <w:r>
        <w:rPr>
          <w:color w:val="221F1F"/>
        </w:rPr>
        <w:t>shall</w:t>
      </w:r>
      <w:r>
        <w:rPr>
          <w:color w:val="221F1F"/>
          <w:spacing w:val="-14"/>
        </w:rPr>
        <w:t xml:space="preserve"> </w:t>
      </w:r>
      <w:r>
        <w:rPr>
          <w:color w:val="221F1F"/>
        </w:rPr>
        <w:t>give</w:t>
      </w:r>
      <w:r>
        <w:rPr>
          <w:color w:val="221F1F"/>
          <w:spacing w:val="-13"/>
        </w:rPr>
        <w:t xml:space="preserve"> </w:t>
      </w:r>
      <w:r>
        <w:rPr>
          <w:color w:val="221F1F"/>
        </w:rPr>
        <w:t>notice</w:t>
      </w:r>
      <w:r>
        <w:rPr>
          <w:color w:val="221F1F"/>
          <w:spacing w:val="-13"/>
        </w:rPr>
        <w:t xml:space="preserve"> </w:t>
      </w:r>
      <w:r>
        <w:rPr>
          <w:color w:val="221F1F"/>
        </w:rPr>
        <w:t>to</w:t>
      </w:r>
      <w:r>
        <w:rPr>
          <w:color w:val="221F1F"/>
          <w:spacing w:val="-13"/>
        </w:rPr>
        <w:t xml:space="preserve"> </w:t>
      </w:r>
      <w:r>
        <w:rPr>
          <w:color w:val="221F1F"/>
        </w:rPr>
        <w:t>the</w:t>
      </w:r>
      <w:r>
        <w:rPr>
          <w:color w:val="221F1F"/>
          <w:spacing w:val="-13"/>
        </w:rPr>
        <w:t xml:space="preserve"> </w:t>
      </w:r>
      <w:r>
        <w:rPr>
          <w:color w:val="221F1F"/>
        </w:rPr>
        <w:t>other</w:t>
      </w:r>
      <w:r>
        <w:rPr>
          <w:color w:val="221F1F"/>
          <w:spacing w:val="-11"/>
        </w:rPr>
        <w:t xml:space="preserve"> </w:t>
      </w:r>
      <w:r>
        <w:rPr>
          <w:color w:val="221F1F"/>
        </w:rPr>
        <w:t>Party</w:t>
      </w:r>
      <w:r>
        <w:rPr>
          <w:color w:val="221F1F"/>
          <w:spacing w:val="-12"/>
        </w:rPr>
        <w:t xml:space="preserve"> </w:t>
      </w:r>
      <w:r>
        <w:rPr>
          <w:color w:val="221F1F"/>
        </w:rPr>
        <w:t>when</w:t>
      </w:r>
      <w:r>
        <w:rPr>
          <w:color w:val="221F1F"/>
          <w:spacing w:val="-11"/>
        </w:rPr>
        <w:t xml:space="preserve"> </w:t>
      </w:r>
      <w:r>
        <w:rPr>
          <w:color w:val="221F1F"/>
        </w:rPr>
        <w:t>it</w:t>
      </w:r>
      <w:r>
        <w:rPr>
          <w:color w:val="221F1F"/>
          <w:spacing w:val="-14"/>
        </w:rPr>
        <w:t xml:space="preserve"> </w:t>
      </w:r>
      <w:r>
        <w:rPr>
          <w:color w:val="221F1F"/>
        </w:rPr>
        <w:t>ceases</w:t>
      </w:r>
      <w:r>
        <w:rPr>
          <w:color w:val="221F1F"/>
          <w:spacing w:val="-13"/>
        </w:rPr>
        <w:t xml:space="preserve"> </w:t>
      </w:r>
      <w:r>
        <w:rPr>
          <w:color w:val="221F1F"/>
        </w:rPr>
        <w:t>to</w:t>
      </w:r>
      <w:r>
        <w:rPr>
          <w:color w:val="221F1F"/>
          <w:spacing w:val="-14"/>
        </w:rPr>
        <w:t xml:space="preserve"> </w:t>
      </w:r>
      <w:r>
        <w:rPr>
          <w:color w:val="221F1F"/>
        </w:rPr>
        <w:t>be</w:t>
      </w:r>
      <w:r>
        <w:rPr>
          <w:color w:val="221F1F"/>
          <w:spacing w:val="-13"/>
        </w:rPr>
        <w:t xml:space="preserve"> </w:t>
      </w:r>
      <w:r>
        <w:rPr>
          <w:color w:val="221F1F"/>
          <w:spacing w:val="-2"/>
        </w:rPr>
        <w:t>affected</w:t>
      </w:r>
    </w:p>
    <w:p w:rsidR="007F6DF9" w:rsidRDefault="007F6DF9">
      <w:pPr>
        <w:pStyle w:val="BodyText"/>
        <w:spacing w:line="230" w:lineRule="auto"/>
        <w:sectPr w:rsidR="007F6DF9">
          <w:pgSz w:w="11920" w:h="16850"/>
          <w:pgMar w:top="360" w:right="283" w:bottom="600" w:left="141" w:header="0" w:footer="407" w:gutter="0"/>
          <w:cols w:space="720"/>
        </w:sectPr>
      </w:pPr>
    </w:p>
    <w:p w:rsidR="007F6DF9" w:rsidRDefault="00A43FBC">
      <w:pPr>
        <w:pStyle w:val="BodyText"/>
        <w:spacing w:line="244" w:lineRule="exact"/>
        <w:ind w:left="1431"/>
        <w:jc w:val="both"/>
      </w:pPr>
      <w:r>
        <w:rPr>
          <w:color w:val="221F1F"/>
        </w:rPr>
        <w:lastRenderedPageBreak/>
        <w:t>by</w:t>
      </w:r>
      <w:r>
        <w:rPr>
          <w:color w:val="221F1F"/>
          <w:spacing w:val="-1"/>
        </w:rPr>
        <w:t xml:space="preserve"> </w:t>
      </w:r>
      <w:r>
        <w:rPr>
          <w:color w:val="221F1F"/>
        </w:rPr>
        <w:t>the</w:t>
      </w:r>
      <w:r>
        <w:rPr>
          <w:color w:val="221F1F"/>
          <w:spacing w:val="-3"/>
        </w:rPr>
        <w:t xml:space="preserve"> </w:t>
      </w:r>
      <w:r>
        <w:rPr>
          <w:color w:val="221F1F"/>
        </w:rPr>
        <w:t xml:space="preserve">Force </w:t>
      </w:r>
      <w:r>
        <w:rPr>
          <w:color w:val="221F1F"/>
          <w:spacing w:val="-2"/>
        </w:rPr>
        <w:t>Majeure.</w:t>
      </w:r>
    </w:p>
    <w:p w:rsidR="007F6DF9" w:rsidRDefault="00A43FBC">
      <w:pPr>
        <w:pStyle w:val="Heading9"/>
        <w:numPr>
          <w:ilvl w:val="1"/>
          <w:numId w:val="122"/>
        </w:numPr>
        <w:tabs>
          <w:tab w:val="left" w:pos="1424"/>
        </w:tabs>
        <w:spacing w:before="160"/>
        <w:ind w:left="1424" w:hanging="713"/>
        <w:rPr>
          <w:color w:val="221F1F"/>
        </w:rPr>
      </w:pPr>
      <w:r>
        <w:rPr>
          <w:color w:val="221F1F"/>
        </w:rPr>
        <w:t>Consequences</w:t>
      </w:r>
      <w:r>
        <w:rPr>
          <w:color w:val="221F1F"/>
          <w:spacing w:val="-4"/>
        </w:rPr>
        <w:t xml:space="preserve"> </w:t>
      </w:r>
      <w:r>
        <w:rPr>
          <w:color w:val="221F1F"/>
        </w:rPr>
        <w:t>of</w:t>
      </w:r>
      <w:r>
        <w:rPr>
          <w:color w:val="221F1F"/>
          <w:spacing w:val="-3"/>
        </w:rPr>
        <w:t xml:space="preserve"> </w:t>
      </w:r>
      <w:r>
        <w:rPr>
          <w:color w:val="221F1F"/>
        </w:rPr>
        <w:t>Force</w:t>
      </w:r>
      <w:r>
        <w:rPr>
          <w:color w:val="221F1F"/>
          <w:spacing w:val="-2"/>
        </w:rPr>
        <w:t xml:space="preserve"> Majeure</w:t>
      </w:r>
    </w:p>
    <w:p w:rsidR="007F6DF9" w:rsidRDefault="00A43FBC">
      <w:pPr>
        <w:pStyle w:val="ListParagraph"/>
        <w:numPr>
          <w:ilvl w:val="2"/>
          <w:numId w:val="122"/>
        </w:numPr>
        <w:tabs>
          <w:tab w:val="left" w:pos="1423"/>
          <w:tab w:val="left" w:pos="1426"/>
        </w:tabs>
        <w:spacing w:before="252" w:line="230" w:lineRule="auto"/>
        <w:ind w:left="1426" w:right="560" w:hanging="716"/>
        <w:jc w:val="both"/>
        <w:rPr>
          <w:color w:val="221F1F"/>
        </w:rPr>
      </w:pPr>
      <w:r>
        <w:rPr>
          <w:color w:val="221F1F"/>
        </w:rPr>
        <w:t>If the Contractor is prevented from performing his substantial obligations under the Contract by Force Majeure</w:t>
      </w:r>
      <w:r>
        <w:rPr>
          <w:color w:val="221F1F"/>
          <w:spacing w:val="-7"/>
        </w:rPr>
        <w:t xml:space="preserve"> </w:t>
      </w:r>
      <w:r>
        <w:rPr>
          <w:color w:val="221F1F"/>
        </w:rPr>
        <w:t>of</w:t>
      </w:r>
      <w:r>
        <w:rPr>
          <w:color w:val="221F1F"/>
          <w:spacing w:val="-6"/>
        </w:rPr>
        <w:t xml:space="preserve"> </w:t>
      </w:r>
      <w:r>
        <w:rPr>
          <w:color w:val="221F1F"/>
        </w:rPr>
        <w:t>which</w:t>
      </w:r>
      <w:r>
        <w:rPr>
          <w:color w:val="221F1F"/>
          <w:spacing w:val="-6"/>
        </w:rPr>
        <w:t xml:space="preserve"> </w:t>
      </w:r>
      <w:r>
        <w:rPr>
          <w:color w:val="221F1F"/>
        </w:rPr>
        <w:t>notice</w:t>
      </w:r>
      <w:r>
        <w:rPr>
          <w:color w:val="221F1F"/>
          <w:spacing w:val="-6"/>
        </w:rPr>
        <w:t xml:space="preserve"> </w:t>
      </w:r>
      <w:r>
        <w:rPr>
          <w:color w:val="221F1F"/>
        </w:rPr>
        <w:t>has</w:t>
      </w:r>
      <w:r>
        <w:rPr>
          <w:color w:val="221F1F"/>
          <w:spacing w:val="-7"/>
        </w:rPr>
        <w:t xml:space="preserve"> </w:t>
      </w:r>
      <w:r>
        <w:rPr>
          <w:color w:val="221F1F"/>
        </w:rPr>
        <w:t>been</w:t>
      </w:r>
      <w:r>
        <w:rPr>
          <w:color w:val="221F1F"/>
          <w:spacing w:val="-7"/>
        </w:rPr>
        <w:t xml:space="preserve"> </w:t>
      </w:r>
      <w:r>
        <w:rPr>
          <w:color w:val="221F1F"/>
        </w:rPr>
        <w:t>given</w:t>
      </w:r>
      <w:r>
        <w:rPr>
          <w:color w:val="221F1F"/>
          <w:spacing w:val="-7"/>
        </w:rPr>
        <w:t xml:space="preserve"> </w:t>
      </w:r>
      <w:r>
        <w:rPr>
          <w:color w:val="221F1F"/>
        </w:rPr>
        <w:t>under</w:t>
      </w:r>
      <w:r>
        <w:rPr>
          <w:color w:val="221F1F"/>
          <w:spacing w:val="-6"/>
        </w:rPr>
        <w:t xml:space="preserve"> </w:t>
      </w:r>
      <w:r>
        <w:rPr>
          <w:color w:val="221F1F"/>
        </w:rPr>
        <w:t>Sub-Clause</w:t>
      </w:r>
      <w:r>
        <w:rPr>
          <w:color w:val="221F1F"/>
          <w:spacing w:val="-6"/>
        </w:rPr>
        <w:t xml:space="preserve"> </w:t>
      </w:r>
      <w:r>
        <w:rPr>
          <w:color w:val="221F1F"/>
        </w:rPr>
        <w:t>19.2</w:t>
      </w:r>
      <w:r>
        <w:rPr>
          <w:color w:val="221F1F"/>
          <w:spacing w:val="-9"/>
        </w:rPr>
        <w:t xml:space="preserve"> </w:t>
      </w:r>
      <w:r>
        <w:rPr>
          <w:color w:val="221F1F"/>
        </w:rPr>
        <w:t>[Notice</w:t>
      </w:r>
      <w:r>
        <w:rPr>
          <w:color w:val="221F1F"/>
          <w:spacing w:val="-8"/>
        </w:rPr>
        <w:t xml:space="preserve"> </w:t>
      </w:r>
      <w:r>
        <w:rPr>
          <w:color w:val="221F1F"/>
        </w:rPr>
        <w:t>of</w:t>
      </w:r>
      <w:r>
        <w:rPr>
          <w:color w:val="221F1F"/>
          <w:spacing w:val="-6"/>
        </w:rPr>
        <w:t xml:space="preserve"> </w:t>
      </w:r>
      <w:r>
        <w:rPr>
          <w:color w:val="221F1F"/>
        </w:rPr>
        <w:t>Force</w:t>
      </w:r>
      <w:r>
        <w:rPr>
          <w:color w:val="221F1F"/>
          <w:spacing w:val="-8"/>
        </w:rPr>
        <w:t xml:space="preserve"> </w:t>
      </w:r>
      <w:r>
        <w:rPr>
          <w:color w:val="221F1F"/>
        </w:rPr>
        <w:t>Majeure],</w:t>
      </w:r>
      <w:r>
        <w:rPr>
          <w:color w:val="221F1F"/>
          <w:spacing w:val="-6"/>
        </w:rPr>
        <w:t xml:space="preserve"> </w:t>
      </w:r>
      <w:r>
        <w:rPr>
          <w:color w:val="221F1F"/>
        </w:rPr>
        <w:t>and</w:t>
      </w:r>
      <w:r>
        <w:rPr>
          <w:color w:val="221F1F"/>
          <w:spacing w:val="-7"/>
        </w:rPr>
        <w:t xml:space="preserve"> </w:t>
      </w:r>
      <w:r>
        <w:rPr>
          <w:color w:val="221F1F"/>
        </w:rPr>
        <w:t>suffers</w:t>
      </w:r>
      <w:r>
        <w:rPr>
          <w:color w:val="221F1F"/>
          <w:spacing w:val="-6"/>
        </w:rPr>
        <w:t xml:space="preserve"> </w:t>
      </w:r>
      <w:r>
        <w:rPr>
          <w:color w:val="221F1F"/>
        </w:rPr>
        <w:t>delay and/</w:t>
      </w:r>
      <w:r>
        <w:rPr>
          <w:color w:val="221F1F"/>
          <w:spacing w:val="1"/>
        </w:rPr>
        <w:t xml:space="preserve"> </w:t>
      </w:r>
      <w:r>
        <w:rPr>
          <w:color w:val="221F1F"/>
        </w:rPr>
        <w:t>or</w:t>
      </w:r>
      <w:r>
        <w:rPr>
          <w:color w:val="221F1F"/>
          <w:spacing w:val="3"/>
        </w:rPr>
        <w:t xml:space="preserve"> </w:t>
      </w:r>
      <w:r>
        <w:rPr>
          <w:color w:val="221F1F"/>
        </w:rPr>
        <w:t>incurs</w:t>
      </w:r>
      <w:r>
        <w:rPr>
          <w:color w:val="221F1F"/>
          <w:spacing w:val="2"/>
        </w:rPr>
        <w:t xml:space="preserve"> </w:t>
      </w:r>
      <w:r>
        <w:rPr>
          <w:color w:val="221F1F"/>
        </w:rPr>
        <w:t>Cost</w:t>
      </w:r>
      <w:r>
        <w:rPr>
          <w:color w:val="221F1F"/>
          <w:spacing w:val="3"/>
        </w:rPr>
        <w:t xml:space="preserve"> </w:t>
      </w:r>
      <w:r>
        <w:rPr>
          <w:color w:val="221F1F"/>
        </w:rPr>
        <w:t>by reason</w:t>
      </w:r>
      <w:r>
        <w:rPr>
          <w:color w:val="221F1F"/>
          <w:spacing w:val="2"/>
        </w:rPr>
        <w:t xml:space="preserve"> </w:t>
      </w:r>
      <w:r>
        <w:rPr>
          <w:color w:val="221F1F"/>
        </w:rPr>
        <w:t>of</w:t>
      </w:r>
      <w:r>
        <w:rPr>
          <w:color w:val="221F1F"/>
          <w:spacing w:val="2"/>
        </w:rPr>
        <w:t xml:space="preserve"> </w:t>
      </w:r>
      <w:r>
        <w:rPr>
          <w:color w:val="221F1F"/>
        </w:rPr>
        <w:t>such</w:t>
      </w:r>
      <w:r>
        <w:rPr>
          <w:color w:val="221F1F"/>
          <w:spacing w:val="3"/>
        </w:rPr>
        <w:t xml:space="preserve"> </w:t>
      </w:r>
      <w:r>
        <w:rPr>
          <w:color w:val="221F1F"/>
        </w:rPr>
        <w:t>Force Majeure, the</w:t>
      </w:r>
      <w:r>
        <w:rPr>
          <w:color w:val="221F1F"/>
          <w:spacing w:val="2"/>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be</w:t>
      </w:r>
      <w:r>
        <w:rPr>
          <w:color w:val="221F1F"/>
          <w:spacing w:val="-1"/>
        </w:rPr>
        <w:t xml:space="preserve"> </w:t>
      </w:r>
      <w:r>
        <w:rPr>
          <w:color w:val="221F1F"/>
        </w:rPr>
        <w:t>entitled</w:t>
      </w:r>
      <w:r>
        <w:rPr>
          <w:color w:val="221F1F"/>
          <w:spacing w:val="2"/>
        </w:rPr>
        <w:t xml:space="preserve"> </w:t>
      </w:r>
      <w:r>
        <w:rPr>
          <w:color w:val="221F1F"/>
        </w:rPr>
        <w:t>subject</w:t>
      </w:r>
      <w:r>
        <w:rPr>
          <w:color w:val="221F1F"/>
          <w:spacing w:val="3"/>
        </w:rPr>
        <w:t xml:space="preserve"> </w:t>
      </w:r>
      <w:r>
        <w:rPr>
          <w:color w:val="221F1F"/>
        </w:rPr>
        <w:t>to</w:t>
      </w:r>
      <w:r>
        <w:rPr>
          <w:color w:val="221F1F"/>
          <w:spacing w:val="2"/>
        </w:rPr>
        <w:t xml:space="preserve"> </w:t>
      </w:r>
      <w:r>
        <w:rPr>
          <w:color w:val="221F1F"/>
        </w:rPr>
        <w:t>Sub-</w:t>
      </w:r>
      <w:r>
        <w:rPr>
          <w:color w:val="221F1F"/>
          <w:spacing w:val="-2"/>
        </w:rPr>
        <w:t>Clause</w:t>
      </w:r>
    </w:p>
    <w:p w:rsidR="007F6DF9" w:rsidRDefault="00A43FBC">
      <w:pPr>
        <w:pStyle w:val="BodyText"/>
        <w:spacing w:line="244" w:lineRule="exact"/>
        <w:ind w:left="1426"/>
        <w:jc w:val="both"/>
      </w:pPr>
      <w:r>
        <w:rPr>
          <w:color w:val="221F1F"/>
        </w:rPr>
        <w:t>20.1</w:t>
      </w:r>
      <w:r>
        <w:rPr>
          <w:color w:val="221F1F"/>
          <w:spacing w:val="-6"/>
        </w:rPr>
        <w:t xml:space="preserve"> </w:t>
      </w:r>
      <w:r>
        <w:rPr>
          <w:color w:val="221F1F"/>
        </w:rPr>
        <w:t>[Contractor's</w:t>
      </w:r>
      <w:r>
        <w:rPr>
          <w:color w:val="221F1F"/>
          <w:spacing w:val="-5"/>
        </w:rPr>
        <w:t xml:space="preserve"> </w:t>
      </w:r>
      <w:r>
        <w:rPr>
          <w:color w:val="221F1F"/>
        </w:rPr>
        <w:t>Claims]</w:t>
      </w:r>
      <w:r>
        <w:rPr>
          <w:color w:val="221F1F"/>
          <w:spacing w:val="-5"/>
        </w:rPr>
        <w:t xml:space="preserve"> to:</w:t>
      </w:r>
    </w:p>
    <w:p w:rsidR="007F6DF9" w:rsidRDefault="00A43FBC">
      <w:pPr>
        <w:pStyle w:val="ListParagraph"/>
        <w:numPr>
          <w:ilvl w:val="0"/>
          <w:numId w:val="26"/>
        </w:numPr>
        <w:tabs>
          <w:tab w:val="left" w:pos="1871"/>
          <w:tab w:val="left" w:pos="1875"/>
        </w:tabs>
        <w:spacing w:before="117" w:line="230" w:lineRule="auto"/>
        <w:ind w:right="563" w:hanging="449"/>
        <w:jc w:val="both"/>
      </w:pPr>
      <w:r>
        <w:rPr>
          <w:color w:val="221F1F"/>
        </w:rPr>
        <w:t>an extension of time for any such delay, if completion is or will be delayed, under Sub-Clause 8.4 [Extension of Time for Completion], and</w:t>
      </w:r>
    </w:p>
    <w:p w:rsidR="007F6DF9" w:rsidRDefault="00A43FBC">
      <w:pPr>
        <w:pStyle w:val="ListParagraph"/>
        <w:numPr>
          <w:ilvl w:val="0"/>
          <w:numId w:val="26"/>
        </w:numPr>
        <w:tabs>
          <w:tab w:val="left" w:pos="1871"/>
          <w:tab w:val="left" w:pos="1875"/>
        </w:tabs>
        <w:spacing w:before="50" w:line="230" w:lineRule="auto"/>
        <w:ind w:right="561" w:hanging="449"/>
        <w:jc w:val="both"/>
      </w:pPr>
      <w:r>
        <w:rPr>
          <w:color w:val="221F1F"/>
        </w:rPr>
        <w:t>if the event or circumstance is of the kind described in sub-paragraphs (</w:t>
      </w:r>
      <w:proofErr w:type="spellStart"/>
      <w:r>
        <w:rPr>
          <w:color w:val="221F1F"/>
        </w:rPr>
        <w:t>i</w:t>
      </w:r>
      <w:proofErr w:type="spellEnd"/>
      <w:r>
        <w:rPr>
          <w:color w:val="221F1F"/>
        </w:rPr>
        <w:t>) to (iv) of Sub-Clause 19.1 [Definition</w:t>
      </w:r>
      <w:r>
        <w:rPr>
          <w:color w:val="221F1F"/>
          <w:spacing w:val="-4"/>
        </w:rPr>
        <w:t xml:space="preserve"> </w:t>
      </w:r>
      <w:r>
        <w:rPr>
          <w:color w:val="221F1F"/>
        </w:rPr>
        <w:t>of</w:t>
      </w:r>
      <w:r>
        <w:rPr>
          <w:color w:val="221F1F"/>
          <w:spacing w:val="-4"/>
        </w:rPr>
        <w:t xml:space="preserve"> </w:t>
      </w:r>
      <w:r>
        <w:rPr>
          <w:color w:val="221F1F"/>
        </w:rPr>
        <w:t>Force</w:t>
      </w:r>
      <w:r>
        <w:rPr>
          <w:color w:val="221F1F"/>
          <w:spacing w:val="-5"/>
        </w:rPr>
        <w:t xml:space="preserve"> </w:t>
      </w:r>
      <w:r>
        <w:rPr>
          <w:color w:val="221F1F"/>
        </w:rPr>
        <w:t>Majeure]</w:t>
      </w:r>
      <w:r>
        <w:rPr>
          <w:color w:val="221F1F"/>
          <w:spacing w:val="-3"/>
        </w:rPr>
        <w:t xml:space="preserve"> </w:t>
      </w:r>
      <w:r>
        <w:rPr>
          <w:color w:val="221F1F"/>
        </w:rPr>
        <w:t>and,</w:t>
      </w:r>
      <w:r>
        <w:rPr>
          <w:color w:val="221F1F"/>
          <w:spacing w:val="-7"/>
        </w:rPr>
        <w:t xml:space="preserve"> </w:t>
      </w:r>
      <w:r>
        <w:rPr>
          <w:color w:val="221F1F"/>
        </w:rPr>
        <w:t>in</w:t>
      </w:r>
      <w:r>
        <w:rPr>
          <w:color w:val="221F1F"/>
          <w:spacing w:val="-5"/>
        </w:rPr>
        <w:t xml:space="preserve"> </w:t>
      </w:r>
      <w:r>
        <w:rPr>
          <w:color w:val="221F1F"/>
        </w:rPr>
        <w:t>sub-paragraphs</w:t>
      </w:r>
      <w:r>
        <w:rPr>
          <w:color w:val="221F1F"/>
          <w:spacing w:val="-3"/>
        </w:rPr>
        <w:t xml:space="preserve"> </w:t>
      </w:r>
      <w:r>
        <w:rPr>
          <w:color w:val="221F1F"/>
        </w:rPr>
        <w:t>(ii)</w:t>
      </w:r>
      <w:r>
        <w:rPr>
          <w:color w:val="221F1F"/>
          <w:spacing w:val="-4"/>
        </w:rPr>
        <w:t xml:space="preserve"> </w:t>
      </w:r>
      <w:r>
        <w:rPr>
          <w:color w:val="221F1F"/>
        </w:rPr>
        <w:t>to</w:t>
      </w:r>
      <w:r>
        <w:rPr>
          <w:color w:val="221F1F"/>
          <w:spacing w:val="-5"/>
        </w:rPr>
        <w:t xml:space="preserve"> </w:t>
      </w:r>
      <w:r>
        <w:rPr>
          <w:color w:val="221F1F"/>
        </w:rPr>
        <w:t>(iv),</w:t>
      </w:r>
      <w:r>
        <w:rPr>
          <w:color w:val="221F1F"/>
          <w:spacing w:val="-4"/>
        </w:rPr>
        <w:t xml:space="preserve"> </w:t>
      </w:r>
      <w:r>
        <w:rPr>
          <w:color w:val="221F1F"/>
        </w:rPr>
        <w:t>occurs</w:t>
      </w:r>
      <w:r>
        <w:rPr>
          <w:color w:val="221F1F"/>
          <w:spacing w:val="-4"/>
        </w:rPr>
        <w:t xml:space="preserve"> </w:t>
      </w:r>
      <w:r>
        <w:rPr>
          <w:color w:val="221F1F"/>
        </w:rPr>
        <w:t>in</w:t>
      </w:r>
      <w:r>
        <w:rPr>
          <w:color w:val="221F1F"/>
          <w:spacing w:val="-5"/>
        </w:rPr>
        <w:t xml:space="preserve"> </w:t>
      </w:r>
      <w:r>
        <w:rPr>
          <w:color w:val="221F1F"/>
        </w:rPr>
        <w:t>Kenya,</w:t>
      </w:r>
      <w:r>
        <w:rPr>
          <w:color w:val="221F1F"/>
          <w:spacing w:val="-6"/>
        </w:rPr>
        <w:t xml:space="preserve"> </w:t>
      </w:r>
      <w:r>
        <w:rPr>
          <w:color w:val="221F1F"/>
        </w:rPr>
        <w:t>payment</w:t>
      </w:r>
      <w:r>
        <w:rPr>
          <w:color w:val="221F1F"/>
          <w:spacing w:val="-3"/>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such Cost, including the costs of rectifying or replacing the Works</w:t>
      </w:r>
      <w:r>
        <w:rPr>
          <w:color w:val="221F1F"/>
          <w:spacing w:val="-2"/>
        </w:rPr>
        <w:t xml:space="preserve"> </w:t>
      </w:r>
      <w:r>
        <w:rPr>
          <w:color w:val="221F1F"/>
        </w:rPr>
        <w:t>and/or Goods damaged or destroyed by Force Majeure, to the extent they are not indemnified through the insurance policy referred to in Sub-Clause18.2 [Insurance for Works and Contractor's Equipment].</w:t>
      </w:r>
    </w:p>
    <w:p w:rsidR="007F6DF9" w:rsidRDefault="00A43FBC">
      <w:pPr>
        <w:pStyle w:val="ListParagraph"/>
        <w:numPr>
          <w:ilvl w:val="2"/>
          <w:numId w:val="122"/>
        </w:numPr>
        <w:tabs>
          <w:tab w:val="left" w:pos="1426"/>
        </w:tabs>
        <w:spacing w:before="243" w:line="232" w:lineRule="auto"/>
        <w:ind w:left="1426" w:right="2105" w:hanging="716"/>
        <w:rPr>
          <w:color w:val="221F1F"/>
        </w:rPr>
      </w:pPr>
      <w:r>
        <w:rPr>
          <w:color w:val="221F1F"/>
        </w:rPr>
        <w:t>After</w:t>
      </w:r>
      <w:r>
        <w:rPr>
          <w:color w:val="221F1F"/>
          <w:spacing w:val="-2"/>
        </w:rPr>
        <w:t xml:space="preserve"> </w:t>
      </w:r>
      <w:r>
        <w:rPr>
          <w:color w:val="221F1F"/>
        </w:rPr>
        <w:t>receiving</w:t>
      </w:r>
      <w:r>
        <w:rPr>
          <w:color w:val="221F1F"/>
          <w:spacing w:val="-2"/>
        </w:rPr>
        <w:t xml:space="preserve"> </w:t>
      </w:r>
      <w:r>
        <w:rPr>
          <w:color w:val="221F1F"/>
        </w:rPr>
        <w:t>this</w:t>
      </w:r>
      <w:r>
        <w:rPr>
          <w:color w:val="221F1F"/>
          <w:spacing w:val="-2"/>
        </w:rPr>
        <w:t xml:space="preserve"> </w:t>
      </w:r>
      <w:r>
        <w:rPr>
          <w:color w:val="221F1F"/>
        </w:rPr>
        <w:t>notice,</w:t>
      </w:r>
      <w:r>
        <w:rPr>
          <w:color w:val="221F1F"/>
          <w:spacing w:val="-4"/>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shall</w:t>
      </w:r>
      <w:r>
        <w:rPr>
          <w:color w:val="221F1F"/>
          <w:spacing w:val="-2"/>
        </w:rPr>
        <w:t xml:space="preserve"> </w:t>
      </w:r>
      <w:r>
        <w:rPr>
          <w:color w:val="221F1F"/>
        </w:rPr>
        <w:t>proceed</w:t>
      </w:r>
      <w:r>
        <w:rPr>
          <w:color w:val="221F1F"/>
          <w:spacing w:val="-3"/>
        </w:rPr>
        <w:t xml:space="preserve"> </w:t>
      </w:r>
      <w:r>
        <w:rPr>
          <w:color w:val="221F1F"/>
        </w:rPr>
        <w:t>in</w:t>
      </w:r>
      <w:r>
        <w:rPr>
          <w:color w:val="221F1F"/>
          <w:spacing w:val="-2"/>
        </w:rPr>
        <w:t xml:space="preserve"> </w:t>
      </w:r>
      <w:r>
        <w:rPr>
          <w:color w:val="221F1F"/>
        </w:rPr>
        <w:t>a</w:t>
      </w:r>
      <w:r>
        <w:rPr>
          <w:color w:val="221F1F"/>
          <w:spacing w:val="-2"/>
        </w:rPr>
        <w:t xml:space="preserve"> </w:t>
      </w:r>
      <w:proofErr w:type="spellStart"/>
      <w:r>
        <w:rPr>
          <w:color w:val="221F1F"/>
        </w:rPr>
        <w:t>ccordance</w:t>
      </w:r>
      <w:proofErr w:type="spellEnd"/>
      <w:r>
        <w:rPr>
          <w:color w:val="221F1F"/>
          <w:spacing w:val="-2"/>
        </w:rPr>
        <w:t xml:space="preserve"> </w:t>
      </w:r>
      <w:r>
        <w:rPr>
          <w:color w:val="221F1F"/>
        </w:rPr>
        <w:t>with</w:t>
      </w:r>
      <w:r>
        <w:rPr>
          <w:color w:val="221F1F"/>
          <w:spacing w:val="-2"/>
        </w:rPr>
        <w:t xml:space="preserve"> </w:t>
      </w:r>
      <w:r>
        <w:rPr>
          <w:color w:val="221F1F"/>
        </w:rPr>
        <w:t>Sub-Clause</w:t>
      </w:r>
      <w:r>
        <w:rPr>
          <w:color w:val="221F1F"/>
          <w:spacing w:val="-2"/>
        </w:rPr>
        <w:t xml:space="preserve"> </w:t>
      </w:r>
      <w:r>
        <w:rPr>
          <w:color w:val="221F1F"/>
        </w:rPr>
        <w:t>3.5 [Determinations] to agree or determine these matters.</w:t>
      </w:r>
    </w:p>
    <w:p w:rsidR="007F6DF9" w:rsidRDefault="00A43FBC">
      <w:pPr>
        <w:pStyle w:val="Heading9"/>
        <w:numPr>
          <w:ilvl w:val="1"/>
          <w:numId w:val="122"/>
        </w:numPr>
        <w:tabs>
          <w:tab w:val="left" w:pos="1426"/>
        </w:tabs>
        <w:spacing w:before="235"/>
        <w:ind w:left="1426" w:hanging="715"/>
        <w:rPr>
          <w:color w:val="221F1F"/>
        </w:rPr>
      </w:pPr>
      <w:r>
        <w:rPr>
          <w:color w:val="221F1F"/>
        </w:rPr>
        <w:t>Force</w:t>
      </w:r>
      <w:r>
        <w:rPr>
          <w:color w:val="221F1F"/>
          <w:spacing w:val="-6"/>
        </w:rPr>
        <w:t xml:space="preserve"> </w:t>
      </w:r>
      <w:r>
        <w:rPr>
          <w:color w:val="221F1F"/>
        </w:rPr>
        <w:t>Majeure</w:t>
      </w:r>
      <w:r>
        <w:rPr>
          <w:color w:val="221F1F"/>
          <w:spacing w:val="-3"/>
        </w:rPr>
        <w:t xml:space="preserve"> </w:t>
      </w:r>
      <w:r>
        <w:rPr>
          <w:color w:val="221F1F"/>
        </w:rPr>
        <w:t>Affecting</w:t>
      </w:r>
      <w:r>
        <w:rPr>
          <w:color w:val="221F1F"/>
          <w:spacing w:val="-5"/>
        </w:rPr>
        <w:t xml:space="preserve"> </w:t>
      </w:r>
      <w:r>
        <w:rPr>
          <w:color w:val="221F1F"/>
          <w:spacing w:val="-2"/>
        </w:rPr>
        <w:t>Subcontractor</w:t>
      </w:r>
    </w:p>
    <w:p w:rsidR="007F6DF9" w:rsidRDefault="00A43FBC">
      <w:pPr>
        <w:pStyle w:val="BodyText"/>
        <w:spacing w:before="243" w:line="230" w:lineRule="auto"/>
        <w:ind w:left="1424" w:right="563"/>
        <w:jc w:val="both"/>
      </w:pPr>
      <w:r>
        <w:rPr>
          <w:color w:val="221F1F"/>
        </w:rPr>
        <w:t>If any Subcontractor is entitled under any contract or agreement relating to the Works to relief from force majeure</w:t>
      </w:r>
      <w:r>
        <w:rPr>
          <w:color w:val="221F1F"/>
          <w:spacing w:val="-9"/>
        </w:rPr>
        <w:t xml:space="preserve"> </w:t>
      </w:r>
      <w:r>
        <w:rPr>
          <w:color w:val="221F1F"/>
        </w:rPr>
        <w:t>on</w:t>
      </w:r>
      <w:r>
        <w:rPr>
          <w:color w:val="221F1F"/>
          <w:spacing w:val="-12"/>
        </w:rPr>
        <w:t xml:space="preserve"> </w:t>
      </w:r>
      <w:r>
        <w:rPr>
          <w:color w:val="221F1F"/>
        </w:rPr>
        <w:t>terms</w:t>
      </w:r>
      <w:r>
        <w:rPr>
          <w:color w:val="221F1F"/>
          <w:spacing w:val="-9"/>
        </w:rPr>
        <w:t xml:space="preserve"> </w:t>
      </w:r>
      <w:r>
        <w:rPr>
          <w:color w:val="221F1F"/>
        </w:rPr>
        <w:t>additional</w:t>
      </w:r>
      <w:r>
        <w:rPr>
          <w:color w:val="221F1F"/>
          <w:spacing w:val="-10"/>
        </w:rPr>
        <w:t xml:space="preserve"> </w:t>
      </w:r>
      <w:r>
        <w:rPr>
          <w:color w:val="221F1F"/>
        </w:rPr>
        <w:t>to</w:t>
      </w:r>
      <w:r>
        <w:rPr>
          <w:color w:val="221F1F"/>
          <w:spacing w:val="-9"/>
        </w:rPr>
        <w:t xml:space="preserve"> </w:t>
      </w:r>
      <w:r>
        <w:rPr>
          <w:color w:val="221F1F"/>
        </w:rPr>
        <w:t>or</w:t>
      </w:r>
      <w:r>
        <w:rPr>
          <w:color w:val="221F1F"/>
          <w:spacing w:val="-11"/>
        </w:rPr>
        <w:t xml:space="preserve"> </w:t>
      </w:r>
      <w:r>
        <w:rPr>
          <w:color w:val="221F1F"/>
        </w:rPr>
        <w:t>broader</w:t>
      </w:r>
      <w:r>
        <w:rPr>
          <w:color w:val="221F1F"/>
          <w:spacing w:val="-8"/>
        </w:rPr>
        <w:t xml:space="preserve"> </w:t>
      </w:r>
      <w:r>
        <w:rPr>
          <w:color w:val="221F1F"/>
        </w:rPr>
        <w:t>than</w:t>
      </w:r>
      <w:r>
        <w:rPr>
          <w:color w:val="221F1F"/>
          <w:spacing w:val="-9"/>
        </w:rPr>
        <w:t xml:space="preserve"> </w:t>
      </w:r>
      <w:r>
        <w:rPr>
          <w:color w:val="221F1F"/>
        </w:rPr>
        <w:t>those</w:t>
      </w:r>
      <w:r>
        <w:rPr>
          <w:color w:val="221F1F"/>
          <w:spacing w:val="-11"/>
        </w:rPr>
        <w:t xml:space="preserve"> </w:t>
      </w:r>
      <w:r>
        <w:rPr>
          <w:color w:val="221F1F"/>
        </w:rPr>
        <w:t>specified</w:t>
      </w:r>
      <w:r>
        <w:rPr>
          <w:color w:val="221F1F"/>
          <w:spacing w:val="-11"/>
        </w:rPr>
        <w:t xml:space="preserve"> </w:t>
      </w:r>
      <w:r>
        <w:rPr>
          <w:color w:val="221F1F"/>
        </w:rPr>
        <w:t>in</w:t>
      </w:r>
      <w:r>
        <w:rPr>
          <w:color w:val="221F1F"/>
          <w:spacing w:val="-12"/>
        </w:rPr>
        <w:t xml:space="preserve"> </w:t>
      </w:r>
      <w:r>
        <w:rPr>
          <w:color w:val="221F1F"/>
        </w:rPr>
        <w:t>this</w:t>
      </w:r>
      <w:r>
        <w:rPr>
          <w:color w:val="221F1F"/>
          <w:spacing w:val="-9"/>
        </w:rPr>
        <w:t xml:space="preserve"> </w:t>
      </w:r>
      <w:r>
        <w:rPr>
          <w:color w:val="221F1F"/>
        </w:rPr>
        <w:t>Clause,</w:t>
      </w:r>
      <w:r>
        <w:rPr>
          <w:color w:val="221F1F"/>
          <w:spacing w:val="-12"/>
        </w:rPr>
        <w:t xml:space="preserve"> </w:t>
      </w:r>
      <w:r>
        <w:rPr>
          <w:color w:val="221F1F"/>
        </w:rPr>
        <w:t>such</w:t>
      </w:r>
      <w:r>
        <w:rPr>
          <w:color w:val="221F1F"/>
          <w:spacing w:val="-12"/>
        </w:rPr>
        <w:t xml:space="preserve"> </w:t>
      </w:r>
      <w:r>
        <w:rPr>
          <w:color w:val="221F1F"/>
        </w:rPr>
        <w:t>additional</w:t>
      </w:r>
      <w:r>
        <w:rPr>
          <w:color w:val="221F1F"/>
          <w:spacing w:val="-7"/>
        </w:rPr>
        <w:t xml:space="preserve"> </w:t>
      </w:r>
      <w:r>
        <w:rPr>
          <w:color w:val="221F1F"/>
        </w:rPr>
        <w:t>or</w:t>
      </w:r>
      <w:r>
        <w:rPr>
          <w:color w:val="221F1F"/>
          <w:spacing w:val="-9"/>
        </w:rPr>
        <w:t xml:space="preserve"> </w:t>
      </w:r>
      <w:r>
        <w:rPr>
          <w:color w:val="221F1F"/>
        </w:rPr>
        <w:t>broader</w:t>
      </w:r>
      <w:r>
        <w:rPr>
          <w:color w:val="221F1F"/>
          <w:spacing w:val="-8"/>
        </w:rPr>
        <w:t xml:space="preserve"> </w:t>
      </w:r>
      <w:r>
        <w:rPr>
          <w:color w:val="221F1F"/>
        </w:rPr>
        <w:t>force majeure events or circumstances shall not excuse the Contractor's non-performance or entitle him to relief under this Clause.</w:t>
      </w:r>
    </w:p>
    <w:p w:rsidR="007F6DF9" w:rsidRDefault="00A43FBC">
      <w:pPr>
        <w:pStyle w:val="Heading9"/>
        <w:numPr>
          <w:ilvl w:val="1"/>
          <w:numId w:val="122"/>
        </w:numPr>
        <w:tabs>
          <w:tab w:val="left" w:pos="1424"/>
        </w:tabs>
        <w:spacing w:before="237"/>
        <w:ind w:left="1424" w:hanging="713"/>
        <w:rPr>
          <w:color w:val="221F1F"/>
        </w:rPr>
      </w:pPr>
      <w:r>
        <w:rPr>
          <w:color w:val="221F1F"/>
        </w:rPr>
        <w:t>Optional</w:t>
      </w:r>
      <w:r>
        <w:rPr>
          <w:color w:val="221F1F"/>
          <w:spacing w:val="-4"/>
        </w:rPr>
        <w:t xml:space="preserve"> </w:t>
      </w:r>
      <w:r>
        <w:rPr>
          <w:color w:val="221F1F"/>
        </w:rPr>
        <w:t>Termination,</w:t>
      </w:r>
      <w:r>
        <w:rPr>
          <w:color w:val="221F1F"/>
          <w:spacing w:val="-4"/>
        </w:rPr>
        <w:t xml:space="preserve"> </w:t>
      </w:r>
      <w:r>
        <w:rPr>
          <w:color w:val="221F1F"/>
        </w:rPr>
        <w:t>Payment</w:t>
      </w:r>
      <w:r>
        <w:rPr>
          <w:color w:val="221F1F"/>
          <w:spacing w:val="-4"/>
        </w:rPr>
        <w:t xml:space="preserve"> </w:t>
      </w:r>
      <w:r>
        <w:rPr>
          <w:color w:val="221F1F"/>
        </w:rPr>
        <w:t>and</w:t>
      </w:r>
      <w:r>
        <w:rPr>
          <w:color w:val="221F1F"/>
          <w:spacing w:val="-5"/>
        </w:rPr>
        <w:t xml:space="preserve"> </w:t>
      </w:r>
      <w:r>
        <w:rPr>
          <w:color w:val="221F1F"/>
          <w:spacing w:val="-2"/>
        </w:rPr>
        <w:t>Release</w:t>
      </w:r>
    </w:p>
    <w:p w:rsidR="007F6DF9" w:rsidRDefault="00A43FBC">
      <w:pPr>
        <w:pStyle w:val="ListParagraph"/>
        <w:numPr>
          <w:ilvl w:val="2"/>
          <w:numId w:val="122"/>
        </w:numPr>
        <w:tabs>
          <w:tab w:val="left" w:pos="1421"/>
          <w:tab w:val="left" w:pos="1424"/>
        </w:tabs>
        <w:spacing w:before="242" w:line="230" w:lineRule="auto"/>
        <w:ind w:left="1424" w:right="551" w:hanging="714"/>
        <w:jc w:val="both"/>
        <w:rPr>
          <w:color w:val="221F1F"/>
        </w:rPr>
      </w:pPr>
      <w:r>
        <w:rPr>
          <w:color w:val="221F1F"/>
        </w:rPr>
        <w:t>If</w:t>
      </w:r>
      <w:r>
        <w:rPr>
          <w:color w:val="221F1F"/>
          <w:spacing w:val="-2"/>
        </w:rPr>
        <w:t xml:space="preserve"> </w:t>
      </w:r>
      <w:r>
        <w:rPr>
          <w:color w:val="221F1F"/>
        </w:rPr>
        <w:t>the</w:t>
      </w:r>
      <w:r>
        <w:rPr>
          <w:color w:val="221F1F"/>
          <w:spacing w:val="-2"/>
        </w:rPr>
        <w:t xml:space="preserve"> </w:t>
      </w:r>
      <w:r>
        <w:rPr>
          <w:color w:val="221F1F"/>
        </w:rPr>
        <w:t>execution</w:t>
      </w:r>
      <w:r>
        <w:rPr>
          <w:color w:val="221F1F"/>
          <w:spacing w:val="-2"/>
        </w:rPr>
        <w:t xml:space="preserve"> </w:t>
      </w:r>
      <w:r>
        <w:rPr>
          <w:color w:val="221F1F"/>
        </w:rPr>
        <w:t>of</w:t>
      </w:r>
      <w:r>
        <w:rPr>
          <w:color w:val="221F1F"/>
          <w:spacing w:val="-4"/>
        </w:rPr>
        <w:t xml:space="preserve"> </w:t>
      </w:r>
      <w:r>
        <w:rPr>
          <w:color w:val="221F1F"/>
        </w:rPr>
        <w:t>substantially</w:t>
      </w:r>
      <w:r>
        <w:rPr>
          <w:color w:val="221F1F"/>
          <w:spacing w:val="-2"/>
        </w:rPr>
        <w:t xml:space="preserve"> </w:t>
      </w:r>
      <w:r>
        <w:rPr>
          <w:color w:val="221F1F"/>
        </w:rPr>
        <w:t>all</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in</w:t>
      </w:r>
      <w:r>
        <w:rPr>
          <w:color w:val="221F1F"/>
          <w:spacing w:val="-2"/>
        </w:rPr>
        <w:t xml:space="preserve"> </w:t>
      </w:r>
      <w:r>
        <w:rPr>
          <w:color w:val="221F1F"/>
        </w:rPr>
        <w:t>progress</w:t>
      </w:r>
      <w:r>
        <w:rPr>
          <w:color w:val="221F1F"/>
          <w:spacing w:val="-2"/>
        </w:rPr>
        <w:t xml:space="preserve"> </w:t>
      </w:r>
      <w:r>
        <w:rPr>
          <w:color w:val="221F1F"/>
        </w:rPr>
        <w:t>is</w:t>
      </w:r>
      <w:r>
        <w:rPr>
          <w:color w:val="221F1F"/>
          <w:spacing w:val="-2"/>
        </w:rPr>
        <w:t xml:space="preserve"> </w:t>
      </w:r>
      <w:r>
        <w:rPr>
          <w:color w:val="221F1F"/>
        </w:rPr>
        <w:t>prevented</w:t>
      </w:r>
      <w:r>
        <w:rPr>
          <w:color w:val="221F1F"/>
          <w:spacing w:val="-4"/>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continuous</w:t>
      </w:r>
      <w:r>
        <w:rPr>
          <w:color w:val="221F1F"/>
          <w:spacing w:val="-2"/>
        </w:rPr>
        <w:t xml:space="preserve"> </w:t>
      </w:r>
      <w:r>
        <w:rPr>
          <w:color w:val="221F1F"/>
        </w:rPr>
        <w:t>period</w:t>
      </w:r>
      <w:r>
        <w:rPr>
          <w:color w:val="221F1F"/>
          <w:spacing w:val="-2"/>
        </w:rPr>
        <w:t xml:space="preserve"> </w:t>
      </w:r>
      <w:r>
        <w:rPr>
          <w:color w:val="221F1F"/>
        </w:rPr>
        <w:t>of</w:t>
      </w:r>
      <w:r>
        <w:rPr>
          <w:color w:val="221F1F"/>
          <w:spacing w:val="-4"/>
        </w:rPr>
        <w:t xml:space="preserve"> </w:t>
      </w:r>
      <w:r>
        <w:rPr>
          <w:color w:val="221F1F"/>
        </w:rPr>
        <w:t>84</w:t>
      </w:r>
      <w:r>
        <w:rPr>
          <w:color w:val="221F1F"/>
          <w:spacing w:val="-2"/>
        </w:rPr>
        <w:t xml:space="preserve"> </w:t>
      </w:r>
      <w:r>
        <w:rPr>
          <w:color w:val="221F1F"/>
        </w:rPr>
        <w:t>days</w:t>
      </w:r>
      <w:r>
        <w:rPr>
          <w:color w:val="221F1F"/>
          <w:spacing w:val="-2"/>
        </w:rPr>
        <w:t xml:space="preserve"> </w:t>
      </w:r>
      <w:r>
        <w:rPr>
          <w:color w:val="221F1F"/>
        </w:rPr>
        <w:t>by reason of Force Majeure of which notice has been given under Sub-Clause 19.2 [Notice of Force Majeure], or for multiple periods which total more than 140 days due to the same notified Force Majeure, then either Party</w:t>
      </w:r>
      <w:r>
        <w:rPr>
          <w:color w:val="221F1F"/>
          <w:spacing w:val="-1"/>
        </w:rPr>
        <w:t xml:space="preserve"> </w:t>
      </w:r>
      <w:r>
        <w:rPr>
          <w:color w:val="221F1F"/>
        </w:rPr>
        <w:t>may give to</w:t>
      </w:r>
      <w:r>
        <w:rPr>
          <w:color w:val="221F1F"/>
          <w:spacing w:val="-1"/>
        </w:rPr>
        <w:t xml:space="preserve"> </w:t>
      </w:r>
      <w:r>
        <w:rPr>
          <w:color w:val="221F1F"/>
        </w:rPr>
        <w:t>the other Party</w:t>
      </w:r>
      <w:r>
        <w:rPr>
          <w:color w:val="221F1F"/>
          <w:spacing w:val="-1"/>
        </w:rPr>
        <w:t xml:space="preserve"> </w:t>
      </w:r>
      <w:r>
        <w:rPr>
          <w:color w:val="221F1F"/>
        </w:rPr>
        <w:t>a notice of termination of the Contract. In this event, the</w:t>
      </w:r>
      <w:r>
        <w:rPr>
          <w:color w:val="221F1F"/>
          <w:spacing w:val="-1"/>
        </w:rPr>
        <w:t xml:space="preserve"> </w:t>
      </w:r>
      <w:r>
        <w:rPr>
          <w:color w:val="221F1F"/>
        </w:rPr>
        <w:t>termination</w:t>
      </w:r>
      <w:r>
        <w:rPr>
          <w:color w:val="221F1F"/>
          <w:spacing w:val="-1"/>
        </w:rPr>
        <w:t xml:space="preserve"> </w:t>
      </w:r>
      <w:r>
        <w:rPr>
          <w:color w:val="221F1F"/>
        </w:rPr>
        <w:t>shall take effect 7 days after the notice is given, and the Contractor shall proceed in accordance with Sub-Clause</w:t>
      </w:r>
    </w:p>
    <w:p w:rsidR="007F6DF9" w:rsidRDefault="00A43FBC">
      <w:pPr>
        <w:pStyle w:val="BodyText"/>
        <w:spacing w:line="243" w:lineRule="exact"/>
        <w:ind w:left="1424"/>
        <w:jc w:val="both"/>
      </w:pPr>
      <w:r>
        <w:rPr>
          <w:color w:val="221F1F"/>
        </w:rPr>
        <w:t>16.3</w:t>
      </w:r>
      <w:r>
        <w:rPr>
          <w:color w:val="221F1F"/>
          <w:spacing w:val="-8"/>
        </w:rPr>
        <w:t xml:space="preserve"> </w:t>
      </w:r>
      <w:r>
        <w:rPr>
          <w:color w:val="221F1F"/>
        </w:rPr>
        <w:t>[Cessation</w:t>
      </w:r>
      <w:r>
        <w:rPr>
          <w:color w:val="221F1F"/>
          <w:spacing w:val="-5"/>
        </w:rPr>
        <w:t xml:space="preserve"> </w:t>
      </w:r>
      <w:r>
        <w:rPr>
          <w:color w:val="221F1F"/>
        </w:rPr>
        <w:t>of</w:t>
      </w:r>
      <w:r>
        <w:rPr>
          <w:color w:val="221F1F"/>
          <w:spacing w:val="-7"/>
        </w:rPr>
        <w:t xml:space="preserve"> </w:t>
      </w:r>
      <w:r>
        <w:rPr>
          <w:color w:val="221F1F"/>
        </w:rPr>
        <w:t>Work</w:t>
      </w:r>
      <w:r>
        <w:rPr>
          <w:color w:val="221F1F"/>
          <w:spacing w:val="-14"/>
        </w:rPr>
        <w:t xml:space="preserve"> </w:t>
      </w:r>
      <w:r>
        <w:rPr>
          <w:color w:val="221F1F"/>
        </w:rPr>
        <w:t>and</w:t>
      </w:r>
      <w:r>
        <w:rPr>
          <w:color w:val="221F1F"/>
          <w:spacing w:val="-5"/>
        </w:rPr>
        <w:t xml:space="preserve"> </w:t>
      </w:r>
      <w:r>
        <w:rPr>
          <w:color w:val="221F1F"/>
        </w:rPr>
        <w:t>Removal</w:t>
      </w:r>
      <w:r>
        <w:rPr>
          <w:color w:val="221F1F"/>
          <w:spacing w:val="-6"/>
        </w:rPr>
        <w:t xml:space="preserve"> </w:t>
      </w:r>
      <w:r>
        <w:rPr>
          <w:color w:val="221F1F"/>
        </w:rPr>
        <w:t>of</w:t>
      </w:r>
      <w:r>
        <w:rPr>
          <w:color w:val="221F1F"/>
          <w:spacing w:val="-4"/>
        </w:rPr>
        <w:t xml:space="preserve"> </w:t>
      </w:r>
      <w:r>
        <w:rPr>
          <w:color w:val="221F1F"/>
        </w:rPr>
        <w:t>Contractor's</w:t>
      </w:r>
      <w:r>
        <w:rPr>
          <w:color w:val="221F1F"/>
          <w:spacing w:val="-6"/>
        </w:rPr>
        <w:t xml:space="preserve"> </w:t>
      </w:r>
      <w:r>
        <w:rPr>
          <w:color w:val="221F1F"/>
          <w:spacing w:val="-2"/>
        </w:rPr>
        <w:t>Equipment].</w:t>
      </w:r>
    </w:p>
    <w:p w:rsidR="007F6DF9" w:rsidRDefault="00A43FBC">
      <w:pPr>
        <w:pStyle w:val="ListParagraph"/>
        <w:numPr>
          <w:ilvl w:val="2"/>
          <w:numId w:val="122"/>
        </w:numPr>
        <w:tabs>
          <w:tab w:val="left" w:pos="1421"/>
          <w:tab w:val="left" w:pos="1424"/>
        </w:tabs>
        <w:spacing w:before="245" w:line="230" w:lineRule="auto"/>
        <w:ind w:left="1424" w:right="1138" w:hanging="714"/>
        <w:jc w:val="both"/>
        <w:rPr>
          <w:color w:val="221F1F"/>
        </w:rPr>
      </w:pPr>
      <w:r>
        <w:rPr>
          <w:color w:val="221F1F"/>
        </w:rPr>
        <w:t>Upon</w:t>
      </w:r>
      <w:r>
        <w:rPr>
          <w:color w:val="221F1F"/>
          <w:spacing w:val="-2"/>
        </w:rPr>
        <w:t xml:space="preserve"> </w:t>
      </w:r>
      <w:r>
        <w:rPr>
          <w:color w:val="221F1F"/>
        </w:rPr>
        <w:t>such</w:t>
      </w:r>
      <w:r>
        <w:rPr>
          <w:color w:val="221F1F"/>
          <w:spacing w:val="-5"/>
        </w:rPr>
        <w:t xml:space="preserve"> </w:t>
      </w:r>
      <w:r>
        <w:rPr>
          <w:color w:val="221F1F"/>
        </w:rPr>
        <w:t>termination,</w:t>
      </w:r>
      <w:r>
        <w:rPr>
          <w:color w:val="221F1F"/>
          <w:spacing w:val="-2"/>
        </w:rPr>
        <w:t xml:space="preserve"> </w:t>
      </w:r>
      <w:r>
        <w:rPr>
          <w:color w:val="221F1F"/>
        </w:rPr>
        <w:t>the</w:t>
      </w:r>
      <w:r>
        <w:rPr>
          <w:color w:val="221F1F"/>
          <w:spacing w:val="-4"/>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determine</w:t>
      </w:r>
      <w:r>
        <w:rPr>
          <w:color w:val="221F1F"/>
          <w:spacing w:val="-4"/>
        </w:rPr>
        <w:t xml:space="preserve"> </w:t>
      </w:r>
      <w:r>
        <w:rPr>
          <w:color w:val="221F1F"/>
        </w:rPr>
        <w:t>the</w:t>
      </w:r>
      <w:r>
        <w:rPr>
          <w:color w:val="221F1F"/>
          <w:spacing w:val="-2"/>
        </w:rPr>
        <w:t xml:space="preserve"> </w:t>
      </w:r>
      <w:r>
        <w:rPr>
          <w:color w:val="221F1F"/>
        </w:rPr>
        <w:t>value</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w:t>
      </w:r>
      <w:r>
        <w:rPr>
          <w:color w:val="221F1F"/>
          <w:spacing w:val="-4"/>
        </w:rPr>
        <w:t xml:space="preserve"> </w:t>
      </w:r>
      <w:r>
        <w:rPr>
          <w:color w:val="221F1F"/>
        </w:rPr>
        <w:t>done</w:t>
      </w:r>
      <w:r>
        <w:rPr>
          <w:color w:val="221F1F"/>
          <w:spacing w:val="-4"/>
        </w:rPr>
        <w:t xml:space="preserve"> </w:t>
      </w:r>
      <w:r>
        <w:rPr>
          <w:color w:val="221F1F"/>
        </w:rPr>
        <w:t>and</w:t>
      </w:r>
      <w:r>
        <w:rPr>
          <w:color w:val="221F1F"/>
          <w:spacing w:val="-2"/>
        </w:rPr>
        <w:t xml:space="preserve"> </w:t>
      </w:r>
      <w:r>
        <w:rPr>
          <w:color w:val="221F1F"/>
        </w:rPr>
        <w:t>issue</w:t>
      </w:r>
      <w:r>
        <w:rPr>
          <w:color w:val="221F1F"/>
          <w:spacing w:val="-2"/>
        </w:rPr>
        <w:t xml:space="preserve"> </w:t>
      </w:r>
      <w:r>
        <w:rPr>
          <w:color w:val="221F1F"/>
        </w:rPr>
        <w:t>a</w:t>
      </w:r>
      <w:r>
        <w:rPr>
          <w:color w:val="221F1F"/>
          <w:spacing w:val="-2"/>
        </w:rPr>
        <w:t xml:space="preserve"> </w:t>
      </w:r>
      <w:r>
        <w:rPr>
          <w:color w:val="221F1F"/>
        </w:rPr>
        <w:t>Payment Certificate which shall include:</w:t>
      </w:r>
    </w:p>
    <w:p w:rsidR="007F6DF9" w:rsidRDefault="00A43FBC">
      <w:pPr>
        <w:pStyle w:val="ListParagraph"/>
        <w:numPr>
          <w:ilvl w:val="3"/>
          <w:numId w:val="122"/>
        </w:numPr>
        <w:tabs>
          <w:tab w:val="left" w:pos="1871"/>
        </w:tabs>
        <w:spacing w:before="41"/>
        <w:ind w:left="1871" w:hanging="447"/>
        <w:jc w:val="both"/>
      </w:pPr>
      <w:r>
        <w:rPr>
          <w:color w:val="221F1F"/>
          <w:spacing w:val="-2"/>
        </w:rPr>
        <w:t>theamountspayableforanyworkcarriedoutforwhichapriceisstatedintheContract;</w:t>
      </w:r>
    </w:p>
    <w:p w:rsidR="007F6DF9" w:rsidRDefault="00A43FBC">
      <w:pPr>
        <w:pStyle w:val="ListParagraph"/>
        <w:numPr>
          <w:ilvl w:val="3"/>
          <w:numId w:val="122"/>
        </w:numPr>
        <w:tabs>
          <w:tab w:val="left" w:pos="1870"/>
          <w:tab w:val="left" w:pos="1875"/>
        </w:tabs>
        <w:spacing w:before="48" w:line="230" w:lineRule="auto"/>
        <w:ind w:left="1875" w:right="564" w:hanging="452"/>
        <w:jc w:val="both"/>
      </w:pPr>
      <w:r>
        <w:rPr>
          <w:color w:val="221F1F"/>
        </w:rPr>
        <w:t>the Cost of Plant and Materials ordered for the Works</w:t>
      </w:r>
      <w:r>
        <w:rPr>
          <w:color w:val="221F1F"/>
          <w:spacing w:val="-6"/>
        </w:rPr>
        <w:t xml:space="preserve"> </w:t>
      </w:r>
      <w:r>
        <w:rPr>
          <w:color w:val="221F1F"/>
        </w:rPr>
        <w:t>which have been delivered to the Contractor, or of which</w:t>
      </w:r>
      <w:r>
        <w:rPr>
          <w:color w:val="221F1F"/>
          <w:spacing w:val="-1"/>
        </w:rPr>
        <w:t xml:space="preserve"> </w:t>
      </w:r>
      <w:r>
        <w:rPr>
          <w:color w:val="221F1F"/>
        </w:rPr>
        <w:t>the Contractor is</w:t>
      </w:r>
      <w:r>
        <w:rPr>
          <w:color w:val="221F1F"/>
          <w:spacing w:val="-1"/>
        </w:rPr>
        <w:t xml:space="preserve"> </w:t>
      </w:r>
      <w:r>
        <w:rPr>
          <w:color w:val="221F1F"/>
        </w:rPr>
        <w:t>liable to accept delivery: this Plant and Materials shall become the property of</w:t>
      </w:r>
      <w:r>
        <w:rPr>
          <w:color w:val="221F1F"/>
          <w:spacing w:val="-4"/>
        </w:rPr>
        <w:t xml:space="preserve"> </w:t>
      </w:r>
      <w:r>
        <w:rPr>
          <w:color w:val="221F1F"/>
        </w:rPr>
        <w:t>(and</w:t>
      </w:r>
      <w:r>
        <w:rPr>
          <w:color w:val="221F1F"/>
          <w:spacing w:val="-4"/>
        </w:rPr>
        <w:t xml:space="preserve"> </w:t>
      </w:r>
      <w:r>
        <w:rPr>
          <w:color w:val="221F1F"/>
        </w:rPr>
        <w:t>be</w:t>
      </w:r>
      <w:r>
        <w:rPr>
          <w:color w:val="221F1F"/>
          <w:spacing w:val="-4"/>
        </w:rPr>
        <w:t xml:space="preserve"> </w:t>
      </w:r>
      <w:r>
        <w:rPr>
          <w:color w:val="221F1F"/>
        </w:rPr>
        <w:t>at</w:t>
      </w:r>
      <w:r>
        <w:rPr>
          <w:color w:val="221F1F"/>
          <w:spacing w:val="-4"/>
        </w:rPr>
        <w:t xml:space="preserve"> </w:t>
      </w:r>
      <w:r>
        <w:rPr>
          <w:color w:val="221F1F"/>
        </w:rPr>
        <w:t>the</w:t>
      </w:r>
      <w:r>
        <w:rPr>
          <w:color w:val="221F1F"/>
          <w:spacing w:val="-7"/>
        </w:rPr>
        <w:t xml:space="preserve"> </w:t>
      </w:r>
      <w:r>
        <w:rPr>
          <w:color w:val="221F1F"/>
        </w:rPr>
        <w:t>risk</w:t>
      </w:r>
      <w:r>
        <w:rPr>
          <w:color w:val="221F1F"/>
          <w:spacing w:val="-3"/>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when</w:t>
      </w:r>
      <w:r>
        <w:rPr>
          <w:color w:val="221F1F"/>
          <w:spacing w:val="-4"/>
        </w:rPr>
        <w:t xml:space="preserve"> </w:t>
      </w:r>
      <w:r>
        <w:rPr>
          <w:color w:val="221F1F"/>
        </w:rPr>
        <w:t>paid</w:t>
      </w:r>
      <w:r>
        <w:rPr>
          <w:color w:val="221F1F"/>
          <w:spacing w:val="-5"/>
        </w:rPr>
        <w:t xml:space="preserve"> </w:t>
      </w:r>
      <w:r>
        <w:rPr>
          <w:color w:val="221F1F"/>
        </w:rPr>
        <w:t>for</w:t>
      </w:r>
      <w:r>
        <w:rPr>
          <w:color w:val="221F1F"/>
          <w:spacing w:val="-4"/>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 xml:space="preserve">Contractor shall place the same at the Procuring </w:t>
      </w:r>
      <w:proofErr w:type="spellStart"/>
      <w:r>
        <w:rPr>
          <w:color w:val="221F1F"/>
        </w:rPr>
        <w:t>Entity'sdisposal</w:t>
      </w:r>
      <w:proofErr w:type="spellEnd"/>
      <w:r>
        <w:rPr>
          <w:color w:val="221F1F"/>
        </w:rPr>
        <w:t>;</w:t>
      </w:r>
    </w:p>
    <w:p w:rsidR="007F6DF9" w:rsidRDefault="00A43FBC">
      <w:pPr>
        <w:pStyle w:val="ListParagraph"/>
        <w:numPr>
          <w:ilvl w:val="3"/>
          <w:numId w:val="122"/>
        </w:numPr>
        <w:tabs>
          <w:tab w:val="left" w:pos="1870"/>
          <w:tab w:val="left" w:pos="1875"/>
        </w:tabs>
        <w:spacing w:before="51" w:line="230" w:lineRule="auto"/>
        <w:ind w:left="1875" w:right="566" w:hanging="452"/>
        <w:jc w:val="both"/>
      </w:pPr>
      <w:r>
        <w:rPr>
          <w:color w:val="221F1F"/>
        </w:rPr>
        <w:t>other Cost or liabilities which in the circumstances were reasonably and necessarily incurred by the Contractor in the expectation of completing the Works;</w:t>
      </w:r>
    </w:p>
    <w:p w:rsidR="007F6DF9" w:rsidRDefault="00A43FBC">
      <w:pPr>
        <w:pStyle w:val="ListParagraph"/>
        <w:numPr>
          <w:ilvl w:val="3"/>
          <w:numId w:val="122"/>
        </w:numPr>
        <w:tabs>
          <w:tab w:val="left" w:pos="1870"/>
          <w:tab w:val="left" w:pos="1875"/>
        </w:tabs>
        <w:spacing w:before="50" w:line="230" w:lineRule="auto"/>
        <w:ind w:left="1875" w:right="565" w:hanging="452"/>
        <w:jc w:val="both"/>
      </w:pPr>
      <w:r>
        <w:rPr>
          <w:color w:val="221F1F"/>
        </w:rPr>
        <w:t>the Cost of removal of Temporary Works</w:t>
      </w:r>
      <w:r>
        <w:rPr>
          <w:color w:val="221F1F"/>
          <w:spacing w:val="-2"/>
        </w:rPr>
        <w:t xml:space="preserve"> </w:t>
      </w:r>
      <w:r>
        <w:rPr>
          <w:color w:val="221F1F"/>
        </w:rPr>
        <w:t>and Contractor's Equipment from the Site and the return of these items</w:t>
      </w:r>
      <w:r>
        <w:rPr>
          <w:color w:val="221F1F"/>
          <w:spacing w:val="-2"/>
        </w:rPr>
        <w:t xml:space="preserve"> </w:t>
      </w:r>
      <w:r>
        <w:rPr>
          <w:color w:val="221F1F"/>
        </w:rPr>
        <w:t>to the Contractor's works</w:t>
      </w:r>
      <w:r>
        <w:rPr>
          <w:color w:val="221F1F"/>
          <w:spacing w:val="-2"/>
        </w:rPr>
        <w:t xml:space="preserve"> </w:t>
      </w:r>
      <w:r>
        <w:rPr>
          <w:color w:val="221F1F"/>
        </w:rPr>
        <w:t>in his</w:t>
      </w:r>
      <w:r>
        <w:rPr>
          <w:color w:val="221F1F"/>
          <w:spacing w:val="-2"/>
        </w:rPr>
        <w:t xml:space="preserve"> </w:t>
      </w:r>
      <w:r>
        <w:rPr>
          <w:color w:val="221F1F"/>
        </w:rPr>
        <w:t>country</w:t>
      </w:r>
      <w:r>
        <w:rPr>
          <w:color w:val="221F1F"/>
          <w:spacing w:val="-2"/>
        </w:rPr>
        <w:t xml:space="preserve"> </w:t>
      </w:r>
      <w:r>
        <w:rPr>
          <w:color w:val="221F1F"/>
        </w:rPr>
        <w:t>(or</w:t>
      </w:r>
      <w:r>
        <w:rPr>
          <w:color w:val="221F1F"/>
          <w:spacing w:val="-2"/>
        </w:rPr>
        <w:t xml:space="preserve"> </w:t>
      </w:r>
      <w:r>
        <w:rPr>
          <w:color w:val="221F1F"/>
        </w:rPr>
        <w:t>to any</w:t>
      </w:r>
      <w:r>
        <w:rPr>
          <w:color w:val="221F1F"/>
          <w:spacing w:val="-2"/>
        </w:rPr>
        <w:t xml:space="preserve"> </w:t>
      </w:r>
      <w:r>
        <w:rPr>
          <w:color w:val="221F1F"/>
        </w:rPr>
        <w:t>other destination at no greater cost);</w:t>
      </w:r>
      <w:r>
        <w:rPr>
          <w:color w:val="221F1F"/>
          <w:spacing w:val="-1"/>
        </w:rPr>
        <w:t xml:space="preserve"> </w:t>
      </w:r>
      <w:r>
        <w:rPr>
          <w:color w:val="221F1F"/>
        </w:rPr>
        <w:t>and</w:t>
      </w:r>
    </w:p>
    <w:p w:rsidR="007F6DF9" w:rsidRDefault="00A43FBC">
      <w:pPr>
        <w:pStyle w:val="ListParagraph"/>
        <w:numPr>
          <w:ilvl w:val="3"/>
          <w:numId w:val="122"/>
        </w:numPr>
        <w:tabs>
          <w:tab w:val="left" w:pos="1870"/>
          <w:tab w:val="left" w:pos="1875"/>
        </w:tabs>
        <w:spacing w:before="50" w:line="230" w:lineRule="auto"/>
        <w:ind w:left="1875" w:right="565" w:hanging="452"/>
        <w:jc w:val="both"/>
      </w:pPr>
      <w:r>
        <w:rPr>
          <w:color w:val="221F1F"/>
        </w:rPr>
        <w:t>the Cost of repatriation of the Contractor's staff and lab or employed wholly in connection with the Works at the date of termination.</w:t>
      </w:r>
    </w:p>
    <w:p w:rsidR="007F6DF9" w:rsidRDefault="00A43FBC">
      <w:pPr>
        <w:pStyle w:val="Heading9"/>
        <w:numPr>
          <w:ilvl w:val="1"/>
          <w:numId w:val="122"/>
        </w:numPr>
        <w:tabs>
          <w:tab w:val="left" w:pos="1424"/>
        </w:tabs>
        <w:spacing w:before="236"/>
        <w:ind w:left="1424" w:hanging="713"/>
        <w:rPr>
          <w:color w:val="221F1F"/>
        </w:rPr>
      </w:pPr>
      <w:r>
        <w:rPr>
          <w:color w:val="221F1F"/>
        </w:rPr>
        <w:t>Release</w:t>
      </w:r>
      <w:r>
        <w:rPr>
          <w:color w:val="221F1F"/>
          <w:spacing w:val="-3"/>
        </w:rPr>
        <w:t xml:space="preserve"> </w:t>
      </w:r>
      <w:r>
        <w:rPr>
          <w:color w:val="221F1F"/>
        </w:rPr>
        <w:t>from</w:t>
      </w:r>
      <w:r>
        <w:rPr>
          <w:color w:val="221F1F"/>
          <w:spacing w:val="-1"/>
        </w:rPr>
        <w:t xml:space="preserve"> </w:t>
      </w:r>
      <w:r>
        <w:rPr>
          <w:color w:val="221F1F"/>
          <w:spacing w:val="-2"/>
        </w:rPr>
        <w:t>Performance</w:t>
      </w:r>
    </w:p>
    <w:p w:rsidR="007F6DF9" w:rsidRDefault="00A43FBC">
      <w:pPr>
        <w:pStyle w:val="BodyText"/>
        <w:spacing w:before="242" w:line="230" w:lineRule="auto"/>
        <w:ind w:left="1424" w:right="562"/>
        <w:jc w:val="both"/>
      </w:pPr>
      <w:proofErr w:type="spellStart"/>
      <w:r>
        <w:rPr>
          <w:color w:val="221F1F"/>
        </w:rPr>
        <w:t>Not withstanding</w:t>
      </w:r>
      <w:proofErr w:type="spellEnd"/>
      <w:r>
        <w:rPr>
          <w:color w:val="221F1F"/>
        </w:rPr>
        <w:t xml:space="preserve"> any other provision of this Clause, if any event or circumstance outside the control of the Parties</w:t>
      </w:r>
      <w:r>
        <w:rPr>
          <w:color w:val="221F1F"/>
          <w:spacing w:val="-7"/>
        </w:rPr>
        <w:t xml:space="preserve"> </w:t>
      </w:r>
      <w:r>
        <w:rPr>
          <w:color w:val="221F1F"/>
        </w:rPr>
        <w:t>(including,</w:t>
      </w:r>
      <w:r>
        <w:rPr>
          <w:color w:val="221F1F"/>
          <w:spacing w:val="-5"/>
        </w:rPr>
        <w:t xml:space="preserve"> </w:t>
      </w:r>
      <w:r>
        <w:rPr>
          <w:color w:val="221F1F"/>
        </w:rPr>
        <w:t>but</w:t>
      </w:r>
      <w:r>
        <w:rPr>
          <w:color w:val="221F1F"/>
          <w:spacing w:val="-5"/>
        </w:rPr>
        <w:t xml:space="preserve"> </w:t>
      </w:r>
      <w:r>
        <w:rPr>
          <w:color w:val="221F1F"/>
        </w:rPr>
        <w:t>not</w:t>
      </w:r>
      <w:r>
        <w:rPr>
          <w:color w:val="221F1F"/>
          <w:spacing w:val="-4"/>
        </w:rPr>
        <w:t xml:space="preserve"> </w:t>
      </w:r>
      <w:r>
        <w:rPr>
          <w:color w:val="221F1F"/>
        </w:rPr>
        <w:t>limited</w:t>
      </w:r>
      <w:r>
        <w:rPr>
          <w:color w:val="221F1F"/>
          <w:spacing w:val="-5"/>
        </w:rPr>
        <w:t xml:space="preserve"> </w:t>
      </w:r>
      <w:r>
        <w:rPr>
          <w:color w:val="221F1F"/>
        </w:rPr>
        <w:t>to,</w:t>
      </w:r>
      <w:r>
        <w:rPr>
          <w:color w:val="221F1F"/>
          <w:spacing w:val="-6"/>
        </w:rPr>
        <w:t xml:space="preserve"> </w:t>
      </w:r>
      <w:r>
        <w:rPr>
          <w:color w:val="221F1F"/>
        </w:rPr>
        <w:t>Force</w:t>
      </w:r>
      <w:r>
        <w:rPr>
          <w:color w:val="221F1F"/>
          <w:spacing w:val="-6"/>
        </w:rPr>
        <w:t xml:space="preserve"> </w:t>
      </w:r>
      <w:r>
        <w:rPr>
          <w:color w:val="221F1F"/>
        </w:rPr>
        <w:t>Majeure)</w:t>
      </w:r>
      <w:r>
        <w:rPr>
          <w:color w:val="221F1F"/>
          <w:spacing w:val="-4"/>
        </w:rPr>
        <w:t xml:space="preserve"> </w:t>
      </w:r>
      <w:r>
        <w:rPr>
          <w:color w:val="221F1F"/>
        </w:rPr>
        <w:t>arises</w:t>
      </w:r>
      <w:r>
        <w:rPr>
          <w:color w:val="221F1F"/>
          <w:spacing w:val="-5"/>
        </w:rPr>
        <w:t xml:space="preserve"> </w:t>
      </w:r>
      <w:r>
        <w:rPr>
          <w:color w:val="221F1F"/>
        </w:rPr>
        <w:t>which</w:t>
      </w:r>
      <w:r>
        <w:rPr>
          <w:color w:val="221F1F"/>
          <w:spacing w:val="-8"/>
        </w:rPr>
        <w:t xml:space="preserve"> </w:t>
      </w:r>
      <w:r>
        <w:rPr>
          <w:color w:val="221F1F"/>
        </w:rPr>
        <w:t>makes</w:t>
      </w:r>
      <w:r>
        <w:rPr>
          <w:color w:val="221F1F"/>
          <w:spacing w:val="-5"/>
        </w:rPr>
        <w:t xml:space="preserve"> </w:t>
      </w:r>
      <w:r>
        <w:rPr>
          <w:color w:val="221F1F"/>
        </w:rPr>
        <w:t>it</w:t>
      </w:r>
      <w:r>
        <w:rPr>
          <w:color w:val="221F1F"/>
          <w:spacing w:val="-7"/>
        </w:rPr>
        <w:t xml:space="preserve"> </w:t>
      </w:r>
      <w:r>
        <w:rPr>
          <w:color w:val="221F1F"/>
        </w:rPr>
        <w:t>impossible</w:t>
      </w:r>
      <w:r>
        <w:rPr>
          <w:color w:val="221F1F"/>
          <w:spacing w:val="-5"/>
        </w:rPr>
        <w:t xml:space="preserve"> </w:t>
      </w:r>
      <w:r>
        <w:rPr>
          <w:color w:val="221F1F"/>
        </w:rPr>
        <w:t>or</w:t>
      </w:r>
      <w:r>
        <w:rPr>
          <w:color w:val="221F1F"/>
          <w:spacing w:val="-5"/>
        </w:rPr>
        <w:t xml:space="preserve"> </w:t>
      </w:r>
      <w:r>
        <w:rPr>
          <w:color w:val="221F1F"/>
        </w:rPr>
        <w:t>unlawful</w:t>
      </w:r>
      <w:r>
        <w:rPr>
          <w:color w:val="221F1F"/>
          <w:spacing w:val="-5"/>
        </w:rPr>
        <w:t xml:space="preserve"> </w:t>
      </w:r>
      <w:r>
        <w:rPr>
          <w:color w:val="221F1F"/>
        </w:rPr>
        <w:t>for</w:t>
      </w:r>
      <w:r>
        <w:rPr>
          <w:color w:val="221F1F"/>
          <w:spacing w:val="-5"/>
        </w:rPr>
        <w:t xml:space="preserve"> </w:t>
      </w:r>
      <w:r>
        <w:rPr>
          <w:color w:val="221F1F"/>
        </w:rPr>
        <w:t>either or both Parties to fulfil its or their contractual obligations or which, under the law governing the Contract, entitles</w:t>
      </w:r>
      <w:r>
        <w:rPr>
          <w:color w:val="221F1F"/>
          <w:spacing w:val="-3"/>
        </w:rPr>
        <w:t xml:space="preserve"> </w:t>
      </w:r>
      <w:r>
        <w:rPr>
          <w:color w:val="221F1F"/>
        </w:rPr>
        <w:t>the Parties</w:t>
      </w:r>
      <w:r>
        <w:rPr>
          <w:color w:val="221F1F"/>
          <w:spacing w:val="-2"/>
        </w:rPr>
        <w:t xml:space="preserve"> </w:t>
      </w:r>
      <w:r>
        <w:rPr>
          <w:color w:val="221F1F"/>
        </w:rPr>
        <w:t>to</w:t>
      </w:r>
      <w:r>
        <w:rPr>
          <w:color w:val="221F1F"/>
          <w:spacing w:val="-1"/>
        </w:rPr>
        <w:t xml:space="preserve"> </w:t>
      </w:r>
      <w:r>
        <w:rPr>
          <w:color w:val="221F1F"/>
        </w:rPr>
        <w:t>be released</w:t>
      </w:r>
      <w:r>
        <w:rPr>
          <w:color w:val="221F1F"/>
          <w:spacing w:val="-3"/>
        </w:rPr>
        <w:t xml:space="preserve"> </w:t>
      </w:r>
      <w:r>
        <w:rPr>
          <w:color w:val="221F1F"/>
        </w:rPr>
        <w:t>from further performance of</w:t>
      </w:r>
      <w:r>
        <w:rPr>
          <w:color w:val="221F1F"/>
          <w:spacing w:val="-3"/>
        </w:rPr>
        <w:t xml:space="preserve"> </w:t>
      </w:r>
      <w:r>
        <w:rPr>
          <w:color w:val="221F1F"/>
        </w:rPr>
        <w:t>the</w:t>
      </w:r>
      <w:r>
        <w:rPr>
          <w:color w:val="221F1F"/>
          <w:spacing w:val="-1"/>
        </w:rPr>
        <w:t xml:space="preserve"> </w:t>
      </w:r>
      <w:r>
        <w:rPr>
          <w:color w:val="221F1F"/>
        </w:rPr>
        <w:t>Contract,</w:t>
      </w:r>
      <w:r>
        <w:rPr>
          <w:color w:val="221F1F"/>
          <w:spacing w:val="-3"/>
        </w:rPr>
        <w:t xml:space="preserve"> </w:t>
      </w:r>
      <w:r>
        <w:rPr>
          <w:color w:val="221F1F"/>
        </w:rPr>
        <w:t>then</w:t>
      </w:r>
      <w:r>
        <w:rPr>
          <w:color w:val="221F1F"/>
          <w:spacing w:val="-1"/>
        </w:rPr>
        <w:t xml:space="preserve"> </w:t>
      </w:r>
      <w:r>
        <w:rPr>
          <w:color w:val="221F1F"/>
        </w:rPr>
        <w:t>upon</w:t>
      </w:r>
      <w:r>
        <w:rPr>
          <w:color w:val="221F1F"/>
          <w:spacing w:val="-1"/>
        </w:rPr>
        <w:t xml:space="preserve"> </w:t>
      </w:r>
      <w:r>
        <w:rPr>
          <w:color w:val="221F1F"/>
        </w:rPr>
        <w:t>notice by</w:t>
      </w:r>
      <w:r>
        <w:rPr>
          <w:color w:val="221F1F"/>
          <w:spacing w:val="-1"/>
        </w:rPr>
        <w:t xml:space="preserve"> </w:t>
      </w:r>
      <w:r>
        <w:rPr>
          <w:color w:val="221F1F"/>
        </w:rPr>
        <w:t xml:space="preserve">either Party to the other </w:t>
      </w:r>
      <w:proofErr w:type="spellStart"/>
      <w:r>
        <w:rPr>
          <w:color w:val="221F1F"/>
        </w:rPr>
        <w:t>Partyofsucheventorcircumstance</w:t>
      </w:r>
      <w:proofErr w:type="spellEnd"/>
      <w:r>
        <w:rPr>
          <w:color w:val="221F1F"/>
        </w:rPr>
        <w:t>:</w:t>
      </w:r>
    </w:p>
    <w:p w:rsidR="007F6DF9" w:rsidRDefault="00A43FBC">
      <w:pPr>
        <w:pStyle w:val="ListParagraph"/>
        <w:numPr>
          <w:ilvl w:val="0"/>
          <w:numId w:val="25"/>
        </w:numPr>
        <w:tabs>
          <w:tab w:val="left" w:pos="1871"/>
          <w:tab w:val="left" w:pos="1873"/>
        </w:tabs>
        <w:spacing w:before="50" w:line="230" w:lineRule="auto"/>
        <w:ind w:right="562"/>
        <w:jc w:val="both"/>
      </w:pPr>
      <w:r>
        <w:rPr>
          <w:color w:val="221F1F"/>
        </w:rPr>
        <w:t>The</w:t>
      </w:r>
      <w:r>
        <w:rPr>
          <w:color w:val="221F1F"/>
          <w:spacing w:val="-7"/>
        </w:rPr>
        <w:t xml:space="preserve"> </w:t>
      </w:r>
      <w:r>
        <w:rPr>
          <w:color w:val="221F1F"/>
        </w:rPr>
        <w:t>Parties</w:t>
      </w:r>
      <w:r>
        <w:rPr>
          <w:color w:val="221F1F"/>
          <w:spacing w:val="-6"/>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discharged</w:t>
      </w:r>
      <w:r>
        <w:rPr>
          <w:color w:val="221F1F"/>
          <w:spacing w:val="-6"/>
        </w:rPr>
        <w:t xml:space="preserve"> </w:t>
      </w:r>
      <w:r>
        <w:rPr>
          <w:color w:val="221F1F"/>
        </w:rPr>
        <w:t>from</w:t>
      </w:r>
      <w:r>
        <w:rPr>
          <w:color w:val="221F1F"/>
          <w:spacing w:val="-8"/>
        </w:rPr>
        <w:t xml:space="preserve"> </w:t>
      </w:r>
      <w:r>
        <w:rPr>
          <w:color w:val="221F1F"/>
        </w:rPr>
        <w:t>further</w:t>
      </w:r>
      <w:r>
        <w:rPr>
          <w:color w:val="221F1F"/>
          <w:spacing w:val="-5"/>
        </w:rPr>
        <w:t xml:space="preserve"> </w:t>
      </w:r>
      <w:r>
        <w:rPr>
          <w:color w:val="221F1F"/>
        </w:rPr>
        <w:t>performance,</w:t>
      </w:r>
      <w:r>
        <w:rPr>
          <w:color w:val="221F1F"/>
          <w:spacing w:val="-6"/>
        </w:rPr>
        <w:t xml:space="preserve"> </w:t>
      </w:r>
      <w:r>
        <w:rPr>
          <w:color w:val="221F1F"/>
        </w:rPr>
        <w:t>without</w:t>
      </w:r>
      <w:r>
        <w:rPr>
          <w:color w:val="221F1F"/>
          <w:spacing w:val="-6"/>
        </w:rPr>
        <w:t xml:space="preserve"> </w:t>
      </w:r>
      <w:r>
        <w:rPr>
          <w:color w:val="221F1F"/>
        </w:rPr>
        <w:t>prejudice</w:t>
      </w:r>
      <w:r>
        <w:rPr>
          <w:color w:val="221F1F"/>
          <w:spacing w:val="-6"/>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rights</w:t>
      </w:r>
      <w:r>
        <w:rPr>
          <w:color w:val="221F1F"/>
          <w:spacing w:val="-6"/>
        </w:rPr>
        <w:t xml:space="preserve"> </w:t>
      </w:r>
      <w:r>
        <w:rPr>
          <w:color w:val="221F1F"/>
        </w:rPr>
        <w:t>of</w:t>
      </w:r>
      <w:r>
        <w:rPr>
          <w:color w:val="221F1F"/>
          <w:spacing w:val="-6"/>
        </w:rPr>
        <w:t xml:space="preserve"> </w:t>
      </w:r>
      <w:r>
        <w:rPr>
          <w:color w:val="221F1F"/>
        </w:rPr>
        <w:t>either</w:t>
      </w:r>
      <w:r>
        <w:rPr>
          <w:color w:val="221F1F"/>
          <w:spacing w:val="-5"/>
        </w:rPr>
        <w:t xml:space="preserve"> </w:t>
      </w:r>
      <w:r>
        <w:rPr>
          <w:color w:val="221F1F"/>
        </w:rPr>
        <w:t>Party in respect of any previous breach of the Contract, and</w:t>
      </w:r>
    </w:p>
    <w:p w:rsidR="007F6DF9" w:rsidRDefault="00A43FBC">
      <w:pPr>
        <w:pStyle w:val="ListParagraph"/>
        <w:numPr>
          <w:ilvl w:val="0"/>
          <w:numId w:val="25"/>
        </w:numPr>
        <w:tabs>
          <w:tab w:val="left" w:pos="1871"/>
          <w:tab w:val="left" w:pos="1873"/>
        </w:tabs>
        <w:spacing w:before="50" w:line="230" w:lineRule="auto"/>
        <w:ind w:right="562"/>
        <w:jc w:val="both"/>
      </w:pPr>
      <w:r>
        <w:rPr>
          <w:color w:val="221F1F"/>
        </w:rPr>
        <w:t>The</w:t>
      </w:r>
      <w:r>
        <w:rPr>
          <w:color w:val="221F1F"/>
          <w:spacing w:val="-14"/>
        </w:rPr>
        <w:t xml:space="preserve"> </w:t>
      </w:r>
      <w:r>
        <w:rPr>
          <w:color w:val="221F1F"/>
        </w:rPr>
        <w:t>sum</w:t>
      </w:r>
      <w:r>
        <w:rPr>
          <w:color w:val="221F1F"/>
          <w:spacing w:val="-12"/>
        </w:rPr>
        <w:t xml:space="preserve"> </w:t>
      </w:r>
      <w:r>
        <w:rPr>
          <w:color w:val="221F1F"/>
        </w:rPr>
        <w:t>payable</w:t>
      </w:r>
      <w:r>
        <w:rPr>
          <w:color w:val="221F1F"/>
          <w:spacing w:val="-12"/>
        </w:rPr>
        <w:t xml:space="preserve"> </w:t>
      </w:r>
      <w:r>
        <w:rPr>
          <w:color w:val="221F1F"/>
        </w:rPr>
        <w:t>by</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3"/>
        </w:rPr>
        <w:t xml:space="preserve"> </w:t>
      </w:r>
      <w:r>
        <w:rPr>
          <w:color w:val="221F1F"/>
        </w:rPr>
        <w:t>Entity</w:t>
      </w:r>
      <w:r>
        <w:rPr>
          <w:color w:val="221F1F"/>
          <w:spacing w:val="-13"/>
        </w:rPr>
        <w:t xml:space="preserve"> </w:t>
      </w:r>
      <w:r>
        <w:rPr>
          <w:color w:val="221F1F"/>
        </w:rPr>
        <w:t>to</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the</w:t>
      </w:r>
      <w:r>
        <w:rPr>
          <w:color w:val="221F1F"/>
          <w:spacing w:val="-13"/>
        </w:rPr>
        <w:t xml:space="preserve"> </w:t>
      </w:r>
      <w:r>
        <w:rPr>
          <w:color w:val="221F1F"/>
        </w:rPr>
        <w:t>same</w:t>
      </w:r>
      <w:r>
        <w:rPr>
          <w:color w:val="221F1F"/>
          <w:spacing w:val="-13"/>
        </w:rPr>
        <w:t xml:space="preserve"> </w:t>
      </w:r>
      <w:r>
        <w:rPr>
          <w:color w:val="221F1F"/>
        </w:rPr>
        <w:t>as</w:t>
      </w:r>
      <w:r>
        <w:rPr>
          <w:color w:val="221F1F"/>
          <w:spacing w:val="-12"/>
        </w:rPr>
        <w:t xml:space="preserve"> </w:t>
      </w:r>
      <w:r>
        <w:rPr>
          <w:color w:val="221F1F"/>
        </w:rPr>
        <w:t>would</w:t>
      </w:r>
      <w:r>
        <w:rPr>
          <w:color w:val="221F1F"/>
          <w:spacing w:val="-13"/>
        </w:rPr>
        <w:t xml:space="preserve"> </w:t>
      </w:r>
      <w:r>
        <w:rPr>
          <w:color w:val="221F1F"/>
        </w:rPr>
        <w:t>have</w:t>
      </w:r>
      <w:r>
        <w:rPr>
          <w:color w:val="221F1F"/>
          <w:spacing w:val="-12"/>
        </w:rPr>
        <w:t xml:space="preserve"> </w:t>
      </w:r>
      <w:r>
        <w:rPr>
          <w:color w:val="221F1F"/>
        </w:rPr>
        <w:t>been</w:t>
      </w:r>
      <w:r>
        <w:rPr>
          <w:color w:val="221F1F"/>
          <w:spacing w:val="-13"/>
        </w:rPr>
        <w:t xml:space="preserve"> </w:t>
      </w:r>
      <w:r>
        <w:rPr>
          <w:color w:val="221F1F"/>
        </w:rPr>
        <w:t>payable under Sub-Clause 19.6 [Optional Termination, Payment and Release] if the Contract had been terminated under Sub-Clause 19.6.</w:t>
      </w:r>
    </w:p>
    <w:p w:rsidR="007F6DF9" w:rsidRDefault="007F6DF9">
      <w:pPr>
        <w:pStyle w:val="ListParagraph"/>
        <w:spacing w:line="230" w:lineRule="auto"/>
        <w:jc w:val="both"/>
        <w:sectPr w:rsidR="007F6DF9">
          <w:pgSz w:w="11920" w:h="16850"/>
          <w:pgMar w:top="360" w:right="283" w:bottom="620" w:left="141" w:header="0" w:footer="437" w:gutter="0"/>
          <w:pgNumType w:start="123"/>
          <w:cols w:space="720"/>
        </w:sectPr>
      </w:pPr>
    </w:p>
    <w:p w:rsidR="007F6DF9" w:rsidRDefault="007F6DF9">
      <w:pPr>
        <w:pStyle w:val="BodyText"/>
        <w:spacing w:before="207"/>
      </w:pPr>
    </w:p>
    <w:p w:rsidR="007F6DF9" w:rsidRDefault="00A43FBC">
      <w:pPr>
        <w:pStyle w:val="Heading8"/>
        <w:numPr>
          <w:ilvl w:val="0"/>
          <w:numId w:val="122"/>
        </w:numPr>
        <w:tabs>
          <w:tab w:val="left" w:pos="1419"/>
        </w:tabs>
        <w:ind w:left="1419" w:hanging="713"/>
      </w:pPr>
      <w:bookmarkStart w:id="72" w:name="_bookmark70"/>
      <w:bookmarkEnd w:id="72"/>
      <w:r>
        <w:rPr>
          <w:color w:val="221F1F"/>
        </w:rPr>
        <w:t>SETTLEMENT</w:t>
      </w:r>
      <w:r>
        <w:rPr>
          <w:color w:val="221F1F"/>
          <w:spacing w:val="-5"/>
        </w:rPr>
        <w:t xml:space="preserve"> </w:t>
      </w:r>
      <w:r>
        <w:rPr>
          <w:color w:val="221F1F"/>
        </w:rPr>
        <w:t>OF</w:t>
      </w:r>
      <w:r>
        <w:rPr>
          <w:color w:val="221F1F"/>
          <w:spacing w:val="-5"/>
        </w:rPr>
        <w:t xml:space="preserve"> </w:t>
      </w:r>
      <w:r>
        <w:rPr>
          <w:color w:val="221F1F"/>
        </w:rPr>
        <w:t>CLAIMS</w:t>
      </w:r>
      <w:r>
        <w:rPr>
          <w:color w:val="221F1F"/>
          <w:spacing w:val="-5"/>
        </w:rPr>
        <w:t xml:space="preserve"> </w:t>
      </w:r>
      <w:r>
        <w:rPr>
          <w:color w:val="221F1F"/>
        </w:rPr>
        <w:t>AND</w:t>
      </w:r>
      <w:r>
        <w:rPr>
          <w:color w:val="221F1F"/>
          <w:spacing w:val="-4"/>
        </w:rPr>
        <w:t xml:space="preserve"> </w:t>
      </w:r>
      <w:r>
        <w:rPr>
          <w:color w:val="221F1F"/>
          <w:spacing w:val="-2"/>
        </w:rPr>
        <w:t>DISPUTES</w:t>
      </w:r>
    </w:p>
    <w:p w:rsidR="007F6DF9" w:rsidRDefault="00A43FBC">
      <w:pPr>
        <w:pStyle w:val="Heading9"/>
        <w:numPr>
          <w:ilvl w:val="1"/>
          <w:numId w:val="122"/>
        </w:numPr>
        <w:tabs>
          <w:tab w:val="left" w:pos="1419"/>
        </w:tabs>
        <w:spacing w:before="234"/>
        <w:ind w:hanging="713"/>
        <w:rPr>
          <w:color w:val="221F1F"/>
        </w:rPr>
      </w:pPr>
      <w:r>
        <w:rPr>
          <w:color w:val="221F1F"/>
        </w:rPr>
        <w:t>Contractor's</w:t>
      </w:r>
      <w:r>
        <w:rPr>
          <w:color w:val="221F1F"/>
          <w:spacing w:val="-5"/>
        </w:rPr>
        <w:t xml:space="preserve"> </w:t>
      </w:r>
      <w:r>
        <w:rPr>
          <w:color w:val="221F1F"/>
          <w:spacing w:val="-2"/>
        </w:rPr>
        <w:t>Claims</w:t>
      </w:r>
    </w:p>
    <w:p w:rsidR="007F6DF9" w:rsidRDefault="00A43FBC">
      <w:pPr>
        <w:pStyle w:val="ListParagraph"/>
        <w:numPr>
          <w:ilvl w:val="2"/>
          <w:numId w:val="122"/>
        </w:numPr>
        <w:tabs>
          <w:tab w:val="left" w:pos="1404"/>
          <w:tab w:val="left" w:pos="1407"/>
        </w:tabs>
        <w:spacing w:before="243" w:line="230" w:lineRule="auto"/>
        <w:ind w:left="1407" w:right="563" w:hanging="702"/>
        <w:jc w:val="both"/>
        <w:rPr>
          <w:color w:val="221F1F"/>
        </w:rPr>
      </w:pPr>
      <w:r>
        <w:rPr>
          <w:color w:val="221F1F"/>
        </w:rPr>
        <w:t xml:space="preserve">If the Contractor considers itself to be entitled to any extension of the Time for Completion and/or any additional payment, under any Clause of these Conditions or otherwise in connection with the Contract, the Contractor shall give </w:t>
      </w:r>
      <w:r>
        <w:rPr>
          <w:color w:val="221F1F"/>
          <w:u w:val="single" w:color="221F1F"/>
        </w:rPr>
        <w:t xml:space="preserve">Notice to the Engineer, </w:t>
      </w:r>
      <w:r>
        <w:rPr>
          <w:color w:val="221F1F"/>
        </w:rPr>
        <w:t>describing the event or circumstance giving rise to the claim. The</w:t>
      </w:r>
      <w:r>
        <w:rPr>
          <w:color w:val="221F1F"/>
          <w:spacing w:val="-11"/>
        </w:rPr>
        <w:t xml:space="preserve"> </w:t>
      </w:r>
      <w:r>
        <w:rPr>
          <w:color w:val="221F1F"/>
        </w:rPr>
        <w:t>notice</w:t>
      </w:r>
      <w:r>
        <w:rPr>
          <w:color w:val="221F1F"/>
          <w:spacing w:val="-11"/>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given</w:t>
      </w:r>
      <w:r>
        <w:rPr>
          <w:color w:val="221F1F"/>
          <w:spacing w:val="-13"/>
        </w:rPr>
        <w:t xml:space="preserve"> </w:t>
      </w:r>
      <w:r>
        <w:rPr>
          <w:color w:val="221F1F"/>
        </w:rPr>
        <w:t>as</w:t>
      </w:r>
      <w:r>
        <w:rPr>
          <w:color w:val="221F1F"/>
          <w:spacing w:val="-13"/>
        </w:rPr>
        <w:t xml:space="preserve"> </w:t>
      </w:r>
      <w:r>
        <w:rPr>
          <w:color w:val="221F1F"/>
        </w:rPr>
        <w:t>soon</w:t>
      </w:r>
      <w:r>
        <w:rPr>
          <w:color w:val="221F1F"/>
          <w:spacing w:val="-10"/>
        </w:rPr>
        <w:t xml:space="preserve"> </w:t>
      </w:r>
      <w:r>
        <w:rPr>
          <w:color w:val="221F1F"/>
        </w:rPr>
        <w:t>as</w:t>
      </w:r>
      <w:r>
        <w:rPr>
          <w:color w:val="221F1F"/>
          <w:spacing w:val="-10"/>
        </w:rPr>
        <w:t xml:space="preserve"> </w:t>
      </w:r>
      <w:r>
        <w:rPr>
          <w:color w:val="221F1F"/>
        </w:rPr>
        <w:t>practicable,</w:t>
      </w:r>
      <w:r>
        <w:rPr>
          <w:color w:val="221F1F"/>
          <w:spacing w:val="-11"/>
        </w:rPr>
        <w:t xml:space="preserve"> </w:t>
      </w:r>
      <w:r>
        <w:rPr>
          <w:color w:val="221F1F"/>
        </w:rPr>
        <w:t>and</w:t>
      </w:r>
      <w:r>
        <w:rPr>
          <w:color w:val="221F1F"/>
          <w:spacing w:val="-13"/>
        </w:rPr>
        <w:t xml:space="preserve"> </w:t>
      </w:r>
      <w:r>
        <w:rPr>
          <w:color w:val="221F1F"/>
        </w:rPr>
        <w:t>not</w:t>
      </w:r>
      <w:r>
        <w:rPr>
          <w:color w:val="221F1F"/>
          <w:spacing w:val="-12"/>
        </w:rPr>
        <w:t xml:space="preserve"> </w:t>
      </w:r>
      <w:r>
        <w:rPr>
          <w:color w:val="221F1F"/>
        </w:rPr>
        <w:t>later</w:t>
      </w:r>
      <w:r>
        <w:rPr>
          <w:color w:val="221F1F"/>
          <w:spacing w:val="-12"/>
        </w:rPr>
        <w:t xml:space="preserve"> </w:t>
      </w:r>
      <w:r>
        <w:rPr>
          <w:color w:val="221F1F"/>
        </w:rPr>
        <w:t>than</w:t>
      </w:r>
      <w:r>
        <w:rPr>
          <w:color w:val="221F1F"/>
          <w:spacing w:val="-13"/>
        </w:rPr>
        <w:t xml:space="preserve"> </w:t>
      </w:r>
      <w:r>
        <w:rPr>
          <w:color w:val="221F1F"/>
        </w:rPr>
        <w:t>30</w:t>
      </w:r>
      <w:r>
        <w:rPr>
          <w:color w:val="221F1F"/>
          <w:spacing w:val="-11"/>
        </w:rPr>
        <w:t xml:space="preserve"> </w:t>
      </w:r>
      <w:r>
        <w:rPr>
          <w:color w:val="221F1F"/>
        </w:rPr>
        <w:t>days</w:t>
      </w:r>
      <w:r>
        <w:rPr>
          <w:color w:val="221F1F"/>
          <w:spacing w:val="-10"/>
        </w:rPr>
        <w:t xml:space="preserve"> </w:t>
      </w:r>
      <w:r>
        <w:rPr>
          <w:color w:val="221F1F"/>
        </w:rPr>
        <w:t>after</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0"/>
        </w:rPr>
        <w:t xml:space="preserve"> </w:t>
      </w:r>
      <w:r>
        <w:rPr>
          <w:color w:val="221F1F"/>
        </w:rPr>
        <w:t>became</w:t>
      </w:r>
      <w:r>
        <w:rPr>
          <w:color w:val="221F1F"/>
          <w:spacing w:val="-13"/>
        </w:rPr>
        <w:t xml:space="preserve"> </w:t>
      </w:r>
      <w:r>
        <w:rPr>
          <w:color w:val="221F1F"/>
        </w:rPr>
        <w:t>aware, or should have become aware, of the event or circumstance.</w:t>
      </w:r>
    </w:p>
    <w:p w:rsidR="007F6DF9" w:rsidRDefault="00A43FBC">
      <w:pPr>
        <w:pStyle w:val="ListParagraph"/>
        <w:numPr>
          <w:ilvl w:val="2"/>
          <w:numId w:val="122"/>
        </w:numPr>
        <w:tabs>
          <w:tab w:val="left" w:pos="1404"/>
          <w:tab w:val="left" w:pos="1407"/>
        </w:tabs>
        <w:spacing w:before="247" w:line="230" w:lineRule="auto"/>
        <w:ind w:left="1407" w:right="561" w:hanging="702"/>
        <w:jc w:val="both"/>
        <w:rPr>
          <w:color w:val="221F1F"/>
        </w:rPr>
      </w:pPr>
      <w:r>
        <w:rPr>
          <w:color w:val="221F1F"/>
        </w:rPr>
        <w:t>If the</w:t>
      </w:r>
      <w:r>
        <w:rPr>
          <w:color w:val="221F1F"/>
          <w:spacing w:val="-3"/>
        </w:rPr>
        <w:t xml:space="preserve"> </w:t>
      </w:r>
      <w:r>
        <w:rPr>
          <w:color w:val="221F1F"/>
        </w:rPr>
        <w:t>Contractor</w:t>
      </w:r>
      <w:r>
        <w:rPr>
          <w:color w:val="221F1F"/>
          <w:spacing w:val="-2"/>
        </w:rPr>
        <w:t xml:space="preserve"> </w:t>
      </w:r>
      <w:r>
        <w:rPr>
          <w:color w:val="221F1F"/>
        </w:rPr>
        <w:t>fails</w:t>
      </w:r>
      <w:r>
        <w:rPr>
          <w:color w:val="221F1F"/>
          <w:spacing w:val="-3"/>
        </w:rPr>
        <w:t xml:space="preserve"> </w:t>
      </w:r>
      <w:r>
        <w:rPr>
          <w:color w:val="221F1F"/>
        </w:rPr>
        <w:t>to</w:t>
      </w:r>
      <w:r>
        <w:rPr>
          <w:color w:val="221F1F"/>
          <w:spacing w:val="-3"/>
        </w:rPr>
        <w:t xml:space="preserve"> </w:t>
      </w:r>
      <w:r>
        <w:rPr>
          <w:color w:val="221F1F"/>
        </w:rPr>
        <w:t>give</w:t>
      </w:r>
      <w:r>
        <w:rPr>
          <w:color w:val="221F1F"/>
          <w:spacing w:val="-1"/>
        </w:rPr>
        <w:t xml:space="preserve"> </w:t>
      </w:r>
      <w:r>
        <w:rPr>
          <w:color w:val="221F1F"/>
        </w:rPr>
        <w:t>notice of</w:t>
      </w:r>
      <w:r>
        <w:rPr>
          <w:color w:val="221F1F"/>
          <w:spacing w:val="-3"/>
        </w:rPr>
        <w:t xml:space="preserve"> </w:t>
      </w:r>
      <w:r>
        <w:rPr>
          <w:color w:val="221F1F"/>
        </w:rPr>
        <w:t>a</w:t>
      </w:r>
      <w:r>
        <w:rPr>
          <w:color w:val="221F1F"/>
          <w:spacing w:val="-1"/>
        </w:rPr>
        <w:t xml:space="preserve"> </w:t>
      </w:r>
      <w:r>
        <w:rPr>
          <w:color w:val="221F1F"/>
        </w:rPr>
        <w:t>claim</w:t>
      </w:r>
      <w:r>
        <w:rPr>
          <w:color w:val="221F1F"/>
          <w:spacing w:val="-2"/>
        </w:rPr>
        <w:t xml:space="preserve"> </w:t>
      </w:r>
      <w:r>
        <w:rPr>
          <w:color w:val="221F1F"/>
        </w:rPr>
        <w:t>within</w:t>
      </w:r>
      <w:r>
        <w:rPr>
          <w:color w:val="221F1F"/>
          <w:spacing w:val="-5"/>
        </w:rPr>
        <w:t xml:space="preserve"> </w:t>
      </w:r>
      <w:r>
        <w:rPr>
          <w:color w:val="221F1F"/>
        </w:rPr>
        <w:t>such</w:t>
      </w:r>
      <w:r>
        <w:rPr>
          <w:color w:val="221F1F"/>
          <w:spacing w:val="-1"/>
        </w:rPr>
        <w:t xml:space="preserve"> </w:t>
      </w:r>
      <w:r>
        <w:rPr>
          <w:color w:val="221F1F"/>
        </w:rPr>
        <w:t>period</w:t>
      </w:r>
      <w:r>
        <w:rPr>
          <w:color w:val="221F1F"/>
          <w:spacing w:val="-4"/>
        </w:rPr>
        <w:t xml:space="preserve"> </w:t>
      </w:r>
      <w:r>
        <w:rPr>
          <w:color w:val="221F1F"/>
        </w:rPr>
        <w:t>of</w:t>
      </w:r>
      <w:r>
        <w:rPr>
          <w:color w:val="221F1F"/>
          <w:spacing w:val="-3"/>
        </w:rPr>
        <w:t xml:space="preserve"> </w:t>
      </w:r>
      <w:r>
        <w:rPr>
          <w:color w:val="221F1F"/>
        </w:rPr>
        <w:t>30</w:t>
      </w:r>
      <w:r>
        <w:rPr>
          <w:color w:val="221F1F"/>
          <w:spacing w:val="-1"/>
        </w:rPr>
        <w:t xml:space="preserve"> </w:t>
      </w:r>
      <w:r>
        <w:rPr>
          <w:color w:val="221F1F"/>
        </w:rPr>
        <w:t>days,</w:t>
      </w:r>
      <w:r>
        <w:rPr>
          <w:color w:val="221F1F"/>
          <w:spacing w:val="-3"/>
        </w:rPr>
        <w:t xml:space="preserve"> </w:t>
      </w:r>
      <w:r>
        <w:rPr>
          <w:color w:val="221F1F"/>
        </w:rPr>
        <w:t>the</w:t>
      </w:r>
      <w:r>
        <w:rPr>
          <w:color w:val="221F1F"/>
          <w:spacing w:val="-3"/>
        </w:rPr>
        <w:t xml:space="preserve"> </w:t>
      </w:r>
      <w:r>
        <w:rPr>
          <w:color w:val="221F1F"/>
        </w:rPr>
        <w:t>Time for Completion</w:t>
      </w:r>
      <w:r>
        <w:rPr>
          <w:color w:val="221F1F"/>
          <w:spacing w:val="-3"/>
        </w:rPr>
        <w:t xml:space="preserve"> </w:t>
      </w:r>
      <w:r>
        <w:rPr>
          <w:color w:val="221F1F"/>
        </w:rPr>
        <w:t>shall not be</w:t>
      </w:r>
      <w:r>
        <w:rPr>
          <w:color w:val="221F1F"/>
          <w:spacing w:val="-1"/>
        </w:rPr>
        <w:t xml:space="preserve"> </w:t>
      </w:r>
      <w:r>
        <w:rPr>
          <w:color w:val="221F1F"/>
        </w:rPr>
        <w:t>extended,</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shall not</w:t>
      </w:r>
      <w:r>
        <w:rPr>
          <w:color w:val="221F1F"/>
          <w:spacing w:val="-3"/>
        </w:rPr>
        <w:t xml:space="preserve"> </w:t>
      </w:r>
      <w:r>
        <w:rPr>
          <w:color w:val="221F1F"/>
        </w:rPr>
        <w:t>be</w:t>
      </w:r>
      <w:r>
        <w:rPr>
          <w:color w:val="221F1F"/>
          <w:spacing w:val="-3"/>
        </w:rPr>
        <w:t xml:space="preserve"> </w:t>
      </w:r>
      <w:r>
        <w:rPr>
          <w:color w:val="221F1F"/>
        </w:rPr>
        <w:t>entitled</w:t>
      </w:r>
      <w:r>
        <w:rPr>
          <w:color w:val="221F1F"/>
          <w:spacing w:val="-3"/>
        </w:rPr>
        <w:t xml:space="preserve"> </w:t>
      </w:r>
      <w:r>
        <w:rPr>
          <w:color w:val="221F1F"/>
        </w:rPr>
        <w:t>to</w:t>
      </w:r>
      <w:r>
        <w:rPr>
          <w:color w:val="221F1F"/>
          <w:spacing w:val="-4"/>
        </w:rPr>
        <w:t xml:space="preserve"> </w:t>
      </w:r>
      <w:r>
        <w:rPr>
          <w:color w:val="221F1F"/>
        </w:rPr>
        <w:t>additional</w:t>
      </w:r>
      <w:r>
        <w:rPr>
          <w:color w:val="221F1F"/>
          <w:spacing w:val="-2"/>
        </w:rPr>
        <w:t xml:space="preserve"> </w:t>
      </w:r>
      <w:r>
        <w:rPr>
          <w:color w:val="221F1F"/>
        </w:rPr>
        <w:t>payment,</w:t>
      </w:r>
      <w:r>
        <w:rPr>
          <w:color w:val="221F1F"/>
          <w:spacing w:val="-4"/>
        </w:rPr>
        <w:t xml:space="preserve"> </w:t>
      </w:r>
      <w:r>
        <w:rPr>
          <w:color w:val="221F1F"/>
        </w:rPr>
        <w:t>and</w:t>
      </w:r>
      <w:r>
        <w:rPr>
          <w:color w:val="221F1F"/>
          <w:spacing w:val="-3"/>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4"/>
        </w:rPr>
        <w:t xml:space="preserve"> </w:t>
      </w:r>
      <w:r>
        <w:rPr>
          <w:color w:val="221F1F"/>
        </w:rPr>
        <w:t>shall</w:t>
      </w:r>
      <w:r>
        <w:rPr>
          <w:color w:val="221F1F"/>
          <w:spacing w:val="-3"/>
        </w:rPr>
        <w:t xml:space="preserve"> </w:t>
      </w:r>
      <w:r>
        <w:rPr>
          <w:color w:val="221F1F"/>
        </w:rPr>
        <w:t>be discharged from all liability in connection with the claim. Otherwise, the following provisions of this Sub-Clause shall apply.</w:t>
      </w:r>
    </w:p>
    <w:p w:rsidR="007F6DF9" w:rsidRDefault="00A43FBC">
      <w:pPr>
        <w:pStyle w:val="ListParagraph"/>
        <w:numPr>
          <w:ilvl w:val="2"/>
          <w:numId w:val="122"/>
        </w:numPr>
        <w:tabs>
          <w:tab w:val="left" w:pos="1404"/>
          <w:tab w:val="left" w:pos="1407"/>
        </w:tabs>
        <w:spacing w:before="245" w:line="230" w:lineRule="auto"/>
        <w:ind w:left="1407" w:right="572" w:hanging="702"/>
        <w:jc w:val="both"/>
        <w:rPr>
          <w:color w:val="221F1F"/>
        </w:rPr>
      </w:pPr>
      <w:r>
        <w:rPr>
          <w:color w:val="221F1F"/>
        </w:rPr>
        <w:t>The Contractor shall also submit any other notices which are required by the Contract, and supporting particulars for the claim, all as relevant to such event or circumstance.</w:t>
      </w:r>
    </w:p>
    <w:p w:rsidR="007F6DF9" w:rsidRDefault="00A43FBC">
      <w:pPr>
        <w:pStyle w:val="ListParagraph"/>
        <w:numPr>
          <w:ilvl w:val="2"/>
          <w:numId w:val="122"/>
        </w:numPr>
        <w:tabs>
          <w:tab w:val="left" w:pos="1404"/>
          <w:tab w:val="left" w:pos="1407"/>
        </w:tabs>
        <w:spacing w:before="245" w:line="230" w:lineRule="auto"/>
        <w:ind w:left="1407" w:right="561" w:hanging="702"/>
        <w:jc w:val="both"/>
        <w:rPr>
          <w:color w:val="221F1F"/>
        </w:rPr>
      </w:pPr>
      <w:proofErr w:type="spellStart"/>
      <w:r>
        <w:rPr>
          <w:color w:val="221F1F"/>
        </w:rPr>
        <w:t>TheContractorshallkeepsuch</w:t>
      </w:r>
      <w:proofErr w:type="spellEnd"/>
      <w:r>
        <w:rPr>
          <w:color w:val="221F1F"/>
        </w:rPr>
        <w:t xml:space="preserve"> contemporary records as may be necessary to substantiate any claim, either on the</w:t>
      </w:r>
      <w:r>
        <w:rPr>
          <w:color w:val="221F1F"/>
          <w:spacing w:val="-2"/>
        </w:rPr>
        <w:t xml:space="preserve"> </w:t>
      </w:r>
      <w:r>
        <w:rPr>
          <w:color w:val="221F1F"/>
        </w:rPr>
        <w:t>Site</w:t>
      </w:r>
      <w:r>
        <w:rPr>
          <w:color w:val="221F1F"/>
          <w:spacing w:val="-2"/>
        </w:rPr>
        <w:t xml:space="preserve"> </w:t>
      </w:r>
      <w:r>
        <w:rPr>
          <w:color w:val="221F1F"/>
        </w:rPr>
        <w:t>or</w:t>
      </w:r>
      <w:r>
        <w:rPr>
          <w:color w:val="221F1F"/>
          <w:spacing w:val="-1"/>
        </w:rPr>
        <w:t xml:space="preserve"> </w:t>
      </w:r>
      <w:r>
        <w:rPr>
          <w:color w:val="221F1F"/>
        </w:rPr>
        <w:t>at</w:t>
      </w:r>
      <w:r>
        <w:rPr>
          <w:color w:val="221F1F"/>
          <w:spacing w:val="-4"/>
        </w:rPr>
        <w:t xml:space="preserve"> </w:t>
      </w:r>
      <w:proofErr w:type="spellStart"/>
      <w:r>
        <w:rPr>
          <w:color w:val="221F1F"/>
        </w:rPr>
        <w:t>an</w:t>
      </w:r>
      <w:r>
        <w:rPr>
          <w:color w:val="221F1F"/>
          <w:spacing w:val="-2"/>
        </w:rPr>
        <w:t xml:space="preserve"> </w:t>
      </w:r>
      <w:r>
        <w:rPr>
          <w:color w:val="221F1F"/>
        </w:rPr>
        <w:t>other</w:t>
      </w:r>
      <w:proofErr w:type="spellEnd"/>
      <w:r>
        <w:rPr>
          <w:color w:val="221F1F"/>
          <w:spacing w:val="-4"/>
        </w:rPr>
        <w:t xml:space="preserve"> </w:t>
      </w:r>
      <w:r>
        <w:rPr>
          <w:color w:val="221F1F"/>
        </w:rPr>
        <w:t>location</w:t>
      </w:r>
      <w:r>
        <w:rPr>
          <w:color w:val="221F1F"/>
          <w:spacing w:val="-1"/>
        </w:rPr>
        <w:t xml:space="preserve"> </w:t>
      </w:r>
      <w:r>
        <w:rPr>
          <w:color w:val="221F1F"/>
        </w:rPr>
        <w:t>acceptable</w:t>
      </w:r>
      <w:r>
        <w:rPr>
          <w:color w:val="221F1F"/>
          <w:spacing w:val="-3"/>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Engineer.</w:t>
      </w:r>
      <w:r>
        <w:rPr>
          <w:color w:val="221F1F"/>
          <w:spacing w:val="-4"/>
        </w:rPr>
        <w:t xml:space="preserve"> </w:t>
      </w:r>
      <w:r>
        <w:rPr>
          <w:color w:val="221F1F"/>
        </w:rPr>
        <w:t>Without</w:t>
      </w:r>
      <w:r>
        <w:rPr>
          <w:color w:val="221F1F"/>
          <w:spacing w:val="-1"/>
        </w:rPr>
        <w:t xml:space="preserve"> </w:t>
      </w:r>
      <w:r>
        <w:rPr>
          <w:color w:val="221F1F"/>
        </w:rPr>
        <w:t>admitting</w:t>
      </w:r>
      <w:r>
        <w:rPr>
          <w:color w:val="221F1F"/>
          <w:spacing w:val="-4"/>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Entity's</w:t>
      </w:r>
      <w:r>
        <w:rPr>
          <w:color w:val="221F1F"/>
          <w:spacing w:val="-2"/>
        </w:rPr>
        <w:t xml:space="preserve"> </w:t>
      </w:r>
      <w:r>
        <w:rPr>
          <w:color w:val="221F1F"/>
        </w:rPr>
        <w:t>liability, the Architect may, after receiving any notice under this Sub-Clause, monitor the record-keeping and/ or instruct the Contractor to keep further contemporary records. The Contractor shall permit the Architect to inspect all these records and shall (if instructed) submit copies to the Engineer.</w:t>
      </w:r>
    </w:p>
    <w:p w:rsidR="007F6DF9" w:rsidRDefault="00A43FBC">
      <w:pPr>
        <w:pStyle w:val="ListParagraph"/>
        <w:numPr>
          <w:ilvl w:val="2"/>
          <w:numId w:val="122"/>
        </w:numPr>
        <w:tabs>
          <w:tab w:val="left" w:pos="1404"/>
          <w:tab w:val="left" w:pos="1407"/>
        </w:tabs>
        <w:spacing w:before="245" w:line="230" w:lineRule="auto"/>
        <w:ind w:left="1407" w:right="564" w:hanging="704"/>
        <w:jc w:val="both"/>
        <w:rPr>
          <w:color w:val="221F1F"/>
        </w:rPr>
      </w:pPr>
      <w:r>
        <w:rPr>
          <w:color w:val="221F1F"/>
        </w:rPr>
        <w:t>Within 42days after the Contractor became aware (or should have become aware) of the event or circumstance</w:t>
      </w:r>
      <w:r>
        <w:rPr>
          <w:color w:val="221F1F"/>
          <w:spacing w:val="-1"/>
        </w:rPr>
        <w:t xml:space="preserve"> </w:t>
      </w:r>
      <w:r>
        <w:rPr>
          <w:color w:val="221F1F"/>
        </w:rPr>
        <w:t>giving rise</w:t>
      </w:r>
      <w:r>
        <w:rPr>
          <w:color w:val="221F1F"/>
          <w:spacing w:val="-2"/>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claim,</w:t>
      </w:r>
      <w:r>
        <w:rPr>
          <w:color w:val="221F1F"/>
          <w:spacing w:val="-1"/>
        </w:rPr>
        <w:t xml:space="preserve"> </w:t>
      </w:r>
      <w:r>
        <w:rPr>
          <w:color w:val="221F1F"/>
        </w:rPr>
        <w:t>or within</w:t>
      </w:r>
      <w:r>
        <w:rPr>
          <w:color w:val="221F1F"/>
          <w:spacing w:val="-1"/>
        </w:rPr>
        <w:t xml:space="preserve"> </w:t>
      </w:r>
      <w:r>
        <w:rPr>
          <w:color w:val="221F1F"/>
        </w:rPr>
        <w:t>such</w:t>
      </w:r>
      <w:r>
        <w:rPr>
          <w:color w:val="221F1F"/>
          <w:spacing w:val="-1"/>
        </w:rPr>
        <w:t xml:space="preserve"> </w:t>
      </w:r>
      <w:r>
        <w:rPr>
          <w:color w:val="221F1F"/>
        </w:rPr>
        <w:t>other period</w:t>
      </w:r>
      <w:r>
        <w:rPr>
          <w:color w:val="221F1F"/>
          <w:spacing w:val="-1"/>
        </w:rPr>
        <w:t xml:space="preserve"> </w:t>
      </w:r>
      <w:r>
        <w:rPr>
          <w:color w:val="221F1F"/>
        </w:rPr>
        <w:t>as</w:t>
      </w:r>
      <w:r>
        <w:rPr>
          <w:color w:val="221F1F"/>
          <w:spacing w:val="-1"/>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proposed by</w:t>
      </w:r>
      <w:r>
        <w:rPr>
          <w:color w:val="221F1F"/>
          <w:spacing w:val="-1"/>
        </w:rPr>
        <w:t xml:space="preserve"> </w:t>
      </w:r>
      <w:r>
        <w:rPr>
          <w:color w:val="221F1F"/>
        </w:rPr>
        <w:t>the</w:t>
      </w:r>
      <w:r>
        <w:rPr>
          <w:color w:val="221F1F"/>
          <w:spacing w:val="-1"/>
        </w:rPr>
        <w:t xml:space="preserve"> </w:t>
      </w:r>
      <w:r>
        <w:rPr>
          <w:color w:val="221F1F"/>
        </w:rPr>
        <w:t>Contractor and approved</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Engineer,</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send</w:t>
      </w:r>
      <w:r>
        <w:rPr>
          <w:color w:val="221F1F"/>
          <w:spacing w:val="-2"/>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fully</w:t>
      </w:r>
      <w:r>
        <w:rPr>
          <w:color w:val="221F1F"/>
          <w:spacing w:val="-2"/>
        </w:rPr>
        <w:t xml:space="preserve"> </w:t>
      </w:r>
      <w:r>
        <w:rPr>
          <w:color w:val="221F1F"/>
        </w:rPr>
        <w:t>detailed</w:t>
      </w:r>
      <w:r>
        <w:rPr>
          <w:color w:val="221F1F"/>
          <w:spacing w:val="-4"/>
        </w:rPr>
        <w:t xml:space="preserve"> </w:t>
      </w:r>
      <w:r>
        <w:rPr>
          <w:color w:val="221F1F"/>
        </w:rPr>
        <w:t>claim which</w:t>
      </w:r>
      <w:r>
        <w:rPr>
          <w:color w:val="221F1F"/>
          <w:spacing w:val="-2"/>
        </w:rPr>
        <w:t xml:space="preserve"> </w:t>
      </w:r>
      <w:r>
        <w:rPr>
          <w:color w:val="221F1F"/>
        </w:rPr>
        <w:t>includes</w:t>
      </w:r>
      <w:r>
        <w:rPr>
          <w:color w:val="221F1F"/>
          <w:spacing w:val="-4"/>
        </w:rPr>
        <w:t xml:space="preserve"> </w:t>
      </w:r>
      <w:r>
        <w:rPr>
          <w:color w:val="221F1F"/>
        </w:rPr>
        <w:t>full supporting particulars of the basis of the claim and of the extension of time and/ or additional payment claimed. If the event or circumstance giving rise to the claim has a continuing effect:</w:t>
      </w:r>
    </w:p>
    <w:p w:rsidR="007F6DF9" w:rsidRDefault="00A43FBC">
      <w:pPr>
        <w:pStyle w:val="ListParagraph"/>
        <w:numPr>
          <w:ilvl w:val="3"/>
          <w:numId w:val="122"/>
        </w:numPr>
        <w:tabs>
          <w:tab w:val="left" w:pos="1866"/>
        </w:tabs>
        <w:spacing w:before="42"/>
        <w:ind w:left="1866" w:hanging="447"/>
        <w:jc w:val="both"/>
      </w:pPr>
      <w:r>
        <w:rPr>
          <w:color w:val="221F1F"/>
        </w:rPr>
        <w:t>This</w:t>
      </w:r>
      <w:r>
        <w:rPr>
          <w:color w:val="221F1F"/>
          <w:spacing w:val="-5"/>
        </w:rPr>
        <w:t xml:space="preserve"> </w:t>
      </w:r>
      <w:r>
        <w:rPr>
          <w:color w:val="221F1F"/>
        </w:rPr>
        <w:t>fully</w:t>
      </w:r>
      <w:r>
        <w:rPr>
          <w:color w:val="221F1F"/>
          <w:spacing w:val="-3"/>
        </w:rPr>
        <w:t xml:space="preserve"> </w:t>
      </w:r>
      <w:r>
        <w:rPr>
          <w:color w:val="221F1F"/>
        </w:rPr>
        <w:t>detailed</w:t>
      </w:r>
      <w:r>
        <w:rPr>
          <w:color w:val="221F1F"/>
          <w:spacing w:val="-2"/>
        </w:rPr>
        <w:t xml:space="preserve"> </w:t>
      </w:r>
      <w:r>
        <w:rPr>
          <w:color w:val="221F1F"/>
        </w:rPr>
        <w:t>claim</w:t>
      </w:r>
      <w:r>
        <w:rPr>
          <w:color w:val="221F1F"/>
          <w:spacing w:val="-3"/>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considered</w:t>
      </w:r>
      <w:r>
        <w:rPr>
          <w:color w:val="221F1F"/>
          <w:spacing w:val="-3"/>
        </w:rPr>
        <w:t xml:space="preserve"> </w:t>
      </w:r>
      <w:r>
        <w:rPr>
          <w:color w:val="221F1F"/>
        </w:rPr>
        <w:t>as</w:t>
      </w:r>
      <w:r>
        <w:rPr>
          <w:color w:val="221F1F"/>
          <w:spacing w:val="-2"/>
        </w:rPr>
        <w:t xml:space="preserve"> interim;</w:t>
      </w:r>
    </w:p>
    <w:p w:rsidR="007F6DF9" w:rsidRDefault="00A43FBC">
      <w:pPr>
        <w:pStyle w:val="ListParagraph"/>
        <w:numPr>
          <w:ilvl w:val="3"/>
          <w:numId w:val="122"/>
        </w:numPr>
        <w:tabs>
          <w:tab w:val="left" w:pos="1869"/>
          <w:tab w:val="left" w:pos="1875"/>
        </w:tabs>
        <w:spacing w:before="49" w:line="230" w:lineRule="auto"/>
        <w:ind w:left="1875" w:right="563" w:hanging="456"/>
        <w:jc w:val="both"/>
      </w:pPr>
      <w:r>
        <w:rPr>
          <w:color w:val="221F1F"/>
        </w:rPr>
        <w:t>The</w:t>
      </w:r>
      <w:r>
        <w:rPr>
          <w:color w:val="221F1F"/>
          <w:spacing w:val="-11"/>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send</w:t>
      </w:r>
      <w:r>
        <w:rPr>
          <w:color w:val="221F1F"/>
          <w:spacing w:val="-14"/>
        </w:rPr>
        <w:t xml:space="preserve"> </w:t>
      </w:r>
      <w:r>
        <w:rPr>
          <w:color w:val="221F1F"/>
        </w:rPr>
        <w:t>further</w:t>
      </w:r>
      <w:r>
        <w:rPr>
          <w:color w:val="221F1F"/>
          <w:spacing w:val="-12"/>
        </w:rPr>
        <w:t xml:space="preserve"> </w:t>
      </w:r>
      <w:r>
        <w:rPr>
          <w:color w:val="221F1F"/>
        </w:rPr>
        <w:t>interim</w:t>
      </w:r>
      <w:r>
        <w:rPr>
          <w:color w:val="221F1F"/>
          <w:spacing w:val="-13"/>
        </w:rPr>
        <w:t xml:space="preserve"> </w:t>
      </w:r>
      <w:r>
        <w:rPr>
          <w:color w:val="221F1F"/>
        </w:rPr>
        <w:t>claims</w:t>
      </w:r>
      <w:r>
        <w:rPr>
          <w:color w:val="221F1F"/>
          <w:spacing w:val="-11"/>
        </w:rPr>
        <w:t xml:space="preserve"> </w:t>
      </w:r>
      <w:r>
        <w:rPr>
          <w:color w:val="221F1F"/>
        </w:rPr>
        <w:t>at</w:t>
      </w:r>
      <w:r>
        <w:rPr>
          <w:color w:val="221F1F"/>
          <w:spacing w:val="-13"/>
        </w:rPr>
        <w:t xml:space="preserve"> </w:t>
      </w:r>
      <w:r>
        <w:rPr>
          <w:color w:val="221F1F"/>
        </w:rPr>
        <w:t>monthly</w:t>
      </w:r>
      <w:r>
        <w:rPr>
          <w:color w:val="221F1F"/>
          <w:spacing w:val="-12"/>
        </w:rPr>
        <w:t xml:space="preserve"> </w:t>
      </w:r>
      <w:r>
        <w:rPr>
          <w:color w:val="221F1F"/>
        </w:rPr>
        <w:t>intervals,</w:t>
      </w:r>
      <w:r>
        <w:rPr>
          <w:color w:val="221F1F"/>
          <w:spacing w:val="-11"/>
        </w:rPr>
        <w:t xml:space="preserve"> </w:t>
      </w:r>
      <w:r>
        <w:rPr>
          <w:color w:val="221F1F"/>
        </w:rPr>
        <w:t>giving</w:t>
      </w:r>
      <w:r>
        <w:rPr>
          <w:color w:val="221F1F"/>
          <w:spacing w:val="-12"/>
        </w:rPr>
        <w:t xml:space="preserve"> </w:t>
      </w:r>
      <w:r>
        <w:rPr>
          <w:color w:val="221F1F"/>
        </w:rPr>
        <w:t>the</w:t>
      </w:r>
      <w:r>
        <w:rPr>
          <w:color w:val="221F1F"/>
          <w:spacing w:val="-11"/>
        </w:rPr>
        <w:t xml:space="preserve"> </w:t>
      </w:r>
      <w:r>
        <w:rPr>
          <w:color w:val="221F1F"/>
        </w:rPr>
        <w:t>accumulated</w:t>
      </w:r>
      <w:r>
        <w:rPr>
          <w:color w:val="221F1F"/>
          <w:spacing w:val="-13"/>
        </w:rPr>
        <w:t xml:space="preserve"> </w:t>
      </w:r>
      <w:r>
        <w:rPr>
          <w:color w:val="221F1F"/>
        </w:rPr>
        <w:t>delay</w:t>
      </w:r>
      <w:r>
        <w:rPr>
          <w:color w:val="221F1F"/>
          <w:spacing w:val="-11"/>
        </w:rPr>
        <w:t xml:space="preserve"> </w:t>
      </w:r>
      <w:r>
        <w:rPr>
          <w:color w:val="221F1F"/>
        </w:rPr>
        <w:t>and/ or amount claimed, and such further particulars as the Architect may reasonably require; and</w:t>
      </w:r>
    </w:p>
    <w:p w:rsidR="007F6DF9" w:rsidRDefault="00A43FBC">
      <w:pPr>
        <w:pStyle w:val="ListParagraph"/>
        <w:numPr>
          <w:ilvl w:val="3"/>
          <w:numId w:val="122"/>
        </w:numPr>
        <w:tabs>
          <w:tab w:val="left" w:pos="1869"/>
          <w:tab w:val="left" w:pos="1875"/>
        </w:tabs>
        <w:spacing w:before="49" w:line="230" w:lineRule="auto"/>
        <w:ind w:left="1875" w:right="563" w:hanging="456"/>
        <w:jc w:val="both"/>
      </w:pPr>
      <w:r>
        <w:rPr>
          <w:color w:val="221F1F"/>
        </w:rPr>
        <w:t xml:space="preserve">The Contractor shall send a final claim within 30 days after the end of the effects resulting from the </w:t>
      </w:r>
      <w:proofErr w:type="spellStart"/>
      <w:r>
        <w:rPr>
          <w:color w:val="221F1F"/>
        </w:rPr>
        <w:t>eventor</w:t>
      </w:r>
      <w:proofErr w:type="spellEnd"/>
      <w:r>
        <w:rPr>
          <w:color w:val="221F1F"/>
        </w:rPr>
        <w:t xml:space="preserve"> circumstance, or within</w:t>
      </w:r>
      <w:r>
        <w:rPr>
          <w:color w:val="221F1F"/>
          <w:spacing w:val="-1"/>
        </w:rPr>
        <w:t xml:space="preserve"> </w:t>
      </w:r>
      <w:r>
        <w:rPr>
          <w:color w:val="221F1F"/>
        </w:rPr>
        <w:t>such</w:t>
      </w:r>
      <w:r>
        <w:rPr>
          <w:color w:val="221F1F"/>
          <w:spacing w:val="-1"/>
        </w:rPr>
        <w:t xml:space="preserve"> </w:t>
      </w:r>
      <w:r>
        <w:rPr>
          <w:color w:val="221F1F"/>
        </w:rPr>
        <w:t>other period as</w:t>
      </w:r>
      <w:r>
        <w:rPr>
          <w:color w:val="221F1F"/>
          <w:spacing w:val="-1"/>
        </w:rPr>
        <w:t xml:space="preserve"> </w:t>
      </w:r>
      <w:r>
        <w:rPr>
          <w:color w:val="221F1F"/>
        </w:rPr>
        <w:t>may be proposed by</w:t>
      </w:r>
      <w:r>
        <w:rPr>
          <w:color w:val="221F1F"/>
          <w:spacing w:val="-1"/>
        </w:rPr>
        <w:t xml:space="preserve"> </w:t>
      </w:r>
      <w:r>
        <w:rPr>
          <w:color w:val="221F1F"/>
        </w:rPr>
        <w:t>the Contractor</w:t>
      </w:r>
      <w:r>
        <w:rPr>
          <w:color w:val="221F1F"/>
          <w:spacing w:val="-1"/>
        </w:rPr>
        <w:t xml:space="preserve"> </w:t>
      </w:r>
      <w:r>
        <w:rPr>
          <w:color w:val="221F1F"/>
        </w:rPr>
        <w:t>and approved by the Engineer.</w:t>
      </w:r>
    </w:p>
    <w:p w:rsidR="007F6DF9" w:rsidRDefault="00A43FBC">
      <w:pPr>
        <w:pStyle w:val="ListParagraph"/>
        <w:numPr>
          <w:ilvl w:val="2"/>
          <w:numId w:val="122"/>
        </w:numPr>
        <w:tabs>
          <w:tab w:val="left" w:pos="1404"/>
          <w:tab w:val="left" w:pos="1407"/>
        </w:tabs>
        <w:spacing w:before="246" w:line="230" w:lineRule="auto"/>
        <w:ind w:left="1407" w:right="562" w:hanging="704"/>
        <w:jc w:val="both"/>
        <w:rPr>
          <w:color w:val="221F1F"/>
        </w:rPr>
      </w:pPr>
      <w:r>
        <w:rPr>
          <w:color w:val="221F1F"/>
        </w:rPr>
        <w:t>Within 42 days after receiving a Notice of a claim or any further particulars supporting a previous claim, or within</w:t>
      </w:r>
      <w:r>
        <w:rPr>
          <w:color w:val="221F1F"/>
          <w:spacing w:val="-1"/>
        </w:rPr>
        <w:t xml:space="preserve"> </w:t>
      </w:r>
      <w:r>
        <w:rPr>
          <w:color w:val="221F1F"/>
        </w:rPr>
        <w:t>such</w:t>
      </w:r>
      <w:r>
        <w:rPr>
          <w:color w:val="221F1F"/>
          <w:spacing w:val="-1"/>
        </w:rPr>
        <w:t xml:space="preserve"> </w:t>
      </w:r>
      <w:r>
        <w:rPr>
          <w:color w:val="221F1F"/>
        </w:rPr>
        <w:t>other period</w:t>
      </w:r>
      <w:r>
        <w:rPr>
          <w:color w:val="221F1F"/>
          <w:spacing w:val="-1"/>
        </w:rPr>
        <w:t xml:space="preserve"> </w:t>
      </w:r>
      <w:r>
        <w:rPr>
          <w:color w:val="221F1F"/>
        </w:rPr>
        <w:t>as</w:t>
      </w:r>
      <w:r>
        <w:rPr>
          <w:color w:val="221F1F"/>
          <w:spacing w:val="-3"/>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proposed</w:t>
      </w:r>
      <w:r>
        <w:rPr>
          <w:color w:val="221F1F"/>
          <w:spacing w:val="-4"/>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Architect and</w:t>
      </w:r>
      <w:r>
        <w:rPr>
          <w:color w:val="221F1F"/>
          <w:spacing w:val="-3"/>
        </w:rPr>
        <w:t xml:space="preserve"> </w:t>
      </w:r>
      <w:r>
        <w:rPr>
          <w:color w:val="221F1F"/>
        </w:rPr>
        <w:t>approved</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Architect shall</w:t>
      </w:r>
      <w:r>
        <w:rPr>
          <w:color w:val="221F1F"/>
          <w:spacing w:val="-4"/>
        </w:rPr>
        <w:t xml:space="preserve"> </w:t>
      </w:r>
      <w:r>
        <w:rPr>
          <w:color w:val="221F1F"/>
        </w:rPr>
        <w:t>respond</w:t>
      </w:r>
      <w:r>
        <w:rPr>
          <w:color w:val="221F1F"/>
          <w:spacing w:val="-2"/>
        </w:rPr>
        <w:t xml:space="preserve"> </w:t>
      </w:r>
      <w:r>
        <w:rPr>
          <w:color w:val="221F1F"/>
        </w:rPr>
        <w:t>with</w:t>
      </w:r>
      <w:r>
        <w:rPr>
          <w:color w:val="221F1F"/>
          <w:spacing w:val="-5"/>
        </w:rPr>
        <w:t xml:space="preserve"> </w:t>
      </w:r>
      <w:r>
        <w:rPr>
          <w:color w:val="221F1F"/>
        </w:rPr>
        <w:t>approval,</w:t>
      </w:r>
      <w:r>
        <w:rPr>
          <w:color w:val="221F1F"/>
          <w:spacing w:val="-2"/>
        </w:rPr>
        <w:t xml:space="preserve"> </w:t>
      </w:r>
      <w:r>
        <w:rPr>
          <w:color w:val="221F1F"/>
        </w:rPr>
        <w:t>or</w:t>
      </w:r>
      <w:r>
        <w:rPr>
          <w:color w:val="221F1F"/>
          <w:spacing w:val="-4"/>
        </w:rPr>
        <w:t xml:space="preserve"> </w:t>
      </w:r>
      <w:r>
        <w:rPr>
          <w:color w:val="221F1F"/>
        </w:rPr>
        <w:t>with</w:t>
      </w:r>
      <w:r>
        <w:rPr>
          <w:color w:val="221F1F"/>
          <w:spacing w:val="-2"/>
        </w:rPr>
        <w:t xml:space="preserve"> </w:t>
      </w:r>
      <w:r>
        <w:rPr>
          <w:color w:val="221F1F"/>
        </w:rPr>
        <w:t>disapproval</w:t>
      </w:r>
      <w:r>
        <w:rPr>
          <w:color w:val="221F1F"/>
          <w:spacing w:val="-3"/>
        </w:rPr>
        <w:t xml:space="preserve"> </w:t>
      </w:r>
      <w:r>
        <w:rPr>
          <w:color w:val="221F1F"/>
        </w:rPr>
        <w:t>and</w:t>
      </w:r>
      <w:r>
        <w:rPr>
          <w:color w:val="221F1F"/>
          <w:spacing w:val="-4"/>
        </w:rPr>
        <w:t xml:space="preserve"> </w:t>
      </w:r>
      <w:r>
        <w:rPr>
          <w:color w:val="221F1F"/>
        </w:rPr>
        <w:t>detailed</w:t>
      </w:r>
      <w:r>
        <w:rPr>
          <w:color w:val="221F1F"/>
          <w:spacing w:val="-4"/>
        </w:rPr>
        <w:t xml:space="preserve"> </w:t>
      </w:r>
      <w:r>
        <w:rPr>
          <w:color w:val="221F1F"/>
        </w:rPr>
        <w:t>comments.</w:t>
      </w:r>
      <w:r>
        <w:rPr>
          <w:color w:val="221F1F"/>
          <w:spacing w:val="-4"/>
        </w:rPr>
        <w:t xml:space="preserve"> </w:t>
      </w:r>
      <w:r>
        <w:rPr>
          <w:color w:val="221F1F"/>
        </w:rPr>
        <w:t>He</w:t>
      </w:r>
      <w:r>
        <w:rPr>
          <w:color w:val="221F1F"/>
          <w:spacing w:val="-4"/>
        </w:rPr>
        <w:t xml:space="preserve"> </w:t>
      </w:r>
      <w:r>
        <w:rPr>
          <w:color w:val="221F1F"/>
        </w:rPr>
        <w:t>may</w:t>
      </w:r>
      <w:r>
        <w:rPr>
          <w:color w:val="221F1F"/>
          <w:spacing w:val="-4"/>
        </w:rPr>
        <w:t xml:space="preserve"> </w:t>
      </w:r>
      <w:r>
        <w:rPr>
          <w:color w:val="221F1F"/>
        </w:rPr>
        <w:t>also</w:t>
      </w:r>
      <w:r>
        <w:rPr>
          <w:color w:val="221F1F"/>
          <w:spacing w:val="-4"/>
        </w:rPr>
        <w:t xml:space="preserve"> </w:t>
      </w:r>
      <w:r>
        <w:rPr>
          <w:color w:val="221F1F"/>
        </w:rPr>
        <w:t>request</w:t>
      </w:r>
      <w:r>
        <w:rPr>
          <w:color w:val="221F1F"/>
          <w:spacing w:val="-1"/>
        </w:rPr>
        <w:t xml:space="preserve"> </w:t>
      </w:r>
      <w:r>
        <w:rPr>
          <w:color w:val="221F1F"/>
        </w:rPr>
        <w:t>any necessary further particulars but shall nevertheless give his response on the principles of the claim within the above defined time period.</w:t>
      </w:r>
    </w:p>
    <w:p w:rsidR="007F6DF9" w:rsidRDefault="00A43FBC">
      <w:pPr>
        <w:pStyle w:val="ListParagraph"/>
        <w:numPr>
          <w:ilvl w:val="2"/>
          <w:numId w:val="122"/>
        </w:numPr>
        <w:tabs>
          <w:tab w:val="left" w:pos="1404"/>
          <w:tab w:val="left" w:pos="1407"/>
        </w:tabs>
        <w:spacing w:before="245" w:line="230" w:lineRule="auto"/>
        <w:ind w:left="1407" w:right="563" w:hanging="704"/>
        <w:jc w:val="both"/>
        <w:rPr>
          <w:color w:val="221F1F"/>
        </w:rPr>
      </w:pPr>
      <w:r>
        <w:rPr>
          <w:color w:val="221F1F"/>
        </w:rPr>
        <w:t>Within the above defined period of 42 days, the Architect shall proceed in accordance with Sub-Clause 3.5 [Determinations] to</w:t>
      </w:r>
      <w:r>
        <w:rPr>
          <w:color w:val="221F1F"/>
          <w:spacing w:val="-2"/>
        </w:rPr>
        <w:t xml:space="preserve"> </w:t>
      </w:r>
      <w:r>
        <w:rPr>
          <w:color w:val="221F1F"/>
        </w:rPr>
        <w:t>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w:t>
      </w:r>
      <w:proofErr w:type="spellStart"/>
      <w:r>
        <w:rPr>
          <w:color w:val="221F1F"/>
        </w:rPr>
        <w:t>i</w:t>
      </w:r>
      <w:proofErr w:type="spellEnd"/>
      <w:r>
        <w:rPr>
          <w:color w:val="221F1F"/>
        </w:rPr>
        <w:t>)</w:t>
      </w:r>
      <w:r>
        <w:rPr>
          <w:color w:val="221F1F"/>
          <w:spacing w:val="-1"/>
        </w:rPr>
        <w:t xml:space="preserve"> </w:t>
      </w:r>
      <w:r>
        <w:rPr>
          <w:color w:val="221F1F"/>
        </w:rPr>
        <w:t>the</w:t>
      </w:r>
      <w:r>
        <w:rPr>
          <w:color w:val="221F1F"/>
          <w:spacing w:val="-2"/>
        </w:rPr>
        <w:t xml:space="preserve"> </w:t>
      </w:r>
      <w:r>
        <w:rPr>
          <w:color w:val="221F1F"/>
        </w:rPr>
        <w:t>extension</w:t>
      </w:r>
      <w:r>
        <w:rPr>
          <w:color w:val="221F1F"/>
          <w:spacing w:val="-2"/>
        </w:rPr>
        <w:t xml:space="preserve"> </w:t>
      </w:r>
      <w:r>
        <w:rPr>
          <w:color w:val="221F1F"/>
        </w:rPr>
        <w:t>(if</w:t>
      </w:r>
      <w:r>
        <w:rPr>
          <w:color w:val="221F1F"/>
          <w:spacing w:val="-4"/>
        </w:rPr>
        <w:t xml:space="preserve"> </w:t>
      </w:r>
      <w:r>
        <w:rPr>
          <w:color w:val="221F1F"/>
        </w:rPr>
        <w:t>any)</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Time</w:t>
      </w:r>
      <w:r>
        <w:rPr>
          <w:color w:val="221F1F"/>
          <w:spacing w:val="-2"/>
        </w:rPr>
        <w:t xml:space="preserve"> </w:t>
      </w:r>
      <w:r>
        <w:rPr>
          <w:color w:val="221F1F"/>
        </w:rPr>
        <w:t>for</w:t>
      </w:r>
      <w:r>
        <w:rPr>
          <w:color w:val="221F1F"/>
          <w:spacing w:val="-1"/>
        </w:rPr>
        <w:t xml:space="preserve"> </w:t>
      </w:r>
      <w:r>
        <w:rPr>
          <w:color w:val="221F1F"/>
        </w:rPr>
        <w:t>Completion</w:t>
      </w:r>
      <w:r>
        <w:rPr>
          <w:color w:val="221F1F"/>
          <w:spacing w:val="-3"/>
        </w:rPr>
        <w:t xml:space="preserve"> </w:t>
      </w:r>
      <w:r>
        <w:rPr>
          <w:color w:val="221F1F"/>
        </w:rPr>
        <w:t>(before</w:t>
      </w:r>
      <w:r>
        <w:rPr>
          <w:color w:val="221F1F"/>
          <w:spacing w:val="-1"/>
        </w:rPr>
        <w:t xml:space="preserve"> </w:t>
      </w:r>
      <w:r>
        <w:rPr>
          <w:color w:val="221F1F"/>
        </w:rPr>
        <w:t>or</w:t>
      </w:r>
      <w:r>
        <w:rPr>
          <w:color w:val="221F1F"/>
          <w:spacing w:val="-1"/>
        </w:rPr>
        <w:t xml:space="preserve"> </w:t>
      </w:r>
      <w:r>
        <w:rPr>
          <w:color w:val="221F1F"/>
        </w:rPr>
        <w:t>after its</w:t>
      </w:r>
      <w:r>
        <w:rPr>
          <w:color w:val="221F1F"/>
          <w:spacing w:val="-4"/>
        </w:rPr>
        <w:t xml:space="preserve"> </w:t>
      </w:r>
      <w:r>
        <w:rPr>
          <w:color w:val="221F1F"/>
        </w:rPr>
        <w:t>expiry)</w:t>
      </w:r>
      <w:r>
        <w:rPr>
          <w:color w:val="221F1F"/>
          <w:spacing w:val="-2"/>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Sub-Clause</w:t>
      </w:r>
      <w:r>
        <w:rPr>
          <w:color w:val="221F1F"/>
          <w:spacing w:val="-2"/>
        </w:rPr>
        <w:t xml:space="preserve"> </w:t>
      </w:r>
      <w:r>
        <w:rPr>
          <w:color w:val="221F1F"/>
        </w:rPr>
        <w:t>8.4</w:t>
      </w:r>
      <w:r>
        <w:rPr>
          <w:color w:val="221F1F"/>
          <w:spacing w:val="-2"/>
        </w:rPr>
        <w:t xml:space="preserve"> </w:t>
      </w:r>
      <w:r>
        <w:rPr>
          <w:color w:val="221F1F"/>
        </w:rPr>
        <w:t>[Extension</w:t>
      </w:r>
      <w:r>
        <w:rPr>
          <w:color w:val="221F1F"/>
          <w:spacing w:val="-2"/>
        </w:rPr>
        <w:t xml:space="preserve"> </w:t>
      </w:r>
      <w:r>
        <w:rPr>
          <w:color w:val="221F1F"/>
        </w:rPr>
        <w:t>of</w:t>
      </w:r>
      <w:r>
        <w:rPr>
          <w:color w:val="221F1F"/>
          <w:spacing w:val="-2"/>
        </w:rPr>
        <w:t xml:space="preserve"> </w:t>
      </w:r>
      <w:r>
        <w:rPr>
          <w:color w:val="221F1F"/>
        </w:rPr>
        <w:t>Time</w:t>
      </w:r>
      <w:r>
        <w:rPr>
          <w:color w:val="221F1F"/>
          <w:spacing w:val="-2"/>
        </w:rPr>
        <w:t xml:space="preserve"> </w:t>
      </w:r>
      <w:r>
        <w:rPr>
          <w:color w:val="221F1F"/>
        </w:rPr>
        <w:t>for</w:t>
      </w:r>
      <w:r>
        <w:rPr>
          <w:color w:val="221F1F"/>
          <w:spacing w:val="-2"/>
        </w:rPr>
        <w:t xml:space="preserve"> </w:t>
      </w:r>
      <w:r>
        <w:rPr>
          <w:color w:val="221F1F"/>
        </w:rPr>
        <w:t>Completion],</w:t>
      </w:r>
      <w:r>
        <w:rPr>
          <w:color w:val="221F1F"/>
          <w:spacing w:val="-2"/>
        </w:rPr>
        <w:t xml:space="preserve"> </w:t>
      </w:r>
      <w:r>
        <w:rPr>
          <w:color w:val="221F1F"/>
        </w:rPr>
        <w:t>and/or</w:t>
      </w:r>
      <w:r>
        <w:rPr>
          <w:color w:val="221F1F"/>
          <w:spacing w:val="-4"/>
        </w:rPr>
        <w:t xml:space="preserve"> </w:t>
      </w:r>
      <w:r>
        <w:rPr>
          <w:color w:val="221F1F"/>
        </w:rPr>
        <w:t>(ii)</w:t>
      </w:r>
      <w:r>
        <w:rPr>
          <w:color w:val="221F1F"/>
          <w:spacing w:val="-4"/>
        </w:rPr>
        <w:t xml:space="preserve"> </w:t>
      </w:r>
      <w:r>
        <w:rPr>
          <w:color w:val="221F1F"/>
        </w:rPr>
        <w:t>the</w:t>
      </w:r>
      <w:r>
        <w:rPr>
          <w:color w:val="221F1F"/>
          <w:spacing w:val="-4"/>
        </w:rPr>
        <w:t xml:space="preserve"> </w:t>
      </w:r>
      <w:r>
        <w:rPr>
          <w:color w:val="221F1F"/>
        </w:rPr>
        <w:t>additional payment (if any) to which the Contractor is entitled under the Contract.</w:t>
      </w:r>
    </w:p>
    <w:p w:rsidR="007F6DF9" w:rsidRDefault="00A43FBC">
      <w:pPr>
        <w:pStyle w:val="ListParagraph"/>
        <w:numPr>
          <w:ilvl w:val="2"/>
          <w:numId w:val="122"/>
        </w:numPr>
        <w:tabs>
          <w:tab w:val="left" w:pos="1404"/>
          <w:tab w:val="left" w:pos="1407"/>
        </w:tabs>
        <w:spacing w:before="246" w:line="230" w:lineRule="auto"/>
        <w:ind w:left="1407" w:right="563" w:hanging="704"/>
        <w:jc w:val="both"/>
        <w:rPr>
          <w:color w:val="221F1F"/>
        </w:rPr>
      </w:pPr>
      <w:r>
        <w:rPr>
          <w:color w:val="221F1F"/>
        </w:rPr>
        <w:t>Each Payment Certificate shall include such additional payment for any claim as has been reasonably substantiated</w:t>
      </w:r>
      <w:r>
        <w:rPr>
          <w:color w:val="221F1F"/>
          <w:spacing w:val="-9"/>
        </w:rPr>
        <w:t xml:space="preserve"> </w:t>
      </w:r>
      <w:r>
        <w:rPr>
          <w:color w:val="221F1F"/>
        </w:rPr>
        <w:t>as</w:t>
      </w:r>
      <w:r>
        <w:rPr>
          <w:color w:val="221F1F"/>
          <w:spacing w:val="-7"/>
        </w:rPr>
        <w:t xml:space="preserve"> </w:t>
      </w:r>
      <w:r>
        <w:rPr>
          <w:color w:val="221F1F"/>
        </w:rPr>
        <w:t>due</w:t>
      </w:r>
      <w:r>
        <w:rPr>
          <w:color w:val="221F1F"/>
          <w:spacing w:val="-7"/>
        </w:rPr>
        <w:t xml:space="preserve"> </w:t>
      </w:r>
      <w:r>
        <w:rPr>
          <w:color w:val="221F1F"/>
        </w:rPr>
        <w:t>under</w:t>
      </w:r>
      <w:r>
        <w:rPr>
          <w:color w:val="221F1F"/>
          <w:spacing w:val="-6"/>
        </w:rPr>
        <w:t xml:space="preserve"> </w:t>
      </w:r>
      <w:r>
        <w:rPr>
          <w:color w:val="221F1F"/>
        </w:rPr>
        <w:t>the</w:t>
      </w:r>
      <w:r>
        <w:rPr>
          <w:color w:val="221F1F"/>
          <w:spacing w:val="-7"/>
        </w:rPr>
        <w:t xml:space="preserve"> </w:t>
      </w:r>
      <w:r>
        <w:rPr>
          <w:color w:val="221F1F"/>
        </w:rPr>
        <w:t>relevant</w:t>
      </w:r>
      <w:r>
        <w:rPr>
          <w:color w:val="221F1F"/>
          <w:spacing w:val="-5"/>
        </w:rPr>
        <w:t xml:space="preserve"> </w:t>
      </w:r>
      <w:r>
        <w:rPr>
          <w:color w:val="221F1F"/>
        </w:rPr>
        <w:t>provision</w:t>
      </w:r>
      <w:r>
        <w:rPr>
          <w:color w:val="221F1F"/>
          <w:spacing w:val="-6"/>
        </w:rPr>
        <w:t xml:space="preserve"> </w:t>
      </w:r>
      <w:r>
        <w:rPr>
          <w:color w:val="221F1F"/>
        </w:rPr>
        <w:t>of</w:t>
      </w:r>
      <w:r>
        <w:rPr>
          <w:color w:val="221F1F"/>
          <w:spacing w:val="-6"/>
        </w:rPr>
        <w:t xml:space="preserve"> </w:t>
      </w:r>
      <w:r>
        <w:rPr>
          <w:color w:val="221F1F"/>
        </w:rPr>
        <w:t>the</w:t>
      </w:r>
      <w:r>
        <w:rPr>
          <w:color w:val="221F1F"/>
          <w:spacing w:val="-8"/>
        </w:rPr>
        <w:t xml:space="preserve"> </w:t>
      </w:r>
      <w:proofErr w:type="spellStart"/>
      <w:r>
        <w:rPr>
          <w:color w:val="221F1F"/>
        </w:rPr>
        <w:t>Contract.Unless</w:t>
      </w:r>
      <w:proofErr w:type="spellEnd"/>
      <w:r>
        <w:rPr>
          <w:color w:val="221F1F"/>
          <w:spacing w:val="-5"/>
        </w:rPr>
        <w:t xml:space="preserve"> </w:t>
      </w:r>
      <w:r>
        <w:rPr>
          <w:color w:val="221F1F"/>
        </w:rPr>
        <w:t>and</w:t>
      </w:r>
      <w:r>
        <w:rPr>
          <w:color w:val="221F1F"/>
          <w:spacing w:val="-9"/>
        </w:rPr>
        <w:t xml:space="preserve"> </w:t>
      </w:r>
      <w:r>
        <w:rPr>
          <w:color w:val="221F1F"/>
        </w:rPr>
        <w:t>until</w:t>
      </w:r>
      <w:r>
        <w:rPr>
          <w:color w:val="221F1F"/>
          <w:spacing w:val="-8"/>
        </w:rPr>
        <w:t xml:space="preserve"> </w:t>
      </w:r>
      <w:r>
        <w:rPr>
          <w:color w:val="221F1F"/>
        </w:rPr>
        <w:t>the</w:t>
      </w:r>
      <w:r>
        <w:rPr>
          <w:color w:val="221F1F"/>
          <w:spacing w:val="-6"/>
        </w:rPr>
        <w:t xml:space="preserve"> </w:t>
      </w:r>
      <w:r>
        <w:rPr>
          <w:color w:val="221F1F"/>
        </w:rPr>
        <w:t>particulars</w:t>
      </w:r>
      <w:r>
        <w:rPr>
          <w:color w:val="221F1F"/>
          <w:spacing w:val="-9"/>
        </w:rPr>
        <w:t xml:space="preserve"> </w:t>
      </w:r>
      <w:r>
        <w:rPr>
          <w:color w:val="221F1F"/>
        </w:rPr>
        <w:t>supplied</w:t>
      </w:r>
      <w:r>
        <w:rPr>
          <w:color w:val="221F1F"/>
          <w:spacing w:val="-6"/>
        </w:rPr>
        <w:t xml:space="preserve"> </w:t>
      </w:r>
      <w:r>
        <w:rPr>
          <w:color w:val="221F1F"/>
        </w:rPr>
        <w:t>are sufficient</w:t>
      </w:r>
      <w:r>
        <w:rPr>
          <w:color w:val="221F1F"/>
          <w:spacing w:val="-8"/>
        </w:rPr>
        <w:t xml:space="preserve"> </w:t>
      </w:r>
      <w:r>
        <w:rPr>
          <w:color w:val="221F1F"/>
        </w:rPr>
        <w:t>to</w:t>
      </w:r>
      <w:r>
        <w:rPr>
          <w:color w:val="221F1F"/>
          <w:spacing w:val="-12"/>
        </w:rPr>
        <w:t xml:space="preserve"> </w:t>
      </w:r>
      <w:r>
        <w:rPr>
          <w:color w:val="221F1F"/>
        </w:rPr>
        <w:t>substantiate</w:t>
      </w:r>
      <w:r>
        <w:rPr>
          <w:color w:val="221F1F"/>
          <w:spacing w:val="-8"/>
        </w:rPr>
        <w:t xml:space="preserve"> </w:t>
      </w:r>
      <w:r>
        <w:rPr>
          <w:color w:val="221F1F"/>
        </w:rPr>
        <w:t>the</w:t>
      </w:r>
      <w:r>
        <w:rPr>
          <w:color w:val="221F1F"/>
          <w:spacing w:val="-11"/>
        </w:rPr>
        <w:t xml:space="preserve"> </w:t>
      </w:r>
      <w:r>
        <w:rPr>
          <w:color w:val="221F1F"/>
        </w:rPr>
        <w:t>whole</w:t>
      </w:r>
      <w:r>
        <w:rPr>
          <w:color w:val="221F1F"/>
          <w:spacing w:val="-9"/>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claim,</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only</w:t>
      </w:r>
      <w:r>
        <w:rPr>
          <w:color w:val="221F1F"/>
          <w:spacing w:val="-9"/>
        </w:rPr>
        <w:t xml:space="preserve"> </w:t>
      </w:r>
      <w:r>
        <w:rPr>
          <w:color w:val="221F1F"/>
        </w:rPr>
        <w:t>be</w:t>
      </w:r>
      <w:r>
        <w:rPr>
          <w:color w:val="221F1F"/>
          <w:spacing w:val="-9"/>
        </w:rPr>
        <w:t xml:space="preserve"> </w:t>
      </w:r>
      <w:r>
        <w:rPr>
          <w:color w:val="221F1F"/>
        </w:rPr>
        <w:t>entitled</w:t>
      </w:r>
      <w:r>
        <w:rPr>
          <w:color w:val="221F1F"/>
          <w:spacing w:val="-9"/>
        </w:rPr>
        <w:t xml:space="preserve"> </w:t>
      </w:r>
      <w:r>
        <w:rPr>
          <w:color w:val="221F1F"/>
        </w:rPr>
        <w:t>to</w:t>
      </w:r>
      <w:r>
        <w:rPr>
          <w:color w:val="221F1F"/>
          <w:spacing w:val="-9"/>
        </w:rPr>
        <w:t xml:space="preserve"> </w:t>
      </w:r>
      <w:r>
        <w:rPr>
          <w:color w:val="221F1F"/>
        </w:rPr>
        <w:t>payment</w:t>
      </w:r>
      <w:r>
        <w:rPr>
          <w:color w:val="221F1F"/>
          <w:spacing w:val="-11"/>
        </w:rPr>
        <w:t xml:space="preserve"> </w:t>
      </w:r>
      <w:r>
        <w:rPr>
          <w:color w:val="221F1F"/>
        </w:rPr>
        <w:t>for</w:t>
      </w:r>
      <w:r>
        <w:rPr>
          <w:color w:val="221F1F"/>
          <w:spacing w:val="-8"/>
        </w:rPr>
        <w:t xml:space="preserve"> </w:t>
      </w:r>
      <w:r>
        <w:rPr>
          <w:color w:val="221F1F"/>
        </w:rPr>
        <w:t>such</w:t>
      </w:r>
      <w:r>
        <w:rPr>
          <w:color w:val="221F1F"/>
          <w:spacing w:val="-9"/>
        </w:rPr>
        <w:t xml:space="preserve"> </w:t>
      </w:r>
      <w:r>
        <w:rPr>
          <w:color w:val="221F1F"/>
        </w:rPr>
        <w:t>part of the claim as he has been able to substantiate.</w:t>
      </w:r>
    </w:p>
    <w:p w:rsidR="007F6DF9" w:rsidRDefault="00A43FBC">
      <w:pPr>
        <w:pStyle w:val="ListParagraph"/>
        <w:numPr>
          <w:ilvl w:val="2"/>
          <w:numId w:val="122"/>
        </w:numPr>
        <w:tabs>
          <w:tab w:val="left" w:pos="1404"/>
          <w:tab w:val="left" w:pos="1407"/>
        </w:tabs>
        <w:spacing w:before="245" w:line="230" w:lineRule="auto"/>
        <w:ind w:left="1407" w:right="566" w:hanging="704"/>
        <w:jc w:val="both"/>
        <w:rPr>
          <w:color w:val="221F1F"/>
        </w:rPr>
      </w:pPr>
      <w:r>
        <w:rPr>
          <w:color w:val="221F1F"/>
        </w:rPr>
        <w:t>If</w:t>
      </w:r>
      <w:r>
        <w:rPr>
          <w:color w:val="221F1F"/>
          <w:spacing w:val="-4"/>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does</w:t>
      </w:r>
      <w:r>
        <w:rPr>
          <w:color w:val="221F1F"/>
          <w:spacing w:val="-4"/>
        </w:rPr>
        <w:t xml:space="preserve"> </w:t>
      </w:r>
      <w:r>
        <w:rPr>
          <w:color w:val="221F1F"/>
        </w:rPr>
        <w:t>not</w:t>
      </w:r>
      <w:r>
        <w:rPr>
          <w:color w:val="221F1F"/>
          <w:spacing w:val="-3"/>
        </w:rPr>
        <w:t xml:space="preserve"> </w:t>
      </w:r>
      <w:r>
        <w:rPr>
          <w:color w:val="221F1F"/>
        </w:rPr>
        <w:t>respond</w:t>
      </w:r>
      <w:r>
        <w:rPr>
          <w:color w:val="221F1F"/>
          <w:spacing w:val="-4"/>
        </w:rPr>
        <w:t xml:space="preserve"> </w:t>
      </w:r>
      <w:r>
        <w:rPr>
          <w:color w:val="221F1F"/>
        </w:rPr>
        <w:t>within</w:t>
      </w:r>
      <w:r>
        <w:rPr>
          <w:color w:val="221F1F"/>
          <w:spacing w:val="-7"/>
        </w:rPr>
        <w:t xml:space="preserve"> </w:t>
      </w:r>
      <w:r>
        <w:rPr>
          <w:color w:val="221F1F"/>
        </w:rPr>
        <w:t>the</w:t>
      </w:r>
      <w:r>
        <w:rPr>
          <w:color w:val="221F1F"/>
          <w:spacing w:val="-7"/>
        </w:rPr>
        <w:t xml:space="preserve"> </w:t>
      </w:r>
      <w:r>
        <w:rPr>
          <w:color w:val="221F1F"/>
        </w:rPr>
        <w:t>time</w:t>
      </w:r>
      <w:r>
        <w:rPr>
          <w:color w:val="221F1F"/>
          <w:spacing w:val="-6"/>
        </w:rPr>
        <w:t xml:space="preserve"> </w:t>
      </w:r>
      <w:r>
        <w:rPr>
          <w:color w:val="221F1F"/>
        </w:rPr>
        <w:t>frame</w:t>
      </w:r>
      <w:r>
        <w:rPr>
          <w:color w:val="221F1F"/>
          <w:spacing w:val="-6"/>
        </w:rPr>
        <w:t xml:space="preserve"> </w:t>
      </w:r>
      <w:r>
        <w:rPr>
          <w:color w:val="221F1F"/>
        </w:rPr>
        <w:t>defined</w:t>
      </w:r>
      <w:r>
        <w:rPr>
          <w:color w:val="221F1F"/>
          <w:spacing w:val="-7"/>
        </w:rPr>
        <w:t xml:space="preserve"> </w:t>
      </w:r>
      <w:r>
        <w:rPr>
          <w:color w:val="221F1F"/>
        </w:rPr>
        <w:t>in</w:t>
      </w:r>
      <w:r>
        <w:rPr>
          <w:color w:val="221F1F"/>
          <w:spacing w:val="-5"/>
        </w:rPr>
        <w:t xml:space="preserve"> </w:t>
      </w:r>
      <w:r>
        <w:rPr>
          <w:color w:val="221F1F"/>
        </w:rPr>
        <w:t>this</w:t>
      </w:r>
      <w:r>
        <w:rPr>
          <w:color w:val="221F1F"/>
          <w:spacing w:val="-4"/>
        </w:rPr>
        <w:t xml:space="preserve"> </w:t>
      </w:r>
      <w:r>
        <w:rPr>
          <w:color w:val="221F1F"/>
        </w:rPr>
        <w:t>Clause,</w:t>
      </w:r>
      <w:r>
        <w:rPr>
          <w:color w:val="221F1F"/>
          <w:spacing w:val="-4"/>
        </w:rPr>
        <w:t xml:space="preserve"> </w:t>
      </w:r>
      <w:r>
        <w:rPr>
          <w:color w:val="221F1F"/>
        </w:rPr>
        <w:t>either</w:t>
      </w:r>
      <w:r>
        <w:rPr>
          <w:color w:val="221F1F"/>
          <w:spacing w:val="-3"/>
        </w:rPr>
        <w:t xml:space="preserve"> </w:t>
      </w:r>
      <w:r>
        <w:rPr>
          <w:color w:val="221F1F"/>
        </w:rPr>
        <w:t>Party</w:t>
      </w:r>
      <w:r>
        <w:rPr>
          <w:color w:val="221F1F"/>
          <w:spacing w:val="-7"/>
        </w:rPr>
        <w:t xml:space="preserve"> </w:t>
      </w:r>
      <w:r>
        <w:rPr>
          <w:color w:val="221F1F"/>
        </w:rPr>
        <w:t>may</w:t>
      </w:r>
      <w:r>
        <w:rPr>
          <w:color w:val="221F1F"/>
          <w:spacing w:val="-4"/>
        </w:rPr>
        <w:t xml:space="preserve"> </w:t>
      </w:r>
      <w:r>
        <w:rPr>
          <w:color w:val="221F1F"/>
        </w:rPr>
        <w:t>consider</w:t>
      </w:r>
      <w:r>
        <w:rPr>
          <w:color w:val="221F1F"/>
          <w:spacing w:val="-6"/>
        </w:rPr>
        <w:t xml:space="preserve"> </w:t>
      </w:r>
      <w:r>
        <w:rPr>
          <w:color w:val="221F1F"/>
        </w:rPr>
        <w:t>that the claim is</w:t>
      </w:r>
      <w:r>
        <w:rPr>
          <w:color w:val="221F1F"/>
          <w:spacing w:val="-1"/>
        </w:rPr>
        <w:t xml:space="preserve"> </w:t>
      </w:r>
      <w:r>
        <w:rPr>
          <w:color w:val="221F1F"/>
        </w:rPr>
        <w:t>rejected by the</w:t>
      </w:r>
      <w:r>
        <w:rPr>
          <w:color w:val="221F1F"/>
          <w:spacing w:val="-1"/>
        </w:rPr>
        <w:t xml:space="preserve"> </w:t>
      </w:r>
      <w:r>
        <w:rPr>
          <w:color w:val="221F1F"/>
        </w:rPr>
        <w:t>Architect and any of the Parties</w:t>
      </w:r>
      <w:r>
        <w:rPr>
          <w:color w:val="221F1F"/>
          <w:spacing w:val="-1"/>
        </w:rPr>
        <w:t xml:space="preserve"> </w:t>
      </w:r>
      <w:r>
        <w:rPr>
          <w:color w:val="221F1F"/>
        </w:rPr>
        <w:t>may</w:t>
      </w:r>
      <w:r>
        <w:rPr>
          <w:color w:val="221F1F"/>
          <w:spacing w:val="-1"/>
        </w:rPr>
        <w:t xml:space="preserve"> </w:t>
      </w:r>
      <w:r>
        <w:rPr>
          <w:color w:val="221F1F"/>
        </w:rPr>
        <w:t>refer the</w:t>
      </w:r>
      <w:r>
        <w:rPr>
          <w:color w:val="221F1F"/>
          <w:spacing w:val="-1"/>
        </w:rPr>
        <w:t xml:space="preserve"> </w:t>
      </w:r>
      <w:r>
        <w:rPr>
          <w:color w:val="221F1F"/>
        </w:rPr>
        <w:t>dispute for amicable settlement in accordance with Clause 20.3.</w:t>
      </w:r>
    </w:p>
    <w:p w:rsidR="007F6DF9" w:rsidRDefault="00A43FBC">
      <w:pPr>
        <w:pStyle w:val="ListParagraph"/>
        <w:numPr>
          <w:ilvl w:val="2"/>
          <w:numId w:val="122"/>
        </w:numPr>
        <w:tabs>
          <w:tab w:val="left" w:pos="1403"/>
          <w:tab w:val="left" w:pos="1407"/>
        </w:tabs>
        <w:spacing w:before="244" w:line="230" w:lineRule="auto"/>
        <w:ind w:left="1407" w:right="560" w:hanging="704"/>
        <w:jc w:val="both"/>
        <w:rPr>
          <w:color w:val="221F1F"/>
        </w:rPr>
      </w:pPr>
      <w:r>
        <w:rPr>
          <w:color w:val="221F1F"/>
        </w:rPr>
        <w:t>The requirements of this Sub-Clause are in addition to those of any other Sub-Clause which may apply to</w:t>
      </w:r>
      <w:r>
        <w:rPr>
          <w:color w:val="221F1F"/>
          <w:spacing w:val="-2"/>
        </w:rPr>
        <w:t xml:space="preserve"> </w:t>
      </w:r>
      <w:r>
        <w:rPr>
          <w:color w:val="221F1F"/>
        </w:rPr>
        <w:t>a claim.</w:t>
      </w:r>
      <w:r>
        <w:rPr>
          <w:color w:val="221F1F"/>
          <w:spacing w:val="-13"/>
        </w:rPr>
        <w:t xml:space="preserve"> </w:t>
      </w:r>
      <w:r>
        <w:rPr>
          <w:color w:val="221F1F"/>
        </w:rPr>
        <w:t>If</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3"/>
        </w:rPr>
        <w:t xml:space="preserve"> </w:t>
      </w:r>
      <w:r>
        <w:rPr>
          <w:color w:val="221F1F"/>
        </w:rPr>
        <w:t>fails</w:t>
      </w:r>
      <w:r>
        <w:rPr>
          <w:color w:val="221F1F"/>
          <w:spacing w:val="-10"/>
        </w:rPr>
        <w:t xml:space="preserve"> </w:t>
      </w:r>
      <w:r>
        <w:rPr>
          <w:color w:val="221F1F"/>
        </w:rPr>
        <w:t>to</w:t>
      </w:r>
      <w:r>
        <w:rPr>
          <w:color w:val="221F1F"/>
          <w:spacing w:val="-13"/>
        </w:rPr>
        <w:t xml:space="preserve"> </w:t>
      </w:r>
      <w:r>
        <w:rPr>
          <w:color w:val="221F1F"/>
        </w:rPr>
        <w:t>comply</w:t>
      </w:r>
      <w:r>
        <w:rPr>
          <w:color w:val="221F1F"/>
          <w:spacing w:val="-12"/>
        </w:rPr>
        <w:t xml:space="preserve"> </w:t>
      </w:r>
      <w:r>
        <w:rPr>
          <w:color w:val="221F1F"/>
        </w:rPr>
        <w:t>with</w:t>
      </w:r>
      <w:r>
        <w:rPr>
          <w:color w:val="221F1F"/>
          <w:spacing w:val="-13"/>
        </w:rPr>
        <w:t xml:space="preserve"> </w:t>
      </w:r>
      <w:r>
        <w:rPr>
          <w:color w:val="221F1F"/>
        </w:rPr>
        <w:t>this</w:t>
      </w:r>
      <w:r>
        <w:rPr>
          <w:color w:val="221F1F"/>
          <w:spacing w:val="-11"/>
        </w:rPr>
        <w:t xml:space="preserve"> </w:t>
      </w:r>
      <w:r>
        <w:rPr>
          <w:color w:val="221F1F"/>
        </w:rPr>
        <w:t>or</w:t>
      </w:r>
      <w:r>
        <w:rPr>
          <w:color w:val="221F1F"/>
          <w:spacing w:val="-11"/>
        </w:rPr>
        <w:t xml:space="preserve"> </w:t>
      </w:r>
      <w:r>
        <w:rPr>
          <w:color w:val="221F1F"/>
        </w:rPr>
        <w:t>another</w:t>
      </w:r>
      <w:r>
        <w:rPr>
          <w:color w:val="221F1F"/>
          <w:spacing w:val="-10"/>
        </w:rPr>
        <w:t xml:space="preserve"> </w:t>
      </w:r>
      <w:r>
        <w:rPr>
          <w:color w:val="221F1F"/>
        </w:rPr>
        <w:t>Sub-Clause</w:t>
      </w:r>
      <w:r>
        <w:rPr>
          <w:color w:val="221F1F"/>
          <w:spacing w:val="-13"/>
        </w:rPr>
        <w:t xml:space="preserve"> </w:t>
      </w:r>
      <w:r>
        <w:rPr>
          <w:color w:val="221F1F"/>
        </w:rPr>
        <w:t>in</w:t>
      </w:r>
      <w:r>
        <w:rPr>
          <w:color w:val="221F1F"/>
          <w:spacing w:val="-13"/>
        </w:rPr>
        <w:t xml:space="preserve"> </w:t>
      </w:r>
      <w:r>
        <w:rPr>
          <w:color w:val="221F1F"/>
        </w:rPr>
        <w:t>relation</w:t>
      </w:r>
      <w:r>
        <w:rPr>
          <w:color w:val="221F1F"/>
          <w:spacing w:val="-13"/>
        </w:rPr>
        <w:t xml:space="preserve"> </w:t>
      </w:r>
      <w:r>
        <w:rPr>
          <w:color w:val="221F1F"/>
        </w:rPr>
        <w:t>to</w:t>
      </w:r>
      <w:r>
        <w:rPr>
          <w:color w:val="221F1F"/>
          <w:spacing w:val="-11"/>
        </w:rPr>
        <w:t xml:space="preserve"> </w:t>
      </w:r>
      <w:r>
        <w:rPr>
          <w:color w:val="221F1F"/>
        </w:rPr>
        <w:t>any</w:t>
      </w:r>
      <w:r>
        <w:rPr>
          <w:color w:val="221F1F"/>
          <w:spacing w:val="-13"/>
        </w:rPr>
        <w:t xml:space="preserve"> </w:t>
      </w:r>
      <w:r>
        <w:rPr>
          <w:color w:val="221F1F"/>
        </w:rPr>
        <w:t>claim,</w:t>
      </w:r>
      <w:r>
        <w:rPr>
          <w:color w:val="221F1F"/>
          <w:spacing w:val="-13"/>
        </w:rPr>
        <w:t xml:space="preserve"> </w:t>
      </w:r>
      <w:r>
        <w:rPr>
          <w:color w:val="221F1F"/>
        </w:rPr>
        <w:t>any</w:t>
      </w:r>
      <w:r>
        <w:rPr>
          <w:color w:val="221F1F"/>
          <w:spacing w:val="-13"/>
        </w:rPr>
        <w:t xml:space="preserve"> </w:t>
      </w:r>
      <w:r>
        <w:rPr>
          <w:color w:val="221F1F"/>
        </w:rPr>
        <w:t>extension of</w:t>
      </w:r>
      <w:r>
        <w:rPr>
          <w:color w:val="221F1F"/>
          <w:spacing w:val="-5"/>
        </w:rPr>
        <w:t xml:space="preserve"> </w:t>
      </w:r>
      <w:r>
        <w:rPr>
          <w:color w:val="221F1F"/>
        </w:rPr>
        <w:t>time</w:t>
      </w:r>
      <w:r>
        <w:rPr>
          <w:color w:val="221F1F"/>
          <w:spacing w:val="-5"/>
        </w:rPr>
        <w:t xml:space="preserve"> </w:t>
      </w:r>
      <w:r>
        <w:rPr>
          <w:color w:val="221F1F"/>
        </w:rPr>
        <w:t>and/</w:t>
      </w:r>
      <w:r>
        <w:rPr>
          <w:color w:val="221F1F"/>
          <w:spacing w:val="-5"/>
        </w:rPr>
        <w:t xml:space="preserve"> </w:t>
      </w:r>
      <w:r>
        <w:rPr>
          <w:color w:val="221F1F"/>
        </w:rPr>
        <w:t>or</w:t>
      </w:r>
      <w:r>
        <w:rPr>
          <w:color w:val="221F1F"/>
          <w:spacing w:val="-5"/>
        </w:rPr>
        <w:t xml:space="preserve"> </w:t>
      </w:r>
      <w:r>
        <w:rPr>
          <w:color w:val="221F1F"/>
        </w:rPr>
        <w:t>additional</w:t>
      </w:r>
      <w:r>
        <w:rPr>
          <w:color w:val="221F1F"/>
          <w:spacing w:val="-4"/>
        </w:rPr>
        <w:t xml:space="preserve"> </w:t>
      </w:r>
      <w:r>
        <w:rPr>
          <w:color w:val="221F1F"/>
        </w:rPr>
        <w:t>payment</w:t>
      </w:r>
      <w:r>
        <w:rPr>
          <w:color w:val="221F1F"/>
          <w:spacing w:val="-5"/>
        </w:rPr>
        <w:t xml:space="preserve"> </w:t>
      </w:r>
      <w:r>
        <w:rPr>
          <w:color w:val="221F1F"/>
        </w:rPr>
        <w:t>shall</w:t>
      </w:r>
      <w:r>
        <w:rPr>
          <w:color w:val="221F1F"/>
          <w:spacing w:val="-5"/>
        </w:rPr>
        <w:t xml:space="preserve"> </w:t>
      </w:r>
      <w:r>
        <w:rPr>
          <w:color w:val="221F1F"/>
        </w:rPr>
        <w:t>take</w:t>
      </w:r>
      <w:r>
        <w:rPr>
          <w:color w:val="221F1F"/>
          <w:spacing w:val="-6"/>
        </w:rPr>
        <w:t xml:space="preserve"> </w:t>
      </w:r>
      <w:r>
        <w:rPr>
          <w:color w:val="221F1F"/>
        </w:rPr>
        <w:t>account</w:t>
      </w:r>
      <w:r>
        <w:rPr>
          <w:color w:val="221F1F"/>
          <w:spacing w:val="-4"/>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to</w:t>
      </w:r>
      <w:r>
        <w:rPr>
          <w:color w:val="221F1F"/>
          <w:spacing w:val="-6"/>
        </w:rPr>
        <w:t xml:space="preserve"> </w:t>
      </w:r>
      <w:r>
        <w:rPr>
          <w:color w:val="221F1F"/>
        </w:rPr>
        <w:t>which</w:t>
      </w:r>
      <w:r>
        <w:rPr>
          <w:color w:val="221F1F"/>
          <w:spacing w:val="-5"/>
        </w:rPr>
        <w:t xml:space="preserve"> </w:t>
      </w:r>
      <w:r>
        <w:rPr>
          <w:color w:val="221F1F"/>
        </w:rPr>
        <w:t>the</w:t>
      </w:r>
      <w:r>
        <w:rPr>
          <w:color w:val="221F1F"/>
          <w:spacing w:val="-6"/>
        </w:rPr>
        <w:t xml:space="preserve"> </w:t>
      </w:r>
      <w:r>
        <w:rPr>
          <w:color w:val="221F1F"/>
        </w:rPr>
        <w:t>failure</w:t>
      </w:r>
      <w:r>
        <w:rPr>
          <w:color w:val="221F1F"/>
          <w:spacing w:val="-5"/>
        </w:rPr>
        <w:t xml:space="preserve"> </w:t>
      </w:r>
      <w:r>
        <w:rPr>
          <w:color w:val="221F1F"/>
        </w:rPr>
        <w:t>has</w:t>
      </w:r>
      <w:r>
        <w:rPr>
          <w:color w:val="221F1F"/>
          <w:spacing w:val="-6"/>
        </w:rPr>
        <w:t xml:space="preserve"> </w:t>
      </w:r>
      <w:r>
        <w:rPr>
          <w:color w:val="221F1F"/>
        </w:rPr>
        <w:t>prevented or prejudiced proper investigation of the claim, unless the claim is excluded under the second paragraph of this Sub-Clause 20.3.</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14"/>
      </w:pPr>
    </w:p>
    <w:p w:rsidR="007F6DF9" w:rsidRDefault="00A43FBC">
      <w:pPr>
        <w:pStyle w:val="Heading9"/>
        <w:numPr>
          <w:ilvl w:val="1"/>
          <w:numId w:val="122"/>
        </w:numPr>
        <w:tabs>
          <w:tab w:val="left" w:pos="1426"/>
        </w:tabs>
        <w:ind w:left="1426" w:hanging="715"/>
        <w:rPr>
          <w:color w:val="221F1F"/>
        </w:rPr>
      </w:pPr>
      <w:r>
        <w:rPr>
          <w:color w:val="221F1F"/>
        </w:rPr>
        <w:t>Procuring</w:t>
      </w:r>
      <w:r>
        <w:rPr>
          <w:color w:val="221F1F"/>
          <w:spacing w:val="-5"/>
        </w:rPr>
        <w:t xml:space="preserve"> </w:t>
      </w:r>
      <w:r>
        <w:rPr>
          <w:color w:val="221F1F"/>
        </w:rPr>
        <w:t>Entity's</w:t>
      </w:r>
      <w:r>
        <w:rPr>
          <w:color w:val="221F1F"/>
          <w:spacing w:val="-4"/>
        </w:rPr>
        <w:t xml:space="preserve"> </w:t>
      </w:r>
      <w:r>
        <w:rPr>
          <w:color w:val="221F1F"/>
          <w:spacing w:val="-2"/>
        </w:rPr>
        <w:t>Claims</w:t>
      </w:r>
    </w:p>
    <w:p w:rsidR="007F6DF9" w:rsidRDefault="00A43FBC">
      <w:pPr>
        <w:pStyle w:val="ListParagraph"/>
        <w:numPr>
          <w:ilvl w:val="2"/>
          <w:numId w:val="122"/>
        </w:numPr>
        <w:tabs>
          <w:tab w:val="left" w:pos="1430"/>
          <w:tab w:val="left" w:pos="1438"/>
        </w:tabs>
        <w:spacing w:before="242" w:line="230" w:lineRule="auto"/>
        <w:ind w:left="1438" w:right="559" w:hanging="728"/>
        <w:jc w:val="both"/>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considers</w:t>
      </w:r>
      <w:r>
        <w:rPr>
          <w:color w:val="221F1F"/>
          <w:spacing w:val="-2"/>
        </w:rPr>
        <w:t xml:space="preserve"> </w:t>
      </w:r>
      <w:r>
        <w:rPr>
          <w:color w:val="221F1F"/>
        </w:rPr>
        <w:t>itself</w:t>
      </w:r>
      <w:r>
        <w:rPr>
          <w:color w:val="221F1F"/>
          <w:spacing w:val="-2"/>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entitled</w:t>
      </w:r>
      <w:r>
        <w:rPr>
          <w:color w:val="221F1F"/>
          <w:spacing w:val="-3"/>
        </w:rPr>
        <w:t xml:space="preserve"> </w:t>
      </w:r>
      <w:r>
        <w:rPr>
          <w:color w:val="221F1F"/>
        </w:rPr>
        <w:t>to</w:t>
      </w:r>
      <w:r>
        <w:rPr>
          <w:color w:val="221F1F"/>
          <w:spacing w:val="-6"/>
        </w:rPr>
        <w:t xml:space="preserve"> </w:t>
      </w:r>
      <w:r>
        <w:rPr>
          <w:color w:val="221F1F"/>
        </w:rPr>
        <w:t>any</w:t>
      </w:r>
      <w:r>
        <w:rPr>
          <w:color w:val="221F1F"/>
          <w:spacing w:val="-3"/>
        </w:rPr>
        <w:t xml:space="preserve"> </w:t>
      </w:r>
      <w:r>
        <w:rPr>
          <w:color w:val="221F1F"/>
        </w:rPr>
        <w:t>payment</w:t>
      </w:r>
      <w:r>
        <w:rPr>
          <w:color w:val="221F1F"/>
          <w:spacing w:val="-2"/>
        </w:rPr>
        <w:t xml:space="preserve"> </w:t>
      </w:r>
      <w:r>
        <w:rPr>
          <w:color w:val="221F1F"/>
        </w:rPr>
        <w:t>under</w:t>
      </w:r>
      <w:r>
        <w:rPr>
          <w:color w:val="221F1F"/>
          <w:spacing w:val="-3"/>
        </w:rPr>
        <w:t xml:space="preserve"> </w:t>
      </w:r>
      <w:r>
        <w:rPr>
          <w:color w:val="221F1F"/>
        </w:rPr>
        <w:t>any</w:t>
      </w:r>
      <w:r>
        <w:rPr>
          <w:color w:val="221F1F"/>
          <w:spacing w:val="-3"/>
        </w:rPr>
        <w:t xml:space="preserve"> </w:t>
      </w:r>
      <w:r>
        <w:rPr>
          <w:color w:val="221F1F"/>
        </w:rPr>
        <w:t>Clause</w:t>
      </w:r>
      <w:r>
        <w:rPr>
          <w:color w:val="221F1F"/>
          <w:spacing w:val="-2"/>
        </w:rPr>
        <w:t xml:space="preserve"> </w:t>
      </w:r>
      <w:r>
        <w:rPr>
          <w:color w:val="221F1F"/>
        </w:rPr>
        <w:t>of</w:t>
      </w:r>
      <w:r>
        <w:rPr>
          <w:color w:val="221F1F"/>
          <w:spacing w:val="-3"/>
        </w:rPr>
        <w:t xml:space="preserve"> </w:t>
      </w:r>
      <w:r>
        <w:rPr>
          <w:color w:val="221F1F"/>
        </w:rPr>
        <w:t>these</w:t>
      </w:r>
      <w:r>
        <w:rPr>
          <w:color w:val="221F1F"/>
          <w:spacing w:val="-3"/>
        </w:rPr>
        <w:t xml:space="preserve"> </w:t>
      </w:r>
      <w:proofErr w:type="spellStart"/>
      <w:r>
        <w:rPr>
          <w:color w:val="221F1F"/>
        </w:rPr>
        <w:t>Conditionsor</w:t>
      </w:r>
      <w:proofErr w:type="spellEnd"/>
      <w:r>
        <w:rPr>
          <w:color w:val="221F1F"/>
        </w:rPr>
        <w:t xml:space="preserve"> otherwise in connection with the Contract, and/or to any extension of the Defects Notification Period, the Procuring Entity or the Architect shall give notice and particulars to the Contractor. However, notice is not required for payments due under Sub-Clause 4.19 [Electricity, Water and Gas], under Sub-Clause 4.20 [Procuring Entity's Equipment and Free-Issue Materials], or for other services requested by the Contractor.</w:t>
      </w:r>
    </w:p>
    <w:p w:rsidR="007F6DF9" w:rsidRDefault="00A43FBC">
      <w:pPr>
        <w:pStyle w:val="ListParagraph"/>
        <w:numPr>
          <w:ilvl w:val="2"/>
          <w:numId w:val="122"/>
        </w:numPr>
        <w:tabs>
          <w:tab w:val="left" w:pos="1430"/>
          <w:tab w:val="left" w:pos="1438"/>
        </w:tabs>
        <w:spacing w:before="246" w:line="230" w:lineRule="auto"/>
        <w:ind w:left="1438" w:right="560" w:hanging="728"/>
        <w:jc w:val="both"/>
        <w:rPr>
          <w:color w:val="221F1F"/>
        </w:rPr>
      </w:pPr>
      <w:r>
        <w:rPr>
          <w:color w:val="221F1F"/>
        </w:rPr>
        <w:t>The</w:t>
      </w:r>
      <w:r>
        <w:rPr>
          <w:color w:val="221F1F"/>
          <w:spacing w:val="-9"/>
        </w:rPr>
        <w:t xml:space="preserve"> </w:t>
      </w:r>
      <w:r>
        <w:rPr>
          <w:color w:val="221F1F"/>
        </w:rPr>
        <w:t>notice</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w:t>
      </w:r>
      <w:r>
        <w:rPr>
          <w:color w:val="221F1F"/>
          <w:spacing w:val="-10"/>
        </w:rPr>
        <w:t xml:space="preserve"> </w:t>
      </w:r>
      <w:r>
        <w:rPr>
          <w:color w:val="221F1F"/>
        </w:rPr>
        <w:t>as</w:t>
      </w:r>
      <w:r>
        <w:rPr>
          <w:color w:val="221F1F"/>
          <w:spacing w:val="-10"/>
        </w:rPr>
        <w:t xml:space="preserve"> </w:t>
      </w:r>
      <w:r>
        <w:rPr>
          <w:color w:val="221F1F"/>
        </w:rPr>
        <w:t>soon</w:t>
      </w:r>
      <w:r>
        <w:rPr>
          <w:color w:val="221F1F"/>
          <w:spacing w:val="-10"/>
        </w:rPr>
        <w:t xml:space="preserve"> </w:t>
      </w:r>
      <w:r>
        <w:rPr>
          <w:color w:val="221F1F"/>
        </w:rPr>
        <w:t>as</w:t>
      </w:r>
      <w:r>
        <w:rPr>
          <w:color w:val="221F1F"/>
          <w:spacing w:val="-10"/>
        </w:rPr>
        <w:t xml:space="preserve"> </w:t>
      </w:r>
      <w:r>
        <w:rPr>
          <w:color w:val="221F1F"/>
        </w:rPr>
        <w:t>practicable</w:t>
      </w:r>
      <w:r>
        <w:rPr>
          <w:color w:val="221F1F"/>
          <w:spacing w:val="-10"/>
        </w:rPr>
        <w:t xml:space="preserve"> </w:t>
      </w:r>
      <w:r>
        <w:rPr>
          <w:color w:val="221F1F"/>
        </w:rPr>
        <w:t>and</w:t>
      </w:r>
      <w:r>
        <w:rPr>
          <w:color w:val="221F1F"/>
          <w:spacing w:val="-10"/>
        </w:rPr>
        <w:t xml:space="preserve"> </w:t>
      </w:r>
      <w:r>
        <w:rPr>
          <w:color w:val="221F1F"/>
        </w:rPr>
        <w:t>no</w:t>
      </w:r>
      <w:r>
        <w:rPr>
          <w:color w:val="221F1F"/>
          <w:spacing w:val="-10"/>
        </w:rPr>
        <w:t xml:space="preserve"> </w:t>
      </w:r>
      <w:r>
        <w:rPr>
          <w:color w:val="221F1F"/>
        </w:rPr>
        <w:t>longer</w:t>
      </w:r>
      <w:r>
        <w:rPr>
          <w:color w:val="221F1F"/>
          <w:spacing w:val="-10"/>
        </w:rPr>
        <w:t xml:space="preserve"> </w:t>
      </w:r>
      <w:r>
        <w:rPr>
          <w:color w:val="221F1F"/>
        </w:rPr>
        <w:t>than</w:t>
      </w:r>
      <w:r>
        <w:rPr>
          <w:color w:val="221F1F"/>
          <w:spacing w:val="-8"/>
        </w:rPr>
        <w:t xml:space="preserve"> </w:t>
      </w:r>
      <w:r>
        <w:rPr>
          <w:color w:val="221F1F"/>
        </w:rPr>
        <w:t>30</w:t>
      </w:r>
      <w:r>
        <w:rPr>
          <w:color w:val="221F1F"/>
          <w:spacing w:val="-11"/>
        </w:rPr>
        <w:t xml:space="preserve"> </w:t>
      </w:r>
      <w:r>
        <w:rPr>
          <w:color w:val="221F1F"/>
        </w:rPr>
        <w:t>days</w:t>
      </w:r>
      <w:r>
        <w:rPr>
          <w:color w:val="221F1F"/>
          <w:spacing w:val="-8"/>
        </w:rPr>
        <w:t xml:space="preserve"> </w:t>
      </w:r>
      <w:proofErr w:type="spellStart"/>
      <w:r>
        <w:rPr>
          <w:color w:val="221F1F"/>
        </w:rPr>
        <w:t>afte</w:t>
      </w:r>
      <w:proofErr w:type="spellEnd"/>
      <w:r>
        <w:rPr>
          <w:color w:val="221F1F"/>
          <w:spacing w:val="-8"/>
        </w:rPr>
        <w:t xml:space="preserve"> </w:t>
      </w:r>
      <w:proofErr w:type="spellStart"/>
      <w:r>
        <w:rPr>
          <w:color w:val="221F1F"/>
        </w:rPr>
        <w:t>rthe</w:t>
      </w:r>
      <w:proofErr w:type="spellEnd"/>
      <w:r>
        <w:rPr>
          <w:color w:val="221F1F"/>
          <w:spacing w:val="-10"/>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became aware,</w:t>
      </w:r>
      <w:r>
        <w:rPr>
          <w:color w:val="221F1F"/>
          <w:spacing w:val="-8"/>
        </w:rPr>
        <w:t xml:space="preserve"> </w:t>
      </w:r>
      <w:r>
        <w:rPr>
          <w:color w:val="221F1F"/>
        </w:rPr>
        <w:t>or</w:t>
      </w:r>
      <w:r>
        <w:rPr>
          <w:color w:val="221F1F"/>
          <w:spacing w:val="-8"/>
        </w:rPr>
        <w:t xml:space="preserve"> </w:t>
      </w:r>
      <w:r>
        <w:rPr>
          <w:color w:val="221F1F"/>
        </w:rPr>
        <w:t>should</w:t>
      </w:r>
      <w:r>
        <w:rPr>
          <w:color w:val="221F1F"/>
          <w:spacing w:val="-8"/>
        </w:rPr>
        <w:t xml:space="preserve"> </w:t>
      </w:r>
      <w:r>
        <w:rPr>
          <w:color w:val="221F1F"/>
        </w:rPr>
        <w:t>have</w:t>
      </w:r>
      <w:r>
        <w:rPr>
          <w:color w:val="221F1F"/>
          <w:spacing w:val="-8"/>
        </w:rPr>
        <w:t xml:space="preserve"> </w:t>
      </w:r>
      <w:r>
        <w:rPr>
          <w:color w:val="221F1F"/>
        </w:rPr>
        <w:t>become</w:t>
      </w:r>
      <w:r>
        <w:rPr>
          <w:color w:val="221F1F"/>
          <w:spacing w:val="-7"/>
        </w:rPr>
        <w:t xml:space="preserve"> </w:t>
      </w:r>
      <w:r>
        <w:rPr>
          <w:color w:val="221F1F"/>
        </w:rPr>
        <w:t>aware,</w:t>
      </w:r>
      <w:r>
        <w:rPr>
          <w:color w:val="221F1F"/>
          <w:spacing w:val="-10"/>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or</w:t>
      </w:r>
      <w:r>
        <w:rPr>
          <w:color w:val="221F1F"/>
          <w:spacing w:val="-10"/>
        </w:rPr>
        <w:t xml:space="preserve"> </w:t>
      </w:r>
      <w:r>
        <w:rPr>
          <w:color w:val="221F1F"/>
        </w:rPr>
        <w:t>circumstances</w:t>
      </w:r>
      <w:r>
        <w:rPr>
          <w:color w:val="221F1F"/>
          <w:spacing w:val="-7"/>
        </w:rPr>
        <w:t xml:space="preserve"> </w:t>
      </w:r>
      <w:r>
        <w:rPr>
          <w:color w:val="221F1F"/>
        </w:rPr>
        <w:t>giving</w:t>
      </w:r>
      <w:r>
        <w:rPr>
          <w:color w:val="221F1F"/>
          <w:spacing w:val="-8"/>
        </w:rPr>
        <w:t xml:space="preserve"> </w:t>
      </w:r>
      <w:r>
        <w:rPr>
          <w:color w:val="221F1F"/>
        </w:rPr>
        <w:t>rise</w:t>
      </w:r>
      <w:r>
        <w:rPr>
          <w:color w:val="221F1F"/>
          <w:spacing w:val="-10"/>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claim.</w:t>
      </w:r>
      <w:r>
        <w:rPr>
          <w:color w:val="221F1F"/>
          <w:spacing w:val="-8"/>
        </w:rPr>
        <w:t xml:space="preserve"> </w:t>
      </w:r>
      <w:r>
        <w:rPr>
          <w:color w:val="221F1F"/>
        </w:rPr>
        <w:t>A</w:t>
      </w:r>
      <w:r>
        <w:rPr>
          <w:color w:val="221F1F"/>
          <w:spacing w:val="-10"/>
        </w:rPr>
        <w:t xml:space="preserve"> </w:t>
      </w:r>
      <w:r>
        <w:rPr>
          <w:color w:val="221F1F"/>
        </w:rPr>
        <w:t>notice</w:t>
      </w:r>
      <w:r>
        <w:rPr>
          <w:color w:val="221F1F"/>
          <w:spacing w:val="-8"/>
        </w:rPr>
        <w:t xml:space="preserve"> </w:t>
      </w:r>
      <w:r>
        <w:rPr>
          <w:color w:val="221F1F"/>
        </w:rPr>
        <w:t>relating to any extension of the Defects Notification Period shall be given before the expiry of such period.</w:t>
      </w:r>
    </w:p>
    <w:p w:rsidR="007F6DF9" w:rsidRDefault="00A43FBC">
      <w:pPr>
        <w:pStyle w:val="ListParagraph"/>
        <w:numPr>
          <w:ilvl w:val="2"/>
          <w:numId w:val="122"/>
        </w:numPr>
        <w:tabs>
          <w:tab w:val="left" w:pos="1430"/>
          <w:tab w:val="left" w:pos="1438"/>
        </w:tabs>
        <w:spacing w:before="245" w:line="230" w:lineRule="auto"/>
        <w:ind w:left="1438" w:right="565" w:hanging="728"/>
        <w:jc w:val="both"/>
        <w:rPr>
          <w:color w:val="221F1F"/>
        </w:rPr>
      </w:pPr>
      <w:r>
        <w:rPr>
          <w:color w:val="221F1F"/>
        </w:rPr>
        <w:t>The particulars shall specify the Clause or other basis of the claim and shall include substantiation of the amount and/or extension</w:t>
      </w:r>
      <w:r>
        <w:rPr>
          <w:color w:val="221F1F"/>
          <w:spacing w:val="-1"/>
        </w:rPr>
        <w:t xml:space="preserve"> </w:t>
      </w:r>
      <w:r>
        <w:rPr>
          <w:color w:val="221F1F"/>
        </w:rPr>
        <w:t>to</w:t>
      </w:r>
      <w:r>
        <w:rPr>
          <w:color w:val="221F1F"/>
          <w:spacing w:val="-2"/>
        </w:rPr>
        <w:t xml:space="preserve"> </w:t>
      </w:r>
      <w:r>
        <w:rPr>
          <w:color w:val="221F1F"/>
        </w:rPr>
        <w:t>which the Procuring Entity</w:t>
      </w:r>
      <w:r>
        <w:rPr>
          <w:color w:val="221F1F"/>
          <w:spacing w:val="-2"/>
        </w:rPr>
        <w:t xml:space="preserve"> </w:t>
      </w:r>
      <w:r>
        <w:rPr>
          <w:color w:val="221F1F"/>
        </w:rPr>
        <w:t>considers itself</w:t>
      </w:r>
      <w:r>
        <w:rPr>
          <w:color w:val="221F1F"/>
          <w:spacing w:val="-1"/>
        </w:rPr>
        <w:t xml:space="preserve"> </w:t>
      </w:r>
      <w:r>
        <w:rPr>
          <w:color w:val="221F1F"/>
        </w:rPr>
        <w:t>to be entitled in connection with the Contract. The Architect shall then proceed in accordance with Sub-Clause 3.5 [Determinations] to agree or determine</w:t>
      </w:r>
      <w:r>
        <w:rPr>
          <w:color w:val="221F1F"/>
          <w:spacing w:val="-3"/>
        </w:rPr>
        <w:t xml:space="preserve"> </w:t>
      </w:r>
      <w:r>
        <w:rPr>
          <w:color w:val="221F1F"/>
        </w:rPr>
        <w:t>(</w:t>
      </w:r>
      <w:proofErr w:type="spellStart"/>
      <w:r>
        <w:rPr>
          <w:color w:val="221F1F"/>
        </w:rPr>
        <w:t>i</w:t>
      </w:r>
      <w:proofErr w:type="spellEnd"/>
      <w:r>
        <w:rPr>
          <w:color w:val="221F1F"/>
        </w:rPr>
        <w:t>)</w:t>
      </w:r>
      <w:r>
        <w:rPr>
          <w:color w:val="221F1F"/>
          <w:spacing w:val="-3"/>
        </w:rPr>
        <w:t xml:space="preserve"> </w:t>
      </w:r>
      <w:r>
        <w:rPr>
          <w:color w:val="221F1F"/>
        </w:rPr>
        <w:t>the</w:t>
      </w:r>
      <w:r>
        <w:rPr>
          <w:color w:val="221F1F"/>
          <w:spacing w:val="-3"/>
        </w:rPr>
        <w:t xml:space="preserve"> </w:t>
      </w:r>
      <w:r>
        <w:rPr>
          <w:color w:val="221F1F"/>
        </w:rPr>
        <w:t>amount</w:t>
      </w:r>
      <w:r>
        <w:rPr>
          <w:color w:val="221F1F"/>
          <w:spacing w:val="-2"/>
        </w:rPr>
        <w:t xml:space="preserve"> </w:t>
      </w:r>
      <w:r>
        <w:rPr>
          <w:color w:val="221F1F"/>
        </w:rPr>
        <w:t>(if</w:t>
      </w:r>
      <w:r>
        <w:rPr>
          <w:color w:val="221F1F"/>
          <w:spacing w:val="-3"/>
        </w:rPr>
        <w:t xml:space="preserve"> </w:t>
      </w:r>
      <w:r>
        <w:rPr>
          <w:color w:val="221F1F"/>
        </w:rPr>
        <w:t>any) which</w:t>
      </w:r>
      <w:r>
        <w:rPr>
          <w:color w:val="221F1F"/>
          <w:spacing w:val="-3"/>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is</w:t>
      </w:r>
      <w:r>
        <w:rPr>
          <w:color w:val="221F1F"/>
          <w:spacing w:val="-1"/>
        </w:rPr>
        <w:t xml:space="preserve"> </w:t>
      </w:r>
      <w:r>
        <w:rPr>
          <w:color w:val="221F1F"/>
        </w:rPr>
        <w:t>entitled</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paid</w:t>
      </w:r>
      <w:r>
        <w:rPr>
          <w:color w:val="221F1F"/>
          <w:spacing w:val="-3"/>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and/ or</w:t>
      </w:r>
    </w:p>
    <w:p w:rsidR="007F6DF9" w:rsidRDefault="00A43FBC">
      <w:pPr>
        <w:pStyle w:val="BodyText"/>
        <w:spacing w:line="230" w:lineRule="auto"/>
        <w:ind w:left="1438" w:right="563"/>
        <w:jc w:val="both"/>
      </w:pPr>
      <w:r>
        <w:rPr>
          <w:color w:val="221F1F"/>
        </w:rPr>
        <w:t>(ii)</w:t>
      </w:r>
      <w:r>
        <w:rPr>
          <w:color w:val="221F1F"/>
          <w:spacing w:val="-3"/>
        </w:rPr>
        <w:t xml:space="preserve"> </w:t>
      </w:r>
      <w:r>
        <w:rPr>
          <w:color w:val="221F1F"/>
        </w:rPr>
        <w:t>the</w:t>
      </w:r>
      <w:r>
        <w:rPr>
          <w:color w:val="221F1F"/>
          <w:spacing w:val="-1"/>
        </w:rPr>
        <w:t xml:space="preserve"> </w:t>
      </w:r>
      <w:r>
        <w:rPr>
          <w:color w:val="221F1F"/>
        </w:rPr>
        <w:t>extension</w:t>
      </w:r>
      <w:r>
        <w:rPr>
          <w:color w:val="221F1F"/>
          <w:spacing w:val="-1"/>
        </w:rPr>
        <w:t xml:space="preserve"> </w:t>
      </w:r>
      <w:r>
        <w:rPr>
          <w:color w:val="221F1F"/>
        </w:rPr>
        <w:t>(if any) of</w:t>
      </w:r>
      <w:r>
        <w:rPr>
          <w:color w:val="221F1F"/>
          <w:spacing w:val="-3"/>
        </w:rPr>
        <w:t xml:space="preserve"> </w:t>
      </w:r>
      <w:r>
        <w:rPr>
          <w:color w:val="221F1F"/>
        </w:rPr>
        <w:t>the</w:t>
      </w:r>
      <w:r>
        <w:rPr>
          <w:color w:val="221F1F"/>
          <w:spacing w:val="-1"/>
        </w:rPr>
        <w:t xml:space="preserve"> </w:t>
      </w:r>
      <w:r>
        <w:rPr>
          <w:color w:val="221F1F"/>
        </w:rPr>
        <w:t>Defects</w:t>
      </w:r>
      <w:r>
        <w:rPr>
          <w:color w:val="221F1F"/>
          <w:spacing w:val="-1"/>
        </w:rPr>
        <w:t xml:space="preserve"> </w:t>
      </w:r>
      <w:r>
        <w:rPr>
          <w:color w:val="221F1F"/>
        </w:rPr>
        <w:t>Notification</w:t>
      </w:r>
      <w:r>
        <w:rPr>
          <w:color w:val="221F1F"/>
          <w:spacing w:val="-1"/>
        </w:rPr>
        <w:t xml:space="preserve"> </w:t>
      </w:r>
      <w:r>
        <w:rPr>
          <w:color w:val="221F1F"/>
        </w:rPr>
        <w:t>Period</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Sub-Clause</w:t>
      </w:r>
      <w:r>
        <w:rPr>
          <w:color w:val="221F1F"/>
          <w:spacing w:val="-2"/>
        </w:rPr>
        <w:t xml:space="preserve"> </w:t>
      </w:r>
      <w:r>
        <w:rPr>
          <w:color w:val="221F1F"/>
        </w:rPr>
        <w:t>11.3</w:t>
      </w:r>
      <w:r>
        <w:rPr>
          <w:color w:val="221F1F"/>
          <w:spacing w:val="-6"/>
        </w:rPr>
        <w:t xml:space="preserve"> </w:t>
      </w:r>
      <w:r>
        <w:rPr>
          <w:color w:val="221F1F"/>
        </w:rPr>
        <w:t>[Extension of Defects Notification Period].</w:t>
      </w:r>
    </w:p>
    <w:p w:rsidR="007F6DF9" w:rsidRDefault="00A43FBC">
      <w:pPr>
        <w:pStyle w:val="ListParagraph"/>
        <w:numPr>
          <w:ilvl w:val="2"/>
          <w:numId w:val="122"/>
        </w:numPr>
        <w:tabs>
          <w:tab w:val="left" w:pos="1418"/>
          <w:tab w:val="left" w:pos="1436"/>
        </w:tabs>
        <w:spacing w:before="246" w:line="230" w:lineRule="auto"/>
        <w:ind w:left="1436" w:right="564" w:hanging="726"/>
        <w:jc w:val="both"/>
        <w:rPr>
          <w:color w:val="221F1F"/>
        </w:rPr>
      </w:pPr>
      <w:r>
        <w:rPr>
          <w:color w:val="221F1F"/>
        </w:rPr>
        <w:t>This amount may be included as a deduction in the Contract Price and Payment Certificates. The Procuring Entity</w:t>
      </w:r>
      <w:r>
        <w:rPr>
          <w:color w:val="221F1F"/>
          <w:spacing w:val="-2"/>
        </w:rPr>
        <w:t xml:space="preserve"> </w:t>
      </w:r>
      <w:r>
        <w:rPr>
          <w:color w:val="221F1F"/>
        </w:rPr>
        <w:t>shall</w:t>
      </w:r>
      <w:r>
        <w:rPr>
          <w:color w:val="221F1F"/>
          <w:spacing w:val="-1"/>
        </w:rPr>
        <w:t xml:space="preserve"> </w:t>
      </w:r>
      <w:r>
        <w:rPr>
          <w:color w:val="221F1F"/>
        </w:rPr>
        <w:t>only be entitled</w:t>
      </w:r>
      <w:r>
        <w:rPr>
          <w:color w:val="221F1F"/>
          <w:spacing w:val="-2"/>
        </w:rPr>
        <w:t xml:space="preserve"> </w:t>
      </w:r>
      <w:r>
        <w:rPr>
          <w:color w:val="221F1F"/>
        </w:rPr>
        <w:t>to</w:t>
      </w:r>
      <w:r>
        <w:rPr>
          <w:color w:val="221F1F"/>
          <w:spacing w:val="-3"/>
        </w:rPr>
        <w:t xml:space="preserve"> </w:t>
      </w:r>
      <w:r>
        <w:rPr>
          <w:color w:val="221F1F"/>
        </w:rPr>
        <w:t>set off</w:t>
      </w:r>
      <w:r>
        <w:rPr>
          <w:color w:val="221F1F"/>
          <w:spacing w:val="-2"/>
        </w:rPr>
        <w:t xml:space="preserve"> </w:t>
      </w:r>
      <w:r>
        <w:rPr>
          <w:color w:val="221F1F"/>
        </w:rPr>
        <w:t>against</w:t>
      </w:r>
      <w:r>
        <w:rPr>
          <w:color w:val="221F1F"/>
          <w:spacing w:val="-1"/>
        </w:rPr>
        <w:t xml:space="preserve"> </w:t>
      </w:r>
      <w:r>
        <w:rPr>
          <w:color w:val="221F1F"/>
        </w:rPr>
        <w:t>or</w:t>
      </w:r>
      <w:r>
        <w:rPr>
          <w:color w:val="221F1F"/>
          <w:spacing w:val="-2"/>
        </w:rPr>
        <w:t xml:space="preserve"> </w:t>
      </w:r>
      <w:r>
        <w:rPr>
          <w:color w:val="221F1F"/>
        </w:rPr>
        <w:t>make</w:t>
      </w:r>
      <w:r>
        <w:rPr>
          <w:color w:val="221F1F"/>
          <w:spacing w:val="-2"/>
        </w:rPr>
        <w:t xml:space="preserve"> </w:t>
      </w:r>
      <w:r>
        <w:rPr>
          <w:color w:val="221F1F"/>
        </w:rPr>
        <w:t>any deduction</w:t>
      </w:r>
      <w:r>
        <w:rPr>
          <w:color w:val="221F1F"/>
          <w:spacing w:val="-3"/>
        </w:rPr>
        <w:t xml:space="preserve"> </w:t>
      </w:r>
      <w:r>
        <w:rPr>
          <w:color w:val="221F1F"/>
        </w:rPr>
        <w:t>from</w:t>
      </w:r>
      <w:r>
        <w:rPr>
          <w:color w:val="221F1F"/>
          <w:spacing w:val="-1"/>
        </w:rPr>
        <w:t xml:space="preserve"> </w:t>
      </w:r>
      <w:r>
        <w:rPr>
          <w:color w:val="221F1F"/>
        </w:rPr>
        <w:t>an</w:t>
      </w:r>
      <w:r>
        <w:rPr>
          <w:color w:val="221F1F"/>
          <w:spacing w:val="-2"/>
        </w:rPr>
        <w:t xml:space="preserve"> </w:t>
      </w:r>
      <w:r>
        <w:rPr>
          <w:color w:val="221F1F"/>
        </w:rPr>
        <w:t>amount certified</w:t>
      </w:r>
      <w:r>
        <w:rPr>
          <w:color w:val="221F1F"/>
          <w:spacing w:val="-2"/>
        </w:rPr>
        <w:t xml:space="preserve"> </w:t>
      </w:r>
      <w:r>
        <w:rPr>
          <w:color w:val="221F1F"/>
        </w:rPr>
        <w:t>in</w:t>
      </w:r>
      <w:r>
        <w:rPr>
          <w:color w:val="221F1F"/>
          <w:spacing w:val="-2"/>
        </w:rPr>
        <w:t xml:space="preserve"> </w:t>
      </w:r>
      <w:r>
        <w:rPr>
          <w:color w:val="221F1F"/>
        </w:rPr>
        <w:t>a Payment Certificate, or to otherwise claim against the Contractor, in accordance with this Sub-Clause.</w:t>
      </w:r>
    </w:p>
    <w:p w:rsidR="007F6DF9" w:rsidRDefault="00A43FBC">
      <w:pPr>
        <w:pStyle w:val="Heading9"/>
        <w:numPr>
          <w:ilvl w:val="1"/>
          <w:numId w:val="122"/>
        </w:numPr>
        <w:tabs>
          <w:tab w:val="left" w:pos="1431"/>
        </w:tabs>
        <w:spacing w:before="237"/>
        <w:ind w:left="1431" w:hanging="720"/>
        <w:rPr>
          <w:color w:val="221F1F"/>
        </w:rPr>
      </w:pPr>
      <w:r>
        <w:rPr>
          <w:color w:val="221F1F"/>
        </w:rPr>
        <w:t>Amicable</w:t>
      </w:r>
      <w:r>
        <w:rPr>
          <w:color w:val="221F1F"/>
          <w:spacing w:val="-4"/>
        </w:rPr>
        <w:t xml:space="preserve"> </w:t>
      </w:r>
      <w:r>
        <w:rPr>
          <w:color w:val="221F1F"/>
          <w:spacing w:val="-2"/>
        </w:rPr>
        <w:t>Settlement</w:t>
      </w:r>
    </w:p>
    <w:p w:rsidR="007F6DF9" w:rsidRDefault="00A43FBC">
      <w:pPr>
        <w:pStyle w:val="BodyText"/>
        <w:spacing w:before="243" w:line="230" w:lineRule="auto"/>
        <w:ind w:left="1436" w:right="563" w:hanging="5"/>
        <w:jc w:val="both"/>
      </w:pPr>
      <w:r>
        <w:rPr>
          <w:color w:val="221F1F"/>
        </w:rPr>
        <w:t>Where</w:t>
      </w:r>
      <w:r>
        <w:rPr>
          <w:color w:val="221F1F"/>
          <w:spacing w:val="-4"/>
        </w:rPr>
        <w:t xml:space="preserve"> </w:t>
      </w:r>
      <w:r>
        <w:rPr>
          <w:color w:val="221F1F"/>
        </w:rPr>
        <w:t>a</w:t>
      </w:r>
      <w:r>
        <w:rPr>
          <w:color w:val="221F1F"/>
          <w:spacing w:val="-4"/>
        </w:rPr>
        <w:t xml:space="preserve"> </w:t>
      </w:r>
      <w:r>
        <w:rPr>
          <w:color w:val="221F1F"/>
        </w:rPr>
        <w:t>notice</w:t>
      </w:r>
      <w:r>
        <w:rPr>
          <w:color w:val="221F1F"/>
          <w:spacing w:val="-4"/>
        </w:rPr>
        <w:t xml:space="preserve"> </w:t>
      </w:r>
      <w:r>
        <w:rPr>
          <w:color w:val="221F1F"/>
        </w:rPr>
        <w:t>of</w:t>
      </w:r>
      <w:r>
        <w:rPr>
          <w:color w:val="221F1F"/>
          <w:spacing w:val="-4"/>
        </w:rPr>
        <w:t xml:space="preserve"> </w:t>
      </w:r>
      <w:r>
        <w:rPr>
          <w:color w:val="221F1F"/>
        </w:rPr>
        <w:t>a</w:t>
      </w:r>
      <w:r>
        <w:rPr>
          <w:color w:val="221F1F"/>
          <w:spacing w:val="-4"/>
        </w:rPr>
        <w:t xml:space="preserve"> </w:t>
      </w:r>
      <w:r>
        <w:rPr>
          <w:color w:val="221F1F"/>
        </w:rPr>
        <w:t>claim</w:t>
      </w:r>
      <w:r>
        <w:rPr>
          <w:color w:val="221F1F"/>
          <w:spacing w:val="-5"/>
        </w:rPr>
        <w:t xml:space="preserve"> </w:t>
      </w:r>
      <w:r>
        <w:rPr>
          <w:color w:val="221F1F"/>
        </w:rPr>
        <w:t>has</w:t>
      </w:r>
      <w:r>
        <w:rPr>
          <w:color w:val="221F1F"/>
          <w:spacing w:val="-4"/>
        </w:rPr>
        <w:t xml:space="preserve"> </w:t>
      </w:r>
      <w:r>
        <w:rPr>
          <w:color w:val="221F1F"/>
        </w:rPr>
        <w:t>been</w:t>
      </w:r>
      <w:r>
        <w:rPr>
          <w:color w:val="221F1F"/>
          <w:spacing w:val="-5"/>
        </w:rPr>
        <w:t xml:space="preserve"> </w:t>
      </w:r>
      <w:r>
        <w:rPr>
          <w:color w:val="221F1F"/>
        </w:rPr>
        <w:t>given,</w:t>
      </w:r>
      <w:r>
        <w:rPr>
          <w:color w:val="221F1F"/>
          <w:spacing w:val="-4"/>
        </w:rPr>
        <w:t xml:space="preserve"> </w:t>
      </w:r>
      <w:r>
        <w:rPr>
          <w:color w:val="221F1F"/>
        </w:rPr>
        <w:t>both</w:t>
      </w:r>
      <w:r>
        <w:rPr>
          <w:color w:val="221F1F"/>
          <w:spacing w:val="-4"/>
        </w:rPr>
        <w:t xml:space="preserve"> </w:t>
      </w:r>
      <w:r>
        <w:rPr>
          <w:color w:val="221F1F"/>
        </w:rPr>
        <w:t>Parties</w:t>
      </w:r>
      <w:r>
        <w:rPr>
          <w:color w:val="221F1F"/>
          <w:spacing w:val="-6"/>
        </w:rPr>
        <w:t xml:space="preserve"> </w:t>
      </w:r>
      <w:r>
        <w:rPr>
          <w:color w:val="221F1F"/>
        </w:rPr>
        <w:t>shall</w:t>
      </w:r>
      <w:r>
        <w:rPr>
          <w:color w:val="221F1F"/>
          <w:spacing w:val="-3"/>
        </w:rPr>
        <w:t xml:space="preserve"> </w:t>
      </w:r>
      <w:r>
        <w:rPr>
          <w:color w:val="221F1F"/>
        </w:rPr>
        <w:t>attempt</w:t>
      </w:r>
      <w:r>
        <w:rPr>
          <w:color w:val="221F1F"/>
          <w:spacing w:val="-3"/>
        </w:rPr>
        <w:t xml:space="preserve"> </w:t>
      </w:r>
      <w:r>
        <w:rPr>
          <w:color w:val="221F1F"/>
        </w:rPr>
        <w:t>to</w:t>
      </w:r>
      <w:r>
        <w:rPr>
          <w:color w:val="221F1F"/>
          <w:spacing w:val="-5"/>
        </w:rPr>
        <w:t xml:space="preserve"> </w:t>
      </w:r>
      <w:r>
        <w:rPr>
          <w:color w:val="221F1F"/>
        </w:rPr>
        <w:t>settle</w:t>
      </w:r>
      <w:r>
        <w:rPr>
          <w:color w:val="221F1F"/>
          <w:spacing w:val="-6"/>
        </w:rPr>
        <w:t xml:space="preserve"> </w:t>
      </w:r>
      <w:r>
        <w:rPr>
          <w:color w:val="221F1F"/>
        </w:rPr>
        <w:t>the</w:t>
      </w:r>
      <w:r>
        <w:rPr>
          <w:color w:val="221F1F"/>
          <w:spacing w:val="-4"/>
        </w:rPr>
        <w:t xml:space="preserve"> </w:t>
      </w:r>
      <w:r>
        <w:rPr>
          <w:color w:val="221F1F"/>
        </w:rPr>
        <w:t>dispute</w:t>
      </w:r>
      <w:r>
        <w:rPr>
          <w:color w:val="221F1F"/>
          <w:spacing w:val="-6"/>
        </w:rPr>
        <w:t xml:space="preserve"> </w:t>
      </w:r>
      <w:r>
        <w:rPr>
          <w:color w:val="221F1F"/>
        </w:rPr>
        <w:t>amicably</w:t>
      </w:r>
      <w:r>
        <w:rPr>
          <w:color w:val="221F1F"/>
          <w:spacing w:val="-4"/>
        </w:rPr>
        <w:t xml:space="preserve"> </w:t>
      </w:r>
      <w:r>
        <w:rPr>
          <w:color w:val="221F1F"/>
        </w:rPr>
        <w:t>before</w:t>
      </w:r>
      <w:r>
        <w:rPr>
          <w:color w:val="221F1F"/>
          <w:spacing w:val="-7"/>
        </w:rPr>
        <w:t xml:space="preserve"> </w:t>
      </w:r>
      <w:r>
        <w:rPr>
          <w:color w:val="221F1F"/>
        </w:rPr>
        <w:t xml:space="preserve">the commencement of arbitration. However, unless both Parties agree otherwise, the Party giving a notice of a claim in accordance with Sub-Clause 20.1 above should move to commence </w:t>
      </w:r>
      <w:proofErr w:type="spellStart"/>
      <w:r>
        <w:rPr>
          <w:color w:val="221F1F"/>
        </w:rPr>
        <w:t>arbitrationa</w:t>
      </w:r>
      <w:proofErr w:type="spellEnd"/>
      <w:r>
        <w:rPr>
          <w:color w:val="221F1F"/>
        </w:rPr>
        <w:t xml:space="preserve"> </w:t>
      </w:r>
      <w:proofErr w:type="spellStart"/>
      <w:r>
        <w:rPr>
          <w:color w:val="221F1F"/>
        </w:rPr>
        <w:t>fter</w:t>
      </w:r>
      <w:proofErr w:type="spellEnd"/>
      <w:r>
        <w:rPr>
          <w:color w:val="221F1F"/>
        </w:rPr>
        <w:t xml:space="preserve"> 60 days from the</w:t>
      </w:r>
      <w:r>
        <w:rPr>
          <w:color w:val="221F1F"/>
          <w:spacing w:val="-3"/>
        </w:rPr>
        <w:t xml:space="preserve"> </w:t>
      </w:r>
      <w:r>
        <w:rPr>
          <w:color w:val="221F1F"/>
        </w:rPr>
        <w:t>day</w:t>
      </w:r>
      <w:r>
        <w:rPr>
          <w:color w:val="221F1F"/>
          <w:spacing w:val="-4"/>
        </w:rPr>
        <w:t xml:space="preserve"> </w:t>
      </w:r>
      <w:r>
        <w:rPr>
          <w:color w:val="221F1F"/>
        </w:rPr>
        <w:t>on</w:t>
      </w:r>
      <w:r>
        <w:rPr>
          <w:color w:val="221F1F"/>
          <w:spacing w:val="-4"/>
        </w:rPr>
        <w:t xml:space="preserve"> </w:t>
      </w:r>
      <w:r>
        <w:rPr>
          <w:color w:val="221F1F"/>
        </w:rPr>
        <w:t>which</w:t>
      </w:r>
      <w:r>
        <w:rPr>
          <w:color w:val="221F1F"/>
          <w:spacing w:val="-3"/>
        </w:rPr>
        <w:t xml:space="preserve"> </w:t>
      </w:r>
      <w:r>
        <w:rPr>
          <w:color w:val="221F1F"/>
        </w:rPr>
        <w:t>a</w:t>
      </w:r>
      <w:r>
        <w:rPr>
          <w:color w:val="221F1F"/>
          <w:spacing w:val="-3"/>
        </w:rPr>
        <w:t xml:space="preserve"> </w:t>
      </w:r>
      <w:r>
        <w:rPr>
          <w:color w:val="221F1F"/>
        </w:rPr>
        <w:t>notice</w:t>
      </w:r>
      <w:r>
        <w:rPr>
          <w:color w:val="221F1F"/>
          <w:spacing w:val="-2"/>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claim</w:t>
      </w:r>
      <w:r>
        <w:rPr>
          <w:color w:val="221F1F"/>
          <w:spacing w:val="-2"/>
        </w:rPr>
        <w:t xml:space="preserve"> </w:t>
      </w:r>
      <w:r>
        <w:rPr>
          <w:color w:val="221F1F"/>
        </w:rPr>
        <w:t>was</w:t>
      </w:r>
      <w:r>
        <w:rPr>
          <w:color w:val="221F1F"/>
          <w:spacing w:val="-3"/>
        </w:rPr>
        <w:t xml:space="preserve"> </w:t>
      </w:r>
      <w:r>
        <w:rPr>
          <w:color w:val="221F1F"/>
        </w:rPr>
        <w:t>given,</w:t>
      </w:r>
      <w:r>
        <w:rPr>
          <w:color w:val="221F1F"/>
          <w:spacing w:val="-4"/>
        </w:rPr>
        <w:t xml:space="preserve"> </w:t>
      </w:r>
      <w:r>
        <w:rPr>
          <w:color w:val="221F1F"/>
        </w:rPr>
        <w:t>even</w:t>
      </w:r>
      <w:r>
        <w:rPr>
          <w:color w:val="221F1F"/>
          <w:spacing w:val="-5"/>
        </w:rPr>
        <w:t xml:space="preserve"> </w:t>
      </w:r>
      <w:r>
        <w:rPr>
          <w:color w:val="221F1F"/>
        </w:rPr>
        <w:t>if</w:t>
      </w:r>
      <w:r>
        <w:rPr>
          <w:color w:val="221F1F"/>
          <w:spacing w:val="-5"/>
        </w:rPr>
        <w:t xml:space="preserve"> </w:t>
      </w:r>
      <w:r>
        <w:rPr>
          <w:color w:val="221F1F"/>
        </w:rPr>
        <w:t>no</w:t>
      </w:r>
      <w:r>
        <w:rPr>
          <w:color w:val="221F1F"/>
          <w:spacing w:val="-4"/>
        </w:rPr>
        <w:t xml:space="preserve"> </w:t>
      </w:r>
      <w:r>
        <w:rPr>
          <w:color w:val="221F1F"/>
        </w:rPr>
        <w:t>attempt</w:t>
      </w:r>
      <w:r>
        <w:rPr>
          <w:color w:val="221F1F"/>
          <w:spacing w:val="-2"/>
        </w:rPr>
        <w:t xml:space="preserve"> </w:t>
      </w:r>
      <w:r>
        <w:rPr>
          <w:color w:val="221F1F"/>
        </w:rPr>
        <w:t>at</w:t>
      </w:r>
      <w:r>
        <w:rPr>
          <w:color w:val="221F1F"/>
          <w:spacing w:val="-3"/>
        </w:rPr>
        <w:t xml:space="preserve"> </w:t>
      </w:r>
      <w:r>
        <w:rPr>
          <w:color w:val="221F1F"/>
        </w:rPr>
        <w:t>an</w:t>
      </w:r>
      <w:r>
        <w:rPr>
          <w:color w:val="221F1F"/>
          <w:spacing w:val="-6"/>
        </w:rPr>
        <w:t xml:space="preserve"> </w:t>
      </w:r>
      <w:r>
        <w:rPr>
          <w:color w:val="221F1F"/>
        </w:rPr>
        <w:t>amicable</w:t>
      </w:r>
      <w:r>
        <w:rPr>
          <w:color w:val="221F1F"/>
          <w:spacing w:val="-5"/>
        </w:rPr>
        <w:t xml:space="preserve"> </w:t>
      </w:r>
      <w:r>
        <w:rPr>
          <w:color w:val="221F1F"/>
        </w:rPr>
        <w:t>settlement</w:t>
      </w:r>
      <w:r>
        <w:rPr>
          <w:color w:val="221F1F"/>
          <w:spacing w:val="-1"/>
        </w:rPr>
        <w:t xml:space="preserve"> </w:t>
      </w:r>
      <w:r>
        <w:rPr>
          <w:color w:val="221F1F"/>
        </w:rPr>
        <w:t>has</w:t>
      </w:r>
      <w:r>
        <w:rPr>
          <w:color w:val="221F1F"/>
          <w:spacing w:val="-3"/>
        </w:rPr>
        <w:t xml:space="preserve"> </w:t>
      </w:r>
      <w:r>
        <w:rPr>
          <w:color w:val="221F1F"/>
        </w:rPr>
        <w:t>been</w:t>
      </w:r>
      <w:r>
        <w:rPr>
          <w:color w:val="221F1F"/>
          <w:spacing w:val="-6"/>
        </w:rPr>
        <w:t xml:space="preserve"> </w:t>
      </w:r>
      <w:r>
        <w:rPr>
          <w:color w:val="221F1F"/>
        </w:rPr>
        <w:t>made.</w:t>
      </w:r>
    </w:p>
    <w:p w:rsidR="007F6DF9" w:rsidRDefault="00A43FBC">
      <w:pPr>
        <w:pStyle w:val="Heading9"/>
        <w:numPr>
          <w:ilvl w:val="1"/>
          <w:numId w:val="122"/>
        </w:numPr>
        <w:tabs>
          <w:tab w:val="left" w:pos="1431"/>
        </w:tabs>
        <w:spacing w:before="237"/>
        <w:ind w:left="1431" w:hanging="720"/>
        <w:rPr>
          <w:color w:val="221F1F"/>
        </w:rPr>
      </w:pPr>
      <w:r>
        <w:rPr>
          <w:color w:val="221F1F"/>
        </w:rPr>
        <w:t>Matters</w:t>
      </w:r>
      <w:r>
        <w:rPr>
          <w:color w:val="221F1F"/>
          <w:spacing w:val="-3"/>
        </w:rPr>
        <w:t xml:space="preserve"> </w:t>
      </w:r>
      <w:r>
        <w:rPr>
          <w:color w:val="221F1F"/>
        </w:rPr>
        <w:t>that</w:t>
      </w:r>
      <w:r>
        <w:rPr>
          <w:color w:val="221F1F"/>
          <w:spacing w:val="-1"/>
        </w:rPr>
        <w:t xml:space="preserve"> </w:t>
      </w:r>
      <w:r>
        <w:rPr>
          <w:color w:val="221F1F"/>
        </w:rPr>
        <w:t>may</w:t>
      </w:r>
      <w:r>
        <w:rPr>
          <w:color w:val="221F1F"/>
          <w:spacing w:val="-3"/>
        </w:rPr>
        <w:t xml:space="preserve"> </w:t>
      </w:r>
      <w:r>
        <w:rPr>
          <w:color w:val="221F1F"/>
        </w:rPr>
        <w:t>be</w:t>
      </w:r>
      <w:r>
        <w:rPr>
          <w:color w:val="221F1F"/>
          <w:spacing w:val="-4"/>
        </w:rPr>
        <w:t xml:space="preserve"> </w:t>
      </w:r>
      <w:r>
        <w:rPr>
          <w:color w:val="221F1F"/>
        </w:rPr>
        <w:t>referred</w:t>
      </w:r>
      <w:r>
        <w:rPr>
          <w:color w:val="221F1F"/>
          <w:spacing w:val="-1"/>
        </w:rPr>
        <w:t xml:space="preserve"> </w:t>
      </w:r>
      <w:r>
        <w:rPr>
          <w:color w:val="221F1F"/>
        </w:rPr>
        <w:t>to</w:t>
      </w:r>
      <w:r>
        <w:rPr>
          <w:color w:val="221F1F"/>
          <w:spacing w:val="-5"/>
        </w:rPr>
        <w:t xml:space="preserve"> </w:t>
      </w:r>
      <w:r>
        <w:rPr>
          <w:color w:val="221F1F"/>
          <w:spacing w:val="-2"/>
        </w:rPr>
        <w:t>arbitration</w:t>
      </w:r>
    </w:p>
    <w:p w:rsidR="007F6DF9" w:rsidRDefault="00A43FBC">
      <w:pPr>
        <w:pStyle w:val="BodyText"/>
        <w:spacing w:before="243" w:line="230" w:lineRule="auto"/>
        <w:ind w:left="1436" w:right="575" w:hanging="5"/>
      </w:pPr>
      <w:r>
        <w:rPr>
          <w:color w:val="221F1F"/>
        </w:rPr>
        <w:t>Notwithstanding anything stated herein the following matters may be referred to arbitration before the practical</w:t>
      </w:r>
      <w:r>
        <w:rPr>
          <w:color w:val="221F1F"/>
          <w:spacing w:val="-5"/>
        </w:rPr>
        <w:t xml:space="preserve"> </w:t>
      </w:r>
      <w:r>
        <w:rPr>
          <w:color w:val="221F1F"/>
        </w:rPr>
        <w:t>completion</w:t>
      </w:r>
      <w:r>
        <w:rPr>
          <w:color w:val="221F1F"/>
          <w:spacing w:val="-4"/>
        </w:rPr>
        <w:t xml:space="preserve"> </w:t>
      </w:r>
      <w:r>
        <w:rPr>
          <w:color w:val="221F1F"/>
        </w:rPr>
        <w:t>of</w:t>
      </w:r>
      <w:r>
        <w:rPr>
          <w:color w:val="221F1F"/>
          <w:spacing w:val="-3"/>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or</w:t>
      </w:r>
      <w:r>
        <w:rPr>
          <w:color w:val="221F1F"/>
          <w:spacing w:val="-3"/>
        </w:rPr>
        <w:t xml:space="preserve"> </w:t>
      </w:r>
      <w:r>
        <w:rPr>
          <w:color w:val="221F1F"/>
        </w:rPr>
        <w:t>abandonment</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or</w:t>
      </w:r>
      <w:r>
        <w:rPr>
          <w:color w:val="221F1F"/>
          <w:spacing w:val="-3"/>
        </w:rPr>
        <w:t xml:space="preserve"> </w:t>
      </w:r>
      <w:r>
        <w:rPr>
          <w:color w:val="221F1F"/>
        </w:rPr>
        <w:t>termination</w:t>
      </w:r>
      <w:r>
        <w:rPr>
          <w:color w:val="221F1F"/>
          <w:spacing w:val="-6"/>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5"/>
        </w:rPr>
        <w:t xml:space="preserve"> </w:t>
      </w:r>
      <w:r>
        <w:rPr>
          <w:color w:val="221F1F"/>
        </w:rPr>
        <w:t>by</w:t>
      </w:r>
      <w:r>
        <w:rPr>
          <w:color w:val="221F1F"/>
          <w:spacing w:val="-4"/>
        </w:rPr>
        <w:t xml:space="preserve"> </w:t>
      </w:r>
      <w:r>
        <w:rPr>
          <w:color w:val="221F1F"/>
        </w:rPr>
        <w:t xml:space="preserve">either </w:t>
      </w:r>
      <w:r>
        <w:rPr>
          <w:color w:val="221F1F"/>
          <w:spacing w:val="-2"/>
        </w:rPr>
        <w:t>party:</w:t>
      </w:r>
    </w:p>
    <w:p w:rsidR="007F6DF9" w:rsidRDefault="00A43FBC">
      <w:pPr>
        <w:pStyle w:val="ListParagraph"/>
        <w:numPr>
          <w:ilvl w:val="0"/>
          <w:numId w:val="24"/>
        </w:numPr>
        <w:tabs>
          <w:tab w:val="left" w:pos="1875"/>
        </w:tabs>
        <w:spacing w:line="251" w:lineRule="exact"/>
      </w:pPr>
      <w:r>
        <w:rPr>
          <w:color w:val="221F1F"/>
        </w:rPr>
        <w:t>Whether</w:t>
      </w:r>
      <w:r>
        <w:rPr>
          <w:color w:val="221F1F"/>
          <w:spacing w:val="-4"/>
        </w:rPr>
        <w:t xml:space="preserve"> </w:t>
      </w:r>
      <w:r>
        <w:rPr>
          <w:color w:val="221F1F"/>
        </w:rPr>
        <w:t>or</w:t>
      </w:r>
      <w:r>
        <w:rPr>
          <w:color w:val="221F1F"/>
          <w:spacing w:val="-1"/>
        </w:rPr>
        <w:t xml:space="preserve"> </w:t>
      </w:r>
      <w:r>
        <w:rPr>
          <w:color w:val="221F1F"/>
        </w:rPr>
        <w:t>not</w:t>
      </w:r>
      <w:r>
        <w:rPr>
          <w:color w:val="221F1F"/>
          <w:spacing w:val="-4"/>
        </w:rPr>
        <w:t xml:space="preserve"> </w:t>
      </w:r>
      <w:r>
        <w:rPr>
          <w:color w:val="221F1F"/>
        </w:rPr>
        <w:t>the</w:t>
      </w:r>
      <w:r>
        <w:rPr>
          <w:color w:val="221F1F"/>
          <w:spacing w:val="-5"/>
        </w:rPr>
        <w:t xml:space="preserve"> </w:t>
      </w:r>
      <w:r>
        <w:rPr>
          <w:color w:val="221F1F"/>
        </w:rPr>
        <w:t>issue</w:t>
      </w:r>
      <w:r>
        <w:rPr>
          <w:color w:val="221F1F"/>
          <w:spacing w:val="-2"/>
        </w:rPr>
        <w:t xml:space="preserve"> </w:t>
      </w:r>
      <w:r>
        <w:rPr>
          <w:color w:val="221F1F"/>
        </w:rPr>
        <w:t>of</w:t>
      </w:r>
      <w:r>
        <w:rPr>
          <w:color w:val="221F1F"/>
          <w:spacing w:val="-4"/>
        </w:rPr>
        <w:t xml:space="preserve"> </w:t>
      </w:r>
      <w:r>
        <w:rPr>
          <w:color w:val="221F1F"/>
        </w:rPr>
        <w:t>an</w:t>
      </w:r>
      <w:r>
        <w:rPr>
          <w:color w:val="221F1F"/>
          <w:spacing w:val="-2"/>
        </w:rPr>
        <w:t xml:space="preserve"> </w:t>
      </w:r>
      <w:r>
        <w:rPr>
          <w:color w:val="221F1F"/>
        </w:rPr>
        <w:t>instruction</w:t>
      </w:r>
      <w:r>
        <w:rPr>
          <w:color w:val="221F1F"/>
          <w:spacing w:val="-5"/>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Architect</w:t>
      </w:r>
      <w:r>
        <w:rPr>
          <w:color w:val="221F1F"/>
          <w:spacing w:val="-3"/>
        </w:rPr>
        <w:t xml:space="preserve"> </w:t>
      </w:r>
      <w:r>
        <w:rPr>
          <w:color w:val="221F1F"/>
        </w:rPr>
        <w:t>is</w:t>
      </w:r>
      <w:r>
        <w:rPr>
          <w:color w:val="221F1F"/>
          <w:spacing w:val="-3"/>
        </w:rPr>
        <w:t xml:space="preserve"> </w:t>
      </w:r>
      <w:r>
        <w:rPr>
          <w:color w:val="221F1F"/>
        </w:rPr>
        <w:t>empowered</w:t>
      </w:r>
      <w:r>
        <w:rPr>
          <w:color w:val="221F1F"/>
          <w:spacing w:val="-2"/>
        </w:rPr>
        <w:t xml:space="preserve"> </w:t>
      </w:r>
      <w:r>
        <w:rPr>
          <w:color w:val="221F1F"/>
        </w:rPr>
        <w:t>by</w:t>
      </w:r>
      <w:r>
        <w:rPr>
          <w:color w:val="221F1F"/>
          <w:spacing w:val="-5"/>
        </w:rPr>
        <w:t xml:space="preserve"> </w:t>
      </w:r>
      <w:r>
        <w:rPr>
          <w:color w:val="221F1F"/>
        </w:rPr>
        <w:t>these</w:t>
      </w:r>
      <w:r>
        <w:rPr>
          <w:color w:val="221F1F"/>
          <w:spacing w:val="-4"/>
        </w:rPr>
        <w:t xml:space="preserve"> </w:t>
      </w:r>
      <w:r>
        <w:rPr>
          <w:color w:val="221F1F"/>
          <w:spacing w:val="-2"/>
        </w:rPr>
        <w:t>Conditions.</w:t>
      </w:r>
    </w:p>
    <w:p w:rsidR="007F6DF9" w:rsidRDefault="00A43FBC">
      <w:pPr>
        <w:pStyle w:val="ListParagraph"/>
        <w:numPr>
          <w:ilvl w:val="0"/>
          <w:numId w:val="24"/>
        </w:numPr>
        <w:tabs>
          <w:tab w:val="left" w:pos="1875"/>
        </w:tabs>
        <w:spacing w:before="1" w:line="252" w:lineRule="exact"/>
      </w:pPr>
      <w:r>
        <w:rPr>
          <w:color w:val="221F1F"/>
        </w:rPr>
        <w:t>Whether</w:t>
      </w:r>
      <w:r>
        <w:rPr>
          <w:color w:val="221F1F"/>
          <w:spacing w:val="-5"/>
        </w:rPr>
        <w:t xml:space="preserve"> </w:t>
      </w:r>
      <w:r>
        <w:rPr>
          <w:color w:val="221F1F"/>
        </w:rPr>
        <w:t>or</w:t>
      </w:r>
      <w:r>
        <w:rPr>
          <w:color w:val="221F1F"/>
          <w:spacing w:val="-2"/>
        </w:rPr>
        <w:t xml:space="preserve"> </w:t>
      </w:r>
      <w:r>
        <w:rPr>
          <w:color w:val="221F1F"/>
        </w:rPr>
        <w:t>not</w:t>
      </w:r>
      <w:r>
        <w:rPr>
          <w:color w:val="221F1F"/>
          <w:spacing w:val="-3"/>
        </w:rPr>
        <w:t xml:space="preserve"> </w:t>
      </w:r>
      <w:r>
        <w:rPr>
          <w:color w:val="221F1F"/>
        </w:rPr>
        <w:t>a</w:t>
      </w:r>
      <w:r>
        <w:rPr>
          <w:color w:val="221F1F"/>
          <w:spacing w:val="-5"/>
        </w:rPr>
        <w:t xml:space="preserve"> </w:t>
      </w:r>
      <w:r>
        <w:rPr>
          <w:color w:val="221F1F"/>
        </w:rPr>
        <w:t>certificate</w:t>
      </w:r>
      <w:r>
        <w:rPr>
          <w:color w:val="221F1F"/>
          <w:spacing w:val="-4"/>
        </w:rPr>
        <w:t xml:space="preserve"> </w:t>
      </w:r>
      <w:r>
        <w:rPr>
          <w:color w:val="221F1F"/>
        </w:rPr>
        <w:t>has</w:t>
      </w:r>
      <w:r>
        <w:rPr>
          <w:color w:val="221F1F"/>
          <w:spacing w:val="-3"/>
        </w:rPr>
        <w:t xml:space="preserve"> </w:t>
      </w:r>
      <w:r>
        <w:rPr>
          <w:color w:val="221F1F"/>
        </w:rPr>
        <w:t>been</w:t>
      </w:r>
      <w:r>
        <w:rPr>
          <w:color w:val="221F1F"/>
          <w:spacing w:val="-5"/>
        </w:rPr>
        <w:t xml:space="preserve"> </w:t>
      </w:r>
      <w:r>
        <w:rPr>
          <w:color w:val="221F1F"/>
        </w:rPr>
        <w:t>improperly</w:t>
      </w:r>
      <w:r>
        <w:rPr>
          <w:color w:val="221F1F"/>
          <w:spacing w:val="-3"/>
        </w:rPr>
        <w:t xml:space="preserve"> </w:t>
      </w:r>
      <w:r>
        <w:rPr>
          <w:color w:val="221F1F"/>
        </w:rPr>
        <w:t>withheld</w:t>
      </w:r>
      <w:r>
        <w:rPr>
          <w:color w:val="221F1F"/>
          <w:spacing w:val="-3"/>
        </w:rPr>
        <w:t xml:space="preserve"> </w:t>
      </w:r>
      <w:r>
        <w:rPr>
          <w:color w:val="221F1F"/>
        </w:rPr>
        <w:t>or</w:t>
      </w:r>
      <w:r>
        <w:rPr>
          <w:color w:val="221F1F"/>
          <w:spacing w:val="-3"/>
        </w:rPr>
        <w:t xml:space="preserve"> </w:t>
      </w:r>
      <w:r>
        <w:rPr>
          <w:color w:val="221F1F"/>
        </w:rPr>
        <w:t>is</w:t>
      </w:r>
      <w:r>
        <w:rPr>
          <w:color w:val="221F1F"/>
          <w:spacing w:val="-3"/>
        </w:rPr>
        <w:t xml:space="preserve"> </w:t>
      </w:r>
      <w:r>
        <w:rPr>
          <w:color w:val="221F1F"/>
        </w:rPr>
        <w:t>not</w:t>
      </w:r>
      <w:r>
        <w:rPr>
          <w:color w:val="221F1F"/>
          <w:spacing w:val="-2"/>
        </w:rPr>
        <w:t xml:space="preserve"> </w:t>
      </w:r>
      <w:r>
        <w:rPr>
          <w:color w:val="221F1F"/>
        </w:rPr>
        <w:t>in</w:t>
      </w:r>
      <w:r>
        <w:rPr>
          <w:color w:val="221F1F"/>
          <w:spacing w:val="-7"/>
        </w:rPr>
        <w:t xml:space="preserve"> </w:t>
      </w:r>
      <w:r>
        <w:rPr>
          <w:color w:val="221F1F"/>
        </w:rPr>
        <w:t>accordance</w:t>
      </w:r>
      <w:r>
        <w:rPr>
          <w:color w:val="221F1F"/>
          <w:spacing w:val="-4"/>
        </w:rPr>
        <w:t xml:space="preserve"> </w:t>
      </w:r>
      <w:r>
        <w:rPr>
          <w:color w:val="221F1F"/>
        </w:rPr>
        <w:t>with</w:t>
      </w:r>
      <w:r>
        <w:rPr>
          <w:color w:val="221F1F"/>
          <w:spacing w:val="-5"/>
        </w:rPr>
        <w:t xml:space="preserve"> </w:t>
      </w:r>
      <w:r>
        <w:rPr>
          <w:color w:val="221F1F"/>
        </w:rPr>
        <w:t>these</w:t>
      </w:r>
      <w:r>
        <w:rPr>
          <w:color w:val="221F1F"/>
          <w:spacing w:val="-4"/>
        </w:rPr>
        <w:t xml:space="preserve"> </w:t>
      </w:r>
      <w:r>
        <w:rPr>
          <w:color w:val="221F1F"/>
          <w:spacing w:val="-2"/>
        </w:rPr>
        <w:t>Conditions.</w:t>
      </w:r>
    </w:p>
    <w:p w:rsidR="007F6DF9" w:rsidRDefault="00A43FBC">
      <w:pPr>
        <w:pStyle w:val="ListParagraph"/>
        <w:numPr>
          <w:ilvl w:val="0"/>
          <w:numId w:val="24"/>
        </w:numPr>
        <w:tabs>
          <w:tab w:val="left" w:pos="1875"/>
        </w:tabs>
        <w:spacing w:line="248" w:lineRule="exact"/>
      </w:pPr>
      <w:r>
        <w:rPr>
          <w:color w:val="221F1F"/>
        </w:rPr>
        <w:t>Any</w:t>
      </w:r>
      <w:r>
        <w:rPr>
          <w:color w:val="221F1F"/>
          <w:spacing w:val="-3"/>
        </w:rPr>
        <w:t xml:space="preserve"> </w:t>
      </w:r>
      <w:r>
        <w:rPr>
          <w:color w:val="221F1F"/>
        </w:rPr>
        <w:t>dispute</w:t>
      </w:r>
      <w:r>
        <w:rPr>
          <w:color w:val="221F1F"/>
          <w:spacing w:val="-5"/>
        </w:rPr>
        <w:t xml:space="preserve"> </w:t>
      </w:r>
      <w:r>
        <w:rPr>
          <w:color w:val="221F1F"/>
        </w:rPr>
        <w:t>arising</w:t>
      </w:r>
      <w:r>
        <w:rPr>
          <w:color w:val="221F1F"/>
          <w:spacing w:val="-5"/>
        </w:rPr>
        <w:t xml:space="preserve"> </w:t>
      </w:r>
      <w:r>
        <w:rPr>
          <w:color w:val="221F1F"/>
        </w:rPr>
        <w:t>in</w:t>
      </w:r>
      <w:r>
        <w:rPr>
          <w:color w:val="221F1F"/>
          <w:spacing w:val="-3"/>
        </w:rPr>
        <w:t xml:space="preserve"> </w:t>
      </w:r>
      <w:r>
        <w:rPr>
          <w:color w:val="221F1F"/>
        </w:rPr>
        <w:t>respect</w:t>
      </w:r>
      <w:r>
        <w:rPr>
          <w:color w:val="221F1F"/>
          <w:spacing w:val="-4"/>
        </w:rPr>
        <w:t xml:space="preserve"> </w:t>
      </w:r>
      <w:r>
        <w:rPr>
          <w:color w:val="221F1F"/>
        </w:rPr>
        <w:t>risks</w:t>
      </w:r>
      <w:r>
        <w:rPr>
          <w:color w:val="221F1F"/>
          <w:spacing w:val="-2"/>
        </w:rPr>
        <w:t xml:space="preserve"> </w:t>
      </w:r>
      <w:r>
        <w:rPr>
          <w:color w:val="221F1F"/>
        </w:rPr>
        <w:t>arising</w:t>
      </w:r>
      <w:r>
        <w:rPr>
          <w:color w:val="221F1F"/>
          <w:spacing w:val="-3"/>
        </w:rPr>
        <w:t xml:space="preserve"> </w:t>
      </w:r>
      <w:r>
        <w:rPr>
          <w:color w:val="221F1F"/>
        </w:rPr>
        <w:t>from</w:t>
      </w:r>
      <w:r>
        <w:rPr>
          <w:color w:val="221F1F"/>
          <w:spacing w:val="-2"/>
        </w:rPr>
        <w:t xml:space="preserve"> </w:t>
      </w:r>
      <w:r>
        <w:rPr>
          <w:color w:val="221F1F"/>
        </w:rPr>
        <w:t>matters</w:t>
      </w:r>
      <w:r>
        <w:rPr>
          <w:color w:val="221F1F"/>
          <w:spacing w:val="-3"/>
        </w:rPr>
        <w:t xml:space="preserve"> </w:t>
      </w:r>
      <w:r>
        <w:rPr>
          <w:color w:val="221F1F"/>
        </w:rPr>
        <w:t>referred</w:t>
      </w:r>
      <w:r>
        <w:rPr>
          <w:color w:val="221F1F"/>
          <w:spacing w:val="-2"/>
        </w:rPr>
        <w:t xml:space="preserve"> </w:t>
      </w:r>
      <w:r>
        <w:rPr>
          <w:color w:val="221F1F"/>
        </w:rPr>
        <w:t>to</w:t>
      </w:r>
      <w:r>
        <w:rPr>
          <w:color w:val="221F1F"/>
          <w:spacing w:val="-3"/>
        </w:rPr>
        <w:t xml:space="preserve"> </w:t>
      </w:r>
      <w:r>
        <w:rPr>
          <w:color w:val="221F1F"/>
        </w:rPr>
        <w:t>in</w:t>
      </w:r>
      <w:r>
        <w:rPr>
          <w:color w:val="221F1F"/>
          <w:spacing w:val="-3"/>
        </w:rPr>
        <w:t xml:space="preserve"> </w:t>
      </w:r>
      <w:r>
        <w:rPr>
          <w:color w:val="221F1F"/>
        </w:rPr>
        <w:t>Clause</w:t>
      </w:r>
      <w:r>
        <w:rPr>
          <w:color w:val="221F1F"/>
          <w:spacing w:val="-2"/>
        </w:rPr>
        <w:t xml:space="preserve"> </w:t>
      </w:r>
      <w:r>
        <w:rPr>
          <w:color w:val="221F1F"/>
        </w:rPr>
        <w:t>17.3</w:t>
      </w:r>
      <w:r>
        <w:rPr>
          <w:color w:val="221F1F"/>
          <w:spacing w:val="-6"/>
        </w:rPr>
        <w:t xml:space="preserve"> </w:t>
      </w:r>
      <w:r>
        <w:rPr>
          <w:color w:val="221F1F"/>
        </w:rPr>
        <w:t>and</w:t>
      </w:r>
      <w:r>
        <w:rPr>
          <w:color w:val="221F1F"/>
          <w:spacing w:val="-3"/>
        </w:rPr>
        <w:t xml:space="preserve"> </w:t>
      </w:r>
      <w:r>
        <w:rPr>
          <w:color w:val="221F1F"/>
        </w:rPr>
        <w:t>Clause</w:t>
      </w:r>
      <w:r>
        <w:rPr>
          <w:color w:val="221F1F"/>
          <w:spacing w:val="-4"/>
        </w:rPr>
        <w:t xml:space="preserve"> </w:t>
      </w:r>
      <w:r>
        <w:rPr>
          <w:color w:val="221F1F"/>
          <w:spacing w:val="-5"/>
        </w:rPr>
        <w:t>19.</w:t>
      </w:r>
    </w:p>
    <w:p w:rsidR="007F6DF9" w:rsidRDefault="00A43FBC">
      <w:pPr>
        <w:pStyle w:val="BodyText"/>
        <w:spacing w:before="4" w:line="230" w:lineRule="auto"/>
        <w:ind w:left="1880" w:right="571" w:hanging="461"/>
        <w:jc w:val="both"/>
      </w:pPr>
      <w:r>
        <w:rPr>
          <w:color w:val="221F1F"/>
        </w:rPr>
        <w:t>e)</w:t>
      </w:r>
      <w:r>
        <w:rPr>
          <w:color w:val="221F1F"/>
          <w:spacing w:val="40"/>
        </w:rPr>
        <w:t xml:space="preserve">  </w:t>
      </w:r>
      <w:r>
        <w:rPr>
          <w:color w:val="221F1F"/>
        </w:rPr>
        <w:t>All other matters shall only</w:t>
      </w:r>
      <w:r>
        <w:rPr>
          <w:color w:val="221F1F"/>
          <w:spacing w:val="-2"/>
        </w:rPr>
        <w:t xml:space="preserve"> </w:t>
      </w:r>
      <w:r>
        <w:rPr>
          <w:color w:val="221F1F"/>
        </w:rPr>
        <w:t>be referred to arbitration after the completion or alleged completion of the Works or termination or alleged termination of the Contract, unless the Procuring Entity and the Contractor agree otherwise in writing.</w:t>
      </w:r>
    </w:p>
    <w:p w:rsidR="007F6DF9" w:rsidRDefault="00A43FBC">
      <w:pPr>
        <w:pStyle w:val="Heading9"/>
        <w:numPr>
          <w:ilvl w:val="1"/>
          <w:numId w:val="122"/>
        </w:numPr>
        <w:tabs>
          <w:tab w:val="left" w:pos="1431"/>
        </w:tabs>
        <w:spacing w:before="238"/>
        <w:ind w:left="1431" w:hanging="720"/>
        <w:rPr>
          <w:color w:val="221F1F"/>
        </w:rPr>
      </w:pPr>
      <w:r>
        <w:rPr>
          <w:color w:val="221F1F"/>
          <w:spacing w:val="-2"/>
        </w:rPr>
        <w:t>Arbitration</w:t>
      </w:r>
    </w:p>
    <w:p w:rsidR="007F6DF9" w:rsidRDefault="00A43FBC">
      <w:pPr>
        <w:pStyle w:val="ListParagraph"/>
        <w:numPr>
          <w:ilvl w:val="2"/>
          <w:numId w:val="122"/>
        </w:numPr>
        <w:tabs>
          <w:tab w:val="left" w:pos="1428"/>
          <w:tab w:val="left" w:pos="1436"/>
        </w:tabs>
        <w:spacing w:before="243" w:line="230" w:lineRule="auto"/>
        <w:ind w:left="1436" w:right="563" w:hanging="726"/>
        <w:jc w:val="both"/>
        <w:rPr>
          <w:color w:val="221F1F"/>
        </w:rPr>
      </w:pPr>
      <w:r>
        <w:rPr>
          <w:color w:val="221F1F"/>
        </w:rPr>
        <w:t>Any claim or dispute between the Parties arising out of or in connection with the Contract not settled amicably in accordance with Sub-Clause 20.3 shall be finally settled by arbitration.</w:t>
      </w:r>
    </w:p>
    <w:p w:rsidR="007F6DF9" w:rsidRDefault="00A43FBC">
      <w:pPr>
        <w:pStyle w:val="ListParagraph"/>
        <w:numPr>
          <w:ilvl w:val="2"/>
          <w:numId w:val="122"/>
        </w:numPr>
        <w:tabs>
          <w:tab w:val="left" w:pos="1428"/>
          <w:tab w:val="left" w:pos="1436"/>
        </w:tabs>
        <w:spacing w:before="244" w:line="230" w:lineRule="auto"/>
        <w:ind w:left="1436" w:right="563" w:hanging="726"/>
        <w:jc w:val="both"/>
        <w:rPr>
          <w:color w:val="221F1F"/>
        </w:rPr>
      </w:pPr>
      <w:r>
        <w:rPr>
          <w:color w:val="221F1F"/>
        </w:rPr>
        <w:t>No arbitration proceedings shall be commenced on any claim or dispute where notice of a claim or dispute has not been given by the applying party within ninety days of the occurrence or discovery of the matter or issue giving rise to the dispute.</w:t>
      </w:r>
    </w:p>
    <w:p w:rsidR="007F6DF9" w:rsidRDefault="00A43FBC">
      <w:pPr>
        <w:pStyle w:val="ListParagraph"/>
        <w:numPr>
          <w:ilvl w:val="2"/>
          <w:numId w:val="122"/>
        </w:numPr>
        <w:tabs>
          <w:tab w:val="left" w:pos="1428"/>
          <w:tab w:val="left" w:pos="1436"/>
        </w:tabs>
        <w:spacing w:before="245" w:line="230" w:lineRule="auto"/>
        <w:ind w:left="1436" w:right="565" w:hanging="726"/>
        <w:jc w:val="both"/>
        <w:rPr>
          <w:color w:val="221F1F"/>
        </w:rPr>
      </w:pPr>
      <w:proofErr w:type="spellStart"/>
      <w:r>
        <w:rPr>
          <w:color w:val="221F1F"/>
        </w:rPr>
        <w:t>Not withstanding</w:t>
      </w:r>
      <w:proofErr w:type="spellEnd"/>
      <w:r>
        <w:rPr>
          <w:color w:val="221F1F"/>
        </w:rPr>
        <w:t xml:space="preserve"> the issue of a notice as stated above, the arbitration of such a claim or dispute shall not commence</w:t>
      </w:r>
      <w:r>
        <w:rPr>
          <w:color w:val="221F1F"/>
          <w:spacing w:val="-4"/>
        </w:rPr>
        <w:t xml:space="preserve"> </w:t>
      </w:r>
      <w:r>
        <w:rPr>
          <w:color w:val="221F1F"/>
        </w:rPr>
        <w:t>unless</w:t>
      </w:r>
      <w:r>
        <w:rPr>
          <w:color w:val="221F1F"/>
          <w:spacing w:val="-4"/>
        </w:rPr>
        <w:t xml:space="preserve"> </w:t>
      </w:r>
      <w:r>
        <w:rPr>
          <w:color w:val="221F1F"/>
        </w:rPr>
        <w:t>an</w:t>
      </w:r>
      <w:r>
        <w:rPr>
          <w:color w:val="221F1F"/>
          <w:spacing w:val="-7"/>
        </w:rPr>
        <w:t xml:space="preserve"> </w:t>
      </w:r>
      <w:r>
        <w:rPr>
          <w:color w:val="221F1F"/>
        </w:rPr>
        <w:t>attempt</w:t>
      </w:r>
      <w:r>
        <w:rPr>
          <w:color w:val="221F1F"/>
          <w:spacing w:val="-3"/>
        </w:rPr>
        <w:t xml:space="preserve"> </w:t>
      </w:r>
      <w:r>
        <w:rPr>
          <w:color w:val="221F1F"/>
        </w:rPr>
        <w:t>has</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first</w:t>
      </w:r>
      <w:r>
        <w:rPr>
          <w:color w:val="221F1F"/>
          <w:spacing w:val="-3"/>
        </w:rPr>
        <w:t xml:space="preserve"> </w:t>
      </w:r>
      <w:r>
        <w:rPr>
          <w:color w:val="221F1F"/>
        </w:rPr>
        <w:t>instance</w:t>
      </w:r>
      <w:r>
        <w:rPr>
          <w:color w:val="221F1F"/>
          <w:spacing w:val="-6"/>
        </w:rPr>
        <w:t xml:space="preserve"> </w:t>
      </w:r>
      <w:r>
        <w:rPr>
          <w:color w:val="221F1F"/>
        </w:rPr>
        <w:t>been</w:t>
      </w:r>
      <w:r>
        <w:rPr>
          <w:color w:val="221F1F"/>
          <w:spacing w:val="-6"/>
        </w:rPr>
        <w:t xml:space="preserve"> </w:t>
      </w:r>
      <w:r>
        <w:rPr>
          <w:color w:val="221F1F"/>
        </w:rPr>
        <w:t>made</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parties</w:t>
      </w:r>
      <w:r>
        <w:rPr>
          <w:color w:val="221F1F"/>
          <w:spacing w:val="-6"/>
        </w:rPr>
        <w:t xml:space="preserve"> </w:t>
      </w:r>
      <w:r>
        <w:rPr>
          <w:color w:val="221F1F"/>
        </w:rPr>
        <w:t>to</w:t>
      </w:r>
      <w:r>
        <w:rPr>
          <w:color w:val="221F1F"/>
          <w:spacing w:val="-5"/>
        </w:rPr>
        <w:t xml:space="preserve"> </w:t>
      </w:r>
      <w:r>
        <w:rPr>
          <w:color w:val="221F1F"/>
        </w:rPr>
        <w:t>settle</w:t>
      </w:r>
      <w:r>
        <w:rPr>
          <w:color w:val="221F1F"/>
          <w:spacing w:val="-6"/>
        </w:rPr>
        <w:t xml:space="preserve"> </w:t>
      </w:r>
      <w:r>
        <w:rPr>
          <w:color w:val="221F1F"/>
        </w:rPr>
        <w:t>such</w:t>
      </w:r>
      <w:r>
        <w:rPr>
          <w:color w:val="221F1F"/>
          <w:spacing w:val="-7"/>
        </w:rPr>
        <w:t xml:space="preserve"> </w:t>
      </w:r>
      <w:r>
        <w:rPr>
          <w:color w:val="221F1F"/>
        </w:rPr>
        <w:t>claim</w:t>
      </w:r>
      <w:r>
        <w:rPr>
          <w:color w:val="221F1F"/>
          <w:spacing w:val="-3"/>
        </w:rPr>
        <w:t xml:space="preserve"> </w:t>
      </w:r>
      <w:r>
        <w:rPr>
          <w:color w:val="221F1F"/>
        </w:rPr>
        <w:t>or</w:t>
      </w:r>
      <w:r>
        <w:rPr>
          <w:color w:val="221F1F"/>
          <w:spacing w:val="-4"/>
        </w:rPr>
        <w:t xml:space="preserve"> </w:t>
      </w:r>
      <w:r>
        <w:rPr>
          <w:color w:val="221F1F"/>
        </w:rPr>
        <w:t>dispute amicably with or without the assistance of third parties. Proof of such attempt shall be required.</w:t>
      </w:r>
    </w:p>
    <w:p w:rsidR="007F6DF9" w:rsidRDefault="00A43FBC">
      <w:pPr>
        <w:pStyle w:val="ListParagraph"/>
        <w:numPr>
          <w:ilvl w:val="2"/>
          <w:numId w:val="122"/>
        </w:numPr>
        <w:tabs>
          <w:tab w:val="left" w:pos="1428"/>
          <w:tab w:val="left" w:pos="1436"/>
        </w:tabs>
        <w:spacing w:before="244" w:line="230" w:lineRule="auto"/>
        <w:ind w:left="1436" w:right="561" w:hanging="726"/>
        <w:jc w:val="both"/>
        <w:rPr>
          <w:color w:val="221F1F"/>
        </w:rPr>
      </w:pPr>
      <w:r>
        <w:rPr>
          <w:color w:val="221F1F"/>
        </w:rPr>
        <w:t>The Arbitrator shall, without prejudice to the generality of his powers, have powers to direct such measurements,</w:t>
      </w:r>
      <w:r>
        <w:rPr>
          <w:color w:val="221F1F"/>
          <w:spacing w:val="-4"/>
        </w:rPr>
        <w:t xml:space="preserve"> </w:t>
      </w:r>
      <w:r>
        <w:rPr>
          <w:color w:val="221F1F"/>
        </w:rPr>
        <w:t>computations,</w:t>
      </w:r>
      <w:r>
        <w:rPr>
          <w:color w:val="221F1F"/>
          <w:spacing w:val="-3"/>
        </w:rPr>
        <w:t xml:space="preserve"> </w:t>
      </w:r>
      <w:r>
        <w:rPr>
          <w:color w:val="221F1F"/>
        </w:rPr>
        <w:t>tests</w:t>
      </w:r>
      <w:r>
        <w:rPr>
          <w:color w:val="221F1F"/>
          <w:spacing w:val="-4"/>
        </w:rPr>
        <w:t xml:space="preserve"> </w:t>
      </w:r>
      <w:r>
        <w:rPr>
          <w:color w:val="221F1F"/>
        </w:rPr>
        <w:t>or</w:t>
      </w:r>
      <w:r>
        <w:rPr>
          <w:color w:val="221F1F"/>
          <w:spacing w:val="-4"/>
        </w:rPr>
        <w:t xml:space="preserve"> </w:t>
      </w:r>
      <w:r>
        <w:rPr>
          <w:color w:val="221F1F"/>
        </w:rPr>
        <w:t>valuations</w:t>
      </w:r>
      <w:r>
        <w:rPr>
          <w:color w:val="221F1F"/>
          <w:spacing w:val="-6"/>
        </w:rPr>
        <w:t xml:space="preserve"> </w:t>
      </w:r>
      <w:r>
        <w:rPr>
          <w:color w:val="221F1F"/>
        </w:rPr>
        <w:t>as</w:t>
      </w:r>
      <w:r>
        <w:rPr>
          <w:color w:val="221F1F"/>
          <w:spacing w:val="-9"/>
        </w:rPr>
        <w:t xml:space="preserve"> </w:t>
      </w:r>
      <w:r>
        <w:rPr>
          <w:color w:val="221F1F"/>
        </w:rPr>
        <w:t>may</w:t>
      </w:r>
      <w:r>
        <w:rPr>
          <w:color w:val="221F1F"/>
          <w:spacing w:val="-4"/>
        </w:rPr>
        <w:t xml:space="preserve"> </w:t>
      </w:r>
      <w:r>
        <w:rPr>
          <w:color w:val="221F1F"/>
        </w:rPr>
        <w:t>in</w:t>
      </w:r>
      <w:r>
        <w:rPr>
          <w:color w:val="221F1F"/>
          <w:spacing w:val="-7"/>
        </w:rPr>
        <w:t xml:space="preserve"> </w:t>
      </w:r>
      <w:r>
        <w:rPr>
          <w:color w:val="221F1F"/>
        </w:rPr>
        <w:t>his</w:t>
      </w:r>
      <w:r>
        <w:rPr>
          <w:color w:val="221F1F"/>
          <w:spacing w:val="-4"/>
        </w:rPr>
        <w:t xml:space="preserve"> </w:t>
      </w:r>
      <w:r>
        <w:rPr>
          <w:color w:val="221F1F"/>
        </w:rPr>
        <w:t>opinion</w:t>
      </w:r>
      <w:r>
        <w:rPr>
          <w:color w:val="221F1F"/>
          <w:spacing w:val="-4"/>
        </w:rPr>
        <w:t xml:space="preserve"> </w:t>
      </w:r>
      <w:r>
        <w:rPr>
          <w:color w:val="221F1F"/>
        </w:rPr>
        <w:t>be</w:t>
      </w:r>
      <w:r>
        <w:rPr>
          <w:color w:val="221F1F"/>
          <w:spacing w:val="-4"/>
        </w:rPr>
        <w:t xml:space="preserve"> </w:t>
      </w:r>
      <w:r>
        <w:rPr>
          <w:color w:val="221F1F"/>
        </w:rPr>
        <w:t>desirable</w:t>
      </w:r>
      <w:r>
        <w:rPr>
          <w:color w:val="221F1F"/>
          <w:spacing w:val="-4"/>
        </w:rPr>
        <w:t xml:space="preserve"> </w:t>
      </w:r>
      <w:r>
        <w:rPr>
          <w:color w:val="221F1F"/>
        </w:rPr>
        <w:t>in</w:t>
      </w:r>
      <w:r>
        <w:rPr>
          <w:color w:val="221F1F"/>
          <w:spacing w:val="-7"/>
        </w:rPr>
        <w:t xml:space="preserve"> </w:t>
      </w:r>
      <w:r>
        <w:rPr>
          <w:color w:val="221F1F"/>
        </w:rPr>
        <w:t>order</w:t>
      </w:r>
      <w:r>
        <w:rPr>
          <w:color w:val="221F1F"/>
          <w:spacing w:val="-6"/>
        </w:rPr>
        <w:t xml:space="preserve"> </w:t>
      </w:r>
      <w:r>
        <w:rPr>
          <w:color w:val="221F1F"/>
        </w:rPr>
        <w:t>to</w:t>
      </w:r>
      <w:r>
        <w:rPr>
          <w:color w:val="221F1F"/>
          <w:spacing w:val="-7"/>
        </w:rPr>
        <w:t xml:space="preserve"> </w:t>
      </w:r>
      <w:r>
        <w:rPr>
          <w:color w:val="221F1F"/>
        </w:rPr>
        <w:t>determine</w:t>
      </w:r>
      <w:r>
        <w:rPr>
          <w:color w:val="221F1F"/>
          <w:spacing w:val="-6"/>
        </w:rPr>
        <w:t xml:space="preserve"> </w:t>
      </w:r>
      <w:r>
        <w:rPr>
          <w:color w:val="221F1F"/>
        </w:rPr>
        <w:t>the rights of the parties and assess and a ward any sums which ought to have been the subject of or included in any certificate.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2"/>
      </w:pPr>
    </w:p>
    <w:p w:rsidR="007F6DF9" w:rsidRDefault="00A43FBC">
      <w:pPr>
        <w:pStyle w:val="ListParagraph"/>
        <w:numPr>
          <w:ilvl w:val="2"/>
          <w:numId w:val="122"/>
        </w:numPr>
        <w:tabs>
          <w:tab w:val="left" w:pos="1430"/>
          <w:tab w:val="left" w:pos="1438"/>
        </w:tabs>
        <w:spacing w:line="230" w:lineRule="auto"/>
        <w:ind w:left="1438" w:right="560" w:hanging="728"/>
        <w:jc w:val="both"/>
        <w:rPr>
          <w:color w:val="221F1F"/>
        </w:rPr>
      </w:pPr>
      <w:r>
        <w:rPr>
          <w:color w:val="221F1F"/>
        </w:rPr>
        <w:t>The Arbitrator shall, without prejudice to the generality of his powers, have powers to open up, review and revise</w:t>
      </w:r>
      <w:r>
        <w:rPr>
          <w:color w:val="221F1F"/>
          <w:spacing w:val="-2"/>
        </w:rPr>
        <w:t xml:space="preserve"> </w:t>
      </w:r>
      <w:r>
        <w:rPr>
          <w:color w:val="221F1F"/>
        </w:rPr>
        <w:t>any</w:t>
      </w:r>
      <w:r>
        <w:rPr>
          <w:color w:val="221F1F"/>
          <w:spacing w:val="-4"/>
        </w:rPr>
        <w:t xml:space="preserve"> </w:t>
      </w:r>
      <w:r>
        <w:rPr>
          <w:color w:val="221F1F"/>
        </w:rPr>
        <w:t>certificate,</w:t>
      </w:r>
      <w:r>
        <w:rPr>
          <w:color w:val="221F1F"/>
          <w:spacing w:val="-2"/>
        </w:rPr>
        <w:t xml:space="preserve"> </w:t>
      </w:r>
      <w:r>
        <w:rPr>
          <w:color w:val="221F1F"/>
        </w:rPr>
        <w:t>opinion,</w:t>
      </w:r>
      <w:r>
        <w:rPr>
          <w:color w:val="221F1F"/>
          <w:spacing w:val="-2"/>
        </w:rPr>
        <w:t xml:space="preserve"> </w:t>
      </w:r>
      <w:r>
        <w:rPr>
          <w:color w:val="221F1F"/>
        </w:rPr>
        <w:t>decision,</w:t>
      </w:r>
      <w:r>
        <w:rPr>
          <w:color w:val="221F1F"/>
          <w:spacing w:val="-2"/>
        </w:rPr>
        <w:t xml:space="preserve"> </w:t>
      </w:r>
      <w:r>
        <w:rPr>
          <w:color w:val="221F1F"/>
        </w:rPr>
        <w:t>requirement</w:t>
      </w:r>
      <w:r>
        <w:rPr>
          <w:color w:val="221F1F"/>
          <w:spacing w:val="-1"/>
        </w:rPr>
        <w:t xml:space="preserve"> </w:t>
      </w:r>
      <w:r>
        <w:rPr>
          <w:color w:val="221F1F"/>
        </w:rPr>
        <w:t>or</w:t>
      </w:r>
      <w:r>
        <w:rPr>
          <w:color w:val="221F1F"/>
          <w:spacing w:val="-2"/>
        </w:rPr>
        <w:t xml:space="preserve"> </w:t>
      </w:r>
      <w:r>
        <w:rPr>
          <w:color w:val="221F1F"/>
        </w:rPr>
        <w:t>notice</w:t>
      </w:r>
      <w:r>
        <w:rPr>
          <w:color w:val="221F1F"/>
          <w:spacing w:val="-2"/>
        </w:rPr>
        <w:t xml:space="preserve"> </w:t>
      </w:r>
      <w:r>
        <w:rPr>
          <w:color w:val="221F1F"/>
        </w:rPr>
        <w:t>and</w:t>
      </w:r>
      <w:r>
        <w:rPr>
          <w:color w:val="221F1F"/>
          <w:spacing w:val="-2"/>
        </w:rPr>
        <w:t xml:space="preserve"> </w:t>
      </w:r>
      <w:r>
        <w:rPr>
          <w:color w:val="221F1F"/>
        </w:rPr>
        <w:t>to</w:t>
      </w:r>
      <w:r>
        <w:rPr>
          <w:color w:val="221F1F"/>
          <w:spacing w:val="-2"/>
        </w:rPr>
        <w:t xml:space="preserve"> </w:t>
      </w:r>
      <w:r>
        <w:rPr>
          <w:color w:val="221F1F"/>
        </w:rPr>
        <w:t>determine</w:t>
      </w:r>
      <w:r>
        <w:rPr>
          <w:color w:val="221F1F"/>
          <w:spacing w:val="-2"/>
        </w:rPr>
        <w:t xml:space="preserve"> </w:t>
      </w:r>
      <w:r>
        <w:rPr>
          <w:color w:val="221F1F"/>
        </w:rPr>
        <w:t>all</w:t>
      </w:r>
      <w:r>
        <w:rPr>
          <w:color w:val="221F1F"/>
          <w:spacing w:val="-1"/>
        </w:rPr>
        <w:t xml:space="preserve"> </w:t>
      </w:r>
      <w:r>
        <w:rPr>
          <w:color w:val="221F1F"/>
        </w:rPr>
        <w:t>matters</w:t>
      </w:r>
      <w:r>
        <w:rPr>
          <w:color w:val="221F1F"/>
          <w:spacing w:val="-4"/>
        </w:rPr>
        <w:t xml:space="preserve"> </w:t>
      </w:r>
      <w:r>
        <w:rPr>
          <w:color w:val="221F1F"/>
        </w:rPr>
        <w:t>in</w:t>
      </w:r>
      <w:r>
        <w:rPr>
          <w:color w:val="221F1F"/>
          <w:spacing w:val="-2"/>
        </w:rPr>
        <w:t xml:space="preserve"> </w:t>
      </w:r>
      <w:r>
        <w:rPr>
          <w:color w:val="221F1F"/>
        </w:rPr>
        <w:t>dispute</w:t>
      </w:r>
      <w:r>
        <w:rPr>
          <w:color w:val="221F1F"/>
          <w:spacing w:val="-2"/>
        </w:rPr>
        <w:t xml:space="preserve"> </w:t>
      </w:r>
      <w:r>
        <w:rPr>
          <w:color w:val="221F1F"/>
        </w:rPr>
        <w:t>which shall</w:t>
      </w:r>
      <w:r>
        <w:rPr>
          <w:color w:val="221F1F"/>
          <w:spacing w:val="-11"/>
        </w:rPr>
        <w:t xml:space="preserve"> </w:t>
      </w:r>
      <w:r>
        <w:rPr>
          <w:color w:val="221F1F"/>
        </w:rPr>
        <w:t>be</w:t>
      </w:r>
      <w:r>
        <w:rPr>
          <w:color w:val="221F1F"/>
          <w:spacing w:val="-14"/>
        </w:rPr>
        <w:t xml:space="preserve"> </w:t>
      </w:r>
      <w:r>
        <w:rPr>
          <w:color w:val="221F1F"/>
        </w:rPr>
        <w:t>submitted</w:t>
      </w:r>
      <w:r>
        <w:rPr>
          <w:color w:val="221F1F"/>
          <w:spacing w:val="-11"/>
        </w:rPr>
        <w:t xml:space="preserve"> </w:t>
      </w:r>
      <w:r>
        <w:rPr>
          <w:color w:val="221F1F"/>
        </w:rPr>
        <w:t>to</w:t>
      </w:r>
      <w:r>
        <w:rPr>
          <w:color w:val="221F1F"/>
          <w:spacing w:val="-12"/>
        </w:rPr>
        <w:t xml:space="preserve"> </w:t>
      </w:r>
      <w:r>
        <w:rPr>
          <w:color w:val="221F1F"/>
        </w:rPr>
        <w:t>him</w:t>
      </w:r>
      <w:r>
        <w:rPr>
          <w:color w:val="221F1F"/>
          <w:spacing w:val="-13"/>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same</w:t>
      </w:r>
      <w:r>
        <w:rPr>
          <w:color w:val="221F1F"/>
          <w:spacing w:val="-11"/>
        </w:rPr>
        <w:t xml:space="preserve"> </w:t>
      </w:r>
      <w:r>
        <w:rPr>
          <w:color w:val="221F1F"/>
        </w:rPr>
        <w:t>manner</w:t>
      </w:r>
      <w:r>
        <w:rPr>
          <w:color w:val="221F1F"/>
          <w:spacing w:val="-11"/>
        </w:rPr>
        <w:t xml:space="preserve"> </w:t>
      </w:r>
      <w:r>
        <w:rPr>
          <w:color w:val="221F1F"/>
        </w:rPr>
        <w:t>as</w:t>
      </w:r>
      <w:r>
        <w:rPr>
          <w:color w:val="221F1F"/>
          <w:spacing w:val="-11"/>
        </w:rPr>
        <w:t xml:space="preserve"> </w:t>
      </w:r>
      <w:r>
        <w:rPr>
          <w:color w:val="221F1F"/>
        </w:rPr>
        <w:t>if</w:t>
      </w:r>
      <w:r>
        <w:rPr>
          <w:color w:val="221F1F"/>
          <w:spacing w:val="-11"/>
        </w:rPr>
        <w:t xml:space="preserve"> </w:t>
      </w:r>
      <w:r>
        <w:rPr>
          <w:color w:val="221F1F"/>
        </w:rPr>
        <w:t>no</w:t>
      </w:r>
      <w:r>
        <w:rPr>
          <w:color w:val="221F1F"/>
          <w:spacing w:val="-12"/>
        </w:rPr>
        <w:t xml:space="preserve"> </w:t>
      </w:r>
      <w:r>
        <w:rPr>
          <w:color w:val="221F1F"/>
        </w:rPr>
        <w:t>such</w:t>
      </w:r>
      <w:r>
        <w:rPr>
          <w:color w:val="221F1F"/>
          <w:spacing w:val="-11"/>
        </w:rPr>
        <w:t xml:space="preserve"> </w:t>
      </w:r>
      <w:r>
        <w:rPr>
          <w:color w:val="221F1F"/>
        </w:rPr>
        <w:t>certificate,</w:t>
      </w:r>
      <w:r>
        <w:rPr>
          <w:color w:val="221F1F"/>
          <w:spacing w:val="-11"/>
        </w:rPr>
        <w:t xml:space="preserve"> </w:t>
      </w:r>
      <w:r>
        <w:rPr>
          <w:color w:val="221F1F"/>
        </w:rPr>
        <w:t>opinion,</w:t>
      </w:r>
      <w:r>
        <w:rPr>
          <w:color w:val="221F1F"/>
          <w:spacing w:val="-11"/>
        </w:rPr>
        <w:t xml:space="preserve"> </w:t>
      </w:r>
      <w:r>
        <w:rPr>
          <w:color w:val="221F1F"/>
        </w:rPr>
        <w:t>decision</w:t>
      </w:r>
      <w:r>
        <w:rPr>
          <w:color w:val="221F1F"/>
          <w:spacing w:val="-11"/>
        </w:rPr>
        <w:t xml:space="preserve"> </w:t>
      </w:r>
      <w:r>
        <w:rPr>
          <w:color w:val="221F1F"/>
        </w:rPr>
        <w:t>require</w:t>
      </w:r>
      <w:r>
        <w:rPr>
          <w:color w:val="221F1F"/>
          <w:spacing w:val="-14"/>
        </w:rPr>
        <w:t xml:space="preserve"> </w:t>
      </w:r>
      <w:r>
        <w:rPr>
          <w:color w:val="221F1F"/>
        </w:rPr>
        <w:t>mentor</w:t>
      </w:r>
      <w:r>
        <w:rPr>
          <w:color w:val="221F1F"/>
          <w:spacing w:val="-11"/>
        </w:rPr>
        <w:t xml:space="preserve"> </w:t>
      </w:r>
      <w:r>
        <w:rPr>
          <w:color w:val="221F1F"/>
        </w:rPr>
        <w:t>notice had been given.</w:t>
      </w:r>
    </w:p>
    <w:p w:rsidR="007F6DF9" w:rsidRDefault="00A43FBC">
      <w:pPr>
        <w:pStyle w:val="ListParagraph"/>
        <w:numPr>
          <w:ilvl w:val="2"/>
          <w:numId w:val="122"/>
        </w:numPr>
        <w:tabs>
          <w:tab w:val="left" w:pos="1430"/>
          <w:tab w:val="left" w:pos="1438"/>
        </w:tabs>
        <w:spacing w:before="246" w:line="230" w:lineRule="auto"/>
        <w:ind w:left="1438" w:right="560" w:hanging="728"/>
        <w:jc w:val="both"/>
        <w:rPr>
          <w:color w:val="221F1F"/>
        </w:rPr>
      </w:pPr>
      <w:r>
        <w:rPr>
          <w:color w:val="221F1F"/>
        </w:rPr>
        <w:t>The</w:t>
      </w:r>
      <w:r>
        <w:rPr>
          <w:color w:val="221F1F"/>
          <w:spacing w:val="-10"/>
        </w:rPr>
        <w:t xml:space="preserve"> </w:t>
      </w:r>
      <w:r>
        <w:rPr>
          <w:color w:val="221F1F"/>
        </w:rPr>
        <w:t>arbitrators</w:t>
      </w:r>
      <w:r>
        <w:rPr>
          <w:color w:val="221F1F"/>
          <w:spacing w:val="-8"/>
        </w:rPr>
        <w:t xml:space="preserve"> </w:t>
      </w:r>
      <w:r>
        <w:rPr>
          <w:color w:val="221F1F"/>
        </w:rPr>
        <w:t>shall</w:t>
      </w:r>
      <w:r>
        <w:rPr>
          <w:color w:val="221F1F"/>
          <w:spacing w:val="-8"/>
        </w:rPr>
        <w:t xml:space="preserve"> </w:t>
      </w:r>
      <w:r>
        <w:rPr>
          <w:color w:val="221F1F"/>
        </w:rPr>
        <w:t>have</w:t>
      </w:r>
      <w:r>
        <w:rPr>
          <w:color w:val="221F1F"/>
          <w:spacing w:val="-8"/>
        </w:rPr>
        <w:t xml:space="preserve"> </w:t>
      </w:r>
      <w:r>
        <w:rPr>
          <w:color w:val="221F1F"/>
        </w:rPr>
        <w:t>full</w:t>
      </w:r>
      <w:r>
        <w:rPr>
          <w:color w:val="221F1F"/>
          <w:spacing w:val="-8"/>
        </w:rPr>
        <w:t xml:space="preserve"> </w:t>
      </w:r>
      <w:r>
        <w:rPr>
          <w:color w:val="221F1F"/>
        </w:rPr>
        <w:t>power</w:t>
      </w:r>
      <w:r>
        <w:rPr>
          <w:color w:val="221F1F"/>
          <w:spacing w:val="-9"/>
        </w:rPr>
        <w:t xml:space="preserve"> </w:t>
      </w:r>
      <w:r>
        <w:rPr>
          <w:color w:val="221F1F"/>
        </w:rPr>
        <w:t>to</w:t>
      </w:r>
      <w:r>
        <w:rPr>
          <w:color w:val="221F1F"/>
          <w:spacing w:val="-9"/>
        </w:rPr>
        <w:t xml:space="preserve"> </w:t>
      </w:r>
      <w:r>
        <w:rPr>
          <w:color w:val="221F1F"/>
        </w:rPr>
        <w:t>open</w:t>
      </w:r>
      <w:r>
        <w:rPr>
          <w:color w:val="221F1F"/>
          <w:spacing w:val="-9"/>
        </w:rPr>
        <w:t xml:space="preserve"> </w:t>
      </w:r>
      <w:r>
        <w:rPr>
          <w:color w:val="221F1F"/>
        </w:rPr>
        <w:t>up,</w:t>
      </w:r>
      <w:r>
        <w:rPr>
          <w:color w:val="221F1F"/>
          <w:spacing w:val="-9"/>
        </w:rPr>
        <w:t xml:space="preserve"> </w:t>
      </w:r>
      <w:r>
        <w:rPr>
          <w:color w:val="221F1F"/>
        </w:rPr>
        <w:t>review</w:t>
      </w:r>
      <w:r>
        <w:rPr>
          <w:color w:val="221F1F"/>
          <w:spacing w:val="-10"/>
        </w:rPr>
        <w:t xml:space="preserve"> </w:t>
      </w:r>
      <w:r>
        <w:rPr>
          <w:color w:val="221F1F"/>
        </w:rPr>
        <w:t>and</w:t>
      </w:r>
      <w:r>
        <w:rPr>
          <w:color w:val="221F1F"/>
          <w:spacing w:val="-9"/>
        </w:rPr>
        <w:t xml:space="preserve"> </w:t>
      </w:r>
      <w:r>
        <w:rPr>
          <w:color w:val="221F1F"/>
        </w:rPr>
        <w:t>revise</w:t>
      </w:r>
      <w:r>
        <w:rPr>
          <w:color w:val="221F1F"/>
          <w:spacing w:val="-9"/>
        </w:rPr>
        <w:t xml:space="preserve"> </w:t>
      </w:r>
      <w:r>
        <w:rPr>
          <w:color w:val="221F1F"/>
        </w:rPr>
        <w:t>any</w:t>
      </w:r>
      <w:r>
        <w:rPr>
          <w:color w:val="221F1F"/>
          <w:spacing w:val="-9"/>
        </w:rPr>
        <w:t xml:space="preserve"> </w:t>
      </w:r>
      <w:r>
        <w:rPr>
          <w:color w:val="221F1F"/>
        </w:rPr>
        <w:t>certificate,</w:t>
      </w:r>
      <w:r>
        <w:rPr>
          <w:color w:val="221F1F"/>
          <w:spacing w:val="-9"/>
        </w:rPr>
        <w:t xml:space="preserve"> </w:t>
      </w:r>
      <w:r>
        <w:rPr>
          <w:color w:val="221F1F"/>
        </w:rPr>
        <w:t>determination,</w:t>
      </w:r>
      <w:r>
        <w:rPr>
          <w:color w:val="221F1F"/>
          <w:spacing w:val="-8"/>
        </w:rPr>
        <w:t xml:space="preserve"> </w:t>
      </w:r>
      <w:r>
        <w:rPr>
          <w:color w:val="221F1F"/>
        </w:rPr>
        <w:t>instruction, opinion or valuation of the</w:t>
      </w:r>
      <w:r>
        <w:rPr>
          <w:color w:val="221F1F"/>
          <w:spacing w:val="-1"/>
        </w:rPr>
        <w:t xml:space="preserve"> </w:t>
      </w:r>
      <w:r>
        <w:rPr>
          <w:color w:val="221F1F"/>
        </w:rPr>
        <w:t>Engineer, relevant to the dispute. Nothing shall disqualify representatives of the Parties and the Architect from being called as a witness and giving evidence before the arbitrators on any matter whatsoever relevant to the dispute.</w:t>
      </w:r>
    </w:p>
    <w:p w:rsidR="007F6DF9" w:rsidRDefault="00A43FBC">
      <w:pPr>
        <w:pStyle w:val="ListParagraph"/>
        <w:numPr>
          <w:ilvl w:val="2"/>
          <w:numId w:val="122"/>
        </w:numPr>
        <w:tabs>
          <w:tab w:val="left" w:pos="1430"/>
          <w:tab w:val="left" w:pos="1438"/>
        </w:tabs>
        <w:spacing w:before="245" w:line="230" w:lineRule="auto"/>
        <w:ind w:left="1438" w:right="573" w:hanging="728"/>
        <w:jc w:val="both"/>
        <w:rPr>
          <w:color w:val="221F1F"/>
        </w:rPr>
      </w:pPr>
      <w:r>
        <w:rPr>
          <w:color w:val="221F1F"/>
        </w:rPr>
        <w:t>Neither Party shall be limited in the proceedings before the arbitrators to the evidence, or to the reasons for dissatisfaction given in its Notice of Dissatisfaction.</w:t>
      </w:r>
    </w:p>
    <w:p w:rsidR="007F6DF9" w:rsidRDefault="00A43FBC">
      <w:pPr>
        <w:pStyle w:val="ListParagraph"/>
        <w:numPr>
          <w:ilvl w:val="2"/>
          <w:numId w:val="23"/>
        </w:numPr>
        <w:tabs>
          <w:tab w:val="left" w:pos="1430"/>
          <w:tab w:val="left" w:pos="1438"/>
        </w:tabs>
        <w:spacing w:before="244" w:line="230" w:lineRule="auto"/>
        <w:ind w:right="564" w:hanging="728"/>
        <w:jc w:val="both"/>
      </w:pPr>
      <w:r>
        <w:rPr>
          <w:color w:val="221F1F"/>
        </w:rPr>
        <w:t>Arbitration</w:t>
      </w:r>
      <w:r>
        <w:rPr>
          <w:color w:val="221F1F"/>
          <w:spacing w:val="-6"/>
        </w:rPr>
        <w:t xml:space="preserve"> </w:t>
      </w:r>
      <w:r>
        <w:rPr>
          <w:color w:val="221F1F"/>
        </w:rPr>
        <w:t>may</w:t>
      </w:r>
      <w:r>
        <w:rPr>
          <w:color w:val="221F1F"/>
          <w:spacing w:val="-7"/>
        </w:rPr>
        <w:t xml:space="preserve"> </w:t>
      </w:r>
      <w:r>
        <w:rPr>
          <w:color w:val="221F1F"/>
        </w:rPr>
        <w:t>be</w:t>
      </w:r>
      <w:r>
        <w:rPr>
          <w:color w:val="221F1F"/>
          <w:spacing w:val="-7"/>
        </w:rPr>
        <w:t xml:space="preserve"> </w:t>
      </w:r>
      <w:r>
        <w:rPr>
          <w:color w:val="221F1F"/>
        </w:rPr>
        <w:t>commenced</w:t>
      </w:r>
      <w:r>
        <w:rPr>
          <w:color w:val="221F1F"/>
          <w:spacing w:val="-6"/>
        </w:rPr>
        <w:t xml:space="preserve"> </w:t>
      </w:r>
      <w:r>
        <w:rPr>
          <w:color w:val="221F1F"/>
        </w:rPr>
        <w:t>prior</w:t>
      </w:r>
      <w:r>
        <w:rPr>
          <w:color w:val="221F1F"/>
          <w:spacing w:val="-8"/>
        </w:rPr>
        <w:t xml:space="preserve"> </w:t>
      </w:r>
      <w:r>
        <w:rPr>
          <w:color w:val="221F1F"/>
        </w:rPr>
        <w:t>to</w:t>
      </w:r>
      <w:r>
        <w:rPr>
          <w:color w:val="221F1F"/>
          <w:spacing w:val="-7"/>
        </w:rPr>
        <w:t xml:space="preserve"> </w:t>
      </w:r>
      <w:r>
        <w:rPr>
          <w:color w:val="221F1F"/>
        </w:rPr>
        <w:t>or</w:t>
      </w:r>
      <w:r>
        <w:rPr>
          <w:color w:val="221F1F"/>
          <w:spacing w:val="-6"/>
        </w:rPr>
        <w:t xml:space="preserve"> </w:t>
      </w:r>
      <w:r>
        <w:rPr>
          <w:color w:val="221F1F"/>
        </w:rPr>
        <w:t>after</w:t>
      </w:r>
      <w:r>
        <w:rPr>
          <w:color w:val="221F1F"/>
          <w:spacing w:val="-6"/>
        </w:rPr>
        <w:t xml:space="preserve"> </w:t>
      </w:r>
      <w:r>
        <w:rPr>
          <w:color w:val="221F1F"/>
        </w:rPr>
        <w:t>completion</w:t>
      </w:r>
      <w:r>
        <w:rPr>
          <w:color w:val="221F1F"/>
          <w:spacing w:val="-6"/>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The</w:t>
      </w:r>
      <w:r>
        <w:rPr>
          <w:color w:val="221F1F"/>
          <w:spacing w:val="-7"/>
        </w:rPr>
        <w:t xml:space="preserve"> </w:t>
      </w:r>
      <w:r>
        <w:rPr>
          <w:color w:val="221F1F"/>
        </w:rPr>
        <w:t>obligations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Parties,</w:t>
      </w:r>
      <w:r>
        <w:rPr>
          <w:color w:val="221F1F"/>
          <w:spacing w:val="-7"/>
        </w:rPr>
        <w:t xml:space="preserve"> </w:t>
      </w:r>
      <w:r>
        <w:rPr>
          <w:color w:val="221F1F"/>
        </w:rPr>
        <w:t xml:space="preserve">and the Architect shall not be altered by reason of any arbitration being conducted during the progress of the </w:t>
      </w:r>
      <w:r>
        <w:rPr>
          <w:color w:val="221F1F"/>
          <w:spacing w:val="-2"/>
        </w:rPr>
        <w:t>Works.</w:t>
      </w:r>
    </w:p>
    <w:p w:rsidR="007F6DF9" w:rsidRDefault="00A43FBC">
      <w:pPr>
        <w:pStyle w:val="ListParagraph"/>
        <w:numPr>
          <w:ilvl w:val="2"/>
          <w:numId w:val="23"/>
        </w:numPr>
        <w:tabs>
          <w:tab w:val="left" w:pos="1430"/>
          <w:tab w:val="left" w:pos="1438"/>
        </w:tabs>
        <w:spacing w:before="244" w:line="230" w:lineRule="auto"/>
        <w:ind w:right="563" w:hanging="728"/>
        <w:jc w:val="both"/>
      </w:pPr>
      <w:proofErr w:type="spellStart"/>
      <w:r>
        <w:rPr>
          <w:color w:val="221F1F"/>
        </w:rPr>
        <w:t>Thetermsofthere</w:t>
      </w:r>
      <w:proofErr w:type="spellEnd"/>
      <w:r>
        <w:rPr>
          <w:color w:val="221F1F"/>
          <w:spacing w:val="-3"/>
        </w:rPr>
        <w:t xml:space="preserve"> </w:t>
      </w:r>
      <w:proofErr w:type="spellStart"/>
      <w:r>
        <w:rPr>
          <w:color w:val="221F1F"/>
        </w:rPr>
        <w:t>muneration</w:t>
      </w:r>
      <w:proofErr w:type="spellEnd"/>
      <w:r>
        <w:rPr>
          <w:color w:val="221F1F"/>
          <w:spacing w:val="-1"/>
        </w:rPr>
        <w:t xml:space="preserve"> </w:t>
      </w:r>
      <w:r>
        <w:rPr>
          <w:color w:val="221F1F"/>
        </w:rPr>
        <w:t>of</w:t>
      </w:r>
      <w:r>
        <w:rPr>
          <w:color w:val="221F1F"/>
          <w:spacing w:val="-1"/>
        </w:rPr>
        <w:t xml:space="preserve"> </w:t>
      </w:r>
      <w:r>
        <w:rPr>
          <w:color w:val="221F1F"/>
        </w:rPr>
        <w:t>each</w:t>
      </w:r>
      <w:r>
        <w:rPr>
          <w:color w:val="221F1F"/>
          <w:spacing w:val="-2"/>
        </w:rPr>
        <w:t xml:space="preserve"> </w:t>
      </w:r>
      <w:r>
        <w:rPr>
          <w:color w:val="221F1F"/>
        </w:rPr>
        <w:t>or</w:t>
      </w:r>
      <w:r>
        <w:rPr>
          <w:color w:val="221F1F"/>
          <w:spacing w:val="-4"/>
        </w:rPr>
        <w:t xml:space="preserve"> </w:t>
      </w:r>
      <w:r>
        <w:rPr>
          <w:color w:val="221F1F"/>
        </w:rPr>
        <w:t>all</w:t>
      </w:r>
      <w:r>
        <w:rPr>
          <w:color w:val="221F1F"/>
          <w:spacing w:val="-1"/>
        </w:rPr>
        <w:t xml:space="preserve"> </w:t>
      </w:r>
      <w:r>
        <w:rPr>
          <w:color w:val="221F1F"/>
        </w:rPr>
        <w:t>the</w:t>
      </w:r>
      <w:r>
        <w:rPr>
          <w:color w:val="221F1F"/>
          <w:spacing w:val="-2"/>
        </w:rPr>
        <w:t xml:space="preserve"> </w:t>
      </w:r>
      <w:r>
        <w:rPr>
          <w:color w:val="221F1F"/>
        </w:rPr>
        <w:t>members</w:t>
      </w:r>
      <w:r>
        <w:rPr>
          <w:color w:val="221F1F"/>
          <w:spacing w:val="-1"/>
        </w:rPr>
        <w:t xml:space="preserve"> </w:t>
      </w:r>
      <w:r>
        <w:rPr>
          <w:color w:val="221F1F"/>
        </w:rPr>
        <w:t>of</w:t>
      </w:r>
      <w:r>
        <w:rPr>
          <w:color w:val="221F1F"/>
          <w:spacing w:val="-1"/>
        </w:rPr>
        <w:t xml:space="preserve"> </w:t>
      </w:r>
      <w:r>
        <w:rPr>
          <w:color w:val="221F1F"/>
        </w:rPr>
        <w:t>Arbitration</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mutually</w:t>
      </w:r>
      <w:r>
        <w:rPr>
          <w:color w:val="221F1F"/>
          <w:spacing w:val="-1"/>
        </w:rPr>
        <w:t xml:space="preserve"> </w:t>
      </w:r>
      <w:r>
        <w:rPr>
          <w:color w:val="221F1F"/>
        </w:rPr>
        <w:t>agreed</w:t>
      </w:r>
      <w:r>
        <w:rPr>
          <w:color w:val="221F1F"/>
          <w:spacing w:val="-2"/>
        </w:rPr>
        <w:t xml:space="preserve"> </w:t>
      </w:r>
      <w:r>
        <w:rPr>
          <w:color w:val="221F1F"/>
        </w:rPr>
        <w:t>upon</w:t>
      </w:r>
      <w:r>
        <w:rPr>
          <w:color w:val="221F1F"/>
          <w:spacing w:val="-2"/>
        </w:rPr>
        <w:t xml:space="preserve"> </w:t>
      </w:r>
      <w:r>
        <w:rPr>
          <w:color w:val="221F1F"/>
        </w:rPr>
        <w:t>by</w:t>
      </w:r>
      <w:r>
        <w:rPr>
          <w:color w:val="221F1F"/>
          <w:spacing w:val="-2"/>
        </w:rPr>
        <w:t xml:space="preserve"> </w:t>
      </w:r>
      <w:r>
        <w:rPr>
          <w:color w:val="221F1F"/>
        </w:rPr>
        <w:t>the Parties when agreeing the</w:t>
      </w:r>
      <w:r>
        <w:rPr>
          <w:color w:val="221F1F"/>
          <w:spacing w:val="-1"/>
        </w:rPr>
        <w:t xml:space="preserve"> </w:t>
      </w:r>
      <w:r>
        <w:rPr>
          <w:color w:val="221F1F"/>
        </w:rPr>
        <w:t>terms of appointment. Each</w:t>
      </w:r>
      <w:r>
        <w:rPr>
          <w:color w:val="221F1F"/>
          <w:spacing w:val="-1"/>
        </w:rPr>
        <w:t xml:space="preserve"> </w:t>
      </w:r>
      <w:r>
        <w:rPr>
          <w:color w:val="221F1F"/>
        </w:rPr>
        <w:t>Party shall be responsible for paying one-half of</w:t>
      </w:r>
      <w:r>
        <w:rPr>
          <w:color w:val="221F1F"/>
          <w:spacing w:val="-1"/>
        </w:rPr>
        <w:t xml:space="preserve"> </w:t>
      </w:r>
      <w:r>
        <w:rPr>
          <w:color w:val="221F1F"/>
        </w:rPr>
        <w:t xml:space="preserve">this </w:t>
      </w:r>
      <w:r>
        <w:rPr>
          <w:color w:val="221F1F"/>
          <w:spacing w:val="-2"/>
        </w:rPr>
        <w:t>remuneration.</w:t>
      </w:r>
    </w:p>
    <w:p w:rsidR="007F6DF9" w:rsidRDefault="00A43FBC">
      <w:pPr>
        <w:pStyle w:val="Heading9"/>
        <w:numPr>
          <w:ilvl w:val="1"/>
          <w:numId w:val="122"/>
        </w:numPr>
        <w:tabs>
          <w:tab w:val="left" w:pos="1431"/>
        </w:tabs>
        <w:spacing w:before="235"/>
        <w:ind w:left="1431" w:hanging="720"/>
        <w:rPr>
          <w:color w:val="221F1F"/>
        </w:rPr>
      </w:pPr>
      <w:r>
        <w:rPr>
          <w:color w:val="221F1F"/>
        </w:rPr>
        <w:t>Arbitration</w:t>
      </w:r>
      <w:r>
        <w:rPr>
          <w:color w:val="221F1F"/>
          <w:spacing w:val="-8"/>
        </w:rPr>
        <w:t xml:space="preserve"> </w:t>
      </w:r>
      <w:r>
        <w:rPr>
          <w:color w:val="221F1F"/>
        </w:rPr>
        <w:t>with</w:t>
      </w:r>
      <w:r>
        <w:rPr>
          <w:color w:val="221F1F"/>
          <w:spacing w:val="-5"/>
        </w:rPr>
        <w:t xml:space="preserve"> </w:t>
      </w:r>
      <w:r>
        <w:rPr>
          <w:color w:val="221F1F"/>
        </w:rPr>
        <w:t>National</w:t>
      </w:r>
      <w:r>
        <w:rPr>
          <w:color w:val="221F1F"/>
          <w:spacing w:val="-5"/>
        </w:rPr>
        <w:t xml:space="preserve"> </w:t>
      </w:r>
      <w:r>
        <w:rPr>
          <w:color w:val="221F1F"/>
          <w:spacing w:val="-2"/>
        </w:rPr>
        <w:t>Contractors</w:t>
      </w:r>
    </w:p>
    <w:p w:rsidR="007F6DF9" w:rsidRDefault="00A43FBC">
      <w:pPr>
        <w:pStyle w:val="ListParagraph"/>
        <w:numPr>
          <w:ilvl w:val="2"/>
          <w:numId w:val="122"/>
        </w:numPr>
        <w:tabs>
          <w:tab w:val="left" w:pos="1429"/>
          <w:tab w:val="left" w:pos="1436"/>
        </w:tabs>
        <w:spacing w:before="243" w:line="230" w:lineRule="auto"/>
        <w:ind w:left="1436" w:right="563" w:hanging="726"/>
        <w:jc w:val="both"/>
        <w:rPr>
          <w:color w:val="221F1F"/>
        </w:rPr>
      </w:pPr>
      <w:r>
        <w:rPr>
          <w:color w:val="221F1F"/>
        </w:rPr>
        <w:t>If</w:t>
      </w:r>
      <w:r>
        <w:rPr>
          <w:color w:val="221F1F"/>
          <w:spacing w:val="-1"/>
        </w:rPr>
        <w:t xml:space="preserve"> </w:t>
      </w:r>
      <w:r>
        <w:rPr>
          <w:color w:val="221F1F"/>
        </w:rPr>
        <w:t>the</w:t>
      </w:r>
      <w:r>
        <w:rPr>
          <w:color w:val="221F1F"/>
          <w:spacing w:val="-2"/>
        </w:rPr>
        <w:t xml:space="preserve"> </w:t>
      </w:r>
      <w:proofErr w:type="spellStart"/>
      <w:r>
        <w:rPr>
          <w:color w:val="221F1F"/>
        </w:rPr>
        <w:t>Contractis</w:t>
      </w:r>
      <w:proofErr w:type="spellEnd"/>
      <w:r>
        <w:rPr>
          <w:color w:val="221F1F"/>
          <w:spacing w:val="-1"/>
        </w:rPr>
        <w:t xml:space="preserve"> </w:t>
      </w:r>
      <w:r>
        <w:rPr>
          <w:color w:val="221F1F"/>
        </w:rPr>
        <w:t>with</w:t>
      </w:r>
      <w:r>
        <w:rPr>
          <w:color w:val="221F1F"/>
          <w:spacing w:val="-2"/>
        </w:rPr>
        <w:t xml:space="preserve"> </w:t>
      </w:r>
      <w:r>
        <w:rPr>
          <w:color w:val="221F1F"/>
        </w:rPr>
        <w:t>national contractors,</w:t>
      </w:r>
      <w:r>
        <w:rPr>
          <w:color w:val="221F1F"/>
          <w:spacing w:val="-1"/>
        </w:rPr>
        <w:t xml:space="preserve"> </w:t>
      </w:r>
      <w:r>
        <w:rPr>
          <w:color w:val="221F1F"/>
        </w:rPr>
        <w:t>arbitration</w:t>
      </w:r>
      <w:r>
        <w:rPr>
          <w:color w:val="221F1F"/>
          <w:spacing w:val="-1"/>
        </w:rPr>
        <w:t xml:space="preserve"> </w:t>
      </w:r>
      <w:r>
        <w:rPr>
          <w:color w:val="221F1F"/>
        </w:rPr>
        <w:t>proceedings</w:t>
      </w:r>
      <w:r>
        <w:rPr>
          <w:color w:val="221F1F"/>
          <w:spacing w:val="-1"/>
        </w:rPr>
        <w:t xml:space="preserve"> </w:t>
      </w:r>
      <w:r>
        <w:rPr>
          <w:color w:val="221F1F"/>
        </w:rPr>
        <w:t>will</w:t>
      </w:r>
      <w:r>
        <w:rPr>
          <w:color w:val="221F1F"/>
          <w:spacing w:val="-1"/>
        </w:rPr>
        <w:t xml:space="preserve"> </w:t>
      </w:r>
      <w:r>
        <w:rPr>
          <w:color w:val="221F1F"/>
        </w:rPr>
        <w:t>be</w:t>
      </w:r>
      <w:r>
        <w:rPr>
          <w:color w:val="221F1F"/>
          <w:spacing w:val="-4"/>
        </w:rPr>
        <w:t xml:space="preserve"> </w:t>
      </w:r>
      <w:r>
        <w:rPr>
          <w:color w:val="221F1F"/>
        </w:rPr>
        <w:t>conducted</w:t>
      </w:r>
      <w:r>
        <w:rPr>
          <w:color w:val="221F1F"/>
          <w:spacing w:val="-1"/>
        </w:rPr>
        <w:t xml:space="preserve"> </w:t>
      </w:r>
      <w:r>
        <w:rPr>
          <w:color w:val="221F1F"/>
        </w:rPr>
        <w:t>in</w:t>
      </w:r>
      <w:r>
        <w:rPr>
          <w:color w:val="221F1F"/>
          <w:spacing w:val="-5"/>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the Arbitration</w:t>
      </w:r>
      <w:r>
        <w:rPr>
          <w:color w:val="221F1F"/>
          <w:spacing w:val="-5"/>
        </w:rPr>
        <w:t xml:space="preserve"> </w:t>
      </w:r>
      <w:r>
        <w:rPr>
          <w:color w:val="221F1F"/>
        </w:rPr>
        <w:t>Laws</w:t>
      </w:r>
      <w:r>
        <w:rPr>
          <w:color w:val="221F1F"/>
          <w:spacing w:val="-5"/>
        </w:rPr>
        <w:t xml:space="preserve"> </w:t>
      </w:r>
      <w:proofErr w:type="spellStart"/>
      <w:r>
        <w:rPr>
          <w:color w:val="221F1F"/>
        </w:rPr>
        <w:t>ofKenya</w:t>
      </w:r>
      <w:proofErr w:type="spellEnd"/>
      <w:r>
        <w:rPr>
          <w:color w:val="221F1F"/>
        </w:rPr>
        <w:t>.</w:t>
      </w:r>
      <w:r>
        <w:rPr>
          <w:color w:val="221F1F"/>
          <w:spacing w:val="40"/>
        </w:rPr>
        <w:t xml:space="preserve"> </w:t>
      </w:r>
      <w:r>
        <w:rPr>
          <w:color w:val="221F1F"/>
        </w:rPr>
        <w:t>In</w:t>
      </w:r>
      <w:r>
        <w:rPr>
          <w:color w:val="221F1F"/>
          <w:spacing w:val="-5"/>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any</w:t>
      </w:r>
      <w:r>
        <w:rPr>
          <w:color w:val="221F1F"/>
          <w:spacing w:val="-7"/>
        </w:rPr>
        <w:t xml:space="preserve"> </w:t>
      </w:r>
      <w:r>
        <w:rPr>
          <w:color w:val="221F1F"/>
        </w:rPr>
        <w:t>claim</w:t>
      </w:r>
      <w:r>
        <w:rPr>
          <w:color w:val="221F1F"/>
          <w:spacing w:val="-6"/>
        </w:rPr>
        <w:t xml:space="preserve"> </w:t>
      </w:r>
      <w:r>
        <w:rPr>
          <w:color w:val="221F1F"/>
        </w:rPr>
        <w:t>or</w:t>
      </w:r>
      <w:r>
        <w:rPr>
          <w:color w:val="221F1F"/>
          <w:spacing w:val="-5"/>
        </w:rPr>
        <w:t xml:space="preserve"> </w:t>
      </w:r>
      <w:r>
        <w:rPr>
          <w:color w:val="221F1F"/>
        </w:rPr>
        <w:t>dispute,</w:t>
      </w:r>
      <w:r>
        <w:rPr>
          <w:color w:val="221F1F"/>
          <w:spacing w:val="-6"/>
        </w:rPr>
        <w:t xml:space="preserve"> </w:t>
      </w:r>
      <w:r>
        <w:rPr>
          <w:color w:val="221F1F"/>
        </w:rPr>
        <w:t>such</w:t>
      </w:r>
      <w:r>
        <w:rPr>
          <w:color w:val="221F1F"/>
          <w:spacing w:val="-7"/>
        </w:rPr>
        <w:t xml:space="preserve"> </w:t>
      </w:r>
      <w:r>
        <w:rPr>
          <w:color w:val="221F1F"/>
        </w:rPr>
        <w:t>claim</w:t>
      </w:r>
      <w:r>
        <w:rPr>
          <w:color w:val="221F1F"/>
          <w:spacing w:val="-4"/>
        </w:rPr>
        <w:t xml:space="preserve"> </w:t>
      </w:r>
      <w:r>
        <w:rPr>
          <w:color w:val="221F1F"/>
        </w:rPr>
        <w:t>or</w:t>
      </w:r>
      <w:r>
        <w:rPr>
          <w:color w:val="221F1F"/>
          <w:spacing w:val="-6"/>
        </w:rPr>
        <w:t xml:space="preserve"> </w:t>
      </w:r>
      <w:r>
        <w:rPr>
          <w:color w:val="221F1F"/>
        </w:rPr>
        <w:t>dispute</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notified</w:t>
      </w:r>
      <w:r>
        <w:rPr>
          <w:color w:val="221F1F"/>
          <w:spacing w:val="-7"/>
        </w:rPr>
        <w:t xml:space="preserve"> </w:t>
      </w:r>
      <w:r>
        <w:rPr>
          <w:color w:val="221F1F"/>
        </w:rPr>
        <w:t>in</w:t>
      </w:r>
      <w:r>
        <w:rPr>
          <w:color w:val="221F1F"/>
          <w:spacing w:val="-5"/>
        </w:rPr>
        <w:t xml:space="preserve"> </w:t>
      </w:r>
      <w:r>
        <w:rPr>
          <w:color w:val="221F1F"/>
        </w:rPr>
        <w:t>writing by either party to the other with a request to submit it to arbitration and to concur in the appointment of an Arbitrator within thirty days of the notice. The dispute shall be referred to the arbitration and final decision of</w:t>
      </w:r>
      <w:r>
        <w:rPr>
          <w:color w:val="221F1F"/>
          <w:spacing w:val="-10"/>
        </w:rPr>
        <w:t xml:space="preserve"> </w:t>
      </w:r>
      <w:r>
        <w:rPr>
          <w:color w:val="221F1F"/>
        </w:rPr>
        <w:t>a</w:t>
      </w:r>
      <w:r>
        <w:rPr>
          <w:color w:val="221F1F"/>
          <w:spacing w:val="-11"/>
        </w:rPr>
        <w:t xml:space="preserve"> </w:t>
      </w:r>
      <w:r>
        <w:rPr>
          <w:color w:val="221F1F"/>
        </w:rPr>
        <w:t>person</w:t>
      </w:r>
      <w:r>
        <w:rPr>
          <w:color w:val="221F1F"/>
          <w:spacing w:val="-10"/>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agreed</w:t>
      </w:r>
      <w:r>
        <w:rPr>
          <w:color w:val="221F1F"/>
          <w:spacing w:val="-11"/>
        </w:rPr>
        <w:t xml:space="preserve"> </w:t>
      </w:r>
      <w:r>
        <w:rPr>
          <w:color w:val="221F1F"/>
        </w:rPr>
        <w:t>between</w:t>
      </w:r>
      <w:r>
        <w:rPr>
          <w:color w:val="221F1F"/>
          <w:spacing w:val="-10"/>
        </w:rPr>
        <w:t xml:space="preserve"> </w:t>
      </w:r>
      <w:r>
        <w:rPr>
          <w:color w:val="221F1F"/>
        </w:rPr>
        <w:t>the</w:t>
      </w:r>
      <w:r>
        <w:rPr>
          <w:color w:val="221F1F"/>
          <w:spacing w:val="-10"/>
        </w:rPr>
        <w:t xml:space="preserve"> </w:t>
      </w:r>
      <w:r>
        <w:rPr>
          <w:color w:val="221F1F"/>
        </w:rPr>
        <w:t>parties.</w:t>
      </w:r>
      <w:r>
        <w:rPr>
          <w:color w:val="221F1F"/>
          <w:spacing w:val="-10"/>
        </w:rPr>
        <w:t xml:space="preserve"> </w:t>
      </w:r>
      <w:r>
        <w:rPr>
          <w:color w:val="221F1F"/>
        </w:rPr>
        <w:t>Failing</w:t>
      </w:r>
      <w:r>
        <w:rPr>
          <w:color w:val="221F1F"/>
          <w:spacing w:val="-11"/>
        </w:rPr>
        <w:t xml:space="preserve"> </w:t>
      </w:r>
      <w:r>
        <w:rPr>
          <w:color w:val="221F1F"/>
        </w:rPr>
        <w:t>agreement</w:t>
      </w:r>
      <w:r>
        <w:rPr>
          <w:color w:val="221F1F"/>
          <w:spacing w:val="-9"/>
        </w:rPr>
        <w:t xml:space="preserve"> </w:t>
      </w:r>
      <w:r>
        <w:rPr>
          <w:color w:val="221F1F"/>
        </w:rPr>
        <w:t>to</w:t>
      </w:r>
      <w:r>
        <w:rPr>
          <w:color w:val="221F1F"/>
          <w:spacing w:val="-11"/>
        </w:rPr>
        <w:t xml:space="preserve"> </w:t>
      </w:r>
      <w:r>
        <w:rPr>
          <w:color w:val="221F1F"/>
        </w:rPr>
        <w:t>concur</w:t>
      </w:r>
      <w:r>
        <w:rPr>
          <w:color w:val="221F1F"/>
          <w:spacing w:val="-10"/>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appointment</w:t>
      </w:r>
      <w:r>
        <w:rPr>
          <w:color w:val="221F1F"/>
          <w:spacing w:val="-9"/>
        </w:rPr>
        <w:t xml:space="preserve"> </w:t>
      </w:r>
      <w:r>
        <w:rPr>
          <w:color w:val="221F1F"/>
        </w:rPr>
        <w:t>of</w:t>
      </w:r>
      <w:r>
        <w:rPr>
          <w:color w:val="221F1F"/>
          <w:spacing w:val="-10"/>
        </w:rPr>
        <w:t xml:space="preserve"> </w:t>
      </w:r>
      <w:r>
        <w:rPr>
          <w:color w:val="221F1F"/>
        </w:rPr>
        <w:t>an</w:t>
      </w:r>
      <w:r>
        <w:rPr>
          <w:color w:val="221F1F"/>
          <w:spacing w:val="-11"/>
        </w:rPr>
        <w:t xml:space="preserve"> </w:t>
      </w:r>
      <w:r>
        <w:rPr>
          <w:color w:val="221F1F"/>
        </w:rPr>
        <w:t>Arbitrator, the</w:t>
      </w:r>
      <w:r>
        <w:rPr>
          <w:color w:val="221F1F"/>
          <w:spacing w:val="-5"/>
        </w:rPr>
        <w:t xml:space="preserve"> </w:t>
      </w:r>
      <w:r>
        <w:rPr>
          <w:color w:val="221F1F"/>
        </w:rPr>
        <w:t>Arbitrator</w:t>
      </w:r>
      <w:r>
        <w:rPr>
          <w:color w:val="221F1F"/>
          <w:spacing w:val="-4"/>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appointed,</w:t>
      </w:r>
      <w:r>
        <w:rPr>
          <w:color w:val="221F1F"/>
          <w:spacing w:val="-2"/>
        </w:rPr>
        <w:t xml:space="preserve"> </w:t>
      </w:r>
      <w:r>
        <w:rPr>
          <w:color w:val="221F1F"/>
        </w:rPr>
        <w:t>on</w:t>
      </w:r>
      <w:r>
        <w:rPr>
          <w:color w:val="221F1F"/>
          <w:spacing w:val="-6"/>
        </w:rPr>
        <w:t xml:space="preserve"> </w:t>
      </w:r>
      <w:r>
        <w:rPr>
          <w:color w:val="221F1F"/>
        </w:rPr>
        <w:t>the</w:t>
      </w:r>
      <w:r>
        <w:rPr>
          <w:color w:val="221F1F"/>
          <w:spacing w:val="-5"/>
        </w:rPr>
        <w:t xml:space="preserve"> </w:t>
      </w:r>
      <w:r>
        <w:rPr>
          <w:color w:val="221F1F"/>
        </w:rPr>
        <w:t>request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applying</w:t>
      </w:r>
      <w:r>
        <w:rPr>
          <w:color w:val="221F1F"/>
          <w:spacing w:val="-5"/>
        </w:rPr>
        <w:t xml:space="preserve"> </w:t>
      </w:r>
      <w:r>
        <w:rPr>
          <w:color w:val="221F1F"/>
        </w:rPr>
        <w:t>party,</w:t>
      </w:r>
      <w:r>
        <w:rPr>
          <w:color w:val="221F1F"/>
          <w:spacing w:val="-10"/>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Chairman</w:t>
      </w:r>
      <w:r>
        <w:rPr>
          <w:color w:val="221F1F"/>
          <w:spacing w:val="-4"/>
        </w:rPr>
        <w:t xml:space="preserve"> </w:t>
      </w:r>
      <w:r>
        <w:rPr>
          <w:color w:val="221F1F"/>
        </w:rPr>
        <w:t>or</w:t>
      </w:r>
      <w:r>
        <w:rPr>
          <w:color w:val="221F1F"/>
          <w:spacing w:val="-5"/>
        </w:rPr>
        <w:t xml:space="preserve"> </w:t>
      </w:r>
      <w:r>
        <w:rPr>
          <w:color w:val="221F1F"/>
        </w:rPr>
        <w:t>Vice</w:t>
      </w:r>
      <w:r>
        <w:rPr>
          <w:color w:val="221F1F"/>
          <w:spacing w:val="-13"/>
        </w:rPr>
        <w:t xml:space="preserve"> </w:t>
      </w:r>
      <w:r>
        <w:rPr>
          <w:color w:val="221F1F"/>
        </w:rPr>
        <w:t>Chairman</w:t>
      </w:r>
      <w:r>
        <w:rPr>
          <w:color w:val="221F1F"/>
          <w:spacing w:val="-5"/>
        </w:rPr>
        <w:t xml:space="preserve"> </w:t>
      </w:r>
      <w:r>
        <w:rPr>
          <w:color w:val="221F1F"/>
        </w:rPr>
        <w:t>of any of the following professional institutions;</w:t>
      </w:r>
    </w:p>
    <w:p w:rsidR="007F6DF9" w:rsidRDefault="00A43FBC">
      <w:pPr>
        <w:pStyle w:val="ListParagraph"/>
        <w:numPr>
          <w:ilvl w:val="0"/>
          <w:numId w:val="22"/>
        </w:numPr>
        <w:tabs>
          <w:tab w:val="left" w:pos="1899"/>
        </w:tabs>
        <w:spacing w:line="240" w:lineRule="exact"/>
        <w:ind w:hanging="475"/>
      </w:pPr>
      <w:r>
        <w:rPr>
          <w:color w:val="221F1F"/>
        </w:rPr>
        <w:t>Architectural</w:t>
      </w:r>
      <w:r>
        <w:rPr>
          <w:color w:val="221F1F"/>
          <w:spacing w:val="-7"/>
        </w:rPr>
        <w:t xml:space="preserve"> </w:t>
      </w:r>
      <w:r>
        <w:rPr>
          <w:color w:val="221F1F"/>
        </w:rPr>
        <w:t>Association</w:t>
      </w:r>
      <w:r>
        <w:rPr>
          <w:color w:val="221F1F"/>
          <w:spacing w:val="-6"/>
        </w:rPr>
        <w:t xml:space="preserve"> </w:t>
      </w:r>
      <w:r>
        <w:rPr>
          <w:color w:val="221F1F"/>
        </w:rPr>
        <w:t>of</w:t>
      </w:r>
      <w:r>
        <w:rPr>
          <w:color w:val="221F1F"/>
          <w:spacing w:val="-6"/>
        </w:rPr>
        <w:t xml:space="preserve"> </w:t>
      </w:r>
      <w:r>
        <w:rPr>
          <w:color w:val="221F1F"/>
          <w:spacing w:val="-2"/>
        </w:rPr>
        <w:t>Kenya</w:t>
      </w:r>
    </w:p>
    <w:p w:rsidR="007F6DF9" w:rsidRDefault="00A43FBC">
      <w:pPr>
        <w:pStyle w:val="ListParagraph"/>
        <w:numPr>
          <w:ilvl w:val="0"/>
          <w:numId w:val="22"/>
        </w:numPr>
        <w:tabs>
          <w:tab w:val="left" w:pos="1899"/>
        </w:tabs>
        <w:spacing w:line="245" w:lineRule="exact"/>
        <w:ind w:hanging="475"/>
      </w:pPr>
      <w:r>
        <w:rPr>
          <w:color w:val="221F1F"/>
        </w:rPr>
        <w:t>Institute</w:t>
      </w:r>
      <w:r>
        <w:rPr>
          <w:color w:val="221F1F"/>
          <w:spacing w:val="-5"/>
        </w:rPr>
        <w:t xml:space="preserve"> </w:t>
      </w:r>
      <w:r>
        <w:rPr>
          <w:color w:val="221F1F"/>
        </w:rPr>
        <w:t>of</w:t>
      </w:r>
      <w:r>
        <w:rPr>
          <w:color w:val="221F1F"/>
          <w:spacing w:val="-3"/>
        </w:rPr>
        <w:t xml:space="preserve"> </w:t>
      </w:r>
      <w:r>
        <w:rPr>
          <w:color w:val="221F1F"/>
        </w:rPr>
        <w:t>Quantity</w:t>
      </w:r>
      <w:r>
        <w:rPr>
          <w:color w:val="221F1F"/>
          <w:spacing w:val="-3"/>
        </w:rPr>
        <w:t xml:space="preserve"> </w:t>
      </w:r>
      <w:r>
        <w:rPr>
          <w:color w:val="221F1F"/>
        </w:rPr>
        <w:t>Surveyors</w:t>
      </w:r>
      <w:r>
        <w:rPr>
          <w:color w:val="221F1F"/>
          <w:spacing w:val="-4"/>
        </w:rPr>
        <w:t xml:space="preserve"> </w:t>
      </w:r>
      <w:r>
        <w:rPr>
          <w:color w:val="221F1F"/>
        </w:rPr>
        <w:t>of</w:t>
      </w:r>
      <w:r>
        <w:rPr>
          <w:color w:val="221F1F"/>
          <w:spacing w:val="-3"/>
        </w:rPr>
        <w:t xml:space="preserve"> </w:t>
      </w:r>
      <w:r>
        <w:rPr>
          <w:color w:val="221F1F"/>
          <w:spacing w:val="-4"/>
        </w:rPr>
        <w:t>Kenya</w:t>
      </w:r>
    </w:p>
    <w:p w:rsidR="007F6DF9" w:rsidRDefault="00A43FBC">
      <w:pPr>
        <w:pStyle w:val="ListParagraph"/>
        <w:numPr>
          <w:ilvl w:val="0"/>
          <w:numId w:val="22"/>
        </w:numPr>
        <w:tabs>
          <w:tab w:val="left" w:pos="1899"/>
        </w:tabs>
        <w:spacing w:line="244" w:lineRule="exact"/>
        <w:ind w:hanging="475"/>
      </w:pPr>
      <w:r>
        <w:rPr>
          <w:color w:val="221F1F"/>
        </w:rPr>
        <w:t>Association</w:t>
      </w:r>
      <w:r>
        <w:rPr>
          <w:color w:val="221F1F"/>
          <w:spacing w:val="-4"/>
        </w:rPr>
        <w:t xml:space="preserve"> </w:t>
      </w:r>
      <w:r>
        <w:rPr>
          <w:color w:val="221F1F"/>
        </w:rPr>
        <w:t>of</w:t>
      </w:r>
      <w:r>
        <w:rPr>
          <w:color w:val="221F1F"/>
          <w:spacing w:val="-3"/>
        </w:rPr>
        <w:t xml:space="preserve"> </w:t>
      </w:r>
      <w:r>
        <w:rPr>
          <w:color w:val="221F1F"/>
        </w:rPr>
        <w:t>Consulting</w:t>
      </w:r>
      <w:r>
        <w:rPr>
          <w:color w:val="221F1F"/>
          <w:spacing w:val="-5"/>
        </w:rPr>
        <w:t xml:space="preserve"> </w:t>
      </w:r>
      <w:r>
        <w:rPr>
          <w:color w:val="221F1F"/>
        </w:rPr>
        <w:t>Engineers</w:t>
      </w:r>
      <w:r>
        <w:rPr>
          <w:color w:val="221F1F"/>
          <w:spacing w:val="-6"/>
        </w:rPr>
        <w:t xml:space="preserve"> </w:t>
      </w:r>
      <w:r>
        <w:rPr>
          <w:color w:val="221F1F"/>
        </w:rPr>
        <w:t>of</w:t>
      </w:r>
      <w:r>
        <w:rPr>
          <w:color w:val="221F1F"/>
          <w:spacing w:val="-2"/>
        </w:rPr>
        <w:t xml:space="preserve"> Kenya</w:t>
      </w:r>
    </w:p>
    <w:p w:rsidR="007F6DF9" w:rsidRDefault="00A43FBC">
      <w:pPr>
        <w:pStyle w:val="ListParagraph"/>
        <w:numPr>
          <w:ilvl w:val="0"/>
          <w:numId w:val="22"/>
        </w:numPr>
        <w:tabs>
          <w:tab w:val="left" w:pos="1899"/>
        </w:tabs>
        <w:spacing w:line="245" w:lineRule="exact"/>
        <w:ind w:hanging="475"/>
      </w:pPr>
      <w:r>
        <w:rPr>
          <w:color w:val="221F1F"/>
        </w:rPr>
        <w:t>Chartered</w:t>
      </w:r>
      <w:r>
        <w:rPr>
          <w:color w:val="221F1F"/>
          <w:spacing w:val="-8"/>
        </w:rPr>
        <w:t xml:space="preserve"> </w:t>
      </w:r>
      <w:r>
        <w:rPr>
          <w:color w:val="221F1F"/>
        </w:rPr>
        <w:t>Institute</w:t>
      </w:r>
      <w:r>
        <w:rPr>
          <w:color w:val="221F1F"/>
          <w:spacing w:val="-4"/>
        </w:rPr>
        <w:t xml:space="preserve"> </w:t>
      </w:r>
      <w:r>
        <w:rPr>
          <w:color w:val="221F1F"/>
        </w:rPr>
        <w:t>of</w:t>
      </w:r>
      <w:r>
        <w:rPr>
          <w:color w:val="221F1F"/>
          <w:spacing w:val="-5"/>
        </w:rPr>
        <w:t xml:space="preserve"> </w:t>
      </w:r>
      <w:r>
        <w:rPr>
          <w:color w:val="221F1F"/>
        </w:rPr>
        <w:t>Arbitrators</w:t>
      </w:r>
      <w:r>
        <w:rPr>
          <w:color w:val="221F1F"/>
          <w:spacing w:val="-6"/>
        </w:rPr>
        <w:t xml:space="preserve"> </w:t>
      </w:r>
      <w:r>
        <w:rPr>
          <w:color w:val="221F1F"/>
        </w:rPr>
        <w:t>(Kenya</w:t>
      </w:r>
      <w:r>
        <w:rPr>
          <w:color w:val="221F1F"/>
          <w:spacing w:val="-5"/>
        </w:rPr>
        <w:t xml:space="preserve"> </w:t>
      </w:r>
      <w:r>
        <w:rPr>
          <w:color w:val="221F1F"/>
          <w:spacing w:val="-2"/>
        </w:rPr>
        <w:t>Branch)</w:t>
      </w:r>
    </w:p>
    <w:p w:rsidR="007F6DF9" w:rsidRDefault="00A43FBC">
      <w:pPr>
        <w:pStyle w:val="ListParagraph"/>
        <w:numPr>
          <w:ilvl w:val="0"/>
          <w:numId w:val="22"/>
        </w:numPr>
        <w:tabs>
          <w:tab w:val="left" w:pos="1899"/>
        </w:tabs>
        <w:spacing w:line="250" w:lineRule="exact"/>
        <w:ind w:hanging="475"/>
      </w:pPr>
      <w:r>
        <w:rPr>
          <w:color w:val="221F1F"/>
        </w:rPr>
        <w:t>Institution</w:t>
      </w:r>
      <w:r>
        <w:rPr>
          <w:color w:val="221F1F"/>
          <w:spacing w:val="-4"/>
        </w:rPr>
        <w:t xml:space="preserve"> </w:t>
      </w:r>
      <w:r>
        <w:rPr>
          <w:color w:val="221F1F"/>
        </w:rPr>
        <w:t>of</w:t>
      </w:r>
      <w:r>
        <w:rPr>
          <w:color w:val="221F1F"/>
          <w:spacing w:val="-2"/>
        </w:rPr>
        <w:t xml:space="preserve"> </w:t>
      </w:r>
      <w:r>
        <w:rPr>
          <w:color w:val="221F1F"/>
        </w:rPr>
        <w:t>Engineers</w:t>
      </w:r>
      <w:r>
        <w:rPr>
          <w:color w:val="221F1F"/>
          <w:spacing w:val="-4"/>
        </w:rPr>
        <w:t xml:space="preserve"> </w:t>
      </w:r>
      <w:r>
        <w:rPr>
          <w:color w:val="221F1F"/>
        </w:rPr>
        <w:t>of</w:t>
      </w:r>
      <w:r>
        <w:rPr>
          <w:color w:val="221F1F"/>
          <w:spacing w:val="-4"/>
        </w:rPr>
        <w:t xml:space="preserve"> </w:t>
      </w:r>
      <w:r>
        <w:rPr>
          <w:color w:val="221F1F"/>
          <w:spacing w:val="-2"/>
        </w:rPr>
        <w:t>Kenya</w:t>
      </w:r>
    </w:p>
    <w:p w:rsidR="007F6DF9" w:rsidRDefault="00A43FBC">
      <w:pPr>
        <w:pStyle w:val="ListParagraph"/>
        <w:numPr>
          <w:ilvl w:val="2"/>
          <w:numId w:val="122"/>
        </w:numPr>
        <w:tabs>
          <w:tab w:val="left" w:pos="1428"/>
        </w:tabs>
        <w:spacing w:before="236"/>
        <w:ind w:left="1428" w:hanging="717"/>
        <w:rPr>
          <w:color w:val="221F1F"/>
        </w:rPr>
      </w:pPr>
      <w:r>
        <w:rPr>
          <w:color w:val="221F1F"/>
        </w:rPr>
        <w:t>The</w:t>
      </w:r>
      <w:r>
        <w:rPr>
          <w:color w:val="221F1F"/>
          <w:spacing w:val="-4"/>
        </w:rPr>
        <w:t xml:space="preserve"> </w:t>
      </w:r>
      <w:r>
        <w:rPr>
          <w:color w:val="221F1F"/>
        </w:rPr>
        <w:t>institution</w:t>
      </w:r>
      <w:r>
        <w:rPr>
          <w:color w:val="221F1F"/>
          <w:spacing w:val="-4"/>
        </w:rPr>
        <w:t xml:space="preserve"> </w:t>
      </w:r>
      <w:r>
        <w:rPr>
          <w:color w:val="221F1F"/>
        </w:rPr>
        <w:t>written</w:t>
      </w:r>
      <w:r>
        <w:rPr>
          <w:color w:val="221F1F"/>
          <w:spacing w:val="-5"/>
        </w:rPr>
        <w:t xml:space="preserve"> </w:t>
      </w:r>
      <w:r>
        <w:rPr>
          <w:color w:val="221F1F"/>
        </w:rPr>
        <w:t>to</w:t>
      </w:r>
      <w:r>
        <w:rPr>
          <w:color w:val="221F1F"/>
          <w:spacing w:val="-3"/>
        </w:rPr>
        <w:t xml:space="preserve"> </w:t>
      </w:r>
      <w:r>
        <w:rPr>
          <w:color w:val="221F1F"/>
        </w:rPr>
        <w:t>first</w:t>
      </w:r>
      <w:r>
        <w:rPr>
          <w:color w:val="221F1F"/>
          <w:spacing w:val="-3"/>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aggrieved</w:t>
      </w:r>
      <w:r>
        <w:rPr>
          <w:color w:val="221F1F"/>
          <w:spacing w:val="-3"/>
        </w:rPr>
        <w:t xml:space="preserve"> </w:t>
      </w:r>
      <w:r>
        <w:rPr>
          <w:color w:val="221F1F"/>
        </w:rPr>
        <w:t>party</w:t>
      </w:r>
      <w:r>
        <w:rPr>
          <w:color w:val="221F1F"/>
          <w:spacing w:val="-4"/>
        </w:rPr>
        <w:t xml:space="preserve"> </w:t>
      </w:r>
      <w:r>
        <w:rPr>
          <w:color w:val="221F1F"/>
        </w:rPr>
        <w:t>shall</w:t>
      </w:r>
      <w:r>
        <w:rPr>
          <w:color w:val="221F1F"/>
          <w:spacing w:val="-4"/>
        </w:rPr>
        <w:t xml:space="preserve"> </w:t>
      </w:r>
      <w:r>
        <w:rPr>
          <w:color w:val="221F1F"/>
        </w:rPr>
        <w:t>take</w:t>
      </w:r>
      <w:r>
        <w:rPr>
          <w:color w:val="221F1F"/>
          <w:spacing w:val="-4"/>
        </w:rPr>
        <w:t xml:space="preserve"> </w:t>
      </w:r>
      <w:r>
        <w:rPr>
          <w:color w:val="221F1F"/>
        </w:rPr>
        <w:t>precedence</w:t>
      </w:r>
      <w:r>
        <w:rPr>
          <w:color w:val="221F1F"/>
          <w:spacing w:val="-2"/>
        </w:rPr>
        <w:t xml:space="preserve"> </w:t>
      </w:r>
      <w:r>
        <w:rPr>
          <w:color w:val="221F1F"/>
        </w:rPr>
        <w:t>over</w:t>
      </w:r>
      <w:r>
        <w:rPr>
          <w:color w:val="221F1F"/>
          <w:spacing w:val="-3"/>
        </w:rPr>
        <w:t xml:space="preserve"> </w:t>
      </w:r>
      <w:r>
        <w:rPr>
          <w:color w:val="221F1F"/>
        </w:rPr>
        <w:t>all</w:t>
      </w:r>
      <w:r>
        <w:rPr>
          <w:color w:val="221F1F"/>
          <w:spacing w:val="-4"/>
        </w:rPr>
        <w:t xml:space="preserve"> </w:t>
      </w:r>
      <w:r>
        <w:rPr>
          <w:color w:val="221F1F"/>
        </w:rPr>
        <w:t>other</w:t>
      </w:r>
      <w:r>
        <w:rPr>
          <w:color w:val="221F1F"/>
          <w:spacing w:val="-3"/>
        </w:rPr>
        <w:t xml:space="preserve"> </w:t>
      </w:r>
      <w:r>
        <w:rPr>
          <w:color w:val="221F1F"/>
          <w:spacing w:val="-2"/>
        </w:rPr>
        <w:t>institutions.</w:t>
      </w:r>
    </w:p>
    <w:p w:rsidR="007F6DF9" w:rsidRDefault="00A43FBC">
      <w:pPr>
        <w:pStyle w:val="Heading9"/>
        <w:numPr>
          <w:ilvl w:val="1"/>
          <w:numId w:val="122"/>
        </w:numPr>
        <w:tabs>
          <w:tab w:val="left" w:pos="1428"/>
        </w:tabs>
        <w:spacing w:before="235"/>
        <w:ind w:left="1428" w:hanging="717"/>
        <w:rPr>
          <w:color w:val="221F1F"/>
        </w:rPr>
      </w:pPr>
      <w:r>
        <w:rPr>
          <w:color w:val="221F1F"/>
        </w:rPr>
        <w:t>Arbitration</w:t>
      </w:r>
      <w:r>
        <w:rPr>
          <w:color w:val="221F1F"/>
          <w:spacing w:val="-6"/>
        </w:rPr>
        <w:t xml:space="preserve"> </w:t>
      </w:r>
      <w:r>
        <w:rPr>
          <w:color w:val="221F1F"/>
        </w:rPr>
        <w:t>with</w:t>
      </w:r>
      <w:r>
        <w:rPr>
          <w:color w:val="221F1F"/>
          <w:spacing w:val="-4"/>
        </w:rPr>
        <w:t xml:space="preserve"> </w:t>
      </w:r>
      <w:r>
        <w:rPr>
          <w:color w:val="221F1F"/>
        </w:rPr>
        <w:t>Foreign</w:t>
      </w:r>
      <w:r>
        <w:rPr>
          <w:color w:val="221F1F"/>
          <w:spacing w:val="-4"/>
        </w:rPr>
        <w:t xml:space="preserve"> </w:t>
      </w:r>
      <w:r>
        <w:rPr>
          <w:color w:val="221F1F"/>
          <w:spacing w:val="-2"/>
        </w:rPr>
        <w:t>Contractors</w:t>
      </w:r>
    </w:p>
    <w:p w:rsidR="007F6DF9" w:rsidRDefault="00A43FBC">
      <w:pPr>
        <w:pStyle w:val="ListParagraph"/>
        <w:numPr>
          <w:ilvl w:val="2"/>
          <w:numId w:val="122"/>
        </w:numPr>
        <w:tabs>
          <w:tab w:val="left" w:pos="1424"/>
          <w:tab w:val="left" w:pos="1436"/>
        </w:tabs>
        <w:spacing w:before="242" w:line="230" w:lineRule="auto"/>
        <w:ind w:left="1436" w:right="563" w:hanging="726"/>
        <w:jc w:val="both"/>
        <w:rPr>
          <w:color w:val="221F1F"/>
        </w:rPr>
      </w:pPr>
      <w:r>
        <w:rPr>
          <w:color w:val="221F1F"/>
        </w:rPr>
        <w:t>Arbitration</w:t>
      </w:r>
      <w:r>
        <w:rPr>
          <w:color w:val="221F1F"/>
          <w:spacing w:val="-5"/>
        </w:rPr>
        <w:t xml:space="preserve"> </w:t>
      </w:r>
      <w:r>
        <w:rPr>
          <w:color w:val="221F1F"/>
        </w:rPr>
        <w:t>with</w:t>
      </w:r>
      <w:r>
        <w:rPr>
          <w:color w:val="221F1F"/>
          <w:spacing w:val="-8"/>
        </w:rPr>
        <w:t xml:space="preserve"> </w:t>
      </w:r>
      <w:r>
        <w:rPr>
          <w:color w:val="221F1F"/>
        </w:rPr>
        <w:t>foreign</w:t>
      </w:r>
      <w:r>
        <w:rPr>
          <w:color w:val="221F1F"/>
          <w:spacing w:val="-5"/>
        </w:rPr>
        <w:t xml:space="preserve"> </w:t>
      </w:r>
      <w:r>
        <w:rPr>
          <w:color w:val="221F1F"/>
        </w:rPr>
        <w:t>contractors</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conducted</w:t>
      </w:r>
      <w:r>
        <w:rPr>
          <w:color w:val="221F1F"/>
          <w:spacing w:val="-8"/>
        </w:rPr>
        <w:t xml:space="preserve"> </w:t>
      </w:r>
      <w:r>
        <w:rPr>
          <w:color w:val="221F1F"/>
        </w:rPr>
        <w:t>in</w:t>
      </w:r>
      <w:r>
        <w:rPr>
          <w:color w:val="221F1F"/>
          <w:spacing w:val="-6"/>
        </w:rPr>
        <w:t xml:space="preserve"> </w:t>
      </w:r>
      <w:r>
        <w:rPr>
          <w:color w:val="221F1F"/>
        </w:rPr>
        <w:t>accordance</w:t>
      </w:r>
      <w:r>
        <w:rPr>
          <w:color w:val="221F1F"/>
          <w:spacing w:val="-5"/>
        </w:rPr>
        <w:t xml:space="preserve"> </w:t>
      </w:r>
      <w:r>
        <w:rPr>
          <w:color w:val="221F1F"/>
        </w:rPr>
        <w:t>with</w:t>
      </w:r>
      <w:r>
        <w:rPr>
          <w:color w:val="221F1F"/>
          <w:spacing w:val="-6"/>
        </w:rPr>
        <w:t xml:space="preserve"> </w:t>
      </w:r>
      <w:r>
        <w:rPr>
          <w:color w:val="221F1F"/>
        </w:rPr>
        <w:t>the</w:t>
      </w:r>
      <w:r>
        <w:rPr>
          <w:color w:val="221F1F"/>
          <w:spacing w:val="-6"/>
        </w:rPr>
        <w:t xml:space="preserve"> </w:t>
      </w:r>
      <w:r>
        <w:rPr>
          <w:color w:val="221F1F"/>
        </w:rPr>
        <w:t>arbitration</w:t>
      </w:r>
      <w:r>
        <w:rPr>
          <w:color w:val="221F1F"/>
          <w:spacing w:val="-5"/>
        </w:rPr>
        <w:t xml:space="preserve"> </w:t>
      </w:r>
      <w:r>
        <w:rPr>
          <w:color w:val="221F1F"/>
        </w:rPr>
        <w:t>rules</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rsidR="007F6DF9" w:rsidRDefault="00A43FBC">
      <w:pPr>
        <w:pStyle w:val="ListParagraph"/>
        <w:numPr>
          <w:ilvl w:val="2"/>
          <w:numId w:val="122"/>
        </w:numPr>
        <w:tabs>
          <w:tab w:val="left" w:pos="1424"/>
          <w:tab w:val="left" w:pos="1436"/>
        </w:tabs>
        <w:spacing w:before="246" w:line="230" w:lineRule="auto"/>
        <w:ind w:left="1436" w:right="563" w:hanging="726"/>
        <w:jc w:val="both"/>
        <w:rPr>
          <w:color w:val="221F1F"/>
        </w:rPr>
      </w:pPr>
      <w:r>
        <w:rPr>
          <w:color w:val="221F1F"/>
        </w:rPr>
        <w:t>The</w:t>
      </w:r>
      <w:r>
        <w:rPr>
          <w:color w:val="221F1F"/>
          <w:spacing w:val="-7"/>
        </w:rPr>
        <w:t xml:space="preserve"> </w:t>
      </w:r>
      <w:r>
        <w:rPr>
          <w:color w:val="221F1F"/>
        </w:rPr>
        <w:t>place</w:t>
      </w:r>
      <w:r>
        <w:rPr>
          <w:color w:val="221F1F"/>
          <w:spacing w:val="-8"/>
        </w:rPr>
        <w:t xml:space="preserve"> </w:t>
      </w:r>
      <w:r>
        <w:rPr>
          <w:color w:val="221F1F"/>
        </w:rPr>
        <w:t>of</w:t>
      </w:r>
      <w:r>
        <w:rPr>
          <w:color w:val="221F1F"/>
          <w:spacing w:val="-8"/>
        </w:rPr>
        <w:t xml:space="preserve"> </w:t>
      </w:r>
      <w:r>
        <w:rPr>
          <w:color w:val="221F1F"/>
        </w:rPr>
        <w:t>arbitration</w:t>
      </w:r>
      <w:r>
        <w:rPr>
          <w:color w:val="221F1F"/>
          <w:spacing w:val="-8"/>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a</w:t>
      </w:r>
      <w:r>
        <w:rPr>
          <w:color w:val="221F1F"/>
          <w:spacing w:val="-8"/>
        </w:rPr>
        <w:t xml:space="preserve"> </w:t>
      </w:r>
      <w:r>
        <w:rPr>
          <w:color w:val="221F1F"/>
        </w:rPr>
        <w:t>location</w:t>
      </w:r>
      <w:r>
        <w:rPr>
          <w:color w:val="221F1F"/>
          <w:spacing w:val="-8"/>
        </w:rPr>
        <w:t xml:space="preserve"> </w:t>
      </w:r>
      <w:r>
        <w:rPr>
          <w:color w:val="221F1F"/>
        </w:rPr>
        <w:t>specified</w:t>
      </w:r>
      <w:r>
        <w:rPr>
          <w:color w:val="221F1F"/>
          <w:spacing w:val="-8"/>
        </w:rPr>
        <w:t xml:space="preserve"> </w:t>
      </w:r>
      <w:r>
        <w:rPr>
          <w:color w:val="221F1F"/>
        </w:rPr>
        <w:t>in</w:t>
      </w:r>
      <w:r>
        <w:rPr>
          <w:color w:val="221F1F"/>
          <w:spacing w:val="-8"/>
        </w:rPr>
        <w:t xml:space="preserve"> </w:t>
      </w:r>
      <w:r>
        <w:rPr>
          <w:color w:val="221F1F"/>
        </w:rPr>
        <w:t>the</w:t>
      </w:r>
      <w:r>
        <w:rPr>
          <w:color w:val="221F1F"/>
          <w:spacing w:val="-7"/>
        </w:rPr>
        <w:t xml:space="preserve"> </w:t>
      </w:r>
      <w:r>
        <w:rPr>
          <w:b/>
          <w:color w:val="221F1F"/>
        </w:rPr>
        <w:t>SCC;</w:t>
      </w:r>
      <w:r>
        <w:rPr>
          <w:b/>
          <w:color w:val="221F1F"/>
          <w:spacing w:val="-6"/>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arbitration</w:t>
      </w:r>
      <w:r>
        <w:rPr>
          <w:color w:val="221F1F"/>
          <w:spacing w:val="-8"/>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conducted</w:t>
      </w:r>
      <w:r>
        <w:rPr>
          <w:color w:val="221F1F"/>
          <w:spacing w:val="-8"/>
        </w:rPr>
        <w:t xml:space="preserve"> </w:t>
      </w:r>
      <w:r>
        <w:rPr>
          <w:color w:val="221F1F"/>
        </w:rPr>
        <w:t>in</w:t>
      </w:r>
      <w:r>
        <w:rPr>
          <w:color w:val="221F1F"/>
          <w:spacing w:val="-8"/>
        </w:rPr>
        <w:t xml:space="preserve"> </w:t>
      </w:r>
      <w:r>
        <w:rPr>
          <w:color w:val="221F1F"/>
        </w:rPr>
        <w:t>the language for communications defined in Sub-Clause1.4 [Law and Language].</w:t>
      </w:r>
    </w:p>
    <w:p w:rsidR="007F6DF9" w:rsidRDefault="00A43FBC">
      <w:pPr>
        <w:pStyle w:val="Heading9"/>
        <w:numPr>
          <w:ilvl w:val="1"/>
          <w:numId w:val="122"/>
        </w:numPr>
        <w:tabs>
          <w:tab w:val="left" w:pos="1428"/>
        </w:tabs>
        <w:spacing w:before="236"/>
        <w:ind w:left="1428" w:hanging="717"/>
        <w:rPr>
          <w:color w:val="221F1F"/>
        </w:rPr>
      </w:pPr>
      <w:r>
        <w:rPr>
          <w:color w:val="221F1F"/>
        </w:rPr>
        <w:t>Alternative</w:t>
      </w:r>
      <w:r>
        <w:rPr>
          <w:color w:val="221F1F"/>
          <w:spacing w:val="-8"/>
        </w:rPr>
        <w:t xml:space="preserve"> </w:t>
      </w:r>
      <w:r>
        <w:rPr>
          <w:color w:val="221F1F"/>
        </w:rPr>
        <w:t>Arbitration</w:t>
      </w:r>
      <w:r>
        <w:rPr>
          <w:color w:val="221F1F"/>
          <w:spacing w:val="-7"/>
        </w:rPr>
        <w:t xml:space="preserve"> </w:t>
      </w:r>
      <w:r>
        <w:rPr>
          <w:color w:val="221F1F"/>
          <w:spacing w:val="-2"/>
        </w:rPr>
        <w:t>Proceedings</w:t>
      </w:r>
    </w:p>
    <w:p w:rsidR="007F6DF9" w:rsidRDefault="00A43FBC">
      <w:pPr>
        <w:pStyle w:val="BodyText"/>
        <w:spacing w:before="242" w:line="230" w:lineRule="auto"/>
        <w:ind w:left="1436" w:right="563" w:hanging="8"/>
        <w:jc w:val="both"/>
      </w:pPr>
      <w:r>
        <w:rPr>
          <w:color w:val="221F1F"/>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rsidR="007F6DF9" w:rsidRDefault="00A43FBC">
      <w:pPr>
        <w:pStyle w:val="Heading9"/>
        <w:numPr>
          <w:ilvl w:val="1"/>
          <w:numId w:val="122"/>
        </w:numPr>
        <w:tabs>
          <w:tab w:val="left" w:pos="1428"/>
        </w:tabs>
        <w:spacing w:before="235"/>
        <w:ind w:left="1428" w:hanging="717"/>
        <w:rPr>
          <w:color w:val="221F1F"/>
        </w:rPr>
      </w:pPr>
      <w:proofErr w:type="spellStart"/>
      <w:r>
        <w:rPr>
          <w:color w:val="221F1F"/>
        </w:rPr>
        <w:t>Failureto</w:t>
      </w:r>
      <w:proofErr w:type="spellEnd"/>
      <w:r>
        <w:rPr>
          <w:color w:val="221F1F"/>
          <w:spacing w:val="-6"/>
        </w:rPr>
        <w:t xml:space="preserve"> </w:t>
      </w:r>
      <w:r>
        <w:rPr>
          <w:color w:val="221F1F"/>
        </w:rPr>
        <w:t>Comply</w:t>
      </w:r>
      <w:r>
        <w:rPr>
          <w:color w:val="221F1F"/>
          <w:spacing w:val="-6"/>
        </w:rPr>
        <w:t xml:space="preserve"> </w:t>
      </w:r>
      <w:r>
        <w:rPr>
          <w:color w:val="221F1F"/>
        </w:rPr>
        <w:t>with</w:t>
      </w:r>
      <w:r>
        <w:rPr>
          <w:color w:val="221F1F"/>
          <w:spacing w:val="-4"/>
        </w:rPr>
        <w:t xml:space="preserve"> </w:t>
      </w:r>
      <w:r>
        <w:rPr>
          <w:color w:val="221F1F"/>
        </w:rPr>
        <w:t>Arbitrator's</w:t>
      </w:r>
      <w:r>
        <w:rPr>
          <w:color w:val="221F1F"/>
          <w:spacing w:val="-2"/>
        </w:rPr>
        <w:t xml:space="preserve"> Decision</w:t>
      </w:r>
    </w:p>
    <w:p w:rsidR="007F6DF9" w:rsidRDefault="00A43FBC">
      <w:pPr>
        <w:pStyle w:val="ListParagraph"/>
        <w:numPr>
          <w:ilvl w:val="2"/>
          <w:numId w:val="122"/>
        </w:numPr>
        <w:tabs>
          <w:tab w:val="left" w:pos="1428"/>
        </w:tabs>
        <w:spacing w:before="235"/>
        <w:ind w:left="1428" w:hanging="717"/>
        <w:rPr>
          <w:color w:val="221F1F"/>
        </w:rPr>
      </w:pPr>
      <w:r>
        <w:rPr>
          <w:color w:val="221F1F"/>
        </w:rPr>
        <w:t>The</w:t>
      </w:r>
      <w:r>
        <w:rPr>
          <w:color w:val="221F1F"/>
          <w:spacing w:val="-4"/>
        </w:rPr>
        <w:t xml:space="preserve"> </w:t>
      </w:r>
      <w:r>
        <w:rPr>
          <w:color w:val="221F1F"/>
        </w:rPr>
        <w:t>award</w:t>
      </w:r>
      <w:r>
        <w:rPr>
          <w:color w:val="221F1F"/>
          <w:spacing w:val="-3"/>
        </w:rPr>
        <w:t xml:space="preserve"> </w:t>
      </w:r>
      <w:r>
        <w:rPr>
          <w:color w:val="221F1F"/>
        </w:rPr>
        <w:t>of</w:t>
      </w:r>
      <w:r>
        <w:rPr>
          <w:color w:val="221F1F"/>
          <w:spacing w:val="-5"/>
        </w:rPr>
        <w:t xml:space="preserve"> </w:t>
      </w:r>
      <w:r>
        <w:rPr>
          <w:color w:val="221F1F"/>
        </w:rPr>
        <w:t>such</w:t>
      </w:r>
      <w:r>
        <w:rPr>
          <w:color w:val="221F1F"/>
          <w:spacing w:val="-3"/>
        </w:rPr>
        <w:t xml:space="preserve"> </w:t>
      </w:r>
      <w:r>
        <w:rPr>
          <w:color w:val="221F1F"/>
        </w:rPr>
        <w:t>Arbitrator</w:t>
      </w:r>
      <w:r>
        <w:rPr>
          <w:color w:val="221F1F"/>
          <w:spacing w:val="-1"/>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final</w:t>
      </w:r>
      <w:r>
        <w:rPr>
          <w:color w:val="221F1F"/>
          <w:spacing w:val="-4"/>
        </w:rPr>
        <w:t xml:space="preserve"> </w:t>
      </w:r>
      <w:r>
        <w:rPr>
          <w:color w:val="221F1F"/>
        </w:rPr>
        <w:t>and</w:t>
      </w:r>
      <w:r>
        <w:rPr>
          <w:color w:val="221F1F"/>
          <w:spacing w:val="-3"/>
        </w:rPr>
        <w:t xml:space="preserve"> </w:t>
      </w:r>
      <w:r>
        <w:rPr>
          <w:color w:val="221F1F"/>
        </w:rPr>
        <w:t>binding</w:t>
      </w:r>
      <w:r>
        <w:rPr>
          <w:color w:val="221F1F"/>
          <w:spacing w:val="-3"/>
        </w:rPr>
        <w:t xml:space="preserve"> </w:t>
      </w:r>
      <w:r>
        <w:rPr>
          <w:color w:val="221F1F"/>
        </w:rPr>
        <w:t>up</w:t>
      </w:r>
      <w:r>
        <w:rPr>
          <w:color w:val="221F1F"/>
          <w:spacing w:val="-3"/>
        </w:rPr>
        <w:t xml:space="preserve"> </w:t>
      </w:r>
      <w:r>
        <w:rPr>
          <w:color w:val="221F1F"/>
        </w:rPr>
        <w:t>on</w:t>
      </w:r>
      <w:r>
        <w:rPr>
          <w:color w:val="221F1F"/>
          <w:spacing w:val="-6"/>
        </w:rPr>
        <w:t xml:space="preserve"> </w:t>
      </w:r>
      <w:r>
        <w:rPr>
          <w:color w:val="221F1F"/>
        </w:rPr>
        <w:t>the</w:t>
      </w:r>
      <w:r>
        <w:rPr>
          <w:color w:val="221F1F"/>
          <w:spacing w:val="-3"/>
        </w:rPr>
        <w:t xml:space="preserve"> </w:t>
      </w:r>
      <w:r>
        <w:rPr>
          <w:color w:val="221F1F"/>
          <w:spacing w:val="-2"/>
        </w:rPr>
        <w:t>parties.</w:t>
      </w:r>
    </w:p>
    <w:p w:rsidR="007F6DF9" w:rsidRDefault="00A43FBC">
      <w:pPr>
        <w:pStyle w:val="ListParagraph"/>
        <w:numPr>
          <w:ilvl w:val="2"/>
          <w:numId w:val="122"/>
        </w:numPr>
        <w:tabs>
          <w:tab w:val="left" w:pos="1424"/>
          <w:tab w:val="left" w:pos="1436"/>
        </w:tabs>
        <w:spacing w:before="245" w:line="230" w:lineRule="auto"/>
        <w:ind w:left="1436" w:right="562" w:hanging="726"/>
        <w:jc w:val="both"/>
        <w:rPr>
          <w:color w:val="221F1F"/>
        </w:rPr>
      </w:pPr>
      <w:r>
        <w:rPr>
          <w:color w:val="221F1F"/>
        </w:rPr>
        <w:t xml:space="preserve">In the even </w:t>
      </w:r>
      <w:proofErr w:type="spellStart"/>
      <w:r>
        <w:rPr>
          <w:color w:val="221F1F"/>
        </w:rPr>
        <w:t>tthat</w:t>
      </w:r>
      <w:proofErr w:type="spellEnd"/>
      <w:r>
        <w:rPr>
          <w:color w:val="221F1F"/>
        </w:rPr>
        <w:t xml:space="preserve"> a Party fails to comply with a final and binding Arbitrator's decision, then the other Party may,</w:t>
      </w:r>
      <w:r>
        <w:rPr>
          <w:color w:val="221F1F"/>
          <w:spacing w:val="-5"/>
        </w:rPr>
        <w:t xml:space="preserve"> </w:t>
      </w:r>
      <w:r>
        <w:rPr>
          <w:color w:val="221F1F"/>
        </w:rPr>
        <w:t>without prejudice to any other rights it may have, refer the matter to a competent court of law.</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07"/>
      </w:pPr>
    </w:p>
    <w:p w:rsidR="007F6DF9" w:rsidRDefault="00A43FBC">
      <w:pPr>
        <w:pStyle w:val="Heading9"/>
        <w:numPr>
          <w:ilvl w:val="1"/>
          <w:numId w:val="122"/>
        </w:numPr>
        <w:tabs>
          <w:tab w:val="left" w:pos="1424"/>
        </w:tabs>
        <w:ind w:left="1424" w:hanging="713"/>
        <w:rPr>
          <w:color w:val="221F1F"/>
        </w:rPr>
      </w:pPr>
      <w:r>
        <w:rPr>
          <w:color w:val="221F1F"/>
        </w:rPr>
        <w:t>Contract</w:t>
      </w:r>
      <w:r>
        <w:rPr>
          <w:color w:val="221F1F"/>
          <w:spacing w:val="-3"/>
        </w:rPr>
        <w:t xml:space="preserve"> </w:t>
      </w:r>
      <w:r>
        <w:rPr>
          <w:color w:val="221F1F"/>
        </w:rPr>
        <w:t>operations</w:t>
      </w:r>
      <w:r>
        <w:rPr>
          <w:color w:val="221F1F"/>
          <w:spacing w:val="-4"/>
        </w:rPr>
        <w:t xml:space="preserve"> </w:t>
      </w:r>
      <w:r>
        <w:rPr>
          <w:color w:val="221F1F"/>
        </w:rPr>
        <w:t>to</w:t>
      </w:r>
      <w:r>
        <w:rPr>
          <w:color w:val="221F1F"/>
          <w:spacing w:val="-3"/>
        </w:rPr>
        <w:t xml:space="preserve"> </w:t>
      </w:r>
      <w:r>
        <w:rPr>
          <w:color w:val="221F1F"/>
          <w:spacing w:val="-2"/>
        </w:rPr>
        <w:t>continue</w:t>
      </w:r>
    </w:p>
    <w:p w:rsidR="007F6DF9" w:rsidRDefault="00A43FBC">
      <w:pPr>
        <w:pStyle w:val="BodyText"/>
        <w:spacing w:before="234"/>
        <w:ind w:left="1424"/>
      </w:pPr>
      <w:r>
        <w:rPr>
          <w:color w:val="221F1F"/>
        </w:rPr>
        <w:t>Notwithstanding</w:t>
      </w:r>
      <w:r>
        <w:rPr>
          <w:color w:val="221F1F"/>
          <w:spacing w:val="-6"/>
        </w:rPr>
        <w:t xml:space="preserve"> </w:t>
      </w:r>
      <w:r>
        <w:rPr>
          <w:color w:val="221F1F"/>
        </w:rPr>
        <w:t>any</w:t>
      </w:r>
      <w:r>
        <w:rPr>
          <w:color w:val="221F1F"/>
          <w:spacing w:val="-5"/>
        </w:rPr>
        <w:t xml:space="preserve"> </w:t>
      </w:r>
      <w:r>
        <w:rPr>
          <w:color w:val="221F1F"/>
        </w:rPr>
        <w:t>reference</w:t>
      </w:r>
      <w:r>
        <w:rPr>
          <w:color w:val="221F1F"/>
          <w:spacing w:val="-6"/>
        </w:rPr>
        <w:t xml:space="preserve"> </w:t>
      </w:r>
      <w:r>
        <w:rPr>
          <w:color w:val="221F1F"/>
        </w:rPr>
        <w:t>to</w:t>
      </w:r>
      <w:r>
        <w:rPr>
          <w:color w:val="221F1F"/>
          <w:spacing w:val="-5"/>
        </w:rPr>
        <w:t xml:space="preserve"> </w:t>
      </w:r>
      <w:r>
        <w:rPr>
          <w:color w:val="221F1F"/>
        </w:rPr>
        <w:t>arbitration</w:t>
      </w:r>
      <w:r>
        <w:rPr>
          <w:color w:val="221F1F"/>
          <w:spacing w:val="-5"/>
        </w:rPr>
        <w:t xml:space="preserve"> </w:t>
      </w:r>
      <w:r>
        <w:rPr>
          <w:color w:val="221F1F"/>
          <w:spacing w:val="-2"/>
        </w:rPr>
        <w:t>herein,</w:t>
      </w:r>
    </w:p>
    <w:p w:rsidR="007F6DF9" w:rsidRDefault="00A43FBC">
      <w:pPr>
        <w:pStyle w:val="ListParagraph"/>
        <w:numPr>
          <w:ilvl w:val="2"/>
          <w:numId w:val="21"/>
        </w:numPr>
        <w:tabs>
          <w:tab w:val="left" w:pos="2129"/>
        </w:tabs>
        <w:spacing w:before="243" w:line="230" w:lineRule="auto"/>
        <w:ind w:right="1006"/>
      </w:pPr>
      <w:r>
        <w:rPr>
          <w:color w:val="221F1F"/>
        </w:rPr>
        <w:t>the</w:t>
      </w:r>
      <w:r>
        <w:rPr>
          <w:color w:val="221F1F"/>
          <w:spacing w:val="-2"/>
        </w:rPr>
        <w:t xml:space="preserve"> </w:t>
      </w:r>
      <w:r>
        <w:rPr>
          <w:color w:val="221F1F"/>
        </w:rPr>
        <w:t>parties</w:t>
      </w:r>
      <w:r>
        <w:rPr>
          <w:color w:val="221F1F"/>
          <w:spacing w:val="-2"/>
        </w:rPr>
        <w:t xml:space="preserve"> </w:t>
      </w:r>
      <w:r>
        <w:rPr>
          <w:color w:val="221F1F"/>
        </w:rPr>
        <w:t>shall</w:t>
      </w:r>
      <w:r>
        <w:rPr>
          <w:color w:val="221F1F"/>
          <w:spacing w:val="-1"/>
        </w:rPr>
        <w:t xml:space="preserve"> </w:t>
      </w:r>
      <w:r>
        <w:rPr>
          <w:color w:val="221F1F"/>
        </w:rPr>
        <w:t>continue</w:t>
      </w:r>
      <w:r>
        <w:rPr>
          <w:color w:val="221F1F"/>
          <w:spacing w:val="-4"/>
        </w:rPr>
        <w:t xml:space="preserve"> </w:t>
      </w:r>
      <w:r>
        <w:rPr>
          <w:color w:val="221F1F"/>
        </w:rPr>
        <w:t>to</w:t>
      </w:r>
      <w:r>
        <w:rPr>
          <w:color w:val="221F1F"/>
          <w:spacing w:val="-5"/>
        </w:rPr>
        <w:t xml:space="preserve"> </w:t>
      </w:r>
      <w:r>
        <w:rPr>
          <w:color w:val="221F1F"/>
        </w:rPr>
        <w:t>perform</w:t>
      </w:r>
      <w:r>
        <w:rPr>
          <w:color w:val="221F1F"/>
          <w:spacing w:val="-1"/>
        </w:rPr>
        <w:t xml:space="preserve"> </w:t>
      </w:r>
      <w:r>
        <w:rPr>
          <w:color w:val="221F1F"/>
        </w:rPr>
        <w:t>their</w:t>
      </w:r>
      <w:r>
        <w:rPr>
          <w:color w:val="221F1F"/>
          <w:spacing w:val="-2"/>
        </w:rPr>
        <w:t xml:space="preserve"> </w:t>
      </w:r>
      <w:r>
        <w:rPr>
          <w:color w:val="221F1F"/>
        </w:rPr>
        <w:t>respective</w:t>
      </w:r>
      <w:r>
        <w:rPr>
          <w:color w:val="221F1F"/>
          <w:spacing w:val="-4"/>
        </w:rPr>
        <w:t xml:space="preserve"> </w:t>
      </w:r>
      <w:r>
        <w:rPr>
          <w:color w:val="221F1F"/>
        </w:rPr>
        <w:t>obligations</w:t>
      </w:r>
      <w:r>
        <w:rPr>
          <w:color w:val="221F1F"/>
          <w:spacing w:val="-2"/>
        </w:rPr>
        <w:t xml:space="preserve"> </w:t>
      </w:r>
      <w:r>
        <w:rPr>
          <w:color w:val="221F1F"/>
        </w:rPr>
        <w:t>under</w:t>
      </w:r>
      <w:r>
        <w:rPr>
          <w:color w:val="221F1F"/>
          <w:spacing w:val="-2"/>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unless</w:t>
      </w:r>
      <w:r>
        <w:rPr>
          <w:color w:val="221F1F"/>
          <w:spacing w:val="-4"/>
        </w:rPr>
        <w:t xml:space="preserve"> </w:t>
      </w:r>
      <w:r>
        <w:rPr>
          <w:color w:val="221F1F"/>
        </w:rPr>
        <w:t>they otherwise agree; and</w:t>
      </w:r>
    </w:p>
    <w:p w:rsidR="007F6DF9" w:rsidRDefault="00A43FBC">
      <w:pPr>
        <w:pStyle w:val="ListParagraph"/>
        <w:numPr>
          <w:ilvl w:val="2"/>
          <w:numId w:val="21"/>
        </w:numPr>
        <w:tabs>
          <w:tab w:val="left" w:pos="2129"/>
        </w:tabs>
        <w:spacing w:before="235"/>
        <w:ind w:hanging="705"/>
      </w:pPr>
      <w:r>
        <w:rPr>
          <w:color w:val="221F1F"/>
        </w:rPr>
        <w:t>the</w:t>
      </w:r>
      <w:r>
        <w:rPr>
          <w:color w:val="221F1F"/>
          <w:spacing w:val="-6"/>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4"/>
        </w:rPr>
        <w:t xml:space="preserve"> </w:t>
      </w:r>
      <w:r>
        <w:rPr>
          <w:color w:val="221F1F"/>
        </w:rPr>
        <w:t>pay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any</w:t>
      </w:r>
      <w:r>
        <w:rPr>
          <w:color w:val="221F1F"/>
          <w:spacing w:val="-5"/>
        </w:rPr>
        <w:t xml:space="preserve"> </w:t>
      </w:r>
      <w:r>
        <w:rPr>
          <w:color w:val="221F1F"/>
        </w:rPr>
        <w:t>monies</w:t>
      </w:r>
      <w:r>
        <w:rPr>
          <w:color w:val="221F1F"/>
          <w:spacing w:val="-2"/>
        </w:rPr>
        <w:t xml:space="preserve"> </w:t>
      </w:r>
      <w:r>
        <w:rPr>
          <w:color w:val="221F1F"/>
        </w:rPr>
        <w:t>due</w:t>
      </w:r>
      <w:r>
        <w:rPr>
          <w:color w:val="221F1F"/>
          <w:spacing w:val="-5"/>
        </w:rPr>
        <w:t xml:space="preserve"> </w:t>
      </w:r>
      <w:r>
        <w:rPr>
          <w:color w:val="221F1F"/>
        </w:rPr>
        <w:t>the</w:t>
      </w:r>
      <w:r>
        <w:rPr>
          <w:color w:val="221F1F"/>
          <w:spacing w:val="-5"/>
        </w:rPr>
        <w:t xml:space="preserve"> </w:t>
      </w:r>
      <w:r>
        <w:rPr>
          <w:color w:val="221F1F"/>
          <w:spacing w:val="-2"/>
        </w:rPr>
        <w:t>Contractor.</w:t>
      </w:r>
    </w:p>
    <w:p w:rsidR="007F6DF9" w:rsidRDefault="007F6DF9">
      <w:pPr>
        <w:pStyle w:val="ListParagraph"/>
        <w:sectPr w:rsidR="007F6DF9">
          <w:pgSz w:w="11920" w:h="16850"/>
          <w:pgMar w:top="360" w:right="283" w:bottom="620" w:left="141" w:header="0" w:footer="437" w:gutter="0"/>
          <w:cols w:space="720"/>
        </w:sectPr>
      </w:pPr>
    </w:p>
    <w:p w:rsidR="007F6DF9" w:rsidRDefault="007F6DF9">
      <w:pPr>
        <w:pStyle w:val="BodyText"/>
        <w:spacing w:before="184"/>
        <w:rPr>
          <w:sz w:val="24"/>
        </w:rPr>
      </w:pPr>
    </w:p>
    <w:p w:rsidR="007F6DF9" w:rsidRDefault="00A43FBC">
      <w:pPr>
        <w:pStyle w:val="Heading7"/>
        <w:ind w:left="711"/>
      </w:pPr>
      <w:bookmarkStart w:id="73" w:name="_bookmark71"/>
      <w:bookmarkEnd w:id="73"/>
      <w:r>
        <w:rPr>
          <w:color w:val="221F1F"/>
        </w:rPr>
        <w:t>Section</w:t>
      </w:r>
      <w:r>
        <w:rPr>
          <w:color w:val="221F1F"/>
          <w:spacing w:val="-1"/>
        </w:rPr>
        <w:t xml:space="preserve"> </w:t>
      </w:r>
      <w:r>
        <w:rPr>
          <w:color w:val="221F1F"/>
        </w:rPr>
        <w:t>IX -</w:t>
      </w:r>
      <w:r>
        <w:rPr>
          <w:color w:val="221F1F"/>
          <w:spacing w:val="-2"/>
        </w:rPr>
        <w:t xml:space="preserve"> </w:t>
      </w:r>
      <w:r>
        <w:rPr>
          <w:color w:val="221F1F"/>
        </w:rPr>
        <w:t>Special Conditions</w:t>
      </w:r>
      <w:r>
        <w:rPr>
          <w:color w:val="221F1F"/>
          <w:spacing w:val="-1"/>
        </w:rPr>
        <w:t xml:space="preserve"> </w:t>
      </w:r>
      <w:r>
        <w:rPr>
          <w:color w:val="221F1F"/>
        </w:rPr>
        <w:t xml:space="preserve">of </w:t>
      </w:r>
      <w:r>
        <w:rPr>
          <w:color w:val="221F1F"/>
          <w:spacing w:val="-2"/>
        </w:rPr>
        <w:t>Contract</w:t>
      </w:r>
    </w:p>
    <w:p w:rsidR="007F6DF9" w:rsidRDefault="00A43FBC">
      <w:pPr>
        <w:pStyle w:val="BodyText"/>
        <w:spacing w:before="243" w:line="230" w:lineRule="auto"/>
        <w:ind w:left="711" w:right="1230"/>
      </w:pPr>
      <w:r>
        <w:rPr>
          <w:color w:val="221F1F"/>
        </w:rPr>
        <w:t>The</w:t>
      </w:r>
      <w:r>
        <w:rPr>
          <w:color w:val="221F1F"/>
          <w:spacing w:val="-3"/>
        </w:rPr>
        <w:t xml:space="preserve"> </w:t>
      </w:r>
      <w:r>
        <w:rPr>
          <w:color w:val="221F1F"/>
        </w:rPr>
        <w:t>following</w:t>
      </w:r>
      <w:r>
        <w:rPr>
          <w:color w:val="221F1F"/>
          <w:spacing w:val="-3"/>
        </w:rPr>
        <w:t xml:space="preserve"> </w:t>
      </w:r>
      <w:r>
        <w:rPr>
          <w:color w:val="221F1F"/>
        </w:rPr>
        <w:t>Special</w:t>
      </w:r>
      <w:r>
        <w:rPr>
          <w:color w:val="221F1F"/>
          <w:spacing w:val="-1"/>
        </w:rPr>
        <w:t xml:space="preserve"> </w:t>
      </w:r>
      <w:r>
        <w:rPr>
          <w:color w:val="221F1F"/>
        </w:rPr>
        <w:t>Conditions</w:t>
      </w:r>
      <w:r>
        <w:rPr>
          <w:color w:val="221F1F"/>
          <w:spacing w:val="-4"/>
        </w:rPr>
        <w:t xml:space="preserve"> </w:t>
      </w:r>
      <w:r>
        <w:rPr>
          <w:color w:val="221F1F"/>
        </w:rPr>
        <w:t>shall</w:t>
      </w:r>
      <w:r>
        <w:rPr>
          <w:color w:val="221F1F"/>
          <w:spacing w:val="-4"/>
        </w:rPr>
        <w:t xml:space="preserve"> </w:t>
      </w:r>
      <w:r>
        <w:rPr>
          <w:color w:val="221F1F"/>
        </w:rPr>
        <w:t>supplement</w:t>
      </w:r>
      <w:r>
        <w:rPr>
          <w:color w:val="221F1F"/>
          <w:spacing w:val="-2"/>
        </w:rPr>
        <w:t xml:space="preserve"> </w:t>
      </w:r>
      <w:r>
        <w:rPr>
          <w:color w:val="221F1F"/>
        </w:rPr>
        <w:t>the</w:t>
      </w:r>
      <w:r>
        <w:rPr>
          <w:color w:val="221F1F"/>
          <w:spacing w:val="-3"/>
        </w:rPr>
        <w:t xml:space="preserve"> </w:t>
      </w:r>
      <w:r>
        <w:rPr>
          <w:color w:val="221F1F"/>
        </w:rPr>
        <w:t>GCC.</w:t>
      </w:r>
      <w:r>
        <w:rPr>
          <w:color w:val="221F1F"/>
          <w:spacing w:val="40"/>
        </w:rPr>
        <w:t xml:space="preserve"> </w:t>
      </w:r>
      <w:r>
        <w:rPr>
          <w:color w:val="221F1F"/>
        </w:rPr>
        <w:t>Whenever</w:t>
      </w:r>
      <w:r>
        <w:rPr>
          <w:color w:val="221F1F"/>
          <w:spacing w:val="-2"/>
        </w:rPr>
        <w:t xml:space="preserve"> </w:t>
      </w:r>
      <w:r>
        <w:rPr>
          <w:color w:val="221F1F"/>
        </w:rPr>
        <w:t>there</w:t>
      </w:r>
      <w:r>
        <w:rPr>
          <w:color w:val="221F1F"/>
          <w:spacing w:val="-5"/>
        </w:rPr>
        <w:t xml:space="preserve"> </w:t>
      </w:r>
      <w:r>
        <w:rPr>
          <w:color w:val="221F1F"/>
        </w:rPr>
        <w:t>is</w:t>
      </w:r>
      <w:r>
        <w:rPr>
          <w:color w:val="221F1F"/>
          <w:spacing w:val="-5"/>
        </w:rPr>
        <w:t xml:space="preserve"> </w:t>
      </w:r>
      <w:r>
        <w:rPr>
          <w:color w:val="221F1F"/>
        </w:rPr>
        <w:t>a</w:t>
      </w:r>
      <w:r>
        <w:rPr>
          <w:color w:val="221F1F"/>
          <w:spacing w:val="-3"/>
        </w:rPr>
        <w:t xml:space="preserve"> </w:t>
      </w:r>
      <w:r>
        <w:rPr>
          <w:color w:val="221F1F"/>
        </w:rPr>
        <w:t>conflict,</w:t>
      </w:r>
      <w:r>
        <w:rPr>
          <w:color w:val="221F1F"/>
          <w:spacing w:val="-5"/>
        </w:rPr>
        <w:t xml:space="preserve"> </w:t>
      </w:r>
      <w:r>
        <w:rPr>
          <w:color w:val="221F1F"/>
        </w:rPr>
        <w:t>the</w:t>
      </w:r>
      <w:r>
        <w:rPr>
          <w:color w:val="221F1F"/>
          <w:spacing w:val="-3"/>
        </w:rPr>
        <w:t xml:space="preserve"> </w:t>
      </w:r>
      <w:r>
        <w:rPr>
          <w:color w:val="221F1F"/>
        </w:rPr>
        <w:t>provisions here in shall prevail over those in the GCC.</w:t>
      </w:r>
    </w:p>
    <w:p w:rsidR="007F6DF9" w:rsidRDefault="007F6DF9">
      <w:pPr>
        <w:pStyle w:val="BodyText"/>
        <w:rPr>
          <w:sz w:val="20"/>
        </w:rPr>
      </w:pPr>
    </w:p>
    <w:p w:rsidR="007F6DF9" w:rsidRDefault="007F6DF9">
      <w:pPr>
        <w:pStyle w:val="BodyText"/>
        <w:spacing w:before="92"/>
        <w:rPr>
          <w:sz w:val="20"/>
        </w:rPr>
      </w:pPr>
    </w:p>
    <w:tbl>
      <w:tblPr>
        <w:tblW w:w="0" w:type="auto"/>
        <w:tblInd w:w="4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5"/>
        <w:gridCol w:w="1277"/>
        <w:gridCol w:w="4945"/>
      </w:tblGrid>
      <w:tr w:rsidR="007F6DF9">
        <w:trPr>
          <w:trHeight w:val="507"/>
        </w:trPr>
        <w:tc>
          <w:tcPr>
            <w:tcW w:w="3335" w:type="dxa"/>
          </w:tcPr>
          <w:p w:rsidR="007F6DF9" w:rsidRDefault="00A43FBC">
            <w:pPr>
              <w:pStyle w:val="TableParagraph"/>
              <w:ind w:left="104"/>
              <w:rPr>
                <w:rFonts w:ascii="Times New Roman"/>
                <w:b/>
              </w:rPr>
            </w:pPr>
            <w:r>
              <w:rPr>
                <w:rFonts w:ascii="Times New Roman"/>
                <w:b/>
                <w:spacing w:val="-2"/>
              </w:rPr>
              <w:t>Conditions</w:t>
            </w:r>
          </w:p>
        </w:tc>
        <w:tc>
          <w:tcPr>
            <w:tcW w:w="1277" w:type="dxa"/>
          </w:tcPr>
          <w:p w:rsidR="007F6DF9" w:rsidRDefault="00A43FBC">
            <w:pPr>
              <w:pStyle w:val="TableParagraph"/>
              <w:spacing w:line="252" w:lineRule="exact"/>
              <w:ind w:left="104" w:right="489"/>
              <w:rPr>
                <w:rFonts w:ascii="Times New Roman"/>
                <w:b/>
              </w:rPr>
            </w:pPr>
            <w:r>
              <w:rPr>
                <w:rFonts w:ascii="Times New Roman"/>
                <w:b/>
              </w:rPr>
              <w:t>Sub-</w:t>
            </w:r>
            <w:r>
              <w:rPr>
                <w:rFonts w:ascii="Times New Roman"/>
                <w:b/>
                <w:spacing w:val="-2"/>
              </w:rPr>
              <w:t>Clause</w:t>
            </w:r>
          </w:p>
        </w:tc>
        <w:tc>
          <w:tcPr>
            <w:tcW w:w="4945" w:type="dxa"/>
          </w:tcPr>
          <w:p w:rsidR="007F6DF9" w:rsidRDefault="00A43FBC">
            <w:pPr>
              <w:pStyle w:val="TableParagraph"/>
              <w:ind w:left="106"/>
              <w:rPr>
                <w:rFonts w:ascii="Times New Roman"/>
                <w:b/>
              </w:rPr>
            </w:pPr>
            <w:r>
              <w:rPr>
                <w:rFonts w:ascii="Times New Roman"/>
                <w:b/>
                <w:spacing w:val="-4"/>
              </w:rPr>
              <w:t>Data</w:t>
            </w:r>
          </w:p>
        </w:tc>
      </w:tr>
      <w:tr w:rsidR="007F6DF9">
        <w:trPr>
          <w:trHeight w:val="252"/>
        </w:trPr>
        <w:tc>
          <w:tcPr>
            <w:tcW w:w="9557" w:type="dxa"/>
            <w:gridSpan w:val="3"/>
            <w:tcBorders>
              <w:left w:val="single" w:sz="2" w:space="0" w:color="000000"/>
              <w:right w:val="single" w:sz="2" w:space="0" w:color="000000"/>
            </w:tcBorders>
          </w:tcPr>
          <w:p w:rsidR="007F6DF9" w:rsidRDefault="00A43FBC">
            <w:pPr>
              <w:pStyle w:val="TableParagraph"/>
              <w:spacing w:line="232" w:lineRule="exact"/>
              <w:ind w:left="39"/>
              <w:jc w:val="center"/>
              <w:rPr>
                <w:rFonts w:ascii="Times New Roman"/>
                <w:b/>
              </w:rPr>
            </w:pPr>
            <w:r>
              <w:rPr>
                <w:rFonts w:ascii="Times New Roman"/>
                <w:b/>
              </w:rPr>
              <w:t>Part</w:t>
            </w:r>
            <w:r>
              <w:rPr>
                <w:rFonts w:ascii="Times New Roman"/>
                <w:b/>
                <w:spacing w:val="-4"/>
              </w:rPr>
              <w:t xml:space="preserve"> </w:t>
            </w:r>
            <w:r>
              <w:rPr>
                <w:rFonts w:ascii="Times New Roman"/>
                <w:b/>
              </w:rPr>
              <w:t>A</w:t>
            </w:r>
            <w:r>
              <w:rPr>
                <w:rFonts w:ascii="Times New Roman"/>
                <w:b/>
                <w:spacing w:val="-3"/>
              </w:rPr>
              <w:t xml:space="preserve"> </w:t>
            </w:r>
            <w:r>
              <w:rPr>
                <w:rFonts w:ascii="Times New Roman"/>
                <w:b/>
              </w:rPr>
              <w:t>-</w:t>
            </w:r>
            <w:r>
              <w:rPr>
                <w:rFonts w:ascii="Times New Roman"/>
                <w:b/>
                <w:spacing w:val="-1"/>
              </w:rPr>
              <w:t xml:space="preserve"> </w:t>
            </w:r>
            <w:r>
              <w:rPr>
                <w:rFonts w:ascii="Times New Roman"/>
                <w:b/>
              </w:rPr>
              <w:t xml:space="preserve">Contract </w:t>
            </w:r>
            <w:r>
              <w:rPr>
                <w:rFonts w:ascii="Times New Roman"/>
                <w:b/>
                <w:spacing w:val="-4"/>
              </w:rPr>
              <w:t>Data</w:t>
            </w:r>
          </w:p>
        </w:tc>
      </w:tr>
      <w:tr w:rsidR="007F6DF9">
        <w:trPr>
          <w:trHeight w:val="507"/>
        </w:trPr>
        <w:tc>
          <w:tcPr>
            <w:tcW w:w="3335" w:type="dxa"/>
            <w:tcBorders>
              <w:left w:val="single" w:sz="2" w:space="0" w:color="000000"/>
              <w:bottom w:val="single" w:sz="2" w:space="0" w:color="000000"/>
              <w:right w:val="single" w:sz="2" w:space="0" w:color="000000"/>
            </w:tcBorders>
          </w:tcPr>
          <w:p w:rsidR="007F6DF9" w:rsidRDefault="00A43FBC">
            <w:pPr>
              <w:pStyle w:val="TableParagraph"/>
              <w:spacing w:line="252" w:lineRule="exact"/>
              <w:ind w:left="124" w:right="106"/>
              <w:rPr>
                <w:rFonts w:ascii="Times New Roman" w:hAnsi="Times New Roman"/>
              </w:rPr>
            </w:pPr>
            <w:r>
              <w:rPr>
                <w:rFonts w:ascii="Times New Roman" w:hAnsi="Times New Roman"/>
              </w:rPr>
              <w:t>Procuring</w:t>
            </w:r>
            <w:r>
              <w:rPr>
                <w:rFonts w:ascii="Times New Roman" w:hAnsi="Times New Roman"/>
                <w:spacing w:val="-14"/>
              </w:rPr>
              <w:t xml:space="preserve"> </w:t>
            </w:r>
            <w:r>
              <w:rPr>
                <w:rFonts w:ascii="Times New Roman" w:hAnsi="Times New Roman"/>
              </w:rPr>
              <w:t>Entity’s</w:t>
            </w:r>
            <w:r>
              <w:rPr>
                <w:rFonts w:ascii="Times New Roman" w:hAnsi="Times New Roman"/>
                <w:spacing w:val="-12"/>
              </w:rPr>
              <w:t xml:space="preserve"> </w:t>
            </w:r>
            <w:r>
              <w:rPr>
                <w:rFonts w:ascii="Times New Roman" w:hAnsi="Times New Roman"/>
              </w:rPr>
              <w:t>name</w:t>
            </w:r>
            <w:r>
              <w:rPr>
                <w:rFonts w:ascii="Times New Roman" w:hAnsi="Times New Roman"/>
                <w:spacing w:val="-12"/>
              </w:rPr>
              <w:t xml:space="preserve"> </w:t>
            </w:r>
            <w:r>
              <w:rPr>
                <w:rFonts w:ascii="Times New Roman" w:hAnsi="Times New Roman"/>
              </w:rPr>
              <w:t xml:space="preserve">and </w:t>
            </w:r>
            <w:r>
              <w:rPr>
                <w:rFonts w:ascii="Times New Roman" w:hAnsi="Times New Roman"/>
                <w:spacing w:val="-2"/>
              </w:rPr>
              <w:t>address</w:t>
            </w:r>
          </w:p>
        </w:tc>
        <w:tc>
          <w:tcPr>
            <w:tcW w:w="1277" w:type="dxa"/>
            <w:tcBorders>
              <w:left w:val="single" w:sz="2" w:space="0" w:color="000000"/>
              <w:bottom w:val="single" w:sz="2" w:space="0" w:color="000000"/>
              <w:right w:val="single" w:sz="2" w:space="0" w:color="000000"/>
            </w:tcBorders>
          </w:tcPr>
          <w:p w:rsidR="007F6DF9" w:rsidRDefault="00A43FBC">
            <w:pPr>
              <w:pStyle w:val="TableParagraph"/>
              <w:ind w:left="124"/>
              <w:rPr>
                <w:rFonts w:ascii="Times New Roman"/>
                <w:sz w:val="24"/>
              </w:rPr>
            </w:pPr>
            <w:r>
              <w:rPr>
                <w:rFonts w:ascii="Times New Roman"/>
                <w:spacing w:val="-2"/>
                <w:sz w:val="24"/>
              </w:rPr>
              <w:t>Heading</w:t>
            </w:r>
          </w:p>
        </w:tc>
        <w:tc>
          <w:tcPr>
            <w:tcW w:w="4945" w:type="dxa"/>
            <w:tcBorders>
              <w:left w:val="single" w:sz="2" w:space="0" w:color="000000"/>
              <w:bottom w:val="single" w:sz="2" w:space="0" w:color="000000"/>
              <w:right w:val="single" w:sz="2" w:space="0" w:color="000000"/>
            </w:tcBorders>
          </w:tcPr>
          <w:p w:rsidR="007F6DF9" w:rsidRDefault="00A43FBC">
            <w:pPr>
              <w:pStyle w:val="TableParagraph"/>
              <w:ind w:left="126"/>
              <w:rPr>
                <w:rFonts w:ascii="Times New Roman"/>
              </w:rPr>
            </w:pPr>
            <w:r>
              <w:rPr>
                <w:rFonts w:ascii="Times New Roman"/>
                <w:spacing w:val="-2"/>
              </w:rPr>
              <w:t>JOOTRH</w:t>
            </w:r>
          </w:p>
        </w:tc>
      </w:tr>
      <w:tr w:rsidR="007F6DF9">
        <w:trPr>
          <w:trHeight w:val="758"/>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24" w:right="106"/>
              <w:rPr>
                <w:rFonts w:ascii="Times New Roman"/>
              </w:rPr>
            </w:pPr>
            <w:r>
              <w:rPr>
                <w:rFonts w:ascii="Times New Roman"/>
              </w:rPr>
              <w:t>Name</w:t>
            </w:r>
            <w:r>
              <w:rPr>
                <w:rFonts w:ascii="Times New Roman"/>
                <w:spacing w:val="-9"/>
              </w:rPr>
              <w:t xml:space="preserve"> </w:t>
            </w:r>
            <w:r>
              <w:rPr>
                <w:rFonts w:ascii="Times New Roman"/>
              </w:rPr>
              <w:t>and</w:t>
            </w:r>
            <w:r>
              <w:rPr>
                <w:rFonts w:ascii="Times New Roman"/>
                <w:spacing w:val="-7"/>
              </w:rPr>
              <w:t xml:space="preserve"> </w:t>
            </w:r>
            <w:r>
              <w:rPr>
                <w:rFonts w:ascii="Times New Roman"/>
              </w:rPr>
              <w:t>Reference</w:t>
            </w:r>
            <w:r>
              <w:rPr>
                <w:rFonts w:ascii="Times New Roman"/>
                <w:spacing w:val="-9"/>
              </w:rPr>
              <w:t xml:space="preserve"> </w:t>
            </w:r>
            <w:r>
              <w:rPr>
                <w:rFonts w:ascii="Times New Roman"/>
              </w:rPr>
              <w:t>No.</w:t>
            </w:r>
            <w:r>
              <w:rPr>
                <w:rFonts w:ascii="Times New Roman"/>
                <w:spacing w:val="-7"/>
              </w:rPr>
              <w:t xml:space="preserve"> </w:t>
            </w:r>
            <w:r>
              <w:rPr>
                <w:rFonts w:ascii="Times New Roman"/>
              </w:rPr>
              <w:t>of</w:t>
            </w:r>
            <w:r>
              <w:rPr>
                <w:rFonts w:ascii="Times New Roman"/>
                <w:spacing w:val="-7"/>
              </w:rPr>
              <w:t xml:space="preserve"> </w:t>
            </w:r>
            <w:r>
              <w:rPr>
                <w:rFonts w:ascii="Times New Roman"/>
              </w:rPr>
              <w:t xml:space="preserve">the </w:t>
            </w:r>
            <w:r>
              <w:rPr>
                <w:rFonts w:ascii="Times New Roman"/>
                <w:spacing w:val="-2"/>
              </w:rPr>
              <w:t>Contract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24" w:right="396"/>
              <w:rPr>
                <w:rFonts w:ascii="Times New Roman"/>
              </w:rPr>
            </w:pPr>
            <w:r>
              <w:rPr>
                <w:rFonts w:ascii="Times New Roman"/>
                <w:spacing w:val="-2"/>
              </w:rPr>
              <w:t xml:space="preserve">Heading </w:t>
            </w:r>
            <w:r>
              <w:rPr>
                <w:rFonts w:ascii="Times New Roman"/>
              </w:rPr>
              <w:t>and 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75" w:lineRule="exact"/>
              <w:ind w:left="126"/>
              <w:rPr>
                <w:rFonts w:ascii="Times New Roman"/>
                <w:sz w:val="24"/>
              </w:rPr>
            </w:pPr>
            <w:r>
              <w:rPr>
                <w:rFonts w:ascii="Times New Roman"/>
                <w:i/>
              </w:rPr>
              <w:t>PROPOSED</w:t>
            </w:r>
            <w:r>
              <w:rPr>
                <w:rFonts w:ascii="Times New Roman"/>
                <w:i/>
                <w:spacing w:val="-5"/>
              </w:rPr>
              <w:t xml:space="preserve"> </w:t>
            </w:r>
            <w:r>
              <w:rPr>
                <w:rFonts w:ascii="Times New Roman"/>
                <w:color w:val="221F1F"/>
                <w:sz w:val="24"/>
              </w:rPr>
              <w:t>COLD</w:t>
            </w:r>
            <w:r>
              <w:rPr>
                <w:rFonts w:ascii="Times New Roman"/>
                <w:color w:val="221F1F"/>
                <w:spacing w:val="-3"/>
                <w:sz w:val="24"/>
              </w:rPr>
              <w:t xml:space="preserve"> </w:t>
            </w:r>
            <w:r>
              <w:rPr>
                <w:rFonts w:ascii="Times New Roman"/>
                <w:color w:val="221F1F"/>
                <w:spacing w:val="-4"/>
                <w:sz w:val="24"/>
              </w:rPr>
              <w:t>ROOM</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Engineers</w:t>
            </w:r>
            <w:r>
              <w:rPr>
                <w:rFonts w:ascii="Times New Roman"/>
                <w:spacing w:val="-4"/>
              </w:rPr>
              <w:t xml:space="preserve"> </w:t>
            </w:r>
            <w:r>
              <w:rPr>
                <w:rFonts w:ascii="Times New Roman"/>
              </w:rPr>
              <w:t>Name</w:t>
            </w:r>
            <w:r>
              <w:rPr>
                <w:rFonts w:ascii="Times New Roman"/>
                <w:spacing w:val="-2"/>
              </w:rPr>
              <w:t xml:space="preserve"> </w:t>
            </w:r>
            <w:r>
              <w:rPr>
                <w:rFonts w:ascii="Times New Roman"/>
              </w:rPr>
              <w:t>and</w:t>
            </w:r>
            <w:r>
              <w:rPr>
                <w:rFonts w:ascii="Times New Roman"/>
                <w:spacing w:val="-2"/>
              </w:rPr>
              <w:t xml:space="preserve"> address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4" w:right="325"/>
              <w:rPr>
                <w:rFonts w:ascii="Times New Roman"/>
              </w:rPr>
            </w:pPr>
            <w:r>
              <w:rPr>
                <w:rFonts w:ascii="Times New Roman"/>
                <w:spacing w:val="-2"/>
              </w:rPr>
              <w:t xml:space="preserve">Heading </w:t>
            </w:r>
            <w:r>
              <w:rPr>
                <w:rFonts w:ascii="Times New Roman"/>
              </w:rPr>
              <w:t xml:space="preserve">and </w:t>
            </w:r>
            <w:r>
              <w:rPr>
                <w:rFonts w:ascii="Times New Roman"/>
                <w:spacing w:val="-2"/>
              </w:rPr>
              <w:t>3.1.1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6"/>
              <w:rPr>
                <w:rFonts w:ascii="Times New Roman"/>
              </w:rPr>
            </w:pPr>
            <w:r>
              <w:rPr>
                <w:rFonts w:ascii="Times New Roman"/>
              </w:rPr>
              <w:t>Regional</w:t>
            </w:r>
            <w:r>
              <w:rPr>
                <w:rFonts w:ascii="Times New Roman"/>
                <w:spacing w:val="-8"/>
              </w:rPr>
              <w:t xml:space="preserve"> </w:t>
            </w:r>
            <w:r>
              <w:rPr>
                <w:rFonts w:ascii="Times New Roman"/>
              </w:rPr>
              <w:t>Works</w:t>
            </w:r>
            <w:r>
              <w:rPr>
                <w:rFonts w:ascii="Times New Roman"/>
                <w:spacing w:val="-6"/>
              </w:rPr>
              <w:t xml:space="preserve"> </w:t>
            </w:r>
            <w:r>
              <w:rPr>
                <w:rFonts w:ascii="Times New Roman"/>
              </w:rPr>
              <w:t>Officer,</w:t>
            </w:r>
            <w:r>
              <w:rPr>
                <w:rFonts w:ascii="Times New Roman"/>
                <w:spacing w:val="-6"/>
              </w:rPr>
              <w:t xml:space="preserve"> </w:t>
            </w:r>
            <w:r>
              <w:rPr>
                <w:rFonts w:ascii="Times New Roman"/>
              </w:rPr>
              <w:t>State</w:t>
            </w:r>
            <w:r>
              <w:rPr>
                <w:rFonts w:ascii="Times New Roman"/>
                <w:spacing w:val="-6"/>
              </w:rPr>
              <w:t xml:space="preserve"> </w:t>
            </w:r>
            <w:r>
              <w:rPr>
                <w:rFonts w:ascii="Times New Roman"/>
              </w:rPr>
              <w:t>Department</w:t>
            </w:r>
            <w:r>
              <w:rPr>
                <w:rFonts w:ascii="Times New Roman"/>
                <w:spacing w:val="-5"/>
              </w:rPr>
              <w:t xml:space="preserve"> </w:t>
            </w:r>
            <w:r>
              <w:rPr>
                <w:rFonts w:ascii="Times New Roman"/>
              </w:rPr>
              <w:t>for</w:t>
            </w:r>
            <w:r>
              <w:rPr>
                <w:rFonts w:ascii="Times New Roman"/>
                <w:spacing w:val="-6"/>
              </w:rPr>
              <w:t xml:space="preserve"> </w:t>
            </w:r>
            <w:r>
              <w:rPr>
                <w:rFonts w:ascii="Times New Roman"/>
              </w:rPr>
              <w:t>Public Works of P.O. Box 821-40100, Kisumu.</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4" w:right="579"/>
              <w:rPr>
                <w:rFonts w:ascii="Times New Roman" w:hAnsi="Times New Roman"/>
              </w:rPr>
            </w:pPr>
            <w:r>
              <w:rPr>
                <w:rFonts w:ascii="Times New Roman" w:hAnsi="Times New Roman"/>
              </w:rPr>
              <w:t>Contractor’s</w:t>
            </w:r>
            <w:r>
              <w:rPr>
                <w:rFonts w:ascii="Times New Roman" w:hAnsi="Times New Roman"/>
                <w:spacing w:val="-14"/>
              </w:rPr>
              <w:t xml:space="preserve"> </w:t>
            </w:r>
            <w:r>
              <w:rPr>
                <w:rFonts w:ascii="Times New Roman" w:hAnsi="Times New Roman"/>
              </w:rPr>
              <w:t xml:space="preserve">Representative’s </w:t>
            </w:r>
            <w:r>
              <w:rPr>
                <w:rFonts w:ascii="Times New Roman" w:hAnsi="Times New Roman"/>
                <w:spacing w:val="-4"/>
              </w:rPr>
              <w:t>name</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4.3.1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6"/>
              <w:rPr>
                <w:rFonts w:ascii="Times New Roman"/>
              </w:rPr>
            </w:pP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rPr>
              <w:t>agreed</w:t>
            </w:r>
            <w:r>
              <w:rPr>
                <w:rFonts w:ascii="Times New Roman"/>
                <w:spacing w:val="-3"/>
              </w:rPr>
              <w:t xml:space="preserve"> </w:t>
            </w:r>
            <w:r>
              <w:rPr>
                <w:rFonts w:ascii="Times New Roman"/>
              </w:rPr>
              <w:t>with</w:t>
            </w:r>
            <w:r>
              <w:rPr>
                <w:rFonts w:ascii="Times New Roman"/>
                <w:spacing w:val="-2"/>
              </w:rPr>
              <w:t xml:space="preserve"> </w:t>
            </w:r>
            <w:r>
              <w:rPr>
                <w:rFonts w:ascii="Times New Roman"/>
              </w:rPr>
              <w:t>the</w:t>
            </w:r>
            <w:r>
              <w:rPr>
                <w:rFonts w:ascii="Times New Roman"/>
                <w:spacing w:val="-2"/>
              </w:rPr>
              <w:t xml:space="preserve"> Engineer</w:t>
            </w:r>
          </w:p>
        </w:tc>
      </w:tr>
      <w:tr w:rsidR="007F6DF9">
        <w:trPr>
          <w:trHeight w:val="758"/>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Key</w:t>
            </w:r>
            <w:r>
              <w:rPr>
                <w:rFonts w:ascii="Times New Roman"/>
                <w:spacing w:val="-5"/>
              </w:rPr>
              <w:t xml:space="preserve"> </w:t>
            </w:r>
            <w:r>
              <w:rPr>
                <w:rFonts w:ascii="Times New Roman"/>
              </w:rPr>
              <w:t>Personnel</w:t>
            </w:r>
            <w:r>
              <w:rPr>
                <w:rFonts w:ascii="Times New Roman"/>
                <w:spacing w:val="-1"/>
              </w:rPr>
              <w:t xml:space="preserve"> </w:t>
            </w:r>
            <w:r>
              <w:rPr>
                <w:rFonts w:ascii="Times New Roman"/>
                <w:spacing w:val="-4"/>
              </w:rPr>
              <w:t>names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16.9.1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6"/>
              <w:rPr>
                <w:rFonts w:ascii="Times New Roman"/>
              </w:rPr>
            </w:pP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rPr>
              <w:t>agreed</w:t>
            </w:r>
            <w:r>
              <w:rPr>
                <w:rFonts w:ascii="Times New Roman"/>
                <w:spacing w:val="-3"/>
              </w:rPr>
              <w:t xml:space="preserve"> </w:t>
            </w:r>
            <w:r>
              <w:rPr>
                <w:rFonts w:ascii="Times New Roman"/>
              </w:rPr>
              <w:t>with</w:t>
            </w:r>
            <w:r>
              <w:rPr>
                <w:rFonts w:ascii="Times New Roman"/>
                <w:spacing w:val="-2"/>
              </w:rPr>
              <w:t xml:space="preserve"> </w:t>
            </w:r>
            <w:r>
              <w:rPr>
                <w:rFonts w:ascii="Times New Roman"/>
              </w:rPr>
              <w:t>the</w:t>
            </w:r>
            <w:r>
              <w:rPr>
                <w:rFonts w:ascii="Times New Roman"/>
                <w:spacing w:val="-2"/>
              </w:rPr>
              <w:t xml:space="preserve"> Engineer</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Time</w:t>
            </w:r>
            <w:r>
              <w:rPr>
                <w:rFonts w:ascii="Times New Roman"/>
                <w:spacing w:val="-2"/>
              </w:rPr>
              <w:t xml:space="preserve"> </w:t>
            </w:r>
            <w:r>
              <w:rPr>
                <w:rFonts w:ascii="Times New Roman"/>
              </w:rPr>
              <w:t>for</w:t>
            </w:r>
            <w:r>
              <w:rPr>
                <w:rFonts w:ascii="Times New Roman"/>
                <w:spacing w:val="-1"/>
              </w:rPr>
              <w:t xml:space="preserve"> </w:t>
            </w:r>
            <w:r>
              <w:rPr>
                <w:rFonts w:ascii="Times New Roman"/>
                <w:spacing w:val="-2"/>
              </w:rPr>
              <w:t>Completion</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4"/>
              </w:rPr>
              <w:t>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1338"/>
              </w:tabs>
              <w:spacing w:line="251" w:lineRule="exact"/>
              <w:ind w:left="126"/>
              <w:rPr>
                <w:rFonts w:ascii="Times New Roman"/>
              </w:rPr>
            </w:pPr>
            <w:r>
              <w:rPr>
                <w:rFonts w:ascii="Times New Roman"/>
                <w:u w:val="single"/>
              </w:rPr>
              <w:tab/>
            </w:r>
            <w:r>
              <w:rPr>
                <w:rFonts w:ascii="Times New Roman"/>
              </w:rPr>
              <w:t>days</w:t>
            </w:r>
            <w:r>
              <w:rPr>
                <w:rFonts w:ascii="Times New Roman"/>
                <w:spacing w:val="-2"/>
              </w:rPr>
              <w:t xml:space="preserve"> (12Weeks)</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Defects</w:t>
            </w:r>
            <w:r>
              <w:rPr>
                <w:rFonts w:ascii="Times New Roman"/>
                <w:spacing w:val="-6"/>
              </w:rPr>
              <w:t xml:space="preserve"> </w:t>
            </w:r>
            <w:r>
              <w:rPr>
                <w:rFonts w:ascii="Times New Roman"/>
              </w:rPr>
              <w:t>Notification</w:t>
            </w:r>
            <w:r>
              <w:rPr>
                <w:rFonts w:ascii="Times New Roman"/>
                <w:spacing w:val="-6"/>
              </w:rPr>
              <w:t xml:space="preserve"> </w:t>
            </w:r>
            <w:r>
              <w:rPr>
                <w:rFonts w:ascii="Times New Roman"/>
                <w:spacing w:val="-2"/>
              </w:rPr>
              <w:t>Period</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spacing w:val="-5"/>
              </w:rPr>
              <w:t>1.1</w:t>
            </w:r>
          </w:p>
        </w:tc>
        <w:tc>
          <w:tcPr>
            <w:tcW w:w="4945" w:type="dxa"/>
            <w:tcBorders>
              <w:top w:val="single" w:sz="2" w:space="0" w:color="000000"/>
              <w:left w:val="single" w:sz="2" w:space="0" w:color="000000"/>
              <w:bottom w:val="nil"/>
              <w:right w:val="single" w:sz="2" w:space="0" w:color="000000"/>
            </w:tcBorders>
          </w:tcPr>
          <w:p w:rsidR="007F6DF9" w:rsidRDefault="00A43FBC">
            <w:pPr>
              <w:pStyle w:val="TableParagraph"/>
              <w:tabs>
                <w:tab w:val="left" w:pos="896"/>
              </w:tabs>
              <w:spacing w:line="232" w:lineRule="exact"/>
              <w:ind w:left="126"/>
              <w:rPr>
                <w:rFonts w:ascii="Times New Roman"/>
              </w:rPr>
            </w:pPr>
            <w:r>
              <w:rPr>
                <w:rFonts w:ascii="Times New Roman"/>
                <w:u w:val="single"/>
              </w:rPr>
              <w:tab/>
            </w:r>
            <w:r>
              <w:rPr>
                <w:rFonts w:ascii="Times New Roman"/>
                <w:spacing w:val="-2"/>
                <w:u w:val="single"/>
              </w:rPr>
              <w:t>immediately</w:t>
            </w:r>
          </w:p>
        </w:tc>
      </w:tr>
      <w:tr w:rsidR="007F6DF9">
        <w:trPr>
          <w:trHeight w:val="254"/>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4" w:lineRule="exact"/>
              <w:ind w:left="124"/>
              <w:rPr>
                <w:rFonts w:ascii="Times New Roman"/>
              </w:rPr>
            </w:pPr>
            <w:r>
              <w:rPr>
                <w:rFonts w:ascii="Times New Roman"/>
                <w:spacing w:val="-2"/>
              </w:rPr>
              <w:t>Sections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4" w:lineRule="exact"/>
              <w:ind w:left="124"/>
              <w:rPr>
                <w:rFonts w:ascii="Times New Roman"/>
              </w:rPr>
            </w:pPr>
            <w:r>
              <w:rPr>
                <w:rFonts w:ascii="Times New Roman"/>
                <w:spacing w:val="-5"/>
              </w:rPr>
              <w:t>1.1</w:t>
            </w:r>
          </w:p>
        </w:tc>
        <w:tc>
          <w:tcPr>
            <w:tcW w:w="4945" w:type="dxa"/>
            <w:tcBorders>
              <w:top w:val="nil"/>
              <w:left w:val="single" w:sz="2" w:space="0" w:color="000000"/>
              <w:bottom w:val="single" w:sz="2" w:space="0" w:color="000000"/>
              <w:right w:val="single" w:sz="2" w:space="0" w:color="000000"/>
            </w:tcBorders>
          </w:tcPr>
          <w:p w:rsidR="007F6DF9" w:rsidRDefault="00A43FBC">
            <w:pPr>
              <w:pStyle w:val="TableParagraph"/>
              <w:spacing w:line="234" w:lineRule="exact"/>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Electronic</w:t>
            </w:r>
            <w:r>
              <w:rPr>
                <w:rFonts w:ascii="Times New Roman"/>
                <w:spacing w:val="-9"/>
              </w:rPr>
              <w:t xml:space="preserve"> </w:t>
            </w:r>
            <w:r>
              <w:rPr>
                <w:rFonts w:ascii="Times New Roman"/>
              </w:rPr>
              <w:t>transmission</w:t>
            </w:r>
            <w:r>
              <w:rPr>
                <w:rFonts w:ascii="Times New Roman"/>
                <w:spacing w:val="-6"/>
              </w:rPr>
              <w:t xml:space="preserve"> </w:t>
            </w:r>
            <w:r>
              <w:rPr>
                <w:rFonts w:ascii="Times New Roman"/>
                <w:spacing w:val="-2"/>
              </w:rPr>
              <w:t>systems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spacing w:val="-5"/>
              </w:rPr>
              <w:t>1.3</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6"/>
              <w:rPr>
                <w:rFonts w:ascii="Times New Roman"/>
              </w:rPr>
            </w:pPr>
            <w:r>
              <w:rPr>
                <w:rFonts w:ascii="Times New Roman"/>
                <w:spacing w:val="-5"/>
              </w:rPr>
              <w:t>N/A</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4" w:lineRule="exact"/>
              <w:ind w:left="124" w:right="106"/>
              <w:rPr>
                <w:rFonts w:ascii="Times New Roman"/>
              </w:rPr>
            </w:pPr>
            <w:r>
              <w:rPr>
                <w:rFonts w:ascii="Times New Roman"/>
              </w:rPr>
              <w:t>Time</w:t>
            </w:r>
            <w:r>
              <w:rPr>
                <w:rFonts w:ascii="Times New Roman"/>
                <w:spacing w:val="-6"/>
              </w:rPr>
              <w:t xml:space="preserve"> </w:t>
            </w:r>
            <w:r>
              <w:rPr>
                <w:rFonts w:ascii="Times New Roman"/>
              </w:rPr>
              <w:t>for</w:t>
            </w:r>
            <w:r>
              <w:rPr>
                <w:rFonts w:ascii="Times New Roman"/>
                <w:spacing w:val="-6"/>
              </w:rPr>
              <w:t xml:space="preserve"> </w:t>
            </w:r>
            <w:r>
              <w:rPr>
                <w:rFonts w:ascii="Times New Roman"/>
              </w:rPr>
              <w:t>the</w:t>
            </w:r>
            <w:r>
              <w:rPr>
                <w:rFonts w:ascii="Times New Roman"/>
                <w:spacing w:val="-6"/>
              </w:rPr>
              <w:t xml:space="preserve"> </w:t>
            </w:r>
            <w:r>
              <w:rPr>
                <w:rFonts w:ascii="Times New Roman"/>
              </w:rPr>
              <w:t>Parties</w:t>
            </w:r>
            <w:r>
              <w:rPr>
                <w:rFonts w:ascii="Times New Roman"/>
                <w:spacing w:val="-8"/>
              </w:rPr>
              <w:t xml:space="preserve"> </w:t>
            </w:r>
            <w:r>
              <w:rPr>
                <w:rFonts w:ascii="Times New Roman"/>
              </w:rPr>
              <w:t>entering</w:t>
            </w:r>
            <w:r>
              <w:rPr>
                <w:rFonts w:ascii="Times New Roman"/>
                <w:spacing w:val="-6"/>
              </w:rPr>
              <w:t xml:space="preserve"> </w:t>
            </w:r>
            <w:r>
              <w:rPr>
                <w:rFonts w:ascii="Times New Roman"/>
              </w:rPr>
              <w:t>into</w:t>
            </w:r>
            <w:r>
              <w:rPr>
                <w:rFonts w:ascii="Times New Roman"/>
                <w:spacing w:val="-6"/>
              </w:rPr>
              <w:t xml:space="preserve"> </w:t>
            </w:r>
            <w:r>
              <w:rPr>
                <w:rFonts w:ascii="Times New Roman"/>
              </w:rPr>
              <w:t>a Contract Agreement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5"/>
              </w:rPr>
              <w:t>1.6</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6"/>
              <w:rPr>
                <w:rFonts w:ascii="Times New Roman"/>
              </w:rPr>
            </w:pPr>
            <w:r>
              <w:rPr>
                <w:rFonts w:ascii="Times New Roman"/>
              </w:rPr>
              <w:t>Within</w:t>
            </w:r>
            <w:r>
              <w:rPr>
                <w:rFonts w:ascii="Times New Roman"/>
                <w:spacing w:val="-5"/>
              </w:rPr>
              <w:t xml:space="preserve"> </w:t>
            </w:r>
            <w:r>
              <w:rPr>
                <w:rFonts w:ascii="Times New Roman"/>
                <w:spacing w:val="-2"/>
              </w:rPr>
              <w:t>30days</w:t>
            </w:r>
          </w:p>
        </w:tc>
      </w:tr>
      <w:tr w:rsidR="007F6DF9">
        <w:trPr>
          <w:trHeight w:val="252"/>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4"/>
              <w:rPr>
                <w:rFonts w:ascii="Times New Roman"/>
              </w:rPr>
            </w:pPr>
            <w:r>
              <w:rPr>
                <w:rFonts w:ascii="Times New Roman"/>
              </w:rPr>
              <w:t>Commencement</w:t>
            </w:r>
            <w:r>
              <w:rPr>
                <w:rFonts w:ascii="Times New Roman"/>
                <w:spacing w:val="-8"/>
              </w:rPr>
              <w:t xml:space="preserve"> </w:t>
            </w:r>
            <w:r>
              <w:rPr>
                <w:rFonts w:ascii="Times New Roman"/>
                <w:spacing w:val="-4"/>
              </w:rPr>
              <w:t>Date</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4"/>
              <w:rPr>
                <w:rFonts w:ascii="Times New Roman"/>
              </w:rPr>
            </w:pPr>
            <w:r>
              <w:rPr>
                <w:rFonts w:ascii="Times New Roman"/>
                <w:spacing w:val="-2"/>
              </w:rPr>
              <w:t>8.1.1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6"/>
              <w:rPr>
                <w:rFonts w:ascii="Times New Roman"/>
              </w:rPr>
            </w:pPr>
            <w:r>
              <w:rPr>
                <w:rFonts w:ascii="Times New Roman"/>
              </w:rPr>
              <w:t>To</w:t>
            </w:r>
            <w:r>
              <w:rPr>
                <w:rFonts w:ascii="Times New Roman"/>
                <w:spacing w:val="-2"/>
              </w:rPr>
              <w:t xml:space="preserve"> </w:t>
            </w:r>
            <w:r>
              <w:rPr>
                <w:rFonts w:ascii="Times New Roman"/>
              </w:rPr>
              <w:t>be</w:t>
            </w:r>
            <w:r>
              <w:rPr>
                <w:rFonts w:ascii="Times New Roman"/>
                <w:spacing w:val="-2"/>
              </w:rPr>
              <w:t xml:space="preserve"> </w:t>
            </w:r>
            <w:r>
              <w:rPr>
                <w:rFonts w:ascii="Times New Roman"/>
              </w:rPr>
              <w:t>agreed</w:t>
            </w:r>
            <w:r>
              <w:rPr>
                <w:rFonts w:ascii="Times New Roman"/>
                <w:spacing w:val="-1"/>
              </w:rPr>
              <w:t xml:space="preserve"> </w:t>
            </w:r>
            <w:r>
              <w:rPr>
                <w:rFonts w:ascii="Times New Roman"/>
                <w:spacing w:val="-4"/>
              </w:rPr>
              <w:t>upon</w:t>
            </w:r>
          </w:p>
        </w:tc>
      </w:tr>
      <w:tr w:rsidR="007F6DF9">
        <w:trPr>
          <w:trHeight w:val="758"/>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Time</w:t>
            </w:r>
            <w:r>
              <w:rPr>
                <w:rFonts w:ascii="Times New Roman"/>
                <w:spacing w:val="-4"/>
              </w:rPr>
              <w:t xml:space="preserve"> </w:t>
            </w:r>
            <w:r>
              <w:rPr>
                <w:rFonts w:ascii="Times New Roman"/>
              </w:rPr>
              <w:t>for</w:t>
            </w:r>
            <w:r>
              <w:rPr>
                <w:rFonts w:ascii="Times New Roman"/>
                <w:spacing w:val="-2"/>
              </w:rPr>
              <w:t xml:space="preserve"> </w:t>
            </w:r>
            <w:r>
              <w:rPr>
                <w:rFonts w:ascii="Times New Roman"/>
              </w:rPr>
              <w:t>access</w:t>
            </w:r>
            <w:r>
              <w:rPr>
                <w:rFonts w:ascii="Times New Roman"/>
                <w:spacing w:val="-2"/>
              </w:rPr>
              <w:t xml:space="preserve"> </w:t>
            </w:r>
            <w:r>
              <w:rPr>
                <w:rFonts w:ascii="Times New Roman"/>
              </w:rPr>
              <w:t>to</w:t>
            </w:r>
            <w:r>
              <w:rPr>
                <w:rFonts w:ascii="Times New Roman"/>
                <w:spacing w:val="-5"/>
              </w:rPr>
              <w:t xml:space="preserve"> </w:t>
            </w:r>
            <w:r>
              <w:rPr>
                <w:rFonts w:ascii="Times New Roman"/>
              </w:rPr>
              <w:t>the</w:t>
            </w:r>
            <w:r>
              <w:rPr>
                <w:rFonts w:ascii="Times New Roman"/>
                <w:spacing w:val="-1"/>
              </w:rPr>
              <w:t xml:space="preserve"> </w:t>
            </w:r>
            <w:r>
              <w:rPr>
                <w:rFonts w:ascii="Times New Roman"/>
                <w:spacing w:val="-4"/>
              </w:rPr>
              <w:t>Site</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2.1.1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1442"/>
                <w:tab w:val="left" w:pos="2322"/>
              </w:tabs>
              <w:ind w:left="126" w:right="163"/>
              <w:rPr>
                <w:rFonts w:ascii="Times New Roman"/>
              </w:rPr>
            </w:pPr>
            <w:r>
              <w:rPr>
                <w:rFonts w:ascii="Times New Roman"/>
              </w:rPr>
              <w:t>No</w:t>
            </w:r>
            <w:r>
              <w:rPr>
                <w:rFonts w:ascii="Times New Roman"/>
                <w:spacing w:val="-5"/>
              </w:rPr>
              <w:t xml:space="preserve"> </w:t>
            </w:r>
            <w:r>
              <w:rPr>
                <w:rFonts w:ascii="Times New Roman"/>
              </w:rPr>
              <w:t>later</w:t>
            </w:r>
            <w:r>
              <w:rPr>
                <w:rFonts w:ascii="Times New Roman"/>
                <w:spacing w:val="-7"/>
              </w:rPr>
              <w:t xml:space="preserve"> </w:t>
            </w:r>
            <w:r>
              <w:rPr>
                <w:rFonts w:ascii="Times New Roman"/>
              </w:rPr>
              <w:t>than</w:t>
            </w:r>
            <w:r>
              <w:rPr>
                <w:rFonts w:ascii="Times New Roman"/>
                <w:spacing w:val="-7"/>
              </w:rPr>
              <w:t xml:space="preserve"> </w:t>
            </w:r>
            <w:r>
              <w:rPr>
                <w:rFonts w:ascii="Times New Roman"/>
              </w:rPr>
              <w:t>the</w:t>
            </w:r>
            <w:r>
              <w:rPr>
                <w:rFonts w:ascii="Times New Roman"/>
                <w:spacing w:val="-5"/>
              </w:rPr>
              <w:t xml:space="preserve"> </w:t>
            </w:r>
            <w:r>
              <w:rPr>
                <w:rFonts w:ascii="Times New Roman"/>
              </w:rPr>
              <w:t>Commencement</w:t>
            </w:r>
            <w:r>
              <w:rPr>
                <w:rFonts w:ascii="Times New Roman"/>
                <w:spacing w:val="-4"/>
              </w:rPr>
              <w:t xml:space="preserve"> </w:t>
            </w:r>
            <w:r>
              <w:rPr>
                <w:rFonts w:ascii="Times New Roman"/>
              </w:rPr>
              <w:t>Date,</w:t>
            </w:r>
            <w:r>
              <w:rPr>
                <w:rFonts w:ascii="Times New Roman"/>
                <w:spacing w:val="-7"/>
              </w:rPr>
              <w:t xml:space="preserve"> </w:t>
            </w:r>
            <w:r>
              <w:rPr>
                <w:rFonts w:ascii="Times New Roman"/>
              </w:rPr>
              <w:t>and</w:t>
            </w:r>
            <w:r>
              <w:rPr>
                <w:rFonts w:ascii="Times New Roman"/>
                <w:spacing w:val="-5"/>
              </w:rPr>
              <w:t xml:space="preserve"> </w:t>
            </w:r>
            <w:r>
              <w:rPr>
                <w:rFonts w:ascii="Times New Roman"/>
              </w:rPr>
              <w:t>not</w:t>
            </w:r>
            <w:r>
              <w:rPr>
                <w:rFonts w:ascii="Times New Roman"/>
                <w:spacing w:val="-4"/>
              </w:rPr>
              <w:t xml:space="preserve"> </w:t>
            </w:r>
            <w:r>
              <w:rPr>
                <w:rFonts w:ascii="Times New Roman"/>
              </w:rPr>
              <w:t xml:space="preserve">later than </w:t>
            </w:r>
            <w:r>
              <w:rPr>
                <w:rFonts w:ascii="Times New Roman"/>
                <w:u w:val="single"/>
              </w:rPr>
              <w:tab/>
            </w:r>
            <w:r>
              <w:rPr>
                <w:rFonts w:ascii="Times New Roman"/>
                <w:spacing w:val="-10"/>
              </w:rPr>
              <w:t>7</w:t>
            </w:r>
            <w:r>
              <w:rPr>
                <w:rFonts w:ascii="Times New Roman"/>
                <w:u w:val="single"/>
              </w:rPr>
              <w:tab/>
            </w:r>
            <w:r>
              <w:rPr>
                <w:rFonts w:ascii="Times New Roman"/>
              </w:rPr>
              <w:t>days after Commencement</w:t>
            </w:r>
          </w:p>
          <w:p w:rsidR="007F6DF9" w:rsidRDefault="00A43FBC">
            <w:pPr>
              <w:pStyle w:val="TableParagraph"/>
              <w:spacing w:line="233" w:lineRule="exact"/>
              <w:ind w:left="126"/>
              <w:rPr>
                <w:rFonts w:ascii="Times New Roman"/>
              </w:rPr>
            </w:pPr>
            <w:r>
              <w:rPr>
                <w:rFonts w:ascii="Times New Roman"/>
                <w:spacing w:val="-4"/>
              </w:rPr>
              <w:t>Date</w:t>
            </w:r>
          </w:p>
        </w:tc>
      </w:tr>
      <w:tr w:rsidR="007F6DF9">
        <w:trPr>
          <w:trHeight w:val="993"/>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Architect</w:t>
            </w:r>
            <w:r>
              <w:rPr>
                <w:rFonts w:ascii="Times New Roman"/>
                <w:spacing w:val="-4"/>
              </w:rPr>
              <w:t xml:space="preserve"> </w:t>
            </w:r>
            <w:r>
              <w:rPr>
                <w:rFonts w:ascii="Times New Roman"/>
              </w:rPr>
              <w:t>Duties</w:t>
            </w:r>
            <w:r>
              <w:rPr>
                <w:rFonts w:ascii="Times New Roman"/>
                <w:spacing w:val="-4"/>
              </w:rPr>
              <w:t xml:space="preserve"> </w:t>
            </w:r>
            <w:r>
              <w:rPr>
                <w:rFonts w:ascii="Times New Roman"/>
              </w:rPr>
              <w:t>and</w:t>
            </w:r>
            <w:r>
              <w:rPr>
                <w:rFonts w:ascii="Times New Roman"/>
                <w:spacing w:val="-4"/>
              </w:rPr>
              <w:t xml:space="preserve"> </w:t>
            </w:r>
            <w:r>
              <w:rPr>
                <w:rFonts w:ascii="Times New Roman"/>
                <w:spacing w:val="-2"/>
              </w:rPr>
              <w:t>Authority</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 xml:space="preserve">3.1.6 </w:t>
            </w:r>
            <w:r>
              <w:rPr>
                <w:rFonts w:ascii="Times New Roman"/>
                <w:spacing w:val="-5"/>
              </w:rPr>
              <w:t>(b)</w:t>
            </w:r>
          </w:p>
          <w:p w:rsidR="007F6DF9" w:rsidRDefault="00A43FBC">
            <w:pPr>
              <w:pStyle w:val="TableParagraph"/>
              <w:spacing w:before="1"/>
              <w:ind w:left="124"/>
              <w:rPr>
                <w:rFonts w:ascii="Times New Roman"/>
              </w:rPr>
            </w:pPr>
            <w:r>
              <w:rPr>
                <w:rFonts w:ascii="Times New Roman"/>
                <w:spacing w:val="-4"/>
              </w:rPr>
              <w:t>(ii)</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3030"/>
                <w:tab w:val="left" w:pos="3470"/>
              </w:tabs>
              <w:ind w:left="126" w:right="137"/>
              <w:rPr>
                <w:rFonts w:ascii="Times New Roman"/>
              </w:rPr>
            </w:pPr>
            <w:r>
              <w:rPr>
                <w:rFonts w:ascii="Times New Roman"/>
                <w:noProof/>
              </w:rPr>
              <mc:AlternateContent>
                <mc:Choice Requires="wpg">
                  <w:drawing>
                    <wp:anchor distT="0" distB="0" distL="0" distR="0" simplePos="0" relativeHeight="479605248" behindDoc="1" locked="0" layoutInCell="1" allowOverlap="1">
                      <wp:simplePos x="0" y="0"/>
                      <wp:positionH relativeFrom="column">
                        <wp:posOffset>1912873</wp:posOffset>
                      </wp:positionH>
                      <wp:positionV relativeFrom="paragraph">
                        <wp:posOffset>467227</wp:posOffset>
                      </wp:positionV>
                      <wp:extent cx="33655" cy="635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6350"/>
                                <a:chOff x="0" y="0"/>
                                <a:chExt cx="33655" cy="6350"/>
                              </a:xfrm>
                            </wpg:grpSpPr>
                            <wps:wsp>
                              <wps:cNvPr id="449" name="Graphic 443"/>
                              <wps:cNvSpPr/>
                              <wps:spPr>
                                <a:xfrm>
                                  <a:off x="0" y="0"/>
                                  <a:ext cx="33655" cy="6350"/>
                                </a:xfrm>
                                <a:custGeom>
                                  <a:avLst/>
                                  <a:gdLst/>
                                  <a:ahLst/>
                                  <a:cxnLst/>
                                  <a:rect l="l" t="t" r="r" b="b"/>
                                  <a:pathLst>
                                    <a:path w="33655" h="6350">
                                      <a:moveTo>
                                        <a:pt x="33527" y="0"/>
                                      </a:moveTo>
                                      <a:lnTo>
                                        <a:pt x="0" y="0"/>
                                      </a:lnTo>
                                      <a:lnTo>
                                        <a:pt x="0" y="6096"/>
                                      </a:lnTo>
                                      <a:lnTo>
                                        <a:pt x="33527" y="6096"/>
                                      </a:lnTo>
                                      <a:lnTo>
                                        <a:pt x="335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1E5340" id="Group 442" o:spid="_x0000_s1026" style="position:absolute;margin-left:150.6pt;margin-top:36.8pt;width:2.65pt;height:.5pt;z-index:-23711232;mso-wrap-distance-left:0;mso-wrap-distance-right:0"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">
                      <v:shape id="Graphic 443" o:spid="_x0000_s1027" style="position:absolute;width:33655;height:6350;visibility:visible;mso-wrap-style:square;v-text-anchor:top" coordsize="33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" path="m33527,l,,,6096r33527,l33527,xe" fillcolor="black" stroked="f">
                        <v:path arrowok="t"/>
                      </v:shape>
                    </v:group>
                  </w:pict>
                </mc:Fallback>
              </mc:AlternateContent>
            </w:r>
            <w:r>
              <w:rPr>
                <w:rFonts w:ascii="Times New Roman"/>
              </w:rPr>
              <w:t>Variations resulting in an increase of the Accepted Contract Amount in excess of</w:t>
            </w:r>
            <w:r>
              <w:rPr>
                <w:rFonts w:ascii="Times New Roman"/>
                <w:u w:val="double"/>
              </w:rPr>
              <w:tab/>
            </w:r>
            <w:r>
              <w:rPr>
                <w:rFonts w:ascii="Times New Roman"/>
                <w:spacing w:val="-6"/>
                <w:u w:val="double"/>
              </w:rPr>
              <w:t>25</w:t>
            </w:r>
            <w:r>
              <w:rPr>
                <w:rFonts w:ascii="Times New Roman"/>
                <w:u w:val="double"/>
              </w:rPr>
              <w:tab/>
            </w:r>
            <w:r>
              <w:rPr>
                <w:rFonts w:ascii="Times New Roman"/>
              </w:rPr>
              <w:t>%</w:t>
            </w:r>
            <w:r>
              <w:rPr>
                <w:rFonts w:ascii="Times New Roman"/>
                <w:spacing w:val="-14"/>
              </w:rPr>
              <w:t xml:space="preserve"> </w:t>
            </w:r>
            <w:r>
              <w:rPr>
                <w:rFonts w:ascii="Times New Roman"/>
              </w:rPr>
              <w:t>shall</w:t>
            </w:r>
            <w:r>
              <w:rPr>
                <w:rFonts w:ascii="Times New Roman"/>
                <w:spacing w:val="-14"/>
              </w:rPr>
              <w:t xml:space="preserve"> </w:t>
            </w:r>
            <w:r>
              <w:rPr>
                <w:rFonts w:ascii="Times New Roman"/>
              </w:rPr>
              <w:t>require approval of the Procuring Entity.</w:t>
            </w:r>
          </w:p>
        </w:tc>
      </w:tr>
      <w:tr w:rsidR="007F6DF9">
        <w:trPr>
          <w:trHeight w:val="1012"/>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Performance</w:t>
            </w:r>
            <w:r>
              <w:rPr>
                <w:rFonts w:ascii="Times New Roman"/>
                <w:spacing w:val="-7"/>
              </w:rPr>
              <w:t xml:space="preserve"> </w:t>
            </w:r>
            <w:r>
              <w:rPr>
                <w:rFonts w:ascii="Times New Roman"/>
                <w:spacing w:val="-2"/>
              </w:rPr>
              <w:t>Security</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4.2.1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26"/>
              <w:rPr>
                <w:rFonts w:ascii="Times New Roman" w:hAnsi="Times New Roman"/>
                <w:b/>
              </w:rPr>
            </w:pPr>
            <w:r>
              <w:rPr>
                <w:rFonts w:ascii="Times New Roman" w:hAnsi="Times New Roman"/>
              </w:rPr>
              <w:t xml:space="preserve">The performance security will be in the form of a </w:t>
            </w:r>
            <w:r>
              <w:rPr>
                <w:rFonts w:ascii="Times New Roman" w:hAnsi="Times New Roman"/>
                <w:b/>
                <w:i/>
              </w:rPr>
              <w:t>“performance</w:t>
            </w:r>
            <w:r>
              <w:rPr>
                <w:rFonts w:ascii="Times New Roman" w:hAnsi="Times New Roman"/>
                <w:b/>
                <w:i/>
                <w:spacing w:val="-6"/>
              </w:rPr>
              <w:t xml:space="preserve"> </w:t>
            </w:r>
            <w:r>
              <w:rPr>
                <w:rFonts w:ascii="Times New Roman" w:hAnsi="Times New Roman"/>
                <w:b/>
                <w:i/>
              </w:rPr>
              <w:t>bond”</w:t>
            </w:r>
            <w:r>
              <w:rPr>
                <w:rFonts w:ascii="Times New Roman" w:hAnsi="Times New Roman"/>
                <w:b/>
                <w:i/>
                <w:spacing w:val="-6"/>
              </w:rPr>
              <w:t xml:space="preserve"> </w:t>
            </w:r>
            <w:r>
              <w:rPr>
                <w:rFonts w:ascii="Times New Roman" w:hAnsi="Times New Roman"/>
              </w:rPr>
              <w:t>in</w:t>
            </w:r>
            <w:r>
              <w:rPr>
                <w:rFonts w:ascii="Times New Roman" w:hAnsi="Times New Roman"/>
                <w:spacing w:val="-7"/>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amount(s)</w:t>
            </w:r>
            <w:r>
              <w:rPr>
                <w:rFonts w:ascii="Times New Roman" w:hAnsi="Times New Roman"/>
                <w:spacing w:val="-6"/>
              </w:rPr>
              <w:t xml:space="preserve"> </w:t>
            </w:r>
            <w:r>
              <w:rPr>
                <w:rFonts w:ascii="Times New Roman" w:hAnsi="Times New Roman"/>
              </w:rPr>
              <w:t>of</w:t>
            </w:r>
            <w:r>
              <w:rPr>
                <w:rFonts w:ascii="Times New Roman" w:hAnsi="Times New Roman"/>
                <w:spacing w:val="-2"/>
              </w:rPr>
              <w:t xml:space="preserve"> </w:t>
            </w:r>
            <w:r>
              <w:rPr>
                <w:rFonts w:ascii="Times New Roman" w:hAnsi="Times New Roman"/>
                <w:b/>
                <w:i/>
              </w:rPr>
              <w:t>5</w:t>
            </w:r>
            <w:r>
              <w:rPr>
                <w:rFonts w:ascii="Times New Roman" w:hAnsi="Times New Roman"/>
                <w:b/>
                <w:i/>
                <w:spacing w:val="-4"/>
              </w:rPr>
              <w:t xml:space="preserve"> </w:t>
            </w:r>
            <w:r>
              <w:rPr>
                <w:rFonts w:ascii="Times New Roman" w:hAnsi="Times New Roman"/>
                <w:b/>
              </w:rPr>
              <w:t>percent</w:t>
            </w:r>
          </w:p>
          <w:p w:rsidR="007F6DF9" w:rsidRDefault="00A43FBC">
            <w:pPr>
              <w:pStyle w:val="TableParagraph"/>
              <w:spacing w:line="254" w:lineRule="exact"/>
              <w:ind w:left="126"/>
              <w:rPr>
                <w:rFonts w:ascii="Times New Roman"/>
              </w:rPr>
            </w:pP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Accepted</w:t>
            </w:r>
            <w:r>
              <w:rPr>
                <w:rFonts w:ascii="Times New Roman"/>
                <w:spacing w:val="-4"/>
              </w:rPr>
              <w:t xml:space="preserve"> </w:t>
            </w:r>
            <w:r>
              <w:rPr>
                <w:rFonts w:ascii="Times New Roman"/>
              </w:rPr>
              <w:t>Contract</w:t>
            </w:r>
            <w:r>
              <w:rPr>
                <w:rFonts w:ascii="Times New Roman"/>
                <w:spacing w:val="-3"/>
              </w:rPr>
              <w:t xml:space="preserve"> </w:t>
            </w:r>
            <w:r>
              <w:rPr>
                <w:rFonts w:ascii="Times New Roman"/>
              </w:rPr>
              <w:t>Amount</w:t>
            </w:r>
            <w:r>
              <w:rPr>
                <w:rFonts w:ascii="Times New Roman"/>
                <w:spacing w:val="-3"/>
              </w:rPr>
              <w:t xml:space="preserve"> </w:t>
            </w:r>
            <w:r>
              <w:rPr>
                <w:rFonts w:ascii="Times New Roman"/>
              </w:rPr>
              <w:t>and</w:t>
            </w:r>
            <w:r>
              <w:rPr>
                <w:rFonts w:ascii="Times New Roman"/>
                <w:spacing w:val="-6"/>
              </w:rPr>
              <w:t xml:space="preserve"> </w:t>
            </w:r>
            <w:r>
              <w:rPr>
                <w:rFonts w:ascii="Times New Roman"/>
              </w:rPr>
              <w:t>in</w:t>
            </w:r>
            <w:r>
              <w:rPr>
                <w:rFonts w:ascii="Times New Roman"/>
                <w:spacing w:val="-7"/>
              </w:rPr>
              <w:t xml:space="preserve"> </w:t>
            </w:r>
            <w:r>
              <w:rPr>
                <w:rFonts w:ascii="Times New Roman"/>
              </w:rPr>
              <w:t>the</w:t>
            </w:r>
            <w:r>
              <w:rPr>
                <w:rFonts w:ascii="Times New Roman"/>
                <w:spacing w:val="-6"/>
              </w:rPr>
              <w:t xml:space="preserve"> </w:t>
            </w:r>
            <w:r>
              <w:rPr>
                <w:rFonts w:ascii="Times New Roman"/>
              </w:rPr>
              <w:t>same currency(</w:t>
            </w:r>
            <w:proofErr w:type="spellStart"/>
            <w:r>
              <w:rPr>
                <w:rFonts w:ascii="Times New Roman"/>
              </w:rPr>
              <w:t>ies</w:t>
            </w:r>
            <w:proofErr w:type="spellEnd"/>
            <w:r>
              <w:rPr>
                <w:rFonts w:ascii="Times New Roman"/>
              </w:rPr>
              <w:t>) of the Accepted Contract Amount.</w:t>
            </w:r>
          </w:p>
        </w:tc>
      </w:tr>
      <w:tr w:rsidR="007F6DF9">
        <w:trPr>
          <w:trHeight w:val="253"/>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4"/>
              <w:rPr>
                <w:rFonts w:ascii="Times New Roman"/>
              </w:rPr>
            </w:pPr>
            <w:r>
              <w:rPr>
                <w:rFonts w:ascii="Times New Roman"/>
              </w:rPr>
              <w:t>Normal</w:t>
            </w:r>
            <w:r>
              <w:rPr>
                <w:rFonts w:ascii="Times New Roman"/>
                <w:spacing w:val="-6"/>
              </w:rPr>
              <w:t xml:space="preserve"> </w:t>
            </w:r>
            <w:r>
              <w:rPr>
                <w:rFonts w:ascii="Times New Roman"/>
              </w:rPr>
              <w:t>working</w:t>
            </w:r>
            <w:r>
              <w:rPr>
                <w:rFonts w:ascii="Times New Roman"/>
                <w:spacing w:val="-6"/>
              </w:rPr>
              <w:t xml:space="preserve"> </w:t>
            </w:r>
            <w:r>
              <w:rPr>
                <w:rFonts w:ascii="Times New Roman"/>
                <w:spacing w:val="-2"/>
              </w:rPr>
              <w:t>hours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4"/>
              <w:rPr>
                <w:rFonts w:ascii="Times New Roman"/>
              </w:rPr>
            </w:pPr>
            <w:r>
              <w:rPr>
                <w:rFonts w:ascii="Times New Roman"/>
                <w:spacing w:val="-5"/>
              </w:rPr>
              <w:t>6.5</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6"/>
              <w:rPr>
                <w:rFonts w:ascii="Times New Roman"/>
              </w:rPr>
            </w:pP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rPr>
              <w:t>agreed</w:t>
            </w:r>
            <w:r>
              <w:rPr>
                <w:rFonts w:ascii="Times New Roman"/>
                <w:spacing w:val="-3"/>
              </w:rPr>
              <w:t xml:space="preserve"> </w:t>
            </w:r>
            <w:r>
              <w:rPr>
                <w:rFonts w:ascii="Times New Roman"/>
              </w:rPr>
              <w:t>with</w:t>
            </w:r>
            <w:r>
              <w:rPr>
                <w:rFonts w:ascii="Times New Roman"/>
                <w:spacing w:val="-2"/>
              </w:rPr>
              <w:t xml:space="preserve"> </w:t>
            </w:r>
            <w:r>
              <w:rPr>
                <w:rFonts w:ascii="Times New Roman"/>
              </w:rPr>
              <w:t>the</w:t>
            </w:r>
            <w:r>
              <w:rPr>
                <w:rFonts w:ascii="Times New Roman"/>
                <w:spacing w:val="-2"/>
              </w:rPr>
              <w:t xml:space="preserve"> Engineer</w:t>
            </w:r>
          </w:p>
        </w:tc>
      </w:tr>
      <w:tr w:rsidR="007F6DF9">
        <w:trPr>
          <w:trHeight w:val="504"/>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4"/>
              <w:rPr>
                <w:rFonts w:ascii="Times New Roman"/>
              </w:rPr>
            </w:pPr>
            <w:r>
              <w:rPr>
                <w:rFonts w:ascii="Times New Roman"/>
              </w:rPr>
              <w:t>Delay</w:t>
            </w:r>
            <w:r>
              <w:rPr>
                <w:rFonts w:ascii="Times New Roman"/>
                <w:spacing w:val="-3"/>
              </w:rPr>
              <w:t xml:space="preserve"> </w:t>
            </w:r>
            <w:r>
              <w:rPr>
                <w:rFonts w:ascii="Times New Roman"/>
              </w:rPr>
              <w:t>damages</w:t>
            </w:r>
            <w:r>
              <w:rPr>
                <w:rFonts w:ascii="Times New Roman"/>
                <w:spacing w:val="-5"/>
              </w:rPr>
              <w:t xml:space="preserve"> </w:t>
            </w:r>
            <w:r>
              <w:rPr>
                <w:rFonts w:ascii="Times New Roman"/>
              </w:rPr>
              <w:t>for</w:t>
            </w:r>
            <w:r>
              <w:rPr>
                <w:rFonts w:ascii="Times New Roman"/>
                <w:spacing w:val="-3"/>
              </w:rPr>
              <w:t xml:space="preserve"> </w:t>
            </w:r>
            <w:r>
              <w:rPr>
                <w:rFonts w:ascii="Times New Roman"/>
              </w:rPr>
              <w:t>the</w:t>
            </w:r>
            <w:r>
              <w:rPr>
                <w:rFonts w:ascii="Times New Roman"/>
                <w:spacing w:val="-2"/>
              </w:rPr>
              <w:t xml:space="preserve"> Works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4"/>
              <w:rPr>
                <w:rFonts w:ascii="Times New Roman"/>
              </w:rPr>
            </w:pPr>
            <w:r>
              <w:rPr>
                <w:rFonts w:ascii="Times New Roman"/>
              </w:rPr>
              <w:t xml:space="preserve">8.7 </w:t>
            </w:r>
            <w:r>
              <w:rPr>
                <w:rFonts w:ascii="Times New Roman"/>
                <w:spacing w:val="-10"/>
              </w:rPr>
              <w:t>&amp;</w:t>
            </w:r>
          </w:p>
          <w:p w:rsidR="007F6DF9" w:rsidRDefault="00A43FBC">
            <w:pPr>
              <w:pStyle w:val="TableParagraph"/>
              <w:spacing w:line="233" w:lineRule="exact"/>
              <w:ind w:left="124"/>
              <w:rPr>
                <w:rFonts w:ascii="Times New Roman"/>
              </w:rPr>
            </w:pPr>
            <w:r>
              <w:rPr>
                <w:rFonts w:ascii="Times New Roman"/>
                <w:spacing w:val="-2"/>
              </w:rPr>
              <w:t>14.15(b)</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846"/>
              </w:tabs>
              <w:spacing w:line="252" w:lineRule="exact"/>
              <w:ind w:left="126"/>
              <w:rPr>
                <w:rFonts w:ascii="Times New Roman"/>
              </w:rPr>
            </w:pPr>
            <w:r>
              <w:rPr>
                <w:rFonts w:ascii="Times New Roman"/>
                <w:u w:val="single"/>
              </w:rPr>
              <w:tab/>
              <w:t>0.005%</w:t>
            </w:r>
            <w:r>
              <w:rPr>
                <w:rFonts w:ascii="Times New Roman"/>
                <w:spacing w:val="-4"/>
              </w:rPr>
              <w:t xml:space="preserve"> </w:t>
            </w:r>
            <w:r>
              <w:rPr>
                <w:rFonts w:ascii="Times New Roman"/>
              </w:rPr>
              <w: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Contract</w:t>
            </w:r>
            <w:r>
              <w:rPr>
                <w:rFonts w:ascii="Times New Roman"/>
                <w:spacing w:val="-4"/>
              </w:rPr>
              <w:t xml:space="preserve"> </w:t>
            </w:r>
            <w:r>
              <w:rPr>
                <w:rFonts w:ascii="Times New Roman"/>
              </w:rPr>
              <w:t>Price</w:t>
            </w:r>
            <w:r>
              <w:rPr>
                <w:rFonts w:ascii="Times New Roman"/>
                <w:spacing w:val="-2"/>
              </w:rPr>
              <w:t xml:space="preserve"> </w:t>
            </w:r>
            <w:r>
              <w:rPr>
                <w:rFonts w:ascii="Times New Roman"/>
              </w:rPr>
              <w:t>per</w:t>
            </w:r>
            <w:r>
              <w:rPr>
                <w:rFonts w:ascii="Times New Roman"/>
                <w:spacing w:val="-1"/>
              </w:rPr>
              <w:t xml:space="preserve"> </w:t>
            </w:r>
            <w:r>
              <w:rPr>
                <w:rFonts w:ascii="Times New Roman"/>
                <w:spacing w:val="-4"/>
              </w:rPr>
              <w:t>day.</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4" w:lineRule="exact"/>
              <w:ind w:left="124" w:right="106"/>
              <w:rPr>
                <w:rFonts w:ascii="Times New Roman"/>
              </w:rPr>
            </w:pPr>
            <w:r>
              <w:rPr>
                <w:rFonts w:ascii="Times New Roman"/>
              </w:rPr>
              <w:t>Maximum</w:t>
            </w:r>
            <w:r>
              <w:rPr>
                <w:rFonts w:ascii="Times New Roman"/>
                <w:spacing w:val="-12"/>
              </w:rPr>
              <w:t xml:space="preserve"> </w:t>
            </w:r>
            <w:r>
              <w:rPr>
                <w:rFonts w:ascii="Times New Roman"/>
              </w:rPr>
              <w:t>amount</w:t>
            </w:r>
            <w:r>
              <w:rPr>
                <w:rFonts w:ascii="Times New Roman"/>
                <w:spacing w:val="-12"/>
              </w:rPr>
              <w:t xml:space="preserve"> </w:t>
            </w:r>
            <w:r>
              <w:rPr>
                <w:rFonts w:ascii="Times New Roman"/>
              </w:rPr>
              <w:t>of</w:t>
            </w:r>
            <w:r>
              <w:rPr>
                <w:rFonts w:ascii="Times New Roman"/>
                <w:spacing w:val="-13"/>
              </w:rPr>
              <w:t xml:space="preserve"> </w:t>
            </w:r>
            <w:r>
              <w:rPr>
                <w:rFonts w:ascii="Times New Roman"/>
              </w:rPr>
              <w:t xml:space="preserve">delay </w:t>
            </w:r>
            <w:r>
              <w:rPr>
                <w:rFonts w:ascii="Times New Roman"/>
                <w:spacing w:val="-2"/>
              </w:rPr>
              <w:t>damages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8.7.1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568"/>
              </w:tabs>
              <w:spacing w:line="251" w:lineRule="exact"/>
              <w:ind w:left="126"/>
              <w:rPr>
                <w:rFonts w:ascii="Times New Roman"/>
              </w:rPr>
            </w:pPr>
            <w:r>
              <w:rPr>
                <w:rFonts w:ascii="Times New Roman"/>
                <w:u w:val="single"/>
              </w:rPr>
              <w:tab/>
            </w:r>
            <w:r>
              <w:rPr>
                <w:rFonts w:ascii="Times New Roman"/>
              </w:rPr>
              <w:t>5</w:t>
            </w:r>
            <w:r>
              <w:rPr>
                <w:rFonts w:ascii="Times New Roman"/>
                <w:spacing w:val="51"/>
                <w:u w:val="single"/>
              </w:rPr>
              <w:t xml:space="preserve">  </w:t>
            </w:r>
            <w:r>
              <w:rPr>
                <w:rFonts w:ascii="Times New Roman"/>
              </w:rPr>
              <w:t>%</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 xml:space="preserve">final Contract </w:t>
            </w:r>
            <w:r>
              <w:rPr>
                <w:rFonts w:ascii="Times New Roman"/>
                <w:spacing w:val="-2"/>
              </w:rPr>
              <w:t>Price.</w:t>
            </w:r>
          </w:p>
        </w:tc>
      </w:tr>
      <w:tr w:rsidR="007F6DF9">
        <w:trPr>
          <w:trHeight w:val="504"/>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0" w:lineRule="exact"/>
              <w:ind w:left="124"/>
              <w:rPr>
                <w:rFonts w:ascii="Times New Roman"/>
              </w:rPr>
            </w:pPr>
            <w:r>
              <w:rPr>
                <w:rFonts w:ascii="Times New Roman"/>
              </w:rPr>
              <w:t>Provisional</w:t>
            </w:r>
            <w:r>
              <w:rPr>
                <w:rFonts w:ascii="Times New Roman"/>
                <w:spacing w:val="-2"/>
              </w:rPr>
              <w:t xml:space="preserve"> </w:t>
            </w:r>
            <w:r>
              <w:rPr>
                <w:rFonts w:ascii="Times New Roman"/>
                <w:spacing w:val="-4"/>
              </w:rPr>
              <w:t>Sums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0" w:lineRule="exact"/>
              <w:ind w:left="124"/>
              <w:rPr>
                <w:rFonts w:ascii="Times New Roman"/>
              </w:rPr>
            </w:pPr>
            <w:r>
              <w:rPr>
                <w:rFonts w:ascii="Times New Roman"/>
              </w:rPr>
              <w:t>13.6.</w:t>
            </w:r>
            <w:r>
              <w:rPr>
                <w:rFonts w:ascii="Times New Roman"/>
                <w:spacing w:val="-2"/>
              </w:rPr>
              <w:t xml:space="preserve"> (b)(ii)</w:t>
            </w:r>
          </w:p>
        </w:tc>
        <w:tc>
          <w:tcPr>
            <w:tcW w:w="4945" w:type="dxa"/>
            <w:tcBorders>
              <w:top w:val="single" w:sz="2" w:space="0" w:color="000000"/>
              <w:left w:val="single" w:sz="2" w:space="0" w:color="000000"/>
              <w:bottom w:val="nil"/>
              <w:right w:val="single" w:sz="2" w:space="0" w:color="000000"/>
            </w:tcBorders>
          </w:tcPr>
          <w:p w:rsidR="007F6DF9" w:rsidRDefault="00A43FBC">
            <w:pPr>
              <w:pStyle w:val="TableParagraph"/>
              <w:spacing w:line="250" w:lineRule="exact"/>
              <w:ind w:left="126"/>
              <w:rPr>
                <w:rFonts w:ascii="Times New Roman"/>
                <w:i/>
              </w:rPr>
            </w:pPr>
            <w:r>
              <w:rPr>
                <w:rFonts w:ascii="Times New Roman"/>
              </w:rPr>
              <w:t>As</w:t>
            </w:r>
            <w:r>
              <w:rPr>
                <w:rFonts w:ascii="Times New Roman"/>
                <w:spacing w:val="-3"/>
              </w:rPr>
              <w:t xml:space="preserve"> </w:t>
            </w:r>
            <w:r>
              <w:rPr>
                <w:rFonts w:ascii="Times New Roman"/>
              </w:rPr>
              <w:t>determined</w:t>
            </w:r>
            <w:r>
              <w:rPr>
                <w:rFonts w:ascii="Times New Roman"/>
                <w:spacing w:val="-2"/>
              </w:rPr>
              <w:t xml:space="preserve"> </w:t>
            </w:r>
            <w:r>
              <w:rPr>
                <w:rFonts w:ascii="Times New Roman"/>
              </w:rPr>
              <w:t>by</w:t>
            </w:r>
            <w:r>
              <w:rPr>
                <w:rFonts w:ascii="Times New Roman"/>
                <w:spacing w:val="-4"/>
              </w:rPr>
              <w:t xml:space="preserve"> </w:t>
            </w:r>
            <w:r>
              <w:rPr>
                <w:rFonts w:ascii="Times New Roman"/>
              </w:rPr>
              <w:t>the</w:t>
            </w:r>
            <w:r>
              <w:rPr>
                <w:rFonts w:ascii="Times New Roman"/>
                <w:spacing w:val="-2"/>
              </w:rPr>
              <w:t xml:space="preserve"> Engineer</w:t>
            </w:r>
            <w:r>
              <w:rPr>
                <w:rFonts w:ascii="Times New Roman"/>
                <w:i/>
                <w:spacing w:val="-2"/>
              </w:rPr>
              <w:t>]</w:t>
            </w:r>
          </w:p>
          <w:p w:rsidR="007F6DF9" w:rsidRDefault="00A43FBC">
            <w:pPr>
              <w:pStyle w:val="TableParagraph"/>
              <w:spacing w:before="1" w:line="233" w:lineRule="exact"/>
              <w:ind w:left="896"/>
              <w:rPr>
                <w:rFonts w:ascii="Times New Roman"/>
              </w:rPr>
            </w:pPr>
            <w:r>
              <w:rPr>
                <w:rFonts w:ascii="Times New Roman"/>
                <w:spacing w:val="-10"/>
              </w:rPr>
              <w:t>%</w:t>
            </w:r>
          </w:p>
        </w:tc>
      </w:tr>
      <w:tr w:rsidR="007F6DF9">
        <w:trPr>
          <w:trHeight w:val="254"/>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4" w:lineRule="exact"/>
              <w:ind w:left="124"/>
              <w:rPr>
                <w:rFonts w:ascii="Times New Roman"/>
              </w:rPr>
            </w:pPr>
            <w:r>
              <w:rPr>
                <w:rFonts w:ascii="Times New Roman"/>
              </w:rPr>
              <w:t>Adjustments</w:t>
            </w:r>
            <w:r>
              <w:rPr>
                <w:rFonts w:ascii="Times New Roman"/>
                <w:spacing w:val="-4"/>
              </w:rPr>
              <w:t xml:space="preserve"> </w:t>
            </w:r>
            <w:r>
              <w:rPr>
                <w:rFonts w:ascii="Times New Roman"/>
              </w:rPr>
              <w:t>for</w:t>
            </w:r>
            <w:r>
              <w:rPr>
                <w:rFonts w:ascii="Times New Roman"/>
                <w:spacing w:val="-4"/>
              </w:rPr>
              <w:t xml:space="preserve"> </w:t>
            </w:r>
            <w:r>
              <w:rPr>
                <w:rFonts w:ascii="Times New Roman"/>
              </w:rPr>
              <w:t>Changes</w:t>
            </w:r>
            <w:r>
              <w:rPr>
                <w:rFonts w:ascii="Times New Roman"/>
                <w:spacing w:val="-6"/>
              </w:rPr>
              <w:t xml:space="preserve"> </w:t>
            </w:r>
            <w:r>
              <w:rPr>
                <w:rFonts w:ascii="Times New Roman"/>
              </w:rPr>
              <w:t>in</w:t>
            </w:r>
            <w:r>
              <w:rPr>
                <w:rFonts w:ascii="Times New Roman"/>
                <w:spacing w:val="-3"/>
              </w:rPr>
              <w:t xml:space="preserve"> </w:t>
            </w:r>
            <w:r>
              <w:rPr>
                <w:rFonts w:ascii="Times New Roman"/>
                <w:spacing w:val="-4"/>
              </w:rPr>
              <w:t>Cost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4" w:lineRule="exact"/>
              <w:ind w:left="124"/>
              <w:rPr>
                <w:rFonts w:ascii="Times New Roman"/>
              </w:rPr>
            </w:pPr>
            <w:r>
              <w:rPr>
                <w:rFonts w:ascii="Times New Roman"/>
                <w:spacing w:val="-4"/>
              </w:rPr>
              <w:t>13.9</w:t>
            </w:r>
          </w:p>
        </w:tc>
        <w:tc>
          <w:tcPr>
            <w:tcW w:w="4945" w:type="dxa"/>
            <w:tcBorders>
              <w:top w:val="nil"/>
              <w:left w:val="single" w:sz="2" w:space="0" w:color="000000"/>
              <w:bottom w:val="single" w:sz="2" w:space="0" w:color="000000"/>
              <w:right w:val="single" w:sz="2" w:space="0" w:color="000000"/>
            </w:tcBorders>
          </w:tcPr>
          <w:p w:rsidR="007F6DF9" w:rsidRDefault="00A43FBC">
            <w:pPr>
              <w:pStyle w:val="TableParagraph"/>
              <w:spacing w:line="234" w:lineRule="exact"/>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Total</w:t>
            </w:r>
            <w:r>
              <w:rPr>
                <w:rFonts w:ascii="Times New Roman"/>
                <w:spacing w:val="-2"/>
              </w:rPr>
              <w:t xml:space="preserve"> </w:t>
            </w:r>
            <w:r>
              <w:rPr>
                <w:rFonts w:ascii="Times New Roman"/>
              </w:rPr>
              <w:t>advance</w:t>
            </w:r>
            <w:r>
              <w:rPr>
                <w:rFonts w:ascii="Times New Roman"/>
                <w:spacing w:val="-3"/>
              </w:rPr>
              <w:t xml:space="preserve"> </w:t>
            </w:r>
            <w:r>
              <w:rPr>
                <w:rFonts w:ascii="Times New Roman"/>
                <w:spacing w:val="-2"/>
              </w:rPr>
              <w:t>payment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spacing w:val="-2"/>
              </w:rPr>
              <w:t>14.2.1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4" w:lineRule="exact"/>
              <w:ind w:left="124" w:right="106"/>
              <w:rPr>
                <w:rFonts w:ascii="Times New Roman"/>
              </w:rPr>
            </w:pPr>
            <w:r>
              <w:rPr>
                <w:rFonts w:ascii="Times New Roman"/>
              </w:rPr>
              <w:t>Repayment</w:t>
            </w:r>
            <w:r>
              <w:rPr>
                <w:rFonts w:ascii="Times New Roman"/>
                <w:spacing w:val="-13"/>
              </w:rPr>
              <w:t xml:space="preserve"> </w:t>
            </w:r>
            <w:r>
              <w:rPr>
                <w:rFonts w:ascii="Times New Roman"/>
              </w:rPr>
              <w:t>amortization</w:t>
            </w:r>
            <w:r>
              <w:rPr>
                <w:rFonts w:ascii="Times New Roman"/>
                <w:spacing w:val="-14"/>
              </w:rPr>
              <w:t xml:space="preserve"> </w:t>
            </w:r>
            <w:r>
              <w:rPr>
                <w:rFonts w:ascii="Times New Roman"/>
              </w:rPr>
              <w:t>rate</w:t>
            </w:r>
            <w:r>
              <w:rPr>
                <w:rFonts w:ascii="Times New Roman"/>
                <w:spacing w:val="-12"/>
              </w:rPr>
              <w:t xml:space="preserve"> </w:t>
            </w:r>
            <w:r>
              <w:rPr>
                <w:rFonts w:ascii="Times New Roman"/>
              </w:rPr>
              <w:t>of advance payment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 xml:space="preserve">14.2.5 </w:t>
            </w:r>
            <w:r>
              <w:rPr>
                <w:rFonts w:ascii="Times New Roman"/>
                <w:spacing w:val="-5"/>
              </w:rPr>
              <w:t>(b)</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before="125"/>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252"/>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Percentage</w:t>
            </w:r>
            <w:r>
              <w:rPr>
                <w:rFonts w:ascii="Times New Roman"/>
                <w:spacing w:val="-3"/>
              </w:rPr>
              <w:t xml:space="preserve"> </w:t>
            </w:r>
            <w:r>
              <w:rPr>
                <w:rFonts w:ascii="Times New Roman"/>
              </w:rPr>
              <w:t>of</w:t>
            </w:r>
            <w:r>
              <w:rPr>
                <w:rFonts w:ascii="Times New Roman"/>
                <w:spacing w:val="-3"/>
              </w:rPr>
              <w:t xml:space="preserve"> </w:t>
            </w:r>
            <w:r>
              <w:rPr>
                <w:rFonts w:ascii="Times New Roman"/>
                <w:spacing w:val="-2"/>
              </w:rPr>
              <w:t>Retention</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 xml:space="preserve">14.3.2 </w:t>
            </w:r>
            <w:r>
              <w:rPr>
                <w:rFonts w:ascii="Times New Roman"/>
                <w:spacing w:val="-5"/>
              </w:rPr>
              <w:t>(c)</w:t>
            </w:r>
          </w:p>
        </w:tc>
        <w:tc>
          <w:tcPr>
            <w:tcW w:w="4945" w:type="dxa"/>
            <w:tcBorders>
              <w:top w:val="single" w:sz="2" w:space="0" w:color="000000"/>
              <w:left w:val="single" w:sz="2" w:space="0" w:color="000000"/>
              <w:bottom w:val="nil"/>
              <w:right w:val="single" w:sz="2" w:space="0" w:color="000000"/>
            </w:tcBorders>
          </w:tcPr>
          <w:p w:rsidR="007F6DF9" w:rsidRDefault="00A43FBC">
            <w:pPr>
              <w:pStyle w:val="TableParagraph"/>
              <w:tabs>
                <w:tab w:val="left" w:pos="1117"/>
              </w:tabs>
              <w:spacing w:line="232" w:lineRule="exact"/>
              <w:ind w:left="568"/>
              <w:rPr>
                <w:rFonts w:ascii="Times New Roman"/>
              </w:rPr>
            </w:pPr>
            <w:r>
              <w:rPr>
                <w:rFonts w:ascii="Times New Roman"/>
                <w:spacing w:val="-5"/>
              </w:rPr>
              <w:t>10</w:t>
            </w:r>
            <w:r>
              <w:rPr>
                <w:rFonts w:ascii="Times New Roman"/>
              </w:rPr>
              <w:tab/>
            </w:r>
            <w:r>
              <w:rPr>
                <w:rFonts w:ascii="Times New Roman"/>
                <w:spacing w:val="-10"/>
              </w:rPr>
              <w:t>%</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Limit</w:t>
            </w:r>
            <w:r>
              <w:rPr>
                <w:rFonts w:ascii="Times New Roman"/>
                <w:spacing w:val="-5"/>
              </w:rPr>
              <w:t xml:space="preserve"> </w:t>
            </w:r>
            <w:r>
              <w:rPr>
                <w:rFonts w:ascii="Times New Roman"/>
              </w:rPr>
              <w:t>of</w:t>
            </w:r>
            <w:r>
              <w:rPr>
                <w:rFonts w:ascii="Times New Roman"/>
                <w:spacing w:val="-3"/>
              </w:rPr>
              <w:t xml:space="preserve"> </w:t>
            </w:r>
            <w:r>
              <w:rPr>
                <w:rFonts w:ascii="Times New Roman"/>
              </w:rPr>
              <w:t>Retention</w:t>
            </w:r>
            <w:r>
              <w:rPr>
                <w:rFonts w:ascii="Times New Roman"/>
                <w:spacing w:val="-3"/>
              </w:rPr>
              <w:t xml:space="preserve"> </w:t>
            </w:r>
            <w:r>
              <w:rPr>
                <w:rFonts w:ascii="Times New Roman"/>
                <w:spacing w:val="-4"/>
              </w:rPr>
              <w:t>Money</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 xml:space="preserve">14.3.2 </w:t>
            </w:r>
            <w:r>
              <w:rPr>
                <w:rFonts w:ascii="Times New Roman"/>
                <w:spacing w:val="-5"/>
              </w:rPr>
              <w:t>(c)</w:t>
            </w:r>
          </w:p>
        </w:tc>
        <w:tc>
          <w:tcPr>
            <w:tcW w:w="4945" w:type="dxa"/>
            <w:tcBorders>
              <w:top w:val="nil"/>
              <w:left w:val="single" w:sz="2" w:space="0" w:color="000000"/>
              <w:bottom w:val="nil"/>
              <w:right w:val="single" w:sz="2" w:space="0" w:color="000000"/>
            </w:tcBorders>
          </w:tcPr>
          <w:p w:rsidR="007F6DF9" w:rsidRDefault="00A43FBC">
            <w:pPr>
              <w:pStyle w:val="TableParagraph"/>
              <w:spacing w:line="232" w:lineRule="exact"/>
              <w:ind w:left="678"/>
              <w:rPr>
                <w:rFonts w:ascii="Times New Roman"/>
              </w:rPr>
            </w:pPr>
            <w:r>
              <w:rPr>
                <w:rFonts w:ascii="Times New Roman"/>
              </w:rPr>
              <w:t>10_%</w:t>
            </w:r>
            <w:r>
              <w:rPr>
                <w:rFonts w:ascii="Times New Roman"/>
                <w:spacing w:val="-5"/>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Accepted</w:t>
            </w:r>
            <w:r>
              <w:rPr>
                <w:rFonts w:ascii="Times New Roman"/>
                <w:spacing w:val="-4"/>
              </w:rPr>
              <w:t xml:space="preserve"> </w:t>
            </w:r>
            <w:r>
              <w:rPr>
                <w:rFonts w:ascii="Times New Roman"/>
              </w:rPr>
              <w:t>Contract</w:t>
            </w:r>
            <w:r>
              <w:rPr>
                <w:rFonts w:ascii="Times New Roman"/>
                <w:spacing w:val="-3"/>
              </w:rPr>
              <w:t xml:space="preserve"> </w:t>
            </w:r>
            <w:r>
              <w:rPr>
                <w:rFonts w:ascii="Times New Roman"/>
                <w:spacing w:val="-2"/>
              </w:rPr>
              <w:t>Amount</w:t>
            </w:r>
          </w:p>
        </w:tc>
      </w:tr>
      <w:tr w:rsidR="007F6DF9">
        <w:trPr>
          <w:trHeight w:val="753"/>
        </w:trPr>
        <w:tc>
          <w:tcPr>
            <w:tcW w:w="3335" w:type="dxa"/>
            <w:vMerge w:val="restart"/>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Plant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2"/>
              </w:rPr>
              <w:t>Materials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p w:rsidR="007F6DF9" w:rsidRDefault="00A43FBC">
            <w:pPr>
              <w:pStyle w:val="TableParagraph"/>
              <w:ind w:left="124"/>
              <w:rPr>
                <w:rFonts w:ascii="Times New Roman"/>
              </w:rPr>
            </w:pPr>
            <w:r>
              <w:rPr>
                <w:rFonts w:ascii="Times New Roman"/>
                <w:spacing w:val="-2"/>
              </w:rPr>
              <w:t>14.5.3(b)(</w:t>
            </w:r>
            <w:proofErr w:type="spellStart"/>
            <w:r>
              <w:rPr>
                <w:rFonts w:ascii="Times New Roman"/>
                <w:spacing w:val="-2"/>
              </w:rPr>
              <w:t>i</w:t>
            </w:r>
            <w:proofErr w:type="spellEnd"/>
            <w:r>
              <w:rPr>
                <w:rFonts w:ascii="Times New Roman"/>
                <w:spacing w:val="-2"/>
              </w:rPr>
              <w:t>)</w:t>
            </w:r>
          </w:p>
        </w:tc>
        <w:tc>
          <w:tcPr>
            <w:tcW w:w="4945" w:type="dxa"/>
            <w:tcBorders>
              <w:top w:val="nil"/>
              <w:left w:val="single" w:sz="2" w:space="0" w:color="000000"/>
              <w:bottom w:val="single" w:sz="6" w:space="0" w:color="000000"/>
              <w:right w:val="single" w:sz="2" w:space="0" w:color="000000"/>
            </w:tcBorders>
          </w:tcPr>
          <w:p w:rsidR="007F6DF9" w:rsidRDefault="00A43FBC">
            <w:pPr>
              <w:pStyle w:val="TableParagraph"/>
              <w:spacing w:line="251" w:lineRule="exact"/>
              <w:ind w:left="126"/>
              <w:rPr>
                <w:rFonts w:ascii="Times New Roman"/>
              </w:rPr>
            </w:pPr>
            <w:r>
              <w:rPr>
                <w:rFonts w:ascii="Times New Roman"/>
              </w:rPr>
              <w:t>If</w:t>
            </w:r>
            <w:r>
              <w:rPr>
                <w:rFonts w:ascii="Times New Roman"/>
                <w:spacing w:val="-2"/>
              </w:rPr>
              <w:t xml:space="preserve"> </w:t>
            </w:r>
            <w:r>
              <w:rPr>
                <w:rFonts w:ascii="Times New Roman"/>
              </w:rPr>
              <w:t>Sub-Clause</w:t>
            </w:r>
            <w:r>
              <w:rPr>
                <w:rFonts w:ascii="Times New Roman"/>
                <w:spacing w:val="-3"/>
              </w:rPr>
              <w:t xml:space="preserve"> </w:t>
            </w:r>
            <w:r>
              <w:rPr>
                <w:rFonts w:ascii="Times New Roman"/>
              </w:rPr>
              <w:t>14.5</w:t>
            </w:r>
            <w:r>
              <w:rPr>
                <w:rFonts w:ascii="Times New Roman"/>
                <w:spacing w:val="-2"/>
              </w:rPr>
              <w:t xml:space="preserve"> applies:</w:t>
            </w:r>
          </w:p>
          <w:p w:rsidR="007F6DF9" w:rsidRDefault="00A43FBC">
            <w:pPr>
              <w:pStyle w:val="TableParagraph"/>
              <w:spacing w:before="2" w:line="252" w:lineRule="exact"/>
              <w:ind w:left="126"/>
              <w:rPr>
                <w:rFonts w:ascii="Times New Roman"/>
              </w:rPr>
            </w:pPr>
            <w:r>
              <w:rPr>
                <w:rFonts w:ascii="Times New Roman"/>
              </w:rPr>
              <w:t>Plant</w:t>
            </w:r>
            <w:r>
              <w:rPr>
                <w:rFonts w:ascii="Times New Roman"/>
                <w:spacing w:val="-2"/>
              </w:rPr>
              <w:t xml:space="preserve"> </w:t>
            </w:r>
            <w:r>
              <w:rPr>
                <w:rFonts w:ascii="Times New Roman"/>
              </w:rPr>
              <w:t>and</w:t>
            </w:r>
            <w:r>
              <w:rPr>
                <w:rFonts w:ascii="Times New Roman"/>
                <w:spacing w:val="-4"/>
              </w:rPr>
              <w:t xml:space="preserve"> </w:t>
            </w:r>
            <w:r>
              <w:rPr>
                <w:rFonts w:ascii="Times New Roman"/>
              </w:rPr>
              <w:t>Materials</w:t>
            </w:r>
            <w:r>
              <w:rPr>
                <w:rFonts w:ascii="Times New Roman"/>
                <w:spacing w:val="-4"/>
              </w:rPr>
              <w:t xml:space="preserve"> </w:t>
            </w:r>
            <w:r>
              <w:rPr>
                <w:rFonts w:ascii="Times New Roman"/>
              </w:rPr>
              <w:t>for</w:t>
            </w:r>
            <w:r>
              <w:rPr>
                <w:rFonts w:ascii="Times New Roman"/>
                <w:spacing w:val="-4"/>
              </w:rPr>
              <w:t xml:space="preserve"> </w:t>
            </w:r>
            <w:r>
              <w:rPr>
                <w:rFonts w:ascii="Times New Roman"/>
              </w:rPr>
              <w:t>payment</w:t>
            </w:r>
            <w:r>
              <w:rPr>
                <w:rFonts w:ascii="Times New Roman"/>
                <w:spacing w:val="-1"/>
              </w:rPr>
              <w:t xml:space="preserve"> </w:t>
            </w:r>
            <w:r>
              <w:rPr>
                <w:rFonts w:ascii="Times New Roman"/>
              </w:rPr>
              <w:t>Free</w:t>
            </w:r>
            <w:r>
              <w:rPr>
                <w:rFonts w:ascii="Times New Roman"/>
                <w:spacing w:val="-2"/>
              </w:rPr>
              <w:t xml:space="preserve"> </w:t>
            </w:r>
            <w:r>
              <w:rPr>
                <w:rFonts w:ascii="Times New Roman"/>
              </w:rPr>
              <w:t>on</w:t>
            </w:r>
            <w:r>
              <w:rPr>
                <w:rFonts w:ascii="Times New Roman"/>
                <w:spacing w:val="-2"/>
              </w:rPr>
              <w:t xml:space="preserve"> </w:t>
            </w:r>
            <w:r>
              <w:rPr>
                <w:rFonts w:ascii="Times New Roman"/>
                <w:spacing w:val="-4"/>
              </w:rPr>
              <w:t>Board</w:t>
            </w:r>
          </w:p>
          <w:p w:rsidR="007F6DF9" w:rsidRDefault="00A43FBC">
            <w:pPr>
              <w:pStyle w:val="TableParagraph"/>
              <w:spacing w:line="228" w:lineRule="exact"/>
              <w:ind w:left="1722"/>
              <w:rPr>
                <w:rFonts w:ascii="Times New Roman"/>
                <w:i/>
              </w:rPr>
            </w:pPr>
            <w:r>
              <w:rPr>
                <w:rFonts w:ascii="Times New Roman"/>
                <w:i/>
                <w:spacing w:val="-2"/>
              </w:rPr>
              <w:t>[list].</w:t>
            </w:r>
          </w:p>
        </w:tc>
      </w:tr>
      <w:tr w:rsidR="007F6DF9">
        <w:trPr>
          <w:trHeight w:val="755"/>
        </w:trPr>
        <w:tc>
          <w:tcPr>
            <w:tcW w:w="3335" w:type="dxa"/>
            <w:vMerge/>
            <w:tcBorders>
              <w:top w:val="nil"/>
              <w:left w:val="single" w:sz="2" w:space="0" w:color="000000"/>
              <w:bottom w:val="single" w:sz="2" w:space="0" w:color="000000"/>
              <w:right w:val="single" w:sz="2" w:space="0" w:color="000000"/>
            </w:tcBorders>
          </w:tcPr>
          <w:p w:rsidR="007F6DF9" w:rsidRDefault="007F6DF9">
            <w:pPr>
              <w:rPr>
                <w:sz w:val="2"/>
                <w:szCs w:val="2"/>
              </w:rPr>
            </w:pP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6" w:lineRule="exact"/>
              <w:ind w:left="124"/>
              <w:rPr>
                <w:rFonts w:ascii="Times New Roman"/>
              </w:rPr>
            </w:pPr>
            <w:r>
              <w:rPr>
                <w:rFonts w:ascii="Times New Roman"/>
                <w:spacing w:val="-2"/>
              </w:rPr>
              <w:t>14.5.3(c)(</w:t>
            </w:r>
            <w:proofErr w:type="spellStart"/>
            <w:r>
              <w:rPr>
                <w:rFonts w:ascii="Times New Roman"/>
                <w:spacing w:val="-2"/>
              </w:rPr>
              <w:t>i</w:t>
            </w:r>
            <w:proofErr w:type="spellEnd"/>
            <w:r>
              <w:rPr>
                <w:rFonts w:ascii="Times New Roman"/>
                <w:spacing w:val="-2"/>
              </w:rPr>
              <w:t>)</w:t>
            </w:r>
          </w:p>
        </w:tc>
        <w:tc>
          <w:tcPr>
            <w:tcW w:w="4945" w:type="dxa"/>
            <w:tcBorders>
              <w:top w:val="single" w:sz="6" w:space="0" w:color="000000"/>
              <w:left w:val="single" w:sz="2" w:space="0" w:color="000000"/>
              <w:bottom w:val="single" w:sz="2" w:space="0" w:color="000000"/>
              <w:right w:val="single" w:sz="2" w:space="0" w:color="000000"/>
            </w:tcBorders>
          </w:tcPr>
          <w:p w:rsidR="007F6DF9" w:rsidRDefault="00A43FBC">
            <w:pPr>
              <w:pStyle w:val="TableParagraph"/>
              <w:spacing w:line="246" w:lineRule="exact"/>
              <w:ind w:left="126"/>
              <w:rPr>
                <w:rFonts w:ascii="Times New Roman"/>
              </w:rPr>
            </w:pPr>
            <w:r>
              <w:rPr>
                <w:rFonts w:ascii="Times New Roman"/>
              </w:rPr>
              <w:t>Plant</w:t>
            </w:r>
            <w:r>
              <w:rPr>
                <w:rFonts w:ascii="Times New Roman"/>
                <w:spacing w:val="-3"/>
              </w:rPr>
              <w:t xml:space="preserve"> </w:t>
            </w:r>
            <w:r>
              <w:rPr>
                <w:rFonts w:ascii="Times New Roman"/>
              </w:rPr>
              <w:t>and</w:t>
            </w:r>
            <w:r>
              <w:rPr>
                <w:rFonts w:ascii="Times New Roman"/>
                <w:spacing w:val="-5"/>
              </w:rPr>
              <w:t xml:space="preserve"> </w:t>
            </w:r>
            <w:r>
              <w:rPr>
                <w:rFonts w:ascii="Times New Roman"/>
              </w:rPr>
              <w:t>Materials</w:t>
            </w:r>
            <w:r>
              <w:rPr>
                <w:rFonts w:ascii="Times New Roman"/>
                <w:spacing w:val="-4"/>
              </w:rPr>
              <w:t xml:space="preserve"> </w:t>
            </w:r>
            <w:r>
              <w:rPr>
                <w:rFonts w:ascii="Times New Roman"/>
              </w:rPr>
              <w:t>for</w:t>
            </w:r>
            <w:r>
              <w:rPr>
                <w:rFonts w:ascii="Times New Roman"/>
                <w:spacing w:val="-5"/>
              </w:rPr>
              <w:t xml:space="preserve"> </w:t>
            </w:r>
            <w:r>
              <w:rPr>
                <w:rFonts w:ascii="Times New Roman"/>
              </w:rPr>
              <w:t>payment</w:t>
            </w:r>
            <w:r>
              <w:rPr>
                <w:rFonts w:ascii="Times New Roman"/>
                <w:spacing w:val="-3"/>
              </w:rPr>
              <w:t xml:space="preserve"> </w:t>
            </w:r>
            <w:r>
              <w:rPr>
                <w:rFonts w:ascii="Times New Roman"/>
              </w:rPr>
              <w:t>when</w:t>
            </w:r>
            <w:r>
              <w:rPr>
                <w:rFonts w:ascii="Times New Roman"/>
                <w:spacing w:val="-3"/>
              </w:rPr>
              <w:t xml:space="preserve"> </w:t>
            </w:r>
            <w:r>
              <w:rPr>
                <w:rFonts w:ascii="Times New Roman"/>
              </w:rPr>
              <w:t>delivered</w:t>
            </w:r>
            <w:r>
              <w:rPr>
                <w:rFonts w:ascii="Times New Roman"/>
                <w:spacing w:val="-4"/>
              </w:rPr>
              <w:t xml:space="preserve"> </w:t>
            </w:r>
            <w:r>
              <w:rPr>
                <w:rFonts w:ascii="Times New Roman"/>
                <w:spacing w:val="-5"/>
              </w:rPr>
              <w:t>to</w:t>
            </w:r>
          </w:p>
          <w:p w:rsidR="007F6DF9" w:rsidRDefault="00A43FBC">
            <w:pPr>
              <w:pStyle w:val="TableParagraph"/>
              <w:spacing w:line="252" w:lineRule="exact"/>
              <w:ind w:left="126"/>
              <w:rPr>
                <w:rFonts w:ascii="Times New Roman"/>
                <w:i/>
              </w:rPr>
            </w:pPr>
            <w:r>
              <w:rPr>
                <w:rFonts w:ascii="Times New Roman"/>
              </w:rPr>
              <w:t>the</w:t>
            </w:r>
            <w:r>
              <w:rPr>
                <w:rFonts w:ascii="Times New Roman"/>
                <w:spacing w:val="-5"/>
              </w:rPr>
              <w:t xml:space="preserve"> </w:t>
            </w:r>
            <w:r>
              <w:rPr>
                <w:rFonts w:ascii="Times New Roman"/>
              </w:rPr>
              <w:t>Site</w:t>
            </w:r>
            <w:r>
              <w:rPr>
                <w:rFonts w:ascii="Times New Roman"/>
                <w:spacing w:val="-7"/>
              </w:rPr>
              <w:t xml:space="preserve"> </w:t>
            </w:r>
            <w:r>
              <w:rPr>
                <w:rFonts w:ascii="Times New Roman"/>
                <w:i/>
              </w:rPr>
              <w:t>Plant</w:t>
            </w:r>
            <w:r>
              <w:rPr>
                <w:rFonts w:ascii="Times New Roman"/>
                <w:i/>
                <w:spacing w:val="-4"/>
              </w:rPr>
              <w:t xml:space="preserve"> </w:t>
            </w:r>
            <w:r>
              <w:rPr>
                <w:rFonts w:ascii="Times New Roman"/>
                <w:i/>
              </w:rPr>
              <w:t>and</w:t>
            </w:r>
            <w:r>
              <w:rPr>
                <w:rFonts w:ascii="Times New Roman"/>
                <w:i/>
                <w:spacing w:val="-5"/>
              </w:rPr>
              <w:t xml:space="preserve"> </w:t>
            </w:r>
            <w:r>
              <w:rPr>
                <w:rFonts w:ascii="Times New Roman"/>
                <w:i/>
              </w:rPr>
              <w:t>materials</w:t>
            </w:r>
            <w:r>
              <w:rPr>
                <w:rFonts w:ascii="Times New Roman"/>
                <w:i/>
                <w:spacing w:val="-5"/>
              </w:rPr>
              <w:t xml:space="preserve"> </w:t>
            </w:r>
            <w:r>
              <w:rPr>
                <w:rFonts w:ascii="Times New Roman"/>
                <w:i/>
              </w:rPr>
              <w:t>to</w:t>
            </w:r>
            <w:r>
              <w:rPr>
                <w:rFonts w:ascii="Times New Roman"/>
                <w:i/>
                <w:spacing w:val="-5"/>
              </w:rPr>
              <w:t xml:space="preserve"> </w:t>
            </w:r>
            <w:r>
              <w:rPr>
                <w:rFonts w:ascii="Times New Roman"/>
                <w:i/>
              </w:rPr>
              <w:t>be</w:t>
            </w:r>
            <w:r>
              <w:rPr>
                <w:rFonts w:ascii="Times New Roman"/>
                <w:i/>
                <w:spacing w:val="-5"/>
              </w:rPr>
              <w:t xml:space="preserve"> </w:t>
            </w:r>
            <w:r>
              <w:rPr>
                <w:rFonts w:ascii="Times New Roman"/>
                <w:i/>
              </w:rPr>
              <w:t>incorporated</w:t>
            </w:r>
            <w:r>
              <w:rPr>
                <w:rFonts w:ascii="Times New Roman"/>
                <w:i/>
                <w:spacing w:val="-7"/>
              </w:rPr>
              <w:t xml:space="preserve"> </w:t>
            </w:r>
            <w:r>
              <w:rPr>
                <w:rFonts w:ascii="Times New Roman"/>
                <w:i/>
              </w:rPr>
              <w:t>into permanent works</w:t>
            </w:r>
          </w:p>
        </w:tc>
      </w:tr>
    </w:tbl>
    <w:p w:rsidR="007F6DF9" w:rsidRDefault="007F6DF9">
      <w:pPr>
        <w:pStyle w:val="TableParagraph"/>
        <w:spacing w:line="252" w:lineRule="exact"/>
        <w:rPr>
          <w:rFonts w:ascii="Times New Roman"/>
          <w:i/>
        </w:rPr>
        <w:sectPr w:rsidR="007F6DF9">
          <w:pgSz w:w="11920" w:h="16850"/>
          <w:pgMar w:top="360" w:right="283" w:bottom="620" w:left="141" w:header="0" w:footer="437" w:gutter="0"/>
          <w:cols w:space="720"/>
        </w:sectPr>
      </w:pPr>
    </w:p>
    <w:tbl>
      <w:tblPr>
        <w:tblW w:w="0" w:type="auto"/>
        <w:tblInd w:w="4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5"/>
        <w:gridCol w:w="1277"/>
        <w:gridCol w:w="4945"/>
      </w:tblGrid>
      <w:tr w:rsidR="007F6DF9">
        <w:trPr>
          <w:trHeight w:val="507"/>
        </w:trPr>
        <w:tc>
          <w:tcPr>
            <w:tcW w:w="3335" w:type="dxa"/>
          </w:tcPr>
          <w:p w:rsidR="007F6DF9" w:rsidRDefault="00A43FBC">
            <w:pPr>
              <w:pStyle w:val="TableParagraph"/>
              <w:spacing w:line="244" w:lineRule="exact"/>
              <w:ind w:left="104"/>
              <w:rPr>
                <w:rFonts w:ascii="Times New Roman"/>
                <w:b/>
              </w:rPr>
            </w:pPr>
            <w:r>
              <w:rPr>
                <w:rFonts w:ascii="Times New Roman"/>
                <w:b/>
                <w:spacing w:val="-2"/>
              </w:rPr>
              <w:lastRenderedPageBreak/>
              <w:t>Conditions</w:t>
            </w:r>
          </w:p>
        </w:tc>
        <w:tc>
          <w:tcPr>
            <w:tcW w:w="1277" w:type="dxa"/>
          </w:tcPr>
          <w:p w:rsidR="007F6DF9" w:rsidRDefault="00A43FBC">
            <w:pPr>
              <w:pStyle w:val="TableParagraph"/>
              <w:spacing w:line="244" w:lineRule="exact"/>
              <w:ind w:left="104"/>
              <w:rPr>
                <w:rFonts w:ascii="Times New Roman"/>
                <w:b/>
              </w:rPr>
            </w:pPr>
            <w:r>
              <w:rPr>
                <w:rFonts w:ascii="Times New Roman"/>
                <w:b/>
              </w:rPr>
              <w:t>Sub-</w:t>
            </w:r>
          </w:p>
          <w:p w:rsidR="007F6DF9" w:rsidRDefault="00A43FBC">
            <w:pPr>
              <w:pStyle w:val="TableParagraph"/>
              <w:spacing w:line="243" w:lineRule="exact"/>
              <w:ind w:left="104"/>
              <w:rPr>
                <w:rFonts w:ascii="Times New Roman"/>
                <w:b/>
              </w:rPr>
            </w:pPr>
            <w:r>
              <w:rPr>
                <w:rFonts w:ascii="Times New Roman"/>
                <w:b/>
                <w:spacing w:val="-2"/>
              </w:rPr>
              <w:t>Clause</w:t>
            </w:r>
          </w:p>
        </w:tc>
        <w:tc>
          <w:tcPr>
            <w:tcW w:w="4945" w:type="dxa"/>
          </w:tcPr>
          <w:p w:rsidR="007F6DF9" w:rsidRDefault="00A43FBC">
            <w:pPr>
              <w:pStyle w:val="TableParagraph"/>
              <w:spacing w:line="244" w:lineRule="exact"/>
              <w:ind w:left="106"/>
              <w:rPr>
                <w:rFonts w:ascii="Times New Roman"/>
                <w:b/>
              </w:rPr>
            </w:pPr>
            <w:r>
              <w:rPr>
                <w:rFonts w:ascii="Times New Roman"/>
                <w:b/>
                <w:spacing w:val="-4"/>
              </w:rPr>
              <w:t>Data</w:t>
            </w:r>
          </w:p>
        </w:tc>
      </w:tr>
      <w:tr w:rsidR="007F6DF9">
        <w:trPr>
          <w:trHeight w:val="464"/>
        </w:trPr>
        <w:tc>
          <w:tcPr>
            <w:tcW w:w="3335" w:type="dxa"/>
            <w:tcBorders>
              <w:left w:val="single" w:sz="2" w:space="0" w:color="000000"/>
              <w:bottom w:val="single" w:sz="2" w:space="0" w:color="000000"/>
              <w:right w:val="single" w:sz="2" w:space="0" w:color="000000"/>
            </w:tcBorders>
          </w:tcPr>
          <w:p w:rsidR="007F6DF9" w:rsidRDefault="00A43FBC">
            <w:pPr>
              <w:pStyle w:val="TableParagraph"/>
              <w:spacing w:line="203" w:lineRule="exact"/>
              <w:ind w:left="124"/>
              <w:rPr>
                <w:rFonts w:ascii="Times New Roman"/>
              </w:rPr>
            </w:pPr>
            <w:r>
              <w:rPr>
                <w:rFonts w:ascii="Times New Roman"/>
              </w:rPr>
              <w:t>Minimum</w:t>
            </w:r>
            <w:r>
              <w:rPr>
                <w:rFonts w:ascii="Times New Roman"/>
                <w:spacing w:val="-4"/>
              </w:rPr>
              <w:t xml:space="preserve"> </w:t>
            </w:r>
            <w:r>
              <w:rPr>
                <w:rFonts w:ascii="Times New Roman"/>
              </w:rPr>
              <w:t>Amount</w:t>
            </w:r>
            <w:r>
              <w:rPr>
                <w:rFonts w:ascii="Times New Roman"/>
                <w:spacing w:val="-4"/>
              </w:rPr>
              <w:t xml:space="preserve"> </w:t>
            </w:r>
            <w:r>
              <w:rPr>
                <w:rFonts w:ascii="Times New Roman"/>
              </w:rPr>
              <w:t>of</w:t>
            </w:r>
            <w:r>
              <w:rPr>
                <w:rFonts w:ascii="Times New Roman"/>
                <w:spacing w:val="-2"/>
              </w:rPr>
              <w:t xml:space="preserve"> Interim</w:t>
            </w:r>
          </w:p>
          <w:p w:rsidR="007F6DF9" w:rsidRDefault="00A43FBC">
            <w:pPr>
              <w:pStyle w:val="TableParagraph"/>
              <w:spacing w:line="242" w:lineRule="exact"/>
              <w:ind w:left="124"/>
              <w:rPr>
                <w:rFonts w:ascii="Times New Roman"/>
              </w:rPr>
            </w:pPr>
            <w:r>
              <w:rPr>
                <w:rFonts w:ascii="Times New Roman"/>
              </w:rPr>
              <w:t>Payment</w:t>
            </w:r>
            <w:r>
              <w:rPr>
                <w:rFonts w:ascii="Times New Roman"/>
                <w:spacing w:val="-1"/>
              </w:rPr>
              <w:t xml:space="preserve"> </w:t>
            </w:r>
            <w:r>
              <w:rPr>
                <w:rFonts w:ascii="Times New Roman"/>
                <w:spacing w:val="-2"/>
              </w:rPr>
              <w:t>Certificates</w:t>
            </w:r>
          </w:p>
        </w:tc>
        <w:tc>
          <w:tcPr>
            <w:tcW w:w="1277" w:type="dxa"/>
            <w:tcBorders>
              <w:left w:val="single" w:sz="2" w:space="0" w:color="000000"/>
              <w:bottom w:val="single" w:sz="2" w:space="0" w:color="000000"/>
              <w:right w:val="single" w:sz="2" w:space="0" w:color="000000"/>
            </w:tcBorders>
          </w:tcPr>
          <w:p w:rsidR="007F6DF9" w:rsidRDefault="00A43FBC">
            <w:pPr>
              <w:pStyle w:val="TableParagraph"/>
              <w:spacing w:line="203" w:lineRule="exact"/>
              <w:ind w:left="124"/>
              <w:rPr>
                <w:rFonts w:ascii="Times New Roman"/>
              </w:rPr>
            </w:pPr>
            <w:r>
              <w:rPr>
                <w:rFonts w:ascii="Times New Roman"/>
                <w:spacing w:val="-2"/>
              </w:rPr>
              <w:t>14.6.2</w:t>
            </w:r>
          </w:p>
        </w:tc>
        <w:tc>
          <w:tcPr>
            <w:tcW w:w="4945" w:type="dxa"/>
            <w:tcBorders>
              <w:left w:val="single" w:sz="2" w:space="0" w:color="000000"/>
              <w:bottom w:val="single" w:sz="2" w:space="0" w:color="000000"/>
              <w:right w:val="single" w:sz="2" w:space="0" w:color="000000"/>
            </w:tcBorders>
          </w:tcPr>
          <w:p w:rsidR="007F6DF9" w:rsidRDefault="00A43FBC">
            <w:pPr>
              <w:pStyle w:val="TableParagraph"/>
              <w:spacing w:line="203" w:lineRule="exact"/>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760"/>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24" w:right="106"/>
              <w:rPr>
                <w:rFonts w:ascii="Times New Roman"/>
              </w:rPr>
            </w:pPr>
            <w:r>
              <w:rPr>
                <w:rFonts w:ascii="Times New Roman"/>
              </w:rPr>
              <w:t>Publishing source of commercial interest</w:t>
            </w:r>
            <w:r>
              <w:rPr>
                <w:rFonts w:ascii="Times New Roman"/>
                <w:spacing w:val="-10"/>
              </w:rPr>
              <w:t xml:space="preserve"> </w:t>
            </w:r>
            <w:r>
              <w:rPr>
                <w:rFonts w:ascii="Times New Roman"/>
              </w:rPr>
              <w:t>rates</w:t>
            </w:r>
            <w:r>
              <w:rPr>
                <w:rFonts w:ascii="Times New Roman"/>
                <w:spacing w:val="-11"/>
              </w:rPr>
              <w:t xml:space="preserve"> </w:t>
            </w:r>
            <w:r>
              <w:rPr>
                <w:rFonts w:ascii="Times New Roman"/>
              </w:rPr>
              <w:t>for</w:t>
            </w:r>
            <w:r>
              <w:rPr>
                <w:rFonts w:ascii="Times New Roman"/>
                <w:spacing w:val="-11"/>
              </w:rPr>
              <w:t xml:space="preserve"> </w:t>
            </w:r>
            <w:r>
              <w:rPr>
                <w:rFonts w:ascii="Times New Roman"/>
              </w:rPr>
              <w:t>financial</w:t>
            </w:r>
            <w:r>
              <w:rPr>
                <w:rFonts w:ascii="Times New Roman"/>
                <w:spacing w:val="-8"/>
              </w:rPr>
              <w:t xml:space="preserve"> </w:t>
            </w:r>
            <w:r>
              <w:rPr>
                <w:rFonts w:ascii="Times New Roman"/>
              </w:rPr>
              <w:t>charges</w:t>
            </w:r>
          </w:p>
          <w:p w:rsidR="007F6DF9" w:rsidRDefault="00A43FBC">
            <w:pPr>
              <w:pStyle w:val="TableParagraph"/>
              <w:spacing w:line="243" w:lineRule="exact"/>
              <w:ind w:left="124"/>
              <w:rPr>
                <w:rFonts w:ascii="Times New Roman"/>
              </w:rPr>
            </w:pPr>
            <w:r>
              <w:rPr>
                <w:rFonts w:ascii="Times New Roman"/>
              </w:rPr>
              <w:t>in</w:t>
            </w:r>
            <w:r>
              <w:rPr>
                <w:rFonts w:ascii="Times New Roman"/>
                <w:spacing w:val="-5"/>
              </w:rPr>
              <w:t xml:space="preserve"> </w:t>
            </w:r>
            <w:r>
              <w:rPr>
                <w:rFonts w:ascii="Times New Roman"/>
              </w:rPr>
              <w:t>case</w:t>
            </w:r>
            <w:r>
              <w:rPr>
                <w:rFonts w:ascii="Times New Roman"/>
                <w:spacing w:val="-2"/>
              </w:rPr>
              <w:t xml:space="preserve"> </w:t>
            </w:r>
            <w:r>
              <w:rPr>
                <w:rFonts w:ascii="Times New Roman"/>
              </w:rPr>
              <w:t>of</w:t>
            </w:r>
            <w:r>
              <w:rPr>
                <w:rFonts w:ascii="Times New Roman"/>
                <w:spacing w:val="-2"/>
              </w:rPr>
              <w:t xml:space="preserve"> </w:t>
            </w:r>
            <w:r>
              <w:rPr>
                <w:rFonts w:ascii="Times New Roman"/>
              </w:rPr>
              <w:t>delayed</w:t>
            </w:r>
            <w:r>
              <w:rPr>
                <w:rFonts w:ascii="Times New Roman"/>
                <w:spacing w:val="-2"/>
              </w:rPr>
              <w:t xml:space="preserve"> payment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5" w:lineRule="exact"/>
              <w:ind w:left="124"/>
              <w:rPr>
                <w:rFonts w:ascii="Times New Roman"/>
              </w:rPr>
            </w:pPr>
            <w:r>
              <w:rPr>
                <w:rFonts w:ascii="Times New Roman"/>
                <w:spacing w:val="-4"/>
              </w:rPr>
              <w:t>14.8</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5" w:lineRule="exact"/>
              <w:ind w:left="126"/>
              <w:rPr>
                <w:rFonts w:ascii="Times New Roman"/>
              </w:rPr>
            </w:pPr>
            <w:r>
              <w:rPr>
                <w:rFonts w:ascii="Times New Roman"/>
                <w:color w:val="221F1F"/>
              </w:rPr>
              <w:t>Central</w:t>
            </w:r>
            <w:r>
              <w:rPr>
                <w:rFonts w:ascii="Times New Roman"/>
                <w:color w:val="221F1F"/>
                <w:spacing w:val="-1"/>
              </w:rPr>
              <w:t xml:space="preserve"> </w:t>
            </w:r>
            <w:r>
              <w:rPr>
                <w:rFonts w:ascii="Times New Roman"/>
                <w:color w:val="221F1F"/>
              </w:rPr>
              <w:t>Bank</w:t>
            </w:r>
            <w:r>
              <w:rPr>
                <w:rFonts w:ascii="Times New Roman"/>
                <w:color w:val="221F1F"/>
                <w:spacing w:val="-1"/>
              </w:rPr>
              <w:t xml:space="preserve"> </w:t>
            </w:r>
            <w:r>
              <w:rPr>
                <w:rFonts w:ascii="Times New Roman"/>
                <w:color w:val="221F1F"/>
              </w:rPr>
              <w:t>of</w:t>
            </w:r>
            <w:r>
              <w:rPr>
                <w:rFonts w:ascii="Times New Roman"/>
                <w:color w:val="221F1F"/>
                <w:spacing w:val="-3"/>
              </w:rPr>
              <w:t xml:space="preserve"> </w:t>
            </w:r>
            <w:r>
              <w:rPr>
                <w:rFonts w:ascii="Times New Roman"/>
                <w:color w:val="221F1F"/>
                <w:spacing w:val="-2"/>
              </w:rPr>
              <w:t>Kenya</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rPr>
              <w:t>Maximum</w:t>
            </w:r>
            <w:r>
              <w:rPr>
                <w:rFonts w:ascii="Times New Roman"/>
                <w:spacing w:val="-6"/>
              </w:rPr>
              <w:t xml:space="preserve"> </w:t>
            </w:r>
            <w:r>
              <w:rPr>
                <w:rFonts w:ascii="Times New Roman"/>
              </w:rPr>
              <w:t>total</w:t>
            </w:r>
            <w:r>
              <w:rPr>
                <w:rFonts w:ascii="Times New Roman"/>
                <w:spacing w:val="-6"/>
              </w:rPr>
              <w:t xml:space="preserve"> </w:t>
            </w:r>
            <w:r>
              <w:rPr>
                <w:rFonts w:ascii="Times New Roman"/>
              </w:rPr>
              <w:t>liability</w:t>
            </w:r>
            <w:r>
              <w:rPr>
                <w:rFonts w:ascii="Times New Roman"/>
                <w:spacing w:val="-5"/>
              </w:rPr>
              <w:t xml:space="preserve"> </w:t>
            </w:r>
            <w:r>
              <w:rPr>
                <w:rFonts w:ascii="Times New Roman"/>
              </w:rPr>
              <w:t>of</w:t>
            </w:r>
            <w:r>
              <w:rPr>
                <w:rFonts w:ascii="Times New Roman"/>
                <w:spacing w:val="-5"/>
              </w:rPr>
              <w:t xml:space="preserve"> the</w:t>
            </w:r>
          </w:p>
          <w:p w:rsidR="007F6DF9" w:rsidRDefault="00A43FBC">
            <w:pPr>
              <w:pStyle w:val="TableParagraph"/>
              <w:spacing w:line="244" w:lineRule="exact"/>
              <w:ind w:left="124"/>
              <w:rPr>
                <w:rFonts w:ascii="Times New Roman"/>
              </w:rPr>
            </w:pPr>
            <w:r>
              <w:rPr>
                <w:rFonts w:ascii="Times New Roman"/>
              </w:rPr>
              <w:t>Contractor</w:t>
            </w:r>
            <w:r>
              <w:rPr>
                <w:rFonts w:ascii="Times New Roman"/>
                <w:spacing w:val="-5"/>
              </w:rPr>
              <w:t xml:space="preserve"> </w:t>
            </w:r>
            <w:r>
              <w:rPr>
                <w:rFonts w:ascii="Times New Roman"/>
              </w:rPr>
              <w:t>to</w:t>
            </w:r>
            <w:r>
              <w:rPr>
                <w:rFonts w:ascii="Times New Roman"/>
                <w:spacing w:val="-3"/>
              </w:rPr>
              <w:t xml:space="preserve"> </w:t>
            </w:r>
            <w:r>
              <w:rPr>
                <w:rFonts w:ascii="Times New Roman"/>
              </w:rPr>
              <w:t>the</w:t>
            </w:r>
            <w:r>
              <w:rPr>
                <w:rFonts w:ascii="Times New Roman"/>
                <w:spacing w:val="-3"/>
              </w:rPr>
              <w:t xml:space="preserve"> </w:t>
            </w:r>
            <w:r>
              <w:rPr>
                <w:rFonts w:ascii="Times New Roman"/>
              </w:rPr>
              <w:t>Procuring</w:t>
            </w:r>
            <w:r>
              <w:rPr>
                <w:rFonts w:ascii="Times New Roman"/>
                <w:spacing w:val="-5"/>
              </w:rPr>
              <w:t xml:space="preserve"> </w:t>
            </w:r>
            <w:r>
              <w:rPr>
                <w:rFonts w:ascii="Times New Roman"/>
                <w:spacing w:val="-2"/>
              </w:rPr>
              <w:t>Entity</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spacing w:val="-2"/>
              </w:rPr>
              <w:t>17.6.2</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6"/>
              <w:rPr>
                <w:rFonts w:ascii="Times New Roman"/>
              </w:rPr>
            </w:pPr>
            <w:r>
              <w:rPr>
                <w:rFonts w:ascii="Times New Roman"/>
              </w:rPr>
              <w:t>As</w:t>
            </w:r>
            <w:r>
              <w:rPr>
                <w:rFonts w:ascii="Times New Roman"/>
                <w:spacing w:val="-5"/>
              </w:rPr>
              <w:t xml:space="preserve"> </w:t>
            </w:r>
            <w:r>
              <w:rPr>
                <w:rFonts w:ascii="Times New Roman"/>
              </w:rPr>
              <w:t>per</w:t>
            </w:r>
            <w:r>
              <w:rPr>
                <w:rFonts w:ascii="Times New Roman"/>
                <w:spacing w:val="-5"/>
              </w:rPr>
              <w:t xml:space="preserve"> </w:t>
            </w:r>
            <w:r>
              <w:rPr>
                <w:rFonts w:ascii="Times New Roman"/>
              </w:rPr>
              <w:t>applicable</w:t>
            </w:r>
            <w:r>
              <w:rPr>
                <w:rFonts w:ascii="Times New Roman"/>
                <w:spacing w:val="-2"/>
              </w:rPr>
              <w:t xml:space="preserve"> </w:t>
            </w:r>
            <w:r>
              <w:rPr>
                <w:rFonts w:ascii="Times New Roman"/>
                <w:spacing w:val="-4"/>
              </w:rPr>
              <w:t>laws</w:t>
            </w:r>
          </w:p>
        </w:tc>
      </w:tr>
      <w:tr w:rsidR="007F6DF9">
        <w:trPr>
          <w:trHeight w:val="506"/>
        </w:trPr>
        <w:tc>
          <w:tcPr>
            <w:tcW w:w="3335" w:type="dxa"/>
            <w:tcBorders>
              <w:top w:val="single" w:sz="2" w:space="0" w:color="000000"/>
              <w:left w:val="single" w:sz="2" w:space="0" w:color="000000"/>
              <w:bottom w:val="nil"/>
              <w:right w:val="single" w:sz="2" w:space="0" w:color="000000"/>
            </w:tcBorders>
          </w:tcPr>
          <w:p w:rsidR="007F6DF9" w:rsidRDefault="00A43FBC">
            <w:pPr>
              <w:pStyle w:val="TableParagraph"/>
              <w:spacing w:line="242" w:lineRule="exact"/>
              <w:ind w:left="124"/>
              <w:rPr>
                <w:rFonts w:ascii="Times New Roman"/>
              </w:rPr>
            </w:pPr>
            <w:r>
              <w:rPr>
                <w:rFonts w:ascii="Times New Roman"/>
              </w:rPr>
              <w:t>Periods</w:t>
            </w:r>
            <w:r>
              <w:rPr>
                <w:rFonts w:ascii="Times New Roman"/>
                <w:spacing w:val="-5"/>
              </w:rPr>
              <w:t xml:space="preserve"> </w:t>
            </w:r>
            <w:r>
              <w:rPr>
                <w:rFonts w:ascii="Times New Roman"/>
              </w:rPr>
              <w:t>for</w:t>
            </w:r>
            <w:r>
              <w:rPr>
                <w:rFonts w:ascii="Times New Roman"/>
                <w:spacing w:val="-5"/>
              </w:rPr>
              <w:t xml:space="preserve"> </w:t>
            </w:r>
            <w:r>
              <w:rPr>
                <w:rFonts w:ascii="Times New Roman"/>
              </w:rPr>
              <w:t>submission</w:t>
            </w:r>
            <w:r>
              <w:rPr>
                <w:rFonts w:ascii="Times New Roman"/>
                <w:spacing w:val="-3"/>
              </w:rPr>
              <w:t xml:space="preserve"> </w:t>
            </w:r>
            <w:r>
              <w:rPr>
                <w:rFonts w:ascii="Times New Roman"/>
                <w:spacing w:val="-5"/>
              </w:rPr>
              <w:t>of</w:t>
            </w:r>
          </w:p>
          <w:p w:rsidR="007F6DF9" w:rsidRDefault="00A43FBC">
            <w:pPr>
              <w:pStyle w:val="TableParagraph"/>
              <w:spacing w:line="244" w:lineRule="exact"/>
              <w:ind w:left="124"/>
              <w:rPr>
                <w:rFonts w:ascii="Times New Roman"/>
              </w:rPr>
            </w:pPr>
            <w:r>
              <w:rPr>
                <w:rFonts w:ascii="Times New Roman"/>
                <w:spacing w:val="-2"/>
              </w:rPr>
              <w:t>insurance:</w:t>
            </w:r>
          </w:p>
        </w:tc>
        <w:tc>
          <w:tcPr>
            <w:tcW w:w="1277" w:type="dxa"/>
            <w:vMerge w:val="restart"/>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spacing w:val="-2"/>
              </w:rPr>
              <w:t>18.1.6</w:t>
            </w:r>
          </w:p>
        </w:tc>
        <w:tc>
          <w:tcPr>
            <w:tcW w:w="4945" w:type="dxa"/>
            <w:vMerge w:val="restart"/>
            <w:tcBorders>
              <w:top w:val="single" w:sz="2" w:space="0" w:color="000000"/>
              <w:left w:val="single" w:sz="2" w:space="0" w:color="000000"/>
              <w:bottom w:val="nil"/>
              <w:right w:val="single" w:sz="2" w:space="0" w:color="000000"/>
            </w:tcBorders>
          </w:tcPr>
          <w:p w:rsidR="007F6DF9" w:rsidRDefault="007F6DF9">
            <w:pPr>
              <w:pStyle w:val="TableParagraph"/>
              <w:spacing w:before="242"/>
              <w:rPr>
                <w:rFonts w:ascii="Times New Roman"/>
              </w:rPr>
            </w:pPr>
          </w:p>
          <w:p w:rsidR="007F6DF9" w:rsidRDefault="00A43FBC">
            <w:pPr>
              <w:pStyle w:val="TableParagraph"/>
              <w:tabs>
                <w:tab w:val="left" w:pos="899"/>
              </w:tabs>
              <w:spacing w:before="1" w:line="243" w:lineRule="exact"/>
              <w:ind w:left="126"/>
              <w:rPr>
                <w:rFonts w:ascii="Times New Roman"/>
              </w:rPr>
            </w:pPr>
            <w:r>
              <w:rPr>
                <w:rFonts w:ascii="Times New Roman"/>
                <w:spacing w:val="55"/>
                <w:u w:val="single"/>
              </w:rPr>
              <w:t xml:space="preserve">  </w:t>
            </w:r>
            <w:r>
              <w:rPr>
                <w:rFonts w:ascii="Times New Roman"/>
                <w:spacing w:val="-5"/>
              </w:rPr>
              <w:t>14</w:t>
            </w:r>
            <w:r>
              <w:rPr>
                <w:rFonts w:ascii="Times New Roman"/>
                <w:u w:val="single"/>
              </w:rPr>
              <w:tab/>
            </w:r>
            <w:r>
              <w:rPr>
                <w:rFonts w:ascii="Times New Roman"/>
                <w:spacing w:val="-4"/>
              </w:rPr>
              <w:t>days</w:t>
            </w:r>
          </w:p>
        </w:tc>
      </w:tr>
      <w:tr w:rsidR="007F6DF9">
        <w:trPr>
          <w:trHeight w:val="248"/>
        </w:trPr>
        <w:tc>
          <w:tcPr>
            <w:tcW w:w="3335" w:type="dxa"/>
            <w:tcBorders>
              <w:top w:val="nil"/>
              <w:left w:val="single" w:sz="2" w:space="0" w:color="000000"/>
              <w:bottom w:val="nil"/>
              <w:right w:val="single" w:sz="2" w:space="0" w:color="000000"/>
            </w:tcBorders>
          </w:tcPr>
          <w:p w:rsidR="007F6DF9" w:rsidRDefault="00A43FBC">
            <w:pPr>
              <w:pStyle w:val="TableParagraph"/>
              <w:spacing w:line="228" w:lineRule="exact"/>
              <w:ind w:left="124"/>
              <w:rPr>
                <w:rFonts w:ascii="Times New Roman"/>
              </w:rPr>
            </w:pPr>
            <w:r>
              <w:rPr>
                <w:rFonts w:ascii="Times New Roman"/>
              </w:rPr>
              <w:t>a.</w:t>
            </w:r>
            <w:r>
              <w:rPr>
                <w:rFonts w:ascii="Times New Roman"/>
                <w:spacing w:val="-2"/>
              </w:rPr>
              <w:t xml:space="preserve"> </w:t>
            </w:r>
            <w:r>
              <w:rPr>
                <w:rFonts w:ascii="Times New Roman"/>
              </w:rPr>
              <w:t>evidence</w:t>
            </w:r>
            <w:r>
              <w:rPr>
                <w:rFonts w:ascii="Times New Roman"/>
                <w:spacing w:val="-1"/>
              </w:rPr>
              <w:t xml:space="preserve"> </w:t>
            </w:r>
            <w:r>
              <w:rPr>
                <w:rFonts w:ascii="Times New Roman"/>
              </w:rPr>
              <w:t>of</w:t>
            </w:r>
            <w:r>
              <w:rPr>
                <w:rFonts w:ascii="Times New Roman"/>
                <w:spacing w:val="-2"/>
              </w:rPr>
              <w:t xml:space="preserve"> insurance.</w:t>
            </w:r>
          </w:p>
        </w:tc>
        <w:tc>
          <w:tcPr>
            <w:tcW w:w="1277" w:type="dxa"/>
            <w:vMerge/>
            <w:tcBorders>
              <w:top w:val="nil"/>
              <w:left w:val="single" w:sz="2" w:space="0" w:color="000000"/>
              <w:bottom w:val="single" w:sz="2" w:space="0" w:color="000000"/>
              <w:right w:val="single" w:sz="2" w:space="0" w:color="000000"/>
            </w:tcBorders>
          </w:tcPr>
          <w:p w:rsidR="007F6DF9" w:rsidRDefault="007F6DF9">
            <w:pPr>
              <w:rPr>
                <w:sz w:val="2"/>
                <w:szCs w:val="2"/>
              </w:rPr>
            </w:pPr>
          </w:p>
        </w:tc>
        <w:tc>
          <w:tcPr>
            <w:tcW w:w="4945" w:type="dxa"/>
            <w:vMerge/>
            <w:tcBorders>
              <w:top w:val="nil"/>
              <w:left w:val="single" w:sz="2" w:space="0" w:color="000000"/>
              <w:bottom w:val="nil"/>
              <w:right w:val="single" w:sz="2" w:space="0" w:color="000000"/>
            </w:tcBorders>
          </w:tcPr>
          <w:p w:rsidR="007F6DF9" w:rsidRDefault="007F6DF9">
            <w:pPr>
              <w:rPr>
                <w:sz w:val="2"/>
                <w:szCs w:val="2"/>
              </w:rPr>
            </w:pPr>
          </w:p>
        </w:tc>
      </w:tr>
      <w:tr w:rsidR="007F6DF9">
        <w:trPr>
          <w:trHeight w:val="245"/>
        </w:trPr>
        <w:tc>
          <w:tcPr>
            <w:tcW w:w="3335" w:type="dxa"/>
            <w:tcBorders>
              <w:top w:val="nil"/>
              <w:left w:val="single" w:sz="2" w:space="0" w:color="000000"/>
              <w:bottom w:val="single" w:sz="2" w:space="0" w:color="000000"/>
              <w:right w:val="single" w:sz="2" w:space="0" w:color="000000"/>
            </w:tcBorders>
          </w:tcPr>
          <w:p w:rsidR="007F6DF9" w:rsidRDefault="00A43FBC">
            <w:pPr>
              <w:pStyle w:val="TableParagraph"/>
              <w:spacing w:line="226" w:lineRule="exact"/>
              <w:ind w:left="124"/>
              <w:rPr>
                <w:rFonts w:ascii="Times New Roman"/>
              </w:rPr>
            </w:pPr>
            <w:r>
              <w:rPr>
                <w:rFonts w:ascii="Times New Roman"/>
              </w:rPr>
              <w:t>b.</w:t>
            </w:r>
            <w:r>
              <w:rPr>
                <w:rFonts w:ascii="Times New Roman"/>
                <w:spacing w:val="-4"/>
              </w:rPr>
              <w:t xml:space="preserve"> </w:t>
            </w:r>
            <w:r>
              <w:rPr>
                <w:rFonts w:ascii="Times New Roman"/>
              </w:rPr>
              <w:t>relevant</w:t>
            </w:r>
            <w:r>
              <w:rPr>
                <w:rFonts w:ascii="Times New Roman"/>
                <w:spacing w:val="-1"/>
              </w:rPr>
              <w:t xml:space="preserve"> </w:t>
            </w:r>
            <w:r>
              <w:rPr>
                <w:rFonts w:ascii="Times New Roman"/>
                <w:spacing w:val="-2"/>
              </w:rPr>
              <w:t>policies</w:t>
            </w:r>
          </w:p>
        </w:tc>
        <w:tc>
          <w:tcPr>
            <w:tcW w:w="1277" w:type="dxa"/>
            <w:vMerge/>
            <w:tcBorders>
              <w:top w:val="nil"/>
              <w:left w:val="single" w:sz="2" w:space="0" w:color="000000"/>
              <w:bottom w:val="single" w:sz="2" w:space="0" w:color="000000"/>
              <w:right w:val="single" w:sz="2" w:space="0" w:color="000000"/>
            </w:tcBorders>
          </w:tcPr>
          <w:p w:rsidR="007F6DF9" w:rsidRDefault="007F6DF9">
            <w:pPr>
              <w:rPr>
                <w:sz w:val="2"/>
                <w:szCs w:val="2"/>
              </w:rPr>
            </w:pPr>
          </w:p>
        </w:tc>
        <w:tc>
          <w:tcPr>
            <w:tcW w:w="4945" w:type="dxa"/>
            <w:tcBorders>
              <w:top w:val="nil"/>
              <w:left w:val="single" w:sz="2" w:space="0" w:color="000000"/>
              <w:bottom w:val="nil"/>
              <w:right w:val="single" w:sz="2" w:space="0" w:color="000000"/>
            </w:tcBorders>
          </w:tcPr>
          <w:p w:rsidR="007F6DF9" w:rsidRDefault="00A43FBC">
            <w:pPr>
              <w:pStyle w:val="TableParagraph"/>
              <w:tabs>
                <w:tab w:val="left" w:pos="899"/>
              </w:tabs>
              <w:spacing w:line="226" w:lineRule="exact"/>
              <w:ind w:left="457"/>
              <w:rPr>
                <w:rFonts w:ascii="Times New Roman"/>
              </w:rPr>
            </w:pPr>
            <w:r>
              <w:rPr>
                <w:rFonts w:ascii="Times New Roman"/>
                <w:spacing w:val="-5"/>
              </w:rPr>
              <w:t>14</w:t>
            </w:r>
            <w:r>
              <w:rPr>
                <w:rFonts w:ascii="Times New Roman"/>
              </w:rPr>
              <w:tab/>
            </w:r>
            <w:r>
              <w:rPr>
                <w:rFonts w:ascii="Times New Roman"/>
                <w:spacing w:val="-4"/>
              </w:rPr>
              <w:t>days</w:t>
            </w:r>
          </w:p>
        </w:tc>
      </w:tr>
      <w:tr w:rsidR="007F6DF9">
        <w:trPr>
          <w:trHeight w:val="760"/>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rPr>
              <w:t>Maximum</w:t>
            </w:r>
            <w:r>
              <w:rPr>
                <w:rFonts w:ascii="Times New Roman"/>
                <w:spacing w:val="-6"/>
              </w:rPr>
              <w:t xml:space="preserve"> </w:t>
            </w:r>
            <w:r>
              <w:rPr>
                <w:rFonts w:ascii="Times New Roman"/>
              </w:rPr>
              <w:t>amount</w:t>
            </w:r>
            <w:r>
              <w:rPr>
                <w:rFonts w:ascii="Times New Roman"/>
                <w:spacing w:val="-3"/>
              </w:rPr>
              <w:t xml:space="preserve"> </w:t>
            </w:r>
            <w:r>
              <w:rPr>
                <w:rFonts w:ascii="Times New Roman"/>
              </w:rPr>
              <w:t>of</w:t>
            </w:r>
            <w:r>
              <w:rPr>
                <w:rFonts w:ascii="Times New Roman"/>
                <w:spacing w:val="-4"/>
              </w:rPr>
              <w:t xml:space="preserve"> </w:t>
            </w:r>
            <w:r>
              <w:rPr>
                <w:rFonts w:ascii="Times New Roman"/>
                <w:spacing w:val="-2"/>
              </w:rPr>
              <w:t>deductibles</w:t>
            </w:r>
          </w:p>
          <w:p w:rsidR="007F6DF9" w:rsidRDefault="00A43FBC">
            <w:pPr>
              <w:pStyle w:val="TableParagraph"/>
              <w:spacing w:line="252" w:lineRule="exact"/>
              <w:ind w:left="124" w:right="106"/>
              <w:rPr>
                <w:rFonts w:ascii="Times New Roman"/>
              </w:rPr>
            </w:pPr>
            <w:r>
              <w:rPr>
                <w:rFonts w:ascii="Times New Roman"/>
              </w:rPr>
              <w:t>for</w:t>
            </w:r>
            <w:r>
              <w:rPr>
                <w:rFonts w:ascii="Times New Roman"/>
                <w:spacing w:val="-11"/>
              </w:rPr>
              <w:t xml:space="preserve"> </w:t>
            </w:r>
            <w:r>
              <w:rPr>
                <w:rFonts w:ascii="Times New Roman"/>
              </w:rPr>
              <w:t>insurance</w:t>
            </w:r>
            <w:r>
              <w:rPr>
                <w:rFonts w:ascii="Times New Roman"/>
                <w:spacing w:val="-10"/>
              </w:rPr>
              <w:t xml:space="preserve"> </w:t>
            </w:r>
            <w:r>
              <w:rPr>
                <w:rFonts w:ascii="Times New Roman"/>
              </w:rPr>
              <w:t>of</w:t>
            </w:r>
            <w:r>
              <w:rPr>
                <w:rFonts w:ascii="Times New Roman"/>
                <w:spacing w:val="-10"/>
              </w:rPr>
              <w:t xml:space="preserve"> </w:t>
            </w:r>
            <w:r>
              <w:rPr>
                <w:rFonts w:ascii="Times New Roman"/>
              </w:rPr>
              <w:t>the</w:t>
            </w:r>
            <w:r>
              <w:rPr>
                <w:rFonts w:ascii="Times New Roman"/>
                <w:spacing w:val="-10"/>
              </w:rPr>
              <w:t xml:space="preserve"> </w:t>
            </w:r>
            <w:r>
              <w:rPr>
                <w:rFonts w:ascii="Times New Roman"/>
              </w:rPr>
              <w:t>Procuring Entity's risks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rPr>
              <w:t xml:space="preserve">18.2.4 </w:t>
            </w:r>
            <w:r>
              <w:rPr>
                <w:rFonts w:ascii="Times New Roman"/>
                <w:spacing w:val="-5"/>
              </w:rPr>
              <w:t>(d)</w:t>
            </w:r>
          </w:p>
        </w:tc>
        <w:tc>
          <w:tcPr>
            <w:tcW w:w="4945" w:type="dxa"/>
            <w:tcBorders>
              <w:top w:val="nil"/>
              <w:left w:val="single" w:sz="2" w:space="0" w:color="000000"/>
              <w:bottom w:val="single" w:sz="2" w:space="0" w:color="000000"/>
              <w:right w:val="single" w:sz="2" w:space="0" w:color="000000"/>
            </w:tcBorders>
          </w:tcPr>
          <w:p w:rsidR="007F6DF9" w:rsidRDefault="00A43FBC">
            <w:pPr>
              <w:pStyle w:val="TableParagraph"/>
              <w:spacing w:line="242" w:lineRule="exact"/>
              <w:ind w:left="126"/>
              <w:rPr>
                <w:rFonts w:ascii="Times New Roman"/>
                <w:i/>
              </w:rPr>
            </w:pPr>
            <w:r>
              <w:rPr>
                <w:rFonts w:ascii="Times New Roman"/>
                <w:i/>
              </w:rPr>
              <w:t>As</w:t>
            </w:r>
            <w:r>
              <w:rPr>
                <w:rFonts w:ascii="Times New Roman"/>
                <w:i/>
                <w:spacing w:val="-3"/>
              </w:rPr>
              <w:t xml:space="preserve"> </w:t>
            </w:r>
            <w:r>
              <w:rPr>
                <w:rFonts w:ascii="Times New Roman"/>
                <w:i/>
              </w:rPr>
              <w:t>per</w:t>
            </w:r>
            <w:r>
              <w:rPr>
                <w:rFonts w:ascii="Times New Roman"/>
                <w:i/>
                <w:spacing w:val="-2"/>
              </w:rPr>
              <w:t xml:space="preserve"> </w:t>
            </w:r>
            <w:r>
              <w:rPr>
                <w:rFonts w:ascii="Times New Roman"/>
                <w:i/>
              </w:rPr>
              <w:t>applicable</w:t>
            </w:r>
            <w:r>
              <w:rPr>
                <w:rFonts w:ascii="Times New Roman"/>
                <w:i/>
                <w:spacing w:val="-4"/>
              </w:rPr>
              <w:t xml:space="preserve"> laws</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rPr>
              <w:t>Minimum</w:t>
            </w:r>
            <w:r>
              <w:rPr>
                <w:rFonts w:ascii="Times New Roman"/>
                <w:spacing w:val="-5"/>
              </w:rPr>
              <w:t xml:space="preserve"> </w:t>
            </w:r>
            <w:r>
              <w:rPr>
                <w:rFonts w:ascii="Times New Roman"/>
              </w:rPr>
              <w:t>amount</w:t>
            </w:r>
            <w:r>
              <w:rPr>
                <w:rFonts w:ascii="Times New Roman"/>
                <w:spacing w:val="-5"/>
              </w:rPr>
              <w:t xml:space="preserve"> </w:t>
            </w:r>
            <w:r>
              <w:rPr>
                <w:rFonts w:ascii="Times New Roman"/>
              </w:rPr>
              <w:t>of</w:t>
            </w:r>
            <w:r>
              <w:rPr>
                <w:rFonts w:ascii="Times New Roman"/>
                <w:spacing w:val="-5"/>
              </w:rPr>
              <w:t xml:space="preserve"> </w:t>
            </w:r>
            <w:r>
              <w:rPr>
                <w:rFonts w:ascii="Times New Roman"/>
              </w:rPr>
              <w:t>third-</w:t>
            </w:r>
            <w:r>
              <w:rPr>
                <w:rFonts w:ascii="Times New Roman"/>
                <w:spacing w:val="-2"/>
              </w:rPr>
              <w:t>party</w:t>
            </w:r>
          </w:p>
          <w:p w:rsidR="007F6DF9" w:rsidRDefault="00A43FBC">
            <w:pPr>
              <w:pStyle w:val="TableParagraph"/>
              <w:spacing w:line="245" w:lineRule="exact"/>
              <w:ind w:left="124"/>
              <w:rPr>
                <w:rFonts w:ascii="Times New Roman"/>
              </w:rPr>
            </w:pPr>
            <w:r>
              <w:rPr>
                <w:rFonts w:ascii="Times New Roman"/>
                <w:spacing w:val="-2"/>
              </w:rPr>
              <w:t>insurance</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spacing w:val="-2"/>
              </w:rPr>
              <w:t>18.3.2</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6"/>
              <w:rPr>
                <w:rFonts w:ascii="Times New Roman"/>
                <w:i/>
              </w:rPr>
            </w:pPr>
            <w:r>
              <w:rPr>
                <w:rFonts w:ascii="Times New Roman"/>
                <w:i/>
              </w:rPr>
              <w:t>As</w:t>
            </w:r>
            <w:r>
              <w:rPr>
                <w:rFonts w:ascii="Times New Roman"/>
                <w:i/>
                <w:spacing w:val="-3"/>
              </w:rPr>
              <w:t xml:space="preserve"> </w:t>
            </w:r>
            <w:r>
              <w:rPr>
                <w:rFonts w:ascii="Times New Roman"/>
                <w:i/>
              </w:rPr>
              <w:t>per</w:t>
            </w:r>
            <w:r>
              <w:rPr>
                <w:rFonts w:ascii="Times New Roman"/>
                <w:i/>
                <w:spacing w:val="-2"/>
              </w:rPr>
              <w:t xml:space="preserve"> </w:t>
            </w:r>
            <w:r>
              <w:rPr>
                <w:rFonts w:ascii="Times New Roman"/>
                <w:i/>
              </w:rPr>
              <w:t>applicable</w:t>
            </w:r>
            <w:r>
              <w:rPr>
                <w:rFonts w:ascii="Times New Roman"/>
                <w:i/>
                <w:spacing w:val="-4"/>
              </w:rPr>
              <w:t xml:space="preserve"> laws</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The</w:t>
            </w:r>
            <w:r>
              <w:rPr>
                <w:rFonts w:ascii="Times New Roman"/>
                <w:spacing w:val="-2"/>
              </w:rPr>
              <w:t xml:space="preserve"> </w:t>
            </w:r>
            <w:r>
              <w:rPr>
                <w:rFonts w:ascii="Times New Roman"/>
              </w:rPr>
              <w:t>place</w:t>
            </w:r>
            <w:r>
              <w:rPr>
                <w:rFonts w:ascii="Times New Roman"/>
                <w:spacing w:val="-1"/>
              </w:rPr>
              <w:t xml:space="preserve"> </w:t>
            </w:r>
            <w:r>
              <w:rPr>
                <w:rFonts w:ascii="Times New Roman"/>
              </w:rPr>
              <w:t>of</w:t>
            </w:r>
            <w:r>
              <w:rPr>
                <w:rFonts w:ascii="Times New Roman"/>
                <w:spacing w:val="-1"/>
              </w:rPr>
              <w:t xml:space="preserve"> </w:t>
            </w:r>
            <w:r>
              <w:rPr>
                <w:rFonts w:ascii="Times New Roman"/>
                <w:spacing w:val="-2"/>
              </w:rPr>
              <w:t>arbitration</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spacing w:val="-2"/>
              </w:rPr>
              <w:t>20.7.2</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6"/>
              <w:rPr>
                <w:rFonts w:ascii="Times New Roman"/>
                <w:i/>
              </w:rPr>
            </w:pPr>
            <w:r>
              <w:rPr>
                <w:rFonts w:ascii="Times New Roman"/>
                <w:i/>
              </w:rPr>
              <w:t>Nairobi</w:t>
            </w:r>
            <w:r>
              <w:rPr>
                <w:rFonts w:ascii="Times New Roman"/>
                <w:i/>
                <w:spacing w:val="-3"/>
              </w:rPr>
              <w:t xml:space="preserve"> </w:t>
            </w:r>
            <w:r>
              <w:rPr>
                <w:rFonts w:ascii="Times New Roman"/>
                <w:i/>
              </w:rPr>
              <w:t>County,</w:t>
            </w:r>
            <w:r>
              <w:rPr>
                <w:rFonts w:ascii="Times New Roman"/>
                <w:i/>
                <w:spacing w:val="-3"/>
              </w:rPr>
              <w:t xml:space="preserve"> </w:t>
            </w:r>
            <w:r>
              <w:rPr>
                <w:rFonts w:ascii="Times New Roman"/>
                <w:i/>
                <w:spacing w:val="-2"/>
              </w:rPr>
              <w:t>Kenya</w:t>
            </w:r>
          </w:p>
        </w:tc>
      </w:tr>
    </w:tbl>
    <w:p w:rsidR="007F6DF9" w:rsidRDefault="007F6DF9">
      <w:pPr>
        <w:pStyle w:val="TableParagraph"/>
        <w:spacing w:line="232" w:lineRule="exact"/>
        <w:rPr>
          <w:rFonts w:ascii="Times New Roman"/>
          <w:i/>
        </w:rPr>
        <w:sectPr w:rsidR="007F6DF9">
          <w:type w:val="continuous"/>
          <w:pgSz w:w="11920" w:h="16850"/>
          <w:pgMar w:top="360" w:right="283" w:bottom="620" w:left="141" w:header="0" w:footer="437" w:gutter="0"/>
          <w:cols w:space="720"/>
        </w:sectPr>
      </w:pPr>
    </w:p>
    <w:p w:rsidR="007F6DF9" w:rsidRDefault="007F6DF9">
      <w:pPr>
        <w:pStyle w:val="BodyText"/>
        <w:spacing w:before="186"/>
        <w:rPr>
          <w:sz w:val="24"/>
        </w:rPr>
      </w:pPr>
    </w:p>
    <w:p w:rsidR="007F6DF9" w:rsidRDefault="00A43FBC">
      <w:pPr>
        <w:pStyle w:val="Heading6"/>
        <w:spacing w:before="1"/>
        <w:ind w:left="713"/>
      </w:pPr>
      <w:bookmarkStart w:id="74" w:name="_bookmark72"/>
      <w:bookmarkEnd w:id="74"/>
      <w:r>
        <w:rPr>
          <w:color w:val="221F1F"/>
        </w:rPr>
        <w:t>SECTION</w:t>
      </w:r>
      <w:r>
        <w:rPr>
          <w:color w:val="221F1F"/>
          <w:spacing w:val="-1"/>
        </w:rPr>
        <w:t xml:space="preserve"> </w:t>
      </w:r>
      <w:r>
        <w:rPr>
          <w:color w:val="221F1F"/>
        </w:rPr>
        <w:t>X -</w:t>
      </w:r>
      <w:r>
        <w:rPr>
          <w:color w:val="221F1F"/>
          <w:spacing w:val="-1"/>
        </w:rPr>
        <w:t xml:space="preserve"> </w:t>
      </w:r>
      <w:r>
        <w:rPr>
          <w:color w:val="221F1F"/>
        </w:rPr>
        <w:t xml:space="preserve">CONTRACT </w:t>
      </w:r>
      <w:r>
        <w:rPr>
          <w:color w:val="221F1F"/>
          <w:spacing w:val="-2"/>
        </w:rPr>
        <w:t>FORMS</w:t>
      </w:r>
    </w:p>
    <w:p w:rsidR="007F6DF9" w:rsidRDefault="007F6DF9">
      <w:pPr>
        <w:pStyle w:val="BodyText"/>
        <w:rPr>
          <w:b/>
          <w:sz w:val="24"/>
        </w:rPr>
      </w:pPr>
    </w:p>
    <w:p w:rsidR="007F6DF9" w:rsidRDefault="007F6DF9">
      <w:pPr>
        <w:pStyle w:val="BodyText"/>
        <w:spacing w:before="47"/>
        <w:rPr>
          <w:b/>
          <w:sz w:val="24"/>
        </w:rPr>
      </w:pPr>
    </w:p>
    <w:p w:rsidR="007F6DF9" w:rsidRDefault="00A43FBC">
      <w:pPr>
        <w:pStyle w:val="BodyText"/>
        <w:spacing w:before="1" w:line="472" w:lineRule="auto"/>
        <w:ind w:left="713" w:right="4960"/>
      </w:pPr>
      <w:r>
        <w:rPr>
          <w:color w:val="221F1F"/>
        </w:rPr>
        <w:t>FORM</w:t>
      </w:r>
      <w:r>
        <w:rPr>
          <w:color w:val="221F1F"/>
          <w:spacing w:val="-3"/>
        </w:rPr>
        <w:t xml:space="preserve"> </w:t>
      </w:r>
      <w:r>
        <w:rPr>
          <w:color w:val="221F1F"/>
        </w:rPr>
        <w:t>No.</w:t>
      </w:r>
      <w:r>
        <w:rPr>
          <w:color w:val="221F1F"/>
          <w:spacing w:val="-3"/>
        </w:rPr>
        <w:t xml:space="preserve"> </w:t>
      </w:r>
      <w:r>
        <w:rPr>
          <w:color w:val="221F1F"/>
        </w:rPr>
        <w:t>1</w:t>
      </w:r>
      <w:r>
        <w:rPr>
          <w:color w:val="221F1F"/>
          <w:spacing w:val="-4"/>
        </w:rPr>
        <w:t xml:space="preserve"> </w:t>
      </w:r>
      <w:r>
        <w:rPr>
          <w:color w:val="221F1F"/>
        </w:rPr>
        <w:t>-</w:t>
      </w:r>
      <w:r>
        <w:rPr>
          <w:color w:val="221F1F"/>
          <w:spacing w:val="-5"/>
        </w:rPr>
        <w:t xml:space="preserve"> </w:t>
      </w:r>
      <w:r>
        <w:rPr>
          <w:color w:val="221F1F"/>
        </w:rPr>
        <w:t>NOTIFICATION</w:t>
      </w:r>
      <w:r>
        <w:rPr>
          <w:color w:val="221F1F"/>
          <w:spacing w:val="-4"/>
        </w:rPr>
        <w:t xml:space="preserve"> </w:t>
      </w:r>
      <w:r>
        <w:rPr>
          <w:color w:val="221F1F"/>
        </w:rPr>
        <w:t>OF</w:t>
      </w:r>
      <w:r>
        <w:rPr>
          <w:color w:val="221F1F"/>
          <w:spacing w:val="-3"/>
        </w:rPr>
        <w:t xml:space="preserve"> </w:t>
      </w:r>
      <w:r>
        <w:rPr>
          <w:color w:val="221F1F"/>
        </w:rPr>
        <w:t>INTENTION</w:t>
      </w:r>
      <w:r>
        <w:rPr>
          <w:color w:val="221F1F"/>
          <w:spacing w:val="-5"/>
        </w:rPr>
        <w:t xml:space="preserve"> </w:t>
      </w:r>
      <w:r>
        <w:rPr>
          <w:color w:val="221F1F"/>
        </w:rPr>
        <w:t>TO</w:t>
      </w:r>
      <w:r>
        <w:rPr>
          <w:color w:val="221F1F"/>
          <w:spacing w:val="-3"/>
        </w:rPr>
        <w:t xml:space="preserve"> </w:t>
      </w:r>
      <w:r>
        <w:rPr>
          <w:color w:val="221F1F"/>
        </w:rPr>
        <w:t>AWARD FORM NO. 2 – REQUEST FOR REVIEW</w:t>
      </w:r>
    </w:p>
    <w:p w:rsidR="007F6DF9" w:rsidRDefault="00A43FBC">
      <w:pPr>
        <w:pStyle w:val="BodyText"/>
        <w:spacing w:before="1" w:line="472" w:lineRule="auto"/>
        <w:ind w:left="713" w:right="6823"/>
      </w:pPr>
      <w:r>
        <w:rPr>
          <w:color w:val="221F1F"/>
        </w:rPr>
        <w:t>FORM No. 3- LETTER OF AWARD FORM</w:t>
      </w:r>
      <w:r>
        <w:rPr>
          <w:color w:val="221F1F"/>
          <w:spacing w:val="-6"/>
        </w:rPr>
        <w:t xml:space="preserve"> </w:t>
      </w:r>
      <w:r>
        <w:rPr>
          <w:color w:val="221F1F"/>
        </w:rPr>
        <w:t>No.</w:t>
      </w:r>
      <w:r>
        <w:rPr>
          <w:color w:val="221F1F"/>
          <w:spacing w:val="-6"/>
        </w:rPr>
        <w:t xml:space="preserve"> </w:t>
      </w:r>
      <w:r>
        <w:rPr>
          <w:color w:val="221F1F"/>
        </w:rPr>
        <w:t>4</w:t>
      </w:r>
      <w:r>
        <w:rPr>
          <w:color w:val="221F1F"/>
          <w:spacing w:val="-6"/>
        </w:rPr>
        <w:t xml:space="preserve"> </w:t>
      </w:r>
      <w:r>
        <w:rPr>
          <w:color w:val="221F1F"/>
        </w:rPr>
        <w:t>-</w:t>
      </w:r>
      <w:r>
        <w:rPr>
          <w:color w:val="221F1F"/>
          <w:spacing w:val="-7"/>
        </w:rPr>
        <w:t xml:space="preserve"> </w:t>
      </w:r>
      <w:r>
        <w:rPr>
          <w:color w:val="221F1F"/>
        </w:rPr>
        <w:t>CONTRACT</w:t>
      </w:r>
      <w:r>
        <w:rPr>
          <w:color w:val="221F1F"/>
          <w:spacing w:val="-6"/>
        </w:rPr>
        <w:t xml:space="preserve"> </w:t>
      </w:r>
      <w:r>
        <w:rPr>
          <w:color w:val="221F1F"/>
        </w:rPr>
        <w:t>AGREEMENT</w:t>
      </w:r>
    </w:p>
    <w:p w:rsidR="007F6DF9" w:rsidRDefault="00A43FBC">
      <w:pPr>
        <w:pStyle w:val="BodyText"/>
        <w:spacing w:before="2"/>
        <w:ind w:left="713"/>
      </w:pPr>
      <w:r>
        <w:rPr>
          <w:color w:val="221F1F"/>
        </w:rPr>
        <w:t>FORM</w:t>
      </w:r>
      <w:r>
        <w:rPr>
          <w:color w:val="221F1F"/>
          <w:spacing w:val="-6"/>
        </w:rPr>
        <w:t xml:space="preserve"> </w:t>
      </w:r>
      <w:r>
        <w:rPr>
          <w:color w:val="221F1F"/>
        </w:rPr>
        <w:t>No.</w:t>
      </w:r>
      <w:r>
        <w:rPr>
          <w:color w:val="221F1F"/>
          <w:spacing w:val="-4"/>
        </w:rPr>
        <w:t xml:space="preserve"> </w:t>
      </w:r>
      <w:r>
        <w:rPr>
          <w:color w:val="221F1F"/>
        </w:rPr>
        <w:t>5</w:t>
      </w:r>
      <w:r>
        <w:rPr>
          <w:color w:val="221F1F"/>
          <w:spacing w:val="-3"/>
        </w:rPr>
        <w:t xml:space="preserve"> </w:t>
      </w:r>
      <w:r>
        <w:rPr>
          <w:color w:val="221F1F"/>
        </w:rPr>
        <w:t>-</w:t>
      </w:r>
      <w:r>
        <w:rPr>
          <w:color w:val="221F1F"/>
          <w:spacing w:val="-5"/>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[Option</w:t>
      </w:r>
      <w:r>
        <w:rPr>
          <w:color w:val="221F1F"/>
          <w:spacing w:val="-4"/>
        </w:rPr>
        <w:t xml:space="preserve"> </w:t>
      </w:r>
      <w:r>
        <w:rPr>
          <w:color w:val="221F1F"/>
        </w:rPr>
        <w:t>1</w:t>
      </w:r>
      <w:r>
        <w:rPr>
          <w:color w:val="221F1F"/>
          <w:spacing w:val="-2"/>
        </w:rPr>
        <w:t xml:space="preserve"> </w:t>
      </w:r>
      <w:r>
        <w:rPr>
          <w:color w:val="221F1F"/>
        </w:rPr>
        <w:t>-</w:t>
      </w:r>
      <w:r>
        <w:rPr>
          <w:color w:val="221F1F"/>
          <w:spacing w:val="-5"/>
        </w:rPr>
        <w:t xml:space="preserve"> </w:t>
      </w:r>
      <w:r>
        <w:rPr>
          <w:color w:val="221F1F"/>
        </w:rPr>
        <w:t>Unconditional</w:t>
      </w:r>
      <w:r>
        <w:rPr>
          <w:color w:val="221F1F"/>
          <w:spacing w:val="-2"/>
        </w:rPr>
        <w:t xml:space="preserve"> </w:t>
      </w:r>
      <w:r>
        <w:rPr>
          <w:color w:val="221F1F"/>
        </w:rPr>
        <w:t>Demand</w:t>
      </w:r>
      <w:r>
        <w:rPr>
          <w:color w:val="221F1F"/>
          <w:spacing w:val="-3"/>
        </w:rPr>
        <w:t xml:space="preserve"> </w:t>
      </w:r>
      <w:r>
        <w:rPr>
          <w:color w:val="221F1F"/>
        </w:rPr>
        <w:t>Bank</w:t>
      </w:r>
      <w:r>
        <w:rPr>
          <w:color w:val="221F1F"/>
          <w:spacing w:val="-3"/>
        </w:rPr>
        <w:t xml:space="preserve"> </w:t>
      </w:r>
      <w:r>
        <w:rPr>
          <w:color w:val="221F1F"/>
          <w:spacing w:val="-2"/>
        </w:rPr>
        <w:t>Guarantee]</w:t>
      </w:r>
    </w:p>
    <w:p w:rsidR="007F6DF9" w:rsidRDefault="00A43FBC">
      <w:pPr>
        <w:pStyle w:val="BodyText"/>
        <w:spacing w:before="246" w:line="360" w:lineRule="auto"/>
        <w:ind w:left="713" w:right="3906"/>
      </w:pPr>
      <w:r>
        <w:rPr>
          <w:color w:val="221F1F"/>
        </w:rPr>
        <w:t>FORM</w:t>
      </w:r>
      <w:r>
        <w:rPr>
          <w:color w:val="221F1F"/>
          <w:spacing w:val="-3"/>
        </w:rPr>
        <w:t xml:space="preserve"> </w:t>
      </w:r>
      <w:r>
        <w:rPr>
          <w:color w:val="221F1F"/>
        </w:rPr>
        <w:t>No.</w:t>
      </w:r>
      <w:r>
        <w:rPr>
          <w:color w:val="221F1F"/>
          <w:spacing w:val="-4"/>
        </w:rPr>
        <w:t xml:space="preserve"> </w:t>
      </w:r>
      <w:r>
        <w:rPr>
          <w:color w:val="221F1F"/>
        </w:rPr>
        <w:t>6-</w:t>
      </w:r>
      <w:r>
        <w:rPr>
          <w:color w:val="221F1F"/>
          <w:spacing w:val="-5"/>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[Option</w:t>
      </w:r>
      <w:r>
        <w:rPr>
          <w:color w:val="221F1F"/>
          <w:spacing w:val="-3"/>
        </w:rPr>
        <w:t xml:space="preserve"> </w:t>
      </w:r>
      <w:r>
        <w:rPr>
          <w:color w:val="221F1F"/>
        </w:rPr>
        <w:t>2–</w:t>
      </w:r>
      <w:r>
        <w:rPr>
          <w:color w:val="221F1F"/>
          <w:spacing w:val="-3"/>
        </w:rPr>
        <w:t xml:space="preserve"> </w:t>
      </w:r>
      <w:r>
        <w:rPr>
          <w:color w:val="221F1F"/>
        </w:rPr>
        <w:t>Performance</w:t>
      </w:r>
      <w:r>
        <w:rPr>
          <w:color w:val="221F1F"/>
          <w:spacing w:val="-3"/>
        </w:rPr>
        <w:t xml:space="preserve"> </w:t>
      </w:r>
      <w:r>
        <w:rPr>
          <w:color w:val="221F1F"/>
        </w:rPr>
        <w:t>Bond] FORM No. 7 - ADVANCE PAYMENT SECURITY</w:t>
      </w:r>
    </w:p>
    <w:p w:rsidR="007F6DF9" w:rsidRDefault="00A43FBC">
      <w:pPr>
        <w:pStyle w:val="BodyText"/>
        <w:spacing w:before="123"/>
        <w:ind w:left="713"/>
      </w:pPr>
      <w:r>
        <w:rPr>
          <w:color w:val="221F1F"/>
        </w:rPr>
        <w:t>FORM</w:t>
      </w:r>
      <w:r>
        <w:rPr>
          <w:color w:val="221F1F"/>
          <w:spacing w:val="-2"/>
        </w:rPr>
        <w:t xml:space="preserve"> </w:t>
      </w:r>
      <w:r>
        <w:rPr>
          <w:color w:val="221F1F"/>
        </w:rPr>
        <w:t>No.</w:t>
      </w:r>
      <w:r>
        <w:rPr>
          <w:color w:val="221F1F"/>
          <w:spacing w:val="-3"/>
        </w:rPr>
        <w:t xml:space="preserve"> </w:t>
      </w:r>
      <w:r>
        <w:rPr>
          <w:color w:val="221F1F"/>
        </w:rPr>
        <w:t>8</w:t>
      </w:r>
      <w:r>
        <w:rPr>
          <w:color w:val="221F1F"/>
          <w:spacing w:val="-2"/>
        </w:rPr>
        <w:t xml:space="preserve"> </w:t>
      </w:r>
      <w:r>
        <w:rPr>
          <w:color w:val="221F1F"/>
        </w:rPr>
        <w:t>-</w:t>
      </w:r>
      <w:r>
        <w:rPr>
          <w:color w:val="221F1F"/>
          <w:spacing w:val="-4"/>
        </w:rPr>
        <w:t xml:space="preserve"> </w:t>
      </w:r>
      <w:r>
        <w:rPr>
          <w:color w:val="221F1F"/>
        </w:rPr>
        <w:t>RETENTION</w:t>
      </w:r>
      <w:r>
        <w:rPr>
          <w:color w:val="221F1F"/>
          <w:spacing w:val="-3"/>
        </w:rPr>
        <w:t xml:space="preserve"> </w:t>
      </w:r>
      <w:r>
        <w:rPr>
          <w:color w:val="221F1F"/>
        </w:rPr>
        <w:t>MONEY</w:t>
      </w:r>
      <w:r>
        <w:rPr>
          <w:color w:val="221F1F"/>
          <w:spacing w:val="-3"/>
        </w:rPr>
        <w:t xml:space="preserve"> </w:t>
      </w:r>
      <w:r>
        <w:rPr>
          <w:color w:val="221F1F"/>
          <w:spacing w:val="-2"/>
        </w:rPr>
        <w:t>SECURITY</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67"/>
        <w:rPr>
          <w:sz w:val="24"/>
        </w:rPr>
      </w:pPr>
    </w:p>
    <w:p w:rsidR="007F6DF9" w:rsidRDefault="00A43FBC">
      <w:pPr>
        <w:pStyle w:val="Heading7"/>
        <w:ind w:left="713"/>
      </w:pPr>
      <w:r>
        <w:rPr>
          <w:color w:val="221F1F"/>
          <w:u w:val="single" w:color="221F1F"/>
        </w:rPr>
        <w:t>FORM</w:t>
      </w:r>
      <w:r>
        <w:rPr>
          <w:color w:val="221F1F"/>
          <w:spacing w:val="-5"/>
          <w:u w:val="single" w:color="221F1F"/>
        </w:rPr>
        <w:t xml:space="preserve"> </w:t>
      </w:r>
      <w:r>
        <w:rPr>
          <w:color w:val="221F1F"/>
          <w:u w:val="single" w:color="221F1F"/>
        </w:rPr>
        <w:t>No 1:</w:t>
      </w:r>
      <w:r>
        <w:rPr>
          <w:color w:val="221F1F"/>
          <w:spacing w:val="-2"/>
          <w:u w:val="single" w:color="221F1F"/>
        </w:rPr>
        <w:t xml:space="preserve"> </w:t>
      </w:r>
      <w:r>
        <w:rPr>
          <w:color w:val="221F1F"/>
          <w:u w:val="single" w:color="221F1F"/>
        </w:rPr>
        <w:t>NOTIFICATION OF</w:t>
      </w:r>
      <w:r>
        <w:rPr>
          <w:color w:val="221F1F"/>
          <w:spacing w:val="-1"/>
          <w:u w:val="single" w:color="221F1F"/>
        </w:rPr>
        <w:t xml:space="preserve"> </w:t>
      </w:r>
      <w:r>
        <w:rPr>
          <w:color w:val="221F1F"/>
          <w:u w:val="single" w:color="221F1F"/>
        </w:rPr>
        <w:t>INTENTION TO</w:t>
      </w:r>
      <w:r>
        <w:rPr>
          <w:color w:val="221F1F"/>
          <w:spacing w:val="2"/>
          <w:u w:val="single" w:color="221F1F"/>
        </w:rPr>
        <w:t xml:space="preserve"> </w:t>
      </w:r>
      <w:r>
        <w:rPr>
          <w:color w:val="221F1F"/>
          <w:u w:val="single" w:color="221F1F"/>
        </w:rPr>
        <w:t>AWARD</w:t>
      </w:r>
      <w:r>
        <w:rPr>
          <w:color w:val="221F1F"/>
          <w:spacing w:val="-1"/>
          <w:u w:val="single" w:color="221F1F"/>
        </w:rPr>
        <w:t xml:space="preserve"> </w:t>
      </w:r>
      <w:r>
        <w:rPr>
          <w:color w:val="221F1F"/>
          <w:u w:val="single" w:color="221F1F"/>
        </w:rPr>
        <w:t xml:space="preserve">OF </w:t>
      </w:r>
      <w:r>
        <w:rPr>
          <w:color w:val="221F1F"/>
          <w:spacing w:val="-2"/>
          <w:u w:val="single" w:color="221F1F"/>
        </w:rPr>
        <w:t>CONTRACT</w:t>
      </w:r>
    </w:p>
    <w:p w:rsidR="007F6DF9" w:rsidRDefault="007F6DF9">
      <w:pPr>
        <w:pStyle w:val="BodyText"/>
        <w:spacing w:before="12"/>
        <w:rPr>
          <w:b/>
        </w:rPr>
      </w:pPr>
    </w:p>
    <w:p w:rsidR="007F6DF9" w:rsidRDefault="00A43FBC">
      <w:pPr>
        <w:pStyle w:val="BodyText"/>
        <w:spacing w:line="230" w:lineRule="auto"/>
        <w:ind w:left="713" w:right="575"/>
      </w:pPr>
      <w:r>
        <w:rPr>
          <w:color w:val="221F1F"/>
        </w:rPr>
        <w:t>This</w:t>
      </w:r>
      <w:r>
        <w:rPr>
          <w:color w:val="221F1F"/>
          <w:spacing w:val="-1"/>
        </w:rPr>
        <w:t xml:space="preserve"> </w:t>
      </w:r>
      <w:r>
        <w:rPr>
          <w:color w:val="221F1F"/>
        </w:rPr>
        <w:t>Notification</w:t>
      </w:r>
      <w:r>
        <w:rPr>
          <w:color w:val="221F1F"/>
          <w:spacing w:val="-2"/>
        </w:rPr>
        <w:t xml:space="preserve"> </w:t>
      </w:r>
      <w:r>
        <w:rPr>
          <w:color w:val="221F1F"/>
        </w:rPr>
        <w:t>of</w:t>
      </w:r>
      <w:r>
        <w:rPr>
          <w:color w:val="221F1F"/>
          <w:spacing w:val="-2"/>
        </w:rPr>
        <w:t xml:space="preserve"> </w:t>
      </w:r>
      <w:r>
        <w:rPr>
          <w:color w:val="221F1F"/>
        </w:rPr>
        <w:t>Award</w:t>
      </w:r>
      <w:r>
        <w:rPr>
          <w:color w:val="221F1F"/>
          <w:spacing w:val="-7"/>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sent</w:t>
      </w:r>
      <w:r>
        <w:rPr>
          <w:color w:val="221F1F"/>
          <w:spacing w:val="-1"/>
        </w:rPr>
        <w:t xml:space="preserve"> </w:t>
      </w:r>
      <w:r>
        <w:rPr>
          <w:color w:val="221F1F"/>
        </w:rPr>
        <w:t>to</w:t>
      </w:r>
      <w:r>
        <w:rPr>
          <w:color w:val="221F1F"/>
          <w:spacing w:val="-2"/>
        </w:rPr>
        <w:t xml:space="preserve"> </w:t>
      </w:r>
      <w:r>
        <w:rPr>
          <w:color w:val="221F1F"/>
        </w:rPr>
        <w:t>each</w:t>
      </w:r>
      <w:r>
        <w:rPr>
          <w:color w:val="221F1F"/>
          <w:spacing w:val="-2"/>
        </w:rPr>
        <w:t xml:space="preserve"> </w:t>
      </w:r>
      <w:r>
        <w:rPr>
          <w:color w:val="221F1F"/>
        </w:rPr>
        <w:t>Tenderer</w:t>
      </w:r>
      <w:r>
        <w:rPr>
          <w:color w:val="221F1F"/>
          <w:spacing w:val="-1"/>
        </w:rPr>
        <w:t xml:space="preserve"> </w:t>
      </w:r>
      <w:r>
        <w:rPr>
          <w:color w:val="221F1F"/>
        </w:rPr>
        <w:t>that</w:t>
      </w:r>
      <w:r>
        <w:rPr>
          <w:color w:val="221F1F"/>
          <w:spacing w:val="-4"/>
        </w:rPr>
        <w:t xml:space="preserve"> </w:t>
      </w:r>
      <w:r>
        <w:rPr>
          <w:color w:val="221F1F"/>
        </w:rPr>
        <w:t>submitted</w:t>
      </w:r>
      <w:r>
        <w:rPr>
          <w:color w:val="221F1F"/>
          <w:spacing w:val="-2"/>
        </w:rPr>
        <w:t xml:space="preserve"> </w:t>
      </w:r>
      <w:r>
        <w:rPr>
          <w:color w:val="221F1F"/>
        </w:rPr>
        <w:t>a</w:t>
      </w:r>
      <w:r>
        <w:rPr>
          <w:color w:val="221F1F"/>
          <w:spacing w:val="-2"/>
        </w:rPr>
        <w:t xml:space="preserve"> </w:t>
      </w:r>
      <w:r>
        <w:rPr>
          <w:color w:val="221F1F"/>
        </w:rPr>
        <w:t>Tender</w:t>
      </w:r>
      <w:r>
        <w:rPr>
          <w:color w:val="221F1F"/>
          <w:spacing w:val="-4"/>
        </w:rPr>
        <w:t xml:space="preserve"> </w:t>
      </w:r>
      <w:r>
        <w:rPr>
          <w:color w:val="221F1F"/>
        </w:rPr>
        <w:t>and</w:t>
      </w:r>
      <w:r>
        <w:rPr>
          <w:color w:val="221F1F"/>
          <w:spacing w:val="-2"/>
        </w:rPr>
        <w:t xml:space="preserve"> </w:t>
      </w:r>
      <w:r>
        <w:rPr>
          <w:color w:val="221F1F"/>
        </w:rPr>
        <w:t>was</w:t>
      </w:r>
      <w:r>
        <w:rPr>
          <w:color w:val="221F1F"/>
          <w:spacing w:val="-2"/>
        </w:rPr>
        <w:t xml:space="preserve"> </w:t>
      </w:r>
      <w:r>
        <w:rPr>
          <w:color w:val="221F1F"/>
        </w:rPr>
        <w:t>not</w:t>
      </w:r>
      <w:r>
        <w:rPr>
          <w:color w:val="221F1F"/>
          <w:spacing w:val="-1"/>
        </w:rPr>
        <w:t xml:space="preserve"> </w:t>
      </w:r>
      <w:r>
        <w:rPr>
          <w:color w:val="221F1F"/>
        </w:rPr>
        <w:t>successful.</w:t>
      </w:r>
      <w:r>
        <w:rPr>
          <w:color w:val="221F1F"/>
          <w:spacing w:val="-5"/>
        </w:rPr>
        <w:t xml:space="preserve"> </w:t>
      </w:r>
      <w:r>
        <w:rPr>
          <w:color w:val="221F1F"/>
        </w:rPr>
        <w:t>Send</w:t>
      </w:r>
      <w:r>
        <w:rPr>
          <w:color w:val="221F1F"/>
          <w:spacing w:val="-2"/>
        </w:rPr>
        <w:t xml:space="preserve"> </w:t>
      </w:r>
      <w:r>
        <w:rPr>
          <w:color w:val="221F1F"/>
        </w:rPr>
        <w:t xml:space="preserve">this Notification to the Tenderer's Authorized Representative named in the Tender Information Form on the format </w:t>
      </w:r>
      <w:r>
        <w:rPr>
          <w:color w:val="221F1F"/>
          <w:spacing w:val="-2"/>
        </w:rPr>
        <w:t>below.</w:t>
      </w:r>
    </w:p>
    <w:p w:rsidR="007F6DF9" w:rsidRDefault="00A43FBC">
      <w:pPr>
        <w:pStyle w:val="Heading8"/>
        <w:spacing w:before="238"/>
        <w:ind w:left="713"/>
      </w:pPr>
      <w:r>
        <w:rPr>
          <w:color w:val="221F1F"/>
          <w:spacing w:val="-2"/>
          <w:u w:val="single" w:color="221F1F"/>
        </w:rPr>
        <w:t>FORMAT</w:t>
      </w:r>
    </w:p>
    <w:p w:rsidR="007F6DF9" w:rsidRDefault="00A43FBC">
      <w:pPr>
        <w:pStyle w:val="ListParagraph"/>
        <w:numPr>
          <w:ilvl w:val="0"/>
          <w:numId w:val="20"/>
        </w:numPr>
        <w:tabs>
          <w:tab w:val="left" w:pos="1152"/>
        </w:tabs>
        <w:spacing w:before="234"/>
        <w:ind w:left="1152" w:hanging="439"/>
        <w:rPr>
          <w:color w:val="221F1F"/>
        </w:rPr>
      </w:pPr>
      <w:r>
        <w:rPr>
          <w:color w:val="221F1F"/>
          <w:u w:val="single" w:color="221F1F"/>
        </w:rPr>
        <w:t>For</w:t>
      </w:r>
      <w:r>
        <w:rPr>
          <w:color w:val="221F1F"/>
          <w:spacing w:val="-4"/>
          <w:u w:val="single" w:color="221F1F"/>
        </w:rPr>
        <w:t xml:space="preserve"> </w:t>
      </w:r>
      <w:r>
        <w:rPr>
          <w:color w:val="221F1F"/>
          <w:u w:val="single" w:color="221F1F"/>
        </w:rPr>
        <w:t>the</w:t>
      </w:r>
      <w:r>
        <w:rPr>
          <w:color w:val="221F1F"/>
          <w:spacing w:val="-4"/>
          <w:u w:val="single" w:color="221F1F"/>
        </w:rPr>
        <w:t xml:space="preserve"> </w:t>
      </w:r>
      <w:r>
        <w:rPr>
          <w:color w:val="221F1F"/>
          <w:u w:val="single" w:color="221F1F"/>
        </w:rPr>
        <w:t>attention</w:t>
      </w:r>
      <w:r>
        <w:rPr>
          <w:color w:val="221F1F"/>
          <w:spacing w:val="-4"/>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Tenderer's</w:t>
      </w:r>
      <w:r>
        <w:rPr>
          <w:color w:val="221F1F"/>
          <w:spacing w:val="-2"/>
          <w:u w:val="single" w:color="221F1F"/>
        </w:rPr>
        <w:t xml:space="preserve"> </w:t>
      </w:r>
      <w:r>
        <w:rPr>
          <w:color w:val="221F1F"/>
          <w:u w:val="single" w:color="221F1F"/>
        </w:rPr>
        <w:t>Authorized</w:t>
      </w:r>
      <w:r>
        <w:rPr>
          <w:color w:val="221F1F"/>
          <w:spacing w:val="-3"/>
          <w:u w:val="single" w:color="221F1F"/>
        </w:rPr>
        <w:t xml:space="preserve"> </w:t>
      </w:r>
      <w:r>
        <w:rPr>
          <w:color w:val="221F1F"/>
          <w:spacing w:val="-2"/>
          <w:u w:val="single" w:color="221F1F"/>
        </w:rPr>
        <w:t>Representative</w:t>
      </w:r>
    </w:p>
    <w:p w:rsidR="007F6DF9" w:rsidRDefault="00A43FBC">
      <w:pPr>
        <w:pStyle w:val="ListParagraph"/>
        <w:numPr>
          <w:ilvl w:val="1"/>
          <w:numId w:val="20"/>
        </w:numPr>
        <w:tabs>
          <w:tab w:val="left" w:pos="1668"/>
        </w:tabs>
        <w:spacing w:before="112"/>
        <w:ind w:left="1668" w:hanging="515"/>
        <w:rPr>
          <w:i/>
          <w:color w:val="221F1F"/>
        </w:rPr>
      </w:pPr>
      <w:r>
        <w:rPr>
          <w:color w:val="221F1F"/>
        </w:rPr>
        <w:t>Name:</w:t>
      </w:r>
      <w:r>
        <w:rPr>
          <w:color w:val="221F1F"/>
          <w:spacing w:val="-6"/>
        </w:rPr>
        <w:t xml:space="preserve"> </w:t>
      </w:r>
      <w:r>
        <w:rPr>
          <w:i/>
          <w:color w:val="221F1F"/>
        </w:rPr>
        <w:t>[insert</w:t>
      </w:r>
      <w:r>
        <w:rPr>
          <w:i/>
          <w:color w:val="221F1F"/>
          <w:spacing w:val="-5"/>
        </w:rPr>
        <w:t xml:space="preserve"> </w:t>
      </w:r>
      <w:r>
        <w:rPr>
          <w:i/>
          <w:color w:val="221F1F"/>
        </w:rPr>
        <w:t>Authorized</w:t>
      </w:r>
      <w:r>
        <w:rPr>
          <w:i/>
          <w:color w:val="221F1F"/>
          <w:spacing w:val="-6"/>
        </w:rPr>
        <w:t xml:space="preserve"> </w:t>
      </w:r>
      <w:r>
        <w:rPr>
          <w:i/>
          <w:color w:val="221F1F"/>
        </w:rPr>
        <w:t>Representative's</w:t>
      </w:r>
      <w:r>
        <w:rPr>
          <w:i/>
          <w:color w:val="221F1F"/>
          <w:spacing w:val="-3"/>
        </w:rPr>
        <w:t xml:space="preserve"> </w:t>
      </w:r>
      <w:r>
        <w:rPr>
          <w:i/>
          <w:color w:val="221F1F"/>
          <w:spacing w:val="-4"/>
        </w:rPr>
        <w:t>name]</w:t>
      </w:r>
    </w:p>
    <w:p w:rsidR="007F6DF9" w:rsidRDefault="00A43FBC">
      <w:pPr>
        <w:pStyle w:val="ListParagraph"/>
        <w:numPr>
          <w:ilvl w:val="1"/>
          <w:numId w:val="20"/>
        </w:numPr>
        <w:tabs>
          <w:tab w:val="left" w:pos="1668"/>
        </w:tabs>
        <w:spacing w:before="114"/>
        <w:ind w:left="1668" w:hanging="515"/>
        <w:rPr>
          <w:i/>
          <w:color w:val="221F1F"/>
        </w:rPr>
      </w:pPr>
      <w:r>
        <w:rPr>
          <w:color w:val="221F1F"/>
        </w:rPr>
        <w:t>Address:</w:t>
      </w:r>
      <w:r>
        <w:rPr>
          <w:color w:val="221F1F"/>
          <w:spacing w:val="-6"/>
        </w:rPr>
        <w:t xml:space="preserve"> </w:t>
      </w:r>
      <w:r>
        <w:rPr>
          <w:i/>
          <w:color w:val="221F1F"/>
        </w:rPr>
        <w:t>[insert</w:t>
      </w:r>
      <w:r>
        <w:rPr>
          <w:i/>
          <w:color w:val="221F1F"/>
          <w:spacing w:val="-5"/>
        </w:rPr>
        <w:t xml:space="preserve"> </w:t>
      </w:r>
      <w:r>
        <w:rPr>
          <w:i/>
          <w:color w:val="221F1F"/>
        </w:rPr>
        <w:t>Authorized</w:t>
      </w:r>
      <w:r>
        <w:rPr>
          <w:i/>
          <w:color w:val="221F1F"/>
          <w:spacing w:val="-6"/>
        </w:rPr>
        <w:t xml:space="preserve"> </w:t>
      </w:r>
      <w:r>
        <w:rPr>
          <w:i/>
          <w:color w:val="221F1F"/>
        </w:rPr>
        <w:t>Representative's</w:t>
      </w:r>
      <w:r>
        <w:rPr>
          <w:i/>
          <w:color w:val="221F1F"/>
          <w:spacing w:val="-5"/>
        </w:rPr>
        <w:t xml:space="preserve"> </w:t>
      </w:r>
      <w:r>
        <w:rPr>
          <w:i/>
          <w:color w:val="221F1F"/>
          <w:spacing w:val="-2"/>
        </w:rPr>
        <w:t>Address]</w:t>
      </w:r>
    </w:p>
    <w:p w:rsidR="007F6DF9" w:rsidRDefault="00A43FBC">
      <w:pPr>
        <w:pStyle w:val="ListParagraph"/>
        <w:numPr>
          <w:ilvl w:val="1"/>
          <w:numId w:val="20"/>
        </w:numPr>
        <w:tabs>
          <w:tab w:val="left" w:pos="1668"/>
        </w:tabs>
        <w:spacing w:before="112"/>
        <w:ind w:left="1668" w:hanging="515"/>
        <w:rPr>
          <w:i/>
          <w:color w:val="221F1F"/>
        </w:rPr>
      </w:pPr>
      <w:r>
        <w:rPr>
          <w:color w:val="221F1F"/>
        </w:rPr>
        <w:t>Telephone:</w:t>
      </w:r>
      <w:r>
        <w:rPr>
          <w:color w:val="221F1F"/>
          <w:spacing w:val="-9"/>
        </w:rPr>
        <w:t xml:space="preserve"> </w:t>
      </w:r>
      <w:r>
        <w:rPr>
          <w:i/>
          <w:color w:val="221F1F"/>
        </w:rPr>
        <w:t>[insert</w:t>
      </w:r>
      <w:r>
        <w:rPr>
          <w:i/>
          <w:color w:val="221F1F"/>
          <w:spacing w:val="-6"/>
        </w:rPr>
        <w:t xml:space="preserve"> </w:t>
      </w:r>
      <w:r>
        <w:rPr>
          <w:i/>
          <w:color w:val="221F1F"/>
        </w:rPr>
        <w:t>Authorized</w:t>
      </w:r>
      <w:r>
        <w:rPr>
          <w:i/>
          <w:color w:val="221F1F"/>
          <w:spacing w:val="-7"/>
        </w:rPr>
        <w:t xml:space="preserve"> </w:t>
      </w:r>
      <w:r>
        <w:rPr>
          <w:i/>
          <w:color w:val="221F1F"/>
        </w:rPr>
        <w:t>Representative's</w:t>
      </w:r>
      <w:r>
        <w:rPr>
          <w:i/>
          <w:color w:val="221F1F"/>
          <w:spacing w:val="-7"/>
        </w:rPr>
        <w:t xml:space="preserve"> </w:t>
      </w:r>
      <w:r>
        <w:rPr>
          <w:i/>
          <w:color w:val="221F1F"/>
        </w:rPr>
        <w:t>telephone/fax</w:t>
      </w:r>
      <w:r>
        <w:rPr>
          <w:i/>
          <w:color w:val="221F1F"/>
          <w:spacing w:val="-3"/>
        </w:rPr>
        <w:t xml:space="preserve"> </w:t>
      </w:r>
      <w:r>
        <w:rPr>
          <w:i/>
          <w:color w:val="221F1F"/>
          <w:spacing w:val="-2"/>
        </w:rPr>
        <w:t>numbers]</w:t>
      </w:r>
    </w:p>
    <w:p w:rsidR="007F6DF9" w:rsidRDefault="00A43FBC">
      <w:pPr>
        <w:pStyle w:val="ListParagraph"/>
        <w:numPr>
          <w:ilvl w:val="1"/>
          <w:numId w:val="20"/>
        </w:numPr>
        <w:tabs>
          <w:tab w:val="left" w:pos="1668"/>
        </w:tabs>
        <w:spacing w:before="112"/>
        <w:ind w:left="1668" w:hanging="515"/>
        <w:rPr>
          <w:i/>
          <w:color w:val="221F1F"/>
        </w:rPr>
      </w:pPr>
      <w:r>
        <w:rPr>
          <w:color w:val="221F1F"/>
        </w:rPr>
        <w:t>Email</w:t>
      </w:r>
      <w:r>
        <w:rPr>
          <w:color w:val="221F1F"/>
          <w:spacing w:val="-5"/>
        </w:rPr>
        <w:t xml:space="preserve"> </w:t>
      </w:r>
      <w:r>
        <w:rPr>
          <w:color w:val="221F1F"/>
        </w:rPr>
        <w:t>Address:</w:t>
      </w:r>
      <w:r>
        <w:rPr>
          <w:color w:val="221F1F"/>
          <w:spacing w:val="-6"/>
        </w:rPr>
        <w:t xml:space="preserve"> </w:t>
      </w:r>
      <w:r>
        <w:rPr>
          <w:i/>
          <w:color w:val="221F1F"/>
        </w:rPr>
        <w:t>[insert</w:t>
      </w:r>
      <w:r>
        <w:rPr>
          <w:i/>
          <w:color w:val="221F1F"/>
          <w:spacing w:val="-4"/>
        </w:rPr>
        <w:t xml:space="preserve"> </w:t>
      </w:r>
      <w:r>
        <w:rPr>
          <w:i/>
          <w:color w:val="221F1F"/>
        </w:rPr>
        <w:t>Authorized</w:t>
      </w:r>
      <w:r>
        <w:rPr>
          <w:i/>
          <w:color w:val="221F1F"/>
          <w:spacing w:val="-6"/>
        </w:rPr>
        <w:t xml:space="preserve"> </w:t>
      </w:r>
      <w:r>
        <w:rPr>
          <w:i/>
          <w:color w:val="221F1F"/>
        </w:rPr>
        <w:t>Representative's</w:t>
      </w:r>
      <w:r>
        <w:rPr>
          <w:i/>
          <w:color w:val="221F1F"/>
          <w:spacing w:val="-6"/>
        </w:rPr>
        <w:t xml:space="preserve"> </w:t>
      </w:r>
      <w:r>
        <w:rPr>
          <w:i/>
          <w:color w:val="221F1F"/>
        </w:rPr>
        <w:t>email</w:t>
      </w:r>
      <w:r>
        <w:rPr>
          <w:i/>
          <w:color w:val="221F1F"/>
          <w:spacing w:val="-1"/>
        </w:rPr>
        <w:t xml:space="preserve"> </w:t>
      </w:r>
      <w:r>
        <w:rPr>
          <w:i/>
          <w:color w:val="221F1F"/>
          <w:spacing w:val="-2"/>
        </w:rPr>
        <w:t>address]</w:t>
      </w:r>
    </w:p>
    <w:p w:rsidR="007F6DF9" w:rsidRDefault="00A43FBC">
      <w:pPr>
        <w:spacing w:before="243" w:line="230" w:lineRule="auto"/>
        <w:ind w:left="1162" w:right="575" w:hanging="12"/>
        <w:rPr>
          <w:i/>
        </w:rPr>
      </w:pPr>
      <w:r>
        <w:rPr>
          <w:i/>
          <w:color w:val="221F1F"/>
        </w:rPr>
        <w:t>[IMPORTANT:</w:t>
      </w:r>
      <w:r>
        <w:rPr>
          <w:i/>
          <w:color w:val="221F1F"/>
          <w:spacing w:val="-4"/>
        </w:rPr>
        <w:t xml:space="preserve"> </w:t>
      </w:r>
      <w:r>
        <w:rPr>
          <w:i/>
          <w:color w:val="221F1F"/>
        </w:rPr>
        <w:t>insert</w:t>
      </w:r>
      <w:r>
        <w:rPr>
          <w:i/>
          <w:color w:val="221F1F"/>
          <w:spacing w:val="-3"/>
        </w:rPr>
        <w:t xml:space="preserve"> </w:t>
      </w:r>
      <w:r>
        <w:rPr>
          <w:i/>
          <w:color w:val="221F1F"/>
        </w:rPr>
        <w:t>the</w:t>
      </w:r>
      <w:r>
        <w:rPr>
          <w:i/>
          <w:color w:val="221F1F"/>
          <w:spacing w:val="-4"/>
        </w:rPr>
        <w:t xml:space="preserve"> </w:t>
      </w:r>
      <w:r>
        <w:rPr>
          <w:i/>
          <w:color w:val="221F1F"/>
        </w:rPr>
        <w:t>date</w:t>
      </w:r>
      <w:r>
        <w:rPr>
          <w:i/>
          <w:color w:val="221F1F"/>
          <w:spacing w:val="-5"/>
        </w:rPr>
        <w:t xml:space="preserve"> </w:t>
      </w:r>
      <w:r>
        <w:rPr>
          <w:i/>
          <w:color w:val="221F1F"/>
        </w:rPr>
        <w:t>that</w:t>
      </w:r>
      <w:r>
        <w:rPr>
          <w:i/>
          <w:color w:val="221F1F"/>
          <w:spacing w:val="-5"/>
        </w:rPr>
        <w:t xml:space="preserve"> </w:t>
      </w:r>
      <w:r>
        <w:rPr>
          <w:i/>
          <w:color w:val="221F1F"/>
        </w:rPr>
        <w:t>this</w:t>
      </w:r>
      <w:r>
        <w:rPr>
          <w:i/>
          <w:color w:val="221F1F"/>
          <w:spacing w:val="-4"/>
        </w:rPr>
        <w:t xml:space="preserve"> </w:t>
      </w:r>
      <w:r>
        <w:rPr>
          <w:i/>
          <w:color w:val="221F1F"/>
        </w:rPr>
        <w:t>Notification</w:t>
      </w:r>
      <w:r>
        <w:rPr>
          <w:i/>
          <w:color w:val="221F1F"/>
          <w:spacing w:val="-6"/>
        </w:rPr>
        <w:t xml:space="preserve"> </w:t>
      </w:r>
      <w:r>
        <w:rPr>
          <w:i/>
          <w:color w:val="221F1F"/>
        </w:rPr>
        <w:t>is</w:t>
      </w:r>
      <w:r>
        <w:rPr>
          <w:i/>
          <w:color w:val="221F1F"/>
          <w:spacing w:val="-5"/>
        </w:rPr>
        <w:t xml:space="preserve"> </w:t>
      </w:r>
      <w:r>
        <w:rPr>
          <w:i/>
          <w:color w:val="221F1F"/>
        </w:rPr>
        <w:t>transmitted</w:t>
      </w:r>
      <w:r>
        <w:rPr>
          <w:i/>
          <w:color w:val="221F1F"/>
          <w:spacing w:val="-4"/>
        </w:rPr>
        <w:t xml:space="preserve"> </w:t>
      </w:r>
      <w:r>
        <w:rPr>
          <w:i/>
          <w:color w:val="221F1F"/>
        </w:rPr>
        <w:t>to</w:t>
      </w:r>
      <w:r>
        <w:rPr>
          <w:i/>
          <w:color w:val="221F1F"/>
          <w:spacing w:val="-4"/>
        </w:rPr>
        <w:t xml:space="preserve"> </w:t>
      </w:r>
      <w:r>
        <w:rPr>
          <w:i/>
          <w:color w:val="221F1F"/>
        </w:rPr>
        <w:t>Tenderers.</w:t>
      </w:r>
      <w:r>
        <w:rPr>
          <w:i/>
          <w:color w:val="221F1F"/>
          <w:spacing w:val="-4"/>
        </w:rPr>
        <w:t xml:space="preserve"> </w:t>
      </w:r>
      <w:r>
        <w:rPr>
          <w:i/>
          <w:color w:val="221F1F"/>
        </w:rPr>
        <w:t>The</w:t>
      </w:r>
      <w:r>
        <w:rPr>
          <w:i/>
          <w:color w:val="221F1F"/>
          <w:spacing w:val="-4"/>
        </w:rPr>
        <w:t xml:space="preserve"> </w:t>
      </w:r>
      <w:r>
        <w:rPr>
          <w:i/>
          <w:color w:val="221F1F"/>
        </w:rPr>
        <w:t>Notification must</w:t>
      </w:r>
      <w:r>
        <w:rPr>
          <w:i/>
          <w:color w:val="221F1F"/>
          <w:spacing w:val="-3"/>
        </w:rPr>
        <w:t xml:space="preserve"> </w:t>
      </w:r>
      <w:r>
        <w:rPr>
          <w:i/>
          <w:color w:val="221F1F"/>
        </w:rPr>
        <w:t>be</w:t>
      </w:r>
      <w:r>
        <w:rPr>
          <w:i/>
          <w:color w:val="221F1F"/>
          <w:spacing w:val="-5"/>
        </w:rPr>
        <w:t xml:space="preserve"> </w:t>
      </w:r>
      <w:r>
        <w:rPr>
          <w:i/>
          <w:color w:val="221F1F"/>
        </w:rPr>
        <w:t>sent to all Tenderers simultaneously. This means on the same date and as close to the same time as possible.]</w:t>
      </w:r>
    </w:p>
    <w:p w:rsidR="007F6DF9" w:rsidRDefault="00A43FBC">
      <w:pPr>
        <w:pStyle w:val="ListParagraph"/>
        <w:numPr>
          <w:ilvl w:val="0"/>
          <w:numId w:val="20"/>
        </w:numPr>
        <w:tabs>
          <w:tab w:val="left" w:pos="1152"/>
        </w:tabs>
        <w:spacing w:before="236"/>
        <w:ind w:left="1152" w:hanging="439"/>
        <w:rPr>
          <w:color w:val="221F1F"/>
        </w:rPr>
      </w:pPr>
      <w:r>
        <w:rPr>
          <w:color w:val="221F1F"/>
          <w:u w:val="single" w:color="221F1F"/>
        </w:rPr>
        <w:t>Date</w:t>
      </w:r>
      <w:r>
        <w:rPr>
          <w:color w:val="221F1F"/>
          <w:spacing w:val="-4"/>
          <w:u w:val="single" w:color="221F1F"/>
        </w:rPr>
        <w:t xml:space="preserve"> </w:t>
      </w:r>
      <w:r>
        <w:rPr>
          <w:color w:val="221F1F"/>
          <w:u w:val="single" w:color="221F1F"/>
        </w:rPr>
        <w:t>of</w:t>
      </w:r>
      <w:r>
        <w:rPr>
          <w:color w:val="221F1F"/>
          <w:spacing w:val="-3"/>
          <w:u w:val="single" w:color="221F1F"/>
        </w:rPr>
        <w:t xml:space="preserve"> </w:t>
      </w:r>
      <w:r>
        <w:rPr>
          <w:color w:val="221F1F"/>
          <w:u w:val="single" w:color="221F1F"/>
        </w:rPr>
        <w:t>transmission</w:t>
      </w:r>
      <w:r>
        <w:rPr>
          <w:color w:val="221F1F"/>
        </w:rPr>
        <w:t>:</w:t>
      </w:r>
      <w:r>
        <w:rPr>
          <w:color w:val="221F1F"/>
          <w:spacing w:val="-2"/>
        </w:rPr>
        <w:t xml:space="preserve"> </w:t>
      </w:r>
      <w:r>
        <w:rPr>
          <w:color w:val="221F1F"/>
        </w:rPr>
        <w:t>[</w:t>
      </w:r>
      <w:r>
        <w:rPr>
          <w:i/>
          <w:color w:val="221F1F"/>
        </w:rPr>
        <w:t>email</w:t>
      </w:r>
      <w:r>
        <w:rPr>
          <w:color w:val="221F1F"/>
        </w:rPr>
        <w:t>]</w:t>
      </w:r>
      <w:r>
        <w:rPr>
          <w:color w:val="221F1F"/>
          <w:spacing w:val="-4"/>
        </w:rPr>
        <w:t xml:space="preserve"> </w:t>
      </w:r>
      <w:r>
        <w:rPr>
          <w:color w:val="221F1F"/>
        </w:rPr>
        <w:t>on</w:t>
      </w:r>
      <w:r>
        <w:rPr>
          <w:color w:val="221F1F"/>
          <w:spacing w:val="-6"/>
        </w:rPr>
        <w:t xml:space="preserve"> </w:t>
      </w:r>
      <w:r>
        <w:rPr>
          <w:color w:val="221F1F"/>
        </w:rPr>
        <w:t>[</w:t>
      </w:r>
      <w:r>
        <w:rPr>
          <w:i/>
          <w:color w:val="221F1F"/>
        </w:rPr>
        <w:t>date</w:t>
      </w:r>
      <w:r>
        <w:rPr>
          <w:color w:val="221F1F"/>
        </w:rPr>
        <w:t>]</w:t>
      </w:r>
      <w:r>
        <w:rPr>
          <w:color w:val="221F1F"/>
          <w:spacing w:val="-3"/>
        </w:rPr>
        <w:t xml:space="preserve"> </w:t>
      </w:r>
      <w:r>
        <w:rPr>
          <w:color w:val="221F1F"/>
        </w:rPr>
        <w:t>(local</w:t>
      </w:r>
      <w:r>
        <w:rPr>
          <w:color w:val="221F1F"/>
          <w:spacing w:val="-4"/>
        </w:rPr>
        <w:t xml:space="preserve"> time)</w:t>
      </w:r>
    </w:p>
    <w:p w:rsidR="007F6DF9" w:rsidRDefault="00A43FBC">
      <w:pPr>
        <w:tabs>
          <w:tab w:val="left" w:pos="10972"/>
        </w:tabs>
        <w:spacing w:before="236"/>
        <w:ind w:left="1153"/>
      </w:pPr>
      <w:r>
        <w:rPr>
          <w:color w:val="221F1F"/>
        </w:rPr>
        <w:t>This</w:t>
      </w:r>
      <w:r>
        <w:rPr>
          <w:color w:val="221F1F"/>
          <w:spacing w:val="-1"/>
        </w:rPr>
        <w:t xml:space="preserve"> </w:t>
      </w:r>
      <w:r>
        <w:rPr>
          <w:color w:val="221F1F"/>
        </w:rPr>
        <w:t>Notification</w:t>
      </w:r>
      <w:r>
        <w:rPr>
          <w:color w:val="221F1F"/>
          <w:spacing w:val="-5"/>
        </w:rPr>
        <w:t xml:space="preserve"> </w:t>
      </w:r>
      <w:r>
        <w:rPr>
          <w:color w:val="221F1F"/>
        </w:rPr>
        <w:t>is</w:t>
      </w:r>
      <w:r>
        <w:rPr>
          <w:color w:val="221F1F"/>
          <w:spacing w:val="-2"/>
        </w:rPr>
        <w:t xml:space="preserve"> </w:t>
      </w:r>
      <w:r>
        <w:rPr>
          <w:color w:val="221F1F"/>
        </w:rPr>
        <w:t>sent</w:t>
      </w:r>
      <w:r>
        <w:rPr>
          <w:color w:val="221F1F"/>
          <w:spacing w:val="-3"/>
        </w:rPr>
        <w:t xml:space="preserve"> </w:t>
      </w:r>
      <w:r>
        <w:rPr>
          <w:color w:val="221F1F"/>
        </w:rPr>
        <w:t>by</w:t>
      </w:r>
      <w:r>
        <w:rPr>
          <w:color w:val="221F1F"/>
          <w:spacing w:val="-5"/>
        </w:rPr>
        <w:t xml:space="preserve"> </w:t>
      </w:r>
      <w:r>
        <w:rPr>
          <w:color w:val="221F1F"/>
        </w:rPr>
        <w:t>(</w:t>
      </w:r>
      <w:r>
        <w:rPr>
          <w:i/>
          <w:color w:val="221F1F"/>
        </w:rPr>
        <w:t>Name</w:t>
      </w:r>
      <w:r>
        <w:rPr>
          <w:i/>
          <w:color w:val="221F1F"/>
          <w:spacing w:val="-2"/>
        </w:rPr>
        <w:t xml:space="preserve"> </w:t>
      </w:r>
      <w:r>
        <w:rPr>
          <w:i/>
          <w:color w:val="221F1F"/>
        </w:rPr>
        <w:t>and</w:t>
      </w:r>
      <w:r>
        <w:rPr>
          <w:i/>
          <w:color w:val="221F1F"/>
          <w:spacing w:val="-2"/>
        </w:rPr>
        <w:t xml:space="preserve"> </w:t>
      </w:r>
      <w:r>
        <w:rPr>
          <w:i/>
          <w:color w:val="221F1F"/>
        </w:rPr>
        <w:t>designation</w:t>
      </w:r>
      <w:r>
        <w:rPr>
          <w:color w:val="221F1F"/>
        </w:rPr>
        <w:t>)</w:t>
      </w:r>
      <w:r>
        <w:rPr>
          <w:color w:val="221F1F"/>
          <w:spacing w:val="-4"/>
        </w:rPr>
        <w:t xml:space="preserve"> </w:t>
      </w:r>
      <w:r>
        <w:rPr>
          <w:color w:val="221F1F"/>
          <w:u w:val="single" w:color="211E1F"/>
        </w:rPr>
        <w:tab/>
      </w:r>
    </w:p>
    <w:p w:rsidR="007F6DF9" w:rsidRDefault="00A43FBC">
      <w:pPr>
        <w:pStyle w:val="ListParagraph"/>
        <w:numPr>
          <w:ilvl w:val="0"/>
          <w:numId w:val="20"/>
        </w:numPr>
        <w:tabs>
          <w:tab w:val="left" w:pos="1152"/>
        </w:tabs>
        <w:spacing w:before="232"/>
        <w:ind w:left="1152" w:hanging="439"/>
        <w:rPr>
          <w:color w:val="221F1F"/>
        </w:rPr>
      </w:pPr>
      <w:r>
        <w:rPr>
          <w:color w:val="221F1F"/>
          <w:u w:val="single" w:color="221F1F"/>
        </w:rPr>
        <w:t>Notification</w:t>
      </w:r>
      <w:r>
        <w:rPr>
          <w:color w:val="221F1F"/>
          <w:spacing w:val="-11"/>
          <w:u w:val="single" w:color="221F1F"/>
        </w:rPr>
        <w:t xml:space="preserve"> </w:t>
      </w:r>
      <w:r>
        <w:rPr>
          <w:color w:val="221F1F"/>
          <w:u w:val="single" w:color="221F1F"/>
        </w:rPr>
        <w:t>of</w:t>
      </w:r>
      <w:r>
        <w:rPr>
          <w:color w:val="221F1F"/>
          <w:spacing w:val="-10"/>
          <w:u w:val="single" w:color="221F1F"/>
        </w:rPr>
        <w:t xml:space="preserve"> </w:t>
      </w:r>
      <w:r>
        <w:rPr>
          <w:color w:val="221F1F"/>
          <w:spacing w:val="-4"/>
          <w:u w:val="single" w:color="221F1F"/>
        </w:rPr>
        <w:t>Award</w:t>
      </w:r>
    </w:p>
    <w:p w:rsidR="007F6DF9" w:rsidRDefault="00A43FBC">
      <w:pPr>
        <w:pStyle w:val="ListParagraph"/>
        <w:numPr>
          <w:ilvl w:val="1"/>
          <w:numId w:val="20"/>
        </w:numPr>
        <w:tabs>
          <w:tab w:val="left" w:pos="1666"/>
        </w:tabs>
        <w:spacing w:before="112"/>
        <w:ind w:left="1666" w:hanging="511"/>
        <w:rPr>
          <w:i/>
          <w:color w:val="221F1F"/>
        </w:rPr>
      </w:pPr>
      <w:r>
        <w:rPr>
          <w:color w:val="221F1F"/>
        </w:rPr>
        <w:t>Procuring</w:t>
      </w:r>
      <w:r>
        <w:rPr>
          <w:color w:val="221F1F"/>
          <w:spacing w:val="-6"/>
        </w:rPr>
        <w:t xml:space="preserve"> </w:t>
      </w:r>
      <w:r>
        <w:rPr>
          <w:color w:val="221F1F"/>
        </w:rPr>
        <w:t>Entity:</w:t>
      </w:r>
      <w:r>
        <w:rPr>
          <w:color w:val="221F1F"/>
          <w:spacing w:val="-2"/>
        </w:rPr>
        <w:t xml:space="preserve"> </w:t>
      </w:r>
      <w:r>
        <w:rPr>
          <w:i/>
          <w:color w:val="221F1F"/>
        </w:rPr>
        <w:t>[insert</w:t>
      </w:r>
      <w:r>
        <w:rPr>
          <w:i/>
          <w:color w:val="221F1F"/>
          <w:spacing w:val="-2"/>
        </w:rPr>
        <w:t xml:space="preserve"> </w:t>
      </w:r>
      <w:r>
        <w:rPr>
          <w:i/>
          <w:color w:val="221F1F"/>
        </w:rPr>
        <w:t>the</w:t>
      </w:r>
      <w:r>
        <w:rPr>
          <w:i/>
          <w:color w:val="221F1F"/>
          <w:spacing w:val="-4"/>
        </w:rPr>
        <w:t xml:space="preserve"> </w:t>
      </w:r>
      <w:r>
        <w:rPr>
          <w:i/>
          <w:color w:val="221F1F"/>
        </w:rPr>
        <w:t>name</w:t>
      </w:r>
      <w:r>
        <w:rPr>
          <w:i/>
          <w:color w:val="221F1F"/>
          <w:spacing w:val="-3"/>
        </w:rPr>
        <w:t xml:space="preserve"> </w:t>
      </w:r>
      <w:r>
        <w:rPr>
          <w:i/>
          <w:color w:val="221F1F"/>
        </w:rPr>
        <w:t>of</w:t>
      </w:r>
      <w:r>
        <w:rPr>
          <w:i/>
          <w:color w:val="221F1F"/>
          <w:spacing w:val="-2"/>
        </w:rPr>
        <w:t xml:space="preserve"> </w:t>
      </w:r>
      <w:r>
        <w:rPr>
          <w:i/>
          <w:color w:val="221F1F"/>
        </w:rPr>
        <w:t>the</w:t>
      </w:r>
      <w:r>
        <w:rPr>
          <w:i/>
          <w:color w:val="221F1F"/>
          <w:spacing w:val="-3"/>
        </w:rPr>
        <w:t xml:space="preserve"> </w:t>
      </w:r>
      <w:proofErr w:type="spellStart"/>
      <w:r>
        <w:rPr>
          <w:i/>
          <w:color w:val="221F1F"/>
          <w:spacing w:val="-2"/>
        </w:rPr>
        <w:t>ProcuringEntity</w:t>
      </w:r>
      <w:proofErr w:type="spellEnd"/>
      <w:r>
        <w:rPr>
          <w:i/>
          <w:color w:val="221F1F"/>
          <w:spacing w:val="-2"/>
        </w:rPr>
        <w:t>]</w:t>
      </w:r>
    </w:p>
    <w:p w:rsidR="007F6DF9" w:rsidRDefault="00A43FBC">
      <w:pPr>
        <w:pStyle w:val="ListParagraph"/>
        <w:numPr>
          <w:ilvl w:val="1"/>
          <w:numId w:val="20"/>
        </w:numPr>
        <w:tabs>
          <w:tab w:val="left" w:pos="1666"/>
        </w:tabs>
        <w:spacing w:before="114"/>
        <w:ind w:left="1666" w:hanging="511"/>
        <w:rPr>
          <w:i/>
          <w:color w:val="221F1F"/>
        </w:rPr>
      </w:pPr>
      <w:r>
        <w:rPr>
          <w:color w:val="221F1F"/>
        </w:rPr>
        <w:t>Project:</w:t>
      </w:r>
      <w:r>
        <w:rPr>
          <w:color w:val="221F1F"/>
          <w:spacing w:val="-3"/>
        </w:rPr>
        <w:t xml:space="preserve"> </w:t>
      </w:r>
      <w:r>
        <w:rPr>
          <w:i/>
          <w:color w:val="221F1F"/>
        </w:rPr>
        <w:t>[insert</w:t>
      </w:r>
      <w:r>
        <w:rPr>
          <w:i/>
          <w:color w:val="221F1F"/>
          <w:spacing w:val="-4"/>
        </w:rPr>
        <w:t xml:space="preserve"> </w:t>
      </w:r>
      <w:r>
        <w:rPr>
          <w:i/>
          <w:color w:val="221F1F"/>
        </w:rPr>
        <w:t>name</w:t>
      </w:r>
      <w:r>
        <w:rPr>
          <w:i/>
          <w:color w:val="221F1F"/>
          <w:spacing w:val="-3"/>
        </w:rPr>
        <w:t xml:space="preserve"> </w:t>
      </w:r>
      <w:proofErr w:type="spellStart"/>
      <w:r>
        <w:rPr>
          <w:i/>
          <w:color w:val="221F1F"/>
          <w:spacing w:val="-2"/>
        </w:rPr>
        <w:t>ofproject</w:t>
      </w:r>
      <w:proofErr w:type="spellEnd"/>
      <w:r>
        <w:rPr>
          <w:i/>
          <w:color w:val="221F1F"/>
          <w:spacing w:val="-2"/>
        </w:rPr>
        <w:t>]</w:t>
      </w:r>
    </w:p>
    <w:p w:rsidR="007F6DF9" w:rsidRDefault="00A43FBC">
      <w:pPr>
        <w:pStyle w:val="ListParagraph"/>
        <w:numPr>
          <w:ilvl w:val="1"/>
          <w:numId w:val="20"/>
        </w:numPr>
        <w:tabs>
          <w:tab w:val="left" w:pos="1666"/>
        </w:tabs>
        <w:spacing w:before="112"/>
        <w:ind w:left="1666" w:hanging="511"/>
        <w:rPr>
          <w:i/>
          <w:color w:val="221F1F"/>
        </w:rPr>
      </w:pPr>
      <w:r>
        <w:rPr>
          <w:color w:val="221F1F"/>
        </w:rPr>
        <w:t>Contract</w:t>
      </w:r>
      <w:r>
        <w:rPr>
          <w:color w:val="221F1F"/>
          <w:spacing w:val="-5"/>
        </w:rPr>
        <w:t xml:space="preserve"> </w:t>
      </w:r>
      <w:r>
        <w:rPr>
          <w:color w:val="221F1F"/>
        </w:rPr>
        <w:t>title:</w:t>
      </w:r>
      <w:r>
        <w:rPr>
          <w:color w:val="221F1F"/>
          <w:spacing w:val="-2"/>
        </w:rPr>
        <w:t xml:space="preserve"> </w:t>
      </w:r>
      <w:r>
        <w:rPr>
          <w:i/>
          <w:color w:val="221F1F"/>
        </w:rPr>
        <w:t>[insert</w:t>
      </w:r>
      <w:r>
        <w:rPr>
          <w:i/>
          <w:color w:val="221F1F"/>
          <w:spacing w:val="-5"/>
        </w:rPr>
        <w:t xml:space="preserve"> </w:t>
      </w:r>
      <w:r>
        <w:rPr>
          <w:i/>
          <w:color w:val="221F1F"/>
        </w:rPr>
        <w:t>the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4"/>
        </w:rPr>
        <w:t xml:space="preserve"> </w:t>
      </w:r>
      <w:proofErr w:type="spellStart"/>
      <w:r>
        <w:rPr>
          <w:i/>
          <w:color w:val="221F1F"/>
          <w:spacing w:val="-2"/>
        </w:rPr>
        <w:t>thecontract</w:t>
      </w:r>
      <w:proofErr w:type="spellEnd"/>
      <w:r>
        <w:rPr>
          <w:i/>
          <w:color w:val="221F1F"/>
          <w:spacing w:val="-2"/>
        </w:rPr>
        <w:t>]</w:t>
      </w:r>
    </w:p>
    <w:p w:rsidR="007F6DF9" w:rsidRDefault="00A43FBC">
      <w:pPr>
        <w:pStyle w:val="ListParagraph"/>
        <w:numPr>
          <w:ilvl w:val="1"/>
          <w:numId w:val="20"/>
        </w:numPr>
        <w:tabs>
          <w:tab w:val="left" w:pos="1666"/>
        </w:tabs>
        <w:spacing w:before="114"/>
        <w:ind w:left="1666" w:hanging="511"/>
        <w:rPr>
          <w:i/>
          <w:color w:val="221F1F"/>
        </w:rPr>
      </w:pPr>
      <w:r>
        <w:rPr>
          <w:color w:val="221F1F"/>
        </w:rPr>
        <w:t>ITT</w:t>
      </w:r>
      <w:r>
        <w:rPr>
          <w:color w:val="221F1F"/>
          <w:spacing w:val="-6"/>
        </w:rPr>
        <w:t xml:space="preserve"> </w:t>
      </w:r>
      <w:r>
        <w:rPr>
          <w:color w:val="221F1F"/>
        </w:rPr>
        <w:t>No:</w:t>
      </w:r>
      <w:r>
        <w:rPr>
          <w:color w:val="221F1F"/>
          <w:spacing w:val="-3"/>
        </w:rPr>
        <w:t xml:space="preserve"> </w:t>
      </w:r>
      <w:r>
        <w:rPr>
          <w:i/>
          <w:color w:val="221F1F"/>
        </w:rPr>
        <w:t>[insert</w:t>
      </w:r>
      <w:r>
        <w:rPr>
          <w:i/>
          <w:color w:val="221F1F"/>
          <w:spacing w:val="-3"/>
        </w:rPr>
        <w:t xml:space="preserve"> </w:t>
      </w:r>
      <w:r>
        <w:rPr>
          <w:i/>
          <w:color w:val="221F1F"/>
        </w:rPr>
        <w:t>ITT</w:t>
      </w:r>
      <w:r>
        <w:rPr>
          <w:i/>
          <w:color w:val="221F1F"/>
          <w:spacing w:val="-7"/>
        </w:rPr>
        <w:t xml:space="preserve"> </w:t>
      </w:r>
      <w:r>
        <w:rPr>
          <w:i/>
          <w:color w:val="221F1F"/>
        </w:rPr>
        <w:t>reference</w:t>
      </w:r>
      <w:r>
        <w:rPr>
          <w:i/>
          <w:color w:val="221F1F"/>
          <w:spacing w:val="-4"/>
        </w:rPr>
        <w:t xml:space="preserve"> </w:t>
      </w:r>
      <w:r>
        <w:rPr>
          <w:i/>
          <w:color w:val="221F1F"/>
        </w:rPr>
        <w:t>number</w:t>
      </w:r>
      <w:r>
        <w:rPr>
          <w:i/>
          <w:color w:val="221F1F"/>
          <w:spacing w:val="-3"/>
        </w:rPr>
        <w:t xml:space="preserve"> </w:t>
      </w:r>
      <w:r>
        <w:rPr>
          <w:i/>
          <w:color w:val="221F1F"/>
        </w:rPr>
        <w:t>from</w:t>
      </w:r>
      <w:r>
        <w:rPr>
          <w:i/>
          <w:color w:val="221F1F"/>
          <w:spacing w:val="-9"/>
        </w:rPr>
        <w:t xml:space="preserve"> </w:t>
      </w:r>
      <w:proofErr w:type="spellStart"/>
      <w:r>
        <w:rPr>
          <w:i/>
          <w:color w:val="221F1F"/>
          <w:spacing w:val="-2"/>
        </w:rPr>
        <w:t>ProcurementPlan</w:t>
      </w:r>
      <w:proofErr w:type="spellEnd"/>
      <w:r>
        <w:rPr>
          <w:i/>
          <w:color w:val="221F1F"/>
          <w:spacing w:val="-2"/>
        </w:rPr>
        <w:t>]</w:t>
      </w:r>
    </w:p>
    <w:p w:rsidR="007F6DF9" w:rsidRDefault="00A43FBC">
      <w:pPr>
        <w:pStyle w:val="BodyText"/>
        <w:spacing w:before="243" w:line="230" w:lineRule="auto"/>
        <w:ind w:left="1172" w:right="575" w:hanging="20"/>
      </w:pPr>
      <w:r>
        <w:rPr>
          <w:color w:val="221F1F"/>
        </w:rPr>
        <w:t>This</w:t>
      </w:r>
      <w:r>
        <w:rPr>
          <w:color w:val="221F1F"/>
          <w:spacing w:val="-3"/>
        </w:rPr>
        <w:t xml:space="preserve"> </w:t>
      </w:r>
      <w:r>
        <w:rPr>
          <w:color w:val="221F1F"/>
        </w:rPr>
        <w:t>Notification</w:t>
      </w:r>
      <w:r>
        <w:rPr>
          <w:color w:val="221F1F"/>
          <w:spacing w:val="-4"/>
        </w:rPr>
        <w:t xml:space="preserve"> </w:t>
      </w:r>
      <w:r>
        <w:rPr>
          <w:color w:val="221F1F"/>
        </w:rPr>
        <w:t>of</w:t>
      </w:r>
      <w:r>
        <w:rPr>
          <w:color w:val="221F1F"/>
          <w:spacing w:val="-4"/>
        </w:rPr>
        <w:t xml:space="preserve"> </w:t>
      </w:r>
      <w:r>
        <w:rPr>
          <w:color w:val="221F1F"/>
        </w:rPr>
        <w:t>Intention</w:t>
      </w:r>
      <w:r>
        <w:rPr>
          <w:color w:val="221F1F"/>
          <w:spacing w:val="-4"/>
        </w:rPr>
        <w:t xml:space="preserve"> </w:t>
      </w:r>
      <w:r>
        <w:rPr>
          <w:color w:val="221F1F"/>
        </w:rPr>
        <w:t>to</w:t>
      </w:r>
      <w:r>
        <w:rPr>
          <w:color w:val="221F1F"/>
          <w:spacing w:val="-4"/>
        </w:rPr>
        <w:t xml:space="preserve"> </w:t>
      </w:r>
      <w:r>
        <w:rPr>
          <w:color w:val="221F1F"/>
        </w:rPr>
        <w:t>Award</w:t>
      </w:r>
      <w:r>
        <w:rPr>
          <w:color w:val="221F1F"/>
          <w:spacing w:val="-4"/>
        </w:rPr>
        <w:t xml:space="preserve"> </w:t>
      </w:r>
      <w:r>
        <w:rPr>
          <w:color w:val="221F1F"/>
        </w:rPr>
        <w:t>(Notification)</w:t>
      </w:r>
      <w:r>
        <w:rPr>
          <w:color w:val="221F1F"/>
          <w:spacing w:val="-3"/>
        </w:rPr>
        <w:t xml:space="preserve"> </w:t>
      </w:r>
      <w:r>
        <w:rPr>
          <w:color w:val="221F1F"/>
        </w:rPr>
        <w:t>notifies</w:t>
      </w:r>
      <w:r>
        <w:rPr>
          <w:color w:val="221F1F"/>
          <w:spacing w:val="-4"/>
        </w:rPr>
        <w:t xml:space="preserve"> </w:t>
      </w:r>
      <w:r>
        <w:rPr>
          <w:color w:val="221F1F"/>
        </w:rPr>
        <w:t>you</w:t>
      </w:r>
      <w:r>
        <w:rPr>
          <w:color w:val="221F1F"/>
          <w:spacing w:val="-4"/>
        </w:rPr>
        <w:t xml:space="preserve"> </w:t>
      </w:r>
      <w:r>
        <w:rPr>
          <w:color w:val="221F1F"/>
        </w:rPr>
        <w:t>of</w:t>
      </w:r>
      <w:r>
        <w:rPr>
          <w:color w:val="221F1F"/>
          <w:spacing w:val="-6"/>
        </w:rPr>
        <w:t xml:space="preserve"> </w:t>
      </w:r>
      <w:r>
        <w:rPr>
          <w:color w:val="221F1F"/>
        </w:rPr>
        <w:t>our</w:t>
      </w:r>
      <w:r>
        <w:rPr>
          <w:color w:val="221F1F"/>
          <w:spacing w:val="-4"/>
        </w:rPr>
        <w:t xml:space="preserve"> </w:t>
      </w:r>
      <w:r>
        <w:rPr>
          <w:color w:val="221F1F"/>
        </w:rPr>
        <w:t>decision</w:t>
      </w:r>
      <w:r>
        <w:rPr>
          <w:color w:val="221F1F"/>
          <w:spacing w:val="-7"/>
        </w:rPr>
        <w:t xml:space="preserve"> </w:t>
      </w:r>
      <w:r>
        <w:rPr>
          <w:color w:val="221F1F"/>
        </w:rPr>
        <w:t>to</w:t>
      </w:r>
      <w:r>
        <w:rPr>
          <w:color w:val="221F1F"/>
          <w:spacing w:val="-4"/>
        </w:rPr>
        <w:t xml:space="preserve"> </w:t>
      </w:r>
      <w:r>
        <w:rPr>
          <w:color w:val="221F1F"/>
        </w:rPr>
        <w:t>award</w:t>
      </w:r>
      <w:r>
        <w:rPr>
          <w:color w:val="221F1F"/>
          <w:spacing w:val="-7"/>
        </w:rPr>
        <w:t xml:space="preserve"> </w:t>
      </w:r>
      <w:r>
        <w:rPr>
          <w:color w:val="221F1F"/>
        </w:rPr>
        <w:t>the</w:t>
      </w:r>
      <w:r>
        <w:rPr>
          <w:color w:val="221F1F"/>
          <w:spacing w:val="-4"/>
        </w:rPr>
        <w:t xml:space="preserve"> </w:t>
      </w:r>
      <w:r>
        <w:rPr>
          <w:color w:val="221F1F"/>
        </w:rPr>
        <w:t>above</w:t>
      </w:r>
      <w:r>
        <w:rPr>
          <w:color w:val="221F1F"/>
          <w:spacing w:val="-6"/>
        </w:rPr>
        <w:t xml:space="preserve"> </w:t>
      </w:r>
      <w:r>
        <w:rPr>
          <w:color w:val="221F1F"/>
        </w:rPr>
        <w:t>contract. The transmission of this Notification begins the Standstill Period. During the Standstill Period, you may:</w:t>
      </w:r>
    </w:p>
    <w:p w:rsidR="007F6DF9" w:rsidRDefault="00A43FBC">
      <w:pPr>
        <w:pStyle w:val="ListParagraph"/>
        <w:numPr>
          <w:ilvl w:val="0"/>
          <w:numId w:val="20"/>
        </w:numPr>
        <w:tabs>
          <w:tab w:val="left" w:pos="1152"/>
          <w:tab w:val="left" w:pos="1155"/>
        </w:tabs>
        <w:spacing w:before="244" w:line="230" w:lineRule="auto"/>
        <w:ind w:left="1155" w:right="1470" w:hanging="443"/>
        <w:rPr>
          <w:color w:val="221F1F"/>
        </w:rPr>
      </w:pPr>
      <w:r>
        <w:rPr>
          <w:color w:val="221F1F"/>
        </w:rPr>
        <w:t>Request</w:t>
      </w:r>
      <w:r>
        <w:rPr>
          <w:color w:val="221F1F"/>
          <w:spacing w:val="-2"/>
        </w:rPr>
        <w:t xml:space="preserve"> </w:t>
      </w:r>
      <w:r>
        <w:rPr>
          <w:color w:val="221F1F"/>
        </w:rPr>
        <w:t>a</w:t>
      </w:r>
      <w:r>
        <w:rPr>
          <w:color w:val="221F1F"/>
          <w:spacing w:val="-2"/>
        </w:rPr>
        <w:t xml:space="preserve"> </w:t>
      </w:r>
      <w:r>
        <w:rPr>
          <w:color w:val="221F1F"/>
        </w:rPr>
        <w:t>debriefing</w:t>
      </w:r>
      <w:r>
        <w:rPr>
          <w:color w:val="221F1F"/>
          <w:spacing w:val="-5"/>
        </w:rPr>
        <w:t xml:space="preserve"> </w:t>
      </w:r>
      <w:r>
        <w:rPr>
          <w:color w:val="221F1F"/>
        </w:rPr>
        <w:t>in</w:t>
      </w:r>
      <w:r>
        <w:rPr>
          <w:color w:val="221F1F"/>
          <w:spacing w:val="-5"/>
        </w:rPr>
        <w:t xml:space="preserve"> </w:t>
      </w:r>
      <w:r>
        <w:rPr>
          <w:color w:val="221F1F"/>
        </w:rPr>
        <w:t>relation</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evaluation</w:t>
      </w:r>
      <w:r>
        <w:rPr>
          <w:color w:val="221F1F"/>
          <w:spacing w:val="-2"/>
        </w:rPr>
        <w:t xml:space="preserve"> </w:t>
      </w:r>
      <w:r>
        <w:rPr>
          <w:color w:val="221F1F"/>
        </w:rPr>
        <w:t>of</w:t>
      </w:r>
      <w:r>
        <w:rPr>
          <w:color w:val="221F1F"/>
          <w:spacing w:val="-3"/>
        </w:rPr>
        <w:t xml:space="preserve"> </w:t>
      </w:r>
      <w:r>
        <w:rPr>
          <w:color w:val="221F1F"/>
        </w:rPr>
        <w:t>your</w:t>
      </w:r>
      <w:r>
        <w:rPr>
          <w:color w:val="221F1F"/>
          <w:spacing w:val="-2"/>
        </w:rPr>
        <w:t xml:space="preserve"> </w:t>
      </w:r>
      <w:r>
        <w:rPr>
          <w:color w:val="221F1F"/>
        </w:rPr>
        <w:t>tender</w:t>
      </w:r>
      <w:r>
        <w:rPr>
          <w:color w:val="221F1F"/>
          <w:spacing w:val="-3"/>
        </w:rPr>
        <w:t xml:space="preserve"> </w:t>
      </w:r>
      <w:r>
        <w:rPr>
          <w:color w:val="221F1F"/>
        </w:rPr>
        <w:t>by</w:t>
      </w:r>
      <w:r>
        <w:rPr>
          <w:color w:val="221F1F"/>
          <w:spacing w:val="-2"/>
        </w:rPr>
        <w:t xml:space="preserve"> </w:t>
      </w:r>
      <w:r>
        <w:rPr>
          <w:color w:val="221F1F"/>
        </w:rPr>
        <w:t>submitting</w:t>
      </w:r>
      <w:r>
        <w:rPr>
          <w:color w:val="221F1F"/>
          <w:spacing w:val="-3"/>
        </w:rPr>
        <w:t xml:space="preserve"> </w:t>
      </w:r>
      <w:r>
        <w:rPr>
          <w:color w:val="221F1F"/>
        </w:rPr>
        <w:t>a Procurement-related Complaint in relation to the decision to award the contracts.</w:t>
      </w:r>
    </w:p>
    <w:p w:rsidR="007F6DF9" w:rsidRDefault="00A43FBC">
      <w:pPr>
        <w:pStyle w:val="ListParagraph"/>
        <w:numPr>
          <w:ilvl w:val="0"/>
          <w:numId w:val="19"/>
        </w:numPr>
        <w:tabs>
          <w:tab w:val="left" w:pos="1668"/>
        </w:tabs>
        <w:spacing w:before="236"/>
        <w:ind w:left="1668" w:hanging="515"/>
        <w:jc w:val="left"/>
      </w:pPr>
      <w:r>
        <w:rPr>
          <w:color w:val="221F1F"/>
        </w:rPr>
        <w:t>The</w:t>
      </w:r>
      <w:r>
        <w:rPr>
          <w:color w:val="221F1F"/>
          <w:spacing w:val="-3"/>
        </w:rPr>
        <w:t xml:space="preserve"> </w:t>
      </w:r>
      <w:r>
        <w:rPr>
          <w:color w:val="221F1F"/>
        </w:rPr>
        <w:t>successful</w:t>
      </w:r>
      <w:r>
        <w:rPr>
          <w:color w:val="221F1F"/>
          <w:spacing w:val="-2"/>
        </w:rPr>
        <w:t xml:space="preserve"> tenderers</w:t>
      </w:r>
    </w:p>
    <w:p w:rsidR="007F6DF9" w:rsidRDefault="00A43FBC">
      <w:pPr>
        <w:pStyle w:val="ListParagraph"/>
        <w:numPr>
          <w:ilvl w:val="1"/>
          <w:numId w:val="19"/>
        </w:numPr>
        <w:tabs>
          <w:tab w:val="left" w:pos="1668"/>
          <w:tab w:val="left" w:pos="10903"/>
        </w:tabs>
        <w:spacing w:before="234"/>
        <w:ind w:left="1668" w:hanging="515"/>
      </w:pPr>
      <w:r>
        <w:rPr>
          <w:color w:val="221F1F"/>
        </w:rPr>
        <w:t>Name</w:t>
      </w:r>
      <w:r>
        <w:rPr>
          <w:color w:val="221F1F"/>
          <w:spacing w:val="-4"/>
        </w:rPr>
        <w:t xml:space="preserve"> </w:t>
      </w:r>
      <w:r>
        <w:rPr>
          <w:color w:val="221F1F"/>
        </w:rPr>
        <w:t>of</w:t>
      </w:r>
      <w:r>
        <w:rPr>
          <w:color w:val="221F1F"/>
          <w:spacing w:val="-3"/>
        </w:rPr>
        <w:t xml:space="preserve"> </w:t>
      </w:r>
      <w:r>
        <w:rPr>
          <w:color w:val="221F1F"/>
        </w:rPr>
        <w:t>successful</w:t>
      </w:r>
      <w:r>
        <w:rPr>
          <w:color w:val="221F1F"/>
          <w:spacing w:val="-5"/>
        </w:rPr>
        <w:t xml:space="preserve"> </w:t>
      </w:r>
      <w:r>
        <w:rPr>
          <w:color w:val="221F1F"/>
          <w:spacing w:val="-2"/>
        </w:rPr>
        <w:t>Tender</w:t>
      </w:r>
      <w:r>
        <w:rPr>
          <w:color w:val="221F1F"/>
          <w:u w:val="single" w:color="211E1F"/>
        </w:rPr>
        <w:tab/>
      </w:r>
    </w:p>
    <w:p w:rsidR="007F6DF9" w:rsidRDefault="007F6DF9">
      <w:pPr>
        <w:pStyle w:val="BodyText"/>
        <w:spacing w:before="238"/>
      </w:pPr>
    </w:p>
    <w:p w:rsidR="007F6DF9" w:rsidRDefault="00A43FBC">
      <w:pPr>
        <w:pStyle w:val="ListParagraph"/>
        <w:numPr>
          <w:ilvl w:val="1"/>
          <w:numId w:val="19"/>
        </w:numPr>
        <w:tabs>
          <w:tab w:val="left" w:pos="1668"/>
          <w:tab w:val="left" w:pos="10927"/>
        </w:tabs>
        <w:ind w:left="1668" w:hanging="515"/>
      </w:pPr>
      <w:r>
        <w:rPr>
          <w:color w:val="221F1F"/>
        </w:rPr>
        <w:t>Address</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successful Tender</w:t>
      </w:r>
      <w:r>
        <w:rPr>
          <w:color w:val="221F1F"/>
          <w:spacing w:val="-8"/>
        </w:rPr>
        <w:t xml:space="preserve"> </w:t>
      </w:r>
      <w:r>
        <w:rPr>
          <w:color w:val="221F1F"/>
          <w:u w:val="single" w:color="211E1F"/>
        </w:rPr>
        <w:tab/>
      </w:r>
    </w:p>
    <w:p w:rsidR="007F6DF9" w:rsidRDefault="00A43FBC">
      <w:pPr>
        <w:pStyle w:val="BodyText"/>
        <w:spacing w:before="106"/>
        <w:rPr>
          <w:sz w:val="20"/>
        </w:rPr>
      </w:pPr>
      <w:r>
        <w:rPr>
          <w:noProof/>
          <w:sz w:val="20"/>
        </w:rPr>
        <mc:AlternateContent>
          <mc:Choice Requires="wps">
            <w:drawing>
              <wp:anchor distT="0" distB="0" distL="0" distR="0" simplePos="0" relativeHeight="487626240" behindDoc="1" locked="0" layoutInCell="1" allowOverlap="1">
                <wp:simplePos x="0" y="0"/>
                <wp:positionH relativeFrom="page">
                  <wp:posOffset>1149350</wp:posOffset>
                </wp:positionH>
                <wp:positionV relativeFrom="paragraph">
                  <wp:posOffset>228790</wp:posOffset>
                </wp:positionV>
                <wp:extent cx="5727700"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1270"/>
                        </a:xfrm>
                        <a:custGeom>
                          <a:avLst/>
                          <a:gdLst/>
                          <a:ahLst/>
                          <a:cxnLst/>
                          <a:rect l="l" t="t" r="r" b="b"/>
                          <a:pathLst>
                            <a:path w="5727700">
                              <a:moveTo>
                                <a:pt x="0" y="0"/>
                              </a:moveTo>
                              <a:lnTo>
                                <a:pt x="572770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77BCE958" id="Graphic 444" o:spid="_x0000_s1026" style="position:absolute;margin-left:90.5pt;margin-top:18pt;width:451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72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" path="m,l5727700,e" filled="f" strokecolor="#211e1f" strokeweight=".44pt">
                <v:path arrowok="t"/>
                <w10:wrap type="topAndBottom" anchorx="page"/>
              </v:shape>
            </w:pict>
          </mc:Fallback>
        </mc:AlternateContent>
      </w:r>
    </w:p>
    <w:p w:rsidR="007F6DF9" w:rsidRDefault="00A43FBC">
      <w:pPr>
        <w:pStyle w:val="ListParagraph"/>
        <w:numPr>
          <w:ilvl w:val="1"/>
          <w:numId w:val="19"/>
        </w:numPr>
        <w:tabs>
          <w:tab w:val="left" w:pos="1669"/>
          <w:tab w:val="left" w:pos="10701"/>
          <w:tab w:val="left" w:pos="10943"/>
        </w:tabs>
        <w:spacing w:before="235" w:line="343" w:lineRule="auto"/>
        <w:ind w:right="541"/>
      </w:pPr>
      <w:r>
        <w:rPr>
          <w:color w:val="221F1F"/>
        </w:rPr>
        <w:t xml:space="preserve">Contract price of the successful Tender Kenya Shillings </w:t>
      </w:r>
      <w:r>
        <w:rPr>
          <w:color w:val="221F1F"/>
          <w:u w:val="single" w:color="211E1F"/>
        </w:rPr>
        <w:tab/>
      </w:r>
      <w:r>
        <w:rPr>
          <w:color w:val="221F1F"/>
          <w:u w:val="single" w:color="211E1F"/>
        </w:rPr>
        <w:tab/>
      </w:r>
      <w:r>
        <w:rPr>
          <w:color w:val="221F1F"/>
        </w:rPr>
        <w:t xml:space="preserve"> (in words</w:t>
      </w:r>
      <w:r>
        <w:rPr>
          <w:color w:val="221F1F"/>
          <w:u w:val="single" w:color="211E1F"/>
        </w:rPr>
        <w:tab/>
      </w:r>
      <w:r>
        <w:rPr>
          <w:color w:val="221F1F"/>
          <w:spacing w:val="-10"/>
        </w:rPr>
        <w:t>)</w:t>
      </w:r>
    </w:p>
    <w:p w:rsidR="007F6DF9" w:rsidRDefault="00A43FBC">
      <w:pPr>
        <w:pStyle w:val="ListParagraph"/>
        <w:numPr>
          <w:ilvl w:val="0"/>
          <w:numId w:val="19"/>
        </w:numPr>
        <w:tabs>
          <w:tab w:val="left" w:pos="2153"/>
        </w:tabs>
        <w:spacing w:before="123"/>
        <w:ind w:left="2153" w:hanging="484"/>
        <w:jc w:val="left"/>
      </w:pPr>
      <w:r>
        <w:rPr>
          <w:color w:val="221F1F"/>
        </w:rPr>
        <w:t>The</w:t>
      </w:r>
      <w:r>
        <w:rPr>
          <w:color w:val="221F1F"/>
          <w:spacing w:val="-3"/>
        </w:rPr>
        <w:t xml:space="preserve"> </w:t>
      </w:r>
      <w:r>
        <w:rPr>
          <w:color w:val="221F1F"/>
        </w:rPr>
        <w:t>reasons</w:t>
      </w:r>
      <w:r>
        <w:rPr>
          <w:color w:val="221F1F"/>
          <w:spacing w:val="-2"/>
        </w:rPr>
        <w:t xml:space="preserve"> </w:t>
      </w:r>
      <w:r>
        <w:rPr>
          <w:color w:val="221F1F"/>
        </w:rPr>
        <w:t>for</w:t>
      </w:r>
      <w:r>
        <w:rPr>
          <w:color w:val="221F1F"/>
          <w:spacing w:val="-3"/>
        </w:rPr>
        <w:t xml:space="preserve"> </w:t>
      </w:r>
      <w:r>
        <w:rPr>
          <w:color w:val="221F1F"/>
        </w:rPr>
        <w:t>your</w:t>
      </w:r>
      <w:r>
        <w:rPr>
          <w:color w:val="221F1F"/>
          <w:spacing w:val="-2"/>
        </w:rPr>
        <w:t xml:space="preserve"> </w:t>
      </w:r>
      <w:r>
        <w:rPr>
          <w:color w:val="221F1F"/>
        </w:rPr>
        <w:t>tender</w:t>
      </w:r>
      <w:r>
        <w:rPr>
          <w:color w:val="221F1F"/>
          <w:spacing w:val="-4"/>
        </w:rPr>
        <w:t xml:space="preserve"> </w:t>
      </w:r>
      <w:r>
        <w:rPr>
          <w:color w:val="221F1F"/>
        </w:rPr>
        <w:t>being</w:t>
      </w:r>
      <w:r>
        <w:rPr>
          <w:color w:val="221F1F"/>
          <w:spacing w:val="-5"/>
        </w:rPr>
        <w:t xml:space="preserve"> </w:t>
      </w:r>
      <w:r>
        <w:rPr>
          <w:color w:val="221F1F"/>
        </w:rPr>
        <w:t>unsuccessful</w:t>
      </w:r>
      <w:r>
        <w:rPr>
          <w:color w:val="221F1F"/>
          <w:spacing w:val="-2"/>
        </w:rPr>
        <w:t xml:space="preserve"> </w:t>
      </w:r>
      <w:r>
        <w:rPr>
          <w:color w:val="221F1F"/>
        </w:rPr>
        <w:t>are</w:t>
      </w:r>
      <w:r>
        <w:rPr>
          <w:color w:val="221F1F"/>
          <w:spacing w:val="-4"/>
        </w:rPr>
        <w:t xml:space="preserve"> </w:t>
      </w:r>
      <w:r>
        <w:rPr>
          <w:color w:val="221F1F"/>
        </w:rPr>
        <w:t>as</w:t>
      </w:r>
      <w:r>
        <w:rPr>
          <w:color w:val="221F1F"/>
          <w:spacing w:val="-2"/>
        </w:rPr>
        <w:t xml:space="preserve"> follows:</w:t>
      </w:r>
    </w:p>
    <w:p w:rsidR="007F6DF9" w:rsidRDefault="00A43FBC">
      <w:pPr>
        <w:pStyle w:val="ListParagraph"/>
        <w:numPr>
          <w:ilvl w:val="0"/>
          <w:numId w:val="19"/>
        </w:numPr>
        <w:tabs>
          <w:tab w:val="left" w:pos="2153"/>
        </w:tabs>
        <w:spacing w:before="235"/>
        <w:ind w:left="2153" w:hanging="484"/>
        <w:jc w:val="left"/>
      </w:pPr>
      <w:proofErr w:type="spellStart"/>
      <w:r>
        <w:rPr>
          <w:color w:val="221F1F"/>
          <w:spacing w:val="-2"/>
        </w:rPr>
        <w:t>OtherTenderers</w:t>
      </w:r>
      <w:proofErr w:type="spellEnd"/>
    </w:p>
    <w:p w:rsidR="007F6DF9" w:rsidRDefault="00A43FBC">
      <w:pPr>
        <w:pStyle w:val="BodyText"/>
        <w:spacing w:before="242" w:line="230" w:lineRule="auto"/>
        <w:ind w:left="1162" w:firstLine="31"/>
      </w:pPr>
      <w:r>
        <w:rPr>
          <w:color w:val="221F1F"/>
        </w:rPr>
        <w:t>Names</w:t>
      </w:r>
      <w:r>
        <w:rPr>
          <w:color w:val="221F1F"/>
          <w:spacing w:val="-4"/>
        </w:rPr>
        <w:t xml:space="preserve"> </w:t>
      </w:r>
      <w:r>
        <w:rPr>
          <w:color w:val="221F1F"/>
        </w:rPr>
        <w:t>of</w:t>
      </w:r>
      <w:r>
        <w:rPr>
          <w:color w:val="221F1F"/>
          <w:spacing w:val="-5"/>
        </w:rPr>
        <w:t xml:space="preserve"> </w:t>
      </w:r>
      <w:r>
        <w:rPr>
          <w:color w:val="221F1F"/>
        </w:rPr>
        <w:t>all</w:t>
      </w:r>
      <w:r>
        <w:rPr>
          <w:color w:val="221F1F"/>
          <w:spacing w:val="-2"/>
        </w:rPr>
        <w:t xml:space="preserve"> </w:t>
      </w:r>
      <w:r>
        <w:rPr>
          <w:color w:val="221F1F"/>
        </w:rPr>
        <w:t>Tenderers</w:t>
      </w:r>
      <w:r>
        <w:rPr>
          <w:color w:val="221F1F"/>
          <w:spacing w:val="-5"/>
        </w:rPr>
        <w:t xml:space="preserve"> </w:t>
      </w:r>
      <w:r>
        <w:rPr>
          <w:color w:val="221F1F"/>
        </w:rPr>
        <w:t>that</w:t>
      </w:r>
      <w:r>
        <w:rPr>
          <w:color w:val="221F1F"/>
          <w:spacing w:val="-4"/>
        </w:rPr>
        <w:t xml:space="preserve"> </w:t>
      </w:r>
      <w:r>
        <w:rPr>
          <w:color w:val="221F1F"/>
        </w:rPr>
        <w:t>submitted</w:t>
      </w:r>
      <w:r>
        <w:rPr>
          <w:color w:val="221F1F"/>
          <w:spacing w:val="-5"/>
        </w:rPr>
        <w:t xml:space="preserve"> </w:t>
      </w:r>
      <w:r>
        <w:rPr>
          <w:color w:val="221F1F"/>
        </w:rPr>
        <w:t>a</w:t>
      </w:r>
      <w:r>
        <w:rPr>
          <w:color w:val="221F1F"/>
          <w:spacing w:val="-3"/>
        </w:rPr>
        <w:t xml:space="preserve"> </w:t>
      </w:r>
      <w:r>
        <w:rPr>
          <w:color w:val="221F1F"/>
        </w:rPr>
        <w:t>Tender.</w:t>
      </w:r>
      <w:r>
        <w:rPr>
          <w:color w:val="221F1F"/>
          <w:spacing w:val="-12"/>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Tender's</w:t>
      </w:r>
      <w:r>
        <w:rPr>
          <w:color w:val="221F1F"/>
          <w:spacing w:val="-2"/>
        </w:rPr>
        <w:t xml:space="preserve"> </w:t>
      </w:r>
      <w:r>
        <w:rPr>
          <w:color w:val="221F1F"/>
        </w:rPr>
        <w:t>price</w:t>
      </w:r>
      <w:r>
        <w:rPr>
          <w:color w:val="221F1F"/>
          <w:spacing w:val="-2"/>
        </w:rPr>
        <w:t xml:space="preserve"> </w:t>
      </w:r>
      <w:r>
        <w:rPr>
          <w:color w:val="221F1F"/>
        </w:rPr>
        <w:t>was</w:t>
      </w:r>
      <w:r>
        <w:rPr>
          <w:color w:val="221F1F"/>
          <w:spacing w:val="-3"/>
        </w:rPr>
        <w:t xml:space="preserve"> </w:t>
      </w:r>
      <w:r>
        <w:rPr>
          <w:color w:val="221F1F"/>
        </w:rPr>
        <w:t>evaluated</w:t>
      </w:r>
      <w:r>
        <w:rPr>
          <w:color w:val="221F1F"/>
          <w:spacing w:val="-3"/>
        </w:rPr>
        <w:t xml:space="preserve"> </w:t>
      </w:r>
      <w:r>
        <w:rPr>
          <w:color w:val="221F1F"/>
        </w:rPr>
        <w:t>include</w:t>
      </w:r>
      <w:r>
        <w:rPr>
          <w:color w:val="221F1F"/>
          <w:spacing w:val="-4"/>
        </w:rPr>
        <w:t xml:space="preserve"> </w:t>
      </w:r>
      <w:r>
        <w:rPr>
          <w:color w:val="221F1F"/>
        </w:rPr>
        <w:t>the</w:t>
      </w:r>
      <w:r>
        <w:rPr>
          <w:color w:val="221F1F"/>
          <w:spacing w:val="-3"/>
        </w:rPr>
        <w:t xml:space="preserve"> </w:t>
      </w:r>
      <w:r>
        <w:rPr>
          <w:color w:val="221F1F"/>
        </w:rPr>
        <w:t>evaluated</w:t>
      </w:r>
      <w:r>
        <w:rPr>
          <w:color w:val="221F1F"/>
          <w:spacing w:val="-5"/>
        </w:rPr>
        <w:t xml:space="preserve"> </w:t>
      </w:r>
      <w:r>
        <w:rPr>
          <w:color w:val="221F1F"/>
        </w:rPr>
        <w:t>price</w:t>
      </w:r>
      <w:r>
        <w:rPr>
          <w:color w:val="221F1F"/>
          <w:spacing w:val="-3"/>
        </w:rPr>
        <w:t xml:space="preserve"> </w:t>
      </w:r>
      <w:r>
        <w:rPr>
          <w:color w:val="221F1F"/>
        </w:rPr>
        <w:t>as well as the Tender price as read out.</w:t>
      </w:r>
    </w:p>
    <w:p w:rsidR="007F6DF9" w:rsidRDefault="007F6DF9">
      <w:pPr>
        <w:pStyle w:val="BodyText"/>
        <w:spacing w:line="230" w:lineRule="auto"/>
        <w:sectPr w:rsidR="007F6DF9">
          <w:pgSz w:w="11920" w:h="16850"/>
          <w:pgMar w:top="360" w:right="283" w:bottom="620" w:left="141" w:header="0" w:footer="437" w:gutter="0"/>
          <w:cols w:space="720"/>
        </w:sectPr>
      </w:pPr>
    </w:p>
    <w:p w:rsidR="007F6DF9" w:rsidRDefault="007F6DF9">
      <w:pPr>
        <w:pStyle w:val="BodyText"/>
        <w:rPr>
          <w:sz w:val="20"/>
        </w:rPr>
      </w:pPr>
    </w:p>
    <w:p w:rsidR="007F6DF9" w:rsidRDefault="007F6DF9">
      <w:pPr>
        <w:pStyle w:val="BodyText"/>
        <w:spacing w:before="13"/>
        <w:rPr>
          <w:sz w:val="20"/>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2336"/>
        <w:gridCol w:w="1553"/>
        <w:gridCol w:w="1985"/>
        <w:gridCol w:w="3123"/>
      </w:tblGrid>
      <w:tr w:rsidR="007F6DF9">
        <w:trPr>
          <w:trHeight w:val="506"/>
        </w:trPr>
        <w:tc>
          <w:tcPr>
            <w:tcW w:w="644" w:type="dxa"/>
          </w:tcPr>
          <w:p w:rsidR="007F6DF9" w:rsidRDefault="00A43FBC">
            <w:pPr>
              <w:pStyle w:val="TableParagraph"/>
              <w:spacing w:line="251" w:lineRule="exact"/>
              <w:ind w:left="107"/>
              <w:rPr>
                <w:rFonts w:ascii="Times New Roman"/>
              </w:rPr>
            </w:pPr>
            <w:proofErr w:type="spellStart"/>
            <w:r>
              <w:rPr>
                <w:rFonts w:ascii="Times New Roman"/>
                <w:spacing w:val="-5"/>
              </w:rPr>
              <w:t>SNo</w:t>
            </w:r>
            <w:proofErr w:type="spellEnd"/>
          </w:p>
        </w:tc>
        <w:tc>
          <w:tcPr>
            <w:tcW w:w="2336" w:type="dxa"/>
          </w:tcPr>
          <w:p w:rsidR="007F6DF9" w:rsidRDefault="00A43FBC">
            <w:pPr>
              <w:pStyle w:val="TableParagraph"/>
              <w:spacing w:line="251" w:lineRule="exact"/>
              <w:ind w:left="107"/>
              <w:rPr>
                <w:rFonts w:ascii="Times New Roman"/>
              </w:rPr>
            </w:pPr>
            <w:r>
              <w:rPr>
                <w:rFonts w:ascii="Times New Roman"/>
              </w:rPr>
              <w:t>Name</w:t>
            </w:r>
            <w:r>
              <w:rPr>
                <w:rFonts w:ascii="Times New Roman"/>
                <w:spacing w:val="-2"/>
              </w:rPr>
              <w:t xml:space="preserve"> </w:t>
            </w:r>
            <w:r>
              <w:rPr>
                <w:rFonts w:ascii="Times New Roman"/>
              </w:rPr>
              <w:t>of</w:t>
            </w:r>
            <w:r>
              <w:rPr>
                <w:rFonts w:ascii="Times New Roman"/>
                <w:spacing w:val="-1"/>
              </w:rPr>
              <w:t xml:space="preserve"> </w:t>
            </w:r>
            <w:r>
              <w:rPr>
                <w:rFonts w:ascii="Times New Roman"/>
                <w:spacing w:val="-2"/>
              </w:rPr>
              <w:t>Tender</w:t>
            </w:r>
          </w:p>
        </w:tc>
        <w:tc>
          <w:tcPr>
            <w:tcW w:w="1553" w:type="dxa"/>
          </w:tcPr>
          <w:p w:rsidR="007F6DF9" w:rsidRDefault="00A43FBC">
            <w:pPr>
              <w:pStyle w:val="TableParagraph"/>
              <w:spacing w:line="254" w:lineRule="exact"/>
              <w:ind w:left="104" w:right="304"/>
              <w:rPr>
                <w:rFonts w:ascii="Times New Roman"/>
              </w:rPr>
            </w:pPr>
            <w:r>
              <w:rPr>
                <w:rFonts w:ascii="Times New Roman"/>
              </w:rPr>
              <w:t>Tender</w:t>
            </w:r>
            <w:r>
              <w:rPr>
                <w:rFonts w:ascii="Times New Roman"/>
                <w:spacing w:val="-14"/>
              </w:rPr>
              <w:t xml:space="preserve"> </w:t>
            </w:r>
            <w:r>
              <w:rPr>
                <w:rFonts w:ascii="Times New Roman"/>
              </w:rPr>
              <w:t>Price as read out</w:t>
            </w:r>
          </w:p>
        </w:tc>
        <w:tc>
          <w:tcPr>
            <w:tcW w:w="1985" w:type="dxa"/>
          </w:tcPr>
          <w:p w:rsidR="007F6DF9" w:rsidRDefault="00A43FBC">
            <w:pPr>
              <w:pStyle w:val="TableParagraph"/>
              <w:spacing w:line="254" w:lineRule="exact"/>
              <w:ind w:left="106" w:right="184"/>
              <w:rPr>
                <w:rFonts w:ascii="Times New Roman" w:hAnsi="Times New Roman"/>
              </w:rPr>
            </w:pPr>
            <w:r>
              <w:rPr>
                <w:rFonts w:ascii="Times New Roman" w:hAnsi="Times New Roman"/>
              </w:rPr>
              <w:t>Tender’s</w:t>
            </w:r>
            <w:r>
              <w:rPr>
                <w:rFonts w:ascii="Times New Roman" w:hAnsi="Times New Roman"/>
                <w:spacing w:val="-14"/>
              </w:rPr>
              <w:t xml:space="preserve"> </w:t>
            </w:r>
            <w:r>
              <w:rPr>
                <w:rFonts w:ascii="Times New Roman" w:hAnsi="Times New Roman"/>
              </w:rPr>
              <w:t>evaluated price (Note a)</w:t>
            </w:r>
          </w:p>
        </w:tc>
        <w:tc>
          <w:tcPr>
            <w:tcW w:w="3123" w:type="dxa"/>
          </w:tcPr>
          <w:p w:rsidR="007F6DF9" w:rsidRDefault="00A43FBC">
            <w:pPr>
              <w:pStyle w:val="TableParagraph"/>
              <w:spacing w:line="251" w:lineRule="exact"/>
              <w:ind w:left="107"/>
              <w:rPr>
                <w:rFonts w:ascii="Times New Roman"/>
              </w:rPr>
            </w:pPr>
            <w:r>
              <w:rPr>
                <w:rFonts w:ascii="Times New Roman"/>
              </w:rPr>
              <w:t>One</w:t>
            </w:r>
            <w:r>
              <w:rPr>
                <w:rFonts w:ascii="Times New Roman"/>
                <w:spacing w:val="-2"/>
              </w:rPr>
              <w:t xml:space="preserve"> </w:t>
            </w:r>
            <w:r>
              <w:rPr>
                <w:rFonts w:ascii="Times New Roman"/>
              </w:rPr>
              <w:t>Reason</w:t>
            </w:r>
            <w:r>
              <w:rPr>
                <w:rFonts w:ascii="Times New Roman"/>
                <w:spacing w:val="-4"/>
              </w:rPr>
              <w:t xml:space="preserve"> </w:t>
            </w:r>
            <w:r>
              <w:rPr>
                <w:rFonts w:ascii="Times New Roman"/>
              </w:rPr>
              <w:t>Why</w:t>
            </w:r>
            <w:r>
              <w:rPr>
                <w:rFonts w:ascii="Times New Roman"/>
                <w:spacing w:val="-2"/>
              </w:rPr>
              <w:t xml:space="preserve"> </w:t>
            </w:r>
            <w:r>
              <w:rPr>
                <w:rFonts w:ascii="Times New Roman"/>
              </w:rPr>
              <w:t xml:space="preserve">Not </w:t>
            </w:r>
            <w:r>
              <w:rPr>
                <w:rFonts w:ascii="Times New Roman"/>
                <w:spacing w:val="-2"/>
              </w:rPr>
              <w:t>Evaluated</w:t>
            </w:r>
          </w:p>
        </w:tc>
      </w:tr>
      <w:tr w:rsidR="007F6DF9">
        <w:trPr>
          <w:trHeight w:val="252"/>
        </w:trPr>
        <w:tc>
          <w:tcPr>
            <w:tcW w:w="644" w:type="dxa"/>
          </w:tcPr>
          <w:p w:rsidR="007F6DF9" w:rsidRDefault="00A43FBC">
            <w:pPr>
              <w:pStyle w:val="TableParagraph"/>
              <w:spacing w:line="232" w:lineRule="exact"/>
              <w:ind w:left="107"/>
              <w:rPr>
                <w:rFonts w:ascii="Times New Roman"/>
              </w:rPr>
            </w:pPr>
            <w:r>
              <w:rPr>
                <w:rFonts w:ascii="Times New Roman"/>
                <w:spacing w:val="-10"/>
              </w:rPr>
              <w:t>1</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1"/>
        </w:trPr>
        <w:tc>
          <w:tcPr>
            <w:tcW w:w="644" w:type="dxa"/>
          </w:tcPr>
          <w:p w:rsidR="007F6DF9" w:rsidRDefault="00A43FBC">
            <w:pPr>
              <w:pStyle w:val="TableParagraph"/>
              <w:spacing w:line="232" w:lineRule="exact"/>
              <w:ind w:left="107"/>
              <w:rPr>
                <w:rFonts w:ascii="Times New Roman"/>
              </w:rPr>
            </w:pPr>
            <w:r>
              <w:rPr>
                <w:rFonts w:ascii="Times New Roman"/>
                <w:spacing w:val="-10"/>
              </w:rPr>
              <w:t>2</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4"/>
        </w:trPr>
        <w:tc>
          <w:tcPr>
            <w:tcW w:w="644" w:type="dxa"/>
          </w:tcPr>
          <w:p w:rsidR="007F6DF9" w:rsidRDefault="00A43FBC">
            <w:pPr>
              <w:pStyle w:val="TableParagraph"/>
              <w:spacing w:before="1" w:line="233" w:lineRule="exact"/>
              <w:ind w:left="107"/>
              <w:rPr>
                <w:rFonts w:ascii="Times New Roman"/>
              </w:rPr>
            </w:pPr>
            <w:r>
              <w:rPr>
                <w:rFonts w:ascii="Times New Roman"/>
                <w:spacing w:val="-10"/>
              </w:rPr>
              <w:t>3</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3"/>
        </w:trPr>
        <w:tc>
          <w:tcPr>
            <w:tcW w:w="644" w:type="dxa"/>
          </w:tcPr>
          <w:p w:rsidR="007F6DF9" w:rsidRDefault="00A43FBC">
            <w:pPr>
              <w:pStyle w:val="TableParagraph"/>
              <w:spacing w:line="234" w:lineRule="exact"/>
              <w:ind w:left="107"/>
              <w:rPr>
                <w:rFonts w:ascii="Times New Roman"/>
              </w:rPr>
            </w:pPr>
            <w:r>
              <w:rPr>
                <w:rFonts w:ascii="Times New Roman"/>
                <w:spacing w:val="-10"/>
              </w:rPr>
              <w:t>4</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1"/>
        </w:trPr>
        <w:tc>
          <w:tcPr>
            <w:tcW w:w="644" w:type="dxa"/>
          </w:tcPr>
          <w:p w:rsidR="007F6DF9" w:rsidRDefault="00A43FBC">
            <w:pPr>
              <w:pStyle w:val="TableParagraph"/>
              <w:spacing w:line="232" w:lineRule="exact"/>
              <w:ind w:left="107"/>
              <w:rPr>
                <w:rFonts w:ascii="Times New Roman"/>
              </w:rPr>
            </w:pPr>
            <w:r>
              <w:rPr>
                <w:rFonts w:ascii="Times New Roman"/>
                <w:spacing w:val="-10"/>
              </w:rPr>
              <w:t>5</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4"/>
        </w:trPr>
        <w:tc>
          <w:tcPr>
            <w:tcW w:w="644" w:type="dxa"/>
            <w:shd w:val="clear" w:color="auto" w:fill="E7E6E6"/>
          </w:tcPr>
          <w:p w:rsidR="007F6DF9" w:rsidRDefault="007F6DF9">
            <w:pPr>
              <w:pStyle w:val="TableParagraph"/>
              <w:rPr>
                <w:rFonts w:ascii="Times New Roman"/>
                <w:sz w:val="18"/>
              </w:rPr>
            </w:pPr>
          </w:p>
        </w:tc>
        <w:tc>
          <w:tcPr>
            <w:tcW w:w="2336" w:type="dxa"/>
            <w:shd w:val="clear" w:color="auto" w:fill="E7E6E6"/>
          </w:tcPr>
          <w:p w:rsidR="007F6DF9" w:rsidRDefault="007F6DF9">
            <w:pPr>
              <w:pStyle w:val="TableParagraph"/>
              <w:rPr>
                <w:rFonts w:ascii="Times New Roman"/>
                <w:sz w:val="18"/>
              </w:rPr>
            </w:pPr>
          </w:p>
        </w:tc>
        <w:tc>
          <w:tcPr>
            <w:tcW w:w="1553" w:type="dxa"/>
            <w:shd w:val="clear" w:color="auto" w:fill="E7E6E6"/>
          </w:tcPr>
          <w:p w:rsidR="007F6DF9" w:rsidRDefault="007F6DF9">
            <w:pPr>
              <w:pStyle w:val="TableParagraph"/>
              <w:rPr>
                <w:rFonts w:ascii="Times New Roman"/>
                <w:sz w:val="18"/>
              </w:rPr>
            </w:pPr>
          </w:p>
        </w:tc>
        <w:tc>
          <w:tcPr>
            <w:tcW w:w="1985" w:type="dxa"/>
            <w:shd w:val="clear" w:color="auto" w:fill="E7E6E6"/>
          </w:tcPr>
          <w:p w:rsidR="007F6DF9" w:rsidRDefault="007F6DF9">
            <w:pPr>
              <w:pStyle w:val="TableParagraph"/>
              <w:rPr>
                <w:rFonts w:ascii="Times New Roman"/>
                <w:sz w:val="18"/>
              </w:rPr>
            </w:pPr>
          </w:p>
        </w:tc>
        <w:tc>
          <w:tcPr>
            <w:tcW w:w="3123" w:type="dxa"/>
            <w:shd w:val="clear" w:color="auto" w:fill="E7E6E6"/>
          </w:tcPr>
          <w:p w:rsidR="007F6DF9" w:rsidRDefault="007F6DF9">
            <w:pPr>
              <w:pStyle w:val="TableParagraph"/>
              <w:rPr>
                <w:rFonts w:ascii="Times New Roman"/>
                <w:sz w:val="18"/>
              </w:rPr>
            </w:pPr>
          </w:p>
        </w:tc>
      </w:tr>
    </w:tbl>
    <w:p w:rsidR="007F6DF9" w:rsidRDefault="00A43FBC">
      <w:pPr>
        <w:spacing w:before="113"/>
        <w:ind w:left="766"/>
        <w:rPr>
          <w:i/>
        </w:rPr>
      </w:pPr>
      <w:r>
        <w:rPr>
          <w:i/>
          <w:color w:val="221F1F"/>
        </w:rPr>
        <w:t>(Note</w:t>
      </w:r>
      <w:r>
        <w:rPr>
          <w:i/>
          <w:color w:val="221F1F"/>
          <w:spacing w:val="-4"/>
        </w:rPr>
        <w:t xml:space="preserve"> </w:t>
      </w:r>
      <w:r>
        <w:rPr>
          <w:i/>
          <w:color w:val="221F1F"/>
        </w:rPr>
        <w:t>a)</w:t>
      </w:r>
      <w:r>
        <w:rPr>
          <w:i/>
          <w:color w:val="221F1F"/>
          <w:spacing w:val="-2"/>
        </w:rPr>
        <w:t xml:space="preserve"> </w:t>
      </w:r>
      <w:r>
        <w:rPr>
          <w:i/>
          <w:color w:val="221F1F"/>
        </w:rPr>
        <w:t>State</w:t>
      </w:r>
      <w:r>
        <w:rPr>
          <w:i/>
          <w:color w:val="221F1F"/>
          <w:spacing w:val="-2"/>
        </w:rPr>
        <w:t xml:space="preserve"> </w:t>
      </w:r>
      <w:r>
        <w:rPr>
          <w:i/>
          <w:color w:val="221F1F"/>
        </w:rPr>
        <w:t>NE</w:t>
      </w:r>
      <w:r>
        <w:rPr>
          <w:i/>
          <w:color w:val="221F1F"/>
          <w:spacing w:val="-3"/>
        </w:rPr>
        <w:t xml:space="preserve"> </w:t>
      </w:r>
      <w:r>
        <w:rPr>
          <w:i/>
          <w:color w:val="221F1F"/>
        </w:rPr>
        <w:t>if</w:t>
      </w:r>
      <w:r>
        <w:rPr>
          <w:i/>
          <w:color w:val="221F1F"/>
          <w:spacing w:val="-1"/>
        </w:rPr>
        <w:t xml:space="preserve"> </w:t>
      </w:r>
      <w:r>
        <w:rPr>
          <w:i/>
          <w:color w:val="221F1F"/>
        </w:rPr>
        <w:t>not</w:t>
      </w:r>
      <w:r>
        <w:rPr>
          <w:i/>
          <w:color w:val="221F1F"/>
          <w:spacing w:val="-1"/>
        </w:rPr>
        <w:t xml:space="preserve"> </w:t>
      </w:r>
      <w:r>
        <w:rPr>
          <w:i/>
          <w:color w:val="221F1F"/>
          <w:spacing w:val="-2"/>
        </w:rPr>
        <w:t>evaluated</w:t>
      </w:r>
    </w:p>
    <w:p w:rsidR="007F6DF9" w:rsidRDefault="007F6DF9">
      <w:pPr>
        <w:pStyle w:val="BodyText"/>
        <w:spacing w:before="140"/>
        <w:rPr>
          <w:i/>
        </w:rPr>
      </w:pPr>
    </w:p>
    <w:p w:rsidR="007F6DF9" w:rsidRDefault="00A43FBC">
      <w:pPr>
        <w:pStyle w:val="ListParagraph"/>
        <w:numPr>
          <w:ilvl w:val="0"/>
          <w:numId w:val="20"/>
        </w:numPr>
        <w:tabs>
          <w:tab w:val="left" w:pos="1100"/>
        </w:tabs>
        <w:ind w:left="1100" w:hanging="389"/>
        <w:rPr>
          <w:color w:val="221F1F"/>
        </w:rPr>
      </w:pPr>
      <w:r>
        <w:rPr>
          <w:color w:val="221F1F"/>
          <w:u w:val="single" w:color="221F1F"/>
        </w:rPr>
        <w:t>How</w:t>
      </w:r>
      <w:r>
        <w:rPr>
          <w:color w:val="221F1F"/>
          <w:spacing w:val="-3"/>
          <w:u w:val="single" w:color="221F1F"/>
        </w:rPr>
        <w:t xml:space="preserve"> </w:t>
      </w:r>
      <w:r>
        <w:rPr>
          <w:color w:val="221F1F"/>
          <w:u w:val="single" w:color="221F1F"/>
        </w:rPr>
        <w:t>to</w:t>
      </w:r>
      <w:r>
        <w:rPr>
          <w:color w:val="221F1F"/>
          <w:spacing w:val="-1"/>
          <w:u w:val="single" w:color="221F1F"/>
        </w:rPr>
        <w:t xml:space="preserve"> </w:t>
      </w:r>
      <w:r>
        <w:rPr>
          <w:color w:val="221F1F"/>
          <w:u w:val="single" w:color="221F1F"/>
        </w:rPr>
        <w:t>request a</w:t>
      </w:r>
      <w:r>
        <w:rPr>
          <w:color w:val="221F1F"/>
          <w:spacing w:val="-3"/>
          <w:u w:val="single" w:color="221F1F"/>
        </w:rPr>
        <w:t xml:space="preserve"> </w:t>
      </w:r>
      <w:proofErr w:type="gramStart"/>
      <w:r>
        <w:rPr>
          <w:color w:val="221F1F"/>
          <w:spacing w:val="-2"/>
          <w:u w:val="single" w:color="221F1F"/>
        </w:rPr>
        <w:t>debriefing</w:t>
      </w:r>
      <w:proofErr w:type="gramEnd"/>
    </w:p>
    <w:p w:rsidR="007F6DF9" w:rsidRDefault="00A43FBC">
      <w:pPr>
        <w:pStyle w:val="ListParagraph"/>
        <w:numPr>
          <w:ilvl w:val="0"/>
          <w:numId w:val="18"/>
        </w:numPr>
        <w:tabs>
          <w:tab w:val="left" w:pos="1551"/>
        </w:tabs>
        <w:spacing w:before="234"/>
        <w:ind w:hanging="451"/>
      </w:pPr>
      <w:r>
        <w:rPr>
          <w:color w:val="221F1F"/>
        </w:rPr>
        <w:t>DEADLINE:</w:t>
      </w:r>
      <w:r>
        <w:rPr>
          <w:color w:val="221F1F"/>
          <w:spacing w:val="-4"/>
        </w:rPr>
        <w:t xml:space="preserve"> </w:t>
      </w:r>
      <w:r>
        <w:rPr>
          <w:color w:val="221F1F"/>
        </w:rPr>
        <w:t>The</w:t>
      </w:r>
      <w:r>
        <w:rPr>
          <w:color w:val="221F1F"/>
          <w:spacing w:val="-4"/>
        </w:rPr>
        <w:t xml:space="preserve"> </w:t>
      </w:r>
      <w:r>
        <w:rPr>
          <w:color w:val="221F1F"/>
        </w:rPr>
        <w:t>dead</w:t>
      </w:r>
      <w:r>
        <w:rPr>
          <w:color w:val="221F1F"/>
          <w:spacing w:val="-3"/>
        </w:rPr>
        <w:t xml:space="preserve"> </w:t>
      </w:r>
      <w:r>
        <w:rPr>
          <w:color w:val="221F1F"/>
        </w:rPr>
        <w:t>line</w:t>
      </w:r>
      <w:r>
        <w:rPr>
          <w:color w:val="221F1F"/>
          <w:spacing w:val="-6"/>
        </w:rPr>
        <w:t xml:space="preserve"> </w:t>
      </w:r>
      <w:r>
        <w:rPr>
          <w:color w:val="221F1F"/>
        </w:rPr>
        <w:t>to</w:t>
      </w:r>
      <w:r>
        <w:rPr>
          <w:color w:val="221F1F"/>
          <w:spacing w:val="-3"/>
        </w:rPr>
        <w:t xml:space="preserve"> </w:t>
      </w:r>
      <w:r>
        <w:rPr>
          <w:color w:val="221F1F"/>
        </w:rPr>
        <w:t>request</w:t>
      </w:r>
      <w:r>
        <w:rPr>
          <w:color w:val="221F1F"/>
          <w:spacing w:val="-5"/>
        </w:rPr>
        <w:t xml:space="preserve"> </w:t>
      </w:r>
      <w:r>
        <w:rPr>
          <w:color w:val="221F1F"/>
        </w:rPr>
        <w:t>a</w:t>
      </w:r>
      <w:r>
        <w:rPr>
          <w:color w:val="221F1F"/>
          <w:spacing w:val="-4"/>
        </w:rPr>
        <w:t xml:space="preserve"> </w:t>
      </w:r>
      <w:r>
        <w:rPr>
          <w:color w:val="221F1F"/>
        </w:rPr>
        <w:t>debriefing</w:t>
      </w:r>
      <w:r>
        <w:rPr>
          <w:color w:val="221F1F"/>
          <w:spacing w:val="-4"/>
        </w:rPr>
        <w:t xml:space="preserve"> </w:t>
      </w:r>
      <w:r>
        <w:rPr>
          <w:color w:val="221F1F"/>
        </w:rPr>
        <w:t>expires</w:t>
      </w:r>
      <w:r>
        <w:rPr>
          <w:color w:val="221F1F"/>
          <w:spacing w:val="-3"/>
        </w:rPr>
        <w:t xml:space="preserve"> </w:t>
      </w:r>
      <w:r>
        <w:rPr>
          <w:color w:val="221F1F"/>
        </w:rPr>
        <w:t>at</w:t>
      </w:r>
      <w:r>
        <w:rPr>
          <w:color w:val="221F1F"/>
          <w:spacing w:val="-5"/>
        </w:rPr>
        <w:t xml:space="preserve"> </w:t>
      </w:r>
      <w:r>
        <w:rPr>
          <w:color w:val="221F1F"/>
        </w:rPr>
        <w:t>midnight</w:t>
      </w:r>
      <w:r>
        <w:rPr>
          <w:color w:val="221F1F"/>
          <w:spacing w:val="-3"/>
        </w:rPr>
        <w:t xml:space="preserve"> </w:t>
      </w:r>
      <w:r>
        <w:rPr>
          <w:color w:val="221F1F"/>
        </w:rPr>
        <w:t>on</w:t>
      </w:r>
      <w:r>
        <w:rPr>
          <w:color w:val="221F1F"/>
          <w:spacing w:val="-7"/>
        </w:rPr>
        <w:t xml:space="preserve"> </w:t>
      </w:r>
      <w:r>
        <w:rPr>
          <w:color w:val="221F1F"/>
        </w:rPr>
        <w:t>[</w:t>
      </w:r>
      <w:r>
        <w:rPr>
          <w:i/>
          <w:color w:val="221F1F"/>
        </w:rPr>
        <w:t>insert</w:t>
      </w:r>
      <w:r>
        <w:rPr>
          <w:i/>
          <w:color w:val="221F1F"/>
          <w:spacing w:val="-2"/>
        </w:rPr>
        <w:t xml:space="preserve"> </w:t>
      </w:r>
      <w:r>
        <w:rPr>
          <w:i/>
          <w:color w:val="221F1F"/>
        </w:rPr>
        <w:t>date</w:t>
      </w:r>
      <w:r>
        <w:rPr>
          <w:color w:val="221F1F"/>
        </w:rPr>
        <w:t>]</w:t>
      </w:r>
      <w:r>
        <w:rPr>
          <w:color w:val="221F1F"/>
          <w:spacing w:val="-5"/>
        </w:rPr>
        <w:t xml:space="preserve"> </w:t>
      </w:r>
      <w:r>
        <w:rPr>
          <w:color w:val="221F1F"/>
        </w:rPr>
        <w:t>(</w:t>
      </w:r>
      <w:r>
        <w:rPr>
          <w:i/>
          <w:color w:val="221F1F"/>
        </w:rPr>
        <w:t>local</w:t>
      </w:r>
      <w:r>
        <w:rPr>
          <w:i/>
          <w:color w:val="221F1F"/>
          <w:spacing w:val="-3"/>
        </w:rPr>
        <w:t xml:space="preserve"> </w:t>
      </w:r>
      <w:r>
        <w:rPr>
          <w:i/>
          <w:color w:val="221F1F"/>
          <w:spacing w:val="-2"/>
        </w:rPr>
        <w:t>time</w:t>
      </w:r>
      <w:r>
        <w:rPr>
          <w:color w:val="221F1F"/>
          <w:spacing w:val="-2"/>
        </w:rPr>
        <w:t>).</w:t>
      </w:r>
    </w:p>
    <w:p w:rsidR="007F6DF9" w:rsidRDefault="00A43FBC">
      <w:pPr>
        <w:pStyle w:val="ListParagraph"/>
        <w:numPr>
          <w:ilvl w:val="0"/>
          <w:numId w:val="18"/>
        </w:numPr>
        <w:tabs>
          <w:tab w:val="left" w:pos="1550"/>
          <w:tab w:val="left" w:pos="1561"/>
        </w:tabs>
        <w:spacing w:before="243" w:line="230" w:lineRule="auto"/>
        <w:ind w:left="1561" w:right="556" w:hanging="461"/>
        <w:jc w:val="both"/>
      </w:pPr>
      <w:r>
        <w:rPr>
          <w:color w:val="221F1F"/>
        </w:rPr>
        <w:t>You</w:t>
      </w:r>
      <w:r>
        <w:rPr>
          <w:color w:val="221F1F"/>
          <w:spacing w:val="-6"/>
        </w:rPr>
        <w:t xml:space="preserve"> </w:t>
      </w:r>
      <w:r>
        <w:rPr>
          <w:color w:val="221F1F"/>
        </w:rPr>
        <w:t>may request a debriefing in relation to the results of the evaluation of your Tender. If you decide to request a debriefing your written request must be made within three (5) Business Days of receipt of this Notification of Intention to Award.</w:t>
      </w:r>
    </w:p>
    <w:p w:rsidR="007F6DF9" w:rsidRDefault="00A43FBC">
      <w:pPr>
        <w:pStyle w:val="ListParagraph"/>
        <w:numPr>
          <w:ilvl w:val="0"/>
          <w:numId w:val="18"/>
        </w:numPr>
        <w:tabs>
          <w:tab w:val="left" w:pos="1551"/>
          <w:tab w:val="left" w:pos="1561"/>
        </w:tabs>
        <w:spacing w:before="246" w:line="230" w:lineRule="auto"/>
        <w:ind w:left="1561" w:right="561" w:hanging="461"/>
      </w:pPr>
      <w:r>
        <w:rPr>
          <w:color w:val="221F1F"/>
        </w:rPr>
        <w:t>Provide</w:t>
      </w:r>
      <w:r>
        <w:rPr>
          <w:color w:val="221F1F"/>
          <w:spacing w:val="-11"/>
        </w:rPr>
        <w:t xml:space="preserve"> </w:t>
      </w:r>
      <w:r>
        <w:rPr>
          <w:color w:val="221F1F"/>
        </w:rPr>
        <w:t>the</w:t>
      </w:r>
      <w:r>
        <w:rPr>
          <w:color w:val="221F1F"/>
          <w:spacing w:val="-10"/>
        </w:rPr>
        <w:t xml:space="preserve"> </w:t>
      </w:r>
      <w:r>
        <w:rPr>
          <w:color w:val="221F1F"/>
        </w:rPr>
        <w:t>contract</w:t>
      </w:r>
      <w:r>
        <w:rPr>
          <w:color w:val="221F1F"/>
          <w:spacing w:val="-9"/>
        </w:rPr>
        <w:t xml:space="preserve"> </w:t>
      </w:r>
      <w:r>
        <w:rPr>
          <w:color w:val="221F1F"/>
        </w:rPr>
        <w:t>name,</w:t>
      </w:r>
      <w:r>
        <w:rPr>
          <w:color w:val="221F1F"/>
          <w:spacing w:val="-12"/>
        </w:rPr>
        <w:t xml:space="preserve"> </w:t>
      </w:r>
      <w:r>
        <w:rPr>
          <w:color w:val="221F1F"/>
        </w:rPr>
        <w:t>reference</w:t>
      </w:r>
      <w:r>
        <w:rPr>
          <w:color w:val="221F1F"/>
          <w:spacing w:val="-9"/>
        </w:rPr>
        <w:t xml:space="preserve"> </w:t>
      </w:r>
      <w:r>
        <w:rPr>
          <w:color w:val="221F1F"/>
        </w:rPr>
        <w:t>number,</w:t>
      </w:r>
      <w:r>
        <w:rPr>
          <w:color w:val="221F1F"/>
          <w:spacing w:val="-10"/>
        </w:rPr>
        <w:t xml:space="preserve"> </w:t>
      </w:r>
      <w:r>
        <w:rPr>
          <w:color w:val="221F1F"/>
        </w:rPr>
        <w:t>name</w:t>
      </w:r>
      <w:r>
        <w:rPr>
          <w:color w:val="221F1F"/>
          <w:spacing w:val="-10"/>
        </w:rPr>
        <w:t xml:space="preserve"> </w:t>
      </w:r>
      <w:r>
        <w:rPr>
          <w:color w:val="221F1F"/>
        </w:rPr>
        <w:t>of</w:t>
      </w:r>
      <w:r>
        <w:rPr>
          <w:color w:val="221F1F"/>
          <w:spacing w:val="-12"/>
        </w:rPr>
        <w:t xml:space="preserve"> </w:t>
      </w:r>
      <w:r>
        <w:rPr>
          <w:color w:val="221F1F"/>
        </w:rPr>
        <w:t>the</w:t>
      </w:r>
      <w:r>
        <w:rPr>
          <w:color w:val="221F1F"/>
          <w:spacing w:val="-10"/>
        </w:rPr>
        <w:t xml:space="preserve"> </w:t>
      </w:r>
      <w:r>
        <w:rPr>
          <w:color w:val="221F1F"/>
        </w:rPr>
        <w:t>Tenderer,</w:t>
      </w:r>
      <w:r>
        <w:rPr>
          <w:color w:val="221F1F"/>
          <w:spacing w:val="-14"/>
        </w:rPr>
        <w:t xml:space="preserve"> </w:t>
      </w:r>
      <w:r>
        <w:rPr>
          <w:color w:val="221F1F"/>
        </w:rPr>
        <w:t>contact</w:t>
      </w:r>
      <w:r>
        <w:rPr>
          <w:color w:val="221F1F"/>
          <w:spacing w:val="-9"/>
        </w:rPr>
        <w:t xml:space="preserve"> </w:t>
      </w:r>
      <w:r>
        <w:rPr>
          <w:color w:val="221F1F"/>
        </w:rPr>
        <w:t>details;</w:t>
      </w:r>
      <w:r>
        <w:rPr>
          <w:color w:val="221F1F"/>
          <w:spacing w:val="-8"/>
        </w:rPr>
        <w:t xml:space="preserve"> </w:t>
      </w:r>
      <w:r>
        <w:rPr>
          <w:color w:val="221F1F"/>
        </w:rPr>
        <w:t>and</w:t>
      </w:r>
      <w:r>
        <w:rPr>
          <w:color w:val="221F1F"/>
          <w:spacing w:val="-10"/>
        </w:rPr>
        <w:t xml:space="preserve"> </w:t>
      </w:r>
      <w:r>
        <w:rPr>
          <w:color w:val="221F1F"/>
        </w:rPr>
        <w:t>address</w:t>
      </w:r>
      <w:r>
        <w:rPr>
          <w:color w:val="221F1F"/>
          <w:spacing w:val="-10"/>
        </w:rPr>
        <w:t xml:space="preserve"> </w:t>
      </w:r>
      <w:r>
        <w:rPr>
          <w:color w:val="221F1F"/>
        </w:rPr>
        <w:t>the</w:t>
      </w:r>
      <w:r>
        <w:rPr>
          <w:color w:val="221F1F"/>
          <w:spacing w:val="-10"/>
        </w:rPr>
        <w:t xml:space="preserve"> </w:t>
      </w:r>
      <w:r>
        <w:rPr>
          <w:color w:val="221F1F"/>
        </w:rPr>
        <w:t>request for debriefing as follows:</w:t>
      </w:r>
    </w:p>
    <w:p w:rsidR="007F6DF9" w:rsidRDefault="00A43FBC">
      <w:pPr>
        <w:pStyle w:val="ListParagraph"/>
        <w:numPr>
          <w:ilvl w:val="1"/>
          <w:numId w:val="18"/>
        </w:numPr>
        <w:tabs>
          <w:tab w:val="left" w:pos="2151"/>
        </w:tabs>
        <w:spacing w:before="39"/>
      </w:pPr>
      <w:r>
        <w:rPr>
          <w:color w:val="221F1F"/>
        </w:rPr>
        <w:t>Attention:</w:t>
      </w:r>
      <w:r>
        <w:rPr>
          <w:color w:val="221F1F"/>
          <w:spacing w:val="-4"/>
        </w:rPr>
        <w:t xml:space="preserve"> </w:t>
      </w:r>
      <w:r>
        <w:rPr>
          <w:color w:val="221F1F"/>
        </w:rPr>
        <w:t>[</w:t>
      </w:r>
      <w:r>
        <w:rPr>
          <w:i/>
          <w:color w:val="221F1F"/>
        </w:rPr>
        <w:t>insert</w:t>
      </w:r>
      <w:r>
        <w:rPr>
          <w:i/>
          <w:color w:val="221F1F"/>
          <w:spacing w:val="-4"/>
        </w:rPr>
        <w:t xml:space="preserve"> </w:t>
      </w:r>
      <w:r>
        <w:rPr>
          <w:i/>
          <w:color w:val="221F1F"/>
        </w:rPr>
        <w:t>full</w:t>
      </w:r>
      <w:r>
        <w:rPr>
          <w:i/>
          <w:color w:val="221F1F"/>
          <w:spacing w:val="-2"/>
        </w:rPr>
        <w:t xml:space="preserve"> </w:t>
      </w:r>
      <w:r>
        <w:rPr>
          <w:i/>
          <w:color w:val="221F1F"/>
        </w:rPr>
        <w:t>name</w:t>
      </w:r>
      <w:r>
        <w:rPr>
          <w:i/>
          <w:color w:val="221F1F"/>
          <w:spacing w:val="-4"/>
        </w:rPr>
        <w:t xml:space="preserve"> </w:t>
      </w:r>
      <w:r>
        <w:rPr>
          <w:i/>
          <w:color w:val="221F1F"/>
        </w:rPr>
        <w:t>of</w:t>
      </w:r>
      <w:r>
        <w:rPr>
          <w:i/>
          <w:color w:val="221F1F"/>
          <w:spacing w:val="-2"/>
        </w:rPr>
        <w:t xml:space="preserve"> </w:t>
      </w:r>
      <w:r>
        <w:rPr>
          <w:i/>
          <w:color w:val="221F1F"/>
        </w:rPr>
        <w:t>person,</w:t>
      </w:r>
      <w:r>
        <w:rPr>
          <w:i/>
          <w:color w:val="221F1F"/>
          <w:spacing w:val="-6"/>
        </w:rPr>
        <w:t xml:space="preserve"> </w:t>
      </w:r>
      <w:r>
        <w:rPr>
          <w:i/>
          <w:color w:val="221F1F"/>
        </w:rPr>
        <w:t>if</w:t>
      </w:r>
      <w:r>
        <w:rPr>
          <w:i/>
          <w:color w:val="221F1F"/>
          <w:spacing w:val="-1"/>
        </w:rPr>
        <w:t xml:space="preserve"> </w:t>
      </w:r>
      <w:r>
        <w:rPr>
          <w:i/>
          <w:color w:val="221F1F"/>
          <w:spacing w:val="-2"/>
        </w:rPr>
        <w:t>applicable</w:t>
      </w:r>
      <w:r>
        <w:rPr>
          <w:color w:val="221F1F"/>
          <w:spacing w:val="-2"/>
        </w:rPr>
        <w:t>]</w:t>
      </w:r>
    </w:p>
    <w:p w:rsidR="007F6DF9" w:rsidRDefault="00A43FBC">
      <w:pPr>
        <w:pStyle w:val="ListParagraph"/>
        <w:numPr>
          <w:ilvl w:val="1"/>
          <w:numId w:val="18"/>
        </w:numPr>
        <w:tabs>
          <w:tab w:val="left" w:pos="2151"/>
        </w:tabs>
        <w:spacing w:before="40"/>
      </w:pPr>
      <w:r>
        <w:rPr>
          <w:color w:val="221F1F"/>
        </w:rPr>
        <w:t>Title/position:</w:t>
      </w:r>
      <w:r>
        <w:rPr>
          <w:color w:val="221F1F"/>
          <w:spacing w:val="-6"/>
        </w:rPr>
        <w:t xml:space="preserve"> </w:t>
      </w:r>
      <w:r>
        <w:rPr>
          <w:color w:val="221F1F"/>
        </w:rPr>
        <w:t>[</w:t>
      </w:r>
      <w:r>
        <w:rPr>
          <w:i/>
          <w:color w:val="221F1F"/>
        </w:rPr>
        <w:t>insert</w:t>
      </w:r>
      <w:r>
        <w:rPr>
          <w:i/>
          <w:color w:val="221F1F"/>
          <w:spacing w:val="-6"/>
        </w:rPr>
        <w:t xml:space="preserve"> </w:t>
      </w:r>
      <w:r>
        <w:rPr>
          <w:i/>
          <w:color w:val="221F1F"/>
          <w:spacing w:val="-2"/>
        </w:rPr>
        <w:t>title/position</w:t>
      </w:r>
      <w:r>
        <w:rPr>
          <w:color w:val="221F1F"/>
          <w:spacing w:val="-2"/>
        </w:rPr>
        <w:t>]</w:t>
      </w:r>
    </w:p>
    <w:p w:rsidR="007F6DF9" w:rsidRDefault="00A43FBC">
      <w:pPr>
        <w:pStyle w:val="ListParagraph"/>
        <w:numPr>
          <w:ilvl w:val="1"/>
          <w:numId w:val="18"/>
        </w:numPr>
        <w:tabs>
          <w:tab w:val="left" w:pos="2148"/>
        </w:tabs>
        <w:spacing w:before="40"/>
        <w:ind w:left="2148" w:hanging="597"/>
      </w:pPr>
      <w:r>
        <w:rPr>
          <w:color w:val="221F1F"/>
        </w:rPr>
        <w:t>Agency:</w:t>
      </w:r>
      <w:r>
        <w:rPr>
          <w:color w:val="221F1F"/>
          <w:spacing w:val="-5"/>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3"/>
        </w:rPr>
        <w:t xml:space="preserve"> </w:t>
      </w:r>
      <w:r>
        <w:rPr>
          <w:i/>
          <w:color w:val="221F1F"/>
        </w:rPr>
        <w:t>of</w:t>
      </w:r>
      <w:r>
        <w:rPr>
          <w:i/>
          <w:color w:val="221F1F"/>
          <w:spacing w:val="-5"/>
        </w:rPr>
        <w:t xml:space="preserve"> </w:t>
      </w:r>
      <w:r>
        <w:rPr>
          <w:i/>
          <w:color w:val="221F1F"/>
        </w:rPr>
        <w:t>Procuring</w:t>
      </w:r>
      <w:r>
        <w:rPr>
          <w:i/>
          <w:color w:val="221F1F"/>
          <w:spacing w:val="-3"/>
        </w:rPr>
        <w:t xml:space="preserve"> </w:t>
      </w:r>
      <w:r>
        <w:rPr>
          <w:i/>
          <w:color w:val="221F1F"/>
          <w:spacing w:val="-2"/>
        </w:rPr>
        <w:t>Entity</w:t>
      </w:r>
      <w:r>
        <w:rPr>
          <w:color w:val="221F1F"/>
          <w:spacing w:val="-2"/>
        </w:rPr>
        <w:t>]</w:t>
      </w:r>
    </w:p>
    <w:p w:rsidR="007F6DF9" w:rsidRDefault="00A43FBC">
      <w:pPr>
        <w:pStyle w:val="ListParagraph"/>
        <w:numPr>
          <w:ilvl w:val="1"/>
          <w:numId w:val="18"/>
        </w:numPr>
        <w:tabs>
          <w:tab w:val="left" w:pos="2182"/>
        </w:tabs>
        <w:spacing w:before="39"/>
        <w:ind w:left="2182" w:hanging="631"/>
      </w:pPr>
      <w:r>
        <w:rPr>
          <w:color w:val="221F1F"/>
        </w:rPr>
        <w:t>Email</w:t>
      </w:r>
      <w:r>
        <w:rPr>
          <w:color w:val="221F1F"/>
          <w:spacing w:val="-3"/>
        </w:rPr>
        <w:t xml:space="preserve"> </w:t>
      </w:r>
      <w:r>
        <w:rPr>
          <w:color w:val="221F1F"/>
        </w:rPr>
        <w:t>address:</w:t>
      </w:r>
      <w:r>
        <w:rPr>
          <w:color w:val="221F1F"/>
          <w:spacing w:val="-2"/>
        </w:rPr>
        <w:t xml:space="preserve"> </w:t>
      </w:r>
      <w:r>
        <w:rPr>
          <w:color w:val="221F1F"/>
        </w:rPr>
        <w:t>[</w:t>
      </w:r>
      <w:r>
        <w:rPr>
          <w:i/>
          <w:color w:val="221F1F"/>
        </w:rPr>
        <w:t>insert</w:t>
      </w:r>
      <w:r>
        <w:rPr>
          <w:i/>
          <w:color w:val="221F1F"/>
          <w:spacing w:val="-4"/>
        </w:rPr>
        <w:t xml:space="preserve"> </w:t>
      </w:r>
      <w:r>
        <w:rPr>
          <w:i/>
          <w:color w:val="221F1F"/>
        </w:rPr>
        <w:t>email</w:t>
      </w:r>
      <w:r>
        <w:rPr>
          <w:i/>
          <w:color w:val="221F1F"/>
          <w:spacing w:val="-2"/>
        </w:rPr>
        <w:t xml:space="preserve"> address</w:t>
      </w:r>
      <w:r>
        <w:rPr>
          <w:color w:val="221F1F"/>
          <w:spacing w:val="-2"/>
        </w:rPr>
        <w:t>]</w:t>
      </w:r>
    </w:p>
    <w:p w:rsidR="007F6DF9" w:rsidRDefault="00A43FBC">
      <w:pPr>
        <w:pStyle w:val="ListParagraph"/>
        <w:numPr>
          <w:ilvl w:val="0"/>
          <w:numId w:val="18"/>
        </w:numPr>
        <w:tabs>
          <w:tab w:val="left" w:pos="1547"/>
          <w:tab w:val="left" w:pos="1549"/>
        </w:tabs>
        <w:spacing w:before="243" w:line="230" w:lineRule="auto"/>
        <w:ind w:left="1549" w:right="553" w:hanging="449"/>
        <w:jc w:val="both"/>
      </w:pPr>
      <w:r>
        <w:rPr>
          <w:color w:val="221F1F"/>
        </w:rPr>
        <w:t>If</w:t>
      </w:r>
      <w:r>
        <w:rPr>
          <w:color w:val="221F1F"/>
          <w:spacing w:val="-10"/>
        </w:rPr>
        <w:t xml:space="preserve"> </w:t>
      </w:r>
      <w:r>
        <w:rPr>
          <w:color w:val="221F1F"/>
        </w:rPr>
        <w:t>your</w:t>
      </w:r>
      <w:r>
        <w:rPr>
          <w:color w:val="221F1F"/>
          <w:spacing w:val="-10"/>
        </w:rPr>
        <w:t xml:space="preserve"> </w:t>
      </w:r>
      <w:r>
        <w:rPr>
          <w:color w:val="221F1F"/>
        </w:rPr>
        <w:t>request</w:t>
      </w:r>
      <w:r>
        <w:rPr>
          <w:color w:val="221F1F"/>
          <w:spacing w:val="-9"/>
        </w:rPr>
        <w:t xml:space="preserve"> </w:t>
      </w:r>
      <w:r>
        <w:rPr>
          <w:color w:val="221F1F"/>
        </w:rPr>
        <w:t>for</w:t>
      </w:r>
      <w:r>
        <w:rPr>
          <w:color w:val="221F1F"/>
          <w:spacing w:val="-9"/>
        </w:rPr>
        <w:t xml:space="preserve"> </w:t>
      </w:r>
      <w:r>
        <w:rPr>
          <w:color w:val="221F1F"/>
        </w:rPr>
        <w:t>a</w:t>
      </w:r>
      <w:r>
        <w:rPr>
          <w:color w:val="221F1F"/>
          <w:spacing w:val="-10"/>
        </w:rPr>
        <w:t xml:space="preserve"> </w:t>
      </w:r>
      <w:r>
        <w:rPr>
          <w:color w:val="221F1F"/>
        </w:rPr>
        <w:t>debriefing</w:t>
      </w:r>
      <w:r>
        <w:rPr>
          <w:color w:val="221F1F"/>
          <w:spacing w:val="-10"/>
        </w:rPr>
        <w:t xml:space="preserve"> </w:t>
      </w:r>
      <w:r>
        <w:rPr>
          <w:color w:val="221F1F"/>
        </w:rPr>
        <w:t>is</w:t>
      </w:r>
      <w:r>
        <w:rPr>
          <w:color w:val="221F1F"/>
          <w:spacing w:val="-10"/>
        </w:rPr>
        <w:t xml:space="preserve"> </w:t>
      </w:r>
      <w:r>
        <w:rPr>
          <w:color w:val="221F1F"/>
        </w:rPr>
        <w:t>received</w:t>
      </w:r>
      <w:r>
        <w:rPr>
          <w:color w:val="221F1F"/>
          <w:spacing w:val="-10"/>
        </w:rPr>
        <w:t xml:space="preserve"> </w:t>
      </w:r>
      <w:r>
        <w:rPr>
          <w:color w:val="221F1F"/>
        </w:rPr>
        <w:t>within</w:t>
      </w:r>
      <w:r>
        <w:rPr>
          <w:color w:val="221F1F"/>
          <w:spacing w:val="-10"/>
        </w:rPr>
        <w:t xml:space="preserve"> </w:t>
      </w:r>
      <w:r>
        <w:rPr>
          <w:color w:val="221F1F"/>
        </w:rPr>
        <w:t>the</w:t>
      </w:r>
      <w:r>
        <w:rPr>
          <w:color w:val="221F1F"/>
          <w:spacing w:val="-10"/>
        </w:rPr>
        <w:t xml:space="preserve"> </w:t>
      </w:r>
      <w:r>
        <w:rPr>
          <w:color w:val="221F1F"/>
        </w:rPr>
        <w:t>3</w:t>
      </w:r>
      <w:r>
        <w:rPr>
          <w:color w:val="221F1F"/>
          <w:spacing w:val="-13"/>
        </w:rPr>
        <w:t xml:space="preserve"> </w:t>
      </w:r>
      <w:r>
        <w:rPr>
          <w:color w:val="221F1F"/>
        </w:rPr>
        <w:t>Days</w:t>
      </w:r>
      <w:r>
        <w:rPr>
          <w:color w:val="221F1F"/>
          <w:spacing w:val="-10"/>
        </w:rPr>
        <w:t xml:space="preserve"> </w:t>
      </w:r>
      <w:r>
        <w:rPr>
          <w:color w:val="221F1F"/>
        </w:rPr>
        <w:t>deadline,</w:t>
      </w:r>
      <w:r>
        <w:rPr>
          <w:color w:val="221F1F"/>
          <w:spacing w:val="-10"/>
        </w:rPr>
        <w:t xml:space="preserve"> </w:t>
      </w:r>
      <w:r>
        <w:rPr>
          <w:color w:val="221F1F"/>
        </w:rPr>
        <w:t>we</w:t>
      </w:r>
      <w:r>
        <w:rPr>
          <w:color w:val="221F1F"/>
          <w:spacing w:val="-10"/>
        </w:rPr>
        <w:t xml:space="preserve"> </w:t>
      </w:r>
      <w:r>
        <w:rPr>
          <w:color w:val="221F1F"/>
        </w:rPr>
        <w:t>will</w:t>
      </w:r>
      <w:r>
        <w:rPr>
          <w:color w:val="221F1F"/>
          <w:spacing w:val="-9"/>
        </w:rPr>
        <w:t xml:space="preserve"> </w:t>
      </w:r>
      <w:r>
        <w:rPr>
          <w:color w:val="221F1F"/>
        </w:rPr>
        <w:t>provide</w:t>
      </w:r>
      <w:r>
        <w:rPr>
          <w:color w:val="221F1F"/>
          <w:spacing w:val="-9"/>
        </w:rPr>
        <w:t xml:space="preserve"> </w:t>
      </w:r>
      <w:r>
        <w:rPr>
          <w:color w:val="221F1F"/>
        </w:rPr>
        <w:t>the</w:t>
      </w:r>
      <w:r>
        <w:rPr>
          <w:color w:val="221F1F"/>
          <w:spacing w:val="-10"/>
        </w:rPr>
        <w:t xml:space="preserve"> </w:t>
      </w:r>
      <w:r>
        <w:rPr>
          <w:color w:val="221F1F"/>
        </w:rPr>
        <w:t>debriefing</w:t>
      </w:r>
      <w:r>
        <w:rPr>
          <w:color w:val="221F1F"/>
          <w:spacing w:val="-10"/>
        </w:rPr>
        <w:t xml:space="preserve"> </w:t>
      </w:r>
      <w:r>
        <w:rPr>
          <w:color w:val="221F1F"/>
        </w:rPr>
        <w:t xml:space="preserve">within five (3) Business Days of </w:t>
      </w:r>
      <w:proofErr w:type="spellStart"/>
      <w:r>
        <w:rPr>
          <w:color w:val="221F1F"/>
        </w:rPr>
        <w:t>receip</w:t>
      </w:r>
      <w:proofErr w:type="spellEnd"/>
      <w:r>
        <w:rPr>
          <w:color w:val="221F1F"/>
        </w:rPr>
        <w:t xml:space="preserve"> </w:t>
      </w:r>
      <w:proofErr w:type="spellStart"/>
      <w:r>
        <w:rPr>
          <w:color w:val="221F1F"/>
        </w:rPr>
        <w:t>tof</w:t>
      </w:r>
      <w:proofErr w:type="spellEnd"/>
      <w:r>
        <w:rPr>
          <w:color w:val="221F1F"/>
        </w:rPr>
        <w:t xml:space="preserve"> your request. If we are unable to provide the debriefing within this period,</w:t>
      </w:r>
      <w:r>
        <w:rPr>
          <w:color w:val="221F1F"/>
          <w:spacing w:val="-11"/>
        </w:rPr>
        <w:t xml:space="preserve"> </w:t>
      </w:r>
      <w:r>
        <w:rPr>
          <w:color w:val="221F1F"/>
        </w:rPr>
        <w:t>the</w:t>
      </w:r>
      <w:r>
        <w:rPr>
          <w:color w:val="221F1F"/>
          <w:spacing w:val="-8"/>
        </w:rPr>
        <w:t xml:space="preserve"> </w:t>
      </w:r>
      <w:r>
        <w:rPr>
          <w:color w:val="221F1F"/>
        </w:rPr>
        <w:t>Standstill</w:t>
      </w:r>
      <w:r>
        <w:rPr>
          <w:color w:val="221F1F"/>
          <w:spacing w:val="-7"/>
        </w:rPr>
        <w:t xml:space="preserve"> </w:t>
      </w:r>
      <w:r>
        <w:rPr>
          <w:color w:val="221F1F"/>
        </w:rPr>
        <w:t>Period</w:t>
      </w:r>
      <w:r>
        <w:rPr>
          <w:color w:val="221F1F"/>
          <w:spacing w:val="-11"/>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extended</w:t>
      </w:r>
      <w:r>
        <w:rPr>
          <w:color w:val="221F1F"/>
          <w:spacing w:val="-8"/>
        </w:rPr>
        <w:t xml:space="preserve"> </w:t>
      </w:r>
      <w:r>
        <w:rPr>
          <w:color w:val="221F1F"/>
        </w:rPr>
        <w:t>by</w:t>
      </w:r>
      <w:r>
        <w:rPr>
          <w:color w:val="221F1F"/>
          <w:spacing w:val="-8"/>
        </w:rPr>
        <w:t xml:space="preserve"> </w:t>
      </w:r>
      <w:r>
        <w:rPr>
          <w:color w:val="221F1F"/>
        </w:rPr>
        <w:t>five</w:t>
      </w:r>
      <w:r>
        <w:rPr>
          <w:color w:val="221F1F"/>
          <w:spacing w:val="-10"/>
        </w:rPr>
        <w:t xml:space="preserve"> </w:t>
      </w:r>
      <w:r>
        <w:rPr>
          <w:color w:val="221F1F"/>
        </w:rPr>
        <w:t>(3)</w:t>
      </w:r>
      <w:r>
        <w:rPr>
          <w:color w:val="221F1F"/>
          <w:spacing w:val="-7"/>
        </w:rPr>
        <w:t xml:space="preserve"> </w:t>
      </w:r>
      <w:r>
        <w:rPr>
          <w:color w:val="221F1F"/>
        </w:rPr>
        <w:t>Days</w:t>
      </w:r>
      <w:r>
        <w:rPr>
          <w:color w:val="221F1F"/>
          <w:spacing w:val="-10"/>
        </w:rPr>
        <w:t xml:space="preserve"> </w:t>
      </w:r>
      <w:r>
        <w:rPr>
          <w:color w:val="221F1F"/>
        </w:rPr>
        <w:t>after</w:t>
      </w:r>
      <w:r>
        <w:rPr>
          <w:color w:val="221F1F"/>
          <w:spacing w:val="-9"/>
        </w:rPr>
        <w:t xml:space="preserve"> </w:t>
      </w:r>
      <w:r>
        <w:rPr>
          <w:color w:val="221F1F"/>
        </w:rPr>
        <w:t>the</w:t>
      </w:r>
      <w:r>
        <w:rPr>
          <w:color w:val="221F1F"/>
          <w:spacing w:val="-8"/>
        </w:rPr>
        <w:t xml:space="preserve"> </w:t>
      </w:r>
      <w:r>
        <w:rPr>
          <w:color w:val="221F1F"/>
        </w:rPr>
        <w:t>date</w:t>
      </w:r>
      <w:r>
        <w:rPr>
          <w:color w:val="221F1F"/>
          <w:spacing w:val="-10"/>
        </w:rPr>
        <w:t xml:space="preserve"> </w:t>
      </w:r>
      <w:r>
        <w:rPr>
          <w:color w:val="221F1F"/>
        </w:rPr>
        <w:t>that</w:t>
      </w:r>
      <w:r>
        <w:rPr>
          <w:color w:val="221F1F"/>
          <w:spacing w:val="-7"/>
        </w:rPr>
        <w:t xml:space="preserve"> </w:t>
      </w:r>
      <w:r>
        <w:rPr>
          <w:color w:val="221F1F"/>
        </w:rPr>
        <w:t>the</w:t>
      </w:r>
      <w:r>
        <w:rPr>
          <w:color w:val="221F1F"/>
          <w:spacing w:val="-8"/>
        </w:rPr>
        <w:t xml:space="preserve"> </w:t>
      </w:r>
      <w:r>
        <w:rPr>
          <w:color w:val="221F1F"/>
        </w:rPr>
        <w:t>debriefing</w:t>
      </w:r>
      <w:r>
        <w:rPr>
          <w:color w:val="221F1F"/>
          <w:spacing w:val="-8"/>
        </w:rPr>
        <w:t xml:space="preserve"> </w:t>
      </w:r>
      <w:r>
        <w:rPr>
          <w:color w:val="221F1F"/>
        </w:rPr>
        <w:t>is</w:t>
      </w:r>
      <w:r>
        <w:rPr>
          <w:color w:val="221F1F"/>
          <w:spacing w:val="-8"/>
        </w:rPr>
        <w:t xml:space="preserve"> </w:t>
      </w:r>
      <w:r>
        <w:rPr>
          <w:color w:val="221F1F"/>
        </w:rPr>
        <w:t>provided. If this happens, we will notify you and confirm the date that the extended Standstill Period will end.</w:t>
      </w:r>
    </w:p>
    <w:p w:rsidR="007F6DF9" w:rsidRDefault="00A43FBC">
      <w:pPr>
        <w:pStyle w:val="ListParagraph"/>
        <w:numPr>
          <w:ilvl w:val="0"/>
          <w:numId w:val="18"/>
        </w:numPr>
        <w:tabs>
          <w:tab w:val="left" w:pos="1549"/>
        </w:tabs>
        <w:spacing w:before="246" w:line="230" w:lineRule="auto"/>
        <w:ind w:left="1549" w:right="563" w:hanging="449"/>
      </w:pPr>
      <w:r>
        <w:rPr>
          <w:color w:val="221F1F"/>
        </w:rPr>
        <w:t>The debriefing may be in writing, by phone, video conference call or in person. We</w:t>
      </w:r>
      <w:r>
        <w:rPr>
          <w:color w:val="221F1F"/>
          <w:spacing w:val="-14"/>
        </w:rPr>
        <w:t xml:space="preserve"> </w:t>
      </w:r>
      <w:r>
        <w:rPr>
          <w:color w:val="221F1F"/>
        </w:rPr>
        <w:t>shall promptly advise you in writing how the debriefing will take place and confirm the date and time.</w:t>
      </w:r>
    </w:p>
    <w:p w:rsidR="007F6DF9" w:rsidRDefault="00A43FBC">
      <w:pPr>
        <w:pStyle w:val="ListParagraph"/>
        <w:numPr>
          <w:ilvl w:val="0"/>
          <w:numId w:val="18"/>
        </w:numPr>
        <w:tabs>
          <w:tab w:val="left" w:pos="1547"/>
          <w:tab w:val="left" w:pos="1549"/>
        </w:tabs>
        <w:spacing w:before="243" w:line="230" w:lineRule="auto"/>
        <w:ind w:left="1549" w:right="568" w:hanging="449"/>
        <w:jc w:val="both"/>
      </w:pPr>
      <w:r>
        <w:rPr>
          <w:color w:val="221F1F"/>
        </w:rPr>
        <w:t>If the deadline to request a debriefing has expired, you may still request a debriefing. In this case, we will provide</w:t>
      </w:r>
      <w:r>
        <w:rPr>
          <w:color w:val="221F1F"/>
          <w:spacing w:val="-3"/>
        </w:rPr>
        <w:t xml:space="preserve"> </w:t>
      </w:r>
      <w:r>
        <w:rPr>
          <w:color w:val="221F1F"/>
        </w:rPr>
        <w:t>the</w:t>
      </w:r>
      <w:r>
        <w:rPr>
          <w:color w:val="221F1F"/>
          <w:spacing w:val="-3"/>
        </w:rPr>
        <w:t xml:space="preserve"> </w:t>
      </w:r>
      <w:r>
        <w:rPr>
          <w:color w:val="221F1F"/>
        </w:rPr>
        <w:t>debriefing</w:t>
      </w:r>
      <w:r>
        <w:rPr>
          <w:color w:val="221F1F"/>
          <w:spacing w:val="-3"/>
        </w:rPr>
        <w:t xml:space="preserve"> </w:t>
      </w:r>
      <w:r>
        <w:rPr>
          <w:color w:val="221F1F"/>
        </w:rPr>
        <w:t>as</w:t>
      </w:r>
      <w:r>
        <w:rPr>
          <w:color w:val="221F1F"/>
          <w:spacing w:val="-3"/>
        </w:rPr>
        <w:t xml:space="preserve"> </w:t>
      </w:r>
      <w:r>
        <w:rPr>
          <w:color w:val="221F1F"/>
        </w:rPr>
        <w:t>soon</w:t>
      </w:r>
      <w:r>
        <w:rPr>
          <w:color w:val="221F1F"/>
          <w:spacing w:val="-3"/>
        </w:rPr>
        <w:t xml:space="preserve"> </w:t>
      </w:r>
      <w:r>
        <w:rPr>
          <w:color w:val="221F1F"/>
        </w:rPr>
        <w:t>as</w:t>
      </w:r>
      <w:r>
        <w:rPr>
          <w:color w:val="221F1F"/>
          <w:spacing w:val="-3"/>
        </w:rPr>
        <w:t xml:space="preserve"> </w:t>
      </w:r>
      <w:r>
        <w:rPr>
          <w:color w:val="221F1F"/>
        </w:rPr>
        <w:t>practicable,</w:t>
      </w:r>
      <w:r>
        <w:rPr>
          <w:color w:val="221F1F"/>
          <w:spacing w:val="-3"/>
        </w:rPr>
        <w:t xml:space="preserve"> </w:t>
      </w:r>
      <w:r>
        <w:rPr>
          <w:color w:val="221F1F"/>
        </w:rPr>
        <w:t>and</w:t>
      </w:r>
      <w:r>
        <w:rPr>
          <w:color w:val="221F1F"/>
          <w:spacing w:val="-3"/>
        </w:rPr>
        <w:t xml:space="preserve"> </w:t>
      </w:r>
      <w:r>
        <w:rPr>
          <w:color w:val="221F1F"/>
        </w:rPr>
        <w:t>normally</w:t>
      </w:r>
      <w:r>
        <w:rPr>
          <w:color w:val="221F1F"/>
          <w:spacing w:val="-3"/>
        </w:rPr>
        <w:t xml:space="preserve"> </w:t>
      </w:r>
      <w:r>
        <w:rPr>
          <w:color w:val="221F1F"/>
        </w:rPr>
        <w:t>no</w:t>
      </w:r>
      <w:r>
        <w:rPr>
          <w:color w:val="221F1F"/>
          <w:spacing w:val="-3"/>
        </w:rPr>
        <w:t xml:space="preserve"> </w:t>
      </w:r>
      <w:r>
        <w:rPr>
          <w:color w:val="221F1F"/>
        </w:rPr>
        <w:t>later</w:t>
      </w:r>
      <w:r>
        <w:rPr>
          <w:color w:val="221F1F"/>
          <w:spacing w:val="-2"/>
        </w:rPr>
        <w:t xml:space="preserve"> </w:t>
      </w:r>
      <w:r>
        <w:rPr>
          <w:color w:val="221F1F"/>
        </w:rPr>
        <w:t>than</w:t>
      </w:r>
      <w:r>
        <w:rPr>
          <w:color w:val="221F1F"/>
          <w:spacing w:val="-3"/>
        </w:rPr>
        <w:t xml:space="preserve"> </w:t>
      </w:r>
      <w:r>
        <w:rPr>
          <w:color w:val="221F1F"/>
        </w:rPr>
        <w:t>fifteen</w:t>
      </w:r>
      <w:r>
        <w:rPr>
          <w:color w:val="221F1F"/>
          <w:spacing w:val="-3"/>
        </w:rPr>
        <w:t xml:space="preserve"> </w:t>
      </w:r>
      <w:r>
        <w:rPr>
          <w:color w:val="221F1F"/>
        </w:rPr>
        <w:t>(15)</w:t>
      </w:r>
      <w:r>
        <w:rPr>
          <w:color w:val="221F1F"/>
          <w:spacing w:val="-3"/>
        </w:rPr>
        <w:t xml:space="preserve"> </w:t>
      </w:r>
      <w:r>
        <w:rPr>
          <w:color w:val="221F1F"/>
        </w:rPr>
        <w:t>Days</w:t>
      </w:r>
      <w:r>
        <w:rPr>
          <w:color w:val="221F1F"/>
          <w:spacing w:val="-3"/>
        </w:rPr>
        <w:t xml:space="preserve"> </w:t>
      </w:r>
      <w:r>
        <w:rPr>
          <w:color w:val="221F1F"/>
        </w:rPr>
        <w:t>from</w:t>
      </w:r>
      <w:r>
        <w:rPr>
          <w:color w:val="221F1F"/>
          <w:spacing w:val="-2"/>
        </w:rPr>
        <w:t xml:space="preserve"> </w:t>
      </w:r>
      <w:r>
        <w:rPr>
          <w:color w:val="221F1F"/>
        </w:rPr>
        <w:t>the</w:t>
      </w:r>
      <w:r>
        <w:rPr>
          <w:color w:val="221F1F"/>
          <w:spacing w:val="-3"/>
        </w:rPr>
        <w:t xml:space="preserve"> </w:t>
      </w:r>
      <w:r>
        <w:rPr>
          <w:color w:val="221F1F"/>
        </w:rPr>
        <w:t>date</w:t>
      </w:r>
      <w:r>
        <w:rPr>
          <w:color w:val="221F1F"/>
          <w:spacing w:val="-3"/>
        </w:rPr>
        <w:t xml:space="preserve"> </w:t>
      </w:r>
      <w:r>
        <w:rPr>
          <w:color w:val="221F1F"/>
        </w:rPr>
        <w:t>of publication of the Contract Award Notice.</w:t>
      </w:r>
    </w:p>
    <w:p w:rsidR="007F6DF9" w:rsidRDefault="00A43FBC">
      <w:pPr>
        <w:pStyle w:val="ListParagraph"/>
        <w:numPr>
          <w:ilvl w:val="0"/>
          <w:numId w:val="20"/>
        </w:numPr>
        <w:tabs>
          <w:tab w:val="left" w:pos="1100"/>
        </w:tabs>
        <w:spacing w:before="238"/>
        <w:ind w:left="1100" w:hanging="392"/>
        <w:rPr>
          <w:b/>
          <w:color w:val="221F1F"/>
        </w:rPr>
      </w:pPr>
      <w:r>
        <w:rPr>
          <w:b/>
          <w:color w:val="221F1F"/>
          <w:u w:val="single" w:color="221F1F"/>
        </w:rPr>
        <w:t>How</w:t>
      </w:r>
      <w:r>
        <w:rPr>
          <w:b/>
          <w:color w:val="221F1F"/>
          <w:spacing w:val="-1"/>
          <w:u w:val="single" w:color="221F1F"/>
        </w:rPr>
        <w:t xml:space="preserve"> </w:t>
      </w:r>
      <w:r>
        <w:rPr>
          <w:b/>
          <w:color w:val="221F1F"/>
          <w:u w:val="single" w:color="221F1F"/>
        </w:rPr>
        <w:t>to</w:t>
      </w:r>
      <w:r>
        <w:rPr>
          <w:b/>
          <w:color w:val="221F1F"/>
          <w:spacing w:val="-4"/>
          <w:u w:val="single" w:color="221F1F"/>
        </w:rPr>
        <w:t xml:space="preserve"> </w:t>
      </w:r>
      <w:r>
        <w:rPr>
          <w:b/>
          <w:color w:val="221F1F"/>
          <w:u w:val="single" w:color="221F1F"/>
        </w:rPr>
        <w:t>make</w:t>
      </w:r>
      <w:r>
        <w:rPr>
          <w:b/>
          <w:color w:val="221F1F"/>
          <w:spacing w:val="-2"/>
          <w:u w:val="single" w:color="221F1F"/>
        </w:rPr>
        <w:t xml:space="preserve"> </w:t>
      </w:r>
      <w:r>
        <w:rPr>
          <w:b/>
          <w:color w:val="221F1F"/>
          <w:u w:val="single" w:color="221F1F"/>
        </w:rPr>
        <w:t>a</w:t>
      </w:r>
      <w:r>
        <w:rPr>
          <w:b/>
          <w:color w:val="221F1F"/>
          <w:spacing w:val="-1"/>
          <w:u w:val="single" w:color="221F1F"/>
        </w:rPr>
        <w:t xml:space="preserve"> </w:t>
      </w:r>
      <w:proofErr w:type="gramStart"/>
      <w:r>
        <w:rPr>
          <w:b/>
          <w:color w:val="221F1F"/>
          <w:spacing w:val="-2"/>
          <w:u w:val="single" w:color="221F1F"/>
        </w:rPr>
        <w:t>complaint</w:t>
      </w:r>
      <w:proofErr w:type="gramEnd"/>
    </w:p>
    <w:p w:rsidR="007F6DF9" w:rsidRDefault="00A43FBC">
      <w:pPr>
        <w:pStyle w:val="ListParagraph"/>
        <w:numPr>
          <w:ilvl w:val="0"/>
          <w:numId w:val="17"/>
        </w:numPr>
        <w:tabs>
          <w:tab w:val="left" w:pos="1551"/>
          <w:tab w:val="left" w:pos="1558"/>
        </w:tabs>
        <w:spacing w:before="242" w:line="230" w:lineRule="auto"/>
        <w:ind w:right="560" w:hanging="459"/>
      </w:pPr>
      <w:r>
        <w:rPr>
          <w:color w:val="221F1F"/>
        </w:rPr>
        <w:t>Period: Procurement-related Complaint challenging the decision to award shall be submitted by midnight, [</w:t>
      </w:r>
      <w:r>
        <w:rPr>
          <w:i/>
          <w:color w:val="221F1F"/>
        </w:rPr>
        <w:t>insert date</w:t>
      </w:r>
      <w:r>
        <w:rPr>
          <w:color w:val="221F1F"/>
        </w:rPr>
        <w:t>] (local time).</w:t>
      </w:r>
    </w:p>
    <w:p w:rsidR="007F6DF9" w:rsidRDefault="00A43FBC">
      <w:pPr>
        <w:pStyle w:val="ListParagraph"/>
        <w:numPr>
          <w:ilvl w:val="0"/>
          <w:numId w:val="17"/>
        </w:numPr>
        <w:tabs>
          <w:tab w:val="left" w:pos="1551"/>
          <w:tab w:val="left" w:pos="1558"/>
        </w:tabs>
        <w:spacing w:before="245" w:line="230" w:lineRule="auto"/>
        <w:ind w:right="563" w:hanging="459"/>
      </w:pPr>
      <w:r>
        <w:rPr>
          <w:color w:val="221F1F"/>
        </w:rPr>
        <w:t>Provide</w:t>
      </w:r>
      <w:r>
        <w:rPr>
          <w:color w:val="221F1F"/>
          <w:spacing w:val="38"/>
        </w:rPr>
        <w:t xml:space="preserve"> </w:t>
      </w:r>
      <w:r>
        <w:rPr>
          <w:color w:val="221F1F"/>
        </w:rPr>
        <w:t>the</w:t>
      </w:r>
      <w:r>
        <w:rPr>
          <w:color w:val="221F1F"/>
          <w:spacing w:val="37"/>
        </w:rPr>
        <w:t xml:space="preserve"> </w:t>
      </w:r>
      <w:r>
        <w:rPr>
          <w:color w:val="221F1F"/>
        </w:rPr>
        <w:t>contract</w:t>
      </w:r>
      <w:r>
        <w:rPr>
          <w:color w:val="221F1F"/>
          <w:spacing w:val="40"/>
        </w:rPr>
        <w:t xml:space="preserve"> </w:t>
      </w:r>
      <w:r>
        <w:rPr>
          <w:color w:val="221F1F"/>
        </w:rPr>
        <w:t>name,</w:t>
      </w:r>
      <w:r>
        <w:rPr>
          <w:color w:val="221F1F"/>
          <w:spacing w:val="39"/>
        </w:rPr>
        <w:t xml:space="preserve"> </w:t>
      </w:r>
      <w:r>
        <w:rPr>
          <w:color w:val="221F1F"/>
        </w:rPr>
        <w:t>reference</w:t>
      </w:r>
      <w:r>
        <w:rPr>
          <w:color w:val="221F1F"/>
          <w:spacing w:val="38"/>
        </w:rPr>
        <w:t xml:space="preserve"> </w:t>
      </w:r>
      <w:r>
        <w:rPr>
          <w:color w:val="221F1F"/>
        </w:rPr>
        <w:t>number,</w:t>
      </w:r>
      <w:r>
        <w:rPr>
          <w:color w:val="221F1F"/>
          <w:spacing w:val="39"/>
        </w:rPr>
        <w:t xml:space="preserve"> </w:t>
      </w:r>
      <w:r>
        <w:rPr>
          <w:color w:val="221F1F"/>
        </w:rPr>
        <w:t>name</w:t>
      </w:r>
      <w:r>
        <w:rPr>
          <w:color w:val="221F1F"/>
          <w:spacing w:val="38"/>
        </w:rPr>
        <w:t xml:space="preserve"> </w:t>
      </w:r>
      <w:r>
        <w:rPr>
          <w:color w:val="221F1F"/>
        </w:rPr>
        <w:t>of</w:t>
      </w:r>
      <w:r>
        <w:rPr>
          <w:color w:val="221F1F"/>
          <w:spacing w:val="37"/>
        </w:rPr>
        <w:t xml:space="preserve"> </w:t>
      </w:r>
      <w:r>
        <w:rPr>
          <w:color w:val="221F1F"/>
        </w:rPr>
        <w:t>the</w:t>
      </w:r>
      <w:r>
        <w:rPr>
          <w:color w:val="221F1F"/>
          <w:spacing w:val="40"/>
        </w:rPr>
        <w:t xml:space="preserve"> </w:t>
      </w:r>
      <w:r>
        <w:rPr>
          <w:color w:val="221F1F"/>
        </w:rPr>
        <w:t>Tenderer,</w:t>
      </w:r>
      <w:r>
        <w:rPr>
          <w:color w:val="221F1F"/>
          <w:spacing w:val="33"/>
        </w:rPr>
        <w:t xml:space="preserve"> </w:t>
      </w:r>
      <w:r>
        <w:rPr>
          <w:color w:val="221F1F"/>
        </w:rPr>
        <w:t>contact</w:t>
      </w:r>
      <w:r>
        <w:rPr>
          <w:color w:val="221F1F"/>
          <w:spacing w:val="38"/>
        </w:rPr>
        <w:t xml:space="preserve"> </w:t>
      </w:r>
      <w:r>
        <w:rPr>
          <w:color w:val="221F1F"/>
        </w:rPr>
        <w:t>details;</w:t>
      </w:r>
      <w:r>
        <w:rPr>
          <w:color w:val="221F1F"/>
          <w:spacing w:val="38"/>
        </w:rPr>
        <w:t xml:space="preserve"> </w:t>
      </w:r>
      <w:r>
        <w:rPr>
          <w:color w:val="221F1F"/>
        </w:rPr>
        <w:t>and</w:t>
      </w:r>
      <w:r>
        <w:rPr>
          <w:color w:val="221F1F"/>
          <w:spacing w:val="38"/>
        </w:rPr>
        <w:t xml:space="preserve"> </w:t>
      </w:r>
      <w:r>
        <w:rPr>
          <w:color w:val="221F1F"/>
        </w:rPr>
        <w:t>address</w:t>
      </w:r>
      <w:r>
        <w:rPr>
          <w:color w:val="221F1F"/>
          <w:spacing w:val="37"/>
        </w:rPr>
        <w:t xml:space="preserve"> </w:t>
      </w:r>
      <w:r>
        <w:rPr>
          <w:color w:val="221F1F"/>
        </w:rPr>
        <w:t>the Procurement-related Complaint as follows:</w:t>
      </w:r>
    </w:p>
    <w:p w:rsidR="007F6DF9" w:rsidRDefault="00A43FBC">
      <w:pPr>
        <w:pStyle w:val="ListParagraph"/>
        <w:numPr>
          <w:ilvl w:val="1"/>
          <w:numId w:val="17"/>
        </w:numPr>
        <w:tabs>
          <w:tab w:val="left" w:pos="2148"/>
        </w:tabs>
        <w:spacing w:before="41"/>
        <w:ind w:left="2148" w:hanging="599"/>
      </w:pPr>
      <w:r>
        <w:rPr>
          <w:color w:val="221F1F"/>
        </w:rPr>
        <w:t>Attention:</w:t>
      </w:r>
      <w:r>
        <w:rPr>
          <w:color w:val="221F1F"/>
          <w:spacing w:val="-4"/>
        </w:rPr>
        <w:t xml:space="preserve"> </w:t>
      </w:r>
      <w:r>
        <w:rPr>
          <w:color w:val="221F1F"/>
        </w:rPr>
        <w:t>[</w:t>
      </w:r>
      <w:r>
        <w:rPr>
          <w:i/>
          <w:color w:val="221F1F"/>
        </w:rPr>
        <w:t>insert</w:t>
      </w:r>
      <w:r>
        <w:rPr>
          <w:i/>
          <w:color w:val="221F1F"/>
          <w:spacing w:val="-4"/>
        </w:rPr>
        <w:t xml:space="preserve"> </w:t>
      </w:r>
      <w:r>
        <w:rPr>
          <w:i/>
          <w:color w:val="221F1F"/>
        </w:rPr>
        <w:t>full</w:t>
      </w:r>
      <w:r>
        <w:rPr>
          <w:i/>
          <w:color w:val="221F1F"/>
          <w:spacing w:val="-2"/>
        </w:rPr>
        <w:t xml:space="preserve"> </w:t>
      </w:r>
      <w:r>
        <w:rPr>
          <w:i/>
          <w:color w:val="221F1F"/>
        </w:rPr>
        <w:t>name</w:t>
      </w:r>
      <w:r>
        <w:rPr>
          <w:i/>
          <w:color w:val="221F1F"/>
          <w:spacing w:val="-4"/>
        </w:rPr>
        <w:t xml:space="preserve"> </w:t>
      </w:r>
      <w:r>
        <w:rPr>
          <w:i/>
          <w:color w:val="221F1F"/>
        </w:rPr>
        <w:t>of</w:t>
      </w:r>
      <w:r>
        <w:rPr>
          <w:i/>
          <w:color w:val="221F1F"/>
          <w:spacing w:val="-2"/>
        </w:rPr>
        <w:t xml:space="preserve"> </w:t>
      </w:r>
      <w:r>
        <w:rPr>
          <w:i/>
          <w:color w:val="221F1F"/>
        </w:rPr>
        <w:t>person,</w:t>
      </w:r>
      <w:r>
        <w:rPr>
          <w:i/>
          <w:color w:val="221F1F"/>
          <w:spacing w:val="-6"/>
        </w:rPr>
        <w:t xml:space="preserve"> </w:t>
      </w:r>
      <w:r>
        <w:rPr>
          <w:i/>
          <w:color w:val="221F1F"/>
        </w:rPr>
        <w:t>if</w:t>
      </w:r>
      <w:r>
        <w:rPr>
          <w:i/>
          <w:color w:val="221F1F"/>
          <w:spacing w:val="-1"/>
        </w:rPr>
        <w:t xml:space="preserve"> </w:t>
      </w:r>
      <w:r>
        <w:rPr>
          <w:i/>
          <w:color w:val="221F1F"/>
          <w:spacing w:val="-2"/>
        </w:rPr>
        <w:t>applicable</w:t>
      </w:r>
      <w:r>
        <w:rPr>
          <w:color w:val="221F1F"/>
          <w:spacing w:val="-2"/>
        </w:rPr>
        <w:t>]</w:t>
      </w:r>
    </w:p>
    <w:p w:rsidR="007F6DF9" w:rsidRDefault="00A43FBC">
      <w:pPr>
        <w:pStyle w:val="ListParagraph"/>
        <w:numPr>
          <w:ilvl w:val="1"/>
          <w:numId w:val="17"/>
        </w:numPr>
        <w:tabs>
          <w:tab w:val="left" w:pos="2148"/>
        </w:tabs>
        <w:spacing w:before="40"/>
        <w:ind w:left="2148" w:hanging="599"/>
      </w:pPr>
      <w:r>
        <w:rPr>
          <w:color w:val="221F1F"/>
        </w:rPr>
        <w:t>Title/position:</w:t>
      </w:r>
      <w:r>
        <w:rPr>
          <w:color w:val="221F1F"/>
          <w:spacing w:val="-5"/>
        </w:rPr>
        <w:t xml:space="preserve"> </w:t>
      </w:r>
      <w:r>
        <w:rPr>
          <w:color w:val="221F1F"/>
        </w:rPr>
        <w:t>[</w:t>
      </w:r>
      <w:r>
        <w:rPr>
          <w:i/>
          <w:color w:val="221F1F"/>
        </w:rPr>
        <w:t>insert</w:t>
      </w:r>
      <w:r>
        <w:rPr>
          <w:i/>
          <w:color w:val="221F1F"/>
          <w:spacing w:val="-6"/>
        </w:rPr>
        <w:t xml:space="preserve"> </w:t>
      </w:r>
      <w:r>
        <w:rPr>
          <w:i/>
          <w:color w:val="221F1F"/>
        </w:rPr>
        <w:t>title/</w:t>
      </w:r>
      <w:r>
        <w:rPr>
          <w:i/>
          <w:color w:val="221F1F"/>
          <w:spacing w:val="-6"/>
        </w:rPr>
        <w:t xml:space="preserve"> </w:t>
      </w:r>
      <w:r>
        <w:rPr>
          <w:i/>
          <w:color w:val="221F1F"/>
          <w:spacing w:val="-2"/>
        </w:rPr>
        <w:t>position</w:t>
      </w:r>
      <w:r>
        <w:rPr>
          <w:color w:val="221F1F"/>
          <w:spacing w:val="-2"/>
        </w:rPr>
        <w:t>]</w:t>
      </w:r>
    </w:p>
    <w:p w:rsidR="007F6DF9" w:rsidRDefault="00A43FBC">
      <w:pPr>
        <w:pStyle w:val="ListParagraph"/>
        <w:numPr>
          <w:ilvl w:val="1"/>
          <w:numId w:val="17"/>
        </w:numPr>
        <w:tabs>
          <w:tab w:val="left" w:pos="2148"/>
        </w:tabs>
        <w:spacing w:before="37"/>
        <w:ind w:left="2148" w:hanging="599"/>
      </w:pPr>
      <w:r>
        <w:rPr>
          <w:color w:val="221F1F"/>
        </w:rPr>
        <w:t>Agency:</w:t>
      </w:r>
      <w:r>
        <w:rPr>
          <w:color w:val="221F1F"/>
          <w:spacing w:val="-5"/>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3"/>
        </w:rPr>
        <w:t xml:space="preserve"> </w:t>
      </w:r>
      <w:r>
        <w:rPr>
          <w:i/>
          <w:color w:val="221F1F"/>
        </w:rPr>
        <w:t>of</w:t>
      </w:r>
      <w:r>
        <w:rPr>
          <w:i/>
          <w:color w:val="221F1F"/>
          <w:spacing w:val="-5"/>
        </w:rPr>
        <w:t xml:space="preserve"> </w:t>
      </w:r>
      <w:r>
        <w:rPr>
          <w:i/>
          <w:color w:val="221F1F"/>
        </w:rPr>
        <w:t>Procuring</w:t>
      </w:r>
      <w:r>
        <w:rPr>
          <w:i/>
          <w:color w:val="221F1F"/>
          <w:spacing w:val="-3"/>
        </w:rPr>
        <w:t xml:space="preserve"> </w:t>
      </w:r>
      <w:r>
        <w:rPr>
          <w:i/>
          <w:color w:val="221F1F"/>
          <w:spacing w:val="-2"/>
        </w:rPr>
        <w:t>Entity</w:t>
      </w:r>
      <w:r>
        <w:rPr>
          <w:color w:val="221F1F"/>
          <w:spacing w:val="-2"/>
        </w:rPr>
        <w:t>]</w:t>
      </w:r>
    </w:p>
    <w:p w:rsidR="007F6DF9" w:rsidRDefault="00A43FBC">
      <w:pPr>
        <w:pStyle w:val="ListParagraph"/>
        <w:numPr>
          <w:ilvl w:val="1"/>
          <w:numId w:val="17"/>
        </w:numPr>
        <w:tabs>
          <w:tab w:val="left" w:pos="2148"/>
        </w:tabs>
        <w:spacing w:before="40"/>
        <w:ind w:left="2148" w:hanging="599"/>
      </w:pPr>
      <w:r>
        <w:rPr>
          <w:color w:val="221F1F"/>
        </w:rPr>
        <w:t>Email</w:t>
      </w:r>
      <w:r>
        <w:rPr>
          <w:color w:val="221F1F"/>
          <w:spacing w:val="-3"/>
        </w:rPr>
        <w:t xml:space="preserve"> </w:t>
      </w:r>
      <w:r>
        <w:rPr>
          <w:color w:val="221F1F"/>
        </w:rPr>
        <w:t>address:</w:t>
      </w:r>
      <w:r>
        <w:rPr>
          <w:color w:val="221F1F"/>
          <w:spacing w:val="-2"/>
        </w:rPr>
        <w:t xml:space="preserve"> </w:t>
      </w:r>
      <w:r>
        <w:rPr>
          <w:color w:val="221F1F"/>
        </w:rPr>
        <w:t>[</w:t>
      </w:r>
      <w:r>
        <w:rPr>
          <w:i/>
          <w:color w:val="221F1F"/>
        </w:rPr>
        <w:t>insert</w:t>
      </w:r>
      <w:r>
        <w:rPr>
          <w:i/>
          <w:color w:val="221F1F"/>
          <w:spacing w:val="-4"/>
        </w:rPr>
        <w:t xml:space="preserve"> </w:t>
      </w:r>
      <w:r>
        <w:rPr>
          <w:i/>
          <w:color w:val="221F1F"/>
        </w:rPr>
        <w:t>email</w:t>
      </w:r>
      <w:r>
        <w:rPr>
          <w:i/>
          <w:color w:val="221F1F"/>
          <w:spacing w:val="-2"/>
        </w:rPr>
        <w:t xml:space="preserve"> address</w:t>
      </w:r>
      <w:r>
        <w:rPr>
          <w:color w:val="221F1F"/>
          <w:spacing w:val="-2"/>
        </w:rPr>
        <w:t>]</w:t>
      </w:r>
    </w:p>
    <w:p w:rsidR="007F6DF9" w:rsidRDefault="00A43FBC">
      <w:pPr>
        <w:pStyle w:val="ListParagraph"/>
        <w:numPr>
          <w:ilvl w:val="0"/>
          <w:numId w:val="17"/>
        </w:numPr>
        <w:tabs>
          <w:tab w:val="left" w:pos="1550"/>
          <w:tab w:val="left" w:pos="1561"/>
        </w:tabs>
        <w:spacing w:before="243" w:line="230" w:lineRule="auto"/>
        <w:ind w:left="1561" w:right="560" w:hanging="461"/>
        <w:jc w:val="both"/>
      </w:pPr>
      <w:r>
        <w:rPr>
          <w:color w:val="221F1F"/>
        </w:rPr>
        <w:t>At</w:t>
      </w:r>
      <w:r>
        <w:rPr>
          <w:color w:val="221F1F"/>
          <w:spacing w:val="-6"/>
        </w:rPr>
        <w:t xml:space="preserve"> </w:t>
      </w:r>
      <w:r>
        <w:rPr>
          <w:color w:val="221F1F"/>
        </w:rPr>
        <w:t>this</w:t>
      </w:r>
      <w:r>
        <w:rPr>
          <w:color w:val="221F1F"/>
          <w:spacing w:val="-9"/>
        </w:rPr>
        <w:t xml:space="preserve"> </w:t>
      </w:r>
      <w:r>
        <w:rPr>
          <w:color w:val="221F1F"/>
        </w:rPr>
        <w:t>point</w:t>
      </w:r>
      <w:r>
        <w:rPr>
          <w:color w:val="221F1F"/>
          <w:spacing w:val="-8"/>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procurement</w:t>
      </w:r>
      <w:r>
        <w:rPr>
          <w:color w:val="221F1F"/>
          <w:spacing w:val="-5"/>
        </w:rPr>
        <w:t xml:space="preserve"> </w:t>
      </w:r>
      <w:r>
        <w:rPr>
          <w:color w:val="221F1F"/>
        </w:rPr>
        <w:t>process,</w:t>
      </w:r>
      <w:r>
        <w:rPr>
          <w:color w:val="221F1F"/>
          <w:spacing w:val="-9"/>
        </w:rPr>
        <w:t xml:space="preserve"> </w:t>
      </w:r>
      <w:r>
        <w:rPr>
          <w:color w:val="221F1F"/>
        </w:rPr>
        <w:t>you</w:t>
      </w:r>
      <w:r>
        <w:rPr>
          <w:color w:val="221F1F"/>
          <w:spacing w:val="-9"/>
        </w:rPr>
        <w:t xml:space="preserve"> </w:t>
      </w:r>
      <w:r>
        <w:rPr>
          <w:color w:val="221F1F"/>
        </w:rPr>
        <w:t>may</w:t>
      </w:r>
      <w:r>
        <w:rPr>
          <w:color w:val="221F1F"/>
          <w:spacing w:val="-9"/>
        </w:rPr>
        <w:t xml:space="preserve"> </w:t>
      </w:r>
      <w:r>
        <w:rPr>
          <w:color w:val="221F1F"/>
        </w:rPr>
        <w:t>submit</w:t>
      </w:r>
      <w:r>
        <w:rPr>
          <w:color w:val="221F1F"/>
          <w:spacing w:val="-8"/>
        </w:rPr>
        <w:t xml:space="preserve"> </w:t>
      </w:r>
      <w:r>
        <w:rPr>
          <w:color w:val="221F1F"/>
        </w:rPr>
        <w:t>a</w:t>
      </w:r>
      <w:r>
        <w:rPr>
          <w:color w:val="221F1F"/>
          <w:spacing w:val="-7"/>
        </w:rPr>
        <w:t xml:space="preserve"> </w:t>
      </w:r>
      <w:r>
        <w:rPr>
          <w:color w:val="221F1F"/>
        </w:rPr>
        <w:t>Procurement-related</w:t>
      </w:r>
      <w:r>
        <w:rPr>
          <w:color w:val="221F1F"/>
          <w:spacing w:val="-9"/>
        </w:rPr>
        <w:t xml:space="preserve"> </w:t>
      </w:r>
      <w:r>
        <w:rPr>
          <w:color w:val="221F1F"/>
        </w:rPr>
        <w:t>Complaint</w:t>
      </w:r>
      <w:r>
        <w:rPr>
          <w:color w:val="221F1F"/>
          <w:spacing w:val="-7"/>
        </w:rPr>
        <w:t xml:space="preserve"> </w:t>
      </w:r>
      <w:r>
        <w:rPr>
          <w:color w:val="221F1F"/>
        </w:rPr>
        <w:t>challenging</w:t>
      </w:r>
      <w:r>
        <w:rPr>
          <w:color w:val="221F1F"/>
          <w:spacing w:val="-9"/>
        </w:rPr>
        <w:t xml:space="preserve"> </w:t>
      </w:r>
      <w:r>
        <w:rPr>
          <w:color w:val="221F1F"/>
        </w:rPr>
        <w:t>the decision</w:t>
      </w:r>
      <w:r>
        <w:rPr>
          <w:color w:val="221F1F"/>
          <w:spacing w:val="-9"/>
        </w:rPr>
        <w:t xml:space="preserve"> </w:t>
      </w:r>
      <w:r>
        <w:rPr>
          <w:color w:val="221F1F"/>
        </w:rPr>
        <w:t>to</w:t>
      </w:r>
      <w:r>
        <w:rPr>
          <w:color w:val="221F1F"/>
          <w:spacing w:val="-3"/>
        </w:rPr>
        <w:t xml:space="preserve"> </w:t>
      </w:r>
      <w:r>
        <w:rPr>
          <w:color w:val="221F1F"/>
        </w:rPr>
        <w:t>award</w:t>
      </w:r>
      <w:r>
        <w:rPr>
          <w:color w:val="221F1F"/>
          <w:spacing w:val="-3"/>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You</w:t>
      </w:r>
      <w:r>
        <w:rPr>
          <w:color w:val="221F1F"/>
          <w:spacing w:val="-14"/>
        </w:rPr>
        <w:t xml:space="preserve"> </w:t>
      </w:r>
      <w:r>
        <w:rPr>
          <w:color w:val="221F1F"/>
        </w:rPr>
        <w:t>do</w:t>
      </w:r>
      <w:r>
        <w:rPr>
          <w:color w:val="221F1F"/>
          <w:spacing w:val="-2"/>
        </w:rPr>
        <w:t xml:space="preserve"> </w:t>
      </w:r>
      <w:r>
        <w:rPr>
          <w:color w:val="221F1F"/>
        </w:rPr>
        <w:t>not</w:t>
      </w:r>
      <w:r>
        <w:rPr>
          <w:color w:val="221F1F"/>
          <w:spacing w:val="-5"/>
        </w:rPr>
        <w:t xml:space="preserve"> </w:t>
      </w:r>
      <w:r>
        <w:rPr>
          <w:color w:val="221F1F"/>
        </w:rPr>
        <w:t>need</w:t>
      </w:r>
      <w:r>
        <w:rPr>
          <w:color w:val="221F1F"/>
          <w:spacing w:val="-5"/>
        </w:rPr>
        <w:t xml:space="preserve"> </w:t>
      </w:r>
      <w:r>
        <w:rPr>
          <w:color w:val="221F1F"/>
        </w:rPr>
        <w:t>to</w:t>
      </w:r>
      <w:r>
        <w:rPr>
          <w:color w:val="221F1F"/>
          <w:spacing w:val="-3"/>
        </w:rPr>
        <w:t xml:space="preserve"> </w:t>
      </w:r>
      <w:r>
        <w:rPr>
          <w:color w:val="221F1F"/>
        </w:rPr>
        <w:t>have</w:t>
      </w:r>
      <w:r>
        <w:rPr>
          <w:color w:val="221F1F"/>
          <w:spacing w:val="-3"/>
        </w:rPr>
        <w:t xml:space="preserve"> </w:t>
      </w:r>
      <w:r>
        <w:rPr>
          <w:color w:val="221F1F"/>
        </w:rPr>
        <w:t>requested,</w:t>
      </w:r>
      <w:r>
        <w:rPr>
          <w:color w:val="221F1F"/>
          <w:spacing w:val="-3"/>
        </w:rPr>
        <w:t xml:space="preserve"> </w:t>
      </w:r>
      <w:r>
        <w:rPr>
          <w:color w:val="221F1F"/>
        </w:rPr>
        <w:t>or</w:t>
      </w:r>
      <w:r>
        <w:rPr>
          <w:color w:val="221F1F"/>
          <w:spacing w:val="-2"/>
        </w:rPr>
        <w:t xml:space="preserve"> </w:t>
      </w:r>
      <w:r>
        <w:rPr>
          <w:color w:val="221F1F"/>
        </w:rPr>
        <w:t>received,</w:t>
      </w:r>
      <w:r>
        <w:rPr>
          <w:color w:val="221F1F"/>
          <w:spacing w:val="-2"/>
        </w:rPr>
        <w:t xml:space="preserve"> </w:t>
      </w:r>
      <w:r>
        <w:rPr>
          <w:color w:val="221F1F"/>
        </w:rPr>
        <w:t>a</w:t>
      </w:r>
      <w:r>
        <w:rPr>
          <w:color w:val="221F1F"/>
          <w:spacing w:val="-5"/>
        </w:rPr>
        <w:t xml:space="preserve"> </w:t>
      </w:r>
      <w:r>
        <w:rPr>
          <w:color w:val="221F1F"/>
        </w:rPr>
        <w:t>debriefing</w:t>
      </w:r>
      <w:r>
        <w:rPr>
          <w:color w:val="221F1F"/>
          <w:spacing w:val="-3"/>
        </w:rPr>
        <w:t xml:space="preserve"> </w:t>
      </w:r>
      <w:r>
        <w:rPr>
          <w:color w:val="221F1F"/>
        </w:rPr>
        <w:t>before</w:t>
      </w:r>
      <w:r>
        <w:rPr>
          <w:color w:val="221F1F"/>
          <w:spacing w:val="-5"/>
        </w:rPr>
        <w:t xml:space="preserve"> </w:t>
      </w:r>
      <w:r>
        <w:rPr>
          <w:color w:val="221F1F"/>
        </w:rPr>
        <w:t>making this complaint. Your</w:t>
      </w:r>
      <w:r>
        <w:rPr>
          <w:color w:val="221F1F"/>
          <w:spacing w:val="-5"/>
        </w:rPr>
        <w:t xml:space="preserve"> </w:t>
      </w:r>
      <w:r>
        <w:rPr>
          <w:color w:val="221F1F"/>
        </w:rPr>
        <w:t>complaint must be submitted within the Standstill Period and received by us before the Standstill Period ends.</w:t>
      </w:r>
    </w:p>
    <w:p w:rsidR="007F6DF9" w:rsidRDefault="00A43FBC">
      <w:pPr>
        <w:pStyle w:val="ListParagraph"/>
        <w:numPr>
          <w:ilvl w:val="0"/>
          <w:numId w:val="17"/>
        </w:numPr>
        <w:tabs>
          <w:tab w:val="left" w:pos="1551"/>
          <w:tab w:val="left" w:pos="1561"/>
        </w:tabs>
        <w:spacing w:before="245" w:line="230" w:lineRule="auto"/>
        <w:ind w:left="1561" w:right="567" w:hanging="461"/>
      </w:pPr>
      <w:r>
        <w:rPr>
          <w:color w:val="221F1F"/>
        </w:rPr>
        <w:t>Further</w:t>
      </w:r>
      <w:r>
        <w:rPr>
          <w:color w:val="221F1F"/>
          <w:spacing w:val="-3"/>
        </w:rPr>
        <w:t xml:space="preserve"> </w:t>
      </w:r>
      <w:r>
        <w:rPr>
          <w:color w:val="221F1F"/>
        </w:rPr>
        <w:t>information:</w:t>
      </w:r>
      <w:r>
        <w:rPr>
          <w:color w:val="221F1F"/>
          <w:spacing w:val="-1"/>
        </w:rPr>
        <w:t xml:space="preserve"> </w:t>
      </w:r>
      <w:r>
        <w:rPr>
          <w:color w:val="221F1F"/>
        </w:rPr>
        <w:t>For</w:t>
      </w:r>
      <w:r>
        <w:rPr>
          <w:color w:val="221F1F"/>
          <w:spacing w:val="-1"/>
        </w:rPr>
        <w:t xml:space="preserve"> </w:t>
      </w:r>
      <w:r>
        <w:rPr>
          <w:color w:val="221F1F"/>
        </w:rPr>
        <w:t>more</w:t>
      </w:r>
      <w:r>
        <w:rPr>
          <w:color w:val="221F1F"/>
          <w:spacing w:val="-1"/>
        </w:rPr>
        <w:t xml:space="preserve"> </w:t>
      </w:r>
      <w:r>
        <w:rPr>
          <w:color w:val="221F1F"/>
        </w:rPr>
        <w:t>information</w:t>
      </w:r>
      <w:r>
        <w:rPr>
          <w:color w:val="221F1F"/>
          <w:spacing w:val="-4"/>
        </w:rPr>
        <w:t xml:space="preserve"> </w:t>
      </w:r>
      <w:r>
        <w:rPr>
          <w:color w:val="221F1F"/>
        </w:rPr>
        <w:t>refer</w:t>
      </w:r>
      <w:r>
        <w:rPr>
          <w:color w:val="221F1F"/>
          <w:spacing w:val="-3"/>
        </w:rPr>
        <w:t xml:space="preserve"> </w:t>
      </w:r>
      <w:r>
        <w:rPr>
          <w:color w:val="221F1F"/>
        </w:rPr>
        <w:t>to</w:t>
      </w:r>
      <w:r>
        <w:rPr>
          <w:color w:val="221F1F"/>
          <w:spacing w:val="-1"/>
        </w:rPr>
        <w:t xml:space="preserve"> </w:t>
      </w:r>
      <w:r>
        <w:rPr>
          <w:color w:val="221F1F"/>
        </w:rPr>
        <w:t>the</w:t>
      </w:r>
      <w:r>
        <w:rPr>
          <w:color w:val="221F1F"/>
          <w:spacing w:val="-3"/>
        </w:rPr>
        <w:t xml:space="preserve"> </w:t>
      </w:r>
      <w:r>
        <w:rPr>
          <w:color w:val="221F1F"/>
        </w:rPr>
        <w:t>Public</w:t>
      </w:r>
      <w:r>
        <w:rPr>
          <w:color w:val="221F1F"/>
          <w:spacing w:val="-1"/>
        </w:rPr>
        <w:t xml:space="preserve"> </w:t>
      </w:r>
      <w:r>
        <w:rPr>
          <w:color w:val="221F1F"/>
        </w:rPr>
        <w:t>Procurement</w:t>
      </w:r>
      <w:r>
        <w:rPr>
          <w:color w:val="221F1F"/>
          <w:spacing w:val="-3"/>
        </w:rPr>
        <w:t xml:space="preserve"> </w:t>
      </w:r>
      <w:r>
        <w:rPr>
          <w:color w:val="221F1F"/>
        </w:rPr>
        <w:t>and</w:t>
      </w:r>
      <w:r>
        <w:rPr>
          <w:color w:val="221F1F"/>
          <w:spacing w:val="-1"/>
        </w:rPr>
        <w:t xml:space="preserve"> </w:t>
      </w:r>
      <w:r>
        <w:rPr>
          <w:color w:val="221F1F"/>
        </w:rPr>
        <w:t>Disposals</w:t>
      </w:r>
      <w:r>
        <w:rPr>
          <w:color w:val="221F1F"/>
          <w:spacing w:val="-1"/>
        </w:rPr>
        <w:t xml:space="preserve"> </w:t>
      </w:r>
      <w:r>
        <w:rPr>
          <w:color w:val="221F1F"/>
        </w:rPr>
        <w:t>Act</w:t>
      </w:r>
      <w:r>
        <w:rPr>
          <w:color w:val="221F1F"/>
          <w:spacing w:val="-1"/>
        </w:rPr>
        <w:t xml:space="preserve"> </w:t>
      </w:r>
      <w:r>
        <w:rPr>
          <w:color w:val="221F1F"/>
        </w:rPr>
        <w:t>2015</w:t>
      </w:r>
      <w:r>
        <w:rPr>
          <w:color w:val="221F1F"/>
          <w:spacing w:val="-4"/>
        </w:rPr>
        <w:t xml:space="preserve"> </w:t>
      </w:r>
      <w:r>
        <w:rPr>
          <w:color w:val="221F1F"/>
        </w:rPr>
        <w:t>and</w:t>
      </w:r>
      <w:r>
        <w:rPr>
          <w:color w:val="221F1F"/>
          <w:spacing w:val="-3"/>
        </w:rPr>
        <w:t xml:space="preserve"> </w:t>
      </w:r>
      <w:r>
        <w:rPr>
          <w:color w:val="221F1F"/>
        </w:rPr>
        <w:t xml:space="preserve">its Regulations a </w:t>
      </w:r>
      <w:proofErr w:type="spellStart"/>
      <w:r>
        <w:rPr>
          <w:color w:val="221F1F"/>
        </w:rPr>
        <w:t>vailable</w:t>
      </w:r>
      <w:proofErr w:type="spellEnd"/>
      <w:r>
        <w:rPr>
          <w:color w:val="221F1F"/>
        </w:rPr>
        <w:t xml:space="preserve"> from the Website </w:t>
      </w:r>
      <w:hyperlink r:id="rId35">
        <w:r>
          <w:rPr>
            <w:color w:val="0000C4"/>
            <w:u w:val="single" w:color="0000C4"/>
          </w:rPr>
          <w:t>www.ppra.go.ke</w:t>
        </w:r>
        <w:r>
          <w:rPr>
            <w:color w:val="221F1F"/>
          </w:rPr>
          <w:t>.</w:t>
        </w:r>
      </w:hyperlink>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7F6DF9">
      <w:pPr>
        <w:pStyle w:val="BodyText"/>
        <w:spacing w:before="209"/>
      </w:pPr>
    </w:p>
    <w:p w:rsidR="007F6DF9" w:rsidRDefault="00A43FBC">
      <w:pPr>
        <w:pStyle w:val="BodyText"/>
        <w:ind w:left="1100"/>
      </w:pPr>
      <w:r>
        <w:rPr>
          <w:color w:val="221F1F"/>
        </w:rPr>
        <w:t>You</w:t>
      </w:r>
      <w:r>
        <w:rPr>
          <w:color w:val="221F1F"/>
          <w:spacing w:val="-6"/>
        </w:rPr>
        <w:t xml:space="preserve"> </w:t>
      </w:r>
      <w:r>
        <w:rPr>
          <w:color w:val="221F1F"/>
        </w:rPr>
        <w:t>should</w:t>
      </w:r>
      <w:r>
        <w:rPr>
          <w:color w:val="221F1F"/>
          <w:spacing w:val="-4"/>
        </w:rPr>
        <w:t xml:space="preserve"> </w:t>
      </w:r>
      <w:r>
        <w:rPr>
          <w:color w:val="221F1F"/>
        </w:rPr>
        <w:t>read</w:t>
      </w:r>
      <w:r>
        <w:rPr>
          <w:color w:val="221F1F"/>
          <w:spacing w:val="-6"/>
        </w:rPr>
        <w:t xml:space="preserve"> </w:t>
      </w:r>
      <w:r>
        <w:rPr>
          <w:color w:val="221F1F"/>
        </w:rPr>
        <w:t>these</w:t>
      </w:r>
      <w:r>
        <w:rPr>
          <w:color w:val="221F1F"/>
          <w:spacing w:val="-3"/>
        </w:rPr>
        <w:t xml:space="preserve"> </w:t>
      </w:r>
      <w:r>
        <w:rPr>
          <w:color w:val="221F1F"/>
        </w:rPr>
        <w:t>documents</w:t>
      </w:r>
      <w:r>
        <w:rPr>
          <w:color w:val="221F1F"/>
          <w:spacing w:val="-4"/>
        </w:rPr>
        <w:t xml:space="preserve"> </w:t>
      </w:r>
      <w:r>
        <w:rPr>
          <w:color w:val="221F1F"/>
        </w:rPr>
        <w:t>before</w:t>
      </w:r>
      <w:r>
        <w:rPr>
          <w:color w:val="221F1F"/>
          <w:spacing w:val="-4"/>
        </w:rPr>
        <w:t xml:space="preserve"> </w:t>
      </w:r>
      <w:r>
        <w:rPr>
          <w:color w:val="221F1F"/>
        </w:rPr>
        <w:t>preparing</w:t>
      </w:r>
      <w:r>
        <w:rPr>
          <w:color w:val="221F1F"/>
          <w:spacing w:val="-3"/>
        </w:rPr>
        <w:t xml:space="preserve"> </w:t>
      </w:r>
      <w:r>
        <w:rPr>
          <w:color w:val="221F1F"/>
        </w:rPr>
        <w:t>and</w:t>
      </w:r>
      <w:r>
        <w:rPr>
          <w:color w:val="221F1F"/>
          <w:spacing w:val="-6"/>
        </w:rPr>
        <w:t xml:space="preserve"> </w:t>
      </w:r>
      <w:r>
        <w:rPr>
          <w:color w:val="221F1F"/>
        </w:rPr>
        <w:t>submitting</w:t>
      </w:r>
      <w:r>
        <w:rPr>
          <w:color w:val="221F1F"/>
          <w:spacing w:val="-4"/>
        </w:rPr>
        <w:t xml:space="preserve"> </w:t>
      </w:r>
      <w:r>
        <w:rPr>
          <w:color w:val="221F1F"/>
        </w:rPr>
        <w:t>your</w:t>
      </w:r>
      <w:r>
        <w:rPr>
          <w:color w:val="221F1F"/>
          <w:spacing w:val="-3"/>
        </w:rPr>
        <w:t xml:space="preserve"> </w:t>
      </w:r>
      <w:r>
        <w:rPr>
          <w:color w:val="221F1F"/>
          <w:spacing w:val="-2"/>
        </w:rPr>
        <w:t>complaint.</w:t>
      </w:r>
    </w:p>
    <w:p w:rsidR="007F6DF9" w:rsidRDefault="00A43FBC">
      <w:pPr>
        <w:pStyle w:val="ListParagraph"/>
        <w:numPr>
          <w:ilvl w:val="0"/>
          <w:numId w:val="17"/>
        </w:numPr>
        <w:tabs>
          <w:tab w:val="left" w:pos="1551"/>
        </w:tabs>
        <w:spacing w:before="234"/>
        <w:ind w:left="1551" w:hanging="451"/>
      </w:pPr>
      <w:r>
        <w:rPr>
          <w:color w:val="221F1F"/>
        </w:rPr>
        <w:t>There</w:t>
      </w:r>
      <w:r>
        <w:rPr>
          <w:color w:val="221F1F"/>
          <w:spacing w:val="-4"/>
        </w:rPr>
        <w:t xml:space="preserve"> </w:t>
      </w:r>
      <w:r>
        <w:rPr>
          <w:color w:val="221F1F"/>
        </w:rPr>
        <w:t>are</w:t>
      </w:r>
      <w:r>
        <w:rPr>
          <w:color w:val="221F1F"/>
          <w:spacing w:val="-4"/>
        </w:rPr>
        <w:t xml:space="preserve"> </w:t>
      </w:r>
      <w:r>
        <w:rPr>
          <w:color w:val="221F1F"/>
        </w:rPr>
        <w:t>four</w:t>
      </w:r>
      <w:r>
        <w:rPr>
          <w:color w:val="221F1F"/>
          <w:spacing w:val="-1"/>
        </w:rPr>
        <w:t xml:space="preserve"> </w:t>
      </w:r>
      <w:r>
        <w:rPr>
          <w:color w:val="221F1F"/>
        </w:rPr>
        <w:t>essential</w:t>
      </w:r>
      <w:r>
        <w:rPr>
          <w:color w:val="221F1F"/>
          <w:spacing w:val="-2"/>
        </w:rPr>
        <w:t xml:space="preserve"> requirements:</w:t>
      </w:r>
    </w:p>
    <w:p w:rsidR="007F6DF9" w:rsidRDefault="00A43FBC">
      <w:pPr>
        <w:pStyle w:val="ListParagraph"/>
        <w:numPr>
          <w:ilvl w:val="1"/>
          <w:numId w:val="17"/>
        </w:numPr>
        <w:tabs>
          <w:tab w:val="left" w:pos="2043"/>
        </w:tabs>
        <w:spacing w:before="49" w:line="230" w:lineRule="auto"/>
        <w:ind w:left="2043" w:right="664" w:hanging="492"/>
      </w:pPr>
      <w:r>
        <w:rPr>
          <w:color w:val="221F1F"/>
        </w:rPr>
        <w:t>You</w:t>
      </w:r>
      <w:r>
        <w:rPr>
          <w:color w:val="221F1F"/>
          <w:spacing w:val="-17"/>
        </w:rPr>
        <w:t xml:space="preserve"> </w:t>
      </w:r>
      <w:r>
        <w:rPr>
          <w:color w:val="221F1F"/>
        </w:rPr>
        <w:t>must</w:t>
      </w:r>
      <w:r>
        <w:rPr>
          <w:color w:val="221F1F"/>
          <w:spacing w:val="-5"/>
        </w:rPr>
        <w:t xml:space="preserve"> </w:t>
      </w:r>
      <w:r>
        <w:rPr>
          <w:color w:val="221F1F"/>
        </w:rPr>
        <w:t>be</w:t>
      </w:r>
      <w:r>
        <w:rPr>
          <w:color w:val="221F1F"/>
          <w:spacing w:val="-4"/>
        </w:rPr>
        <w:t xml:space="preserve"> </w:t>
      </w:r>
      <w:r>
        <w:rPr>
          <w:color w:val="221F1F"/>
        </w:rPr>
        <w:t>an</w:t>
      </w:r>
      <w:r>
        <w:rPr>
          <w:color w:val="221F1F"/>
          <w:spacing w:val="-4"/>
        </w:rPr>
        <w:t xml:space="preserve"> </w:t>
      </w:r>
      <w:r>
        <w:rPr>
          <w:color w:val="221F1F"/>
        </w:rPr>
        <w:t>'interested</w:t>
      </w:r>
      <w:r>
        <w:rPr>
          <w:color w:val="221F1F"/>
          <w:spacing w:val="-7"/>
        </w:rPr>
        <w:t xml:space="preserve"> </w:t>
      </w:r>
      <w:r>
        <w:rPr>
          <w:color w:val="221F1F"/>
        </w:rPr>
        <w:t>party'.</w:t>
      </w:r>
      <w:r>
        <w:rPr>
          <w:color w:val="221F1F"/>
          <w:spacing w:val="-4"/>
        </w:rPr>
        <w:t xml:space="preserve"> </w:t>
      </w:r>
      <w:r>
        <w:rPr>
          <w:color w:val="221F1F"/>
        </w:rPr>
        <w:t>In</w:t>
      </w:r>
      <w:r>
        <w:rPr>
          <w:color w:val="221F1F"/>
          <w:spacing w:val="-4"/>
        </w:rPr>
        <w:t xml:space="preserve"> </w:t>
      </w:r>
      <w:r>
        <w:rPr>
          <w:color w:val="221F1F"/>
        </w:rPr>
        <w:t>this</w:t>
      </w:r>
      <w:r>
        <w:rPr>
          <w:color w:val="221F1F"/>
          <w:spacing w:val="-4"/>
        </w:rPr>
        <w:t xml:space="preserve"> </w:t>
      </w:r>
      <w:r>
        <w:rPr>
          <w:color w:val="221F1F"/>
        </w:rPr>
        <w:t>case,</w:t>
      </w:r>
      <w:r>
        <w:rPr>
          <w:color w:val="221F1F"/>
          <w:spacing w:val="-7"/>
        </w:rPr>
        <w:t xml:space="preserve"> </w:t>
      </w:r>
      <w:r>
        <w:rPr>
          <w:color w:val="221F1F"/>
        </w:rPr>
        <w:t>that</w:t>
      </w:r>
      <w:r>
        <w:rPr>
          <w:color w:val="221F1F"/>
          <w:spacing w:val="-3"/>
        </w:rPr>
        <w:t xml:space="preserve"> </w:t>
      </w:r>
      <w:r>
        <w:rPr>
          <w:color w:val="221F1F"/>
        </w:rPr>
        <w:t>means</w:t>
      </w:r>
      <w:r>
        <w:rPr>
          <w:color w:val="221F1F"/>
          <w:spacing w:val="-4"/>
        </w:rPr>
        <w:t xml:space="preserve"> </w:t>
      </w:r>
      <w:r>
        <w:rPr>
          <w:color w:val="221F1F"/>
        </w:rPr>
        <w:t>a</w:t>
      </w:r>
      <w:r>
        <w:rPr>
          <w:color w:val="221F1F"/>
          <w:spacing w:val="-4"/>
        </w:rPr>
        <w:t xml:space="preserve"> </w:t>
      </w:r>
      <w:r>
        <w:rPr>
          <w:color w:val="221F1F"/>
        </w:rPr>
        <w:t>Tenderer</w:t>
      </w:r>
      <w:r>
        <w:rPr>
          <w:color w:val="221F1F"/>
          <w:spacing w:val="-3"/>
        </w:rPr>
        <w:t xml:space="preserve"> </w:t>
      </w:r>
      <w:r>
        <w:rPr>
          <w:color w:val="221F1F"/>
        </w:rPr>
        <w:t>who</w:t>
      </w:r>
      <w:r>
        <w:rPr>
          <w:color w:val="221F1F"/>
          <w:spacing w:val="-7"/>
        </w:rPr>
        <w:t xml:space="preserve"> </w:t>
      </w:r>
      <w:r>
        <w:rPr>
          <w:color w:val="221F1F"/>
        </w:rPr>
        <w:t>submitted</w:t>
      </w:r>
      <w:r>
        <w:rPr>
          <w:color w:val="221F1F"/>
          <w:spacing w:val="-4"/>
        </w:rPr>
        <w:t xml:space="preserve"> </w:t>
      </w:r>
      <w:r>
        <w:rPr>
          <w:color w:val="221F1F"/>
        </w:rPr>
        <w:t>a Tender</w:t>
      </w:r>
      <w:r>
        <w:rPr>
          <w:color w:val="221F1F"/>
          <w:spacing w:val="-7"/>
        </w:rPr>
        <w:t xml:space="preserve"> </w:t>
      </w:r>
      <w:r>
        <w:rPr>
          <w:color w:val="221F1F"/>
        </w:rPr>
        <w:t>in</w:t>
      </w:r>
      <w:r>
        <w:rPr>
          <w:color w:val="221F1F"/>
          <w:spacing w:val="-4"/>
        </w:rPr>
        <w:t xml:space="preserve"> </w:t>
      </w:r>
      <w:r>
        <w:rPr>
          <w:color w:val="221F1F"/>
        </w:rPr>
        <w:t>this tendering process and is the recipient of a Notification of Intention to Award.</w:t>
      </w:r>
    </w:p>
    <w:p w:rsidR="007F6DF9" w:rsidRDefault="00A43FBC">
      <w:pPr>
        <w:pStyle w:val="ListParagraph"/>
        <w:numPr>
          <w:ilvl w:val="1"/>
          <w:numId w:val="17"/>
        </w:numPr>
        <w:tabs>
          <w:tab w:val="left" w:pos="2043"/>
        </w:tabs>
        <w:spacing w:before="41"/>
        <w:ind w:left="2043" w:hanging="492"/>
      </w:pPr>
      <w:r>
        <w:rPr>
          <w:color w:val="221F1F"/>
        </w:rPr>
        <w:t>The</w:t>
      </w:r>
      <w:r>
        <w:rPr>
          <w:color w:val="221F1F"/>
          <w:spacing w:val="-5"/>
        </w:rPr>
        <w:t xml:space="preserve"> </w:t>
      </w:r>
      <w:r>
        <w:rPr>
          <w:color w:val="221F1F"/>
        </w:rPr>
        <w:t>complaint</w:t>
      </w:r>
      <w:r>
        <w:rPr>
          <w:color w:val="221F1F"/>
          <w:spacing w:val="-1"/>
        </w:rPr>
        <w:t xml:space="preserve"> </w:t>
      </w:r>
      <w:r>
        <w:rPr>
          <w:color w:val="221F1F"/>
        </w:rPr>
        <w:t>can</w:t>
      </w:r>
      <w:r>
        <w:rPr>
          <w:color w:val="221F1F"/>
          <w:spacing w:val="-2"/>
        </w:rPr>
        <w:t xml:space="preserve"> </w:t>
      </w:r>
      <w:r>
        <w:rPr>
          <w:color w:val="221F1F"/>
        </w:rPr>
        <w:t>only</w:t>
      </w:r>
      <w:r>
        <w:rPr>
          <w:color w:val="221F1F"/>
          <w:spacing w:val="-2"/>
        </w:rPr>
        <w:t xml:space="preserve"> </w:t>
      </w:r>
      <w:r>
        <w:rPr>
          <w:color w:val="221F1F"/>
        </w:rPr>
        <w:t>challenge</w:t>
      </w:r>
      <w:r>
        <w:rPr>
          <w:color w:val="221F1F"/>
          <w:spacing w:val="-5"/>
        </w:rPr>
        <w:t xml:space="preserve"> </w:t>
      </w:r>
      <w:r>
        <w:rPr>
          <w:color w:val="221F1F"/>
        </w:rPr>
        <w:t>the</w:t>
      </w:r>
      <w:r>
        <w:rPr>
          <w:color w:val="221F1F"/>
          <w:spacing w:val="-2"/>
        </w:rPr>
        <w:t xml:space="preserve"> </w:t>
      </w:r>
      <w:r>
        <w:rPr>
          <w:color w:val="221F1F"/>
        </w:rPr>
        <w:t>decision</w:t>
      </w:r>
      <w:r>
        <w:rPr>
          <w:color w:val="221F1F"/>
          <w:spacing w:val="-2"/>
        </w:rPr>
        <w:t xml:space="preserve"> </w:t>
      </w:r>
      <w:r>
        <w:rPr>
          <w:color w:val="221F1F"/>
        </w:rPr>
        <w:t>to</w:t>
      </w:r>
      <w:r>
        <w:rPr>
          <w:color w:val="221F1F"/>
          <w:spacing w:val="-6"/>
        </w:rPr>
        <w:t xml:space="preserve"> </w:t>
      </w:r>
      <w:r>
        <w:rPr>
          <w:color w:val="221F1F"/>
        </w:rPr>
        <w:t>award</w:t>
      </w:r>
      <w:r>
        <w:rPr>
          <w:color w:val="221F1F"/>
          <w:spacing w:val="-2"/>
        </w:rPr>
        <w:t xml:space="preserve"> </w:t>
      </w:r>
      <w:r>
        <w:rPr>
          <w:color w:val="221F1F"/>
        </w:rPr>
        <w:t>the</w:t>
      </w:r>
      <w:r>
        <w:rPr>
          <w:color w:val="221F1F"/>
          <w:spacing w:val="-4"/>
        </w:rPr>
        <w:t xml:space="preserve"> </w:t>
      </w:r>
      <w:r>
        <w:rPr>
          <w:color w:val="221F1F"/>
          <w:spacing w:val="-2"/>
        </w:rPr>
        <w:t>contract.</w:t>
      </w:r>
    </w:p>
    <w:p w:rsidR="007F6DF9" w:rsidRDefault="00A43FBC">
      <w:pPr>
        <w:pStyle w:val="ListParagraph"/>
        <w:numPr>
          <w:ilvl w:val="1"/>
          <w:numId w:val="17"/>
        </w:numPr>
        <w:tabs>
          <w:tab w:val="left" w:pos="2043"/>
        </w:tabs>
        <w:spacing w:before="40"/>
        <w:ind w:left="2043" w:hanging="492"/>
      </w:pPr>
      <w:r>
        <w:rPr>
          <w:color w:val="221F1F"/>
        </w:rPr>
        <w:t>You</w:t>
      </w:r>
      <w:r>
        <w:rPr>
          <w:color w:val="221F1F"/>
          <w:spacing w:val="-17"/>
        </w:rPr>
        <w:t xml:space="preserve"> </w:t>
      </w:r>
      <w:r>
        <w:rPr>
          <w:color w:val="221F1F"/>
        </w:rPr>
        <w:t>must</w:t>
      </w:r>
      <w:r>
        <w:rPr>
          <w:color w:val="221F1F"/>
          <w:spacing w:val="-10"/>
        </w:rPr>
        <w:t xml:space="preserve"> </w:t>
      </w:r>
      <w:r>
        <w:rPr>
          <w:color w:val="221F1F"/>
        </w:rPr>
        <w:t>submit</w:t>
      </w:r>
      <w:r>
        <w:rPr>
          <w:color w:val="221F1F"/>
          <w:spacing w:val="-3"/>
        </w:rPr>
        <w:t xml:space="preserve"> </w:t>
      </w:r>
      <w:r>
        <w:rPr>
          <w:color w:val="221F1F"/>
        </w:rPr>
        <w:t>the</w:t>
      </w:r>
      <w:r>
        <w:rPr>
          <w:color w:val="221F1F"/>
          <w:spacing w:val="-5"/>
        </w:rPr>
        <w:t xml:space="preserve"> </w:t>
      </w:r>
      <w:r>
        <w:rPr>
          <w:color w:val="221F1F"/>
        </w:rPr>
        <w:t>complaint</w:t>
      </w:r>
      <w:r>
        <w:rPr>
          <w:color w:val="221F1F"/>
          <w:spacing w:val="-4"/>
        </w:rPr>
        <w:t xml:space="preserve"> </w:t>
      </w:r>
      <w:r>
        <w:rPr>
          <w:color w:val="221F1F"/>
        </w:rPr>
        <w:t>within</w:t>
      </w:r>
      <w:r>
        <w:rPr>
          <w:color w:val="221F1F"/>
          <w:spacing w:val="-7"/>
        </w:rPr>
        <w:t xml:space="preserve"> </w:t>
      </w:r>
      <w:r>
        <w:rPr>
          <w:color w:val="221F1F"/>
        </w:rPr>
        <w:t>the</w:t>
      </w:r>
      <w:r>
        <w:rPr>
          <w:color w:val="221F1F"/>
          <w:spacing w:val="-7"/>
        </w:rPr>
        <w:t xml:space="preserve"> </w:t>
      </w:r>
      <w:r>
        <w:rPr>
          <w:color w:val="221F1F"/>
        </w:rPr>
        <w:t>period</w:t>
      </w:r>
      <w:r>
        <w:rPr>
          <w:color w:val="221F1F"/>
          <w:spacing w:val="-7"/>
        </w:rPr>
        <w:t xml:space="preserve"> </w:t>
      </w:r>
      <w:r>
        <w:rPr>
          <w:color w:val="221F1F"/>
        </w:rPr>
        <w:t>stated</w:t>
      </w:r>
      <w:r>
        <w:rPr>
          <w:color w:val="221F1F"/>
          <w:spacing w:val="-6"/>
        </w:rPr>
        <w:t xml:space="preserve"> </w:t>
      </w:r>
      <w:r>
        <w:rPr>
          <w:color w:val="221F1F"/>
          <w:spacing w:val="-2"/>
        </w:rPr>
        <w:t>above.</w:t>
      </w:r>
    </w:p>
    <w:p w:rsidR="007F6DF9" w:rsidRDefault="00A43FBC">
      <w:pPr>
        <w:pStyle w:val="ListParagraph"/>
        <w:numPr>
          <w:ilvl w:val="1"/>
          <w:numId w:val="17"/>
        </w:numPr>
        <w:tabs>
          <w:tab w:val="left" w:pos="2043"/>
        </w:tabs>
        <w:spacing w:before="40"/>
        <w:ind w:left="2043" w:hanging="492"/>
      </w:pPr>
      <w:r>
        <w:rPr>
          <w:color w:val="221F1F"/>
        </w:rPr>
        <w:t>You</w:t>
      </w:r>
      <w:r>
        <w:rPr>
          <w:color w:val="221F1F"/>
          <w:spacing w:val="13"/>
        </w:rPr>
        <w:t xml:space="preserve"> </w:t>
      </w:r>
      <w:r>
        <w:rPr>
          <w:color w:val="221F1F"/>
        </w:rPr>
        <w:t>must</w:t>
      </w:r>
      <w:r>
        <w:rPr>
          <w:color w:val="221F1F"/>
          <w:spacing w:val="26"/>
        </w:rPr>
        <w:t xml:space="preserve"> </w:t>
      </w:r>
      <w:r>
        <w:rPr>
          <w:color w:val="221F1F"/>
        </w:rPr>
        <w:t>include,</w:t>
      </w:r>
      <w:r>
        <w:rPr>
          <w:color w:val="221F1F"/>
          <w:spacing w:val="33"/>
        </w:rPr>
        <w:t xml:space="preserve"> </w:t>
      </w:r>
      <w:r>
        <w:rPr>
          <w:color w:val="221F1F"/>
        </w:rPr>
        <w:t>in</w:t>
      </w:r>
      <w:r>
        <w:rPr>
          <w:color w:val="221F1F"/>
          <w:spacing w:val="21"/>
        </w:rPr>
        <w:t xml:space="preserve"> </w:t>
      </w:r>
      <w:r>
        <w:rPr>
          <w:color w:val="221F1F"/>
        </w:rPr>
        <w:t>your</w:t>
      </w:r>
      <w:r>
        <w:rPr>
          <w:color w:val="221F1F"/>
          <w:spacing w:val="25"/>
        </w:rPr>
        <w:t xml:space="preserve"> </w:t>
      </w:r>
      <w:r>
        <w:rPr>
          <w:color w:val="221F1F"/>
        </w:rPr>
        <w:t>complaint,</w:t>
      </w:r>
      <w:r>
        <w:rPr>
          <w:color w:val="221F1F"/>
          <w:spacing w:val="33"/>
        </w:rPr>
        <w:t xml:space="preserve"> </w:t>
      </w:r>
      <w:r>
        <w:rPr>
          <w:color w:val="221F1F"/>
        </w:rPr>
        <w:t>all</w:t>
      </w:r>
      <w:r>
        <w:rPr>
          <w:color w:val="221F1F"/>
          <w:spacing w:val="29"/>
        </w:rPr>
        <w:t xml:space="preserve"> </w:t>
      </w:r>
      <w:r>
        <w:rPr>
          <w:color w:val="221F1F"/>
        </w:rPr>
        <w:t>of</w:t>
      </w:r>
      <w:r>
        <w:rPr>
          <w:color w:val="221F1F"/>
          <w:spacing w:val="20"/>
        </w:rPr>
        <w:t xml:space="preserve"> </w:t>
      </w:r>
      <w:r>
        <w:rPr>
          <w:color w:val="221F1F"/>
        </w:rPr>
        <w:t>the</w:t>
      </w:r>
      <w:r>
        <w:rPr>
          <w:color w:val="221F1F"/>
          <w:spacing w:val="25"/>
        </w:rPr>
        <w:t xml:space="preserve"> </w:t>
      </w:r>
      <w:r>
        <w:rPr>
          <w:color w:val="221F1F"/>
        </w:rPr>
        <w:t>information</w:t>
      </w:r>
      <w:r>
        <w:rPr>
          <w:color w:val="221F1F"/>
          <w:spacing w:val="27"/>
        </w:rPr>
        <w:t xml:space="preserve"> </w:t>
      </w:r>
      <w:r>
        <w:rPr>
          <w:color w:val="221F1F"/>
        </w:rPr>
        <w:t>required</w:t>
      </w:r>
      <w:r>
        <w:rPr>
          <w:color w:val="221F1F"/>
          <w:spacing w:val="38"/>
        </w:rPr>
        <w:t xml:space="preserve"> </w:t>
      </w:r>
      <w:r>
        <w:rPr>
          <w:color w:val="221F1F"/>
        </w:rPr>
        <w:t>to</w:t>
      </w:r>
      <w:r>
        <w:rPr>
          <w:color w:val="221F1F"/>
          <w:spacing w:val="21"/>
        </w:rPr>
        <w:t xml:space="preserve"> </w:t>
      </w:r>
      <w:r>
        <w:rPr>
          <w:color w:val="221F1F"/>
        </w:rPr>
        <w:t>support</w:t>
      </w:r>
      <w:r>
        <w:rPr>
          <w:color w:val="221F1F"/>
          <w:spacing w:val="28"/>
        </w:rPr>
        <w:t xml:space="preserve"> </w:t>
      </w:r>
      <w:r>
        <w:rPr>
          <w:color w:val="221F1F"/>
        </w:rPr>
        <w:t>your</w:t>
      </w:r>
      <w:r>
        <w:rPr>
          <w:color w:val="221F1F"/>
          <w:spacing w:val="28"/>
        </w:rPr>
        <w:t xml:space="preserve"> </w:t>
      </w:r>
      <w:r>
        <w:rPr>
          <w:color w:val="221F1F"/>
          <w:spacing w:val="-2"/>
        </w:rPr>
        <w:t>complaint.</w:t>
      </w:r>
    </w:p>
    <w:p w:rsidR="007F6DF9" w:rsidRDefault="00A43FBC">
      <w:pPr>
        <w:pStyle w:val="ListParagraph"/>
        <w:numPr>
          <w:ilvl w:val="0"/>
          <w:numId w:val="20"/>
        </w:numPr>
        <w:tabs>
          <w:tab w:val="left" w:pos="1078"/>
        </w:tabs>
        <w:spacing w:before="234"/>
        <w:ind w:left="1078" w:hanging="367"/>
        <w:rPr>
          <w:b/>
          <w:color w:val="221F1F"/>
        </w:rPr>
      </w:pPr>
      <w:r>
        <w:rPr>
          <w:b/>
          <w:color w:val="221F1F"/>
          <w:u w:val="single" w:color="221F1F"/>
        </w:rPr>
        <w:t>Standstill</w:t>
      </w:r>
      <w:r>
        <w:rPr>
          <w:b/>
          <w:color w:val="221F1F"/>
          <w:spacing w:val="-5"/>
          <w:u w:val="single" w:color="221F1F"/>
        </w:rPr>
        <w:t xml:space="preserve"> </w:t>
      </w:r>
      <w:r>
        <w:rPr>
          <w:b/>
          <w:color w:val="221F1F"/>
          <w:spacing w:val="-2"/>
          <w:u w:val="single" w:color="221F1F"/>
        </w:rPr>
        <w:t>Period</w:t>
      </w:r>
    </w:p>
    <w:p w:rsidR="007F6DF9" w:rsidRDefault="007F6DF9">
      <w:pPr>
        <w:pStyle w:val="BodyText"/>
        <w:spacing w:before="29"/>
        <w:rPr>
          <w:b/>
        </w:rPr>
      </w:pPr>
    </w:p>
    <w:p w:rsidR="007F6DF9" w:rsidRDefault="00A43FBC">
      <w:pPr>
        <w:pStyle w:val="ListParagraph"/>
        <w:numPr>
          <w:ilvl w:val="1"/>
          <w:numId w:val="20"/>
        </w:numPr>
        <w:tabs>
          <w:tab w:val="left" w:pos="1551"/>
        </w:tabs>
        <w:rPr>
          <w:color w:val="221F1F"/>
        </w:rPr>
      </w:pPr>
      <w:r>
        <w:rPr>
          <w:color w:val="221F1F"/>
        </w:rPr>
        <w:t>DEADLINE:</w:t>
      </w:r>
      <w:r>
        <w:rPr>
          <w:color w:val="221F1F"/>
          <w:spacing w:val="-3"/>
        </w:rPr>
        <w:t xml:space="preserve"> </w:t>
      </w:r>
      <w:r>
        <w:rPr>
          <w:color w:val="221F1F"/>
        </w:rPr>
        <w:t>The</w:t>
      </w:r>
      <w:r>
        <w:rPr>
          <w:color w:val="221F1F"/>
          <w:spacing w:val="-3"/>
        </w:rPr>
        <w:t xml:space="preserve"> </w:t>
      </w:r>
      <w:r>
        <w:rPr>
          <w:color w:val="221F1F"/>
        </w:rPr>
        <w:t>Standstill</w:t>
      </w:r>
      <w:r>
        <w:rPr>
          <w:color w:val="221F1F"/>
          <w:spacing w:val="-1"/>
        </w:rPr>
        <w:t xml:space="preserve"> </w:t>
      </w:r>
      <w:r>
        <w:rPr>
          <w:color w:val="221F1F"/>
        </w:rPr>
        <w:t>Period</w:t>
      </w:r>
      <w:r>
        <w:rPr>
          <w:color w:val="221F1F"/>
          <w:spacing w:val="-6"/>
        </w:rPr>
        <w:t xml:space="preserve"> </w:t>
      </w:r>
      <w:r>
        <w:rPr>
          <w:color w:val="221F1F"/>
        </w:rPr>
        <w:t>is</w:t>
      </w:r>
      <w:r>
        <w:rPr>
          <w:color w:val="221F1F"/>
          <w:spacing w:val="-3"/>
        </w:rPr>
        <w:t xml:space="preserve"> </w:t>
      </w:r>
      <w:r>
        <w:rPr>
          <w:color w:val="221F1F"/>
        </w:rPr>
        <w:t>due</w:t>
      </w:r>
      <w:r>
        <w:rPr>
          <w:color w:val="221F1F"/>
          <w:spacing w:val="-5"/>
        </w:rPr>
        <w:t xml:space="preserve"> </w:t>
      </w:r>
      <w:r>
        <w:rPr>
          <w:color w:val="221F1F"/>
        </w:rPr>
        <w:t>to</w:t>
      </w:r>
      <w:r>
        <w:rPr>
          <w:color w:val="221F1F"/>
          <w:spacing w:val="-2"/>
        </w:rPr>
        <w:t xml:space="preserve"> </w:t>
      </w:r>
      <w:r>
        <w:rPr>
          <w:color w:val="221F1F"/>
        </w:rPr>
        <w:t>end</w:t>
      </w:r>
      <w:r>
        <w:rPr>
          <w:color w:val="221F1F"/>
          <w:spacing w:val="-5"/>
        </w:rPr>
        <w:t xml:space="preserve"> </w:t>
      </w:r>
      <w:r>
        <w:rPr>
          <w:color w:val="221F1F"/>
        </w:rPr>
        <w:t>at</w:t>
      </w:r>
      <w:r>
        <w:rPr>
          <w:color w:val="221F1F"/>
          <w:spacing w:val="-5"/>
        </w:rPr>
        <w:t xml:space="preserve"> </w:t>
      </w:r>
      <w:r>
        <w:rPr>
          <w:color w:val="221F1F"/>
        </w:rPr>
        <w:t>midnight</w:t>
      </w:r>
      <w:r>
        <w:rPr>
          <w:color w:val="221F1F"/>
          <w:spacing w:val="-2"/>
        </w:rPr>
        <w:t xml:space="preserve"> </w:t>
      </w:r>
      <w:r>
        <w:rPr>
          <w:color w:val="221F1F"/>
        </w:rPr>
        <w:t>on</w:t>
      </w:r>
      <w:r>
        <w:rPr>
          <w:color w:val="221F1F"/>
          <w:spacing w:val="-6"/>
        </w:rPr>
        <w:t xml:space="preserve"> </w:t>
      </w:r>
      <w:r>
        <w:rPr>
          <w:color w:val="221F1F"/>
        </w:rPr>
        <w:t>[</w:t>
      </w:r>
      <w:r>
        <w:rPr>
          <w:i/>
          <w:color w:val="221F1F"/>
        </w:rPr>
        <w:t>insert</w:t>
      </w:r>
      <w:r>
        <w:rPr>
          <w:i/>
          <w:color w:val="221F1F"/>
          <w:spacing w:val="-2"/>
        </w:rPr>
        <w:t xml:space="preserve"> </w:t>
      </w:r>
      <w:r>
        <w:rPr>
          <w:i/>
          <w:color w:val="221F1F"/>
        </w:rPr>
        <w:t>date</w:t>
      </w:r>
      <w:r>
        <w:rPr>
          <w:color w:val="221F1F"/>
        </w:rPr>
        <w:t>]</w:t>
      </w:r>
      <w:r>
        <w:rPr>
          <w:color w:val="221F1F"/>
          <w:spacing w:val="-2"/>
        </w:rPr>
        <w:t xml:space="preserve"> </w:t>
      </w:r>
      <w:r>
        <w:rPr>
          <w:color w:val="221F1F"/>
        </w:rPr>
        <w:t xml:space="preserve">(local </w:t>
      </w:r>
      <w:r>
        <w:rPr>
          <w:color w:val="221F1F"/>
          <w:spacing w:val="-2"/>
        </w:rPr>
        <w:t>time).</w:t>
      </w:r>
    </w:p>
    <w:p w:rsidR="007F6DF9" w:rsidRDefault="00A43FBC">
      <w:pPr>
        <w:pStyle w:val="ListParagraph"/>
        <w:numPr>
          <w:ilvl w:val="1"/>
          <w:numId w:val="20"/>
        </w:numPr>
        <w:tabs>
          <w:tab w:val="left" w:pos="1548"/>
          <w:tab w:val="left" w:pos="1558"/>
        </w:tabs>
        <w:spacing w:before="48" w:line="230" w:lineRule="auto"/>
        <w:ind w:left="1558" w:right="742" w:hanging="480"/>
        <w:rPr>
          <w:color w:val="221F1F"/>
        </w:rPr>
      </w:pPr>
      <w:r>
        <w:rPr>
          <w:color w:val="221F1F"/>
        </w:rPr>
        <w:t>The</w:t>
      </w:r>
      <w:r>
        <w:rPr>
          <w:color w:val="221F1F"/>
          <w:spacing w:val="-2"/>
        </w:rPr>
        <w:t xml:space="preserve"> </w:t>
      </w:r>
      <w:r>
        <w:rPr>
          <w:color w:val="221F1F"/>
        </w:rPr>
        <w:t>Standstill</w:t>
      </w:r>
      <w:r>
        <w:rPr>
          <w:color w:val="221F1F"/>
          <w:spacing w:val="-2"/>
        </w:rPr>
        <w:t xml:space="preserve"> </w:t>
      </w:r>
      <w:r>
        <w:rPr>
          <w:color w:val="221F1F"/>
        </w:rPr>
        <w:t>Period</w:t>
      </w:r>
      <w:r>
        <w:rPr>
          <w:color w:val="221F1F"/>
          <w:spacing w:val="-5"/>
        </w:rPr>
        <w:t xml:space="preserve"> </w:t>
      </w:r>
      <w:r>
        <w:rPr>
          <w:color w:val="221F1F"/>
        </w:rPr>
        <w:t>lasts</w:t>
      </w:r>
      <w:r>
        <w:rPr>
          <w:color w:val="221F1F"/>
          <w:spacing w:val="-4"/>
        </w:rPr>
        <w:t xml:space="preserve"> </w:t>
      </w:r>
      <w:r>
        <w:rPr>
          <w:color w:val="221F1F"/>
        </w:rPr>
        <w:t>ten</w:t>
      </w:r>
      <w:r>
        <w:rPr>
          <w:color w:val="221F1F"/>
          <w:spacing w:val="-2"/>
        </w:rPr>
        <w:t xml:space="preserve"> </w:t>
      </w:r>
      <w:r>
        <w:rPr>
          <w:color w:val="221F1F"/>
        </w:rPr>
        <w:t>(14)</w:t>
      </w:r>
      <w:r>
        <w:rPr>
          <w:color w:val="221F1F"/>
          <w:spacing w:val="-3"/>
        </w:rPr>
        <w:t xml:space="preserve"> </w:t>
      </w:r>
      <w:r>
        <w:rPr>
          <w:color w:val="221F1F"/>
        </w:rPr>
        <w:t>Days</w:t>
      </w:r>
      <w:r>
        <w:rPr>
          <w:color w:val="221F1F"/>
          <w:spacing w:val="-2"/>
        </w:rPr>
        <w:t xml:space="preserve"> </w:t>
      </w:r>
      <w:r>
        <w:rPr>
          <w:color w:val="221F1F"/>
        </w:rPr>
        <w:t>after</w:t>
      </w:r>
      <w:r>
        <w:rPr>
          <w:color w:val="221F1F"/>
          <w:spacing w:val="-3"/>
        </w:rPr>
        <w:t xml:space="preserve"> </w:t>
      </w:r>
      <w:r>
        <w:rPr>
          <w:color w:val="221F1F"/>
        </w:rPr>
        <w:t>the</w:t>
      </w:r>
      <w:r>
        <w:rPr>
          <w:color w:val="221F1F"/>
          <w:spacing w:val="-2"/>
        </w:rPr>
        <w:t xml:space="preserve"> </w:t>
      </w:r>
      <w:r>
        <w:rPr>
          <w:color w:val="221F1F"/>
        </w:rPr>
        <w:t>date</w:t>
      </w:r>
      <w:r>
        <w:rPr>
          <w:color w:val="221F1F"/>
          <w:spacing w:val="-4"/>
        </w:rPr>
        <w:t xml:space="preserve"> </w:t>
      </w:r>
      <w:r>
        <w:rPr>
          <w:color w:val="221F1F"/>
        </w:rPr>
        <w:t>of</w:t>
      </w:r>
      <w:r>
        <w:rPr>
          <w:color w:val="221F1F"/>
          <w:spacing w:val="-2"/>
        </w:rPr>
        <w:t xml:space="preserve"> </w:t>
      </w:r>
      <w:r>
        <w:rPr>
          <w:color w:val="221F1F"/>
        </w:rPr>
        <w:t>transmission</w:t>
      </w:r>
      <w:r>
        <w:rPr>
          <w:color w:val="221F1F"/>
          <w:spacing w:val="-3"/>
        </w:rPr>
        <w:t xml:space="preserve"> </w:t>
      </w:r>
      <w:r>
        <w:rPr>
          <w:color w:val="221F1F"/>
        </w:rPr>
        <w:t>of</w:t>
      </w:r>
      <w:r>
        <w:rPr>
          <w:color w:val="221F1F"/>
          <w:spacing w:val="-4"/>
        </w:rPr>
        <w:t xml:space="preserve"> </w:t>
      </w:r>
      <w:r>
        <w:rPr>
          <w:color w:val="221F1F"/>
        </w:rPr>
        <w:t>this</w:t>
      </w:r>
      <w:r>
        <w:rPr>
          <w:color w:val="221F1F"/>
          <w:spacing w:val="-2"/>
        </w:rPr>
        <w:t xml:space="preserve"> </w:t>
      </w:r>
      <w:r>
        <w:rPr>
          <w:color w:val="221F1F"/>
        </w:rPr>
        <w:t>Notification</w:t>
      </w:r>
      <w:r>
        <w:rPr>
          <w:color w:val="221F1F"/>
          <w:spacing w:val="-3"/>
        </w:rPr>
        <w:t xml:space="preserve"> </w:t>
      </w:r>
      <w:r>
        <w:rPr>
          <w:color w:val="221F1F"/>
        </w:rPr>
        <w:t>of</w:t>
      </w:r>
      <w:r>
        <w:rPr>
          <w:color w:val="221F1F"/>
          <w:spacing w:val="-2"/>
        </w:rPr>
        <w:t xml:space="preserve"> </w:t>
      </w:r>
      <w:r>
        <w:rPr>
          <w:color w:val="221F1F"/>
        </w:rPr>
        <w:t>Intention</w:t>
      </w:r>
      <w:r>
        <w:rPr>
          <w:color w:val="221F1F"/>
          <w:spacing w:val="-3"/>
        </w:rPr>
        <w:t xml:space="preserve"> </w:t>
      </w:r>
      <w:r>
        <w:rPr>
          <w:color w:val="221F1F"/>
        </w:rPr>
        <w:t xml:space="preserve">to </w:t>
      </w:r>
      <w:r>
        <w:rPr>
          <w:color w:val="221F1F"/>
          <w:spacing w:val="-2"/>
        </w:rPr>
        <w:t>Award.</w:t>
      </w:r>
    </w:p>
    <w:p w:rsidR="007F6DF9" w:rsidRDefault="00A43FBC">
      <w:pPr>
        <w:pStyle w:val="ListParagraph"/>
        <w:numPr>
          <w:ilvl w:val="1"/>
          <w:numId w:val="20"/>
        </w:numPr>
        <w:tabs>
          <w:tab w:val="left" w:pos="1548"/>
        </w:tabs>
        <w:spacing w:before="41"/>
        <w:ind w:left="1548" w:hanging="470"/>
        <w:rPr>
          <w:color w:val="221F1F"/>
        </w:rPr>
      </w:pPr>
      <w:r>
        <w:rPr>
          <w:color w:val="221F1F"/>
        </w:rPr>
        <w:t>The</w:t>
      </w:r>
      <w:r>
        <w:rPr>
          <w:color w:val="221F1F"/>
          <w:spacing w:val="-3"/>
        </w:rPr>
        <w:t xml:space="preserve"> </w:t>
      </w:r>
      <w:r>
        <w:rPr>
          <w:color w:val="221F1F"/>
        </w:rPr>
        <w:t>Standstill</w:t>
      </w:r>
      <w:r>
        <w:rPr>
          <w:color w:val="221F1F"/>
          <w:spacing w:val="-1"/>
        </w:rPr>
        <w:t xml:space="preserve"> </w:t>
      </w:r>
      <w:r>
        <w:rPr>
          <w:color w:val="221F1F"/>
        </w:rPr>
        <w:t>Period</w:t>
      </w:r>
      <w:r>
        <w:rPr>
          <w:color w:val="221F1F"/>
          <w:spacing w:val="-4"/>
        </w:rPr>
        <w:t xml:space="preserve"> </w:t>
      </w:r>
      <w:r>
        <w:rPr>
          <w:color w:val="221F1F"/>
        </w:rPr>
        <w:t>may</w:t>
      </w:r>
      <w:r>
        <w:rPr>
          <w:color w:val="221F1F"/>
          <w:spacing w:val="-4"/>
        </w:rPr>
        <w:t xml:space="preserve"> </w:t>
      </w:r>
      <w:r>
        <w:rPr>
          <w:color w:val="221F1F"/>
        </w:rPr>
        <w:t>be</w:t>
      </w:r>
      <w:r>
        <w:rPr>
          <w:color w:val="221F1F"/>
          <w:spacing w:val="-2"/>
        </w:rPr>
        <w:t xml:space="preserve"> </w:t>
      </w:r>
      <w:r>
        <w:rPr>
          <w:color w:val="221F1F"/>
        </w:rPr>
        <w:t>extended</w:t>
      </w:r>
      <w:r>
        <w:rPr>
          <w:color w:val="221F1F"/>
          <w:spacing w:val="-2"/>
        </w:rPr>
        <w:t xml:space="preserve"> </w:t>
      </w:r>
      <w:r>
        <w:rPr>
          <w:color w:val="221F1F"/>
        </w:rPr>
        <w:t>as</w:t>
      </w:r>
      <w:r>
        <w:rPr>
          <w:color w:val="221F1F"/>
          <w:spacing w:val="-4"/>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paragraph</w:t>
      </w:r>
      <w:r>
        <w:rPr>
          <w:color w:val="221F1F"/>
          <w:spacing w:val="-2"/>
        </w:rPr>
        <w:t xml:space="preserve"> </w:t>
      </w:r>
      <w:r>
        <w:rPr>
          <w:color w:val="221F1F"/>
        </w:rPr>
        <w:t>Section</w:t>
      </w:r>
      <w:r>
        <w:rPr>
          <w:color w:val="221F1F"/>
          <w:spacing w:val="-2"/>
        </w:rPr>
        <w:t xml:space="preserve"> </w:t>
      </w:r>
      <w:r>
        <w:rPr>
          <w:color w:val="221F1F"/>
        </w:rPr>
        <w:t>5(d)</w:t>
      </w:r>
      <w:r>
        <w:rPr>
          <w:color w:val="221F1F"/>
          <w:spacing w:val="-1"/>
        </w:rPr>
        <w:t xml:space="preserve"> </w:t>
      </w:r>
      <w:r>
        <w:rPr>
          <w:color w:val="221F1F"/>
          <w:spacing w:val="-2"/>
        </w:rPr>
        <w:t>above.</w:t>
      </w:r>
    </w:p>
    <w:p w:rsidR="007F6DF9" w:rsidRDefault="00A43FBC">
      <w:pPr>
        <w:pStyle w:val="BodyText"/>
        <w:spacing w:before="244" w:line="230" w:lineRule="auto"/>
        <w:ind w:left="1071" w:right="2727"/>
      </w:pPr>
      <w:r>
        <w:rPr>
          <w:color w:val="221F1F"/>
        </w:rPr>
        <w:t>If</w:t>
      </w:r>
      <w:r>
        <w:rPr>
          <w:color w:val="221F1F"/>
          <w:spacing w:val="-2"/>
        </w:rPr>
        <w:t xml:space="preserve"> </w:t>
      </w:r>
      <w:r>
        <w:rPr>
          <w:color w:val="221F1F"/>
        </w:rPr>
        <w:t>you</w:t>
      </w:r>
      <w:r>
        <w:rPr>
          <w:color w:val="221F1F"/>
          <w:spacing w:val="-3"/>
        </w:rPr>
        <w:t xml:space="preserve"> </w:t>
      </w:r>
      <w:r>
        <w:rPr>
          <w:color w:val="221F1F"/>
        </w:rPr>
        <w:t>have</w:t>
      </w:r>
      <w:r>
        <w:rPr>
          <w:color w:val="221F1F"/>
          <w:spacing w:val="-3"/>
        </w:rPr>
        <w:t xml:space="preserve"> </w:t>
      </w:r>
      <w:r>
        <w:rPr>
          <w:color w:val="221F1F"/>
        </w:rPr>
        <w:t>any</w:t>
      </w:r>
      <w:r>
        <w:rPr>
          <w:color w:val="221F1F"/>
          <w:spacing w:val="-5"/>
        </w:rPr>
        <w:t xml:space="preserve"> </w:t>
      </w:r>
      <w:r>
        <w:rPr>
          <w:color w:val="221F1F"/>
        </w:rPr>
        <w:t>questions</w:t>
      </w:r>
      <w:r>
        <w:rPr>
          <w:color w:val="221F1F"/>
          <w:spacing w:val="-5"/>
        </w:rPr>
        <w:t xml:space="preserve"> </w:t>
      </w:r>
      <w:r>
        <w:rPr>
          <w:color w:val="221F1F"/>
        </w:rPr>
        <w:t>regarding</w:t>
      </w:r>
      <w:r>
        <w:rPr>
          <w:color w:val="221F1F"/>
          <w:spacing w:val="-4"/>
        </w:rPr>
        <w:t xml:space="preserve"> </w:t>
      </w:r>
      <w:r>
        <w:rPr>
          <w:color w:val="221F1F"/>
        </w:rPr>
        <w:t>this</w:t>
      </w:r>
      <w:r>
        <w:rPr>
          <w:color w:val="221F1F"/>
          <w:spacing w:val="-2"/>
        </w:rPr>
        <w:t xml:space="preserve"> </w:t>
      </w:r>
      <w:proofErr w:type="gramStart"/>
      <w:r>
        <w:rPr>
          <w:color w:val="221F1F"/>
        </w:rPr>
        <w:t>Notification</w:t>
      </w:r>
      <w:proofErr w:type="gramEnd"/>
      <w:r>
        <w:rPr>
          <w:color w:val="221F1F"/>
          <w:spacing w:val="-3"/>
        </w:rPr>
        <w:t xml:space="preserve"> </w:t>
      </w:r>
      <w:r>
        <w:rPr>
          <w:color w:val="221F1F"/>
        </w:rPr>
        <w:t>please</w:t>
      </w:r>
      <w:r>
        <w:rPr>
          <w:color w:val="221F1F"/>
          <w:spacing w:val="-2"/>
        </w:rPr>
        <w:t xml:space="preserve"> </w:t>
      </w:r>
      <w:r>
        <w:rPr>
          <w:color w:val="221F1F"/>
        </w:rPr>
        <w:t>do</w:t>
      </w:r>
      <w:r>
        <w:rPr>
          <w:color w:val="221F1F"/>
          <w:spacing w:val="-3"/>
        </w:rPr>
        <w:t xml:space="preserve"> </w:t>
      </w:r>
      <w:r>
        <w:rPr>
          <w:color w:val="221F1F"/>
        </w:rPr>
        <w:t>not</w:t>
      </w:r>
      <w:r>
        <w:rPr>
          <w:color w:val="221F1F"/>
          <w:spacing w:val="-2"/>
        </w:rPr>
        <w:t xml:space="preserve"> </w:t>
      </w:r>
      <w:r>
        <w:rPr>
          <w:color w:val="221F1F"/>
        </w:rPr>
        <w:t>hesitate</w:t>
      </w:r>
      <w:r>
        <w:rPr>
          <w:color w:val="221F1F"/>
          <w:spacing w:val="-5"/>
        </w:rPr>
        <w:t xml:space="preserve"> </w:t>
      </w:r>
      <w:r>
        <w:rPr>
          <w:color w:val="221F1F"/>
        </w:rPr>
        <w:t>to</w:t>
      </w:r>
      <w:r>
        <w:rPr>
          <w:color w:val="221F1F"/>
          <w:spacing w:val="-3"/>
        </w:rPr>
        <w:t xml:space="preserve"> </w:t>
      </w:r>
      <w:r>
        <w:rPr>
          <w:color w:val="221F1F"/>
        </w:rPr>
        <w:t>contact us. On behalf of the Procuring Entity:</w:t>
      </w:r>
    </w:p>
    <w:p w:rsidR="007F6DF9" w:rsidRDefault="00A43FBC">
      <w:pPr>
        <w:pStyle w:val="Heading9"/>
        <w:tabs>
          <w:tab w:val="left" w:pos="10588"/>
        </w:tabs>
        <w:spacing w:before="235"/>
        <w:ind w:left="1069" w:firstLine="0"/>
      </w:pPr>
      <w:r>
        <w:rPr>
          <w:color w:val="221F1F"/>
          <w:spacing w:val="-2"/>
        </w:rPr>
        <w:t>Signature:</w:t>
      </w:r>
      <w:r>
        <w:rPr>
          <w:color w:val="221F1F"/>
          <w:u w:val="single" w:color="211E1F"/>
        </w:rPr>
        <w:tab/>
      </w:r>
    </w:p>
    <w:p w:rsidR="007F6DF9" w:rsidRDefault="00A43FBC">
      <w:pPr>
        <w:tabs>
          <w:tab w:val="left" w:pos="10634"/>
        </w:tabs>
        <w:spacing w:before="237" w:line="463" w:lineRule="auto"/>
        <w:ind w:left="1069" w:right="819"/>
        <w:rPr>
          <w:b/>
        </w:rPr>
      </w:pPr>
      <w:r>
        <w:rPr>
          <w:b/>
          <w:color w:val="221F1F"/>
          <w:spacing w:val="-2"/>
        </w:rPr>
        <w:t>Name:</w:t>
      </w:r>
      <w:proofErr w:type="gramStart"/>
      <w:r>
        <w:rPr>
          <w:b/>
          <w:color w:val="221F1F"/>
          <w:u w:val="single" w:color="211E1F"/>
        </w:rPr>
        <w:tab/>
      </w:r>
      <w:r>
        <w:rPr>
          <w:b/>
          <w:color w:val="221F1F"/>
          <w:spacing w:val="-42"/>
          <w:u w:val="single" w:color="211E1F"/>
        </w:rPr>
        <w:t xml:space="preserve"> </w:t>
      </w:r>
      <w:r>
        <w:rPr>
          <w:b/>
          <w:color w:val="221F1F"/>
          <w:spacing w:val="-2"/>
        </w:rPr>
        <w:t xml:space="preserve"> Title</w:t>
      </w:r>
      <w:proofErr w:type="gramEnd"/>
      <w:r>
        <w:rPr>
          <w:b/>
          <w:color w:val="221F1F"/>
          <w:spacing w:val="-2"/>
        </w:rPr>
        <w:t>/position:</w:t>
      </w:r>
      <w:r>
        <w:rPr>
          <w:b/>
          <w:color w:val="221F1F"/>
          <w:u w:val="single" w:color="211E1F"/>
        </w:rPr>
        <w:tab/>
      </w:r>
    </w:p>
    <w:p w:rsidR="007F6DF9" w:rsidRDefault="00A43FBC">
      <w:pPr>
        <w:pStyle w:val="BodyText"/>
        <w:spacing w:before="10"/>
        <w:rPr>
          <w:b/>
          <w:sz w:val="17"/>
        </w:rPr>
      </w:pPr>
      <w:r>
        <w:rPr>
          <w:b/>
          <w:noProof/>
          <w:sz w:val="17"/>
        </w:rPr>
        <mc:AlternateContent>
          <mc:Choice Requires="wps">
            <w:drawing>
              <wp:anchor distT="0" distB="0" distL="0" distR="0" simplePos="0" relativeHeight="487626752" behindDoc="1" locked="0" layoutInCell="1" allowOverlap="1">
                <wp:simplePos x="0" y="0"/>
                <wp:positionH relativeFrom="page">
                  <wp:posOffset>768400</wp:posOffset>
                </wp:positionH>
                <wp:positionV relativeFrom="paragraph">
                  <wp:posOffset>145912</wp:posOffset>
                </wp:positionV>
                <wp:extent cx="6013450" cy="1397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13970"/>
                        </a:xfrm>
                        <a:custGeom>
                          <a:avLst/>
                          <a:gdLst/>
                          <a:ahLst/>
                          <a:cxnLst/>
                          <a:rect l="l" t="t" r="r" b="b"/>
                          <a:pathLst>
                            <a:path w="6013450" h="13970">
                              <a:moveTo>
                                <a:pt x="6013069" y="0"/>
                              </a:moveTo>
                              <a:lnTo>
                                <a:pt x="0" y="0"/>
                              </a:lnTo>
                              <a:lnTo>
                                <a:pt x="0" y="13715"/>
                              </a:lnTo>
                              <a:lnTo>
                                <a:pt x="6013069" y="13715"/>
                              </a:lnTo>
                              <a:lnTo>
                                <a:pt x="6013069" y="0"/>
                              </a:lnTo>
                              <a:close/>
                            </a:path>
                          </a:pathLst>
                        </a:custGeom>
                        <a:solidFill>
                          <a:srgbClr val="211E1F"/>
                        </a:solidFill>
                      </wps:spPr>
                      <wps:bodyPr wrap="square" lIns="0" tIns="0" rIns="0" bIns="0" rtlCol="0">
                        <a:prstTxWarp prst="textNoShape">
                          <a:avLst/>
                        </a:prstTxWarp>
                        <a:noAutofit/>
                      </wps:bodyPr>
                    </wps:wsp>
                  </a:graphicData>
                </a:graphic>
              </wp:anchor>
            </w:drawing>
          </mc:Choice>
          <mc:Fallback>
            <w:pict>
              <v:shape w14:anchorId="5F524D2D" id="Graphic 445" o:spid="_x0000_s1026" style="position:absolute;margin-left:60.5pt;margin-top:11.5pt;width:473.5pt;height:1.1pt;z-index:-15689728;visibility:visible;mso-wrap-style:square;mso-wrap-distance-left:0;mso-wrap-distance-top:0;mso-wrap-distance-right:0;mso-wrap-distance-bottom:0;mso-position-horizontal:absolute;mso-position-horizontal-relative:page;mso-position-vertical:absolute;mso-position-vertical-relative:text;v-text-anchor:top" coordsize="601345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" path="m6013069,l,,,13715r6013069,l6013069,xe" fillcolor="#211e1f" stroked="f">
                <v:path arrowok="t"/>
                <w10:wrap type="topAndBottom" anchorx="page"/>
              </v:shape>
            </w:pict>
          </mc:Fallback>
        </mc:AlternateContent>
      </w:r>
    </w:p>
    <w:p w:rsidR="007F6DF9" w:rsidRDefault="00A43FBC">
      <w:pPr>
        <w:pStyle w:val="Heading9"/>
        <w:tabs>
          <w:tab w:val="left" w:pos="10634"/>
        </w:tabs>
        <w:spacing w:before="236"/>
        <w:ind w:left="1069" w:firstLine="0"/>
      </w:pPr>
      <w:r>
        <w:rPr>
          <w:color w:val="221F1F"/>
          <w:spacing w:val="-2"/>
        </w:rPr>
        <w:t>Telephone:</w:t>
      </w:r>
      <w:r>
        <w:rPr>
          <w:color w:val="221F1F"/>
          <w:u w:val="single" w:color="211E1F"/>
        </w:rPr>
        <w:tab/>
      </w:r>
    </w:p>
    <w:p w:rsidR="007F6DF9" w:rsidRDefault="00A43FBC">
      <w:pPr>
        <w:pStyle w:val="BodyText"/>
        <w:spacing w:before="50"/>
        <w:rPr>
          <w:b/>
          <w:sz w:val="20"/>
        </w:rPr>
      </w:pPr>
      <w:r>
        <w:rPr>
          <w:b/>
          <w:noProof/>
          <w:sz w:val="20"/>
        </w:rPr>
        <mc:AlternateContent>
          <mc:Choice Requires="wps">
            <w:drawing>
              <wp:anchor distT="0" distB="0" distL="0" distR="0" simplePos="0" relativeHeight="487627264" behindDoc="1" locked="0" layoutInCell="1" allowOverlap="1">
                <wp:simplePos x="0" y="0"/>
                <wp:positionH relativeFrom="page">
                  <wp:posOffset>534034</wp:posOffset>
                </wp:positionH>
                <wp:positionV relativeFrom="paragraph">
                  <wp:posOffset>193027</wp:posOffset>
                </wp:positionV>
                <wp:extent cx="6483985"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985" cy="1270"/>
                        </a:xfrm>
                        <a:custGeom>
                          <a:avLst/>
                          <a:gdLst/>
                          <a:ahLst/>
                          <a:cxnLst/>
                          <a:rect l="l" t="t" r="r" b="b"/>
                          <a:pathLst>
                            <a:path w="6483985">
                              <a:moveTo>
                                <a:pt x="0" y="0"/>
                              </a:moveTo>
                              <a:lnTo>
                                <a:pt x="6483985" y="0"/>
                              </a:lnTo>
                            </a:path>
                          </a:pathLst>
                        </a:custGeom>
                        <a:ln w="12696">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487B7ACC" id="Graphic 446" o:spid="_x0000_s1026" style="position:absolute;margin-left:42.05pt;margin-top:15.2pt;width:510.5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483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" path="m,l6483985,e" filled="f" strokecolor="#221f1f" strokeweight=".35267mm">
                <v:path arrowok="t"/>
                <w10:wrap type="topAndBottom" anchorx="page"/>
              </v:shape>
            </w:pict>
          </mc:Fallback>
        </mc:AlternateContent>
      </w:r>
    </w:p>
    <w:p w:rsidR="007F6DF9" w:rsidRDefault="007F6DF9">
      <w:pPr>
        <w:pStyle w:val="BodyText"/>
        <w:rPr>
          <w:b/>
          <w:sz w:val="20"/>
        </w:rPr>
        <w:sectPr w:rsidR="007F6DF9">
          <w:pgSz w:w="11920" w:h="16850"/>
          <w:pgMar w:top="360" w:right="283" w:bottom="620" w:left="141" w:header="0" w:footer="437" w:gutter="0"/>
          <w:cols w:space="720"/>
        </w:sectPr>
      </w:pPr>
    </w:p>
    <w:p w:rsidR="007F6DF9" w:rsidRDefault="007F6DF9">
      <w:pPr>
        <w:pStyle w:val="BodyText"/>
        <w:rPr>
          <w:b/>
          <w:sz w:val="24"/>
        </w:rPr>
      </w:pPr>
    </w:p>
    <w:p w:rsidR="007F6DF9" w:rsidRDefault="007F6DF9">
      <w:pPr>
        <w:pStyle w:val="BodyText"/>
        <w:spacing w:before="141"/>
        <w:rPr>
          <w:b/>
          <w:sz w:val="24"/>
        </w:rPr>
      </w:pPr>
    </w:p>
    <w:p w:rsidR="007F6DF9" w:rsidRDefault="00A43FBC">
      <w:pPr>
        <w:pStyle w:val="Heading6"/>
        <w:ind w:left="559"/>
      </w:pPr>
      <w:r>
        <w:rPr>
          <w:color w:val="221F1F"/>
        </w:rPr>
        <w:t>FORM</w:t>
      </w:r>
      <w:r>
        <w:rPr>
          <w:color w:val="221F1F"/>
          <w:spacing w:val="-2"/>
        </w:rPr>
        <w:t xml:space="preserve"> </w:t>
      </w:r>
      <w:r>
        <w:rPr>
          <w:color w:val="221F1F"/>
        </w:rPr>
        <w:t>NO. 2-</w:t>
      </w:r>
      <w:r>
        <w:rPr>
          <w:color w:val="221F1F"/>
          <w:spacing w:val="-1"/>
        </w:rPr>
        <w:t xml:space="preserve"> </w:t>
      </w:r>
      <w:r>
        <w:t xml:space="preserve">REQUEST FOR </w:t>
      </w:r>
      <w:r>
        <w:rPr>
          <w:spacing w:val="-2"/>
        </w:rPr>
        <w:t>REVIEW</w:t>
      </w:r>
    </w:p>
    <w:p w:rsidR="007F6DF9" w:rsidRDefault="007F6DF9">
      <w:pPr>
        <w:pStyle w:val="BodyText"/>
        <w:spacing w:before="180"/>
        <w:rPr>
          <w:b/>
          <w:sz w:val="20"/>
        </w:rPr>
      </w:pPr>
    </w:p>
    <w:p w:rsidR="007F6DF9" w:rsidRDefault="00A43FBC">
      <w:pPr>
        <w:ind w:left="4972"/>
        <w:rPr>
          <w:b/>
          <w:sz w:val="20"/>
        </w:rPr>
      </w:pPr>
      <w:r>
        <w:rPr>
          <w:b/>
          <w:sz w:val="20"/>
        </w:rPr>
        <w:t>FORM</w:t>
      </w:r>
      <w:r>
        <w:rPr>
          <w:b/>
          <w:spacing w:val="-8"/>
          <w:sz w:val="20"/>
        </w:rPr>
        <w:t xml:space="preserve"> </w:t>
      </w:r>
      <w:r>
        <w:rPr>
          <w:b/>
          <w:sz w:val="20"/>
        </w:rPr>
        <w:t>FOR</w:t>
      </w:r>
      <w:r>
        <w:rPr>
          <w:b/>
          <w:spacing w:val="-6"/>
          <w:sz w:val="20"/>
        </w:rPr>
        <w:t xml:space="preserve"> </w:t>
      </w:r>
      <w:r>
        <w:rPr>
          <w:b/>
          <w:sz w:val="20"/>
        </w:rPr>
        <w:t>REVIEW</w:t>
      </w:r>
      <w:r>
        <w:rPr>
          <w:b/>
          <w:spacing w:val="-5"/>
          <w:sz w:val="20"/>
        </w:rPr>
        <w:t xml:space="preserve"> </w:t>
      </w:r>
      <w:r>
        <w:rPr>
          <w:b/>
          <w:spacing w:val="-2"/>
          <w:sz w:val="20"/>
        </w:rPr>
        <w:t>(r.203(1))</w:t>
      </w:r>
    </w:p>
    <w:p w:rsidR="007F6DF9" w:rsidRDefault="007F6DF9">
      <w:pPr>
        <w:pStyle w:val="BodyText"/>
        <w:rPr>
          <w:b/>
          <w:sz w:val="20"/>
        </w:rPr>
      </w:pPr>
    </w:p>
    <w:p w:rsidR="007F6DF9" w:rsidRDefault="007F6DF9">
      <w:pPr>
        <w:pStyle w:val="BodyText"/>
        <w:spacing w:before="126"/>
        <w:rPr>
          <w:b/>
          <w:sz w:val="20"/>
        </w:rPr>
      </w:pPr>
    </w:p>
    <w:p w:rsidR="007F6DF9" w:rsidRDefault="00A43FBC">
      <w:pPr>
        <w:ind w:left="296"/>
        <w:jc w:val="center"/>
        <w:rPr>
          <w:b/>
          <w:sz w:val="20"/>
        </w:rPr>
      </w:pPr>
      <w:r>
        <w:rPr>
          <w:b/>
          <w:sz w:val="20"/>
        </w:rPr>
        <w:t>PUBLIC</w:t>
      </w:r>
      <w:r>
        <w:rPr>
          <w:b/>
          <w:spacing w:val="-11"/>
          <w:sz w:val="20"/>
        </w:rPr>
        <w:t xml:space="preserve"> </w:t>
      </w:r>
      <w:r>
        <w:rPr>
          <w:b/>
          <w:sz w:val="20"/>
        </w:rPr>
        <w:t>PROCUREMENT</w:t>
      </w:r>
      <w:r>
        <w:rPr>
          <w:b/>
          <w:spacing w:val="-10"/>
          <w:sz w:val="20"/>
        </w:rPr>
        <w:t xml:space="preserve"> </w:t>
      </w:r>
      <w:r>
        <w:rPr>
          <w:b/>
          <w:sz w:val="20"/>
        </w:rPr>
        <w:t>ADMINISTRATIVE</w:t>
      </w:r>
      <w:r>
        <w:rPr>
          <w:b/>
          <w:spacing w:val="-12"/>
          <w:sz w:val="20"/>
        </w:rPr>
        <w:t xml:space="preserve"> </w:t>
      </w:r>
      <w:r>
        <w:rPr>
          <w:b/>
          <w:sz w:val="20"/>
        </w:rPr>
        <w:t>REVIEW</w:t>
      </w:r>
      <w:r>
        <w:rPr>
          <w:b/>
          <w:spacing w:val="-10"/>
          <w:sz w:val="20"/>
        </w:rPr>
        <w:t xml:space="preserve"> </w:t>
      </w:r>
      <w:r>
        <w:rPr>
          <w:b/>
          <w:spacing w:val="-2"/>
          <w:sz w:val="20"/>
        </w:rPr>
        <w:t>BOARD</w:t>
      </w:r>
    </w:p>
    <w:p w:rsidR="007F6DF9" w:rsidRDefault="00A43FBC">
      <w:pPr>
        <w:spacing w:before="178"/>
        <w:ind w:left="297"/>
        <w:jc w:val="center"/>
        <w:rPr>
          <w:b/>
          <w:sz w:val="20"/>
        </w:rPr>
      </w:pPr>
      <w:r>
        <w:rPr>
          <w:b/>
          <w:spacing w:val="-2"/>
          <w:sz w:val="20"/>
        </w:rPr>
        <w:t>APPLICATION</w:t>
      </w:r>
      <w:r>
        <w:rPr>
          <w:b/>
          <w:spacing w:val="3"/>
          <w:sz w:val="20"/>
        </w:rPr>
        <w:t xml:space="preserve"> </w:t>
      </w:r>
      <w:r>
        <w:rPr>
          <w:b/>
          <w:spacing w:val="-2"/>
          <w:sz w:val="20"/>
        </w:rPr>
        <w:t>NO…………</w:t>
      </w:r>
      <w:proofErr w:type="gramStart"/>
      <w:r>
        <w:rPr>
          <w:b/>
          <w:spacing w:val="-2"/>
          <w:sz w:val="20"/>
        </w:rPr>
        <w:t>….OF</w:t>
      </w:r>
      <w:proofErr w:type="gramEnd"/>
      <w:r>
        <w:rPr>
          <w:b/>
          <w:spacing w:val="-2"/>
          <w:sz w:val="20"/>
        </w:rPr>
        <w:t>……….….20……...</w:t>
      </w:r>
    </w:p>
    <w:p w:rsidR="007F6DF9" w:rsidRDefault="00A43FBC">
      <w:pPr>
        <w:spacing w:before="178"/>
        <w:ind w:left="299"/>
        <w:jc w:val="center"/>
        <w:rPr>
          <w:b/>
          <w:sz w:val="20"/>
        </w:rPr>
      </w:pPr>
      <w:r>
        <w:rPr>
          <w:b/>
          <w:spacing w:val="-2"/>
          <w:sz w:val="20"/>
        </w:rPr>
        <w:t>BETWEEN</w:t>
      </w:r>
    </w:p>
    <w:p w:rsidR="007F6DF9" w:rsidRDefault="00A43FBC">
      <w:pPr>
        <w:tabs>
          <w:tab w:val="left" w:leader="dot" w:pos="4897"/>
        </w:tabs>
        <w:spacing w:before="178"/>
        <w:ind w:left="301"/>
        <w:jc w:val="center"/>
        <w:rPr>
          <w:b/>
          <w:sz w:val="20"/>
        </w:rPr>
      </w:pPr>
      <w:r>
        <w:rPr>
          <w:b/>
          <w:spacing w:val="-10"/>
          <w:sz w:val="20"/>
        </w:rPr>
        <w:t>…</w:t>
      </w:r>
      <w:r>
        <w:rPr>
          <w:sz w:val="20"/>
        </w:rPr>
        <w:tab/>
      </w:r>
      <w:r>
        <w:rPr>
          <w:b/>
          <w:spacing w:val="-2"/>
          <w:sz w:val="20"/>
        </w:rPr>
        <w:t>APPLICANT</w:t>
      </w:r>
    </w:p>
    <w:p w:rsidR="007F6DF9" w:rsidRDefault="00A43FBC">
      <w:pPr>
        <w:spacing w:before="178"/>
        <w:ind w:left="300"/>
        <w:jc w:val="center"/>
        <w:rPr>
          <w:b/>
          <w:sz w:val="20"/>
        </w:rPr>
      </w:pPr>
      <w:r>
        <w:rPr>
          <w:b/>
          <w:spacing w:val="-5"/>
          <w:sz w:val="20"/>
        </w:rPr>
        <w:t>AND</w:t>
      </w:r>
    </w:p>
    <w:p w:rsidR="007F6DF9" w:rsidRDefault="00A43FBC">
      <w:pPr>
        <w:tabs>
          <w:tab w:val="left" w:leader="dot" w:pos="2897"/>
        </w:tabs>
        <w:spacing w:before="180"/>
        <w:ind w:left="299"/>
        <w:jc w:val="center"/>
        <w:rPr>
          <w:b/>
          <w:sz w:val="20"/>
        </w:rPr>
      </w:pPr>
      <w:r>
        <w:rPr>
          <w:b/>
          <w:spacing w:val="-10"/>
          <w:sz w:val="20"/>
        </w:rPr>
        <w:t>…</w:t>
      </w:r>
      <w:r>
        <w:rPr>
          <w:sz w:val="20"/>
        </w:rPr>
        <w:tab/>
      </w:r>
      <w:r>
        <w:rPr>
          <w:b/>
          <w:sz w:val="20"/>
        </w:rPr>
        <w:t>RESPONDENT</w:t>
      </w:r>
      <w:r>
        <w:rPr>
          <w:b/>
          <w:spacing w:val="-14"/>
          <w:sz w:val="20"/>
        </w:rPr>
        <w:t xml:space="preserve"> </w:t>
      </w:r>
      <w:r>
        <w:rPr>
          <w:b/>
          <w:sz w:val="20"/>
        </w:rPr>
        <w:t>(Procuring</w:t>
      </w:r>
      <w:r>
        <w:rPr>
          <w:b/>
          <w:spacing w:val="-10"/>
          <w:sz w:val="20"/>
        </w:rPr>
        <w:t xml:space="preserve"> </w:t>
      </w:r>
      <w:r>
        <w:rPr>
          <w:b/>
          <w:spacing w:val="-2"/>
          <w:sz w:val="20"/>
        </w:rPr>
        <w:t>Entity)</w:t>
      </w:r>
    </w:p>
    <w:p w:rsidR="007F6DF9" w:rsidRDefault="007F6DF9">
      <w:pPr>
        <w:pStyle w:val="BodyText"/>
        <w:rPr>
          <w:b/>
          <w:sz w:val="20"/>
        </w:rPr>
      </w:pPr>
    </w:p>
    <w:p w:rsidR="007F6DF9" w:rsidRDefault="007F6DF9">
      <w:pPr>
        <w:pStyle w:val="BodyText"/>
        <w:spacing w:before="127"/>
        <w:rPr>
          <w:b/>
          <w:sz w:val="20"/>
        </w:rPr>
      </w:pPr>
    </w:p>
    <w:p w:rsidR="007F6DF9" w:rsidRDefault="00A43FBC">
      <w:pPr>
        <w:ind w:left="559"/>
        <w:rPr>
          <w:sz w:val="20"/>
        </w:rPr>
      </w:pPr>
      <w:r>
        <w:rPr>
          <w:sz w:val="20"/>
        </w:rPr>
        <w:t>Request</w:t>
      </w:r>
      <w:r>
        <w:rPr>
          <w:spacing w:val="70"/>
          <w:sz w:val="20"/>
        </w:rPr>
        <w:t xml:space="preserve"> </w:t>
      </w:r>
      <w:r>
        <w:rPr>
          <w:sz w:val="20"/>
        </w:rPr>
        <w:t>for</w:t>
      </w:r>
      <w:r>
        <w:rPr>
          <w:spacing w:val="72"/>
          <w:sz w:val="20"/>
        </w:rPr>
        <w:t xml:space="preserve"> </w:t>
      </w:r>
      <w:r>
        <w:rPr>
          <w:sz w:val="20"/>
        </w:rPr>
        <w:t>review</w:t>
      </w:r>
      <w:r>
        <w:rPr>
          <w:spacing w:val="72"/>
          <w:sz w:val="20"/>
        </w:rPr>
        <w:t xml:space="preserve"> </w:t>
      </w:r>
      <w:r>
        <w:rPr>
          <w:sz w:val="20"/>
        </w:rPr>
        <w:t>of</w:t>
      </w:r>
      <w:r>
        <w:rPr>
          <w:spacing w:val="72"/>
          <w:sz w:val="20"/>
        </w:rPr>
        <w:t xml:space="preserve"> </w:t>
      </w:r>
      <w:r>
        <w:rPr>
          <w:sz w:val="20"/>
        </w:rPr>
        <w:t>the</w:t>
      </w:r>
      <w:r>
        <w:rPr>
          <w:spacing w:val="70"/>
          <w:sz w:val="20"/>
        </w:rPr>
        <w:t xml:space="preserve"> </w:t>
      </w:r>
      <w:r>
        <w:rPr>
          <w:sz w:val="20"/>
        </w:rPr>
        <w:t>decision</w:t>
      </w:r>
      <w:r>
        <w:rPr>
          <w:spacing w:val="73"/>
          <w:sz w:val="20"/>
        </w:rPr>
        <w:t xml:space="preserve"> </w:t>
      </w:r>
      <w:r>
        <w:rPr>
          <w:sz w:val="20"/>
        </w:rPr>
        <w:t>of</w:t>
      </w:r>
      <w:r>
        <w:rPr>
          <w:spacing w:val="72"/>
          <w:sz w:val="20"/>
        </w:rPr>
        <w:t xml:space="preserve"> </w:t>
      </w:r>
      <w:r>
        <w:rPr>
          <w:sz w:val="20"/>
        </w:rPr>
        <w:t>the……………</w:t>
      </w:r>
      <w:r>
        <w:rPr>
          <w:spacing w:val="72"/>
          <w:sz w:val="20"/>
        </w:rPr>
        <w:t xml:space="preserve"> </w:t>
      </w:r>
      <w:r>
        <w:rPr>
          <w:sz w:val="20"/>
        </w:rPr>
        <w:t>(Name</w:t>
      </w:r>
      <w:r>
        <w:rPr>
          <w:spacing w:val="72"/>
          <w:sz w:val="20"/>
        </w:rPr>
        <w:t xml:space="preserve"> </w:t>
      </w:r>
      <w:r>
        <w:rPr>
          <w:sz w:val="20"/>
        </w:rPr>
        <w:t>of</w:t>
      </w:r>
      <w:r>
        <w:rPr>
          <w:spacing w:val="72"/>
          <w:sz w:val="20"/>
        </w:rPr>
        <w:t xml:space="preserve"> </w:t>
      </w:r>
      <w:r>
        <w:rPr>
          <w:sz w:val="20"/>
        </w:rPr>
        <w:t>the</w:t>
      </w:r>
      <w:r>
        <w:rPr>
          <w:spacing w:val="72"/>
          <w:sz w:val="20"/>
        </w:rPr>
        <w:t xml:space="preserve"> </w:t>
      </w:r>
      <w:r>
        <w:rPr>
          <w:sz w:val="20"/>
        </w:rPr>
        <w:t>Procuring</w:t>
      </w:r>
      <w:r>
        <w:rPr>
          <w:spacing w:val="78"/>
          <w:sz w:val="20"/>
        </w:rPr>
        <w:t xml:space="preserve"> </w:t>
      </w:r>
      <w:r>
        <w:rPr>
          <w:sz w:val="20"/>
        </w:rPr>
        <w:t>Entity</w:t>
      </w:r>
      <w:r>
        <w:rPr>
          <w:spacing w:val="72"/>
          <w:sz w:val="20"/>
        </w:rPr>
        <w:t xml:space="preserve"> </w:t>
      </w:r>
      <w:r>
        <w:rPr>
          <w:sz w:val="20"/>
        </w:rPr>
        <w:t>of</w:t>
      </w:r>
      <w:r>
        <w:rPr>
          <w:spacing w:val="74"/>
          <w:sz w:val="20"/>
        </w:rPr>
        <w:t xml:space="preserve"> </w:t>
      </w:r>
      <w:r>
        <w:rPr>
          <w:sz w:val="20"/>
        </w:rPr>
        <w:t>……………dated</w:t>
      </w:r>
      <w:r>
        <w:rPr>
          <w:spacing w:val="73"/>
          <w:sz w:val="20"/>
        </w:rPr>
        <w:t xml:space="preserve"> </w:t>
      </w:r>
      <w:r>
        <w:rPr>
          <w:sz w:val="20"/>
        </w:rPr>
        <w:t>the…day</w:t>
      </w:r>
      <w:r>
        <w:rPr>
          <w:spacing w:val="71"/>
          <w:sz w:val="20"/>
        </w:rPr>
        <w:t xml:space="preserve"> </w:t>
      </w:r>
      <w:r>
        <w:rPr>
          <w:spacing w:val="-5"/>
          <w:sz w:val="20"/>
        </w:rPr>
        <w:t>of</w:t>
      </w:r>
    </w:p>
    <w:p w:rsidR="007F6DF9" w:rsidRDefault="00A43FBC">
      <w:pPr>
        <w:tabs>
          <w:tab w:val="left" w:leader="dot" w:pos="7752"/>
        </w:tabs>
        <w:spacing w:before="17"/>
        <w:ind w:left="559"/>
        <w:rPr>
          <w:sz w:val="20"/>
        </w:rPr>
      </w:pPr>
      <w:r>
        <w:rPr>
          <w:sz w:val="20"/>
        </w:rPr>
        <w:t>………….20……….in</w:t>
      </w:r>
      <w:r>
        <w:rPr>
          <w:spacing w:val="-7"/>
          <w:sz w:val="20"/>
        </w:rPr>
        <w:t xml:space="preserve"> </w:t>
      </w:r>
      <w:r>
        <w:rPr>
          <w:sz w:val="20"/>
        </w:rPr>
        <w:t>the</w:t>
      </w:r>
      <w:r>
        <w:rPr>
          <w:spacing w:val="-7"/>
          <w:sz w:val="20"/>
        </w:rPr>
        <w:t xml:space="preserve"> </w:t>
      </w:r>
      <w:r>
        <w:rPr>
          <w:sz w:val="20"/>
        </w:rPr>
        <w:t>matter</w:t>
      </w:r>
      <w:r>
        <w:rPr>
          <w:spacing w:val="-6"/>
          <w:sz w:val="20"/>
        </w:rPr>
        <w:t xml:space="preserve"> </w:t>
      </w:r>
      <w:r>
        <w:rPr>
          <w:sz w:val="20"/>
        </w:rPr>
        <w:t>of</w:t>
      </w:r>
      <w:r>
        <w:rPr>
          <w:spacing w:val="-7"/>
          <w:sz w:val="20"/>
        </w:rPr>
        <w:t xml:space="preserve"> </w:t>
      </w:r>
      <w:r>
        <w:rPr>
          <w:sz w:val="20"/>
        </w:rPr>
        <w:t>Tender</w:t>
      </w:r>
      <w:r>
        <w:rPr>
          <w:spacing w:val="-7"/>
          <w:sz w:val="20"/>
        </w:rPr>
        <w:t xml:space="preserve"> </w:t>
      </w:r>
      <w:r>
        <w:rPr>
          <w:sz w:val="20"/>
        </w:rPr>
        <w:t>No……</w:t>
      </w:r>
      <w:proofErr w:type="gramStart"/>
      <w:r>
        <w:rPr>
          <w:sz w:val="20"/>
        </w:rPr>
        <w:t>…..</w:t>
      </w:r>
      <w:proofErr w:type="gramEnd"/>
      <w:r>
        <w:rPr>
          <w:sz w:val="20"/>
        </w:rPr>
        <w:t>…of</w:t>
      </w:r>
      <w:r>
        <w:rPr>
          <w:spacing w:val="-7"/>
          <w:sz w:val="20"/>
        </w:rPr>
        <w:t xml:space="preserve"> </w:t>
      </w:r>
      <w:r>
        <w:rPr>
          <w:sz w:val="20"/>
        </w:rPr>
        <w:t xml:space="preserve">…………..20….. </w:t>
      </w:r>
      <w:r>
        <w:rPr>
          <w:spacing w:val="-5"/>
          <w:sz w:val="20"/>
        </w:rPr>
        <w:t>for</w:t>
      </w:r>
      <w:r>
        <w:rPr>
          <w:sz w:val="20"/>
        </w:rPr>
        <w:tab/>
        <w:t>(Tender</w:t>
      </w:r>
      <w:r>
        <w:rPr>
          <w:spacing w:val="-6"/>
          <w:sz w:val="20"/>
        </w:rPr>
        <w:t xml:space="preserve"> </w:t>
      </w:r>
      <w:r>
        <w:rPr>
          <w:spacing w:val="-2"/>
          <w:sz w:val="20"/>
        </w:rPr>
        <w:t>description).</w:t>
      </w:r>
    </w:p>
    <w:p w:rsidR="007F6DF9" w:rsidRDefault="00A43FBC">
      <w:pPr>
        <w:spacing w:before="178"/>
        <w:ind w:left="298"/>
        <w:jc w:val="center"/>
        <w:rPr>
          <w:b/>
          <w:sz w:val="20"/>
        </w:rPr>
      </w:pPr>
      <w:r>
        <w:rPr>
          <w:b/>
          <w:sz w:val="20"/>
        </w:rPr>
        <w:t>REQUEST</w:t>
      </w:r>
      <w:r>
        <w:rPr>
          <w:b/>
          <w:spacing w:val="-8"/>
          <w:sz w:val="20"/>
        </w:rPr>
        <w:t xml:space="preserve"> </w:t>
      </w:r>
      <w:r>
        <w:rPr>
          <w:b/>
          <w:sz w:val="20"/>
        </w:rPr>
        <w:t>FOR</w:t>
      </w:r>
      <w:r>
        <w:rPr>
          <w:b/>
          <w:spacing w:val="-7"/>
          <w:sz w:val="20"/>
        </w:rPr>
        <w:t xml:space="preserve"> </w:t>
      </w:r>
      <w:r>
        <w:rPr>
          <w:b/>
          <w:spacing w:val="-2"/>
          <w:sz w:val="20"/>
        </w:rPr>
        <w:t>REVIEW</w:t>
      </w:r>
    </w:p>
    <w:p w:rsidR="007F6DF9" w:rsidRDefault="00A43FBC">
      <w:pPr>
        <w:tabs>
          <w:tab w:val="left" w:leader="dot" w:pos="3195"/>
        </w:tabs>
        <w:spacing w:before="178"/>
        <w:ind w:left="559" w:right="429" w:firstLine="50"/>
        <w:rPr>
          <w:sz w:val="20"/>
        </w:rPr>
      </w:pPr>
      <w:r>
        <w:rPr>
          <w:sz w:val="20"/>
        </w:rPr>
        <w:t>I/We…………………………</w:t>
      </w:r>
      <w:proofErr w:type="gramStart"/>
      <w:r>
        <w:rPr>
          <w:sz w:val="20"/>
        </w:rPr>
        <w:t>…,the</w:t>
      </w:r>
      <w:proofErr w:type="gramEnd"/>
      <w:r>
        <w:rPr>
          <w:spacing w:val="-2"/>
          <w:sz w:val="20"/>
        </w:rPr>
        <w:t xml:space="preserve"> </w:t>
      </w:r>
      <w:r>
        <w:rPr>
          <w:sz w:val="20"/>
        </w:rPr>
        <w:t>above</w:t>
      </w:r>
      <w:r>
        <w:rPr>
          <w:spacing w:val="-4"/>
          <w:sz w:val="20"/>
        </w:rPr>
        <w:t xml:space="preserve"> </w:t>
      </w:r>
      <w:r>
        <w:rPr>
          <w:sz w:val="20"/>
        </w:rPr>
        <w:t>named</w:t>
      </w:r>
      <w:r>
        <w:rPr>
          <w:spacing w:val="-1"/>
          <w:sz w:val="20"/>
        </w:rPr>
        <w:t xml:space="preserve"> </w:t>
      </w:r>
      <w:r>
        <w:rPr>
          <w:sz w:val="20"/>
        </w:rPr>
        <w:t>Applicant(s),</w:t>
      </w:r>
      <w:r>
        <w:rPr>
          <w:spacing w:val="-2"/>
          <w:sz w:val="20"/>
        </w:rPr>
        <w:t xml:space="preserve"> </w:t>
      </w:r>
      <w:r>
        <w:rPr>
          <w:sz w:val="20"/>
        </w:rPr>
        <w:t>of</w:t>
      </w:r>
      <w:r>
        <w:rPr>
          <w:spacing w:val="-2"/>
          <w:sz w:val="20"/>
        </w:rPr>
        <w:t xml:space="preserve"> </w:t>
      </w:r>
      <w:r>
        <w:rPr>
          <w:sz w:val="20"/>
        </w:rPr>
        <w:t>address:</w:t>
      </w:r>
      <w:r>
        <w:rPr>
          <w:spacing w:val="-3"/>
          <w:sz w:val="20"/>
        </w:rPr>
        <w:t xml:space="preserve"> </w:t>
      </w:r>
      <w:r>
        <w:rPr>
          <w:sz w:val="20"/>
        </w:rPr>
        <w:t>Physical</w:t>
      </w:r>
      <w:r>
        <w:rPr>
          <w:spacing w:val="-2"/>
          <w:sz w:val="20"/>
        </w:rPr>
        <w:t xml:space="preserve"> </w:t>
      </w:r>
      <w:r>
        <w:rPr>
          <w:sz w:val="20"/>
        </w:rPr>
        <w:t>address…………….P.</w:t>
      </w:r>
      <w:r>
        <w:rPr>
          <w:spacing w:val="-2"/>
          <w:sz w:val="20"/>
        </w:rPr>
        <w:t xml:space="preserve"> </w:t>
      </w:r>
      <w:r>
        <w:rPr>
          <w:sz w:val="20"/>
        </w:rPr>
        <w:t>O.</w:t>
      </w:r>
      <w:r>
        <w:rPr>
          <w:spacing w:val="-2"/>
          <w:sz w:val="20"/>
        </w:rPr>
        <w:t xml:space="preserve"> </w:t>
      </w:r>
      <w:r>
        <w:rPr>
          <w:sz w:val="20"/>
        </w:rPr>
        <w:t>Box</w:t>
      </w:r>
      <w:r>
        <w:rPr>
          <w:spacing w:val="40"/>
          <w:sz w:val="20"/>
        </w:rPr>
        <w:t xml:space="preserve"> </w:t>
      </w:r>
      <w:r>
        <w:rPr>
          <w:sz w:val="20"/>
        </w:rPr>
        <w:t>No…………. Tel.</w:t>
      </w:r>
      <w:r>
        <w:rPr>
          <w:spacing w:val="-4"/>
          <w:sz w:val="20"/>
        </w:rPr>
        <w:t xml:space="preserve"> </w:t>
      </w:r>
      <w:r>
        <w:rPr>
          <w:spacing w:val="-2"/>
          <w:sz w:val="20"/>
        </w:rPr>
        <w:t>No…</w:t>
      </w:r>
      <w:proofErr w:type="gramStart"/>
      <w:r>
        <w:rPr>
          <w:spacing w:val="-2"/>
          <w:sz w:val="20"/>
        </w:rPr>
        <w:t>…..</w:t>
      </w:r>
      <w:proofErr w:type="gramEnd"/>
      <w:r>
        <w:rPr>
          <w:spacing w:val="-2"/>
          <w:sz w:val="20"/>
        </w:rPr>
        <w:t>Email</w:t>
      </w:r>
      <w:r>
        <w:rPr>
          <w:sz w:val="20"/>
        </w:rPr>
        <w:tab/>
        <w:t>,</w:t>
      </w:r>
      <w:r>
        <w:rPr>
          <w:spacing w:val="-6"/>
          <w:sz w:val="20"/>
        </w:rPr>
        <w:t xml:space="preserve"> </w:t>
      </w:r>
      <w:r>
        <w:rPr>
          <w:sz w:val="20"/>
        </w:rPr>
        <w:t>hereby</w:t>
      </w:r>
      <w:r>
        <w:rPr>
          <w:spacing w:val="-6"/>
          <w:sz w:val="20"/>
        </w:rPr>
        <w:t xml:space="preserve"> </w:t>
      </w:r>
      <w:r>
        <w:rPr>
          <w:sz w:val="20"/>
        </w:rPr>
        <w:t>request</w:t>
      </w:r>
      <w:r>
        <w:rPr>
          <w:spacing w:val="-6"/>
          <w:sz w:val="20"/>
        </w:rPr>
        <w:t xml:space="preserve"> </w:t>
      </w:r>
      <w:r>
        <w:rPr>
          <w:sz w:val="20"/>
        </w:rPr>
        <w:t>the</w:t>
      </w:r>
      <w:r>
        <w:rPr>
          <w:spacing w:val="-5"/>
          <w:sz w:val="20"/>
        </w:rPr>
        <w:t xml:space="preserve"> </w:t>
      </w:r>
      <w:r>
        <w:rPr>
          <w:sz w:val="20"/>
        </w:rPr>
        <w:t>Public</w:t>
      </w:r>
      <w:r>
        <w:rPr>
          <w:spacing w:val="-5"/>
          <w:sz w:val="20"/>
        </w:rPr>
        <w:t xml:space="preserve"> </w:t>
      </w:r>
      <w:r>
        <w:rPr>
          <w:sz w:val="20"/>
        </w:rPr>
        <w:t>Procurement</w:t>
      </w:r>
      <w:r>
        <w:rPr>
          <w:spacing w:val="-6"/>
          <w:sz w:val="20"/>
        </w:rPr>
        <w:t xml:space="preserve"> </w:t>
      </w:r>
      <w:r>
        <w:rPr>
          <w:sz w:val="20"/>
        </w:rPr>
        <w:t>Administrative</w:t>
      </w:r>
      <w:r>
        <w:rPr>
          <w:spacing w:val="-5"/>
          <w:sz w:val="20"/>
        </w:rPr>
        <w:t xml:space="preserve"> </w:t>
      </w:r>
      <w:r>
        <w:rPr>
          <w:sz w:val="20"/>
        </w:rPr>
        <w:t>Review</w:t>
      </w:r>
      <w:r>
        <w:rPr>
          <w:spacing w:val="-5"/>
          <w:sz w:val="20"/>
        </w:rPr>
        <w:t xml:space="preserve"> </w:t>
      </w:r>
      <w:r>
        <w:rPr>
          <w:sz w:val="20"/>
        </w:rPr>
        <w:t>Board</w:t>
      </w:r>
      <w:r>
        <w:rPr>
          <w:spacing w:val="-4"/>
          <w:sz w:val="20"/>
        </w:rPr>
        <w:t xml:space="preserve"> </w:t>
      </w:r>
      <w:r>
        <w:rPr>
          <w:sz w:val="20"/>
        </w:rPr>
        <w:t>to</w:t>
      </w:r>
      <w:r>
        <w:rPr>
          <w:spacing w:val="-5"/>
          <w:sz w:val="20"/>
        </w:rPr>
        <w:t xml:space="preserve"> </w:t>
      </w:r>
      <w:r>
        <w:rPr>
          <w:sz w:val="20"/>
        </w:rPr>
        <w:t>review</w:t>
      </w:r>
      <w:r>
        <w:rPr>
          <w:spacing w:val="-5"/>
          <w:sz w:val="20"/>
        </w:rPr>
        <w:t xml:space="preserve"> </w:t>
      </w:r>
      <w:r>
        <w:rPr>
          <w:sz w:val="20"/>
        </w:rPr>
        <w:t>the</w:t>
      </w:r>
      <w:r>
        <w:rPr>
          <w:spacing w:val="-5"/>
          <w:sz w:val="20"/>
        </w:rPr>
        <w:t xml:space="preserve"> </w:t>
      </w:r>
      <w:r>
        <w:rPr>
          <w:sz w:val="20"/>
        </w:rPr>
        <w:t>whole/part</w:t>
      </w:r>
      <w:r>
        <w:rPr>
          <w:spacing w:val="-6"/>
          <w:sz w:val="20"/>
        </w:rPr>
        <w:t xml:space="preserve"> </w:t>
      </w:r>
      <w:r>
        <w:rPr>
          <w:spacing w:val="-5"/>
          <w:sz w:val="20"/>
        </w:rPr>
        <w:t>of</w:t>
      </w:r>
    </w:p>
    <w:p w:rsidR="007F6DF9" w:rsidRDefault="00A43FBC">
      <w:pPr>
        <w:spacing w:before="1" w:line="364" w:lineRule="auto"/>
        <w:ind w:left="559" w:right="5616"/>
        <w:rPr>
          <w:sz w:val="20"/>
        </w:rPr>
      </w:pPr>
      <w:r>
        <w:rPr>
          <w:sz w:val="20"/>
        </w:rPr>
        <w:t>the</w:t>
      </w:r>
      <w:r>
        <w:rPr>
          <w:spacing w:val="-4"/>
          <w:sz w:val="20"/>
        </w:rPr>
        <w:t xml:space="preserve"> </w:t>
      </w:r>
      <w:r>
        <w:rPr>
          <w:sz w:val="20"/>
        </w:rPr>
        <w:t>above</w:t>
      </w:r>
      <w:r>
        <w:rPr>
          <w:spacing w:val="-6"/>
          <w:sz w:val="20"/>
        </w:rPr>
        <w:t xml:space="preserve"> </w:t>
      </w:r>
      <w:r>
        <w:rPr>
          <w:sz w:val="20"/>
        </w:rPr>
        <w:t>mentioned</w:t>
      </w:r>
      <w:r>
        <w:rPr>
          <w:spacing w:val="-3"/>
          <w:sz w:val="20"/>
        </w:rPr>
        <w:t xml:space="preserve"> </w:t>
      </w:r>
      <w:r>
        <w:rPr>
          <w:sz w:val="20"/>
        </w:rPr>
        <w:t>decision</w:t>
      </w:r>
      <w:r>
        <w:rPr>
          <w:spacing w:val="-5"/>
          <w:sz w:val="20"/>
        </w:rPr>
        <w:t xml:space="preserve"> </w:t>
      </w:r>
      <w:r>
        <w:rPr>
          <w:sz w:val="20"/>
        </w:rPr>
        <w:t>on</w:t>
      </w:r>
      <w:r>
        <w:rPr>
          <w:spacing w:val="-3"/>
          <w:sz w:val="20"/>
        </w:rPr>
        <w:t xml:space="preserve"> </w:t>
      </w:r>
      <w:r>
        <w:rPr>
          <w:sz w:val="20"/>
        </w:rPr>
        <w:t>the</w:t>
      </w:r>
      <w:r>
        <w:rPr>
          <w:spacing w:val="-4"/>
          <w:sz w:val="20"/>
        </w:rPr>
        <w:t xml:space="preserve"> </w:t>
      </w:r>
      <w:r>
        <w:rPr>
          <w:sz w:val="20"/>
        </w:rPr>
        <w:t>following</w:t>
      </w:r>
      <w:r>
        <w:rPr>
          <w:spacing w:val="-5"/>
          <w:sz w:val="20"/>
        </w:rPr>
        <w:t xml:space="preserve"> </w:t>
      </w:r>
      <w:proofErr w:type="gramStart"/>
      <w:r>
        <w:rPr>
          <w:sz w:val="20"/>
        </w:rPr>
        <w:t>grounds</w:t>
      </w:r>
      <w:r>
        <w:rPr>
          <w:spacing w:val="-5"/>
          <w:sz w:val="20"/>
        </w:rPr>
        <w:t xml:space="preserve"> </w:t>
      </w:r>
      <w:r>
        <w:rPr>
          <w:sz w:val="20"/>
        </w:rPr>
        <w:t>,</w:t>
      </w:r>
      <w:proofErr w:type="gramEnd"/>
      <w:r>
        <w:rPr>
          <w:spacing w:val="-6"/>
          <w:sz w:val="20"/>
        </w:rPr>
        <w:t xml:space="preserve"> </w:t>
      </w:r>
      <w:r>
        <w:rPr>
          <w:sz w:val="20"/>
        </w:rPr>
        <w:t xml:space="preserve">namely: </w:t>
      </w:r>
      <w:r>
        <w:rPr>
          <w:spacing w:val="-6"/>
          <w:sz w:val="20"/>
        </w:rPr>
        <w:t>1.</w:t>
      </w:r>
    </w:p>
    <w:p w:rsidR="007F6DF9" w:rsidRDefault="00A43FBC">
      <w:pPr>
        <w:spacing w:before="2"/>
        <w:ind w:left="559"/>
        <w:rPr>
          <w:sz w:val="20"/>
        </w:rPr>
      </w:pPr>
      <w:r>
        <w:rPr>
          <w:spacing w:val="-5"/>
          <w:sz w:val="20"/>
        </w:rPr>
        <w:t>2.</w:t>
      </w:r>
    </w:p>
    <w:p w:rsidR="007F6DF9" w:rsidRDefault="00A43FBC">
      <w:pPr>
        <w:spacing w:before="118" w:line="364" w:lineRule="auto"/>
        <w:ind w:left="559" w:right="4446"/>
        <w:rPr>
          <w:sz w:val="20"/>
        </w:rPr>
      </w:pPr>
      <w:r>
        <w:rPr>
          <w:sz w:val="20"/>
        </w:rPr>
        <w:t>By</w:t>
      </w:r>
      <w:r>
        <w:rPr>
          <w:spacing w:val="-2"/>
          <w:sz w:val="20"/>
        </w:rPr>
        <w:t xml:space="preserve"> </w:t>
      </w:r>
      <w:r>
        <w:rPr>
          <w:sz w:val="20"/>
        </w:rPr>
        <w:t>this</w:t>
      </w:r>
      <w:r>
        <w:rPr>
          <w:spacing w:val="-3"/>
          <w:sz w:val="20"/>
        </w:rPr>
        <w:t xml:space="preserve"> </w:t>
      </w:r>
      <w:r>
        <w:rPr>
          <w:sz w:val="20"/>
        </w:rPr>
        <w:t>memorandum,</w:t>
      </w:r>
      <w:r>
        <w:rPr>
          <w:spacing w:val="-3"/>
          <w:sz w:val="20"/>
        </w:rPr>
        <w:t xml:space="preserve"> </w:t>
      </w:r>
      <w:r>
        <w:rPr>
          <w:sz w:val="20"/>
        </w:rPr>
        <w:t>the</w:t>
      </w:r>
      <w:r>
        <w:rPr>
          <w:spacing w:val="-3"/>
          <w:sz w:val="20"/>
        </w:rPr>
        <w:t xml:space="preserve"> </w:t>
      </w:r>
      <w:r>
        <w:rPr>
          <w:sz w:val="20"/>
        </w:rPr>
        <w:t>Applicant</w:t>
      </w:r>
      <w:r>
        <w:rPr>
          <w:spacing w:val="-4"/>
          <w:sz w:val="20"/>
        </w:rPr>
        <w:t xml:space="preserve"> </w:t>
      </w:r>
      <w:r>
        <w:rPr>
          <w:sz w:val="20"/>
        </w:rPr>
        <w:t>requests</w:t>
      </w:r>
      <w:r>
        <w:rPr>
          <w:spacing w:val="-4"/>
          <w:sz w:val="20"/>
        </w:rPr>
        <w:t xml:space="preserve"> </w:t>
      </w:r>
      <w:r>
        <w:rPr>
          <w:sz w:val="20"/>
        </w:rPr>
        <w:t>the</w:t>
      </w:r>
      <w:r>
        <w:rPr>
          <w:spacing w:val="-3"/>
          <w:sz w:val="20"/>
        </w:rPr>
        <w:t xml:space="preserve"> </w:t>
      </w:r>
      <w:r>
        <w:rPr>
          <w:sz w:val="20"/>
        </w:rPr>
        <w:t>Board</w:t>
      </w:r>
      <w:r>
        <w:rPr>
          <w:spacing w:val="-4"/>
          <w:sz w:val="20"/>
        </w:rPr>
        <w:t xml:space="preserve"> </w:t>
      </w:r>
      <w:r>
        <w:rPr>
          <w:sz w:val="20"/>
        </w:rPr>
        <w:t>for</w:t>
      </w:r>
      <w:r>
        <w:rPr>
          <w:spacing w:val="-5"/>
          <w:sz w:val="20"/>
        </w:rPr>
        <w:t xml:space="preserve"> </w:t>
      </w:r>
      <w:r>
        <w:rPr>
          <w:sz w:val="20"/>
        </w:rPr>
        <w:t>an</w:t>
      </w:r>
      <w:r>
        <w:rPr>
          <w:spacing w:val="-2"/>
          <w:sz w:val="20"/>
        </w:rPr>
        <w:t xml:space="preserve"> </w:t>
      </w:r>
      <w:r>
        <w:rPr>
          <w:sz w:val="20"/>
        </w:rPr>
        <w:t>order/orders</w:t>
      </w:r>
      <w:r>
        <w:rPr>
          <w:spacing w:val="-4"/>
          <w:sz w:val="20"/>
        </w:rPr>
        <w:t xml:space="preserve"> </w:t>
      </w:r>
      <w:r>
        <w:rPr>
          <w:sz w:val="20"/>
        </w:rPr>
        <w:t xml:space="preserve">that: </w:t>
      </w:r>
      <w:r>
        <w:rPr>
          <w:spacing w:val="-6"/>
          <w:sz w:val="20"/>
        </w:rPr>
        <w:t>1.</w:t>
      </w:r>
    </w:p>
    <w:p w:rsidR="007F6DF9" w:rsidRDefault="00A43FBC">
      <w:pPr>
        <w:spacing w:before="2"/>
        <w:ind w:left="559"/>
        <w:rPr>
          <w:sz w:val="20"/>
        </w:rPr>
      </w:pPr>
      <w:r>
        <w:rPr>
          <w:spacing w:val="-5"/>
          <w:sz w:val="20"/>
        </w:rPr>
        <w:t>2.</w:t>
      </w:r>
    </w:p>
    <w:p w:rsidR="007F6DF9" w:rsidRDefault="00A43FBC">
      <w:pPr>
        <w:spacing w:before="120"/>
        <w:ind w:left="559"/>
        <w:rPr>
          <w:sz w:val="20"/>
        </w:rPr>
      </w:pPr>
      <w:r>
        <w:rPr>
          <w:sz w:val="20"/>
        </w:rPr>
        <w:t>SIGNED</w:t>
      </w:r>
      <w:r>
        <w:rPr>
          <w:spacing w:val="-9"/>
          <w:sz w:val="20"/>
        </w:rPr>
        <w:t xml:space="preserve"> </w:t>
      </w:r>
      <w:r>
        <w:rPr>
          <w:sz w:val="20"/>
        </w:rPr>
        <w:t>……………</w:t>
      </w:r>
      <w:proofErr w:type="gramStart"/>
      <w:r>
        <w:rPr>
          <w:sz w:val="20"/>
        </w:rPr>
        <w:t>….(</w:t>
      </w:r>
      <w:proofErr w:type="gramEnd"/>
      <w:r>
        <w:rPr>
          <w:sz w:val="20"/>
        </w:rPr>
        <w:t>Applicant)</w:t>
      </w:r>
      <w:r>
        <w:rPr>
          <w:spacing w:val="-8"/>
          <w:sz w:val="20"/>
        </w:rPr>
        <w:t xml:space="preserve"> </w:t>
      </w:r>
      <w:r>
        <w:rPr>
          <w:sz w:val="20"/>
        </w:rPr>
        <w:t>Dated</w:t>
      </w:r>
      <w:r>
        <w:rPr>
          <w:spacing w:val="-8"/>
          <w:sz w:val="20"/>
        </w:rPr>
        <w:t xml:space="preserve"> </w:t>
      </w:r>
      <w:r>
        <w:rPr>
          <w:sz w:val="20"/>
        </w:rPr>
        <w:t>on…………….day</w:t>
      </w:r>
      <w:r>
        <w:rPr>
          <w:spacing w:val="-7"/>
          <w:sz w:val="20"/>
        </w:rPr>
        <w:t xml:space="preserve"> </w:t>
      </w:r>
      <w:r>
        <w:rPr>
          <w:sz w:val="20"/>
        </w:rPr>
        <w:t>of</w:t>
      </w:r>
      <w:r>
        <w:rPr>
          <w:spacing w:val="-8"/>
          <w:sz w:val="20"/>
        </w:rPr>
        <w:t xml:space="preserve"> </w:t>
      </w:r>
      <w:r>
        <w:rPr>
          <w:spacing w:val="-2"/>
          <w:sz w:val="20"/>
        </w:rPr>
        <w:t>……………/…20……</w:t>
      </w:r>
    </w:p>
    <w:p w:rsidR="007F6DF9" w:rsidRDefault="00A43FBC">
      <w:pPr>
        <w:pStyle w:val="BodyText"/>
        <w:spacing w:before="75"/>
        <w:rPr>
          <w:sz w:val="20"/>
        </w:rPr>
      </w:pPr>
      <w:r>
        <w:rPr>
          <w:noProof/>
          <w:sz w:val="20"/>
        </w:rPr>
        <mc:AlternateContent>
          <mc:Choice Requires="wpg">
            <w:drawing>
              <wp:anchor distT="0" distB="0" distL="0" distR="0" simplePos="0" relativeHeight="487627776" behindDoc="1" locked="0" layoutInCell="1" allowOverlap="1">
                <wp:simplePos x="0" y="0"/>
                <wp:positionH relativeFrom="page">
                  <wp:posOffset>445008</wp:posOffset>
                </wp:positionH>
                <wp:positionV relativeFrom="paragraph">
                  <wp:posOffset>209156</wp:posOffset>
                </wp:positionV>
                <wp:extent cx="4763770" cy="1397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3770" cy="13970"/>
                          <a:chOff x="0" y="0"/>
                          <a:chExt cx="4763770" cy="13970"/>
                        </a:xfrm>
                      </wpg:grpSpPr>
                      <wps:wsp>
                        <wps:cNvPr id="454" name="Graphic 448"/>
                        <wps:cNvSpPr/>
                        <wps:spPr>
                          <a:xfrm>
                            <a:off x="0" y="9621"/>
                            <a:ext cx="4757420" cy="1270"/>
                          </a:xfrm>
                          <a:custGeom>
                            <a:avLst/>
                            <a:gdLst/>
                            <a:ahLst/>
                            <a:cxnLst/>
                            <a:rect l="l" t="t" r="r" b="b"/>
                            <a:pathLst>
                              <a:path w="4757420">
                                <a:moveTo>
                                  <a:pt x="0" y="0"/>
                                </a:moveTo>
                                <a:lnTo>
                                  <a:pt x="4756858" y="0"/>
                                </a:lnTo>
                              </a:path>
                            </a:pathLst>
                          </a:custGeom>
                          <a:ln w="7968">
                            <a:solidFill>
                              <a:srgbClr val="000000"/>
                            </a:solidFill>
                            <a:prstDash val="solid"/>
                          </a:ln>
                        </wps:spPr>
                        <wps:bodyPr wrap="square" lIns="0" tIns="0" rIns="0" bIns="0" rtlCol="0">
                          <a:prstTxWarp prst="textNoShape">
                            <a:avLst/>
                          </a:prstTxWarp>
                          <a:noAutofit/>
                        </wps:bodyPr>
                      </wps:wsp>
                      <wps:wsp>
                        <wps:cNvPr id="455" name="Graphic 449"/>
                        <wps:cNvSpPr/>
                        <wps:spPr>
                          <a:xfrm>
                            <a:off x="0" y="0"/>
                            <a:ext cx="4763770" cy="12700"/>
                          </a:xfrm>
                          <a:custGeom>
                            <a:avLst/>
                            <a:gdLst/>
                            <a:ahLst/>
                            <a:cxnLst/>
                            <a:rect l="l" t="t" r="r" b="b"/>
                            <a:pathLst>
                              <a:path w="4763770" h="12700">
                                <a:moveTo>
                                  <a:pt x="4763389" y="0"/>
                                </a:moveTo>
                                <a:lnTo>
                                  <a:pt x="0" y="0"/>
                                </a:lnTo>
                                <a:lnTo>
                                  <a:pt x="0" y="12191"/>
                                </a:lnTo>
                                <a:lnTo>
                                  <a:pt x="4763389" y="12191"/>
                                </a:lnTo>
                                <a:lnTo>
                                  <a:pt x="47633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15E69A" id="Group 447" o:spid="_x0000_s1026" style="position:absolute;margin-left:35.05pt;margin-top:16.45pt;width:375.1pt;height:1.1pt;z-index:-15688704;mso-wrap-distance-left:0;mso-wrap-distance-right:0;mso-position-horizontal-relative:page" coordsize="4763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">
                <v:shape id="Graphic 448" o:spid="_x0000_s1027" style="position:absolute;top:96;width:47574;height:12;visibility:visible;mso-wrap-style:square;v-text-anchor:top" coordsize="4757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" path="m,l4756858,e" filled="f" strokeweight=".22133mm">
                  <v:path arrowok="t"/>
                </v:shape>
                <v:shape id="Graphic 449" o:spid="_x0000_s1028" style="position:absolute;width:47637;height:127;visibility:visible;mso-wrap-style:square;v-text-anchor:top" coordsize="47637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" path="m4763389,l,,,12191r4763389,l4763389,xe" fillcolor="black" stroked="f">
                  <v:path arrowok="t"/>
                </v:shape>
                <w10:wrap type="topAndBottom" anchorx="page"/>
              </v:group>
            </w:pict>
          </mc:Fallback>
        </mc:AlternateContent>
      </w:r>
    </w:p>
    <w:p w:rsidR="007F6DF9" w:rsidRDefault="00A43FBC">
      <w:pPr>
        <w:tabs>
          <w:tab w:val="left" w:leader="dot" w:pos="10227"/>
        </w:tabs>
        <w:spacing w:before="118"/>
        <w:ind w:left="559"/>
        <w:rPr>
          <w:sz w:val="20"/>
        </w:rPr>
      </w:pPr>
      <w:r>
        <w:rPr>
          <w:sz w:val="20"/>
        </w:rPr>
        <w:t>FOR</w:t>
      </w:r>
      <w:r>
        <w:rPr>
          <w:spacing w:val="-7"/>
          <w:sz w:val="20"/>
        </w:rPr>
        <w:t xml:space="preserve"> </w:t>
      </w:r>
      <w:r>
        <w:rPr>
          <w:sz w:val="20"/>
        </w:rPr>
        <w:t>OFFICIAL</w:t>
      </w:r>
      <w:r>
        <w:rPr>
          <w:spacing w:val="-5"/>
          <w:sz w:val="20"/>
        </w:rPr>
        <w:t xml:space="preserve"> </w:t>
      </w:r>
      <w:r>
        <w:rPr>
          <w:sz w:val="20"/>
        </w:rPr>
        <w:t>USE</w:t>
      </w:r>
      <w:r>
        <w:rPr>
          <w:spacing w:val="-5"/>
          <w:sz w:val="20"/>
        </w:rPr>
        <w:t xml:space="preserve"> </w:t>
      </w:r>
      <w:r>
        <w:rPr>
          <w:sz w:val="20"/>
        </w:rPr>
        <w:t>ONLY</w:t>
      </w:r>
      <w:r>
        <w:rPr>
          <w:spacing w:val="-5"/>
          <w:sz w:val="20"/>
        </w:rPr>
        <w:t xml:space="preserve"> </w:t>
      </w:r>
      <w:r>
        <w:rPr>
          <w:sz w:val="20"/>
        </w:rPr>
        <w:t>Lodged</w:t>
      </w:r>
      <w:r>
        <w:rPr>
          <w:spacing w:val="-6"/>
          <w:sz w:val="20"/>
        </w:rPr>
        <w:t xml:space="preserve"> </w:t>
      </w:r>
      <w:r>
        <w:rPr>
          <w:sz w:val="20"/>
        </w:rPr>
        <w:t>with</w:t>
      </w:r>
      <w:r>
        <w:rPr>
          <w:spacing w:val="-4"/>
          <w:sz w:val="20"/>
        </w:rPr>
        <w:t xml:space="preserve"> </w:t>
      </w:r>
      <w:r>
        <w:rPr>
          <w:sz w:val="20"/>
        </w:rPr>
        <w:t>the</w:t>
      </w:r>
      <w:r>
        <w:rPr>
          <w:spacing w:val="-6"/>
          <w:sz w:val="20"/>
        </w:rPr>
        <w:t xml:space="preserve"> </w:t>
      </w:r>
      <w:r>
        <w:rPr>
          <w:sz w:val="20"/>
        </w:rPr>
        <w:t>Secretary</w:t>
      </w:r>
      <w:r>
        <w:rPr>
          <w:spacing w:val="-4"/>
          <w:sz w:val="20"/>
        </w:rPr>
        <w:t xml:space="preserve"> </w:t>
      </w:r>
      <w:r>
        <w:rPr>
          <w:sz w:val="20"/>
        </w:rPr>
        <w:t>Public</w:t>
      </w:r>
      <w:r>
        <w:rPr>
          <w:spacing w:val="-5"/>
          <w:sz w:val="20"/>
        </w:rPr>
        <w:t xml:space="preserve"> </w:t>
      </w:r>
      <w:r>
        <w:rPr>
          <w:sz w:val="20"/>
        </w:rPr>
        <w:t>Procurement</w:t>
      </w:r>
      <w:r>
        <w:rPr>
          <w:spacing w:val="-6"/>
          <w:sz w:val="20"/>
        </w:rPr>
        <w:t xml:space="preserve"> </w:t>
      </w:r>
      <w:r>
        <w:rPr>
          <w:sz w:val="20"/>
        </w:rPr>
        <w:t>Administrative</w:t>
      </w:r>
      <w:r>
        <w:rPr>
          <w:spacing w:val="-5"/>
          <w:sz w:val="20"/>
        </w:rPr>
        <w:t xml:space="preserve"> </w:t>
      </w:r>
      <w:r>
        <w:rPr>
          <w:sz w:val="20"/>
        </w:rPr>
        <w:t>Review</w:t>
      </w:r>
      <w:r>
        <w:rPr>
          <w:spacing w:val="-5"/>
          <w:sz w:val="20"/>
        </w:rPr>
        <w:t xml:space="preserve"> </w:t>
      </w:r>
      <w:r>
        <w:rPr>
          <w:sz w:val="20"/>
        </w:rPr>
        <w:t>Board</w:t>
      </w:r>
      <w:r>
        <w:rPr>
          <w:spacing w:val="-5"/>
          <w:sz w:val="20"/>
        </w:rPr>
        <w:t xml:space="preserve"> on</w:t>
      </w:r>
      <w:r>
        <w:rPr>
          <w:sz w:val="20"/>
        </w:rPr>
        <w:tab/>
        <w:t>day</w:t>
      </w:r>
      <w:r>
        <w:rPr>
          <w:spacing w:val="-1"/>
          <w:sz w:val="20"/>
        </w:rPr>
        <w:t xml:space="preserve"> </w:t>
      </w:r>
      <w:r>
        <w:rPr>
          <w:spacing w:val="-5"/>
          <w:sz w:val="20"/>
        </w:rPr>
        <w:t>of</w:t>
      </w:r>
    </w:p>
    <w:p w:rsidR="007F6DF9" w:rsidRDefault="00A43FBC">
      <w:pPr>
        <w:ind w:left="559"/>
        <w:rPr>
          <w:sz w:val="20"/>
        </w:rPr>
      </w:pPr>
      <w:r>
        <w:rPr>
          <w:spacing w:val="-2"/>
          <w:sz w:val="20"/>
        </w:rPr>
        <w:t>………....20….………</w:t>
      </w:r>
    </w:p>
    <w:p w:rsidR="007F6DF9" w:rsidRDefault="00A43FBC">
      <w:pPr>
        <w:spacing w:before="121"/>
        <w:ind w:left="559"/>
        <w:rPr>
          <w:b/>
          <w:sz w:val="20"/>
        </w:rPr>
      </w:pPr>
      <w:r>
        <w:rPr>
          <w:b/>
          <w:spacing w:val="-2"/>
          <w:sz w:val="20"/>
        </w:rPr>
        <w:t>SIGNED</w:t>
      </w:r>
    </w:p>
    <w:p w:rsidR="007F6DF9" w:rsidRDefault="00A43FBC">
      <w:pPr>
        <w:spacing w:before="120"/>
        <w:ind w:left="559"/>
        <w:rPr>
          <w:b/>
          <w:sz w:val="20"/>
        </w:rPr>
      </w:pPr>
      <w:r>
        <w:rPr>
          <w:b/>
          <w:sz w:val="20"/>
        </w:rPr>
        <w:t>Board</w:t>
      </w:r>
      <w:r>
        <w:rPr>
          <w:b/>
          <w:spacing w:val="-5"/>
          <w:sz w:val="20"/>
        </w:rPr>
        <w:t xml:space="preserve"> </w:t>
      </w:r>
      <w:r>
        <w:rPr>
          <w:b/>
          <w:spacing w:val="-2"/>
          <w:sz w:val="20"/>
        </w:rPr>
        <w:t>Secretary</w:t>
      </w:r>
    </w:p>
    <w:p w:rsidR="007F6DF9" w:rsidRDefault="007F6DF9">
      <w:pPr>
        <w:rPr>
          <w:b/>
          <w:sz w:val="20"/>
        </w:rPr>
        <w:sectPr w:rsidR="007F6DF9">
          <w:pgSz w:w="11920" w:h="16850"/>
          <w:pgMar w:top="360" w:right="283" w:bottom="620" w:left="141" w:header="0" w:footer="437" w:gutter="0"/>
          <w:cols w:space="720"/>
        </w:sectPr>
      </w:pPr>
    </w:p>
    <w:p w:rsidR="007F6DF9" w:rsidRDefault="00A43FBC">
      <w:pPr>
        <w:pStyle w:val="Heading6"/>
        <w:spacing w:before="249"/>
        <w:ind w:left="559"/>
      </w:pPr>
      <w:r>
        <w:rPr>
          <w:color w:val="221F1F"/>
          <w:u w:val="single" w:color="221F1F"/>
        </w:rPr>
        <w:lastRenderedPageBreak/>
        <w:t>FORM</w:t>
      </w:r>
      <w:r>
        <w:rPr>
          <w:color w:val="221F1F"/>
          <w:spacing w:val="-3"/>
          <w:u w:val="single" w:color="221F1F"/>
        </w:rPr>
        <w:t xml:space="preserve"> </w:t>
      </w:r>
      <w:r>
        <w:rPr>
          <w:color w:val="221F1F"/>
          <w:u w:val="single" w:color="221F1F"/>
        </w:rPr>
        <w:t>NO</w:t>
      </w:r>
      <w:r>
        <w:rPr>
          <w:color w:val="221F1F"/>
          <w:spacing w:val="60"/>
          <w:u w:val="single" w:color="221F1F"/>
        </w:rPr>
        <w:t xml:space="preserve"> </w:t>
      </w:r>
      <w:r>
        <w:rPr>
          <w:color w:val="221F1F"/>
          <w:u w:val="single" w:color="221F1F"/>
        </w:rPr>
        <w:t>3:</w:t>
      </w:r>
      <w:r>
        <w:rPr>
          <w:color w:val="221F1F"/>
          <w:spacing w:val="58"/>
          <w:u w:val="single" w:color="221F1F"/>
        </w:rPr>
        <w:t xml:space="preserve"> </w:t>
      </w:r>
      <w:r>
        <w:rPr>
          <w:color w:val="221F1F"/>
          <w:u w:val="single" w:color="221F1F"/>
        </w:rPr>
        <w:t>LETTER OF</w:t>
      </w:r>
      <w:r>
        <w:rPr>
          <w:color w:val="221F1F"/>
          <w:spacing w:val="-6"/>
          <w:u w:val="single" w:color="221F1F"/>
        </w:rPr>
        <w:t xml:space="preserve"> </w:t>
      </w:r>
      <w:r>
        <w:rPr>
          <w:color w:val="221F1F"/>
          <w:spacing w:val="-4"/>
          <w:u w:val="single" w:color="221F1F"/>
        </w:rPr>
        <w:t>AWARD</w:t>
      </w:r>
    </w:p>
    <w:p w:rsidR="007F6DF9" w:rsidRDefault="00A43FBC">
      <w:pPr>
        <w:spacing w:before="249" w:line="417" w:lineRule="auto"/>
        <w:ind w:left="559" w:right="6823"/>
        <w:rPr>
          <w:i/>
        </w:rPr>
      </w:pPr>
      <w:r>
        <w:rPr>
          <w:i/>
          <w:color w:val="221F1F"/>
        </w:rPr>
        <w:t>letterhead</w:t>
      </w:r>
      <w:r>
        <w:rPr>
          <w:i/>
          <w:color w:val="221F1F"/>
          <w:spacing w:val="-8"/>
        </w:rPr>
        <w:t xml:space="preserve"> </w:t>
      </w:r>
      <w:r>
        <w:rPr>
          <w:i/>
          <w:color w:val="221F1F"/>
        </w:rPr>
        <w:t>paper</w:t>
      </w:r>
      <w:r>
        <w:rPr>
          <w:i/>
          <w:color w:val="221F1F"/>
          <w:spacing w:val="-5"/>
        </w:rPr>
        <w:t xml:space="preserve"> </w:t>
      </w:r>
      <w:r>
        <w:rPr>
          <w:i/>
          <w:color w:val="221F1F"/>
        </w:rPr>
        <w:t>of</w:t>
      </w:r>
      <w:r>
        <w:rPr>
          <w:i/>
          <w:color w:val="221F1F"/>
          <w:spacing w:val="-6"/>
        </w:rPr>
        <w:t xml:space="preserve"> </w:t>
      </w:r>
      <w:r>
        <w:rPr>
          <w:i/>
          <w:color w:val="221F1F"/>
        </w:rPr>
        <w:t>the</w:t>
      </w:r>
      <w:r>
        <w:rPr>
          <w:i/>
          <w:color w:val="221F1F"/>
          <w:spacing w:val="-5"/>
        </w:rPr>
        <w:t xml:space="preserve"> </w:t>
      </w:r>
      <w:r>
        <w:rPr>
          <w:i/>
          <w:color w:val="221F1F"/>
        </w:rPr>
        <w:t>Procuring</w:t>
      </w:r>
      <w:r>
        <w:rPr>
          <w:i/>
          <w:color w:val="221F1F"/>
          <w:spacing w:val="-5"/>
        </w:rPr>
        <w:t xml:space="preserve"> </w:t>
      </w:r>
      <w:r>
        <w:rPr>
          <w:i/>
          <w:color w:val="221F1F"/>
        </w:rPr>
        <w:t xml:space="preserve">Entity] </w:t>
      </w:r>
      <w:r>
        <w:rPr>
          <w:i/>
          <w:color w:val="221F1F"/>
          <w:spacing w:val="-2"/>
        </w:rPr>
        <w:t>[date]</w:t>
      </w:r>
    </w:p>
    <w:p w:rsidR="007F6DF9" w:rsidRDefault="007F6DF9">
      <w:pPr>
        <w:pStyle w:val="BodyText"/>
        <w:spacing w:before="65"/>
        <w:rPr>
          <w:i/>
        </w:rPr>
      </w:pPr>
    </w:p>
    <w:p w:rsidR="007F6DF9" w:rsidRDefault="00A43FBC">
      <w:pPr>
        <w:ind w:left="711"/>
        <w:rPr>
          <w:i/>
        </w:rPr>
      </w:pPr>
      <w:r>
        <w:rPr>
          <w:color w:val="221F1F"/>
        </w:rPr>
        <w:t>To:</w:t>
      </w:r>
      <w:r>
        <w:rPr>
          <w:color w:val="221F1F"/>
          <w:spacing w:val="-2"/>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spacing w:val="-2"/>
        </w:rPr>
        <w:t>Contractor]</w:t>
      </w:r>
    </w:p>
    <w:p w:rsidR="007F6DF9" w:rsidRDefault="00A43FBC">
      <w:pPr>
        <w:tabs>
          <w:tab w:val="left" w:leader="dot" w:pos="2307"/>
        </w:tabs>
        <w:spacing w:before="242" w:line="230" w:lineRule="auto"/>
        <w:ind w:left="711" w:right="558"/>
        <w:jc w:val="both"/>
      </w:pPr>
      <w:r>
        <w:rPr>
          <w:color w:val="221F1F"/>
        </w:rPr>
        <w:t xml:space="preserve">This is to notify you that your Tender dated </w:t>
      </w:r>
      <w:r>
        <w:rPr>
          <w:i/>
          <w:color w:val="221F1F"/>
        </w:rPr>
        <w:t xml:space="preserve">[date] </w:t>
      </w:r>
      <w:r>
        <w:rPr>
          <w:color w:val="221F1F"/>
        </w:rPr>
        <w:t xml:space="preserve">for execution of the </w:t>
      </w:r>
      <w:r>
        <w:rPr>
          <w:i/>
          <w:color w:val="221F1F"/>
        </w:rPr>
        <w:t>[name of the Contract and identification number,</w:t>
      </w:r>
      <w:r>
        <w:rPr>
          <w:i/>
          <w:color w:val="221F1F"/>
          <w:spacing w:val="-3"/>
        </w:rPr>
        <w:t xml:space="preserve"> </w:t>
      </w:r>
      <w:r>
        <w:rPr>
          <w:i/>
          <w:color w:val="221F1F"/>
        </w:rPr>
        <w:t xml:space="preserve">as given in the Contract Data] </w:t>
      </w:r>
      <w:r>
        <w:rPr>
          <w:color w:val="221F1F"/>
        </w:rPr>
        <w:t xml:space="preserve">for the Accepted Contract Amount </w:t>
      </w:r>
      <w:r>
        <w:rPr>
          <w:i/>
          <w:color w:val="221F1F"/>
        </w:rPr>
        <w:t>[</w:t>
      </w:r>
      <w:proofErr w:type="spellStart"/>
      <w:r>
        <w:rPr>
          <w:i/>
          <w:color w:val="221F1F"/>
        </w:rPr>
        <w:t>amoun</w:t>
      </w:r>
      <w:proofErr w:type="spellEnd"/>
      <w:r>
        <w:rPr>
          <w:i/>
          <w:color w:val="221F1F"/>
        </w:rPr>
        <w:t xml:space="preserve"> tin numbers and words] [name of</w:t>
      </w:r>
      <w:r>
        <w:rPr>
          <w:i/>
          <w:color w:val="221F1F"/>
          <w:spacing w:val="40"/>
        </w:rPr>
        <w:t xml:space="preserve"> </w:t>
      </w:r>
      <w:r>
        <w:rPr>
          <w:i/>
          <w:color w:val="221F1F"/>
        </w:rPr>
        <w:t>currency]</w:t>
      </w:r>
      <w:r>
        <w:rPr>
          <w:color w:val="221F1F"/>
        </w:rPr>
        <w:t>,</w:t>
      </w:r>
      <w:r>
        <w:rPr>
          <w:color w:val="221F1F"/>
          <w:spacing w:val="36"/>
        </w:rPr>
        <w:t xml:space="preserve"> </w:t>
      </w:r>
      <w:r>
        <w:rPr>
          <w:color w:val="221F1F"/>
        </w:rPr>
        <w:t>as</w:t>
      </w:r>
      <w:r>
        <w:rPr>
          <w:color w:val="221F1F"/>
          <w:spacing w:val="40"/>
        </w:rPr>
        <w:t xml:space="preserve"> </w:t>
      </w:r>
      <w:r>
        <w:rPr>
          <w:color w:val="221F1F"/>
        </w:rPr>
        <w:t>corrected</w:t>
      </w:r>
      <w:r>
        <w:rPr>
          <w:color w:val="221F1F"/>
          <w:spacing w:val="37"/>
        </w:rPr>
        <w:t xml:space="preserve"> </w:t>
      </w:r>
      <w:r>
        <w:rPr>
          <w:color w:val="221F1F"/>
        </w:rPr>
        <w:t>and</w:t>
      </w:r>
      <w:r>
        <w:rPr>
          <w:color w:val="221F1F"/>
          <w:spacing w:val="40"/>
        </w:rPr>
        <w:t xml:space="preserve"> </w:t>
      </w:r>
      <w:r>
        <w:rPr>
          <w:color w:val="221F1F"/>
        </w:rPr>
        <w:t>modified</w:t>
      </w:r>
      <w:r>
        <w:rPr>
          <w:color w:val="221F1F"/>
          <w:spacing w:val="39"/>
        </w:rPr>
        <w:t xml:space="preserve"> </w:t>
      </w:r>
      <w:r>
        <w:rPr>
          <w:color w:val="221F1F"/>
        </w:rPr>
        <w:t>in</w:t>
      </w:r>
      <w:r>
        <w:rPr>
          <w:color w:val="221F1F"/>
          <w:spacing w:val="36"/>
        </w:rPr>
        <w:t xml:space="preserve"> </w:t>
      </w:r>
      <w:r>
        <w:rPr>
          <w:color w:val="221F1F"/>
        </w:rPr>
        <w:t>accordance</w:t>
      </w:r>
      <w:r>
        <w:rPr>
          <w:color w:val="221F1F"/>
          <w:spacing w:val="40"/>
        </w:rPr>
        <w:t xml:space="preserve"> </w:t>
      </w:r>
      <w:r>
        <w:rPr>
          <w:color w:val="221F1F"/>
        </w:rPr>
        <w:t>with</w:t>
      </w:r>
      <w:r>
        <w:rPr>
          <w:color w:val="221F1F"/>
          <w:spacing w:val="39"/>
        </w:rPr>
        <w:t xml:space="preserve"> </w:t>
      </w:r>
      <w:r>
        <w:rPr>
          <w:color w:val="221F1F"/>
        </w:rPr>
        <w:t>the</w:t>
      </w:r>
      <w:r>
        <w:rPr>
          <w:color w:val="221F1F"/>
          <w:spacing w:val="39"/>
        </w:rPr>
        <w:t xml:space="preserve"> </w:t>
      </w:r>
      <w:r>
        <w:rPr>
          <w:color w:val="221F1F"/>
        </w:rPr>
        <w:t>Instructions</w:t>
      </w:r>
      <w:r>
        <w:rPr>
          <w:color w:val="221F1F"/>
          <w:spacing w:val="40"/>
        </w:rPr>
        <w:t xml:space="preserve"> </w:t>
      </w:r>
      <w:r>
        <w:rPr>
          <w:color w:val="221F1F"/>
        </w:rPr>
        <w:t>to</w:t>
      </w:r>
      <w:r>
        <w:rPr>
          <w:color w:val="221F1F"/>
          <w:spacing w:val="36"/>
        </w:rPr>
        <w:t xml:space="preserve"> </w:t>
      </w:r>
      <w:r>
        <w:rPr>
          <w:color w:val="221F1F"/>
        </w:rPr>
        <w:t>Tenderers,</w:t>
      </w:r>
      <w:r>
        <w:rPr>
          <w:color w:val="221F1F"/>
          <w:spacing w:val="40"/>
        </w:rPr>
        <w:t xml:space="preserve"> </w:t>
      </w:r>
      <w:r>
        <w:rPr>
          <w:color w:val="221F1F"/>
        </w:rPr>
        <w:t>is</w:t>
      </w:r>
      <w:r>
        <w:rPr>
          <w:color w:val="221F1F"/>
          <w:spacing w:val="37"/>
        </w:rPr>
        <w:t xml:space="preserve"> </w:t>
      </w:r>
      <w:r>
        <w:rPr>
          <w:color w:val="221F1F"/>
        </w:rPr>
        <w:t>here</w:t>
      </w:r>
      <w:r>
        <w:rPr>
          <w:color w:val="221F1F"/>
          <w:spacing w:val="39"/>
        </w:rPr>
        <w:t xml:space="preserve"> </w:t>
      </w:r>
      <w:r>
        <w:rPr>
          <w:color w:val="221F1F"/>
        </w:rPr>
        <w:t>by</w:t>
      </w:r>
      <w:r>
        <w:rPr>
          <w:color w:val="221F1F"/>
          <w:spacing w:val="39"/>
        </w:rPr>
        <w:t xml:space="preserve"> </w:t>
      </w:r>
      <w:r>
        <w:rPr>
          <w:color w:val="221F1F"/>
        </w:rPr>
        <w:t xml:space="preserve">accepted </w:t>
      </w:r>
      <w:r>
        <w:rPr>
          <w:color w:val="221F1F"/>
          <w:spacing w:val="-4"/>
        </w:rPr>
        <w:t>by…</w:t>
      </w:r>
      <w:r>
        <w:rPr>
          <w:color w:val="221F1F"/>
        </w:rPr>
        <w:tab/>
      </w:r>
      <w:r>
        <w:rPr>
          <w:i/>
          <w:color w:val="221F1F"/>
        </w:rPr>
        <w:t>(name of Procuring Entity)</w:t>
      </w:r>
      <w:r>
        <w:rPr>
          <w:color w:val="221F1F"/>
        </w:rPr>
        <w:t>.</w:t>
      </w:r>
    </w:p>
    <w:p w:rsidR="007F6DF9" w:rsidRDefault="00A43FBC">
      <w:pPr>
        <w:pStyle w:val="BodyText"/>
        <w:spacing w:before="246" w:line="230" w:lineRule="auto"/>
        <w:ind w:left="711" w:right="558"/>
        <w:jc w:val="both"/>
      </w:pPr>
      <w:r>
        <w:rPr>
          <w:color w:val="221F1F"/>
        </w:rPr>
        <w:t>You</w:t>
      </w:r>
      <w:r>
        <w:rPr>
          <w:color w:val="221F1F"/>
          <w:spacing w:val="-14"/>
        </w:rPr>
        <w:t xml:space="preserve"> </w:t>
      </w:r>
      <w:r>
        <w:rPr>
          <w:color w:val="221F1F"/>
        </w:rPr>
        <w:t>are</w:t>
      </w:r>
      <w:r>
        <w:rPr>
          <w:color w:val="221F1F"/>
          <w:spacing w:val="-5"/>
        </w:rPr>
        <w:t xml:space="preserve"> </w:t>
      </w:r>
      <w:r>
        <w:rPr>
          <w:color w:val="221F1F"/>
        </w:rPr>
        <w:t>requested to furnish the Performance Security within in accordance with</w:t>
      </w:r>
      <w:r>
        <w:rPr>
          <w:color w:val="221F1F"/>
          <w:spacing w:val="-1"/>
        </w:rPr>
        <w:t xml:space="preserve"> </w:t>
      </w:r>
      <w:r>
        <w:rPr>
          <w:color w:val="221F1F"/>
        </w:rPr>
        <w:t xml:space="preserve">the Conditions of Contract, using, for that purpose, one of the Performance Security Forms included in Section VIII, Contract Forms, of the Tender </w:t>
      </w:r>
      <w:r>
        <w:rPr>
          <w:color w:val="221F1F"/>
          <w:spacing w:val="-2"/>
        </w:rPr>
        <w:t>Document.</w:t>
      </w:r>
    </w:p>
    <w:p w:rsidR="007F6DF9" w:rsidRDefault="00A43FBC">
      <w:pPr>
        <w:pStyle w:val="BodyText"/>
        <w:spacing w:before="238"/>
        <w:ind w:left="711"/>
      </w:pPr>
      <w:r>
        <w:rPr>
          <w:color w:val="221F1F"/>
        </w:rPr>
        <w:t>Authorized</w:t>
      </w:r>
      <w:r>
        <w:rPr>
          <w:color w:val="221F1F"/>
          <w:spacing w:val="14"/>
        </w:rPr>
        <w:t xml:space="preserve"> </w:t>
      </w:r>
      <w:r>
        <w:rPr>
          <w:color w:val="221F1F"/>
        </w:rPr>
        <w:t>Signature:</w:t>
      </w:r>
      <w:r>
        <w:rPr>
          <w:color w:val="221F1F"/>
          <w:spacing w:val="15"/>
        </w:rPr>
        <w:t xml:space="preserve"> </w:t>
      </w:r>
      <w:r>
        <w:rPr>
          <w:color w:val="221F1F"/>
          <w:spacing w:val="-2"/>
        </w:rPr>
        <w:t>........................................................................................................................</w:t>
      </w:r>
    </w:p>
    <w:p w:rsidR="007F6DF9" w:rsidRDefault="00A43FBC">
      <w:pPr>
        <w:pStyle w:val="BodyText"/>
        <w:spacing w:before="234"/>
        <w:ind w:left="711"/>
      </w:pPr>
      <w:r>
        <w:rPr>
          <w:color w:val="221F1F"/>
        </w:rPr>
        <w:t>Name and</w:t>
      </w:r>
      <w:r>
        <w:rPr>
          <w:color w:val="221F1F"/>
          <w:spacing w:val="2"/>
        </w:rPr>
        <w:t xml:space="preserve"> </w:t>
      </w:r>
      <w:r>
        <w:rPr>
          <w:color w:val="221F1F"/>
        </w:rPr>
        <w:t>Title</w:t>
      </w:r>
      <w:r>
        <w:rPr>
          <w:color w:val="221F1F"/>
          <w:spacing w:val="2"/>
        </w:rPr>
        <w:t xml:space="preserve"> </w:t>
      </w:r>
      <w:r>
        <w:rPr>
          <w:color w:val="221F1F"/>
        </w:rPr>
        <w:t>of</w:t>
      </w:r>
      <w:r>
        <w:rPr>
          <w:color w:val="221F1F"/>
          <w:spacing w:val="4"/>
        </w:rPr>
        <w:t xml:space="preserve"> </w:t>
      </w:r>
      <w:r>
        <w:rPr>
          <w:color w:val="221F1F"/>
        </w:rPr>
        <w:t>Signatory:</w:t>
      </w:r>
      <w:r>
        <w:rPr>
          <w:color w:val="221F1F"/>
          <w:spacing w:val="3"/>
        </w:rPr>
        <w:t xml:space="preserve"> </w:t>
      </w:r>
      <w:r>
        <w:rPr>
          <w:color w:val="221F1F"/>
          <w:spacing w:val="-2"/>
        </w:rPr>
        <w:t>..............................................................................................................</w:t>
      </w:r>
    </w:p>
    <w:p w:rsidR="007F6DF9" w:rsidRDefault="00A43FBC">
      <w:pPr>
        <w:pStyle w:val="BodyText"/>
        <w:spacing w:before="234"/>
        <w:ind w:left="711"/>
      </w:pPr>
      <w:r>
        <w:rPr>
          <w:color w:val="221F1F"/>
        </w:rPr>
        <w:t>Name</w:t>
      </w:r>
      <w:r>
        <w:rPr>
          <w:color w:val="221F1F"/>
          <w:spacing w:val="3"/>
        </w:rPr>
        <w:t xml:space="preserve"> </w:t>
      </w:r>
      <w:r>
        <w:rPr>
          <w:color w:val="221F1F"/>
        </w:rPr>
        <w:t>of</w:t>
      </w:r>
      <w:r>
        <w:rPr>
          <w:color w:val="221F1F"/>
          <w:spacing w:val="4"/>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spacing w:val="-2"/>
        </w:rPr>
        <w:t>..................................................................................................................</w:t>
      </w:r>
    </w:p>
    <w:p w:rsidR="007F6DF9" w:rsidRDefault="00A43FBC">
      <w:pPr>
        <w:pStyle w:val="BodyText"/>
        <w:spacing w:before="234"/>
        <w:ind w:left="711"/>
      </w:pPr>
      <w:r>
        <w:rPr>
          <w:color w:val="221F1F"/>
        </w:rPr>
        <w:t>Attachment:</w:t>
      </w:r>
      <w:r>
        <w:rPr>
          <w:color w:val="221F1F"/>
          <w:spacing w:val="-3"/>
        </w:rPr>
        <w:t xml:space="preserve"> </w:t>
      </w:r>
      <w:r>
        <w:rPr>
          <w:i/>
          <w:color w:val="221F1F"/>
        </w:rPr>
        <w:t>Contract</w:t>
      </w:r>
      <w:r>
        <w:rPr>
          <w:i/>
          <w:color w:val="221F1F"/>
          <w:spacing w:val="-3"/>
        </w:rPr>
        <w:t xml:space="preserve"> </w:t>
      </w:r>
      <w:r>
        <w:rPr>
          <w:i/>
          <w:color w:val="221F1F"/>
        </w:rPr>
        <w:t>Agreement:</w:t>
      </w:r>
      <w:r>
        <w:rPr>
          <w:i/>
          <w:color w:val="221F1F"/>
          <w:spacing w:val="-3"/>
        </w:rPr>
        <w:t xml:space="preserve"> </w:t>
      </w:r>
      <w:r>
        <w:rPr>
          <w:color w:val="221F1F"/>
          <w:spacing w:val="-2"/>
        </w:rPr>
        <w:t>.....................................................................................................</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65"/>
        <w:rPr>
          <w:sz w:val="24"/>
        </w:rPr>
      </w:pPr>
    </w:p>
    <w:p w:rsidR="007F6DF9" w:rsidRDefault="00A43FBC">
      <w:pPr>
        <w:pStyle w:val="Heading6"/>
        <w:ind w:left="706"/>
      </w:pPr>
      <w:bookmarkStart w:id="75" w:name="_bookmark73"/>
      <w:bookmarkEnd w:id="75"/>
      <w:r>
        <w:rPr>
          <w:color w:val="221F1F"/>
        </w:rPr>
        <w:t>FORM</w:t>
      </w:r>
      <w:r>
        <w:rPr>
          <w:color w:val="221F1F"/>
          <w:spacing w:val="-3"/>
        </w:rPr>
        <w:t xml:space="preserve"> </w:t>
      </w:r>
      <w:r>
        <w:rPr>
          <w:color w:val="221F1F"/>
        </w:rPr>
        <w:t>NO 4:</w:t>
      </w:r>
      <w:r>
        <w:rPr>
          <w:color w:val="221F1F"/>
          <w:spacing w:val="-1"/>
        </w:rPr>
        <w:t xml:space="preserve"> </w:t>
      </w:r>
      <w:r>
        <w:rPr>
          <w:color w:val="221F1F"/>
        </w:rPr>
        <w:t>CONTRACT</w:t>
      </w:r>
      <w:r>
        <w:rPr>
          <w:color w:val="221F1F"/>
          <w:spacing w:val="1"/>
        </w:rPr>
        <w:t xml:space="preserve"> </w:t>
      </w:r>
      <w:r>
        <w:rPr>
          <w:color w:val="221F1F"/>
          <w:spacing w:val="-2"/>
        </w:rPr>
        <w:t>AGREEMENT</w:t>
      </w:r>
    </w:p>
    <w:p w:rsidR="007F6DF9" w:rsidRDefault="00A43FBC">
      <w:pPr>
        <w:pStyle w:val="BodyText"/>
        <w:spacing w:before="254" w:line="248" w:lineRule="exact"/>
        <w:ind w:left="706"/>
      </w:pPr>
      <w:r>
        <w:rPr>
          <w:color w:val="221F1F"/>
        </w:rPr>
        <w:t>THIS</w:t>
      </w:r>
      <w:r>
        <w:rPr>
          <w:color w:val="221F1F"/>
          <w:spacing w:val="-5"/>
        </w:rPr>
        <w:t xml:space="preserve"> </w:t>
      </w:r>
      <w:r>
        <w:rPr>
          <w:color w:val="221F1F"/>
        </w:rPr>
        <w:t>AGREEMENT</w:t>
      </w:r>
      <w:r>
        <w:rPr>
          <w:color w:val="221F1F"/>
          <w:spacing w:val="-4"/>
        </w:rPr>
        <w:t xml:space="preserve"> </w:t>
      </w:r>
      <w:r>
        <w:rPr>
          <w:color w:val="221F1F"/>
        </w:rPr>
        <w:t>made</w:t>
      </w:r>
      <w:r>
        <w:rPr>
          <w:color w:val="221F1F"/>
          <w:spacing w:val="-6"/>
        </w:rPr>
        <w:t xml:space="preserve"> </w:t>
      </w:r>
      <w:r>
        <w:rPr>
          <w:color w:val="221F1F"/>
        </w:rPr>
        <w:t>the</w:t>
      </w:r>
      <w:r>
        <w:rPr>
          <w:color w:val="221F1F"/>
          <w:spacing w:val="-3"/>
        </w:rPr>
        <w:t xml:space="preserve"> </w:t>
      </w:r>
      <w:r>
        <w:rPr>
          <w:color w:val="221F1F"/>
        </w:rPr>
        <w:t>day</w:t>
      </w:r>
      <w:r>
        <w:rPr>
          <w:color w:val="221F1F"/>
          <w:spacing w:val="-4"/>
        </w:rPr>
        <w:t xml:space="preserve"> </w:t>
      </w:r>
      <w:r>
        <w:rPr>
          <w:color w:val="221F1F"/>
        </w:rPr>
        <w:t>of………………………….</w:t>
      </w:r>
      <w:r>
        <w:rPr>
          <w:color w:val="221F1F"/>
          <w:spacing w:val="-7"/>
        </w:rPr>
        <w:t xml:space="preserve"> </w:t>
      </w:r>
      <w:r>
        <w:rPr>
          <w:color w:val="221F1F"/>
        </w:rPr>
        <w:t>20…………….,</w:t>
      </w:r>
      <w:r>
        <w:rPr>
          <w:color w:val="221F1F"/>
          <w:spacing w:val="-6"/>
        </w:rPr>
        <w:t xml:space="preserve"> </w:t>
      </w:r>
      <w:r>
        <w:rPr>
          <w:color w:val="221F1F"/>
          <w:spacing w:val="-2"/>
        </w:rPr>
        <w:t>between……………………….</w:t>
      </w:r>
    </w:p>
    <w:p w:rsidR="007F6DF9" w:rsidRDefault="00A43FBC">
      <w:pPr>
        <w:pStyle w:val="BodyText"/>
        <w:tabs>
          <w:tab w:val="left" w:leader="dot" w:pos="8425"/>
        </w:tabs>
        <w:spacing w:line="248" w:lineRule="exact"/>
        <w:ind w:left="706"/>
      </w:pPr>
      <w:r>
        <w:rPr>
          <w:color w:val="221F1F"/>
          <w:spacing w:val="-2"/>
        </w:rPr>
        <w:t>…………………………………………...of</w:t>
      </w:r>
      <w:r>
        <w:rPr>
          <w:color w:val="221F1F"/>
        </w:rPr>
        <w:tab/>
        <w:t>(hereinafter</w:t>
      </w:r>
      <w:r>
        <w:rPr>
          <w:color w:val="221F1F"/>
          <w:spacing w:val="-8"/>
        </w:rPr>
        <w:t xml:space="preserve"> </w:t>
      </w:r>
      <w:r>
        <w:rPr>
          <w:color w:val="221F1F"/>
        </w:rPr>
        <w:t>“the</w:t>
      </w:r>
      <w:r>
        <w:rPr>
          <w:color w:val="221F1F"/>
          <w:spacing w:val="-5"/>
        </w:rPr>
        <w:t xml:space="preserve"> </w:t>
      </w:r>
      <w:r>
        <w:rPr>
          <w:color w:val="221F1F"/>
          <w:spacing w:val="-2"/>
        </w:rPr>
        <w:t>Procuring</w:t>
      </w:r>
    </w:p>
    <w:p w:rsidR="007F6DF9" w:rsidRDefault="00A43FBC">
      <w:pPr>
        <w:pStyle w:val="BodyText"/>
        <w:tabs>
          <w:tab w:val="left" w:pos="7312"/>
          <w:tab w:val="left" w:pos="9888"/>
        </w:tabs>
        <w:spacing w:before="29" w:line="230" w:lineRule="auto"/>
        <w:ind w:left="706" w:right="571"/>
      </w:pPr>
      <w:r>
        <w:rPr>
          <w:color w:val="221F1F"/>
        </w:rPr>
        <w:t>Entity”), of the one part, and</w:t>
      </w:r>
      <w:r>
        <w:rPr>
          <w:color w:val="221F1F"/>
          <w:u w:val="single" w:color="211E1F"/>
        </w:rPr>
        <w:tab/>
      </w:r>
      <w:r>
        <w:rPr>
          <w:color w:val="221F1F"/>
          <w:spacing w:val="-6"/>
        </w:rPr>
        <w:t>of</w:t>
      </w:r>
      <w:r>
        <w:rPr>
          <w:color w:val="221F1F"/>
          <w:u w:val="single" w:color="211E1F"/>
        </w:rPr>
        <w:tab/>
      </w:r>
      <w:r>
        <w:rPr>
          <w:color w:val="221F1F"/>
          <w:spacing w:val="-2"/>
        </w:rPr>
        <w:t xml:space="preserve">(hereinafter </w:t>
      </w:r>
      <w:r>
        <w:rPr>
          <w:color w:val="221F1F"/>
        </w:rPr>
        <w:t>“the Contractor”), of the other part:</w:t>
      </w:r>
    </w:p>
    <w:p w:rsidR="007F6DF9" w:rsidRDefault="00A43FBC">
      <w:pPr>
        <w:pStyle w:val="BodyText"/>
        <w:tabs>
          <w:tab w:val="left" w:pos="10058"/>
        </w:tabs>
        <w:spacing w:before="244" w:line="230" w:lineRule="auto"/>
        <w:ind w:left="706" w:right="563"/>
        <w:jc w:val="both"/>
      </w:pPr>
      <w:r>
        <w:rPr>
          <w:color w:val="221F1F"/>
        </w:rPr>
        <w:t xml:space="preserve">WHEREAS the Procuring Entity desires that the </w:t>
      </w:r>
      <w:proofErr w:type="spellStart"/>
      <w:r>
        <w:rPr>
          <w:color w:val="221F1F"/>
        </w:rPr>
        <w:t>Worksknownas</w:t>
      </w:r>
      <w:proofErr w:type="spellEnd"/>
      <w:r>
        <w:rPr>
          <w:color w:val="221F1F"/>
          <w:u w:val="single" w:color="211E1F"/>
        </w:rPr>
        <w:tab/>
      </w:r>
      <w:r>
        <w:rPr>
          <w:color w:val="221F1F"/>
        </w:rPr>
        <w:t>should</w:t>
      </w:r>
      <w:r>
        <w:rPr>
          <w:color w:val="221F1F"/>
          <w:spacing w:val="-14"/>
        </w:rPr>
        <w:t xml:space="preserve"> </w:t>
      </w:r>
      <w:r>
        <w:rPr>
          <w:color w:val="221F1F"/>
        </w:rPr>
        <w:t>be executed by the Contractor, and has accepted a Tender</w:t>
      </w:r>
      <w:r>
        <w:rPr>
          <w:color w:val="221F1F"/>
          <w:spacing w:val="-4"/>
        </w:rPr>
        <w:t xml:space="preserve"> </w:t>
      </w:r>
      <w:r>
        <w:rPr>
          <w:color w:val="221F1F"/>
        </w:rPr>
        <w:t xml:space="preserve">by the Contractor for the execution and completion of these </w:t>
      </w:r>
      <w:proofErr w:type="spellStart"/>
      <w:r>
        <w:rPr>
          <w:color w:val="221F1F"/>
        </w:rPr>
        <w:t>Worksand</w:t>
      </w:r>
      <w:proofErr w:type="spellEnd"/>
      <w:r>
        <w:rPr>
          <w:color w:val="221F1F"/>
        </w:rPr>
        <w:t xml:space="preserve"> the remedying of any defects there in,</w:t>
      </w:r>
    </w:p>
    <w:p w:rsidR="007F6DF9" w:rsidRDefault="00A43FBC">
      <w:pPr>
        <w:pStyle w:val="BodyText"/>
        <w:spacing w:before="237"/>
        <w:ind w:left="706"/>
        <w:jc w:val="both"/>
      </w:pP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and</w:t>
      </w:r>
      <w:r>
        <w:rPr>
          <w:color w:val="221F1F"/>
          <w:spacing w:val="-2"/>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agree</w:t>
      </w:r>
      <w:r>
        <w:rPr>
          <w:color w:val="221F1F"/>
          <w:spacing w:val="-3"/>
        </w:rPr>
        <w:t xml:space="preserve"> </w:t>
      </w:r>
      <w:r>
        <w:rPr>
          <w:color w:val="221F1F"/>
        </w:rPr>
        <w:t>as</w:t>
      </w:r>
      <w:r>
        <w:rPr>
          <w:color w:val="221F1F"/>
          <w:spacing w:val="-3"/>
        </w:rPr>
        <w:t xml:space="preserve"> </w:t>
      </w:r>
      <w:r>
        <w:rPr>
          <w:color w:val="221F1F"/>
          <w:spacing w:val="-2"/>
        </w:rPr>
        <w:t>follows:</w:t>
      </w:r>
    </w:p>
    <w:p w:rsidR="007F6DF9" w:rsidRDefault="00A43FBC">
      <w:pPr>
        <w:pStyle w:val="ListParagraph"/>
        <w:numPr>
          <w:ilvl w:val="0"/>
          <w:numId w:val="16"/>
        </w:numPr>
        <w:tabs>
          <w:tab w:val="left" w:pos="1126"/>
          <w:tab w:val="left" w:pos="1129"/>
        </w:tabs>
        <w:spacing w:before="243" w:line="230" w:lineRule="auto"/>
        <w:ind w:right="561" w:hanging="423"/>
        <w:jc w:val="both"/>
      </w:pPr>
      <w:r>
        <w:rPr>
          <w:color w:val="221F1F"/>
        </w:rPr>
        <w:t>In this Agreement words and expressions shall have the same meanings as are respectively assigned</w:t>
      </w:r>
      <w:r>
        <w:rPr>
          <w:color w:val="221F1F"/>
          <w:spacing w:val="-1"/>
        </w:rPr>
        <w:t xml:space="preserve"> </w:t>
      </w:r>
      <w:r>
        <w:rPr>
          <w:color w:val="221F1F"/>
        </w:rPr>
        <w:t>to them in the Contract documents referred to.</w:t>
      </w:r>
    </w:p>
    <w:p w:rsidR="007F6DF9" w:rsidRDefault="00A43FBC">
      <w:pPr>
        <w:pStyle w:val="ListParagraph"/>
        <w:numPr>
          <w:ilvl w:val="0"/>
          <w:numId w:val="16"/>
        </w:numPr>
        <w:tabs>
          <w:tab w:val="left" w:pos="1126"/>
          <w:tab w:val="left" w:pos="1129"/>
        </w:tabs>
        <w:spacing w:before="244" w:line="230" w:lineRule="auto"/>
        <w:ind w:right="566" w:hanging="423"/>
        <w:jc w:val="both"/>
      </w:pPr>
      <w:r>
        <w:rPr>
          <w:color w:val="221F1F"/>
        </w:rPr>
        <w:t>The following documents shall be deemed to form and be read and construed as part of this Agreement. This Agreement shall prevail over all other Contract documents.</w:t>
      </w:r>
    </w:p>
    <w:p w:rsidR="007F6DF9" w:rsidRDefault="00A43FBC">
      <w:pPr>
        <w:pStyle w:val="ListParagraph"/>
        <w:numPr>
          <w:ilvl w:val="1"/>
          <w:numId w:val="16"/>
        </w:numPr>
        <w:tabs>
          <w:tab w:val="left" w:pos="1673"/>
        </w:tabs>
        <w:spacing w:before="236"/>
        <w:ind w:hanging="547"/>
      </w:pPr>
      <w:proofErr w:type="spellStart"/>
      <w:r>
        <w:rPr>
          <w:color w:val="221F1F"/>
        </w:rPr>
        <w:t>theNotification</w:t>
      </w:r>
      <w:proofErr w:type="spellEnd"/>
      <w:r>
        <w:rPr>
          <w:color w:val="221F1F"/>
          <w:spacing w:val="-11"/>
        </w:rPr>
        <w:t xml:space="preserve"> </w:t>
      </w:r>
      <w:r>
        <w:rPr>
          <w:color w:val="221F1F"/>
        </w:rPr>
        <w:t>of</w:t>
      </w:r>
      <w:r>
        <w:rPr>
          <w:color w:val="221F1F"/>
          <w:spacing w:val="-10"/>
        </w:rPr>
        <w:t xml:space="preserve"> </w:t>
      </w:r>
      <w:r>
        <w:rPr>
          <w:color w:val="221F1F"/>
          <w:spacing w:val="-4"/>
        </w:rPr>
        <w:t>Award</w:t>
      </w:r>
    </w:p>
    <w:p w:rsidR="007F6DF9" w:rsidRDefault="00A43FBC">
      <w:pPr>
        <w:pStyle w:val="ListParagraph"/>
        <w:numPr>
          <w:ilvl w:val="1"/>
          <w:numId w:val="16"/>
        </w:numPr>
        <w:tabs>
          <w:tab w:val="left" w:pos="1673"/>
        </w:tabs>
        <w:spacing w:before="40"/>
        <w:ind w:hanging="549"/>
      </w:pPr>
      <w:r>
        <w:rPr>
          <w:color w:val="221F1F"/>
        </w:rPr>
        <w:t>the</w:t>
      </w:r>
      <w:r>
        <w:rPr>
          <w:color w:val="221F1F"/>
          <w:spacing w:val="-1"/>
        </w:rPr>
        <w:t xml:space="preserve"> </w:t>
      </w:r>
      <w:r>
        <w:rPr>
          <w:color w:val="221F1F"/>
        </w:rPr>
        <w:t>Form</w:t>
      </w:r>
      <w:r>
        <w:rPr>
          <w:color w:val="221F1F"/>
          <w:spacing w:val="-2"/>
        </w:rPr>
        <w:t xml:space="preserve"> </w:t>
      </w:r>
      <w:r>
        <w:rPr>
          <w:color w:val="221F1F"/>
        </w:rPr>
        <w:t xml:space="preserve">of </w:t>
      </w:r>
      <w:r>
        <w:rPr>
          <w:color w:val="221F1F"/>
          <w:spacing w:val="-2"/>
        </w:rPr>
        <w:t>Tender</w:t>
      </w:r>
    </w:p>
    <w:p w:rsidR="007F6DF9" w:rsidRDefault="00A43FBC">
      <w:pPr>
        <w:pStyle w:val="ListParagraph"/>
        <w:numPr>
          <w:ilvl w:val="1"/>
          <w:numId w:val="16"/>
        </w:numPr>
        <w:tabs>
          <w:tab w:val="left" w:pos="1673"/>
          <w:tab w:val="left" w:pos="4095"/>
        </w:tabs>
        <w:spacing w:before="40"/>
        <w:ind w:hanging="549"/>
      </w:pPr>
      <w:r>
        <w:rPr>
          <w:color w:val="221F1F"/>
        </w:rPr>
        <w:t>the</w:t>
      </w:r>
      <w:r>
        <w:rPr>
          <w:color w:val="221F1F"/>
          <w:spacing w:val="-2"/>
        </w:rPr>
        <w:t xml:space="preserve"> </w:t>
      </w:r>
      <w:r>
        <w:rPr>
          <w:color w:val="221F1F"/>
        </w:rPr>
        <w:t>addenda</w:t>
      </w:r>
      <w:r>
        <w:rPr>
          <w:color w:val="221F1F"/>
          <w:spacing w:val="-2"/>
        </w:rPr>
        <w:t xml:space="preserve"> </w:t>
      </w:r>
      <w:r>
        <w:rPr>
          <w:color w:val="221F1F"/>
          <w:spacing w:val="-5"/>
        </w:rPr>
        <w:t>Nos</w:t>
      </w:r>
      <w:r>
        <w:rPr>
          <w:color w:val="221F1F"/>
          <w:u w:val="single" w:color="211E1F"/>
        </w:rPr>
        <w:tab/>
      </w:r>
      <w:r>
        <w:rPr>
          <w:color w:val="221F1F"/>
        </w:rPr>
        <w:t>(if</w:t>
      </w:r>
      <w:r>
        <w:rPr>
          <w:color w:val="221F1F"/>
          <w:spacing w:val="-1"/>
        </w:rPr>
        <w:t xml:space="preserve"> </w:t>
      </w:r>
      <w:r>
        <w:rPr>
          <w:color w:val="221F1F"/>
          <w:spacing w:val="-4"/>
        </w:rPr>
        <w:t>any)</w:t>
      </w:r>
    </w:p>
    <w:p w:rsidR="007F6DF9" w:rsidRDefault="00A43FBC">
      <w:pPr>
        <w:pStyle w:val="ListParagraph"/>
        <w:numPr>
          <w:ilvl w:val="1"/>
          <w:numId w:val="16"/>
        </w:numPr>
        <w:tabs>
          <w:tab w:val="left" w:pos="1673"/>
        </w:tabs>
        <w:spacing w:before="39"/>
        <w:ind w:hanging="549"/>
      </w:pPr>
      <w:r>
        <w:rPr>
          <w:color w:val="221F1F"/>
        </w:rPr>
        <w:t>the</w:t>
      </w:r>
      <w:r>
        <w:rPr>
          <w:color w:val="221F1F"/>
          <w:spacing w:val="-7"/>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of</w:t>
      </w:r>
      <w:r>
        <w:rPr>
          <w:color w:val="221F1F"/>
          <w:spacing w:val="-3"/>
        </w:rPr>
        <w:t xml:space="preserve"> </w:t>
      </w:r>
      <w:r>
        <w:rPr>
          <w:color w:val="221F1F"/>
          <w:spacing w:val="-2"/>
        </w:rPr>
        <w:t>Contract</w:t>
      </w:r>
    </w:p>
    <w:p w:rsidR="007F6DF9" w:rsidRDefault="00A43FBC">
      <w:pPr>
        <w:pStyle w:val="ListParagraph"/>
        <w:numPr>
          <w:ilvl w:val="1"/>
          <w:numId w:val="16"/>
        </w:numPr>
        <w:tabs>
          <w:tab w:val="left" w:pos="1673"/>
        </w:tabs>
        <w:spacing w:before="38"/>
        <w:ind w:hanging="549"/>
      </w:pPr>
      <w:r>
        <w:rPr>
          <w:color w:val="221F1F"/>
        </w:rPr>
        <w:t>the</w:t>
      </w:r>
      <w:r>
        <w:rPr>
          <w:color w:val="221F1F"/>
          <w:spacing w:val="-4"/>
        </w:rPr>
        <w:t xml:space="preserve"> </w:t>
      </w:r>
      <w:r>
        <w:rPr>
          <w:color w:val="221F1F"/>
        </w:rPr>
        <w:t>General</w:t>
      </w:r>
      <w:r>
        <w:rPr>
          <w:color w:val="221F1F"/>
          <w:spacing w:val="-3"/>
        </w:rPr>
        <w:t xml:space="preserve"> </w:t>
      </w:r>
      <w:r>
        <w:rPr>
          <w:color w:val="221F1F"/>
        </w:rPr>
        <w:t>Conditions</w:t>
      </w:r>
      <w:r>
        <w:rPr>
          <w:color w:val="221F1F"/>
          <w:spacing w:val="-2"/>
        </w:rPr>
        <w:t xml:space="preserve"> </w:t>
      </w:r>
      <w:r>
        <w:rPr>
          <w:color w:val="221F1F"/>
        </w:rPr>
        <w:t>of</w:t>
      </w:r>
      <w:r>
        <w:rPr>
          <w:color w:val="221F1F"/>
          <w:spacing w:val="-5"/>
        </w:rPr>
        <w:t xml:space="preserve"> </w:t>
      </w:r>
      <w:r>
        <w:rPr>
          <w:color w:val="221F1F"/>
          <w:spacing w:val="-2"/>
        </w:rPr>
        <w:t>Contract;</w:t>
      </w:r>
    </w:p>
    <w:p w:rsidR="007F6DF9" w:rsidRDefault="00A43FBC">
      <w:pPr>
        <w:pStyle w:val="ListParagraph"/>
        <w:numPr>
          <w:ilvl w:val="1"/>
          <w:numId w:val="16"/>
        </w:numPr>
        <w:tabs>
          <w:tab w:val="left" w:pos="1673"/>
        </w:tabs>
        <w:spacing w:before="40"/>
        <w:ind w:hanging="549"/>
      </w:pPr>
      <w:r>
        <w:rPr>
          <w:color w:val="221F1F"/>
        </w:rPr>
        <w:t xml:space="preserve">the </w:t>
      </w:r>
      <w:r>
        <w:rPr>
          <w:color w:val="221F1F"/>
          <w:spacing w:val="-2"/>
        </w:rPr>
        <w:t>Specifications</w:t>
      </w:r>
    </w:p>
    <w:p w:rsidR="007F6DF9" w:rsidRDefault="00A43FBC">
      <w:pPr>
        <w:pStyle w:val="ListParagraph"/>
        <w:numPr>
          <w:ilvl w:val="1"/>
          <w:numId w:val="16"/>
        </w:numPr>
        <w:tabs>
          <w:tab w:val="left" w:pos="1673"/>
        </w:tabs>
        <w:spacing w:before="39"/>
        <w:ind w:hanging="549"/>
      </w:pPr>
      <w:r>
        <w:rPr>
          <w:color w:val="221F1F"/>
        </w:rPr>
        <w:t>the</w:t>
      </w:r>
      <w:r>
        <w:rPr>
          <w:color w:val="221F1F"/>
          <w:spacing w:val="-4"/>
        </w:rPr>
        <w:t xml:space="preserve"> </w:t>
      </w:r>
      <w:r>
        <w:rPr>
          <w:color w:val="221F1F"/>
        </w:rPr>
        <w:t>Drawings</w:t>
      </w:r>
      <w:r>
        <w:rPr>
          <w:i/>
          <w:color w:val="221F1F"/>
        </w:rPr>
        <w:t>;</w:t>
      </w:r>
      <w:r>
        <w:rPr>
          <w:i/>
          <w:color w:val="221F1F"/>
          <w:spacing w:val="-4"/>
        </w:rPr>
        <w:t xml:space="preserve"> </w:t>
      </w:r>
      <w:r>
        <w:rPr>
          <w:color w:val="221F1F"/>
          <w:spacing w:val="-5"/>
        </w:rPr>
        <w:t>and</w:t>
      </w:r>
    </w:p>
    <w:p w:rsidR="007F6DF9" w:rsidRDefault="00A43FBC">
      <w:pPr>
        <w:pStyle w:val="ListParagraph"/>
        <w:numPr>
          <w:ilvl w:val="1"/>
          <w:numId w:val="16"/>
        </w:numPr>
        <w:tabs>
          <w:tab w:val="left" w:pos="1673"/>
        </w:tabs>
        <w:spacing w:before="40"/>
        <w:ind w:hanging="549"/>
      </w:pPr>
      <w:r>
        <w:rPr>
          <w:color w:val="221F1F"/>
        </w:rPr>
        <w:t>the</w:t>
      </w:r>
      <w:r>
        <w:rPr>
          <w:color w:val="221F1F"/>
          <w:spacing w:val="-6"/>
        </w:rPr>
        <w:t xml:space="preserve"> </w:t>
      </w:r>
      <w:r>
        <w:rPr>
          <w:color w:val="221F1F"/>
        </w:rPr>
        <w:t>completed</w:t>
      </w:r>
      <w:r>
        <w:rPr>
          <w:color w:val="221F1F"/>
          <w:spacing w:val="-3"/>
        </w:rPr>
        <w:t xml:space="preserve"> </w:t>
      </w:r>
      <w:r>
        <w:rPr>
          <w:color w:val="221F1F"/>
        </w:rPr>
        <w:t>Schedules</w:t>
      </w:r>
      <w:r>
        <w:rPr>
          <w:color w:val="221F1F"/>
          <w:spacing w:val="-3"/>
        </w:rPr>
        <w:t xml:space="preserve"> </w:t>
      </w:r>
      <w:r>
        <w:rPr>
          <w:color w:val="221F1F"/>
        </w:rPr>
        <w:t>and</w:t>
      </w:r>
      <w:r>
        <w:rPr>
          <w:color w:val="221F1F"/>
          <w:spacing w:val="-4"/>
        </w:rPr>
        <w:t xml:space="preserve"> </w:t>
      </w:r>
      <w:r>
        <w:rPr>
          <w:color w:val="221F1F"/>
        </w:rPr>
        <w:t>any</w:t>
      </w:r>
      <w:r>
        <w:rPr>
          <w:color w:val="221F1F"/>
          <w:spacing w:val="-4"/>
        </w:rPr>
        <w:t xml:space="preserve"> </w:t>
      </w:r>
      <w:r>
        <w:rPr>
          <w:color w:val="221F1F"/>
        </w:rPr>
        <w:t>other</w:t>
      </w:r>
      <w:r>
        <w:rPr>
          <w:color w:val="221F1F"/>
          <w:spacing w:val="-3"/>
        </w:rPr>
        <w:t xml:space="preserve"> </w:t>
      </w:r>
      <w:r>
        <w:rPr>
          <w:color w:val="221F1F"/>
        </w:rPr>
        <w:t>documents</w:t>
      </w:r>
      <w:r>
        <w:rPr>
          <w:color w:val="221F1F"/>
          <w:spacing w:val="-3"/>
        </w:rPr>
        <w:t xml:space="preserve"> </w:t>
      </w:r>
      <w:r>
        <w:rPr>
          <w:color w:val="221F1F"/>
        </w:rPr>
        <w:t>forming</w:t>
      </w:r>
      <w:r>
        <w:rPr>
          <w:color w:val="221F1F"/>
          <w:spacing w:val="-4"/>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spacing w:val="-2"/>
        </w:rPr>
        <w:t>contract.</w:t>
      </w:r>
    </w:p>
    <w:p w:rsidR="007F6DF9" w:rsidRDefault="00A43FBC">
      <w:pPr>
        <w:pStyle w:val="ListParagraph"/>
        <w:numPr>
          <w:ilvl w:val="0"/>
          <w:numId w:val="16"/>
        </w:numPr>
        <w:tabs>
          <w:tab w:val="left" w:pos="1125"/>
          <w:tab w:val="left" w:pos="1129"/>
        </w:tabs>
        <w:spacing w:before="243" w:line="230" w:lineRule="auto"/>
        <w:ind w:right="562" w:hanging="426"/>
        <w:jc w:val="both"/>
      </w:pPr>
      <w:r>
        <w:rPr>
          <w:color w:val="221F1F"/>
        </w:rPr>
        <w:t>In consideration of the payments to be made by the Procuring Entity to the Contractor as specified in this Agreement, the Contractor here by covenants with the Procuring Entity to execute the Works and to remedy defects therein in conformity in all respects with the provisions of the Contract.</w:t>
      </w:r>
    </w:p>
    <w:p w:rsidR="007F6DF9" w:rsidRDefault="00A43FBC">
      <w:pPr>
        <w:pStyle w:val="ListParagraph"/>
        <w:numPr>
          <w:ilvl w:val="0"/>
          <w:numId w:val="16"/>
        </w:numPr>
        <w:tabs>
          <w:tab w:val="left" w:pos="1125"/>
          <w:tab w:val="left" w:pos="1129"/>
        </w:tabs>
        <w:spacing w:before="246" w:line="230" w:lineRule="auto"/>
        <w:ind w:right="562" w:hanging="426"/>
        <w:jc w:val="both"/>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here</w:t>
      </w:r>
      <w:r>
        <w:rPr>
          <w:color w:val="221F1F"/>
          <w:spacing w:val="-3"/>
        </w:rPr>
        <w:t xml:space="preserve"> </w:t>
      </w:r>
      <w:r>
        <w:rPr>
          <w:color w:val="221F1F"/>
        </w:rPr>
        <w:t>by</w:t>
      </w:r>
      <w:r>
        <w:rPr>
          <w:color w:val="221F1F"/>
          <w:spacing w:val="-1"/>
        </w:rPr>
        <w:t xml:space="preserve"> </w:t>
      </w:r>
      <w:r>
        <w:rPr>
          <w:color w:val="221F1F"/>
        </w:rPr>
        <w:t>covenants</w:t>
      </w:r>
      <w:r>
        <w:rPr>
          <w:color w:val="221F1F"/>
          <w:spacing w:val="-3"/>
        </w:rPr>
        <w:t xml:space="preserve"> </w:t>
      </w:r>
      <w:r>
        <w:rPr>
          <w:color w:val="221F1F"/>
        </w:rPr>
        <w:t>to</w:t>
      </w:r>
      <w:r>
        <w:rPr>
          <w:color w:val="221F1F"/>
          <w:spacing w:val="-1"/>
        </w:rPr>
        <w:t xml:space="preserve"> </w:t>
      </w:r>
      <w:r>
        <w:rPr>
          <w:color w:val="221F1F"/>
        </w:rPr>
        <w:t>pay</w:t>
      </w:r>
      <w:r>
        <w:rPr>
          <w:color w:val="221F1F"/>
          <w:spacing w:val="-1"/>
        </w:rPr>
        <w:t xml:space="preserve"> </w:t>
      </w:r>
      <w:r>
        <w:rPr>
          <w:color w:val="221F1F"/>
        </w:rPr>
        <w:t>the</w:t>
      </w:r>
      <w:r>
        <w:rPr>
          <w:color w:val="221F1F"/>
          <w:spacing w:val="-1"/>
        </w:rPr>
        <w:t xml:space="preserve"> </w:t>
      </w:r>
      <w:r>
        <w:rPr>
          <w:color w:val="221F1F"/>
        </w:rPr>
        <w:t>Contractor in</w:t>
      </w:r>
      <w:r>
        <w:rPr>
          <w:color w:val="221F1F"/>
          <w:spacing w:val="-1"/>
        </w:rPr>
        <w:t xml:space="preserve"> </w:t>
      </w:r>
      <w:r>
        <w:rPr>
          <w:color w:val="221F1F"/>
        </w:rPr>
        <w:t>consideration</w:t>
      </w:r>
      <w:r>
        <w:rPr>
          <w:color w:val="221F1F"/>
          <w:spacing w:val="-1"/>
        </w:rPr>
        <w:t xml:space="preserve"> </w:t>
      </w:r>
      <w:r>
        <w:rPr>
          <w:color w:val="221F1F"/>
        </w:rPr>
        <w:t>of</w:t>
      </w:r>
      <w:r>
        <w:rPr>
          <w:color w:val="221F1F"/>
          <w:spacing w:val="-3"/>
        </w:rPr>
        <w:t xml:space="preserve"> </w:t>
      </w:r>
      <w:r>
        <w:rPr>
          <w:color w:val="221F1F"/>
        </w:rPr>
        <w:t>the execution</w:t>
      </w:r>
      <w:r>
        <w:rPr>
          <w:color w:val="221F1F"/>
          <w:spacing w:val="-1"/>
        </w:rPr>
        <w:t xml:space="preserve"> </w:t>
      </w:r>
      <w:r>
        <w:rPr>
          <w:color w:val="221F1F"/>
        </w:rPr>
        <w:t>and</w:t>
      </w:r>
      <w:r>
        <w:rPr>
          <w:color w:val="221F1F"/>
          <w:spacing w:val="-1"/>
        </w:rPr>
        <w:t xml:space="preserve"> </w:t>
      </w:r>
      <w:r>
        <w:rPr>
          <w:color w:val="221F1F"/>
        </w:rPr>
        <w:t>completion of</w:t>
      </w:r>
      <w:r>
        <w:rPr>
          <w:color w:val="221F1F"/>
          <w:spacing w:val="-14"/>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and</w:t>
      </w:r>
      <w:r>
        <w:rPr>
          <w:color w:val="221F1F"/>
          <w:spacing w:val="-9"/>
        </w:rPr>
        <w:t xml:space="preserve"> </w:t>
      </w:r>
      <w:r>
        <w:rPr>
          <w:color w:val="221F1F"/>
        </w:rPr>
        <w:t>the</w:t>
      </w:r>
      <w:r>
        <w:rPr>
          <w:color w:val="221F1F"/>
          <w:spacing w:val="-11"/>
        </w:rPr>
        <w:t xml:space="preserve"> </w:t>
      </w:r>
      <w:r>
        <w:rPr>
          <w:color w:val="221F1F"/>
        </w:rPr>
        <w:t>remedying</w:t>
      </w:r>
      <w:r>
        <w:rPr>
          <w:color w:val="221F1F"/>
          <w:spacing w:val="-8"/>
        </w:rPr>
        <w:t xml:space="preserve"> </w:t>
      </w:r>
      <w:r>
        <w:rPr>
          <w:color w:val="221F1F"/>
        </w:rPr>
        <w:t>of</w:t>
      </w:r>
      <w:r>
        <w:rPr>
          <w:color w:val="221F1F"/>
          <w:spacing w:val="-9"/>
        </w:rPr>
        <w:t xml:space="preserve"> </w:t>
      </w:r>
      <w:r>
        <w:rPr>
          <w:color w:val="221F1F"/>
        </w:rPr>
        <w:t>defects</w:t>
      </w:r>
      <w:r>
        <w:rPr>
          <w:color w:val="221F1F"/>
          <w:spacing w:val="-8"/>
        </w:rPr>
        <w:t xml:space="preserve"> </w:t>
      </w:r>
      <w:r>
        <w:rPr>
          <w:color w:val="221F1F"/>
        </w:rPr>
        <w:t>there</w:t>
      </w:r>
      <w:r>
        <w:rPr>
          <w:color w:val="221F1F"/>
          <w:spacing w:val="-9"/>
        </w:rPr>
        <w:t xml:space="preserve"> </w:t>
      </w:r>
      <w:r>
        <w:rPr>
          <w:color w:val="221F1F"/>
        </w:rPr>
        <w:t>in,</w:t>
      </w:r>
      <w:r>
        <w:rPr>
          <w:color w:val="221F1F"/>
          <w:spacing w:val="-12"/>
        </w:rPr>
        <w:t xml:space="preserve"> </w:t>
      </w:r>
      <w:r>
        <w:rPr>
          <w:color w:val="221F1F"/>
        </w:rPr>
        <w:t>the</w:t>
      </w:r>
      <w:r>
        <w:rPr>
          <w:color w:val="221F1F"/>
          <w:spacing w:val="-11"/>
        </w:rPr>
        <w:t xml:space="preserve"> </w:t>
      </w:r>
      <w:r>
        <w:rPr>
          <w:color w:val="221F1F"/>
        </w:rPr>
        <w:t>Contract</w:t>
      </w:r>
      <w:r>
        <w:rPr>
          <w:color w:val="221F1F"/>
          <w:spacing w:val="-7"/>
        </w:rPr>
        <w:t xml:space="preserve"> </w:t>
      </w:r>
      <w:r>
        <w:rPr>
          <w:color w:val="221F1F"/>
        </w:rPr>
        <w:t>Price</w:t>
      </w:r>
      <w:r>
        <w:rPr>
          <w:color w:val="221F1F"/>
          <w:spacing w:val="-8"/>
        </w:rPr>
        <w:t xml:space="preserve"> </w:t>
      </w:r>
      <w:r>
        <w:rPr>
          <w:color w:val="221F1F"/>
        </w:rPr>
        <w:t>or</w:t>
      </w:r>
      <w:r>
        <w:rPr>
          <w:color w:val="221F1F"/>
          <w:spacing w:val="-9"/>
        </w:rPr>
        <w:t xml:space="preserve"> </w:t>
      </w:r>
      <w:r>
        <w:rPr>
          <w:color w:val="221F1F"/>
        </w:rPr>
        <w:t>such</w:t>
      </w:r>
      <w:r>
        <w:rPr>
          <w:color w:val="221F1F"/>
          <w:spacing w:val="-12"/>
        </w:rPr>
        <w:t xml:space="preserve"> </w:t>
      </w:r>
      <w:r>
        <w:rPr>
          <w:color w:val="221F1F"/>
        </w:rPr>
        <w:t>other</w:t>
      </w:r>
      <w:r>
        <w:rPr>
          <w:color w:val="221F1F"/>
          <w:spacing w:val="-10"/>
        </w:rPr>
        <w:t xml:space="preserve"> </w:t>
      </w:r>
      <w:r>
        <w:rPr>
          <w:color w:val="221F1F"/>
        </w:rPr>
        <w:t>sum</w:t>
      </w:r>
      <w:r>
        <w:rPr>
          <w:color w:val="221F1F"/>
          <w:spacing w:val="-7"/>
        </w:rPr>
        <w:t xml:space="preserve"> </w:t>
      </w:r>
      <w:r>
        <w:rPr>
          <w:color w:val="221F1F"/>
        </w:rPr>
        <w:t>as</w:t>
      </w:r>
      <w:r>
        <w:rPr>
          <w:color w:val="221F1F"/>
          <w:spacing w:val="-9"/>
        </w:rPr>
        <w:t xml:space="preserve"> </w:t>
      </w:r>
      <w:r>
        <w:rPr>
          <w:color w:val="221F1F"/>
        </w:rPr>
        <w:t>may</w:t>
      </w:r>
      <w:r>
        <w:rPr>
          <w:color w:val="221F1F"/>
          <w:spacing w:val="-9"/>
        </w:rPr>
        <w:t xml:space="preserve"> </w:t>
      </w:r>
      <w:r>
        <w:rPr>
          <w:color w:val="221F1F"/>
        </w:rPr>
        <w:t>become</w:t>
      </w:r>
      <w:r>
        <w:rPr>
          <w:color w:val="221F1F"/>
          <w:spacing w:val="-9"/>
        </w:rPr>
        <w:t xml:space="preserve"> </w:t>
      </w:r>
      <w:r>
        <w:rPr>
          <w:color w:val="221F1F"/>
        </w:rPr>
        <w:t>payable under the provisions of the Contract at the times and in the manner prescribed by the Contract.</w:t>
      </w:r>
    </w:p>
    <w:p w:rsidR="007F6DF9" w:rsidRDefault="00A43FBC">
      <w:pPr>
        <w:pStyle w:val="BodyText"/>
        <w:spacing w:before="243" w:line="230" w:lineRule="auto"/>
        <w:ind w:left="1129" w:right="575" w:hanging="5"/>
      </w:pPr>
      <w:r>
        <w:rPr>
          <w:color w:val="221F1F"/>
        </w:rPr>
        <w:t>INWITNESS</w:t>
      </w:r>
      <w:r>
        <w:rPr>
          <w:color w:val="221F1F"/>
          <w:spacing w:val="-2"/>
        </w:rPr>
        <w:t xml:space="preserve"> </w:t>
      </w:r>
      <w:r>
        <w:rPr>
          <w:color w:val="221F1F"/>
        </w:rPr>
        <w:t>where</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parties here</w:t>
      </w:r>
      <w:r>
        <w:rPr>
          <w:color w:val="221F1F"/>
          <w:spacing w:val="-3"/>
        </w:rPr>
        <w:t xml:space="preserve"> </w:t>
      </w:r>
      <w:r>
        <w:rPr>
          <w:color w:val="221F1F"/>
        </w:rPr>
        <w:t>to</w:t>
      </w:r>
      <w:r>
        <w:rPr>
          <w:color w:val="221F1F"/>
          <w:spacing w:val="-1"/>
        </w:rPr>
        <w:t xml:space="preserve"> </w:t>
      </w:r>
      <w:r>
        <w:rPr>
          <w:color w:val="221F1F"/>
        </w:rPr>
        <w:t>have</w:t>
      </w:r>
      <w:r>
        <w:rPr>
          <w:color w:val="221F1F"/>
          <w:spacing w:val="-1"/>
        </w:rPr>
        <w:t xml:space="preserve"> </w:t>
      </w:r>
      <w:r>
        <w:rPr>
          <w:color w:val="221F1F"/>
        </w:rPr>
        <w:t>caused</w:t>
      </w:r>
      <w:r>
        <w:rPr>
          <w:color w:val="221F1F"/>
          <w:spacing w:val="-6"/>
        </w:rPr>
        <w:t xml:space="preserve"> </w:t>
      </w:r>
      <w:r>
        <w:rPr>
          <w:color w:val="221F1F"/>
        </w:rPr>
        <w:t>this Agreement</w:t>
      </w:r>
      <w:r>
        <w:rPr>
          <w:color w:val="221F1F"/>
          <w:spacing w:val="-2"/>
        </w:rPr>
        <w:t xml:space="preserve"> </w:t>
      </w:r>
      <w:r>
        <w:rPr>
          <w:color w:val="221F1F"/>
        </w:rPr>
        <w:t>to</w:t>
      </w:r>
      <w:r>
        <w:rPr>
          <w:color w:val="221F1F"/>
          <w:spacing w:val="-1"/>
        </w:rPr>
        <w:t xml:space="preserve"> </w:t>
      </w:r>
      <w:r>
        <w:rPr>
          <w:color w:val="221F1F"/>
        </w:rPr>
        <w:t>be</w:t>
      </w:r>
      <w:r>
        <w:rPr>
          <w:color w:val="221F1F"/>
          <w:spacing w:val="-1"/>
        </w:rPr>
        <w:t xml:space="preserve"> </w:t>
      </w:r>
      <w:r>
        <w:rPr>
          <w:color w:val="221F1F"/>
        </w:rPr>
        <w:t>executed</w:t>
      </w:r>
      <w:r>
        <w:rPr>
          <w:color w:val="221F1F"/>
          <w:spacing w:val="-2"/>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the Laws of Kenya on the day, month and year specified above.</w:t>
      </w:r>
    </w:p>
    <w:p w:rsidR="007F6DF9" w:rsidRDefault="007F6DF9">
      <w:pPr>
        <w:pStyle w:val="BodyText"/>
        <w:spacing w:before="225"/>
      </w:pPr>
    </w:p>
    <w:p w:rsidR="007F6DF9" w:rsidRDefault="00A43FBC">
      <w:pPr>
        <w:pStyle w:val="BodyText"/>
        <w:tabs>
          <w:tab w:val="left" w:pos="8269"/>
        </w:tabs>
        <w:ind w:left="1124"/>
      </w:pPr>
      <w:proofErr w:type="spellStart"/>
      <w:r>
        <w:rPr>
          <w:color w:val="221F1F"/>
        </w:rPr>
        <w:t>Signeda</w:t>
      </w:r>
      <w:proofErr w:type="spellEnd"/>
      <w:r>
        <w:rPr>
          <w:color w:val="221F1F"/>
          <w:spacing w:val="-3"/>
        </w:rPr>
        <w:t xml:space="preserve"> </w:t>
      </w:r>
      <w:proofErr w:type="spellStart"/>
      <w:r>
        <w:rPr>
          <w:color w:val="221F1F"/>
        </w:rPr>
        <w:t>nd</w:t>
      </w:r>
      <w:proofErr w:type="spellEnd"/>
      <w:r>
        <w:rPr>
          <w:color w:val="221F1F"/>
          <w:spacing w:val="-2"/>
        </w:rPr>
        <w:t xml:space="preserve"> </w:t>
      </w:r>
      <w:r>
        <w:rPr>
          <w:color w:val="221F1F"/>
        </w:rPr>
        <w:t>sealed</w:t>
      </w:r>
      <w:r>
        <w:rPr>
          <w:color w:val="221F1F"/>
          <w:spacing w:val="-1"/>
        </w:rPr>
        <w:t xml:space="preserve"> </w:t>
      </w:r>
      <w:r>
        <w:rPr>
          <w:color w:val="221F1F"/>
          <w:spacing w:val="-5"/>
        </w:rPr>
        <w:t>by</w:t>
      </w:r>
      <w:r>
        <w:rPr>
          <w:color w:val="221F1F"/>
          <w:u w:val="single" w:color="211E1F"/>
        </w:rPr>
        <w:tab/>
      </w:r>
      <w:r>
        <w:rPr>
          <w:color w:val="221F1F"/>
        </w:rPr>
        <w:t>(for</w:t>
      </w:r>
      <w:r>
        <w:rPr>
          <w:color w:val="221F1F"/>
          <w:spacing w:val="-4"/>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spacing w:val="-2"/>
        </w:rPr>
        <w:t>Entity)</w:t>
      </w:r>
    </w:p>
    <w:p w:rsidR="007F6DF9" w:rsidRDefault="007F6DF9">
      <w:pPr>
        <w:pStyle w:val="BodyText"/>
      </w:pPr>
    </w:p>
    <w:p w:rsidR="007F6DF9" w:rsidRDefault="007F6DF9">
      <w:pPr>
        <w:pStyle w:val="BodyText"/>
        <w:spacing w:before="219"/>
      </w:pPr>
    </w:p>
    <w:p w:rsidR="007F6DF9" w:rsidRDefault="00A43FBC">
      <w:pPr>
        <w:pStyle w:val="BodyText"/>
        <w:tabs>
          <w:tab w:val="left" w:pos="8488"/>
        </w:tabs>
        <w:ind w:left="1124"/>
      </w:pPr>
      <w:r>
        <w:rPr>
          <w:color w:val="221F1F"/>
        </w:rPr>
        <w:t>Signed</w:t>
      </w:r>
      <w:r>
        <w:rPr>
          <w:color w:val="221F1F"/>
          <w:spacing w:val="-5"/>
        </w:rPr>
        <w:t xml:space="preserve"> </w:t>
      </w:r>
      <w:r>
        <w:rPr>
          <w:color w:val="221F1F"/>
        </w:rPr>
        <w:t>and</w:t>
      </w:r>
      <w:r>
        <w:rPr>
          <w:color w:val="221F1F"/>
          <w:spacing w:val="-1"/>
        </w:rPr>
        <w:t xml:space="preserve"> </w:t>
      </w:r>
      <w:r>
        <w:rPr>
          <w:color w:val="221F1F"/>
        </w:rPr>
        <w:t xml:space="preserve">sealed </w:t>
      </w:r>
      <w:r>
        <w:rPr>
          <w:color w:val="221F1F"/>
          <w:spacing w:val="-5"/>
        </w:rPr>
        <w:t>by</w:t>
      </w:r>
      <w:r>
        <w:rPr>
          <w:color w:val="221F1F"/>
          <w:u w:val="single" w:color="211E1F"/>
        </w:rPr>
        <w:tab/>
      </w:r>
      <w:r>
        <w:rPr>
          <w:color w:val="221F1F"/>
        </w:rPr>
        <w:t>(for</w:t>
      </w:r>
      <w:r>
        <w:rPr>
          <w:color w:val="221F1F"/>
          <w:spacing w:val="-5"/>
        </w:rPr>
        <w:t xml:space="preserve"> </w:t>
      </w:r>
      <w:r>
        <w:rPr>
          <w:color w:val="221F1F"/>
        </w:rPr>
        <w:t>the</w:t>
      </w:r>
      <w:r>
        <w:rPr>
          <w:color w:val="221F1F"/>
          <w:spacing w:val="-2"/>
        </w:rPr>
        <w:t xml:space="preserve"> Contractor).</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89"/>
        <w:rPr>
          <w:sz w:val="24"/>
        </w:rPr>
      </w:pPr>
    </w:p>
    <w:p w:rsidR="007F6DF9" w:rsidRDefault="00A43FBC">
      <w:pPr>
        <w:pStyle w:val="Heading6"/>
      </w:pPr>
      <w:r>
        <w:rPr>
          <w:color w:val="221F1F"/>
        </w:rPr>
        <w:t>FORM</w:t>
      </w:r>
      <w:r>
        <w:rPr>
          <w:color w:val="221F1F"/>
          <w:spacing w:val="-5"/>
        </w:rPr>
        <w:t xml:space="preserve"> </w:t>
      </w:r>
      <w:r>
        <w:rPr>
          <w:color w:val="221F1F"/>
        </w:rPr>
        <w:t>NO. 5 -</w:t>
      </w:r>
      <w:r>
        <w:rPr>
          <w:color w:val="221F1F"/>
          <w:spacing w:val="-1"/>
        </w:rPr>
        <w:t xml:space="preserve"> </w:t>
      </w:r>
      <w:r>
        <w:rPr>
          <w:color w:val="221F1F"/>
        </w:rPr>
        <w:t xml:space="preserve">PERFORMANCE </w:t>
      </w:r>
      <w:r>
        <w:rPr>
          <w:color w:val="221F1F"/>
          <w:spacing w:val="-2"/>
        </w:rPr>
        <w:t>SECURITY</w:t>
      </w:r>
    </w:p>
    <w:p w:rsidR="007F6DF9" w:rsidRDefault="007F6DF9">
      <w:pPr>
        <w:pStyle w:val="BodyText"/>
        <w:spacing w:before="79"/>
        <w:rPr>
          <w:b/>
          <w:sz w:val="24"/>
        </w:rPr>
      </w:pPr>
    </w:p>
    <w:p w:rsidR="007F6DF9" w:rsidRDefault="00A43FBC">
      <w:pPr>
        <w:pStyle w:val="Heading9"/>
        <w:ind w:left="711" w:firstLine="0"/>
      </w:pPr>
      <w:r>
        <w:rPr>
          <w:color w:val="221F1F"/>
        </w:rPr>
        <w:t>[Option</w:t>
      </w:r>
      <w:r>
        <w:rPr>
          <w:color w:val="221F1F"/>
          <w:spacing w:val="-8"/>
        </w:rPr>
        <w:t xml:space="preserve"> </w:t>
      </w:r>
      <w:r>
        <w:rPr>
          <w:color w:val="221F1F"/>
        </w:rPr>
        <w:t>1</w:t>
      </w:r>
      <w:r>
        <w:rPr>
          <w:color w:val="221F1F"/>
          <w:spacing w:val="-2"/>
        </w:rPr>
        <w:t xml:space="preserve"> </w:t>
      </w:r>
      <w:r>
        <w:rPr>
          <w:color w:val="221F1F"/>
        </w:rPr>
        <w:t>-</w:t>
      </w:r>
      <w:r>
        <w:rPr>
          <w:color w:val="221F1F"/>
          <w:spacing w:val="-2"/>
        </w:rPr>
        <w:t xml:space="preserve"> </w:t>
      </w:r>
      <w:r>
        <w:rPr>
          <w:color w:val="221F1F"/>
        </w:rPr>
        <w:t>Unconditional</w:t>
      </w:r>
      <w:r>
        <w:rPr>
          <w:color w:val="221F1F"/>
          <w:spacing w:val="-4"/>
        </w:rPr>
        <w:t xml:space="preserve"> </w:t>
      </w:r>
      <w:r>
        <w:rPr>
          <w:color w:val="221F1F"/>
        </w:rPr>
        <w:t>Demand</w:t>
      </w:r>
      <w:r>
        <w:rPr>
          <w:color w:val="221F1F"/>
          <w:spacing w:val="-4"/>
        </w:rPr>
        <w:t xml:space="preserve"> </w:t>
      </w:r>
      <w:r>
        <w:rPr>
          <w:color w:val="221F1F"/>
        </w:rPr>
        <w:t>Bank</w:t>
      </w:r>
      <w:r>
        <w:rPr>
          <w:color w:val="221F1F"/>
          <w:spacing w:val="-5"/>
        </w:rPr>
        <w:t xml:space="preserve"> </w:t>
      </w:r>
      <w:r>
        <w:rPr>
          <w:color w:val="221F1F"/>
          <w:spacing w:val="-2"/>
        </w:rPr>
        <w:t>Guarantee]</w:t>
      </w:r>
    </w:p>
    <w:p w:rsidR="007F6DF9" w:rsidRDefault="00A43FBC">
      <w:pPr>
        <w:spacing w:before="112"/>
        <w:ind w:left="711"/>
        <w:rPr>
          <w:i/>
        </w:rPr>
      </w:pPr>
      <w:r>
        <w:rPr>
          <w:i/>
          <w:color w:val="221F1F"/>
        </w:rPr>
        <w:t>[Guarantor</w:t>
      </w:r>
      <w:r>
        <w:rPr>
          <w:i/>
          <w:color w:val="221F1F"/>
          <w:spacing w:val="-5"/>
        </w:rPr>
        <w:t xml:space="preserve"> </w:t>
      </w:r>
      <w:r>
        <w:rPr>
          <w:i/>
          <w:color w:val="221F1F"/>
          <w:spacing w:val="-2"/>
        </w:rPr>
        <w:t>letterhead]</w:t>
      </w:r>
    </w:p>
    <w:p w:rsidR="007F6DF9" w:rsidRDefault="00A43FBC">
      <w:pPr>
        <w:spacing w:before="112"/>
        <w:ind w:left="711"/>
        <w:rPr>
          <w:i/>
        </w:rPr>
      </w:pPr>
      <w:r>
        <w:rPr>
          <w:b/>
          <w:color w:val="221F1F"/>
        </w:rPr>
        <w:t>Beneficiary:</w:t>
      </w:r>
      <w:r>
        <w:rPr>
          <w:b/>
          <w:color w:val="221F1F"/>
          <w:spacing w:val="-6"/>
        </w:rPr>
        <w:t xml:space="preserve"> </w:t>
      </w:r>
      <w:r>
        <w:rPr>
          <w:i/>
          <w:color w:val="221F1F"/>
        </w:rPr>
        <w:t>[insert</w:t>
      </w:r>
      <w:r>
        <w:rPr>
          <w:i/>
          <w:color w:val="221F1F"/>
          <w:spacing w:val="-4"/>
        </w:rPr>
        <w:t xml:space="preserve"> </w:t>
      </w:r>
      <w:r>
        <w:rPr>
          <w:i/>
          <w:color w:val="221F1F"/>
        </w:rPr>
        <w:t>name</w:t>
      </w:r>
      <w:r>
        <w:rPr>
          <w:i/>
          <w:color w:val="221F1F"/>
          <w:spacing w:val="-7"/>
        </w:rPr>
        <w:t xml:space="preserve"> </w:t>
      </w:r>
      <w:r>
        <w:rPr>
          <w:i/>
          <w:color w:val="221F1F"/>
        </w:rPr>
        <w:t>and</w:t>
      </w:r>
      <w:r>
        <w:rPr>
          <w:i/>
          <w:color w:val="221F1F"/>
          <w:spacing w:val="-4"/>
        </w:rPr>
        <w:t xml:space="preserve"> </w:t>
      </w:r>
      <w:r>
        <w:rPr>
          <w:i/>
          <w:color w:val="221F1F"/>
        </w:rPr>
        <w:t>Address</w:t>
      </w:r>
      <w:r>
        <w:rPr>
          <w:i/>
          <w:color w:val="221F1F"/>
          <w:spacing w:val="-4"/>
        </w:rPr>
        <w:t xml:space="preserve"> </w:t>
      </w:r>
      <w:r>
        <w:rPr>
          <w:i/>
          <w:color w:val="221F1F"/>
        </w:rPr>
        <w:t>of</w:t>
      </w:r>
      <w:r>
        <w:rPr>
          <w:i/>
          <w:color w:val="221F1F"/>
          <w:spacing w:val="-4"/>
        </w:rPr>
        <w:t xml:space="preserve"> </w:t>
      </w:r>
      <w:r>
        <w:rPr>
          <w:i/>
          <w:color w:val="221F1F"/>
        </w:rPr>
        <w:t>Procuring</w:t>
      </w:r>
      <w:r>
        <w:rPr>
          <w:i/>
          <w:color w:val="221F1F"/>
          <w:spacing w:val="-7"/>
        </w:rPr>
        <w:t xml:space="preserve"> </w:t>
      </w:r>
      <w:r>
        <w:rPr>
          <w:i/>
          <w:color w:val="221F1F"/>
          <w:spacing w:val="-2"/>
        </w:rPr>
        <w:t>Entity]</w:t>
      </w:r>
    </w:p>
    <w:p w:rsidR="007F6DF9" w:rsidRDefault="00A43FBC">
      <w:pPr>
        <w:tabs>
          <w:tab w:val="left" w:pos="1431"/>
          <w:tab w:val="left" w:pos="3279"/>
        </w:tabs>
        <w:spacing w:before="116"/>
        <w:ind w:left="703"/>
        <w:rPr>
          <w:i/>
        </w:rPr>
      </w:pPr>
      <w:r>
        <w:rPr>
          <w:b/>
          <w:color w:val="221F1F"/>
          <w:spacing w:val="-2"/>
        </w:rPr>
        <w:t>Date:</w:t>
      </w:r>
      <w:r>
        <w:rPr>
          <w:b/>
          <w:color w:val="221F1F"/>
        </w:rPr>
        <w:tab/>
      </w:r>
      <w:r>
        <w:rPr>
          <w:i/>
          <w:color w:val="221F1F"/>
          <w:u w:val="thick" w:color="211E1F"/>
        </w:rPr>
        <w:tab/>
      </w:r>
      <w:r>
        <w:rPr>
          <w:i/>
          <w:color w:val="221F1F"/>
        </w:rPr>
        <w:t>[Insert</w:t>
      </w:r>
      <w:r>
        <w:rPr>
          <w:i/>
          <w:color w:val="221F1F"/>
          <w:spacing w:val="-1"/>
        </w:rPr>
        <w:t xml:space="preserve"> </w:t>
      </w:r>
      <w:r>
        <w:rPr>
          <w:i/>
          <w:color w:val="221F1F"/>
        </w:rPr>
        <w:t>date</w:t>
      </w:r>
      <w:r>
        <w:rPr>
          <w:i/>
          <w:color w:val="221F1F"/>
          <w:spacing w:val="-3"/>
        </w:rPr>
        <w:t xml:space="preserve"> </w:t>
      </w:r>
      <w:r>
        <w:rPr>
          <w:i/>
          <w:color w:val="221F1F"/>
        </w:rPr>
        <w:t>of</w:t>
      </w:r>
      <w:r>
        <w:rPr>
          <w:i/>
          <w:color w:val="221F1F"/>
          <w:spacing w:val="-1"/>
        </w:rPr>
        <w:t xml:space="preserve"> </w:t>
      </w:r>
      <w:r>
        <w:rPr>
          <w:i/>
          <w:color w:val="221F1F"/>
          <w:spacing w:val="-2"/>
        </w:rPr>
        <w:t>issue]</w:t>
      </w:r>
    </w:p>
    <w:p w:rsidR="007F6DF9" w:rsidRDefault="00A43FBC">
      <w:pPr>
        <w:spacing w:before="225"/>
        <w:ind w:left="703"/>
        <w:rPr>
          <w:i/>
        </w:rPr>
      </w:pPr>
      <w:r>
        <w:rPr>
          <w:b/>
          <w:color w:val="221F1F"/>
        </w:rPr>
        <w:t>Guarantor:</w:t>
      </w:r>
      <w:r>
        <w:rPr>
          <w:b/>
          <w:color w:val="221F1F"/>
          <w:spacing w:val="-3"/>
        </w:rPr>
        <w:t xml:space="preserve"> </w:t>
      </w:r>
      <w:r>
        <w:rPr>
          <w:i/>
          <w:color w:val="221F1F"/>
        </w:rPr>
        <w:t>[Insert</w:t>
      </w:r>
      <w:r>
        <w:rPr>
          <w:i/>
          <w:color w:val="221F1F"/>
          <w:spacing w:val="-4"/>
        </w:rPr>
        <w:t xml:space="preserve"> </w:t>
      </w:r>
      <w:r>
        <w:rPr>
          <w:i/>
          <w:color w:val="221F1F"/>
        </w:rPr>
        <w:t>name</w:t>
      </w:r>
      <w:r>
        <w:rPr>
          <w:i/>
          <w:color w:val="221F1F"/>
          <w:spacing w:val="-3"/>
        </w:rPr>
        <w:t xml:space="preserve"> </w:t>
      </w:r>
      <w:r>
        <w:rPr>
          <w:i/>
          <w:color w:val="221F1F"/>
        </w:rPr>
        <w:t>and</w:t>
      </w:r>
      <w:r>
        <w:rPr>
          <w:i/>
          <w:color w:val="221F1F"/>
          <w:spacing w:val="-3"/>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i/>
          <w:color w:val="221F1F"/>
        </w:rPr>
        <w:t>place</w:t>
      </w:r>
      <w:r>
        <w:rPr>
          <w:i/>
          <w:color w:val="221F1F"/>
          <w:spacing w:val="-3"/>
        </w:rPr>
        <w:t xml:space="preserve"> </w:t>
      </w:r>
      <w:r>
        <w:rPr>
          <w:i/>
          <w:color w:val="221F1F"/>
        </w:rPr>
        <w:t>of</w:t>
      </w:r>
      <w:r>
        <w:rPr>
          <w:i/>
          <w:color w:val="221F1F"/>
          <w:spacing w:val="-5"/>
        </w:rPr>
        <w:t xml:space="preserve"> </w:t>
      </w:r>
      <w:r>
        <w:rPr>
          <w:i/>
          <w:color w:val="221F1F"/>
        </w:rPr>
        <w:t>issue,</w:t>
      </w:r>
      <w:r>
        <w:rPr>
          <w:i/>
          <w:color w:val="221F1F"/>
          <w:spacing w:val="-3"/>
        </w:rPr>
        <w:t xml:space="preserve"> </w:t>
      </w:r>
      <w:r>
        <w:rPr>
          <w:i/>
          <w:color w:val="221F1F"/>
        </w:rPr>
        <w:t>unless</w:t>
      </w:r>
      <w:r>
        <w:rPr>
          <w:i/>
          <w:color w:val="221F1F"/>
          <w:spacing w:val="-3"/>
        </w:rPr>
        <w:t xml:space="preserve"> </w:t>
      </w:r>
      <w:r>
        <w:rPr>
          <w:i/>
          <w:color w:val="221F1F"/>
        </w:rPr>
        <w:t>indicated</w:t>
      </w:r>
      <w:r>
        <w:rPr>
          <w:i/>
          <w:color w:val="221F1F"/>
          <w:spacing w:val="-5"/>
        </w:rPr>
        <w:t xml:space="preserve"> </w:t>
      </w:r>
      <w:r>
        <w:rPr>
          <w:i/>
          <w:color w:val="221F1F"/>
        </w:rPr>
        <w:t>in</w:t>
      </w:r>
      <w:r>
        <w:rPr>
          <w:i/>
          <w:color w:val="221F1F"/>
          <w:spacing w:val="-3"/>
        </w:rPr>
        <w:t xml:space="preserve"> </w:t>
      </w:r>
      <w:r>
        <w:rPr>
          <w:i/>
          <w:color w:val="221F1F"/>
        </w:rPr>
        <w:t>the</w:t>
      </w:r>
      <w:r>
        <w:rPr>
          <w:i/>
          <w:color w:val="221F1F"/>
          <w:spacing w:val="-2"/>
        </w:rPr>
        <w:t xml:space="preserve"> letterhead]</w:t>
      </w:r>
    </w:p>
    <w:p w:rsidR="007F6DF9" w:rsidRDefault="007F6DF9">
      <w:pPr>
        <w:pStyle w:val="BodyText"/>
        <w:spacing w:before="104"/>
        <w:rPr>
          <w:i/>
        </w:rPr>
      </w:pPr>
    </w:p>
    <w:p w:rsidR="007F6DF9" w:rsidRDefault="00A43FBC">
      <w:pPr>
        <w:pStyle w:val="ListParagraph"/>
        <w:numPr>
          <w:ilvl w:val="0"/>
          <w:numId w:val="15"/>
        </w:numPr>
        <w:tabs>
          <w:tab w:val="left" w:pos="1129"/>
          <w:tab w:val="left" w:pos="1138"/>
          <w:tab w:val="left" w:pos="5377"/>
          <w:tab w:val="left" w:pos="6340"/>
          <w:tab w:val="left" w:pos="8841"/>
          <w:tab w:val="left" w:pos="9720"/>
        </w:tabs>
        <w:spacing w:line="266" w:lineRule="auto"/>
        <w:ind w:right="556" w:hanging="428"/>
        <w:jc w:val="both"/>
      </w:pPr>
      <w:r>
        <w:rPr>
          <w:color w:val="221F1F"/>
        </w:rPr>
        <w:t xml:space="preserve">We have been </w:t>
      </w:r>
      <w:proofErr w:type="spellStart"/>
      <w:r>
        <w:rPr>
          <w:color w:val="221F1F"/>
        </w:rPr>
        <w:t>informedthat</w:t>
      </w:r>
      <w:proofErr w:type="spellEnd"/>
      <w:r>
        <w:rPr>
          <w:color w:val="221F1F"/>
          <w:u w:val="single" w:color="211E1F"/>
        </w:rPr>
        <w:tab/>
      </w:r>
      <w:r>
        <w:rPr>
          <w:color w:val="221F1F"/>
          <w:u w:val="single" w:color="211E1F"/>
        </w:rPr>
        <w:tab/>
      </w:r>
      <w:r>
        <w:rPr>
          <w:color w:val="221F1F"/>
          <w:u w:val="single" w:color="211E1F"/>
        </w:rPr>
        <w:tab/>
      </w:r>
      <w:r>
        <w:rPr>
          <w:color w:val="221F1F"/>
        </w:rPr>
        <w:t>(hereinafter called "the Contractor") has entered into Contract No.</w:t>
      </w:r>
      <w:r>
        <w:rPr>
          <w:color w:val="221F1F"/>
          <w:u w:val="single" w:color="211E1F"/>
        </w:rPr>
        <w:tab/>
      </w:r>
      <w:r>
        <w:rPr>
          <w:color w:val="221F1F"/>
          <w:u w:val="single" w:color="211E1F"/>
        </w:rPr>
        <w:tab/>
      </w:r>
      <w:r>
        <w:rPr>
          <w:color w:val="221F1F"/>
          <w:spacing w:val="-2"/>
        </w:rPr>
        <w:t>dated</w:t>
      </w:r>
      <w:r>
        <w:rPr>
          <w:color w:val="221F1F"/>
          <w:u w:val="single" w:color="211E1F"/>
        </w:rPr>
        <w:tab/>
      </w:r>
      <w:r>
        <w:rPr>
          <w:color w:val="221F1F"/>
          <w:u w:val="single" w:color="211E1F"/>
        </w:rPr>
        <w:tab/>
      </w:r>
      <w:r>
        <w:rPr>
          <w:color w:val="221F1F"/>
        </w:rPr>
        <w:t>with</w:t>
      </w:r>
      <w:r>
        <w:rPr>
          <w:color w:val="221F1F"/>
          <w:spacing w:val="-14"/>
        </w:rPr>
        <w:t xml:space="preserve"> </w:t>
      </w:r>
      <w:r>
        <w:rPr>
          <w:color w:val="221F1F"/>
        </w:rPr>
        <w:t>(</w:t>
      </w:r>
      <w:r>
        <w:rPr>
          <w:i/>
          <w:color w:val="221F1F"/>
        </w:rPr>
        <w:t>name</w:t>
      </w:r>
      <w:r>
        <w:rPr>
          <w:i/>
          <w:color w:val="221F1F"/>
          <w:spacing w:val="-14"/>
        </w:rPr>
        <w:t xml:space="preserve"> </w:t>
      </w:r>
      <w:r>
        <w:rPr>
          <w:i/>
          <w:color w:val="221F1F"/>
        </w:rPr>
        <w:t>of Procuring Entity</w:t>
      </w:r>
      <w:r>
        <w:rPr>
          <w:color w:val="221F1F"/>
        </w:rPr>
        <w:t>)</w:t>
      </w:r>
      <w:r>
        <w:rPr>
          <w:color w:val="221F1F"/>
          <w:u w:val="single" w:color="211E1F"/>
        </w:rPr>
        <w:tab/>
      </w:r>
      <w:r>
        <w:rPr>
          <w:color w:val="221F1F"/>
        </w:rPr>
        <w:t>(the Procuring Entity as the Beneficiary), for the execution of</w:t>
      </w:r>
    </w:p>
    <w:p w:rsidR="007F6DF9" w:rsidRDefault="00A43FBC">
      <w:pPr>
        <w:pStyle w:val="BodyText"/>
        <w:tabs>
          <w:tab w:val="left" w:pos="3483"/>
        </w:tabs>
        <w:spacing w:line="246" w:lineRule="exact"/>
        <w:ind w:left="1138"/>
        <w:jc w:val="both"/>
      </w:pPr>
      <w:r>
        <w:rPr>
          <w:color w:val="221F1F"/>
          <w:u w:val="single" w:color="211E1F"/>
        </w:rPr>
        <w:tab/>
      </w:r>
      <w:r>
        <w:rPr>
          <w:color w:val="221F1F"/>
        </w:rPr>
        <w:t>(hereinafter</w:t>
      </w:r>
      <w:r>
        <w:rPr>
          <w:color w:val="221F1F"/>
          <w:spacing w:val="-3"/>
        </w:rPr>
        <w:t xml:space="preserve"> </w:t>
      </w:r>
      <w:r>
        <w:rPr>
          <w:color w:val="221F1F"/>
        </w:rPr>
        <w:t>called</w:t>
      </w:r>
      <w:r>
        <w:rPr>
          <w:color w:val="221F1F"/>
          <w:spacing w:val="-5"/>
        </w:rPr>
        <w:t xml:space="preserve"> </w:t>
      </w:r>
      <w:r>
        <w:rPr>
          <w:color w:val="221F1F"/>
        </w:rPr>
        <w:t>"the</w:t>
      </w:r>
      <w:r>
        <w:rPr>
          <w:color w:val="221F1F"/>
          <w:spacing w:val="-4"/>
        </w:rPr>
        <w:t xml:space="preserve"> </w:t>
      </w:r>
      <w:r>
        <w:rPr>
          <w:color w:val="221F1F"/>
          <w:spacing w:val="-2"/>
        </w:rPr>
        <w:t>Contract").</w:t>
      </w:r>
    </w:p>
    <w:p w:rsidR="007F6DF9" w:rsidRDefault="00A43FBC">
      <w:pPr>
        <w:pStyle w:val="ListParagraph"/>
        <w:numPr>
          <w:ilvl w:val="0"/>
          <w:numId w:val="15"/>
        </w:numPr>
        <w:tabs>
          <w:tab w:val="left" w:pos="1131"/>
        </w:tabs>
        <w:spacing w:before="237"/>
        <w:ind w:left="1131" w:hanging="420"/>
      </w:pPr>
      <w:r>
        <w:rPr>
          <w:color w:val="221F1F"/>
        </w:rPr>
        <w:t>Furthermore,</w:t>
      </w:r>
      <w:r>
        <w:rPr>
          <w:color w:val="221F1F"/>
          <w:spacing w:val="-6"/>
        </w:rPr>
        <w:t xml:space="preserve"> </w:t>
      </w:r>
      <w:r>
        <w:rPr>
          <w:color w:val="221F1F"/>
        </w:rPr>
        <w:t>we</w:t>
      </w:r>
      <w:r>
        <w:rPr>
          <w:color w:val="221F1F"/>
          <w:spacing w:val="-3"/>
        </w:rPr>
        <w:t xml:space="preserve"> </w:t>
      </w:r>
      <w:r>
        <w:rPr>
          <w:color w:val="221F1F"/>
        </w:rPr>
        <w:t>understand</w:t>
      </w:r>
      <w:r>
        <w:rPr>
          <w:color w:val="221F1F"/>
          <w:spacing w:val="-4"/>
        </w:rPr>
        <w:t xml:space="preserve"> </w:t>
      </w:r>
      <w:r>
        <w:rPr>
          <w:color w:val="221F1F"/>
        </w:rPr>
        <w:t>that,</w:t>
      </w:r>
      <w:r>
        <w:rPr>
          <w:color w:val="221F1F"/>
          <w:spacing w:val="-3"/>
        </w:rPr>
        <w:t xml:space="preserve"> </w:t>
      </w:r>
      <w:r>
        <w:rPr>
          <w:color w:val="221F1F"/>
        </w:rPr>
        <w:t>according</w:t>
      </w:r>
      <w:r>
        <w:rPr>
          <w:color w:val="221F1F"/>
          <w:spacing w:val="-4"/>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conditions</w:t>
      </w:r>
      <w:r>
        <w:rPr>
          <w:color w:val="221F1F"/>
          <w:spacing w:val="-6"/>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w:t>
      </w:r>
      <w:r>
        <w:rPr>
          <w:color w:val="221F1F"/>
          <w:spacing w:val="-3"/>
        </w:rPr>
        <w:t xml:space="preserve"> </w:t>
      </w:r>
      <w:r>
        <w:rPr>
          <w:color w:val="221F1F"/>
        </w:rPr>
        <w:t>performance</w:t>
      </w:r>
      <w:r>
        <w:rPr>
          <w:color w:val="221F1F"/>
          <w:spacing w:val="-5"/>
        </w:rPr>
        <w:t xml:space="preserve"> </w:t>
      </w:r>
      <w:r>
        <w:rPr>
          <w:color w:val="221F1F"/>
        </w:rPr>
        <w:t>guarantee</w:t>
      </w:r>
      <w:r>
        <w:rPr>
          <w:color w:val="221F1F"/>
          <w:spacing w:val="-5"/>
        </w:rPr>
        <w:t xml:space="preserve"> </w:t>
      </w:r>
      <w:r>
        <w:rPr>
          <w:color w:val="221F1F"/>
        </w:rPr>
        <w:t>is</w:t>
      </w:r>
      <w:r>
        <w:rPr>
          <w:color w:val="221F1F"/>
          <w:spacing w:val="-5"/>
        </w:rPr>
        <w:t xml:space="preserve"> </w:t>
      </w:r>
      <w:r>
        <w:rPr>
          <w:color w:val="221F1F"/>
          <w:spacing w:val="-2"/>
        </w:rPr>
        <w:t>required.</w:t>
      </w:r>
    </w:p>
    <w:p w:rsidR="007F6DF9" w:rsidRDefault="00A43FBC">
      <w:pPr>
        <w:pStyle w:val="ListParagraph"/>
        <w:numPr>
          <w:ilvl w:val="0"/>
          <w:numId w:val="15"/>
        </w:numPr>
        <w:tabs>
          <w:tab w:val="left" w:pos="1129"/>
          <w:tab w:val="left" w:pos="1138"/>
          <w:tab w:val="left" w:pos="6160"/>
        </w:tabs>
        <w:spacing w:before="234" w:line="264" w:lineRule="auto"/>
        <w:ind w:right="556" w:hanging="428"/>
        <w:jc w:val="both"/>
      </w:pPr>
      <w:proofErr w:type="spellStart"/>
      <w:r>
        <w:rPr>
          <w:color w:val="221F1F"/>
        </w:rPr>
        <w:t>Atthe</w:t>
      </w:r>
      <w:proofErr w:type="spellEnd"/>
      <w:r>
        <w:rPr>
          <w:color w:val="221F1F"/>
          <w:spacing w:val="-4"/>
        </w:rPr>
        <w:t xml:space="preserve"> </w:t>
      </w:r>
      <w:r>
        <w:rPr>
          <w:color w:val="221F1F"/>
        </w:rPr>
        <w:t>request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we</w:t>
      </w:r>
      <w:r>
        <w:rPr>
          <w:color w:val="221F1F"/>
          <w:spacing w:val="-4"/>
        </w:rPr>
        <w:t xml:space="preserve"> </w:t>
      </w:r>
      <w:r>
        <w:rPr>
          <w:color w:val="221F1F"/>
        </w:rPr>
        <w:t>as</w:t>
      </w:r>
      <w:r>
        <w:rPr>
          <w:color w:val="221F1F"/>
          <w:spacing w:val="-4"/>
        </w:rPr>
        <w:t xml:space="preserve"> </w:t>
      </w:r>
      <w:r>
        <w:rPr>
          <w:color w:val="221F1F"/>
        </w:rPr>
        <w:t>Guarantor,</w:t>
      </w:r>
      <w:r>
        <w:rPr>
          <w:color w:val="221F1F"/>
          <w:spacing w:val="-4"/>
        </w:rPr>
        <w:t xml:space="preserve"> </w:t>
      </w:r>
      <w:r>
        <w:rPr>
          <w:color w:val="221F1F"/>
        </w:rPr>
        <w:t>here</w:t>
      </w:r>
      <w:r>
        <w:rPr>
          <w:color w:val="221F1F"/>
          <w:spacing w:val="-4"/>
        </w:rPr>
        <w:t xml:space="preserve"> </w:t>
      </w:r>
      <w:r>
        <w:rPr>
          <w:color w:val="221F1F"/>
        </w:rPr>
        <w:t>by</w:t>
      </w:r>
      <w:r>
        <w:rPr>
          <w:color w:val="221F1F"/>
          <w:spacing w:val="-4"/>
        </w:rPr>
        <w:t xml:space="preserve"> </w:t>
      </w:r>
      <w:r>
        <w:rPr>
          <w:color w:val="221F1F"/>
        </w:rPr>
        <w:t>irrevocably</w:t>
      </w:r>
      <w:r>
        <w:rPr>
          <w:color w:val="221F1F"/>
          <w:spacing w:val="-4"/>
        </w:rPr>
        <w:t xml:space="preserve"> </w:t>
      </w:r>
      <w:r>
        <w:rPr>
          <w:color w:val="221F1F"/>
        </w:rPr>
        <w:t>undertake</w:t>
      </w:r>
      <w:r>
        <w:rPr>
          <w:color w:val="221F1F"/>
          <w:spacing w:val="-4"/>
        </w:rPr>
        <w:t xml:space="preserve"> </w:t>
      </w:r>
      <w:r>
        <w:rPr>
          <w:color w:val="221F1F"/>
        </w:rPr>
        <w:t>to</w:t>
      </w:r>
      <w:r>
        <w:rPr>
          <w:color w:val="221F1F"/>
          <w:spacing w:val="-7"/>
        </w:rPr>
        <w:t xml:space="preserve"> </w:t>
      </w:r>
      <w:r>
        <w:rPr>
          <w:color w:val="221F1F"/>
        </w:rPr>
        <w:t>pay</w:t>
      </w:r>
      <w:r>
        <w:rPr>
          <w:color w:val="221F1F"/>
          <w:spacing w:val="-4"/>
        </w:rPr>
        <w:t xml:space="preserve"> </w:t>
      </w:r>
      <w:r>
        <w:rPr>
          <w:color w:val="221F1F"/>
        </w:rPr>
        <w:t>the</w:t>
      </w:r>
      <w:r>
        <w:rPr>
          <w:color w:val="221F1F"/>
          <w:spacing w:val="-4"/>
        </w:rPr>
        <w:t xml:space="preserve"> </w:t>
      </w:r>
      <w:r>
        <w:rPr>
          <w:color w:val="221F1F"/>
        </w:rPr>
        <w:t>Beneficiary</w:t>
      </w:r>
      <w:r>
        <w:rPr>
          <w:color w:val="221F1F"/>
          <w:spacing w:val="-4"/>
        </w:rPr>
        <w:t xml:space="preserve"> </w:t>
      </w:r>
      <w:r>
        <w:rPr>
          <w:color w:val="221F1F"/>
        </w:rPr>
        <w:t>any</w:t>
      </w:r>
      <w:r>
        <w:rPr>
          <w:color w:val="221F1F"/>
          <w:spacing w:val="-4"/>
        </w:rPr>
        <w:t xml:space="preserve"> </w:t>
      </w:r>
      <w:r>
        <w:rPr>
          <w:color w:val="221F1F"/>
        </w:rPr>
        <w:t>sum or sums not exceeding in total an amount of</w:t>
      </w:r>
      <w:r>
        <w:rPr>
          <w:color w:val="221F1F"/>
          <w:u w:val="single" w:color="211E1F"/>
        </w:rPr>
        <w:tab/>
      </w:r>
      <w:r>
        <w:rPr>
          <w:color w:val="221F1F"/>
        </w:rPr>
        <w:t>(</w:t>
      </w:r>
      <w:r>
        <w:rPr>
          <w:i/>
          <w:color w:val="221F1F"/>
        </w:rPr>
        <w:t xml:space="preserve">in words </w:t>
      </w:r>
      <w:r>
        <w:rPr>
          <w:color w:val="221F1F"/>
        </w:rPr>
        <w:t>),</w:t>
      </w:r>
      <w:r>
        <w:rPr>
          <w:color w:val="221F1F"/>
          <w:position w:val="11"/>
          <w:sz w:val="11"/>
        </w:rPr>
        <w:t xml:space="preserve">1 </w:t>
      </w:r>
      <w:r>
        <w:rPr>
          <w:color w:val="221F1F"/>
        </w:rPr>
        <w:t>such sum being payable in the types and proportions of currencies in which the Contract Price is payable, upon receipt by us of the Beneficiary's complying</w:t>
      </w:r>
      <w:r>
        <w:rPr>
          <w:color w:val="221F1F"/>
          <w:spacing w:val="-14"/>
        </w:rPr>
        <w:t xml:space="preserve"> </w:t>
      </w:r>
      <w:r>
        <w:rPr>
          <w:color w:val="221F1F"/>
        </w:rPr>
        <w:t>demand</w:t>
      </w:r>
      <w:r>
        <w:rPr>
          <w:color w:val="221F1F"/>
          <w:spacing w:val="-14"/>
        </w:rPr>
        <w:t xml:space="preserve"> </w:t>
      </w:r>
      <w:r>
        <w:rPr>
          <w:color w:val="221F1F"/>
        </w:rPr>
        <w:t>supported</w:t>
      </w:r>
      <w:r>
        <w:rPr>
          <w:color w:val="221F1F"/>
          <w:spacing w:val="-14"/>
        </w:rPr>
        <w:t xml:space="preserve"> </w:t>
      </w:r>
      <w:r>
        <w:rPr>
          <w:color w:val="221F1F"/>
        </w:rPr>
        <w:t>by</w:t>
      </w:r>
      <w:r>
        <w:rPr>
          <w:color w:val="221F1F"/>
          <w:spacing w:val="-13"/>
        </w:rPr>
        <w:t xml:space="preserve"> </w:t>
      </w:r>
      <w:r>
        <w:rPr>
          <w:color w:val="221F1F"/>
        </w:rPr>
        <w:t>the</w:t>
      </w:r>
      <w:r>
        <w:rPr>
          <w:color w:val="221F1F"/>
          <w:spacing w:val="-14"/>
        </w:rPr>
        <w:t xml:space="preserve"> </w:t>
      </w:r>
      <w:r>
        <w:rPr>
          <w:color w:val="221F1F"/>
        </w:rPr>
        <w:t>Beneficiary's</w:t>
      </w:r>
      <w:r>
        <w:rPr>
          <w:color w:val="221F1F"/>
          <w:spacing w:val="-14"/>
        </w:rPr>
        <w:t xml:space="preserve"> </w:t>
      </w:r>
      <w:r>
        <w:rPr>
          <w:color w:val="221F1F"/>
        </w:rPr>
        <w:t>statement,</w:t>
      </w:r>
      <w:r>
        <w:rPr>
          <w:color w:val="221F1F"/>
          <w:spacing w:val="-14"/>
        </w:rPr>
        <w:t xml:space="preserve"> </w:t>
      </w:r>
      <w:r>
        <w:rPr>
          <w:color w:val="221F1F"/>
        </w:rPr>
        <w:t>whether</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demand</w:t>
      </w:r>
      <w:r>
        <w:rPr>
          <w:color w:val="221F1F"/>
          <w:spacing w:val="-14"/>
        </w:rPr>
        <w:t xml:space="preserve"> </w:t>
      </w:r>
      <w:proofErr w:type="spellStart"/>
      <w:r>
        <w:rPr>
          <w:color w:val="221F1F"/>
        </w:rPr>
        <w:t>it</w:t>
      </w:r>
      <w:r>
        <w:rPr>
          <w:color w:val="221F1F"/>
          <w:spacing w:val="-13"/>
        </w:rPr>
        <w:t xml:space="preserve"> </w:t>
      </w:r>
      <w:r>
        <w:rPr>
          <w:color w:val="221F1F"/>
        </w:rPr>
        <w:t>self</w:t>
      </w:r>
      <w:proofErr w:type="spellEnd"/>
      <w:r>
        <w:rPr>
          <w:color w:val="221F1F"/>
          <w:spacing w:val="-14"/>
        </w:rPr>
        <w:t xml:space="preserve"> </w:t>
      </w:r>
      <w:r>
        <w:rPr>
          <w:color w:val="221F1F"/>
        </w:rPr>
        <w:t>or</w:t>
      </w:r>
      <w:r>
        <w:rPr>
          <w:color w:val="221F1F"/>
          <w:spacing w:val="-14"/>
        </w:rPr>
        <w:t xml:space="preserve"> </w:t>
      </w:r>
      <w:r>
        <w:rPr>
          <w:color w:val="221F1F"/>
        </w:rPr>
        <w:t>in</w:t>
      </w:r>
      <w:r>
        <w:rPr>
          <w:color w:val="221F1F"/>
          <w:spacing w:val="-14"/>
        </w:rPr>
        <w:t xml:space="preserve"> </w:t>
      </w:r>
      <w:r>
        <w:rPr>
          <w:color w:val="221F1F"/>
        </w:rPr>
        <w:t>a</w:t>
      </w:r>
      <w:r>
        <w:rPr>
          <w:color w:val="221F1F"/>
          <w:spacing w:val="-13"/>
        </w:rPr>
        <w:t xml:space="preserve"> </w:t>
      </w:r>
      <w:r>
        <w:rPr>
          <w:color w:val="221F1F"/>
        </w:rPr>
        <w:t>separate</w:t>
      </w:r>
      <w:r>
        <w:rPr>
          <w:color w:val="221F1F"/>
          <w:spacing w:val="-14"/>
        </w:rPr>
        <w:t xml:space="preserve"> </w:t>
      </w:r>
      <w:r>
        <w:rPr>
          <w:color w:val="221F1F"/>
        </w:rPr>
        <w:t>signed document accompanying or identifying the demand, stating that the Applicant is in breach of its obligation(s) under the Contract, without the Beneficiary needing to prove or to show grounds for your demand or the sum specified therein.</w:t>
      </w:r>
    </w:p>
    <w:p w:rsidR="007F6DF9" w:rsidRDefault="00A43FBC">
      <w:pPr>
        <w:pStyle w:val="ListParagraph"/>
        <w:numPr>
          <w:ilvl w:val="0"/>
          <w:numId w:val="15"/>
        </w:numPr>
        <w:tabs>
          <w:tab w:val="left" w:pos="1131"/>
          <w:tab w:val="left" w:leader="dot" w:pos="8562"/>
        </w:tabs>
        <w:spacing w:before="207"/>
        <w:ind w:left="1131" w:hanging="420"/>
      </w:pPr>
      <w:r>
        <w:rPr>
          <w:color w:val="221F1F"/>
        </w:rPr>
        <w:t>This</w:t>
      </w:r>
      <w:r>
        <w:rPr>
          <w:color w:val="221F1F"/>
          <w:spacing w:val="-5"/>
        </w:rPr>
        <w:t xml:space="preserve"> </w:t>
      </w:r>
      <w:r>
        <w:rPr>
          <w:color w:val="221F1F"/>
        </w:rPr>
        <w:t>guarantee</w:t>
      </w:r>
      <w:r>
        <w:rPr>
          <w:color w:val="221F1F"/>
          <w:spacing w:val="-3"/>
        </w:rPr>
        <w:t xml:space="preserve"> </w:t>
      </w:r>
      <w:r>
        <w:rPr>
          <w:color w:val="221F1F"/>
        </w:rPr>
        <w:t>shall</w:t>
      </w:r>
      <w:r>
        <w:rPr>
          <w:color w:val="221F1F"/>
          <w:spacing w:val="-3"/>
        </w:rPr>
        <w:t xml:space="preserve"> </w:t>
      </w:r>
      <w:r>
        <w:rPr>
          <w:color w:val="221F1F"/>
        </w:rPr>
        <w:t>expire,</w:t>
      </w:r>
      <w:r>
        <w:rPr>
          <w:color w:val="221F1F"/>
          <w:spacing w:val="-5"/>
        </w:rPr>
        <w:t xml:space="preserve"> </w:t>
      </w:r>
      <w:r>
        <w:rPr>
          <w:color w:val="221F1F"/>
        </w:rPr>
        <w:t>no</w:t>
      </w:r>
      <w:r>
        <w:rPr>
          <w:color w:val="221F1F"/>
          <w:spacing w:val="-4"/>
        </w:rPr>
        <w:t xml:space="preserve"> </w:t>
      </w:r>
      <w:r>
        <w:rPr>
          <w:color w:val="221F1F"/>
        </w:rPr>
        <w:t>later</w:t>
      </w:r>
      <w:r>
        <w:rPr>
          <w:color w:val="221F1F"/>
          <w:spacing w:val="-2"/>
        </w:rPr>
        <w:t xml:space="preserve"> </w:t>
      </w:r>
      <w:r>
        <w:rPr>
          <w:color w:val="221F1F"/>
        </w:rPr>
        <w:t>than</w:t>
      </w:r>
      <w:r>
        <w:rPr>
          <w:color w:val="221F1F"/>
          <w:spacing w:val="-6"/>
        </w:rPr>
        <w:t xml:space="preserve"> </w:t>
      </w:r>
      <w:r>
        <w:rPr>
          <w:color w:val="221F1F"/>
        </w:rPr>
        <w:t>the………………...Day</w:t>
      </w:r>
      <w:r>
        <w:rPr>
          <w:color w:val="221F1F"/>
          <w:spacing w:val="-3"/>
        </w:rPr>
        <w:t xml:space="preserve"> </w:t>
      </w:r>
      <w:r>
        <w:rPr>
          <w:color w:val="221F1F"/>
          <w:spacing w:val="-2"/>
        </w:rPr>
        <w:t>of…………,2</w:t>
      </w:r>
      <w:r>
        <w:rPr>
          <w:color w:val="221F1F"/>
        </w:rPr>
        <w:tab/>
      </w:r>
      <w:r>
        <w:rPr>
          <w:color w:val="221F1F"/>
          <w:position w:val="11"/>
          <w:sz w:val="11"/>
        </w:rPr>
        <w:t>2</w:t>
      </w:r>
      <w:r>
        <w:rPr>
          <w:color w:val="221F1F"/>
        </w:rPr>
        <w:t>,</w:t>
      </w:r>
      <w:r>
        <w:rPr>
          <w:color w:val="221F1F"/>
          <w:spacing w:val="-3"/>
        </w:rPr>
        <w:t xml:space="preserve"> </w:t>
      </w:r>
      <w:r>
        <w:rPr>
          <w:color w:val="221F1F"/>
        </w:rPr>
        <w:t>and</w:t>
      </w:r>
      <w:r>
        <w:rPr>
          <w:color w:val="221F1F"/>
          <w:spacing w:val="-3"/>
        </w:rPr>
        <w:t xml:space="preserve"> </w:t>
      </w:r>
      <w:r>
        <w:rPr>
          <w:color w:val="221F1F"/>
        </w:rPr>
        <w:t>any</w:t>
      </w:r>
      <w:r>
        <w:rPr>
          <w:color w:val="221F1F"/>
          <w:spacing w:val="-1"/>
        </w:rPr>
        <w:t xml:space="preserve"> </w:t>
      </w:r>
      <w:r>
        <w:rPr>
          <w:color w:val="221F1F"/>
        </w:rPr>
        <w:t>demand</w:t>
      </w:r>
      <w:r>
        <w:rPr>
          <w:color w:val="221F1F"/>
          <w:spacing w:val="-1"/>
        </w:rPr>
        <w:t xml:space="preserve"> </w:t>
      </w:r>
      <w:r>
        <w:rPr>
          <w:color w:val="221F1F"/>
          <w:spacing w:val="-5"/>
        </w:rPr>
        <w:t>for</w:t>
      </w:r>
    </w:p>
    <w:p w:rsidR="007F6DF9" w:rsidRDefault="00A43FBC">
      <w:pPr>
        <w:pStyle w:val="BodyText"/>
        <w:spacing w:before="28"/>
        <w:ind w:left="1138"/>
      </w:pPr>
      <w:r>
        <w:rPr>
          <w:color w:val="221F1F"/>
        </w:rPr>
        <w:t>payment</w:t>
      </w:r>
      <w:r>
        <w:rPr>
          <w:color w:val="221F1F"/>
          <w:spacing w:val="-4"/>
        </w:rPr>
        <w:t xml:space="preserve"> </w:t>
      </w:r>
      <w:r>
        <w:rPr>
          <w:color w:val="221F1F"/>
        </w:rPr>
        <w:t>under</w:t>
      </w:r>
      <w:r>
        <w:rPr>
          <w:color w:val="221F1F"/>
          <w:spacing w:val="-2"/>
        </w:rPr>
        <w:t xml:space="preserve"> </w:t>
      </w:r>
      <w:r>
        <w:rPr>
          <w:color w:val="221F1F"/>
        </w:rPr>
        <w:t>it</w:t>
      </w:r>
      <w:r>
        <w:rPr>
          <w:color w:val="221F1F"/>
          <w:spacing w:val="-5"/>
        </w:rPr>
        <w:t xml:space="preserve"> </w:t>
      </w:r>
      <w:r>
        <w:rPr>
          <w:color w:val="221F1F"/>
        </w:rPr>
        <w:t>must</w:t>
      </w:r>
      <w:r>
        <w:rPr>
          <w:color w:val="221F1F"/>
          <w:spacing w:val="-2"/>
        </w:rPr>
        <w:t xml:space="preserve"> </w:t>
      </w:r>
      <w:r>
        <w:rPr>
          <w:color w:val="221F1F"/>
        </w:rPr>
        <w:t>be</w:t>
      </w:r>
      <w:r>
        <w:rPr>
          <w:color w:val="221F1F"/>
          <w:spacing w:val="-5"/>
        </w:rPr>
        <w:t xml:space="preserve"> </w:t>
      </w:r>
      <w:r>
        <w:rPr>
          <w:color w:val="221F1F"/>
        </w:rPr>
        <w:t>received</w:t>
      </w:r>
      <w:r>
        <w:rPr>
          <w:color w:val="221F1F"/>
          <w:spacing w:val="-2"/>
        </w:rPr>
        <w:t xml:space="preserve"> </w:t>
      </w:r>
      <w:r>
        <w:rPr>
          <w:color w:val="221F1F"/>
        </w:rPr>
        <w:t>by</w:t>
      </w:r>
      <w:r>
        <w:rPr>
          <w:color w:val="221F1F"/>
          <w:spacing w:val="-3"/>
        </w:rPr>
        <w:t xml:space="preserve"> </w:t>
      </w:r>
      <w:r>
        <w:rPr>
          <w:color w:val="221F1F"/>
        </w:rPr>
        <w:t>us</w:t>
      </w:r>
      <w:r>
        <w:rPr>
          <w:color w:val="221F1F"/>
          <w:spacing w:val="-3"/>
        </w:rPr>
        <w:t xml:space="preserve"> </w:t>
      </w:r>
      <w:r>
        <w:rPr>
          <w:color w:val="221F1F"/>
        </w:rPr>
        <w:t>at</w:t>
      </w:r>
      <w:r>
        <w:rPr>
          <w:color w:val="221F1F"/>
          <w:spacing w:val="-4"/>
        </w:rPr>
        <w:t xml:space="preserve"> </w:t>
      </w:r>
      <w:r>
        <w:rPr>
          <w:color w:val="221F1F"/>
        </w:rPr>
        <w:t>the</w:t>
      </w:r>
      <w:r>
        <w:rPr>
          <w:color w:val="221F1F"/>
          <w:spacing w:val="-3"/>
        </w:rPr>
        <w:t xml:space="preserve"> </w:t>
      </w:r>
      <w:r>
        <w:rPr>
          <w:color w:val="221F1F"/>
        </w:rPr>
        <w:t>office</w:t>
      </w:r>
      <w:r>
        <w:rPr>
          <w:color w:val="221F1F"/>
          <w:spacing w:val="-5"/>
        </w:rPr>
        <w:t xml:space="preserve"> </w:t>
      </w:r>
      <w:r>
        <w:rPr>
          <w:color w:val="221F1F"/>
        </w:rPr>
        <w:t>indicated</w:t>
      </w:r>
      <w:r>
        <w:rPr>
          <w:color w:val="221F1F"/>
          <w:spacing w:val="-4"/>
        </w:rPr>
        <w:t xml:space="preserve"> </w:t>
      </w:r>
      <w:r>
        <w:rPr>
          <w:color w:val="221F1F"/>
        </w:rPr>
        <w:t>above</w:t>
      </w:r>
      <w:r>
        <w:rPr>
          <w:color w:val="221F1F"/>
          <w:spacing w:val="-3"/>
        </w:rPr>
        <w:t xml:space="preserve"> </w:t>
      </w:r>
      <w:r>
        <w:rPr>
          <w:color w:val="221F1F"/>
        </w:rPr>
        <w:t>on</w:t>
      </w:r>
      <w:r>
        <w:rPr>
          <w:color w:val="221F1F"/>
          <w:spacing w:val="-3"/>
        </w:rPr>
        <w:t xml:space="preserve"> </w:t>
      </w:r>
      <w:r>
        <w:rPr>
          <w:color w:val="221F1F"/>
        </w:rPr>
        <w:t>or</w:t>
      </w:r>
      <w:r>
        <w:rPr>
          <w:color w:val="221F1F"/>
          <w:spacing w:val="-2"/>
        </w:rPr>
        <w:t xml:space="preserve"> </w:t>
      </w:r>
      <w:r>
        <w:rPr>
          <w:color w:val="221F1F"/>
        </w:rPr>
        <w:t>before</w:t>
      </w:r>
      <w:r>
        <w:rPr>
          <w:color w:val="221F1F"/>
          <w:spacing w:val="-5"/>
        </w:rPr>
        <w:t xml:space="preserve"> </w:t>
      </w:r>
      <w:r>
        <w:rPr>
          <w:color w:val="221F1F"/>
        </w:rPr>
        <w:t>that</w:t>
      </w:r>
      <w:r>
        <w:rPr>
          <w:color w:val="221F1F"/>
          <w:spacing w:val="-1"/>
        </w:rPr>
        <w:t xml:space="preserve"> </w:t>
      </w:r>
      <w:r>
        <w:rPr>
          <w:color w:val="221F1F"/>
          <w:spacing w:val="-2"/>
        </w:rPr>
        <w:t>date.</w:t>
      </w:r>
    </w:p>
    <w:p w:rsidR="007F6DF9" w:rsidRDefault="00A43FBC">
      <w:pPr>
        <w:pStyle w:val="ListParagraph"/>
        <w:numPr>
          <w:ilvl w:val="0"/>
          <w:numId w:val="15"/>
        </w:numPr>
        <w:tabs>
          <w:tab w:val="left" w:pos="1129"/>
          <w:tab w:val="left" w:pos="1138"/>
        </w:tabs>
        <w:spacing w:before="235" w:line="266" w:lineRule="auto"/>
        <w:ind w:right="558" w:hanging="428"/>
        <w:jc w:val="both"/>
      </w:pPr>
      <w:r>
        <w:rPr>
          <w:color w:val="221F1F"/>
        </w:rPr>
        <w:t xml:space="preserve">The Guarantor agrees to a one-time extension of this guarantee for a period not to exceed </w:t>
      </w:r>
      <w:r>
        <w:rPr>
          <w:i/>
          <w:color w:val="221F1F"/>
        </w:rPr>
        <w:t xml:space="preserve">[six months] [one year], </w:t>
      </w:r>
      <w:proofErr w:type="spellStart"/>
      <w:r>
        <w:rPr>
          <w:color w:val="221F1F"/>
        </w:rPr>
        <w:t>inresponse</w:t>
      </w:r>
      <w:proofErr w:type="spellEnd"/>
      <w:r>
        <w:rPr>
          <w:color w:val="221F1F"/>
        </w:rPr>
        <w:t xml:space="preserve"> </w:t>
      </w:r>
      <w:proofErr w:type="spellStart"/>
      <w:r>
        <w:rPr>
          <w:color w:val="221F1F"/>
        </w:rPr>
        <w:t>tot he</w:t>
      </w:r>
      <w:proofErr w:type="spellEnd"/>
      <w:r>
        <w:rPr>
          <w:color w:val="221F1F"/>
        </w:rPr>
        <w:t xml:space="preserve"> Beneficiary's written request for such extension, such request to be presented to the Guarantor before the expiry of the guarantee.” .......................................................................</w:t>
      </w:r>
    </w:p>
    <w:p w:rsidR="007F6DF9" w:rsidRDefault="007F6DF9">
      <w:pPr>
        <w:pStyle w:val="BodyText"/>
        <w:spacing w:before="190"/>
      </w:pPr>
    </w:p>
    <w:p w:rsidR="007F6DF9" w:rsidRDefault="00A43FBC">
      <w:pPr>
        <w:spacing w:before="1"/>
        <w:ind w:left="1131"/>
      </w:pPr>
      <w:r>
        <w:rPr>
          <w:i/>
          <w:color w:val="221F1F"/>
        </w:rPr>
        <w:t>[Name</w:t>
      </w:r>
      <w:r>
        <w:rPr>
          <w:i/>
          <w:color w:val="221F1F"/>
          <w:spacing w:val="-8"/>
        </w:rPr>
        <w:t xml:space="preserve"> </w:t>
      </w:r>
      <w:r>
        <w:rPr>
          <w:i/>
          <w:color w:val="221F1F"/>
        </w:rPr>
        <w:t>of</w:t>
      </w:r>
      <w:r>
        <w:rPr>
          <w:i/>
          <w:color w:val="221F1F"/>
          <w:spacing w:val="-6"/>
        </w:rPr>
        <w:t xml:space="preserve"> </w:t>
      </w:r>
      <w:r>
        <w:rPr>
          <w:i/>
          <w:color w:val="221F1F"/>
        </w:rPr>
        <w:t>Authorized</w:t>
      </w:r>
      <w:r>
        <w:rPr>
          <w:i/>
          <w:color w:val="221F1F"/>
          <w:spacing w:val="-8"/>
        </w:rPr>
        <w:t xml:space="preserve"> </w:t>
      </w:r>
      <w:r>
        <w:rPr>
          <w:i/>
          <w:color w:val="221F1F"/>
        </w:rPr>
        <w:t>Official,</w:t>
      </w:r>
      <w:r>
        <w:rPr>
          <w:i/>
          <w:color w:val="221F1F"/>
          <w:spacing w:val="-7"/>
        </w:rPr>
        <w:t xml:space="preserve"> </w:t>
      </w:r>
      <w:r>
        <w:rPr>
          <w:i/>
          <w:color w:val="221F1F"/>
        </w:rPr>
        <w:t>signature(s)</w:t>
      </w:r>
      <w:r>
        <w:rPr>
          <w:i/>
          <w:color w:val="221F1F"/>
          <w:spacing w:val="-8"/>
        </w:rPr>
        <w:t xml:space="preserve"> </w:t>
      </w:r>
      <w:r>
        <w:rPr>
          <w:i/>
          <w:color w:val="221F1F"/>
        </w:rPr>
        <w:t>and</w:t>
      </w:r>
      <w:r>
        <w:rPr>
          <w:i/>
          <w:color w:val="221F1F"/>
          <w:spacing w:val="-10"/>
        </w:rPr>
        <w:t xml:space="preserve"> </w:t>
      </w:r>
      <w:r>
        <w:rPr>
          <w:i/>
          <w:color w:val="221F1F"/>
          <w:spacing w:val="-2"/>
        </w:rPr>
        <w:t>seals/stamps</w:t>
      </w:r>
      <w:r>
        <w:rPr>
          <w:color w:val="221F1F"/>
          <w:spacing w:val="-2"/>
        </w:rPr>
        <w:t>]</w:t>
      </w:r>
    </w:p>
    <w:p w:rsidR="007F6DF9" w:rsidRDefault="007F6DF9">
      <w:pPr>
        <w:pStyle w:val="BodyText"/>
        <w:spacing w:before="228"/>
      </w:pPr>
    </w:p>
    <w:p w:rsidR="007F6DF9" w:rsidRDefault="00A43FBC">
      <w:pPr>
        <w:spacing w:line="266" w:lineRule="auto"/>
        <w:ind w:left="1138" w:hanging="8"/>
        <w:rPr>
          <w:i/>
        </w:rPr>
      </w:pPr>
      <w:r>
        <w:rPr>
          <w:b/>
          <w:i/>
          <w:color w:val="221F1F"/>
        </w:rPr>
        <w:t xml:space="preserve">Note: </w:t>
      </w:r>
      <w:r>
        <w:rPr>
          <w:i/>
          <w:color w:val="221F1F"/>
        </w:rPr>
        <w:t>All</w:t>
      </w:r>
      <w:r>
        <w:rPr>
          <w:i/>
          <w:color w:val="221F1F"/>
          <w:spacing w:val="-3"/>
        </w:rPr>
        <w:t xml:space="preserve"> </w:t>
      </w:r>
      <w:r>
        <w:rPr>
          <w:i/>
          <w:color w:val="221F1F"/>
        </w:rPr>
        <w:t>italicized</w:t>
      </w:r>
      <w:r>
        <w:rPr>
          <w:i/>
          <w:color w:val="221F1F"/>
          <w:spacing w:val="-4"/>
        </w:rPr>
        <w:t xml:space="preserve"> </w:t>
      </w:r>
      <w:r>
        <w:rPr>
          <w:i/>
          <w:color w:val="221F1F"/>
        </w:rPr>
        <w:t>text</w:t>
      </w:r>
      <w:r>
        <w:rPr>
          <w:i/>
          <w:color w:val="221F1F"/>
          <w:spacing w:val="-3"/>
        </w:rPr>
        <w:t xml:space="preserve"> </w:t>
      </w:r>
      <w:r>
        <w:rPr>
          <w:i/>
          <w:color w:val="221F1F"/>
        </w:rPr>
        <w:t>(including</w:t>
      </w:r>
      <w:r>
        <w:rPr>
          <w:i/>
          <w:color w:val="221F1F"/>
          <w:spacing w:val="-1"/>
        </w:rPr>
        <w:t xml:space="preserve"> </w:t>
      </w:r>
      <w:r>
        <w:rPr>
          <w:i/>
          <w:color w:val="221F1F"/>
        </w:rPr>
        <w:t>footnotes)</w:t>
      </w:r>
      <w:r>
        <w:rPr>
          <w:i/>
          <w:color w:val="221F1F"/>
          <w:spacing w:val="-3"/>
        </w:rPr>
        <w:t xml:space="preserve"> </w:t>
      </w:r>
      <w:r>
        <w:rPr>
          <w:i/>
          <w:color w:val="221F1F"/>
        </w:rPr>
        <w:t>is</w:t>
      </w:r>
      <w:r>
        <w:rPr>
          <w:i/>
          <w:color w:val="221F1F"/>
          <w:spacing w:val="-3"/>
        </w:rPr>
        <w:t xml:space="preserve"> </w:t>
      </w:r>
      <w:r>
        <w:rPr>
          <w:i/>
          <w:color w:val="221F1F"/>
        </w:rPr>
        <w:t>for</w:t>
      </w:r>
      <w:r>
        <w:rPr>
          <w:i/>
          <w:color w:val="221F1F"/>
          <w:spacing w:val="-1"/>
        </w:rPr>
        <w:t xml:space="preserve"> </w:t>
      </w:r>
      <w:r>
        <w:rPr>
          <w:i/>
          <w:color w:val="221F1F"/>
        </w:rPr>
        <w:t>use</w:t>
      </w:r>
      <w:r>
        <w:rPr>
          <w:i/>
          <w:color w:val="221F1F"/>
          <w:spacing w:val="-3"/>
        </w:rPr>
        <w:t xml:space="preserve"> </w:t>
      </w:r>
      <w:r>
        <w:rPr>
          <w:i/>
          <w:color w:val="221F1F"/>
        </w:rPr>
        <w:t>in</w:t>
      </w:r>
      <w:r>
        <w:rPr>
          <w:i/>
          <w:color w:val="221F1F"/>
          <w:spacing w:val="-1"/>
        </w:rPr>
        <w:t xml:space="preserve"> </w:t>
      </w:r>
      <w:r>
        <w:rPr>
          <w:i/>
          <w:color w:val="221F1F"/>
        </w:rPr>
        <w:t>preparing</w:t>
      </w:r>
      <w:r>
        <w:rPr>
          <w:i/>
          <w:color w:val="221F1F"/>
          <w:spacing w:val="-4"/>
        </w:rPr>
        <w:t xml:space="preserve"> </w:t>
      </w:r>
      <w:r>
        <w:rPr>
          <w:i/>
          <w:color w:val="221F1F"/>
        </w:rPr>
        <w:t>this</w:t>
      </w:r>
      <w:r>
        <w:rPr>
          <w:i/>
          <w:color w:val="221F1F"/>
          <w:spacing w:val="-1"/>
        </w:rPr>
        <w:t xml:space="preserve"> </w:t>
      </w:r>
      <w:r>
        <w:rPr>
          <w:i/>
          <w:color w:val="221F1F"/>
        </w:rPr>
        <w:t>form</w:t>
      </w:r>
      <w:r>
        <w:rPr>
          <w:i/>
          <w:color w:val="221F1F"/>
          <w:spacing w:val="-1"/>
        </w:rPr>
        <w:t xml:space="preserve"> </w:t>
      </w:r>
      <w:r>
        <w:rPr>
          <w:i/>
          <w:color w:val="221F1F"/>
        </w:rPr>
        <w:t>and</w:t>
      </w:r>
      <w:r>
        <w:rPr>
          <w:i/>
          <w:color w:val="221F1F"/>
          <w:spacing w:val="-4"/>
        </w:rPr>
        <w:t xml:space="preserve"> </w:t>
      </w:r>
      <w:r>
        <w:rPr>
          <w:i/>
          <w:color w:val="221F1F"/>
        </w:rPr>
        <w:t>shall be</w:t>
      </w:r>
      <w:r>
        <w:rPr>
          <w:i/>
          <w:color w:val="221F1F"/>
          <w:spacing w:val="-3"/>
        </w:rPr>
        <w:t xml:space="preserve"> </w:t>
      </w:r>
      <w:r>
        <w:rPr>
          <w:i/>
          <w:color w:val="221F1F"/>
        </w:rPr>
        <w:t>deleted</w:t>
      </w:r>
      <w:r>
        <w:rPr>
          <w:i/>
          <w:color w:val="221F1F"/>
          <w:spacing w:val="-1"/>
        </w:rPr>
        <w:t xml:space="preserve"> </w:t>
      </w:r>
      <w:r>
        <w:rPr>
          <w:i/>
          <w:color w:val="221F1F"/>
        </w:rPr>
        <w:t>from</w:t>
      </w:r>
      <w:r>
        <w:rPr>
          <w:i/>
          <w:color w:val="221F1F"/>
          <w:spacing w:val="-1"/>
        </w:rPr>
        <w:t xml:space="preserve"> </w:t>
      </w:r>
      <w:r>
        <w:rPr>
          <w:i/>
          <w:color w:val="221F1F"/>
        </w:rPr>
        <w:t>the</w:t>
      </w:r>
      <w:r>
        <w:rPr>
          <w:i/>
          <w:color w:val="221F1F"/>
          <w:spacing w:val="-1"/>
        </w:rPr>
        <w:t xml:space="preserve"> </w:t>
      </w:r>
      <w:r>
        <w:rPr>
          <w:i/>
          <w:color w:val="221F1F"/>
        </w:rPr>
        <w:t xml:space="preserve">final </w:t>
      </w:r>
      <w:r>
        <w:rPr>
          <w:i/>
          <w:color w:val="221F1F"/>
          <w:spacing w:val="-2"/>
        </w:rPr>
        <w:t>product.</w:t>
      </w: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A43FBC">
      <w:pPr>
        <w:pStyle w:val="BodyText"/>
        <w:spacing w:before="127"/>
        <w:rPr>
          <w:i/>
          <w:sz w:val="20"/>
        </w:rPr>
      </w:pPr>
      <w:r>
        <w:rPr>
          <w:i/>
          <w:noProof/>
          <w:sz w:val="20"/>
        </w:rPr>
        <mc:AlternateContent>
          <mc:Choice Requires="wps">
            <w:drawing>
              <wp:anchor distT="0" distB="0" distL="0" distR="0" simplePos="0" relativeHeight="487628288" behindDoc="1" locked="0" layoutInCell="1" allowOverlap="1">
                <wp:simplePos x="0" y="0"/>
                <wp:positionH relativeFrom="page">
                  <wp:posOffset>549275</wp:posOffset>
                </wp:positionH>
                <wp:positionV relativeFrom="paragraph">
                  <wp:posOffset>242358</wp:posOffset>
                </wp:positionV>
                <wp:extent cx="2962275" cy="127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1270"/>
                        </a:xfrm>
                        <a:custGeom>
                          <a:avLst/>
                          <a:gdLst/>
                          <a:ahLst/>
                          <a:cxnLst/>
                          <a:rect l="l" t="t" r="r" b="b"/>
                          <a:pathLst>
                            <a:path w="2962275">
                              <a:moveTo>
                                <a:pt x="0" y="0"/>
                              </a:moveTo>
                              <a:lnTo>
                                <a:pt x="2962275"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11C0AE40" id="Graphic 450" o:spid="_x0000_s1026" style="position:absolute;margin-left:43.25pt;margin-top:19.1pt;width:233.2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2962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" path="m,l2962275,e" filled="f" strokecolor="#221f1f" strokeweight=".07617mm">
                <v:path arrowok="t"/>
                <w10:wrap type="topAndBottom" anchorx="page"/>
              </v:shape>
            </w:pict>
          </mc:Fallback>
        </mc:AlternateContent>
      </w:r>
    </w:p>
    <w:p w:rsidR="007F6DF9" w:rsidRDefault="00A43FBC">
      <w:pPr>
        <w:spacing w:before="229" w:line="235" w:lineRule="auto"/>
        <w:ind w:left="708" w:right="306"/>
        <w:jc w:val="both"/>
        <w:rPr>
          <w:i/>
          <w:sz w:val="16"/>
        </w:rPr>
      </w:pPr>
      <w:r>
        <w:rPr>
          <w:color w:val="221F1F"/>
          <w:position w:val="8"/>
          <w:sz w:val="8"/>
        </w:rPr>
        <w:t>1</w:t>
      </w:r>
      <w:r>
        <w:rPr>
          <w:i/>
          <w:color w:val="221F1F"/>
          <w:sz w:val="16"/>
        </w:rPr>
        <w:t>The</w:t>
      </w:r>
      <w:r>
        <w:rPr>
          <w:i/>
          <w:color w:val="221F1F"/>
          <w:spacing w:val="-3"/>
          <w:sz w:val="16"/>
        </w:rPr>
        <w:t xml:space="preserve"> </w:t>
      </w:r>
      <w:r>
        <w:rPr>
          <w:i/>
          <w:color w:val="221F1F"/>
          <w:sz w:val="16"/>
        </w:rPr>
        <w:t>Guarantor</w:t>
      </w:r>
      <w:r>
        <w:rPr>
          <w:i/>
          <w:color w:val="221F1F"/>
          <w:spacing w:val="-3"/>
          <w:sz w:val="16"/>
        </w:rPr>
        <w:t xml:space="preserve"> </w:t>
      </w:r>
      <w:r>
        <w:rPr>
          <w:i/>
          <w:color w:val="221F1F"/>
          <w:sz w:val="16"/>
        </w:rPr>
        <w:t>shall</w:t>
      </w:r>
      <w:r>
        <w:rPr>
          <w:i/>
          <w:color w:val="221F1F"/>
          <w:spacing w:val="-2"/>
          <w:sz w:val="16"/>
        </w:rPr>
        <w:t xml:space="preserve"> </w:t>
      </w:r>
      <w:r>
        <w:rPr>
          <w:i/>
          <w:color w:val="221F1F"/>
          <w:sz w:val="16"/>
        </w:rPr>
        <w:t>insert</w:t>
      </w:r>
      <w:r>
        <w:rPr>
          <w:i/>
          <w:color w:val="221F1F"/>
          <w:spacing w:val="-2"/>
          <w:sz w:val="16"/>
        </w:rPr>
        <w:t xml:space="preserve"> </w:t>
      </w:r>
      <w:r>
        <w:rPr>
          <w:i/>
          <w:color w:val="221F1F"/>
          <w:sz w:val="16"/>
        </w:rPr>
        <w:t>an</w:t>
      </w:r>
      <w:r>
        <w:rPr>
          <w:i/>
          <w:color w:val="221F1F"/>
          <w:spacing w:val="-2"/>
          <w:sz w:val="16"/>
        </w:rPr>
        <w:t xml:space="preserve"> </w:t>
      </w:r>
      <w:r>
        <w:rPr>
          <w:i/>
          <w:color w:val="221F1F"/>
          <w:sz w:val="16"/>
        </w:rPr>
        <w:t>amount representing</w:t>
      </w:r>
      <w:r>
        <w:rPr>
          <w:i/>
          <w:color w:val="221F1F"/>
          <w:spacing w:val="-2"/>
          <w:sz w:val="16"/>
        </w:rPr>
        <w:t xml:space="preserve"> </w:t>
      </w:r>
      <w:r>
        <w:rPr>
          <w:i/>
          <w:color w:val="221F1F"/>
          <w:sz w:val="16"/>
        </w:rPr>
        <w:t>the</w:t>
      </w:r>
      <w:r>
        <w:rPr>
          <w:i/>
          <w:color w:val="221F1F"/>
          <w:spacing w:val="-3"/>
          <w:sz w:val="16"/>
        </w:rPr>
        <w:t xml:space="preserve"> </w:t>
      </w:r>
      <w:r>
        <w:rPr>
          <w:i/>
          <w:color w:val="221F1F"/>
          <w:sz w:val="16"/>
        </w:rPr>
        <w:t>percentage</w:t>
      </w:r>
      <w:r>
        <w:rPr>
          <w:i/>
          <w:color w:val="221F1F"/>
          <w:spacing w:val="-3"/>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3"/>
          <w:sz w:val="16"/>
        </w:rPr>
        <w:t xml:space="preserve"> </w:t>
      </w:r>
      <w:r>
        <w:rPr>
          <w:i/>
          <w:color w:val="221F1F"/>
          <w:sz w:val="16"/>
        </w:rPr>
        <w:t>Accepted</w:t>
      </w:r>
      <w:r>
        <w:rPr>
          <w:i/>
          <w:color w:val="221F1F"/>
          <w:spacing w:val="-2"/>
          <w:sz w:val="16"/>
        </w:rPr>
        <w:t xml:space="preserve"> </w:t>
      </w:r>
      <w:r>
        <w:rPr>
          <w:i/>
          <w:color w:val="221F1F"/>
          <w:sz w:val="16"/>
        </w:rPr>
        <w:t>Contract Amount specified</w:t>
      </w:r>
      <w:r>
        <w:rPr>
          <w:i/>
          <w:color w:val="221F1F"/>
          <w:spacing w:val="-2"/>
          <w:sz w:val="16"/>
        </w:rPr>
        <w:t xml:space="preserve"> </w:t>
      </w:r>
      <w:r>
        <w:rPr>
          <w:i/>
          <w:color w:val="221F1F"/>
          <w:sz w:val="16"/>
        </w:rPr>
        <w:t>in</w:t>
      </w:r>
      <w:r>
        <w:rPr>
          <w:i/>
          <w:color w:val="221F1F"/>
          <w:spacing w:val="-4"/>
          <w:sz w:val="16"/>
        </w:rPr>
        <w:t xml:space="preserve"> </w:t>
      </w:r>
      <w:r>
        <w:rPr>
          <w:i/>
          <w:color w:val="221F1F"/>
          <w:sz w:val="16"/>
        </w:rPr>
        <w:t>the Letter</w:t>
      </w:r>
      <w:r>
        <w:rPr>
          <w:i/>
          <w:color w:val="221F1F"/>
          <w:spacing w:val="-3"/>
          <w:sz w:val="16"/>
        </w:rPr>
        <w:t xml:space="preserve"> </w:t>
      </w:r>
      <w:r>
        <w:rPr>
          <w:i/>
          <w:color w:val="221F1F"/>
          <w:sz w:val="16"/>
        </w:rPr>
        <w:t>of</w:t>
      </w:r>
      <w:r>
        <w:rPr>
          <w:i/>
          <w:color w:val="221F1F"/>
          <w:spacing w:val="-2"/>
          <w:sz w:val="16"/>
        </w:rPr>
        <w:t xml:space="preserve"> </w:t>
      </w:r>
      <w:r>
        <w:rPr>
          <w:i/>
          <w:color w:val="221F1F"/>
          <w:sz w:val="16"/>
        </w:rPr>
        <w:t>Acceptance, less</w:t>
      </w:r>
      <w:r>
        <w:rPr>
          <w:i/>
          <w:color w:val="221F1F"/>
          <w:spacing w:val="-3"/>
          <w:sz w:val="16"/>
        </w:rPr>
        <w:t xml:space="preserve"> </w:t>
      </w:r>
      <w:r>
        <w:rPr>
          <w:i/>
          <w:color w:val="221F1F"/>
          <w:sz w:val="16"/>
        </w:rPr>
        <w:t>provisional sums,</w:t>
      </w:r>
      <w:r>
        <w:rPr>
          <w:i/>
          <w:color w:val="221F1F"/>
          <w:spacing w:val="-3"/>
          <w:sz w:val="16"/>
        </w:rPr>
        <w:t xml:space="preserve"> </w:t>
      </w:r>
      <w:r>
        <w:rPr>
          <w:i/>
          <w:color w:val="221F1F"/>
          <w:sz w:val="16"/>
        </w:rPr>
        <w:t>if</w:t>
      </w:r>
      <w:r>
        <w:rPr>
          <w:i/>
          <w:color w:val="221F1F"/>
          <w:spacing w:val="40"/>
          <w:sz w:val="16"/>
        </w:rPr>
        <w:t xml:space="preserve"> </w:t>
      </w:r>
      <w:r>
        <w:rPr>
          <w:i/>
          <w:color w:val="221F1F"/>
          <w:sz w:val="16"/>
        </w:rPr>
        <w:t>any, and denominated either in the currency of the Contract or a freely convertible currency acceptable to the Beneficiary.</w:t>
      </w:r>
    </w:p>
    <w:p w:rsidR="007F6DF9" w:rsidRDefault="00A43FBC">
      <w:pPr>
        <w:spacing w:before="31" w:line="230" w:lineRule="auto"/>
        <w:ind w:left="708" w:right="544"/>
        <w:jc w:val="both"/>
        <w:rPr>
          <w:i/>
          <w:sz w:val="16"/>
        </w:rPr>
      </w:pPr>
      <w:r>
        <w:rPr>
          <w:color w:val="221F1F"/>
          <w:position w:val="8"/>
          <w:sz w:val="8"/>
        </w:rPr>
        <w:t>2</w:t>
      </w:r>
      <w:r>
        <w:rPr>
          <w:i/>
          <w:color w:val="221F1F"/>
          <w:sz w:val="16"/>
        </w:rPr>
        <w:t>Insert the date twenty-eight days after the expected completion date as described in GC Clause 11.9. The Procuring Entity should note that in the event of an</w:t>
      </w:r>
      <w:r>
        <w:rPr>
          <w:i/>
          <w:color w:val="221F1F"/>
          <w:spacing w:val="40"/>
          <w:sz w:val="16"/>
        </w:rPr>
        <w:t xml:space="preserve"> </w:t>
      </w:r>
      <w:r>
        <w:rPr>
          <w:i/>
          <w:color w:val="221F1F"/>
          <w:sz w:val="16"/>
        </w:rPr>
        <w:t>extension</w:t>
      </w:r>
      <w:r>
        <w:rPr>
          <w:i/>
          <w:color w:val="221F1F"/>
          <w:spacing w:val="-5"/>
          <w:sz w:val="16"/>
        </w:rPr>
        <w:t xml:space="preserve"> </w:t>
      </w:r>
      <w:r>
        <w:rPr>
          <w:i/>
          <w:color w:val="221F1F"/>
          <w:sz w:val="16"/>
        </w:rPr>
        <w:t>of</w:t>
      </w:r>
      <w:r>
        <w:rPr>
          <w:i/>
          <w:color w:val="221F1F"/>
          <w:spacing w:val="-7"/>
          <w:sz w:val="16"/>
        </w:rPr>
        <w:t xml:space="preserve"> </w:t>
      </w:r>
      <w:r>
        <w:rPr>
          <w:i/>
          <w:color w:val="221F1F"/>
          <w:sz w:val="16"/>
        </w:rPr>
        <w:t>this</w:t>
      </w:r>
      <w:r>
        <w:rPr>
          <w:i/>
          <w:color w:val="221F1F"/>
          <w:spacing w:val="-8"/>
          <w:sz w:val="16"/>
        </w:rPr>
        <w:t xml:space="preserve"> </w:t>
      </w:r>
      <w:r>
        <w:rPr>
          <w:i/>
          <w:color w:val="221F1F"/>
          <w:sz w:val="16"/>
        </w:rPr>
        <w:t>date</w:t>
      </w:r>
      <w:r>
        <w:rPr>
          <w:i/>
          <w:color w:val="221F1F"/>
          <w:spacing w:val="-7"/>
          <w:sz w:val="16"/>
        </w:rPr>
        <w:t xml:space="preserve"> </w:t>
      </w:r>
      <w:r>
        <w:rPr>
          <w:i/>
          <w:color w:val="221F1F"/>
          <w:sz w:val="16"/>
        </w:rPr>
        <w:t>for</w:t>
      </w:r>
      <w:r>
        <w:rPr>
          <w:i/>
          <w:color w:val="221F1F"/>
          <w:spacing w:val="-8"/>
          <w:sz w:val="16"/>
        </w:rPr>
        <w:t xml:space="preserve"> </w:t>
      </w:r>
      <w:r>
        <w:rPr>
          <w:i/>
          <w:color w:val="221F1F"/>
          <w:sz w:val="16"/>
        </w:rPr>
        <w:t>completion</w:t>
      </w:r>
      <w:r>
        <w:rPr>
          <w:i/>
          <w:color w:val="221F1F"/>
          <w:spacing w:val="-8"/>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7"/>
          <w:sz w:val="16"/>
        </w:rPr>
        <w:t xml:space="preserve"> </w:t>
      </w:r>
      <w:r>
        <w:rPr>
          <w:i/>
          <w:color w:val="221F1F"/>
          <w:sz w:val="16"/>
        </w:rPr>
        <w:t>Contract,</w:t>
      </w:r>
      <w:r>
        <w:rPr>
          <w:i/>
          <w:color w:val="221F1F"/>
          <w:spacing w:val="-6"/>
          <w:sz w:val="16"/>
        </w:rPr>
        <w:t xml:space="preserve"> </w:t>
      </w:r>
      <w:r>
        <w:rPr>
          <w:i/>
          <w:color w:val="221F1F"/>
          <w:sz w:val="16"/>
        </w:rPr>
        <w:t>the</w:t>
      </w:r>
      <w:r>
        <w:rPr>
          <w:i/>
          <w:color w:val="221F1F"/>
          <w:spacing w:val="-7"/>
          <w:sz w:val="16"/>
        </w:rPr>
        <w:t xml:space="preserve"> </w:t>
      </w:r>
      <w:r>
        <w:rPr>
          <w:i/>
          <w:color w:val="221F1F"/>
          <w:sz w:val="16"/>
        </w:rPr>
        <w:t>Procuring</w:t>
      </w:r>
      <w:r>
        <w:rPr>
          <w:i/>
          <w:color w:val="221F1F"/>
          <w:spacing w:val="-4"/>
          <w:sz w:val="16"/>
        </w:rPr>
        <w:t xml:space="preserve"> </w:t>
      </w:r>
      <w:r>
        <w:rPr>
          <w:i/>
          <w:color w:val="221F1F"/>
          <w:sz w:val="16"/>
        </w:rPr>
        <w:t>Entity</w:t>
      </w:r>
      <w:r>
        <w:rPr>
          <w:i/>
          <w:color w:val="221F1F"/>
          <w:spacing w:val="-7"/>
          <w:sz w:val="16"/>
        </w:rPr>
        <w:t xml:space="preserve"> </w:t>
      </w:r>
      <w:r>
        <w:rPr>
          <w:i/>
          <w:color w:val="221F1F"/>
          <w:sz w:val="16"/>
        </w:rPr>
        <w:t>would</w:t>
      </w:r>
      <w:r>
        <w:rPr>
          <w:i/>
          <w:color w:val="221F1F"/>
          <w:spacing w:val="-9"/>
          <w:sz w:val="16"/>
        </w:rPr>
        <w:t xml:space="preserve"> </w:t>
      </w:r>
      <w:r>
        <w:rPr>
          <w:i/>
          <w:color w:val="221F1F"/>
          <w:sz w:val="16"/>
        </w:rPr>
        <w:t>need</w:t>
      </w:r>
      <w:r>
        <w:rPr>
          <w:i/>
          <w:color w:val="221F1F"/>
          <w:spacing w:val="-6"/>
          <w:sz w:val="16"/>
        </w:rPr>
        <w:t xml:space="preserve"> </w:t>
      </w:r>
      <w:r>
        <w:rPr>
          <w:i/>
          <w:color w:val="221F1F"/>
          <w:sz w:val="16"/>
        </w:rPr>
        <w:t>to</w:t>
      </w:r>
      <w:r>
        <w:rPr>
          <w:i/>
          <w:color w:val="221F1F"/>
          <w:spacing w:val="-4"/>
          <w:sz w:val="16"/>
        </w:rPr>
        <w:t xml:space="preserve"> </w:t>
      </w:r>
      <w:r>
        <w:rPr>
          <w:i/>
          <w:color w:val="221F1F"/>
          <w:sz w:val="16"/>
        </w:rPr>
        <w:t>request</w:t>
      </w:r>
      <w:r>
        <w:rPr>
          <w:i/>
          <w:color w:val="221F1F"/>
          <w:spacing w:val="-7"/>
          <w:sz w:val="16"/>
        </w:rPr>
        <w:t xml:space="preserve"> </w:t>
      </w:r>
      <w:r>
        <w:rPr>
          <w:i/>
          <w:color w:val="221F1F"/>
          <w:sz w:val="16"/>
        </w:rPr>
        <w:t>an</w:t>
      </w:r>
      <w:r>
        <w:rPr>
          <w:i/>
          <w:color w:val="221F1F"/>
          <w:spacing w:val="-7"/>
          <w:sz w:val="16"/>
        </w:rPr>
        <w:t xml:space="preserve"> </w:t>
      </w:r>
      <w:r>
        <w:rPr>
          <w:i/>
          <w:color w:val="221F1F"/>
          <w:sz w:val="16"/>
        </w:rPr>
        <w:t>extension</w:t>
      </w:r>
      <w:r>
        <w:rPr>
          <w:i/>
          <w:color w:val="221F1F"/>
          <w:spacing w:val="-6"/>
          <w:sz w:val="16"/>
        </w:rPr>
        <w:t xml:space="preserve"> </w:t>
      </w:r>
      <w:r>
        <w:rPr>
          <w:i/>
          <w:color w:val="221F1F"/>
          <w:sz w:val="16"/>
        </w:rPr>
        <w:t>of</w:t>
      </w:r>
      <w:r>
        <w:rPr>
          <w:i/>
          <w:color w:val="221F1F"/>
          <w:spacing w:val="-7"/>
          <w:sz w:val="16"/>
        </w:rPr>
        <w:t xml:space="preserve"> </w:t>
      </w:r>
      <w:r>
        <w:rPr>
          <w:i/>
          <w:color w:val="221F1F"/>
          <w:sz w:val="16"/>
        </w:rPr>
        <w:t>this</w:t>
      </w:r>
      <w:r>
        <w:rPr>
          <w:i/>
          <w:color w:val="221F1F"/>
          <w:spacing w:val="-8"/>
          <w:sz w:val="16"/>
        </w:rPr>
        <w:t xml:space="preserve"> </w:t>
      </w:r>
      <w:r>
        <w:rPr>
          <w:i/>
          <w:color w:val="221F1F"/>
          <w:sz w:val="16"/>
        </w:rPr>
        <w:t>guarantee</w:t>
      </w:r>
      <w:r>
        <w:rPr>
          <w:i/>
          <w:color w:val="221F1F"/>
          <w:spacing w:val="-6"/>
          <w:sz w:val="16"/>
        </w:rPr>
        <w:t xml:space="preserve"> </w:t>
      </w:r>
      <w:r>
        <w:rPr>
          <w:i/>
          <w:color w:val="221F1F"/>
          <w:sz w:val="16"/>
        </w:rPr>
        <w:t>from</w:t>
      </w:r>
      <w:r>
        <w:rPr>
          <w:i/>
          <w:color w:val="221F1F"/>
          <w:spacing w:val="-9"/>
          <w:sz w:val="16"/>
        </w:rPr>
        <w:t xml:space="preserve"> </w:t>
      </w:r>
      <w:r>
        <w:rPr>
          <w:i/>
          <w:color w:val="221F1F"/>
          <w:sz w:val="16"/>
        </w:rPr>
        <w:t>the</w:t>
      </w:r>
      <w:r>
        <w:rPr>
          <w:i/>
          <w:color w:val="221F1F"/>
          <w:spacing w:val="-7"/>
          <w:sz w:val="16"/>
        </w:rPr>
        <w:t xml:space="preserve"> </w:t>
      </w:r>
      <w:r>
        <w:rPr>
          <w:i/>
          <w:color w:val="221F1F"/>
          <w:sz w:val="16"/>
        </w:rPr>
        <w:t>Guarantor.</w:t>
      </w:r>
      <w:r>
        <w:rPr>
          <w:i/>
          <w:color w:val="221F1F"/>
          <w:spacing w:val="-7"/>
          <w:sz w:val="16"/>
        </w:rPr>
        <w:t xml:space="preserve"> </w:t>
      </w:r>
      <w:r>
        <w:rPr>
          <w:i/>
          <w:color w:val="221F1F"/>
          <w:sz w:val="16"/>
        </w:rPr>
        <w:t>Such</w:t>
      </w:r>
      <w:r>
        <w:rPr>
          <w:i/>
          <w:color w:val="221F1F"/>
          <w:spacing w:val="-3"/>
          <w:sz w:val="16"/>
        </w:rPr>
        <w:t xml:space="preserve"> </w:t>
      </w:r>
      <w:r>
        <w:rPr>
          <w:i/>
          <w:color w:val="221F1F"/>
          <w:sz w:val="16"/>
        </w:rPr>
        <w:t>request</w:t>
      </w:r>
      <w:r>
        <w:rPr>
          <w:i/>
          <w:color w:val="221F1F"/>
          <w:spacing w:val="40"/>
          <w:sz w:val="16"/>
        </w:rPr>
        <w:t xml:space="preserve"> </w:t>
      </w:r>
      <w:r>
        <w:rPr>
          <w:i/>
          <w:color w:val="221F1F"/>
          <w:sz w:val="16"/>
        </w:rPr>
        <w:t>must be in writing and must be made prior to the expiration date established in the guarantee.</w:t>
      </w:r>
    </w:p>
    <w:p w:rsidR="007F6DF9" w:rsidRDefault="007F6DF9">
      <w:pPr>
        <w:spacing w:line="230" w:lineRule="auto"/>
        <w:jc w:val="both"/>
        <w:rPr>
          <w:i/>
          <w:sz w:val="16"/>
        </w:rPr>
        <w:sectPr w:rsidR="007F6DF9">
          <w:pgSz w:w="11920" w:h="16850"/>
          <w:pgMar w:top="360" w:right="283" w:bottom="620" w:left="141" w:header="0" w:footer="437" w:gutter="0"/>
          <w:cols w:space="720"/>
        </w:sectPr>
      </w:pPr>
    </w:p>
    <w:p w:rsidR="007F6DF9" w:rsidRDefault="007F6DF9">
      <w:pPr>
        <w:pStyle w:val="BodyText"/>
        <w:spacing w:before="182"/>
        <w:rPr>
          <w:i/>
          <w:sz w:val="24"/>
        </w:rPr>
      </w:pPr>
    </w:p>
    <w:p w:rsidR="007F6DF9" w:rsidRDefault="00A43FBC">
      <w:pPr>
        <w:pStyle w:val="Heading7"/>
        <w:ind w:left="715"/>
      </w:pPr>
      <w:r>
        <w:rPr>
          <w:color w:val="221F1F"/>
          <w:u w:val="single" w:color="221F1F"/>
        </w:rPr>
        <w:t>FORM</w:t>
      </w:r>
      <w:r>
        <w:rPr>
          <w:color w:val="221F1F"/>
          <w:spacing w:val="-4"/>
          <w:u w:val="single" w:color="221F1F"/>
        </w:rPr>
        <w:t xml:space="preserve"> </w:t>
      </w:r>
      <w:r>
        <w:rPr>
          <w:color w:val="221F1F"/>
          <w:u w:val="single" w:color="221F1F"/>
        </w:rPr>
        <w:t>No.</w:t>
      </w:r>
      <w:r>
        <w:rPr>
          <w:color w:val="221F1F"/>
          <w:spacing w:val="-1"/>
          <w:u w:val="single" w:color="221F1F"/>
        </w:rPr>
        <w:t xml:space="preserve"> </w:t>
      </w:r>
      <w:r>
        <w:rPr>
          <w:color w:val="221F1F"/>
          <w:u w:val="single" w:color="221F1F"/>
        </w:rPr>
        <w:t>6-</w:t>
      </w:r>
      <w:r>
        <w:rPr>
          <w:color w:val="221F1F"/>
          <w:spacing w:val="-1"/>
          <w:u w:val="single" w:color="221F1F"/>
        </w:rPr>
        <w:t xml:space="preserve"> </w:t>
      </w:r>
      <w:r>
        <w:rPr>
          <w:color w:val="221F1F"/>
          <w:u w:val="single" w:color="221F1F"/>
        </w:rPr>
        <w:t>PERFORMANCE</w:t>
      </w:r>
      <w:r>
        <w:rPr>
          <w:color w:val="221F1F"/>
          <w:spacing w:val="1"/>
          <w:u w:val="single" w:color="221F1F"/>
        </w:rPr>
        <w:t xml:space="preserve"> </w:t>
      </w:r>
      <w:r>
        <w:rPr>
          <w:color w:val="221F1F"/>
          <w:spacing w:val="-2"/>
          <w:u w:val="single" w:color="221F1F"/>
        </w:rPr>
        <w:t>SECURITY</w:t>
      </w:r>
    </w:p>
    <w:p w:rsidR="007F6DF9" w:rsidRDefault="00A43FBC">
      <w:pPr>
        <w:pStyle w:val="Heading9"/>
        <w:spacing w:before="237"/>
        <w:ind w:left="715" w:firstLine="0"/>
      </w:pPr>
      <w:r>
        <w:rPr>
          <w:noProof/>
        </w:rPr>
        <mc:AlternateContent>
          <mc:Choice Requires="wps">
            <w:drawing>
              <wp:anchor distT="0" distB="0" distL="0" distR="0" simplePos="0" relativeHeight="15769600" behindDoc="0" locked="0" layoutInCell="1" allowOverlap="1">
                <wp:simplePos x="0" y="0"/>
                <wp:positionH relativeFrom="page">
                  <wp:posOffset>543559</wp:posOffset>
                </wp:positionH>
                <wp:positionV relativeFrom="paragraph">
                  <wp:posOffset>293018</wp:posOffset>
                </wp:positionV>
                <wp:extent cx="46355" cy="635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350"/>
                        </a:xfrm>
                        <a:custGeom>
                          <a:avLst/>
                          <a:gdLst/>
                          <a:ahLst/>
                          <a:cxnLst/>
                          <a:rect l="l" t="t" r="r" b="b"/>
                          <a:pathLst>
                            <a:path w="46355" h="6350">
                              <a:moveTo>
                                <a:pt x="46354" y="0"/>
                              </a:moveTo>
                              <a:lnTo>
                                <a:pt x="0" y="0"/>
                              </a:lnTo>
                              <a:lnTo>
                                <a:pt x="0" y="6350"/>
                              </a:lnTo>
                              <a:lnTo>
                                <a:pt x="46354" y="6350"/>
                              </a:lnTo>
                              <a:lnTo>
                                <a:pt x="46354" y="0"/>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shape w14:anchorId="317F6720" id="Graphic 451" o:spid="_x0000_s1026" style="position:absolute;margin-left:42.8pt;margin-top:23.05pt;width:3.65pt;height:.5pt;z-index:15769600;visibility:visible;mso-wrap-style:square;mso-wrap-distance-left:0;mso-wrap-distance-top:0;mso-wrap-distance-right:0;mso-wrap-distance-bottom:0;mso-position-horizontal:absolute;mso-position-horizontal-relative:page;mso-position-vertical:absolute;mso-position-vertical-relative:text;v-text-anchor:top" coordsize="463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" path="m46354,l,,,6350r46354,l46354,xe" fillcolor="#221f1f" stroked="f">
                <v:path arrowok="t"/>
                <w10:wrap anchorx="page"/>
              </v:shape>
            </w:pict>
          </mc:Fallback>
        </mc:AlternateContent>
      </w:r>
      <w:r>
        <w:rPr>
          <w:color w:val="221F1F"/>
        </w:rPr>
        <w:t>[Option</w:t>
      </w:r>
      <w:r>
        <w:rPr>
          <w:color w:val="221F1F"/>
          <w:spacing w:val="-7"/>
        </w:rPr>
        <w:t xml:space="preserve"> </w:t>
      </w:r>
      <w:r>
        <w:rPr>
          <w:color w:val="221F1F"/>
        </w:rPr>
        <w:t>2–</w:t>
      </w:r>
      <w:r>
        <w:rPr>
          <w:color w:val="221F1F"/>
          <w:spacing w:val="-3"/>
        </w:rPr>
        <w:t xml:space="preserve"> </w:t>
      </w:r>
      <w:r>
        <w:rPr>
          <w:color w:val="221F1F"/>
        </w:rPr>
        <w:t>Performance</w:t>
      </w:r>
      <w:r>
        <w:rPr>
          <w:color w:val="221F1F"/>
          <w:spacing w:val="-5"/>
        </w:rPr>
        <w:t xml:space="preserve"> </w:t>
      </w:r>
      <w:r>
        <w:rPr>
          <w:color w:val="221F1F"/>
          <w:spacing w:val="-4"/>
        </w:rPr>
        <w:t>Bond]</w:t>
      </w:r>
    </w:p>
    <w:p w:rsidR="007F6DF9" w:rsidRDefault="00A43FBC">
      <w:pPr>
        <w:spacing w:before="240" w:line="230" w:lineRule="auto"/>
        <w:ind w:left="715" w:right="575"/>
        <w:rPr>
          <w:i/>
        </w:rPr>
      </w:pPr>
      <w:r>
        <w:rPr>
          <w:i/>
          <w:color w:val="221F1F"/>
        </w:rPr>
        <w:t>[</w:t>
      </w:r>
      <w:r>
        <w:rPr>
          <w:b/>
          <w:i/>
          <w:color w:val="221F1F"/>
        </w:rPr>
        <w:t>Note:</w:t>
      </w:r>
      <w:r>
        <w:rPr>
          <w:b/>
          <w:i/>
          <w:color w:val="221F1F"/>
          <w:spacing w:val="-2"/>
        </w:rPr>
        <w:t xml:space="preserve"> </w:t>
      </w:r>
      <w:r>
        <w:rPr>
          <w:i/>
          <w:color w:val="221F1F"/>
        </w:rPr>
        <w:t>Procuring</w:t>
      </w:r>
      <w:r>
        <w:rPr>
          <w:i/>
          <w:color w:val="221F1F"/>
          <w:spacing w:val="-3"/>
        </w:rPr>
        <w:t xml:space="preserve"> </w:t>
      </w:r>
      <w:r>
        <w:rPr>
          <w:i/>
          <w:color w:val="221F1F"/>
        </w:rPr>
        <w:t>Entities</w:t>
      </w:r>
      <w:r>
        <w:rPr>
          <w:i/>
          <w:color w:val="221F1F"/>
          <w:spacing w:val="-2"/>
        </w:rPr>
        <w:t xml:space="preserve"> </w:t>
      </w:r>
      <w:r>
        <w:rPr>
          <w:i/>
          <w:color w:val="221F1F"/>
        </w:rPr>
        <w:t>a</w:t>
      </w:r>
      <w:r>
        <w:rPr>
          <w:i/>
          <w:color w:val="221F1F"/>
          <w:spacing w:val="-9"/>
        </w:rPr>
        <w:t xml:space="preserve"> </w:t>
      </w:r>
      <w:proofErr w:type="spellStart"/>
      <w:r>
        <w:rPr>
          <w:i/>
          <w:color w:val="221F1F"/>
        </w:rPr>
        <w:t>readvised</w:t>
      </w:r>
      <w:proofErr w:type="spellEnd"/>
      <w:r>
        <w:rPr>
          <w:i/>
          <w:color w:val="221F1F"/>
          <w:spacing w:val="-5"/>
        </w:rPr>
        <w:t xml:space="preserve"> </w:t>
      </w:r>
      <w:r>
        <w:rPr>
          <w:i/>
          <w:color w:val="221F1F"/>
        </w:rPr>
        <w:t>to</w:t>
      </w:r>
      <w:r>
        <w:rPr>
          <w:i/>
          <w:color w:val="221F1F"/>
          <w:spacing w:val="-3"/>
        </w:rPr>
        <w:t xml:space="preserve"> </w:t>
      </w:r>
      <w:r>
        <w:rPr>
          <w:i/>
          <w:color w:val="221F1F"/>
        </w:rPr>
        <w:t>use</w:t>
      </w:r>
      <w:r>
        <w:rPr>
          <w:i/>
          <w:color w:val="221F1F"/>
          <w:spacing w:val="-2"/>
        </w:rPr>
        <w:t xml:space="preserve"> </w:t>
      </w:r>
      <w:r>
        <w:rPr>
          <w:i/>
          <w:color w:val="221F1F"/>
        </w:rPr>
        <w:t>Performance</w:t>
      </w:r>
      <w:r>
        <w:rPr>
          <w:i/>
          <w:color w:val="221F1F"/>
          <w:spacing w:val="-2"/>
        </w:rPr>
        <w:t xml:space="preserve"> </w:t>
      </w:r>
      <w:r>
        <w:rPr>
          <w:i/>
          <w:color w:val="221F1F"/>
        </w:rPr>
        <w:t>Security</w:t>
      </w:r>
      <w:r>
        <w:rPr>
          <w:i/>
          <w:color w:val="221F1F"/>
          <w:spacing w:val="-2"/>
        </w:rPr>
        <w:t xml:space="preserve"> </w:t>
      </w:r>
      <w:r>
        <w:rPr>
          <w:i/>
          <w:color w:val="221F1F"/>
        </w:rPr>
        <w:t>–</w:t>
      </w:r>
      <w:r>
        <w:rPr>
          <w:i/>
          <w:color w:val="221F1F"/>
          <w:spacing w:val="-3"/>
        </w:rPr>
        <w:t xml:space="preserve"> </w:t>
      </w:r>
      <w:proofErr w:type="spellStart"/>
      <w:r>
        <w:rPr>
          <w:i/>
          <w:color w:val="221F1F"/>
        </w:rPr>
        <w:t>Unconditiona</w:t>
      </w:r>
      <w:proofErr w:type="spellEnd"/>
      <w:r>
        <w:rPr>
          <w:i/>
          <w:color w:val="221F1F"/>
          <w:spacing w:val="-3"/>
        </w:rPr>
        <w:t xml:space="preserve"> </w:t>
      </w:r>
      <w:proofErr w:type="spellStart"/>
      <w:r>
        <w:rPr>
          <w:i/>
          <w:color w:val="221F1F"/>
        </w:rPr>
        <w:t>lDemand</w:t>
      </w:r>
      <w:proofErr w:type="spellEnd"/>
      <w:r>
        <w:rPr>
          <w:i/>
          <w:color w:val="221F1F"/>
          <w:spacing w:val="-3"/>
        </w:rPr>
        <w:t xml:space="preserve"> </w:t>
      </w:r>
      <w:r>
        <w:rPr>
          <w:i/>
          <w:color w:val="221F1F"/>
        </w:rPr>
        <w:t>Bank</w:t>
      </w:r>
      <w:r>
        <w:rPr>
          <w:i/>
          <w:color w:val="221F1F"/>
          <w:spacing w:val="-3"/>
        </w:rPr>
        <w:t xml:space="preserve"> </w:t>
      </w:r>
      <w:r>
        <w:rPr>
          <w:i/>
          <w:color w:val="221F1F"/>
        </w:rPr>
        <w:t>Guarantee</w:t>
      </w:r>
      <w:r>
        <w:rPr>
          <w:i/>
          <w:color w:val="221F1F"/>
          <w:spacing w:val="-3"/>
        </w:rPr>
        <w:t xml:space="preserve"> </w:t>
      </w:r>
      <w:proofErr w:type="spellStart"/>
      <w:r>
        <w:rPr>
          <w:i/>
          <w:color w:val="221F1F"/>
        </w:rPr>
        <w:t>in stead</w:t>
      </w:r>
      <w:proofErr w:type="spellEnd"/>
      <w:r>
        <w:rPr>
          <w:i/>
          <w:color w:val="221F1F"/>
        </w:rPr>
        <w:t xml:space="preserve"> of Performance Bond due to difficulties involved in calling Bond holder to action]</w:t>
      </w:r>
    </w:p>
    <w:p w:rsidR="007F6DF9" w:rsidRDefault="007F6DF9">
      <w:pPr>
        <w:pStyle w:val="BodyText"/>
        <w:spacing w:before="132"/>
        <w:rPr>
          <w:i/>
        </w:rPr>
      </w:pPr>
    </w:p>
    <w:p w:rsidR="007F6DF9" w:rsidRDefault="00A43FBC">
      <w:pPr>
        <w:tabs>
          <w:tab w:val="left" w:pos="1436"/>
          <w:tab w:val="left" w:pos="2156"/>
          <w:tab w:val="left" w:pos="3228"/>
          <w:tab w:val="left" w:pos="5715"/>
        </w:tabs>
        <w:spacing w:line="369" w:lineRule="auto"/>
        <w:ind w:left="715" w:right="5599"/>
        <w:rPr>
          <w:b/>
        </w:rPr>
      </w:pPr>
      <w:r>
        <w:rPr>
          <w:i/>
          <w:color w:val="221F1F"/>
        </w:rPr>
        <w:t xml:space="preserve">[Guarantor letterhead or SWIFT identifier code] </w:t>
      </w:r>
      <w:r>
        <w:rPr>
          <w:b/>
          <w:color w:val="221F1F"/>
          <w:spacing w:val="-2"/>
        </w:rPr>
        <w:t>Beneficiary:</w:t>
      </w:r>
      <w:r>
        <w:rPr>
          <w:b/>
          <w:color w:val="221F1F"/>
        </w:rPr>
        <w:tab/>
      </w:r>
      <w:r>
        <w:rPr>
          <w:i/>
          <w:color w:val="221F1F"/>
          <w:spacing w:val="-2"/>
        </w:rPr>
        <w:t>[</w:t>
      </w:r>
      <w:proofErr w:type="spellStart"/>
      <w:r>
        <w:rPr>
          <w:i/>
          <w:color w:val="221F1F"/>
          <w:spacing w:val="-2"/>
        </w:rPr>
        <w:t>insertnameandAddressof</w:t>
      </w:r>
      <w:r>
        <w:rPr>
          <w:color w:val="221F1F"/>
          <w:spacing w:val="-2"/>
        </w:rPr>
        <w:t>ProcuringEntity</w:t>
      </w:r>
      <w:proofErr w:type="spellEnd"/>
      <w:r>
        <w:rPr>
          <w:i/>
          <w:color w:val="221F1F"/>
          <w:spacing w:val="-2"/>
        </w:rPr>
        <w:t xml:space="preserve">] </w:t>
      </w:r>
      <w:r>
        <w:rPr>
          <w:b/>
          <w:color w:val="221F1F"/>
          <w:spacing w:val="-2"/>
        </w:rPr>
        <w:t>Date:</w:t>
      </w:r>
      <w:r>
        <w:rPr>
          <w:b/>
          <w:color w:val="221F1F"/>
        </w:rPr>
        <w:tab/>
      </w:r>
      <w:r>
        <w:rPr>
          <w:i/>
          <w:color w:val="221F1F"/>
          <w:u w:val="thick" w:color="211E1F"/>
        </w:rPr>
        <w:tab/>
      </w:r>
      <w:r>
        <w:rPr>
          <w:i/>
          <w:color w:val="221F1F"/>
          <w:u w:val="thick" w:color="211E1F"/>
        </w:rPr>
        <w:tab/>
      </w:r>
      <w:r>
        <w:rPr>
          <w:i/>
          <w:color w:val="221F1F"/>
        </w:rPr>
        <w:t xml:space="preserve">[Insert date of issue] </w:t>
      </w:r>
      <w:r>
        <w:rPr>
          <w:b/>
          <w:color w:val="221F1F"/>
        </w:rPr>
        <w:t xml:space="preserve">PERFORMANCE </w:t>
      </w:r>
      <w:proofErr w:type="spellStart"/>
      <w:r>
        <w:rPr>
          <w:b/>
          <w:color w:val="221F1F"/>
        </w:rPr>
        <w:t>BONDNo</w:t>
      </w:r>
      <w:proofErr w:type="spellEnd"/>
      <w:r>
        <w:rPr>
          <w:b/>
          <w:color w:val="221F1F"/>
        </w:rPr>
        <w:t>.:</w:t>
      </w:r>
      <w:r>
        <w:rPr>
          <w:b/>
          <w:color w:val="221F1F"/>
          <w:u w:val="single" w:color="211E1F"/>
        </w:rPr>
        <w:tab/>
      </w:r>
    </w:p>
    <w:p w:rsidR="007F6DF9" w:rsidRDefault="00A43FBC">
      <w:pPr>
        <w:spacing w:line="250" w:lineRule="exact"/>
        <w:ind w:left="715"/>
        <w:rPr>
          <w:i/>
        </w:rPr>
      </w:pPr>
      <w:r>
        <w:rPr>
          <w:b/>
          <w:color w:val="221F1F"/>
        </w:rPr>
        <w:t>Guarantor:</w:t>
      </w:r>
      <w:r>
        <w:rPr>
          <w:b/>
          <w:color w:val="221F1F"/>
          <w:spacing w:val="-2"/>
        </w:rPr>
        <w:t xml:space="preserve"> </w:t>
      </w:r>
      <w:r>
        <w:rPr>
          <w:i/>
          <w:color w:val="221F1F"/>
        </w:rPr>
        <w:t>[Insert</w:t>
      </w:r>
      <w:r>
        <w:rPr>
          <w:i/>
          <w:color w:val="221F1F"/>
          <w:spacing w:val="-3"/>
        </w:rPr>
        <w:t xml:space="preserve"> </w:t>
      </w:r>
      <w:r>
        <w:rPr>
          <w:i/>
          <w:color w:val="221F1F"/>
        </w:rPr>
        <w:t>name</w:t>
      </w:r>
      <w:r>
        <w:rPr>
          <w:i/>
          <w:color w:val="221F1F"/>
          <w:spacing w:val="-3"/>
        </w:rPr>
        <w:t xml:space="preserve"> </w:t>
      </w:r>
      <w:r>
        <w:rPr>
          <w:i/>
          <w:color w:val="221F1F"/>
        </w:rPr>
        <w:t>and</w:t>
      </w:r>
      <w:r>
        <w:rPr>
          <w:i/>
          <w:color w:val="221F1F"/>
          <w:spacing w:val="-2"/>
        </w:rPr>
        <w:t xml:space="preserve"> </w:t>
      </w:r>
      <w:r>
        <w:rPr>
          <w:i/>
          <w:color w:val="221F1F"/>
        </w:rPr>
        <w:t>address</w:t>
      </w:r>
      <w:r>
        <w:rPr>
          <w:i/>
          <w:color w:val="221F1F"/>
          <w:spacing w:val="-3"/>
        </w:rPr>
        <w:t xml:space="preserve"> </w:t>
      </w:r>
      <w:r>
        <w:rPr>
          <w:i/>
          <w:color w:val="221F1F"/>
        </w:rPr>
        <w:t>of</w:t>
      </w:r>
      <w:r>
        <w:rPr>
          <w:i/>
          <w:color w:val="221F1F"/>
          <w:spacing w:val="-1"/>
        </w:rPr>
        <w:t xml:space="preserve"> </w:t>
      </w:r>
      <w:r>
        <w:rPr>
          <w:i/>
          <w:color w:val="221F1F"/>
        </w:rPr>
        <w:t>place</w:t>
      </w:r>
      <w:r>
        <w:rPr>
          <w:i/>
          <w:color w:val="221F1F"/>
          <w:spacing w:val="-3"/>
        </w:rPr>
        <w:t xml:space="preserve"> </w:t>
      </w:r>
      <w:r>
        <w:rPr>
          <w:i/>
          <w:color w:val="221F1F"/>
        </w:rPr>
        <w:t>of</w:t>
      </w:r>
      <w:r>
        <w:rPr>
          <w:i/>
          <w:color w:val="221F1F"/>
          <w:spacing w:val="-4"/>
        </w:rPr>
        <w:t xml:space="preserve"> </w:t>
      </w:r>
      <w:r>
        <w:rPr>
          <w:i/>
          <w:color w:val="221F1F"/>
        </w:rPr>
        <w:t>issue,</w:t>
      </w:r>
      <w:r>
        <w:rPr>
          <w:i/>
          <w:color w:val="221F1F"/>
          <w:spacing w:val="-3"/>
        </w:rPr>
        <w:t xml:space="preserve"> </w:t>
      </w:r>
      <w:r>
        <w:rPr>
          <w:i/>
          <w:color w:val="221F1F"/>
        </w:rPr>
        <w:t>unless</w:t>
      </w:r>
      <w:r>
        <w:rPr>
          <w:i/>
          <w:color w:val="221F1F"/>
          <w:spacing w:val="-4"/>
        </w:rPr>
        <w:t xml:space="preserve"> </w:t>
      </w:r>
      <w:r>
        <w:rPr>
          <w:i/>
          <w:color w:val="221F1F"/>
        </w:rPr>
        <w:t>indicated</w:t>
      </w:r>
      <w:r>
        <w:rPr>
          <w:i/>
          <w:color w:val="221F1F"/>
          <w:spacing w:val="-5"/>
        </w:rPr>
        <w:t xml:space="preserve"> </w:t>
      </w:r>
      <w:r>
        <w:rPr>
          <w:i/>
          <w:color w:val="221F1F"/>
        </w:rPr>
        <w:t>in</w:t>
      </w:r>
      <w:r>
        <w:rPr>
          <w:i/>
          <w:color w:val="221F1F"/>
          <w:spacing w:val="-2"/>
        </w:rPr>
        <w:t xml:space="preserve"> </w:t>
      </w:r>
      <w:r>
        <w:rPr>
          <w:i/>
          <w:color w:val="221F1F"/>
        </w:rPr>
        <w:t>the</w:t>
      </w:r>
      <w:r>
        <w:rPr>
          <w:i/>
          <w:color w:val="221F1F"/>
          <w:spacing w:val="-2"/>
        </w:rPr>
        <w:t xml:space="preserve"> letterhead]</w:t>
      </w:r>
    </w:p>
    <w:p w:rsidR="007F6DF9" w:rsidRDefault="007F6DF9">
      <w:pPr>
        <w:pStyle w:val="BodyText"/>
        <w:spacing w:before="104"/>
        <w:rPr>
          <w:i/>
        </w:rPr>
      </w:pPr>
    </w:p>
    <w:p w:rsidR="007F6DF9" w:rsidRDefault="00A43FBC">
      <w:pPr>
        <w:pStyle w:val="ListParagraph"/>
        <w:numPr>
          <w:ilvl w:val="0"/>
          <w:numId w:val="14"/>
        </w:numPr>
        <w:tabs>
          <w:tab w:val="left" w:pos="1076"/>
          <w:tab w:val="left" w:pos="5916"/>
        </w:tabs>
        <w:spacing w:line="248" w:lineRule="exact"/>
        <w:ind w:left="1076" w:hanging="361"/>
        <w:jc w:val="both"/>
      </w:pPr>
      <w:r>
        <w:rPr>
          <w:color w:val="221F1F"/>
        </w:rPr>
        <w:t>By</w:t>
      </w:r>
      <w:r>
        <w:rPr>
          <w:color w:val="221F1F"/>
          <w:spacing w:val="-7"/>
        </w:rPr>
        <w:t xml:space="preserve"> </w:t>
      </w:r>
      <w:r>
        <w:rPr>
          <w:color w:val="221F1F"/>
        </w:rPr>
        <w:t>this</w:t>
      </w:r>
      <w:r>
        <w:rPr>
          <w:color w:val="221F1F"/>
          <w:spacing w:val="-3"/>
        </w:rPr>
        <w:t xml:space="preserve"> </w:t>
      </w:r>
      <w:r>
        <w:rPr>
          <w:color w:val="221F1F"/>
          <w:spacing w:val="-4"/>
        </w:rPr>
        <w:t>Bond</w:t>
      </w:r>
      <w:r>
        <w:rPr>
          <w:color w:val="221F1F"/>
          <w:u w:val="single" w:color="211E1E"/>
        </w:rPr>
        <w:tab/>
      </w:r>
      <w:r>
        <w:rPr>
          <w:color w:val="221F1F"/>
          <w:spacing w:val="-5"/>
        </w:rPr>
        <w:t xml:space="preserve"> </w:t>
      </w:r>
      <w:r>
        <w:rPr>
          <w:color w:val="221F1F"/>
        </w:rPr>
        <w:t>as</w:t>
      </w:r>
      <w:r>
        <w:rPr>
          <w:color w:val="221F1F"/>
          <w:spacing w:val="45"/>
        </w:rPr>
        <w:t xml:space="preserve"> </w:t>
      </w:r>
      <w:r>
        <w:rPr>
          <w:color w:val="221F1F"/>
        </w:rPr>
        <w:t>Principal</w:t>
      </w:r>
      <w:r>
        <w:rPr>
          <w:color w:val="221F1F"/>
          <w:spacing w:val="46"/>
        </w:rPr>
        <w:t xml:space="preserve"> </w:t>
      </w:r>
      <w:r>
        <w:rPr>
          <w:color w:val="221F1F"/>
        </w:rPr>
        <w:t>(hereinafter</w:t>
      </w:r>
      <w:r>
        <w:rPr>
          <w:color w:val="221F1F"/>
          <w:spacing w:val="45"/>
        </w:rPr>
        <w:t xml:space="preserve"> </w:t>
      </w:r>
      <w:r>
        <w:rPr>
          <w:color w:val="221F1F"/>
        </w:rPr>
        <w:t>called</w:t>
      </w:r>
      <w:r>
        <w:rPr>
          <w:color w:val="221F1F"/>
          <w:spacing w:val="45"/>
        </w:rPr>
        <w:t xml:space="preserve"> </w:t>
      </w:r>
      <w:r>
        <w:rPr>
          <w:color w:val="221F1F"/>
        </w:rPr>
        <w:t>“the</w:t>
      </w:r>
      <w:r>
        <w:rPr>
          <w:color w:val="221F1F"/>
          <w:spacing w:val="48"/>
        </w:rPr>
        <w:t xml:space="preserve"> </w:t>
      </w:r>
      <w:r>
        <w:rPr>
          <w:color w:val="221F1F"/>
        </w:rPr>
        <w:t>Contractor”)</w:t>
      </w:r>
      <w:r>
        <w:rPr>
          <w:color w:val="221F1F"/>
          <w:spacing w:val="46"/>
        </w:rPr>
        <w:t xml:space="preserve"> </w:t>
      </w:r>
      <w:r>
        <w:rPr>
          <w:color w:val="221F1F"/>
        </w:rPr>
        <w:t>and</w:t>
      </w:r>
    </w:p>
    <w:p w:rsidR="007F6DF9" w:rsidRDefault="00A43FBC">
      <w:pPr>
        <w:pStyle w:val="BodyText"/>
        <w:tabs>
          <w:tab w:val="left" w:pos="5154"/>
          <w:tab w:val="left" w:pos="8219"/>
        </w:tabs>
        <w:spacing w:before="3" w:line="230" w:lineRule="auto"/>
        <w:ind w:left="1083" w:right="560"/>
        <w:jc w:val="both"/>
      </w:pPr>
      <w:r>
        <w:rPr>
          <w:color w:val="221F1F"/>
          <w:u w:val="single" w:color="211E1F"/>
        </w:rPr>
        <w:tab/>
      </w:r>
      <w:r>
        <w:rPr>
          <w:color w:val="221F1F"/>
          <w:u w:val="single" w:color="211E1F"/>
        </w:rPr>
        <w:tab/>
      </w:r>
      <w:r>
        <w:rPr>
          <w:color w:val="221F1F"/>
        </w:rPr>
        <w:t>] as Surety (hereinafter called “the</w:t>
      </w:r>
      <w:r>
        <w:rPr>
          <w:color w:val="221F1F"/>
          <w:spacing w:val="-2"/>
        </w:rPr>
        <w:t xml:space="preserve"> </w:t>
      </w:r>
      <w:r>
        <w:rPr>
          <w:color w:val="221F1F"/>
        </w:rPr>
        <w:t>Surety”),are</w:t>
      </w:r>
      <w:r>
        <w:rPr>
          <w:color w:val="221F1F"/>
          <w:spacing w:val="-1"/>
        </w:rPr>
        <w:t xml:space="preserve"> </w:t>
      </w:r>
      <w:r>
        <w:rPr>
          <w:color w:val="221F1F"/>
        </w:rPr>
        <w:t>held</w:t>
      </w:r>
      <w:r>
        <w:rPr>
          <w:color w:val="221F1F"/>
          <w:spacing w:val="-4"/>
        </w:rPr>
        <w:t xml:space="preserve"> </w:t>
      </w:r>
      <w:r>
        <w:rPr>
          <w:color w:val="221F1F"/>
        </w:rPr>
        <w:t>and</w:t>
      </w:r>
      <w:r>
        <w:rPr>
          <w:color w:val="221F1F"/>
          <w:spacing w:val="-4"/>
        </w:rPr>
        <w:t xml:space="preserve"> </w:t>
      </w:r>
      <w:r>
        <w:rPr>
          <w:color w:val="221F1F"/>
        </w:rPr>
        <w:t>firmly</w:t>
      </w:r>
      <w:r>
        <w:rPr>
          <w:color w:val="221F1F"/>
          <w:spacing w:val="-2"/>
        </w:rPr>
        <w:t xml:space="preserve"> </w:t>
      </w:r>
      <w:r>
        <w:rPr>
          <w:color w:val="221F1F"/>
        </w:rPr>
        <w:t>bound</w:t>
      </w:r>
      <w:r>
        <w:rPr>
          <w:color w:val="221F1F"/>
          <w:spacing w:val="-2"/>
        </w:rPr>
        <w:t xml:space="preserve"> </w:t>
      </w:r>
      <w:r>
        <w:rPr>
          <w:color w:val="221F1F"/>
        </w:rPr>
        <w:t>unto</w:t>
      </w:r>
      <w:r>
        <w:rPr>
          <w:noProof/>
          <w:color w:val="221F1F"/>
          <w:spacing w:val="-3"/>
          <w:position w:val="-2"/>
        </w:rPr>
        <w:drawing>
          <wp:inline distT="0" distB="0" distL="0" distR="0">
            <wp:extent cx="82296" cy="6096"/>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36" cstate="print"/>
                    <a:stretch>
                      <a:fillRect/>
                    </a:stretch>
                  </pic:blipFill>
                  <pic:spPr>
                    <a:xfrm>
                      <a:off x="0" y="0"/>
                      <a:ext cx="82296" cy="6096"/>
                    </a:xfrm>
                    <a:prstGeom prst="rect">
                      <a:avLst/>
                    </a:prstGeom>
                  </pic:spPr>
                </pic:pic>
              </a:graphicData>
            </a:graphic>
          </wp:inline>
        </w:drawing>
      </w:r>
      <w:r>
        <w:rPr>
          <w:color w:val="221F1F"/>
        </w:rPr>
        <w:t xml:space="preserve">] as </w:t>
      </w:r>
      <w:proofErr w:type="spellStart"/>
      <w:r>
        <w:rPr>
          <w:color w:val="221F1F"/>
        </w:rPr>
        <w:t>Obligee</w:t>
      </w:r>
      <w:proofErr w:type="spellEnd"/>
      <w:r>
        <w:rPr>
          <w:color w:val="221F1F"/>
        </w:rPr>
        <w:t xml:space="preserve"> (hereinafter called “the Procuring Entity”) in the amount of</w:t>
      </w:r>
      <w:r>
        <w:rPr>
          <w:color w:val="221F1F"/>
          <w:u w:val="single" w:color="211E1F"/>
        </w:rPr>
        <w:tab/>
      </w:r>
      <w:r>
        <w:rPr>
          <w:color w:val="221F1F"/>
        </w:rPr>
        <w:t xml:space="preserve">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w:t>
      </w:r>
      <w:r>
        <w:rPr>
          <w:color w:val="221F1F"/>
          <w:spacing w:val="-2"/>
        </w:rPr>
        <w:t>presents.</w:t>
      </w:r>
    </w:p>
    <w:p w:rsidR="007F6DF9" w:rsidRDefault="007F6DF9">
      <w:pPr>
        <w:pStyle w:val="BodyText"/>
        <w:spacing w:before="66"/>
      </w:pPr>
    </w:p>
    <w:p w:rsidR="007F6DF9" w:rsidRDefault="00A43FBC">
      <w:pPr>
        <w:pStyle w:val="ListParagraph"/>
        <w:numPr>
          <w:ilvl w:val="0"/>
          <w:numId w:val="14"/>
        </w:numPr>
        <w:tabs>
          <w:tab w:val="left" w:pos="1076"/>
          <w:tab w:val="left" w:pos="1083"/>
          <w:tab w:val="left" w:pos="3356"/>
          <w:tab w:val="left" w:pos="4484"/>
          <w:tab w:val="left" w:pos="7141"/>
          <w:tab w:val="left" w:pos="10596"/>
        </w:tabs>
        <w:spacing w:line="230" w:lineRule="auto"/>
        <w:ind w:left="1083" w:right="562" w:hanging="371"/>
        <w:jc w:val="both"/>
      </w:pPr>
      <w:r>
        <w:rPr>
          <w:color w:val="221F1F"/>
        </w:rPr>
        <w:t>WHEREAS the Contractor has entered into a written Agreement with the Procuring Entity dated the</w:t>
      </w:r>
      <w:r>
        <w:rPr>
          <w:color w:val="221F1F"/>
          <w:u w:val="single" w:color="211E1F"/>
        </w:rPr>
        <w:tab/>
      </w:r>
      <w:r>
        <w:rPr>
          <w:color w:val="221F1F"/>
          <w:spacing w:val="-4"/>
        </w:rPr>
        <w:t xml:space="preserve">day </w:t>
      </w:r>
      <w:r>
        <w:rPr>
          <w:color w:val="221F1F"/>
          <w:spacing w:val="-6"/>
        </w:rPr>
        <w:t>of</w:t>
      </w:r>
      <w:r>
        <w:rPr>
          <w:color w:val="221F1F"/>
          <w:u w:val="single" w:color="211E1F"/>
        </w:rPr>
        <w:tab/>
      </w:r>
      <w:r>
        <w:rPr>
          <w:color w:val="221F1F"/>
          <w:spacing w:val="-4"/>
        </w:rPr>
        <w:t>,20</w:t>
      </w:r>
      <w:r>
        <w:rPr>
          <w:color w:val="221F1F"/>
          <w:u w:val="single" w:color="211E1F"/>
        </w:rPr>
        <w:tab/>
      </w:r>
      <w:r>
        <w:rPr>
          <w:color w:val="221F1F"/>
        </w:rPr>
        <w:t>, for</w:t>
      </w:r>
      <w:r>
        <w:rPr>
          <w:color w:val="221F1F"/>
          <w:u w:val="single" w:color="211E1F"/>
        </w:rPr>
        <w:tab/>
      </w:r>
      <w:r>
        <w:rPr>
          <w:color w:val="221F1F"/>
        </w:rPr>
        <w:t>in accordance with the documents, plans, specifications,</w:t>
      </w:r>
      <w:r>
        <w:rPr>
          <w:color w:val="221F1F"/>
          <w:spacing w:val="-14"/>
        </w:rPr>
        <w:t xml:space="preserve"> </w:t>
      </w:r>
      <w:r>
        <w:rPr>
          <w:color w:val="221F1F"/>
        </w:rPr>
        <w:t>and</w:t>
      </w:r>
      <w:r>
        <w:rPr>
          <w:color w:val="221F1F"/>
          <w:spacing w:val="-12"/>
        </w:rPr>
        <w:t xml:space="preserve"> </w:t>
      </w:r>
      <w:r>
        <w:rPr>
          <w:color w:val="221F1F"/>
        </w:rPr>
        <w:t>amendments</w:t>
      </w:r>
      <w:r>
        <w:rPr>
          <w:color w:val="221F1F"/>
          <w:spacing w:val="-11"/>
        </w:rPr>
        <w:t xml:space="preserve"> </w:t>
      </w:r>
      <w:r>
        <w:rPr>
          <w:color w:val="221F1F"/>
        </w:rPr>
        <w:t>there</w:t>
      </w:r>
      <w:r>
        <w:rPr>
          <w:color w:val="221F1F"/>
          <w:spacing w:val="-12"/>
        </w:rPr>
        <w:t xml:space="preserve"> </w:t>
      </w:r>
      <w:r>
        <w:rPr>
          <w:color w:val="221F1F"/>
        </w:rPr>
        <w:t>to,</w:t>
      </w:r>
      <w:r>
        <w:rPr>
          <w:color w:val="221F1F"/>
          <w:spacing w:val="-10"/>
        </w:rPr>
        <w:t xml:space="preserve"> </w:t>
      </w:r>
      <w:r>
        <w:rPr>
          <w:color w:val="221F1F"/>
        </w:rPr>
        <w:t>which</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extent</w:t>
      </w:r>
      <w:r>
        <w:rPr>
          <w:color w:val="221F1F"/>
          <w:spacing w:val="-9"/>
        </w:rPr>
        <w:t xml:space="preserve"> </w:t>
      </w:r>
      <w:r>
        <w:rPr>
          <w:color w:val="221F1F"/>
        </w:rPr>
        <w:t>here</w:t>
      </w:r>
      <w:r>
        <w:rPr>
          <w:color w:val="221F1F"/>
          <w:spacing w:val="-14"/>
        </w:rPr>
        <w:t xml:space="preserve"> </w:t>
      </w:r>
      <w:r>
        <w:rPr>
          <w:color w:val="221F1F"/>
        </w:rPr>
        <w:t>in</w:t>
      </w:r>
      <w:r>
        <w:rPr>
          <w:color w:val="221F1F"/>
          <w:spacing w:val="-9"/>
        </w:rPr>
        <w:t xml:space="preserve"> </w:t>
      </w:r>
      <w:r>
        <w:rPr>
          <w:color w:val="221F1F"/>
        </w:rPr>
        <w:t>provided</w:t>
      </w:r>
      <w:r>
        <w:rPr>
          <w:color w:val="221F1F"/>
          <w:spacing w:val="-13"/>
        </w:rPr>
        <w:t xml:space="preserve"> </w:t>
      </w:r>
      <w:r>
        <w:rPr>
          <w:color w:val="221F1F"/>
        </w:rPr>
        <w:t>for,</w:t>
      </w:r>
      <w:r>
        <w:rPr>
          <w:color w:val="221F1F"/>
          <w:spacing w:val="-14"/>
        </w:rPr>
        <w:t xml:space="preserve"> </w:t>
      </w:r>
      <w:r>
        <w:rPr>
          <w:color w:val="221F1F"/>
        </w:rPr>
        <w:t>are</w:t>
      </w:r>
      <w:r>
        <w:rPr>
          <w:color w:val="221F1F"/>
          <w:spacing w:val="-9"/>
        </w:rPr>
        <w:t xml:space="preserve"> </w:t>
      </w:r>
      <w:r>
        <w:rPr>
          <w:color w:val="221F1F"/>
        </w:rPr>
        <w:t>by</w:t>
      </w:r>
      <w:r>
        <w:rPr>
          <w:color w:val="221F1F"/>
          <w:spacing w:val="-11"/>
        </w:rPr>
        <w:t xml:space="preserve"> </w:t>
      </w:r>
      <w:r>
        <w:rPr>
          <w:color w:val="221F1F"/>
        </w:rPr>
        <w:t>reference</w:t>
      </w:r>
      <w:r>
        <w:rPr>
          <w:color w:val="221F1F"/>
          <w:spacing w:val="-12"/>
        </w:rPr>
        <w:t xml:space="preserve"> </w:t>
      </w:r>
      <w:r>
        <w:rPr>
          <w:color w:val="221F1F"/>
        </w:rPr>
        <w:t>made</w:t>
      </w:r>
      <w:r>
        <w:rPr>
          <w:color w:val="221F1F"/>
          <w:spacing w:val="-11"/>
        </w:rPr>
        <w:t xml:space="preserve"> </w:t>
      </w:r>
      <w:r>
        <w:rPr>
          <w:color w:val="221F1F"/>
        </w:rPr>
        <w:t>part</w:t>
      </w:r>
      <w:r>
        <w:rPr>
          <w:color w:val="221F1F"/>
          <w:spacing w:val="-12"/>
        </w:rPr>
        <w:t xml:space="preserve"> </w:t>
      </w:r>
      <w:r>
        <w:rPr>
          <w:color w:val="221F1F"/>
        </w:rPr>
        <w:t>here of and are here in after referred to as the Contract.</w:t>
      </w:r>
    </w:p>
    <w:p w:rsidR="007F6DF9" w:rsidRDefault="007F6DF9">
      <w:pPr>
        <w:pStyle w:val="BodyText"/>
        <w:spacing w:before="29"/>
      </w:pPr>
    </w:p>
    <w:p w:rsidR="007F6DF9" w:rsidRDefault="00A43FBC">
      <w:pPr>
        <w:pStyle w:val="ListParagraph"/>
        <w:numPr>
          <w:ilvl w:val="0"/>
          <w:numId w:val="14"/>
        </w:numPr>
        <w:tabs>
          <w:tab w:val="left" w:pos="1076"/>
          <w:tab w:val="left" w:pos="1083"/>
        </w:tabs>
        <w:spacing w:line="230" w:lineRule="auto"/>
        <w:ind w:left="1083" w:right="562" w:hanging="371"/>
        <w:jc w:val="both"/>
      </w:pPr>
      <w:r>
        <w:rPr>
          <w:color w:val="221F1F"/>
        </w:rPr>
        <w:t>NOW,</w:t>
      </w:r>
      <w:r>
        <w:rPr>
          <w:color w:val="221F1F"/>
          <w:spacing w:val="-14"/>
        </w:rPr>
        <w:t xml:space="preserve"> </w:t>
      </w:r>
      <w:r>
        <w:rPr>
          <w:color w:val="221F1F"/>
        </w:rPr>
        <w:t>THEREFORE,</w:t>
      </w:r>
      <w:r>
        <w:rPr>
          <w:color w:val="221F1F"/>
          <w:spacing w:val="-14"/>
        </w:rPr>
        <w:t xml:space="preserve"> </w:t>
      </w:r>
      <w:r>
        <w:rPr>
          <w:color w:val="221F1F"/>
        </w:rPr>
        <w:t>the</w:t>
      </w:r>
      <w:r>
        <w:rPr>
          <w:color w:val="221F1F"/>
          <w:spacing w:val="-14"/>
        </w:rPr>
        <w:t xml:space="preserve"> </w:t>
      </w:r>
      <w:r>
        <w:rPr>
          <w:color w:val="221F1F"/>
        </w:rPr>
        <w:t>Condition</w:t>
      </w:r>
      <w:r>
        <w:rPr>
          <w:color w:val="221F1F"/>
          <w:spacing w:val="-13"/>
        </w:rPr>
        <w:t xml:space="preserve"> </w:t>
      </w:r>
      <w:r>
        <w:rPr>
          <w:color w:val="221F1F"/>
        </w:rPr>
        <w:t>of</w:t>
      </w:r>
      <w:r>
        <w:rPr>
          <w:color w:val="221F1F"/>
          <w:spacing w:val="-13"/>
        </w:rPr>
        <w:t xml:space="preserve"> </w:t>
      </w:r>
      <w:r>
        <w:rPr>
          <w:color w:val="221F1F"/>
        </w:rPr>
        <w:t>this</w:t>
      </w:r>
      <w:r>
        <w:rPr>
          <w:color w:val="221F1F"/>
          <w:spacing w:val="-11"/>
        </w:rPr>
        <w:t xml:space="preserve"> </w:t>
      </w:r>
      <w:r>
        <w:rPr>
          <w:color w:val="221F1F"/>
        </w:rPr>
        <w:t>Obligation</w:t>
      </w:r>
      <w:r>
        <w:rPr>
          <w:color w:val="221F1F"/>
          <w:spacing w:val="-14"/>
        </w:rPr>
        <w:t xml:space="preserve"> </w:t>
      </w:r>
      <w:r>
        <w:rPr>
          <w:color w:val="221F1F"/>
        </w:rPr>
        <w:t>is</w:t>
      </w:r>
      <w:r>
        <w:rPr>
          <w:color w:val="221F1F"/>
          <w:spacing w:val="-11"/>
        </w:rPr>
        <w:t xml:space="preserve"> </w:t>
      </w:r>
      <w:r>
        <w:rPr>
          <w:color w:val="221F1F"/>
        </w:rPr>
        <w:t>such</w:t>
      </w:r>
      <w:r>
        <w:rPr>
          <w:color w:val="221F1F"/>
          <w:spacing w:val="-14"/>
        </w:rPr>
        <w:t xml:space="preserve"> </w:t>
      </w:r>
      <w:r>
        <w:rPr>
          <w:color w:val="221F1F"/>
        </w:rPr>
        <w:t>that,</w:t>
      </w:r>
      <w:r>
        <w:rPr>
          <w:color w:val="221F1F"/>
          <w:spacing w:val="-12"/>
        </w:rPr>
        <w:t xml:space="preserve"> </w:t>
      </w:r>
      <w:r>
        <w:rPr>
          <w:color w:val="221F1F"/>
        </w:rPr>
        <w:t>if</w:t>
      </w:r>
      <w:r>
        <w:rPr>
          <w:color w:val="221F1F"/>
          <w:spacing w:val="-11"/>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shall</w:t>
      </w:r>
      <w:r>
        <w:rPr>
          <w:color w:val="221F1F"/>
          <w:spacing w:val="-10"/>
        </w:rPr>
        <w:t xml:space="preserve"> </w:t>
      </w:r>
      <w:r>
        <w:rPr>
          <w:color w:val="221F1F"/>
        </w:rPr>
        <w:t>promptly</w:t>
      </w:r>
      <w:r>
        <w:rPr>
          <w:color w:val="221F1F"/>
          <w:spacing w:val="-14"/>
        </w:rPr>
        <w:t xml:space="preserve"> </w:t>
      </w:r>
      <w:r>
        <w:rPr>
          <w:color w:val="221F1F"/>
        </w:rPr>
        <w:t>and</w:t>
      </w:r>
      <w:r>
        <w:rPr>
          <w:color w:val="221F1F"/>
          <w:spacing w:val="-11"/>
        </w:rPr>
        <w:t xml:space="preserve"> </w:t>
      </w:r>
      <w:r>
        <w:rPr>
          <w:color w:val="221F1F"/>
        </w:rPr>
        <w:t>faithfully perform the said Contract (including any amendments thereto), then this obligation shall be null and void; otherwise,</w:t>
      </w:r>
      <w:r>
        <w:rPr>
          <w:color w:val="221F1F"/>
          <w:spacing w:val="-14"/>
        </w:rPr>
        <w:t xml:space="preserve"> </w:t>
      </w:r>
      <w:r>
        <w:rPr>
          <w:color w:val="221F1F"/>
        </w:rPr>
        <w:t>it</w:t>
      </w:r>
      <w:r>
        <w:rPr>
          <w:color w:val="221F1F"/>
          <w:spacing w:val="-14"/>
        </w:rPr>
        <w:t xml:space="preserve"> </w:t>
      </w:r>
      <w:r>
        <w:rPr>
          <w:color w:val="221F1F"/>
        </w:rPr>
        <w:t>shall</w:t>
      </w:r>
      <w:r>
        <w:rPr>
          <w:color w:val="221F1F"/>
          <w:spacing w:val="-14"/>
        </w:rPr>
        <w:t xml:space="preserve"> </w:t>
      </w:r>
      <w:r>
        <w:rPr>
          <w:color w:val="221F1F"/>
        </w:rPr>
        <w:t>remain</w:t>
      </w:r>
      <w:r>
        <w:rPr>
          <w:color w:val="221F1F"/>
          <w:spacing w:val="-13"/>
        </w:rPr>
        <w:t xml:space="preserve"> </w:t>
      </w:r>
      <w:r>
        <w:rPr>
          <w:color w:val="221F1F"/>
        </w:rPr>
        <w:t>in</w:t>
      </w:r>
      <w:r>
        <w:rPr>
          <w:color w:val="221F1F"/>
          <w:spacing w:val="-14"/>
        </w:rPr>
        <w:t xml:space="preserve"> </w:t>
      </w:r>
      <w:r>
        <w:rPr>
          <w:color w:val="221F1F"/>
        </w:rPr>
        <w:t>full</w:t>
      </w:r>
      <w:r>
        <w:rPr>
          <w:color w:val="221F1F"/>
          <w:spacing w:val="-14"/>
        </w:rPr>
        <w:t xml:space="preserve"> </w:t>
      </w:r>
      <w:r>
        <w:rPr>
          <w:color w:val="221F1F"/>
        </w:rPr>
        <w:t>force</w:t>
      </w:r>
      <w:r>
        <w:rPr>
          <w:color w:val="221F1F"/>
          <w:spacing w:val="-14"/>
        </w:rPr>
        <w:t xml:space="preserve"> </w:t>
      </w:r>
      <w:r>
        <w:rPr>
          <w:color w:val="221F1F"/>
        </w:rPr>
        <w:t>and</w:t>
      </w:r>
      <w:r>
        <w:rPr>
          <w:color w:val="221F1F"/>
          <w:spacing w:val="-13"/>
        </w:rPr>
        <w:t xml:space="preserve"> </w:t>
      </w:r>
      <w:r>
        <w:rPr>
          <w:color w:val="221F1F"/>
        </w:rPr>
        <w:t>effect.</w:t>
      </w:r>
      <w:r>
        <w:rPr>
          <w:color w:val="221F1F"/>
          <w:spacing w:val="-14"/>
        </w:rPr>
        <w:t xml:space="preserve"> </w:t>
      </w:r>
      <w:r>
        <w:rPr>
          <w:color w:val="221F1F"/>
        </w:rPr>
        <w:t>Whenever</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and</w:t>
      </w:r>
      <w:r>
        <w:rPr>
          <w:color w:val="221F1F"/>
          <w:spacing w:val="-14"/>
        </w:rPr>
        <w:t xml:space="preserve"> </w:t>
      </w:r>
      <w:r>
        <w:rPr>
          <w:color w:val="221F1F"/>
        </w:rPr>
        <w:t>declared</w:t>
      </w:r>
      <w:r>
        <w:rPr>
          <w:color w:val="221F1F"/>
          <w:spacing w:val="-13"/>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Procuring Entity to be, in default under the Contract, the Procuring Entity having performed the Procuring Entity's obligations there under, the Surety may promptly remedy the default, or shall promptly:</w:t>
      </w:r>
    </w:p>
    <w:p w:rsidR="007F6DF9" w:rsidRDefault="00A43FBC">
      <w:pPr>
        <w:pStyle w:val="ListParagraph"/>
        <w:numPr>
          <w:ilvl w:val="1"/>
          <w:numId w:val="14"/>
        </w:numPr>
        <w:tabs>
          <w:tab w:val="left" w:pos="1484"/>
        </w:tabs>
        <w:spacing w:before="116"/>
        <w:ind w:left="1484" w:hanging="411"/>
        <w:jc w:val="both"/>
      </w:pPr>
      <w:r>
        <w:rPr>
          <w:color w:val="221F1F"/>
        </w:rPr>
        <w:t>Complete</w:t>
      </w:r>
      <w:r>
        <w:rPr>
          <w:color w:val="221F1F"/>
          <w:spacing w:val="-6"/>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4"/>
        </w:rPr>
        <w:t xml:space="preserve"> </w:t>
      </w:r>
      <w:r>
        <w:rPr>
          <w:color w:val="221F1F"/>
        </w:rPr>
        <w:t>its</w:t>
      </w:r>
      <w:r>
        <w:rPr>
          <w:color w:val="221F1F"/>
          <w:spacing w:val="-5"/>
        </w:rPr>
        <w:t xml:space="preserve"> </w:t>
      </w:r>
      <w:r>
        <w:rPr>
          <w:color w:val="221F1F"/>
        </w:rPr>
        <w:t>terms</w:t>
      </w:r>
      <w:r>
        <w:rPr>
          <w:color w:val="221F1F"/>
          <w:spacing w:val="-5"/>
        </w:rPr>
        <w:t xml:space="preserve"> </w:t>
      </w:r>
      <w:r>
        <w:rPr>
          <w:color w:val="221F1F"/>
        </w:rPr>
        <w:t>and</w:t>
      </w:r>
      <w:r>
        <w:rPr>
          <w:color w:val="221F1F"/>
          <w:spacing w:val="-4"/>
        </w:rPr>
        <w:t xml:space="preserve"> </w:t>
      </w:r>
      <w:r>
        <w:rPr>
          <w:color w:val="221F1F"/>
        </w:rPr>
        <w:t>conditions;</w:t>
      </w:r>
      <w:r>
        <w:rPr>
          <w:color w:val="221F1F"/>
          <w:spacing w:val="-2"/>
        </w:rPr>
        <w:t xml:space="preserve"> </w:t>
      </w:r>
      <w:r>
        <w:rPr>
          <w:color w:val="221F1F"/>
          <w:spacing w:val="-5"/>
        </w:rPr>
        <w:t>or</w:t>
      </w:r>
    </w:p>
    <w:p w:rsidR="007F6DF9" w:rsidRDefault="00A43FBC">
      <w:pPr>
        <w:pStyle w:val="ListParagraph"/>
        <w:numPr>
          <w:ilvl w:val="1"/>
          <w:numId w:val="14"/>
        </w:numPr>
        <w:tabs>
          <w:tab w:val="left" w:pos="1484"/>
          <w:tab w:val="left" w:pos="1486"/>
        </w:tabs>
        <w:spacing w:before="120" w:line="230" w:lineRule="auto"/>
        <w:ind w:right="560"/>
        <w:jc w:val="both"/>
      </w:pPr>
      <w:r>
        <w:rPr>
          <w:color w:val="221F1F"/>
        </w:rPr>
        <w:t xml:space="preserve">Obtain a tender or tenders from qualified tenderers for submission to the Procuring Entity for completing the Contract in accordance with its terms and conditions, and upon determination by the Procuring Entity and the Surety of the lowest responsive Tenderers, arrange for a Contract between such Tenderer, and Procuring Entity and make a </w:t>
      </w:r>
      <w:proofErr w:type="spellStart"/>
      <w:r>
        <w:rPr>
          <w:color w:val="221F1F"/>
        </w:rPr>
        <w:t>vailable</w:t>
      </w:r>
      <w:proofErr w:type="spellEnd"/>
      <w:r>
        <w:rPr>
          <w:color w:val="221F1F"/>
        </w:rPr>
        <w:t xml:space="preserve"> as work progresses (even though there should be a default or a succession of defaults under the Contract or Contracts of completion arranged under this paragraph) sufficient funds to pay the cost of completion less the Balance of the Contract Price; but not exceeding, including</w:t>
      </w:r>
      <w:r>
        <w:rPr>
          <w:color w:val="221F1F"/>
          <w:spacing w:val="-3"/>
        </w:rPr>
        <w:t xml:space="preserve"> </w:t>
      </w:r>
      <w:r>
        <w:rPr>
          <w:color w:val="221F1F"/>
        </w:rPr>
        <w:t>other</w:t>
      </w:r>
      <w:r>
        <w:rPr>
          <w:color w:val="221F1F"/>
          <w:spacing w:val="-3"/>
        </w:rPr>
        <w:t xml:space="preserve"> </w:t>
      </w:r>
      <w:r>
        <w:rPr>
          <w:color w:val="221F1F"/>
        </w:rPr>
        <w:t>costs</w:t>
      </w:r>
      <w:r>
        <w:rPr>
          <w:color w:val="221F1F"/>
          <w:spacing w:val="-3"/>
        </w:rPr>
        <w:t xml:space="preserve"> </w:t>
      </w:r>
      <w:r>
        <w:rPr>
          <w:color w:val="221F1F"/>
        </w:rPr>
        <w:t>and</w:t>
      </w:r>
      <w:r>
        <w:rPr>
          <w:color w:val="221F1F"/>
          <w:spacing w:val="-3"/>
        </w:rPr>
        <w:t xml:space="preserve"> </w:t>
      </w:r>
      <w:r>
        <w:rPr>
          <w:color w:val="221F1F"/>
        </w:rPr>
        <w:t>damages</w:t>
      </w:r>
      <w:r>
        <w:rPr>
          <w:color w:val="221F1F"/>
          <w:spacing w:val="-5"/>
        </w:rPr>
        <w:t xml:space="preserve"> </w:t>
      </w:r>
      <w:r>
        <w:rPr>
          <w:color w:val="221F1F"/>
        </w:rPr>
        <w:t>for</w:t>
      </w:r>
      <w:r>
        <w:rPr>
          <w:color w:val="221F1F"/>
          <w:spacing w:val="-5"/>
        </w:rPr>
        <w:t xml:space="preserve"> </w:t>
      </w:r>
      <w:r>
        <w:rPr>
          <w:color w:val="221F1F"/>
        </w:rPr>
        <w:t>which</w:t>
      </w:r>
      <w:r>
        <w:rPr>
          <w:color w:val="221F1F"/>
          <w:spacing w:val="-4"/>
        </w:rPr>
        <w:t xml:space="preserve"> </w:t>
      </w:r>
      <w:r>
        <w:rPr>
          <w:color w:val="221F1F"/>
        </w:rPr>
        <w:t>the</w:t>
      </w:r>
      <w:r>
        <w:rPr>
          <w:color w:val="221F1F"/>
          <w:spacing w:val="-3"/>
        </w:rPr>
        <w:t xml:space="preserve"> </w:t>
      </w:r>
      <w:r>
        <w:rPr>
          <w:color w:val="221F1F"/>
        </w:rPr>
        <w:t>Surety</w:t>
      </w:r>
      <w:r>
        <w:rPr>
          <w:color w:val="221F1F"/>
          <w:spacing w:val="-6"/>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liable</w:t>
      </w:r>
      <w:r>
        <w:rPr>
          <w:color w:val="221F1F"/>
          <w:spacing w:val="-6"/>
        </w:rPr>
        <w:t xml:space="preserve"> </w:t>
      </w:r>
      <w:r>
        <w:rPr>
          <w:color w:val="221F1F"/>
        </w:rPr>
        <w:t>hereunder,</w:t>
      </w:r>
      <w:r>
        <w:rPr>
          <w:color w:val="221F1F"/>
          <w:spacing w:val="-6"/>
        </w:rPr>
        <w:t xml:space="preserve"> </w:t>
      </w:r>
      <w:r>
        <w:rPr>
          <w:color w:val="221F1F"/>
        </w:rPr>
        <w:t>the</w:t>
      </w:r>
      <w:r>
        <w:rPr>
          <w:color w:val="221F1F"/>
          <w:spacing w:val="-3"/>
        </w:rPr>
        <w:t xml:space="preserve"> </w:t>
      </w:r>
      <w:r>
        <w:rPr>
          <w:color w:val="221F1F"/>
        </w:rPr>
        <w:t>amount</w:t>
      </w:r>
      <w:r>
        <w:rPr>
          <w:color w:val="221F1F"/>
          <w:spacing w:val="-3"/>
        </w:rPr>
        <w:t xml:space="preserve"> </w:t>
      </w:r>
      <w:r>
        <w:rPr>
          <w:color w:val="221F1F"/>
        </w:rPr>
        <w:t>set</w:t>
      </w:r>
      <w:r>
        <w:rPr>
          <w:color w:val="221F1F"/>
          <w:spacing w:val="-5"/>
        </w:rPr>
        <w:t xml:space="preserve"> </w:t>
      </w:r>
      <w:r>
        <w:rPr>
          <w:color w:val="221F1F"/>
        </w:rPr>
        <w:t>forth</w:t>
      </w:r>
      <w:r>
        <w:rPr>
          <w:color w:val="221F1F"/>
          <w:spacing w:val="-6"/>
        </w:rPr>
        <w:t xml:space="preserve"> </w:t>
      </w:r>
      <w:r>
        <w:rPr>
          <w:color w:val="221F1F"/>
        </w:rPr>
        <w:t>in</w:t>
      </w:r>
      <w:r>
        <w:rPr>
          <w:color w:val="221F1F"/>
          <w:spacing w:val="-6"/>
        </w:rPr>
        <w:t xml:space="preserve"> </w:t>
      </w:r>
      <w:r>
        <w:rPr>
          <w:color w:val="221F1F"/>
        </w:rPr>
        <w:t>the first paragraph hereof. The term “Balance of the Contract Price,” as used in this paragraph, shall mean the total amount payable by Procuring Entity to Contractor under the Contract, less the amount properly paid by Procuring Entity to Contractor; or</w:t>
      </w:r>
    </w:p>
    <w:p w:rsidR="007F6DF9" w:rsidRDefault="00A43FBC">
      <w:pPr>
        <w:pStyle w:val="ListParagraph"/>
        <w:numPr>
          <w:ilvl w:val="1"/>
          <w:numId w:val="14"/>
        </w:numPr>
        <w:tabs>
          <w:tab w:val="left" w:pos="1484"/>
          <w:tab w:val="left" w:pos="1486"/>
        </w:tabs>
        <w:spacing w:before="126" w:line="230" w:lineRule="auto"/>
        <w:ind w:right="563"/>
        <w:jc w:val="both"/>
      </w:pPr>
      <w:r>
        <w:rPr>
          <w:color w:val="221F1F"/>
        </w:rPr>
        <w:t xml:space="preserve">Pay the Procuring Entity the amount required by Procuring Entity to complete the Contract in accordance with its terms and conditions </w:t>
      </w:r>
      <w:proofErr w:type="spellStart"/>
      <w:r>
        <w:rPr>
          <w:color w:val="221F1F"/>
        </w:rPr>
        <w:t>upto</w:t>
      </w:r>
      <w:proofErr w:type="spellEnd"/>
      <w:r>
        <w:rPr>
          <w:color w:val="221F1F"/>
        </w:rPr>
        <w:t xml:space="preserve"> a total not exceeding the amount of this Bond.</w:t>
      </w:r>
    </w:p>
    <w:p w:rsidR="007F6DF9" w:rsidRDefault="00A43FBC">
      <w:pPr>
        <w:pStyle w:val="ListParagraph"/>
        <w:numPr>
          <w:ilvl w:val="0"/>
          <w:numId w:val="14"/>
        </w:numPr>
        <w:tabs>
          <w:tab w:val="left" w:pos="1065"/>
        </w:tabs>
        <w:spacing w:before="236"/>
        <w:ind w:left="1065" w:hanging="352"/>
        <w:jc w:val="both"/>
      </w:pPr>
      <w:r>
        <w:rPr>
          <w:color w:val="221F1F"/>
        </w:rPr>
        <w:t>The</w:t>
      </w:r>
      <w:r>
        <w:rPr>
          <w:color w:val="221F1F"/>
          <w:spacing w:val="-4"/>
        </w:rPr>
        <w:t xml:space="preserve"> </w:t>
      </w:r>
      <w:r>
        <w:rPr>
          <w:color w:val="221F1F"/>
        </w:rPr>
        <w:t>Surety</w:t>
      </w:r>
      <w:r>
        <w:rPr>
          <w:color w:val="221F1F"/>
          <w:spacing w:val="-4"/>
        </w:rPr>
        <w:t xml:space="preserve"> </w:t>
      </w:r>
      <w:r>
        <w:rPr>
          <w:color w:val="221F1F"/>
        </w:rPr>
        <w:t>shall</w:t>
      </w:r>
      <w:r>
        <w:rPr>
          <w:color w:val="221F1F"/>
          <w:spacing w:val="-3"/>
        </w:rPr>
        <w:t xml:space="preserve"> </w:t>
      </w:r>
      <w:r>
        <w:rPr>
          <w:color w:val="221F1F"/>
        </w:rPr>
        <w:t>not</w:t>
      </w:r>
      <w:r>
        <w:rPr>
          <w:color w:val="221F1F"/>
          <w:spacing w:val="-2"/>
        </w:rPr>
        <w:t xml:space="preserve"> </w:t>
      </w:r>
      <w:r>
        <w:rPr>
          <w:color w:val="221F1F"/>
        </w:rPr>
        <w:t>be</w:t>
      </w:r>
      <w:r>
        <w:rPr>
          <w:color w:val="221F1F"/>
          <w:spacing w:val="-3"/>
        </w:rPr>
        <w:t xml:space="preserve"> </w:t>
      </w:r>
      <w:r>
        <w:rPr>
          <w:color w:val="221F1F"/>
        </w:rPr>
        <w:t>liable</w:t>
      </w:r>
      <w:r>
        <w:rPr>
          <w:color w:val="221F1F"/>
          <w:spacing w:val="-2"/>
        </w:rPr>
        <w:t xml:space="preserve"> </w:t>
      </w:r>
      <w:r>
        <w:rPr>
          <w:color w:val="221F1F"/>
        </w:rPr>
        <w:t>for</w:t>
      </w:r>
      <w:r>
        <w:rPr>
          <w:color w:val="221F1F"/>
          <w:spacing w:val="-2"/>
        </w:rPr>
        <w:t xml:space="preserve"> </w:t>
      </w:r>
      <w:r>
        <w:rPr>
          <w:color w:val="221F1F"/>
        </w:rPr>
        <w:t>a</w:t>
      </w:r>
      <w:r>
        <w:rPr>
          <w:color w:val="221F1F"/>
          <w:spacing w:val="-5"/>
        </w:rPr>
        <w:t xml:space="preserve"> </w:t>
      </w:r>
      <w:r>
        <w:rPr>
          <w:color w:val="221F1F"/>
        </w:rPr>
        <w:t>greater</w:t>
      </w:r>
      <w:r>
        <w:rPr>
          <w:color w:val="221F1F"/>
          <w:spacing w:val="-2"/>
        </w:rPr>
        <w:t xml:space="preserve"> </w:t>
      </w:r>
      <w:r>
        <w:rPr>
          <w:color w:val="221F1F"/>
        </w:rPr>
        <w:t>sum</w:t>
      </w:r>
      <w:r>
        <w:rPr>
          <w:color w:val="221F1F"/>
          <w:spacing w:val="-5"/>
        </w:rPr>
        <w:t xml:space="preserve"> </w:t>
      </w:r>
      <w:r>
        <w:rPr>
          <w:color w:val="221F1F"/>
        </w:rPr>
        <w:t>than</w:t>
      </w:r>
      <w:r>
        <w:rPr>
          <w:color w:val="221F1F"/>
          <w:spacing w:val="-3"/>
        </w:rPr>
        <w:t xml:space="preserve"> </w:t>
      </w:r>
      <w:r>
        <w:rPr>
          <w:color w:val="221F1F"/>
        </w:rPr>
        <w:t>the</w:t>
      </w:r>
      <w:r>
        <w:rPr>
          <w:color w:val="221F1F"/>
          <w:spacing w:val="-3"/>
        </w:rPr>
        <w:t xml:space="preserve"> </w:t>
      </w:r>
      <w:r>
        <w:rPr>
          <w:color w:val="221F1F"/>
        </w:rPr>
        <w:t>specified</w:t>
      </w:r>
      <w:r>
        <w:rPr>
          <w:color w:val="221F1F"/>
          <w:spacing w:val="-3"/>
        </w:rPr>
        <w:t xml:space="preserve"> </w:t>
      </w:r>
      <w:r>
        <w:rPr>
          <w:color w:val="221F1F"/>
        </w:rPr>
        <w:t>penalty</w:t>
      </w:r>
      <w:r>
        <w:rPr>
          <w:color w:val="221F1F"/>
          <w:spacing w:val="-3"/>
        </w:rPr>
        <w:t xml:space="preserve"> </w:t>
      </w:r>
      <w:r>
        <w:rPr>
          <w:color w:val="221F1F"/>
        </w:rPr>
        <w:t>of</w:t>
      </w:r>
      <w:r>
        <w:rPr>
          <w:color w:val="221F1F"/>
          <w:spacing w:val="-5"/>
        </w:rPr>
        <w:t xml:space="preserve"> </w:t>
      </w:r>
      <w:r>
        <w:rPr>
          <w:color w:val="221F1F"/>
        </w:rPr>
        <w:t>this</w:t>
      </w:r>
      <w:r>
        <w:rPr>
          <w:color w:val="221F1F"/>
          <w:spacing w:val="-2"/>
        </w:rPr>
        <w:t xml:space="preserve"> Bond.</w:t>
      </w:r>
    </w:p>
    <w:p w:rsidR="007F6DF9" w:rsidRDefault="00A43FBC">
      <w:pPr>
        <w:pStyle w:val="ListParagraph"/>
        <w:numPr>
          <w:ilvl w:val="0"/>
          <w:numId w:val="14"/>
        </w:numPr>
        <w:tabs>
          <w:tab w:val="left" w:pos="1064"/>
          <w:tab w:val="left" w:pos="1073"/>
        </w:tabs>
        <w:spacing w:before="242" w:line="230" w:lineRule="auto"/>
        <w:ind w:left="1073" w:right="563" w:hanging="361"/>
        <w:jc w:val="both"/>
      </w:pPr>
      <w:r>
        <w:rPr>
          <w:color w:val="221F1F"/>
        </w:rPr>
        <w:t>Any suit under this Bond must be</w:t>
      </w:r>
      <w:r>
        <w:rPr>
          <w:color w:val="221F1F"/>
          <w:spacing w:val="-1"/>
        </w:rPr>
        <w:t xml:space="preserve"> </w:t>
      </w:r>
      <w:r>
        <w:rPr>
          <w:color w:val="221F1F"/>
        </w:rPr>
        <w:t>instituted before the</w:t>
      </w:r>
      <w:r>
        <w:rPr>
          <w:color w:val="221F1F"/>
          <w:spacing w:val="-1"/>
        </w:rPr>
        <w:t xml:space="preserve"> </w:t>
      </w:r>
      <w:r>
        <w:rPr>
          <w:color w:val="221F1F"/>
        </w:rPr>
        <w:t>expiration of one</w:t>
      </w:r>
      <w:r>
        <w:rPr>
          <w:color w:val="221F1F"/>
          <w:spacing w:val="-1"/>
        </w:rPr>
        <w:t xml:space="preserve"> </w:t>
      </w:r>
      <w:r>
        <w:rPr>
          <w:color w:val="221F1F"/>
        </w:rPr>
        <w:t>year from the date of the issuing of</w:t>
      </w:r>
      <w:r>
        <w:rPr>
          <w:color w:val="221F1F"/>
          <w:spacing w:val="-1"/>
        </w:rPr>
        <w:t xml:space="preserve"> </w:t>
      </w:r>
      <w:r>
        <w:rPr>
          <w:color w:val="221F1F"/>
        </w:rPr>
        <w:t>the Taking-Over</w:t>
      </w:r>
      <w:r>
        <w:rPr>
          <w:color w:val="221F1F"/>
          <w:spacing w:val="-14"/>
        </w:rPr>
        <w:t xml:space="preserve"> </w:t>
      </w:r>
      <w:r>
        <w:rPr>
          <w:color w:val="221F1F"/>
        </w:rPr>
        <w:t>Certificate.</w:t>
      </w:r>
      <w:r>
        <w:rPr>
          <w:color w:val="221F1F"/>
          <w:spacing w:val="-14"/>
        </w:rPr>
        <w:t xml:space="preserve"> </w:t>
      </w:r>
      <w:r>
        <w:rPr>
          <w:color w:val="221F1F"/>
        </w:rPr>
        <w:t>No</w:t>
      </w:r>
      <w:r>
        <w:rPr>
          <w:color w:val="221F1F"/>
          <w:spacing w:val="-14"/>
        </w:rPr>
        <w:t xml:space="preserve"> </w:t>
      </w:r>
      <w:r>
        <w:rPr>
          <w:color w:val="221F1F"/>
        </w:rPr>
        <w:t>right</w:t>
      </w:r>
      <w:r>
        <w:rPr>
          <w:color w:val="221F1F"/>
          <w:spacing w:val="-13"/>
        </w:rPr>
        <w:t xml:space="preserve"> </w:t>
      </w:r>
      <w:r>
        <w:rPr>
          <w:color w:val="221F1F"/>
        </w:rPr>
        <w:t>of</w:t>
      </w:r>
      <w:r>
        <w:rPr>
          <w:color w:val="221F1F"/>
          <w:spacing w:val="-12"/>
        </w:rPr>
        <w:t xml:space="preserve"> </w:t>
      </w:r>
      <w:r>
        <w:rPr>
          <w:color w:val="221F1F"/>
        </w:rPr>
        <w:t>action</w:t>
      </w:r>
      <w:r>
        <w:rPr>
          <w:color w:val="221F1F"/>
          <w:spacing w:val="-14"/>
        </w:rPr>
        <w:t xml:space="preserve"> </w:t>
      </w:r>
      <w:r>
        <w:rPr>
          <w:color w:val="221F1F"/>
        </w:rPr>
        <w:t>shall</w:t>
      </w:r>
      <w:r>
        <w:rPr>
          <w:color w:val="221F1F"/>
          <w:spacing w:val="-13"/>
        </w:rPr>
        <w:t xml:space="preserve"> </w:t>
      </w:r>
      <w:r>
        <w:rPr>
          <w:color w:val="221F1F"/>
        </w:rPr>
        <w:t>accrue</w:t>
      </w:r>
      <w:r>
        <w:rPr>
          <w:color w:val="221F1F"/>
          <w:spacing w:val="-14"/>
        </w:rPr>
        <w:t xml:space="preserve"> </w:t>
      </w:r>
      <w:r>
        <w:rPr>
          <w:color w:val="221F1F"/>
        </w:rPr>
        <w:t>on</w:t>
      </w:r>
      <w:r>
        <w:rPr>
          <w:color w:val="221F1F"/>
          <w:spacing w:val="-14"/>
        </w:rPr>
        <w:t xml:space="preserve"> </w:t>
      </w:r>
      <w:r>
        <w:rPr>
          <w:color w:val="221F1F"/>
        </w:rPr>
        <w:t>this</w:t>
      </w:r>
      <w:r>
        <w:rPr>
          <w:color w:val="221F1F"/>
          <w:spacing w:val="-13"/>
        </w:rPr>
        <w:t xml:space="preserve"> </w:t>
      </w:r>
      <w:r>
        <w:rPr>
          <w:color w:val="221F1F"/>
        </w:rPr>
        <w:t>Bond</w:t>
      </w:r>
      <w:r>
        <w:rPr>
          <w:color w:val="221F1F"/>
          <w:spacing w:val="-14"/>
        </w:rPr>
        <w:t xml:space="preserve"> </w:t>
      </w:r>
      <w:r>
        <w:rPr>
          <w:color w:val="221F1F"/>
        </w:rPr>
        <w:t>to</w:t>
      </w:r>
      <w:r>
        <w:rPr>
          <w:color w:val="221F1F"/>
          <w:spacing w:val="-14"/>
        </w:rPr>
        <w:t xml:space="preserve"> </w:t>
      </w:r>
      <w:r>
        <w:rPr>
          <w:color w:val="221F1F"/>
        </w:rPr>
        <w:t>or</w:t>
      </w:r>
      <w:r>
        <w:rPr>
          <w:color w:val="221F1F"/>
          <w:spacing w:val="-13"/>
        </w:rPr>
        <w:t xml:space="preserve"> </w:t>
      </w:r>
      <w:r>
        <w:rPr>
          <w:color w:val="221F1F"/>
        </w:rPr>
        <w:t>for</w:t>
      </w:r>
      <w:r>
        <w:rPr>
          <w:color w:val="221F1F"/>
          <w:spacing w:val="-13"/>
        </w:rPr>
        <w:t xml:space="preserve"> </w:t>
      </w:r>
      <w:r>
        <w:rPr>
          <w:color w:val="221F1F"/>
        </w:rPr>
        <w:t>the</w:t>
      </w:r>
      <w:r>
        <w:rPr>
          <w:color w:val="221F1F"/>
          <w:spacing w:val="-14"/>
        </w:rPr>
        <w:t xml:space="preserve"> </w:t>
      </w:r>
      <w:r>
        <w:rPr>
          <w:color w:val="221F1F"/>
        </w:rPr>
        <w:t>use</w:t>
      </w:r>
      <w:r>
        <w:rPr>
          <w:color w:val="221F1F"/>
          <w:spacing w:val="-14"/>
        </w:rPr>
        <w:t xml:space="preserve"> </w:t>
      </w:r>
      <w:r>
        <w:rPr>
          <w:color w:val="221F1F"/>
        </w:rPr>
        <w:t>of</w:t>
      </w:r>
      <w:r>
        <w:rPr>
          <w:color w:val="221F1F"/>
          <w:spacing w:val="-12"/>
        </w:rPr>
        <w:t xml:space="preserve"> </w:t>
      </w:r>
      <w:r>
        <w:rPr>
          <w:color w:val="221F1F"/>
        </w:rPr>
        <w:t>any</w:t>
      </w:r>
      <w:r>
        <w:rPr>
          <w:color w:val="221F1F"/>
          <w:spacing w:val="-14"/>
        </w:rPr>
        <w:t xml:space="preserve"> </w:t>
      </w:r>
      <w:r>
        <w:rPr>
          <w:color w:val="221F1F"/>
        </w:rPr>
        <w:t>person</w:t>
      </w:r>
      <w:r>
        <w:rPr>
          <w:color w:val="221F1F"/>
          <w:spacing w:val="-14"/>
        </w:rPr>
        <w:t xml:space="preserve"> </w:t>
      </w:r>
      <w:r>
        <w:rPr>
          <w:color w:val="221F1F"/>
        </w:rPr>
        <w:t>or</w:t>
      </w:r>
      <w:r>
        <w:rPr>
          <w:color w:val="221F1F"/>
          <w:spacing w:val="-13"/>
        </w:rPr>
        <w:t xml:space="preserve"> </w:t>
      </w:r>
      <w:r>
        <w:rPr>
          <w:color w:val="221F1F"/>
        </w:rPr>
        <w:t>corporation other than the Procuring Entity named here in or the heirs, executors, administrators, successors, and assigns</w:t>
      </w:r>
      <w:r>
        <w:rPr>
          <w:color w:val="221F1F"/>
          <w:spacing w:val="-1"/>
        </w:rPr>
        <w:t xml:space="preserve"> </w:t>
      </w:r>
      <w:r>
        <w:rPr>
          <w:color w:val="221F1F"/>
        </w:rPr>
        <w:t>of the Procuring Entity.</w:t>
      </w:r>
    </w:p>
    <w:p w:rsidR="007F6DF9" w:rsidRDefault="00A43FBC">
      <w:pPr>
        <w:pStyle w:val="ListParagraph"/>
        <w:numPr>
          <w:ilvl w:val="0"/>
          <w:numId w:val="14"/>
        </w:numPr>
        <w:tabs>
          <w:tab w:val="left" w:pos="1064"/>
          <w:tab w:val="left" w:pos="1073"/>
          <w:tab w:val="left" w:pos="3053"/>
          <w:tab w:val="left" w:pos="5283"/>
          <w:tab w:val="left" w:pos="6273"/>
        </w:tabs>
        <w:spacing w:before="242" w:line="235" w:lineRule="auto"/>
        <w:ind w:left="1073" w:right="562" w:hanging="361"/>
        <w:jc w:val="both"/>
      </w:pPr>
      <w:r>
        <w:rPr>
          <w:color w:val="221F1F"/>
        </w:rPr>
        <w:t>In testimony whereof, the Contractor has here unto set his hand and affixed his seal, and the Surety has caused these presents</w:t>
      </w:r>
      <w:r>
        <w:rPr>
          <w:color w:val="221F1F"/>
          <w:spacing w:val="-1"/>
        </w:rPr>
        <w:t xml:space="preserve"> </w:t>
      </w:r>
      <w:r>
        <w:rPr>
          <w:color w:val="221F1F"/>
        </w:rPr>
        <w:t>to be sealed</w:t>
      </w:r>
      <w:r>
        <w:rPr>
          <w:color w:val="221F1F"/>
          <w:spacing w:val="-1"/>
        </w:rPr>
        <w:t xml:space="preserve"> </w:t>
      </w:r>
      <w:r>
        <w:rPr>
          <w:color w:val="221F1F"/>
        </w:rPr>
        <w:t>with his</w:t>
      </w:r>
      <w:r>
        <w:rPr>
          <w:color w:val="221F1F"/>
          <w:spacing w:val="-1"/>
        </w:rPr>
        <w:t xml:space="preserve"> </w:t>
      </w:r>
      <w:r>
        <w:rPr>
          <w:color w:val="221F1F"/>
        </w:rPr>
        <w:t>corporate seal duly</w:t>
      </w:r>
      <w:r>
        <w:rPr>
          <w:color w:val="221F1F"/>
          <w:spacing w:val="-1"/>
        </w:rPr>
        <w:t xml:space="preserve"> </w:t>
      </w:r>
      <w:r>
        <w:rPr>
          <w:color w:val="221F1F"/>
        </w:rPr>
        <w:t xml:space="preserve">at tested by the signature of his legal representative, this day </w:t>
      </w:r>
      <w:r>
        <w:rPr>
          <w:color w:val="221F1F"/>
          <w:u w:val="single" w:color="211E1F"/>
        </w:rPr>
        <w:tab/>
      </w:r>
      <w:r>
        <w:rPr>
          <w:color w:val="221F1F"/>
          <w:spacing w:val="-6"/>
        </w:rPr>
        <w:t>of</w:t>
      </w:r>
      <w:r>
        <w:rPr>
          <w:color w:val="221F1F"/>
          <w:u w:val="single" w:color="211E1F"/>
        </w:rPr>
        <w:tab/>
      </w:r>
      <w:r>
        <w:rPr>
          <w:color w:val="221F1F"/>
          <w:spacing w:val="-6"/>
        </w:rPr>
        <w:t>20</w:t>
      </w:r>
      <w:r>
        <w:rPr>
          <w:color w:val="221F1F"/>
          <w:u w:val="single" w:color="211E1F"/>
        </w:rPr>
        <w:tab/>
      </w:r>
      <w:r>
        <w:rPr>
          <w:color w:val="221F1F"/>
          <w:spacing w:val="-10"/>
        </w:rPr>
        <w:t>.</w:t>
      </w:r>
    </w:p>
    <w:p w:rsidR="007F6DF9" w:rsidRDefault="007F6DF9">
      <w:pPr>
        <w:pStyle w:val="ListParagraph"/>
        <w:spacing w:line="235" w:lineRule="auto"/>
        <w:jc w:val="both"/>
        <w:sectPr w:rsidR="007F6DF9">
          <w:pgSz w:w="11920" w:h="16850"/>
          <w:pgMar w:top="360" w:right="283" w:bottom="620" w:left="141" w:header="0" w:footer="437" w:gutter="0"/>
          <w:cols w:space="720"/>
        </w:sectPr>
      </w:pPr>
    </w:p>
    <w:p w:rsidR="007F6DF9" w:rsidRDefault="007F6DF9">
      <w:pPr>
        <w:pStyle w:val="BodyText"/>
        <w:spacing w:before="207"/>
      </w:pPr>
    </w:p>
    <w:p w:rsidR="007F6DF9" w:rsidRDefault="00A43FBC">
      <w:pPr>
        <w:pStyle w:val="BodyText"/>
        <w:tabs>
          <w:tab w:val="left" w:pos="6068"/>
          <w:tab w:val="left" w:pos="10782"/>
        </w:tabs>
        <w:ind w:left="1061"/>
      </w:pPr>
      <w:r>
        <w:rPr>
          <w:color w:val="221F1F"/>
        </w:rPr>
        <w:t>SIGNED</w:t>
      </w:r>
      <w:r>
        <w:rPr>
          <w:color w:val="221F1F"/>
          <w:spacing w:val="-8"/>
        </w:rPr>
        <w:t xml:space="preserve"> </w:t>
      </w:r>
      <w:r>
        <w:rPr>
          <w:color w:val="221F1F"/>
          <w:spacing w:val="-5"/>
        </w:rPr>
        <w:t>ON</w:t>
      </w:r>
      <w:r>
        <w:rPr>
          <w:color w:val="221F1F"/>
          <w:u w:val="single" w:color="211E1F"/>
        </w:rPr>
        <w:tab/>
      </w:r>
      <w:proofErr w:type="spellStart"/>
      <w:r>
        <w:rPr>
          <w:color w:val="221F1F"/>
        </w:rPr>
        <w:t>on</w:t>
      </w:r>
      <w:proofErr w:type="spellEnd"/>
      <w:r>
        <w:rPr>
          <w:color w:val="221F1F"/>
          <w:spacing w:val="-3"/>
        </w:rPr>
        <w:t xml:space="preserve"> </w:t>
      </w:r>
      <w:r>
        <w:rPr>
          <w:color w:val="221F1F"/>
        </w:rPr>
        <w:t>behalf</w:t>
      </w:r>
      <w:r>
        <w:rPr>
          <w:color w:val="221F1F"/>
          <w:spacing w:val="-2"/>
        </w:rPr>
        <w:t xml:space="preserve"> </w:t>
      </w:r>
      <w:r>
        <w:rPr>
          <w:color w:val="221F1F"/>
          <w:spacing w:val="-5"/>
        </w:rPr>
        <w:t>of</w:t>
      </w:r>
      <w:r>
        <w:rPr>
          <w:color w:val="221F1F"/>
          <w:u w:val="single" w:color="211E1F"/>
        </w:rPr>
        <w:tab/>
      </w:r>
    </w:p>
    <w:p w:rsidR="007F6DF9" w:rsidRDefault="007F6DF9">
      <w:pPr>
        <w:pStyle w:val="BodyText"/>
        <w:spacing w:before="226"/>
      </w:pPr>
    </w:p>
    <w:p w:rsidR="007F6DF9" w:rsidRDefault="00A43FBC">
      <w:pPr>
        <w:pStyle w:val="BodyText"/>
        <w:tabs>
          <w:tab w:val="left" w:pos="4873"/>
          <w:tab w:val="left" w:pos="10792"/>
        </w:tabs>
        <w:ind w:left="1061"/>
      </w:pPr>
      <w:r>
        <w:rPr>
          <w:color w:val="221F1F"/>
          <w:spacing w:val="-5"/>
        </w:rPr>
        <w:t>By</w:t>
      </w:r>
      <w:r>
        <w:rPr>
          <w:color w:val="221F1F"/>
          <w:u w:val="single" w:color="211E1F"/>
        </w:rPr>
        <w:tab/>
      </w:r>
      <w:r>
        <w:rPr>
          <w:color w:val="221F1F"/>
        </w:rPr>
        <w:t>in</w:t>
      </w:r>
      <w:r>
        <w:rPr>
          <w:color w:val="221F1F"/>
          <w:spacing w:val="-3"/>
        </w:rPr>
        <w:t xml:space="preserve"> </w:t>
      </w:r>
      <w:r>
        <w:rPr>
          <w:color w:val="221F1F"/>
        </w:rPr>
        <w:t>the</w:t>
      </w:r>
      <w:r>
        <w:rPr>
          <w:color w:val="221F1F"/>
          <w:spacing w:val="-2"/>
        </w:rPr>
        <w:t xml:space="preserve"> </w:t>
      </w:r>
      <w:r>
        <w:rPr>
          <w:color w:val="221F1F"/>
        </w:rPr>
        <w:t>capacity</w:t>
      </w:r>
      <w:r>
        <w:rPr>
          <w:color w:val="221F1F"/>
          <w:spacing w:val="-4"/>
        </w:rPr>
        <w:t xml:space="preserve"> </w:t>
      </w:r>
      <w:r>
        <w:rPr>
          <w:color w:val="221F1F"/>
          <w:spacing w:val="-5"/>
        </w:rPr>
        <w:t>of</w:t>
      </w:r>
      <w:r>
        <w:rPr>
          <w:color w:val="221F1F"/>
          <w:u w:val="single" w:color="211E1F"/>
        </w:rPr>
        <w:tab/>
      </w:r>
    </w:p>
    <w:p w:rsidR="007F6DF9" w:rsidRDefault="007F6DF9">
      <w:pPr>
        <w:pStyle w:val="BodyText"/>
        <w:spacing w:before="224"/>
      </w:pPr>
    </w:p>
    <w:p w:rsidR="007F6DF9" w:rsidRDefault="00A43FBC">
      <w:pPr>
        <w:pStyle w:val="BodyText"/>
        <w:tabs>
          <w:tab w:val="left" w:pos="10770"/>
        </w:tabs>
        <w:ind w:left="1061"/>
      </w:pPr>
      <w:proofErr w:type="spellStart"/>
      <w:r>
        <w:rPr>
          <w:color w:val="221F1F"/>
          <w:spacing w:val="-2"/>
        </w:rPr>
        <w:t>Inthepresenceof</w:t>
      </w:r>
      <w:proofErr w:type="spellEnd"/>
      <w:r>
        <w:rPr>
          <w:color w:val="221F1F"/>
          <w:u w:val="single" w:color="211E1F"/>
        </w:rPr>
        <w:tab/>
      </w:r>
    </w:p>
    <w:p w:rsidR="007F6DF9" w:rsidRDefault="007F6DF9">
      <w:pPr>
        <w:pStyle w:val="BodyText"/>
      </w:pPr>
    </w:p>
    <w:p w:rsidR="007F6DF9" w:rsidRDefault="007F6DF9">
      <w:pPr>
        <w:pStyle w:val="BodyText"/>
        <w:spacing w:before="215"/>
      </w:pPr>
    </w:p>
    <w:p w:rsidR="007F6DF9" w:rsidRDefault="00A43FBC">
      <w:pPr>
        <w:pStyle w:val="BodyText"/>
        <w:tabs>
          <w:tab w:val="left" w:pos="5960"/>
          <w:tab w:val="left" w:pos="10782"/>
        </w:tabs>
        <w:ind w:left="1061"/>
      </w:pPr>
      <w:r>
        <w:rPr>
          <w:color w:val="221F1F"/>
        </w:rPr>
        <w:t>SIGNED</w:t>
      </w:r>
      <w:r>
        <w:rPr>
          <w:color w:val="221F1F"/>
          <w:spacing w:val="-8"/>
        </w:rPr>
        <w:t xml:space="preserve"> </w:t>
      </w:r>
      <w:r>
        <w:rPr>
          <w:color w:val="221F1F"/>
          <w:spacing w:val="-5"/>
        </w:rPr>
        <w:t>ON</w:t>
      </w:r>
      <w:r>
        <w:rPr>
          <w:color w:val="221F1F"/>
          <w:u w:val="single" w:color="211E1F"/>
        </w:rPr>
        <w:tab/>
      </w:r>
      <w:proofErr w:type="spellStart"/>
      <w:r>
        <w:rPr>
          <w:color w:val="221F1F"/>
        </w:rPr>
        <w:t>on</w:t>
      </w:r>
      <w:proofErr w:type="spellEnd"/>
      <w:r>
        <w:rPr>
          <w:color w:val="221F1F"/>
          <w:spacing w:val="-3"/>
        </w:rPr>
        <w:t xml:space="preserve"> </w:t>
      </w:r>
      <w:r>
        <w:rPr>
          <w:color w:val="221F1F"/>
        </w:rPr>
        <w:t>behalf</w:t>
      </w:r>
      <w:r>
        <w:rPr>
          <w:color w:val="221F1F"/>
          <w:spacing w:val="-2"/>
        </w:rPr>
        <w:t xml:space="preserve"> </w:t>
      </w:r>
      <w:r>
        <w:rPr>
          <w:color w:val="221F1F"/>
          <w:spacing w:val="-5"/>
        </w:rPr>
        <w:t>of</w:t>
      </w:r>
      <w:r>
        <w:rPr>
          <w:color w:val="221F1F"/>
          <w:u w:val="single" w:color="211E1F"/>
        </w:rPr>
        <w:tab/>
      </w:r>
    </w:p>
    <w:p w:rsidR="007F6DF9" w:rsidRDefault="007F6DF9">
      <w:pPr>
        <w:pStyle w:val="BodyText"/>
        <w:spacing w:before="226"/>
      </w:pPr>
    </w:p>
    <w:p w:rsidR="007F6DF9" w:rsidRDefault="00A43FBC">
      <w:pPr>
        <w:pStyle w:val="BodyText"/>
        <w:tabs>
          <w:tab w:val="left" w:pos="5588"/>
          <w:tab w:val="left" w:pos="10847"/>
        </w:tabs>
        <w:ind w:left="1061"/>
      </w:pPr>
      <w:r>
        <w:rPr>
          <w:color w:val="221F1F"/>
          <w:spacing w:val="-5"/>
        </w:rPr>
        <w:t>By</w:t>
      </w:r>
      <w:r>
        <w:rPr>
          <w:color w:val="221F1F"/>
          <w:u w:val="single" w:color="211E1F"/>
        </w:rPr>
        <w:tab/>
      </w:r>
      <w:r>
        <w:rPr>
          <w:color w:val="221F1F"/>
        </w:rPr>
        <w:t>in</w:t>
      </w:r>
      <w:r>
        <w:rPr>
          <w:color w:val="221F1F"/>
          <w:spacing w:val="-5"/>
        </w:rPr>
        <w:t xml:space="preserve"> </w:t>
      </w:r>
      <w:r>
        <w:rPr>
          <w:color w:val="221F1F"/>
        </w:rPr>
        <w:t>the</w:t>
      </w:r>
      <w:r>
        <w:rPr>
          <w:color w:val="221F1F"/>
          <w:spacing w:val="-1"/>
        </w:rPr>
        <w:t xml:space="preserve"> </w:t>
      </w:r>
      <w:r>
        <w:rPr>
          <w:color w:val="221F1F"/>
        </w:rPr>
        <w:t>capacity</w:t>
      </w:r>
      <w:r>
        <w:rPr>
          <w:color w:val="221F1F"/>
          <w:spacing w:val="-4"/>
        </w:rPr>
        <w:t xml:space="preserve"> </w:t>
      </w:r>
      <w:r>
        <w:rPr>
          <w:color w:val="221F1F"/>
          <w:spacing w:val="-5"/>
        </w:rPr>
        <w:t>of</w:t>
      </w:r>
      <w:r>
        <w:rPr>
          <w:color w:val="221F1F"/>
          <w:u w:val="single" w:color="211E1F"/>
        </w:rPr>
        <w:tab/>
      </w:r>
    </w:p>
    <w:p w:rsidR="007F6DF9" w:rsidRDefault="007F6DF9">
      <w:pPr>
        <w:pStyle w:val="BodyText"/>
        <w:spacing w:before="224"/>
      </w:pPr>
    </w:p>
    <w:p w:rsidR="007F6DF9" w:rsidRDefault="00A43FBC">
      <w:pPr>
        <w:pStyle w:val="BodyText"/>
        <w:tabs>
          <w:tab w:val="left" w:pos="10888"/>
        </w:tabs>
        <w:spacing w:before="1"/>
        <w:ind w:left="1071"/>
      </w:pPr>
      <w:proofErr w:type="spellStart"/>
      <w:r>
        <w:rPr>
          <w:color w:val="221F1F"/>
        </w:rPr>
        <w:t>Inthepresence</w:t>
      </w:r>
      <w:proofErr w:type="spellEnd"/>
      <w:r>
        <w:rPr>
          <w:color w:val="221F1F"/>
          <w:spacing w:val="-5"/>
        </w:rPr>
        <w:t xml:space="preserve"> of</w:t>
      </w:r>
      <w:r>
        <w:rPr>
          <w:color w:val="221F1F"/>
          <w:u w:val="single" w:color="211E1F"/>
        </w:rPr>
        <w:tab/>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86"/>
        <w:rPr>
          <w:sz w:val="24"/>
        </w:rPr>
      </w:pPr>
    </w:p>
    <w:p w:rsidR="007F6DF9" w:rsidRDefault="00A43FBC">
      <w:pPr>
        <w:pStyle w:val="Heading6"/>
        <w:spacing w:before="1"/>
        <w:ind w:left="708"/>
      </w:pPr>
      <w:r>
        <w:rPr>
          <w:color w:val="221F1F"/>
        </w:rPr>
        <w:t>FORM</w:t>
      </w:r>
      <w:r>
        <w:rPr>
          <w:color w:val="221F1F"/>
          <w:spacing w:val="-3"/>
        </w:rPr>
        <w:t xml:space="preserve"> </w:t>
      </w:r>
      <w:r>
        <w:rPr>
          <w:color w:val="221F1F"/>
        </w:rPr>
        <w:t>NO. 7</w:t>
      </w:r>
      <w:r>
        <w:rPr>
          <w:color w:val="221F1F"/>
          <w:spacing w:val="-1"/>
        </w:rPr>
        <w:t xml:space="preserve"> </w:t>
      </w:r>
      <w:r>
        <w:rPr>
          <w:color w:val="221F1F"/>
        </w:rPr>
        <w:t>-</w:t>
      </w:r>
      <w:r>
        <w:rPr>
          <w:color w:val="221F1F"/>
          <w:spacing w:val="-1"/>
        </w:rPr>
        <w:t xml:space="preserve"> </w:t>
      </w:r>
      <w:r>
        <w:rPr>
          <w:color w:val="221F1F"/>
        </w:rPr>
        <w:t>ADVANCE</w:t>
      </w:r>
      <w:r>
        <w:rPr>
          <w:color w:val="221F1F"/>
          <w:spacing w:val="-1"/>
        </w:rPr>
        <w:t xml:space="preserve"> </w:t>
      </w:r>
      <w:r>
        <w:rPr>
          <w:color w:val="221F1F"/>
        </w:rPr>
        <w:t xml:space="preserve">PAYMENT </w:t>
      </w:r>
      <w:r>
        <w:rPr>
          <w:color w:val="221F1F"/>
          <w:spacing w:val="-2"/>
        </w:rPr>
        <w:t>SECURITY</w:t>
      </w:r>
    </w:p>
    <w:p w:rsidR="007F6DF9" w:rsidRDefault="00A43FBC">
      <w:pPr>
        <w:pStyle w:val="Heading9"/>
        <w:spacing w:before="227" w:line="251" w:lineRule="exact"/>
        <w:ind w:left="708" w:firstLine="0"/>
      </w:pPr>
      <w:r>
        <w:rPr>
          <w:color w:val="221F1F"/>
        </w:rPr>
        <w:t>[Demand</w:t>
      </w:r>
      <w:r>
        <w:rPr>
          <w:color w:val="221F1F"/>
          <w:spacing w:val="-4"/>
        </w:rPr>
        <w:t xml:space="preserve"> </w:t>
      </w:r>
      <w:r>
        <w:rPr>
          <w:color w:val="221F1F"/>
        </w:rPr>
        <w:t>Bank</w:t>
      </w:r>
      <w:r>
        <w:rPr>
          <w:color w:val="221F1F"/>
          <w:spacing w:val="-3"/>
        </w:rPr>
        <w:t xml:space="preserve"> </w:t>
      </w:r>
      <w:r>
        <w:rPr>
          <w:color w:val="221F1F"/>
          <w:spacing w:val="-2"/>
        </w:rPr>
        <w:t>Guarantee]</w:t>
      </w:r>
    </w:p>
    <w:p w:rsidR="007F6DF9" w:rsidRDefault="00A43FBC">
      <w:pPr>
        <w:spacing w:line="251" w:lineRule="exact"/>
        <w:ind w:left="708"/>
        <w:rPr>
          <w:i/>
        </w:rPr>
      </w:pPr>
      <w:r>
        <w:rPr>
          <w:i/>
          <w:color w:val="221F1F"/>
        </w:rPr>
        <w:t>[Guarantor</w:t>
      </w:r>
      <w:r>
        <w:rPr>
          <w:i/>
          <w:color w:val="221F1F"/>
          <w:spacing w:val="-5"/>
        </w:rPr>
        <w:t xml:space="preserve"> </w:t>
      </w:r>
      <w:r>
        <w:rPr>
          <w:i/>
          <w:color w:val="221F1F"/>
          <w:spacing w:val="-2"/>
        </w:rPr>
        <w:t>letterhead]</w:t>
      </w:r>
    </w:p>
    <w:p w:rsidR="007F6DF9" w:rsidRDefault="00A43FBC">
      <w:pPr>
        <w:tabs>
          <w:tab w:val="left" w:pos="3990"/>
          <w:tab w:val="left" w:pos="4026"/>
        </w:tabs>
        <w:spacing w:before="69" w:line="302" w:lineRule="auto"/>
        <w:ind w:left="708" w:right="3438"/>
        <w:rPr>
          <w:i/>
        </w:rPr>
      </w:pPr>
      <w:r>
        <w:rPr>
          <w:b/>
          <w:color w:val="221F1F"/>
          <w:spacing w:val="-2"/>
        </w:rPr>
        <w:t>Beneficiary:</w:t>
      </w:r>
      <w:r>
        <w:rPr>
          <w:color w:val="221F1F"/>
          <w:u w:val="thick" w:color="211E1F"/>
        </w:rPr>
        <w:tab/>
      </w:r>
      <w:r>
        <w:rPr>
          <w:i/>
          <w:color w:val="221F1F"/>
        </w:rPr>
        <w:t>[Insert</w:t>
      </w:r>
      <w:r>
        <w:rPr>
          <w:i/>
          <w:color w:val="221F1F"/>
          <w:spacing w:val="-7"/>
        </w:rPr>
        <w:t xml:space="preserve"> </w:t>
      </w:r>
      <w:r>
        <w:rPr>
          <w:i/>
          <w:color w:val="221F1F"/>
        </w:rPr>
        <w:t>name</w:t>
      </w:r>
      <w:r>
        <w:rPr>
          <w:i/>
          <w:color w:val="221F1F"/>
          <w:spacing w:val="-5"/>
        </w:rPr>
        <w:t xml:space="preserve"> </w:t>
      </w:r>
      <w:r>
        <w:rPr>
          <w:i/>
          <w:color w:val="221F1F"/>
        </w:rPr>
        <w:t>and</w:t>
      </w:r>
      <w:r>
        <w:rPr>
          <w:i/>
          <w:color w:val="221F1F"/>
          <w:spacing w:val="-5"/>
        </w:rPr>
        <w:t xml:space="preserve"> </w:t>
      </w:r>
      <w:r>
        <w:rPr>
          <w:i/>
          <w:color w:val="221F1F"/>
        </w:rPr>
        <w:t>Address</w:t>
      </w:r>
      <w:r>
        <w:rPr>
          <w:i/>
          <w:color w:val="221F1F"/>
          <w:spacing w:val="-5"/>
        </w:rPr>
        <w:t xml:space="preserve"> </w:t>
      </w:r>
      <w:r>
        <w:rPr>
          <w:i/>
          <w:color w:val="221F1F"/>
        </w:rPr>
        <w:t>of</w:t>
      </w:r>
      <w:r>
        <w:rPr>
          <w:i/>
          <w:color w:val="221F1F"/>
          <w:spacing w:val="-3"/>
        </w:rPr>
        <w:t xml:space="preserve"> </w:t>
      </w:r>
      <w:proofErr w:type="spellStart"/>
      <w:r>
        <w:rPr>
          <w:color w:val="221F1F"/>
        </w:rPr>
        <w:t>ProcuringEntity</w:t>
      </w:r>
      <w:proofErr w:type="spellEnd"/>
      <w:r>
        <w:rPr>
          <w:i/>
          <w:color w:val="221F1F"/>
        </w:rPr>
        <w:t xml:space="preserve">] </w:t>
      </w:r>
      <w:r>
        <w:rPr>
          <w:b/>
          <w:color w:val="221F1F"/>
          <w:spacing w:val="-2"/>
        </w:rPr>
        <w:t>Date:</w:t>
      </w:r>
      <w:r>
        <w:rPr>
          <w:b/>
          <w:color w:val="221F1F"/>
          <w:u w:val="single" w:color="211E1F"/>
        </w:rPr>
        <w:tab/>
      </w:r>
      <w:r>
        <w:rPr>
          <w:b/>
          <w:color w:val="221F1F"/>
          <w:u w:val="single" w:color="211E1F"/>
        </w:rPr>
        <w:tab/>
      </w:r>
      <w:r>
        <w:rPr>
          <w:i/>
          <w:color w:val="221F1F"/>
        </w:rPr>
        <w:t>[Insert date of issue]</w:t>
      </w:r>
    </w:p>
    <w:p w:rsidR="007F6DF9" w:rsidRDefault="00A43FBC">
      <w:pPr>
        <w:tabs>
          <w:tab w:val="left" w:pos="5029"/>
        </w:tabs>
        <w:spacing w:line="251" w:lineRule="exact"/>
        <w:ind w:left="708"/>
        <w:rPr>
          <w:i/>
        </w:rPr>
      </w:pPr>
      <w:r>
        <w:rPr>
          <w:b/>
          <w:color w:val="221F1F"/>
          <w:spacing w:val="-4"/>
        </w:rPr>
        <w:t>ADVANCE</w:t>
      </w:r>
      <w:r>
        <w:rPr>
          <w:b/>
          <w:color w:val="221F1F"/>
          <w:spacing w:val="-10"/>
        </w:rPr>
        <w:t xml:space="preserve"> </w:t>
      </w:r>
      <w:r>
        <w:rPr>
          <w:b/>
          <w:color w:val="221F1F"/>
          <w:spacing w:val="-4"/>
        </w:rPr>
        <w:t>PAYMENT</w:t>
      </w:r>
      <w:r>
        <w:rPr>
          <w:b/>
          <w:color w:val="221F1F"/>
          <w:spacing w:val="-15"/>
        </w:rPr>
        <w:t xml:space="preserve"> </w:t>
      </w:r>
      <w:r>
        <w:rPr>
          <w:b/>
          <w:color w:val="221F1F"/>
          <w:spacing w:val="-4"/>
        </w:rPr>
        <w:t>GUARANTEE</w:t>
      </w:r>
      <w:r>
        <w:rPr>
          <w:b/>
          <w:color w:val="221F1F"/>
          <w:spacing w:val="3"/>
        </w:rPr>
        <w:t xml:space="preserve"> </w:t>
      </w:r>
      <w:r>
        <w:rPr>
          <w:b/>
          <w:color w:val="221F1F"/>
          <w:spacing w:val="-4"/>
        </w:rPr>
        <w:t>No.:</w:t>
      </w:r>
      <w:r>
        <w:rPr>
          <w:b/>
          <w:color w:val="221F1F"/>
        </w:rPr>
        <w:tab/>
      </w:r>
      <w:r>
        <w:rPr>
          <w:i/>
          <w:color w:val="221F1F"/>
        </w:rPr>
        <w:t>[Insert</w:t>
      </w:r>
      <w:r>
        <w:rPr>
          <w:i/>
          <w:color w:val="221F1F"/>
          <w:spacing w:val="-8"/>
        </w:rPr>
        <w:t xml:space="preserve"> </w:t>
      </w:r>
      <w:r>
        <w:rPr>
          <w:i/>
          <w:color w:val="221F1F"/>
        </w:rPr>
        <w:t>guarantee</w:t>
      </w:r>
      <w:r>
        <w:rPr>
          <w:i/>
          <w:color w:val="221F1F"/>
          <w:spacing w:val="-3"/>
        </w:rPr>
        <w:t xml:space="preserve"> </w:t>
      </w:r>
      <w:r>
        <w:rPr>
          <w:i/>
          <w:color w:val="221F1F"/>
        </w:rPr>
        <w:t>reference</w:t>
      </w:r>
      <w:r>
        <w:rPr>
          <w:i/>
          <w:color w:val="221F1F"/>
          <w:spacing w:val="-3"/>
        </w:rPr>
        <w:t xml:space="preserve"> </w:t>
      </w:r>
      <w:r>
        <w:rPr>
          <w:i/>
          <w:color w:val="221F1F"/>
          <w:spacing w:val="-2"/>
        </w:rPr>
        <w:t>number]</w:t>
      </w:r>
    </w:p>
    <w:p w:rsidR="007F6DF9" w:rsidRDefault="00A43FBC">
      <w:pPr>
        <w:spacing w:before="66"/>
        <w:ind w:left="708"/>
        <w:rPr>
          <w:i/>
        </w:rPr>
      </w:pPr>
      <w:r>
        <w:rPr>
          <w:b/>
          <w:color w:val="221F1F"/>
        </w:rPr>
        <w:t>Guarantor:</w:t>
      </w:r>
      <w:r>
        <w:rPr>
          <w:b/>
          <w:color w:val="221F1F"/>
          <w:spacing w:val="-5"/>
        </w:rPr>
        <w:t xml:space="preserve"> </w:t>
      </w:r>
      <w:r>
        <w:rPr>
          <w:b/>
          <w:color w:val="221F1F"/>
        </w:rPr>
        <w:t>[</w:t>
      </w:r>
      <w:r>
        <w:rPr>
          <w:i/>
          <w:color w:val="221F1F"/>
        </w:rPr>
        <w:t>Insert</w:t>
      </w:r>
      <w:r>
        <w:rPr>
          <w:i/>
          <w:color w:val="221F1F"/>
          <w:spacing w:val="-5"/>
        </w:rPr>
        <w:t xml:space="preserve"> </w:t>
      </w:r>
      <w:r>
        <w:rPr>
          <w:i/>
          <w:color w:val="221F1F"/>
        </w:rPr>
        <w:t>name</w:t>
      </w:r>
      <w:r>
        <w:rPr>
          <w:i/>
          <w:color w:val="221F1F"/>
          <w:spacing w:val="-2"/>
        </w:rPr>
        <w:t xml:space="preserve"> </w:t>
      </w:r>
      <w:r>
        <w:rPr>
          <w:i/>
          <w:color w:val="221F1F"/>
        </w:rPr>
        <w:t>and</w:t>
      </w:r>
      <w:r>
        <w:rPr>
          <w:i/>
          <w:color w:val="221F1F"/>
          <w:spacing w:val="-3"/>
        </w:rPr>
        <w:t xml:space="preserve"> </w:t>
      </w:r>
      <w:r>
        <w:rPr>
          <w:i/>
          <w:color w:val="221F1F"/>
        </w:rPr>
        <w:t>address</w:t>
      </w:r>
      <w:r>
        <w:rPr>
          <w:i/>
          <w:color w:val="221F1F"/>
          <w:spacing w:val="-3"/>
        </w:rPr>
        <w:t xml:space="preserve"> </w:t>
      </w:r>
      <w:r>
        <w:rPr>
          <w:i/>
          <w:color w:val="221F1F"/>
        </w:rPr>
        <w:t>of</w:t>
      </w:r>
      <w:r>
        <w:rPr>
          <w:i/>
          <w:color w:val="221F1F"/>
          <w:spacing w:val="-1"/>
        </w:rPr>
        <w:t xml:space="preserve"> </w:t>
      </w:r>
      <w:r>
        <w:rPr>
          <w:i/>
          <w:color w:val="221F1F"/>
        </w:rPr>
        <w:t>place</w:t>
      </w:r>
      <w:r>
        <w:rPr>
          <w:i/>
          <w:color w:val="221F1F"/>
          <w:spacing w:val="-3"/>
        </w:rPr>
        <w:t xml:space="preserve"> </w:t>
      </w:r>
      <w:r>
        <w:rPr>
          <w:i/>
          <w:color w:val="221F1F"/>
        </w:rPr>
        <w:t>of</w:t>
      </w:r>
      <w:r>
        <w:rPr>
          <w:i/>
          <w:color w:val="221F1F"/>
          <w:spacing w:val="-4"/>
        </w:rPr>
        <w:t xml:space="preserve"> </w:t>
      </w:r>
      <w:r>
        <w:rPr>
          <w:i/>
          <w:color w:val="221F1F"/>
        </w:rPr>
        <w:t>issue,</w:t>
      </w:r>
      <w:r>
        <w:rPr>
          <w:i/>
          <w:color w:val="221F1F"/>
          <w:spacing w:val="-3"/>
        </w:rPr>
        <w:t xml:space="preserve"> </w:t>
      </w:r>
      <w:r>
        <w:rPr>
          <w:i/>
          <w:color w:val="221F1F"/>
        </w:rPr>
        <w:t>unless</w:t>
      </w:r>
      <w:r>
        <w:rPr>
          <w:i/>
          <w:color w:val="221F1F"/>
          <w:spacing w:val="-5"/>
        </w:rPr>
        <w:t xml:space="preserve"> </w:t>
      </w:r>
      <w:r>
        <w:rPr>
          <w:i/>
          <w:color w:val="221F1F"/>
        </w:rPr>
        <w:t>indicated</w:t>
      </w:r>
      <w:r>
        <w:rPr>
          <w:i/>
          <w:color w:val="221F1F"/>
          <w:spacing w:val="-4"/>
        </w:rPr>
        <w:t xml:space="preserve"> </w:t>
      </w:r>
      <w:r>
        <w:rPr>
          <w:i/>
          <w:color w:val="221F1F"/>
        </w:rPr>
        <w:t>in</w:t>
      </w:r>
      <w:r>
        <w:rPr>
          <w:i/>
          <w:color w:val="221F1F"/>
          <w:spacing w:val="-3"/>
        </w:rPr>
        <w:t xml:space="preserve"> </w:t>
      </w:r>
      <w:r>
        <w:rPr>
          <w:i/>
          <w:color w:val="221F1F"/>
        </w:rPr>
        <w:t>the</w:t>
      </w:r>
      <w:r>
        <w:rPr>
          <w:i/>
          <w:color w:val="221F1F"/>
          <w:spacing w:val="-2"/>
        </w:rPr>
        <w:t xml:space="preserve"> letterhead]</w:t>
      </w:r>
    </w:p>
    <w:p w:rsidR="007F6DF9" w:rsidRDefault="007F6DF9">
      <w:pPr>
        <w:pStyle w:val="BodyText"/>
        <w:spacing w:before="83"/>
        <w:rPr>
          <w:i/>
        </w:rPr>
      </w:pPr>
    </w:p>
    <w:p w:rsidR="007F6DF9" w:rsidRDefault="00A43FBC">
      <w:pPr>
        <w:pStyle w:val="ListParagraph"/>
        <w:numPr>
          <w:ilvl w:val="0"/>
          <w:numId w:val="13"/>
        </w:numPr>
        <w:tabs>
          <w:tab w:val="left" w:pos="1073"/>
          <w:tab w:val="left" w:pos="1081"/>
          <w:tab w:val="left" w:pos="2960"/>
          <w:tab w:val="left" w:pos="4892"/>
          <w:tab w:val="left" w:pos="5439"/>
          <w:tab w:val="left" w:pos="11169"/>
        </w:tabs>
        <w:spacing w:line="230" w:lineRule="auto"/>
        <w:ind w:right="315" w:hanging="373"/>
      </w:pPr>
      <w:r>
        <w:rPr>
          <w:color w:val="221F1F"/>
        </w:rPr>
        <w:t>We have been informed that</w:t>
      </w:r>
      <w:r>
        <w:rPr>
          <w:color w:val="221F1F"/>
          <w:u w:val="single" w:color="211E1F"/>
        </w:rPr>
        <w:tab/>
      </w:r>
      <w:r>
        <w:rPr>
          <w:color w:val="221F1F"/>
          <w:u w:val="single" w:color="211E1F"/>
        </w:rPr>
        <w:tab/>
      </w:r>
      <w:r>
        <w:rPr>
          <w:color w:val="221F1F"/>
        </w:rPr>
        <w:t xml:space="preserve">(hereinafter called “the Contractor”) has entered into Contract </w:t>
      </w:r>
      <w:r>
        <w:rPr>
          <w:color w:val="221F1F"/>
          <w:spacing w:val="-4"/>
        </w:rPr>
        <w:t>No.</w:t>
      </w:r>
      <w:r>
        <w:rPr>
          <w:i/>
          <w:color w:val="221F1F"/>
          <w:u w:val="single" w:color="211E1F"/>
        </w:rPr>
        <w:tab/>
      </w:r>
      <w:r>
        <w:rPr>
          <w:i/>
          <w:color w:val="221F1F"/>
          <w:spacing w:val="-2"/>
        </w:rPr>
        <w:t>dated</w:t>
      </w:r>
      <w:r>
        <w:rPr>
          <w:i/>
          <w:color w:val="221F1F"/>
          <w:u w:val="single" w:color="211E1F"/>
        </w:rPr>
        <w:tab/>
      </w:r>
      <w:r>
        <w:rPr>
          <w:color w:val="221F1F"/>
        </w:rPr>
        <w:t>with the Beneficiary, for the execution of</w:t>
      </w:r>
      <w:r>
        <w:rPr>
          <w:color w:val="221F1F"/>
          <w:u w:val="single" w:color="211E1F"/>
        </w:rPr>
        <w:tab/>
      </w:r>
      <w:r>
        <w:rPr>
          <w:color w:val="221F1F"/>
        </w:rPr>
        <w:t xml:space="preserve"> (hereinafter called" the Contract").</w:t>
      </w:r>
    </w:p>
    <w:p w:rsidR="007F6DF9" w:rsidRDefault="00A43FBC">
      <w:pPr>
        <w:pStyle w:val="ListParagraph"/>
        <w:numPr>
          <w:ilvl w:val="0"/>
          <w:numId w:val="13"/>
        </w:numPr>
        <w:tabs>
          <w:tab w:val="left" w:pos="1073"/>
        </w:tabs>
        <w:spacing w:before="228" w:line="252" w:lineRule="exact"/>
        <w:ind w:left="1073" w:hanging="365"/>
      </w:pPr>
      <w:r>
        <w:rPr>
          <w:color w:val="221F1F"/>
        </w:rPr>
        <w:t>Furthermore,</w:t>
      </w:r>
      <w:r>
        <w:rPr>
          <w:color w:val="221F1F"/>
          <w:spacing w:val="-6"/>
        </w:rPr>
        <w:t xml:space="preserve"> </w:t>
      </w:r>
      <w:r>
        <w:rPr>
          <w:color w:val="221F1F"/>
        </w:rPr>
        <w:t>we</w:t>
      </w:r>
      <w:r>
        <w:rPr>
          <w:color w:val="221F1F"/>
          <w:spacing w:val="-3"/>
        </w:rPr>
        <w:t xml:space="preserve"> </w:t>
      </w:r>
      <w:r>
        <w:rPr>
          <w:color w:val="221F1F"/>
        </w:rPr>
        <w:t>understand</w:t>
      </w:r>
      <w:r>
        <w:rPr>
          <w:color w:val="221F1F"/>
          <w:spacing w:val="-3"/>
        </w:rPr>
        <w:t xml:space="preserve"> </w:t>
      </w:r>
      <w:r>
        <w:rPr>
          <w:color w:val="221F1F"/>
        </w:rPr>
        <w:t>that,</w:t>
      </w:r>
      <w:r>
        <w:rPr>
          <w:color w:val="221F1F"/>
          <w:spacing w:val="-3"/>
        </w:rPr>
        <w:t xml:space="preserve"> </w:t>
      </w:r>
      <w:r>
        <w:rPr>
          <w:color w:val="221F1F"/>
        </w:rPr>
        <w:t>according</w:t>
      </w:r>
      <w:r>
        <w:rPr>
          <w:color w:val="221F1F"/>
          <w:spacing w:val="-3"/>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conditions</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an</w:t>
      </w:r>
      <w:r>
        <w:rPr>
          <w:color w:val="221F1F"/>
          <w:spacing w:val="-6"/>
        </w:rPr>
        <w:t xml:space="preserve"> </w:t>
      </w:r>
      <w:r>
        <w:rPr>
          <w:color w:val="221F1F"/>
        </w:rPr>
        <w:t>advance</w:t>
      </w:r>
      <w:r>
        <w:rPr>
          <w:color w:val="221F1F"/>
          <w:spacing w:val="-4"/>
        </w:rPr>
        <w:t xml:space="preserve"> </w:t>
      </w:r>
      <w:r>
        <w:rPr>
          <w:color w:val="221F1F"/>
        </w:rPr>
        <w:t>payment</w:t>
      </w:r>
      <w:r>
        <w:rPr>
          <w:color w:val="221F1F"/>
          <w:spacing w:val="-2"/>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spacing w:val="-5"/>
        </w:rPr>
        <w:t>sum</w:t>
      </w:r>
    </w:p>
    <w:p w:rsidR="007F6DF9" w:rsidRDefault="00A43FBC">
      <w:pPr>
        <w:pStyle w:val="BodyText"/>
        <w:tabs>
          <w:tab w:val="left" w:pos="2379"/>
          <w:tab w:val="left" w:pos="6321"/>
        </w:tabs>
        <w:spacing w:line="252" w:lineRule="exact"/>
        <w:ind w:left="1081"/>
      </w:pPr>
      <w:r>
        <w:rPr>
          <w:color w:val="221F1F"/>
          <w:u w:val="single" w:color="211E1F"/>
        </w:rPr>
        <w:tab/>
      </w:r>
      <w:r>
        <w:rPr>
          <w:color w:val="221F1F"/>
        </w:rPr>
        <w:t>(</w:t>
      </w:r>
      <w:r>
        <w:rPr>
          <w:i/>
          <w:color w:val="221F1F"/>
        </w:rPr>
        <w:t>in</w:t>
      </w:r>
      <w:r>
        <w:rPr>
          <w:i/>
          <w:color w:val="221F1F"/>
          <w:spacing w:val="-1"/>
        </w:rPr>
        <w:t xml:space="preserve"> </w:t>
      </w:r>
      <w:r>
        <w:rPr>
          <w:i/>
          <w:color w:val="221F1F"/>
          <w:spacing w:val="-4"/>
        </w:rPr>
        <w:t>words</w:t>
      </w:r>
      <w:r>
        <w:rPr>
          <w:color w:val="221F1F"/>
          <w:u w:val="single" w:color="211E1F"/>
        </w:rPr>
        <w:tab/>
      </w:r>
      <w:r>
        <w:rPr>
          <w:color w:val="221F1F"/>
        </w:rPr>
        <w:t>)</w:t>
      </w:r>
      <w:r>
        <w:rPr>
          <w:color w:val="221F1F"/>
          <w:spacing w:val="-3"/>
        </w:rPr>
        <w:t xml:space="preserve"> </w:t>
      </w:r>
      <w:r>
        <w:rPr>
          <w:color w:val="221F1F"/>
        </w:rPr>
        <w:t>is</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made</w:t>
      </w:r>
      <w:r>
        <w:rPr>
          <w:color w:val="221F1F"/>
          <w:spacing w:val="-4"/>
        </w:rPr>
        <w:t xml:space="preserve"> </w:t>
      </w:r>
      <w:r>
        <w:rPr>
          <w:color w:val="221F1F"/>
        </w:rPr>
        <w:t>against an</w:t>
      </w:r>
      <w:r>
        <w:rPr>
          <w:color w:val="221F1F"/>
          <w:spacing w:val="-4"/>
        </w:rPr>
        <w:t xml:space="preserve"> </w:t>
      </w:r>
      <w:r>
        <w:rPr>
          <w:color w:val="221F1F"/>
        </w:rPr>
        <w:t>advance</w:t>
      </w:r>
      <w:r>
        <w:rPr>
          <w:color w:val="221F1F"/>
          <w:spacing w:val="-2"/>
        </w:rPr>
        <w:t xml:space="preserve"> </w:t>
      </w:r>
      <w:r>
        <w:rPr>
          <w:color w:val="221F1F"/>
        </w:rPr>
        <w:t xml:space="preserve">payment </w:t>
      </w:r>
      <w:r>
        <w:rPr>
          <w:color w:val="221F1F"/>
          <w:spacing w:val="-2"/>
        </w:rPr>
        <w:t>guarantee.</w:t>
      </w:r>
    </w:p>
    <w:p w:rsidR="007F6DF9" w:rsidRDefault="00A43FBC">
      <w:pPr>
        <w:pStyle w:val="ListParagraph"/>
        <w:numPr>
          <w:ilvl w:val="0"/>
          <w:numId w:val="13"/>
        </w:numPr>
        <w:tabs>
          <w:tab w:val="left" w:pos="1074"/>
          <w:tab w:val="left" w:pos="1081"/>
          <w:tab w:val="left" w:pos="7271"/>
          <w:tab w:val="left" w:pos="10279"/>
        </w:tabs>
        <w:spacing w:before="245" w:line="230" w:lineRule="auto"/>
        <w:ind w:right="555" w:hanging="373"/>
        <w:jc w:val="both"/>
      </w:pPr>
      <w:r>
        <w:rPr>
          <w:color w:val="221F1F"/>
        </w:rPr>
        <w:t>At</w:t>
      </w:r>
      <w:r>
        <w:rPr>
          <w:color w:val="221F1F"/>
          <w:spacing w:val="-1"/>
        </w:rPr>
        <w:t xml:space="preserve"> </w:t>
      </w:r>
      <w:r>
        <w:rPr>
          <w:color w:val="221F1F"/>
        </w:rPr>
        <w:t>the</w:t>
      </w:r>
      <w:r>
        <w:rPr>
          <w:color w:val="221F1F"/>
          <w:spacing w:val="-4"/>
        </w:rPr>
        <w:t xml:space="preserve"> </w:t>
      </w:r>
      <w:r>
        <w:rPr>
          <w:color w:val="221F1F"/>
        </w:rPr>
        <w:t>request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we</w:t>
      </w:r>
      <w:r>
        <w:rPr>
          <w:color w:val="221F1F"/>
          <w:spacing w:val="-4"/>
        </w:rPr>
        <w:t xml:space="preserve"> </w:t>
      </w:r>
      <w:r>
        <w:rPr>
          <w:color w:val="221F1F"/>
        </w:rPr>
        <w:t>as</w:t>
      </w:r>
      <w:r>
        <w:rPr>
          <w:color w:val="221F1F"/>
          <w:spacing w:val="-4"/>
        </w:rPr>
        <w:t xml:space="preserve"> </w:t>
      </w:r>
      <w:r>
        <w:rPr>
          <w:color w:val="221F1F"/>
        </w:rPr>
        <w:t>Guarantor,</w:t>
      </w:r>
      <w:r>
        <w:rPr>
          <w:color w:val="221F1F"/>
          <w:spacing w:val="-4"/>
        </w:rPr>
        <w:t xml:space="preserve"> </w:t>
      </w:r>
      <w:r>
        <w:rPr>
          <w:color w:val="221F1F"/>
        </w:rPr>
        <w:t>here</w:t>
      </w:r>
      <w:r>
        <w:rPr>
          <w:color w:val="221F1F"/>
          <w:spacing w:val="-6"/>
        </w:rPr>
        <w:t xml:space="preserve"> </w:t>
      </w:r>
      <w:r>
        <w:rPr>
          <w:color w:val="221F1F"/>
        </w:rPr>
        <w:t>by</w:t>
      </w:r>
      <w:r>
        <w:rPr>
          <w:color w:val="221F1F"/>
          <w:spacing w:val="-2"/>
        </w:rPr>
        <w:t xml:space="preserve"> </w:t>
      </w:r>
      <w:r>
        <w:rPr>
          <w:color w:val="221F1F"/>
        </w:rPr>
        <w:t>irrevocably</w:t>
      </w:r>
      <w:r>
        <w:rPr>
          <w:color w:val="221F1F"/>
          <w:spacing w:val="-4"/>
        </w:rPr>
        <w:t xml:space="preserve"> </w:t>
      </w:r>
      <w:r>
        <w:rPr>
          <w:color w:val="221F1F"/>
        </w:rPr>
        <w:t>undertake</w:t>
      </w:r>
      <w:r>
        <w:rPr>
          <w:color w:val="221F1F"/>
          <w:spacing w:val="-4"/>
        </w:rPr>
        <w:t xml:space="preserve"> </w:t>
      </w:r>
      <w:r>
        <w:rPr>
          <w:color w:val="221F1F"/>
        </w:rPr>
        <w:t>to</w:t>
      </w:r>
      <w:r>
        <w:rPr>
          <w:color w:val="221F1F"/>
          <w:spacing w:val="-5"/>
        </w:rPr>
        <w:t xml:space="preserve"> </w:t>
      </w:r>
      <w:r>
        <w:rPr>
          <w:color w:val="221F1F"/>
        </w:rPr>
        <w:t>pay</w:t>
      </w:r>
      <w:r>
        <w:rPr>
          <w:color w:val="221F1F"/>
          <w:spacing w:val="-4"/>
        </w:rPr>
        <w:t xml:space="preserve"> </w:t>
      </w:r>
      <w:r>
        <w:rPr>
          <w:color w:val="221F1F"/>
        </w:rPr>
        <w:t>the</w:t>
      </w:r>
      <w:r>
        <w:rPr>
          <w:color w:val="221F1F"/>
          <w:spacing w:val="-2"/>
        </w:rPr>
        <w:t xml:space="preserve"> </w:t>
      </w:r>
      <w:r>
        <w:rPr>
          <w:color w:val="221F1F"/>
        </w:rPr>
        <w:t>Beneficiary</w:t>
      </w:r>
      <w:r>
        <w:rPr>
          <w:color w:val="221F1F"/>
          <w:spacing w:val="-4"/>
        </w:rPr>
        <w:t xml:space="preserve"> </w:t>
      </w:r>
      <w:r>
        <w:rPr>
          <w:color w:val="221F1F"/>
        </w:rPr>
        <w:t>any</w:t>
      </w:r>
      <w:r>
        <w:rPr>
          <w:color w:val="221F1F"/>
          <w:spacing w:val="-4"/>
        </w:rPr>
        <w:t xml:space="preserve"> </w:t>
      </w:r>
      <w:r>
        <w:rPr>
          <w:color w:val="221F1F"/>
        </w:rPr>
        <w:t>sum or sums not exceeding in total an amount of</w:t>
      </w:r>
      <w:r>
        <w:rPr>
          <w:color w:val="221F1F"/>
          <w:u w:val="single" w:color="211E1F"/>
        </w:rPr>
        <w:tab/>
      </w:r>
      <w:r>
        <w:rPr>
          <w:color w:val="221F1F"/>
        </w:rPr>
        <w:t>(</w:t>
      </w:r>
      <w:r>
        <w:rPr>
          <w:i/>
          <w:color w:val="221F1F"/>
        </w:rPr>
        <w:t>in words</w:t>
      </w:r>
      <w:r>
        <w:rPr>
          <w:i/>
          <w:color w:val="221F1F"/>
          <w:u w:val="single" w:color="211E1F"/>
        </w:rPr>
        <w:tab/>
      </w:r>
      <w:r>
        <w:rPr>
          <w:color w:val="221F1F"/>
        </w:rPr>
        <w:t>)</w:t>
      </w:r>
      <w:r>
        <w:rPr>
          <w:i/>
          <w:color w:val="221F1F"/>
          <w:position w:val="11"/>
          <w:sz w:val="11"/>
        </w:rPr>
        <w:t xml:space="preserve">1 </w:t>
      </w:r>
      <w:r>
        <w:rPr>
          <w:color w:val="221F1F"/>
        </w:rPr>
        <w:t xml:space="preserve">upon receipt by us of the Beneficiary's complying demand supported by the Beneficiary's statement, whether in the demand itself or in a separate signed document accompanying or identifying the demand, stating either that the </w:t>
      </w:r>
      <w:r>
        <w:rPr>
          <w:color w:val="221F1F"/>
          <w:spacing w:val="-2"/>
        </w:rPr>
        <w:t>Applicant:</w:t>
      </w:r>
    </w:p>
    <w:p w:rsidR="007F6DF9" w:rsidRDefault="00A43FBC">
      <w:pPr>
        <w:pStyle w:val="ListParagraph"/>
        <w:numPr>
          <w:ilvl w:val="1"/>
          <w:numId w:val="13"/>
        </w:numPr>
        <w:tabs>
          <w:tab w:val="left" w:pos="1462"/>
        </w:tabs>
        <w:spacing w:before="35"/>
      </w:pPr>
      <w:r>
        <w:rPr>
          <w:color w:val="221F1F"/>
        </w:rPr>
        <w:t>Has</w:t>
      </w:r>
      <w:r>
        <w:rPr>
          <w:color w:val="221F1F"/>
          <w:spacing w:val="-5"/>
        </w:rPr>
        <w:t xml:space="preserve"> </w:t>
      </w:r>
      <w:r>
        <w:rPr>
          <w:color w:val="221F1F"/>
        </w:rPr>
        <w:t>used</w:t>
      </w:r>
      <w:r>
        <w:rPr>
          <w:color w:val="221F1F"/>
          <w:spacing w:val="-4"/>
        </w:rPr>
        <w:t xml:space="preserve"> </w:t>
      </w:r>
      <w:r>
        <w:rPr>
          <w:color w:val="221F1F"/>
        </w:rPr>
        <w:t>the</w:t>
      </w:r>
      <w:r>
        <w:rPr>
          <w:color w:val="221F1F"/>
          <w:spacing w:val="-3"/>
        </w:rPr>
        <w:t xml:space="preserve"> </w:t>
      </w:r>
      <w:r>
        <w:rPr>
          <w:color w:val="221F1F"/>
        </w:rPr>
        <w:t>advance</w:t>
      </w:r>
      <w:r>
        <w:rPr>
          <w:color w:val="221F1F"/>
          <w:spacing w:val="-5"/>
        </w:rPr>
        <w:t xml:space="preserve"> </w:t>
      </w:r>
      <w:r>
        <w:rPr>
          <w:color w:val="221F1F"/>
        </w:rPr>
        <w:t>payment</w:t>
      </w:r>
      <w:r>
        <w:rPr>
          <w:color w:val="221F1F"/>
          <w:spacing w:val="-4"/>
        </w:rPr>
        <w:t xml:space="preserve"> </w:t>
      </w:r>
      <w:r>
        <w:rPr>
          <w:color w:val="221F1F"/>
        </w:rPr>
        <w:t>for</w:t>
      </w:r>
      <w:r>
        <w:rPr>
          <w:color w:val="221F1F"/>
          <w:spacing w:val="-2"/>
        </w:rPr>
        <w:t xml:space="preserve"> </w:t>
      </w:r>
      <w:r>
        <w:rPr>
          <w:color w:val="221F1F"/>
        </w:rPr>
        <w:t>purposes</w:t>
      </w:r>
      <w:r>
        <w:rPr>
          <w:color w:val="221F1F"/>
          <w:spacing w:val="-5"/>
        </w:rPr>
        <w:t xml:space="preserve"> </w:t>
      </w:r>
      <w:r>
        <w:rPr>
          <w:color w:val="221F1F"/>
        </w:rPr>
        <w:t>other</w:t>
      </w:r>
      <w:r>
        <w:rPr>
          <w:color w:val="221F1F"/>
          <w:spacing w:val="-4"/>
        </w:rPr>
        <w:t xml:space="preserve"> </w:t>
      </w:r>
      <w:r>
        <w:rPr>
          <w:color w:val="221F1F"/>
        </w:rPr>
        <w:t>than</w:t>
      </w:r>
      <w:r>
        <w:rPr>
          <w:color w:val="221F1F"/>
          <w:spacing w:val="-5"/>
        </w:rPr>
        <w:t xml:space="preserve"> </w:t>
      </w:r>
      <w:r>
        <w:rPr>
          <w:color w:val="221F1F"/>
        </w:rPr>
        <w:t>the</w:t>
      </w:r>
      <w:r>
        <w:rPr>
          <w:color w:val="221F1F"/>
          <w:spacing w:val="-3"/>
        </w:rPr>
        <w:t xml:space="preserve"> </w:t>
      </w:r>
      <w:r>
        <w:rPr>
          <w:color w:val="221F1F"/>
        </w:rPr>
        <w:t>costs</w:t>
      </w:r>
      <w:r>
        <w:rPr>
          <w:color w:val="221F1F"/>
          <w:spacing w:val="-3"/>
        </w:rPr>
        <w:t xml:space="preserve"> </w:t>
      </w:r>
      <w:r>
        <w:rPr>
          <w:color w:val="221F1F"/>
        </w:rPr>
        <w:t>of</w:t>
      </w:r>
      <w:r>
        <w:rPr>
          <w:color w:val="221F1F"/>
          <w:spacing w:val="-5"/>
        </w:rPr>
        <w:t xml:space="preserve"> </w:t>
      </w:r>
      <w:r>
        <w:rPr>
          <w:color w:val="221F1F"/>
        </w:rPr>
        <w:t>mobilization</w:t>
      </w:r>
      <w:r>
        <w:rPr>
          <w:color w:val="221F1F"/>
          <w:spacing w:val="-5"/>
        </w:rPr>
        <w:t xml:space="preserve"> </w:t>
      </w:r>
      <w:r>
        <w:rPr>
          <w:color w:val="221F1F"/>
        </w:rPr>
        <w:t>in</w:t>
      </w:r>
      <w:r>
        <w:rPr>
          <w:color w:val="221F1F"/>
          <w:spacing w:val="-5"/>
        </w:rPr>
        <w:t xml:space="preserve"> </w:t>
      </w:r>
      <w:r>
        <w:rPr>
          <w:color w:val="221F1F"/>
        </w:rPr>
        <w:t>respect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6"/>
        </w:rPr>
        <w:t xml:space="preserve"> </w:t>
      </w:r>
      <w:r>
        <w:rPr>
          <w:color w:val="221F1F"/>
          <w:spacing w:val="-5"/>
        </w:rPr>
        <w:t>or</w:t>
      </w:r>
    </w:p>
    <w:p w:rsidR="007F6DF9" w:rsidRDefault="00A43FBC">
      <w:pPr>
        <w:pStyle w:val="ListParagraph"/>
        <w:numPr>
          <w:ilvl w:val="1"/>
          <w:numId w:val="13"/>
        </w:numPr>
        <w:tabs>
          <w:tab w:val="left" w:pos="1462"/>
        </w:tabs>
        <w:spacing w:before="46" w:line="230" w:lineRule="auto"/>
        <w:ind w:right="1271"/>
      </w:pPr>
      <w:r>
        <w:rPr>
          <w:color w:val="221F1F"/>
        </w:rPr>
        <w:t>Has</w:t>
      </w:r>
      <w:r>
        <w:rPr>
          <w:color w:val="221F1F"/>
          <w:spacing w:val="-2"/>
        </w:rPr>
        <w:t xml:space="preserve"> </w:t>
      </w:r>
      <w:r>
        <w:rPr>
          <w:color w:val="221F1F"/>
        </w:rPr>
        <w:t>failed</w:t>
      </w:r>
      <w:r>
        <w:rPr>
          <w:color w:val="221F1F"/>
          <w:spacing w:val="-2"/>
        </w:rPr>
        <w:t xml:space="preserve"> </w:t>
      </w:r>
      <w:r>
        <w:rPr>
          <w:color w:val="221F1F"/>
        </w:rPr>
        <w:t>to</w:t>
      </w:r>
      <w:r>
        <w:rPr>
          <w:color w:val="221F1F"/>
          <w:spacing w:val="-2"/>
        </w:rPr>
        <w:t xml:space="preserve"> </w:t>
      </w:r>
      <w:r>
        <w:rPr>
          <w:color w:val="221F1F"/>
        </w:rPr>
        <w:t>repay</w:t>
      </w:r>
      <w:r>
        <w:rPr>
          <w:color w:val="221F1F"/>
          <w:spacing w:val="-4"/>
        </w:rPr>
        <w:t xml:space="preserve"> </w:t>
      </w:r>
      <w:r>
        <w:rPr>
          <w:color w:val="221F1F"/>
        </w:rPr>
        <w:t>the</w:t>
      </w:r>
      <w:r>
        <w:rPr>
          <w:color w:val="221F1F"/>
          <w:spacing w:val="-4"/>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in</w:t>
      </w:r>
      <w:r>
        <w:rPr>
          <w:color w:val="221F1F"/>
          <w:spacing w:val="-5"/>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the</w:t>
      </w:r>
      <w:r>
        <w:rPr>
          <w:color w:val="221F1F"/>
          <w:spacing w:val="-4"/>
        </w:rPr>
        <w:t xml:space="preserve"> </w:t>
      </w:r>
      <w:r>
        <w:rPr>
          <w:color w:val="221F1F"/>
        </w:rPr>
        <w:t>Contract</w:t>
      </w:r>
      <w:r>
        <w:rPr>
          <w:color w:val="221F1F"/>
          <w:spacing w:val="-1"/>
        </w:rPr>
        <w:t xml:space="preserve"> </w:t>
      </w:r>
      <w:r>
        <w:rPr>
          <w:color w:val="221F1F"/>
        </w:rPr>
        <w:t>conditions,</w:t>
      </w:r>
      <w:r>
        <w:rPr>
          <w:color w:val="221F1F"/>
          <w:spacing w:val="-2"/>
        </w:rPr>
        <w:t xml:space="preserve"> </w:t>
      </w:r>
      <w:r>
        <w:rPr>
          <w:color w:val="221F1F"/>
        </w:rPr>
        <w:t>specifying</w:t>
      </w:r>
      <w:r>
        <w:rPr>
          <w:color w:val="221F1F"/>
          <w:spacing w:val="-2"/>
        </w:rPr>
        <w:t xml:space="preserve"> </w:t>
      </w:r>
      <w:r>
        <w:rPr>
          <w:color w:val="221F1F"/>
        </w:rPr>
        <w:t>the amount which the Applicant has failed to repay.</w:t>
      </w:r>
    </w:p>
    <w:p w:rsidR="007F6DF9" w:rsidRDefault="00A43FBC">
      <w:pPr>
        <w:pStyle w:val="ListParagraph"/>
        <w:numPr>
          <w:ilvl w:val="0"/>
          <w:numId w:val="13"/>
        </w:numPr>
        <w:tabs>
          <w:tab w:val="left" w:pos="1073"/>
          <w:tab w:val="left" w:pos="1078"/>
          <w:tab w:val="left" w:pos="5725"/>
          <w:tab w:val="left" w:pos="7787"/>
        </w:tabs>
        <w:spacing w:before="246" w:line="230" w:lineRule="auto"/>
        <w:ind w:left="1078" w:right="556" w:hanging="371"/>
        <w:jc w:val="both"/>
      </w:pPr>
      <w:r>
        <w:rPr>
          <w:color w:val="221F1F"/>
        </w:rPr>
        <w:t>A demand under this guarantee may be</w:t>
      </w:r>
      <w:r>
        <w:rPr>
          <w:color w:val="221F1F"/>
          <w:spacing w:val="-1"/>
        </w:rPr>
        <w:t xml:space="preserve"> </w:t>
      </w:r>
      <w:r>
        <w:rPr>
          <w:color w:val="221F1F"/>
        </w:rPr>
        <w:t>presented as</w:t>
      </w:r>
      <w:r>
        <w:rPr>
          <w:color w:val="221F1F"/>
          <w:spacing w:val="-1"/>
        </w:rPr>
        <w:t xml:space="preserve"> </w:t>
      </w:r>
      <w:r>
        <w:rPr>
          <w:color w:val="221F1F"/>
        </w:rPr>
        <w:t>from the presentation</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Guarantor of a certificate from the</w:t>
      </w:r>
      <w:r>
        <w:rPr>
          <w:color w:val="221F1F"/>
          <w:spacing w:val="-2"/>
        </w:rPr>
        <w:t xml:space="preserve"> </w:t>
      </w:r>
      <w:r>
        <w:rPr>
          <w:color w:val="221F1F"/>
        </w:rPr>
        <w:t>Beneficiary's</w:t>
      </w:r>
      <w:r>
        <w:rPr>
          <w:color w:val="221F1F"/>
          <w:spacing w:val="-2"/>
        </w:rPr>
        <w:t xml:space="preserve"> </w:t>
      </w:r>
      <w:r>
        <w:rPr>
          <w:color w:val="221F1F"/>
        </w:rPr>
        <w:t>bank</w:t>
      </w:r>
      <w:r>
        <w:rPr>
          <w:color w:val="221F1F"/>
          <w:spacing w:val="-2"/>
        </w:rPr>
        <w:t xml:space="preserve"> </w:t>
      </w:r>
      <w:r>
        <w:rPr>
          <w:color w:val="221F1F"/>
        </w:rPr>
        <w:t>stating</w:t>
      </w:r>
      <w:r>
        <w:rPr>
          <w:color w:val="221F1F"/>
          <w:spacing w:val="-2"/>
        </w:rPr>
        <w:t xml:space="preserve"> </w:t>
      </w:r>
      <w:r>
        <w:rPr>
          <w:color w:val="221F1F"/>
        </w:rPr>
        <w:t>that</w:t>
      </w:r>
      <w:r>
        <w:rPr>
          <w:color w:val="221F1F"/>
          <w:spacing w:val="-1"/>
        </w:rPr>
        <w:t xml:space="preserve"> </w:t>
      </w:r>
      <w:r>
        <w:rPr>
          <w:color w:val="221F1F"/>
        </w:rPr>
        <w:t>the</w:t>
      </w:r>
      <w:r>
        <w:rPr>
          <w:color w:val="221F1F"/>
          <w:spacing w:val="-2"/>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referred</w:t>
      </w:r>
      <w:r>
        <w:rPr>
          <w:color w:val="221F1F"/>
          <w:spacing w:val="-2"/>
        </w:rPr>
        <w:t xml:space="preserve"> </w:t>
      </w:r>
      <w:r>
        <w:rPr>
          <w:color w:val="221F1F"/>
        </w:rPr>
        <w:t>to</w:t>
      </w:r>
      <w:r>
        <w:rPr>
          <w:color w:val="221F1F"/>
          <w:spacing w:val="-5"/>
        </w:rPr>
        <w:t xml:space="preserve"> </w:t>
      </w:r>
      <w:r>
        <w:rPr>
          <w:color w:val="221F1F"/>
        </w:rPr>
        <w:t>above</w:t>
      </w:r>
      <w:r>
        <w:rPr>
          <w:color w:val="221F1F"/>
          <w:spacing w:val="-2"/>
        </w:rPr>
        <w:t xml:space="preserve"> </w:t>
      </w:r>
      <w:r>
        <w:rPr>
          <w:color w:val="221F1F"/>
        </w:rPr>
        <w:t>has</w:t>
      </w:r>
      <w:r>
        <w:rPr>
          <w:color w:val="221F1F"/>
          <w:spacing w:val="-4"/>
        </w:rPr>
        <w:t xml:space="preserve"> </w:t>
      </w:r>
      <w:r>
        <w:rPr>
          <w:color w:val="221F1F"/>
        </w:rPr>
        <w:t>been</w:t>
      </w:r>
      <w:r>
        <w:rPr>
          <w:color w:val="221F1F"/>
          <w:spacing w:val="-2"/>
        </w:rPr>
        <w:t xml:space="preserve"> </w:t>
      </w:r>
      <w:r>
        <w:rPr>
          <w:color w:val="221F1F"/>
        </w:rPr>
        <w:t>credited</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on its account number</w:t>
      </w:r>
      <w:r>
        <w:rPr>
          <w:color w:val="221F1F"/>
          <w:u w:val="single" w:color="211E1F"/>
        </w:rPr>
        <w:tab/>
      </w:r>
      <w:r>
        <w:rPr>
          <w:color w:val="221F1F"/>
          <w:spacing w:val="-6"/>
        </w:rPr>
        <w:t>at</w:t>
      </w:r>
      <w:r>
        <w:rPr>
          <w:color w:val="221F1F"/>
          <w:u w:val="single" w:color="211E1F"/>
        </w:rPr>
        <w:tab/>
      </w:r>
      <w:r>
        <w:rPr>
          <w:color w:val="221F1F"/>
          <w:spacing w:val="-10"/>
        </w:rPr>
        <w:t>.</w:t>
      </w:r>
    </w:p>
    <w:p w:rsidR="007F6DF9" w:rsidRDefault="00A43FBC">
      <w:pPr>
        <w:pStyle w:val="ListParagraph"/>
        <w:numPr>
          <w:ilvl w:val="0"/>
          <w:numId w:val="13"/>
        </w:numPr>
        <w:tabs>
          <w:tab w:val="left" w:pos="1071"/>
          <w:tab w:val="left" w:pos="1078"/>
          <w:tab w:val="left" w:pos="5547"/>
          <w:tab w:val="left" w:pos="7609"/>
          <w:tab w:val="left" w:pos="8942"/>
        </w:tabs>
        <w:spacing w:before="244" w:line="230" w:lineRule="auto"/>
        <w:ind w:left="1078" w:right="556" w:hanging="373"/>
        <w:jc w:val="both"/>
      </w:pPr>
      <w:r>
        <w:rPr>
          <w:color w:val="221F1F"/>
        </w:rPr>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w:t>
      </w:r>
      <w:r>
        <w:rPr>
          <w:color w:val="221F1F"/>
          <w:spacing w:val="-3"/>
        </w:rPr>
        <w:t xml:space="preserve"> </w:t>
      </w:r>
      <w:r>
        <w:rPr>
          <w:color w:val="221F1F"/>
        </w:rPr>
        <w:t>that</w:t>
      </w:r>
      <w:r>
        <w:rPr>
          <w:color w:val="221F1F"/>
          <w:spacing w:val="-1"/>
        </w:rPr>
        <w:t xml:space="preserve"> </w:t>
      </w:r>
      <w:r>
        <w:rPr>
          <w:color w:val="221F1F"/>
        </w:rPr>
        <w:t>ninety</w:t>
      </w:r>
      <w:r>
        <w:rPr>
          <w:color w:val="221F1F"/>
          <w:spacing w:val="-2"/>
        </w:rPr>
        <w:t xml:space="preserve"> </w:t>
      </w:r>
      <w:r>
        <w:rPr>
          <w:color w:val="221F1F"/>
        </w:rPr>
        <w:t>(90) percent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Accepted Contract</w:t>
      </w:r>
      <w:r>
        <w:rPr>
          <w:color w:val="221F1F"/>
          <w:spacing w:val="-1"/>
        </w:rPr>
        <w:t xml:space="preserve"> </w:t>
      </w:r>
      <w:r>
        <w:rPr>
          <w:color w:val="221F1F"/>
        </w:rPr>
        <w:t>Amount,</w:t>
      </w:r>
      <w:r>
        <w:rPr>
          <w:color w:val="221F1F"/>
          <w:spacing w:val="-3"/>
        </w:rPr>
        <w:t xml:space="preserve"> </w:t>
      </w:r>
      <w:r>
        <w:rPr>
          <w:color w:val="221F1F"/>
        </w:rPr>
        <w:t>less provisional</w:t>
      </w:r>
      <w:r>
        <w:rPr>
          <w:color w:val="221F1F"/>
          <w:spacing w:val="-1"/>
        </w:rPr>
        <w:t xml:space="preserve"> </w:t>
      </w:r>
      <w:r>
        <w:rPr>
          <w:color w:val="221F1F"/>
        </w:rPr>
        <w:t>sums,</w:t>
      </w:r>
      <w:r>
        <w:rPr>
          <w:color w:val="221F1F"/>
          <w:spacing w:val="-2"/>
        </w:rPr>
        <w:t xml:space="preserve"> </w:t>
      </w:r>
      <w:r>
        <w:rPr>
          <w:color w:val="221F1F"/>
        </w:rPr>
        <w:t>has</w:t>
      </w:r>
      <w:r>
        <w:rPr>
          <w:color w:val="221F1F"/>
          <w:spacing w:val="-2"/>
        </w:rPr>
        <w:t xml:space="preserve"> </w:t>
      </w:r>
      <w:r>
        <w:rPr>
          <w:color w:val="221F1F"/>
        </w:rPr>
        <w:t xml:space="preserve">been certified for payment, </w:t>
      </w:r>
      <w:proofErr w:type="spellStart"/>
      <w:r>
        <w:rPr>
          <w:color w:val="221F1F"/>
        </w:rPr>
        <w:t>oronthe</w:t>
      </w:r>
      <w:proofErr w:type="spellEnd"/>
      <w:r>
        <w:rPr>
          <w:color w:val="221F1F"/>
          <w:u w:val="single" w:color="211E1F"/>
        </w:rPr>
        <w:tab/>
      </w:r>
      <w:proofErr w:type="spellStart"/>
      <w:r>
        <w:rPr>
          <w:color w:val="221F1F"/>
          <w:spacing w:val="-2"/>
        </w:rPr>
        <w:t>dayof</w:t>
      </w:r>
      <w:proofErr w:type="spellEnd"/>
      <w:r>
        <w:rPr>
          <w:color w:val="221F1F"/>
          <w:u w:val="single" w:color="211E1F"/>
        </w:rPr>
        <w:tab/>
      </w:r>
      <w:r>
        <w:rPr>
          <w:color w:val="221F1F"/>
          <w:spacing w:val="-6"/>
        </w:rPr>
        <w:t>,2</w:t>
      </w:r>
      <w:r>
        <w:rPr>
          <w:color w:val="221F1F"/>
          <w:u w:val="single" w:color="211E1F"/>
        </w:rPr>
        <w:tab/>
      </w:r>
      <w:r>
        <w:rPr>
          <w:color w:val="221F1F"/>
        </w:rPr>
        <w:t>,</w:t>
      </w:r>
      <w:r>
        <w:rPr>
          <w:color w:val="221F1F"/>
          <w:position w:val="11"/>
          <w:sz w:val="11"/>
        </w:rPr>
        <w:t xml:space="preserve">2 </w:t>
      </w:r>
      <w:r>
        <w:rPr>
          <w:color w:val="221F1F"/>
        </w:rPr>
        <w:t>whichever is earlier. Consequently, any demand for payment under this guarantee must be received by us at this office on or before that date.</w:t>
      </w:r>
    </w:p>
    <w:p w:rsidR="007F6DF9" w:rsidRDefault="00A43FBC">
      <w:pPr>
        <w:pStyle w:val="ListParagraph"/>
        <w:numPr>
          <w:ilvl w:val="0"/>
          <w:numId w:val="13"/>
        </w:numPr>
        <w:tabs>
          <w:tab w:val="left" w:pos="1071"/>
          <w:tab w:val="left" w:pos="1078"/>
        </w:tabs>
        <w:spacing w:before="239" w:line="230" w:lineRule="auto"/>
        <w:ind w:left="1078" w:right="558" w:hanging="373"/>
        <w:jc w:val="both"/>
      </w:pPr>
      <w:r>
        <w:rPr>
          <w:color w:val="221F1F"/>
        </w:rPr>
        <w:t xml:space="preserve">The Guarantor agrees to a one-time extension of this guarantee for a period not to exceed </w:t>
      </w:r>
      <w:r>
        <w:rPr>
          <w:i/>
          <w:color w:val="221F1F"/>
        </w:rPr>
        <w:t xml:space="preserve">[six months] [one year], </w:t>
      </w:r>
      <w:r>
        <w:rPr>
          <w:color w:val="221F1F"/>
        </w:rPr>
        <w:t>in response to the Beneficiary's written request for such extension, such request to be presented to the Guarantor before the expiry of the guarantee.</w:t>
      </w:r>
    </w:p>
    <w:p w:rsidR="007F6DF9" w:rsidRDefault="007F6DF9">
      <w:pPr>
        <w:pStyle w:val="BodyText"/>
        <w:rPr>
          <w:sz w:val="20"/>
        </w:rPr>
      </w:pPr>
    </w:p>
    <w:p w:rsidR="007F6DF9" w:rsidRDefault="007F6DF9">
      <w:pPr>
        <w:pStyle w:val="BodyText"/>
        <w:rPr>
          <w:sz w:val="20"/>
        </w:rPr>
      </w:pPr>
    </w:p>
    <w:p w:rsidR="007F6DF9" w:rsidRDefault="00A43FBC">
      <w:pPr>
        <w:pStyle w:val="BodyText"/>
        <w:spacing w:before="106"/>
        <w:rPr>
          <w:sz w:val="20"/>
        </w:rPr>
      </w:pPr>
      <w:r>
        <w:rPr>
          <w:noProof/>
          <w:sz w:val="20"/>
        </w:rPr>
        <mc:AlternateContent>
          <mc:Choice Requires="wps">
            <w:drawing>
              <wp:anchor distT="0" distB="0" distL="0" distR="0" simplePos="0" relativeHeight="487629312" behindDoc="1" locked="0" layoutInCell="1" allowOverlap="1">
                <wp:simplePos x="0" y="0"/>
                <wp:positionH relativeFrom="page">
                  <wp:posOffset>766444</wp:posOffset>
                </wp:positionH>
                <wp:positionV relativeFrom="paragraph">
                  <wp:posOffset>229133</wp:posOffset>
                </wp:positionV>
                <wp:extent cx="5588000" cy="127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0" cy="1270"/>
                        </a:xfrm>
                        <a:custGeom>
                          <a:avLst/>
                          <a:gdLst/>
                          <a:ahLst/>
                          <a:cxnLst/>
                          <a:rect l="l" t="t" r="r" b="b"/>
                          <a:pathLst>
                            <a:path w="5588000">
                              <a:moveTo>
                                <a:pt x="0" y="0"/>
                              </a:moveTo>
                              <a:lnTo>
                                <a:pt x="558800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w:pict>
              <v:shape w14:anchorId="2E91C460" id="Graphic 453" o:spid="_x0000_s1026" style="position:absolute;margin-left:60.35pt;margin-top:18.05pt;width:440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58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" path="m,l5588000,e" filled="f" strokecolor="#211e1f" strokeweight=".44pt">
                <v:path arrowok="t"/>
                <w10:wrap type="topAndBottom" anchorx="page"/>
              </v:shape>
            </w:pict>
          </mc:Fallback>
        </mc:AlternateContent>
      </w:r>
    </w:p>
    <w:p w:rsidR="007F6DF9" w:rsidRDefault="007F6DF9">
      <w:pPr>
        <w:pStyle w:val="BodyText"/>
        <w:spacing w:before="12"/>
      </w:pPr>
    </w:p>
    <w:p w:rsidR="007F6DF9" w:rsidRDefault="00A43FBC">
      <w:pPr>
        <w:ind w:left="1066"/>
      </w:pPr>
      <w:r>
        <w:rPr>
          <w:i/>
          <w:color w:val="221F1F"/>
        </w:rPr>
        <w:t>[Name</w:t>
      </w:r>
      <w:r>
        <w:rPr>
          <w:i/>
          <w:color w:val="221F1F"/>
          <w:spacing w:val="-8"/>
        </w:rPr>
        <w:t xml:space="preserve"> </w:t>
      </w:r>
      <w:r>
        <w:rPr>
          <w:i/>
          <w:color w:val="221F1F"/>
        </w:rPr>
        <w:t>of</w:t>
      </w:r>
      <w:r>
        <w:rPr>
          <w:i/>
          <w:color w:val="221F1F"/>
          <w:spacing w:val="-6"/>
        </w:rPr>
        <w:t xml:space="preserve"> </w:t>
      </w:r>
      <w:r>
        <w:rPr>
          <w:i/>
          <w:color w:val="221F1F"/>
        </w:rPr>
        <w:t>Authorized</w:t>
      </w:r>
      <w:r>
        <w:rPr>
          <w:i/>
          <w:color w:val="221F1F"/>
          <w:spacing w:val="-8"/>
        </w:rPr>
        <w:t xml:space="preserve"> </w:t>
      </w:r>
      <w:r>
        <w:rPr>
          <w:i/>
          <w:color w:val="221F1F"/>
        </w:rPr>
        <w:t>Official,</w:t>
      </w:r>
      <w:r>
        <w:rPr>
          <w:i/>
          <w:color w:val="221F1F"/>
          <w:spacing w:val="-7"/>
        </w:rPr>
        <w:t xml:space="preserve"> </w:t>
      </w:r>
      <w:r>
        <w:rPr>
          <w:i/>
          <w:color w:val="221F1F"/>
        </w:rPr>
        <w:t>signature(s)</w:t>
      </w:r>
      <w:r>
        <w:rPr>
          <w:i/>
          <w:color w:val="221F1F"/>
          <w:spacing w:val="-8"/>
        </w:rPr>
        <w:t xml:space="preserve"> </w:t>
      </w:r>
      <w:r>
        <w:rPr>
          <w:i/>
          <w:color w:val="221F1F"/>
        </w:rPr>
        <w:t>and</w:t>
      </w:r>
      <w:r>
        <w:rPr>
          <w:i/>
          <w:color w:val="221F1F"/>
          <w:spacing w:val="-10"/>
        </w:rPr>
        <w:t xml:space="preserve"> </w:t>
      </w:r>
      <w:r>
        <w:rPr>
          <w:i/>
          <w:color w:val="221F1F"/>
          <w:spacing w:val="-2"/>
        </w:rPr>
        <w:t>seals/stamps</w:t>
      </w:r>
      <w:r>
        <w:rPr>
          <w:color w:val="221F1F"/>
          <w:spacing w:val="-2"/>
        </w:rPr>
        <w:t>]</w:t>
      </w:r>
    </w:p>
    <w:p w:rsidR="007F6DF9" w:rsidRDefault="00A43FBC">
      <w:pPr>
        <w:spacing w:before="242" w:line="230" w:lineRule="auto"/>
        <w:ind w:left="1083" w:right="708" w:hanging="17"/>
        <w:rPr>
          <w:i/>
        </w:rPr>
      </w:pPr>
      <w:r>
        <w:rPr>
          <w:b/>
          <w:i/>
          <w:color w:val="221F1F"/>
        </w:rPr>
        <w:t xml:space="preserve">Note: </w:t>
      </w:r>
      <w:r>
        <w:rPr>
          <w:i/>
          <w:color w:val="221F1F"/>
        </w:rPr>
        <w:t>All</w:t>
      </w:r>
      <w:r>
        <w:rPr>
          <w:i/>
          <w:color w:val="221F1F"/>
          <w:spacing w:val="-3"/>
        </w:rPr>
        <w:t xml:space="preserve"> </w:t>
      </w:r>
      <w:r>
        <w:rPr>
          <w:i/>
          <w:color w:val="221F1F"/>
        </w:rPr>
        <w:t>italicized</w:t>
      </w:r>
      <w:r>
        <w:rPr>
          <w:i/>
          <w:color w:val="221F1F"/>
          <w:spacing w:val="-4"/>
        </w:rPr>
        <w:t xml:space="preserve"> </w:t>
      </w:r>
      <w:r>
        <w:rPr>
          <w:i/>
          <w:color w:val="221F1F"/>
        </w:rPr>
        <w:t>text</w:t>
      </w:r>
      <w:r>
        <w:rPr>
          <w:i/>
          <w:color w:val="221F1F"/>
          <w:spacing w:val="-3"/>
        </w:rPr>
        <w:t xml:space="preserve"> </w:t>
      </w:r>
      <w:r>
        <w:rPr>
          <w:i/>
          <w:color w:val="221F1F"/>
        </w:rPr>
        <w:t>(including</w:t>
      </w:r>
      <w:r>
        <w:rPr>
          <w:i/>
          <w:color w:val="221F1F"/>
          <w:spacing w:val="-1"/>
        </w:rPr>
        <w:t xml:space="preserve"> </w:t>
      </w:r>
      <w:r>
        <w:rPr>
          <w:i/>
          <w:color w:val="221F1F"/>
        </w:rPr>
        <w:t>footnotes)</w:t>
      </w:r>
      <w:r>
        <w:rPr>
          <w:i/>
          <w:color w:val="221F1F"/>
          <w:spacing w:val="-3"/>
        </w:rPr>
        <w:t xml:space="preserve"> </w:t>
      </w:r>
      <w:r>
        <w:rPr>
          <w:i/>
          <w:color w:val="221F1F"/>
        </w:rPr>
        <w:t>is</w:t>
      </w:r>
      <w:r>
        <w:rPr>
          <w:i/>
          <w:color w:val="221F1F"/>
          <w:spacing w:val="-3"/>
        </w:rPr>
        <w:t xml:space="preserve"> </w:t>
      </w:r>
      <w:r>
        <w:rPr>
          <w:i/>
          <w:color w:val="221F1F"/>
        </w:rPr>
        <w:t>for use</w:t>
      </w:r>
      <w:r>
        <w:rPr>
          <w:i/>
          <w:color w:val="221F1F"/>
          <w:spacing w:val="-3"/>
        </w:rPr>
        <w:t xml:space="preserve"> </w:t>
      </w:r>
      <w:r>
        <w:rPr>
          <w:i/>
          <w:color w:val="221F1F"/>
        </w:rPr>
        <w:t>in</w:t>
      </w:r>
      <w:r>
        <w:rPr>
          <w:i/>
          <w:color w:val="221F1F"/>
          <w:spacing w:val="-1"/>
        </w:rPr>
        <w:t xml:space="preserve"> </w:t>
      </w:r>
      <w:r>
        <w:rPr>
          <w:i/>
          <w:color w:val="221F1F"/>
        </w:rPr>
        <w:t>preparing</w:t>
      </w:r>
      <w:r>
        <w:rPr>
          <w:i/>
          <w:color w:val="221F1F"/>
          <w:spacing w:val="-4"/>
        </w:rPr>
        <w:t xml:space="preserve"> </w:t>
      </w:r>
      <w:r>
        <w:rPr>
          <w:i/>
          <w:color w:val="221F1F"/>
        </w:rPr>
        <w:t>this</w:t>
      </w:r>
      <w:r>
        <w:rPr>
          <w:i/>
          <w:color w:val="221F1F"/>
          <w:spacing w:val="-1"/>
        </w:rPr>
        <w:t xml:space="preserve"> </w:t>
      </w:r>
      <w:r>
        <w:rPr>
          <w:i/>
          <w:color w:val="221F1F"/>
        </w:rPr>
        <w:t>form</w:t>
      </w:r>
      <w:r>
        <w:rPr>
          <w:i/>
          <w:color w:val="221F1F"/>
          <w:spacing w:val="-1"/>
        </w:rPr>
        <w:t xml:space="preserve"> </w:t>
      </w:r>
      <w:r>
        <w:rPr>
          <w:i/>
          <w:color w:val="221F1F"/>
        </w:rPr>
        <w:t>and</w:t>
      </w:r>
      <w:r>
        <w:rPr>
          <w:i/>
          <w:color w:val="221F1F"/>
          <w:spacing w:val="-4"/>
        </w:rPr>
        <w:t xml:space="preserve"> </w:t>
      </w:r>
      <w:r>
        <w:rPr>
          <w:i/>
          <w:color w:val="221F1F"/>
        </w:rPr>
        <w:t>shall be</w:t>
      </w:r>
      <w:r>
        <w:rPr>
          <w:i/>
          <w:color w:val="221F1F"/>
          <w:spacing w:val="-3"/>
        </w:rPr>
        <w:t xml:space="preserve"> </w:t>
      </w:r>
      <w:r>
        <w:rPr>
          <w:i/>
          <w:color w:val="221F1F"/>
        </w:rPr>
        <w:t>deleted</w:t>
      </w:r>
      <w:r>
        <w:rPr>
          <w:i/>
          <w:color w:val="221F1F"/>
          <w:spacing w:val="-1"/>
        </w:rPr>
        <w:t xml:space="preserve"> </w:t>
      </w:r>
      <w:r>
        <w:rPr>
          <w:i/>
          <w:color w:val="221F1F"/>
        </w:rPr>
        <w:t>from</w:t>
      </w:r>
      <w:r>
        <w:rPr>
          <w:i/>
          <w:color w:val="221F1F"/>
          <w:spacing w:val="-1"/>
        </w:rPr>
        <w:t xml:space="preserve"> </w:t>
      </w:r>
      <w:r>
        <w:rPr>
          <w:i/>
          <w:color w:val="221F1F"/>
        </w:rPr>
        <w:t>the final product.</w:t>
      </w: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A43FBC">
      <w:pPr>
        <w:pStyle w:val="BodyText"/>
        <w:spacing w:before="170"/>
        <w:rPr>
          <w:i/>
          <w:sz w:val="20"/>
        </w:rPr>
      </w:pPr>
      <w:r>
        <w:rPr>
          <w:i/>
          <w:noProof/>
          <w:sz w:val="20"/>
        </w:rPr>
        <mc:AlternateContent>
          <mc:Choice Requires="wps">
            <w:drawing>
              <wp:anchor distT="0" distB="0" distL="0" distR="0" simplePos="0" relativeHeight="487629824" behindDoc="1" locked="0" layoutInCell="1" allowOverlap="1">
                <wp:simplePos x="0" y="0"/>
                <wp:positionH relativeFrom="page">
                  <wp:posOffset>567690</wp:posOffset>
                </wp:positionH>
                <wp:positionV relativeFrom="paragraph">
                  <wp:posOffset>269634</wp:posOffset>
                </wp:positionV>
                <wp:extent cx="2481580" cy="1270"/>
                <wp:effectExtent l="0" t="0" r="0" b="0"/>
                <wp:wrapTopAndBottom/>
                <wp:docPr id="26"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1270"/>
                        </a:xfrm>
                        <a:custGeom>
                          <a:avLst/>
                          <a:gdLst/>
                          <a:ahLst/>
                          <a:cxnLst/>
                          <a:rect l="l" t="t" r="r" b="b"/>
                          <a:pathLst>
                            <a:path w="2481580">
                              <a:moveTo>
                                <a:pt x="0" y="0"/>
                              </a:moveTo>
                              <a:lnTo>
                                <a:pt x="2481579"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02517814" id="Graphic 454" o:spid="_x0000_s1026" style="position:absolute;margin-left:44.7pt;margin-top:21.25pt;width:195.4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2481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" path="m,l2481579,e" filled="f" strokecolor="#221f1f" strokeweight=".07617mm">
                <v:path arrowok="t"/>
                <w10:wrap type="topAndBottom" anchorx="page"/>
              </v:shape>
            </w:pict>
          </mc:Fallback>
        </mc:AlternateContent>
      </w:r>
    </w:p>
    <w:p w:rsidR="007F6DF9" w:rsidRDefault="007F6DF9">
      <w:pPr>
        <w:pStyle w:val="BodyText"/>
        <w:spacing w:before="113"/>
        <w:rPr>
          <w:i/>
        </w:rPr>
      </w:pPr>
    </w:p>
    <w:p w:rsidR="007F6DF9" w:rsidRDefault="00A43FBC">
      <w:pPr>
        <w:spacing w:line="244" w:lineRule="auto"/>
        <w:ind w:left="711" w:right="826"/>
        <w:jc w:val="both"/>
        <w:rPr>
          <w:i/>
          <w:sz w:val="16"/>
        </w:rPr>
      </w:pPr>
      <w:r>
        <w:rPr>
          <w:i/>
          <w:color w:val="221F1F"/>
          <w:position w:val="8"/>
          <w:sz w:val="8"/>
        </w:rPr>
        <w:t>1</w:t>
      </w:r>
      <w:r>
        <w:rPr>
          <w:i/>
          <w:color w:val="221F1F"/>
          <w:sz w:val="16"/>
        </w:rPr>
        <w:t>The</w:t>
      </w:r>
      <w:r>
        <w:rPr>
          <w:i/>
          <w:color w:val="221F1F"/>
          <w:spacing w:val="-2"/>
          <w:sz w:val="16"/>
        </w:rPr>
        <w:t xml:space="preserve"> </w:t>
      </w:r>
      <w:r>
        <w:rPr>
          <w:i/>
          <w:color w:val="221F1F"/>
          <w:sz w:val="16"/>
        </w:rPr>
        <w:t>Guarantor</w:t>
      </w:r>
      <w:r>
        <w:rPr>
          <w:i/>
          <w:color w:val="221F1F"/>
          <w:spacing w:val="-2"/>
          <w:sz w:val="16"/>
        </w:rPr>
        <w:t xml:space="preserve"> </w:t>
      </w:r>
      <w:r>
        <w:rPr>
          <w:i/>
          <w:color w:val="221F1F"/>
          <w:sz w:val="16"/>
        </w:rPr>
        <w:t>shall</w:t>
      </w:r>
      <w:r>
        <w:rPr>
          <w:i/>
          <w:color w:val="221F1F"/>
          <w:spacing w:val="-2"/>
          <w:sz w:val="16"/>
        </w:rPr>
        <w:t xml:space="preserve"> </w:t>
      </w:r>
      <w:r>
        <w:rPr>
          <w:i/>
          <w:color w:val="221F1F"/>
          <w:sz w:val="16"/>
        </w:rPr>
        <w:t>insert</w:t>
      </w:r>
      <w:r>
        <w:rPr>
          <w:i/>
          <w:color w:val="221F1F"/>
          <w:spacing w:val="-2"/>
          <w:sz w:val="16"/>
        </w:rPr>
        <w:t xml:space="preserve"> </w:t>
      </w:r>
      <w:r>
        <w:rPr>
          <w:i/>
          <w:color w:val="221F1F"/>
          <w:sz w:val="16"/>
        </w:rPr>
        <w:t>an</w:t>
      </w:r>
      <w:r>
        <w:rPr>
          <w:i/>
          <w:color w:val="221F1F"/>
          <w:spacing w:val="-2"/>
          <w:sz w:val="16"/>
        </w:rPr>
        <w:t xml:space="preserve"> </w:t>
      </w:r>
      <w:r>
        <w:rPr>
          <w:i/>
          <w:color w:val="221F1F"/>
          <w:sz w:val="16"/>
        </w:rPr>
        <w:t>amount representing</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amount</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advance</w:t>
      </w:r>
      <w:r>
        <w:rPr>
          <w:i/>
          <w:color w:val="221F1F"/>
          <w:spacing w:val="-2"/>
          <w:sz w:val="16"/>
        </w:rPr>
        <w:t xml:space="preserve"> </w:t>
      </w:r>
      <w:r>
        <w:rPr>
          <w:i/>
          <w:color w:val="221F1F"/>
          <w:sz w:val="16"/>
        </w:rPr>
        <w:t>payment</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denominated</w:t>
      </w:r>
      <w:r>
        <w:rPr>
          <w:i/>
          <w:color w:val="221F1F"/>
          <w:spacing w:val="-1"/>
          <w:sz w:val="16"/>
        </w:rPr>
        <w:t xml:space="preserve"> </w:t>
      </w:r>
      <w:r>
        <w:rPr>
          <w:i/>
          <w:color w:val="221F1F"/>
          <w:sz w:val="16"/>
        </w:rPr>
        <w:t>either</w:t>
      </w:r>
      <w:r>
        <w:rPr>
          <w:i/>
          <w:color w:val="221F1F"/>
          <w:spacing w:val="-3"/>
          <w:sz w:val="16"/>
        </w:rPr>
        <w:t xml:space="preserve"> </w:t>
      </w:r>
      <w:r>
        <w:rPr>
          <w:i/>
          <w:color w:val="221F1F"/>
          <w:sz w:val="16"/>
        </w:rPr>
        <w:t>in the currency</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advance</w:t>
      </w:r>
      <w:r>
        <w:rPr>
          <w:i/>
          <w:color w:val="221F1F"/>
          <w:spacing w:val="-2"/>
          <w:sz w:val="16"/>
        </w:rPr>
        <w:t xml:space="preserve"> </w:t>
      </w:r>
      <w:proofErr w:type="spellStart"/>
      <w:r>
        <w:rPr>
          <w:i/>
          <w:color w:val="221F1F"/>
          <w:sz w:val="16"/>
        </w:rPr>
        <w:t>paymen</w:t>
      </w:r>
      <w:proofErr w:type="spellEnd"/>
      <w:r>
        <w:rPr>
          <w:i/>
          <w:color w:val="221F1F"/>
          <w:spacing w:val="-2"/>
          <w:sz w:val="16"/>
        </w:rPr>
        <w:t xml:space="preserve"> </w:t>
      </w:r>
      <w:proofErr w:type="spellStart"/>
      <w:r>
        <w:rPr>
          <w:i/>
          <w:color w:val="221F1F"/>
          <w:sz w:val="16"/>
        </w:rPr>
        <w:t>tas</w:t>
      </w:r>
      <w:proofErr w:type="spellEnd"/>
      <w:r>
        <w:rPr>
          <w:i/>
          <w:color w:val="221F1F"/>
          <w:spacing w:val="40"/>
          <w:sz w:val="16"/>
        </w:rPr>
        <w:t xml:space="preserve"> </w:t>
      </w:r>
      <w:r>
        <w:rPr>
          <w:i/>
          <w:color w:val="221F1F"/>
          <w:sz w:val="16"/>
        </w:rPr>
        <w:t>specified in the Contract.</w:t>
      </w:r>
    </w:p>
    <w:p w:rsidR="007F6DF9" w:rsidRDefault="00A43FBC">
      <w:pPr>
        <w:spacing w:before="24" w:line="230" w:lineRule="auto"/>
        <w:ind w:left="708" w:right="555"/>
        <w:jc w:val="both"/>
        <w:rPr>
          <w:i/>
          <w:sz w:val="16"/>
        </w:rPr>
      </w:pPr>
      <w:r>
        <w:rPr>
          <w:i/>
          <w:color w:val="221F1F"/>
          <w:position w:val="8"/>
          <w:sz w:val="8"/>
        </w:rPr>
        <w:t>2</w:t>
      </w:r>
      <w:r>
        <w:rPr>
          <w:i/>
          <w:color w:val="221F1F"/>
          <w:sz w:val="16"/>
        </w:rPr>
        <w:t>Insert the expected expiration</w:t>
      </w:r>
      <w:r>
        <w:rPr>
          <w:i/>
          <w:color w:val="221F1F"/>
          <w:spacing w:val="-1"/>
          <w:sz w:val="16"/>
        </w:rPr>
        <w:t xml:space="preserve"> </w:t>
      </w:r>
      <w:r>
        <w:rPr>
          <w:i/>
          <w:color w:val="221F1F"/>
          <w:sz w:val="16"/>
        </w:rPr>
        <w:t>date</w:t>
      </w:r>
      <w:r>
        <w:rPr>
          <w:i/>
          <w:color w:val="221F1F"/>
          <w:spacing w:val="-2"/>
          <w:sz w:val="16"/>
        </w:rPr>
        <w:t xml:space="preserve"> </w:t>
      </w:r>
      <w:r>
        <w:rPr>
          <w:i/>
          <w:color w:val="221F1F"/>
          <w:sz w:val="16"/>
        </w:rPr>
        <w:t>of the Time</w:t>
      </w:r>
      <w:r>
        <w:rPr>
          <w:i/>
          <w:color w:val="221F1F"/>
          <w:spacing w:val="-4"/>
          <w:sz w:val="16"/>
        </w:rPr>
        <w:t xml:space="preserve"> </w:t>
      </w:r>
      <w:r>
        <w:rPr>
          <w:i/>
          <w:color w:val="221F1F"/>
          <w:sz w:val="16"/>
        </w:rPr>
        <w:t>for</w:t>
      </w:r>
      <w:r>
        <w:rPr>
          <w:i/>
          <w:color w:val="221F1F"/>
          <w:spacing w:val="-1"/>
          <w:sz w:val="16"/>
        </w:rPr>
        <w:t xml:space="preserve"> </w:t>
      </w:r>
      <w:r>
        <w:rPr>
          <w:i/>
          <w:color w:val="221F1F"/>
          <w:sz w:val="16"/>
        </w:rPr>
        <w:t>Completion. The Procuring Entity should</w:t>
      </w:r>
      <w:r>
        <w:rPr>
          <w:i/>
          <w:color w:val="221F1F"/>
          <w:spacing w:val="-2"/>
          <w:sz w:val="16"/>
        </w:rPr>
        <w:t xml:space="preserve"> </w:t>
      </w:r>
      <w:r>
        <w:rPr>
          <w:i/>
          <w:color w:val="221F1F"/>
          <w:sz w:val="16"/>
        </w:rPr>
        <w:t>note that in the event of</w:t>
      </w:r>
      <w:r>
        <w:rPr>
          <w:i/>
          <w:color w:val="221F1F"/>
          <w:spacing w:val="-2"/>
          <w:sz w:val="16"/>
        </w:rPr>
        <w:t xml:space="preserve"> </w:t>
      </w:r>
      <w:r>
        <w:rPr>
          <w:i/>
          <w:color w:val="221F1F"/>
          <w:sz w:val="16"/>
        </w:rPr>
        <w:t>an extension</w:t>
      </w:r>
      <w:r>
        <w:rPr>
          <w:i/>
          <w:color w:val="221F1F"/>
          <w:spacing w:val="-1"/>
          <w:sz w:val="16"/>
        </w:rPr>
        <w:t xml:space="preserve"> </w:t>
      </w:r>
      <w:r>
        <w:rPr>
          <w:i/>
          <w:color w:val="221F1F"/>
          <w:sz w:val="16"/>
        </w:rPr>
        <w:t>of the</w:t>
      </w:r>
      <w:r>
        <w:rPr>
          <w:i/>
          <w:color w:val="221F1F"/>
          <w:spacing w:val="-2"/>
          <w:sz w:val="16"/>
        </w:rPr>
        <w:t xml:space="preserve"> </w:t>
      </w:r>
      <w:r>
        <w:rPr>
          <w:i/>
          <w:color w:val="221F1F"/>
          <w:sz w:val="16"/>
        </w:rPr>
        <w:t>time for</w:t>
      </w:r>
      <w:r>
        <w:rPr>
          <w:i/>
          <w:color w:val="221F1F"/>
          <w:spacing w:val="-1"/>
          <w:sz w:val="16"/>
        </w:rPr>
        <w:t xml:space="preserve"> </w:t>
      </w:r>
      <w:r>
        <w:rPr>
          <w:i/>
          <w:color w:val="221F1F"/>
          <w:sz w:val="16"/>
        </w:rPr>
        <w:t>completion of</w:t>
      </w:r>
      <w:r>
        <w:rPr>
          <w:i/>
          <w:color w:val="221F1F"/>
          <w:spacing w:val="40"/>
          <w:sz w:val="16"/>
        </w:rPr>
        <w:t xml:space="preserve"> </w:t>
      </w:r>
      <w:r>
        <w:rPr>
          <w:i/>
          <w:color w:val="221F1F"/>
          <w:sz w:val="16"/>
        </w:rPr>
        <w:t>the</w:t>
      </w:r>
      <w:r>
        <w:rPr>
          <w:i/>
          <w:color w:val="221F1F"/>
          <w:spacing w:val="-3"/>
          <w:sz w:val="16"/>
        </w:rPr>
        <w:t xml:space="preserve"> </w:t>
      </w:r>
      <w:r>
        <w:rPr>
          <w:i/>
          <w:color w:val="221F1F"/>
          <w:sz w:val="16"/>
        </w:rPr>
        <w:t>Contract,</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Procuring Entity</w:t>
      </w:r>
      <w:r>
        <w:rPr>
          <w:i/>
          <w:color w:val="221F1F"/>
          <w:spacing w:val="-2"/>
          <w:sz w:val="16"/>
        </w:rPr>
        <w:t xml:space="preserve"> </w:t>
      </w:r>
      <w:r>
        <w:rPr>
          <w:i/>
          <w:color w:val="221F1F"/>
          <w:sz w:val="16"/>
        </w:rPr>
        <w:t>would</w:t>
      </w:r>
      <w:r>
        <w:rPr>
          <w:i/>
          <w:color w:val="221F1F"/>
          <w:spacing w:val="-2"/>
          <w:sz w:val="16"/>
        </w:rPr>
        <w:t xml:space="preserve"> </w:t>
      </w:r>
      <w:r>
        <w:rPr>
          <w:i/>
          <w:color w:val="221F1F"/>
          <w:sz w:val="16"/>
        </w:rPr>
        <w:t>need</w:t>
      </w:r>
      <w:r>
        <w:rPr>
          <w:i/>
          <w:color w:val="221F1F"/>
          <w:spacing w:val="-1"/>
          <w:sz w:val="16"/>
        </w:rPr>
        <w:t xml:space="preserve"> </w:t>
      </w:r>
      <w:r>
        <w:rPr>
          <w:i/>
          <w:color w:val="221F1F"/>
          <w:sz w:val="16"/>
        </w:rPr>
        <w:t>to request</w:t>
      </w:r>
      <w:r>
        <w:rPr>
          <w:i/>
          <w:color w:val="221F1F"/>
          <w:spacing w:val="-2"/>
          <w:sz w:val="16"/>
        </w:rPr>
        <w:t xml:space="preserve"> </w:t>
      </w:r>
      <w:r>
        <w:rPr>
          <w:i/>
          <w:color w:val="221F1F"/>
          <w:sz w:val="16"/>
        </w:rPr>
        <w:t>an</w:t>
      </w:r>
      <w:r>
        <w:rPr>
          <w:i/>
          <w:color w:val="221F1F"/>
          <w:spacing w:val="-2"/>
          <w:sz w:val="16"/>
        </w:rPr>
        <w:t xml:space="preserve"> </w:t>
      </w:r>
      <w:r>
        <w:rPr>
          <w:i/>
          <w:color w:val="221F1F"/>
          <w:sz w:val="16"/>
        </w:rPr>
        <w:t>extension</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this</w:t>
      </w:r>
      <w:r>
        <w:rPr>
          <w:i/>
          <w:color w:val="221F1F"/>
          <w:spacing w:val="-1"/>
          <w:sz w:val="16"/>
        </w:rPr>
        <w:t xml:space="preserve"> </w:t>
      </w:r>
      <w:r>
        <w:rPr>
          <w:i/>
          <w:color w:val="221F1F"/>
          <w:sz w:val="16"/>
        </w:rPr>
        <w:t>guarantee</w:t>
      </w:r>
      <w:r>
        <w:rPr>
          <w:i/>
          <w:color w:val="221F1F"/>
          <w:spacing w:val="-2"/>
          <w:sz w:val="16"/>
        </w:rPr>
        <w:t xml:space="preserve"> </w:t>
      </w:r>
      <w:r>
        <w:rPr>
          <w:i/>
          <w:color w:val="221F1F"/>
          <w:sz w:val="16"/>
        </w:rPr>
        <w:t>from</w:t>
      </w:r>
      <w:r>
        <w:rPr>
          <w:i/>
          <w:color w:val="221F1F"/>
          <w:spacing w:val="-4"/>
          <w:sz w:val="16"/>
        </w:rPr>
        <w:t xml:space="preserve"> </w:t>
      </w:r>
      <w:r>
        <w:rPr>
          <w:i/>
          <w:color w:val="221F1F"/>
          <w:sz w:val="16"/>
        </w:rPr>
        <w:t>the Guarantor.</w:t>
      </w:r>
      <w:r>
        <w:rPr>
          <w:i/>
          <w:color w:val="221F1F"/>
          <w:spacing w:val="-2"/>
          <w:sz w:val="16"/>
        </w:rPr>
        <w:t xml:space="preserve"> </w:t>
      </w:r>
      <w:r>
        <w:rPr>
          <w:i/>
          <w:color w:val="221F1F"/>
          <w:sz w:val="16"/>
        </w:rPr>
        <w:t>Such</w:t>
      </w:r>
      <w:r>
        <w:rPr>
          <w:i/>
          <w:color w:val="221F1F"/>
          <w:spacing w:val="-2"/>
          <w:sz w:val="16"/>
        </w:rPr>
        <w:t xml:space="preserve"> </w:t>
      </w:r>
      <w:r>
        <w:rPr>
          <w:i/>
          <w:color w:val="221F1F"/>
          <w:sz w:val="16"/>
        </w:rPr>
        <w:t>request</w:t>
      </w:r>
      <w:r>
        <w:rPr>
          <w:i/>
          <w:color w:val="221F1F"/>
          <w:spacing w:val="-2"/>
          <w:sz w:val="16"/>
        </w:rPr>
        <w:t xml:space="preserve"> </w:t>
      </w:r>
      <w:r>
        <w:rPr>
          <w:i/>
          <w:color w:val="221F1F"/>
          <w:sz w:val="16"/>
        </w:rPr>
        <w:t>must</w:t>
      </w:r>
      <w:r>
        <w:rPr>
          <w:i/>
          <w:color w:val="221F1F"/>
          <w:spacing w:val="-1"/>
          <w:sz w:val="16"/>
        </w:rPr>
        <w:t xml:space="preserve"> </w:t>
      </w:r>
      <w:r>
        <w:rPr>
          <w:i/>
          <w:color w:val="221F1F"/>
          <w:sz w:val="16"/>
        </w:rPr>
        <w:t>be</w:t>
      </w:r>
      <w:r>
        <w:rPr>
          <w:i/>
          <w:color w:val="221F1F"/>
          <w:spacing w:val="-2"/>
          <w:sz w:val="16"/>
        </w:rPr>
        <w:t xml:space="preserve"> </w:t>
      </w:r>
      <w:r>
        <w:rPr>
          <w:i/>
          <w:color w:val="221F1F"/>
          <w:sz w:val="16"/>
        </w:rPr>
        <w:t>in</w:t>
      </w:r>
      <w:r>
        <w:rPr>
          <w:i/>
          <w:color w:val="221F1F"/>
          <w:spacing w:val="-2"/>
          <w:sz w:val="16"/>
        </w:rPr>
        <w:t xml:space="preserve"> </w:t>
      </w:r>
      <w:r>
        <w:rPr>
          <w:i/>
          <w:color w:val="221F1F"/>
          <w:sz w:val="16"/>
        </w:rPr>
        <w:t>writing</w:t>
      </w:r>
      <w:r>
        <w:rPr>
          <w:i/>
          <w:color w:val="221F1F"/>
          <w:spacing w:val="-4"/>
          <w:sz w:val="16"/>
        </w:rPr>
        <w:t xml:space="preserve"> </w:t>
      </w:r>
      <w:r>
        <w:rPr>
          <w:i/>
          <w:color w:val="221F1F"/>
          <w:sz w:val="16"/>
        </w:rPr>
        <w:t>and must</w:t>
      </w:r>
      <w:r>
        <w:rPr>
          <w:i/>
          <w:color w:val="221F1F"/>
          <w:spacing w:val="-2"/>
          <w:sz w:val="16"/>
        </w:rPr>
        <w:t xml:space="preserve"> </w:t>
      </w:r>
      <w:r>
        <w:rPr>
          <w:i/>
          <w:color w:val="221F1F"/>
          <w:sz w:val="16"/>
        </w:rPr>
        <w:t>be made</w:t>
      </w:r>
      <w:r>
        <w:rPr>
          <w:i/>
          <w:color w:val="221F1F"/>
          <w:spacing w:val="40"/>
          <w:sz w:val="16"/>
        </w:rPr>
        <w:t xml:space="preserve"> </w:t>
      </w:r>
      <w:r>
        <w:rPr>
          <w:i/>
          <w:color w:val="221F1F"/>
          <w:sz w:val="16"/>
        </w:rPr>
        <w:t>prior to the expiration date established in the guarantee.</w:t>
      </w:r>
    </w:p>
    <w:p w:rsidR="007F6DF9" w:rsidRDefault="007F6DF9">
      <w:pPr>
        <w:spacing w:line="230" w:lineRule="auto"/>
        <w:jc w:val="both"/>
        <w:rPr>
          <w:i/>
          <w:sz w:val="16"/>
        </w:rPr>
        <w:sectPr w:rsidR="007F6DF9">
          <w:pgSz w:w="11920" w:h="16850"/>
          <w:pgMar w:top="360" w:right="283" w:bottom="620" w:left="141" w:header="0" w:footer="437" w:gutter="0"/>
          <w:cols w:space="720"/>
        </w:sectPr>
      </w:pPr>
    </w:p>
    <w:p w:rsidR="007F6DF9" w:rsidRDefault="00A43FBC">
      <w:pPr>
        <w:pStyle w:val="Heading6"/>
        <w:spacing w:before="110"/>
      </w:pPr>
      <w:r>
        <w:rPr>
          <w:color w:val="221F1F"/>
          <w:u w:val="single" w:color="221F1F"/>
        </w:rPr>
        <w:lastRenderedPageBreak/>
        <w:t>FORM</w:t>
      </w:r>
      <w:r>
        <w:rPr>
          <w:color w:val="221F1F"/>
          <w:spacing w:val="-2"/>
          <w:u w:val="single" w:color="221F1F"/>
        </w:rPr>
        <w:t xml:space="preserve"> </w:t>
      </w:r>
      <w:r>
        <w:rPr>
          <w:color w:val="221F1F"/>
          <w:u w:val="single" w:color="221F1F"/>
        </w:rPr>
        <w:t>NO.</w:t>
      </w:r>
      <w:r>
        <w:rPr>
          <w:color w:val="221F1F"/>
          <w:spacing w:val="-1"/>
          <w:u w:val="single" w:color="221F1F"/>
        </w:rPr>
        <w:t xml:space="preserve"> </w:t>
      </w:r>
      <w:r>
        <w:rPr>
          <w:color w:val="221F1F"/>
          <w:u w:val="single" w:color="221F1F"/>
        </w:rPr>
        <w:t>8 – RETENTION MONEY</w:t>
      </w:r>
      <w:r>
        <w:rPr>
          <w:color w:val="221F1F"/>
          <w:spacing w:val="-1"/>
          <w:u w:val="single" w:color="221F1F"/>
        </w:rPr>
        <w:t xml:space="preserve"> </w:t>
      </w:r>
      <w:r>
        <w:rPr>
          <w:color w:val="221F1F"/>
          <w:spacing w:val="-2"/>
          <w:u w:val="single" w:color="221F1F"/>
        </w:rPr>
        <w:t>SECURITY</w:t>
      </w:r>
    </w:p>
    <w:p w:rsidR="007F6DF9" w:rsidRDefault="007F6DF9">
      <w:pPr>
        <w:pStyle w:val="BodyText"/>
        <w:spacing w:before="54"/>
        <w:rPr>
          <w:b/>
        </w:rPr>
      </w:pPr>
    </w:p>
    <w:p w:rsidR="007F6DF9" w:rsidRDefault="00A43FBC">
      <w:pPr>
        <w:pStyle w:val="Heading9"/>
        <w:ind w:left="711" w:firstLine="0"/>
      </w:pPr>
      <w:r>
        <w:rPr>
          <w:color w:val="221F1F"/>
        </w:rPr>
        <w:t>[Demand</w:t>
      </w:r>
      <w:r>
        <w:rPr>
          <w:color w:val="221F1F"/>
          <w:spacing w:val="-4"/>
        </w:rPr>
        <w:t xml:space="preserve"> </w:t>
      </w:r>
      <w:r>
        <w:rPr>
          <w:color w:val="221F1F"/>
        </w:rPr>
        <w:t>Bank</w:t>
      </w:r>
      <w:r>
        <w:rPr>
          <w:color w:val="221F1F"/>
          <w:spacing w:val="-3"/>
        </w:rPr>
        <w:t xml:space="preserve"> </w:t>
      </w:r>
      <w:r>
        <w:rPr>
          <w:color w:val="221F1F"/>
          <w:spacing w:val="-2"/>
        </w:rPr>
        <w:t>Guarantee]</w:t>
      </w:r>
    </w:p>
    <w:p w:rsidR="007F6DF9" w:rsidRDefault="00A43FBC">
      <w:pPr>
        <w:spacing w:before="64"/>
        <w:ind w:left="711"/>
        <w:rPr>
          <w:i/>
        </w:rPr>
      </w:pPr>
      <w:r>
        <w:rPr>
          <w:i/>
          <w:color w:val="221F1F"/>
        </w:rPr>
        <w:t>[Guarantor</w:t>
      </w:r>
      <w:r>
        <w:rPr>
          <w:i/>
          <w:color w:val="221F1F"/>
          <w:spacing w:val="-5"/>
        </w:rPr>
        <w:t xml:space="preserve"> </w:t>
      </w:r>
      <w:r>
        <w:rPr>
          <w:i/>
          <w:color w:val="221F1F"/>
          <w:spacing w:val="-2"/>
        </w:rPr>
        <w:t>letterhead]</w:t>
      </w:r>
    </w:p>
    <w:p w:rsidR="007F6DF9" w:rsidRDefault="00A43FBC">
      <w:pPr>
        <w:tabs>
          <w:tab w:val="left" w:pos="3968"/>
        </w:tabs>
        <w:spacing w:before="66"/>
        <w:ind w:left="703"/>
        <w:rPr>
          <w:i/>
        </w:rPr>
      </w:pPr>
      <w:r>
        <w:rPr>
          <w:b/>
          <w:color w:val="221F1F"/>
          <w:spacing w:val="-2"/>
        </w:rPr>
        <w:t>Beneficiary:</w:t>
      </w:r>
      <w:r>
        <w:rPr>
          <w:color w:val="221F1F"/>
          <w:u w:val="thick" w:color="211E1F"/>
        </w:rPr>
        <w:tab/>
      </w:r>
      <w:r>
        <w:rPr>
          <w:i/>
          <w:color w:val="221F1F"/>
        </w:rPr>
        <w:t>[Insert</w:t>
      </w:r>
      <w:r>
        <w:rPr>
          <w:i/>
          <w:color w:val="221F1F"/>
          <w:spacing w:val="-7"/>
        </w:rPr>
        <w:t xml:space="preserve"> </w:t>
      </w:r>
      <w:r>
        <w:rPr>
          <w:i/>
          <w:color w:val="221F1F"/>
        </w:rPr>
        <w:t>name</w:t>
      </w:r>
      <w:r>
        <w:rPr>
          <w:i/>
          <w:color w:val="221F1F"/>
          <w:spacing w:val="-2"/>
        </w:rPr>
        <w:t xml:space="preserve"> </w:t>
      </w:r>
      <w:r>
        <w:rPr>
          <w:i/>
          <w:color w:val="221F1F"/>
        </w:rPr>
        <w:t>and</w:t>
      </w:r>
      <w:r>
        <w:rPr>
          <w:i/>
          <w:color w:val="221F1F"/>
          <w:spacing w:val="-2"/>
        </w:rPr>
        <w:t xml:space="preserve"> </w:t>
      </w:r>
      <w:r>
        <w:rPr>
          <w:i/>
          <w:color w:val="221F1F"/>
        </w:rPr>
        <w:t>Address</w:t>
      </w:r>
      <w:r>
        <w:rPr>
          <w:i/>
          <w:color w:val="221F1F"/>
          <w:spacing w:val="-3"/>
        </w:rPr>
        <w:t xml:space="preserve"> </w:t>
      </w:r>
      <w:r>
        <w:rPr>
          <w:i/>
          <w:color w:val="221F1F"/>
        </w:rPr>
        <w:t xml:space="preserve">of </w:t>
      </w:r>
      <w:r>
        <w:rPr>
          <w:color w:val="221F1F"/>
        </w:rPr>
        <w:t>Procuring</w:t>
      </w:r>
      <w:r>
        <w:rPr>
          <w:color w:val="221F1F"/>
          <w:spacing w:val="-2"/>
        </w:rPr>
        <w:t xml:space="preserve"> Entity</w:t>
      </w:r>
      <w:r>
        <w:rPr>
          <w:i/>
          <w:color w:val="221F1F"/>
          <w:spacing w:val="-2"/>
        </w:rPr>
        <w:t>]</w:t>
      </w:r>
    </w:p>
    <w:p w:rsidR="007F6DF9" w:rsidRDefault="00A43FBC">
      <w:pPr>
        <w:tabs>
          <w:tab w:val="left" w:pos="3015"/>
        </w:tabs>
        <w:spacing w:before="129"/>
        <w:ind w:left="703"/>
        <w:rPr>
          <w:i/>
        </w:rPr>
      </w:pPr>
      <w:r>
        <w:rPr>
          <w:b/>
          <w:color w:val="221F1F"/>
          <w:spacing w:val="-2"/>
        </w:rPr>
        <w:t>Date:</w:t>
      </w:r>
      <w:r>
        <w:rPr>
          <w:i/>
          <w:color w:val="221F1F"/>
          <w:u w:val="thick" w:color="211E1F"/>
        </w:rPr>
        <w:tab/>
      </w:r>
      <w:r>
        <w:rPr>
          <w:i/>
          <w:color w:val="221F1F"/>
        </w:rPr>
        <w:t>[Insert</w:t>
      </w:r>
      <w:r>
        <w:rPr>
          <w:i/>
          <w:color w:val="221F1F"/>
          <w:spacing w:val="-2"/>
        </w:rPr>
        <w:t xml:space="preserve"> </w:t>
      </w:r>
      <w:r>
        <w:rPr>
          <w:i/>
          <w:color w:val="221F1F"/>
        </w:rPr>
        <w:t>date</w:t>
      </w:r>
      <w:r>
        <w:rPr>
          <w:i/>
          <w:color w:val="221F1F"/>
          <w:spacing w:val="-2"/>
        </w:rPr>
        <w:t xml:space="preserve"> </w:t>
      </w:r>
      <w:r>
        <w:rPr>
          <w:i/>
          <w:color w:val="221F1F"/>
        </w:rPr>
        <w:t>of</w:t>
      </w:r>
      <w:r>
        <w:rPr>
          <w:i/>
          <w:color w:val="221F1F"/>
          <w:spacing w:val="-2"/>
        </w:rPr>
        <w:t xml:space="preserve"> issue]</w:t>
      </w:r>
    </w:p>
    <w:p w:rsidR="007F6DF9" w:rsidRDefault="00A43FBC">
      <w:pPr>
        <w:spacing w:before="126"/>
        <w:ind w:left="703"/>
        <w:rPr>
          <w:i/>
        </w:rPr>
      </w:pPr>
      <w:r>
        <w:rPr>
          <w:b/>
          <w:color w:val="221F1F"/>
        </w:rPr>
        <w:t>Advance</w:t>
      </w:r>
      <w:r>
        <w:rPr>
          <w:b/>
          <w:color w:val="221F1F"/>
          <w:spacing w:val="-4"/>
        </w:rPr>
        <w:t xml:space="preserve"> </w:t>
      </w:r>
      <w:r>
        <w:rPr>
          <w:b/>
          <w:color w:val="221F1F"/>
        </w:rPr>
        <w:t>payment</w:t>
      </w:r>
      <w:r>
        <w:rPr>
          <w:b/>
          <w:color w:val="221F1F"/>
          <w:spacing w:val="-4"/>
        </w:rPr>
        <w:t xml:space="preserve"> </w:t>
      </w:r>
      <w:r>
        <w:rPr>
          <w:b/>
          <w:color w:val="221F1F"/>
        </w:rPr>
        <w:t>guarantee</w:t>
      </w:r>
      <w:r>
        <w:rPr>
          <w:b/>
          <w:color w:val="221F1F"/>
          <w:spacing w:val="-3"/>
        </w:rPr>
        <w:t xml:space="preserve"> </w:t>
      </w:r>
      <w:r>
        <w:rPr>
          <w:b/>
          <w:color w:val="221F1F"/>
        </w:rPr>
        <w:t>no.</w:t>
      </w:r>
      <w:r>
        <w:rPr>
          <w:b/>
          <w:color w:val="221F1F"/>
          <w:spacing w:val="47"/>
        </w:rPr>
        <w:t xml:space="preserve"> </w:t>
      </w:r>
      <w:r>
        <w:rPr>
          <w:i/>
          <w:color w:val="221F1F"/>
        </w:rPr>
        <w:t>[Insert</w:t>
      </w:r>
      <w:r>
        <w:rPr>
          <w:i/>
          <w:color w:val="221F1F"/>
          <w:spacing w:val="-2"/>
        </w:rPr>
        <w:t xml:space="preserve"> </w:t>
      </w:r>
      <w:r>
        <w:rPr>
          <w:i/>
          <w:color w:val="221F1F"/>
        </w:rPr>
        <w:t>guarantee</w:t>
      </w:r>
      <w:r>
        <w:rPr>
          <w:i/>
          <w:color w:val="221F1F"/>
          <w:spacing w:val="-6"/>
        </w:rPr>
        <w:t xml:space="preserve"> </w:t>
      </w:r>
      <w:r>
        <w:rPr>
          <w:i/>
          <w:color w:val="221F1F"/>
        </w:rPr>
        <w:t>reference</w:t>
      </w:r>
      <w:r>
        <w:rPr>
          <w:i/>
          <w:color w:val="221F1F"/>
          <w:spacing w:val="-2"/>
        </w:rPr>
        <w:t xml:space="preserve"> number]</w:t>
      </w:r>
    </w:p>
    <w:p w:rsidR="007F6DF9" w:rsidRDefault="00A43FBC">
      <w:pPr>
        <w:spacing w:before="126"/>
        <w:ind w:left="703"/>
        <w:rPr>
          <w:i/>
        </w:rPr>
      </w:pPr>
      <w:r>
        <w:rPr>
          <w:b/>
          <w:color w:val="221F1F"/>
        </w:rPr>
        <w:t>Guarantor:</w:t>
      </w:r>
      <w:r>
        <w:rPr>
          <w:b/>
          <w:color w:val="221F1F"/>
          <w:spacing w:val="-3"/>
        </w:rPr>
        <w:t xml:space="preserve"> </w:t>
      </w:r>
      <w:r>
        <w:rPr>
          <w:i/>
          <w:color w:val="221F1F"/>
        </w:rPr>
        <w:t>[Insert</w:t>
      </w:r>
      <w:r>
        <w:rPr>
          <w:i/>
          <w:color w:val="221F1F"/>
          <w:spacing w:val="-4"/>
        </w:rPr>
        <w:t xml:space="preserve"> </w:t>
      </w:r>
      <w:r>
        <w:rPr>
          <w:i/>
          <w:color w:val="221F1F"/>
        </w:rPr>
        <w:t>name</w:t>
      </w:r>
      <w:r>
        <w:rPr>
          <w:i/>
          <w:color w:val="221F1F"/>
          <w:spacing w:val="-3"/>
        </w:rPr>
        <w:t xml:space="preserve"> </w:t>
      </w:r>
      <w:r>
        <w:rPr>
          <w:i/>
          <w:color w:val="221F1F"/>
        </w:rPr>
        <w:t>and</w:t>
      </w:r>
      <w:r>
        <w:rPr>
          <w:i/>
          <w:color w:val="221F1F"/>
          <w:spacing w:val="-3"/>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i/>
          <w:color w:val="221F1F"/>
        </w:rPr>
        <w:t>place</w:t>
      </w:r>
      <w:r>
        <w:rPr>
          <w:i/>
          <w:color w:val="221F1F"/>
          <w:spacing w:val="-3"/>
        </w:rPr>
        <w:t xml:space="preserve"> </w:t>
      </w:r>
      <w:r>
        <w:rPr>
          <w:i/>
          <w:color w:val="221F1F"/>
        </w:rPr>
        <w:t>of</w:t>
      </w:r>
      <w:r>
        <w:rPr>
          <w:i/>
          <w:color w:val="221F1F"/>
          <w:spacing w:val="-5"/>
        </w:rPr>
        <w:t xml:space="preserve"> </w:t>
      </w:r>
      <w:r>
        <w:rPr>
          <w:i/>
          <w:color w:val="221F1F"/>
        </w:rPr>
        <w:t>issue,</w:t>
      </w:r>
      <w:r>
        <w:rPr>
          <w:i/>
          <w:color w:val="221F1F"/>
          <w:spacing w:val="-3"/>
        </w:rPr>
        <w:t xml:space="preserve"> </w:t>
      </w:r>
      <w:r>
        <w:rPr>
          <w:i/>
          <w:color w:val="221F1F"/>
        </w:rPr>
        <w:t>unless</w:t>
      </w:r>
      <w:r>
        <w:rPr>
          <w:i/>
          <w:color w:val="221F1F"/>
          <w:spacing w:val="-3"/>
        </w:rPr>
        <w:t xml:space="preserve"> </w:t>
      </w:r>
      <w:r>
        <w:rPr>
          <w:i/>
          <w:color w:val="221F1F"/>
        </w:rPr>
        <w:t>indicated</w:t>
      </w:r>
      <w:r>
        <w:rPr>
          <w:i/>
          <w:color w:val="221F1F"/>
          <w:spacing w:val="-5"/>
        </w:rPr>
        <w:t xml:space="preserve"> </w:t>
      </w:r>
      <w:r>
        <w:rPr>
          <w:i/>
          <w:color w:val="221F1F"/>
        </w:rPr>
        <w:t>in</w:t>
      </w:r>
      <w:r>
        <w:rPr>
          <w:i/>
          <w:color w:val="221F1F"/>
          <w:spacing w:val="-3"/>
        </w:rPr>
        <w:t xml:space="preserve"> </w:t>
      </w:r>
      <w:r>
        <w:rPr>
          <w:i/>
          <w:color w:val="221F1F"/>
        </w:rPr>
        <w:t>the</w:t>
      </w:r>
      <w:r>
        <w:rPr>
          <w:i/>
          <w:color w:val="221F1F"/>
          <w:spacing w:val="-2"/>
        </w:rPr>
        <w:t xml:space="preserve"> letterhead]</w:t>
      </w:r>
    </w:p>
    <w:p w:rsidR="007F6DF9" w:rsidRDefault="007F6DF9">
      <w:pPr>
        <w:pStyle w:val="BodyText"/>
        <w:spacing w:before="113"/>
        <w:rPr>
          <w:i/>
        </w:rPr>
      </w:pPr>
    </w:p>
    <w:p w:rsidR="007F6DF9" w:rsidRDefault="00A43FBC">
      <w:pPr>
        <w:pStyle w:val="ListParagraph"/>
        <w:numPr>
          <w:ilvl w:val="0"/>
          <w:numId w:val="12"/>
        </w:numPr>
        <w:tabs>
          <w:tab w:val="left" w:pos="1069"/>
          <w:tab w:val="left" w:pos="1076"/>
          <w:tab w:val="left" w:pos="5403"/>
        </w:tabs>
        <w:spacing w:line="230" w:lineRule="auto"/>
        <w:ind w:right="552" w:hanging="366"/>
        <w:jc w:val="both"/>
      </w:pPr>
      <w:r>
        <w:rPr>
          <w:color w:val="221F1F"/>
        </w:rPr>
        <w:t>We have been informed that</w:t>
      </w:r>
      <w:r>
        <w:rPr>
          <w:color w:val="221F1F"/>
          <w:u w:val="single" w:color="211E1F"/>
        </w:rPr>
        <w:tab/>
      </w:r>
      <w:r>
        <w:rPr>
          <w:i/>
          <w:color w:val="221F1F"/>
        </w:rPr>
        <w:t>[insert</w:t>
      </w:r>
      <w:r>
        <w:rPr>
          <w:i/>
          <w:color w:val="221F1F"/>
          <w:spacing w:val="-4"/>
        </w:rPr>
        <w:t xml:space="preserve"> </w:t>
      </w:r>
      <w:r>
        <w:rPr>
          <w:i/>
          <w:color w:val="221F1F"/>
        </w:rPr>
        <w:t>name</w:t>
      </w:r>
      <w:r>
        <w:rPr>
          <w:i/>
          <w:color w:val="221F1F"/>
          <w:spacing w:val="-7"/>
        </w:rPr>
        <w:t xml:space="preserve"> </w:t>
      </w:r>
      <w:r>
        <w:rPr>
          <w:i/>
          <w:color w:val="221F1F"/>
        </w:rPr>
        <w:t>of</w:t>
      </w:r>
      <w:r>
        <w:rPr>
          <w:i/>
          <w:color w:val="221F1F"/>
          <w:spacing w:val="-3"/>
        </w:rPr>
        <w:t xml:space="preserve"> </w:t>
      </w:r>
      <w:r>
        <w:rPr>
          <w:i/>
          <w:color w:val="221F1F"/>
        </w:rPr>
        <w:t>Contractor,</w:t>
      </w:r>
      <w:r>
        <w:rPr>
          <w:i/>
          <w:color w:val="221F1F"/>
          <w:spacing w:val="-14"/>
        </w:rPr>
        <w:t xml:space="preserve"> </w:t>
      </w:r>
      <w:r>
        <w:rPr>
          <w:i/>
          <w:color w:val="221F1F"/>
        </w:rPr>
        <w:t>which</w:t>
      </w:r>
      <w:r>
        <w:rPr>
          <w:i/>
          <w:color w:val="221F1F"/>
          <w:spacing w:val="-7"/>
        </w:rPr>
        <w:t xml:space="preserve"> </w:t>
      </w:r>
      <w:r>
        <w:rPr>
          <w:i/>
          <w:color w:val="221F1F"/>
        </w:rPr>
        <w:t>in</w:t>
      </w:r>
      <w:r>
        <w:rPr>
          <w:i/>
          <w:color w:val="221F1F"/>
          <w:spacing w:val="-8"/>
        </w:rPr>
        <w:t xml:space="preserve"> </w:t>
      </w:r>
      <w:r>
        <w:rPr>
          <w:i/>
          <w:color w:val="221F1F"/>
        </w:rPr>
        <w:t>the</w:t>
      </w:r>
      <w:r>
        <w:rPr>
          <w:i/>
          <w:color w:val="221F1F"/>
          <w:spacing w:val="-5"/>
        </w:rPr>
        <w:t xml:space="preserve"> </w:t>
      </w:r>
      <w:r>
        <w:rPr>
          <w:i/>
          <w:color w:val="221F1F"/>
        </w:rPr>
        <w:t>case</w:t>
      </w:r>
      <w:r>
        <w:rPr>
          <w:i/>
          <w:color w:val="221F1F"/>
          <w:spacing w:val="-7"/>
        </w:rPr>
        <w:t xml:space="preserve"> </w:t>
      </w:r>
      <w:r>
        <w:rPr>
          <w:i/>
          <w:color w:val="221F1F"/>
        </w:rPr>
        <w:t>of</w:t>
      </w:r>
      <w:r>
        <w:rPr>
          <w:i/>
          <w:color w:val="221F1F"/>
          <w:spacing w:val="-7"/>
        </w:rPr>
        <w:t xml:space="preserve"> </w:t>
      </w:r>
      <w:r>
        <w:rPr>
          <w:i/>
          <w:color w:val="221F1F"/>
        </w:rPr>
        <w:t>a</w:t>
      </w:r>
      <w:r>
        <w:rPr>
          <w:i/>
          <w:color w:val="221F1F"/>
          <w:spacing w:val="-8"/>
        </w:rPr>
        <w:t xml:space="preserve"> </w:t>
      </w:r>
      <w:r>
        <w:rPr>
          <w:i/>
          <w:color w:val="221F1F"/>
        </w:rPr>
        <w:t>joint</w:t>
      </w:r>
      <w:r>
        <w:rPr>
          <w:i/>
          <w:color w:val="221F1F"/>
          <w:spacing w:val="-7"/>
        </w:rPr>
        <w:t xml:space="preserve"> </w:t>
      </w:r>
      <w:r>
        <w:rPr>
          <w:i/>
          <w:color w:val="221F1F"/>
        </w:rPr>
        <w:t xml:space="preserve">venture shall be the name of the joint venture] </w:t>
      </w:r>
      <w:r>
        <w:rPr>
          <w:color w:val="221F1F"/>
        </w:rPr>
        <w:t>(hereinafter called "the Contractor") has entered into Contract No.</w:t>
      </w:r>
    </w:p>
    <w:p w:rsidR="007F6DF9" w:rsidRDefault="00A43FBC">
      <w:pPr>
        <w:tabs>
          <w:tab w:val="left" w:pos="2585"/>
          <w:tab w:val="left" w:pos="4659"/>
          <w:tab w:val="left" w:pos="8361"/>
        </w:tabs>
        <w:spacing w:before="1" w:line="230" w:lineRule="auto"/>
        <w:ind w:left="1076" w:right="552"/>
        <w:jc w:val="both"/>
      </w:pPr>
      <w:r>
        <w:rPr>
          <w:i/>
          <w:color w:val="221F1F"/>
          <w:u w:val="single" w:color="211E1F"/>
        </w:rPr>
        <w:tab/>
      </w:r>
      <w:r>
        <w:rPr>
          <w:i/>
          <w:color w:val="221F1F"/>
        </w:rPr>
        <w:t xml:space="preserve">[insert reference number of the contract] </w:t>
      </w:r>
      <w:r>
        <w:rPr>
          <w:color w:val="221F1F"/>
        </w:rPr>
        <w:t>dated</w:t>
      </w:r>
      <w:r>
        <w:rPr>
          <w:color w:val="221F1F"/>
          <w:u w:val="single" w:color="211E1F"/>
        </w:rPr>
        <w:tab/>
      </w:r>
      <w:r>
        <w:rPr>
          <w:color w:val="221F1F"/>
        </w:rPr>
        <w:t xml:space="preserve">with the Beneficiary, for the </w:t>
      </w:r>
      <w:proofErr w:type="spellStart"/>
      <w:r>
        <w:rPr>
          <w:color w:val="221F1F"/>
          <w:spacing w:val="-2"/>
        </w:rPr>
        <w:t>executionof</w:t>
      </w:r>
      <w:proofErr w:type="spellEnd"/>
      <w:r>
        <w:rPr>
          <w:color w:val="221F1F"/>
          <w:u w:val="single" w:color="211E1F"/>
        </w:rPr>
        <w:tab/>
      </w:r>
      <w:r>
        <w:rPr>
          <w:color w:val="221F1F"/>
          <w:u w:val="single" w:color="211E1F"/>
        </w:rPr>
        <w:tab/>
      </w:r>
      <w:r>
        <w:rPr>
          <w:i/>
          <w:color w:val="221F1F"/>
        </w:rPr>
        <w:t xml:space="preserve">[insert name of contract and brief description of </w:t>
      </w:r>
      <w:r>
        <w:rPr>
          <w:color w:val="221F1F"/>
        </w:rPr>
        <w:t>Works</w:t>
      </w:r>
      <w:r>
        <w:rPr>
          <w:i/>
          <w:color w:val="221F1F"/>
        </w:rPr>
        <w:t xml:space="preserve">] </w:t>
      </w:r>
      <w:r>
        <w:rPr>
          <w:color w:val="221F1F"/>
        </w:rPr>
        <w:t>(hereinafter called "the Contract").</w:t>
      </w:r>
    </w:p>
    <w:p w:rsidR="007F6DF9" w:rsidRDefault="00A43FBC">
      <w:pPr>
        <w:pStyle w:val="ListParagraph"/>
        <w:numPr>
          <w:ilvl w:val="0"/>
          <w:numId w:val="12"/>
        </w:numPr>
        <w:tabs>
          <w:tab w:val="left" w:pos="1070"/>
          <w:tab w:val="left" w:pos="1076"/>
        </w:tabs>
        <w:spacing w:before="246" w:line="230" w:lineRule="auto"/>
        <w:ind w:right="552" w:hanging="368"/>
        <w:jc w:val="both"/>
      </w:pPr>
      <w:r>
        <w:rPr>
          <w:color w:val="221F1F"/>
        </w:rPr>
        <w:t xml:space="preserve">Furthermore, we understand that, according to the conditions of the Contract, the Beneficiary retains moneys </w:t>
      </w:r>
      <w:proofErr w:type="spellStart"/>
      <w:r>
        <w:rPr>
          <w:color w:val="221F1F"/>
        </w:rPr>
        <w:t>upto</w:t>
      </w:r>
      <w:proofErr w:type="spellEnd"/>
      <w:r>
        <w:rPr>
          <w:color w:val="221F1F"/>
        </w:rPr>
        <w:t xml:space="preserve"> the limit set forth in the Contract (“the Retention Money”), and that when the Taking-Over Certificate has been issued under the Contract and the first half of the Retention Money has been certified for payment, and payment</w:t>
      </w:r>
      <w:r>
        <w:rPr>
          <w:color w:val="221F1F"/>
          <w:spacing w:val="-2"/>
        </w:rPr>
        <w:t xml:space="preserve"> </w:t>
      </w:r>
      <w:r>
        <w:rPr>
          <w:color w:val="221F1F"/>
        </w:rPr>
        <w:t xml:space="preserve">of </w:t>
      </w:r>
      <w:r>
        <w:rPr>
          <w:i/>
          <w:color w:val="221F1F"/>
        </w:rPr>
        <w:t>[</w:t>
      </w:r>
      <w:r>
        <w:rPr>
          <w:color w:val="221F1F"/>
        </w:rPr>
        <w:t>insert the</w:t>
      </w:r>
      <w:r>
        <w:rPr>
          <w:color w:val="221F1F"/>
          <w:spacing w:val="-1"/>
        </w:rPr>
        <w:t xml:space="preserve"> </w:t>
      </w:r>
      <w:r>
        <w:rPr>
          <w:color w:val="221F1F"/>
        </w:rPr>
        <w:t>second half of the</w:t>
      </w:r>
      <w:r>
        <w:rPr>
          <w:color w:val="221F1F"/>
          <w:spacing w:val="-1"/>
        </w:rPr>
        <w:t xml:space="preserve"> </w:t>
      </w:r>
      <w:r>
        <w:rPr>
          <w:color w:val="221F1F"/>
        </w:rPr>
        <w:t>Retention</w:t>
      </w:r>
      <w:r>
        <w:rPr>
          <w:color w:val="221F1F"/>
          <w:spacing w:val="-3"/>
        </w:rPr>
        <w:t xml:space="preserve"> </w:t>
      </w:r>
      <w:r>
        <w:rPr>
          <w:color w:val="221F1F"/>
        </w:rPr>
        <w:t>Money]</w:t>
      </w:r>
      <w:r>
        <w:rPr>
          <w:color w:val="221F1F"/>
          <w:spacing w:val="-2"/>
        </w:rPr>
        <w:t xml:space="preserve"> </w:t>
      </w:r>
      <w:r>
        <w:rPr>
          <w:color w:val="221F1F"/>
        </w:rPr>
        <w:t>is</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made</w:t>
      </w:r>
      <w:r>
        <w:rPr>
          <w:color w:val="221F1F"/>
          <w:spacing w:val="-1"/>
        </w:rPr>
        <w:t xml:space="preserve"> </w:t>
      </w:r>
      <w:r>
        <w:rPr>
          <w:color w:val="221F1F"/>
        </w:rPr>
        <w:t>against</w:t>
      </w:r>
      <w:r>
        <w:rPr>
          <w:color w:val="221F1F"/>
          <w:spacing w:val="-2"/>
        </w:rPr>
        <w:t xml:space="preserve"> </w:t>
      </w:r>
      <w:r>
        <w:rPr>
          <w:color w:val="221F1F"/>
        </w:rPr>
        <w:t>a</w:t>
      </w:r>
      <w:r>
        <w:rPr>
          <w:color w:val="221F1F"/>
          <w:spacing w:val="-3"/>
        </w:rPr>
        <w:t xml:space="preserve"> </w:t>
      </w:r>
      <w:r>
        <w:rPr>
          <w:color w:val="221F1F"/>
        </w:rPr>
        <w:t>Retention Money</w:t>
      </w:r>
      <w:r>
        <w:rPr>
          <w:color w:val="221F1F"/>
          <w:spacing w:val="-1"/>
        </w:rPr>
        <w:t xml:space="preserve"> </w:t>
      </w:r>
      <w:r>
        <w:rPr>
          <w:color w:val="221F1F"/>
        </w:rPr>
        <w:t>guarantee.</w:t>
      </w:r>
    </w:p>
    <w:p w:rsidR="007F6DF9" w:rsidRDefault="00A43FBC">
      <w:pPr>
        <w:pStyle w:val="ListParagraph"/>
        <w:numPr>
          <w:ilvl w:val="0"/>
          <w:numId w:val="12"/>
        </w:numPr>
        <w:tabs>
          <w:tab w:val="left" w:pos="1070"/>
          <w:tab w:val="left" w:pos="1076"/>
          <w:tab w:val="left" w:pos="4465"/>
          <w:tab w:val="left" w:pos="8959"/>
        </w:tabs>
        <w:spacing w:before="243" w:line="230" w:lineRule="auto"/>
        <w:ind w:right="550" w:hanging="368"/>
        <w:jc w:val="both"/>
      </w:pPr>
      <w:r>
        <w:rPr>
          <w:color w:val="221F1F"/>
        </w:rPr>
        <w:t>At</w:t>
      </w:r>
      <w:r>
        <w:rPr>
          <w:color w:val="221F1F"/>
          <w:spacing w:val="-1"/>
        </w:rPr>
        <w:t xml:space="preserve"> </w:t>
      </w:r>
      <w:r>
        <w:rPr>
          <w:color w:val="221F1F"/>
        </w:rPr>
        <w:t>the</w:t>
      </w:r>
      <w:r>
        <w:rPr>
          <w:color w:val="221F1F"/>
          <w:spacing w:val="-4"/>
        </w:rPr>
        <w:t xml:space="preserve"> </w:t>
      </w:r>
      <w:r>
        <w:rPr>
          <w:color w:val="221F1F"/>
        </w:rPr>
        <w:t>request</w:t>
      </w:r>
      <w:r>
        <w:rPr>
          <w:color w:val="221F1F"/>
          <w:spacing w:val="-3"/>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we,</w:t>
      </w:r>
      <w:r>
        <w:rPr>
          <w:color w:val="221F1F"/>
          <w:spacing w:val="-4"/>
        </w:rPr>
        <w:t xml:space="preserve"> </w:t>
      </w:r>
      <w:r>
        <w:rPr>
          <w:color w:val="221F1F"/>
        </w:rPr>
        <w:t>as</w:t>
      </w:r>
      <w:r>
        <w:rPr>
          <w:color w:val="221F1F"/>
          <w:spacing w:val="-4"/>
        </w:rPr>
        <w:t xml:space="preserve"> </w:t>
      </w:r>
      <w:r>
        <w:rPr>
          <w:color w:val="221F1F"/>
        </w:rPr>
        <w:t>Guarantor,</w:t>
      </w:r>
      <w:r>
        <w:rPr>
          <w:color w:val="221F1F"/>
          <w:spacing w:val="-4"/>
        </w:rPr>
        <w:t xml:space="preserve"> </w:t>
      </w:r>
      <w:r>
        <w:rPr>
          <w:color w:val="221F1F"/>
        </w:rPr>
        <w:t>hereby</w:t>
      </w:r>
      <w:r>
        <w:rPr>
          <w:color w:val="221F1F"/>
          <w:spacing w:val="-2"/>
        </w:rPr>
        <w:t xml:space="preserve"> </w:t>
      </w:r>
      <w:r>
        <w:rPr>
          <w:color w:val="221F1F"/>
        </w:rPr>
        <w:t>irrevocably</w:t>
      </w:r>
      <w:r>
        <w:rPr>
          <w:color w:val="221F1F"/>
          <w:spacing w:val="-4"/>
        </w:rPr>
        <w:t xml:space="preserve"> </w:t>
      </w:r>
      <w:r>
        <w:rPr>
          <w:color w:val="221F1F"/>
        </w:rPr>
        <w:t>undertake</w:t>
      </w:r>
      <w:r>
        <w:rPr>
          <w:color w:val="221F1F"/>
          <w:spacing w:val="-4"/>
        </w:rPr>
        <w:t xml:space="preserve"> </w:t>
      </w:r>
      <w:r>
        <w:rPr>
          <w:color w:val="221F1F"/>
        </w:rPr>
        <w:t>to</w:t>
      </w:r>
      <w:r>
        <w:rPr>
          <w:color w:val="221F1F"/>
          <w:spacing w:val="-5"/>
        </w:rPr>
        <w:t xml:space="preserve"> </w:t>
      </w:r>
      <w:r>
        <w:rPr>
          <w:color w:val="221F1F"/>
        </w:rPr>
        <w:t>pay</w:t>
      </w:r>
      <w:r>
        <w:rPr>
          <w:color w:val="221F1F"/>
          <w:spacing w:val="-4"/>
        </w:rPr>
        <w:t xml:space="preserve"> </w:t>
      </w:r>
      <w:r>
        <w:rPr>
          <w:color w:val="221F1F"/>
        </w:rPr>
        <w:t>the</w:t>
      </w:r>
      <w:r>
        <w:rPr>
          <w:color w:val="221F1F"/>
          <w:spacing w:val="-4"/>
        </w:rPr>
        <w:t xml:space="preserve"> </w:t>
      </w:r>
      <w:r>
        <w:rPr>
          <w:color w:val="221F1F"/>
        </w:rPr>
        <w:t>Beneficiary</w:t>
      </w:r>
      <w:r>
        <w:rPr>
          <w:color w:val="221F1F"/>
          <w:spacing w:val="-4"/>
        </w:rPr>
        <w:t xml:space="preserve"> </w:t>
      </w:r>
      <w:r>
        <w:rPr>
          <w:color w:val="221F1F"/>
        </w:rPr>
        <w:t>any</w:t>
      </w:r>
      <w:r>
        <w:rPr>
          <w:color w:val="221F1F"/>
          <w:spacing w:val="-4"/>
        </w:rPr>
        <w:t xml:space="preserve"> </w:t>
      </w:r>
      <w:r>
        <w:rPr>
          <w:color w:val="221F1F"/>
        </w:rPr>
        <w:t xml:space="preserve">sum or sums not exceeding in total an amount of </w:t>
      </w:r>
      <w:r>
        <w:rPr>
          <w:i/>
          <w:color w:val="221F1F"/>
        </w:rPr>
        <w:t>[insert amount in figures]</w:t>
      </w:r>
      <w:r>
        <w:rPr>
          <w:color w:val="221F1F"/>
          <w:u w:val="single" w:color="211E1F"/>
        </w:rPr>
        <w:tab/>
      </w:r>
      <w:r>
        <w:rPr>
          <w:color w:val="221F1F"/>
        </w:rPr>
        <w:t>_ (</w:t>
      </w:r>
      <w:r>
        <w:rPr>
          <w:i/>
          <w:color w:val="221F1F"/>
        </w:rPr>
        <w:t xml:space="preserve">[insert amount in </w:t>
      </w:r>
      <w:r>
        <w:rPr>
          <w:i/>
          <w:color w:val="221F1F"/>
          <w:spacing w:val="-4"/>
        </w:rPr>
        <w:t>words</w:t>
      </w:r>
      <w:r>
        <w:rPr>
          <w:i/>
          <w:color w:val="221F1F"/>
          <w:u w:val="single" w:color="211E1F"/>
        </w:rPr>
        <w:tab/>
      </w:r>
      <w:r>
        <w:rPr>
          <w:i/>
          <w:color w:val="221F1F"/>
        </w:rPr>
        <w:t>])</w:t>
      </w:r>
      <w:r>
        <w:rPr>
          <w:i/>
          <w:color w:val="221F1F"/>
          <w:position w:val="11"/>
          <w:sz w:val="11"/>
        </w:rPr>
        <w:t>1</w:t>
      </w:r>
      <w:r>
        <w:rPr>
          <w:i/>
          <w:color w:val="221F1F"/>
          <w:spacing w:val="-7"/>
          <w:position w:val="11"/>
          <w:sz w:val="11"/>
        </w:rPr>
        <w:t xml:space="preserve"> </w:t>
      </w:r>
      <w:r>
        <w:rPr>
          <w:color w:val="221F1F"/>
        </w:rPr>
        <w:t>upon</w:t>
      </w:r>
      <w:r>
        <w:rPr>
          <w:color w:val="221F1F"/>
          <w:spacing w:val="-14"/>
        </w:rPr>
        <w:t xml:space="preserve"> </w:t>
      </w:r>
      <w:r>
        <w:rPr>
          <w:color w:val="221F1F"/>
        </w:rPr>
        <w:t>receipt</w:t>
      </w:r>
      <w:r>
        <w:rPr>
          <w:color w:val="221F1F"/>
          <w:spacing w:val="-13"/>
        </w:rPr>
        <w:t xml:space="preserve"> </w:t>
      </w:r>
      <w:r>
        <w:rPr>
          <w:color w:val="221F1F"/>
        </w:rPr>
        <w:t>by</w:t>
      </w:r>
      <w:r>
        <w:rPr>
          <w:color w:val="221F1F"/>
          <w:spacing w:val="-13"/>
        </w:rPr>
        <w:t xml:space="preserve"> </w:t>
      </w:r>
      <w:r>
        <w:rPr>
          <w:color w:val="221F1F"/>
        </w:rPr>
        <w:t>us</w:t>
      </w:r>
      <w:r>
        <w:rPr>
          <w:color w:val="221F1F"/>
          <w:spacing w:val="-13"/>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Beneficiary's</w:t>
      </w:r>
      <w:r>
        <w:rPr>
          <w:color w:val="221F1F"/>
          <w:spacing w:val="-12"/>
        </w:rPr>
        <w:t xml:space="preserve"> </w:t>
      </w:r>
      <w:r>
        <w:rPr>
          <w:color w:val="221F1F"/>
        </w:rPr>
        <w:t>complying</w:t>
      </w:r>
      <w:r>
        <w:rPr>
          <w:color w:val="221F1F"/>
          <w:spacing w:val="-13"/>
        </w:rPr>
        <w:t xml:space="preserve"> </w:t>
      </w:r>
      <w:r>
        <w:rPr>
          <w:color w:val="221F1F"/>
        </w:rPr>
        <w:t>demands</w:t>
      </w:r>
      <w:r>
        <w:rPr>
          <w:color w:val="221F1F"/>
          <w:spacing w:val="-13"/>
        </w:rPr>
        <w:t xml:space="preserve"> </w:t>
      </w:r>
      <w:proofErr w:type="spellStart"/>
      <w:r>
        <w:rPr>
          <w:color w:val="221F1F"/>
        </w:rPr>
        <w:t>upported</w:t>
      </w:r>
      <w:proofErr w:type="spellEnd"/>
      <w:r>
        <w:rPr>
          <w:color w:val="221F1F"/>
          <w:spacing w:val="-13"/>
        </w:rPr>
        <w:t xml:space="preserve"> </w:t>
      </w:r>
      <w:r>
        <w:rPr>
          <w:color w:val="221F1F"/>
        </w:rPr>
        <w:t xml:space="preserve">by the Beneficiary's statement, whether in the demand itself or in a separate signed document accompanying or </w:t>
      </w:r>
      <w:proofErr w:type="spellStart"/>
      <w:r>
        <w:rPr>
          <w:color w:val="221F1F"/>
        </w:rPr>
        <w:t>identifyingthedemand</w:t>
      </w:r>
      <w:proofErr w:type="spellEnd"/>
      <w:r>
        <w:rPr>
          <w:color w:val="221F1F"/>
        </w:rPr>
        <w:t>,</w:t>
      </w:r>
      <w:r>
        <w:rPr>
          <w:color w:val="221F1F"/>
          <w:spacing w:val="-12"/>
        </w:rPr>
        <w:t xml:space="preserve"> </w:t>
      </w:r>
      <w:r>
        <w:rPr>
          <w:color w:val="221F1F"/>
        </w:rPr>
        <w:t>stating</w:t>
      </w:r>
      <w:r>
        <w:rPr>
          <w:color w:val="221F1F"/>
          <w:spacing w:val="-12"/>
        </w:rPr>
        <w:t xml:space="preserve"> </w:t>
      </w:r>
      <w:r>
        <w:rPr>
          <w:color w:val="221F1F"/>
        </w:rPr>
        <w:t>that</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3"/>
        </w:rPr>
        <w:t xml:space="preserve"> </w:t>
      </w:r>
      <w:r>
        <w:rPr>
          <w:color w:val="221F1F"/>
        </w:rPr>
        <w:t>is</w:t>
      </w:r>
      <w:r>
        <w:rPr>
          <w:color w:val="221F1F"/>
          <w:spacing w:val="-14"/>
        </w:rPr>
        <w:t xml:space="preserve"> </w:t>
      </w:r>
      <w:r>
        <w:rPr>
          <w:color w:val="221F1F"/>
        </w:rPr>
        <w:t>in</w:t>
      </w:r>
      <w:r>
        <w:rPr>
          <w:color w:val="221F1F"/>
          <w:spacing w:val="-14"/>
        </w:rPr>
        <w:t xml:space="preserve"> </w:t>
      </w:r>
      <w:r>
        <w:rPr>
          <w:color w:val="221F1F"/>
        </w:rPr>
        <w:t>breach</w:t>
      </w:r>
      <w:r>
        <w:rPr>
          <w:color w:val="221F1F"/>
          <w:spacing w:val="-11"/>
        </w:rPr>
        <w:t xml:space="preserve"> </w:t>
      </w:r>
      <w:r>
        <w:rPr>
          <w:color w:val="221F1F"/>
        </w:rPr>
        <w:t>of</w:t>
      </w:r>
      <w:r>
        <w:rPr>
          <w:color w:val="221F1F"/>
          <w:spacing w:val="-13"/>
        </w:rPr>
        <w:t xml:space="preserve"> </w:t>
      </w:r>
      <w:r>
        <w:rPr>
          <w:color w:val="221F1F"/>
        </w:rPr>
        <w:t>its</w:t>
      </w:r>
      <w:r>
        <w:rPr>
          <w:color w:val="221F1F"/>
          <w:spacing w:val="-12"/>
        </w:rPr>
        <w:t xml:space="preserve"> </w:t>
      </w:r>
      <w:r>
        <w:rPr>
          <w:color w:val="221F1F"/>
        </w:rPr>
        <w:t>obligation(s)</w:t>
      </w:r>
      <w:r>
        <w:rPr>
          <w:color w:val="221F1F"/>
          <w:spacing w:val="-11"/>
        </w:rPr>
        <w:t xml:space="preserve"> </w:t>
      </w:r>
      <w:r>
        <w:rPr>
          <w:color w:val="221F1F"/>
        </w:rPr>
        <w:t>under</w:t>
      </w:r>
      <w:r>
        <w:rPr>
          <w:color w:val="221F1F"/>
          <w:spacing w:val="-13"/>
        </w:rPr>
        <w:t xml:space="preserve"> </w:t>
      </w:r>
      <w:r>
        <w:rPr>
          <w:color w:val="221F1F"/>
        </w:rPr>
        <w:t>the</w:t>
      </w:r>
      <w:r>
        <w:rPr>
          <w:color w:val="221F1F"/>
          <w:spacing w:val="-14"/>
        </w:rPr>
        <w:t xml:space="preserve"> </w:t>
      </w:r>
      <w:r>
        <w:rPr>
          <w:color w:val="221F1F"/>
        </w:rPr>
        <w:t>Contract,</w:t>
      </w:r>
      <w:r>
        <w:rPr>
          <w:color w:val="221F1F"/>
          <w:spacing w:val="-14"/>
        </w:rPr>
        <w:t xml:space="preserve"> </w:t>
      </w:r>
      <w:r>
        <w:rPr>
          <w:color w:val="221F1F"/>
        </w:rPr>
        <w:t>without</w:t>
      </w:r>
      <w:r>
        <w:rPr>
          <w:color w:val="221F1F"/>
          <w:spacing w:val="-11"/>
        </w:rPr>
        <w:t xml:space="preserve"> </w:t>
      </w:r>
      <w:r>
        <w:rPr>
          <w:color w:val="221F1F"/>
        </w:rPr>
        <w:t>your needing to prove or showgrounds for your demand or the sum specified there in.</w:t>
      </w:r>
    </w:p>
    <w:p w:rsidR="007F6DF9" w:rsidRDefault="00A43FBC">
      <w:pPr>
        <w:pStyle w:val="ListParagraph"/>
        <w:numPr>
          <w:ilvl w:val="0"/>
          <w:numId w:val="12"/>
        </w:numPr>
        <w:tabs>
          <w:tab w:val="left" w:pos="1070"/>
          <w:tab w:val="left" w:pos="1076"/>
          <w:tab w:val="left" w:pos="5312"/>
          <w:tab w:val="left" w:pos="7494"/>
        </w:tabs>
        <w:spacing w:before="238" w:line="230" w:lineRule="auto"/>
        <w:ind w:right="553" w:hanging="368"/>
        <w:jc w:val="both"/>
      </w:pPr>
      <w:r>
        <w:rPr>
          <w:color w:val="221F1F"/>
        </w:rPr>
        <w:t>A</w:t>
      </w:r>
      <w:r>
        <w:rPr>
          <w:color w:val="221F1F"/>
          <w:spacing w:val="-1"/>
        </w:rPr>
        <w:t xml:space="preserve"> </w:t>
      </w:r>
      <w:r>
        <w:rPr>
          <w:color w:val="221F1F"/>
        </w:rPr>
        <w:t>demand under this guarantee</w:t>
      </w:r>
      <w:r>
        <w:rPr>
          <w:color w:val="221F1F"/>
          <w:spacing w:val="-1"/>
        </w:rPr>
        <w:t xml:space="preserve"> </w:t>
      </w:r>
      <w:r>
        <w:rPr>
          <w:color w:val="221F1F"/>
        </w:rPr>
        <w:t>may</w:t>
      </w:r>
      <w:r>
        <w:rPr>
          <w:color w:val="221F1F"/>
          <w:spacing w:val="-2"/>
        </w:rPr>
        <w:t xml:space="preserve"> </w:t>
      </w:r>
      <w:r>
        <w:rPr>
          <w:color w:val="221F1F"/>
        </w:rPr>
        <w:t>be presented as</w:t>
      </w:r>
      <w:r>
        <w:rPr>
          <w:color w:val="221F1F"/>
          <w:spacing w:val="-2"/>
        </w:rPr>
        <w:t xml:space="preserve"> </w:t>
      </w:r>
      <w:r>
        <w:rPr>
          <w:color w:val="221F1F"/>
        </w:rPr>
        <w:t>from the presentation to</w:t>
      </w:r>
      <w:r>
        <w:rPr>
          <w:color w:val="221F1F"/>
          <w:spacing w:val="-2"/>
        </w:rPr>
        <w:t xml:space="preserve"> </w:t>
      </w:r>
      <w:r>
        <w:rPr>
          <w:color w:val="221F1F"/>
        </w:rPr>
        <w:t>the</w:t>
      </w:r>
      <w:r>
        <w:rPr>
          <w:color w:val="221F1F"/>
          <w:spacing w:val="-2"/>
        </w:rPr>
        <w:t xml:space="preserve"> </w:t>
      </w:r>
      <w:r>
        <w:rPr>
          <w:color w:val="221F1F"/>
        </w:rPr>
        <w:t>Guarantor of a</w:t>
      </w:r>
      <w:r>
        <w:rPr>
          <w:color w:val="221F1F"/>
          <w:spacing w:val="-2"/>
        </w:rPr>
        <w:t xml:space="preserve"> </w:t>
      </w:r>
      <w:r>
        <w:rPr>
          <w:color w:val="221F1F"/>
        </w:rPr>
        <w:t>certificate from the</w:t>
      </w:r>
      <w:r>
        <w:rPr>
          <w:color w:val="221F1F"/>
          <w:spacing w:val="-4"/>
        </w:rPr>
        <w:t xml:space="preserve"> </w:t>
      </w:r>
      <w:r>
        <w:rPr>
          <w:color w:val="221F1F"/>
        </w:rPr>
        <w:t>Beneficiary's</w:t>
      </w:r>
      <w:r>
        <w:rPr>
          <w:color w:val="221F1F"/>
          <w:spacing w:val="-4"/>
        </w:rPr>
        <w:t xml:space="preserve"> </w:t>
      </w:r>
      <w:r>
        <w:rPr>
          <w:color w:val="221F1F"/>
        </w:rPr>
        <w:t>bank</w:t>
      </w:r>
      <w:r>
        <w:rPr>
          <w:color w:val="221F1F"/>
          <w:spacing w:val="-5"/>
        </w:rPr>
        <w:t xml:space="preserve"> </w:t>
      </w:r>
      <w:r>
        <w:rPr>
          <w:color w:val="221F1F"/>
        </w:rPr>
        <w:t>stating</w:t>
      </w:r>
      <w:r>
        <w:rPr>
          <w:color w:val="221F1F"/>
          <w:spacing w:val="-4"/>
        </w:rPr>
        <w:t xml:space="preserve"> </w:t>
      </w:r>
      <w:r>
        <w:rPr>
          <w:color w:val="221F1F"/>
        </w:rPr>
        <w:t>that</w:t>
      </w:r>
      <w:r>
        <w:rPr>
          <w:color w:val="221F1F"/>
          <w:spacing w:val="-3"/>
        </w:rPr>
        <w:t xml:space="preserve"> </w:t>
      </w:r>
      <w:r>
        <w:rPr>
          <w:color w:val="221F1F"/>
        </w:rPr>
        <w:t>the</w:t>
      </w:r>
      <w:r>
        <w:rPr>
          <w:color w:val="221F1F"/>
          <w:spacing w:val="-4"/>
        </w:rPr>
        <w:t xml:space="preserve"> </w:t>
      </w:r>
      <w:r>
        <w:rPr>
          <w:color w:val="221F1F"/>
        </w:rPr>
        <w:t>second</w:t>
      </w:r>
      <w:r>
        <w:rPr>
          <w:color w:val="221F1F"/>
          <w:spacing w:val="-4"/>
        </w:rPr>
        <w:t xml:space="preserve"> </w:t>
      </w:r>
      <w:r>
        <w:rPr>
          <w:color w:val="221F1F"/>
        </w:rPr>
        <w:t>half</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Retention</w:t>
      </w:r>
      <w:r>
        <w:rPr>
          <w:color w:val="221F1F"/>
          <w:spacing w:val="-4"/>
        </w:rPr>
        <w:t xml:space="preserve"> </w:t>
      </w:r>
      <w:r>
        <w:rPr>
          <w:color w:val="221F1F"/>
        </w:rPr>
        <w:t>Money</w:t>
      </w:r>
      <w:r>
        <w:rPr>
          <w:color w:val="221F1F"/>
          <w:spacing w:val="-4"/>
        </w:rPr>
        <w:t xml:space="preserve"> </w:t>
      </w:r>
      <w:r>
        <w:rPr>
          <w:color w:val="221F1F"/>
        </w:rPr>
        <w:t>as</w:t>
      </w:r>
      <w:r>
        <w:rPr>
          <w:color w:val="221F1F"/>
          <w:spacing w:val="-7"/>
        </w:rPr>
        <w:t xml:space="preserve"> </w:t>
      </w:r>
      <w:r>
        <w:rPr>
          <w:color w:val="221F1F"/>
        </w:rPr>
        <w:t>referred</w:t>
      </w:r>
      <w:r>
        <w:rPr>
          <w:color w:val="221F1F"/>
          <w:spacing w:val="-4"/>
        </w:rPr>
        <w:t xml:space="preserve"> </w:t>
      </w:r>
      <w:r>
        <w:rPr>
          <w:color w:val="221F1F"/>
        </w:rPr>
        <w:t>to</w:t>
      </w:r>
      <w:r>
        <w:rPr>
          <w:color w:val="221F1F"/>
          <w:spacing w:val="-6"/>
        </w:rPr>
        <w:t xml:space="preserve"> </w:t>
      </w:r>
      <w:r>
        <w:rPr>
          <w:color w:val="221F1F"/>
        </w:rPr>
        <w:t>above</w:t>
      </w:r>
      <w:r>
        <w:rPr>
          <w:color w:val="221F1F"/>
          <w:spacing w:val="-4"/>
        </w:rPr>
        <w:t xml:space="preserve"> </w:t>
      </w:r>
      <w:r>
        <w:rPr>
          <w:color w:val="221F1F"/>
        </w:rPr>
        <w:t>has</w:t>
      </w:r>
      <w:r>
        <w:rPr>
          <w:color w:val="221F1F"/>
          <w:spacing w:val="-4"/>
        </w:rPr>
        <w:t xml:space="preserve"> </w:t>
      </w:r>
      <w:r>
        <w:rPr>
          <w:color w:val="221F1F"/>
        </w:rPr>
        <w:t>been</w:t>
      </w:r>
      <w:r>
        <w:rPr>
          <w:color w:val="221F1F"/>
          <w:spacing w:val="-4"/>
        </w:rPr>
        <w:t xml:space="preserve"> </w:t>
      </w:r>
      <w:r>
        <w:rPr>
          <w:color w:val="221F1F"/>
        </w:rPr>
        <w:t>credited to the Contractor on its account number</w:t>
      </w:r>
      <w:r>
        <w:rPr>
          <w:color w:val="221F1F"/>
          <w:u w:val="single" w:color="211E1F"/>
        </w:rPr>
        <w:tab/>
      </w:r>
      <w:r>
        <w:rPr>
          <w:color w:val="221F1F"/>
          <w:spacing w:val="-6"/>
        </w:rPr>
        <w:t>at</w:t>
      </w:r>
      <w:r>
        <w:rPr>
          <w:color w:val="221F1F"/>
          <w:u w:val="single" w:color="211E1F"/>
        </w:rPr>
        <w:tab/>
      </w:r>
      <w:r>
        <w:rPr>
          <w:i/>
          <w:color w:val="221F1F"/>
        </w:rPr>
        <w:t>[insert</w:t>
      </w:r>
      <w:r>
        <w:rPr>
          <w:i/>
          <w:color w:val="221F1F"/>
          <w:spacing w:val="-12"/>
        </w:rPr>
        <w:t xml:space="preserve"> </w:t>
      </w:r>
      <w:r>
        <w:rPr>
          <w:i/>
          <w:color w:val="221F1F"/>
        </w:rPr>
        <w:t>name</w:t>
      </w:r>
      <w:r>
        <w:rPr>
          <w:i/>
          <w:color w:val="221F1F"/>
          <w:spacing w:val="-12"/>
        </w:rPr>
        <w:t xml:space="preserve"> </w:t>
      </w:r>
      <w:r>
        <w:rPr>
          <w:i/>
          <w:color w:val="221F1F"/>
        </w:rPr>
        <w:t>and</w:t>
      </w:r>
      <w:r>
        <w:rPr>
          <w:i/>
          <w:color w:val="221F1F"/>
          <w:spacing w:val="-13"/>
        </w:rPr>
        <w:t xml:space="preserve"> </w:t>
      </w:r>
      <w:r>
        <w:rPr>
          <w:i/>
          <w:color w:val="221F1F"/>
        </w:rPr>
        <w:t>address</w:t>
      </w:r>
      <w:r>
        <w:rPr>
          <w:i/>
          <w:color w:val="221F1F"/>
          <w:spacing w:val="-12"/>
        </w:rPr>
        <w:t xml:space="preserve"> </w:t>
      </w:r>
      <w:proofErr w:type="spellStart"/>
      <w:r>
        <w:rPr>
          <w:i/>
          <w:color w:val="221F1F"/>
        </w:rPr>
        <w:t>ofApplicant's</w:t>
      </w:r>
      <w:proofErr w:type="spellEnd"/>
      <w:r>
        <w:rPr>
          <w:i/>
          <w:color w:val="221F1F"/>
        </w:rPr>
        <w:t xml:space="preserve"> </w:t>
      </w:r>
      <w:r>
        <w:rPr>
          <w:i/>
          <w:color w:val="221F1F"/>
          <w:spacing w:val="-2"/>
        </w:rPr>
        <w:t>bank]</w:t>
      </w:r>
      <w:r>
        <w:rPr>
          <w:color w:val="221F1F"/>
          <w:spacing w:val="-2"/>
        </w:rPr>
        <w:t>.</w:t>
      </w:r>
    </w:p>
    <w:p w:rsidR="007F6DF9" w:rsidRDefault="00A43FBC">
      <w:pPr>
        <w:pStyle w:val="ListParagraph"/>
        <w:numPr>
          <w:ilvl w:val="0"/>
          <w:numId w:val="12"/>
        </w:numPr>
        <w:tabs>
          <w:tab w:val="left" w:pos="1070"/>
          <w:tab w:val="left" w:pos="1076"/>
        </w:tabs>
        <w:spacing w:before="240" w:line="230" w:lineRule="auto"/>
        <w:ind w:right="553" w:hanging="368"/>
        <w:jc w:val="both"/>
      </w:pPr>
      <w:r>
        <w:rPr>
          <w:color w:val="221F1F"/>
        </w:rPr>
        <w:t>This guarantee shall expire no later than the....................Day of...................2...........</w:t>
      </w:r>
      <w:r>
        <w:rPr>
          <w:color w:val="221F1F"/>
          <w:position w:val="11"/>
          <w:sz w:val="11"/>
        </w:rPr>
        <w:t>2</w:t>
      </w:r>
      <w:r>
        <w:rPr>
          <w:color w:val="221F1F"/>
        </w:rPr>
        <w:t>, and any demand for payment under it must be received by us at the office indicated above on or before that date.</w:t>
      </w:r>
    </w:p>
    <w:p w:rsidR="007F6DF9" w:rsidRDefault="00A43FBC">
      <w:pPr>
        <w:pStyle w:val="ListParagraph"/>
        <w:numPr>
          <w:ilvl w:val="0"/>
          <w:numId w:val="12"/>
        </w:numPr>
        <w:tabs>
          <w:tab w:val="left" w:pos="1070"/>
          <w:tab w:val="left" w:pos="1076"/>
        </w:tabs>
        <w:spacing w:before="244" w:line="230" w:lineRule="auto"/>
        <w:ind w:right="553" w:hanging="368"/>
        <w:jc w:val="both"/>
      </w:pPr>
      <w:r>
        <w:rPr>
          <w:color w:val="221F1F"/>
        </w:rPr>
        <w:t>The</w:t>
      </w:r>
      <w:r>
        <w:rPr>
          <w:color w:val="221F1F"/>
          <w:spacing w:val="-11"/>
        </w:rPr>
        <w:t xml:space="preserve"> </w:t>
      </w:r>
      <w:r>
        <w:rPr>
          <w:color w:val="221F1F"/>
        </w:rPr>
        <w:t>Guarantor</w:t>
      </w:r>
      <w:r>
        <w:rPr>
          <w:color w:val="221F1F"/>
          <w:spacing w:val="-12"/>
        </w:rPr>
        <w:t xml:space="preserve"> </w:t>
      </w:r>
      <w:r>
        <w:rPr>
          <w:color w:val="221F1F"/>
        </w:rPr>
        <w:t>agrees</w:t>
      </w:r>
      <w:r>
        <w:rPr>
          <w:color w:val="221F1F"/>
          <w:spacing w:val="-10"/>
        </w:rPr>
        <w:t xml:space="preserve"> </w:t>
      </w:r>
      <w:r>
        <w:rPr>
          <w:color w:val="221F1F"/>
        </w:rPr>
        <w:t>to</w:t>
      </w:r>
      <w:r>
        <w:rPr>
          <w:color w:val="221F1F"/>
          <w:spacing w:val="-11"/>
        </w:rPr>
        <w:t xml:space="preserve"> </w:t>
      </w:r>
      <w:r>
        <w:rPr>
          <w:color w:val="221F1F"/>
        </w:rPr>
        <w:t>a</w:t>
      </w:r>
      <w:r>
        <w:rPr>
          <w:color w:val="221F1F"/>
          <w:spacing w:val="-13"/>
        </w:rPr>
        <w:t xml:space="preserve"> </w:t>
      </w:r>
      <w:r>
        <w:rPr>
          <w:color w:val="221F1F"/>
        </w:rPr>
        <w:t>one-time</w:t>
      </w:r>
      <w:r>
        <w:rPr>
          <w:color w:val="221F1F"/>
          <w:spacing w:val="-13"/>
        </w:rPr>
        <w:t xml:space="preserve"> </w:t>
      </w:r>
      <w:r>
        <w:rPr>
          <w:color w:val="221F1F"/>
        </w:rPr>
        <w:t>extension</w:t>
      </w:r>
      <w:r>
        <w:rPr>
          <w:color w:val="221F1F"/>
          <w:spacing w:val="-13"/>
        </w:rPr>
        <w:t xml:space="preserve"> </w:t>
      </w:r>
      <w:r>
        <w:rPr>
          <w:color w:val="221F1F"/>
        </w:rPr>
        <w:t>of</w:t>
      </w:r>
      <w:r>
        <w:rPr>
          <w:color w:val="221F1F"/>
          <w:spacing w:val="-12"/>
        </w:rPr>
        <w:t xml:space="preserve"> </w:t>
      </w:r>
      <w:r>
        <w:rPr>
          <w:color w:val="221F1F"/>
        </w:rPr>
        <w:t>this</w:t>
      </w:r>
      <w:r>
        <w:rPr>
          <w:color w:val="221F1F"/>
          <w:spacing w:val="-12"/>
        </w:rPr>
        <w:t xml:space="preserve"> </w:t>
      </w:r>
      <w:r>
        <w:rPr>
          <w:color w:val="221F1F"/>
        </w:rPr>
        <w:t>guarantee</w:t>
      </w:r>
      <w:r>
        <w:rPr>
          <w:color w:val="221F1F"/>
          <w:spacing w:val="-12"/>
        </w:rPr>
        <w:t xml:space="preserve"> </w:t>
      </w:r>
      <w:r>
        <w:rPr>
          <w:color w:val="221F1F"/>
        </w:rPr>
        <w:t>for</w:t>
      </w:r>
      <w:r>
        <w:rPr>
          <w:color w:val="221F1F"/>
          <w:spacing w:val="-12"/>
        </w:rPr>
        <w:t xml:space="preserve"> </w:t>
      </w:r>
      <w:r>
        <w:rPr>
          <w:color w:val="221F1F"/>
        </w:rPr>
        <w:t>a</w:t>
      </w:r>
      <w:r>
        <w:rPr>
          <w:color w:val="221F1F"/>
          <w:spacing w:val="-10"/>
        </w:rPr>
        <w:t xml:space="preserve"> </w:t>
      </w:r>
      <w:r>
        <w:rPr>
          <w:color w:val="221F1F"/>
        </w:rPr>
        <w:t>period</w:t>
      </w:r>
      <w:r>
        <w:rPr>
          <w:color w:val="221F1F"/>
          <w:spacing w:val="-11"/>
        </w:rPr>
        <w:t xml:space="preserve"> </w:t>
      </w:r>
      <w:r>
        <w:rPr>
          <w:color w:val="221F1F"/>
        </w:rPr>
        <w:t>not</w:t>
      </w:r>
      <w:r>
        <w:rPr>
          <w:color w:val="221F1F"/>
          <w:spacing w:val="-12"/>
        </w:rPr>
        <w:t xml:space="preserve"> </w:t>
      </w:r>
      <w:r>
        <w:rPr>
          <w:color w:val="221F1F"/>
        </w:rPr>
        <w:t>to</w:t>
      </w:r>
      <w:r>
        <w:rPr>
          <w:color w:val="221F1F"/>
          <w:spacing w:val="-13"/>
        </w:rPr>
        <w:t xml:space="preserve"> </w:t>
      </w:r>
      <w:r>
        <w:rPr>
          <w:color w:val="221F1F"/>
        </w:rPr>
        <w:t>exceed</w:t>
      </w:r>
      <w:r>
        <w:rPr>
          <w:color w:val="221F1F"/>
          <w:spacing w:val="-12"/>
        </w:rPr>
        <w:t xml:space="preserve"> </w:t>
      </w:r>
      <w:r>
        <w:rPr>
          <w:i/>
          <w:color w:val="221F1F"/>
        </w:rPr>
        <w:t>[six</w:t>
      </w:r>
      <w:r>
        <w:rPr>
          <w:i/>
          <w:color w:val="221F1F"/>
          <w:spacing w:val="-13"/>
        </w:rPr>
        <w:t xml:space="preserve"> </w:t>
      </w:r>
      <w:r>
        <w:rPr>
          <w:i/>
          <w:color w:val="221F1F"/>
        </w:rPr>
        <w:t>months]</w:t>
      </w:r>
      <w:r>
        <w:rPr>
          <w:i/>
          <w:color w:val="221F1F"/>
          <w:spacing w:val="-12"/>
        </w:rPr>
        <w:t xml:space="preserve"> </w:t>
      </w:r>
      <w:r>
        <w:rPr>
          <w:i/>
          <w:color w:val="221F1F"/>
        </w:rPr>
        <w:t>[one</w:t>
      </w:r>
      <w:r>
        <w:rPr>
          <w:i/>
          <w:color w:val="221F1F"/>
          <w:spacing w:val="-12"/>
        </w:rPr>
        <w:t xml:space="preserve"> </w:t>
      </w:r>
      <w:r>
        <w:rPr>
          <w:i/>
          <w:color w:val="221F1F"/>
        </w:rPr>
        <w:t xml:space="preserve">year], </w:t>
      </w:r>
      <w:r>
        <w:rPr>
          <w:color w:val="221F1F"/>
        </w:rPr>
        <w:t>in</w:t>
      </w:r>
      <w:r>
        <w:rPr>
          <w:color w:val="221F1F"/>
          <w:spacing w:val="-2"/>
        </w:rPr>
        <w:t xml:space="preserve"> </w:t>
      </w:r>
      <w:r>
        <w:rPr>
          <w:color w:val="221F1F"/>
        </w:rPr>
        <w:t>response</w:t>
      </w:r>
      <w:r>
        <w:rPr>
          <w:color w:val="221F1F"/>
          <w:spacing w:val="-4"/>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Beneficiary's</w:t>
      </w:r>
      <w:r>
        <w:rPr>
          <w:color w:val="221F1F"/>
          <w:spacing w:val="-2"/>
        </w:rPr>
        <w:t xml:space="preserve"> </w:t>
      </w:r>
      <w:r>
        <w:rPr>
          <w:color w:val="221F1F"/>
        </w:rPr>
        <w:t>written</w:t>
      </w:r>
      <w:r>
        <w:rPr>
          <w:color w:val="221F1F"/>
          <w:spacing w:val="-4"/>
        </w:rPr>
        <w:t xml:space="preserve"> </w:t>
      </w:r>
      <w:r>
        <w:rPr>
          <w:color w:val="221F1F"/>
        </w:rPr>
        <w:t>request</w:t>
      </w:r>
      <w:r>
        <w:rPr>
          <w:color w:val="221F1F"/>
          <w:spacing w:val="-1"/>
        </w:rPr>
        <w:t xml:space="preserve"> </w:t>
      </w:r>
      <w:r>
        <w:rPr>
          <w:color w:val="221F1F"/>
        </w:rPr>
        <w:t>for</w:t>
      </w:r>
      <w:r>
        <w:rPr>
          <w:color w:val="221F1F"/>
          <w:spacing w:val="-4"/>
        </w:rPr>
        <w:t xml:space="preserve"> </w:t>
      </w:r>
      <w:r>
        <w:rPr>
          <w:color w:val="221F1F"/>
        </w:rPr>
        <w:t>such</w:t>
      </w:r>
      <w:r>
        <w:rPr>
          <w:color w:val="221F1F"/>
          <w:spacing w:val="-2"/>
        </w:rPr>
        <w:t xml:space="preserve"> </w:t>
      </w:r>
      <w:r>
        <w:rPr>
          <w:color w:val="221F1F"/>
        </w:rPr>
        <w:t>extension,</w:t>
      </w:r>
      <w:r>
        <w:rPr>
          <w:color w:val="221F1F"/>
          <w:spacing w:val="-5"/>
        </w:rPr>
        <w:t xml:space="preserve"> </w:t>
      </w:r>
      <w:r>
        <w:rPr>
          <w:color w:val="221F1F"/>
        </w:rPr>
        <w:t>such</w:t>
      </w:r>
      <w:r>
        <w:rPr>
          <w:color w:val="221F1F"/>
          <w:spacing w:val="-5"/>
        </w:rPr>
        <w:t xml:space="preserve"> </w:t>
      </w:r>
      <w:r>
        <w:rPr>
          <w:color w:val="221F1F"/>
        </w:rPr>
        <w:t>request</w:t>
      </w:r>
      <w:r>
        <w:rPr>
          <w:color w:val="221F1F"/>
          <w:spacing w:val="-4"/>
        </w:rPr>
        <w:t xml:space="preserve"> </w:t>
      </w:r>
      <w:r>
        <w:rPr>
          <w:color w:val="221F1F"/>
        </w:rPr>
        <w:t>to</w:t>
      </w:r>
      <w:r>
        <w:rPr>
          <w:color w:val="221F1F"/>
          <w:spacing w:val="-5"/>
        </w:rPr>
        <w:t xml:space="preserve"> </w:t>
      </w:r>
      <w:r>
        <w:rPr>
          <w:color w:val="221F1F"/>
        </w:rPr>
        <w:t>be</w:t>
      </w:r>
      <w:r>
        <w:rPr>
          <w:color w:val="221F1F"/>
          <w:spacing w:val="-2"/>
        </w:rPr>
        <w:t xml:space="preserve"> </w:t>
      </w:r>
      <w:r>
        <w:rPr>
          <w:color w:val="221F1F"/>
        </w:rPr>
        <w:t>presented</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Guarantor before the expiry of the guarantee.</w:t>
      </w:r>
    </w:p>
    <w:p w:rsidR="007F6DF9" w:rsidRDefault="00A43FBC">
      <w:pPr>
        <w:pStyle w:val="BodyText"/>
        <w:spacing w:before="223"/>
        <w:rPr>
          <w:sz w:val="20"/>
        </w:rPr>
      </w:pPr>
      <w:r>
        <w:rPr>
          <w:noProof/>
          <w:sz w:val="20"/>
        </w:rPr>
        <mc:AlternateContent>
          <mc:Choice Requires="wps">
            <w:drawing>
              <wp:anchor distT="0" distB="0" distL="0" distR="0" simplePos="0" relativeHeight="487630336" behindDoc="1" locked="0" layoutInCell="1" allowOverlap="1">
                <wp:simplePos x="0" y="0"/>
                <wp:positionH relativeFrom="page">
                  <wp:posOffset>768400</wp:posOffset>
                </wp:positionH>
                <wp:positionV relativeFrom="paragraph">
                  <wp:posOffset>303131</wp:posOffset>
                </wp:positionV>
                <wp:extent cx="5378450" cy="1270"/>
                <wp:effectExtent l="0" t="0" r="0" b="0"/>
                <wp:wrapTopAndBottom/>
                <wp:docPr id="28"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1270"/>
                        </a:xfrm>
                        <a:custGeom>
                          <a:avLst/>
                          <a:gdLst/>
                          <a:ahLst/>
                          <a:cxnLst/>
                          <a:rect l="l" t="t" r="r" b="b"/>
                          <a:pathLst>
                            <a:path w="5378450">
                              <a:moveTo>
                                <a:pt x="0" y="0"/>
                              </a:moveTo>
                              <a:lnTo>
                                <a:pt x="5377958" y="0"/>
                              </a:lnTo>
                            </a:path>
                          </a:pathLst>
                        </a:custGeom>
                        <a:ln w="5691">
                          <a:solidFill>
                            <a:srgbClr val="211E1E"/>
                          </a:solidFill>
                          <a:prstDash val="solid"/>
                        </a:ln>
                      </wps:spPr>
                      <wps:bodyPr wrap="square" lIns="0" tIns="0" rIns="0" bIns="0" rtlCol="0">
                        <a:prstTxWarp prst="textNoShape">
                          <a:avLst/>
                        </a:prstTxWarp>
                        <a:noAutofit/>
                      </wps:bodyPr>
                    </wps:wsp>
                  </a:graphicData>
                </a:graphic>
              </wp:anchor>
            </w:drawing>
          </mc:Choice>
          <mc:Fallback>
            <w:pict>
              <v:shape w14:anchorId="055DFC8F" id="Graphic 455" o:spid="_x0000_s1026" style="position:absolute;margin-left:60.5pt;margin-top:23.85pt;width:423.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378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" path="m,l5377958,e" filled="f" strokecolor="#211e1e" strokeweight=".15808mm">
                <v:path arrowok="t"/>
                <w10:wrap type="topAndBottom" anchorx="page"/>
              </v:shape>
            </w:pict>
          </mc:Fallback>
        </mc:AlternateContent>
      </w:r>
    </w:p>
    <w:p w:rsidR="007F6DF9" w:rsidRDefault="00A43FBC">
      <w:pPr>
        <w:spacing w:before="114"/>
        <w:ind w:left="1078"/>
        <w:rPr>
          <w:i/>
        </w:rPr>
      </w:pPr>
      <w:r>
        <w:rPr>
          <w:i/>
          <w:color w:val="221F1F"/>
        </w:rPr>
        <w:t>[Name</w:t>
      </w:r>
      <w:r>
        <w:rPr>
          <w:i/>
          <w:color w:val="221F1F"/>
          <w:spacing w:val="-8"/>
        </w:rPr>
        <w:t xml:space="preserve"> </w:t>
      </w:r>
      <w:r>
        <w:rPr>
          <w:i/>
          <w:color w:val="221F1F"/>
        </w:rPr>
        <w:t>of</w:t>
      </w:r>
      <w:r>
        <w:rPr>
          <w:i/>
          <w:color w:val="221F1F"/>
          <w:spacing w:val="-6"/>
        </w:rPr>
        <w:t xml:space="preserve"> </w:t>
      </w:r>
      <w:r>
        <w:rPr>
          <w:i/>
          <w:color w:val="221F1F"/>
        </w:rPr>
        <w:t>Authorized</w:t>
      </w:r>
      <w:r>
        <w:rPr>
          <w:i/>
          <w:color w:val="221F1F"/>
          <w:spacing w:val="-8"/>
        </w:rPr>
        <w:t xml:space="preserve"> </w:t>
      </w:r>
      <w:r>
        <w:rPr>
          <w:i/>
          <w:color w:val="221F1F"/>
        </w:rPr>
        <w:t>Official,</w:t>
      </w:r>
      <w:r>
        <w:rPr>
          <w:i/>
          <w:color w:val="221F1F"/>
          <w:spacing w:val="-7"/>
        </w:rPr>
        <w:t xml:space="preserve"> </w:t>
      </w:r>
      <w:r>
        <w:rPr>
          <w:i/>
          <w:color w:val="221F1F"/>
        </w:rPr>
        <w:t>signature(s)</w:t>
      </w:r>
      <w:r>
        <w:rPr>
          <w:i/>
          <w:color w:val="221F1F"/>
          <w:spacing w:val="-8"/>
        </w:rPr>
        <w:t xml:space="preserve"> </w:t>
      </w:r>
      <w:r>
        <w:rPr>
          <w:i/>
          <w:color w:val="221F1F"/>
        </w:rPr>
        <w:t>and</w:t>
      </w:r>
      <w:r>
        <w:rPr>
          <w:i/>
          <w:color w:val="221F1F"/>
          <w:spacing w:val="-10"/>
        </w:rPr>
        <w:t xml:space="preserve"> </w:t>
      </w:r>
      <w:r>
        <w:rPr>
          <w:i/>
          <w:color w:val="221F1F"/>
          <w:spacing w:val="-2"/>
        </w:rPr>
        <w:t>seals/stamps]</w:t>
      </w:r>
    </w:p>
    <w:p w:rsidR="007F6DF9" w:rsidRDefault="007F6DF9">
      <w:pPr>
        <w:pStyle w:val="BodyText"/>
        <w:spacing w:before="236"/>
        <w:rPr>
          <w:i/>
        </w:rPr>
      </w:pPr>
    </w:p>
    <w:p w:rsidR="007F6DF9" w:rsidRDefault="00A43FBC">
      <w:pPr>
        <w:spacing w:line="230" w:lineRule="auto"/>
        <w:ind w:left="1073" w:hanging="5"/>
        <w:rPr>
          <w:i/>
        </w:rPr>
      </w:pPr>
      <w:r>
        <w:rPr>
          <w:b/>
          <w:i/>
          <w:color w:val="221F1F"/>
        </w:rPr>
        <w:t>Note:</w:t>
      </w:r>
      <w:r>
        <w:rPr>
          <w:b/>
          <w:i/>
          <w:color w:val="221F1F"/>
          <w:spacing w:val="-1"/>
        </w:rPr>
        <w:t xml:space="preserve"> </w:t>
      </w:r>
      <w:r>
        <w:rPr>
          <w:i/>
          <w:color w:val="221F1F"/>
        </w:rPr>
        <w:t>All</w:t>
      </w:r>
      <w:r>
        <w:rPr>
          <w:i/>
          <w:color w:val="221F1F"/>
          <w:spacing w:val="-4"/>
        </w:rPr>
        <w:t xml:space="preserve"> </w:t>
      </w:r>
      <w:r>
        <w:rPr>
          <w:i/>
          <w:color w:val="221F1F"/>
        </w:rPr>
        <w:t>italicized</w:t>
      </w:r>
      <w:r>
        <w:rPr>
          <w:i/>
          <w:color w:val="221F1F"/>
          <w:spacing w:val="-5"/>
        </w:rPr>
        <w:t xml:space="preserve"> </w:t>
      </w:r>
      <w:r>
        <w:rPr>
          <w:i/>
          <w:color w:val="221F1F"/>
        </w:rPr>
        <w:t>text</w:t>
      </w:r>
      <w:r>
        <w:rPr>
          <w:i/>
          <w:color w:val="221F1F"/>
          <w:spacing w:val="-1"/>
        </w:rPr>
        <w:t xml:space="preserve"> </w:t>
      </w:r>
      <w:r>
        <w:rPr>
          <w:i/>
          <w:color w:val="221F1F"/>
        </w:rPr>
        <w:t>(including</w:t>
      </w:r>
      <w:r>
        <w:rPr>
          <w:i/>
          <w:color w:val="221F1F"/>
          <w:spacing w:val="-2"/>
        </w:rPr>
        <w:t xml:space="preserve"> </w:t>
      </w:r>
      <w:r>
        <w:rPr>
          <w:i/>
          <w:color w:val="221F1F"/>
        </w:rPr>
        <w:t>footnotes)</w:t>
      </w:r>
      <w:r>
        <w:rPr>
          <w:i/>
          <w:color w:val="221F1F"/>
          <w:spacing w:val="-1"/>
        </w:rPr>
        <w:t xml:space="preserve"> </w:t>
      </w:r>
      <w:r>
        <w:rPr>
          <w:i/>
          <w:color w:val="221F1F"/>
        </w:rPr>
        <w:t>is</w:t>
      </w:r>
      <w:r>
        <w:rPr>
          <w:i/>
          <w:color w:val="221F1F"/>
          <w:spacing w:val="-2"/>
        </w:rPr>
        <w:t xml:space="preserve"> </w:t>
      </w:r>
      <w:r>
        <w:rPr>
          <w:i/>
          <w:color w:val="221F1F"/>
        </w:rPr>
        <w:t>for</w:t>
      </w:r>
      <w:r>
        <w:rPr>
          <w:i/>
          <w:color w:val="221F1F"/>
          <w:spacing w:val="-2"/>
        </w:rPr>
        <w:t xml:space="preserve"> </w:t>
      </w:r>
      <w:r>
        <w:rPr>
          <w:i/>
          <w:color w:val="221F1F"/>
        </w:rPr>
        <w:t>use</w:t>
      </w:r>
      <w:r>
        <w:rPr>
          <w:i/>
          <w:color w:val="221F1F"/>
          <w:spacing w:val="-4"/>
        </w:rPr>
        <w:t xml:space="preserve"> </w:t>
      </w:r>
      <w:r>
        <w:rPr>
          <w:i/>
          <w:color w:val="221F1F"/>
        </w:rPr>
        <w:t>in</w:t>
      </w:r>
      <w:r>
        <w:rPr>
          <w:i/>
          <w:color w:val="221F1F"/>
          <w:spacing w:val="-2"/>
        </w:rPr>
        <w:t xml:space="preserve"> </w:t>
      </w:r>
      <w:r>
        <w:rPr>
          <w:i/>
          <w:color w:val="221F1F"/>
        </w:rPr>
        <w:t>preparing</w:t>
      </w:r>
      <w:r>
        <w:rPr>
          <w:i/>
          <w:color w:val="221F1F"/>
          <w:spacing w:val="-2"/>
        </w:rPr>
        <w:t xml:space="preserve"> </w:t>
      </w:r>
      <w:r>
        <w:rPr>
          <w:i/>
          <w:color w:val="221F1F"/>
        </w:rPr>
        <w:t>this</w:t>
      </w:r>
      <w:r>
        <w:rPr>
          <w:i/>
          <w:color w:val="221F1F"/>
          <w:spacing w:val="-4"/>
        </w:rPr>
        <w:t xml:space="preserve"> </w:t>
      </w:r>
      <w:r>
        <w:rPr>
          <w:i/>
          <w:color w:val="221F1F"/>
        </w:rPr>
        <w:t>form</w:t>
      </w:r>
      <w:r>
        <w:rPr>
          <w:i/>
          <w:color w:val="221F1F"/>
          <w:spacing w:val="-2"/>
        </w:rPr>
        <w:t xml:space="preserve"> </w:t>
      </w:r>
      <w:r>
        <w:rPr>
          <w:i/>
          <w:color w:val="221F1F"/>
        </w:rPr>
        <w:t>and</w:t>
      </w:r>
      <w:r>
        <w:rPr>
          <w:i/>
          <w:color w:val="221F1F"/>
          <w:spacing w:val="-5"/>
        </w:rPr>
        <w:t xml:space="preserve"> </w:t>
      </w:r>
      <w:r>
        <w:rPr>
          <w:i/>
          <w:color w:val="221F1F"/>
        </w:rPr>
        <w:t>shall</w:t>
      </w:r>
      <w:r>
        <w:rPr>
          <w:i/>
          <w:color w:val="221F1F"/>
          <w:spacing w:val="-1"/>
        </w:rPr>
        <w:t xml:space="preserve"> </w:t>
      </w:r>
      <w:r>
        <w:rPr>
          <w:i/>
          <w:color w:val="221F1F"/>
        </w:rPr>
        <w:t>be</w:t>
      </w:r>
      <w:r>
        <w:rPr>
          <w:i/>
          <w:color w:val="221F1F"/>
          <w:spacing w:val="-2"/>
        </w:rPr>
        <w:t xml:space="preserve"> </w:t>
      </w:r>
      <w:r>
        <w:rPr>
          <w:i/>
          <w:color w:val="221F1F"/>
        </w:rPr>
        <w:t>deleted from</w:t>
      </w:r>
      <w:r>
        <w:rPr>
          <w:i/>
          <w:color w:val="221F1F"/>
          <w:spacing w:val="-10"/>
        </w:rPr>
        <w:t xml:space="preserve"> </w:t>
      </w:r>
      <w:r>
        <w:rPr>
          <w:i/>
          <w:color w:val="221F1F"/>
        </w:rPr>
        <w:t>the</w:t>
      </w:r>
      <w:r>
        <w:rPr>
          <w:i/>
          <w:color w:val="221F1F"/>
          <w:spacing w:val="-2"/>
        </w:rPr>
        <w:t xml:space="preserve"> </w:t>
      </w:r>
      <w:r>
        <w:rPr>
          <w:i/>
          <w:color w:val="221F1F"/>
        </w:rPr>
        <w:t xml:space="preserve">final </w:t>
      </w:r>
      <w:r>
        <w:rPr>
          <w:i/>
          <w:color w:val="221F1F"/>
          <w:spacing w:val="-2"/>
        </w:rPr>
        <w:t>product.</w:t>
      </w: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spacing w:before="119"/>
        <w:rPr>
          <w:i/>
        </w:rPr>
      </w:pPr>
    </w:p>
    <w:p w:rsidR="007F6DF9" w:rsidRDefault="00A43FBC">
      <w:pPr>
        <w:spacing w:line="186" w:lineRule="exact"/>
        <w:ind w:left="559"/>
        <w:jc w:val="both"/>
        <w:rPr>
          <w:i/>
          <w:sz w:val="16"/>
        </w:rPr>
      </w:pPr>
      <w:r>
        <w:rPr>
          <w:i/>
          <w:color w:val="221F1F"/>
          <w:position w:val="8"/>
          <w:sz w:val="8"/>
        </w:rPr>
        <w:t>1</w:t>
      </w:r>
      <w:r>
        <w:rPr>
          <w:i/>
          <w:color w:val="221F1F"/>
          <w:sz w:val="16"/>
        </w:rPr>
        <w:t>The</w:t>
      </w:r>
      <w:r>
        <w:rPr>
          <w:i/>
          <w:color w:val="221F1F"/>
          <w:spacing w:val="-7"/>
          <w:sz w:val="16"/>
        </w:rPr>
        <w:t xml:space="preserve"> </w:t>
      </w:r>
      <w:r>
        <w:rPr>
          <w:i/>
          <w:color w:val="221F1F"/>
          <w:sz w:val="16"/>
        </w:rPr>
        <w:t>Guarantor</w:t>
      </w:r>
      <w:r>
        <w:rPr>
          <w:i/>
          <w:color w:val="221F1F"/>
          <w:spacing w:val="-6"/>
          <w:sz w:val="16"/>
        </w:rPr>
        <w:t xml:space="preserve"> </w:t>
      </w:r>
      <w:r>
        <w:rPr>
          <w:i/>
          <w:color w:val="221F1F"/>
          <w:sz w:val="16"/>
        </w:rPr>
        <w:t>shall</w:t>
      </w:r>
      <w:r>
        <w:rPr>
          <w:i/>
          <w:color w:val="221F1F"/>
          <w:spacing w:val="-5"/>
          <w:sz w:val="16"/>
        </w:rPr>
        <w:t xml:space="preserve"> </w:t>
      </w:r>
      <w:r>
        <w:rPr>
          <w:i/>
          <w:color w:val="221F1F"/>
          <w:sz w:val="16"/>
        </w:rPr>
        <w:t>insert</w:t>
      </w:r>
      <w:r>
        <w:rPr>
          <w:i/>
          <w:color w:val="221F1F"/>
          <w:spacing w:val="-5"/>
          <w:sz w:val="16"/>
        </w:rPr>
        <w:t xml:space="preserve"> </w:t>
      </w:r>
      <w:r>
        <w:rPr>
          <w:i/>
          <w:color w:val="221F1F"/>
          <w:sz w:val="16"/>
        </w:rPr>
        <w:t>an</w:t>
      </w:r>
      <w:r>
        <w:rPr>
          <w:i/>
          <w:color w:val="221F1F"/>
          <w:spacing w:val="-5"/>
          <w:sz w:val="16"/>
        </w:rPr>
        <w:t xml:space="preserve"> </w:t>
      </w:r>
      <w:r>
        <w:rPr>
          <w:i/>
          <w:color w:val="221F1F"/>
          <w:sz w:val="16"/>
        </w:rPr>
        <w:t>amount</w:t>
      </w:r>
      <w:r>
        <w:rPr>
          <w:i/>
          <w:color w:val="221F1F"/>
          <w:spacing w:val="-3"/>
          <w:sz w:val="16"/>
        </w:rPr>
        <w:t xml:space="preserve"> </w:t>
      </w:r>
      <w:r>
        <w:rPr>
          <w:i/>
          <w:color w:val="221F1F"/>
          <w:sz w:val="16"/>
        </w:rPr>
        <w:t>representing</w:t>
      </w:r>
      <w:r>
        <w:rPr>
          <w:i/>
          <w:color w:val="221F1F"/>
          <w:spacing w:val="-6"/>
          <w:sz w:val="16"/>
        </w:rPr>
        <w:t xml:space="preserve"> </w:t>
      </w:r>
      <w:r>
        <w:rPr>
          <w:i/>
          <w:color w:val="221F1F"/>
          <w:sz w:val="16"/>
        </w:rPr>
        <w:t>the</w:t>
      </w:r>
      <w:r>
        <w:rPr>
          <w:i/>
          <w:color w:val="221F1F"/>
          <w:spacing w:val="-6"/>
          <w:sz w:val="16"/>
        </w:rPr>
        <w:t xml:space="preserve"> </w:t>
      </w:r>
      <w:r>
        <w:rPr>
          <w:i/>
          <w:color w:val="221F1F"/>
          <w:sz w:val="16"/>
        </w:rPr>
        <w:t>amount</w:t>
      </w:r>
      <w:r>
        <w:rPr>
          <w:i/>
          <w:color w:val="221F1F"/>
          <w:spacing w:val="-5"/>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6"/>
          <w:sz w:val="16"/>
        </w:rPr>
        <w:t xml:space="preserve"> </w:t>
      </w:r>
      <w:r>
        <w:rPr>
          <w:i/>
          <w:color w:val="221F1F"/>
          <w:sz w:val="16"/>
        </w:rPr>
        <w:t>second</w:t>
      </w:r>
      <w:r>
        <w:rPr>
          <w:i/>
          <w:color w:val="221F1F"/>
          <w:spacing w:val="-5"/>
          <w:sz w:val="16"/>
        </w:rPr>
        <w:t xml:space="preserve"> </w:t>
      </w:r>
      <w:r>
        <w:rPr>
          <w:i/>
          <w:color w:val="221F1F"/>
          <w:sz w:val="16"/>
        </w:rPr>
        <w:t>half</w:t>
      </w:r>
      <w:r>
        <w:rPr>
          <w:i/>
          <w:color w:val="221F1F"/>
          <w:spacing w:val="-5"/>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4"/>
          <w:sz w:val="16"/>
        </w:rPr>
        <w:t xml:space="preserve"> </w:t>
      </w:r>
      <w:r>
        <w:rPr>
          <w:i/>
          <w:color w:val="221F1F"/>
          <w:sz w:val="16"/>
        </w:rPr>
        <w:t>Retention</w:t>
      </w:r>
      <w:r>
        <w:rPr>
          <w:i/>
          <w:color w:val="221F1F"/>
          <w:spacing w:val="-5"/>
          <w:sz w:val="16"/>
        </w:rPr>
        <w:t xml:space="preserve"> </w:t>
      </w:r>
      <w:r>
        <w:rPr>
          <w:i/>
          <w:color w:val="221F1F"/>
          <w:spacing w:val="-2"/>
          <w:sz w:val="16"/>
        </w:rPr>
        <w:t>Money.</w:t>
      </w:r>
    </w:p>
    <w:p w:rsidR="007F6DF9" w:rsidRDefault="00A43FBC">
      <w:pPr>
        <w:spacing w:before="4" w:line="228" w:lineRule="auto"/>
        <w:ind w:left="708" w:right="565"/>
        <w:jc w:val="both"/>
        <w:rPr>
          <w:i/>
          <w:sz w:val="16"/>
        </w:rPr>
      </w:pPr>
      <w:r>
        <w:rPr>
          <w:i/>
          <w:color w:val="221F1F"/>
          <w:position w:val="8"/>
          <w:sz w:val="8"/>
        </w:rPr>
        <w:t>2</w:t>
      </w:r>
      <w:r>
        <w:rPr>
          <w:i/>
          <w:color w:val="221F1F"/>
          <w:sz w:val="16"/>
        </w:rPr>
        <w:t>Insert</w:t>
      </w:r>
      <w:r>
        <w:rPr>
          <w:i/>
          <w:color w:val="221F1F"/>
          <w:spacing w:val="-4"/>
          <w:sz w:val="16"/>
        </w:rPr>
        <w:t xml:space="preserve"> </w:t>
      </w:r>
      <w:r>
        <w:rPr>
          <w:i/>
          <w:color w:val="221F1F"/>
          <w:sz w:val="16"/>
        </w:rPr>
        <w:t>a</w:t>
      </w:r>
      <w:r>
        <w:rPr>
          <w:i/>
          <w:color w:val="221F1F"/>
          <w:spacing w:val="-4"/>
          <w:sz w:val="16"/>
        </w:rPr>
        <w:t xml:space="preserve"> </w:t>
      </w:r>
      <w:r>
        <w:rPr>
          <w:i/>
          <w:color w:val="221F1F"/>
          <w:sz w:val="16"/>
        </w:rPr>
        <w:t>date</w:t>
      </w:r>
      <w:r>
        <w:rPr>
          <w:i/>
          <w:color w:val="221F1F"/>
          <w:spacing w:val="-5"/>
          <w:sz w:val="16"/>
        </w:rPr>
        <w:t xml:space="preserve"> </w:t>
      </w:r>
      <w:r>
        <w:rPr>
          <w:i/>
          <w:color w:val="221F1F"/>
          <w:sz w:val="16"/>
        </w:rPr>
        <w:t>that</w:t>
      </w:r>
      <w:r>
        <w:rPr>
          <w:i/>
          <w:color w:val="221F1F"/>
          <w:spacing w:val="-5"/>
          <w:sz w:val="16"/>
        </w:rPr>
        <w:t xml:space="preserve"> </w:t>
      </w:r>
      <w:r>
        <w:rPr>
          <w:i/>
          <w:color w:val="221F1F"/>
          <w:sz w:val="16"/>
        </w:rPr>
        <w:t>is</w:t>
      </w:r>
      <w:r>
        <w:rPr>
          <w:i/>
          <w:color w:val="221F1F"/>
          <w:spacing w:val="-6"/>
          <w:sz w:val="16"/>
        </w:rPr>
        <w:t xml:space="preserve"> </w:t>
      </w:r>
      <w:r>
        <w:rPr>
          <w:i/>
          <w:color w:val="221F1F"/>
          <w:sz w:val="16"/>
        </w:rPr>
        <w:t>twenty-eight</w:t>
      </w:r>
      <w:r>
        <w:rPr>
          <w:i/>
          <w:color w:val="221F1F"/>
          <w:spacing w:val="-4"/>
          <w:sz w:val="16"/>
        </w:rPr>
        <w:t xml:space="preserve"> </w:t>
      </w:r>
      <w:r>
        <w:rPr>
          <w:i/>
          <w:color w:val="221F1F"/>
          <w:sz w:val="16"/>
        </w:rPr>
        <w:t>days</w:t>
      </w:r>
      <w:r>
        <w:rPr>
          <w:i/>
          <w:color w:val="221F1F"/>
          <w:spacing w:val="-5"/>
          <w:sz w:val="16"/>
        </w:rPr>
        <w:t xml:space="preserve"> </w:t>
      </w:r>
      <w:r>
        <w:rPr>
          <w:i/>
          <w:color w:val="221F1F"/>
          <w:sz w:val="16"/>
        </w:rPr>
        <w:t>after</w:t>
      </w:r>
      <w:r>
        <w:rPr>
          <w:i/>
          <w:color w:val="221F1F"/>
          <w:spacing w:val="-5"/>
          <w:sz w:val="16"/>
        </w:rPr>
        <w:t xml:space="preserve"> </w:t>
      </w:r>
      <w:r>
        <w:rPr>
          <w:i/>
          <w:color w:val="221F1F"/>
          <w:sz w:val="16"/>
        </w:rPr>
        <w:t>the</w:t>
      </w:r>
      <w:r>
        <w:rPr>
          <w:i/>
          <w:color w:val="221F1F"/>
          <w:spacing w:val="-4"/>
          <w:sz w:val="16"/>
        </w:rPr>
        <w:t xml:space="preserve"> </w:t>
      </w:r>
      <w:r>
        <w:rPr>
          <w:i/>
          <w:color w:val="221F1F"/>
          <w:sz w:val="16"/>
        </w:rPr>
        <w:t>expiry</w:t>
      </w:r>
      <w:r>
        <w:rPr>
          <w:i/>
          <w:color w:val="221F1F"/>
          <w:spacing w:val="-5"/>
          <w:sz w:val="16"/>
        </w:rPr>
        <w:t xml:space="preserve"> </w:t>
      </w:r>
      <w:r>
        <w:rPr>
          <w:i/>
          <w:color w:val="221F1F"/>
          <w:sz w:val="16"/>
        </w:rPr>
        <w:t>of</w:t>
      </w:r>
      <w:r>
        <w:rPr>
          <w:i/>
          <w:color w:val="221F1F"/>
          <w:spacing w:val="-2"/>
          <w:sz w:val="16"/>
        </w:rPr>
        <w:t xml:space="preserve"> </w:t>
      </w:r>
      <w:r>
        <w:rPr>
          <w:i/>
          <w:color w:val="221F1F"/>
          <w:sz w:val="16"/>
        </w:rPr>
        <w:t>retention</w:t>
      </w:r>
      <w:r>
        <w:rPr>
          <w:i/>
          <w:color w:val="221F1F"/>
          <w:spacing w:val="-4"/>
          <w:sz w:val="16"/>
        </w:rPr>
        <w:t xml:space="preserve"> </w:t>
      </w:r>
      <w:r>
        <w:rPr>
          <w:i/>
          <w:color w:val="221F1F"/>
          <w:sz w:val="16"/>
        </w:rPr>
        <w:t>period</w:t>
      </w:r>
      <w:r>
        <w:rPr>
          <w:i/>
          <w:color w:val="221F1F"/>
          <w:spacing w:val="-4"/>
          <w:sz w:val="16"/>
        </w:rPr>
        <w:t xml:space="preserve"> </w:t>
      </w:r>
      <w:r>
        <w:rPr>
          <w:i/>
          <w:color w:val="221F1F"/>
          <w:sz w:val="16"/>
        </w:rPr>
        <w:t>after</w:t>
      </w:r>
      <w:r>
        <w:rPr>
          <w:i/>
          <w:color w:val="221F1F"/>
          <w:spacing w:val="-3"/>
          <w:sz w:val="16"/>
        </w:rPr>
        <w:t xml:space="preserve"> </w:t>
      </w:r>
      <w:r>
        <w:rPr>
          <w:i/>
          <w:color w:val="221F1F"/>
          <w:sz w:val="16"/>
        </w:rPr>
        <w:t>the</w:t>
      </w:r>
      <w:r>
        <w:rPr>
          <w:i/>
          <w:color w:val="221F1F"/>
          <w:spacing w:val="-5"/>
          <w:sz w:val="16"/>
        </w:rPr>
        <w:t xml:space="preserve"> </w:t>
      </w:r>
      <w:proofErr w:type="spellStart"/>
      <w:r>
        <w:rPr>
          <w:i/>
          <w:color w:val="221F1F"/>
          <w:sz w:val="16"/>
        </w:rPr>
        <w:t>actua</w:t>
      </w:r>
      <w:proofErr w:type="spellEnd"/>
      <w:r>
        <w:rPr>
          <w:i/>
          <w:color w:val="221F1F"/>
          <w:spacing w:val="-4"/>
          <w:sz w:val="16"/>
        </w:rPr>
        <w:t xml:space="preserve"> </w:t>
      </w:r>
      <w:proofErr w:type="spellStart"/>
      <w:r>
        <w:rPr>
          <w:i/>
          <w:color w:val="221F1F"/>
          <w:sz w:val="16"/>
        </w:rPr>
        <w:t>lcompletion</w:t>
      </w:r>
      <w:proofErr w:type="spellEnd"/>
      <w:r>
        <w:rPr>
          <w:i/>
          <w:color w:val="221F1F"/>
          <w:spacing w:val="-4"/>
          <w:sz w:val="16"/>
        </w:rPr>
        <w:t xml:space="preserve"> </w:t>
      </w:r>
      <w:r>
        <w:rPr>
          <w:i/>
          <w:color w:val="221F1F"/>
          <w:sz w:val="16"/>
        </w:rPr>
        <w:t>date</w:t>
      </w:r>
      <w:r>
        <w:rPr>
          <w:i/>
          <w:color w:val="221F1F"/>
          <w:spacing w:val="-5"/>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5"/>
          <w:sz w:val="16"/>
        </w:rPr>
        <w:t xml:space="preserve"> </w:t>
      </w:r>
      <w:r>
        <w:rPr>
          <w:i/>
          <w:color w:val="221F1F"/>
          <w:sz w:val="16"/>
        </w:rPr>
        <w:t>contract.</w:t>
      </w:r>
      <w:r>
        <w:rPr>
          <w:i/>
          <w:color w:val="221F1F"/>
          <w:spacing w:val="-2"/>
          <w:sz w:val="16"/>
        </w:rPr>
        <w:t xml:space="preserve"> </w:t>
      </w:r>
      <w:r>
        <w:rPr>
          <w:i/>
          <w:color w:val="221F1F"/>
          <w:sz w:val="16"/>
        </w:rPr>
        <w:t>The</w:t>
      </w:r>
      <w:r>
        <w:rPr>
          <w:i/>
          <w:color w:val="221F1F"/>
          <w:spacing w:val="-4"/>
          <w:sz w:val="16"/>
        </w:rPr>
        <w:t xml:space="preserve"> </w:t>
      </w:r>
      <w:r>
        <w:rPr>
          <w:i/>
          <w:color w:val="221F1F"/>
          <w:sz w:val="16"/>
        </w:rPr>
        <w:t>Procuring</w:t>
      </w:r>
      <w:r>
        <w:rPr>
          <w:i/>
          <w:color w:val="221F1F"/>
          <w:spacing w:val="-2"/>
          <w:sz w:val="16"/>
        </w:rPr>
        <w:t xml:space="preserve"> </w:t>
      </w:r>
      <w:r>
        <w:rPr>
          <w:i/>
          <w:color w:val="221F1F"/>
          <w:sz w:val="16"/>
        </w:rPr>
        <w:t>Entity</w:t>
      </w:r>
      <w:r>
        <w:rPr>
          <w:i/>
          <w:color w:val="221F1F"/>
          <w:spacing w:val="-2"/>
          <w:sz w:val="16"/>
        </w:rPr>
        <w:t xml:space="preserve"> </w:t>
      </w:r>
      <w:r>
        <w:rPr>
          <w:i/>
          <w:color w:val="221F1F"/>
          <w:sz w:val="16"/>
        </w:rPr>
        <w:t>should</w:t>
      </w:r>
      <w:r>
        <w:rPr>
          <w:i/>
          <w:color w:val="221F1F"/>
          <w:spacing w:val="-6"/>
          <w:sz w:val="16"/>
        </w:rPr>
        <w:t xml:space="preserve"> </w:t>
      </w:r>
      <w:r>
        <w:rPr>
          <w:i/>
          <w:color w:val="221F1F"/>
          <w:sz w:val="16"/>
        </w:rPr>
        <w:t>note</w:t>
      </w:r>
      <w:r>
        <w:rPr>
          <w:i/>
          <w:color w:val="221F1F"/>
          <w:spacing w:val="-2"/>
          <w:sz w:val="16"/>
        </w:rPr>
        <w:t xml:space="preserve"> </w:t>
      </w:r>
      <w:r>
        <w:rPr>
          <w:i/>
          <w:color w:val="221F1F"/>
          <w:sz w:val="16"/>
        </w:rPr>
        <w:t>that</w:t>
      </w:r>
      <w:r>
        <w:rPr>
          <w:i/>
          <w:color w:val="221F1F"/>
          <w:spacing w:val="40"/>
          <w:sz w:val="16"/>
        </w:rPr>
        <w:t xml:space="preserve"> </w:t>
      </w:r>
      <w:r>
        <w:rPr>
          <w:i/>
          <w:color w:val="221F1F"/>
          <w:sz w:val="16"/>
        </w:rPr>
        <w:t>in the event of an extension of this date for completion of the Contract, the Procuring Entity would need to request an extension of this guarantee from the</w:t>
      </w:r>
      <w:r>
        <w:rPr>
          <w:i/>
          <w:color w:val="221F1F"/>
          <w:spacing w:val="40"/>
          <w:sz w:val="16"/>
        </w:rPr>
        <w:t xml:space="preserve"> </w:t>
      </w:r>
      <w:r>
        <w:rPr>
          <w:i/>
          <w:color w:val="221F1F"/>
          <w:sz w:val="16"/>
        </w:rPr>
        <w:t>Guarantor. Such request must be in writing and must be made prior to the expiration date established in the guarantee.</w:t>
      </w:r>
    </w:p>
    <w:p w:rsidR="007F6DF9" w:rsidRDefault="007F6DF9">
      <w:pPr>
        <w:spacing w:line="228" w:lineRule="auto"/>
        <w:jc w:val="both"/>
        <w:rPr>
          <w:i/>
          <w:sz w:val="16"/>
        </w:rPr>
        <w:sectPr w:rsidR="007F6DF9">
          <w:headerReference w:type="default" r:id="rId37"/>
          <w:footerReference w:type="default" r:id="rId38"/>
          <w:pgSz w:w="11920" w:h="16850"/>
          <w:pgMar w:top="1940" w:right="283" w:bottom="280" w:left="141" w:header="0" w:footer="0" w:gutter="0"/>
          <w:cols w:space="720"/>
        </w:sectPr>
      </w:pPr>
    </w:p>
    <w:p w:rsidR="007F6DF9" w:rsidRDefault="00A43FBC">
      <w:pPr>
        <w:pStyle w:val="BodyText"/>
        <w:rPr>
          <w:i/>
        </w:rPr>
      </w:pPr>
      <w:r>
        <w:rPr>
          <w:i/>
          <w:noProof/>
        </w:rPr>
        <w:lastRenderedPageBreak/>
        <mc:AlternateContent>
          <mc:Choice Requires="wpg">
            <w:drawing>
              <wp:anchor distT="0" distB="0" distL="0" distR="0" simplePos="0" relativeHeight="479610880" behindDoc="1" locked="0" layoutInCell="1" allowOverlap="1">
                <wp:simplePos x="0" y="0"/>
                <wp:positionH relativeFrom="page">
                  <wp:posOffset>-1372</wp:posOffset>
                </wp:positionH>
                <wp:positionV relativeFrom="page">
                  <wp:posOffset>10238638</wp:posOffset>
                </wp:positionV>
                <wp:extent cx="948055" cy="311150"/>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311150"/>
                          <a:chOff x="0" y="0"/>
                          <a:chExt cx="948055" cy="311150"/>
                        </a:xfrm>
                      </wpg:grpSpPr>
                      <wps:wsp>
                        <wps:cNvPr id="462" name="Graphic 458"/>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63" name="Graphic 459"/>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Lst>
                          </a:custGeom>
                          <a:ln w="2742">
                            <a:solidFill>
                              <a:srgbClr val="00A650"/>
                            </a:solidFill>
                            <a:prstDash val="solid"/>
                          </a:ln>
                        </wps:spPr>
                        <wps:bodyPr wrap="square" lIns="0" tIns="0" rIns="0" bIns="0" rtlCol="0">
                          <a:prstTxWarp prst="textNoShape">
                            <a:avLst/>
                          </a:prstTxWarp>
                          <a:noAutofit/>
                        </wps:bodyPr>
                      </wps:wsp>
                      <wps:wsp>
                        <wps:cNvPr id="464" name="Graphic 460"/>
                        <wps:cNvSpPr/>
                        <wps:spPr>
                          <a:xfrm>
                            <a:off x="1371" y="2006"/>
                            <a:ext cx="451484" cy="1270"/>
                          </a:xfrm>
                          <a:custGeom>
                            <a:avLst/>
                            <a:gdLst/>
                            <a:ahLst/>
                            <a:cxnLst/>
                            <a:rect l="l" t="t" r="r" b="b"/>
                            <a:pathLst>
                              <a:path w="451484">
                                <a:moveTo>
                                  <a:pt x="0" y="0"/>
                                </a:moveTo>
                                <a:lnTo>
                                  <a:pt x="451104" y="0"/>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356C81F5" id="Group 457" o:spid="_x0000_s1026" style="position:absolute;margin-left:-.1pt;margin-top:806.2pt;width:74.65pt;height:24.5pt;z-index:-23705600;mso-wrap-distance-left:0;mso-wrap-distance-right:0;mso-position-horizontal-relative:page;mso-position-vertical-relative:page" coordsize="948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">
                <v:shape id="Graphic 458"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" path="m944880,l,,,307975r790575,l839470,300355r41910,-22225l915035,245110r22225,-42545l944880,153670,944880,xe" fillcolor="#00a650" stroked="f">
                  <v:path arrowok="t"/>
                </v:shape>
                <v:shape id="Graphic 459" o:spid="_x0000_s1028"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" path="m944880,l,,,307975r790575,l839470,300355r41910,-22225l915035,245110r22225,-42545l944880,153670,944880,e" filled="f" strokecolor="#00a650" strokeweight=".07617mm">
                  <v:path arrowok="t"/>
                </v:shape>
                <v:shape id="Graphic 460" o:spid="_x0000_s1029" style="position:absolute;left:13;top:20;width:4515;height:12;visibility:visible;mso-wrap-style:square;v-text-anchor:top" coordsize="4514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" path="m,l451104,e" filled="f" strokecolor="#00a650" strokeweight=".07617mm">
                  <v:path arrowok="t"/>
                </v:shape>
                <w10:wrap anchorx="page" anchory="page"/>
              </v:group>
            </w:pict>
          </mc:Fallback>
        </mc:AlternateContent>
      </w:r>
      <w:r>
        <w:rPr>
          <w:i/>
          <w:noProof/>
        </w:rPr>
        <mc:AlternateContent>
          <mc:Choice Requires="wps">
            <w:drawing>
              <wp:anchor distT="0" distB="0" distL="0" distR="0" simplePos="0" relativeHeight="15772672" behindDoc="0" locked="0" layoutInCell="1" allowOverlap="1">
                <wp:simplePos x="0" y="0"/>
                <wp:positionH relativeFrom="page">
                  <wp:posOffset>7304531</wp:posOffset>
                </wp:positionH>
                <wp:positionV relativeFrom="page">
                  <wp:posOffset>10240644</wp:posOffset>
                </wp:positionV>
                <wp:extent cx="255904" cy="127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4" cy="1270"/>
                        </a:xfrm>
                        <a:custGeom>
                          <a:avLst/>
                          <a:gdLst/>
                          <a:ahLst/>
                          <a:cxnLst/>
                          <a:rect l="l" t="t" r="r" b="b"/>
                          <a:pathLst>
                            <a:path w="255904">
                              <a:moveTo>
                                <a:pt x="0" y="0"/>
                              </a:moveTo>
                              <a:lnTo>
                                <a:pt x="255777" y="0"/>
                              </a:lnTo>
                            </a:path>
                          </a:pathLst>
                        </a:custGeom>
                        <a:ln w="2742">
                          <a:solidFill>
                            <a:srgbClr val="00A650"/>
                          </a:solidFill>
                          <a:prstDash val="solid"/>
                        </a:ln>
                      </wps:spPr>
                      <wps:bodyPr wrap="square" lIns="0" tIns="0" rIns="0" bIns="0" rtlCol="0">
                        <a:prstTxWarp prst="textNoShape">
                          <a:avLst/>
                        </a:prstTxWarp>
                        <a:noAutofit/>
                      </wps:bodyPr>
                    </wps:wsp>
                  </a:graphicData>
                </a:graphic>
              </wp:anchor>
            </w:drawing>
          </mc:Choice>
          <mc:Fallback>
            <w:pict>
              <v:shape w14:anchorId="631D8396" id="Graphic 461" o:spid="_x0000_s1026" style="position:absolute;margin-left:575.15pt;margin-top:806.35pt;width:20.15pt;height:.1pt;z-index:15772672;visibility:visible;mso-wrap-style:square;mso-wrap-distance-left:0;mso-wrap-distance-top:0;mso-wrap-distance-right:0;mso-wrap-distance-bottom:0;mso-position-horizontal:absolute;mso-position-horizontal-relative:page;mso-position-vertical:absolute;mso-position-vertical-relative:page;v-text-anchor:top" coordsize="255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" path="m,l255777,e" filled="f" strokecolor="#00a650" strokeweight=".07617mm">
                <v:path arrowok="t"/>
                <w10:wrap anchorx="page" anchory="page"/>
              </v:shape>
            </w:pict>
          </mc:Fallback>
        </mc:AlternateContent>
      </w:r>
    </w:p>
    <w:p w:rsidR="007F6DF9" w:rsidRDefault="007F6DF9">
      <w:pPr>
        <w:pStyle w:val="BodyText"/>
        <w:rPr>
          <w:i/>
        </w:rPr>
      </w:pPr>
    </w:p>
    <w:p w:rsidR="007F6DF9" w:rsidRDefault="007F6DF9">
      <w:pPr>
        <w:pStyle w:val="BodyText"/>
        <w:rPr>
          <w:i/>
        </w:rPr>
      </w:pPr>
    </w:p>
    <w:p w:rsidR="007F6DF9" w:rsidRDefault="007F6DF9">
      <w:pPr>
        <w:pStyle w:val="BodyText"/>
        <w:spacing w:before="199"/>
        <w:rPr>
          <w:i/>
        </w:rPr>
      </w:pPr>
    </w:p>
    <w:p w:rsidR="007F6DF9" w:rsidRDefault="00A43FBC">
      <w:pPr>
        <w:pStyle w:val="Heading8"/>
        <w:ind w:left="559"/>
      </w:pPr>
      <w:r>
        <w:rPr>
          <w:color w:val="221F1F"/>
        </w:rPr>
        <w:t>FORM</w:t>
      </w:r>
      <w:r>
        <w:rPr>
          <w:color w:val="221F1F"/>
          <w:spacing w:val="-6"/>
        </w:rPr>
        <w:t xml:space="preserve"> </w:t>
      </w:r>
      <w:r>
        <w:rPr>
          <w:color w:val="221F1F"/>
        </w:rPr>
        <w:t>NO.</w:t>
      </w:r>
      <w:r>
        <w:rPr>
          <w:color w:val="221F1F"/>
          <w:spacing w:val="-5"/>
        </w:rPr>
        <w:t xml:space="preserve"> </w:t>
      </w:r>
      <w:r>
        <w:rPr>
          <w:color w:val="221F1F"/>
        </w:rPr>
        <w:t>9</w:t>
      </w:r>
      <w:r>
        <w:rPr>
          <w:color w:val="221F1F"/>
          <w:spacing w:val="-5"/>
        </w:rPr>
        <w:t xml:space="preserve"> </w:t>
      </w:r>
      <w:r>
        <w:rPr>
          <w:color w:val="221F1F"/>
        </w:rPr>
        <w:t>BENEFICIAL</w:t>
      </w:r>
      <w:r>
        <w:rPr>
          <w:color w:val="221F1F"/>
          <w:spacing w:val="-6"/>
        </w:rPr>
        <w:t xml:space="preserve"> </w:t>
      </w:r>
      <w:r>
        <w:rPr>
          <w:color w:val="221F1F"/>
        </w:rPr>
        <w:t>OWNERSHIP</w:t>
      </w:r>
      <w:r>
        <w:rPr>
          <w:color w:val="221F1F"/>
          <w:spacing w:val="-5"/>
        </w:rPr>
        <w:t xml:space="preserve"> </w:t>
      </w:r>
      <w:r>
        <w:rPr>
          <w:color w:val="221F1F"/>
        </w:rPr>
        <w:t>DISCLOSURE</w:t>
      </w:r>
      <w:r>
        <w:rPr>
          <w:color w:val="221F1F"/>
          <w:spacing w:val="-6"/>
        </w:rPr>
        <w:t xml:space="preserve"> </w:t>
      </w:r>
      <w:r>
        <w:rPr>
          <w:color w:val="221F1F"/>
          <w:spacing w:val="-4"/>
        </w:rPr>
        <w:t>FORM</w:t>
      </w:r>
    </w:p>
    <w:p w:rsidR="007F6DF9" w:rsidRDefault="00A43FBC">
      <w:pPr>
        <w:pStyle w:val="Heading9"/>
        <w:spacing w:before="129"/>
        <w:ind w:left="559" w:firstLine="0"/>
      </w:pPr>
      <w:r>
        <w:rPr>
          <w:color w:val="221F1F"/>
        </w:rPr>
        <w:t>(Amended</w:t>
      </w:r>
      <w:r>
        <w:rPr>
          <w:color w:val="221F1F"/>
          <w:spacing w:val="-6"/>
        </w:rPr>
        <w:t xml:space="preserve"> </w:t>
      </w:r>
      <w:r>
        <w:rPr>
          <w:color w:val="221F1F"/>
        </w:rPr>
        <w:t>and</w:t>
      </w:r>
      <w:r>
        <w:rPr>
          <w:color w:val="221F1F"/>
          <w:spacing w:val="-4"/>
        </w:rPr>
        <w:t xml:space="preserve"> </w:t>
      </w:r>
      <w:r>
        <w:rPr>
          <w:color w:val="221F1F"/>
        </w:rPr>
        <w:t>issued</w:t>
      </w:r>
      <w:r>
        <w:rPr>
          <w:color w:val="221F1F"/>
          <w:spacing w:val="-6"/>
        </w:rPr>
        <w:t xml:space="preserve"> </w:t>
      </w:r>
      <w:r>
        <w:rPr>
          <w:color w:val="221F1F"/>
        </w:rPr>
        <w:t>pursuant</w:t>
      </w:r>
      <w:r>
        <w:rPr>
          <w:color w:val="221F1F"/>
          <w:spacing w:val="-5"/>
        </w:rPr>
        <w:t xml:space="preserve"> </w:t>
      </w:r>
      <w:r>
        <w:rPr>
          <w:color w:val="221F1F"/>
        </w:rPr>
        <w:t>to</w:t>
      </w:r>
      <w:r>
        <w:rPr>
          <w:color w:val="221F1F"/>
          <w:spacing w:val="-2"/>
        </w:rPr>
        <w:t xml:space="preserve"> </w:t>
      </w:r>
      <w:r>
        <w:rPr>
          <w:color w:val="221F1F"/>
        </w:rPr>
        <w:t>PPRA</w:t>
      </w:r>
      <w:r>
        <w:rPr>
          <w:color w:val="221F1F"/>
          <w:spacing w:val="-4"/>
        </w:rPr>
        <w:t xml:space="preserve"> </w:t>
      </w:r>
      <w:r>
        <w:t>CIRCULAR</w:t>
      </w:r>
      <w:r>
        <w:rPr>
          <w:spacing w:val="-4"/>
        </w:rPr>
        <w:t xml:space="preserve"> </w:t>
      </w:r>
      <w:r>
        <w:t>No.</w:t>
      </w:r>
      <w:r>
        <w:rPr>
          <w:spacing w:val="-3"/>
        </w:rPr>
        <w:t xml:space="preserve"> </w:t>
      </w:r>
      <w:r>
        <w:rPr>
          <w:spacing w:val="-2"/>
        </w:rPr>
        <w:t>02/2022)</w:t>
      </w:r>
    </w:p>
    <w:p w:rsidR="007F6DF9" w:rsidRDefault="00A43FBC">
      <w:pPr>
        <w:pStyle w:val="BodyText"/>
        <w:spacing w:before="37"/>
        <w:rPr>
          <w:b/>
          <w:sz w:val="20"/>
        </w:rPr>
      </w:pPr>
      <w:r>
        <w:rPr>
          <w:b/>
          <w:noProof/>
          <w:sz w:val="20"/>
        </w:rPr>
        <mc:AlternateContent>
          <mc:Choice Requires="wps">
            <w:drawing>
              <wp:anchor distT="0" distB="0" distL="0" distR="0" simplePos="0" relativeHeight="487630848" behindDoc="1" locked="0" layoutInCell="1" allowOverlap="1">
                <wp:simplePos x="0" y="0"/>
                <wp:positionH relativeFrom="page">
                  <wp:posOffset>495300</wp:posOffset>
                </wp:positionH>
                <wp:positionV relativeFrom="paragraph">
                  <wp:posOffset>186771</wp:posOffset>
                </wp:positionV>
                <wp:extent cx="6705600" cy="1752600"/>
                <wp:effectExtent l="0" t="0" r="0" b="0"/>
                <wp:wrapTopAndBottom/>
                <wp:docPr id="29"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0" cy="1752600"/>
                        </a:xfrm>
                        <a:prstGeom prst="rect">
                          <a:avLst/>
                        </a:prstGeom>
                        <a:ln w="2742">
                          <a:solidFill>
                            <a:srgbClr val="221F1F"/>
                          </a:solidFill>
                          <a:prstDash val="solid"/>
                        </a:ln>
                      </wps:spPr>
                      <wps:txbx>
                        <w:txbxContent>
                          <w:p w:rsidR="00883FED" w:rsidRDefault="00883FED">
                            <w:pPr>
                              <w:spacing w:before="51"/>
                              <w:ind w:left="158"/>
                              <w:jc w:val="both"/>
                              <w:rPr>
                                <w:b/>
                                <w:i/>
                              </w:rPr>
                            </w:pPr>
                            <w:r>
                              <w:rPr>
                                <w:b/>
                                <w:i/>
                                <w:color w:val="221F1F"/>
                              </w:rPr>
                              <w:t>INSTRUCTIONS</w:t>
                            </w:r>
                            <w:r>
                              <w:rPr>
                                <w:b/>
                                <w:i/>
                                <w:color w:val="221F1F"/>
                                <w:spacing w:val="-9"/>
                              </w:rPr>
                              <w:t xml:space="preserve"> </w:t>
                            </w:r>
                            <w:r>
                              <w:rPr>
                                <w:b/>
                                <w:i/>
                                <w:color w:val="221F1F"/>
                              </w:rPr>
                              <w:t>TO</w:t>
                            </w:r>
                            <w:r>
                              <w:rPr>
                                <w:b/>
                                <w:i/>
                                <w:color w:val="221F1F"/>
                                <w:spacing w:val="-7"/>
                              </w:rPr>
                              <w:t xml:space="preserve"> </w:t>
                            </w:r>
                            <w:r>
                              <w:rPr>
                                <w:b/>
                                <w:i/>
                                <w:color w:val="221F1F"/>
                              </w:rPr>
                              <w:t>TENDERERS:</w:t>
                            </w:r>
                            <w:r>
                              <w:rPr>
                                <w:b/>
                                <w:i/>
                                <w:color w:val="221F1F"/>
                                <w:spacing w:val="-5"/>
                              </w:rPr>
                              <w:t xml:space="preserve"> </w:t>
                            </w:r>
                            <w:r>
                              <w:rPr>
                                <w:b/>
                                <w:i/>
                                <w:color w:val="221F1F"/>
                              </w:rPr>
                              <w:t>DELETE</w:t>
                            </w:r>
                            <w:r>
                              <w:rPr>
                                <w:b/>
                                <w:i/>
                                <w:color w:val="221F1F"/>
                                <w:spacing w:val="-7"/>
                              </w:rPr>
                              <w:t xml:space="preserve"> </w:t>
                            </w:r>
                            <w:r>
                              <w:rPr>
                                <w:b/>
                                <w:i/>
                                <w:color w:val="221F1F"/>
                              </w:rPr>
                              <w:t>THIS</w:t>
                            </w:r>
                            <w:r>
                              <w:rPr>
                                <w:b/>
                                <w:i/>
                                <w:color w:val="221F1F"/>
                                <w:spacing w:val="-5"/>
                              </w:rPr>
                              <w:t xml:space="preserve"> </w:t>
                            </w:r>
                            <w:r>
                              <w:rPr>
                                <w:b/>
                                <w:i/>
                                <w:color w:val="221F1F"/>
                              </w:rPr>
                              <w:t>BOX</w:t>
                            </w:r>
                            <w:r>
                              <w:rPr>
                                <w:b/>
                                <w:i/>
                                <w:color w:val="221F1F"/>
                                <w:spacing w:val="-7"/>
                              </w:rPr>
                              <w:t xml:space="preserve"> </w:t>
                            </w:r>
                            <w:r>
                              <w:rPr>
                                <w:b/>
                                <w:i/>
                                <w:color w:val="221F1F"/>
                              </w:rPr>
                              <w:t>ONCE</w:t>
                            </w:r>
                            <w:r>
                              <w:rPr>
                                <w:b/>
                                <w:i/>
                                <w:color w:val="221F1F"/>
                                <w:spacing w:val="-6"/>
                              </w:rPr>
                              <w:t xml:space="preserve"> </w:t>
                            </w:r>
                            <w:r>
                              <w:rPr>
                                <w:b/>
                                <w:i/>
                                <w:color w:val="221F1F"/>
                              </w:rPr>
                              <w:t>YOU</w:t>
                            </w:r>
                            <w:r>
                              <w:rPr>
                                <w:b/>
                                <w:i/>
                                <w:color w:val="221F1F"/>
                                <w:spacing w:val="-4"/>
                              </w:rPr>
                              <w:t xml:space="preserve"> </w:t>
                            </w:r>
                            <w:r>
                              <w:rPr>
                                <w:b/>
                                <w:i/>
                                <w:color w:val="221F1F"/>
                              </w:rPr>
                              <w:t>HAVE</w:t>
                            </w:r>
                            <w:r>
                              <w:rPr>
                                <w:b/>
                                <w:i/>
                                <w:color w:val="221F1F"/>
                                <w:spacing w:val="-14"/>
                              </w:rPr>
                              <w:t xml:space="preserve"> </w:t>
                            </w:r>
                            <w:r>
                              <w:rPr>
                                <w:b/>
                                <w:i/>
                                <w:color w:val="221F1F"/>
                              </w:rPr>
                              <w:t>COMPLETED</w:t>
                            </w:r>
                            <w:r>
                              <w:rPr>
                                <w:b/>
                                <w:i/>
                                <w:color w:val="221F1F"/>
                                <w:spacing w:val="-6"/>
                              </w:rPr>
                              <w:t xml:space="preserve"> </w:t>
                            </w:r>
                            <w:r>
                              <w:rPr>
                                <w:b/>
                                <w:i/>
                                <w:color w:val="221F1F"/>
                              </w:rPr>
                              <w:t>THE</w:t>
                            </w:r>
                            <w:r>
                              <w:rPr>
                                <w:b/>
                                <w:i/>
                                <w:color w:val="221F1F"/>
                                <w:spacing w:val="-5"/>
                              </w:rPr>
                              <w:t xml:space="preserve"> </w:t>
                            </w:r>
                            <w:r>
                              <w:rPr>
                                <w:b/>
                                <w:i/>
                                <w:color w:val="221F1F"/>
                                <w:spacing w:val="-4"/>
                              </w:rPr>
                              <w:t>FORM</w:t>
                            </w:r>
                          </w:p>
                          <w:p w:rsidR="00883FED" w:rsidRDefault="00883FED">
                            <w:pPr>
                              <w:spacing w:before="245" w:line="230" w:lineRule="auto"/>
                              <w:ind w:left="158" w:right="-15"/>
                              <w:jc w:val="both"/>
                              <w:rPr>
                                <w:i/>
                              </w:rPr>
                            </w:pPr>
                            <w:r>
                              <w:rPr>
                                <w:i/>
                                <w:color w:val="221F1F"/>
                              </w:rPr>
                              <w:t xml:space="preserve">This Beneficial Ownership Disclosure Form (“Form”) is to be completed by the successful </w:t>
                            </w:r>
                            <w:proofErr w:type="spellStart"/>
                            <w:r>
                              <w:rPr>
                                <w:i/>
                                <w:color w:val="221F1F"/>
                              </w:rPr>
                              <w:t>tenderer</w:t>
                            </w:r>
                            <w:proofErr w:type="spellEnd"/>
                            <w:r>
                              <w:rPr>
                                <w:i/>
                                <w:color w:val="221F1F"/>
                              </w:rPr>
                              <w:t xml:space="preserve"> </w:t>
                            </w:r>
                            <w:r>
                              <w:rPr>
                                <w:i/>
                              </w:rPr>
                              <w:t>pursuant to 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10"/>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1"/>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 venture, the tenderer must submit a separate Form for each member. The beneficial ownership information to be submitted in this Form shall be current as of the date of its submission.</w:t>
                            </w:r>
                          </w:p>
                          <w:p w:rsidR="00883FED" w:rsidRDefault="00883FED">
                            <w:pPr>
                              <w:spacing w:before="245" w:line="230" w:lineRule="auto"/>
                              <w:ind w:left="158"/>
                              <w:rPr>
                                <w:i/>
                              </w:rPr>
                            </w:pPr>
                            <w:r>
                              <w:rPr>
                                <w:i/>
                                <w:color w:val="221F1F"/>
                              </w:rPr>
                              <w:t>For the purposes of this Form, a Beneficial Owner of a Tenderer is any natural person who ultimately owns or controls</w:t>
                            </w:r>
                            <w:r>
                              <w:rPr>
                                <w:i/>
                                <w:color w:val="221F1F"/>
                                <w:spacing w:val="-2"/>
                              </w:rPr>
                              <w:t xml:space="preserve"> </w:t>
                            </w:r>
                            <w:r>
                              <w:rPr>
                                <w:i/>
                                <w:color w:val="221F1F"/>
                              </w:rPr>
                              <w:t>the</w:t>
                            </w:r>
                            <w:r>
                              <w:rPr>
                                <w:i/>
                                <w:color w:val="221F1F"/>
                                <w:spacing w:val="-2"/>
                              </w:rPr>
                              <w:t xml:space="preserve"> </w:t>
                            </w:r>
                            <w:r>
                              <w:rPr>
                                <w:i/>
                                <w:color w:val="221F1F"/>
                              </w:rPr>
                              <w:t>legal</w:t>
                            </w:r>
                            <w:r>
                              <w:rPr>
                                <w:i/>
                                <w:color w:val="221F1F"/>
                                <w:spacing w:val="-4"/>
                              </w:rPr>
                              <w:t xml:space="preserve"> </w:t>
                            </w:r>
                            <w:r>
                              <w:rPr>
                                <w:i/>
                                <w:color w:val="221F1F"/>
                              </w:rPr>
                              <w:t>person</w:t>
                            </w:r>
                            <w:r>
                              <w:rPr>
                                <w:i/>
                                <w:color w:val="221F1F"/>
                                <w:spacing w:val="-2"/>
                              </w:rPr>
                              <w:t xml:space="preserve"> </w:t>
                            </w:r>
                            <w:r>
                              <w:rPr>
                                <w:i/>
                                <w:color w:val="221F1F"/>
                              </w:rPr>
                              <w:t>(tenderer)</w:t>
                            </w:r>
                            <w:r>
                              <w:rPr>
                                <w:i/>
                                <w:color w:val="221F1F"/>
                                <w:spacing w:val="-4"/>
                              </w:rPr>
                              <w:t xml:space="preserve"> </w:t>
                            </w:r>
                            <w:r>
                              <w:rPr>
                                <w:i/>
                                <w:color w:val="221F1F"/>
                              </w:rPr>
                              <w:t>or</w:t>
                            </w:r>
                            <w:r>
                              <w:rPr>
                                <w:i/>
                                <w:color w:val="221F1F"/>
                                <w:spacing w:val="-2"/>
                              </w:rPr>
                              <w:t xml:space="preserve"> </w:t>
                            </w:r>
                            <w:r>
                              <w:rPr>
                                <w:i/>
                                <w:color w:val="221F1F"/>
                              </w:rPr>
                              <w:t>arrangements</w:t>
                            </w:r>
                            <w:r>
                              <w:rPr>
                                <w:i/>
                                <w:color w:val="221F1F"/>
                                <w:spacing w:val="-2"/>
                              </w:rPr>
                              <w:t xml:space="preserve"> </w:t>
                            </w:r>
                            <w:r>
                              <w:rPr>
                                <w:i/>
                                <w:color w:val="221F1F"/>
                              </w:rPr>
                              <w:t>or</w:t>
                            </w:r>
                            <w:r>
                              <w:rPr>
                                <w:i/>
                                <w:color w:val="221F1F"/>
                                <w:spacing w:val="-2"/>
                              </w:rPr>
                              <w:t xml:space="preserve"> </w:t>
                            </w:r>
                            <w:r>
                              <w:rPr>
                                <w:i/>
                                <w:color w:val="221F1F"/>
                              </w:rPr>
                              <w:t>a</w:t>
                            </w:r>
                            <w:r>
                              <w:rPr>
                                <w:i/>
                                <w:color w:val="221F1F"/>
                                <w:spacing w:val="-2"/>
                              </w:rPr>
                              <w:t xml:space="preserve"> </w:t>
                            </w:r>
                            <w:r>
                              <w:rPr>
                                <w:i/>
                                <w:color w:val="221F1F"/>
                              </w:rPr>
                              <w:t>natural</w:t>
                            </w:r>
                            <w:r>
                              <w:rPr>
                                <w:i/>
                                <w:color w:val="221F1F"/>
                                <w:spacing w:val="-1"/>
                              </w:rPr>
                              <w:t xml:space="preserve"> </w:t>
                            </w:r>
                            <w:r>
                              <w:rPr>
                                <w:i/>
                                <w:color w:val="221F1F"/>
                              </w:rPr>
                              <w:t>person</w:t>
                            </w:r>
                            <w:r>
                              <w:rPr>
                                <w:i/>
                                <w:color w:val="221F1F"/>
                                <w:spacing w:val="-2"/>
                              </w:rPr>
                              <w:t xml:space="preserve"> </w:t>
                            </w:r>
                            <w:r>
                              <w:rPr>
                                <w:i/>
                                <w:color w:val="221F1F"/>
                              </w:rPr>
                              <w:t>on</w:t>
                            </w:r>
                            <w:r>
                              <w:rPr>
                                <w:i/>
                                <w:color w:val="221F1F"/>
                                <w:spacing w:val="-2"/>
                              </w:rPr>
                              <w:t xml:space="preserve"> </w:t>
                            </w:r>
                            <w:r>
                              <w:rPr>
                                <w:i/>
                                <w:color w:val="221F1F"/>
                              </w:rPr>
                              <w:t>whose</w:t>
                            </w:r>
                            <w:r>
                              <w:rPr>
                                <w:i/>
                                <w:color w:val="221F1F"/>
                                <w:spacing w:val="-2"/>
                              </w:rPr>
                              <w:t xml:space="preserve"> </w:t>
                            </w:r>
                            <w:r>
                              <w:rPr>
                                <w:i/>
                                <w:color w:val="221F1F"/>
                              </w:rPr>
                              <w:t>behalf</w:t>
                            </w:r>
                            <w:r>
                              <w:rPr>
                                <w:i/>
                                <w:color w:val="221F1F"/>
                                <w:spacing w:val="-1"/>
                              </w:rPr>
                              <w:t xml:space="preserve"> </w:t>
                            </w:r>
                            <w:r>
                              <w:rPr>
                                <w:i/>
                                <w:color w:val="221F1F"/>
                              </w:rPr>
                              <w:t>a</w:t>
                            </w:r>
                            <w:r>
                              <w:rPr>
                                <w:i/>
                                <w:color w:val="221F1F"/>
                                <w:spacing w:val="-5"/>
                              </w:rPr>
                              <w:t xml:space="preserve"> </w:t>
                            </w:r>
                            <w:r>
                              <w:rPr>
                                <w:i/>
                                <w:color w:val="221F1F"/>
                              </w:rPr>
                              <w:t>transaction</w:t>
                            </w:r>
                            <w:r>
                              <w:rPr>
                                <w:i/>
                                <w:color w:val="221F1F"/>
                                <w:spacing w:val="-5"/>
                              </w:rPr>
                              <w:t xml:space="preserve"> </w:t>
                            </w:r>
                            <w:r>
                              <w:rPr>
                                <w:i/>
                                <w:color w:val="221F1F"/>
                              </w:rPr>
                              <w:t>is</w:t>
                            </w:r>
                            <w:r>
                              <w:rPr>
                                <w:i/>
                                <w:color w:val="221F1F"/>
                                <w:spacing w:val="-2"/>
                              </w:rPr>
                              <w:t xml:space="preserve"> </w:t>
                            </w:r>
                            <w:r>
                              <w:rPr>
                                <w:i/>
                                <w:color w:val="221F1F"/>
                              </w:rPr>
                              <w:t>conducted, and includes those persons who exercise ultimate effective control over a legal person (Tenderer) or arrangement.</w:t>
                            </w:r>
                          </w:p>
                        </w:txbxContent>
                      </wps:txbx>
                      <wps:bodyPr wrap="square" lIns="0" tIns="0" rIns="0" bIns="0" rtlCol="0">
                        <a:noAutofit/>
                      </wps:bodyPr>
                    </wps:wsp>
                  </a:graphicData>
                </a:graphic>
              </wp:anchor>
            </w:drawing>
          </mc:Choice>
          <mc:Fallback>
            <w:pict>
              <v:shape id="Textbox 462" o:spid="_x0000_s1037" type="#_x0000_t202" style="position:absolute;margin-left:39pt;margin-top:14.7pt;width:528pt;height:138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" filled="f" strokecolor="#221f1f" strokeweight=".07617mm">
                <v:path arrowok="t"/>
                <v:textbox inset="0,0,0,0">
                  <w:txbxContent>
                    <w:p w:rsidR="00883FED" w:rsidRDefault="00883FED">
                      <w:pPr>
                        <w:spacing w:before="51"/>
                        <w:ind w:left="158"/>
                        <w:jc w:val="both"/>
                        <w:rPr>
                          <w:b/>
                          <w:i/>
                        </w:rPr>
                      </w:pPr>
                      <w:r>
                        <w:rPr>
                          <w:b/>
                          <w:i/>
                          <w:color w:val="221F1F"/>
                        </w:rPr>
                        <w:t>INSTRUCTIONS</w:t>
                      </w:r>
                      <w:r>
                        <w:rPr>
                          <w:b/>
                          <w:i/>
                          <w:color w:val="221F1F"/>
                          <w:spacing w:val="-9"/>
                        </w:rPr>
                        <w:t xml:space="preserve"> </w:t>
                      </w:r>
                      <w:r>
                        <w:rPr>
                          <w:b/>
                          <w:i/>
                          <w:color w:val="221F1F"/>
                        </w:rPr>
                        <w:t>TO</w:t>
                      </w:r>
                      <w:r>
                        <w:rPr>
                          <w:b/>
                          <w:i/>
                          <w:color w:val="221F1F"/>
                          <w:spacing w:val="-7"/>
                        </w:rPr>
                        <w:t xml:space="preserve"> </w:t>
                      </w:r>
                      <w:r>
                        <w:rPr>
                          <w:b/>
                          <w:i/>
                          <w:color w:val="221F1F"/>
                        </w:rPr>
                        <w:t>TENDERERS:</w:t>
                      </w:r>
                      <w:r>
                        <w:rPr>
                          <w:b/>
                          <w:i/>
                          <w:color w:val="221F1F"/>
                          <w:spacing w:val="-5"/>
                        </w:rPr>
                        <w:t xml:space="preserve"> </w:t>
                      </w:r>
                      <w:r>
                        <w:rPr>
                          <w:b/>
                          <w:i/>
                          <w:color w:val="221F1F"/>
                        </w:rPr>
                        <w:t>DELETE</w:t>
                      </w:r>
                      <w:r>
                        <w:rPr>
                          <w:b/>
                          <w:i/>
                          <w:color w:val="221F1F"/>
                          <w:spacing w:val="-7"/>
                        </w:rPr>
                        <w:t xml:space="preserve"> </w:t>
                      </w:r>
                      <w:r>
                        <w:rPr>
                          <w:b/>
                          <w:i/>
                          <w:color w:val="221F1F"/>
                        </w:rPr>
                        <w:t>THIS</w:t>
                      </w:r>
                      <w:r>
                        <w:rPr>
                          <w:b/>
                          <w:i/>
                          <w:color w:val="221F1F"/>
                          <w:spacing w:val="-5"/>
                        </w:rPr>
                        <w:t xml:space="preserve"> </w:t>
                      </w:r>
                      <w:r>
                        <w:rPr>
                          <w:b/>
                          <w:i/>
                          <w:color w:val="221F1F"/>
                        </w:rPr>
                        <w:t>BOX</w:t>
                      </w:r>
                      <w:r>
                        <w:rPr>
                          <w:b/>
                          <w:i/>
                          <w:color w:val="221F1F"/>
                          <w:spacing w:val="-7"/>
                        </w:rPr>
                        <w:t xml:space="preserve"> </w:t>
                      </w:r>
                      <w:r>
                        <w:rPr>
                          <w:b/>
                          <w:i/>
                          <w:color w:val="221F1F"/>
                        </w:rPr>
                        <w:t>ONCE</w:t>
                      </w:r>
                      <w:r>
                        <w:rPr>
                          <w:b/>
                          <w:i/>
                          <w:color w:val="221F1F"/>
                          <w:spacing w:val="-6"/>
                        </w:rPr>
                        <w:t xml:space="preserve"> </w:t>
                      </w:r>
                      <w:r>
                        <w:rPr>
                          <w:b/>
                          <w:i/>
                          <w:color w:val="221F1F"/>
                        </w:rPr>
                        <w:t>YOU</w:t>
                      </w:r>
                      <w:r>
                        <w:rPr>
                          <w:b/>
                          <w:i/>
                          <w:color w:val="221F1F"/>
                          <w:spacing w:val="-4"/>
                        </w:rPr>
                        <w:t xml:space="preserve"> </w:t>
                      </w:r>
                      <w:r>
                        <w:rPr>
                          <w:b/>
                          <w:i/>
                          <w:color w:val="221F1F"/>
                        </w:rPr>
                        <w:t>HAVE</w:t>
                      </w:r>
                      <w:r>
                        <w:rPr>
                          <w:b/>
                          <w:i/>
                          <w:color w:val="221F1F"/>
                          <w:spacing w:val="-14"/>
                        </w:rPr>
                        <w:t xml:space="preserve"> </w:t>
                      </w:r>
                      <w:r>
                        <w:rPr>
                          <w:b/>
                          <w:i/>
                          <w:color w:val="221F1F"/>
                        </w:rPr>
                        <w:t>COMPLETED</w:t>
                      </w:r>
                      <w:r>
                        <w:rPr>
                          <w:b/>
                          <w:i/>
                          <w:color w:val="221F1F"/>
                          <w:spacing w:val="-6"/>
                        </w:rPr>
                        <w:t xml:space="preserve"> </w:t>
                      </w:r>
                      <w:r>
                        <w:rPr>
                          <w:b/>
                          <w:i/>
                          <w:color w:val="221F1F"/>
                        </w:rPr>
                        <w:t>THE</w:t>
                      </w:r>
                      <w:r>
                        <w:rPr>
                          <w:b/>
                          <w:i/>
                          <w:color w:val="221F1F"/>
                          <w:spacing w:val="-5"/>
                        </w:rPr>
                        <w:t xml:space="preserve"> </w:t>
                      </w:r>
                      <w:r>
                        <w:rPr>
                          <w:b/>
                          <w:i/>
                          <w:color w:val="221F1F"/>
                          <w:spacing w:val="-4"/>
                        </w:rPr>
                        <w:t>FORM</w:t>
                      </w:r>
                    </w:p>
                    <w:p w:rsidR="00883FED" w:rsidRDefault="00883FED">
                      <w:pPr>
                        <w:spacing w:before="245" w:line="230" w:lineRule="auto"/>
                        <w:ind w:left="158" w:right="-15"/>
                        <w:jc w:val="both"/>
                        <w:rPr>
                          <w:i/>
                        </w:rPr>
                      </w:pPr>
                      <w:r>
                        <w:rPr>
                          <w:i/>
                          <w:color w:val="221F1F"/>
                        </w:rPr>
                        <w:t xml:space="preserve">This Beneficial Ownership Disclosure Form (“Form”) is to be completed by the successful </w:t>
                      </w:r>
                      <w:proofErr w:type="spellStart"/>
                      <w:r>
                        <w:rPr>
                          <w:i/>
                          <w:color w:val="221F1F"/>
                        </w:rPr>
                        <w:t>tenderer</w:t>
                      </w:r>
                      <w:proofErr w:type="spellEnd"/>
                      <w:r>
                        <w:rPr>
                          <w:i/>
                          <w:color w:val="221F1F"/>
                        </w:rPr>
                        <w:t xml:space="preserve"> </w:t>
                      </w:r>
                      <w:r>
                        <w:rPr>
                          <w:i/>
                        </w:rPr>
                        <w:t>pursuant to 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10"/>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1"/>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 venture, the tenderer must submit a separate Form for each member. The beneficial ownership information to be submitted in this Form shall be current as of the date of its submission.</w:t>
                      </w:r>
                    </w:p>
                    <w:p w:rsidR="00883FED" w:rsidRDefault="00883FED">
                      <w:pPr>
                        <w:spacing w:before="245" w:line="230" w:lineRule="auto"/>
                        <w:ind w:left="158"/>
                        <w:rPr>
                          <w:i/>
                        </w:rPr>
                      </w:pPr>
                      <w:r>
                        <w:rPr>
                          <w:i/>
                          <w:color w:val="221F1F"/>
                        </w:rPr>
                        <w:t>For the purposes of this Form, a Beneficial Owner of a Tenderer is any natural person who ultimately owns or controls</w:t>
                      </w:r>
                      <w:r>
                        <w:rPr>
                          <w:i/>
                          <w:color w:val="221F1F"/>
                          <w:spacing w:val="-2"/>
                        </w:rPr>
                        <w:t xml:space="preserve"> </w:t>
                      </w:r>
                      <w:r>
                        <w:rPr>
                          <w:i/>
                          <w:color w:val="221F1F"/>
                        </w:rPr>
                        <w:t>the</w:t>
                      </w:r>
                      <w:r>
                        <w:rPr>
                          <w:i/>
                          <w:color w:val="221F1F"/>
                          <w:spacing w:val="-2"/>
                        </w:rPr>
                        <w:t xml:space="preserve"> </w:t>
                      </w:r>
                      <w:r>
                        <w:rPr>
                          <w:i/>
                          <w:color w:val="221F1F"/>
                        </w:rPr>
                        <w:t>legal</w:t>
                      </w:r>
                      <w:r>
                        <w:rPr>
                          <w:i/>
                          <w:color w:val="221F1F"/>
                          <w:spacing w:val="-4"/>
                        </w:rPr>
                        <w:t xml:space="preserve"> </w:t>
                      </w:r>
                      <w:r>
                        <w:rPr>
                          <w:i/>
                          <w:color w:val="221F1F"/>
                        </w:rPr>
                        <w:t>person</w:t>
                      </w:r>
                      <w:r>
                        <w:rPr>
                          <w:i/>
                          <w:color w:val="221F1F"/>
                          <w:spacing w:val="-2"/>
                        </w:rPr>
                        <w:t xml:space="preserve"> </w:t>
                      </w:r>
                      <w:r>
                        <w:rPr>
                          <w:i/>
                          <w:color w:val="221F1F"/>
                        </w:rPr>
                        <w:t>(tenderer)</w:t>
                      </w:r>
                      <w:r>
                        <w:rPr>
                          <w:i/>
                          <w:color w:val="221F1F"/>
                          <w:spacing w:val="-4"/>
                        </w:rPr>
                        <w:t xml:space="preserve"> </w:t>
                      </w:r>
                      <w:r>
                        <w:rPr>
                          <w:i/>
                          <w:color w:val="221F1F"/>
                        </w:rPr>
                        <w:t>or</w:t>
                      </w:r>
                      <w:r>
                        <w:rPr>
                          <w:i/>
                          <w:color w:val="221F1F"/>
                          <w:spacing w:val="-2"/>
                        </w:rPr>
                        <w:t xml:space="preserve"> </w:t>
                      </w:r>
                      <w:r>
                        <w:rPr>
                          <w:i/>
                          <w:color w:val="221F1F"/>
                        </w:rPr>
                        <w:t>arrangements</w:t>
                      </w:r>
                      <w:r>
                        <w:rPr>
                          <w:i/>
                          <w:color w:val="221F1F"/>
                          <w:spacing w:val="-2"/>
                        </w:rPr>
                        <w:t xml:space="preserve"> </w:t>
                      </w:r>
                      <w:r>
                        <w:rPr>
                          <w:i/>
                          <w:color w:val="221F1F"/>
                        </w:rPr>
                        <w:t>or</w:t>
                      </w:r>
                      <w:r>
                        <w:rPr>
                          <w:i/>
                          <w:color w:val="221F1F"/>
                          <w:spacing w:val="-2"/>
                        </w:rPr>
                        <w:t xml:space="preserve"> </w:t>
                      </w:r>
                      <w:r>
                        <w:rPr>
                          <w:i/>
                          <w:color w:val="221F1F"/>
                        </w:rPr>
                        <w:t>a</w:t>
                      </w:r>
                      <w:r>
                        <w:rPr>
                          <w:i/>
                          <w:color w:val="221F1F"/>
                          <w:spacing w:val="-2"/>
                        </w:rPr>
                        <w:t xml:space="preserve"> </w:t>
                      </w:r>
                      <w:r>
                        <w:rPr>
                          <w:i/>
                          <w:color w:val="221F1F"/>
                        </w:rPr>
                        <w:t>natural</w:t>
                      </w:r>
                      <w:r>
                        <w:rPr>
                          <w:i/>
                          <w:color w:val="221F1F"/>
                          <w:spacing w:val="-1"/>
                        </w:rPr>
                        <w:t xml:space="preserve"> </w:t>
                      </w:r>
                      <w:r>
                        <w:rPr>
                          <w:i/>
                          <w:color w:val="221F1F"/>
                        </w:rPr>
                        <w:t>person</w:t>
                      </w:r>
                      <w:r>
                        <w:rPr>
                          <w:i/>
                          <w:color w:val="221F1F"/>
                          <w:spacing w:val="-2"/>
                        </w:rPr>
                        <w:t xml:space="preserve"> </w:t>
                      </w:r>
                      <w:r>
                        <w:rPr>
                          <w:i/>
                          <w:color w:val="221F1F"/>
                        </w:rPr>
                        <w:t>on</w:t>
                      </w:r>
                      <w:r>
                        <w:rPr>
                          <w:i/>
                          <w:color w:val="221F1F"/>
                          <w:spacing w:val="-2"/>
                        </w:rPr>
                        <w:t xml:space="preserve"> </w:t>
                      </w:r>
                      <w:r>
                        <w:rPr>
                          <w:i/>
                          <w:color w:val="221F1F"/>
                        </w:rPr>
                        <w:t>whose</w:t>
                      </w:r>
                      <w:r>
                        <w:rPr>
                          <w:i/>
                          <w:color w:val="221F1F"/>
                          <w:spacing w:val="-2"/>
                        </w:rPr>
                        <w:t xml:space="preserve"> </w:t>
                      </w:r>
                      <w:r>
                        <w:rPr>
                          <w:i/>
                          <w:color w:val="221F1F"/>
                        </w:rPr>
                        <w:t>behalf</w:t>
                      </w:r>
                      <w:r>
                        <w:rPr>
                          <w:i/>
                          <w:color w:val="221F1F"/>
                          <w:spacing w:val="-1"/>
                        </w:rPr>
                        <w:t xml:space="preserve"> </w:t>
                      </w:r>
                      <w:r>
                        <w:rPr>
                          <w:i/>
                          <w:color w:val="221F1F"/>
                        </w:rPr>
                        <w:t>a</w:t>
                      </w:r>
                      <w:r>
                        <w:rPr>
                          <w:i/>
                          <w:color w:val="221F1F"/>
                          <w:spacing w:val="-5"/>
                        </w:rPr>
                        <w:t xml:space="preserve"> </w:t>
                      </w:r>
                      <w:r>
                        <w:rPr>
                          <w:i/>
                          <w:color w:val="221F1F"/>
                        </w:rPr>
                        <w:t>transaction</w:t>
                      </w:r>
                      <w:r>
                        <w:rPr>
                          <w:i/>
                          <w:color w:val="221F1F"/>
                          <w:spacing w:val="-5"/>
                        </w:rPr>
                        <w:t xml:space="preserve"> </w:t>
                      </w:r>
                      <w:r>
                        <w:rPr>
                          <w:i/>
                          <w:color w:val="221F1F"/>
                        </w:rPr>
                        <w:t>is</w:t>
                      </w:r>
                      <w:r>
                        <w:rPr>
                          <w:i/>
                          <w:color w:val="221F1F"/>
                          <w:spacing w:val="-2"/>
                        </w:rPr>
                        <w:t xml:space="preserve"> </w:t>
                      </w:r>
                      <w:r>
                        <w:rPr>
                          <w:i/>
                          <w:color w:val="221F1F"/>
                        </w:rPr>
                        <w:t>conducted, and includes those persons who exercise ultimate effective control over a legal person (Tenderer) or arrangement.</w:t>
                      </w:r>
                    </w:p>
                  </w:txbxContent>
                </v:textbox>
                <w10:wrap type="topAndBottom" anchorx="page"/>
              </v:shape>
            </w:pict>
          </mc:Fallback>
        </mc:AlternateContent>
      </w:r>
    </w:p>
    <w:p w:rsidR="007F6DF9" w:rsidRDefault="007F6DF9">
      <w:pPr>
        <w:pStyle w:val="BodyText"/>
        <w:spacing w:before="156"/>
        <w:rPr>
          <w:b/>
        </w:rPr>
      </w:pPr>
    </w:p>
    <w:p w:rsidR="007F6DF9" w:rsidRDefault="00A43FBC">
      <w:pPr>
        <w:tabs>
          <w:tab w:val="left" w:pos="6313"/>
          <w:tab w:val="left" w:pos="7427"/>
        </w:tabs>
        <w:spacing w:line="343" w:lineRule="auto"/>
        <w:ind w:left="559" w:right="1917"/>
      </w:pPr>
      <w:r>
        <w:rPr>
          <w:color w:val="221F1F"/>
        </w:rPr>
        <w:t>Tender Reference No.:</w:t>
      </w:r>
      <w:r>
        <w:rPr>
          <w:color w:val="221F1F"/>
          <w:u w:val="single" w:color="211E1F"/>
        </w:rPr>
        <w:tab/>
      </w:r>
      <w:r>
        <w:rPr>
          <w:color w:val="221F1F"/>
          <w:u w:val="single" w:color="211E1F"/>
        </w:rPr>
        <w:tab/>
      </w:r>
      <w:r>
        <w:rPr>
          <w:color w:val="221F1F"/>
        </w:rPr>
        <w:t>[</w:t>
      </w:r>
      <w:r>
        <w:rPr>
          <w:i/>
          <w:color w:val="221F1F"/>
        </w:rPr>
        <w:t>insert</w:t>
      </w:r>
      <w:r>
        <w:rPr>
          <w:i/>
          <w:color w:val="221F1F"/>
          <w:spacing w:val="-14"/>
        </w:rPr>
        <w:t xml:space="preserve"> </w:t>
      </w:r>
      <w:r>
        <w:rPr>
          <w:i/>
          <w:color w:val="221F1F"/>
        </w:rPr>
        <w:t>identification</w:t>
      </w:r>
      <w:r>
        <w:rPr>
          <w:i/>
          <w:color w:val="221F1F"/>
          <w:spacing w:val="-14"/>
        </w:rPr>
        <w:t xml:space="preserve"> </w:t>
      </w:r>
      <w:r>
        <w:rPr>
          <w:i/>
          <w:color w:val="221F1F"/>
        </w:rPr>
        <w:t>no</w:t>
      </w:r>
      <w:r>
        <w:rPr>
          <w:color w:val="221F1F"/>
        </w:rPr>
        <w:t>] Name of the Tender Title/Description:</w:t>
      </w:r>
      <w:r>
        <w:rPr>
          <w:i/>
          <w:color w:val="221F1F"/>
          <w:u w:val="single" w:color="211E1F"/>
        </w:rPr>
        <w:tab/>
      </w:r>
      <w:r>
        <w:rPr>
          <w:i/>
          <w:color w:val="221F1F"/>
        </w:rPr>
        <w:t xml:space="preserve">[insert name of the assignment] </w:t>
      </w:r>
      <w:r>
        <w:rPr>
          <w:color w:val="221F1F"/>
        </w:rPr>
        <w:t>to:</w:t>
      </w:r>
    </w:p>
    <w:p w:rsidR="007F6DF9" w:rsidRDefault="00A43FBC">
      <w:pPr>
        <w:tabs>
          <w:tab w:val="left" w:pos="3987"/>
        </w:tabs>
        <w:spacing w:before="3"/>
        <w:ind w:left="559"/>
        <w:rPr>
          <w:i/>
        </w:rPr>
      </w:pPr>
      <w:r>
        <w:rPr>
          <w:i/>
          <w:color w:val="221F1F"/>
          <w:u w:val="single" w:color="211E1F"/>
        </w:rPr>
        <w:tab/>
      </w:r>
      <w:r>
        <w:rPr>
          <w:i/>
          <w:color w:val="221F1F"/>
        </w:rPr>
        <w:t>[insert</w:t>
      </w:r>
      <w:r>
        <w:rPr>
          <w:i/>
          <w:color w:val="221F1F"/>
          <w:spacing w:val="-5"/>
        </w:rPr>
        <w:t xml:space="preserve"> </w:t>
      </w:r>
      <w:r>
        <w:rPr>
          <w:i/>
          <w:color w:val="221F1F"/>
        </w:rPr>
        <w:t>complete</w:t>
      </w:r>
      <w:r>
        <w:rPr>
          <w:i/>
          <w:color w:val="221F1F"/>
          <w:spacing w:val="-3"/>
        </w:rPr>
        <w:t xml:space="preserve"> </w:t>
      </w:r>
      <w:r>
        <w:rPr>
          <w:i/>
          <w:color w:val="221F1F"/>
        </w:rPr>
        <w:t>name</w:t>
      </w:r>
      <w:r>
        <w:rPr>
          <w:i/>
          <w:color w:val="221F1F"/>
          <w:spacing w:val="-4"/>
        </w:rPr>
        <w:t xml:space="preserve"> </w:t>
      </w:r>
      <w:r>
        <w:rPr>
          <w:i/>
          <w:color w:val="221F1F"/>
        </w:rPr>
        <w:t>of</w:t>
      </w:r>
      <w:r>
        <w:rPr>
          <w:i/>
          <w:color w:val="221F1F"/>
          <w:spacing w:val="-1"/>
        </w:rPr>
        <w:t xml:space="preserve"> </w:t>
      </w:r>
      <w:r>
        <w:rPr>
          <w:i/>
          <w:color w:val="221F1F"/>
        </w:rPr>
        <w:t>Procuring</w:t>
      </w:r>
      <w:r>
        <w:rPr>
          <w:i/>
          <w:color w:val="221F1F"/>
          <w:spacing w:val="-3"/>
        </w:rPr>
        <w:t xml:space="preserve"> </w:t>
      </w:r>
      <w:r>
        <w:rPr>
          <w:i/>
          <w:color w:val="221F1F"/>
          <w:spacing w:val="-2"/>
        </w:rPr>
        <w:t>Entity]</w:t>
      </w:r>
    </w:p>
    <w:p w:rsidR="007F6DF9" w:rsidRDefault="007F6DF9">
      <w:pPr>
        <w:pStyle w:val="BodyText"/>
        <w:spacing w:before="112"/>
        <w:rPr>
          <w:i/>
        </w:rPr>
      </w:pPr>
    </w:p>
    <w:p w:rsidR="007F6DF9" w:rsidRDefault="00A43FBC">
      <w:pPr>
        <w:tabs>
          <w:tab w:val="left" w:pos="6597"/>
        </w:tabs>
        <w:spacing w:line="230" w:lineRule="auto"/>
        <w:ind w:left="559" w:right="541"/>
        <w:jc w:val="both"/>
        <w:rPr>
          <w:i/>
        </w:rPr>
      </w:pPr>
      <w:r>
        <w:rPr>
          <w:color w:val="221F1F"/>
        </w:rPr>
        <w:t>In</w:t>
      </w:r>
      <w:r>
        <w:rPr>
          <w:color w:val="221F1F"/>
          <w:spacing w:val="-2"/>
        </w:rPr>
        <w:t xml:space="preserve"> </w:t>
      </w:r>
      <w:r>
        <w:rPr>
          <w:color w:val="221F1F"/>
        </w:rPr>
        <w:t>response</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requirement</w:t>
      </w:r>
      <w:r>
        <w:rPr>
          <w:color w:val="221F1F"/>
          <w:spacing w:val="-4"/>
        </w:rPr>
        <w:t xml:space="preserve"> </w:t>
      </w:r>
      <w:r>
        <w:rPr>
          <w:color w:val="221F1F"/>
        </w:rPr>
        <w:t>in</w:t>
      </w:r>
      <w:r>
        <w:rPr>
          <w:color w:val="221F1F"/>
          <w:spacing w:val="-2"/>
        </w:rPr>
        <w:t xml:space="preserve"> </w:t>
      </w:r>
      <w:r>
        <w:rPr>
          <w:color w:val="221F1F"/>
        </w:rPr>
        <w:t>your</w:t>
      </w:r>
      <w:r>
        <w:rPr>
          <w:color w:val="221F1F"/>
          <w:spacing w:val="-2"/>
        </w:rPr>
        <w:t xml:space="preserve"> </w:t>
      </w:r>
      <w:r>
        <w:rPr>
          <w:color w:val="221F1F"/>
        </w:rPr>
        <w:t>notification</w:t>
      </w:r>
      <w:r>
        <w:rPr>
          <w:color w:val="221F1F"/>
          <w:spacing w:val="-5"/>
        </w:rPr>
        <w:t xml:space="preserve"> </w:t>
      </w:r>
      <w:r>
        <w:rPr>
          <w:color w:val="221F1F"/>
        </w:rPr>
        <w:t>of</w:t>
      </w:r>
      <w:r>
        <w:rPr>
          <w:color w:val="221F1F"/>
          <w:spacing w:val="-2"/>
        </w:rPr>
        <w:t xml:space="preserve"> </w:t>
      </w:r>
      <w:r>
        <w:rPr>
          <w:color w:val="221F1F"/>
        </w:rPr>
        <w:t>award</w:t>
      </w:r>
      <w:r>
        <w:rPr>
          <w:color w:val="221F1F"/>
          <w:spacing w:val="-2"/>
        </w:rPr>
        <w:t xml:space="preserve"> </w:t>
      </w:r>
      <w:r>
        <w:rPr>
          <w:color w:val="221F1F"/>
        </w:rPr>
        <w:t>dated</w:t>
      </w:r>
      <w:r>
        <w:rPr>
          <w:color w:val="221F1F"/>
          <w:spacing w:val="80"/>
          <w:w w:val="150"/>
          <w:u w:val="single" w:color="211E1F"/>
        </w:rPr>
        <w:t xml:space="preserve"> </w:t>
      </w:r>
      <w:r>
        <w:rPr>
          <w:i/>
          <w:color w:val="221F1F"/>
        </w:rPr>
        <w:t xml:space="preserve">[insert date of notification of award] </w:t>
      </w:r>
      <w:r>
        <w:rPr>
          <w:color w:val="221F1F"/>
        </w:rPr>
        <w:t>to furnish additional information on beneficial ownership:</w:t>
      </w:r>
      <w:r>
        <w:rPr>
          <w:i/>
          <w:color w:val="221F1F"/>
          <w:u w:val="single" w:color="211E1F"/>
        </w:rPr>
        <w:tab/>
      </w:r>
      <w:r>
        <w:rPr>
          <w:i/>
          <w:color w:val="221F1F"/>
        </w:rPr>
        <w:t>[select one option as applicable and delete the options that are not applicable]</w:t>
      </w:r>
    </w:p>
    <w:p w:rsidR="007F6DF9" w:rsidRDefault="00A43FBC">
      <w:pPr>
        <w:pStyle w:val="ListParagraph"/>
        <w:numPr>
          <w:ilvl w:val="0"/>
          <w:numId w:val="11"/>
        </w:numPr>
        <w:tabs>
          <w:tab w:val="left" w:pos="1092"/>
        </w:tabs>
        <w:spacing w:before="236"/>
        <w:ind w:left="1092" w:hanging="398"/>
      </w:pPr>
      <w:r>
        <w:rPr>
          <w:color w:val="221F1F"/>
        </w:rPr>
        <w:t>We</w:t>
      </w:r>
      <w:r>
        <w:rPr>
          <w:color w:val="221F1F"/>
          <w:spacing w:val="-19"/>
        </w:rPr>
        <w:t xml:space="preserve"> </w:t>
      </w:r>
      <w:r>
        <w:rPr>
          <w:color w:val="221F1F"/>
        </w:rPr>
        <w:t>here</w:t>
      </w:r>
      <w:r>
        <w:rPr>
          <w:color w:val="221F1F"/>
          <w:spacing w:val="-13"/>
        </w:rPr>
        <w:t xml:space="preserve"> </w:t>
      </w:r>
      <w:r>
        <w:rPr>
          <w:color w:val="221F1F"/>
        </w:rPr>
        <w:t>by</w:t>
      </w:r>
      <w:r>
        <w:rPr>
          <w:color w:val="221F1F"/>
          <w:spacing w:val="-7"/>
        </w:rPr>
        <w:t xml:space="preserve"> </w:t>
      </w:r>
      <w:r>
        <w:rPr>
          <w:color w:val="221F1F"/>
        </w:rPr>
        <w:t>provide</w:t>
      </w:r>
      <w:r>
        <w:rPr>
          <w:color w:val="221F1F"/>
          <w:spacing w:val="-6"/>
        </w:rPr>
        <w:t xml:space="preserve"> </w:t>
      </w:r>
      <w:r>
        <w:rPr>
          <w:color w:val="221F1F"/>
        </w:rPr>
        <w:t>the</w:t>
      </w:r>
      <w:r>
        <w:rPr>
          <w:color w:val="221F1F"/>
          <w:spacing w:val="-7"/>
        </w:rPr>
        <w:t xml:space="preserve"> </w:t>
      </w:r>
      <w:r>
        <w:rPr>
          <w:color w:val="221F1F"/>
        </w:rPr>
        <w:t>following</w:t>
      </w:r>
      <w:r>
        <w:rPr>
          <w:color w:val="221F1F"/>
          <w:spacing w:val="-7"/>
        </w:rPr>
        <w:t xml:space="preserve"> </w:t>
      </w:r>
      <w:r>
        <w:rPr>
          <w:color w:val="221F1F"/>
        </w:rPr>
        <w:t>beneficial</w:t>
      </w:r>
      <w:r>
        <w:rPr>
          <w:color w:val="221F1F"/>
          <w:spacing w:val="-5"/>
        </w:rPr>
        <w:t xml:space="preserve"> </w:t>
      </w:r>
      <w:r>
        <w:rPr>
          <w:color w:val="221F1F"/>
        </w:rPr>
        <w:t>ownership</w:t>
      </w:r>
      <w:r>
        <w:rPr>
          <w:color w:val="221F1F"/>
          <w:spacing w:val="-10"/>
        </w:rPr>
        <w:t xml:space="preserve"> </w:t>
      </w:r>
      <w:r>
        <w:rPr>
          <w:color w:val="221F1F"/>
          <w:spacing w:val="-2"/>
        </w:rPr>
        <w:t>information.</w:t>
      </w:r>
    </w:p>
    <w:p w:rsidR="007F6DF9" w:rsidRDefault="00A43FBC">
      <w:pPr>
        <w:pStyle w:val="Heading9"/>
        <w:spacing w:before="234" w:after="3"/>
        <w:ind w:left="34" w:firstLine="0"/>
      </w:pPr>
      <w:r>
        <w:rPr>
          <w:noProof/>
        </w:rPr>
        <mc:AlternateContent>
          <mc:Choice Requires="wpg">
            <w:drawing>
              <wp:anchor distT="0" distB="0" distL="0" distR="0" simplePos="0" relativeHeight="479611904" behindDoc="1" locked="0" layoutInCell="1" allowOverlap="1">
                <wp:simplePos x="0" y="0"/>
                <wp:positionH relativeFrom="page">
                  <wp:posOffset>445008</wp:posOffset>
                </wp:positionH>
                <wp:positionV relativeFrom="paragraph">
                  <wp:posOffset>317366</wp:posOffset>
                </wp:positionV>
                <wp:extent cx="6865620" cy="49085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5620" cy="4908550"/>
                          <a:chOff x="0" y="0"/>
                          <a:chExt cx="6865620" cy="4908550"/>
                        </a:xfrm>
                      </wpg:grpSpPr>
                      <wps:wsp>
                        <wps:cNvPr id="69" name="Textbox 464"/>
                        <wps:cNvSpPr txBox="1"/>
                        <wps:spPr>
                          <a:xfrm>
                            <a:off x="86868" y="4713462"/>
                            <a:ext cx="250825" cy="194945"/>
                          </a:xfrm>
                          <a:prstGeom prst="rect">
                            <a:avLst/>
                          </a:prstGeom>
                        </wps:spPr>
                        <wps:txbx>
                          <w:txbxContent>
                            <w:p w:rsidR="00883FED" w:rsidRDefault="00883FED">
                              <w:pPr>
                                <w:rPr>
                                  <w:rFonts w:ascii="Segoe UI"/>
                                  <w:sz w:val="23"/>
                                </w:rPr>
                              </w:pPr>
                              <w:r>
                                <w:rPr>
                                  <w:rFonts w:ascii="Segoe UI"/>
                                  <w:color w:val="FFFFFF"/>
                                  <w:spacing w:val="-5"/>
                                  <w:sz w:val="23"/>
                                </w:rPr>
                                <w:t>142</w:t>
                              </w:r>
                            </w:p>
                          </w:txbxContent>
                        </wps:txbx>
                        <wps:bodyPr wrap="square" lIns="0" tIns="0" rIns="0" bIns="0" rtlCol="0">
                          <a:noAutofit/>
                        </wps:bodyPr>
                      </wps:wsp>
                      <wps:wsp>
                        <wps:cNvPr id="70" name="Graphic 465"/>
                        <wps:cNvSpPr/>
                        <wps:spPr>
                          <a:xfrm>
                            <a:off x="0" y="0"/>
                            <a:ext cx="6865620" cy="3085465"/>
                          </a:xfrm>
                          <a:custGeom>
                            <a:avLst/>
                            <a:gdLst/>
                            <a:ahLst/>
                            <a:cxnLst/>
                            <a:rect l="l" t="t" r="r" b="b"/>
                            <a:pathLst>
                              <a:path w="6865620" h="3085465">
                                <a:moveTo>
                                  <a:pt x="6083" y="2711589"/>
                                </a:moveTo>
                                <a:lnTo>
                                  <a:pt x="0" y="2711589"/>
                                </a:lnTo>
                                <a:lnTo>
                                  <a:pt x="0" y="2717673"/>
                                </a:lnTo>
                                <a:lnTo>
                                  <a:pt x="0" y="3084957"/>
                                </a:lnTo>
                                <a:lnTo>
                                  <a:pt x="6083" y="3084957"/>
                                </a:lnTo>
                                <a:lnTo>
                                  <a:pt x="6083" y="2717673"/>
                                </a:lnTo>
                                <a:lnTo>
                                  <a:pt x="6083" y="2711589"/>
                                </a:lnTo>
                                <a:close/>
                              </a:path>
                              <a:path w="6865620" h="3085465">
                                <a:moveTo>
                                  <a:pt x="6083" y="2482989"/>
                                </a:moveTo>
                                <a:lnTo>
                                  <a:pt x="0" y="2482989"/>
                                </a:lnTo>
                                <a:lnTo>
                                  <a:pt x="0" y="2489073"/>
                                </a:lnTo>
                                <a:lnTo>
                                  <a:pt x="0" y="2711577"/>
                                </a:lnTo>
                                <a:lnTo>
                                  <a:pt x="6083" y="2711577"/>
                                </a:lnTo>
                                <a:lnTo>
                                  <a:pt x="6083" y="2489073"/>
                                </a:lnTo>
                                <a:lnTo>
                                  <a:pt x="6083" y="2482989"/>
                                </a:lnTo>
                                <a:close/>
                              </a:path>
                              <a:path w="6865620" h="3085465">
                                <a:moveTo>
                                  <a:pt x="6083" y="1815477"/>
                                </a:moveTo>
                                <a:lnTo>
                                  <a:pt x="0" y="1815477"/>
                                </a:lnTo>
                                <a:lnTo>
                                  <a:pt x="0" y="1821561"/>
                                </a:lnTo>
                                <a:lnTo>
                                  <a:pt x="0" y="2482977"/>
                                </a:lnTo>
                                <a:lnTo>
                                  <a:pt x="6083" y="2482977"/>
                                </a:lnTo>
                                <a:lnTo>
                                  <a:pt x="6083" y="1821561"/>
                                </a:lnTo>
                                <a:lnTo>
                                  <a:pt x="6083" y="1815477"/>
                                </a:lnTo>
                                <a:close/>
                              </a:path>
                              <a:path w="6865620" h="3085465">
                                <a:moveTo>
                                  <a:pt x="6083" y="1300048"/>
                                </a:moveTo>
                                <a:lnTo>
                                  <a:pt x="0" y="1300048"/>
                                </a:lnTo>
                                <a:lnTo>
                                  <a:pt x="0" y="1815465"/>
                                </a:lnTo>
                                <a:lnTo>
                                  <a:pt x="6083" y="1815465"/>
                                </a:lnTo>
                                <a:lnTo>
                                  <a:pt x="6083" y="1300048"/>
                                </a:lnTo>
                                <a:close/>
                              </a:path>
                              <a:path w="6865620" h="3085465">
                                <a:moveTo>
                                  <a:pt x="6083" y="1293888"/>
                                </a:moveTo>
                                <a:lnTo>
                                  <a:pt x="0" y="1293888"/>
                                </a:lnTo>
                                <a:lnTo>
                                  <a:pt x="0" y="1299972"/>
                                </a:lnTo>
                                <a:lnTo>
                                  <a:pt x="6083" y="1299972"/>
                                </a:lnTo>
                                <a:lnTo>
                                  <a:pt x="6083" y="1293888"/>
                                </a:lnTo>
                                <a:close/>
                              </a:path>
                              <a:path w="6865620" h="3085465">
                                <a:moveTo>
                                  <a:pt x="6083" y="1065288"/>
                                </a:moveTo>
                                <a:lnTo>
                                  <a:pt x="0" y="1065288"/>
                                </a:lnTo>
                                <a:lnTo>
                                  <a:pt x="0" y="1071372"/>
                                </a:lnTo>
                                <a:lnTo>
                                  <a:pt x="0" y="1293876"/>
                                </a:lnTo>
                                <a:lnTo>
                                  <a:pt x="6083" y="1293876"/>
                                </a:lnTo>
                                <a:lnTo>
                                  <a:pt x="6083" y="1071372"/>
                                </a:lnTo>
                                <a:lnTo>
                                  <a:pt x="6083" y="1065288"/>
                                </a:lnTo>
                                <a:close/>
                              </a:path>
                              <a:path w="6865620" h="3085465">
                                <a:moveTo>
                                  <a:pt x="6083" y="0"/>
                                </a:moveTo>
                                <a:lnTo>
                                  <a:pt x="0" y="0"/>
                                </a:lnTo>
                                <a:lnTo>
                                  <a:pt x="0" y="1065276"/>
                                </a:lnTo>
                                <a:lnTo>
                                  <a:pt x="6083" y="1065276"/>
                                </a:lnTo>
                                <a:lnTo>
                                  <a:pt x="6083" y="0"/>
                                </a:lnTo>
                                <a:close/>
                              </a:path>
                              <a:path w="6865620" h="3085465">
                                <a:moveTo>
                                  <a:pt x="292608" y="2711589"/>
                                </a:moveTo>
                                <a:lnTo>
                                  <a:pt x="286512" y="2711589"/>
                                </a:lnTo>
                                <a:lnTo>
                                  <a:pt x="286512" y="2717673"/>
                                </a:lnTo>
                                <a:lnTo>
                                  <a:pt x="286512" y="3084957"/>
                                </a:lnTo>
                                <a:lnTo>
                                  <a:pt x="292608" y="3084957"/>
                                </a:lnTo>
                                <a:lnTo>
                                  <a:pt x="292608" y="2717673"/>
                                </a:lnTo>
                                <a:lnTo>
                                  <a:pt x="292608" y="2711589"/>
                                </a:lnTo>
                                <a:close/>
                              </a:path>
                              <a:path w="6865620" h="3085465">
                                <a:moveTo>
                                  <a:pt x="292608" y="2482989"/>
                                </a:moveTo>
                                <a:lnTo>
                                  <a:pt x="286512" y="2482989"/>
                                </a:lnTo>
                                <a:lnTo>
                                  <a:pt x="286512" y="2489073"/>
                                </a:lnTo>
                                <a:lnTo>
                                  <a:pt x="286512" y="2711577"/>
                                </a:lnTo>
                                <a:lnTo>
                                  <a:pt x="292608" y="2711577"/>
                                </a:lnTo>
                                <a:lnTo>
                                  <a:pt x="292608" y="2489073"/>
                                </a:lnTo>
                                <a:lnTo>
                                  <a:pt x="292608" y="2482989"/>
                                </a:lnTo>
                                <a:close/>
                              </a:path>
                              <a:path w="6865620" h="3085465">
                                <a:moveTo>
                                  <a:pt x="292608" y="1815477"/>
                                </a:moveTo>
                                <a:lnTo>
                                  <a:pt x="286512" y="1815477"/>
                                </a:lnTo>
                                <a:lnTo>
                                  <a:pt x="286512" y="1821561"/>
                                </a:lnTo>
                                <a:lnTo>
                                  <a:pt x="286512" y="2482977"/>
                                </a:lnTo>
                                <a:lnTo>
                                  <a:pt x="292608" y="2482977"/>
                                </a:lnTo>
                                <a:lnTo>
                                  <a:pt x="292608" y="1821561"/>
                                </a:lnTo>
                                <a:lnTo>
                                  <a:pt x="292608" y="1815477"/>
                                </a:lnTo>
                                <a:close/>
                              </a:path>
                              <a:path w="6865620" h="3085465">
                                <a:moveTo>
                                  <a:pt x="292608" y="1300048"/>
                                </a:moveTo>
                                <a:lnTo>
                                  <a:pt x="286512" y="1300048"/>
                                </a:lnTo>
                                <a:lnTo>
                                  <a:pt x="286512" y="1815465"/>
                                </a:lnTo>
                                <a:lnTo>
                                  <a:pt x="292608" y="1815465"/>
                                </a:lnTo>
                                <a:lnTo>
                                  <a:pt x="292608" y="1300048"/>
                                </a:lnTo>
                                <a:close/>
                              </a:path>
                              <a:path w="6865620" h="3085465">
                                <a:moveTo>
                                  <a:pt x="292608" y="1293888"/>
                                </a:moveTo>
                                <a:lnTo>
                                  <a:pt x="286512" y="1293888"/>
                                </a:lnTo>
                                <a:lnTo>
                                  <a:pt x="286512" y="1299972"/>
                                </a:lnTo>
                                <a:lnTo>
                                  <a:pt x="292608" y="1299972"/>
                                </a:lnTo>
                                <a:lnTo>
                                  <a:pt x="292608" y="1293888"/>
                                </a:lnTo>
                                <a:close/>
                              </a:path>
                              <a:path w="6865620" h="3085465">
                                <a:moveTo>
                                  <a:pt x="292608" y="1071372"/>
                                </a:moveTo>
                                <a:lnTo>
                                  <a:pt x="286512" y="1071372"/>
                                </a:lnTo>
                                <a:lnTo>
                                  <a:pt x="286512" y="1293876"/>
                                </a:lnTo>
                                <a:lnTo>
                                  <a:pt x="292608" y="1293876"/>
                                </a:lnTo>
                                <a:lnTo>
                                  <a:pt x="292608" y="1071372"/>
                                </a:lnTo>
                                <a:close/>
                              </a:path>
                              <a:path w="6865620" h="3085465">
                                <a:moveTo>
                                  <a:pt x="292608" y="0"/>
                                </a:moveTo>
                                <a:lnTo>
                                  <a:pt x="286512" y="0"/>
                                </a:lnTo>
                                <a:lnTo>
                                  <a:pt x="286512" y="1065276"/>
                                </a:lnTo>
                                <a:lnTo>
                                  <a:pt x="292608" y="1065276"/>
                                </a:lnTo>
                                <a:lnTo>
                                  <a:pt x="292608" y="0"/>
                                </a:lnTo>
                                <a:close/>
                              </a:path>
                              <a:path w="6865620" h="3085465">
                                <a:moveTo>
                                  <a:pt x="1374889" y="2717673"/>
                                </a:moveTo>
                                <a:lnTo>
                                  <a:pt x="1368806" y="2717673"/>
                                </a:lnTo>
                                <a:lnTo>
                                  <a:pt x="1368806" y="3084957"/>
                                </a:lnTo>
                                <a:lnTo>
                                  <a:pt x="1374889" y="3084957"/>
                                </a:lnTo>
                                <a:lnTo>
                                  <a:pt x="1374889" y="2717673"/>
                                </a:lnTo>
                                <a:close/>
                              </a:path>
                              <a:path w="6865620" h="3085465">
                                <a:moveTo>
                                  <a:pt x="1374889" y="2489073"/>
                                </a:moveTo>
                                <a:lnTo>
                                  <a:pt x="1368806" y="2489073"/>
                                </a:lnTo>
                                <a:lnTo>
                                  <a:pt x="1368806" y="2711577"/>
                                </a:lnTo>
                                <a:lnTo>
                                  <a:pt x="1374889" y="2711577"/>
                                </a:lnTo>
                                <a:lnTo>
                                  <a:pt x="1374889" y="2489073"/>
                                </a:lnTo>
                                <a:close/>
                              </a:path>
                              <a:path w="6865620" h="3085465">
                                <a:moveTo>
                                  <a:pt x="1374889" y="1821561"/>
                                </a:moveTo>
                                <a:lnTo>
                                  <a:pt x="1368806" y="1821561"/>
                                </a:lnTo>
                                <a:lnTo>
                                  <a:pt x="1368806" y="2482977"/>
                                </a:lnTo>
                                <a:lnTo>
                                  <a:pt x="1374889" y="2482977"/>
                                </a:lnTo>
                                <a:lnTo>
                                  <a:pt x="1374889" y="1821561"/>
                                </a:lnTo>
                                <a:close/>
                              </a:path>
                              <a:path w="6865620" h="3085465">
                                <a:moveTo>
                                  <a:pt x="1374889" y="1300048"/>
                                </a:moveTo>
                                <a:lnTo>
                                  <a:pt x="1368806" y="1300048"/>
                                </a:lnTo>
                                <a:lnTo>
                                  <a:pt x="1368806" y="1815465"/>
                                </a:lnTo>
                                <a:lnTo>
                                  <a:pt x="1374889" y="1815465"/>
                                </a:lnTo>
                                <a:lnTo>
                                  <a:pt x="1374889" y="1300048"/>
                                </a:lnTo>
                                <a:close/>
                              </a:path>
                              <a:path w="6865620" h="3085465">
                                <a:moveTo>
                                  <a:pt x="1374889" y="1071372"/>
                                </a:moveTo>
                                <a:lnTo>
                                  <a:pt x="1368806" y="1071372"/>
                                </a:lnTo>
                                <a:lnTo>
                                  <a:pt x="1368806" y="1293876"/>
                                </a:lnTo>
                                <a:lnTo>
                                  <a:pt x="1374889" y="1293876"/>
                                </a:lnTo>
                                <a:lnTo>
                                  <a:pt x="1374889" y="1071372"/>
                                </a:lnTo>
                                <a:close/>
                              </a:path>
                              <a:path w="6865620" h="3085465">
                                <a:moveTo>
                                  <a:pt x="2350643" y="2711589"/>
                                </a:moveTo>
                                <a:lnTo>
                                  <a:pt x="2344547" y="2711589"/>
                                </a:lnTo>
                                <a:lnTo>
                                  <a:pt x="2344547" y="2717673"/>
                                </a:lnTo>
                                <a:lnTo>
                                  <a:pt x="2350643" y="2717673"/>
                                </a:lnTo>
                                <a:lnTo>
                                  <a:pt x="2350643" y="2711589"/>
                                </a:lnTo>
                                <a:close/>
                              </a:path>
                              <a:path w="6865620" h="3085465">
                                <a:moveTo>
                                  <a:pt x="2350643" y="2482989"/>
                                </a:moveTo>
                                <a:lnTo>
                                  <a:pt x="2344547" y="2482989"/>
                                </a:lnTo>
                                <a:lnTo>
                                  <a:pt x="2344547" y="2489073"/>
                                </a:lnTo>
                                <a:lnTo>
                                  <a:pt x="2344547" y="2711577"/>
                                </a:lnTo>
                                <a:lnTo>
                                  <a:pt x="2350643" y="2711577"/>
                                </a:lnTo>
                                <a:lnTo>
                                  <a:pt x="2350643" y="2489073"/>
                                </a:lnTo>
                                <a:lnTo>
                                  <a:pt x="2350643" y="2482989"/>
                                </a:lnTo>
                                <a:close/>
                              </a:path>
                              <a:path w="6865620" h="3085465">
                                <a:moveTo>
                                  <a:pt x="2350643" y="1815477"/>
                                </a:moveTo>
                                <a:lnTo>
                                  <a:pt x="2344547" y="1815477"/>
                                </a:lnTo>
                                <a:lnTo>
                                  <a:pt x="2344547" y="1821561"/>
                                </a:lnTo>
                                <a:lnTo>
                                  <a:pt x="2344547" y="2482977"/>
                                </a:lnTo>
                                <a:lnTo>
                                  <a:pt x="2350643" y="2482977"/>
                                </a:lnTo>
                                <a:lnTo>
                                  <a:pt x="2350643" y="1821561"/>
                                </a:lnTo>
                                <a:lnTo>
                                  <a:pt x="2350643" y="1815477"/>
                                </a:lnTo>
                                <a:close/>
                              </a:path>
                              <a:path w="6865620" h="3085465">
                                <a:moveTo>
                                  <a:pt x="2350643" y="1300048"/>
                                </a:moveTo>
                                <a:lnTo>
                                  <a:pt x="2344547" y="1300048"/>
                                </a:lnTo>
                                <a:lnTo>
                                  <a:pt x="2344547" y="1815465"/>
                                </a:lnTo>
                                <a:lnTo>
                                  <a:pt x="2350643" y="1815465"/>
                                </a:lnTo>
                                <a:lnTo>
                                  <a:pt x="2350643" y="1300048"/>
                                </a:lnTo>
                                <a:close/>
                              </a:path>
                              <a:path w="6865620" h="3085465">
                                <a:moveTo>
                                  <a:pt x="2350643" y="1293888"/>
                                </a:moveTo>
                                <a:lnTo>
                                  <a:pt x="2344547" y="1293888"/>
                                </a:lnTo>
                                <a:lnTo>
                                  <a:pt x="2344547" y="1299972"/>
                                </a:lnTo>
                                <a:lnTo>
                                  <a:pt x="2350643" y="1299972"/>
                                </a:lnTo>
                                <a:lnTo>
                                  <a:pt x="2350643" y="1293888"/>
                                </a:lnTo>
                                <a:close/>
                              </a:path>
                              <a:path w="6865620" h="3085465">
                                <a:moveTo>
                                  <a:pt x="2350643" y="1071372"/>
                                </a:moveTo>
                                <a:lnTo>
                                  <a:pt x="2344547" y="1071372"/>
                                </a:lnTo>
                                <a:lnTo>
                                  <a:pt x="2344547" y="1293876"/>
                                </a:lnTo>
                                <a:lnTo>
                                  <a:pt x="2350643" y="1293876"/>
                                </a:lnTo>
                                <a:lnTo>
                                  <a:pt x="2350643" y="1071372"/>
                                </a:lnTo>
                                <a:close/>
                              </a:path>
                              <a:path w="6865620" h="3085465">
                                <a:moveTo>
                                  <a:pt x="2350643" y="0"/>
                                </a:moveTo>
                                <a:lnTo>
                                  <a:pt x="2344547" y="0"/>
                                </a:lnTo>
                                <a:lnTo>
                                  <a:pt x="2344547" y="1065276"/>
                                </a:lnTo>
                                <a:lnTo>
                                  <a:pt x="2350643" y="1065276"/>
                                </a:lnTo>
                                <a:lnTo>
                                  <a:pt x="2350643" y="0"/>
                                </a:lnTo>
                                <a:close/>
                              </a:path>
                              <a:path w="6865620" h="3085465">
                                <a:moveTo>
                                  <a:pt x="3150730" y="2711589"/>
                                </a:moveTo>
                                <a:lnTo>
                                  <a:pt x="3144647" y="2711589"/>
                                </a:lnTo>
                                <a:lnTo>
                                  <a:pt x="3144647" y="2717673"/>
                                </a:lnTo>
                                <a:lnTo>
                                  <a:pt x="3150730" y="2717673"/>
                                </a:lnTo>
                                <a:lnTo>
                                  <a:pt x="3150730" y="2711589"/>
                                </a:lnTo>
                                <a:close/>
                              </a:path>
                              <a:path w="6865620" h="3085465">
                                <a:moveTo>
                                  <a:pt x="3150730" y="2482989"/>
                                </a:moveTo>
                                <a:lnTo>
                                  <a:pt x="3144647" y="2482989"/>
                                </a:lnTo>
                                <a:lnTo>
                                  <a:pt x="3144647" y="2489073"/>
                                </a:lnTo>
                                <a:lnTo>
                                  <a:pt x="3144647" y="2711577"/>
                                </a:lnTo>
                                <a:lnTo>
                                  <a:pt x="3150730" y="2711577"/>
                                </a:lnTo>
                                <a:lnTo>
                                  <a:pt x="3150730" y="2489073"/>
                                </a:lnTo>
                                <a:lnTo>
                                  <a:pt x="3150730" y="2482989"/>
                                </a:lnTo>
                                <a:close/>
                              </a:path>
                              <a:path w="6865620" h="3085465">
                                <a:moveTo>
                                  <a:pt x="3150730" y="1815477"/>
                                </a:moveTo>
                                <a:lnTo>
                                  <a:pt x="3144647" y="1815477"/>
                                </a:lnTo>
                                <a:lnTo>
                                  <a:pt x="3144647" y="1821561"/>
                                </a:lnTo>
                                <a:lnTo>
                                  <a:pt x="3144647" y="2482977"/>
                                </a:lnTo>
                                <a:lnTo>
                                  <a:pt x="3150730" y="2482977"/>
                                </a:lnTo>
                                <a:lnTo>
                                  <a:pt x="3150730" y="1821561"/>
                                </a:lnTo>
                                <a:lnTo>
                                  <a:pt x="3150730" y="1815477"/>
                                </a:lnTo>
                                <a:close/>
                              </a:path>
                              <a:path w="6865620" h="3085465">
                                <a:moveTo>
                                  <a:pt x="3150730" y="1300048"/>
                                </a:moveTo>
                                <a:lnTo>
                                  <a:pt x="3144647" y="1300048"/>
                                </a:lnTo>
                                <a:lnTo>
                                  <a:pt x="3144647" y="1815465"/>
                                </a:lnTo>
                                <a:lnTo>
                                  <a:pt x="3150730" y="1815465"/>
                                </a:lnTo>
                                <a:lnTo>
                                  <a:pt x="3150730" y="1300048"/>
                                </a:lnTo>
                                <a:close/>
                              </a:path>
                              <a:path w="6865620" h="3085465">
                                <a:moveTo>
                                  <a:pt x="3150730" y="1293888"/>
                                </a:moveTo>
                                <a:lnTo>
                                  <a:pt x="3144647" y="1293888"/>
                                </a:lnTo>
                                <a:lnTo>
                                  <a:pt x="3144647" y="1299972"/>
                                </a:lnTo>
                                <a:lnTo>
                                  <a:pt x="3150730" y="1299972"/>
                                </a:lnTo>
                                <a:lnTo>
                                  <a:pt x="3150730" y="1293888"/>
                                </a:lnTo>
                                <a:close/>
                              </a:path>
                              <a:path w="6865620" h="3085465">
                                <a:moveTo>
                                  <a:pt x="3150730" y="1071372"/>
                                </a:moveTo>
                                <a:lnTo>
                                  <a:pt x="3144647" y="1071372"/>
                                </a:lnTo>
                                <a:lnTo>
                                  <a:pt x="3144647" y="1293876"/>
                                </a:lnTo>
                                <a:lnTo>
                                  <a:pt x="3150730" y="1293876"/>
                                </a:lnTo>
                                <a:lnTo>
                                  <a:pt x="3150730" y="1071372"/>
                                </a:lnTo>
                                <a:close/>
                              </a:path>
                              <a:path w="6865620" h="3085465">
                                <a:moveTo>
                                  <a:pt x="3150730" y="0"/>
                                </a:moveTo>
                                <a:lnTo>
                                  <a:pt x="3144647" y="0"/>
                                </a:lnTo>
                                <a:lnTo>
                                  <a:pt x="3144647" y="1065276"/>
                                </a:lnTo>
                                <a:lnTo>
                                  <a:pt x="3150730" y="1065276"/>
                                </a:lnTo>
                                <a:lnTo>
                                  <a:pt x="3150730" y="0"/>
                                </a:lnTo>
                                <a:close/>
                              </a:path>
                              <a:path w="6865620" h="3085465">
                                <a:moveTo>
                                  <a:pt x="4179697" y="2711589"/>
                                </a:moveTo>
                                <a:lnTo>
                                  <a:pt x="4173601" y="2711589"/>
                                </a:lnTo>
                                <a:lnTo>
                                  <a:pt x="4173601" y="2717673"/>
                                </a:lnTo>
                                <a:lnTo>
                                  <a:pt x="4179697" y="2717673"/>
                                </a:lnTo>
                                <a:lnTo>
                                  <a:pt x="4179697" y="2711589"/>
                                </a:lnTo>
                                <a:close/>
                              </a:path>
                              <a:path w="6865620" h="3085465">
                                <a:moveTo>
                                  <a:pt x="4179697" y="2482989"/>
                                </a:moveTo>
                                <a:lnTo>
                                  <a:pt x="4173601" y="2482989"/>
                                </a:lnTo>
                                <a:lnTo>
                                  <a:pt x="4173601" y="2489073"/>
                                </a:lnTo>
                                <a:lnTo>
                                  <a:pt x="4173601" y="2711577"/>
                                </a:lnTo>
                                <a:lnTo>
                                  <a:pt x="4179697" y="2711577"/>
                                </a:lnTo>
                                <a:lnTo>
                                  <a:pt x="4179697" y="2489073"/>
                                </a:lnTo>
                                <a:lnTo>
                                  <a:pt x="4179697" y="2482989"/>
                                </a:lnTo>
                                <a:close/>
                              </a:path>
                              <a:path w="6865620" h="3085465">
                                <a:moveTo>
                                  <a:pt x="4179697" y="1815477"/>
                                </a:moveTo>
                                <a:lnTo>
                                  <a:pt x="4173601" y="1815477"/>
                                </a:lnTo>
                                <a:lnTo>
                                  <a:pt x="4173601" y="1821561"/>
                                </a:lnTo>
                                <a:lnTo>
                                  <a:pt x="4173601" y="2482977"/>
                                </a:lnTo>
                                <a:lnTo>
                                  <a:pt x="4179697" y="2482977"/>
                                </a:lnTo>
                                <a:lnTo>
                                  <a:pt x="4179697" y="1821561"/>
                                </a:lnTo>
                                <a:lnTo>
                                  <a:pt x="4179697" y="1815477"/>
                                </a:lnTo>
                                <a:close/>
                              </a:path>
                              <a:path w="6865620" h="3085465">
                                <a:moveTo>
                                  <a:pt x="4179697" y="1300048"/>
                                </a:moveTo>
                                <a:lnTo>
                                  <a:pt x="4173601" y="1300048"/>
                                </a:lnTo>
                                <a:lnTo>
                                  <a:pt x="4173601" y="1815465"/>
                                </a:lnTo>
                                <a:lnTo>
                                  <a:pt x="4179697" y="1815465"/>
                                </a:lnTo>
                                <a:lnTo>
                                  <a:pt x="4179697" y="1300048"/>
                                </a:lnTo>
                                <a:close/>
                              </a:path>
                              <a:path w="6865620" h="3085465">
                                <a:moveTo>
                                  <a:pt x="4179697" y="1293888"/>
                                </a:moveTo>
                                <a:lnTo>
                                  <a:pt x="4173601" y="1293888"/>
                                </a:lnTo>
                                <a:lnTo>
                                  <a:pt x="4173601" y="1299972"/>
                                </a:lnTo>
                                <a:lnTo>
                                  <a:pt x="4179697" y="1299972"/>
                                </a:lnTo>
                                <a:lnTo>
                                  <a:pt x="4179697" y="1293888"/>
                                </a:lnTo>
                                <a:close/>
                              </a:path>
                              <a:path w="6865620" h="3085465">
                                <a:moveTo>
                                  <a:pt x="4179697" y="1071372"/>
                                </a:moveTo>
                                <a:lnTo>
                                  <a:pt x="4173601" y="1071372"/>
                                </a:lnTo>
                                <a:lnTo>
                                  <a:pt x="4173601" y="1293876"/>
                                </a:lnTo>
                                <a:lnTo>
                                  <a:pt x="4179697" y="1293876"/>
                                </a:lnTo>
                                <a:lnTo>
                                  <a:pt x="4179697" y="1071372"/>
                                </a:lnTo>
                                <a:close/>
                              </a:path>
                              <a:path w="6865620" h="3085465">
                                <a:moveTo>
                                  <a:pt x="4179697" y="0"/>
                                </a:moveTo>
                                <a:lnTo>
                                  <a:pt x="4173601" y="0"/>
                                </a:lnTo>
                                <a:lnTo>
                                  <a:pt x="4173601" y="1065276"/>
                                </a:lnTo>
                                <a:lnTo>
                                  <a:pt x="4179697" y="1065276"/>
                                </a:lnTo>
                                <a:lnTo>
                                  <a:pt x="4179697" y="0"/>
                                </a:lnTo>
                                <a:close/>
                              </a:path>
                              <a:path w="6865620" h="3085465">
                                <a:moveTo>
                                  <a:pt x="5605018" y="2711589"/>
                                </a:moveTo>
                                <a:lnTo>
                                  <a:pt x="5598922" y="2711589"/>
                                </a:lnTo>
                                <a:lnTo>
                                  <a:pt x="5598922" y="2717673"/>
                                </a:lnTo>
                                <a:lnTo>
                                  <a:pt x="5605018" y="2717673"/>
                                </a:lnTo>
                                <a:lnTo>
                                  <a:pt x="5605018" y="2711589"/>
                                </a:lnTo>
                                <a:close/>
                              </a:path>
                              <a:path w="6865620" h="3085465">
                                <a:moveTo>
                                  <a:pt x="5605018" y="2482989"/>
                                </a:moveTo>
                                <a:lnTo>
                                  <a:pt x="5598922" y="2482989"/>
                                </a:lnTo>
                                <a:lnTo>
                                  <a:pt x="5598922" y="2489073"/>
                                </a:lnTo>
                                <a:lnTo>
                                  <a:pt x="5598922" y="2711577"/>
                                </a:lnTo>
                                <a:lnTo>
                                  <a:pt x="5605018" y="2711577"/>
                                </a:lnTo>
                                <a:lnTo>
                                  <a:pt x="5605018" y="2489073"/>
                                </a:lnTo>
                                <a:lnTo>
                                  <a:pt x="5605018" y="2482989"/>
                                </a:lnTo>
                                <a:close/>
                              </a:path>
                              <a:path w="6865620" h="3085465">
                                <a:moveTo>
                                  <a:pt x="5605018" y="1815477"/>
                                </a:moveTo>
                                <a:lnTo>
                                  <a:pt x="5598922" y="1815477"/>
                                </a:lnTo>
                                <a:lnTo>
                                  <a:pt x="5598922" y="1821561"/>
                                </a:lnTo>
                                <a:lnTo>
                                  <a:pt x="5598922" y="2482977"/>
                                </a:lnTo>
                                <a:lnTo>
                                  <a:pt x="5605018" y="2482977"/>
                                </a:lnTo>
                                <a:lnTo>
                                  <a:pt x="5605018" y="1821561"/>
                                </a:lnTo>
                                <a:lnTo>
                                  <a:pt x="5605018" y="1815477"/>
                                </a:lnTo>
                                <a:close/>
                              </a:path>
                              <a:path w="6865620" h="3085465">
                                <a:moveTo>
                                  <a:pt x="5605018" y="1300048"/>
                                </a:moveTo>
                                <a:lnTo>
                                  <a:pt x="5598922" y="1300048"/>
                                </a:lnTo>
                                <a:lnTo>
                                  <a:pt x="5598922" y="1815465"/>
                                </a:lnTo>
                                <a:lnTo>
                                  <a:pt x="5605018" y="1815465"/>
                                </a:lnTo>
                                <a:lnTo>
                                  <a:pt x="5605018" y="1300048"/>
                                </a:lnTo>
                                <a:close/>
                              </a:path>
                              <a:path w="6865620" h="3085465">
                                <a:moveTo>
                                  <a:pt x="5605018" y="1293888"/>
                                </a:moveTo>
                                <a:lnTo>
                                  <a:pt x="5598922" y="1293888"/>
                                </a:lnTo>
                                <a:lnTo>
                                  <a:pt x="5598922" y="1299972"/>
                                </a:lnTo>
                                <a:lnTo>
                                  <a:pt x="5605018" y="1299972"/>
                                </a:lnTo>
                                <a:lnTo>
                                  <a:pt x="5605018" y="1293888"/>
                                </a:lnTo>
                                <a:close/>
                              </a:path>
                              <a:path w="6865620" h="3085465">
                                <a:moveTo>
                                  <a:pt x="5605018" y="1071372"/>
                                </a:moveTo>
                                <a:lnTo>
                                  <a:pt x="5598922" y="1071372"/>
                                </a:lnTo>
                                <a:lnTo>
                                  <a:pt x="5598922" y="1293876"/>
                                </a:lnTo>
                                <a:lnTo>
                                  <a:pt x="5605018" y="1293876"/>
                                </a:lnTo>
                                <a:lnTo>
                                  <a:pt x="5605018" y="1071372"/>
                                </a:lnTo>
                                <a:close/>
                              </a:path>
                              <a:path w="6865620" h="3085465">
                                <a:moveTo>
                                  <a:pt x="5605018" y="0"/>
                                </a:moveTo>
                                <a:lnTo>
                                  <a:pt x="5598922" y="0"/>
                                </a:lnTo>
                                <a:lnTo>
                                  <a:pt x="5598922" y="1065276"/>
                                </a:lnTo>
                                <a:lnTo>
                                  <a:pt x="5605018" y="1065276"/>
                                </a:lnTo>
                                <a:lnTo>
                                  <a:pt x="5605018" y="0"/>
                                </a:lnTo>
                                <a:close/>
                              </a:path>
                              <a:path w="6865620" h="3085465">
                                <a:moveTo>
                                  <a:pt x="6865607" y="2711589"/>
                                </a:moveTo>
                                <a:lnTo>
                                  <a:pt x="6859524" y="2711589"/>
                                </a:lnTo>
                                <a:lnTo>
                                  <a:pt x="6859524" y="2717673"/>
                                </a:lnTo>
                                <a:lnTo>
                                  <a:pt x="6865607" y="2717673"/>
                                </a:lnTo>
                                <a:lnTo>
                                  <a:pt x="6865607" y="2711589"/>
                                </a:lnTo>
                                <a:close/>
                              </a:path>
                              <a:path w="6865620" h="3085465">
                                <a:moveTo>
                                  <a:pt x="6865607" y="2482989"/>
                                </a:moveTo>
                                <a:lnTo>
                                  <a:pt x="6859524" y="2482989"/>
                                </a:lnTo>
                                <a:lnTo>
                                  <a:pt x="6859524" y="2489073"/>
                                </a:lnTo>
                                <a:lnTo>
                                  <a:pt x="6859524" y="2711577"/>
                                </a:lnTo>
                                <a:lnTo>
                                  <a:pt x="6865607" y="2711577"/>
                                </a:lnTo>
                                <a:lnTo>
                                  <a:pt x="6865607" y="2489073"/>
                                </a:lnTo>
                                <a:lnTo>
                                  <a:pt x="6865607" y="2482989"/>
                                </a:lnTo>
                                <a:close/>
                              </a:path>
                              <a:path w="6865620" h="3085465">
                                <a:moveTo>
                                  <a:pt x="6865607" y="1815477"/>
                                </a:moveTo>
                                <a:lnTo>
                                  <a:pt x="6859524" y="1815477"/>
                                </a:lnTo>
                                <a:lnTo>
                                  <a:pt x="6859524" y="1821561"/>
                                </a:lnTo>
                                <a:lnTo>
                                  <a:pt x="6859524" y="2482977"/>
                                </a:lnTo>
                                <a:lnTo>
                                  <a:pt x="6865607" y="2482977"/>
                                </a:lnTo>
                                <a:lnTo>
                                  <a:pt x="6865607" y="1821561"/>
                                </a:lnTo>
                                <a:lnTo>
                                  <a:pt x="6865607" y="1815477"/>
                                </a:lnTo>
                                <a:close/>
                              </a:path>
                              <a:path w="6865620" h="3085465">
                                <a:moveTo>
                                  <a:pt x="6865607" y="1300048"/>
                                </a:moveTo>
                                <a:lnTo>
                                  <a:pt x="6859524" y="1300048"/>
                                </a:lnTo>
                                <a:lnTo>
                                  <a:pt x="6859524" y="1815465"/>
                                </a:lnTo>
                                <a:lnTo>
                                  <a:pt x="6865607" y="1815465"/>
                                </a:lnTo>
                                <a:lnTo>
                                  <a:pt x="6865607" y="1300048"/>
                                </a:lnTo>
                                <a:close/>
                              </a:path>
                              <a:path w="6865620" h="3085465">
                                <a:moveTo>
                                  <a:pt x="6865607" y="1293888"/>
                                </a:moveTo>
                                <a:lnTo>
                                  <a:pt x="6859524" y="1293888"/>
                                </a:lnTo>
                                <a:lnTo>
                                  <a:pt x="6859524" y="1299972"/>
                                </a:lnTo>
                                <a:lnTo>
                                  <a:pt x="6865607" y="1299972"/>
                                </a:lnTo>
                                <a:lnTo>
                                  <a:pt x="6865607" y="1293888"/>
                                </a:lnTo>
                                <a:close/>
                              </a:path>
                              <a:path w="6865620" h="3085465">
                                <a:moveTo>
                                  <a:pt x="6865607" y="1071372"/>
                                </a:moveTo>
                                <a:lnTo>
                                  <a:pt x="6859524" y="1071372"/>
                                </a:lnTo>
                                <a:lnTo>
                                  <a:pt x="6859524" y="1293876"/>
                                </a:lnTo>
                                <a:lnTo>
                                  <a:pt x="6865607" y="1293876"/>
                                </a:lnTo>
                                <a:lnTo>
                                  <a:pt x="6865607" y="1071372"/>
                                </a:lnTo>
                                <a:close/>
                              </a:path>
                              <a:path w="6865620" h="3085465">
                                <a:moveTo>
                                  <a:pt x="6865607" y="0"/>
                                </a:moveTo>
                                <a:lnTo>
                                  <a:pt x="6859524" y="0"/>
                                </a:lnTo>
                                <a:lnTo>
                                  <a:pt x="6859524" y="1065276"/>
                                </a:lnTo>
                                <a:lnTo>
                                  <a:pt x="6865607" y="1065276"/>
                                </a:lnTo>
                                <a:lnTo>
                                  <a:pt x="6865607" y="0"/>
                                </a:lnTo>
                                <a:close/>
                              </a:path>
                            </a:pathLst>
                          </a:custGeom>
                          <a:solidFill>
                            <a:srgbClr val="000000"/>
                          </a:solidFill>
                        </wps:spPr>
                        <wps:bodyPr wrap="square" lIns="0" tIns="0" rIns="0" bIns="0" rtlCol="0">
                          <a:prstTxWarp prst="textNoShape">
                            <a:avLst/>
                          </a:prstTxWarp>
                          <a:noAutofit/>
                        </wps:bodyPr>
                      </wps:wsp>
                      <wps:wsp>
                        <wps:cNvPr id="71" name="Graphic 466"/>
                        <wps:cNvSpPr/>
                        <wps:spPr>
                          <a:xfrm>
                            <a:off x="0" y="2717672"/>
                            <a:ext cx="6865620" cy="1288415"/>
                          </a:xfrm>
                          <a:custGeom>
                            <a:avLst/>
                            <a:gdLst/>
                            <a:ahLst/>
                            <a:cxnLst/>
                            <a:rect l="l" t="t" r="r" b="b"/>
                            <a:pathLst>
                              <a:path w="6865620" h="1288415">
                                <a:moveTo>
                                  <a:pt x="6083" y="1053096"/>
                                </a:moveTo>
                                <a:lnTo>
                                  <a:pt x="0" y="1053096"/>
                                </a:lnTo>
                                <a:lnTo>
                                  <a:pt x="0" y="1059129"/>
                                </a:lnTo>
                                <a:lnTo>
                                  <a:pt x="0" y="1281938"/>
                                </a:lnTo>
                                <a:lnTo>
                                  <a:pt x="0" y="1288034"/>
                                </a:lnTo>
                                <a:lnTo>
                                  <a:pt x="6083" y="1288034"/>
                                </a:lnTo>
                                <a:lnTo>
                                  <a:pt x="6083" y="1281938"/>
                                </a:lnTo>
                                <a:lnTo>
                                  <a:pt x="6083" y="1059180"/>
                                </a:lnTo>
                                <a:lnTo>
                                  <a:pt x="6083" y="1053096"/>
                                </a:lnTo>
                                <a:close/>
                              </a:path>
                              <a:path w="6865620" h="1288415">
                                <a:moveTo>
                                  <a:pt x="6083" y="824496"/>
                                </a:moveTo>
                                <a:lnTo>
                                  <a:pt x="0" y="824496"/>
                                </a:lnTo>
                                <a:lnTo>
                                  <a:pt x="0" y="830580"/>
                                </a:lnTo>
                                <a:lnTo>
                                  <a:pt x="0" y="1053084"/>
                                </a:lnTo>
                                <a:lnTo>
                                  <a:pt x="6083" y="1053084"/>
                                </a:lnTo>
                                <a:lnTo>
                                  <a:pt x="6083" y="830580"/>
                                </a:lnTo>
                                <a:lnTo>
                                  <a:pt x="6083" y="824496"/>
                                </a:lnTo>
                                <a:close/>
                              </a:path>
                              <a:path w="6865620" h="1288415">
                                <a:moveTo>
                                  <a:pt x="6083" y="595896"/>
                                </a:moveTo>
                                <a:lnTo>
                                  <a:pt x="0" y="595896"/>
                                </a:lnTo>
                                <a:lnTo>
                                  <a:pt x="0" y="601980"/>
                                </a:lnTo>
                                <a:lnTo>
                                  <a:pt x="0" y="824484"/>
                                </a:lnTo>
                                <a:lnTo>
                                  <a:pt x="6083" y="824484"/>
                                </a:lnTo>
                                <a:lnTo>
                                  <a:pt x="6083" y="601980"/>
                                </a:lnTo>
                                <a:lnTo>
                                  <a:pt x="6083" y="595896"/>
                                </a:lnTo>
                                <a:close/>
                              </a:path>
                              <a:path w="6865620" h="1288415">
                                <a:moveTo>
                                  <a:pt x="6083" y="367296"/>
                                </a:moveTo>
                                <a:lnTo>
                                  <a:pt x="0" y="367296"/>
                                </a:lnTo>
                                <a:lnTo>
                                  <a:pt x="0" y="373380"/>
                                </a:lnTo>
                                <a:lnTo>
                                  <a:pt x="0" y="595884"/>
                                </a:lnTo>
                                <a:lnTo>
                                  <a:pt x="6083" y="595884"/>
                                </a:lnTo>
                                <a:lnTo>
                                  <a:pt x="6083" y="373380"/>
                                </a:lnTo>
                                <a:lnTo>
                                  <a:pt x="6083" y="367296"/>
                                </a:lnTo>
                                <a:close/>
                              </a:path>
                              <a:path w="6865620" h="1288415">
                                <a:moveTo>
                                  <a:pt x="292608" y="1053096"/>
                                </a:moveTo>
                                <a:lnTo>
                                  <a:pt x="286512" y="1053096"/>
                                </a:lnTo>
                                <a:lnTo>
                                  <a:pt x="286512" y="1059129"/>
                                </a:lnTo>
                                <a:lnTo>
                                  <a:pt x="286512" y="1281938"/>
                                </a:lnTo>
                                <a:lnTo>
                                  <a:pt x="286512" y="1288034"/>
                                </a:lnTo>
                                <a:lnTo>
                                  <a:pt x="292608" y="1288034"/>
                                </a:lnTo>
                                <a:lnTo>
                                  <a:pt x="292608" y="1281938"/>
                                </a:lnTo>
                                <a:lnTo>
                                  <a:pt x="292608" y="1059180"/>
                                </a:lnTo>
                                <a:lnTo>
                                  <a:pt x="292608" y="1053096"/>
                                </a:lnTo>
                                <a:close/>
                              </a:path>
                              <a:path w="6865620" h="1288415">
                                <a:moveTo>
                                  <a:pt x="292608" y="824496"/>
                                </a:moveTo>
                                <a:lnTo>
                                  <a:pt x="286512" y="824496"/>
                                </a:lnTo>
                                <a:lnTo>
                                  <a:pt x="286512" y="830580"/>
                                </a:lnTo>
                                <a:lnTo>
                                  <a:pt x="286512" y="1053084"/>
                                </a:lnTo>
                                <a:lnTo>
                                  <a:pt x="292608" y="1053084"/>
                                </a:lnTo>
                                <a:lnTo>
                                  <a:pt x="292608" y="830580"/>
                                </a:lnTo>
                                <a:lnTo>
                                  <a:pt x="292608" y="824496"/>
                                </a:lnTo>
                                <a:close/>
                              </a:path>
                              <a:path w="6865620" h="1288415">
                                <a:moveTo>
                                  <a:pt x="292608" y="595896"/>
                                </a:moveTo>
                                <a:lnTo>
                                  <a:pt x="286512" y="595896"/>
                                </a:lnTo>
                                <a:lnTo>
                                  <a:pt x="286512" y="601980"/>
                                </a:lnTo>
                                <a:lnTo>
                                  <a:pt x="286512" y="824484"/>
                                </a:lnTo>
                                <a:lnTo>
                                  <a:pt x="292608" y="824484"/>
                                </a:lnTo>
                                <a:lnTo>
                                  <a:pt x="292608" y="601980"/>
                                </a:lnTo>
                                <a:lnTo>
                                  <a:pt x="292608" y="595896"/>
                                </a:lnTo>
                                <a:close/>
                              </a:path>
                              <a:path w="6865620" h="1288415">
                                <a:moveTo>
                                  <a:pt x="292608" y="367296"/>
                                </a:moveTo>
                                <a:lnTo>
                                  <a:pt x="286512" y="367296"/>
                                </a:lnTo>
                                <a:lnTo>
                                  <a:pt x="286512" y="373380"/>
                                </a:lnTo>
                                <a:lnTo>
                                  <a:pt x="286512" y="595884"/>
                                </a:lnTo>
                                <a:lnTo>
                                  <a:pt x="292608" y="595884"/>
                                </a:lnTo>
                                <a:lnTo>
                                  <a:pt x="292608" y="373380"/>
                                </a:lnTo>
                                <a:lnTo>
                                  <a:pt x="292608" y="367296"/>
                                </a:lnTo>
                                <a:close/>
                              </a:path>
                              <a:path w="6865620" h="1288415">
                                <a:moveTo>
                                  <a:pt x="1374889" y="1059129"/>
                                </a:moveTo>
                                <a:lnTo>
                                  <a:pt x="1368806" y="1059129"/>
                                </a:lnTo>
                                <a:lnTo>
                                  <a:pt x="1368806" y="1281938"/>
                                </a:lnTo>
                                <a:lnTo>
                                  <a:pt x="1374889" y="1281938"/>
                                </a:lnTo>
                                <a:lnTo>
                                  <a:pt x="1374889" y="1059129"/>
                                </a:lnTo>
                                <a:close/>
                              </a:path>
                              <a:path w="6865620" h="1288415">
                                <a:moveTo>
                                  <a:pt x="1374889" y="830580"/>
                                </a:moveTo>
                                <a:lnTo>
                                  <a:pt x="1368806" y="830580"/>
                                </a:lnTo>
                                <a:lnTo>
                                  <a:pt x="1368806" y="1053084"/>
                                </a:lnTo>
                                <a:lnTo>
                                  <a:pt x="1374889" y="1053084"/>
                                </a:lnTo>
                                <a:lnTo>
                                  <a:pt x="1374889" y="830580"/>
                                </a:lnTo>
                                <a:close/>
                              </a:path>
                              <a:path w="6865620" h="1288415">
                                <a:moveTo>
                                  <a:pt x="1374889" y="601980"/>
                                </a:moveTo>
                                <a:lnTo>
                                  <a:pt x="1368806" y="601980"/>
                                </a:lnTo>
                                <a:lnTo>
                                  <a:pt x="1368806" y="824484"/>
                                </a:lnTo>
                                <a:lnTo>
                                  <a:pt x="1374889" y="824484"/>
                                </a:lnTo>
                                <a:lnTo>
                                  <a:pt x="1374889" y="601980"/>
                                </a:lnTo>
                                <a:close/>
                              </a:path>
                              <a:path w="6865620" h="1288415">
                                <a:moveTo>
                                  <a:pt x="1374889" y="373380"/>
                                </a:moveTo>
                                <a:lnTo>
                                  <a:pt x="1368806" y="373380"/>
                                </a:lnTo>
                                <a:lnTo>
                                  <a:pt x="1368806" y="595884"/>
                                </a:lnTo>
                                <a:lnTo>
                                  <a:pt x="1374889" y="595884"/>
                                </a:lnTo>
                                <a:lnTo>
                                  <a:pt x="1374889" y="373380"/>
                                </a:lnTo>
                                <a:close/>
                              </a:path>
                              <a:path w="6865620" h="1288415">
                                <a:moveTo>
                                  <a:pt x="1374889" y="0"/>
                                </a:moveTo>
                                <a:lnTo>
                                  <a:pt x="1368806" y="0"/>
                                </a:lnTo>
                                <a:lnTo>
                                  <a:pt x="1368806" y="367284"/>
                                </a:lnTo>
                                <a:lnTo>
                                  <a:pt x="1374889" y="367284"/>
                                </a:lnTo>
                                <a:lnTo>
                                  <a:pt x="1374889" y="0"/>
                                </a:lnTo>
                                <a:close/>
                              </a:path>
                              <a:path w="6865620" h="1288415">
                                <a:moveTo>
                                  <a:pt x="2350643" y="1053096"/>
                                </a:moveTo>
                                <a:lnTo>
                                  <a:pt x="2344547" y="1053096"/>
                                </a:lnTo>
                                <a:lnTo>
                                  <a:pt x="2344547" y="1059129"/>
                                </a:lnTo>
                                <a:lnTo>
                                  <a:pt x="2344547" y="1281938"/>
                                </a:lnTo>
                                <a:lnTo>
                                  <a:pt x="2344547" y="1288034"/>
                                </a:lnTo>
                                <a:lnTo>
                                  <a:pt x="2350643" y="1288034"/>
                                </a:lnTo>
                                <a:lnTo>
                                  <a:pt x="2350643" y="1281938"/>
                                </a:lnTo>
                                <a:lnTo>
                                  <a:pt x="2350643" y="1059180"/>
                                </a:lnTo>
                                <a:lnTo>
                                  <a:pt x="2350643" y="1053096"/>
                                </a:lnTo>
                                <a:close/>
                              </a:path>
                              <a:path w="6865620" h="1288415">
                                <a:moveTo>
                                  <a:pt x="2350643" y="824496"/>
                                </a:moveTo>
                                <a:lnTo>
                                  <a:pt x="2344547" y="824496"/>
                                </a:lnTo>
                                <a:lnTo>
                                  <a:pt x="2344547" y="830580"/>
                                </a:lnTo>
                                <a:lnTo>
                                  <a:pt x="2344547" y="1053084"/>
                                </a:lnTo>
                                <a:lnTo>
                                  <a:pt x="2350643" y="1053084"/>
                                </a:lnTo>
                                <a:lnTo>
                                  <a:pt x="2350643" y="830580"/>
                                </a:lnTo>
                                <a:lnTo>
                                  <a:pt x="2350643" y="824496"/>
                                </a:lnTo>
                                <a:close/>
                              </a:path>
                              <a:path w="6865620" h="1288415">
                                <a:moveTo>
                                  <a:pt x="2350643" y="595896"/>
                                </a:moveTo>
                                <a:lnTo>
                                  <a:pt x="2344547" y="595896"/>
                                </a:lnTo>
                                <a:lnTo>
                                  <a:pt x="2344547" y="601980"/>
                                </a:lnTo>
                                <a:lnTo>
                                  <a:pt x="2344547" y="824484"/>
                                </a:lnTo>
                                <a:lnTo>
                                  <a:pt x="2350643" y="824484"/>
                                </a:lnTo>
                                <a:lnTo>
                                  <a:pt x="2350643" y="601980"/>
                                </a:lnTo>
                                <a:lnTo>
                                  <a:pt x="2350643" y="595896"/>
                                </a:lnTo>
                                <a:close/>
                              </a:path>
                              <a:path w="6865620" h="1288415">
                                <a:moveTo>
                                  <a:pt x="2350643" y="367296"/>
                                </a:moveTo>
                                <a:lnTo>
                                  <a:pt x="2344547" y="367296"/>
                                </a:lnTo>
                                <a:lnTo>
                                  <a:pt x="2344547" y="373380"/>
                                </a:lnTo>
                                <a:lnTo>
                                  <a:pt x="2344547" y="595884"/>
                                </a:lnTo>
                                <a:lnTo>
                                  <a:pt x="2350643" y="595884"/>
                                </a:lnTo>
                                <a:lnTo>
                                  <a:pt x="2350643" y="373380"/>
                                </a:lnTo>
                                <a:lnTo>
                                  <a:pt x="2350643" y="367296"/>
                                </a:lnTo>
                                <a:close/>
                              </a:path>
                              <a:path w="6865620" h="1288415">
                                <a:moveTo>
                                  <a:pt x="2350643" y="0"/>
                                </a:moveTo>
                                <a:lnTo>
                                  <a:pt x="2344547" y="0"/>
                                </a:lnTo>
                                <a:lnTo>
                                  <a:pt x="2344547" y="367284"/>
                                </a:lnTo>
                                <a:lnTo>
                                  <a:pt x="2350643" y="367284"/>
                                </a:lnTo>
                                <a:lnTo>
                                  <a:pt x="2350643" y="0"/>
                                </a:lnTo>
                                <a:close/>
                              </a:path>
                              <a:path w="6865620" h="1288415">
                                <a:moveTo>
                                  <a:pt x="3150730" y="1053096"/>
                                </a:moveTo>
                                <a:lnTo>
                                  <a:pt x="3144647" y="1053096"/>
                                </a:lnTo>
                                <a:lnTo>
                                  <a:pt x="3144647" y="1059129"/>
                                </a:lnTo>
                                <a:lnTo>
                                  <a:pt x="3144647" y="1281938"/>
                                </a:lnTo>
                                <a:lnTo>
                                  <a:pt x="3144647" y="1288034"/>
                                </a:lnTo>
                                <a:lnTo>
                                  <a:pt x="3150730" y="1288034"/>
                                </a:lnTo>
                                <a:lnTo>
                                  <a:pt x="3150730" y="1281938"/>
                                </a:lnTo>
                                <a:lnTo>
                                  <a:pt x="3150730" y="1059180"/>
                                </a:lnTo>
                                <a:lnTo>
                                  <a:pt x="3150730" y="1053096"/>
                                </a:lnTo>
                                <a:close/>
                              </a:path>
                              <a:path w="6865620" h="1288415">
                                <a:moveTo>
                                  <a:pt x="3150730" y="824496"/>
                                </a:moveTo>
                                <a:lnTo>
                                  <a:pt x="3144647" y="824496"/>
                                </a:lnTo>
                                <a:lnTo>
                                  <a:pt x="3144647" y="830580"/>
                                </a:lnTo>
                                <a:lnTo>
                                  <a:pt x="3144647" y="1053084"/>
                                </a:lnTo>
                                <a:lnTo>
                                  <a:pt x="3150730" y="1053084"/>
                                </a:lnTo>
                                <a:lnTo>
                                  <a:pt x="3150730" y="830580"/>
                                </a:lnTo>
                                <a:lnTo>
                                  <a:pt x="3150730" y="824496"/>
                                </a:lnTo>
                                <a:close/>
                              </a:path>
                              <a:path w="6865620" h="1288415">
                                <a:moveTo>
                                  <a:pt x="3150730" y="595896"/>
                                </a:moveTo>
                                <a:lnTo>
                                  <a:pt x="3144647" y="595896"/>
                                </a:lnTo>
                                <a:lnTo>
                                  <a:pt x="3144647" y="601980"/>
                                </a:lnTo>
                                <a:lnTo>
                                  <a:pt x="3144647" y="824484"/>
                                </a:lnTo>
                                <a:lnTo>
                                  <a:pt x="3150730" y="824484"/>
                                </a:lnTo>
                                <a:lnTo>
                                  <a:pt x="3150730" y="601980"/>
                                </a:lnTo>
                                <a:lnTo>
                                  <a:pt x="3150730" y="595896"/>
                                </a:lnTo>
                                <a:close/>
                              </a:path>
                              <a:path w="6865620" h="1288415">
                                <a:moveTo>
                                  <a:pt x="3150730" y="367296"/>
                                </a:moveTo>
                                <a:lnTo>
                                  <a:pt x="3144647" y="367296"/>
                                </a:lnTo>
                                <a:lnTo>
                                  <a:pt x="3144647" y="373380"/>
                                </a:lnTo>
                                <a:lnTo>
                                  <a:pt x="3144647" y="595884"/>
                                </a:lnTo>
                                <a:lnTo>
                                  <a:pt x="3150730" y="595884"/>
                                </a:lnTo>
                                <a:lnTo>
                                  <a:pt x="3150730" y="373380"/>
                                </a:lnTo>
                                <a:lnTo>
                                  <a:pt x="3150730" y="367296"/>
                                </a:lnTo>
                                <a:close/>
                              </a:path>
                              <a:path w="6865620" h="1288415">
                                <a:moveTo>
                                  <a:pt x="3150730" y="0"/>
                                </a:moveTo>
                                <a:lnTo>
                                  <a:pt x="3144647" y="0"/>
                                </a:lnTo>
                                <a:lnTo>
                                  <a:pt x="3144647" y="367284"/>
                                </a:lnTo>
                                <a:lnTo>
                                  <a:pt x="3150730" y="367284"/>
                                </a:lnTo>
                                <a:lnTo>
                                  <a:pt x="3150730" y="0"/>
                                </a:lnTo>
                                <a:close/>
                              </a:path>
                              <a:path w="6865620" h="1288415">
                                <a:moveTo>
                                  <a:pt x="4179697" y="1053096"/>
                                </a:moveTo>
                                <a:lnTo>
                                  <a:pt x="4173601" y="1053096"/>
                                </a:lnTo>
                                <a:lnTo>
                                  <a:pt x="4173601" y="1059129"/>
                                </a:lnTo>
                                <a:lnTo>
                                  <a:pt x="4173601" y="1281938"/>
                                </a:lnTo>
                                <a:lnTo>
                                  <a:pt x="4173601" y="1288034"/>
                                </a:lnTo>
                                <a:lnTo>
                                  <a:pt x="4179697" y="1288034"/>
                                </a:lnTo>
                                <a:lnTo>
                                  <a:pt x="4179697" y="1281938"/>
                                </a:lnTo>
                                <a:lnTo>
                                  <a:pt x="4179697" y="1059180"/>
                                </a:lnTo>
                                <a:lnTo>
                                  <a:pt x="4179697" y="1053096"/>
                                </a:lnTo>
                                <a:close/>
                              </a:path>
                              <a:path w="6865620" h="1288415">
                                <a:moveTo>
                                  <a:pt x="4179697" y="824496"/>
                                </a:moveTo>
                                <a:lnTo>
                                  <a:pt x="4173601" y="824496"/>
                                </a:lnTo>
                                <a:lnTo>
                                  <a:pt x="4173601" y="830580"/>
                                </a:lnTo>
                                <a:lnTo>
                                  <a:pt x="4173601" y="1053084"/>
                                </a:lnTo>
                                <a:lnTo>
                                  <a:pt x="4179697" y="1053084"/>
                                </a:lnTo>
                                <a:lnTo>
                                  <a:pt x="4179697" y="830580"/>
                                </a:lnTo>
                                <a:lnTo>
                                  <a:pt x="4179697" y="824496"/>
                                </a:lnTo>
                                <a:close/>
                              </a:path>
                              <a:path w="6865620" h="1288415">
                                <a:moveTo>
                                  <a:pt x="4179697" y="595896"/>
                                </a:moveTo>
                                <a:lnTo>
                                  <a:pt x="4173601" y="595896"/>
                                </a:lnTo>
                                <a:lnTo>
                                  <a:pt x="4173601" y="601980"/>
                                </a:lnTo>
                                <a:lnTo>
                                  <a:pt x="4173601" y="824484"/>
                                </a:lnTo>
                                <a:lnTo>
                                  <a:pt x="4179697" y="824484"/>
                                </a:lnTo>
                                <a:lnTo>
                                  <a:pt x="4179697" y="601980"/>
                                </a:lnTo>
                                <a:lnTo>
                                  <a:pt x="4179697" y="595896"/>
                                </a:lnTo>
                                <a:close/>
                              </a:path>
                              <a:path w="6865620" h="1288415">
                                <a:moveTo>
                                  <a:pt x="4179697" y="367296"/>
                                </a:moveTo>
                                <a:lnTo>
                                  <a:pt x="4173601" y="367296"/>
                                </a:lnTo>
                                <a:lnTo>
                                  <a:pt x="4173601" y="373380"/>
                                </a:lnTo>
                                <a:lnTo>
                                  <a:pt x="4173601" y="595884"/>
                                </a:lnTo>
                                <a:lnTo>
                                  <a:pt x="4179697" y="595884"/>
                                </a:lnTo>
                                <a:lnTo>
                                  <a:pt x="4179697" y="373380"/>
                                </a:lnTo>
                                <a:lnTo>
                                  <a:pt x="4179697" y="367296"/>
                                </a:lnTo>
                                <a:close/>
                              </a:path>
                              <a:path w="6865620" h="1288415">
                                <a:moveTo>
                                  <a:pt x="4179697" y="0"/>
                                </a:moveTo>
                                <a:lnTo>
                                  <a:pt x="4173601" y="0"/>
                                </a:lnTo>
                                <a:lnTo>
                                  <a:pt x="4173601" y="367284"/>
                                </a:lnTo>
                                <a:lnTo>
                                  <a:pt x="4179697" y="367284"/>
                                </a:lnTo>
                                <a:lnTo>
                                  <a:pt x="4179697" y="0"/>
                                </a:lnTo>
                                <a:close/>
                              </a:path>
                              <a:path w="6865620" h="1288415">
                                <a:moveTo>
                                  <a:pt x="5605018" y="1053096"/>
                                </a:moveTo>
                                <a:lnTo>
                                  <a:pt x="5598922" y="1053096"/>
                                </a:lnTo>
                                <a:lnTo>
                                  <a:pt x="5598922" y="1059129"/>
                                </a:lnTo>
                                <a:lnTo>
                                  <a:pt x="5598922" y="1281938"/>
                                </a:lnTo>
                                <a:lnTo>
                                  <a:pt x="5605018" y="1281938"/>
                                </a:lnTo>
                                <a:lnTo>
                                  <a:pt x="5605018" y="1059180"/>
                                </a:lnTo>
                                <a:lnTo>
                                  <a:pt x="5605018" y="1053096"/>
                                </a:lnTo>
                                <a:close/>
                              </a:path>
                              <a:path w="6865620" h="1288415">
                                <a:moveTo>
                                  <a:pt x="5605018" y="824496"/>
                                </a:moveTo>
                                <a:lnTo>
                                  <a:pt x="5598922" y="824496"/>
                                </a:lnTo>
                                <a:lnTo>
                                  <a:pt x="5598922" y="830580"/>
                                </a:lnTo>
                                <a:lnTo>
                                  <a:pt x="5598922" y="1053084"/>
                                </a:lnTo>
                                <a:lnTo>
                                  <a:pt x="5605018" y="1053084"/>
                                </a:lnTo>
                                <a:lnTo>
                                  <a:pt x="5605018" y="830580"/>
                                </a:lnTo>
                                <a:lnTo>
                                  <a:pt x="5605018" y="824496"/>
                                </a:lnTo>
                                <a:close/>
                              </a:path>
                              <a:path w="6865620" h="1288415">
                                <a:moveTo>
                                  <a:pt x="5605018" y="595896"/>
                                </a:moveTo>
                                <a:lnTo>
                                  <a:pt x="5598922" y="595896"/>
                                </a:lnTo>
                                <a:lnTo>
                                  <a:pt x="5598922" y="601980"/>
                                </a:lnTo>
                                <a:lnTo>
                                  <a:pt x="5598922" y="824484"/>
                                </a:lnTo>
                                <a:lnTo>
                                  <a:pt x="5605018" y="824484"/>
                                </a:lnTo>
                                <a:lnTo>
                                  <a:pt x="5605018" y="601980"/>
                                </a:lnTo>
                                <a:lnTo>
                                  <a:pt x="5605018" y="595896"/>
                                </a:lnTo>
                                <a:close/>
                              </a:path>
                              <a:path w="6865620" h="1288415">
                                <a:moveTo>
                                  <a:pt x="5605018" y="367296"/>
                                </a:moveTo>
                                <a:lnTo>
                                  <a:pt x="5598922" y="367296"/>
                                </a:lnTo>
                                <a:lnTo>
                                  <a:pt x="5598922" y="373380"/>
                                </a:lnTo>
                                <a:lnTo>
                                  <a:pt x="5598922" y="595884"/>
                                </a:lnTo>
                                <a:lnTo>
                                  <a:pt x="5605018" y="595884"/>
                                </a:lnTo>
                                <a:lnTo>
                                  <a:pt x="5605018" y="373380"/>
                                </a:lnTo>
                                <a:lnTo>
                                  <a:pt x="5605018" y="367296"/>
                                </a:lnTo>
                                <a:close/>
                              </a:path>
                              <a:path w="6865620" h="1288415">
                                <a:moveTo>
                                  <a:pt x="5605018" y="0"/>
                                </a:moveTo>
                                <a:lnTo>
                                  <a:pt x="5598922" y="0"/>
                                </a:lnTo>
                                <a:lnTo>
                                  <a:pt x="5598922" y="367284"/>
                                </a:lnTo>
                                <a:lnTo>
                                  <a:pt x="5605018" y="367284"/>
                                </a:lnTo>
                                <a:lnTo>
                                  <a:pt x="5605018" y="0"/>
                                </a:lnTo>
                                <a:close/>
                              </a:path>
                              <a:path w="6865620" h="1288415">
                                <a:moveTo>
                                  <a:pt x="6865607" y="1053096"/>
                                </a:moveTo>
                                <a:lnTo>
                                  <a:pt x="6859524" y="1053096"/>
                                </a:lnTo>
                                <a:lnTo>
                                  <a:pt x="6859524" y="1059129"/>
                                </a:lnTo>
                                <a:lnTo>
                                  <a:pt x="6859524" y="1281938"/>
                                </a:lnTo>
                                <a:lnTo>
                                  <a:pt x="6865607" y="1281938"/>
                                </a:lnTo>
                                <a:lnTo>
                                  <a:pt x="6865607" y="1059180"/>
                                </a:lnTo>
                                <a:lnTo>
                                  <a:pt x="6865607" y="1053096"/>
                                </a:lnTo>
                                <a:close/>
                              </a:path>
                              <a:path w="6865620" h="1288415">
                                <a:moveTo>
                                  <a:pt x="6865607" y="824496"/>
                                </a:moveTo>
                                <a:lnTo>
                                  <a:pt x="6859524" y="824496"/>
                                </a:lnTo>
                                <a:lnTo>
                                  <a:pt x="6859524" y="830580"/>
                                </a:lnTo>
                                <a:lnTo>
                                  <a:pt x="6859524" y="1053084"/>
                                </a:lnTo>
                                <a:lnTo>
                                  <a:pt x="6865607" y="1053084"/>
                                </a:lnTo>
                                <a:lnTo>
                                  <a:pt x="6865607" y="830580"/>
                                </a:lnTo>
                                <a:lnTo>
                                  <a:pt x="6865607" y="824496"/>
                                </a:lnTo>
                                <a:close/>
                              </a:path>
                              <a:path w="6865620" h="1288415">
                                <a:moveTo>
                                  <a:pt x="6865607" y="595896"/>
                                </a:moveTo>
                                <a:lnTo>
                                  <a:pt x="6859524" y="595896"/>
                                </a:lnTo>
                                <a:lnTo>
                                  <a:pt x="6859524" y="601980"/>
                                </a:lnTo>
                                <a:lnTo>
                                  <a:pt x="6859524" y="824484"/>
                                </a:lnTo>
                                <a:lnTo>
                                  <a:pt x="6865607" y="824484"/>
                                </a:lnTo>
                                <a:lnTo>
                                  <a:pt x="6865607" y="601980"/>
                                </a:lnTo>
                                <a:lnTo>
                                  <a:pt x="6865607" y="595896"/>
                                </a:lnTo>
                                <a:close/>
                              </a:path>
                              <a:path w="6865620" h="1288415">
                                <a:moveTo>
                                  <a:pt x="6865607" y="367296"/>
                                </a:moveTo>
                                <a:lnTo>
                                  <a:pt x="6859524" y="367296"/>
                                </a:lnTo>
                                <a:lnTo>
                                  <a:pt x="6859524" y="373380"/>
                                </a:lnTo>
                                <a:lnTo>
                                  <a:pt x="6859524" y="595884"/>
                                </a:lnTo>
                                <a:lnTo>
                                  <a:pt x="6865607" y="595884"/>
                                </a:lnTo>
                                <a:lnTo>
                                  <a:pt x="6865607" y="373380"/>
                                </a:lnTo>
                                <a:lnTo>
                                  <a:pt x="6865607" y="367296"/>
                                </a:lnTo>
                                <a:close/>
                              </a:path>
                              <a:path w="6865620" h="1288415">
                                <a:moveTo>
                                  <a:pt x="6865607" y="0"/>
                                </a:moveTo>
                                <a:lnTo>
                                  <a:pt x="6859524" y="0"/>
                                </a:lnTo>
                                <a:lnTo>
                                  <a:pt x="6859524" y="367284"/>
                                </a:lnTo>
                                <a:lnTo>
                                  <a:pt x="6865607" y="367284"/>
                                </a:lnTo>
                                <a:lnTo>
                                  <a:pt x="6865607" y="0"/>
                                </a:lnTo>
                                <a:close/>
                              </a:path>
                            </a:pathLst>
                          </a:custGeom>
                          <a:solidFill>
                            <a:srgbClr val="000000"/>
                          </a:solidFill>
                        </wps:spPr>
                        <wps:bodyPr wrap="square" lIns="0" tIns="0" rIns="0" bIns="0" rtlCol="0">
                          <a:prstTxWarp prst="textNoShape">
                            <a:avLst/>
                          </a:prstTxWarp>
                          <a:noAutofit/>
                        </wps:bodyPr>
                      </wps:wsp>
                      <wps:wsp>
                        <wps:cNvPr id="72" name="Graphic 467"/>
                        <wps:cNvSpPr/>
                        <wps:spPr>
                          <a:xfrm>
                            <a:off x="0" y="3999610"/>
                            <a:ext cx="6865620" cy="375285"/>
                          </a:xfrm>
                          <a:custGeom>
                            <a:avLst/>
                            <a:gdLst/>
                            <a:ahLst/>
                            <a:cxnLst/>
                            <a:rect l="l" t="t" r="r" b="b"/>
                            <a:pathLst>
                              <a:path w="6865620" h="375285">
                                <a:moveTo>
                                  <a:pt x="6083" y="6096"/>
                                </a:moveTo>
                                <a:lnTo>
                                  <a:pt x="0" y="6096"/>
                                </a:lnTo>
                                <a:lnTo>
                                  <a:pt x="0" y="374904"/>
                                </a:lnTo>
                                <a:lnTo>
                                  <a:pt x="6083" y="374904"/>
                                </a:lnTo>
                                <a:lnTo>
                                  <a:pt x="6083" y="6096"/>
                                </a:lnTo>
                                <a:close/>
                              </a:path>
                              <a:path w="6865620" h="375285">
                                <a:moveTo>
                                  <a:pt x="292608" y="6096"/>
                                </a:moveTo>
                                <a:lnTo>
                                  <a:pt x="286512" y="6096"/>
                                </a:lnTo>
                                <a:lnTo>
                                  <a:pt x="286512" y="374904"/>
                                </a:lnTo>
                                <a:lnTo>
                                  <a:pt x="292608" y="374904"/>
                                </a:lnTo>
                                <a:lnTo>
                                  <a:pt x="292608" y="6096"/>
                                </a:lnTo>
                                <a:close/>
                              </a:path>
                              <a:path w="6865620" h="375285">
                                <a:moveTo>
                                  <a:pt x="1374889" y="6096"/>
                                </a:moveTo>
                                <a:lnTo>
                                  <a:pt x="1368806" y="6096"/>
                                </a:lnTo>
                                <a:lnTo>
                                  <a:pt x="1368806" y="374904"/>
                                </a:lnTo>
                                <a:lnTo>
                                  <a:pt x="1374889" y="374904"/>
                                </a:lnTo>
                                <a:lnTo>
                                  <a:pt x="1374889" y="6096"/>
                                </a:lnTo>
                                <a:close/>
                              </a:path>
                              <a:path w="6865620" h="375285">
                                <a:moveTo>
                                  <a:pt x="2350643" y="6096"/>
                                </a:moveTo>
                                <a:lnTo>
                                  <a:pt x="2344547" y="6096"/>
                                </a:lnTo>
                                <a:lnTo>
                                  <a:pt x="2344547" y="374904"/>
                                </a:lnTo>
                                <a:lnTo>
                                  <a:pt x="2350643" y="374904"/>
                                </a:lnTo>
                                <a:lnTo>
                                  <a:pt x="2350643" y="6096"/>
                                </a:lnTo>
                                <a:close/>
                              </a:path>
                              <a:path w="6865620" h="375285">
                                <a:moveTo>
                                  <a:pt x="3150730" y="6096"/>
                                </a:moveTo>
                                <a:lnTo>
                                  <a:pt x="3144647" y="6096"/>
                                </a:lnTo>
                                <a:lnTo>
                                  <a:pt x="3144647" y="374904"/>
                                </a:lnTo>
                                <a:lnTo>
                                  <a:pt x="3150730" y="374904"/>
                                </a:lnTo>
                                <a:lnTo>
                                  <a:pt x="3150730" y="6096"/>
                                </a:lnTo>
                                <a:close/>
                              </a:path>
                              <a:path w="6865620" h="375285">
                                <a:moveTo>
                                  <a:pt x="4179697" y="0"/>
                                </a:moveTo>
                                <a:lnTo>
                                  <a:pt x="4173601" y="0"/>
                                </a:lnTo>
                                <a:lnTo>
                                  <a:pt x="4173601" y="6096"/>
                                </a:lnTo>
                                <a:lnTo>
                                  <a:pt x="4173601" y="374904"/>
                                </a:lnTo>
                                <a:lnTo>
                                  <a:pt x="4179697" y="374904"/>
                                </a:lnTo>
                                <a:lnTo>
                                  <a:pt x="4179697" y="6096"/>
                                </a:lnTo>
                                <a:lnTo>
                                  <a:pt x="4179697" y="0"/>
                                </a:lnTo>
                                <a:close/>
                              </a:path>
                              <a:path w="6865620" h="375285">
                                <a:moveTo>
                                  <a:pt x="5605018" y="0"/>
                                </a:moveTo>
                                <a:lnTo>
                                  <a:pt x="5598922" y="0"/>
                                </a:lnTo>
                                <a:lnTo>
                                  <a:pt x="5598922" y="6096"/>
                                </a:lnTo>
                                <a:lnTo>
                                  <a:pt x="5598922" y="374904"/>
                                </a:lnTo>
                                <a:lnTo>
                                  <a:pt x="5605018" y="374904"/>
                                </a:lnTo>
                                <a:lnTo>
                                  <a:pt x="5605018" y="6096"/>
                                </a:lnTo>
                                <a:lnTo>
                                  <a:pt x="5605018" y="0"/>
                                </a:lnTo>
                                <a:close/>
                              </a:path>
                              <a:path w="6865620" h="375285">
                                <a:moveTo>
                                  <a:pt x="6865607" y="0"/>
                                </a:moveTo>
                                <a:lnTo>
                                  <a:pt x="6859524" y="0"/>
                                </a:lnTo>
                                <a:lnTo>
                                  <a:pt x="6859524" y="6096"/>
                                </a:lnTo>
                                <a:lnTo>
                                  <a:pt x="6859524" y="374904"/>
                                </a:lnTo>
                                <a:lnTo>
                                  <a:pt x="6865607" y="374904"/>
                                </a:lnTo>
                                <a:lnTo>
                                  <a:pt x="6865607" y="6096"/>
                                </a:lnTo>
                                <a:lnTo>
                                  <a:pt x="6865607" y="0"/>
                                </a:lnTo>
                                <a:close/>
                              </a:path>
                            </a:pathLst>
                          </a:custGeom>
                          <a:solidFill>
                            <a:srgbClr val="000000"/>
                          </a:solidFill>
                        </wps:spPr>
                        <wps:bodyPr wrap="square" lIns="0" tIns="0" rIns="0" bIns="0" rtlCol="0">
                          <a:prstTxWarp prst="textNoShape">
                            <a:avLst/>
                          </a:prstTxWarp>
                          <a:noAutofit/>
                        </wps:bodyPr>
                      </wps:wsp>
                      <wps:wsp>
                        <wps:cNvPr id="73" name="Graphic 468"/>
                        <wps:cNvSpPr/>
                        <wps:spPr>
                          <a:xfrm>
                            <a:off x="6095" y="4380610"/>
                            <a:ext cx="6853555" cy="407034"/>
                          </a:xfrm>
                          <a:custGeom>
                            <a:avLst/>
                            <a:gdLst/>
                            <a:ahLst/>
                            <a:cxnLst/>
                            <a:rect l="l" t="t" r="r" b="b"/>
                            <a:pathLst>
                              <a:path w="6853555" h="407034">
                                <a:moveTo>
                                  <a:pt x="6853428" y="0"/>
                                </a:moveTo>
                                <a:lnTo>
                                  <a:pt x="0" y="0"/>
                                </a:lnTo>
                                <a:lnTo>
                                  <a:pt x="0" y="406908"/>
                                </a:lnTo>
                                <a:lnTo>
                                  <a:pt x="6853428" y="406908"/>
                                </a:lnTo>
                                <a:lnTo>
                                  <a:pt x="6853428" y="0"/>
                                </a:lnTo>
                                <a:close/>
                              </a:path>
                            </a:pathLst>
                          </a:custGeom>
                          <a:solidFill>
                            <a:srgbClr val="D9D9D9"/>
                          </a:solidFill>
                        </wps:spPr>
                        <wps:bodyPr wrap="square" lIns="0" tIns="0" rIns="0" bIns="0" rtlCol="0">
                          <a:prstTxWarp prst="textNoShape">
                            <a:avLst/>
                          </a:prstTxWarp>
                          <a:noAutofit/>
                        </wps:bodyPr>
                      </wps:wsp>
                      <wps:wsp>
                        <wps:cNvPr id="74" name="Graphic 469"/>
                        <wps:cNvSpPr/>
                        <wps:spPr>
                          <a:xfrm>
                            <a:off x="0" y="4374527"/>
                            <a:ext cx="6865620" cy="419100"/>
                          </a:xfrm>
                          <a:custGeom>
                            <a:avLst/>
                            <a:gdLst/>
                            <a:ahLst/>
                            <a:cxnLst/>
                            <a:rect l="l" t="t" r="r" b="b"/>
                            <a:pathLst>
                              <a:path w="6865620" h="419100">
                                <a:moveTo>
                                  <a:pt x="6083" y="413004"/>
                                </a:moveTo>
                                <a:lnTo>
                                  <a:pt x="0" y="413004"/>
                                </a:lnTo>
                                <a:lnTo>
                                  <a:pt x="0" y="419087"/>
                                </a:lnTo>
                                <a:lnTo>
                                  <a:pt x="6083" y="419087"/>
                                </a:lnTo>
                                <a:lnTo>
                                  <a:pt x="6083" y="413004"/>
                                </a:lnTo>
                                <a:close/>
                              </a:path>
                              <a:path w="6865620" h="419100">
                                <a:moveTo>
                                  <a:pt x="6083" y="0"/>
                                </a:moveTo>
                                <a:lnTo>
                                  <a:pt x="0" y="0"/>
                                </a:lnTo>
                                <a:lnTo>
                                  <a:pt x="0" y="6083"/>
                                </a:lnTo>
                                <a:lnTo>
                                  <a:pt x="0" y="412991"/>
                                </a:lnTo>
                                <a:lnTo>
                                  <a:pt x="6083" y="412991"/>
                                </a:lnTo>
                                <a:lnTo>
                                  <a:pt x="6083" y="6083"/>
                                </a:lnTo>
                                <a:lnTo>
                                  <a:pt x="6083" y="0"/>
                                </a:lnTo>
                                <a:close/>
                              </a:path>
                              <a:path w="6865620" h="419100">
                                <a:moveTo>
                                  <a:pt x="1374889" y="0"/>
                                </a:moveTo>
                                <a:lnTo>
                                  <a:pt x="1374889" y="0"/>
                                </a:lnTo>
                                <a:lnTo>
                                  <a:pt x="6096" y="0"/>
                                </a:lnTo>
                                <a:lnTo>
                                  <a:pt x="6096" y="6083"/>
                                </a:lnTo>
                                <a:lnTo>
                                  <a:pt x="1374889" y="6083"/>
                                </a:lnTo>
                                <a:lnTo>
                                  <a:pt x="1374889" y="0"/>
                                </a:lnTo>
                                <a:close/>
                              </a:path>
                              <a:path w="6865620" h="419100">
                                <a:moveTo>
                                  <a:pt x="2344470" y="0"/>
                                </a:moveTo>
                                <a:lnTo>
                                  <a:pt x="1374902" y="0"/>
                                </a:lnTo>
                                <a:lnTo>
                                  <a:pt x="1374902" y="6083"/>
                                </a:lnTo>
                                <a:lnTo>
                                  <a:pt x="2344470" y="6083"/>
                                </a:lnTo>
                                <a:lnTo>
                                  <a:pt x="2344470" y="0"/>
                                </a:lnTo>
                                <a:close/>
                              </a:path>
                              <a:path w="6865620" h="419100">
                                <a:moveTo>
                                  <a:pt x="3150730" y="0"/>
                                </a:moveTo>
                                <a:lnTo>
                                  <a:pt x="3144647" y="0"/>
                                </a:lnTo>
                                <a:lnTo>
                                  <a:pt x="2350643" y="0"/>
                                </a:lnTo>
                                <a:lnTo>
                                  <a:pt x="2344547" y="0"/>
                                </a:lnTo>
                                <a:lnTo>
                                  <a:pt x="2344547" y="6083"/>
                                </a:lnTo>
                                <a:lnTo>
                                  <a:pt x="2350643" y="6083"/>
                                </a:lnTo>
                                <a:lnTo>
                                  <a:pt x="3144647" y="6083"/>
                                </a:lnTo>
                                <a:lnTo>
                                  <a:pt x="3150730" y="6083"/>
                                </a:lnTo>
                                <a:lnTo>
                                  <a:pt x="3150730" y="0"/>
                                </a:lnTo>
                                <a:close/>
                              </a:path>
                              <a:path w="6865620" h="419100">
                                <a:moveTo>
                                  <a:pt x="5598795" y="0"/>
                                </a:moveTo>
                                <a:lnTo>
                                  <a:pt x="4179697" y="0"/>
                                </a:lnTo>
                                <a:lnTo>
                                  <a:pt x="4173651" y="0"/>
                                </a:lnTo>
                                <a:lnTo>
                                  <a:pt x="3150743" y="0"/>
                                </a:lnTo>
                                <a:lnTo>
                                  <a:pt x="3150743" y="6083"/>
                                </a:lnTo>
                                <a:lnTo>
                                  <a:pt x="4173601" y="6083"/>
                                </a:lnTo>
                                <a:lnTo>
                                  <a:pt x="4179697" y="6083"/>
                                </a:lnTo>
                                <a:lnTo>
                                  <a:pt x="5598795" y="6083"/>
                                </a:lnTo>
                                <a:lnTo>
                                  <a:pt x="5598795" y="0"/>
                                </a:lnTo>
                                <a:close/>
                              </a:path>
                              <a:path w="6865620" h="419100">
                                <a:moveTo>
                                  <a:pt x="6865607" y="413004"/>
                                </a:moveTo>
                                <a:lnTo>
                                  <a:pt x="6859524" y="413004"/>
                                </a:lnTo>
                                <a:lnTo>
                                  <a:pt x="6096" y="413004"/>
                                </a:lnTo>
                                <a:lnTo>
                                  <a:pt x="6096" y="419087"/>
                                </a:lnTo>
                                <a:lnTo>
                                  <a:pt x="6859524" y="419087"/>
                                </a:lnTo>
                                <a:lnTo>
                                  <a:pt x="6865607" y="419087"/>
                                </a:lnTo>
                                <a:lnTo>
                                  <a:pt x="6865607" y="413004"/>
                                </a:lnTo>
                                <a:close/>
                              </a:path>
                              <a:path w="6865620" h="419100">
                                <a:moveTo>
                                  <a:pt x="6865607" y="0"/>
                                </a:moveTo>
                                <a:lnTo>
                                  <a:pt x="6859575" y="0"/>
                                </a:lnTo>
                                <a:lnTo>
                                  <a:pt x="5605018" y="0"/>
                                </a:lnTo>
                                <a:lnTo>
                                  <a:pt x="5598922" y="0"/>
                                </a:lnTo>
                                <a:lnTo>
                                  <a:pt x="5598922" y="6083"/>
                                </a:lnTo>
                                <a:lnTo>
                                  <a:pt x="5605018" y="6083"/>
                                </a:lnTo>
                                <a:lnTo>
                                  <a:pt x="6859524" y="6083"/>
                                </a:lnTo>
                                <a:lnTo>
                                  <a:pt x="6859524" y="412991"/>
                                </a:lnTo>
                                <a:lnTo>
                                  <a:pt x="6865607" y="412991"/>
                                </a:lnTo>
                                <a:lnTo>
                                  <a:pt x="6865607" y="6083"/>
                                </a:lnTo>
                                <a:lnTo>
                                  <a:pt x="68656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0" o:spid="_x0000_s1038" style="position:absolute;left:0;text-align:left;margin-left:35.05pt;margin-top:25pt;width:540.6pt;height:386.5pt;z-index:-23704576;mso-wrap-distance-left:0;mso-wrap-distance-right:0;mso-position-horizontal-relative:page;mso-position-vertical-relative:text" coordsize="68656,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">
                <v:shape id="Textbox 464" o:spid="_x0000_s1039" type="#_x0000_t202" style="position:absolute;left:868;top:47134;width:2508;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883FED" w:rsidRDefault="00883FED">
                        <w:pPr>
                          <w:rPr>
                            <w:rFonts w:ascii="Segoe UI"/>
                            <w:sz w:val="23"/>
                          </w:rPr>
                        </w:pPr>
                        <w:r>
                          <w:rPr>
                            <w:rFonts w:ascii="Segoe UI"/>
                            <w:color w:val="FFFFFF"/>
                            <w:spacing w:val="-5"/>
                            <w:sz w:val="23"/>
                          </w:rPr>
                          <w:t>142</w:t>
                        </w:r>
                      </w:p>
                    </w:txbxContent>
                  </v:textbox>
                </v:shape>
                <v:shape id="Graphic 465" o:spid="_x0000_s1040" style="position:absolute;width:68656;height:30854;visibility:visible;mso-wrap-style:square;v-text-anchor:top" coordsize="6865620,308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" path="m6083,2711589r-6083,l,2717673r,367284l6083,3084957r,-367284l6083,2711589xem6083,2482989r-6083,l,2489073r,222504l6083,2711577r,-222504l6083,2482989xem6083,1815477r-6083,l,1821561r,661416l6083,2482977r,-661416l6083,1815477xem6083,1300048r-6083,l,1815465r6083,l6083,1300048xem6083,1293888r-6083,l,1299972r6083,l6083,1293888xem6083,1065288r-6083,l,1071372r,222504l6083,1293876r,-222504l6083,1065288xem6083,l,,,1065276r6083,l6083,xem292608,2711589r-6096,l286512,2717673r,367284l292608,3084957r,-367284l292608,2711589xem292608,2482989r-6096,l286512,2489073r,222504l292608,2711577r,-222504l292608,2482989xem292608,1815477r-6096,l286512,1821561r,661416l292608,2482977r,-661416l292608,1815477xem292608,1300048r-6096,l286512,1815465r6096,l292608,1300048xem292608,1293888r-6096,l286512,1299972r6096,l292608,1293888xem292608,1071372r-6096,l286512,1293876r6096,l292608,1071372xem292608,r-6096,l286512,1065276r6096,l292608,xem1374889,2717673r-6083,l1368806,3084957r6083,l1374889,2717673xem1374889,2489073r-6083,l1368806,2711577r6083,l1374889,2489073xem1374889,1821561r-6083,l1368806,2482977r6083,l1374889,1821561xem1374889,1300048r-6083,l1368806,1815465r6083,l1374889,1300048xem1374889,1071372r-6083,l1368806,1293876r6083,l1374889,1071372xem2350643,2711589r-6096,l2344547,2717673r6096,l2350643,2711589xem2350643,2482989r-6096,l2344547,2489073r,222504l2350643,2711577r,-222504l2350643,2482989xem2350643,1815477r-6096,l2344547,1821561r,661416l2350643,2482977r,-661416l2350643,1815477xem2350643,1300048r-6096,l2344547,1815465r6096,l2350643,1300048xem2350643,1293888r-6096,l2344547,1299972r6096,l2350643,1293888xem2350643,1071372r-6096,l2344547,1293876r6096,l2350643,1071372xem2350643,r-6096,l2344547,1065276r6096,l2350643,xem3150730,2711589r-6083,l3144647,2717673r6083,l3150730,2711589xem3150730,2482989r-6083,l3144647,2489073r,222504l3150730,2711577r,-222504l3150730,2482989xem3150730,1815477r-6083,l3144647,1821561r,661416l3150730,2482977r,-661416l3150730,1815477xem3150730,1300048r-6083,l3144647,1815465r6083,l3150730,1300048xem3150730,1293888r-6083,l3144647,1299972r6083,l3150730,1293888xem3150730,1071372r-6083,l3144647,1293876r6083,l3150730,1071372xem3150730,r-6083,l3144647,1065276r6083,l3150730,xem4179697,2711589r-6096,l4173601,2717673r6096,l4179697,2711589xem4179697,2482989r-6096,l4173601,2489073r,222504l4179697,2711577r,-222504l4179697,2482989xem4179697,1815477r-6096,l4173601,1821561r,661416l4179697,2482977r,-661416l4179697,1815477xem4179697,1300048r-6096,l4173601,1815465r6096,l4179697,1300048xem4179697,1293888r-6096,l4173601,1299972r6096,l4179697,1293888xem4179697,1071372r-6096,l4173601,1293876r6096,l4179697,1071372xem4179697,r-6096,l4173601,1065276r6096,l4179697,xem5605018,2711589r-6096,l5598922,2717673r6096,l5605018,2711589xem5605018,2482989r-6096,l5598922,2489073r,222504l5605018,2711577r,-222504l5605018,2482989xem5605018,1815477r-6096,l5598922,1821561r,661416l5605018,2482977r,-661416l5605018,1815477xem5605018,1300048r-6096,l5598922,1815465r6096,l5605018,1300048xem5605018,1293888r-6096,l5598922,1299972r6096,l5605018,1293888xem5605018,1071372r-6096,l5598922,1293876r6096,l5605018,1071372xem5605018,r-6096,l5598922,1065276r6096,l5605018,xem6865607,2711589r-6083,l6859524,2717673r6083,l6865607,2711589xem6865607,2482989r-6083,l6859524,2489073r,222504l6865607,2711577r,-222504l6865607,2482989xem6865607,1815477r-6083,l6859524,1821561r,661416l6865607,2482977r,-661416l6865607,1815477xem6865607,1300048r-6083,l6859524,1815465r6083,l6865607,1300048xem6865607,1293888r-6083,l6859524,1299972r6083,l6865607,1293888xem6865607,1071372r-6083,l6859524,1293876r6083,l6865607,1071372xem6865607,r-6083,l6859524,1065276r6083,l6865607,xe" fillcolor="black" stroked="f">
                  <v:path arrowok="t"/>
                </v:shape>
                <v:shape id="Graphic 466" o:spid="_x0000_s1041" style="position:absolute;top:27176;width:68656;height:12884;visibility:visible;mso-wrap-style:square;v-text-anchor:top" coordsize="6865620,12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" path="m6083,1053096r-6083,l,1059129r,222809l,1288034r6083,l6083,1281938r,-222758l6083,1053096xem6083,824496r-6083,l,830580r,222504l6083,1053084r,-222504l6083,824496xem6083,595896r-6083,l,601980,,824484r6083,l6083,601980r,-6084xem6083,367296r-6083,l,373380,,595884r6083,l6083,373380r,-6084xem292608,1053096r-6096,l286512,1059129r,222809l286512,1288034r6096,l292608,1281938r,-222758l292608,1053096xem292608,824496r-6096,l286512,830580r,222504l292608,1053084r,-222504l292608,824496xem292608,595896r-6096,l286512,601980r,222504l292608,824484r,-222504l292608,595896xem292608,367296r-6096,l286512,373380r,222504l292608,595884r,-222504l292608,367296xem1374889,1059129r-6083,l1368806,1281938r6083,l1374889,1059129xem1374889,830580r-6083,l1368806,1053084r6083,l1374889,830580xem1374889,601980r-6083,l1368806,824484r6083,l1374889,601980xem1374889,373380r-6083,l1368806,595884r6083,l1374889,373380xem1374889,r-6083,l1368806,367284r6083,l1374889,xem2350643,1053096r-6096,l2344547,1059129r,222809l2344547,1288034r6096,l2350643,1281938r,-222758l2350643,1053096xem2350643,824496r-6096,l2344547,830580r,222504l2350643,1053084r,-222504l2350643,824496xem2350643,595896r-6096,l2344547,601980r,222504l2350643,824484r,-222504l2350643,595896xem2350643,367296r-6096,l2344547,373380r,222504l2350643,595884r,-222504l2350643,367296xem2350643,r-6096,l2344547,367284r6096,l2350643,xem3150730,1053096r-6083,l3144647,1059129r,222809l3144647,1288034r6083,l3150730,1281938r,-222758l3150730,1053096xem3150730,824496r-6083,l3144647,830580r,222504l3150730,1053084r,-222504l3150730,824496xem3150730,595896r-6083,l3144647,601980r,222504l3150730,824484r,-222504l3150730,595896xem3150730,367296r-6083,l3144647,373380r,222504l3150730,595884r,-222504l3150730,367296xem3150730,r-6083,l3144647,367284r6083,l3150730,xem4179697,1053096r-6096,l4173601,1059129r,222809l4173601,1288034r6096,l4179697,1281938r,-222758l4179697,1053096xem4179697,824496r-6096,l4173601,830580r,222504l4179697,1053084r,-222504l4179697,824496xem4179697,595896r-6096,l4173601,601980r,222504l4179697,824484r,-222504l4179697,595896xem4179697,367296r-6096,l4173601,373380r,222504l4179697,595884r,-222504l4179697,367296xem4179697,r-6096,l4173601,367284r6096,l4179697,xem5605018,1053096r-6096,l5598922,1059129r,222809l5605018,1281938r,-222758l5605018,1053096xem5605018,824496r-6096,l5598922,830580r,222504l5605018,1053084r,-222504l5605018,824496xem5605018,595896r-6096,l5598922,601980r,222504l5605018,824484r,-222504l5605018,595896xem5605018,367296r-6096,l5598922,373380r,222504l5605018,595884r,-222504l5605018,367296xem5605018,r-6096,l5598922,367284r6096,l5605018,xem6865607,1053096r-6083,l6859524,1059129r,222809l6865607,1281938r,-222758l6865607,1053096xem6865607,824496r-6083,l6859524,830580r,222504l6865607,1053084r,-222504l6865607,824496xem6865607,595896r-6083,l6859524,601980r,222504l6865607,824484r,-222504l6865607,595896xem6865607,367296r-6083,l6859524,373380r,222504l6865607,595884r,-222504l6865607,367296xem6865607,r-6083,l6859524,367284r6083,l6865607,xe" fillcolor="black" stroked="f">
                  <v:path arrowok="t"/>
                </v:shape>
                <v:shape id="Graphic 467" o:spid="_x0000_s1042" style="position:absolute;top:39996;width:68656;height:3752;visibility:visible;mso-wrap-style:square;v-text-anchor:top" coordsize="686562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" path="m6083,6096l,6096,,374904r6083,l6083,6096xem292608,6096r-6096,l286512,374904r6096,l292608,6096xem1374889,6096r-6083,l1368806,374904r6083,l1374889,6096xem2350643,6096r-6096,l2344547,374904r6096,l2350643,6096xem3150730,6096r-6083,l3144647,374904r6083,l3150730,6096xem4179697,r-6096,l4173601,6096r,368808l4179697,374904r,-368808l4179697,xem5605018,r-6096,l5598922,6096r,368808l5605018,374904r,-368808l5605018,xem6865607,r-6083,l6859524,6096r,368808l6865607,374904r,-368808l6865607,xe" fillcolor="black" stroked="f">
                  <v:path arrowok="t"/>
                </v:shape>
                <v:shape id="Graphic 468" o:spid="_x0000_s1043" style="position:absolute;left:60;top:43806;width:68536;height:4070;visibility:visible;mso-wrap-style:square;v-text-anchor:top" coordsize="685355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" path="m6853428,l,,,406908r6853428,l6853428,xe" fillcolor="#d9d9d9" stroked="f">
                  <v:path arrowok="t"/>
                </v:shape>
                <v:shape id="Graphic 469" o:spid="_x0000_s1044" style="position:absolute;top:43745;width:68656;height:4191;visibility:visible;mso-wrap-style:square;v-text-anchor:top" coordsize="686562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" path="m6083,413004r-6083,l,419087r6083,l6083,413004xem6083,l,,,6083,,412991r6083,l6083,6083,6083,xem1374889,r,l6096,r,6083l1374889,6083r,-6083xem2344470,l1374902,r,6083l2344470,6083r,-6083xem3150730,r-6083,l2350643,r-6096,l2344547,6083r6096,l3144647,6083r6083,l3150730,xem5598795,l4179697,r-6046,l3150743,r,6083l4173601,6083r6096,l5598795,6083r,-6083xem6865607,413004r-6083,l6096,413004r,6083l6859524,419087r6083,l6865607,413004xem6865607,r-6032,l5605018,r-6096,l5598922,6083r6096,l6859524,6083r,406908l6865607,412991r,-406908l6865607,xe" fillcolor="black" stroked="f">
                  <v:path arrowok="t"/>
                </v:shape>
                <w10:wrap anchorx="page"/>
              </v:group>
            </w:pict>
          </mc:Fallback>
        </mc:AlternateContent>
      </w:r>
      <w:r>
        <w:rPr>
          <w:color w:val="221F1F"/>
        </w:rPr>
        <w:t>Details</w:t>
      </w:r>
      <w:r>
        <w:rPr>
          <w:color w:val="221F1F"/>
          <w:spacing w:val="-10"/>
        </w:rPr>
        <w:t xml:space="preserve"> </w:t>
      </w:r>
      <w:r>
        <w:rPr>
          <w:color w:val="221F1F"/>
        </w:rPr>
        <w:t>of</w:t>
      </w:r>
      <w:r>
        <w:rPr>
          <w:color w:val="221F1F"/>
          <w:spacing w:val="-8"/>
        </w:rPr>
        <w:t xml:space="preserve"> </w:t>
      </w:r>
      <w:r>
        <w:rPr>
          <w:color w:val="221F1F"/>
        </w:rPr>
        <w:t>Beneficial</w:t>
      </w:r>
      <w:r>
        <w:rPr>
          <w:color w:val="221F1F"/>
          <w:spacing w:val="-9"/>
        </w:rPr>
        <w:t xml:space="preserve"> </w:t>
      </w:r>
      <w:r>
        <w:rPr>
          <w:color w:val="221F1F"/>
          <w:spacing w:val="-2"/>
        </w:rPr>
        <w:t>ownership</w:t>
      </w:r>
    </w:p>
    <w:tbl>
      <w:tblPr>
        <w:tblW w:w="0" w:type="auto"/>
        <w:tblInd w:w="567" w:type="dxa"/>
        <w:tblLayout w:type="fixed"/>
        <w:tblCellMar>
          <w:left w:w="0" w:type="dxa"/>
          <w:right w:w="0" w:type="dxa"/>
        </w:tblCellMar>
        <w:tblLook w:val="01E0" w:firstRow="1" w:lastRow="1" w:firstColumn="1" w:lastColumn="1" w:noHBand="0" w:noVBand="0"/>
      </w:tblPr>
      <w:tblGrid>
        <w:gridCol w:w="461"/>
        <w:gridCol w:w="3231"/>
        <w:gridCol w:w="1254"/>
        <w:gridCol w:w="1624"/>
        <w:gridCol w:w="2206"/>
        <w:gridCol w:w="2036"/>
      </w:tblGrid>
      <w:tr w:rsidR="007F6DF9">
        <w:trPr>
          <w:trHeight w:val="1677"/>
        </w:trPr>
        <w:tc>
          <w:tcPr>
            <w:tcW w:w="461" w:type="dxa"/>
            <w:tcBorders>
              <w:top w:val="single" w:sz="4" w:space="0" w:color="000000"/>
              <w:bottom w:val="single" w:sz="4" w:space="0" w:color="000000"/>
            </w:tcBorders>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line="207" w:lineRule="exact"/>
              <w:ind w:left="101"/>
              <w:rPr>
                <w:rFonts w:ascii="Times New Roman"/>
                <w:b/>
                <w:sz w:val="18"/>
              </w:rPr>
            </w:pPr>
            <w:r>
              <w:rPr>
                <w:rFonts w:ascii="Times New Roman"/>
                <w:b/>
                <w:sz w:val="18"/>
              </w:rPr>
              <w:t>Details</w:t>
            </w:r>
            <w:r>
              <w:rPr>
                <w:rFonts w:ascii="Times New Roman"/>
                <w:b/>
                <w:spacing w:val="-1"/>
                <w:sz w:val="18"/>
              </w:rPr>
              <w:t xml:space="preserve"> </w:t>
            </w:r>
            <w:r>
              <w:rPr>
                <w:rFonts w:ascii="Times New Roman"/>
                <w:b/>
                <w:sz w:val="18"/>
              </w:rPr>
              <w:t>of</w:t>
            </w:r>
            <w:r>
              <w:rPr>
                <w:rFonts w:ascii="Times New Roman"/>
                <w:b/>
                <w:spacing w:val="-3"/>
                <w:sz w:val="18"/>
              </w:rPr>
              <w:t xml:space="preserve"> </w:t>
            </w:r>
            <w:r>
              <w:rPr>
                <w:rFonts w:ascii="Times New Roman"/>
                <w:b/>
                <w:sz w:val="18"/>
              </w:rPr>
              <w:t>all</w:t>
            </w:r>
            <w:r>
              <w:rPr>
                <w:rFonts w:ascii="Times New Roman"/>
                <w:b/>
                <w:spacing w:val="-1"/>
                <w:sz w:val="18"/>
              </w:rPr>
              <w:t xml:space="preserve"> </w:t>
            </w:r>
            <w:r>
              <w:rPr>
                <w:rFonts w:ascii="Times New Roman"/>
                <w:b/>
                <w:sz w:val="18"/>
              </w:rPr>
              <w:t xml:space="preserve">Beneficial </w:t>
            </w:r>
            <w:r>
              <w:rPr>
                <w:rFonts w:ascii="Times New Roman"/>
                <w:b/>
                <w:spacing w:val="-2"/>
                <w:sz w:val="18"/>
              </w:rPr>
              <w:t>Owners</w:t>
            </w:r>
          </w:p>
        </w:tc>
        <w:tc>
          <w:tcPr>
            <w:tcW w:w="1254" w:type="dxa"/>
            <w:tcBorders>
              <w:top w:val="single" w:sz="4" w:space="0" w:color="000000"/>
              <w:bottom w:val="single" w:sz="4" w:space="0" w:color="000000"/>
            </w:tcBorders>
          </w:tcPr>
          <w:p w:rsidR="007F6DF9" w:rsidRDefault="00A43FBC">
            <w:pPr>
              <w:pStyle w:val="TableParagraph"/>
              <w:ind w:left="110" w:right="186"/>
              <w:rPr>
                <w:rFonts w:ascii="Times New Roman"/>
                <w:b/>
                <w:sz w:val="18"/>
              </w:rPr>
            </w:pPr>
            <w:r>
              <w:rPr>
                <w:rFonts w:ascii="Times New Roman"/>
                <w:b/>
                <w:sz w:val="18"/>
              </w:rPr>
              <w:t>%</w:t>
            </w:r>
            <w:r>
              <w:rPr>
                <w:rFonts w:ascii="Times New Roman"/>
                <w:b/>
                <w:spacing w:val="19"/>
                <w:sz w:val="18"/>
              </w:rPr>
              <w:t xml:space="preserve"> </w:t>
            </w:r>
            <w:r>
              <w:rPr>
                <w:rFonts w:ascii="Times New Roman"/>
                <w:b/>
                <w:sz w:val="18"/>
              </w:rPr>
              <w:t>of</w:t>
            </w:r>
            <w:r>
              <w:rPr>
                <w:rFonts w:ascii="Times New Roman"/>
                <w:b/>
                <w:spacing w:val="-12"/>
                <w:sz w:val="18"/>
              </w:rPr>
              <w:t xml:space="preserve"> </w:t>
            </w:r>
            <w:r>
              <w:rPr>
                <w:rFonts w:ascii="Times New Roman"/>
                <w:b/>
                <w:sz w:val="18"/>
              </w:rPr>
              <w:t>shares a</w:t>
            </w:r>
            <w:r>
              <w:rPr>
                <w:rFonts w:ascii="Times New Roman"/>
                <w:b/>
                <w:spacing w:val="-12"/>
                <w:sz w:val="18"/>
              </w:rPr>
              <w:t xml:space="preserve"> </w:t>
            </w:r>
            <w:r>
              <w:rPr>
                <w:rFonts w:ascii="Times New Roman"/>
                <w:b/>
                <w:sz w:val="18"/>
              </w:rPr>
              <w:t xml:space="preserve">person holds in the </w:t>
            </w:r>
            <w:r>
              <w:rPr>
                <w:rFonts w:ascii="Times New Roman"/>
                <w:b/>
                <w:spacing w:val="-2"/>
                <w:sz w:val="18"/>
              </w:rPr>
              <w:t xml:space="preserve">company </w:t>
            </w:r>
            <w:r>
              <w:rPr>
                <w:rFonts w:ascii="Times New Roman"/>
                <w:b/>
                <w:sz w:val="18"/>
              </w:rPr>
              <w:t xml:space="preserve">Directly or </w:t>
            </w:r>
            <w:r>
              <w:rPr>
                <w:rFonts w:ascii="Times New Roman"/>
                <w:b/>
                <w:spacing w:val="-2"/>
                <w:sz w:val="18"/>
              </w:rPr>
              <w:t>indirectly</w:t>
            </w:r>
          </w:p>
        </w:tc>
        <w:tc>
          <w:tcPr>
            <w:tcW w:w="1624" w:type="dxa"/>
            <w:tcBorders>
              <w:top w:val="single" w:sz="4" w:space="0" w:color="000000"/>
              <w:bottom w:val="single" w:sz="4" w:space="0" w:color="000000"/>
            </w:tcBorders>
          </w:tcPr>
          <w:p w:rsidR="007F6DF9" w:rsidRDefault="00A43FBC">
            <w:pPr>
              <w:pStyle w:val="TableParagraph"/>
              <w:ind w:left="116" w:right="420"/>
              <w:rPr>
                <w:rFonts w:ascii="Times New Roman"/>
                <w:b/>
                <w:sz w:val="18"/>
              </w:rPr>
            </w:pPr>
            <w:r>
              <w:rPr>
                <w:rFonts w:ascii="Times New Roman"/>
                <w:b/>
                <w:sz w:val="18"/>
              </w:rPr>
              <w:t xml:space="preserve">% of voting </w:t>
            </w:r>
            <w:r>
              <w:rPr>
                <w:rFonts w:ascii="Times New Roman"/>
                <w:b/>
                <w:spacing w:val="-6"/>
                <w:sz w:val="18"/>
              </w:rPr>
              <w:t>rights a person</w:t>
            </w:r>
            <w:r>
              <w:rPr>
                <w:rFonts w:ascii="Times New Roman"/>
                <w:b/>
                <w:sz w:val="18"/>
              </w:rPr>
              <w:t xml:space="preserve"> holds in the </w:t>
            </w:r>
            <w:r>
              <w:rPr>
                <w:rFonts w:ascii="Times New Roman"/>
                <w:b/>
                <w:spacing w:val="-2"/>
                <w:sz w:val="18"/>
              </w:rPr>
              <w:t>company</w:t>
            </w:r>
          </w:p>
        </w:tc>
        <w:tc>
          <w:tcPr>
            <w:tcW w:w="2206" w:type="dxa"/>
            <w:tcBorders>
              <w:top w:val="single" w:sz="4" w:space="0" w:color="000000"/>
              <w:bottom w:val="single" w:sz="4" w:space="0" w:color="000000"/>
            </w:tcBorders>
          </w:tcPr>
          <w:p w:rsidR="007F6DF9" w:rsidRDefault="00A43FBC">
            <w:pPr>
              <w:pStyle w:val="TableParagraph"/>
              <w:ind w:left="112" w:right="61"/>
              <w:jc w:val="both"/>
              <w:rPr>
                <w:rFonts w:ascii="Times New Roman"/>
                <w:b/>
                <w:sz w:val="18"/>
              </w:rPr>
            </w:pPr>
            <w:r>
              <w:rPr>
                <w:rFonts w:ascii="Times New Roman"/>
                <w:b/>
                <w:sz w:val="18"/>
              </w:rPr>
              <w:t>Whether</w:t>
            </w:r>
            <w:r>
              <w:rPr>
                <w:rFonts w:ascii="Times New Roman"/>
                <w:b/>
                <w:spacing w:val="-8"/>
                <w:sz w:val="18"/>
              </w:rPr>
              <w:t xml:space="preserve"> </w:t>
            </w:r>
            <w:r>
              <w:rPr>
                <w:rFonts w:ascii="Times New Roman"/>
                <w:b/>
                <w:sz w:val="18"/>
              </w:rPr>
              <w:t>a</w:t>
            </w:r>
            <w:r>
              <w:rPr>
                <w:rFonts w:ascii="Times New Roman"/>
                <w:b/>
                <w:spacing w:val="-6"/>
                <w:sz w:val="18"/>
              </w:rPr>
              <w:t xml:space="preserve"> </w:t>
            </w:r>
            <w:r>
              <w:rPr>
                <w:rFonts w:ascii="Times New Roman"/>
                <w:b/>
                <w:sz w:val="18"/>
              </w:rPr>
              <w:t>person</w:t>
            </w:r>
            <w:r>
              <w:rPr>
                <w:rFonts w:ascii="Times New Roman"/>
                <w:b/>
                <w:spacing w:val="-9"/>
                <w:sz w:val="18"/>
              </w:rPr>
              <w:t xml:space="preserve"> </w:t>
            </w:r>
            <w:r>
              <w:rPr>
                <w:rFonts w:ascii="Times New Roman"/>
                <w:b/>
                <w:sz w:val="18"/>
              </w:rPr>
              <w:t>directly or indirectly holds a right to appoint or remove a member of the board of directors of the company or an equivalent</w:t>
            </w:r>
            <w:r>
              <w:rPr>
                <w:rFonts w:ascii="Times New Roman"/>
                <w:b/>
                <w:spacing w:val="40"/>
                <w:sz w:val="18"/>
              </w:rPr>
              <w:t xml:space="preserve"> </w:t>
            </w:r>
            <w:proofErr w:type="gramStart"/>
            <w:r>
              <w:rPr>
                <w:rFonts w:ascii="Times New Roman"/>
                <w:b/>
                <w:sz w:val="18"/>
              </w:rPr>
              <w:t>governing</w:t>
            </w:r>
            <w:r>
              <w:rPr>
                <w:rFonts w:ascii="Times New Roman"/>
                <w:b/>
                <w:spacing w:val="33"/>
                <w:sz w:val="18"/>
              </w:rPr>
              <w:t xml:space="preserve">  </w:t>
            </w:r>
            <w:r>
              <w:rPr>
                <w:rFonts w:ascii="Times New Roman"/>
                <w:b/>
                <w:sz w:val="18"/>
              </w:rPr>
              <w:t>body</w:t>
            </w:r>
            <w:proofErr w:type="gramEnd"/>
            <w:r>
              <w:rPr>
                <w:rFonts w:ascii="Times New Roman"/>
                <w:b/>
                <w:spacing w:val="37"/>
                <w:sz w:val="18"/>
              </w:rPr>
              <w:t xml:space="preserve">  </w:t>
            </w:r>
            <w:r>
              <w:rPr>
                <w:rFonts w:ascii="Times New Roman"/>
                <w:b/>
                <w:sz w:val="18"/>
              </w:rPr>
              <w:t>of</w:t>
            </w:r>
            <w:r>
              <w:rPr>
                <w:rFonts w:ascii="Times New Roman"/>
                <w:b/>
                <w:spacing w:val="35"/>
                <w:sz w:val="18"/>
              </w:rPr>
              <w:t xml:space="preserve">  </w:t>
            </w:r>
            <w:r>
              <w:rPr>
                <w:rFonts w:ascii="Times New Roman"/>
                <w:b/>
                <w:spacing w:val="-5"/>
                <w:sz w:val="18"/>
              </w:rPr>
              <w:t>the</w:t>
            </w:r>
          </w:p>
          <w:p w:rsidR="007F6DF9" w:rsidRDefault="00A43FBC">
            <w:pPr>
              <w:pStyle w:val="TableParagraph"/>
              <w:spacing w:line="209" w:lineRule="exact"/>
              <w:ind w:left="112"/>
              <w:jc w:val="both"/>
              <w:rPr>
                <w:rFonts w:ascii="Times New Roman"/>
                <w:sz w:val="20"/>
              </w:rPr>
            </w:pPr>
            <w:r>
              <w:rPr>
                <w:rFonts w:ascii="Times New Roman"/>
                <w:b/>
                <w:sz w:val="18"/>
              </w:rPr>
              <w:t>Tenderer</w:t>
            </w:r>
            <w:r>
              <w:rPr>
                <w:rFonts w:ascii="Times New Roman"/>
                <w:b/>
                <w:spacing w:val="-3"/>
                <w:sz w:val="18"/>
              </w:rPr>
              <w:t xml:space="preserve"> </w:t>
            </w:r>
            <w:r>
              <w:rPr>
                <w:rFonts w:ascii="Times New Roman"/>
                <w:sz w:val="20"/>
              </w:rPr>
              <w:t>(Yes</w:t>
            </w:r>
            <w:r>
              <w:rPr>
                <w:rFonts w:ascii="Times New Roman"/>
                <w:spacing w:val="-4"/>
                <w:sz w:val="20"/>
              </w:rPr>
              <w:t xml:space="preserve"> </w:t>
            </w:r>
            <w:r>
              <w:rPr>
                <w:rFonts w:ascii="Times New Roman"/>
                <w:sz w:val="20"/>
              </w:rPr>
              <w:t>/</w:t>
            </w:r>
            <w:r>
              <w:rPr>
                <w:rFonts w:ascii="Times New Roman"/>
                <w:spacing w:val="-3"/>
                <w:sz w:val="20"/>
              </w:rPr>
              <w:t xml:space="preserve"> </w:t>
            </w:r>
            <w:r>
              <w:rPr>
                <w:rFonts w:ascii="Times New Roman"/>
                <w:spacing w:val="-5"/>
                <w:sz w:val="20"/>
              </w:rPr>
              <w:t>No)</w:t>
            </w:r>
          </w:p>
        </w:tc>
        <w:tc>
          <w:tcPr>
            <w:tcW w:w="2036" w:type="dxa"/>
            <w:tcBorders>
              <w:top w:val="single" w:sz="4" w:space="0" w:color="000000"/>
              <w:bottom w:val="single" w:sz="4" w:space="0" w:color="000000"/>
            </w:tcBorders>
          </w:tcPr>
          <w:p w:rsidR="007F6DF9" w:rsidRDefault="00A43FBC">
            <w:pPr>
              <w:pStyle w:val="TableParagraph"/>
              <w:ind w:left="153" w:right="56"/>
              <w:rPr>
                <w:rFonts w:ascii="Times New Roman"/>
                <w:b/>
                <w:sz w:val="18"/>
              </w:rPr>
            </w:pPr>
            <w:r>
              <w:rPr>
                <w:rFonts w:ascii="Times New Roman"/>
                <w:b/>
                <w:sz w:val="18"/>
              </w:rPr>
              <w:t>Whether a person directly</w:t>
            </w:r>
            <w:r>
              <w:rPr>
                <w:rFonts w:ascii="Times New Roman"/>
                <w:b/>
                <w:spacing w:val="-12"/>
                <w:sz w:val="18"/>
              </w:rPr>
              <w:t xml:space="preserve"> </w:t>
            </w:r>
            <w:r>
              <w:rPr>
                <w:rFonts w:ascii="Times New Roman"/>
                <w:b/>
                <w:sz w:val="18"/>
              </w:rPr>
              <w:t>or</w:t>
            </w:r>
            <w:r>
              <w:rPr>
                <w:rFonts w:ascii="Times New Roman"/>
                <w:b/>
                <w:spacing w:val="-11"/>
                <w:sz w:val="18"/>
              </w:rPr>
              <w:t xml:space="preserve"> </w:t>
            </w:r>
            <w:r>
              <w:rPr>
                <w:rFonts w:ascii="Times New Roman"/>
                <w:b/>
                <w:sz w:val="18"/>
              </w:rPr>
              <w:t>indirectly exercises</w:t>
            </w:r>
            <w:r>
              <w:rPr>
                <w:rFonts w:ascii="Times New Roman"/>
                <w:b/>
                <w:spacing w:val="-2"/>
                <w:sz w:val="18"/>
              </w:rPr>
              <w:t xml:space="preserve"> </w:t>
            </w:r>
            <w:r>
              <w:rPr>
                <w:rFonts w:ascii="Times New Roman"/>
                <w:b/>
                <w:sz w:val="18"/>
              </w:rPr>
              <w:t>significant influence or</w:t>
            </w:r>
            <w:r>
              <w:rPr>
                <w:rFonts w:ascii="Times New Roman"/>
                <w:b/>
                <w:spacing w:val="-3"/>
                <w:sz w:val="18"/>
              </w:rPr>
              <w:t xml:space="preserve"> </w:t>
            </w:r>
            <w:r>
              <w:rPr>
                <w:rFonts w:ascii="Times New Roman"/>
                <w:b/>
                <w:sz w:val="18"/>
              </w:rPr>
              <w:t>control over the Company (tenderer)</w:t>
            </w:r>
            <w:r>
              <w:rPr>
                <w:rFonts w:ascii="Times New Roman"/>
                <w:b/>
                <w:spacing w:val="7"/>
                <w:sz w:val="18"/>
              </w:rPr>
              <w:t xml:space="preserve"> </w:t>
            </w:r>
            <w:r>
              <w:rPr>
                <w:rFonts w:ascii="Times New Roman"/>
                <w:b/>
                <w:sz w:val="18"/>
              </w:rPr>
              <w:t>(Yes</w:t>
            </w:r>
            <w:r>
              <w:rPr>
                <w:rFonts w:ascii="Times New Roman"/>
                <w:b/>
                <w:spacing w:val="-11"/>
                <w:sz w:val="18"/>
              </w:rPr>
              <w:t xml:space="preserve"> </w:t>
            </w:r>
            <w:r>
              <w:rPr>
                <w:rFonts w:ascii="Times New Roman"/>
                <w:b/>
                <w:sz w:val="18"/>
              </w:rPr>
              <w:t>/</w:t>
            </w:r>
            <w:r>
              <w:rPr>
                <w:rFonts w:ascii="Times New Roman"/>
                <w:b/>
                <w:spacing w:val="-11"/>
                <w:sz w:val="18"/>
              </w:rPr>
              <w:t xml:space="preserve"> </w:t>
            </w:r>
            <w:r>
              <w:rPr>
                <w:rFonts w:ascii="Times New Roman"/>
                <w:b/>
                <w:sz w:val="18"/>
              </w:rPr>
              <w:t>No)</w:t>
            </w:r>
          </w:p>
        </w:tc>
      </w:tr>
      <w:tr w:rsidR="007F6DF9">
        <w:trPr>
          <w:trHeight w:val="350"/>
        </w:trPr>
        <w:tc>
          <w:tcPr>
            <w:tcW w:w="461" w:type="dxa"/>
            <w:tcBorders>
              <w:top w:val="single" w:sz="4" w:space="0" w:color="000000"/>
            </w:tcBorders>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2"/>
              <w:ind w:left="101"/>
              <w:rPr>
                <w:rFonts w:ascii="Times New Roman"/>
                <w:sz w:val="20"/>
              </w:rPr>
            </w:pPr>
            <w:r>
              <w:rPr>
                <w:rFonts w:ascii="Times New Roman"/>
                <w:spacing w:val="-7"/>
                <w:sz w:val="20"/>
              </w:rPr>
              <w:t>Full</w:t>
            </w:r>
            <w:r>
              <w:rPr>
                <w:rFonts w:ascii="Times New Roman"/>
                <w:sz w:val="20"/>
              </w:rPr>
              <w:t xml:space="preserve"> </w:t>
            </w:r>
            <w:r>
              <w:rPr>
                <w:rFonts w:ascii="Times New Roman"/>
                <w:spacing w:val="-4"/>
                <w:sz w:val="20"/>
              </w:rPr>
              <w:t>Name</w:t>
            </w:r>
          </w:p>
        </w:tc>
        <w:tc>
          <w:tcPr>
            <w:tcW w:w="1254" w:type="dxa"/>
            <w:vMerge w:val="restart"/>
            <w:tcBorders>
              <w:top w:val="single" w:sz="4" w:space="0" w:color="000000"/>
            </w:tcBorders>
          </w:tcPr>
          <w:p w:rsidR="007F6DF9" w:rsidRDefault="00A43FBC">
            <w:pPr>
              <w:pStyle w:val="TableParagraph"/>
              <w:spacing w:before="60"/>
              <w:ind w:left="110"/>
              <w:rPr>
                <w:rFonts w:ascii="Times New Roman"/>
                <w:sz w:val="20"/>
              </w:rPr>
            </w:pPr>
            <w:r>
              <w:rPr>
                <w:rFonts w:ascii="Times New Roman"/>
                <w:spacing w:val="-4"/>
                <w:sz w:val="20"/>
              </w:rPr>
              <w:t>Directly------</w:t>
            </w:r>
          </w:p>
          <w:p w:rsidR="007F6DF9" w:rsidRDefault="00A43FBC">
            <w:pPr>
              <w:pStyle w:val="TableParagraph"/>
              <w:tabs>
                <w:tab w:val="left" w:pos="830"/>
              </w:tabs>
              <w:ind w:left="110"/>
              <w:rPr>
                <w:rFonts w:ascii="Times New Roman"/>
                <w:sz w:val="20"/>
              </w:rPr>
            </w:pPr>
            <w:r>
              <w:rPr>
                <w:rFonts w:ascii="Times New Roman"/>
                <w:spacing w:val="-4"/>
                <w:sz w:val="20"/>
              </w:rPr>
              <w:t>-----</w:t>
            </w:r>
            <w:r>
              <w:rPr>
                <w:rFonts w:ascii="Times New Roman"/>
                <w:sz w:val="20"/>
              </w:rPr>
              <w:tab/>
            </w:r>
            <w:r>
              <w:rPr>
                <w:rFonts w:ascii="Times New Roman"/>
                <w:spacing w:val="-10"/>
                <w:sz w:val="20"/>
              </w:rPr>
              <w:t>%</w:t>
            </w:r>
          </w:p>
          <w:p w:rsidR="007F6DF9" w:rsidRDefault="00A43FBC">
            <w:pPr>
              <w:pStyle w:val="TableParagraph"/>
              <w:spacing w:before="1"/>
              <w:ind w:left="110"/>
              <w:rPr>
                <w:rFonts w:ascii="Times New Roman"/>
                <w:sz w:val="20"/>
              </w:rPr>
            </w:pPr>
            <w:r>
              <w:rPr>
                <w:rFonts w:ascii="Times New Roman"/>
                <w:sz w:val="20"/>
              </w:rPr>
              <w:t>of</w:t>
            </w:r>
            <w:r>
              <w:rPr>
                <w:rFonts w:ascii="Times New Roman"/>
                <w:spacing w:val="-3"/>
                <w:sz w:val="20"/>
              </w:rPr>
              <w:t xml:space="preserve"> </w:t>
            </w:r>
            <w:r>
              <w:rPr>
                <w:rFonts w:ascii="Times New Roman"/>
                <w:spacing w:val="-2"/>
                <w:sz w:val="20"/>
              </w:rPr>
              <w:t>shares</w:t>
            </w:r>
          </w:p>
          <w:p w:rsidR="007F6DF9" w:rsidRDefault="007F6DF9">
            <w:pPr>
              <w:pStyle w:val="TableParagraph"/>
              <w:rPr>
                <w:rFonts w:ascii="Times New Roman"/>
                <w:b/>
                <w:sz w:val="20"/>
              </w:rPr>
            </w:pPr>
          </w:p>
          <w:p w:rsidR="007F6DF9" w:rsidRDefault="007F6DF9">
            <w:pPr>
              <w:pStyle w:val="TableParagraph"/>
              <w:spacing w:before="181"/>
              <w:rPr>
                <w:rFonts w:ascii="Times New Roman"/>
                <w:b/>
                <w:sz w:val="20"/>
              </w:rPr>
            </w:pPr>
          </w:p>
          <w:p w:rsidR="007F6DF9" w:rsidRDefault="00A43FBC">
            <w:pPr>
              <w:pStyle w:val="TableParagraph"/>
              <w:spacing w:before="1" w:line="229" w:lineRule="exact"/>
              <w:ind w:left="110"/>
              <w:rPr>
                <w:rFonts w:ascii="Times New Roman"/>
                <w:sz w:val="20"/>
              </w:rPr>
            </w:pPr>
            <w:r>
              <w:rPr>
                <w:rFonts w:ascii="Times New Roman"/>
                <w:spacing w:val="-4"/>
                <w:sz w:val="20"/>
              </w:rPr>
              <w:t>Indirectly----</w:t>
            </w:r>
          </w:p>
          <w:p w:rsidR="007F6DF9" w:rsidRDefault="00A43FBC">
            <w:pPr>
              <w:pStyle w:val="TableParagraph"/>
              <w:tabs>
                <w:tab w:val="left" w:leader="hyphen" w:pos="830"/>
              </w:tabs>
              <w:spacing w:line="229" w:lineRule="exact"/>
              <w:ind w:left="110"/>
              <w:rPr>
                <w:rFonts w:ascii="Times New Roman"/>
                <w:sz w:val="20"/>
              </w:rPr>
            </w:pPr>
            <w:r>
              <w:rPr>
                <w:rFonts w:ascii="Times New Roman"/>
                <w:sz w:val="20"/>
              </w:rPr>
              <w:t>-</w:t>
            </w:r>
            <w:r>
              <w:rPr>
                <w:rFonts w:ascii="Times New Roman"/>
                <w:sz w:val="20"/>
              </w:rPr>
              <w:tab/>
            </w:r>
            <w:r>
              <w:rPr>
                <w:rFonts w:ascii="Times New Roman"/>
                <w:spacing w:val="-10"/>
                <w:sz w:val="20"/>
              </w:rPr>
              <w:t>%</w:t>
            </w:r>
          </w:p>
          <w:p w:rsidR="007F6DF9" w:rsidRDefault="00A43FBC">
            <w:pPr>
              <w:pStyle w:val="TableParagraph"/>
              <w:ind w:left="110"/>
              <w:rPr>
                <w:rFonts w:ascii="Times New Roman"/>
                <w:sz w:val="20"/>
              </w:rPr>
            </w:pPr>
            <w:r>
              <w:rPr>
                <w:rFonts w:ascii="Times New Roman"/>
                <w:sz w:val="20"/>
              </w:rPr>
              <w:t>of</w:t>
            </w:r>
            <w:r>
              <w:rPr>
                <w:rFonts w:ascii="Times New Roman"/>
                <w:spacing w:val="-3"/>
                <w:sz w:val="20"/>
              </w:rPr>
              <w:t xml:space="preserve"> </w:t>
            </w:r>
            <w:r>
              <w:rPr>
                <w:rFonts w:ascii="Times New Roman"/>
                <w:spacing w:val="-2"/>
                <w:sz w:val="20"/>
              </w:rPr>
              <w:t>shares</w:t>
            </w:r>
          </w:p>
        </w:tc>
        <w:tc>
          <w:tcPr>
            <w:tcW w:w="1624" w:type="dxa"/>
            <w:vMerge w:val="restart"/>
            <w:tcBorders>
              <w:top w:val="single" w:sz="4" w:space="0" w:color="000000"/>
            </w:tcBorders>
          </w:tcPr>
          <w:p w:rsidR="007F6DF9" w:rsidRDefault="00A43FBC">
            <w:pPr>
              <w:pStyle w:val="TableParagraph"/>
              <w:spacing w:before="60"/>
              <w:ind w:left="116"/>
              <w:rPr>
                <w:rFonts w:ascii="Times New Roman" w:hAnsi="Times New Roman"/>
                <w:sz w:val="20"/>
              </w:rPr>
            </w:pPr>
            <w:r>
              <w:rPr>
                <w:rFonts w:ascii="Times New Roman" w:hAnsi="Times New Roman"/>
                <w:spacing w:val="-2"/>
                <w:sz w:val="20"/>
              </w:rPr>
              <w:t>Directly………</w:t>
            </w:r>
          </w:p>
          <w:p w:rsidR="007F6DF9" w:rsidRDefault="00A43FBC">
            <w:pPr>
              <w:pStyle w:val="TableParagraph"/>
              <w:ind w:left="116"/>
              <w:rPr>
                <w:rFonts w:ascii="Times New Roman" w:hAnsi="Times New Roman"/>
                <w:sz w:val="20"/>
              </w:rPr>
            </w:pPr>
            <w:r>
              <w:rPr>
                <w:rFonts w:ascii="Times New Roman" w:hAnsi="Times New Roman"/>
                <w:spacing w:val="-2"/>
                <w:sz w:val="20"/>
              </w:rPr>
              <w:t>…</w:t>
            </w:r>
            <w:proofErr w:type="gramStart"/>
            <w:r>
              <w:rPr>
                <w:rFonts w:ascii="Times New Roman" w:hAnsi="Times New Roman"/>
                <w:spacing w:val="-2"/>
                <w:sz w:val="20"/>
              </w:rPr>
              <w:t>….%</w:t>
            </w:r>
            <w:proofErr w:type="gramEnd"/>
            <w:r>
              <w:rPr>
                <w:rFonts w:ascii="Times New Roman" w:hAnsi="Times New Roman"/>
                <w:spacing w:val="-14"/>
                <w:sz w:val="20"/>
              </w:rPr>
              <w:t xml:space="preserve"> </w:t>
            </w:r>
            <w:r>
              <w:rPr>
                <w:rFonts w:ascii="Times New Roman" w:hAnsi="Times New Roman"/>
                <w:spacing w:val="-2"/>
                <w:sz w:val="20"/>
              </w:rPr>
              <w:t>of</w:t>
            </w:r>
            <w:r>
              <w:rPr>
                <w:rFonts w:ascii="Times New Roman" w:hAnsi="Times New Roman"/>
                <w:spacing w:val="-11"/>
                <w:sz w:val="20"/>
              </w:rPr>
              <w:t xml:space="preserve"> </w:t>
            </w:r>
            <w:r>
              <w:rPr>
                <w:rFonts w:ascii="Times New Roman" w:hAnsi="Times New Roman"/>
                <w:spacing w:val="-2"/>
                <w:sz w:val="20"/>
              </w:rPr>
              <w:t>voting rights</w:t>
            </w:r>
          </w:p>
          <w:p w:rsidR="007F6DF9" w:rsidRDefault="007F6DF9">
            <w:pPr>
              <w:pStyle w:val="TableParagraph"/>
              <w:spacing w:before="122"/>
              <w:rPr>
                <w:rFonts w:ascii="Times New Roman"/>
                <w:b/>
                <w:sz w:val="20"/>
              </w:rPr>
            </w:pPr>
          </w:p>
          <w:p w:rsidR="007F6DF9" w:rsidRDefault="00A43FBC">
            <w:pPr>
              <w:pStyle w:val="TableParagraph"/>
              <w:ind w:left="116"/>
              <w:rPr>
                <w:rFonts w:ascii="Times New Roman"/>
                <w:sz w:val="20"/>
              </w:rPr>
            </w:pPr>
            <w:r>
              <w:rPr>
                <w:rFonts w:ascii="Times New Roman"/>
                <w:spacing w:val="-4"/>
                <w:sz w:val="20"/>
              </w:rPr>
              <w:t>Indirectly----------</w:t>
            </w:r>
          </w:p>
          <w:p w:rsidR="007F6DF9" w:rsidRDefault="00A43FBC">
            <w:pPr>
              <w:pStyle w:val="TableParagraph"/>
              <w:spacing w:before="1"/>
              <w:ind w:left="116" w:right="181"/>
              <w:rPr>
                <w:rFonts w:ascii="Times New Roman"/>
                <w:sz w:val="20"/>
              </w:rPr>
            </w:pPr>
            <w:r>
              <w:rPr>
                <w:rFonts w:ascii="Times New Roman"/>
                <w:spacing w:val="-2"/>
                <w:sz w:val="20"/>
              </w:rPr>
              <w:t>%</w:t>
            </w:r>
            <w:r>
              <w:rPr>
                <w:rFonts w:ascii="Times New Roman"/>
                <w:spacing w:val="-12"/>
                <w:sz w:val="20"/>
              </w:rPr>
              <w:t xml:space="preserve"> </w:t>
            </w:r>
            <w:r>
              <w:rPr>
                <w:rFonts w:ascii="Times New Roman"/>
                <w:spacing w:val="-2"/>
                <w:sz w:val="20"/>
              </w:rPr>
              <w:t>of</w:t>
            </w:r>
            <w:r>
              <w:rPr>
                <w:rFonts w:ascii="Times New Roman"/>
                <w:spacing w:val="-11"/>
                <w:sz w:val="20"/>
              </w:rPr>
              <w:t xml:space="preserve"> </w:t>
            </w:r>
            <w:r>
              <w:rPr>
                <w:rFonts w:ascii="Times New Roman"/>
                <w:spacing w:val="-2"/>
                <w:sz w:val="20"/>
              </w:rPr>
              <w:t>voting rights</w:t>
            </w:r>
          </w:p>
        </w:tc>
        <w:tc>
          <w:tcPr>
            <w:tcW w:w="2206" w:type="dxa"/>
            <w:vMerge w:val="restart"/>
            <w:tcBorders>
              <w:top w:val="single" w:sz="4" w:space="0" w:color="000000"/>
            </w:tcBorders>
          </w:tcPr>
          <w:p w:rsidR="007F6DF9" w:rsidRDefault="00A43FBC">
            <w:pPr>
              <w:pStyle w:val="TableParagraph"/>
              <w:numPr>
                <w:ilvl w:val="0"/>
                <w:numId w:val="10"/>
              </w:numPr>
              <w:tabs>
                <w:tab w:val="left" w:pos="283"/>
              </w:tabs>
              <w:ind w:right="60"/>
              <w:jc w:val="both"/>
              <w:rPr>
                <w:rFonts w:ascii="Times New Roman"/>
                <w:sz w:val="20"/>
              </w:rPr>
            </w:pPr>
            <w:r>
              <w:rPr>
                <w:rFonts w:ascii="Times New Roman"/>
                <w:sz w:val="20"/>
              </w:rPr>
              <w:t>Having the right to appoint a majority of the board of the directors or an equivalent governing body of the Tenderer: Yes -----No----</w:t>
            </w:r>
          </w:p>
          <w:p w:rsidR="007F6DF9" w:rsidRDefault="00A43FBC">
            <w:pPr>
              <w:pStyle w:val="TableParagraph"/>
              <w:numPr>
                <w:ilvl w:val="0"/>
                <w:numId w:val="10"/>
              </w:numPr>
              <w:tabs>
                <w:tab w:val="left" w:pos="283"/>
              </w:tabs>
              <w:spacing w:before="1"/>
              <w:ind w:right="61"/>
              <w:jc w:val="both"/>
              <w:rPr>
                <w:rFonts w:ascii="Times New Roman"/>
                <w:sz w:val="20"/>
              </w:rPr>
            </w:pPr>
            <w:r>
              <w:rPr>
                <w:rFonts w:ascii="Times New Roman"/>
                <w:sz w:val="20"/>
              </w:rPr>
              <w:t xml:space="preserve">Is this right held directly or </w:t>
            </w:r>
            <w:proofErr w:type="gramStart"/>
            <w:r>
              <w:rPr>
                <w:rFonts w:ascii="Times New Roman"/>
                <w:sz w:val="20"/>
              </w:rPr>
              <w:t>indirectly?:</w:t>
            </w:r>
            <w:proofErr w:type="gramEnd"/>
          </w:p>
          <w:p w:rsidR="007F6DF9" w:rsidRDefault="007F6DF9">
            <w:pPr>
              <w:pStyle w:val="TableParagraph"/>
              <w:spacing w:before="229"/>
              <w:rPr>
                <w:rFonts w:ascii="Times New Roman"/>
                <w:b/>
                <w:sz w:val="20"/>
              </w:rPr>
            </w:pPr>
          </w:p>
          <w:p w:rsidR="007F6DF9" w:rsidRDefault="00A43FBC">
            <w:pPr>
              <w:pStyle w:val="TableParagraph"/>
              <w:ind w:left="283"/>
              <w:rPr>
                <w:rFonts w:ascii="Times New Roman" w:hAnsi="Times New Roman"/>
                <w:sz w:val="20"/>
              </w:rPr>
            </w:pPr>
            <w:r>
              <w:rPr>
                <w:rFonts w:ascii="Times New Roman" w:hAnsi="Times New Roman"/>
                <w:spacing w:val="-2"/>
                <w:sz w:val="20"/>
              </w:rPr>
              <w:t>Direct………………</w:t>
            </w:r>
          </w:p>
          <w:p w:rsidR="007F6DF9" w:rsidRDefault="00A43FBC">
            <w:pPr>
              <w:pStyle w:val="TableParagraph"/>
              <w:spacing w:before="1"/>
              <w:ind w:left="283"/>
              <w:rPr>
                <w:rFonts w:ascii="Times New Roman" w:hAnsi="Times New Roman"/>
                <w:sz w:val="20"/>
              </w:rPr>
            </w:pPr>
            <w:r>
              <w:rPr>
                <w:rFonts w:ascii="Times New Roman" w:hAnsi="Times New Roman"/>
                <w:spacing w:val="-10"/>
                <w:sz w:val="20"/>
              </w:rPr>
              <w:t>…</w:t>
            </w:r>
          </w:p>
          <w:p w:rsidR="007F6DF9" w:rsidRDefault="007F6DF9">
            <w:pPr>
              <w:pStyle w:val="TableParagraph"/>
              <w:rPr>
                <w:rFonts w:ascii="Times New Roman"/>
                <w:b/>
                <w:sz w:val="20"/>
              </w:rPr>
            </w:pPr>
          </w:p>
          <w:p w:rsidR="007F6DF9" w:rsidRDefault="007F6DF9">
            <w:pPr>
              <w:pStyle w:val="TableParagraph"/>
              <w:spacing w:before="1"/>
              <w:rPr>
                <w:rFonts w:ascii="Times New Roman"/>
                <w:b/>
                <w:sz w:val="20"/>
              </w:rPr>
            </w:pPr>
          </w:p>
          <w:p w:rsidR="007F6DF9" w:rsidRDefault="00A43FBC">
            <w:pPr>
              <w:pStyle w:val="TableParagraph"/>
              <w:ind w:left="283"/>
              <w:rPr>
                <w:rFonts w:ascii="Times New Roman" w:hAnsi="Times New Roman"/>
                <w:sz w:val="20"/>
              </w:rPr>
            </w:pPr>
            <w:r>
              <w:rPr>
                <w:rFonts w:ascii="Times New Roman" w:hAnsi="Times New Roman"/>
                <w:spacing w:val="-2"/>
                <w:sz w:val="20"/>
              </w:rPr>
              <w:t>Indirect………………</w:t>
            </w:r>
          </w:p>
          <w:p w:rsidR="007F6DF9" w:rsidRDefault="00A43FBC">
            <w:pPr>
              <w:pStyle w:val="TableParagraph"/>
              <w:spacing w:line="205" w:lineRule="exact"/>
              <w:ind w:left="283"/>
              <w:rPr>
                <w:rFonts w:ascii="Times New Roman"/>
                <w:sz w:val="20"/>
              </w:rPr>
            </w:pPr>
            <w:r>
              <w:rPr>
                <w:rFonts w:ascii="Times New Roman"/>
                <w:spacing w:val="-5"/>
                <w:sz w:val="20"/>
              </w:rPr>
              <w:t>...</w:t>
            </w:r>
          </w:p>
        </w:tc>
        <w:tc>
          <w:tcPr>
            <w:tcW w:w="2036" w:type="dxa"/>
            <w:vMerge w:val="restart"/>
            <w:tcBorders>
              <w:top w:val="single" w:sz="4" w:space="0" w:color="000000"/>
            </w:tcBorders>
          </w:tcPr>
          <w:p w:rsidR="007F6DF9" w:rsidRDefault="00A43FBC">
            <w:pPr>
              <w:pStyle w:val="TableParagraph"/>
              <w:numPr>
                <w:ilvl w:val="0"/>
                <w:numId w:val="9"/>
              </w:numPr>
              <w:tabs>
                <w:tab w:val="left" w:pos="243"/>
                <w:tab w:val="left" w:pos="245"/>
              </w:tabs>
              <w:ind w:right="168"/>
              <w:jc w:val="left"/>
              <w:rPr>
                <w:rFonts w:ascii="Times New Roman"/>
                <w:b/>
                <w:sz w:val="20"/>
              </w:rPr>
            </w:pPr>
            <w:r>
              <w:rPr>
                <w:rFonts w:ascii="Times New Roman"/>
                <w:spacing w:val="-2"/>
                <w:sz w:val="20"/>
              </w:rPr>
              <w:t>Exercises</w:t>
            </w:r>
            <w:r>
              <w:rPr>
                <w:rFonts w:ascii="Times New Roman"/>
                <w:spacing w:val="-11"/>
                <w:sz w:val="20"/>
              </w:rPr>
              <w:t xml:space="preserve"> </w:t>
            </w:r>
            <w:r>
              <w:rPr>
                <w:rFonts w:ascii="Times New Roman"/>
                <w:spacing w:val="-2"/>
                <w:sz w:val="20"/>
              </w:rPr>
              <w:t xml:space="preserve">significant </w:t>
            </w:r>
            <w:r>
              <w:rPr>
                <w:rFonts w:ascii="Times New Roman"/>
                <w:sz w:val="20"/>
              </w:rPr>
              <w:t>influence or</w:t>
            </w:r>
            <w:r>
              <w:rPr>
                <w:rFonts w:ascii="Times New Roman"/>
                <w:spacing w:val="-4"/>
                <w:sz w:val="20"/>
              </w:rPr>
              <w:t xml:space="preserve"> </w:t>
            </w:r>
            <w:r>
              <w:rPr>
                <w:rFonts w:ascii="Times New Roman"/>
                <w:sz w:val="20"/>
              </w:rPr>
              <w:t>control over the Company body of the Company</w:t>
            </w:r>
            <w:r>
              <w:rPr>
                <w:rFonts w:ascii="Times New Roman"/>
                <w:spacing w:val="-13"/>
                <w:sz w:val="20"/>
              </w:rPr>
              <w:t xml:space="preserve"> </w:t>
            </w:r>
            <w:r>
              <w:rPr>
                <w:rFonts w:ascii="Times New Roman"/>
                <w:sz w:val="20"/>
              </w:rPr>
              <w:t>(tenderer</w:t>
            </w:r>
            <w:r>
              <w:rPr>
                <w:rFonts w:ascii="Times New Roman"/>
                <w:b/>
                <w:sz w:val="20"/>
              </w:rPr>
              <w:t>)</w:t>
            </w:r>
          </w:p>
          <w:p w:rsidR="007F6DF9" w:rsidRDefault="007F6DF9">
            <w:pPr>
              <w:pStyle w:val="TableParagraph"/>
              <w:spacing w:before="1"/>
              <w:rPr>
                <w:rFonts w:ascii="Times New Roman"/>
                <w:b/>
                <w:sz w:val="20"/>
              </w:rPr>
            </w:pPr>
          </w:p>
          <w:p w:rsidR="007F6DF9" w:rsidRDefault="00A43FBC">
            <w:pPr>
              <w:pStyle w:val="TableParagraph"/>
              <w:ind w:left="245"/>
              <w:rPr>
                <w:rFonts w:ascii="Times New Roman"/>
                <w:sz w:val="20"/>
              </w:rPr>
            </w:pPr>
            <w:r>
              <w:rPr>
                <w:rFonts w:ascii="Times New Roman"/>
                <w:sz w:val="20"/>
              </w:rPr>
              <w:t>Yes</w:t>
            </w:r>
            <w:r>
              <w:rPr>
                <w:rFonts w:ascii="Times New Roman"/>
                <w:spacing w:val="-12"/>
                <w:sz w:val="20"/>
              </w:rPr>
              <w:t xml:space="preserve"> </w:t>
            </w:r>
            <w:r>
              <w:rPr>
                <w:rFonts w:ascii="Times New Roman"/>
                <w:sz w:val="20"/>
              </w:rPr>
              <w:t>-----No---</w:t>
            </w:r>
            <w:r>
              <w:rPr>
                <w:rFonts w:ascii="Times New Roman"/>
                <w:spacing w:val="-10"/>
                <w:sz w:val="20"/>
              </w:rPr>
              <w:t>-</w:t>
            </w:r>
          </w:p>
          <w:p w:rsidR="007F6DF9" w:rsidRDefault="007F6DF9">
            <w:pPr>
              <w:pStyle w:val="TableParagraph"/>
              <w:rPr>
                <w:rFonts w:ascii="Times New Roman"/>
                <w:b/>
                <w:sz w:val="20"/>
              </w:rPr>
            </w:pPr>
          </w:p>
          <w:p w:rsidR="007F6DF9" w:rsidRDefault="00A43FBC">
            <w:pPr>
              <w:pStyle w:val="TableParagraph"/>
              <w:numPr>
                <w:ilvl w:val="0"/>
                <w:numId w:val="9"/>
              </w:numPr>
              <w:tabs>
                <w:tab w:val="left" w:pos="324"/>
              </w:tabs>
              <w:spacing w:before="1"/>
              <w:ind w:left="324" w:right="215" w:hanging="180"/>
              <w:jc w:val="left"/>
              <w:rPr>
                <w:rFonts w:ascii="Times New Roman"/>
                <w:sz w:val="20"/>
              </w:rPr>
            </w:pPr>
            <w:r>
              <w:rPr>
                <w:rFonts w:ascii="Times New Roman"/>
                <w:sz w:val="20"/>
              </w:rPr>
              <w:t>Is</w:t>
            </w:r>
            <w:r>
              <w:rPr>
                <w:rFonts w:ascii="Times New Roman"/>
                <w:spacing w:val="-13"/>
                <w:sz w:val="20"/>
              </w:rPr>
              <w:t xml:space="preserve"> </w:t>
            </w:r>
            <w:r>
              <w:rPr>
                <w:rFonts w:ascii="Times New Roman"/>
                <w:sz w:val="20"/>
              </w:rPr>
              <w:t>this</w:t>
            </w:r>
            <w:r>
              <w:rPr>
                <w:rFonts w:ascii="Times New Roman"/>
                <w:spacing w:val="-12"/>
                <w:sz w:val="20"/>
              </w:rPr>
              <w:t xml:space="preserve"> </w:t>
            </w:r>
            <w:r>
              <w:rPr>
                <w:rFonts w:ascii="Times New Roman"/>
                <w:sz w:val="20"/>
              </w:rPr>
              <w:t>influence</w:t>
            </w:r>
            <w:r>
              <w:rPr>
                <w:rFonts w:ascii="Times New Roman"/>
                <w:spacing w:val="-13"/>
                <w:sz w:val="20"/>
              </w:rPr>
              <w:t xml:space="preserve"> </w:t>
            </w:r>
            <w:r>
              <w:rPr>
                <w:rFonts w:ascii="Times New Roman"/>
                <w:sz w:val="20"/>
              </w:rPr>
              <w:t xml:space="preserve">or control exercised directly or </w:t>
            </w:r>
            <w:r>
              <w:rPr>
                <w:rFonts w:ascii="Times New Roman"/>
                <w:spacing w:val="-2"/>
                <w:sz w:val="20"/>
              </w:rPr>
              <w:t>indirectly?</w:t>
            </w:r>
          </w:p>
          <w:p w:rsidR="007F6DF9" w:rsidRDefault="00A43FBC">
            <w:pPr>
              <w:pStyle w:val="TableParagraph"/>
              <w:spacing w:before="229"/>
              <w:ind w:left="153"/>
              <w:rPr>
                <w:rFonts w:ascii="Times New Roman" w:hAnsi="Times New Roman"/>
                <w:sz w:val="20"/>
              </w:rPr>
            </w:pPr>
            <w:r>
              <w:rPr>
                <w:rFonts w:ascii="Times New Roman" w:hAnsi="Times New Roman"/>
                <w:spacing w:val="-2"/>
                <w:sz w:val="20"/>
              </w:rPr>
              <w:t>Direct………</w:t>
            </w:r>
            <w:proofErr w:type="gramStart"/>
            <w:r>
              <w:rPr>
                <w:rFonts w:ascii="Times New Roman" w:hAnsi="Times New Roman"/>
                <w:spacing w:val="-2"/>
                <w:sz w:val="20"/>
              </w:rPr>
              <w:t>…..</w:t>
            </w:r>
            <w:proofErr w:type="gramEnd"/>
          </w:p>
          <w:p w:rsidR="007F6DF9" w:rsidRDefault="007F6DF9">
            <w:pPr>
              <w:pStyle w:val="TableParagraph"/>
              <w:spacing w:before="61"/>
              <w:rPr>
                <w:rFonts w:ascii="Times New Roman"/>
                <w:b/>
                <w:sz w:val="20"/>
              </w:rPr>
            </w:pPr>
          </w:p>
          <w:p w:rsidR="007F6DF9" w:rsidRDefault="00A43FBC">
            <w:pPr>
              <w:pStyle w:val="TableParagraph"/>
              <w:ind w:left="204"/>
              <w:rPr>
                <w:rFonts w:ascii="Times New Roman" w:hAnsi="Times New Roman"/>
                <w:sz w:val="20"/>
              </w:rPr>
            </w:pPr>
            <w:r>
              <w:rPr>
                <w:rFonts w:ascii="Times New Roman" w:hAnsi="Times New Roman"/>
                <w:spacing w:val="-2"/>
                <w:sz w:val="20"/>
              </w:rPr>
              <w:t>Indirect…………</w:t>
            </w:r>
          </w:p>
        </w:tc>
      </w:tr>
      <w:tr w:rsidR="007F6DF9">
        <w:trPr>
          <w:trHeight w:val="811"/>
        </w:trPr>
        <w:tc>
          <w:tcPr>
            <w:tcW w:w="461" w:type="dxa"/>
          </w:tcPr>
          <w:p w:rsidR="007F6DF9" w:rsidRDefault="007F6DF9">
            <w:pPr>
              <w:pStyle w:val="TableParagraph"/>
              <w:rPr>
                <w:rFonts w:ascii="Times New Roman"/>
                <w:b/>
                <w:sz w:val="20"/>
              </w:rPr>
            </w:pPr>
          </w:p>
          <w:p w:rsidR="007F6DF9" w:rsidRDefault="007F6DF9">
            <w:pPr>
              <w:pStyle w:val="TableParagraph"/>
              <w:spacing w:before="112"/>
              <w:rPr>
                <w:rFonts w:ascii="Times New Roman"/>
                <w:b/>
                <w:sz w:val="20"/>
              </w:rPr>
            </w:pPr>
          </w:p>
          <w:p w:rsidR="007F6DF9" w:rsidRDefault="00A43FBC">
            <w:pPr>
              <w:pStyle w:val="TableParagraph"/>
              <w:spacing w:line="219" w:lineRule="exact"/>
              <w:ind w:left="112"/>
              <w:rPr>
                <w:rFonts w:ascii="Times New Roman"/>
                <w:b/>
                <w:sz w:val="20"/>
              </w:rPr>
            </w:pPr>
            <w:r>
              <w:rPr>
                <w:rFonts w:ascii="Times New Roman"/>
                <w:b/>
                <w:spacing w:val="-5"/>
                <w:sz w:val="20"/>
              </w:rPr>
              <w:t>1.</w:t>
            </w:r>
          </w:p>
        </w:tc>
        <w:tc>
          <w:tcPr>
            <w:tcW w:w="3231" w:type="dxa"/>
            <w:tcBorders>
              <w:top w:val="single" w:sz="4" w:space="0" w:color="000000"/>
              <w:bottom w:val="single" w:sz="4" w:space="0" w:color="000000"/>
            </w:tcBorders>
          </w:tcPr>
          <w:p w:rsidR="007F6DF9" w:rsidRDefault="00A43FBC">
            <w:pPr>
              <w:pStyle w:val="TableParagraph"/>
              <w:spacing w:before="60"/>
              <w:ind w:left="101" w:right="1529"/>
              <w:rPr>
                <w:rFonts w:ascii="Times New Roman"/>
                <w:sz w:val="20"/>
              </w:rPr>
            </w:pPr>
            <w:r>
              <w:rPr>
                <w:rFonts w:ascii="Times New Roman"/>
                <w:spacing w:val="-4"/>
                <w:sz w:val="20"/>
              </w:rPr>
              <w:t>National</w:t>
            </w:r>
            <w:r>
              <w:rPr>
                <w:rFonts w:ascii="Times New Roman"/>
                <w:spacing w:val="-9"/>
                <w:sz w:val="20"/>
              </w:rPr>
              <w:t xml:space="preserve"> </w:t>
            </w:r>
            <w:r>
              <w:rPr>
                <w:rFonts w:ascii="Times New Roman"/>
                <w:spacing w:val="-4"/>
                <w:sz w:val="20"/>
              </w:rPr>
              <w:t xml:space="preserve">identity </w:t>
            </w:r>
            <w:r>
              <w:rPr>
                <w:rFonts w:ascii="Times New Roman"/>
                <w:sz w:val="20"/>
              </w:rPr>
              <w:t xml:space="preserve">card number or </w:t>
            </w:r>
            <w:r>
              <w:rPr>
                <w:rFonts w:ascii="Times New Roman"/>
                <w:spacing w:val="-4"/>
                <w:sz w:val="20"/>
              </w:rPr>
              <w:t>Passport</w:t>
            </w:r>
            <w:r>
              <w:rPr>
                <w:rFonts w:ascii="Times New Roman"/>
                <w:spacing w:val="-9"/>
                <w:sz w:val="20"/>
              </w:rPr>
              <w:t xml:space="preserve"> </w:t>
            </w:r>
            <w:r>
              <w:rPr>
                <w:rFonts w:ascii="Times New Roman"/>
                <w:spacing w:val="-4"/>
                <w:sz w:val="20"/>
              </w:rPr>
              <w:t>number</w:t>
            </w:r>
          </w:p>
        </w:tc>
        <w:tc>
          <w:tcPr>
            <w:tcW w:w="1254" w:type="dxa"/>
            <w:vMerge/>
            <w:tcBorders>
              <w:top w:val="nil"/>
            </w:tcBorders>
          </w:tcPr>
          <w:p w:rsidR="007F6DF9" w:rsidRDefault="007F6DF9">
            <w:pPr>
              <w:rPr>
                <w:sz w:val="2"/>
                <w:szCs w:val="2"/>
              </w:rPr>
            </w:pPr>
          </w:p>
        </w:tc>
        <w:tc>
          <w:tcPr>
            <w:tcW w:w="1624" w:type="dxa"/>
            <w:vMerge/>
            <w:tcBorders>
              <w:top w:val="nil"/>
            </w:tcBorders>
          </w:tcPr>
          <w:p w:rsidR="007F6DF9" w:rsidRDefault="007F6DF9">
            <w:pPr>
              <w:rPr>
                <w:sz w:val="2"/>
                <w:szCs w:val="2"/>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1041"/>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ight="1950"/>
              <w:rPr>
                <w:rFonts w:ascii="Times New Roman"/>
                <w:sz w:val="20"/>
              </w:rPr>
            </w:pPr>
            <w:r>
              <w:rPr>
                <w:rFonts w:ascii="Times New Roman"/>
                <w:spacing w:val="-2"/>
                <w:sz w:val="20"/>
              </w:rPr>
              <w:t xml:space="preserve">Personal Identification </w:t>
            </w:r>
            <w:r>
              <w:rPr>
                <w:rFonts w:ascii="Times New Roman"/>
                <w:spacing w:val="-8"/>
                <w:sz w:val="20"/>
              </w:rPr>
              <w:t>Number</w:t>
            </w:r>
            <w:r>
              <w:rPr>
                <w:rFonts w:ascii="Times New Roman"/>
                <w:spacing w:val="-5"/>
                <w:sz w:val="20"/>
              </w:rPr>
              <w:t xml:space="preserve"> </w:t>
            </w:r>
            <w:r>
              <w:rPr>
                <w:rFonts w:ascii="Times New Roman"/>
                <w:spacing w:val="-8"/>
                <w:sz w:val="20"/>
              </w:rPr>
              <w:t xml:space="preserve">(where </w:t>
            </w:r>
            <w:r>
              <w:rPr>
                <w:rFonts w:ascii="Times New Roman"/>
                <w:spacing w:val="-2"/>
                <w:sz w:val="20"/>
              </w:rPr>
              <w:t>applicable)</w:t>
            </w:r>
          </w:p>
        </w:tc>
        <w:tc>
          <w:tcPr>
            <w:tcW w:w="1254" w:type="dxa"/>
            <w:vMerge/>
            <w:tcBorders>
              <w:top w:val="nil"/>
            </w:tcBorders>
          </w:tcPr>
          <w:p w:rsidR="007F6DF9" w:rsidRDefault="007F6DF9">
            <w:pPr>
              <w:rPr>
                <w:sz w:val="2"/>
                <w:szCs w:val="2"/>
              </w:rPr>
            </w:pPr>
          </w:p>
        </w:tc>
        <w:tc>
          <w:tcPr>
            <w:tcW w:w="1624" w:type="dxa"/>
            <w:vMerge/>
            <w:tcBorders>
              <w:top w:val="nil"/>
            </w:tcBorders>
          </w:tcPr>
          <w:p w:rsidR="007F6DF9" w:rsidRDefault="007F6DF9">
            <w:pPr>
              <w:rPr>
                <w:sz w:val="2"/>
                <w:szCs w:val="2"/>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350"/>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spacing w:val="-2"/>
                <w:sz w:val="20"/>
              </w:rPr>
              <w:t>Nationality</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578"/>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spacing w:val="-6"/>
                <w:sz w:val="20"/>
              </w:rPr>
              <w:t>Date</w:t>
            </w:r>
            <w:r>
              <w:rPr>
                <w:rFonts w:ascii="Times New Roman"/>
                <w:spacing w:val="-3"/>
                <w:sz w:val="20"/>
              </w:rPr>
              <w:t xml:space="preserve"> </w:t>
            </w:r>
            <w:r>
              <w:rPr>
                <w:rFonts w:ascii="Times New Roman"/>
                <w:spacing w:val="-6"/>
                <w:sz w:val="20"/>
              </w:rPr>
              <w:t>of</w:t>
            </w:r>
            <w:r>
              <w:rPr>
                <w:rFonts w:ascii="Times New Roman"/>
                <w:spacing w:val="-4"/>
                <w:sz w:val="20"/>
              </w:rPr>
              <w:t xml:space="preserve"> </w:t>
            </w:r>
            <w:r>
              <w:rPr>
                <w:rFonts w:ascii="Times New Roman"/>
                <w:spacing w:val="-6"/>
                <w:sz w:val="20"/>
              </w:rPr>
              <w:t>birth</w:t>
            </w:r>
          </w:p>
          <w:p w:rsidR="007F6DF9" w:rsidRDefault="00A43FBC">
            <w:pPr>
              <w:pStyle w:val="TableParagraph"/>
              <w:ind w:left="101"/>
              <w:rPr>
                <w:rFonts w:ascii="Times New Roman"/>
                <w:i/>
                <w:sz w:val="20"/>
              </w:rPr>
            </w:pPr>
            <w:r>
              <w:rPr>
                <w:rFonts w:ascii="Times New Roman"/>
                <w:i/>
                <w:spacing w:val="-2"/>
                <w:sz w:val="20"/>
              </w:rPr>
              <w:t>[</w:t>
            </w:r>
            <w:proofErr w:type="spellStart"/>
            <w:r>
              <w:rPr>
                <w:rFonts w:ascii="Times New Roman"/>
                <w:i/>
                <w:spacing w:val="-2"/>
                <w:sz w:val="20"/>
              </w:rPr>
              <w:t>dd</w:t>
            </w:r>
            <w:proofErr w:type="spellEnd"/>
            <w:r>
              <w:rPr>
                <w:rFonts w:ascii="Times New Roman"/>
                <w:i/>
                <w:spacing w:val="-2"/>
                <w:sz w:val="20"/>
              </w:rPr>
              <w:t>/mm/</w:t>
            </w:r>
            <w:proofErr w:type="spellStart"/>
            <w:r>
              <w:rPr>
                <w:rFonts w:ascii="Times New Roman"/>
                <w:i/>
                <w:spacing w:val="-2"/>
                <w:sz w:val="20"/>
              </w:rPr>
              <w:t>yyyy</w:t>
            </w:r>
            <w:proofErr w:type="spellEnd"/>
            <w:r>
              <w:rPr>
                <w:rFonts w:ascii="Times New Roman"/>
                <w:i/>
                <w:spacing w:val="-2"/>
                <w:sz w:val="20"/>
              </w:rPr>
              <w:t>]</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350"/>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2"/>
              <w:ind w:left="101"/>
              <w:rPr>
                <w:rFonts w:ascii="Times New Roman"/>
                <w:sz w:val="20"/>
              </w:rPr>
            </w:pPr>
            <w:r>
              <w:rPr>
                <w:rFonts w:ascii="Times New Roman"/>
                <w:w w:val="90"/>
                <w:sz w:val="20"/>
              </w:rPr>
              <w:t>Postal</w:t>
            </w:r>
            <w:r>
              <w:rPr>
                <w:rFonts w:ascii="Times New Roman"/>
                <w:spacing w:val="11"/>
                <w:sz w:val="20"/>
              </w:rPr>
              <w:t xml:space="preserve"> </w:t>
            </w:r>
            <w:r>
              <w:rPr>
                <w:rFonts w:ascii="Times New Roman"/>
                <w:spacing w:val="-2"/>
                <w:sz w:val="20"/>
              </w:rPr>
              <w:t>address</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366"/>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w w:val="90"/>
                <w:sz w:val="20"/>
              </w:rPr>
              <w:t>Residential</w:t>
            </w:r>
            <w:r>
              <w:rPr>
                <w:rFonts w:ascii="Times New Roman"/>
                <w:spacing w:val="25"/>
                <w:sz w:val="20"/>
              </w:rPr>
              <w:t xml:space="preserve"> </w:t>
            </w:r>
            <w:r>
              <w:rPr>
                <w:rFonts w:ascii="Times New Roman"/>
                <w:spacing w:val="-2"/>
                <w:sz w:val="20"/>
              </w:rPr>
              <w:t>address</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333"/>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w w:val="90"/>
                <w:sz w:val="20"/>
              </w:rPr>
              <w:t>Telephone</w:t>
            </w:r>
            <w:r>
              <w:rPr>
                <w:rFonts w:ascii="Times New Roman"/>
                <w:spacing w:val="16"/>
                <w:sz w:val="20"/>
              </w:rPr>
              <w:t xml:space="preserve"> </w:t>
            </w:r>
            <w:r>
              <w:rPr>
                <w:rFonts w:ascii="Times New Roman"/>
                <w:spacing w:val="-2"/>
                <w:sz w:val="20"/>
              </w:rPr>
              <w:t>number</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tcPr>
          <w:p w:rsidR="007F6DF9" w:rsidRDefault="007F6DF9">
            <w:pPr>
              <w:pStyle w:val="TableParagraph"/>
              <w:rPr>
                <w:rFonts w:ascii="Times New Roman"/>
                <w:sz w:val="20"/>
              </w:rPr>
            </w:pPr>
          </w:p>
        </w:tc>
        <w:tc>
          <w:tcPr>
            <w:tcW w:w="2036" w:type="dxa"/>
          </w:tcPr>
          <w:p w:rsidR="007F6DF9" w:rsidRDefault="007F6DF9">
            <w:pPr>
              <w:pStyle w:val="TableParagraph"/>
              <w:rPr>
                <w:rFonts w:ascii="Times New Roman"/>
                <w:sz w:val="20"/>
              </w:rPr>
            </w:pPr>
          </w:p>
        </w:tc>
      </w:tr>
      <w:tr w:rsidR="007F6DF9">
        <w:trPr>
          <w:trHeight w:val="350"/>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w w:val="90"/>
                <w:sz w:val="20"/>
              </w:rPr>
              <w:t>Email</w:t>
            </w:r>
            <w:r>
              <w:rPr>
                <w:rFonts w:ascii="Times New Roman"/>
                <w:spacing w:val="5"/>
                <w:sz w:val="20"/>
              </w:rPr>
              <w:t xml:space="preserve"> </w:t>
            </w:r>
            <w:r>
              <w:rPr>
                <w:rFonts w:ascii="Times New Roman"/>
                <w:spacing w:val="-2"/>
                <w:sz w:val="20"/>
              </w:rPr>
              <w:t>address</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tcPr>
          <w:p w:rsidR="007F6DF9" w:rsidRDefault="007F6DF9">
            <w:pPr>
              <w:pStyle w:val="TableParagraph"/>
              <w:rPr>
                <w:rFonts w:ascii="Times New Roman"/>
                <w:sz w:val="20"/>
              </w:rPr>
            </w:pPr>
          </w:p>
        </w:tc>
        <w:tc>
          <w:tcPr>
            <w:tcW w:w="2036" w:type="dxa"/>
          </w:tcPr>
          <w:p w:rsidR="007F6DF9" w:rsidRDefault="007F6DF9">
            <w:pPr>
              <w:pStyle w:val="TableParagraph"/>
              <w:rPr>
                <w:rFonts w:ascii="Times New Roman"/>
                <w:sz w:val="20"/>
              </w:rPr>
            </w:pPr>
          </w:p>
        </w:tc>
      </w:tr>
      <w:tr w:rsidR="007F6DF9">
        <w:trPr>
          <w:trHeight w:val="1235"/>
        </w:trPr>
        <w:tc>
          <w:tcPr>
            <w:tcW w:w="461" w:type="dxa"/>
          </w:tcPr>
          <w:p w:rsidR="007F6DF9" w:rsidRDefault="007F6DF9">
            <w:pPr>
              <w:pStyle w:val="TableParagraph"/>
              <w:rPr>
                <w:rFonts w:ascii="Times New Roman"/>
                <w:sz w:val="20"/>
              </w:rPr>
            </w:pPr>
          </w:p>
        </w:tc>
        <w:tc>
          <w:tcPr>
            <w:tcW w:w="3231" w:type="dxa"/>
            <w:tcBorders>
              <w:top w:val="single" w:sz="4" w:space="0" w:color="000000"/>
            </w:tcBorders>
          </w:tcPr>
          <w:p w:rsidR="007F6DF9" w:rsidRDefault="00A43FBC">
            <w:pPr>
              <w:pStyle w:val="TableParagraph"/>
              <w:spacing w:before="60"/>
              <w:ind w:left="101" w:right="1529"/>
              <w:rPr>
                <w:rFonts w:ascii="Times New Roman"/>
                <w:sz w:val="20"/>
              </w:rPr>
            </w:pPr>
            <w:r>
              <w:rPr>
                <w:rFonts w:ascii="Times New Roman"/>
                <w:spacing w:val="-6"/>
                <w:sz w:val="20"/>
              </w:rPr>
              <w:t>Occupation</w:t>
            </w:r>
            <w:r>
              <w:rPr>
                <w:rFonts w:ascii="Times New Roman"/>
                <w:spacing w:val="-7"/>
                <w:sz w:val="20"/>
              </w:rPr>
              <w:t xml:space="preserve"> </w:t>
            </w:r>
            <w:r>
              <w:rPr>
                <w:rFonts w:ascii="Times New Roman"/>
                <w:spacing w:val="-6"/>
                <w:sz w:val="20"/>
              </w:rPr>
              <w:t xml:space="preserve">or </w:t>
            </w:r>
            <w:r>
              <w:rPr>
                <w:rFonts w:ascii="Times New Roman"/>
                <w:spacing w:val="-2"/>
                <w:sz w:val="20"/>
              </w:rPr>
              <w:t>profession</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tcPr>
          <w:p w:rsidR="007F6DF9" w:rsidRDefault="007F6DF9">
            <w:pPr>
              <w:pStyle w:val="TableParagraph"/>
              <w:rPr>
                <w:rFonts w:ascii="Times New Roman"/>
                <w:sz w:val="20"/>
              </w:rPr>
            </w:pPr>
          </w:p>
        </w:tc>
        <w:tc>
          <w:tcPr>
            <w:tcW w:w="2036" w:type="dxa"/>
          </w:tcPr>
          <w:p w:rsidR="007F6DF9" w:rsidRDefault="007F6DF9">
            <w:pPr>
              <w:pStyle w:val="TableParagraph"/>
              <w:rPr>
                <w:rFonts w:ascii="Times New Roman"/>
                <w:sz w:val="20"/>
              </w:rPr>
            </w:pPr>
          </w:p>
        </w:tc>
      </w:tr>
    </w:tbl>
    <w:p w:rsidR="007F6DF9" w:rsidRDefault="007F6DF9">
      <w:pPr>
        <w:pStyle w:val="TableParagraph"/>
        <w:rPr>
          <w:rFonts w:ascii="Times New Roman"/>
          <w:sz w:val="20"/>
        </w:rPr>
        <w:sectPr w:rsidR="007F6DF9">
          <w:pgSz w:w="11920" w:h="16850"/>
          <w:pgMar w:top="360" w:right="283" w:bottom="0" w:left="141" w:header="0" w:footer="0" w:gutter="0"/>
          <w:cols w:space="720"/>
        </w:sect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704"/>
        <w:gridCol w:w="1536"/>
        <w:gridCol w:w="1259"/>
        <w:gridCol w:w="1619"/>
        <w:gridCol w:w="2243"/>
        <w:gridCol w:w="1984"/>
      </w:tblGrid>
      <w:tr w:rsidR="007F6DF9">
        <w:trPr>
          <w:trHeight w:val="1679"/>
        </w:trPr>
        <w:tc>
          <w:tcPr>
            <w:tcW w:w="451" w:type="dxa"/>
          </w:tcPr>
          <w:p w:rsidR="007F6DF9" w:rsidRDefault="007F6DF9">
            <w:pPr>
              <w:pStyle w:val="TableParagraph"/>
              <w:rPr>
                <w:rFonts w:ascii="Times New Roman"/>
                <w:sz w:val="20"/>
              </w:rPr>
            </w:pPr>
          </w:p>
        </w:tc>
        <w:tc>
          <w:tcPr>
            <w:tcW w:w="3240" w:type="dxa"/>
            <w:gridSpan w:val="2"/>
          </w:tcPr>
          <w:p w:rsidR="007F6DF9" w:rsidRDefault="00A43FBC">
            <w:pPr>
              <w:pStyle w:val="TableParagraph"/>
              <w:spacing w:before="2"/>
              <w:ind w:left="106"/>
              <w:rPr>
                <w:rFonts w:ascii="Times New Roman"/>
                <w:b/>
                <w:sz w:val="18"/>
              </w:rPr>
            </w:pPr>
            <w:r>
              <w:rPr>
                <w:rFonts w:ascii="Times New Roman"/>
                <w:b/>
                <w:sz w:val="18"/>
              </w:rPr>
              <w:t>Details</w:t>
            </w:r>
            <w:r>
              <w:rPr>
                <w:rFonts w:ascii="Times New Roman"/>
                <w:b/>
                <w:spacing w:val="-1"/>
                <w:sz w:val="18"/>
              </w:rPr>
              <w:t xml:space="preserve"> </w:t>
            </w:r>
            <w:r>
              <w:rPr>
                <w:rFonts w:ascii="Times New Roman"/>
                <w:b/>
                <w:sz w:val="18"/>
              </w:rPr>
              <w:t>of</w:t>
            </w:r>
            <w:r>
              <w:rPr>
                <w:rFonts w:ascii="Times New Roman"/>
                <w:b/>
                <w:spacing w:val="-3"/>
                <w:sz w:val="18"/>
              </w:rPr>
              <w:t xml:space="preserve"> </w:t>
            </w:r>
            <w:r>
              <w:rPr>
                <w:rFonts w:ascii="Times New Roman"/>
                <w:b/>
                <w:sz w:val="18"/>
              </w:rPr>
              <w:t>all</w:t>
            </w:r>
            <w:r>
              <w:rPr>
                <w:rFonts w:ascii="Times New Roman"/>
                <w:b/>
                <w:spacing w:val="-1"/>
                <w:sz w:val="18"/>
              </w:rPr>
              <w:t xml:space="preserve"> </w:t>
            </w:r>
            <w:r>
              <w:rPr>
                <w:rFonts w:ascii="Times New Roman"/>
                <w:b/>
                <w:sz w:val="18"/>
              </w:rPr>
              <w:t xml:space="preserve">Beneficial </w:t>
            </w:r>
            <w:r>
              <w:rPr>
                <w:rFonts w:ascii="Times New Roman"/>
                <w:b/>
                <w:spacing w:val="-2"/>
                <w:sz w:val="18"/>
              </w:rPr>
              <w:t>Owners</w:t>
            </w:r>
          </w:p>
        </w:tc>
        <w:tc>
          <w:tcPr>
            <w:tcW w:w="1259" w:type="dxa"/>
          </w:tcPr>
          <w:p w:rsidR="007F6DF9" w:rsidRDefault="00A43FBC">
            <w:pPr>
              <w:pStyle w:val="TableParagraph"/>
              <w:spacing w:before="2"/>
              <w:ind w:left="106" w:right="156"/>
              <w:rPr>
                <w:rFonts w:ascii="Times New Roman"/>
                <w:b/>
                <w:sz w:val="18"/>
              </w:rPr>
            </w:pPr>
            <w:r>
              <w:rPr>
                <w:rFonts w:ascii="Times New Roman"/>
                <w:b/>
                <w:sz w:val="18"/>
              </w:rPr>
              <w:t>%</w:t>
            </w:r>
            <w:r>
              <w:rPr>
                <w:rFonts w:ascii="Times New Roman"/>
                <w:b/>
                <w:spacing w:val="19"/>
                <w:sz w:val="18"/>
              </w:rPr>
              <w:t xml:space="preserve"> </w:t>
            </w:r>
            <w:r>
              <w:rPr>
                <w:rFonts w:ascii="Times New Roman"/>
                <w:b/>
                <w:sz w:val="18"/>
              </w:rPr>
              <w:t>of</w:t>
            </w:r>
            <w:r>
              <w:rPr>
                <w:rFonts w:ascii="Times New Roman"/>
                <w:b/>
                <w:spacing w:val="-12"/>
                <w:sz w:val="18"/>
              </w:rPr>
              <w:t xml:space="preserve"> </w:t>
            </w:r>
            <w:r>
              <w:rPr>
                <w:rFonts w:ascii="Times New Roman"/>
                <w:b/>
                <w:sz w:val="18"/>
              </w:rPr>
              <w:t>shares a</w:t>
            </w:r>
            <w:r>
              <w:rPr>
                <w:rFonts w:ascii="Times New Roman"/>
                <w:b/>
                <w:spacing w:val="-12"/>
                <w:sz w:val="18"/>
              </w:rPr>
              <w:t xml:space="preserve"> </w:t>
            </w:r>
            <w:r>
              <w:rPr>
                <w:rFonts w:ascii="Times New Roman"/>
                <w:b/>
                <w:sz w:val="18"/>
              </w:rPr>
              <w:t xml:space="preserve">person holds in the </w:t>
            </w:r>
            <w:r>
              <w:rPr>
                <w:rFonts w:ascii="Times New Roman"/>
                <w:b/>
                <w:spacing w:val="-2"/>
                <w:sz w:val="18"/>
              </w:rPr>
              <w:t xml:space="preserve">company </w:t>
            </w:r>
            <w:r>
              <w:rPr>
                <w:rFonts w:ascii="Times New Roman"/>
                <w:b/>
                <w:sz w:val="18"/>
              </w:rPr>
              <w:t xml:space="preserve">Directly or </w:t>
            </w:r>
            <w:r>
              <w:rPr>
                <w:rFonts w:ascii="Times New Roman"/>
                <w:b/>
                <w:spacing w:val="-2"/>
                <w:sz w:val="18"/>
              </w:rPr>
              <w:t>indirectly</w:t>
            </w:r>
          </w:p>
        </w:tc>
        <w:tc>
          <w:tcPr>
            <w:tcW w:w="1619" w:type="dxa"/>
          </w:tcPr>
          <w:p w:rsidR="007F6DF9" w:rsidRDefault="00A43FBC">
            <w:pPr>
              <w:pStyle w:val="TableParagraph"/>
              <w:spacing w:before="2"/>
              <w:ind w:left="107" w:right="414"/>
              <w:rPr>
                <w:rFonts w:ascii="Times New Roman"/>
                <w:b/>
                <w:sz w:val="18"/>
              </w:rPr>
            </w:pPr>
            <w:r>
              <w:rPr>
                <w:rFonts w:ascii="Times New Roman"/>
                <w:b/>
                <w:sz w:val="18"/>
              </w:rPr>
              <w:t xml:space="preserve">% of voting </w:t>
            </w:r>
            <w:r>
              <w:rPr>
                <w:rFonts w:ascii="Times New Roman"/>
                <w:b/>
                <w:spacing w:val="-6"/>
                <w:sz w:val="18"/>
              </w:rPr>
              <w:t>rights a person</w:t>
            </w:r>
            <w:r>
              <w:rPr>
                <w:rFonts w:ascii="Times New Roman"/>
                <w:b/>
                <w:sz w:val="18"/>
              </w:rPr>
              <w:t xml:space="preserve"> holds in the </w:t>
            </w:r>
            <w:r>
              <w:rPr>
                <w:rFonts w:ascii="Times New Roman"/>
                <w:b/>
                <w:spacing w:val="-2"/>
                <w:sz w:val="18"/>
              </w:rPr>
              <w:t>company</w:t>
            </w:r>
          </w:p>
        </w:tc>
        <w:tc>
          <w:tcPr>
            <w:tcW w:w="2243" w:type="dxa"/>
          </w:tcPr>
          <w:p w:rsidR="007F6DF9" w:rsidRDefault="00A43FBC">
            <w:pPr>
              <w:pStyle w:val="TableParagraph"/>
              <w:spacing w:before="2"/>
              <w:ind w:left="108" w:right="92"/>
              <w:jc w:val="both"/>
              <w:rPr>
                <w:rFonts w:ascii="Times New Roman"/>
                <w:b/>
                <w:sz w:val="18"/>
              </w:rPr>
            </w:pPr>
            <w:r>
              <w:rPr>
                <w:rFonts w:ascii="Times New Roman"/>
                <w:b/>
                <w:sz w:val="18"/>
              </w:rPr>
              <w:t>Whether</w:t>
            </w:r>
            <w:r>
              <w:rPr>
                <w:rFonts w:ascii="Times New Roman"/>
                <w:b/>
                <w:spacing w:val="-8"/>
                <w:sz w:val="18"/>
              </w:rPr>
              <w:t xml:space="preserve"> </w:t>
            </w:r>
            <w:r>
              <w:rPr>
                <w:rFonts w:ascii="Times New Roman"/>
                <w:b/>
                <w:sz w:val="18"/>
              </w:rPr>
              <w:t>a</w:t>
            </w:r>
            <w:r>
              <w:rPr>
                <w:rFonts w:ascii="Times New Roman"/>
                <w:b/>
                <w:spacing w:val="-6"/>
                <w:sz w:val="18"/>
              </w:rPr>
              <w:t xml:space="preserve"> </w:t>
            </w:r>
            <w:r>
              <w:rPr>
                <w:rFonts w:ascii="Times New Roman"/>
                <w:b/>
                <w:sz w:val="18"/>
              </w:rPr>
              <w:t>person</w:t>
            </w:r>
            <w:r>
              <w:rPr>
                <w:rFonts w:ascii="Times New Roman"/>
                <w:b/>
                <w:spacing w:val="-9"/>
                <w:sz w:val="18"/>
              </w:rPr>
              <w:t xml:space="preserve"> </w:t>
            </w:r>
            <w:r>
              <w:rPr>
                <w:rFonts w:ascii="Times New Roman"/>
                <w:b/>
                <w:sz w:val="18"/>
              </w:rPr>
              <w:t>directly or indirectly holds a right to appoint or remove a member of the board of directors of the company or an equivalent</w:t>
            </w:r>
            <w:r>
              <w:rPr>
                <w:rFonts w:ascii="Times New Roman"/>
                <w:b/>
                <w:spacing w:val="40"/>
                <w:sz w:val="18"/>
              </w:rPr>
              <w:t xml:space="preserve"> </w:t>
            </w:r>
            <w:proofErr w:type="gramStart"/>
            <w:r>
              <w:rPr>
                <w:rFonts w:ascii="Times New Roman"/>
                <w:b/>
                <w:sz w:val="18"/>
              </w:rPr>
              <w:t>governing</w:t>
            </w:r>
            <w:r>
              <w:rPr>
                <w:rFonts w:ascii="Times New Roman"/>
                <w:b/>
                <w:spacing w:val="33"/>
                <w:sz w:val="18"/>
              </w:rPr>
              <w:t xml:space="preserve">  </w:t>
            </w:r>
            <w:r>
              <w:rPr>
                <w:rFonts w:ascii="Times New Roman"/>
                <w:b/>
                <w:sz w:val="18"/>
              </w:rPr>
              <w:t>body</w:t>
            </w:r>
            <w:proofErr w:type="gramEnd"/>
            <w:r>
              <w:rPr>
                <w:rFonts w:ascii="Times New Roman"/>
                <w:b/>
                <w:spacing w:val="37"/>
                <w:sz w:val="18"/>
              </w:rPr>
              <w:t xml:space="preserve">  </w:t>
            </w:r>
            <w:r>
              <w:rPr>
                <w:rFonts w:ascii="Times New Roman"/>
                <w:b/>
                <w:sz w:val="18"/>
              </w:rPr>
              <w:t>of</w:t>
            </w:r>
            <w:r>
              <w:rPr>
                <w:rFonts w:ascii="Times New Roman"/>
                <w:b/>
                <w:spacing w:val="35"/>
                <w:sz w:val="18"/>
              </w:rPr>
              <w:t xml:space="preserve">  </w:t>
            </w:r>
            <w:r>
              <w:rPr>
                <w:rFonts w:ascii="Times New Roman"/>
                <w:b/>
                <w:spacing w:val="-5"/>
                <w:sz w:val="18"/>
              </w:rPr>
              <w:t>the</w:t>
            </w:r>
          </w:p>
          <w:p w:rsidR="007F6DF9" w:rsidRDefault="00A43FBC">
            <w:pPr>
              <w:pStyle w:val="TableParagraph"/>
              <w:spacing w:line="209" w:lineRule="exact"/>
              <w:ind w:left="108"/>
              <w:jc w:val="both"/>
              <w:rPr>
                <w:rFonts w:ascii="Times New Roman"/>
                <w:sz w:val="20"/>
              </w:rPr>
            </w:pPr>
            <w:r>
              <w:rPr>
                <w:rFonts w:ascii="Times New Roman"/>
                <w:b/>
                <w:sz w:val="18"/>
              </w:rPr>
              <w:t>Tenderer</w:t>
            </w:r>
            <w:r>
              <w:rPr>
                <w:rFonts w:ascii="Times New Roman"/>
                <w:b/>
                <w:spacing w:val="-3"/>
                <w:sz w:val="18"/>
              </w:rPr>
              <w:t xml:space="preserve"> </w:t>
            </w:r>
            <w:r>
              <w:rPr>
                <w:rFonts w:ascii="Times New Roman"/>
                <w:sz w:val="20"/>
              </w:rPr>
              <w:t>(Yes</w:t>
            </w:r>
            <w:r>
              <w:rPr>
                <w:rFonts w:ascii="Times New Roman"/>
                <w:spacing w:val="-4"/>
                <w:sz w:val="20"/>
              </w:rPr>
              <w:t xml:space="preserve"> </w:t>
            </w:r>
            <w:r>
              <w:rPr>
                <w:rFonts w:ascii="Times New Roman"/>
                <w:sz w:val="20"/>
              </w:rPr>
              <w:t>/</w:t>
            </w:r>
            <w:r>
              <w:rPr>
                <w:rFonts w:ascii="Times New Roman"/>
                <w:spacing w:val="-3"/>
                <w:sz w:val="20"/>
              </w:rPr>
              <w:t xml:space="preserve"> </w:t>
            </w:r>
            <w:r>
              <w:rPr>
                <w:rFonts w:ascii="Times New Roman"/>
                <w:spacing w:val="-5"/>
                <w:sz w:val="20"/>
              </w:rPr>
              <w:t>No)</w:t>
            </w:r>
          </w:p>
        </w:tc>
        <w:tc>
          <w:tcPr>
            <w:tcW w:w="1984" w:type="dxa"/>
          </w:tcPr>
          <w:p w:rsidR="007F6DF9" w:rsidRDefault="00A43FBC">
            <w:pPr>
              <w:pStyle w:val="TableParagraph"/>
              <w:spacing w:before="2"/>
              <w:ind w:left="113" w:right="34"/>
              <w:rPr>
                <w:rFonts w:ascii="Times New Roman"/>
                <w:b/>
                <w:sz w:val="18"/>
              </w:rPr>
            </w:pPr>
            <w:r>
              <w:rPr>
                <w:rFonts w:ascii="Times New Roman"/>
                <w:b/>
                <w:sz w:val="18"/>
              </w:rPr>
              <w:t>Whether a person directly</w:t>
            </w:r>
            <w:r>
              <w:rPr>
                <w:rFonts w:ascii="Times New Roman"/>
                <w:b/>
                <w:spacing w:val="-12"/>
                <w:sz w:val="18"/>
              </w:rPr>
              <w:t xml:space="preserve"> </w:t>
            </w:r>
            <w:r>
              <w:rPr>
                <w:rFonts w:ascii="Times New Roman"/>
                <w:b/>
                <w:sz w:val="18"/>
              </w:rPr>
              <w:t>or</w:t>
            </w:r>
            <w:r>
              <w:rPr>
                <w:rFonts w:ascii="Times New Roman"/>
                <w:b/>
                <w:spacing w:val="-11"/>
                <w:sz w:val="18"/>
              </w:rPr>
              <w:t xml:space="preserve"> </w:t>
            </w:r>
            <w:r>
              <w:rPr>
                <w:rFonts w:ascii="Times New Roman"/>
                <w:b/>
                <w:sz w:val="18"/>
              </w:rPr>
              <w:t>indirectly exercises</w:t>
            </w:r>
            <w:r>
              <w:rPr>
                <w:rFonts w:ascii="Times New Roman"/>
                <w:b/>
                <w:spacing w:val="-2"/>
                <w:sz w:val="18"/>
              </w:rPr>
              <w:t xml:space="preserve"> </w:t>
            </w:r>
            <w:r>
              <w:rPr>
                <w:rFonts w:ascii="Times New Roman"/>
                <w:b/>
                <w:sz w:val="18"/>
              </w:rPr>
              <w:t>significant influence or</w:t>
            </w:r>
            <w:r>
              <w:rPr>
                <w:rFonts w:ascii="Times New Roman"/>
                <w:b/>
                <w:spacing w:val="-3"/>
                <w:sz w:val="18"/>
              </w:rPr>
              <w:t xml:space="preserve"> </w:t>
            </w:r>
            <w:r>
              <w:rPr>
                <w:rFonts w:ascii="Times New Roman"/>
                <w:b/>
                <w:sz w:val="18"/>
              </w:rPr>
              <w:t>control over the Company (tenderer)</w:t>
            </w:r>
            <w:r>
              <w:rPr>
                <w:rFonts w:ascii="Times New Roman"/>
                <w:b/>
                <w:spacing w:val="7"/>
                <w:sz w:val="18"/>
              </w:rPr>
              <w:t xml:space="preserve"> </w:t>
            </w:r>
            <w:r>
              <w:rPr>
                <w:rFonts w:ascii="Times New Roman"/>
                <w:b/>
                <w:sz w:val="18"/>
              </w:rPr>
              <w:t>(Yes</w:t>
            </w:r>
            <w:r>
              <w:rPr>
                <w:rFonts w:ascii="Times New Roman"/>
                <w:b/>
                <w:spacing w:val="-11"/>
                <w:sz w:val="18"/>
              </w:rPr>
              <w:t xml:space="preserve"> </w:t>
            </w:r>
            <w:r>
              <w:rPr>
                <w:rFonts w:ascii="Times New Roman"/>
                <w:b/>
                <w:sz w:val="18"/>
              </w:rPr>
              <w:t>/</w:t>
            </w:r>
            <w:r>
              <w:rPr>
                <w:rFonts w:ascii="Times New Roman"/>
                <w:b/>
                <w:spacing w:val="-11"/>
                <w:sz w:val="18"/>
              </w:rPr>
              <w:t xml:space="preserve"> </w:t>
            </w:r>
            <w:r>
              <w:rPr>
                <w:rFonts w:ascii="Times New Roman"/>
                <w:b/>
                <w:sz w:val="18"/>
              </w:rPr>
              <w:t>No)</w:t>
            </w:r>
          </w:p>
        </w:tc>
      </w:tr>
      <w:tr w:rsidR="007F6DF9">
        <w:trPr>
          <w:trHeight w:val="580"/>
        </w:trPr>
        <w:tc>
          <w:tcPr>
            <w:tcW w:w="10796" w:type="dxa"/>
            <w:gridSpan w:val="7"/>
            <w:shd w:val="clear" w:color="auto" w:fill="D9D9D9"/>
          </w:tcPr>
          <w:p w:rsidR="007F6DF9" w:rsidRDefault="007F6DF9">
            <w:pPr>
              <w:pStyle w:val="TableParagraph"/>
              <w:rPr>
                <w:rFonts w:ascii="Times New Roman"/>
                <w:sz w:val="20"/>
              </w:rPr>
            </w:pPr>
          </w:p>
        </w:tc>
      </w:tr>
      <w:tr w:rsidR="007F6DF9">
        <w:trPr>
          <w:trHeight w:val="350"/>
        </w:trPr>
        <w:tc>
          <w:tcPr>
            <w:tcW w:w="451" w:type="dxa"/>
            <w:vMerge w:val="restart"/>
            <w:tcBorders>
              <w:bottom w:val="nil"/>
            </w:tcBorders>
          </w:tcPr>
          <w:p w:rsidR="007F6DF9" w:rsidRDefault="00A43FBC">
            <w:pPr>
              <w:pStyle w:val="TableParagraph"/>
              <w:spacing w:before="60"/>
              <w:ind w:left="107"/>
              <w:rPr>
                <w:rFonts w:ascii="Times New Roman"/>
                <w:b/>
                <w:sz w:val="20"/>
              </w:rPr>
            </w:pPr>
            <w:r>
              <w:rPr>
                <w:rFonts w:ascii="Times New Roman"/>
                <w:b/>
                <w:spacing w:val="-5"/>
                <w:sz w:val="20"/>
              </w:rPr>
              <w:t>2.</w:t>
            </w:r>
          </w:p>
        </w:tc>
        <w:tc>
          <w:tcPr>
            <w:tcW w:w="1704" w:type="dxa"/>
          </w:tcPr>
          <w:p w:rsidR="007F6DF9" w:rsidRDefault="00A43FBC">
            <w:pPr>
              <w:pStyle w:val="TableParagraph"/>
              <w:spacing w:before="60"/>
              <w:ind w:left="106"/>
              <w:rPr>
                <w:rFonts w:ascii="Times New Roman"/>
                <w:sz w:val="20"/>
              </w:rPr>
            </w:pPr>
            <w:r>
              <w:rPr>
                <w:rFonts w:ascii="Times New Roman"/>
                <w:spacing w:val="-7"/>
                <w:sz w:val="20"/>
              </w:rPr>
              <w:t>Full</w:t>
            </w:r>
            <w:r>
              <w:rPr>
                <w:rFonts w:ascii="Times New Roman"/>
                <w:sz w:val="20"/>
              </w:rPr>
              <w:t xml:space="preserve"> </w:t>
            </w:r>
            <w:r>
              <w:rPr>
                <w:rFonts w:ascii="Times New Roman"/>
                <w:spacing w:val="-4"/>
                <w:sz w:val="20"/>
              </w:rPr>
              <w:t>Name</w:t>
            </w:r>
          </w:p>
        </w:tc>
        <w:tc>
          <w:tcPr>
            <w:tcW w:w="1536" w:type="dxa"/>
          </w:tcPr>
          <w:p w:rsidR="007F6DF9" w:rsidRDefault="007F6DF9">
            <w:pPr>
              <w:pStyle w:val="TableParagraph"/>
              <w:rPr>
                <w:rFonts w:ascii="Times New Roman"/>
                <w:sz w:val="20"/>
              </w:rPr>
            </w:pPr>
          </w:p>
        </w:tc>
        <w:tc>
          <w:tcPr>
            <w:tcW w:w="1259" w:type="dxa"/>
            <w:vMerge w:val="restart"/>
            <w:tcBorders>
              <w:bottom w:val="nil"/>
            </w:tcBorders>
          </w:tcPr>
          <w:p w:rsidR="007F6DF9" w:rsidRDefault="00A43FBC">
            <w:pPr>
              <w:pStyle w:val="TableParagraph"/>
              <w:spacing w:before="60"/>
              <w:ind w:left="106"/>
              <w:rPr>
                <w:rFonts w:ascii="Times New Roman"/>
                <w:sz w:val="20"/>
              </w:rPr>
            </w:pPr>
            <w:r>
              <w:rPr>
                <w:rFonts w:ascii="Times New Roman"/>
                <w:spacing w:val="-4"/>
                <w:sz w:val="20"/>
              </w:rPr>
              <w:t>Directly------</w:t>
            </w:r>
          </w:p>
          <w:p w:rsidR="007F6DF9" w:rsidRDefault="00A43FBC">
            <w:pPr>
              <w:pStyle w:val="TableParagraph"/>
              <w:tabs>
                <w:tab w:val="left" w:pos="826"/>
              </w:tabs>
              <w:ind w:left="106"/>
              <w:rPr>
                <w:rFonts w:ascii="Times New Roman"/>
                <w:sz w:val="20"/>
              </w:rPr>
            </w:pPr>
            <w:r>
              <w:rPr>
                <w:rFonts w:ascii="Times New Roman"/>
                <w:spacing w:val="-4"/>
                <w:sz w:val="20"/>
              </w:rPr>
              <w:t>-----</w:t>
            </w:r>
            <w:r>
              <w:rPr>
                <w:rFonts w:ascii="Times New Roman"/>
                <w:sz w:val="20"/>
              </w:rPr>
              <w:tab/>
            </w:r>
            <w:r>
              <w:rPr>
                <w:rFonts w:ascii="Times New Roman"/>
                <w:spacing w:val="-10"/>
                <w:sz w:val="20"/>
              </w:rPr>
              <w:t>%</w:t>
            </w:r>
          </w:p>
          <w:p w:rsidR="007F6DF9" w:rsidRDefault="00A43FBC">
            <w:pPr>
              <w:pStyle w:val="TableParagraph"/>
              <w:spacing w:before="1"/>
              <w:ind w:left="106"/>
              <w:rPr>
                <w:rFonts w:ascii="Times New Roman"/>
                <w:sz w:val="20"/>
              </w:rPr>
            </w:pPr>
            <w:r>
              <w:rPr>
                <w:rFonts w:ascii="Times New Roman"/>
                <w:sz w:val="20"/>
              </w:rPr>
              <w:t>of</w:t>
            </w:r>
            <w:r>
              <w:rPr>
                <w:rFonts w:ascii="Times New Roman"/>
                <w:spacing w:val="-3"/>
                <w:sz w:val="20"/>
              </w:rPr>
              <w:t xml:space="preserve"> </w:t>
            </w:r>
            <w:r>
              <w:rPr>
                <w:rFonts w:ascii="Times New Roman"/>
                <w:spacing w:val="-2"/>
                <w:sz w:val="20"/>
              </w:rPr>
              <w:t>shares</w:t>
            </w:r>
          </w:p>
        </w:tc>
        <w:tc>
          <w:tcPr>
            <w:tcW w:w="1619" w:type="dxa"/>
            <w:vMerge w:val="restart"/>
          </w:tcPr>
          <w:p w:rsidR="007F6DF9" w:rsidRDefault="00A43FBC">
            <w:pPr>
              <w:pStyle w:val="TableParagraph"/>
              <w:spacing w:before="60"/>
              <w:ind w:left="107"/>
              <w:rPr>
                <w:rFonts w:ascii="Times New Roman" w:hAnsi="Times New Roman"/>
                <w:sz w:val="20"/>
              </w:rPr>
            </w:pPr>
            <w:r>
              <w:rPr>
                <w:rFonts w:ascii="Times New Roman" w:hAnsi="Times New Roman"/>
                <w:spacing w:val="-2"/>
                <w:sz w:val="20"/>
              </w:rPr>
              <w:t>Directly………</w:t>
            </w:r>
          </w:p>
          <w:p w:rsidR="007F6DF9" w:rsidRDefault="00A43FBC">
            <w:pPr>
              <w:pStyle w:val="TableParagraph"/>
              <w:ind w:left="107"/>
              <w:rPr>
                <w:rFonts w:ascii="Times New Roman" w:hAnsi="Times New Roman"/>
                <w:sz w:val="20"/>
              </w:rPr>
            </w:pPr>
            <w:r>
              <w:rPr>
                <w:rFonts w:ascii="Times New Roman" w:hAnsi="Times New Roman"/>
                <w:spacing w:val="-2"/>
                <w:sz w:val="20"/>
              </w:rPr>
              <w:t>…</w:t>
            </w:r>
            <w:proofErr w:type="gramStart"/>
            <w:r>
              <w:rPr>
                <w:rFonts w:ascii="Times New Roman" w:hAnsi="Times New Roman"/>
                <w:spacing w:val="-2"/>
                <w:sz w:val="20"/>
              </w:rPr>
              <w:t>….%</w:t>
            </w:r>
            <w:proofErr w:type="gramEnd"/>
            <w:r>
              <w:rPr>
                <w:rFonts w:ascii="Times New Roman" w:hAnsi="Times New Roman"/>
                <w:spacing w:val="-14"/>
                <w:sz w:val="20"/>
              </w:rPr>
              <w:t xml:space="preserve"> </w:t>
            </w:r>
            <w:r>
              <w:rPr>
                <w:rFonts w:ascii="Times New Roman" w:hAnsi="Times New Roman"/>
                <w:spacing w:val="-2"/>
                <w:sz w:val="20"/>
              </w:rPr>
              <w:t>of</w:t>
            </w:r>
            <w:r>
              <w:rPr>
                <w:rFonts w:ascii="Times New Roman" w:hAnsi="Times New Roman"/>
                <w:spacing w:val="-11"/>
                <w:sz w:val="20"/>
              </w:rPr>
              <w:t xml:space="preserve"> </w:t>
            </w:r>
            <w:r>
              <w:rPr>
                <w:rFonts w:ascii="Times New Roman" w:hAnsi="Times New Roman"/>
                <w:spacing w:val="-2"/>
                <w:sz w:val="20"/>
              </w:rPr>
              <w:t>voting rights</w:t>
            </w:r>
          </w:p>
          <w:p w:rsidR="007F6DF9" w:rsidRDefault="007F6DF9">
            <w:pPr>
              <w:pStyle w:val="TableParagraph"/>
              <w:spacing w:before="120"/>
              <w:rPr>
                <w:rFonts w:ascii="Times New Roman"/>
                <w:b/>
                <w:sz w:val="20"/>
              </w:rPr>
            </w:pPr>
          </w:p>
          <w:p w:rsidR="007F6DF9" w:rsidRDefault="00A43FBC">
            <w:pPr>
              <w:pStyle w:val="TableParagraph"/>
              <w:ind w:left="107"/>
              <w:rPr>
                <w:rFonts w:ascii="Times New Roman"/>
                <w:sz w:val="20"/>
              </w:rPr>
            </w:pPr>
            <w:r>
              <w:rPr>
                <w:rFonts w:ascii="Times New Roman"/>
                <w:spacing w:val="-4"/>
                <w:sz w:val="20"/>
              </w:rPr>
              <w:t>Indirectly----------</w:t>
            </w:r>
          </w:p>
          <w:p w:rsidR="007F6DF9" w:rsidRDefault="00A43FBC">
            <w:pPr>
              <w:pStyle w:val="TableParagraph"/>
              <w:ind w:left="107" w:right="175"/>
              <w:rPr>
                <w:rFonts w:ascii="Times New Roman"/>
                <w:sz w:val="20"/>
              </w:rPr>
            </w:pPr>
            <w:r>
              <w:rPr>
                <w:rFonts w:ascii="Times New Roman"/>
                <w:spacing w:val="-2"/>
                <w:sz w:val="20"/>
              </w:rPr>
              <w:t>%</w:t>
            </w:r>
            <w:r>
              <w:rPr>
                <w:rFonts w:ascii="Times New Roman"/>
                <w:spacing w:val="-12"/>
                <w:sz w:val="20"/>
              </w:rPr>
              <w:t xml:space="preserve"> </w:t>
            </w:r>
            <w:r>
              <w:rPr>
                <w:rFonts w:ascii="Times New Roman"/>
                <w:spacing w:val="-2"/>
                <w:sz w:val="20"/>
              </w:rPr>
              <w:t>of</w:t>
            </w:r>
            <w:r>
              <w:rPr>
                <w:rFonts w:ascii="Times New Roman"/>
                <w:spacing w:val="-11"/>
                <w:sz w:val="20"/>
              </w:rPr>
              <w:t xml:space="preserve"> </w:t>
            </w:r>
            <w:r>
              <w:rPr>
                <w:rFonts w:ascii="Times New Roman"/>
                <w:spacing w:val="-2"/>
                <w:sz w:val="20"/>
              </w:rPr>
              <w:t>voting rights</w:t>
            </w:r>
          </w:p>
        </w:tc>
        <w:tc>
          <w:tcPr>
            <w:tcW w:w="2243" w:type="dxa"/>
            <w:vMerge w:val="restart"/>
          </w:tcPr>
          <w:p w:rsidR="007F6DF9" w:rsidRDefault="00A43FBC">
            <w:pPr>
              <w:pStyle w:val="TableParagraph"/>
              <w:numPr>
                <w:ilvl w:val="0"/>
                <w:numId w:val="8"/>
              </w:numPr>
              <w:tabs>
                <w:tab w:val="left" w:pos="279"/>
              </w:tabs>
              <w:ind w:right="91"/>
              <w:jc w:val="both"/>
              <w:rPr>
                <w:rFonts w:ascii="Times New Roman"/>
                <w:sz w:val="20"/>
              </w:rPr>
            </w:pPr>
            <w:r>
              <w:rPr>
                <w:rFonts w:ascii="Times New Roman"/>
                <w:sz w:val="20"/>
              </w:rPr>
              <w:t>Having the right to appoint a majority of the board of the directors or an equivalent governing body of the Tenderer: Yes -----No----</w:t>
            </w:r>
          </w:p>
          <w:p w:rsidR="007F6DF9" w:rsidRDefault="00A43FBC">
            <w:pPr>
              <w:pStyle w:val="TableParagraph"/>
              <w:numPr>
                <w:ilvl w:val="0"/>
                <w:numId w:val="8"/>
              </w:numPr>
              <w:tabs>
                <w:tab w:val="left" w:pos="279"/>
              </w:tabs>
              <w:spacing w:before="1"/>
              <w:ind w:right="89"/>
              <w:jc w:val="both"/>
              <w:rPr>
                <w:rFonts w:ascii="Times New Roman"/>
                <w:sz w:val="20"/>
              </w:rPr>
            </w:pPr>
            <w:r>
              <w:rPr>
                <w:rFonts w:ascii="Times New Roman"/>
                <w:sz w:val="20"/>
              </w:rPr>
              <w:t xml:space="preserve">Is this right held directly or </w:t>
            </w:r>
            <w:proofErr w:type="gramStart"/>
            <w:r>
              <w:rPr>
                <w:rFonts w:ascii="Times New Roman"/>
                <w:sz w:val="20"/>
              </w:rPr>
              <w:t>indirectly?:</w:t>
            </w:r>
            <w:proofErr w:type="gramEnd"/>
          </w:p>
          <w:p w:rsidR="007F6DF9" w:rsidRDefault="007F6DF9">
            <w:pPr>
              <w:pStyle w:val="TableParagraph"/>
              <w:spacing w:before="229"/>
              <w:rPr>
                <w:rFonts w:ascii="Times New Roman"/>
                <w:b/>
                <w:sz w:val="20"/>
              </w:rPr>
            </w:pPr>
          </w:p>
          <w:p w:rsidR="007F6DF9" w:rsidRDefault="00A43FBC">
            <w:pPr>
              <w:pStyle w:val="TableParagraph"/>
              <w:ind w:left="279"/>
              <w:rPr>
                <w:rFonts w:ascii="Times New Roman" w:hAnsi="Times New Roman"/>
                <w:sz w:val="20"/>
              </w:rPr>
            </w:pPr>
            <w:r>
              <w:rPr>
                <w:rFonts w:ascii="Times New Roman" w:hAnsi="Times New Roman"/>
                <w:spacing w:val="-2"/>
                <w:sz w:val="20"/>
              </w:rPr>
              <w:t>Direct………………</w:t>
            </w:r>
          </w:p>
          <w:p w:rsidR="007F6DF9" w:rsidRDefault="00A43FBC">
            <w:pPr>
              <w:pStyle w:val="TableParagraph"/>
              <w:spacing w:before="1"/>
              <w:ind w:left="279"/>
              <w:rPr>
                <w:rFonts w:ascii="Times New Roman" w:hAnsi="Times New Roman"/>
                <w:sz w:val="20"/>
              </w:rPr>
            </w:pPr>
            <w:r>
              <w:rPr>
                <w:rFonts w:ascii="Times New Roman" w:hAnsi="Times New Roman"/>
                <w:spacing w:val="-10"/>
                <w:sz w:val="20"/>
              </w:rPr>
              <w:t>…</w:t>
            </w:r>
          </w:p>
          <w:p w:rsidR="007F6DF9" w:rsidRDefault="007F6DF9">
            <w:pPr>
              <w:pStyle w:val="TableParagraph"/>
              <w:spacing w:before="228"/>
              <w:rPr>
                <w:rFonts w:ascii="Times New Roman"/>
                <w:b/>
                <w:sz w:val="20"/>
              </w:rPr>
            </w:pPr>
          </w:p>
          <w:p w:rsidR="007F6DF9" w:rsidRDefault="00A43FBC">
            <w:pPr>
              <w:pStyle w:val="TableParagraph"/>
              <w:spacing w:before="1"/>
              <w:ind w:left="279"/>
              <w:rPr>
                <w:rFonts w:ascii="Times New Roman" w:hAnsi="Times New Roman"/>
                <w:sz w:val="20"/>
              </w:rPr>
            </w:pPr>
            <w:r>
              <w:rPr>
                <w:rFonts w:ascii="Times New Roman" w:hAnsi="Times New Roman"/>
                <w:spacing w:val="-2"/>
                <w:sz w:val="20"/>
              </w:rPr>
              <w:t>Indirect………………</w:t>
            </w:r>
          </w:p>
          <w:p w:rsidR="007F6DF9" w:rsidRDefault="00A43FBC">
            <w:pPr>
              <w:pStyle w:val="TableParagraph"/>
              <w:ind w:left="279"/>
              <w:rPr>
                <w:rFonts w:ascii="Times New Roman"/>
                <w:sz w:val="20"/>
              </w:rPr>
            </w:pPr>
            <w:r>
              <w:rPr>
                <w:rFonts w:ascii="Times New Roman"/>
                <w:spacing w:val="-5"/>
                <w:sz w:val="20"/>
              </w:rPr>
              <w:t>...</w:t>
            </w:r>
          </w:p>
        </w:tc>
        <w:tc>
          <w:tcPr>
            <w:tcW w:w="1984" w:type="dxa"/>
            <w:vMerge w:val="restart"/>
          </w:tcPr>
          <w:p w:rsidR="007F6DF9" w:rsidRDefault="00A43FBC">
            <w:pPr>
              <w:pStyle w:val="TableParagraph"/>
              <w:numPr>
                <w:ilvl w:val="0"/>
                <w:numId w:val="7"/>
              </w:numPr>
              <w:tabs>
                <w:tab w:val="left" w:pos="283"/>
              </w:tabs>
              <w:ind w:right="90"/>
              <w:rPr>
                <w:rFonts w:ascii="Times New Roman"/>
                <w:b/>
                <w:sz w:val="20"/>
              </w:rPr>
            </w:pPr>
            <w:r>
              <w:rPr>
                <w:rFonts w:ascii="Times New Roman"/>
                <w:spacing w:val="-2"/>
                <w:sz w:val="20"/>
              </w:rPr>
              <w:t>Exercises</w:t>
            </w:r>
            <w:r>
              <w:rPr>
                <w:rFonts w:ascii="Times New Roman"/>
                <w:spacing w:val="40"/>
                <w:sz w:val="20"/>
              </w:rPr>
              <w:t xml:space="preserve"> </w:t>
            </w:r>
            <w:r>
              <w:rPr>
                <w:rFonts w:ascii="Times New Roman"/>
                <w:spacing w:val="-2"/>
                <w:sz w:val="20"/>
              </w:rPr>
              <w:t>significant</w:t>
            </w:r>
            <w:r>
              <w:rPr>
                <w:rFonts w:ascii="Times New Roman"/>
                <w:spacing w:val="-11"/>
                <w:sz w:val="20"/>
              </w:rPr>
              <w:t xml:space="preserve"> </w:t>
            </w:r>
            <w:r>
              <w:rPr>
                <w:rFonts w:ascii="Times New Roman"/>
                <w:spacing w:val="-2"/>
                <w:sz w:val="20"/>
              </w:rPr>
              <w:t xml:space="preserve">influence </w:t>
            </w:r>
            <w:r>
              <w:rPr>
                <w:rFonts w:ascii="Times New Roman"/>
                <w:sz w:val="20"/>
              </w:rPr>
              <w:t xml:space="preserve">or control over the Company body of the Company </w:t>
            </w:r>
            <w:r>
              <w:rPr>
                <w:rFonts w:ascii="Times New Roman"/>
                <w:spacing w:val="-2"/>
                <w:sz w:val="20"/>
              </w:rPr>
              <w:t>(tenderer</w:t>
            </w:r>
            <w:r>
              <w:rPr>
                <w:rFonts w:ascii="Times New Roman"/>
                <w:b/>
                <w:spacing w:val="-2"/>
                <w:sz w:val="20"/>
              </w:rPr>
              <w:t>)</w:t>
            </w:r>
          </w:p>
          <w:p w:rsidR="007F6DF9" w:rsidRDefault="00A43FBC">
            <w:pPr>
              <w:pStyle w:val="TableParagraph"/>
              <w:spacing w:before="1"/>
              <w:ind w:left="254"/>
              <w:rPr>
                <w:rFonts w:ascii="Times New Roman"/>
                <w:sz w:val="20"/>
              </w:rPr>
            </w:pPr>
            <w:r>
              <w:rPr>
                <w:rFonts w:ascii="Times New Roman"/>
                <w:sz w:val="20"/>
              </w:rPr>
              <w:t>Yes</w:t>
            </w:r>
            <w:r>
              <w:rPr>
                <w:rFonts w:ascii="Times New Roman"/>
                <w:spacing w:val="-12"/>
                <w:sz w:val="20"/>
              </w:rPr>
              <w:t xml:space="preserve"> </w:t>
            </w:r>
            <w:r>
              <w:rPr>
                <w:rFonts w:ascii="Times New Roman"/>
                <w:sz w:val="20"/>
              </w:rPr>
              <w:t>-----No---</w:t>
            </w:r>
            <w:r>
              <w:rPr>
                <w:rFonts w:ascii="Times New Roman"/>
                <w:spacing w:val="-10"/>
                <w:sz w:val="20"/>
              </w:rPr>
              <w:t>-</w:t>
            </w:r>
          </w:p>
          <w:p w:rsidR="007F6DF9" w:rsidRDefault="00A43FBC">
            <w:pPr>
              <w:pStyle w:val="TableParagraph"/>
              <w:numPr>
                <w:ilvl w:val="0"/>
                <w:numId w:val="7"/>
              </w:numPr>
              <w:tabs>
                <w:tab w:val="left" w:pos="283"/>
              </w:tabs>
              <w:spacing w:before="228"/>
              <w:ind w:right="194"/>
              <w:rPr>
                <w:rFonts w:ascii="Times New Roman"/>
                <w:sz w:val="20"/>
              </w:rPr>
            </w:pPr>
            <w:r>
              <w:rPr>
                <w:rFonts w:ascii="Times New Roman"/>
                <w:sz w:val="20"/>
              </w:rPr>
              <w:t>Is</w:t>
            </w:r>
            <w:r>
              <w:rPr>
                <w:rFonts w:ascii="Times New Roman"/>
                <w:spacing w:val="-13"/>
                <w:sz w:val="20"/>
              </w:rPr>
              <w:t xml:space="preserve"> </w:t>
            </w:r>
            <w:r>
              <w:rPr>
                <w:rFonts w:ascii="Times New Roman"/>
                <w:sz w:val="20"/>
              </w:rPr>
              <w:t>this</w:t>
            </w:r>
            <w:r>
              <w:rPr>
                <w:rFonts w:ascii="Times New Roman"/>
                <w:spacing w:val="-12"/>
                <w:sz w:val="20"/>
              </w:rPr>
              <w:t xml:space="preserve"> </w:t>
            </w:r>
            <w:r>
              <w:rPr>
                <w:rFonts w:ascii="Times New Roman"/>
                <w:sz w:val="20"/>
              </w:rPr>
              <w:t>influence</w:t>
            </w:r>
            <w:r>
              <w:rPr>
                <w:rFonts w:ascii="Times New Roman"/>
                <w:spacing w:val="-13"/>
                <w:sz w:val="20"/>
              </w:rPr>
              <w:t xml:space="preserve"> </w:t>
            </w:r>
            <w:r>
              <w:rPr>
                <w:rFonts w:ascii="Times New Roman"/>
                <w:sz w:val="20"/>
              </w:rPr>
              <w:t xml:space="preserve">or control exercised directly or </w:t>
            </w:r>
            <w:r>
              <w:rPr>
                <w:rFonts w:ascii="Times New Roman"/>
                <w:spacing w:val="-2"/>
                <w:sz w:val="20"/>
              </w:rPr>
              <w:t>indirectly?</w:t>
            </w:r>
          </w:p>
          <w:p w:rsidR="007F6DF9" w:rsidRDefault="007F6DF9">
            <w:pPr>
              <w:pStyle w:val="TableParagraph"/>
              <w:spacing w:before="2"/>
              <w:rPr>
                <w:rFonts w:ascii="Times New Roman"/>
                <w:b/>
                <w:sz w:val="20"/>
              </w:rPr>
            </w:pPr>
          </w:p>
          <w:p w:rsidR="007F6DF9" w:rsidRDefault="00A43FBC">
            <w:pPr>
              <w:pStyle w:val="TableParagraph"/>
              <w:spacing w:line="540" w:lineRule="auto"/>
              <w:ind w:left="163" w:right="34" w:hanging="51"/>
              <w:rPr>
                <w:rFonts w:ascii="Times New Roman" w:hAnsi="Times New Roman"/>
                <w:sz w:val="20"/>
              </w:rPr>
            </w:pPr>
            <w:r>
              <w:rPr>
                <w:rFonts w:ascii="Times New Roman" w:hAnsi="Times New Roman"/>
                <w:spacing w:val="-2"/>
                <w:sz w:val="20"/>
              </w:rPr>
              <w:t>Direct………</w:t>
            </w:r>
            <w:proofErr w:type="gramStart"/>
            <w:r>
              <w:rPr>
                <w:rFonts w:ascii="Times New Roman" w:hAnsi="Times New Roman"/>
                <w:spacing w:val="-2"/>
                <w:sz w:val="20"/>
              </w:rPr>
              <w:t>…..</w:t>
            </w:r>
            <w:proofErr w:type="gramEnd"/>
            <w:r>
              <w:rPr>
                <w:rFonts w:ascii="Times New Roman" w:hAnsi="Times New Roman"/>
                <w:spacing w:val="-2"/>
                <w:sz w:val="20"/>
              </w:rPr>
              <w:t xml:space="preserve"> Indirect…………</w:t>
            </w:r>
          </w:p>
        </w:tc>
      </w:tr>
      <w:tr w:rsidR="007F6DF9">
        <w:trPr>
          <w:trHeight w:val="809"/>
        </w:trPr>
        <w:tc>
          <w:tcPr>
            <w:tcW w:w="451" w:type="dxa"/>
            <w:vMerge/>
            <w:tcBorders>
              <w:top w:val="nil"/>
              <w:bottom w:val="nil"/>
            </w:tcBorders>
          </w:tcPr>
          <w:p w:rsidR="007F6DF9" w:rsidRDefault="007F6DF9">
            <w:pPr>
              <w:rPr>
                <w:sz w:val="2"/>
                <w:szCs w:val="2"/>
              </w:rPr>
            </w:pPr>
          </w:p>
        </w:tc>
        <w:tc>
          <w:tcPr>
            <w:tcW w:w="1704" w:type="dxa"/>
          </w:tcPr>
          <w:p w:rsidR="007F6DF9" w:rsidRDefault="00A43FBC">
            <w:pPr>
              <w:pStyle w:val="TableParagraph"/>
              <w:spacing w:before="60"/>
              <w:ind w:left="106"/>
              <w:rPr>
                <w:rFonts w:ascii="Times New Roman"/>
                <w:sz w:val="20"/>
              </w:rPr>
            </w:pPr>
            <w:r>
              <w:rPr>
                <w:rFonts w:ascii="Times New Roman"/>
                <w:spacing w:val="-4"/>
                <w:sz w:val="20"/>
              </w:rPr>
              <w:t>National</w:t>
            </w:r>
            <w:r>
              <w:rPr>
                <w:rFonts w:ascii="Times New Roman"/>
                <w:spacing w:val="-9"/>
                <w:sz w:val="20"/>
              </w:rPr>
              <w:t xml:space="preserve"> </w:t>
            </w:r>
            <w:r>
              <w:rPr>
                <w:rFonts w:ascii="Times New Roman"/>
                <w:spacing w:val="-4"/>
                <w:sz w:val="20"/>
              </w:rPr>
              <w:t xml:space="preserve">identity </w:t>
            </w:r>
            <w:r>
              <w:rPr>
                <w:rFonts w:ascii="Times New Roman"/>
                <w:sz w:val="20"/>
              </w:rPr>
              <w:t xml:space="preserve">card number or </w:t>
            </w:r>
            <w:r>
              <w:rPr>
                <w:rFonts w:ascii="Times New Roman"/>
                <w:spacing w:val="-4"/>
                <w:sz w:val="20"/>
              </w:rPr>
              <w:t>Passport</w:t>
            </w:r>
            <w:r>
              <w:rPr>
                <w:rFonts w:ascii="Times New Roman"/>
                <w:spacing w:val="-9"/>
                <w:sz w:val="20"/>
              </w:rPr>
              <w:t xml:space="preserve"> </w:t>
            </w:r>
            <w:r>
              <w:rPr>
                <w:rFonts w:ascii="Times New Roman"/>
                <w:spacing w:val="-4"/>
                <w:sz w:val="20"/>
              </w:rPr>
              <w:t>number</w:t>
            </w:r>
          </w:p>
        </w:tc>
        <w:tc>
          <w:tcPr>
            <w:tcW w:w="1536" w:type="dxa"/>
          </w:tcPr>
          <w:p w:rsidR="007F6DF9" w:rsidRDefault="007F6DF9">
            <w:pPr>
              <w:pStyle w:val="TableParagraph"/>
              <w:rPr>
                <w:rFonts w:ascii="Times New Roman"/>
                <w:sz w:val="20"/>
              </w:rPr>
            </w:pPr>
          </w:p>
        </w:tc>
        <w:tc>
          <w:tcPr>
            <w:tcW w:w="1259" w:type="dxa"/>
            <w:vMerge/>
            <w:tcBorders>
              <w:top w:val="nil"/>
              <w:bottom w:val="nil"/>
            </w:tcBorders>
          </w:tcPr>
          <w:p w:rsidR="007F6DF9" w:rsidRDefault="007F6DF9">
            <w:pPr>
              <w:rPr>
                <w:sz w:val="2"/>
                <w:szCs w:val="2"/>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1041"/>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ight="408"/>
              <w:rPr>
                <w:rFonts w:ascii="Times New Roman"/>
                <w:sz w:val="20"/>
              </w:rPr>
            </w:pPr>
            <w:r>
              <w:rPr>
                <w:rFonts w:ascii="Times New Roman"/>
                <w:spacing w:val="-2"/>
                <w:sz w:val="20"/>
              </w:rPr>
              <w:t xml:space="preserve">Personal Identification </w:t>
            </w:r>
            <w:r>
              <w:rPr>
                <w:rFonts w:ascii="Times New Roman"/>
                <w:spacing w:val="-8"/>
                <w:sz w:val="20"/>
              </w:rPr>
              <w:t>Number</w:t>
            </w:r>
            <w:r>
              <w:rPr>
                <w:rFonts w:ascii="Times New Roman"/>
                <w:spacing w:val="-5"/>
                <w:sz w:val="20"/>
              </w:rPr>
              <w:t xml:space="preserve"> </w:t>
            </w:r>
            <w:r>
              <w:rPr>
                <w:rFonts w:ascii="Times New Roman"/>
                <w:spacing w:val="-8"/>
                <w:sz w:val="20"/>
              </w:rPr>
              <w:t xml:space="preserve">(where </w:t>
            </w:r>
            <w:r>
              <w:rPr>
                <w:rFonts w:ascii="Times New Roman"/>
                <w:spacing w:val="-2"/>
                <w:sz w:val="20"/>
              </w:rPr>
              <w:t>applicable)</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A43FBC">
            <w:pPr>
              <w:pStyle w:val="TableParagraph"/>
              <w:spacing w:before="211"/>
              <w:ind w:left="106"/>
              <w:rPr>
                <w:rFonts w:ascii="Times New Roman"/>
                <w:sz w:val="20"/>
              </w:rPr>
            </w:pPr>
            <w:r>
              <w:rPr>
                <w:rFonts w:ascii="Times New Roman"/>
                <w:spacing w:val="-4"/>
                <w:sz w:val="20"/>
              </w:rPr>
              <w:t>Indirectly----</w:t>
            </w:r>
          </w:p>
          <w:p w:rsidR="007F6DF9" w:rsidRDefault="00A43FBC">
            <w:pPr>
              <w:pStyle w:val="TableParagraph"/>
              <w:tabs>
                <w:tab w:val="left" w:leader="hyphen" w:pos="826"/>
              </w:tabs>
              <w:spacing w:before="1"/>
              <w:ind w:left="106"/>
              <w:rPr>
                <w:rFonts w:ascii="Times New Roman"/>
                <w:sz w:val="20"/>
              </w:rPr>
            </w:pPr>
            <w:r>
              <w:rPr>
                <w:rFonts w:ascii="Times New Roman"/>
                <w:sz w:val="20"/>
              </w:rPr>
              <w:t>-</w:t>
            </w:r>
            <w:r>
              <w:rPr>
                <w:rFonts w:ascii="Times New Roman"/>
                <w:sz w:val="20"/>
              </w:rPr>
              <w:tab/>
            </w:r>
            <w:r>
              <w:rPr>
                <w:rFonts w:ascii="Times New Roman"/>
                <w:spacing w:val="-10"/>
                <w:sz w:val="20"/>
              </w:rPr>
              <w:t>%</w:t>
            </w:r>
          </w:p>
          <w:p w:rsidR="007F6DF9" w:rsidRDefault="00A43FBC">
            <w:pPr>
              <w:pStyle w:val="TableParagraph"/>
              <w:ind w:left="106"/>
              <w:rPr>
                <w:rFonts w:ascii="Times New Roman"/>
                <w:sz w:val="20"/>
              </w:rPr>
            </w:pPr>
            <w:r>
              <w:rPr>
                <w:rFonts w:ascii="Times New Roman"/>
                <w:sz w:val="20"/>
              </w:rPr>
              <w:t>of</w:t>
            </w:r>
            <w:r>
              <w:rPr>
                <w:rFonts w:ascii="Times New Roman"/>
                <w:spacing w:val="-3"/>
                <w:sz w:val="20"/>
              </w:rPr>
              <w:t xml:space="preserve"> </w:t>
            </w:r>
            <w:r>
              <w:rPr>
                <w:rFonts w:ascii="Times New Roman"/>
                <w:spacing w:val="-2"/>
                <w:sz w:val="20"/>
              </w:rPr>
              <w:t>shares</w:t>
            </w: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spacing w:val="-2"/>
                <w:sz w:val="20"/>
              </w:rPr>
              <w:t>Nationality(</w:t>
            </w:r>
            <w:proofErr w:type="spellStart"/>
            <w:r>
              <w:rPr>
                <w:rFonts w:ascii="Times New Roman"/>
                <w:spacing w:val="-2"/>
                <w:sz w:val="20"/>
              </w:rPr>
              <w:t>ies</w:t>
            </w:r>
            <w:proofErr w:type="spellEnd"/>
            <w:r>
              <w:rPr>
                <w:rFonts w:ascii="Times New Roman"/>
                <w:spacing w:val="-2"/>
                <w:sz w:val="20"/>
              </w:rPr>
              <w:t>)</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58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spacing w:val="-6"/>
                <w:sz w:val="20"/>
              </w:rPr>
              <w:t>Date</w:t>
            </w:r>
            <w:r>
              <w:rPr>
                <w:rFonts w:ascii="Times New Roman"/>
                <w:spacing w:val="-3"/>
                <w:sz w:val="20"/>
              </w:rPr>
              <w:t xml:space="preserve"> </w:t>
            </w:r>
            <w:r>
              <w:rPr>
                <w:rFonts w:ascii="Times New Roman"/>
                <w:spacing w:val="-6"/>
                <w:sz w:val="20"/>
              </w:rPr>
              <w:t>of</w:t>
            </w:r>
            <w:r>
              <w:rPr>
                <w:rFonts w:ascii="Times New Roman"/>
                <w:spacing w:val="-4"/>
                <w:sz w:val="20"/>
              </w:rPr>
              <w:t xml:space="preserve"> </w:t>
            </w:r>
            <w:r>
              <w:rPr>
                <w:rFonts w:ascii="Times New Roman"/>
                <w:spacing w:val="-6"/>
                <w:sz w:val="20"/>
              </w:rPr>
              <w:t>birth</w:t>
            </w:r>
          </w:p>
          <w:p w:rsidR="007F6DF9" w:rsidRDefault="00A43FBC">
            <w:pPr>
              <w:pStyle w:val="TableParagraph"/>
              <w:ind w:left="106"/>
              <w:rPr>
                <w:rFonts w:ascii="Times New Roman"/>
                <w:i/>
                <w:sz w:val="20"/>
              </w:rPr>
            </w:pPr>
            <w:r>
              <w:rPr>
                <w:rFonts w:ascii="Times New Roman"/>
                <w:i/>
                <w:spacing w:val="-2"/>
                <w:sz w:val="20"/>
              </w:rPr>
              <w:t>[</w:t>
            </w:r>
            <w:proofErr w:type="spellStart"/>
            <w:r>
              <w:rPr>
                <w:rFonts w:ascii="Times New Roman"/>
                <w:i/>
                <w:spacing w:val="-2"/>
                <w:sz w:val="20"/>
              </w:rPr>
              <w:t>dd</w:t>
            </w:r>
            <w:proofErr w:type="spellEnd"/>
            <w:r>
              <w:rPr>
                <w:rFonts w:ascii="Times New Roman"/>
                <w:i/>
                <w:spacing w:val="-2"/>
                <w:sz w:val="20"/>
              </w:rPr>
              <w:t>/mm/</w:t>
            </w:r>
            <w:proofErr w:type="spellStart"/>
            <w:r>
              <w:rPr>
                <w:rFonts w:ascii="Times New Roman"/>
                <w:i/>
                <w:spacing w:val="-2"/>
                <w:sz w:val="20"/>
              </w:rPr>
              <w:t>yyyy</w:t>
            </w:r>
            <w:proofErr w:type="spellEnd"/>
            <w:r>
              <w:rPr>
                <w:rFonts w:ascii="Times New Roman"/>
                <w:i/>
                <w:spacing w:val="-2"/>
                <w:sz w:val="20"/>
              </w:rPr>
              <w:t>]</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w w:val="90"/>
                <w:sz w:val="20"/>
              </w:rPr>
              <w:t>Postal</w:t>
            </w:r>
            <w:r>
              <w:rPr>
                <w:rFonts w:ascii="Times New Roman"/>
                <w:spacing w:val="11"/>
                <w:sz w:val="20"/>
              </w:rPr>
              <w:t xml:space="preserve"> </w:t>
            </w:r>
            <w:r>
              <w:rPr>
                <w:rFonts w:ascii="Times New Roman"/>
                <w:spacing w:val="-2"/>
                <w:sz w:val="20"/>
              </w:rPr>
              <w:t>address</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w w:val="90"/>
                <w:sz w:val="20"/>
              </w:rPr>
              <w:t>Residential</w:t>
            </w:r>
            <w:r>
              <w:rPr>
                <w:rFonts w:ascii="Times New Roman"/>
                <w:spacing w:val="25"/>
                <w:sz w:val="20"/>
              </w:rPr>
              <w:t xml:space="preserve"> </w:t>
            </w:r>
            <w:r>
              <w:rPr>
                <w:rFonts w:ascii="Times New Roman"/>
                <w:spacing w:val="-2"/>
                <w:sz w:val="20"/>
              </w:rPr>
              <w:t>address</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w w:val="90"/>
                <w:sz w:val="20"/>
              </w:rPr>
              <w:t>Telephone</w:t>
            </w:r>
            <w:r>
              <w:rPr>
                <w:rFonts w:ascii="Times New Roman"/>
                <w:spacing w:val="16"/>
                <w:sz w:val="20"/>
              </w:rPr>
              <w:t xml:space="preserve"> </w:t>
            </w:r>
            <w:r>
              <w:rPr>
                <w:rFonts w:ascii="Times New Roman"/>
                <w:spacing w:val="-2"/>
                <w:sz w:val="20"/>
              </w:rPr>
              <w:t>number</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w w:val="90"/>
                <w:sz w:val="20"/>
              </w:rPr>
              <w:t>Email</w:t>
            </w:r>
            <w:r>
              <w:rPr>
                <w:rFonts w:ascii="Times New Roman"/>
                <w:spacing w:val="5"/>
                <w:sz w:val="20"/>
              </w:rPr>
              <w:t xml:space="preserve"> </w:t>
            </w:r>
            <w:r>
              <w:rPr>
                <w:rFonts w:ascii="Times New Roman"/>
                <w:spacing w:val="-2"/>
                <w:sz w:val="20"/>
              </w:rPr>
              <w:t>address</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580"/>
        </w:trPr>
        <w:tc>
          <w:tcPr>
            <w:tcW w:w="451" w:type="dxa"/>
            <w:tcBorders>
              <w:top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spacing w:val="-6"/>
                <w:sz w:val="20"/>
              </w:rPr>
              <w:t>Occupation</w:t>
            </w:r>
            <w:r>
              <w:rPr>
                <w:rFonts w:ascii="Times New Roman"/>
                <w:spacing w:val="-7"/>
                <w:sz w:val="20"/>
              </w:rPr>
              <w:t xml:space="preserve"> </w:t>
            </w:r>
            <w:r>
              <w:rPr>
                <w:rFonts w:ascii="Times New Roman"/>
                <w:spacing w:val="-6"/>
                <w:sz w:val="20"/>
              </w:rPr>
              <w:t xml:space="preserve">or </w:t>
            </w:r>
            <w:r>
              <w:rPr>
                <w:rFonts w:ascii="Times New Roman"/>
                <w:spacing w:val="-2"/>
                <w:sz w:val="20"/>
              </w:rPr>
              <w:t>profession</w:t>
            </w:r>
          </w:p>
        </w:tc>
        <w:tc>
          <w:tcPr>
            <w:tcW w:w="1536" w:type="dxa"/>
          </w:tcPr>
          <w:p w:rsidR="007F6DF9" w:rsidRDefault="007F6DF9">
            <w:pPr>
              <w:pStyle w:val="TableParagraph"/>
              <w:rPr>
                <w:rFonts w:ascii="Times New Roman"/>
                <w:sz w:val="20"/>
              </w:rPr>
            </w:pPr>
          </w:p>
        </w:tc>
        <w:tc>
          <w:tcPr>
            <w:tcW w:w="1259" w:type="dxa"/>
            <w:tcBorders>
              <w:top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10796" w:type="dxa"/>
            <w:gridSpan w:val="7"/>
            <w:shd w:val="clear" w:color="auto" w:fill="D9D9D9"/>
          </w:tcPr>
          <w:p w:rsidR="007F6DF9" w:rsidRDefault="007F6DF9">
            <w:pPr>
              <w:pStyle w:val="TableParagraph"/>
              <w:rPr>
                <w:rFonts w:ascii="Times New Roman"/>
                <w:sz w:val="20"/>
              </w:rPr>
            </w:pPr>
          </w:p>
        </w:tc>
      </w:tr>
      <w:tr w:rsidR="007F6DF9">
        <w:trPr>
          <w:trHeight w:val="350"/>
        </w:trPr>
        <w:tc>
          <w:tcPr>
            <w:tcW w:w="451" w:type="dxa"/>
            <w:vMerge w:val="restart"/>
          </w:tcPr>
          <w:p w:rsidR="007F6DF9" w:rsidRDefault="00A43FBC">
            <w:pPr>
              <w:pStyle w:val="TableParagraph"/>
              <w:spacing w:before="60"/>
              <w:ind w:left="107"/>
              <w:rPr>
                <w:rFonts w:ascii="Times New Roman"/>
                <w:b/>
                <w:sz w:val="20"/>
              </w:rPr>
            </w:pPr>
            <w:r>
              <w:rPr>
                <w:rFonts w:ascii="Times New Roman"/>
                <w:b/>
                <w:spacing w:val="-5"/>
                <w:sz w:val="20"/>
              </w:rPr>
              <w:t>3.</w:t>
            </w:r>
          </w:p>
          <w:p w:rsidR="007F6DF9" w:rsidRDefault="007F6DF9">
            <w:pPr>
              <w:pStyle w:val="TableParagraph"/>
              <w:spacing w:before="118"/>
              <w:rPr>
                <w:rFonts w:ascii="Times New Roman"/>
                <w:b/>
                <w:sz w:val="20"/>
              </w:rPr>
            </w:pPr>
          </w:p>
          <w:p w:rsidR="007F6DF9" w:rsidRDefault="00A43FBC">
            <w:pPr>
              <w:pStyle w:val="TableParagraph"/>
              <w:ind w:left="107"/>
              <w:rPr>
                <w:rFonts w:ascii="Times New Roman"/>
                <w:b/>
                <w:sz w:val="20"/>
              </w:rPr>
            </w:pPr>
            <w:r>
              <w:rPr>
                <w:rFonts w:ascii="Times New Roman"/>
                <w:b/>
                <w:spacing w:val="-5"/>
                <w:sz w:val="20"/>
              </w:rPr>
              <w:t>e.t</w:t>
            </w:r>
          </w:p>
          <w:p w:rsidR="007F6DF9" w:rsidRDefault="00A43FBC">
            <w:pPr>
              <w:pStyle w:val="TableParagraph"/>
              <w:spacing w:before="1"/>
              <w:ind w:left="107"/>
              <w:rPr>
                <w:rFonts w:ascii="Times New Roman"/>
                <w:b/>
                <w:sz w:val="20"/>
              </w:rPr>
            </w:pPr>
            <w:r>
              <w:rPr>
                <w:rFonts w:ascii="Times New Roman"/>
                <w:b/>
                <w:spacing w:val="-5"/>
                <w:sz w:val="20"/>
              </w:rPr>
              <w:t>.c</w:t>
            </w:r>
          </w:p>
        </w:tc>
        <w:tc>
          <w:tcPr>
            <w:tcW w:w="1704" w:type="dxa"/>
          </w:tcPr>
          <w:p w:rsidR="007F6DF9" w:rsidRDefault="007F6DF9">
            <w:pPr>
              <w:pStyle w:val="TableParagraph"/>
              <w:rPr>
                <w:rFonts w:ascii="Times New Roman"/>
                <w:sz w:val="20"/>
              </w:rPr>
            </w:pPr>
          </w:p>
        </w:tc>
        <w:tc>
          <w:tcPr>
            <w:tcW w:w="1536" w:type="dxa"/>
          </w:tcPr>
          <w:p w:rsidR="007F6DF9" w:rsidRDefault="007F6DF9">
            <w:pPr>
              <w:pStyle w:val="TableParagraph"/>
              <w:rPr>
                <w:rFonts w:ascii="Times New Roman"/>
                <w:sz w:val="20"/>
              </w:rPr>
            </w:pPr>
          </w:p>
        </w:tc>
        <w:tc>
          <w:tcPr>
            <w:tcW w:w="1259" w:type="dxa"/>
            <w:vMerge w:val="restart"/>
          </w:tcPr>
          <w:p w:rsidR="007F6DF9" w:rsidRDefault="007F6DF9">
            <w:pPr>
              <w:pStyle w:val="TableParagraph"/>
              <w:rPr>
                <w:rFonts w:ascii="Times New Roman"/>
                <w:sz w:val="20"/>
              </w:rPr>
            </w:pPr>
          </w:p>
        </w:tc>
        <w:tc>
          <w:tcPr>
            <w:tcW w:w="1619" w:type="dxa"/>
            <w:vMerge w:val="restart"/>
          </w:tcPr>
          <w:p w:rsidR="007F6DF9" w:rsidRDefault="007F6DF9">
            <w:pPr>
              <w:pStyle w:val="TableParagraph"/>
              <w:rPr>
                <w:rFonts w:ascii="Times New Roman"/>
                <w:sz w:val="20"/>
              </w:rPr>
            </w:pPr>
          </w:p>
        </w:tc>
        <w:tc>
          <w:tcPr>
            <w:tcW w:w="2243" w:type="dxa"/>
            <w:vMerge w:val="restart"/>
          </w:tcPr>
          <w:p w:rsidR="007F6DF9" w:rsidRDefault="007F6DF9">
            <w:pPr>
              <w:pStyle w:val="TableParagraph"/>
              <w:rPr>
                <w:rFonts w:ascii="Times New Roman"/>
                <w:sz w:val="20"/>
              </w:rPr>
            </w:pPr>
          </w:p>
        </w:tc>
        <w:tc>
          <w:tcPr>
            <w:tcW w:w="1984" w:type="dxa"/>
          </w:tcPr>
          <w:p w:rsidR="007F6DF9" w:rsidRDefault="007F6DF9">
            <w:pPr>
              <w:pStyle w:val="TableParagraph"/>
              <w:rPr>
                <w:rFonts w:ascii="Times New Roman"/>
                <w:sz w:val="20"/>
              </w:rPr>
            </w:pPr>
          </w:p>
        </w:tc>
      </w:tr>
      <w:tr w:rsidR="007F6DF9">
        <w:trPr>
          <w:trHeight w:val="350"/>
        </w:trPr>
        <w:tc>
          <w:tcPr>
            <w:tcW w:w="451" w:type="dxa"/>
            <w:vMerge/>
            <w:tcBorders>
              <w:top w:val="nil"/>
            </w:tcBorders>
          </w:tcPr>
          <w:p w:rsidR="007F6DF9" w:rsidRDefault="007F6DF9">
            <w:pPr>
              <w:rPr>
                <w:sz w:val="2"/>
                <w:szCs w:val="2"/>
              </w:rPr>
            </w:pPr>
          </w:p>
        </w:tc>
        <w:tc>
          <w:tcPr>
            <w:tcW w:w="1704" w:type="dxa"/>
          </w:tcPr>
          <w:p w:rsidR="007F6DF9" w:rsidRDefault="007F6DF9">
            <w:pPr>
              <w:pStyle w:val="TableParagraph"/>
              <w:rPr>
                <w:rFonts w:ascii="Times New Roman"/>
                <w:sz w:val="20"/>
              </w:rPr>
            </w:pPr>
          </w:p>
        </w:tc>
        <w:tc>
          <w:tcPr>
            <w:tcW w:w="1536" w:type="dxa"/>
          </w:tcPr>
          <w:p w:rsidR="007F6DF9" w:rsidRDefault="007F6DF9">
            <w:pPr>
              <w:pStyle w:val="TableParagraph"/>
              <w:rPr>
                <w:rFonts w:ascii="Times New Roman"/>
                <w:sz w:val="20"/>
              </w:rPr>
            </w:pPr>
          </w:p>
        </w:tc>
        <w:tc>
          <w:tcPr>
            <w:tcW w:w="1259" w:type="dxa"/>
            <w:vMerge/>
            <w:tcBorders>
              <w:top w:val="nil"/>
            </w:tcBorders>
          </w:tcPr>
          <w:p w:rsidR="007F6DF9" w:rsidRDefault="007F6DF9">
            <w:pPr>
              <w:rPr>
                <w:sz w:val="2"/>
                <w:szCs w:val="2"/>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tcPr>
          <w:p w:rsidR="007F6DF9" w:rsidRDefault="007F6DF9">
            <w:pPr>
              <w:pStyle w:val="TableParagraph"/>
              <w:rPr>
                <w:rFonts w:ascii="Times New Roman"/>
                <w:sz w:val="20"/>
              </w:rPr>
            </w:pPr>
          </w:p>
        </w:tc>
      </w:tr>
      <w:tr w:rsidR="007F6DF9">
        <w:trPr>
          <w:trHeight w:val="350"/>
        </w:trPr>
        <w:tc>
          <w:tcPr>
            <w:tcW w:w="451" w:type="dxa"/>
            <w:vMerge/>
            <w:tcBorders>
              <w:top w:val="nil"/>
            </w:tcBorders>
          </w:tcPr>
          <w:p w:rsidR="007F6DF9" w:rsidRDefault="007F6DF9">
            <w:pPr>
              <w:rPr>
                <w:sz w:val="2"/>
                <w:szCs w:val="2"/>
              </w:rPr>
            </w:pPr>
          </w:p>
        </w:tc>
        <w:tc>
          <w:tcPr>
            <w:tcW w:w="1704" w:type="dxa"/>
          </w:tcPr>
          <w:p w:rsidR="007F6DF9" w:rsidRDefault="007F6DF9">
            <w:pPr>
              <w:pStyle w:val="TableParagraph"/>
              <w:rPr>
                <w:rFonts w:ascii="Times New Roman"/>
                <w:sz w:val="20"/>
              </w:rPr>
            </w:pPr>
          </w:p>
        </w:tc>
        <w:tc>
          <w:tcPr>
            <w:tcW w:w="1536" w:type="dxa"/>
          </w:tcPr>
          <w:p w:rsidR="007F6DF9" w:rsidRDefault="007F6DF9">
            <w:pPr>
              <w:pStyle w:val="TableParagraph"/>
              <w:rPr>
                <w:rFonts w:ascii="Times New Roman"/>
                <w:sz w:val="20"/>
              </w:rPr>
            </w:pPr>
          </w:p>
        </w:tc>
        <w:tc>
          <w:tcPr>
            <w:tcW w:w="1259" w:type="dxa"/>
            <w:vMerge/>
            <w:tcBorders>
              <w:top w:val="nil"/>
            </w:tcBorders>
          </w:tcPr>
          <w:p w:rsidR="007F6DF9" w:rsidRDefault="007F6DF9">
            <w:pPr>
              <w:rPr>
                <w:sz w:val="2"/>
                <w:szCs w:val="2"/>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tcPr>
          <w:p w:rsidR="007F6DF9" w:rsidRDefault="007F6DF9">
            <w:pPr>
              <w:pStyle w:val="TableParagraph"/>
              <w:rPr>
                <w:rFonts w:ascii="Times New Roman"/>
                <w:sz w:val="20"/>
              </w:rPr>
            </w:pPr>
          </w:p>
        </w:tc>
      </w:tr>
      <w:tr w:rsidR="007F6DF9">
        <w:trPr>
          <w:trHeight w:val="350"/>
        </w:trPr>
        <w:tc>
          <w:tcPr>
            <w:tcW w:w="451" w:type="dxa"/>
            <w:vMerge/>
            <w:tcBorders>
              <w:top w:val="nil"/>
            </w:tcBorders>
          </w:tcPr>
          <w:p w:rsidR="007F6DF9" w:rsidRDefault="007F6DF9">
            <w:pPr>
              <w:rPr>
                <w:sz w:val="2"/>
                <w:szCs w:val="2"/>
              </w:rPr>
            </w:pPr>
          </w:p>
        </w:tc>
        <w:tc>
          <w:tcPr>
            <w:tcW w:w="1704" w:type="dxa"/>
          </w:tcPr>
          <w:p w:rsidR="007F6DF9" w:rsidRDefault="007F6DF9">
            <w:pPr>
              <w:pStyle w:val="TableParagraph"/>
              <w:rPr>
                <w:rFonts w:ascii="Times New Roman"/>
                <w:sz w:val="20"/>
              </w:rPr>
            </w:pPr>
          </w:p>
        </w:tc>
        <w:tc>
          <w:tcPr>
            <w:tcW w:w="1536" w:type="dxa"/>
          </w:tcPr>
          <w:p w:rsidR="007F6DF9" w:rsidRDefault="007F6DF9">
            <w:pPr>
              <w:pStyle w:val="TableParagraph"/>
              <w:rPr>
                <w:rFonts w:ascii="Times New Roman"/>
                <w:sz w:val="20"/>
              </w:rPr>
            </w:pPr>
          </w:p>
        </w:tc>
        <w:tc>
          <w:tcPr>
            <w:tcW w:w="1259" w:type="dxa"/>
            <w:vMerge/>
            <w:tcBorders>
              <w:top w:val="nil"/>
            </w:tcBorders>
          </w:tcPr>
          <w:p w:rsidR="007F6DF9" w:rsidRDefault="007F6DF9">
            <w:pPr>
              <w:rPr>
                <w:sz w:val="2"/>
                <w:szCs w:val="2"/>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tcPr>
          <w:p w:rsidR="007F6DF9" w:rsidRDefault="007F6DF9">
            <w:pPr>
              <w:pStyle w:val="TableParagraph"/>
              <w:rPr>
                <w:rFonts w:ascii="Times New Roman"/>
                <w:sz w:val="20"/>
              </w:rPr>
            </w:pPr>
          </w:p>
        </w:tc>
      </w:tr>
    </w:tbl>
    <w:p w:rsidR="007F6DF9" w:rsidRDefault="007F6DF9">
      <w:pPr>
        <w:pStyle w:val="BodyText"/>
        <w:spacing w:before="20"/>
        <w:rPr>
          <w:b/>
        </w:rPr>
      </w:pPr>
    </w:p>
    <w:p w:rsidR="007F6DF9" w:rsidRDefault="00A43FBC">
      <w:pPr>
        <w:pStyle w:val="ListParagraph"/>
        <w:numPr>
          <w:ilvl w:val="0"/>
          <w:numId w:val="11"/>
        </w:numPr>
        <w:tabs>
          <w:tab w:val="left" w:pos="1011"/>
          <w:tab w:val="left" w:pos="1064"/>
        </w:tabs>
        <w:spacing w:before="1"/>
        <w:ind w:left="1011" w:right="253" w:hanging="272"/>
        <w:jc w:val="both"/>
        <w:rPr>
          <w:i/>
        </w:rPr>
      </w:pPr>
      <w:r>
        <w:t>Am</w:t>
      </w:r>
      <w:r>
        <w:rPr>
          <w:spacing w:val="40"/>
        </w:rPr>
        <w:t xml:space="preserve"> </w:t>
      </w:r>
      <w:r>
        <w:t>fully</w:t>
      </w:r>
      <w:r>
        <w:rPr>
          <w:spacing w:val="-9"/>
        </w:rPr>
        <w:t xml:space="preserve"> </w:t>
      </w:r>
      <w:r>
        <w:t>aware</w:t>
      </w:r>
      <w:r>
        <w:rPr>
          <w:spacing w:val="-6"/>
        </w:rPr>
        <w:t xml:space="preserve"> </w:t>
      </w:r>
      <w:r>
        <w:t>that</w:t>
      </w:r>
      <w:r>
        <w:rPr>
          <w:spacing w:val="-5"/>
        </w:rPr>
        <w:t xml:space="preserve"> </w:t>
      </w:r>
      <w:r>
        <w:t>beneficial</w:t>
      </w:r>
      <w:r>
        <w:rPr>
          <w:spacing w:val="-5"/>
        </w:rPr>
        <w:t xml:space="preserve"> </w:t>
      </w:r>
      <w:r>
        <w:t>ownership</w:t>
      </w:r>
      <w:r>
        <w:rPr>
          <w:spacing w:val="-6"/>
        </w:rPr>
        <w:t xml:space="preserve"> </w:t>
      </w:r>
      <w:r>
        <w:t>information</w:t>
      </w:r>
      <w:r>
        <w:rPr>
          <w:spacing w:val="-9"/>
        </w:rPr>
        <w:t xml:space="preserve"> </w:t>
      </w:r>
      <w:r>
        <w:t>above</w:t>
      </w:r>
      <w:r>
        <w:rPr>
          <w:spacing w:val="-6"/>
        </w:rPr>
        <w:t xml:space="preserve"> </w:t>
      </w:r>
      <w:r>
        <w:t>shall</w:t>
      </w:r>
      <w:r>
        <w:rPr>
          <w:spacing w:val="-5"/>
        </w:rPr>
        <w:t xml:space="preserve"> </w:t>
      </w:r>
      <w:r>
        <w:t>be</w:t>
      </w:r>
      <w:r>
        <w:rPr>
          <w:spacing w:val="-8"/>
        </w:rPr>
        <w:t xml:space="preserve"> </w:t>
      </w:r>
      <w:r>
        <w:t>reported</w:t>
      </w:r>
      <w:r>
        <w:rPr>
          <w:spacing w:val="-6"/>
        </w:rPr>
        <w:t xml:space="preserve"> </w:t>
      </w:r>
      <w:r>
        <w:t>to</w:t>
      </w:r>
      <w:r>
        <w:rPr>
          <w:spacing w:val="-6"/>
        </w:rPr>
        <w:t xml:space="preserve"> </w:t>
      </w:r>
      <w:r>
        <w:t>the</w:t>
      </w:r>
      <w:r>
        <w:rPr>
          <w:spacing w:val="-6"/>
        </w:rPr>
        <w:t xml:space="preserve"> </w:t>
      </w:r>
      <w:r>
        <w:t>Public</w:t>
      </w:r>
      <w:r>
        <w:rPr>
          <w:spacing w:val="-6"/>
        </w:rPr>
        <w:t xml:space="preserve"> </w:t>
      </w:r>
      <w:r>
        <w:t>Procurement</w:t>
      </w:r>
      <w:r>
        <w:rPr>
          <w:spacing w:val="-5"/>
        </w:rPr>
        <w:t xml:space="preserve"> </w:t>
      </w:r>
      <w:r>
        <w:t>Regulatory Authority</w:t>
      </w:r>
      <w:r>
        <w:rPr>
          <w:spacing w:val="-6"/>
        </w:rPr>
        <w:t xml:space="preserve"> </w:t>
      </w:r>
      <w:r>
        <w:t>together</w:t>
      </w:r>
      <w:r>
        <w:rPr>
          <w:spacing w:val="-5"/>
        </w:rPr>
        <w:t xml:space="preserve"> </w:t>
      </w:r>
      <w:r>
        <w:t>with</w:t>
      </w:r>
      <w:r>
        <w:rPr>
          <w:spacing w:val="-6"/>
        </w:rPr>
        <w:t xml:space="preserve"> </w:t>
      </w:r>
      <w:r>
        <w:t>other</w:t>
      </w:r>
      <w:r>
        <w:rPr>
          <w:spacing w:val="-5"/>
        </w:rPr>
        <w:t xml:space="preserve"> </w:t>
      </w:r>
      <w:r>
        <w:t>details</w:t>
      </w:r>
      <w:r>
        <w:rPr>
          <w:spacing w:val="-8"/>
        </w:rPr>
        <w:t xml:space="preserve"> </w:t>
      </w:r>
      <w:r>
        <w:t>in</w:t>
      </w:r>
      <w:r>
        <w:rPr>
          <w:spacing w:val="-9"/>
        </w:rPr>
        <w:t xml:space="preserve"> </w:t>
      </w:r>
      <w:r>
        <w:t>relation</w:t>
      </w:r>
      <w:r>
        <w:rPr>
          <w:spacing w:val="-9"/>
        </w:rPr>
        <w:t xml:space="preserve"> </w:t>
      </w:r>
      <w:r>
        <w:t>to</w:t>
      </w:r>
      <w:r>
        <w:rPr>
          <w:spacing w:val="-9"/>
        </w:rPr>
        <w:t xml:space="preserve"> </w:t>
      </w:r>
      <w:r>
        <w:t>contract</w:t>
      </w:r>
      <w:r>
        <w:rPr>
          <w:spacing w:val="-5"/>
        </w:rPr>
        <w:t xml:space="preserve"> </w:t>
      </w:r>
      <w:r>
        <w:t>awards</w:t>
      </w:r>
      <w:r>
        <w:rPr>
          <w:spacing w:val="-8"/>
        </w:rPr>
        <w:t xml:space="preserve"> </w:t>
      </w:r>
      <w:r>
        <w:t>and</w:t>
      </w:r>
      <w:r>
        <w:rPr>
          <w:spacing w:val="-8"/>
        </w:rPr>
        <w:t xml:space="preserve"> </w:t>
      </w:r>
      <w:r>
        <w:t>shall</w:t>
      </w:r>
      <w:r>
        <w:rPr>
          <w:spacing w:val="-5"/>
        </w:rPr>
        <w:t xml:space="preserve"> </w:t>
      </w:r>
      <w:r>
        <w:t>be</w:t>
      </w:r>
      <w:r>
        <w:rPr>
          <w:spacing w:val="-8"/>
        </w:rPr>
        <w:t xml:space="preserve"> </w:t>
      </w:r>
      <w:r>
        <w:t>maintained</w:t>
      </w:r>
      <w:r>
        <w:rPr>
          <w:spacing w:val="-8"/>
        </w:rPr>
        <w:t xml:space="preserve"> </w:t>
      </w:r>
      <w:r>
        <w:t>in</w:t>
      </w:r>
      <w:r>
        <w:rPr>
          <w:spacing w:val="-9"/>
        </w:rPr>
        <w:t xml:space="preserve"> </w:t>
      </w:r>
      <w:r>
        <w:t>the</w:t>
      </w:r>
      <w:r>
        <w:rPr>
          <w:spacing w:val="-6"/>
        </w:rPr>
        <w:t xml:space="preserve"> </w:t>
      </w:r>
      <w:r>
        <w:t>Government</w:t>
      </w:r>
      <w:r>
        <w:rPr>
          <w:spacing w:val="-10"/>
        </w:rPr>
        <w:t xml:space="preserve"> </w:t>
      </w:r>
      <w:r>
        <w:t>Portal, published and made publicly available pursuant to Regulation 13(5) of the Companies (Beneficial Ownership Information)</w:t>
      </w:r>
      <w:r>
        <w:rPr>
          <w:spacing w:val="-6"/>
        </w:rPr>
        <w:t xml:space="preserve"> </w:t>
      </w:r>
      <w:r>
        <w:t>Regulations,</w:t>
      </w:r>
      <w:r>
        <w:rPr>
          <w:spacing w:val="-6"/>
        </w:rPr>
        <w:t xml:space="preserve"> </w:t>
      </w:r>
      <w:r>
        <w:t>2020.(Notwithstanding</w:t>
      </w:r>
      <w:r>
        <w:rPr>
          <w:spacing w:val="-7"/>
        </w:rPr>
        <w:t xml:space="preserve"> </w:t>
      </w:r>
      <w:r>
        <w:t>this</w:t>
      </w:r>
      <w:r>
        <w:rPr>
          <w:spacing w:val="-9"/>
        </w:rPr>
        <w:t xml:space="preserve"> </w:t>
      </w:r>
      <w:r>
        <w:t>paragraph</w:t>
      </w:r>
      <w:r>
        <w:rPr>
          <w:spacing w:val="-7"/>
        </w:rPr>
        <w:t xml:space="preserve"> </w:t>
      </w:r>
      <w:r>
        <w:t>Personally</w:t>
      </w:r>
      <w:r>
        <w:rPr>
          <w:spacing w:val="-7"/>
        </w:rPr>
        <w:t xml:space="preserve"> </w:t>
      </w:r>
      <w:r>
        <w:t>Identifiable</w:t>
      </w:r>
      <w:r>
        <w:rPr>
          <w:spacing w:val="-7"/>
        </w:rPr>
        <w:t xml:space="preserve"> </w:t>
      </w:r>
      <w:r>
        <w:t>Information</w:t>
      </w:r>
      <w:r>
        <w:rPr>
          <w:spacing w:val="39"/>
        </w:rPr>
        <w:t xml:space="preserve"> </w:t>
      </w:r>
      <w:r>
        <w:t>in</w:t>
      </w:r>
      <w:r>
        <w:rPr>
          <w:spacing w:val="-10"/>
        </w:rPr>
        <w:t xml:space="preserve"> </w:t>
      </w:r>
      <w:r>
        <w:t>line</w:t>
      </w:r>
      <w:r>
        <w:rPr>
          <w:spacing w:val="-7"/>
        </w:rPr>
        <w:t xml:space="preserve"> </w:t>
      </w:r>
      <w:r>
        <w:t>with</w:t>
      </w:r>
      <w:r>
        <w:rPr>
          <w:spacing w:val="-7"/>
        </w:rPr>
        <w:t xml:space="preserve"> </w:t>
      </w:r>
      <w:r>
        <w:t xml:space="preserve">the Data Protection Act shall not be published or made public). </w:t>
      </w:r>
      <w:r>
        <w:rPr>
          <w:i/>
        </w:rPr>
        <w:t>Note that Personally Identifiable Information (PII) is defined</w:t>
      </w:r>
      <w:r>
        <w:rPr>
          <w:i/>
          <w:spacing w:val="-3"/>
        </w:rPr>
        <w:t xml:space="preserve"> </w:t>
      </w:r>
      <w:r>
        <w:rPr>
          <w:i/>
        </w:rPr>
        <w:t>as</w:t>
      </w:r>
      <w:r>
        <w:rPr>
          <w:i/>
          <w:spacing w:val="-3"/>
        </w:rPr>
        <w:t xml:space="preserve"> </w:t>
      </w:r>
      <w:r>
        <w:rPr>
          <w:i/>
        </w:rPr>
        <w:t>any</w:t>
      </w:r>
      <w:r>
        <w:rPr>
          <w:i/>
          <w:spacing w:val="-3"/>
        </w:rPr>
        <w:t xml:space="preserve"> </w:t>
      </w:r>
      <w:r>
        <w:rPr>
          <w:i/>
        </w:rPr>
        <w:t>information</w:t>
      </w:r>
      <w:r>
        <w:rPr>
          <w:i/>
          <w:spacing w:val="-6"/>
        </w:rPr>
        <w:t xml:space="preserve"> </w:t>
      </w:r>
      <w:r>
        <w:rPr>
          <w:i/>
        </w:rPr>
        <w:t>that</w:t>
      </w:r>
      <w:r>
        <w:rPr>
          <w:i/>
          <w:spacing w:val="-3"/>
        </w:rPr>
        <w:t xml:space="preserve"> </w:t>
      </w:r>
      <w:r>
        <w:rPr>
          <w:i/>
        </w:rPr>
        <w:t>can</w:t>
      </w:r>
      <w:r>
        <w:rPr>
          <w:i/>
          <w:spacing w:val="-4"/>
        </w:rPr>
        <w:t xml:space="preserve"> </w:t>
      </w:r>
      <w:r>
        <w:rPr>
          <w:i/>
        </w:rPr>
        <w:t>be</w:t>
      </w:r>
      <w:r>
        <w:rPr>
          <w:i/>
          <w:spacing w:val="-3"/>
        </w:rPr>
        <w:t xml:space="preserve"> </w:t>
      </w:r>
      <w:r>
        <w:rPr>
          <w:i/>
        </w:rPr>
        <w:t>used</w:t>
      </w:r>
      <w:r>
        <w:rPr>
          <w:i/>
          <w:spacing w:val="-6"/>
        </w:rPr>
        <w:t xml:space="preserve"> </w:t>
      </w:r>
      <w:r>
        <w:rPr>
          <w:i/>
        </w:rPr>
        <w:t>to</w:t>
      </w:r>
      <w:r>
        <w:rPr>
          <w:i/>
          <w:spacing w:val="-4"/>
        </w:rPr>
        <w:t xml:space="preserve"> </w:t>
      </w:r>
      <w:r>
        <w:rPr>
          <w:i/>
        </w:rPr>
        <w:t>distinguish</w:t>
      </w:r>
      <w:r>
        <w:rPr>
          <w:i/>
          <w:spacing w:val="-3"/>
        </w:rPr>
        <w:t xml:space="preserve"> </w:t>
      </w:r>
      <w:r>
        <w:rPr>
          <w:i/>
        </w:rPr>
        <w:t>one</w:t>
      </w:r>
      <w:r>
        <w:rPr>
          <w:i/>
          <w:spacing w:val="-3"/>
        </w:rPr>
        <w:t xml:space="preserve"> </w:t>
      </w:r>
      <w:r>
        <w:rPr>
          <w:i/>
        </w:rPr>
        <w:t>person</w:t>
      </w:r>
      <w:r>
        <w:rPr>
          <w:i/>
          <w:spacing w:val="-6"/>
        </w:rPr>
        <w:t xml:space="preserve"> </w:t>
      </w:r>
      <w:r>
        <w:rPr>
          <w:i/>
        </w:rPr>
        <w:t>from</w:t>
      </w:r>
      <w:r>
        <w:rPr>
          <w:i/>
          <w:spacing w:val="-4"/>
        </w:rPr>
        <w:t xml:space="preserve"> </w:t>
      </w:r>
      <w:r>
        <w:rPr>
          <w:i/>
        </w:rPr>
        <w:t>another</w:t>
      </w:r>
      <w:r>
        <w:rPr>
          <w:i/>
          <w:spacing w:val="-3"/>
        </w:rPr>
        <w:t xml:space="preserve"> </w:t>
      </w:r>
      <w:r>
        <w:rPr>
          <w:i/>
        </w:rPr>
        <w:t>and</w:t>
      </w:r>
      <w:r>
        <w:rPr>
          <w:i/>
          <w:spacing w:val="-4"/>
        </w:rPr>
        <w:t xml:space="preserve"> </w:t>
      </w:r>
      <w:r>
        <w:rPr>
          <w:i/>
        </w:rPr>
        <w:t>can</w:t>
      </w:r>
      <w:r>
        <w:rPr>
          <w:i/>
          <w:spacing w:val="-3"/>
        </w:rPr>
        <w:t xml:space="preserve"> </w:t>
      </w:r>
      <w:r>
        <w:rPr>
          <w:i/>
        </w:rPr>
        <w:t>be</w:t>
      </w:r>
      <w:r>
        <w:rPr>
          <w:i/>
          <w:spacing w:val="-3"/>
        </w:rPr>
        <w:t xml:space="preserve"> </w:t>
      </w:r>
      <w:r>
        <w:rPr>
          <w:i/>
        </w:rPr>
        <w:t>used</w:t>
      </w:r>
      <w:r>
        <w:rPr>
          <w:i/>
          <w:spacing w:val="-4"/>
        </w:rPr>
        <w:t xml:space="preserve"> </w:t>
      </w:r>
      <w:r>
        <w:rPr>
          <w:i/>
        </w:rPr>
        <w:t>to</w:t>
      </w:r>
      <w:r>
        <w:rPr>
          <w:i/>
          <w:spacing w:val="-4"/>
        </w:rPr>
        <w:t xml:space="preserve"> </w:t>
      </w:r>
      <w:proofErr w:type="spellStart"/>
      <w:r>
        <w:rPr>
          <w:i/>
        </w:rPr>
        <w:t>deanonymize</w:t>
      </w:r>
      <w:proofErr w:type="spellEnd"/>
      <w:r>
        <w:rPr>
          <w:i/>
        </w:rPr>
        <w:t xml:space="preserve"> previously</w:t>
      </w:r>
      <w:r>
        <w:rPr>
          <w:i/>
          <w:spacing w:val="-1"/>
        </w:rPr>
        <w:t xml:space="preserve"> </w:t>
      </w:r>
      <w:r>
        <w:rPr>
          <w:i/>
        </w:rPr>
        <w:t>anonymous</w:t>
      </w:r>
      <w:r>
        <w:rPr>
          <w:i/>
          <w:spacing w:val="-1"/>
        </w:rPr>
        <w:t xml:space="preserve"> </w:t>
      </w:r>
      <w:r>
        <w:rPr>
          <w:i/>
        </w:rPr>
        <w:t>data.</w:t>
      </w:r>
      <w:r>
        <w:rPr>
          <w:i/>
          <w:spacing w:val="-1"/>
        </w:rPr>
        <w:t xml:space="preserve"> </w:t>
      </w:r>
      <w:r>
        <w:rPr>
          <w:i/>
        </w:rPr>
        <w:t>This</w:t>
      </w:r>
      <w:r>
        <w:rPr>
          <w:i/>
          <w:spacing w:val="-2"/>
        </w:rPr>
        <w:t xml:space="preserve"> </w:t>
      </w:r>
      <w:r>
        <w:rPr>
          <w:i/>
        </w:rPr>
        <w:t>information</w:t>
      </w:r>
      <w:r>
        <w:rPr>
          <w:i/>
          <w:spacing w:val="-3"/>
        </w:rPr>
        <w:t xml:space="preserve"> </w:t>
      </w:r>
      <w:r>
        <w:rPr>
          <w:i/>
        </w:rPr>
        <w:t>includes National</w:t>
      </w:r>
      <w:r>
        <w:rPr>
          <w:i/>
          <w:spacing w:val="-5"/>
        </w:rPr>
        <w:t xml:space="preserve"> </w:t>
      </w:r>
      <w:r>
        <w:rPr>
          <w:i/>
        </w:rPr>
        <w:t>identity</w:t>
      </w:r>
      <w:r>
        <w:rPr>
          <w:i/>
          <w:spacing w:val="-5"/>
        </w:rPr>
        <w:t xml:space="preserve"> </w:t>
      </w:r>
      <w:r>
        <w:rPr>
          <w:i/>
        </w:rPr>
        <w:t>card</w:t>
      </w:r>
      <w:r>
        <w:rPr>
          <w:i/>
          <w:spacing w:val="-11"/>
        </w:rPr>
        <w:t xml:space="preserve"> </w:t>
      </w:r>
      <w:r>
        <w:rPr>
          <w:i/>
        </w:rPr>
        <w:t>number</w:t>
      </w:r>
      <w:r>
        <w:rPr>
          <w:i/>
          <w:spacing w:val="-7"/>
        </w:rPr>
        <w:t xml:space="preserve"> </w:t>
      </w:r>
      <w:r>
        <w:rPr>
          <w:i/>
        </w:rPr>
        <w:t>or</w:t>
      </w:r>
      <w:r>
        <w:rPr>
          <w:i/>
          <w:spacing w:val="-13"/>
        </w:rPr>
        <w:t xml:space="preserve"> </w:t>
      </w:r>
      <w:r>
        <w:rPr>
          <w:i/>
        </w:rPr>
        <w:t>Passport number,</w:t>
      </w:r>
      <w:r>
        <w:rPr>
          <w:i/>
          <w:spacing w:val="-4"/>
        </w:rPr>
        <w:t xml:space="preserve"> </w:t>
      </w:r>
      <w:r>
        <w:rPr>
          <w:i/>
        </w:rPr>
        <w:t xml:space="preserve">Personal </w:t>
      </w:r>
      <w:r>
        <w:rPr>
          <w:i/>
          <w:spacing w:val="-4"/>
        </w:rPr>
        <w:t>Identification</w:t>
      </w:r>
      <w:r>
        <w:rPr>
          <w:i/>
          <w:spacing w:val="-9"/>
        </w:rPr>
        <w:t xml:space="preserve"> </w:t>
      </w:r>
      <w:r>
        <w:rPr>
          <w:i/>
          <w:spacing w:val="-4"/>
        </w:rPr>
        <w:t>Number, Date of birth, Residential address, email address and Telephone number.</w:t>
      </w:r>
    </w:p>
    <w:p w:rsidR="007F6DF9" w:rsidRDefault="007F6DF9">
      <w:pPr>
        <w:pStyle w:val="BodyText"/>
        <w:spacing w:before="1"/>
        <w:rPr>
          <w:i/>
        </w:rPr>
      </w:pPr>
    </w:p>
    <w:p w:rsidR="007F6DF9" w:rsidRDefault="00A43FBC">
      <w:pPr>
        <w:pStyle w:val="ListParagraph"/>
        <w:numPr>
          <w:ilvl w:val="0"/>
          <w:numId w:val="11"/>
        </w:numPr>
        <w:tabs>
          <w:tab w:val="left" w:pos="1011"/>
          <w:tab w:val="left" w:pos="1090"/>
        </w:tabs>
        <w:ind w:left="1011" w:right="252" w:hanging="272"/>
        <w:jc w:val="both"/>
      </w:pPr>
      <w:r>
        <w:rPr>
          <w:color w:val="221F1F"/>
        </w:rPr>
        <w:t xml:space="preserve">In determining who meets the threshold of who a beneficial owner is, the Tenderer must consider </w:t>
      </w:r>
      <w:r>
        <w:t>a natural person who in relation to the company:</w:t>
      </w:r>
    </w:p>
    <w:p w:rsidR="007F6DF9" w:rsidRDefault="007F6DF9">
      <w:pPr>
        <w:pStyle w:val="BodyText"/>
      </w:pPr>
    </w:p>
    <w:p w:rsidR="007F6DF9" w:rsidRDefault="00A43FBC">
      <w:pPr>
        <w:pStyle w:val="ListParagraph"/>
        <w:numPr>
          <w:ilvl w:val="1"/>
          <w:numId w:val="11"/>
        </w:numPr>
        <w:tabs>
          <w:tab w:val="left" w:pos="2270"/>
        </w:tabs>
        <w:ind w:left="2270" w:hanging="359"/>
      </w:pPr>
      <w:r>
        <w:t>holds</w:t>
      </w:r>
      <w:r>
        <w:rPr>
          <w:spacing w:val="-7"/>
        </w:rPr>
        <w:t xml:space="preserve"> </w:t>
      </w:r>
      <w:r>
        <w:t>at</w:t>
      </w:r>
      <w:r>
        <w:rPr>
          <w:spacing w:val="-4"/>
        </w:rPr>
        <w:t xml:space="preserve"> </w:t>
      </w:r>
      <w:r>
        <w:t>least</w:t>
      </w:r>
      <w:r>
        <w:rPr>
          <w:spacing w:val="-3"/>
        </w:rPr>
        <w:t xml:space="preserve"> </w:t>
      </w:r>
      <w:r>
        <w:t>ten</w:t>
      </w:r>
      <w:r>
        <w:rPr>
          <w:spacing w:val="-4"/>
        </w:rPr>
        <w:t xml:space="preserve"> </w:t>
      </w:r>
      <w:r>
        <w:t>percent</w:t>
      </w:r>
      <w:r>
        <w:rPr>
          <w:spacing w:val="-1"/>
        </w:rPr>
        <w:t xml:space="preserve"> </w:t>
      </w:r>
      <w:r>
        <w:t>of</w:t>
      </w:r>
      <w:r>
        <w:rPr>
          <w:spacing w:val="-4"/>
        </w:rPr>
        <w:t xml:space="preserve"> </w:t>
      </w:r>
      <w:r>
        <w:t>the</w:t>
      </w:r>
      <w:r>
        <w:rPr>
          <w:spacing w:val="-4"/>
        </w:rPr>
        <w:t xml:space="preserve"> </w:t>
      </w:r>
      <w:r>
        <w:t>issued</w:t>
      </w:r>
      <w:r>
        <w:rPr>
          <w:spacing w:val="-2"/>
        </w:rPr>
        <w:t xml:space="preserve"> </w:t>
      </w:r>
      <w:r>
        <w:t>shares</w:t>
      </w:r>
      <w:r>
        <w:rPr>
          <w:spacing w:val="-5"/>
        </w:rPr>
        <w:t xml:space="preserve"> </w:t>
      </w:r>
      <w:r>
        <w:t>in</w:t>
      </w:r>
      <w:r>
        <w:rPr>
          <w:spacing w:val="-2"/>
        </w:rPr>
        <w:t xml:space="preserve"> </w:t>
      </w:r>
      <w:r>
        <w:t>the</w:t>
      </w:r>
      <w:r>
        <w:rPr>
          <w:spacing w:val="-2"/>
        </w:rPr>
        <w:t xml:space="preserve"> </w:t>
      </w:r>
      <w:r>
        <w:t>company</w:t>
      </w:r>
      <w:r>
        <w:rPr>
          <w:spacing w:val="-4"/>
        </w:rPr>
        <w:t xml:space="preserve"> </w:t>
      </w:r>
      <w:r>
        <w:t>either</w:t>
      </w:r>
      <w:r>
        <w:rPr>
          <w:spacing w:val="-2"/>
        </w:rPr>
        <w:t xml:space="preserve"> </w:t>
      </w:r>
      <w:r>
        <w:t>directly</w:t>
      </w:r>
      <w:r>
        <w:rPr>
          <w:spacing w:val="-2"/>
        </w:rPr>
        <w:t xml:space="preserve"> </w:t>
      </w:r>
      <w:r>
        <w:t>or</w:t>
      </w:r>
      <w:r>
        <w:rPr>
          <w:spacing w:val="-2"/>
        </w:rPr>
        <w:t xml:space="preserve"> indirectly;</w:t>
      </w:r>
    </w:p>
    <w:p w:rsidR="007F6DF9" w:rsidRDefault="00A43FBC">
      <w:pPr>
        <w:pStyle w:val="ListParagraph"/>
        <w:numPr>
          <w:ilvl w:val="1"/>
          <w:numId w:val="11"/>
        </w:numPr>
        <w:tabs>
          <w:tab w:val="left" w:pos="2270"/>
        </w:tabs>
        <w:spacing w:before="250"/>
        <w:ind w:left="2270" w:hanging="359"/>
      </w:pPr>
      <w:r>
        <w:t>exercises</w:t>
      </w:r>
      <w:r>
        <w:rPr>
          <w:spacing w:val="-4"/>
        </w:rPr>
        <w:t xml:space="preserve"> </w:t>
      </w:r>
      <w:r>
        <w:t>at</w:t>
      </w:r>
      <w:r>
        <w:rPr>
          <w:spacing w:val="-4"/>
        </w:rPr>
        <w:t xml:space="preserve"> </w:t>
      </w:r>
      <w:r>
        <w:t>least</w:t>
      </w:r>
      <w:r>
        <w:rPr>
          <w:spacing w:val="-3"/>
        </w:rPr>
        <w:t xml:space="preserve"> </w:t>
      </w:r>
      <w:r>
        <w:t>ten</w:t>
      </w:r>
      <w:r>
        <w:rPr>
          <w:spacing w:val="-2"/>
        </w:rPr>
        <w:t xml:space="preserve"> </w:t>
      </w:r>
      <w:r>
        <w:t>percent</w:t>
      </w:r>
      <w:r>
        <w:rPr>
          <w:spacing w:val="-1"/>
        </w:rPr>
        <w:t xml:space="preserve"> </w:t>
      </w:r>
      <w:r>
        <w:t>of</w:t>
      </w:r>
      <w:r>
        <w:rPr>
          <w:spacing w:val="-3"/>
        </w:rPr>
        <w:t xml:space="preserve"> </w:t>
      </w:r>
      <w:r>
        <w:t>the</w:t>
      </w:r>
      <w:r>
        <w:rPr>
          <w:spacing w:val="-4"/>
        </w:rPr>
        <w:t xml:space="preserve"> </w:t>
      </w:r>
      <w:r>
        <w:t>voting</w:t>
      </w:r>
      <w:r>
        <w:rPr>
          <w:spacing w:val="-5"/>
        </w:rPr>
        <w:t xml:space="preserve"> </w:t>
      </w:r>
      <w:r>
        <w:t>rights</w:t>
      </w:r>
      <w:r>
        <w:rPr>
          <w:spacing w:val="-4"/>
        </w:rPr>
        <w:t xml:space="preserve"> </w:t>
      </w:r>
      <w:r>
        <w:t>in</w:t>
      </w:r>
      <w:r>
        <w:rPr>
          <w:spacing w:val="-5"/>
        </w:rPr>
        <w:t xml:space="preserve"> </w:t>
      </w:r>
      <w:r>
        <w:t>the</w:t>
      </w:r>
      <w:r>
        <w:rPr>
          <w:spacing w:val="-3"/>
        </w:rPr>
        <w:t xml:space="preserve"> </w:t>
      </w:r>
      <w:r>
        <w:t>company</w:t>
      </w:r>
      <w:r>
        <w:rPr>
          <w:spacing w:val="-2"/>
        </w:rPr>
        <w:t xml:space="preserve"> </w:t>
      </w:r>
      <w:r>
        <w:t>either</w:t>
      </w:r>
      <w:r>
        <w:rPr>
          <w:spacing w:val="-4"/>
        </w:rPr>
        <w:t xml:space="preserve"> </w:t>
      </w:r>
      <w:r>
        <w:t>directly</w:t>
      </w:r>
      <w:r>
        <w:rPr>
          <w:spacing w:val="-5"/>
        </w:rPr>
        <w:t xml:space="preserve"> </w:t>
      </w:r>
      <w:r>
        <w:t>or</w:t>
      </w:r>
      <w:r>
        <w:rPr>
          <w:spacing w:val="-3"/>
        </w:rPr>
        <w:t xml:space="preserve"> </w:t>
      </w:r>
      <w:r>
        <w:rPr>
          <w:spacing w:val="-2"/>
        </w:rPr>
        <w:t>indirectly;</w:t>
      </w:r>
    </w:p>
    <w:p w:rsidR="007F6DF9" w:rsidRDefault="00A43FBC">
      <w:pPr>
        <w:pStyle w:val="ListParagraph"/>
        <w:numPr>
          <w:ilvl w:val="1"/>
          <w:numId w:val="11"/>
        </w:numPr>
        <w:tabs>
          <w:tab w:val="left" w:pos="2270"/>
        </w:tabs>
        <w:spacing w:before="247"/>
        <w:ind w:left="2270" w:hanging="359"/>
      </w:pPr>
      <w:r>
        <w:t>holds</w:t>
      </w:r>
      <w:r>
        <w:rPr>
          <w:spacing w:val="-6"/>
        </w:rPr>
        <w:t xml:space="preserve"> </w:t>
      </w:r>
      <w:r>
        <w:t>a</w:t>
      </w:r>
      <w:r>
        <w:rPr>
          <w:spacing w:val="-4"/>
        </w:rPr>
        <w:t xml:space="preserve"> </w:t>
      </w:r>
      <w:r>
        <w:t>right,</w:t>
      </w:r>
      <w:r>
        <w:rPr>
          <w:spacing w:val="-3"/>
        </w:rPr>
        <w:t xml:space="preserve"> </w:t>
      </w:r>
      <w:r>
        <w:t>directly</w:t>
      </w:r>
      <w:r>
        <w:rPr>
          <w:spacing w:val="-4"/>
        </w:rPr>
        <w:t xml:space="preserve"> </w:t>
      </w:r>
      <w:r>
        <w:t>or</w:t>
      </w:r>
      <w:r>
        <w:rPr>
          <w:spacing w:val="-4"/>
        </w:rPr>
        <w:t xml:space="preserve"> </w:t>
      </w:r>
      <w:r>
        <w:t>indirectly,</w:t>
      </w:r>
      <w:r>
        <w:rPr>
          <w:spacing w:val="-6"/>
        </w:rPr>
        <w:t xml:space="preserve"> </w:t>
      </w:r>
      <w:r>
        <w:t>to</w:t>
      </w:r>
      <w:r>
        <w:rPr>
          <w:spacing w:val="-4"/>
        </w:rPr>
        <w:t xml:space="preserve"> </w:t>
      </w:r>
      <w:r>
        <w:t>appoint</w:t>
      </w:r>
      <w:r>
        <w:rPr>
          <w:spacing w:val="-3"/>
        </w:rPr>
        <w:t xml:space="preserve"> </w:t>
      </w:r>
      <w:r>
        <w:t>or</w:t>
      </w:r>
      <w:r>
        <w:rPr>
          <w:spacing w:val="-3"/>
        </w:rPr>
        <w:t xml:space="preserve"> </w:t>
      </w:r>
      <w:r>
        <w:t>remove</w:t>
      </w:r>
      <w:r>
        <w:rPr>
          <w:spacing w:val="-4"/>
        </w:rPr>
        <w:t xml:space="preserve"> </w:t>
      </w:r>
      <w:r>
        <w:t>a</w:t>
      </w:r>
      <w:r>
        <w:rPr>
          <w:spacing w:val="-4"/>
        </w:rPr>
        <w:t xml:space="preserve"> </w:t>
      </w:r>
      <w:r>
        <w:t>director</w:t>
      </w:r>
      <w:r>
        <w:rPr>
          <w:spacing w:val="-3"/>
        </w:rPr>
        <w:t xml:space="preserve"> </w:t>
      </w:r>
      <w:r>
        <w:t>of</w:t>
      </w:r>
      <w:r>
        <w:rPr>
          <w:spacing w:val="-6"/>
        </w:rPr>
        <w:t xml:space="preserve"> </w:t>
      </w:r>
      <w:r>
        <w:t>the</w:t>
      </w:r>
      <w:r>
        <w:rPr>
          <w:spacing w:val="-4"/>
        </w:rPr>
        <w:t xml:space="preserve"> </w:t>
      </w:r>
      <w:r>
        <w:t>company;</w:t>
      </w:r>
      <w:r>
        <w:rPr>
          <w:spacing w:val="-2"/>
        </w:rPr>
        <w:t xml:space="preserve"> </w:t>
      </w:r>
      <w:r>
        <w:rPr>
          <w:spacing w:val="-5"/>
        </w:rPr>
        <w:t>or</w:t>
      </w:r>
    </w:p>
    <w:p w:rsidR="007F6DF9" w:rsidRDefault="00A43FBC">
      <w:pPr>
        <w:pStyle w:val="ListParagraph"/>
        <w:numPr>
          <w:ilvl w:val="1"/>
          <w:numId w:val="11"/>
        </w:numPr>
        <w:tabs>
          <w:tab w:val="left" w:pos="2270"/>
        </w:tabs>
        <w:spacing w:before="250"/>
        <w:ind w:left="2270" w:hanging="359"/>
      </w:pPr>
      <w:r>
        <w:t>exercises</w:t>
      </w:r>
      <w:r>
        <w:rPr>
          <w:spacing w:val="-6"/>
        </w:rPr>
        <w:t xml:space="preserve"> </w:t>
      </w:r>
      <w:r>
        <w:t>significant</w:t>
      </w:r>
      <w:r>
        <w:rPr>
          <w:spacing w:val="-6"/>
        </w:rPr>
        <w:t xml:space="preserve"> </w:t>
      </w:r>
      <w:r>
        <w:t>influence</w:t>
      </w:r>
      <w:r>
        <w:rPr>
          <w:spacing w:val="-4"/>
        </w:rPr>
        <w:t xml:space="preserve"> </w:t>
      </w:r>
      <w:r>
        <w:t>or</w:t>
      </w:r>
      <w:r>
        <w:rPr>
          <w:spacing w:val="-4"/>
        </w:rPr>
        <w:t xml:space="preserve"> </w:t>
      </w:r>
      <w:r>
        <w:t>control,</w:t>
      </w:r>
      <w:r>
        <w:rPr>
          <w:spacing w:val="-4"/>
        </w:rPr>
        <w:t xml:space="preserve"> </w:t>
      </w:r>
      <w:r>
        <w:t>directly</w:t>
      </w:r>
      <w:r>
        <w:rPr>
          <w:spacing w:val="-4"/>
        </w:rPr>
        <w:t xml:space="preserve"> </w:t>
      </w:r>
      <w:r>
        <w:t>or</w:t>
      </w:r>
      <w:r>
        <w:rPr>
          <w:spacing w:val="-4"/>
        </w:rPr>
        <w:t xml:space="preserve"> </w:t>
      </w:r>
      <w:r>
        <w:t>indirectly,</w:t>
      </w:r>
      <w:r>
        <w:rPr>
          <w:spacing w:val="-4"/>
        </w:rPr>
        <w:t xml:space="preserve"> </w:t>
      </w:r>
      <w:r>
        <w:t>over</w:t>
      </w:r>
      <w:r>
        <w:rPr>
          <w:spacing w:val="-5"/>
        </w:rPr>
        <w:t xml:space="preserve"> </w:t>
      </w:r>
      <w:r>
        <w:t>the</w:t>
      </w:r>
      <w:r>
        <w:rPr>
          <w:spacing w:val="-3"/>
        </w:rPr>
        <w:t xml:space="preserve"> </w:t>
      </w:r>
      <w:r>
        <w:rPr>
          <w:spacing w:val="-2"/>
        </w:rPr>
        <w:t>company.</w:t>
      </w:r>
    </w:p>
    <w:p w:rsidR="007F6DF9" w:rsidRDefault="00A43FBC">
      <w:pPr>
        <w:pStyle w:val="ListParagraph"/>
        <w:numPr>
          <w:ilvl w:val="0"/>
          <w:numId w:val="11"/>
        </w:numPr>
        <w:tabs>
          <w:tab w:val="left" w:pos="1090"/>
        </w:tabs>
        <w:spacing w:before="249"/>
        <w:ind w:left="1090" w:hanging="351"/>
      </w:pPr>
      <w:r>
        <w:rPr>
          <w:color w:val="221F1F"/>
        </w:rPr>
        <w:t>What</w:t>
      </w:r>
      <w:r>
        <w:rPr>
          <w:color w:val="221F1F"/>
          <w:spacing w:val="-6"/>
        </w:rPr>
        <w:t xml:space="preserve"> </w:t>
      </w:r>
      <w:r>
        <w:rPr>
          <w:color w:val="221F1F"/>
        </w:rPr>
        <w:t>is</w:t>
      </w:r>
      <w:r>
        <w:rPr>
          <w:color w:val="221F1F"/>
          <w:spacing w:val="-4"/>
        </w:rPr>
        <w:t xml:space="preserve"> </w:t>
      </w:r>
      <w:r>
        <w:rPr>
          <w:color w:val="221F1F"/>
        </w:rPr>
        <w:t>stated</w:t>
      </w:r>
      <w:r>
        <w:rPr>
          <w:color w:val="221F1F"/>
          <w:spacing w:val="-2"/>
        </w:rPr>
        <w:t xml:space="preserve"> </w:t>
      </w:r>
      <w:r>
        <w:rPr>
          <w:color w:val="221F1F"/>
        </w:rPr>
        <w:t>to</w:t>
      </w:r>
      <w:r>
        <w:rPr>
          <w:color w:val="221F1F"/>
          <w:spacing w:val="-4"/>
        </w:rPr>
        <w:t xml:space="preserve"> </w:t>
      </w:r>
      <w:r>
        <w:rPr>
          <w:color w:val="221F1F"/>
        </w:rPr>
        <w:t>herein</w:t>
      </w:r>
      <w:r>
        <w:rPr>
          <w:color w:val="221F1F"/>
          <w:spacing w:val="-5"/>
        </w:rPr>
        <w:t xml:space="preserve"> </w:t>
      </w:r>
      <w:r>
        <w:rPr>
          <w:color w:val="221F1F"/>
        </w:rPr>
        <w:t>above</w:t>
      </w:r>
      <w:r>
        <w:rPr>
          <w:color w:val="221F1F"/>
          <w:spacing w:val="-2"/>
        </w:rPr>
        <w:t xml:space="preserve"> </w:t>
      </w:r>
      <w:r>
        <w:rPr>
          <w:color w:val="221F1F"/>
        </w:rPr>
        <w:t>is</w:t>
      </w:r>
      <w:r>
        <w:rPr>
          <w:color w:val="221F1F"/>
          <w:spacing w:val="-4"/>
        </w:rPr>
        <w:t xml:space="preserve"> </w:t>
      </w:r>
      <w:r>
        <w:rPr>
          <w:color w:val="221F1F"/>
        </w:rPr>
        <w:t>true</w:t>
      </w:r>
      <w:r>
        <w:rPr>
          <w:color w:val="221F1F"/>
          <w:spacing w:val="-3"/>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4"/>
        </w:rPr>
        <w:t xml:space="preserve"> </w:t>
      </w:r>
      <w:r>
        <w:rPr>
          <w:color w:val="221F1F"/>
        </w:rPr>
        <w:t>my</w:t>
      </w:r>
      <w:r>
        <w:rPr>
          <w:color w:val="221F1F"/>
          <w:spacing w:val="-4"/>
        </w:rPr>
        <w:t xml:space="preserve"> </w:t>
      </w:r>
      <w:r>
        <w:rPr>
          <w:color w:val="221F1F"/>
        </w:rPr>
        <w:t>knowledge,</w:t>
      </w:r>
      <w:r>
        <w:rPr>
          <w:color w:val="221F1F"/>
          <w:spacing w:val="-2"/>
        </w:rPr>
        <w:t xml:space="preserve"> </w:t>
      </w:r>
      <w:r>
        <w:rPr>
          <w:color w:val="221F1F"/>
        </w:rPr>
        <w:t>information</w:t>
      </w:r>
      <w:r>
        <w:rPr>
          <w:color w:val="221F1F"/>
          <w:spacing w:val="-5"/>
        </w:rPr>
        <w:t xml:space="preserve"> </w:t>
      </w:r>
      <w:r>
        <w:rPr>
          <w:color w:val="221F1F"/>
        </w:rPr>
        <w:t>and</w:t>
      </w:r>
      <w:r>
        <w:rPr>
          <w:color w:val="221F1F"/>
          <w:spacing w:val="-1"/>
        </w:rPr>
        <w:t xml:space="preserve"> </w:t>
      </w:r>
      <w:r>
        <w:rPr>
          <w:color w:val="221F1F"/>
          <w:spacing w:val="-2"/>
        </w:rPr>
        <w:t>belief.</w:t>
      </w:r>
    </w:p>
    <w:p w:rsidR="007F6DF9" w:rsidRDefault="007F6DF9">
      <w:pPr>
        <w:pStyle w:val="ListParagraph"/>
        <w:sectPr w:rsidR="007F6DF9">
          <w:headerReference w:type="default" r:id="rId39"/>
          <w:footerReference w:type="default" r:id="rId40"/>
          <w:pgSz w:w="11920" w:h="16850"/>
          <w:pgMar w:top="1560" w:right="283" w:bottom="0" w:left="141" w:header="0" w:footer="0" w:gutter="0"/>
          <w:cols w:space="720"/>
        </w:sectPr>
      </w:pPr>
    </w:p>
    <w:p w:rsidR="007F6DF9" w:rsidRDefault="00A43FBC">
      <w:pPr>
        <w:pStyle w:val="BodyText"/>
      </w:pPr>
      <w:r>
        <w:rPr>
          <w:noProof/>
        </w:rPr>
        <w:lastRenderedPageBreak/>
        <mc:AlternateContent>
          <mc:Choice Requires="wpg">
            <w:drawing>
              <wp:anchor distT="0" distB="0" distL="0" distR="0" simplePos="0" relativeHeight="479612416"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76" name="Graphic 472"/>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77" name="Graphic 473"/>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w:pict>
              <v:group w14:anchorId="2ADABA5C" id="Group 471" o:spid="_x0000_s1026" style="position:absolute;margin-left:-.1pt;margin-top:806.2pt;width:595.45pt;height:24.5pt;z-index:-2370406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DKE3OoWgMAANwLAAAO&#10;AAAAAAAAAAAAAAAAAC4CAABkcnMvZTJvRG9jLnhtbFBLAQItABQABgAIAAAAIQB19+F/4QAAAAwB&#10;AAAPAAAAAAAAAAAAAAAAALQFAABkcnMvZG93bnJldi54bWxQSwUGAAAAAAQABADzAAAAwgYAAAAA&#10;">
                <v:shape id="Graphic 472"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" path="m944880,l,,,307975r790575,l839470,300355r41910,-22225l915035,245110r22225,-42545l944880,153670,944880,xe" fillcolor="#00a650" stroked="f">
                  <v:path arrowok="t"/>
                </v:shape>
                <v:shape id="Graphic 473"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p>
    <w:p w:rsidR="007F6DF9" w:rsidRDefault="007F6DF9">
      <w:pPr>
        <w:pStyle w:val="BodyText"/>
      </w:pPr>
    </w:p>
    <w:p w:rsidR="007F6DF9" w:rsidRDefault="007F6DF9">
      <w:pPr>
        <w:pStyle w:val="BodyText"/>
      </w:pPr>
    </w:p>
    <w:p w:rsidR="007F6DF9" w:rsidRDefault="007F6DF9">
      <w:pPr>
        <w:pStyle w:val="BodyText"/>
      </w:pPr>
    </w:p>
    <w:p w:rsidR="007F6DF9" w:rsidRDefault="007F6DF9">
      <w:pPr>
        <w:pStyle w:val="BodyText"/>
      </w:pPr>
    </w:p>
    <w:p w:rsidR="007F6DF9" w:rsidRDefault="007F6DF9">
      <w:pPr>
        <w:pStyle w:val="BodyText"/>
        <w:spacing w:before="68"/>
      </w:pPr>
    </w:p>
    <w:p w:rsidR="007F6DF9" w:rsidRDefault="00A43FBC">
      <w:pPr>
        <w:tabs>
          <w:tab w:val="left" w:leader="dot" w:pos="4326"/>
          <w:tab w:val="left" w:pos="9419"/>
        </w:tabs>
        <w:ind w:left="1006"/>
        <w:rPr>
          <w:i/>
        </w:rPr>
      </w:pPr>
      <w:r>
        <w:rPr>
          <w:i/>
          <w:color w:val="221F1F"/>
        </w:rPr>
        <w:t>Name</w:t>
      </w:r>
      <w:r>
        <w:rPr>
          <w:i/>
          <w:color w:val="221F1F"/>
          <w:spacing w:val="-2"/>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spacing w:val="-2"/>
        </w:rPr>
        <w:t>Tenderer</w:t>
      </w:r>
      <w:r>
        <w:rPr>
          <w:i/>
          <w:color w:val="221F1F"/>
        </w:rPr>
        <w:tab/>
        <w:t>*[insert</w:t>
      </w:r>
      <w:r>
        <w:rPr>
          <w:i/>
          <w:color w:val="221F1F"/>
          <w:spacing w:val="-5"/>
        </w:rPr>
        <w:t xml:space="preserve"> </w:t>
      </w:r>
      <w:r>
        <w:rPr>
          <w:i/>
          <w:color w:val="221F1F"/>
        </w:rPr>
        <w:t>complete</w:t>
      </w:r>
      <w:r>
        <w:rPr>
          <w:i/>
          <w:color w:val="221F1F"/>
          <w:spacing w:val="-5"/>
        </w:rPr>
        <w:t xml:space="preserve"> </w:t>
      </w:r>
      <w:r>
        <w:rPr>
          <w:i/>
          <w:color w:val="221F1F"/>
        </w:rPr>
        <w:t>name</w:t>
      </w:r>
      <w:r>
        <w:rPr>
          <w:i/>
          <w:color w:val="221F1F"/>
          <w:spacing w:val="-3"/>
        </w:rPr>
        <w:t xml:space="preserve"> </w:t>
      </w:r>
      <w:r>
        <w:rPr>
          <w:i/>
          <w:color w:val="221F1F"/>
        </w:rPr>
        <w:t>of</w:t>
      </w:r>
      <w:r>
        <w:rPr>
          <w:i/>
          <w:color w:val="221F1F"/>
          <w:spacing w:val="-4"/>
        </w:rPr>
        <w:t xml:space="preserve"> </w:t>
      </w:r>
      <w:r>
        <w:rPr>
          <w:i/>
          <w:color w:val="221F1F"/>
        </w:rPr>
        <w:t>the</w:t>
      </w:r>
      <w:r>
        <w:rPr>
          <w:i/>
          <w:color w:val="221F1F"/>
          <w:spacing w:val="-3"/>
        </w:rPr>
        <w:t xml:space="preserve"> </w:t>
      </w:r>
      <w:r>
        <w:rPr>
          <w:i/>
          <w:color w:val="221F1F"/>
          <w:spacing w:val="-2"/>
        </w:rPr>
        <w:t>Tenderer]</w:t>
      </w:r>
      <w:r>
        <w:rPr>
          <w:i/>
          <w:color w:val="221F1F"/>
          <w:u w:val="single" w:color="211E1F"/>
        </w:rPr>
        <w:tab/>
      </w:r>
    </w:p>
    <w:p w:rsidR="007F6DF9" w:rsidRDefault="007F6DF9">
      <w:pPr>
        <w:pStyle w:val="BodyText"/>
        <w:spacing w:before="120"/>
        <w:rPr>
          <w:i/>
        </w:rPr>
      </w:pPr>
    </w:p>
    <w:p w:rsidR="007F6DF9" w:rsidRDefault="00A43FBC">
      <w:pPr>
        <w:spacing w:line="477" w:lineRule="auto"/>
        <w:ind w:left="1006"/>
        <w:rPr>
          <w:i/>
        </w:rPr>
      </w:pPr>
      <w:r>
        <w:rPr>
          <w:i/>
          <w:color w:val="221F1F"/>
        </w:rPr>
        <w:t>Name</w:t>
      </w:r>
      <w:r>
        <w:rPr>
          <w:i/>
          <w:color w:val="221F1F"/>
          <w:spacing w:val="-7"/>
        </w:rPr>
        <w:t xml:space="preserve"> </w:t>
      </w:r>
      <w:r>
        <w:rPr>
          <w:i/>
          <w:color w:val="221F1F"/>
        </w:rPr>
        <w:t>of</w:t>
      </w:r>
      <w:r>
        <w:rPr>
          <w:i/>
          <w:color w:val="221F1F"/>
          <w:spacing w:val="-8"/>
        </w:rPr>
        <w:t xml:space="preserve"> </w:t>
      </w:r>
      <w:r>
        <w:rPr>
          <w:i/>
          <w:color w:val="221F1F"/>
        </w:rPr>
        <w:t>the</w:t>
      </w:r>
      <w:r>
        <w:rPr>
          <w:i/>
          <w:color w:val="221F1F"/>
          <w:spacing w:val="-7"/>
        </w:rPr>
        <w:t xml:space="preserve"> </w:t>
      </w:r>
      <w:r>
        <w:rPr>
          <w:i/>
          <w:color w:val="221F1F"/>
        </w:rPr>
        <w:t>person</w:t>
      </w:r>
      <w:r>
        <w:rPr>
          <w:i/>
          <w:color w:val="221F1F"/>
          <w:spacing w:val="-7"/>
        </w:rPr>
        <w:t xml:space="preserve"> </w:t>
      </w:r>
      <w:r>
        <w:rPr>
          <w:i/>
          <w:color w:val="221F1F"/>
        </w:rPr>
        <w:t>duly</w:t>
      </w:r>
      <w:r>
        <w:rPr>
          <w:i/>
          <w:color w:val="221F1F"/>
          <w:spacing w:val="-9"/>
        </w:rPr>
        <w:t xml:space="preserve"> </w:t>
      </w:r>
      <w:r>
        <w:rPr>
          <w:i/>
          <w:color w:val="221F1F"/>
        </w:rPr>
        <w:t>authorized</w:t>
      </w:r>
      <w:r>
        <w:rPr>
          <w:i/>
          <w:color w:val="221F1F"/>
          <w:spacing w:val="-10"/>
        </w:rPr>
        <w:t xml:space="preserve"> </w:t>
      </w:r>
      <w:r>
        <w:rPr>
          <w:i/>
          <w:color w:val="221F1F"/>
        </w:rPr>
        <w:t>to</w:t>
      </w:r>
      <w:r>
        <w:rPr>
          <w:i/>
          <w:color w:val="221F1F"/>
          <w:spacing w:val="-7"/>
        </w:rPr>
        <w:t xml:space="preserve"> </w:t>
      </w:r>
      <w:r>
        <w:rPr>
          <w:i/>
          <w:color w:val="221F1F"/>
        </w:rPr>
        <w:t>sign</w:t>
      </w:r>
      <w:r>
        <w:rPr>
          <w:i/>
          <w:color w:val="221F1F"/>
          <w:spacing w:val="-10"/>
        </w:rPr>
        <w:t xml:space="preserve"> </w:t>
      </w:r>
      <w:r>
        <w:rPr>
          <w:i/>
          <w:color w:val="221F1F"/>
        </w:rPr>
        <w:t>the</w:t>
      </w:r>
      <w:r>
        <w:rPr>
          <w:i/>
          <w:color w:val="221F1F"/>
          <w:spacing w:val="-7"/>
        </w:rPr>
        <w:t xml:space="preserve"> </w:t>
      </w:r>
      <w:r>
        <w:rPr>
          <w:i/>
          <w:color w:val="221F1F"/>
        </w:rPr>
        <w:t>Tender</w:t>
      </w:r>
      <w:r>
        <w:rPr>
          <w:i/>
          <w:color w:val="221F1F"/>
          <w:spacing w:val="-6"/>
        </w:rPr>
        <w:t xml:space="preserve"> </w:t>
      </w:r>
      <w:r>
        <w:rPr>
          <w:i/>
          <w:color w:val="221F1F"/>
        </w:rPr>
        <w:t>on</w:t>
      </w:r>
      <w:r>
        <w:rPr>
          <w:i/>
          <w:color w:val="221F1F"/>
          <w:spacing w:val="-7"/>
        </w:rPr>
        <w:t xml:space="preserve"> </w:t>
      </w:r>
      <w:r>
        <w:rPr>
          <w:i/>
          <w:color w:val="221F1F"/>
        </w:rPr>
        <w:t>behalf</w:t>
      </w:r>
      <w:r>
        <w:rPr>
          <w:i/>
          <w:color w:val="221F1F"/>
          <w:spacing w:val="-6"/>
        </w:rPr>
        <w:t xml:space="preserve"> </w:t>
      </w:r>
      <w:r>
        <w:rPr>
          <w:i/>
          <w:color w:val="221F1F"/>
        </w:rPr>
        <w:t>of</w:t>
      </w:r>
      <w:r>
        <w:rPr>
          <w:i/>
          <w:color w:val="221F1F"/>
          <w:spacing w:val="-9"/>
        </w:rPr>
        <w:t xml:space="preserve"> </w:t>
      </w:r>
      <w:r>
        <w:rPr>
          <w:i/>
          <w:color w:val="221F1F"/>
        </w:rPr>
        <w:t>the</w:t>
      </w:r>
      <w:r>
        <w:rPr>
          <w:i/>
          <w:color w:val="221F1F"/>
          <w:spacing w:val="-9"/>
        </w:rPr>
        <w:t xml:space="preserve"> </w:t>
      </w:r>
      <w:r>
        <w:rPr>
          <w:i/>
          <w:color w:val="221F1F"/>
        </w:rPr>
        <w:t>Tenderer:</w:t>
      </w:r>
      <w:r>
        <w:rPr>
          <w:i/>
          <w:color w:val="221F1F"/>
          <w:spacing w:val="-8"/>
        </w:rPr>
        <w:t xml:space="preserve"> </w:t>
      </w:r>
      <w:r>
        <w:rPr>
          <w:i/>
          <w:color w:val="221F1F"/>
        </w:rPr>
        <w:t>**</w:t>
      </w:r>
      <w:r>
        <w:rPr>
          <w:i/>
          <w:color w:val="221F1F"/>
          <w:spacing w:val="-7"/>
        </w:rPr>
        <w:t xml:space="preserve"> </w:t>
      </w:r>
      <w:r>
        <w:rPr>
          <w:i/>
          <w:color w:val="221F1F"/>
        </w:rPr>
        <w:t>[insert</w:t>
      </w:r>
      <w:r>
        <w:rPr>
          <w:i/>
          <w:color w:val="221F1F"/>
          <w:spacing w:val="-8"/>
        </w:rPr>
        <w:t xml:space="preserve"> </w:t>
      </w:r>
      <w:r>
        <w:rPr>
          <w:i/>
          <w:color w:val="221F1F"/>
        </w:rPr>
        <w:t>complete</w:t>
      </w:r>
      <w:r>
        <w:rPr>
          <w:i/>
          <w:color w:val="221F1F"/>
          <w:spacing w:val="-7"/>
        </w:rPr>
        <w:t xml:space="preserve"> </w:t>
      </w:r>
      <w:r>
        <w:rPr>
          <w:i/>
          <w:color w:val="221F1F"/>
        </w:rPr>
        <w:t>name</w:t>
      </w:r>
      <w:r>
        <w:rPr>
          <w:i/>
          <w:color w:val="221F1F"/>
          <w:spacing w:val="-7"/>
        </w:rPr>
        <w:t xml:space="preserve"> </w:t>
      </w:r>
      <w:r>
        <w:rPr>
          <w:i/>
          <w:color w:val="221F1F"/>
        </w:rPr>
        <w:t>of</w:t>
      </w:r>
      <w:r>
        <w:rPr>
          <w:i/>
          <w:color w:val="221F1F"/>
          <w:spacing w:val="-9"/>
        </w:rPr>
        <w:t xml:space="preserve"> </w:t>
      </w:r>
      <w:r>
        <w:rPr>
          <w:i/>
          <w:color w:val="221F1F"/>
        </w:rPr>
        <w:t>person duly authorized to sign the Tender]</w:t>
      </w:r>
    </w:p>
    <w:p w:rsidR="007F6DF9" w:rsidRDefault="00A43FBC">
      <w:pPr>
        <w:tabs>
          <w:tab w:val="left" w:leader="dot" w:pos="6420"/>
        </w:tabs>
        <w:spacing w:before="124"/>
        <w:ind w:left="1006"/>
        <w:rPr>
          <w:i/>
        </w:rPr>
      </w:pPr>
      <w:r>
        <w:rPr>
          <w:i/>
          <w:color w:val="221F1F"/>
        </w:rPr>
        <w:t>Designation</w:t>
      </w:r>
      <w:r>
        <w:rPr>
          <w:i/>
          <w:color w:val="221F1F"/>
          <w:spacing w:val="-7"/>
        </w:rPr>
        <w:t xml:space="preserve"> </w:t>
      </w:r>
      <w:r>
        <w:rPr>
          <w:i/>
          <w:color w:val="221F1F"/>
        </w:rPr>
        <w:t>of</w:t>
      </w:r>
      <w:r>
        <w:rPr>
          <w:i/>
          <w:color w:val="221F1F"/>
          <w:spacing w:val="-6"/>
        </w:rPr>
        <w:t xml:space="preserve"> </w:t>
      </w:r>
      <w:r>
        <w:rPr>
          <w:i/>
          <w:color w:val="221F1F"/>
        </w:rPr>
        <w:t>the</w:t>
      </w:r>
      <w:r>
        <w:rPr>
          <w:i/>
          <w:color w:val="221F1F"/>
          <w:spacing w:val="-5"/>
        </w:rPr>
        <w:t xml:space="preserve"> </w:t>
      </w:r>
      <w:r>
        <w:rPr>
          <w:i/>
          <w:color w:val="221F1F"/>
        </w:rPr>
        <w:t>person</w:t>
      </w:r>
      <w:r>
        <w:rPr>
          <w:i/>
          <w:color w:val="221F1F"/>
          <w:spacing w:val="-6"/>
        </w:rPr>
        <w:t xml:space="preserve"> </w:t>
      </w:r>
      <w:r>
        <w:rPr>
          <w:i/>
          <w:color w:val="221F1F"/>
        </w:rPr>
        <w:t>signing</w:t>
      </w:r>
      <w:r>
        <w:rPr>
          <w:i/>
          <w:color w:val="221F1F"/>
          <w:spacing w:val="-7"/>
        </w:rPr>
        <w:t xml:space="preserve"> </w:t>
      </w:r>
      <w:r>
        <w:rPr>
          <w:i/>
          <w:color w:val="221F1F"/>
        </w:rPr>
        <w:t>the</w:t>
      </w:r>
      <w:r>
        <w:rPr>
          <w:i/>
          <w:color w:val="221F1F"/>
          <w:spacing w:val="-5"/>
        </w:rPr>
        <w:t xml:space="preserve"> </w:t>
      </w:r>
      <w:r>
        <w:rPr>
          <w:i/>
          <w:color w:val="221F1F"/>
          <w:spacing w:val="-2"/>
        </w:rPr>
        <w:t>Tender</w:t>
      </w:r>
      <w:r>
        <w:rPr>
          <w:i/>
          <w:color w:val="221F1F"/>
        </w:rPr>
        <w:tab/>
        <w:t>[insert</w:t>
      </w:r>
      <w:r>
        <w:rPr>
          <w:i/>
          <w:color w:val="221F1F"/>
          <w:spacing w:val="-9"/>
        </w:rPr>
        <w:t xml:space="preserve"> </w:t>
      </w:r>
      <w:r>
        <w:rPr>
          <w:i/>
          <w:color w:val="221F1F"/>
        </w:rPr>
        <w:t>complete</w:t>
      </w:r>
      <w:r>
        <w:rPr>
          <w:i/>
          <w:color w:val="221F1F"/>
          <w:spacing w:val="-7"/>
        </w:rPr>
        <w:t xml:space="preserve"> </w:t>
      </w:r>
      <w:r>
        <w:rPr>
          <w:i/>
          <w:color w:val="221F1F"/>
        </w:rPr>
        <w:t>title</w:t>
      </w:r>
      <w:r>
        <w:rPr>
          <w:i/>
          <w:color w:val="221F1F"/>
          <w:spacing w:val="-7"/>
        </w:rPr>
        <w:t xml:space="preserve"> </w:t>
      </w:r>
      <w:r>
        <w:rPr>
          <w:i/>
          <w:color w:val="221F1F"/>
        </w:rPr>
        <w:t>of</w:t>
      </w:r>
      <w:r>
        <w:rPr>
          <w:i/>
          <w:color w:val="221F1F"/>
          <w:spacing w:val="-5"/>
        </w:rPr>
        <w:t xml:space="preserve"> </w:t>
      </w:r>
      <w:r>
        <w:rPr>
          <w:i/>
          <w:color w:val="221F1F"/>
        </w:rPr>
        <w:t>the</w:t>
      </w:r>
      <w:r>
        <w:rPr>
          <w:i/>
          <w:color w:val="221F1F"/>
          <w:spacing w:val="-4"/>
        </w:rPr>
        <w:t xml:space="preserve"> </w:t>
      </w:r>
      <w:r>
        <w:rPr>
          <w:i/>
          <w:color w:val="221F1F"/>
        </w:rPr>
        <w:t>person</w:t>
      </w:r>
      <w:r>
        <w:rPr>
          <w:i/>
          <w:color w:val="221F1F"/>
          <w:spacing w:val="-6"/>
        </w:rPr>
        <w:t xml:space="preserve"> </w:t>
      </w:r>
      <w:r>
        <w:rPr>
          <w:i/>
          <w:color w:val="221F1F"/>
        </w:rPr>
        <w:t>signing</w:t>
      </w:r>
      <w:r>
        <w:rPr>
          <w:i/>
          <w:color w:val="221F1F"/>
          <w:spacing w:val="-7"/>
        </w:rPr>
        <w:t xml:space="preserve"> </w:t>
      </w:r>
      <w:r>
        <w:rPr>
          <w:i/>
          <w:color w:val="221F1F"/>
        </w:rPr>
        <w:t>the</w:t>
      </w:r>
      <w:r>
        <w:rPr>
          <w:i/>
          <w:color w:val="221F1F"/>
          <w:spacing w:val="-4"/>
        </w:rPr>
        <w:t xml:space="preserve"> </w:t>
      </w:r>
      <w:r>
        <w:rPr>
          <w:i/>
          <w:color w:val="221F1F"/>
          <w:spacing w:val="-2"/>
        </w:rPr>
        <w:t>Tender]</w:t>
      </w:r>
    </w:p>
    <w:p w:rsidR="007F6DF9" w:rsidRDefault="007F6DF9">
      <w:pPr>
        <w:pStyle w:val="BodyText"/>
        <w:spacing w:before="120"/>
        <w:rPr>
          <w:i/>
        </w:rPr>
      </w:pPr>
    </w:p>
    <w:p w:rsidR="007F6DF9" w:rsidRDefault="00A43FBC">
      <w:pPr>
        <w:tabs>
          <w:tab w:val="left" w:leader="dot" w:pos="5674"/>
        </w:tabs>
        <w:ind w:left="1006"/>
        <w:rPr>
          <w:i/>
        </w:rPr>
      </w:pPr>
      <w:r>
        <w:rPr>
          <w:i/>
          <w:color w:val="221F1F"/>
        </w:rPr>
        <w:t>Signature</w:t>
      </w:r>
      <w:r>
        <w:rPr>
          <w:i/>
          <w:color w:val="221F1F"/>
          <w:spacing w:val="-13"/>
        </w:rPr>
        <w:t xml:space="preserve"> </w:t>
      </w:r>
      <w:r>
        <w:rPr>
          <w:i/>
          <w:color w:val="221F1F"/>
        </w:rPr>
        <w:t>of</w:t>
      </w:r>
      <w:r>
        <w:rPr>
          <w:i/>
          <w:color w:val="221F1F"/>
          <w:spacing w:val="-12"/>
        </w:rPr>
        <w:t xml:space="preserve"> </w:t>
      </w:r>
      <w:r>
        <w:rPr>
          <w:i/>
          <w:color w:val="221F1F"/>
        </w:rPr>
        <w:t>the</w:t>
      </w:r>
      <w:r>
        <w:rPr>
          <w:i/>
          <w:color w:val="221F1F"/>
          <w:spacing w:val="-13"/>
        </w:rPr>
        <w:t xml:space="preserve"> </w:t>
      </w:r>
      <w:r>
        <w:rPr>
          <w:i/>
          <w:color w:val="221F1F"/>
        </w:rPr>
        <w:t>person</w:t>
      </w:r>
      <w:r>
        <w:rPr>
          <w:i/>
          <w:color w:val="221F1F"/>
          <w:spacing w:val="-13"/>
        </w:rPr>
        <w:t xml:space="preserve"> </w:t>
      </w:r>
      <w:r>
        <w:rPr>
          <w:i/>
          <w:color w:val="221F1F"/>
        </w:rPr>
        <w:t>named</w:t>
      </w:r>
      <w:r>
        <w:rPr>
          <w:i/>
          <w:color w:val="221F1F"/>
          <w:spacing w:val="-12"/>
        </w:rPr>
        <w:t xml:space="preserve"> </w:t>
      </w:r>
      <w:r>
        <w:rPr>
          <w:i/>
          <w:color w:val="221F1F"/>
          <w:spacing w:val="-2"/>
        </w:rPr>
        <w:t>above</w:t>
      </w:r>
      <w:r>
        <w:rPr>
          <w:i/>
          <w:color w:val="221F1F"/>
        </w:rPr>
        <w:tab/>
        <w:t>[insert</w:t>
      </w:r>
      <w:r>
        <w:rPr>
          <w:i/>
          <w:color w:val="221F1F"/>
          <w:spacing w:val="-15"/>
        </w:rPr>
        <w:t xml:space="preserve"> </w:t>
      </w:r>
      <w:r>
        <w:rPr>
          <w:i/>
          <w:color w:val="221F1F"/>
        </w:rPr>
        <w:t>signature</w:t>
      </w:r>
      <w:r>
        <w:rPr>
          <w:i/>
          <w:color w:val="221F1F"/>
          <w:spacing w:val="-13"/>
        </w:rPr>
        <w:t xml:space="preserve"> </w:t>
      </w:r>
      <w:r>
        <w:rPr>
          <w:i/>
          <w:color w:val="221F1F"/>
        </w:rPr>
        <w:t>of</w:t>
      </w:r>
      <w:r>
        <w:rPr>
          <w:i/>
          <w:color w:val="221F1F"/>
          <w:spacing w:val="-12"/>
        </w:rPr>
        <w:t xml:space="preserve"> </w:t>
      </w:r>
      <w:r>
        <w:rPr>
          <w:i/>
          <w:color w:val="221F1F"/>
        </w:rPr>
        <w:t>person</w:t>
      </w:r>
      <w:r>
        <w:rPr>
          <w:i/>
          <w:color w:val="221F1F"/>
          <w:spacing w:val="-13"/>
        </w:rPr>
        <w:t xml:space="preserve"> </w:t>
      </w:r>
      <w:r>
        <w:rPr>
          <w:i/>
          <w:color w:val="221F1F"/>
        </w:rPr>
        <w:t>whose</w:t>
      </w:r>
      <w:r>
        <w:rPr>
          <w:i/>
          <w:color w:val="221F1F"/>
          <w:spacing w:val="-12"/>
        </w:rPr>
        <w:t xml:space="preserve"> </w:t>
      </w:r>
      <w:r>
        <w:rPr>
          <w:i/>
          <w:color w:val="221F1F"/>
        </w:rPr>
        <w:t>name</w:t>
      </w:r>
      <w:r>
        <w:rPr>
          <w:i/>
          <w:color w:val="221F1F"/>
          <w:spacing w:val="-14"/>
        </w:rPr>
        <w:t xml:space="preserve"> </w:t>
      </w:r>
      <w:r>
        <w:rPr>
          <w:i/>
          <w:color w:val="221F1F"/>
        </w:rPr>
        <w:t>and</w:t>
      </w:r>
      <w:r>
        <w:rPr>
          <w:i/>
          <w:color w:val="221F1F"/>
          <w:spacing w:val="-13"/>
        </w:rPr>
        <w:t xml:space="preserve"> </w:t>
      </w:r>
      <w:r>
        <w:rPr>
          <w:i/>
          <w:color w:val="221F1F"/>
        </w:rPr>
        <w:t>capacity</w:t>
      </w:r>
      <w:r>
        <w:rPr>
          <w:i/>
          <w:color w:val="221F1F"/>
          <w:spacing w:val="-13"/>
        </w:rPr>
        <w:t xml:space="preserve"> </w:t>
      </w:r>
      <w:r>
        <w:rPr>
          <w:i/>
          <w:color w:val="221F1F"/>
        </w:rPr>
        <w:t>are</w:t>
      </w:r>
      <w:r>
        <w:rPr>
          <w:i/>
          <w:color w:val="221F1F"/>
          <w:spacing w:val="-13"/>
        </w:rPr>
        <w:t xml:space="preserve"> </w:t>
      </w:r>
      <w:r>
        <w:rPr>
          <w:i/>
          <w:color w:val="221F1F"/>
          <w:spacing w:val="-2"/>
        </w:rPr>
        <w:t>shown</w:t>
      </w:r>
    </w:p>
    <w:p w:rsidR="007F6DF9" w:rsidRDefault="007F6DF9">
      <w:pPr>
        <w:pStyle w:val="BodyText"/>
        <w:spacing w:before="1"/>
        <w:rPr>
          <w:i/>
        </w:rPr>
      </w:pPr>
    </w:p>
    <w:p w:rsidR="007F6DF9" w:rsidRDefault="00A43FBC">
      <w:pPr>
        <w:ind w:left="1006"/>
        <w:rPr>
          <w:i/>
        </w:rPr>
      </w:pPr>
      <w:r>
        <w:rPr>
          <w:i/>
          <w:color w:val="221F1F"/>
          <w:spacing w:val="-2"/>
        </w:rPr>
        <w:t>above]</w:t>
      </w:r>
    </w:p>
    <w:p w:rsidR="007F6DF9" w:rsidRDefault="007F6DF9">
      <w:pPr>
        <w:pStyle w:val="BodyText"/>
        <w:spacing w:before="121"/>
        <w:rPr>
          <w:i/>
        </w:rPr>
      </w:pPr>
    </w:p>
    <w:p w:rsidR="007F6DF9" w:rsidRDefault="00A43FBC">
      <w:pPr>
        <w:tabs>
          <w:tab w:val="left" w:leader="dot" w:pos="7136"/>
        </w:tabs>
        <w:ind w:left="1006"/>
        <w:rPr>
          <w:i/>
        </w:rPr>
      </w:pPr>
      <w:r>
        <w:rPr>
          <w:i/>
          <w:color w:val="221F1F"/>
        </w:rPr>
        <w:t>Date</w:t>
      </w:r>
      <w:r>
        <w:rPr>
          <w:i/>
          <w:color w:val="221F1F"/>
          <w:spacing w:val="-5"/>
        </w:rPr>
        <w:t xml:space="preserve"> </w:t>
      </w:r>
      <w:r>
        <w:rPr>
          <w:i/>
          <w:color w:val="221F1F"/>
        </w:rPr>
        <w:t>this</w:t>
      </w:r>
      <w:r>
        <w:rPr>
          <w:i/>
          <w:color w:val="221F1F"/>
          <w:spacing w:val="-4"/>
        </w:rPr>
        <w:t xml:space="preserve"> </w:t>
      </w:r>
      <w:r>
        <w:rPr>
          <w:i/>
          <w:color w:val="221F1F"/>
        </w:rPr>
        <w:t>.......................</w:t>
      </w:r>
      <w:r>
        <w:rPr>
          <w:i/>
          <w:color w:val="221F1F"/>
          <w:spacing w:val="-5"/>
        </w:rPr>
        <w:t xml:space="preserve"> </w:t>
      </w:r>
      <w:r>
        <w:rPr>
          <w:i/>
          <w:color w:val="221F1F"/>
        </w:rPr>
        <w:t>[insert</w:t>
      </w:r>
      <w:r>
        <w:rPr>
          <w:i/>
          <w:color w:val="221F1F"/>
          <w:spacing w:val="-4"/>
        </w:rPr>
        <w:t xml:space="preserve"> </w:t>
      </w:r>
      <w:r>
        <w:rPr>
          <w:i/>
          <w:color w:val="221F1F"/>
        </w:rPr>
        <w:t>date</w:t>
      </w:r>
      <w:r>
        <w:rPr>
          <w:i/>
          <w:color w:val="221F1F"/>
          <w:spacing w:val="-2"/>
        </w:rPr>
        <w:t xml:space="preserve"> </w:t>
      </w:r>
      <w:r>
        <w:rPr>
          <w:i/>
          <w:color w:val="221F1F"/>
        </w:rPr>
        <w:t>of</w:t>
      </w:r>
      <w:r>
        <w:rPr>
          <w:i/>
          <w:color w:val="221F1F"/>
          <w:spacing w:val="-2"/>
        </w:rPr>
        <w:t xml:space="preserve"> </w:t>
      </w:r>
      <w:r>
        <w:rPr>
          <w:i/>
          <w:color w:val="221F1F"/>
        </w:rPr>
        <w:t>signing]</w:t>
      </w:r>
      <w:r>
        <w:rPr>
          <w:i/>
          <w:color w:val="221F1F"/>
          <w:spacing w:val="-2"/>
        </w:rPr>
        <w:t xml:space="preserve"> </w:t>
      </w:r>
      <w:r>
        <w:rPr>
          <w:i/>
          <w:color w:val="221F1F"/>
        </w:rPr>
        <w:t>day</w:t>
      </w:r>
      <w:r>
        <w:rPr>
          <w:i/>
          <w:color w:val="221F1F"/>
          <w:spacing w:val="-2"/>
        </w:rPr>
        <w:t xml:space="preserve"> </w:t>
      </w:r>
      <w:r>
        <w:rPr>
          <w:i/>
          <w:color w:val="221F1F"/>
          <w:spacing w:val="-5"/>
        </w:rPr>
        <w:t>of</w:t>
      </w:r>
      <w:r>
        <w:rPr>
          <w:i/>
          <w:color w:val="221F1F"/>
        </w:rPr>
        <w:tab/>
        <w:t>[Insert</w:t>
      </w:r>
      <w:r>
        <w:rPr>
          <w:i/>
          <w:color w:val="221F1F"/>
          <w:spacing w:val="-7"/>
        </w:rPr>
        <w:t xml:space="preserve"> </w:t>
      </w:r>
      <w:r>
        <w:rPr>
          <w:i/>
          <w:color w:val="221F1F"/>
        </w:rPr>
        <w:t>month],</w:t>
      </w:r>
      <w:r>
        <w:rPr>
          <w:i/>
          <w:color w:val="221F1F"/>
          <w:spacing w:val="-5"/>
        </w:rPr>
        <w:t xml:space="preserve"> </w:t>
      </w:r>
      <w:r>
        <w:rPr>
          <w:i/>
          <w:color w:val="221F1F"/>
        </w:rPr>
        <w:t>[insert</w:t>
      </w:r>
      <w:r>
        <w:rPr>
          <w:i/>
          <w:color w:val="221F1F"/>
          <w:spacing w:val="-5"/>
        </w:rPr>
        <w:t xml:space="preserve"> </w:t>
      </w:r>
      <w:r>
        <w:rPr>
          <w:i/>
          <w:color w:val="221F1F"/>
          <w:spacing w:val="-2"/>
        </w:rPr>
        <w:t>year]</w:t>
      </w: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spacing w:before="122"/>
        <w:rPr>
          <w:i/>
        </w:rPr>
      </w:pPr>
    </w:p>
    <w:p w:rsidR="007F6DF9" w:rsidRDefault="00A43FBC">
      <w:pPr>
        <w:pStyle w:val="BodyText"/>
        <w:spacing w:before="1"/>
        <w:ind w:left="306"/>
        <w:jc w:val="center"/>
      </w:pPr>
      <w:r>
        <w:rPr>
          <w:color w:val="221F1F"/>
        </w:rPr>
        <w:t>Bidder</w:t>
      </w:r>
      <w:r>
        <w:rPr>
          <w:color w:val="221F1F"/>
          <w:spacing w:val="-11"/>
        </w:rPr>
        <w:t xml:space="preserve"> </w:t>
      </w:r>
      <w:r>
        <w:rPr>
          <w:color w:val="221F1F"/>
        </w:rPr>
        <w:t>Official</w:t>
      </w:r>
      <w:r>
        <w:rPr>
          <w:color w:val="221F1F"/>
          <w:spacing w:val="-9"/>
        </w:rPr>
        <w:t xml:space="preserve"> </w:t>
      </w:r>
      <w:r>
        <w:rPr>
          <w:color w:val="221F1F"/>
          <w:spacing w:val="-2"/>
        </w:rPr>
        <w:t>Stamp</w:t>
      </w: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spacing w:before="81"/>
        <w:rPr>
          <w:sz w:val="23"/>
        </w:rPr>
      </w:pPr>
    </w:p>
    <w:p w:rsidR="007F6DF9" w:rsidRDefault="00A43FBC">
      <w:pPr>
        <w:ind w:left="696"/>
        <w:rPr>
          <w:rFonts w:ascii="Segoe UI"/>
          <w:sz w:val="23"/>
        </w:rPr>
      </w:pPr>
      <w:r>
        <w:rPr>
          <w:rFonts w:ascii="Segoe UI"/>
          <w:color w:val="FFFFFF"/>
          <w:spacing w:val="-5"/>
          <w:sz w:val="23"/>
        </w:rPr>
        <w:t>144</w:t>
      </w:r>
    </w:p>
    <w:p w:rsidR="007F6DF9" w:rsidRDefault="007F6DF9">
      <w:pPr>
        <w:rPr>
          <w:rFonts w:ascii="Segoe UI"/>
          <w:sz w:val="23"/>
        </w:rPr>
        <w:sectPr w:rsidR="007F6DF9">
          <w:pgSz w:w="11920" w:h="16850"/>
          <w:pgMar w:top="360" w:right="283" w:bottom="0" w:left="141" w:header="0" w:footer="0" w:gutter="0"/>
          <w:cols w:space="720"/>
        </w:sect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3E2BF5">
      <w:pPr>
        <w:pStyle w:val="BodyText"/>
        <w:rPr>
          <w:rFonts w:ascii="Segoe UI"/>
          <w:sz w:val="20"/>
        </w:rPr>
      </w:pPr>
      <w:r>
        <w:rPr>
          <w:rFonts w:ascii="Segoe UI"/>
          <w:noProof/>
          <w:sz w:val="20"/>
        </w:rPr>
        <w:drawing>
          <wp:anchor distT="0" distB="0" distL="0" distR="0" simplePos="0" relativeHeight="479612928" behindDoc="1" locked="0" layoutInCell="1" allowOverlap="1" wp14:anchorId="265BF215" wp14:editId="3062E905">
            <wp:simplePos x="0" y="0"/>
            <wp:positionH relativeFrom="page">
              <wp:posOffset>102870</wp:posOffset>
            </wp:positionH>
            <wp:positionV relativeFrom="page">
              <wp:posOffset>2976880</wp:posOffset>
            </wp:positionV>
            <wp:extent cx="7557770" cy="7729220"/>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41" cstate="print"/>
                    <a:stretch>
                      <a:fillRect/>
                    </a:stretch>
                  </pic:blipFill>
                  <pic:spPr>
                    <a:xfrm>
                      <a:off x="0" y="0"/>
                      <a:ext cx="7557770" cy="7729220"/>
                    </a:xfrm>
                    <a:prstGeom prst="rect">
                      <a:avLst/>
                    </a:prstGeom>
                  </pic:spPr>
                </pic:pic>
              </a:graphicData>
            </a:graphic>
          </wp:anchor>
        </w:drawing>
      </w: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spacing w:before="243"/>
        <w:rPr>
          <w:rFonts w:ascii="Segoe UI"/>
          <w:sz w:val="20"/>
        </w:rPr>
      </w:pPr>
    </w:p>
    <w:p w:rsidR="007F6DF9" w:rsidRDefault="007F6DF9">
      <w:pPr>
        <w:pStyle w:val="BodyText"/>
        <w:rPr>
          <w:rFonts w:ascii="Segoe UI"/>
          <w:sz w:val="20"/>
        </w:rPr>
        <w:sectPr w:rsidR="007F6DF9">
          <w:headerReference w:type="default" r:id="rId42"/>
          <w:footerReference w:type="default" r:id="rId43"/>
          <w:pgSz w:w="11920" w:h="16850"/>
          <w:pgMar w:top="0" w:right="283" w:bottom="280" w:left="141" w:header="0" w:footer="0" w:gutter="0"/>
          <w:cols w:space="720"/>
        </w:sect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spacing w:before="161"/>
        <w:rPr>
          <w:rFonts w:ascii="Segoe UI"/>
          <w:sz w:val="20"/>
        </w:rPr>
      </w:pPr>
    </w:p>
    <w:p w:rsidR="007F6DF9" w:rsidRDefault="00A43FBC">
      <w:pPr>
        <w:ind w:left="559"/>
        <w:rPr>
          <w:rFonts w:ascii="Segoe UI"/>
          <w:sz w:val="20"/>
        </w:rPr>
      </w:pPr>
      <w:r>
        <w:rPr>
          <w:rFonts w:ascii="Segoe UI"/>
          <w:color w:val="FFFFFF"/>
          <w:spacing w:val="-2"/>
          <w:sz w:val="20"/>
        </w:rPr>
        <w:t>2213106/7</w:t>
      </w:r>
    </w:p>
    <w:p w:rsidR="007F6DF9" w:rsidRDefault="007F6DF9">
      <w:pPr>
        <w:pStyle w:val="BodyText"/>
        <w:rPr>
          <w:rFonts w:ascii="Segoe UI"/>
          <w:sz w:val="20"/>
        </w:rPr>
      </w:pPr>
    </w:p>
    <w:p w:rsidR="007F6DF9" w:rsidRDefault="007F6DF9">
      <w:pPr>
        <w:pStyle w:val="BodyText"/>
        <w:spacing w:before="208"/>
        <w:rPr>
          <w:rFonts w:ascii="Segoe UI"/>
          <w:sz w:val="20"/>
        </w:rPr>
      </w:pPr>
    </w:p>
    <w:p w:rsidR="007F6DF9" w:rsidRDefault="00883FED">
      <w:pPr>
        <w:ind w:left="559"/>
        <w:rPr>
          <w:rFonts w:ascii="Segoe UI"/>
          <w:sz w:val="20"/>
        </w:rPr>
      </w:pPr>
      <w:hyperlink r:id="rId44">
        <w:r w:rsidR="00A43FBC">
          <w:rPr>
            <w:rFonts w:ascii="Segoe UI"/>
            <w:color w:val="FFFFFF"/>
            <w:spacing w:val="-2"/>
            <w:sz w:val="20"/>
          </w:rPr>
          <w:t>www.ppra.go.ke</w:t>
        </w:r>
      </w:hyperlink>
    </w:p>
    <w:p w:rsidR="007F6DF9" w:rsidRDefault="00A43FBC">
      <w:pPr>
        <w:spacing w:before="99"/>
        <w:ind w:left="559"/>
        <w:rPr>
          <w:rFonts w:ascii="Segoe UI"/>
          <w:b/>
          <w:sz w:val="20"/>
        </w:rPr>
      </w:pPr>
      <w:r>
        <w:br w:type="column"/>
      </w:r>
      <w:r>
        <w:rPr>
          <w:rFonts w:ascii="Segoe UI"/>
          <w:b/>
          <w:color w:val="FFFFFF"/>
          <w:sz w:val="20"/>
        </w:rPr>
        <w:lastRenderedPageBreak/>
        <w:t>Public</w:t>
      </w:r>
      <w:r>
        <w:rPr>
          <w:rFonts w:ascii="Segoe UI"/>
          <w:b/>
          <w:color w:val="FFFFFF"/>
          <w:spacing w:val="-12"/>
          <w:sz w:val="20"/>
        </w:rPr>
        <w:t xml:space="preserve"> </w:t>
      </w:r>
      <w:r>
        <w:rPr>
          <w:rFonts w:ascii="Segoe UI"/>
          <w:b/>
          <w:color w:val="FFFFFF"/>
          <w:sz w:val="20"/>
        </w:rPr>
        <w:t>Procurement</w:t>
      </w:r>
      <w:r>
        <w:rPr>
          <w:rFonts w:ascii="Segoe UI"/>
          <w:b/>
          <w:color w:val="FFFFFF"/>
          <w:spacing w:val="-12"/>
          <w:sz w:val="20"/>
        </w:rPr>
        <w:t xml:space="preserve"> </w:t>
      </w:r>
      <w:r>
        <w:rPr>
          <w:rFonts w:ascii="Segoe UI"/>
          <w:b/>
          <w:color w:val="FFFFFF"/>
          <w:sz w:val="20"/>
        </w:rPr>
        <w:t>Regulatory</w:t>
      </w:r>
      <w:r>
        <w:rPr>
          <w:rFonts w:ascii="Segoe UI"/>
          <w:b/>
          <w:color w:val="FFFFFF"/>
          <w:spacing w:val="-11"/>
          <w:sz w:val="20"/>
        </w:rPr>
        <w:t xml:space="preserve"> </w:t>
      </w:r>
      <w:r>
        <w:rPr>
          <w:rFonts w:ascii="Segoe UI"/>
          <w:b/>
          <w:color w:val="FFFFFF"/>
          <w:sz w:val="20"/>
        </w:rPr>
        <w:t>Authority</w:t>
      </w:r>
      <w:r>
        <w:rPr>
          <w:rFonts w:ascii="Segoe UI"/>
          <w:b/>
          <w:color w:val="FFFFFF"/>
          <w:spacing w:val="-12"/>
          <w:sz w:val="20"/>
        </w:rPr>
        <w:t xml:space="preserve"> </w:t>
      </w:r>
      <w:r>
        <w:rPr>
          <w:rFonts w:ascii="Segoe UI"/>
          <w:b/>
          <w:color w:val="FFFFFF"/>
          <w:spacing w:val="-2"/>
          <w:sz w:val="20"/>
        </w:rPr>
        <w:t>(PPRA)</w:t>
      </w:r>
    </w:p>
    <w:p w:rsidR="007F6DF9" w:rsidRDefault="00A43FBC">
      <w:pPr>
        <w:spacing w:before="63"/>
        <w:ind w:left="631"/>
        <w:rPr>
          <w:rFonts w:ascii="Segoe UI"/>
          <w:sz w:val="20"/>
        </w:rPr>
      </w:pPr>
      <w:r>
        <w:rPr>
          <w:rFonts w:ascii="Segoe UI"/>
          <w:color w:val="FFFFFF"/>
          <w:sz w:val="20"/>
        </w:rPr>
        <w:t>KISM</w:t>
      </w:r>
      <w:r>
        <w:rPr>
          <w:rFonts w:ascii="Segoe UI"/>
          <w:color w:val="FFFFFF"/>
          <w:spacing w:val="-5"/>
          <w:sz w:val="20"/>
        </w:rPr>
        <w:t xml:space="preserve"> </w:t>
      </w:r>
      <w:r>
        <w:rPr>
          <w:rFonts w:ascii="Segoe UI"/>
          <w:color w:val="FFFFFF"/>
          <w:sz w:val="20"/>
        </w:rPr>
        <w:t>Towers,</w:t>
      </w:r>
      <w:r>
        <w:rPr>
          <w:rFonts w:ascii="Segoe UI"/>
          <w:color w:val="FFFFFF"/>
          <w:spacing w:val="-5"/>
          <w:sz w:val="20"/>
        </w:rPr>
        <w:t xml:space="preserve"> </w:t>
      </w:r>
      <w:r>
        <w:rPr>
          <w:rFonts w:ascii="Segoe UI"/>
          <w:color w:val="FFFFFF"/>
          <w:sz w:val="20"/>
        </w:rPr>
        <w:t>6th</w:t>
      </w:r>
      <w:r>
        <w:rPr>
          <w:rFonts w:ascii="Segoe UI"/>
          <w:color w:val="FFFFFF"/>
          <w:spacing w:val="-6"/>
          <w:sz w:val="20"/>
        </w:rPr>
        <w:t xml:space="preserve"> </w:t>
      </w:r>
      <w:r>
        <w:rPr>
          <w:rFonts w:ascii="Segoe UI"/>
          <w:color w:val="FFFFFF"/>
          <w:sz w:val="20"/>
        </w:rPr>
        <w:t>Floor,</w:t>
      </w:r>
      <w:r>
        <w:rPr>
          <w:rFonts w:ascii="Segoe UI"/>
          <w:color w:val="FFFFFF"/>
          <w:spacing w:val="-4"/>
          <w:sz w:val="20"/>
        </w:rPr>
        <w:t xml:space="preserve"> </w:t>
      </w:r>
      <w:proofErr w:type="spellStart"/>
      <w:r>
        <w:rPr>
          <w:rFonts w:ascii="Segoe UI"/>
          <w:color w:val="FFFFFF"/>
          <w:sz w:val="20"/>
        </w:rPr>
        <w:t>Ngong</w:t>
      </w:r>
      <w:proofErr w:type="spellEnd"/>
      <w:r>
        <w:rPr>
          <w:rFonts w:ascii="Segoe UI"/>
          <w:color w:val="FFFFFF"/>
          <w:spacing w:val="-6"/>
          <w:sz w:val="20"/>
        </w:rPr>
        <w:t xml:space="preserve"> </w:t>
      </w:r>
      <w:r>
        <w:rPr>
          <w:rFonts w:ascii="Segoe UI"/>
          <w:color w:val="FFFFFF"/>
          <w:spacing w:val="-5"/>
          <w:sz w:val="20"/>
        </w:rPr>
        <w:t>Rd</w:t>
      </w:r>
    </w:p>
    <w:p w:rsidR="007F6DF9" w:rsidRDefault="00A43FBC">
      <w:pPr>
        <w:spacing w:before="63"/>
        <w:ind w:left="1711"/>
        <w:rPr>
          <w:rFonts w:ascii="Segoe UI"/>
          <w:sz w:val="20"/>
        </w:rPr>
      </w:pPr>
      <w:r>
        <w:rPr>
          <w:rFonts w:ascii="Segoe UI"/>
          <w:color w:val="FFFFFF"/>
          <w:sz w:val="20"/>
        </w:rPr>
        <w:t>P.O</w:t>
      </w:r>
      <w:r>
        <w:rPr>
          <w:rFonts w:ascii="Segoe UI"/>
          <w:color w:val="FFFFFF"/>
          <w:spacing w:val="-5"/>
          <w:sz w:val="20"/>
        </w:rPr>
        <w:t xml:space="preserve"> </w:t>
      </w:r>
      <w:r>
        <w:rPr>
          <w:rFonts w:ascii="Segoe UI"/>
          <w:color w:val="FFFFFF"/>
          <w:sz w:val="20"/>
        </w:rPr>
        <w:t>Box</w:t>
      </w:r>
      <w:r>
        <w:rPr>
          <w:rFonts w:ascii="Segoe UI"/>
          <w:color w:val="FFFFFF"/>
          <w:spacing w:val="-7"/>
          <w:sz w:val="20"/>
        </w:rPr>
        <w:t xml:space="preserve"> </w:t>
      </w:r>
      <w:r>
        <w:rPr>
          <w:rFonts w:ascii="Segoe UI"/>
          <w:color w:val="FFFFFF"/>
          <w:sz w:val="20"/>
        </w:rPr>
        <w:t>58535-</w:t>
      </w:r>
      <w:r>
        <w:rPr>
          <w:rFonts w:ascii="Segoe UI"/>
          <w:color w:val="FFFFFF"/>
          <w:spacing w:val="-5"/>
          <w:sz w:val="20"/>
        </w:rPr>
        <w:t xml:space="preserve"> </w:t>
      </w:r>
      <w:r>
        <w:rPr>
          <w:rFonts w:ascii="Segoe UI"/>
          <w:color w:val="FFFFFF"/>
          <w:sz w:val="20"/>
        </w:rPr>
        <w:t>00200,</w:t>
      </w:r>
      <w:r>
        <w:rPr>
          <w:rFonts w:ascii="Segoe UI"/>
          <w:color w:val="FFFFFF"/>
          <w:spacing w:val="-7"/>
          <w:sz w:val="20"/>
        </w:rPr>
        <w:t xml:space="preserve"> </w:t>
      </w:r>
      <w:r>
        <w:rPr>
          <w:rFonts w:ascii="Segoe UI"/>
          <w:color w:val="FFFFFF"/>
          <w:sz w:val="20"/>
        </w:rPr>
        <w:t>Nairobi</w:t>
      </w:r>
      <w:r>
        <w:rPr>
          <w:rFonts w:ascii="Segoe UI"/>
          <w:color w:val="FFFFFF"/>
          <w:spacing w:val="-5"/>
          <w:sz w:val="20"/>
        </w:rPr>
        <w:t xml:space="preserve"> </w:t>
      </w:r>
      <w:r>
        <w:rPr>
          <w:rFonts w:ascii="Segoe UI"/>
          <w:color w:val="FFFFFF"/>
          <w:spacing w:val="-2"/>
          <w:sz w:val="20"/>
        </w:rPr>
        <w:t>Kenya</w:t>
      </w:r>
    </w:p>
    <w:p w:rsidR="007F6DF9" w:rsidRDefault="00A43FBC">
      <w:pPr>
        <w:spacing w:before="132"/>
        <w:ind w:left="1711"/>
        <w:rPr>
          <w:rFonts w:ascii="Segoe UI"/>
          <w:sz w:val="20"/>
        </w:rPr>
      </w:pPr>
      <w:r>
        <w:rPr>
          <w:rFonts w:ascii="Segoe UI"/>
          <w:color w:val="FFFFFF"/>
          <w:sz w:val="20"/>
        </w:rPr>
        <w:t>Telephone:</w:t>
      </w:r>
      <w:r>
        <w:rPr>
          <w:rFonts w:ascii="Segoe UI"/>
          <w:color w:val="FFFFFF"/>
          <w:spacing w:val="-8"/>
          <w:sz w:val="20"/>
        </w:rPr>
        <w:t xml:space="preserve"> </w:t>
      </w:r>
      <w:r>
        <w:rPr>
          <w:rFonts w:ascii="Segoe UI"/>
          <w:color w:val="FFFFFF"/>
          <w:sz w:val="20"/>
        </w:rPr>
        <w:t>+254</w:t>
      </w:r>
      <w:r>
        <w:rPr>
          <w:rFonts w:ascii="Segoe UI"/>
          <w:color w:val="FFFFFF"/>
          <w:spacing w:val="-6"/>
          <w:sz w:val="20"/>
        </w:rPr>
        <w:t xml:space="preserve"> </w:t>
      </w:r>
      <w:r>
        <w:rPr>
          <w:rFonts w:ascii="Segoe UI"/>
          <w:color w:val="FFFFFF"/>
          <w:sz w:val="20"/>
        </w:rPr>
        <w:t>020</w:t>
      </w:r>
      <w:r>
        <w:rPr>
          <w:rFonts w:ascii="Segoe UI"/>
          <w:color w:val="FFFFFF"/>
          <w:spacing w:val="-6"/>
          <w:sz w:val="20"/>
        </w:rPr>
        <w:t xml:space="preserve"> </w:t>
      </w:r>
      <w:r>
        <w:rPr>
          <w:rFonts w:ascii="Segoe UI"/>
          <w:color w:val="FFFFFF"/>
          <w:spacing w:val="-2"/>
          <w:sz w:val="20"/>
        </w:rPr>
        <w:t>3244000,</w:t>
      </w:r>
    </w:p>
    <w:p w:rsidR="007F6DF9" w:rsidRDefault="007F6DF9">
      <w:pPr>
        <w:pStyle w:val="BodyText"/>
        <w:spacing w:before="138"/>
        <w:rPr>
          <w:rFonts w:ascii="Segoe UI"/>
          <w:sz w:val="20"/>
        </w:rPr>
      </w:pPr>
    </w:p>
    <w:p w:rsidR="007F6DF9" w:rsidRDefault="00883FED">
      <w:pPr>
        <w:ind w:left="574"/>
        <w:rPr>
          <w:rFonts w:ascii="Segoe UI"/>
          <w:sz w:val="20"/>
        </w:rPr>
      </w:pPr>
      <w:hyperlink r:id="rId45">
        <w:r w:rsidR="00A43FBC">
          <w:rPr>
            <w:rFonts w:ascii="Segoe UI"/>
            <w:color w:val="0000FF"/>
            <w:sz w:val="20"/>
            <w:u w:val="single" w:color="0000FF"/>
          </w:rPr>
          <w:t>Email:</w:t>
        </w:r>
        <w:r w:rsidR="00A43FBC">
          <w:rPr>
            <w:rFonts w:ascii="Segoe UI"/>
            <w:color w:val="0000FF"/>
            <w:spacing w:val="-10"/>
            <w:sz w:val="20"/>
            <w:u w:val="single" w:color="0000FF"/>
          </w:rPr>
          <w:t xml:space="preserve"> </w:t>
        </w:r>
        <w:r w:rsidR="00A43FBC">
          <w:rPr>
            <w:rFonts w:ascii="Segoe UI"/>
            <w:color w:val="0000FF"/>
            <w:spacing w:val="-2"/>
            <w:sz w:val="20"/>
            <w:u w:val="single" w:color="0000FF"/>
          </w:rPr>
          <w:t>info@ppra.go.ke</w:t>
        </w:r>
      </w:hyperlink>
    </w:p>
    <w:p w:rsidR="007F6DF9" w:rsidRDefault="00A43FBC">
      <w:pPr>
        <w:spacing w:before="70"/>
        <w:ind w:left="1711"/>
        <w:rPr>
          <w:rFonts w:ascii="Segoe UI"/>
          <w:sz w:val="20"/>
        </w:rPr>
      </w:pPr>
      <w:r>
        <w:rPr>
          <w:rFonts w:ascii="Segoe UI"/>
          <w:color w:val="FFFFFF"/>
          <w:spacing w:val="-2"/>
          <w:sz w:val="20"/>
        </w:rPr>
        <w:t>Website:</w:t>
      </w:r>
    </w:p>
    <w:p w:rsidR="007F6DF9" w:rsidRDefault="007F6DF9">
      <w:pPr>
        <w:rPr>
          <w:rFonts w:ascii="Segoe UI"/>
          <w:sz w:val="20"/>
        </w:rPr>
        <w:sectPr w:rsidR="007F6DF9">
          <w:type w:val="continuous"/>
          <w:pgSz w:w="11920" w:h="16850"/>
          <w:pgMar w:top="340" w:right="283" w:bottom="0" w:left="141" w:header="0" w:footer="0" w:gutter="0"/>
          <w:cols w:num="2" w:space="720" w:equalWidth="0">
            <w:col w:w="2007" w:space="1061"/>
            <w:col w:w="8428"/>
          </w:cols>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bookmarkStart w:id="76" w:name="prelims"/>
            <w:bookmarkEnd w:id="76"/>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332"/>
        </w:trPr>
        <w:tc>
          <w:tcPr>
            <w:tcW w:w="708" w:type="dxa"/>
            <w:tcBorders>
              <w:bottom w:val="nil"/>
            </w:tcBorders>
          </w:tcPr>
          <w:p w:rsidR="007F6DF9" w:rsidRDefault="007F6DF9">
            <w:pPr>
              <w:pStyle w:val="TableParagraph"/>
              <w:rPr>
                <w:rFonts w:ascii="Times New Roman"/>
                <w:sz w:val="18"/>
              </w:rPr>
            </w:pPr>
          </w:p>
        </w:tc>
        <w:tc>
          <w:tcPr>
            <w:tcW w:w="7768" w:type="dxa"/>
            <w:tcBorders>
              <w:bottom w:val="nil"/>
            </w:tcBorders>
          </w:tcPr>
          <w:p w:rsidR="007F6DF9" w:rsidRDefault="00A43FBC">
            <w:pPr>
              <w:pStyle w:val="TableParagraph"/>
              <w:spacing w:line="212" w:lineRule="exact"/>
              <w:ind w:left="38"/>
              <w:rPr>
                <w:sz w:val="18"/>
              </w:rPr>
            </w:pPr>
            <w:r>
              <w:rPr>
                <w:sz w:val="18"/>
                <w:u w:val="single"/>
              </w:rPr>
              <w:t>BILL</w:t>
            </w:r>
            <w:r>
              <w:rPr>
                <w:spacing w:val="11"/>
                <w:sz w:val="18"/>
                <w:u w:val="single"/>
              </w:rPr>
              <w:t xml:space="preserve"> </w:t>
            </w:r>
            <w:r>
              <w:rPr>
                <w:sz w:val="18"/>
                <w:u w:val="single"/>
              </w:rPr>
              <w:t>NO.</w:t>
            </w:r>
            <w:r>
              <w:rPr>
                <w:spacing w:val="10"/>
                <w:sz w:val="18"/>
                <w:u w:val="single"/>
              </w:rPr>
              <w:t xml:space="preserve"> </w:t>
            </w:r>
            <w:r>
              <w:rPr>
                <w:sz w:val="18"/>
                <w:u w:val="single"/>
              </w:rPr>
              <w:t>1:</w:t>
            </w:r>
            <w:r>
              <w:rPr>
                <w:spacing w:val="10"/>
                <w:sz w:val="18"/>
                <w:u w:val="single"/>
              </w:rPr>
              <w:t xml:space="preserve"> </w:t>
            </w:r>
            <w:r>
              <w:rPr>
                <w:sz w:val="18"/>
                <w:u w:val="single"/>
              </w:rPr>
              <w:t>PARTICULAR</w:t>
            </w:r>
            <w:r>
              <w:rPr>
                <w:spacing w:val="12"/>
                <w:sz w:val="18"/>
                <w:u w:val="single"/>
              </w:rPr>
              <w:t xml:space="preserve"> </w:t>
            </w:r>
            <w:r>
              <w:rPr>
                <w:spacing w:val="-2"/>
                <w:sz w:val="18"/>
                <w:u w:val="single"/>
              </w:rPr>
              <w:t>PRELIMINARIES</w:t>
            </w:r>
          </w:p>
        </w:tc>
        <w:tc>
          <w:tcPr>
            <w:tcW w:w="1534" w:type="dxa"/>
            <w:vMerge w:val="restart"/>
          </w:tcPr>
          <w:p w:rsidR="007F6DF9" w:rsidRDefault="007F6DF9">
            <w:pPr>
              <w:pStyle w:val="TableParagraph"/>
              <w:rPr>
                <w:rFonts w:ascii="Times New Roman"/>
                <w:sz w:val="18"/>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4"/>
              <w:jc w:val="right"/>
              <w:rPr>
                <w:sz w:val="18"/>
              </w:rPr>
            </w:pPr>
            <w:r>
              <w:rPr>
                <w:spacing w:val="-10"/>
                <w:w w:val="110"/>
                <w:sz w:val="18"/>
              </w:rPr>
              <w:t>A</w:t>
            </w:r>
          </w:p>
        </w:tc>
        <w:tc>
          <w:tcPr>
            <w:tcW w:w="7768" w:type="dxa"/>
            <w:tcBorders>
              <w:top w:val="nil"/>
              <w:bottom w:val="nil"/>
            </w:tcBorders>
          </w:tcPr>
          <w:p w:rsidR="007F6DF9" w:rsidRDefault="00A43FBC">
            <w:pPr>
              <w:pStyle w:val="TableParagraph"/>
              <w:spacing w:before="108" w:line="202" w:lineRule="exact"/>
              <w:ind w:left="38"/>
              <w:rPr>
                <w:sz w:val="18"/>
              </w:rPr>
            </w:pPr>
            <w:r>
              <w:rPr>
                <w:spacing w:val="-2"/>
                <w:w w:val="105"/>
                <w:sz w:val="18"/>
              </w:rPr>
              <w:t>EMPLOYER</w:t>
            </w:r>
          </w:p>
        </w:tc>
        <w:tc>
          <w:tcPr>
            <w:tcW w:w="1534" w:type="dxa"/>
            <w:vMerge/>
            <w:tcBorders>
              <w:top w:val="nil"/>
            </w:tcBorders>
          </w:tcPr>
          <w:p w:rsidR="007F6DF9" w:rsidRDefault="007F6DF9">
            <w:pPr>
              <w:rPr>
                <w:sz w:val="2"/>
                <w:szCs w:val="2"/>
              </w:rPr>
            </w:pPr>
          </w:p>
        </w:tc>
      </w:tr>
      <w:tr w:rsidR="007F6DF9">
        <w:trPr>
          <w:trHeight w:val="215"/>
        </w:trPr>
        <w:tc>
          <w:tcPr>
            <w:tcW w:w="708" w:type="dxa"/>
            <w:tcBorders>
              <w:top w:val="nil"/>
              <w:bottom w:val="nil"/>
            </w:tcBorders>
          </w:tcPr>
          <w:p w:rsidR="007F6DF9" w:rsidRDefault="007F6DF9">
            <w:pPr>
              <w:pStyle w:val="TableParagraph"/>
              <w:rPr>
                <w:rFonts w:ascii="Times New Roman"/>
                <w:sz w:val="14"/>
              </w:rPr>
            </w:pPr>
          </w:p>
        </w:tc>
        <w:tc>
          <w:tcPr>
            <w:tcW w:w="7768" w:type="dxa"/>
            <w:tcBorders>
              <w:top w:val="nil"/>
              <w:bottom w:val="nil"/>
            </w:tcBorders>
          </w:tcPr>
          <w:p w:rsidR="007F6DF9" w:rsidRDefault="00A43FBC">
            <w:pPr>
              <w:pStyle w:val="TableParagraph"/>
              <w:spacing w:line="195" w:lineRule="exact"/>
              <w:ind w:left="36"/>
              <w:rPr>
                <w:sz w:val="18"/>
              </w:rPr>
            </w:pPr>
            <w:r>
              <w:rPr>
                <w:sz w:val="18"/>
              </w:rPr>
              <w:t>The</w:t>
            </w:r>
            <w:r>
              <w:rPr>
                <w:spacing w:val="26"/>
                <w:sz w:val="18"/>
              </w:rPr>
              <w:t xml:space="preserve"> </w:t>
            </w:r>
            <w:r>
              <w:rPr>
                <w:sz w:val="18"/>
              </w:rPr>
              <w:t>Employer</w:t>
            </w:r>
            <w:r>
              <w:rPr>
                <w:spacing w:val="26"/>
                <w:sz w:val="18"/>
              </w:rPr>
              <w:t xml:space="preserve"> </w:t>
            </w:r>
            <w:r>
              <w:rPr>
                <w:sz w:val="18"/>
              </w:rPr>
              <w:t>is</w:t>
            </w:r>
            <w:r>
              <w:rPr>
                <w:spacing w:val="28"/>
                <w:sz w:val="18"/>
              </w:rPr>
              <w:t xml:space="preserve"> </w:t>
            </w:r>
            <w:r>
              <w:rPr>
                <w:sz w:val="18"/>
              </w:rPr>
              <w:t>JARAMOGI</w:t>
            </w:r>
            <w:r>
              <w:rPr>
                <w:spacing w:val="27"/>
                <w:sz w:val="18"/>
              </w:rPr>
              <w:t xml:space="preserve"> </w:t>
            </w:r>
            <w:r>
              <w:rPr>
                <w:sz w:val="18"/>
              </w:rPr>
              <w:t>OGINGA</w:t>
            </w:r>
            <w:r>
              <w:rPr>
                <w:spacing w:val="26"/>
                <w:sz w:val="18"/>
              </w:rPr>
              <w:t xml:space="preserve"> </w:t>
            </w:r>
            <w:r>
              <w:rPr>
                <w:sz w:val="18"/>
              </w:rPr>
              <w:t>ODINGA</w:t>
            </w:r>
            <w:r>
              <w:rPr>
                <w:spacing w:val="27"/>
                <w:sz w:val="18"/>
              </w:rPr>
              <w:t xml:space="preserve"> </w:t>
            </w:r>
            <w:r>
              <w:rPr>
                <w:sz w:val="18"/>
              </w:rPr>
              <w:t>TEACHING</w:t>
            </w:r>
            <w:r>
              <w:rPr>
                <w:spacing w:val="26"/>
                <w:sz w:val="18"/>
              </w:rPr>
              <w:t xml:space="preserve"> </w:t>
            </w:r>
            <w:r>
              <w:rPr>
                <w:sz w:val="18"/>
              </w:rPr>
              <w:t>AND</w:t>
            </w:r>
            <w:r>
              <w:rPr>
                <w:spacing w:val="26"/>
                <w:sz w:val="18"/>
              </w:rPr>
              <w:t xml:space="preserve"> </w:t>
            </w:r>
            <w:r>
              <w:rPr>
                <w:sz w:val="18"/>
              </w:rPr>
              <w:t>REFERRAL</w:t>
            </w:r>
            <w:r>
              <w:rPr>
                <w:spacing w:val="28"/>
                <w:sz w:val="18"/>
              </w:rPr>
              <w:t xml:space="preserve"> </w:t>
            </w:r>
            <w:r>
              <w:rPr>
                <w:spacing w:val="-2"/>
                <w:sz w:val="18"/>
              </w:rPr>
              <w:t>HOSPITAL</w:t>
            </w:r>
          </w:p>
        </w:tc>
        <w:tc>
          <w:tcPr>
            <w:tcW w:w="1534" w:type="dxa"/>
            <w:vMerge/>
            <w:tcBorders>
              <w:top w:val="nil"/>
            </w:tcBorders>
          </w:tcPr>
          <w:p w:rsidR="007F6DF9" w:rsidRDefault="007F6DF9">
            <w:pPr>
              <w:rPr>
                <w:sz w:val="2"/>
                <w:szCs w:val="2"/>
              </w:rPr>
            </w:pPr>
          </w:p>
        </w:tc>
      </w:tr>
      <w:tr w:rsidR="007F6DF9">
        <w:trPr>
          <w:trHeight w:val="560"/>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The</w:t>
            </w:r>
            <w:r>
              <w:rPr>
                <w:spacing w:val="-15"/>
                <w:sz w:val="18"/>
              </w:rPr>
              <w:t xml:space="preserve"> </w:t>
            </w:r>
            <w:r>
              <w:rPr>
                <w:sz w:val="18"/>
              </w:rPr>
              <w:t>term</w:t>
            </w:r>
            <w:r>
              <w:rPr>
                <w:spacing w:val="-12"/>
                <w:sz w:val="18"/>
              </w:rPr>
              <w:t xml:space="preserve"> </w:t>
            </w:r>
            <w:r>
              <w:rPr>
                <w:sz w:val="18"/>
              </w:rPr>
              <w:t>"Employer"</w:t>
            </w:r>
            <w:r>
              <w:rPr>
                <w:spacing w:val="-14"/>
                <w:sz w:val="18"/>
              </w:rPr>
              <w:t xml:space="preserve"> </w:t>
            </w:r>
            <w:r>
              <w:rPr>
                <w:sz w:val="18"/>
              </w:rPr>
              <w:t>and</w:t>
            </w:r>
            <w:r>
              <w:rPr>
                <w:spacing w:val="-15"/>
                <w:sz w:val="18"/>
              </w:rPr>
              <w:t xml:space="preserve"> </w:t>
            </w:r>
            <w:r>
              <w:rPr>
                <w:sz w:val="18"/>
              </w:rPr>
              <w:t>"Government"</w:t>
            </w:r>
            <w:r>
              <w:rPr>
                <w:spacing w:val="-13"/>
                <w:sz w:val="18"/>
              </w:rPr>
              <w:t xml:space="preserve"> </w:t>
            </w:r>
            <w:r>
              <w:rPr>
                <w:sz w:val="18"/>
              </w:rPr>
              <w:t>wherever</w:t>
            </w:r>
            <w:r>
              <w:rPr>
                <w:spacing w:val="-14"/>
                <w:sz w:val="18"/>
              </w:rPr>
              <w:t xml:space="preserve"> </w:t>
            </w:r>
            <w:r>
              <w:rPr>
                <w:sz w:val="18"/>
              </w:rPr>
              <w:t>used</w:t>
            </w:r>
            <w:r>
              <w:rPr>
                <w:spacing w:val="-14"/>
                <w:sz w:val="18"/>
              </w:rPr>
              <w:t xml:space="preserve"> </w:t>
            </w:r>
            <w:r>
              <w:rPr>
                <w:sz w:val="18"/>
              </w:rPr>
              <w:t>in</w:t>
            </w:r>
            <w:r>
              <w:rPr>
                <w:spacing w:val="-14"/>
                <w:sz w:val="18"/>
              </w:rPr>
              <w:t xml:space="preserve"> </w:t>
            </w:r>
            <w:r>
              <w:rPr>
                <w:sz w:val="18"/>
              </w:rPr>
              <w:t>the</w:t>
            </w:r>
            <w:r>
              <w:rPr>
                <w:spacing w:val="-14"/>
                <w:sz w:val="18"/>
              </w:rPr>
              <w:t xml:space="preserve"> </w:t>
            </w:r>
            <w:r>
              <w:rPr>
                <w:sz w:val="18"/>
              </w:rPr>
              <w:t>contract</w:t>
            </w:r>
            <w:r>
              <w:rPr>
                <w:spacing w:val="-13"/>
                <w:sz w:val="18"/>
              </w:rPr>
              <w:t xml:space="preserve"> </w:t>
            </w:r>
            <w:r>
              <w:rPr>
                <w:sz w:val="18"/>
              </w:rPr>
              <w:t>document</w:t>
            </w:r>
            <w:r>
              <w:rPr>
                <w:spacing w:val="-14"/>
                <w:sz w:val="18"/>
              </w:rPr>
              <w:t xml:space="preserve"> </w:t>
            </w:r>
            <w:r>
              <w:rPr>
                <w:sz w:val="18"/>
              </w:rPr>
              <w:t>shall</w:t>
            </w:r>
            <w:r>
              <w:rPr>
                <w:spacing w:val="-15"/>
                <w:sz w:val="18"/>
              </w:rPr>
              <w:t xml:space="preserve"> </w:t>
            </w:r>
            <w:r>
              <w:rPr>
                <w:sz w:val="18"/>
              </w:rPr>
              <w:t xml:space="preserve">be </w:t>
            </w:r>
            <w:r>
              <w:rPr>
                <w:spacing w:val="-2"/>
                <w:sz w:val="18"/>
              </w:rPr>
              <w:t>synonymous.</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before="108" w:line="202" w:lineRule="exact"/>
              <w:ind w:left="38"/>
              <w:rPr>
                <w:sz w:val="18"/>
              </w:rPr>
            </w:pPr>
            <w:r>
              <w:rPr>
                <w:sz w:val="18"/>
              </w:rPr>
              <w:t>PROJECT</w:t>
            </w:r>
            <w:r>
              <w:rPr>
                <w:spacing w:val="34"/>
                <w:sz w:val="18"/>
              </w:rPr>
              <w:t xml:space="preserve"> </w:t>
            </w:r>
            <w:r>
              <w:rPr>
                <w:spacing w:val="-2"/>
                <w:sz w:val="18"/>
              </w:rPr>
              <w:t>MANAGER</w:t>
            </w:r>
          </w:p>
        </w:tc>
        <w:tc>
          <w:tcPr>
            <w:tcW w:w="1534" w:type="dxa"/>
            <w:vMerge/>
            <w:tcBorders>
              <w:top w:val="nil"/>
            </w:tcBorders>
          </w:tcPr>
          <w:p w:rsidR="007F6DF9" w:rsidRDefault="007F6DF9">
            <w:pPr>
              <w:rPr>
                <w:sz w:val="2"/>
                <w:szCs w:val="2"/>
              </w:rPr>
            </w:pPr>
          </w:p>
        </w:tc>
      </w:tr>
      <w:tr w:rsidR="007F6DF9">
        <w:trPr>
          <w:trHeight w:val="9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3"/>
              <w:jc w:val="both"/>
              <w:rPr>
                <w:sz w:val="18"/>
              </w:rPr>
            </w:pPr>
            <w:r>
              <w:rPr>
                <w:sz w:val="18"/>
              </w:rPr>
              <w:t>The term "P.M" or "Project Manager" wherever used in these Bills of Quantities shall be</w:t>
            </w:r>
            <w:r>
              <w:rPr>
                <w:spacing w:val="-1"/>
                <w:sz w:val="18"/>
              </w:rPr>
              <w:t xml:space="preserve"> </w:t>
            </w:r>
            <w:r>
              <w:rPr>
                <w:sz w:val="18"/>
              </w:rPr>
              <w:t>deemed to</w:t>
            </w:r>
            <w:r>
              <w:rPr>
                <w:spacing w:val="-4"/>
                <w:sz w:val="18"/>
              </w:rPr>
              <w:t xml:space="preserve"> </w:t>
            </w:r>
            <w:r>
              <w:rPr>
                <w:sz w:val="18"/>
              </w:rPr>
              <w:t>imply</w:t>
            </w:r>
            <w:r>
              <w:rPr>
                <w:spacing w:val="-4"/>
                <w:sz w:val="18"/>
              </w:rPr>
              <w:t xml:space="preserve"> </w:t>
            </w:r>
            <w:r>
              <w:rPr>
                <w:sz w:val="18"/>
              </w:rPr>
              <w:t>the</w:t>
            </w:r>
            <w:r>
              <w:rPr>
                <w:spacing w:val="-3"/>
                <w:sz w:val="18"/>
              </w:rPr>
              <w:t xml:space="preserve"> </w:t>
            </w:r>
            <w:r>
              <w:rPr>
                <w:sz w:val="18"/>
              </w:rPr>
              <w:t>"Engineer"</w:t>
            </w:r>
            <w:r>
              <w:rPr>
                <w:spacing w:val="-3"/>
                <w:sz w:val="18"/>
              </w:rPr>
              <w:t xml:space="preserve"> </w:t>
            </w:r>
            <w:r>
              <w:rPr>
                <w:sz w:val="18"/>
              </w:rPr>
              <w:t>as</w:t>
            </w:r>
            <w:r>
              <w:rPr>
                <w:spacing w:val="-3"/>
                <w:sz w:val="18"/>
              </w:rPr>
              <w:t xml:space="preserve"> </w:t>
            </w:r>
            <w:r>
              <w:rPr>
                <w:sz w:val="18"/>
              </w:rPr>
              <w:t>defined</w:t>
            </w:r>
            <w:r>
              <w:rPr>
                <w:spacing w:val="-4"/>
                <w:sz w:val="18"/>
              </w:rPr>
              <w:t xml:space="preserve"> </w:t>
            </w:r>
            <w:r>
              <w:rPr>
                <w:sz w:val="18"/>
              </w:rPr>
              <w:t>in</w:t>
            </w:r>
            <w:r>
              <w:rPr>
                <w:spacing w:val="-4"/>
                <w:sz w:val="18"/>
              </w:rPr>
              <w:t xml:space="preserve"> </w:t>
            </w:r>
            <w:r>
              <w:rPr>
                <w:sz w:val="18"/>
              </w:rPr>
              <w:t>Condition</w:t>
            </w:r>
            <w:r>
              <w:rPr>
                <w:spacing w:val="-3"/>
                <w:sz w:val="18"/>
              </w:rPr>
              <w:t xml:space="preserve"> </w:t>
            </w:r>
            <w:r>
              <w:rPr>
                <w:sz w:val="18"/>
              </w:rPr>
              <w:t>3</w:t>
            </w:r>
            <w:r>
              <w:rPr>
                <w:spacing w:val="-3"/>
                <w:sz w:val="18"/>
              </w:rPr>
              <w:t xml:space="preserve"> </w:t>
            </w:r>
            <w:r>
              <w:rPr>
                <w:sz w:val="18"/>
              </w:rPr>
              <w:t>of</w:t>
            </w:r>
            <w:r>
              <w:rPr>
                <w:spacing w:val="-4"/>
                <w:sz w:val="18"/>
              </w:rPr>
              <w:t xml:space="preserve"> </w:t>
            </w:r>
            <w:r>
              <w:rPr>
                <w:sz w:val="18"/>
              </w:rPr>
              <w:t>Section</w:t>
            </w:r>
            <w:r>
              <w:rPr>
                <w:spacing w:val="-4"/>
                <w:sz w:val="18"/>
              </w:rPr>
              <w:t xml:space="preserve"> </w:t>
            </w:r>
            <w:r>
              <w:rPr>
                <w:sz w:val="18"/>
              </w:rPr>
              <w:t>IX</w:t>
            </w:r>
            <w:r>
              <w:rPr>
                <w:spacing w:val="-4"/>
                <w:sz w:val="18"/>
              </w:rPr>
              <w:t xml:space="preserve"> </w:t>
            </w:r>
            <w:r>
              <w:rPr>
                <w:sz w:val="18"/>
              </w:rPr>
              <w:t>-</w:t>
            </w:r>
            <w:r>
              <w:rPr>
                <w:spacing w:val="-4"/>
                <w:sz w:val="18"/>
              </w:rPr>
              <w:t xml:space="preserve"> </w:t>
            </w:r>
            <w:r>
              <w:rPr>
                <w:sz w:val="18"/>
              </w:rPr>
              <w:t>Special</w:t>
            </w:r>
            <w:r>
              <w:rPr>
                <w:spacing w:val="-4"/>
                <w:sz w:val="18"/>
              </w:rPr>
              <w:t xml:space="preserve"> </w:t>
            </w:r>
            <w:r>
              <w:rPr>
                <w:sz w:val="18"/>
              </w:rPr>
              <w:t>Conditions</w:t>
            </w:r>
            <w:r>
              <w:rPr>
                <w:spacing w:val="-5"/>
                <w:sz w:val="18"/>
              </w:rPr>
              <w:t xml:space="preserve"> </w:t>
            </w:r>
            <w:r>
              <w:rPr>
                <w:sz w:val="18"/>
              </w:rPr>
              <w:t>of</w:t>
            </w:r>
            <w:r>
              <w:rPr>
                <w:spacing w:val="-4"/>
                <w:sz w:val="18"/>
              </w:rPr>
              <w:t xml:space="preserve"> </w:t>
            </w:r>
            <w:r>
              <w:rPr>
                <w:sz w:val="18"/>
              </w:rPr>
              <w:t>Contract</w:t>
            </w:r>
            <w:r>
              <w:rPr>
                <w:spacing w:val="-5"/>
                <w:sz w:val="18"/>
              </w:rPr>
              <w:t xml:space="preserve"> </w:t>
            </w:r>
            <w:r>
              <w:rPr>
                <w:sz w:val="18"/>
              </w:rPr>
              <w:t>or such</w:t>
            </w:r>
            <w:r>
              <w:rPr>
                <w:spacing w:val="-9"/>
                <w:sz w:val="18"/>
              </w:rPr>
              <w:t xml:space="preserve"> </w:t>
            </w:r>
            <w:r>
              <w:rPr>
                <w:sz w:val="18"/>
              </w:rPr>
              <w:t>person</w:t>
            </w:r>
            <w:r>
              <w:rPr>
                <w:spacing w:val="-8"/>
                <w:sz w:val="18"/>
              </w:rPr>
              <w:t xml:space="preserve"> </w:t>
            </w:r>
            <w:r>
              <w:rPr>
                <w:sz w:val="18"/>
              </w:rPr>
              <w:t>or</w:t>
            </w:r>
            <w:r>
              <w:rPr>
                <w:spacing w:val="-9"/>
                <w:sz w:val="18"/>
              </w:rPr>
              <w:t xml:space="preserve"> </w:t>
            </w:r>
            <w:r>
              <w:rPr>
                <w:sz w:val="18"/>
              </w:rPr>
              <w:t>persons</w:t>
            </w:r>
            <w:r>
              <w:rPr>
                <w:spacing w:val="-8"/>
                <w:sz w:val="18"/>
              </w:rPr>
              <w:t xml:space="preserve"> </w:t>
            </w:r>
            <w:r>
              <w:rPr>
                <w:sz w:val="18"/>
              </w:rPr>
              <w:t>as</w:t>
            </w:r>
            <w:r>
              <w:rPr>
                <w:spacing w:val="-7"/>
                <w:sz w:val="18"/>
              </w:rPr>
              <w:t xml:space="preserve"> </w:t>
            </w:r>
            <w:r>
              <w:rPr>
                <w:sz w:val="18"/>
              </w:rPr>
              <w:t>may</w:t>
            </w:r>
            <w:r>
              <w:rPr>
                <w:spacing w:val="-8"/>
                <w:sz w:val="18"/>
              </w:rPr>
              <w:t xml:space="preserve"> </w:t>
            </w:r>
            <w:r>
              <w:rPr>
                <w:sz w:val="18"/>
              </w:rPr>
              <w:t>be</w:t>
            </w:r>
            <w:r>
              <w:rPr>
                <w:spacing w:val="-8"/>
                <w:sz w:val="18"/>
              </w:rPr>
              <w:t xml:space="preserve"> </w:t>
            </w:r>
            <w:r>
              <w:rPr>
                <w:sz w:val="18"/>
              </w:rPr>
              <w:t>duly</w:t>
            </w:r>
            <w:r>
              <w:rPr>
                <w:spacing w:val="-8"/>
                <w:sz w:val="18"/>
              </w:rPr>
              <w:t xml:space="preserve"> </w:t>
            </w:r>
            <w:r>
              <w:rPr>
                <w:sz w:val="18"/>
              </w:rPr>
              <w:t>authorized</w:t>
            </w:r>
            <w:r>
              <w:rPr>
                <w:spacing w:val="-8"/>
                <w:sz w:val="18"/>
              </w:rPr>
              <w:t xml:space="preserve"> </w:t>
            </w:r>
            <w:r>
              <w:rPr>
                <w:sz w:val="18"/>
              </w:rPr>
              <w:t>to</w:t>
            </w:r>
            <w:r>
              <w:rPr>
                <w:spacing w:val="-8"/>
                <w:sz w:val="18"/>
              </w:rPr>
              <w:t xml:space="preserve"> </w:t>
            </w:r>
            <w:r>
              <w:rPr>
                <w:sz w:val="18"/>
              </w:rPr>
              <w:t>represent</w:t>
            </w:r>
            <w:r>
              <w:rPr>
                <w:spacing w:val="-8"/>
                <w:sz w:val="18"/>
              </w:rPr>
              <w:t xml:space="preserve"> </w:t>
            </w:r>
            <w:r>
              <w:rPr>
                <w:sz w:val="18"/>
              </w:rPr>
              <w:t>him</w:t>
            </w:r>
            <w:r>
              <w:rPr>
                <w:spacing w:val="-8"/>
                <w:sz w:val="18"/>
              </w:rPr>
              <w:t xml:space="preserve"> </w:t>
            </w:r>
            <w:r>
              <w:rPr>
                <w:sz w:val="18"/>
              </w:rPr>
              <w:t>on</w:t>
            </w:r>
            <w:r>
              <w:rPr>
                <w:spacing w:val="-8"/>
                <w:sz w:val="18"/>
              </w:rPr>
              <w:t xml:space="preserve"> </w:t>
            </w:r>
            <w:r>
              <w:rPr>
                <w:sz w:val="18"/>
              </w:rPr>
              <w:t>behalf</w:t>
            </w:r>
            <w:r>
              <w:rPr>
                <w:spacing w:val="-8"/>
                <w:sz w:val="18"/>
              </w:rPr>
              <w:t xml:space="preserve"> </w:t>
            </w:r>
            <w:r>
              <w:rPr>
                <w:sz w:val="18"/>
              </w:rPr>
              <w:t>of</w:t>
            </w:r>
            <w:r>
              <w:rPr>
                <w:spacing w:val="-9"/>
                <w:sz w:val="18"/>
              </w:rPr>
              <w:t xml:space="preserve"> </w:t>
            </w:r>
            <w:r>
              <w:rPr>
                <w:sz w:val="18"/>
              </w:rPr>
              <w:t>the</w:t>
            </w:r>
            <w:r>
              <w:rPr>
                <w:spacing w:val="-8"/>
                <w:sz w:val="18"/>
              </w:rPr>
              <w:t xml:space="preserve"> </w:t>
            </w:r>
            <w:r>
              <w:rPr>
                <w:sz w:val="18"/>
              </w:rPr>
              <w:t>Government.</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A43FBC">
            <w:pPr>
              <w:pStyle w:val="TableParagraph"/>
              <w:spacing w:before="223" w:line="202"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223" w:line="202" w:lineRule="exact"/>
              <w:ind w:left="38"/>
              <w:rPr>
                <w:sz w:val="18"/>
              </w:rPr>
            </w:pPr>
            <w:r>
              <w:rPr>
                <w:spacing w:val="-2"/>
                <w:sz w:val="18"/>
              </w:rPr>
              <w:t>ARCHITECT</w:t>
            </w:r>
          </w:p>
        </w:tc>
        <w:tc>
          <w:tcPr>
            <w:tcW w:w="1534" w:type="dxa"/>
            <w:vMerge/>
            <w:tcBorders>
              <w:top w:val="nil"/>
            </w:tcBorders>
          </w:tcPr>
          <w:p w:rsidR="007F6DF9" w:rsidRDefault="007F6DF9">
            <w:pPr>
              <w:rPr>
                <w:sz w:val="2"/>
                <w:szCs w:val="2"/>
              </w:rPr>
            </w:pPr>
          </w:p>
        </w:tc>
      </w:tr>
      <w:tr w:rsidR="007F6DF9">
        <w:trPr>
          <w:trHeight w:val="792"/>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5"/>
              <w:jc w:val="both"/>
              <w:rPr>
                <w:sz w:val="18"/>
              </w:rPr>
            </w:pPr>
            <w:r>
              <w:rPr>
                <w:sz w:val="18"/>
              </w:rPr>
              <w:t>The</w:t>
            </w:r>
            <w:r>
              <w:rPr>
                <w:spacing w:val="-6"/>
                <w:sz w:val="18"/>
              </w:rPr>
              <w:t xml:space="preserve"> </w:t>
            </w:r>
            <w:r>
              <w:rPr>
                <w:sz w:val="18"/>
              </w:rPr>
              <w:t>term</w:t>
            </w:r>
            <w:r>
              <w:rPr>
                <w:spacing w:val="-6"/>
                <w:sz w:val="18"/>
              </w:rPr>
              <w:t xml:space="preserve"> </w:t>
            </w:r>
            <w:r>
              <w:rPr>
                <w:sz w:val="18"/>
              </w:rPr>
              <w:t>"Architect"</w:t>
            </w:r>
            <w:r>
              <w:rPr>
                <w:spacing w:val="-5"/>
                <w:sz w:val="18"/>
              </w:rPr>
              <w:t xml:space="preserve"> </w:t>
            </w:r>
            <w:r>
              <w:rPr>
                <w:sz w:val="18"/>
              </w:rPr>
              <w:t>shall</w:t>
            </w:r>
            <w:r>
              <w:rPr>
                <w:spacing w:val="-7"/>
                <w:sz w:val="18"/>
              </w:rPr>
              <w:t xml:space="preserve"> </w:t>
            </w:r>
            <w:r>
              <w:rPr>
                <w:sz w:val="18"/>
              </w:rPr>
              <w:t>be</w:t>
            </w:r>
            <w:r>
              <w:rPr>
                <w:spacing w:val="-6"/>
                <w:sz w:val="18"/>
              </w:rPr>
              <w:t xml:space="preserve"> </w:t>
            </w:r>
            <w:r>
              <w:rPr>
                <w:sz w:val="18"/>
              </w:rPr>
              <w:t>deemed</w:t>
            </w:r>
            <w:r>
              <w:rPr>
                <w:spacing w:val="-6"/>
                <w:sz w:val="18"/>
              </w:rPr>
              <w:t xml:space="preserve"> </w:t>
            </w:r>
            <w:r>
              <w:rPr>
                <w:sz w:val="18"/>
              </w:rPr>
              <w:t>to</w:t>
            </w:r>
            <w:r>
              <w:rPr>
                <w:spacing w:val="-6"/>
                <w:sz w:val="18"/>
              </w:rPr>
              <w:t xml:space="preserve"> </w:t>
            </w:r>
            <w:r>
              <w:rPr>
                <w:sz w:val="18"/>
              </w:rPr>
              <w:t>mean</w:t>
            </w:r>
            <w:r>
              <w:rPr>
                <w:spacing w:val="-6"/>
                <w:sz w:val="18"/>
              </w:rPr>
              <w:t xml:space="preserve"> </w:t>
            </w:r>
            <w:r>
              <w:rPr>
                <w:sz w:val="18"/>
              </w:rPr>
              <w:t>"the</w:t>
            </w:r>
            <w:r>
              <w:rPr>
                <w:spacing w:val="-5"/>
                <w:sz w:val="18"/>
              </w:rPr>
              <w:t xml:space="preserve"> </w:t>
            </w:r>
            <w:r>
              <w:rPr>
                <w:sz w:val="18"/>
              </w:rPr>
              <w:t>P.M"</w:t>
            </w:r>
            <w:r>
              <w:rPr>
                <w:spacing w:val="-6"/>
                <w:sz w:val="18"/>
              </w:rPr>
              <w:t xml:space="preserve"> </w:t>
            </w:r>
            <w:r>
              <w:rPr>
                <w:sz w:val="18"/>
              </w:rPr>
              <w:t>as</w:t>
            </w:r>
            <w:r>
              <w:rPr>
                <w:spacing w:val="-5"/>
                <w:sz w:val="18"/>
              </w:rPr>
              <w:t xml:space="preserve"> </w:t>
            </w:r>
            <w:r>
              <w:rPr>
                <w:sz w:val="18"/>
              </w:rPr>
              <w:t>defined</w:t>
            </w:r>
            <w:r>
              <w:rPr>
                <w:spacing w:val="-6"/>
                <w:sz w:val="18"/>
              </w:rPr>
              <w:t xml:space="preserve"> </w:t>
            </w:r>
            <w:r>
              <w:rPr>
                <w:sz w:val="18"/>
              </w:rPr>
              <w:t>above</w:t>
            </w:r>
            <w:r>
              <w:rPr>
                <w:spacing w:val="-5"/>
                <w:sz w:val="18"/>
              </w:rPr>
              <w:t xml:space="preserve"> </w:t>
            </w:r>
            <w:r>
              <w:rPr>
                <w:sz w:val="18"/>
              </w:rPr>
              <w:t>whose</w:t>
            </w:r>
            <w:r>
              <w:rPr>
                <w:spacing w:val="-4"/>
                <w:sz w:val="18"/>
              </w:rPr>
              <w:t xml:space="preserve"> </w:t>
            </w:r>
            <w:r>
              <w:rPr>
                <w:sz w:val="18"/>
              </w:rPr>
              <w:t>address,</w:t>
            </w:r>
            <w:r>
              <w:rPr>
                <w:spacing w:val="-6"/>
                <w:sz w:val="18"/>
              </w:rPr>
              <w:t xml:space="preserve"> </w:t>
            </w:r>
            <w:r>
              <w:rPr>
                <w:sz w:val="18"/>
              </w:rPr>
              <w:t>unless otherwise notified, is the Ministry of Lands, Public Works, Housing and Urban Development</w:t>
            </w:r>
            <w:r>
              <w:rPr>
                <w:spacing w:val="80"/>
                <w:sz w:val="18"/>
              </w:rPr>
              <w:t xml:space="preserve"> </w:t>
            </w:r>
            <w:r>
              <w:rPr>
                <w:sz w:val="18"/>
              </w:rPr>
              <w:t xml:space="preserve">State Department for Public Works ,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4"/>
              <w:jc w:val="right"/>
              <w:rPr>
                <w:sz w:val="18"/>
              </w:rPr>
            </w:pPr>
            <w:r>
              <w:rPr>
                <w:spacing w:val="-10"/>
                <w:w w:val="105"/>
                <w:sz w:val="18"/>
              </w:rPr>
              <w:t>D</w:t>
            </w:r>
          </w:p>
        </w:tc>
        <w:tc>
          <w:tcPr>
            <w:tcW w:w="7768" w:type="dxa"/>
            <w:tcBorders>
              <w:top w:val="nil"/>
              <w:bottom w:val="nil"/>
            </w:tcBorders>
          </w:tcPr>
          <w:p w:rsidR="007F6DF9" w:rsidRDefault="00A43FBC">
            <w:pPr>
              <w:pStyle w:val="TableParagraph"/>
              <w:spacing w:before="108" w:line="202" w:lineRule="exact"/>
              <w:ind w:left="38"/>
              <w:rPr>
                <w:sz w:val="18"/>
              </w:rPr>
            </w:pPr>
            <w:r>
              <w:rPr>
                <w:w w:val="105"/>
                <w:sz w:val="18"/>
              </w:rPr>
              <w:t>QUANTITY</w:t>
            </w:r>
            <w:r>
              <w:rPr>
                <w:spacing w:val="35"/>
                <w:w w:val="105"/>
                <w:sz w:val="18"/>
              </w:rPr>
              <w:t xml:space="preserve"> </w:t>
            </w:r>
            <w:r>
              <w:rPr>
                <w:spacing w:val="-2"/>
                <w:w w:val="105"/>
                <w:sz w:val="18"/>
              </w:rPr>
              <w:t>SURVEYOR</w:t>
            </w:r>
          </w:p>
        </w:tc>
        <w:tc>
          <w:tcPr>
            <w:tcW w:w="1534" w:type="dxa"/>
            <w:vMerge/>
            <w:tcBorders>
              <w:top w:val="nil"/>
            </w:tcBorders>
          </w:tcPr>
          <w:p w:rsidR="007F6DF9" w:rsidRDefault="007F6DF9">
            <w:pPr>
              <w:rPr>
                <w:sz w:val="2"/>
                <w:szCs w:val="2"/>
              </w:rPr>
            </w:pPr>
          </w:p>
        </w:tc>
      </w:tr>
      <w:tr w:rsidR="007F6DF9">
        <w:trPr>
          <w:trHeight w:val="9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term "Quantity Surveyor" shall be deemed to mean</w:t>
            </w:r>
            <w:r>
              <w:rPr>
                <w:spacing w:val="40"/>
                <w:sz w:val="18"/>
              </w:rPr>
              <w:t xml:space="preserve"> </w:t>
            </w:r>
            <w:r>
              <w:rPr>
                <w:sz w:val="18"/>
              </w:rPr>
              <w:t>"the P.M" as defined above whose address, unless otherwise notified, is the Ministry of Lands, Public Works, Housing and Urban Development</w:t>
            </w:r>
            <w:r>
              <w:rPr>
                <w:spacing w:val="40"/>
                <w:sz w:val="18"/>
              </w:rPr>
              <w:t xml:space="preserve"> </w:t>
            </w:r>
            <w:r>
              <w:rPr>
                <w:sz w:val="18"/>
              </w:rPr>
              <w:t xml:space="preserve">State Department for Public Works ,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A43FBC">
            <w:pPr>
              <w:pStyle w:val="TableParagraph"/>
              <w:spacing w:before="223" w:line="202" w:lineRule="exact"/>
              <w:ind w:right="22"/>
              <w:jc w:val="right"/>
              <w:rPr>
                <w:sz w:val="18"/>
              </w:rPr>
            </w:pPr>
            <w:r>
              <w:rPr>
                <w:spacing w:val="-10"/>
                <w:sz w:val="18"/>
              </w:rPr>
              <w:t>E</w:t>
            </w:r>
          </w:p>
        </w:tc>
        <w:tc>
          <w:tcPr>
            <w:tcW w:w="7768" w:type="dxa"/>
            <w:tcBorders>
              <w:top w:val="nil"/>
              <w:bottom w:val="nil"/>
            </w:tcBorders>
          </w:tcPr>
          <w:p w:rsidR="007F6DF9" w:rsidRDefault="00A43FBC">
            <w:pPr>
              <w:pStyle w:val="TableParagraph"/>
              <w:spacing w:before="223" w:line="202" w:lineRule="exact"/>
              <w:ind w:left="38"/>
              <w:rPr>
                <w:sz w:val="18"/>
              </w:rPr>
            </w:pPr>
            <w:r>
              <w:rPr>
                <w:sz w:val="18"/>
              </w:rPr>
              <w:t>STRUCTURAL</w:t>
            </w:r>
            <w:r>
              <w:rPr>
                <w:spacing w:val="47"/>
                <w:sz w:val="18"/>
              </w:rPr>
              <w:t xml:space="preserve"> </w:t>
            </w:r>
            <w:r>
              <w:rPr>
                <w:spacing w:val="-2"/>
                <w:sz w:val="18"/>
              </w:rPr>
              <w:t>ENGINEER</w:t>
            </w:r>
          </w:p>
        </w:tc>
        <w:tc>
          <w:tcPr>
            <w:tcW w:w="1534" w:type="dxa"/>
            <w:vMerge/>
            <w:tcBorders>
              <w:top w:val="nil"/>
            </w:tcBorders>
          </w:tcPr>
          <w:p w:rsidR="007F6DF9" w:rsidRDefault="007F6DF9">
            <w:pPr>
              <w:rPr>
                <w:sz w:val="2"/>
                <w:szCs w:val="2"/>
              </w:rPr>
            </w:pPr>
          </w:p>
        </w:tc>
      </w:tr>
      <w:tr w:rsidR="007F6DF9">
        <w:trPr>
          <w:trHeight w:val="9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term "Structural Engineer" shall be deemed to mean</w:t>
            </w:r>
            <w:r>
              <w:rPr>
                <w:spacing w:val="40"/>
                <w:sz w:val="18"/>
              </w:rPr>
              <w:t xml:space="preserve"> </w:t>
            </w:r>
            <w:r>
              <w:rPr>
                <w:sz w:val="18"/>
              </w:rPr>
              <w:t>"the P.M" as defined above whose address, unless otherwise notified, is the Ministry of Lands, Public Works, Housing and Urban Development</w:t>
            </w:r>
            <w:r>
              <w:rPr>
                <w:spacing w:val="40"/>
                <w:sz w:val="18"/>
              </w:rPr>
              <w:t xml:space="preserve"> </w:t>
            </w:r>
            <w:r>
              <w:rPr>
                <w:sz w:val="18"/>
              </w:rPr>
              <w:t xml:space="preserve">State Department for Public Works ,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446"/>
        </w:trPr>
        <w:tc>
          <w:tcPr>
            <w:tcW w:w="708" w:type="dxa"/>
            <w:tcBorders>
              <w:top w:val="nil"/>
              <w:bottom w:val="nil"/>
            </w:tcBorders>
          </w:tcPr>
          <w:p w:rsidR="007F6DF9" w:rsidRDefault="00A43FBC">
            <w:pPr>
              <w:pStyle w:val="TableParagraph"/>
              <w:spacing w:before="223" w:line="202" w:lineRule="exact"/>
              <w:ind w:right="23"/>
              <w:jc w:val="right"/>
              <w:rPr>
                <w:sz w:val="18"/>
              </w:rPr>
            </w:pPr>
            <w:r>
              <w:rPr>
                <w:spacing w:val="-10"/>
                <w:sz w:val="18"/>
              </w:rPr>
              <w:t>F</w:t>
            </w:r>
          </w:p>
        </w:tc>
        <w:tc>
          <w:tcPr>
            <w:tcW w:w="7768" w:type="dxa"/>
            <w:tcBorders>
              <w:top w:val="nil"/>
              <w:bottom w:val="nil"/>
            </w:tcBorders>
          </w:tcPr>
          <w:p w:rsidR="007F6DF9" w:rsidRDefault="00A43FBC">
            <w:pPr>
              <w:pStyle w:val="TableParagraph"/>
              <w:spacing w:before="223" w:line="202" w:lineRule="exact"/>
              <w:ind w:left="38"/>
              <w:rPr>
                <w:sz w:val="18"/>
              </w:rPr>
            </w:pPr>
            <w:r>
              <w:rPr>
                <w:sz w:val="18"/>
              </w:rPr>
              <w:t>ELECTRICAL</w:t>
            </w:r>
            <w:r>
              <w:rPr>
                <w:spacing w:val="5"/>
                <w:sz w:val="18"/>
              </w:rPr>
              <w:t xml:space="preserve"> </w:t>
            </w:r>
            <w:r>
              <w:rPr>
                <w:spacing w:val="-2"/>
                <w:sz w:val="18"/>
              </w:rPr>
              <w:t>ENGINEER</w:t>
            </w:r>
          </w:p>
        </w:tc>
        <w:tc>
          <w:tcPr>
            <w:tcW w:w="1534" w:type="dxa"/>
            <w:vMerge/>
            <w:tcBorders>
              <w:top w:val="nil"/>
            </w:tcBorders>
          </w:tcPr>
          <w:p w:rsidR="007F6DF9" w:rsidRDefault="007F6DF9">
            <w:pPr>
              <w:rPr>
                <w:sz w:val="2"/>
                <w:szCs w:val="2"/>
              </w:rPr>
            </w:pPr>
          </w:p>
        </w:tc>
      </w:tr>
      <w:tr w:rsidR="007F6DF9">
        <w:trPr>
          <w:trHeight w:val="2748"/>
        </w:trPr>
        <w:tc>
          <w:tcPr>
            <w:tcW w:w="708" w:type="dxa"/>
            <w:tcBorders>
              <w:top w:val="nil"/>
            </w:tcBorders>
          </w:tcPr>
          <w:p w:rsidR="007F6DF9" w:rsidRDefault="007F6DF9">
            <w:pPr>
              <w:pStyle w:val="TableParagraph"/>
              <w:rPr>
                <w:rFonts w:ascii="Times New Roman"/>
                <w:sz w:val="18"/>
              </w:rPr>
            </w:pPr>
          </w:p>
        </w:tc>
        <w:tc>
          <w:tcPr>
            <w:tcW w:w="7768" w:type="dxa"/>
            <w:tcBorders>
              <w:top w:val="nil"/>
            </w:tcBorders>
          </w:tcPr>
          <w:p w:rsidR="007F6DF9" w:rsidRDefault="00A43FBC">
            <w:pPr>
              <w:pStyle w:val="TableParagraph"/>
              <w:spacing w:line="254" w:lineRule="auto"/>
              <w:ind w:left="36" w:right="14"/>
              <w:jc w:val="both"/>
              <w:rPr>
                <w:sz w:val="18"/>
              </w:rPr>
            </w:pPr>
            <w:r>
              <w:rPr>
                <w:sz w:val="18"/>
              </w:rPr>
              <w:t>The term "Electrical Engineer" shall be deemed to mean</w:t>
            </w:r>
            <w:r>
              <w:rPr>
                <w:spacing w:val="40"/>
                <w:sz w:val="18"/>
              </w:rPr>
              <w:t xml:space="preserve"> </w:t>
            </w:r>
            <w:r>
              <w:rPr>
                <w:sz w:val="18"/>
              </w:rPr>
              <w:t>"the P.M" as defined above whose address, unless otherwise notified, is the Ministry of Lands, Public Works, Housing and Urban Development</w:t>
            </w:r>
            <w:r>
              <w:rPr>
                <w:spacing w:val="40"/>
                <w:sz w:val="18"/>
              </w:rPr>
              <w:t xml:space="preserve"> </w:t>
            </w:r>
            <w:r>
              <w:rPr>
                <w:sz w:val="18"/>
              </w:rPr>
              <w:t xml:space="preserve">State Department for Public Works ,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46"/>
          <w:pgSz w:w="12240" w:h="15840"/>
          <w:pgMar w:top="1060" w:right="1133" w:bottom="700" w:left="850" w:header="0" w:footer="506" w:gutter="0"/>
          <w:pgNumType w:start="1"/>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left="242"/>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17"/>
        </w:trPr>
        <w:tc>
          <w:tcPr>
            <w:tcW w:w="708" w:type="dxa"/>
            <w:vMerge w:val="restart"/>
          </w:tcPr>
          <w:p w:rsidR="007F6DF9" w:rsidRDefault="00A43FBC">
            <w:pPr>
              <w:pStyle w:val="TableParagraph"/>
              <w:spacing w:line="212" w:lineRule="exact"/>
              <w:ind w:left="546"/>
              <w:rPr>
                <w:sz w:val="18"/>
              </w:rPr>
            </w:pPr>
            <w:r>
              <w:rPr>
                <w:spacing w:val="-10"/>
                <w:w w:val="110"/>
                <w:sz w:val="18"/>
              </w:rPr>
              <w:t>A</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16"/>
              <w:rPr>
                <w:rFonts w:ascii="Segoe UI"/>
                <w:sz w:val="18"/>
              </w:rPr>
            </w:pPr>
          </w:p>
          <w:p w:rsidR="007F6DF9" w:rsidRDefault="00A43FBC">
            <w:pPr>
              <w:pStyle w:val="TableParagraph"/>
              <w:spacing w:before="1"/>
              <w:ind w:left="561"/>
              <w:rPr>
                <w:sz w:val="18"/>
              </w:rPr>
            </w:pPr>
            <w:r>
              <w:rPr>
                <w:spacing w:val="-10"/>
                <w:sz w:val="18"/>
              </w:rPr>
              <w:t>B</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16"/>
              <w:rPr>
                <w:rFonts w:ascii="Segoe UI"/>
                <w:sz w:val="18"/>
              </w:rPr>
            </w:pPr>
          </w:p>
          <w:p w:rsidR="007F6DF9" w:rsidRDefault="00A43FBC">
            <w:pPr>
              <w:pStyle w:val="TableParagraph"/>
              <w:ind w:left="549"/>
              <w:rPr>
                <w:sz w:val="18"/>
              </w:rPr>
            </w:pPr>
            <w:r>
              <w:rPr>
                <w:spacing w:val="-10"/>
                <w:w w:val="110"/>
                <w:sz w:val="18"/>
              </w:rPr>
              <w:t>C</w:t>
            </w:r>
          </w:p>
        </w:tc>
        <w:tc>
          <w:tcPr>
            <w:tcW w:w="7768" w:type="dxa"/>
            <w:tcBorders>
              <w:bottom w:val="nil"/>
            </w:tcBorders>
          </w:tcPr>
          <w:p w:rsidR="007F6DF9" w:rsidRDefault="00A43FBC">
            <w:pPr>
              <w:pStyle w:val="TableParagraph"/>
              <w:spacing w:line="197" w:lineRule="exact"/>
              <w:ind w:left="38"/>
              <w:rPr>
                <w:sz w:val="18"/>
              </w:rPr>
            </w:pPr>
            <w:r>
              <w:rPr>
                <w:w w:val="105"/>
                <w:sz w:val="18"/>
              </w:rPr>
              <w:t>MECHANICAL</w:t>
            </w:r>
            <w:r>
              <w:rPr>
                <w:spacing w:val="48"/>
                <w:w w:val="105"/>
                <w:sz w:val="18"/>
              </w:rPr>
              <w:t xml:space="preserve"> </w:t>
            </w:r>
            <w:r>
              <w:rPr>
                <w:spacing w:val="-2"/>
                <w:w w:val="105"/>
                <w:sz w:val="18"/>
              </w:rPr>
              <w:t>ENGINEER</w:t>
            </w:r>
          </w:p>
        </w:tc>
        <w:tc>
          <w:tcPr>
            <w:tcW w:w="1534" w:type="dxa"/>
            <w:vMerge w:val="restart"/>
          </w:tcPr>
          <w:p w:rsidR="007F6DF9" w:rsidRDefault="007F6DF9">
            <w:pPr>
              <w:pStyle w:val="TableParagraph"/>
              <w:rPr>
                <w:rFonts w:ascii="Times New Roman"/>
                <w:sz w:val="18"/>
              </w:rPr>
            </w:pPr>
          </w:p>
        </w:tc>
      </w:tr>
      <w:tr w:rsidR="007F6DF9">
        <w:trPr>
          <w:trHeight w:val="791"/>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term "Mechanical Engineer" shall be deemed to mean</w:t>
            </w:r>
            <w:r>
              <w:rPr>
                <w:spacing w:val="40"/>
                <w:sz w:val="18"/>
              </w:rPr>
              <w:t xml:space="preserve"> </w:t>
            </w:r>
            <w:r>
              <w:rPr>
                <w:sz w:val="18"/>
              </w:rPr>
              <w:t>"the P.M" as defined above whose address, unless otherwise notified, is the Ministry of Lands, Public Works, Housing and Urban Development</w:t>
            </w:r>
            <w:r>
              <w:rPr>
                <w:spacing w:val="40"/>
                <w:sz w:val="18"/>
              </w:rPr>
              <w:t xml:space="preserve"> </w:t>
            </w:r>
            <w:r>
              <w:rPr>
                <w:sz w:val="18"/>
              </w:rPr>
              <w:t xml:space="preserve">State Department for Public Works ,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330"/>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before="108" w:line="202" w:lineRule="exact"/>
              <w:ind w:left="38"/>
              <w:rPr>
                <w:sz w:val="18"/>
              </w:rPr>
            </w:pPr>
            <w:r>
              <w:rPr>
                <w:sz w:val="18"/>
              </w:rPr>
              <w:t>INTERIOR</w:t>
            </w:r>
            <w:r>
              <w:rPr>
                <w:spacing w:val="27"/>
                <w:sz w:val="18"/>
              </w:rPr>
              <w:t xml:space="preserve"> </w:t>
            </w:r>
            <w:r>
              <w:rPr>
                <w:spacing w:val="-2"/>
                <w:sz w:val="18"/>
              </w:rPr>
              <w:t>DESIGNER</w:t>
            </w:r>
          </w:p>
        </w:tc>
        <w:tc>
          <w:tcPr>
            <w:tcW w:w="1534" w:type="dxa"/>
            <w:vMerge/>
            <w:tcBorders>
              <w:top w:val="nil"/>
            </w:tcBorders>
          </w:tcPr>
          <w:p w:rsidR="007F6DF9" w:rsidRDefault="007F6DF9">
            <w:pPr>
              <w:rPr>
                <w:sz w:val="2"/>
                <w:szCs w:val="2"/>
              </w:rPr>
            </w:pPr>
          </w:p>
        </w:tc>
      </w:tr>
      <w:tr w:rsidR="007F6DF9">
        <w:trPr>
          <w:trHeight w:val="791"/>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w:t>
            </w:r>
            <w:r>
              <w:rPr>
                <w:spacing w:val="-15"/>
                <w:sz w:val="18"/>
              </w:rPr>
              <w:t xml:space="preserve"> </w:t>
            </w:r>
            <w:r>
              <w:rPr>
                <w:sz w:val="18"/>
              </w:rPr>
              <w:t>term</w:t>
            </w:r>
            <w:r>
              <w:rPr>
                <w:spacing w:val="-14"/>
                <w:sz w:val="18"/>
              </w:rPr>
              <w:t xml:space="preserve"> </w:t>
            </w:r>
            <w:r>
              <w:rPr>
                <w:sz w:val="18"/>
              </w:rPr>
              <w:t>"Interior</w:t>
            </w:r>
            <w:r>
              <w:rPr>
                <w:spacing w:val="-14"/>
                <w:sz w:val="18"/>
              </w:rPr>
              <w:t xml:space="preserve"> </w:t>
            </w:r>
            <w:r>
              <w:rPr>
                <w:sz w:val="18"/>
              </w:rPr>
              <w:t>Designer"</w:t>
            </w:r>
            <w:r>
              <w:rPr>
                <w:spacing w:val="-14"/>
                <w:sz w:val="18"/>
              </w:rPr>
              <w:t xml:space="preserve"> </w:t>
            </w:r>
            <w:r>
              <w:rPr>
                <w:sz w:val="18"/>
              </w:rPr>
              <w:t>shall</w:t>
            </w:r>
            <w:r>
              <w:rPr>
                <w:spacing w:val="-14"/>
                <w:sz w:val="18"/>
              </w:rPr>
              <w:t xml:space="preserve"> </w:t>
            </w:r>
            <w:r>
              <w:rPr>
                <w:sz w:val="18"/>
              </w:rPr>
              <w:t>be</w:t>
            </w:r>
            <w:r>
              <w:rPr>
                <w:spacing w:val="-14"/>
                <w:sz w:val="18"/>
              </w:rPr>
              <w:t xml:space="preserve"> </w:t>
            </w:r>
            <w:r>
              <w:rPr>
                <w:sz w:val="18"/>
              </w:rPr>
              <w:t>deemed</w:t>
            </w:r>
            <w:r>
              <w:rPr>
                <w:spacing w:val="-14"/>
                <w:sz w:val="18"/>
              </w:rPr>
              <w:t xml:space="preserve"> </w:t>
            </w:r>
            <w:r>
              <w:rPr>
                <w:sz w:val="18"/>
              </w:rPr>
              <w:t>to</w:t>
            </w:r>
            <w:r>
              <w:rPr>
                <w:spacing w:val="-14"/>
                <w:sz w:val="18"/>
              </w:rPr>
              <w:t xml:space="preserve"> </w:t>
            </w:r>
            <w:r>
              <w:rPr>
                <w:sz w:val="18"/>
              </w:rPr>
              <w:t>mean</w:t>
            </w:r>
            <w:r>
              <w:rPr>
                <w:spacing w:val="18"/>
                <w:sz w:val="18"/>
              </w:rPr>
              <w:t xml:space="preserve"> </w:t>
            </w:r>
            <w:r>
              <w:rPr>
                <w:sz w:val="18"/>
              </w:rPr>
              <w:t>"the</w:t>
            </w:r>
            <w:r>
              <w:rPr>
                <w:spacing w:val="-13"/>
                <w:sz w:val="18"/>
              </w:rPr>
              <w:t xml:space="preserve"> </w:t>
            </w:r>
            <w:r>
              <w:rPr>
                <w:sz w:val="18"/>
              </w:rPr>
              <w:t>P.M"</w:t>
            </w:r>
            <w:r>
              <w:rPr>
                <w:spacing w:val="-15"/>
                <w:sz w:val="18"/>
              </w:rPr>
              <w:t xml:space="preserve"> </w:t>
            </w:r>
            <w:r>
              <w:rPr>
                <w:sz w:val="18"/>
              </w:rPr>
              <w:t>as</w:t>
            </w:r>
            <w:r>
              <w:rPr>
                <w:spacing w:val="-12"/>
                <w:sz w:val="18"/>
              </w:rPr>
              <w:t xml:space="preserve"> </w:t>
            </w:r>
            <w:r>
              <w:rPr>
                <w:sz w:val="18"/>
              </w:rPr>
              <w:t>defined</w:t>
            </w:r>
            <w:r>
              <w:rPr>
                <w:spacing w:val="-15"/>
                <w:sz w:val="18"/>
              </w:rPr>
              <w:t xml:space="preserve"> </w:t>
            </w:r>
            <w:r>
              <w:rPr>
                <w:sz w:val="18"/>
              </w:rPr>
              <w:t>above</w:t>
            </w:r>
            <w:r>
              <w:rPr>
                <w:spacing w:val="-13"/>
                <w:sz w:val="18"/>
              </w:rPr>
              <w:t xml:space="preserve"> </w:t>
            </w:r>
            <w:r>
              <w:rPr>
                <w:sz w:val="18"/>
              </w:rPr>
              <w:t>whose</w:t>
            </w:r>
            <w:r>
              <w:rPr>
                <w:spacing w:val="-15"/>
                <w:sz w:val="18"/>
              </w:rPr>
              <w:t xml:space="preserve"> </w:t>
            </w:r>
            <w:r>
              <w:rPr>
                <w:sz w:val="18"/>
              </w:rPr>
              <w:t>address, unless otherwise notified, is the Ministry of Lands, Public Works, Housing and Urban Development</w:t>
            </w:r>
            <w:r>
              <w:rPr>
                <w:spacing w:val="40"/>
                <w:sz w:val="18"/>
              </w:rPr>
              <w:t xml:space="preserve"> </w:t>
            </w:r>
            <w:r>
              <w:rPr>
                <w:sz w:val="18"/>
              </w:rPr>
              <w:t xml:space="preserve">State Department for Public Works ,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3653"/>
        </w:trPr>
        <w:tc>
          <w:tcPr>
            <w:tcW w:w="708" w:type="dxa"/>
            <w:vMerge/>
            <w:tcBorders>
              <w:top w:val="nil"/>
            </w:tcBorders>
          </w:tcPr>
          <w:p w:rsidR="007F6DF9" w:rsidRDefault="007F6DF9">
            <w:pPr>
              <w:rPr>
                <w:sz w:val="2"/>
                <w:szCs w:val="2"/>
              </w:rPr>
            </w:pPr>
          </w:p>
        </w:tc>
        <w:tc>
          <w:tcPr>
            <w:tcW w:w="7768" w:type="dxa"/>
            <w:tcBorders>
              <w:top w:val="nil"/>
            </w:tcBorders>
          </w:tcPr>
          <w:p w:rsidR="007F6DF9" w:rsidRDefault="00A43FBC">
            <w:pPr>
              <w:pStyle w:val="TableParagraph"/>
              <w:spacing w:before="108"/>
              <w:ind w:left="38"/>
              <w:rPr>
                <w:sz w:val="18"/>
              </w:rPr>
            </w:pPr>
            <w:r>
              <w:rPr>
                <w:w w:val="105"/>
                <w:sz w:val="18"/>
              </w:rPr>
              <w:t>SCOPE</w:t>
            </w:r>
            <w:r>
              <w:rPr>
                <w:spacing w:val="-8"/>
                <w:w w:val="105"/>
                <w:sz w:val="18"/>
              </w:rPr>
              <w:t xml:space="preserve"> </w:t>
            </w:r>
            <w:r>
              <w:rPr>
                <w:w w:val="105"/>
                <w:sz w:val="18"/>
              </w:rPr>
              <w:t>OF</w:t>
            </w:r>
            <w:r>
              <w:rPr>
                <w:spacing w:val="-7"/>
                <w:w w:val="105"/>
                <w:sz w:val="18"/>
              </w:rPr>
              <w:t xml:space="preserve"> </w:t>
            </w:r>
            <w:r>
              <w:rPr>
                <w:spacing w:val="-2"/>
                <w:w w:val="105"/>
                <w:sz w:val="18"/>
              </w:rPr>
              <w:t>CONTRACT</w:t>
            </w:r>
          </w:p>
          <w:p w:rsidR="007F6DF9" w:rsidRDefault="007F6DF9">
            <w:pPr>
              <w:pStyle w:val="TableParagraph"/>
              <w:spacing w:before="4"/>
              <w:rPr>
                <w:rFonts w:ascii="Segoe UI"/>
                <w:sz w:val="18"/>
              </w:rPr>
            </w:pPr>
          </w:p>
          <w:p w:rsidR="007F6DF9" w:rsidRDefault="00A43FBC">
            <w:pPr>
              <w:pStyle w:val="TableParagraph"/>
              <w:ind w:left="38"/>
              <w:rPr>
                <w:sz w:val="18"/>
              </w:rPr>
            </w:pPr>
            <w:r>
              <w:rPr>
                <w:sz w:val="18"/>
              </w:rPr>
              <w:t>The</w:t>
            </w:r>
            <w:r>
              <w:rPr>
                <w:spacing w:val="-5"/>
                <w:sz w:val="18"/>
              </w:rPr>
              <w:t xml:space="preserve"> </w:t>
            </w:r>
            <w:r>
              <w:rPr>
                <w:sz w:val="18"/>
              </w:rPr>
              <w:t>works</w:t>
            </w:r>
            <w:r>
              <w:rPr>
                <w:spacing w:val="-5"/>
                <w:sz w:val="18"/>
              </w:rPr>
              <w:t xml:space="preserve"> </w:t>
            </w:r>
            <w:r>
              <w:rPr>
                <w:sz w:val="18"/>
              </w:rPr>
              <w:t>consists</w:t>
            </w:r>
            <w:r>
              <w:rPr>
                <w:spacing w:val="-5"/>
                <w:sz w:val="18"/>
              </w:rPr>
              <w:t xml:space="preserve"> </w:t>
            </w:r>
            <w:r>
              <w:rPr>
                <w:sz w:val="18"/>
              </w:rPr>
              <w:t>of:</w:t>
            </w:r>
            <w:r>
              <w:rPr>
                <w:spacing w:val="-5"/>
                <w:sz w:val="18"/>
              </w:rPr>
              <w:t xml:space="preserve"> </w:t>
            </w:r>
            <w:r>
              <w:rPr>
                <w:sz w:val="18"/>
              </w:rPr>
              <w:t>As</w:t>
            </w:r>
            <w:r>
              <w:rPr>
                <w:spacing w:val="-5"/>
                <w:sz w:val="18"/>
              </w:rPr>
              <w:t xml:space="preserve"> </w:t>
            </w:r>
            <w:r>
              <w:rPr>
                <w:sz w:val="18"/>
              </w:rPr>
              <w:t>described</w:t>
            </w:r>
            <w:r>
              <w:rPr>
                <w:spacing w:val="-6"/>
                <w:sz w:val="18"/>
              </w:rPr>
              <w:t xml:space="preserve"> </w:t>
            </w:r>
            <w:r>
              <w:rPr>
                <w:sz w:val="18"/>
              </w:rPr>
              <w:t>in</w:t>
            </w:r>
            <w:r>
              <w:rPr>
                <w:spacing w:val="-5"/>
                <w:sz w:val="18"/>
              </w:rPr>
              <w:t xml:space="preserve"> </w:t>
            </w:r>
            <w:r>
              <w:rPr>
                <w:sz w:val="18"/>
              </w:rPr>
              <w:t>the</w:t>
            </w:r>
            <w:r>
              <w:rPr>
                <w:spacing w:val="-5"/>
                <w:sz w:val="18"/>
              </w:rPr>
              <w:t xml:space="preserve"> </w:t>
            </w:r>
            <w:r>
              <w:rPr>
                <w:spacing w:val="-4"/>
                <w:sz w:val="18"/>
              </w:rPr>
              <w:t>Bills</w:t>
            </w:r>
          </w:p>
          <w:p w:rsidR="007F6DF9" w:rsidRDefault="007F6DF9">
            <w:pPr>
              <w:pStyle w:val="TableParagraph"/>
              <w:spacing w:before="234"/>
              <w:rPr>
                <w:rFonts w:ascii="Segoe UI"/>
                <w:sz w:val="18"/>
              </w:rPr>
            </w:pPr>
          </w:p>
          <w:p w:rsidR="007F6DF9" w:rsidRDefault="00A43FBC">
            <w:pPr>
              <w:pStyle w:val="TableParagraph"/>
              <w:spacing w:before="1"/>
              <w:ind w:left="36"/>
              <w:rPr>
                <w:sz w:val="18"/>
              </w:rPr>
            </w:pPr>
            <w:r>
              <w:rPr>
                <w:sz w:val="18"/>
              </w:rPr>
              <w:t>B.</w:t>
            </w:r>
            <w:r>
              <w:rPr>
                <w:spacing w:val="-3"/>
                <w:sz w:val="18"/>
              </w:rPr>
              <w:t xml:space="preserve"> </w:t>
            </w:r>
            <w:r>
              <w:rPr>
                <w:sz w:val="18"/>
              </w:rPr>
              <w:t>BUILDERS</w:t>
            </w:r>
            <w:r>
              <w:rPr>
                <w:spacing w:val="-1"/>
                <w:sz w:val="18"/>
              </w:rPr>
              <w:t xml:space="preserve"> </w:t>
            </w:r>
            <w:r>
              <w:rPr>
                <w:sz w:val="18"/>
              </w:rPr>
              <w:t>WORKS: As specified in</w:t>
            </w:r>
            <w:r>
              <w:rPr>
                <w:spacing w:val="-1"/>
                <w:sz w:val="18"/>
              </w:rPr>
              <w:t xml:space="preserve"> </w:t>
            </w:r>
            <w:r>
              <w:rPr>
                <w:sz w:val="18"/>
              </w:rPr>
              <w:t>the</w:t>
            </w:r>
            <w:r>
              <w:rPr>
                <w:spacing w:val="1"/>
                <w:sz w:val="18"/>
              </w:rPr>
              <w:t xml:space="preserve"> </w:t>
            </w:r>
            <w:r>
              <w:rPr>
                <w:spacing w:val="-4"/>
                <w:sz w:val="18"/>
              </w:rPr>
              <w:t>Bills</w:t>
            </w:r>
          </w:p>
          <w:p w:rsidR="007F6DF9" w:rsidRDefault="007F6DF9">
            <w:pPr>
              <w:pStyle w:val="TableParagraph"/>
              <w:spacing w:before="4"/>
              <w:rPr>
                <w:rFonts w:ascii="Segoe UI"/>
                <w:sz w:val="18"/>
              </w:rPr>
            </w:pPr>
          </w:p>
          <w:p w:rsidR="007F6DF9" w:rsidRDefault="00A43FBC">
            <w:pPr>
              <w:pStyle w:val="TableParagraph"/>
              <w:ind w:left="91"/>
              <w:rPr>
                <w:sz w:val="18"/>
              </w:rPr>
            </w:pPr>
            <w:r>
              <w:rPr>
                <w:w w:val="105"/>
                <w:sz w:val="18"/>
              </w:rPr>
              <w:t>C.</w:t>
            </w:r>
            <w:r>
              <w:rPr>
                <w:spacing w:val="21"/>
                <w:w w:val="105"/>
                <w:sz w:val="18"/>
              </w:rPr>
              <w:t xml:space="preserve"> </w:t>
            </w:r>
            <w:r>
              <w:rPr>
                <w:w w:val="105"/>
                <w:sz w:val="18"/>
              </w:rPr>
              <w:t>MECHANICAL</w:t>
            </w:r>
            <w:r>
              <w:rPr>
                <w:spacing w:val="23"/>
                <w:w w:val="105"/>
                <w:sz w:val="18"/>
              </w:rPr>
              <w:t xml:space="preserve"> </w:t>
            </w:r>
            <w:r>
              <w:rPr>
                <w:spacing w:val="-2"/>
                <w:w w:val="105"/>
                <w:sz w:val="18"/>
              </w:rPr>
              <w:t>WORKS.</w:t>
            </w:r>
          </w:p>
          <w:p w:rsidR="007F6DF9" w:rsidRDefault="00A43FBC">
            <w:pPr>
              <w:pStyle w:val="TableParagraph"/>
              <w:numPr>
                <w:ilvl w:val="0"/>
                <w:numId w:val="1"/>
              </w:numPr>
              <w:tabs>
                <w:tab w:val="left" w:pos="141"/>
              </w:tabs>
              <w:spacing w:before="13"/>
              <w:ind w:left="141" w:hanging="105"/>
              <w:rPr>
                <w:sz w:val="18"/>
              </w:rPr>
            </w:pPr>
            <w:r>
              <w:rPr>
                <w:spacing w:val="-6"/>
                <w:sz w:val="18"/>
              </w:rPr>
              <w:t>AS</w:t>
            </w:r>
            <w:r>
              <w:rPr>
                <w:spacing w:val="-7"/>
                <w:sz w:val="18"/>
              </w:rPr>
              <w:t xml:space="preserve"> </w:t>
            </w:r>
            <w:r>
              <w:rPr>
                <w:spacing w:val="-2"/>
                <w:sz w:val="18"/>
              </w:rPr>
              <w:t>SPECIFIED</w:t>
            </w:r>
          </w:p>
          <w:p w:rsidR="007F6DF9" w:rsidRDefault="00A43FBC">
            <w:pPr>
              <w:pStyle w:val="TableParagraph"/>
              <w:spacing w:before="112"/>
              <w:ind w:left="36"/>
              <w:rPr>
                <w:sz w:val="18"/>
              </w:rPr>
            </w:pPr>
            <w:r>
              <w:rPr>
                <w:sz w:val="18"/>
              </w:rPr>
              <w:t>D.</w:t>
            </w:r>
            <w:r>
              <w:rPr>
                <w:spacing w:val="6"/>
                <w:sz w:val="18"/>
              </w:rPr>
              <w:t xml:space="preserve"> </w:t>
            </w:r>
            <w:r>
              <w:rPr>
                <w:sz w:val="18"/>
              </w:rPr>
              <w:t>ELECTRICAL</w:t>
            </w:r>
            <w:r>
              <w:rPr>
                <w:spacing w:val="7"/>
                <w:sz w:val="18"/>
              </w:rPr>
              <w:t xml:space="preserve"> </w:t>
            </w:r>
            <w:r>
              <w:rPr>
                <w:spacing w:val="-2"/>
                <w:sz w:val="18"/>
              </w:rPr>
              <w:t>WORKS.</w:t>
            </w:r>
          </w:p>
          <w:p w:rsidR="007F6DF9" w:rsidRDefault="00A43FBC">
            <w:pPr>
              <w:pStyle w:val="TableParagraph"/>
              <w:numPr>
                <w:ilvl w:val="0"/>
                <w:numId w:val="6"/>
              </w:numPr>
              <w:tabs>
                <w:tab w:val="left" w:pos="194"/>
              </w:tabs>
              <w:spacing w:before="13"/>
              <w:ind w:hanging="158"/>
              <w:rPr>
                <w:sz w:val="18"/>
              </w:rPr>
            </w:pPr>
            <w:r>
              <w:rPr>
                <w:spacing w:val="-6"/>
                <w:sz w:val="18"/>
              </w:rPr>
              <w:t>AS</w:t>
            </w:r>
            <w:r>
              <w:rPr>
                <w:spacing w:val="-7"/>
                <w:sz w:val="18"/>
              </w:rPr>
              <w:t xml:space="preserve"> </w:t>
            </w:r>
            <w:r>
              <w:rPr>
                <w:spacing w:val="-2"/>
                <w:sz w:val="18"/>
              </w:rPr>
              <w:t>SPECIFIED</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47"/>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left="242"/>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17"/>
        </w:trPr>
        <w:tc>
          <w:tcPr>
            <w:tcW w:w="708" w:type="dxa"/>
            <w:vMerge w:val="restart"/>
          </w:tcPr>
          <w:p w:rsidR="007F6DF9" w:rsidRDefault="00A43FBC">
            <w:pPr>
              <w:pStyle w:val="TableParagraph"/>
              <w:spacing w:line="212" w:lineRule="exact"/>
              <w:ind w:left="534"/>
              <w:rPr>
                <w:sz w:val="18"/>
              </w:rPr>
            </w:pPr>
            <w:r>
              <w:rPr>
                <w:spacing w:val="-10"/>
                <w:w w:val="105"/>
                <w:sz w:val="18"/>
              </w:rPr>
              <w:t>D</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07"/>
              <w:rPr>
                <w:rFonts w:ascii="Segoe UI"/>
                <w:sz w:val="18"/>
              </w:rPr>
            </w:pPr>
          </w:p>
          <w:p w:rsidR="007F6DF9" w:rsidRDefault="00A43FBC">
            <w:pPr>
              <w:pStyle w:val="TableParagraph"/>
              <w:spacing w:before="1"/>
              <w:ind w:left="575"/>
              <w:rPr>
                <w:sz w:val="18"/>
              </w:rPr>
            </w:pPr>
            <w:r>
              <w:rPr>
                <w:spacing w:val="-10"/>
                <w:sz w:val="18"/>
              </w:rPr>
              <w:t>E</w:t>
            </w:r>
          </w:p>
        </w:tc>
        <w:tc>
          <w:tcPr>
            <w:tcW w:w="7768" w:type="dxa"/>
            <w:tcBorders>
              <w:bottom w:val="nil"/>
            </w:tcBorders>
          </w:tcPr>
          <w:p w:rsidR="007F6DF9" w:rsidRDefault="00A43FBC">
            <w:pPr>
              <w:pStyle w:val="TableParagraph"/>
              <w:spacing w:line="197" w:lineRule="exact"/>
              <w:ind w:left="38"/>
              <w:rPr>
                <w:sz w:val="18"/>
              </w:rPr>
            </w:pPr>
            <w:r>
              <w:rPr>
                <w:w w:val="105"/>
                <w:sz w:val="18"/>
              </w:rPr>
              <w:t>URGENCY</w:t>
            </w:r>
            <w:r>
              <w:rPr>
                <w:spacing w:val="12"/>
                <w:w w:val="105"/>
                <w:sz w:val="18"/>
              </w:rPr>
              <w:t xml:space="preserve"> </w:t>
            </w:r>
            <w:r>
              <w:rPr>
                <w:w w:val="105"/>
                <w:sz w:val="18"/>
              </w:rPr>
              <w:t>OF</w:t>
            </w:r>
            <w:r>
              <w:rPr>
                <w:spacing w:val="11"/>
                <w:w w:val="105"/>
                <w:sz w:val="18"/>
              </w:rPr>
              <w:t xml:space="preserve"> </w:t>
            </w:r>
            <w:r>
              <w:rPr>
                <w:w w:val="105"/>
                <w:sz w:val="18"/>
              </w:rPr>
              <w:t>THE</w:t>
            </w:r>
            <w:r>
              <w:rPr>
                <w:spacing w:val="10"/>
                <w:w w:val="105"/>
                <w:sz w:val="18"/>
              </w:rPr>
              <w:t xml:space="preserve"> </w:t>
            </w:r>
            <w:r>
              <w:rPr>
                <w:spacing w:val="-2"/>
                <w:w w:val="105"/>
                <w:sz w:val="18"/>
              </w:rPr>
              <w:t>WORKS</w:t>
            </w:r>
          </w:p>
        </w:tc>
        <w:tc>
          <w:tcPr>
            <w:tcW w:w="1534" w:type="dxa"/>
            <w:vMerge w:val="restart"/>
          </w:tcPr>
          <w:p w:rsidR="007F6DF9" w:rsidRDefault="007F6DF9">
            <w:pPr>
              <w:pStyle w:val="TableParagraph"/>
              <w:rPr>
                <w:rFonts w:ascii="Times New Roman"/>
                <w:sz w:val="18"/>
              </w:rPr>
            </w:pPr>
          </w:p>
        </w:tc>
      </w:tr>
      <w:tr w:rsidR="007F6DF9">
        <w:trPr>
          <w:trHeight w:val="445"/>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11" w:lineRule="exact"/>
              <w:ind w:left="36"/>
              <w:rPr>
                <w:sz w:val="18"/>
              </w:rPr>
            </w:pPr>
            <w:r>
              <w:rPr>
                <w:sz w:val="18"/>
              </w:rPr>
              <w:t>The</w:t>
            </w:r>
            <w:r>
              <w:rPr>
                <w:spacing w:val="23"/>
                <w:sz w:val="18"/>
              </w:rPr>
              <w:t xml:space="preserve"> </w:t>
            </w:r>
            <w:r>
              <w:rPr>
                <w:sz w:val="18"/>
              </w:rPr>
              <w:t>Contractor</w:t>
            </w:r>
            <w:r>
              <w:rPr>
                <w:spacing w:val="23"/>
                <w:sz w:val="18"/>
              </w:rPr>
              <w:t xml:space="preserve"> </w:t>
            </w:r>
            <w:r>
              <w:rPr>
                <w:sz w:val="18"/>
              </w:rPr>
              <w:t>is</w:t>
            </w:r>
            <w:r>
              <w:rPr>
                <w:spacing w:val="24"/>
                <w:sz w:val="18"/>
              </w:rPr>
              <w:t xml:space="preserve"> </w:t>
            </w:r>
            <w:r>
              <w:rPr>
                <w:sz w:val="18"/>
              </w:rPr>
              <w:t>notified</w:t>
            </w:r>
            <w:r>
              <w:rPr>
                <w:spacing w:val="24"/>
                <w:sz w:val="18"/>
              </w:rPr>
              <w:t xml:space="preserve"> </w:t>
            </w:r>
            <w:r>
              <w:rPr>
                <w:sz w:val="18"/>
              </w:rPr>
              <w:t>that</w:t>
            </w:r>
            <w:r>
              <w:rPr>
                <w:spacing w:val="24"/>
                <w:sz w:val="18"/>
              </w:rPr>
              <w:t xml:space="preserve"> </w:t>
            </w:r>
            <w:r>
              <w:rPr>
                <w:sz w:val="18"/>
              </w:rPr>
              <w:t>these</w:t>
            </w:r>
            <w:r>
              <w:rPr>
                <w:spacing w:val="22"/>
                <w:sz w:val="18"/>
              </w:rPr>
              <w:t xml:space="preserve"> </w:t>
            </w:r>
            <w:r>
              <w:rPr>
                <w:sz w:val="18"/>
              </w:rPr>
              <w:t>“works</w:t>
            </w:r>
            <w:r>
              <w:rPr>
                <w:spacing w:val="24"/>
                <w:sz w:val="18"/>
              </w:rPr>
              <w:t xml:space="preserve"> </w:t>
            </w:r>
            <w:r>
              <w:rPr>
                <w:sz w:val="18"/>
              </w:rPr>
              <w:t>are</w:t>
            </w:r>
            <w:r>
              <w:rPr>
                <w:spacing w:val="22"/>
                <w:sz w:val="18"/>
              </w:rPr>
              <w:t xml:space="preserve"> </w:t>
            </w:r>
            <w:r>
              <w:rPr>
                <w:sz w:val="18"/>
              </w:rPr>
              <w:t>urgent”</w:t>
            </w:r>
            <w:r>
              <w:rPr>
                <w:spacing w:val="23"/>
                <w:sz w:val="18"/>
              </w:rPr>
              <w:t xml:space="preserve"> </w:t>
            </w:r>
            <w:r>
              <w:rPr>
                <w:sz w:val="18"/>
              </w:rPr>
              <w:t>and</w:t>
            </w:r>
            <w:r>
              <w:rPr>
                <w:spacing w:val="20"/>
                <w:sz w:val="18"/>
              </w:rPr>
              <w:t xml:space="preserve"> </w:t>
            </w:r>
            <w:r>
              <w:rPr>
                <w:sz w:val="18"/>
              </w:rPr>
              <w:t>should</w:t>
            </w:r>
            <w:r>
              <w:rPr>
                <w:spacing w:val="24"/>
                <w:sz w:val="18"/>
              </w:rPr>
              <w:t xml:space="preserve"> </w:t>
            </w:r>
            <w:r>
              <w:rPr>
                <w:sz w:val="18"/>
              </w:rPr>
              <w:t>be</w:t>
            </w:r>
            <w:r>
              <w:rPr>
                <w:spacing w:val="21"/>
                <w:sz w:val="18"/>
              </w:rPr>
              <w:t xml:space="preserve"> </w:t>
            </w:r>
            <w:r>
              <w:rPr>
                <w:sz w:val="18"/>
              </w:rPr>
              <w:t>completed</w:t>
            </w:r>
            <w:r>
              <w:rPr>
                <w:spacing w:val="23"/>
                <w:sz w:val="18"/>
              </w:rPr>
              <w:t xml:space="preserve"> </w:t>
            </w:r>
            <w:r>
              <w:rPr>
                <w:sz w:val="18"/>
              </w:rPr>
              <w:t>within</w:t>
            </w:r>
            <w:r>
              <w:rPr>
                <w:spacing w:val="22"/>
                <w:sz w:val="18"/>
              </w:rPr>
              <w:t xml:space="preserve"> </w:t>
            </w:r>
            <w:r>
              <w:rPr>
                <w:spacing w:val="-5"/>
                <w:sz w:val="18"/>
              </w:rPr>
              <w:t>the</w:t>
            </w:r>
          </w:p>
          <w:p w:rsidR="007F6DF9" w:rsidRDefault="00A43FBC">
            <w:pPr>
              <w:pStyle w:val="TableParagraph"/>
              <w:spacing w:before="13" w:line="202" w:lineRule="exact"/>
              <w:ind w:left="36"/>
              <w:rPr>
                <w:sz w:val="18"/>
              </w:rPr>
            </w:pPr>
            <w:r>
              <w:rPr>
                <w:spacing w:val="-2"/>
                <w:sz w:val="18"/>
              </w:rPr>
              <w:t>period</w:t>
            </w:r>
            <w:r>
              <w:rPr>
                <w:spacing w:val="-7"/>
                <w:sz w:val="18"/>
              </w:rPr>
              <w:t xml:space="preserve"> </w:t>
            </w:r>
            <w:r>
              <w:rPr>
                <w:spacing w:val="-2"/>
                <w:sz w:val="18"/>
              </w:rPr>
              <w:t>stated</w:t>
            </w:r>
            <w:r>
              <w:rPr>
                <w:spacing w:val="-6"/>
                <w:sz w:val="18"/>
              </w:rPr>
              <w:t xml:space="preserve"> </w:t>
            </w:r>
            <w:r>
              <w:rPr>
                <w:spacing w:val="-2"/>
                <w:sz w:val="18"/>
              </w:rPr>
              <w:t>in</w:t>
            </w:r>
            <w:r>
              <w:rPr>
                <w:spacing w:val="-6"/>
                <w:sz w:val="18"/>
              </w:rPr>
              <w:t xml:space="preserve"> </w:t>
            </w:r>
            <w:r>
              <w:rPr>
                <w:spacing w:val="-2"/>
                <w:sz w:val="18"/>
              </w:rPr>
              <w:t>these</w:t>
            </w:r>
            <w:r>
              <w:rPr>
                <w:spacing w:val="-7"/>
                <w:sz w:val="18"/>
              </w:rPr>
              <w:t xml:space="preserve"> </w:t>
            </w:r>
            <w:r>
              <w:rPr>
                <w:spacing w:val="-2"/>
                <w:sz w:val="18"/>
              </w:rPr>
              <w:t>Particular</w:t>
            </w:r>
            <w:r>
              <w:rPr>
                <w:spacing w:val="-6"/>
                <w:sz w:val="18"/>
              </w:rPr>
              <w:t xml:space="preserve"> </w:t>
            </w:r>
            <w:r>
              <w:rPr>
                <w:spacing w:val="-2"/>
                <w:sz w:val="18"/>
              </w:rPr>
              <w:t>Preliminaries.</w:t>
            </w:r>
          </w:p>
        </w:tc>
        <w:tc>
          <w:tcPr>
            <w:tcW w:w="1534" w:type="dxa"/>
            <w:vMerge/>
            <w:tcBorders>
              <w:top w:val="nil"/>
            </w:tcBorders>
          </w:tcPr>
          <w:p w:rsidR="007F6DF9" w:rsidRDefault="007F6DF9">
            <w:pPr>
              <w:rPr>
                <w:sz w:val="2"/>
                <w:szCs w:val="2"/>
              </w:rPr>
            </w:pPr>
          </w:p>
        </w:tc>
      </w:tr>
      <w:tr w:rsidR="007F6DF9">
        <w:trPr>
          <w:trHeight w:val="561"/>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54" w:lineRule="auto"/>
              <w:ind w:left="36"/>
              <w:rPr>
                <w:sz w:val="18"/>
              </w:rPr>
            </w:pPr>
            <w:r>
              <w:rPr>
                <w:sz w:val="18"/>
              </w:rPr>
              <w:t>The</w:t>
            </w:r>
            <w:r>
              <w:rPr>
                <w:spacing w:val="19"/>
                <w:sz w:val="18"/>
              </w:rPr>
              <w:t xml:space="preserve"> </w:t>
            </w:r>
            <w:r>
              <w:rPr>
                <w:sz w:val="18"/>
              </w:rPr>
              <w:t>Contractor</w:t>
            </w:r>
            <w:r>
              <w:rPr>
                <w:spacing w:val="18"/>
                <w:sz w:val="18"/>
              </w:rPr>
              <w:t xml:space="preserve"> </w:t>
            </w:r>
            <w:r>
              <w:rPr>
                <w:sz w:val="18"/>
              </w:rPr>
              <w:t>shall</w:t>
            </w:r>
            <w:r>
              <w:rPr>
                <w:spacing w:val="16"/>
                <w:sz w:val="18"/>
              </w:rPr>
              <w:t xml:space="preserve"> </w:t>
            </w:r>
            <w:r>
              <w:rPr>
                <w:sz w:val="18"/>
              </w:rPr>
              <w:t>allow</w:t>
            </w:r>
            <w:r>
              <w:rPr>
                <w:spacing w:val="19"/>
                <w:sz w:val="18"/>
              </w:rPr>
              <w:t xml:space="preserve"> </w:t>
            </w:r>
            <w:r>
              <w:rPr>
                <w:sz w:val="18"/>
              </w:rPr>
              <w:t>in</w:t>
            </w:r>
            <w:r>
              <w:rPr>
                <w:spacing w:val="17"/>
                <w:sz w:val="18"/>
              </w:rPr>
              <w:t xml:space="preserve"> </w:t>
            </w:r>
            <w:r>
              <w:rPr>
                <w:sz w:val="18"/>
              </w:rPr>
              <w:t>his</w:t>
            </w:r>
            <w:r>
              <w:rPr>
                <w:spacing w:val="20"/>
                <w:sz w:val="18"/>
              </w:rPr>
              <w:t xml:space="preserve"> </w:t>
            </w:r>
            <w:r>
              <w:rPr>
                <w:sz w:val="18"/>
              </w:rPr>
              <w:t>rates</w:t>
            </w:r>
            <w:r>
              <w:rPr>
                <w:spacing w:val="18"/>
                <w:sz w:val="18"/>
              </w:rPr>
              <w:t xml:space="preserve"> </w:t>
            </w:r>
            <w:r>
              <w:rPr>
                <w:sz w:val="18"/>
              </w:rPr>
              <w:t>for</w:t>
            </w:r>
            <w:r>
              <w:rPr>
                <w:spacing w:val="18"/>
                <w:sz w:val="18"/>
              </w:rPr>
              <w:t xml:space="preserve"> </w:t>
            </w:r>
            <w:r>
              <w:rPr>
                <w:sz w:val="18"/>
              </w:rPr>
              <w:t>any</w:t>
            </w:r>
            <w:r>
              <w:rPr>
                <w:spacing w:val="17"/>
                <w:sz w:val="18"/>
              </w:rPr>
              <w:t xml:space="preserve"> </w:t>
            </w:r>
            <w:r>
              <w:rPr>
                <w:sz w:val="18"/>
              </w:rPr>
              <w:t>costs</w:t>
            </w:r>
            <w:r>
              <w:rPr>
                <w:spacing w:val="20"/>
                <w:sz w:val="18"/>
              </w:rPr>
              <w:t xml:space="preserve"> </w:t>
            </w:r>
            <w:r>
              <w:rPr>
                <w:sz w:val="18"/>
              </w:rPr>
              <w:t>he/</w:t>
            </w:r>
            <w:r>
              <w:rPr>
                <w:spacing w:val="18"/>
                <w:sz w:val="18"/>
              </w:rPr>
              <w:t xml:space="preserve"> </w:t>
            </w:r>
            <w:r>
              <w:rPr>
                <w:sz w:val="18"/>
              </w:rPr>
              <w:t>she</w:t>
            </w:r>
            <w:r>
              <w:rPr>
                <w:spacing w:val="19"/>
                <w:sz w:val="18"/>
              </w:rPr>
              <w:t xml:space="preserve"> </w:t>
            </w:r>
            <w:r>
              <w:rPr>
                <w:sz w:val="18"/>
              </w:rPr>
              <w:t>deems</w:t>
            </w:r>
            <w:r>
              <w:rPr>
                <w:spacing w:val="18"/>
                <w:sz w:val="18"/>
              </w:rPr>
              <w:t xml:space="preserve"> </w:t>
            </w:r>
            <w:r>
              <w:rPr>
                <w:sz w:val="18"/>
              </w:rPr>
              <w:t>that</w:t>
            </w:r>
            <w:r>
              <w:rPr>
                <w:spacing w:val="19"/>
                <w:sz w:val="18"/>
              </w:rPr>
              <w:t xml:space="preserve"> </w:t>
            </w:r>
            <w:r>
              <w:rPr>
                <w:sz w:val="18"/>
              </w:rPr>
              <w:t>he/she</w:t>
            </w:r>
            <w:r>
              <w:rPr>
                <w:spacing w:val="17"/>
                <w:sz w:val="18"/>
              </w:rPr>
              <w:t xml:space="preserve"> </w:t>
            </w:r>
            <w:r>
              <w:rPr>
                <w:sz w:val="18"/>
              </w:rPr>
              <w:t>may</w:t>
            </w:r>
            <w:r>
              <w:rPr>
                <w:spacing w:val="18"/>
                <w:sz w:val="18"/>
              </w:rPr>
              <w:t xml:space="preserve"> </w:t>
            </w:r>
            <w:r>
              <w:rPr>
                <w:sz w:val="18"/>
              </w:rPr>
              <w:t>incur</w:t>
            </w:r>
            <w:r>
              <w:rPr>
                <w:spacing w:val="18"/>
                <w:sz w:val="18"/>
              </w:rPr>
              <w:t xml:space="preserve"> </w:t>
            </w:r>
            <w:r>
              <w:rPr>
                <w:sz w:val="18"/>
              </w:rPr>
              <w:t>by having to complete these works within the stipulated contract period.</w:t>
            </w:r>
          </w:p>
        </w:tc>
        <w:tc>
          <w:tcPr>
            <w:tcW w:w="1534" w:type="dxa"/>
            <w:vMerge/>
            <w:tcBorders>
              <w:top w:val="nil"/>
            </w:tcBorders>
          </w:tcPr>
          <w:p w:rsidR="007F6DF9" w:rsidRDefault="007F6DF9">
            <w:pPr>
              <w:rPr>
                <w:sz w:val="2"/>
                <w:szCs w:val="2"/>
              </w:rPr>
            </w:pPr>
          </w:p>
        </w:tc>
      </w:tr>
      <w:tr w:rsidR="007F6DF9">
        <w:trPr>
          <w:trHeight w:val="330"/>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before="108" w:line="202" w:lineRule="exact"/>
              <w:ind w:left="38"/>
              <w:rPr>
                <w:sz w:val="18"/>
              </w:rPr>
            </w:pPr>
            <w:r>
              <w:rPr>
                <w:sz w:val="18"/>
              </w:rPr>
              <w:t>LOCATION</w:t>
            </w:r>
            <w:r>
              <w:rPr>
                <w:spacing w:val="55"/>
                <w:sz w:val="18"/>
              </w:rPr>
              <w:t xml:space="preserve"> </w:t>
            </w:r>
            <w:r>
              <w:rPr>
                <w:sz w:val="18"/>
              </w:rPr>
              <w:t>OF</w:t>
            </w:r>
            <w:r>
              <w:rPr>
                <w:spacing w:val="55"/>
                <w:sz w:val="18"/>
              </w:rPr>
              <w:t xml:space="preserve"> </w:t>
            </w:r>
            <w:r>
              <w:rPr>
                <w:spacing w:val="-4"/>
                <w:sz w:val="18"/>
              </w:rPr>
              <w:t>SITE</w:t>
            </w:r>
          </w:p>
        </w:tc>
        <w:tc>
          <w:tcPr>
            <w:tcW w:w="1534" w:type="dxa"/>
            <w:vMerge/>
            <w:tcBorders>
              <w:top w:val="nil"/>
            </w:tcBorders>
          </w:tcPr>
          <w:p w:rsidR="007F6DF9" w:rsidRDefault="007F6DF9">
            <w:pPr>
              <w:rPr>
                <w:sz w:val="2"/>
                <w:szCs w:val="2"/>
              </w:rPr>
            </w:pPr>
          </w:p>
        </w:tc>
      </w:tr>
      <w:tr w:rsidR="007F6DF9">
        <w:trPr>
          <w:trHeight w:val="330"/>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10" w:lineRule="exact"/>
              <w:ind w:left="36"/>
              <w:rPr>
                <w:sz w:val="18"/>
              </w:rPr>
            </w:pPr>
            <w:r>
              <w:rPr>
                <w:sz w:val="18"/>
              </w:rPr>
              <w:t>The</w:t>
            </w:r>
            <w:r>
              <w:rPr>
                <w:spacing w:val="-8"/>
                <w:sz w:val="18"/>
              </w:rPr>
              <w:t xml:space="preserve"> </w:t>
            </w:r>
            <w:r>
              <w:rPr>
                <w:sz w:val="18"/>
              </w:rPr>
              <w:t>site</w:t>
            </w:r>
            <w:r>
              <w:rPr>
                <w:spacing w:val="-8"/>
                <w:sz w:val="18"/>
              </w:rPr>
              <w:t xml:space="preserve"> </w:t>
            </w:r>
            <w:r>
              <w:rPr>
                <w:sz w:val="18"/>
              </w:rPr>
              <w:t>of</w:t>
            </w:r>
            <w:r>
              <w:rPr>
                <w:spacing w:val="-8"/>
                <w:sz w:val="18"/>
              </w:rPr>
              <w:t xml:space="preserve"> </w:t>
            </w:r>
            <w:r>
              <w:rPr>
                <w:sz w:val="18"/>
              </w:rPr>
              <w:t>the</w:t>
            </w:r>
            <w:r>
              <w:rPr>
                <w:spacing w:val="-8"/>
                <w:sz w:val="18"/>
              </w:rPr>
              <w:t xml:space="preserve"> </w:t>
            </w:r>
            <w:r>
              <w:rPr>
                <w:sz w:val="18"/>
              </w:rPr>
              <w:t>proposed</w:t>
            </w:r>
            <w:r>
              <w:rPr>
                <w:spacing w:val="-7"/>
                <w:sz w:val="18"/>
              </w:rPr>
              <w:t xml:space="preserve"> </w:t>
            </w:r>
            <w:r>
              <w:rPr>
                <w:sz w:val="18"/>
              </w:rPr>
              <w:t>works</w:t>
            </w:r>
            <w:r>
              <w:rPr>
                <w:spacing w:val="-7"/>
                <w:sz w:val="18"/>
              </w:rPr>
              <w:t xml:space="preserve"> </w:t>
            </w:r>
            <w:r>
              <w:rPr>
                <w:sz w:val="18"/>
              </w:rPr>
              <w:t>is</w:t>
            </w:r>
            <w:r>
              <w:rPr>
                <w:spacing w:val="-7"/>
                <w:sz w:val="18"/>
              </w:rPr>
              <w:t xml:space="preserve"> </w:t>
            </w:r>
            <w:r>
              <w:rPr>
                <w:sz w:val="18"/>
              </w:rPr>
              <w:t>located</w:t>
            </w:r>
            <w:r>
              <w:rPr>
                <w:spacing w:val="44"/>
                <w:sz w:val="18"/>
              </w:rPr>
              <w:t xml:space="preserve"> </w:t>
            </w:r>
            <w:r>
              <w:rPr>
                <w:sz w:val="18"/>
              </w:rPr>
              <w:t>in</w:t>
            </w:r>
            <w:r>
              <w:rPr>
                <w:spacing w:val="-4"/>
                <w:sz w:val="18"/>
              </w:rPr>
              <w:t xml:space="preserve"> </w:t>
            </w:r>
            <w:r>
              <w:rPr>
                <w:spacing w:val="-2"/>
                <w:sz w:val="18"/>
              </w:rPr>
              <w:t>JOOTRH</w:t>
            </w:r>
          </w:p>
        </w:tc>
        <w:tc>
          <w:tcPr>
            <w:tcW w:w="1534" w:type="dxa"/>
            <w:vMerge/>
            <w:tcBorders>
              <w:top w:val="nil"/>
            </w:tcBorders>
          </w:tcPr>
          <w:p w:rsidR="007F6DF9" w:rsidRDefault="007F6DF9">
            <w:pPr>
              <w:rPr>
                <w:sz w:val="2"/>
                <w:szCs w:val="2"/>
              </w:rPr>
            </w:pPr>
          </w:p>
        </w:tc>
      </w:tr>
      <w:tr w:rsidR="007F6DF9">
        <w:trPr>
          <w:trHeight w:val="6550"/>
        </w:trPr>
        <w:tc>
          <w:tcPr>
            <w:tcW w:w="708" w:type="dxa"/>
            <w:vMerge/>
            <w:tcBorders>
              <w:top w:val="nil"/>
            </w:tcBorders>
          </w:tcPr>
          <w:p w:rsidR="007F6DF9" w:rsidRDefault="007F6DF9">
            <w:pPr>
              <w:rPr>
                <w:sz w:val="2"/>
                <w:szCs w:val="2"/>
              </w:rPr>
            </w:pPr>
          </w:p>
        </w:tc>
        <w:tc>
          <w:tcPr>
            <w:tcW w:w="7768" w:type="dxa"/>
            <w:tcBorders>
              <w:top w:val="nil"/>
            </w:tcBorders>
          </w:tcPr>
          <w:p w:rsidR="007F6DF9" w:rsidRDefault="00A43FBC">
            <w:pPr>
              <w:pStyle w:val="TableParagraph"/>
              <w:spacing w:before="108"/>
              <w:ind w:left="36"/>
              <w:rPr>
                <w:sz w:val="18"/>
              </w:rPr>
            </w:pPr>
            <w:r>
              <w:rPr>
                <w:spacing w:val="-2"/>
                <w:sz w:val="18"/>
              </w:rPr>
              <w:t>The</w:t>
            </w:r>
            <w:r>
              <w:rPr>
                <w:spacing w:val="-9"/>
                <w:sz w:val="18"/>
              </w:rPr>
              <w:t xml:space="preserve"> </w:t>
            </w:r>
            <w:r>
              <w:rPr>
                <w:spacing w:val="-2"/>
                <w:sz w:val="18"/>
              </w:rPr>
              <w:t>contractor</w:t>
            </w:r>
            <w:r>
              <w:rPr>
                <w:spacing w:val="-8"/>
                <w:sz w:val="18"/>
              </w:rPr>
              <w:t xml:space="preserve"> </w:t>
            </w:r>
            <w:r>
              <w:rPr>
                <w:spacing w:val="-2"/>
                <w:sz w:val="18"/>
              </w:rPr>
              <w:t>shall</w:t>
            </w:r>
            <w:r>
              <w:rPr>
                <w:spacing w:val="-9"/>
                <w:sz w:val="18"/>
              </w:rPr>
              <w:t xml:space="preserve"> </w:t>
            </w:r>
            <w:r>
              <w:rPr>
                <w:spacing w:val="-2"/>
                <w:sz w:val="18"/>
              </w:rPr>
              <w:t>be</w:t>
            </w:r>
            <w:r>
              <w:rPr>
                <w:spacing w:val="-7"/>
                <w:sz w:val="18"/>
              </w:rPr>
              <w:t xml:space="preserve"> </w:t>
            </w:r>
            <w:r>
              <w:rPr>
                <w:spacing w:val="-2"/>
                <w:sz w:val="18"/>
              </w:rPr>
              <w:t>deemed</w:t>
            </w:r>
            <w:r>
              <w:rPr>
                <w:spacing w:val="-9"/>
                <w:sz w:val="18"/>
              </w:rPr>
              <w:t xml:space="preserve"> </w:t>
            </w:r>
            <w:r>
              <w:rPr>
                <w:spacing w:val="-2"/>
                <w:sz w:val="18"/>
              </w:rPr>
              <w:t>to</w:t>
            </w:r>
            <w:r>
              <w:rPr>
                <w:spacing w:val="-8"/>
                <w:sz w:val="18"/>
              </w:rPr>
              <w:t xml:space="preserve"> </w:t>
            </w:r>
            <w:r>
              <w:rPr>
                <w:spacing w:val="-2"/>
                <w:sz w:val="18"/>
              </w:rPr>
              <w:t>have</w:t>
            </w:r>
            <w:r>
              <w:rPr>
                <w:spacing w:val="-9"/>
                <w:sz w:val="18"/>
              </w:rPr>
              <w:t xml:space="preserve"> </w:t>
            </w:r>
            <w:r>
              <w:rPr>
                <w:spacing w:val="-2"/>
                <w:sz w:val="18"/>
              </w:rPr>
              <w:t>visited</w:t>
            </w:r>
            <w:r>
              <w:rPr>
                <w:spacing w:val="-8"/>
                <w:sz w:val="18"/>
              </w:rPr>
              <w:t xml:space="preserve"> </w:t>
            </w:r>
            <w:r>
              <w:rPr>
                <w:spacing w:val="-2"/>
                <w:sz w:val="18"/>
              </w:rPr>
              <w:t>the</w:t>
            </w:r>
            <w:r>
              <w:rPr>
                <w:spacing w:val="-8"/>
                <w:sz w:val="18"/>
              </w:rPr>
              <w:t xml:space="preserve"> </w:t>
            </w:r>
            <w:r>
              <w:rPr>
                <w:spacing w:val="-2"/>
                <w:sz w:val="18"/>
              </w:rPr>
              <w:t>site</w:t>
            </w:r>
            <w:r>
              <w:rPr>
                <w:spacing w:val="-7"/>
                <w:sz w:val="18"/>
              </w:rPr>
              <w:t xml:space="preserve"> </w:t>
            </w:r>
            <w:r>
              <w:rPr>
                <w:spacing w:val="-2"/>
                <w:sz w:val="18"/>
              </w:rPr>
              <w:t>and</w:t>
            </w:r>
            <w:r>
              <w:rPr>
                <w:spacing w:val="-9"/>
                <w:sz w:val="18"/>
              </w:rPr>
              <w:t xml:space="preserve"> </w:t>
            </w:r>
            <w:r>
              <w:rPr>
                <w:spacing w:val="-2"/>
                <w:sz w:val="18"/>
              </w:rPr>
              <w:t>satisfied</w:t>
            </w:r>
            <w:r>
              <w:rPr>
                <w:spacing w:val="-9"/>
                <w:sz w:val="18"/>
              </w:rPr>
              <w:t xml:space="preserve"> </w:t>
            </w:r>
            <w:r>
              <w:rPr>
                <w:spacing w:val="-2"/>
                <w:sz w:val="18"/>
              </w:rPr>
              <w:t>himself</w:t>
            </w:r>
            <w:r>
              <w:rPr>
                <w:spacing w:val="-8"/>
                <w:sz w:val="18"/>
              </w:rPr>
              <w:t xml:space="preserve"> </w:t>
            </w:r>
            <w:r>
              <w:rPr>
                <w:spacing w:val="-2"/>
                <w:sz w:val="18"/>
              </w:rPr>
              <w:t>as</w:t>
            </w:r>
            <w:r>
              <w:rPr>
                <w:spacing w:val="-8"/>
                <w:sz w:val="18"/>
              </w:rPr>
              <w:t xml:space="preserve"> </w:t>
            </w:r>
            <w:r>
              <w:rPr>
                <w:spacing w:val="-2"/>
                <w:sz w:val="18"/>
              </w:rPr>
              <w:t>follows;</w:t>
            </w:r>
          </w:p>
          <w:p w:rsidR="007F6DF9" w:rsidRDefault="007F6DF9">
            <w:pPr>
              <w:pStyle w:val="TableParagraph"/>
              <w:spacing w:before="4"/>
              <w:rPr>
                <w:rFonts w:ascii="Segoe UI"/>
                <w:sz w:val="18"/>
              </w:rPr>
            </w:pPr>
          </w:p>
          <w:p w:rsidR="007F6DF9" w:rsidRDefault="00A43FBC">
            <w:pPr>
              <w:pStyle w:val="TableParagraph"/>
              <w:numPr>
                <w:ilvl w:val="0"/>
                <w:numId w:val="5"/>
              </w:numPr>
              <w:tabs>
                <w:tab w:val="left" w:pos="246"/>
              </w:tabs>
              <w:ind w:left="246" w:hanging="208"/>
              <w:rPr>
                <w:sz w:val="18"/>
              </w:rPr>
            </w:pPr>
            <w:r>
              <w:rPr>
                <w:spacing w:val="-2"/>
                <w:sz w:val="18"/>
              </w:rPr>
              <w:t>The</w:t>
            </w:r>
            <w:r>
              <w:rPr>
                <w:spacing w:val="-5"/>
                <w:sz w:val="18"/>
              </w:rPr>
              <w:t xml:space="preserve"> </w:t>
            </w:r>
            <w:r>
              <w:rPr>
                <w:spacing w:val="-2"/>
                <w:sz w:val="18"/>
              </w:rPr>
              <w:t>nature,</w:t>
            </w:r>
            <w:r>
              <w:rPr>
                <w:spacing w:val="-5"/>
                <w:sz w:val="18"/>
              </w:rPr>
              <w:t xml:space="preserve"> </w:t>
            </w:r>
            <w:r>
              <w:rPr>
                <w:spacing w:val="-2"/>
                <w:sz w:val="18"/>
              </w:rPr>
              <w:t>position,</w:t>
            </w:r>
            <w:r>
              <w:rPr>
                <w:spacing w:val="-5"/>
                <w:sz w:val="18"/>
              </w:rPr>
              <w:t xml:space="preserve"> </w:t>
            </w:r>
            <w:r>
              <w:rPr>
                <w:spacing w:val="-2"/>
                <w:sz w:val="18"/>
              </w:rPr>
              <w:t>topography</w:t>
            </w:r>
            <w:r>
              <w:rPr>
                <w:spacing w:val="-5"/>
                <w:sz w:val="18"/>
              </w:rPr>
              <w:t xml:space="preserve"> </w:t>
            </w:r>
            <w:r>
              <w:rPr>
                <w:spacing w:val="-2"/>
                <w:sz w:val="18"/>
              </w:rPr>
              <w:t>and</w:t>
            </w:r>
            <w:r>
              <w:rPr>
                <w:spacing w:val="-5"/>
                <w:sz w:val="18"/>
              </w:rPr>
              <w:t xml:space="preserve"> </w:t>
            </w:r>
            <w:r>
              <w:rPr>
                <w:spacing w:val="-2"/>
                <w:sz w:val="18"/>
              </w:rPr>
              <w:t>access</w:t>
            </w:r>
            <w:r>
              <w:rPr>
                <w:spacing w:val="-3"/>
                <w:sz w:val="18"/>
              </w:rPr>
              <w:t xml:space="preserve"> </w:t>
            </w:r>
            <w:r>
              <w:rPr>
                <w:spacing w:val="-2"/>
                <w:sz w:val="18"/>
              </w:rPr>
              <w:t>of</w:t>
            </w:r>
            <w:r>
              <w:rPr>
                <w:spacing w:val="-6"/>
                <w:sz w:val="18"/>
              </w:rPr>
              <w:t xml:space="preserve"> </w:t>
            </w:r>
            <w:r>
              <w:rPr>
                <w:spacing w:val="-2"/>
                <w:sz w:val="18"/>
              </w:rPr>
              <w:t>the</w:t>
            </w:r>
            <w:r>
              <w:rPr>
                <w:spacing w:val="-4"/>
                <w:sz w:val="18"/>
              </w:rPr>
              <w:t xml:space="preserve"> site</w:t>
            </w:r>
          </w:p>
          <w:p w:rsidR="007F6DF9" w:rsidRDefault="00A43FBC">
            <w:pPr>
              <w:pStyle w:val="TableParagraph"/>
              <w:numPr>
                <w:ilvl w:val="0"/>
                <w:numId w:val="5"/>
              </w:numPr>
              <w:tabs>
                <w:tab w:val="left" w:pos="258"/>
              </w:tabs>
              <w:spacing w:before="13"/>
              <w:ind w:left="258" w:hanging="220"/>
              <w:rPr>
                <w:sz w:val="18"/>
              </w:rPr>
            </w:pPr>
            <w:r>
              <w:rPr>
                <w:sz w:val="18"/>
              </w:rPr>
              <w:t>The</w:t>
            </w:r>
            <w:r>
              <w:rPr>
                <w:spacing w:val="-10"/>
                <w:sz w:val="18"/>
              </w:rPr>
              <w:t xml:space="preserve"> </w:t>
            </w:r>
            <w:r>
              <w:rPr>
                <w:sz w:val="18"/>
              </w:rPr>
              <w:t>amount</w:t>
            </w:r>
            <w:r>
              <w:rPr>
                <w:spacing w:val="-9"/>
                <w:sz w:val="18"/>
              </w:rPr>
              <w:t xml:space="preserve"> </w:t>
            </w:r>
            <w:r>
              <w:rPr>
                <w:sz w:val="18"/>
              </w:rPr>
              <w:t>of</w:t>
            </w:r>
            <w:r>
              <w:rPr>
                <w:spacing w:val="-11"/>
                <w:sz w:val="18"/>
              </w:rPr>
              <w:t xml:space="preserve"> </w:t>
            </w:r>
            <w:r>
              <w:rPr>
                <w:sz w:val="18"/>
              </w:rPr>
              <w:t>the</w:t>
            </w:r>
            <w:r>
              <w:rPr>
                <w:spacing w:val="-9"/>
                <w:sz w:val="18"/>
              </w:rPr>
              <w:t xml:space="preserve"> </w:t>
            </w:r>
            <w:r>
              <w:rPr>
                <w:sz w:val="18"/>
              </w:rPr>
              <w:t>rubbish</w:t>
            </w:r>
            <w:r>
              <w:rPr>
                <w:spacing w:val="-11"/>
                <w:sz w:val="18"/>
              </w:rPr>
              <w:t xml:space="preserve"> </w:t>
            </w:r>
            <w:r>
              <w:rPr>
                <w:sz w:val="18"/>
              </w:rPr>
              <w:t>or</w:t>
            </w:r>
            <w:r>
              <w:rPr>
                <w:spacing w:val="-9"/>
                <w:sz w:val="18"/>
              </w:rPr>
              <w:t xml:space="preserve"> </w:t>
            </w:r>
            <w:r>
              <w:rPr>
                <w:sz w:val="18"/>
              </w:rPr>
              <w:t>debris</w:t>
            </w:r>
            <w:r>
              <w:rPr>
                <w:spacing w:val="-9"/>
                <w:sz w:val="18"/>
              </w:rPr>
              <w:t xml:space="preserve"> </w:t>
            </w:r>
            <w:r>
              <w:rPr>
                <w:sz w:val="18"/>
              </w:rPr>
              <w:t>to</w:t>
            </w:r>
            <w:r>
              <w:rPr>
                <w:spacing w:val="-9"/>
                <w:sz w:val="18"/>
              </w:rPr>
              <w:t xml:space="preserve"> </w:t>
            </w:r>
            <w:r>
              <w:rPr>
                <w:sz w:val="18"/>
              </w:rPr>
              <w:t>be</w:t>
            </w:r>
            <w:r>
              <w:rPr>
                <w:spacing w:val="-8"/>
                <w:sz w:val="18"/>
              </w:rPr>
              <w:t xml:space="preserve"> </w:t>
            </w:r>
            <w:r>
              <w:rPr>
                <w:sz w:val="18"/>
              </w:rPr>
              <w:t>cleared</w:t>
            </w:r>
            <w:r>
              <w:rPr>
                <w:spacing w:val="-10"/>
                <w:sz w:val="18"/>
              </w:rPr>
              <w:t xml:space="preserve"> </w:t>
            </w:r>
            <w:r>
              <w:rPr>
                <w:sz w:val="18"/>
              </w:rPr>
              <w:t>away</w:t>
            </w:r>
            <w:r>
              <w:rPr>
                <w:spacing w:val="-9"/>
                <w:sz w:val="18"/>
              </w:rPr>
              <w:t xml:space="preserve"> </w:t>
            </w:r>
            <w:r>
              <w:rPr>
                <w:sz w:val="18"/>
              </w:rPr>
              <w:t>before</w:t>
            </w:r>
            <w:r>
              <w:rPr>
                <w:spacing w:val="-10"/>
                <w:sz w:val="18"/>
              </w:rPr>
              <w:t xml:space="preserve"> </w:t>
            </w:r>
            <w:r>
              <w:rPr>
                <w:spacing w:val="-2"/>
                <w:sz w:val="18"/>
              </w:rPr>
              <w:t>commencement</w:t>
            </w:r>
          </w:p>
          <w:p w:rsidR="007F6DF9" w:rsidRDefault="00A43FBC">
            <w:pPr>
              <w:pStyle w:val="TableParagraph"/>
              <w:numPr>
                <w:ilvl w:val="0"/>
                <w:numId w:val="5"/>
              </w:numPr>
              <w:tabs>
                <w:tab w:val="left" w:pos="233"/>
              </w:tabs>
              <w:spacing w:before="13"/>
              <w:ind w:left="233" w:hanging="195"/>
              <w:rPr>
                <w:sz w:val="18"/>
              </w:rPr>
            </w:pPr>
            <w:r>
              <w:rPr>
                <w:sz w:val="18"/>
              </w:rPr>
              <w:t>The</w:t>
            </w:r>
            <w:r>
              <w:rPr>
                <w:spacing w:val="-12"/>
                <w:sz w:val="18"/>
              </w:rPr>
              <w:t xml:space="preserve"> </w:t>
            </w:r>
            <w:r>
              <w:rPr>
                <w:sz w:val="18"/>
              </w:rPr>
              <w:t>nature,</w:t>
            </w:r>
            <w:r>
              <w:rPr>
                <w:spacing w:val="-13"/>
                <w:sz w:val="18"/>
              </w:rPr>
              <w:t xml:space="preserve"> </w:t>
            </w:r>
            <w:r>
              <w:rPr>
                <w:sz w:val="18"/>
              </w:rPr>
              <w:t>current</w:t>
            </w:r>
            <w:r>
              <w:rPr>
                <w:spacing w:val="-11"/>
                <w:sz w:val="18"/>
              </w:rPr>
              <w:t xml:space="preserve"> </w:t>
            </w:r>
            <w:r>
              <w:rPr>
                <w:sz w:val="18"/>
              </w:rPr>
              <w:t>usage,</w:t>
            </w:r>
            <w:r>
              <w:rPr>
                <w:spacing w:val="-12"/>
                <w:sz w:val="18"/>
              </w:rPr>
              <w:t xml:space="preserve"> </w:t>
            </w:r>
            <w:r>
              <w:rPr>
                <w:sz w:val="18"/>
              </w:rPr>
              <w:t>proximity</w:t>
            </w:r>
            <w:r>
              <w:rPr>
                <w:spacing w:val="-12"/>
                <w:sz w:val="18"/>
              </w:rPr>
              <w:t xml:space="preserve"> </w:t>
            </w:r>
            <w:r>
              <w:rPr>
                <w:sz w:val="18"/>
              </w:rPr>
              <w:t>and</w:t>
            </w:r>
            <w:r>
              <w:rPr>
                <w:spacing w:val="-12"/>
                <w:sz w:val="18"/>
              </w:rPr>
              <w:t xml:space="preserve"> </w:t>
            </w:r>
            <w:r>
              <w:rPr>
                <w:sz w:val="18"/>
              </w:rPr>
              <w:t>size</w:t>
            </w:r>
            <w:r>
              <w:rPr>
                <w:spacing w:val="-12"/>
                <w:sz w:val="18"/>
              </w:rPr>
              <w:t xml:space="preserve"> </w:t>
            </w:r>
            <w:r>
              <w:rPr>
                <w:sz w:val="18"/>
              </w:rPr>
              <w:t>of</w:t>
            </w:r>
            <w:r>
              <w:rPr>
                <w:spacing w:val="-12"/>
                <w:sz w:val="18"/>
              </w:rPr>
              <w:t xml:space="preserve"> </w:t>
            </w:r>
            <w:r>
              <w:rPr>
                <w:sz w:val="18"/>
              </w:rPr>
              <w:t>adjoining</w:t>
            </w:r>
            <w:r>
              <w:rPr>
                <w:spacing w:val="-11"/>
                <w:sz w:val="18"/>
              </w:rPr>
              <w:t xml:space="preserve"> </w:t>
            </w:r>
            <w:r>
              <w:rPr>
                <w:sz w:val="18"/>
              </w:rPr>
              <w:t>property</w:t>
            </w:r>
            <w:r>
              <w:rPr>
                <w:spacing w:val="-12"/>
                <w:sz w:val="18"/>
              </w:rPr>
              <w:t xml:space="preserve"> </w:t>
            </w:r>
            <w:r>
              <w:rPr>
                <w:sz w:val="18"/>
              </w:rPr>
              <w:t>and</w:t>
            </w:r>
            <w:r>
              <w:rPr>
                <w:spacing w:val="-12"/>
                <w:sz w:val="18"/>
              </w:rPr>
              <w:t xml:space="preserve"> </w:t>
            </w:r>
            <w:r>
              <w:rPr>
                <w:spacing w:val="-2"/>
                <w:sz w:val="18"/>
              </w:rPr>
              <w:t>buildings</w:t>
            </w:r>
          </w:p>
          <w:p w:rsidR="007F6DF9" w:rsidRDefault="00A43FBC">
            <w:pPr>
              <w:pStyle w:val="TableParagraph"/>
              <w:numPr>
                <w:ilvl w:val="0"/>
                <w:numId w:val="5"/>
              </w:numPr>
              <w:tabs>
                <w:tab w:val="left" w:pos="260"/>
              </w:tabs>
              <w:spacing w:before="13" w:line="254" w:lineRule="auto"/>
              <w:ind w:left="38" w:right="182" w:firstLine="0"/>
              <w:rPr>
                <w:sz w:val="18"/>
              </w:rPr>
            </w:pPr>
            <w:r>
              <w:rPr>
                <w:sz w:val="18"/>
              </w:rPr>
              <w:t>The</w:t>
            </w:r>
            <w:r>
              <w:rPr>
                <w:spacing w:val="-6"/>
                <w:sz w:val="18"/>
              </w:rPr>
              <w:t xml:space="preserve"> </w:t>
            </w:r>
            <w:r>
              <w:rPr>
                <w:sz w:val="18"/>
              </w:rPr>
              <w:t>availability</w:t>
            </w:r>
            <w:r>
              <w:rPr>
                <w:spacing w:val="-6"/>
                <w:sz w:val="18"/>
              </w:rPr>
              <w:t xml:space="preserve"> </w:t>
            </w:r>
            <w:r>
              <w:rPr>
                <w:sz w:val="18"/>
              </w:rPr>
              <w:t>of</w:t>
            </w:r>
            <w:r>
              <w:rPr>
                <w:spacing w:val="-7"/>
                <w:sz w:val="18"/>
              </w:rPr>
              <w:t xml:space="preserve"> </w:t>
            </w:r>
            <w:r>
              <w:rPr>
                <w:sz w:val="18"/>
              </w:rPr>
              <w:t>land</w:t>
            </w:r>
            <w:r>
              <w:rPr>
                <w:spacing w:val="-7"/>
                <w:sz w:val="18"/>
              </w:rPr>
              <w:t xml:space="preserve"> </w:t>
            </w:r>
            <w:r>
              <w:rPr>
                <w:sz w:val="18"/>
              </w:rPr>
              <w:t>for</w:t>
            </w:r>
            <w:r>
              <w:rPr>
                <w:spacing w:val="-6"/>
                <w:sz w:val="18"/>
              </w:rPr>
              <w:t xml:space="preserve"> </w:t>
            </w:r>
            <w:r>
              <w:rPr>
                <w:sz w:val="18"/>
              </w:rPr>
              <w:t>the</w:t>
            </w:r>
            <w:r>
              <w:rPr>
                <w:spacing w:val="-6"/>
                <w:sz w:val="18"/>
              </w:rPr>
              <w:t xml:space="preserve"> </w:t>
            </w:r>
            <w:r>
              <w:rPr>
                <w:sz w:val="18"/>
              </w:rPr>
              <w:t>erection</w:t>
            </w:r>
            <w:r>
              <w:rPr>
                <w:spacing w:val="-6"/>
                <w:sz w:val="18"/>
              </w:rPr>
              <w:t xml:space="preserve"> </w:t>
            </w:r>
            <w:r>
              <w:rPr>
                <w:sz w:val="18"/>
              </w:rPr>
              <w:t>and</w:t>
            </w:r>
            <w:r>
              <w:rPr>
                <w:spacing w:val="-7"/>
                <w:sz w:val="18"/>
              </w:rPr>
              <w:t xml:space="preserve"> </w:t>
            </w:r>
            <w:r>
              <w:rPr>
                <w:sz w:val="18"/>
              </w:rPr>
              <w:t>positioning</w:t>
            </w:r>
            <w:r>
              <w:rPr>
                <w:spacing w:val="-5"/>
                <w:sz w:val="18"/>
              </w:rPr>
              <w:t xml:space="preserve"> </w:t>
            </w:r>
            <w:r>
              <w:rPr>
                <w:sz w:val="18"/>
              </w:rPr>
              <w:t>of</w:t>
            </w:r>
            <w:r>
              <w:rPr>
                <w:spacing w:val="-7"/>
                <w:sz w:val="18"/>
              </w:rPr>
              <w:t xml:space="preserve"> </w:t>
            </w:r>
            <w:r>
              <w:rPr>
                <w:sz w:val="18"/>
              </w:rPr>
              <w:t>all</w:t>
            </w:r>
            <w:r>
              <w:rPr>
                <w:spacing w:val="-7"/>
                <w:sz w:val="18"/>
              </w:rPr>
              <w:t xml:space="preserve"> </w:t>
            </w:r>
            <w:r>
              <w:rPr>
                <w:sz w:val="18"/>
              </w:rPr>
              <w:t>temporary</w:t>
            </w:r>
            <w:r>
              <w:rPr>
                <w:spacing w:val="-6"/>
                <w:sz w:val="18"/>
              </w:rPr>
              <w:t xml:space="preserve"> </w:t>
            </w:r>
            <w:r>
              <w:rPr>
                <w:sz w:val="18"/>
              </w:rPr>
              <w:t>structures,</w:t>
            </w:r>
            <w:r>
              <w:rPr>
                <w:spacing w:val="-7"/>
                <w:sz w:val="18"/>
              </w:rPr>
              <w:t xml:space="preserve"> </w:t>
            </w:r>
            <w:r>
              <w:rPr>
                <w:sz w:val="18"/>
              </w:rPr>
              <w:t>plant</w:t>
            </w:r>
            <w:r>
              <w:rPr>
                <w:spacing w:val="-6"/>
                <w:sz w:val="18"/>
              </w:rPr>
              <w:t xml:space="preserve"> </w:t>
            </w:r>
            <w:r>
              <w:rPr>
                <w:sz w:val="18"/>
              </w:rPr>
              <w:t>and materials necessary for the execution of the works.</w:t>
            </w:r>
          </w:p>
          <w:p w:rsidR="007F6DF9" w:rsidRDefault="00A43FBC">
            <w:pPr>
              <w:pStyle w:val="TableParagraph"/>
              <w:spacing w:before="1" w:line="254" w:lineRule="auto"/>
              <w:ind w:left="36" w:right="14"/>
              <w:jc w:val="both"/>
              <w:rPr>
                <w:sz w:val="18"/>
              </w:rPr>
            </w:pPr>
            <w:r>
              <w:rPr>
                <w:sz w:val="18"/>
              </w:rPr>
              <w:t>The</w:t>
            </w:r>
            <w:r>
              <w:rPr>
                <w:spacing w:val="-7"/>
                <w:sz w:val="18"/>
              </w:rPr>
              <w:t xml:space="preserve"> </w:t>
            </w:r>
            <w:r>
              <w:rPr>
                <w:sz w:val="18"/>
              </w:rPr>
              <w:t>Contractor</w:t>
            </w:r>
            <w:r>
              <w:rPr>
                <w:spacing w:val="-7"/>
                <w:sz w:val="18"/>
              </w:rPr>
              <w:t xml:space="preserve"> </w:t>
            </w:r>
            <w:r>
              <w:rPr>
                <w:sz w:val="18"/>
              </w:rPr>
              <w:t>shall</w:t>
            </w:r>
            <w:r>
              <w:rPr>
                <w:spacing w:val="-8"/>
                <w:sz w:val="18"/>
              </w:rPr>
              <w:t xml:space="preserve"> </w:t>
            </w:r>
            <w:r>
              <w:rPr>
                <w:sz w:val="18"/>
              </w:rPr>
              <w:t>obtain</w:t>
            </w:r>
            <w:r>
              <w:rPr>
                <w:spacing w:val="-7"/>
                <w:sz w:val="18"/>
              </w:rPr>
              <w:t xml:space="preserve"> </w:t>
            </w:r>
            <w:r>
              <w:rPr>
                <w:sz w:val="18"/>
              </w:rPr>
              <w:t>approval</w:t>
            </w:r>
            <w:r>
              <w:rPr>
                <w:spacing w:val="-7"/>
                <w:sz w:val="18"/>
              </w:rPr>
              <w:t xml:space="preserve"> </w:t>
            </w:r>
            <w:r>
              <w:rPr>
                <w:sz w:val="18"/>
              </w:rPr>
              <w:t>from</w:t>
            </w:r>
            <w:r>
              <w:rPr>
                <w:spacing w:val="-7"/>
                <w:sz w:val="18"/>
              </w:rPr>
              <w:t xml:space="preserve"> </w:t>
            </w:r>
            <w:r>
              <w:rPr>
                <w:sz w:val="18"/>
              </w:rPr>
              <w:t>the</w:t>
            </w:r>
            <w:r>
              <w:rPr>
                <w:spacing w:val="-7"/>
                <w:sz w:val="18"/>
              </w:rPr>
              <w:t xml:space="preserve"> </w:t>
            </w:r>
            <w:r>
              <w:rPr>
                <w:sz w:val="18"/>
              </w:rPr>
              <w:t>relevant</w:t>
            </w:r>
            <w:r>
              <w:rPr>
                <w:spacing w:val="-8"/>
                <w:sz w:val="18"/>
              </w:rPr>
              <w:t xml:space="preserve"> </w:t>
            </w:r>
            <w:r>
              <w:rPr>
                <w:sz w:val="18"/>
              </w:rPr>
              <w:t>Local</w:t>
            </w:r>
            <w:r>
              <w:rPr>
                <w:spacing w:val="-8"/>
                <w:sz w:val="18"/>
              </w:rPr>
              <w:t xml:space="preserve"> </w:t>
            </w:r>
            <w:r>
              <w:rPr>
                <w:sz w:val="18"/>
              </w:rPr>
              <w:t>Authority</w:t>
            </w:r>
            <w:r>
              <w:rPr>
                <w:spacing w:val="-9"/>
                <w:sz w:val="18"/>
              </w:rPr>
              <w:t xml:space="preserve"> </w:t>
            </w:r>
            <w:r>
              <w:rPr>
                <w:sz w:val="18"/>
              </w:rPr>
              <w:t>in</w:t>
            </w:r>
            <w:r>
              <w:rPr>
                <w:spacing w:val="-8"/>
                <w:sz w:val="18"/>
              </w:rPr>
              <w:t xml:space="preserve"> </w:t>
            </w:r>
            <w:r>
              <w:rPr>
                <w:sz w:val="18"/>
              </w:rPr>
              <w:t>adherence</w:t>
            </w:r>
            <w:r>
              <w:rPr>
                <w:spacing w:val="-9"/>
                <w:sz w:val="18"/>
              </w:rPr>
              <w:t xml:space="preserve"> </w:t>
            </w:r>
            <w:r>
              <w:rPr>
                <w:sz w:val="18"/>
              </w:rPr>
              <w:t>to</w:t>
            </w:r>
            <w:r>
              <w:rPr>
                <w:spacing w:val="-8"/>
                <w:sz w:val="18"/>
              </w:rPr>
              <w:t xml:space="preserve"> </w:t>
            </w:r>
            <w:r>
              <w:rPr>
                <w:sz w:val="18"/>
              </w:rPr>
              <w:t>site</w:t>
            </w:r>
            <w:r>
              <w:rPr>
                <w:spacing w:val="-9"/>
                <w:sz w:val="18"/>
              </w:rPr>
              <w:t xml:space="preserve"> </w:t>
            </w:r>
            <w:r>
              <w:rPr>
                <w:sz w:val="18"/>
              </w:rPr>
              <w:t>access and</w:t>
            </w:r>
            <w:r>
              <w:rPr>
                <w:spacing w:val="-4"/>
                <w:sz w:val="18"/>
              </w:rPr>
              <w:t xml:space="preserve"> </w:t>
            </w:r>
            <w:r>
              <w:rPr>
                <w:sz w:val="18"/>
              </w:rPr>
              <w:t>erection</w:t>
            </w:r>
            <w:r>
              <w:rPr>
                <w:spacing w:val="-2"/>
                <w:sz w:val="18"/>
              </w:rPr>
              <w:t xml:space="preserve"> </w:t>
            </w:r>
            <w:r>
              <w:rPr>
                <w:sz w:val="18"/>
              </w:rPr>
              <w:t>of</w:t>
            </w:r>
            <w:r>
              <w:rPr>
                <w:spacing w:val="-3"/>
                <w:sz w:val="18"/>
              </w:rPr>
              <w:t xml:space="preserve"> </w:t>
            </w:r>
            <w:r>
              <w:rPr>
                <w:sz w:val="18"/>
              </w:rPr>
              <w:t>temporary</w:t>
            </w:r>
            <w:r>
              <w:rPr>
                <w:spacing w:val="-3"/>
                <w:sz w:val="18"/>
              </w:rPr>
              <w:t xml:space="preserve"> </w:t>
            </w:r>
            <w:r>
              <w:rPr>
                <w:sz w:val="18"/>
              </w:rPr>
              <w:t>structures</w:t>
            </w:r>
            <w:r>
              <w:rPr>
                <w:spacing w:val="-1"/>
                <w:sz w:val="18"/>
              </w:rPr>
              <w:t xml:space="preserve"> </w:t>
            </w:r>
            <w:r>
              <w:rPr>
                <w:sz w:val="18"/>
              </w:rPr>
              <w:t>and</w:t>
            </w:r>
            <w:r>
              <w:rPr>
                <w:spacing w:val="-4"/>
                <w:sz w:val="18"/>
              </w:rPr>
              <w:t xml:space="preserve"> </w:t>
            </w:r>
            <w:r>
              <w:rPr>
                <w:sz w:val="18"/>
              </w:rPr>
              <w:t>must</w:t>
            </w:r>
            <w:r>
              <w:rPr>
                <w:spacing w:val="-2"/>
                <w:sz w:val="18"/>
              </w:rPr>
              <w:t xml:space="preserve"> </w:t>
            </w:r>
            <w:r>
              <w:rPr>
                <w:sz w:val="18"/>
              </w:rPr>
              <w:t>ensure</w:t>
            </w:r>
            <w:r>
              <w:rPr>
                <w:spacing w:val="-4"/>
                <w:sz w:val="18"/>
              </w:rPr>
              <w:t xml:space="preserve"> </w:t>
            </w:r>
            <w:r>
              <w:rPr>
                <w:sz w:val="18"/>
              </w:rPr>
              <w:t>all</w:t>
            </w:r>
            <w:r>
              <w:rPr>
                <w:spacing w:val="-4"/>
                <w:sz w:val="18"/>
              </w:rPr>
              <w:t xml:space="preserve"> </w:t>
            </w:r>
            <w:r>
              <w:rPr>
                <w:sz w:val="18"/>
              </w:rPr>
              <w:t>matters</w:t>
            </w:r>
            <w:r>
              <w:rPr>
                <w:spacing w:val="-4"/>
                <w:sz w:val="18"/>
              </w:rPr>
              <w:t xml:space="preserve"> </w:t>
            </w:r>
            <w:r>
              <w:rPr>
                <w:sz w:val="18"/>
              </w:rPr>
              <w:t>relating</w:t>
            </w:r>
            <w:r>
              <w:rPr>
                <w:spacing w:val="-2"/>
                <w:sz w:val="18"/>
              </w:rPr>
              <w:t xml:space="preserve"> </w:t>
            </w:r>
            <w:r>
              <w:rPr>
                <w:sz w:val="18"/>
              </w:rPr>
              <w:t>to</w:t>
            </w:r>
            <w:r>
              <w:rPr>
                <w:spacing w:val="-4"/>
                <w:sz w:val="18"/>
              </w:rPr>
              <w:t xml:space="preserve"> </w:t>
            </w:r>
            <w:r>
              <w:rPr>
                <w:sz w:val="18"/>
              </w:rPr>
              <w:t>the</w:t>
            </w:r>
            <w:r>
              <w:rPr>
                <w:spacing w:val="-2"/>
                <w:sz w:val="18"/>
              </w:rPr>
              <w:t xml:space="preserve"> </w:t>
            </w:r>
            <w:r>
              <w:rPr>
                <w:sz w:val="18"/>
              </w:rPr>
              <w:t>requirements</w:t>
            </w:r>
            <w:r>
              <w:rPr>
                <w:spacing w:val="-4"/>
                <w:sz w:val="18"/>
              </w:rPr>
              <w:t xml:space="preserve"> </w:t>
            </w:r>
            <w:r>
              <w:rPr>
                <w:sz w:val="18"/>
              </w:rPr>
              <w:t>of these authorities.</w:t>
            </w:r>
          </w:p>
          <w:p w:rsidR="007F6DF9" w:rsidRDefault="00A43FBC">
            <w:pPr>
              <w:pStyle w:val="TableParagraph"/>
              <w:spacing w:before="1" w:line="254" w:lineRule="auto"/>
              <w:ind w:left="36" w:right="14"/>
              <w:jc w:val="both"/>
              <w:rPr>
                <w:sz w:val="18"/>
              </w:rPr>
            </w:pPr>
            <w:r>
              <w:rPr>
                <w:sz w:val="18"/>
              </w:rPr>
              <w:t>No claim will be allowed for travelling or other expenses which may be incurred by the Contractor in visiting the site or preparing the tender for the works.</w:t>
            </w:r>
          </w:p>
          <w:p w:rsidR="007F6DF9" w:rsidRDefault="00A43FBC">
            <w:pPr>
              <w:pStyle w:val="TableParagraph"/>
              <w:spacing w:line="254" w:lineRule="auto"/>
              <w:ind w:left="36"/>
              <w:rPr>
                <w:sz w:val="18"/>
              </w:rPr>
            </w:pPr>
            <w:r>
              <w:rPr>
                <w:sz w:val="18"/>
              </w:rPr>
              <w:t>The</w:t>
            </w:r>
            <w:r>
              <w:rPr>
                <w:spacing w:val="-12"/>
                <w:sz w:val="18"/>
              </w:rPr>
              <w:t xml:space="preserve"> </w:t>
            </w:r>
            <w:r>
              <w:rPr>
                <w:sz w:val="18"/>
              </w:rPr>
              <w:t>Contractor</w:t>
            </w:r>
            <w:r>
              <w:rPr>
                <w:spacing w:val="-12"/>
                <w:sz w:val="18"/>
              </w:rPr>
              <w:t xml:space="preserve"> </w:t>
            </w:r>
            <w:r>
              <w:rPr>
                <w:sz w:val="18"/>
              </w:rPr>
              <w:t>is</w:t>
            </w:r>
            <w:r>
              <w:rPr>
                <w:spacing w:val="-11"/>
                <w:sz w:val="18"/>
              </w:rPr>
              <w:t xml:space="preserve"> </w:t>
            </w:r>
            <w:r>
              <w:rPr>
                <w:sz w:val="18"/>
              </w:rPr>
              <w:t>advised</w:t>
            </w:r>
            <w:r>
              <w:rPr>
                <w:spacing w:val="-12"/>
                <w:sz w:val="18"/>
              </w:rPr>
              <w:t xml:space="preserve"> </w:t>
            </w:r>
            <w:r>
              <w:rPr>
                <w:sz w:val="18"/>
              </w:rPr>
              <w:t>that</w:t>
            </w:r>
            <w:r>
              <w:rPr>
                <w:spacing w:val="-12"/>
                <w:sz w:val="18"/>
              </w:rPr>
              <w:t xml:space="preserve"> </w:t>
            </w:r>
            <w:r>
              <w:rPr>
                <w:sz w:val="18"/>
              </w:rPr>
              <w:t>the</w:t>
            </w:r>
            <w:r>
              <w:rPr>
                <w:spacing w:val="-12"/>
                <w:sz w:val="18"/>
              </w:rPr>
              <w:t xml:space="preserve"> </w:t>
            </w:r>
            <w:r>
              <w:rPr>
                <w:sz w:val="18"/>
              </w:rPr>
              <w:t>site</w:t>
            </w:r>
            <w:r>
              <w:rPr>
                <w:spacing w:val="-12"/>
                <w:sz w:val="18"/>
              </w:rPr>
              <w:t xml:space="preserve"> </w:t>
            </w:r>
            <w:r>
              <w:rPr>
                <w:sz w:val="18"/>
              </w:rPr>
              <w:t>is</w:t>
            </w:r>
            <w:r>
              <w:rPr>
                <w:spacing w:val="-11"/>
                <w:sz w:val="18"/>
              </w:rPr>
              <w:t xml:space="preserve"> </w:t>
            </w:r>
            <w:r>
              <w:rPr>
                <w:sz w:val="18"/>
              </w:rPr>
              <w:t>within</w:t>
            </w:r>
            <w:r>
              <w:rPr>
                <w:spacing w:val="-12"/>
                <w:sz w:val="18"/>
              </w:rPr>
              <w:t xml:space="preserve"> </w:t>
            </w:r>
            <w:r>
              <w:rPr>
                <w:sz w:val="18"/>
              </w:rPr>
              <w:t>a</w:t>
            </w:r>
            <w:r>
              <w:rPr>
                <w:spacing w:val="-13"/>
                <w:sz w:val="18"/>
              </w:rPr>
              <w:t xml:space="preserve"> </w:t>
            </w:r>
            <w:r>
              <w:rPr>
                <w:sz w:val="18"/>
              </w:rPr>
              <w:t>compound</w:t>
            </w:r>
            <w:r>
              <w:rPr>
                <w:spacing w:val="-13"/>
                <w:sz w:val="18"/>
              </w:rPr>
              <w:t xml:space="preserve"> </w:t>
            </w:r>
            <w:r>
              <w:rPr>
                <w:sz w:val="18"/>
              </w:rPr>
              <w:t>in</w:t>
            </w:r>
            <w:r>
              <w:rPr>
                <w:spacing w:val="-12"/>
                <w:sz w:val="18"/>
              </w:rPr>
              <w:t xml:space="preserve"> </w:t>
            </w:r>
            <w:r>
              <w:rPr>
                <w:sz w:val="18"/>
              </w:rPr>
              <w:t>use</w:t>
            </w:r>
            <w:r>
              <w:rPr>
                <w:spacing w:val="-11"/>
                <w:sz w:val="18"/>
              </w:rPr>
              <w:t xml:space="preserve"> </w:t>
            </w:r>
            <w:r>
              <w:rPr>
                <w:sz w:val="18"/>
              </w:rPr>
              <w:t>and</w:t>
            </w:r>
            <w:r>
              <w:rPr>
                <w:spacing w:val="-13"/>
                <w:sz w:val="18"/>
              </w:rPr>
              <w:t xml:space="preserve"> </w:t>
            </w:r>
            <w:r>
              <w:rPr>
                <w:sz w:val="18"/>
              </w:rPr>
              <w:t>all</w:t>
            </w:r>
            <w:r>
              <w:rPr>
                <w:spacing w:val="-13"/>
                <w:sz w:val="18"/>
              </w:rPr>
              <w:t xml:space="preserve"> </w:t>
            </w:r>
            <w:r>
              <w:rPr>
                <w:sz w:val="18"/>
              </w:rPr>
              <w:t>measures</w:t>
            </w:r>
            <w:r>
              <w:rPr>
                <w:spacing w:val="-11"/>
                <w:sz w:val="18"/>
              </w:rPr>
              <w:t xml:space="preserve"> </w:t>
            </w:r>
            <w:r>
              <w:rPr>
                <w:sz w:val="18"/>
              </w:rPr>
              <w:t>should</w:t>
            </w:r>
            <w:r>
              <w:rPr>
                <w:spacing w:val="-13"/>
                <w:sz w:val="18"/>
              </w:rPr>
              <w:t xml:space="preserve"> </w:t>
            </w:r>
            <w:r>
              <w:rPr>
                <w:sz w:val="18"/>
              </w:rPr>
              <w:t>be taken to avoid nuisance to the existing users.</w:t>
            </w:r>
          </w:p>
          <w:p w:rsidR="007F6DF9" w:rsidRDefault="00A43FBC">
            <w:pPr>
              <w:pStyle w:val="TableParagraph"/>
              <w:ind w:left="36"/>
              <w:rPr>
                <w:sz w:val="18"/>
              </w:rPr>
            </w:pPr>
            <w:r>
              <w:rPr>
                <w:spacing w:val="-2"/>
                <w:sz w:val="18"/>
              </w:rPr>
              <w:t>All</w:t>
            </w:r>
            <w:r>
              <w:rPr>
                <w:spacing w:val="-6"/>
                <w:sz w:val="18"/>
              </w:rPr>
              <w:t xml:space="preserve"> </w:t>
            </w:r>
            <w:r>
              <w:rPr>
                <w:spacing w:val="-2"/>
                <w:sz w:val="18"/>
              </w:rPr>
              <w:t>occupation</w:t>
            </w:r>
            <w:r>
              <w:rPr>
                <w:spacing w:val="-5"/>
                <w:sz w:val="18"/>
              </w:rPr>
              <w:t xml:space="preserve"> </w:t>
            </w:r>
            <w:r>
              <w:rPr>
                <w:spacing w:val="-2"/>
                <w:sz w:val="18"/>
              </w:rPr>
              <w:t>health</w:t>
            </w:r>
            <w:r>
              <w:rPr>
                <w:spacing w:val="-5"/>
                <w:sz w:val="18"/>
              </w:rPr>
              <w:t xml:space="preserve"> </w:t>
            </w:r>
            <w:r>
              <w:rPr>
                <w:spacing w:val="-2"/>
                <w:sz w:val="18"/>
              </w:rPr>
              <w:t>and</w:t>
            </w:r>
            <w:r>
              <w:rPr>
                <w:spacing w:val="-6"/>
                <w:sz w:val="18"/>
              </w:rPr>
              <w:t xml:space="preserve"> </w:t>
            </w:r>
            <w:r>
              <w:rPr>
                <w:spacing w:val="-2"/>
                <w:sz w:val="18"/>
              </w:rPr>
              <w:t>safety</w:t>
            </w:r>
            <w:r>
              <w:rPr>
                <w:spacing w:val="-5"/>
                <w:sz w:val="18"/>
              </w:rPr>
              <w:t xml:space="preserve"> </w:t>
            </w:r>
            <w:r>
              <w:rPr>
                <w:spacing w:val="-2"/>
                <w:sz w:val="18"/>
              </w:rPr>
              <w:t>requirements</w:t>
            </w:r>
            <w:r>
              <w:rPr>
                <w:spacing w:val="-4"/>
                <w:sz w:val="18"/>
              </w:rPr>
              <w:t xml:space="preserve"> </w:t>
            </w:r>
            <w:r>
              <w:rPr>
                <w:spacing w:val="-2"/>
                <w:sz w:val="18"/>
              </w:rPr>
              <w:t>must</w:t>
            </w:r>
            <w:r>
              <w:rPr>
                <w:spacing w:val="-5"/>
                <w:sz w:val="18"/>
              </w:rPr>
              <w:t xml:space="preserve"> </w:t>
            </w:r>
            <w:r>
              <w:rPr>
                <w:spacing w:val="-2"/>
                <w:sz w:val="18"/>
              </w:rPr>
              <w:t>be</w:t>
            </w:r>
            <w:r>
              <w:rPr>
                <w:spacing w:val="-5"/>
                <w:sz w:val="18"/>
              </w:rPr>
              <w:t xml:space="preserve"> </w:t>
            </w:r>
            <w:r>
              <w:rPr>
                <w:spacing w:val="-2"/>
                <w:sz w:val="18"/>
              </w:rPr>
              <w:t>met</w:t>
            </w:r>
            <w:r>
              <w:rPr>
                <w:spacing w:val="-4"/>
                <w:sz w:val="18"/>
              </w:rPr>
              <w:t xml:space="preserve"> </w:t>
            </w:r>
            <w:r>
              <w:rPr>
                <w:spacing w:val="-2"/>
                <w:sz w:val="18"/>
              </w:rPr>
              <w:t>as</w:t>
            </w:r>
            <w:r>
              <w:rPr>
                <w:spacing w:val="-4"/>
                <w:sz w:val="18"/>
              </w:rPr>
              <w:t xml:space="preserve"> </w:t>
            </w:r>
            <w:r>
              <w:rPr>
                <w:spacing w:val="-2"/>
                <w:sz w:val="18"/>
              </w:rPr>
              <w:t>required</w:t>
            </w:r>
            <w:r>
              <w:rPr>
                <w:spacing w:val="-6"/>
                <w:sz w:val="18"/>
              </w:rPr>
              <w:t xml:space="preserve"> </w:t>
            </w:r>
            <w:r>
              <w:rPr>
                <w:spacing w:val="-2"/>
                <w:sz w:val="18"/>
              </w:rPr>
              <w:t>by</w:t>
            </w:r>
            <w:r>
              <w:rPr>
                <w:spacing w:val="-5"/>
                <w:sz w:val="18"/>
              </w:rPr>
              <w:t xml:space="preserve"> </w:t>
            </w:r>
            <w:r>
              <w:rPr>
                <w:spacing w:val="-4"/>
                <w:sz w:val="18"/>
              </w:rPr>
              <w:t>law.</w:t>
            </w:r>
          </w:p>
          <w:p w:rsidR="007F6DF9" w:rsidRDefault="00A43FBC">
            <w:pPr>
              <w:pStyle w:val="TableParagraph"/>
              <w:spacing w:before="13" w:line="254" w:lineRule="auto"/>
              <w:ind w:left="36"/>
              <w:rPr>
                <w:sz w:val="18"/>
              </w:rPr>
            </w:pPr>
            <w:r>
              <w:rPr>
                <w:spacing w:val="-2"/>
                <w:sz w:val="18"/>
              </w:rPr>
              <w:t>This</w:t>
            </w:r>
            <w:r>
              <w:rPr>
                <w:spacing w:val="-3"/>
                <w:sz w:val="18"/>
              </w:rPr>
              <w:t xml:space="preserve"> </w:t>
            </w:r>
            <w:r>
              <w:rPr>
                <w:spacing w:val="-2"/>
                <w:sz w:val="18"/>
              </w:rPr>
              <w:t>includes</w:t>
            </w:r>
            <w:r>
              <w:rPr>
                <w:spacing w:val="-3"/>
                <w:sz w:val="18"/>
              </w:rPr>
              <w:t xml:space="preserve"> </w:t>
            </w:r>
            <w:r>
              <w:rPr>
                <w:spacing w:val="-2"/>
                <w:sz w:val="18"/>
              </w:rPr>
              <w:t>prevention/</w:t>
            </w:r>
            <w:r>
              <w:rPr>
                <w:spacing w:val="-4"/>
                <w:sz w:val="18"/>
              </w:rPr>
              <w:t xml:space="preserve"> </w:t>
            </w:r>
            <w:r>
              <w:rPr>
                <w:spacing w:val="-2"/>
                <w:sz w:val="18"/>
              </w:rPr>
              <w:t>minimizing</w:t>
            </w:r>
            <w:r>
              <w:rPr>
                <w:spacing w:val="-3"/>
                <w:sz w:val="18"/>
              </w:rPr>
              <w:t xml:space="preserve"> </w:t>
            </w:r>
            <w:r>
              <w:rPr>
                <w:spacing w:val="-2"/>
                <w:sz w:val="18"/>
              </w:rPr>
              <w:t>noise,</w:t>
            </w:r>
            <w:r>
              <w:rPr>
                <w:spacing w:val="-5"/>
                <w:sz w:val="18"/>
              </w:rPr>
              <w:t xml:space="preserve"> </w:t>
            </w:r>
            <w:r>
              <w:rPr>
                <w:spacing w:val="-2"/>
                <w:sz w:val="18"/>
              </w:rPr>
              <w:t>dust,</w:t>
            </w:r>
            <w:r>
              <w:rPr>
                <w:spacing w:val="-4"/>
                <w:sz w:val="18"/>
              </w:rPr>
              <w:t xml:space="preserve"> </w:t>
            </w:r>
            <w:r>
              <w:rPr>
                <w:spacing w:val="-2"/>
                <w:sz w:val="18"/>
              </w:rPr>
              <w:t>fumes,</w:t>
            </w:r>
            <w:r>
              <w:rPr>
                <w:spacing w:val="-5"/>
                <w:sz w:val="18"/>
              </w:rPr>
              <w:t xml:space="preserve"> </w:t>
            </w:r>
            <w:r>
              <w:rPr>
                <w:spacing w:val="-2"/>
                <w:sz w:val="18"/>
              </w:rPr>
              <w:t>providing</w:t>
            </w:r>
            <w:r>
              <w:rPr>
                <w:spacing w:val="-3"/>
                <w:sz w:val="18"/>
              </w:rPr>
              <w:t xml:space="preserve"> </w:t>
            </w:r>
            <w:r>
              <w:rPr>
                <w:spacing w:val="-2"/>
                <w:sz w:val="18"/>
              </w:rPr>
              <w:t>access</w:t>
            </w:r>
            <w:r>
              <w:rPr>
                <w:spacing w:val="-3"/>
                <w:sz w:val="18"/>
              </w:rPr>
              <w:t xml:space="preserve"> </w:t>
            </w:r>
            <w:r>
              <w:rPr>
                <w:spacing w:val="-2"/>
                <w:sz w:val="18"/>
              </w:rPr>
              <w:t>to</w:t>
            </w:r>
            <w:r>
              <w:rPr>
                <w:spacing w:val="-4"/>
                <w:sz w:val="18"/>
              </w:rPr>
              <w:t xml:space="preserve"> </w:t>
            </w:r>
            <w:r>
              <w:rPr>
                <w:spacing w:val="-2"/>
                <w:sz w:val="18"/>
              </w:rPr>
              <w:t>public</w:t>
            </w:r>
            <w:r>
              <w:rPr>
                <w:spacing w:val="-3"/>
                <w:sz w:val="18"/>
              </w:rPr>
              <w:t xml:space="preserve"> </w:t>
            </w:r>
            <w:r>
              <w:rPr>
                <w:spacing w:val="-2"/>
                <w:sz w:val="18"/>
              </w:rPr>
              <w:t>facilities</w:t>
            </w:r>
            <w:r>
              <w:rPr>
                <w:spacing w:val="-3"/>
                <w:sz w:val="18"/>
              </w:rPr>
              <w:t xml:space="preserve"> </w:t>
            </w:r>
            <w:r>
              <w:rPr>
                <w:spacing w:val="-2"/>
                <w:sz w:val="18"/>
              </w:rPr>
              <w:t xml:space="preserve">as </w:t>
            </w:r>
            <w:r>
              <w:rPr>
                <w:sz w:val="18"/>
              </w:rPr>
              <w:t>required (lifts, washrooms, staircases).</w:t>
            </w:r>
          </w:p>
          <w:p w:rsidR="007F6DF9" w:rsidRDefault="00A43FBC">
            <w:pPr>
              <w:pStyle w:val="TableParagraph"/>
              <w:ind w:left="36"/>
              <w:rPr>
                <w:sz w:val="18"/>
              </w:rPr>
            </w:pPr>
            <w:r>
              <w:rPr>
                <w:sz w:val="18"/>
              </w:rPr>
              <w:t>Notices</w:t>
            </w:r>
            <w:r>
              <w:rPr>
                <w:spacing w:val="-1"/>
                <w:sz w:val="18"/>
              </w:rPr>
              <w:t xml:space="preserve"> </w:t>
            </w:r>
            <w:r>
              <w:rPr>
                <w:sz w:val="18"/>
              </w:rPr>
              <w:t>should</w:t>
            </w:r>
            <w:r>
              <w:rPr>
                <w:spacing w:val="-3"/>
                <w:sz w:val="18"/>
              </w:rPr>
              <w:t xml:space="preserve"> </w:t>
            </w:r>
            <w:r>
              <w:rPr>
                <w:sz w:val="18"/>
              </w:rPr>
              <w:t>be</w:t>
            </w:r>
            <w:r>
              <w:rPr>
                <w:spacing w:val="-1"/>
                <w:sz w:val="18"/>
              </w:rPr>
              <w:t xml:space="preserve"> </w:t>
            </w:r>
            <w:r>
              <w:rPr>
                <w:sz w:val="18"/>
              </w:rPr>
              <w:t>given</w:t>
            </w:r>
            <w:r>
              <w:rPr>
                <w:spacing w:val="-1"/>
                <w:sz w:val="18"/>
              </w:rPr>
              <w:t xml:space="preserve"> </w:t>
            </w:r>
            <w:r>
              <w:rPr>
                <w:sz w:val="18"/>
              </w:rPr>
              <w:t>prior</w:t>
            </w:r>
            <w:r>
              <w:rPr>
                <w:spacing w:val="-2"/>
                <w:sz w:val="18"/>
              </w:rPr>
              <w:t xml:space="preserve"> </w:t>
            </w:r>
            <w:r>
              <w:rPr>
                <w:sz w:val="18"/>
              </w:rPr>
              <w:t>to</w:t>
            </w:r>
            <w:r>
              <w:rPr>
                <w:spacing w:val="-2"/>
                <w:sz w:val="18"/>
              </w:rPr>
              <w:t xml:space="preserve"> </w:t>
            </w:r>
            <w:r>
              <w:rPr>
                <w:sz w:val="18"/>
              </w:rPr>
              <w:t>disruption</w:t>
            </w:r>
            <w:r>
              <w:rPr>
                <w:spacing w:val="-2"/>
                <w:sz w:val="18"/>
              </w:rPr>
              <w:t xml:space="preserve"> </w:t>
            </w:r>
            <w:r>
              <w:rPr>
                <w:sz w:val="18"/>
              </w:rPr>
              <w:t>of</w:t>
            </w:r>
            <w:r>
              <w:rPr>
                <w:spacing w:val="-2"/>
                <w:sz w:val="18"/>
              </w:rPr>
              <w:t xml:space="preserve"> services.</w:t>
            </w:r>
          </w:p>
          <w:p w:rsidR="007F6DF9" w:rsidRDefault="00A43FBC">
            <w:pPr>
              <w:pStyle w:val="TableParagraph"/>
              <w:spacing w:before="13" w:line="254" w:lineRule="auto"/>
              <w:ind w:left="36" w:right="26"/>
              <w:rPr>
                <w:sz w:val="18"/>
              </w:rPr>
            </w:pPr>
            <w:r>
              <w:rPr>
                <w:sz w:val="18"/>
              </w:rPr>
              <w:t>Where</w:t>
            </w:r>
            <w:r>
              <w:rPr>
                <w:spacing w:val="-11"/>
                <w:sz w:val="18"/>
              </w:rPr>
              <w:t xml:space="preserve"> </w:t>
            </w:r>
            <w:r>
              <w:rPr>
                <w:sz w:val="18"/>
              </w:rPr>
              <w:t>necessary</w:t>
            </w:r>
            <w:r>
              <w:rPr>
                <w:spacing w:val="-12"/>
                <w:sz w:val="18"/>
              </w:rPr>
              <w:t xml:space="preserve"> </w:t>
            </w:r>
            <w:r>
              <w:rPr>
                <w:sz w:val="18"/>
              </w:rPr>
              <w:t>the</w:t>
            </w:r>
            <w:r>
              <w:rPr>
                <w:spacing w:val="-12"/>
                <w:sz w:val="18"/>
              </w:rPr>
              <w:t xml:space="preserve"> </w:t>
            </w:r>
            <w:r>
              <w:rPr>
                <w:sz w:val="18"/>
              </w:rPr>
              <w:t>Contractor</w:t>
            </w:r>
            <w:r>
              <w:rPr>
                <w:spacing w:val="-12"/>
                <w:sz w:val="18"/>
              </w:rPr>
              <w:t xml:space="preserve"> </w:t>
            </w:r>
            <w:r>
              <w:rPr>
                <w:sz w:val="18"/>
              </w:rPr>
              <w:t>will</w:t>
            </w:r>
            <w:r>
              <w:rPr>
                <w:spacing w:val="-13"/>
                <w:sz w:val="18"/>
              </w:rPr>
              <w:t xml:space="preserve"> </w:t>
            </w:r>
            <w:r>
              <w:rPr>
                <w:sz w:val="18"/>
              </w:rPr>
              <w:t>provide</w:t>
            </w:r>
            <w:r>
              <w:rPr>
                <w:spacing w:val="-12"/>
                <w:sz w:val="18"/>
              </w:rPr>
              <w:t xml:space="preserve"> </w:t>
            </w:r>
            <w:r>
              <w:rPr>
                <w:sz w:val="18"/>
              </w:rPr>
              <w:t>temporary</w:t>
            </w:r>
            <w:r>
              <w:rPr>
                <w:spacing w:val="-12"/>
                <w:sz w:val="18"/>
              </w:rPr>
              <w:t xml:space="preserve"> </w:t>
            </w:r>
            <w:r>
              <w:rPr>
                <w:sz w:val="18"/>
              </w:rPr>
              <w:t>facilities</w:t>
            </w:r>
            <w:r>
              <w:rPr>
                <w:spacing w:val="-11"/>
                <w:sz w:val="18"/>
              </w:rPr>
              <w:t xml:space="preserve"> </w:t>
            </w:r>
            <w:r>
              <w:rPr>
                <w:sz w:val="18"/>
              </w:rPr>
              <w:t>for</w:t>
            </w:r>
            <w:r>
              <w:rPr>
                <w:spacing w:val="-12"/>
                <w:sz w:val="18"/>
              </w:rPr>
              <w:t xml:space="preserve"> </w:t>
            </w:r>
            <w:r>
              <w:rPr>
                <w:sz w:val="18"/>
              </w:rPr>
              <w:t>use</w:t>
            </w:r>
            <w:r>
              <w:rPr>
                <w:spacing w:val="-11"/>
                <w:sz w:val="18"/>
              </w:rPr>
              <w:t xml:space="preserve"> </w:t>
            </w:r>
            <w:r>
              <w:rPr>
                <w:sz w:val="18"/>
              </w:rPr>
              <w:t>as</w:t>
            </w:r>
            <w:r>
              <w:rPr>
                <w:spacing w:val="-11"/>
                <w:sz w:val="18"/>
              </w:rPr>
              <w:t xml:space="preserve"> </w:t>
            </w:r>
            <w:r>
              <w:rPr>
                <w:sz w:val="18"/>
              </w:rPr>
              <w:t>instructed</w:t>
            </w:r>
            <w:r>
              <w:rPr>
                <w:spacing w:val="-12"/>
                <w:sz w:val="18"/>
              </w:rPr>
              <w:t xml:space="preserve"> </w:t>
            </w:r>
            <w:r>
              <w:rPr>
                <w:sz w:val="18"/>
              </w:rPr>
              <w:t>by</w:t>
            </w:r>
            <w:r>
              <w:rPr>
                <w:spacing w:val="-12"/>
                <w:sz w:val="18"/>
              </w:rPr>
              <w:t xml:space="preserve"> </w:t>
            </w:r>
            <w:r>
              <w:rPr>
                <w:sz w:val="18"/>
              </w:rPr>
              <w:t>the Project Manager.</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48"/>
          <w:pgSz w:w="12240" w:h="15840"/>
          <w:pgMar w:top="1060" w:right="1133" w:bottom="700" w:left="850" w:header="0" w:footer="506" w:gutter="0"/>
          <w:pgNumType w:start="3"/>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1138"/>
        </w:trPr>
        <w:tc>
          <w:tcPr>
            <w:tcW w:w="708" w:type="dxa"/>
            <w:tcBorders>
              <w:bottom w:val="nil"/>
            </w:tcBorders>
          </w:tcPr>
          <w:p w:rsidR="007F6DF9" w:rsidRDefault="00A43FBC">
            <w:pPr>
              <w:pStyle w:val="TableParagraph"/>
              <w:spacing w:line="212" w:lineRule="exact"/>
              <w:ind w:right="24"/>
              <w:jc w:val="right"/>
              <w:rPr>
                <w:sz w:val="18"/>
              </w:rPr>
            </w:pPr>
            <w:r>
              <w:rPr>
                <w:spacing w:val="-10"/>
                <w:w w:val="110"/>
                <w:sz w:val="18"/>
              </w:rPr>
              <w:t>A</w:t>
            </w:r>
          </w:p>
        </w:tc>
        <w:tc>
          <w:tcPr>
            <w:tcW w:w="7768" w:type="dxa"/>
            <w:tcBorders>
              <w:bottom w:val="nil"/>
            </w:tcBorders>
          </w:tcPr>
          <w:p w:rsidR="007F6DF9" w:rsidRDefault="00A43FBC">
            <w:pPr>
              <w:pStyle w:val="TableParagraph"/>
              <w:spacing w:line="212" w:lineRule="exact"/>
              <w:ind w:left="38"/>
              <w:rPr>
                <w:sz w:val="18"/>
              </w:rPr>
            </w:pPr>
            <w:r>
              <w:rPr>
                <w:spacing w:val="-2"/>
                <w:sz w:val="18"/>
              </w:rPr>
              <w:t>MEASUREMENTS</w:t>
            </w:r>
          </w:p>
          <w:p w:rsidR="007F6DF9" w:rsidRDefault="00A43FBC">
            <w:pPr>
              <w:pStyle w:val="TableParagraph"/>
              <w:spacing w:before="217" w:line="230" w:lineRule="atLeast"/>
              <w:ind w:left="36" w:right="14"/>
              <w:jc w:val="both"/>
              <w:rPr>
                <w:sz w:val="18"/>
              </w:rPr>
            </w:pPr>
            <w:r>
              <w:rPr>
                <w:sz w:val="18"/>
              </w:rPr>
              <w:t>In</w:t>
            </w:r>
            <w:r>
              <w:rPr>
                <w:spacing w:val="-7"/>
                <w:sz w:val="18"/>
              </w:rPr>
              <w:t xml:space="preserve"> </w:t>
            </w:r>
            <w:r>
              <w:rPr>
                <w:sz w:val="18"/>
              </w:rPr>
              <w:t>the</w:t>
            </w:r>
            <w:r>
              <w:rPr>
                <w:spacing w:val="-7"/>
                <w:sz w:val="18"/>
              </w:rPr>
              <w:t xml:space="preserve"> </w:t>
            </w:r>
            <w:r>
              <w:rPr>
                <w:sz w:val="18"/>
              </w:rPr>
              <w:t>event</w:t>
            </w:r>
            <w:r>
              <w:rPr>
                <w:spacing w:val="-6"/>
                <w:sz w:val="18"/>
              </w:rPr>
              <w:t xml:space="preserve"> </w:t>
            </w:r>
            <w:r>
              <w:rPr>
                <w:sz w:val="18"/>
              </w:rPr>
              <w:t>of</w:t>
            </w:r>
            <w:r>
              <w:rPr>
                <w:spacing w:val="-10"/>
                <w:sz w:val="18"/>
              </w:rPr>
              <w:t xml:space="preserve"> </w:t>
            </w:r>
            <w:r>
              <w:rPr>
                <w:sz w:val="18"/>
              </w:rPr>
              <w:t>any</w:t>
            </w:r>
            <w:r>
              <w:rPr>
                <w:spacing w:val="-7"/>
                <w:sz w:val="18"/>
              </w:rPr>
              <w:t xml:space="preserve"> </w:t>
            </w:r>
            <w:r>
              <w:rPr>
                <w:sz w:val="18"/>
              </w:rPr>
              <w:t>discrepancies</w:t>
            </w:r>
            <w:r>
              <w:rPr>
                <w:spacing w:val="-7"/>
                <w:sz w:val="18"/>
              </w:rPr>
              <w:t xml:space="preserve"> </w:t>
            </w:r>
            <w:r>
              <w:rPr>
                <w:sz w:val="18"/>
              </w:rPr>
              <w:t>arising</w:t>
            </w:r>
            <w:r>
              <w:rPr>
                <w:spacing w:val="-6"/>
                <w:sz w:val="18"/>
              </w:rPr>
              <w:t xml:space="preserve"> </w:t>
            </w:r>
            <w:r>
              <w:rPr>
                <w:sz w:val="18"/>
              </w:rPr>
              <w:t>between</w:t>
            </w:r>
            <w:r>
              <w:rPr>
                <w:spacing w:val="-9"/>
                <w:sz w:val="18"/>
              </w:rPr>
              <w:t xml:space="preserve"> </w:t>
            </w:r>
            <w:r>
              <w:rPr>
                <w:sz w:val="18"/>
              </w:rPr>
              <w:t>the</w:t>
            </w:r>
            <w:r>
              <w:rPr>
                <w:spacing w:val="-7"/>
                <w:sz w:val="18"/>
              </w:rPr>
              <w:t xml:space="preserve"> </w:t>
            </w:r>
            <w:r>
              <w:rPr>
                <w:sz w:val="18"/>
              </w:rPr>
              <w:t>Bills</w:t>
            </w:r>
            <w:r>
              <w:rPr>
                <w:spacing w:val="-8"/>
                <w:sz w:val="18"/>
              </w:rPr>
              <w:t xml:space="preserve"> </w:t>
            </w:r>
            <w:r>
              <w:rPr>
                <w:sz w:val="18"/>
              </w:rPr>
              <w:t>of</w:t>
            </w:r>
            <w:r>
              <w:rPr>
                <w:spacing w:val="-7"/>
                <w:sz w:val="18"/>
              </w:rPr>
              <w:t xml:space="preserve"> </w:t>
            </w:r>
            <w:r>
              <w:rPr>
                <w:sz w:val="18"/>
              </w:rPr>
              <w:t>Quantities</w:t>
            </w:r>
            <w:r>
              <w:rPr>
                <w:spacing w:val="-7"/>
                <w:sz w:val="18"/>
              </w:rPr>
              <w:t xml:space="preserve"> </w:t>
            </w:r>
            <w:r>
              <w:rPr>
                <w:sz w:val="18"/>
              </w:rPr>
              <w:t>and</w:t>
            </w:r>
            <w:r>
              <w:rPr>
                <w:spacing w:val="-8"/>
                <w:sz w:val="18"/>
              </w:rPr>
              <w:t xml:space="preserve"> </w:t>
            </w:r>
            <w:r>
              <w:rPr>
                <w:sz w:val="18"/>
              </w:rPr>
              <w:t>the</w:t>
            </w:r>
            <w:r>
              <w:rPr>
                <w:spacing w:val="-9"/>
                <w:sz w:val="18"/>
              </w:rPr>
              <w:t xml:space="preserve"> </w:t>
            </w:r>
            <w:r>
              <w:rPr>
                <w:sz w:val="18"/>
              </w:rPr>
              <w:t>actual</w:t>
            </w:r>
            <w:r>
              <w:rPr>
                <w:spacing w:val="-7"/>
                <w:sz w:val="18"/>
              </w:rPr>
              <w:t xml:space="preserve"> </w:t>
            </w:r>
            <w:r>
              <w:rPr>
                <w:sz w:val="18"/>
              </w:rPr>
              <w:t>works,</w:t>
            </w:r>
            <w:r>
              <w:rPr>
                <w:spacing w:val="-10"/>
                <w:sz w:val="18"/>
              </w:rPr>
              <w:t xml:space="preserve"> </w:t>
            </w:r>
            <w:r>
              <w:rPr>
                <w:sz w:val="18"/>
              </w:rPr>
              <w:t>the site measurements shall generally take precedence. However, such discrepancies between any contract documents shall immediately be referred to the PROJECT MANAGER in accordance</w:t>
            </w:r>
            <w:r>
              <w:rPr>
                <w:spacing w:val="-2"/>
                <w:sz w:val="18"/>
              </w:rPr>
              <w:t xml:space="preserve"> </w:t>
            </w:r>
            <w:r>
              <w:rPr>
                <w:sz w:val="18"/>
              </w:rPr>
              <w:t>with</w:t>
            </w:r>
          </w:p>
        </w:tc>
        <w:tc>
          <w:tcPr>
            <w:tcW w:w="1534" w:type="dxa"/>
            <w:vMerge w:val="restart"/>
          </w:tcPr>
          <w:p w:rsidR="007F6DF9" w:rsidRDefault="007F6DF9">
            <w:pPr>
              <w:pStyle w:val="TableParagraph"/>
              <w:rPr>
                <w:rFonts w:ascii="Times New Roman"/>
                <w:sz w:val="18"/>
              </w:rPr>
            </w:pPr>
          </w:p>
        </w:tc>
      </w:tr>
      <w:tr w:rsidR="007F6DF9">
        <w:trPr>
          <w:trHeight w:val="1137"/>
        </w:trPr>
        <w:tc>
          <w:tcPr>
            <w:tcW w:w="708"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96"/>
              <w:rPr>
                <w:rFonts w:ascii="Segoe UI"/>
                <w:sz w:val="18"/>
              </w:rPr>
            </w:pPr>
          </w:p>
          <w:p w:rsidR="007F6DF9" w:rsidRDefault="00A43FBC">
            <w:pPr>
              <w:pStyle w:val="TableParagraph"/>
              <w:spacing w:line="202"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line="254" w:lineRule="auto"/>
              <w:ind w:left="36"/>
              <w:rPr>
                <w:sz w:val="18"/>
              </w:rPr>
            </w:pPr>
            <w:r>
              <w:rPr>
                <w:sz w:val="18"/>
              </w:rPr>
              <w:t>the Conditions of Contract.</w:t>
            </w:r>
            <w:r>
              <w:rPr>
                <w:spacing w:val="40"/>
                <w:sz w:val="18"/>
              </w:rPr>
              <w:t xml:space="preserve"> </w:t>
            </w:r>
            <w:r>
              <w:rPr>
                <w:sz w:val="18"/>
              </w:rPr>
              <w:t>The discrepancies shall then be treated as a variation and be dealt with in accordance with the said Conditions.</w:t>
            </w:r>
          </w:p>
          <w:p w:rsidR="007F6DF9" w:rsidRDefault="007F6DF9">
            <w:pPr>
              <w:pStyle w:val="TableParagraph"/>
              <w:spacing w:before="214"/>
              <w:rPr>
                <w:rFonts w:ascii="Segoe UI"/>
                <w:sz w:val="18"/>
              </w:rPr>
            </w:pPr>
          </w:p>
          <w:p w:rsidR="007F6DF9" w:rsidRDefault="00A43FBC">
            <w:pPr>
              <w:pStyle w:val="TableParagraph"/>
              <w:spacing w:before="1" w:line="202" w:lineRule="exact"/>
              <w:ind w:left="38"/>
              <w:rPr>
                <w:sz w:val="18"/>
              </w:rPr>
            </w:pPr>
            <w:r>
              <w:rPr>
                <w:sz w:val="18"/>
              </w:rPr>
              <w:t>DEMOLITIONS</w:t>
            </w:r>
            <w:r>
              <w:rPr>
                <w:spacing w:val="54"/>
                <w:sz w:val="18"/>
              </w:rPr>
              <w:t xml:space="preserve"> </w:t>
            </w:r>
            <w:r>
              <w:rPr>
                <w:sz w:val="18"/>
              </w:rPr>
              <w:t>AND</w:t>
            </w:r>
            <w:r>
              <w:rPr>
                <w:spacing w:val="56"/>
                <w:sz w:val="18"/>
              </w:rPr>
              <w:t xml:space="preserve"> </w:t>
            </w:r>
            <w:r>
              <w:rPr>
                <w:spacing w:val="-2"/>
                <w:sz w:val="18"/>
              </w:rPr>
              <w:t>ALTERATIONS</w:t>
            </w:r>
          </w:p>
        </w:tc>
        <w:tc>
          <w:tcPr>
            <w:tcW w:w="1534" w:type="dxa"/>
            <w:vMerge/>
            <w:tcBorders>
              <w:top w:val="nil"/>
            </w:tcBorders>
          </w:tcPr>
          <w:p w:rsidR="007F6DF9" w:rsidRDefault="007F6DF9">
            <w:pPr>
              <w:rPr>
                <w:sz w:val="2"/>
                <w:szCs w:val="2"/>
              </w:rPr>
            </w:pPr>
          </w:p>
        </w:tc>
      </w:tr>
      <w:tr w:rsidR="007F6DF9">
        <w:trPr>
          <w:trHeight w:val="2520"/>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3"/>
              <w:jc w:val="both"/>
              <w:rPr>
                <w:sz w:val="18"/>
              </w:rPr>
            </w:pPr>
            <w:r>
              <w:rPr>
                <w:sz w:val="18"/>
              </w:rPr>
              <w:t xml:space="preserve">The Contractor is to allow for all temporary protection required during the works including </w:t>
            </w:r>
            <w:r>
              <w:rPr>
                <w:spacing w:val="-2"/>
                <w:sz w:val="18"/>
              </w:rPr>
              <w:t>ordinary</w:t>
            </w:r>
            <w:r>
              <w:rPr>
                <w:spacing w:val="-7"/>
                <w:sz w:val="18"/>
              </w:rPr>
              <w:t xml:space="preserve"> </w:t>
            </w:r>
            <w:r>
              <w:rPr>
                <w:spacing w:val="-2"/>
                <w:sz w:val="18"/>
              </w:rPr>
              <w:t>and</w:t>
            </w:r>
            <w:r>
              <w:rPr>
                <w:spacing w:val="-8"/>
                <w:sz w:val="18"/>
              </w:rPr>
              <w:t xml:space="preserve"> </w:t>
            </w:r>
            <w:r>
              <w:rPr>
                <w:spacing w:val="-2"/>
                <w:sz w:val="18"/>
              </w:rPr>
              <w:t>special</w:t>
            </w:r>
            <w:r>
              <w:rPr>
                <w:spacing w:val="-7"/>
                <w:sz w:val="18"/>
              </w:rPr>
              <w:t xml:space="preserve"> </w:t>
            </w:r>
            <w:r>
              <w:rPr>
                <w:spacing w:val="-2"/>
                <w:sz w:val="18"/>
              </w:rPr>
              <w:t>dust</w:t>
            </w:r>
            <w:r>
              <w:rPr>
                <w:spacing w:val="-7"/>
                <w:sz w:val="18"/>
              </w:rPr>
              <w:t xml:space="preserve"> </w:t>
            </w:r>
            <w:r>
              <w:rPr>
                <w:spacing w:val="-2"/>
                <w:sz w:val="18"/>
              </w:rPr>
              <w:t>screens,</w:t>
            </w:r>
            <w:r>
              <w:rPr>
                <w:spacing w:val="-7"/>
                <w:sz w:val="18"/>
              </w:rPr>
              <w:t xml:space="preserve"> </w:t>
            </w:r>
            <w:r>
              <w:rPr>
                <w:spacing w:val="-2"/>
                <w:sz w:val="18"/>
              </w:rPr>
              <w:t>hoardings,</w:t>
            </w:r>
            <w:r>
              <w:rPr>
                <w:spacing w:val="-9"/>
                <w:sz w:val="18"/>
              </w:rPr>
              <w:t xml:space="preserve"> </w:t>
            </w:r>
            <w:r>
              <w:rPr>
                <w:spacing w:val="-2"/>
                <w:sz w:val="18"/>
              </w:rPr>
              <w:t>barriers,</w:t>
            </w:r>
            <w:r>
              <w:rPr>
                <w:spacing w:val="-7"/>
                <w:sz w:val="18"/>
              </w:rPr>
              <w:t xml:space="preserve"> </w:t>
            </w:r>
            <w:r>
              <w:rPr>
                <w:spacing w:val="-2"/>
                <w:sz w:val="18"/>
              </w:rPr>
              <w:t>warning</w:t>
            </w:r>
            <w:r>
              <w:rPr>
                <w:spacing w:val="-8"/>
                <w:sz w:val="18"/>
              </w:rPr>
              <w:t xml:space="preserve"> </w:t>
            </w:r>
            <w:r>
              <w:rPr>
                <w:spacing w:val="-2"/>
                <w:sz w:val="18"/>
              </w:rPr>
              <w:t>signs,</w:t>
            </w:r>
            <w:r>
              <w:rPr>
                <w:spacing w:val="-7"/>
                <w:sz w:val="18"/>
              </w:rPr>
              <w:t xml:space="preserve"> </w:t>
            </w:r>
            <w:r>
              <w:rPr>
                <w:spacing w:val="-2"/>
                <w:sz w:val="18"/>
              </w:rPr>
              <w:t>etc.</w:t>
            </w:r>
            <w:r>
              <w:rPr>
                <w:spacing w:val="-10"/>
                <w:sz w:val="18"/>
              </w:rPr>
              <w:t xml:space="preserve"> </w:t>
            </w:r>
            <w:r>
              <w:rPr>
                <w:spacing w:val="-2"/>
                <w:sz w:val="18"/>
              </w:rPr>
              <w:t>as</w:t>
            </w:r>
            <w:r>
              <w:rPr>
                <w:spacing w:val="-7"/>
                <w:sz w:val="18"/>
              </w:rPr>
              <w:t xml:space="preserve"> </w:t>
            </w:r>
            <w:r>
              <w:rPr>
                <w:spacing w:val="-2"/>
                <w:sz w:val="18"/>
              </w:rPr>
              <w:t>directed</w:t>
            </w:r>
            <w:r>
              <w:rPr>
                <w:spacing w:val="-10"/>
                <w:sz w:val="18"/>
              </w:rPr>
              <w:t xml:space="preserve"> </w:t>
            </w:r>
            <w:r>
              <w:rPr>
                <w:spacing w:val="-2"/>
                <w:sz w:val="18"/>
              </w:rPr>
              <w:t>by</w:t>
            </w:r>
            <w:r>
              <w:rPr>
                <w:spacing w:val="-7"/>
                <w:sz w:val="18"/>
              </w:rPr>
              <w:t xml:space="preserve"> </w:t>
            </w:r>
            <w:r>
              <w:rPr>
                <w:spacing w:val="-2"/>
                <w:sz w:val="18"/>
              </w:rPr>
              <w:t>the</w:t>
            </w:r>
            <w:r>
              <w:rPr>
                <w:spacing w:val="-9"/>
                <w:sz w:val="18"/>
              </w:rPr>
              <w:t xml:space="preserve"> </w:t>
            </w:r>
            <w:r>
              <w:rPr>
                <w:spacing w:val="-2"/>
                <w:sz w:val="18"/>
              </w:rPr>
              <w:t xml:space="preserve">Project </w:t>
            </w:r>
            <w:r>
              <w:rPr>
                <w:sz w:val="18"/>
              </w:rPr>
              <w:t>Manager</w:t>
            </w:r>
            <w:r>
              <w:rPr>
                <w:spacing w:val="-13"/>
                <w:sz w:val="18"/>
              </w:rPr>
              <w:t xml:space="preserve"> </w:t>
            </w:r>
            <w:r>
              <w:rPr>
                <w:sz w:val="18"/>
              </w:rPr>
              <w:t>and</w:t>
            </w:r>
            <w:r>
              <w:rPr>
                <w:spacing w:val="-12"/>
                <w:sz w:val="18"/>
              </w:rPr>
              <w:t xml:space="preserve"> </w:t>
            </w:r>
            <w:r>
              <w:rPr>
                <w:sz w:val="18"/>
              </w:rPr>
              <w:t>as</w:t>
            </w:r>
            <w:r>
              <w:rPr>
                <w:spacing w:val="-12"/>
                <w:sz w:val="18"/>
              </w:rPr>
              <w:t xml:space="preserve"> </w:t>
            </w:r>
            <w:r>
              <w:rPr>
                <w:sz w:val="18"/>
              </w:rPr>
              <w:t>necessary</w:t>
            </w:r>
            <w:r>
              <w:rPr>
                <w:spacing w:val="-12"/>
                <w:sz w:val="18"/>
              </w:rPr>
              <w:t xml:space="preserve"> </w:t>
            </w:r>
            <w:r>
              <w:rPr>
                <w:sz w:val="18"/>
              </w:rPr>
              <w:t>for</w:t>
            </w:r>
            <w:r>
              <w:rPr>
                <w:spacing w:val="-13"/>
                <w:sz w:val="18"/>
              </w:rPr>
              <w:t xml:space="preserve"> </w:t>
            </w:r>
            <w:r>
              <w:rPr>
                <w:sz w:val="18"/>
              </w:rPr>
              <w:t>the</w:t>
            </w:r>
            <w:r>
              <w:rPr>
                <w:spacing w:val="-11"/>
                <w:sz w:val="18"/>
              </w:rPr>
              <w:t xml:space="preserve"> </w:t>
            </w:r>
            <w:r>
              <w:rPr>
                <w:sz w:val="18"/>
              </w:rPr>
              <w:t>adequate</w:t>
            </w:r>
            <w:r>
              <w:rPr>
                <w:spacing w:val="-12"/>
                <w:sz w:val="18"/>
              </w:rPr>
              <w:t xml:space="preserve"> </w:t>
            </w:r>
            <w:r>
              <w:rPr>
                <w:sz w:val="18"/>
              </w:rPr>
              <w:t>propping</w:t>
            </w:r>
            <w:r>
              <w:rPr>
                <w:spacing w:val="-10"/>
                <w:sz w:val="18"/>
              </w:rPr>
              <w:t xml:space="preserve"> </w:t>
            </w:r>
            <w:r>
              <w:rPr>
                <w:sz w:val="18"/>
              </w:rPr>
              <w:t>and</w:t>
            </w:r>
            <w:r>
              <w:rPr>
                <w:spacing w:val="-14"/>
                <w:sz w:val="18"/>
              </w:rPr>
              <w:t xml:space="preserve"> </w:t>
            </w:r>
            <w:r>
              <w:rPr>
                <w:sz w:val="18"/>
              </w:rPr>
              <w:t>protection</w:t>
            </w:r>
            <w:r>
              <w:rPr>
                <w:spacing w:val="-11"/>
                <w:sz w:val="18"/>
              </w:rPr>
              <w:t xml:space="preserve"> </w:t>
            </w:r>
            <w:r>
              <w:rPr>
                <w:sz w:val="18"/>
              </w:rPr>
              <w:t>of</w:t>
            </w:r>
            <w:r>
              <w:rPr>
                <w:spacing w:val="-14"/>
                <w:sz w:val="18"/>
              </w:rPr>
              <w:t xml:space="preserve"> </w:t>
            </w:r>
            <w:r>
              <w:rPr>
                <w:sz w:val="18"/>
              </w:rPr>
              <w:t>existing</w:t>
            </w:r>
            <w:r>
              <w:rPr>
                <w:spacing w:val="-11"/>
                <w:sz w:val="18"/>
              </w:rPr>
              <w:t xml:space="preserve"> </w:t>
            </w:r>
            <w:r>
              <w:rPr>
                <w:sz w:val="18"/>
              </w:rPr>
              <w:t>property,</w:t>
            </w:r>
            <w:r>
              <w:rPr>
                <w:spacing w:val="-14"/>
                <w:sz w:val="18"/>
              </w:rPr>
              <w:t xml:space="preserve"> </w:t>
            </w:r>
            <w:r>
              <w:rPr>
                <w:sz w:val="18"/>
              </w:rPr>
              <w:t>finishes, workmen employed on the site, employer's agents and the public. Any damage or loss incurred due to the insufficiency of such protection must be made good by the Contractor. All protective devices are to be removed on completion of the works and any necessary making good consequent</w:t>
            </w:r>
            <w:r>
              <w:rPr>
                <w:spacing w:val="-10"/>
                <w:sz w:val="18"/>
              </w:rPr>
              <w:t xml:space="preserve"> </w:t>
            </w:r>
            <w:r>
              <w:rPr>
                <w:sz w:val="18"/>
              </w:rPr>
              <w:t>upon</w:t>
            </w:r>
            <w:r>
              <w:rPr>
                <w:spacing w:val="-11"/>
                <w:sz w:val="18"/>
              </w:rPr>
              <w:t xml:space="preserve"> </w:t>
            </w:r>
            <w:r>
              <w:rPr>
                <w:sz w:val="18"/>
              </w:rPr>
              <w:t>this</w:t>
            </w:r>
            <w:r>
              <w:rPr>
                <w:spacing w:val="-10"/>
                <w:sz w:val="18"/>
              </w:rPr>
              <w:t xml:space="preserve"> </w:t>
            </w:r>
            <w:r>
              <w:rPr>
                <w:sz w:val="18"/>
              </w:rPr>
              <w:t>is</w:t>
            </w:r>
            <w:r>
              <w:rPr>
                <w:spacing w:val="-10"/>
                <w:sz w:val="18"/>
              </w:rPr>
              <w:t xml:space="preserve"> </w:t>
            </w:r>
            <w:r>
              <w:rPr>
                <w:sz w:val="18"/>
              </w:rPr>
              <w:t>to</w:t>
            </w:r>
            <w:r>
              <w:rPr>
                <w:spacing w:val="-11"/>
                <w:sz w:val="18"/>
              </w:rPr>
              <w:t xml:space="preserve"> </w:t>
            </w:r>
            <w:r>
              <w:rPr>
                <w:sz w:val="18"/>
              </w:rPr>
              <w:t>be</w:t>
            </w:r>
            <w:r>
              <w:rPr>
                <w:spacing w:val="-10"/>
                <w:sz w:val="18"/>
              </w:rPr>
              <w:t xml:space="preserve"> </w:t>
            </w:r>
            <w:r>
              <w:rPr>
                <w:sz w:val="18"/>
              </w:rPr>
              <w:t>executed</w:t>
            </w:r>
            <w:r>
              <w:rPr>
                <w:spacing w:val="-10"/>
                <w:sz w:val="18"/>
              </w:rPr>
              <w:t xml:space="preserve"> </w:t>
            </w:r>
            <w:r>
              <w:rPr>
                <w:sz w:val="18"/>
              </w:rPr>
              <w:t>to</w:t>
            </w:r>
            <w:r>
              <w:rPr>
                <w:spacing w:val="-11"/>
                <w:sz w:val="18"/>
              </w:rPr>
              <w:t xml:space="preserve"> </w:t>
            </w:r>
            <w:r>
              <w:rPr>
                <w:sz w:val="18"/>
              </w:rPr>
              <w:t>the</w:t>
            </w:r>
            <w:r>
              <w:rPr>
                <w:spacing w:val="-10"/>
                <w:sz w:val="18"/>
              </w:rPr>
              <w:t xml:space="preserve"> </w:t>
            </w:r>
            <w:r>
              <w:rPr>
                <w:sz w:val="18"/>
              </w:rPr>
              <w:t>satisfaction</w:t>
            </w:r>
            <w:r>
              <w:rPr>
                <w:spacing w:val="-10"/>
                <w:sz w:val="18"/>
              </w:rPr>
              <w:t xml:space="preserve"> </w:t>
            </w:r>
            <w:r>
              <w:rPr>
                <w:sz w:val="18"/>
              </w:rPr>
              <w:t>of</w:t>
            </w:r>
            <w:r>
              <w:rPr>
                <w:spacing w:val="-9"/>
                <w:sz w:val="18"/>
              </w:rPr>
              <w:t xml:space="preserve"> </w:t>
            </w:r>
            <w:r>
              <w:rPr>
                <w:sz w:val="18"/>
              </w:rPr>
              <w:t>the</w:t>
            </w:r>
            <w:r>
              <w:rPr>
                <w:spacing w:val="-10"/>
                <w:sz w:val="18"/>
              </w:rPr>
              <w:t xml:space="preserve"> </w:t>
            </w:r>
            <w:r>
              <w:rPr>
                <w:sz w:val="18"/>
              </w:rPr>
              <w:t>Project</w:t>
            </w:r>
            <w:r>
              <w:rPr>
                <w:spacing w:val="-7"/>
                <w:sz w:val="18"/>
              </w:rPr>
              <w:t xml:space="preserve"> </w:t>
            </w:r>
            <w:r>
              <w:rPr>
                <w:sz w:val="18"/>
              </w:rPr>
              <w:t>Manager.</w:t>
            </w:r>
            <w:r>
              <w:rPr>
                <w:spacing w:val="-11"/>
                <w:sz w:val="18"/>
              </w:rPr>
              <w:t xml:space="preserve"> </w:t>
            </w:r>
            <w:r>
              <w:rPr>
                <w:sz w:val="18"/>
              </w:rPr>
              <w:t>The</w:t>
            </w:r>
            <w:r>
              <w:rPr>
                <w:spacing w:val="-8"/>
                <w:sz w:val="18"/>
              </w:rPr>
              <w:t xml:space="preserve"> </w:t>
            </w:r>
            <w:r>
              <w:rPr>
                <w:sz w:val="18"/>
              </w:rPr>
              <w:t>works</w:t>
            </w:r>
            <w:r>
              <w:rPr>
                <w:spacing w:val="-10"/>
                <w:sz w:val="18"/>
              </w:rPr>
              <w:t xml:space="preserve"> </w:t>
            </w:r>
            <w:r>
              <w:rPr>
                <w:sz w:val="18"/>
              </w:rPr>
              <w:t>shall be propped, strutted and supported as necessary before any alteration or demolition work commences. Prices shall include for all cleaning and preparatory work to structure and finishes and for making good to all finishes on completion whether or not specifically described</w:t>
            </w:r>
          </w:p>
        </w:tc>
        <w:tc>
          <w:tcPr>
            <w:tcW w:w="1534" w:type="dxa"/>
            <w:vMerge/>
            <w:tcBorders>
              <w:top w:val="nil"/>
            </w:tcBorders>
          </w:tcPr>
          <w:p w:rsidR="007F6DF9" w:rsidRDefault="007F6DF9">
            <w:pPr>
              <w:rPr>
                <w:sz w:val="2"/>
                <w:szCs w:val="2"/>
              </w:rPr>
            </w:pPr>
          </w:p>
        </w:tc>
      </w:tr>
      <w:tr w:rsidR="007F6DF9">
        <w:trPr>
          <w:trHeight w:val="67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before="196" w:line="230" w:lineRule="atLeast"/>
              <w:ind w:left="36"/>
              <w:rPr>
                <w:sz w:val="18"/>
              </w:rPr>
            </w:pPr>
            <w:r>
              <w:rPr>
                <w:sz w:val="18"/>
              </w:rPr>
              <w:t>Unless described as set aside for re-use all arising debris and</w:t>
            </w:r>
            <w:r>
              <w:rPr>
                <w:spacing w:val="-1"/>
                <w:sz w:val="18"/>
              </w:rPr>
              <w:t xml:space="preserve"> </w:t>
            </w:r>
            <w:r>
              <w:rPr>
                <w:sz w:val="18"/>
              </w:rPr>
              <w:t>surplus materials shall be carefully removed from building and carted away from site.</w:t>
            </w:r>
          </w:p>
        </w:tc>
        <w:tc>
          <w:tcPr>
            <w:tcW w:w="1534" w:type="dxa"/>
            <w:vMerge/>
            <w:tcBorders>
              <w:top w:val="nil"/>
            </w:tcBorders>
          </w:tcPr>
          <w:p w:rsidR="007F6DF9" w:rsidRDefault="007F6DF9">
            <w:pPr>
              <w:rPr>
                <w:sz w:val="2"/>
                <w:szCs w:val="2"/>
              </w:rPr>
            </w:pPr>
          </w:p>
        </w:tc>
      </w:tr>
      <w:tr w:rsidR="007F6DF9">
        <w:trPr>
          <w:trHeight w:val="9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Contractor shall be entirely responsible for any breakage or damage which may occur to materials</w:t>
            </w:r>
            <w:r>
              <w:rPr>
                <w:spacing w:val="-10"/>
                <w:sz w:val="18"/>
              </w:rPr>
              <w:t xml:space="preserve"> </w:t>
            </w:r>
            <w:r>
              <w:rPr>
                <w:sz w:val="18"/>
              </w:rPr>
              <w:t>required</w:t>
            </w:r>
            <w:r>
              <w:rPr>
                <w:spacing w:val="-10"/>
                <w:sz w:val="18"/>
              </w:rPr>
              <w:t xml:space="preserve"> </w:t>
            </w:r>
            <w:r>
              <w:rPr>
                <w:sz w:val="18"/>
              </w:rPr>
              <w:t>for</w:t>
            </w:r>
            <w:r>
              <w:rPr>
                <w:spacing w:val="-10"/>
                <w:sz w:val="18"/>
              </w:rPr>
              <w:t xml:space="preserve"> </w:t>
            </w:r>
            <w:r>
              <w:rPr>
                <w:sz w:val="18"/>
              </w:rPr>
              <w:t>re-use</w:t>
            </w:r>
            <w:r>
              <w:rPr>
                <w:spacing w:val="-10"/>
                <w:sz w:val="18"/>
              </w:rPr>
              <w:t xml:space="preserve"> </w:t>
            </w:r>
            <w:r>
              <w:rPr>
                <w:sz w:val="18"/>
              </w:rPr>
              <w:t>during</w:t>
            </w:r>
            <w:r>
              <w:rPr>
                <w:spacing w:val="-9"/>
                <w:sz w:val="18"/>
              </w:rPr>
              <w:t xml:space="preserve"> </w:t>
            </w:r>
            <w:r>
              <w:rPr>
                <w:sz w:val="18"/>
              </w:rPr>
              <w:t>their</w:t>
            </w:r>
            <w:r>
              <w:rPr>
                <w:spacing w:val="-10"/>
                <w:sz w:val="18"/>
              </w:rPr>
              <w:t xml:space="preserve"> </w:t>
            </w:r>
            <w:r>
              <w:rPr>
                <w:sz w:val="18"/>
              </w:rPr>
              <w:t>removal</w:t>
            </w:r>
            <w:r>
              <w:rPr>
                <w:spacing w:val="-10"/>
                <w:sz w:val="18"/>
              </w:rPr>
              <w:t xml:space="preserve"> </w:t>
            </w:r>
            <w:r>
              <w:rPr>
                <w:sz w:val="18"/>
              </w:rPr>
              <w:t>unless</w:t>
            </w:r>
            <w:r>
              <w:rPr>
                <w:spacing w:val="-9"/>
                <w:sz w:val="18"/>
              </w:rPr>
              <w:t xml:space="preserve"> </w:t>
            </w:r>
            <w:r>
              <w:rPr>
                <w:sz w:val="18"/>
              </w:rPr>
              <w:t>it</w:t>
            </w:r>
            <w:r>
              <w:rPr>
                <w:spacing w:val="-10"/>
                <w:sz w:val="18"/>
              </w:rPr>
              <w:t xml:space="preserve"> </w:t>
            </w:r>
            <w:r>
              <w:rPr>
                <w:sz w:val="18"/>
              </w:rPr>
              <w:t>is</w:t>
            </w:r>
            <w:r>
              <w:rPr>
                <w:spacing w:val="-9"/>
                <w:sz w:val="18"/>
              </w:rPr>
              <w:t xml:space="preserve"> </w:t>
            </w:r>
            <w:r>
              <w:rPr>
                <w:sz w:val="18"/>
              </w:rPr>
              <w:t>certified</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Project</w:t>
            </w:r>
            <w:r>
              <w:rPr>
                <w:spacing w:val="-9"/>
                <w:sz w:val="18"/>
              </w:rPr>
              <w:t xml:space="preserve"> </w:t>
            </w:r>
            <w:r>
              <w:rPr>
                <w:sz w:val="18"/>
              </w:rPr>
              <w:t>Manager</w:t>
            </w:r>
            <w:r>
              <w:rPr>
                <w:spacing w:val="-11"/>
                <w:sz w:val="18"/>
              </w:rPr>
              <w:t xml:space="preserve"> </w:t>
            </w:r>
            <w:r>
              <w:rPr>
                <w:sz w:val="18"/>
              </w:rPr>
              <w:t>that such</w:t>
            </w:r>
            <w:r>
              <w:rPr>
                <w:spacing w:val="-4"/>
                <w:sz w:val="18"/>
              </w:rPr>
              <w:t xml:space="preserve"> </w:t>
            </w:r>
            <w:r>
              <w:rPr>
                <w:sz w:val="18"/>
              </w:rPr>
              <w:t>damage</w:t>
            </w:r>
            <w:r>
              <w:rPr>
                <w:spacing w:val="-2"/>
                <w:sz w:val="18"/>
              </w:rPr>
              <w:t xml:space="preserve"> </w:t>
            </w:r>
            <w:r>
              <w:rPr>
                <w:sz w:val="18"/>
              </w:rPr>
              <w:t>or</w:t>
            </w:r>
            <w:r>
              <w:rPr>
                <w:spacing w:val="-3"/>
                <w:sz w:val="18"/>
              </w:rPr>
              <w:t xml:space="preserve"> </w:t>
            </w:r>
            <w:r>
              <w:rPr>
                <w:sz w:val="18"/>
              </w:rPr>
              <w:t>breakage</w:t>
            </w:r>
            <w:r>
              <w:rPr>
                <w:spacing w:val="-3"/>
                <w:sz w:val="18"/>
              </w:rPr>
              <w:t xml:space="preserve"> </w:t>
            </w:r>
            <w:r>
              <w:rPr>
                <w:sz w:val="18"/>
              </w:rPr>
              <w:t>was</w:t>
            </w:r>
            <w:r>
              <w:rPr>
                <w:spacing w:val="-2"/>
                <w:sz w:val="18"/>
              </w:rPr>
              <w:t xml:space="preserve"> </w:t>
            </w:r>
            <w:r>
              <w:rPr>
                <w:sz w:val="18"/>
              </w:rPr>
              <w:t>inevitable</w:t>
            </w:r>
            <w:r>
              <w:rPr>
                <w:spacing w:val="-3"/>
                <w:sz w:val="18"/>
              </w:rPr>
              <w:t xml:space="preserve"> </w:t>
            </w:r>
            <w:r>
              <w:rPr>
                <w:sz w:val="18"/>
              </w:rPr>
              <w:t>as</w:t>
            </w:r>
            <w:r>
              <w:rPr>
                <w:spacing w:val="-2"/>
                <w:sz w:val="18"/>
              </w:rPr>
              <w:t xml:space="preserve"> </w:t>
            </w:r>
            <w:r>
              <w:rPr>
                <w:sz w:val="18"/>
              </w:rPr>
              <w:t>a</w:t>
            </w:r>
            <w:r>
              <w:rPr>
                <w:spacing w:val="-4"/>
                <w:sz w:val="18"/>
              </w:rPr>
              <w:t xml:space="preserve"> </w:t>
            </w:r>
            <w:r>
              <w:rPr>
                <w:sz w:val="18"/>
              </w:rPr>
              <w:t>result</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condition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item</w:t>
            </w:r>
            <w:r>
              <w:rPr>
                <w:spacing w:val="-3"/>
                <w:sz w:val="18"/>
              </w:rPr>
              <w:t xml:space="preserve"> </w:t>
            </w:r>
            <w:r>
              <w:rPr>
                <w:sz w:val="18"/>
              </w:rPr>
              <w:t>concerned.</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A43FBC">
            <w:pPr>
              <w:pStyle w:val="TableParagraph"/>
              <w:spacing w:before="223" w:line="203"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223" w:line="203" w:lineRule="exact"/>
              <w:ind w:left="38"/>
              <w:rPr>
                <w:sz w:val="18"/>
              </w:rPr>
            </w:pPr>
            <w:r>
              <w:rPr>
                <w:sz w:val="18"/>
              </w:rPr>
              <w:t>MATERIALS</w:t>
            </w:r>
            <w:r>
              <w:rPr>
                <w:spacing w:val="41"/>
                <w:sz w:val="18"/>
              </w:rPr>
              <w:t xml:space="preserve"> </w:t>
            </w:r>
            <w:r>
              <w:rPr>
                <w:sz w:val="18"/>
              </w:rPr>
              <w:t>FROM</w:t>
            </w:r>
            <w:r>
              <w:rPr>
                <w:spacing w:val="41"/>
                <w:sz w:val="18"/>
              </w:rPr>
              <w:t xml:space="preserve"> </w:t>
            </w:r>
            <w:r>
              <w:rPr>
                <w:spacing w:val="-2"/>
                <w:sz w:val="18"/>
              </w:rPr>
              <w:t>DEMOLITIONS</w:t>
            </w:r>
          </w:p>
        </w:tc>
        <w:tc>
          <w:tcPr>
            <w:tcW w:w="1534" w:type="dxa"/>
            <w:vMerge/>
            <w:tcBorders>
              <w:top w:val="nil"/>
            </w:tcBorders>
          </w:tcPr>
          <w:p w:rsidR="007F6DF9" w:rsidRDefault="007F6DF9">
            <w:pPr>
              <w:rPr>
                <w:sz w:val="2"/>
                <w:szCs w:val="2"/>
              </w:rPr>
            </w:pPr>
          </w:p>
        </w:tc>
      </w:tr>
      <w:tr w:rsidR="007F6DF9">
        <w:trPr>
          <w:trHeight w:val="2287"/>
        </w:trPr>
        <w:tc>
          <w:tcPr>
            <w:tcW w:w="708" w:type="dxa"/>
            <w:tcBorders>
              <w:top w:val="nil"/>
            </w:tcBorders>
          </w:tcPr>
          <w:p w:rsidR="007F6DF9" w:rsidRDefault="007F6DF9">
            <w:pPr>
              <w:pStyle w:val="TableParagraph"/>
              <w:rPr>
                <w:rFonts w:ascii="Times New Roman"/>
                <w:sz w:val="18"/>
              </w:rPr>
            </w:pPr>
          </w:p>
        </w:tc>
        <w:tc>
          <w:tcPr>
            <w:tcW w:w="7768" w:type="dxa"/>
            <w:tcBorders>
              <w:top w:val="nil"/>
            </w:tcBorders>
          </w:tcPr>
          <w:p w:rsidR="007F6DF9" w:rsidRDefault="00A43FBC">
            <w:pPr>
              <w:pStyle w:val="TableParagraph"/>
              <w:spacing w:line="254" w:lineRule="auto"/>
              <w:ind w:left="36" w:right="14"/>
              <w:jc w:val="both"/>
              <w:rPr>
                <w:sz w:val="18"/>
              </w:rPr>
            </w:pPr>
            <w:r>
              <w:rPr>
                <w:sz w:val="18"/>
              </w:rPr>
              <w:t>Any</w:t>
            </w:r>
            <w:r>
              <w:rPr>
                <w:spacing w:val="-4"/>
                <w:sz w:val="18"/>
              </w:rPr>
              <w:t xml:space="preserve"> </w:t>
            </w:r>
            <w:r>
              <w:rPr>
                <w:sz w:val="18"/>
              </w:rPr>
              <w:t>materials</w:t>
            </w:r>
            <w:r>
              <w:rPr>
                <w:spacing w:val="-3"/>
                <w:sz w:val="18"/>
              </w:rPr>
              <w:t xml:space="preserve"> </w:t>
            </w:r>
            <w:r>
              <w:rPr>
                <w:sz w:val="18"/>
              </w:rPr>
              <w:t>arising</w:t>
            </w:r>
            <w:r>
              <w:rPr>
                <w:spacing w:val="-2"/>
                <w:sz w:val="18"/>
              </w:rPr>
              <w:t xml:space="preserve"> </w:t>
            </w:r>
            <w:r>
              <w:rPr>
                <w:sz w:val="18"/>
              </w:rPr>
              <w:t>from</w:t>
            </w:r>
            <w:r>
              <w:rPr>
                <w:spacing w:val="-3"/>
                <w:sz w:val="18"/>
              </w:rPr>
              <w:t xml:space="preserve"> </w:t>
            </w:r>
            <w:r>
              <w:rPr>
                <w:sz w:val="18"/>
              </w:rPr>
              <w:t>demolitions</w:t>
            </w:r>
            <w:r>
              <w:rPr>
                <w:spacing w:val="-2"/>
                <w:sz w:val="18"/>
              </w:rPr>
              <w:t xml:space="preserve"> </w:t>
            </w:r>
            <w:r>
              <w:rPr>
                <w:sz w:val="18"/>
              </w:rPr>
              <w:t>and</w:t>
            </w:r>
            <w:r>
              <w:rPr>
                <w:spacing w:val="-4"/>
                <w:sz w:val="18"/>
              </w:rPr>
              <w:t xml:space="preserve"> </w:t>
            </w:r>
            <w:r>
              <w:rPr>
                <w:sz w:val="18"/>
              </w:rPr>
              <w:t>not</w:t>
            </w:r>
            <w:r>
              <w:rPr>
                <w:spacing w:val="-3"/>
                <w:sz w:val="18"/>
              </w:rPr>
              <w:t xml:space="preserve"> </w:t>
            </w:r>
            <w:r>
              <w:rPr>
                <w:sz w:val="18"/>
              </w:rPr>
              <w:t>re-used</w:t>
            </w:r>
            <w:r>
              <w:rPr>
                <w:spacing w:val="-4"/>
                <w:sz w:val="18"/>
              </w:rPr>
              <w:t xml:space="preserve"> </w:t>
            </w:r>
            <w:r>
              <w:rPr>
                <w:sz w:val="18"/>
              </w:rPr>
              <w:t>shall</w:t>
            </w:r>
            <w:r>
              <w:rPr>
                <w:spacing w:val="-4"/>
                <w:sz w:val="18"/>
              </w:rPr>
              <w:t xml:space="preserve"> </w:t>
            </w:r>
            <w:r>
              <w:rPr>
                <w:sz w:val="18"/>
              </w:rPr>
              <w:t>become</w:t>
            </w:r>
            <w:r>
              <w:rPr>
                <w:spacing w:val="-2"/>
                <w:sz w:val="18"/>
              </w:rPr>
              <w:t xml:space="preserve"> </w:t>
            </w:r>
            <w:r>
              <w:rPr>
                <w:sz w:val="18"/>
              </w:rPr>
              <w:t>the</w:t>
            </w:r>
            <w:r>
              <w:rPr>
                <w:spacing w:val="-1"/>
                <w:sz w:val="18"/>
              </w:rPr>
              <w:t xml:space="preserve"> </w:t>
            </w:r>
            <w:r>
              <w:rPr>
                <w:sz w:val="18"/>
              </w:rPr>
              <w:t>property</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Ministry of Public Works. The Contractor shall allow in his rates the cost of transporting the demolished materials to where directed by the Project Manager.</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49"/>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24"/>
        </w:trPr>
        <w:tc>
          <w:tcPr>
            <w:tcW w:w="708" w:type="dxa"/>
            <w:tcBorders>
              <w:bottom w:val="nil"/>
            </w:tcBorders>
          </w:tcPr>
          <w:p w:rsidR="007F6DF9" w:rsidRDefault="00A43FBC">
            <w:pPr>
              <w:pStyle w:val="TableParagraph"/>
              <w:spacing w:line="205" w:lineRule="exact"/>
              <w:ind w:right="24"/>
              <w:jc w:val="right"/>
              <w:rPr>
                <w:sz w:val="18"/>
              </w:rPr>
            </w:pPr>
            <w:r>
              <w:rPr>
                <w:spacing w:val="-10"/>
                <w:w w:val="110"/>
                <w:sz w:val="18"/>
              </w:rPr>
              <w:t>A</w:t>
            </w:r>
          </w:p>
        </w:tc>
        <w:tc>
          <w:tcPr>
            <w:tcW w:w="7768" w:type="dxa"/>
            <w:tcBorders>
              <w:bottom w:val="nil"/>
            </w:tcBorders>
          </w:tcPr>
          <w:p w:rsidR="007F6DF9" w:rsidRDefault="00A43FBC">
            <w:pPr>
              <w:pStyle w:val="TableParagraph"/>
              <w:spacing w:line="205" w:lineRule="exact"/>
              <w:ind w:left="38"/>
              <w:rPr>
                <w:sz w:val="18"/>
              </w:rPr>
            </w:pPr>
            <w:r>
              <w:rPr>
                <w:w w:val="105"/>
                <w:sz w:val="18"/>
              </w:rPr>
              <w:t>CLEARING</w:t>
            </w:r>
            <w:r>
              <w:rPr>
                <w:spacing w:val="-4"/>
                <w:w w:val="105"/>
                <w:sz w:val="18"/>
              </w:rPr>
              <w:t xml:space="preserve"> AWAY</w:t>
            </w:r>
          </w:p>
        </w:tc>
        <w:tc>
          <w:tcPr>
            <w:tcW w:w="1534" w:type="dxa"/>
            <w:vMerge w:val="restart"/>
            <w:tcBorders>
              <w:bottom w:val="nil"/>
            </w:tcBorders>
          </w:tcPr>
          <w:p w:rsidR="007F6DF9" w:rsidRDefault="007F6DF9">
            <w:pPr>
              <w:pStyle w:val="TableParagraph"/>
              <w:rPr>
                <w:rFonts w:ascii="Times New Roman"/>
                <w:sz w:val="18"/>
              </w:rPr>
            </w:pPr>
          </w:p>
        </w:tc>
      </w:tr>
      <w:tr w:rsidR="007F6DF9">
        <w:trPr>
          <w:trHeight w:val="1267"/>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3"/>
              <w:jc w:val="both"/>
              <w:rPr>
                <w:sz w:val="18"/>
              </w:rPr>
            </w:pPr>
            <w:r>
              <w:rPr>
                <w:sz w:val="18"/>
              </w:rPr>
              <w:t>The Contractor shall</w:t>
            </w:r>
            <w:r>
              <w:rPr>
                <w:spacing w:val="-1"/>
                <w:sz w:val="18"/>
              </w:rPr>
              <w:t xml:space="preserve"> </w:t>
            </w:r>
            <w:r>
              <w:rPr>
                <w:sz w:val="18"/>
              </w:rPr>
              <w:t>remove all</w:t>
            </w:r>
            <w:r>
              <w:rPr>
                <w:spacing w:val="-1"/>
                <w:sz w:val="18"/>
              </w:rPr>
              <w:t xml:space="preserve"> </w:t>
            </w:r>
            <w:r>
              <w:rPr>
                <w:sz w:val="18"/>
              </w:rPr>
              <w:t>temporary works,</w:t>
            </w:r>
            <w:r>
              <w:rPr>
                <w:spacing w:val="-1"/>
                <w:sz w:val="18"/>
              </w:rPr>
              <w:t xml:space="preserve"> </w:t>
            </w:r>
            <w:r>
              <w:rPr>
                <w:sz w:val="18"/>
              </w:rPr>
              <w:t>rubbish,</w:t>
            </w:r>
            <w:r>
              <w:rPr>
                <w:spacing w:val="-1"/>
                <w:sz w:val="18"/>
              </w:rPr>
              <w:t xml:space="preserve"> </w:t>
            </w:r>
            <w:r>
              <w:rPr>
                <w:sz w:val="18"/>
              </w:rPr>
              <w:t>debris</w:t>
            </w:r>
            <w:r>
              <w:rPr>
                <w:spacing w:val="-1"/>
                <w:sz w:val="18"/>
              </w:rPr>
              <w:t xml:space="preserve"> </w:t>
            </w:r>
            <w:r>
              <w:rPr>
                <w:sz w:val="18"/>
              </w:rPr>
              <w:t>and</w:t>
            </w:r>
            <w:r>
              <w:rPr>
                <w:spacing w:val="-1"/>
                <w:sz w:val="18"/>
              </w:rPr>
              <w:t xml:space="preserve"> </w:t>
            </w:r>
            <w:r>
              <w:rPr>
                <w:sz w:val="18"/>
              </w:rPr>
              <w:t>surplus</w:t>
            </w:r>
            <w:r>
              <w:rPr>
                <w:spacing w:val="-1"/>
                <w:sz w:val="18"/>
              </w:rPr>
              <w:t xml:space="preserve"> </w:t>
            </w:r>
            <w:r>
              <w:rPr>
                <w:sz w:val="18"/>
              </w:rPr>
              <w:t>materials from</w:t>
            </w:r>
            <w:r>
              <w:rPr>
                <w:spacing w:val="-1"/>
                <w:sz w:val="18"/>
              </w:rPr>
              <w:t xml:space="preserve"> </w:t>
            </w:r>
            <w:r>
              <w:rPr>
                <w:sz w:val="18"/>
              </w:rPr>
              <w:t>the site as they accumulate and upon completion of the works, remove and clear away all plant, equipment,</w:t>
            </w:r>
            <w:r>
              <w:rPr>
                <w:spacing w:val="-13"/>
                <w:sz w:val="18"/>
              </w:rPr>
              <w:t xml:space="preserve"> </w:t>
            </w:r>
            <w:r>
              <w:rPr>
                <w:sz w:val="18"/>
              </w:rPr>
              <w:t>rubbish,</w:t>
            </w:r>
            <w:r>
              <w:rPr>
                <w:spacing w:val="-13"/>
                <w:sz w:val="18"/>
              </w:rPr>
              <w:t xml:space="preserve"> </w:t>
            </w:r>
            <w:r>
              <w:rPr>
                <w:sz w:val="18"/>
              </w:rPr>
              <w:t>unused</w:t>
            </w:r>
            <w:r>
              <w:rPr>
                <w:spacing w:val="-13"/>
                <w:sz w:val="18"/>
              </w:rPr>
              <w:t xml:space="preserve"> </w:t>
            </w:r>
            <w:r>
              <w:rPr>
                <w:sz w:val="18"/>
              </w:rPr>
              <w:t>materials</w:t>
            </w:r>
            <w:r>
              <w:rPr>
                <w:spacing w:val="-11"/>
                <w:sz w:val="18"/>
              </w:rPr>
              <w:t xml:space="preserve"> </w:t>
            </w:r>
            <w:r>
              <w:rPr>
                <w:sz w:val="18"/>
              </w:rPr>
              <w:t>and</w:t>
            </w:r>
            <w:r>
              <w:rPr>
                <w:spacing w:val="-13"/>
                <w:sz w:val="18"/>
              </w:rPr>
              <w:t xml:space="preserve"> </w:t>
            </w:r>
            <w:r>
              <w:rPr>
                <w:sz w:val="18"/>
              </w:rPr>
              <w:t>stains</w:t>
            </w:r>
            <w:r>
              <w:rPr>
                <w:spacing w:val="-12"/>
                <w:sz w:val="18"/>
              </w:rPr>
              <w:t xml:space="preserve"> </w:t>
            </w:r>
            <w:r>
              <w:rPr>
                <w:sz w:val="18"/>
              </w:rPr>
              <w:t>and</w:t>
            </w:r>
            <w:r>
              <w:rPr>
                <w:spacing w:val="-13"/>
                <w:sz w:val="18"/>
              </w:rPr>
              <w:t xml:space="preserve"> </w:t>
            </w:r>
            <w:r>
              <w:rPr>
                <w:sz w:val="18"/>
              </w:rPr>
              <w:t>leave</w:t>
            </w:r>
            <w:r>
              <w:rPr>
                <w:spacing w:val="-12"/>
                <w:sz w:val="18"/>
              </w:rPr>
              <w:t xml:space="preserve"> </w:t>
            </w:r>
            <w:r>
              <w:rPr>
                <w:sz w:val="18"/>
              </w:rPr>
              <w:t>in</w:t>
            </w:r>
            <w:r>
              <w:rPr>
                <w:spacing w:val="-13"/>
                <w:sz w:val="18"/>
              </w:rPr>
              <w:t xml:space="preserve"> </w:t>
            </w:r>
            <w:r>
              <w:rPr>
                <w:sz w:val="18"/>
              </w:rPr>
              <w:t>a</w:t>
            </w:r>
            <w:r>
              <w:rPr>
                <w:spacing w:val="-13"/>
                <w:sz w:val="18"/>
              </w:rPr>
              <w:t xml:space="preserve"> </w:t>
            </w:r>
            <w:proofErr w:type="spellStart"/>
            <w:r>
              <w:rPr>
                <w:sz w:val="18"/>
              </w:rPr>
              <w:t>clean,The</w:t>
            </w:r>
            <w:proofErr w:type="spellEnd"/>
            <w:r>
              <w:rPr>
                <w:spacing w:val="-13"/>
                <w:sz w:val="18"/>
              </w:rPr>
              <w:t xml:space="preserve"> </w:t>
            </w:r>
            <w:r>
              <w:rPr>
                <w:sz w:val="18"/>
              </w:rPr>
              <w:t>whole</w:t>
            </w:r>
            <w:r>
              <w:rPr>
                <w:spacing w:val="-12"/>
                <w:sz w:val="18"/>
              </w:rPr>
              <w:t xml:space="preserve"> </w:t>
            </w:r>
            <w:r>
              <w:rPr>
                <w:sz w:val="18"/>
              </w:rPr>
              <w:t>of</w:t>
            </w:r>
            <w:r>
              <w:rPr>
                <w:spacing w:val="-15"/>
                <w:sz w:val="18"/>
              </w:rPr>
              <w:t xml:space="preserve"> </w:t>
            </w:r>
            <w:r>
              <w:rPr>
                <w:sz w:val="18"/>
              </w:rPr>
              <w:t>the</w:t>
            </w:r>
            <w:r>
              <w:rPr>
                <w:spacing w:val="-11"/>
                <w:sz w:val="18"/>
              </w:rPr>
              <w:t xml:space="preserve"> </w:t>
            </w:r>
            <w:r>
              <w:rPr>
                <w:sz w:val="18"/>
              </w:rPr>
              <w:t>works</w:t>
            </w:r>
            <w:r>
              <w:rPr>
                <w:spacing w:val="-13"/>
                <w:sz w:val="18"/>
              </w:rPr>
              <w:t xml:space="preserve"> </w:t>
            </w:r>
            <w:r>
              <w:rPr>
                <w:sz w:val="18"/>
              </w:rPr>
              <w:t>shall be</w:t>
            </w:r>
            <w:r>
              <w:rPr>
                <w:spacing w:val="-7"/>
                <w:sz w:val="18"/>
              </w:rPr>
              <w:t xml:space="preserve"> </w:t>
            </w:r>
            <w:r>
              <w:rPr>
                <w:sz w:val="18"/>
              </w:rPr>
              <w:t>delivered</w:t>
            </w:r>
            <w:r>
              <w:rPr>
                <w:spacing w:val="-8"/>
                <w:sz w:val="18"/>
              </w:rPr>
              <w:t xml:space="preserve"> </w:t>
            </w:r>
            <w:r>
              <w:rPr>
                <w:sz w:val="18"/>
              </w:rPr>
              <w:t>up</w:t>
            </w:r>
            <w:r>
              <w:rPr>
                <w:spacing w:val="-7"/>
                <w:sz w:val="18"/>
              </w:rPr>
              <w:t xml:space="preserve"> </w:t>
            </w:r>
            <w:r>
              <w:rPr>
                <w:sz w:val="18"/>
              </w:rPr>
              <w:t>clean,</w:t>
            </w:r>
            <w:r>
              <w:rPr>
                <w:spacing w:val="-8"/>
                <w:sz w:val="18"/>
              </w:rPr>
              <w:t xml:space="preserve"> </w:t>
            </w:r>
            <w:r>
              <w:rPr>
                <w:sz w:val="18"/>
              </w:rPr>
              <w:t>complete</w:t>
            </w:r>
            <w:r>
              <w:rPr>
                <w:spacing w:val="-7"/>
                <w:sz w:val="18"/>
              </w:rPr>
              <w:t xml:space="preserve"> </w:t>
            </w:r>
            <w:r>
              <w:rPr>
                <w:sz w:val="18"/>
              </w:rPr>
              <w:t>and</w:t>
            </w:r>
            <w:r>
              <w:rPr>
                <w:spacing w:val="-10"/>
                <w:sz w:val="18"/>
              </w:rPr>
              <w:t xml:space="preserve"> </w:t>
            </w:r>
            <w:r>
              <w:rPr>
                <w:sz w:val="18"/>
              </w:rPr>
              <w:t>in</w:t>
            </w:r>
            <w:r>
              <w:rPr>
                <w:spacing w:val="-7"/>
                <w:sz w:val="18"/>
              </w:rPr>
              <w:t xml:space="preserve"> </w:t>
            </w:r>
            <w:r>
              <w:rPr>
                <w:sz w:val="18"/>
              </w:rPr>
              <w:t>perfect</w:t>
            </w:r>
            <w:r>
              <w:rPr>
                <w:spacing w:val="-8"/>
                <w:sz w:val="18"/>
              </w:rPr>
              <w:t xml:space="preserve"> </w:t>
            </w:r>
            <w:r>
              <w:rPr>
                <w:sz w:val="18"/>
              </w:rPr>
              <w:t>condition</w:t>
            </w:r>
            <w:r>
              <w:rPr>
                <w:spacing w:val="-7"/>
                <w:sz w:val="18"/>
              </w:rPr>
              <w:t xml:space="preserve"> </w:t>
            </w:r>
            <w:r>
              <w:rPr>
                <w:sz w:val="18"/>
              </w:rPr>
              <w:t>in</w:t>
            </w:r>
            <w:r>
              <w:rPr>
                <w:spacing w:val="-9"/>
                <w:sz w:val="18"/>
              </w:rPr>
              <w:t xml:space="preserve"> </w:t>
            </w:r>
            <w:r>
              <w:rPr>
                <w:sz w:val="18"/>
              </w:rPr>
              <w:t>every</w:t>
            </w:r>
            <w:r>
              <w:rPr>
                <w:spacing w:val="-7"/>
                <w:sz w:val="18"/>
              </w:rPr>
              <w:t xml:space="preserve"> </w:t>
            </w:r>
            <w:r>
              <w:rPr>
                <w:sz w:val="18"/>
              </w:rPr>
              <w:t>respect</w:t>
            </w:r>
            <w:r>
              <w:rPr>
                <w:spacing w:val="-8"/>
                <w:sz w:val="18"/>
              </w:rPr>
              <w:t xml:space="preserve"> </w:t>
            </w:r>
            <w:r>
              <w:rPr>
                <w:sz w:val="18"/>
              </w:rPr>
              <w:t>to</w:t>
            </w:r>
            <w:r>
              <w:rPr>
                <w:spacing w:val="-7"/>
                <w:sz w:val="18"/>
              </w:rPr>
              <w:t xml:space="preserve"> </w:t>
            </w:r>
            <w:r>
              <w:rPr>
                <w:sz w:val="18"/>
              </w:rPr>
              <w:t>the</w:t>
            </w:r>
            <w:r>
              <w:rPr>
                <w:spacing w:val="-9"/>
                <w:sz w:val="18"/>
              </w:rPr>
              <w:t xml:space="preserve"> </w:t>
            </w:r>
            <w:r>
              <w:rPr>
                <w:sz w:val="18"/>
              </w:rPr>
              <w:t>satisfaction</w:t>
            </w:r>
            <w:r>
              <w:rPr>
                <w:spacing w:val="-7"/>
                <w:sz w:val="18"/>
              </w:rPr>
              <w:t xml:space="preserve"> </w:t>
            </w:r>
            <w:r>
              <w:rPr>
                <w:sz w:val="18"/>
              </w:rPr>
              <w:t>of</w:t>
            </w:r>
            <w:r>
              <w:rPr>
                <w:spacing w:val="-10"/>
                <w:sz w:val="18"/>
              </w:rPr>
              <w:t xml:space="preserve"> </w:t>
            </w:r>
            <w:r>
              <w:rPr>
                <w:sz w:val="18"/>
              </w:rPr>
              <w:t>the Project Manager.</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before="115" w:line="210" w:lineRule="exact"/>
              <w:ind w:left="38"/>
              <w:rPr>
                <w:sz w:val="18"/>
              </w:rPr>
            </w:pPr>
            <w:r>
              <w:rPr>
                <w:sz w:val="18"/>
              </w:rPr>
              <w:t>CLAIMS</w:t>
            </w:r>
            <w:r>
              <w:rPr>
                <w:spacing w:val="44"/>
                <w:sz w:val="18"/>
              </w:rPr>
              <w:t xml:space="preserve"> </w:t>
            </w:r>
            <w:r>
              <w:rPr>
                <w:sz w:val="18"/>
              </w:rPr>
              <w:t>/</w:t>
            </w:r>
            <w:r>
              <w:rPr>
                <w:spacing w:val="46"/>
                <w:sz w:val="18"/>
              </w:rPr>
              <w:t xml:space="preserve"> </w:t>
            </w:r>
            <w:r>
              <w:rPr>
                <w:sz w:val="18"/>
              </w:rPr>
              <w:t>COMPENSATION</w:t>
            </w:r>
            <w:r>
              <w:rPr>
                <w:spacing w:val="44"/>
                <w:sz w:val="18"/>
              </w:rPr>
              <w:t xml:space="preserve"> </w:t>
            </w:r>
            <w:r>
              <w:rPr>
                <w:spacing w:val="-2"/>
                <w:sz w:val="18"/>
              </w:rPr>
              <w:t>EVENTS</w:t>
            </w:r>
          </w:p>
        </w:tc>
        <w:tc>
          <w:tcPr>
            <w:tcW w:w="1534" w:type="dxa"/>
            <w:vMerge/>
            <w:tcBorders>
              <w:top w:val="nil"/>
              <w:bottom w:val="nil"/>
            </w:tcBorders>
          </w:tcPr>
          <w:p w:rsidR="007F6DF9" w:rsidRDefault="007F6DF9">
            <w:pPr>
              <w:rPr>
                <w:sz w:val="2"/>
                <w:szCs w:val="2"/>
              </w:rPr>
            </w:pPr>
          </w:p>
        </w:tc>
      </w:tr>
      <w:tr w:rsidR="007F6DF9">
        <w:trPr>
          <w:trHeight w:val="1267"/>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It shall be a condition of this contract that upon it becoming reasonably apparent to the Contractor</w:t>
            </w:r>
            <w:r>
              <w:rPr>
                <w:spacing w:val="-7"/>
                <w:sz w:val="18"/>
              </w:rPr>
              <w:t xml:space="preserve"> </w:t>
            </w:r>
            <w:r>
              <w:rPr>
                <w:sz w:val="18"/>
              </w:rPr>
              <w:t>that</w:t>
            </w:r>
            <w:r>
              <w:rPr>
                <w:spacing w:val="-7"/>
                <w:sz w:val="18"/>
              </w:rPr>
              <w:t xml:space="preserve"> </w:t>
            </w:r>
            <w:r>
              <w:rPr>
                <w:sz w:val="18"/>
              </w:rPr>
              <w:t>he</w:t>
            </w:r>
            <w:r>
              <w:rPr>
                <w:spacing w:val="-7"/>
                <w:sz w:val="18"/>
              </w:rPr>
              <w:t xml:space="preserve"> </w:t>
            </w:r>
            <w:r>
              <w:rPr>
                <w:sz w:val="18"/>
              </w:rPr>
              <w:t>has</w:t>
            </w:r>
            <w:r>
              <w:rPr>
                <w:spacing w:val="-7"/>
                <w:sz w:val="18"/>
              </w:rPr>
              <w:t xml:space="preserve"> </w:t>
            </w:r>
            <w:r>
              <w:rPr>
                <w:sz w:val="18"/>
              </w:rPr>
              <w:t>incurred</w:t>
            </w:r>
            <w:r>
              <w:rPr>
                <w:spacing w:val="-8"/>
                <w:sz w:val="18"/>
              </w:rPr>
              <w:t xml:space="preserve"> </w:t>
            </w:r>
            <w:r>
              <w:rPr>
                <w:sz w:val="18"/>
              </w:rPr>
              <w:t>losses</w:t>
            </w:r>
            <w:r>
              <w:rPr>
                <w:spacing w:val="-5"/>
                <w:sz w:val="18"/>
              </w:rPr>
              <w:t xml:space="preserve"> </w:t>
            </w:r>
            <w:r>
              <w:rPr>
                <w:sz w:val="18"/>
              </w:rPr>
              <w:t>and</w:t>
            </w:r>
            <w:r>
              <w:rPr>
                <w:spacing w:val="-8"/>
                <w:sz w:val="18"/>
              </w:rPr>
              <w:t xml:space="preserve"> </w:t>
            </w:r>
            <w:r>
              <w:rPr>
                <w:sz w:val="18"/>
              </w:rPr>
              <w:t>/</w:t>
            </w:r>
            <w:r>
              <w:rPr>
                <w:spacing w:val="-7"/>
                <w:sz w:val="18"/>
              </w:rPr>
              <w:t xml:space="preserve"> </w:t>
            </w:r>
            <w:r>
              <w:rPr>
                <w:sz w:val="18"/>
              </w:rPr>
              <w:t>or</w:t>
            </w:r>
            <w:r>
              <w:rPr>
                <w:spacing w:val="-7"/>
                <w:sz w:val="18"/>
              </w:rPr>
              <w:t xml:space="preserve"> </w:t>
            </w:r>
            <w:r>
              <w:rPr>
                <w:sz w:val="18"/>
              </w:rPr>
              <w:t>expenses</w:t>
            </w:r>
            <w:r>
              <w:rPr>
                <w:spacing w:val="-5"/>
                <w:sz w:val="18"/>
              </w:rPr>
              <w:t xml:space="preserve"> </w:t>
            </w:r>
            <w:r>
              <w:rPr>
                <w:sz w:val="18"/>
              </w:rPr>
              <w:t>due</w:t>
            </w:r>
            <w:r>
              <w:rPr>
                <w:spacing w:val="-7"/>
                <w:sz w:val="18"/>
              </w:rPr>
              <w:t xml:space="preserve"> </w:t>
            </w:r>
            <w:r>
              <w:rPr>
                <w:sz w:val="18"/>
              </w:rPr>
              <w:t>to</w:t>
            </w:r>
            <w:r>
              <w:rPr>
                <w:spacing w:val="-5"/>
                <w:sz w:val="18"/>
              </w:rPr>
              <w:t xml:space="preserve"> </w:t>
            </w:r>
            <w:r>
              <w:rPr>
                <w:sz w:val="18"/>
              </w:rPr>
              <w:t>any</w:t>
            </w:r>
            <w:r>
              <w:rPr>
                <w:spacing w:val="-7"/>
                <w:sz w:val="18"/>
              </w:rPr>
              <w:t xml:space="preserve"> </w:t>
            </w:r>
            <w:r>
              <w:rPr>
                <w:sz w:val="18"/>
              </w:rPr>
              <w:t>of</w:t>
            </w:r>
            <w:r>
              <w:rPr>
                <w:spacing w:val="-5"/>
                <w:sz w:val="18"/>
              </w:rPr>
              <w:t xml:space="preserve"> </w:t>
            </w:r>
            <w:r>
              <w:rPr>
                <w:sz w:val="18"/>
              </w:rPr>
              <w:t>the</w:t>
            </w:r>
            <w:r>
              <w:rPr>
                <w:spacing w:val="-7"/>
                <w:sz w:val="18"/>
              </w:rPr>
              <w:t xml:space="preserve"> </w:t>
            </w:r>
            <w:r>
              <w:rPr>
                <w:sz w:val="18"/>
              </w:rPr>
              <w:t>contract</w:t>
            </w:r>
            <w:r>
              <w:rPr>
                <w:spacing w:val="-4"/>
                <w:sz w:val="18"/>
              </w:rPr>
              <w:t xml:space="preserve"> </w:t>
            </w:r>
            <w:r>
              <w:rPr>
                <w:sz w:val="18"/>
              </w:rPr>
              <w:t>conditions,</w:t>
            </w:r>
            <w:r>
              <w:rPr>
                <w:spacing w:val="-8"/>
                <w:sz w:val="18"/>
              </w:rPr>
              <w:t xml:space="preserve"> </w:t>
            </w:r>
            <w:r>
              <w:rPr>
                <w:sz w:val="18"/>
              </w:rPr>
              <w:t>or by any other reason whatsoever, he shall present such a claim or intent to claim notice to the PROJECT</w:t>
            </w:r>
            <w:r>
              <w:rPr>
                <w:spacing w:val="19"/>
                <w:sz w:val="18"/>
              </w:rPr>
              <w:t xml:space="preserve"> </w:t>
            </w:r>
            <w:r>
              <w:rPr>
                <w:sz w:val="18"/>
              </w:rPr>
              <w:t>MANAGER</w:t>
            </w:r>
            <w:r>
              <w:rPr>
                <w:spacing w:val="19"/>
                <w:sz w:val="18"/>
              </w:rPr>
              <w:t xml:space="preserve"> </w:t>
            </w:r>
            <w:r>
              <w:rPr>
                <w:sz w:val="18"/>
              </w:rPr>
              <w:t>within</w:t>
            </w:r>
            <w:r>
              <w:rPr>
                <w:spacing w:val="19"/>
                <w:sz w:val="18"/>
              </w:rPr>
              <w:t xml:space="preserve"> </w:t>
            </w:r>
            <w:r>
              <w:rPr>
                <w:sz w:val="18"/>
              </w:rPr>
              <w:t>the</w:t>
            </w:r>
            <w:r>
              <w:rPr>
                <w:spacing w:val="19"/>
                <w:sz w:val="18"/>
              </w:rPr>
              <w:t xml:space="preserve"> </w:t>
            </w:r>
            <w:r>
              <w:rPr>
                <w:sz w:val="18"/>
              </w:rPr>
              <w:t>contract</w:t>
            </w:r>
            <w:r>
              <w:rPr>
                <w:spacing w:val="20"/>
                <w:sz w:val="18"/>
              </w:rPr>
              <w:t xml:space="preserve"> </w:t>
            </w:r>
            <w:r>
              <w:rPr>
                <w:sz w:val="18"/>
              </w:rPr>
              <w:t>period.</w:t>
            </w:r>
            <w:r>
              <w:rPr>
                <w:spacing w:val="18"/>
                <w:sz w:val="18"/>
              </w:rPr>
              <w:t xml:space="preserve"> </w:t>
            </w:r>
            <w:r>
              <w:rPr>
                <w:sz w:val="18"/>
              </w:rPr>
              <w:t>No</w:t>
            </w:r>
            <w:r>
              <w:rPr>
                <w:spacing w:val="19"/>
                <w:sz w:val="18"/>
              </w:rPr>
              <w:t xml:space="preserve"> </w:t>
            </w:r>
            <w:r>
              <w:rPr>
                <w:sz w:val="18"/>
              </w:rPr>
              <w:t>claim</w:t>
            </w:r>
            <w:r>
              <w:rPr>
                <w:spacing w:val="19"/>
                <w:sz w:val="18"/>
              </w:rPr>
              <w:t xml:space="preserve"> </w:t>
            </w:r>
            <w:r>
              <w:rPr>
                <w:sz w:val="18"/>
              </w:rPr>
              <w:t>shall</w:t>
            </w:r>
            <w:r>
              <w:rPr>
                <w:spacing w:val="18"/>
                <w:sz w:val="18"/>
              </w:rPr>
              <w:t xml:space="preserve"> </w:t>
            </w:r>
            <w:r>
              <w:rPr>
                <w:sz w:val="18"/>
              </w:rPr>
              <w:t>be</w:t>
            </w:r>
            <w:r>
              <w:rPr>
                <w:spacing w:val="19"/>
                <w:sz w:val="18"/>
              </w:rPr>
              <w:t xml:space="preserve"> </w:t>
            </w:r>
            <w:r>
              <w:rPr>
                <w:sz w:val="18"/>
              </w:rPr>
              <w:t>entertained</w:t>
            </w:r>
            <w:r>
              <w:rPr>
                <w:spacing w:val="18"/>
                <w:sz w:val="18"/>
              </w:rPr>
              <w:t xml:space="preserve"> </w:t>
            </w:r>
            <w:r>
              <w:rPr>
                <w:sz w:val="18"/>
              </w:rPr>
              <w:t>upon</w:t>
            </w:r>
            <w:r>
              <w:rPr>
                <w:spacing w:val="18"/>
                <w:sz w:val="18"/>
              </w:rPr>
              <w:t xml:space="preserve"> </w:t>
            </w:r>
            <w:r>
              <w:rPr>
                <w:sz w:val="18"/>
              </w:rPr>
              <w:t>the</w:t>
            </w:r>
            <w:r>
              <w:rPr>
                <w:spacing w:val="16"/>
                <w:sz w:val="18"/>
              </w:rPr>
              <w:t xml:space="preserve"> </w:t>
            </w:r>
            <w:r>
              <w:rPr>
                <w:sz w:val="18"/>
              </w:rPr>
              <w:t>expiry of the said contract period.</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115" w:line="210" w:lineRule="exact"/>
              <w:ind w:left="38"/>
              <w:rPr>
                <w:sz w:val="18"/>
              </w:rPr>
            </w:pPr>
            <w:r>
              <w:rPr>
                <w:spacing w:val="-2"/>
                <w:w w:val="105"/>
                <w:sz w:val="18"/>
              </w:rPr>
              <w:t>PAYMENTS</w:t>
            </w:r>
          </w:p>
        </w:tc>
        <w:tc>
          <w:tcPr>
            <w:tcW w:w="1534" w:type="dxa"/>
            <w:vMerge/>
            <w:tcBorders>
              <w:top w:val="nil"/>
              <w:bottom w:val="nil"/>
            </w:tcBorders>
          </w:tcPr>
          <w:p w:rsidR="007F6DF9" w:rsidRDefault="007F6DF9">
            <w:pPr>
              <w:rPr>
                <w:sz w:val="2"/>
                <w:szCs w:val="2"/>
              </w:rPr>
            </w:pPr>
          </w:p>
        </w:tc>
      </w:tr>
      <w:tr w:rsidR="007F6DF9">
        <w:trPr>
          <w:trHeight w:val="1037"/>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Payments</w:t>
            </w:r>
            <w:r>
              <w:rPr>
                <w:spacing w:val="-3"/>
                <w:sz w:val="18"/>
              </w:rPr>
              <w:t xml:space="preserve"> </w:t>
            </w:r>
            <w:r>
              <w:rPr>
                <w:sz w:val="18"/>
              </w:rPr>
              <w:t>shall</w:t>
            </w:r>
            <w:r>
              <w:rPr>
                <w:spacing w:val="-5"/>
                <w:sz w:val="18"/>
              </w:rPr>
              <w:t xml:space="preserve"> </w:t>
            </w:r>
            <w:r>
              <w:rPr>
                <w:sz w:val="18"/>
              </w:rPr>
              <w:t>be</w:t>
            </w:r>
            <w:r>
              <w:rPr>
                <w:spacing w:val="-4"/>
                <w:sz w:val="18"/>
              </w:rPr>
              <w:t xml:space="preserve"> </w:t>
            </w:r>
            <w:r>
              <w:rPr>
                <w:sz w:val="18"/>
              </w:rPr>
              <w:t>in</w:t>
            </w:r>
            <w:r>
              <w:rPr>
                <w:spacing w:val="-4"/>
                <w:sz w:val="18"/>
              </w:rPr>
              <w:t xml:space="preserve"> </w:t>
            </w:r>
            <w:r>
              <w:rPr>
                <w:sz w:val="18"/>
              </w:rPr>
              <w:t>accordance</w:t>
            </w:r>
            <w:r>
              <w:rPr>
                <w:spacing w:val="-3"/>
                <w:sz w:val="18"/>
              </w:rPr>
              <w:t xml:space="preserve"> </w:t>
            </w:r>
            <w:r>
              <w:rPr>
                <w:sz w:val="18"/>
              </w:rPr>
              <w:t>with</w:t>
            </w:r>
            <w:r>
              <w:rPr>
                <w:spacing w:val="-4"/>
                <w:sz w:val="18"/>
              </w:rPr>
              <w:t xml:space="preserve"> </w:t>
            </w:r>
            <w:r>
              <w:rPr>
                <w:sz w:val="18"/>
              </w:rPr>
              <w:t>the</w:t>
            </w:r>
            <w:r>
              <w:rPr>
                <w:spacing w:val="-4"/>
                <w:sz w:val="18"/>
              </w:rPr>
              <w:t xml:space="preserve"> </w:t>
            </w:r>
            <w:r>
              <w:rPr>
                <w:sz w:val="18"/>
              </w:rPr>
              <w:t>Conditions</w:t>
            </w:r>
            <w:r>
              <w:rPr>
                <w:spacing w:val="-6"/>
                <w:sz w:val="18"/>
              </w:rPr>
              <w:t xml:space="preserve"> </w:t>
            </w:r>
            <w:r>
              <w:rPr>
                <w:sz w:val="18"/>
              </w:rPr>
              <w:t>of</w:t>
            </w:r>
            <w:r>
              <w:rPr>
                <w:spacing w:val="-5"/>
                <w:sz w:val="18"/>
              </w:rPr>
              <w:t xml:space="preserve"> </w:t>
            </w:r>
            <w:r>
              <w:rPr>
                <w:sz w:val="18"/>
              </w:rPr>
              <w:t>Contract</w:t>
            </w:r>
            <w:r>
              <w:rPr>
                <w:spacing w:val="-6"/>
                <w:sz w:val="18"/>
              </w:rPr>
              <w:t xml:space="preserve"> </w:t>
            </w:r>
            <w:r>
              <w:rPr>
                <w:sz w:val="18"/>
              </w:rPr>
              <w:t>Agreement.</w:t>
            </w:r>
            <w:r>
              <w:rPr>
                <w:spacing w:val="-4"/>
                <w:sz w:val="18"/>
              </w:rPr>
              <w:t xml:space="preserve"> </w:t>
            </w:r>
            <w:r>
              <w:rPr>
                <w:sz w:val="18"/>
              </w:rPr>
              <w:t>In</w:t>
            </w:r>
            <w:r>
              <w:rPr>
                <w:spacing w:val="-7"/>
                <w:sz w:val="18"/>
              </w:rPr>
              <w:t xml:space="preserve"> </w:t>
            </w:r>
            <w:r>
              <w:rPr>
                <w:sz w:val="18"/>
              </w:rPr>
              <w:t>order</w:t>
            </w:r>
            <w:r>
              <w:rPr>
                <w:spacing w:val="-4"/>
                <w:sz w:val="18"/>
              </w:rPr>
              <w:t xml:space="preserve"> </w:t>
            </w:r>
            <w:r>
              <w:rPr>
                <w:sz w:val="18"/>
              </w:rPr>
              <w:t>to</w:t>
            </w:r>
            <w:r>
              <w:rPr>
                <w:spacing w:val="-7"/>
                <w:sz w:val="18"/>
              </w:rPr>
              <w:t xml:space="preserve"> </w:t>
            </w:r>
            <w:r>
              <w:rPr>
                <w:sz w:val="18"/>
              </w:rPr>
              <w:t>facilitate this,</w:t>
            </w:r>
            <w:r>
              <w:rPr>
                <w:spacing w:val="-12"/>
                <w:sz w:val="18"/>
              </w:rPr>
              <w:t xml:space="preserve"> </w:t>
            </w:r>
            <w:r>
              <w:rPr>
                <w:sz w:val="18"/>
              </w:rPr>
              <w:t>a</w:t>
            </w:r>
            <w:r>
              <w:rPr>
                <w:spacing w:val="-12"/>
                <w:sz w:val="18"/>
              </w:rPr>
              <w:t xml:space="preserve"> </w:t>
            </w:r>
            <w:r>
              <w:rPr>
                <w:sz w:val="18"/>
              </w:rPr>
              <w:t>list</w:t>
            </w:r>
            <w:r>
              <w:rPr>
                <w:spacing w:val="-11"/>
                <w:sz w:val="18"/>
              </w:rPr>
              <w:t xml:space="preserve"> </w:t>
            </w:r>
            <w:r>
              <w:rPr>
                <w:sz w:val="18"/>
              </w:rPr>
              <w:t>of</w:t>
            </w:r>
            <w:r>
              <w:rPr>
                <w:spacing w:val="-12"/>
                <w:sz w:val="18"/>
              </w:rPr>
              <w:t xml:space="preserve"> </w:t>
            </w:r>
            <w:r>
              <w:rPr>
                <w:sz w:val="18"/>
              </w:rPr>
              <w:t>the</w:t>
            </w:r>
            <w:r>
              <w:rPr>
                <w:spacing w:val="-11"/>
                <w:sz w:val="18"/>
              </w:rPr>
              <w:t xml:space="preserve"> </w:t>
            </w:r>
            <w:r>
              <w:rPr>
                <w:sz w:val="18"/>
              </w:rPr>
              <w:t>general</w:t>
            </w:r>
            <w:r>
              <w:rPr>
                <w:spacing w:val="-13"/>
                <w:sz w:val="18"/>
              </w:rPr>
              <w:t xml:space="preserve"> </w:t>
            </w:r>
            <w:r>
              <w:rPr>
                <w:sz w:val="18"/>
              </w:rPr>
              <w:t>component</w:t>
            </w:r>
            <w:r>
              <w:rPr>
                <w:spacing w:val="-11"/>
                <w:sz w:val="18"/>
              </w:rPr>
              <w:t xml:space="preserve"> </w:t>
            </w:r>
            <w:r>
              <w:rPr>
                <w:sz w:val="18"/>
              </w:rPr>
              <w:t>elements</w:t>
            </w:r>
            <w:r>
              <w:rPr>
                <w:spacing w:val="-11"/>
                <w:sz w:val="18"/>
              </w:rPr>
              <w:t xml:space="preserve"> </w:t>
            </w:r>
            <w:r>
              <w:rPr>
                <w:sz w:val="18"/>
              </w:rPr>
              <w:t>for</w:t>
            </w:r>
            <w:r>
              <w:rPr>
                <w:spacing w:val="-12"/>
                <w:sz w:val="18"/>
              </w:rPr>
              <w:t xml:space="preserve"> </w:t>
            </w:r>
            <w:r>
              <w:rPr>
                <w:sz w:val="18"/>
              </w:rPr>
              <w:t>the</w:t>
            </w:r>
            <w:r>
              <w:rPr>
                <w:spacing w:val="-14"/>
                <w:sz w:val="18"/>
              </w:rPr>
              <w:t xml:space="preserve"> </w:t>
            </w:r>
            <w:r>
              <w:rPr>
                <w:sz w:val="18"/>
              </w:rPr>
              <w:t>works</w:t>
            </w:r>
            <w:r>
              <w:rPr>
                <w:spacing w:val="-11"/>
                <w:sz w:val="18"/>
              </w:rPr>
              <w:t xml:space="preserve"> </w:t>
            </w:r>
            <w:r>
              <w:rPr>
                <w:sz w:val="18"/>
              </w:rPr>
              <w:t>is</w:t>
            </w:r>
            <w:r>
              <w:rPr>
                <w:spacing w:val="-13"/>
                <w:sz w:val="18"/>
              </w:rPr>
              <w:t xml:space="preserve"> </w:t>
            </w:r>
            <w:r>
              <w:rPr>
                <w:sz w:val="18"/>
              </w:rPr>
              <w:t>given</w:t>
            </w:r>
            <w:r>
              <w:rPr>
                <w:spacing w:val="-11"/>
                <w:sz w:val="18"/>
              </w:rPr>
              <w:t xml:space="preserve"> </w:t>
            </w:r>
            <w:r>
              <w:rPr>
                <w:sz w:val="18"/>
              </w:rPr>
              <w:t>at</w:t>
            </w:r>
            <w:r>
              <w:rPr>
                <w:spacing w:val="-14"/>
                <w:sz w:val="18"/>
              </w:rPr>
              <w:t xml:space="preserve"> </w:t>
            </w:r>
            <w:r>
              <w:rPr>
                <w:sz w:val="18"/>
              </w:rPr>
              <w:t>the</w:t>
            </w:r>
            <w:r>
              <w:rPr>
                <w:spacing w:val="-11"/>
                <w:sz w:val="18"/>
              </w:rPr>
              <w:t xml:space="preserve"> </w:t>
            </w:r>
            <w:r>
              <w:rPr>
                <w:sz w:val="18"/>
              </w:rPr>
              <w:t>summary</w:t>
            </w:r>
            <w:r>
              <w:rPr>
                <w:spacing w:val="-14"/>
                <w:sz w:val="18"/>
              </w:rPr>
              <w:t xml:space="preserve"> </w:t>
            </w:r>
            <w:r>
              <w:rPr>
                <w:sz w:val="18"/>
              </w:rPr>
              <w:t>page</w:t>
            </w:r>
            <w:r>
              <w:rPr>
                <w:spacing w:val="-11"/>
                <w:sz w:val="18"/>
              </w:rPr>
              <w:t xml:space="preserve"> </w:t>
            </w:r>
            <w:r>
              <w:rPr>
                <w:sz w:val="18"/>
              </w:rPr>
              <w:t>of</w:t>
            </w:r>
            <w:r>
              <w:rPr>
                <w:spacing w:val="-14"/>
                <w:sz w:val="18"/>
              </w:rPr>
              <w:t xml:space="preserve"> </w:t>
            </w:r>
            <w:r>
              <w:rPr>
                <w:sz w:val="18"/>
              </w:rPr>
              <w:t>these specifications and</w:t>
            </w:r>
            <w:r>
              <w:rPr>
                <w:spacing w:val="-1"/>
                <w:sz w:val="18"/>
              </w:rPr>
              <w:t xml:space="preserve"> </w:t>
            </w:r>
            <w:r>
              <w:rPr>
                <w:sz w:val="18"/>
              </w:rPr>
              <w:t>the tenderer</w:t>
            </w:r>
            <w:r>
              <w:rPr>
                <w:spacing w:val="-2"/>
                <w:sz w:val="18"/>
              </w:rPr>
              <w:t xml:space="preserve"> </w:t>
            </w:r>
            <w:r>
              <w:rPr>
                <w:sz w:val="18"/>
              </w:rPr>
              <w:t>is requested</w:t>
            </w:r>
            <w:r>
              <w:rPr>
                <w:spacing w:val="-2"/>
                <w:sz w:val="18"/>
              </w:rPr>
              <w:t xml:space="preserve"> </w:t>
            </w:r>
            <w:r>
              <w:rPr>
                <w:sz w:val="18"/>
              </w:rPr>
              <w:t>to break</w:t>
            </w:r>
            <w:r>
              <w:rPr>
                <w:spacing w:val="-1"/>
                <w:sz w:val="18"/>
              </w:rPr>
              <w:t xml:space="preserve"> </w:t>
            </w:r>
            <w:r>
              <w:rPr>
                <w:sz w:val="18"/>
              </w:rPr>
              <w:t>down his</w:t>
            </w:r>
            <w:r>
              <w:rPr>
                <w:spacing w:val="-2"/>
                <w:sz w:val="18"/>
              </w:rPr>
              <w:t xml:space="preserve"> </w:t>
            </w:r>
            <w:r>
              <w:rPr>
                <w:sz w:val="18"/>
              </w:rPr>
              <w:t>tender sum</w:t>
            </w:r>
            <w:r>
              <w:rPr>
                <w:spacing w:val="-2"/>
                <w:sz w:val="18"/>
              </w:rPr>
              <w:t xml:space="preserve"> </w:t>
            </w:r>
            <w:r>
              <w:rPr>
                <w:sz w:val="18"/>
              </w:rPr>
              <w:t>commensurate to</w:t>
            </w:r>
            <w:r>
              <w:rPr>
                <w:spacing w:val="-2"/>
                <w:sz w:val="18"/>
              </w:rPr>
              <w:t xml:space="preserve"> </w:t>
            </w:r>
            <w:r>
              <w:rPr>
                <w:sz w:val="18"/>
              </w:rPr>
              <w:t>the said elements.</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4"/>
              <w:jc w:val="right"/>
              <w:rPr>
                <w:sz w:val="18"/>
              </w:rPr>
            </w:pPr>
            <w:r>
              <w:rPr>
                <w:spacing w:val="-10"/>
                <w:w w:val="105"/>
                <w:sz w:val="18"/>
              </w:rPr>
              <w:t>D</w:t>
            </w:r>
          </w:p>
        </w:tc>
        <w:tc>
          <w:tcPr>
            <w:tcW w:w="7768" w:type="dxa"/>
            <w:tcBorders>
              <w:top w:val="nil"/>
              <w:bottom w:val="nil"/>
            </w:tcBorders>
          </w:tcPr>
          <w:p w:rsidR="007F6DF9" w:rsidRDefault="00A43FBC">
            <w:pPr>
              <w:pStyle w:val="TableParagraph"/>
              <w:spacing w:before="115" w:line="210" w:lineRule="exact"/>
              <w:ind w:left="38"/>
              <w:rPr>
                <w:sz w:val="18"/>
              </w:rPr>
            </w:pPr>
            <w:r>
              <w:rPr>
                <w:w w:val="105"/>
                <w:sz w:val="18"/>
              </w:rPr>
              <w:t>PAYMENT</w:t>
            </w:r>
            <w:r>
              <w:rPr>
                <w:spacing w:val="12"/>
                <w:w w:val="105"/>
                <w:sz w:val="18"/>
              </w:rPr>
              <w:t xml:space="preserve"> </w:t>
            </w:r>
            <w:r>
              <w:rPr>
                <w:w w:val="105"/>
                <w:sz w:val="18"/>
              </w:rPr>
              <w:t>FOR</w:t>
            </w:r>
            <w:r>
              <w:rPr>
                <w:spacing w:val="12"/>
                <w:w w:val="105"/>
                <w:sz w:val="18"/>
              </w:rPr>
              <w:t xml:space="preserve"> </w:t>
            </w:r>
            <w:r>
              <w:rPr>
                <w:w w:val="105"/>
                <w:sz w:val="18"/>
              </w:rPr>
              <w:t>MATERIALS</w:t>
            </w:r>
            <w:r>
              <w:rPr>
                <w:spacing w:val="12"/>
                <w:w w:val="105"/>
                <w:sz w:val="18"/>
              </w:rPr>
              <w:t xml:space="preserve"> </w:t>
            </w:r>
            <w:r>
              <w:rPr>
                <w:w w:val="105"/>
                <w:sz w:val="18"/>
              </w:rPr>
              <w:t>ON</w:t>
            </w:r>
            <w:r>
              <w:rPr>
                <w:spacing w:val="11"/>
                <w:w w:val="105"/>
                <w:sz w:val="18"/>
              </w:rPr>
              <w:t xml:space="preserve"> </w:t>
            </w:r>
            <w:r>
              <w:rPr>
                <w:spacing w:val="-4"/>
                <w:w w:val="105"/>
                <w:sz w:val="18"/>
              </w:rPr>
              <w:t>SITE</w:t>
            </w:r>
          </w:p>
        </w:tc>
        <w:tc>
          <w:tcPr>
            <w:tcW w:w="1534" w:type="dxa"/>
            <w:vMerge/>
            <w:tcBorders>
              <w:top w:val="nil"/>
              <w:bottom w:val="nil"/>
            </w:tcBorders>
          </w:tcPr>
          <w:p w:rsidR="007F6DF9" w:rsidRDefault="007F6DF9">
            <w:pPr>
              <w:rPr>
                <w:sz w:val="2"/>
                <w:szCs w:val="2"/>
              </w:rPr>
            </w:pPr>
          </w:p>
        </w:tc>
      </w:tr>
      <w:tr w:rsidR="007F6DF9">
        <w:trPr>
          <w:trHeight w:val="8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All materials for incorporation in the works must be stored on site before payment is effected, unless specifically exempted by the Project Manager.</w:t>
            </w:r>
            <w:r>
              <w:rPr>
                <w:spacing w:val="40"/>
                <w:sz w:val="18"/>
              </w:rPr>
              <w:t xml:space="preserve"> </w:t>
            </w:r>
            <w:r>
              <w:rPr>
                <w:sz w:val="18"/>
              </w:rPr>
              <w:t>This is to include materials of the Contractor, nominated sub-Contractors and nominated suppliers.</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2"/>
              <w:jc w:val="right"/>
              <w:rPr>
                <w:sz w:val="18"/>
              </w:rPr>
            </w:pPr>
            <w:r>
              <w:rPr>
                <w:spacing w:val="-10"/>
                <w:sz w:val="18"/>
              </w:rPr>
              <w:t>E</w:t>
            </w:r>
          </w:p>
        </w:tc>
        <w:tc>
          <w:tcPr>
            <w:tcW w:w="7768" w:type="dxa"/>
            <w:tcBorders>
              <w:top w:val="nil"/>
              <w:bottom w:val="nil"/>
            </w:tcBorders>
          </w:tcPr>
          <w:p w:rsidR="007F6DF9" w:rsidRDefault="00A43FBC">
            <w:pPr>
              <w:pStyle w:val="TableParagraph"/>
              <w:spacing w:before="115" w:line="210" w:lineRule="exact"/>
              <w:ind w:left="38"/>
              <w:rPr>
                <w:sz w:val="18"/>
              </w:rPr>
            </w:pPr>
            <w:r>
              <w:rPr>
                <w:w w:val="105"/>
                <w:sz w:val="18"/>
              </w:rPr>
              <w:t>PREVENTION</w:t>
            </w:r>
            <w:r>
              <w:rPr>
                <w:spacing w:val="15"/>
                <w:w w:val="105"/>
                <w:sz w:val="18"/>
              </w:rPr>
              <w:t xml:space="preserve"> </w:t>
            </w:r>
            <w:r>
              <w:rPr>
                <w:w w:val="105"/>
                <w:sz w:val="18"/>
              </w:rPr>
              <w:t>OF</w:t>
            </w:r>
            <w:r>
              <w:rPr>
                <w:spacing w:val="15"/>
                <w:w w:val="105"/>
                <w:sz w:val="18"/>
              </w:rPr>
              <w:t xml:space="preserve"> </w:t>
            </w:r>
            <w:r>
              <w:rPr>
                <w:w w:val="105"/>
                <w:sz w:val="18"/>
              </w:rPr>
              <w:t>ACCIDENT,</w:t>
            </w:r>
            <w:r>
              <w:rPr>
                <w:spacing w:val="15"/>
                <w:w w:val="105"/>
                <w:sz w:val="18"/>
              </w:rPr>
              <w:t xml:space="preserve"> </w:t>
            </w:r>
            <w:r>
              <w:rPr>
                <w:w w:val="105"/>
                <w:sz w:val="18"/>
              </w:rPr>
              <w:t>DAMAGE</w:t>
            </w:r>
            <w:r>
              <w:rPr>
                <w:spacing w:val="14"/>
                <w:w w:val="105"/>
                <w:sz w:val="18"/>
              </w:rPr>
              <w:t xml:space="preserve"> </w:t>
            </w:r>
            <w:r>
              <w:rPr>
                <w:w w:val="105"/>
                <w:sz w:val="18"/>
              </w:rPr>
              <w:t>OR</w:t>
            </w:r>
            <w:r>
              <w:rPr>
                <w:spacing w:val="17"/>
                <w:w w:val="105"/>
                <w:sz w:val="18"/>
              </w:rPr>
              <w:t xml:space="preserve"> </w:t>
            </w:r>
            <w:r>
              <w:rPr>
                <w:spacing w:val="-4"/>
                <w:w w:val="105"/>
                <w:sz w:val="18"/>
              </w:rPr>
              <w:t>LOSS</w:t>
            </w:r>
          </w:p>
        </w:tc>
        <w:tc>
          <w:tcPr>
            <w:tcW w:w="1534" w:type="dxa"/>
            <w:vMerge/>
            <w:tcBorders>
              <w:top w:val="nil"/>
              <w:bottom w:val="nil"/>
            </w:tcBorders>
          </w:tcPr>
          <w:p w:rsidR="007F6DF9" w:rsidRDefault="007F6DF9">
            <w:pPr>
              <w:rPr>
                <w:sz w:val="2"/>
                <w:szCs w:val="2"/>
              </w:rPr>
            </w:pPr>
          </w:p>
        </w:tc>
      </w:tr>
      <w:tr w:rsidR="007F6DF9">
        <w:trPr>
          <w:trHeight w:val="8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Contractor is notified that these works are to be carried out on a restricted site where the client</w:t>
            </w:r>
            <w:r>
              <w:rPr>
                <w:spacing w:val="-11"/>
                <w:sz w:val="18"/>
              </w:rPr>
              <w:t xml:space="preserve"> </w:t>
            </w:r>
            <w:r>
              <w:rPr>
                <w:sz w:val="18"/>
              </w:rPr>
              <w:t>is</w:t>
            </w:r>
            <w:r>
              <w:rPr>
                <w:spacing w:val="-10"/>
                <w:sz w:val="18"/>
              </w:rPr>
              <w:t xml:space="preserve"> </w:t>
            </w:r>
            <w:r>
              <w:rPr>
                <w:sz w:val="18"/>
              </w:rPr>
              <w:t>going</w:t>
            </w:r>
            <w:r>
              <w:rPr>
                <w:spacing w:val="-10"/>
                <w:sz w:val="18"/>
              </w:rPr>
              <w:t xml:space="preserve"> </w:t>
            </w:r>
            <w:r>
              <w:rPr>
                <w:sz w:val="18"/>
              </w:rPr>
              <w:t>on</w:t>
            </w:r>
            <w:r>
              <w:rPr>
                <w:spacing w:val="-9"/>
                <w:sz w:val="18"/>
              </w:rPr>
              <w:t xml:space="preserve"> </w:t>
            </w:r>
            <w:r>
              <w:rPr>
                <w:sz w:val="18"/>
              </w:rPr>
              <w:t>with</w:t>
            </w:r>
            <w:r>
              <w:rPr>
                <w:spacing w:val="-11"/>
                <w:sz w:val="18"/>
              </w:rPr>
              <w:t xml:space="preserve"> </w:t>
            </w:r>
            <w:r>
              <w:rPr>
                <w:sz w:val="18"/>
              </w:rPr>
              <w:t>other</w:t>
            </w:r>
            <w:r>
              <w:rPr>
                <w:spacing w:val="-9"/>
                <w:sz w:val="18"/>
              </w:rPr>
              <w:t xml:space="preserve"> </w:t>
            </w:r>
            <w:r>
              <w:rPr>
                <w:sz w:val="18"/>
              </w:rPr>
              <w:t>normal</w:t>
            </w:r>
            <w:r>
              <w:rPr>
                <w:spacing w:val="-11"/>
                <w:sz w:val="18"/>
              </w:rPr>
              <w:t xml:space="preserve"> </w:t>
            </w:r>
            <w:r>
              <w:rPr>
                <w:sz w:val="18"/>
              </w:rPr>
              <w:t>activities.</w:t>
            </w:r>
            <w:r>
              <w:rPr>
                <w:spacing w:val="-9"/>
                <w:sz w:val="18"/>
              </w:rPr>
              <w:t xml:space="preserve"> </w:t>
            </w:r>
            <w:r>
              <w:rPr>
                <w:sz w:val="18"/>
              </w:rPr>
              <w:t>The</w:t>
            </w:r>
            <w:r>
              <w:rPr>
                <w:spacing w:val="-10"/>
                <w:sz w:val="18"/>
              </w:rPr>
              <w:t xml:space="preserve"> </w:t>
            </w:r>
            <w:r>
              <w:rPr>
                <w:sz w:val="18"/>
              </w:rPr>
              <w:t>Contractor</w:t>
            </w:r>
            <w:r>
              <w:rPr>
                <w:spacing w:val="-8"/>
                <w:sz w:val="18"/>
              </w:rPr>
              <w:t xml:space="preserve"> </w:t>
            </w:r>
            <w:r>
              <w:rPr>
                <w:sz w:val="18"/>
              </w:rPr>
              <w:t>is</w:t>
            </w:r>
            <w:r>
              <w:rPr>
                <w:spacing w:val="-10"/>
                <w:sz w:val="18"/>
              </w:rPr>
              <w:t xml:space="preserve"> </w:t>
            </w:r>
            <w:r>
              <w:rPr>
                <w:sz w:val="18"/>
              </w:rPr>
              <w:t>thus</w:t>
            </w:r>
            <w:r>
              <w:rPr>
                <w:spacing w:val="-8"/>
                <w:sz w:val="18"/>
              </w:rPr>
              <w:t xml:space="preserve"> </w:t>
            </w:r>
            <w:r>
              <w:rPr>
                <w:sz w:val="18"/>
              </w:rPr>
              <w:t>instructed</w:t>
            </w:r>
            <w:r>
              <w:rPr>
                <w:spacing w:val="-11"/>
                <w:sz w:val="18"/>
              </w:rPr>
              <w:t xml:space="preserve"> </w:t>
            </w:r>
            <w:r>
              <w:rPr>
                <w:sz w:val="18"/>
              </w:rPr>
              <w:t>to</w:t>
            </w:r>
            <w:r>
              <w:rPr>
                <w:spacing w:val="-9"/>
                <w:sz w:val="18"/>
              </w:rPr>
              <w:t xml:space="preserve"> </w:t>
            </w:r>
            <w:r>
              <w:rPr>
                <w:sz w:val="18"/>
              </w:rPr>
              <w:t>take</w:t>
            </w:r>
            <w:r>
              <w:rPr>
                <w:spacing w:val="-10"/>
                <w:sz w:val="18"/>
              </w:rPr>
              <w:t xml:space="preserve"> </w:t>
            </w:r>
            <w:r>
              <w:rPr>
                <w:sz w:val="18"/>
              </w:rPr>
              <w:t>reasonable care in the execution of the works as to prevent accident</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6" w:line="210" w:lineRule="exact"/>
              <w:ind w:right="23"/>
              <w:jc w:val="right"/>
              <w:rPr>
                <w:sz w:val="18"/>
              </w:rPr>
            </w:pPr>
            <w:r>
              <w:rPr>
                <w:spacing w:val="-10"/>
                <w:sz w:val="18"/>
              </w:rPr>
              <w:t>F</w:t>
            </w:r>
          </w:p>
        </w:tc>
        <w:tc>
          <w:tcPr>
            <w:tcW w:w="7768" w:type="dxa"/>
            <w:tcBorders>
              <w:top w:val="nil"/>
              <w:bottom w:val="nil"/>
            </w:tcBorders>
          </w:tcPr>
          <w:p w:rsidR="007F6DF9" w:rsidRDefault="00A43FBC">
            <w:pPr>
              <w:pStyle w:val="TableParagraph"/>
              <w:spacing w:before="116" w:line="210" w:lineRule="exact"/>
              <w:ind w:left="38"/>
              <w:rPr>
                <w:sz w:val="18"/>
              </w:rPr>
            </w:pPr>
            <w:r>
              <w:rPr>
                <w:w w:val="105"/>
                <w:sz w:val="18"/>
              </w:rPr>
              <w:t>WORKING</w:t>
            </w:r>
            <w:r>
              <w:rPr>
                <w:spacing w:val="37"/>
                <w:w w:val="105"/>
                <w:sz w:val="18"/>
              </w:rPr>
              <w:t xml:space="preserve"> </w:t>
            </w:r>
            <w:r>
              <w:rPr>
                <w:spacing w:val="-2"/>
                <w:w w:val="105"/>
                <w:sz w:val="18"/>
              </w:rPr>
              <w:t>CONDITIONS</w:t>
            </w:r>
          </w:p>
        </w:tc>
        <w:tc>
          <w:tcPr>
            <w:tcW w:w="1534" w:type="dxa"/>
            <w:vMerge/>
            <w:tcBorders>
              <w:top w:val="nil"/>
              <w:bottom w:val="nil"/>
            </w:tcBorders>
          </w:tcPr>
          <w:p w:rsidR="007F6DF9" w:rsidRDefault="007F6DF9">
            <w:pPr>
              <w:rPr>
                <w:sz w:val="2"/>
                <w:szCs w:val="2"/>
              </w:rPr>
            </w:pPr>
          </w:p>
        </w:tc>
      </w:tr>
      <w:tr w:rsidR="007F6DF9">
        <w:trPr>
          <w:trHeight w:val="8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w:t>
            </w:r>
            <w:r>
              <w:rPr>
                <w:spacing w:val="-8"/>
                <w:sz w:val="18"/>
              </w:rPr>
              <w:t xml:space="preserve"> </w:t>
            </w:r>
            <w:r>
              <w:rPr>
                <w:sz w:val="18"/>
              </w:rPr>
              <w:t>Contractor</w:t>
            </w:r>
            <w:r>
              <w:rPr>
                <w:spacing w:val="-8"/>
                <w:sz w:val="18"/>
              </w:rPr>
              <w:t xml:space="preserve"> </w:t>
            </w:r>
            <w:r>
              <w:rPr>
                <w:sz w:val="18"/>
              </w:rPr>
              <w:t>shall</w:t>
            </w:r>
            <w:r>
              <w:rPr>
                <w:spacing w:val="-9"/>
                <w:sz w:val="18"/>
              </w:rPr>
              <w:t xml:space="preserve"> </w:t>
            </w:r>
            <w:r>
              <w:rPr>
                <w:sz w:val="18"/>
              </w:rPr>
              <w:t>allow</w:t>
            </w:r>
            <w:r>
              <w:rPr>
                <w:spacing w:val="-8"/>
                <w:sz w:val="18"/>
              </w:rPr>
              <w:t xml:space="preserve"> </w:t>
            </w:r>
            <w:r>
              <w:rPr>
                <w:sz w:val="18"/>
              </w:rPr>
              <w:t>in</w:t>
            </w:r>
            <w:r>
              <w:rPr>
                <w:spacing w:val="-9"/>
                <w:sz w:val="18"/>
              </w:rPr>
              <w:t xml:space="preserve"> </w:t>
            </w:r>
            <w:r>
              <w:rPr>
                <w:sz w:val="18"/>
              </w:rPr>
              <w:t>his</w:t>
            </w:r>
            <w:r>
              <w:rPr>
                <w:spacing w:val="-7"/>
                <w:sz w:val="18"/>
              </w:rPr>
              <w:t xml:space="preserve"> </w:t>
            </w:r>
            <w:r>
              <w:rPr>
                <w:sz w:val="18"/>
              </w:rPr>
              <w:t>rates</w:t>
            </w:r>
            <w:r>
              <w:rPr>
                <w:spacing w:val="-8"/>
                <w:sz w:val="18"/>
              </w:rPr>
              <w:t xml:space="preserve"> </w:t>
            </w:r>
            <w:r>
              <w:rPr>
                <w:sz w:val="18"/>
              </w:rPr>
              <w:t>for</w:t>
            </w:r>
            <w:r>
              <w:rPr>
                <w:spacing w:val="-6"/>
                <w:sz w:val="18"/>
              </w:rPr>
              <w:t xml:space="preserve"> </w:t>
            </w:r>
            <w:r>
              <w:rPr>
                <w:sz w:val="18"/>
              </w:rPr>
              <w:t>any</w:t>
            </w:r>
            <w:r>
              <w:rPr>
                <w:spacing w:val="-9"/>
                <w:sz w:val="18"/>
              </w:rPr>
              <w:t xml:space="preserve"> </w:t>
            </w:r>
            <w:r>
              <w:rPr>
                <w:sz w:val="18"/>
              </w:rPr>
              <w:t>interference</w:t>
            </w:r>
            <w:r>
              <w:rPr>
                <w:spacing w:val="-5"/>
                <w:sz w:val="18"/>
              </w:rPr>
              <w:t xml:space="preserve"> </w:t>
            </w:r>
            <w:r>
              <w:rPr>
                <w:sz w:val="18"/>
              </w:rPr>
              <w:t>that</w:t>
            </w:r>
            <w:r>
              <w:rPr>
                <w:spacing w:val="-8"/>
                <w:sz w:val="18"/>
              </w:rPr>
              <w:t xml:space="preserve"> </w:t>
            </w:r>
            <w:r>
              <w:rPr>
                <w:sz w:val="18"/>
              </w:rPr>
              <w:t>he</w:t>
            </w:r>
            <w:r>
              <w:rPr>
                <w:spacing w:val="-5"/>
                <w:sz w:val="18"/>
              </w:rPr>
              <w:t xml:space="preserve"> </w:t>
            </w:r>
            <w:r>
              <w:rPr>
                <w:sz w:val="18"/>
              </w:rPr>
              <w:t>may</w:t>
            </w:r>
            <w:r>
              <w:rPr>
                <w:spacing w:val="-9"/>
                <w:sz w:val="18"/>
              </w:rPr>
              <w:t xml:space="preserve"> </w:t>
            </w:r>
            <w:r>
              <w:rPr>
                <w:sz w:val="18"/>
              </w:rPr>
              <w:t>encounter</w:t>
            </w:r>
            <w:r>
              <w:rPr>
                <w:spacing w:val="-6"/>
                <w:sz w:val="18"/>
              </w:rPr>
              <w:t xml:space="preserve"> </w:t>
            </w:r>
            <w:r>
              <w:rPr>
                <w:sz w:val="18"/>
              </w:rPr>
              <w:t>in</w:t>
            </w:r>
            <w:r>
              <w:rPr>
                <w:spacing w:val="-9"/>
                <w:sz w:val="18"/>
              </w:rPr>
              <w:t xml:space="preserve"> </w:t>
            </w:r>
            <w:r>
              <w:rPr>
                <w:sz w:val="18"/>
              </w:rPr>
              <w:t>the</w:t>
            </w:r>
            <w:r>
              <w:rPr>
                <w:spacing w:val="-6"/>
                <w:sz w:val="18"/>
              </w:rPr>
              <w:t xml:space="preserve"> </w:t>
            </w:r>
            <w:r>
              <w:rPr>
                <w:sz w:val="18"/>
              </w:rPr>
              <w:t>course</w:t>
            </w:r>
            <w:r>
              <w:rPr>
                <w:spacing w:val="-7"/>
                <w:sz w:val="18"/>
              </w:rPr>
              <w:t xml:space="preserve"> </w:t>
            </w:r>
            <w:r>
              <w:rPr>
                <w:sz w:val="18"/>
              </w:rPr>
              <w:t>of the works for the Client may in some cases ask the Contractor not to proceed with the works until some activities within the site are completed.</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4"/>
              <w:jc w:val="right"/>
              <w:rPr>
                <w:sz w:val="18"/>
              </w:rPr>
            </w:pPr>
            <w:r>
              <w:rPr>
                <w:spacing w:val="-10"/>
                <w:w w:val="110"/>
                <w:sz w:val="18"/>
              </w:rPr>
              <w:t>G</w:t>
            </w:r>
          </w:p>
        </w:tc>
        <w:tc>
          <w:tcPr>
            <w:tcW w:w="7768" w:type="dxa"/>
            <w:tcBorders>
              <w:top w:val="nil"/>
              <w:bottom w:val="nil"/>
            </w:tcBorders>
          </w:tcPr>
          <w:p w:rsidR="007F6DF9" w:rsidRDefault="00A43FBC">
            <w:pPr>
              <w:pStyle w:val="TableParagraph"/>
              <w:spacing w:before="115" w:line="210" w:lineRule="exact"/>
              <w:ind w:left="38"/>
              <w:rPr>
                <w:sz w:val="18"/>
              </w:rPr>
            </w:pPr>
            <w:r>
              <w:rPr>
                <w:spacing w:val="-2"/>
                <w:sz w:val="18"/>
              </w:rPr>
              <w:t>SIGNBOARD</w:t>
            </w:r>
          </w:p>
        </w:tc>
        <w:tc>
          <w:tcPr>
            <w:tcW w:w="1534" w:type="dxa"/>
            <w:vMerge/>
            <w:tcBorders>
              <w:top w:val="nil"/>
              <w:bottom w:val="nil"/>
            </w:tcBorders>
          </w:tcPr>
          <w:p w:rsidR="007F6DF9" w:rsidRDefault="007F6DF9">
            <w:pPr>
              <w:rPr>
                <w:sz w:val="2"/>
                <w:szCs w:val="2"/>
              </w:rPr>
            </w:pPr>
          </w:p>
        </w:tc>
      </w:tr>
      <w:tr w:rsidR="007F6DF9">
        <w:trPr>
          <w:trHeight w:val="713"/>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Allow for providing, erecting, maintaining throughout the course of the Contract and afterwards clearing away</w:t>
            </w:r>
            <w:r>
              <w:rPr>
                <w:spacing w:val="-1"/>
                <w:sz w:val="18"/>
              </w:rPr>
              <w:t xml:space="preserve"> </w:t>
            </w:r>
            <w:r>
              <w:rPr>
                <w:sz w:val="18"/>
              </w:rPr>
              <w:t>a</w:t>
            </w:r>
            <w:r>
              <w:rPr>
                <w:spacing w:val="-2"/>
                <w:sz w:val="18"/>
              </w:rPr>
              <w:t xml:space="preserve"> </w:t>
            </w:r>
            <w:r>
              <w:rPr>
                <w:sz w:val="18"/>
              </w:rPr>
              <w:t>signboard</w:t>
            </w:r>
            <w:r>
              <w:rPr>
                <w:spacing w:val="-2"/>
                <w:sz w:val="18"/>
              </w:rPr>
              <w:t xml:space="preserve"> </w:t>
            </w:r>
            <w:r>
              <w:rPr>
                <w:sz w:val="18"/>
              </w:rPr>
              <w:t>as designed,</w:t>
            </w:r>
            <w:r>
              <w:rPr>
                <w:spacing w:val="-2"/>
                <w:sz w:val="18"/>
              </w:rPr>
              <w:t xml:space="preserve"> </w:t>
            </w:r>
            <w:r>
              <w:rPr>
                <w:sz w:val="18"/>
              </w:rPr>
              <w:t>specified</w:t>
            </w:r>
            <w:r>
              <w:rPr>
                <w:spacing w:val="-2"/>
                <w:sz w:val="18"/>
              </w:rPr>
              <w:t xml:space="preserve"> </w:t>
            </w:r>
            <w:r>
              <w:rPr>
                <w:sz w:val="18"/>
              </w:rPr>
              <w:t>and</w:t>
            </w:r>
            <w:r>
              <w:rPr>
                <w:spacing w:val="-2"/>
                <w:sz w:val="18"/>
              </w:rPr>
              <w:t xml:space="preserve"> </w:t>
            </w:r>
            <w:r>
              <w:rPr>
                <w:sz w:val="18"/>
              </w:rPr>
              <w:t>approved</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Manager.</w:t>
            </w:r>
          </w:p>
        </w:tc>
        <w:tc>
          <w:tcPr>
            <w:tcW w:w="1534" w:type="dxa"/>
            <w:vMerge/>
            <w:tcBorders>
              <w:top w:val="nil"/>
              <w:bottom w:val="nil"/>
            </w:tcBorders>
          </w:tcPr>
          <w:p w:rsidR="007F6DF9" w:rsidRDefault="007F6DF9">
            <w:pPr>
              <w:rPr>
                <w:sz w:val="2"/>
                <w:szCs w:val="2"/>
              </w:rPr>
            </w:pPr>
          </w:p>
        </w:tc>
      </w:tr>
    </w:tbl>
    <w:p w:rsidR="007F6DF9" w:rsidRDefault="007F6DF9">
      <w:pPr>
        <w:rPr>
          <w:sz w:val="2"/>
          <w:szCs w:val="2"/>
        </w:rPr>
        <w:sectPr w:rsidR="007F6DF9">
          <w:headerReference w:type="default" r:id="rId50"/>
          <w:pgSz w:w="12240" w:h="15840"/>
          <w:pgMar w:top="1060" w:right="1133" w:bottom="700" w:left="850" w:header="0" w:footer="506" w:gutter="0"/>
          <w:pgNumType w:start="5"/>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17"/>
        </w:trPr>
        <w:tc>
          <w:tcPr>
            <w:tcW w:w="708" w:type="dxa"/>
            <w:tcBorders>
              <w:bottom w:val="nil"/>
            </w:tcBorders>
          </w:tcPr>
          <w:p w:rsidR="007F6DF9" w:rsidRDefault="00A43FBC">
            <w:pPr>
              <w:pStyle w:val="TableParagraph"/>
              <w:spacing w:line="198" w:lineRule="exact"/>
              <w:ind w:right="24"/>
              <w:jc w:val="right"/>
              <w:rPr>
                <w:sz w:val="18"/>
              </w:rPr>
            </w:pPr>
            <w:r>
              <w:rPr>
                <w:spacing w:val="-10"/>
                <w:w w:val="110"/>
                <w:sz w:val="18"/>
              </w:rPr>
              <w:t>A</w:t>
            </w:r>
          </w:p>
        </w:tc>
        <w:tc>
          <w:tcPr>
            <w:tcW w:w="7768" w:type="dxa"/>
            <w:tcBorders>
              <w:bottom w:val="nil"/>
            </w:tcBorders>
          </w:tcPr>
          <w:p w:rsidR="007F6DF9" w:rsidRDefault="00A43FBC">
            <w:pPr>
              <w:pStyle w:val="TableParagraph"/>
              <w:spacing w:line="198" w:lineRule="exact"/>
              <w:ind w:left="38"/>
              <w:rPr>
                <w:sz w:val="18"/>
              </w:rPr>
            </w:pPr>
            <w:r>
              <w:rPr>
                <w:w w:val="105"/>
                <w:sz w:val="18"/>
              </w:rPr>
              <w:t>LABOUR</w:t>
            </w:r>
            <w:r>
              <w:rPr>
                <w:spacing w:val="20"/>
                <w:w w:val="105"/>
                <w:sz w:val="18"/>
              </w:rPr>
              <w:t xml:space="preserve"> </w:t>
            </w:r>
            <w:r>
              <w:rPr>
                <w:spacing w:val="-2"/>
                <w:w w:val="105"/>
                <w:sz w:val="18"/>
              </w:rPr>
              <w:t>CAMPS</w:t>
            </w:r>
          </w:p>
        </w:tc>
        <w:tc>
          <w:tcPr>
            <w:tcW w:w="1534" w:type="dxa"/>
            <w:vMerge w:val="restart"/>
          </w:tcPr>
          <w:p w:rsidR="007F6DF9" w:rsidRDefault="007F6DF9">
            <w:pPr>
              <w:pStyle w:val="TableParagraph"/>
              <w:rPr>
                <w:rFonts w:ascii="Times New Roman"/>
                <w:sz w:val="18"/>
              </w:rPr>
            </w:pPr>
          </w:p>
        </w:tc>
      </w:tr>
      <w:tr w:rsidR="007F6DF9">
        <w:trPr>
          <w:trHeight w:val="561"/>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 xml:space="preserve">The Contractor shall not be allowed to house </w:t>
            </w:r>
            <w:proofErr w:type="spellStart"/>
            <w:r>
              <w:rPr>
                <w:sz w:val="18"/>
              </w:rPr>
              <w:t>labour</w:t>
            </w:r>
            <w:proofErr w:type="spellEnd"/>
            <w:r>
              <w:rPr>
                <w:sz w:val="18"/>
              </w:rPr>
              <w:t xml:space="preserve"> on site.</w:t>
            </w:r>
            <w:r>
              <w:rPr>
                <w:spacing w:val="40"/>
                <w:sz w:val="18"/>
              </w:rPr>
              <w:t xml:space="preserve"> </w:t>
            </w:r>
            <w:r>
              <w:rPr>
                <w:sz w:val="18"/>
              </w:rPr>
              <w:t>Allow for transporting workers to and from the site during the tenure of the contract.</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before="108" w:line="202" w:lineRule="exact"/>
              <w:ind w:left="38"/>
              <w:rPr>
                <w:sz w:val="18"/>
              </w:rPr>
            </w:pPr>
            <w:r>
              <w:rPr>
                <w:sz w:val="18"/>
              </w:rPr>
              <w:t>PRICING</w:t>
            </w:r>
            <w:r>
              <w:rPr>
                <w:spacing w:val="27"/>
                <w:sz w:val="18"/>
              </w:rPr>
              <w:t xml:space="preserve"> </w:t>
            </w:r>
            <w:r>
              <w:rPr>
                <w:spacing w:val="-2"/>
                <w:sz w:val="18"/>
              </w:rPr>
              <w:t>RATES</w:t>
            </w:r>
          </w:p>
        </w:tc>
        <w:tc>
          <w:tcPr>
            <w:tcW w:w="1534" w:type="dxa"/>
            <w:vMerge/>
            <w:tcBorders>
              <w:top w:val="nil"/>
            </w:tcBorders>
          </w:tcPr>
          <w:p w:rsidR="007F6DF9" w:rsidRDefault="007F6DF9">
            <w:pPr>
              <w:rPr>
                <w:sz w:val="2"/>
                <w:szCs w:val="2"/>
              </w:rPr>
            </w:pPr>
          </w:p>
        </w:tc>
      </w:tr>
      <w:tr w:rsidR="007F6DF9">
        <w:trPr>
          <w:trHeight w:val="67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The tenderer shall include for all costs in executing the whole of the works, including transport, replacing damaged items, fixing, all to comply with the said Conditions of Contract.</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A43FBC">
            <w:pPr>
              <w:pStyle w:val="TableParagraph"/>
              <w:spacing w:before="223" w:line="202"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223" w:line="202" w:lineRule="exact"/>
              <w:ind w:left="38"/>
              <w:rPr>
                <w:sz w:val="18"/>
              </w:rPr>
            </w:pPr>
            <w:r>
              <w:rPr>
                <w:spacing w:val="-2"/>
                <w:sz w:val="18"/>
              </w:rPr>
              <w:t>SECURITY</w:t>
            </w:r>
          </w:p>
        </w:tc>
        <w:tc>
          <w:tcPr>
            <w:tcW w:w="1534" w:type="dxa"/>
            <w:vMerge/>
            <w:tcBorders>
              <w:top w:val="nil"/>
            </w:tcBorders>
          </w:tcPr>
          <w:p w:rsidR="007F6DF9" w:rsidRDefault="007F6DF9">
            <w:pPr>
              <w:rPr>
                <w:sz w:val="2"/>
                <w:szCs w:val="2"/>
              </w:rPr>
            </w:pPr>
          </w:p>
        </w:tc>
      </w:tr>
      <w:tr w:rsidR="007F6DF9">
        <w:trPr>
          <w:trHeight w:val="791"/>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The</w:t>
            </w:r>
            <w:r>
              <w:rPr>
                <w:spacing w:val="-6"/>
                <w:sz w:val="18"/>
              </w:rPr>
              <w:t xml:space="preserve"> </w:t>
            </w:r>
            <w:r>
              <w:rPr>
                <w:sz w:val="18"/>
              </w:rPr>
              <w:t>Contractor</w:t>
            </w:r>
            <w:r>
              <w:rPr>
                <w:spacing w:val="-6"/>
                <w:sz w:val="18"/>
              </w:rPr>
              <w:t xml:space="preserve"> </w:t>
            </w:r>
            <w:r>
              <w:rPr>
                <w:sz w:val="18"/>
              </w:rPr>
              <w:t>shall</w:t>
            </w:r>
            <w:r>
              <w:rPr>
                <w:spacing w:val="-7"/>
                <w:sz w:val="18"/>
              </w:rPr>
              <w:t xml:space="preserve"> </w:t>
            </w:r>
            <w:r>
              <w:rPr>
                <w:sz w:val="18"/>
              </w:rPr>
              <w:t>allow</w:t>
            </w:r>
            <w:r>
              <w:rPr>
                <w:spacing w:val="-5"/>
                <w:sz w:val="18"/>
              </w:rPr>
              <w:t xml:space="preserve"> </w:t>
            </w:r>
            <w:r>
              <w:rPr>
                <w:sz w:val="18"/>
              </w:rPr>
              <w:t>for</w:t>
            </w:r>
            <w:r>
              <w:rPr>
                <w:spacing w:val="-6"/>
                <w:sz w:val="18"/>
              </w:rPr>
              <w:t xml:space="preserve"> </w:t>
            </w:r>
            <w:r>
              <w:rPr>
                <w:sz w:val="18"/>
              </w:rPr>
              <w:t>providing</w:t>
            </w:r>
            <w:r>
              <w:rPr>
                <w:spacing w:val="-5"/>
                <w:sz w:val="18"/>
              </w:rPr>
              <w:t xml:space="preserve"> </w:t>
            </w:r>
            <w:r>
              <w:rPr>
                <w:sz w:val="18"/>
              </w:rPr>
              <w:t>adequate</w:t>
            </w:r>
            <w:r>
              <w:rPr>
                <w:spacing w:val="-5"/>
                <w:sz w:val="18"/>
              </w:rPr>
              <w:t xml:space="preserve"> </w:t>
            </w:r>
            <w:r>
              <w:rPr>
                <w:sz w:val="18"/>
              </w:rPr>
              <w:t>security</w:t>
            </w:r>
            <w:r>
              <w:rPr>
                <w:spacing w:val="-6"/>
                <w:sz w:val="18"/>
              </w:rPr>
              <w:t xml:space="preserve"> </w:t>
            </w:r>
            <w:r>
              <w:rPr>
                <w:sz w:val="18"/>
              </w:rPr>
              <w:t>for</w:t>
            </w:r>
            <w:r>
              <w:rPr>
                <w:spacing w:val="-6"/>
                <w:sz w:val="18"/>
              </w:rPr>
              <w:t xml:space="preserve"> </w:t>
            </w:r>
            <w:r>
              <w:rPr>
                <w:sz w:val="18"/>
              </w:rPr>
              <w:t>the</w:t>
            </w:r>
            <w:r>
              <w:rPr>
                <w:spacing w:val="-6"/>
                <w:sz w:val="18"/>
              </w:rPr>
              <w:t xml:space="preserve"> </w:t>
            </w:r>
            <w:r>
              <w:rPr>
                <w:sz w:val="18"/>
              </w:rPr>
              <w:t>works</w:t>
            </w:r>
            <w:r>
              <w:rPr>
                <w:spacing w:val="-5"/>
                <w:sz w:val="18"/>
              </w:rPr>
              <w:t xml:space="preserve"> </w:t>
            </w:r>
            <w:r>
              <w:rPr>
                <w:sz w:val="18"/>
              </w:rPr>
              <w:t>and</w:t>
            </w:r>
            <w:r>
              <w:rPr>
                <w:spacing w:val="-7"/>
                <w:sz w:val="18"/>
              </w:rPr>
              <w:t xml:space="preserve"> </w:t>
            </w:r>
            <w:r>
              <w:rPr>
                <w:sz w:val="18"/>
              </w:rPr>
              <w:t>the</w:t>
            </w:r>
            <w:r>
              <w:rPr>
                <w:spacing w:val="-6"/>
                <w:sz w:val="18"/>
              </w:rPr>
              <w:t xml:space="preserve"> </w:t>
            </w:r>
            <w:r>
              <w:rPr>
                <w:sz w:val="18"/>
              </w:rPr>
              <w:t>workers</w:t>
            </w:r>
            <w:r>
              <w:rPr>
                <w:spacing w:val="-5"/>
                <w:sz w:val="18"/>
              </w:rPr>
              <w:t xml:space="preserve"> </w:t>
            </w:r>
            <w:r>
              <w:rPr>
                <w:sz w:val="18"/>
              </w:rPr>
              <w:t>in</w:t>
            </w:r>
            <w:r>
              <w:rPr>
                <w:spacing w:val="-6"/>
                <w:sz w:val="18"/>
              </w:rPr>
              <w:t xml:space="preserve"> </w:t>
            </w:r>
            <w:r>
              <w:rPr>
                <w:sz w:val="18"/>
              </w:rPr>
              <w:t>the course of execution of this contract.</w:t>
            </w:r>
            <w:r>
              <w:rPr>
                <w:spacing w:val="40"/>
                <w:sz w:val="18"/>
              </w:rPr>
              <w:t xml:space="preserve"> </w:t>
            </w:r>
            <w:r>
              <w:rPr>
                <w:sz w:val="18"/>
              </w:rPr>
              <w:t>No claim will be entertained from the Contractor for not maintaining adequate security for both the works and workers.</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3" w:lineRule="exact"/>
              <w:ind w:right="24"/>
              <w:jc w:val="right"/>
              <w:rPr>
                <w:sz w:val="18"/>
              </w:rPr>
            </w:pPr>
            <w:r>
              <w:rPr>
                <w:spacing w:val="-10"/>
                <w:w w:val="105"/>
                <w:sz w:val="18"/>
              </w:rPr>
              <w:t>D</w:t>
            </w:r>
          </w:p>
        </w:tc>
        <w:tc>
          <w:tcPr>
            <w:tcW w:w="7768" w:type="dxa"/>
            <w:tcBorders>
              <w:top w:val="nil"/>
              <w:bottom w:val="nil"/>
            </w:tcBorders>
          </w:tcPr>
          <w:p w:rsidR="007F6DF9" w:rsidRDefault="00A43FBC">
            <w:pPr>
              <w:pStyle w:val="TableParagraph"/>
              <w:spacing w:before="108" w:line="203" w:lineRule="exact"/>
              <w:ind w:left="38"/>
              <w:rPr>
                <w:sz w:val="18"/>
              </w:rPr>
            </w:pPr>
            <w:r>
              <w:rPr>
                <w:w w:val="105"/>
                <w:sz w:val="18"/>
              </w:rPr>
              <w:t>PAYMENT</w:t>
            </w:r>
            <w:r>
              <w:rPr>
                <w:spacing w:val="12"/>
                <w:w w:val="105"/>
                <w:sz w:val="18"/>
              </w:rPr>
              <w:t xml:space="preserve"> </w:t>
            </w:r>
            <w:r>
              <w:rPr>
                <w:w w:val="105"/>
                <w:sz w:val="18"/>
              </w:rPr>
              <w:t>FOR</w:t>
            </w:r>
            <w:r>
              <w:rPr>
                <w:spacing w:val="12"/>
                <w:w w:val="105"/>
                <w:sz w:val="18"/>
              </w:rPr>
              <w:t xml:space="preserve"> </w:t>
            </w:r>
            <w:r>
              <w:rPr>
                <w:w w:val="105"/>
                <w:sz w:val="18"/>
              </w:rPr>
              <w:t>MATERIALS</w:t>
            </w:r>
            <w:r>
              <w:rPr>
                <w:spacing w:val="12"/>
                <w:w w:val="105"/>
                <w:sz w:val="18"/>
              </w:rPr>
              <w:t xml:space="preserve"> </w:t>
            </w:r>
            <w:r>
              <w:rPr>
                <w:w w:val="105"/>
                <w:sz w:val="18"/>
              </w:rPr>
              <w:t>ON</w:t>
            </w:r>
            <w:r>
              <w:rPr>
                <w:spacing w:val="11"/>
                <w:w w:val="105"/>
                <w:sz w:val="18"/>
              </w:rPr>
              <w:t xml:space="preserve"> </w:t>
            </w:r>
            <w:r>
              <w:rPr>
                <w:spacing w:val="-4"/>
                <w:w w:val="105"/>
                <w:sz w:val="18"/>
              </w:rPr>
              <w:t>SITE</w:t>
            </w:r>
          </w:p>
        </w:tc>
        <w:tc>
          <w:tcPr>
            <w:tcW w:w="1534" w:type="dxa"/>
            <w:vMerge/>
            <w:tcBorders>
              <w:top w:val="nil"/>
            </w:tcBorders>
          </w:tcPr>
          <w:p w:rsidR="007F6DF9" w:rsidRDefault="007F6DF9">
            <w:pPr>
              <w:rPr>
                <w:sz w:val="2"/>
                <w:szCs w:val="2"/>
              </w:rPr>
            </w:pPr>
          </w:p>
        </w:tc>
      </w:tr>
      <w:tr w:rsidR="007F6DF9">
        <w:trPr>
          <w:trHeight w:val="791"/>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All</w:t>
            </w:r>
            <w:r>
              <w:rPr>
                <w:spacing w:val="-10"/>
                <w:sz w:val="18"/>
              </w:rPr>
              <w:t xml:space="preserve"> </w:t>
            </w:r>
            <w:r>
              <w:rPr>
                <w:sz w:val="18"/>
              </w:rPr>
              <w:t>materials</w:t>
            </w:r>
            <w:r>
              <w:rPr>
                <w:spacing w:val="-8"/>
                <w:sz w:val="18"/>
              </w:rPr>
              <w:t xml:space="preserve"> </w:t>
            </w:r>
            <w:r>
              <w:rPr>
                <w:sz w:val="18"/>
              </w:rPr>
              <w:t>for</w:t>
            </w:r>
            <w:r>
              <w:rPr>
                <w:spacing w:val="-9"/>
                <w:sz w:val="18"/>
              </w:rPr>
              <w:t xml:space="preserve"> </w:t>
            </w:r>
            <w:r>
              <w:rPr>
                <w:sz w:val="18"/>
              </w:rPr>
              <w:t>incorporation</w:t>
            </w:r>
            <w:r>
              <w:rPr>
                <w:spacing w:val="-9"/>
                <w:sz w:val="18"/>
              </w:rPr>
              <w:t xml:space="preserve"> </w:t>
            </w:r>
            <w:r>
              <w:rPr>
                <w:sz w:val="18"/>
              </w:rPr>
              <w:t>in</w:t>
            </w:r>
            <w:r>
              <w:rPr>
                <w:spacing w:val="-9"/>
                <w:sz w:val="18"/>
              </w:rPr>
              <w:t xml:space="preserve"> </w:t>
            </w:r>
            <w:r>
              <w:rPr>
                <w:sz w:val="18"/>
              </w:rPr>
              <w:t>the</w:t>
            </w:r>
            <w:r>
              <w:rPr>
                <w:spacing w:val="-9"/>
                <w:sz w:val="18"/>
              </w:rPr>
              <w:t xml:space="preserve"> </w:t>
            </w:r>
            <w:r>
              <w:rPr>
                <w:sz w:val="18"/>
              </w:rPr>
              <w:t>works</w:t>
            </w:r>
            <w:r>
              <w:rPr>
                <w:spacing w:val="-8"/>
                <w:sz w:val="18"/>
              </w:rPr>
              <w:t xml:space="preserve"> </w:t>
            </w:r>
            <w:r>
              <w:rPr>
                <w:sz w:val="18"/>
              </w:rPr>
              <w:t>must</w:t>
            </w:r>
            <w:r>
              <w:rPr>
                <w:spacing w:val="-9"/>
                <w:sz w:val="18"/>
              </w:rPr>
              <w:t xml:space="preserve"> </w:t>
            </w:r>
            <w:r>
              <w:rPr>
                <w:sz w:val="18"/>
              </w:rPr>
              <w:t>be</w:t>
            </w:r>
            <w:r>
              <w:rPr>
                <w:spacing w:val="-9"/>
                <w:sz w:val="18"/>
              </w:rPr>
              <w:t xml:space="preserve"> </w:t>
            </w:r>
            <w:r>
              <w:rPr>
                <w:sz w:val="18"/>
              </w:rPr>
              <w:t>stored</w:t>
            </w:r>
            <w:r>
              <w:rPr>
                <w:spacing w:val="-10"/>
                <w:sz w:val="18"/>
              </w:rPr>
              <w:t xml:space="preserve"> </w:t>
            </w:r>
            <w:r>
              <w:rPr>
                <w:sz w:val="18"/>
              </w:rPr>
              <w:t>on</w:t>
            </w:r>
            <w:r>
              <w:rPr>
                <w:spacing w:val="-9"/>
                <w:sz w:val="18"/>
              </w:rPr>
              <w:t xml:space="preserve"> </w:t>
            </w:r>
            <w:r>
              <w:rPr>
                <w:sz w:val="18"/>
              </w:rPr>
              <w:t>site</w:t>
            </w:r>
            <w:r>
              <w:rPr>
                <w:spacing w:val="-9"/>
                <w:sz w:val="18"/>
              </w:rPr>
              <w:t xml:space="preserve"> </w:t>
            </w:r>
            <w:r>
              <w:rPr>
                <w:sz w:val="18"/>
              </w:rPr>
              <w:t>before</w:t>
            </w:r>
            <w:r>
              <w:rPr>
                <w:spacing w:val="-9"/>
                <w:sz w:val="18"/>
              </w:rPr>
              <w:t xml:space="preserve"> </w:t>
            </w:r>
            <w:r>
              <w:rPr>
                <w:sz w:val="18"/>
              </w:rPr>
              <w:t>payment</w:t>
            </w:r>
            <w:r>
              <w:rPr>
                <w:spacing w:val="-9"/>
                <w:sz w:val="18"/>
              </w:rPr>
              <w:t xml:space="preserve"> </w:t>
            </w:r>
            <w:r>
              <w:rPr>
                <w:sz w:val="18"/>
              </w:rPr>
              <w:t>is</w:t>
            </w:r>
            <w:r>
              <w:rPr>
                <w:spacing w:val="-8"/>
                <w:sz w:val="18"/>
              </w:rPr>
              <w:t xml:space="preserve"> </w:t>
            </w:r>
            <w:r>
              <w:rPr>
                <w:sz w:val="18"/>
              </w:rPr>
              <w:t>effected, unless</w:t>
            </w:r>
            <w:r>
              <w:rPr>
                <w:spacing w:val="-2"/>
                <w:sz w:val="18"/>
              </w:rPr>
              <w:t xml:space="preserve"> </w:t>
            </w:r>
            <w:r>
              <w:rPr>
                <w:sz w:val="18"/>
              </w:rPr>
              <w:t>specifically</w:t>
            </w:r>
            <w:r>
              <w:rPr>
                <w:spacing w:val="-3"/>
                <w:sz w:val="18"/>
              </w:rPr>
              <w:t xml:space="preserve"> </w:t>
            </w:r>
            <w:r>
              <w:rPr>
                <w:sz w:val="18"/>
              </w:rPr>
              <w:t>exempted</w:t>
            </w:r>
            <w:r>
              <w:rPr>
                <w:spacing w:val="-4"/>
                <w:sz w:val="18"/>
              </w:rPr>
              <w:t xml:space="preserve"> </w:t>
            </w:r>
            <w:r>
              <w:rPr>
                <w:sz w:val="18"/>
              </w:rPr>
              <w:t>by</w:t>
            </w:r>
            <w:r>
              <w:rPr>
                <w:spacing w:val="-3"/>
                <w:sz w:val="18"/>
              </w:rPr>
              <w:t xml:space="preserve"> </w:t>
            </w:r>
            <w:r>
              <w:rPr>
                <w:sz w:val="18"/>
              </w:rPr>
              <w:t>the</w:t>
            </w:r>
            <w:r>
              <w:rPr>
                <w:spacing w:val="-3"/>
                <w:sz w:val="18"/>
              </w:rPr>
              <w:t xml:space="preserve"> </w:t>
            </w:r>
            <w:r>
              <w:rPr>
                <w:sz w:val="18"/>
              </w:rPr>
              <w:t>Project</w:t>
            </w:r>
            <w:r>
              <w:rPr>
                <w:spacing w:val="-3"/>
                <w:sz w:val="18"/>
              </w:rPr>
              <w:t xml:space="preserve"> </w:t>
            </w:r>
            <w:r>
              <w:rPr>
                <w:sz w:val="18"/>
              </w:rPr>
              <w:t>Manager.</w:t>
            </w:r>
            <w:r>
              <w:rPr>
                <w:spacing w:val="40"/>
                <w:sz w:val="18"/>
              </w:rPr>
              <w:t xml:space="preserve"> </w:t>
            </w:r>
            <w:r>
              <w:rPr>
                <w:sz w:val="18"/>
              </w:rPr>
              <w:t>This</w:t>
            </w:r>
            <w:r>
              <w:rPr>
                <w:spacing w:val="-3"/>
                <w:sz w:val="18"/>
              </w:rPr>
              <w:t xml:space="preserve"> </w:t>
            </w:r>
            <w:r>
              <w:rPr>
                <w:sz w:val="18"/>
              </w:rPr>
              <w:t>is</w:t>
            </w:r>
            <w:r>
              <w:rPr>
                <w:spacing w:val="-2"/>
                <w:sz w:val="18"/>
              </w:rPr>
              <w:t xml:space="preserve"> </w:t>
            </w:r>
            <w:r>
              <w:rPr>
                <w:sz w:val="18"/>
              </w:rPr>
              <w:t>to</w:t>
            </w:r>
            <w:r>
              <w:rPr>
                <w:spacing w:val="-3"/>
                <w:sz w:val="18"/>
              </w:rPr>
              <w:t xml:space="preserve"> </w:t>
            </w:r>
            <w:r>
              <w:rPr>
                <w:sz w:val="18"/>
              </w:rPr>
              <w:t>include</w:t>
            </w:r>
            <w:r>
              <w:rPr>
                <w:spacing w:val="-3"/>
                <w:sz w:val="18"/>
              </w:rPr>
              <w:t xml:space="preserve"> </w:t>
            </w:r>
            <w:r>
              <w:rPr>
                <w:sz w:val="18"/>
              </w:rPr>
              <w:t>materials</w:t>
            </w:r>
            <w:r>
              <w:rPr>
                <w:spacing w:val="-2"/>
                <w:sz w:val="18"/>
              </w:rPr>
              <w:t xml:space="preserve"> </w:t>
            </w:r>
            <w:r>
              <w:rPr>
                <w:sz w:val="18"/>
              </w:rPr>
              <w:t>of</w:t>
            </w:r>
            <w:r>
              <w:rPr>
                <w:spacing w:val="-4"/>
                <w:sz w:val="18"/>
              </w:rPr>
              <w:t xml:space="preserve"> </w:t>
            </w:r>
            <w:r>
              <w:rPr>
                <w:sz w:val="18"/>
              </w:rPr>
              <w:t>the Contractor, nominated sub-Contractors and nominated suppliers.</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2"/>
              <w:jc w:val="right"/>
              <w:rPr>
                <w:sz w:val="18"/>
              </w:rPr>
            </w:pPr>
            <w:r>
              <w:rPr>
                <w:spacing w:val="-10"/>
                <w:sz w:val="18"/>
              </w:rPr>
              <w:t>E</w:t>
            </w:r>
          </w:p>
        </w:tc>
        <w:tc>
          <w:tcPr>
            <w:tcW w:w="7768" w:type="dxa"/>
            <w:tcBorders>
              <w:top w:val="nil"/>
              <w:bottom w:val="nil"/>
            </w:tcBorders>
          </w:tcPr>
          <w:p w:rsidR="007F6DF9" w:rsidRDefault="00A43FBC">
            <w:pPr>
              <w:pStyle w:val="TableParagraph"/>
              <w:spacing w:before="108" w:line="202" w:lineRule="exact"/>
              <w:ind w:left="38"/>
              <w:rPr>
                <w:sz w:val="18"/>
              </w:rPr>
            </w:pPr>
            <w:r>
              <w:rPr>
                <w:sz w:val="18"/>
              </w:rPr>
              <w:t>EXISTING</w:t>
            </w:r>
            <w:r>
              <w:rPr>
                <w:spacing w:val="-1"/>
                <w:sz w:val="18"/>
              </w:rPr>
              <w:t xml:space="preserve"> </w:t>
            </w:r>
            <w:r>
              <w:rPr>
                <w:spacing w:val="-2"/>
                <w:sz w:val="18"/>
              </w:rPr>
              <w:t>SERVICES</w:t>
            </w:r>
          </w:p>
        </w:tc>
        <w:tc>
          <w:tcPr>
            <w:tcW w:w="1534" w:type="dxa"/>
            <w:vMerge/>
            <w:tcBorders>
              <w:top w:val="nil"/>
            </w:tcBorders>
          </w:tcPr>
          <w:p w:rsidR="007F6DF9" w:rsidRDefault="007F6DF9">
            <w:pPr>
              <w:rPr>
                <w:sz w:val="2"/>
                <w:szCs w:val="2"/>
              </w:rPr>
            </w:pPr>
          </w:p>
        </w:tc>
      </w:tr>
      <w:tr w:rsidR="007F6DF9">
        <w:trPr>
          <w:trHeight w:val="791"/>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Prior to the commencement of any work, the Contractor is to ascertain from the relevant authority</w:t>
            </w:r>
            <w:r>
              <w:rPr>
                <w:spacing w:val="-15"/>
                <w:sz w:val="18"/>
              </w:rPr>
              <w:t xml:space="preserve"> </w:t>
            </w:r>
            <w:r>
              <w:rPr>
                <w:sz w:val="18"/>
              </w:rPr>
              <w:t>the</w:t>
            </w:r>
            <w:r>
              <w:rPr>
                <w:spacing w:val="-14"/>
                <w:sz w:val="18"/>
              </w:rPr>
              <w:t xml:space="preserve"> </w:t>
            </w:r>
            <w:r>
              <w:rPr>
                <w:sz w:val="18"/>
              </w:rPr>
              <w:t>exact</w:t>
            </w:r>
            <w:r>
              <w:rPr>
                <w:spacing w:val="-13"/>
                <w:sz w:val="18"/>
              </w:rPr>
              <w:t xml:space="preserve"> </w:t>
            </w:r>
            <w:r>
              <w:rPr>
                <w:sz w:val="18"/>
              </w:rPr>
              <w:t>position,</w:t>
            </w:r>
            <w:r>
              <w:rPr>
                <w:spacing w:val="-14"/>
                <w:sz w:val="18"/>
              </w:rPr>
              <w:t xml:space="preserve"> </w:t>
            </w:r>
            <w:r>
              <w:rPr>
                <w:sz w:val="18"/>
              </w:rPr>
              <w:t>depth</w:t>
            </w:r>
            <w:r>
              <w:rPr>
                <w:spacing w:val="-13"/>
                <w:sz w:val="18"/>
              </w:rPr>
              <w:t xml:space="preserve"> </w:t>
            </w:r>
            <w:r>
              <w:rPr>
                <w:sz w:val="18"/>
              </w:rPr>
              <w:t>and</w:t>
            </w:r>
            <w:r>
              <w:rPr>
                <w:spacing w:val="-15"/>
                <w:sz w:val="18"/>
              </w:rPr>
              <w:t xml:space="preserve"> </w:t>
            </w:r>
            <w:r>
              <w:rPr>
                <w:sz w:val="18"/>
              </w:rPr>
              <w:t>level</w:t>
            </w:r>
            <w:r>
              <w:rPr>
                <w:spacing w:val="-13"/>
                <w:sz w:val="18"/>
              </w:rPr>
              <w:t xml:space="preserve"> </w:t>
            </w:r>
            <w:r>
              <w:rPr>
                <w:sz w:val="18"/>
              </w:rPr>
              <w:t>of</w:t>
            </w:r>
            <w:r>
              <w:rPr>
                <w:spacing w:val="-15"/>
                <w:sz w:val="18"/>
              </w:rPr>
              <w:t xml:space="preserve"> </w:t>
            </w:r>
            <w:r>
              <w:rPr>
                <w:sz w:val="18"/>
              </w:rPr>
              <w:t>all</w:t>
            </w:r>
            <w:r>
              <w:rPr>
                <w:spacing w:val="-14"/>
                <w:sz w:val="18"/>
              </w:rPr>
              <w:t xml:space="preserve"> </w:t>
            </w:r>
            <w:r>
              <w:rPr>
                <w:sz w:val="18"/>
              </w:rPr>
              <w:t>existing</w:t>
            </w:r>
            <w:r>
              <w:rPr>
                <w:spacing w:val="-13"/>
                <w:sz w:val="18"/>
              </w:rPr>
              <w:t xml:space="preserve"> </w:t>
            </w:r>
            <w:r>
              <w:rPr>
                <w:sz w:val="18"/>
              </w:rPr>
              <w:t>services</w:t>
            </w:r>
            <w:r>
              <w:rPr>
                <w:spacing w:val="-13"/>
                <w:sz w:val="18"/>
              </w:rPr>
              <w:t xml:space="preserve"> </w:t>
            </w:r>
            <w:r>
              <w:rPr>
                <w:sz w:val="18"/>
              </w:rPr>
              <w:t>in</w:t>
            </w:r>
            <w:r>
              <w:rPr>
                <w:spacing w:val="-14"/>
                <w:sz w:val="18"/>
              </w:rPr>
              <w:t xml:space="preserve"> </w:t>
            </w:r>
            <w:r>
              <w:rPr>
                <w:sz w:val="18"/>
              </w:rPr>
              <w:t>the</w:t>
            </w:r>
            <w:r>
              <w:rPr>
                <w:spacing w:val="-14"/>
                <w:sz w:val="18"/>
              </w:rPr>
              <w:t xml:space="preserve"> </w:t>
            </w:r>
            <w:r>
              <w:rPr>
                <w:sz w:val="18"/>
              </w:rPr>
              <w:t>area</w:t>
            </w:r>
            <w:r>
              <w:rPr>
                <w:spacing w:val="-14"/>
                <w:sz w:val="18"/>
              </w:rPr>
              <w:t xml:space="preserve"> </w:t>
            </w:r>
            <w:r>
              <w:rPr>
                <w:sz w:val="18"/>
              </w:rPr>
              <w:t>and</w:t>
            </w:r>
            <w:r>
              <w:rPr>
                <w:spacing w:val="-14"/>
                <w:sz w:val="18"/>
              </w:rPr>
              <w:t xml:space="preserve"> </w:t>
            </w:r>
            <w:r>
              <w:rPr>
                <w:sz w:val="18"/>
              </w:rPr>
              <w:t>he/she</w:t>
            </w:r>
            <w:r>
              <w:rPr>
                <w:spacing w:val="-14"/>
                <w:sz w:val="18"/>
              </w:rPr>
              <w:t xml:space="preserve"> </w:t>
            </w:r>
            <w:r>
              <w:rPr>
                <w:sz w:val="18"/>
              </w:rPr>
              <w:t>shall make whatever provisions may be required by the authorities concerned</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3"/>
              <w:jc w:val="right"/>
              <w:rPr>
                <w:sz w:val="18"/>
              </w:rPr>
            </w:pPr>
            <w:r>
              <w:rPr>
                <w:spacing w:val="-10"/>
                <w:sz w:val="18"/>
              </w:rPr>
              <w:t>F</w:t>
            </w:r>
          </w:p>
        </w:tc>
        <w:tc>
          <w:tcPr>
            <w:tcW w:w="7768" w:type="dxa"/>
            <w:tcBorders>
              <w:top w:val="nil"/>
              <w:bottom w:val="nil"/>
            </w:tcBorders>
          </w:tcPr>
          <w:p w:rsidR="007F6DF9" w:rsidRDefault="00A43FBC">
            <w:pPr>
              <w:pStyle w:val="TableParagraph"/>
              <w:spacing w:before="108" w:line="202" w:lineRule="exact"/>
              <w:ind w:left="38"/>
              <w:rPr>
                <w:sz w:val="18"/>
              </w:rPr>
            </w:pPr>
            <w:r>
              <w:rPr>
                <w:sz w:val="18"/>
              </w:rPr>
              <w:t>BID</w:t>
            </w:r>
            <w:r>
              <w:rPr>
                <w:spacing w:val="-3"/>
                <w:sz w:val="18"/>
              </w:rPr>
              <w:t xml:space="preserve"> </w:t>
            </w:r>
            <w:r>
              <w:rPr>
                <w:spacing w:val="-2"/>
                <w:sz w:val="18"/>
              </w:rPr>
              <w:t>SECURITY</w:t>
            </w:r>
          </w:p>
        </w:tc>
        <w:tc>
          <w:tcPr>
            <w:tcW w:w="1534" w:type="dxa"/>
            <w:vMerge/>
            <w:tcBorders>
              <w:top w:val="nil"/>
            </w:tcBorders>
          </w:tcPr>
          <w:p w:rsidR="007F6DF9" w:rsidRDefault="007F6DF9">
            <w:pPr>
              <w:rPr>
                <w:sz w:val="2"/>
                <w:szCs w:val="2"/>
              </w:rPr>
            </w:pPr>
          </w:p>
        </w:tc>
      </w:tr>
      <w:tr w:rsidR="007F6DF9">
        <w:trPr>
          <w:trHeight w:val="67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pacing w:val="-2"/>
                <w:sz w:val="18"/>
              </w:rPr>
              <w:t>The</w:t>
            </w:r>
            <w:r>
              <w:rPr>
                <w:spacing w:val="-7"/>
                <w:sz w:val="18"/>
              </w:rPr>
              <w:t xml:space="preserve"> </w:t>
            </w:r>
            <w:r>
              <w:rPr>
                <w:spacing w:val="-2"/>
                <w:sz w:val="18"/>
              </w:rPr>
              <w:t>Bidder</w:t>
            </w:r>
            <w:r>
              <w:rPr>
                <w:spacing w:val="-7"/>
                <w:sz w:val="18"/>
              </w:rPr>
              <w:t xml:space="preserve"> </w:t>
            </w:r>
            <w:r>
              <w:rPr>
                <w:spacing w:val="-2"/>
                <w:sz w:val="18"/>
              </w:rPr>
              <w:t>shall</w:t>
            </w:r>
            <w:r>
              <w:rPr>
                <w:spacing w:val="-8"/>
                <w:sz w:val="18"/>
              </w:rPr>
              <w:t xml:space="preserve"> </w:t>
            </w:r>
            <w:r>
              <w:rPr>
                <w:spacing w:val="-2"/>
                <w:sz w:val="18"/>
              </w:rPr>
              <w:t>furnish,</w:t>
            </w:r>
            <w:r>
              <w:rPr>
                <w:spacing w:val="-8"/>
                <w:sz w:val="18"/>
              </w:rPr>
              <w:t xml:space="preserve"> </w:t>
            </w:r>
            <w:r>
              <w:rPr>
                <w:spacing w:val="-2"/>
                <w:sz w:val="18"/>
              </w:rPr>
              <w:t>as</w:t>
            </w:r>
            <w:r>
              <w:rPr>
                <w:spacing w:val="-6"/>
                <w:sz w:val="18"/>
              </w:rPr>
              <w:t xml:space="preserve"> </w:t>
            </w:r>
            <w:r>
              <w:rPr>
                <w:spacing w:val="-2"/>
                <w:sz w:val="18"/>
              </w:rPr>
              <w:t>part</w:t>
            </w:r>
            <w:r>
              <w:rPr>
                <w:spacing w:val="-7"/>
                <w:sz w:val="18"/>
              </w:rPr>
              <w:t xml:space="preserve"> </w:t>
            </w:r>
            <w:r>
              <w:rPr>
                <w:spacing w:val="-2"/>
                <w:sz w:val="18"/>
              </w:rPr>
              <w:t>of</w:t>
            </w:r>
            <w:r>
              <w:rPr>
                <w:spacing w:val="-7"/>
                <w:sz w:val="18"/>
              </w:rPr>
              <w:t xml:space="preserve"> </w:t>
            </w:r>
            <w:r>
              <w:rPr>
                <w:spacing w:val="-2"/>
                <w:sz w:val="18"/>
              </w:rPr>
              <w:t>his</w:t>
            </w:r>
            <w:r>
              <w:rPr>
                <w:spacing w:val="-6"/>
                <w:sz w:val="18"/>
              </w:rPr>
              <w:t xml:space="preserve"> </w:t>
            </w:r>
            <w:r>
              <w:rPr>
                <w:spacing w:val="-2"/>
                <w:sz w:val="18"/>
              </w:rPr>
              <w:t>bid,</w:t>
            </w:r>
            <w:r>
              <w:rPr>
                <w:spacing w:val="-8"/>
                <w:sz w:val="18"/>
              </w:rPr>
              <w:t xml:space="preserve"> </w:t>
            </w:r>
            <w:r>
              <w:rPr>
                <w:spacing w:val="-2"/>
                <w:sz w:val="18"/>
              </w:rPr>
              <w:t>a</w:t>
            </w:r>
            <w:r>
              <w:rPr>
                <w:spacing w:val="-8"/>
                <w:sz w:val="18"/>
              </w:rPr>
              <w:t xml:space="preserve"> </w:t>
            </w:r>
            <w:r>
              <w:rPr>
                <w:spacing w:val="-2"/>
                <w:sz w:val="18"/>
              </w:rPr>
              <w:t>security</w:t>
            </w:r>
            <w:r>
              <w:rPr>
                <w:spacing w:val="-7"/>
                <w:sz w:val="18"/>
              </w:rPr>
              <w:t xml:space="preserve"> </w:t>
            </w:r>
            <w:r>
              <w:rPr>
                <w:spacing w:val="-2"/>
                <w:sz w:val="18"/>
              </w:rPr>
              <w:t>as</w:t>
            </w:r>
            <w:r>
              <w:rPr>
                <w:spacing w:val="-6"/>
                <w:sz w:val="18"/>
              </w:rPr>
              <w:t xml:space="preserve"> </w:t>
            </w:r>
            <w:r>
              <w:rPr>
                <w:spacing w:val="-2"/>
                <w:sz w:val="18"/>
              </w:rPr>
              <w:t>specified</w:t>
            </w:r>
            <w:r>
              <w:rPr>
                <w:spacing w:val="-8"/>
                <w:sz w:val="18"/>
              </w:rPr>
              <w:t xml:space="preserve"> </w:t>
            </w:r>
            <w:r>
              <w:rPr>
                <w:spacing w:val="-2"/>
                <w:sz w:val="18"/>
              </w:rPr>
              <w:t>in</w:t>
            </w:r>
            <w:r>
              <w:rPr>
                <w:spacing w:val="-7"/>
                <w:sz w:val="18"/>
              </w:rPr>
              <w:t xml:space="preserve"> </w:t>
            </w:r>
            <w:r>
              <w:rPr>
                <w:spacing w:val="-2"/>
                <w:sz w:val="18"/>
              </w:rPr>
              <w:t>the</w:t>
            </w:r>
            <w:r>
              <w:rPr>
                <w:spacing w:val="-7"/>
                <w:sz w:val="18"/>
              </w:rPr>
              <w:t xml:space="preserve"> </w:t>
            </w:r>
            <w:r>
              <w:rPr>
                <w:spacing w:val="-2"/>
                <w:sz w:val="18"/>
              </w:rPr>
              <w:t>tender</w:t>
            </w:r>
            <w:r>
              <w:rPr>
                <w:spacing w:val="-7"/>
                <w:sz w:val="18"/>
              </w:rPr>
              <w:t xml:space="preserve"> </w:t>
            </w:r>
            <w:r>
              <w:rPr>
                <w:spacing w:val="-2"/>
                <w:sz w:val="18"/>
              </w:rPr>
              <w:t>advertisement</w:t>
            </w:r>
            <w:r>
              <w:rPr>
                <w:spacing w:val="-7"/>
                <w:sz w:val="18"/>
              </w:rPr>
              <w:t xml:space="preserve"> </w:t>
            </w:r>
            <w:r>
              <w:rPr>
                <w:spacing w:val="-2"/>
                <w:sz w:val="18"/>
              </w:rPr>
              <w:t xml:space="preserve">and </w:t>
            </w:r>
            <w:r>
              <w:rPr>
                <w:sz w:val="18"/>
              </w:rPr>
              <w:t>shall</w:t>
            </w:r>
            <w:r>
              <w:rPr>
                <w:spacing w:val="-4"/>
                <w:sz w:val="18"/>
              </w:rPr>
              <w:t xml:space="preserve"> </w:t>
            </w:r>
            <w:r>
              <w:rPr>
                <w:sz w:val="18"/>
              </w:rPr>
              <w:t>be</w:t>
            </w:r>
            <w:r>
              <w:rPr>
                <w:spacing w:val="-2"/>
                <w:sz w:val="18"/>
              </w:rPr>
              <w:t xml:space="preserve"> </w:t>
            </w:r>
            <w:r>
              <w:rPr>
                <w:sz w:val="18"/>
              </w:rPr>
              <w:t>in</w:t>
            </w:r>
            <w:r>
              <w:rPr>
                <w:spacing w:val="-3"/>
                <w:sz w:val="18"/>
              </w:rPr>
              <w:t xml:space="preserve"> </w:t>
            </w:r>
            <w:r>
              <w:rPr>
                <w:sz w:val="18"/>
              </w:rPr>
              <w:t>the</w:t>
            </w:r>
            <w:r>
              <w:rPr>
                <w:spacing w:val="-3"/>
                <w:sz w:val="18"/>
              </w:rPr>
              <w:t xml:space="preserve"> </w:t>
            </w:r>
            <w:r>
              <w:rPr>
                <w:sz w:val="18"/>
              </w:rPr>
              <w:t>form</w:t>
            </w:r>
            <w:r>
              <w:rPr>
                <w:spacing w:val="-3"/>
                <w:sz w:val="18"/>
              </w:rPr>
              <w:t xml:space="preserve"> </w:t>
            </w:r>
            <w:r>
              <w:rPr>
                <w:sz w:val="18"/>
              </w:rPr>
              <w:t>specified</w:t>
            </w:r>
            <w:r>
              <w:rPr>
                <w:spacing w:val="-4"/>
                <w:sz w:val="18"/>
              </w:rPr>
              <w:t xml:space="preserve"> </w:t>
            </w:r>
            <w:r>
              <w:rPr>
                <w:sz w:val="18"/>
              </w:rPr>
              <w:t>under</w:t>
            </w:r>
            <w:r>
              <w:rPr>
                <w:spacing w:val="-3"/>
                <w:sz w:val="18"/>
              </w:rPr>
              <w:t xml:space="preserve"> </w:t>
            </w:r>
            <w:r>
              <w:rPr>
                <w:sz w:val="18"/>
              </w:rPr>
              <w:t>Section</w:t>
            </w:r>
            <w:r>
              <w:rPr>
                <w:spacing w:val="-3"/>
                <w:sz w:val="18"/>
              </w:rPr>
              <w:t xml:space="preserve"> </w:t>
            </w:r>
            <w:r>
              <w:rPr>
                <w:sz w:val="18"/>
              </w:rPr>
              <w:t>IV-Standard</w:t>
            </w:r>
            <w:r>
              <w:rPr>
                <w:spacing w:val="-4"/>
                <w:sz w:val="18"/>
              </w:rPr>
              <w:t xml:space="preserve"> </w:t>
            </w:r>
            <w:r>
              <w:rPr>
                <w:sz w:val="18"/>
              </w:rPr>
              <w:t>Forms</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Tender</w:t>
            </w:r>
            <w:r>
              <w:rPr>
                <w:spacing w:val="-3"/>
                <w:sz w:val="18"/>
              </w:rPr>
              <w:t xml:space="preserve"> </w:t>
            </w:r>
            <w:r>
              <w:rPr>
                <w:sz w:val="18"/>
              </w:rPr>
              <w:t>Document.</w:t>
            </w:r>
          </w:p>
        </w:tc>
        <w:tc>
          <w:tcPr>
            <w:tcW w:w="1534" w:type="dxa"/>
            <w:vMerge/>
            <w:tcBorders>
              <w:top w:val="nil"/>
            </w:tcBorders>
          </w:tcPr>
          <w:p w:rsidR="007F6DF9" w:rsidRDefault="007F6DF9">
            <w:pPr>
              <w:rPr>
                <w:sz w:val="2"/>
                <w:szCs w:val="2"/>
              </w:rPr>
            </w:pPr>
          </w:p>
        </w:tc>
      </w:tr>
      <w:tr w:rsidR="007F6DF9">
        <w:trPr>
          <w:trHeight w:val="446"/>
        </w:trPr>
        <w:tc>
          <w:tcPr>
            <w:tcW w:w="708" w:type="dxa"/>
            <w:tcBorders>
              <w:top w:val="nil"/>
              <w:bottom w:val="nil"/>
            </w:tcBorders>
          </w:tcPr>
          <w:p w:rsidR="007F6DF9" w:rsidRDefault="00A43FBC">
            <w:pPr>
              <w:pStyle w:val="TableParagraph"/>
              <w:spacing w:before="223" w:line="202" w:lineRule="exact"/>
              <w:ind w:right="24"/>
              <w:jc w:val="right"/>
              <w:rPr>
                <w:sz w:val="18"/>
              </w:rPr>
            </w:pPr>
            <w:r>
              <w:rPr>
                <w:spacing w:val="-10"/>
                <w:w w:val="110"/>
                <w:sz w:val="18"/>
              </w:rPr>
              <w:t>G</w:t>
            </w:r>
          </w:p>
        </w:tc>
        <w:tc>
          <w:tcPr>
            <w:tcW w:w="7768" w:type="dxa"/>
            <w:tcBorders>
              <w:top w:val="nil"/>
              <w:bottom w:val="nil"/>
            </w:tcBorders>
          </w:tcPr>
          <w:p w:rsidR="007F6DF9" w:rsidRDefault="00A43FBC">
            <w:pPr>
              <w:pStyle w:val="TableParagraph"/>
              <w:spacing w:before="223" w:line="202" w:lineRule="exact"/>
              <w:ind w:left="38"/>
              <w:rPr>
                <w:sz w:val="18"/>
              </w:rPr>
            </w:pPr>
            <w:r>
              <w:rPr>
                <w:w w:val="105"/>
                <w:sz w:val="18"/>
              </w:rPr>
              <w:t>PERFORMANCE</w:t>
            </w:r>
            <w:r>
              <w:rPr>
                <w:spacing w:val="35"/>
                <w:w w:val="105"/>
                <w:sz w:val="18"/>
              </w:rPr>
              <w:t xml:space="preserve"> </w:t>
            </w:r>
            <w:r>
              <w:rPr>
                <w:spacing w:val="-2"/>
                <w:w w:val="105"/>
                <w:sz w:val="18"/>
              </w:rPr>
              <w:t>SECURITY</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10" w:lineRule="exact"/>
              <w:ind w:left="36"/>
              <w:rPr>
                <w:sz w:val="18"/>
              </w:rPr>
            </w:pPr>
            <w:r>
              <w:rPr>
                <w:sz w:val="18"/>
              </w:rPr>
              <w:t>A</w:t>
            </w:r>
            <w:r>
              <w:rPr>
                <w:spacing w:val="3"/>
                <w:sz w:val="18"/>
              </w:rPr>
              <w:t xml:space="preserve"> </w:t>
            </w:r>
            <w:r>
              <w:rPr>
                <w:sz w:val="18"/>
              </w:rPr>
              <w:t>bond</w:t>
            </w:r>
            <w:r>
              <w:rPr>
                <w:spacing w:val="3"/>
                <w:sz w:val="18"/>
              </w:rPr>
              <w:t xml:space="preserve"> </w:t>
            </w:r>
            <w:r>
              <w:rPr>
                <w:sz w:val="18"/>
              </w:rPr>
              <w:t>of</w:t>
            </w:r>
            <w:r>
              <w:rPr>
                <w:spacing w:val="6"/>
                <w:sz w:val="18"/>
              </w:rPr>
              <w:t xml:space="preserve"> </w:t>
            </w:r>
            <w:r>
              <w:rPr>
                <w:sz w:val="18"/>
              </w:rPr>
              <w:t>5%</w:t>
            </w:r>
            <w:r>
              <w:rPr>
                <w:spacing w:val="3"/>
                <w:sz w:val="18"/>
              </w:rPr>
              <w:t xml:space="preserve"> </w:t>
            </w:r>
            <w:r>
              <w:rPr>
                <w:sz w:val="18"/>
              </w:rPr>
              <w:t>of</w:t>
            </w:r>
            <w:r>
              <w:rPr>
                <w:spacing w:val="6"/>
                <w:sz w:val="18"/>
              </w:rPr>
              <w:t xml:space="preserve"> </w:t>
            </w:r>
            <w:r>
              <w:rPr>
                <w:sz w:val="18"/>
              </w:rPr>
              <w:t>the</w:t>
            </w:r>
            <w:r>
              <w:rPr>
                <w:spacing w:val="3"/>
                <w:sz w:val="18"/>
              </w:rPr>
              <w:t xml:space="preserve"> </w:t>
            </w:r>
            <w:r>
              <w:rPr>
                <w:sz w:val="18"/>
              </w:rPr>
              <w:t>contract</w:t>
            </w:r>
            <w:r>
              <w:rPr>
                <w:spacing w:val="8"/>
                <w:sz w:val="18"/>
              </w:rPr>
              <w:t xml:space="preserve"> </w:t>
            </w:r>
            <w:r>
              <w:rPr>
                <w:sz w:val="18"/>
              </w:rPr>
              <w:t>sum</w:t>
            </w:r>
            <w:r>
              <w:rPr>
                <w:spacing w:val="5"/>
                <w:sz w:val="18"/>
              </w:rPr>
              <w:t xml:space="preserve"> </w:t>
            </w:r>
            <w:r>
              <w:rPr>
                <w:sz w:val="18"/>
              </w:rPr>
              <w:t>will</w:t>
            </w:r>
            <w:r>
              <w:rPr>
                <w:spacing w:val="6"/>
                <w:sz w:val="18"/>
              </w:rPr>
              <w:t xml:space="preserve"> </w:t>
            </w:r>
            <w:r>
              <w:rPr>
                <w:sz w:val="18"/>
              </w:rPr>
              <w:t>be</w:t>
            </w:r>
            <w:r>
              <w:rPr>
                <w:spacing w:val="3"/>
                <w:sz w:val="18"/>
              </w:rPr>
              <w:t xml:space="preserve"> </w:t>
            </w:r>
            <w:r>
              <w:rPr>
                <w:sz w:val="18"/>
              </w:rPr>
              <w:t>required</w:t>
            </w:r>
            <w:r>
              <w:rPr>
                <w:spacing w:val="6"/>
                <w:sz w:val="18"/>
              </w:rPr>
              <w:t xml:space="preserve"> </w:t>
            </w:r>
            <w:r>
              <w:rPr>
                <w:sz w:val="18"/>
              </w:rPr>
              <w:t>in</w:t>
            </w:r>
            <w:r>
              <w:rPr>
                <w:spacing w:val="4"/>
                <w:sz w:val="18"/>
              </w:rPr>
              <w:t xml:space="preserve"> </w:t>
            </w:r>
            <w:r>
              <w:rPr>
                <w:sz w:val="18"/>
              </w:rPr>
              <w:t>accordance</w:t>
            </w:r>
            <w:r>
              <w:rPr>
                <w:spacing w:val="8"/>
                <w:sz w:val="18"/>
              </w:rPr>
              <w:t xml:space="preserve"> </w:t>
            </w:r>
            <w:r>
              <w:rPr>
                <w:sz w:val="18"/>
              </w:rPr>
              <w:t>with</w:t>
            </w:r>
            <w:r>
              <w:rPr>
                <w:spacing w:val="3"/>
                <w:sz w:val="18"/>
              </w:rPr>
              <w:t xml:space="preserve"> </w:t>
            </w:r>
            <w:r>
              <w:rPr>
                <w:sz w:val="18"/>
              </w:rPr>
              <w:t>clause</w:t>
            </w:r>
            <w:r>
              <w:rPr>
                <w:spacing w:val="7"/>
                <w:sz w:val="18"/>
              </w:rPr>
              <w:t xml:space="preserve"> </w:t>
            </w:r>
            <w:r>
              <w:rPr>
                <w:sz w:val="18"/>
              </w:rPr>
              <w:t>4.2.1</w:t>
            </w:r>
            <w:r>
              <w:rPr>
                <w:spacing w:val="5"/>
                <w:sz w:val="18"/>
              </w:rPr>
              <w:t xml:space="preserve"> </w:t>
            </w:r>
            <w:r>
              <w:rPr>
                <w:sz w:val="18"/>
              </w:rPr>
              <w:t>section</w:t>
            </w:r>
            <w:r>
              <w:rPr>
                <w:spacing w:val="6"/>
                <w:sz w:val="18"/>
              </w:rPr>
              <w:t xml:space="preserve"> </w:t>
            </w:r>
            <w:r>
              <w:rPr>
                <w:sz w:val="18"/>
              </w:rPr>
              <w:t>viii</w:t>
            </w:r>
            <w:r>
              <w:rPr>
                <w:spacing w:val="4"/>
                <w:sz w:val="18"/>
              </w:rPr>
              <w:t xml:space="preserve"> </w:t>
            </w:r>
            <w:r>
              <w:rPr>
                <w:spacing w:val="-10"/>
                <w:sz w:val="18"/>
              </w:rPr>
              <w:t>-</w:t>
            </w:r>
          </w:p>
          <w:p w:rsidR="007F6DF9" w:rsidRDefault="00A43FBC">
            <w:pPr>
              <w:pStyle w:val="TableParagraph"/>
              <w:spacing w:before="13" w:line="202" w:lineRule="exact"/>
              <w:ind w:left="36"/>
              <w:rPr>
                <w:sz w:val="18"/>
              </w:rPr>
            </w:pPr>
            <w:r>
              <w:rPr>
                <w:sz w:val="18"/>
              </w:rPr>
              <w:t>general</w:t>
            </w:r>
            <w:r>
              <w:rPr>
                <w:spacing w:val="-14"/>
                <w:sz w:val="18"/>
              </w:rPr>
              <w:t xml:space="preserve"> </w:t>
            </w:r>
            <w:r>
              <w:rPr>
                <w:sz w:val="18"/>
              </w:rPr>
              <w:t>conditions</w:t>
            </w:r>
            <w:r>
              <w:rPr>
                <w:spacing w:val="-11"/>
                <w:sz w:val="18"/>
              </w:rPr>
              <w:t xml:space="preserve"> </w:t>
            </w:r>
            <w:r>
              <w:rPr>
                <w:sz w:val="18"/>
              </w:rPr>
              <w:t>of</w:t>
            </w:r>
            <w:r>
              <w:rPr>
                <w:spacing w:val="-13"/>
                <w:sz w:val="18"/>
              </w:rPr>
              <w:t xml:space="preserve"> </w:t>
            </w:r>
            <w:r>
              <w:rPr>
                <w:sz w:val="18"/>
              </w:rPr>
              <w:t>contract</w:t>
            </w:r>
            <w:r>
              <w:rPr>
                <w:spacing w:val="-12"/>
                <w:sz w:val="18"/>
              </w:rPr>
              <w:t xml:space="preserve"> </w:t>
            </w:r>
            <w:r>
              <w:rPr>
                <w:spacing w:val="-4"/>
                <w:sz w:val="18"/>
              </w:rPr>
              <w:t>(GCC)</w:t>
            </w:r>
          </w:p>
        </w:tc>
        <w:tc>
          <w:tcPr>
            <w:tcW w:w="1534" w:type="dxa"/>
            <w:vMerge/>
            <w:tcBorders>
              <w:top w:val="nil"/>
            </w:tcBorders>
          </w:tcPr>
          <w:p w:rsidR="007F6DF9" w:rsidRDefault="007F6DF9">
            <w:pPr>
              <w:rPr>
                <w:sz w:val="2"/>
                <w:szCs w:val="2"/>
              </w:rPr>
            </w:pPr>
          </w:p>
        </w:tc>
      </w:tr>
      <w:tr w:rsidR="007F6DF9">
        <w:trPr>
          <w:trHeight w:val="1596"/>
        </w:trPr>
        <w:tc>
          <w:tcPr>
            <w:tcW w:w="708" w:type="dxa"/>
            <w:tcBorders>
              <w:top w:val="nil"/>
            </w:tcBorders>
          </w:tcPr>
          <w:p w:rsidR="007F6DF9" w:rsidRDefault="007F6DF9">
            <w:pPr>
              <w:pStyle w:val="TableParagraph"/>
              <w:rPr>
                <w:rFonts w:ascii="Times New Roman"/>
                <w:sz w:val="18"/>
              </w:rPr>
            </w:pPr>
          </w:p>
        </w:tc>
        <w:tc>
          <w:tcPr>
            <w:tcW w:w="7768" w:type="dxa"/>
            <w:tcBorders>
              <w:top w:val="nil"/>
            </w:tcBorders>
          </w:tcPr>
          <w:p w:rsidR="007F6DF9" w:rsidRDefault="00A43FBC">
            <w:pPr>
              <w:pStyle w:val="TableParagraph"/>
              <w:spacing w:line="254" w:lineRule="auto"/>
              <w:ind w:left="36" w:right="15"/>
              <w:jc w:val="both"/>
              <w:rPr>
                <w:sz w:val="18"/>
              </w:rPr>
            </w:pPr>
            <w:r>
              <w:rPr>
                <w:sz w:val="18"/>
              </w:rPr>
              <w:t>Note</w:t>
            </w:r>
            <w:r>
              <w:rPr>
                <w:spacing w:val="-4"/>
                <w:sz w:val="18"/>
              </w:rPr>
              <w:t xml:space="preserve"> </w:t>
            </w:r>
            <w:r>
              <w:rPr>
                <w:sz w:val="18"/>
              </w:rPr>
              <w:t>that</w:t>
            </w:r>
            <w:r>
              <w:rPr>
                <w:spacing w:val="-4"/>
                <w:sz w:val="18"/>
              </w:rPr>
              <w:t xml:space="preserve"> </w:t>
            </w:r>
            <w:r>
              <w:rPr>
                <w:sz w:val="18"/>
              </w:rPr>
              <w:t>no</w:t>
            </w:r>
            <w:r>
              <w:rPr>
                <w:spacing w:val="-5"/>
                <w:sz w:val="18"/>
              </w:rPr>
              <w:t xml:space="preserve"> </w:t>
            </w:r>
            <w:r>
              <w:rPr>
                <w:sz w:val="18"/>
              </w:rPr>
              <w:t>payments</w:t>
            </w:r>
            <w:r>
              <w:rPr>
                <w:spacing w:val="-1"/>
                <w:sz w:val="18"/>
              </w:rPr>
              <w:t xml:space="preserve"> </w:t>
            </w:r>
            <w:r>
              <w:rPr>
                <w:sz w:val="18"/>
              </w:rPr>
              <w:t>on</w:t>
            </w:r>
            <w:r>
              <w:rPr>
                <w:spacing w:val="-5"/>
                <w:sz w:val="18"/>
              </w:rPr>
              <w:t xml:space="preserve"> </w:t>
            </w:r>
            <w:r>
              <w:rPr>
                <w:sz w:val="18"/>
              </w:rPr>
              <w:t>account</w:t>
            </w:r>
            <w:r>
              <w:rPr>
                <w:spacing w:val="-1"/>
                <w:sz w:val="18"/>
              </w:rPr>
              <w:t xml:space="preserve"> </w:t>
            </w:r>
            <w:r>
              <w:rPr>
                <w:sz w:val="18"/>
              </w:rPr>
              <w:t>of</w:t>
            </w:r>
            <w:r>
              <w:rPr>
                <w:spacing w:val="-6"/>
                <w:sz w:val="18"/>
              </w:rPr>
              <w:t xml:space="preserve"> </w:t>
            </w:r>
            <w:r>
              <w:rPr>
                <w:sz w:val="18"/>
              </w:rPr>
              <w:t>works</w:t>
            </w:r>
            <w:r>
              <w:rPr>
                <w:spacing w:val="-2"/>
                <w:sz w:val="18"/>
              </w:rPr>
              <w:t xml:space="preserve"> </w:t>
            </w:r>
            <w:r>
              <w:rPr>
                <w:sz w:val="18"/>
              </w:rPr>
              <w:t>executed</w:t>
            </w:r>
            <w:r>
              <w:rPr>
                <w:spacing w:val="-5"/>
                <w:sz w:val="18"/>
              </w:rPr>
              <w:t xml:space="preserve"> </w:t>
            </w:r>
            <w:r>
              <w:rPr>
                <w:sz w:val="18"/>
              </w:rPr>
              <w:t>will</w:t>
            </w:r>
            <w:r>
              <w:rPr>
                <w:spacing w:val="-3"/>
                <w:sz w:val="18"/>
              </w:rPr>
              <w:t xml:space="preserve"> </w:t>
            </w:r>
            <w:r>
              <w:rPr>
                <w:sz w:val="18"/>
              </w:rPr>
              <w:t>be</w:t>
            </w:r>
            <w:r>
              <w:rPr>
                <w:spacing w:val="-5"/>
                <w:sz w:val="18"/>
              </w:rPr>
              <w:t xml:space="preserve"> </w:t>
            </w:r>
            <w:r>
              <w:rPr>
                <w:sz w:val="18"/>
              </w:rPr>
              <w:t>made</w:t>
            </w:r>
            <w:r>
              <w:rPr>
                <w:spacing w:val="-2"/>
                <w:sz w:val="18"/>
              </w:rPr>
              <w:t xml:space="preserve"> </w:t>
            </w:r>
            <w:r>
              <w:rPr>
                <w:sz w:val="18"/>
              </w:rPr>
              <w:t>to</w:t>
            </w:r>
            <w:r>
              <w:rPr>
                <w:spacing w:val="-5"/>
                <w:sz w:val="18"/>
              </w:rPr>
              <w:t xml:space="preserve"> </w:t>
            </w:r>
            <w:r>
              <w:rPr>
                <w:sz w:val="18"/>
              </w:rPr>
              <w:t>the</w:t>
            </w:r>
            <w:r>
              <w:rPr>
                <w:spacing w:val="-2"/>
                <w:sz w:val="18"/>
              </w:rPr>
              <w:t xml:space="preserve"> </w:t>
            </w:r>
            <w:r>
              <w:rPr>
                <w:sz w:val="18"/>
              </w:rPr>
              <w:t>Contractor</w:t>
            </w:r>
            <w:r>
              <w:rPr>
                <w:spacing w:val="-5"/>
                <w:sz w:val="18"/>
              </w:rPr>
              <w:t xml:space="preserve"> </w:t>
            </w:r>
            <w:r>
              <w:rPr>
                <w:sz w:val="18"/>
              </w:rPr>
              <w:t>until</w:t>
            </w:r>
            <w:r>
              <w:rPr>
                <w:spacing w:val="-3"/>
                <w:sz w:val="18"/>
              </w:rPr>
              <w:t xml:space="preserve"> </w:t>
            </w:r>
            <w:r>
              <w:rPr>
                <w:sz w:val="18"/>
              </w:rPr>
              <w:t>he</w:t>
            </w:r>
            <w:r>
              <w:rPr>
                <w:spacing w:val="-4"/>
                <w:sz w:val="18"/>
              </w:rPr>
              <w:t xml:space="preserve"> </w:t>
            </w:r>
            <w:r>
              <w:rPr>
                <w:sz w:val="18"/>
              </w:rPr>
              <w:t>has submitted the Performance Bond to the Project Manager, duly stamped signed and</w:t>
            </w:r>
            <w:r>
              <w:rPr>
                <w:spacing w:val="-1"/>
                <w:sz w:val="18"/>
              </w:rPr>
              <w:t xml:space="preserve"> </w:t>
            </w:r>
            <w:r>
              <w:rPr>
                <w:sz w:val="18"/>
              </w:rPr>
              <w:t>sealed by an approved bank or insurance company</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1"/>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24"/>
        </w:trPr>
        <w:tc>
          <w:tcPr>
            <w:tcW w:w="708" w:type="dxa"/>
            <w:tcBorders>
              <w:bottom w:val="nil"/>
            </w:tcBorders>
          </w:tcPr>
          <w:p w:rsidR="007F6DF9" w:rsidRDefault="00A43FBC">
            <w:pPr>
              <w:pStyle w:val="TableParagraph"/>
              <w:spacing w:line="205" w:lineRule="exact"/>
              <w:ind w:right="24"/>
              <w:jc w:val="right"/>
              <w:rPr>
                <w:sz w:val="18"/>
              </w:rPr>
            </w:pPr>
            <w:r>
              <w:rPr>
                <w:spacing w:val="-10"/>
                <w:w w:val="110"/>
                <w:sz w:val="18"/>
              </w:rPr>
              <w:t>A</w:t>
            </w:r>
          </w:p>
        </w:tc>
        <w:tc>
          <w:tcPr>
            <w:tcW w:w="7768" w:type="dxa"/>
            <w:tcBorders>
              <w:bottom w:val="nil"/>
            </w:tcBorders>
          </w:tcPr>
          <w:p w:rsidR="007F6DF9" w:rsidRDefault="00A43FBC">
            <w:pPr>
              <w:pStyle w:val="TableParagraph"/>
              <w:spacing w:line="205" w:lineRule="exact"/>
              <w:ind w:left="38"/>
              <w:rPr>
                <w:sz w:val="18"/>
              </w:rPr>
            </w:pPr>
            <w:r>
              <w:rPr>
                <w:spacing w:val="-2"/>
                <w:sz w:val="18"/>
              </w:rPr>
              <w:t>INSURANCE</w:t>
            </w:r>
          </w:p>
        </w:tc>
        <w:tc>
          <w:tcPr>
            <w:tcW w:w="1534" w:type="dxa"/>
            <w:vMerge w:val="restart"/>
            <w:tcBorders>
              <w:bottom w:val="nil"/>
            </w:tcBorders>
          </w:tcPr>
          <w:p w:rsidR="007F6DF9" w:rsidRDefault="007F6DF9">
            <w:pPr>
              <w:pStyle w:val="TableParagraph"/>
              <w:rPr>
                <w:rFonts w:ascii="Times New Roman"/>
                <w:sz w:val="18"/>
              </w:rPr>
            </w:pPr>
          </w:p>
        </w:tc>
      </w:tr>
      <w:tr w:rsidR="007F6DF9">
        <w:trPr>
          <w:trHeight w:val="1843"/>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Contractor shall insure as required in Condition No. 18 of the Conditions of Contract. No payment on account of the work executed will be made to the Contractor until he has satisfied the</w:t>
            </w:r>
            <w:r>
              <w:rPr>
                <w:spacing w:val="-1"/>
                <w:sz w:val="18"/>
              </w:rPr>
              <w:t xml:space="preserve"> </w:t>
            </w:r>
            <w:r>
              <w:rPr>
                <w:sz w:val="18"/>
              </w:rPr>
              <w:t>PROJECT MANAGER</w:t>
            </w:r>
            <w:r>
              <w:rPr>
                <w:spacing w:val="-1"/>
                <w:sz w:val="18"/>
              </w:rPr>
              <w:t xml:space="preserve"> </w:t>
            </w:r>
            <w:r>
              <w:rPr>
                <w:sz w:val="18"/>
              </w:rPr>
              <w:t>either by</w:t>
            </w:r>
            <w:r>
              <w:rPr>
                <w:spacing w:val="-1"/>
                <w:sz w:val="18"/>
              </w:rPr>
              <w:t xml:space="preserve"> </w:t>
            </w:r>
            <w:r>
              <w:rPr>
                <w:sz w:val="18"/>
              </w:rPr>
              <w:t>production of</w:t>
            </w:r>
            <w:r>
              <w:rPr>
                <w:spacing w:val="-2"/>
                <w:sz w:val="18"/>
              </w:rPr>
              <w:t xml:space="preserve"> </w:t>
            </w:r>
            <w:r>
              <w:rPr>
                <w:sz w:val="18"/>
              </w:rPr>
              <w:t>an Insurance</w:t>
            </w:r>
            <w:r>
              <w:rPr>
                <w:spacing w:val="-1"/>
                <w:sz w:val="18"/>
              </w:rPr>
              <w:t xml:space="preserve"> </w:t>
            </w:r>
            <w:r>
              <w:rPr>
                <w:sz w:val="18"/>
              </w:rPr>
              <w:t>Policy or</w:t>
            </w:r>
            <w:r>
              <w:rPr>
                <w:spacing w:val="-2"/>
                <w:sz w:val="18"/>
              </w:rPr>
              <w:t xml:space="preserve"> </w:t>
            </w:r>
            <w:r>
              <w:rPr>
                <w:sz w:val="18"/>
              </w:rPr>
              <w:t>Insurance Certificate</w:t>
            </w:r>
            <w:r>
              <w:rPr>
                <w:spacing w:val="-1"/>
                <w:sz w:val="18"/>
              </w:rPr>
              <w:t xml:space="preserve"> </w:t>
            </w:r>
            <w:r>
              <w:rPr>
                <w:sz w:val="18"/>
              </w:rPr>
              <w:t>that the provision of the foregoing Insurance Clauses have been complied with in all respects. Thereafter the PROJECT MANAGER shall from time to time ascertain that premiums are duly</w:t>
            </w:r>
            <w:r>
              <w:rPr>
                <w:spacing w:val="40"/>
                <w:sz w:val="18"/>
              </w:rPr>
              <w:t xml:space="preserve"> </w:t>
            </w:r>
            <w:r>
              <w:rPr>
                <w:sz w:val="18"/>
              </w:rPr>
              <w:t>paid up by the Contractor who shall, if called upon to do so, produce the receipted premium renewals for the PROJECT MANAGER's inspection.</w:t>
            </w:r>
          </w:p>
        </w:tc>
        <w:tc>
          <w:tcPr>
            <w:tcW w:w="1534" w:type="dxa"/>
            <w:vMerge/>
            <w:tcBorders>
              <w:top w:val="nil"/>
              <w:bottom w:val="nil"/>
            </w:tcBorders>
          </w:tcPr>
          <w:p w:rsidR="007F6DF9" w:rsidRDefault="007F6DF9">
            <w:pPr>
              <w:rPr>
                <w:sz w:val="2"/>
                <w:szCs w:val="2"/>
              </w:rPr>
            </w:pPr>
          </w:p>
        </w:tc>
      </w:tr>
      <w:tr w:rsidR="007F6DF9">
        <w:trPr>
          <w:trHeight w:val="460"/>
        </w:trPr>
        <w:tc>
          <w:tcPr>
            <w:tcW w:w="708" w:type="dxa"/>
            <w:tcBorders>
              <w:top w:val="nil"/>
              <w:bottom w:val="nil"/>
            </w:tcBorders>
          </w:tcPr>
          <w:p w:rsidR="007F6DF9" w:rsidRDefault="00A43FBC">
            <w:pPr>
              <w:pStyle w:val="TableParagraph"/>
              <w:spacing w:before="231" w:line="210"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before="231" w:line="210" w:lineRule="exact"/>
              <w:ind w:left="38"/>
              <w:rPr>
                <w:sz w:val="18"/>
              </w:rPr>
            </w:pPr>
            <w:r>
              <w:rPr>
                <w:sz w:val="18"/>
              </w:rPr>
              <w:t>TENDER</w:t>
            </w:r>
            <w:r>
              <w:rPr>
                <w:spacing w:val="27"/>
                <w:sz w:val="18"/>
              </w:rPr>
              <w:t xml:space="preserve"> </w:t>
            </w:r>
            <w:r>
              <w:rPr>
                <w:spacing w:val="-2"/>
                <w:sz w:val="18"/>
              </w:rPr>
              <w:t>DOCUMENTS</w:t>
            </w:r>
          </w:p>
        </w:tc>
        <w:tc>
          <w:tcPr>
            <w:tcW w:w="1534" w:type="dxa"/>
            <w:vMerge/>
            <w:tcBorders>
              <w:top w:val="nil"/>
              <w:bottom w:val="nil"/>
            </w:tcBorders>
          </w:tcPr>
          <w:p w:rsidR="007F6DF9" w:rsidRDefault="007F6DF9">
            <w:pPr>
              <w:rPr>
                <w:sz w:val="2"/>
                <w:szCs w:val="2"/>
              </w:rPr>
            </w:pPr>
          </w:p>
        </w:tc>
      </w:tr>
      <w:tr w:rsidR="007F6DF9">
        <w:trPr>
          <w:trHeight w:val="575"/>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Tender</w:t>
            </w:r>
            <w:r>
              <w:rPr>
                <w:spacing w:val="-15"/>
                <w:sz w:val="18"/>
              </w:rPr>
              <w:t xml:space="preserve"> </w:t>
            </w:r>
            <w:r>
              <w:rPr>
                <w:sz w:val="18"/>
              </w:rPr>
              <w:t>documents</w:t>
            </w:r>
            <w:r>
              <w:rPr>
                <w:spacing w:val="-14"/>
                <w:sz w:val="18"/>
              </w:rPr>
              <w:t xml:space="preserve"> </w:t>
            </w:r>
            <w:r>
              <w:rPr>
                <w:sz w:val="18"/>
              </w:rPr>
              <w:t>are</w:t>
            </w:r>
            <w:r>
              <w:rPr>
                <w:spacing w:val="-14"/>
                <w:sz w:val="18"/>
              </w:rPr>
              <w:t xml:space="preserve"> </w:t>
            </w:r>
            <w:r>
              <w:rPr>
                <w:sz w:val="18"/>
              </w:rPr>
              <w:t>as</w:t>
            </w:r>
            <w:r>
              <w:rPr>
                <w:spacing w:val="-14"/>
                <w:sz w:val="18"/>
              </w:rPr>
              <w:t xml:space="preserve"> </w:t>
            </w:r>
            <w:r>
              <w:rPr>
                <w:sz w:val="18"/>
              </w:rPr>
              <w:t>listed</w:t>
            </w:r>
            <w:r>
              <w:rPr>
                <w:spacing w:val="-14"/>
                <w:sz w:val="18"/>
              </w:rPr>
              <w:t xml:space="preserve"> </w:t>
            </w:r>
            <w:r>
              <w:rPr>
                <w:sz w:val="18"/>
              </w:rPr>
              <w:t>in</w:t>
            </w:r>
            <w:r>
              <w:rPr>
                <w:spacing w:val="-14"/>
                <w:sz w:val="18"/>
              </w:rPr>
              <w:t xml:space="preserve"> </w:t>
            </w:r>
            <w:r>
              <w:rPr>
                <w:sz w:val="18"/>
              </w:rPr>
              <w:t>Clause</w:t>
            </w:r>
            <w:r>
              <w:rPr>
                <w:spacing w:val="-14"/>
                <w:sz w:val="18"/>
              </w:rPr>
              <w:t xml:space="preserve"> </w:t>
            </w:r>
            <w:r>
              <w:rPr>
                <w:sz w:val="18"/>
              </w:rPr>
              <w:t>11</w:t>
            </w:r>
            <w:r>
              <w:rPr>
                <w:spacing w:val="-14"/>
                <w:sz w:val="18"/>
              </w:rPr>
              <w:t xml:space="preserve"> </w:t>
            </w:r>
            <w:r>
              <w:rPr>
                <w:sz w:val="18"/>
              </w:rPr>
              <w:t>of</w:t>
            </w:r>
            <w:r>
              <w:rPr>
                <w:spacing w:val="-14"/>
                <w:sz w:val="18"/>
              </w:rPr>
              <w:t xml:space="preserve"> </w:t>
            </w:r>
            <w:r>
              <w:rPr>
                <w:sz w:val="18"/>
              </w:rPr>
              <w:t>Section</w:t>
            </w:r>
            <w:r>
              <w:rPr>
                <w:spacing w:val="-14"/>
                <w:sz w:val="18"/>
              </w:rPr>
              <w:t xml:space="preserve"> </w:t>
            </w:r>
            <w:r>
              <w:rPr>
                <w:sz w:val="18"/>
              </w:rPr>
              <w:t>I-Instruction</w:t>
            </w:r>
            <w:r>
              <w:rPr>
                <w:spacing w:val="-14"/>
                <w:sz w:val="18"/>
              </w:rPr>
              <w:t xml:space="preserve"> </w:t>
            </w:r>
            <w:r>
              <w:rPr>
                <w:sz w:val="18"/>
              </w:rPr>
              <w:t>to</w:t>
            </w:r>
            <w:r>
              <w:rPr>
                <w:spacing w:val="-14"/>
                <w:sz w:val="18"/>
              </w:rPr>
              <w:t xml:space="preserve"> </w:t>
            </w:r>
            <w:r>
              <w:rPr>
                <w:sz w:val="18"/>
              </w:rPr>
              <w:t>Tenderers</w:t>
            </w:r>
            <w:r>
              <w:rPr>
                <w:spacing w:val="-14"/>
                <w:sz w:val="18"/>
              </w:rPr>
              <w:t xml:space="preserve"> </w:t>
            </w:r>
            <w:r>
              <w:rPr>
                <w:sz w:val="18"/>
              </w:rPr>
              <w:t>of</w:t>
            </w:r>
            <w:r>
              <w:rPr>
                <w:spacing w:val="-14"/>
                <w:sz w:val="18"/>
              </w:rPr>
              <w:t xml:space="preserve"> </w:t>
            </w:r>
            <w:r>
              <w:rPr>
                <w:sz w:val="18"/>
              </w:rPr>
              <w:t>the</w:t>
            </w:r>
            <w:r>
              <w:rPr>
                <w:spacing w:val="-14"/>
                <w:sz w:val="18"/>
              </w:rPr>
              <w:t xml:space="preserve"> </w:t>
            </w:r>
            <w:r>
              <w:rPr>
                <w:sz w:val="18"/>
              </w:rPr>
              <w:t xml:space="preserve">Tender </w:t>
            </w:r>
            <w:r>
              <w:rPr>
                <w:spacing w:val="-2"/>
                <w:sz w:val="18"/>
              </w:rPr>
              <w:t>Document.</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115" w:line="210" w:lineRule="exact"/>
              <w:ind w:left="38"/>
              <w:rPr>
                <w:sz w:val="18"/>
              </w:rPr>
            </w:pPr>
            <w:r>
              <w:rPr>
                <w:w w:val="105"/>
                <w:sz w:val="18"/>
              </w:rPr>
              <w:t>VALUE</w:t>
            </w:r>
            <w:r>
              <w:rPr>
                <w:spacing w:val="2"/>
                <w:w w:val="105"/>
                <w:sz w:val="18"/>
              </w:rPr>
              <w:t xml:space="preserve"> </w:t>
            </w:r>
            <w:r>
              <w:rPr>
                <w:w w:val="105"/>
                <w:sz w:val="18"/>
              </w:rPr>
              <w:t>ADDED</w:t>
            </w:r>
            <w:r>
              <w:rPr>
                <w:spacing w:val="4"/>
                <w:w w:val="105"/>
                <w:sz w:val="18"/>
              </w:rPr>
              <w:t xml:space="preserve"> </w:t>
            </w:r>
            <w:r>
              <w:rPr>
                <w:spacing w:val="-5"/>
                <w:w w:val="105"/>
                <w:sz w:val="18"/>
              </w:rPr>
              <w:t>TAX</w:t>
            </w:r>
          </w:p>
        </w:tc>
        <w:tc>
          <w:tcPr>
            <w:tcW w:w="1534" w:type="dxa"/>
            <w:vMerge/>
            <w:tcBorders>
              <w:top w:val="nil"/>
              <w:bottom w:val="nil"/>
            </w:tcBorders>
          </w:tcPr>
          <w:p w:rsidR="007F6DF9" w:rsidRDefault="007F6DF9">
            <w:pPr>
              <w:rPr>
                <w:sz w:val="2"/>
                <w:szCs w:val="2"/>
              </w:rPr>
            </w:pPr>
          </w:p>
        </w:tc>
      </w:tr>
      <w:tr w:rsidR="007F6DF9">
        <w:trPr>
          <w:trHeight w:val="2765"/>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3"/>
              <w:jc w:val="both"/>
              <w:rPr>
                <w:sz w:val="18"/>
              </w:rPr>
            </w:pPr>
            <w:r>
              <w:rPr>
                <w:sz w:val="18"/>
              </w:rPr>
              <w:t>The Contractor's attention is drawn to V.A.T PUBLIC NOTICE NO. 6 of 5th August, 1993 regarding the Finance Bill 1993 which expanded the V.A.T base to cover construction services amongst</w:t>
            </w:r>
            <w:r>
              <w:rPr>
                <w:spacing w:val="-3"/>
                <w:sz w:val="18"/>
              </w:rPr>
              <w:t xml:space="preserve"> </w:t>
            </w:r>
            <w:r>
              <w:rPr>
                <w:sz w:val="18"/>
              </w:rPr>
              <w:t>other</w:t>
            </w:r>
            <w:r>
              <w:rPr>
                <w:spacing w:val="-3"/>
                <w:sz w:val="18"/>
              </w:rPr>
              <w:t xml:space="preserve"> </w:t>
            </w:r>
            <w:r>
              <w:rPr>
                <w:sz w:val="18"/>
              </w:rPr>
              <w:t>items.</w:t>
            </w:r>
            <w:r>
              <w:rPr>
                <w:spacing w:val="-4"/>
                <w:sz w:val="18"/>
              </w:rPr>
              <w:t xml:space="preserve"> </w:t>
            </w:r>
            <w:r>
              <w:rPr>
                <w:sz w:val="18"/>
              </w:rPr>
              <w:t>The Contractor</w:t>
            </w:r>
            <w:r>
              <w:rPr>
                <w:spacing w:val="-2"/>
                <w:sz w:val="18"/>
              </w:rPr>
              <w:t xml:space="preserve"> </w:t>
            </w:r>
            <w:r>
              <w:rPr>
                <w:sz w:val="18"/>
              </w:rPr>
              <w:t>shall</w:t>
            </w:r>
            <w:r>
              <w:rPr>
                <w:spacing w:val="-2"/>
                <w:sz w:val="18"/>
              </w:rPr>
              <w:t xml:space="preserve"> </w:t>
            </w:r>
            <w:r>
              <w:rPr>
                <w:sz w:val="18"/>
              </w:rPr>
              <w:t>familiarize</w:t>
            </w:r>
            <w:r>
              <w:rPr>
                <w:spacing w:val="-2"/>
                <w:sz w:val="18"/>
              </w:rPr>
              <w:t xml:space="preserve"> </w:t>
            </w:r>
            <w:r>
              <w:rPr>
                <w:sz w:val="18"/>
              </w:rPr>
              <w:t>himself</w:t>
            </w:r>
            <w:r>
              <w:rPr>
                <w:spacing w:val="-1"/>
                <w:sz w:val="18"/>
              </w:rPr>
              <w:t xml:space="preserve"> </w:t>
            </w:r>
            <w:r>
              <w:rPr>
                <w:sz w:val="18"/>
              </w:rPr>
              <w:t>with</w:t>
            </w:r>
            <w:r>
              <w:rPr>
                <w:spacing w:val="-3"/>
                <w:sz w:val="18"/>
              </w:rPr>
              <w:t xml:space="preserve"> </w:t>
            </w:r>
            <w:r>
              <w:rPr>
                <w:sz w:val="18"/>
              </w:rPr>
              <w:t>the</w:t>
            </w:r>
            <w:r>
              <w:rPr>
                <w:spacing w:val="-1"/>
                <w:sz w:val="18"/>
              </w:rPr>
              <w:t xml:space="preserve"> </w:t>
            </w:r>
            <w:r>
              <w:rPr>
                <w:sz w:val="18"/>
              </w:rPr>
              <w:t>said</w:t>
            </w:r>
            <w:r>
              <w:rPr>
                <w:spacing w:val="-4"/>
                <w:sz w:val="18"/>
              </w:rPr>
              <w:t xml:space="preserve"> </w:t>
            </w:r>
            <w:r>
              <w:rPr>
                <w:sz w:val="18"/>
              </w:rPr>
              <w:t>notice and</w:t>
            </w:r>
            <w:r>
              <w:rPr>
                <w:spacing w:val="-4"/>
                <w:sz w:val="18"/>
              </w:rPr>
              <w:t xml:space="preserve"> </w:t>
            </w:r>
            <w:r>
              <w:rPr>
                <w:sz w:val="18"/>
              </w:rPr>
              <w:t>allow in</w:t>
            </w:r>
            <w:r>
              <w:rPr>
                <w:spacing w:val="-3"/>
                <w:sz w:val="18"/>
              </w:rPr>
              <w:t xml:space="preserve"> </w:t>
            </w:r>
            <w:r>
              <w:rPr>
                <w:sz w:val="18"/>
              </w:rPr>
              <w:t xml:space="preserve">all his Bills of Quantities rates for the net tax. (i.e. less input tax where applicable) as required by </w:t>
            </w:r>
            <w:proofErr w:type="spellStart"/>
            <w:proofErr w:type="gramStart"/>
            <w:r>
              <w:rPr>
                <w:sz w:val="18"/>
              </w:rPr>
              <w:t>law.The</w:t>
            </w:r>
            <w:proofErr w:type="spellEnd"/>
            <w:proofErr w:type="gramEnd"/>
            <w:r>
              <w:rPr>
                <w:sz w:val="18"/>
              </w:rPr>
              <w:t xml:space="preserve"> tenderer is advised that in accordance with Government Public Notice No.35 &amp;36 dated 11th September 2003, operational from 1st October 2003, V.A.T will be deducted against the contract</w:t>
            </w:r>
            <w:r>
              <w:rPr>
                <w:spacing w:val="-2"/>
                <w:sz w:val="18"/>
              </w:rPr>
              <w:t xml:space="preserve"> </w:t>
            </w:r>
            <w:r>
              <w:rPr>
                <w:sz w:val="18"/>
              </w:rPr>
              <w:t>sum</w:t>
            </w:r>
            <w:r>
              <w:rPr>
                <w:spacing w:val="-2"/>
                <w:sz w:val="18"/>
              </w:rPr>
              <w:t xml:space="preserve"> </w:t>
            </w:r>
            <w:r>
              <w:rPr>
                <w:sz w:val="18"/>
              </w:rPr>
              <w:t>at</w:t>
            </w:r>
            <w:r>
              <w:rPr>
                <w:spacing w:val="-3"/>
                <w:sz w:val="18"/>
              </w:rPr>
              <w:t xml:space="preserve"> </w:t>
            </w:r>
            <w:r>
              <w:rPr>
                <w:sz w:val="18"/>
              </w:rPr>
              <w:t>the</w:t>
            </w:r>
            <w:r>
              <w:rPr>
                <w:spacing w:val="-3"/>
                <w:sz w:val="18"/>
              </w:rPr>
              <w:t xml:space="preserve"> </w:t>
            </w:r>
            <w:r>
              <w:rPr>
                <w:sz w:val="18"/>
              </w:rPr>
              <w:t>prevailing</w:t>
            </w:r>
            <w:r>
              <w:rPr>
                <w:spacing w:val="-2"/>
                <w:sz w:val="18"/>
              </w:rPr>
              <w:t xml:space="preserve"> </w:t>
            </w:r>
            <w:r>
              <w:rPr>
                <w:sz w:val="18"/>
              </w:rPr>
              <w:t>rate</w:t>
            </w:r>
            <w:r>
              <w:rPr>
                <w:spacing w:val="-2"/>
                <w:sz w:val="18"/>
              </w:rPr>
              <w:t xml:space="preserve"> </w:t>
            </w:r>
            <w:r>
              <w:rPr>
                <w:sz w:val="18"/>
              </w:rPr>
              <w:t>by</w:t>
            </w:r>
            <w:r>
              <w:rPr>
                <w:spacing w:val="-4"/>
                <w:sz w:val="18"/>
              </w:rPr>
              <w:t xml:space="preserve"> </w:t>
            </w:r>
            <w:r>
              <w:rPr>
                <w:sz w:val="18"/>
              </w:rPr>
              <w:t>the</w:t>
            </w:r>
            <w:r>
              <w:rPr>
                <w:spacing w:val="-3"/>
                <w:sz w:val="18"/>
              </w:rPr>
              <w:t xml:space="preserve"> </w:t>
            </w:r>
            <w:r>
              <w:rPr>
                <w:sz w:val="18"/>
              </w:rPr>
              <w:t>Employer</w:t>
            </w:r>
            <w:r>
              <w:rPr>
                <w:spacing w:val="-3"/>
                <w:sz w:val="18"/>
              </w:rPr>
              <w:t xml:space="preserve"> </w:t>
            </w:r>
            <w:r>
              <w:rPr>
                <w:sz w:val="18"/>
              </w:rPr>
              <w:t>and</w:t>
            </w:r>
            <w:r>
              <w:rPr>
                <w:spacing w:val="-4"/>
                <w:sz w:val="18"/>
              </w:rPr>
              <w:t xml:space="preserve"> </w:t>
            </w:r>
            <w:r>
              <w:rPr>
                <w:sz w:val="18"/>
              </w:rPr>
              <w:t>remitted</w:t>
            </w:r>
            <w:r>
              <w:rPr>
                <w:spacing w:val="-3"/>
                <w:sz w:val="18"/>
              </w:rPr>
              <w:t xml:space="preserve"> </w:t>
            </w:r>
            <w:r>
              <w:rPr>
                <w:sz w:val="18"/>
              </w:rPr>
              <w:t>directly</w:t>
            </w:r>
            <w:r>
              <w:rPr>
                <w:spacing w:val="-3"/>
                <w:sz w:val="18"/>
              </w:rPr>
              <w:t xml:space="preserve"> </w:t>
            </w:r>
            <w:r>
              <w:rPr>
                <w:sz w:val="18"/>
              </w:rPr>
              <w:t>to</w:t>
            </w:r>
            <w:r>
              <w:rPr>
                <w:spacing w:val="-6"/>
                <w:sz w:val="18"/>
              </w:rPr>
              <w:t xml:space="preserve"> </w:t>
            </w:r>
            <w:r>
              <w:rPr>
                <w:sz w:val="18"/>
              </w:rPr>
              <w:t>the</w:t>
            </w:r>
            <w:r>
              <w:rPr>
                <w:spacing w:val="-3"/>
                <w:sz w:val="18"/>
              </w:rPr>
              <w:t xml:space="preserve"> </w:t>
            </w:r>
            <w:r>
              <w:rPr>
                <w:sz w:val="18"/>
              </w:rPr>
              <w:t>Commissioner</w:t>
            </w:r>
            <w:r>
              <w:rPr>
                <w:spacing w:val="-5"/>
                <w:sz w:val="18"/>
              </w:rPr>
              <w:t xml:space="preserve"> </w:t>
            </w:r>
            <w:r>
              <w:rPr>
                <w:sz w:val="18"/>
              </w:rPr>
              <w:t>of</w:t>
            </w:r>
          </w:p>
          <w:p w:rsidR="007F6DF9" w:rsidRDefault="00A43FBC">
            <w:pPr>
              <w:pStyle w:val="TableParagraph"/>
              <w:spacing w:before="2" w:line="254" w:lineRule="auto"/>
              <w:ind w:left="36" w:right="14"/>
              <w:jc w:val="both"/>
              <w:rPr>
                <w:sz w:val="18"/>
              </w:rPr>
            </w:pPr>
            <w:r>
              <w:rPr>
                <w:sz w:val="18"/>
              </w:rPr>
              <w:t>V.A.T through all interim certificates. It should however be noted that this is not additional tax but a new mode of payment for V.A.T, any excess payment will be refundable once the Contractor has submitted monthly returns to the Commissioner of V.A.T who will do the refunds when satisfied that the V.A.T regulations have been complied with.</w:t>
            </w:r>
          </w:p>
        </w:tc>
        <w:tc>
          <w:tcPr>
            <w:tcW w:w="1534" w:type="dxa"/>
            <w:vMerge/>
            <w:tcBorders>
              <w:top w:val="nil"/>
              <w:bottom w:val="nil"/>
            </w:tcBorders>
          </w:tcPr>
          <w:p w:rsidR="007F6DF9" w:rsidRDefault="007F6DF9">
            <w:pPr>
              <w:rPr>
                <w:sz w:val="2"/>
                <w:szCs w:val="2"/>
              </w:rPr>
            </w:pPr>
          </w:p>
        </w:tc>
      </w:tr>
      <w:tr w:rsidR="007F6DF9">
        <w:trPr>
          <w:trHeight w:val="460"/>
        </w:trPr>
        <w:tc>
          <w:tcPr>
            <w:tcW w:w="708" w:type="dxa"/>
            <w:tcBorders>
              <w:top w:val="nil"/>
              <w:bottom w:val="nil"/>
            </w:tcBorders>
          </w:tcPr>
          <w:p w:rsidR="007F6DF9" w:rsidRDefault="00A43FBC">
            <w:pPr>
              <w:pStyle w:val="TableParagraph"/>
              <w:spacing w:before="231" w:line="210" w:lineRule="exact"/>
              <w:ind w:right="24"/>
              <w:jc w:val="right"/>
              <w:rPr>
                <w:sz w:val="18"/>
              </w:rPr>
            </w:pPr>
            <w:r>
              <w:rPr>
                <w:spacing w:val="-10"/>
                <w:w w:val="105"/>
                <w:sz w:val="18"/>
              </w:rPr>
              <w:t>D</w:t>
            </w:r>
          </w:p>
        </w:tc>
        <w:tc>
          <w:tcPr>
            <w:tcW w:w="7768" w:type="dxa"/>
            <w:tcBorders>
              <w:top w:val="nil"/>
              <w:bottom w:val="nil"/>
            </w:tcBorders>
          </w:tcPr>
          <w:p w:rsidR="007F6DF9" w:rsidRDefault="00A43FBC">
            <w:pPr>
              <w:pStyle w:val="TableParagraph"/>
              <w:spacing w:before="231" w:line="210" w:lineRule="exact"/>
              <w:ind w:left="38"/>
              <w:rPr>
                <w:sz w:val="18"/>
              </w:rPr>
            </w:pPr>
            <w:r>
              <w:rPr>
                <w:w w:val="110"/>
                <w:sz w:val="18"/>
              </w:rPr>
              <w:t>FORM</w:t>
            </w:r>
            <w:r>
              <w:rPr>
                <w:spacing w:val="3"/>
                <w:w w:val="110"/>
                <w:sz w:val="18"/>
              </w:rPr>
              <w:t xml:space="preserve"> </w:t>
            </w:r>
            <w:r>
              <w:rPr>
                <w:w w:val="110"/>
                <w:sz w:val="18"/>
              </w:rPr>
              <w:t>OF</w:t>
            </w:r>
            <w:r>
              <w:rPr>
                <w:spacing w:val="3"/>
                <w:w w:val="110"/>
                <w:sz w:val="18"/>
              </w:rPr>
              <w:t xml:space="preserve"> </w:t>
            </w:r>
            <w:r>
              <w:rPr>
                <w:spacing w:val="-2"/>
                <w:w w:val="110"/>
                <w:sz w:val="18"/>
              </w:rPr>
              <w:t>CONTRACT</w:t>
            </w:r>
          </w:p>
        </w:tc>
        <w:tc>
          <w:tcPr>
            <w:tcW w:w="1534" w:type="dxa"/>
            <w:vMerge/>
            <w:tcBorders>
              <w:top w:val="nil"/>
              <w:bottom w:val="nil"/>
            </w:tcBorders>
          </w:tcPr>
          <w:p w:rsidR="007F6DF9" w:rsidRDefault="007F6DF9">
            <w:pPr>
              <w:rPr>
                <w:sz w:val="2"/>
                <w:szCs w:val="2"/>
              </w:rPr>
            </w:pPr>
          </w:p>
        </w:tc>
      </w:tr>
      <w:tr w:rsidR="007F6DF9">
        <w:trPr>
          <w:trHeight w:val="8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w:t>
            </w:r>
            <w:r>
              <w:rPr>
                <w:spacing w:val="-8"/>
                <w:sz w:val="18"/>
              </w:rPr>
              <w:t xml:space="preserve"> </w:t>
            </w:r>
            <w:r>
              <w:rPr>
                <w:sz w:val="18"/>
              </w:rPr>
              <w:t>Form</w:t>
            </w:r>
            <w:r>
              <w:rPr>
                <w:spacing w:val="-8"/>
                <w:sz w:val="18"/>
              </w:rPr>
              <w:t xml:space="preserve"> </w:t>
            </w:r>
            <w:r>
              <w:rPr>
                <w:sz w:val="18"/>
              </w:rPr>
              <w:t>of</w:t>
            </w:r>
            <w:r>
              <w:rPr>
                <w:spacing w:val="-9"/>
                <w:sz w:val="18"/>
              </w:rPr>
              <w:t xml:space="preserve"> </w:t>
            </w:r>
            <w:r>
              <w:rPr>
                <w:sz w:val="18"/>
              </w:rPr>
              <w:t>Contract</w:t>
            </w:r>
            <w:r>
              <w:rPr>
                <w:spacing w:val="-8"/>
                <w:sz w:val="18"/>
              </w:rPr>
              <w:t xml:space="preserve"> </w:t>
            </w:r>
            <w:r>
              <w:rPr>
                <w:sz w:val="18"/>
              </w:rPr>
              <w:t>shall</w:t>
            </w:r>
            <w:r>
              <w:rPr>
                <w:spacing w:val="-9"/>
                <w:sz w:val="18"/>
              </w:rPr>
              <w:t xml:space="preserve"> </w:t>
            </w:r>
            <w:r>
              <w:rPr>
                <w:sz w:val="18"/>
              </w:rPr>
              <w:t>be</w:t>
            </w:r>
            <w:r>
              <w:rPr>
                <w:spacing w:val="-8"/>
                <w:sz w:val="18"/>
              </w:rPr>
              <w:t xml:space="preserve"> </w:t>
            </w:r>
            <w:r>
              <w:rPr>
                <w:sz w:val="18"/>
              </w:rPr>
              <w:t>as</w:t>
            </w:r>
            <w:r>
              <w:rPr>
                <w:spacing w:val="-8"/>
                <w:sz w:val="18"/>
              </w:rPr>
              <w:t xml:space="preserve"> </w:t>
            </w:r>
            <w:r>
              <w:rPr>
                <w:sz w:val="18"/>
              </w:rPr>
              <w:t>stipulated</w:t>
            </w:r>
            <w:r>
              <w:rPr>
                <w:spacing w:val="-9"/>
                <w:sz w:val="18"/>
              </w:rPr>
              <w:t xml:space="preserve"> </w:t>
            </w:r>
            <w:r>
              <w:rPr>
                <w:sz w:val="18"/>
              </w:rPr>
              <w:t>in</w:t>
            </w:r>
            <w:r>
              <w:rPr>
                <w:spacing w:val="-9"/>
                <w:sz w:val="18"/>
              </w:rPr>
              <w:t xml:space="preserve"> </w:t>
            </w:r>
            <w:r>
              <w:rPr>
                <w:sz w:val="18"/>
              </w:rPr>
              <w:t>the</w:t>
            </w:r>
            <w:r>
              <w:rPr>
                <w:spacing w:val="-8"/>
                <w:sz w:val="18"/>
              </w:rPr>
              <w:t xml:space="preserve"> </w:t>
            </w:r>
            <w:r>
              <w:rPr>
                <w:sz w:val="18"/>
              </w:rPr>
              <w:t>Republic</w:t>
            </w:r>
            <w:r>
              <w:rPr>
                <w:spacing w:val="-8"/>
                <w:sz w:val="18"/>
              </w:rPr>
              <w:t xml:space="preserve"> </w:t>
            </w:r>
            <w:r>
              <w:rPr>
                <w:sz w:val="18"/>
              </w:rPr>
              <w:t>of</w:t>
            </w:r>
            <w:r>
              <w:rPr>
                <w:spacing w:val="-9"/>
                <w:sz w:val="18"/>
              </w:rPr>
              <w:t xml:space="preserve"> </w:t>
            </w:r>
            <w:r>
              <w:rPr>
                <w:sz w:val="18"/>
              </w:rPr>
              <w:t>Kenya's</w:t>
            </w:r>
            <w:r>
              <w:rPr>
                <w:spacing w:val="-8"/>
                <w:sz w:val="18"/>
              </w:rPr>
              <w:t xml:space="preserve"> </w:t>
            </w:r>
            <w:r>
              <w:rPr>
                <w:sz w:val="18"/>
              </w:rPr>
              <w:t>Standard</w:t>
            </w:r>
            <w:r>
              <w:rPr>
                <w:spacing w:val="-8"/>
                <w:sz w:val="18"/>
              </w:rPr>
              <w:t xml:space="preserve"> </w:t>
            </w:r>
            <w:r>
              <w:rPr>
                <w:sz w:val="18"/>
              </w:rPr>
              <w:t>Tender</w:t>
            </w:r>
            <w:r>
              <w:rPr>
                <w:spacing w:val="-8"/>
                <w:sz w:val="18"/>
              </w:rPr>
              <w:t xml:space="preserve"> </w:t>
            </w:r>
            <w:r>
              <w:rPr>
                <w:sz w:val="18"/>
              </w:rPr>
              <w:t>Document for Procurement of Building Works (2021 edition) included herein under SECTION IV - TENDERING FORMS</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2"/>
              <w:jc w:val="right"/>
              <w:rPr>
                <w:sz w:val="18"/>
              </w:rPr>
            </w:pPr>
            <w:r>
              <w:rPr>
                <w:spacing w:val="-10"/>
                <w:sz w:val="18"/>
              </w:rPr>
              <w:t>E</w:t>
            </w:r>
          </w:p>
        </w:tc>
        <w:tc>
          <w:tcPr>
            <w:tcW w:w="7768" w:type="dxa"/>
            <w:tcBorders>
              <w:top w:val="nil"/>
              <w:bottom w:val="nil"/>
            </w:tcBorders>
          </w:tcPr>
          <w:p w:rsidR="007F6DF9" w:rsidRDefault="00A43FBC">
            <w:pPr>
              <w:pStyle w:val="TableParagraph"/>
              <w:spacing w:before="115" w:line="210" w:lineRule="exact"/>
              <w:ind w:left="38"/>
              <w:rPr>
                <w:sz w:val="18"/>
              </w:rPr>
            </w:pPr>
            <w:r>
              <w:rPr>
                <w:w w:val="105"/>
                <w:sz w:val="18"/>
              </w:rPr>
              <w:t>CONDITIONS</w:t>
            </w:r>
            <w:r>
              <w:rPr>
                <w:spacing w:val="16"/>
                <w:w w:val="105"/>
                <w:sz w:val="18"/>
              </w:rPr>
              <w:t xml:space="preserve"> </w:t>
            </w:r>
            <w:r>
              <w:rPr>
                <w:w w:val="105"/>
                <w:sz w:val="18"/>
              </w:rPr>
              <w:t>OF</w:t>
            </w:r>
            <w:r>
              <w:rPr>
                <w:spacing w:val="16"/>
                <w:w w:val="105"/>
                <w:sz w:val="18"/>
              </w:rPr>
              <w:t xml:space="preserve"> </w:t>
            </w:r>
            <w:r>
              <w:rPr>
                <w:spacing w:val="-2"/>
                <w:w w:val="105"/>
                <w:sz w:val="18"/>
              </w:rPr>
              <w:t>CONTRACT</w:t>
            </w:r>
          </w:p>
        </w:tc>
        <w:tc>
          <w:tcPr>
            <w:tcW w:w="1534" w:type="dxa"/>
            <w:vMerge/>
            <w:tcBorders>
              <w:top w:val="nil"/>
              <w:bottom w:val="nil"/>
            </w:tcBorders>
          </w:tcPr>
          <w:p w:rsidR="007F6DF9" w:rsidRDefault="007F6DF9">
            <w:pPr>
              <w:rPr>
                <w:sz w:val="2"/>
                <w:szCs w:val="2"/>
              </w:rPr>
            </w:pPr>
          </w:p>
        </w:tc>
      </w:tr>
      <w:tr w:rsidR="007F6DF9">
        <w:trPr>
          <w:trHeight w:val="1152"/>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These are numbered from 1 to 20 as set out under Section VIII of this Tender Document If the Contractor considers that compliance with any of the Conditions of Contract involves any expenses, he shall distribute the cost among the rates for the various items in the Bills of Quantities.</w:t>
            </w:r>
            <w:r>
              <w:rPr>
                <w:spacing w:val="15"/>
                <w:sz w:val="18"/>
              </w:rPr>
              <w:t xml:space="preserve"> </w:t>
            </w:r>
            <w:r>
              <w:rPr>
                <w:sz w:val="18"/>
              </w:rPr>
              <w:t>No</w:t>
            </w:r>
            <w:r>
              <w:rPr>
                <w:spacing w:val="15"/>
                <w:sz w:val="18"/>
              </w:rPr>
              <w:t xml:space="preserve"> </w:t>
            </w:r>
            <w:r>
              <w:rPr>
                <w:sz w:val="18"/>
              </w:rPr>
              <w:t>claim</w:t>
            </w:r>
            <w:r>
              <w:rPr>
                <w:spacing w:val="15"/>
                <w:sz w:val="18"/>
              </w:rPr>
              <w:t xml:space="preserve"> </w:t>
            </w:r>
            <w:r>
              <w:rPr>
                <w:sz w:val="18"/>
              </w:rPr>
              <w:t>shall</w:t>
            </w:r>
            <w:r>
              <w:rPr>
                <w:spacing w:val="14"/>
                <w:sz w:val="18"/>
              </w:rPr>
              <w:t xml:space="preserve"> </w:t>
            </w:r>
            <w:r>
              <w:rPr>
                <w:sz w:val="18"/>
              </w:rPr>
              <w:t>be</w:t>
            </w:r>
            <w:r>
              <w:rPr>
                <w:spacing w:val="16"/>
                <w:sz w:val="18"/>
              </w:rPr>
              <w:t xml:space="preserve"> </w:t>
            </w:r>
            <w:r>
              <w:rPr>
                <w:sz w:val="18"/>
              </w:rPr>
              <w:t>allowed</w:t>
            </w:r>
            <w:r>
              <w:rPr>
                <w:spacing w:val="14"/>
                <w:sz w:val="18"/>
              </w:rPr>
              <w:t xml:space="preserve"> </w:t>
            </w:r>
            <w:r>
              <w:rPr>
                <w:sz w:val="18"/>
              </w:rPr>
              <w:t>arising</w:t>
            </w:r>
            <w:r>
              <w:rPr>
                <w:spacing w:val="16"/>
                <w:sz w:val="18"/>
              </w:rPr>
              <w:t xml:space="preserve"> </w:t>
            </w:r>
            <w:r>
              <w:rPr>
                <w:sz w:val="18"/>
              </w:rPr>
              <w:t>from</w:t>
            </w:r>
            <w:r>
              <w:rPr>
                <w:spacing w:val="15"/>
                <w:sz w:val="18"/>
              </w:rPr>
              <w:t xml:space="preserve"> </w:t>
            </w:r>
            <w:r>
              <w:rPr>
                <w:sz w:val="18"/>
              </w:rPr>
              <w:t>the</w:t>
            </w:r>
            <w:r>
              <w:rPr>
                <w:spacing w:val="17"/>
                <w:sz w:val="18"/>
              </w:rPr>
              <w:t xml:space="preserve"> </w:t>
            </w:r>
            <w:r>
              <w:rPr>
                <w:sz w:val="18"/>
              </w:rPr>
              <w:t>Contractor's</w:t>
            </w:r>
            <w:r>
              <w:rPr>
                <w:spacing w:val="17"/>
                <w:sz w:val="18"/>
              </w:rPr>
              <w:t xml:space="preserve"> </w:t>
            </w:r>
            <w:r>
              <w:rPr>
                <w:sz w:val="18"/>
              </w:rPr>
              <w:t>compliance</w:t>
            </w:r>
            <w:r>
              <w:rPr>
                <w:spacing w:val="19"/>
                <w:sz w:val="18"/>
              </w:rPr>
              <w:t xml:space="preserve"> </w:t>
            </w:r>
            <w:r>
              <w:rPr>
                <w:sz w:val="18"/>
              </w:rPr>
              <w:t>with</w:t>
            </w:r>
            <w:r>
              <w:rPr>
                <w:spacing w:val="14"/>
                <w:sz w:val="18"/>
              </w:rPr>
              <w:t xml:space="preserve"> </w:t>
            </w:r>
            <w:r>
              <w:rPr>
                <w:sz w:val="18"/>
              </w:rPr>
              <w:t>any</w:t>
            </w:r>
            <w:r>
              <w:rPr>
                <w:spacing w:val="17"/>
                <w:sz w:val="18"/>
              </w:rPr>
              <w:t xml:space="preserve"> </w:t>
            </w:r>
            <w:r>
              <w:rPr>
                <w:sz w:val="18"/>
              </w:rPr>
              <w:t>of</w:t>
            </w:r>
            <w:r>
              <w:rPr>
                <w:spacing w:val="15"/>
                <w:sz w:val="18"/>
              </w:rPr>
              <w:t xml:space="preserve"> </w:t>
            </w:r>
            <w:r>
              <w:rPr>
                <w:sz w:val="18"/>
              </w:rPr>
              <w:t>the</w:t>
            </w:r>
          </w:p>
          <w:p w:rsidR="007F6DF9" w:rsidRDefault="00A43FBC">
            <w:pPr>
              <w:pStyle w:val="TableParagraph"/>
              <w:spacing w:before="1" w:line="210" w:lineRule="exact"/>
              <w:ind w:left="36"/>
              <w:jc w:val="both"/>
              <w:rPr>
                <w:sz w:val="18"/>
              </w:rPr>
            </w:pPr>
            <w:r>
              <w:rPr>
                <w:sz w:val="18"/>
              </w:rPr>
              <w:t>Conditions</w:t>
            </w:r>
            <w:r>
              <w:rPr>
                <w:spacing w:val="8"/>
                <w:sz w:val="18"/>
              </w:rPr>
              <w:t xml:space="preserve"> </w:t>
            </w:r>
            <w:r>
              <w:rPr>
                <w:sz w:val="18"/>
              </w:rPr>
              <w:t>of</w:t>
            </w:r>
            <w:r>
              <w:rPr>
                <w:spacing w:val="7"/>
                <w:sz w:val="18"/>
              </w:rPr>
              <w:t xml:space="preserve"> </w:t>
            </w:r>
            <w:r>
              <w:rPr>
                <w:spacing w:val="-2"/>
                <w:sz w:val="18"/>
              </w:rPr>
              <w:t>Contract.</w:t>
            </w:r>
          </w:p>
        </w:tc>
        <w:tc>
          <w:tcPr>
            <w:tcW w:w="1534" w:type="dxa"/>
            <w:vMerge/>
            <w:tcBorders>
              <w:top w:val="nil"/>
              <w:bottom w:val="nil"/>
            </w:tcBorders>
          </w:tcPr>
          <w:p w:rsidR="007F6DF9" w:rsidRDefault="007F6DF9">
            <w:pPr>
              <w:rPr>
                <w:sz w:val="2"/>
                <w:szCs w:val="2"/>
              </w:rPr>
            </w:pPr>
          </w:p>
        </w:tc>
      </w:tr>
    </w:tbl>
    <w:p w:rsidR="007F6DF9" w:rsidRDefault="007F6DF9">
      <w:pPr>
        <w:rPr>
          <w:sz w:val="2"/>
          <w:szCs w:val="2"/>
        </w:rPr>
        <w:sectPr w:rsidR="007F6DF9">
          <w:headerReference w:type="default" r:id="rId52"/>
          <w:pgSz w:w="12240" w:h="15840"/>
          <w:pgMar w:top="1060" w:right="1133" w:bottom="700" w:left="850" w:header="0" w:footer="506" w:gutter="0"/>
          <w:pgNumType w:start="7"/>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901"/>
        </w:trPr>
        <w:tc>
          <w:tcPr>
            <w:tcW w:w="708" w:type="dxa"/>
            <w:tcBorders>
              <w:bottom w:val="nil"/>
            </w:tcBorders>
          </w:tcPr>
          <w:p w:rsidR="007F6DF9" w:rsidRDefault="007F6DF9">
            <w:pPr>
              <w:pStyle w:val="TableParagraph"/>
              <w:rPr>
                <w:rFonts w:ascii="Times New Roman"/>
                <w:sz w:val="18"/>
              </w:rPr>
            </w:pPr>
          </w:p>
        </w:tc>
        <w:tc>
          <w:tcPr>
            <w:tcW w:w="7768" w:type="dxa"/>
            <w:tcBorders>
              <w:bottom w:val="nil"/>
            </w:tcBorders>
          </w:tcPr>
          <w:p w:rsidR="007F6DF9" w:rsidRDefault="00A43FBC">
            <w:pPr>
              <w:pStyle w:val="TableParagraph"/>
              <w:spacing w:line="212" w:lineRule="exact"/>
              <w:ind w:left="38"/>
              <w:rPr>
                <w:sz w:val="18"/>
              </w:rPr>
            </w:pPr>
            <w:r>
              <w:rPr>
                <w:sz w:val="18"/>
                <w:u w:val="single"/>
              </w:rPr>
              <w:t>PROJECT</w:t>
            </w:r>
            <w:r>
              <w:rPr>
                <w:spacing w:val="37"/>
                <w:sz w:val="18"/>
                <w:u w:val="single"/>
              </w:rPr>
              <w:t xml:space="preserve"> </w:t>
            </w:r>
            <w:r>
              <w:rPr>
                <w:sz w:val="18"/>
                <w:u w:val="single"/>
              </w:rPr>
              <w:t>MANAGER'S</w:t>
            </w:r>
            <w:r>
              <w:rPr>
                <w:spacing w:val="36"/>
                <w:sz w:val="18"/>
                <w:u w:val="single"/>
              </w:rPr>
              <w:t xml:space="preserve"> </w:t>
            </w:r>
            <w:r>
              <w:rPr>
                <w:sz w:val="18"/>
                <w:u w:val="single"/>
              </w:rPr>
              <w:t>SUPERVISION</w:t>
            </w:r>
            <w:r>
              <w:rPr>
                <w:spacing w:val="35"/>
                <w:sz w:val="18"/>
                <w:u w:val="single"/>
              </w:rPr>
              <w:t xml:space="preserve"> </w:t>
            </w:r>
            <w:r>
              <w:rPr>
                <w:spacing w:val="-2"/>
                <w:sz w:val="18"/>
                <w:u w:val="single"/>
              </w:rPr>
              <w:t>EXPENSES</w:t>
            </w:r>
          </w:p>
          <w:p w:rsidR="007F6DF9" w:rsidRDefault="007F6DF9">
            <w:pPr>
              <w:pStyle w:val="TableParagraph"/>
              <w:spacing w:before="4"/>
              <w:rPr>
                <w:rFonts w:ascii="Segoe UI"/>
                <w:sz w:val="18"/>
              </w:rPr>
            </w:pPr>
          </w:p>
          <w:p w:rsidR="007F6DF9" w:rsidRDefault="00A43FBC">
            <w:pPr>
              <w:pStyle w:val="TableParagraph"/>
              <w:ind w:left="36"/>
              <w:rPr>
                <w:sz w:val="18"/>
              </w:rPr>
            </w:pPr>
            <w:r>
              <w:rPr>
                <w:sz w:val="18"/>
                <w:u w:val="single"/>
              </w:rPr>
              <w:t>Disclaimer:</w:t>
            </w:r>
            <w:r>
              <w:rPr>
                <w:spacing w:val="-12"/>
                <w:sz w:val="18"/>
                <w:u w:val="single"/>
              </w:rPr>
              <w:t xml:space="preserve"> </w:t>
            </w:r>
            <w:r>
              <w:rPr>
                <w:sz w:val="18"/>
                <w:u w:val="single"/>
              </w:rPr>
              <w:t>The</w:t>
            </w:r>
            <w:r>
              <w:rPr>
                <w:spacing w:val="-11"/>
                <w:sz w:val="18"/>
                <w:u w:val="single"/>
              </w:rPr>
              <w:t xml:space="preserve"> </w:t>
            </w:r>
            <w:r>
              <w:rPr>
                <w:sz w:val="18"/>
                <w:u w:val="single"/>
              </w:rPr>
              <w:t>following</w:t>
            </w:r>
            <w:r>
              <w:rPr>
                <w:spacing w:val="-11"/>
                <w:sz w:val="18"/>
                <w:u w:val="single"/>
              </w:rPr>
              <w:t xml:space="preserve"> </w:t>
            </w:r>
            <w:r>
              <w:rPr>
                <w:sz w:val="18"/>
                <w:u w:val="single"/>
              </w:rPr>
              <w:t>items</w:t>
            </w:r>
            <w:r>
              <w:rPr>
                <w:spacing w:val="-10"/>
                <w:sz w:val="18"/>
                <w:u w:val="single"/>
              </w:rPr>
              <w:t xml:space="preserve"> </w:t>
            </w:r>
            <w:r>
              <w:rPr>
                <w:sz w:val="18"/>
                <w:u w:val="single"/>
              </w:rPr>
              <w:t>are</w:t>
            </w:r>
            <w:r>
              <w:rPr>
                <w:spacing w:val="-12"/>
                <w:sz w:val="18"/>
                <w:u w:val="single"/>
              </w:rPr>
              <w:t xml:space="preserve"> </w:t>
            </w:r>
            <w:r>
              <w:rPr>
                <w:sz w:val="18"/>
                <w:u w:val="single"/>
              </w:rPr>
              <w:t>to</w:t>
            </w:r>
            <w:r>
              <w:rPr>
                <w:spacing w:val="-11"/>
                <w:sz w:val="18"/>
                <w:u w:val="single"/>
              </w:rPr>
              <w:t xml:space="preserve"> </w:t>
            </w:r>
            <w:r>
              <w:rPr>
                <w:sz w:val="18"/>
                <w:u w:val="single"/>
              </w:rPr>
              <w:t>be</w:t>
            </w:r>
            <w:r>
              <w:rPr>
                <w:spacing w:val="-10"/>
                <w:sz w:val="18"/>
                <w:u w:val="single"/>
              </w:rPr>
              <w:t xml:space="preserve"> </w:t>
            </w:r>
            <w:r>
              <w:rPr>
                <w:sz w:val="18"/>
                <w:u w:val="single"/>
              </w:rPr>
              <w:t>expended</w:t>
            </w:r>
            <w:r>
              <w:rPr>
                <w:spacing w:val="-12"/>
                <w:sz w:val="18"/>
                <w:u w:val="single"/>
              </w:rPr>
              <w:t xml:space="preserve"> </w:t>
            </w:r>
            <w:r>
              <w:rPr>
                <w:sz w:val="18"/>
                <w:u w:val="single"/>
              </w:rPr>
              <w:t>at</w:t>
            </w:r>
            <w:r>
              <w:rPr>
                <w:spacing w:val="-11"/>
                <w:sz w:val="18"/>
                <w:u w:val="single"/>
              </w:rPr>
              <w:t xml:space="preserve"> </w:t>
            </w:r>
            <w:r>
              <w:rPr>
                <w:sz w:val="18"/>
                <w:u w:val="single"/>
              </w:rPr>
              <w:t>the</w:t>
            </w:r>
            <w:r>
              <w:rPr>
                <w:spacing w:val="-12"/>
                <w:sz w:val="18"/>
                <w:u w:val="single"/>
              </w:rPr>
              <w:t xml:space="preserve"> </w:t>
            </w:r>
            <w:r>
              <w:rPr>
                <w:sz w:val="18"/>
                <w:u w:val="single"/>
              </w:rPr>
              <w:t>discretion</w:t>
            </w:r>
            <w:r>
              <w:rPr>
                <w:spacing w:val="-11"/>
                <w:sz w:val="18"/>
                <w:u w:val="single"/>
              </w:rPr>
              <w:t xml:space="preserve"> </w:t>
            </w:r>
            <w:r>
              <w:rPr>
                <w:sz w:val="18"/>
                <w:u w:val="single"/>
              </w:rPr>
              <w:t>of</w:t>
            </w:r>
            <w:r>
              <w:rPr>
                <w:spacing w:val="-12"/>
                <w:sz w:val="18"/>
                <w:u w:val="single"/>
              </w:rPr>
              <w:t xml:space="preserve"> </w:t>
            </w:r>
            <w:r>
              <w:rPr>
                <w:sz w:val="18"/>
                <w:u w:val="single"/>
              </w:rPr>
              <w:t>the</w:t>
            </w:r>
            <w:r>
              <w:rPr>
                <w:spacing w:val="-11"/>
                <w:sz w:val="18"/>
                <w:u w:val="single"/>
              </w:rPr>
              <w:t xml:space="preserve"> </w:t>
            </w:r>
            <w:r>
              <w:rPr>
                <w:sz w:val="18"/>
                <w:u w:val="single"/>
              </w:rPr>
              <w:t>Project</w:t>
            </w:r>
            <w:r>
              <w:rPr>
                <w:spacing w:val="-11"/>
                <w:sz w:val="18"/>
                <w:u w:val="single"/>
              </w:rPr>
              <w:t xml:space="preserve"> </w:t>
            </w:r>
            <w:r>
              <w:rPr>
                <w:spacing w:val="-2"/>
                <w:sz w:val="18"/>
                <w:u w:val="single"/>
              </w:rPr>
              <w:t>Manager.</w:t>
            </w:r>
          </w:p>
        </w:tc>
        <w:tc>
          <w:tcPr>
            <w:tcW w:w="1534" w:type="dxa"/>
            <w:vMerge w:val="restart"/>
            <w:tcBorders>
              <w:left w:val="single" w:sz="12" w:space="0" w:color="000000"/>
            </w:tcBorders>
          </w:tcPr>
          <w:p w:rsidR="007F6DF9" w:rsidRDefault="007F6DF9">
            <w:pPr>
              <w:pStyle w:val="TableParagraph"/>
              <w:rPr>
                <w:rFonts w:ascii="Times New Roman"/>
                <w:sz w:val="18"/>
              </w:rPr>
            </w:pPr>
          </w:p>
        </w:tc>
      </w:tr>
      <w:tr w:rsidR="007F6DF9">
        <w:trPr>
          <w:trHeight w:val="1837"/>
        </w:trPr>
        <w:tc>
          <w:tcPr>
            <w:tcW w:w="708" w:type="dxa"/>
            <w:tcBorders>
              <w:top w:val="nil"/>
              <w:bottom w:val="nil"/>
            </w:tcBorders>
          </w:tcPr>
          <w:p w:rsidR="007F6DF9" w:rsidRDefault="00A43FBC">
            <w:pPr>
              <w:pStyle w:val="TableParagraph"/>
              <w:spacing w:before="230"/>
              <w:ind w:right="19"/>
              <w:jc w:val="right"/>
              <w:rPr>
                <w:sz w:val="18"/>
              </w:rPr>
            </w:pPr>
            <w:r>
              <w:rPr>
                <w:spacing w:val="-10"/>
                <w:w w:val="110"/>
                <w:sz w:val="18"/>
              </w:rPr>
              <w:t>A</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16"/>
              <w:rPr>
                <w:rFonts w:ascii="Segoe UI"/>
                <w:sz w:val="18"/>
              </w:rPr>
            </w:pPr>
          </w:p>
          <w:p w:rsidR="007F6DF9" w:rsidRDefault="00A43FBC">
            <w:pPr>
              <w:pStyle w:val="TableParagraph"/>
              <w:ind w:right="23"/>
              <w:jc w:val="right"/>
              <w:rPr>
                <w:sz w:val="18"/>
              </w:rPr>
            </w:pPr>
            <w:r>
              <w:rPr>
                <w:spacing w:val="-10"/>
                <w:sz w:val="18"/>
              </w:rPr>
              <w:t>B</w:t>
            </w:r>
          </w:p>
        </w:tc>
        <w:tc>
          <w:tcPr>
            <w:tcW w:w="7768" w:type="dxa"/>
            <w:tcBorders>
              <w:top w:val="nil"/>
              <w:bottom w:val="single" w:sz="12" w:space="0" w:color="000000"/>
              <w:right w:val="single" w:sz="12" w:space="0" w:color="000000"/>
            </w:tcBorders>
          </w:tcPr>
          <w:p w:rsidR="007F6DF9" w:rsidRDefault="00A43FBC">
            <w:pPr>
              <w:pStyle w:val="TableParagraph"/>
              <w:spacing w:before="230" w:line="254" w:lineRule="auto"/>
              <w:ind w:left="36" w:right="91"/>
              <w:rPr>
                <w:sz w:val="18"/>
              </w:rPr>
            </w:pPr>
            <w:r>
              <w:rPr>
                <w:sz w:val="18"/>
              </w:rPr>
              <w:t>Allow a provisional sum of Kenya Shillings Four Hundred thousand</w:t>
            </w:r>
            <w:r>
              <w:rPr>
                <w:spacing w:val="40"/>
                <w:sz w:val="18"/>
              </w:rPr>
              <w:t xml:space="preserve"> </w:t>
            </w:r>
            <w:r>
              <w:rPr>
                <w:sz w:val="18"/>
              </w:rPr>
              <w:t>(</w:t>
            </w:r>
            <w:proofErr w:type="spellStart"/>
            <w:r>
              <w:rPr>
                <w:sz w:val="18"/>
              </w:rPr>
              <w:t>Kshs</w:t>
            </w:r>
            <w:proofErr w:type="spellEnd"/>
            <w:r>
              <w:rPr>
                <w:sz w:val="18"/>
              </w:rPr>
              <w:t xml:space="preserve"> 400,000.00) for Project Manager's team subsistence allowance for the entire project duration</w:t>
            </w:r>
          </w:p>
          <w:p w:rsidR="007F6DF9" w:rsidRDefault="007F6DF9">
            <w:pPr>
              <w:pStyle w:val="TableParagraph"/>
              <w:spacing w:before="221"/>
              <w:rPr>
                <w:rFonts w:ascii="Segoe UI"/>
                <w:sz w:val="18"/>
              </w:rPr>
            </w:pPr>
          </w:p>
          <w:p w:rsidR="007F6DF9" w:rsidRDefault="00A43FBC">
            <w:pPr>
              <w:pStyle w:val="TableParagraph"/>
              <w:tabs>
                <w:tab w:val="left" w:pos="5573"/>
              </w:tabs>
              <w:spacing w:before="1"/>
              <w:ind w:left="36"/>
              <w:rPr>
                <w:sz w:val="18"/>
              </w:rPr>
            </w:pPr>
            <w:r>
              <w:rPr>
                <w:sz w:val="18"/>
              </w:rPr>
              <w:t>Allow</w:t>
            </w:r>
            <w:r>
              <w:rPr>
                <w:spacing w:val="-5"/>
                <w:sz w:val="18"/>
              </w:rPr>
              <w:t xml:space="preserve"> </w:t>
            </w:r>
            <w:r>
              <w:rPr>
                <w:sz w:val="18"/>
              </w:rPr>
              <w:t>for</w:t>
            </w:r>
            <w:r>
              <w:rPr>
                <w:spacing w:val="45"/>
                <w:sz w:val="18"/>
              </w:rPr>
              <w:t xml:space="preserve"> </w:t>
            </w:r>
            <w:r>
              <w:rPr>
                <w:sz w:val="18"/>
              </w:rPr>
              <w:t>contractor's</w:t>
            </w:r>
            <w:r>
              <w:rPr>
                <w:spacing w:val="-5"/>
                <w:sz w:val="18"/>
              </w:rPr>
              <w:t xml:space="preserve"> </w:t>
            </w:r>
            <w:r>
              <w:rPr>
                <w:sz w:val="18"/>
              </w:rPr>
              <w:t>profits</w:t>
            </w:r>
            <w:r>
              <w:rPr>
                <w:spacing w:val="-5"/>
                <w:sz w:val="18"/>
              </w:rPr>
              <w:t xml:space="preserve"> </w:t>
            </w:r>
            <w:r>
              <w:rPr>
                <w:sz w:val="18"/>
              </w:rPr>
              <w:t>&amp;</w:t>
            </w:r>
            <w:r>
              <w:rPr>
                <w:spacing w:val="-5"/>
                <w:sz w:val="18"/>
              </w:rPr>
              <w:t xml:space="preserve"> </w:t>
            </w:r>
            <w:r>
              <w:rPr>
                <w:sz w:val="18"/>
              </w:rPr>
              <w:t>overheads</w:t>
            </w:r>
            <w:r>
              <w:rPr>
                <w:spacing w:val="-5"/>
                <w:sz w:val="18"/>
              </w:rPr>
              <w:t xml:space="preserve"> </w:t>
            </w:r>
            <w:r>
              <w:rPr>
                <w:sz w:val="18"/>
              </w:rPr>
              <w:t>for</w:t>
            </w:r>
            <w:r>
              <w:rPr>
                <w:spacing w:val="-6"/>
                <w:sz w:val="18"/>
              </w:rPr>
              <w:t xml:space="preserve"> </w:t>
            </w:r>
            <w:r>
              <w:rPr>
                <w:sz w:val="18"/>
              </w:rPr>
              <w:t>the</w:t>
            </w:r>
            <w:r>
              <w:rPr>
                <w:spacing w:val="-6"/>
                <w:sz w:val="18"/>
              </w:rPr>
              <w:t xml:space="preserve"> </w:t>
            </w:r>
            <w:r>
              <w:rPr>
                <w:sz w:val="18"/>
              </w:rPr>
              <w:t>Item</w:t>
            </w:r>
            <w:r>
              <w:rPr>
                <w:spacing w:val="-5"/>
                <w:sz w:val="18"/>
              </w:rPr>
              <w:t xml:space="preserve"> </w:t>
            </w:r>
            <w:r>
              <w:rPr>
                <w:sz w:val="18"/>
              </w:rPr>
              <w:t>above</w:t>
            </w:r>
            <w:r>
              <w:rPr>
                <w:spacing w:val="-6"/>
                <w:sz w:val="18"/>
              </w:rPr>
              <w:t xml:space="preserve"> </w:t>
            </w:r>
            <w:proofErr w:type="gramStart"/>
            <w:r>
              <w:rPr>
                <w:sz w:val="18"/>
              </w:rPr>
              <w:t>(</w:t>
            </w:r>
            <w:r>
              <w:rPr>
                <w:spacing w:val="-7"/>
                <w:sz w:val="18"/>
              </w:rPr>
              <w:t xml:space="preserve"> </w:t>
            </w:r>
            <w:r>
              <w:rPr>
                <w:sz w:val="18"/>
                <w:u w:val="single"/>
              </w:rPr>
              <w:tab/>
            </w:r>
            <w:proofErr w:type="gramEnd"/>
            <w:r>
              <w:rPr>
                <w:spacing w:val="-7"/>
                <w:sz w:val="18"/>
              </w:rPr>
              <w:t>%)</w:t>
            </w:r>
          </w:p>
          <w:p w:rsidR="007F6DF9" w:rsidRDefault="00A43FBC">
            <w:pPr>
              <w:pStyle w:val="TableParagraph"/>
              <w:spacing w:line="236" w:lineRule="exact"/>
              <w:ind w:left="242" w:right="2810" w:firstLine="52"/>
              <w:rPr>
                <w:rFonts w:ascii="Times New Roman"/>
                <w:sz w:val="18"/>
              </w:rPr>
            </w:pPr>
            <w:r>
              <w:rPr>
                <w:rFonts w:ascii="Times New Roman"/>
                <w:sz w:val="18"/>
              </w:rPr>
              <w:t>Provide</w:t>
            </w:r>
            <w:r>
              <w:rPr>
                <w:rFonts w:ascii="Times New Roman"/>
                <w:spacing w:val="-4"/>
                <w:sz w:val="18"/>
              </w:rPr>
              <w:t xml:space="preserve"> </w:t>
            </w:r>
            <w:r>
              <w:rPr>
                <w:rFonts w:ascii="Times New Roman"/>
                <w:b/>
                <w:sz w:val="18"/>
              </w:rPr>
              <w:t>a</w:t>
            </w:r>
            <w:r>
              <w:rPr>
                <w:rFonts w:ascii="Times New Roman"/>
                <w:b/>
                <w:spacing w:val="-5"/>
                <w:sz w:val="18"/>
              </w:rPr>
              <w:t xml:space="preserve"> </w:t>
            </w:r>
            <w:r>
              <w:rPr>
                <w:rFonts w:ascii="Times New Roman"/>
                <w:b/>
                <w:sz w:val="18"/>
              </w:rPr>
              <w:t>sum</w:t>
            </w:r>
            <w:r>
              <w:rPr>
                <w:rFonts w:ascii="Times New Roman"/>
                <w:b/>
                <w:spacing w:val="-10"/>
                <w:sz w:val="18"/>
              </w:rPr>
              <w:t xml:space="preserve"> </w:t>
            </w:r>
            <w:r>
              <w:rPr>
                <w:rFonts w:ascii="Times New Roman"/>
                <w:b/>
                <w:sz w:val="18"/>
              </w:rPr>
              <w:t>of</w:t>
            </w:r>
            <w:r>
              <w:rPr>
                <w:rFonts w:ascii="Times New Roman"/>
                <w:b/>
                <w:spacing w:val="-3"/>
                <w:sz w:val="18"/>
              </w:rPr>
              <w:t xml:space="preserve"> </w:t>
            </w:r>
            <w:r>
              <w:rPr>
                <w:rFonts w:ascii="Times New Roman"/>
                <w:sz w:val="18"/>
              </w:rPr>
              <w:t>Kenya</w:t>
            </w:r>
            <w:r>
              <w:rPr>
                <w:rFonts w:ascii="Times New Roman"/>
                <w:spacing w:val="-5"/>
                <w:sz w:val="18"/>
              </w:rPr>
              <w:t xml:space="preserve"> </w:t>
            </w:r>
            <w:r>
              <w:rPr>
                <w:rFonts w:ascii="Times New Roman"/>
                <w:sz w:val="18"/>
              </w:rPr>
              <w:t>Shillings</w:t>
            </w:r>
            <w:r>
              <w:rPr>
                <w:rFonts w:ascii="Times New Roman"/>
                <w:spacing w:val="-4"/>
                <w:sz w:val="18"/>
              </w:rPr>
              <w:t xml:space="preserve"> </w:t>
            </w:r>
            <w:r>
              <w:rPr>
                <w:rFonts w:ascii="Times New Roman"/>
                <w:sz w:val="18"/>
              </w:rPr>
              <w:t>One</w:t>
            </w:r>
            <w:r>
              <w:rPr>
                <w:rFonts w:ascii="Times New Roman"/>
                <w:spacing w:val="-5"/>
                <w:sz w:val="18"/>
              </w:rPr>
              <w:t xml:space="preserve"> </w:t>
            </w:r>
            <w:r>
              <w:rPr>
                <w:rFonts w:ascii="Times New Roman"/>
                <w:sz w:val="18"/>
              </w:rPr>
              <w:t>Hundred</w:t>
            </w:r>
            <w:r>
              <w:rPr>
                <w:rFonts w:ascii="Times New Roman"/>
                <w:spacing w:val="-3"/>
                <w:sz w:val="18"/>
              </w:rPr>
              <w:t xml:space="preserve"> </w:t>
            </w:r>
            <w:r>
              <w:rPr>
                <w:rFonts w:ascii="Times New Roman"/>
                <w:sz w:val="18"/>
              </w:rPr>
              <w:t>Thousand (</w:t>
            </w:r>
            <w:proofErr w:type="spellStart"/>
            <w:r>
              <w:rPr>
                <w:rFonts w:ascii="Times New Roman"/>
                <w:b/>
                <w:sz w:val="18"/>
              </w:rPr>
              <w:t>KShs</w:t>
            </w:r>
            <w:proofErr w:type="spellEnd"/>
            <w:r>
              <w:rPr>
                <w:rFonts w:ascii="Times New Roman"/>
                <w:b/>
                <w:sz w:val="18"/>
              </w:rPr>
              <w:t xml:space="preserve"> 100,000.00</w:t>
            </w:r>
            <w:r>
              <w:rPr>
                <w:rFonts w:ascii="Times New Roman"/>
                <w:sz w:val="18"/>
              </w:rPr>
              <w:t>) only for design and documentation</w:t>
            </w:r>
          </w:p>
        </w:tc>
        <w:tc>
          <w:tcPr>
            <w:tcW w:w="1534" w:type="dxa"/>
            <w:vMerge/>
            <w:tcBorders>
              <w:top w:val="nil"/>
              <w:left w:val="single" w:sz="12" w:space="0" w:color="000000"/>
            </w:tcBorders>
          </w:tcPr>
          <w:p w:rsidR="007F6DF9" w:rsidRDefault="007F6DF9">
            <w:pPr>
              <w:rPr>
                <w:sz w:val="2"/>
                <w:szCs w:val="2"/>
              </w:rPr>
            </w:pPr>
          </w:p>
        </w:tc>
      </w:tr>
      <w:tr w:rsidR="007F6DF9">
        <w:trPr>
          <w:trHeight w:val="438"/>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single" w:sz="12" w:space="0" w:color="000000"/>
              <w:bottom w:val="single" w:sz="12" w:space="0" w:color="000000"/>
              <w:right w:val="single" w:sz="12" w:space="0" w:color="000000"/>
            </w:tcBorders>
          </w:tcPr>
          <w:p w:rsidR="007F6DF9" w:rsidRDefault="00A43FBC">
            <w:pPr>
              <w:pStyle w:val="TableParagraph"/>
              <w:tabs>
                <w:tab w:val="left" w:leader="hyphen" w:pos="5007"/>
              </w:tabs>
              <w:spacing w:before="231" w:line="188" w:lineRule="exact"/>
              <w:ind w:left="79"/>
              <w:rPr>
                <w:rFonts w:ascii="Times New Roman" w:hAnsi="Times New Roman"/>
                <w:sz w:val="18"/>
              </w:rPr>
            </w:pPr>
            <w:r>
              <w:rPr>
                <w:rFonts w:ascii="Times New Roman" w:hAnsi="Times New Roman"/>
                <w:sz w:val="18"/>
              </w:rPr>
              <w:t>Allow</w:t>
            </w:r>
            <w:r>
              <w:rPr>
                <w:rFonts w:ascii="Times New Roman" w:hAnsi="Times New Roman"/>
                <w:spacing w:val="-4"/>
                <w:sz w:val="18"/>
              </w:rPr>
              <w:t xml:space="preserve"> </w:t>
            </w:r>
            <w:r>
              <w:rPr>
                <w:rFonts w:ascii="Times New Roman" w:hAnsi="Times New Roman"/>
                <w:sz w:val="18"/>
              </w:rPr>
              <w:t>for</w:t>
            </w:r>
            <w:r>
              <w:rPr>
                <w:rFonts w:ascii="Times New Roman" w:hAnsi="Times New Roman"/>
                <w:spacing w:val="-1"/>
                <w:sz w:val="18"/>
              </w:rPr>
              <w:t xml:space="preserve"> </w:t>
            </w:r>
            <w:r>
              <w:rPr>
                <w:rFonts w:ascii="Times New Roman" w:hAnsi="Times New Roman"/>
                <w:sz w:val="18"/>
              </w:rPr>
              <w:t>Contractor’s</w:t>
            </w:r>
            <w:r>
              <w:rPr>
                <w:rFonts w:ascii="Times New Roman" w:hAnsi="Times New Roman"/>
                <w:spacing w:val="-2"/>
                <w:sz w:val="18"/>
              </w:rPr>
              <w:t xml:space="preserve"> </w:t>
            </w:r>
            <w:r>
              <w:rPr>
                <w:rFonts w:ascii="Times New Roman" w:hAnsi="Times New Roman"/>
                <w:sz w:val="18"/>
              </w:rPr>
              <w:t>profit</w:t>
            </w:r>
            <w:r>
              <w:rPr>
                <w:rFonts w:ascii="Times New Roman" w:hAnsi="Times New Roman"/>
                <w:spacing w:val="-1"/>
                <w:sz w:val="18"/>
              </w:rPr>
              <w:t xml:space="preserve"> </w:t>
            </w:r>
            <w:r>
              <w:rPr>
                <w:rFonts w:ascii="Times New Roman" w:hAnsi="Times New Roman"/>
                <w:sz w:val="18"/>
              </w:rPr>
              <w:t>and overheads</w:t>
            </w:r>
            <w:r>
              <w:rPr>
                <w:rFonts w:ascii="Times New Roman" w:hAnsi="Times New Roman"/>
                <w:spacing w:val="3"/>
                <w:sz w:val="18"/>
              </w:rPr>
              <w:t xml:space="preserve"> </w:t>
            </w:r>
            <w:r>
              <w:rPr>
                <w:rFonts w:ascii="Times New Roman" w:hAnsi="Times New Roman"/>
                <w:sz w:val="18"/>
              </w:rPr>
              <w:t>on Item</w:t>
            </w:r>
            <w:r>
              <w:rPr>
                <w:rFonts w:ascii="Times New Roman" w:hAnsi="Times New Roman"/>
                <w:spacing w:val="40"/>
                <w:sz w:val="18"/>
              </w:rPr>
              <w:t xml:space="preserve"> </w:t>
            </w:r>
            <w:r>
              <w:rPr>
                <w:rFonts w:ascii="Times New Roman" w:hAnsi="Times New Roman"/>
                <w:sz w:val="18"/>
              </w:rPr>
              <w:t>above</w:t>
            </w:r>
            <w:r>
              <w:rPr>
                <w:rFonts w:ascii="Times New Roman" w:hAnsi="Times New Roman"/>
                <w:spacing w:val="44"/>
                <w:sz w:val="18"/>
              </w:rPr>
              <w:t xml:space="preserve"> </w:t>
            </w:r>
            <w:r>
              <w:rPr>
                <w:rFonts w:ascii="Times New Roman" w:hAnsi="Times New Roman"/>
                <w:spacing w:val="-10"/>
                <w:sz w:val="18"/>
              </w:rPr>
              <w:t>(</w:t>
            </w:r>
            <w:r>
              <w:rPr>
                <w:rFonts w:ascii="Times New Roman" w:hAnsi="Times New Roman"/>
                <w:sz w:val="18"/>
              </w:rPr>
              <w:tab/>
            </w:r>
            <w:r>
              <w:rPr>
                <w:rFonts w:ascii="Times New Roman" w:hAnsi="Times New Roman"/>
                <w:spacing w:val="-5"/>
                <w:sz w:val="18"/>
              </w:rPr>
              <w:t>%)</w:t>
            </w:r>
          </w:p>
        </w:tc>
        <w:tc>
          <w:tcPr>
            <w:tcW w:w="1534" w:type="dxa"/>
            <w:vMerge/>
            <w:tcBorders>
              <w:top w:val="nil"/>
              <w:left w:val="single" w:sz="12" w:space="0" w:color="000000"/>
            </w:tcBorders>
          </w:tcPr>
          <w:p w:rsidR="007F6DF9" w:rsidRDefault="007F6DF9">
            <w:pPr>
              <w:rPr>
                <w:sz w:val="2"/>
                <w:szCs w:val="2"/>
              </w:rPr>
            </w:pPr>
          </w:p>
        </w:tc>
      </w:tr>
      <w:tr w:rsidR="007F6DF9">
        <w:trPr>
          <w:trHeight w:val="447"/>
        </w:trPr>
        <w:tc>
          <w:tcPr>
            <w:tcW w:w="708" w:type="dxa"/>
            <w:tcBorders>
              <w:top w:val="nil"/>
              <w:bottom w:val="nil"/>
            </w:tcBorders>
          </w:tcPr>
          <w:p w:rsidR="007F6DF9" w:rsidRDefault="00A43FBC">
            <w:pPr>
              <w:pStyle w:val="TableParagraph"/>
              <w:spacing w:before="218" w:line="209" w:lineRule="exact"/>
              <w:ind w:right="18"/>
              <w:jc w:val="right"/>
              <w:rPr>
                <w:sz w:val="18"/>
              </w:rPr>
            </w:pPr>
            <w:r>
              <w:rPr>
                <w:spacing w:val="-10"/>
                <w:w w:val="110"/>
                <w:sz w:val="18"/>
              </w:rPr>
              <w:t>C</w:t>
            </w:r>
          </w:p>
        </w:tc>
        <w:tc>
          <w:tcPr>
            <w:tcW w:w="7768" w:type="dxa"/>
            <w:tcBorders>
              <w:top w:val="single" w:sz="12" w:space="0" w:color="000000"/>
              <w:bottom w:val="nil"/>
              <w:right w:val="single" w:sz="12" w:space="0" w:color="000000"/>
            </w:tcBorders>
          </w:tcPr>
          <w:p w:rsidR="007F6DF9" w:rsidRDefault="00A43FBC">
            <w:pPr>
              <w:pStyle w:val="TableParagraph"/>
              <w:spacing w:before="230" w:line="197" w:lineRule="exact"/>
              <w:ind w:left="295"/>
              <w:rPr>
                <w:rFonts w:ascii="Times New Roman"/>
                <w:sz w:val="18"/>
              </w:rPr>
            </w:pPr>
            <w:r>
              <w:rPr>
                <w:rFonts w:ascii="Times New Roman"/>
                <w:sz w:val="18"/>
              </w:rPr>
              <w:t>Provide</w:t>
            </w:r>
            <w:r>
              <w:rPr>
                <w:rFonts w:ascii="Times New Roman"/>
                <w:spacing w:val="-3"/>
                <w:sz w:val="18"/>
              </w:rPr>
              <w:t xml:space="preserve"> </w:t>
            </w:r>
            <w:r>
              <w:rPr>
                <w:rFonts w:ascii="Times New Roman"/>
                <w:b/>
                <w:sz w:val="18"/>
              </w:rPr>
              <w:t>a</w:t>
            </w:r>
            <w:r>
              <w:rPr>
                <w:rFonts w:ascii="Times New Roman"/>
                <w:b/>
                <w:spacing w:val="-2"/>
                <w:sz w:val="18"/>
              </w:rPr>
              <w:t xml:space="preserve"> </w:t>
            </w:r>
            <w:r>
              <w:rPr>
                <w:rFonts w:ascii="Times New Roman"/>
                <w:b/>
                <w:sz w:val="18"/>
              </w:rPr>
              <w:t>sum</w:t>
            </w:r>
            <w:r>
              <w:rPr>
                <w:rFonts w:ascii="Times New Roman"/>
                <w:b/>
                <w:spacing w:val="-6"/>
                <w:sz w:val="18"/>
              </w:rPr>
              <w:t xml:space="preserve"> </w:t>
            </w:r>
            <w:r>
              <w:rPr>
                <w:rFonts w:ascii="Times New Roman"/>
                <w:b/>
                <w:sz w:val="18"/>
              </w:rPr>
              <w:t xml:space="preserve">of </w:t>
            </w:r>
            <w:r>
              <w:rPr>
                <w:rFonts w:ascii="Times New Roman"/>
                <w:sz w:val="18"/>
              </w:rPr>
              <w:t>Kenya</w:t>
            </w:r>
            <w:r>
              <w:rPr>
                <w:rFonts w:ascii="Times New Roman"/>
                <w:spacing w:val="-2"/>
                <w:sz w:val="18"/>
              </w:rPr>
              <w:t xml:space="preserve"> </w:t>
            </w:r>
            <w:r>
              <w:rPr>
                <w:rFonts w:ascii="Times New Roman"/>
                <w:sz w:val="18"/>
              </w:rPr>
              <w:t>Shillings One</w:t>
            </w:r>
            <w:r>
              <w:rPr>
                <w:rFonts w:ascii="Times New Roman"/>
                <w:spacing w:val="-2"/>
                <w:sz w:val="18"/>
              </w:rPr>
              <w:t xml:space="preserve"> </w:t>
            </w:r>
            <w:r>
              <w:rPr>
                <w:rFonts w:ascii="Times New Roman"/>
                <w:sz w:val="18"/>
              </w:rPr>
              <w:t>hundred</w:t>
            </w:r>
            <w:r>
              <w:rPr>
                <w:rFonts w:ascii="Times New Roman"/>
                <w:spacing w:val="1"/>
                <w:sz w:val="18"/>
              </w:rPr>
              <w:t xml:space="preserve"> </w:t>
            </w:r>
            <w:r>
              <w:rPr>
                <w:rFonts w:ascii="Times New Roman"/>
                <w:spacing w:val="-2"/>
                <w:sz w:val="18"/>
              </w:rPr>
              <w:t>thousand</w:t>
            </w:r>
          </w:p>
        </w:tc>
        <w:tc>
          <w:tcPr>
            <w:tcW w:w="1534" w:type="dxa"/>
            <w:vMerge/>
            <w:tcBorders>
              <w:top w:val="nil"/>
              <w:left w:val="single" w:sz="12" w:space="0" w:color="000000"/>
            </w:tcBorders>
          </w:tcPr>
          <w:p w:rsidR="007F6DF9" w:rsidRDefault="007F6DF9">
            <w:pPr>
              <w:rPr>
                <w:sz w:val="2"/>
                <w:szCs w:val="2"/>
              </w:rPr>
            </w:pPr>
          </w:p>
        </w:tc>
      </w:tr>
      <w:tr w:rsidR="007F6DF9">
        <w:trPr>
          <w:trHeight w:val="211"/>
        </w:trPr>
        <w:tc>
          <w:tcPr>
            <w:tcW w:w="708" w:type="dxa"/>
            <w:tcBorders>
              <w:top w:val="nil"/>
              <w:bottom w:val="nil"/>
            </w:tcBorders>
          </w:tcPr>
          <w:p w:rsidR="007F6DF9" w:rsidRDefault="007F6DF9">
            <w:pPr>
              <w:pStyle w:val="TableParagraph"/>
              <w:rPr>
                <w:rFonts w:ascii="Times New Roman"/>
                <w:sz w:val="14"/>
              </w:rPr>
            </w:pPr>
          </w:p>
        </w:tc>
        <w:tc>
          <w:tcPr>
            <w:tcW w:w="7768" w:type="dxa"/>
            <w:tcBorders>
              <w:top w:val="nil"/>
              <w:bottom w:val="single" w:sz="12" w:space="0" w:color="000000"/>
              <w:right w:val="single" w:sz="12" w:space="0" w:color="000000"/>
            </w:tcBorders>
          </w:tcPr>
          <w:p w:rsidR="007F6DF9" w:rsidRDefault="00A43FBC">
            <w:pPr>
              <w:pStyle w:val="TableParagraph"/>
              <w:spacing w:before="2" w:line="188" w:lineRule="exact"/>
              <w:ind w:left="242"/>
              <w:rPr>
                <w:rFonts w:ascii="Times New Roman"/>
                <w:sz w:val="18"/>
              </w:rPr>
            </w:pPr>
            <w:r>
              <w:rPr>
                <w:rFonts w:ascii="Times New Roman"/>
                <w:sz w:val="18"/>
              </w:rPr>
              <w:t>(</w:t>
            </w:r>
            <w:proofErr w:type="spellStart"/>
            <w:r>
              <w:rPr>
                <w:rFonts w:ascii="Times New Roman"/>
                <w:b/>
                <w:sz w:val="18"/>
              </w:rPr>
              <w:t>KShs</w:t>
            </w:r>
            <w:proofErr w:type="spellEnd"/>
            <w:r>
              <w:rPr>
                <w:rFonts w:ascii="Times New Roman"/>
                <w:b/>
                <w:sz w:val="18"/>
              </w:rPr>
              <w:t xml:space="preserve"> 100,000.00</w:t>
            </w:r>
            <w:r>
              <w:rPr>
                <w:rFonts w:ascii="Times New Roman"/>
                <w:sz w:val="18"/>
              </w:rPr>
              <w:t>) only</w:t>
            </w:r>
            <w:r>
              <w:rPr>
                <w:rFonts w:ascii="Times New Roman"/>
                <w:spacing w:val="-3"/>
                <w:sz w:val="18"/>
              </w:rPr>
              <w:t xml:space="preserve"> </w:t>
            </w:r>
            <w:r>
              <w:rPr>
                <w:rFonts w:ascii="Times New Roman"/>
                <w:sz w:val="18"/>
              </w:rPr>
              <w:t>for clerk</w:t>
            </w:r>
            <w:r>
              <w:rPr>
                <w:rFonts w:ascii="Times New Roman"/>
                <w:spacing w:val="-2"/>
                <w:sz w:val="18"/>
              </w:rPr>
              <w:t xml:space="preserve"> </w:t>
            </w:r>
            <w:r>
              <w:rPr>
                <w:rFonts w:ascii="Times New Roman"/>
                <w:sz w:val="18"/>
              </w:rPr>
              <w:t>of</w:t>
            </w:r>
            <w:r>
              <w:rPr>
                <w:rFonts w:ascii="Times New Roman"/>
                <w:spacing w:val="-2"/>
                <w:sz w:val="18"/>
              </w:rPr>
              <w:t xml:space="preserve"> </w:t>
            </w:r>
            <w:proofErr w:type="spellStart"/>
            <w:r>
              <w:rPr>
                <w:rFonts w:ascii="Times New Roman"/>
                <w:sz w:val="18"/>
              </w:rPr>
              <w:t>works's</w:t>
            </w:r>
            <w:proofErr w:type="spellEnd"/>
            <w:r>
              <w:rPr>
                <w:rFonts w:ascii="Times New Roman"/>
                <w:spacing w:val="1"/>
                <w:sz w:val="18"/>
              </w:rPr>
              <w:t xml:space="preserve"> </w:t>
            </w:r>
            <w:r>
              <w:rPr>
                <w:rFonts w:ascii="Times New Roman"/>
                <w:spacing w:val="-2"/>
                <w:sz w:val="18"/>
              </w:rPr>
              <w:t>expenses</w:t>
            </w:r>
          </w:p>
        </w:tc>
        <w:tc>
          <w:tcPr>
            <w:tcW w:w="1534" w:type="dxa"/>
            <w:vMerge/>
            <w:tcBorders>
              <w:top w:val="nil"/>
              <w:left w:val="single" w:sz="12" w:space="0" w:color="000000"/>
            </w:tcBorders>
          </w:tcPr>
          <w:p w:rsidR="007F6DF9" w:rsidRDefault="007F6DF9">
            <w:pPr>
              <w:rPr>
                <w:sz w:val="2"/>
                <w:szCs w:val="2"/>
              </w:rPr>
            </w:pPr>
          </w:p>
        </w:tc>
      </w:tr>
      <w:tr w:rsidR="007F6DF9">
        <w:trPr>
          <w:trHeight w:val="442"/>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single" w:sz="12" w:space="0" w:color="000000"/>
              <w:bottom w:val="single" w:sz="12" w:space="0" w:color="000000"/>
              <w:right w:val="single" w:sz="12" w:space="0" w:color="000000"/>
            </w:tcBorders>
          </w:tcPr>
          <w:p w:rsidR="007F6DF9" w:rsidRDefault="00A43FBC">
            <w:pPr>
              <w:pStyle w:val="TableParagraph"/>
              <w:tabs>
                <w:tab w:val="left" w:leader="hyphen" w:pos="5007"/>
              </w:tabs>
              <w:spacing w:before="234" w:line="188" w:lineRule="exact"/>
              <w:ind w:left="79"/>
              <w:rPr>
                <w:rFonts w:ascii="Times New Roman" w:hAnsi="Times New Roman"/>
                <w:sz w:val="18"/>
              </w:rPr>
            </w:pPr>
            <w:r>
              <w:rPr>
                <w:rFonts w:ascii="Times New Roman" w:hAnsi="Times New Roman"/>
                <w:sz w:val="18"/>
              </w:rPr>
              <w:t>Allow</w:t>
            </w:r>
            <w:r>
              <w:rPr>
                <w:rFonts w:ascii="Times New Roman" w:hAnsi="Times New Roman"/>
                <w:spacing w:val="-4"/>
                <w:sz w:val="18"/>
              </w:rPr>
              <w:t xml:space="preserve"> </w:t>
            </w:r>
            <w:r>
              <w:rPr>
                <w:rFonts w:ascii="Times New Roman" w:hAnsi="Times New Roman"/>
                <w:sz w:val="18"/>
              </w:rPr>
              <w:t>for</w:t>
            </w:r>
            <w:r>
              <w:rPr>
                <w:rFonts w:ascii="Times New Roman" w:hAnsi="Times New Roman"/>
                <w:spacing w:val="-1"/>
                <w:sz w:val="18"/>
              </w:rPr>
              <w:t xml:space="preserve"> </w:t>
            </w:r>
            <w:r>
              <w:rPr>
                <w:rFonts w:ascii="Times New Roman" w:hAnsi="Times New Roman"/>
                <w:sz w:val="18"/>
              </w:rPr>
              <w:t>Contractor’s</w:t>
            </w:r>
            <w:r>
              <w:rPr>
                <w:rFonts w:ascii="Times New Roman" w:hAnsi="Times New Roman"/>
                <w:spacing w:val="-2"/>
                <w:sz w:val="18"/>
              </w:rPr>
              <w:t xml:space="preserve"> </w:t>
            </w:r>
            <w:r>
              <w:rPr>
                <w:rFonts w:ascii="Times New Roman" w:hAnsi="Times New Roman"/>
                <w:sz w:val="18"/>
              </w:rPr>
              <w:t>profit</w:t>
            </w:r>
            <w:r>
              <w:rPr>
                <w:rFonts w:ascii="Times New Roman" w:hAnsi="Times New Roman"/>
                <w:spacing w:val="-1"/>
                <w:sz w:val="18"/>
              </w:rPr>
              <w:t xml:space="preserve"> </w:t>
            </w:r>
            <w:r>
              <w:rPr>
                <w:rFonts w:ascii="Times New Roman" w:hAnsi="Times New Roman"/>
                <w:sz w:val="18"/>
              </w:rPr>
              <w:t>and overheads</w:t>
            </w:r>
            <w:r>
              <w:rPr>
                <w:rFonts w:ascii="Times New Roman" w:hAnsi="Times New Roman"/>
                <w:spacing w:val="3"/>
                <w:sz w:val="18"/>
              </w:rPr>
              <w:t xml:space="preserve"> </w:t>
            </w:r>
            <w:r>
              <w:rPr>
                <w:rFonts w:ascii="Times New Roman" w:hAnsi="Times New Roman"/>
                <w:sz w:val="18"/>
              </w:rPr>
              <w:t>on Item</w:t>
            </w:r>
            <w:r>
              <w:rPr>
                <w:rFonts w:ascii="Times New Roman" w:hAnsi="Times New Roman"/>
                <w:spacing w:val="40"/>
                <w:sz w:val="18"/>
              </w:rPr>
              <w:t xml:space="preserve"> </w:t>
            </w:r>
            <w:r>
              <w:rPr>
                <w:rFonts w:ascii="Times New Roman" w:hAnsi="Times New Roman"/>
                <w:sz w:val="18"/>
              </w:rPr>
              <w:t>above</w:t>
            </w:r>
            <w:r>
              <w:rPr>
                <w:rFonts w:ascii="Times New Roman" w:hAnsi="Times New Roman"/>
                <w:spacing w:val="44"/>
                <w:sz w:val="18"/>
              </w:rPr>
              <w:t xml:space="preserve"> </w:t>
            </w:r>
            <w:r>
              <w:rPr>
                <w:rFonts w:ascii="Times New Roman" w:hAnsi="Times New Roman"/>
                <w:spacing w:val="-10"/>
                <w:sz w:val="18"/>
              </w:rPr>
              <w:t>(</w:t>
            </w:r>
            <w:r>
              <w:rPr>
                <w:rFonts w:ascii="Times New Roman" w:hAnsi="Times New Roman"/>
                <w:sz w:val="18"/>
              </w:rPr>
              <w:tab/>
            </w:r>
            <w:r>
              <w:rPr>
                <w:rFonts w:ascii="Times New Roman" w:hAnsi="Times New Roman"/>
                <w:spacing w:val="-5"/>
                <w:sz w:val="18"/>
              </w:rPr>
              <w:t>%)</w:t>
            </w:r>
          </w:p>
        </w:tc>
        <w:tc>
          <w:tcPr>
            <w:tcW w:w="1534" w:type="dxa"/>
            <w:vMerge/>
            <w:tcBorders>
              <w:top w:val="nil"/>
              <w:left w:val="single" w:sz="12" w:space="0" w:color="000000"/>
            </w:tcBorders>
          </w:tcPr>
          <w:p w:rsidR="007F6DF9" w:rsidRDefault="007F6DF9">
            <w:pPr>
              <w:rPr>
                <w:sz w:val="2"/>
                <w:szCs w:val="2"/>
              </w:rPr>
            </w:pPr>
          </w:p>
        </w:tc>
      </w:tr>
      <w:tr w:rsidR="007F6DF9">
        <w:trPr>
          <w:trHeight w:val="441"/>
        </w:trPr>
        <w:tc>
          <w:tcPr>
            <w:tcW w:w="708" w:type="dxa"/>
            <w:tcBorders>
              <w:top w:val="nil"/>
              <w:bottom w:val="nil"/>
            </w:tcBorders>
          </w:tcPr>
          <w:p w:rsidR="007F6DF9" w:rsidRDefault="00A43FBC">
            <w:pPr>
              <w:pStyle w:val="TableParagraph"/>
              <w:spacing w:before="217" w:line="203" w:lineRule="exact"/>
              <w:ind w:right="20"/>
              <w:jc w:val="right"/>
              <w:rPr>
                <w:sz w:val="18"/>
              </w:rPr>
            </w:pPr>
            <w:r>
              <w:rPr>
                <w:spacing w:val="-10"/>
                <w:w w:val="105"/>
                <w:sz w:val="18"/>
              </w:rPr>
              <w:t>D</w:t>
            </w:r>
          </w:p>
        </w:tc>
        <w:tc>
          <w:tcPr>
            <w:tcW w:w="7768" w:type="dxa"/>
            <w:tcBorders>
              <w:top w:val="single" w:sz="12" w:space="0" w:color="000000"/>
              <w:bottom w:val="nil"/>
              <w:right w:val="single" w:sz="12" w:space="0" w:color="000000"/>
            </w:tcBorders>
          </w:tcPr>
          <w:p w:rsidR="007F6DF9" w:rsidRDefault="00A43FBC">
            <w:pPr>
              <w:pStyle w:val="TableParagraph"/>
              <w:spacing w:before="225" w:line="196" w:lineRule="exact"/>
              <w:ind w:left="79"/>
              <w:rPr>
                <w:rFonts w:ascii="Times New Roman"/>
                <w:sz w:val="18"/>
              </w:rPr>
            </w:pPr>
            <w:r>
              <w:rPr>
                <w:rFonts w:ascii="Times New Roman"/>
                <w:sz w:val="18"/>
              </w:rPr>
              <w:t>Allow</w:t>
            </w:r>
            <w:r>
              <w:rPr>
                <w:rFonts w:ascii="Times New Roman"/>
                <w:spacing w:val="-5"/>
                <w:sz w:val="18"/>
              </w:rPr>
              <w:t xml:space="preserve"> </w:t>
            </w:r>
            <w:r>
              <w:rPr>
                <w:rFonts w:ascii="Times New Roman"/>
                <w:sz w:val="18"/>
              </w:rPr>
              <w:t>for</w:t>
            </w:r>
            <w:r>
              <w:rPr>
                <w:rFonts w:ascii="Times New Roman"/>
                <w:spacing w:val="-1"/>
                <w:sz w:val="18"/>
              </w:rPr>
              <w:t xml:space="preserve"> </w:t>
            </w:r>
            <w:r>
              <w:rPr>
                <w:rFonts w:ascii="Times New Roman"/>
                <w:sz w:val="18"/>
              </w:rPr>
              <w:t>transport</w:t>
            </w:r>
            <w:r>
              <w:rPr>
                <w:rFonts w:ascii="Times New Roman"/>
                <w:spacing w:val="-1"/>
                <w:sz w:val="18"/>
              </w:rPr>
              <w:t xml:space="preserve"> </w:t>
            </w:r>
            <w:r>
              <w:rPr>
                <w:rFonts w:ascii="Times New Roman"/>
                <w:sz w:val="18"/>
              </w:rPr>
              <w:t>for</w:t>
            </w:r>
            <w:r>
              <w:rPr>
                <w:rFonts w:ascii="Times New Roman"/>
                <w:spacing w:val="-1"/>
                <w:sz w:val="18"/>
              </w:rPr>
              <w:t xml:space="preserve"> </w:t>
            </w:r>
            <w:r>
              <w:rPr>
                <w:rFonts w:ascii="Times New Roman"/>
                <w:sz w:val="18"/>
              </w:rPr>
              <w:t>at</w:t>
            </w:r>
            <w:r>
              <w:rPr>
                <w:rFonts w:ascii="Times New Roman"/>
                <w:spacing w:val="-1"/>
                <w:sz w:val="18"/>
              </w:rPr>
              <w:t xml:space="preserve"> </w:t>
            </w:r>
            <w:r>
              <w:rPr>
                <w:rFonts w:ascii="Times New Roman"/>
                <w:sz w:val="18"/>
              </w:rPr>
              <w:t>least</w:t>
            </w:r>
            <w:r>
              <w:rPr>
                <w:rFonts w:ascii="Times New Roman"/>
                <w:spacing w:val="-1"/>
                <w:sz w:val="18"/>
              </w:rPr>
              <w:t xml:space="preserve"> </w:t>
            </w:r>
            <w:r>
              <w:rPr>
                <w:rFonts w:ascii="Times New Roman"/>
                <w:sz w:val="18"/>
              </w:rPr>
              <w:t>Six</w:t>
            </w:r>
            <w:r>
              <w:rPr>
                <w:rFonts w:ascii="Times New Roman"/>
                <w:spacing w:val="-3"/>
                <w:sz w:val="18"/>
              </w:rPr>
              <w:t xml:space="preserve"> </w:t>
            </w:r>
            <w:r>
              <w:rPr>
                <w:rFonts w:ascii="Times New Roman"/>
                <w:sz w:val="18"/>
              </w:rPr>
              <w:t>(6No)</w:t>
            </w:r>
            <w:r>
              <w:rPr>
                <w:rFonts w:ascii="Times New Roman"/>
                <w:spacing w:val="-1"/>
                <w:sz w:val="18"/>
              </w:rPr>
              <w:t xml:space="preserve"> </w:t>
            </w:r>
            <w:r>
              <w:rPr>
                <w:rFonts w:ascii="Times New Roman"/>
                <w:sz w:val="18"/>
              </w:rPr>
              <w:t>officers</w:t>
            </w:r>
            <w:r>
              <w:rPr>
                <w:rFonts w:ascii="Times New Roman"/>
                <w:spacing w:val="-1"/>
                <w:sz w:val="18"/>
              </w:rPr>
              <w:t xml:space="preserve"> </w:t>
            </w:r>
            <w:r>
              <w:rPr>
                <w:rFonts w:ascii="Times New Roman"/>
                <w:sz w:val="18"/>
              </w:rPr>
              <w:t>to and from</w:t>
            </w:r>
            <w:r>
              <w:rPr>
                <w:rFonts w:ascii="Times New Roman"/>
                <w:spacing w:val="-4"/>
                <w:sz w:val="18"/>
              </w:rPr>
              <w:t xml:space="preserve"> </w:t>
            </w:r>
            <w:r>
              <w:rPr>
                <w:rFonts w:ascii="Times New Roman"/>
                <w:sz w:val="18"/>
              </w:rPr>
              <w:t>site</w:t>
            </w:r>
            <w:r>
              <w:rPr>
                <w:rFonts w:ascii="Times New Roman"/>
                <w:spacing w:val="-1"/>
                <w:sz w:val="18"/>
              </w:rPr>
              <w:t xml:space="preserve"> </w:t>
            </w:r>
            <w:r>
              <w:rPr>
                <w:rFonts w:ascii="Times New Roman"/>
                <w:spacing w:val="-2"/>
                <w:sz w:val="18"/>
              </w:rPr>
              <w:t>preferably</w:t>
            </w:r>
          </w:p>
        </w:tc>
        <w:tc>
          <w:tcPr>
            <w:tcW w:w="1534" w:type="dxa"/>
            <w:vMerge/>
            <w:tcBorders>
              <w:top w:val="nil"/>
              <w:left w:val="single" w:sz="12" w:space="0" w:color="000000"/>
            </w:tcBorders>
          </w:tcPr>
          <w:p w:rsidR="007F6DF9" w:rsidRDefault="007F6DF9">
            <w:pPr>
              <w:rPr>
                <w:sz w:val="2"/>
                <w:szCs w:val="2"/>
              </w:rPr>
            </w:pPr>
          </w:p>
        </w:tc>
      </w:tr>
      <w:tr w:rsidR="007F6DF9">
        <w:trPr>
          <w:trHeight w:val="211"/>
        </w:trPr>
        <w:tc>
          <w:tcPr>
            <w:tcW w:w="708" w:type="dxa"/>
            <w:tcBorders>
              <w:top w:val="nil"/>
              <w:bottom w:val="nil"/>
            </w:tcBorders>
          </w:tcPr>
          <w:p w:rsidR="007F6DF9" w:rsidRDefault="007F6DF9">
            <w:pPr>
              <w:pStyle w:val="TableParagraph"/>
              <w:rPr>
                <w:rFonts w:ascii="Times New Roman"/>
                <w:sz w:val="14"/>
              </w:rPr>
            </w:pPr>
          </w:p>
        </w:tc>
        <w:tc>
          <w:tcPr>
            <w:tcW w:w="7768" w:type="dxa"/>
            <w:tcBorders>
              <w:top w:val="nil"/>
              <w:bottom w:val="nil"/>
              <w:right w:val="single" w:sz="12" w:space="0" w:color="000000"/>
            </w:tcBorders>
          </w:tcPr>
          <w:p w:rsidR="007F6DF9" w:rsidRDefault="00A43FBC">
            <w:pPr>
              <w:pStyle w:val="TableParagraph"/>
              <w:spacing w:before="1" w:line="190" w:lineRule="exact"/>
              <w:ind w:left="79"/>
              <w:rPr>
                <w:rFonts w:ascii="Times New Roman"/>
                <w:sz w:val="18"/>
              </w:rPr>
            </w:pPr>
            <w:r>
              <w:rPr>
                <w:rFonts w:ascii="Times New Roman"/>
                <w:sz w:val="18"/>
              </w:rPr>
              <w:t>with a</w:t>
            </w:r>
            <w:r>
              <w:rPr>
                <w:rFonts w:ascii="Times New Roman"/>
                <w:spacing w:val="-1"/>
                <w:sz w:val="18"/>
              </w:rPr>
              <w:t xml:space="preserve"> </w:t>
            </w:r>
            <w:r>
              <w:rPr>
                <w:rFonts w:ascii="Times New Roman"/>
                <w:sz w:val="18"/>
              </w:rPr>
              <w:t>Nissan Microbus. Transport</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be</w:t>
            </w:r>
            <w:r>
              <w:rPr>
                <w:rFonts w:ascii="Times New Roman"/>
                <w:spacing w:val="-2"/>
                <w:sz w:val="18"/>
              </w:rPr>
              <w:t xml:space="preserve"> </w:t>
            </w:r>
            <w:r>
              <w:rPr>
                <w:rFonts w:ascii="Times New Roman"/>
                <w:sz w:val="18"/>
              </w:rPr>
              <w:t>provided</w:t>
            </w:r>
            <w:r>
              <w:rPr>
                <w:rFonts w:ascii="Times New Roman"/>
                <w:spacing w:val="1"/>
                <w:sz w:val="18"/>
              </w:rPr>
              <w:t xml:space="preserve"> </w:t>
            </w:r>
            <w:r>
              <w:rPr>
                <w:rFonts w:ascii="Times New Roman"/>
                <w:sz w:val="18"/>
              </w:rPr>
              <w:t>as</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z w:val="18"/>
              </w:rPr>
              <w:t>when instructed</w:t>
            </w:r>
            <w:r>
              <w:rPr>
                <w:rFonts w:ascii="Times New Roman"/>
                <w:spacing w:val="1"/>
                <w:sz w:val="18"/>
              </w:rPr>
              <w:t xml:space="preserve"> </w:t>
            </w:r>
            <w:r>
              <w:rPr>
                <w:rFonts w:ascii="Times New Roman"/>
                <w:spacing w:val="-5"/>
                <w:sz w:val="18"/>
              </w:rPr>
              <w:t>by</w:t>
            </w:r>
          </w:p>
        </w:tc>
        <w:tc>
          <w:tcPr>
            <w:tcW w:w="1534" w:type="dxa"/>
            <w:vMerge/>
            <w:tcBorders>
              <w:top w:val="nil"/>
              <w:left w:val="single" w:sz="12" w:space="0" w:color="000000"/>
            </w:tcBorders>
          </w:tcPr>
          <w:p w:rsidR="007F6DF9" w:rsidRDefault="007F6DF9">
            <w:pPr>
              <w:rPr>
                <w:sz w:val="2"/>
                <w:szCs w:val="2"/>
              </w:rPr>
            </w:pPr>
          </w:p>
        </w:tc>
      </w:tr>
      <w:tr w:rsidR="007F6DF9">
        <w:trPr>
          <w:trHeight w:val="912"/>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single" w:sz="12" w:space="0" w:color="000000"/>
              <w:right w:val="single" w:sz="12" w:space="0" w:color="000000"/>
            </w:tcBorders>
          </w:tcPr>
          <w:p w:rsidR="007F6DF9" w:rsidRDefault="00A43FBC">
            <w:pPr>
              <w:pStyle w:val="TableParagraph"/>
              <w:tabs>
                <w:tab w:val="left" w:leader="dot" w:pos="1605"/>
              </w:tabs>
              <w:spacing w:line="254" w:lineRule="auto"/>
              <w:ind w:left="36" w:right="819"/>
              <w:rPr>
                <w:sz w:val="18"/>
              </w:rPr>
            </w:pPr>
            <w:r>
              <w:rPr>
                <w:sz w:val="18"/>
              </w:rPr>
              <w:t>the</w:t>
            </w:r>
            <w:r>
              <w:rPr>
                <w:spacing w:val="-4"/>
                <w:sz w:val="18"/>
              </w:rPr>
              <w:t xml:space="preserve"> </w:t>
            </w:r>
            <w:r>
              <w:rPr>
                <w:sz w:val="18"/>
              </w:rPr>
              <w:t>project</w:t>
            </w:r>
            <w:r>
              <w:rPr>
                <w:spacing w:val="-3"/>
                <w:sz w:val="18"/>
              </w:rPr>
              <w:t xml:space="preserve"> </w:t>
            </w:r>
            <w:r>
              <w:rPr>
                <w:sz w:val="18"/>
              </w:rPr>
              <w:t>Manager</w:t>
            </w:r>
            <w:r>
              <w:rPr>
                <w:spacing w:val="-4"/>
                <w:sz w:val="18"/>
              </w:rPr>
              <w:t xml:space="preserve"> </w:t>
            </w:r>
            <w:r>
              <w:rPr>
                <w:sz w:val="18"/>
              </w:rPr>
              <w:t>for</w:t>
            </w:r>
            <w:r>
              <w:rPr>
                <w:spacing w:val="-5"/>
                <w:sz w:val="18"/>
              </w:rPr>
              <w:t xml:space="preserve"> </w:t>
            </w:r>
            <w:r>
              <w:rPr>
                <w:sz w:val="18"/>
              </w:rPr>
              <w:t>the</w:t>
            </w:r>
            <w:r>
              <w:rPr>
                <w:spacing w:val="-4"/>
                <w:sz w:val="18"/>
              </w:rPr>
              <w:t xml:space="preserve"> </w:t>
            </w:r>
            <w:r>
              <w:rPr>
                <w:sz w:val="18"/>
              </w:rPr>
              <w:t>duration</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contract</w:t>
            </w:r>
            <w:r>
              <w:rPr>
                <w:spacing w:val="-3"/>
                <w:sz w:val="18"/>
              </w:rPr>
              <w:t xml:space="preserve"> </w:t>
            </w:r>
            <w:r>
              <w:rPr>
                <w:sz w:val="18"/>
              </w:rPr>
              <w:t>for</w:t>
            </w:r>
            <w:r>
              <w:rPr>
                <w:spacing w:val="-4"/>
                <w:sz w:val="18"/>
              </w:rPr>
              <w:t xml:space="preserve"> </w:t>
            </w:r>
            <w:r>
              <w:rPr>
                <w:sz w:val="18"/>
              </w:rPr>
              <w:t>a</w:t>
            </w:r>
            <w:r>
              <w:rPr>
                <w:spacing w:val="-5"/>
                <w:sz w:val="18"/>
              </w:rPr>
              <w:t xml:space="preserve"> </w:t>
            </w:r>
            <w:r>
              <w:rPr>
                <w:sz w:val="18"/>
              </w:rPr>
              <w:t>maximum</w:t>
            </w:r>
            <w:r>
              <w:rPr>
                <w:spacing w:val="-3"/>
                <w:sz w:val="18"/>
              </w:rPr>
              <w:t xml:space="preserve"> </w:t>
            </w:r>
            <w:r>
              <w:rPr>
                <w:sz w:val="18"/>
              </w:rPr>
              <w:t>of</w:t>
            </w:r>
            <w:r>
              <w:rPr>
                <w:spacing w:val="-5"/>
                <w:sz w:val="18"/>
              </w:rPr>
              <w:t xml:space="preserve"> </w:t>
            </w:r>
            <w:r>
              <w:rPr>
                <w:sz w:val="18"/>
              </w:rPr>
              <w:t>8</w:t>
            </w:r>
            <w:r>
              <w:rPr>
                <w:spacing w:val="-3"/>
                <w:sz w:val="18"/>
              </w:rPr>
              <w:t xml:space="preserve"> </w:t>
            </w:r>
            <w:r>
              <w:rPr>
                <w:sz w:val="18"/>
              </w:rPr>
              <w:t>round</w:t>
            </w:r>
            <w:r>
              <w:rPr>
                <w:spacing w:val="-5"/>
                <w:sz w:val="18"/>
              </w:rPr>
              <w:t xml:space="preserve"> </w:t>
            </w:r>
            <w:r>
              <w:rPr>
                <w:sz w:val="18"/>
              </w:rPr>
              <w:t>trips</w:t>
            </w:r>
            <w:r>
              <w:rPr>
                <w:spacing w:val="-3"/>
                <w:sz w:val="18"/>
              </w:rPr>
              <w:t xml:space="preserve"> </w:t>
            </w:r>
            <w:r>
              <w:rPr>
                <w:sz w:val="18"/>
              </w:rPr>
              <w:t xml:space="preserve">@ </w:t>
            </w:r>
            <w:proofErr w:type="spellStart"/>
            <w:r>
              <w:rPr>
                <w:spacing w:val="-4"/>
                <w:sz w:val="18"/>
              </w:rPr>
              <w:t>Kshs</w:t>
            </w:r>
            <w:proofErr w:type="spellEnd"/>
            <w:r>
              <w:rPr>
                <w:rFonts w:ascii="Times New Roman"/>
                <w:sz w:val="18"/>
              </w:rPr>
              <w:tab/>
            </w:r>
            <w:r>
              <w:rPr>
                <w:sz w:val="18"/>
              </w:rPr>
              <w:t>per trip</w:t>
            </w:r>
          </w:p>
        </w:tc>
        <w:tc>
          <w:tcPr>
            <w:tcW w:w="1534" w:type="dxa"/>
            <w:vMerge/>
            <w:tcBorders>
              <w:top w:val="nil"/>
              <w:left w:val="single" w:sz="12" w:space="0" w:color="000000"/>
            </w:tcBorders>
          </w:tcPr>
          <w:p w:rsidR="007F6DF9" w:rsidRDefault="007F6DF9">
            <w:pPr>
              <w:rPr>
                <w:sz w:val="2"/>
                <w:szCs w:val="2"/>
              </w:rPr>
            </w:pPr>
          </w:p>
        </w:tc>
      </w:tr>
      <w:tr w:rsidR="007F6DF9">
        <w:trPr>
          <w:trHeight w:val="673"/>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single" w:sz="12" w:space="0" w:color="000000"/>
              <w:bottom w:val="single" w:sz="12" w:space="0" w:color="000000"/>
              <w:right w:val="single" w:sz="12" w:space="0" w:color="000000"/>
            </w:tcBorders>
          </w:tcPr>
          <w:p w:rsidR="007F6DF9" w:rsidRDefault="007F6DF9">
            <w:pPr>
              <w:pStyle w:val="TableParagraph"/>
              <w:rPr>
                <w:rFonts w:ascii="Times New Roman"/>
                <w:sz w:val="18"/>
              </w:rPr>
            </w:pPr>
          </w:p>
        </w:tc>
        <w:tc>
          <w:tcPr>
            <w:tcW w:w="1534" w:type="dxa"/>
            <w:vMerge/>
            <w:tcBorders>
              <w:top w:val="nil"/>
              <w:left w:val="single" w:sz="12" w:space="0" w:color="000000"/>
            </w:tcBorders>
          </w:tcPr>
          <w:p w:rsidR="007F6DF9" w:rsidRDefault="007F6DF9">
            <w:pPr>
              <w:rPr>
                <w:sz w:val="2"/>
                <w:szCs w:val="2"/>
              </w:rPr>
            </w:pPr>
          </w:p>
        </w:tc>
      </w:tr>
      <w:tr w:rsidR="007F6DF9">
        <w:trPr>
          <w:trHeight w:val="443"/>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single" w:sz="12" w:space="0" w:color="000000"/>
              <w:bottom w:val="single" w:sz="12" w:space="0" w:color="000000"/>
              <w:right w:val="single" w:sz="12" w:space="0" w:color="000000"/>
            </w:tcBorders>
          </w:tcPr>
          <w:p w:rsidR="007F6DF9" w:rsidRDefault="007F6DF9">
            <w:pPr>
              <w:pStyle w:val="TableParagraph"/>
              <w:rPr>
                <w:rFonts w:ascii="Times New Roman"/>
                <w:sz w:val="18"/>
              </w:rPr>
            </w:pPr>
          </w:p>
        </w:tc>
        <w:tc>
          <w:tcPr>
            <w:tcW w:w="1534" w:type="dxa"/>
            <w:vMerge/>
            <w:tcBorders>
              <w:top w:val="nil"/>
              <w:left w:val="single" w:sz="12" w:space="0" w:color="000000"/>
            </w:tcBorders>
          </w:tcPr>
          <w:p w:rsidR="007F6DF9" w:rsidRDefault="007F6DF9">
            <w:pPr>
              <w:rPr>
                <w:sz w:val="2"/>
                <w:szCs w:val="2"/>
              </w:rPr>
            </w:pPr>
          </w:p>
        </w:tc>
      </w:tr>
      <w:tr w:rsidR="007F6DF9">
        <w:trPr>
          <w:trHeight w:val="5507"/>
        </w:trPr>
        <w:tc>
          <w:tcPr>
            <w:tcW w:w="708" w:type="dxa"/>
            <w:tcBorders>
              <w:top w:val="nil"/>
            </w:tcBorders>
          </w:tcPr>
          <w:p w:rsidR="007F6DF9" w:rsidRDefault="007F6DF9">
            <w:pPr>
              <w:pStyle w:val="TableParagraph"/>
              <w:rPr>
                <w:rFonts w:ascii="Times New Roman"/>
                <w:sz w:val="18"/>
              </w:rPr>
            </w:pPr>
          </w:p>
        </w:tc>
        <w:tc>
          <w:tcPr>
            <w:tcW w:w="7768" w:type="dxa"/>
            <w:tcBorders>
              <w:top w:val="single" w:sz="12" w:space="0" w:color="000000"/>
            </w:tcBorders>
          </w:tcPr>
          <w:p w:rsidR="007F6DF9" w:rsidRDefault="007F6DF9">
            <w:pPr>
              <w:pStyle w:val="TableParagraph"/>
              <w:rPr>
                <w:rFonts w:ascii="Times New Roman"/>
                <w:sz w:val="18"/>
              </w:rPr>
            </w:pPr>
          </w:p>
        </w:tc>
        <w:tc>
          <w:tcPr>
            <w:tcW w:w="1534" w:type="dxa"/>
            <w:vMerge/>
            <w:tcBorders>
              <w:top w:val="nil"/>
              <w:left w:val="single" w:sz="12" w:space="0" w:color="000000"/>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3"/>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10354"/>
        </w:trPr>
        <w:tc>
          <w:tcPr>
            <w:tcW w:w="708" w:type="dxa"/>
          </w:tcPr>
          <w:p w:rsidR="007F6DF9" w:rsidRDefault="00A43FBC">
            <w:pPr>
              <w:pStyle w:val="TableParagraph"/>
              <w:spacing w:line="212" w:lineRule="exact"/>
              <w:ind w:right="24"/>
              <w:jc w:val="right"/>
              <w:rPr>
                <w:sz w:val="18"/>
              </w:rPr>
            </w:pPr>
            <w:r>
              <w:rPr>
                <w:spacing w:val="-10"/>
                <w:w w:val="110"/>
                <w:sz w:val="18"/>
              </w:rPr>
              <w:t>A</w:t>
            </w:r>
          </w:p>
        </w:tc>
        <w:tc>
          <w:tcPr>
            <w:tcW w:w="7768" w:type="dxa"/>
          </w:tcPr>
          <w:p w:rsidR="007F6DF9" w:rsidRDefault="00A43FBC">
            <w:pPr>
              <w:pStyle w:val="TableParagraph"/>
              <w:spacing w:line="212" w:lineRule="exact"/>
              <w:ind w:left="38"/>
              <w:rPr>
                <w:sz w:val="18"/>
              </w:rPr>
            </w:pPr>
            <w:r>
              <w:rPr>
                <w:w w:val="105"/>
                <w:sz w:val="18"/>
              </w:rPr>
              <w:t>PARTICULARS OF</w:t>
            </w:r>
            <w:r>
              <w:rPr>
                <w:spacing w:val="1"/>
                <w:w w:val="105"/>
                <w:sz w:val="18"/>
              </w:rPr>
              <w:t xml:space="preserve"> </w:t>
            </w:r>
            <w:r>
              <w:rPr>
                <w:w w:val="105"/>
                <w:sz w:val="18"/>
              </w:rPr>
              <w:t>INSERTIONS</w:t>
            </w:r>
            <w:r>
              <w:rPr>
                <w:spacing w:val="1"/>
                <w:w w:val="105"/>
                <w:sz w:val="18"/>
              </w:rPr>
              <w:t xml:space="preserve"> </w:t>
            </w:r>
            <w:r>
              <w:rPr>
                <w:w w:val="105"/>
                <w:sz w:val="18"/>
              </w:rPr>
              <w:t>TO</w:t>
            </w:r>
            <w:r>
              <w:rPr>
                <w:spacing w:val="2"/>
                <w:w w:val="105"/>
                <w:sz w:val="18"/>
              </w:rPr>
              <w:t xml:space="preserve"> </w:t>
            </w:r>
            <w:r>
              <w:rPr>
                <w:w w:val="105"/>
                <w:sz w:val="18"/>
              </w:rPr>
              <w:t>BE</w:t>
            </w:r>
            <w:r>
              <w:rPr>
                <w:spacing w:val="-1"/>
                <w:w w:val="105"/>
                <w:sz w:val="18"/>
              </w:rPr>
              <w:t xml:space="preserve"> </w:t>
            </w:r>
            <w:r>
              <w:rPr>
                <w:w w:val="105"/>
                <w:sz w:val="18"/>
              </w:rPr>
              <w:t>MADE IN</w:t>
            </w:r>
            <w:r>
              <w:rPr>
                <w:spacing w:val="1"/>
                <w:w w:val="105"/>
                <w:sz w:val="18"/>
              </w:rPr>
              <w:t xml:space="preserve"> </w:t>
            </w:r>
            <w:r>
              <w:rPr>
                <w:w w:val="105"/>
                <w:sz w:val="18"/>
              </w:rPr>
              <w:t>APPENDIX TO</w:t>
            </w:r>
            <w:r>
              <w:rPr>
                <w:spacing w:val="2"/>
                <w:w w:val="105"/>
                <w:sz w:val="18"/>
              </w:rPr>
              <w:t xml:space="preserve"> </w:t>
            </w:r>
            <w:r>
              <w:rPr>
                <w:w w:val="105"/>
                <w:sz w:val="18"/>
              </w:rPr>
              <w:t>CONTRACT</w:t>
            </w:r>
            <w:r>
              <w:rPr>
                <w:spacing w:val="2"/>
                <w:w w:val="105"/>
                <w:sz w:val="18"/>
              </w:rPr>
              <w:t xml:space="preserve"> </w:t>
            </w:r>
            <w:r>
              <w:rPr>
                <w:spacing w:val="-2"/>
                <w:w w:val="105"/>
                <w:sz w:val="18"/>
              </w:rPr>
              <w:t>AGREEMENT</w:t>
            </w:r>
          </w:p>
          <w:p w:rsidR="007F6DF9" w:rsidRDefault="007F6DF9">
            <w:pPr>
              <w:pStyle w:val="TableParagraph"/>
              <w:spacing w:before="234"/>
              <w:rPr>
                <w:rFonts w:ascii="Segoe UI"/>
                <w:sz w:val="18"/>
              </w:rPr>
            </w:pPr>
          </w:p>
          <w:p w:rsidR="007F6DF9" w:rsidRDefault="00A43FBC">
            <w:pPr>
              <w:pStyle w:val="TableParagraph"/>
              <w:spacing w:before="1" w:line="508" w:lineRule="auto"/>
              <w:ind w:left="38" w:right="677" w:hanging="3"/>
              <w:rPr>
                <w:sz w:val="18"/>
              </w:rPr>
            </w:pPr>
            <w:r>
              <w:rPr>
                <w:sz w:val="18"/>
              </w:rPr>
              <w:t>The</w:t>
            </w:r>
            <w:r>
              <w:rPr>
                <w:spacing w:val="-8"/>
                <w:sz w:val="18"/>
              </w:rPr>
              <w:t xml:space="preserve"> </w:t>
            </w:r>
            <w:r>
              <w:rPr>
                <w:sz w:val="18"/>
              </w:rPr>
              <w:t>following</w:t>
            </w:r>
            <w:r>
              <w:rPr>
                <w:spacing w:val="-7"/>
                <w:sz w:val="18"/>
              </w:rPr>
              <w:t xml:space="preserve"> </w:t>
            </w:r>
            <w:r>
              <w:rPr>
                <w:sz w:val="18"/>
              </w:rPr>
              <w:t>are</w:t>
            </w:r>
            <w:r>
              <w:rPr>
                <w:spacing w:val="-8"/>
                <w:sz w:val="18"/>
              </w:rPr>
              <w:t xml:space="preserve"> </w:t>
            </w:r>
            <w:r>
              <w:rPr>
                <w:sz w:val="18"/>
              </w:rPr>
              <w:t>the</w:t>
            </w:r>
            <w:r>
              <w:rPr>
                <w:spacing w:val="-8"/>
                <w:sz w:val="18"/>
              </w:rPr>
              <w:t xml:space="preserve"> </w:t>
            </w:r>
            <w:r>
              <w:rPr>
                <w:sz w:val="18"/>
              </w:rPr>
              <w:t>insertions</w:t>
            </w:r>
            <w:r>
              <w:rPr>
                <w:spacing w:val="-7"/>
                <w:sz w:val="18"/>
              </w:rPr>
              <w:t xml:space="preserve"> </w:t>
            </w:r>
            <w:r>
              <w:rPr>
                <w:sz w:val="18"/>
              </w:rPr>
              <w:t>to</w:t>
            </w:r>
            <w:r>
              <w:rPr>
                <w:spacing w:val="-8"/>
                <w:sz w:val="18"/>
              </w:rPr>
              <w:t xml:space="preserve"> </w:t>
            </w:r>
            <w:r>
              <w:rPr>
                <w:sz w:val="18"/>
              </w:rPr>
              <w:t>be</w:t>
            </w:r>
            <w:r>
              <w:rPr>
                <w:spacing w:val="-7"/>
                <w:sz w:val="18"/>
              </w:rPr>
              <w:t xml:space="preserve"> </w:t>
            </w:r>
            <w:r>
              <w:rPr>
                <w:sz w:val="18"/>
              </w:rPr>
              <w:t>made</w:t>
            </w:r>
            <w:r>
              <w:rPr>
                <w:spacing w:val="-8"/>
                <w:sz w:val="18"/>
              </w:rPr>
              <w:t xml:space="preserve"> </w:t>
            </w:r>
            <w:r>
              <w:rPr>
                <w:sz w:val="18"/>
              </w:rPr>
              <w:t>in</w:t>
            </w:r>
            <w:r>
              <w:rPr>
                <w:spacing w:val="-8"/>
                <w:sz w:val="18"/>
              </w:rPr>
              <w:t xml:space="preserve"> </w:t>
            </w:r>
            <w:r>
              <w:rPr>
                <w:sz w:val="18"/>
              </w:rPr>
              <w:t>the</w:t>
            </w:r>
            <w:r>
              <w:rPr>
                <w:spacing w:val="-8"/>
                <w:sz w:val="18"/>
              </w:rPr>
              <w:t xml:space="preserve"> </w:t>
            </w:r>
            <w:r>
              <w:rPr>
                <w:sz w:val="18"/>
              </w:rPr>
              <w:t>appendix</w:t>
            </w:r>
            <w:r>
              <w:rPr>
                <w:spacing w:val="-8"/>
                <w:sz w:val="18"/>
              </w:rPr>
              <w:t xml:space="preserve"> </w:t>
            </w:r>
            <w:r>
              <w:rPr>
                <w:sz w:val="18"/>
              </w:rPr>
              <w:t>to</w:t>
            </w:r>
            <w:r>
              <w:rPr>
                <w:spacing w:val="-8"/>
                <w:sz w:val="18"/>
              </w:rPr>
              <w:t xml:space="preserve"> </w:t>
            </w:r>
            <w:r>
              <w:rPr>
                <w:sz w:val="18"/>
              </w:rPr>
              <w:t>the</w:t>
            </w:r>
            <w:r>
              <w:rPr>
                <w:spacing w:val="-8"/>
                <w:sz w:val="18"/>
              </w:rPr>
              <w:t xml:space="preserve"> </w:t>
            </w:r>
            <w:r>
              <w:rPr>
                <w:sz w:val="18"/>
              </w:rPr>
              <w:t>Contract</w:t>
            </w:r>
            <w:r>
              <w:rPr>
                <w:spacing w:val="-7"/>
                <w:sz w:val="18"/>
              </w:rPr>
              <w:t xml:space="preserve"> </w:t>
            </w:r>
            <w:r>
              <w:rPr>
                <w:sz w:val="18"/>
              </w:rPr>
              <w:t>Agreement:</w:t>
            </w:r>
            <w:r>
              <w:rPr>
                <w:spacing w:val="-8"/>
                <w:sz w:val="18"/>
              </w:rPr>
              <w:t xml:space="preserve"> </w:t>
            </w:r>
            <w:r>
              <w:rPr>
                <w:sz w:val="18"/>
              </w:rPr>
              <w:t>- Period of Final Measurement</w:t>
            </w:r>
            <w:r>
              <w:rPr>
                <w:spacing w:val="80"/>
                <w:sz w:val="18"/>
              </w:rPr>
              <w:t xml:space="preserve"> </w:t>
            </w:r>
            <w:r>
              <w:rPr>
                <w:sz w:val="18"/>
              </w:rPr>
              <w:t xml:space="preserve">3 Months </w:t>
            </w:r>
            <w:proofErr w:type="gramStart"/>
            <w:r>
              <w:rPr>
                <w:sz w:val="18"/>
              </w:rPr>
              <w:t>From</w:t>
            </w:r>
            <w:proofErr w:type="gramEnd"/>
            <w:r>
              <w:rPr>
                <w:sz w:val="18"/>
              </w:rPr>
              <w:t xml:space="preserve"> Practical completion</w:t>
            </w:r>
          </w:p>
          <w:p w:rsidR="007F6DF9" w:rsidRDefault="00A43FBC">
            <w:pPr>
              <w:pStyle w:val="TableParagraph"/>
              <w:tabs>
                <w:tab w:val="left" w:pos="1905"/>
                <w:tab w:val="left" w:pos="2467"/>
              </w:tabs>
              <w:spacing w:line="508" w:lineRule="auto"/>
              <w:ind w:left="38" w:right="2447"/>
              <w:rPr>
                <w:rFonts w:ascii="Trebuchet MS"/>
                <w:i/>
                <w:sz w:val="17"/>
              </w:rPr>
            </w:pPr>
            <w:r>
              <w:rPr>
                <w:sz w:val="18"/>
              </w:rPr>
              <w:t>Defects Liability Period</w:t>
            </w:r>
            <w:r>
              <w:rPr>
                <w:sz w:val="18"/>
              </w:rPr>
              <w:tab/>
            </w:r>
            <w:r>
              <w:rPr>
                <w:sz w:val="18"/>
              </w:rPr>
              <w:tab/>
              <w:t>6 Months</w:t>
            </w:r>
            <w:r>
              <w:rPr>
                <w:spacing w:val="-1"/>
                <w:sz w:val="18"/>
              </w:rPr>
              <w:t xml:space="preserve"> </w:t>
            </w:r>
            <w:r>
              <w:rPr>
                <w:sz w:val="18"/>
              </w:rPr>
              <w:t>from</w:t>
            </w:r>
            <w:r>
              <w:rPr>
                <w:spacing w:val="-2"/>
                <w:sz w:val="18"/>
              </w:rPr>
              <w:t xml:space="preserve"> </w:t>
            </w:r>
            <w:r>
              <w:rPr>
                <w:sz w:val="18"/>
              </w:rPr>
              <w:t>Practical</w:t>
            </w:r>
            <w:r>
              <w:rPr>
                <w:spacing w:val="-3"/>
                <w:sz w:val="18"/>
              </w:rPr>
              <w:t xml:space="preserve"> </w:t>
            </w:r>
            <w:proofErr w:type="gramStart"/>
            <w:r>
              <w:rPr>
                <w:sz w:val="18"/>
              </w:rPr>
              <w:t>completion</w:t>
            </w:r>
            <w:proofErr w:type="gramEnd"/>
            <w:r>
              <w:rPr>
                <w:sz w:val="18"/>
              </w:rPr>
              <w:t xml:space="preserve"> Date for Possession</w:t>
            </w:r>
            <w:r>
              <w:rPr>
                <w:sz w:val="18"/>
              </w:rPr>
              <w:tab/>
              <w:t xml:space="preserve">To be agreed with the Project Manager Date for Completion </w:t>
            </w:r>
            <w:r>
              <w:rPr>
                <w:rFonts w:ascii="Trebuchet MS"/>
                <w:i/>
                <w:sz w:val="17"/>
              </w:rPr>
              <w:t>12 Weeks</w:t>
            </w:r>
            <w:r>
              <w:rPr>
                <w:rFonts w:ascii="Trebuchet MS"/>
                <w:i/>
                <w:spacing w:val="40"/>
                <w:sz w:val="17"/>
              </w:rPr>
              <w:t xml:space="preserve"> </w:t>
            </w:r>
            <w:r>
              <w:rPr>
                <w:rFonts w:ascii="Trebuchet MS"/>
                <w:i/>
                <w:sz w:val="17"/>
              </w:rPr>
              <w:t xml:space="preserve">from </w:t>
            </w:r>
            <w:proofErr w:type="spellStart"/>
            <w:r>
              <w:rPr>
                <w:rFonts w:ascii="Trebuchet MS"/>
                <w:i/>
                <w:sz w:val="17"/>
              </w:rPr>
              <w:t>Commmencement</w:t>
            </w:r>
            <w:proofErr w:type="spellEnd"/>
            <w:r>
              <w:rPr>
                <w:rFonts w:ascii="Trebuchet MS"/>
                <w:i/>
                <w:sz w:val="17"/>
              </w:rPr>
              <w:t xml:space="preserve"> date</w:t>
            </w:r>
          </w:p>
          <w:p w:rsidR="007F6DF9" w:rsidRDefault="00A43FBC">
            <w:pPr>
              <w:pStyle w:val="TableParagraph"/>
              <w:tabs>
                <w:tab w:val="left" w:pos="1488"/>
                <w:tab w:val="left" w:pos="3628"/>
                <w:tab w:val="left" w:pos="3679"/>
                <w:tab w:val="left" w:pos="3712"/>
              </w:tabs>
              <w:spacing w:line="508" w:lineRule="auto"/>
              <w:ind w:left="38" w:right="3404"/>
              <w:rPr>
                <w:sz w:val="18"/>
              </w:rPr>
            </w:pPr>
            <w:r>
              <w:rPr>
                <w:sz w:val="18"/>
              </w:rPr>
              <w:t>Delay Damages</w:t>
            </w:r>
            <w:r>
              <w:rPr>
                <w:sz w:val="18"/>
              </w:rPr>
              <w:tab/>
            </w:r>
            <w:r>
              <w:rPr>
                <w:rFonts w:ascii="Trebuchet MS"/>
                <w:i/>
                <w:sz w:val="17"/>
              </w:rPr>
              <w:t>0.005%</w:t>
            </w:r>
            <w:r>
              <w:rPr>
                <w:rFonts w:ascii="Trebuchet MS"/>
                <w:i/>
                <w:spacing w:val="3"/>
                <w:sz w:val="17"/>
              </w:rPr>
              <w:t xml:space="preserve"> </w:t>
            </w:r>
            <w:r>
              <w:rPr>
                <w:rFonts w:ascii="Trebuchet MS"/>
                <w:i/>
                <w:sz w:val="17"/>
              </w:rPr>
              <w:t>of</w:t>
            </w:r>
            <w:r>
              <w:rPr>
                <w:rFonts w:ascii="Trebuchet MS"/>
                <w:i/>
                <w:spacing w:val="-13"/>
                <w:sz w:val="17"/>
              </w:rPr>
              <w:t xml:space="preserve"> </w:t>
            </w:r>
            <w:r>
              <w:rPr>
                <w:rFonts w:ascii="Trebuchet MS"/>
                <w:i/>
                <w:sz w:val="17"/>
              </w:rPr>
              <w:t>the</w:t>
            </w:r>
            <w:r>
              <w:rPr>
                <w:rFonts w:ascii="Trebuchet MS"/>
                <w:i/>
                <w:spacing w:val="-13"/>
                <w:sz w:val="17"/>
              </w:rPr>
              <w:t xml:space="preserve"> </w:t>
            </w:r>
            <w:r>
              <w:rPr>
                <w:rFonts w:ascii="Trebuchet MS"/>
                <w:i/>
                <w:sz w:val="17"/>
              </w:rPr>
              <w:t>Contract</w:t>
            </w:r>
            <w:r>
              <w:rPr>
                <w:rFonts w:ascii="Trebuchet MS"/>
                <w:i/>
                <w:spacing w:val="-12"/>
                <w:sz w:val="17"/>
              </w:rPr>
              <w:t xml:space="preserve"> </w:t>
            </w:r>
            <w:r>
              <w:rPr>
                <w:rFonts w:ascii="Trebuchet MS"/>
                <w:i/>
                <w:sz w:val="17"/>
              </w:rPr>
              <w:t>Sum</w:t>
            </w:r>
            <w:r>
              <w:rPr>
                <w:rFonts w:ascii="Trebuchet MS"/>
                <w:i/>
                <w:spacing w:val="-13"/>
                <w:sz w:val="17"/>
              </w:rPr>
              <w:t xml:space="preserve"> </w:t>
            </w:r>
            <w:r>
              <w:rPr>
                <w:rFonts w:ascii="Trebuchet MS"/>
                <w:i/>
                <w:sz w:val="17"/>
              </w:rPr>
              <w:t>per</w:t>
            </w:r>
            <w:r>
              <w:rPr>
                <w:rFonts w:ascii="Trebuchet MS"/>
                <w:i/>
                <w:spacing w:val="-13"/>
                <w:sz w:val="17"/>
              </w:rPr>
              <w:t xml:space="preserve"> </w:t>
            </w:r>
            <w:r>
              <w:rPr>
                <w:rFonts w:ascii="Trebuchet MS"/>
                <w:i/>
                <w:sz w:val="17"/>
              </w:rPr>
              <w:t xml:space="preserve">week </w:t>
            </w:r>
            <w:r>
              <w:rPr>
                <w:sz w:val="18"/>
              </w:rPr>
              <w:t>Period of Interim Certificates</w:t>
            </w:r>
            <w:r>
              <w:rPr>
                <w:sz w:val="18"/>
              </w:rPr>
              <w:tab/>
            </w:r>
            <w:r>
              <w:rPr>
                <w:spacing w:val="-2"/>
                <w:sz w:val="18"/>
              </w:rPr>
              <w:t xml:space="preserve">Monthly </w:t>
            </w:r>
            <w:r>
              <w:rPr>
                <w:sz w:val="18"/>
              </w:rPr>
              <w:t>Percentage of Certified Value Retained</w:t>
            </w:r>
            <w:r>
              <w:rPr>
                <w:sz w:val="18"/>
              </w:rPr>
              <w:tab/>
            </w:r>
            <w:r>
              <w:rPr>
                <w:sz w:val="18"/>
              </w:rPr>
              <w:tab/>
              <w:t>10 % Limit of Retention Fund</w:t>
            </w:r>
            <w:r>
              <w:rPr>
                <w:sz w:val="18"/>
              </w:rPr>
              <w:tab/>
            </w:r>
            <w:r>
              <w:rPr>
                <w:sz w:val="18"/>
              </w:rPr>
              <w:tab/>
            </w:r>
            <w:r>
              <w:rPr>
                <w:sz w:val="18"/>
              </w:rPr>
              <w:tab/>
              <w:t>10 %</w:t>
            </w:r>
          </w:p>
        </w:tc>
        <w:tc>
          <w:tcPr>
            <w:tcW w:w="1534" w:type="dxa"/>
          </w:tcPr>
          <w:p w:rsidR="007F6DF9" w:rsidRDefault="007F6DF9">
            <w:pPr>
              <w:pStyle w:val="TableParagraph"/>
              <w:rPr>
                <w:rFonts w:ascii="Times New Roman"/>
                <w:sz w:val="16"/>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6"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54"/>
          <w:pgSz w:w="12240" w:h="15840"/>
          <w:pgMar w:top="1060" w:right="1133" w:bottom="700" w:left="850" w:header="0" w:footer="506" w:gutter="0"/>
          <w:pgNumType w:start="9"/>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left="242"/>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9432"/>
        </w:trPr>
        <w:tc>
          <w:tcPr>
            <w:tcW w:w="708" w:type="dxa"/>
          </w:tcPr>
          <w:p w:rsidR="007F6DF9" w:rsidRDefault="007F6DF9">
            <w:pPr>
              <w:pStyle w:val="TableParagraph"/>
              <w:rPr>
                <w:rFonts w:ascii="Times New Roman"/>
                <w:sz w:val="16"/>
              </w:rPr>
            </w:pPr>
          </w:p>
        </w:tc>
        <w:tc>
          <w:tcPr>
            <w:tcW w:w="7768" w:type="dxa"/>
          </w:tcPr>
          <w:p w:rsidR="007F6DF9" w:rsidRDefault="00A43FBC">
            <w:pPr>
              <w:pStyle w:val="TableParagraph"/>
              <w:spacing w:line="212" w:lineRule="exact"/>
              <w:ind w:left="15" w:right="2"/>
              <w:jc w:val="center"/>
              <w:rPr>
                <w:sz w:val="18"/>
              </w:rPr>
            </w:pPr>
            <w:r>
              <w:rPr>
                <w:spacing w:val="-2"/>
                <w:w w:val="105"/>
                <w:sz w:val="18"/>
                <w:u w:val="single"/>
              </w:rPr>
              <w:t>COLLECTION</w:t>
            </w:r>
          </w:p>
          <w:p w:rsidR="007F6DF9" w:rsidRDefault="007F6DF9">
            <w:pPr>
              <w:pStyle w:val="TableParagraph"/>
              <w:spacing w:before="4"/>
              <w:rPr>
                <w:rFonts w:ascii="Segoe UI"/>
                <w:sz w:val="18"/>
              </w:rPr>
            </w:pPr>
          </w:p>
          <w:p w:rsidR="007F6DF9" w:rsidRDefault="00A43FBC">
            <w:pPr>
              <w:pStyle w:val="TableParagraph"/>
              <w:spacing w:line="508" w:lineRule="auto"/>
              <w:ind w:left="2587" w:right="2571" w:firstLine="16"/>
              <w:jc w:val="both"/>
              <w:rPr>
                <w:sz w:val="18"/>
              </w:rPr>
            </w:pPr>
            <w:r>
              <w:rPr>
                <w:sz w:val="18"/>
              </w:rPr>
              <w:t>Brought</w:t>
            </w:r>
            <w:r>
              <w:rPr>
                <w:spacing w:val="-13"/>
                <w:sz w:val="18"/>
              </w:rPr>
              <w:t xml:space="preserve"> </w:t>
            </w:r>
            <w:r>
              <w:rPr>
                <w:sz w:val="18"/>
              </w:rPr>
              <w:t>forward</w:t>
            </w:r>
            <w:r>
              <w:rPr>
                <w:spacing w:val="-14"/>
                <w:sz w:val="18"/>
              </w:rPr>
              <w:t xml:space="preserve"> </w:t>
            </w:r>
            <w:r>
              <w:rPr>
                <w:sz w:val="18"/>
              </w:rPr>
              <w:t>from</w:t>
            </w:r>
            <w:r>
              <w:rPr>
                <w:spacing w:val="-13"/>
                <w:sz w:val="18"/>
              </w:rPr>
              <w:t xml:space="preserve"> </w:t>
            </w:r>
            <w:r>
              <w:rPr>
                <w:sz w:val="18"/>
              </w:rPr>
              <w:t>page</w:t>
            </w:r>
            <w:r>
              <w:rPr>
                <w:spacing w:val="-13"/>
                <w:sz w:val="18"/>
              </w:rPr>
              <w:t xml:space="preserve"> </w:t>
            </w:r>
            <w:r>
              <w:rPr>
                <w:sz w:val="18"/>
              </w:rPr>
              <w:t>PP/1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PP/2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PP/3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PP/4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PP/5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PP/6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PP/7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PP/8 Brought</w:t>
            </w:r>
            <w:r>
              <w:rPr>
                <w:spacing w:val="-5"/>
                <w:sz w:val="18"/>
              </w:rPr>
              <w:t xml:space="preserve"> </w:t>
            </w:r>
            <w:r>
              <w:rPr>
                <w:sz w:val="18"/>
              </w:rPr>
              <w:t>forward</w:t>
            </w:r>
            <w:r>
              <w:rPr>
                <w:spacing w:val="-6"/>
                <w:sz w:val="18"/>
              </w:rPr>
              <w:t xml:space="preserve"> </w:t>
            </w:r>
            <w:r>
              <w:rPr>
                <w:sz w:val="18"/>
              </w:rPr>
              <w:t>from</w:t>
            </w:r>
            <w:r>
              <w:rPr>
                <w:spacing w:val="-5"/>
                <w:sz w:val="18"/>
              </w:rPr>
              <w:t xml:space="preserve"> </w:t>
            </w:r>
            <w:r>
              <w:rPr>
                <w:sz w:val="18"/>
              </w:rPr>
              <w:t>page</w:t>
            </w:r>
            <w:r>
              <w:rPr>
                <w:spacing w:val="-5"/>
                <w:sz w:val="18"/>
              </w:rPr>
              <w:t xml:space="preserve"> </w:t>
            </w:r>
            <w:r>
              <w:rPr>
                <w:spacing w:val="-4"/>
                <w:sz w:val="18"/>
              </w:rPr>
              <w:t>PP/9</w:t>
            </w:r>
          </w:p>
        </w:tc>
        <w:tc>
          <w:tcPr>
            <w:tcW w:w="1534" w:type="dxa"/>
          </w:tcPr>
          <w:p w:rsidR="007F6DF9" w:rsidRDefault="007F6DF9">
            <w:pPr>
              <w:pStyle w:val="TableParagraph"/>
              <w:rPr>
                <w:rFonts w:ascii="Times New Roman"/>
                <w:sz w:val="16"/>
              </w:rPr>
            </w:pPr>
          </w:p>
        </w:tc>
      </w:tr>
      <w:tr w:rsidR="007F6DF9">
        <w:trPr>
          <w:trHeight w:val="212"/>
        </w:trPr>
        <w:tc>
          <w:tcPr>
            <w:tcW w:w="708" w:type="dxa"/>
            <w:tcBorders>
              <w:bottom w:val="double" w:sz="6" w:space="0" w:color="000000"/>
            </w:tcBorders>
          </w:tcPr>
          <w:p w:rsidR="007F6DF9" w:rsidRDefault="007F6DF9">
            <w:pPr>
              <w:pStyle w:val="TableParagraph"/>
              <w:rPr>
                <w:rFonts w:ascii="Times New Roman"/>
                <w:sz w:val="14"/>
              </w:rPr>
            </w:pPr>
          </w:p>
        </w:tc>
        <w:tc>
          <w:tcPr>
            <w:tcW w:w="7768" w:type="dxa"/>
            <w:tcBorders>
              <w:bottom w:val="double" w:sz="6" w:space="0" w:color="000000"/>
            </w:tcBorders>
          </w:tcPr>
          <w:p w:rsidR="007F6DF9" w:rsidRDefault="00A43FBC">
            <w:pPr>
              <w:pStyle w:val="TableParagraph"/>
              <w:spacing w:line="192" w:lineRule="exact"/>
              <w:ind w:left="38"/>
              <w:rPr>
                <w:sz w:val="18"/>
              </w:rPr>
            </w:pPr>
            <w:r>
              <w:rPr>
                <w:w w:val="105"/>
                <w:sz w:val="18"/>
              </w:rPr>
              <w:t>TOTAL</w:t>
            </w:r>
            <w:r>
              <w:rPr>
                <w:spacing w:val="10"/>
                <w:w w:val="105"/>
                <w:sz w:val="18"/>
              </w:rPr>
              <w:t xml:space="preserve"> </w:t>
            </w:r>
            <w:r>
              <w:rPr>
                <w:w w:val="105"/>
                <w:sz w:val="18"/>
              </w:rPr>
              <w:t>CARRIED</w:t>
            </w:r>
            <w:r>
              <w:rPr>
                <w:spacing w:val="10"/>
                <w:w w:val="105"/>
                <w:sz w:val="18"/>
              </w:rPr>
              <w:t xml:space="preserve"> </w:t>
            </w:r>
            <w:r>
              <w:rPr>
                <w:w w:val="105"/>
                <w:sz w:val="18"/>
              </w:rPr>
              <w:t>TO</w:t>
            </w:r>
            <w:r>
              <w:rPr>
                <w:spacing w:val="11"/>
                <w:w w:val="105"/>
                <w:sz w:val="18"/>
              </w:rPr>
              <w:t xml:space="preserve"> </w:t>
            </w:r>
            <w:r>
              <w:rPr>
                <w:w w:val="105"/>
                <w:sz w:val="18"/>
              </w:rPr>
              <w:t>GRAND</w:t>
            </w:r>
            <w:r>
              <w:rPr>
                <w:spacing w:val="10"/>
                <w:w w:val="105"/>
                <w:sz w:val="18"/>
              </w:rPr>
              <w:t xml:space="preserve"> </w:t>
            </w:r>
            <w:r>
              <w:rPr>
                <w:spacing w:val="-2"/>
                <w:w w:val="105"/>
                <w:sz w:val="18"/>
              </w:rPr>
              <w:t>SUMMARY</w:t>
            </w:r>
          </w:p>
        </w:tc>
        <w:tc>
          <w:tcPr>
            <w:tcW w:w="1534" w:type="dxa"/>
            <w:tcBorders>
              <w:bottom w:val="double" w:sz="6" w:space="0" w:color="000000"/>
            </w:tcBorders>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5"/>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332"/>
        </w:trPr>
        <w:tc>
          <w:tcPr>
            <w:tcW w:w="674" w:type="dxa"/>
            <w:tcBorders>
              <w:bottom w:val="nil"/>
            </w:tcBorders>
          </w:tcPr>
          <w:p w:rsidR="007F6DF9" w:rsidRDefault="007F6DF9">
            <w:pPr>
              <w:pStyle w:val="TableParagraph"/>
              <w:rPr>
                <w:rFonts w:ascii="Times New Roman"/>
                <w:sz w:val="18"/>
              </w:rPr>
            </w:pPr>
          </w:p>
        </w:tc>
        <w:tc>
          <w:tcPr>
            <w:tcW w:w="7767" w:type="dxa"/>
            <w:tcBorders>
              <w:bottom w:val="nil"/>
            </w:tcBorders>
          </w:tcPr>
          <w:p w:rsidR="007F6DF9" w:rsidRDefault="00A43FBC">
            <w:pPr>
              <w:pStyle w:val="TableParagraph"/>
              <w:spacing w:line="212" w:lineRule="exact"/>
              <w:ind w:left="38"/>
              <w:rPr>
                <w:sz w:val="18"/>
              </w:rPr>
            </w:pPr>
            <w:r>
              <w:rPr>
                <w:sz w:val="18"/>
                <w:u w:val="single"/>
              </w:rPr>
              <w:t>BILL</w:t>
            </w:r>
            <w:r>
              <w:rPr>
                <w:spacing w:val="19"/>
                <w:sz w:val="18"/>
                <w:u w:val="single"/>
              </w:rPr>
              <w:t xml:space="preserve"> </w:t>
            </w:r>
            <w:r>
              <w:rPr>
                <w:sz w:val="18"/>
                <w:u w:val="single"/>
              </w:rPr>
              <w:t>NO.2-</w:t>
            </w:r>
            <w:r>
              <w:rPr>
                <w:spacing w:val="18"/>
                <w:sz w:val="18"/>
                <w:u w:val="single"/>
              </w:rPr>
              <w:t xml:space="preserve"> </w:t>
            </w:r>
            <w:r>
              <w:rPr>
                <w:sz w:val="18"/>
                <w:u w:val="single"/>
              </w:rPr>
              <w:t>GENERAL</w:t>
            </w:r>
            <w:r>
              <w:rPr>
                <w:spacing w:val="20"/>
                <w:sz w:val="18"/>
                <w:u w:val="single"/>
              </w:rPr>
              <w:t xml:space="preserve"> </w:t>
            </w:r>
            <w:r>
              <w:rPr>
                <w:spacing w:val="-2"/>
                <w:sz w:val="18"/>
                <w:u w:val="single"/>
              </w:rPr>
              <w:t>PRELIMINARIES</w:t>
            </w:r>
          </w:p>
        </w:tc>
        <w:tc>
          <w:tcPr>
            <w:tcW w:w="1593" w:type="dxa"/>
            <w:vMerge w:val="restart"/>
          </w:tcPr>
          <w:p w:rsidR="007F6DF9" w:rsidRDefault="007F6DF9">
            <w:pPr>
              <w:pStyle w:val="TableParagraph"/>
              <w:rPr>
                <w:rFonts w:ascii="Times New Roman"/>
                <w:sz w:val="18"/>
              </w:rPr>
            </w:pPr>
          </w:p>
        </w:tc>
      </w:tr>
      <w:tr w:rsidR="007F6DF9">
        <w:trPr>
          <w:trHeight w:val="330"/>
        </w:trPr>
        <w:tc>
          <w:tcPr>
            <w:tcW w:w="674" w:type="dxa"/>
            <w:tcBorders>
              <w:top w:val="nil"/>
              <w:bottom w:val="nil"/>
            </w:tcBorders>
          </w:tcPr>
          <w:p w:rsidR="007F6DF9" w:rsidRDefault="00A43FBC">
            <w:pPr>
              <w:pStyle w:val="TableParagraph"/>
              <w:spacing w:before="108" w:line="202" w:lineRule="exact"/>
              <w:ind w:right="23"/>
              <w:jc w:val="right"/>
              <w:rPr>
                <w:sz w:val="18"/>
              </w:rPr>
            </w:pPr>
            <w:r>
              <w:rPr>
                <w:spacing w:val="-10"/>
                <w:w w:val="110"/>
                <w:sz w:val="18"/>
              </w:rPr>
              <w:t>A</w:t>
            </w:r>
          </w:p>
        </w:tc>
        <w:tc>
          <w:tcPr>
            <w:tcW w:w="7767" w:type="dxa"/>
            <w:tcBorders>
              <w:top w:val="nil"/>
              <w:bottom w:val="nil"/>
            </w:tcBorders>
          </w:tcPr>
          <w:p w:rsidR="007F6DF9" w:rsidRDefault="00A43FBC">
            <w:pPr>
              <w:pStyle w:val="TableParagraph"/>
              <w:spacing w:before="108" w:line="202" w:lineRule="exact"/>
              <w:ind w:left="38"/>
              <w:rPr>
                <w:sz w:val="18"/>
              </w:rPr>
            </w:pPr>
            <w:r>
              <w:rPr>
                <w:sz w:val="18"/>
              </w:rPr>
              <w:t>PRICING</w:t>
            </w:r>
            <w:r>
              <w:rPr>
                <w:spacing w:val="20"/>
                <w:sz w:val="18"/>
              </w:rPr>
              <w:t xml:space="preserve"> </w:t>
            </w:r>
            <w:r>
              <w:rPr>
                <w:sz w:val="18"/>
              </w:rPr>
              <w:t>OF</w:t>
            </w:r>
            <w:r>
              <w:rPr>
                <w:spacing w:val="19"/>
                <w:sz w:val="18"/>
              </w:rPr>
              <w:t xml:space="preserve"> </w:t>
            </w:r>
            <w:r>
              <w:rPr>
                <w:sz w:val="18"/>
              </w:rPr>
              <w:t>ITEMS</w:t>
            </w:r>
            <w:r>
              <w:rPr>
                <w:spacing w:val="20"/>
                <w:sz w:val="18"/>
              </w:rPr>
              <w:t xml:space="preserve"> </w:t>
            </w:r>
            <w:r>
              <w:rPr>
                <w:sz w:val="18"/>
              </w:rPr>
              <w:t>OF</w:t>
            </w:r>
            <w:r>
              <w:rPr>
                <w:spacing w:val="19"/>
                <w:sz w:val="18"/>
              </w:rPr>
              <w:t xml:space="preserve"> </w:t>
            </w:r>
            <w:r>
              <w:rPr>
                <w:sz w:val="18"/>
              </w:rPr>
              <w:t>PRELIMINARIES</w:t>
            </w:r>
            <w:r>
              <w:rPr>
                <w:spacing w:val="19"/>
                <w:sz w:val="18"/>
              </w:rPr>
              <w:t xml:space="preserve"> </w:t>
            </w:r>
            <w:r>
              <w:rPr>
                <w:sz w:val="18"/>
              </w:rPr>
              <w:t>AND</w:t>
            </w:r>
            <w:r>
              <w:rPr>
                <w:spacing w:val="21"/>
                <w:sz w:val="18"/>
              </w:rPr>
              <w:t xml:space="preserve"> </w:t>
            </w:r>
            <w:r>
              <w:rPr>
                <w:spacing w:val="-2"/>
                <w:sz w:val="18"/>
              </w:rPr>
              <w:t>PREAMBLES</w:t>
            </w:r>
          </w:p>
        </w:tc>
        <w:tc>
          <w:tcPr>
            <w:tcW w:w="1593" w:type="dxa"/>
            <w:vMerge/>
            <w:tcBorders>
              <w:top w:val="nil"/>
            </w:tcBorders>
          </w:tcPr>
          <w:p w:rsidR="007F6DF9" w:rsidRDefault="007F6DF9">
            <w:pPr>
              <w:rPr>
                <w:sz w:val="2"/>
                <w:szCs w:val="2"/>
              </w:rPr>
            </w:pPr>
          </w:p>
        </w:tc>
      </w:tr>
      <w:tr w:rsidR="007F6DF9">
        <w:trPr>
          <w:trHeight w:val="215"/>
        </w:trPr>
        <w:tc>
          <w:tcPr>
            <w:tcW w:w="674" w:type="dxa"/>
            <w:tcBorders>
              <w:top w:val="nil"/>
              <w:bottom w:val="nil"/>
            </w:tcBorders>
          </w:tcPr>
          <w:p w:rsidR="007F6DF9" w:rsidRDefault="007F6DF9">
            <w:pPr>
              <w:pStyle w:val="TableParagraph"/>
              <w:rPr>
                <w:rFonts w:ascii="Times New Roman"/>
                <w:sz w:val="14"/>
              </w:rPr>
            </w:pPr>
          </w:p>
        </w:tc>
        <w:tc>
          <w:tcPr>
            <w:tcW w:w="7767" w:type="dxa"/>
            <w:tcBorders>
              <w:top w:val="nil"/>
              <w:bottom w:val="nil"/>
            </w:tcBorders>
          </w:tcPr>
          <w:p w:rsidR="007F6DF9" w:rsidRDefault="00A43FBC">
            <w:pPr>
              <w:pStyle w:val="TableParagraph"/>
              <w:spacing w:line="195" w:lineRule="exact"/>
              <w:ind w:left="36"/>
              <w:rPr>
                <w:sz w:val="18"/>
              </w:rPr>
            </w:pPr>
            <w:r>
              <w:rPr>
                <w:sz w:val="18"/>
              </w:rPr>
              <w:t>The</w:t>
            </w:r>
            <w:r>
              <w:rPr>
                <w:spacing w:val="26"/>
                <w:sz w:val="18"/>
              </w:rPr>
              <w:t xml:space="preserve"> </w:t>
            </w:r>
            <w:r>
              <w:rPr>
                <w:sz w:val="18"/>
              </w:rPr>
              <w:t>Employer</w:t>
            </w:r>
            <w:r>
              <w:rPr>
                <w:spacing w:val="26"/>
                <w:sz w:val="18"/>
              </w:rPr>
              <w:t xml:space="preserve"> </w:t>
            </w:r>
            <w:r>
              <w:rPr>
                <w:sz w:val="18"/>
              </w:rPr>
              <w:t>is</w:t>
            </w:r>
            <w:r>
              <w:rPr>
                <w:spacing w:val="28"/>
                <w:sz w:val="18"/>
              </w:rPr>
              <w:t xml:space="preserve"> </w:t>
            </w:r>
            <w:r>
              <w:rPr>
                <w:sz w:val="18"/>
              </w:rPr>
              <w:t>JARAMOGI</w:t>
            </w:r>
            <w:r>
              <w:rPr>
                <w:spacing w:val="27"/>
                <w:sz w:val="18"/>
              </w:rPr>
              <w:t xml:space="preserve"> </w:t>
            </w:r>
            <w:r>
              <w:rPr>
                <w:sz w:val="18"/>
              </w:rPr>
              <w:t>OGINGA</w:t>
            </w:r>
            <w:r>
              <w:rPr>
                <w:spacing w:val="26"/>
                <w:sz w:val="18"/>
              </w:rPr>
              <w:t xml:space="preserve"> </w:t>
            </w:r>
            <w:r>
              <w:rPr>
                <w:sz w:val="18"/>
              </w:rPr>
              <w:t>ODINGA</w:t>
            </w:r>
            <w:r>
              <w:rPr>
                <w:spacing w:val="27"/>
                <w:sz w:val="18"/>
              </w:rPr>
              <w:t xml:space="preserve"> </w:t>
            </w:r>
            <w:r>
              <w:rPr>
                <w:sz w:val="18"/>
              </w:rPr>
              <w:t>TEACHING</w:t>
            </w:r>
            <w:r>
              <w:rPr>
                <w:spacing w:val="26"/>
                <w:sz w:val="18"/>
              </w:rPr>
              <w:t xml:space="preserve"> </w:t>
            </w:r>
            <w:r>
              <w:rPr>
                <w:sz w:val="18"/>
              </w:rPr>
              <w:t>AND</w:t>
            </w:r>
            <w:r>
              <w:rPr>
                <w:spacing w:val="26"/>
                <w:sz w:val="18"/>
              </w:rPr>
              <w:t xml:space="preserve"> </w:t>
            </w:r>
            <w:r>
              <w:rPr>
                <w:sz w:val="18"/>
              </w:rPr>
              <w:t>REFERRAL</w:t>
            </w:r>
            <w:r>
              <w:rPr>
                <w:spacing w:val="28"/>
                <w:sz w:val="18"/>
              </w:rPr>
              <w:t xml:space="preserve"> </w:t>
            </w:r>
            <w:r>
              <w:rPr>
                <w:spacing w:val="-2"/>
                <w:sz w:val="18"/>
              </w:rPr>
              <w:t>HOSPITAL</w:t>
            </w:r>
          </w:p>
        </w:tc>
        <w:tc>
          <w:tcPr>
            <w:tcW w:w="1593" w:type="dxa"/>
            <w:vMerge/>
            <w:tcBorders>
              <w:top w:val="nil"/>
            </w:tcBorders>
          </w:tcPr>
          <w:p w:rsidR="007F6DF9" w:rsidRDefault="007F6DF9">
            <w:pPr>
              <w:rPr>
                <w:sz w:val="2"/>
                <w:szCs w:val="2"/>
              </w:rPr>
            </w:pPr>
          </w:p>
        </w:tc>
      </w:tr>
      <w:tr w:rsidR="007F6DF9">
        <w:trPr>
          <w:trHeight w:val="791"/>
        </w:trPr>
        <w:tc>
          <w:tcPr>
            <w:tcW w:w="674" w:type="dxa"/>
            <w:tcBorders>
              <w:top w:val="nil"/>
              <w:bottom w:val="nil"/>
            </w:tcBorders>
          </w:tcPr>
          <w:p w:rsidR="007F6DF9" w:rsidRDefault="007F6DF9">
            <w:pPr>
              <w:pStyle w:val="TableParagraph"/>
              <w:rPr>
                <w:rFonts w:ascii="Times New Roman"/>
                <w:sz w:val="18"/>
              </w:rPr>
            </w:pPr>
          </w:p>
        </w:tc>
        <w:tc>
          <w:tcPr>
            <w:tcW w:w="7767" w:type="dxa"/>
            <w:tcBorders>
              <w:top w:val="nil"/>
              <w:bottom w:val="nil"/>
            </w:tcBorders>
          </w:tcPr>
          <w:p w:rsidR="007F6DF9" w:rsidRDefault="00A43FBC">
            <w:pPr>
              <w:pStyle w:val="TableParagraph"/>
              <w:spacing w:line="254" w:lineRule="auto"/>
              <w:ind w:left="36" w:right="13"/>
              <w:jc w:val="both"/>
              <w:rPr>
                <w:sz w:val="18"/>
              </w:rPr>
            </w:pPr>
            <w:r>
              <w:rPr>
                <w:sz w:val="18"/>
              </w:rPr>
              <w:t>The</w:t>
            </w:r>
            <w:r>
              <w:rPr>
                <w:spacing w:val="-5"/>
                <w:sz w:val="18"/>
              </w:rPr>
              <w:t xml:space="preserve"> </w:t>
            </w:r>
            <w:r>
              <w:rPr>
                <w:sz w:val="18"/>
              </w:rPr>
              <w:t>Contractor</w:t>
            </w:r>
            <w:r>
              <w:rPr>
                <w:spacing w:val="-6"/>
                <w:sz w:val="18"/>
              </w:rPr>
              <w:t xml:space="preserve"> </w:t>
            </w:r>
            <w:r>
              <w:rPr>
                <w:sz w:val="18"/>
              </w:rPr>
              <w:t>shall</w:t>
            </w:r>
            <w:r>
              <w:rPr>
                <w:spacing w:val="-7"/>
                <w:sz w:val="18"/>
              </w:rPr>
              <w:t xml:space="preserve"> </w:t>
            </w:r>
            <w:r>
              <w:rPr>
                <w:sz w:val="18"/>
              </w:rPr>
              <w:t>be</w:t>
            </w:r>
            <w:r>
              <w:rPr>
                <w:spacing w:val="-8"/>
                <w:sz w:val="18"/>
              </w:rPr>
              <w:t xml:space="preserve"> </w:t>
            </w:r>
            <w:r>
              <w:rPr>
                <w:sz w:val="18"/>
              </w:rPr>
              <w:t>deemed</w:t>
            </w:r>
            <w:r>
              <w:rPr>
                <w:spacing w:val="-7"/>
                <w:sz w:val="18"/>
              </w:rPr>
              <w:t xml:space="preserve"> </w:t>
            </w:r>
            <w:r>
              <w:rPr>
                <w:sz w:val="18"/>
              </w:rPr>
              <w:t>to</w:t>
            </w:r>
            <w:r>
              <w:rPr>
                <w:spacing w:val="-8"/>
                <w:sz w:val="18"/>
              </w:rPr>
              <w:t xml:space="preserve"> </w:t>
            </w:r>
            <w:r>
              <w:rPr>
                <w:sz w:val="18"/>
              </w:rPr>
              <w:t>have</w:t>
            </w:r>
            <w:r>
              <w:rPr>
                <w:spacing w:val="-6"/>
                <w:sz w:val="18"/>
              </w:rPr>
              <w:t xml:space="preserve"> </w:t>
            </w:r>
            <w:r>
              <w:rPr>
                <w:sz w:val="18"/>
              </w:rPr>
              <w:t>included</w:t>
            </w:r>
            <w:r>
              <w:rPr>
                <w:spacing w:val="-9"/>
                <w:sz w:val="18"/>
              </w:rPr>
              <w:t xml:space="preserve"> </w:t>
            </w:r>
            <w:r>
              <w:rPr>
                <w:sz w:val="18"/>
              </w:rPr>
              <w:t>in</w:t>
            </w:r>
            <w:r>
              <w:rPr>
                <w:spacing w:val="-6"/>
                <w:sz w:val="18"/>
              </w:rPr>
              <w:t xml:space="preserve"> </w:t>
            </w:r>
            <w:r>
              <w:rPr>
                <w:sz w:val="18"/>
              </w:rPr>
              <w:t>his</w:t>
            </w:r>
            <w:r>
              <w:rPr>
                <w:spacing w:val="-8"/>
                <w:sz w:val="18"/>
              </w:rPr>
              <w:t xml:space="preserve"> </w:t>
            </w:r>
            <w:r>
              <w:rPr>
                <w:sz w:val="18"/>
              </w:rPr>
              <w:t>prices</w:t>
            </w:r>
            <w:r>
              <w:rPr>
                <w:spacing w:val="-5"/>
                <w:sz w:val="18"/>
              </w:rPr>
              <w:t xml:space="preserve"> </w:t>
            </w:r>
            <w:r>
              <w:rPr>
                <w:sz w:val="18"/>
              </w:rPr>
              <w:t>or</w:t>
            </w:r>
            <w:r>
              <w:rPr>
                <w:spacing w:val="-9"/>
                <w:sz w:val="18"/>
              </w:rPr>
              <w:t xml:space="preserve"> </w:t>
            </w:r>
            <w:r>
              <w:rPr>
                <w:sz w:val="18"/>
              </w:rPr>
              <w:t>rates</w:t>
            </w:r>
            <w:r>
              <w:rPr>
                <w:spacing w:val="-5"/>
                <w:sz w:val="18"/>
              </w:rPr>
              <w:t xml:space="preserve"> </w:t>
            </w:r>
            <w:r>
              <w:rPr>
                <w:sz w:val="18"/>
              </w:rPr>
              <w:t>for</w:t>
            </w:r>
            <w:r>
              <w:rPr>
                <w:spacing w:val="-9"/>
                <w:sz w:val="18"/>
              </w:rPr>
              <w:t xml:space="preserve"> </w:t>
            </w:r>
            <w:r>
              <w:rPr>
                <w:sz w:val="18"/>
              </w:rPr>
              <w:t>the</w:t>
            </w:r>
            <w:r>
              <w:rPr>
                <w:spacing w:val="-6"/>
                <w:sz w:val="18"/>
              </w:rPr>
              <w:t xml:space="preserve"> </w:t>
            </w:r>
            <w:r>
              <w:rPr>
                <w:sz w:val="18"/>
              </w:rPr>
              <w:t>various</w:t>
            </w:r>
            <w:r>
              <w:rPr>
                <w:spacing w:val="-8"/>
                <w:sz w:val="18"/>
              </w:rPr>
              <w:t xml:space="preserve"> </w:t>
            </w:r>
            <w:r>
              <w:rPr>
                <w:sz w:val="18"/>
              </w:rPr>
              <w:t>items</w:t>
            </w:r>
            <w:r>
              <w:rPr>
                <w:spacing w:val="-5"/>
                <w:sz w:val="18"/>
              </w:rPr>
              <w:t xml:space="preserve"> </w:t>
            </w:r>
            <w:r>
              <w:rPr>
                <w:sz w:val="18"/>
              </w:rPr>
              <w:t>in</w:t>
            </w:r>
            <w:r>
              <w:rPr>
                <w:spacing w:val="-9"/>
                <w:sz w:val="18"/>
              </w:rPr>
              <w:t xml:space="preserve"> </w:t>
            </w:r>
            <w:r>
              <w:rPr>
                <w:sz w:val="18"/>
              </w:rPr>
              <w:t>the Bills</w:t>
            </w:r>
            <w:r>
              <w:rPr>
                <w:spacing w:val="-1"/>
                <w:sz w:val="18"/>
              </w:rPr>
              <w:t xml:space="preserve"> </w:t>
            </w:r>
            <w:r>
              <w:rPr>
                <w:sz w:val="18"/>
              </w:rPr>
              <w:t>of</w:t>
            </w:r>
            <w:r>
              <w:rPr>
                <w:spacing w:val="-3"/>
                <w:sz w:val="18"/>
              </w:rPr>
              <w:t xml:space="preserve"> </w:t>
            </w:r>
            <w:r>
              <w:rPr>
                <w:sz w:val="18"/>
              </w:rPr>
              <w:t>Quantities</w:t>
            </w:r>
            <w:r>
              <w:rPr>
                <w:spacing w:val="-1"/>
                <w:sz w:val="18"/>
              </w:rPr>
              <w:t xml:space="preserve"> </w:t>
            </w:r>
            <w:r>
              <w:rPr>
                <w:sz w:val="18"/>
              </w:rPr>
              <w:t>or</w:t>
            </w:r>
            <w:r>
              <w:rPr>
                <w:spacing w:val="-3"/>
                <w:sz w:val="18"/>
              </w:rPr>
              <w:t xml:space="preserve"> </w:t>
            </w:r>
            <w:r>
              <w:rPr>
                <w:sz w:val="18"/>
              </w:rPr>
              <w:t>Specification</w:t>
            </w:r>
            <w:r>
              <w:rPr>
                <w:spacing w:val="-2"/>
                <w:sz w:val="18"/>
              </w:rPr>
              <w:t xml:space="preserve"> </w:t>
            </w:r>
            <w:r>
              <w:rPr>
                <w:sz w:val="18"/>
              </w:rPr>
              <w:t>for</w:t>
            </w:r>
            <w:r>
              <w:rPr>
                <w:spacing w:val="-3"/>
                <w:sz w:val="18"/>
              </w:rPr>
              <w:t xml:space="preserve"> </w:t>
            </w:r>
            <w:r>
              <w:rPr>
                <w:sz w:val="18"/>
              </w:rPr>
              <w:t>all</w:t>
            </w:r>
            <w:r>
              <w:rPr>
                <w:spacing w:val="-4"/>
                <w:sz w:val="18"/>
              </w:rPr>
              <w:t xml:space="preserve"> </w:t>
            </w:r>
            <w:r>
              <w:rPr>
                <w:sz w:val="18"/>
              </w:rPr>
              <w:t>costs</w:t>
            </w:r>
            <w:r>
              <w:rPr>
                <w:spacing w:val="-1"/>
                <w:sz w:val="18"/>
              </w:rPr>
              <w:t xml:space="preserve"> </w:t>
            </w:r>
            <w:r>
              <w:rPr>
                <w:sz w:val="18"/>
              </w:rPr>
              <w:t>involved</w:t>
            </w:r>
            <w:r>
              <w:rPr>
                <w:spacing w:val="-3"/>
                <w:sz w:val="18"/>
              </w:rPr>
              <w:t xml:space="preserve"> </w:t>
            </w:r>
            <w:r>
              <w:rPr>
                <w:sz w:val="18"/>
              </w:rPr>
              <w:t>in</w:t>
            </w:r>
            <w:r>
              <w:rPr>
                <w:spacing w:val="-3"/>
                <w:sz w:val="18"/>
              </w:rPr>
              <w:t xml:space="preserve"> </w:t>
            </w:r>
            <w:r>
              <w:rPr>
                <w:sz w:val="18"/>
              </w:rPr>
              <w:t>complying</w:t>
            </w:r>
            <w:r>
              <w:rPr>
                <w:spacing w:val="-1"/>
                <w:sz w:val="18"/>
              </w:rPr>
              <w:t xml:space="preserve"> </w:t>
            </w:r>
            <w:r>
              <w:rPr>
                <w:sz w:val="18"/>
              </w:rPr>
              <w:t>with</w:t>
            </w:r>
            <w:r>
              <w:rPr>
                <w:spacing w:val="-3"/>
                <w:sz w:val="18"/>
              </w:rPr>
              <w:t xml:space="preserve"> </w:t>
            </w:r>
            <w:r>
              <w:rPr>
                <w:sz w:val="18"/>
              </w:rPr>
              <w:t>all</w:t>
            </w:r>
            <w:r>
              <w:rPr>
                <w:spacing w:val="-4"/>
                <w:sz w:val="18"/>
              </w:rPr>
              <w:t xml:space="preserve"> </w:t>
            </w:r>
            <w:r>
              <w:rPr>
                <w:sz w:val="18"/>
              </w:rPr>
              <w:t>the</w:t>
            </w:r>
            <w:r>
              <w:rPr>
                <w:spacing w:val="-2"/>
                <w:sz w:val="18"/>
              </w:rPr>
              <w:t xml:space="preserve"> </w:t>
            </w:r>
            <w:r>
              <w:rPr>
                <w:sz w:val="18"/>
              </w:rPr>
              <w:t>requirements</w:t>
            </w:r>
            <w:r>
              <w:rPr>
                <w:spacing w:val="-4"/>
                <w:sz w:val="18"/>
              </w:rPr>
              <w:t xml:space="preserve"> </w:t>
            </w:r>
            <w:r>
              <w:rPr>
                <w:sz w:val="18"/>
              </w:rPr>
              <w:t>for the proper execution of the whole of the works in the Contract.</w:t>
            </w:r>
          </w:p>
        </w:tc>
        <w:tc>
          <w:tcPr>
            <w:tcW w:w="1593" w:type="dxa"/>
            <w:vMerge/>
            <w:tcBorders>
              <w:top w:val="nil"/>
            </w:tcBorders>
          </w:tcPr>
          <w:p w:rsidR="007F6DF9" w:rsidRDefault="007F6DF9">
            <w:pPr>
              <w:rPr>
                <w:sz w:val="2"/>
                <w:szCs w:val="2"/>
              </w:rPr>
            </w:pPr>
          </w:p>
        </w:tc>
      </w:tr>
      <w:tr w:rsidR="007F6DF9">
        <w:trPr>
          <w:trHeight w:val="330"/>
        </w:trPr>
        <w:tc>
          <w:tcPr>
            <w:tcW w:w="674" w:type="dxa"/>
            <w:tcBorders>
              <w:top w:val="nil"/>
              <w:bottom w:val="nil"/>
            </w:tcBorders>
          </w:tcPr>
          <w:p w:rsidR="007F6DF9" w:rsidRDefault="00A43FBC">
            <w:pPr>
              <w:pStyle w:val="TableParagraph"/>
              <w:spacing w:before="108" w:line="202" w:lineRule="exact"/>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before="108" w:line="202" w:lineRule="exact"/>
              <w:ind w:left="38"/>
              <w:rPr>
                <w:sz w:val="18"/>
              </w:rPr>
            </w:pPr>
            <w:r>
              <w:rPr>
                <w:spacing w:val="-2"/>
                <w:sz w:val="18"/>
              </w:rPr>
              <w:t>ABBREVIATIONS</w:t>
            </w:r>
          </w:p>
        </w:tc>
        <w:tc>
          <w:tcPr>
            <w:tcW w:w="1593" w:type="dxa"/>
            <w:vMerge/>
            <w:tcBorders>
              <w:top w:val="nil"/>
            </w:tcBorders>
          </w:tcPr>
          <w:p w:rsidR="007F6DF9" w:rsidRDefault="007F6DF9">
            <w:pPr>
              <w:rPr>
                <w:sz w:val="2"/>
                <w:szCs w:val="2"/>
              </w:rPr>
            </w:pPr>
          </w:p>
        </w:tc>
      </w:tr>
      <w:tr w:rsidR="007F6DF9">
        <w:trPr>
          <w:trHeight w:val="6435"/>
        </w:trPr>
        <w:tc>
          <w:tcPr>
            <w:tcW w:w="674" w:type="dxa"/>
            <w:tcBorders>
              <w:top w:val="nil"/>
            </w:tcBorders>
          </w:tcPr>
          <w:p w:rsidR="007F6DF9" w:rsidRDefault="007F6DF9">
            <w:pPr>
              <w:pStyle w:val="TableParagraph"/>
              <w:rPr>
                <w:rFonts w:ascii="Times New Roman"/>
                <w:sz w:val="18"/>
              </w:rPr>
            </w:pPr>
          </w:p>
        </w:tc>
        <w:tc>
          <w:tcPr>
            <w:tcW w:w="7767" w:type="dxa"/>
            <w:tcBorders>
              <w:top w:val="nil"/>
            </w:tcBorders>
          </w:tcPr>
          <w:p w:rsidR="007F6DF9" w:rsidRDefault="00A43FBC">
            <w:pPr>
              <w:pStyle w:val="TableParagraph"/>
              <w:spacing w:line="254" w:lineRule="auto"/>
              <w:ind w:left="36" w:right="178"/>
              <w:rPr>
                <w:sz w:val="18"/>
              </w:rPr>
            </w:pPr>
            <w:r>
              <w:rPr>
                <w:spacing w:val="-2"/>
                <w:sz w:val="18"/>
              </w:rPr>
              <w:t>Throughout</w:t>
            </w:r>
            <w:r>
              <w:rPr>
                <w:spacing w:val="-5"/>
                <w:sz w:val="18"/>
              </w:rPr>
              <w:t xml:space="preserve"> </w:t>
            </w:r>
            <w:r>
              <w:rPr>
                <w:spacing w:val="-2"/>
                <w:sz w:val="18"/>
              </w:rPr>
              <w:t>these</w:t>
            </w:r>
            <w:r>
              <w:rPr>
                <w:spacing w:val="-6"/>
                <w:sz w:val="18"/>
              </w:rPr>
              <w:t xml:space="preserve"> </w:t>
            </w:r>
            <w:r>
              <w:rPr>
                <w:spacing w:val="-2"/>
                <w:sz w:val="18"/>
              </w:rPr>
              <w:t>Bills,</w:t>
            </w:r>
            <w:r>
              <w:rPr>
                <w:spacing w:val="-7"/>
                <w:sz w:val="18"/>
              </w:rPr>
              <w:t xml:space="preserve"> </w:t>
            </w:r>
            <w:r>
              <w:rPr>
                <w:spacing w:val="-2"/>
                <w:sz w:val="18"/>
              </w:rPr>
              <w:t>units</w:t>
            </w:r>
            <w:r>
              <w:rPr>
                <w:spacing w:val="-5"/>
                <w:sz w:val="18"/>
              </w:rPr>
              <w:t xml:space="preserve"> </w:t>
            </w:r>
            <w:r>
              <w:rPr>
                <w:spacing w:val="-2"/>
                <w:sz w:val="18"/>
              </w:rPr>
              <w:t>of</w:t>
            </w:r>
            <w:r>
              <w:rPr>
                <w:spacing w:val="-7"/>
                <w:sz w:val="18"/>
              </w:rPr>
              <w:t xml:space="preserve"> </w:t>
            </w:r>
            <w:r>
              <w:rPr>
                <w:spacing w:val="-2"/>
                <w:sz w:val="18"/>
              </w:rPr>
              <w:t>measurement</w:t>
            </w:r>
            <w:r>
              <w:rPr>
                <w:spacing w:val="-6"/>
                <w:sz w:val="18"/>
              </w:rPr>
              <w:t xml:space="preserve"> </w:t>
            </w:r>
            <w:r>
              <w:rPr>
                <w:spacing w:val="-2"/>
                <w:sz w:val="18"/>
              </w:rPr>
              <w:t>and</w:t>
            </w:r>
            <w:r>
              <w:rPr>
                <w:spacing w:val="-7"/>
                <w:sz w:val="18"/>
              </w:rPr>
              <w:t xml:space="preserve"> </w:t>
            </w:r>
            <w:r>
              <w:rPr>
                <w:spacing w:val="-2"/>
                <w:sz w:val="18"/>
              </w:rPr>
              <w:t>terms</w:t>
            </w:r>
            <w:r>
              <w:rPr>
                <w:spacing w:val="-5"/>
                <w:sz w:val="18"/>
              </w:rPr>
              <w:t xml:space="preserve"> </w:t>
            </w:r>
            <w:r>
              <w:rPr>
                <w:spacing w:val="-2"/>
                <w:sz w:val="18"/>
              </w:rPr>
              <w:t>are</w:t>
            </w:r>
            <w:r>
              <w:rPr>
                <w:spacing w:val="-6"/>
                <w:sz w:val="18"/>
              </w:rPr>
              <w:t xml:space="preserve"> </w:t>
            </w:r>
            <w:r>
              <w:rPr>
                <w:spacing w:val="-2"/>
                <w:sz w:val="18"/>
              </w:rPr>
              <w:t>abbreviated</w:t>
            </w:r>
            <w:r>
              <w:rPr>
                <w:spacing w:val="-7"/>
                <w:sz w:val="18"/>
              </w:rPr>
              <w:t xml:space="preserve"> </w:t>
            </w:r>
            <w:r>
              <w:rPr>
                <w:spacing w:val="-2"/>
                <w:sz w:val="18"/>
              </w:rPr>
              <w:t>and</w:t>
            </w:r>
            <w:r>
              <w:rPr>
                <w:spacing w:val="-7"/>
                <w:sz w:val="18"/>
              </w:rPr>
              <w:t xml:space="preserve"> </w:t>
            </w:r>
            <w:r>
              <w:rPr>
                <w:spacing w:val="-2"/>
                <w:sz w:val="18"/>
              </w:rPr>
              <w:t>shall</w:t>
            </w:r>
            <w:r>
              <w:rPr>
                <w:spacing w:val="-7"/>
                <w:sz w:val="18"/>
              </w:rPr>
              <w:t xml:space="preserve"> </w:t>
            </w:r>
            <w:r>
              <w:rPr>
                <w:spacing w:val="-2"/>
                <w:sz w:val="18"/>
              </w:rPr>
              <w:t>be</w:t>
            </w:r>
            <w:r>
              <w:rPr>
                <w:spacing w:val="-5"/>
                <w:sz w:val="18"/>
              </w:rPr>
              <w:t xml:space="preserve"> </w:t>
            </w:r>
            <w:r>
              <w:rPr>
                <w:spacing w:val="-2"/>
                <w:sz w:val="18"/>
              </w:rPr>
              <w:t xml:space="preserve">interpreted </w:t>
            </w:r>
            <w:r>
              <w:rPr>
                <w:sz w:val="18"/>
              </w:rPr>
              <w:t xml:space="preserve">as </w:t>
            </w:r>
            <w:proofErr w:type="gramStart"/>
            <w:r>
              <w:rPr>
                <w:sz w:val="18"/>
              </w:rPr>
              <w:t>follows:-</w:t>
            </w:r>
            <w:proofErr w:type="gramEnd"/>
          </w:p>
          <w:p w:rsidR="007F6DF9" w:rsidRDefault="007F6DF9">
            <w:pPr>
              <w:pStyle w:val="TableParagraph"/>
              <w:spacing w:before="214"/>
              <w:rPr>
                <w:rFonts w:ascii="Segoe UI"/>
                <w:sz w:val="18"/>
              </w:rPr>
            </w:pPr>
          </w:p>
          <w:p w:rsidR="007F6DF9" w:rsidRDefault="00A43FBC">
            <w:pPr>
              <w:pStyle w:val="TableParagraph"/>
              <w:tabs>
                <w:tab w:val="left" w:pos="1918"/>
              </w:tabs>
              <w:ind w:left="38"/>
              <w:rPr>
                <w:sz w:val="18"/>
              </w:rPr>
            </w:pPr>
            <w:r>
              <w:rPr>
                <w:spacing w:val="-4"/>
                <w:sz w:val="18"/>
              </w:rPr>
              <w:t>C.M.</w:t>
            </w:r>
            <w:r>
              <w:rPr>
                <w:sz w:val="18"/>
              </w:rPr>
              <w:tab/>
            </w:r>
            <w:r>
              <w:rPr>
                <w:spacing w:val="-2"/>
                <w:sz w:val="18"/>
              </w:rPr>
              <w:t>Shall</w:t>
            </w:r>
            <w:r>
              <w:rPr>
                <w:spacing w:val="-13"/>
                <w:sz w:val="18"/>
              </w:rPr>
              <w:t xml:space="preserve"> </w:t>
            </w:r>
            <w:r>
              <w:rPr>
                <w:spacing w:val="-2"/>
                <w:sz w:val="18"/>
              </w:rPr>
              <w:t>mean</w:t>
            </w:r>
            <w:r>
              <w:rPr>
                <w:spacing w:val="-11"/>
                <w:sz w:val="18"/>
              </w:rPr>
              <w:t xml:space="preserve"> </w:t>
            </w:r>
            <w:r>
              <w:rPr>
                <w:spacing w:val="-2"/>
                <w:sz w:val="18"/>
              </w:rPr>
              <w:t>cubic</w:t>
            </w:r>
            <w:r>
              <w:rPr>
                <w:spacing w:val="-12"/>
                <w:sz w:val="18"/>
              </w:rPr>
              <w:t xml:space="preserve"> </w:t>
            </w:r>
            <w:proofErr w:type="spellStart"/>
            <w:r>
              <w:rPr>
                <w:spacing w:val="-4"/>
                <w:sz w:val="18"/>
              </w:rPr>
              <w:t>metre</w:t>
            </w:r>
            <w:proofErr w:type="spellEnd"/>
          </w:p>
          <w:p w:rsidR="007F6DF9" w:rsidRDefault="007F6DF9">
            <w:pPr>
              <w:pStyle w:val="TableParagraph"/>
              <w:spacing w:before="4"/>
              <w:rPr>
                <w:rFonts w:ascii="Segoe UI"/>
                <w:sz w:val="18"/>
              </w:rPr>
            </w:pPr>
          </w:p>
          <w:p w:rsidR="007F6DF9" w:rsidRDefault="00A43FBC">
            <w:pPr>
              <w:pStyle w:val="TableParagraph"/>
              <w:tabs>
                <w:tab w:val="left" w:pos="1874"/>
              </w:tabs>
              <w:ind w:left="38"/>
              <w:rPr>
                <w:sz w:val="18"/>
              </w:rPr>
            </w:pPr>
            <w:r>
              <w:rPr>
                <w:spacing w:val="-4"/>
                <w:sz w:val="18"/>
              </w:rPr>
              <w:t>S.M.</w:t>
            </w:r>
            <w:r>
              <w:rPr>
                <w:sz w:val="18"/>
              </w:rPr>
              <w:tab/>
            </w:r>
            <w:r>
              <w:rPr>
                <w:spacing w:val="-4"/>
                <w:sz w:val="18"/>
              </w:rPr>
              <w:t>Shall</w:t>
            </w:r>
            <w:r>
              <w:rPr>
                <w:spacing w:val="-9"/>
                <w:sz w:val="18"/>
              </w:rPr>
              <w:t xml:space="preserve"> </w:t>
            </w:r>
            <w:r>
              <w:rPr>
                <w:spacing w:val="-4"/>
                <w:sz w:val="18"/>
              </w:rPr>
              <w:t>mean</w:t>
            </w:r>
            <w:r>
              <w:rPr>
                <w:spacing w:val="-8"/>
                <w:sz w:val="18"/>
              </w:rPr>
              <w:t xml:space="preserve"> </w:t>
            </w:r>
            <w:r>
              <w:rPr>
                <w:spacing w:val="-4"/>
                <w:sz w:val="18"/>
              </w:rPr>
              <w:t>square</w:t>
            </w:r>
            <w:r>
              <w:rPr>
                <w:spacing w:val="-7"/>
                <w:sz w:val="18"/>
              </w:rPr>
              <w:t xml:space="preserve"> </w:t>
            </w:r>
            <w:proofErr w:type="spellStart"/>
            <w:r>
              <w:rPr>
                <w:spacing w:val="-4"/>
                <w:sz w:val="18"/>
              </w:rPr>
              <w:t>metre</w:t>
            </w:r>
            <w:proofErr w:type="spellEnd"/>
          </w:p>
          <w:p w:rsidR="007F6DF9" w:rsidRDefault="007F6DF9">
            <w:pPr>
              <w:pStyle w:val="TableParagraph"/>
              <w:spacing w:before="5"/>
              <w:rPr>
                <w:rFonts w:ascii="Segoe UI"/>
                <w:sz w:val="18"/>
              </w:rPr>
            </w:pPr>
          </w:p>
          <w:p w:rsidR="007F6DF9" w:rsidRDefault="00A43FBC">
            <w:pPr>
              <w:pStyle w:val="TableParagraph"/>
              <w:tabs>
                <w:tab w:val="left" w:pos="1884"/>
              </w:tabs>
              <w:ind w:left="38"/>
              <w:rPr>
                <w:sz w:val="18"/>
              </w:rPr>
            </w:pPr>
            <w:r>
              <w:rPr>
                <w:spacing w:val="-4"/>
                <w:sz w:val="18"/>
              </w:rPr>
              <w:t>L.M.</w:t>
            </w:r>
            <w:r>
              <w:rPr>
                <w:sz w:val="18"/>
              </w:rPr>
              <w:tab/>
            </w:r>
            <w:r>
              <w:rPr>
                <w:spacing w:val="-2"/>
                <w:sz w:val="18"/>
              </w:rPr>
              <w:t>Shall</w:t>
            </w:r>
            <w:r>
              <w:rPr>
                <w:spacing w:val="-10"/>
                <w:sz w:val="18"/>
              </w:rPr>
              <w:t xml:space="preserve"> </w:t>
            </w:r>
            <w:r>
              <w:rPr>
                <w:spacing w:val="-2"/>
                <w:sz w:val="18"/>
              </w:rPr>
              <w:t>mean</w:t>
            </w:r>
            <w:r>
              <w:rPr>
                <w:spacing w:val="-8"/>
                <w:sz w:val="18"/>
              </w:rPr>
              <w:t xml:space="preserve"> </w:t>
            </w:r>
            <w:r>
              <w:rPr>
                <w:spacing w:val="-2"/>
                <w:sz w:val="18"/>
              </w:rPr>
              <w:t>linear</w:t>
            </w:r>
            <w:r>
              <w:rPr>
                <w:spacing w:val="-9"/>
                <w:sz w:val="18"/>
              </w:rPr>
              <w:t xml:space="preserve"> </w:t>
            </w:r>
            <w:proofErr w:type="spellStart"/>
            <w:r>
              <w:rPr>
                <w:spacing w:val="-4"/>
                <w:sz w:val="18"/>
              </w:rPr>
              <w:t>metre</w:t>
            </w:r>
            <w:proofErr w:type="spellEnd"/>
          </w:p>
          <w:p w:rsidR="007F6DF9" w:rsidRDefault="007F6DF9">
            <w:pPr>
              <w:pStyle w:val="TableParagraph"/>
              <w:spacing w:before="4"/>
              <w:rPr>
                <w:rFonts w:ascii="Segoe UI"/>
                <w:sz w:val="18"/>
              </w:rPr>
            </w:pPr>
          </w:p>
          <w:p w:rsidR="007F6DF9" w:rsidRDefault="00A43FBC">
            <w:pPr>
              <w:pStyle w:val="TableParagraph"/>
              <w:tabs>
                <w:tab w:val="left" w:pos="1968"/>
              </w:tabs>
              <w:ind w:left="38"/>
              <w:rPr>
                <w:sz w:val="18"/>
              </w:rPr>
            </w:pPr>
            <w:r>
              <w:rPr>
                <w:spacing w:val="-5"/>
                <w:sz w:val="18"/>
              </w:rPr>
              <w:t>MM</w:t>
            </w:r>
            <w:r>
              <w:rPr>
                <w:sz w:val="18"/>
              </w:rPr>
              <w:tab/>
            </w:r>
            <w:r>
              <w:rPr>
                <w:spacing w:val="-4"/>
                <w:sz w:val="18"/>
              </w:rPr>
              <w:t>Shall</w:t>
            </w:r>
            <w:r>
              <w:rPr>
                <w:spacing w:val="-5"/>
                <w:sz w:val="18"/>
              </w:rPr>
              <w:t xml:space="preserve"> </w:t>
            </w:r>
            <w:r>
              <w:rPr>
                <w:spacing w:val="-4"/>
                <w:sz w:val="18"/>
              </w:rPr>
              <w:t xml:space="preserve">mean </w:t>
            </w:r>
            <w:proofErr w:type="spellStart"/>
            <w:r>
              <w:rPr>
                <w:spacing w:val="-4"/>
                <w:sz w:val="18"/>
              </w:rPr>
              <w:t>Millimetre</w:t>
            </w:r>
            <w:proofErr w:type="spellEnd"/>
          </w:p>
          <w:p w:rsidR="007F6DF9" w:rsidRDefault="007F6DF9">
            <w:pPr>
              <w:pStyle w:val="TableParagraph"/>
              <w:spacing w:before="4"/>
              <w:rPr>
                <w:rFonts w:ascii="Segoe UI"/>
                <w:sz w:val="18"/>
              </w:rPr>
            </w:pPr>
          </w:p>
          <w:p w:rsidR="007F6DF9" w:rsidRDefault="00A43FBC">
            <w:pPr>
              <w:pStyle w:val="TableParagraph"/>
              <w:tabs>
                <w:tab w:val="left" w:pos="1884"/>
              </w:tabs>
              <w:ind w:left="38"/>
              <w:rPr>
                <w:sz w:val="18"/>
              </w:rPr>
            </w:pPr>
            <w:r>
              <w:rPr>
                <w:spacing w:val="-5"/>
                <w:sz w:val="18"/>
              </w:rPr>
              <w:t>Kg.</w:t>
            </w:r>
            <w:r>
              <w:rPr>
                <w:sz w:val="18"/>
              </w:rPr>
              <w:tab/>
            </w:r>
            <w:r>
              <w:rPr>
                <w:spacing w:val="-4"/>
                <w:sz w:val="18"/>
              </w:rPr>
              <w:t>Shall</w:t>
            </w:r>
            <w:r>
              <w:rPr>
                <w:spacing w:val="-5"/>
                <w:sz w:val="18"/>
              </w:rPr>
              <w:t xml:space="preserve"> </w:t>
            </w:r>
            <w:r>
              <w:rPr>
                <w:spacing w:val="-4"/>
                <w:sz w:val="18"/>
              </w:rPr>
              <w:t xml:space="preserve">mean </w:t>
            </w:r>
            <w:proofErr w:type="spellStart"/>
            <w:r>
              <w:rPr>
                <w:spacing w:val="-4"/>
                <w:sz w:val="18"/>
              </w:rPr>
              <w:t>Kilogramme</w:t>
            </w:r>
            <w:proofErr w:type="spellEnd"/>
          </w:p>
          <w:p w:rsidR="007F6DF9" w:rsidRDefault="007F6DF9">
            <w:pPr>
              <w:pStyle w:val="TableParagraph"/>
              <w:spacing w:before="4"/>
              <w:rPr>
                <w:rFonts w:ascii="Segoe UI"/>
                <w:sz w:val="18"/>
              </w:rPr>
            </w:pPr>
          </w:p>
          <w:p w:rsidR="007F6DF9" w:rsidRDefault="00A43FBC">
            <w:pPr>
              <w:pStyle w:val="TableParagraph"/>
              <w:tabs>
                <w:tab w:val="left" w:pos="1932"/>
              </w:tabs>
              <w:spacing w:before="1"/>
              <w:ind w:left="38"/>
              <w:rPr>
                <w:sz w:val="18"/>
              </w:rPr>
            </w:pPr>
            <w:r>
              <w:rPr>
                <w:spacing w:val="-5"/>
                <w:sz w:val="18"/>
              </w:rPr>
              <w:t>No.</w:t>
            </w:r>
            <w:r>
              <w:rPr>
                <w:sz w:val="18"/>
              </w:rPr>
              <w:tab/>
            </w:r>
            <w:r>
              <w:rPr>
                <w:spacing w:val="-4"/>
                <w:sz w:val="18"/>
              </w:rPr>
              <w:t>Shall</w:t>
            </w:r>
            <w:r>
              <w:rPr>
                <w:spacing w:val="-5"/>
                <w:sz w:val="18"/>
              </w:rPr>
              <w:t xml:space="preserve"> </w:t>
            </w:r>
            <w:r>
              <w:rPr>
                <w:spacing w:val="-4"/>
                <w:sz w:val="18"/>
              </w:rPr>
              <w:t>mean Number</w:t>
            </w:r>
          </w:p>
          <w:p w:rsidR="007F6DF9" w:rsidRDefault="007F6DF9">
            <w:pPr>
              <w:pStyle w:val="TableParagraph"/>
              <w:spacing w:before="3"/>
              <w:rPr>
                <w:rFonts w:ascii="Segoe UI"/>
                <w:sz w:val="18"/>
              </w:rPr>
            </w:pPr>
          </w:p>
          <w:p w:rsidR="007F6DF9" w:rsidRDefault="00A43FBC">
            <w:pPr>
              <w:pStyle w:val="TableParagraph"/>
              <w:tabs>
                <w:tab w:val="left" w:pos="1752"/>
              </w:tabs>
              <w:spacing w:before="1"/>
              <w:ind w:left="38"/>
              <w:rPr>
                <w:sz w:val="18"/>
              </w:rPr>
            </w:pPr>
            <w:proofErr w:type="spellStart"/>
            <w:r>
              <w:rPr>
                <w:spacing w:val="-4"/>
                <w:sz w:val="18"/>
              </w:rPr>
              <w:t>Prs</w:t>
            </w:r>
            <w:proofErr w:type="spellEnd"/>
            <w:r>
              <w:rPr>
                <w:spacing w:val="-4"/>
                <w:sz w:val="18"/>
              </w:rPr>
              <w:t>.</w:t>
            </w:r>
            <w:r>
              <w:rPr>
                <w:sz w:val="18"/>
              </w:rPr>
              <w:tab/>
            </w:r>
            <w:r>
              <w:rPr>
                <w:spacing w:val="-4"/>
                <w:sz w:val="18"/>
              </w:rPr>
              <w:t>Shall</w:t>
            </w:r>
            <w:r>
              <w:rPr>
                <w:spacing w:val="-5"/>
                <w:sz w:val="18"/>
              </w:rPr>
              <w:t xml:space="preserve"> </w:t>
            </w:r>
            <w:r>
              <w:rPr>
                <w:spacing w:val="-4"/>
                <w:sz w:val="18"/>
              </w:rPr>
              <w:t>mean Pairs</w:t>
            </w:r>
          </w:p>
          <w:p w:rsidR="007F6DF9" w:rsidRDefault="007F6DF9">
            <w:pPr>
              <w:pStyle w:val="TableParagraph"/>
              <w:spacing w:before="4"/>
              <w:rPr>
                <w:rFonts w:ascii="Segoe UI"/>
                <w:sz w:val="18"/>
              </w:rPr>
            </w:pPr>
          </w:p>
          <w:p w:rsidR="007F6DF9" w:rsidRDefault="00A43FBC">
            <w:pPr>
              <w:pStyle w:val="TableParagraph"/>
              <w:tabs>
                <w:tab w:val="left" w:pos="1867"/>
              </w:tabs>
              <w:spacing w:line="254" w:lineRule="auto"/>
              <w:ind w:left="38" w:right="619"/>
              <w:rPr>
                <w:sz w:val="18"/>
              </w:rPr>
            </w:pPr>
            <w:r>
              <w:rPr>
                <w:spacing w:val="-4"/>
                <w:sz w:val="18"/>
              </w:rPr>
              <w:t>B.S.</w:t>
            </w:r>
            <w:r>
              <w:rPr>
                <w:sz w:val="18"/>
              </w:rPr>
              <w:tab/>
            </w:r>
            <w:r>
              <w:rPr>
                <w:spacing w:val="-2"/>
                <w:sz w:val="18"/>
              </w:rPr>
              <w:t>Shall</w:t>
            </w:r>
            <w:r>
              <w:rPr>
                <w:spacing w:val="-10"/>
                <w:sz w:val="18"/>
              </w:rPr>
              <w:t xml:space="preserve"> </w:t>
            </w:r>
            <w:r>
              <w:rPr>
                <w:spacing w:val="-2"/>
                <w:sz w:val="18"/>
              </w:rPr>
              <w:t>mean</w:t>
            </w:r>
            <w:r>
              <w:rPr>
                <w:spacing w:val="-9"/>
                <w:sz w:val="18"/>
              </w:rPr>
              <w:t xml:space="preserve"> </w:t>
            </w:r>
            <w:r>
              <w:rPr>
                <w:spacing w:val="-2"/>
                <w:sz w:val="18"/>
              </w:rPr>
              <w:t>the</w:t>
            </w:r>
            <w:r>
              <w:rPr>
                <w:spacing w:val="-9"/>
                <w:sz w:val="18"/>
              </w:rPr>
              <w:t xml:space="preserve"> </w:t>
            </w:r>
            <w:r>
              <w:rPr>
                <w:spacing w:val="-2"/>
                <w:sz w:val="18"/>
              </w:rPr>
              <w:t>British</w:t>
            </w:r>
            <w:r>
              <w:rPr>
                <w:spacing w:val="-10"/>
                <w:sz w:val="18"/>
              </w:rPr>
              <w:t xml:space="preserve"> </w:t>
            </w:r>
            <w:r>
              <w:rPr>
                <w:spacing w:val="-2"/>
                <w:sz w:val="18"/>
              </w:rPr>
              <w:t>Standard</w:t>
            </w:r>
            <w:r>
              <w:rPr>
                <w:spacing w:val="-10"/>
                <w:sz w:val="18"/>
              </w:rPr>
              <w:t xml:space="preserve"> </w:t>
            </w:r>
            <w:r>
              <w:rPr>
                <w:spacing w:val="-2"/>
                <w:sz w:val="18"/>
              </w:rPr>
              <w:t>Specification</w:t>
            </w:r>
            <w:r>
              <w:rPr>
                <w:spacing w:val="-9"/>
                <w:sz w:val="18"/>
              </w:rPr>
              <w:t xml:space="preserve"> </w:t>
            </w:r>
            <w:r>
              <w:rPr>
                <w:spacing w:val="-2"/>
                <w:sz w:val="18"/>
              </w:rPr>
              <w:t>Published</w:t>
            </w:r>
            <w:r>
              <w:rPr>
                <w:spacing w:val="-10"/>
                <w:sz w:val="18"/>
              </w:rPr>
              <w:t xml:space="preserve"> </w:t>
            </w:r>
            <w:r>
              <w:rPr>
                <w:spacing w:val="-2"/>
                <w:sz w:val="18"/>
              </w:rPr>
              <w:t>by</w:t>
            </w:r>
            <w:r>
              <w:rPr>
                <w:spacing w:val="-9"/>
                <w:sz w:val="18"/>
              </w:rPr>
              <w:t xml:space="preserve"> </w:t>
            </w:r>
            <w:proofErr w:type="spellStart"/>
            <w:r>
              <w:rPr>
                <w:spacing w:val="-2"/>
                <w:sz w:val="18"/>
              </w:rPr>
              <w:t>theBritish</w:t>
            </w:r>
            <w:proofErr w:type="spellEnd"/>
            <w:r>
              <w:rPr>
                <w:spacing w:val="-2"/>
                <w:sz w:val="18"/>
              </w:rPr>
              <w:t xml:space="preserve"> </w:t>
            </w:r>
            <w:r>
              <w:rPr>
                <w:sz w:val="18"/>
              </w:rPr>
              <w:t>Standards Institution,</w:t>
            </w:r>
            <w:r>
              <w:rPr>
                <w:spacing w:val="-2"/>
                <w:sz w:val="18"/>
              </w:rPr>
              <w:t xml:space="preserve"> </w:t>
            </w:r>
            <w:r>
              <w:rPr>
                <w:sz w:val="18"/>
              </w:rPr>
              <w:t>2 Park Street,</w:t>
            </w:r>
            <w:r>
              <w:rPr>
                <w:spacing w:val="-2"/>
                <w:sz w:val="18"/>
              </w:rPr>
              <w:t xml:space="preserve"> </w:t>
            </w:r>
            <w:r>
              <w:rPr>
                <w:sz w:val="18"/>
              </w:rPr>
              <w:t>London</w:t>
            </w:r>
            <w:r>
              <w:rPr>
                <w:spacing w:val="-1"/>
                <w:sz w:val="18"/>
              </w:rPr>
              <w:t xml:space="preserve"> </w:t>
            </w:r>
            <w:r>
              <w:rPr>
                <w:sz w:val="18"/>
              </w:rPr>
              <w:t>W.I.,</w:t>
            </w:r>
            <w:r>
              <w:rPr>
                <w:spacing w:val="40"/>
                <w:sz w:val="18"/>
              </w:rPr>
              <w:t xml:space="preserve"> </w:t>
            </w:r>
            <w:r>
              <w:rPr>
                <w:sz w:val="18"/>
              </w:rPr>
              <w:t>England.</w:t>
            </w:r>
          </w:p>
          <w:p w:rsidR="007F6DF9" w:rsidRDefault="00A43FBC">
            <w:pPr>
              <w:pStyle w:val="TableParagraph"/>
              <w:spacing w:line="254" w:lineRule="auto"/>
              <w:ind w:left="38"/>
              <w:rPr>
                <w:sz w:val="18"/>
              </w:rPr>
            </w:pPr>
            <w:r>
              <w:rPr>
                <w:sz w:val="18"/>
              </w:rPr>
              <w:t>Ditto</w:t>
            </w:r>
            <w:r>
              <w:rPr>
                <w:spacing w:val="-5"/>
                <w:sz w:val="18"/>
              </w:rPr>
              <w:t xml:space="preserve"> </w:t>
            </w:r>
            <w:r>
              <w:rPr>
                <w:sz w:val="18"/>
              </w:rPr>
              <w:t>Shall</w:t>
            </w:r>
            <w:r>
              <w:rPr>
                <w:spacing w:val="-9"/>
                <w:sz w:val="18"/>
              </w:rPr>
              <w:t xml:space="preserve"> </w:t>
            </w:r>
            <w:r>
              <w:rPr>
                <w:sz w:val="18"/>
              </w:rPr>
              <w:t>mean</w:t>
            </w:r>
            <w:r>
              <w:rPr>
                <w:spacing w:val="-8"/>
                <w:sz w:val="18"/>
              </w:rPr>
              <w:t xml:space="preserve"> </w:t>
            </w:r>
            <w:r>
              <w:rPr>
                <w:sz w:val="18"/>
              </w:rPr>
              <w:t>the</w:t>
            </w:r>
            <w:r>
              <w:rPr>
                <w:spacing w:val="-8"/>
                <w:sz w:val="18"/>
              </w:rPr>
              <w:t xml:space="preserve"> </w:t>
            </w:r>
            <w:r>
              <w:rPr>
                <w:sz w:val="18"/>
              </w:rPr>
              <w:t>whole</w:t>
            </w:r>
            <w:r>
              <w:rPr>
                <w:spacing w:val="-8"/>
                <w:sz w:val="18"/>
              </w:rPr>
              <w:t xml:space="preserve"> </w:t>
            </w:r>
            <w:r>
              <w:rPr>
                <w:sz w:val="18"/>
              </w:rPr>
              <w:t>of</w:t>
            </w:r>
            <w:r>
              <w:rPr>
                <w:spacing w:val="-8"/>
                <w:sz w:val="18"/>
              </w:rPr>
              <w:t xml:space="preserve"> </w:t>
            </w:r>
            <w:r>
              <w:rPr>
                <w:sz w:val="18"/>
              </w:rPr>
              <w:t>the</w:t>
            </w:r>
            <w:r>
              <w:rPr>
                <w:spacing w:val="-8"/>
                <w:sz w:val="18"/>
              </w:rPr>
              <w:t xml:space="preserve"> </w:t>
            </w:r>
            <w:r>
              <w:rPr>
                <w:sz w:val="18"/>
              </w:rPr>
              <w:t>preceding</w:t>
            </w:r>
            <w:r>
              <w:rPr>
                <w:spacing w:val="-7"/>
                <w:sz w:val="18"/>
              </w:rPr>
              <w:t xml:space="preserve"> </w:t>
            </w:r>
            <w:r>
              <w:rPr>
                <w:sz w:val="18"/>
              </w:rPr>
              <w:t>description</w:t>
            </w:r>
            <w:r>
              <w:rPr>
                <w:spacing w:val="-8"/>
                <w:sz w:val="18"/>
              </w:rPr>
              <w:t xml:space="preserve"> </w:t>
            </w:r>
            <w:r>
              <w:rPr>
                <w:sz w:val="18"/>
              </w:rPr>
              <w:t>except</w:t>
            </w:r>
            <w:r>
              <w:rPr>
                <w:spacing w:val="-8"/>
                <w:sz w:val="18"/>
              </w:rPr>
              <w:t xml:space="preserve"> </w:t>
            </w:r>
            <w:r>
              <w:rPr>
                <w:sz w:val="18"/>
              </w:rPr>
              <w:t>as</w:t>
            </w:r>
            <w:r>
              <w:rPr>
                <w:spacing w:val="40"/>
                <w:sz w:val="18"/>
              </w:rPr>
              <w:t xml:space="preserve"> </w:t>
            </w:r>
            <w:r>
              <w:rPr>
                <w:sz w:val="18"/>
              </w:rPr>
              <w:t>qualified</w:t>
            </w:r>
            <w:r>
              <w:rPr>
                <w:spacing w:val="-9"/>
                <w:sz w:val="18"/>
              </w:rPr>
              <w:t xml:space="preserve"> </w:t>
            </w:r>
            <w:r>
              <w:rPr>
                <w:sz w:val="18"/>
              </w:rPr>
              <w:t>in</w:t>
            </w:r>
            <w:r>
              <w:rPr>
                <w:spacing w:val="-8"/>
                <w:sz w:val="18"/>
              </w:rPr>
              <w:t xml:space="preserve"> </w:t>
            </w:r>
            <w:r>
              <w:rPr>
                <w:sz w:val="18"/>
              </w:rPr>
              <w:t>the</w:t>
            </w:r>
            <w:r>
              <w:rPr>
                <w:spacing w:val="-8"/>
                <w:sz w:val="18"/>
              </w:rPr>
              <w:t xml:space="preserve"> </w:t>
            </w:r>
            <w:r>
              <w:rPr>
                <w:sz w:val="18"/>
              </w:rPr>
              <w:t>description</w:t>
            </w:r>
            <w:r>
              <w:rPr>
                <w:spacing w:val="-8"/>
                <w:sz w:val="18"/>
              </w:rPr>
              <w:t xml:space="preserve"> </w:t>
            </w:r>
            <w:r>
              <w:rPr>
                <w:sz w:val="18"/>
              </w:rPr>
              <w:t>in which it occurs.</w:t>
            </w:r>
          </w:p>
          <w:p w:rsidR="007F6DF9" w:rsidRDefault="00A43FBC">
            <w:pPr>
              <w:pStyle w:val="TableParagraph"/>
              <w:tabs>
                <w:tab w:val="left" w:pos="1747"/>
              </w:tabs>
              <w:spacing w:before="231"/>
              <w:ind w:left="38"/>
              <w:rPr>
                <w:sz w:val="18"/>
              </w:rPr>
            </w:pPr>
            <w:proofErr w:type="spellStart"/>
            <w:r>
              <w:rPr>
                <w:spacing w:val="-4"/>
                <w:sz w:val="18"/>
              </w:rPr>
              <w:t>m.s.</w:t>
            </w:r>
            <w:proofErr w:type="spellEnd"/>
            <w:r>
              <w:rPr>
                <w:sz w:val="18"/>
              </w:rPr>
              <w:tab/>
            </w:r>
            <w:r>
              <w:rPr>
                <w:spacing w:val="-4"/>
                <w:sz w:val="18"/>
              </w:rPr>
              <w:t>Shall</w:t>
            </w:r>
            <w:r>
              <w:rPr>
                <w:spacing w:val="-8"/>
                <w:sz w:val="18"/>
              </w:rPr>
              <w:t xml:space="preserve"> </w:t>
            </w:r>
            <w:r>
              <w:rPr>
                <w:spacing w:val="-4"/>
                <w:sz w:val="18"/>
              </w:rPr>
              <w:t>mean</w:t>
            </w:r>
            <w:r>
              <w:rPr>
                <w:spacing w:val="-7"/>
                <w:sz w:val="18"/>
              </w:rPr>
              <w:t xml:space="preserve"> </w:t>
            </w:r>
            <w:r>
              <w:rPr>
                <w:spacing w:val="-4"/>
                <w:sz w:val="18"/>
              </w:rPr>
              <w:t>measured</w:t>
            </w:r>
            <w:r>
              <w:rPr>
                <w:spacing w:val="-8"/>
                <w:sz w:val="18"/>
              </w:rPr>
              <w:t xml:space="preserve"> </w:t>
            </w:r>
            <w:r>
              <w:rPr>
                <w:spacing w:val="-4"/>
                <w:sz w:val="18"/>
              </w:rPr>
              <w:t>separately.</w:t>
            </w:r>
          </w:p>
          <w:p w:rsidR="007F6DF9" w:rsidRDefault="007F6DF9">
            <w:pPr>
              <w:pStyle w:val="TableParagraph"/>
              <w:spacing w:before="4"/>
              <w:rPr>
                <w:rFonts w:ascii="Segoe UI"/>
                <w:sz w:val="18"/>
              </w:rPr>
            </w:pPr>
          </w:p>
          <w:p w:rsidR="007F6DF9" w:rsidRDefault="00A43FBC">
            <w:pPr>
              <w:pStyle w:val="TableParagraph"/>
              <w:tabs>
                <w:tab w:val="left" w:pos="1771"/>
              </w:tabs>
              <w:ind w:left="38"/>
              <w:rPr>
                <w:sz w:val="18"/>
              </w:rPr>
            </w:pPr>
            <w:proofErr w:type="spellStart"/>
            <w:r>
              <w:rPr>
                <w:spacing w:val="-2"/>
                <w:sz w:val="18"/>
              </w:rPr>
              <w:t>a.b.d</w:t>
            </w:r>
            <w:proofErr w:type="spellEnd"/>
            <w:r>
              <w:rPr>
                <w:sz w:val="18"/>
              </w:rPr>
              <w:tab/>
            </w:r>
            <w:r>
              <w:rPr>
                <w:spacing w:val="-4"/>
                <w:sz w:val="18"/>
              </w:rPr>
              <w:t>Shall</w:t>
            </w:r>
            <w:r>
              <w:rPr>
                <w:spacing w:val="-7"/>
                <w:sz w:val="18"/>
              </w:rPr>
              <w:t xml:space="preserve"> </w:t>
            </w:r>
            <w:r>
              <w:rPr>
                <w:spacing w:val="-4"/>
                <w:sz w:val="18"/>
              </w:rPr>
              <w:t>mean</w:t>
            </w:r>
            <w:r>
              <w:rPr>
                <w:spacing w:val="-5"/>
                <w:sz w:val="18"/>
              </w:rPr>
              <w:t xml:space="preserve"> </w:t>
            </w:r>
            <w:r>
              <w:rPr>
                <w:spacing w:val="-4"/>
                <w:sz w:val="18"/>
              </w:rPr>
              <w:t>as before</w:t>
            </w:r>
            <w:r>
              <w:rPr>
                <w:spacing w:val="-5"/>
                <w:sz w:val="18"/>
              </w:rPr>
              <w:t xml:space="preserve"> </w:t>
            </w:r>
            <w:r>
              <w:rPr>
                <w:spacing w:val="-4"/>
                <w:sz w:val="18"/>
              </w:rPr>
              <w:t>described.</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56"/>
          <w:pgSz w:w="12240" w:h="15840"/>
          <w:pgMar w:top="1060" w:right="1133" w:bottom="700" w:left="850" w:header="0" w:footer="506" w:gutter="0"/>
          <w:pgNumType w:start="11"/>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1023"/>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jc w:val="both"/>
              <w:rPr>
                <w:sz w:val="18"/>
              </w:rPr>
            </w:pPr>
            <w:r>
              <w:rPr>
                <w:sz w:val="18"/>
              </w:rPr>
              <w:t>SUFFICIENCY</w:t>
            </w:r>
            <w:r>
              <w:rPr>
                <w:spacing w:val="20"/>
                <w:sz w:val="18"/>
              </w:rPr>
              <w:t xml:space="preserve"> </w:t>
            </w:r>
            <w:r>
              <w:rPr>
                <w:sz w:val="18"/>
              </w:rPr>
              <w:t>OF</w:t>
            </w:r>
            <w:r>
              <w:rPr>
                <w:spacing w:val="19"/>
                <w:sz w:val="18"/>
              </w:rPr>
              <w:t xml:space="preserve"> </w:t>
            </w:r>
            <w:r>
              <w:rPr>
                <w:spacing w:val="-2"/>
                <w:sz w:val="18"/>
              </w:rPr>
              <w:t>TENDER</w:t>
            </w:r>
          </w:p>
          <w:p w:rsidR="007F6DF9" w:rsidRDefault="00A43FBC">
            <w:pPr>
              <w:pStyle w:val="TableParagraph"/>
              <w:spacing w:before="191" w:line="230" w:lineRule="atLeast"/>
              <w:ind w:left="36" w:right="12"/>
              <w:jc w:val="both"/>
              <w:rPr>
                <w:sz w:val="18"/>
              </w:rPr>
            </w:pPr>
            <w:r>
              <w:rPr>
                <w:sz w:val="18"/>
              </w:rPr>
              <w:t>The contractor shall be deemed to have satisfied himself before tendering as to the correctness and</w:t>
            </w:r>
            <w:r>
              <w:rPr>
                <w:spacing w:val="-3"/>
                <w:sz w:val="18"/>
              </w:rPr>
              <w:t xml:space="preserve"> </w:t>
            </w:r>
            <w:r>
              <w:rPr>
                <w:sz w:val="18"/>
              </w:rPr>
              <w:t>sufficiency</w:t>
            </w:r>
            <w:r>
              <w:rPr>
                <w:spacing w:val="-2"/>
                <w:sz w:val="18"/>
              </w:rPr>
              <w:t xml:space="preserve"> </w:t>
            </w:r>
            <w:r>
              <w:rPr>
                <w:sz w:val="18"/>
              </w:rPr>
              <w:t>of</w:t>
            </w:r>
            <w:r>
              <w:rPr>
                <w:spacing w:val="-3"/>
                <w:sz w:val="18"/>
              </w:rPr>
              <w:t xml:space="preserve"> </w:t>
            </w:r>
            <w:r>
              <w:rPr>
                <w:sz w:val="18"/>
              </w:rPr>
              <w:t>his</w:t>
            </w:r>
            <w:r>
              <w:rPr>
                <w:spacing w:val="-1"/>
                <w:sz w:val="18"/>
              </w:rPr>
              <w:t xml:space="preserve"> </w:t>
            </w:r>
            <w:r>
              <w:rPr>
                <w:sz w:val="18"/>
              </w:rPr>
              <w:t>tender</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works</w:t>
            </w:r>
            <w:r>
              <w:rPr>
                <w:spacing w:val="-1"/>
                <w:sz w:val="18"/>
              </w:rPr>
              <w:t xml:space="preserve"> </w:t>
            </w:r>
            <w:r>
              <w:rPr>
                <w:sz w:val="18"/>
              </w:rPr>
              <w:t>and</w:t>
            </w:r>
            <w:r>
              <w:rPr>
                <w:spacing w:val="-6"/>
                <w:sz w:val="18"/>
              </w:rPr>
              <w:t xml:space="preserve"> </w:t>
            </w:r>
            <w:r>
              <w:rPr>
                <w:sz w:val="18"/>
              </w:rPr>
              <w:t>of</w:t>
            </w:r>
            <w:r>
              <w:rPr>
                <w:spacing w:val="-3"/>
                <w:sz w:val="18"/>
              </w:rPr>
              <w:t xml:space="preserve"> </w:t>
            </w:r>
            <w:r>
              <w:rPr>
                <w:sz w:val="18"/>
              </w:rPr>
              <w:t>the</w:t>
            </w:r>
            <w:r>
              <w:rPr>
                <w:spacing w:val="-5"/>
                <w:sz w:val="18"/>
              </w:rPr>
              <w:t xml:space="preserve"> </w:t>
            </w:r>
            <w:r>
              <w:rPr>
                <w:sz w:val="18"/>
              </w:rPr>
              <w:t>rates</w:t>
            </w:r>
            <w:r>
              <w:rPr>
                <w:spacing w:val="-1"/>
                <w:sz w:val="18"/>
              </w:rPr>
              <w:t xml:space="preserve"> </w:t>
            </w:r>
            <w:r>
              <w:rPr>
                <w:sz w:val="18"/>
              </w:rPr>
              <w:t>and</w:t>
            </w:r>
            <w:r>
              <w:rPr>
                <w:spacing w:val="-6"/>
                <w:sz w:val="18"/>
              </w:rPr>
              <w:t xml:space="preserve"> </w:t>
            </w:r>
            <w:r>
              <w:rPr>
                <w:sz w:val="18"/>
              </w:rPr>
              <w:t>prices</w:t>
            </w:r>
            <w:r>
              <w:rPr>
                <w:spacing w:val="-1"/>
                <w:sz w:val="18"/>
              </w:rPr>
              <w:t xml:space="preserve"> </w:t>
            </w:r>
            <w:r>
              <w:rPr>
                <w:sz w:val="18"/>
              </w:rPr>
              <w:t>stated</w:t>
            </w:r>
            <w:r>
              <w:rPr>
                <w:spacing w:val="-5"/>
                <w:sz w:val="18"/>
              </w:rPr>
              <w:t xml:space="preserve"> </w:t>
            </w:r>
            <w:r>
              <w:rPr>
                <w:sz w:val="18"/>
              </w:rPr>
              <w:t>in</w:t>
            </w:r>
            <w:r>
              <w:rPr>
                <w:spacing w:val="-3"/>
                <w:sz w:val="18"/>
              </w:rPr>
              <w:t xml:space="preserve"> </w:t>
            </w:r>
            <w:r>
              <w:rPr>
                <w:sz w:val="18"/>
              </w:rPr>
              <w:t>the</w:t>
            </w:r>
            <w:r>
              <w:rPr>
                <w:spacing w:val="-5"/>
                <w:sz w:val="18"/>
              </w:rPr>
              <w:t xml:space="preserve"> </w:t>
            </w:r>
            <w:r>
              <w:rPr>
                <w:sz w:val="18"/>
              </w:rPr>
              <w:t>priced</w:t>
            </w:r>
            <w:r>
              <w:rPr>
                <w:spacing w:val="-3"/>
                <w:sz w:val="18"/>
              </w:rPr>
              <w:t xml:space="preserve"> </w:t>
            </w:r>
            <w:r>
              <w:rPr>
                <w:sz w:val="18"/>
              </w:rPr>
              <w:t>Bills</w:t>
            </w:r>
            <w:r>
              <w:rPr>
                <w:spacing w:val="-4"/>
                <w:sz w:val="18"/>
              </w:rPr>
              <w:t xml:space="preserve"> </w:t>
            </w:r>
            <w:r>
              <w:rPr>
                <w:sz w:val="18"/>
              </w:rPr>
              <w:t>of Quantities.</w:t>
            </w:r>
            <w:r>
              <w:rPr>
                <w:spacing w:val="26"/>
                <w:sz w:val="18"/>
              </w:rPr>
              <w:t xml:space="preserve"> </w:t>
            </w:r>
            <w:r>
              <w:rPr>
                <w:sz w:val="18"/>
              </w:rPr>
              <w:t>Rates</w:t>
            </w:r>
            <w:r>
              <w:rPr>
                <w:spacing w:val="27"/>
                <w:sz w:val="18"/>
              </w:rPr>
              <w:t xml:space="preserve"> </w:t>
            </w:r>
            <w:r>
              <w:rPr>
                <w:sz w:val="18"/>
              </w:rPr>
              <w:t>and</w:t>
            </w:r>
            <w:r>
              <w:rPr>
                <w:spacing w:val="25"/>
                <w:sz w:val="18"/>
              </w:rPr>
              <w:t xml:space="preserve"> </w:t>
            </w:r>
            <w:r>
              <w:rPr>
                <w:sz w:val="18"/>
              </w:rPr>
              <w:t>prices</w:t>
            </w:r>
            <w:r>
              <w:rPr>
                <w:spacing w:val="28"/>
                <w:sz w:val="18"/>
              </w:rPr>
              <w:t xml:space="preserve"> </w:t>
            </w:r>
            <w:r>
              <w:rPr>
                <w:sz w:val="18"/>
              </w:rPr>
              <w:t>quoted</w:t>
            </w:r>
            <w:r>
              <w:rPr>
                <w:spacing w:val="27"/>
                <w:sz w:val="18"/>
              </w:rPr>
              <w:t xml:space="preserve"> </w:t>
            </w:r>
            <w:r>
              <w:rPr>
                <w:sz w:val="18"/>
              </w:rPr>
              <w:t>shall</w:t>
            </w:r>
            <w:r>
              <w:rPr>
                <w:spacing w:val="27"/>
                <w:sz w:val="18"/>
              </w:rPr>
              <w:t xml:space="preserve"> </w:t>
            </w:r>
            <w:r>
              <w:rPr>
                <w:sz w:val="18"/>
              </w:rPr>
              <w:t>cover</w:t>
            </w:r>
            <w:r>
              <w:rPr>
                <w:spacing w:val="27"/>
                <w:sz w:val="18"/>
              </w:rPr>
              <w:t xml:space="preserve"> </w:t>
            </w:r>
            <w:r>
              <w:rPr>
                <w:sz w:val="18"/>
              </w:rPr>
              <w:t>all</w:t>
            </w:r>
            <w:r>
              <w:rPr>
                <w:spacing w:val="25"/>
                <w:sz w:val="18"/>
              </w:rPr>
              <w:t xml:space="preserve"> </w:t>
            </w:r>
            <w:r>
              <w:rPr>
                <w:sz w:val="18"/>
              </w:rPr>
              <w:t>his</w:t>
            </w:r>
            <w:r>
              <w:rPr>
                <w:spacing w:val="27"/>
                <w:sz w:val="18"/>
              </w:rPr>
              <w:t xml:space="preserve"> </w:t>
            </w:r>
            <w:r>
              <w:rPr>
                <w:sz w:val="18"/>
              </w:rPr>
              <w:t>obligations</w:t>
            </w:r>
            <w:r>
              <w:rPr>
                <w:spacing w:val="25"/>
                <w:sz w:val="18"/>
              </w:rPr>
              <w:t xml:space="preserve"> </w:t>
            </w:r>
            <w:r>
              <w:rPr>
                <w:sz w:val="18"/>
              </w:rPr>
              <w:t>under</w:t>
            </w:r>
            <w:r>
              <w:rPr>
                <w:spacing w:val="28"/>
                <w:sz w:val="18"/>
              </w:rPr>
              <w:t xml:space="preserve"> </w:t>
            </w:r>
            <w:r>
              <w:rPr>
                <w:sz w:val="18"/>
              </w:rPr>
              <w:t>the</w:t>
            </w:r>
            <w:r>
              <w:rPr>
                <w:spacing w:val="24"/>
                <w:sz w:val="18"/>
              </w:rPr>
              <w:t xml:space="preserve"> </w:t>
            </w:r>
            <w:r>
              <w:rPr>
                <w:sz w:val="18"/>
              </w:rPr>
              <w:t>contract</w:t>
            </w:r>
            <w:r>
              <w:rPr>
                <w:spacing w:val="28"/>
                <w:sz w:val="18"/>
              </w:rPr>
              <w:t xml:space="preserve"> </w:t>
            </w:r>
            <w:r>
              <w:rPr>
                <w:sz w:val="18"/>
              </w:rPr>
              <w:t>and</w:t>
            </w:r>
            <w:r>
              <w:rPr>
                <w:spacing w:val="23"/>
                <w:sz w:val="18"/>
              </w:rPr>
              <w:t xml:space="preserve"> </w:t>
            </w:r>
            <w:r>
              <w:rPr>
                <w:spacing w:val="-5"/>
                <w:sz w:val="18"/>
              </w:rPr>
              <w:t>all</w:t>
            </w:r>
          </w:p>
        </w:tc>
        <w:tc>
          <w:tcPr>
            <w:tcW w:w="1593" w:type="dxa"/>
            <w:vMerge w:val="restart"/>
          </w:tcPr>
          <w:p w:rsidR="007F6DF9" w:rsidRDefault="007F6DF9">
            <w:pPr>
              <w:pStyle w:val="TableParagraph"/>
              <w:rPr>
                <w:rFonts w:ascii="Times New Roman"/>
                <w:sz w:val="18"/>
              </w:rPr>
            </w:pPr>
          </w:p>
        </w:tc>
      </w:tr>
      <w:tr w:rsidR="007F6DF9">
        <w:trPr>
          <w:trHeight w:val="2500"/>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2"/>
              <w:rPr>
                <w:rFonts w:ascii="Segoe UI"/>
                <w:sz w:val="18"/>
              </w:rPr>
            </w:pPr>
          </w:p>
          <w:p w:rsidR="007F6DF9" w:rsidRDefault="00A43FBC">
            <w:pPr>
              <w:pStyle w:val="TableParagraph"/>
              <w:ind w:right="23"/>
              <w:jc w:val="right"/>
              <w:rPr>
                <w:sz w:val="18"/>
              </w:rPr>
            </w:pPr>
            <w:r>
              <w:rPr>
                <w:spacing w:val="-10"/>
                <w:sz w:val="18"/>
              </w:rPr>
              <w:t>B</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66"/>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before="39"/>
              <w:ind w:left="36"/>
              <w:rPr>
                <w:sz w:val="18"/>
              </w:rPr>
            </w:pPr>
            <w:r>
              <w:rPr>
                <w:spacing w:val="-2"/>
                <w:sz w:val="18"/>
              </w:rPr>
              <w:t>matters</w:t>
            </w:r>
            <w:r>
              <w:rPr>
                <w:spacing w:val="-6"/>
                <w:sz w:val="18"/>
              </w:rPr>
              <w:t xml:space="preserve"> </w:t>
            </w:r>
            <w:r>
              <w:rPr>
                <w:spacing w:val="-2"/>
                <w:sz w:val="18"/>
              </w:rPr>
              <w:t>and</w:t>
            </w:r>
            <w:r>
              <w:rPr>
                <w:spacing w:val="-6"/>
                <w:sz w:val="18"/>
              </w:rPr>
              <w:t xml:space="preserve"> </w:t>
            </w:r>
            <w:r>
              <w:rPr>
                <w:spacing w:val="-2"/>
                <w:sz w:val="18"/>
              </w:rPr>
              <w:t>things</w:t>
            </w:r>
            <w:r>
              <w:rPr>
                <w:spacing w:val="-5"/>
                <w:sz w:val="18"/>
              </w:rPr>
              <w:t xml:space="preserve"> </w:t>
            </w:r>
            <w:r>
              <w:rPr>
                <w:spacing w:val="-2"/>
                <w:sz w:val="18"/>
              </w:rPr>
              <w:t>necessary</w:t>
            </w:r>
            <w:r>
              <w:rPr>
                <w:spacing w:val="-6"/>
                <w:sz w:val="18"/>
              </w:rPr>
              <w:t xml:space="preserve"> </w:t>
            </w:r>
            <w:r>
              <w:rPr>
                <w:spacing w:val="-2"/>
                <w:sz w:val="18"/>
              </w:rPr>
              <w:t>for</w:t>
            </w:r>
            <w:r>
              <w:rPr>
                <w:spacing w:val="-5"/>
                <w:sz w:val="18"/>
              </w:rPr>
              <w:t xml:space="preserve"> </w:t>
            </w:r>
            <w:r>
              <w:rPr>
                <w:spacing w:val="-2"/>
                <w:sz w:val="18"/>
              </w:rPr>
              <w:t>the</w:t>
            </w:r>
            <w:r>
              <w:rPr>
                <w:spacing w:val="-6"/>
                <w:sz w:val="18"/>
              </w:rPr>
              <w:t xml:space="preserve"> </w:t>
            </w:r>
            <w:r>
              <w:rPr>
                <w:spacing w:val="-2"/>
                <w:sz w:val="18"/>
              </w:rPr>
              <w:t>proper</w:t>
            </w:r>
            <w:r>
              <w:rPr>
                <w:spacing w:val="-5"/>
                <w:sz w:val="18"/>
              </w:rPr>
              <w:t xml:space="preserve"> </w:t>
            </w:r>
            <w:r>
              <w:rPr>
                <w:spacing w:val="-2"/>
                <w:sz w:val="18"/>
              </w:rPr>
              <w:t>completion</w:t>
            </w:r>
            <w:r>
              <w:rPr>
                <w:spacing w:val="-6"/>
                <w:sz w:val="18"/>
              </w:rPr>
              <w:t xml:space="preserve"> </w:t>
            </w:r>
            <w:r>
              <w:rPr>
                <w:spacing w:val="-2"/>
                <w:sz w:val="18"/>
              </w:rPr>
              <w:t>and</w:t>
            </w:r>
            <w:r>
              <w:rPr>
                <w:spacing w:val="-6"/>
                <w:sz w:val="18"/>
              </w:rPr>
              <w:t xml:space="preserve"> </w:t>
            </w:r>
            <w:r>
              <w:rPr>
                <w:spacing w:val="-2"/>
                <w:sz w:val="18"/>
              </w:rPr>
              <w:t>maintenance</w:t>
            </w:r>
            <w:r>
              <w:rPr>
                <w:spacing w:val="-5"/>
                <w:sz w:val="18"/>
              </w:rPr>
              <w:t xml:space="preserve"> </w:t>
            </w:r>
            <w:r>
              <w:rPr>
                <w:spacing w:val="-2"/>
                <w:sz w:val="18"/>
              </w:rPr>
              <w:t>of</w:t>
            </w:r>
            <w:r>
              <w:rPr>
                <w:spacing w:val="-6"/>
                <w:sz w:val="18"/>
              </w:rPr>
              <w:t xml:space="preserve"> </w:t>
            </w:r>
            <w:r>
              <w:rPr>
                <w:spacing w:val="-2"/>
                <w:sz w:val="18"/>
              </w:rPr>
              <w:t>the</w:t>
            </w:r>
            <w:r>
              <w:rPr>
                <w:spacing w:val="-6"/>
                <w:sz w:val="18"/>
              </w:rPr>
              <w:t xml:space="preserve"> </w:t>
            </w:r>
            <w:r>
              <w:rPr>
                <w:spacing w:val="-2"/>
                <w:sz w:val="18"/>
              </w:rPr>
              <w:t>works</w:t>
            </w:r>
          </w:p>
          <w:p w:rsidR="007F6DF9" w:rsidRDefault="007F6DF9">
            <w:pPr>
              <w:pStyle w:val="TableParagraph"/>
              <w:spacing w:before="234"/>
              <w:rPr>
                <w:rFonts w:ascii="Segoe UI"/>
                <w:sz w:val="18"/>
              </w:rPr>
            </w:pPr>
          </w:p>
          <w:p w:rsidR="007F6DF9" w:rsidRDefault="00A43FBC">
            <w:pPr>
              <w:pStyle w:val="TableParagraph"/>
              <w:ind w:left="38"/>
              <w:rPr>
                <w:sz w:val="18"/>
              </w:rPr>
            </w:pPr>
            <w:r>
              <w:rPr>
                <w:spacing w:val="-2"/>
                <w:sz w:val="18"/>
              </w:rPr>
              <w:t>RECORDS</w:t>
            </w:r>
          </w:p>
          <w:p w:rsidR="007F6DF9" w:rsidRDefault="007F6DF9">
            <w:pPr>
              <w:pStyle w:val="TableParagraph"/>
              <w:spacing w:before="4"/>
              <w:rPr>
                <w:rFonts w:ascii="Segoe UI"/>
                <w:sz w:val="18"/>
              </w:rPr>
            </w:pPr>
          </w:p>
          <w:p w:rsidR="007F6DF9" w:rsidRDefault="00A43FBC">
            <w:pPr>
              <w:pStyle w:val="TableParagraph"/>
              <w:ind w:left="93"/>
              <w:rPr>
                <w:sz w:val="18"/>
              </w:rPr>
            </w:pPr>
            <w:r>
              <w:rPr>
                <w:w w:val="105"/>
                <w:sz w:val="18"/>
              </w:rPr>
              <w:t>C.</w:t>
            </w:r>
            <w:r>
              <w:rPr>
                <w:spacing w:val="21"/>
                <w:w w:val="105"/>
                <w:sz w:val="18"/>
              </w:rPr>
              <w:t xml:space="preserve"> </w:t>
            </w:r>
            <w:r>
              <w:rPr>
                <w:w w:val="105"/>
                <w:sz w:val="18"/>
              </w:rPr>
              <w:t>MECHANICAL</w:t>
            </w:r>
            <w:r>
              <w:rPr>
                <w:spacing w:val="23"/>
                <w:w w:val="105"/>
                <w:sz w:val="18"/>
              </w:rPr>
              <w:t xml:space="preserve"> </w:t>
            </w:r>
            <w:r>
              <w:rPr>
                <w:spacing w:val="-2"/>
                <w:w w:val="105"/>
                <w:sz w:val="18"/>
              </w:rPr>
              <w:t>WORKS.</w:t>
            </w:r>
          </w:p>
          <w:p w:rsidR="007F6DF9" w:rsidRDefault="00A43FBC">
            <w:pPr>
              <w:pStyle w:val="TableParagraph"/>
              <w:numPr>
                <w:ilvl w:val="0"/>
                <w:numId w:val="4"/>
              </w:numPr>
              <w:tabs>
                <w:tab w:val="left" w:pos="196"/>
              </w:tabs>
              <w:spacing w:before="14"/>
              <w:ind w:left="196" w:hanging="158"/>
              <w:rPr>
                <w:sz w:val="18"/>
              </w:rPr>
            </w:pPr>
            <w:r>
              <w:rPr>
                <w:sz w:val="18"/>
              </w:rPr>
              <w:t>As</w:t>
            </w:r>
            <w:r>
              <w:rPr>
                <w:spacing w:val="1"/>
                <w:sz w:val="18"/>
              </w:rPr>
              <w:t xml:space="preserve"> </w:t>
            </w:r>
            <w:r>
              <w:rPr>
                <w:sz w:val="18"/>
              </w:rPr>
              <w:t xml:space="preserve">per BQ </w:t>
            </w:r>
            <w:r>
              <w:rPr>
                <w:spacing w:val="-2"/>
                <w:sz w:val="18"/>
              </w:rPr>
              <w:t>specifications</w:t>
            </w:r>
          </w:p>
          <w:p w:rsidR="007F6DF9" w:rsidRDefault="00A43FBC">
            <w:pPr>
              <w:pStyle w:val="TableParagraph"/>
              <w:spacing w:before="111"/>
              <w:ind w:left="38"/>
              <w:rPr>
                <w:sz w:val="18"/>
              </w:rPr>
            </w:pPr>
            <w:r>
              <w:rPr>
                <w:sz w:val="18"/>
              </w:rPr>
              <w:t>D.</w:t>
            </w:r>
            <w:r>
              <w:rPr>
                <w:spacing w:val="6"/>
                <w:sz w:val="18"/>
              </w:rPr>
              <w:t xml:space="preserve"> </w:t>
            </w:r>
            <w:r>
              <w:rPr>
                <w:sz w:val="18"/>
              </w:rPr>
              <w:t>ELECTRICAL</w:t>
            </w:r>
            <w:r>
              <w:rPr>
                <w:spacing w:val="7"/>
                <w:sz w:val="18"/>
              </w:rPr>
              <w:t xml:space="preserve"> </w:t>
            </w:r>
            <w:r>
              <w:rPr>
                <w:spacing w:val="-2"/>
                <w:sz w:val="18"/>
              </w:rPr>
              <w:t>WORKS.</w:t>
            </w:r>
          </w:p>
          <w:p w:rsidR="007F6DF9" w:rsidRDefault="00A43FBC">
            <w:pPr>
              <w:pStyle w:val="TableParagraph"/>
              <w:numPr>
                <w:ilvl w:val="0"/>
                <w:numId w:val="3"/>
              </w:numPr>
              <w:tabs>
                <w:tab w:val="left" w:pos="196"/>
              </w:tabs>
              <w:spacing w:before="13" w:line="254" w:lineRule="auto"/>
              <w:ind w:right="5151" w:firstLine="0"/>
              <w:rPr>
                <w:sz w:val="18"/>
              </w:rPr>
            </w:pPr>
            <w:r>
              <w:rPr>
                <w:w w:val="105"/>
                <w:sz w:val="18"/>
              </w:rPr>
              <w:t>As per BQ specifications PLANT,</w:t>
            </w:r>
            <w:r>
              <w:rPr>
                <w:spacing w:val="-14"/>
                <w:w w:val="105"/>
                <w:sz w:val="18"/>
              </w:rPr>
              <w:t xml:space="preserve"> </w:t>
            </w:r>
            <w:r>
              <w:rPr>
                <w:w w:val="105"/>
                <w:sz w:val="18"/>
              </w:rPr>
              <w:t>TOOLS</w:t>
            </w:r>
            <w:r>
              <w:rPr>
                <w:spacing w:val="-14"/>
                <w:w w:val="105"/>
                <w:sz w:val="18"/>
              </w:rPr>
              <w:t xml:space="preserve"> </w:t>
            </w:r>
            <w:r>
              <w:rPr>
                <w:w w:val="105"/>
                <w:sz w:val="18"/>
              </w:rPr>
              <w:t>AND</w:t>
            </w:r>
            <w:r>
              <w:rPr>
                <w:spacing w:val="-13"/>
                <w:w w:val="105"/>
                <w:sz w:val="18"/>
              </w:rPr>
              <w:t xml:space="preserve"> </w:t>
            </w:r>
            <w:r>
              <w:rPr>
                <w:w w:val="105"/>
                <w:sz w:val="18"/>
              </w:rPr>
              <w:t>VEHICLES</w:t>
            </w:r>
          </w:p>
        </w:tc>
        <w:tc>
          <w:tcPr>
            <w:tcW w:w="1593" w:type="dxa"/>
            <w:vMerge/>
            <w:tcBorders>
              <w:top w:val="nil"/>
            </w:tcBorders>
          </w:tcPr>
          <w:p w:rsidR="007F6DF9" w:rsidRDefault="007F6DF9">
            <w:pPr>
              <w:rPr>
                <w:sz w:val="2"/>
                <w:szCs w:val="2"/>
              </w:rPr>
            </w:pPr>
          </w:p>
        </w:tc>
      </w:tr>
      <w:tr w:rsidR="007F6DF9">
        <w:trPr>
          <w:trHeight w:val="4065"/>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03"/>
              <w:rPr>
                <w:rFonts w:ascii="Segoe UI"/>
                <w:sz w:val="18"/>
              </w:rPr>
            </w:pPr>
          </w:p>
          <w:p w:rsidR="007F6DF9" w:rsidRDefault="00A43FBC">
            <w:pPr>
              <w:pStyle w:val="TableParagraph"/>
              <w:ind w:right="24"/>
              <w:jc w:val="right"/>
              <w:rPr>
                <w:sz w:val="18"/>
              </w:rPr>
            </w:pPr>
            <w:r>
              <w:rPr>
                <w:spacing w:val="-10"/>
                <w:w w:val="105"/>
                <w:sz w:val="18"/>
              </w:rPr>
              <w:t>D</w:t>
            </w:r>
          </w:p>
        </w:tc>
        <w:tc>
          <w:tcPr>
            <w:tcW w:w="7767" w:type="dxa"/>
            <w:tcBorders>
              <w:top w:val="nil"/>
            </w:tcBorders>
          </w:tcPr>
          <w:p w:rsidR="007F6DF9" w:rsidRDefault="00A43FBC">
            <w:pPr>
              <w:pStyle w:val="TableParagraph"/>
              <w:spacing w:before="157" w:line="254" w:lineRule="auto"/>
              <w:ind w:left="36" w:right="12"/>
              <w:jc w:val="both"/>
              <w:rPr>
                <w:sz w:val="18"/>
              </w:rPr>
            </w:pPr>
            <w:r>
              <w:rPr>
                <w:sz w:val="18"/>
              </w:rPr>
              <w:t>Allow for providing all scaffolding, plant, tools and vehicles required for the works except in so far</w:t>
            </w:r>
            <w:r>
              <w:rPr>
                <w:spacing w:val="-5"/>
                <w:sz w:val="18"/>
              </w:rPr>
              <w:t xml:space="preserve"> </w:t>
            </w:r>
            <w:r>
              <w:rPr>
                <w:sz w:val="18"/>
              </w:rPr>
              <w:t>as</w:t>
            </w:r>
            <w:r>
              <w:rPr>
                <w:spacing w:val="-5"/>
                <w:sz w:val="18"/>
              </w:rPr>
              <w:t xml:space="preserve"> </w:t>
            </w:r>
            <w:r>
              <w:rPr>
                <w:sz w:val="18"/>
              </w:rPr>
              <w:t>may</w:t>
            </w:r>
            <w:r>
              <w:rPr>
                <w:spacing w:val="-7"/>
                <w:sz w:val="18"/>
              </w:rPr>
              <w:t xml:space="preserve"> </w:t>
            </w:r>
            <w:r>
              <w:rPr>
                <w:sz w:val="18"/>
              </w:rPr>
              <w:t>be</w:t>
            </w:r>
            <w:r>
              <w:rPr>
                <w:spacing w:val="-5"/>
                <w:sz w:val="18"/>
              </w:rPr>
              <w:t xml:space="preserve"> </w:t>
            </w:r>
            <w:r>
              <w:rPr>
                <w:sz w:val="18"/>
              </w:rPr>
              <w:t>stated</w:t>
            </w:r>
            <w:r>
              <w:rPr>
                <w:spacing w:val="-6"/>
                <w:sz w:val="18"/>
              </w:rPr>
              <w:t xml:space="preserve"> </w:t>
            </w:r>
            <w:r>
              <w:rPr>
                <w:sz w:val="18"/>
              </w:rPr>
              <w:t>otherwise</w:t>
            </w:r>
            <w:r>
              <w:rPr>
                <w:spacing w:val="-5"/>
                <w:sz w:val="18"/>
              </w:rPr>
              <w:t xml:space="preserve"> </w:t>
            </w:r>
            <w:r>
              <w:rPr>
                <w:sz w:val="18"/>
              </w:rPr>
              <w:t>herein</w:t>
            </w:r>
            <w:r>
              <w:rPr>
                <w:spacing w:val="-5"/>
                <w:sz w:val="18"/>
              </w:rPr>
              <w:t xml:space="preserve"> </w:t>
            </w:r>
            <w:r>
              <w:rPr>
                <w:sz w:val="18"/>
              </w:rPr>
              <w:t>and</w:t>
            </w:r>
            <w:r>
              <w:rPr>
                <w:spacing w:val="-7"/>
                <w:sz w:val="18"/>
              </w:rPr>
              <w:t xml:space="preserve"> </w:t>
            </w:r>
            <w:r>
              <w:rPr>
                <w:sz w:val="18"/>
              </w:rPr>
              <w:t>except</w:t>
            </w:r>
            <w:r>
              <w:rPr>
                <w:spacing w:val="-5"/>
                <w:sz w:val="18"/>
              </w:rPr>
              <w:t xml:space="preserve"> </w:t>
            </w:r>
            <w:r>
              <w:rPr>
                <w:sz w:val="18"/>
              </w:rPr>
              <w:t>for</w:t>
            </w:r>
            <w:r>
              <w:rPr>
                <w:spacing w:val="-6"/>
                <w:sz w:val="18"/>
              </w:rPr>
              <w:t xml:space="preserve"> </w:t>
            </w:r>
            <w:r>
              <w:rPr>
                <w:sz w:val="18"/>
              </w:rPr>
              <w:t>such</w:t>
            </w:r>
            <w:r>
              <w:rPr>
                <w:spacing w:val="-6"/>
                <w:sz w:val="18"/>
              </w:rPr>
              <w:t xml:space="preserve"> </w:t>
            </w:r>
            <w:r>
              <w:rPr>
                <w:sz w:val="18"/>
              </w:rPr>
              <w:t>items</w:t>
            </w:r>
            <w:r>
              <w:rPr>
                <w:spacing w:val="-5"/>
                <w:sz w:val="18"/>
              </w:rPr>
              <w:t xml:space="preserve"> </w:t>
            </w:r>
            <w:r>
              <w:rPr>
                <w:sz w:val="18"/>
              </w:rPr>
              <w:t>specifically</w:t>
            </w:r>
            <w:r>
              <w:rPr>
                <w:spacing w:val="-6"/>
                <w:sz w:val="18"/>
              </w:rPr>
              <w:t xml:space="preserve"> </w:t>
            </w:r>
            <w:r>
              <w:rPr>
                <w:sz w:val="18"/>
              </w:rPr>
              <w:t>and</w:t>
            </w:r>
            <w:r>
              <w:rPr>
                <w:spacing w:val="-7"/>
                <w:sz w:val="18"/>
              </w:rPr>
              <w:t xml:space="preserve"> </w:t>
            </w:r>
            <w:r>
              <w:rPr>
                <w:sz w:val="18"/>
              </w:rPr>
              <w:t>only</w:t>
            </w:r>
            <w:r>
              <w:rPr>
                <w:spacing w:val="-5"/>
                <w:sz w:val="18"/>
              </w:rPr>
              <w:t xml:space="preserve"> </w:t>
            </w:r>
            <w:r>
              <w:rPr>
                <w:sz w:val="18"/>
              </w:rPr>
              <w:t>required</w:t>
            </w:r>
            <w:r>
              <w:rPr>
                <w:spacing w:val="-6"/>
                <w:sz w:val="18"/>
              </w:rPr>
              <w:t xml:space="preserve"> </w:t>
            </w:r>
            <w:r>
              <w:rPr>
                <w:sz w:val="18"/>
              </w:rPr>
              <w:t>for the use of nominated Sub-Contractors as described herein. No timber used for scaffolding, formwork or temporary works of any kind shall be used afterwards in the permanent work.</w:t>
            </w:r>
          </w:p>
          <w:p w:rsidR="007F6DF9" w:rsidRDefault="007F6DF9">
            <w:pPr>
              <w:pStyle w:val="TableParagraph"/>
              <w:spacing w:before="222"/>
              <w:rPr>
                <w:rFonts w:ascii="Segoe UI"/>
                <w:sz w:val="18"/>
              </w:rPr>
            </w:pPr>
          </w:p>
          <w:p w:rsidR="007F6DF9" w:rsidRDefault="00A43FBC">
            <w:pPr>
              <w:pStyle w:val="TableParagraph"/>
              <w:ind w:left="38"/>
              <w:rPr>
                <w:sz w:val="18"/>
              </w:rPr>
            </w:pPr>
            <w:r>
              <w:rPr>
                <w:spacing w:val="-2"/>
                <w:w w:val="105"/>
                <w:sz w:val="18"/>
              </w:rPr>
              <w:t>TRANSPORT.</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Allow for transport of workmen, materials, etc., to and from the site at such hours and by such routes as may be permitted by the competent authorities.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7"/>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1369"/>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w w:val="105"/>
                <w:sz w:val="18"/>
              </w:rPr>
              <w:t>MATERIALS</w:t>
            </w:r>
            <w:r>
              <w:rPr>
                <w:spacing w:val="-1"/>
                <w:w w:val="105"/>
                <w:sz w:val="18"/>
              </w:rPr>
              <w:t xml:space="preserve"> </w:t>
            </w:r>
            <w:r>
              <w:rPr>
                <w:w w:val="105"/>
                <w:sz w:val="18"/>
              </w:rPr>
              <w:t xml:space="preserve">AND </w:t>
            </w:r>
            <w:r>
              <w:rPr>
                <w:spacing w:val="-2"/>
                <w:w w:val="105"/>
                <w:sz w:val="18"/>
              </w:rPr>
              <w:t>WORKMANSHIP.</w:t>
            </w:r>
          </w:p>
          <w:p w:rsidR="007F6DF9" w:rsidRDefault="007F6DF9">
            <w:pPr>
              <w:pStyle w:val="TableParagraph"/>
              <w:spacing w:before="4"/>
              <w:rPr>
                <w:rFonts w:ascii="Segoe UI"/>
                <w:sz w:val="18"/>
              </w:rPr>
            </w:pPr>
          </w:p>
          <w:p w:rsidR="007F6DF9" w:rsidRDefault="00A43FBC">
            <w:pPr>
              <w:pStyle w:val="TableParagraph"/>
              <w:spacing w:line="254" w:lineRule="auto"/>
              <w:ind w:left="36"/>
              <w:rPr>
                <w:sz w:val="18"/>
              </w:rPr>
            </w:pPr>
            <w:r>
              <w:rPr>
                <w:sz w:val="18"/>
              </w:rPr>
              <w:t>All work is to be carried out in accordance with the Ministry of Works General Specifications for Building Works, 1976 Edition together with any amendments thereto.</w:t>
            </w:r>
          </w:p>
          <w:p w:rsidR="007F6DF9" w:rsidRDefault="00A43FBC">
            <w:pPr>
              <w:pStyle w:val="TableParagraph"/>
              <w:ind w:left="36"/>
              <w:rPr>
                <w:sz w:val="18"/>
              </w:rPr>
            </w:pPr>
            <w:r>
              <w:rPr>
                <w:sz w:val="18"/>
              </w:rPr>
              <w:t>All</w:t>
            </w:r>
            <w:r>
              <w:rPr>
                <w:spacing w:val="-2"/>
                <w:sz w:val="18"/>
              </w:rPr>
              <w:t xml:space="preserve"> </w:t>
            </w:r>
            <w:r>
              <w:rPr>
                <w:sz w:val="18"/>
              </w:rPr>
              <w:t>materials</w:t>
            </w:r>
            <w:r>
              <w:rPr>
                <w:spacing w:val="-2"/>
                <w:sz w:val="18"/>
              </w:rPr>
              <w:t xml:space="preserve"> </w:t>
            </w:r>
            <w:r>
              <w:rPr>
                <w:sz w:val="18"/>
              </w:rPr>
              <w:t>and</w:t>
            </w:r>
            <w:r>
              <w:rPr>
                <w:spacing w:val="-2"/>
                <w:sz w:val="18"/>
              </w:rPr>
              <w:t xml:space="preserve"> </w:t>
            </w:r>
            <w:r>
              <w:rPr>
                <w:sz w:val="18"/>
              </w:rPr>
              <w:t>workmanship</w:t>
            </w:r>
            <w:r>
              <w:rPr>
                <w:spacing w:val="-1"/>
                <w:sz w:val="18"/>
              </w:rPr>
              <w:t xml:space="preserve"> </w:t>
            </w:r>
            <w:r>
              <w:rPr>
                <w:sz w:val="18"/>
              </w:rPr>
              <w:t>used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execution</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work</w:t>
            </w:r>
            <w:r>
              <w:rPr>
                <w:spacing w:val="-1"/>
                <w:sz w:val="18"/>
              </w:rPr>
              <w:t xml:space="preserve"> </w:t>
            </w:r>
            <w:r>
              <w:rPr>
                <w:sz w:val="18"/>
              </w:rPr>
              <w:t>shall</w:t>
            </w:r>
            <w:r>
              <w:rPr>
                <w:spacing w:val="-3"/>
                <w:sz w:val="18"/>
              </w:rPr>
              <w:t xml:space="preserve"> </w:t>
            </w:r>
            <w:r>
              <w:rPr>
                <w:sz w:val="18"/>
              </w:rPr>
              <w:t>be</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best</w:t>
            </w:r>
            <w:r>
              <w:rPr>
                <w:spacing w:val="-1"/>
                <w:sz w:val="18"/>
              </w:rPr>
              <w:t xml:space="preserve"> </w:t>
            </w:r>
            <w:r>
              <w:rPr>
                <w:sz w:val="18"/>
              </w:rPr>
              <w:t>quality</w:t>
            </w:r>
            <w:r>
              <w:rPr>
                <w:spacing w:val="-2"/>
                <w:sz w:val="18"/>
              </w:rPr>
              <w:t xml:space="preserve"> </w:t>
            </w:r>
            <w:r>
              <w:rPr>
                <w:spacing w:val="-5"/>
                <w:sz w:val="18"/>
              </w:rPr>
              <w:t>and</w:t>
            </w:r>
          </w:p>
          <w:p w:rsidR="007F6DF9" w:rsidRDefault="00A43FBC">
            <w:pPr>
              <w:pStyle w:val="TableParagraph"/>
              <w:spacing w:before="14" w:line="202" w:lineRule="exact"/>
              <w:ind w:left="36"/>
              <w:rPr>
                <w:sz w:val="18"/>
              </w:rPr>
            </w:pPr>
            <w:r>
              <w:rPr>
                <w:sz w:val="18"/>
              </w:rPr>
              <w:t>description unless</w:t>
            </w:r>
            <w:r>
              <w:rPr>
                <w:spacing w:val="1"/>
                <w:sz w:val="18"/>
              </w:rPr>
              <w:t xml:space="preserve"> </w:t>
            </w:r>
            <w:r>
              <w:rPr>
                <w:sz w:val="18"/>
              </w:rPr>
              <w:t>otherwise</w:t>
            </w:r>
            <w:r>
              <w:rPr>
                <w:spacing w:val="1"/>
                <w:sz w:val="18"/>
              </w:rPr>
              <w:t xml:space="preserve"> </w:t>
            </w:r>
            <w:r>
              <w:rPr>
                <w:sz w:val="18"/>
              </w:rPr>
              <w:t>stated. The</w:t>
            </w:r>
            <w:r>
              <w:rPr>
                <w:spacing w:val="1"/>
                <w:sz w:val="18"/>
              </w:rPr>
              <w:t xml:space="preserve"> </w:t>
            </w:r>
            <w:r>
              <w:rPr>
                <w:sz w:val="18"/>
              </w:rPr>
              <w:t>Contractor</w:t>
            </w:r>
            <w:r>
              <w:rPr>
                <w:spacing w:val="1"/>
                <w:sz w:val="18"/>
              </w:rPr>
              <w:t xml:space="preserve"> </w:t>
            </w:r>
            <w:r>
              <w:rPr>
                <w:sz w:val="18"/>
              </w:rPr>
              <w:t>shall order</w:t>
            </w:r>
            <w:r>
              <w:rPr>
                <w:spacing w:val="1"/>
                <w:sz w:val="18"/>
              </w:rPr>
              <w:t xml:space="preserve"> </w:t>
            </w:r>
            <w:r>
              <w:rPr>
                <w:sz w:val="18"/>
              </w:rPr>
              <w:t>all materials</w:t>
            </w:r>
            <w:r>
              <w:rPr>
                <w:spacing w:val="1"/>
                <w:sz w:val="18"/>
              </w:rPr>
              <w:t xml:space="preserve"> </w:t>
            </w:r>
            <w:r>
              <w:rPr>
                <w:sz w:val="18"/>
              </w:rPr>
              <w:t>to be</w:t>
            </w:r>
            <w:r>
              <w:rPr>
                <w:spacing w:val="1"/>
                <w:sz w:val="18"/>
              </w:rPr>
              <w:t xml:space="preserve"> </w:t>
            </w:r>
            <w:r>
              <w:rPr>
                <w:sz w:val="18"/>
              </w:rPr>
              <w:t>obtained</w:t>
            </w:r>
            <w:r>
              <w:rPr>
                <w:spacing w:val="-1"/>
                <w:sz w:val="18"/>
              </w:rPr>
              <w:t xml:space="preserve"> </w:t>
            </w:r>
            <w:r>
              <w:rPr>
                <w:spacing w:val="-4"/>
                <w:sz w:val="18"/>
              </w:rPr>
              <w:t>from</w:t>
            </w:r>
          </w:p>
        </w:tc>
        <w:tc>
          <w:tcPr>
            <w:tcW w:w="1593" w:type="dxa"/>
            <w:vMerge w:val="restart"/>
          </w:tcPr>
          <w:p w:rsidR="007F6DF9" w:rsidRDefault="007F6DF9">
            <w:pPr>
              <w:pStyle w:val="TableParagraph"/>
              <w:rPr>
                <w:rFonts w:ascii="Times New Roman"/>
                <w:sz w:val="18"/>
              </w:rPr>
            </w:pPr>
          </w:p>
        </w:tc>
      </w:tr>
      <w:tr w:rsidR="007F6DF9">
        <w:trPr>
          <w:trHeight w:val="2404"/>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87"/>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54" w:lineRule="auto"/>
              <w:ind w:left="36" w:right="12"/>
              <w:jc w:val="both"/>
              <w:rPr>
                <w:sz w:val="18"/>
              </w:rPr>
            </w:pPr>
            <w:r>
              <w:rPr>
                <w:sz w:val="18"/>
              </w:rPr>
              <w:t>overseas immediately after the Contract is signed and shall also order materials to be obtained from</w:t>
            </w:r>
            <w:r>
              <w:rPr>
                <w:spacing w:val="-15"/>
                <w:sz w:val="18"/>
              </w:rPr>
              <w:t xml:space="preserve"> </w:t>
            </w:r>
            <w:r>
              <w:rPr>
                <w:sz w:val="18"/>
              </w:rPr>
              <w:t>local</w:t>
            </w:r>
            <w:r>
              <w:rPr>
                <w:spacing w:val="-14"/>
                <w:sz w:val="18"/>
              </w:rPr>
              <w:t xml:space="preserve"> </w:t>
            </w:r>
            <w:r>
              <w:rPr>
                <w:sz w:val="18"/>
              </w:rPr>
              <w:t>sources</w:t>
            </w:r>
            <w:r>
              <w:rPr>
                <w:spacing w:val="-14"/>
                <w:sz w:val="18"/>
              </w:rPr>
              <w:t xml:space="preserve"> </w:t>
            </w:r>
            <w:r>
              <w:rPr>
                <w:sz w:val="18"/>
              </w:rPr>
              <w:t>as</w:t>
            </w:r>
            <w:r>
              <w:rPr>
                <w:spacing w:val="-14"/>
                <w:sz w:val="18"/>
              </w:rPr>
              <w:t xml:space="preserve"> </w:t>
            </w:r>
            <w:r>
              <w:rPr>
                <w:sz w:val="18"/>
              </w:rPr>
              <w:t>early</w:t>
            </w:r>
            <w:r>
              <w:rPr>
                <w:spacing w:val="-14"/>
                <w:sz w:val="18"/>
              </w:rPr>
              <w:t xml:space="preserve"> </w:t>
            </w:r>
            <w:r>
              <w:rPr>
                <w:sz w:val="18"/>
              </w:rPr>
              <w:t>as</w:t>
            </w:r>
            <w:r>
              <w:rPr>
                <w:spacing w:val="-14"/>
                <w:sz w:val="18"/>
              </w:rPr>
              <w:t xml:space="preserve"> </w:t>
            </w:r>
            <w:r>
              <w:rPr>
                <w:sz w:val="18"/>
              </w:rPr>
              <w:t>necessary</w:t>
            </w:r>
            <w:r>
              <w:rPr>
                <w:spacing w:val="-14"/>
                <w:sz w:val="18"/>
              </w:rPr>
              <w:t xml:space="preserve"> </w:t>
            </w:r>
            <w:r>
              <w:rPr>
                <w:sz w:val="18"/>
              </w:rPr>
              <w:t>to</w:t>
            </w:r>
            <w:r>
              <w:rPr>
                <w:spacing w:val="-14"/>
                <w:sz w:val="18"/>
              </w:rPr>
              <w:t xml:space="preserve"> </w:t>
            </w:r>
            <w:r>
              <w:rPr>
                <w:sz w:val="18"/>
              </w:rPr>
              <w:t>ensure</w:t>
            </w:r>
            <w:r>
              <w:rPr>
                <w:spacing w:val="-14"/>
                <w:sz w:val="18"/>
              </w:rPr>
              <w:t xml:space="preserve"> </w:t>
            </w:r>
            <w:r>
              <w:rPr>
                <w:sz w:val="18"/>
              </w:rPr>
              <w:t>that</w:t>
            </w:r>
            <w:r>
              <w:rPr>
                <w:spacing w:val="-14"/>
                <w:sz w:val="18"/>
              </w:rPr>
              <w:t xml:space="preserve"> </w:t>
            </w:r>
            <w:r>
              <w:rPr>
                <w:sz w:val="18"/>
              </w:rPr>
              <w:t>they</w:t>
            </w:r>
            <w:r>
              <w:rPr>
                <w:spacing w:val="-14"/>
                <w:sz w:val="18"/>
              </w:rPr>
              <w:t xml:space="preserve"> </w:t>
            </w:r>
            <w:r>
              <w:rPr>
                <w:sz w:val="18"/>
              </w:rPr>
              <w:t>are</w:t>
            </w:r>
            <w:r>
              <w:rPr>
                <w:spacing w:val="-14"/>
                <w:sz w:val="18"/>
              </w:rPr>
              <w:t xml:space="preserve"> </w:t>
            </w:r>
            <w:r>
              <w:rPr>
                <w:sz w:val="18"/>
              </w:rPr>
              <w:t>onsite</w:t>
            </w:r>
            <w:r>
              <w:rPr>
                <w:spacing w:val="-14"/>
                <w:sz w:val="18"/>
              </w:rPr>
              <w:t xml:space="preserve"> </w:t>
            </w:r>
            <w:r>
              <w:rPr>
                <w:sz w:val="18"/>
              </w:rPr>
              <w:t>when</w:t>
            </w:r>
            <w:r>
              <w:rPr>
                <w:spacing w:val="-14"/>
                <w:sz w:val="18"/>
              </w:rPr>
              <w:t xml:space="preserve"> </w:t>
            </w:r>
            <w:r>
              <w:rPr>
                <w:sz w:val="18"/>
              </w:rPr>
              <w:t>required</w:t>
            </w:r>
            <w:r>
              <w:rPr>
                <w:spacing w:val="-14"/>
                <w:sz w:val="18"/>
              </w:rPr>
              <w:t xml:space="preserve"> </w:t>
            </w:r>
            <w:r>
              <w:rPr>
                <w:sz w:val="18"/>
              </w:rPr>
              <w:t>for</w:t>
            </w:r>
            <w:r>
              <w:rPr>
                <w:spacing w:val="-14"/>
                <w:sz w:val="18"/>
              </w:rPr>
              <w:t xml:space="preserve"> </w:t>
            </w:r>
            <w:r>
              <w:rPr>
                <w:sz w:val="18"/>
              </w:rPr>
              <w:t>use</w:t>
            </w:r>
            <w:r>
              <w:rPr>
                <w:spacing w:val="-15"/>
                <w:sz w:val="18"/>
              </w:rPr>
              <w:t xml:space="preserve"> </w:t>
            </w:r>
            <w:r>
              <w:rPr>
                <w:sz w:val="18"/>
              </w:rPr>
              <w:t>in</w:t>
            </w:r>
            <w:r>
              <w:rPr>
                <w:spacing w:val="-14"/>
                <w:sz w:val="18"/>
              </w:rPr>
              <w:t xml:space="preserve"> </w:t>
            </w:r>
            <w:r>
              <w:rPr>
                <w:sz w:val="18"/>
              </w:rPr>
              <w:t>the works. The Bills of Quantities shall not be used for the purpose of ordering materials.</w:t>
            </w:r>
          </w:p>
          <w:p w:rsidR="007F6DF9" w:rsidRDefault="007F6DF9">
            <w:pPr>
              <w:pStyle w:val="TableParagraph"/>
              <w:spacing w:before="214"/>
              <w:rPr>
                <w:rFonts w:ascii="Segoe UI"/>
                <w:sz w:val="18"/>
              </w:rPr>
            </w:pPr>
          </w:p>
          <w:p w:rsidR="007F6DF9" w:rsidRDefault="00A43FBC">
            <w:pPr>
              <w:pStyle w:val="TableParagraph"/>
              <w:spacing w:before="1"/>
              <w:ind w:left="38"/>
              <w:jc w:val="both"/>
              <w:rPr>
                <w:sz w:val="18"/>
              </w:rPr>
            </w:pPr>
            <w:r>
              <w:rPr>
                <w:sz w:val="18"/>
              </w:rPr>
              <w:t>SIGN</w:t>
            </w:r>
            <w:r>
              <w:rPr>
                <w:spacing w:val="16"/>
                <w:sz w:val="18"/>
              </w:rPr>
              <w:t xml:space="preserve"> </w:t>
            </w:r>
            <w:r>
              <w:rPr>
                <w:sz w:val="18"/>
              </w:rPr>
              <w:t>FOR</w:t>
            </w:r>
            <w:r>
              <w:rPr>
                <w:spacing w:val="19"/>
                <w:sz w:val="18"/>
              </w:rPr>
              <w:t xml:space="preserve"> </w:t>
            </w:r>
            <w:r>
              <w:rPr>
                <w:sz w:val="18"/>
              </w:rPr>
              <w:t>MATERIALS</w:t>
            </w:r>
            <w:r>
              <w:rPr>
                <w:spacing w:val="16"/>
                <w:sz w:val="18"/>
              </w:rPr>
              <w:t xml:space="preserve"> </w:t>
            </w:r>
            <w:r>
              <w:rPr>
                <w:spacing w:val="-2"/>
                <w:sz w:val="18"/>
              </w:rPr>
              <w:t>SUPPLIED.</w:t>
            </w:r>
          </w:p>
          <w:p w:rsidR="007F6DF9" w:rsidRDefault="007F6DF9">
            <w:pPr>
              <w:pStyle w:val="TableParagraph"/>
              <w:spacing w:before="4"/>
              <w:rPr>
                <w:rFonts w:ascii="Segoe UI"/>
                <w:sz w:val="18"/>
              </w:rPr>
            </w:pPr>
          </w:p>
          <w:p w:rsidR="007F6DF9" w:rsidRDefault="00A43FBC">
            <w:pPr>
              <w:pStyle w:val="TableParagraph"/>
              <w:spacing w:line="254" w:lineRule="auto"/>
              <w:ind w:left="36" w:right="13"/>
              <w:jc w:val="both"/>
              <w:rPr>
                <w:sz w:val="18"/>
              </w:rPr>
            </w:pPr>
            <w:r>
              <w:rPr>
                <w:sz w:val="18"/>
              </w:rPr>
              <w:t>The Contractor will be required to sign a receipt for all articles and materials supplied by the CLIENT at the time of taking deliver thereof, as having received them in good order and condition,</w:t>
            </w:r>
            <w:r>
              <w:rPr>
                <w:spacing w:val="-3"/>
                <w:sz w:val="18"/>
              </w:rPr>
              <w:t xml:space="preserve"> </w:t>
            </w:r>
            <w:r>
              <w:rPr>
                <w:sz w:val="18"/>
              </w:rPr>
              <w:t>and</w:t>
            </w:r>
            <w:r>
              <w:rPr>
                <w:spacing w:val="-3"/>
                <w:sz w:val="18"/>
              </w:rPr>
              <w:t xml:space="preserve"> </w:t>
            </w:r>
            <w:r>
              <w:rPr>
                <w:sz w:val="18"/>
              </w:rPr>
              <w:t>will</w:t>
            </w:r>
            <w:r>
              <w:rPr>
                <w:spacing w:val="-3"/>
                <w:sz w:val="18"/>
              </w:rPr>
              <w:t xml:space="preserve"> </w:t>
            </w:r>
            <w:r>
              <w:rPr>
                <w:sz w:val="18"/>
              </w:rPr>
              <w:t>thereafter</w:t>
            </w:r>
            <w:r>
              <w:rPr>
                <w:spacing w:val="-1"/>
                <w:sz w:val="18"/>
              </w:rPr>
              <w:t xml:space="preserve"> </w:t>
            </w:r>
            <w:r>
              <w:rPr>
                <w:sz w:val="18"/>
              </w:rPr>
              <w:t>be</w:t>
            </w:r>
            <w:r>
              <w:rPr>
                <w:spacing w:val="-1"/>
                <w:sz w:val="18"/>
              </w:rPr>
              <w:t xml:space="preserve"> </w:t>
            </w:r>
            <w:r>
              <w:rPr>
                <w:sz w:val="18"/>
              </w:rPr>
              <w:t>responsible</w:t>
            </w:r>
            <w:r>
              <w:rPr>
                <w:spacing w:val="-2"/>
                <w:sz w:val="18"/>
              </w:rPr>
              <w:t xml:space="preserve"> </w:t>
            </w:r>
            <w:r>
              <w:rPr>
                <w:sz w:val="18"/>
              </w:rPr>
              <w:t>for</w:t>
            </w:r>
            <w:r>
              <w:rPr>
                <w:spacing w:val="-2"/>
                <w:sz w:val="18"/>
              </w:rPr>
              <w:t xml:space="preserve"> </w:t>
            </w:r>
            <w:r>
              <w:rPr>
                <w:sz w:val="18"/>
              </w:rPr>
              <w:t>any</w:t>
            </w:r>
            <w:r>
              <w:rPr>
                <w:spacing w:val="-3"/>
                <w:sz w:val="18"/>
              </w:rPr>
              <w:t xml:space="preserve"> </w:t>
            </w:r>
            <w:r>
              <w:rPr>
                <w:sz w:val="18"/>
              </w:rPr>
              <w:t>loss</w:t>
            </w:r>
            <w:r>
              <w:rPr>
                <w:spacing w:val="-1"/>
                <w:sz w:val="18"/>
              </w:rPr>
              <w:t xml:space="preserve"> </w:t>
            </w:r>
            <w:r>
              <w:rPr>
                <w:sz w:val="18"/>
              </w:rPr>
              <w:t>or</w:t>
            </w:r>
            <w:r>
              <w:rPr>
                <w:spacing w:val="-3"/>
                <w:sz w:val="18"/>
              </w:rPr>
              <w:t xml:space="preserve"> </w:t>
            </w:r>
            <w:r>
              <w:rPr>
                <w:sz w:val="18"/>
              </w:rPr>
              <w:t>damage and</w:t>
            </w:r>
            <w:r>
              <w:rPr>
                <w:spacing w:val="-4"/>
                <w:sz w:val="18"/>
              </w:rPr>
              <w:t xml:space="preserve"> </w:t>
            </w:r>
            <w:r>
              <w:rPr>
                <w:sz w:val="18"/>
              </w:rPr>
              <w:t>for</w:t>
            </w:r>
            <w:r>
              <w:rPr>
                <w:spacing w:val="-4"/>
                <w:sz w:val="18"/>
              </w:rPr>
              <w:t xml:space="preserve"> </w:t>
            </w:r>
            <w:r>
              <w:rPr>
                <w:sz w:val="18"/>
              </w:rPr>
              <w:t>replacements</w:t>
            </w:r>
            <w:r>
              <w:rPr>
                <w:spacing w:val="-1"/>
                <w:sz w:val="18"/>
              </w:rPr>
              <w:t xml:space="preserve"> </w:t>
            </w:r>
            <w:r>
              <w:rPr>
                <w:sz w:val="18"/>
              </w:rPr>
              <w:t>of</w:t>
            </w:r>
            <w:r>
              <w:rPr>
                <w:spacing w:val="-4"/>
                <w:sz w:val="18"/>
              </w:rPr>
              <w:t xml:space="preserve"> </w:t>
            </w:r>
            <w:r>
              <w:rPr>
                <w:spacing w:val="-5"/>
                <w:sz w:val="18"/>
              </w:rPr>
              <w:t>any</w:t>
            </w:r>
          </w:p>
          <w:p w:rsidR="007F6DF9" w:rsidRDefault="00A43FBC">
            <w:pPr>
              <w:pStyle w:val="TableParagraph"/>
              <w:spacing w:before="1" w:line="87" w:lineRule="exact"/>
              <w:ind w:left="36"/>
              <w:jc w:val="both"/>
              <w:rPr>
                <w:sz w:val="18"/>
              </w:rPr>
            </w:pPr>
            <w:r>
              <w:rPr>
                <w:sz w:val="18"/>
              </w:rPr>
              <w:t>such</w:t>
            </w:r>
            <w:r>
              <w:rPr>
                <w:spacing w:val="7"/>
                <w:sz w:val="18"/>
              </w:rPr>
              <w:t xml:space="preserve"> </w:t>
            </w:r>
            <w:r>
              <w:rPr>
                <w:sz w:val="18"/>
              </w:rPr>
              <w:t>loss</w:t>
            </w:r>
            <w:r>
              <w:rPr>
                <w:spacing w:val="8"/>
                <w:sz w:val="18"/>
              </w:rPr>
              <w:t xml:space="preserve"> </w:t>
            </w:r>
            <w:r>
              <w:rPr>
                <w:sz w:val="18"/>
              </w:rPr>
              <w:t>or</w:t>
            </w:r>
            <w:r>
              <w:rPr>
                <w:spacing w:val="7"/>
                <w:sz w:val="18"/>
              </w:rPr>
              <w:t xml:space="preserve"> </w:t>
            </w:r>
            <w:r>
              <w:rPr>
                <w:sz w:val="18"/>
              </w:rPr>
              <w:t>damage</w:t>
            </w:r>
            <w:r>
              <w:rPr>
                <w:spacing w:val="9"/>
                <w:sz w:val="18"/>
              </w:rPr>
              <w:t xml:space="preserve"> </w:t>
            </w:r>
            <w:r>
              <w:rPr>
                <w:sz w:val="18"/>
              </w:rPr>
              <w:t>with</w:t>
            </w:r>
            <w:r>
              <w:rPr>
                <w:spacing w:val="7"/>
                <w:sz w:val="18"/>
              </w:rPr>
              <w:t xml:space="preserve"> </w:t>
            </w:r>
            <w:r>
              <w:rPr>
                <w:sz w:val="18"/>
              </w:rPr>
              <w:t>articles</w:t>
            </w:r>
            <w:r>
              <w:rPr>
                <w:spacing w:val="9"/>
                <w:sz w:val="18"/>
              </w:rPr>
              <w:t xml:space="preserve"> </w:t>
            </w:r>
            <w:r>
              <w:rPr>
                <w:sz w:val="18"/>
              </w:rPr>
              <w:t>and/or</w:t>
            </w:r>
            <w:r>
              <w:rPr>
                <w:spacing w:val="7"/>
                <w:sz w:val="18"/>
              </w:rPr>
              <w:t xml:space="preserve"> </w:t>
            </w:r>
            <w:r>
              <w:rPr>
                <w:sz w:val="18"/>
              </w:rPr>
              <w:t>materials</w:t>
            </w:r>
            <w:r>
              <w:rPr>
                <w:spacing w:val="9"/>
                <w:sz w:val="18"/>
              </w:rPr>
              <w:t xml:space="preserve"> </w:t>
            </w:r>
            <w:r>
              <w:rPr>
                <w:sz w:val="18"/>
              </w:rPr>
              <w:t>which</w:t>
            </w:r>
            <w:r>
              <w:rPr>
                <w:spacing w:val="7"/>
                <w:sz w:val="18"/>
              </w:rPr>
              <w:t xml:space="preserve"> </w:t>
            </w:r>
            <w:r>
              <w:rPr>
                <w:sz w:val="18"/>
              </w:rPr>
              <w:t>will</w:t>
            </w:r>
            <w:r>
              <w:rPr>
                <w:spacing w:val="6"/>
                <w:sz w:val="18"/>
              </w:rPr>
              <w:t xml:space="preserve"> </w:t>
            </w:r>
            <w:r>
              <w:rPr>
                <w:sz w:val="18"/>
              </w:rPr>
              <w:t>be</w:t>
            </w:r>
            <w:r>
              <w:rPr>
                <w:spacing w:val="9"/>
                <w:sz w:val="18"/>
              </w:rPr>
              <w:t xml:space="preserve"> </w:t>
            </w:r>
            <w:r>
              <w:rPr>
                <w:sz w:val="18"/>
              </w:rPr>
              <w:t>supplied</w:t>
            </w:r>
            <w:r>
              <w:rPr>
                <w:spacing w:val="7"/>
                <w:sz w:val="18"/>
              </w:rPr>
              <w:t xml:space="preserve"> </w:t>
            </w:r>
            <w:r>
              <w:rPr>
                <w:sz w:val="18"/>
              </w:rPr>
              <w:t>by</w:t>
            </w:r>
            <w:r>
              <w:rPr>
                <w:spacing w:val="7"/>
                <w:sz w:val="18"/>
              </w:rPr>
              <w:t xml:space="preserve"> </w:t>
            </w:r>
            <w:r>
              <w:rPr>
                <w:sz w:val="18"/>
              </w:rPr>
              <w:t>the</w:t>
            </w:r>
            <w:r>
              <w:rPr>
                <w:spacing w:val="6"/>
                <w:sz w:val="18"/>
              </w:rPr>
              <w:t xml:space="preserve"> </w:t>
            </w:r>
            <w:r>
              <w:rPr>
                <w:sz w:val="18"/>
              </w:rPr>
              <w:t>CLIENT</w:t>
            </w:r>
            <w:r>
              <w:rPr>
                <w:spacing w:val="8"/>
                <w:sz w:val="18"/>
              </w:rPr>
              <w:t xml:space="preserve"> </w:t>
            </w:r>
            <w:r>
              <w:rPr>
                <w:sz w:val="18"/>
              </w:rPr>
              <w:t>at</w:t>
            </w:r>
            <w:r>
              <w:rPr>
                <w:spacing w:val="6"/>
                <w:sz w:val="18"/>
              </w:rPr>
              <w:t xml:space="preserve"> </w:t>
            </w:r>
            <w:r>
              <w:rPr>
                <w:spacing w:val="-5"/>
                <w:sz w:val="18"/>
              </w:rPr>
              <w:t>the</w:t>
            </w:r>
          </w:p>
        </w:tc>
        <w:tc>
          <w:tcPr>
            <w:tcW w:w="1593" w:type="dxa"/>
            <w:vMerge/>
            <w:tcBorders>
              <w:top w:val="nil"/>
            </w:tcBorders>
          </w:tcPr>
          <w:p w:rsidR="007F6DF9" w:rsidRDefault="007F6DF9">
            <w:pPr>
              <w:rPr>
                <w:sz w:val="2"/>
                <w:szCs w:val="2"/>
              </w:rPr>
            </w:pPr>
          </w:p>
        </w:tc>
      </w:tr>
      <w:tr w:rsidR="007F6DF9">
        <w:trPr>
          <w:trHeight w:val="3324"/>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72"/>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tcBorders>
          </w:tcPr>
          <w:p w:rsidR="007F6DF9" w:rsidRDefault="00A43FBC">
            <w:pPr>
              <w:pStyle w:val="TableParagraph"/>
              <w:spacing w:before="108" w:line="254" w:lineRule="auto"/>
              <w:ind w:left="36" w:right="13"/>
              <w:jc w:val="both"/>
              <w:rPr>
                <w:sz w:val="18"/>
              </w:rPr>
            </w:pPr>
            <w:r>
              <w:rPr>
                <w:sz w:val="18"/>
              </w:rPr>
              <w:t>current market prices including Customs Duty and V.A.T., all at the Contractor's own cost and expense, to the satisfaction of the PROJECT MANAGER</w:t>
            </w:r>
          </w:p>
          <w:p w:rsidR="007F6DF9" w:rsidRDefault="007F6DF9">
            <w:pPr>
              <w:pStyle w:val="TableParagraph"/>
              <w:spacing w:before="222"/>
              <w:rPr>
                <w:rFonts w:ascii="Segoe UI"/>
                <w:sz w:val="18"/>
              </w:rPr>
            </w:pPr>
          </w:p>
          <w:p w:rsidR="007F6DF9" w:rsidRDefault="00A43FBC">
            <w:pPr>
              <w:pStyle w:val="TableParagraph"/>
              <w:ind w:left="38"/>
              <w:jc w:val="both"/>
              <w:rPr>
                <w:sz w:val="18"/>
              </w:rPr>
            </w:pPr>
            <w:r>
              <w:rPr>
                <w:sz w:val="18"/>
              </w:rPr>
              <w:t>STORAGE</w:t>
            </w:r>
            <w:r>
              <w:rPr>
                <w:spacing w:val="25"/>
                <w:sz w:val="18"/>
              </w:rPr>
              <w:t xml:space="preserve"> </w:t>
            </w:r>
            <w:r>
              <w:rPr>
                <w:sz w:val="18"/>
              </w:rPr>
              <w:t>OF</w:t>
            </w:r>
            <w:r>
              <w:rPr>
                <w:spacing w:val="27"/>
                <w:sz w:val="18"/>
              </w:rPr>
              <w:t xml:space="preserve"> </w:t>
            </w:r>
            <w:r>
              <w:rPr>
                <w:spacing w:val="-2"/>
                <w:sz w:val="18"/>
              </w:rPr>
              <w:t>MATERIALS</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The Contractor shall provide at his own risk and cost where directed on the site weather proof lock-up</w:t>
            </w:r>
            <w:r>
              <w:rPr>
                <w:spacing w:val="-6"/>
                <w:sz w:val="18"/>
              </w:rPr>
              <w:t xml:space="preserve"> </w:t>
            </w:r>
            <w:r>
              <w:rPr>
                <w:sz w:val="18"/>
              </w:rPr>
              <w:t>sheds</w:t>
            </w:r>
            <w:r>
              <w:rPr>
                <w:spacing w:val="-7"/>
                <w:sz w:val="18"/>
              </w:rPr>
              <w:t xml:space="preserve"> </w:t>
            </w:r>
            <w:r>
              <w:rPr>
                <w:sz w:val="18"/>
              </w:rPr>
              <w:t>and</w:t>
            </w:r>
            <w:r>
              <w:rPr>
                <w:spacing w:val="-8"/>
                <w:sz w:val="18"/>
              </w:rPr>
              <w:t xml:space="preserve"> </w:t>
            </w:r>
            <w:r>
              <w:rPr>
                <w:sz w:val="18"/>
              </w:rPr>
              <w:t>make</w:t>
            </w:r>
            <w:r>
              <w:rPr>
                <w:spacing w:val="-7"/>
                <w:sz w:val="18"/>
              </w:rPr>
              <w:t xml:space="preserve"> </w:t>
            </w:r>
            <w:r>
              <w:rPr>
                <w:sz w:val="18"/>
              </w:rPr>
              <w:t>good</w:t>
            </w:r>
            <w:r>
              <w:rPr>
                <w:spacing w:val="-8"/>
                <w:sz w:val="18"/>
              </w:rPr>
              <w:t xml:space="preserve"> </w:t>
            </w:r>
            <w:r>
              <w:rPr>
                <w:sz w:val="18"/>
              </w:rPr>
              <w:t>damaged</w:t>
            </w:r>
            <w:r>
              <w:rPr>
                <w:spacing w:val="-7"/>
                <w:sz w:val="18"/>
              </w:rPr>
              <w:t xml:space="preserve"> </w:t>
            </w:r>
            <w:r>
              <w:rPr>
                <w:sz w:val="18"/>
              </w:rPr>
              <w:t>or</w:t>
            </w:r>
            <w:r>
              <w:rPr>
                <w:spacing w:val="-7"/>
                <w:sz w:val="18"/>
              </w:rPr>
              <w:t xml:space="preserve"> </w:t>
            </w:r>
            <w:r>
              <w:rPr>
                <w:sz w:val="18"/>
              </w:rPr>
              <w:t>disturbed</w:t>
            </w:r>
            <w:r>
              <w:rPr>
                <w:spacing w:val="-6"/>
                <w:sz w:val="18"/>
              </w:rPr>
              <w:t xml:space="preserve"> </w:t>
            </w:r>
            <w:r>
              <w:rPr>
                <w:sz w:val="18"/>
              </w:rPr>
              <w:t>surfaces</w:t>
            </w:r>
            <w:r>
              <w:rPr>
                <w:spacing w:val="-6"/>
                <w:sz w:val="18"/>
              </w:rPr>
              <w:t xml:space="preserve"> </w:t>
            </w:r>
            <w:r>
              <w:rPr>
                <w:sz w:val="18"/>
              </w:rPr>
              <w:t>upon</w:t>
            </w:r>
            <w:r>
              <w:rPr>
                <w:spacing w:val="-5"/>
                <w:sz w:val="18"/>
              </w:rPr>
              <w:t xml:space="preserve"> </w:t>
            </w:r>
            <w:r>
              <w:rPr>
                <w:sz w:val="18"/>
              </w:rPr>
              <w:t>completion</w:t>
            </w:r>
            <w:r>
              <w:rPr>
                <w:spacing w:val="-7"/>
                <w:sz w:val="18"/>
              </w:rPr>
              <w:t xml:space="preserve"> </w:t>
            </w:r>
            <w:r>
              <w:rPr>
                <w:sz w:val="18"/>
              </w:rPr>
              <w:t>to</w:t>
            </w:r>
            <w:r>
              <w:rPr>
                <w:spacing w:val="-5"/>
                <w:sz w:val="18"/>
              </w:rPr>
              <w:t xml:space="preserve"> </w:t>
            </w:r>
            <w:r>
              <w:rPr>
                <w:sz w:val="18"/>
              </w:rPr>
              <w:t>the</w:t>
            </w:r>
            <w:r>
              <w:rPr>
                <w:spacing w:val="-7"/>
                <w:sz w:val="18"/>
              </w:rPr>
              <w:t xml:space="preserve"> </w:t>
            </w:r>
            <w:r>
              <w:rPr>
                <w:sz w:val="18"/>
              </w:rPr>
              <w:t>satisfaction of</w:t>
            </w:r>
            <w:r>
              <w:rPr>
                <w:spacing w:val="24"/>
                <w:sz w:val="18"/>
              </w:rPr>
              <w:t xml:space="preserve"> </w:t>
            </w:r>
            <w:r>
              <w:rPr>
                <w:sz w:val="18"/>
              </w:rPr>
              <w:t>the</w:t>
            </w:r>
            <w:r>
              <w:rPr>
                <w:spacing w:val="24"/>
                <w:sz w:val="18"/>
              </w:rPr>
              <w:t xml:space="preserve"> </w:t>
            </w:r>
            <w:r>
              <w:rPr>
                <w:sz w:val="18"/>
              </w:rPr>
              <w:t>PROJECT</w:t>
            </w:r>
            <w:r>
              <w:rPr>
                <w:spacing w:val="25"/>
                <w:sz w:val="18"/>
              </w:rPr>
              <w:t xml:space="preserve"> </w:t>
            </w:r>
            <w:r>
              <w:rPr>
                <w:sz w:val="18"/>
              </w:rPr>
              <w:t>MANAGER. Nominated</w:t>
            </w:r>
            <w:r>
              <w:rPr>
                <w:spacing w:val="24"/>
                <w:sz w:val="18"/>
              </w:rPr>
              <w:t xml:space="preserve"> </w:t>
            </w:r>
            <w:r>
              <w:rPr>
                <w:sz w:val="18"/>
              </w:rPr>
              <w:t>Sub-Contractors are</w:t>
            </w:r>
            <w:r>
              <w:rPr>
                <w:spacing w:val="24"/>
                <w:sz w:val="18"/>
              </w:rPr>
              <w:t xml:space="preserve"> </w:t>
            </w:r>
            <w:r>
              <w:rPr>
                <w:sz w:val="18"/>
              </w:rPr>
              <w:t>to be</w:t>
            </w:r>
            <w:r>
              <w:rPr>
                <w:spacing w:val="24"/>
                <w:sz w:val="18"/>
              </w:rPr>
              <w:t xml:space="preserve"> </w:t>
            </w:r>
            <w:r>
              <w:rPr>
                <w:sz w:val="18"/>
              </w:rPr>
              <w:t>made liable</w:t>
            </w:r>
            <w:r>
              <w:rPr>
                <w:spacing w:val="24"/>
                <w:sz w:val="18"/>
              </w:rPr>
              <w:t xml:space="preserve"> </w:t>
            </w:r>
            <w:r>
              <w:rPr>
                <w:sz w:val="18"/>
              </w:rPr>
              <w:t>for the</w:t>
            </w:r>
            <w:r>
              <w:rPr>
                <w:spacing w:val="24"/>
                <w:sz w:val="18"/>
              </w:rPr>
              <w:t xml:space="preserve"> </w:t>
            </w:r>
            <w:r>
              <w:rPr>
                <w:sz w:val="18"/>
              </w:rPr>
              <w:t>cost of any storage accommodation provided especially for their use.</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58"/>
          <w:pgSz w:w="12240" w:h="15840"/>
          <w:pgMar w:top="1060" w:right="1133" w:bottom="700" w:left="850" w:header="0" w:footer="506" w:gutter="0"/>
          <w:pgNumType w:start="13"/>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left="208"/>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34"/>
        </w:trPr>
        <w:tc>
          <w:tcPr>
            <w:tcW w:w="674" w:type="dxa"/>
            <w:vMerge w:val="restart"/>
          </w:tcPr>
          <w:p w:rsidR="007F6DF9" w:rsidRDefault="00A43FBC">
            <w:pPr>
              <w:pStyle w:val="TableParagraph"/>
              <w:spacing w:line="212" w:lineRule="exact"/>
              <w:ind w:left="513"/>
              <w:rPr>
                <w:sz w:val="18"/>
              </w:rPr>
            </w:pPr>
            <w:r>
              <w:rPr>
                <w:spacing w:val="-10"/>
                <w:w w:val="110"/>
                <w:sz w:val="18"/>
              </w:rPr>
              <w:t>A</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48"/>
              <w:rPr>
                <w:rFonts w:ascii="Segoe UI"/>
                <w:sz w:val="18"/>
              </w:rPr>
            </w:pPr>
          </w:p>
          <w:p w:rsidR="007F6DF9" w:rsidRDefault="00A43FBC">
            <w:pPr>
              <w:pStyle w:val="TableParagraph"/>
              <w:ind w:left="527"/>
              <w:rPr>
                <w:sz w:val="18"/>
              </w:rPr>
            </w:pPr>
            <w:r>
              <w:rPr>
                <w:spacing w:val="-10"/>
                <w:sz w:val="18"/>
              </w:rPr>
              <w:t>B</w:t>
            </w:r>
          </w:p>
        </w:tc>
        <w:tc>
          <w:tcPr>
            <w:tcW w:w="7767" w:type="dxa"/>
            <w:tcBorders>
              <w:bottom w:val="nil"/>
            </w:tcBorders>
          </w:tcPr>
          <w:p w:rsidR="007F6DF9" w:rsidRDefault="00A43FBC">
            <w:pPr>
              <w:pStyle w:val="TableParagraph"/>
              <w:spacing w:line="212" w:lineRule="exact"/>
              <w:ind w:left="38"/>
              <w:rPr>
                <w:sz w:val="18"/>
              </w:rPr>
            </w:pPr>
            <w:r>
              <w:rPr>
                <w:spacing w:val="-2"/>
                <w:sz w:val="18"/>
              </w:rPr>
              <w:t>SAMPLES</w:t>
            </w:r>
          </w:p>
        </w:tc>
        <w:tc>
          <w:tcPr>
            <w:tcW w:w="1593" w:type="dxa"/>
            <w:vMerge w:val="restart"/>
          </w:tcPr>
          <w:p w:rsidR="007F6DF9" w:rsidRDefault="007F6DF9">
            <w:pPr>
              <w:pStyle w:val="TableParagraph"/>
              <w:rPr>
                <w:rFonts w:ascii="Times New Roman"/>
                <w:sz w:val="18"/>
              </w:rPr>
            </w:pPr>
          </w:p>
        </w:tc>
      </w:tr>
      <w:tr w:rsidR="007F6DF9">
        <w:trPr>
          <w:trHeight w:val="2453"/>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10" w:line="254" w:lineRule="auto"/>
              <w:ind w:left="36" w:right="13"/>
              <w:jc w:val="both"/>
              <w:rPr>
                <w:sz w:val="18"/>
              </w:rPr>
            </w:pPr>
            <w:r>
              <w:rPr>
                <w:sz w:val="18"/>
              </w:rPr>
              <w:t>The Contractor shall furnish at his own cost any samples of materials or workmanship including concrete test</w:t>
            </w:r>
            <w:r>
              <w:rPr>
                <w:spacing w:val="-1"/>
                <w:sz w:val="18"/>
              </w:rPr>
              <w:t xml:space="preserve"> </w:t>
            </w:r>
            <w:r>
              <w:rPr>
                <w:sz w:val="18"/>
              </w:rPr>
              <w:t>cubes required</w:t>
            </w:r>
            <w:r>
              <w:rPr>
                <w:spacing w:val="-2"/>
                <w:sz w:val="18"/>
              </w:rPr>
              <w:t xml:space="preserve"> </w:t>
            </w:r>
            <w:r>
              <w:rPr>
                <w:sz w:val="18"/>
              </w:rPr>
              <w:t>for the</w:t>
            </w:r>
            <w:r>
              <w:rPr>
                <w:spacing w:val="-1"/>
                <w:sz w:val="18"/>
              </w:rPr>
              <w:t xml:space="preserve"> </w:t>
            </w:r>
            <w:r>
              <w:rPr>
                <w:sz w:val="18"/>
              </w:rPr>
              <w:t>works that</w:t>
            </w:r>
            <w:r>
              <w:rPr>
                <w:spacing w:val="-1"/>
                <w:sz w:val="18"/>
              </w:rPr>
              <w:t xml:space="preserve"> </w:t>
            </w:r>
            <w:r>
              <w:rPr>
                <w:sz w:val="18"/>
              </w:rPr>
              <w:t>may be</w:t>
            </w:r>
            <w:r>
              <w:rPr>
                <w:spacing w:val="-1"/>
                <w:sz w:val="18"/>
              </w:rPr>
              <w:t xml:space="preserve"> </w:t>
            </w:r>
            <w:r>
              <w:rPr>
                <w:sz w:val="18"/>
              </w:rPr>
              <w:t>called for</w:t>
            </w:r>
            <w:r>
              <w:rPr>
                <w:spacing w:val="-2"/>
                <w:sz w:val="18"/>
              </w:rPr>
              <w:t xml:space="preserve"> </w:t>
            </w:r>
            <w:r>
              <w:rPr>
                <w:sz w:val="18"/>
              </w:rPr>
              <w:t>by the</w:t>
            </w:r>
            <w:r>
              <w:rPr>
                <w:spacing w:val="-1"/>
                <w:sz w:val="18"/>
              </w:rPr>
              <w:t xml:space="preserve"> </w:t>
            </w:r>
            <w:r>
              <w:rPr>
                <w:sz w:val="18"/>
              </w:rPr>
              <w:t>PROJECT MANAGER</w:t>
            </w:r>
            <w:r>
              <w:rPr>
                <w:spacing w:val="-1"/>
                <w:sz w:val="18"/>
              </w:rPr>
              <w:t xml:space="preserve"> </w:t>
            </w:r>
            <w:r>
              <w:rPr>
                <w:sz w:val="18"/>
              </w:rPr>
              <w:t>for his approval until such samples are approved by the PROJECT MANAGER and the PROJECT MANAGER may reject any materials or workmanship not in his opinion</w:t>
            </w:r>
            <w:r>
              <w:rPr>
                <w:spacing w:val="40"/>
                <w:sz w:val="18"/>
              </w:rPr>
              <w:t xml:space="preserve"> </w:t>
            </w:r>
            <w:r>
              <w:rPr>
                <w:sz w:val="18"/>
              </w:rPr>
              <w:t>to be up to approved samples.</w:t>
            </w:r>
            <w:r>
              <w:rPr>
                <w:spacing w:val="-6"/>
                <w:sz w:val="18"/>
              </w:rPr>
              <w:t xml:space="preserve"> </w:t>
            </w:r>
            <w:r>
              <w:rPr>
                <w:sz w:val="18"/>
              </w:rPr>
              <w:t>The</w:t>
            </w:r>
            <w:r>
              <w:rPr>
                <w:spacing w:val="-5"/>
                <w:sz w:val="18"/>
              </w:rPr>
              <w:t xml:space="preserve"> </w:t>
            </w:r>
            <w:r>
              <w:rPr>
                <w:sz w:val="18"/>
              </w:rPr>
              <w:t>PROJECT</w:t>
            </w:r>
            <w:r>
              <w:rPr>
                <w:spacing w:val="-5"/>
                <w:sz w:val="18"/>
              </w:rPr>
              <w:t xml:space="preserve"> </w:t>
            </w:r>
            <w:r>
              <w:rPr>
                <w:sz w:val="18"/>
              </w:rPr>
              <w:t>MANAGER</w:t>
            </w:r>
            <w:r>
              <w:rPr>
                <w:spacing w:val="-5"/>
                <w:sz w:val="18"/>
              </w:rPr>
              <w:t xml:space="preserve"> </w:t>
            </w:r>
            <w:r>
              <w:rPr>
                <w:sz w:val="18"/>
              </w:rPr>
              <w:t>shall</w:t>
            </w:r>
            <w:r>
              <w:rPr>
                <w:spacing w:val="-6"/>
                <w:sz w:val="18"/>
              </w:rPr>
              <w:t xml:space="preserve"> </w:t>
            </w:r>
            <w:r>
              <w:rPr>
                <w:sz w:val="18"/>
              </w:rPr>
              <w:t>arrange</w:t>
            </w:r>
            <w:r>
              <w:rPr>
                <w:spacing w:val="-5"/>
                <w:sz w:val="18"/>
              </w:rPr>
              <w:t xml:space="preserve"> </w:t>
            </w:r>
            <w:r>
              <w:rPr>
                <w:sz w:val="18"/>
              </w:rPr>
              <w:t>for</w:t>
            </w:r>
            <w:r>
              <w:rPr>
                <w:spacing w:val="-6"/>
                <w:sz w:val="18"/>
              </w:rPr>
              <w:t xml:space="preserve"> </w:t>
            </w:r>
            <w:r>
              <w:rPr>
                <w:sz w:val="18"/>
              </w:rPr>
              <w:t>the</w:t>
            </w:r>
            <w:r>
              <w:rPr>
                <w:spacing w:val="-6"/>
                <w:sz w:val="18"/>
              </w:rPr>
              <w:t xml:space="preserve"> </w:t>
            </w:r>
            <w:r>
              <w:rPr>
                <w:sz w:val="18"/>
              </w:rPr>
              <w:t>testing</w:t>
            </w:r>
            <w:r>
              <w:rPr>
                <w:spacing w:val="-5"/>
                <w:sz w:val="18"/>
              </w:rPr>
              <w:t xml:space="preserve"> </w:t>
            </w:r>
            <w:r>
              <w:rPr>
                <w:sz w:val="18"/>
              </w:rPr>
              <w:t>of</w:t>
            </w:r>
            <w:r>
              <w:rPr>
                <w:spacing w:val="-6"/>
                <w:sz w:val="18"/>
              </w:rPr>
              <w:t xml:space="preserve"> </w:t>
            </w:r>
            <w:r>
              <w:rPr>
                <w:sz w:val="18"/>
              </w:rPr>
              <w:t>such</w:t>
            </w:r>
            <w:r>
              <w:rPr>
                <w:spacing w:val="-6"/>
                <w:sz w:val="18"/>
              </w:rPr>
              <w:t xml:space="preserve"> </w:t>
            </w:r>
            <w:r>
              <w:rPr>
                <w:sz w:val="18"/>
              </w:rPr>
              <w:t>materials</w:t>
            </w:r>
            <w:r>
              <w:rPr>
                <w:spacing w:val="-5"/>
                <w:sz w:val="18"/>
              </w:rPr>
              <w:t xml:space="preserve"> </w:t>
            </w:r>
            <w:r>
              <w:rPr>
                <w:sz w:val="18"/>
              </w:rPr>
              <w:t>as</w:t>
            </w:r>
            <w:r>
              <w:rPr>
                <w:spacing w:val="-5"/>
                <w:sz w:val="18"/>
              </w:rPr>
              <w:t xml:space="preserve"> </w:t>
            </w:r>
            <w:r>
              <w:rPr>
                <w:sz w:val="18"/>
              </w:rPr>
              <w:t>he</w:t>
            </w:r>
            <w:r>
              <w:rPr>
                <w:spacing w:val="-5"/>
                <w:sz w:val="18"/>
              </w:rPr>
              <w:t xml:space="preserve"> </w:t>
            </w:r>
            <w:r>
              <w:rPr>
                <w:sz w:val="18"/>
              </w:rPr>
              <w:t>may</w:t>
            </w:r>
            <w:r>
              <w:rPr>
                <w:spacing w:val="-6"/>
                <w:sz w:val="18"/>
              </w:rPr>
              <w:t xml:space="preserve"> </w:t>
            </w:r>
            <w:r>
              <w:rPr>
                <w:sz w:val="18"/>
              </w:rPr>
              <w:t>at</w:t>
            </w:r>
            <w:r>
              <w:rPr>
                <w:spacing w:val="-5"/>
                <w:sz w:val="18"/>
              </w:rPr>
              <w:t xml:space="preserve"> </w:t>
            </w:r>
            <w:r>
              <w:rPr>
                <w:sz w:val="18"/>
              </w:rPr>
              <w:t>his discretion</w:t>
            </w:r>
            <w:r>
              <w:rPr>
                <w:spacing w:val="-6"/>
                <w:sz w:val="18"/>
              </w:rPr>
              <w:t xml:space="preserve"> </w:t>
            </w:r>
            <w:r>
              <w:rPr>
                <w:sz w:val="18"/>
              </w:rPr>
              <w:t>deem</w:t>
            </w:r>
            <w:r>
              <w:rPr>
                <w:spacing w:val="-6"/>
                <w:sz w:val="18"/>
              </w:rPr>
              <w:t xml:space="preserve"> </w:t>
            </w:r>
            <w:r>
              <w:rPr>
                <w:sz w:val="18"/>
              </w:rPr>
              <w:t>desirable,</w:t>
            </w:r>
            <w:r>
              <w:rPr>
                <w:spacing w:val="-7"/>
                <w:sz w:val="18"/>
              </w:rPr>
              <w:t xml:space="preserve"> </w:t>
            </w:r>
            <w:r>
              <w:rPr>
                <w:sz w:val="18"/>
              </w:rPr>
              <w:t>but</w:t>
            </w:r>
            <w:r>
              <w:rPr>
                <w:spacing w:val="-6"/>
                <w:sz w:val="18"/>
              </w:rPr>
              <w:t xml:space="preserve"> </w:t>
            </w:r>
            <w:r>
              <w:rPr>
                <w:sz w:val="18"/>
              </w:rPr>
              <w:t>the</w:t>
            </w:r>
            <w:r>
              <w:rPr>
                <w:spacing w:val="-6"/>
                <w:sz w:val="18"/>
              </w:rPr>
              <w:t xml:space="preserve"> </w:t>
            </w:r>
            <w:r>
              <w:rPr>
                <w:sz w:val="18"/>
              </w:rPr>
              <w:t>testing</w:t>
            </w:r>
            <w:r>
              <w:rPr>
                <w:spacing w:val="-8"/>
                <w:sz w:val="18"/>
              </w:rPr>
              <w:t xml:space="preserve"> </w:t>
            </w:r>
            <w:r>
              <w:rPr>
                <w:sz w:val="18"/>
              </w:rPr>
              <w:t>shall</w:t>
            </w:r>
            <w:r>
              <w:rPr>
                <w:spacing w:val="-8"/>
                <w:sz w:val="18"/>
              </w:rPr>
              <w:t xml:space="preserve"> </w:t>
            </w:r>
            <w:r>
              <w:rPr>
                <w:sz w:val="18"/>
              </w:rPr>
              <w:t>be</w:t>
            </w:r>
            <w:r>
              <w:rPr>
                <w:spacing w:val="-8"/>
                <w:sz w:val="18"/>
              </w:rPr>
              <w:t xml:space="preserve"> </w:t>
            </w:r>
            <w:r>
              <w:rPr>
                <w:sz w:val="18"/>
              </w:rPr>
              <w:t>made</w:t>
            </w:r>
            <w:r>
              <w:rPr>
                <w:spacing w:val="-6"/>
                <w:sz w:val="18"/>
              </w:rPr>
              <w:t xml:space="preserve"> </w:t>
            </w:r>
            <w:r>
              <w:rPr>
                <w:sz w:val="18"/>
              </w:rPr>
              <w:t>at</w:t>
            </w:r>
            <w:r>
              <w:rPr>
                <w:spacing w:val="-8"/>
                <w:sz w:val="18"/>
              </w:rPr>
              <w:t xml:space="preserve"> </w:t>
            </w:r>
            <w:r>
              <w:rPr>
                <w:sz w:val="18"/>
              </w:rPr>
              <w:t>the</w:t>
            </w:r>
            <w:r>
              <w:rPr>
                <w:spacing w:val="-7"/>
                <w:sz w:val="18"/>
              </w:rPr>
              <w:t xml:space="preserve"> </w:t>
            </w:r>
            <w:r>
              <w:rPr>
                <w:sz w:val="18"/>
              </w:rPr>
              <w:t>expense</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Contractor</w:t>
            </w:r>
            <w:r>
              <w:rPr>
                <w:spacing w:val="-7"/>
                <w:sz w:val="18"/>
              </w:rPr>
              <w:t xml:space="preserve"> </w:t>
            </w:r>
            <w:r>
              <w:rPr>
                <w:sz w:val="18"/>
              </w:rPr>
              <w:t>and</w:t>
            </w:r>
            <w:r>
              <w:rPr>
                <w:spacing w:val="-9"/>
                <w:sz w:val="18"/>
              </w:rPr>
              <w:t xml:space="preserve"> </w:t>
            </w:r>
            <w:r>
              <w:rPr>
                <w:sz w:val="18"/>
              </w:rPr>
              <w:t>not at</w:t>
            </w:r>
            <w:r>
              <w:rPr>
                <w:spacing w:val="-5"/>
                <w:sz w:val="18"/>
              </w:rPr>
              <w:t xml:space="preserve"> </w:t>
            </w:r>
            <w:r>
              <w:rPr>
                <w:sz w:val="18"/>
              </w:rPr>
              <w:t>the</w:t>
            </w:r>
            <w:r>
              <w:rPr>
                <w:spacing w:val="-5"/>
                <w:sz w:val="18"/>
              </w:rPr>
              <w:t xml:space="preserve"> </w:t>
            </w:r>
            <w:r>
              <w:rPr>
                <w:sz w:val="18"/>
              </w:rPr>
              <w:t>expense</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PROJECT</w:t>
            </w:r>
            <w:r>
              <w:rPr>
                <w:spacing w:val="-4"/>
                <w:sz w:val="18"/>
              </w:rPr>
              <w:t xml:space="preserve"> </w:t>
            </w:r>
            <w:r>
              <w:rPr>
                <w:sz w:val="18"/>
              </w:rPr>
              <w:t>MANAGER.</w:t>
            </w:r>
            <w:r>
              <w:rPr>
                <w:spacing w:val="-6"/>
                <w:sz w:val="18"/>
              </w:rPr>
              <w:t xml:space="preserve"> </w:t>
            </w:r>
            <w:r>
              <w:rPr>
                <w:sz w:val="18"/>
              </w:rPr>
              <w:t>The</w:t>
            </w:r>
            <w:r>
              <w:rPr>
                <w:spacing w:val="-5"/>
                <w:sz w:val="18"/>
              </w:rPr>
              <w:t xml:space="preserve"> </w:t>
            </w:r>
            <w:r>
              <w:rPr>
                <w:sz w:val="18"/>
              </w:rPr>
              <w:t>Contractor</w:t>
            </w:r>
            <w:r>
              <w:rPr>
                <w:spacing w:val="-5"/>
                <w:sz w:val="18"/>
              </w:rPr>
              <w:t xml:space="preserve"> </w:t>
            </w:r>
            <w:r>
              <w:rPr>
                <w:sz w:val="18"/>
              </w:rPr>
              <w:t>shall</w:t>
            </w:r>
            <w:r>
              <w:rPr>
                <w:spacing w:val="-6"/>
                <w:sz w:val="18"/>
              </w:rPr>
              <w:t xml:space="preserve"> </w:t>
            </w:r>
            <w:r>
              <w:rPr>
                <w:sz w:val="18"/>
              </w:rPr>
              <w:t>pay</w:t>
            </w:r>
            <w:r>
              <w:rPr>
                <w:spacing w:val="-5"/>
                <w:sz w:val="18"/>
              </w:rPr>
              <w:t xml:space="preserve"> </w:t>
            </w:r>
            <w:r>
              <w:rPr>
                <w:sz w:val="18"/>
              </w:rPr>
              <w:t>for</w:t>
            </w:r>
            <w:r>
              <w:rPr>
                <w:spacing w:val="-5"/>
                <w:sz w:val="18"/>
              </w:rPr>
              <w:t xml:space="preserve"> </w:t>
            </w:r>
            <w:r>
              <w:rPr>
                <w:sz w:val="18"/>
              </w:rPr>
              <w:t>the</w:t>
            </w:r>
            <w:r>
              <w:rPr>
                <w:spacing w:val="-5"/>
                <w:sz w:val="18"/>
              </w:rPr>
              <w:t xml:space="preserve"> </w:t>
            </w:r>
            <w:r>
              <w:rPr>
                <w:sz w:val="18"/>
              </w:rPr>
              <w:t>testing</w:t>
            </w:r>
            <w:r>
              <w:rPr>
                <w:spacing w:val="-5"/>
                <w:sz w:val="18"/>
              </w:rPr>
              <w:t xml:space="preserve"> </w:t>
            </w:r>
            <w:r>
              <w:rPr>
                <w:sz w:val="18"/>
              </w:rPr>
              <w:t>in</w:t>
            </w:r>
            <w:r>
              <w:rPr>
                <w:spacing w:val="-5"/>
                <w:sz w:val="18"/>
              </w:rPr>
              <w:t xml:space="preserve"> </w:t>
            </w:r>
            <w:r>
              <w:rPr>
                <w:sz w:val="18"/>
              </w:rPr>
              <w:t>accordance with the current scale of testing charges laid down by the Ministry of Public Works.</w:t>
            </w:r>
          </w:p>
        </w:tc>
        <w:tc>
          <w:tcPr>
            <w:tcW w:w="1593" w:type="dxa"/>
            <w:vMerge/>
            <w:tcBorders>
              <w:top w:val="nil"/>
            </w:tcBorders>
          </w:tcPr>
          <w:p w:rsidR="007F6DF9" w:rsidRDefault="007F6DF9">
            <w:pPr>
              <w:rPr>
                <w:sz w:val="2"/>
                <w:szCs w:val="2"/>
              </w:rPr>
            </w:pPr>
          </w:p>
        </w:tc>
      </w:tr>
      <w:tr w:rsidR="007F6DF9">
        <w:trPr>
          <w:trHeight w:val="1680"/>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7F6DF9">
            <w:pPr>
              <w:pStyle w:val="TableParagraph"/>
              <w:rPr>
                <w:rFonts w:ascii="Segoe UI"/>
                <w:sz w:val="18"/>
              </w:rPr>
            </w:pPr>
          </w:p>
          <w:p w:rsidR="007F6DF9" w:rsidRDefault="007F6DF9">
            <w:pPr>
              <w:pStyle w:val="TableParagraph"/>
              <w:spacing w:before="122"/>
              <w:rPr>
                <w:rFonts w:ascii="Segoe UI"/>
                <w:sz w:val="18"/>
              </w:rPr>
            </w:pPr>
          </w:p>
          <w:p w:rsidR="007F6DF9" w:rsidRDefault="00A43FBC">
            <w:pPr>
              <w:pStyle w:val="TableParagraph"/>
              <w:spacing w:line="254" w:lineRule="auto"/>
              <w:ind w:left="36" w:right="13"/>
              <w:jc w:val="both"/>
              <w:rPr>
                <w:sz w:val="18"/>
              </w:rPr>
            </w:pPr>
            <w:r>
              <w:rPr>
                <w:sz w:val="18"/>
              </w:rPr>
              <w:t xml:space="preserve">The procedure for submitting samples of materials for testing and the method of marking for identification shall be as laid down by the PROJECT MANAGER. The Contractor shall allow in his tender for such samples and tests except those in connection with nominated sub-contractors' </w:t>
            </w:r>
            <w:r>
              <w:rPr>
                <w:spacing w:val="-2"/>
                <w:sz w:val="18"/>
              </w:rPr>
              <w:t>work.</w:t>
            </w:r>
          </w:p>
        </w:tc>
        <w:tc>
          <w:tcPr>
            <w:tcW w:w="1593" w:type="dxa"/>
            <w:vMerge/>
            <w:tcBorders>
              <w:top w:val="nil"/>
            </w:tcBorders>
          </w:tcPr>
          <w:p w:rsidR="007F6DF9" w:rsidRDefault="007F6DF9">
            <w:pPr>
              <w:rPr>
                <w:sz w:val="2"/>
                <w:szCs w:val="2"/>
              </w:rPr>
            </w:pPr>
          </w:p>
        </w:tc>
      </w:tr>
      <w:tr w:rsidR="007F6DF9">
        <w:trPr>
          <w:trHeight w:val="418"/>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157"/>
              <w:ind w:left="38"/>
              <w:rPr>
                <w:sz w:val="18"/>
              </w:rPr>
            </w:pPr>
            <w:r>
              <w:rPr>
                <w:w w:val="105"/>
                <w:sz w:val="18"/>
              </w:rPr>
              <w:t>GOVERNMENT</w:t>
            </w:r>
            <w:r>
              <w:rPr>
                <w:spacing w:val="14"/>
                <w:w w:val="105"/>
                <w:sz w:val="18"/>
              </w:rPr>
              <w:t xml:space="preserve"> </w:t>
            </w:r>
            <w:r>
              <w:rPr>
                <w:w w:val="105"/>
                <w:sz w:val="18"/>
              </w:rPr>
              <w:t>ACTS</w:t>
            </w:r>
            <w:r>
              <w:rPr>
                <w:spacing w:val="12"/>
                <w:w w:val="105"/>
                <w:sz w:val="18"/>
              </w:rPr>
              <w:t xml:space="preserve"> </w:t>
            </w:r>
            <w:r>
              <w:rPr>
                <w:w w:val="105"/>
                <w:sz w:val="18"/>
              </w:rPr>
              <w:t>REGARDING</w:t>
            </w:r>
            <w:r>
              <w:rPr>
                <w:spacing w:val="58"/>
                <w:w w:val="150"/>
                <w:sz w:val="18"/>
              </w:rPr>
              <w:t xml:space="preserve"> </w:t>
            </w:r>
            <w:r>
              <w:rPr>
                <w:spacing w:val="-4"/>
                <w:w w:val="105"/>
                <w:sz w:val="18"/>
              </w:rPr>
              <w:t>WORK</w:t>
            </w:r>
          </w:p>
        </w:tc>
        <w:tc>
          <w:tcPr>
            <w:tcW w:w="1593" w:type="dxa"/>
            <w:vMerge/>
            <w:tcBorders>
              <w:top w:val="nil"/>
            </w:tcBorders>
          </w:tcPr>
          <w:p w:rsidR="007F6DF9" w:rsidRDefault="007F6DF9">
            <w:pPr>
              <w:rPr>
                <w:sz w:val="2"/>
                <w:szCs w:val="2"/>
              </w:rPr>
            </w:pPr>
          </w:p>
        </w:tc>
      </w:tr>
      <w:tr w:rsidR="007F6DF9">
        <w:trPr>
          <w:trHeight w:val="3627"/>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31" w:line="254" w:lineRule="auto"/>
              <w:ind w:left="36" w:right="13"/>
              <w:jc w:val="both"/>
              <w:rPr>
                <w:sz w:val="18"/>
              </w:rPr>
            </w:pPr>
            <w:r>
              <w:rPr>
                <w:sz w:val="18"/>
              </w:rPr>
              <w:t>Allow for complying with all Government Acts, Orders and Regulations in connection with the employment</w:t>
            </w:r>
            <w:r>
              <w:rPr>
                <w:spacing w:val="-1"/>
                <w:sz w:val="18"/>
              </w:rPr>
              <w:t xml:space="preserve"> </w:t>
            </w:r>
            <w:r>
              <w:rPr>
                <w:sz w:val="18"/>
              </w:rPr>
              <w:t>of</w:t>
            </w:r>
            <w:r>
              <w:rPr>
                <w:spacing w:val="-2"/>
                <w:sz w:val="18"/>
              </w:rPr>
              <w:t xml:space="preserve"> </w:t>
            </w:r>
            <w:proofErr w:type="spellStart"/>
            <w:r>
              <w:rPr>
                <w:sz w:val="18"/>
              </w:rPr>
              <w:t>Labour</w:t>
            </w:r>
            <w:proofErr w:type="spellEnd"/>
            <w:r>
              <w:rPr>
                <w:spacing w:val="-1"/>
                <w:sz w:val="18"/>
              </w:rPr>
              <w:t xml:space="preserve"> </w:t>
            </w:r>
            <w:r>
              <w:rPr>
                <w:sz w:val="18"/>
              </w:rPr>
              <w:t>and</w:t>
            </w:r>
            <w:r>
              <w:rPr>
                <w:spacing w:val="-3"/>
                <w:sz w:val="18"/>
              </w:rPr>
              <w:t xml:space="preserve"> </w:t>
            </w:r>
            <w:r>
              <w:rPr>
                <w:sz w:val="18"/>
              </w:rPr>
              <w:t>other</w:t>
            </w:r>
            <w:r>
              <w:rPr>
                <w:spacing w:val="-1"/>
                <w:sz w:val="18"/>
              </w:rPr>
              <w:t xml:space="preserve"> </w:t>
            </w:r>
            <w:r>
              <w:rPr>
                <w:sz w:val="18"/>
              </w:rPr>
              <w:t>matters related</w:t>
            </w:r>
            <w:r>
              <w:rPr>
                <w:spacing w:val="-3"/>
                <w:sz w:val="18"/>
              </w:rPr>
              <w:t xml:space="preserve"> </w:t>
            </w:r>
            <w:r>
              <w:rPr>
                <w:sz w:val="18"/>
              </w:rPr>
              <w:t>to the</w:t>
            </w:r>
            <w:r>
              <w:rPr>
                <w:spacing w:val="-2"/>
                <w:sz w:val="18"/>
              </w:rPr>
              <w:t xml:space="preserve"> </w:t>
            </w:r>
            <w:r>
              <w:rPr>
                <w:sz w:val="18"/>
              </w:rPr>
              <w:t>execution of</w:t>
            </w:r>
            <w:r>
              <w:rPr>
                <w:spacing w:val="-2"/>
                <w:sz w:val="18"/>
              </w:rPr>
              <w:t xml:space="preserve"> </w:t>
            </w:r>
            <w:r>
              <w:rPr>
                <w:sz w:val="18"/>
              </w:rPr>
              <w:t>the works.</w:t>
            </w:r>
            <w:r>
              <w:rPr>
                <w:spacing w:val="-2"/>
                <w:sz w:val="18"/>
              </w:rPr>
              <w:t xml:space="preserve"> </w:t>
            </w:r>
            <w:r>
              <w:rPr>
                <w:sz w:val="18"/>
              </w:rPr>
              <w:t xml:space="preserve">In </w:t>
            </w:r>
            <w:proofErr w:type="gramStart"/>
            <w:r>
              <w:rPr>
                <w:sz w:val="18"/>
              </w:rPr>
              <w:t>particular</w:t>
            </w:r>
            <w:proofErr w:type="gramEnd"/>
            <w:r>
              <w:rPr>
                <w:spacing w:val="-1"/>
                <w:sz w:val="18"/>
              </w:rPr>
              <w:t xml:space="preserve"> </w:t>
            </w:r>
            <w:r>
              <w:rPr>
                <w:sz w:val="18"/>
              </w:rPr>
              <w:t>the Contractor's attention is drawn to the provisions of the Factory Act 1950 and his tender must include for all costs arising or resulting from compliance with any Act, Order or Regulation relating</w:t>
            </w:r>
            <w:r>
              <w:rPr>
                <w:spacing w:val="-3"/>
                <w:sz w:val="18"/>
              </w:rPr>
              <w:t xml:space="preserve"> </w:t>
            </w:r>
            <w:r>
              <w:rPr>
                <w:sz w:val="18"/>
              </w:rPr>
              <w:t>to</w:t>
            </w:r>
            <w:r>
              <w:rPr>
                <w:spacing w:val="-4"/>
                <w:sz w:val="18"/>
              </w:rPr>
              <w:t xml:space="preserve"> </w:t>
            </w:r>
            <w:r>
              <w:rPr>
                <w:sz w:val="18"/>
              </w:rPr>
              <w:t>Insurances,</w:t>
            </w:r>
            <w:r>
              <w:rPr>
                <w:spacing w:val="-4"/>
                <w:sz w:val="18"/>
              </w:rPr>
              <w:t xml:space="preserve"> </w:t>
            </w:r>
            <w:r>
              <w:rPr>
                <w:sz w:val="18"/>
              </w:rPr>
              <w:t>pensions</w:t>
            </w:r>
            <w:r>
              <w:rPr>
                <w:spacing w:val="-5"/>
                <w:sz w:val="18"/>
              </w:rPr>
              <w:t xml:space="preserve"> </w:t>
            </w:r>
            <w:r>
              <w:rPr>
                <w:sz w:val="18"/>
              </w:rPr>
              <w:t>and</w:t>
            </w:r>
            <w:r>
              <w:rPr>
                <w:spacing w:val="-4"/>
                <w:sz w:val="18"/>
              </w:rPr>
              <w:t xml:space="preserve"> </w:t>
            </w:r>
            <w:r>
              <w:rPr>
                <w:sz w:val="18"/>
              </w:rPr>
              <w:t>holidays</w:t>
            </w:r>
            <w:r>
              <w:rPr>
                <w:spacing w:val="-5"/>
                <w:sz w:val="18"/>
              </w:rPr>
              <w:t xml:space="preserve"> </w:t>
            </w:r>
            <w:r>
              <w:rPr>
                <w:sz w:val="18"/>
              </w:rPr>
              <w:t>for</w:t>
            </w:r>
            <w:r>
              <w:rPr>
                <w:spacing w:val="-4"/>
                <w:sz w:val="18"/>
              </w:rPr>
              <w:t xml:space="preserve"> </w:t>
            </w:r>
            <w:r>
              <w:rPr>
                <w:sz w:val="18"/>
              </w:rPr>
              <w:t>workpeople</w:t>
            </w:r>
            <w:r>
              <w:rPr>
                <w:spacing w:val="-5"/>
                <w:sz w:val="18"/>
              </w:rPr>
              <w:t xml:space="preserve"> </w:t>
            </w:r>
            <w:r>
              <w:rPr>
                <w:sz w:val="18"/>
              </w:rPr>
              <w:t>or</w:t>
            </w:r>
            <w:r>
              <w:rPr>
                <w:spacing w:val="-4"/>
                <w:sz w:val="18"/>
              </w:rPr>
              <w:t xml:space="preserve"> </w:t>
            </w:r>
            <w:r>
              <w:rPr>
                <w:sz w:val="18"/>
              </w:rPr>
              <w:t>so</w:t>
            </w:r>
            <w:r>
              <w:rPr>
                <w:spacing w:val="-5"/>
                <w:sz w:val="18"/>
              </w:rPr>
              <w:t xml:space="preserve"> </w:t>
            </w:r>
            <w:r>
              <w:rPr>
                <w:sz w:val="18"/>
              </w:rPr>
              <w:t>the</w:t>
            </w:r>
            <w:r>
              <w:rPr>
                <w:spacing w:val="-4"/>
                <w:sz w:val="18"/>
              </w:rPr>
              <w:t xml:space="preserve"> </w:t>
            </w:r>
            <w:r>
              <w:rPr>
                <w:sz w:val="18"/>
              </w:rPr>
              <w:t>safety,</w:t>
            </w:r>
            <w:r>
              <w:rPr>
                <w:spacing w:val="-7"/>
                <w:sz w:val="18"/>
              </w:rPr>
              <w:t xml:space="preserve"> </w:t>
            </w:r>
            <w:r>
              <w:rPr>
                <w:sz w:val="18"/>
              </w:rPr>
              <w:t>health</w:t>
            </w:r>
            <w:r>
              <w:rPr>
                <w:spacing w:val="-4"/>
                <w:sz w:val="18"/>
              </w:rPr>
              <w:t xml:space="preserve"> </w:t>
            </w:r>
            <w:r>
              <w:rPr>
                <w:sz w:val="18"/>
              </w:rPr>
              <w:t>and</w:t>
            </w:r>
            <w:r>
              <w:rPr>
                <w:spacing w:val="-7"/>
                <w:sz w:val="18"/>
              </w:rPr>
              <w:t xml:space="preserve"> </w:t>
            </w:r>
            <w:r>
              <w:rPr>
                <w:sz w:val="18"/>
              </w:rPr>
              <w:t xml:space="preserve">welfare of the workpeople. The Contractor must make himself fully acquainted with current Acts and Regulations including Police Regulations regarding the movement, housing, security and control of </w:t>
            </w:r>
            <w:proofErr w:type="spellStart"/>
            <w:r>
              <w:rPr>
                <w:sz w:val="18"/>
              </w:rPr>
              <w:t>labour</w:t>
            </w:r>
            <w:proofErr w:type="spellEnd"/>
            <w:r>
              <w:rPr>
                <w:sz w:val="18"/>
              </w:rPr>
              <w:t xml:space="preserve">, </w:t>
            </w:r>
            <w:proofErr w:type="spellStart"/>
            <w:r>
              <w:rPr>
                <w:sz w:val="18"/>
              </w:rPr>
              <w:t>labour</w:t>
            </w:r>
            <w:proofErr w:type="spellEnd"/>
            <w:r>
              <w:rPr>
                <w:sz w:val="18"/>
              </w:rPr>
              <w:t xml:space="preserve"> </w:t>
            </w:r>
            <w:proofErr w:type="gramStart"/>
            <w:r>
              <w:rPr>
                <w:sz w:val="18"/>
              </w:rPr>
              <w:t>camps ,</w:t>
            </w:r>
            <w:proofErr w:type="gramEnd"/>
            <w:r>
              <w:rPr>
                <w:sz w:val="18"/>
              </w:rPr>
              <w:t xml:space="preserve"> passes for transport, etc. It is most important that the Contractor, before tendering, shall obtain from the relevant Authority the fullest information regarding all such regulations and/or restrictions which may affect the information regarding all such regulations</w:t>
            </w:r>
            <w:r>
              <w:rPr>
                <w:spacing w:val="-6"/>
                <w:sz w:val="18"/>
              </w:rPr>
              <w:t xml:space="preserve"> </w:t>
            </w:r>
            <w:r>
              <w:rPr>
                <w:sz w:val="18"/>
              </w:rPr>
              <w:t>and/or</w:t>
            </w:r>
            <w:r>
              <w:rPr>
                <w:spacing w:val="-6"/>
                <w:sz w:val="18"/>
              </w:rPr>
              <w:t xml:space="preserve"> </w:t>
            </w:r>
            <w:r>
              <w:rPr>
                <w:sz w:val="18"/>
              </w:rPr>
              <w:t>restrictions</w:t>
            </w:r>
            <w:r>
              <w:rPr>
                <w:spacing w:val="-6"/>
                <w:sz w:val="18"/>
              </w:rPr>
              <w:t xml:space="preserve"> </w:t>
            </w:r>
            <w:r>
              <w:rPr>
                <w:sz w:val="18"/>
              </w:rPr>
              <w:t>which</w:t>
            </w:r>
            <w:r>
              <w:rPr>
                <w:spacing w:val="-6"/>
                <w:sz w:val="18"/>
              </w:rPr>
              <w:t xml:space="preserve"> </w:t>
            </w:r>
            <w:r>
              <w:rPr>
                <w:sz w:val="18"/>
              </w:rPr>
              <w:t>may</w:t>
            </w:r>
            <w:r>
              <w:rPr>
                <w:spacing w:val="-7"/>
                <w:sz w:val="18"/>
              </w:rPr>
              <w:t xml:space="preserve"> </w:t>
            </w:r>
            <w:r>
              <w:rPr>
                <w:sz w:val="18"/>
              </w:rPr>
              <w:t>affect</w:t>
            </w:r>
            <w:r>
              <w:rPr>
                <w:spacing w:val="-6"/>
                <w:sz w:val="18"/>
              </w:rPr>
              <w:t xml:space="preserve"> </w:t>
            </w:r>
            <w:r>
              <w:rPr>
                <w:sz w:val="18"/>
              </w:rPr>
              <w:t>the</w:t>
            </w:r>
            <w:r>
              <w:rPr>
                <w:spacing w:val="-9"/>
                <w:sz w:val="18"/>
              </w:rPr>
              <w:t xml:space="preserve"> </w:t>
            </w:r>
            <w:r>
              <w:rPr>
                <w:sz w:val="18"/>
              </w:rPr>
              <w:t>organization</w:t>
            </w:r>
            <w:r>
              <w:rPr>
                <w:spacing w:val="-6"/>
                <w:sz w:val="18"/>
              </w:rPr>
              <w:t xml:space="preserve"> </w:t>
            </w:r>
            <w:r>
              <w:rPr>
                <w:sz w:val="18"/>
              </w:rPr>
              <w:t>of</w:t>
            </w:r>
            <w:r>
              <w:rPr>
                <w:spacing w:val="-9"/>
                <w:sz w:val="18"/>
              </w:rPr>
              <w:t xml:space="preserve"> </w:t>
            </w:r>
            <w:r>
              <w:rPr>
                <w:sz w:val="18"/>
              </w:rPr>
              <w:t>the</w:t>
            </w:r>
            <w:r>
              <w:rPr>
                <w:spacing w:val="-6"/>
                <w:sz w:val="18"/>
              </w:rPr>
              <w:t xml:space="preserve"> </w:t>
            </w:r>
            <w:r>
              <w:rPr>
                <w:sz w:val="18"/>
              </w:rPr>
              <w:t>works,</w:t>
            </w:r>
            <w:r>
              <w:rPr>
                <w:spacing w:val="-10"/>
                <w:sz w:val="18"/>
              </w:rPr>
              <w:t xml:space="preserve"> </w:t>
            </w:r>
            <w:r>
              <w:rPr>
                <w:sz w:val="18"/>
              </w:rPr>
              <w:t>supply</w:t>
            </w:r>
            <w:r>
              <w:rPr>
                <w:spacing w:val="-6"/>
                <w:sz w:val="18"/>
              </w:rPr>
              <w:t xml:space="preserve"> </w:t>
            </w:r>
            <w:r>
              <w:rPr>
                <w:sz w:val="18"/>
              </w:rPr>
              <w:t>and</w:t>
            </w:r>
            <w:r>
              <w:rPr>
                <w:spacing w:val="-10"/>
                <w:sz w:val="18"/>
              </w:rPr>
              <w:t xml:space="preserve"> </w:t>
            </w:r>
            <w:r>
              <w:rPr>
                <w:sz w:val="18"/>
              </w:rPr>
              <w:t xml:space="preserve">control of </w:t>
            </w:r>
            <w:proofErr w:type="spellStart"/>
            <w:r>
              <w:rPr>
                <w:sz w:val="18"/>
              </w:rPr>
              <w:t>labour</w:t>
            </w:r>
            <w:proofErr w:type="spellEnd"/>
            <w:r>
              <w:rPr>
                <w:sz w:val="18"/>
              </w:rPr>
              <w:t>, etc., and allow accordingly in his tender.</w:t>
            </w:r>
          </w:p>
        </w:tc>
        <w:tc>
          <w:tcPr>
            <w:tcW w:w="1593" w:type="dxa"/>
            <w:vMerge/>
            <w:tcBorders>
              <w:top w:val="nil"/>
            </w:tcBorders>
          </w:tcPr>
          <w:p w:rsidR="007F6DF9" w:rsidRDefault="007F6DF9">
            <w:pPr>
              <w:rPr>
                <w:sz w:val="2"/>
                <w:szCs w:val="2"/>
              </w:rPr>
            </w:pPr>
          </w:p>
        </w:tc>
      </w:tr>
      <w:tr w:rsidR="007F6DF9">
        <w:trPr>
          <w:trHeight w:val="1052"/>
        </w:trPr>
        <w:tc>
          <w:tcPr>
            <w:tcW w:w="674" w:type="dxa"/>
            <w:vMerge/>
            <w:tcBorders>
              <w:top w:val="nil"/>
            </w:tcBorders>
          </w:tcPr>
          <w:p w:rsidR="007F6DF9" w:rsidRDefault="007F6DF9">
            <w:pPr>
              <w:rPr>
                <w:sz w:val="2"/>
                <w:szCs w:val="2"/>
              </w:rPr>
            </w:pPr>
          </w:p>
        </w:tc>
        <w:tc>
          <w:tcPr>
            <w:tcW w:w="7767"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13"/>
              <w:rPr>
                <w:rFonts w:ascii="Segoe UI"/>
                <w:sz w:val="18"/>
              </w:rPr>
            </w:pPr>
          </w:p>
          <w:p w:rsidR="007F6DF9" w:rsidRDefault="00A43FBC">
            <w:pPr>
              <w:pStyle w:val="TableParagraph"/>
              <w:spacing w:line="201" w:lineRule="exact"/>
              <w:ind w:left="36"/>
              <w:rPr>
                <w:sz w:val="18"/>
              </w:rPr>
            </w:pPr>
            <w:r>
              <w:rPr>
                <w:sz w:val="18"/>
              </w:rPr>
              <w:t>No</w:t>
            </w:r>
            <w:r>
              <w:rPr>
                <w:spacing w:val="-2"/>
                <w:sz w:val="18"/>
              </w:rPr>
              <w:t xml:space="preserve"> </w:t>
            </w:r>
            <w:r>
              <w:rPr>
                <w:sz w:val="18"/>
              </w:rPr>
              <w:t>claim</w:t>
            </w:r>
            <w:r>
              <w:rPr>
                <w:spacing w:val="-1"/>
                <w:sz w:val="18"/>
              </w:rPr>
              <w:t xml:space="preserve"> </w:t>
            </w:r>
            <w:r>
              <w:rPr>
                <w:sz w:val="18"/>
              </w:rPr>
              <w:t>in</w:t>
            </w:r>
            <w:r>
              <w:rPr>
                <w:spacing w:val="-2"/>
                <w:sz w:val="18"/>
              </w:rPr>
              <w:t xml:space="preserve"> </w:t>
            </w:r>
            <w:r>
              <w:rPr>
                <w:sz w:val="18"/>
              </w:rPr>
              <w:t>respect</w:t>
            </w:r>
            <w:r>
              <w:rPr>
                <w:spacing w:val="-2"/>
                <w:sz w:val="18"/>
              </w:rPr>
              <w:t xml:space="preserve"> </w:t>
            </w:r>
            <w:r>
              <w:rPr>
                <w:sz w:val="18"/>
              </w:rPr>
              <w:t>of</w:t>
            </w:r>
            <w:r>
              <w:rPr>
                <w:spacing w:val="-2"/>
                <w:sz w:val="18"/>
              </w:rPr>
              <w:t xml:space="preserve"> </w:t>
            </w:r>
            <w:r>
              <w:rPr>
                <w:sz w:val="18"/>
              </w:rPr>
              <w:t>want</w:t>
            </w:r>
            <w:r>
              <w:rPr>
                <w:spacing w:val="-2"/>
                <w:sz w:val="18"/>
              </w:rPr>
              <w:t xml:space="preserve"> </w:t>
            </w:r>
            <w:r>
              <w:rPr>
                <w:sz w:val="18"/>
              </w:rPr>
              <w:t>of</w:t>
            </w:r>
            <w:r>
              <w:rPr>
                <w:spacing w:val="-2"/>
                <w:sz w:val="18"/>
              </w:rPr>
              <w:t xml:space="preserve"> </w:t>
            </w:r>
            <w:r>
              <w:rPr>
                <w:sz w:val="18"/>
              </w:rPr>
              <w:t>knowledge</w:t>
            </w:r>
            <w:r>
              <w:rPr>
                <w:spacing w:val="-2"/>
                <w:sz w:val="18"/>
              </w:rPr>
              <w:t xml:space="preserve"> </w:t>
            </w:r>
            <w:r>
              <w:rPr>
                <w:sz w:val="18"/>
              </w:rPr>
              <w:t>in</w:t>
            </w:r>
            <w:r>
              <w:rPr>
                <w:spacing w:val="-1"/>
                <w:sz w:val="18"/>
              </w:rPr>
              <w:t xml:space="preserve"> </w:t>
            </w:r>
            <w:r>
              <w:rPr>
                <w:sz w:val="18"/>
              </w:rPr>
              <w:t>this</w:t>
            </w:r>
            <w:r>
              <w:rPr>
                <w:spacing w:val="-1"/>
                <w:sz w:val="18"/>
              </w:rPr>
              <w:t xml:space="preserve"> </w:t>
            </w:r>
            <w:r>
              <w:rPr>
                <w:sz w:val="18"/>
              </w:rPr>
              <w:t>connection</w:t>
            </w:r>
            <w:r>
              <w:rPr>
                <w:spacing w:val="-2"/>
                <w:sz w:val="18"/>
              </w:rPr>
              <w:t xml:space="preserve"> </w:t>
            </w:r>
            <w:r>
              <w:rPr>
                <w:sz w:val="18"/>
              </w:rPr>
              <w:t>will</w:t>
            </w:r>
            <w:r>
              <w:rPr>
                <w:spacing w:val="-3"/>
                <w:sz w:val="18"/>
              </w:rPr>
              <w:t xml:space="preserve"> </w:t>
            </w:r>
            <w:r>
              <w:rPr>
                <w:sz w:val="18"/>
              </w:rPr>
              <w:t>be</w:t>
            </w:r>
            <w:r>
              <w:rPr>
                <w:spacing w:val="-1"/>
                <w:sz w:val="18"/>
              </w:rPr>
              <w:t xml:space="preserve"> </w:t>
            </w:r>
            <w:r>
              <w:rPr>
                <w:spacing w:val="-2"/>
                <w:sz w:val="18"/>
              </w:rPr>
              <w:t>entertained.</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9"/>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908"/>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sz w:val="18"/>
              </w:rPr>
              <w:t>PUBLIC</w:t>
            </w:r>
            <w:r>
              <w:rPr>
                <w:spacing w:val="24"/>
                <w:sz w:val="18"/>
              </w:rPr>
              <w:t xml:space="preserve"> </w:t>
            </w:r>
            <w:r>
              <w:rPr>
                <w:sz w:val="18"/>
              </w:rPr>
              <w:t>AND</w:t>
            </w:r>
            <w:r>
              <w:rPr>
                <w:spacing w:val="25"/>
                <w:sz w:val="18"/>
              </w:rPr>
              <w:t xml:space="preserve"> </w:t>
            </w:r>
            <w:r>
              <w:rPr>
                <w:sz w:val="18"/>
              </w:rPr>
              <w:t>PRIVATE</w:t>
            </w:r>
            <w:r>
              <w:rPr>
                <w:spacing w:val="23"/>
                <w:sz w:val="18"/>
              </w:rPr>
              <w:t xml:space="preserve"> </w:t>
            </w:r>
            <w:r>
              <w:rPr>
                <w:spacing w:val="-2"/>
                <w:sz w:val="18"/>
              </w:rPr>
              <w:t>ROADS.</w:t>
            </w:r>
          </w:p>
          <w:p w:rsidR="007F6DF9" w:rsidRDefault="00A43FBC">
            <w:pPr>
              <w:pStyle w:val="TableParagraph"/>
              <w:spacing w:before="216" w:line="230" w:lineRule="atLeast"/>
              <w:ind w:left="36"/>
              <w:rPr>
                <w:sz w:val="18"/>
              </w:rPr>
            </w:pPr>
            <w:r>
              <w:rPr>
                <w:sz w:val="18"/>
              </w:rPr>
              <w:t>The</w:t>
            </w:r>
            <w:r>
              <w:rPr>
                <w:spacing w:val="-3"/>
                <w:sz w:val="18"/>
              </w:rPr>
              <w:t xml:space="preserve"> </w:t>
            </w:r>
            <w:r>
              <w:rPr>
                <w:sz w:val="18"/>
              </w:rPr>
              <w:t>contractor</w:t>
            </w:r>
            <w:r>
              <w:rPr>
                <w:spacing w:val="40"/>
                <w:sz w:val="18"/>
              </w:rPr>
              <w:t xml:space="preserve"> </w:t>
            </w:r>
            <w:r>
              <w:rPr>
                <w:sz w:val="18"/>
              </w:rPr>
              <w:t>shall</w:t>
            </w:r>
            <w:r>
              <w:rPr>
                <w:spacing w:val="-5"/>
                <w:sz w:val="18"/>
              </w:rPr>
              <w:t xml:space="preserve"> </w:t>
            </w:r>
            <w:r>
              <w:rPr>
                <w:sz w:val="18"/>
              </w:rPr>
              <w:t>maintain</w:t>
            </w:r>
            <w:r>
              <w:rPr>
                <w:spacing w:val="-4"/>
                <w:sz w:val="18"/>
              </w:rPr>
              <w:t xml:space="preserve"> </w:t>
            </w:r>
            <w:r>
              <w:rPr>
                <w:sz w:val="18"/>
              </w:rPr>
              <w:t>as</w:t>
            </w:r>
            <w:r>
              <w:rPr>
                <w:spacing w:val="-3"/>
                <w:sz w:val="18"/>
              </w:rPr>
              <w:t xml:space="preserve"> </w:t>
            </w:r>
            <w:r>
              <w:rPr>
                <w:sz w:val="18"/>
              </w:rPr>
              <w:t>required</w:t>
            </w:r>
            <w:r>
              <w:rPr>
                <w:spacing w:val="-4"/>
                <w:sz w:val="18"/>
              </w:rPr>
              <w:t xml:space="preserve"> </w:t>
            </w:r>
            <w:r>
              <w:rPr>
                <w:sz w:val="18"/>
              </w:rPr>
              <w:t>throughout</w:t>
            </w:r>
            <w:r>
              <w:rPr>
                <w:spacing w:val="-3"/>
                <w:sz w:val="18"/>
              </w:rPr>
              <w:t xml:space="preserve"> </w:t>
            </w:r>
            <w:r>
              <w:rPr>
                <w:sz w:val="18"/>
              </w:rPr>
              <w:t>the</w:t>
            </w:r>
            <w:r>
              <w:rPr>
                <w:spacing w:val="-4"/>
                <w:sz w:val="18"/>
              </w:rPr>
              <w:t xml:space="preserve"> </w:t>
            </w:r>
            <w:r>
              <w:rPr>
                <w:sz w:val="18"/>
              </w:rPr>
              <w:t>execution</w:t>
            </w:r>
            <w:r>
              <w:rPr>
                <w:spacing w:val="-3"/>
                <w:sz w:val="18"/>
              </w:rPr>
              <w:t xml:space="preserve"> </w:t>
            </w:r>
            <w:r>
              <w:rPr>
                <w:sz w:val="18"/>
              </w:rPr>
              <w:t>of</w:t>
            </w:r>
            <w:r>
              <w:rPr>
                <w:spacing w:val="-5"/>
                <w:sz w:val="18"/>
              </w:rPr>
              <w:t xml:space="preserve"> </w:t>
            </w:r>
            <w:r>
              <w:rPr>
                <w:sz w:val="18"/>
              </w:rPr>
              <w:t>the</w:t>
            </w:r>
            <w:r>
              <w:rPr>
                <w:spacing w:val="-4"/>
                <w:sz w:val="18"/>
              </w:rPr>
              <w:t xml:space="preserve"> </w:t>
            </w:r>
            <w:r>
              <w:rPr>
                <w:sz w:val="18"/>
              </w:rPr>
              <w:t>works</w:t>
            </w:r>
            <w:r>
              <w:rPr>
                <w:spacing w:val="-3"/>
                <w:sz w:val="18"/>
              </w:rPr>
              <w:t xml:space="preserve"> </w:t>
            </w:r>
            <w:r>
              <w:rPr>
                <w:sz w:val="18"/>
              </w:rPr>
              <w:t>and</w:t>
            </w:r>
            <w:r>
              <w:rPr>
                <w:spacing w:val="-5"/>
                <w:sz w:val="18"/>
              </w:rPr>
              <w:t xml:space="preserve"> </w:t>
            </w:r>
            <w:r>
              <w:rPr>
                <w:sz w:val="18"/>
              </w:rPr>
              <w:t>make</w:t>
            </w:r>
            <w:r>
              <w:rPr>
                <w:spacing w:val="-3"/>
                <w:sz w:val="18"/>
              </w:rPr>
              <w:t xml:space="preserve"> </w:t>
            </w:r>
            <w:r>
              <w:rPr>
                <w:sz w:val="18"/>
              </w:rPr>
              <w:t>good any</w:t>
            </w:r>
            <w:r>
              <w:rPr>
                <w:spacing w:val="20"/>
                <w:sz w:val="18"/>
              </w:rPr>
              <w:t xml:space="preserve"> </w:t>
            </w:r>
            <w:r>
              <w:rPr>
                <w:sz w:val="18"/>
              </w:rPr>
              <w:t>damage</w:t>
            </w:r>
            <w:r>
              <w:rPr>
                <w:spacing w:val="23"/>
                <w:sz w:val="18"/>
              </w:rPr>
              <w:t xml:space="preserve"> </w:t>
            </w:r>
            <w:r>
              <w:rPr>
                <w:sz w:val="18"/>
              </w:rPr>
              <w:t>to</w:t>
            </w:r>
            <w:r>
              <w:rPr>
                <w:spacing w:val="20"/>
                <w:sz w:val="18"/>
              </w:rPr>
              <w:t xml:space="preserve"> </w:t>
            </w:r>
            <w:r>
              <w:rPr>
                <w:sz w:val="18"/>
              </w:rPr>
              <w:t>public</w:t>
            </w:r>
            <w:r>
              <w:rPr>
                <w:spacing w:val="23"/>
                <w:sz w:val="18"/>
              </w:rPr>
              <w:t xml:space="preserve"> </w:t>
            </w:r>
            <w:r>
              <w:rPr>
                <w:sz w:val="18"/>
              </w:rPr>
              <w:t>or</w:t>
            </w:r>
            <w:r>
              <w:rPr>
                <w:spacing w:val="21"/>
                <w:sz w:val="18"/>
              </w:rPr>
              <w:t xml:space="preserve"> </w:t>
            </w:r>
            <w:r>
              <w:rPr>
                <w:sz w:val="18"/>
              </w:rPr>
              <w:t>private</w:t>
            </w:r>
            <w:r>
              <w:rPr>
                <w:spacing w:val="24"/>
                <w:sz w:val="18"/>
              </w:rPr>
              <w:t xml:space="preserve"> </w:t>
            </w:r>
            <w:r>
              <w:rPr>
                <w:sz w:val="18"/>
              </w:rPr>
              <w:t>roads</w:t>
            </w:r>
            <w:r>
              <w:rPr>
                <w:spacing w:val="21"/>
                <w:sz w:val="18"/>
              </w:rPr>
              <w:t xml:space="preserve"> </w:t>
            </w:r>
            <w:r>
              <w:rPr>
                <w:sz w:val="18"/>
              </w:rPr>
              <w:t>arising</w:t>
            </w:r>
            <w:r>
              <w:rPr>
                <w:spacing w:val="23"/>
                <w:sz w:val="18"/>
              </w:rPr>
              <w:t xml:space="preserve"> </w:t>
            </w:r>
            <w:r>
              <w:rPr>
                <w:sz w:val="18"/>
              </w:rPr>
              <w:t>from</w:t>
            </w:r>
            <w:r>
              <w:rPr>
                <w:spacing w:val="21"/>
                <w:sz w:val="18"/>
              </w:rPr>
              <w:t xml:space="preserve"> </w:t>
            </w:r>
            <w:r>
              <w:rPr>
                <w:sz w:val="18"/>
              </w:rPr>
              <w:t>or</w:t>
            </w:r>
            <w:r>
              <w:rPr>
                <w:spacing w:val="22"/>
                <w:sz w:val="18"/>
              </w:rPr>
              <w:t xml:space="preserve"> </w:t>
            </w:r>
            <w:r>
              <w:rPr>
                <w:sz w:val="18"/>
              </w:rPr>
              <w:t>consequent</w:t>
            </w:r>
            <w:r>
              <w:rPr>
                <w:spacing w:val="21"/>
                <w:sz w:val="18"/>
              </w:rPr>
              <w:t xml:space="preserve"> </w:t>
            </w:r>
            <w:r>
              <w:rPr>
                <w:sz w:val="18"/>
              </w:rPr>
              <w:t>upon</w:t>
            </w:r>
            <w:r>
              <w:rPr>
                <w:spacing w:val="22"/>
                <w:sz w:val="18"/>
              </w:rPr>
              <w:t xml:space="preserve"> </w:t>
            </w:r>
            <w:r>
              <w:rPr>
                <w:sz w:val="18"/>
              </w:rPr>
              <w:t>the</w:t>
            </w:r>
            <w:r>
              <w:rPr>
                <w:spacing w:val="21"/>
                <w:sz w:val="18"/>
              </w:rPr>
              <w:t xml:space="preserve"> </w:t>
            </w:r>
            <w:r>
              <w:rPr>
                <w:sz w:val="18"/>
              </w:rPr>
              <w:t>execution</w:t>
            </w:r>
            <w:r>
              <w:rPr>
                <w:spacing w:val="23"/>
                <w:sz w:val="18"/>
              </w:rPr>
              <w:t xml:space="preserve"> </w:t>
            </w:r>
            <w:r>
              <w:rPr>
                <w:sz w:val="18"/>
              </w:rPr>
              <w:t>of</w:t>
            </w:r>
            <w:r>
              <w:rPr>
                <w:spacing w:val="19"/>
                <w:sz w:val="18"/>
              </w:rPr>
              <w:t xml:space="preserve"> </w:t>
            </w:r>
            <w:r>
              <w:rPr>
                <w:spacing w:val="-5"/>
                <w:sz w:val="18"/>
              </w:rPr>
              <w:t>the</w:t>
            </w:r>
          </w:p>
        </w:tc>
        <w:tc>
          <w:tcPr>
            <w:tcW w:w="1593" w:type="dxa"/>
            <w:vMerge w:val="restart"/>
          </w:tcPr>
          <w:p w:rsidR="007F6DF9" w:rsidRDefault="007F6DF9">
            <w:pPr>
              <w:pStyle w:val="TableParagraph"/>
              <w:rPr>
                <w:rFonts w:ascii="Times New Roman"/>
                <w:sz w:val="18"/>
              </w:rPr>
            </w:pPr>
          </w:p>
        </w:tc>
      </w:tr>
      <w:tr w:rsidR="007F6DF9">
        <w:trPr>
          <w:trHeight w:val="1598"/>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5"/>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11" w:lineRule="exact"/>
              <w:ind w:left="36"/>
              <w:rPr>
                <w:sz w:val="18"/>
              </w:rPr>
            </w:pPr>
            <w:r>
              <w:rPr>
                <w:sz w:val="18"/>
              </w:rPr>
              <w:t>works</w:t>
            </w:r>
            <w:r>
              <w:rPr>
                <w:spacing w:val="-9"/>
                <w:sz w:val="18"/>
              </w:rPr>
              <w:t xml:space="preserve"> </w:t>
            </w:r>
            <w:r>
              <w:rPr>
                <w:sz w:val="18"/>
              </w:rPr>
              <w:t>to</w:t>
            </w:r>
            <w:r>
              <w:rPr>
                <w:spacing w:val="-10"/>
                <w:sz w:val="18"/>
              </w:rPr>
              <w:t xml:space="preserve"> </w:t>
            </w:r>
            <w:r>
              <w:rPr>
                <w:sz w:val="18"/>
              </w:rPr>
              <w:t>the</w:t>
            </w:r>
            <w:r>
              <w:rPr>
                <w:spacing w:val="-10"/>
                <w:sz w:val="18"/>
              </w:rPr>
              <w:t xml:space="preserve"> </w:t>
            </w:r>
            <w:r>
              <w:rPr>
                <w:sz w:val="18"/>
              </w:rPr>
              <w:t>satisfaction</w:t>
            </w:r>
            <w:r>
              <w:rPr>
                <w:spacing w:val="-10"/>
                <w:sz w:val="18"/>
              </w:rPr>
              <w:t xml:space="preserve"> </w:t>
            </w:r>
            <w:r>
              <w:rPr>
                <w:sz w:val="18"/>
              </w:rPr>
              <w:t>of</w:t>
            </w:r>
            <w:r>
              <w:rPr>
                <w:spacing w:val="-11"/>
                <w:sz w:val="18"/>
              </w:rPr>
              <w:t xml:space="preserve"> </w:t>
            </w:r>
            <w:r>
              <w:rPr>
                <w:sz w:val="18"/>
              </w:rPr>
              <w:t>the</w:t>
            </w:r>
            <w:r>
              <w:rPr>
                <w:spacing w:val="-10"/>
                <w:sz w:val="18"/>
              </w:rPr>
              <w:t xml:space="preserve"> </w:t>
            </w:r>
            <w:r>
              <w:rPr>
                <w:sz w:val="18"/>
              </w:rPr>
              <w:t>local</w:t>
            </w:r>
            <w:r>
              <w:rPr>
                <w:spacing w:val="-11"/>
                <w:sz w:val="18"/>
              </w:rPr>
              <w:t xml:space="preserve"> </w:t>
            </w:r>
            <w:r>
              <w:rPr>
                <w:sz w:val="18"/>
              </w:rPr>
              <w:t>and</w:t>
            </w:r>
            <w:r>
              <w:rPr>
                <w:spacing w:val="-10"/>
                <w:sz w:val="18"/>
              </w:rPr>
              <w:t xml:space="preserve"> </w:t>
            </w:r>
            <w:r>
              <w:rPr>
                <w:sz w:val="18"/>
              </w:rPr>
              <w:t>other</w:t>
            </w:r>
            <w:r>
              <w:rPr>
                <w:spacing w:val="-10"/>
                <w:sz w:val="18"/>
              </w:rPr>
              <w:t xml:space="preserve"> </w:t>
            </w:r>
            <w:r>
              <w:rPr>
                <w:sz w:val="18"/>
              </w:rPr>
              <w:t>competent</w:t>
            </w:r>
            <w:r>
              <w:rPr>
                <w:spacing w:val="-10"/>
                <w:sz w:val="18"/>
              </w:rPr>
              <w:t xml:space="preserve"> </w:t>
            </w:r>
            <w:r>
              <w:rPr>
                <w:sz w:val="18"/>
              </w:rPr>
              <w:t>authority</w:t>
            </w:r>
            <w:r>
              <w:rPr>
                <w:spacing w:val="-10"/>
                <w:sz w:val="18"/>
              </w:rPr>
              <w:t xml:space="preserve"> </w:t>
            </w:r>
            <w:r>
              <w:rPr>
                <w:sz w:val="18"/>
              </w:rPr>
              <w:t>and</w:t>
            </w:r>
            <w:r>
              <w:rPr>
                <w:spacing w:val="-11"/>
                <w:sz w:val="18"/>
              </w:rPr>
              <w:t xml:space="preserve"> </w:t>
            </w:r>
            <w:r>
              <w:rPr>
                <w:sz w:val="18"/>
              </w:rPr>
              <w:t>the</w:t>
            </w:r>
            <w:r>
              <w:rPr>
                <w:spacing w:val="-10"/>
                <w:sz w:val="18"/>
              </w:rPr>
              <w:t xml:space="preserve"> </w:t>
            </w:r>
            <w:r>
              <w:rPr>
                <w:sz w:val="18"/>
              </w:rPr>
              <w:t>Project</w:t>
            </w:r>
            <w:r>
              <w:rPr>
                <w:spacing w:val="-9"/>
                <w:sz w:val="18"/>
              </w:rPr>
              <w:t xml:space="preserve"> </w:t>
            </w:r>
            <w:r>
              <w:rPr>
                <w:spacing w:val="-2"/>
                <w:sz w:val="18"/>
              </w:rPr>
              <w:t>Manager.</w:t>
            </w:r>
          </w:p>
          <w:p w:rsidR="007F6DF9" w:rsidRDefault="007F6DF9">
            <w:pPr>
              <w:pStyle w:val="TableParagraph"/>
              <w:spacing w:before="234"/>
              <w:rPr>
                <w:rFonts w:ascii="Segoe UI"/>
                <w:sz w:val="18"/>
              </w:rPr>
            </w:pPr>
          </w:p>
          <w:p w:rsidR="007F6DF9" w:rsidRDefault="00A43FBC">
            <w:pPr>
              <w:pStyle w:val="TableParagraph"/>
              <w:ind w:left="38"/>
              <w:rPr>
                <w:sz w:val="18"/>
              </w:rPr>
            </w:pPr>
            <w:r>
              <w:rPr>
                <w:sz w:val="18"/>
              </w:rPr>
              <w:t>EXISTING</w:t>
            </w:r>
            <w:r>
              <w:rPr>
                <w:spacing w:val="-1"/>
                <w:sz w:val="18"/>
              </w:rPr>
              <w:t xml:space="preserve"> </w:t>
            </w:r>
            <w:r>
              <w:rPr>
                <w:spacing w:val="-2"/>
                <w:sz w:val="18"/>
              </w:rPr>
              <w:t>PROPERTY.</w:t>
            </w:r>
          </w:p>
          <w:p w:rsidR="007F6DF9" w:rsidRDefault="00A43FBC">
            <w:pPr>
              <w:pStyle w:val="TableParagraph"/>
              <w:spacing w:before="217" w:line="230" w:lineRule="atLeast"/>
              <w:ind w:left="36"/>
              <w:rPr>
                <w:sz w:val="18"/>
              </w:rPr>
            </w:pPr>
            <w:r>
              <w:rPr>
                <w:sz w:val="18"/>
              </w:rPr>
              <w:t>The</w:t>
            </w:r>
            <w:r>
              <w:rPr>
                <w:spacing w:val="24"/>
                <w:sz w:val="18"/>
              </w:rPr>
              <w:t xml:space="preserve"> </w:t>
            </w:r>
            <w:r>
              <w:rPr>
                <w:sz w:val="18"/>
              </w:rPr>
              <w:t>Contractor</w:t>
            </w:r>
            <w:r>
              <w:rPr>
                <w:spacing w:val="23"/>
                <w:sz w:val="18"/>
              </w:rPr>
              <w:t xml:space="preserve"> </w:t>
            </w:r>
            <w:r>
              <w:rPr>
                <w:sz w:val="18"/>
              </w:rPr>
              <w:t>shall</w:t>
            </w:r>
            <w:r>
              <w:rPr>
                <w:spacing w:val="22"/>
                <w:sz w:val="18"/>
              </w:rPr>
              <w:t xml:space="preserve"> </w:t>
            </w:r>
            <w:r>
              <w:rPr>
                <w:sz w:val="18"/>
              </w:rPr>
              <w:t>take</w:t>
            </w:r>
            <w:r>
              <w:rPr>
                <w:spacing w:val="24"/>
                <w:sz w:val="18"/>
              </w:rPr>
              <w:t xml:space="preserve"> </w:t>
            </w:r>
            <w:r>
              <w:rPr>
                <w:sz w:val="18"/>
              </w:rPr>
              <w:t>every</w:t>
            </w:r>
            <w:r>
              <w:rPr>
                <w:spacing w:val="23"/>
                <w:sz w:val="18"/>
              </w:rPr>
              <w:t xml:space="preserve"> </w:t>
            </w:r>
            <w:r>
              <w:rPr>
                <w:sz w:val="18"/>
              </w:rPr>
              <w:t>precaution</w:t>
            </w:r>
            <w:r>
              <w:rPr>
                <w:spacing w:val="23"/>
                <w:sz w:val="18"/>
              </w:rPr>
              <w:t xml:space="preserve"> </w:t>
            </w:r>
            <w:r>
              <w:rPr>
                <w:sz w:val="18"/>
              </w:rPr>
              <w:t>to</w:t>
            </w:r>
            <w:r>
              <w:rPr>
                <w:spacing w:val="23"/>
                <w:sz w:val="18"/>
              </w:rPr>
              <w:t xml:space="preserve"> </w:t>
            </w:r>
            <w:r>
              <w:rPr>
                <w:sz w:val="18"/>
              </w:rPr>
              <w:t>avoid</w:t>
            </w:r>
            <w:r>
              <w:rPr>
                <w:spacing w:val="22"/>
                <w:sz w:val="18"/>
              </w:rPr>
              <w:t xml:space="preserve"> </w:t>
            </w:r>
            <w:r>
              <w:rPr>
                <w:sz w:val="18"/>
              </w:rPr>
              <w:t>damage</w:t>
            </w:r>
            <w:r>
              <w:rPr>
                <w:spacing w:val="24"/>
                <w:sz w:val="18"/>
              </w:rPr>
              <w:t xml:space="preserve"> </w:t>
            </w:r>
            <w:r>
              <w:rPr>
                <w:sz w:val="18"/>
              </w:rPr>
              <w:t>to</w:t>
            </w:r>
            <w:r>
              <w:rPr>
                <w:spacing w:val="23"/>
                <w:sz w:val="18"/>
              </w:rPr>
              <w:t xml:space="preserve"> </w:t>
            </w:r>
            <w:r>
              <w:rPr>
                <w:sz w:val="18"/>
              </w:rPr>
              <w:t>all</w:t>
            </w:r>
            <w:r>
              <w:rPr>
                <w:spacing w:val="22"/>
                <w:sz w:val="18"/>
              </w:rPr>
              <w:t xml:space="preserve"> </w:t>
            </w:r>
            <w:r>
              <w:rPr>
                <w:sz w:val="18"/>
              </w:rPr>
              <w:t>existing</w:t>
            </w:r>
            <w:r>
              <w:rPr>
                <w:spacing w:val="24"/>
                <w:sz w:val="18"/>
              </w:rPr>
              <w:t xml:space="preserve"> </w:t>
            </w:r>
            <w:r>
              <w:rPr>
                <w:sz w:val="18"/>
              </w:rPr>
              <w:t>property</w:t>
            </w:r>
            <w:r>
              <w:rPr>
                <w:spacing w:val="21"/>
                <w:sz w:val="18"/>
              </w:rPr>
              <w:t xml:space="preserve"> </w:t>
            </w:r>
            <w:r>
              <w:rPr>
                <w:sz w:val="18"/>
              </w:rPr>
              <w:t>including roads,</w:t>
            </w:r>
            <w:r>
              <w:rPr>
                <w:spacing w:val="-15"/>
                <w:sz w:val="18"/>
              </w:rPr>
              <w:t xml:space="preserve"> </w:t>
            </w:r>
            <w:r>
              <w:rPr>
                <w:sz w:val="18"/>
              </w:rPr>
              <w:t>cables,</w:t>
            </w:r>
            <w:r>
              <w:rPr>
                <w:spacing w:val="-14"/>
                <w:sz w:val="18"/>
              </w:rPr>
              <w:t xml:space="preserve"> </w:t>
            </w:r>
            <w:r>
              <w:rPr>
                <w:sz w:val="18"/>
              </w:rPr>
              <w:t>drains</w:t>
            </w:r>
            <w:r>
              <w:rPr>
                <w:spacing w:val="-14"/>
                <w:sz w:val="18"/>
              </w:rPr>
              <w:t xml:space="preserve"> </w:t>
            </w:r>
            <w:r>
              <w:rPr>
                <w:sz w:val="18"/>
              </w:rPr>
              <w:t>and</w:t>
            </w:r>
            <w:r>
              <w:rPr>
                <w:spacing w:val="-14"/>
                <w:sz w:val="18"/>
              </w:rPr>
              <w:t xml:space="preserve"> </w:t>
            </w:r>
            <w:r>
              <w:rPr>
                <w:sz w:val="18"/>
              </w:rPr>
              <w:t>other</w:t>
            </w:r>
            <w:r>
              <w:rPr>
                <w:spacing w:val="-14"/>
                <w:sz w:val="18"/>
              </w:rPr>
              <w:t xml:space="preserve"> </w:t>
            </w:r>
            <w:r>
              <w:rPr>
                <w:sz w:val="18"/>
              </w:rPr>
              <w:t>services</w:t>
            </w:r>
            <w:r>
              <w:rPr>
                <w:spacing w:val="-14"/>
                <w:sz w:val="18"/>
              </w:rPr>
              <w:t xml:space="preserve"> </w:t>
            </w:r>
            <w:r>
              <w:rPr>
                <w:sz w:val="18"/>
              </w:rPr>
              <w:t>and</w:t>
            </w:r>
            <w:r>
              <w:rPr>
                <w:spacing w:val="-14"/>
                <w:sz w:val="18"/>
              </w:rPr>
              <w:t xml:space="preserve"> </w:t>
            </w:r>
            <w:r>
              <w:rPr>
                <w:sz w:val="18"/>
              </w:rPr>
              <w:t>he</w:t>
            </w:r>
            <w:r>
              <w:rPr>
                <w:spacing w:val="-14"/>
                <w:sz w:val="18"/>
              </w:rPr>
              <w:t xml:space="preserve"> </w:t>
            </w:r>
            <w:r>
              <w:rPr>
                <w:sz w:val="18"/>
              </w:rPr>
              <w:t>will</w:t>
            </w:r>
            <w:r>
              <w:rPr>
                <w:spacing w:val="-14"/>
                <w:sz w:val="18"/>
              </w:rPr>
              <w:t xml:space="preserve"> </w:t>
            </w:r>
            <w:r>
              <w:rPr>
                <w:sz w:val="18"/>
              </w:rPr>
              <w:t>be</w:t>
            </w:r>
            <w:r>
              <w:rPr>
                <w:spacing w:val="-14"/>
                <w:sz w:val="18"/>
              </w:rPr>
              <w:t xml:space="preserve"> </w:t>
            </w:r>
            <w:r>
              <w:rPr>
                <w:sz w:val="18"/>
              </w:rPr>
              <w:t>held</w:t>
            </w:r>
            <w:r>
              <w:rPr>
                <w:spacing w:val="-14"/>
                <w:sz w:val="18"/>
              </w:rPr>
              <w:t xml:space="preserve"> </w:t>
            </w:r>
            <w:r>
              <w:rPr>
                <w:sz w:val="18"/>
              </w:rPr>
              <w:t>responsible</w:t>
            </w:r>
            <w:r>
              <w:rPr>
                <w:spacing w:val="-13"/>
                <w:sz w:val="18"/>
              </w:rPr>
              <w:t xml:space="preserve"> </w:t>
            </w:r>
            <w:r>
              <w:rPr>
                <w:sz w:val="18"/>
              </w:rPr>
              <w:t>for</w:t>
            </w:r>
            <w:r>
              <w:rPr>
                <w:spacing w:val="-14"/>
                <w:sz w:val="18"/>
              </w:rPr>
              <w:t xml:space="preserve"> </w:t>
            </w:r>
            <w:r>
              <w:rPr>
                <w:sz w:val="18"/>
              </w:rPr>
              <w:t>and</w:t>
            </w:r>
            <w:r>
              <w:rPr>
                <w:spacing w:val="-13"/>
                <w:sz w:val="18"/>
              </w:rPr>
              <w:t xml:space="preserve"> </w:t>
            </w:r>
            <w:r>
              <w:rPr>
                <w:sz w:val="18"/>
              </w:rPr>
              <w:t>shall</w:t>
            </w:r>
            <w:r>
              <w:rPr>
                <w:spacing w:val="-14"/>
                <w:sz w:val="18"/>
              </w:rPr>
              <w:t xml:space="preserve"> </w:t>
            </w:r>
            <w:r>
              <w:rPr>
                <w:sz w:val="18"/>
              </w:rPr>
              <w:t>make</w:t>
            </w:r>
            <w:r>
              <w:rPr>
                <w:spacing w:val="-12"/>
                <w:sz w:val="18"/>
              </w:rPr>
              <w:t xml:space="preserve"> </w:t>
            </w:r>
            <w:r>
              <w:rPr>
                <w:sz w:val="18"/>
              </w:rPr>
              <w:t>good</w:t>
            </w:r>
            <w:r>
              <w:rPr>
                <w:spacing w:val="-14"/>
                <w:sz w:val="18"/>
              </w:rPr>
              <w:t xml:space="preserve"> </w:t>
            </w:r>
            <w:r>
              <w:rPr>
                <w:spacing w:val="-5"/>
                <w:sz w:val="18"/>
              </w:rPr>
              <w:t>all</w:t>
            </w:r>
          </w:p>
        </w:tc>
        <w:tc>
          <w:tcPr>
            <w:tcW w:w="1593" w:type="dxa"/>
            <w:vMerge/>
            <w:tcBorders>
              <w:top w:val="nil"/>
            </w:tcBorders>
          </w:tcPr>
          <w:p w:rsidR="007F6DF9" w:rsidRDefault="007F6DF9">
            <w:pPr>
              <w:rPr>
                <w:sz w:val="2"/>
                <w:szCs w:val="2"/>
              </w:rPr>
            </w:pPr>
          </w:p>
        </w:tc>
      </w:tr>
      <w:tr w:rsidR="007F6DF9">
        <w:trPr>
          <w:trHeight w:val="2793"/>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5"/>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line="254" w:lineRule="auto"/>
              <w:ind w:left="36" w:right="12"/>
              <w:jc w:val="both"/>
              <w:rPr>
                <w:sz w:val="18"/>
              </w:rPr>
            </w:pPr>
            <w:r>
              <w:rPr>
                <w:sz w:val="18"/>
              </w:rPr>
              <w:t>such</w:t>
            </w:r>
            <w:r>
              <w:rPr>
                <w:spacing w:val="-3"/>
                <w:sz w:val="18"/>
              </w:rPr>
              <w:t xml:space="preserve"> </w:t>
            </w:r>
            <w:r>
              <w:rPr>
                <w:sz w:val="18"/>
              </w:rPr>
              <w:t>damage</w:t>
            </w:r>
            <w:r>
              <w:rPr>
                <w:spacing w:val="-2"/>
                <w:sz w:val="18"/>
              </w:rPr>
              <w:t xml:space="preserve"> </w:t>
            </w:r>
            <w:r>
              <w:rPr>
                <w:sz w:val="18"/>
              </w:rPr>
              <w:t>arising</w:t>
            </w:r>
            <w:r>
              <w:rPr>
                <w:spacing w:val="-2"/>
                <w:sz w:val="18"/>
              </w:rPr>
              <w:t xml:space="preserve"> </w:t>
            </w:r>
            <w:r>
              <w:rPr>
                <w:sz w:val="18"/>
              </w:rPr>
              <w:t>from</w:t>
            </w:r>
            <w:r>
              <w:rPr>
                <w:spacing w:val="-3"/>
                <w:sz w:val="18"/>
              </w:rPr>
              <w:t xml:space="preserve"> </w:t>
            </w:r>
            <w:r>
              <w:rPr>
                <w:sz w:val="18"/>
              </w:rPr>
              <w:t>the</w:t>
            </w:r>
            <w:r>
              <w:rPr>
                <w:spacing w:val="-3"/>
                <w:sz w:val="18"/>
              </w:rPr>
              <w:t xml:space="preserve"> </w:t>
            </w:r>
            <w:r>
              <w:rPr>
                <w:sz w:val="18"/>
              </w:rPr>
              <w:t>execution</w:t>
            </w:r>
            <w:r>
              <w:rPr>
                <w:spacing w:val="-2"/>
                <w:sz w:val="18"/>
              </w:rPr>
              <w:t xml:space="preserve"> </w:t>
            </w:r>
            <w:r>
              <w:rPr>
                <w:sz w:val="18"/>
              </w:rPr>
              <w:t>of</w:t>
            </w:r>
            <w:r>
              <w:rPr>
                <w:spacing w:val="-4"/>
                <w:sz w:val="18"/>
              </w:rPr>
              <w:t xml:space="preserve"> </w:t>
            </w:r>
            <w:r>
              <w:rPr>
                <w:sz w:val="18"/>
              </w:rPr>
              <w:t>this</w:t>
            </w:r>
            <w:r>
              <w:rPr>
                <w:spacing w:val="-5"/>
                <w:sz w:val="18"/>
              </w:rPr>
              <w:t xml:space="preserve"> </w:t>
            </w:r>
            <w:r>
              <w:rPr>
                <w:sz w:val="18"/>
              </w:rPr>
              <w:t>contract</w:t>
            </w:r>
            <w:r>
              <w:rPr>
                <w:spacing w:val="-2"/>
                <w:sz w:val="18"/>
              </w:rPr>
              <w:t xml:space="preserve"> </w:t>
            </w:r>
            <w:r>
              <w:rPr>
                <w:sz w:val="18"/>
              </w:rPr>
              <w:t>at</w:t>
            </w:r>
            <w:r>
              <w:rPr>
                <w:spacing w:val="-5"/>
                <w:sz w:val="18"/>
              </w:rPr>
              <w:t xml:space="preserve"> </w:t>
            </w:r>
            <w:r>
              <w:rPr>
                <w:sz w:val="18"/>
              </w:rPr>
              <w:t>his</w:t>
            </w:r>
            <w:r>
              <w:rPr>
                <w:spacing w:val="-2"/>
                <w:sz w:val="18"/>
              </w:rPr>
              <w:t xml:space="preserve"> </w:t>
            </w:r>
            <w:r>
              <w:rPr>
                <w:sz w:val="18"/>
              </w:rPr>
              <w:t>own</w:t>
            </w:r>
            <w:r>
              <w:rPr>
                <w:spacing w:val="-5"/>
                <w:sz w:val="18"/>
              </w:rPr>
              <w:t xml:space="preserve"> </w:t>
            </w:r>
            <w:r>
              <w:rPr>
                <w:sz w:val="18"/>
              </w:rPr>
              <w:t>expense</w:t>
            </w:r>
            <w:r>
              <w:rPr>
                <w:spacing w:val="-2"/>
                <w:sz w:val="18"/>
              </w:rPr>
              <w:t xml:space="preserve"> </w:t>
            </w:r>
            <w:r>
              <w:rPr>
                <w:sz w:val="18"/>
              </w:rPr>
              <w:t>to</w:t>
            </w:r>
            <w:r>
              <w:rPr>
                <w:spacing w:val="-5"/>
                <w:sz w:val="18"/>
              </w:rPr>
              <w:t xml:space="preserve"> </w:t>
            </w:r>
            <w:r>
              <w:rPr>
                <w:sz w:val="18"/>
              </w:rPr>
              <w:t>the</w:t>
            </w:r>
            <w:r>
              <w:rPr>
                <w:spacing w:val="-3"/>
                <w:sz w:val="18"/>
              </w:rPr>
              <w:t xml:space="preserve"> </w:t>
            </w:r>
            <w:r>
              <w:rPr>
                <w:sz w:val="18"/>
              </w:rPr>
              <w:t>satisfaction</w:t>
            </w:r>
            <w:r>
              <w:rPr>
                <w:spacing w:val="-5"/>
                <w:sz w:val="18"/>
              </w:rPr>
              <w:t xml:space="preserve"> </w:t>
            </w:r>
            <w:r>
              <w:rPr>
                <w:sz w:val="18"/>
              </w:rPr>
              <w:t>of the Project Manager.</w:t>
            </w:r>
          </w:p>
          <w:p w:rsidR="007F6DF9" w:rsidRDefault="00A43FBC">
            <w:pPr>
              <w:pStyle w:val="TableParagraph"/>
              <w:spacing w:before="223"/>
              <w:ind w:left="38"/>
              <w:jc w:val="both"/>
              <w:rPr>
                <w:sz w:val="18"/>
              </w:rPr>
            </w:pPr>
            <w:r>
              <w:rPr>
                <w:w w:val="105"/>
                <w:sz w:val="18"/>
              </w:rPr>
              <w:t>OCUPATIONAL</w:t>
            </w:r>
            <w:r>
              <w:rPr>
                <w:spacing w:val="14"/>
                <w:w w:val="105"/>
                <w:sz w:val="18"/>
              </w:rPr>
              <w:t xml:space="preserve"> </w:t>
            </w:r>
            <w:r>
              <w:rPr>
                <w:w w:val="105"/>
                <w:sz w:val="18"/>
              </w:rPr>
              <w:t>HEALTH</w:t>
            </w:r>
            <w:r>
              <w:rPr>
                <w:spacing w:val="16"/>
                <w:w w:val="105"/>
                <w:sz w:val="18"/>
              </w:rPr>
              <w:t xml:space="preserve"> </w:t>
            </w:r>
            <w:r>
              <w:rPr>
                <w:w w:val="105"/>
                <w:sz w:val="18"/>
              </w:rPr>
              <w:t>AND</w:t>
            </w:r>
            <w:r>
              <w:rPr>
                <w:spacing w:val="15"/>
                <w:w w:val="105"/>
                <w:sz w:val="18"/>
              </w:rPr>
              <w:t xml:space="preserve"> </w:t>
            </w:r>
            <w:r>
              <w:rPr>
                <w:w w:val="105"/>
                <w:sz w:val="18"/>
              </w:rPr>
              <w:t>SAFETY</w:t>
            </w:r>
            <w:r>
              <w:rPr>
                <w:spacing w:val="15"/>
                <w:w w:val="105"/>
                <w:sz w:val="18"/>
              </w:rPr>
              <w:t xml:space="preserve"> </w:t>
            </w:r>
            <w:r>
              <w:rPr>
                <w:spacing w:val="-2"/>
                <w:w w:val="105"/>
                <w:sz w:val="18"/>
              </w:rPr>
              <w:t>MEASURES</w:t>
            </w:r>
          </w:p>
          <w:p w:rsidR="007F6DF9" w:rsidRDefault="007F6DF9">
            <w:pPr>
              <w:pStyle w:val="TableParagraph"/>
              <w:spacing w:before="5"/>
              <w:rPr>
                <w:rFonts w:ascii="Segoe UI"/>
                <w:sz w:val="18"/>
              </w:rPr>
            </w:pPr>
          </w:p>
          <w:p w:rsidR="007F6DF9" w:rsidRDefault="00A43FBC">
            <w:pPr>
              <w:pStyle w:val="TableParagraph"/>
              <w:spacing w:line="254" w:lineRule="auto"/>
              <w:ind w:left="36" w:right="14"/>
              <w:jc w:val="both"/>
              <w:rPr>
                <w:sz w:val="18"/>
              </w:rPr>
            </w:pPr>
            <w:r>
              <w:rPr>
                <w:sz w:val="18"/>
              </w:rPr>
              <w:t>The</w:t>
            </w:r>
            <w:r>
              <w:rPr>
                <w:spacing w:val="-9"/>
                <w:sz w:val="18"/>
              </w:rPr>
              <w:t xml:space="preserve"> </w:t>
            </w:r>
            <w:r>
              <w:rPr>
                <w:sz w:val="18"/>
              </w:rPr>
              <w:t>Project</w:t>
            </w:r>
            <w:r>
              <w:rPr>
                <w:spacing w:val="-9"/>
                <w:sz w:val="18"/>
              </w:rPr>
              <w:t xml:space="preserve"> </w:t>
            </w:r>
            <w:r>
              <w:rPr>
                <w:sz w:val="18"/>
              </w:rPr>
              <w:t>Manager</w:t>
            </w:r>
            <w:r>
              <w:rPr>
                <w:spacing w:val="-10"/>
                <w:sz w:val="18"/>
              </w:rPr>
              <w:t xml:space="preserve"> </w:t>
            </w:r>
            <w:r>
              <w:rPr>
                <w:sz w:val="18"/>
              </w:rPr>
              <w:t>expects</w:t>
            </w:r>
            <w:r>
              <w:rPr>
                <w:spacing w:val="-9"/>
                <w:sz w:val="18"/>
              </w:rPr>
              <w:t xml:space="preserve"> </w:t>
            </w:r>
            <w:r>
              <w:rPr>
                <w:sz w:val="18"/>
              </w:rPr>
              <w:t>the</w:t>
            </w:r>
            <w:r>
              <w:rPr>
                <w:spacing w:val="-11"/>
                <w:sz w:val="18"/>
              </w:rPr>
              <w:t xml:space="preserve"> </w:t>
            </w:r>
            <w:r>
              <w:rPr>
                <w:sz w:val="18"/>
              </w:rPr>
              <w:t>contractor</w:t>
            </w:r>
            <w:r>
              <w:rPr>
                <w:spacing w:val="-10"/>
                <w:sz w:val="18"/>
              </w:rPr>
              <w:t xml:space="preserve"> </w:t>
            </w:r>
            <w:r>
              <w:rPr>
                <w:sz w:val="18"/>
              </w:rPr>
              <w:t>to</w:t>
            </w:r>
            <w:r>
              <w:rPr>
                <w:spacing w:val="-12"/>
                <w:sz w:val="18"/>
              </w:rPr>
              <w:t xml:space="preserve"> </w:t>
            </w:r>
            <w:r>
              <w:rPr>
                <w:sz w:val="18"/>
              </w:rPr>
              <w:t>adhere</w:t>
            </w:r>
            <w:r>
              <w:rPr>
                <w:spacing w:val="-10"/>
                <w:sz w:val="18"/>
              </w:rPr>
              <w:t xml:space="preserve"> </w:t>
            </w:r>
            <w:r>
              <w:rPr>
                <w:sz w:val="18"/>
              </w:rPr>
              <w:t>to</w:t>
            </w:r>
            <w:r>
              <w:rPr>
                <w:spacing w:val="-12"/>
                <w:sz w:val="18"/>
              </w:rPr>
              <w:t xml:space="preserve"> </w:t>
            </w:r>
            <w:r>
              <w:rPr>
                <w:sz w:val="18"/>
              </w:rPr>
              <w:t>strict</w:t>
            </w:r>
            <w:r>
              <w:rPr>
                <w:spacing w:val="-10"/>
                <w:sz w:val="18"/>
              </w:rPr>
              <w:t xml:space="preserve"> </w:t>
            </w:r>
            <w:r>
              <w:rPr>
                <w:sz w:val="18"/>
              </w:rPr>
              <w:t>safety</w:t>
            </w:r>
            <w:r>
              <w:rPr>
                <w:spacing w:val="-11"/>
                <w:sz w:val="18"/>
              </w:rPr>
              <w:t xml:space="preserve"> </w:t>
            </w:r>
            <w:r>
              <w:rPr>
                <w:sz w:val="18"/>
              </w:rPr>
              <w:t>measures.</w:t>
            </w:r>
            <w:r>
              <w:rPr>
                <w:spacing w:val="-11"/>
                <w:sz w:val="18"/>
              </w:rPr>
              <w:t xml:space="preserve"> </w:t>
            </w:r>
            <w:r>
              <w:rPr>
                <w:sz w:val="18"/>
              </w:rPr>
              <w:t>In</w:t>
            </w:r>
            <w:r>
              <w:rPr>
                <w:spacing w:val="-12"/>
                <w:sz w:val="18"/>
              </w:rPr>
              <w:t xml:space="preserve"> </w:t>
            </w:r>
            <w:r>
              <w:rPr>
                <w:sz w:val="18"/>
              </w:rPr>
              <w:t>this</w:t>
            </w:r>
            <w:r>
              <w:rPr>
                <w:spacing w:val="-10"/>
                <w:sz w:val="18"/>
              </w:rPr>
              <w:t xml:space="preserve"> </w:t>
            </w:r>
            <w:r>
              <w:rPr>
                <w:sz w:val="18"/>
              </w:rPr>
              <w:t>regard</w:t>
            </w:r>
            <w:r>
              <w:rPr>
                <w:spacing w:val="-13"/>
                <w:sz w:val="18"/>
              </w:rPr>
              <w:t xml:space="preserve"> </w:t>
            </w:r>
            <w:r>
              <w:rPr>
                <w:sz w:val="18"/>
              </w:rPr>
              <w:t xml:space="preserve">the </w:t>
            </w:r>
            <w:r>
              <w:rPr>
                <w:spacing w:val="-2"/>
                <w:sz w:val="18"/>
              </w:rPr>
              <w:t>contractor</w:t>
            </w:r>
            <w:r>
              <w:rPr>
                <w:spacing w:val="-4"/>
                <w:sz w:val="18"/>
              </w:rPr>
              <w:t xml:space="preserve"> </w:t>
            </w:r>
            <w:r>
              <w:rPr>
                <w:spacing w:val="-2"/>
                <w:sz w:val="18"/>
              </w:rPr>
              <w:t>should</w:t>
            </w:r>
            <w:r>
              <w:rPr>
                <w:spacing w:val="-4"/>
                <w:sz w:val="18"/>
              </w:rPr>
              <w:t xml:space="preserve"> </w:t>
            </w:r>
            <w:r>
              <w:rPr>
                <w:spacing w:val="-2"/>
                <w:sz w:val="18"/>
              </w:rPr>
              <w:t>ensure</w:t>
            </w:r>
            <w:r>
              <w:rPr>
                <w:spacing w:val="-4"/>
                <w:sz w:val="18"/>
              </w:rPr>
              <w:t xml:space="preserve"> </w:t>
            </w:r>
            <w:r>
              <w:rPr>
                <w:spacing w:val="-2"/>
                <w:sz w:val="18"/>
              </w:rPr>
              <w:t>that all</w:t>
            </w:r>
            <w:r>
              <w:rPr>
                <w:spacing w:val="-6"/>
                <w:sz w:val="18"/>
              </w:rPr>
              <w:t xml:space="preserve"> </w:t>
            </w:r>
            <w:r>
              <w:rPr>
                <w:spacing w:val="-2"/>
                <w:sz w:val="18"/>
              </w:rPr>
              <w:t>his workers,</w:t>
            </w:r>
            <w:r>
              <w:rPr>
                <w:spacing w:val="-6"/>
                <w:sz w:val="18"/>
              </w:rPr>
              <w:t xml:space="preserve"> </w:t>
            </w:r>
            <w:r>
              <w:rPr>
                <w:spacing w:val="-2"/>
                <w:sz w:val="18"/>
              </w:rPr>
              <w:t>the consultants</w:t>
            </w:r>
            <w:r>
              <w:rPr>
                <w:spacing w:val="-4"/>
                <w:sz w:val="18"/>
              </w:rPr>
              <w:t xml:space="preserve"> </w:t>
            </w:r>
            <w:r>
              <w:rPr>
                <w:spacing w:val="-2"/>
                <w:sz w:val="18"/>
              </w:rPr>
              <w:t>and</w:t>
            </w:r>
            <w:r>
              <w:rPr>
                <w:spacing w:val="-4"/>
                <w:sz w:val="18"/>
              </w:rPr>
              <w:t xml:space="preserve"> </w:t>
            </w:r>
            <w:r>
              <w:rPr>
                <w:spacing w:val="-2"/>
                <w:sz w:val="18"/>
              </w:rPr>
              <w:t>his</w:t>
            </w:r>
            <w:r>
              <w:rPr>
                <w:spacing w:val="-4"/>
                <w:sz w:val="18"/>
              </w:rPr>
              <w:t xml:space="preserve"> </w:t>
            </w:r>
            <w:r>
              <w:rPr>
                <w:spacing w:val="-2"/>
                <w:sz w:val="18"/>
              </w:rPr>
              <w:t>sub-contractors workmen</w:t>
            </w:r>
            <w:r>
              <w:rPr>
                <w:spacing w:val="-5"/>
                <w:sz w:val="18"/>
              </w:rPr>
              <w:t xml:space="preserve"> </w:t>
            </w:r>
            <w:r>
              <w:rPr>
                <w:spacing w:val="-2"/>
                <w:sz w:val="18"/>
              </w:rPr>
              <w:t xml:space="preserve">are </w:t>
            </w:r>
            <w:r>
              <w:rPr>
                <w:sz w:val="18"/>
              </w:rPr>
              <w:t>wearing Personal Protective Equipment (PPE) before commencement of any work where applicable</w:t>
            </w:r>
            <w:r>
              <w:rPr>
                <w:spacing w:val="-6"/>
                <w:sz w:val="18"/>
              </w:rPr>
              <w:t xml:space="preserve"> </w:t>
            </w:r>
            <w:r>
              <w:rPr>
                <w:sz w:val="18"/>
              </w:rPr>
              <w:t>including</w:t>
            </w:r>
            <w:r>
              <w:rPr>
                <w:spacing w:val="-6"/>
                <w:sz w:val="18"/>
              </w:rPr>
              <w:t xml:space="preserve"> </w:t>
            </w:r>
            <w:r>
              <w:rPr>
                <w:sz w:val="18"/>
              </w:rPr>
              <w:t>overalls</w:t>
            </w:r>
            <w:r>
              <w:rPr>
                <w:spacing w:val="-6"/>
                <w:sz w:val="18"/>
              </w:rPr>
              <w:t xml:space="preserve"> </w:t>
            </w:r>
            <w:r>
              <w:rPr>
                <w:sz w:val="18"/>
              </w:rPr>
              <w:t>with</w:t>
            </w:r>
            <w:r>
              <w:rPr>
                <w:spacing w:val="-7"/>
                <w:sz w:val="18"/>
              </w:rPr>
              <w:t xml:space="preserve"> </w:t>
            </w:r>
            <w:r>
              <w:rPr>
                <w:sz w:val="18"/>
              </w:rPr>
              <w:t>the</w:t>
            </w:r>
            <w:r>
              <w:rPr>
                <w:spacing w:val="-7"/>
                <w:sz w:val="18"/>
              </w:rPr>
              <w:t xml:space="preserve"> </w:t>
            </w:r>
            <w:r>
              <w:rPr>
                <w:sz w:val="18"/>
              </w:rPr>
              <w:t>company</w:t>
            </w:r>
            <w:r>
              <w:rPr>
                <w:spacing w:val="-7"/>
                <w:sz w:val="18"/>
              </w:rPr>
              <w:t xml:space="preserve"> </w:t>
            </w:r>
            <w:r>
              <w:rPr>
                <w:sz w:val="18"/>
              </w:rPr>
              <w:t>name</w:t>
            </w:r>
            <w:r>
              <w:rPr>
                <w:spacing w:val="-6"/>
                <w:sz w:val="18"/>
              </w:rPr>
              <w:t xml:space="preserve"> </w:t>
            </w:r>
            <w:r>
              <w:rPr>
                <w:sz w:val="18"/>
              </w:rPr>
              <w:t>clearly</w:t>
            </w:r>
            <w:r>
              <w:rPr>
                <w:spacing w:val="-7"/>
                <w:sz w:val="18"/>
              </w:rPr>
              <w:t xml:space="preserve"> </w:t>
            </w:r>
            <w:r>
              <w:rPr>
                <w:sz w:val="18"/>
              </w:rPr>
              <w:t>printed</w:t>
            </w:r>
            <w:r>
              <w:rPr>
                <w:spacing w:val="-7"/>
                <w:sz w:val="18"/>
              </w:rPr>
              <w:t xml:space="preserve"> </w:t>
            </w:r>
            <w:r>
              <w:rPr>
                <w:sz w:val="18"/>
              </w:rPr>
              <w:t>on</w:t>
            </w:r>
            <w:r>
              <w:rPr>
                <w:spacing w:val="-7"/>
                <w:sz w:val="18"/>
              </w:rPr>
              <w:t xml:space="preserve"> </w:t>
            </w:r>
            <w:r>
              <w:rPr>
                <w:sz w:val="18"/>
              </w:rPr>
              <w:t>the</w:t>
            </w:r>
            <w:r>
              <w:rPr>
                <w:spacing w:val="-4"/>
                <w:sz w:val="18"/>
              </w:rPr>
              <w:t xml:space="preserve"> </w:t>
            </w:r>
            <w:r>
              <w:rPr>
                <w:sz w:val="18"/>
              </w:rPr>
              <w:t>back</w:t>
            </w:r>
            <w:r>
              <w:rPr>
                <w:spacing w:val="-6"/>
                <w:sz w:val="18"/>
              </w:rPr>
              <w:t xml:space="preserve"> </w:t>
            </w:r>
            <w:r>
              <w:rPr>
                <w:sz w:val="18"/>
              </w:rPr>
              <w:t>each</w:t>
            </w:r>
            <w:r>
              <w:rPr>
                <w:spacing w:val="-5"/>
                <w:sz w:val="18"/>
              </w:rPr>
              <w:t xml:space="preserve"> </w:t>
            </w:r>
            <w:r>
              <w:rPr>
                <w:sz w:val="18"/>
              </w:rPr>
              <w:t>with</w:t>
            </w:r>
            <w:r>
              <w:rPr>
                <w:spacing w:val="-7"/>
                <w:sz w:val="18"/>
              </w:rPr>
              <w:t xml:space="preserve"> </w:t>
            </w:r>
            <w:r>
              <w:rPr>
                <w:sz w:val="18"/>
              </w:rPr>
              <w:t>clearly marked Identification Numbers stitched or imprinted on.</w:t>
            </w:r>
          </w:p>
          <w:p w:rsidR="007F6DF9" w:rsidRDefault="00A43FBC">
            <w:pPr>
              <w:pStyle w:val="TableParagraph"/>
              <w:spacing w:before="231"/>
              <w:ind w:left="36"/>
              <w:jc w:val="both"/>
              <w:rPr>
                <w:sz w:val="18"/>
              </w:rPr>
            </w:pPr>
            <w:r>
              <w:rPr>
                <w:sz w:val="18"/>
              </w:rPr>
              <w:t>The</w:t>
            </w:r>
            <w:r>
              <w:rPr>
                <w:spacing w:val="28"/>
                <w:sz w:val="18"/>
              </w:rPr>
              <w:t xml:space="preserve"> </w:t>
            </w:r>
            <w:r>
              <w:rPr>
                <w:sz w:val="18"/>
              </w:rPr>
              <w:t>Contractor</w:t>
            </w:r>
            <w:r>
              <w:rPr>
                <w:spacing w:val="28"/>
                <w:sz w:val="18"/>
              </w:rPr>
              <w:t xml:space="preserve"> </w:t>
            </w:r>
            <w:r>
              <w:rPr>
                <w:sz w:val="18"/>
              </w:rPr>
              <w:t>shall</w:t>
            </w:r>
            <w:r>
              <w:rPr>
                <w:spacing w:val="27"/>
                <w:sz w:val="18"/>
              </w:rPr>
              <w:t xml:space="preserve"> </w:t>
            </w:r>
            <w:r>
              <w:rPr>
                <w:sz w:val="18"/>
              </w:rPr>
              <w:t>allow</w:t>
            </w:r>
            <w:r>
              <w:rPr>
                <w:spacing w:val="29"/>
                <w:sz w:val="18"/>
              </w:rPr>
              <w:t xml:space="preserve"> </w:t>
            </w:r>
            <w:r>
              <w:rPr>
                <w:sz w:val="18"/>
              </w:rPr>
              <w:t>for</w:t>
            </w:r>
            <w:r>
              <w:rPr>
                <w:spacing w:val="28"/>
                <w:sz w:val="18"/>
              </w:rPr>
              <w:t xml:space="preserve"> </w:t>
            </w:r>
            <w:r>
              <w:rPr>
                <w:sz w:val="18"/>
              </w:rPr>
              <w:t>providing</w:t>
            </w:r>
            <w:r>
              <w:rPr>
                <w:spacing w:val="30"/>
                <w:sz w:val="18"/>
              </w:rPr>
              <w:t xml:space="preserve"> </w:t>
            </w:r>
            <w:r>
              <w:rPr>
                <w:sz w:val="18"/>
              </w:rPr>
              <w:t>all</w:t>
            </w:r>
            <w:r>
              <w:rPr>
                <w:spacing w:val="27"/>
                <w:sz w:val="18"/>
              </w:rPr>
              <w:t xml:space="preserve"> </w:t>
            </w:r>
            <w:r>
              <w:rPr>
                <w:sz w:val="18"/>
              </w:rPr>
              <w:t>watching,</w:t>
            </w:r>
            <w:r>
              <w:rPr>
                <w:spacing w:val="28"/>
                <w:sz w:val="18"/>
              </w:rPr>
              <w:t xml:space="preserve"> </w:t>
            </w:r>
            <w:r>
              <w:rPr>
                <w:sz w:val="18"/>
              </w:rPr>
              <w:t>lighting,</w:t>
            </w:r>
            <w:r>
              <w:rPr>
                <w:spacing w:val="30"/>
                <w:sz w:val="18"/>
              </w:rPr>
              <w:t xml:space="preserve"> </w:t>
            </w:r>
            <w:r>
              <w:rPr>
                <w:sz w:val="18"/>
              </w:rPr>
              <w:t>barriers,</w:t>
            </w:r>
            <w:r>
              <w:rPr>
                <w:spacing w:val="27"/>
                <w:sz w:val="18"/>
              </w:rPr>
              <w:t xml:space="preserve"> </w:t>
            </w:r>
            <w:r>
              <w:rPr>
                <w:sz w:val="18"/>
              </w:rPr>
              <w:t>signs,</w:t>
            </w:r>
            <w:r>
              <w:rPr>
                <w:spacing w:val="30"/>
                <w:sz w:val="18"/>
              </w:rPr>
              <w:t xml:space="preserve"> </w:t>
            </w:r>
            <w:r>
              <w:rPr>
                <w:sz w:val="18"/>
              </w:rPr>
              <w:t>covering</w:t>
            </w:r>
            <w:r>
              <w:rPr>
                <w:spacing w:val="29"/>
                <w:sz w:val="18"/>
              </w:rPr>
              <w:t xml:space="preserve"> </w:t>
            </w:r>
            <w:r>
              <w:rPr>
                <w:spacing w:val="-4"/>
                <w:sz w:val="18"/>
              </w:rPr>
              <w:t>open</w:t>
            </w:r>
          </w:p>
        </w:tc>
        <w:tc>
          <w:tcPr>
            <w:tcW w:w="1593" w:type="dxa"/>
            <w:vMerge/>
            <w:tcBorders>
              <w:top w:val="nil"/>
            </w:tcBorders>
          </w:tcPr>
          <w:p w:rsidR="007F6DF9" w:rsidRDefault="007F6DF9">
            <w:pPr>
              <w:rPr>
                <w:sz w:val="2"/>
                <w:szCs w:val="2"/>
              </w:rPr>
            </w:pPr>
          </w:p>
        </w:tc>
      </w:tr>
      <w:tr w:rsidR="007F6DF9">
        <w:trPr>
          <w:trHeight w:val="2134"/>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04"/>
              <w:rPr>
                <w:rFonts w:ascii="Segoe UI"/>
                <w:sz w:val="18"/>
              </w:rPr>
            </w:pPr>
          </w:p>
          <w:p w:rsidR="007F6DF9" w:rsidRDefault="00A43FBC">
            <w:pPr>
              <w:pStyle w:val="TableParagraph"/>
              <w:ind w:right="24"/>
              <w:jc w:val="right"/>
              <w:rPr>
                <w:sz w:val="18"/>
              </w:rPr>
            </w:pPr>
            <w:r>
              <w:rPr>
                <w:spacing w:val="-10"/>
                <w:w w:val="105"/>
                <w:sz w:val="18"/>
              </w:rPr>
              <w:t>D</w:t>
            </w:r>
          </w:p>
        </w:tc>
        <w:tc>
          <w:tcPr>
            <w:tcW w:w="7767" w:type="dxa"/>
            <w:tcBorders>
              <w:top w:val="nil"/>
              <w:bottom w:val="nil"/>
            </w:tcBorders>
          </w:tcPr>
          <w:p w:rsidR="007F6DF9" w:rsidRDefault="00A43FBC">
            <w:pPr>
              <w:pStyle w:val="TableParagraph"/>
              <w:spacing w:line="167" w:lineRule="exact"/>
              <w:ind w:left="36"/>
              <w:rPr>
                <w:sz w:val="18"/>
              </w:rPr>
            </w:pPr>
            <w:r>
              <w:rPr>
                <w:sz w:val="18"/>
              </w:rPr>
              <w:t>trenches</w:t>
            </w:r>
            <w:r>
              <w:rPr>
                <w:spacing w:val="-3"/>
                <w:sz w:val="18"/>
              </w:rPr>
              <w:t xml:space="preserve"> </w:t>
            </w:r>
            <w:r>
              <w:rPr>
                <w:sz w:val="18"/>
              </w:rPr>
              <w:t>and</w:t>
            </w:r>
            <w:r>
              <w:rPr>
                <w:spacing w:val="-8"/>
                <w:sz w:val="18"/>
              </w:rPr>
              <w:t xml:space="preserve"> </w:t>
            </w:r>
            <w:r>
              <w:rPr>
                <w:sz w:val="18"/>
              </w:rPr>
              <w:t>protection</w:t>
            </w:r>
            <w:r>
              <w:rPr>
                <w:spacing w:val="-3"/>
                <w:sz w:val="18"/>
              </w:rPr>
              <w:t xml:space="preserve"> </w:t>
            </w:r>
            <w:r>
              <w:rPr>
                <w:sz w:val="18"/>
              </w:rPr>
              <w:t>of</w:t>
            </w:r>
            <w:r>
              <w:rPr>
                <w:spacing w:val="-7"/>
                <w:sz w:val="18"/>
              </w:rPr>
              <w:t xml:space="preserve"> </w:t>
            </w:r>
            <w:r>
              <w:rPr>
                <w:sz w:val="18"/>
              </w:rPr>
              <w:t>the</w:t>
            </w:r>
            <w:r>
              <w:rPr>
                <w:spacing w:val="-4"/>
                <w:sz w:val="18"/>
              </w:rPr>
              <w:t xml:space="preserve"> </w:t>
            </w:r>
            <w:r>
              <w:rPr>
                <w:sz w:val="18"/>
              </w:rPr>
              <w:t>works,</w:t>
            </w:r>
            <w:r>
              <w:rPr>
                <w:spacing w:val="-6"/>
                <w:sz w:val="18"/>
              </w:rPr>
              <w:t xml:space="preserve"> </w:t>
            </w:r>
            <w:r>
              <w:rPr>
                <w:sz w:val="18"/>
              </w:rPr>
              <w:t>including</w:t>
            </w:r>
            <w:r>
              <w:rPr>
                <w:spacing w:val="-3"/>
                <w:sz w:val="18"/>
              </w:rPr>
              <w:t xml:space="preserve"> </w:t>
            </w:r>
            <w:r>
              <w:rPr>
                <w:sz w:val="18"/>
              </w:rPr>
              <w:t>Sub-Contract</w:t>
            </w:r>
            <w:r>
              <w:rPr>
                <w:spacing w:val="-6"/>
                <w:sz w:val="18"/>
              </w:rPr>
              <w:t xml:space="preserve"> </w:t>
            </w:r>
            <w:r>
              <w:rPr>
                <w:sz w:val="18"/>
              </w:rPr>
              <w:t>works,</w:t>
            </w:r>
            <w:r>
              <w:rPr>
                <w:spacing w:val="-5"/>
                <w:sz w:val="18"/>
              </w:rPr>
              <w:t xml:space="preserve"> </w:t>
            </w:r>
            <w:r>
              <w:rPr>
                <w:sz w:val="18"/>
              </w:rPr>
              <w:t>as</w:t>
            </w:r>
            <w:r>
              <w:rPr>
                <w:spacing w:val="-6"/>
                <w:sz w:val="18"/>
              </w:rPr>
              <w:t xml:space="preserve"> </w:t>
            </w:r>
            <w:r>
              <w:rPr>
                <w:sz w:val="18"/>
              </w:rPr>
              <w:t>may</w:t>
            </w:r>
            <w:r>
              <w:rPr>
                <w:spacing w:val="-5"/>
                <w:sz w:val="18"/>
              </w:rPr>
              <w:t xml:space="preserve"> </w:t>
            </w:r>
            <w:r>
              <w:rPr>
                <w:sz w:val="18"/>
              </w:rPr>
              <w:t>be</w:t>
            </w:r>
            <w:r>
              <w:rPr>
                <w:spacing w:val="-5"/>
                <w:sz w:val="18"/>
              </w:rPr>
              <w:t xml:space="preserve"> </w:t>
            </w:r>
            <w:r>
              <w:rPr>
                <w:sz w:val="18"/>
              </w:rPr>
              <w:t>necessary</w:t>
            </w:r>
            <w:r>
              <w:rPr>
                <w:spacing w:val="-5"/>
                <w:sz w:val="18"/>
              </w:rPr>
              <w:t xml:space="preserve"> </w:t>
            </w:r>
            <w:r>
              <w:rPr>
                <w:sz w:val="18"/>
              </w:rPr>
              <w:t>for</w:t>
            </w:r>
            <w:r>
              <w:rPr>
                <w:spacing w:val="-6"/>
                <w:sz w:val="18"/>
              </w:rPr>
              <w:t xml:space="preserve"> </w:t>
            </w:r>
            <w:r>
              <w:rPr>
                <w:spacing w:val="-5"/>
                <w:sz w:val="18"/>
              </w:rPr>
              <w:t>the</w:t>
            </w:r>
          </w:p>
          <w:p w:rsidR="007F6DF9" w:rsidRDefault="00A43FBC">
            <w:pPr>
              <w:pStyle w:val="TableParagraph"/>
              <w:spacing w:before="13" w:line="254" w:lineRule="auto"/>
              <w:ind w:left="36"/>
              <w:rPr>
                <w:sz w:val="18"/>
              </w:rPr>
            </w:pPr>
            <w:r>
              <w:rPr>
                <w:sz w:val="18"/>
              </w:rPr>
              <w:t>safety</w:t>
            </w:r>
            <w:r>
              <w:rPr>
                <w:spacing w:val="38"/>
                <w:sz w:val="18"/>
              </w:rPr>
              <w:t xml:space="preserve"> </w:t>
            </w:r>
            <w:r>
              <w:rPr>
                <w:sz w:val="18"/>
              </w:rPr>
              <w:t>of</w:t>
            </w:r>
            <w:r>
              <w:rPr>
                <w:spacing w:val="37"/>
                <w:sz w:val="18"/>
              </w:rPr>
              <w:t xml:space="preserve"> </w:t>
            </w:r>
            <w:r>
              <w:rPr>
                <w:sz w:val="18"/>
              </w:rPr>
              <w:t>the</w:t>
            </w:r>
            <w:r>
              <w:rPr>
                <w:spacing w:val="38"/>
                <w:sz w:val="18"/>
              </w:rPr>
              <w:t xml:space="preserve"> </w:t>
            </w:r>
            <w:r>
              <w:rPr>
                <w:sz w:val="18"/>
              </w:rPr>
              <w:t>works</w:t>
            </w:r>
            <w:r>
              <w:rPr>
                <w:spacing w:val="38"/>
                <w:sz w:val="18"/>
              </w:rPr>
              <w:t xml:space="preserve"> </w:t>
            </w:r>
            <w:r>
              <w:rPr>
                <w:sz w:val="18"/>
              </w:rPr>
              <w:t>and</w:t>
            </w:r>
            <w:r>
              <w:rPr>
                <w:spacing w:val="36"/>
                <w:sz w:val="18"/>
              </w:rPr>
              <w:t xml:space="preserve"> </w:t>
            </w:r>
            <w:r>
              <w:rPr>
                <w:sz w:val="18"/>
              </w:rPr>
              <w:t>for</w:t>
            </w:r>
            <w:r>
              <w:rPr>
                <w:spacing w:val="37"/>
                <w:sz w:val="18"/>
              </w:rPr>
              <w:t xml:space="preserve"> </w:t>
            </w:r>
            <w:r>
              <w:rPr>
                <w:sz w:val="18"/>
              </w:rPr>
              <w:t>the</w:t>
            </w:r>
            <w:r>
              <w:rPr>
                <w:spacing w:val="38"/>
                <w:sz w:val="18"/>
              </w:rPr>
              <w:t xml:space="preserve"> </w:t>
            </w:r>
            <w:r>
              <w:rPr>
                <w:sz w:val="18"/>
              </w:rPr>
              <w:t>protection</w:t>
            </w:r>
            <w:r>
              <w:rPr>
                <w:spacing w:val="38"/>
                <w:sz w:val="18"/>
              </w:rPr>
              <w:t xml:space="preserve"> </w:t>
            </w:r>
            <w:r>
              <w:rPr>
                <w:sz w:val="18"/>
              </w:rPr>
              <w:t>of</w:t>
            </w:r>
            <w:r>
              <w:rPr>
                <w:spacing w:val="37"/>
                <w:sz w:val="18"/>
              </w:rPr>
              <w:t xml:space="preserve"> </w:t>
            </w:r>
            <w:r>
              <w:rPr>
                <w:sz w:val="18"/>
              </w:rPr>
              <w:t>the</w:t>
            </w:r>
            <w:r>
              <w:rPr>
                <w:spacing w:val="38"/>
                <w:sz w:val="18"/>
              </w:rPr>
              <w:t xml:space="preserve"> </w:t>
            </w:r>
            <w:r>
              <w:rPr>
                <w:sz w:val="18"/>
              </w:rPr>
              <w:t>public</w:t>
            </w:r>
            <w:r>
              <w:rPr>
                <w:spacing w:val="36"/>
                <w:sz w:val="18"/>
              </w:rPr>
              <w:t xml:space="preserve"> </w:t>
            </w:r>
            <w:r>
              <w:rPr>
                <w:sz w:val="18"/>
              </w:rPr>
              <w:t>and</w:t>
            </w:r>
            <w:r>
              <w:rPr>
                <w:spacing w:val="36"/>
                <w:sz w:val="18"/>
              </w:rPr>
              <w:t xml:space="preserve"> </w:t>
            </w:r>
            <w:r>
              <w:rPr>
                <w:sz w:val="18"/>
              </w:rPr>
              <w:t>his</w:t>
            </w:r>
            <w:r>
              <w:rPr>
                <w:spacing w:val="36"/>
                <w:sz w:val="18"/>
              </w:rPr>
              <w:t xml:space="preserve"> </w:t>
            </w:r>
            <w:r>
              <w:rPr>
                <w:sz w:val="18"/>
              </w:rPr>
              <w:t>own</w:t>
            </w:r>
            <w:r>
              <w:rPr>
                <w:spacing w:val="37"/>
                <w:sz w:val="18"/>
              </w:rPr>
              <w:t xml:space="preserve"> </w:t>
            </w:r>
            <w:r>
              <w:rPr>
                <w:sz w:val="18"/>
              </w:rPr>
              <w:t>and</w:t>
            </w:r>
            <w:r>
              <w:rPr>
                <w:spacing w:val="34"/>
                <w:sz w:val="18"/>
              </w:rPr>
              <w:t xml:space="preserve"> </w:t>
            </w:r>
            <w:r>
              <w:rPr>
                <w:sz w:val="18"/>
              </w:rPr>
              <w:t xml:space="preserve">Sub-Contractors' </w:t>
            </w:r>
            <w:r>
              <w:rPr>
                <w:spacing w:val="-2"/>
                <w:sz w:val="18"/>
              </w:rPr>
              <w:t>employees.</w:t>
            </w:r>
          </w:p>
          <w:p w:rsidR="007F6DF9" w:rsidRDefault="00A43FBC">
            <w:pPr>
              <w:pStyle w:val="TableParagraph"/>
              <w:spacing w:line="254" w:lineRule="auto"/>
              <w:ind w:left="36"/>
              <w:rPr>
                <w:sz w:val="18"/>
              </w:rPr>
            </w:pPr>
            <w:r>
              <w:rPr>
                <w:sz w:val="18"/>
              </w:rPr>
              <w:t>He shall</w:t>
            </w:r>
            <w:r>
              <w:rPr>
                <w:spacing w:val="-1"/>
                <w:sz w:val="18"/>
              </w:rPr>
              <w:t xml:space="preserve"> </w:t>
            </w:r>
            <w:r>
              <w:rPr>
                <w:sz w:val="18"/>
              </w:rPr>
              <w:t>also</w:t>
            </w:r>
            <w:r>
              <w:rPr>
                <w:spacing w:val="-1"/>
                <w:sz w:val="18"/>
              </w:rPr>
              <w:t xml:space="preserve"> </w:t>
            </w:r>
            <w:r>
              <w:rPr>
                <w:sz w:val="18"/>
              </w:rPr>
              <w:t>ensure</w:t>
            </w:r>
            <w:r>
              <w:rPr>
                <w:spacing w:val="-1"/>
                <w:sz w:val="18"/>
              </w:rPr>
              <w:t xml:space="preserve"> </w:t>
            </w:r>
            <w:r>
              <w:rPr>
                <w:sz w:val="18"/>
              </w:rPr>
              <w:t>provision</w:t>
            </w:r>
            <w:r>
              <w:rPr>
                <w:spacing w:val="-1"/>
                <w:sz w:val="18"/>
              </w:rPr>
              <w:t xml:space="preserve"> </w:t>
            </w:r>
            <w:r>
              <w:rPr>
                <w:sz w:val="18"/>
              </w:rPr>
              <w:t>of</w:t>
            </w:r>
            <w:r>
              <w:rPr>
                <w:spacing w:val="-1"/>
                <w:sz w:val="18"/>
              </w:rPr>
              <w:t xml:space="preserve"> </w:t>
            </w:r>
            <w:r>
              <w:rPr>
                <w:sz w:val="18"/>
              </w:rPr>
              <w:t>first</w:t>
            </w:r>
            <w:r>
              <w:rPr>
                <w:spacing w:val="-1"/>
                <w:sz w:val="18"/>
              </w:rPr>
              <w:t xml:space="preserve"> </w:t>
            </w:r>
            <w:r>
              <w:rPr>
                <w:sz w:val="18"/>
              </w:rPr>
              <w:t>aid</w:t>
            </w:r>
            <w:r>
              <w:rPr>
                <w:spacing w:val="-1"/>
                <w:sz w:val="18"/>
              </w:rPr>
              <w:t xml:space="preserve"> </w:t>
            </w:r>
            <w:r>
              <w:rPr>
                <w:sz w:val="18"/>
              </w:rPr>
              <w:t>staff,</w:t>
            </w:r>
            <w:r>
              <w:rPr>
                <w:spacing w:val="-1"/>
                <w:sz w:val="18"/>
              </w:rPr>
              <w:t xml:space="preserve"> </w:t>
            </w:r>
            <w:r>
              <w:rPr>
                <w:sz w:val="18"/>
              </w:rPr>
              <w:t>access to</w:t>
            </w:r>
            <w:r>
              <w:rPr>
                <w:spacing w:val="-1"/>
                <w:sz w:val="18"/>
              </w:rPr>
              <w:t xml:space="preserve"> </w:t>
            </w:r>
            <w:r>
              <w:rPr>
                <w:sz w:val="18"/>
              </w:rPr>
              <w:t>ambulance services at</w:t>
            </w:r>
            <w:r>
              <w:rPr>
                <w:spacing w:val="-1"/>
                <w:sz w:val="18"/>
              </w:rPr>
              <w:t xml:space="preserve"> </w:t>
            </w:r>
            <w:r>
              <w:rPr>
                <w:sz w:val="18"/>
              </w:rPr>
              <w:t>all</w:t>
            </w:r>
            <w:r>
              <w:rPr>
                <w:spacing w:val="-1"/>
                <w:sz w:val="18"/>
              </w:rPr>
              <w:t xml:space="preserve"> </w:t>
            </w:r>
            <w:r>
              <w:rPr>
                <w:sz w:val="18"/>
              </w:rPr>
              <w:t>worksites and arrangement</w:t>
            </w:r>
            <w:r>
              <w:rPr>
                <w:spacing w:val="-3"/>
                <w:sz w:val="18"/>
              </w:rPr>
              <w:t xml:space="preserve"> </w:t>
            </w:r>
            <w:r>
              <w:rPr>
                <w:sz w:val="18"/>
              </w:rPr>
              <w:t>to</w:t>
            </w:r>
            <w:r>
              <w:rPr>
                <w:spacing w:val="-3"/>
                <w:sz w:val="18"/>
              </w:rPr>
              <w:t xml:space="preserve"> </w:t>
            </w:r>
            <w:r>
              <w:rPr>
                <w:sz w:val="18"/>
              </w:rPr>
              <w:t>access</w:t>
            </w:r>
            <w:r>
              <w:rPr>
                <w:spacing w:val="-1"/>
                <w:sz w:val="18"/>
              </w:rPr>
              <w:t xml:space="preserve"> </w:t>
            </w:r>
            <w:r>
              <w:rPr>
                <w:sz w:val="18"/>
              </w:rPr>
              <w:t>local</w:t>
            </w:r>
            <w:r>
              <w:rPr>
                <w:spacing w:val="-4"/>
                <w:sz w:val="18"/>
              </w:rPr>
              <w:t xml:space="preserve"> </w:t>
            </w:r>
            <w:r>
              <w:rPr>
                <w:sz w:val="18"/>
              </w:rPr>
              <w:t>hospital/dispensary</w:t>
            </w:r>
            <w:r>
              <w:rPr>
                <w:spacing w:val="-3"/>
                <w:sz w:val="18"/>
              </w:rPr>
              <w:t xml:space="preserve"> </w:t>
            </w:r>
            <w:r>
              <w:rPr>
                <w:sz w:val="18"/>
              </w:rPr>
              <w:t>with</w:t>
            </w:r>
            <w:r>
              <w:rPr>
                <w:spacing w:val="-4"/>
                <w:sz w:val="18"/>
              </w:rPr>
              <w:t xml:space="preserve"> </w:t>
            </w:r>
            <w:r>
              <w:rPr>
                <w:sz w:val="18"/>
              </w:rPr>
              <w:t>qualified</w:t>
            </w:r>
            <w:r>
              <w:rPr>
                <w:spacing w:val="-4"/>
                <w:sz w:val="18"/>
              </w:rPr>
              <w:t xml:space="preserve"> </w:t>
            </w:r>
            <w:r>
              <w:rPr>
                <w:sz w:val="18"/>
              </w:rPr>
              <w:t>medical</w:t>
            </w:r>
            <w:r>
              <w:rPr>
                <w:spacing w:val="-4"/>
                <w:sz w:val="18"/>
              </w:rPr>
              <w:t xml:space="preserve"> </w:t>
            </w:r>
            <w:r>
              <w:rPr>
                <w:sz w:val="18"/>
              </w:rPr>
              <w:t>staff.</w:t>
            </w:r>
          </w:p>
          <w:p w:rsidR="007F6DF9" w:rsidRDefault="00A43FBC">
            <w:pPr>
              <w:pStyle w:val="TableParagraph"/>
              <w:spacing w:line="254" w:lineRule="auto"/>
              <w:ind w:left="36"/>
              <w:rPr>
                <w:sz w:val="18"/>
              </w:rPr>
            </w:pPr>
            <w:r>
              <w:rPr>
                <w:sz w:val="18"/>
              </w:rPr>
              <w:t>The</w:t>
            </w:r>
            <w:r>
              <w:rPr>
                <w:spacing w:val="-6"/>
                <w:sz w:val="18"/>
              </w:rPr>
              <w:t xml:space="preserve"> </w:t>
            </w:r>
            <w:r>
              <w:rPr>
                <w:sz w:val="18"/>
              </w:rPr>
              <w:t>Project</w:t>
            </w:r>
            <w:r>
              <w:rPr>
                <w:spacing w:val="-6"/>
                <w:sz w:val="18"/>
              </w:rPr>
              <w:t xml:space="preserve"> </w:t>
            </w:r>
            <w:r>
              <w:rPr>
                <w:sz w:val="18"/>
              </w:rPr>
              <w:t>Manager</w:t>
            </w:r>
            <w:r>
              <w:rPr>
                <w:spacing w:val="-7"/>
                <w:sz w:val="18"/>
              </w:rPr>
              <w:t xml:space="preserve"> </w:t>
            </w:r>
            <w:r>
              <w:rPr>
                <w:sz w:val="18"/>
              </w:rPr>
              <w:t>expects</w:t>
            </w:r>
            <w:r>
              <w:rPr>
                <w:spacing w:val="-6"/>
                <w:sz w:val="18"/>
              </w:rPr>
              <w:t xml:space="preserve"> </w:t>
            </w:r>
            <w:r>
              <w:rPr>
                <w:sz w:val="18"/>
              </w:rPr>
              <w:t>full</w:t>
            </w:r>
            <w:r>
              <w:rPr>
                <w:spacing w:val="-8"/>
                <w:sz w:val="18"/>
              </w:rPr>
              <w:t xml:space="preserve"> </w:t>
            </w:r>
            <w:r>
              <w:rPr>
                <w:sz w:val="18"/>
              </w:rPr>
              <w:t>compliance</w:t>
            </w:r>
            <w:r>
              <w:rPr>
                <w:spacing w:val="-9"/>
                <w:sz w:val="18"/>
              </w:rPr>
              <w:t xml:space="preserve"> </w:t>
            </w:r>
            <w:r>
              <w:rPr>
                <w:sz w:val="18"/>
              </w:rPr>
              <w:t>to</w:t>
            </w:r>
            <w:r>
              <w:rPr>
                <w:spacing w:val="-7"/>
                <w:sz w:val="18"/>
              </w:rPr>
              <w:t xml:space="preserve"> </w:t>
            </w:r>
            <w:r>
              <w:rPr>
                <w:sz w:val="18"/>
              </w:rPr>
              <w:t>this</w:t>
            </w:r>
            <w:r>
              <w:rPr>
                <w:spacing w:val="-9"/>
                <w:sz w:val="18"/>
              </w:rPr>
              <w:t xml:space="preserve"> </w:t>
            </w:r>
            <w:r>
              <w:rPr>
                <w:sz w:val="18"/>
              </w:rPr>
              <w:t>regulation</w:t>
            </w:r>
            <w:r>
              <w:rPr>
                <w:spacing w:val="-7"/>
                <w:sz w:val="18"/>
              </w:rPr>
              <w:t xml:space="preserve"> </w:t>
            </w:r>
            <w:r>
              <w:rPr>
                <w:sz w:val="18"/>
              </w:rPr>
              <w:t>and</w:t>
            </w:r>
            <w:r>
              <w:rPr>
                <w:spacing w:val="-9"/>
                <w:sz w:val="18"/>
              </w:rPr>
              <w:t xml:space="preserve"> </w:t>
            </w:r>
            <w:r>
              <w:rPr>
                <w:sz w:val="18"/>
              </w:rPr>
              <w:t>no</w:t>
            </w:r>
            <w:r>
              <w:rPr>
                <w:spacing w:val="-7"/>
                <w:sz w:val="18"/>
              </w:rPr>
              <w:t xml:space="preserve"> </w:t>
            </w:r>
            <w:r>
              <w:rPr>
                <w:sz w:val="18"/>
              </w:rPr>
              <w:t>excuses</w:t>
            </w:r>
            <w:r>
              <w:rPr>
                <w:spacing w:val="-8"/>
                <w:sz w:val="18"/>
              </w:rPr>
              <w:t xml:space="preserve"> </w:t>
            </w:r>
            <w:r>
              <w:rPr>
                <w:sz w:val="18"/>
              </w:rPr>
              <w:t>will</w:t>
            </w:r>
            <w:r>
              <w:rPr>
                <w:spacing w:val="-8"/>
                <w:sz w:val="18"/>
              </w:rPr>
              <w:t xml:space="preserve"> </w:t>
            </w:r>
            <w:r>
              <w:rPr>
                <w:sz w:val="18"/>
              </w:rPr>
              <w:t>be</w:t>
            </w:r>
            <w:r>
              <w:rPr>
                <w:spacing w:val="-9"/>
                <w:sz w:val="18"/>
              </w:rPr>
              <w:t xml:space="preserve"> </w:t>
            </w:r>
            <w:r>
              <w:rPr>
                <w:sz w:val="18"/>
              </w:rPr>
              <w:t>entertained for non-compliance.</w:t>
            </w:r>
          </w:p>
          <w:p w:rsidR="007F6DF9" w:rsidRDefault="007F6DF9">
            <w:pPr>
              <w:pStyle w:val="TableParagraph"/>
              <w:spacing w:before="78"/>
              <w:rPr>
                <w:rFonts w:ascii="Segoe UI"/>
                <w:sz w:val="18"/>
              </w:rPr>
            </w:pPr>
          </w:p>
          <w:p w:rsidR="007F6DF9" w:rsidRDefault="00A43FBC">
            <w:pPr>
              <w:pStyle w:val="TableParagraph"/>
              <w:ind w:left="38"/>
              <w:rPr>
                <w:sz w:val="18"/>
              </w:rPr>
            </w:pPr>
            <w:r>
              <w:rPr>
                <w:w w:val="105"/>
                <w:sz w:val="18"/>
              </w:rPr>
              <w:t>OCUPATIONAL</w:t>
            </w:r>
            <w:r>
              <w:rPr>
                <w:spacing w:val="14"/>
                <w:w w:val="105"/>
                <w:sz w:val="18"/>
              </w:rPr>
              <w:t xml:space="preserve"> </w:t>
            </w:r>
            <w:r>
              <w:rPr>
                <w:w w:val="105"/>
                <w:sz w:val="18"/>
              </w:rPr>
              <w:t>HEALTH</w:t>
            </w:r>
            <w:r>
              <w:rPr>
                <w:spacing w:val="16"/>
                <w:w w:val="105"/>
                <w:sz w:val="18"/>
              </w:rPr>
              <w:t xml:space="preserve"> </w:t>
            </w:r>
            <w:r>
              <w:rPr>
                <w:w w:val="105"/>
                <w:sz w:val="18"/>
              </w:rPr>
              <w:t>AND</w:t>
            </w:r>
            <w:r>
              <w:rPr>
                <w:spacing w:val="15"/>
                <w:w w:val="105"/>
                <w:sz w:val="18"/>
              </w:rPr>
              <w:t xml:space="preserve"> </w:t>
            </w:r>
            <w:r>
              <w:rPr>
                <w:w w:val="105"/>
                <w:sz w:val="18"/>
              </w:rPr>
              <w:t>SAFETY</w:t>
            </w:r>
            <w:r>
              <w:rPr>
                <w:spacing w:val="15"/>
                <w:w w:val="105"/>
                <w:sz w:val="18"/>
              </w:rPr>
              <w:t xml:space="preserve"> </w:t>
            </w:r>
            <w:r>
              <w:rPr>
                <w:spacing w:val="-2"/>
                <w:w w:val="105"/>
                <w:sz w:val="18"/>
              </w:rPr>
              <w:t>PERSONEL</w:t>
            </w:r>
          </w:p>
        </w:tc>
        <w:tc>
          <w:tcPr>
            <w:tcW w:w="1593" w:type="dxa"/>
            <w:vMerge/>
            <w:tcBorders>
              <w:top w:val="nil"/>
            </w:tcBorders>
          </w:tcPr>
          <w:p w:rsidR="007F6DF9" w:rsidRDefault="007F6DF9">
            <w:pPr>
              <w:rPr>
                <w:sz w:val="2"/>
                <w:szCs w:val="2"/>
              </w:rPr>
            </w:pPr>
          </w:p>
        </w:tc>
      </w:tr>
      <w:tr w:rsidR="007F6DF9">
        <w:trPr>
          <w:trHeight w:val="476"/>
        </w:trPr>
        <w:tc>
          <w:tcPr>
            <w:tcW w:w="674" w:type="dxa"/>
            <w:tcBorders>
              <w:top w:val="nil"/>
            </w:tcBorders>
          </w:tcPr>
          <w:p w:rsidR="007F6DF9" w:rsidRDefault="007F6DF9">
            <w:pPr>
              <w:pStyle w:val="TableParagraph"/>
              <w:rPr>
                <w:rFonts w:ascii="Times New Roman"/>
                <w:sz w:val="18"/>
              </w:rPr>
            </w:pPr>
          </w:p>
        </w:tc>
        <w:tc>
          <w:tcPr>
            <w:tcW w:w="7767" w:type="dxa"/>
            <w:tcBorders>
              <w:top w:val="nil"/>
            </w:tcBorders>
          </w:tcPr>
          <w:p w:rsidR="007F6DF9" w:rsidRDefault="00A43FBC">
            <w:pPr>
              <w:pStyle w:val="TableParagraph"/>
              <w:spacing w:line="230" w:lineRule="atLeast"/>
              <w:ind w:left="36"/>
              <w:rPr>
                <w:sz w:val="18"/>
              </w:rPr>
            </w:pPr>
            <w:r>
              <w:rPr>
                <w:sz w:val="18"/>
              </w:rPr>
              <w:t>The contractor shall allow for Occupational Health and Safety personnel as directed and afford every reasonable facility for the performance of their duties.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60"/>
          <w:pgSz w:w="12240" w:h="15840"/>
          <w:pgMar w:top="1060" w:right="1133" w:bottom="700" w:left="850" w:header="0" w:footer="506" w:gutter="0"/>
          <w:pgNumType w:start="15"/>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17"/>
        </w:trPr>
        <w:tc>
          <w:tcPr>
            <w:tcW w:w="674" w:type="dxa"/>
            <w:tcBorders>
              <w:bottom w:val="nil"/>
            </w:tcBorders>
          </w:tcPr>
          <w:p w:rsidR="007F6DF9" w:rsidRDefault="00A43FBC">
            <w:pPr>
              <w:pStyle w:val="TableParagraph"/>
              <w:spacing w:line="197"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197" w:lineRule="exact"/>
              <w:ind w:left="38"/>
              <w:rPr>
                <w:sz w:val="18"/>
              </w:rPr>
            </w:pPr>
            <w:r>
              <w:rPr>
                <w:sz w:val="18"/>
              </w:rPr>
              <w:t>ACCESS</w:t>
            </w:r>
            <w:r>
              <w:rPr>
                <w:spacing w:val="19"/>
                <w:sz w:val="18"/>
              </w:rPr>
              <w:t xml:space="preserve"> </w:t>
            </w:r>
            <w:r>
              <w:rPr>
                <w:sz w:val="18"/>
              </w:rPr>
              <w:t>TO</w:t>
            </w:r>
            <w:r>
              <w:rPr>
                <w:spacing w:val="20"/>
                <w:sz w:val="18"/>
              </w:rPr>
              <w:t xml:space="preserve"> </w:t>
            </w:r>
            <w:r>
              <w:rPr>
                <w:sz w:val="18"/>
              </w:rPr>
              <w:t>SITE</w:t>
            </w:r>
            <w:r>
              <w:rPr>
                <w:spacing w:val="18"/>
                <w:sz w:val="18"/>
              </w:rPr>
              <w:t xml:space="preserve"> </w:t>
            </w:r>
            <w:r>
              <w:rPr>
                <w:sz w:val="18"/>
              </w:rPr>
              <w:t>AND</w:t>
            </w:r>
            <w:r>
              <w:rPr>
                <w:spacing w:val="21"/>
                <w:sz w:val="18"/>
              </w:rPr>
              <w:t xml:space="preserve"> </w:t>
            </w:r>
            <w:r>
              <w:rPr>
                <w:sz w:val="18"/>
              </w:rPr>
              <w:t>TEMPORARY</w:t>
            </w:r>
            <w:r>
              <w:rPr>
                <w:spacing w:val="21"/>
                <w:sz w:val="18"/>
              </w:rPr>
              <w:t xml:space="preserve"> </w:t>
            </w:r>
            <w:r>
              <w:rPr>
                <w:spacing w:val="-2"/>
                <w:sz w:val="18"/>
              </w:rPr>
              <w:t>ROADS.</w:t>
            </w:r>
          </w:p>
        </w:tc>
        <w:tc>
          <w:tcPr>
            <w:tcW w:w="1593" w:type="dxa"/>
            <w:vMerge w:val="restart"/>
          </w:tcPr>
          <w:p w:rsidR="007F6DF9" w:rsidRDefault="007F6DF9">
            <w:pPr>
              <w:pStyle w:val="TableParagraph"/>
              <w:rPr>
                <w:rFonts w:ascii="Times New Roman"/>
                <w:sz w:val="16"/>
              </w:rPr>
            </w:pPr>
          </w:p>
        </w:tc>
      </w:tr>
      <w:tr w:rsidR="007F6DF9">
        <w:trPr>
          <w:trHeight w:val="1973"/>
        </w:trPr>
        <w:tc>
          <w:tcPr>
            <w:tcW w:w="674" w:type="dxa"/>
            <w:tcBorders>
              <w:top w:val="nil"/>
              <w:bottom w:val="nil"/>
            </w:tcBorders>
          </w:tcPr>
          <w:p w:rsidR="007F6DF9" w:rsidRDefault="007F6DF9">
            <w:pPr>
              <w:pStyle w:val="TableParagraph"/>
              <w:rPr>
                <w:rFonts w:ascii="Times New Roman"/>
                <w:sz w:val="16"/>
              </w:rPr>
            </w:pPr>
          </w:p>
        </w:tc>
        <w:tc>
          <w:tcPr>
            <w:tcW w:w="7767" w:type="dxa"/>
            <w:tcBorders>
              <w:top w:val="nil"/>
              <w:bottom w:val="nil"/>
            </w:tcBorders>
          </w:tcPr>
          <w:p w:rsidR="007F6DF9" w:rsidRDefault="00A43FBC">
            <w:pPr>
              <w:pStyle w:val="TableParagraph"/>
              <w:spacing w:line="254" w:lineRule="auto"/>
              <w:ind w:left="36" w:right="13"/>
              <w:jc w:val="both"/>
              <w:rPr>
                <w:sz w:val="18"/>
              </w:rPr>
            </w:pPr>
            <w:r>
              <w:rPr>
                <w:sz w:val="18"/>
              </w:rPr>
              <w:t>Means</w:t>
            </w:r>
            <w:r>
              <w:rPr>
                <w:spacing w:val="-4"/>
                <w:sz w:val="18"/>
              </w:rPr>
              <w:t xml:space="preserve"> </w:t>
            </w:r>
            <w:r>
              <w:rPr>
                <w:sz w:val="18"/>
              </w:rPr>
              <w:t>of</w:t>
            </w:r>
            <w:r>
              <w:rPr>
                <w:spacing w:val="-3"/>
                <w:sz w:val="18"/>
              </w:rPr>
              <w:t xml:space="preserve"> </w:t>
            </w:r>
            <w:r>
              <w:rPr>
                <w:sz w:val="18"/>
              </w:rPr>
              <w:t>access</w:t>
            </w:r>
            <w:r>
              <w:rPr>
                <w:spacing w:val="-4"/>
                <w:sz w:val="18"/>
              </w:rPr>
              <w:t xml:space="preserve"> </w:t>
            </w:r>
            <w:r>
              <w:rPr>
                <w:sz w:val="18"/>
              </w:rPr>
              <w:t>to</w:t>
            </w:r>
            <w:r>
              <w:rPr>
                <w:spacing w:val="-3"/>
                <w:sz w:val="18"/>
              </w:rPr>
              <w:t xml:space="preserve"> </w:t>
            </w:r>
            <w:r>
              <w:rPr>
                <w:sz w:val="18"/>
              </w:rPr>
              <w:t>the</w:t>
            </w:r>
            <w:r>
              <w:rPr>
                <w:spacing w:val="-4"/>
                <w:sz w:val="18"/>
              </w:rPr>
              <w:t xml:space="preserve"> </w:t>
            </w:r>
            <w:r>
              <w:rPr>
                <w:sz w:val="18"/>
              </w:rPr>
              <w:t>Site</w:t>
            </w:r>
            <w:r>
              <w:rPr>
                <w:spacing w:val="-2"/>
                <w:sz w:val="18"/>
              </w:rPr>
              <w:t xml:space="preserve"> </w:t>
            </w:r>
            <w:r>
              <w:rPr>
                <w:sz w:val="18"/>
              </w:rPr>
              <w:t>shall</w:t>
            </w:r>
            <w:r>
              <w:rPr>
                <w:spacing w:val="-5"/>
                <w:sz w:val="18"/>
              </w:rPr>
              <w:t xml:space="preserve"> </w:t>
            </w:r>
            <w:r>
              <w:rPr>
                <w:sz w:val="18"/>
              </w:rPr>
              <w:t>be</w:t>
            </w:r>
            <w:r>
              <w:rPr>
                <w:spacing w:val="-2"/>
                <w:sz w:val="18"/>
              </w:rPr>
              <w:t xml:space="preserve"> </w:t>
            </w:r>
            <w:r>
              <w:rPr>
                <w:sz w:val="18"/>
              </w:rPr>
              <w:t>agreed</w:t>
            </w:r>
            <w:r>
              <w:rPr>
                <w:spacing w:val="-5"/>
                <w:sz w:val="18"/>
              </w:rPr>
              <w:t xml:space="preserve"> </w:t>
            </w:r>
            <w:r>
              <w:rPr>
                <w:sz w:val="18"/>
              </w:rPr>
              <w:t>with</w:t>
            </w:r>
            <w:r>
              <w:rPr>
                <w:spacing w:val="-3"/>
                <w:sz w:val="18"/>
              </w:rPr>
              <w:t xml:space="preserve"> </w:t>
            </w:r>
            <w:r>
              <w:rPr>
                <w:sz w:val="18"/>
              </w:rPr>
              <w:t>the</w:t>
            </w:r>
            <w:r>
              <w:rPr>
                <w:spacing w:val="-4"/>
                <w:sz w:val="18"/>
              </w:rPr>
              <w:t xml:space="preserve"> </w:t>
            </w:r>
            <w:r>
              <w:rPr>
                <w:sz w:val="18"/>
              </w:rPr>
              <w:t>CLIENT</w:t>
            </w:r>
            <w:r>
              <w:rPr>
                <w:spacing w:val="-2"/>
                <w:sz w:val="18"/>
              </w:rPr>
              <w:t xml:space="preserve"> </w:t>
            </w:r>
            <w:r>
              <w:rPr>
                <w:sz w:val="18"/>
              </w:rPr>
              <w:t>prior</w:t>
            </w:r>
            <w:r>
              <w:rPr>
                <w:spacing w:val="-4"/>
                <w:sz w:val="18"/>
              </w:rPr>
              <w:t xml:space="preserve"> </w:t>
            </w:r>
            <w:r>
              <w:rPr>
                <w:sz w:val="18"/>
              </w:rPr>
              <w:t>to</w:t>
            </w:r>
            <w:r>
              <w:rPr>
                <w:spacing w:val="-2"/>
                <w:sz w:val="18"/>
              </w:rPr>
              <w:t xml:space="preserve"> </w:t>
            </w:r>
            <w:r>
              <w:rPr>
                <w:sz w:val="18"/>
              </w:rPr>
              <w:t>commencement</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work and</w:t>
            </w:r>
            <w:r>
              <w:rPr>
                <w:spacing w:val="-8"/>
                <w:sz w:val="18"/>
              </w:rPr>
              <w:t xml:space="preserve"> </w:t>
            </w:r>
            <w:r>
              <w:rPr>
                <w:sz w:val="18"/>
              </w:rPr>
              <w:t>Contractor</w:t>
            </w:r>
            <w:r>
              <w:rPr>
                <w:spacing w:val="-7"/>
                <w:sz w:val="18"/>
              </w:rPr>
              <w:t xml:space="preserve"> </w:t>
            </w:r>
            <w:r>
              <w:rPr>
                <w:sz w:val="18"/>
              </w:rPr>
              <w:t>must</w:t>
            </w:r>
            <w:r>
              <w:rPr>
                <w:spacing w:val="-6"/>
                <w:sz w:val="18"/>
              </w:rPr>
              <w:t xml:space="preserve"> </w:t>
            </w:r>
            <w:r>
              <w:rPr>
                <w:sz w:val="18"/>
              </w:rPr>
              <w:t>allow</w:t>
            </w:r>
            <w:r>
              <w:rPr>
                <w:spacing w:val="-6"/>
                <w:sz w:val="18"/>
              </w:rPr>
              <w:t xml:space="preserve"> </w:t>
            </w:r>
            <w:r>
              <w:rPr>
                <w:sz w:val="18"/>
              </w:rPr>
              <w:t>for</w:t>
            </w:r>
            <w:r>
              <w:rPr>
                <w:spacing w:val="-7"/>
                <w:sz w:val="18"/>
              </w:rPr>
              <w:t xml:space="preserve"> </w:t>
            </w:r>
            <w:r>
              <w:rPr>
                <w:sz w:val="18"/>
              </w:rPr>
              <w:t>building</w:t>
            </w:r>
            <w:r>
              <w:rPr>
                <w:spacing w:val="-6"/>
                <w:sz w:val="18"/>
              </w:rPr>
              <w:t xml:space="preserve"> </w:t>
            </w:r>
            <w:r>
              <w:rPr>
                <w:sz w:val="18"/>
              </w:rPr>
              <w:t>any</w:t>
            </w:r>
            <w:r>
              <w:rPr>
                <w:spacing w:val="-8"/>
                <w:sz w:val="18"/>
              </w:rPr>
              <w:t xml:space="preserve"> </w:t>
            </w:r>
            <w:r>
              <w:rPr>
                <w:sz w:val="18"/>
              </w:rPr>
              <w:t>necessary</w:t>
            </w:r>
            <w:r>
              <w:rPr>
                <w:spacing w:val="-7"/>
                <w:sz w:val="18"/>
              </w:rPr>
              <w:t xml:space="preserve"> </w:t>
            </w:r>
            <w:r>
              <w:rPr>
                <w:sz w:val="18"/>
              </w:rPr>
              <w:t>temporary</w:t>
            </w:r>
            <w:r>
              <w:rPr>
                <w:spacing w:val="-7"/>
                <w:sz w:val="18"/>
              </w:rPr>
              <w:t xml:space="preserve"> </w:t>
            </w:r>
            <w:r>
              <w:rPr>
                <w:sz w:val="18"/>
              </w:rPr>
              <w:t>access</w:t>
            </w:r>
            <w:r>
              <w:rPr>
                <w:spacing w:val="-6"/>
                <w:sz w:val="18"/>
              </w:rPr>
              <w:t xml:space="preserve"> </w:t>
            </w:r>
            <w:r>
              <w:rPr>
                <w:sz w:val="18"/>
              </w:rPr>
              <w:t>roads</w:t>
            </w:r>
            <w:r>
              <w:rPr>
                <w:spacing w:val="-4"/>
                <w:sz w:val="18"/>
              </w:rPr>
              <w:t xml:space="preserve"> </w:t>
            </w:r>
            <w:r>
              <w:rPr>
                <w:sz w:val="18"/>
              </w:rPr>
              <w:t>for</w:t>
            </w:r>
            <w:r>
              <w:rPr>
                <w:spacing w:val="-7"/>
                <w:sz w:val="18"/>
              </w:rPr>
              <w:t xml:space="preserve"> </w:t>
            </w:r>
            <w:r>
              <w:rPr>
                <w:sz w:val="18"/>
              </w:rPr>
              <w:t>the</w:t>
            </w:r>
            <w:r>
              <w:rPr>
                <w:spacing w:val="-5"/>
                <w:sz w:val="18"/>
              </w:rPr>
              <w:t xml:space="preserve"> </w:t>
            </w:r>
            <w:r>
              <w:rPr>
                <w:sz w:val="18"/>
              </w:rPr>
              <w:t>transport</w:t>
            </w:r>
            <w:r>
              <w:rPr>
                <w:spacing w:val="-7"/>
                <w:sz w:val="18"/>
              </w:rPr>
              <w:t xml:space="preserve"> </w:t>
            </w:r>
            <w:r>
              <w:rPr>
                <w:sz w:val="18"/>
              </w:rPr>
              <w:t>of the materials, plant and workmen as may be required for the complete execution of the works including</w:t>
            </w:r>
            <w:r>
              <w:rPr>
                <w:spacing w:val="40"/>
                <w:sz w:val="18"/>
              </w:rPr>
              <w:t xml:space="preserve"> </w:t>
            </w:r>
            <w:r>
              <w:rPr>
                <w:sz w:val="18"/>
              </w:rPr>
              <w:t>the provision of temporary culverts, crossings, bridges, or any other means of gaining access to the Site. Upon completion of the works, the Contractor shall remove such temporary access roads; temporary culverts, bridges, etc., and make good and reinstate all works and surfaces disturbed to the satisfaction of the PROJECT MANAGER</w:t>
            </w:r>
          </w:p>
        </w:tc>
        <w:tc>
          <w:tcPr>
            <w:tcW w:w="1593" w:type="dxa"/>
            <w:vMerge/>
            <w:tcBorders>
              <w:top w:val="nil"/>
            </w:tcBorders>
          </w:tcPr>
          <w:p w:rsidR="007F6DF9" w:rsidRDefault="007F6DF9">
            <w:pPr>
              <w:rPr>
                <w:sz w:val="2"/>
                <w:szCs w:val="2"/>
              </w:rPr>
            </w:pPr>
          </w:p>
        </w:tc>
      </w:tr>
      <w:tr w:rsidR="007F6DF9">
        <w:trPr>
          <w:trHeight w:val="602"/>
        </w:trPr>
        <w:tc>
          <w:tcPr>
            <w:tcW w:w="674" w:type="dxa"/>
            <w:tcBorders>
              <w:top w:val="nil"/>
              <w:bottom w:val="nil"/>
            </w:tcBorders>
          </w:tcPr>
          <w:p w:rsidR="007F6DF9" w:rsidRDefault="007F6DF9">
            <w:pPr>
              <w:pStyle w:val="TableParagraph"/>
              <w:spacing w:before="129"/>
              <w:rPr>
                <w:rFonts w:ascii="Segoe UI"/>
                <w:sz w:val="18"/>
              </w:rPr>
            </w:pPr>
          </w:p>
          <w:p w:rsidR="007F6DF9" w:rsidRDefault="00A43FBC">
            <w:pPr>
              <w:pStyle w:val="TableParagraph"/>
              <w:spacing w:line="214" w:lineRule="exact"/>
              <w:ind w:right="23"/>
              <w:jc w:val="right"/>
              <w:rPr>
                <w:sz w:val="18"/>
              </w:rPr>
            </w:pPr>
            <w:r>
              <w:rPr>
                <w:spacing w:val="-10"/>
                <w:sz w:val="18"/>
              </w:rPr>
              <w:t>B</w:t>
            </w:r>
          </w:p>
        </w:tc>
        <w:tc>
          <w:tcPr>
            <w:tcW w:w="7767" w:type="dxa"/>
            <w:tcBorders>
              <w:top w:val="nil"/>
              <w:bottom w:val="nil"/>
            </w:tcBorders>
          </w:tcPr>
          <w:p w:rsidR="007F6DF9" w:rsidRDefault="007F6DF9">
            <w:pPr>
              <w:pStyle w:val="TableParagraph"/>
              <w:spacing w:before="129"/>
              <w:rPr>
                <w:rFonts w:ascii="Segoe UI"/>
                <w:sz w:val="18"/>
              </w:rPr>
            </w:pPr>
          </w:p>
          <w:p w:rsidR="007F6DF9" w:rsidRDefault="00A43FBC">
            <w:pPr>
              <w:pStyle w:val="TableParagraph"/>
              <w:spacing w:line="214" w:lineRule="exact"/>
              <w:ind w:left="38"/>
              <w:rPr>
                <w:sz w:val="18"/>
              </w:rPr>
            </w:pPr>
            <w:r>
              <w:rPr>
                <w:w w:val="105"/>
                <w:sz w:val="18"/>
              </w:rPr>
              <w:t>AREA</w:t>
            </w:r>
            <w:r>
              <w:rPr>
                <w:spacing w:val="-2"/>
                <w:w w:val="105"/>
                <w:sz w:val="18"/>
              </w:rPr>
              <w:t xml:space="preserve"> </w:t>
            </w:r>
            <w:r>
              <w:rPr>
                <w:w w:val="105"/>
                <w:sz w:val="18"/>
              </w:rPr>
              <w:t>TO</w:t>
            </w:r>
            <w:r>
              <w:rPr>
                <w:spacing w:val="-1"/>
                <w:w w:val="105"/>
                <w:sz w:val="18"/>
              </w:rPr>
              <w:t xml:space="preserve"> </w:t>
            </w:r>
            <w:r>
              <w:rPr>
                <w:w w:val="105"/>
                <w:sz w:val="18"/>
              </w:rPr>
              <w:t>BE</w:t>
            </w:r>
            <w:r>
              <w:rPr>
                <w:spacing w:val="-3"/>
                <w:w w:val="105"/>
                <w:sz w:val="18"/>
              </w:rPr>
              <w:t xml:space="preserve"> </w:t>
            </w:r>
            <w:r>
              <w:rPr>
                <w:w w:val="105"/>
                <w:sz w:val="18"/>
              </w:rPr>
              <w:t>OCCUPIED</w:t>
            </w:r>
            <w:r>
              <w:rPr>
                <w:spacing w:val="-2"/>
                <w:w w:val="105"/>
                <w:sz w:val="18"/>
              </w:rPr>
              <w:t xml:space="preserve"> </w:t>
            </w:r>
            <w:r>
              <w:rPr>
                <w:w w:val="105"/>
                <w:sz w:val="18"/>
              </w:rPr>
              <w:t>BY</w:t>
            </w:r>
            <w:r>
              <w:rPr>
                <w:spacing w:val="-1"/>
                <w:w w:val="105"/>
                <w:sz w:val="18"/>
              </w:rPr>
              <w:t xml:space="preserve"> </w:t>
            </w:r>
            <w:r>
              <w:rPr>
                <w:w w:val="105"/>
                <w:sz w:val="18"/>
              </w:rPr>
              <w:t>THE</w:t>
            </w:r>
            <w:r>
              <w:rPr>
                <w:spacing w:val="-3"/>
                <w:w w:val="105"/>
                <w:sz w:val="18"/>
              </w:rPr>
              <w:t xml:space="preserve"> </w:t>
            </w:r>
            <w:r>
              <w:rPr>
                <w:spacing w:val="-2"/>
                <w:w w:val="105"/>
                <w:sz w:val="18"/>
              </w:rPr>
              <w:t>CONTRACTOR</w:t>
            </w:r>
          </w:p>
        </w:tc>
        <w:tc>
          <w:tcPr>
            <w:tcW w:w="1593" w:type="dxa"/>
            <w:vMerge/>
            <w:tcBorders>
              <w:top w:val="nil"/>
            </w:tcBorders>
          </w:tcPr>
          <w:p w:rsidR="007F6DF9" w:rsidRDefault="007F6DF9">
            <w:pPr>
              <w:rPr>
                <w:sz w:val="2"/>
                <w:szCs w:val="2"/>
              </w:rPr>
            </w:pPr>
          </w:p>
        </w:tc>
      </w:tr>
      <w:tr w:rsidR="007F6DF9">
        <w:trPr>
          <w:trHeight w:val="585"/>
        </w:trPr>
        <w:tc>
          <w:tcPr>
            <w:tcW w:w="674" w:type="dxa"/>
            <w:tcBorders>
              <w:top w:val="nil"/>
              <w:bottom w:val="nil"/>
            </w:tcBorders>
          </w:tcPr>
          <w:p w:rsidR="007F6DF9" w:rsidRDefault="007F6DF9">
            <w:pPr>
              <w:pStyle w:val="TableParagraph"/>
              <w:rPr>
                <w:rFonts w:ascii="Times New Roman"/>
                <w:sz w:val="16"/>
              </w:rPr>
            </w:pPr>
          </w:p>
        </w:tc>
        <w:tc>
          <w:tcPr>
            <w:tcW w:w="7767" w:type="dxa"/>
            <w:tcBorders>
              <w:top w:val="nil"/>
              <w:bottom w:val="nil"/>
            </w:tcBorders>
          </w:tcPr>
          <w:p w:rsidR="007F6DF9" w:rsidRDefault="00A43FBC">
            <w:pPr>
              <w:pStyle w:val="TableParagraph"/>
              <w:spacing w:before="5" w:line="254" w:lineRule="auto"/>
              <w:ind w:left="36"/>
              <w:rPr>
                <w:sz w:val="18"/>
              </w:rPr>
            </w:pPr>
            <w:r>
              <w:rPr>
                <w:sz w:val="18"/>
              </w:rPr>
              <w:t>The</w:t>
            </w:r>
            <w:r>
              <w:rPr>
                <w:spacing w:val="18"/>
                <w:sz w:val="18"/>
              </w:rPr>
              <w:t xml:space="preserve"> </w:t>
            </w:r>
            <w:r>
              <w:rPr>
                <w:sz w:val="18"/>
              </w:rPr>
              <w:t>area</w:t>
            </w:r>
            <w:r>
              <w:rPr>
                <w:spacing w:val="17"/>
                <w:sz w:val="18"/>
              </w:rPr>
              <w:t xml:space="preserve"> </w:t>
            </w:r>
            <w:r>
              <w:rPr>
                <w:sz w:val="18"/>
              </w:rPr>
              <w:t>of</w:t>
            </w:r>
            <w:r>
              <w:rPr>
                <w:spacing w:val="19"/>
                <w:sz w:val="18"/>
              </w:rPr>
              <w:t xml:space="preserve"> </w:t>
            </w:r>
            <w:r>
              <w:rPr>
                <w:sz w:val="18"/>
              </w:rPr>
              <w:t>the</w:t>
            </w:r>
            <w:r>
              <w:rPr>
                <w:spacing w:val="18"/>
                <w:sz w:val="18"/>
              </w:rPr>
              <w:t xml:space="preserve"> </w:t>
            </w:r>
            <w:r>
              <w:rPr>
                <w:sz w:val="18"/>
              </w:rPr>
              <w:t>site</w:t>
            </w:r>
            <w:r>
              <w:rPr>
                <w:spacing w:val="21"/>
                <w:sz w:val="18"/>
              </w:rPr>
              <w:t xml:space="preserve"> </w:t>
            </w:r>
            <w:r>
              <w:rPr>
                <w:sz w:val="18"/>
              </w:rPr>
              <w:t>which</w:t>
            </w:r>
            <w:r>
              <w:rPr>
                <w:spacing w:val="17"/>
                <w:sz w:val="18"/>
              </w:rPr>
              <w:t xml:space="preserve"> </w:t>
            </w:r>
            <w:r>
              <w:rPr>
                <w:sz w:val="18"/>
              </w:rPr>
              <w:t>may</w:t>
            </w:r>
            <w:r>
              <w:rPr>
                <w:spacing w:val="20"/>
                <w:sz w:val="18"/>
              </w:rPr>
              <w:t xml:space="preserve"> </w:t>
            </w:r>
            <w:r>
              <w:rPr>
                <w:sz w:val="18"/>
              </w:rPr>
              <w:t>be</w:t>
            </w:r>
            <w:r>
              <w:rPr>
                <w:spacing w:val="18"/>
                <w:sz w:val="18"/>
              </w:rPr>
              <w:t xml:space="preserve"> </w:t>
            </w:r>
            <w:r>
              <w:rPr>
                <w:sz w:val="18"/>
              </w:rPr>
              <w:t>occupied</w:t>
            </w:r>
            <w:r>
              <w:rPr>
                <w:spacing w:val="19"/>
                <w:sz w:val="18"/>
              </w:rPr>
              <w:t xml:space="preserve"> </w:t>
            </w:r>
            <w:r>
              <w:rPr>
                <w:sz w:val="18"/>
              </w:rPr>
              <w:t>by</w:t>
            </w:r>
            <w:r>
              <w:rPr>
                <w:spacing w:val="17"/>
                <w:sz w:val="18"/>
              </w:rPr>
              <w:t xml:space="preserve"> </w:t>
            </w:r>
            <w:r>
              <w:rPr>
                <w:sz w:val="18"/>
              </w:rPr>
              <w:t>the</w:t>
            </w:r>
            <w:r>
              <w:rPr>
                <w:spacing w:val="20"/>
                <w:sz w:val="18"/>
              </w:rPr>
              <w:t xml:space="preserve"> </w:t>
            </w:r>
            <w:r>
              <w:rPr>
                <w:sz w:val="18"/>
              </w:rPr>
              <w:t>Contractor</w:t>
            </w:r>
            <w:r>
              <w:rPr>
                <w:spacing w:val="18"/>
                <w:sz w:val="18"/>
              </w:rPr>
              <w:t xml:space="preserve"> </w:t>
            </w:r>
            <w:r>
              <w:rPr>
                <w:sz w:val="18"/>
              </w:rPr>
              <w:t>for</w:t>
            </w:r>
            <w:r>
              <w:rPr>
                <w:spacing w:val="20"/>
                <w:sz w:val="18"/>
              </w:rPr>
              <w:t xml:space="preserve"> </w:t>
            </w:r>
            <w:r>
              <w:rPr>
                <w:sz w:val="18"/>
              </w:rPr>
              <w:t>use</w:t>
            </w:r>
            <w:r>
              <w:rPr>
                <w:spacing w:val="18"/>
                <w:sz w:val="18"/>
              </w:rPr>
              <w:t xml:space="preserve"> </w:t>
            </w:r>
            <w:r>
              <w:rPr>
                <w:sz w:val="18"/>
              </w:rPr>
              <w:t>of</w:t>
            </w:r>
            <w:r>
              <w:rPr>
                <w:spacing w:val="19"/>
                <w:sz w:val="18"/>
              </w:rPr>
              <w:t xml:space="preserve"> </w:t>
            </w:r>
            <w:r>
              <w:rPr>
                <w:sz w:val="18"/>
              </w:rPr>
              <w:t>storage</w:t>
            </w:r>
            <w:r>
              <w:rPr>
                <w:spacing w:val="18"/>
                <w:sz w:val="18"/>
              </w:rPr>
              <w:t xml:space="preserve"> </w:t>
            </w:r>
            <w:r>
              <w:rPr>
                <w:sz w:val="18"/>
              </w:rPr>
              <w:t>and</w:t>
            </w:r>
            <w:r>
              <w:rPr>
                <w:spacing w:val="19"/>
                <w:sz w:val="18"/>
              </w:rPr>
              <w:t xml:space="preserve"> </w:t>
            </w:r>
            <w:r>
              <w:rPr>
                <w:sz w:val="18"/>
              </w:rPr>
              <w:t>for</w:t>
            </w:r>
            <w:r>
              <w:rPr>
                <w:spacing w:val="17"/>
                <w:sz w:val="18"/>
              </w:rPr>
              <w:t xml:space="preserve"> </w:t>
            </w:r>
            <w:r>
              <w:rPr>
                <w:sz w:val="18"/>
              </w:rPr>
              <w:t>the purpose of erecting workshops, etc., shall be defined on site by the PROJECT MANAGER</w:t>
            </w:r>
          </w:p>
        </w:tc>
        <w:tc>
          <w:tcPr>
            <w:tcW w:w="1593" w:type="dxa"/>
            <w:vMerge/>
            <w:tcBorders>
              <w:top w:val="nil"/>
            </w:tcBorders>
          </w:tcPr>
          <w:p w:rsidR="007F6DF9" w:rsidRDefault="007F6DF9">
            <w:pPr>
              <w:rPr>
                <w:sz w:val="2"/>
                <w:szCs w:val="2"/>
              </w:rPr>
            </w:pPr>
          </w:p>
        </w:tc>
      </w:tr>
      <w:tr w:rsidR="007F6DF9">
        <w:trPr>
          <w:trHeight w:val="342"/>
        </w:trPr>
        <w:tc>
          <w:tcPr>
            <w:tcW w:w="674" w:type="dxa"/>
            <w:tcBorders>
              <w:top w:val="nil"/>
              <w:bottom w:val="nil"/>
            </w:tcBorders>
          </w:tcPr>
          <w:p w:rsidR="007F6DF9" w:rsidRDefault="00A43FBC">
            <w:pPr>
              <w:pStyle w:val="TableParagraph"/>
              <w:spacing w:before="120" w:line="202" w:lineRule="exact"/>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before="120" w:line="202" w:lineRule="exact"/>
              <w:ind w:left="38"/>
              <w:rPr>
                <w:sz w:val="18"/>
              </w:rPr>
            </w:pPr>
            <w:r>
              <w:rPr>
                <w:w w:val="105"/>
                <w:sz w:val="18"/>
              </w:rPr>
              <w:t>OFFICE</w:t>
            </w:r>
            <w:r>
              <w:rPr>
                <w:spacing w:val="-5"/>
                <w:w w:val="105"/>
                <w:sz w:val="18"/>
              </w:rPr>
              <w:t xml:space="preserve"> </w:t>
            </w:r>
            <w:r>
              <w:rPr>
                <w:w w:val="105"/>
                <w:sz w:val="18"/>
              </w:rPr>
              <w:t>FOR</w:t>
            </w:r>
            <w:r>
              <w:rPr>
                <w:spacing w:val="-3"/>
                <w:w w:val="105"/>
                <w:sz w:val="18"/>
              </w:rPr>
              <w:t xml:space="preserve"> </w:t>
            </w:r>
            <w:r>
              <w:rPr>
                <w:w w:val="105"/>
                <w:sz w:val="18"/>
              </w:rPr>
              <w:t>THE</w:t>
            </w:r>
            <w:r>
              <w:rPr>
                <w:spacing w:val="-4"/>
                <w:w w:val="105"/>
                <w:sz w:val="18"/>
              </w:rPr>
              <w:t xml:space="preserve"> </w:t>
            </w:r>
            <w:r>
              <w:rPr>
                <w:w w:val="105"/>
                <w:sz w:val="18"/>
              </w:rPr>
              <w:t>PROJECT</w:t>
            </w:r>
            <w:r>
              <w:rPr>
                <w:spacing w:val="-3"/>
                <w:w w:val="105"/>
                <w:sz w:val="18"/>
              </w:rPr>
              <w:t xml:space="preserve"> </w:t>
            </w:r>
            <w:r>
              <w:rPr>
                <w:spacing w:val="-2"/>
                <w:w w:val="105"/>
                <w:sz w:val="18"/>
              </w:rPr>
              <w:t>MANAGER</w:t>
            </w:r>
          </w:p>
        </w:tc>
        <w:tc>
          <w:tcPr>
            <w:tcW w:w="1593" w:type="dxa"/>
            <w:vMerge/>
            <w:tcBorders>
              <w:top w:val="nil"/>
            </w:tcBorders>
          </w:tcPr>
          <w:p w:rsidR="007F6DF9" w:rsidRDefault="007F6DF9">
            <w:pPr>
              <w:rPr>
                <w:sz w:val="2"/>
                <w:szCs w:val="2"/>
              </w:rPr>
            </w:pPr>
          </w:p>
        </w:tc>
      </w:tr>
      <w:tr w:rsidR="007F6DF9">
        <w:trPr>
          <w:trHeight w:val="4032"/>
        </w:trPr>
        <w:tc>
          <w:tcPr>
            <w:tcW w:w="674" w:type="dxa"/>
            <w:tcBorders>
              <w:top w:val="nil"/>
            </w:tcBorders>
          </w:tcPr>
          <w:p w:rsidR="007F6DF9" w:rsidRDefault="007F6DF9">
            <w:pPr>
              <w:pStyle w:val="TableParagraph"/>
              <w:rPr>
                <w:rFonts w:ascii="Times New Roman"/>
                <w:sz w:val="16"/>
              </w:rPr>
            </w:pPr>
          </w:p>
        </w:tc>
        <w:tc>
          <w:tcPr>
            <w:tcW w:w="7767" w:type="dxa"/>
            <w:tcBorders>
              <w:top w:val="nil"/>
            </w:tcBorders>
          </w:tcPr>
          <w:p w:rsidR="007F6DF9" w:rsidRDefault="00A43FBC">
            <w:pPr>
              <w:pStyle w:val="TableParagraph"/>
              <w:spacing w:line="266" w:lineRule="auto"/>
              <w:ind w:left="36" w:right="13"/>
              <w:jc w:val="both"/>
              <w:rPr>
                <w:sz w:val="16"/>
              </w:rPr>
            </w:pPr>
            <w:r>
              <w:rPr>
                <w:sz w:val="16"/>
              </w:rPr>
              <w:t xml:space="preserve">The contractor </w:t>
            </w:r>
            <w:proofErr w:type="gramStart"/>
            <w:r>
              <w:rPr>
                <w:sz w:val="16"/>
              </w:rPr>
              <w:t>shall ,</w:t>
            </w:r>
            <w:proofErr w:type="gramEnd"/>
            <w:r>
              <w:rPr>
                <w:sz w:val="16"/>
              </w:rPr>
              <w:t xml:space="preserve"> if so instructed, supply, maintain, service, clean and light a fully furnished, suitable office, having an approximate floor area of not less than 50 </w:t>
            </w:r>
            <w:proofErr w:type="spellStart"/>
            <w:r>
              <w:rPr>
                <w:sz w:val="16"/>
              </w:rPr>
              <w:t>sqm</w:t>
            </w:r>
            <w:proofErr w:type="spellEnd"/>
            <w:r>
              <w:rPr>
                <w:sz w:val="16"/>
              </w:rPr>
              <w:t xml:space="preserve"> for exclusive use of the project. The office shall have a sample room, a toilet and bathroom, kitchen of suitable dimensions with clean running water and electricity connected to the approval of the Project </w:t>
            </w:r>
            <w:proofErr w:type="spellStart"/>
            <w:r>
              <w:rPr>
                <w:sz w:val="16"/>
              </w:rPr>
              <w:t>Manager.The</w:t>
            </w:r>
            <w:proofErr w:type="spellEnd"/>
            <w:r>
              <w:rPr>
                <w:sz w:val="16"/>
              </w:rPr>
              <w:t xml:space="preserve"> Contractor shall provide, erect and maintain</w:t>
            </w:r>
            <w:r>
              <w:rPr>
                <w:spacing w:val="40"/>
                <w:sz w:val="16"/>
              </w:rPr>
              <w:t xml:space="preserve"> </w:t>
            </w:r>
            <w:r>
              <w:rPr>
                <w:sz w:val="16"/>
              </w:rPr>
              <w:t>a</w:t>
            </w:r>
            <w:r>
              <w:rPr>
                <w:spacing w:val="37"/>
                <w:sz w:val="16"/>
              </w:rPr>
              <w:t xml:space="preserve"> </w:t>
            </w:r>
            <w:r>
              <w:rPr>
                <w:sz w:val="16"/>
              </w:rPr>
              <w:t>lock-up</w:t>
            </w:r>
            <w:r>
              <w:rPr>
                <w:spacing w:val="39"/>
                <w:sz w:val="16"/>
              </w:rPr>
              <w:t xml:space="preserve"> </w:t>
            </w:r>
            <w:r>
              <w:rPr>
                <w:sz w:val="16"/>
              </w:rPr>
              <w:t>type</w:t>
            </w:r>
            <w:r>
              <w:rPr>
                <w:spacing w:val="39"/>
                <w:sz w:val="16"/>
              </w:rPr>
              <w:t xml:space="preserve"> </w:t>
            </w:r>
            <w:r>
              <w:rPr>
                <w:sz w:val="16"/>
              </w:rPr>
              <w:t>water</w:t>
            </w:r>
            <w:r>
              <w:rPr>
                <w:spacing w:val="39"/>
                <w:sz w:val="16"/>
              </w:rPr>
              <w:t xml:space="preserve"> </w:t>
            </w:r>
            <w:r>
              <w:rPr>
                <w:sz w:val="16"/>
              </w:rPr>
              <w:t>or</w:t>
            </w:r>
            <w:r>
              <w:rPr>
                <w:spacing w:val="39"/>
                <w:sz w:val="16"/>
              </w:rPr>
              <w:t xml:space="preserve"> </w:t>
            </w:r>
            <w:r>
              <w:rPr>
                <w:sz w:val="16"/>
              </w:rPr>
              <w:t>bucket</w:t>
            </w:r>
            <w:r>
              <w:rPr>
                <w:spacing w:val="40"/>
                <w:sz w:val="16"/>
              </w:rPr>
              <w:t xml:space="preserve"> </w:t>
            </w:r>
            <w:r>
              <w:rPr>
                <w:sz w:val="16"/>
              </w:rPr>
              <w:t>closet</w:t>
            </w:r>
            <w:r>
              <w:rPr>
                <w:spacing w:val="40"/>
                <w:sz w:val="16"/>
              </w:rPr>
              <w:t xml:space="preserve"> </w:t>
            </w:r>
            <w:r>
              <w:rPr>
                <w:sz w:val="16"/>
              </w:rPr>
              <w:t>for</w:t>
            </w:r>
            <w:r>
              <w:rPr>
                <w:spacing w:val="39"/>
                <w:sz w:val="16"/>
              </w:rPr>
              <w:t xml:space="preserve"> </w:t>
            </w:r>
            <w:r>
              <w:rPr>
                <w:sz w:val="16"/>
              </w:rPr>
              <w:t>the</w:t>
            </w:r>
            <w:r>
              <w:rPr>
                <w:spacing w:val="40"/>
                <w:sz w:val="16"/>
              </w:rPr>
              <w:t xml:space="preserve"> </w:t>
            </w:r>
            <w:r>
              <w:rPr>
                <w:sz w:val="16"/>
              </w:rPr>
              <w:t>sole</w:t>
            </w:r>
            <w:r>
              <w:rPr>
                <w:spacing w:val="40"/>
                <w:sz w:val="16"/>
              </w:rPr>
              <w:t xml:space="preserve"> </w:t>
            </w:r>
            <w:r>
              <w:rPr>
                <w:sz w:val="16"/>
              </w:rPr>
              <w:t>use</w:t>
            </w:r>
            <w:r>
              <w:rPr>
                <w:spacing w:val="39"/>
                <w:sz w:val="16"/>
              </w:rPr>
              <w:t xml:space="preserve"> </w:t>
            </w:r>
            <w:r>
              <w:rPr>
                <w:sz w:val="16"/>
              </w:rPr>
              <w:t>of</w:t>
            </w:r>
            <w:r>
              <w:rPr>
                <w:spacing w:val="37"/>
                <w:sz w:val="16"/>
              </w:rPr>
              <w:t xml:space="preserve"> </w:t>
            </w:r>
            <w:r>
              <w:rPr>
                <w:sz w:val="16"/>
              </w:rPr>
              <w:t>the</w:t>
            </w:r>
            <w:r>
              <w:rPr>
                <w:spacing w:val="40"/>
                <w:sz w:val="16"/>
              </w:rPr>
              <w:t xml:space="preserve"> </w:t>
            </w:r>
            <w:r>
              <w:rPr>
                <w:sz w:val="16"/>
              </w:rPr>
              <w:t>PROJECT</w:t>
            </w:r>
            <w:r>
              <w:rPr>
                <w:spacing w:val="39"/>
                <w:sz w:val="16"/>
              </w:rPr>
              <w:t xml:space="preserve"> </w:t>
            </w:r>
            <w:r>
              <w:rPr>
                <w:sz w:val="16"/>
              </w:rPr>
              <w:t>MANAGER</w:t>
            </w:r>
            <w:r>
              <w:rPr>
                <w:spacing w:val="39"/>
                <w:sz w:val="16"/>
              </w:rPr>
              <w:t xml:space="preserve"> </w:t>
            </w:r>
            <w:r>
              <w:rPr>
                <w:sz w:val="16"/>
              </w:rPr>
              <w:t>including making</w:t>
            </w:r>
            <w:r>
              <w:rPr>
                <w:spacing w:val="40"/>
                <w:sz w:val="16"/>
              </w:rPr>
              <w:t xml:space="preserve"> </w:t>
            </w:r>
            <w:r>
              <w:rPr>
                <w:sz w:val="16"/>
              </w:rPr>
              <w:t>temporary</w:t>
            </w:r>
            <w:r>
              <w:rPr>
                <w:spacing w:val="40"/>
                <w:sz w:val="16"/>
              </w:rPr>
              <w:t xml:space="preserve"> </w:t>
            </w:r>
            <w:r>
              <w:rPr>
                <w:sz w:val="16"/>
              </w:rPr>
              <w:t>connections</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drain</w:t>
            </w:r>
            <w:r>
              <w:rPr>
                <w:spacing w:val="40"/>
                <w:sz w:val="16"/>
              </w:rPr>
              <w:t xml:space="preserve"> </w:t>
            </w:r>
            <w:r>
              <w:rPr>
                <w:sz w:val="16"/>
              </w:rPr>
              <w:t>where</w:t>
            </w:r>
            <w:r>
              <w:rPr>
                <w:spacing w:val="40"/>
                <w:sz w:val="16"/>
              </w:rPr>
              <w:t xml:space="preserve"> </w:t>
            </w:r>
            <w:r>
              <w:rPr>
                <w:sz w:val="16"/>
              </w:rPr>
              <w:t>applicable</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satisfaction</w:t>
            </w:r>
            <w:r>
              <w:rPr>
                <w:spacing w:val="40"/>
                <w:sz w:val="16"/>
              </w:rPr>
              <w:t xml:space="preserve"> </w:t>
            </w:r>
            <w:r>
              <w:rPr>
                <w:sz w:val="16"/>
              </w:rPr>
              <w:t>of</w:t>
            </w:r>
            <w:r>
              <w:rPr>
                <w:spacing w:val="40"/>
                <w:sz w:val="16"/>
              </w:rPr>
              <w:t xml:space="preserve"> </w:t>
            </w:r>
            <w:r>
              <w:rPr>
                <w:sz w:val="16"/>
              </w:rPr>
              <w:t>Government</w:t>
            </w:r>
            <w:r>
              <w:rPr>
                <w:spacing w:val="40"/>
                <w:sz w:val="16"/>
              </w:rPr>
              <w:t xml:space="preserve"> </w:t>
            </w:r>
            <w:r>
              <w:rPr>
                <w:sz w:val="16"/>
              </w:rPr>
              <w:t>and Medical Officer of Health and shall provide services of cleaner and pay all conservancy charges and keep both</w:t>
            </w:r>
            <w:r>
              <w:rPr>
                <w:spacing w:val="31"/>
                <w:sz w:val="16"/>
              </w:rPr>
              <w:t xml:space="preserve"> </w:t>
            </w:r>
            <w:r>
              <w:rPr>
                <w:sz w:val="16"/>
              </w:rPr>
              <w:t>office</w:t>
            </w:r>
            <w:r>
              <w:rPr>
                <w:spacing w:val="31"/>
                <w:sz w:val="16"/>
              </w:rPr>
              <w:t xml:space="preserve"> </w:t>
            </w:r>
            <w:r>
              <w:rPr>
                <w:sz w:val="16"/>
              </w:rPr>
              <w:t>and</w:t>
            </w:r>
            <w:r>
              <w:rPr>
                <w:spacing w:val="30"/>
                <w:sz w:val="16"/>
              </w:rPr>
              <w:t xml:space="preserve"> </w:t>
            </w:r>
            <w:r>
              <w:rPr>
                <w:sz w:val="16"/>
              </w:rPr>
              <w:t>closet</w:t>
            </w:r>
            <w:r>
              <w:rPr>
                <w:spacing w:val="31"/>
                <w:sz w:val="16"/>
              </w:rPr>
              <w:t xml:space="preserve"> </w:t>
            </w:r>
            <w:r>
              <w:rPr>
                <w:sz w:val="16"/>
              </w:rPr>
              <w:t>in</w:t>
            </w:r>
            <w:r>
              <w:rPr>
                <w:spacing w:val="31"/>
                <w:sz w:val="16"/>
              </w:rPr>
              <w:t xml:space="preserve"> </w:t>
            </w:r>
            <w:r>
              <w:rPr>
                <w:sz w:val="16"/>
              </w:rPr>
              <w:t>a</w:t>
            </w:r>
            <w:r>
              <w:rPr>
                <w:spacing w:val="29"/>
                <w:sz w:val="16"/>
              </w:rPr>
              <w:t xml:space="preserve"> </w:t>
            </w:r>
            <w:r>
              <w:rPr>
                <w:sz w:val="16"/>
              </w:rPr>
              <w:t>clean</w:t>
            </w:r>
            <w:r>
              <w:rPr>
                <w:spacing w:val="31"/>
                <w:sz w:val="16"/>
              </w:rPr>
              <w:t xml:space="preserve"> </w:t>
            </w:r>
            <w:r>
              <w:rPr>
                <w:sz w:val="16"/>
              </w:rPr>
              <w:t>and</w:t>
            </w:r>
            <w:r>
              <w:rPr>
                <w:spacing w:val="31"/>
                <w:sz w:val="16"/>
              </w:rPr>
              <w:t xml:space="preserve"> </w:t>
            </w:r>
            <w:r>
              <w:rPr>
                <w:sz w:val="16"/>
              </w:rPr>
              <w:t>sanitary</w:t>
            </w:r>
            <w:r>
              <w:rPr>
                <w:spacing w:val="30"/>
                <w:sz w:val="16"/>
              </w:rPr>
              <w:t xml:space="preserve"> </w:t>
            </w:r>
            <w:r>
              <w:rPr>
                <w:sz w:val="16"/>
              </w:rPr>
              <w:t>condition</w:t>
            </w:r>
            <w:r>
              <w:rPr>
                <w:spacing w:val="31"/>
                <w:sz w:val="16"/>
              </w:rPr>
              <w:t xml:space="preserve"> </w:t>
            </w:r>
            <w:r>
              <w:rPr>
                <w:sz w:val="16"/>
              </w:rPr>
              <w:t>from</w:t>
            </w:r>
            <w:r>
              <w:rPr>
                <w:spacing w:val="31"/>
                <w:sz w:val="16"/>
              </w:rPr>
              <w:t xml:space="preserve"> </w:t>
            </w:r>
            <w:r>
              <w:rPr>
                <w:sz w:val="16"/>
              </w:rPr>
              <w:t>commencement</w:t>
            </w:r>
            <w:r>
              <w:rPr>
                <w:spacing w:val="32"/>
                <w:sz w:val="16"/>
              </w:rPr>
              <w:t xml:space="preserve"> </w:t>
            </w:r>
            <w:r>
              <w:rPr>
                <w:sz w:val="16"/>
              </w:rPr>
              <w:t>to</w:t>
            </w:r>
            <w:r>
              <w:rPr>
                <w:spacing w:val="29"/>
                <w:sz w:val="16"/>
              </w:rPr>
              <w:t xml:space="preserve"> </w:t>
            </w:r>
            <w:r>
              <w:rPr>
                <w:sz w:val="16"/>
              </w:rPr>
              <w:t>the</w:t>
            </w:r>
            <w:r>
              <w:rPr>
                <w:spacing w:val="31"/>
                <w:sz w:val="16"/>
              </w:rPr>
              <w:t xml:space="preserve"> </w:t>
            </w:r>
            <w:r>
              <w:rPr>
                <w:sz w:val="16"/>
              </w:rPr>
              <w:t>completion</w:t>
            </w:r>
            <w:r>
              <w:rPr>
                <w:spacing w:val="35"/>
                <w:sz w:val="16"/>
              </w:rPr>
              <w:t xml:space="preserve"> </w:t>
            </w:r>
            <w:r>
              <w:rPr>
                <w:sz w:val="16"/>
              </w:rPr>
              <w:t>of</w:t>
            </w:r>
            <w:r>
              <w:rPr>
                <w:spacing w:val="29"/>
                <w:sz w:val="16"/>
              </w:rPr>
              <w:t xml:space="preserve"> </w:t>
            </w:r>
            <w:r>
              <w:rPr>
                <w:sz w:val="16"/>
              </w:rPr>
              <w:t>the works</w:t>
            </w:r>
            <w:r>
              <w:rPr>
                <w:spacing w:val="19"/>
                <w:sz w:val="16"/>
              </w:rPr>
              <w:t xml:space="preserve"> </w:t>
            </w:r>
            <w:r>
              <w:rPr>
                <w:sz w:val="16"/>
              </w:rPr>
              <w:t>and</w:t>
            </w:r>
            <w:r>
              <w:rPr>
                <w:spacing w:val="18"/>
                <w:sz w:val="16"/>
              </w:rPr>
              <w:t xml:space="preserve"> </w:t>
            </w:r>
            <w:r>
              <w:rPr>
                <w:sz w:val="16"/>
              </w:rPr>
              <w:t>dismantle</w:t>
            </w:r>
            <w:r>
              <w:rPr>
                <w:spacing w:val="19"/>
                <w:sz w:val="16"/>
              </w:rPr>
              <w:t xml:space="preserve"> </w:t>
            </w:r>
            <w:r>
              <w:rPr>
                <w:sz w:val="16"/>
              </w:rPr>
              <w:t>and</w:t>
            </w:r>
            <w:r>
              <w:rPr>
                <w:spacing w:val="18"/>
                <w:sz w:val="16"/>
              </w:rPr>
              <w:t xml:space="preserve"> </w:t>
            </w:r>
            <w:r>
              <w:rPr>
                <w:sz w:val="16"/>
              </w:rPr>
              <w:t>make</w:t>
            </w:r>
            <w:r>
              <w:rPr>
                <w:spacing w:val="19"/>
                <w:sz w:val="16"/>
              </w:rPr>
              <w:t xml:space="preserve"> </w:t>
            </w:r>
            <w:r>
              <w:rPr>
                <w:sz w:val="16"/>
              </w:rPr>
              <w:t>good</w:t>
            </w:r>
            <w:r>
              <w:rPr>
                <w:spacing w:val="19"/>
                <w:sz w:val="16"/>
              </w:rPr>
              <w:t xml:space="preserve"> </w:t>
            </w:r>
            <w:r>
              <w:rPr>
                <w:sz w:val="16"/>
              </w:rPr>
              <w:t>disturbed</w:t>
            </w:r>
            <w:r>
              <w:rPr>
                <w:spacing w:val="19"/>
                <w:sz w:val="16"/>
              </w:rPr>
              <w:t xml:space="preserve"> </w:t>
            </w:r>
            <w:r>
              <w:rPr>
                <w:sz w:val="16"/>
              </w:rPr>
              <w:t>surfaces.</w:t>
            </w:r>
            <w:r>
              <w:rPr>
                <w:spacing w:val="19"/>
                <w:sz w:val="16"/>
              </w:rPr>
              <w:t xml:space="preserve"> </w:t>
            </w:r>
            <w:r>
              <w:rPr>
                <w:sz w:val="16"/>
              </w:rPr>
              <w:t>The</w:t>
            </w:r>
            <w:r>
              <w:rPr>
                <w:spacing w:val="18"/>
                <w:sz w:val="16"/>
              </w:rPr>
              <w:t xml:space="preserve"> </w:t>
            </w:r>
            <w:r>
              <w:rPr>
                <w:sz w:val="16"/>
              </w:rPr>
              <w:t>office</w:t>
            </w:r>
            <w:r>
              <w:rPr>
                <w:spacing w:val="18"/>
                <w:sz w:val="16"/>
              </w:rPr>
              <w:t xml:space="preserve"> </w:t>
            </w:r>
            <w:r>
              <w:rPr>
                <w:sz w:val="16"/>
              </w:rPr>
              <w:t>and</w:t>
            </w:r>
            <w:r>
              <w:rPr>
                <w:spacing w:val="19"/>
                <w:sz w:val="16"/>
              </w:rPr>
              <w:t xml:space="preserve"> </w:t>
            </w:r>
            <w:r>
              <w:rPr>
                <w:sz w:val="16"/>
              </w:rPr>
              <w:t>closet</w:t>
            </w:r>
            <w:r>
              <w:rPr>
                <w:spacing w:val="19"/>
                <w:sz w:val="16"/>
              </w:rPr>
              <w:t xml:space="preserve"> </w:t>
            </w:r>
            <w:r>
              <w:rPr>
                <w:sz w:val="16"/>
              </w:rPr>
              <w:t>shall</w:t>
            </w:r>
            <w:r>
              <w:rPr>
                <w:spacing w:val="19"/>
                <w:sz w:val="16"/>
              </w:rPr>
              <w:t xml:space="preserve"> </w:t>
            </w:r>
            <w:r>
              <w:rPr>
                <w:sz w:val="16"/>
              </w:rPr>
              <w:t>be</w:t>
            </w:r>
            <w:r>
              <w:rPr>
                <w:spacing w:val="18"/>
                <w:sz w:val="16"/>
              </w:rPr>
              <w:t xml:space="preserve"> </w:t>
            </w:r>
            <w:r>
              <w:rPr>
                <w:sz w:val="16"/>
              </w:rPr>
              <w:t>completed before the</w:t>
            </w:r>
            <w:r>
              <w:rPr>
                <w:spacing w:val="23"/>
                <w:sz w:val="16"/>
              </w:rPr>
              <w:t xml:space="preserve"> </w:t>
            </w:r>
            <w:r>
              <w:rPr>
                <w:sz w:val="16"/>
              </w:rPr>
              <w:t>Contractor</w:t>
            </w:r>
            <w:r>
              <w:rPr>
                <w:spacing w:val="23"/>
                <w:sz w:val="16"/>
              </w:rPr>
              <w:t xml:space="preserve"> </w:t>
            </w:r>
            <w:r>
              <w:rPr>
                <w:sz w:val="16"/>
              </w:rPr>
              <w:t>is</w:t>
            </w:r>
            <w:r>
              <w:rPr>
                <w:spacing w:val="23"/>
                <w:sz w:val="16"/>
              </w:rPr>
              <w:t xml:space="preserve"> </w:t>
            </w:r>
            <w:r>
              <w:rPr>
                <w:sz w:val="16"/>
              </w:rPr>
              <w:t>permitted</w:t>
            </w:r>
            <w:r>
              <w:rPr>
                <w:spacing w:val="23"/>
                <w:sz w:val="16"/>
              </w:rPr>
              <w:t xml:space="preserve"> </w:t>
            </w:r>
            <w:r>
              <w:rPr>
                <w:sz w:val="16"/>
              </w:rPr>
              <w:t>to</w:t>
            </w:r>
            <w:r>
              <w:rPr>
                <w:spacing w:val="21"/>
                <w:sz w:val="16"/>
              </w:rPr>
              <w:t xml:space="preserve"> </w:t>
            </w:r>
            <w:r>
              <w:rPr>
                <w:sz w:val="16"/>
              </w:rPr>
              <w:t>commence</w:t>
            </w:r>
            <w:r>
              <w:rPr>
                <w:spacing w:val="24"/>
                <w:sz w:val="16"/>
              </w:rPr>
              <w:t xml:space="preserve"> </w:t>
            </w:r>
            <w:r>
              <w:rPr>
                <w:sz w:val="16"/>
              </w:rPr>
              <w:t>the</w:t>
            </w:r>
            <w:r>
              <w:rPr>
                <w:spacing w:val="23"/>
                <w:sz w:val="16"/>
              </w:rPr>
              <w:t xml:space="preserve"> </w:t>
            </w:r>
            <w:r>
              <w:rPr>
                <w:sz w:val="16"/>
              </w:rPr>
              <w:t>works.</w:t>
            </w:r>
            <w:r>
              <w:rPr>
                <w:spacing w:val="24"/>
                <w:sz w:val="16"/>
              </w:rPr>
              <w:t xml:space="preserve"> </w:t>
            </w:r>
            <w:r>
              <w:rPr>
                <w:sz w:val="16"/>
              </w:rPr>
              <w:t>The</w:t>
            </w:r>
            <w:r>
              <w:rPr>
                <w:spacing w:val="22"/>
                <w:sz w:val="16"/>
              </w:rPr>
              <w:t xml:space="preserve"> </w:t>
            </w:r>
            <w:r>
              <w:rPr>
                <w:sz w:val="16"/>
              </w:rPr>
              <w:t>Contractor</w:t>
            </w:r>
            <w:r>
              <w:rPr>
                <w:spacing w:val="23"/>
                <w:sz w:val="16"/>
              </w:rPr>
              <w:t xml:space="preserve"> </w:t>
            </w:r>
            <w:r>
              <w:rPr>
                <w:sz w:val="16"/>
              </w:rPr>
              <w:t>shall</w:t>
            </w:r>
            <w:r>
              <w:rPr>
                <w:spacing w:val="24"/>
                <w:sz w:val="16"/>
              </w:rPr>
              <w:t xml:space="preserve"> </w:t>
            </w:r>
            <w:r>
              <w:rPr>
                <w:sz w:val="16"/>
              </w:rPr>
              <w:t>make</w:t>
            </w:r>
            <w:r>
              <w:rPr>
                <w:spacing w:val="23"/>
                <w:sz w:val="16"/>
              </w:rPr>
              <w:t xml:space="preserve"> </w:t>
            </w:r>
            <w:r>
              <w:rPr>
                <w:sz w:val="16"/>
              </w:rPr>
              <w:t>available</w:t>
            </w:r>
            <w:r>
              <w:rPr>
                <w:spacing w:val="23"/>
                <w:sz w:val="16"/>
              </w:rPr>
              <w:t xml:space="preserve"> </w:t>
            </w:r>
            <w:r>
              <w:rPr>
                <w:sz w:val="16"/>
              </w:rPr>
              <w:t>on</w:t>
            </w:r>
            <w:r>
              <w:rPr>
                <w:spacing w:val="23"/>
                <w:sz w:val="16"/>
              </w:rPr>
              <w:t xml:space="preserve"> </w:t>
            </w:r>
            <w:r>
              <w:rPr>
                <w:sz w:val="16"/>
              </w:rPr>
              <w:t>the</w:t>
            </w:r>
            <w:r>
              <w:rPr>
                <w:spacing w:val="25"/>
                <w:sz w:val="16"/>
              </w:rPr>
              <w:t xml:space="preserve"> </w:t>
            </w:r>
            <w:r>
              <w:rPr>
                <w:sz w:val="16"/>
              </w:rPr>
              <w:t>Site</w:t>
            </w:r>
            <w:r>
              <w:rPr>
                <w:spacing w:val="23"/>
                <w:sz w:val="16"/>
              </w:rPr>
              <w:t xml:space="preserve"> </w:t>
            </w:r>
            <w:r>
              <w:rPr>
                <w:sz w:val="16"/>
              </w:rPr>
              <w:t>as and</w:t>
            </w:r>
            <w:r>
              <w:rPr>
                <w:spacing w:val="34"/>
                <w:sz w:val="16"/>
              </w:rPr>
              <w:t xml:space="preserve"> </w:t>
            </w:r>
            <w:r>
              <w:rPr>
                <w:sz w:val="16"/>
              </w:rPr>
              <w:t>when</w:t>
            </w:r>
            <w:r>
              <w:rPr>
                <w:spacing w:val="80"/>
                <w:sz w:val="16"/>
              </w:rPr>
              <w:t xml:space="preserve"> </w:t>
            </w:r>
            <w:r>
              <w:rPr>
                <w:sz w:val="16"/>
              </w:rPr>
              <w:t>required</w:t>
            </w:r>
            <w:r>
              <w:rPr>
                <w:spacing w:val="38"/>
                <w:sz w:val="16"/>
              </w:rPr>
              <w:t xml:space="preserve"> </w:t>
            </w:r>
            <w:r>
              <w:rPr>
                <w:sz w:val="16"/>
              </w:rPr>
              <w:t>by</w:t>
            </w:r>
            <w:r>
              <w:rPr>
                <w:spacing w:val="34"/>
                <w:sz w:val="16"/>
              </w:rPr>
              <w:t xml:space="preserve"> </w:t>
            </w:r>
            <w:r>
              <w:rPr>
                <w:sz w:val="16"/>
              </w:rPr>
              <w:t>the</w:t>
            </w:r>
            <w:r>
              <w:rPr>
                <w:spacing w:val="38"/>
                <w:sz w:val="16"/>
              </w:rPr>
              <w:t xml:space="preserve"> </w:t>
            </w:r>
            <w:r>
              <w:rPr>
                <w:sz w:val="16"/>
              </w:rPr>
              <w:t>"PROJECT</w:t>
            </w:r>
            <w:r>
              <w:rPr>
                <w:spacing w:val="34"/>
                <w:sz w:val="16"/>
              </w:rPr>
              <w:t xml:space="preserve"> </w:t>
            </w:r>
            <w:r>
              <w:rPr>
                <w:sz w:val="16"/>
              </w:rPr>
              <w:t>MANAGER"</w:t>
            </w:r>
            <w:r>
              <w:rPr>
                <w:spacing w:val="37"/>
                <w:sz w:val="16"/>
              </w:rPr>
              <w:t xml:space="preserve"> </w:t>
            </w:r>
            <w:r>
              <w:rPr>
                <w:sz w:val="16"/>
              </w:rPr>
              <w:t>a</w:t>
            </w:r>
            <w:r>
              <w:rPr>
                <w:spacing w:val="33"/>
                <w:sz w:val="16"/>
              </w:rPr>
              <w:t xml:space="preserve"> </w:t>
            </w:r>
            <w:r>
              <w:rPr>
                <w:sz w:val="16"/>
              </w:rPr>
              <w:t>modern</w:t>
            </w:r>
            <w:r>
              <w:rPr>
                <w:spacing w:val="38"/>
                <w:sz w:val="16"/>
              </w:rPr>
              <w:t xml:space="preserve"> </w:t>
            </w:r>
            <w:r>
              <w:rPr>
                <w:sz w:val="16"/>
              </w:rPr>
              <w:t>and</w:t>
            </w:r>
            <w:r>
              <w:rPr>
                <w:spacing w:val="34"/>
                <w:sz w:val="16"/>
              </w:rPr>
              <w:t xml:space="preserve"> </w:t>
            </w:r>
            <w:r>
              <w:rPr>
                <w:sz w:val="16"/>
              </w:rPr>
              <w:t>accurate</w:t>
            </w:r>
            <w:r>
              <w:rPr>
                <w:spacing w:val="38"/>
                <w:sz w:val="16"/>
              </w:rPr>
              <w:t xml:space="preserve"> </w:t>
            </w:r>
            <w:r>
              <w:rPr>
                <w:sz w:val="16"/>
              </w:rPr>
              <w:t>level</w:t>
            </w:r>
            <w:r>
              <w:rPr>
                <w:spacing w:val="34"/>
                <w:sz w:val="16"/>
              </w:rPr>
              <w:t xml:space="preserve"> </w:t>
            </w:r>
            <w:r>
              <w:rPr>
                <w:sz w:val="16"/>
              </w:rPr>
              <w:t>together</w:t>
            </w:r>
            <w:r>
              <w:rPr>
                <w:spacing w:val="38"/>
                <w:sz w:val="16"/>
              </w:rPr>
              <w:t xml:space="preserve"> </w:t>
            </w:r>
            <w:r>
              <w:rPr>
                <w:sz w:val="16"/>
              </w:rPr>
              <w:t>with</w:t>
            </w:r>
            <w:r>
              <w:rPr>
                <w:spacing w:val="34"/>
                <w:sz w:val="16"/>
              </w:rPr>
              <w:t xml:space="preserve"> </w:t>
            </w:r>
            <w:r>
              <w:rPr>
                <w:sz w:val="16"/>
              </w:rPr>
              <w:t xml:space="preserve">levelling staff, ranging rods and 50 </w:t>
            </w:r>
            <w:proofErr w:type="spellStart"/>
            <w:r>
              <w:rPr>
                <w:sz w:val="16"/>
              </w:rPr>
              <w:t>metre</w:t>
            </w:r>
            <w:proofErr w:type="spellEnd"/>
            <w:r>
              <w:rPr>
                <w:sz w:val="16"/>
              </w:rPr>
              <w:t xml:space="preserve"> metallic or linen </w:t>
            </w:r>
            <w:proofErr w:type="spellStart"/>
            <w:proofErr w:type="gramStart"/>
            <w:r>
              <w:rPr>
                <w:sz w:val="16"/>
              </w:rPr>
              <w:t>tape.On</w:t>
            </w:r>
            <w:proofErr w:type="spellEnd"/>
            <w:proofErr w:type="gramEnd"/>
            <w:r>
              <w:rPr>
                <w:sz w:val="16"/>
              </w:rPr>
              <w:t xml:space="preserve"> completion of the contract, the contents of the office</w:t>
            </w:r>
            <w:r>
              <w:rPr>
                <w:spacing w:val="40"/>
                <w:sz w:val="16"/>
              </w:rPr>
              <w:t xml:space="preserve"> </w:t>
            </w:r>
            <w:r>
              <w:rPr>
                <w:sz w:val="16"/>
              </w:rPr>
              <w:t>specified</w:t>
            </w:r>
            <w:r>
              <w:rPr>
                <w:spacing w:val="40"/>
                <w:sz w:val="16"/>
              </w:rPr>
              <w:t xml:space="preserve"> </w:t>
            </w:r>
            <w:r>
              <w:rPr>
                <w:sz w:val="16"/>
              </w:rPr>
              <w:t>above</w:t>
            </w:r>
            <w:r>
              <w:rPr>
                <w:spacing w:val="40"/>
                <w:sz w:val="16"/>
              </w:rPr>
              <w:t xml:space="preserve"> </w:t>
            </w:r>
            <w:r>
              <w:rPr>
                <w:sz w:val="16"/>
              </w:rPr>
              <w:t>shall</w:t>
            </w:r>
            <w:r>
              <w:rPr>
                <w:spacing w:val="40"/>
                <w:sz w:val="16"/>
              </w:rPr>
              <w:t xml:space="preserve"> </w:t>
            </w:r>
            <w:r>
              <w:rPr>
                <w:sz w:val="16"/>
              </w:rPr>
              <w:t>revert</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Client.</w:t>
            </w:r>
            <w:r>
              <w:rPr>
                <w:spacing w:val="40"/>
                <w:sz w:val="16"/>
              </w:rPr>
              <w:t xml:space="preserve"> </w:t>
            </w:r>
            <w:r>
              <w:rPr>
                <w:sz w:val="16"/>
              </w:rPr>
              <w:t>The</w:t>
            </w:r>
            <w:r>
              <w:rPr>
                <w:spacing w:val="40"/>
                <w:sz w:val="16"/>
              </w:rPr>
              <w:t xml:space="preserve"> </w:t>
            </w:r>
            <w:r>
              <w:rPr>
                <w:sz w:val="16"/>
              </w:rPr>
              <w:t>contractor</w:t>
            </w:r>
            <w:r>
              <w:rPr>
                <w:spacing w:val="40"/>
                <w:sz w:val="16"/>
              </w:rPr>
              <w:t xml:space="preserve"> </w:t>
            </w:r>
            <w:r>
              <w:rPr>
                <w:sz w:val="16"/>
              </w:rPr>
              <w:t>shall</w:t>
            </w:r>
            <w:r>
              <w:rPr>
                <w:spacing w:val="40"/>
                <w:sz w:val="16"/>
              </w:rPr>
              <w:t xml:space="preserve"> </w:t>
            </w:r>
            <w:r>
              <w:rPr>
                <w:sz w:val="16"/>
              </w:rPr>
              <w:t>be</w:t>
            </w:r>
            <w:r>
              <w:rPr>
                <w:spacing w:val="40"/>
                <w:sz w:val="16"/>
              </w:rPr>
              <w:t xml:space="preserve"> </w:t>
            </w:r>
            <w:r>
              <w:rPr>
                <w:sz w:val="16"/>
              </w:rPr>
              <w:t>responsible</w:t>
            </w:r>
            <w:r>
              <w:rPr>
                <w:spacing w:val="40"/>
                <w:sz w:val="16"/>
              </w:rPr>
              <w:t xml:space="preserve"> </w:t>
            </w:r>
            <w:r>
              <w:rPr>
                <w:sz w:val="16"/>
              </w:rPr>
              <w:t>throughout</w:t>
            </w:r>
            <w:r>
              <w:rPr>
                <w:spacing w:val="40"/>
                <w:sz w:val="16"/>
              </w:rPr>
              <w:t xml:space="preserve"> </w:t>
            </w:r>
            <w:r>
              <w:rPr>
                <w:sz w:val="16"/>
              </w:rPr>
              <w:t>the contract period for provision of insurance cover, maintenance of the office equipment and furniture, providing all necessary staff and providing security and garbage disposal facilities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61"/>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left="208"/>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38"/>
        </w:trPr>
        <w:tc>
          <w:tcPr>
            <w:tcW w:w="674" w:type="dxa"/>
            <w:vMerge w:val="restart"/>
          </w:tcPr>
          <w:p w:rsidR="007F6DF9" w:rsidRDefault="00A43FBC">
            <w:pPr>
              <w:pStyle w:val="TableParagraph"/>
              <w:spacing w:line="212" w:lineRule="exact"/>
              <w:ind w:left="513"/>
              <w:rPr>
                <w:sz w:val="18"/>
              </w:rPr>
            </w:pPr>
            <w:r>
              <w:rPr>
                <w:spacing w:val="-10"/>
                <w:w w:val="110"/>
                <w:sz w:val="18"/>
              </w:rPr>
              <w:t>A</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45"/>
              <w:rPr>
                <w:rFonts w:ascii="Segoe UI"/>
                <w:sz w:val="18"/>
              </w:rPr>
            </w:pPr>
          </w:p>
          <w:p w:rsidR="007F6DF9" w:rsidRDefault="00A43FBC">
            <w:pPr>
              <w:pStyle w:val="TableParagraph"/>
              <w:spacing w:before="1"/>
              <w:ind w:left="527"/>
              <w:rPr>
                <w:sz w:val="18"/>
              </w:rPr>
            </w:pPr>
            <w:r>
              <w:rPr>
                <w:spacing w:val="-10"/>
                <w:sz w:val="18"/>
              </w:rPr>
              <w:t>B</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14"/>
              <w:rPr>
                <w:rFonts w:ascii="Segoe UI"/>
                <w:sz w:val="18"/>
              </w:rPr>
            </w:pPr>
          </w:p>
          <w:p w:rsidR="007F6DF9" w:rsidRDefault="00A43FBC">
            <w:pPr>
              <w:pStyle w:val="TableParagraph"/>
              <w:ind w:left="515"/>
              <w:rPr>
                <w:sz w:val="18"/>
              </w:rPr>
            </w:pPr>
            <w:r>
              <w:rPr>
                <w:spacing w:val="-10"/>
                <w:w w:val="110"/>
                <w:sz w:val="18"/>
              </w:rPr>
              <w:t>C</w:t>
            </w:r>
          </w:p>
        </w:tc>
        <w:tc>
          <w:tcPr>
            <w:tcW w:w="7767" w:type="dxa"/>
            <w:tcBorders>
              <w:bottom w:val="nil"/>
            </w:tcBorders>
          </w:tcPr>
          <w:p w:rsidR="007F6DF9" w:rsidRDefault="00A43FBC">
            <w:pPr>
              <w:pStyle w:val="TableParagraph"/>
              <w:spacing w:line="212" w:lineRule="exact"/>
              <w:ind w:left="38"/>
              <w:rPr>
                <w:sz w:val="18"/>
              </w:rPr>
            </w:pPr>
            <w:r>
              <w:rPr>
                <w:w w:val="105"/>
                <w:sz w:val="18"/>
              </w:rPr>
              <w:t>LIGHTING</w:t>
            </w:r>
            <w:r>
              <w:rPr>
                <w:spacing w:val="16"/>
                <w:w w:val="105"/>
                <w:sz w:val="18"/>
              </w:rPr>
              <w:t xml:space="preserve"> </w:t>
            </w:r>
            <w:r>
              <w:rPr>
                <w:w w:val="105"/>
                <w:sz w:val="18"/>
              </w:rPr>
              <w:t>AND</w:t>
            </w:r>
            <w:r>
              <w:rPr>
                <w:spacing w:val="16"/>
                <w:w w:val="105"/>
                <w:sz w:val="18"/>
              </w:rPr>
              <w:t xml:space="preserve"> </w:t>
            </w:r>
            <w:r>
              <w:rPr>
                <w:spacing w:val="-4"/>
                <w:w w:val="105"/>
                <w:sz w:val="18"/>
              </w:rPr>
              <w:t>POWER</w:t>
            </w:r>
          </w:p>
        </w:tc>
        <w:tc>
          <w:tcPr>
            <w:tcW w:w="1593" w:type="dxa"/>
            <w:vMerge w:val="restart"/>
          </w:tcPr>
          <w:p w:rsidR="007F6DF9" w:rsidRDefault="007F6DF9">
            <w:pPr>
              <w:pStyle w:val="TableParagraph"/>
              <w:rPr>
                <w:rFonts w:ascii="Times New Roman"/>
                <w:sz w:val="18"/>
              </w:rPr>
            </w:pPr>
          </w:p>
        </w:tc>
      </w:tr>
      <w:tr w:rsidR="007F6DF9">
        <w:trPr>
          <w:trHeight w:val="1180"/>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15" w:line="254" w:lineRule="auto"/>
              <w:ind w:left="36" w:right="12"/>
              <w:jc w:val="both"/>
              <w:rPr>
                <w:sz w:val="18"/>
              </w:rPr>
            </w:pPr>
            <w:r>
              <w:rPr>
                <w:sz w:val="18"/>
              </w:rPr>
              <w:t xml:space="preserve">The contractor shall provide at his own risk and cost all temporary artificial lighting and power for use on the works including all sub-contractors and </w:t>
            </w:r>
            <w:proofErr w:type="gramStart"/>
            <w:r>
              <w:rPr>
                <w:sz w:val="18"/>
              </w:rPr>
              <w:t>specialists</w:t>
            </w:r>
            <w:proofErr w:type="gramEnd"/>
            <w:r>
              <w:rPr>
                <w:sz w:val="18"/>
              </w:rPr>
              <w:t xml:space="preserve"> requirements and including all temporary connections, wiring, fittings etc. and clearing away on completion. The Contractor shall pay all fees and obtain all permits in connection therewith.</w:t>
            </w:r>
          </w:p>
        </w:tc>
        <w:tc>
          <w:tcPr>
            <w:tcW w:w="1593" w:type="dxa"/>
            <w:vMerge/>
            <w:tcBorders>
              <w:top w:val="nil"/>
            </w:tcBorders>
          </w:tcPr>
          <w:p w:rsidR="007F6DF9" w:rsidRDefault="007F6DF9">
            <w:pPr>
              <w:rPr>
                <w:sz w:val="2"/>
                <w:szCs w:val="2"/>
              </w:rPr>
            </w:pPr>
          </w:p>
        </w:tc>
      </w:tr>
      <w:tr w:rsidR="007F6DF9">
        <w:trPr>
          <w:trHeight w:val="467"/>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7F6DF9">
            <w:pPr>
              <w:pStyle w:val="TableParagraph"/>
              <w:spacing w:before="5"/>
              <w:rPr>
                <w:rFonts w:ascii="Segoe UI"/>
                <w:sz w:val="18"/>
              </w:rPr>
            </w:pPr>
          </w:p>
          <w:p w:rsidR="007F6DF9" w:rsidRDefault="00A43FBC">
            <w:pPr>
              <w:pStyle w:val="TableParagraph"/>
              <w:spacing w:line="202" w:lineRule="exact"/>
              <w:ind w:left="38"/>
              <w:rPr>
                <w:sz w:val="18"/>
              </w:rPr>
            </w:pPr>
            <w:r>
              <w:rPr>
                <w:w w:val="105"/>
                <w:sz w:val="18"/>
              </w:rPr>
              <w:t>WATER</w:t>
            </w:r>
            <w:r>
              <w:rPr>
                <w:spacing w:val="4"/>
                <w:w w:val="105"/>
                <w:sz w:val="18"/>
              </w:rPr>
              <w:t xml:space="preserve"> </w:t>
            </w:r>
            <w:r>
              <w:rPr>
                <w:w w:val="105"/>
                <w:sz w:val="18"/>
              </w:rPr>
              <w:t>FOR</w:t>
            </w:r>
            <w:r>
              <w:rPr>
                <w:spacing w:val="4"/>
                <w:w w:val="105"/>
                <w:sz w:val="18"/>
              </w:rPr>
              <w:t xml:space="preserve"> </w:t>
            </w:r>
            <w:r>
              <w:rPr>
                <w:w w:val="105"/>
                <w:sz w:val="18"/>
              </w:rPr>
              <w:t>THE</w:t>
            </w:r>
            <w:r>
              <w:rPr>
                <w:spacing w:val="1"/>
                <w:w w:val="105"/>
                <w:sz w:val="18"/>
              </w:rPr>
              <w:t xml:space="preserve"> </w:t>
            </w:r>
            <w:r>
              <w:rPr>
                <w:spacing w:val="-2"/>
                <w:w w:val="105"/>
                <w:sz w:val="18"/>
              </w:rPr>
              <w:t>WORKS</w:t>
            </w:r>
          </w:p>
        </w:tc>
        <w:tc>
          <w:tcPr>
            <w:tcW w:w="1593" w:type="dxa"/>
            <w:vMerge/>
            <w:tcBorders>
              <w:top w:val="nil"/>
            </w:tcBorders>
          </w:tcPr>
          <w:p w:rsidR="007F6DF9" w:rsidRDefault="007F6DF9">
            <w:pPr>
              <w:rPr>
                <w:sz w:val="2"/>
                <w:szCs w:val="2"/>
              </w:rPr>
            </w:pPr>
          </w:p>
        </w:tc>
      </w:tr>
      <w:tr w:rsidR="007F6DF9">
        <w:trPr>
          <w:trHeight w:val="3033"/>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line="254" w:lineRule="auto"/>
              <w:ind w:left="36" w:right="12"/>
              <w:jc w:val="both"/>
              <w:rPr>
                <w:sz w:val="18"/>
              </w:rPr>
            </w:pPr>
            <w:r>
              <w:rPr>
                <w:sz w:val="18"/>
              </w:rPr>
              <w:t xml:space="preserve">The Contractor shall provide at his own risk and cost all necessary water required for use in the works. The Contractor must make his own arrangements for connection to the nearest suitable water main and for metering the water used. He must also provide temporary tanks and meters as required at his own cost and clear away when no longer required and make good on completion to the entire satisfaction of the PROJECT </w:t>
            </w:r>
            <w:proofErr w:type="gramStart"/>
            <w:r>
              <w:rPr>
                <w:sz w:val="18"/>
              </w:rPr>
              <w:t>MANAGER .</w:t>
            </w:r>
            <w:proofErr w:type="gramEnd"/>
            <w:r>
              <w:rPr>
                <w:sz w:val="18"/>
              </w:rPr>
              <w:t xml:space="preserve"> The Contractor shall pay all charges in connection herewith. No guarantee is given or implied that sufficient water will be available from mains and the Contractor must make his own arrangements for augmenting this supply at his own </w:t>
            </w:r>
            <w:proofErr w:type="spellStart"/>
            <w:proofErr w:type="gramStart"/>
            <w:r>
              <w:rPr>
                <w:sz w:val="18"/>
              </w:rPr>
              <w:t>cost.The</w:t>
            </w:r>
            <w:proofErr w:type="spellEnd"/>
            <w:proofErr w:type="gramEnd"/>
            <w:r>
              <w:rPr>
                <w:sz w:val="18"/>
              </w:rPr>
              <w:t xml:space="preserve"> contractor is to provide clean drinking water at the construction site for</w:t>
            </w:r>
            <w:r>
              <w:rPr>
                <w:spacing w:val="-8"/>
                <w:sz w:val="18"/>
              </w:rPr>
              <w:t xml:space="preserve"> </w:t>
            </w:r>
            <w:r>
              <w:rPr>
                <w:sz w:val="18"/>
              </w:rPr>
              <w:t>his</w:t>
            </w:r>
            <w:r>
              <w:rPr>
                <w:spacing w:val="-8"/>
                <w:sz w:val="18"/>
              </w:rPr>
              <w:t xml:space="preserve"> </w:t>
            </w:r>
            <w:r>
              <w:rPr>
                <w:sz w:val="18"/>
              </w:rPr>
              <w:t>workers</w:t>
            </w:r>
            <w:r>
              <w:rPr>
                <w:spacing w:val="-8"/>
                <w:sz w:val="18"/>
              </w:rPr>
              <w:t xml:space="preserve"> </w:t>
            </w:r>
            <w:r>
              <w:rPr>
                <w:sz w:val="18"/>
              </w:rPr>
              <w:t>at</w:t>
            </w:r>
            <w:r>
              <w:rPr>
                <w:spacing w:val="-8"/>
                <w:sz w:val="18"/>
              </w:rPr>
              <w:t xml:space="preserve"> </w:t>
            </w:r>
            <w:r>
              <w:rPr>
                <w:sz w:val="18"/>
              </w:rPr>
              <w:t>all</w:t>
            </w:r>
            <w:r>
              <w:rPr>
                <w:spacing w:val="-10"/>
                <w:sz w:val="18"/>
              </w:rPr>
              <w:t xml:space="preserve"> </w:t>
            </w:r>
            <w:r>
              <w:rPr>
                <w:sz w:val="18"/>
              </w:rPr>
              <w:t>times.</w:t>
            </w:r>
            <w:r>
              <w:rPr>
                <w:spacing w:val="-9"/>
                <w:sz w:val="18"/>
              </w:rPr>
              <w:t xml:space="preserve"> </w:t>
            </w:r>
            <w:r>
              <w:rPr>
                <w:sz w:val="18"/>
              </w:rPr>
              <w:t>All</w:t>
            </w:r>
            <w:r>
              <w:rPr>
                <w:spacing w:val="-10"/>
                <w:sz w:val="18"/>
              </w:rPr>
              <w:t xml:space="preserve"> </w:t>
            </w:r>
            <w:r>
              <w:rPr>
                <w:sz w:val="18"/>
              </w:rPr>
              <w:t>water</w:t>
            </w:r>
            <w:r>
              <w:rPr>
                <w:spacing w:val="-8"/>
                <w:sz w:val="18"/>
              </w:rPr>
              <w:t xml:space="preserve"> </w:t>
            </w:r>
            <w:r>
              <w:rPr>
                <w:sz w:val="18"/>
              </w:rPr>
              <w:t>shall</w:t>
            </w:r>
            <w:r>
              <w:rPr>
                <w:spacing w:val="-9"/>
                <w:sz w:val="18"/>
              </w:rPr>
              <w:t xml:space="preserve"> </w:t>
            </w:r>
            <w:r>
              <w:rPr>
                <w:sz w:val="18"/>
              </w:rPr>
              <w:t>be</w:t>
            </w:r>
            <w:r>
              <w:rPr>
                <w:spacing w:val="-8"/>
                <w:sz w:val="18"/>
              </w:rPr>
              <w:t xml:space="preserve"> </w:t>
            </w:r>
            <w:r>
              <w:rPr>
                <w:sz w:val="18"/>
              </w:rPr>
              <w:t>fresh,</w:t>
            </w:r>
            <w:r>
              <w:rPr>
                <w:spacing w:val="-9"/>
                <w:sz w:val="18"/>
              </w:rPr>
              <w:t xml:space="preserve"> </w:t>
            </w:r>
            <w:r>
              <w:rPr>
                <w:sz w:val="18"/>
              </w:rPr>
              <w:t>clean</w:t>
            </w:r>
            <w:r>
              <w:rPr>
                <w:spacing w:val="-9"/>
                <w:sz w:val="18"/>
              </w:rPr>
              <w:t xml:space="preserve"> </w:t>
            </w:r>
            <w:r>
              <w:rPr>
                <w:sz w:val="18"/>
              </w:rPr>
              <w:t>and</w:t>
            </w:r>
            <w:r>
              <w:rPr>
                <w:spacing w:val="-10"/>
                <w:sz w:val="18"/>
              </w:rPr>
              <w:t xml:space="preserve"> </w:t>
            </w:r>
            <w:r>
              <w:rPr>
                <w:sz w:val="18"/>
              </w:rPr>
              <w:t>pure,</w:t>
            </w:r>
            <w:r>
              <w:rPr>
                <w:spacing w:val="-8"/>
                <w:sz w:val="18"/>
              </w:rPr>
              <w:t xml:space="preserve"> </w:t>
            </w:r>
            <w:r>
              <w:rPr>
                <w:sz w:val="18"/>
              </w:rPr>
              <w:t>free</w:t>
            </w:r>
            <w:r>
              <w:rPr>
                <w:spacing w:val="-8"/>
                <w:sz w:val="18"/>
              </w:rPr>
              <w:t xml:space="preserve"> </w:t>
            </w:r>
            <w:r>
              <w:rPr>
                <w:sz w:val="18"/>
              </w:rPr>
              <w:t>from</w:t>
            </w:r>
            <w:r>
              <w:rPr>
                <w:spacing w:val="-8"/>
                <w:sz w:val="18"/>
              </w:rPr>
              <w:t xml:space="preserve"> </w:t>
            </w:r>
            <w:r>
              <w:rPr>
                <w:sz w:val="18"/>
              </w:rPr>
              <w:t>earthly</w:t>
            </w:r>
            <w:r>
              <w:rPr>
                <w:spacing w:val="-9"/>
                <w:sz w:val="18"/>
              </w:rPr>
              <w:t xml:space="preserve"> </w:t>
            </w:r>
            <w:r>
              <w:rPr>
                <w:sz w:val="18"/>
              </w:rPr>
              <w:t>vegetable</w:t>
            </w:r>
            <w:r>
              <w:rPr>
                <w:spacing w:val="-10"/>
                <w:sz w:val="18"/>
              </w:rPr>
              <w:t xml:space="preserve"> </w:t>
            </w:r>
            <w:r>
              <w:rPr>
                <w:sz w:val="18"/>
              </w:rPr>
              <w:t>or organic matter, acid or alkaline substance in solution or suspension.</w:t>
            </w:r>
          </w:p>
        </w:tc>
        <w:tc>
          <w:tcPr>
            <w:tcW w:w="1593" w:type="dxa"/>
            <w:vMerge/>
            <w:tcBorders>
              <w:top w:val="nil"/>
            </w:tcBorders>
          </w:tcPr>
          <w:p w:rsidR="007F6DF9" w:rsidRDefault="007F6DF9">
            <w:pPr>
              <w:rPr>
                <w:sz w:val="2"/>
                <w:szCs w:val="2"/>
              </w:rPr>
            </w:pPr>
          </w:p>
        </w:tc>
      </w:tr>
      <w:tr w:rsidR="007F6DF9">
        <w:trPr>
          <w:trHeight w:val="1012"/>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8"/>
              <w:rPr>
                <w:rFonts w:ascii="Segoe UI"/>
                <w:sz w:val="18"/>
              </w:rPr>
            </w:pPr>
          </w:p>
          <w:p w:rsidR="007F6DF9" w:rsidRDefault="00A43FBC">
            <w:pPr>
              <w:pStyle w:val="TableParagraph"/>
              <w:spacing w:before="1"/>
              <w:ind w:left="38"/>
              <w:rPr>
                <w:sz w:val="18"/>
              </w:rPr>
            </w:pPr>
            <w:r>
              <w:rPr>
                <w:w w:val="105"/>
                <w:sz w:val="18"/>
              </w:rPr>
              <w:t>SANITATION</w:t>
            </w:r>
            <w:r>
              <w:rPr>
                <w:spacing w:val="6"/>
                <w:w w:val="105"/>
                <w:sz w:val="18"/>
              </w:rPr>
              <w:t xml:space="preserve"> </w:t>
            </w:r>
            <w:r>
              <w:rPr>
                <w:w w:val="105"/>
                <w:sz w:val="18"/>
              </w:rPr>
              <w:t>OF</w:t>
            </w:r>
            <w:r>
              <w:rPr>
                <w:spacing w:val="6"/>
                <w:w w:val="105"/>
                <w:sz w:val="18"/>
              </w:rPr>
              <w:t xml:space="preserve"> </w:t>
            </w:r>
            <w:r>
              <w:rPr>
                <w:w w:val="105"/>
                <w:sz w:val="18"/>
              </w:rPr>
              <w:t>THE</w:t>
            </w:r>
            <w:r>
              <w:rPr>
                <w:spacing w:val="5"/>
                <w:w w:val="105"/>
                <w:sz w:val="18"/>
              </w:rPr>
              <w:t xml:space="preserve"> </w:t>
            </w:r>
            <w:r>
              <w:rPr>
                <w:spacing w:val="-2"/>
                <w:w w:val="105"/>
                <w:sz w:val="18"/>
              </w:rPr>
              <w:t>WORKS</w:t>
            </w:r>
          </w:p>
        </w:tc>
        <w:tc>
          <w:tcPr>
            <w:tcW w:w="1593" w:type="dxa"/>
            <w:vMerge/>
            <w:tcBorders>
              <w:top w:val="nil"/>
            </w:tcBorders>
          </w:tcPr>
          <w:p w:rsidR="007F6DF9" w:rsidRDefault="007F6DF9">
            <w:pPr>
              <w:rPr>
                <w:sz w:val="2"/>
                <w:szCs w:val="2"/>
              </w:rPr>
            </w:pPr>
          </w:p>
        </w:tc>
      </w:tr>
      <w:tr w:rsidR="007F6DF9">
        <w:trPr>
          <w:trHeight w:val="613"/>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46" w:line="254" w:lineRule="auto"/>
              <w:ind w:left="36"/>
              <w:rPr>
                <w:sz w:val="18"/>
              </w:rPr>
            </w:pPr>
            <w:r>
              <w:rPr>
                <w:sz w:val="18"/>
              </w:rPr>
              <w:t>The</w:t>
            </w:r>
            <w:r>
              <w:rPr>
                <w:spacing w:val="-11"/>
                <w:sz w:val="18"/>
              </w:rPr>
              <w:t xml:space="preserve"> </w:t>
            </w:r>
            <w:r>
              <w:rPr>
                <w:sz w:val="18"/>
              </w:rPr>
              <w:t>Sanitation</w:t>
            </w:r>
            <w:r>
              <w:rPr>
                <w:spacing w:val="-11"/>
                <w:sz w:val="18"/>
              </w:rPr>
              <w:t xml:space="preserve"> </w:t>
            </w:r>
            <w:r>
              <w:rPr>
                <w:sz w:val="18"/>
              </w:rPr>
              <w:t>of</w:t>
            </w:r>
            <w:r>
              <w:rPr>
                <w:spacing w:val="-12"/>
                <w:sz w:val="18"/>
              </w:rPr>
              <w:t xml:space="preserve"> </w:t>
            </w:r>
            <w:r>
              <w:rPr>
                <w:sz w:val="18"/>
              </w:rPr>
              <w:t>the</w:t>
            </w:r>
            <w:r>
              <w:rPr>
                <w:spacing w:val="-11"/>
                <w:sz w:val="18"/>
              </w:rPr>
              <w:t xml:space="preserve"> </w:t>
            </w:r>
            <w:r>
              <w:rPr>
                <w:sz w:val="18"/>
              </w:rPr>
              <w:t>works</w:t>
            </w:r>
            <w:r>
              <w:rPr>
                <w:spacing w:val="-11"/>
                <w:sz w:val="18"/>
              </w:rPr>
              <w:t xml:space="preserve"> </w:t>
            </w:r>
            <w:r>
              <w:rPr>
                <w:sz w:val="18"/>
              </w:rPr>
              <w:t>shall</w:t>
            </w:r>
            <w:r>
              <w:rPr>
                <w:spacing w:val="-12"/>
                <w:sz w:val="18"/>
              </w:rPr>
              <w:t xml:space="preserve"> </w:t>
            </w:r>
            <w:r>
              <w:rPr>
                <w:sz w:val="18"/>
              </w:rPr>
              <w:t>be</w:t>
            </w:r>
            <w:r>
              <w:rPr>
                <w:spacing w:val="-11"/>
                <w:sz w:val="18"/>
              </w:rPr>
              <w:t xml:space="preserve"> </w:t>
            </w:r>
            <w:r>
              <w:rPr>
                <w:sz w:val="18"/>
              </w:rPr>
              <w:t>arranged</w:t>
            </w:r>
            <w:r>
              <w:rPr>
                <w:spacing w:val="-12"/>
                <w:sz w:val="18"/>
              </w:rPr>
              <w:t xml:space="preserve"> </w:t>
            </w:r>
            <w:r>
              <w:rPr>
                <w:sz w:val="18"/>
              </w:rPr>
              <w:t>and</w:t>
            </w:r>
            <w:r>
              <w:rPr>
                <w:spacing w:val="-12"/>
                <w:sz w:val="18"/>
              </w:rPr>
              <w:t xml:space="preserve"> </w:t>
            </w:r>
            <w:r>
              <w:rPr>
                <w:sz w:val="18"/>
              </w:rPr>
              <w:t>maintained</w:t>
            </w:r>
            <w:r>
              <w:rPr>
                <w:spacing w:val="-12"/>
                <w:sz w:val="18"/>
              </w:rPr>
              <w:t xml:space="preserve"> </w:t>
            </w:r>
            <w:r>
              <w:rPr>
                <w:sz w:val="18"/>
              </w:rPr>
              <w:t>by</w:t>
            </w:r>
            <w:r>
              <w:rPr>
                <w:spacing w:val="-11"/>
                <w:sz w:val="18"/>
              </w:rPr>
              <w:t xml:space="preserve"> </w:t>
            </w:r>
            <w:r>
              <w:rPr>
                <w:sz w:val="18"/>
              </w:rPr>
              <w:t>the</w:t>
            </w:r>
            <w:r>
              <w:rPr>
                <w:spacing w:val="-11"/>
                <w:sz w:val="18"/>
              </w:rPr>
              <w:t xml:space="preserve"> </w:t>
            </w:r>
            <w:r>
              <w:rPr>
                <w:sz w:val="18"/>
              </w:rPr>
              <w:t>Contractor</w:t>
            </w:r>
            <w:r>
              <w:rPr>
                <w:spacing w:val="-12"/>
                <w:sz w:val="18"/>
              </w:rPr>
              <w:t xml:space="preserve"> </w:t>
            </w:r>
            <w:r>
              <w:rPr>
                <w:sz w:val="18"/>
              </w:rPr>
              <w:t>to</w:t>
            </w:r>
            <w:r>
              <w:rPr>
                <w:spacing w:val="-11"/>
                <w:sz w:val="18"/>
              </w:rPr>
              <w:t xml:space="preserve"> </w:t>
            </w:r>
            <w:r>
              <w:rPr>
                <w:sz w:val="18"/>
              </w:rPr>
              <w:t>the</w:t>
            </w:r>
            <w:r>
              <w:rPr>
                <w:spacing w:val="-11"/>
                <w:sz w:val="18"/>
              </w:rPr>
              <w:t xml:space="preserve"> </w:t>
            </w:r>
            <w:r>
              <w:rPr>
                <w:sz w:val="18"/>
              </w:rPr>
              <w:t xml:space="preserve">satisfaction of the Government and/or Local Authorities, </w:t>
            </w:r>
            <w:proofErr w:type="spellStart"/>
            <w:r>
              <w:rPr>
                <w:sz w:val="18"/>
              </w:rPr>
              <w:t>Labour</w:t>
            </w:r>
            <w:proofErr w:type="spellEnd"/>
            <w:r>
              <w:rPr>
                <w:sz w:val="18"/>
              </w:rPr>
              <w:t xml:space="preserve"> Department and the PROJECT MANAGER</w:t>
            </w:r>
          </w:p>
        </w:tc>
        <w:tc>
          <w:tcPr>
            <w:tcW w:w="1593" w:type="dxa"/>
            <w:vMerge/>
            <w:tcBorders>
              <w:top w:val="nil"/>
            </w:tcBorders>
          </w:tcPr>
          <w:p w:rsidR="007F6DF9" w:rsidRDefault="007F6DF9">
            <w:pPr>
              <w:rPr>
                <w:sz w:val="2"/>
                <w:szCs w:val="2"/>
              </w:rPr>
            </w:pPr>
          </w:p>
        </w:tc>
      </w:tr>
      <w:tr w:rsidR="007F6DF9">
        <w:trPr>
          <w:trHeight w:val="2906"/>
        </w:trPr>
        <w:tc>
          <w:tcPr>
            <w:tcW w:w="674" w:type="dxa"/>
            <w:vMerge/>
            <w:tcBorders>
              <w:top w:val="nil"/>
            </w:tcBorders>
          </w:tcPr>
          <w:p w:rsidR="007F6DF9" w:rsidRDefault="007F6DF9">
            <w:pPr>
              <w:rPr>
                <w:sz w:val="2"/>
                <w:szCs w:val="2"/>
              </w:rPr>
            </w:pPr>
          </w:p>
        </w:tc>
        <w:tc>
          <w:tcPr>
            <w:tcW w:w="7767" w:type="dxa"/>
            <w:tcBorders>
              <w:top w:val="nil"/>
            </w:tcBorders>
          </w:tcPr>
          <w:p w:rsidR="007F6DF9" w:rsidRDefault="00A43FBC">
            <w:pPr>
              <w:pStyle w:val="TableParagraph"/>
              <w:spacing w:before="108" w:line="254" w:lineRule="auto"/>
              <w:ind w:left="36" w:right="13"/>
              <w:jc w:val="both"/>
              <w:rPr>
                <w:sz w:val="18"/>
              </w:rPr>
            </w:pPr>
            <w:r>
              <w:rPr>
                <w:sz w:val="18"/>
              </w:rPr>
              <w:t>He</w:t>
            </w:r>
            <w:r>
              <w:rPr>
                <w:spacing w:val="-9"/>
                <w:sz w:val="18"/>
              </w:rPr>
              <w:t xml:space="preserve"> </w:t>
            </w:r>
            <w:r>
              <w:rPr>
                <w:sz w:val="18"/>
              </w:rPr>
              <w:t>may</w:t>
            </w:r>
            <w:r>
              <w:rPr>
                <w:spacing w:val="-11"/>
                <w:sz w:val="18"/>
              </w:rPr>
              <w:t xml:space="preserve"> </w:t>
            </w:r>
            <w:r>
              <w:rPr>
                <w:sz w:val="18"/>
              </w:rPr>
              <w:t>however</w:t>
            </w:r>
            <w:r>
              <w:rPr>
                <w:spacing w:val="-10"/>
                <w:sz w:val="18"/>
              </w:rPr>
              <w:t xml:space="preserve"> </w:t>
            </w:r>
            <w:r>
              <w:rPr>
                <w:sz w:val="18"/>
              </w:rPr>
              <w:t>be</w:t>
            </w:r>
            <w:r>
              <w:rPr>
                <w:spacing w:val="-10"/>
                <w:sz w:val="18"/>
              </w:rPr>
              <w:t xml:space="preserve"> </w:t>
            </w:r>
            <w:r>
              <w:rPr>
                <w:sz w:val="18"/>
              </w:rPr>
              <w:t>allowed</w:t>
            </w:r>
            <w:r>
              <w:rPr>
                <w:spacing w:val="-8"/>
                <w:sz w:val="18"/>
              </w:rPr>
              <w:t xml:space="preserve"> </w:t>
            </w:r>
            <w:r>
              <w:rPr>
                <w:sz w:val="18"/>
              </w:rPr>
              <w:t>use</w:t>
            </w:r>
            <w:r>
              <w:rPr>
                <w:spacing w:val="-9"/>
                <w:sz w:val="18"/>
              </w:rPr>
              <w:t xml:space="preserve"> </w:t>
            </w:r>
            <w:r>
              <w:rPr>
                <w:sz w:val="18"/>
              </w:rPr>
              <w:t>of</w:t>
            </w:r>
            <w:r>
              <w:rPr>
                <w:spacing w:val="-8"/>
                <w:sz w:val="18"/>
              </w:rPr>
              <w:t xml:space="preserve"> </w:t>
            </w:r>
            <w:r>
              <w:rPr>
                <w:sz w:val="18"/>
              </w:rPr>
              <w:t>the</w:t>
            </w:r>
            <w:r>
              <w:rPr>
                <w:spacing w:val="-10"/>
                <w:sz w:val="18"/>
              </w:rPr>
              <w:t xml:space="preserve"> </w:t>
            </w:r>
            <w:r>
              <w:rPr>
                <w:sz w:val="18"/>
              </w:rPr>
              <w:t>existing</w:t>
            </w:r>
            <w:r>
              <w:rPr>
                <w:spacing w:val="-8"/>
                <w:sz w:val="18"/>
              </w:rPr>
              <w:t xml:space="preserve"> </w:t>
            </w:r>
            <w:r>
              <w:rPr>
                <w:sz w:val="18"/>
              </w:rPr>
              <w:t>sanitation</w:t>
            </w:r>
            <w:r>
              <w:rPr>
                <w:spacing w:val="-10"/>
                <w:sz w:val="18"/>
              </w:rPr>
              <w:t xml:space="preserve"> </w:t>
            </w:r>
            <w:r>
              <w:rPr>
                <w:sz w:val="18"/>
              </w:rPr>
              <w:t>facilities</w:t>
            </w:r>
            <w:r>
              <w:rPr>
                <w:spacing w:val="-7"/>
                <w:sz w:val="18"/>
              </w:rPr>
              <w:t xml:space="preserve"> </w:t>
            </w:r>
            <w:r>
              <w:rPr>
                <w:sz w:val="18"/>
              </w:rPr>
              <w:t>but</w:t>
            </w:r>
            <w:r>
              <w:rPr>
                <w:spacing w:val="-9"/>
                <w:sz w:val="18"/>
              </w:rPr>
              <w:t xml:space="preserve"> </w:t>
            </w:r>
            <w:r>
              <w:rPr>
                <w:sz w:val="18"/>
              </w:rPr>
              <w:t>shall</w:t>
            </w:r>
            <w:r>
              <w:rPr>
                <w:spacing w:val="-8"/>
                <w:sz w:val="18"/>
              </w:rPr>
              <w:t xml:space="preserve"> </w:t>
            </w:r>
            <w:r>
              <w:rPr>
                <w:sz w:val="18"/>
              </w:rPr>
              <w:t>be</w:t>
            </w:r>
            <w:r>
              <w:rPr>
                <w:spacing w:val="-10"/>
                <w:sz w:val="18"/>
              </w:rPr>
              <w:t xml:space="preserve"> </w:t>
            </w:r>
            <w:r>
              <w:rPr>
                <w:sz w:val="18"/>
              </w:rPr>
              <w:t>responsible</w:t>
            </w:r>
            <w:r>
              <w:rPr>
                <w:spacing w:val="-8"/>
                <w:sz w:val="18"/>
              </w:rPr>
              <w:t xml:space="preserve"> </w:t>
            </w:r>
            <w:r>
              <w:rPr>
                <w:sz w:val="18"/>
              </w:rPr>
              <w:t>for</w:t>
            </w:r>
            <w:r>
              <w:rPr>
                <w:spacing w:val="-10"/>
                <w:sz w:val="18"/>
              </w:rPr>
              <w:t xml:space="preserve"> </w:t>
            </w:r>
            <w:r>
              <w:rPr>
                <w:sz w:val="18"/>
              </w:rPr>
              <w:t xml:space="preserve">the proper hygienic maintenance and any damage whatsoever. No guarantees are however given regarding the adequacy of the existing </w:t>
            </w:r>
            <w:proofErr w:type="spellStart"/>
            <w:r>
              <w:rPr>
                <w:sz w:val="18"/>
              </w:rPr>
              <w:t>services.The</w:t>
            </w:r>
            <w:proofErr w:type="spellEnd"/>
            <w:r>
              <w:rPr>
                <w:sz w:val="18"/>
              </w:rPr>
              <w:t xml:space="preserve"> Contractor will be required to pay all conservancy</w:t>
            </w:r>
            <w:r>
              <w:rPr>
                <w:spacing w:val="-15"/>
                <w:sz w:val="18"/>
              </w:rPr>
              <w:t xml:space="preserve"> </w:t>
            </w:r>
            <w:r>
              <w:rPr>
                <w:sz w:val="18"/>
              </w:rPr>
              <w:t>charges</w:t>
            </w:r>
            <w:r>
              <w:rPr>
                <w:spacing w:val="-13"/>
                <w:sz w:val="18"/>
              </w:rPr>
              <w:t xml:space="preserve"> </w:t>
            </w:r>
            <w:r>
              <w:rPr>
                <w:sz w:val="18"/>
              </w:rPr>
              <w:t>and</w:t>
            </w:r>
            <w:r>
              <w:rPr>
                <w:spacing w:val="-14"/>
                <w:sz w:val="18"/>
              </w:rPr>
              <w:t xml:space="preserve"> </w:t>
            </w:r>
            <w:r>
              <w:rPr>
                <w:sz w:val="18"/>
              </w:rPr>
              <w:t>shall</w:t>
            </w:r>
            <w:r>
              <w:rPr>
                <w:spacing w:val="-14"/>
                <w:sz w:val="18"/>
              </w:rPr>
              <w:t xml:space="preserve"> </w:t>
            </w:r>
            <w:r>
              <w:rPr>
                <w:sz w:val="18"/>
              </w:rPr>
              <w:t>ensure</w:t>
            </w:r>
            <w:r>
              <w:rPr>
                <w:spacing w:val="-13"/>
                <w:sz w:val="18"/>
              </w:rPr>
              <w:t xml:space="preserve"> </w:t>
            </w:r>
            <w:r>
              <w:rPr>
                <w:sz w:val="18"/>
              </w:rPr>
              <w:t>clean</w:t>
            </w:r>
            <w:r>
              <w:rPr>
                <w:spacing w:val="-14"/>
                <w:sz w:val="18"/>
              </w:rPr>
              <w:t xml:space="preserve"> </w:t>
            </w:r>
            <w:r>
              <w:rPr>
                <w:sz w:val="18"/>
              </w:rPr>
              <w:t>daily</w:t>
            </w:r>
            <w:r>
              <w:rPr>
                <w:spacing w:val="-14"/>
                <w:sz w:val="18"/>
              </w:rPr>
              <w:t xml:space="preserve"> </w:t>
            </w:r>
            <w:r>
              <w:rPr>
                <w:sz w:val="18"/>
              </w:rPr>
              <w:t>maintenance</w:t>
            </w:r>
            <w:r>
              <w:rPr>
                <w:spacing w:val="-14"/>
                <w:sz w:val="18"/>
              </w:rPr>
              <w:t xml:space="preserve"> </w:t>
            </w:r>
            <w:r>
              <w:rPr>
                <w:sz w:val="18"/>
              </w:rPr>
              <w:t>and</w:t>
            </w:r>
            <w:r>
              <w:rPr>
                <w:spacing w:val="-14"/>
                <w:sz w:val="18"/>
              </w:rPr>
              <w:t xml:space="preserve"> </w:t>
            </w:r>
            <w:r>
              <w:rPr>
                <w:sz w:val="18"/>
              </w:rPr>
              <w:t>disinfecting</w:t>
            </w:r>
            <w:r>
              <w:rPr>
                <w:spacing w:val="-13"/>
                <w:sz w:val="18"/>
              </w:rPr>
              <w:t xml:space="preserve"> </w:t>
            </w:r>
            <w:r>
              <w:rPr>
                <w:sz w:val="18"/>
              </w:rPr>
              <w:t>of</w:t>
            </w:r>
            <w:r>
              <w:rPr>
                <w:spacing w:val="-14"/>
                <w:sz w:val="18"/>
              </w:rPr>
              <w:t xml:space="preserve"> </w:t>
            </w:r>
            <w:r>
              <w:rPr>
                <w:sz w:val="18"/>
              </w:rPr>
              <w:t>the</w:t>
            </w:r>
            <w:r>
              <w:rPr>
                <w:spacing w:val="-12"/>
                <w:sz w:val="18"/>
              </w:rPr>
              <w:t xml:space="preserve"> </w:t>
            </w:r>
            <w:r>
              <w:rPr>
                <w:sz w:val="18"/>
              </w:rPr>
              <w:t>latrines,</w:t>
            </w:r>
            <w:r>
              <w:rPr>
                <w:spacing w:val="-14"/>
                <w:sz w:val="18"/>
              </w:rPr>
              <w:t xml:space="preserve"> </w:t>
            </w:r>
            <w:r>
              <w:rPr>
                <w:sz w:val="18"/>
              </w:rPr>
              <w:t>and not less than once per week, the whole area shall be sprayed with disinfectant and insecticides and</w:t>
            </w:r>
            <w:r>
              <w:rPr>
                <w:spacing w:val="-5"/>
                <w:sz w:val="18"/>
              </w:rPr>
              <w:t xml:space="preserve"> </w:t>
            </w:r>
            <w:r>
              <w:rPr>
                <w:sz w:val="18"/>
              </w:rPr>
              <w:t>any</w:t>
            </w:r>
            <w:r>
              <w:rPr>
                <w:spacing w:val="-4"/>
                <w:sz w:val="18"/>
              </w:rPr>
              <w:t xml:space="preserve"> </w:t>
            </w:r>
            <w:r>
              <w:rPr>
                <w:sz w:val="18"/>
              </w:rPr>
              <w:t>temporary</w:t>
            </w:r>
            <w:r>
              <w:rPr>
                <w:spacing w:val="-4"/>
                <w:sz w:val="18"/>
              </w:rPr>
              <w:t xml:space="preserve"> </w:t>
            </w:r>
            <w:r>
              <w:rPr>
                <w:sz w:val="18"/>
              </w:rPr>
              <w:t>drains</w:t>
            </w:r>
            <w:r>
              <w:rPr>
                <w:spacing w:val="-3"/>
                <w:sz w:val="18"/>
              </w:rPr>
              <w:t xml:space="preserve"> </w:t>
            </w:r>
            <w:r>
              <w:rPr>
                <w:sz w:val="18"/>
              </w:rPr>
              <w:t>shall</w:t>
            </w:r>
            <w:r>
              <w:rPr>
                <w:spacing w:val="-5"/>
                <w:sz w:val="18"/>
              </w:rPr>
              <w:t xml:space="preserve"> </w:t>
            </w:r>
            <w:r>
              <w:rPr>
                <w:sz w:val="18"/>
              </w:rPr>
              <w:t>be</w:t>
            </w:r>
            <w:r>
              <w:rPr>
                <w:spacing w:val="-3"/>
                <w:sz w:val="18"/>
              </w:rPr>
              <w:t xml:space="preserve"> </w:t>
            </w:r>
            <w:r>
              <w:rPr>
                <w:sz w:val="18"/>
              </w:rPr>
              <w:t>removed</w:t>
            </w:r>
            <w:r>
              <w:rPr>
                <w:spacing w:val="-4"/>
                <w:sz w:val="18"/>
              </w:rPr>
              <w:t xml:space="preserve"> </w:t>
            </w:r>
            <w:r>
              <w:rPr>
                <w:sz w:val="18"/>
              </w:rPr>
              <w:t>and</w:t>
            </w:r>
            <w:r>
              <w:rPr>
                <w:spacing w:val="-5"/>
                <w:sz w:val="18"/>
              </w:rPr>
              <w:t xml:space="preserve"> </w:t>
            </w:r>
            <w:r>
              <w:rPr>
                <w:sz w:val="18"/>
              </w:rPr>
              <w:t>all</w:t>
            </w:r>
            <w:r>
              <w:rPr>
                <w:spacing w:val="-5"/>
                <w:sz w:val="18"/>
              </w:rPr>
              <w:t xml:space="preserve"> </w:t>
            </w:r>
            <w:r>
              <w:rPr>
                <w:sz w:val="18"/>
              </w:rPr>
              <w:t>works</w:t>
            </w:r>
            <w:r>
              <w:rPr>
                <w:spacing w:val="-3"/>
                <w:sz w:val="18"/>
              </w:rPr>
              <w:t xml:space="preserve"> </w:t>
            </w:r>
            <w:r>
              <w:rPr>
                <w:sz w:val="18"/>
              </w:rPr>
              <w:t>and</w:t>
            </w:r>
            <w:r>
              <w:rPr>
                <w:spacing w:val="-7"/>
                <w:sz w:val="18"/>
              </w:rPr>
              <w:t xml:space="preserve"> </w:t>
            </w:r>
            <w:r>
              <w:rPr>
                <w:sz w:val="18"/>
              </w:rPr>
              <w:t>surfaces</w:t>
            </w:r>
            <w:r>
              <w:rPr>
                <w:spacing w:val="-2"/>
                <w:sz w:val="18"/>
              </w:rPr>
              <w:t xml:space="preserve"> </w:t>
            </w:r>
            <w:r>
              <w:rPr>
                <w:sz w:val="18"/>
              </w:rPr>
              <w:t>disturbed</w:t>
            </w:r>
            <w:r>
              <w:rPr>
                <w:spacing w:val="-6"/>
                <w:sz w:val="18"/>
              </w:rPr>
              <w:t xml:space="preserve"> </w:t>
            </w:r>
            <w:r>
              <w:rPr>
                <w:sz w:val="18"/>
              </w:rPr>
              <w:t>made</w:t>
            </w:r>
            <w:r>
              <w:rPr>
                <w:spacing w:val="-3"/>
                <w:sz w:val="18"/>
              </w:rPr>
              <w:t xml:space="preserve"> </w:t>
            </w:r>
            <w:r>
              <w:rPr>
                <w:sz w:val="18"/>
              </w:rPr>
              <w:t>good</w:t>
            </w:r>
            <w:r>
              <w:rPr>
                <w:spacing w:val="-7"/>
                <w:sz w:val="18"/>
              </w:rPr>
              <w:t xml:space="preserve"> </w:t>
            </w:r>
            <w:r>
              <w:rPr>
                <w:sz w:val="18"/>
              </w:rPr>
              <w:t>and then the whole area disinfected and left clean and free from pollution to the satisfaction of the Architect and local authorities.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62"/>
          <w:pgSz w:w="12240" w:h="15840"/>
          <w:pgMar w:top="1060" w:right="1133" w:bottom="700" w:left="850" w:header="0" w:footer="506" w:gutter="0"/>
          <w:pgNumType w:start="17"/>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908"/>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w w:val="105"/>
                <w:sz w:val="18"/>
              </w:rPr>
              <w:t>SUPERVISION</w:t>
            </w:r>
            <w:r>
              <w:rPr>
                <w:spacing w:val="3"/>
                <w:w w:val="105"/>
                <w:sz w:val="18"/>
              </w:rPr>
              <w:t xml:space="preserve"> </w:t>
            </w:r>
            <w:r>
              <w:rPr>
                <w:w w:val="105"/>
                <w:sz w:val="18"/>
              </w:rPr>
              <w:t>AND</w:t>
            </w:r>
            <w:r>
              <w:rPr>
                <w:spacing w:val="5"/>
                <w:w w:val="105"/>
                <w:sz w:val="18"/>
              </w:rPr>
              <w:t xml:space="preserve"> </w:t>
            </w:r>
            <w:r>
              <w:rPr>
                <w:w w:val="105"/>
                <w:sz w:val="18"/>
              </w:rPr>
              <w:t>WORKING</w:t>
            </w:r>
            <w:r>
              <w:rPr>
                <w:spacing w:val="4"/>
                <w:w w:val="105"/>
                <w:sz w:val="18"/>
              </w:rPr>
              <w:t xml:space="preserve"> </w:t>
            </w:r>
            <w:r>
              <w:rPr>
                <w:spacing w:val="-4"/>
                <w:w w:val="105"/>
                <w:sz w:val="18"/>
              </w:rPr>
              <w:t>HOURS</w:t>
            </w:r>
          </w:p>
          <w:p w:rsidR="007F6DF9" w:rsidRDefault="00A43FBC">
            <w:pPr>
              <w:pStyle w:val="TableParagraph"/>
              <w:spacing w:before="216" w:line="230" w:lineRule="atLeast"/>
              <w:ind w:left="36"/>
              <w:rPr>
                <w:sz w:val="18"/>
              </w:rPr>
            </w:pPr>
            <w:r>
              <w:rPr>
                <w:sz w:val="18"/>
              </w:rPr>
              <w:t>The</w:t>
            </w:r>
            <w:r>
              <w:rPr>
                <w:spacing w:val="-10"/>
                <w:sz w:val="18"/>
              </w:rPr>
              <w:t xml:space="preserve"> </w:t>
            </w:r>
            <w:r>
              <w:rPr>
                <w:sz w:val="18"/>
              </w:rPr>
              <w:t>works</w:t>
            </w:r>
            <w:r>
              <w:rPr>
                <w:spacing w:val="-10"/>
                <w:sz w:val="18"/>
              </w:rPr>
              <w:t xml:space="preserve"> </w:t>
            </w:r>
            <w:r>
              <w:rPr>
                <w:sz w:val="18"/>
              </w:rPr>
              <w:t>shall</w:t>
            </w:r>
            <w:r>
              <w:rPr>
                <w:spacing w:val="-11"/>
                <w:sz w:val="18"/>
              </w:rPr>
              <w:t xml:space="preserve"> </w:t>
            </w:r>
            <w:r>
              <w:rPr>
                <w:sz w:val="18"/>
              </w:rPr>
              <w:t>be</w:t>
            </w:r>
            <w:r>
              <w:rPr>
                <w:spacing w:val="-10"/>
                <w:sz w:val="18"/>
              </w:rPr>
              <w:t xml:space="preserve"> </w:t>
            </w:r>
            <w:r>
              <w:rPr>
                <w:sz w:val="18"/>
              </w:rPr>
              <w:t>executed</w:t>
            </w:r>
            <w:r>
              <w:rPr>
                <w:spacing w:val="-11"/>
                <w:sz w:val="18"/>
              </w:rPr>
              <w:t xml:space="preserve"> </w:t>
            </w:r>
            <w:r>
              <w:rPr>
                <w:sz w:val="18"/>
              </w:rPr>
              <w:t>under</w:t>
            </w:r>
            <w:r>
              <w:rPr>
                <w:spacing w:val="-10"/>
                <w:sz w:val="18"/>
              </w:rPr>
              <w:t xml:space="preserve"> </w:t>
            </w:r>
            <w:r>
              <w:rPr>
                <w:sz w:val="18"/>
              </w:rPr>
              <w:t>the</w:t>
            </w:r>
            <w:r>
              <w:rPr>
                <w:spacing w:val="-10"/>
                <w:sz w:val="18"/>
              </w:rPr>
              <w:t xml:space="preserve"> </w:t>
            </w:r>
            <w:r>
              <w:rPr>
                <w:sz w:val="18"/>
              </w:rPr>
              <w:t>direction</w:t>
            </w:r>
            <w:r>
              <w:rPr>
                <w:spacing w:val="-11"/>
                <w:sz w:val="18"/>
              </w:rPr>
              <w:t xml:space="preserve"> </w:t>
            </w:r>
            <w:r>
              <w:rPr>
                <w:sz w:val="18"/>
              </w:rPr>
              <w:t>and</w:t>
            </w:r>
            <w:r>
              <w:rPr>
                <w:spacing w:val="-12"/>
                <w:sz w:val="18"/>
              </w:rPr>
              <w:t xml:space="preserve"> </w:t>
            </w:r>
            <w:r>
              <w:rPr>
                <w:sz w:val="18"/>
              </w:rPr>
              <w:t>to</w:t>
            </w:r>
            <w:r>
              <w:rPr>
                <w:spacing w:val="-9"/>
                <w:sz w:val="18"/>
              </w:rPr>
              <w:t xml:space="preserve"> </w:t>
            </w:r>
            <w:r>
              <w:rPr>
                <w:sz w:val="18"/>
              </w:rPr>
              <w:t>the</w:t>
            </w:r>
            <w:r>
              <w:rPr>
                <w:spacing w:val="-10"/>
                <w:sz w:val="18"/>
              </w:rPr>
              <w:t xml:space="preserve"> </w:t>
            </w:r>
            <w:r>
              <w:rPr>
                <w:sz w:val="18"/>
              </w:rPr>
              <w:t>entire</w:t>
            </w:r>
            <w:r>
              <w:rPr>
                <w:spacing w:val="-9"/>
                <w:sz w:val="18"/>
              </w:rPr>
              <w:t xml:space="preserve"> </w:t>
            </w:r>
            <w:r>
              <w:rPr>
                <w:sz w:val="18"/>
              </w:rPr>
              <w:t>satisfaction</w:t>
            </w:r>
            <w:r>
              <w:rPr>
                <w:spacing w:val="-10"/>
                <w:sz w:val="18"/>
              </w:rPr>
              <w:t xml:space="preserve"> </w:t>
            </w:r>
            <w:r>
              <w:rPr>
                <w:sz w:val="18"/>
              </w:rPr>
              <w:t>in</w:t>
            </w:r>
            <w:r>
              <w:rPr>
                <w:spacing w:val="-9"/>
                <w:sz w:val="18"/>
              </w:rPr>
              <w:t xml:space="preserve"> </w:t>
            </w:r>
            <w:r>
              <w:rPr>
                <w:sz w:val="18"/>
              </w:rPr>
              <w:t>all</w:t>
            </w:r>
            <w:r>
              <w:rPr>
                <w:spacing w:val="-12"/>
                <w:sz w:val="18"/>
              </w:rPr>
              <w:t xml:space="preserve"> </w:t>
            </w:r>
            <w:r>
              <w:rPr>
                <w:sz w:val="18"/>
              </w:rPr>
              <w:t>respects</w:t>
            </w:r>
            <w:r>
              <w:rPr>
                <w:spacing w:val="-8"/>
                <w:sz w:val="18"/>
              </w:rPr>
              <w:t xml:space="preserve"> </w:t>
            </w:r>
            <w:r>
              <w:rPr>
                <w:sz w:val="18"/>
              </w:rPr>
              <w:t>of</w:t>
            </w:r>
            <w:r>
              <w:rPr>
                <w:spacing w:val="-11"/>
                <w:sz w:val="18"/>
              </w:rPr>
              <w:t xml:space="preserve"> </w:t>
            </w:r>
            <w:r>
              <w:rPr>
                <w:sz w:val="18"/>
              </w:rPr>
              <w:t>the PROJECT</w:t>
            </w:r>
            <w:r>
              <w:rPr>
                <w:spacing w:val="33"/>
                <w:sz w:val="18"/>
              </w:rPr>
              <w:t xml:space="preserve"> </w:t>
            </w:r>
            <w:r>
              <w:rPr>
                <w:sz w:val="18"/>
              </w:rPr>
              <w:t>MANAGER</w:t>
            </w:r>
            <w:r>
              <w:rPr>
                <w:spacing w:val="31"/>
                <w:sz w:val="18"/>
              </w:rPr>
              <w:t xml:space="preserve"> </w:t>
            </w:r>
            <w:r>
              <w:rPr>
                <w:sz w:val="18"/>
              </w:rPr>
              <w:t>who</w:t>
            </w:r>
            <w:r>
              <w:rPr>
                <w:spacing w:val="32"/>
                <w:sz w:val="18"/>
              </w:rPr>
              <w:t xml:space="preserve"> </w:t>
            </w:r>
            <w:r>
              <w:rPr>
                <w:sz w:val="18"/>
              </w:rPr>
              <w:t>shall</w:t>
            </w:r>
            <w:r>
              <w:rPr>
                <w:spacing w:val="30"/>
                <w:sz w:val="18"/>
              </w:rPr>
              <w:t xml:space="preserve"> </w:t>
            </w:r>
            <w:r>
              <w:rPr>
                <w:sz w:val="18"/>
              </w:rPr>
              <w:t>at</w:t>
            </w:r>
            <w:r>
              <w:rPr>
                <w:spacing w:val="32"/>
                <w:sz w:val="18"/>
              </w:rPr>
              <w:t xml:space="preserve"> </w:t>
            </w:r>
            <w:r>
              <w:rPr>
                <w:sz w:val="18"/>
              </w:rPr>
              <w:t>all</w:t>
            </w:r>
            <w:r>
              <w:rPr>
                <w:spacing w:val="29"/>
                <w:sz w:val="18"/>
              </w:rPr>
              <w:t xml:space="preserve"> </w:t>
            </w:r>
            <w:r>
              <w:rPr>
                <w:sz w:val="18"/>
              </w:rPr>
              <w:t>times</w:t>
            </w:r>
            <w:r>
              <w:rPr>
                <w:spacing w:val="32"/>
                <w:sz w:val="18"/>
              </w:rPr>
              <w:t xml:space="preserve"> </w:t>
            </w:r>
            <w:r>
              <w:rPr>
                <w:sz w:val="18"/>
              </w:rPr>
              <w:t>during</w:t>
            </w:r>
            <w:r>
              <w:rPr>
                <w:spacing w:val="31"/>
                <w:sz w:val="18"/>
              </w:rPr>
              <w:t xml:space="preserve"> </w:t>
            </w:r>
            <w:r>
              <w:rPr>
                <w:sz w:val="18"/>
              </w:rPr>
              <w:t>normal</w:t>
            </w:r>
            <w:r>
              <w:rPr>
                <w:spacing w:val="31"/>
                <w:sz w:val="18"/>
              </w:rPr>
              <w:t xml:space="preserve"> </w:t>
            </w:r>
            <w:r>
              <w:rPr>
                <w:sz w:val="18"/>
              </w:rPr>
              <w:t>working</w:t>
            </w:r>
            <w:r>
              <w:rPr>
                <w:spacing w:val="32"/>
                <w:sz w:val="18"/>
              </w:rPr>
              <w:t xml:space="preserve"> </w:t>
            </w:r>
            <w:r>
              <w:rPr>
                <w:sz w:val="18"/>
              </w:rPr>
              <w:t>hours</w:t>
            </w:r>
            <w:r>
              <w:rPr>
                <w:spacing w:val="32"/>
                <w:sz w:val="18"/>
              </w:rPr>
              <w:t xml:space="preserve"> </w:t>
            </w:r>
            <w:r>
              <w:rPr>
                <w:sz w:val="18"/>
              </w:rPr>
              <w:t>have</w:t>
            </w:r>
            <w:r>
              <w:rPr>
                <w:spacing w:val="31"/>
                <w:sz w:val="18"/>
              </w:rPr>
              <w:t xml:space="preserve"> </w:t>
            </w:r>
            <w:r>
              <w:rPr>
                <w:sz w:val="18"/>
              </w:rPr>
              <w:t>access</w:t>
            </w:r>
            <w:r>
              <w:rPr>
                <w:spacing w:val="33"/>
                <w:sz w:val="18"/>
              </w:rPr>
              <w:t xml:space="preserve"> </w:t>
            </w:r>
            <w:r>
              <w:rPr>
                <w:sz w:val="18"/>
              </w:rPr>
              <w:t>to</w:t>
            </w:r>
            <w:r>
              <w:rPr>
                <w:spacing w:val="30"/>
                <w:sz w:val="18"/>
              </w:rPr>
              <w:t xml:space="preserve"> </w:t>
            </w:r>
            <w:r>
              <w:rPr>
                <w:spacing w:val="-5"/>
                <w:sz w:val="18"/>
              </w:rPr>
              <w:t>the</w:t>
            </w:r>
          </w:p>
        </w:tc>
        <w:tc>
          <w:tcPr>
            <w:tcW w:w="1593" w:type="dxa"/>
            <w:vMerge w:val="restart"/>
          </w:tcPr>
          <w:p w:rsidR="007F6DF9" w:rsidRDefault="007F6DF9">
            <w:pPr>
              <w:pStyle w:val="TableParagraph"/>
              <w:rPr>
                <w:rFonts w:ascii="Times New Roman"/>
                <w:sz w:val="18"/>
              </w:rPr>
            </w:pPr>
          </w:p>
        </w:tc>
      </w:tr>
      <w:tr w:rsidR="007F6DF9">
        <w:trPr>
          <w:trHeight w:val="1482"/>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5"/>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54" w:lineRule="auto"/>
              <w:ind w:left="36"/>
              <w:rPr>
                <w:sz w:val="18"/>
              </w:rPr>
            </w:pPr>
            <w:r>
              <w:rPr>
                <w:sz w:val="18"/>
              </w:rPr>
              <w:t>works and to the yards and workshops</w:t>
            </w:r>
            <w:r>
              <w:rPr>
                <w:spacing w:val="22"/>
                <w:sz w:val="18"/>
              </w:rPr>
              <w:t xml:space="preserve"> </w:t>
            </w:r>
            <w:r>
              <w:rPr>
                <w:sz w:val="18"/>
              </w:rPr>
              <w:t>of the</w:t>
            </w:r>
            <w:r>
              <w:rPr>
                <w:spacing w:val="20"/>
                <w:sz w:val="18"/>
              </w:rPr>
              <w:t xml:space="preserve"> </w:t>
            </w:r>
            <w:r>
              <w:rPr>
                <w:sz w:val="18"/>
              </w:rPr>
              <w:t>Contractor and sub-Contractors or</w:t>
            </w:r>
            <w:r>
              <w:rPr>
                <w:spacing w:val="20"/>
                <w:sz w:val="18"/>
              </w:rPr>
              <w:t xml:space="preserve"> </w:t>
            </w:r>
            <w:r>
              <w:rPr>
                <w:sz w:val="18"/>
              </w:rPr>
              <w:t>other places where work is being prepared for the contract.</w:t>
            </w:r>
          </w:p>
          <w:p w:rsidR="007F6DF9" w:rsidRDefault="00A43FBC">
            <w:pPr>
              <w:pStyle w:val="TableParagraph"/>
              <w:spacing w:before="224"/>
              <w:ind w:left="38"/>
              <w:rPr>
                <w:sz w:val="18"/>
              </w:rPr>
            </w:pPr>
            <w:r>
              <w:rPr>
                <w:sz w:val="18"/>
              </w:rPr>
              <w:t>PROVISIONAL</w:t>
            </w:r>
            <w:r>
              <w:rPr>
                <w:spacing w:val="52"/>
                <w:sz w:val="18"/>
              </w:rPr>
              <w:t xml:space="preserve"> </w:t>
            </w:r>
            <w:r>
              <w:rPr>
                <w:spacing w:val="-4"/>
                <w:sz w:val="18"/>
              </w:rPr>
              <w:t>SUMS.</w:t>
            </w:r>
          </w:p>
          <w:p w:rsidR="007F6DF9" w:rsidRDefault="00A43FBC">
            <w:pPr>
              <w:pStyle w:val="TableParagraph"/>
              <w:spacing w:before="190" w:line="230" w:lineRule="atLeast"/>
              <w:ind w:left="36"/>
              <w:rPr>
                <w:sz w:val="18"/>
              </w:rPr>
            </w:pPr>
            <w:r>
              <w:rPr>
                <w:sz w:val="18"/>
              </w:rPr>
              <w:t>The</w:t>
            </w:r>
            <w:r>
              <w:rPr>
                <w:spacing w:val="-4"/>
                <w:sz w:val="18"/>
              </w:rPr>
              <w:t xml:space="preserve"> </w:t>
            </w:r>
            <w:r>
              <w:rPr>
                <w:sz w:val="18"/>
              </w:rPr>
              <w:t>term</w:t>
            </w:r>
            <w:r>
              <w:rPr>
                <w:spacing w:val="-3"/>
                <w:sz w:val="18"/>
              </w:rPr>
              <w:t xml:space="preserve"> </w:t>
            </w:r>
            <w:r>
              <w:rPr>
                <w:sz w:val="18"/>
              </w:rPr>
              <w:t>"Provisional</w:t>
            </w:r>
            <w:r>
              <w:rPr>
                <w:spacing w:val="-5"/>
                <w:sz w:val="18"/>
              </w:rPr>
              <w:t xml:space="preserve"> </w:t>
            </w:r>
            <w:r>
              <w:rPr>
                <w:sz w:val="18"/>
              </w:rPr>
              <w:t>Sum"</w:t>
            </w:r>
            <w:r>
              <w:rPr>
                <w:spacing w:val="-4"/>
                <w:sz w:val="18"/>
              </w:rPr>
              <w:t xml:space="preserve"> </w:t>
            </w:r>
            <w:r>
              <w:rPr>
                <w:sz w:val="18"/>
              </w:rPr>
              <w:t>wherever</w:t>
            </w:r>
            <w:r>
              <w:rPr>
                <w:spacing w:val="-4"/>
                <w:sz w:val="18"/>
              </w:rPr>
              <w:t xml:space="preserve"> </w:t>
            </w:r>
            <w:r>
              <w:rPr>
                <w:sz w:val="18"/>
              </w:rPr>
              <w:t>used</w:t>
            </w:r>
            <w:r>
              <w:rPr>
                <w:spacing w:val="-4"/>
                <w:sz w:val="18"/>
              </w:rPr>
              <w:t xml:space="preserve"> </w:t>
            </w:r>
            <w:r>
              <w:rPr>
                <w:sz w:val="18"/>
              </w:rPr>
              <w:t>in</w:t>
            </w:r>
            <w:r>
              <w:rPr>
                <w:spacing w:val="-4"/>
                <w:sz w:val="18"/>
              </w:rPr>
              <w:t xml:space="preserve"> </w:t>
            </w:r>
            <w:r>
              <w:rPr>
                <w:sz w:val="18"/>
              </w:rPr>
              <w:t>these</w:t>
            </w:r>
            <w:r>
              <w:rPr>
                <w:spacing w:val="-4"/>
                <w:sz w:val="18"/>
              </w:rPr>
              <w:t xml:space="preserve"> </w:t>
            </w:r>
            <w:r>
              <w:rPr>
                <w:sz w:val="18"/>
              </w:rPr>
              <w:t>Bills</w:t>
            </w:r>
            <w:r>
              <w:rPr>
                <w:spacing w:val="-3"/>
                <w:sz w:val="18"/>
              </w:rPr>
              <w:t xml:space="preserve"> </w:t>
            </w:r>
            <w:r>
              <w:rPr>
                <w:sz w:val="18"/>
              </w:rPr>
              <w:t>of</w:t>
            </w:r>
            <w:r>
              <w:rPr>
                <w:spacing w:val="-5"/>
                <w:sz w:val="18"/>
              </w:rPr>
              <w:t xml:space="preserve"> </w:t>
            </w:r>
            <w:r>
              <w:rPr>
                <w:sz w:val="18"/>
              </w:rPr>
              <w:t>Quantities</w:t>
            </w:r>
            <w:r>
              <w:rPr>
                <w:spacing w:val="-3"/>
                <w:sz w:val="18"/>
              </w:rPr>
              <w:t xml:space="preserve"> </w:t>
            </w:r>
            <w:r>
              <w:rPr>
                <w:sz w:val="18"/>
              </w:rPr>
              <w:t>shall</w:t>
            </w:r>
            <w:r>
              <w:rPr>
                <w:spacing w:val="-5"/>
                <w:sz w:val="18"/>
              </w:rPr>
              <w:t xml:space="preserve"> </w:t>
            </w:r>
            <w:r>
              <w:rPr>
                <w:sz w:val="18"/>
              </w:rPr>
              <w:t>have</w:t>
            </w:r>
            <w:r>
              <w:rPr>
                <w:spacing w:val="-4"/>
                <w:sz w:val="18"/>
              </w:rPr>
              <w:t xml:space="preserve"> </w:t>
            </w:r>
            <w:r>
              <w:rPr>
                <w:sz w:val="18"/>
              </w:rPr>
              <w:t>the</w:t>
            </w:r>
            <w:r>
              <w:rPr>
                <w:spacing w:val="-4"/>
                <w:sz w:val="18"/>
              </w:rPr>
              <w:t xml:space="preserve"> </w:t>
            </w:r>
            <w:r>
              <w:rPr>
                <w:sz w:val="18"/>
              </w:rPr>
              <w:t>meaning stated</w:t>
            </w:r>
            <w:r>
              <w:rPr>
                <w:spacing w:val="-11"/>
                <w:sz w:val="18"/>
              </w:rPr>
              <w:t xml:space="preserve"> </w:t>
            </w:r>
            <w:r>
              <w:rPr>
                <w:sz w:val="18"/>
              </w:rPr>
              <w:t>in</w:t>
            </w:r>
            <w:r>
              <w:rPr>
                <w:spacing w:val="-11"/>
                <w:sz w:val="18"/>
              </w:rPr>
              <w:t xml:space="preserve"> </w:t>
            </w:r>
            <w:r>
              <w:rPr>
                <w:sz w:val="18"/>
              </w:rPr>
              <w:t>Section</w:t>
            </w:r>
            <w:r>
              <w:rPr>
                <w:spacing w:val="-11"/>
                <w:sz w:val="18"/>
              </w:rPr>
              <w:t xml:space="preserve"> </w:t>
            </w:r>
            <w:r>
              <w:rPr>
                <w:sz w:val="18"/>
              </w:rPr>
              <w:t>A</w:t>
            </w:r>
            <w:r>
              <w:rPr>
                <w:spacing w:val="-11"/>
                <w:sz w:val="18"/>
              </w:rPr>
              <w:t xml:space="preserve"> </w:t>
            </w:r>
            <w:r>
              <w:rPr>
                <w:sz w:val="18"/>
              </w:rPr>
              <w:t>item</w:t>
            </w:r>
            <w:r>
              <w:rPr>
                <w:spacing w:val="-11"/>
                <w:sz w:val="18"/>
              </w:rPr>
              <w:t xml:space="preserve"> </w:t>
            </w:r>
            <w:r>
              <w:rPr>
                <w:sz w:val="18"/>
              </w:rPr>
              <w:t>A7(</w:t>
            </w:r>
            <w:proofErr w:type="spellStart"/>
            <w:r>
              <w:rPr>
                <w:sz w:val="18"/>
              </w:rPr>
              <w:t>i</w:t>
            </w:r>
            <w:proofErr w:type="spellEnd"/>
            <w:r>
              <w:rPr>
                <w:sz w:val="18"/>
              </w:rPr>
              <w:t>)</w:t>
            </w:r>
            <w:r>
              <w:rPr>
                <w:spacing w:val="-12"/>
                <w:sz w:val="18"/>
              </w:rPr>
              <w:t xml:space="preserve"> </w:t>
            </w:r>
            <w:r>
              <w:rPr>
                <w:sz w:val="18"/>
              </w:rPr>
              <w:t>of</w:t>
            </w:r>
            <w:r>
              <w:rPr>
                <w:spacing w:val="-12"/>
                <w:sz w:val="18"/>
              </w:rPr>
              <w:t xml:space="preserve"> </w:t>
            </w:r>
            <w:r>
              <w:rPr>
                <w:sz w:val="18"/>
              </w:rPr>
              <w:t>the</w:t>
            </w:r>
            <w:r>
              <w:rPr>
                <w:spacing w:val="-11"/>
                <w:sz w:val="18"/>
              </w:rPr>
              <w:t xml:space="preserve"> </w:t>
            </w:r>
            <w:r>
              <w:rPr>
                <w:sz w:val="18"/>
              </w:rPr>
              <w:t>Standard</w:t>
            </w:r>
            <w:r>
              <w:rPr>
                <w:spacing w:val="-12"/>
                <w:sz w:val="18"/>
              </w:rPr>
              <w:t xml:space="preserve"> </w:t>
            </w:r>
            <w:r>
              <w:rPr>
                <w:sz w:val="18"/>
              </w:rPr>
              <w:t>Method</w:t>
            </w:r>
            <w:r>
              <w:rPr>
                <w:spacing w:val="-12"/>
                <w:sz w:val="18"/>
              </w:rPr>
              <w:t xml:space="preserve"> </w:t>
            </w:r>
            <w:r>
              <w:rPr>
                <w:sz w:val="18"/>
              </w:rPr>
              <w:t>of</w:t>
            </w:r>
            <w:r>
              <w:rPr>
                <w:spacing w:val="-12"/>
                <w:sz w:val="18"/>
              </w:rPr>
              <w:t xml:space="preserve"> </w:t>
            </w:r>
            <w:r>
              <w:rPr>
                <w:sz w:val="18"/>
              </w:rPr>
              <w:t>Measurement.</w:t>
            </w:r>
            <w:r>
              <w:rPr>
                <w:spacing w:val="-12"/>
                <w:sz w:val="18"/>
              </w:rPr>
              <w:t xml:space="preserve"> </w:t>
            </w:r>
            <w:r>
              <w:rPr>
                <w:sz w:val="18"/>
              </w:rPr>
              <w:t>Such</w:t>
            </w:r>
            <w:r>
              <w:rPr>
                <w:spacing w:val="-12"/>
                <w:sz w:val="18"/>
              </w:rPr>
              <w:t xml:space="preserve"> </w:t>
            </w:r>
            <w:r>
              <w:rPr>
                <w:sz w:val="18"/>
              </w:rPr>
              <w:t>sums</w:t>
            </w:r>
            <w:r>
              <w:rPr>
                <w:spacing w:val="-11"/>
                <w:sz w:val="18"/>
              </w:rPr>
              <w:t xml:space="preserve"> </w:t>
            </w:r>
            <w:r>
              <w:rPr>
                <w:sz w:val="18"/>
              </w:rPr>
              <w:t>are</w:t>
            </w:r>
            <w:r>
              <w:rPr>
                <w:spacing w:val="-11"/>
                <w:sz w:val="18"/>
              </w:rPr>
              <w:t xml:space="preserve"> </w:t>
            </w:r>
            <w:r>
              <w:rPr>
                <w:sz w:val="18"/>
              </w:rPr>
              <w:t>net</w:t>
            </w:r>
            <w:r>
              <w:rPr>
                <w:spacing w:val="-11"/>
                <w:sz w:val="18"/>
              </w:rPr>
              <w:t xml:space="preserve"> </w:t>
            </w:r>
            <w:r>
              <w:rPr>
                <w:sz w:val="18"/>
              </w:rPr>
              <w:t>and</w:t>
            </w:r>
            <w:r>
              <w:rPr>
                <w:spacing w:val="-12"/>
                <w:sz w:val="18"/>
              </w:rPr>
              <w:t xml:space="preserve"> </w:t>
            </w:r>
            <w:r>
              <w:rPr>
                <w:sz w:val="18"/>
              </w:rPr>
              <w:t>no</w:t>
            </w:r>
          </w:p>
        </w:tc>
        <w:tc>
          <w:tcPr>
            <w:tcW w:w="1593" w:type="dxa"/>
            <w:vMerge/>
            <w:tcBorders>
              <w:top w:val="nil"/>
            </w:tcBorders>
          </w:tcPr>
          <w:p w:rsidR="007F6DF9" w:rsidRDefault="007F6DF9">
            <w:pPr>
              <w:rPr>
                <w:sz w:val="2"/>
                <w:szCs w:val="2"/>
              </w:rPr>
            </w:pPr>
          </w:p>
        </w:tc>
      </w:tr>
      <w:tr w:rsidR="007F6DF9">
        <w:trPr>
          <w:trHeight w:val="1644"/>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1"/>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before="39" w:line="508" w:lineRule="auto"/>
              <w:ind w:left="38" w:right="3982" w:hanging="3"/>
              <w:rPr>
                <w:sz w:val="18"/>
              </w:rPr>
            </w:pPr>
            <w:r>
              <w:rPr>
                <w:sz w:val="18"/>
              </w:rPr>
              <w:t>addition</w:t>
            </w:r>
            <w:r>
              <w:rPr>
                <w:spacing w:val="-6"/>
                <w:sz w:val="18"/>
              </w:rPr>
              <w:t xml:space="preserve"> </w:t>
            </w:r>
            <w:r>
              <w:rPr>
                <w:sz w:val="18"/>
              </w:rPr>
              <w:t>shall</w:t>
            </w:r>
            <w:r>
              <w:rPr>
                <w:spacing w:val="-7"/>
                <w:sz w:val="18"/>
              </w:rPr>
              <w:t xml:space="preserve"> </w:t>
            </w:r>
            <w:r>
              <w:rPr>
                <w:sz w:val="18"/>
              </w:rPr>
              <w:t>be</w:t>
            </w:r>
            <w:r>
              <w:rPr>
                <w:spacing w:val="-5"/>
                <w:sz w:val="18"/>
              </w:rPr>
              <w:t xml:space="preserve"> </w:t>
            </w:r>
            <w:r>
              <w:rPr>
                <w:sz w:val="18"/>
              </w:rPr>
              <w:t>made</w:t>
            </w:r>
            <w:r>
              <w:rPr>
                <w:spacing w:val="-6"/>
                <w:sz w:val="18"/>
              </w:rPr>
              <w:t xml:space="preserve"> </w:t>
            </w:r>
            <w:r>
              <w:rPr>
                <w:sz w:val="18"/>
              </w:rPr>
              <w:t>to</w:t>
            </w:r>
            <w:r>
              <w:rPr>
                <w:spacing w:val="-6"/>
                <w:sz w:val="18"/>
              </w:rPr>
              <w:t xml:space="preserve"> </w:t>
            </w:r>
            <w:r>
              <w:rPr>
                <w:sz w:val="18"/>
              </w:rPr>
              <w:t>them</w:t>
            </w:r>
            <w:r>
              <w:rPr>
                <w:spacing w:val="-6"/>
                <w:sz w:val="18"/>
              </w:rPr>
              <w:t xml:space="preserve"> </w:t>
            </w:r>
            <w:r>
              <w:rPr>
                <w:sz w:val="18"/>
              </w:rPr>
              <w:t>for</w:t>
            </w:r>
            <w:r>
              <w:rPr>
                <w:spacing w:val="-6"/>
                <w:sz w:val="18"/>
              </w:rPr>
              <w:t xml:space="preserve"> </w:t>
            </w:r>
            <w:r>
              <w:rPr>
                <w:sz w:val="18"/>
              </w:rPr>
              <w:t>profit. PRIME COST (OR P.C.) SUMS.</w:t>
            </w:r>
          </w:p>
          <w:p w:rsidR="007F6DF9" w:rsidRDefault="00A43FBC">
            <w:pPr>
              <w:pStyle w:val="TableParagraph"/>
              <w:ind w:left="36"/>
              <w:rPr>
                <w:sz w:val="18"/>
              </w:rPr>
            </w:pPr>
            <w:r>
              <w:rPr>
                <w:sz w:val="18"/>
              </w:rPr>
              <w:t>The</w:t>
            </w:r>
            <w:r>
              <w:rPr>
                <w:spacing w:val="-11"/>
                <w:sz w:val="18"/>
              </w:rPr>
              <w:t xml:space="preserve"> </w:t>
            </w:r>
            <w:r>
              <w:rPr>
                <w:sz w:val="18"/>
              </w:rPr>
              <w:t>term</w:t>
            </w:r>
            <w:r>
              <w:rPr>
                <w:spacing w:val="-12"/>
                <w:sz w:val="18"/>
              </w:rPr>
              <w:t xml:space="preserve"> </w:t>
            </w:r>
            <w:r>
              <w:rPr>
                <w:sz w:val="18"/>
              </w:rPr>
              <w:t>"Prime</w:t>
            </w:r>
            <w:r>
              <w:rPr>
                <w:spacing w:val="-11"/>
                <w:sz w:val="18"/>
              </w:rPr>
              <w:t xml:space="preserve"> </w:t>
            </w:r>
            <w:r>
              <w:rPr>
                <w:sz w:val="18"/>
              </w:rPr>
              <w:t>Cost</w:t>
            </w:r>
            <w:r>
              <w:rPr>
                <w:spacing w:val="-12"/>
                <w:sz w:val="18"/>
              </w:rPr>
              <w:t xml:space="preserve"> </w:t>
            </w:r>
            <w:r>
              <w:rPr>
                <w:sz w:val="18"/>
              </w:rPr>
              <w:t>Sum"</w:t>
            </w:r>
            <w:r>
              <w:rPr>
                <w:spacing w:val="-12"/>
                <w:sz w:val="18"/>
              </w:rPr>
              <w:t xml:space="preserve"> </w:t>
            </w:r>
            <w:r>
              <w:rPr>
                <w:sz w:val="18"/>
              </w:rPr>
              <w:t>or</w:t>
            </w:r>
            <w:r>
              <w:rPr>
                <w:spacing w:val="-11"/>
                <w:sz w:val="18"/>
              </w:rPr>
              <w:t xml:space="preserve"> </w:t>
            </w:r>
            <w:r>
              <w:rPr>
                <w:sz w:val="18"/>
              </w:rPr>
              <w:t>"P.C.</w:t>
            </w:r>
            <w:r>
              <w:rPr>
                <w:spacing w:val="-12"/>
                <w:sz w:val="18"/>
              </w:rPr>
              <w:t xml:space="preserve"> </w:t>
            </w:r>
            <w:r>
              <w:rPr>
                <w:sz w:val="18"/>
              </w:rPr>
              <w:t>Sum"</w:t>
            </w:r>
            <w:r>
              <w:rPr>
                <w:spacing w:val="-12"/>
                <w:sz w:val="18"/>
              </w:rPr>
              <w:t xml:space="preserve"> </w:t>
            </w:r>
            <w:r>
              <w:rPr>
                <w:sz w:val="18"/>
              </w:rPr>
              <w:t>wherever</w:t>
            </w:r>
            <w:r>
              <w:rPr>
                <w:spacing w:val="-12"/>
                <w:sz w:val="18"/>
              </w:rPr>
              <w:t xml:space="preserve"> </w:t>
            </w:r>
            <w:r>
              <w:rPr>
                <w:sz w:val="18"/>
              </w:rPr>
              <w:t>used</w:t>
            </w:r>
            <w:r>
              <w:rPr>
                <w:spacing w:val="-12"/>
                <w:sz w:val="18"/>
              </w:rPr>
              <w:t xml:space="preserve"> </w:t>
            </w:r>
            <w:r>
              <w:rPr>
                <w:sz w:val="18"/>
              </w:rPr>
              <w:t>in</w:t>
            </w:r>
            <w:r>
              <w:rPr>
                <w:spacing w:val="-12"/>
                <w:sz w:val="18"/>
              </w:rPr>
              <w:t xml:space="preserve"> </w:t>
            </w:r>
            <w:r>
              <w:rPr>
                <w:sz w:val="18"/>
              </w:rPr>
              <w:t>these</w:t>
            </w:r>
            <w:r>
              <w:rPr>
                <w:spacing w:val="-12"/>
                <w:sz w:val="18"/>
              </w:rPr>
              <w:t xml:space="preserve"> </w:t>
            </w:r>
            <w:r>
              <w:rPr>
                <w:sz w:val="18"/>
              </w:rPr>
              <w:t>Bills</w:t>
            </w:r>
            <w:r>
              <w:rPr>
                <w:spacing w:val="-11"/>
                <w:sz w:val="18"/>
              </w:rPr>
              <w:t xml:space="preserve"> </w:t>
            </w:r>
            <w:r>
              <w:rPr>
                <w:sz w:val="18"/>
              </w:rPr>
              <w:t>of</w:t>
            </w:r>
            <w:r>
              <w:rPr>
                <w:spacing w:val="-10"/>
                <w:sz w:val="18"/>
              </w:rPr>
              <w:t xml:space="preserve"> </w:t>
            </w:r>
            <w:r>
              <w:rPr>
                <w:sz w:val="18"/>
              </w:rPr>
              <w:t>Quantities</w:t>
            </w:r>
            <w:r>
              <w:rPr>
                <w:spacing w:val="-11"/>
                <w:sz w:val="18"/>
              </w:rPr>
              <w:t xml:space="preserve"> </w:t>
            </w:r>
            <w:r>
              <w:rPr>
                <w:sz w:val="18"/>
              </w:rPr>
              <w:t>shall</w:t>
            </w:r>
            <w:r>
              <w:rPr>
                <w:spacing w:val="-11"/>
                <w:sz w:val="18"/>
              </w:rPr>
              <w:t xml:space="preserve"> </w:t>
            </w:r>
            <w:r>
              <w:rPr>
                <w:sz w:val="18"/>
              </w:rPr>
              <w:t>have</w:t>
            </w:r>
            <w:r>
              <w:rPr>
                <w:spacing w:val="-12"/>
                <w:sz w:val="18"/>
              </w:rPr>
              <w:t xml:space="preserve"> </w:t>
            </w:r>
            <w:r>
              <w:rPr>
                <w:spacing w:val="-5"/>
                <w:sz w:val="18"/>
              </w:rPr>
              <w:t>the</w:t>
            </w:r>
          </w:p>
          <w:p w:rsidR="007F6DF9" w:rsidRDefault="00A43FBC">
            <w:pPr>
              <w:pStyle w:val="TableParagraph"/>
              <w:spacing w:line="230" w:lineRule="atLeast"/>
              <w:ind w:left="36"/>
              <w:rPr>
                <w:sz w:val="18"/>
              </w:rPr>
            </w:pPr>
            <w:r>
              <w:rPr>
                <w:sz w:val="18"/>
              </w:rPr>
              <w:t xml:space="preserve">meaning stated in Section A item A7 (ii) of the Standard Method of </w:t>
            </w:r>
            <w:proofErr w:type="gramStart"/>
            <w:r>
              <w:rPr>
                <w:sz w:val="18"/>
              </w:rPr>
              <w:t>Measurement .</w:t>
            </w:r>
            <w:proofErr w:type="gramEnd"/>
            <w:r>
              <w:rPr>
                <w:sz w:val="18"/>
              </w:rPr>
              <w:t xml:space="preserve"> Persons or firms</w:t>
            </w:r>
            <w:r>
              <w:rPr>
                <w:spacing w:val="29"/>
                <w:sz w:val="18"/>
              </w:rPr>
              <w:t xml:space="preserve"> </w:t>
            </w:r>
            <w:r>
              <w:rPr>
                <w:sz w:val="18"/>
              </w:rPr>
              <w:t>nominated</w:t>
            </w:r>
            <w:r>
              <w:rPr>
                <w:spacing w:val="27"/>
                <w:sz w:val="18"/>
              </w:rPr>
              <w:t xml:space="preserve"> </w:t>
            </w:r>
            <w:r>
              <w:rPr>
                <w:sz w:val="18"/>
              </w:rPr>
              <w:t>by</w:t>
            </w:r>
            <w:r>
              <w:rPr>
                <w:spacing w:val="28"/>
                <w:sz w:val="18"/>
              </w:rPr>
              <w:t xml:space="preserve"> </w:t>
            </w:r>
            <w:r>
              <w:rPr>
                <w:sz w:val="18"/>
              </w:rPr>
              <w:t>the</w:t>
            </w:r>
            <w:r>
              <w:rPr>
                <w:spacing w:val="28"/>
                <w:sz w:val="18"/>
              </w:rPr>
              <w:t xml:space="preserve"> </w:t>
            </w:r>
            <w:r>
              <w:rPr>
                <w:sz w:val="18"/>
              </w:rPr>
              <w:t>Project</w:t>
            </w:r>
            <w:r>
              <w:rPr>
                <w:spacing w:val="29"/>
                <w:sz w:val="18"/>
              </w:rPr>
              <w:t xml:space="preserve"> </w:t>
            </w:r>
            <w:r>
              <w:rPr>
                <w:sz w:val="18"/>
              </w:rPr>
              <w:t>Manager</w:t>
            </w:r>
            <w:r>
              <w:rPr>
                <w:spacing w:val="29"/>
                <w:sz w:val="18"/>
              </w:rPr>
              <w:t xml:space="preserve"> </w:t>
            </w:r>
            <w:r>
              <w:rPr>
                <w:sz w:val="18"/>
              </w:rPr>
              <w:t>to</w:t>
            </w:r>
            <w:r>
              <w:rPr>
                <w:spacing w:val="27"/>
                <w:sz w:val="18"/>
              </w:rPr>
              <w:t xml:space="preserve"> </w:t>
            </w:r>
            <w:r>
              <w:rPr>
                <w:sz w:val="18"/>
              </w:rPr>
              <w:t>execute</w:t>
            </w:r>
            <w:r>
              <w:rPr>
                <w:spacing w:val="31"/>
                <w:sz w:val="18"/>
              </w:rPr>
              <w:t xml:space="preserve"> </w:t>
            </w:r>
            <w:r>
              <w:rPr>
                <w:sz w:val="18"/>
              </w:rPr>
              <w:t>work</w:t>
            </w:r>
            <w:r>
              <w:rPr>
                <w:spacing w:val="29"/>
                <w:sz w:val="18"/>
              </w:rPr>
              <w:t xml:space="preserve"> </w:t>
            </w:r>
            <w:r>
              <w:rPr>
                <w:sz w:val="18"/>
              </w:rPr>
              <w:t>or</w:t>
            </w:r>
            <w:r>
              <w:rPr>
                <w:spacing w:val="30"/>
                <w:sz w:val="18"/>
              </w:rPr>
              <w:t xml:space="preserve"> </w:t>
            </w:r>
            <w:r>
              <w:rPr>
                <w:sz w:val="18"/>
              </w:rPr>
              <w:t>to</w:t>
            </w:r>
            <w:r>
              <w:rPr>
                <w:spacing w:val="28"/>
                <w:sz w:val="18"/>
              </w:rPr>
              <w:t xml:space="preserve"> </w:t>
            </w:r>
            <w:r>
              <w:rPr>
                <w:sz w:val="18"/>
              </w:rPr>
              <w:t>provide</w:t>
            </w:r>
            <w:r>
              <w:rPr>
                <w:spacing w:val="31"/>
                <w:sz w:val="18"/>
              </w:rPr>
              <w:t xml:space="preserve"> </w:t>
            </w:r>
            <w:r>
              <w:rPr>
                <w:sz w:val="18"/>
              </w:rPr>
              <w:t>and</w:t>
            </w:r>
            <w:r>
              <w:rPr>
                <w:spacing w:val="26"/>
                <w:sz w:val="18"/>
              </w:rPr>
              <w:t xml:space="preserve"> </w:t>
            </w:r>
            <w:r>
              <w:rPr>
                <w:sz w:val="18"/>
              </w:rPr>
              <w:t>fix</w:t>
            </w:r>
            <w:r>
              <w:rPr>
                <w:spacing w:val="30"/>
                <w:sz w:val="18"/>
              </w:rPr>
              <w:t xml:space="preserve"> </w:t>
            </w:r>
            <w:r>
              <w:rPr>
                <w:sz w:val="18"/>
              </w:rPr>
              <w:t>materials</w:t>
            </w:r>
            <w:r>
              <w:rPr>
                <w:spacing w:val="29"/>
                <w:sz w:val="18"/>
              </w:rPr>
              <w:t xml:space="preserve"> </w:t>
            </w:r>
            <w:r>
              <w:rPr>
                <w:spacing w:val="-5"/>
                <w:sz w:val="18"/>
              </w:rPr>
              <w:t>or</w:t>
            </w:r>
          </w:p>
        </w:tc>
        <w:tc>
          <w:tcPr>
            <w:tcW w:w="1593" w:type="dxa"/>
            <w:vMerge/>
            <w:tcBorders>
              <w:top w:val="nil"/>
            </w:tcBorders>
          </w:tcPr>
          <w:p w:rsidR="007F6DF9" w:rsidRDefault="007F6DF9">
            <w:pPr>
              <w:rPr>
                <w:sz w:val="2"/>
                <w:szCs w:val="2"/>
              </w:rPr>
            </w:pPr>
          </w:p>
        </w:tc>
      </w:tr>
      <w:tr w:rsidR="007F6DF9">
        <w:trPr>
          <w:trHeight w:val="3439"/>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96"/>
              <w:rPr>
                <w:rFonts w:ascii="Segoe UI"/>
                <w:sz w:val="18"/>
              </w:rPr>
            </w:pPr>
          </w:p>
          <w:p w:rsidR="007F6DF9" w:rsidRDefault="00A43FBC">
            <w:pPr>
              <w:pStyle w:val="TableParagraph"/>
              <w:ind w:right="24"/>
              <w:jc w:val="right"/>
              <w:rPr>
                <w:sz w:val="18"/>
              </w:rPr>
            </w:pPr>
            <w:r>
              <w:rPr>
                <w:spacing w:val="-10"/>
                <w:w w:val="105"/>
                <w:sz w:val="18"/>
              </w:rPr>
              <w:t>D</w:t>
            </w:r>
          </w:p>
        </w:tc>
        <w:tc>
          <w:tcPr>
            <w:tcW w:w="7767" w:type="dxa"/>
            <w:tcBorders>
              <w:top w:val="nil"/>
            </w:tcBorders>
          </w:tcPr>
          <w:p w:rsidR="007F6DF9" w:rsidRDefault="00A43FBC">
            <w:pPr>
              <w:pStyle w:val="TableParagraph"/>
              <w:spacing w:line="254" w:lineRule="auto"/>
              <w:ind w:left="36" w:right="12"/>
              <w:jc w:val="both"/>
              <w:rPr>
                <w:sz w:val="18"/>
              </w:rPr>
            </w:pPr>
            <w:r>
              <w:rPr>
                <w:sz w:val="18"/>
              </w:rPr>
              <w:t>goods are described herein as Nominated Sub-Contractors. Persons or firms so nominated to supply goods or materials are described herein as Nominated Suppliers.</w:t>
            </w:r>
          </w:p>
          <w:p w:rsidR="007F6DF9" w:rsidRDefault="007F6DF9">
            <w:pPr>
              <w:pStyle w:val="TableParagraph"/>
              <w:spacing w:before="214"/>
              <w:rPr>
                <w:rFonts w:ascii="Segoe UI"/>
                <w:sz w:val="18"/>
              </w:rPr>
            </w:pPr>
          </w:p>
          <w:p w:rsidR="007F6DF9" w:rsidRDefault="00A43FBC">
            <w:pPr>
              <w:pStyle w:val="TableParagraph"/>
              <w:spacing w:before="1"/>
              <w:ind w:left="38"/>
              <w:jc w:val="both"/>
              <w:rPr>
                <w:sz w:val="18"/>
              </w:rPr>
            </w:pPr>
            <w:r>
              <w:rPr>
                <w:sz w:val="18"/>
              </w:rPr>
              <w:t>PROGRESS</w:t>
            </w:r>
            <w:r>
              <w:rPr>
                <w:spacing w:val="-8"/>
                <w:sz w:val="18"/>
              </w:rPr>
              <w:t xml:space="preserve"> </w:t>
            </w:r>
            <w:r>
              <w:rPr>
                <w:spacing w:val="-2"/>
                <w:sz w:val="18"/>
              </w:rPr>
              <w:t>CHART.</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The Contractor shall provide within two weeks of Possession of Site and in agreement with the PROJECT MANAGER a Progress Chart for the whole of the works including the works of Nominated Sub-</w:t>
            </w:r>
            <w:proofErr w:type="gramStart"/>
            <w:r>
              <w:rPr>
                <w:sz w:val="18"/>
              </w:rPr>
              <w:t>Contractors ;</w:t>
            </w:r>
            <w:proofErr w:type="gramEnd"/>
            <w:r>
              <w:rPr>
                <w:sz w:val="18"/>
              </w:rPr>
              <w:t xml:space="preserve"> one copy to be handed to the PROJECT MANAGER and a further copy</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retained</w:t>
            </w:r>
            <w:r>
              <w:rPr>
                <w:spacing w:val="-11"/>
                <w:sz w:val="18"/>
              </w:rPr>
              <w:t xml:space="preserve"> </w:t>
            </w:r>
            <w:r>
              <w:rPr>
                <w:sz w:val="18"/>
              </w:rPr>
              <w:t>on</w:t>
            </w:r>
            <w:r>
              <w:rPr>
                <w:spacing w:val="-11"/>
                <w:sz w:val="18"/>
              </w:rPr>
              <w:t xml:space="preserve"> </w:t>
            </w:r>
            <w:r>
              <w:rPr>
                <w:sz w:val="18"/>
              </w:rPr>
              <w:t>Site.</w:t>
            </w:r>
            <w:r>
              <w:rPr>
                <w:spacing w:val="-11"/>
                <w:sz w:val="18"/>
              </w:rPr>
              <w:t xml:space="preserve"> </w:t>
            </w:r>
            <w:r>
              <w:rPr>
                <w:sz w:val="18"/>
              </w:rPr>
              <w:t>Progress</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recorded</w:t>
            </w:r>
            <w:r>
              <w:rPr>
                <w:spacing w:val="-11"/>
                <w:sz w:val="18"/>
              </w:rPr>
              <w:t xml:space="preserve"> </w:t>
            </w:r>
            <w:r>
              <w:rPr>
                <w:sz w:val="18"/>
              </w:rPr>
              <w:t>and</w:t>
            </w:r>
            <w:r>
              <w:rPr>
                <w:spacing w:val="-10"/>
                <w:sz w:val="18"/>
              </w:rPr>
              <w:t xml:space="preserve"> </w:t>
            </w:r>
            <w:r>
              <w:rPr>
                <w:sz w:val="18"/>
              </w:rPr>
              <w:t>chart</w:t>
            </w:r>
            <w:r>
              <w:rPr>
                <w:spacing w:val="-10"/>
                <w:sz w:val="18"/>
              </w:rPr>
              <w:t xml:space="preserve"> </w:t>
            </w:r>
            <w:r>
              <w:rPr>
                <w:sz w:val="18"/>
              </w:rPr>
              <w:t>to</w:t>
            </w:r>
            <w:r>
              <w:rPr>
                <w:spacing w:val="-9"/>
                <w:sz w:val="18"/>
              </w:rPr>
              <w:t xml:space="preserve"> </w:t>
            </w:r>
            <w:r>
              <w:rPr>
                <w:sz w:val="18"/>
              </w:rPr>
              <w:t>be</w:t>
            </w:r>
            <w:r>
              <w:rPr>
                <w:spacing w:val="-10"/>
                <w:sz w:val="18"/>
              </w:rPr>
              <w:t xml:space="preserve"> </w:t>
            </w:r>
            <w:r>
              <w:rPr>
                <w:sz w:val="18"/>
              </w:rPr>
              <w:t>amended</w:t>
            </w:r>
            <w:r>
              <w:rPr>
                <w:spacing w:val="-9"/>
                <w:sz w:val="18"/>
              </w:rPr>
              <w:t xml:space="preserve"> </w:t>
            </w:r>
            <w:r>
              <w:rPr>
                <w:sz w:val="18"/>
              </w:rPr>
              <w:t>as</w:t>
            </w:r>
            <w:r>
              <w:rPr>
                <w:spacing w:val="-10"/>
                <w:sz w:val="18"/>
              </w:rPr>
              <w:t xml:space="preserve"> </w:t>
            </w:r>
            <w:r>
              <w:rPr>
                <w:sz w:val="18"/>
              </w:rPr>
              <w:t>necessary</w:t>
            </w:r>
            <w:r>
              <w:rPr>
                <w:spacing w:val="-9"/>
                <w:sz w:val="18"/>
              </w:rPr>
              <w:t xml:space="preserve"> </w:t>
            </w:r>
            <w:r>
              <w:rPr>
                <w:sz w:val="18"/>
              </w:rPr>
              <w:t>as</w:t>
            </w:r>
            <w:r>
              <w:rPr>
                <w:spacing w:val="-10"/>
                <w:sz w:val="18"/>
              </w:rPr>
              <w:t xml:space="preserve"> </w:t>
            </w:r>
            <w:r>
              <w:rPr>
                <w:sz w:val="18"/>
              </w:rPr>
              <w:t>the work proceeds.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63"/>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38"/>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w w:val="105"/>
                <w:sz w:val="18"/>
              </w:rPr>
              <w:t>ADJUSTMENT</w:t>
            </w:r>
            <w:r>
              <w:rPr>
                <w:spacing w:val="6"/>
                <w:w w:val="105"/>
                <w:sz w:val="18"/>
              </w:rPr>
              <w:t xml:space="preserve"> </w:t>
            </w:r>
            <w:r>
              <w:rPr>
                <w:w w:val="105"/>
                <w:sz w:val="18"/>
              </w:rPr>
              <w:t>OF</w:t>
            </w:r>
            <w:r>
              <w:rPr>
                <w:spacing w:val="6"/>
                <w:w w:val="105"/>
                <w:sz w:val="18"/>
              </w:rPr>
              <w:t xml:space="preserve"> </w:t>
            </w:r>
            <w:r>
              <w:rPr>
                <w:w w:val="105"/>
                <w:sz w:val="18"/>
              </w:rPr>
              <w:t>P.C.</w:t>
            </w:r>
            <w:r>
              <w:rPr>
                <w:spacing w:val="5"/>
                <w:w w:val="105"/>
                <w:sz w:val="18"/>
              </w:rPr>
              <w:t xml:space="preserve"> </w:t>
            </w:r>
            <w:r>
              <w:rPr>
                <w:spacing w:val="-2"/>
                <w:w w:val="105"/>
                <w:sz w:val="18"/>
              </w:rPr>
              <w:t>SUMS.</w:t>
            </w:r>
          </w:p>
        </w:tc>
        <w:tc>
          <w:tcPr>
            <w:tcW w:w="1593" w:type="dxa"/>
            <w:vMerge w:val="restart"/>
          </w:tcPr>
          <w:p w:rsidR="007F6DF9" w:rsidRDefault="007F6DF9">
            <w:pPr>
              <w:pStyle w:val="TableParagraph"/>
              <w:rPr>
                <w:rFonts w:ascii="Times New Roman"/>
                <w:sz w:val="18"/>
              </w:rPr>
            </w:pPr>
          </w:p>
        </w:tc>
      </w:tr>
      <w:tr w:rsidR="007F6DF9">
        <w:trPr>
          <w:trHeight w:val="3407"/>
        </w:trPr>
        <w:tc>
          <w:tcPr>
            <w:tcW w:w="674" w:type="dxa"/>
            <w:tcBorders>
              <w:top w:val="nil"/>
              <w:bottom w:val="nil"/>
            </w:tcBorders>
          </w:tcPr>
          <w:p w:rsidR="007F6DF9" w:rsidRDefault="007F6DF9">
            <w:pPr>
              <w:pStyle w:val="TableParagraph"/>
              <w:rPr>
                <w:rFonts w:ascii="Times New Roman"/>
                <w:sz w:val="18"/>
              </w:rPr>
            </w:pPr>
          </w:p>
        </w:tc>
        <w:tc>
          <w:tcPr>
            <w:tcW w:w="7767" w:type="dxa"/>
            <w:tcBorders>
              <w:top w:val="nil"/>
              <w:bottom w:val="nil"/>
            </w:tcBorders>
          </w:tcPr>
          <w:p w:rsidR="007F6DF9" w:rsidRDefault="00A43FBC">
            <w:pPr>
              <w:pStyle w:val="TableParagraph"/>
              <w:spacing w:before="15" w:line="254" w:lineRule="auto"/>
              <w:ind w:left="36" w:right="12"/>
              <w:jc w:val="both"/>
              <w:rPr>
                <w:sz w:val="18"/>
              </w:rPr>
            </w:pPr>
            <w:r>
              <w:rPr>
                <w:sz w:val="18"/>
              </w:rPr>
              <w:t>In</w:t>
            </w:r>
            <w:r>
              <w:rPr>
                <w:spacing w:val="-4"/>
                <w:sz w:val="18"/>
              </w:rPr>
              <w:t xml:space="preserve"> </w:t>
            </w:r>
            <w:r>
              <w:rPr>
                <w:sz w:val="18"/>
              </w:rPr>
              <w:t>the</w:t>
            </w:r>
            <w:r>
              <w:rPr>
                <w:spacing w:val="-4"/>
                <w:sz w:val="18"/>
              </w:rPr>
              <w:t xml:space="preserve"> </w:t>
            </w:r>
            <w:r>
              <w:rPr>
                <w:sz w:val="18"/>
              </w:rPr>
              <w:t>final</w:t>
            </w:r>
            <w:r>
              <w:rPr>
                <w:spacing w:val="-4"/>
                <w:sz w:val="18"/>
              </w:rPr>
              <w:t xml:space="preserve"> </w:t>
            </w:r>
            <w:r>
              <w:rPr>
                <w:sz w:val="18"/>
              </w:rPr>
              <w:t>account</w:t>
            </w:r>
            <w:r>
              <w:rPr>
                <w:spacing w:val="-3"/>
                <w:sz w:val="18"/>
              </w:rPr>
              <w:t xml:space="preserve"> </w:t>
            </w:r>
            <w:r>
              <w:rPr>
                <w:sz w:val="18"/>
              </w:rPr>
              <w:t>all</w:t>
            </w:r>
            <w:r>
              <w:rPr>
                <w:spacing w:val="-4"/>
                <w:sz w:val="18"/>
              </w:rPr>
              <w:t xml:space="preserve"> </w:t>
            </w:r>
            <w:r>
              <w:rPr>
                <w:sz w:val="18"/>
              </w:rPr>
              <w:t>P.C.</w:t>
            </w:r>
            <w:r>
              <w:rPr>
                <w:spacing w:val="-4"/>
                <w:sz w:val="18"/>
              </w:rPr>
              <w:t xml:space="preserve"> </w:t>
            </w:r>
            <w:r>
              <w:rPr>
                <w:sz w:val="18"/>
              </w:rPr>
              <w:t>Sums</w:t>
            </w:r>
            <w:r>
              <w:rPr>
                <w:spacing w:val="-2"/>
                <w:sz w:val="18"/>
              </w:rPr>
              <w:t xml:space="preserve"> </w:t>
            </w:r>
            <w:r>
              <w:rPr>
                <w:sz w:val="18"/>
              </w:rPr>
              <w:t>shall</w:t>
            </w:r>
            <w:r>
              <w:rPr>
                <w:spacing w:val="-4"/>
                <w:sz w:val="18"/>
              </w:rPr>
              <w:t xml:space="preserve"> </w:t>
            </w:r>
            <w:r>
              <w:rPr>
                <w:sz w:val="18"/>
              </w:rPr>
              <w:t>be</w:t>
            </w:r>
            <w:r>
              <w:rPr>
                <w:spacing w:val="-3"/>
                <w:sz w:val="18"/>
              </w:rPr>
              <w:t xml:space="preserve"> </w:t>
            </w:r>
            <w:r>
              <w:rPr>
                <w:sz w:val="18"/>
              </w:rPr>
              <w:t>deducted</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amount</w:t>
            </w:r>
            <w:r>
              <w:rPr>
                <w:spacing w:val="-3"/>
                <w:sz w:val="18"/>
              </w:rPr>
              <w:t xml:space="preserve"> </w:t>
            </w:r>
            <w:r>
              <w:rPr>
                <w:sz w:val="18"/>
              </w:rPr>
              <w:t>properly</w:t>
            </w:r>
            <w:r>
              <w:rPr>
                <w:spacing w:val="-5"/>
                <w:sz w:val="18"/>
              </w:rPr>
              <w:t xml:space="preserve"> </w:t>
            </w:r>
            <w:r>
              <w:rPr>
                <w:sz w:val="18"/>
              </w:rPr>
              <w:t>expended</w:t>
            </w:r>
            <w:r>
              <w:rPr>
                <w:spacing w:val="-4"/>
                <w:sz w:val="18"/>
              </w:rPr>
              <w:t xml:space="preserve"> </w:t>
            </w:r>
            <w:r>
              <w:rPr>
                <w:sz w:val="18"/>
              </w:rPr>
              <w:t>upon</w:t>
            </w:r>
            <w:r>
              <w:rPr>
                <w:spacing w:val="-5"/>
                <w:sz w:val="18"/>
              </w:rPr>
              <w:t xml:space="preserve"> </w:t>
            </w:r>
            <w:r>
              <w:rPr>
                <w:sz w:val="18"/>
              </w:rPr>
              <w:t>the PROJECT MANAGER'S order in respect of each of them added to the Contract sum. The Contractor shall produce to the PROJECT MANAGER such quotations, invoices or bills, properly receipted, as may be necessary to show the actual details of the sums paid by the Contractor. Items</w:t>
            </w:r>
            <w:r>
              <w:rPr>
                <w:spacing w:val="-5"/>
                <w:sz w:val="18"/>
              </w:rPr>
              <w:t xml:space="preserve"> </w:t>
            </w:r>
            <w:r>
              <w:rPr>
                <w:sz w:val="18"/>
              </w:rPr>
              <w:t>of</w:t>
            </w:r>
            <w:r>
              <w:rPr>
                <w:spacing w:val="-7"/>
                <w:sz w:val="18"/>
              </w:rPr>
              <w:t xml:space="preserve"> </w:t>
            </w:r>
            <w:r>
              <w:rPr>
                <w:sz w:val="18"/>
              </w:rPr>
              <w:t>profit</w:t>
            </w:r>
            <w:r>
              <w:rPr>
                <w:spacing w:val="-6"/>
                <w:sz w:val="18"/>
              </w:rPr>
              <w:t xml:space="preserve"> </w:t>
            </w:r>
            <w:r>
              <w:rPr>
                <w:sz w:val="18"/>
              </w:rPr>
              <w:t>upon</w:t>
            </w:r>
            <w:r>
              <w:rPr>
                <w:spacing w:val="-6"/>
                <w:sz w:val="18"/>
              </w:rPr>
              <w:t xml:space="preserve"> </w:t>
            </w:r>
            <w:r>
              <w:rPr>
                <w:sz w:val="18"/>
              </w:rPr>
              <w:t>P.C.</w:t>
            </w:r>
            <w:r>
              <w:rPr>
                <w:spacing w:val="-7"/>
                <w:sz w:val="18"/>
              </w:rPr>
              <w:t xml:space="preserve"> </w:t>
            </w:r>
            <w:r>
              <w:rPr>
                <w:sz w:val="18"/>
              </w:rPr>
              <w:t>Sums</w:t>
            </w:r>
            <w:r>
              <w:rPr>
                <w:spacing w:val="-6"/>
                <w:sz w:val="18"/>
              </w:rPr>
              <w:t xml:space="preserve"> </w:t>
            </w:r>
            <w:r>
              <w:rPr>
                <w:sz w:val="18"/>
              </w:rPr>
              <w:t>shall</w:t>
            </w:r>
            <w:r>
              <w:rPr>
                <w:spacing w:val="-6"/>
                <w:sz w:val="18"/>
              </w:rPr>
              <w:t xml:space="preserve"> </w:t>
            </w:r>
            <w:r>
              <w:rPr>
                <w:sz w:val="18"/>
              </w:rPr>
              <w:t>be</w:t>
            </w:r>
            <w:r>
              <w:rPr>
                <w:spacing w:val="-6"/>
                <w:sz w:val="18"/>
              </w:rPr>
              <w:t xml:space="preserve"> </w:t>
            </w:r>
            <w:r>
              <w:rPr>
                <w:sz w:val="18"/>
              </w:rPr>
              <w:t>adjusted</w:t>
            </w:r>
            <w:r>
              <w:rPr>
                <w:spacing w:val="-7"/>
                <w:sz w:val="18"/>
              </w:rPr>
              <w:t xml:space="preserve"> </w:t>
            </w:r>
            <w:r>
              <w:rPr>
                <w:sz w:val="18"/>
              </w:rPr>
              <w:t>in</w:t>
            </w:r>
            <w:r>
              <w:rPr>
                <w:spacing w:val="-6"/>
                <w:sz w:val="18"/>
              </w:rPr>
              <w:t xml:space="preserve"> </w:t>
            </w:r>
            <w:r>
              <w:rPr>
                <w:sz w:val="18"/>
              </w:rPr>
              <w:t>the</w:t>
            </w:r>
            <w:r>
              <w:rPr>
                <w:spacing w:val="-6"/>
                <w:sz w:val="18"/>
              </w:rPr>
              <w:t xml:space="preserve"> </w:t>
            </w:r>
            <w:r>
              <w:rPr>
                <w:sz w:val="18"/>
              </w:rPr>
              <w:t>final</w:t>
            </w:r>
            <w:r>
              <w:rPr>
                <w:spacing w:val="-7"/>
                <w:sz w:val="18"/>
              </w:rPr>
              <w:t xml:space="preserve"> </w:t>
            </w:r>
            <w:r>
              <w:rPr>
                <w:sz w:val="18"/>
              </w:rPr>
              <w:t>account</w:t>
            </w:r>
            <w:r>
              <w:rPr>
                <w:spacing w:val="-6"/>
                <w:sz w:val="18"/>
              </w:rPr>
              <w:t xml:space="preserve"> </w:t>
            </w:r>
            <w:r>
              <w:rPr>
                <w:sz w:val="18"/>
              </w:rPr>
              <w:t>pro-rata</w:t>
            </w:r>
            <w:r>
              <w:rPr>
                <w:spacing w:val="-7"/>
                <w:sz w:val="18"/>
              </w:rPr>
              <w:t xml:space="preserve"> </w:t>
            </w:r>
            <w:r>
              <w:rPr>
                <w:sz w:val="18"/>
              </w:rPr>
              <w:t>to</w:t>
            </w:r>
            <w:r>
              <w:rPr>
                <w:spacing w:val="-6"/>
                <w:sz w:val="18"/>
              </w:rPr>
              <w:t xml:space="preserve"> </w:t>
            </w:r>
            <w:r>
              <w:rPr>
                <w:sz w:val="18"/>
              </w:rPr>
              <w:t>the</w:t>
            </w:r>
            <w:r>
              <w:rPr>
                <w:spacing w:val="-5"/>
                <w:sz w:val="18"/>
              </w:rPr>
              <w:t xml:space="preserve"> </w:t>
            </w:r>
            <w:r>
              <w:rPr>
                <w:sz w:val="18"/>
              </w:rPr>
              <w:t>amount</w:t>
            </w:r>
            <w:r>
              <w:rPr>
                <w:spacing w:val="-6"/>
                <w:sz w:val="18"/>
              </w:rPr>
              <w:t xml:space="preserve"> </w:t>
            </w:r>
            <w:r>
              <w:rPr>
                <w:sz w:val="18"/>
              </w:rPr>
              <w:t>paid. Items</w:t>
            </w:r>
            <w:r>
              <w:rPr>
                <w:spacing w:val="-4"/>
                <w:sz w:val="18"/>
              </w:rPr>
              <w:t xml:space="preserve"> </w:t>
            </w:r>
            <w:r>
              <w:rPr>
                <w:sz w:val="18"/>
              </w:rPr>
              <w:t>of</w:t>
            </w:r>
            <w:r>
              <w:rPr>
                <w:spacing w:val="-6"/>
                <w:sz w:val="18"/>
              </w:rPr>
              <w:t xml:space="preserve"> </w:t>
            </w:r>
            <w:r>
              <w:rPr>
                <w:sz w:val="18"/>
              </w:rPr>
              <w:t>"attendance"</w:t>
            </w:r>
            <w:r>
              <w:rPr>
                <w:spacing w:val="-4"/>
                <w:sz w:val="18"/>
              </w:rPr>
              <w:t xml:space="preserve"> </w:t>
            </w:r>
            <w:r>
              <w:rPr>
                <w:sz w:val="18"/>
              </w:rPr>
              <w:t>(as</w:t>
            </w:r>
            <w:r>
              <w:rPr>
                <w:spacing w:val="-5"/>
                <w:sz w:val="18"/>
              </w:rPr>
              <w:t xml:space="preserve"> </w:t>
            </w:r>
            <w:r>
              <w:rPr>
                <w:sz w:val="18"/>
              </w:rPr>
              <w:t>previously</w:t>
            </w:r>
            <w:r>
              <w:rPr>
                <w:spacing w:val="-5"/>
                <w:sz w:val="18"/>
              </w:rPr>
              <w:t xml:space="preserve"> </w:t>
            </w:r>
            <w:r>
              <w:rPr>
                <w:sz w:val="18"/>
              </w:rPr>
              <w:t>described)</w:t>
            </w:r>
            <w:r>
              <w:rPr>
                <w:spacing w:val="-6"/>
                <w:sz w:val="18"/>
              </w:rPr>
              <w:t xml:space="preserve"> </w:t>
            </w:r>
            <w:r>
              <w:rPr>
                <w:sz w:val="18"/>
              </w:rPr>
              <w:t>following</w:t>
            </w:r>
            <w:r>
              <w:rPr>
                <w:spacing w:val="-5"/>
                <w:sz w:val="18"/>
              </w:rPr>
              <w:t xml:space="preserve"> </w:t>
            </w:r>
            <w:r>
              <w:rPr>
                <w:sz w:val="18"/>
              </w:rPr>
              <w:t>P.C.</w:t>
            </w:r>
            <w:r>
              <w:rPr>
                <w:spacing w:val="-6"/>
                <w:sz w:val="18"/>
              </w:rPr>
              <w:t xml:space="preserve"> </w:t>
            </w:r>
            <w:r>
              <w:rPr>
                <w:sz w:val="18"/>
              </w:rPr>
              <w:t>Sums</w:t>
            </w:r>
            <w:r>
              <w:rPr>
                <w:spacing w:val="-4"/>
                <w:sz w:val="18"/>
              </w:rPr>
              <w:t xml:space="preserve"> </w:t>
            </w:r>
            <w:r>
              <w:rPr>
                <w:sz w:val="18"/>
              </w:rPr>
              <w:t>shall</w:t>
            </w:r>
            <w:r>
              <w:rPr>
                <w:spacing w:val="-4"/>
                <w:sz w:val="18"/>
              </w:rPr>
              <w:t xml:space="preserve"> </w:t>
            </w:r>
            <w:r>
              <w:rPr>
                <w:sz w:val="18"/>
              </w:rPr>
              <w:t>be</w:t>
            </w:r>
            <w:r>
              <w:rPr>
                <w:spacing w:val="-5"/>
                <w:sz w:val="18"/>
              </w:rPr>
              <w:t xml:space="preserve"> </w:t>
            </w:r>
            <w:r>
              <w:rPr>
                <w:sz w:val="18"/>
              </w:rPr>
              <w:t>adjusted</w:t>
            </w:r>
            <w:r>
              <w:rPr>
                <w:spacing w:val="-4"/>
                <w:sz w:val="18"/>
              </w:rPr>
              <w:t xml:space="preserve"> </w:t>
            </w:r>
            <w:r>
              <w:rPr>
                <w:sz w:val="18"/>
              </w:rPr>
              <w:t>pro-rata</w:t>
            </w:r>
            <w:r>
              <w:rPr>
                <w:spacing w:val="-6"/>
                <w:sz w:val="18"/>
              </w:rPr>
              <w:t xml:space="preserve"> </w:t>
            </w:r>
            <w:r>
              <w:rPr>
                <w:sz w:val="18"/>
              </w:rPr>
              <w:t>to the physical extent of the work executed (not pro-rata to the amount paid) and this shall apply even though the Contractor's priced Bill shows a percentage in the rate column in respect of them. Should the Contractor be permitted to tender and his tender be accepted of any work for which a P.C. Sum is included in these Bill of Quantities profit and attendance will be allowed at the same rate as it would be if the work were executed by a Nominated Sub-Contractor.</w:t>
            </w:r>
          </w:p>
        </w:tc>
        <w:tc>
          <w:tcPr>
            <w:tcW w:w="1593" w:type="dxa"/>
            <w:vMerge/>
            <w:tcBorders>
              <w:top w:val="nil"/>
            </w:tcBorders>
          </w:tcPr>
          <w:p w:rsidR="007F6DF9" w:rsidRDefault="007F6DF9">
            <w:pPr>
              <w:rPr>
                <w:sz w:val="2"/>
                <w:szCs w:val="2"/>
              </w:rPr>
            </w:pPr>
          </w:p>
        </w:tc>
      </w:tr>
      <w:tr w:rsidR="007F6DF9">
        <w:trPr>
          <w:trHeight w:val="2332"/>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41"/>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41"/>
              <w:rPr>
                <w:rFonts w:ascii="Segoe UI"/>
                <w:sz w:val="18"/>
              </w:rPr>
            </w:pPr>
          </w:p>
          <w:p w:rsidR="007F6DF9" w:rsidRDefault="00A43FBC">
            <w:pPr>
              <w:pStyle w:val="TableParagraph"/>
              <w:ind w:left="38"/>
              <w:jc w:val="both"/>
              <w:rPr>
                <w:sz w:val="18"/>
              </w:rPr>
            </w:pPr>
            <w:r>
              <w:rPr>
                <w:w w:val="105"/>
                <w:sz w:val="18"/>
              </w:rPr>
              <w:t>ADJUSTMENT</w:t>
            </w:r>
            <w:r>
              <w:rPr>
                <w:spacing w:val="8"/>
                <w:w w:val="105"/>
                <w:sz w:val="18"/>
              </w:rPr>
              <w:t xml:space="preserve"> </w:t>
            </w:r>
            <w:r>
              <w:rPr>
                <w:w w:val="105"/>
                <w:sz w:val="18"/>
              </w:rPr>
              <w:t>OF</w:t>
            </w:r>
            <w:r>
              <w:rPr>
                <w:spacing w:val="7"/>
                <w:w w:val="105"/>
                <w:sz w:val="18"/>
              </w:rPr>
              <w:t xml:space="preserve"> </w:t>
            </w:r>
            <w:r>
              <w:rPr>
                <w:w w:val="105"/>
                <w:sz w:val="18"/>
              </w:rPr>
              <w:t>PROVISIONAL</w:t>
            </w:r>
            <w:r>
              <w:rPr>
                <w:spacing w:val="8"/>
                <w:w w:val="105"/>
                <w:sz w:val="18"/>
              </w:rPr>
              <w:t xml:space="preserve"> </w:t>
            </w:r>
            <w:r>
              <w:rPr>
                <w:spacing w:val="-4"/>
                <w:w w:val="105"/>
                <w:sz w:val="18"/>
              </w:rPr>
              <w:t>SUMS.</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In the final account all Provisional Sums shall be deducted and the value of the work properly executed in respect of them upon the PROJECT MANAGER's order added to the Contract Sum. Such work shall be valued , but should any part of the work be executed by a Nominated Sub-Contractor</w:t>
            </w:r>
            <w:r>
              <w:rPr>
                <w:spacing w:val="20"/>
                <w:sz w:val="18"/>
              </w:rPr>
              <w:t xml:space="preserve"> </w:t>
            </w:r>
            <w:r>
              <w:rPr>
                <w:sz w:val="18"/>
              </w:rPr>
              <w:t>or</w:t>
            </w:r>
            <w:r>
              <w:rPr>
                <w:spacing w:val="19"/>
                <w:sz w:val="18"/>
              </w:rPr>
              <w:t xml:space="preserve"> </w:t>
            </w:r>
            <w:r>
              <w:rPr>
                <w:sz w:val="18"/>
              </w:rPr>
              <w:t>the</w:t>
            </w:r>
            <w:r>
              <w:rPr>
                <w:spacing w:val="19"/>
                <w:sz w:val="18"/>
              </w:rPr>
              <w:t xml:space="preserve"> </w:t>
            </w:r>
            <w:r>
              <w:rPr>
                <w:sz w:val="18"/>
              </w:rPr>
              <w:t>value</w:t>
            </w:r>
            <w:r>
              <w:rPr>
                <w:spacing w:val="21"/>
                <w:sz w:val="18"/>
              </w:rPr>
              <w:t xml:space="preserve"> </w:t>
            </w:r>
            <w:r>
              <w:rPr>
                <w:sz w:val="18"/>
              </w:rPr>
              <w:t>of</w:t>
            </w:r>
            <w:r>
              <w:rPr>
                <w:spacing w:val="18"/>
                <w:sz w:val="18"/>
              </w:rPr>
              <w:t xml:space="preserve"> </w:t>
            </w:r>
            <w:r>
              <w:rPr>
                <w:sz w:val="18"/>
              </w:rPr>
              <w:t>such</w:t>
            </w:r>
            <w:r>
              <w:rPr>
                <w:spacing w:val="19"/>
                <w:sz w:val="18"/>
              </w:rPr>
              <w:t xml:space="preserve"> </w:t>
            </w:r>
            <w:r>
              <w:rPr>
                <w:sz w:val="18"/>
              </w:rPr>
              <w:t>work</w:t>
            </w:r>
            <w:r>
              <w:rPr>
                <w:spacing w:val="21"/>
                <w:sz w:val="18"/>
              </w:rPr>
              <w:t xml:space="preserve"> </w:t>
            </w:r>
            <w:r>
              <w:rPr>
                <w:sz w:val="18"/>
              </w:rPr>
              <w:t>or</w:t>
            </w:r>
            <w:r>
              <w:rPr>
                <w:spacing w:val="21"/>
                <w:sz w:val="18"/>
              </w:rPr>
              <w:t xml:space="preserve"> </w:t>
            </w:r>
            <w:r>
              <w:rPr>
                <w:sz w:val="18"/>
              </w:rPr>
              <w:t>articles</w:t>
            </w:r>
            <w:r>
              <w:rPr>
                <w:spacing w:val="20"/>
                <w:sz w:val="18"/>
              </w:rPr>
              <w:t xml:space="preserve"> </w:t>
            </w:r>
            <w:r>
              <w:rPr>
                <w:sz w:val="18"/>
              </w:rPr>
              <w:t>for</w:t>
            </w:r>
            <w:r>
              <w:rPr>
                <w:spacing w:val="21"/>
                <w:sz w:val="18"/>
              </w:rPr>
              <w:t xml:space="preserve"> </w:t>
            </w:r>
            <w:r>
              <w:rPr>
                <w:sz w:val="18"/>
              </w:rPr>
              <w:t>the</w:t>
            </w:r>
            <w:r>
              <w:rPr>
                <w:spacing w:val="20"/>
                <w:sz w:val="18"/>
              </w:rPr>
              <w:t xml:space="preserve"> </w:t>
            </w:r>
            <w:r>
              <w:rPr>
                <w:sz w:val="18"/>
              </w:rPr>
              <w:t>work</w:t>
            </w:r>
            <w:r>
              <w:rPr>
                <w:spacing w:val="22"/>
                <w:sz w:val="18"/>
              </w:rPr>
              <w:t xml:space="preserve"> </w:t>
            </w:r>
            <w:r>
              <w:rPr>
                <w:sz w:val="18"/>
              </w:rPr>
              <w:t>to</w:t>
            </w:r>
            <w:r>
              <w:rPr>
                <w:spacing w:val="19"/>
                <w:sz w:val="18"/>
              </w:rPr>
              <w:t xml:space="preserve"> </w:t>
            </w:r>
            <w:r>
              <w:rPr>
                <w:sz w:val="18"/>
              </w:rPr>
              <w:t>be</w:t>
            </w:r>
            <w:r>
              <w:rPr>
                <w:spacing w:val="23"/>
                <w:sz w:val="18"/>
              </w:rPr>
              <w:t xml:space="preserve"> </w:t>
            </w:r>
            <w:r>
              <w:rPr>
                <w:sz w:val="18"/>
              </w:rPr>
              <w:t>supplied</w:t>
            </w:r>
            <w:r>
              <w:rPr>
                <w:spacing w:val="19"/>
                <w:sz w:val="18"/>
              </w:rPr>
              <w:t xml:space="preserve"> </w:t>
            </w:r>
            <w:r>
              <w:rPr>
                <w:sz w:val="18"/>
              </w:rPr>
              <w:t>by</w:t>
            </w:r>
            <w:r>
              <w:rPr>
                <w:spacing w:val="21"/>
                <w:sz w:val="18"/>
              </w:rPr>
              <w:t xml:space="preserve"> </w:t>
            </w:r>
            <w:r>
              <w:rPr>
                <w:sz w:val="18"/>
              </w:rPr>
              <w:t>a</w:t>
            </w:r>
            <w:r>
              <w:rPr>
                <w:spacing w:val="18"/>
                <w:sz w:val="18"/>
              </w:rPr>
              <w:t xml:space="preserve"> </w:t>
            </w:r>
            <w:r>
              <w:rPr>
                <w:spacing w:val="-2"/>
                <w:sz w:val="18"/>
              </w:rPr>
              <w:t>Nominated</w:t>
            </w:r>
          </w:p>
        </w:tc>
        <w:tc>
          <w:tcPr>
            <w:tcW w:w="1593" w:type="dxa"/>
            <w:vMerge/>
            <w:tcBorders>
              <w:top w:val="nil"/>
            </w:tcBorders>
          </w:tcPr>
          <w:p w:rsidR="007F6DF9" w:rsidRDefault="007F6DF9">
            <w:pPr>
              <w:rPr>
                <w:sz w:val="2"/>
                <w:szCs w:val="2"/>
              </w:rPr>
            </w:pPr>
          </w:p>
        </w:tc>
      </w:tr>
      <w:tr w:rsidR="007F6DF9">
        <w:trPr>
          <w:trHeight w:val="1498"/>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46"/>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line="112" w:lineRule="exact"/>
              <w:ind w:left="36"/>
              <w:rPr>
                <w:sz w:val="18"/>
              </w:rPr>
            </w:pPr>
            <w:r>
              <w:rPr>
                <w:sz w:val="18"/>
              </w:rPr>
              <w:t>Supplier,</w:t>
            </w:r>
            <w:r>
              <w:rPr>
                <w:spacing w:val="36"/>
                <w:sz w:val="18"/>
              </w:rPr>
              <w:t xml:space="preserve"> </w:t>
            </w:r>
            <w:r>
              <w:rPr>
                <w:sz w:val="18"/>
              </w:rPr>
              <w:t>the</w:t>
            </w:r>
            <w:r>
              <w:rPr>
                <w:spacing w:val="36"/>
                <w:sz w:val="18"/>
              </w:rPr>
              <w:t xml:space="preserve"> </w:t>
            </w:r>
            <w:r>
              <w:rPr>
                <w:sz w:val="18"/>
              </w:rPr>
              <w:t>value</w:t>
            </w:r>
            <w:r>
              <w:rPr>
                <w:spacing w:val="37"/>
                <w:sz w:val="18"/>
              </w:rPr>
              <w:t xml:space="preserve"> </w:t>
            </w:r>
            <w:r>
              <w:rPr>
                <w:sz w:val="18"/>
              </w:rPr>
              <w:t>of</w:t>
            </w:r>
            <w:r>
              <w:rPr>
                <w:spacing w:val="36"/>
                <w:sz w:val="18"/>
              </w:rPr>
              <w:t xml:space="preserve"> </w:t>
            </w:r>
            <w:r>
              <w:rPr>
                <w:sz w:val="18"/>
              </w:rPr>
              <w:t>such</w:t>
            </w:r>
            <w:r>
              <w:rPr>
                <w:spacing w:val="36"/>
                <w:sz w:val="18"/>
              </w:rPr>
              <w:t xml:space="preserve"> </w:t>
            </w:r>
            <w:r>
              <w:rPr>
                <w:sz w:val="18"/>
              </w:rPr>
              <w:t>work</w:t>
            </w:r>
            <w:r>
              <w:rPr>
                <w:spacing w:val="38"/>
                <w:sz w:val="18"/>
              </w:rPr>
              <w:t xml:space="preserve"> </w:t>
            </w:r>
            <w:r>
              <w:rPr>
                <w:sz w:val="18"/>
              </w:rPr>
              <w:t>or</w:t>
            </w:r>
            <w:r>
              <w:rPr>
                <w:spacing w:val="35"/>
                <w:sz w:val="18"/>
              </w:rPr>
              <w:t xml:space="preserve"> </w:t>
            </w:r>
            <w:r>
              <w:rPr>
                <w:sz w:val="18"/>
              </w:rPr>
              <w:t>articles</w:t>
            </w:r>
            <w:r>
              <w:rPr>
                <w:spacing w:val="38"/>
                <w:sz w:val="18"/>
              </w:rPr>
              <w:t xml:space="preserve"> </w:t>
            </w:r>
            <w:r>
              <w:rPr>
                <w:sz w:val="18"/>
              </w:rPr>
              <w:t>shall</w:t>
            </w:r>
            <w:r>
              <w:rPr>
                <w:spacing w:val="33"/>
                <w:sz w:val="18"/>
              </w:rPr>
              <w:t xml:space="preserve"> </w:t>
            </w:r>
            <w:r>
              <w:rPr>
                <w:sz w:val="18"/>
              </w:rPr>
              <w:t>be</w:t>
            </w:r>
            <w:r>
              <w:rPr>
                <w:spacing w:val="37"/>
                <w:sz w:val="18"/>
              </w:rPr>
              <w:t xml:space="preserve"> </w:t>
            </w:r>
            <w:r>
              <w:rPr>
                <w:sz w:val="18"/>
              </w:rPr>
              <w:t>treated</w:t>
            </w:r>
            <w:r>
              <w:rPr>
                <w:spacing w:val="34"/>
                <w:sz w:val="18"/>
              </w:rPr>
              <w:t xml:space="preserve"> </w:t>
            </w:r>
            <w:r>
              <w:rPr>
                <w:sz w:val="18"/>
              </w:rPr>
              <w:t>as</w:t>
            </w:r>
            <w:r>
              <w:rPr>
                <w:spacing w:val="37"/>
                <w:sz w:val="18"/>
              </w:rPr>
              <w:t xml:space="preserve"> </w:t>
            </w:r>
            <w:r>
              <w:rPr>
                <w:sz w:val="18"/>
              </w:rPr>
              <w:t>a</w:t>
            </w:r>
            <w:r>
              <w:rPr>
                <w:spacing w:val="33"/>
                <w:sz w:val="18"/>
              </w:rPr>
              <w:t xml:space="preserve"> </w:t>
            </w:r>
            <w:r>
              <w:rPr>
                <w:sz w:val="18"/>
              </w:rPr>
              <w:t>P.C.</w:t>
            </w:r>
            <w:r>
              <w:rPr>
                <w:spacing w:val="35"/>
                <w:sz w:val="18"/>
              </w:rPr>
              <w:t xml:space="preserve"> </w:t>
            </w:r>
            <w:r>
              <w:rPr>
                <w:sz w:val="18"/>
              </w:rPr>
              <w:t>Sum</w:t>
            </w:r>
            <w:r>
              <w:rPr>
                <w:spacing w:val="35"/>
                <w:sz w:val="18"/>
              </w:rPr>
              <w:t xml:space="preserve"> </w:t>
            </w:r>
            <w:r>
              <w:rPr>
                <w:sz w:val="18"/>
              </w:rPr>
              <w:t>and</w:t>
            </w:r>
            <w:r>
              <w:rPr>
                <w:spacing w:val="35"/>
                <w:sz w:val="18"/>
              </w:rPr>
              <w:t xml:space="preserve"> </w:t>
            </w:r>
            <w:r>
              <w:rPr>
                <w:sz w:val="18"/>
              </w:rPr>
              <w:t>profit</w:t>
            </w:r>
            <w:r>
              <w:rPr>
                <w:spacing w:val="35"/>
                <w:sz w:val="18"/>
              </w:rPr>
              <w:t xml:space="preserve"> </w:t>
            </w:r>
            <w:r>
              <w:rPr>
                <w:spacing w:val="-5"/>
                <w:sz w:val="18"/>
              </w:rPr>
              <w:t>and</w:t>
            </w:r>
          </w:p>
          <w:p w:rsidR="007F6DF9" w:rsidRDefault="00A43FBC">
            <w:pPr>
              <w:pStyle w:val="TableParagraph"/>
              <w:spacing w:before="13"/>
              <w:ind w:left="36"/>
              <w:rPr>
                <w:sz w:val="18"/>
              </w:rPr>
            </w:pPr>
            <w:r>
              <w:rPr>
                <w:sz w:val="18"/>
              </w:rPr>
              <w:t>attendance</w:t>
            </w:r>
            <w:r>
              <w:rPr>
                <w:spacing w:val="-11"/>
                <w:sz w:val="18"/>
              </w:rPr>
              <w:t xml:space="preserve"> </w:t>
            </w:r>
            <w:r>
              <w:rPr>
                <w:sz w:val="18"/>
              </w:rPr>
              <w:t>comparable</w:t>
            </w:r>
            <w:r>
              <w:rPr>
                <w:spacing w:val="-11"/>
                <w:sz w:val="18"/>
              </w:rPr>
              <w:t xml:space="preserve"> </w:t>
            </w:r>
            <w:r>
              <w:rPr>
                <w:sz w:val="18"/>
              </w:rPr>
              <w:t>to</w:t>
            </w:r>
            <w:r>
              <w:rPr>
                <w:spacing w:val="-11"/>
                <w:sz w:val="18"/>
              </w:rPr>
              <w:t xml:space="preserve"> </w:t>
            </w:r>
            <w:r>
              <w:rPr>
                <w:sz w:val="18"/>
              </w:rPr>
              <w:t>that</w:t>
            </w:r>
            <w:r>
              <w:rPr>
                <w:spacing w:val="-12"/>
                <w:sz w:val="18"/>
              </w:rPr>
              <w:t xml:space="preserve"> </w:t>
            </w:r>
            <w:r>
              <w:rPr>
                <w:sz w:val="18"/>
              </w:rPr>
              <w:t>contained</w:t>
            </w:r>
            <w:r>
              <w:rPr>
                <w:spacing w:val="-12"/>
                <w:sz w:val="18"/>
              </w:rPr>
              <w:t xml:space="preserve"> </w:t>
            </w:r>
            <w:r>
              <w:rPr>
                <w:sz w:val="18"/>
              </w:rPr>
              <w:t>in</w:t>
            </w:r>
            <w:r>
              <w:rPr>
                <w:spacing w:val="-11"/>
                <w:sz w:val="18"/>
              </w:rPr>
              <w:t xml:space="preserve"> </w:t>
            </w:r>
            <w:r>
              <w:rPr>
                <w:sz w:val="18"/>
              </w:rPr>
              <w:t>the</w:t>
            </w:r>
            <w:r>
              <w:rPr>
                <w:spacing w:val="-11"/>
                <w:sz w:val="18"/>
              </w:rPr>
              <w:t xml:space="preserve"> </w:t>
            </w:r>
            <w:r>
              <w:rPr>
                <w:sz w:val="18"/>
              </w:rPr>
              <w:t>priced</w:t>
            </w:r>
            <w:r>
              <w:rPr>
                <w:spacing w:val="-13"/>
                <w:sz w:val="18"/>
              </w:rPr>
              <w:t xml:space="preserve"> </w:t>
            </w:r>
            <w:r>
              <w:rPr>
                <w:sz w:val="18"/>
              </w:rPr>
              <w:t>Bills</w:t>
            </w:r>
            <w:r>
              <w:rPr>
                <w:spacing w:val="-10"/>
                <w:sz w:val="18"/>
              </w:rPr>
              <w:t xml:space="preserve"> </w:t>
            </w:r>
            <w:r>
              <w:rPr>
                <w:sz w:val="18"/>
              </w:rPr>
              <w:t>of</w:t>
            </w:r>
            <w:r>
              <w:rPr>
                <w:spacing w:val="-12"/>
                <w:sz w:val="18"/>
              </w:rPr>
              <w:t xml:space="preserve"> </w:t>
            </w:r>
            <w:r>
              <w:rPr>
                <w:sz w:val="18"/>
              </w:rPr>
              <w:t>Quantities</w:t>
            </w:r>
            <w:r>
              <w:rPr>
                <w:spacing w:val="-11"/>
                <w:sz w:val="18"/>
              </w:rPr>
              <w:t xml:space="preserve"> </w:t>
            </w:r>
            <w:r>
              <w:rPr>
                <w:sz w:val="18"/>
              </w:rPr>
              <w:t>for</w:t>
            </w:r>
            <w:r>
              <w:rPr>
                <w:spacing w:val="-11"/>
                <w:sz w:val="18"/>
              </w:rPr>
              <w:t xml:space="preserve"> </w:t>
            </w:r>
            <w:r>
              <w:rPr>
                <w:sz w:val="18"/>
              </w:rPr>
              <w:t>similar</w:t>
            </w:r>
            <w:r>
              <w:rPr>
                <w:spacing w:val="-11"/>
                <w:sz w:val="18"/>
              </w:rPr>
              <w:t xml:space="preserve"> </w:t>
            </w:r>
            <w:r>
              <w:rPr>
                <w:sz w:val="18"/>
              </w:rPr>
              <w:t>items</w:t>
            </w:r>
            <w:r>
              <w:rPr>
                <w:spacing w:val="-11"/>
                <w:sz w:val="18"/>
              </w:rPr>
              <w:t xml:space="preserve"> </w:t>
            </w:r>
            <w:r>
              <w:rPr>
                <w:spacing w:val="-2"/>
                <w:sz w:val="18"/>
              </w:rPr>
              <w:t>added.</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83"/>
              <w:rPr>
                <w:rFonts w:ascii="Segoe UI"/>
                <w:sz w:val="18"/>
              </w:rPr>
            </w:pPr>
          </w:p>
          <w:p w:rsidR="007F6DF9" w:rsidRDefault="00A43FBC">
            <w:pPr>
              <w:pStyle w:val="TableParagraph"/>
              <w:ind w:left="38"/>
              <w:rPr>
                <w:sz w:val="18"/>
              </w:rPr>
            </w:pPr>
            <w:r>
              <w:rPr>
                <w:w w:val="105"/>
                <w:sz w:val="18"/>
              </w:rPr>
              <w:t>NOMINATED</w:t>
            </w:r>
            <w:r>
              <w:rPr>
                <w:spacing w:val="28"/>
                <w:w w:val="105"/>
                <w:sz w:val="18"/>
              </w:rPr>
              <w:t xml:space="preserve"> </w:t>
            </w:r>
            <w:r>
              <w:rPr>
                <w:w w:val="105"/>
                <w:sz w:val="18"/>
              </w:rPr>
              <w:t>SUB-</w:t>
            </w:r>
            <w:r>
              <w:rPr>
                <w:spacing w:val="-2"/>
                <w:w w:val="105"/>
                <w:sz w:val="18"/>
              </w:rPr>
              <w:t>CONTRACTORS</w:t>
            </w:r>
          </w:p>
        </w:tc>
        <w:tc>
          <w:tcPr>
            <w:tcW w:w="1593" w:type="dxa"/>
            <w:vMerge/>
            <w:tcBorders>
              <w:top w:val="nil"/>
            </w:tcBorders>
          </w:tcPr>
          <w:p w:rsidR="007F6DF9" w:rsidRDefault="007F6DF9">
            <w:pPr>
              <w:rPr>
                <w:sz w:val="2"/>
                <w:szCs w:val="2"/>
              </w:rPr>
            </w:pPr>
          </w:p>
        </w:tc>
      </w:tr>
      <w:tr w:rsidR="007F6DF9">
        <w:trPr>
          <w:trHeight w:val="2144"/>
        </w:trPr>
        <w:tc>
          <w:tcPr>
            <w:tcW w:w="674" w:type="dxa"/>
            <w:tcBorders>
              <w:top w:val="nil"/>
            </w:tcBorders>
          </w:tcPr>
          <w:p w:rsidR="007F6DF9" w:rsidRDefault="007F6DF9">
            <w:pPr>
              <w:pStyle w:val="TableParagraph"/>
              <w:rPr>
                <w:rFonts w:ascii="Times New Roman"/>
                <w:sz w:val="18"/>
              </w:rPr>
            </w:pPr>
          </w:p>
        </w:tc>
        <w:tc>
          <w:tcPr>
            <w:tcW w:w="7767" w:type="dxa"/>
            <w:tcBorders>
              <w:top w:val="nil"/>
            </w:tcBorders>
          </w:tcPr>
          <w:p w:rsidR="007F6DF9" w:rsidRDefault="00A43FBC">
            <w:pPr>
              <w:pStyle w:val="TableParagraph"/>
              <w:spacing w:before="25" w:line="254" w:lineRule="auto"/>
              <w:ind w:left="36" w:right="12"/>
              <w:jc w:val="both"/>
              <w:rPr>
                <w:sz w:val="18"/>
              </w:rPr>
            </w:pPr>
            <w:r>
              <w:rPr>
                <w:sz w:val="18"/>
              </w:rPr>
              <w:t>When any work is ordered by the PROJECT MANAGER to be executed by nominated sub-contractors, the Contractor shall enter into sub-contracts and shall thereafter be responsible for such</w:t>
            </w:r>
            <w:r>
              <w:rPr>
                <w:spacing w:val="-8"/>
                <w:sz w:val="18"/>
              </w:rPr>
              <w:t xml:space="preserve"> </w:t>
            </w:r>
            <w:r>
              <w:rPr>
                <w:sz w:val="18"/>
              </w:rPr>
              <w:t>sub-contractors</w:t>
            </w:r>
            <w:r>
              <w:rPr>
                <w:spacing w:val="-7"/>
                <w:sz w:val="18"/>
              </w:rPr>
              <w:t xml:space="preserve"> </w:t>
            </w:r>
            <w:r>
              <w:rPr>
                <w:sz w:val="18"/>
              </w:rPr>
              <w:t>in</w:t>
            </w:r>
            <w:r>
              <w:rPr>
                <w:spacing w:val="-8"/>
                <w:sz w:val="18"/>
              </w:rPr>
              <w:t xml:space="preserve"> </w:t>
            </w:r>
            <w:r>
              <w:rPr>
                <w:sz w:val="18"/>
              </w:rPr>
              <w:t>every</w:t>
            </w:r>
            <w:r>
              <w:rPr>
                <w:spacing w:val="-7"/>
                <w:sz w:val="18"/>
              </w:rPr>
              <w:t xml:space="preserve"> </w:t>
            </w:r>
            <w:r>
              <w:rPr>
                <w:sz w:val="18"/>
              </w:rPr>
              <w:t>respect.</w:t>
            </w:r>
            <w:r>
              <w:rPr>
                <w:spacing w:val="-7"/>
                <w:sz w:val="18"/>
              </w:rPr>
              <w:t xml:space="preserve"> </w:t>
            </w:r>
            <w:r>
              <w:rPr>
                <w:sz w:val="18"/>
              </w:rPr>
              <w:t>Unless</w:t>
            </w:r>
            <w:r>
              <w:rPr>
                <w:spacing w:val="-6"/>
                <w:sz w:val="18"/>
              </w:rPr>
              <w:t xml:space="preserve"> </w:t>
            </w:r>
            <w:r>
              <w:rPr>
                <w:sz w:val="18"/>
              </w:rPr>
              <w:t>otherwise</w:t>
            </w:r>
            <w:r>
              <w:rPr>
                <w:spacing w:val="-7"/>
                <w:sz w:val="18"/>
              </w:rPr>
              <w:t xml:space="preserve"> </w:t>
            </w:r>
            <w:r>
              <w:rPr>
                <w:sz w:val="18"/>
              </w:rPr>
              <w:t>described</w:t>
            </w:r>
            <w:r>
              <w:rPr>
                <w:spacing w:val="-7"/>
                <w:sz w:val="18"/>
              </w:rPr>
              <w:t xml:space="preserve"> </w:t>
            </w:r>
            <w:r>
              <w:rPr>
                <w:sz w:val="18"/>
              </w:rPr>
              <w:t>the</w:t>
            </w:r>
            <w:r>
              <w:rPr>
                <w:spacing w:val="-7"/>
                <w:sz w:val="18"/>
              </w:rPr>
              <w:t xml:space="preserve"> </w:t>
            </w:r>
            <w:r>
              <w:rPr>
                <w:sz w:val="18"/>
              </w:rPr>
              <w:t>Contractor</w:t>
            </w:r>
            <w:r>
              <w:rPr>
                <w:spacing w:val="-6"/>
                <w:sz w:val="18"/>
              </w:rPr>
              <w:t xml:space="preserve"> </w:t>
            </w:r>
            <w:r>
              <w:rPr>
                <w:sz w:val="18"/>
              </w:rPr>
              <w:t>is</w:t>
            </w:r>
            <w:r>
              <w:rPr>
                <w:spacing w:val="-7"/>
                <w:sz w:val="18"/>
              </w:rPr>
              <w:t xml:space="preserve"> </w:t>
            </w:r>
            <w:r>
              <w:rPr>
                <w:sz w:val="18"/>
              </w:rPr>
              <w:t>to</w:t>
            </w:r>
            <w:r>
              <w:rPr>
                <w:spacing w:val="-6"/>
                <w:sz w:val="18"/>
              </w:rPr>
              <w:t xml:space="preserve"> </w:t>
            </w:r>
            <w:r>
              <w:rPr>
                <w:sz w:val="18"/>
              </w:rPr>
              <w:t>provide</w:t>
            </w:r>
            <w:r>
              <w:rPr>
                <w:spacing w:val="-7"/>
                <w:sz w:val="18"/>
              </w:rPr>
              <w:t xml:space="preserve"> </w:t>
            </w:r>
            <w:r>
              <w:rPr>
                <w:sz w:val="18"/>
              </w:rPr>
              <w:t>for such Sub-Contractors any or all of the facilities described in these Preliminaries. The Contractor should price for these with the nominated Sub-contract Contractor's work concerned in the P.C. Sums under the description "add for Attendance".</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64"/>
          <w:pgSz w:w="12240" w:h="15840"/>
          <w:pgMar w:top="1060" w:right="1133" w:bottom="700" w:left="850" w:header="0" w:footer="506" w:gutter="0"/>
          <w:pgNumType w:start="19"/>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340"/>
        </w:trPr>
        <w:tc>
          <w:tcPr>
            <w:tcW w:w="674" w:type="dxa"/>
            <w:tcBorders>
              <w:bottom w:val="nil"/>
            </w:tcBorders>
          </w:tcPr>
          <w:p w:rsidR="007F6DF9" w:rsidRDefault="007F6DF9">
            <w:pPr>
              <w:pStyle w:val="TableParagraph"/>
              <w:rPr>
                <w:rFonts w:ascii="Times New Roman"/>
                <w:sz w:val="18"/>
              </w:rPr>
            </w:pPr>
          </w:p>
        </w:tc>
        <w:tc>
          <w:tcPr>
            <w:tcW w:w="7767" w:type="dxa"/>
            <w:tcBorders>
              <w:bottom w:val="nil"/>
            </w:tcBorders>
          </w:tcPr>
          <w:p w:rsidR="007F6DF9" w:rsidRDefault="00A43FBC">
            <w:pPr>
              <w:pStyle w:val="TableParagraph"/>
              <w:spacing w:line="212" w:lineRule="exact"/>
              <w:ind w:left="38"/>
              <w:rPr>
                <w:sz w:val="18"/>
              </w:rPr>
            </w:pPr>
            <w:r>
              <w:rPr>
                <w:sz w:val="18"/>
              </w:rPr>
              <w:t>DIRECT</w:t>
            </w:r>
            <w:r>
              <w:rPr>
                <w:spacing w:val="8"/>
                <w:sz w:val="18"/>
              </w:rPr>
              <w:t xml:space="preserve"> </w:t>
            </w:r>
            <w:r>
              <w:rPr>
                <w:spacing w:val="-2"/>
                <w:sz w:val="18"/>
              </w:rPr>
              <w:t>CONTRACTS</w:t>
            </w:r>
          </w:p>
        </w:tc>
        <w:tc>
          <w:tcPr>
            <w:tcW w:w="1593" w:type="dxa"/>
            <w:vMerge w:val="restart"/>
            <w:tcBorders>
              <w:bottom w:val="nil"/>
            </w:tcBorders>
          </w:tcPr>
          <w:p w:rsidR="007F6DF9" w:rsidRDefault="007F6DF9">
            <w:pPr>
              <w:pStyle w:val="TableParagraph"/>
              <w:rPr>
                <w:rFonts w:ascii="Times New Roman"/>
                <w:sz w:val="18"/>
              </w:rPr>
            </w:pPr>
          </w:p>
        </w:tc>
      </w:tr>
      <w:tr w:rsidR="007F6DF9">
        <w:trPr>
          <w:trHeight w:val="1497"/>
        </w:trPr>
        <w:tc>
          <w:tcPr>
            <w:tcW w:w="674" w:type="dxa"/>
            <w:tcBorders>
              <w:top w:val="nil"/>
              <w:bottom w:val="nil"/>
            </w:tcBorders>
          </w:tcPr>
          <w:p w:rsidR="007F6DF9" w:rsidRDefault="00A43FBC">
            <w:pPr>
              <w:pStyle w:val="TableParagraph"/>
              <w:spacing w:before="116"/>
              <w:ind w:right="23"/>
              <w:jc w:val="right"/>
              <w:rPr>
                <w:sz w:val="18"/>
              </w:rPr>
            </w:pPr>
            <w:r>
              <w:rPr>
                <w:spacing w:val="-10"/>
                <w:w w:val="110"/>
                <w:sz w:val="18"/>
              </w:rPr>
              <w:t>A</w:t>
            </w:r>
          </w:p>
        </w:tc>
        <w:tc>
          <w:tcPr>
            <w:tcW w:w="7767" w:type="dxa"/>
            <w:tcBorders>
              <w:top w:val="nil"/>
              <w:bottom w:val="nil"/>
            </w:tcBorders>
          </w:tcPr>
          <w:p w:rsidR="007F6DF9" w:rsidRDefault="00A43FBC">
            <w:pPr>
              <w:pStyle w:val="TableParagraph"/>
              <w:spacing w:before="116" w:line="254" w:lineRule="auto"/>
              <w:ind w:left="36" w:right="12"/>
              <w:jc w:val="both"/>
              <w:rPr>
                <w:sz w:val="18"/>
              </w:rPr>
            </w:pPr>
            <w:r>
              <w:rPr>
                <w:sz w:val="18"/>
              </w:rPr>
              <w:t>Notwithstanding the foregoing conditions, the Government reserves the right to place a "Direct Contract"</w:t>
            </w:r>
            <w:r>
              <w:rPr>
                <w:spacing w:val="-3"/>
                <w:sz w:val="18"/>
              </w:rPr>
              <w:t xml:space="preserve"> </w:t>
            </w:r>
            <w:r>
              <w:rPr>
                <w:sz w:val="18"/>
              </w:rPr>
              <w:t>for</w:t>
            </w:r>
            <w:r>
              <w:rPr>
                <w:spacing w:val="-4"/>
                <w:sz w:val="18"/>
              </w:rPr>
              <w:t xml:space="preserve"> </w:t>
            </w:r>
            <w:r>
              <w:rPr>
                <w:sz w:val="18"/>
              </w:rPr>
              <w:t>any</w:t>
            </w:r>
            <w:r>
              <w:rPr>
                <w:spacing w:val="-5"/>
                <w:sz w:val="18"/>
              </w:rPr>
              <w:t xml:space="preserve"> </w:t>
            </w:r>
            <w:r>
              <w:rPr>
                <w:sz w:val="18"/>
              </w:rPr>
              <w:t>goods</w:t>
            </w:r>
            <w:r>
              <w:rPr>
                <w:spacing w:val="-3"/>
                <w:sz w:val="18"/>
              </w:rPr>
              <w:t xml:space="preserve"> </w:t>
            </w:r>
            <w:r>
              <w:rPr>
                <w:sz w:val="18"/>
              </w:rPr>
              <w:t>or</w:t>
            </w:r>
            <w:r>
              <w:rPr>
                <w:spacing w:val="-4"/>
                <w:sz w:val="18"/>
              </w:rPr>
              <w:t xml:space="preserve"> </w:t>
            </w:r>
            <w:r>
              <w:rPr>
                <w:sz w:val="18"/>
              </w:rPr>
              <w:t>services</w:t>
            </w:r>
            <w:r>
              <w:rPr>
                <w:spacing w:val="-2"/>
                <w:sz w:val="18"/>
              </w:rPr>
              <w:t xml:space="preserve"> </w:t>
            </w:r>
            <w:r>
              <w:rPr>
                <w:sz w:val="18"/>
              </w:rPr>
              <w:t>required</w:t>
            </w:r>
            <w:r>
              <w:rPr>
                <w:spacing w:val="-5"/>
                <w:sz w:val="18"/>
              </w:rPr>
              <w:t xml:space="preserve"> </w:t>
            </w:r>
            <w:r>
              <w:rPr>
                <w:sz w:val="18"/>
              </w:rPr>
              <w:t>in</w:t>
            </w:r>
            <w:r>
              <w:rPr>
                <w:spacing w:val="-4"/>
                <w:sz w:val="18"/>
              </w:rPr>
              <w:t xml:space="preserve"> </w:t>
            </w:r>
            <w:r>
              <w:rPr>
                <w:sz w:val="18"/>
              </w:rPr>
              <w:t>the</w:t>
            </w:r>
            <w:r>
              <w:rPr>
                <w:spacing w:val="-4"/>
                <w:sz w:val="18"/>
              </w:rPr>
              <w:t xml:space="preserve"> </w:t>
            </w:r>
            <w:r>
              <w:rPr>
                <w:sz w:val="18"/>
              </w:rPr>
              <w:t>works</w:t>
            </w:r>
            <w:r>
              <w:rPr>
                <w:spacing w:val="-3"/>
                <w:sz w:val="18"/>
              </w:rPr>
              <w:t xml:space="preserve"> </w:t>
            </w:r>
            <w:r>
              <w:rPr>
                <w:sz w:val="18"/>
              </w:rPr>
              <w:t>which</w:t>
            </w:r>
            <w:r>
              <w:rPr>
                <w:spacing w:val="-5"/>
                <w:sz w:val="18"/>
              </w:rPr>
              <w:t xml:space="preserve"> </w:t>
            </w:r>
            <w:r>
              <w:rPr>
                <w:sz w:val="18"/>
              </w:rPr>
              <w:t>are</w:t>
            </w:r>
            <w:r>
              <w:rPr>
                <w:spacing w:val="-3"/>
                <w:sz w:val="18"/>
              </w:rPr>
              <w:t xml:space="preserve"> </w:t>
            </w:r>
            <w:r>
              <w:rPr>
                <w:sz w:val="18"/>
              </w:rPr>
              <w:t>covered</w:t>
            </w:r>
            <w:r>
              <w:rPr>
                <w:spacing w:val="-5"/>
                <w:sz w:val="18"/>
              </w:rPr>
              <w:t xml:space="preserve"> </w:t>
            </w:r>
            <w:r>
              <w:rPr>
                <w:sz w:val="18"/>
              </w:rPr>
              <w:t>by</w:t>
            </w:r>
            <w:r>
              <w:rPr>
                <w:spacing w:val="-5"/>
                <w:sz w:val="18"/>
              </w:rPr>
              <w:t xml:space="preserve"> </w:t>
            </w:r>
            <w:r>
              <w:rPr>
                <w:sz w:val="18"/>
              </w:rPr>
              <w:t>a</w:t>
            </w:r>
            <w:r>
              <w:rPr>
                <w:spacing w:val="-5"/>
                <w:sz w:val="18"/>
              </w:rPr>
              <w:t xml:space="preserve"> </w:t>
            </w:r>
            <w:r>
              <w:rPr>
                <w:sz w:val="18"/>
              </w:rPr>
              <w:t>P.C.</w:t>
            </w:r>
            <w:r>
              <w:rPr>
                <w:spacing w:val="-5"/>
                <w:sz w:val="18"/>
              </w:rPr>
              <w:t xml:space="preserve"> </w:t>
            </w:r>
            <w:r>
              <w:rPr>
                <w:sz w:val="18"/>
              </w:rPr>
              <w:t>Sum</w:t>
            </w:r>
            <w:r>
              <w:rPr>
                <w:spacing w:val="-4"/>
                <w:sz w:val="18"/>
              </w:rPr>
              <w:t xml:space="preserve"> </w:t>
            </w:r>
            <w:r>
              <w:rPr>
                <w:sz w:val="18"/>
              </w:rPr>
              <w:t>in</w:t>
            </w:r>
            <w:r>
              <w:rPr>
                <w:spacing w:val="-7"/>
                <w:sz w:val="18"/>
              </w:rPr>
              <w:t xml:space="preserve"> </w:t>
            </w:r>
            <w:r>
              <w:rPr>
                <w:sz w:val="18"/>
              </w:rPr>
              <w:t>the Bills</w:t>
            </w:r>
            <w:r>
              <w:rPr>
                <w:spacing w:val="-4"/>
                <w:sz w:val="18"/>
              </w:rPr>
              <w:t xml:space="preserve"> </w:t>
            </w:r>
            <w:r>
              <w:rPr>
                <w:sz w:val="18"/>
              </w:rPr>
              <w:t>of</w:t>
            </w:r>
            <w:r>
              <w:rPr>
                <w:spacing w:val="-4"/>
                <w:sz w:val="18"/>
              </w:rPr>
              <w:t xml:space="preserve"> </w:t>
            </w:r>
            <w:r>
              <w:rPr>
                <w:sz w:val="18"/>
              </w:rPr>
              <w:t>Quantities</w:t>
            </w:r>
            <w:r>
              <w:rPr>
                <w:spacing w:val="-3"/>
                <w:sz w:val="18"/>
              </w:rPr>
              <w:t xml:space="preserve"> </w:t>
            </w:r>
            <w:r>
              <w:rPr>
                <w:sz w:val="18"/>
              </w:rPr>
              <w:t>and</w:t>
            </w:r>
            <w:r>
              <w:rPr>
                <w:spacing w:val="-5"/>
                <w:sz w:val="18"/>
              </w:rPr>
              <w:t xml:space="preserve"> </w:t>
            </w:r>
            <w:r>
              <w:rPr>
                <w:sz w:val="18"/>
              </w:rPr>
              <w:t>to</w:t>
            </w:r>
            <w:r>
              <w:rPr>
                <w:spacing w:val="-4"/>
                <w:sz w:val="18"/>
              </w:rPr>
              <w:t xml:space="preserve"> </w:t>
            </w:r>
            <w:r>
              <w:rPr>
                <w:sz w:val="18"/>
              </w:rPr>
              <w:t>pay</w:t>
            </w:r>
            <w:r>
              <w:rPr>
                <w:spacing w:val="-6"/>
                <w:sz w:val="18"/>
              </w:rPr>
              <w:t xml:space="preserve"> </w:t>
            </w:r>
            <w:r>
              <w:rPr>
                <w:sz w:val="18"/>
              </w:rPr>
              <w:t>for</w:t>
            </w:r>
            <w:r>
              <w:rPr>
                <w:spacing w:val="-4"/>
                <w:sz w:val="18"/>
              </w:rPr>
              <w:t xml:space="preserve"> </w:t>
            </w:r>
            <w:r>
              <w:rPr>
                <w:sz w:val="18"/>
              </w:rPr>
              <w:t>the</w:t>
            </w:r>
            <w:r>
              <w:rPr>
                <w:spacing w:val="-6"/>
                <w:sz w:val="18"/>
              </w:rPr>
              <w:t xml:space="preserve"> </w:t>
            </w:r>
            <w:r>
              <w:rPr>
                <w:sz w:val="18"/>
              </w:rPr>
              <w:t>same</w:t>
            </w:r>
            <w:r>
              <w:rPr>
                <w:spacing w:val="-4"/>
                <w:sz w:val="18"/>
              </w:rPr>
              <w:t xml:space="preserve"> </w:t>
            </w:r>
            <w:r>
              <w:rPr>
                <w:sz w:val="18"/>
              </w:rPr>
              <w:t>direct.</w:t>
            </w:r>
            <w:r>
              <w:rPr>
                <w:spacing w:val="-6"/>
                <w:sz w:val="18"/>
              </w:rPr>
              <w:t xml:space="preserve"> </w:t>
            </w:r>
            <w:r>
              <w:rPr>
                <w:sz w:val="18"/>
              </w:rPr>
              <w:t>In</w:t>
            </w:r>
            <w:r>
              <w:rPr>
                <w:spacing w:val="-4"/>
                <w:sz w:val="18"/>
              </w:rPr>
              <w:t xml:space="preserve"> </w:t>
            </w:r>
            <w:r>
              <w:rPr>
                <w:sz w:val="18"/>
              </w:rPr>
              <w:t>any</w:t>
            </w:r>
            <w:r>
              <w:rPr>
                <w:spacing w:val="-7"/>
                <w:sz w:val="18"/>
              </w:rPr>
              <w:t xml:space="preserve"> </w:t>
            </w:r>
            <w:r>
              <w:rPr>
                <w:sz w:val="18"/>
              </w:rPr>
              <w:t>such</w:t>
            </w:r>
            <w:r>
              <w:rPr>
                <w:spacing w:val="-4"/>
                <w:sz w:val="18"/>
              </w:rPr>
              <w:t xml:space="preserve"> </w:t>
            </w:r>
            <w:r>
              <w:rPr>
                <w:sz w:val="18"/>
              </w:rPr>
              <w:t>instances,</w:t>
            </w:r>
            <w:r>
              <w:rPr>
                <w:spacing w:val="-6"/>
                <w:sz w:val="18"/>
              </w:rPr>
              <w:t xml:space="preserve"> </w:t>
            </w:r>
            <w:r>
              <w:rPr>
                <w:sz w:val="18"/>
              </w:rPr>
              <w:t>profit</w:t>
            </w:r>
            <w:r>
              <w:rPr>
                <w:spacing w:val="-4"/>
                <w:sz w:val="18"/>
              </w:rPr>
              <w:t xml:space="preserve"> </w:t>
            </w:r>
            <w:r>
              <w:rPr>
                <w:sz w:val="18"/>
              </w:rPr>
              <w:t>relative</w:t>
            </w:r>
            <w:r>
              <w:rPr>
                <w:spacing w:val="-6"/>
                <w:sz w:val="18"/>
              </w:rPr>
              <w:t xml:space="preserve"> </w:t>
            </w:r>
            <w:r>
              <w:rPr>
                <w:sz w:val="18"/>
              </w:rPr>
              <w:t>to</w:t>
            </w:r>
            <w:r>
              <w:rPr>
                <w:spacing w:val="-4"/>
                <w:sz w:val="18"/>
              </w:rPr>
              <w:t xml:space="preserve"> </w:t>
            </w:r>
            <w:r>
              <w:rPr>
                <w:sz w:val="18"/>
              </w:rPr>
              <w:t>the</w:t>
            </w:r>
            <w:r>
              <w:rPr>
                <w:spacing w:val="-6"/>
                <w:sz w:val="18"/>
              </w:rPr>
              <w:t xml:space="preserve"> </w:t>
            </w:r>
            <w:r>
              <w:rPr>
                <w:sz w:val="18"/>
              </w:rPr>
              <w:t>P.C. Sum in</w:t>
            </w:r>
            <w:r>
              <w:rPr>
                <w:spacing w:val="-1"/>
                <w:sz w:val="18"/>
              </w:rPr>
              <w:t xml:space="preserve"> </w:t>
            </w:r>
            <w:r>
              <w:rPr>
                <w:sz w:val="18"/>
              </w:rPr>
              <w:t>the</w:t>
            </w:r>
            <w:r>
              <w:rPr>
                <w:spacing w:val="-1"/>
                <w:sz w:val="18"/>
              </w:rPr>
              <w:t xml:space="preserve"> </w:t>
            </w:r>
            <w:r>
              <w:rPr>
                <w:sz w:val="18"/>
              </w:rPr>
              <w:t>priced</w:t>
            </w:r>
            <w:r>
              <w:rPr>
                <w:spacing w:val="-2"/>
                <w:sz w:val="18"/>
              </w:rPr>
              <w:t xml:space="preserve"> </w:t>
            </w:r>
            <w:r>
              <w:rPr>
                <w:sz w:val="18"/>
              </w:rPr>
              <w:t>Bills of</w:t>
            </w:r>
            <w:r>
              <w:rPr>
                <w:spacing w:val="-2"/>
                <w:sz w:val="18"/>
              </w:rPr>
              <w:t xml:space="preserve"> </w:t>
            </w:r>
            <w:r>
              <w:rPr>
                <w:sz w:val="18"/>
              </w:rPr>
              <w:t>Quantities will</w:t>
            </w:r>
            <w:r>
              <w:rPr>
                <w:spacing w:val="-2"/>
                <w:sz w:val="18"/>
              </w:rPr>
              <w:t xml:space="preserve"> </w:t>
            </w:r>
            <w:r>
              <w:rPr>
                <w:sz w:val="18"/>
              </w:rPr>
              <w:t>be adjusted</w:t>
            </w:r>
            <w:r>
              <w:rPr>
                <w:spacing w:val="-2"/>
                <w:sz w:val="18"/>
              </w:rPr>
              <w:t xml:space="preserve"> </w:t>
            </w:r>
            <w:r>
              <w:rPr>
                <w:sz w:val="18"/>
              </w:rPr>
              <w:t>as described</w:t>
            </w:r>
            <w:r>
              <w:rPr>
                <w:spacing w:val="-2"/>
                <w:sz w:val="18"/>
              </w:rPr>
              <w:t xml:space="preserve"> </w:t>
            </w:r>
            <w:r>
              <w:rPr>
                <w:sz w:val="18"/>
              </w:rPr>
              <w:t>for</w:t>
            </w:r>
            <w:r>
              <w:rPr>
                <w:spacing w:val="-1"/>
                <w:sz w:val="18"/>
              </w:rPr>
              <w:t xml:space="preserve"> </w:t>
            </w:r>
            <w:r>
              <w:rPr>
                <w:sz w:val="18"/>
              </w:rPr>
              <w:t>P.C.</w:t>
            </w:r>
            <w:r>
              <w:rPr>
                <w:spacing w:val="-2"/>
                <w:sz w:val="18"/>
              </w:rPr>
              <w:t xml:space="preserve"> </w:t>
            </w:r>
            <w:r>
              <w:rPr>
                <w:sz w:val="18"/>
              </w:rPr>
              <w:t>Sums and</w:t>
            </w:r>
            <w:r>
              <w:rPr>
                <w:spacing w:val="-2"/>
                <w:sz w:val="18"/>
              </w:rPr>
              <w:t xml:space="preserve"> </w:t>
            </w:r>
            <w:r>
              <w:rPr>
                <w:sz w:val="18"/>
              </w:rPr>
              <w:t>allowed.</w:t>
            </w:r>
          </w:p>
        </w:tc>
        <w:tc>
          <w:tcPr>
            <w:tcW w:w="1593" w:type="dxa"/>
            <w:vMerge/>
            <w:tcBorders>
              <w:top w:val="nil"/>
              <w:bottom w:val="nil"/>
            </w:tcBorders>
          </w:tcPr>
          <w:p w:rsidR="007F6DF9" w:rsidRDefault="007F6DF9">
            <w:pPr>
              <w:rPr>
                <w:sz w:val="2"/>
                <w:szCs w:val="2"/>
              </w:rPr>
            </w:pPr>
          </w:p>
        </w:tc>
      </w:tr>
      <w:tr w:rsidR="007F6DF9">
        <w:trPr>
          <w:trHeight w:val="2534"/>
        </w:trPr>
        <w:tc>
          <w:tcPr>
            <w:tcW w:w="674" w:type="dxa"/>
            <w:tcBorders>
              <w:top w:val="nil"/>
              <w:bottom w:val="nil"/>
            </w:tcBorders>
          </w:tcPr>
          <w:p w:rsidR="007F6DF9" w:rsidRDefault="007F6DF9">
            <w:pPr>
              <w:pStyle w:val="TableParagraph"/>
              <w:spacing w:before="221"/>
              <w:rPr>
                <w:rFonts w:ascii="Segoe UI"/>
                <w:sz w:val="18"/>
              </w:rPr>
            </w:pPr>
          </w:p>
          <w:p w:rsidR="007F6DF9" w:rsidRDefault="00A43FBC">
            <w:pPr>
              <w:pStyle w:val="TableParagraph"/>
              <w:spacing w:before="1"/>
              <w:ind w:right="23"/>
              <w:jc w:val="right"/>
              <w:rPr>
                <w:sz w:val="18"/>
              </w:rPr>
            </w:pPr>
            <w:r>
              <w:rPr>
                <w:spacing w:val="-10"/>
                <w:sz w:val="18"/>
              </w:rPr>
              <w:t>B</w:t>
            </w:r>
          </w:p>
        </w:tc>
        <w:tc>
          <w:tcPr>
            <w:tcW w:w="7767" w:type="dxa"/>
            <w:tcBorders>
              <w:top w:val="nil"/>
              <w:bottom w:val="nil"/>
            </w:tcBorders>
          </w:tcPr>
          <w:p w:rsidR="007F6DF9" w:rsidRDefault="00A43FBC">
            <w:pPr>
              <w:pStyle w:val="TableParagraph"/>
              <w:ind w:left="38"/>
              <w:jc w:val="both"/>
              <w:rPr>
                <w:sz w:val="18"/>
              </w:rPr>
            </w:pPr>
            <w:r>
              <w:rPr>
                <w:w w:val="105"/>
                <w:sz w:val="18"/>
              </w:rPr>
              <w:t>ATTENDANCE</w:t>
            </w:r>
            <w:r>
              <w:rPr>
                <w:spacing w:val="19"/>
                <w:w w:val="105"/>
                <w:sz w:val="18"/>
              </w:rPr>
              <w:t xml:space="preserve"> </w:t>
            </w:r>
            <w:r>
              <w:rPr>
                <w:w w:val="105"/>
                <w:sz w:val="18"/>
              </w:rPr>
              <w:t>UPON</w:t>
            </w:r>
            <w:r>
              <w:rPr>
                <w:spacing w:val="21"/>
                <w:w w:val="105"/>
                <w:sz w:val="18"/>
              </w:rPr>
              <w:t xml:space="preserve"> </w:t>
            </w:r>
            <w:r>
              <w:rPr>
                <w:w w:val="105"/>
                <w:sz w:val="18"/>
              </w:rPr>
              <w:t>OTHER</w:t>
            </w:r>
            <w:r>
              <w:rPr>
                <w:spacing w:val="23"/>
                <w:w w:val="105"/>
                <w:sz w:val="18"/>
              </w:rPr>
              <w:t xml:space="preserve"> </w:t>
            </w:r>
            <w:r>
              <w:rPr>
                <w:w w:val="105"/>
                <w:sz w:val="18"/>
              </w:rPr>
              <w:t>TRADESMEN,</w:t>
            </w:r>
            <w:r>
              <w:rPr>
                <w:spacing w:val="21"/>
                <w:w w:val="105"/>
                <w:sz w:val="18"/>
              </w:rPr>
              <w:t xml:space="preserve"> </w:t>
            </w:r>
            <w:r>
              <w:rPr>
                <w:spacing w:val="-4"/>
                <w:w w:val="105"/>
                <w:sz w:val="18"/>
              </w:rPr>
              <w:t>ETC.</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The</w:t>
            </w:r>
            <w:r>
              <w:rPr>
                <w:spacing w:val="-3"/>
                <w:sz w:val="18"/>
              </w:rPr>
              <w:t xml:space="preserve"> </w:t>
            </w:r>
            <w:r>
              <w:rPr>
                <w:sz w:val="18"/>
              </w:rPr>
              <w:t>Contractor</w:t>
            </w:r>
            <w:r>
              <w:rPr>
                <w:spacing w:val="-4"/>
                <w:sz w:val="18"/>
              </w:rPr>
              <w:t xml:space="preserve"> </w:t>
            </w:r>
            <w:r>
              <w:rPr>
                <w:sz w:val="18"/>
              </w:rPr>
              <w:t>shall</w:t>
            </w:r>
            <w:r>
              <w:rPr>
                <w:spacing w:val="-5"/>
                <w:sz w:val="18"/>
              </w:rPr>
              <w:t xml:space="preserve"> </w:t>
            </w:r>
            <w:r>
              <w:rPr>
                <w:sz w:val="18"/>
              </w:rPr>
              <w:t>allow</w:t>
            </w:r>
            <w:r>
              <w:rPr>
                <w:spacing w:val="-3"/>
                <w:sz w:val="18"/>
              </w:rPr>
              <w:t xml:space="preserve"> </w:t>
            </w:r>
            <w:r>
              <w:rPr>
                <w:sz w:val="18"/>
              </w:rPr>
              <w:t>for</w:t>
            </w:r>
            <w:r>
              <w:rPr>
                <w:spacing w:val="-4"/>
                <w:sz w:val="18"/>
              </w:rPr>
              <w:t xml:space="preserve"> </w:t>
            </w:r>
            <w:r>
              <w:rPr>
                <w:sz w:val="18"/>
              </w:rPr>
              <w:t>the</w:t>
            </w:r>
            <w:r>
              <w:rPr>
                <w:spacing w:val="-3"/>
                <w:sz w:val="18"/>
              </w:rPr>
              <w:t xml:space="preserve"> </w:t>
            </w:r>
            <w:r>
              <w:rPr>
                <w:sz w:val="18"/>
              </w:rPr>
              <w:t>attendance</w:t>
            </w:r>
            <w:r>
              <w:rPr>
                <w:spacing w:val="-3"/>
                <w:sz w:val="18"/>
              </w:rPr>
              <w:t xml:space="preserve"> </w:t>
            </w:r>
            <w:r>
              <w:rPr>
                <w:sz w:val="18"/>
              </w:rPr>
              <w:t>of</w:t>
            </w:r>
            <w:r>
              <w:rPr>
                <w:spacing w:val="-5"/>
                <w:sz w:val="18"/>
              </w:rPr>
              <w:t xml:space="preserve"> </w:t>
            </w:r>
            <w:r>
              <w:rPr>
                <w:sz w:val="18"/>
              </w:rPr>
              <w:t>trade</w:t>
            </w:r>
            <w:r>
              <w:rPr>
                <w:spacing w:val="-6"/>
                <w:sz w:val="18"/>
              </w:rPr>
              <w:t xml:space="preserve"> </w:t>
            </w:r>
            <w:r>
              <w:rPr>
                <w:sz w:val="18"/>
              </w:rPr>
              <w:t>upon</w:t>
            </w:r>
            <w:r>
              <w:rPr>
                <w:spacing w:val="-4"/>
                <w:sz w:val="18"/>
              </w:rPr>
              <w:t xml:space="preserve"> </w:t>
            </w:r>
            <w:r>
              <w:rPr>
                <w:sz w:val="18"/>
              </w:rPr>
              <w:t>trade</w:t>
            </w:r>
            <w:r>
              <w:rPr>
                <w:spacing w:val="-6"/>
                <w:sz w:val="18"/>
              </w:rPr>
              <w:t xml:space="preserve"> </w:t>
            </w:r>
            <w:r>
              <w:rPr>
                <w:sz w:val="18"/>
              </w:rPr>
              <w:t>and</w:t>
            </w:r>
            <w:r>
              <w:rPr>
                <w:spacing w:val="-5"/>
                <w:sz w:val="18"/>
              </w:rPr>
              <w:t xml:space="preserve"> </w:t>
            </w:r>
            <w:r>
              <w:rPr>
                <w:sz w:val="18"/>
              </w:rPr>
              <w:t>shall</w:t>
            </w:r>
            <w:r>
              <w:rPr>
                <w:spacing w:val="-7"/>
                <w:sz w:val="18"/>
              </w:rPr>
              <w:t xml:space="preserve"> </w:t>
            </w:r>
            <w:r>
              <w:rPr>
                <w:sz w:val="18"/>
              </w:rPr>
              <w:t>afford</w:t>
            </w:r>
            <w:r>
              <w:rPr>
                <w:spacing w:val="-5"/>
                <w:sz w:val="18"/>
              </w:rPr>
              <w:t xml:space="preserve"> </w:t>
            </w:r>
            <w:r>
              <w:rPr>
                <w:sz w:val="18"/>
              </w:rPr>
              <w:t>any</w:t>
            </w:r>
            <w:r>
              <w:rPr>
                <w:spacing w:val="-7"/>
                <w:sz w:val="18"/>
              </w:rPr>
              <w:t xml:space="preserve"> </w:t>
            </w:r>
            <w:r>
              <w:rPr>
                <w:sz w:val="18"/>
              </w:rPr>
              <w:t>tradesmen or other persons employed for the execution of any work not included in this Contract every facility for carrying out their work and also for use of his ordinary scaffolding. The Contractor, however, shall not be required to erect any special scaffolding for them. The Contractor shall perform such cutting away for and</w:t>
            </w:r>
            <w:r>
              <w:rPr>
                <w:spacing w:val="-3"/>
                <w:sz w:val="18"/>
              </w:rPr>
              <w:t xml:space="preserve"> </w:t>
            </w:r>
            <w:r>
              <w:rPr>
                <w:sz w:val="18"/>
              </w:rPr>
              <w:t>making good</w:t>
            </w:r>
            <w:r>
              <w:rPr>
                <w:spacing w:val="-3"/>
                <w:sz w:val="18"/>
              </w:rPr>
              <w:t xml:space="preserve"> </w:t>
            </w:r>
            <w:r>
              <w:rPr>
                <w:sz w:val="18"/>
              </w:rPr>
              <w:t>after the</w:t>
            </w:r>
            <w:r>
              <w:rPr>
                <w:spacing w:val="-2"/>
                <w:sz w:val="18"/>
              </w:rPr>
              <w:t xml:space="preserve"> </w:t>
            </w:r>
            <w:r>
              <w:rPr>
                <w:sz w:val="18"/>
              </w:rPr>
              <w:t>work of</w:t>
            </w:r>
            <w:r>
              <w:rPr>
                <w:spacing w:val="-3"/>
                <w:sz w:val="18"/>
              </w:rPr>
              <w:t xml:space="preserve"> </w:t>
            </w:r>
            <w:r>
              <w:rPr>
                <w:sz w:val="18"/>
              </w:rPr>
              <w:t>such tradesmen</w:t>
            </w:r>
            <w:r>
              <w:rPr>
                <w:spacing w:val="-2"/>
                <w:sz w:val="18"/>
              </w:rPr>
              <w:t xml:space="preserve"> </w:t>
            </w:r>
            <w:r>
              <w:rPr>
                <w:sz w:val="18"/>
              </w:rPr>
              <w:t>or persons</w:t>
            </w:r>
            <w:r>
              <w:rPr>
                <w:spacing w:val="-2"/>
                <w:sz w:val="18"/>
              </w:rPr>
              <w:t xml:space="preserve"> </w:t>
            </w:r>
            <w:r>
              <w:rPr>
                <w:sz w:val="18"/>
              </w:rPr>
              <w:t>as may be ordered by the PROJECT MANAGER and the work will be measured and paid for to the extent executed at rates provided in these Bills.</w:t>
            </w:r>
          </w:p>
        </w:tc>
        <w:tc>
          <w:tcPr>
            <w:tcW w:w="1593" w:type="dxa"/>
            <w:vMerge/>
            <w:tcBorders>
              <w:top w:val="nil"/>
              <w:bottom w:val="nil"/>
            </w:tcBorders>
          </w:tcPr>
          <w:p w:rsidR="007F6DF9" w:rsidRDefault="007F6DF9">
            <w:pPr>
              <w:rPr>
                <w:sz w:val="2"/>
                <w:szCs w:val="2"/>
              </w:rPr>
            </w:pPr>
          </w:p>
        </w:tc>
      </w:tr>
      <w:tr w:rsidR="007F6DF9">
        <w:trPr>
          <w:trHeight w:val="2535"/>
        </w:trPr>
        <w:tc>
          <w:tcPr>
            <w:tcW w:w="674" w:type="dxa"/>
            <w:tcBorders>
              <w:top w:val="nil"/>
              <w:bottom w:val="nil"/>
            </w:tcBorders>
          </w:tcPr>
          <w:p w:rsidR="007F6DF9" w:rsidRDefault="007F6DF9">
            <w:pPr>
              <w:pStyle w:val="TableParagraph"/>
              <w:spacing w:before="221"/>
              <w:rPr>
                <w:rFonts w:ascii="Segoe UI"/>
                <w:sz w:val="18"/>
              </w:rPr>
            </w:pPr>
          </w:p>
          <w:p w:rsidR="007F6DF9" w:rsidRDefault="00A43FBC">
            <w:pPr>
              <w:pStyle w:val="TableParagraph"/>
              <w:spacing w:before="1"/>
              <w:ind w:right="24"/>
              <w:jc w:val="right"/>
              <w:rPr>
                <w:sz w:val="18"/>
              </w:rPr>
            </w:pPr>
            <w:r>
              <w:rPr>
                <w:spacing w:val="-10"/>
                <w:w w:val="110"/>
                <w:sz w:val="18"/>
              </w:rPr>
              <w:t>C</w:t>
            </w:r>
          </w:p>
        </w:tc>
        <w:tc>
          <w:tcPr>
            <w:tcW w:w="7767" w:type="dxa"/>
            <w:tcBorders>
              <w:top w:val="nil"/>
              <w:bottom w:val="nil"/>
            </w:tcBorders>
          </w:tcPr>
          <w:p w:rsidR="007F6DF9" w:rsidRDefault="007F6DF9">
            <w:pPr>
              <w:pStyle w:val="TableParagraph"/>
              <w:spacing w:before="221"/>
              <w:rPr>
                <w:rFonts w:ascii="Segoe UI"/>
                <w:sz w:val="18"/>
              </w:rPr>
            </w:pPr>
          </w:p>
          <w:p w:rsidR="007F6DF9" w:rsidRDefault="00A43FBC">
            <w:pPr>
              <w:pStyle w:val="TableParagraph"/>
              <w:spacing w:before="1" w:line="254" w:lineRule="auto"/>
              <w:ind w:left="36" w:right="13"/>
              <w:jc w:val="both"/>
              <w:rPr>
                <w:sz w:val="18"/>
              </w:rPr>
            </w:pPr>
            <w:r>
              <w:rPr>
                <w:sz w:val="18"/>
              </w:rPr>
              <w:t>All</w:t>
            </w:r>
            <w:r>
              <w:rPr>
                <w:spacing w:val="-14"/>
                <w:sz w:val="18"/>
              </w:rPr>
              <w:t xml:space="preserve"> </w:t>
            </w:r>
            <w:r>
              <w:rPr>
                <w:sz w:val="18"/>
              </w:rPr>
              <w:t>work</w:t>
            </w:r>
            <w:r>
              <w:rPr>
                <w:spacing w:val="-12"/>
                <w:sz w:val="18"/>
              </w:rPr>
              <w:t xml:space="preserve"> </w:t>
            </w:r>
            <w:r>
              <w:rPr>
                <w:sz w:val="18"/>
              </w:rPr>
              <w:t>described</w:t>
            </w:r>
            <w:r>
              <w:rPr>
                <w:spacing w:val="-13"/>
                <w:sz w:val="18"/>
              </w:rPr>
              <w:t xml:space="preserve"> </w:t>
            </w:r>
            <w:r>
              <w:rPr>
                <w:sz w:val="18"/>
              </w:rPr>
              <w:t>as</w:t>
            </w:r>
            <w:r>
              <w:rPr>
                <w:spacing w:val="-12"/>
                <w:sz w:val="18"/>
              </w:rPr>
              <w:t xml:space="preserve"> </w:t>
            </w:r>
            <w:r>
              <w:rPr>
                <w:sz w:val="18"/>
              </w:rPr>
              <w:t>"Provisional"</w:t>
            </w:r>
            <w:r>
              <w:rPr>
                <w:spacing w:val="-12"/>
                <w:sz w:val="18"/>
              </w:rPr>
              <w:t xml:space="preserve"> </w:t>
            </w:r>
            <w:r>
              <w:rPr>
                <w:sz w:val="18"/>
              </w:rPr>
              <w:t>in</w:t>
            </w:r>
            <w:r>
              <w:rPr>
                <w:spacing w:val="-13"/>
                <w:sz w:val="18"/>
              </w:rPr>
              <w:t xml:space="preserve"> </w:t>
            </w:r>
            <w:r>
              <w:rPr>
                <w:sz w:val="18"/>
              </w:rPr>
              <w:t>these</w:t>
            </w:r>
            <w:r>
              <w:rPr>
                <w:spacing w:val="-13"/>
                <w:sz w:val="18"/>
              </w:rPr>
              <w:t xml:space="preserve"> </w:t>
            </w:r>
            <w:r>
              <w:rPr>
                <w:sz w:val="18"/>
              </w:rPr>
              <w:t>Bills</w:t>
            </w:r>
            <w:r>
              <w:rPr>
                <w:spacing w:val="-11"/>
                <w:sz w:val="18"/>
              </w:rPr>
              <w:t xml:space="preserve"> </w:t>
            </w:r>
            <w:r>
              <w:rPr>
                <w:sz w:val="18"/>
              </w:rPr>
              <w:t>of</w:t>
            </w:r>
            <w:r>
              <w:rPr>
                <w:spacing w:val="-14"/>
                <w:sz w:val="18"/>
              </w:rPr>
              <w:t xml:space="preserve"> </w:t>
            </w:r>
            <w:r>
              <w:rPr>
                <w:sz w:val="18"/>
              </w:rPr>
              <w:t>Quantities</w:t>
            </w:r>
            <w:r>
              <w:rPr>
                <w:spacing w:val="-10"/>
                <w:sz w:val="18"/>
              </w:rPr>
              <w:t xml:space="preserve"> </w:t>
            </w:r>
            <w:r>
              <w:rPr>
                <w:sz w:val="18"/>
              </w:rPr>
              <w:t>is</w:t>
            </w:r>
            <w:r>
              <w:rPr>
                <w:spacing w:val="-12"/>
                <w:sz w:val="18"/>
              </w:rPr>
              <w:t xml:space="preserve"> </w:t>
            </w:r>
            <w:r>
              <w:rPr>
                <w:sz w:val="18"/>
              </w:rPr>
              <w:t>subject</w:t>
            </w:r>
            <w:r>
              <w:rPr>
                <w:spacing w:val="-10"/>
                <w:sz w:val="18"/>
              </w:rPr>
              <w:t xml:space="preserve"> </w:t>
            </w:r>
            <w:r>
              <w:rPr>
                <w:sz w:val="18"/>
              </w:rPr>
              <w:t>to</w:t>
            </w:r>
            <w:r>
              <w:rPr>
                <w:spacing w:val="-13"/>
                <w:sz w:val="18"/>
              </w:rPr>
              <w:t xml:space="preserve"> </w:t>
            </w:r>
            <w:proofErr w:type="spellStart"/>
            <w:r>
              <w:rPr>
                <w:sz w:val="18"/>
              </w:rPr>
              <w:t>remeasurement</w:t>
            </w:r>
            <w:proofErr w:type="spellEnd"/>
            <w:r>
              <w:rPr>
                <w:spacing w:val="-11"/>
                <w:sz w:val="18"/>
              </w:rPr>
              <w:t xml:space="preserve"> </w:t>
            </w:r>
            <w:r>
              <w:rPr>
                <w:sz w:val="18"/>
              </w:rPr>
              <w:t>in</w:t>
            </w:r>
            <w:r>
              <w:rPr>
                <w:spacing w:val="-13"/>
                <w:sz w:val="18"/>
              </w:rPr>
              <w:t xml:space="preserve"> </w:t>
            </w:r>
            <w:r>
              <w:rPr>
                <w:sz w:val="18"/>
              </w:rPr>
              <w:t>order to ascertain the actual quantity executed for which payment will be made. All "Provisional" and other</w:t>
            </w:r>
            <w:r>
              <w:rPr>
                <w:spacing w:val="-3"/>
                <w:sz w:val="18"/>
              </w:rPr>
              <w:t xml:space="preserve"> </w:t>
            </w:r>
            <w:r>
              <w:rPr>
                <w:sz w:val="18"/>
              </w:rPr>
              <w:t>work</w:t>
            </w:r>
            <w:r>
              <w:rPr>
                <w:spacing w:val="-2"/>
                <w:sz w:val="18"/>
              </w:rPr>
              <w:t xml:space="preserve"> </w:t>
            </w:r>
            <w:r>
              <w:rPr>
                <w:sz w:val="18"/>
              </w:rPr>
              <w:t>liable</w:t>
            </w:r>
            <w:r>
              <w:rPr>
                <w:spacing w:val="-2"/>
                <w:sz w:val="18"/>
              </w:rPr>
              <w:t xml:space="preserve"> </w:t>
            </w:r>
            <w:r>
              <w:rPr>
                <w:sz w:val="18"/>
              </w:rPr>
              <w:t>to</w:t>
            </w:r>
            <w:r>
              <w:rPr>
                <w:spacing w:val="-3"/>
                <w:sz w:val="18"/>
              </w:rPr>
              <w:t xml:space="preserve"> </w:t>
            </w:r>
            <w:r>
              <w:rPr>
                <w:sz w:val="18"/>
              </w:rPr>
              <w:t>adjustment</w:t>
            </w:r>
            <w:r>
              <w:rPr>
                <w:spacing w:val="-2"/>
                <w:sz w:val="18"/>
              </w:rPr>
              <w:t xml:space="preserve"> </w:t>
            </w:r>
            <w:r>
              <w:rPr>
                <w:sz w:val="18"/>
              </w:rPr>
              <w:t>under this</w:t>
            </w:r>
            <w:r>
              <w:rPr>
                <w:spacing w:val="-2"/>
                <w:sz w:val="18"/>
              </w:rPr>
              <w:t xml:space="preserve"> </w:t>
            </w:r>
            <w:r>
              <w:rPr>
                <w:sz w:val="18"/>
              </w:rPr>
              <w:t>Contract shall</w:t>
            </w:r>
            <w:r>
              <w:rPr>
                <w:spacing w:val="-3"/>
                <w:sz w:val="18"/>
              </w:rPr>
              <w:t xml:space="preserve"> </w:t>
            </w:r>
            <w:r>
              <w:rPr>
                <w:sz w:val="18"/>
              </w:rPr>
              <w:t>be left</w:t>
            </w:r>
            <w:r>
              <w:rPr>
                <w:spacing w:val="-2"/>
                <w:sz w:val="18"/>
              </w:rPr>
              <w:t xml:space="preserve"> </w:t>
            </w:r>
            <w:r>
              <w:rPr>
                <w:sz w:val="18"/>
              </w:rPr>
              <w:t>uncovered</w:t>
            </w:r>
            <w:r>
              <w:rPr>
                <w:spacing w:val="-1"/>
                <w:sz w:val="18"/>
              </w:rPr>
              <w:t xml:space="preserve"> </w:t>
            </w:r>
            <w:r>
              <w:rPr>
                <w:sz w:val="18"/>
              </w:rPr>
              <w:t>for</w:t>
            </w:r>
            <w:r>
              <w:rPr>
                <w:spacing w:val="-3"/>
                <w:sz w:val="18"/>
              </w:rPr>
              <w:t xml:space="preserve"> </w:t>
            </w:r>
            <w:r>
              <w:rPr>
                <w:sz w:val="18"/>
              </w:rPr>
              <w:t>a</w:t>
            </w:r>
            <w:r>
              <w:rPr>
                <w:spacing w:val="-1"/>
                <w:sz w:val="18"/>
              </w:rPr>
              <w:t xml:space="preserve"> </w:t>
            </w:r>
            <w:r>
              <w:rPr>
                <w:sz w:val="18"/>
              </w:rPr>
              <w:t>reasonable</w:t>
            </w:r>
            <w:r>
              <w:rPr>
                <w:spacing w:val="-2"/>
                <w:sz w:val="18"/>
              </w:rPr>
              <w:t xml:space="preserve"> </w:t>
            </w:r>
            <w:r>
              <w:rPr>
                <w:sz w:val="18"/>
              </w:rPr>
              <w:t>time to allow all measurements needed for such adjustment to be taken by the PROJECT MANAGER. Immediately the work is ready for measuring, the Contractor shall give notice to the PROJECT MANAGER. If the Contractor makes default in these respects he</w:t>
            </w:r>
            <w:r>
              <w:rPr>
                <w:spacing w:val="-1"/>
                <w:sz w:val="18"/>
              </w:rPr>
              <w:t xml:space="preserve"> </w:t>
            </w:r>
            <w:r>
              <w:rPr>
                <w:sz w:val="18"/>
              </w:rPr>
              <w:t>shall, if</w:t>
            </w:r>
            <w:r>
              <w:rPr>
                <w:spacing w:val="-2"/>
                <w:sz w:val="18"/>
              </w:rPr>
              <w:t xml:space="preserve"> </w:t>
            </w:r>
            <w:r>
              <w:rPr>
                <w:sz w:val="18"/>
              </w:rPr>
              <w:t>the PROJECT</w:t>
            </w:r>
            <w:r>
              <w:rPr>
                <w:spacing w:val="-1"/>
                <w:sz w:val="18"/>
              </w:rPr>
              <w:t xml:space="preserve"> </w:t>
            </w:r>
            <w:r>
              <w:rPr>
                <w:sz w:val="18"/>
              </w:rPr>
              <w:t>MANAGER so directs,</w:t>
            </w:r>
            <w:r>
              <w:rPr>
                <w:spacing w:val="-1"/>
                <w:sz w:val="18"/>
              </w:rPr>
              <w:t xml:space="preserve"> </w:t>
            </w:r>
            <w:r>
              <w:rPr>
                <w:sz w:val="18"/>
              </w:rPr>
              <w:t>uncover the work to</w:t>
            </w:r>
            <w:r>
              <w:rPr>
                <w:spacing w:val="-1"/>
                <w:sz w:val="18"/>
              </w:rPr>
              <w:t xml:space="preserve"> </w:t>
            </w:r>
            <w:r>
              <w:rPr>
                <w:sz w:val="18"/>
              </w:rPr>
              <w:t>enable</w:t>
            </w:r>
            <w:r>
              <w:rPr>
                <w:spacing w:val="-2"/>
                <w:sz w:val="18"/>
              </w:rPr>
              <w:t xml:space="preserve"> </w:t>
            </w:r>
            <w:r>
              <w:rPr>
                <w:sz w:val="18"/>
              </w:rPr>
              <w:t>all</w:t>
            </w:r>
            <w:r>
              <w:rPr>
                <w:spacing w:val="-2"/>
                <w:sz w:val="18"/>
              </w:rPr>
              <w:t xml:space="preserve"> </w:t>
            </w:r>
            <w:r>
              <w:rPr>
                <w:sz w:val="18"/>
              </w:rPr>
              <w:t>measurements</w:t>
            </w:r>
            <w:r>
              <w:rPr>
                <w:spacing w:val="-1"/>
                <w:sz w:val="18"/>
              </w:rPr>
              <w:t xml:space="preserve"> </w:t>
            </w:r>
            <w:r>
              <w:rPr>
                <w:sz w:val="18"/>
              </w:rPr>
              <w:t>to</w:t>
            </w:r>
            <w:r>
              <w:rPr>
                <w:spacing w:val="-1"/>
                <w:sz w:val="18"/>
              </w:rPr>
              <w:t xml:space="preserve"> </w:t>
            </w:r>
            <w:r>
              <w:rPr>
                <w:sz w:val="18"/>
              </w:rPr>
              <w:t>be</w:t>
            </w:r>
            <w:r>
              <w:rPr>
                <w:spacing w:val="-3"/>
                <w:sz w:val="18"/>
              </w:rPr>
              <w:t xml:space="preserve"> </w:t>
            </w:r>
            <w:r>
              <w:rPr>
                <w:sz w:val="18"/>
              </w:rPr>
              <w:t>taken and</w:t>
            </w:r>
            <w:r>
              <w:rPr>
                <w:spacing w:val="-4"/>
                <w:sz w:val="18"/>
              </w:rPr>
              <w:t xml:space="preserve"> </w:t>
            </w:r>
            <w:r>
              <w:rPr>
                <w:sz w:val="18"/>
              </w:rPr>
              <w:t>afterwards reinstate</w:t>
            </w:r>
            <w:r>
              <w:rPr>
                <w:spacing w:val="-2"/>
                <w:sz w:val="18"/>
              </w:rPr>
              <w:t xml:space="preserve"> </w:t>
            </w:r>
            <w:r>
              <w:rPr>
                <w:sz w:val="18"/>
              </w:rPr>
              <w:t>at his own expense.</w:t>
            </w:r>
          </w:p>
        </w:tc>
        <w:tc>
          <w:tcPr>
            <w:tcW w:w="1593" w:type="dxa"/>
            <w:vMerge/>
            <w:tcBorders>
              <w:top w:val="nil"/>
              <w:bottom w:val="nil"/>
            </w:tcBorders>
          </w:tcPr>
          <w:p w:rsidR="007F6DF9" w:rsidRDefault="007F6DF9">
            <w:pPr>
              <w:rPr>
                <w:sz w:val="2"/>
                <w:szCs w:val="2"/>
              </w:rPr>
            </w:pPr>
          </w:p>
        </w:tc>
      </w:tr>
    </w:tbl>
    <w:p w:rsidR="007F6DF9" w:rsidRDefault="007F6DF9">
      <w:pPr>
        <w:rPr>
          <w:sz w:val="2"/>
          <w:szCs w:val="2"/>
        </w:rPr>
        <w:sectPr w:rsidR="007F6DF9">
          <w:headerReference w:type="even" r:id="rId65"/>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291"/>
        </w:trPr>
        <w:tc>
          <w:tcPr>
            <w:tcW w:w="674" w:type="dxa"/>
            <w:tcBorders>
              <w:bottom w:val="nil"/>
            </w:tcBorders>
          </w:tcPr>
          <w:p w:rsidR="007F6DF9" w:rsidRDefault="007F6DF9">
            <w:pPr>
              <w:pStyle w:val="TableParagraph"/>
              <w:spacing w:before="216"/>
              <w:rPr>
                <w:rFonts w:ascii="Segoe UI"/>
                <w:sz w:val="18"/>
              </w:rPr>
            </w:pPr>
          </w:p>
          <w:p w:rsidR="007F6DF9" w:rsidRDefault="00A43FBC">
            <w:pPr>
              <w:pStyle w:val="TableParagraph"/>
              <w:ind w:right="23"/>
              <w:jc w:val="right"/>
              <w:rPr>
                <w:sz w:val="18"/>
              </w:rPr>
            </w:pPr>
            <w:r>
              <w:rPr>
                <w:spacing w:val="-10"/>
                <w:w w:val="110"/>
                <w:sz w:val="18"/>
              </w:rPr>
              <w:t>A</w:t>
            </w:r>
          </w:p>
        </w:tc>
        <w:tc>
          <w:tcPr>
            <w:tcW w:w="7767" w:type="dxa"/>
            <w:tcBorders>
              <w:bottom w:val="nil"/>
            </w:tcBorders>
          </w:tcPr>
          <w:p w:rsidR="007F6DF9" w:rsidRDefault="007F6DF9">
            <w:pPr>
              <w:pStyle w:val="TableParagraph"/>
              <w:spacing w:before="216"/>
              <w:rPr>
                <w:rFonts w:ascii="Segoe UI"/>
                <w:sz w:val="18"/>
              </w:rPr>
            </w:pPr>
          </w:p>
          <w:p w:rsidR="007F6DF9" w:rsidRDefault="00A43FBC">
            <w:pPr>
              <w:pStyle w:val="TableParagraph"/>
              <w:spacing w:line="254" w:lineRule="auto"/>
              <w:ind w:left="36" w:right="13"/>
              <w:jc w:val="both"/>
              <w:rPr>
                <w:sz w:val="18"/>
              </w:rPr>
            </w:pPr>
            <w:r>
              <w:rPr>
                <w:sz w:val="18"/>
              </w:rPr>
              <w:t>Any</w:t>
            </w:r>
            <w:r>
              <w:rPr>
                <w:spacing w:val="-1"/>
                <w:sz w:val="18"/>
              </w:rPr>
              <w:t xml:space="preserve"> </w:t>
            </w:r>
            <w:r>
              <w:rPr>
                <w:sz w:val="18"/>
              </w:rPr>
              <w:t>unauthorized alteration</w:t>
            </w:r>
            <w:r>
              <w:rPr>
                <w:spacing w:val="-1"/>
                <w:sz w:val="18"/>
              </w:rPr>
              <w:t xml:space="preserve"> </w:t>
            </w:r>
            <w:r>
              <w:rPr>
                <w:sz w:val="18"/>
              </w:rPr>
              <w:t>or qualification</w:t>
            </w:r>
            <w:r>
              <w:rPr>
                <w:spacing w:val="-1"/>
                <w:sz w:val="18"/>
              </w:rPr>
              <w:t xml:space="preserve"> </w:t>
            </w:r>
            <w:r>
              <w:rPr>
                <w:sz w:val="18"/>
              </w:rPr>
              <w:t>made to</w:t>
            </w:r>
            <w:r>
              <w:rPr>
                <w:spacing w:val="-1"/>
                <w:sz w:val="18"/>
              </w:rPr>
              <w:t xml:space="preserve"> </w:t>
            </w:r>
            <w:r>
              <w:rPr>
                <w:sz w:val="18"/>
              </w:rPr>
              <w:t>the text</w:t>
            </w:r>
            <w:r>
              <w:rPr>
                <w:spacing w:val="-1"/>
                <w:sz w:val="18"/>
              </w:rPr>
              <w:t xml:space="preserve"> </w:t>
            </w:r>
            <w:r>
              <w:rPr>
                <w:sz w:val="18"/>
              </w:rPr>
              <w:t>of the</w:t>
            </w:r>
            <w:r>
              <w:rPr>
                <w:spacing w:val="-1"/>
                <w:sz w:val="18"/>
              </w:rPr>
              <w:t xml:space="preserve"> </w:t>
            </w:r>
            <w:r>
              <w:rPr>
                <w:sz w:val="18"/>
              </w:rPr>
              <w:t>Bills of</w:t>
            </w:r>
            <w:r>
              <w:rPr>
                <w:spacing w:val="-2"/>
                <w:sz w:val="18"/>
              </w:rPr>
              <w:t xml:space="preserve"> </w:t>
            </w:r>
            <w:r>
              <w:rPr>
                <w:sz w:val="18"/>
              </w:rPr>
              <w:t>Quantities may</w:t>
            </w:r>
            <w:r>
              <w:rPr>
                <w:spacing w:val="-2"/>
                <w:sz w:val="18"/>
              </w:rPr>
              <w:t xml:space="preserve"> </w:t>
            </w:r>
            <w:r>
              <w:rPr>
                <w:sz w:val="18"/>
              </w:rPr>
              <w:t>cause the Tender to</w:t>
            </w:r>
            <w:r>
              <w:rPr>
                <w:spacing w:val="-1"/>
                <w:sz w:val="18"/>
              </w:rPr>
              <w:t xml:space="preserve"> </w:t>
            </w:r>
            <w:r>
              <w:rPr>
                <w:sz w:val="18"/>
              </w:rPr>
              <w:t>be disqualified</w:t>
            </w:r>
            <w:r>
              <w:rPr>
                <w:spacing w:val="-1"/>
                <w:sz w:val="18"/>
              </w:rPr>
              <w:t xml:space="preserve"> </w:t>
            </w:r>
            <w:r>
              <w:rPr>
                <w:sz w:val="18"/>
              </w:rPr>
              <w:t>and</w:t>
            </w:r>
            <w:r>
              <w:rPr>
                <w:spacing w:val="-1"/>
                <w:sz w:val="18"/>
              </w:rPr>
              <w:t xml:space="preserve"> </w:t>
            </w:r>
            <w:r>
              <w:rPr>
                <w:sz w:val="18"/>
              </w:rPr>
              <w:t>will</w:t>
            </w:r>
            <w:r>
              <w:rPr>
                <w:spacing w:val="-2"/>
                <w:sz w:val="18"/>
              </w:rPr>
              <w:t xml:space="preserve"> </w:t>
            </w:r>
            <w:r>
              <w:rPr>
                <w:sz w:val="18"/>
              </w:rPr>
              <w:t>in</w:t>
            </w:r>
            <w:r>
              <w:rPr>
                <w:spacing w:val="-1"/>
                <w:sz w:val="18"/>
              </w:rPr>
              <w:t xml:space="preserve"> </w:t>
            </w:r>
            <w:r>
              <w:rPr>
                <w:sz w:val="18"/>
              </w:rPr>
              <w:t>any</w:t>
            </w:r>
            <w:r>
              <w:rPr>
                <w:spacing w:val="-1"/>
                <w:sz w:val="18"/>
              </w:rPr>
              <w:t xml:space="preserve"> </w:t>
            </w:r>
            <w:r>
              <w:rPr>
                <w:sz w:val="18"/>
              </w:rPr>
              <w:t>case be ignored.</w:t>
            </w:r>
            <w:r>
              <w:rPr>
                <w:spacing w:val="-2"/>
                <w:sz w:val="18"/>
              </w:rPr>
              <w:t xml:space="preserve"> </w:t>
            </w:r>
            <w:r>
              <w:rPr>
                <w:sz w:val="18"/>
              </w:rPr>
              <w:t>The Contractor</w:t>
            </w:r>
            <w:r>
              <w:rPr>
                <w:spacing w:val="-1"/>
                <w:sz w:val="18"/>
              </w:rPr>
              <w:t xml:space="preserve"> </w:t>
            </w:r>
            <w:r>
              <w:rPr>
                <w:sz w:val="18"/>
              </w:rPr>
              <w:t>shall</w:t>
            </w:r>
            <w:r>
              <w:rPr>
                <w:spacing w:val="-2"/>
                <w:sz w:val="18"/>
              </w:rPr>
              <w:t xml:space="preserve"> </w:t>
            </w:r>
            <w:r>
              <w:rPr>
                <w:sz w:val="18"/>
              </w:rPr>
              <w:t>be deemed</w:t>
            </w:r>
            <w:r>
              <w:rPr>
                <w:spacing w:val="-4"/>
                <w:sz w:val="18"/>
              </w:rPr>
              <w:t xml:space="preserve"> </w:t>
            </w:r>
            <w:r>
              <w:rPr>
                <w:sz w:val="18"/>
              </w:rPr>
              <w:t>to have made allowance in his prices generally to cover any items against which no price has been inserted in the priced Bills of Quantities. All items of measured work shall</w:t>
            </w:r>
            <w:r>
              <w:rPr>
                <w:spacing w:val="-2"/>
                <w:sz w:val="18"/>
              </w:rPr>
              <w:t xml:space="preserve"> </w:t>
            </w:r>
            <w:r>
              <w:rPr>
                <w:sz w:val="18"/>
              </w:rPr>
              <w:t>be priced</w:t>
            </w:r>
            <w:r>
              <w:rPr>
                <w:spacing w:val="-1"/>
                <w:sz w:val="18"/>
              </w:rPr>
              <w:t xml:space="preserve"> </w:t>
            </w:r>
            <w:r>
              <w:rPr>
                <w:sz w:val="18"/>
              </w:rPr>
              <w:t>in detail</w:t>
            </w:r>
            <w:r>
              <w:rPr>
                <w:spacing w:val="-1"/>
                <w:sz w:val="18"/>
              </w:rPr>
              <w:t xml:space="preserve"> </w:t>
            </w:r>
            <w:r>
              <w:rPr>
                <w:sz w:val="18"/>
              </w:rPr>
              <w:t>and the Tenders containing Lump Sums to cover trades or groups of work must be broken down to show the price of each item before they will be accepted.</w:t>
            </w:r>
          </w:p>
        </w:tc>
        <w:tc>
          <w:tcPr>
            <w:tcW w:w="1593" w:type="dxa"/>
            <w:vMerge w:val="restart"/>
          </w:tcPr>
          <w:p w:rsidR="007F6DF9" w:rsidRDefault="007F6DF9">
            <w:pPr>
              <w:pStyle w:val="TableParagraph"/>
              <w:rPr>
                <w:rFonts w:ascii="Times New Roman"/>
                <w:sz w:val="18"/>
              </w:rPr>
            </w:pPr>
          </w:p>
        </w:tc>
      </w:tr>
      <w:tr w:rsidR="007F6DF9">
        <w:trPr>
          <w:trHeight w:val="1828"/>
        </w:trPr>
        <w:tc>
          <w:tcPr>
            <w:tcW w:w="674" w:type="dxa"/>
            <w:tcBorders>
              <w:top w:val="nil"/>
              <w:bottom w:val="nil"/>
            </w:tcBorders>
          </w:tcPr>
          <w:p w:rsidR="007F6DF9" w:rsidRDefault="007F6DF9">
            <w:pPr>
              <w:pStyle w:val="TableParagraph"/>
              <w:spacing w:before="214"/>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10" w:lineRule="exact"/>
              <w:ind w:left="38"/>
              <w:jc w:val="both"/>
              <w:rPr>
                <w:sz w:val="18"/>
              </w:rPr>
            </w:pPr>
            <w:r>
              <w:rPr>
                <w:sz w:val="18"/>
              </w:rPr>
              <w:t>BLASTING</w:t>
            </w:r>
            <w:r>
              <w:rPr>
                <w:spacing w:val="16"/>
                <w:sz w:val="18"/>
              </w:rPr>
              <w:t xml:space="preserve"> </w:t>
            </w:r>
            <w:r>
              <w:rPr>
                <w:spacing w:val="-2"/>
                <w:sz w:val="18"/>
              </w:rPr>
              <w:t>OPERATIONS</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Blasting will only be allowed with the express permission of the PROJECT MANAGER in writing. All</w:t>
            </w:r>
            <w:r>
              <w:rPr>
                <w:spacing w:val="-12"/>
                <w:sz w:val="18"/>
              </w:rPr>
              <w:t xml:space="preserve"> </w:t>
            </w:r>
            <w:r>
              <w:rPr>
                <w:sz w:val="18"/>
              </w:rPr>
              <w:t>blasting</w:t>
            </w:r>
            <w:r>
              <w:rPr>
                <w:spacing w:val="-10"/>
                <w:sz w:val="18"/>
              </w:rPr>
              <w:t xml:space="preserve"> </w:t>
            </w:r>
            <w:r>
              <w:rPr>
                <w:sz w:val="18"/>
              </w:rPr>
              <w:t>operations</w:t>
            </w:r>
            <w:r>
              <w:rPr>
                <w:spacing w:val="-11"/>
                <w:sz w:val="18"/>
              </w:rPr>
              <w:t xml:space="preserve"> </w:t>
            </w:r>
            <w:r>
              <w:rPr>
                <w:sz w:val="18"/>
              </w:rPr>
              <w:t>shall</w:t>
            </w:r>
            <w:r>
              <w:rPr>
                <w:spacing w:val="-12"/>
                <w:sz w:val="18"/>
              </w:rPr>
              <w:t xml:space="preserve"> </w:t>
            </w:r>
            <w:r>
              <w:rPr>
                <w:sz w:val="18"/>
              </w:rPr>
              <w:t>be</w:t>
            </w:r>
            <w:r>
              <w:rPr>
                <w:spacing w:val="-11"/>
                <w:sz w:val="18"/>
              </w:rPr>
              <w:t xml:space="preserve"> </w:t>
            </w:r>
            <w:r>
              <w:rPr>
                <w:sz w:val="18"/>
              </w:rPr>
              <w:t>carried</w:t>
            </w:r>
            <w:r>
              <w:rPr>
                <w:spacing w:val="-11"/>
                <w:sz w:val="18"/>
              </w:rPr>
              <w:t xml:space="preserve"> </w:t>
            </w:r>
            <w:r>
              <w:rPr>
                <w:sz w:val="18"/>
              </w:rPr>
              <w:t>out</w:t>
            </w:r>
            <w:r>
              <w:rPr>
                <w:spacing w:val="-10"/>
                <w:sz w:val="18"/>
              </w:rPr>
              <w:t xml:space="preserve"> </w:t>
            </w:r>
            <w:r>
              <w:rPr>
                <w:sz w:val="18"/>
              </w:rPr>
              <w:t>at</w:t>
            </w:r>
            <w:r>
              <w:rPr>
                <w:spacing w:val="-11"/>
                <w:sz w:val="18"/>
              </w:rPr>
              <w:t xml:space="preserve"> </w:t>
            </w:r>
            <w:r>
              <w:rPr>
                <w:sz w:val="18"/>
              </w:rPr>
              <w:t>the</w:t>
            </w:r>
            <w:r>
              <w:rPr>
                <w:spacing w:val="-11"/>
                <w:sz w:val="18"/>
              </w:rPr>
              <w:t xml:space="preserve"> </w:t>
            </w:r>
            <w:r>
              <w:rPr>
                <w:sz w:val="18"/>
              </w:rPr>
              <w:t>Contractor's</w:t>
            </w:r>
            <w:r>
              <w:rPr>
                <w:spacing w:val="-10"/>
                <w:sz w:val="18"/>
              </w:rPr>
              <w:t xml:space="preserve"> </w:t>
            </w:r>
            <w:r>
              <w:rPr>
                <w:sz w:val="18"/>
              </w:rPr>
              <w:t>sole</w:t>
            </w:r>
            <w:r>
              <w:rPr>
                <w:spacing w:val="-10"/>
                <w:sz w:val="18"/>
              </w:rPr>
              <w:t xml:space="preserve"> </w:t>
            </w:r>
            <w:r>
              <w:rPr>
                <w:sz w:val="18"/>
              </w:rPr>
              <w:t>risk</w:t>
            </w:r>
            <w:r>
              <w:rPr>
                <w:spacing w:val="-10"/>
                <w:sz w:val="18"/>
              </w:rPr>
              <w:t xml:space="preserve"> </w:t>
            </w:r>
            <w:r>
              <w:rPr>
                <w:sz w:val="18"/>
              </w:rPr>
              <w:t>and</w:t>
            </w:r>
            <w:r>
              <w:rPr>
                <w:spacing w:val="-12"/>
                <w:sz w:val="18"/>
              </w:rPr>
              <w:t xml:space="preserve"> </w:t>
            </w:r>
            <w:r>
              <w:rPr>
                <w:sz w:val="18"/>
              </w:rPr>
              <w:t>cost</w:t>
            </w:r>
            <w:r>
              <w:rPr>
                <w:spacing w:val="-10"/>
                <w:sz w:val="18"/>
              </w:rPr>
              <w:t xml:space="preserve"> </w:t>
            </w:r>
            <w:r>
              <w:rPr>
                <w:sz w:val="18"/>
              </w:rPr>
              <w:t>in</w:t>
            </w:r>
            <w:r>
              <w:rPr>
                <w:spacing w:val="-9"/>
                <w:sz w:val="18"/>
              </w:rPr>
              <w:t xml:space="preserve"> </w:t>
            </w:r>
            <w:r>
              <w:rPr>
                <w:sz w:val="18"/>
              </w:rPr>
              <w:t>accordance</w:t>
            </w:r>
            <w:r>
              <w:rPr>
                <w:spacing w:val="-10"/>
                <w:sz w:val="18"/>
              </w:rPr>
              <w:t xml:space="preserve"> </w:t>
            </w:r>
            <w:r>
              <w:rPr>
                <w:sz w:val="18"/>
              </w:rPr>
              <w:t>with any</w:t>
            </w:r>
            <w:r>
              <w:rPr>
                <w:spacing w:val="-5"/>
                <w:sz w:val="18"/>
              </w:rPr>
              <w:t xml:space="preserve"> </w:t>
            </w:r>
            <w:r>
              <w:rPr>
                <w:sz w:val="18"/>
              </w:rPr>
              <w:t>Government</w:t>
            </w:r>
            <w:r>
              <w:rPr>
                <w:spacing w:val="-2"/>
                <w:sz w:val="18"/>
              </w:rPr>
              <w:t xml:space="preserve"> </w:t>
            </w:r>
            <w:r>
              <w:rPr>
                <w:sz w:val="18"/>
              </w:rPr>
              <w:t>regulations</w:t>
            </w:r>
            <w:r>
              <w:rPr>
                <w:spacing w:val="-4"/>
                <w:sz w:val="18"/>
              </w:rPr>
              <w:t xml:space="preserve"> </w:t>
            </w:r>
            <w:r>
              <w:rPr>
                <w:sz w:val="18"/>
              </w:rPr>
              <w:t>in</w:t>
            </w:r>
            <w:r>
              <w:rPr>
                <w:spacing w:val="-2"/>
                <w:sz w:val="18"/>
              </w:rPr>
              <w:t xml:space="preserve"> </w:t>
            </w:r>
            <w:r>
              <w:rPr>
                <w:sz w:val="18"/>
              </w:rPr>
              <w:t>force</w:t>
            </w:r>
            <w:r>
              <w:rPr>
                <w:spacing w:val="-3"/>
                <w:sz w:val="18"/>
              </w:rPr>
              <w:t xml:space="preserve"> </w:t>
            </w:r>
            <w:r>
              <w:rPr>
                <w:sz w:val="18"/>
              </w:rPr>
              <w:t>for</w:t>
            </w:r>
            <w:r>
              <w:rPr>
                <w:spacing w:val="-2"/>
                <w:sz w:val="18"/>
              </w:rPr>
              <w:t xml:space="preserve"> </w:t>
            </w:r>
            <w:r>
              <w:rPr>
                <w:sz w:val="18"/>
              </w:rPr>
              <w:t>the</w:t>
            </w:r>
            <w:r>
              <w:rPr>
                <w:spacing w:val="-4"/>
                <w:sz w:val="18"/>
              </w:rPr>
              <w:t xml:space="preserve"> </w:t>
            </w:r>
            <w:r>
              <w:rPr>
                <w:sz w:val="18"/>
              </w:rPr>
              <w:t>time</w:t>
            </w:r>
            <w:r>
              <w:rPr>
                <w:spacing w:val="-2"/>
                <w:sz w:val="18"/>
              </w:rPr>
              <w:t xml:space="preserve"> </w:t>
            </w:r>
            <w:r>
              <w:rPr>
                <w:sz w:val="18"/>
              </w:rPr>
              <w:t>being,</w:t>
            </w:r>
            <w:r>
              <w:rPr>
                <w:spacing w:val="-5"/>
                <w:sz w:val="18"/>
              </w:rPr>
              <w:t xml:space="preserve"> </w:t>
            </w:r>
            <w:r>
              <w:rPr>
                <w:sz w:val="18"/>
              </w:rPr>
              <w:t>and</w:t>
            </w:r>
            <w:r>
              <w:rPr>
                <w:spacing w:val="-3"/>
                <w:sz w:val="18"/>
              </w:rPr>
              <w:t xml:space="preserve"> </w:t>
            </w:r>
            <w:r>
              <w:rPr>
                <w:sz w:val="18"/>
              </w:rPr>
              <w:t>any</w:t>
            </w:r>
            <w:r>
              <w:rPr>
                <w:spacing w:val="-5"/>
                <w:sz w:val="18"/>
              </w:rPr>
              <w:t xml:space="preserve"> </w:t>
            </w:r>
            <w:r>
              <w:rPr>
                <w:sz w:val="18"/>
              </w:rPr>
              <w:t>special</w:t>
            </w:r>
            <w:r>
              <w:rPr>
                <w:spacing w:val="-2"/>
                <w:sz w:val="18"/>
              </w:rPr>
              <w:t xml:space="preserve"> </w:t>
            </w:r>
            <w:r>
              <w:rPr>
                <w:sz w:val="18"/>
              </w:rPr>
              <w:t>regulations</w:t>
            </w:r>
            <w:r>
              <w:rPr>
                <w:spacing w:val="-4"/>
                <w:sz w:val="18"/>
              </w:rPr>
              <w:t xml:space="preserve"> </w:t>
            </w:r>
            <w:r>
              <w:rPr>
                <w:sz w:val="18"/>
              </w:rPr>
              <w:t>laid</w:t>
            </w:r>
            <w:r>
              <w:rPr>
                <w:spacing w:val="-3"/>
                <w:sz w:val="18"/>
              </w:rPr>
              <w:t xml:space="preserve"> </w:t>
            </w:r>
            <w:r>
              <w:rPr>
                <w:sz w:val="18"/>
              </w:rPr>
              <w:t>down</w:t>
            </w:r>
            <w:r>
              <w:rPr>
                <w:spacing w:val="-5"/>
                <w:sz w:val="18"/>
              </w:rPr>
              <w:t xml:space="preserve"> </w:t>
            </w:r>
            <w:r>
              <w:rPr>
                <w:sz w:val="18"/>
              </w:rPr>
              <w:t>by the PROJECT MANAGER governing the use and storage of explosives.</w:t>
            </w:r>
          </w:p>
        </w:tc>
        <w:tc>
          <w:tcPr>
            <w:tcW w:w="1593" w:type="dxa"/>
            <w:vMerge/>
            <w:tcBorders>
              <w:top w:val="nil"/>
            </w:tcBorders>
          </w:tcPr>
          <w:p w:rsidR="007F6DF9" w:rsidRDefault="007F6DF9">
            <w:pPr>
              <w:rPr>
                <w:sz w:val="2"/>
                <w:szCs w:val="2"/>
              </w:rPr>
            </w:pPr>
          </w:p>
        </w:tc>
      </w:tr>
      <w:tr w:rsidR="007F6DF9">
        <w:trPr>
          <w:trHeight w:val="3209"/>
        </w:trPr>
        <w:tc>
          <w:tcPr>
            <w:tcW w:w="674" w:type="dxa"/>
            <w:tcBorders>
              <w:top w:val="nil"/>
            </w:tcBorders>
          </w:tcPr>
          <w:p w:rsidR="007F6DF9" w:rsidRDefault="007F6DF9">
            <w:pPr>
              <w:pStyle w:val="TableParagraph"/>
              <w:spacing w:before="214"/>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tcBorders>
          </w:tcPr>
          <w:p w:rsidR="007F6DF9" w:rsidRDefault="00A43FBC">
            <w:pPr>
              <w:pStyle w:val="TableParagraph"/>
              <w:spacing w:line="210" w:lineRule="exact"/>
              <w:ind w:left="38"/>
              <w:jc w:val="both"/>
              <w:rPr>
                <w:sz w:val="18"/>
              </w:rPr>
            </w:pPr>
            <w:r>
              <w:rPr>
                <w:sz w:val="18"/>
              </w:rPr>
              <w:t>MATERIALS</w:t>
            </w:r>
            <w:r>
              <w:rPr>
                <w:spacing w:val="29"/>
                <w:sz w:val="18"/>
              </w:rPr>
              <w:t xml:space="preserve"> </w:t>
            </w:r>
            <w:r>
              <w:rPr>
                <w:sz w:val="18"/>
              </w:rPr>
              <w:t>ARISING</w:t>
            </w:r>
            <w:r>
              <w:rPr>
                <w:spacing w:val="31"/>
                <w:sz w:val="18"/>
              </w:rPr>
              <w:t xml:space="preserve"> </w:t>
            </w:r>
            <w:r>
              <w:rPr>
                <w:sz w:val="18"/>
              </w:rPr>
              <w:t>FROM</w:t>
            </w:r>
            <w:r>
              <w:rPr>
                <w:spacing w:val="30"/>
                <w:sz w:val="18"/>
              </w:rPr>
              <w:t xml:space="preserve"> </w:t>
            </w:r>
            <w:r>
              <w:rPr>
                <w:spacing w:val="-2"/>
                <w:sz w:val="18"/>
              </w:rPr>
              <w:t>EXCAVATIONS</w:t>
            </w:r>
          </w:p>
          <w:p w:rsidR="007F6DF9" w:rsidRDefault="007F6DF9">
            <w:pPr>
              <w:pStyle w:val="TableParagraph"/>
              <w:spacing w:before="4"/>
              <w:rPr>
                <w:rFonts w:ascii="Segoe UI"/>
                <w:sz w:val="18"/>
              </w:rPr>
            </w:pPr>
          </w:p>
          <w:p w:rsidR="007F6DF9" w:rsidRDefault="00A43FBC">
            <w:pPr>
              <w:pStyle w:val="TableParagraph"/>
              <w:spacing w:line="254" w:lineRule="auto"/>
              <w:ind w:left="36" w:right="13"/>
              <w:jc w:val="both"/>
              <w:rPr>
                <w:sz w:val="18"/>
              </w:rPr>
            </w:pPr>
            <w:r>
              <w:rPr>
                <w:sz w:val="18"/>
              </w:rPr>
              <w:t>Materials of any kind obtained from the excavations shall be the property of the Client. Unless the PROJECT MANAGER directs otherwise such materials shall be dealt with as provided in the Contract. Such materials shall only be used in the works, in substitution of materials which the Contractor would otherwise have had to supply with the written permission of the PROJECT MANAGER. Should such permission be given, the Contractor shall make due allowance for the value of</w:t>
            </w:r>
            <w:r>
              <w:rPr>
                <w:spacing w:val="-1"/>
                <w:sz w:val="18"/>
              </w:rPr>
              <w:t xml:space="preserve"> </w:t>
            </w:r>
            <w:r>
              <w:rPr>
                <w:sz w:val="18"/>
              </w:rPr>
              <w:t>the materials so used at a price to be agreed.</w:t>
            </w:r>
          </w:p>
        </w:tc>
        <w:tc>
          <w:tcPr>
            <w:tcW w:w="1593" w:type="dxa"/>
            <w:vMerge/>
            <w:tcBorders>
              <w:top w:val="nil"/>
            </w:tcBorders>
          </w:tcPr>
          <w:p w:rsidR="007F6DF9" w:rsidRDefault="007F6DF9">
            <w:pPr>
              <w:rPr>
                <w:sz w:val="2"/>
                <w:szCs w:val="2"/>
              </w:rPr>
            </w:pPr>
          </w:p>
        </w:tc>
      </w:tr>
    </w:tbl>
    <w:p w:rsidR="007F6DF9" w:rsidRDefault="007F6DF9">
      <w:pPr>
        <w:rPr>
          <w:sz w:val="2"/>
          <w:szCs w:val="2"/>
        </w:rPr>
        <w:sectPr w:rsidR="007F6DF9">
          <w:headerReference w:type="default" r:id="rId66"/>
          <w:pgSz w:w="12240" w:h="15840"/>
          <w:pgMar w:top="1060" w:right="1133" w:bottom="700" w:left="850" w:header="0" w:footer="506" w:gutter="0"/>
          <w:pgNumType w:start="21"/>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1023"/>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w w:val="105"/>
                <w:sz w:val="18"/>
              </w:rPr>
              <w:t>PROTECTION</w:t>
            </w:r>
            <w:r>
              <w:rPr>
                <w:spacing w:val="10"/>
                <w:w w:val="105"/>
                <w:sz w:val="18"/>
              </w:rPr>
              <w:t xml:space="preserve"> </w:t>
            </w:r>
            <w:r>
              <w:rPr>
                <w:w w:val="105"/>
                <w:sz w:val="18"/>
              </w:rPr>
              <w:t>OF</w:t>
            </w:r>
            <w:r>
              <w:rPr>
                <w:spacing w:val="11"/>
                <w:w w:val="105"/>
                <w:sz w:val="18"/>
              </w:rPr>
              <w:t xml:space="preserve"> </w:t>
            </w:r>
            <w:r>
              <w:rPr>
                <w:w w:val="105"/>
                <w:sz w:val="18"/>
              </w:rPr>
              <w:t>THE</w:t>
            </w:r>
            <w:r>
              <w:rPr>
                <w:spacing w:val="9"/>
                <w:w w:val="105"/>
                <w:sz w:val="18"/>
              </w:rPr>
              <w:t xml:space="preserve"> </w:t>
            </w:r>
            <w:r>
              <w:rPr>
                <w:spacing w:val="-2"/>
                <w:w w:val="105"/>
                <w:sz w:val="18"/>
              </w:rPr>
              <w:t>WORKS.</w:t>
            </w:r>
          </w:p>
          <w:p w:rsidR="007F6DF9" w:rsidRDefault="007F6DF9">
            <w:pPr>
              <w:pStyle w:val="TableParagraph"/>
              <w:spacing w:before="4"/>
              <w:rPr>
                <w:rFonts w:ascii="Segoe UI"/>
                <w:sz w:val="18"/>
              </w:rPr>
            </w:pPr>
          </w:p>
          <w:p w:rsidR="007F6DF9" w:rsidRDefault="00A43FBC">
            <w:pPr>
              <w:pStyle w:val="TableParagraph"/>
              <w:ind w:left="36"/>
              <w:rPr>
                <w:sz w:val="18"/>
              </w:rPr>
            </w:pPr>
            <w:r>
              <w:rPr>
                <w:sz w:val="18"/>
              </w:rPr>
              <w:t>Provide</w:t>
            </w:r>
            <w:r>
              <w:rPr>
                <w:spacing w:val="-1"/>
                <w:sz w:val="18"/>
              </w:rPr>
              <w:t xml:space="preserve"> </w:t>
            </w:r>
            <w:r>
              <w:rPr>
                <w:sz w:val="18"/>
              </w:rPr>
              <w:t>protection</w:t>
            </w:r>
            <w:r>
              <w:rPr>
                <w:spacing w:val="-1"/>
                <w:sz w:val="18"/>
              </w:rPr>
              <w:t xml:space="preserve"> </w:t>
            </w:r>
            <w:r>
              <w:rPr>
                <w:sz w:val="18"/>
              </w:rPr>
              <w:t>of</w:t>
            </w:r>
            <w:r>
              <w:rPr>
                <w:spacing w:val="-2"/>
                <w:sz w:val="18"/>
              </w:rPr>
              <w:t xml:space="preserve"> </w:t>
            </w:r>
            <w:r>
              <w:rPr>
                <w:sz w:val="18"/>
              </w:rPr>
              <w:t>the whole</w:t>
            </w:r>
            <w:r>
              <w:rPr>
                <w:spacing w:val="-1"/>
                <w:sz w:val="18"/>
              </w:rPr>
              <w:t xml:space="preserve"> </w:t>
            </w:r>
            <w:r>
              <w:rPr>
                <w:sz w:val="18"/>
              </w:rPr>
              <w:t>of</w:t>
            </w:r>
            <w:r>
              <w:rPr>
                <w:spacing w:val="-2"/>
                <w:sz w:val="18"/>
              </w:rPr>
              <w:t xml:space="preserve"> </w:t>
            </w:r>
            <w:r>
              <w:rPr>
                <w:sz w:val="18"/>
              </w:rPr>
              <w:t>the works</w:t>
            </w:r>
            <w:r>
              <w:rPr>
                <w:spacing w:val="-1"/>
                <w:sz w:val="18"/>
              </w:rPr>
              <w:t xml:space="preserve"> </w:t>
            </w:r>
            <w:r>
              <w:rPr>
                <w:sz w:val="18"/>
              </w:rPr>
              <w:t>contained</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Bills of</w:t>
            </w:r>
            <w:r>
              <w:rPr>
                <w:spacing w:val="-1"/>
                <w:sz w:val="18"/>
              </w:rPr>
              <w:t xml:space="preserve"> </w:t>
            </w:r>
            <w:r>
              <w:rPr>
                <w:sz w:val="18"/>
              </w:rPr>
              <w:t>Quantities, including</w:t>
            </w:r>
            <w:r>
              <w:rPr>
                <w:spacing w:val="-1"/>
                <w:sz w:val="18"/>
              </w:rPr>
              <w:t xml:space="preserve"> </w:t>
            </w:r>
            <w:r>
              <w:rPr>
                <w:spacing w:val="-2"/>
                <w:sz w:val="18"/>
              </w:rPr>
              <w:t>casing</w:t>
            </w:r>
          </w:p>
          <w:p w:rsidR="007F6DF9" w:rsidRDefault="00A43FBC">
            <w:pPr>
              <w:pStyle w:val="TableParagraph"/>
              <w:spacing w:line="230" w:lineRule="atLeast"/>
              <w:ind w:left="36"/>
              <w:rPr>
                <w:sz w:val="18"/>
              </w:rPr>
            </w:pPr>
            <w:r>
              <w:rPr>
                <w:sz w:val="18"/>
              </w:rPr>
              <w:t>,</w:t>
            </w:r>
            <w:r>
              <w:rPr>
                <w:spacing w:val="-15"/>
                <w:sz w:val="18"/>
              </w:rPr>
              <w:t xml:space="preserve"> </w:t>
            </w:r>
            <w:r>
              <w:rPr>
                <w:sz w:val="18"/>
              </w:rPr>
              <w:t>casing</w:t>
            </w:r>
            <w:r>
              <w:rPr>
                <w:spacing w:val="-14"/>
                <w:sz w:val="18"/>
              </w:rPr>
              <w:t xml:space="preserve"> </w:t>
            </w:r>
            <w:r>
              <w:rPr>
                <w:sz w:val="18"/>
              </w:rPr>
              <w:t>up,</w:t>
            </w:r>
            <w:r>
              <w:rPr>
                <w:spacing w:val="-14"/>
                <w:sz w:val="18"/>
              </w:rPr>
              <w:t xml:space="preserve"> </w:t>
            </w:r>
            <w:r>
              <w:rPr>
                <w:sz w:val="18"/>
              </w:rPr>
              <w:t>covering</w:t>
            </w:r>
            <w:r>
              <w:rPr>
                <w:spacing w:val="-14"/>
                <w:sz w:val="18"/>
              </w:rPr>
              <w:t xml:space="preserve"> </w:t>
            </w:r>
            <w:r>
              <w:rPr>
                <w:sz w:val="18"/>
              </w:rPr>
              <w:t>or</w:t>
            </w:r>
            <w:r>
              <w:rPr>
                <w:spacing w:val="-14"/>
                <w:sz w:val="18"/>
              </w:rPr>
              <w:t xml:space="preserve"> </w:t>
            </w:r>
            <w:r>
              <w:rPr>
                <w:sz w:val="18"/>
              </w:rPr>
              <w:t>such</w:t>
            </w:r>
            <w:r>
              <w:rPr>
                <w:spacing w:val="-14"/>
                <w:sz w:val="18"/>
              </w:rPr>
              <w:t xml:space="preserve"> </w:t>
            </w:r>
            <w:r>
              <w:rPr>
                <w:sz w:val="18"/>
              </w:rPr>
              <w:t>other</w:t>
            </w:r>
            <w:r>
              <w:rPr>
                <w:spacing w:val="-14"/>
                <w:sz w:val="18"/>
              </w:rPr>
              <w:t xml:space="preserve"> </w:t>
            </w:r>
            <w:r>
              <w:rPr>
                <w:sz w:val="18"/>
              </w:rPr>
              <w:t>means</w:t>
            </w:r>
            <w:r>
              <w:rPr>
                <w:spacing w:val="-14"/>
                <w:sz w:val="18"/>
              </w:rPr>
              <w:t xml:space="preserve"> </w:t>
            </w:r>
            <w:r>
              <w:rPr>
                <w:sz w:val="18"/>
              </w:rPr>
              <w:t>as</w:t>
            </w:r>
            <w:r>
              <w:rPr>
                <w:spacing w:val="-14"/>
                <w:sz w:val="18"/>
              </w:rPr>
              <w:t xml:space="preserve"> </w:t>
            </w:r>
            <w:r>
              <w:rPr>
                <w:sz w:val="18"/>
              </w:rPr>
              <w:t>may</w:t>
            </w:r>
            <w:r>
              <w:rPr>
                <w:spacing w:val="-14"/>
                <w:sz w:val="18"/>
              </w:rPr>
              <w:t xml:space="preserve"> </w:t>
            </w:r>
            <w:r>
              <w:rPr>
                <w:sz w:val="18"/>
              </w:rPr>
              <w:t>be</w:t>
            </w:r>
            <w:r>
              <w:rPr>
                <w:spacing w:val="-14"/>
                <w:sz w:val="18"/>
              </w:rPr>
              <w:t xml:space="preserve"> </w:t>
            </w:r>
            <w:r>
              <w:rPr>
                <w:sz w:val="18"/>
              </w:rPr>
              <w:t>necessary</w:t>
            </w:r>
            <w:r>
              <w:rPr>
                <w:spacing w:val="-14"/>
                <w:sz w:val="18"/>
              </w:rPr>
              <w:t xml:space="preserve"> </w:t>
            </w:r>
            <w:r>
              <w:rPr>
                <w:sz w:val="18"/>
              </w:rPr>
              <w:t>to</w:t>
            </w:r>
            <w:r>
              <w:rPr>
                <w:spacing w:val="-14"/>
                <w:sz w:val="18"/>
              </w:rPr>
              <w:t xml:space="preserve"> </w:t>
            </w:r>
            <w:r>
              <w:rPr>
                <w:sz w:val="18"/>
              </w:rPr>
              <w:t>avoid</w:t>
            </w:r>
            <w:r>
              <w:rPr>
                <w:spacing w:val="-14"/>
                <w:sz w:val="18"/>
              </w:rPr>
              <w:t xml:space="preserve"> </w:t>
            </w:r>
            <w:r>
              <w:rPr>
                <w:sz w:val="18"/>
              </w:rPr>
              <w:t>damage</w:t>
            </w:r>
            <w:r>
              <w:rPr>
                <w:spacing w:val="-14"/>
                <w:sz w:val="18"/>
              </w:rPr>
              <w:t xml:space="preserve"> </w:t>
            </w:r>
            <w:r>
              <w:rPr>
                <w:sz w:val="18"/>
              </w:rPr>
              <w:t>to</w:t>
            </w:r>
            <w:r>
              <w:rPr>
                <w:spacing w:val="-14"/>
                <w:sz w:val="18"/>
              </w:rPr>
              <w:t xml:space="preserve"> </w:t>
            </w:r>
            <w:r>
              <w:rPr>
                <w:sz w:val="18"/>
              </w:rPr>
              <w:t>the</w:t>
            </w:r>
            <w:r>
              <w:rPr>
                <w:spacing w:val="-15"/>
                <w:sz w:val="18"/>
              </w:rPr>
              <w:t xml:space="preserve"> </w:t>
            </w:r>
            <w:r>
              <w:rPr>
                <w:sz w:val="18"/>
              </w:rPr>
              <w:t>satisfaction of</w:t>
            </w:r>
            <w:r>
              <w:rPr>
                <w:spacing w:val="31"/>
                <w:sz w:val="18"/>
              </w:rPr>
              <w:t xml:space="preserve"> </w:t>
            </w:r>
            <w:r>
              <w:rPr>
                <w:sz w:val="18"/>
              </w:rPr>
              <w:t>the</w:t>
            </w:r>
            <w:r>
              <w:rPr>
                <w:spacing w:val="32"/>
                <w:sz w:val="18"/>
              </w:rPr>
              <w:t xml:space="preserve"> </w:t>
            </w:r>
            <w:r>
              <w:rPr>
                <w:sz w:val="18"/>
              </w:rPr>
              <w:t>PROJECT</w:t>
            </w:r>
            <w:r>
              <w:rPr>
                <w:spacing w:val="30"/>
                <w:sz w:val="18"/>
              </w:rPr>
              <w:t xml:space="preserve"> </w:t>
            </w:r>
            <w:r>
              <w:rPr>
                <w:sz w:val="18"/>
              </w:rPr>
              <w:t>MANAGER</w:t>
            </w:r>
            <w:r>
              <w:rPr>
                <w:spacing w:val="33"/>
                <w:sz w:val="18"/>
              </w:rPr>
              <w:t xml:space="preserve"> </w:t>
            </w:r>
            <w:r>
              <w:rPr>
                <w:sz w:val="18"/>
              </w:rPr>
              <w:t>and</w:t>
            </w:r>
            <w:r>
              <w:rPr>
                <w:spacing w:val="29"/>
                <w:sz w:val="18"/>
              </w:rPr>
              <w:t xml:space="preserve"> </w:t>
            </w:r>
            <w:r>
              <w:rPr>
                <w:sz w:val="18"/>
              </w:rPr>
              <w:t>remove</w:t>
            </w:r>
            <w:r>
              <w:rPr>
                <w:spacing w:val="32"/>
                <w:sz w:val="18"/>
              </w:rPr>
              <w:t xml:space="preserve"> </w:t>
            </w:r>
            <w:r>
              <w:rPr>
                <w:sz w:val="18"/>
              </w:rPr>
              <w:t>such</w:t>
            </w:r>
            <w:r>
              <w:rPr>
                <w:spacing w:val="29"/>
                <w:sz w:val="18"/>
              </w:rPr>
              <w:t xml:space="preserve"> </w:t>
            </w:r>
            <w:r>
              <w:rPr>
                <w:sz w:val="18"/>
              </w:rPr>
              <w:t>protection</w:t>
            </w:r>
            <w:r>
              <w:rPr>
                <w:spacing w:val="31"/>
                <w:sz w:val="18"/>
              </w:rPr>
              <w:t xml:space="preserve"> </w:t>
            </w:r>
            <w:r>
              <w:rPr>
                <w:sz w:val="18"/>
              </w:rPr>
              <w:t>when</w:t>
            </w:r>
            <w:r>
              <w:rPr>
                <w:spacing w:val="30"/>
                <w:sz w:val="18"/>
              </w:rPr>
              <w:t xml:space="preserve"> </w:t>
            </w:r>
            <w:r>
              <w:rPr>
                <w:sz w:val="18"/>
              </w:rPr>
              <w:t>no</w:t>
            </w:r>
            <w:r>
              <w:rPr>
                <w:spacing w:val="31"/>
                <w:sz w:val="18"/>
              </w:rPr>
              <w:t xml:space="preserve"> </w:t>
            </w:r>
            <w:r>
              <w:rPr>
                <w:sz w:val="18"/>
              </w:rPr>
              <w:t>longer</w:t>
            </w:r>
            <w:r>
              <w:rPr>
                <w:spacing w:val="30"/>
                <w:sz w:val="18"/>
              </w:rPr>
              <w:t xml:space="preserve"> </w:t>
            </w:r>
            <w:r>
              <w:rPr>
                <w:sz w:val="18"/>
              </w:rPr>
              <w:t>required</w:t>
            </w:r>
            <w:r>
              <w:rPr>
                <w:spacing w:val="32"/>
                <w:sz w:val="18"/>
              </w:rPr>
              <w:t xml:space="preserve"> </w:t>
            </w:r>
            <w:r>
              <w:rPr>
                <w:sz w:val="18"/>
              </w:rPr>
              <w:t>and</w:t>
            </w:r>
            <w:r>
              <w:rPr>
                <w:spacing w:val="28"/>
                <w:sz w:val="18"/>
              </w:rPr>
              <w:t xml:space="preserve"> </w:t>
            </w:r>
            <w:r>
              <w:rPr>
                <w:spacing w:val="-4"/>
                <w:sz w:val="18"/>
              </w:rPr>
              <w:t>make</w:t>
            </w:r>
          </w:p>
        </w:tc>
        <w:tc>
          <w:tcPr>
            <w:tcW w:w="1593" w:type="dxa"/>
            <w:vMerge w:val="restart"/>
          </w:tcPr>
          <w:p w:rsidR="007F6DF9" w:rsidRDefault="007F6DF9">
            <w:pPr>
              <w:pStyle w:val="TableParagraph"/>
              <w:rPr>
                <w:rFonts w:ascii="Times New Roman"/>
                <w:sz w:val="18"/>
              </w:rPr>
            </w:pPr>
          </w:p>
        </w:tc>
      </w:tr>
      <w:tr w:rsidR="007F6DF9">
        <w:trPr>
          <w:trHeight w:val="1834"/>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11"/>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54" w:lineRule="auto"/>
              <w:ind w:left="36" w:right="13"/>
              <w:jc w:val="both"/>
              <w:rPr>
                <w:sz w:val="18"/>
              </w:rPr>
            </w:pPr>
            <w:r>
              <w:rPr>
                <w:sz w:val="18"/>
              </w:rPr>
              <w:t xml:space="preserve">good any damage which may nevertheless have been done at completion free of cost to the </w:t>
            </w:r>
            <w:r>
              <w:rPr>
                <w:spacing w:val="-2"/>
                <w:sz w:val="18"/>
              </w:rPr>
              <w:t>Client.</w:t>
            </w:r>
          </w:p>
          <w:p w:rsidR="007F6DF9" w:rsidRDefault="00A43FBC">
            <w:pPr>
              <w:pStyle w:val="TableParagraph"/>
              <w:spacing w:before="229"/>
              <w:ind w:left="38"/>
              <w:jc w:val="both"/>
              <w:rPr>
                <w:sz w:val="18"/>
              </w:rPr>
            </w:pPr>
            <w:r>
              <w:rPr>
                <w:sz w:val="18"/>
              </w:rPr>
              <w:t>WORKS</w:t>
            </w:r>
            <w:r>
              <w:rPr>
                <w:spacing w:val="12"/>
                <w:sz w:val="18"/>
              </w:rPr>
              <w:t xml:space="preserve"> </w:t>
            </w:r>
            <w:r>
              <w:rPr>
                <w:sz w:val="18"/>
              </w:rPr>
              <w:t>TO</w:t>
            </w:r>
            <w:r>
              <w:rPr>
                <w:spacing w:val="14"/>
                <w:sz w:val="18"/>
              </w:rPr>
              <w:t xml:space="preserve"> </w:t>
            </w:r>
            <w:r>
              <w:rPr>
                <w:sz w:val="18"/>
              </w:rPr>
              <w:t>BE</w:t>
            </w:r>
            <w:r>
              <w:rPr>
                <w:spacing w:val="12"/>
                <w:sz w:val="18"/>
              </w:rPr>
              <w:t xml:space="preserve"> </w:t>
            </w:r>
            <w:r>
              <w:rPr>
                <w:sz w:val="18"/>
              </w:rPr>
              <w:t>DELIVERED</w:t>
            </w:r>
            <w:r>
              <w:rPr>
                <w:spacing w:val="14"/>
                <w:sz w:val="18"/>
              </w:rPr>
              <w:t xml:space="preserve"> </w:t>
            </w:r>
            <w:r>
              <w:rPr>
                <w:sz w:val="18"/>
              </w:rPr>
              <w:t>UP</w:t>
            </w:r>
            <w:r>
              <w:rPr>
                <w:spacing w:val="14"/>
                <w:sz w:val="18"/>
              </w:rPr>
              <w:t xml:space="preserve"> </w:t>
            </w:r>
            <w:r>
              <w:rPr>
                <w:spacing w:val="-2"/>
                <w:sz w:val="18"/>
              </w:rPr>
              <w:t>CLEAN</w:t>
            </w:r>
          </w:p>
          <w:p w:rsidR="007F6DF9" w:rsidRDefault="00A43FBC">
            <w:pPr>
              <w:pStyle w:val="TableParagraph"/>
              <w:spacing w:before="217" w:line="230" w:lineRule="atLeast"/>
              <w:ind w:left="36" w:right="13"/>
              <w:jc w:val="both"/>
              <w:rPr>
                <w:sz w:val="18"/>
              </w:rPr>
            </w:pPr>
            <w:r>
              <w:rPr>
                <w:sz w:val="18"/>
              </w:rPr>
              <w:t>Clean</w:t>
            </w:r>
            <w:r>
              <w:rPr>
                <w:spacing w:val="-7"/>
                <w:sz w:val="18"/>
              </w:rPr>
              <w:t xml:space="preserve"> </w:t>
            </w:r>
            <w:r>
              <w:rPr>
                <w:sz w:val="18"/>
              </w:rPr>
              <w:t>and</w:t>
            </w:r>
            <w:r>
              <w:rPr>
                <w:spacing w:val="-8"/>
                <w:sz w:val="18"/>
              </w:rPr>
              <w:t xml:space="preserve"> </w:t>
            </w:r>
            <w:r>
              <w:rPr>
                <w:sz w:val="18"/>
              </w:rPr>
              <w:t>flush</w:t>
            </w:r>
            <w:r>
              <w:rPr>
                <w:spacing w:val="-7"/>
                <w:sz w:val="18"/>
              </w:rPr>
              <w:t xml:space="preserve"> </w:t>
            </w:r>
            <w:r>
              <w:rPr>
                <w:sz w:val="18"/>
              </w:rPr>
              <w:t>all</w:t>
            </w:r>
            <w:r>
              <w:rPr>
                <w:spacing w:val="-8"/>
                <w:sz w:val="18"/>
              </w:rPr>
              <w:t xml:space="preserve"> </w:t>
            </w:r>
            <w:r>
              <w:rPr>
                <w:sz w:val="18"/>
              </w:rPr>
              <w:t>gutters,</w:t>
            </w:r>
            <w:r>
              <w:rPr>
                <w:spacing w:val="-6"/>
                <w:sz w:val="18"/>
              </w:rPr>
              <w:t xml:space="preserve"> </w:t>
            </w:r>
            <w:r>
              <w:rPr>
                <w:sz w:val="18"/>
              </w:rPr>
              <w:t>rainwater</w:t>
            </w:r>
            <w:r>
              <w:rPr>
                <w:spacing w:val="-6"/>
                <w:sz w:val="18"/>
              </w:rPr>
              <w:t xml:space="preserve"> </w:t>
            </w:r>
            <w:r>
              <w:rPr>
                <w:sz w:val="18"/>
              </w:rPr>
              <w:t>and</w:t>
            </w:r>
            <w:r>
              <w:rPr>
                <w:spacing w:val="-8"/>
                <w:sz w:val="18"/>
              </w:rPr>
              <w:t xml:space="preserve"> </w:t>
            </w:r>
            <w:r>
              <w:rPr>
                <w:sz w:val="18"/>
              </w:rPr>
              <w:t>waste</w:t>
            </w:r>
            <w:r>
              <w:rPr>
                <w:spacing w:val="-6"/>
                <w:sz w:val="18"/>
              </w:rPr>
              <w:t xml:space="preserve"> </w:t>
            </w:r>
            <w:r>
              <w:rPr>
                <w:sz w:val="18"/>
              </w:rPr>
              <w:t>pipes,</w:t>
            </w:r>
            <w:r>
              <w:rPr>
                <w:spacing w:val="-5"/>
                <w:sz w:val="18"/>
              </w:rPr>
              <w:t xml:space="preserve"> </w:t>
            </w:r>
            <w:r>
              <w:rPr>
                <w:sz w:val="18"/>
              </w:rPr>
              <w:t>manholes</w:t>
            </w:r>
            <w:r>
              <w:rPr>
                <w:spacing w:val="-6"/>
                <w:sz w:val="18"/>
              </w:rPr>
              <w:t xml:space="preserve"> </w:t>
            </w:r>
            <w:r>
              <w:rPr>
                <w:sz w:val="18"/>
              </w:rPr>
              <w:t>and</w:t>
            </w:r>
            <w:r>
              <w:rPr>
                <w:spacing w:val="-6"/>
                <w:sz w:val="18"/>
              </w:rPr>
              <w:t xml:space="preserve"> </w:t>
            </w:r>
            <w:r>
              <w:rPr>
                <w:sz w:val="18"/>
              </w:rPr>
              <w:t>drains,</w:t>
            </w:r>
            <w:r>
              <w:rPr>
                <w:spacing w:val="-6"/>
                <w:sz w:val="18"/>
              </w:rPr>
              <w:t xml:space="preserve"> </w:t>
            </w:r>
            <w:r>
              <w:rPr>
                <w:sz w:val="18"/>
              </w:rPr>
              <w:t>wash</w:t>
            </w:r>
            <w:r>
              <w:rPr>
                <w:spacing w:val="-5"/>
                <w:sz w:val="18"/>
              </w:rPr>
              <w:t xml:space="preserve"> </w:t>
            </w:r>
            <w:r>
              <w:rPr>
                <w:sz w:val="18"/>
              </w:rPr>
              <w:t>(except</w:t>
            </w:r>
            <w:r>
              <w:rPr>
                <w:spacing w:val="-6"/>
                <w:sz w:val="18"/>
              </w:rPr>
              <w:t xml:space="preserve"> </w:t>
            </w:r>
            <w:r>
              <w:rPr>
                <w:sz w:val="18"/>
              </w:rPr>
              <w:t>where such</w:t>
            </w:r>
            <w:r>
              <w:rPr>
                <w:spacing w:val="-15"/>
                <w:sz w:val="18"/>
              </w:rPr>
              <w:t xml:space="preserve"> </w:t>
            </w:r>
            <w:r>
              <w:rPr>
                <w:sz w:val="18"/>
              </w:rPr>
              <w:t>treatment</w:t>
            </w:r>
            <w:r>
              <w:rPr>
                <w:spacing w:val="-14"/>
                <w:sz w:val="18"/>
              </w:rPr>
              <w:t xml:space="preserve"> </w:t>
            </w:r>
            <w:r>
              <w:rPr>
                <w:sz w:val="18"/>
              </w:rPr>
              <w:t>might</w:t>
            </w:r>
            <w:r>
              <w:rPr>
                <w:spacing w:val="-14"/>
                <w:sz w:val="18"/>
              </w:rPr>
              <w:t xml:space="preserve"> </w:t>
            </w:r>
            <w:r>
              <w:rPr>
                <w:sz w:val="18"/>
              </w:rPr>
              <w:t>cause</w:t>
            </w:r>
            <w:r>
              <w:rPr>
                <w:spacing w:val="-14"/>
                <w:sz w:val="18"/>
              </w:rPr>
              <w:t xml:space="preserve"> </w:t>
            </w:r>
            <w:r>
              <w:rPr>
                <w:sz w:val="18"/>
              </w:rPr>
              <w:t>damage)</w:t>
            </w:r>
            <w:r>
              <w:rPr>
                <w:spacing w:val="-14"/>
                <w:sz w:val="18"/>
              </w:rPr>
              <w:t xml:space="preserve"> </w:t>
            </w:r>
            <w:r>
              <w:rPr>
                <w:sz w:val="18"/>
              </w:rPr>
              <w:t>and</w:t>
            </w:r>
            <w:r>
              <w:rPr>
                <w:spacing w:val="-14"/>
                <w:sz w:val="18"/>
              </w:rPr>
              <w:t xml:space="preserve"> </w:t>
            </w:r>
            <w:r>
              <w:rPr>
                <w:sz w:val="18"/>
              </w:rPr>
              <w:t>clean</w:t>
            </w:r>
            <w:r>
              <w:rPr>
                <w:spacing w:val="-14"/>
                <w:sz w:val="18"/>
              </w:rPr>
              <w:t xml:space="preserve"> </w:t>
            </w:r>
            <w:r>
              <w:rPr>
                <w:sz w:val="18"/>
              </w:rPr>
              <w:t>all</w:t>
            </w:r>
            <w:r>
              <w:rPr>
                <w:spacing w:val="-14"/>
                <w:sz w:val="18"/>
              </w:rPr>
              <w:t xml:space="preserve"> </w:t>
            </w:r>
            <w:r>
              <w:rPr>
                <w:sz w:val="18"/>
              </w:rPr>
              <w:t>floors,</w:t>
            </w:r>
            <w:r>
              <w:rPr>
                <w:spacing w:val="-14"/>
                <w:sz w:val="18"/>
              </w:rPr>
              <w:t xml:space="preserve"> </w:t>
            </w:r>
            <w:r>
              <w:rPr>
                <w:sz w:val="18"/>
              </w:rPr>
              <w:t>sanitary</w:t>
            </w:r>
            <w:r>
              <w:rPr>
                <w:spacing w:val="-14"/>
                <w:sz w:val="18"/>
              </w:rPr>
              <w:t xml:space="preserve"> </w:t>
            </w:r>
            <w:r>
              <w:rPr>
                <w:sz w:val="18"/>
              </w:rPr>
              <w:t>fittings,</w:t>
            </w:r>
            <w:r>
              <w:rPr>
                <w:spacing w:val="-14"/>
                <w:sz w:val="18"/>
              </w:rPr>
              <w:t xml:space="preserve"> </w:t>
            </w:r>
            <w:r>
              <w:rPr>
                <w:sz w:val="18"/>
              </w:rPr>
              <w:t>glass</w:t>
            </w:r>
            <w:r>
              <w:rPr>
                <w:spacing w:val="-14"/>
                <w:sz w:val="18"/>
              </w:rPr>
              <w:t xml:space="preserve"> </w:t>
            </w:r>
            <w:r>
              <w:rPr>
                <w:sz w:val="18"/>
              </w:rPr>
              <w:t>inside</w:t>
            </w:r>
            <w:r>
              <w:rPr>
                <w:spacing w:val="-14"/>
                <w:sz w:val="18"/>
              </w:rPr>
              <w:t xml:space="preserve"> </w:t>
            </w:r>
            <w:r>
              <w:rPr>
                <w:sz w:val="18"/>
              </w:rPr>
              <w:t>and</w:t>
            </w:r>
            <w:r>
              <w:rPr>
                <w:spacing w:val="-14"/>
                <w:sz w:val="18"/>
              </w:rPr>
              <w:t xml:space="preserve"> </w:t>
            </w:r>
            <w:r>
              <w:rPr>
                <w:sz w:val="18"/>
              </w:rPr>
              <w:t>outside and</w:t>
            </w:r>
            <w:r>
              <w:rPr>
                <w:spacing w:val="25"/>
                <w:sz w:val="18"/>
              </w:rPr>
              <w:t xml:space="preserve"> </w:t>
            </w:r>
            <w:r>
              <w:rPr>
                <w:sz w:val="18"/>
              </w:rPr>
              <w:t>any</w:t>
            </w:r>
            <w:r>
              <w:rPr>
                <w:spacing w:val="25"/>
                <w:sz w:val="18"/>
              </w:rPr>
              <w:t xml:space="preserve"> </w:t>
            </w:r>
            <w:r>
              <w:rPr>
                <w:sz w:val="18"/>
              </w:rPr>
              <w:t>other</w:t>
            </w:r>
            <w:r>
              <w:rPr>
                <w:spacing w:val="26"/>
                <w:sz w:val="18"/>
              </w:rPr>
              <w:t xml:space="preserve"> </w:t>
            </w:r>
            <w:r>
              <w:rPr>
                <w:sz w:val="18"/>
              </w:rPr>
              <w:t>parts</w:t>
            </w:r>
            <w:r>
              <w:rPr>
                <w:spacing w:val="27"/>
                <w:sz w:val="18"/>
              </w:rPr>
              <w:t xml:space="preserve"> </w:t>
            </w:r>
            <w:r>
              <w:rPr>
                <w:sz w:val="18"/>
              </w:rPr>
              <w:t>of</w:t>
            </w:r>
            <w:r>
              <w:rPr>
                <w:spacing w:val="23"/>
                <w:sz w:val="18"/>
              </w:rPr>
              <w:t xml:space="preserve"> </w:t>
            </w:r>
            <w:r>
              <w:rPr>
                <w:sz w:val="18"/>
              </w:rPr>
              <w:t>the</w:t>
            </w:r>
            <w:r>
              <w:rPr>
                <w:spacing w:val="26"/>
                <w:sz w:val="18"/>
              </w:rPr>
              <w:t xml:space="preserve"> </w:t>
            </w:r>
            <w:r>
              <w:rPr>
                <w:sz w:val="18"/>
              </w:rPr>
              <w:t>works</w:t>
            </w:r>
            <w:r>
              <w:rPr>
                <w:spacing w:val="25"/>
                <w:sz w:val="18"/>
              </w:rPr>
              <w:t xml:space="preserve"> </w:t>
            </w:r>
            <w:r>
              <w:rPr>
                <w:sz w:val="18"/>
              </w:rPr>
              <w:t>and</w:t>
            </w:r>
            <w:r>
              <w:rPr>
                <w:spacing w:val="25"/>
                <w:sz w:val="18"/>
              </w:rPr>
              <w:t xml:space="preserve"> </w:t>
            </w:r>
            <w:r>
              <w:rPr>
                <w:sz w:val="18"/>
              </w:rPr>
              <w:t>remove</w:t>
            </w:r>
            <w:r>
              <w:rPr>
                <w:spacing w:val="25"/>
                <w:sz w:val="18"/>
              </w:rPr>
              <w:t xml:space="preserve"> </w:t>
            </w:r>
            <w:r>
              <w:rPr>
                <w:sz w:val="18"/>
              </w:rPr>
              <w:t>all</w:t>
            </w:r>
            <w:r>
              <w:rPr>
                <w:spacing w:val="25"/>
                <w:sz w:val="18"/>
              </w:rPr>
              <w:t xml:space="preserve"> </w:t>
            </w:r>
            <w:r>
              <w:rPr>
                <w:sz w:val="18"/>
              </w:rPr>
              <w:t>marks,</w:t>
            </w:r>
            <w:r>
              <w:rPr>
                <w:spacing w:val="23"/>
                <w:sz w:val="18"/>
              </w:rPr>
              <w:t xml:space="preserve"> </w:t>
            </w:r>
            <w:r>
              <w:rPr>
                <w:sz w:val="18"/>
              </w:rPr>
              <w:t>blemishes,</w:t>
            </w:r>
            <w:r>
              <w:rPr>
                <w:spacing w:val="26"/>
                <w:sz w:val="18"/>
              </w:rPr>
              <w:t xml:space="preserve"> </w:t>
            </w:r>
            <w:r>
              <w:rPr>
                <w:sz w:val="18"/>
              </w:rPr>
              <w:t>stains</w:t>
            </w:r>
            <w:r>
              <w:rPr>
                <w:spacing w:val="24"/>
                <w:sz w:val="18"/>
              </w:rPr>
              <w:t xml:space="preserve"> </w:t>
            </w:r>
            <w:r>
              <w:rPr>
                <w:sz w:val="18"/>
              </w:rPr>
              <w:t>and</w:t>
            </w:r>
            <w:r>
              <w:rPr>
                <w:spacing w:val="26"/>
                <w:sz w:val="18"/>
              </w:rPr>
              <w:t xml:space="preserve"> </w:t>
            </w:r>
            <w:r>
              <w:rPr>
                <w:sz w:val="18"/>
              </w:rPr>
              <w:t>defects</w:t>
            </w:r>
            <w:r>
              <w:rPr>
                <w:spacing w:val="25"/>
                <w:sz w:val="18"/>
              </w:rPr>
              <w:t xml:space="preserve"> </w:t>
            </w:r>
            <w:r>
              <w:rPr>
                <w:spacing w:val="-4"/>
                <w:sz w:val="18"/>
              </w:rPr>
              <w:t>from</w:t>
            </w:r>
          </w:p>
        </w:tc>
        <w:tc>
          <w:tcPr>
            <w:tcW w:w="1593" w:type="dxa"/>
            <w:vMerge/>
            <w:tcBorders>
              <w:top w:val="nil"/>
            </w:tcBorders>
          </w:tcPr>
          <w:p w:rsidR="007F6DF9" w:rsidRDefault="007F6DF9">
            <w:pPr>
              <w:rPr>
                <w:sz w:val="2"/>
                <w:szCs w:val="2"/>
              </w:rPr>
            </w:pPr>
          </w:p>
        </w:tc>
      </w:tr>
      <w:tr w:rsidR="007F6DF9">
        <w:trPr>
          <w:trHeight w:val="4822"/>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96"/>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tcBorders>
          </w:tcPr>
          <w:p w:rsidR="007F6DF9" w:rsidRDefault="00A43FBC">
            <w:pPr>
              <w:pStyle w:val="TableParagraph"/>
              <w:spacing w:line="254" w:lineRule="auto"/>
              <w:ind w:left="36" w:right="12"/>
              <w:jc w:val="both"/>
              <w:rPr>
                <w:sz w:val="18"/>
              </w:rPr>
            </w:pPr>
            <w:r>
              <w:rPr>
                <w:sz w:val="18"/>
              </w:rPr>
              <w:t>joinery, fittings and decorated surfaces generally, polish door furniture and bright parts of metalwork and leave the whole of the buildings watertight, clean, perfect and fit for occupation to the approval of the PROJECT MANAGER</w:t>
            </w:r>
          </w:p>
          <w:p w:rsidR="007F6DF9" w:rsidRDefault="00A43FBC">
            <w:pPr>
              <w:pStyle w:val="TableParagraph"/>
              <w:spacing w:before="224"/>
              <w:ind w:left="38"/>
              <w:jc w:val="both"/>
              <w:rPr>
                <w:sz w:val="18"/>
              </w:rPr>
            </w:pPr>
            <w:r>
              <w:rPr>
                <w:sz w:val="18"/>
              </w:rPr>
              <w:t>GENERAL</w:t>
            </w:r>
            <w:r>
              <w:rPr>
                <w:spacing w:val="34"/>
                <w:sz w:val="18"/>
              </w:rPr>
              <w:t xml:space="preserve"> </w:t>
            </w:r>
            <w:r>
              <w:rPr>
                <w:spacing w:val="-2"/>
                <w:sz w:val="18"/>
              </w:rPr>
              <w:t>SPECIFICATION.</w:t>
            </w:r>
          </w:p>
          <w:p w:rsidR="007F6DF9" w:rsidRDefault="007F6DF9">
            <w:pPr>
              <w:pStyle w:val="TableParagraph"/>
              <w:spacing w:before="4"/>
              <w:rPr>
                <w:rFonts w:ascii="Segoe UI"/>
                <w:sz w:val="18"/>
              </w:rPr>
            </w:pPr>
          </w:p>
          <w:p w:rsidR="007F6DF9" w:rsidRDefault="00A43FBC">
            <w:pPr>
              <w:pStyle w:val="TableParagraph"/>
              <w:spacing w:line="254" w:lineRule="auto"/>
              <w:ind w:left="36" w:right="13"/>
              <w:jc w:val="both"/>
              <w:rPr>
                <w:sz w:val="18"/>
              </w:rPr>
            </w:pPr>
            <w:r>
              <w:rPr>
                <w:sz w:val="18"/>
              </w:rPr>
              <w:t>For the full description of materials and workmanship, method of execution of the work and notes for pricing, the Contractor is referred to the Ministry of Roads and Public Works and Housing</w:t>
            </w:r>
            <w:r>
              <w:rPr>
                <w:spacing w:val="-6"/>
                <w:sz w:val="18"/>
              </w:rPr>
              <w:t xml:space="preserve"> </w:t>
            </w:r>
            <w:r>
              <w:rPr>
                <w:sz w:val="18"/>
              </w:rPr>
              <w:t>General</w:t>
            </w:r>
            <w:r>
              <w:rPr>
                <w:spacing w:val="-7"/>
                <w:sz w:val="18"/>
              </w:rPr>
              <w:t xml:space="preserve"> </w:t>
            </w:r>
            <w:r>
              <w:rPr>
                <w:sz w:val="18"/>
              </w:rPr>
              <w:t>Specification</w:t>
            </w:r>
            <w:r>
              <w:rPr>
                <w:spacing w:val="-7"/>
                <w:sz w:val="18"/>
              </w:rPr>
              <w:t xml:space="preserve"> </w:t>
            </w:r>
            <w:r>
              <w:rPr>
                <w:sz w:val="18"/>
              </w:rPr>
              <w:t>dated</w:t>
            </w:r>
            <w:r>
              <w:rPr>
                <w:spacing w:val="-7"/>
                <w:sz w:val="18"/>
              </w:rPr>
              <w:t xml:space="preserve"> </w:t>
            </w:r>
            <w:r>
              <w:rPr>
                <w:sz w:val="18"/>
              </w:rPr>
              <w:t>1976</w:t>
            </w:r>
            <w:r>
              <w:rPr>
                <w:spacing w:val="-6"/>
                <w:sz w:val="18"/>
              </w:rPr>
              <w:t xml:space="preserve"> </w:t>
            </w:r>
            <w:r>
              <w:rPr>
                <w:sz w:val="18"/>
              </w:rPr>
              <w:t>or</w:t>
            </w:r>
            <w:r>
              <w:rPr>
                <w:spacing w:val="-7"/>
                <w:sz w:val="18"/>
              </w:rPr>
              <w:t xml:space="preserve"> </w:t>
            </w:r>
            <w:r>
              <w:rPr>
                <w:sz w:val="18"/>
              </w:rPr>
              <w:t>any</w:t>
            </w:r>
            <w:r>
              <w:rPr>
                <w:spacing w:val="-7"/>
                <w:sz w:val="18"/>
              </w:rPr>
              <w:t xml:space="preserve"> </w:t>
            </w:r>
            <w:r>
              <w:rPr>
                <w:sz w:val="18"/>
              </w:rPr>
              <w:t>subsequent</w:t>
            </w:r>
            <w:r>
              <w:rPr>
                <w:spacing w:val="-7"/>
                <w:sz w:val="18"/>
              </w:rPr>
              <w:t xml:space="preserve"> </w:t>
            </w:r>
            <w:r>
              <w:rPr>
                <w:sz w:val="18"/>
              </w:rPr>
              <w:t>revision</w:t>
            </w:r>
            <w:r>
              <w:rPr>
                <w:spacing w:val="-7"/>
                <w:sz w:val="18"/>
              </w:rPr>
              <w:t xml:space="preserve"> </w:t>
            </w:r>
            <w:r>
              <w:rPr>
                <w:sz w:val="18"/>
              </w:rPr>
              <w:t>thereof</w:t>
            </w:r>
            <w:r>
              <w:rPr>
                <w:spacing w:val="-9"/>
                <w:sz w:val="18"/>
              </w:rPr>
              <w:t xml:space="preserve"> </w:t>
            </w:r>
            <w:r>
              <w:rPr>
                <w:sz w:val="18"/>
              </w:rPr>
              <w:t>which</w:t>
            </w:r>
            <w:r>
              <w:rPr>
                <w:spacing w:val="-7"/>
                <w:sz w:val="18"/>
              </w:rPr>
              <w:t xml:space="preserve"> </w:t>
            </w:r>
            <w:r>
              <w:rPr>
                <w:sz w:val="18"/>
              </w:rPr>
              <w:t>is</w:t>
            </w:r>
            <w:r>
              <w:rPr>
                <w:spacing w:val="-8"/>
                <w:sz w:val="18"/>
              </w:rPr>
              <w:t xml:space="preserve"> </w:t>
            </w:r>
            <w:r>
              <w:rPr>
                <w:sz w:val="18"/>
              </w:rPr>
              <w:t>issued</w:t>
            </w:r>
            <w:r>
              <w:rPr>
                <w:spacing w:val="-7"/>
                <w:sz w:val="18"/>
              </w:rPr>
              <w:t xml:space="preserve"> </w:t>
            </w:r>
            <w:r>
              <w:rPr>
                <w:sz w:val="18"/>
              </w:rPr>
              <w:t>as</w:t>
            </w:r>
            <w:r>
              <w:rPr>
                <w:spacing w:val="-8"/>
                <w:sz w:val="18"/>
              </w:rPr>
              <w:t xml:space="preserve"> </w:t>
            </w:r>
            <w:r>
              <w:rPr>
                <w:sz w:val="18"/>
              </w:rPr>
              <w:t>a separate</w:t>
            </w:r>
            <w:r>
              <w:rPr>
                <w:spacing w:val="-2"/>
                <w:sz w:val="18"/>
              </w:rPr>
              <w:t xml:space="preserve"> </w:t>
            </w:r>
            <w:r>
              <w:rPr>
                <w:sz w:val="18"/>
              </w:rPr>
              <w:t>document,</w:t>
            </w:r>
            <w:r>
              <w:rPr>
                <w:spacing w:val="-4"/>
                <w:sz w:val="18"/>
              </w:rPr>
              <w:t xml:space="preserve"> </w:t>
            </w:r>
            <w:r>
              <w:rPr>
                <w:sz w:val="18"/>
              </w:rPr>
              <w:t>and</w:t>
            </w:r>
            <w:r>
              <w:rPr>
                <w:spacing w:val="-5"/>
                <w:sz w:val="18"/>
              </w:rPr>
              <w:t xml:space="preserve"> </w:t>
            </w:r>
            <w:r>
              <w:rPr>
                <w:sz w:val="18"/>
              </w:rPr>
              <w:t>which</w:t>
            </w:r>
            <w:r>
              <w:rPr>
                <w:spacing w:val="-1"/>
                <w:sz w:val="18"/>
              </w:rPr>
              <w:t xml:space="preserve"> </w:t>
            </w:r>
            <w:r>
              <w:rPr>
                <w:sz w:val="18"/>
              </w:rPr>
              <w:t>shall</w:t>
            </w:r>
            <w:r>
              <w:rPr>
                <w:spacing w:val="-4"/>
                <w:sz w:val="18"/>
              </w:rPr>
              <w:t xml:space="preserve"> </w:t>
            </w:r>
            <w:r>
              <w:rPr>
                <w:sz w:val="18"/>
              </w:rPr>
              <w:t>be</w:t>
            </w:r>
            <w:r>
              <w:rPr>
                <w:spacing w:val="-1"/>
                <w:sz w:val="18"/>
              </w:rPr>
              <w:t xml:space="preserve"> </w:t>
            </w:r>
            <w:r>
              <w:rPr>
                <w:sz w:val="18"/>
              </w:rPr>
              <w:t>allowed</w:t>
            </w:r>
            <w:r>
              <w:rPr>
                <w:spacing w:val="-4"/>
                <w:sz w:val="18"/>
              </w:rPr>
              <w:t xml:space="preserve"> </w:t>
            </w:r>
            <w:r>
              <w:rPr>
                <w:sz w:val="18"/>
              </w:rPr>
              <w:t>in</w:t>
            </w:r>
            <w:r>
              <w:rPr>
                <w:spacing w:val="-1"/>
                <w:sz w:val="18"/>
              </w:rPr>
              <w:t xml:space="preserve"> </w:t>
            </w:r>
            <w:r>
              <w:rPr>
                <w:sz w:val="18"/>
              </w:rPr>
              <w:t>all</w:t>
            </w:r>
            <w:r>
              <w:rPr>
                <w:spacing w:val="-5"/>
                <w:sz w:val="18"/>
              </w:rPr>
              <w:t xml:space="preserve"> </w:t>
            </w:r>
            <w:r>
              <w:rPr>
                <w:sz w:val="18"/>
              </w:rPr>
              <w:t>respects</w:t>
            </w:r>
            <w:r>
              <w:rPr>
                <w:spacing w:val="-1"/>
                <w:sz w:val="18"/>
              </w:rPr>
              <w:t xml:space="preserve"> </w:t>
            </w:r>
            <w:r>
              <w:rPr>
                <w:sz w:val="18"/>
              </w:rPr>
              <w:t>unless</w:t>
            </w:r>
            <w:r>
              <w:rPr>
                <w:spacing w:val="-2"/>
                <w:sz w:val="18"/>
              </w:rPr>
              <w:t xml:space="preserve"> </w:t>
            </w:r>
            <w:r>
              <w:rPr>
                <w:sz w:val="18"/>
              </w:rPr>
              <w:t>it</w:t>
            </w:r>
            <w:r>
              <w:rPr>
                <w:spacing w:val="-1"/>
                <w:sz w:val="18"/>
              </w:rPr>
              <w:t xml:space="preserve"> </w:t>
            </w:r>
            <w:r>
              <w:rPr>
                <w:sz w:val="18"/>
              </w:rPr>
              <w:t>conflicts</w:t>
            </w:r>
            <w:r>
              <w:rPr>
                <w:spacing w:val="-2"/>
                <w:sz w:val="18"/>
              </w:rPr>
              <w:t xml:space="preserve"> </w:t>
            </w:r>
            <w:r>
              <w:rPr>
                <w:sz w:val="18"/>
              </w:rPr>
              <w:t>with</w:t>
            </w:r>
            <w:r>
              <w:rPr>
                <w:spacing w:val="-1"/>
                <w:sz w:val="18"/>
              </w:rPr>
              <w:t xml:space="preserve"> </w:t>
            </w:r>
            <w:r>
              <w:rPr>
                <w:sz w:val="18"/>
              </w:rPr>
              <w:t>the</w:t>
            </w:r>
            <w:r>
              <w:rPr>
                <w:spacing w:val="-3"/>
                <w:sz w:val="18"/>
              </w:rPr>
              <w:t xml:space="preserve"> </w:t>
            </w:r>
            <w:r>
              <w:rPr>
                <w:sz w:val="18"/>
              </w:rPr>
              <w:t>General Preliminaries, Trade Preambles or other items in these Bills of Quantities.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67"/>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793"/>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spacing w:val="2"/>
                <w:sz w:val="18"/>
              </w:rPr>
              <w:t>TRAINING</w:t>
            </w:r>
            <w:r>
              <w:rPr>
                <w:spacing w:val="42"/>
                <w:sz w:val="18"/>
              </w:rPr>
              <w:t xml:space="preserve"> </w:t>
            </w:r>
            <w:r>
              <w:rPr>
                <w:spacing w:val="-4"/>
                <w:sz w:val="18"/>
              </w:rPr>
              <w:t>LEVY</w:t>
            </w:r>
          </w:p>
          <w:p w:rsidR="007F6DF9" w:rsidRDefault="00A43FBC">
            <w:pPr>
              <w:pStyle w:val="TableParagraph"/>
              <w:spacing w:before="191" w:line="230" w:lineRule="atLeast"/>
              <w:ind w:left="36"/>
              <w:rPr>
                <w:sz w:val="18"/>
              </w:rPr>
            </w:pPr>
            <w:r>
              <w:rPr>
                <w:sz w:val="18"/>
              </w:rPr>
              <w:t>The</w:t>
            </w:r>
            <w:r>
              <w:rPr>
                <w:spacing w:val="26"/>
                <w:sz w:val="18"/>
              </w:rPr>
              <w:t xml:space="preserve"> </w:t>
            </w:r>
            <w:r>
              <w:rPr>
                <w:sz w:val="18"/>
              </w:rPr>
              <w:t>Contractor's</w:t>
            </w:r>
            <w:r>
              <w:rPr>
                <w:spacing w:val="26"/>
                <w:sz w:val="18"/>
              </w:rPr>
              <w:t xml:space="preserve"> </w:t>
            </w:r>
            <w:r>
              <w:rPr>
                <w:sz w:val="18"/>
              </w:rPr>
              <w:t>attention</w:t>
            </w:r>
            <w:r>
              <w:rPr>
                <w:spacing w:val="25"/>
                <w:sz w:val="18"/>
              </w:rPr>
              <w:t xml:space="preserve"> </w:t>
            </w:r>
            <w:r>
              <w:rPr>
                <w:sz w:val="18"/>
              </w:rPr>
              <w:t>is</w:t>
            </w:r>
            <w:r>
              <w:rPr>
                <w:spacing w:val="24"/>
                <w:sz w:val="18"/>
              </w:rPr>
              <w:t xml:space="preserve"> </w:t>
            </w:r>
            <w:r>
              <w:rPr>
                <w:sz w:val="18"/>
              </w:rPr>
              <w:t>drawn</w:t>
            </w:r>
            <w:r>
              <w:rPr>
                <w:spacing w:val="26"/>
                <w:sz w:val="18"/>
              </w:rPr>
              <w:t xml:space="preserve"> </w:t>
            </w:r>
            <w:r>
              <w:rPr>
                <w:sz w:val="18"/>
              </w:rPr>
              <w:t>to</w:t>
            </w:r>
            <w:r>
              <w:rPr>
                <w:spacing w:val="23"/>
                <w:sz w:val="18"/>
              </w:rPr>
              <w:t xml:space="preserve"> </w:t>
            </w:r>
            <w:r>
              <w:rPr>
                <w:sz w:val="18"/>
              </w:rPr>
              <w:t>legal</w:t>
            </w:r>
            <w:r>
              <w:rPr>
                <w:spacing w:val="25"/>
                <w:sz w:val="18"/>
              </w:rPr>
              <w:t xml:space="preserve"> </w:t>
            </w:r>
            <w:r>
              <w:rPr>
                <w:sz w:val="18"/>
              </w:rPr>
              <w:t>notice</w:t>
            </w:r>
            <w:r>
              <w:rPr>
                <w:spacing w:val="23"/>
                <w:sz w:val="18"/>
              </w:rPr>
              <w:t xml:space="preserve"> </w:t>
            </w:r>
            <w:r>
              <w:rPr>
                <w:sz w:val="18"/>
              </w:rPr>
              <w:t>No.</w:t>
            </w:r>
            <w:r>
              <w:rPr>
                <w:spacing w:val="24"/>
                <w:sz w:val="18"/>
              </w:rPr>
              <w:t xml:space="preserve"> </w:t>
            </w:r>
            <w:r>
              <w:rPr>
                <w:sz w:val="18"/>
              </w:rPr>
              <w:t>237</w:t>
            </w:r>
            <w:r>
              <w:rPr>
                <w:spacing w:val="24"/>
                <w:sz w:val="18"/>
              </w:rPr>
              <w:t xml:space="preserve"> </w:t>
            </w:r>
            <w:r>
              <w:rPr>
                <w:sz w:val="18"/>
              </w:rPr>
              <w:t>of</w:t>
            </w:r>
            <w:r>
              <w:rPr>
                <w:spacing w:val="25"/>
                <w:sz w:val="18"/>
              </w:rPr>
              <w:t xml:space="preserve"> </w:t>
            </w:r>
            <w:r>
              <w:rPr>
                <w:sz w:val="18"/>
              </w:rPr>
              <w:t>October,</w:t>
            </w:r>
            <w:r>
              <w:rPr>
                <w:spacing w:val="23"/>
                <w:sz w:val="18"/>
              </w:rPr>
              <w:t xml:space="preserve"> </w:t>
            </w:r>
            <w:r>
              <w:rPr>
                <w:sz w:val="18"/>
              </w:rPr>
              <w:t>1971,</w:t>
            </w:r>
            <w:r>
              <w:rPr>
                <w:spacing w:val="25"/>
                <w:sz w:val="18"/>
              </w:rPr>
              <w:t xml:space="preserve"> </w:t>
            </w:r>
            <w:r>
              <w:rPr>
                <w:sz w:val="18"/>
              </w:rPr>
              <w:t>which</w:t>
            </w:r>
            <w:r>
              <w:rPr>
                <w:spacing w:val="22"/>
                <w:sz w:val="18"/>
              </w:rPr>
              <w:t xml:space="preserve"> </w:t>
            </w:r>
            <w:r>
              <w:rPr>
                <w:sz w:val="18"/>
              </w:rPr>
              <w:t>requires payment</w:t>
            </w:r>
            <w:r>
              <w:rPr>
                <w:spacing w:val="12"/>
                <w:sz w:val="18"/>
              </w:rPr>
              <w:t xml:space="preserve"> </w:t>
            </w:r>
            <w:r>
              <w:rPr>
                <w:sz w:val="18"/>
              </w:rPr>
              <w:t>by</w:t>
            </w:r>
            <w:r>
              <w:rPr>
                <w:spacing w:val="11"/>
                <w:sz w:val="18"/>
              </w:rPr>
              <w:t xml:space="preserve"> </w:t>
            </w:r>
            <w:r>
              <w:rPr>
                <w:sz w:val="18"/>
              </w:rPr>
              <w:t>the</w:t>
            </w:r>
            <w:r>
              <w:rPr>
                <w:spacing w:val="11"/>
                <w:sz w:val="18"/>
              </w:rPr>
              <w:t xml:space="preserve"> </w:t>
            </w:r>
            <w:r>
              <w:rPr>
                <w:sz w:val="18"/>
              </w:rPr>
              <w:t>Contractor</w:t>
            </w:r>
            <w:r>
              <w:rPr>
                <w:spacing w:val="11"/>
                <w:sz w:val="18"/>
              </w:rPr>
              <w:t xml:space="preserve"> </w:t>
            </w:r>
            <w:r>
              <w:rPr>
                <w:sz w:val="18"/>
              </w:rPr>
              <w:t>of</w:t>
            </w:r>
            <w:r>
              <w:rPr>
                <w:spacing w:val="12"/>
                <w:sz w:val="18"/>
              </w:rPr>
              <w:t xml:space="preserve"> </w:t>
            </w:r>
            <w:r>
              <w:rPr>
                <w:sz w:val="18"/>
              </w:rPr>
              <w:t>a</w:t>
            </w:r>
            <w:r>
              <w:rPr>
                <w:spacing w:val="13"/>
                <w:sz w:val="18"/>
              </w:rPr>
              <w:t xml:space="preserve"> </w:t>
            </w:r>
            <w:r>
              <w:rPr>
                <w:sz w:val="18"/>
              </w:rPr>
              <w:t>Training</w:t>
            </w:r>
            <w:r>
              <w:rPr>
                <w:spacing w:val="12"/>
                <w:sz w:val="18"/>
              </w:rPr>
              <w:t xml:space="preserve"> </w:t>
            </w:r>
            <w:r>
              <w:rPr>
                <w:sz w:val="18"/>
              </w:rPr>
              <w:t>Levy</w:t>
            </w:r>
            <w:r>
              <w:rPr>
                <w:spacing w:val="13"/>
                <w:sz w:val="18"/>
              </w:rPr>
              <w:t xml:space="preserve"> </w:t>
            </w:r>
            <w:r>
              <w:rPr>
                <w:sz w:val="18"/>
              </w:rPr>
              <w:t>at</w:t>
            </w:r>
            <w:r>
              <w:rPr>
                <w:spacing w:val="12"/>
                <w:sz w:val="18"/>
              </w:rPr>
              <w:t xml:space="preserve"> </w:t>
            </w:r>
            <w:r>
              <w:rPr>
                <w:sz w:val="18"/>
              </w:rPr>
              <w:t>the</w:t>
            </w:r>
            <w:r>
              <w:rPr>
                <w:spacing w:val="14"/>
                <w:sz w:val="18"/>
              </w:rPr>
              <w:t xml:space="preserve"> </w:t>
            </w:r>
            <w:r>
              <w:rPr>
                <w:sz w:val="18"/>
              </w:rPr>
              <w:t>rate</w:t>
            </w:r>
            <w:r>
              <w:rPr>
                <w:spacing w:val="12"/>
                <w:sz w:val="18"/>
              </w:rPr>
              <w:t xml:space="preserve"> </w:t>
            </w:r>
            <w:r>
              <w:rPr>
                <w:sz w:val="18"/>
              </w:rPr>
              <w:t>of</w:t>
            </w:r>
            <w:r>
              <w:rPr>
                <w:spacing w:val="14"/>
                <w:sz w:val="18"/>
              </w:rPr>
              <w:t xml:space="preserve"> </w:t>
            </w:r>
            <w:r>
              <w:rPr>
                <w:sz w:val="18"/>
              </w:rPr>
              <w:t>1/4</w:t>
            </w:r>
            <w:r>
              <w:rPr>
                <w:spacing w:val="13"/>
                <w:sz w:val="18"/>
              </w:rPr>
              <w:t xml:space="preserve"> </w:t>
            </w:r>
            <w:r>
              <w:rPr>
                <w:sz w:val="18"/>
              </w:rPr>
              <w:t>%</w:t>
            </w:r>
            <w:r>
              <w:rPr>
                <w:spacing w:val="12"/>
                <w:sz w:val="18"/>
              </w:rPr>
              <w:t xml:space="preserve"> </w:t>
            </w:r>
            <w:r>
              <w:rPr>
                <w:sz w:val="18"/>
              </w:rPr>
              <w:t>of</w:t>
            </w:r>
            <w:r>
              <w:rPr>
                <w:spacing w:val="11"/>
                <w:sz w:val="18"/>
              </w:rPr>
              <w:t xml:space="preserve"> </w:t>
            </w:r>
            <w:r>
              <w:rPr>
                <w:sz w:val="18"/>
              </w:rPr>
              <w:t>the</w:t>
            </w:r>
            <w:r>
              <w:rPr>
                <w:spacing w:val="14"/>
                <w:sz w:val="18"/>
              </w:rPr>
              <w:t xml:space="preserve"> </w:t>
            </w:r>
            <w:r>
              <w:rPr>
                <w:sz w:val="18"/>
              </w:rPr>
              <w:t>Contract</w:t>
            </w:r>
            <w:r>
              <w:rPr>
                <w:spacing w:val="12"/>
                <w:sz w:val="18"/>
              </w:rPr>
              <w:t xml:space="preserve"> </w:t>
            </w:r>
            <w:r>
              <w:rPr>
                <w:sz w:val="18"/>
              </w:rPr>
              <w:t>sum</w:t>
            </w:r>
            <w:r>
              <w:rPr>
                <w:spacing w:val="14"/>
                <w:sz w:val="18"/>
              </w:rPr>
              <w:t xml:space="preserve"> </w:t>
            </w:r>
            <w:r>
              <w:rPr>
                <w:sz w:val="18"/>
              </w:rPr>
              <w:t>on</w:t>
            </w:r>
            <w:r>
              <w:rPr>
                <w:spacing w:val="12"/>
                <w:sz w:val="18"/>
              </w:rPr>
              <w:t xml:space="preserve"> </w:t>
            </w:r>
            <w:r>
              <w:rPr>
                <w:spacing w:val="-5"/>
                <w:sz w:val="18"/>
              </w:rPr>
              <w:t>all</w:t>
            </w:r>
          </w:p>
        </w:tc>
        <w:tc>
          <w:tcPr>
            <w:tcW w:w="1593" w:type="dxa"/>
            <w:vMerge w:val="restart"/>
          </w:tcPr>
          <w:p w:rsidR="007F6DF9" w:rsidRDefault="007F6DF9">
            <w:pPr>
              <w:pStyle w:val="TableParagraph"/>
              <w:rPr>
                <w:rFonts w:ascii="Times New Roman"/>
                <w:sz w:val="18"/>
              </w:rPr>
            </w:pPr>
          </w:p>
        </w:tc>
      </w:tr>
      <w:tr w:rsidR="007F6DF9">
        <w:trPr>
          <w:trHeight w:val="1412"/>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before="38" w:line="508" w:lineRule="auto"/>
              <w:ind w:left="38" w:right="3013" w:hanging="3"/>
              <w:rPr>
                <w:sz w:val="18"/>
              </w:rPr>
            </w:pPr>
            <w:r>
              <w:rPr>
                <w:sz w:val="18"/>
              </w:rPr>
              <w:t>contracts</w:t>
            </w:r>
            <w:r>
              <w:rPr>
                <w:spacing w:val="-10"/>
                <w:sz w:val="18"/>
              </w:rPr>
              <w:t xml:space="preserve"> </w:t>
            </w:r>
            <w:r>
              <w:rPr>
                <w:sz w:val="18"/>
              </w:rPr>
              <w:t>of</w:t>
            </w:r>
            <w:r>
              <w:rPr>
                <w:spacing w:val="-12"/>
                <w:sz w:val="18"/>
              </w:rPr>
              <w:t xml:space="preserve"> </w:t>
            </w:r>
            <w:r>
              <w:rPr>
                <w:sz w:val="18"/>
              </w:rPr>
              <w:t>more</w:t>
            </w:r>
            <w:r>
              <w:rPr>
                <w:spacing w:val="-10"/>
                <w:sz w:val="18"/>
              </w:rPr>
              <w:t xml:space="preserve"> </w:t>
            </w:r>
            <w:r>
              <w:rPr>
                <w:sz w:val="18"/>
              </w:rPr>
              <w:t>than</w:t>
            </w:r>
            <w:r>
              <w:rPr>
                <w:spacing w:val="-11"/>
                <w:sz w:val="18"/>
              </w:rPr>
              <w:t xml:space="preserve"> </w:t>
            </w:r>
            <w:proofErr w:type="spellStart"/>
            <w:r>
              <w:rPr>
                <w:sz w:val="18"/>
              </w:rPr>
              <w:t>Kshs</w:t>
            </w:r>
            <w:proofErr w:type="spellEnd"/>
            <w:r>
              <w:rPr>
                <w:sz w:val="18"/>
              </w:rPr>
              <w:t>.</w:t>
            </w:r>
            <w:r>
              <w:rPr>
                <w:spacing w:val="-12"/>
                <w:sz w:val="18"/>
              </w:rPr>
              <w:t xml:space="preserve"> </w:t>
            </w:r>
            <w:r>
              <w:rPr>
                <w:sz w:val="18"/>
              </w:rPr>
              <w:t>50,000.00</w:t>
            </w:r>
            <w:r>
              <w:rPr>
                <w:spacing w:val="-11"/>
                <w:sz w:val="18"/>
              </w:rPr>
              <w:t xml:space="preserve"> </w:t>
            </w:r>
            <w:r>
              <w:rPr>
                <w:sz w:val="18"/>
              </w:rPr>
              <w:t>in</w:t>
            </w:r>
            <w:r>
              <w:rPr>
                <w:spacing w:val="-11"/>
                <w:sz w:val="18"/>
              </w:rPr>
              <w:t xml:space="preserve"> </w:t>
            </w:r>
            <w:r>
              <w:rPr>
                <w:sz w:val="18"/>
              </w:rPr>
              <w:t>value. MATERIALS ON SITE</w:t>
            </w:r>
          </w:p>
          <w:p w:rsidR="007F6DF9" w:rsidRDefault="00A43FBC">
            <w:pPr>
              <w:pStyle w:val="TableParagraph"/>
              <w:spacing w:before="1"/>
              <w:ind w:left="36"/>
              <w:rPr>
                <w:sz w:val="18"/>
              </w:rPr>
            </w:pPr>
            <w:r>
              <w:rPr>
                <w:sz w:val="18"/>
              </w:rPr>
              <w:t>All</w:t>
            </w:r>
            <w:r>
              <w:rPr>
                <w:spacing w:val="23"/>
                <w:sz w:val="18"/>
              </w:rPr>
              <w:t xml:space="preserve"> </w:t>
            </w:r>
            <w:r>
              <w:rPr>
                <w:sz w:val="18"/>
              </w:rPr>
              <w:t>materials</w:t>
            </w:r>
            <w:r>
              <w:rPr>
                <w:spacing w:val="23"/>
                <w:sz w:val="18"/>
              </w:rPr>
              <w:t xml:space="preserve"> </w:t>
            </w:r>
            <w:r>
              <w:rPr>
                <w:sz w:val="18"/>
              </w:rPr>
              <w:t>for</w:t>
            </w:r>
            <w:r>
              <w:rPr>
                <w:spacing w:val="24"/>
                <w:sz w:val="18"/>
              </w:rPr>
              <w:t xml:space="preserve"> </w:t>
            </w:r>
            <w:r>
              <w:rPr>
                <w:sz w:val="18"/>
              </w:rPr>
              <w:t>incorporation</w:t>
            </w:r>
            <w:r>
              <w:rPr>
                <w:spacing w:val="23"/>
                <w:sz w:val="18"/>
              </w:rPr>
              <w:t xml:space="preserve"> </w:t>
            </w:r>
            <w:r>
              <w:rPr>
                <w:sz w:val="18"/>
              </w:rPr>
              <w:t>in</w:t>
            </w:r>
            <w:r>
              <w:rPr>
                <w:spacing w:val="25"/>
                <w:sz w:val="18"/>
              </w:rPr>
              <w:t xml:space="preserve"> </w:t>
            </w:r>
            <w:r>
              <w:rPr>
                <w:sz w:val="18"/>
              </w:rPr>
              <w:t>the</w:t>
            </w:r>
            <w:r>
              <w:rPr>
                <w:spacing w:val="23"/>
                <w:sz w:val="18"/>
              </w:rPr>
              <w:t xml:space="preserve"> </w:t>
            </w:r>
            <w:r>
              <w:rPr>
                <w:sz w:val="18"/>
              </w:rPr>
              <w:t>works</w:t>
            </w:r>
            <w:r>
              <w:rPr>
                <w:spacing w:val="25"/>
                <w:sz w:val="18"/>
              </w:rPr>
              <w:t xml:space="preserve"> </w:t>
            </w:r>
            <w:r>
              <w:rPr>
                <w:sz w:val="18"/>
              </w:rPr>
              <w:t>must</w:t>
            </w:r>
            <w:r>
              <w:rPr>
                <w:spacing w:val="24"/>
                <w:sz w:val="18"/>
              </w:rPr>
              <w:t xml:space="preserve"> </w:t>
            </w:r>
            <w:r>
              <w:rPr>
                <w:sz w:val="18"/>
              </w:rPr>
              <w:t>be</w:t>
            </w:r>
            <w:r>
              <w:rPr>
                <w:spacing w:val="24"/>
                <w:sz w:val="18"/>
              </w:rPr>
              <w:t xml:space="preserve"> </w:t>
            </w:r>
            <w:r>
              <w:rPr>
                <w:sz w:val="18"/>
              </w:rPr>
              <w:t>stored</w:t>
            </w:r>
            <w:r>
              <w:rPr>
                <w:spacing w:val="23"/>
                <w:sz w:val="18"/>
              </w:rPr>
              <w:t xml:space="preserve"> </w:t>
            </w:r>
            <w:r>
              <w:rPr>
                <w:sz w:val="18"/>
              </w:rPr>
              <w:t>on</w:t>
            </w:r>
            <w:r>
              <w:rPr>
                <w:spacing w:val="23"/>
                <w:sz w:val="18"/>
              </w:rPr>
              <w:t xml:space="preserve"> </w:t>
            </w:r>
            <w:r>
              <w:rPr>
                <w:sz w:val="18"/>
              </w:rPr>
              <w:t>or</w:t>
            </w:r>
            <w:r>
              <w:rPr>
                <w:spacing w:val="24"/>
                <w:sz w:val="18"/>
              </w:rPr>
              <w:t xml:space="preserve"> </w:t>
            </w:r>
            <w:r>
              <w:rPr>
                <w:sz w:val="18"/>
              </w:rPr>
              <w:t>adjacent</w:t>
            </w:r>
            <w:r>
              <w:rPr>
                <w:spacing w:val="26"/>
                <w:sz w:val="18"/>
              </w:rPr>
              <w:t xml:space="preserve"> </w:t>
            </w:r>
            <w:r>
              <w:rPr>
                <w:sz w:val="18"/>
              </w:rPr>
              <w:t>to</w:t>
            </w:r>
            <w:r>
              <w:rPr>
                <w:spacing w:val="24"/>
                <w:sz w:val="18"/>
              </w:rPr>
              <w:t xml:space="preserve"> </w:t>
            </w:r>
            <w:r>
              <w:rPr>
                <w:sz w:val="18"/>
              </w:rPr>
              <w:t>the</w:t>
            </w:r>
            <w:r>
              <w:rPr>
                <w:spacing w:val="26"/>
                <w:sz w:val="18"/>
              </w:rPr>
              <w:t xml:space="preserve"> </w:t>
            </w:r>
            <w:r>
              <w:rPr>
                <w:sz w:val="18"/>
              </w:rPr>
              <w:t>site</w:t>
            </w:r>
            <w:r>
              <w:rPr>
                <w:spacing w:val="24"/>
                <w:sz w:val="18"/>
              </w:rPr>
              <w:t xml:space="preserve"> </w:t>
            </w:r>
            <w:r>
              <w:rPr>
                <w:spacing w:val="-2"/>
                <w:sz w:val="18"/>
              </w:rPr>
              <w:t>before</w:t>
            </w:r>
          </w:p>
          <w:p w:rsidR="007F6DF9" w:rsidRDefault="00A43FBC">
            <w:pPr>
              <w:pStyle w:val="TableParagraph"/>
              <w:spacing w:before="13" w:line="202" w:lineRule="exact"/>
              <w:ind w:left="36"/>
              <w:rPr>
                <w:sz w:val="18"/>
              </w:rPr>
            </w:pPr>
            <w:r>
              <w:rPr>
                <w:sz w:val="18"/>
              </w:rPr>
              <w:t>payment</w:t>
            </w:r>
            <w:r>
              <w:rPr>
                <w:spacing w:val="11"/>
                <w:sz w:val="18"/>
              </w:rPr>
              <w:t xml:space="preserve"> </w:t>
            </w:r>
            <w:r>
              <w:rPr>
                <w:sz w:val="18"/>
              </w:rPr>
              <w:t>is</w:t>
            </w:r>
            <w:r>
              <w:rPr>
                <w:spacing w:val="11"/>
                <w:sz w:val="18"/>
              </w:rPr>
              <w:t xml:space="preserve"> </w:t>
            </w:r>
            <w:r>
              <w:rPr>
                <w:sz w:val="18"/>
              </w:rPr>
              <w:t>effected</w:t>
            </w:r>
            <w:r>
              <w:rPr>
                <w:spacing w:val="10"/>
                <w:sz w:val="18"/>
              </w:rPr>
              <w:t xml:space="preserve"> </w:t>
            </w:r>
            <w:r>
              <w:rPr>
                <w:sz w:val="18"/>
              </w:rPr>
              <w:t>unless</w:t>
            </w:r>
            <w:r>
              <w:rPr>
                <w:spacing w:val="11"/>
                <w:sz w:val="18"/>
              </w:rPr>
              <w:t xml:space="preserve"> </w:t>
            </w:r>
            <w:r>
              <w:rPr>
                <w:sz w:val="18"/>
              </w:rPr>
              <w:t>specifically</w:t>
            </w:r>
            <w:r>
              <w:rPr>
                <w:spacing w:val="11"/>
                <w:sz w:val="18"/>
              </w:rPr>
              <w:t xml:space="preserve"> </w:t>
            </w:r>
            <w:r>
              <w:rPr>
                <w:sz w:val="18"/>
              </w:rPr>
              <w:t>exempted</w:t>
            </w:r>
            <w:r>
              <w:rPr>
                <w:spacing w:val="10"/>
                <w:sz w:val="18"/>
              </w:rPr>
              <w:t xml:space="preserve"> </w:t>
            </w:r>
            <w:r>
              <w:rPr>
                <w:sz w:val="18"/>
              </w:rPr>
              <w:t>by</w:t>
            </w:r>
            <w:r>
              <w:rPr>
                <w:spacing w:val="10"/>
                <w:sz w:val="18"/>
              </w:rPr>
              <w:t xml:space="preserve"> </w:t>
            </w:r>
            <w:r>
              <w:rPr>
                <w:sz w:val="18"/>
              </w:rPr>
              <w:t>the</w:t>
            </w:r>
            <w:r>
              <w:rPr>
                <w:spacing w:val="11"/>
                <w:sz w:val="18"/>
              </w:rPr>
              <w:t xml:space="preserve"> </w:t>
            </w:r>
            <w:r>
              <w:rPr>
                <w:sz w:val="18"/>
              </w:rPr>
              <w:t>PROJECT</w:t>
            </w:r>
            <w:r>
              <w:rPr>
                <w:spacing w:val="12"/>
                <w:sz w:val="18"/>
              </w:rPr>
              <w:t xml:space="preserve"> </w:t>
            </w:r>
            <w:r>
              <w:rPr>
                <w:sz w:val="18"/>
              </w:rPr>
              <w:t>MANAGER.</w:t>
            </w:r>
            <w:r>
              <w:rPr>
                <w:spacing w:val="10"/>
                <w:sz w:val="18"/>
              </w:rPr>
              <w:t xml:space="preserve"> </w:t>
            </w:r>
            <w:r>
              <w:rPr>
                <w:sz w:val="18"/>
              </w:rPr>
              <w:t>This</w:t>
            </w:r>
            <w:r>
              <w:rPr>
                <w:spacing w:val="12"/>
                <w:sz w:val="18"/>
              </w:rPr>
              <w:t xml:space="preserve"> </w:t>
            </w:r>
            <w:r>
              <w:rPr>
                <w:sz w:val="18"/>
              </w:rPr>
              <w:t>includes</w:t>
            </w:r>
            <w:r>
              <w:rPr>
                <w:spacing w:val="12"/>
                <w:sz w:val="18"/>
              </w:rPr>
              <w:t xml:space="preserve"> </w:t>
            </w:r>
            <w:r>
              <w:rPr>
                <w:spacing w:val="-5"/>
                <w:sz w:val="18"/>
              </w:rPr>
              <w:t>the</w:t>
            </w:r>
          </w:p>
        </w:tc>
        <w:tc>
          <w:tcPr>
            <w:tcW w:w="1593" w:type="dxa"/>
            <w:vMerge/>
            <w:tcBorders>
              <w:top w:val="nil"/>
            </w:tcBorders>
          </w:tcPr>
          <w:p w:rsidR="007F6DF9" w:rsidRDefault="007F6DF9">
            <w:pPr>
              <w:rPr>
                <w:sz w:val="2"/>
                <w:szCs w:val="2"/>
              </w:rPr>
            </w:pPr>
          </w:p>
        </w:tc>
      </w:tr>
      <w:tr w:rsidR="007F6DF9">
        <w:trPr>
          <w:trHeight w:val="1992"/>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5"/>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line="210" w:lineRule="exact"/>
              <w:ind w:left="36"/>
              <w:jc w:val="both"/>
              <w:rPr>
                <w:sz w:val="18"/>
              </w:rPr>
            </w:pPr>
            <w:r>
              <w:rPr>
                <w:sz w:val="18"/>
              </w:rPr>
              <w:t>materials</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Main</w:t>
            </w:r>
            <w:r>
              <w:rPr>
                <w:spacing w:val="-2"/>
                <w:sz w:val="18"/>
              </w:rPr>
              <w:t xml:space="preserve"> </w:t>
            </w:r>
            <w:r>
              <w:rPr>
                <w:sz w:val="18"/>
              </w:rPr>
              <w:t>Contractor,</w:t>
            </w:r>
            <w:r>
              <w:rPr>
                <w:spacing w:val="-4"/>
                <w:sz w:val="18"/>
              </w:rPr>
              <w:t xml:space="preserve"> </w:t>
            </w:r>
            <w:r>
              <w:rPr>
                <w:sz w:val="18"/>
              </w:rPr>
              <w:t>Nominated</w:t>
            </w:r>
            <w:r>
              <w:rPr>
                <w:spacing w:val="-3"/>
                <w:sz w:val="18"/>
              </w:rPr>
              <w:t xml:space="preserve"> </w:t>
            </w:r>
            <w:r>
              <w:rPr>
                <w:sz w:val="18"/>
              </w:rPr>
              <w:t>Sub-Contractors</w:t>
            </w:r>
            <w:r>
              <w:rPr>
                <w:spacing w:val="-2"/>
                <w:sz w:val="18"/>
              </w:rPr>
              <w:t xml:space="preserve"> </w:t>
            </w:r>
            <w:r>
              <w:rPr>
                <w:sz w:val="18"/>
              </w:rPr>
              <w:t>and</w:t>
            </w:r>
            <w:r>
              <w:rPr>
                <w:spacing w:val="-4"/>
                <w:sz w:val="18"/>
              </w:rPr>
              <w:t xml:space="preserve"> </w:t>
            </w:r>
            <w:r>
              <w:rPr>
                <w:sz w:val="18"/>
              </w:rPr>
              <w:t>Nominated</w:t>
            </w:r>
            <w:r>
              <w:rPr>
                <w:spacing w:val="-3"/>
                <w:sz w:val="18"/>
              </w:rPr>
              <w:t xml:space="preserve"> </w:t>
            </w:r>
            <w:r>
              <w:rPr>
                <w:spacing w:val="-2"/>
                <w:sz w:val="18"/>
              </w:rPr>
              <w:t>Suppliers.</w:t>
            </w:r>
          </w:p>
          <w:p w:rsidR="007F6DF9" w:rsidRDefault="007F6DF9">
            <w:pPr>
              <w:pStyle w:val="TableParagraph"/>
              <w:spacing w:before="234"/>
              <w:rPr>
                <w:rFonts w:ascii="Segoe UI"/>
                <w:sz w:val="18"/>
              </w:rPr>
            </w:pPr>
          </w:p>
          <w:p w:rsidR="007F6DF9" w:rsidRDefault="00A43FBC">
            <w:pPr>
              <w:pStyle w:val="TableParagraph"/>
              <w:ind w:left="38"/>
              <w:rPr>
                <w:sz w:val="18"/>
              </w:rPr>
            </w:pPr>
            <w:r>
              <w:rPr>
                <w:spacing w:val="-2"/>
                <w:w w:val="110"/>
                <w:sz w:val="18"/>
              </w:rPr>
              <w:t>HOARDING</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The Contractor shall enclose the site or part of the works under construction with a hoarding 2400</w:t>
            </w:r>
            <w:r>
              <w:rPr>
                <w:spacing w:val="-5"/>
                <w:sz w:val="18"/>
              </w:rPr>
              <w:t xml:space="preserve"> </w:t>
            </w:r>
            <w:r>
              <w:rPr>
                <w:sz w:val="18"/>
              </w:rPr>
              <w:t>mm</w:t>
            </w:r>
            <w:r>
              <w:rPr>
                <w:spacing w:val="-5"/>
                <w:sz w:val="18"/>
              </w:rPr>
              <w:t xml:space="preserve"> </w:t>
            </w:r>
            <w:r>
              <w:rPr>
                <w:sz w:val="18"/>
              </w:rPr>
              <w:t>high</w:t>
            </w:r>
            <w:r>
              <w:rPr>
                <w:spacing w:val="-5"/>
                <w:sz w:val="18"/>
              </w:rPr>
              <w:t xml:space="preserve"> </w:t>
            </w:r>
            <w:r>
              <w:rPr>
                <w:sz w:val="18"/>
              </w:rPr>
              <w:t>consisting</w:t>
            </w:r>
            <w:r>
              <w:rPr>
                <w:spacing w:val="-4"/>
                <w:sz w:val="18"/>
              </w:rPr>
              <w:t xml:space="preserve"> </w:t>
            </w:r>
            <w:r>
              <w:rPr>
                <w:sz w:val="18"/>
              </w:rPr>
              <w:t>of</w:t>
            </w:r>
            <w:r>
              <w:rPr>
                <w:spacing w:val="-5"/>
                <w:sz w:val="18"/>
              </w:rPr>
              <w:t xml:space="preserve"> </w:t>
            </w:r>
            <w:r>
              <w:rPr>
                <w:sz w:val="18"/>
              </w:rPr>
              <w:t>iron</w:t>
            </w:r>
            <w:r>
              <w:rPr>
                <w:spacing w:val="-5"/>
                <w:sz w:val="18"/>
              </w:rPr>
              <w:t xml:space="preserve"> </w:t>
            </w:r>
            <w:r>
              <w:rPr>
                <w:sz w:val="18"/>
              </w:rPr>
              <w:t>sheets</w:t>
            </w:r>
            <w:r>
              <w:rPr>
                <w:spacing w:val="-4"/>
                <w:sz w:val="18"/>
              </w:rPr>
              <w:t xml:space="preserve"> </w:t>
            </w:r>
            <w:r>
              <w:rPr>
                <w:sz w:val="18"/>
              </w:rPr>
              <w:t>on</w:t>
            </w:r>
            <w:r>
              <w:rPr>
                <w:spacing w:val="-5"/>
                <w:sz w:val="18"/>
              </w:rPr>
              <w:t xml:space="preserve"> </w:t>
            </w:r>
            <w:r>
              <w:rPr>
                <w:sz w:val="18"/>
              </w:rPr>
              <w:t>100</w:t>
            </w:r>
            <w:r>
              <w:rPr>
                <w:spacing w:val="-3"/>
                <w:sz w:val="18"/>
              </w:rPr>
              <w:t xml:space="preserve"> </w:t>
            </w:r>
            <w:r>
              <w:rPr>
                <w:sz w:val="18"/>
              </w:rPr>
              <w:t>x</w:t>
            </w:r>
            <w:r>
              <w:rPr>
                <w:spacing w:val="-5"/>
                <w:sz w:val="18"/>
              </w:rPr>
              <w:t xml:space="preserve"> </w:t>
            </w:r>
            <w:r>
              <w:rPr>
                <w:sz w:val="18"/>
              </w:rPr>
              <w:t>50</w:t>
            </w:r>
            <w:r>
              <w:rPr>
                <w:spacing w:val="-3"/>
                <w:sz w:val="18"/>
              </w:rPr>
              <w:t xml:space="preserve"> </w:t>
            </w:r>
            <w:r>
              <w:rPr>
                <w:sz w:val="18"/>
              </w:rPr>
              <w:t>mm</w:t>
            </w:r>
            <w:r>
              <w:rPr>
                <w:spacing w:val="-5"/>
                <w:sz w:val="18"/>
              </w:rPr>
              <w:t xml:space="preserve"> </w:t>
            </w:r>
            <w:r>
              <w:rPr>
                <w:sz w:val="18"/>
              </w:rPr>
              <w:t>timber</w:t>
            </w:r>
            <w:r>
              <w:rPr>
                <w:spacing w:val="-3"/>
                <w:sz w:val="18"/>
              </w:rPr>
              <w:t xml:space="preserve"> </w:t>
            </w:r>
            <w:r>
              <w:rPr>
                <w:sz w:val="18"/>
              </w:rPr>
              <w:t>posts</w:t>
            </w:r>
            <w:r>
              <w:rPr>
                <w:spacing w:val="-3"/>
                <w:sz w:val="18"/>
              </w:rPr>
              <w:t xml:space="preserve"> </w:t>
            </w:r>
            <w:r>
              <w:rPr>
                <w:sz w:val="18"/>
              </w:rPr>
              <w:t>firmly</w:t>
            </w:r>
            <w:r>
              <w:rPr>
                <w:spacing w:val="-3"/>
                <w:sz w:val="18"/>
              </w:rPr>
              <w:t xml:space="preserve"> </w:t>
            </w:r>
            <w:r>
              <w:rPr>
                <w:sz w:val="18"/>
              </w:rPr>
              <w:t>secured</w:t>
            </w:r>
            <w:r>
              <w:rPr>
                <w:spacing w:val="-5"/>
                <w:sz w:val="18"/>
              </w:rPr>
              <w:t xml:space="preserve"> </w:t>
            </w:r>
            <w:r>
              <w:rPr>
                <w:sz w:val="18"/>
              </w:rPr>
              <w:t>at</w:t>
            </w:r>
            <w:r>
              <w:rPr>
                <w:spacing w:val="-2"/>
                <w:sz w:val="18"/>
              </w:rPr>
              <w:t xml:space="preserve"> </w:t>
            </w:r>
            <w:r>
              <w:rPr>
                <w:sz w:val="18"/>
              </w:rPr>
              <w:t>1800</w:t>
            </w:r>
            <w:r>
              <w:rPr>
                <w:spacing w:val="-5"/>
                <w:sz w:val="18"/>
              </w:rPr>
              <w:t xml:space="preserve"> </w:t>
            </w:r>
            <w:r>
              <w:rPr>
                <w:sz w:val="18"/>
              </w:rPr>
              <w:t>mm centers</w:t>
            </w:r>
            <w:r>
              <w:rPr>
                <w:spacing w:val="27"/>
                <w:sz w:val="18"/>
              </w:rPr>
              <w:t xml:space="preserve"> </w:t>
            </w:r>
            <w:r>
              <w:rPr>
                <w:sz w:val="18"/>
              </w:rPr>
              <w:t>with</w:t>
            </w:r>
            <w:r>
              <w:rPr>
                <w:spacing w:val="26"/>
                <w:sz w:val="18"/>
              </w:rPr>
              <w:t xml:space="preserve"> </w:t>
            </w:r>
            <w:r>
              <w:rPr>
                <w:sz w:val="18"/>
              </w:rPr>
              <w:t>two</w:t>
            </w:r>
            <w:r>
              <w:rPr>
                <w:spacing w:val="27"/>
                <w:sz w:val="18"/>
              </w:rPr>
              <w:t xml:space="preserve"> </w:t>
            </w:r>
            <w:r>
              <w:rPr>
                <w:sz w:val="18"/>
              </w:rPr>
              <w:t>75</w:t>
            </w:r>
            <w:r>
              <w:rPr>
                <w:spacing w:val="27"/>
                <w:sz w:val="18"/>
              </w:rPr>
              <w:t xml:space="preserve"> </w:t>
            </w:r>
            <w:r>
              <w:rPr>
                <w:sz w:val="18"/>
              </w:rPr>
              <w:t>x</w:t>
            </w:r>
            <w:r>
              <w:rPr>
                <w:spacing w:val="27"/>
                <w:sz w:val="18"/>
              </w:rPr>
              <w:t xml:space="preserve"> </w:t>
            </w:r>
            <w:r>
              <w:rPr>
                <w:sz w:val="18"/>
              </w:rPr>
              <w:t>50</w:t>
            </w:r>
            <w:r>
              <w:rPr>
                <w:spacing w:val="26"/>
                <w:sz w:val="18"/>
              </w:rPr>
              <w:t xml:space="preserve"> </w:t>
            </w:r>
            <w:r>
              <w:rPr>
                <w:sz w:val="18"/>
              </w:rPr>
              <w:t>mm</w:t>
            </w:r>
            <w:r>
              <w:rPr>
                <w:spacing w:val="24"/>
                <w:sz w:val="18"/>
              </w:rPr>
              <w:t xml:space="preserve"> </w:t>
            </w:r>
            <w:r>
              <w:rPr>
                <w:sz w:val="18"/>
              </w:rPr>
              <w:t>timber</w:t>
            </w:r>
            <w:r>
              <w:rPr>
                <w:spacing w:val="27"/>
                <w:sz w:val="18"/>
              </w:rPr>
              <w:t xml:space="preserve"> </w:t>
            </w:r>
            <w:r>
              <w:rPr>
                <w:sz w:val="18"/>
              </w:rPr>
              <w:t>rails.</w:t>
            </w:r>
            <w:r>
              <w:rPr>
                <w:spacing w:val="23"/>
                <w:sz w:val="18"/>
              </w:rPr>
              <w:t xml:space="preserve"> </w:t>
            </w:r>
            <w:r>
              <w:rPr>
                <w:sz w:val="18"/>
              </w:rPr>
              <w:t>The</w:t>
            </w:r>
            <w:r>
              <w:rPr>
                <w:spacing w:val="28"/>
                <w:sz w:val="18"/>
              </w:rPr>
              <w:t xml:space="preserve"> </w:t>
            </w:r>
            <w:r>
              <w:rPr>
                <w:sz w:val="18"/>
              </w:rPr>
              <w:t>Contractor</w:t>
            </w:r>
            <w:r>
              <w:rPr>
                <w:spacing w:val="24"/>
                <w:sz w:val="18"/>
              </w:rPr>
              <w:t xml:space="preserve"> </w:t>
            </w:r>
            <w:r>
              <w:rPr>
                <w:sz w:val="18"/>
              </w:rPr>
              <w:t>is</w:t>
            </w:r>
            <w:r>
              <w:rPr>
                <w:spacing w:val="28"/>
                <w:sz w:val="18"/>
              </w:rPr>
              <w:t xml:space="preserve"> </w:t>
            </w:r>
            <w:r>
              <w:rPr>
                <w:sz w:val="18"/>
              </w:rPr>
              <w:t>in</w:t>
            </w:r>
            <w:r>
              <w:rPr>
                <w:spacing w:val="24"/>
                <w:sz w:val="18"/>
              </w:rPr>
              <w:t xml:space="preserve"> </w:t>
            </w:r>
            <w:r>
              <w:rPr>
                <w:sz w:val="18"/>
              </w:rPr>
              <w:t>addition</w:t>
            </w:r>
            <w:r>
              <w:rPr>
                <w:spacing w:val="26"/>
                <w:sz w:val="18"/>
              </w:rPr>
              <w:t xml:space="preserve"> </w:t>
            </w:r>
            <w:r>
              <w:rPr>
                <w:sz w:val="18"/>
              </w:rPr>
              <w:t>required</w:t>
            </w:r>
            <w:r>
              <w:rPr>
                <w:spacing w:val="24"/>
                <w:sz w:val="18"/>
              </w:rPr>
              <w:t xml:space="preserve"> </w:t>
            </w:r>
            <w:r>
              <w:rPr>
                <w:sz w:val="18"/>
              </w:rPr>
              <w:t>to</w:t>
            </w:r>
            <w:r>
              <w:rPr>
                <w:spacing w:val="26"/>
                <w:sz w:val="18"/>
              </w:rPr>
              <w:t xml:space="preserve"> </w:t>
            </w:r>
            <w:r>
              <w:rPr>
                <w:sz w:val="18"/>
              </w:rPr>
              <w:t>take</w:t>
            </w:r>
            <w:r>
              <w:rPr>
                <w:spacing w:val="26"/>
                <w:sz w:val="18"/>
              </w:rPr>
              <w:t xml:space="preserve"> </w:t>
            </w:r>
            <w:r>
              <w:rPr>
                <w:spacing w:val="-5"/>
                <w:sz w:val="18"/>
              </w:rPr>
              <w:t>all</w:t>
            </w:r>
          </w:p>
          <w:p w:rsidR="007F6DF9" w:rsidRDefault="00A43FBC">
            <w:pPr>
              <w:pStyle w:val="TableParagraph"/>
              <w:spacing w:before="1" w:line="136" w:lineRule="exact"/>
              <w:ind w:left="36"/>
              <w:jc w:val="both"/>
              <w:rPr>
                <w:sz w:val="18"/>
              </w:rPr>
            </w:pPr>
            <w:r>
              <w:rPr>
                <w:sz w:val="18"/>
              </w:rPr>
              <w:t>precautions</w:t>
            </w:r>
            <w:r>
              <w:rPr>
                <w:spacing w:val="2"/>
                <w:sz w:val="18"/>
              </w:rPr>
              <w:t xml:space="preserve"> </w:t>
            </w:r>
            <w:r>
              <w:rPr>
                <w:sz w:val="18"/>
              </w:rPr>
              <w:t>necessary</w:t>
            </w:r>
            <w:r>
              <w:rPr>
                <w:spacing w:val="4"/>
                <w:sz w:val="18"/>
              </w:rPr>
              <w:t xml:space="preserve"> </w:t>
            </w:r>
            <w:r>
              <w:rPr>
                <w:sz w:val="18"/>
              </w:rPr>
              <w:t>for</w:t>
            </w:r>
            <w:r>
              <w:rPr>
                <w:spacing w:val="1"/>
                <w:sz w:val="18"/>
              </w:rPr>
              <w:t xml:space="preserve"> </w:t>
            </w:r>
            <w:r>
              <w:rPr>
                <w:sz w:val="18"/>
              </w:rPr>
              <w:t>the</w:t>
            </w:r>
            <w:r>
              <w:rPr>
                <w:spacing w:val="3"/>
                <w:sz w:val="18"/>
              </w:rPr>
              <w:t xml:space="preserve"> </w:t>
            </w:r>
            <w:r>
              <w:rPr>
                <w:sz w:val="18"/>
              </w:rPr>
              <w:t>safe</w:t>
            </w:r>
            <w:r>
              <w:rPr>
                <w:spacing w:val="2"/>
                <w:sz w:val="18"/>
              </w:rPr>
              <w:t xml:space="preserve"> </w:t>
            </w:r>
            <w:r>
              <w:rPr>
                <w:sz w:val="18"/>
              </w:rPr>
              <w:t>custody</w:t>
            </w:r>
            <w:r>
              <w:rPr>
                <w:spacing w:val="3"/>
                <w:sz w:val="18"/>
              </w:rPr>
              <w:t xml:space="preserve"> </w:t>
            </w:r>
            <w:r>
              <w:rPr>
                <w:sz w:val="18"/>
              </w:rPr>
              <w:t>of</w:t>
            </w:r>
            <w:r>
              <w:rPr>
                <w:spacing w:val="1"/>
                <w:sz w:val="18"/>
              </w:rPr>
              <w:t xml:space="preserve"> </w:t>
            </w:r>
            <w:r>
              <w:rPr>
                <w:sz w:val="18"/>
              </w:rPr>
              <w:t>the</w:t>
            </w:r>
            <w:r>
              <w:rPr>
                <w:spacing w:val="4"/>
                <w:sz w:val="18"/>
              </w:rPr>
              <w:t xml:space="preserve"> </w:t>
            </w:r>
            <w:r>
              <w:rPr>
                <w:sz w:val="18"/>
              </w:rPr>
              <w:t>works,</w:t>
            </w:r>
            <w:r>
              <w:rPr>
                <w:spacing w:val="1"/>
                <w:sz w:val="18"/>
              </w:rPr>
              <w:t xml:space="preserve"> </w:t>
            </w:r>
            <w:r>
              <w:rPr>
                <w:sz w:val="18"/>
              </w:rPr>
              <w:t>materials,</w:t>
            </w:r>
            <w:r>
              <w:rPr>
                <w:spacing w:val="2"/>
                <w:sz w:val="18"/>
              </w:rPr>
              <w:t xml:space="preserve"> </w:t>
            </w:r>
            <w:r>
              <w:rPr>
                <w:sz w:val="18"/>
              </w:rPr>
              <w:t>plant,</w:t>
            </w:r>
            <w:r>
              <w:rPr>
                <w:spacing w:val="1"/>
                <w:sz w:val="18"/>
              </w:rPr>
              <w:t xml:space="preserve"> </w:t>
            </w:r>
            <w:r>
              <w:rPr>
                <w:sz w:val="18"/>
              </w:rPr>
              <w:t>public</w:t>
            </w:r>
            <w:r>
              <w:rPr>
                <w:spacing w:val="4"/>
                <w:sz w:val="18"/>
              </w:rPr>
              <w:t xml:space="preserve"> </w:t>
            </w:r>
            <w:r>
              <w:rPr>
                <w:sz w:val="18"/>
              </w:rPr>
              <w:t xml:space="preserve">and </w:t>
            </w:r>
            <w:r>
              <w:rPr>
                <w:spacing w:val="-2"/>
                <w:sz w:val="18"/>
              </w:rPr>
              <w:t>Employer's</w:t>
            </w:r>
          </w:p>
        </w:tc>
        <w:tc>
          <w:tcPr>
            <w:tcW w:w="1593" w:type="dxa"/>
            <w:vMerge/>
            <w:tcBorders>
              <w:top w:val="nil"/>
            </w:tcBorders>
          </w:tcPr>
          <w:p w:rsidR="007F6DF9" w:rsidRDefault="007F6DF9">
            <w:pPr>
              <w:rPr>
                <w:sz w:val="2"/>
                <w:szCs w:val="2"/>
              </w:rPr>
            </w:pPr>
          </w:p>
        </w:tc>
      </w:tr>
      <w:tr w:rsidR="007F6DF9">
        <w:trPr>
          <w:trHeight w:val="3604"/>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21"/>
              <w:rPr>
                <w:rFonts w:ascii="Segoe UI"/>
                <w:sz w:val="18"/>
              </w:rPr>
            </w:pPr>
          </w:p>
          <w:p w:rsidR="007F6DF9" w:rsidRDefault="00A43FBC">
            <w:pPr>
              <w:pStyle w:val="TableParagraph"/>
              <w:ind w:right="24"/>
              <w:jc w:val="right"/>
              <w:rPr>
                <w:sz w:val="18"/>
              </w:rPr>
            </w:pPr>
            <w:r>
              <w:rPr>
                <w:spacing w:val="-10"/>
                <w:w w:val="105"/>
                <w:sz w:val="18"/>
              </w:rPr>
              <w:t>D</w:t>
            </w:r>
          </w:p>
        </w:tc>
        <w:tc>
          <w:tcPr>
            <w:tcW w:w="7767" w:type="dxa"/>
            <w:tcBorders>
              <w:top w:val="nil"/>
            </w:tcBorders>
          </w:tcPr>
          <w:p w:rsidR="007F6DF9" w:rsidRDefault="00A43FBC">
            <w:pPr>
              <w:pStyle w:val="TableParagraph"/>
              <w:spacing w:before="59"/>
              <w:ind w:left="36"/>
              <w:jc w:val="both"/>
              <w:rPr>
                <w:sz w:val="18"/>
              </w:rPr>
            </w:pPr>
            <w:r>
              <w:rPr>
                <w:sz w:val="18"/>
              </w:rPr>
              <w:t>property</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pacing w:val="-4"/>
                <w:sz w:val="18"/>
              </w:rPr>
              <w:t>site.</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84"/>
              <w:rPr>
                <w:rFonts w:ascii="Segoe UI"/>
                <w:sz w:val="18"/>
              </w:rPr>
            </w:pPr>
          </w:p>
          <w:p w:rsidR="007F6DF9" w:rsidRDefault="00A43FBC">
            <w:pPr>
              <w:pStyle w:val="TableParagraph"/>
              <w:spacing w:before="1"/>
              <w:ind w:left="38"/>
              <w:jc w:val="both"/>
              <w:rPr>
                <w:sz w:val="18"/>
              </w:rPr>
            </w:pPr>
            <w:r>
              <w:rPr>
                <w:spacing w:val="2"/>
                <w:sz w:val="18"/>
              </w:rPr>
              <w:t>CONTRACTOR'S</w:t>
            </w:r>
            <w:r>
              <w:rPr>
                <w:spacing w:val="27"/>
                <w:sz w:val="18"/>
              </w:rPr>
              <w:t xml:space="preserve"> </w:t>
            </w:r>
            <w:r>
              <w:rPr>
                <w:spacing w:val="2"/>
                <w:sz w:val="18"/>
              </w:rPr>
              <w:t>SUPERINTENDENCE/SITE</w:t>
            </w:r>
            <w:r>
              <w:rPr>
                <w:spacing w:val="25"/>
                <w:sz w:val="18"/>
              </w:rPr>
              <w:t xml:space="preserve"> </w:t>
            </w:r>
            <w:r>
              <w:rPr>
                <w:spacing w:val="-4"/>
                <w:sz w:val="18"/>
              </w:rPr>
              <w:t>AGENT</w:t>
            </w:r>
          </w:p>
          <w:p w:rsidR="007F6DF9" w:rsidRDefault="007F6DF9">
            <w:pPr>
              <w:pStyle w:val="TableParagraph"/>
              <w:spacing w:before="3"/>
              <w:rPr>
                <w:rFonts w:ascii="Segoe UI"/>
                <w:sz w:val="18"/>
              </w:rPr>
            </w:pPr>
          </w:p>
          <w:p w:rsidR="007F6DF9" w:rsidRDefault="00A43FBC">
            <w:pPr>
              <w:pStyle w:val="TableParagraph"/>
              <w:spacing w:before="1" w:line="254" w:lineRule="auto"/>
              <w:ind w:left="36" w:right="13"/>
              <w:jc w:val="both"/>
              <w:rPr>
                <w:sz w:val="18"/>
              </w:rPr>
            </w:pPr>
            <w:r>
              <w:rPr>
                <w:sz w:val="18"/>
              </w:rPr>
              <w:t>The Contractor shall constantly keep on the works a literate English speaking Agent or Representative, competent and experienced in the kind of work involved who shall give his</w:t>
            </w:r>
            <w:r>
              <w:rPr>
                <w:spacing w:val="40"/>
                <w:sz w:val="18"/>
              </w:rPr>
              <w:t xml:space="preserve"> </w:t>
            </w:r>
            <w:r>
              <w:rPr>
                <w:sz w:val="18"/>
              </w:rPr>
              <w:t>whole experience in the kind of work involved and shall give his whole time to the superintendence of the works. Such Agent or Representative shall receive on behalf of the Contractor all directions and instructions from the Project Manager and such directions shall be deemed to have been given to the Contractor in accordance with the Conditions of Contract.</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68"/>
          <w:pgSz w:w="12240" w:h="15840"/>
          <w:pgMar w:top="1060" w:right="1133" w:bottom="700" w:left="850" w:header="0" w:footer="506" w:gutter="0"/>
          <w:pgNumType w:start="23"/>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left="208"/>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9663"/>
        </w:trPr>
        <w:tc>
          <w:tcPr>
            <w:tcW w:w="674" w:type="dxa"/>
          </w:tcPr>
          <w:p w:rsidR="007F6DF9" w:rsidRDefault="007F6DF9">
            <w:pPr>
              <w:pStyle w:val="TableParagraph"/>
              <w:rPr>
                <w:rFonts w:ascii="Times New Roman"/>
                <w:sz w:val="18"/>
              </w:rPr>
            </w:pPr>
          </w:p>
        </w:tc>
        <w:tc>
          <w:tcPr>
            <w:tcW w:w="7767" w:type="dxa"/>
          </w:tcPr>
          <w:p w:rsidR="007F6DF9" w:rsidRDefault="00A43FBC">
            <w:pPr>
              <w:pStyle w:val="TableParagraph"/>
              <w:spacing w:line="212" w:lineRule="exact"/>
              <w:ind w:left="456"/>
              <w:jc w:val="center"/>
              <w:rPr>
                <w:sz w:val="18"/>
              </w:rPr>
            </w:pPr>
            <w:r>
              <w:rPr>
                <w:spacing w:val="-2"/>
                <w:w w:val="105"/>
                <w:sz w:val="18"/>
                <w:u w:val="single"/>
              </w:rPr>
              <w:t>COLLECTION</w:t>
            </w:r>
          </w:p>
          <w:p w:rsidR="007F6DF9" w:rsidRDefault="007F6DF9">
            <w:pPr>
              <w:pStyle w:val="TableParagraph"/>
              <w:spacing w:before="4"/>
              <w:rPr>
                <w:rFonts w:ascii="Segoe UI"/>
                <w:sz w:val="18"/>
              </w:rPr>
            </w:pPr>
          </w:p>
          <w:p w:rsidR="007F6DF9" w:rsidRDefault="00A43FBC">
            <w:pPr>
              <w:pStyle w:val="TableParagraph"/>
              <w:spacing w:line="508" w:lineRule="auto"/>
              <w:ind w:left="2498" w:right="2480" w:firstLine="52"/>
              <w:jc w:val="both"/>
              <w:rPr>
                <w:sz w:val="18"/>
              </w:rPr>
            </w:pPr>
            <w:r>
              <w:rPr>
                <w:sz w:val="18"/>
              </w:rPr>
              <w:t>Brought</w:t>
            </w:r>
            <w:r>
              <w:rPr>
                <w:spacing w:val="-1"/>
                <w:sz w:val="18"/>
              </w:rPr>
              <w:t xml:space="preserve"> </w:t>
            </w:r>
            <w:r>
              <w:rPr>
                <w:sz w:val="18"/>
              </w:rPr>
              <w:t>Forward</w:t>
            </w:r>
            <w:r>
              <w:rPr>
                <w:spacing w:val="-2"/>
                <w:sz w:val="18"/>
              </w:rPr>
              <w:t xml:space="preserve"> </w:t>
            </w:r>
            <w:r>
              <w:rPr>
                <w:sz w:val="18"/>
              </w:rPr>
              <w:t>From</w:t>
            </w:r>
            <w:r>
              <w:rPr>
                <w:spacing w:val="-1"/>
                <w:sz w:val="18"/>
              </w:rPr>
              <w:t xml:space="preserve"> </w:t>
            </w:r>
            <w:r>
              <w:rPr>
                <w:sz w:val="18"/>
              </w:rPr>
              <w:t>Page</w:t>
            </w:r>
            <w:r>
              <w:rPr>
                <w:spacing w:val="-1"/>
                <w:sz w:val="18"/>
              </w:rPr>
              <w:t xml:space="preserve"> </w:t>
            </w:r>
            <w:r>
              <w:rPr>
                <w:sz w:val="18"/>
              </w:rPr>
              <w:t>GP/1 Brought Forward From Page GP/2 Brought Forward From Page GP/3 Brought Forward From Page GP/4 Brought Forward From Page GP/5 Brought Forward From Page GP/6 Brought Forward From Page GP/7 Brought Forward From Page GP/8 Brought Forward From Page GP/9 Brought</w:t>
            </w:r>
            <w:r>
              <w:rPr>
                <w:spacing w:val="-13"/>
                <w:sz w:val="18"/>
              </w:rPr>
              <w:t xml:space="preserve"> </w:t>
            </w:r>
            <w:r>
              <w:rPr>
                <w:sz w:val="18"/>
              </w:rPr>
              <w:t>Forward</w:t>
            </w:r>
            <w:r>
              <w:rPr>
                <w:spacing w:val="-14"/>
                <w:sz w:val="18"/>
              </w:rPr>
              <w:t xml:space="preserve"> </w:t>
            </w:r>
            <w:r>
              <w:rPr>
                <w:sz w:val="18"/>
              </w:rPr>
              <w:t>From</w:t>
            </w:r>
            <w:r>
              <w:rPr>
                <w:spacing w:val="-13"/>
                <w:sz w:val="18"/>
              </w:rPr>
              <w:t xml:space="preserve"> </w:t>
            </w:r>
            <w:r>
              <w:rPr>
                <w:sz w:val="18"/>
              </w:rPr>
              <w:t>Page</w:t>
            </w:r>
            <w:r>
              <w:rPr>
                <w:spacing w:val="-13"/>
                <w:sz w:val="18"/>
              </w:rPr>
              <w:t xml:space="preserve"> </w:t>
            </w:r>
            <w:r>
              <w:rPr>
                <w:sz w:val="18"/>
              </w:rPr>
              <w:t>GP/10 Brought</w:t>
            </w:r>
            <w:r>
              <w:rPr>
                <w:spacing w:val="-13"/>
                <w:sz w:val="18"/>
              </w:rPr>
              <w:t xml:space="preserve"> </w:t>
            </w:r>
            <w:r>
              <w:rPr>
                <w:sz w:val="18"/>
              </w:rPr>
              <w:t>Forward</w:t>
            </w:r>
            <w:r>
              <w:rPr>
                <w:spacing w:val="-14"/>
                <w:sz w:val="18"/>
              </w:rPr>
              <w:t xml:space="preserve"> </w:t>
            </w:r>
            <w:r>
              <w:rPr>
                <w:sz w:val="18"/>
              </w:rPr>
              <w:t>From</w:t>
            </w:r>
            <w:r>
              <w:rPr>
                <w:spacing w:val="-13"/>
                <w:sz w:val="18"/>
              </w:rPr>
              <w:t xml:space="preserve"> </w:t>
            </w:r>
            <w:r>
              <w:rPr>
                <w:sz w:val="18"/>
              </w:rPr>
              <w:t>Page</w:t>
            </w:r>
            <w:r>
              <w:rPr>
                <w:spacing w:val="-13"/>
                <w:sz w:val="18"/>
              </w:rPr>
              <w:t xml:space="preserve"> </w:t>
            </w:r>
            <w:r>
              <w:rPr>
                <w:sz w:val="18"/>
              </w:rPr>
              <w:t>GP/11 Brought</w:t>
            </w:r>
            <w:r>
              <w:rPr>
                <w:spacing w:val="-13"/>
                <w:sz w:val="18"/>
              </w:rPr>
              <w:t xml:space="preserve"> </w:t>
            </w:r>
            <w:r>
              <w:rPr>
                <w:sz w:val="18"/>
              </w:rPr>
              <w:t>Forward</w:t>
            </w:r>
            <w:r>
              <w:rPr>
                <w:spacing w:val="-14"/>
                <w:sz w:val="18"/>
              </w:rPr>
              <w:t xml:space="preserve"> </w:t>
            </w:r>
            <w:r>
              <w:rPr>
                <w:sz w:val="18"/>
              </w:rPr>
              <w:t>From</w:t>
            </w:r>
            <w:r>
              <w:rPr>
                <w:spacing w:val="-13"/>
                <w:sz w:val="18"/>
              </w:rPr>
              <w:t xml:space="preserve"> </w:t>
            </w:r>
            <w:r>
              <w:rPr>
                <w:sz w:val="18"/>
              </w:rPr>
              <w:t>Page</w:t>
            </w:r>
            <w:r>
              <w:rPr>
                <w:spacing w:val="-13"/>
                <w:sz w:val="18"/>
              </w:rPr>
              <w:t xml:space="preserve"> </w:t>
            </w:r>
            <w:r>
              <w:rPr>
                <w:sz w:val="18"/>
              </w:rPr>
              <w:t>GP/12 Brought</w:t>
            </w:r>
            <w:r>
              <w:rPr>
                <w:spacing w:val="-6"/>
                <w:sz w:val="18"/>
              </w:rPr>
              <w:t xml:space="preserve"> </w:t>
            </w:r>
            <w:r>
              <w:rPr>
                <w:sz w:val="18"/>
              </w:rPr>
              <w:t>Forward</w:t>
            </w:r>
            <w:r>
              <w:rPr>
                <w:spacing w:val="-6"/>
                <w:sz w:val="18"/>
              </w:rPr>
              <w:t xml:space="preserve"> </w:t>
            </w:r>
            <w:r>
              <w:rPr>
                <w:sz w:val="18"/>
              </w:rPr>
              <w:t>From</w:t>
            </w:r>
            <w:r>
              <w:rPr>
                <w:spacing w:val="-6"/>
                <w:sz w:val="18"/>
              </w:rPr>
              <w:t xml:space="preserve"> </w:t>
            </w:r>
            <w:r>
              <w:rPr>
                <w:sz w:val="18"/>
              </w:rPr>
              <w:t>Page</w:t>
            </w:r>
            <w:r>
              <w:rPr>
                <w:spacing w:val="-5"/>
                <w:sz w:val="18"/>
              </w:rPr>
              <w:t xml:space="preserve"> </w:t>
            </w:r>
            <w:r>
              <w:rPr>
                <w:spacing w:val="-2"/>
                <w:sz w:val="18"/>
              </w:rPr>
              <w:t>GP/13</w:t>
            </w:r>
          </w:p>
        </w:tc>
        <w:tc>
          <w:tcPr>
            <w:tcW w:w="1593" w:type="dxa"/>
          </w:tcPr>
          <w:p w:rsidR="007F6DF9" w:rsidRDefault="007F6DF9">
            <w:pPr>
              <w:pStyle w:val="TableParagraph"/>
              <w:rPr>
                <w:rFonts w:ascii="Times New Roman"/>
                <w:sz w:val="18"/>
              </w:rPr>
            </w:pPr>
          </w:p>
        </w:tc>
      </w:tr>
      <w:tr w:rsidR="007F6DF9">
        <w:trPr>
          <w:trHeight w:val="212"/>
        </w:trPr>
        <w:tc>
          <w:tcPr>
            <w:tcW w:w="674" w:type="dxa"/>
            <w:tcBorders>
              <w:bottom w:val="double" w:sz="6" w:space="0" w:color="000000"/>
            </w:tcBorders>
          </w:tcPr>
          <w:p w:rsidR="007F6DF9" w:rsidRDefault="007F6DF9">
            <w:pPr>
              <w:pStyle w:val="TableParagraph"/>
              <w:rPr>
                <w:rFonts w:ascii="Times New Roman"/>
                <w:sz w:val="14"/>
              </w:rPr>
            </w:pPr>
          </w:p>
        </w:tc>
        <w:tc>
          <w:tcPr>
            <w:tcW w:w="7767" w:type="dxa"/>
            <w:tcBorders>
              <w:bottom w:val="double" w:sz="6" w:space="0" w:color="000000"/>
            </w:tcBorders>
          </w:tcPr>
          <w:p w:rsidR="007F6DF9" w:rsidRDefault="00A43FBC">
            <w:pPr>
              <w:pStyle w:val="TableParagraph"/>
              <w:spacing w:line="192" w:lineRule="exact"/>
              <w:ind w:left="38"/>
              <w:rPr>
                <w:sz w:val="18"/>
              </w:rPr>
            </w:pPr>
            <w:r>
              <w:rPr>
                <w:w w:val="105"/>
                <w:sz w:val="18"/>
              </w:rPr>
              <w:t>TOTAL</w:t>
            </w:r>
            <w:r>
              <w:rPr>
                <w:spacing w:val="10"/>
                <w:w w:val="105"/>
                <w:sz w:val="18"/>
              </w:rPr>
              <w:t xml:space="preserve"> </w:t>
            </w:r>
            <w:r>
              <w:rPr>
                <w:w w:val="105"/>
                <w:sz w:val="18"/>
              </w:rPr>
              <w:t>CARRIED</w:t>
            </w:r>
            <w:r>
              <w:rPr>
                <w:spacing w:val="10"/>
                <w:w w:val="105"/>
                <w:sz w:val="18"/>
              </w:rPr>
              <w:t xml:space="preserve"> </w:t>
            </w:r>
            <w:r>
              <w:rPr>
                <w:w w:val="105"/>
                <w:sz w:val="18"/>
              </w:rPr>
              <w:t>TO</w:t>
            </w:r>
            <w:r>
              <w:rPr>
                <w:spacing w:val="11"/>
                <w:w w:val="105"/>
                <w:sz w:val="18"/>
              </w:rPr>
              <w:t xml:space="preserve"> </w:t>
            </w:r>
            <w:r>
              <w:rPr>
                <w:w w:val="105"/>
                <w:sz w:val="18"/>
              </w:rPr>
              <w:t>GRAND</w:t>
            </w:r>
            <w:r>
              <w:rPr>
                <w:spacing w:val="10"/>
                <w:w w:val="105"/>
                <w:sz w:val="18"/>
              </w:rPr>
              <w:t xml:space="preserve"> </w:t>
            </w:r>
            <w:r>
              <w:rPr>
                <w:spacing w:val="-2"/>
                <w:w w:val="105"/>
                <w:sz w:val="18"/>
              </w:rPr>
              <w:t>SUMMARY</w:t>
            </w:r>
          </w:p>
        </w:tc>
        <w:tc>
          <w:tcPr>
            <w:tcW w:w="1593" w:type="dxa"/>
            <w:tcBorders>
              <w:bottom w:val="double" w:sz="6" w:space="0" w:color="000000"/>
            </w:tcBorders>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69"/>
          <w:pgSz w:w="12240" w:h="15840"/>
          <w:pgMar w:top="1060" w:right="1133" w:bottom="700" w:left="850" w:header="0" w:footer="0" w:gutter="0"/>
          <w:cols w:space="720"/>
        </w:sectPr>
      </w:pPr>
    </w:p>
    <w:p w:rsidR="007F6DF9" w:rsidRDefault="00A43FBC">
      <w:pPr>
        <w:spacing w:before="72"/>
        <w:ind w:left="390" w:right="6"/>
        <w:jc w:val="center"/>
        <w:rPr>
          <w:rFonts w:ascii="Arial MT"/>
          <w:sz w:val="14"/>
        </w:rPr>
      </w:pPr>
      <w:bookmarkStart w:id="77" w:name="Builders"/>
      <w:bookmarkEnd w:id="77"/>
      <w:r>
        <w:rPr>
          <w:rFonts w:ascii="Arial MT"/>
          <w:sz w:val="14"/>
        </w:rPr>
        <w:lastRenderedPageBreak/>
        <w:t>Proposed</w:t>
      </w:r>
      <w:r>
        <w:rPr>
          <w:rFonts w:ascii="Arial MT"/>
          <w:spacing w:val="2"/>
          <w:sz w:val="14"/>
        </w:rPr>
        <w:t xml:space="preserve"> </w:t>
      </w:r>
      <w:r>
        <w:rPr>
          <w:rFonts w:ascii="Arial MT"/>
          <w:sz w:val="14"/>
        </w:rPr>
        <w:t>Cold</w:t>
      </w:r>
      <w:r>
        <w:rPr>
          <w:rFonts w:ascii="Arial MT"/>
          <w:spacing w:val="2"/>
          <w:sz w:val="14"/>
        </w:rPr>
        <w:t xml:space="preserve"> </w:t>
      </w:r>
      <w:r>
        <w:rPr>
          <w:rFonts w:ascii="Arial MT"/>
          <w:sz w:val="14"/>
        </w:rPr>
        <w:t>Room</w:t>
      </w:r>
      <w:r>
        <w:rPr>
          <w:rFonts w:ascii="Arial MT"/>
          <w:spacing w:val="2"/>
          <w:sz w:val="14"/>
        </w:rPr>
        <w:t xml:space="preserve"> </w:t>
      </w:r>
      <w:r>
        <w:rPr>
          <w:rFonts w:ascii="Arial MT"/>
          <w:sz w:val="14"/>
        </w:rPr>
        <w:t>at</w:t>
      </w:r>
      <w:r>
        <w:rPr>
          <w:rFonts w:ascii="Arial MT"/>
          <w:spacing w:val="1"/>
          <w:sz w:val="14"/>
        </w:rPr>
        <w:t xml:space="preserve"> </w:t>
      </w:r>
      <w:r>
        <w:rPr>
          <w:rFonts w:ascii="Arial MT"/>
          <w:spacing w:val="-2"/>
          <w:sz w:val="14"/>
        </w:rPr>
        <w:t>JOOTRH</w:t>
      </w:r>
    </w:p>
    <w:p w:rsidR="007F6DF9" w:rsidRDefault="007F6DF9">
      <w:pPr>
        <w:pStyle w:val="BodyText"/>
        <w:rPr>
          <w:rFonts w:ascii="Arial MT"/>
          <w:sz w:val="20"/>
        </w:rPr>
      </w:pPr>
    </w:p>
    <w:p w:rsidR="007F6DF9" w:rsidRDefault="007F6DF9">
      <w:pPr>
        <w:pStyle w:val="BodyText"/>
        <w:spacing w:before="4"/>
        <w:rPr>
          <w:rFonts w:ascii="Arial MT"/>
          <w:sz w:val="20"/>
        </w:rPr>
      </w:pPr>
    </w:p>
    <w:tbl>
      <w:tblPr>
        <w:tblW w:w="0" w:type="auto"/>
        <w:tblInd w:w="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9"/>
        <w:gridCol w:w="5188"/>
        <w:gridCol w:w="695"/>
        <w:gridCol w:w="572"/>
        <w:gridCol w:w="896"/>
        <w:gridCol w:w="1189"/>
      </w:tblGrid>
      <w:tr w:rsidR="007F6DF9">
        <w:trPr>
          <w:trHeight w:val="307"/>
        </w:trPr>
        <w:tc>
          <w:tcPr>
            <w:tcW w:w="449" w:type="dxa"/>
            <w:tcBorders>
              <w:left w:val="single" w:sz="6" w:space="0" w:color="000000"/>
              <w:bottom w:val="single" w:sz="6" w:space="0" w:color="000000"/>
              <w:right w:val="single" w:sz="6" w:space="0" w:color="000000"/>
            </w:tcBorders>
          </w:tcPr>
          <w:p w:rsidR="007F6DF9" w:rsidRDefault="00A43FBC">
            <w:pPr>
              <w:pStyle w:val="TableParagraph"/>
              <w:spacing w:line="191" w:lineRule="exact"/>
              <w:ind w:left="26" w:right="-15"/>
              <w:jc w:val="center"/>
              <w:rPr>
                <w:rFonts w:ascii="Times New Roman"/>
                <w:sz w:val="17"/>
              </w:rPr>
            </w:pPr>
            <w:r>
              <w:rPr>
                <w:rFonts w:ascii="Times New Roman"/>
                <w:spacing w:val="-4"/>
                <w:sz w:val="17"/>
              </w:rPr>
              <w:t>ITEM</w:t>
            </w:r>
          </w:p>
        </w:tc>
        <w:tc>
          <w:tcPr>
            <w:tcW w:w="5188" w:type="dxa"/>
            <w:tcBorders>
              <w:left w:val="single" w:sz="6" w:space="0" w:color="000000"/>
              <w:bottom w:val="single" w:sz="6" w:space="0" w:color="000000"/>
              <w:right w:val="single" w:sz="6" w:space="0" w:color="000000"/>
            </w:tcBorders>
          </w:tcPr>
          <w:p w:rsidR="007F6DF9" w:rsidRDefault="00A43FBC">
            <w:pPr>
              <w:pStyle w:val="TableParagraph"/>
              <w:spacing w:line="189" w:lineRule="exact"/>
              <w:ind w:left="30"/>
              <w:rPr>
                <w:rFonts w:ascii="Times New Roman"/>
                <w:sz w:val="17"/>
              </w:rPr>
            </w:pPr>
            <w:r>
              <w:rPr>
                <w:rFonts w:ascii="Times New Roman"/>
                <w:spacing w:val="-2"/>
                <w:sz w:val="17"/>
              </w:rPr>
              <w:t>DECSRIPTION</w:t>
            </w:r>
          </w:p>
        </w:tc>
        <w:tc>
          <w:tcPr>
            <w:tcW w:w="695" w:type="dxa"/>
            <w:tcBorders>
              <w:left w:val="single" w:sz="6" w:space="0" w:color="000000"/>
              <w:bottom w:val="single" w:sz="6" w:space="0" w:color="000000"/>
              <w:right w:val="single" w:sz="6" w:space="0" w:color="000000"/>
            </w:tcBorders>
          </w:tcPr>
          <w:p w:rsidR="007F6DF9" w:rsidRDefault="00A43FBC">
            <w:pPr>
              <w:pStyle w:val="TableParagraph"/>
              <w:spacing w:before="50"/>
              <w:ind w:left="31"/>
              <w:jc w:val="center"/>
              <w:rPr>
                <w:rFonts w:ascii="Times New Roman"/>
                <w:sz w:val="17"/>
              </w:rPr>
            </w:pPr>
            <w:r>
              <w:rPr>
                <w:rFonts w:ascii="Times New Roman"/>
                <w:spacing w:val="-5"/>
                <w:sz w:val="17"/>
              </w:rPr>
              <w:t>QTY</w:t>
            </w:r>
          </w:p>
        </w:tc>
        <w:tc>
          <w:tcPr>
            <w:tcW w:w="572" w:type="dxa"/>
            <w:tcBorders>
              <w:left w:val="single" w:sz="6" w:space="0" w:color="000000"/>
              <w:bottom w:val="single" w:sz="6" w:space="0" w:color="000000"/>
              <w:right w:val="single" w:sz="6" w:space="0" w:color="000000"/>
            </w:tcBorders>
          </w:tcPr>
          <w:p w:rsidR="007F6DF9" w:rsidRDefault="00A43FBC">
            <w:pPr>
              <w:pStyle w:val="TableParagraph"/>
              <w:spacing w:before="50"/>
              <w:ind w:left="30"/>
              <w:jc w:val="center"/>
              <w:rPr>
                <w:rFonts w:ascii="Times New Roman"/>
                <w:sz w:val="17"/>
              </w:rPr>
            </w:pPr>
            <w:r>
              <w:rPr>
                <w:rFonts w:ascii="Times New Roman"/>
                <w:spacing w:val="-4"/>
                <w:sz w:val="17"/>
              </w:rPr>
              <w:t>UNIT</w:t>
            </w:r>
          </w:p>
        </w:tc>
        <w:tc>
          <w:tcPr>
            <w:tcW w:w="896" w:type="dxa"/>
            <w:tcBorders>
              <w:left w:val="single" w:sz="6" w:space="0" w:color="000000"/>
              <w:bottom w:val="single" w:sz="6" w:space="0" w:color="000000"/>
              <w:right w:val="single" w:sz="6" w:space="0" w:color="000000"/>
            </w:tcBorders>
          </w:tcPr>
          <w:p w:rsidR="007F6DF9" w:rsidRDefault="00A43FBC">
            <w:pPr>
              <w:pStyle w:val="TableParagraph"/>
              <w:spacing w:before="50"/>
              <w:ind w:left="232"/>
              <w:rPr>
                <w:rFonts w:ascii="Times New Roman"/>
                <w:sz w:val="17"/>
              </w:rPr>
            </w:pPr>
            <w:r>
              <w:rPr>
                <w:rFonts w:ascii="Times New Roman"/>
                <w:spacing w:val="-4"/>
                <w:sz w:val="17"/>
              </w:rPr>
              <w:t>RATE</w:t>
            </w:r>
          </w:p>
        </w:tc>
        <w:tc>
          <w:tcPr>
            <w:tcW w:w="1189" w:type="dxa"/>
            <w:tcBorders>
              <w:left w:val="single" w:sz="6" w:space="0" w:color="000000"/>
              <w:bottom w:val="single" w:sz="6" w:space="0" w:color="000000"/>
              <w:right w:val="single" w:sz="6" w:space="0" w:color="000000"/>
            </w:tcBorders>
          </w:tcPr>
          <w:p w:rsidR="007F6DF9" w:rsidRDefault="00A43FBC">
            <w:pPr>
              <w:pStyle w:val="TableParagraph"/>
              <w:spacing w:line="191" w:lineRule="exact"/>
              <w:ind w:left="226"/>
              <w:rPr>
                <w:rFonts w:ascii="Times New Roman"/>
                <w:sz w:val="17"/>
              </w:rPr>
            </w:pPr>
            <w:r>
              <w:rPr>
                <w:rFonts w:ascii="Times New Roman"/>
                <w:spacing w:val="-2"/>
                <w:sz w:val="17"/>
              </w:rPr>
              <w:t>AMOUNT</w:t>
            </w:r>
          </w:p>
        </w:tc>
      </w:tr>
      <w:tr w:rsidR="007F6DF9">
        <w:trPr>
          <w:trHeight w:val="1377"/>
        </w:trPr>
        <w:tc>
          <w:tcPr>
            <w:tcW w:w="449" w:type="dxa"/>
            <w:tcBorders>
              <w:top w:val="single" w:sz="6" w:space="0" w:color="000000"/>
              <w:left w:val="single" w:sz="6" w:space="0" w:color="000000"/>
              <w:bottom w:val="nil"/>
              <w:right w:val="single" w:sz="6" w:space="0" w:color="000000"/>
            </w:tcBorders>
          </w:tcPr>
          <w:p w:rsidR="007F6DF9" w:rsidRDefault="007F6DF9">
            <w:pPr>
              <w:pStyle w:val="TableParagraph"/>
              <w:rPr>
                <w:rFonts w:ascii="Times New Roman"/>
                <w:sz w:val="16"/>
              </w:rPr>
            </w:pPr>
          </w:p>
        </w:tc>
        <w:tc>
          <w:tcPr>
            <w:tcW w:w="5188" w:type="dxa"/>
            <w:tcBorders>
              <w:top w:val="single" w:sz="6" w:space="0" w:color="000000"/>
              <w:left w:val="single" w:sz="6" w:space="0" w:color="000000"/>
              <w:bottom w:val="nil"/>
              <w:right w:val="single" w:sz="6" w:space="0" w:color="000000"/>
            </w:tcBorders>
          </w:tcPr>
          <w:p w:rsidR="007F6DF9" w:rsidRDefault="00A43FBC">
            <w:pPr>
              <w:pStyle w:val="TableParagraph"/>
              <w:spacing w:before="1"/>
              <w:ind w:left="30"/>
              <w:rPr>
                <w:rFonts w:ascii="Times New Roman"/>
                <w:sz w:val="17"/>
              </w:rPr>
            </w:pPr>
            <w:r>
              <w:rPr>
                <w:rFonts w:ascii="Times New Roman"/>
                <w:sz w:val="17"/>
                <w:u w:val="single"/>
              </w:rPr>
              <w:t>BUILDER'S</w:t>
            </w:r>
            <w:r>
              <w:rPr>
                <w:rFonts w:ascii="Times New Roman"/>
                <w:spacing w:val="-7"/>
                <w:sz w:val="17"/>
                <w:u w:val="single"/>
              </w:rPr>
              <w:t xml:space="preserve"> </w:t>
            </w:r>
            <w:r>
              <w:rPr>
                <w:rFonts w:ascii="Times New Roman"/>
                <w:spacing w:val="-2"/>
                <w:sz w:val="17"/>
                <w:u w:val="single"/>
              </w:rPr>
              <w:t>WORKS</w:t>
            </w:r>
          </w:p>
          <w:p w:rsidR="007F6DF9" w:rsidRDefault="007F6DF9">
            <w:pPr>
              <w:pStyle w:val="TableParagraph"/>
              <w:spacing w:before="47"/>
              <w:rPr>
                <w:rFonts w:ascii="Arial MT"/>
                <w:sz w:val="17"/>
              </w:rPr>
            </w:pPr>
          </w:p>
          <w:p w:rsidR="007F6DF9" w:rsidRDefault="00A43FBC">
            <w:pPr>
              <w:pStyle w:val="TableParagraph"/>
              <w:ind w:left="30"/>
              <w:rPr>
                <w:rFonts w:ascii="Times New Roman"/>
                <w:b/>
                <w:sz w:val="17"/>
              </w:rPr>
            </w:pPr>
            <w:r>
              <w:rPr>
                <w:rFonts w:ascii="Times New Roman"/>
                <w:b/>
                <w:sz w:val="17"/>
                <w:u w:val="single"/>
              </w:rPr>
              <w:t>R.C</w:t>
            </w:r>
            <w:r>
              <w:rPr>
                <w:rFonts w:ascii="Times New Roman"/>
                <w:b/>
                <w:spacing w:val="-7"/>
                <w:sz w:val="17"/>
                <w:u w:val="single"/>
              </w:rPr>
              <w:t xml:space="preserve"> </w:t>
            </w:r>
            <w:r>
              <w:rPr>
                <w:rFonts w:ascii="Times New Roman"/>
                <w:b/>
                <w:sz w:val="17"/>
                <w:u w:val="single"/>
              </w:rPr>
              <w:t>SUPERSTRUCTURE</w:t>
            </w:r>
            <w:r>
              <w:rPr>
                <w:rFonts w:ascii="Times New Roman"/>
                <w:b/>
                <w:spacing w:val="-6"/>
                <w:sz w:val="17"/>
                <w:u w:val="single"/>
              </w:rPr>
              <w:t xml:space="preserve"> </w:t>
            </w:r>
            <w:r>
              <w:rPr>
                <w:rFonts w:ascii="Times New Roman"/>
                <w:b/>
                <w:sz w:val="17"/>
                <w:u w:val="single"/>
              </w:rPr>
              <w:t>&amp;</w:t>
            </w:r>
            <w:r>
              <w:rPr>
                <w:rFonts w:ascii="Times New Roman"/>
                <w:b/>
                <w:spacing w:val="-5"/>
                <w:sz w:val="17"/>
                <w:u w:val="single"/>
              </w:rPr>
              <w:t xml:space="preserve"> </w:t>
            </w:r>
            <w:r>
              <w:rPr>
                <w:rFonts w:ascii="Times New Roman"/>
                <w:b/>
                <w:spacing w:val="-2"/>
                <w:sz w:val="17"/>
                <w:u w:val="single"/>
              </w:rPr>
              <w:t>WALLING</w:t>
            </w:r>
          </w:p>
          <w:p w:rsidR="007F6DF9" w:rsidRDefault="007F6DF9">
            <w:pPr>
              <w:pStyle w:val="TableParagraph"/>
              <w:spacing w:before="36"/>
              <w:rPr>
                <w:rFonts w:ascii="Arial MT"/>
                <w:sz w:val="17"/>
              </w:rPr>
            </w:pPr>
          </w:p>
          <w:p w:rsidR="007F6DF9" w:rsidRDefault="00A43FBC">
            <w:pPr>
              <w:pStyle w:val="TableParagraph"/>
              <w:spacing w:line="261" w:lineRule="auto"/>
              <w:ind w:left="30" w:right="689"/>
              <w:rPr>
                <w:rFonts w:ascii="Times New Roman"/>
                <w:sz w:val="17"/>
              </w:rPr>
            </w:pPr>
            <w:proofErr w:type="spellStart"/>
            <w:r>
              <w:rPr>
                <w:rFonts w:ascii="Times New Roman"/>
                <w:sz w:val="17"/>
                <w:u w:val="single"/>
              </w:rPr>
              <w:t>Insitu</w:t>
            </w:r>
            <w:proofErr w:type="spellEnd"/>
            <w:r>
              <w:rPr>
                <w:rFonts w:ascii="Times New Roman"/>
                <w:spacing w:val="-5"/>
                <w:sz w:val="17"/>
                <w:u w:val="single"/>
              </w:rPr>
              <w:t xml:space="preserve"> </w:t>
            </w:r>
            <w:r>
              <w:rPr>
                <w:rFonts w:ascii="Times New Roman"/>
                <w:sz w:val="17"/>
                <w:u w:val="single"/>
              </w:rPr>
              <w:t>concrete</w:t>
            </w:r>
            <w:r>
              <w:rPr>
                <w:rFonts w:ascii="Times New Roman"/>
                <w:spacing w:val="-5"/>
                <w:sz w:val="17"/>
                <w:u w:val="single"/>
              </w:rPr>
              <w:t xml:space="preserve"> </w:t>
            </w:r>
            <w:r>
              <w:rPr>
                <w:rFonts w:ascii="Times New Roman"/>
                <w:sz w:val="17"/>
                <w:u w:val="single"/>
              </w:rPr>
              <w:t>mix(1:2:4)</w:t>
            </w:r>
            <w:r>
              <w:rPr>
                <w:rFonts w:ascii="Times New Roman"/>
                <w:spacing w:val="-3"/>
                <w:sz w:val="17"/>
                <w:u w:val="single"/>
              </w:rPr>
              <w:t xml:space="preserve"> </w:t>
            </w:r>
            <w:r>
              <w:rPr>
                <w:rFonts w:ascii="Times New Roman"/>
                <w:sz w:val="17"/>
                <w:u w:val="single"/>
              </w:rPr>
              <w:t>grade</w:t>
            </w:r>
            <w:r>
              <w:rPr>
                <w:rFonts w:ascii="Times New Roman"/>
                <w:spacing w:val="-5"/>
                <w:sz w:val="17"/>
                <w:u w:val="single"/>
              </w:rPr>
              <w:t xml:space="preserve"> </w:t>
            </w:r>
            <w:r>
              <w:rPr>
                <w:rFonts w:ascii="Times New Roman"/>
                <w:sz w:val="17"/>
                <w:u w:val="single"/>
              </w:rPr>
              <w:t>20</w:t>
            </w:r>
            <w:r>
              <w:rPr>
                <w:rFonts w:ascii="Times New Roman"/>
                <w:spacing w:val="-3"/>
                <w:sz w:val="17"/>
                <w:u w:val="single"/>
              </w:rPr>
              <w:t xml:space="preserve"> </w:t>
            </w:r>
            <w:r>
              <w:rPr>
                <w:rFonts w:ascii="Times New Roman"/>
                <w:sz w:val="17"/>
                <w:u w:val="single"/>
              </w:rPr>
              <w:t>(20mm</w:t>
            </w:r>
            <w:r>
              <w:rPr>
                <w:rFonts w:ascii="Times New Roman"/>
                <w:spacing w:val="-7"/>
                <w:sz w:val="17"/>
                <w:u w:val="single"/>
              </w:rPr>
              <w:t xml:space="preserve"> </w:t>
            </w:r>
            <w:r>
              <w:rPr>
                <w:rFonts w:ascii="Times New Roman"/>
                <w:sz w:val="17"/>
                <w:u w:val="single"/>
              </w:rPr>
              <w:t>aggregate):</w:t>
            </w:r>
            <w:r>
              <w:rPr>
                <w:rFonts w:ascii="Times New Roman"/>
                <w:spacing w:val="-3"/>
                <w:sz w:val="17"/>
                <w:u w:val="single"/>
              </w:rPr>
              <w:t xml:space="preserve"> </w:t>
            </w:r>
            <w:r>
              <w:rPr>
                <w:rFonts w:ascii="Times New Roman"/>
                <w:sz w:val="17"/>
                <w:u w:val="single"/>
              </w:rPr>
              <w:t xml:space="preserve">vibrated: </w:t>
            </w:r>
            <w:r>
              <w:rPr>
                <w:rFonts w:ascii="Times New Roman"/>
                <w:sz w:val="17"/>
              </w:rPr>
              <w:t xml:space="preserve"> </w:t>
            </w:r>
            <w:r>
              <w:rPr>
                <w:rFonts w:ascii="Times New Roman"/>
                <w:sz w:val="17"/>
                <w:u w:val="single"/>
              </w:rPr>
              <w:t>reinforced in:-</w:t>
            </w:r>
          </w:p>
        </w:tc>
        <w:tc>
          <w:tcPr>
            <w:tcW w:w="695" w:type="dxa"/>
            <w:tcBorders>
              <w:top w:val="single" w:sz="6" w:space="0" w:color="000000"/>
              <w:left w:val="single" w:sz="6" w:space="0" w:color="000000"/>
              <w:bottom w:val="nil"/>
              <w:right w:val="single" w:sz="6" w:space="0" w:color="000000"/>
            </w:tcBorders>
          </w:tcPr>
          <w:p w:rsidR="007F6DF9" w:rsidRDefault="007F6DF9">
            <w:pPr>
              <w:pStyle w:val="TableParagraph"/>
              <w:rPr>
                <w:rFonts w:ascii="Times New Roman"/>
                <w:sz w:val="16"/>
              </w:rPr>
            </w:pPr>
          </w:p>
        </w:tc>
        <w:tc>
          <w:tcPr>
            <w:tcW w:w="572" w:type="dxa"/>
            <w:tcBorders>
              <w:top w:val="single" w:sz="6" w:space="0" w:color="000000"/>
              <w:left w:val="single" w:sz="6" w:space="0" w:color="000000"/>
              <w:bottom w:val="nil"/>
              <w:right w:val="single" w:sz="6" w:space="0" w:color="000000"/>
            </w:tcBorders>
          </w:tcPr>
          <w:p w:rsidR="007F6DF9" w:rsidRDefault="007F6DF9">
            <w:pPr>
              <w:pStyle w:val="TableParagraph"/>
              <w:rPr>
                <w:rFonts w:ascii="Times New Roman"/>
                <w:sz w:val="16"/>
              </w:rPr>
            </w:pPr>
          </w:p>
        </w:tc>
        <w:tc>
          <w:tcPr>
            <w:tcW w:w="896" w:type="dxa"/>
            <w:vMerge w:val="restart"/>
            <w:tcBorders>
              <w:top w:val="single" w:sz="6" w:space="0" w:color="000000"/>
              <w:left w:val="single" w:sz="6" w:space="0" w:color="000000"/>
              <w:right w:val="single" w:sz="6" w:space="0" w:color="000000"/>
            </w:tcBorders>
          </w:tcPr>
          <w:p w:rsidR="007F6DF9" w:rsidRDefault="007F6DF9">
            <w:pPr>
              <w:pStyle w:val="TableParagraph"/>
              <w:rPr>
                <w:rFonts w:ascii="Times New Roman"/>
                <w:sz w:val="16"/>
              </w:rPr>
            </w:pPr>
          </w:p>
        </w:tc>
        <w:tc>
          <w:tcPr>
            <w:tcW w:w="1189" w:type="dxa"/>
            <w:vMerge w:val="restart"/>
            <w:tcBorders>
              <w:top w:val="single" w:sz="6" w:space="0" w:color="000000"/>
              <w:left w:val="single" w:sz="6" w:space="0" w:color="000000"/>
              <w:right w:val="single" w:sz="6" w:space="0" w:color="000000"/>
            </w:tcBorders>
          </w:tcPr>
          <w:p w:rsidR="007F6DF9" w:rsidRDefault="007F6DF9">
            <w:pPr>
              <w:pStyle w:val="TableParagraph"/>
              <w:rPr>
                <w:rFonts w:ascii="Times New Roman"/>
                <w:sz w:val="16"/>
              </w:rPr>
            </w:pPr>
          </w:p>
        </w:tc>
      </w:tr>
      <w:tr w:rsidR="007F6DF9">
        <w:trPr>
          <w:trHeight w:val="409"/>
        </w:trPr>
        <w:tc>
          <w:tcPr>
            <w:tcW w:w="449" w:type="dxa"/>
            <w:tcBorders>
              <w:top w:val="nil"/>
              <w:left w:val="single" w:sz="6" w:space="0" w:color="000000"/>
              <w:bottom w:val="nil"/>
              <w:right w:val="single" w:sz="6" w:space="0" w:color="000000"/>
            </w:tcBorders>
          </w:tcPr>
          <w:p w:rsidR="007F6DF9" w:rsidRDefault="00A43FBC">
            <w:pPr>
              <w:pStyle w:val="TableParagraph"/>
              <w:spacing w:before="108"/>
              <w:ind w:left="34"/>
              <w:jc w:val="center"/>
              <w:rPr>
                <w:rFonts w:ascii="Times New Roman"/>
                <w:sz w:val="17"/>
              </w:rPr>
            </w:pPr>
            <w:r>
              <w:rPr>
                <w:rFonts w:ascii="Times New Roman"/>
                <w:spacing w:val="-10"/>
                <w:sz w:val="17"/>
              </w:rPr>
              <w:t>A</w:t>
            </w:r>
          </w:p>
        </w:tc>
        <w:tc>
          <w:tcPr>
            <w:tcW w:w="5188" w:type="dxa"/>
            <w:tcBorders>
              <w:top w:val="nil"/>
              <w:left w:val="single" w:sz="6" w:space="0" w:color="000000"/>
              <w:bottom w:val="nil"/>
              <w:right w:val="single" w:sz="6" w:space="0" w:color="000000"/>
            </w:tcBorders>
          </w:tcPr>
          <w:p w:rsidR="007F6DF9" w:rsidRDefault="00A43FBC">
            <w:pPr>
              <w:pStyle w:val="TableParagraph"/>
              <w:spacing w:before="106"/>
              <w:ind w:left="30"/>
              <w:rPr>
                <w:rFonts w:ascii="Times New Roman"/>
                <w:sz w:val="17"/>
              </w:rPr>
            </w:pPr>
            <w:r>
              <w:rPr>
                <w:rFonts w:ascii="Times New Roman"/>
                <w:spacing w:val="-2"/>
                <w:sz w:val="17"/>
              </w:rPr>
              <w:t>Beams</w:t>
            </w:r>
          </w:p>
        </w:tc>
        <w:tc>
          <w:tcPr>
            <w:tcW w:w="695" w:type="dxa"/>
            <w:tcBorders>
              <w:top w:val="nil"/>
              <w:left w:val="single" w:sz="6" w:space="0" w:color="000000"/>
              <w:bottom w:val="nil"/>
              <w:right w:val="single" w:sz="6" w:space="0" w:color="000000"/>
            </w:tcBorders>
          </w:tcPr>
          <w:p w:rsidR="007F6DF9" w:rsidRDefault="00A43FBC">
            <w:pPr>
              <w:pStyle w:val="TableParagraph"/>
              <w:spacing w:before="106"/>
              <w:ind w:left="31" w:right="3"/>
              <w:jc w:val="center"/>
              <w:rPr>
                <w:rFonts w:ascii="Times New Roman"/>
                <w:sz w:val="17"/>
              </w:rPr>
            </w:pPr>
            <w:r>
              <w:rPr>
                <w:rFonts w:ascii="Times New Roman"/>
                <w:spacing w:val="-5"/>
                <w:sz w:val="17"/>
              </w:rPr>
              <w:t>10</w:t>
            </w:r>
          </w:p>
        </w:tc>
        <w:tc>
          <w:tcPr>
            <w:tcW w:w="572" w:type="dxa"/>
            <w:tcBorders>
              <w:top w:val="nil"/>
              <w:left w:val="single" w:sz="6" w:space="0" w:color="000000"/>
              <w:bottom w:val="nil"/>
              <w:right w:val="single" w:sz="6" w:space="0" w:color="000000"/>
            </w:tcBorders>
          </w:tcPr>
          <w:p w:rsidR="007F6DF9" w:rsidRDefault="00A43FBC">
            <w:pPr>
              <w:pStyle w:val="TableParagraph"/>
              <w:spacing w:before="106"/>
              <w:ind w:left="30" w:right="2"/>
              <w:jc w:val="center"/>
              <w:rPr>
                <w:rFonts w:ascii="Times New Roman"/>
                <w:sz w:val="17"/>
              </w:rPr>
            </w:pPr>
            <w:r>
              <w:rPr>
                <w:rFonts w:ascii="Times New Roman"/>
                <w:spacing w:val="-5"/>
                <w:sz w:val="17"/>
              </w:rPr>
              <w:t>CM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402"/>
        </w:trPr>
        <w:tc>
          <w:tcPr>
            <w:tcW w:w="449" w:type="dxa"/>
            <w:tcBorders>
              <w:top w:val="nil"/>
              <w:left w:val="single" w:sz="6" w:space="0" w:color="000000"/>
              <w:bottom w:val="nil"/>
              <w:right w:val="single" w:sz="6" w:space="0" w:color="000000"/>
            </w:tcBorders>
          </w:tcPr>
          <w:p w:rsidR="007F6DF9" w:rsidRDefault="00A43FBC">
            <w:pPr>
              <w:pStyle w:val="TableParagraph"/>
              <w:spacing w:before="101"/>
              <w:ind w:left="34" w:right="5"/>
              <w:jc w:val="center"/>
              <w:rPr>
                <w:rFonts w:ascii="Times New Roman"/>
                <w:sz w:val="17"/>
              </w:rPr>
            </w:pPr>
            <w:r>
              <w:rPr>
                <w:rFonts w:ascii="Times New Roman"/>
                <w:spacing w:val="-10"/>
                <w:sz w:val="17"/>
              </w:rPr>
              <w:t>B</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rPr>
                <w:rFonts w:ascii="Times New Roman"/>
                <w:sz w:val="17"/>
              </w:rPr>
            </w:pPr>
            <w:r>
              <w:rPr>
                <w:rFonts w:ascii="Times New Roman"/>
                <w:sz w:val="17"/>
              </w:rPr>
              <w:t>Columns</w:t>
            </w:r>
            <w:r>
              <w:rPr>
                <w:rFonts w:ascii="Times New Roman"/>
                <w:spacing w:val="-7"/>
                <w:sz w:val="17"/>
              </w:rPr>
              <w:t xml:space="preserve"> </w:t>
            </w:r>
            <w:r>
              <w:rPr>
                <w:rFonts w:ascii="Times New Roman"/>
                <w:sz w:val="17"/>
              </w:rPr>
              <w:t>and</w:t>
            </w:r>
            <w:r>
              <w:rPr>
                <w:rFonts w:ascii="Times New Roman"/>
                <w:spacing w:val="-6"/>
                <w:sz w:val="17"/>
              </w:rPr>
              <w:t xml:space="preserve"> </w:t>
            </w:r>
            <w:r>
              <w:rPr>
                <w:rFonts w:ascii="Times New Roman"/>
                <w:spacing w:val="-2"/>
                <w:sz w:val="17"/>
              </w:rPr>
              <w:t>bases</w:t>
            </w:r>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4"/>
              <w:jc w:val="center"/>
              <w:rPr>
                <w:rFonts w:ascii="Times New Roman"/>
                <w:sz w:val="17"/>
              </w:rPr>
            </w:pPr>
            <w:r>
              <w:rPr>
                <w:rFonts w:ascii="Times New Roman"/>
                <w:spacing w:val="-10"/>
                <w:sz w:val="17"/>
              </w:rPr>
              <w:t>6</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CM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1477"/>
        </w:trPr>
        <w:tc>
          <w:tcPr>
            <w:tcW w:w="449" w:type="dxa"/>
            <w:tcBorders>
              <w:top w:val="nil"/>
              <w:left w:val="single" w:sz="6" w:space="0" w:color="000000"/>
              <w:bottom w:val="nil"/>
              <w:right w:val="single" w:sz="6" w:space="0" w:color="000000"/>
            </w:tcBorders>
          </w:tcPr>
          <w:p w:rsidR="007F6DF9" w:rsidRDefault="00A43FBC">
            <w:pPr>
              <w:pStyle w:val="TableParagraph"/>
              <w:spacing w:before="101"/>
              <w:ind w:left="34"/>
              <w:jc w:val="center"/>
              <w:rPr>
                <w:rFonts w:ascii="Times New Roman"/>
                <w:sz w:val="17"/>
              </w:rPr>
            </w:pPr>
            <w:r>
              <w:rPr>
                <w:rFonts w:ascii="Times New Roman"/>
                <w:spacing w:val="-10"/>
                <w:sz w:val="17"/>
              </w:rPr>
              <w:t>C</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jc w:val="both"/>
              <w:rPr>
                <w:rFonts w:ascii="Times New Roman"/>
                <w:sz w:val="17"/>
              </w:rPr>
            </w:pPr>
            <w:r>
              <w:rPr>
                <w:rFonts w:ascii="Times New Roman"/>
                <w:sz w:val="17"/>
              </w:rPr>
              <w:t>150mm</w:t>
            </w:r>
            <w:r>
              <w:rPr>
                <w:rFonts w:ascii="Times New Roman"/>
                <w:spacing w:val="-6"/>
                <w:sz w:val="17"/>
              </w:rPr>
              <w:t xml:space="preserve"> </w:t>
            </w:r>
            <w:r>
              <w:rPr>
                <w:rFonts w:ascii="Times New Roman"/>
                <w:sz w:val="17"/>
              </w:rPr>
              <w:t>thick</w:t>
            </w:r>
            <w:r>
              <w:rPr>
                <w:rFonts w:ascii="Times New Roman"/>
                <w:spacing w:val="44"/>
                <w:sz w:val="17"/>
              </w:rPr>
              <w:t xml:space="preserve"> </w:t>
            </w:r>
            <w:r>
              <w:rPr>
                <w:rFonts w:ascii="Times New Roman"/>
                <w:spacing w:val="-4"/>
                <w:sz w:val="17"/>
              </w:rPr>
              <w:t>slab</w:t>
            </w:r>
          </w:p>
          <w:p w:rsidR="007F6DF9" w:rsidRDefault="007F6DF9">
            <w:pPr>
              <w:pStyle w:val="TableParagraph"/>
              <w:rPr>
                <w:rFonts w:ascii="Arial MT"/>
                <w:sz w:val="17"/>
              </w:rPr>
            </w:pPr>
          </w:p>
          <w:p w:rsidR="007F6DF9" w:rsidRDefault="007F6DF9">
            <w:pPr>
              <w:pStyle w:val="TableParagraph"/>
              <w:spacing w:before="66"/>
              <w:rPr>
                <w:rFonts w:ascii="Arial MT"/>
                <w:sz w:val="17"/>
              </w:rPr>
            </w:pPr>
          </w:p>
          <w:p w:rsidR="007F6DF9" w:rsidRDefault="00A43FBC">
            <w:pPr>
              <w:pStyle w:val="TableParagraph"/>
              <w:spacing w:before="1" w:line="261" w:lineRule="auto"/>
              <w:ind w:left="30" w:right="488"/>
              <w:jc w:val="both"/>
              <w:rPr>
                <w:rFonts w:ascii="Times New Roman"/>
                <w:sz w:val="17"/>
              </w:rPr>
            </w:pPr>
            <w:r>
              <w:rPr>
                <w:rFonts w:ascii="Times New Roman"/>
                <w:sz w:val="17"/>
                <w:u w:val="single"/>
              </w:rPr>
              <w:t>Ribbed</w:t>
            </w:r>
            <w:r>
              <w:rPr>
                <w:rFonts w:ascii="Times New Roman"/>
                <w:spacing w:val="-5"/>
                <w:sz w:val="17"/>
                <w:u w:val="single"/>
              </w:rPr>
              <w:t xml:space="preserve"> </w:t>
            </w:r>
            <w:r>
              <w:rPr>
                <w:rFonts w:ascii="Times New Roman"/>
                <w:sz w:val="17"/>
                <w:u w:val="single"/>
              </w:rPr>
              <w:t>steel</w:t>
            </w:r>
            <w:r>
              <w:rPr>
                <w:rFonts w:ascii="Times New Roman"/>
                <w:spacing w:val="-3"/>
                <w:sz w:val="17"/>
                <w:u w:val="single"/>
              </w:rPr>
              <w:t xml:space="preserve"> </w:t>
            </w:r>
            <w:r>
              <w:rPr>
                <w:rFonts w:ascii="Times New Roman"/>
                <w:sz w:val="17"/>
                <w:u w:val="single"/>
              </w:rPr>
              <w:t>reinforcement</w:t>
            </w:r>
            <w:r>
              <w:rPr>
                <w:rFonts w:ascii="Times New Roman"/>
                <w:spacing w:val="-3"/>
                <w:sz w:val="17"/>
                <w:u w:val="single"/>
              </w:rPr>
              <w:t xml:space="preserve"> </w:t>
            </w:r>
            <w:r>
              <w:rPr>
                <w:rFonts w:ascii="Times New Roman"/>
                <w:sz w:val="17"/>
                <w:u w:val="single"/>
              </w:rPr>
              <w:t>as</w:t>
            </w:r>
            <w:r>
              <w:rPr>
                <w:rFonts w:ascii="Times New Roman"/>
                <w:spacing w:val="-3"/>
                <w:sz w:val="17"/>
                <w:u w:val="single"/>
              </w:rPr>
              <w:t xml:space="preserve"> </w:t>
            </w:r>
            <w:r>
              <w:rPr>
                <w:rFonts w:ascii="Times New Roman"/>
                <w:sz w:val="17"/>
                <w:u w:val="single"/>
              </w:rPr>
              <w:t>described</w:t>
            </w:r>
            <w:r>
              <w:rPr>
                <w:rFonts w:ascii="Times New Roman"/>
                <w:spacing w:val="-5"/>
                <w:sz w:val="17"/>
                <w:u w:val="single"/>
              </w:rPr>
              <w:t xml:space="preserve"> </w:t>
            </w:r>
            <w:r>
              <w:rPr>
                <w:rFonts w:ascii="Times New Roman"/>
                <w:sz w:val="17"/>
                <w:u w:val="single"/>
              </w:rPr>
              <w:t>including</w:t>
            </w:r>
            <w:r>
              <w:rPr>
                <w:rFonts w:ascii="Times New Roman"/>
                <w:spacing w:val="-5"/>
                <w:sz w:val="17"/>
                <w:u w:val="single"/>
              </w:rPr>
              <w:t xml:space="preserve"> </w:t>
            </w:r>
            <w:r>
              <w:rPr>
                <w:rFonts w:ascii="Times New Roman"/>
                <w:sz w:val="17"/>
                <w:u w:val="single"/>
              </w:rPr>
              <w:t>cutting</w:t>
            </w:r>
            <w:r>
              <w:rPr>
                <w:rFonts w:ascii="Times New Roman"/>
                <w:spacing w:val="-5"/>
                <w:sz w:val="17"/>
                <w:u w:val="single"/>
              </w:rPr>
              <w:t xml:space="preserve"> </w:t>
            </w:r>
            <w:r>
              <w:rPr>
                <w:rFonts w:ascii="Times New Roman"/>
                <w:sz w:val="17"/>
                <w:u w:val="single"/>
              </w:rPr>
              <w:t>to</w:t>
            </w:r>
            <w:r>
              <w:rPr>
                <w:rFonts w:ascii="Times New Roman"/>
                <w:spacing w:val="-5"/>
                <w:sz w:val="17"/>
                <w:u w:val="single"/>
              </w:rPr>
              <w:t xml:space="preserve"> </w:t>
            </w:r>
            <w:r>
              <w:rPr>
                <w:rFonts w:ascii="Times New Roman"/>
                <w:sz w:val="17"/>
                <w:u w:val="single"/>
              </w:rPr>
              <w:t xml:space="preserve">length, </w:t>
            </w:r>
            <w:r>
              <w:rPr>
                <w:rFonts w:ascii="Times New Roman"/>
                <w:sz w:val="17"/>
              </w:rPr>
              <w:t xml:space="preserve"> </w:t>
            </w:r>
            <w:r>
              <w:rPr>
                <w:rFonts w:ascii="Times New Roman"/>
                <w:sz w:val="17"/>
                <w:u w:val="single"/>
              </w:rPr>
              <w:t>bending,</w:t>
            </w:r>
            <w:r>
              <w:rPr>
                <w:rFonts w:ascii="Times New Roman"/>
                <w:spacing w:val="-3"/>
                <w:sz w:val="17"/>
                <w:u w:val="single"/>
              </w:rPr>
              <w:t xml:space="preserve"> </w:t>
            </w:r>
            <w:r>
              <w:rPr>
                <w:rFonts w:ascii="Times New Roman"/>
                <w:sz w:val="17"/>
                <w:u w:val="single"/>
              </w:rPr>
              <w:t>hoisting</w:t>
            </w:r>
            <w:r>
              <w:rPr>
                <w:rFonts w:ascii="Times New Roman"/>
                <w:spacing w:val="-5"/>
                <w:sz w:val="17"/>
                <w:u w:val="single"/>
              </w:rPr>
              <w:t xml:space="preserve"> </w:t>
            </w:r>
            <w:r>
              <w:rPr>
                <w:rFonts w:ascii="Times New Roman"/>
                <w:sz w:val="17"/>
                <w:u w:val="single"/>
              </w:rPr>
              <w:t>and</w:t>
            </w:r>
            <w:r>
              <w:rPr>
                <w:rFonts w:ascii="Times New Roman"/>
                <w:spacing w:val="-5"/>
                <w:sz w:val="17"/>
                <w:u w:val="single"/>
              </w:rPr>
              <w:t xml:space="preserve"> </w:t>
            </w:r>
            <w:r>
              <w:rPr>
                <w:rFonts w:ascii="Times New Roman"/>
                <w:sz w:val="17"/>
                <w:u w:val="single"/>
              </w:rPr>
              <w:t>fixing</w:t>
            </w:r>
            <w:r>
              <w:rPr>
                <w:rFonts w:ascii="Times New Roman"/>
                <w:spacing w:val="-5"/>
                <w:sz w:val="17"/>
                <w:u w:val="single"/>
              </w:rPr>
              <w:t xml:space="preserve"> </w:t>
            </w:r>
            <w:r>
              <w:rPr>
                <w:rFonts w:ascii="Times New Roman"/>
                <w:sz w:val="17"/>
                <w:u w:val="single"/>
              </w:rPr>
              <w:t>including</w:t>
            </w:r>
            <w:r>
              <w:rPr>
                <w:rFonts w:ascii="Times New Roman"/>
                <w:spacing w:val="-5"/>
                <w:sz w:val="17"/>
                <w:u w:val="single"/>
              </w:rPr>
              <w:t xml:space="preserve"> </w:t>
            </w:r>
            <w:r>
              <w:rPr>
                <w:rFonts w:ascii="Times New Roman"/>
                <w:sz w:val="17"/>
                <w:u w:val="single"/>
              </w:rPr>
              <w:t>all</w:t>
            </w:r>
            <w:r>
              <w:rPr>
                <w:rFonts w:ascii="Times New Roman"/>
                <w:spacing w:val="-3"/>
                <w:sz w:val="17"/>
                <w:u w:val="single"/>
              </w:rPr>
              <w:t xml:space="preserve"> </w:t>
            </w:r>
            <w:r>
              <w:rPr>
                <w:rFonts w:ascii="Times New Roman"/>
                <w:sz w:val="17"/>
                <w:u w:val="single"/>
              </w:rPr>
              <w:t>necessary</w:t>
            </w:r>
            <w:r>
              <w:rPr>
                <w:rFonts w:ascii="Times New Roman"/>
                <w:spacing w:val="-7"/>
                <w:sz w:val="17"/>
                <w:u w:val="single"/>
              </w:rPr>
              <w:t xml:space="preserve"> </w:t>
            </w:r>
            <w:r>
              <w:rPr>
                <w:rFonts w:ascii="Times New Roman"/>
                <w:sz w:val="17"/>
                <w:u w:val="single"/>
              </w:rPr>
              <w:t>tying</w:t>
            </w:r>
            <w:r>
              <w:rPr>
                <w:rFonts w:ascii="Times New Roman"/>
                <w:spacing w:val="-5"/>
                <w:sz w:val="17"/>
                <w:u w:val="single"/>
              </w:rPr>
              <w:t xml:space="preserve"> </w:t>
            </w:r>
            <w:r>
              <w:rPr>
                <w:rFonts w:ascii="Times New Roman"/>
                <w:sz w:val="17"/>
                <w:u w:val="single"/>
              </w:rPr>
              <w:t>wires</w:t>
            </w:r>
            <w:r>
              <w:rPr>
                <w:rFonts w:ascii="Times New Roman"/>
                <w:spacing w:val="-3"/>
                <w:sz w:val="17"/>
                <w:u w:val="single"/>
              </w:rPr>
              <w:t xml:space="preserve"> </w:t>
            </w:r>
            <w:r>
              <w:rPr>
                <w:rFonts w:ascii="Times New Roman"/>
                <w:sz w:val="17"/>
                <w:u w:val="single"/>
              </w:rPr>
              <w:t xml:space="preserve">and </w:t>
            </w:r>
            <w:r>
              <w:rPr>
                <w:rFonts w:ascii="Times New Roman"/>
                <w:sz w:val="17"/>
              </w:rPr>
              <w:t xml:space="preserve"> </w:t>
            </w:r>
            <w:r>
              <w:rPr>
                <w:rFonts w:ascii="Times New Roman"/>
                <w:sz w:val="17"/>
                <w:u w:val="single"/>
              </w:rPr>
              <w:t>spacing blocks (all provisional)</w:t>
            </w:r>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3"/>
              <w:jc w:val="center"/>
              <w:rPr>
                <w:rFonts w:ascii="Times New Roman"/>
                <w:sz w:val="17"/>
              </w:rPr>
            </w:pPr>
            <w:r>
              <w:rPr>
                <w:rFonts w:ascii="Times New Roman"/>
                <w:spacing w:val="-5"/>
                <w:sz w:val="17"/>
              </w:rPr>
              <w:t>150</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842"/>
        </w:trPr>
        <w:tc>
          <w:tcPr>
            <w:tcW w:w="449" w:type="dxa"/>
            <w:tcBorders>
              <w:top w:val="nil"/>
              <w:left w:val="single" w:sz="6" w:space="0" w:color="000000"/>
              <w:bottom w:val="nil"/>
              <w:right w:val="single" w:sz="6" w:space="0" w:color="000000"/>
            </w:tcBorders>
          </w:tcPr>
          <w:p w:rsidR="007F6DF9" w:rsidRDefault="00A43FBC">
            <w:pPr>
              <w:pStyle w:val="TableParagraph"/>
              <w:spacing w:before="108"/>
              <w:ind w:left="34"/>
              <w:jc w:val="center"/>
              <w:rPr>
                <w:rFonts w:ascii="Times New Roman"/>
                <w:sz w:val="17"/>
              </w:rPr>
            </w:pPr>
            <w:r>
              <w:rPr>
                <w:rFonts w:ascii="Times New Roman"/>
                <w:spacing w:val="-10"/>
                <w:sz w:val="17"/>
              </w:rPr>
              <w:t>D</w:t>
            </w:r>
          </w:p>
        </w:tc>
        <w:tc>
          <w:tcPr>
            <w:tcW w:w="5188" w:type="dxa"/>
            <w:tcBorders>
              <w:top w:val="nil"/>
              <w:left w:val="single" w:sz="6" w:space="0" w:color="000000"/>
              <w:bottom w:val="nil"/>
              <w:right w:val="single" w:sz="6" w:space="0" w:color="000000"/>
            </w:tcBorders>
          </w:tcPr>
          <w:p w:rsidR="007F6DF9" w:rsidRDefault="00A43FBC">
            <w:pPr>
              <w:pStyle w:val="TableParagraph"/>
              <w:spacing w:before="106"/>
              <w:ind w:left="30"/>
              <w:rPr>
                <w:rFonts w:ascii="Times New Roman"/>
                <w:sz w:val="17"/>
              </w:rPr>
            </w:pPr>
            <w:r>
              <w:rPr>
                <w:rFonts w:ascii="Times New Roman"/>
                <w:sz w:val="17"/>
              </w:rPr>
              <w:t>Off</w:t>
            </w:r>
            <w:r>
              <w:rPr>
                <w:rFonts w:ascii="Times New Roman"/>
                <w:spacing w:val="-2"/>
                <w:sz w:val="17"/>
              </w:rPr>
              <w:t xml:space="preserve"> </w:t>
            </w:r>
            <w:proofErr w:type="spellStart"/>
            <w:r>
              <w:rPr>
                <w:rFonts w:ascii="Times New Roman"/>
                <w:sz w:val="17"/>
              </w:rPr>
              <w:t>asorted</w:t>
            </w:r>
            <w:proofErr w:type="spellEnd"/>
            <w:r>
              <w:rPr>
                <w:rFonts w:ascii="Times New Roman"/>
                <w:spacing w:val="-2"/>
                <w:sz w:val="17"/>
              </w:rPr>
              <w:t xml:space="preserve"> </w:t>
            </w:r>
            <w:r>
              <w:rPr>
                <w:rFonts w:ascii="Times New Roman"/>
                <w:spacing w:val="-4"/>
                <w:sz w:val="17"/>
              </w:rPr>
              <w:t>bars</w:t>
            </w:r>
          </w:p>
          <w:p w:rsidR="007F6DF9" w:rsidRDefault="007F6DF9">
            <w:pPr>
              <w:pStyle w:val="TableParagraph"/>
              <w:spacing w:before="46"/>
              <w:rPr>
                <w:rFonts w:ascii="Arial MT"/>
                <w:sz w:val="17"/>
              </w:rPr>
            </w:pPr>
          </w:p>
          <w:p w:rsidR="007F6DF9" w:rsidRDefault="00A43FBC">
            <w:pPr>
              <w:pStyle w:val="TableParagraph"/>
              <w:ind w:left="30"/>
              <w:rPr>
                <w:rFonts w:ascii="Times New Roman"/>
                <w:b/>
                <w:sz w:val="17"/>
              </w:rPr>
            </w:pPr>
            <w:r>
              <w:rPr>
                <w:rFonts w:ascii="Times New Roman"/>
                <w:b/>
                <w:sz w:val="17"/>
                <w:u w:val="single"/>
              </w:rPr>
              <w:t>Sawn</w:t>
            </w:r>
            <w:r>
              <w:rPr>
                <w:rFonts w:ascii="Times New Roman"/>
                <w:b/>
                <w:spacing w:val="-2"/>
                <w:sz w:val="17"/>
                <w:u w:val="single"/>
              </w:rPr>
              <w:t xml:space="preserve"> </w:t>
            </w:r>
            <w:r>
              <w:rPr>
                <w:rFonts w:ascii="Times New Roman"/>
                <w:b/>
                <w:sz w:val="17"/>
                <w:u w:val="single"/>
              </w:rPr>
              <w:t>formwork:</w:t>
            </w:r>
            <w:r>
              <w:rPr>
                <w:rFonts w:ascii="Times New Roman"/>
                <w:b/>
                <w:spacing w:val="3"/>
                <w:sz w:val="17"/>
                <w:u w:val="single"/>
              </w:rPr>
              <w:t xml:space="preserve"> </w:t>
            </w:r>
            <w:r>
              <w:rPr>
                <w:rFonts w:ascii="Times New Roman"/>
                <w:b/>
                <w:spacing w:val="-5"/>
                <w:sz w:val="17"/>
                <w:u w:val="single"/>
              </w:rPr>
              <w:t>to</w:t>
            </w:r>
          </w:p>
        </w:tc>
        <w:tc>
          <w:tcPr>
            <w:tcW w:w="695" w:type="dxa"/>
            <w:tcBorders>
              <w:top w:val="nil"/>
              <w:left w:val="single" w:sz="6" w:space="0" w:color="000000"/>
              <w:bottom w:val="nil"/>
              <w:right w:val="single" w:sz="6" w:space="0" w:color="000000"/>
            </w:tcBorders>
          </w:tcPr>
          <w:p w:rsidR="007F6DF9" w:rsidRDefault="00A43FBC">
            <w:pPr>
              <w:pStyle w:val="TableParagraph"/>
              <w:spacing w:before="106"/>
              <w:ind w:left="31" w:right="3"/>
              <w:jc w:val="center"/>
              <w:rPr>
                <w:rFonts w:ascii="Times New Roman"/>
                <w:sz w:val="17"/>
              </w:rPr>
            </w:pPr>
            <w:r>
              <w:rPr>
                <w:rFonts w:ascii="Times New Roman"/>
                <w:spacing w:val="-4"/>
                <w:sz w:val="17"/>
              </w:rPr>
              <w:t>4219</w:t>
            </w:r>
          </w:p>
        </w:tc>
        <w:tc>
          <w:tcPr>
            <w:tcW w:w="572" w:type="dxa"/>
            <w:tcBorders>
              <w:top w:val="nil"/>
              <w:left w:val="single" w:sz="6" w:space="0" w:color="000000"/>
              <w:bottom w:val="nil"/>
              <w:right w:val="single" w:sz="6" w:space="0" w:color="000000"/>
            </w:tcBorders>
          </w:tcPr>
          <w:p w:rsidR="007F6DF9" w:rsidRDefault="00A43FBC">
            <w:pPr>
              <w:pStyle w:val="TableParagraph"/>
              <w:spacing w:before="106"/>
              <w:ind w:left="30" w:right="1"/>
              <w:jc w:val="center"/>
              <w:rPr>
                <w:rFonts w:ascii="Times New Roman"/>
                <w:sz w:val="17"/>
              </w:rPr>
            </w:pPr>
            <w:r>
              <w:rPr>
                <w:rFonts w:ascii="Times New Roman"/>
                <w:spacing w:val="-5"/>
                <w:sz w:val="17"/>
              </w:rPr>
              <w:t>KG</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401"/>
        </w:trPr>
        <w:tc>
          <w:tcPr>
            <w:tcW w:w="449" w:type="dxa"/>
            <w:tcBorders>
              <w:top w:val="nil"/>
              <w:left w:val="single" w:sz="6" w:space="0" w:color="000000"/>
              <w:bottom w:val="nil"/>
              <w:right w:val="single" w:sz="6" w:space="0" w:color="000000"/>
            </w:tcBorders>
          </w:tcPr>
          <w:p w:rsidR="007F6DF9" w:rsidRDefault="00A43FBC">
            <w:pPr>
              <w:pStyle w:val="TableParagraph"/>
              <w:spacing w:before="100"/>
              <w:ind w:left="34"/>
              <w:jc w:val="center"/>
              <w:rPr>
                <w:rFonts w:ascii="Times New Roman"/>
                <w:sz w:val="17"/>
              </w:rPr>
            </w:pPr>
            <w:r>
              <w:rPr>
                <w:rFonts w:ascii="Times New Roman"/>
                <w:spacing w:val="-10"/>
                <w:sz w:val="17"/>
              </w:rPr>
              <w:t>E</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rPr>
                <w:rFonts w:ascii="Times New Roman"/>
                <w:sz w:val="17"/>
              </w:rPr>
            </w:pPr>
            <w:r>
              <w:rPr>
                <w:rFonts w:ascii="Times New Roman"/>
                <w:sz w:val="17"/>
              </w:rPr>
              <w:t>Sides</w:t>
            </w:r>
            <w:r>
              <w:rPr>
                <w:rFonts w:ascii="Times New Roman"/>
                <w:spacing w:val="-2"/>
                <w:sz w:val="17"/>
              </w:rPr>
              <w:t xml:space="preserve"> </w:t>
            </w:r>
            <w:r>
              <w:rPr>
                <w:rFonts w:ascii="Times New Roman"/>
                <w:sz w:val="17"/>
              </w:rPr>
              <w:t>and</w:t>
            </w:r>
            <w:r>
              <w:rPr>
                <w:rFonts w:ascii="Times New Roman"/>
                <w:spacing w:val="-4"/>
                <w:sz w:val="17"/>
              </w:rPr>
              <w:t xml:space="preserve"> </w:t>
            </w:r>
            <w:r>
              <w:rPr>
                <w:rFonts w:ascii="Times New Roman"/>
                <w:sz w:val="17"/>
              </w:rPr>
              <w:t>soffits</w:t>
            </w:r>
            <w:r>
              <w:rPr>
                <w:rFonts w:ascii="Times New Roman"/>
                <w:spacing w:val="-2"/>
                <w:sz w:val="17"/>
              </w:rPr>
              <w:t xml:space="preserve"> </w:t>
            </w:r>
            <w:r>
              <w:rPr>
                <w:rFonts w:ascii="Times New Roman"/>
                <w:sz w:val="17"/>
              </w:rPr>
              <w:t>of</w:t>
            </w:r>
            <w:r>
              <w:rPr>
                <w:rFonts w:ascii="Times New Roman"/>
                <w:spacing w:val="-1"/>
                <w:sz w:val="17"/>
              </w:rPr>
              <w:t xml:space="preserve"> </w:t>
            </w:r>
            <w:proofErr w:type="spellStart"/>
            <w:r>
              <w:rPr>
                <w:rFonts w:ascii="Times New Roman"/>
                <w:spacing w:val="-2"/>
                <w:sz w:val="17"/>
              </w:rPr>
              <w:t>beams,columns</w:t>
            </w:r>
            <w:proofErr w:type="spellEnd"/>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3"/>
              <w:jc w:val="center"/>
              <w:rPr>
                <w:rFonts w:ascii="Times New Roman"/>
                <w:sz w:val="17"/>
              </w:rPr>
            </w:pPr>
            <w:r>
              <w:rPr>
                <w:rFonts w:ascii="Times New Roman"/>
                <w:spacing w:val="-5"/>
                <w:sz w:val="17"/>
              </w:rPr>
              <w:t>146</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296"/>
        </w:trPr>
        <w:tc>
          <w:tcPr>
            <w:tcW w:w="449" w:type="dxa"/>
            <w:tcBorders>
              <w:top w:val="nil"/>
              <w:left w:val="single" w:sz="6" w:space="0" w:color="000000"/>
              <w:bottom w:val="nil"/>
              <w:right w:val="single" w:sz="6" w:space="0" w:color="000000"/>
            </w:tcBorders>
          </w:tcPr>
          <w:p w:rsidR="007F6DF9" w:rsidRDefault="00A43FBC">
            <w:pPr>
              <w:pStyle w:val="TableParagraph"/>
              <w:spacing w:before="101" w:line="175" w:lineRule="exact"/>
              <w:ind w:left="34"/>
              <w:jc w:val="center"/>
              <w:rPr>
                <w:rFonts w:ascii="Times New Roman"/>
                <w:sz w:val="17"/>
              </w:rPr>
            </w:pPr>
            <w:r>
              <w:rPr>
                <w:rFonts w:ascii="Times New Roman"/>
                <w:spacing w:val="-10"/>
                <w:sz w:val="17"/>
              </w:rPr>
              <w:t>F</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line="178" w:lineRule="exact"/>
              <w:ind w:left="30"/>
              <w:rPr>
                <w:rFonts w:ascii="Times New Roman"/>
                <w:sz w:val="17"/>
              </w:rPr>
            </w:pPr>
            <w:r>
              <w:rPr>
                <w:rFonts w:ascii="Times New Roman"/>
                <w:sz w:val="17"/>
              </w:rPr>
              <w:t>Ditto</w:t>
            </w:r>
            <w:r>
              <w:rPr>
                <w:rFonts w:ascii="Times New Roman"/>
                <w:spacing w:val="-5"/>
                <w:sz w:val="17"/>
              </w:rPr>
              <w:t xml:space="preserve"> </w:t>
            </w:r>
            <w:r>
              <w:rPr>
                <w:rFonts w:ascii="Times New Roman"/>
                <w:sz w:val="17"/>
              </w:rPr>
              <w:t>to</w:t>
            </w:r>
            <w:r>
              <w:rPr>
                <w:rFonts w:ascii="Times New Roman"/>
                <w:spacing w:val="-3"/>
                <w:sz w:val="17"/>
              </w:rPr>
              <w:t xml:space="preserve"> </w:t>
            </w:r>
            <w:proofErr w:type="spellStart"/>
            <w:r>
              <w:rPr>
                <w:rFonts w:ascii="Times New Roman"/>
                <w:sz w:val="17"/>
              </w:rPr>
              <w:t>soffites</w:t>
            </w:r>
            <w:proofErr w:type="spellEnd"/>
            <w:r>
              <w:rPr>
                <w:rFonts w:ascii="Times New Roman"/>
                <w:spacing w:val="-1"/>
                <w:sz w:val="17"/>
              </w:rPr>
              <w:t xml:space="preserve"> </w:t>
            </w:r>
            <w:r>
              <w:rPr>
                <w:rFonts w:ascii="Times New Roman"/>
                <w:sz w:val="17"/>
              </w:rPr>
              <w:t xml:space="preserve">of </w:t>
            </w:r>
            <w:r>
              <w:rPr>
                <w:rFonts w:ascii="Times New Roman"/>
                <w:spacing w:val="-4"/>
                <w:sz w:val="17"/>
              </w:rPr>
              <w:t>slab</w:t>
            </w:r>
          </w:p>
        </w:tc>
        <w:tc>
          <w:tcPr>
            <w:tcW w:w="695" w:type="dxa"/>
            <w:tcBorders>
              <w:top w:val="nil"/>
              <w:left w:val="single" w:sz="6" w:space="0" w:color="000000"/>
              <w:bottom w:val="nil"/>
              <w:right w:val="single" w:sz="6" w:space="0" w:color="000000"/>
            </w:tcBorders>
          </w:tcPr>
          <w:p w:rsidR="007F6DF9" w:rsidRDefault="00A43FBC">
            <w:pPr>
              <w:pStyle w:val="TableParagraph"/>
              <w:spacing w:before="98" w:line="178" w:lineRule="exact"/>
              <w:ind w:left="31" w:right="3"/>
              <w:jc w:val="center"/>
              <w:rPr>
                <w:rFonts w:ascii="Times New Roman"/>
                <w:sz w:val="17"/>
              </w:rPr>
            </w:pPr>
            <w:r>
              <w:rPr>
                <w:rFonts w:ascii="Times New Roman"/>
                <w:spacing w:val="-5"/>
                <w:sz w:val="17"/>
              </w:rPr>
              <w:t>150</w:t>
            </w:r>
          </w:p>
        </w:tc>
        <w:tc>
          <w:tcPr>
            <w:tcW w:w="572" w:type="dxa"/>
            <w:tcBorders>
              <w:top w:val="nil"/>
              <w:left w:val="single" w:sz="6" w:space="0" w:color="000000"/>
              <w:bottom w:val="nil"/>
              <w:right w:val="single" w:sz="6" w:space="0" w:color="000000"/>
            </w:tcBorders>
          </w:tcPr>
          <w:p w:rsidR="007F6DF9" w:rsidRDefault="00A43FBC">
            <w:pPr>
              <w:pStyle w:val="TableParagraph"/>
              <w:spacing w:before="98" w:line="178" w:lineRule="exact"/>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723"/>
        </w:trPr>
        <w:tc>
          <w:tcPr>
            <w:tcW w:w="449" w:type="dxa"/>
            <w:tcBorders>
              <w:top w:val="nil"/>
              <w:left w:val="single" w:sz="6" w:space="0" w:color="000000"/>
              <w:bottom w:val="nil"/>
              <w:right w:val="single" w:sz="6" w:space="0" w:color="000000"/>
            </w:tcBorders>
          </w:tcPr>
          <w:p w:rsidR="007F6DF9" w:rsidRDefault="007F6DF9">
            <w:pPr>
              <w:pStyle w:val="TableParagraph"/>
              <w:rPr>
                <w:rFonts w:ascii="Times New Roman"/>
                <w:sz w:val="16"/>
              </w:rPr>
            </w:pPr>
          </w:p>
        </w:tc>
        <w:tc>
          <w:tcPr>
            <w:tcW w:w="5188" w:type="dxa"/>
            <w:tcBorders>
              <w:top w:val="nil"/>
              <w:left w:val="single" w:sz="6" w:space="0" w:color="000000"/>
              <w:bottom w:val="nil"/>
              <w:right w:val="single" w:sz="6" w:space="0" w:color="000000"/>
            </w:tcBorders>
          </w:tcPr>
          <w:p w:rsidR="007F6DF9" w:rsidRDefault="00A43FBC">
            <w:pPr>
              <w:pStyle w:val="TableParagraph"/>
              <w:spacing w:line="261" w:lineRule="auto"/>
              <w:ind w:left="30" w:right="97"/>
              <w:rPr>
                <w:rFonts w:ascii="Times New Roman"/>
                <w:b/>
                <w:sz w:val="17"/>
              </w:rPr>
            </w:pPr>
            <w:r>
              <w:rPr>
                <w:rFonts w:ascii="Times New Roman"/>
                <w:b/>
                <w:sz w:val="17"/>
                <w:u w:val="single"/>
              </w:rPr>
              <w:t>Medium</w:t>
            </w:r>
            <w:r>
              <w:rPr>
                <w:rFonts w:ascii="Times New Roman"/>
                <w:b/>
                <w:spacing w:val="-2"/>
                <w:sz w:val="17"/>
                <w:u w:val="single"/>
              </w:rPr>
              <w:t xml:space="preserve"> </w:t>
            </w:r>
            <w:r>
              <w:rPr>
                <w:rFonts w:ascii="Times New Roman"/>
                <w:b/>
                <w:sz w:val="17"/>
                <w:u w:val="single"/>
              </w:rPr>
              <w:t>chisel-dressed</w:t>
            </w:r>
            <w:r>
              <w:rPr>
                <w:rFonts w:ascii="Times New Roman"/>
                <w:b/>
                <w:spacing w:val="-3"/>
                <w:sz w:val="17"/>
                <w:u w:val="single"/>
              </w:rPr>
              <w:t xml:space="preserve"> </w:t>
            </w:r>
            <w:r>
              <w:rPr>
                <w:rFonts w:ascii="Times New Roman"/>
                <w:b/>
                <w:sz w:val="17"/>
                <w:u w:val="single"/>
              </w:rPr>
              <w:t>natural</w:t>
            </w:r>
            <w:r>
              <w:rPr>
                <w:rFonts w:ascii="Times New Roman"/>
                <w:b/>
                <w:spacing w:val="-1"/>
                <w:sz w:val="17"/>
                <w:u w:val="single"/>
              </w:rPr>
              <w:t xml:space="preserve"> </w:t>
            </w:r>
            <w:r>
              <w:rPr>
                <w:rFonts w:ascii="Times New Roman"/>
                <w:b/>
                <w:sz w:val="17"/>
                <w:u w:val="single"/>
              </w:rPr>
              <w:t>stone</w:t>
            </w:r>
            <w:r>
              <w:rPr>
                <w:rFonts w:ascii="Times New Roman"/>
                <w:b/>
                <w:spacing w:val="-1"/>
                <w:sz w:val="17"/>
                <w:u w:val="single"/>
              </w:rPr>
              <w:t xml:space="preserve"> </w:t>
            </w:r>
            <w:r>
              <w:rPr>
                <w:rFonts w:ascii="Times New Roman"/>
                <w:b/>
                <w:sz w:val="17"/>
                <w:u w:val="single"/>
              </w:rPr>
              <w:t>walling</w:t>
            </w:r>
            <w:r>
              <w:rPr>
                <w:rFonts w:ascii="Times New Roman"/>
                <w:b/>
                <w:spacing w:val="-1"/>
                <w:sz w:val="17"/>
                <w:u w:val="single"/>
              </w:rPr>
              <w:t xml:space="preserve"> </w:t>
            </w:r>
            <w:r>
              <w:rPr>
                <w:rFonts w:ascii="Times New Roman"/>
                <w:b/>
                <w:sz w:val="17"/>
                <w:u w:val="single"/>
              </w:rPr>
              <w:t>bedded</w:t>
            </w:r>
            <w:r>
              <w:rPr>
                <w:rFonts w:ascii="Times New Roman"/>
                <w:b/>
                <w:spacing w:val="-3"/>
                <w:sz w:val="17"/>
                <w:u w:val="single"/>
              </w:rPr>
              <w:t xml:space="preserve"> </w:t>
            </w:r>
            <w:r>
              <w:rPr>
                <w:rFonts w:ascii="Times New Roman"/>
                <w:b/>
                <w:sz w:val="17"/>
                <w:u w:val="single"/>
              </w:rPr>
              <w:t>and</w:t>
            </w:r>
            <w:r>
              <w:rPr>
                <w:rFonts w:ascii="Times New Roman"/>
                <w:b/>
                <w:spacing w:val="-3"/>
                <w:sz w:val="17"/>
                <w:u w:val="single"/>
              </w:rPr>
              <w:t xml:space="preserve"> </w:t>
            </w:r>
            <w:r>
              <w:rPr>
                <w:rFonts w:ascii="Times New Roman"/>
                <w:b/>
                <w:sz w:val="17"/>
                <w:u w:val="single"/>
              </w:rPr>
              <w:t>jointed</w:t>
            </w:r>
            <w:r>
              <w:rPr>
                <w:rFonts w:ascii="Times New Roman"/>
                <w:b/>
                <w:spacing w:val="-3"/>
                <w:sz w:val="17"/>
                <w:u w:val="single"/>
              </w:rPr>
              <w:t xml:space="preserve"> </w:t>
            </w:r>
            <w:r>
              <w:rPr>
                <w:rFonts w:ascii="Times New Roman"/>
                <w:b/>
                <w:sz w:val="17"/>
                <w:u w:val="single"/>
              </w:rPr>
              <w:t xml:space="preserve">in </w:t>
            </w:r>
            <w:r>
              <w:rPr>
                <w:rFonts w:ascii="Times New Roman"/>
                <w:b/>
                <w:sz w:val="17"/>
              </w:rPr>
              <w:t xml:space="preserve"> </w:t>
            </w:r>
            <w:r>
              <w:rPr>
                <w:rFonts w:ascii="Times New Roman"/>
                <w:b/>
                <w:sz w:val="17"/>
                <w:u w:val="single"/>
              </w:rPr>
              <w:t xml:space="preserve">cement and sand (1:3) mortar and reinforced in every alternate </w:t>
            </w:r>
            <w:r>
              <w:rPr>
                <w:rFonts w:ascii="Times New Roman"/>
                <w:b/>
                <w:sz w:val="17"/>
              </w:rPr>
              <w:t xml:space="preserve"> </w:t>
            </w:r>
            <w:r>
              <w:rPr>
                <w:rFonts w:ascii="Times New Roman"/>
                <w:b/>
                <w:sz w:val="17"/>
                <w:u w:val="single"/>
              </w:rPr>
              <w:t>course with and including 25 x 3mm thick hoop iron:</w:t>
            </w:r>
          </w:p>
        </w:tc>
        <w:tc>
          <w:tcPr>
            <w:tcW w:w="695" w:type="dxa"/>
            <w:tcBorders>
              <w:top w:val="nil"/>
              <w:left w:val="single" w:sz="6" w:space="0" w:color="000000"/>
              <w:bottom w:val="nil"/>
              <w:right w:val="single" w:sz="6" w:space="0" w:color="000000"/>
            </w:tcBorders>
          </w:tcPr>
          <w:p w:rsidR="007F6DF9" w:rsidRDefault="007F6DF9">
            <w:pPr>
              <w:pStyle w:val="TableParagraph"/>
              <w:rPr>
                <w:rFonts w:ascii="Times New Roman"/>
                <w:sz w:val="16"/>
              </w:rPr>
            </w:pPr>
          </w:p>
        </w:tc>
        <w:tc>
          <w:tcPr>
            <w:tcW w:w="572" w:type="dxa"/>
            <w:tcBorders>
              <w:top w:val="nil"/>
              <w:left w:val="single" w:sz="6" w:space="0" w:color="000000"/>
              <w:bottom w:val="nil"/>
              <w:right w:val="single" w:sz="6" w:space="0" w:color="000000"/>
            </w:tcBorders>
          </w:tcPr>
          <w:p w:rsidR="007F6DF9" w:rsidRDefault="007F6DF9">
            <w:pPr>
              <w:pStyle w:val="TableParagraph"/>
              <w:rPr>
                <w:rFonts w:ascii="Times New Roman"/>
                <w:sz w:val="16"/>
              </w:rPr>
            </w:pP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837"/>
        </w:trPr>
        <w:tc>
          <w:tcPr>
            <w:tcW w:w="449" w:type="dxa"/>
            <w:tcBorders>
              <w:top w:val="nil"/>
              <w:left w:val="single" w:sz="6" w:space="0" w:color="000000"/>
              <w:bottom w:val="nil"/>
              <w:right w:val="single" w:sz="6" w:space="0" w:color="000000"/>
            </w:tcBorders>
          </w:tcPr>
          <w:p w:rsidR="007F6DF9" w:rsidRDefault="00A43FBC">
            <w:pPr>
              <w:pStyle w:val="TableParagraph"/>
              <w:spacing w:before="103"/>
              <w:ind w:left="34"/>
              <w:jc w:val="center"/>
              <w:rPr>
                <w:rFonts w:ascii="Times New Roman"/>
                <w:sz w:val="17"/>
              </w:rPr>
            </w:pPr>
            <w:r>
              <w:rPr>
                <w:rFonts w:ascii="Times New Roman"/>
                <w:spacing w:val="-10"/>
                <w:sz w:val="17"/>
              </w:rPr>
              <w:t>G</w:t>
            </w:r>
          </w:p>
        </w:tc>
        <w:tc>
          <w:tcPr>
            <w:tcW w:w="5188" w:type="dxa"/>
            <w:tcBorders>
              <w:top w:val="nil"/>
              <w:left w:val="single" w:sz="6" w:space="0" w:color="000000"/>
              <w:bottom w:val="nil"/>
              <w:right w:val="single" w:sz="6" w:space="0" w:color="000000"/>
            </w:tcBorders>
          </w:tcPr>
          <w:p w:rsidR="007F6DF9" w:rsidRDefault="00A43FBC">
            <w:pPr>
              <w:pStyle w:val="TableParagraph"/>
              <w:spacing w:before="101"/>
              <w:ind w:left="30"/>
              <w:rPr>
                <w:rFonts w:ascii="Times New Roman"/>
                <w:sz w:val="17"/>
              </w:rPr>
            </w:pPr>
            <w:r>
              <w:rPr>
                <w:rFonts w:ascii="Times New Roman"/>
                <w:sz w:val="17"/>
              </w:rPr>
              <w:t>200mm</w:t>
            </w:r>
            <w:r>
              <w:rPr>
                <w:rFonts w:ascii="Times New Roman"/>
                <w:spacing w:val="-5"/>
                <w:sz w:val="17"/>
              </w:rPr>
              <w:t xml:space="preserve"> </w:t>
            </w:r>
            <w:r>
              <w:rPr>
                <w:rFonts w:ascii="Times New Roman"/>
                <w:sz w:val="17"/>
              </w:rPr>
              <w:t>Thick walling</w:t>
            </w:r>
            <w:r>
              <w:rPr>
                <w:rFonts w:ascii="Times New Roman"/>
                <w:spacing w:val="-2"/>
                <w:sz w:val="17"/>
              </w:rPr>
              <w:t xml:space="preserve"> externally</w:t>
            </w:r>
          </w:p>
          <w:p w:rsidR="007F6DF9" w:rsidRDefault="007F6DF9">
            <w:pPr>
              <w:pStyle w:val="TableParagraph"/>
              <w:spacing w:before="45"/>
              <w:rPr>
                <w:rFonts w:ascii="Arial MT"/>
                <w:sz w:val="17"/>
              </w:rPr>
            </w:pPr>
          </w:p>
          <w:p w:rsidR="007F6DF9" w:rsidRDefault="00A43FBC">
            <w:pPr>
              <w:pStyle w:val="TableParagraph"/>
              <w:spacing w:before="1"/>
              <w:ind w:left="30"/>
              <w:rPr>
                <w:rFonts w:ascii="Times New Roman"/>
                <w:b/>
                <w:sz w:val="17"/>
              </w:rPr>
            </w:pPr>
            <w:r>
              <w:rPr>
                <w:rFonts w:ascii="Times New Roman"/>
                <w:b/>
                <w:sz w:val="17"/>
                <w:u w:val="single"/>
              </w:rPr>
              <w:t>12mm</w:t>
            </w:r>
            <w:r>
              <w:rPr>
                <w:rFonts w:ascii="Times New Roman"/>
                <w:b/>
                <w:spacing w:val="-1"/>
                <w:sz w:val="17"/>
                <w:u w:val="single"/>
              </w:rPr>
              <w:t xml:space="preserve"> </w:t>
            </w:r>
            <w:r>
              <w:rPr>
                <w:rFonts w:ascii="Times New Roman"/>
                <w:b/>
                <w:sz w:val="17"/>
                <w:u w:val="single"/>
              </w:rPr>
              <w:t>Thick</w:t>
            </w:r>
            <w:r>
              <w:rPr>
                <w:rFonts w:ascii="Times New Roman"/>
                <w:b/>
                <w:spacing w:val="1"/>
                <w:sz w:val="17"/>
                <w:u w:val="single"/>
              </w:rPr>
              <w:t xml:space="preserve"> </w:t>
            </w:r>
            <w:r>
              <w:rPr>
                <w:rFonts w:ascii="Times New Roman"/>
                <w:b/>
                <w:sz w:val="17"/>
                <w:u w:val="single"/>
              </w:rPr>
              <w:t>cement</w:t>
            </w:r>
            <w:r>
              <w:rPr>
                <w:rFonts w:ascii="Times New Roman"/>
                <w:b/>
                <w:spacing w:val="1"/>
                <w:sz w:val="17"/>
                <w:u w:val="single"/>
              </w:rPr>
              <w:t xml:space="preserve"> </w:t>
            </w:r>
            <w:r>
              <w:rPr>
                <w:rFonts w:ascii="Times New Roman"/>
                <w:b/>
                <w:sz w:val="17"/>
                <w:u w:val="single"/>
              </w:rPr>
              <w:t>and</w:t>
            </w:r>
            <w:r>
              <w:rPr>
                <w:rFonts w:ascii="Times New Roman"/>
                <w:b/>
                <w:spacing w:val="-1"/>
                <w:sz w:val="17"/>
                <w:u w:val="single"/>
              </w:rPr>
              <w:t xml:space="preserve"> </w:t>
            </w:r>
            <w:r>
              <w:rPr>
                <w:rFonts w:ascii="Times New Roman"/>
                <w:b/>
                <w:sz w:val="17"/>
                <w:u w:val="single"/>
              </w:rPr>
              <w:t>sand</w:t>
            </w:r>
            <w:r>
              <w:rPr>
                <w:rFonts w:ascii="Times New Roman"/>
                <w:b/>
                <w:spacing w:val="-1"/>
                <w:sz w:val="17"/>
                <w:u w:val="single"/>
              </w:rPr>
              <w:t xml:space="preserve"> </w:t>
            </w:r>
            <w:r>
              <w:rPr>
                <w:rFonts w:ascii="Times New Roman"/>
                <w:b/>
                <w:sz w:val="17"/>
                <w:u w:val="single"/>
              </w:rPr>
              <w:t>(1:3)</w:t>
            </w:r>
            <w:r>
              <w:rPr>
                <w:rFonts w:ascii="Times New Roman"/>
                <w:b/>
                <w:spacing w:val="1"/>
                <w:sz w:val="17"/>
                <w:u w:val="single"/>
              </w:rPr>
              <w:t xml:space="preserve"> </w:t>
            </w:r>
            <w:r>
              <w:rPr>
                <w:rFonts w:ascii="Times New Roman"/>
                <w:b/>
                <w:sz w:val="17"/>
                <w:u w:val="single"/>
              </w:rPr>
              <w:t>plaster</w:t>
            </w:r>
            <w:r>
              <w:rPr>
                <w:rFonts w:ascii="Times New Roman"/>
                <w:b/>
                <w:spacing w:val="1"/>
                <w:sz w:val="17"/>
                <w:u w:val="single"/>
              </w:rPr>
              <w:t xml:space="preserve"> </w:t>
            </w:r>
            <w:r>
              <w:rPr>
                <w:rFonts w:ascii="Times New Roman"/>
                <w:b/>
                <w:spacing w:val="-5"/>
                <w:sz w:val="17"/>
                <w:u w:val="single"/>
              </w:rPr>
              <w:t>to:</w:t>
            </w:r>
          </w:p>
        </w:tc>
        <w:tc>
          <w:tcPr>
            <w:tcW w:w="695" w:type="dxa"/>
            <w:tcBorders>
              <w:top w:val="nil"/>
              <w:left w:val="single" w:sz="6" w:space="0" w:color="000000"/>
              <w:bottom w:val="nil"/>
              <w:right w:val="single" w:sz="6" w:space="0" w:color="000000"/>
            </w:tcBorders>
          </w:tcPr>
          <w:p w:rsidR="007F6DF9" w:rsidRDefault="00A43FBC">
            <w:pPr>
              <w:pStyle w:val="TableParagraph"/>
              <w:spacing w:before="101"/>
              <w:ind w:left="31" w:right="3"/>
              <w:jc w:val="center"/>
              <w:rPr>
                <w:rFonts w:ascii="Times New Roman"/>
                <w:sz w:val="17"/>
              </w:rPr>
            </w:pPr>
            <w:r>
              <w:rPr>
                <w:rFonts w:ascii="Times New Roman"/>
                <w:spacing w:val="-5"/>
                <w:sz w:val="17"/>
              </w:rPr>
              <w:t>94</w:t>
            </w:r>
          </w:p>
        </w:tc>
        <w:tc>
          <w:tcPr>
            <w:tcW w:w="572" w:type="dxa"/>
            <w:tcBorders>
              <w:top w:val="nil"/>
              <w:left w:val="single" w:sz="6" w:space="0" w:color="000000"/>
              <w:bottom w:val="nil"/>
              <w:right w:val="single" w:sz="6" w:space="0" w:color="000000"/>
            </w:tcBorders>
          </w:tcPr>
          <w:p w:rsidR="007F6DF9" w:rsidRDefault="00A43FBC">
            <w:pPr>
              <w:pStyle w:val="TableParagraph"/>
              <w:spacing w:before="101"/>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834"/>
        </w:trPr>
        <w:tc>
          <w:tcPr>
            <w:tcW w:w="449" w:type="dxa"/>
            <w:tcBorders>
              <w:top w:val="nil"/>
              <w:left w:val="single" w:sz="6" w:space="0" w:color="000000"/>
              <w:bottom w:val="nil"/>
              <w:right w:val="single" w:sz="6" w:space="0" w:color="000000"/>
            </w:tcBorders>
          </w:tcPr>
          <w:p w:rsidR="007F6DF9" w:rsidRDefault="00A43FBC">
            <w:pPr>
              <w:pStyle w:val="TableParagraph"/>
              <w:spacing w:before="100"/>
              <w:ind w:left="34"/>
              <w:jc w:val="center"/>
              <w:rPr>
                <w:rFonts w:ascii="Times New Roman"/>
                <w:sz w:val="17"/>
              </w:rPr>
            </w:pPr>
            <w:r>
              <w:rPr>
                <w:rFonts w:ascii="Times New Roman"/>
                <w:spacing w:val="-10"/>
                <w:sz w:val="17"/>
              </w:rPr>
              <w:t>H</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rPr>
                <w:rFonts w:ascii="Times New Roman"/>
                <w:sz w:val="17"/>
              </w:rPr>
            </w:pPr>
            <w:proofErr w:type="gramStart"/>
            <w:r>
              <w:rPr>
                <w:rFonts w:ascii="Times New Roman"/>
                <w:sz w:val="17"/>
              </w:rPr>
              <w:t>Walls</w:t>
            </w:r>
            <w:r>
              <w:rPr>
                <w:rFonts w:ascii="Times New Roman"/>
                <w:spacing w:val="-2"/>
                <w:sz w:val="17"/>
              </w:rPr>
              <w:t xml:space="preserve"> </w:t>
            </w:r>
            <w:r>
              <w:rPr>
                <w:rFonts w:ascii="Times New Roman"/>
                <w:sz w:val="17"/>
              </w:rPr>
              <w:t>,</w:t>
            </w:r>
            <w:proofErr w:type="gramEnd"/>
            <w:r>
              <w:rPr>
                <w:rFonts w:ascii="Times New Roman"/>
                <w:spacing w:val="-1"/>
                <w:sz w:val="17"/>
              </w:rPr>
              <w:t xml:space="preserve"> </w:t>
            </w:r>
            <w:r>
              <w:rPr>
                <w:rFonts w:ascii="Times New Roman"/>
                <w:sz w:val="17"/>
              </w:rPr>
              <w:t>columns</w:t>
            </w:r>
            <w:r>
              <w:rPr>
                <w:rFonts w:ascii="Times New Roman"/>
                <w:spacing w:val="-1"/>
                <w:sz w:val="17"/>
              </w:rPr>
              <w:t xml:space="preserve"> </w:t>
            </w:r>
            <w:r>
              <w:rPr>
                <w:rFonts w:ascii="Times New Roman"/>
                <w:sz w:val="17"/>
              </w:rPr>
              <w:t>and</w:t>
            </w:r>
            <w:r>
              <w:rPr>
                <w:rFonts w:ascii="Times New Roman"/>
                <w:spacing w:val="-3"/>
                <w:sz w:val="17"/>
              </w:rPr>
              <w:t xml:space="preserve"> </w:t>
            </w:r>
            <w:r>
              <w:rPr>
                <w:rFonts w:ascii="Times New Roman"/>
                <w:spacing w:val="-4"/>
                <w:sz w:val="17"/>
              </w:rPr>
              <w:t>beams</w:t>
            </w:r>
          </w:p>
          <w:p w:rsidR="007F6DF9" w:rsidRDefault="007F6DF9">
            <w:pPr>
              <w:pStyle w:val="TableParagraph"/>
              <w:spacing w:before="45"/>
              <w:rPr>
                <w:rFonts w:ascii="Arial MT"/>
                <w:sz w:val="17"/>
              </w:rPr>
            </w:pPr>
          </w:p>
          <w:p w:rsidR="007F6DF9" w:rsidRDefault="00A43FBC">
            <w:pPr>
              <w:pStyle w:val="TableParagraph"/>
              <w:ind w:left="30"/>
              <w:rPr>
                <w:rFonts w:ascii="Times New Roman"/>
                <w:b/>
                <w:sz w:val="17"/>
              </w:rPr>
            </w:pPr>
            <w:r>
              <w:rPr>
                <w:rFonts w:ascii="Times New Roman"/>
                <w:b/>
                <w:sz w:val="17"/>
                <w:u w:val="single"/>
              </w:rPr>
              <w:t>Prepare and</w:t>
            </w:r>
            <w:r>
              <w:rPr>
                <w:rFonts w:ascii="Times New Roman"/>
                <w:b/>
                <w:spacing w:val="-1"/>
                <w:sz w:val="17"/>
                <w:u w:val="single"/>
              </w:rPr>
              <w:t xml:space="preserve"> </w:t>
            </w:r>
            <w:r>
              <w:rPr>
                <w:rFonts w:ascii="Times New Roman"/>
                <w:b/>
                <w:sz w:val="17"/>
                <w:u w:val="single"/>
              </w:rPr>
              <w:t>apply three</w:t>
            </w:r>
            <w:r>
              <w:rPr>
                <w:rFonts w:ascii="Times New Roman"/>
                <w:b/>
                <w:spacing w:val="1"/>
                <w:sz w:val="17"/>
                <w:u w:val="single"/>
              </w:rPr>
              <w:t xml:space="preserve"> </w:t>
            </w:r>
            <w:r>
              <w:rPr>
                <w:rFonts w:ascii="Times New Roman"/>
                <w:b/>
                <w:sz w:val="17"/>
                <w:u w:val="single"/>
              </w:rPr>
              <w:t>coats first</w:t>
            </w:r>
            <w:r>
              <w:rPr>
                <w:rFonts w:ascii="Times New Roman"/>
                <w:b/>
                <w:spacing w:val="1"/>
                <w:sz w:val="17"/>
                <w:u w:val="single"/>
              </w:rPr>
              <w:t xml:space="preserve"> </w:t>
            </w:r>
            <w:r>
              <w:rPr>
                <w:rFonts w:ascii="Times New Roman"/>
                <w:b/>
                <w:sz w:val="17"/>
                <w:u w:val="single"/>
              </w:rPr>
              <w:t>grade plastic emulsion</w:t>
            </w:r>
            <w:r>
              <w:rPr>
                <w:rFonts w:ascii="Times New Roman"/>
                <w:b/>
                <w:spacing w:val="-1"/>
                <w:sz w:val="17"/>
                <w:u w:val="single"/>
              </w:rPr>
              <w:t xml:space="preserve"> </w:t>
            </w:r>
            <w:r>
              <w:rPr>
                <w:rFonts w:ascii="Times New Roman"/>
                <w:b/>
                <w:sz w:val="17"/>
                <w:u w:val="single"/>
              </w:rPr>
              <w:t>paint</w:t>
            </w:r>
            <w:r>
              <w:rPr>
                <w:rFonts w:ascii="Times New Roman"/>
                <w:b/>
                <w:spacing w:val="1"/>
                <w:sz w:val="17"/>
                <w:u w:val="single"/>
              </w:rPr>
              <w:t xml:space="preserve"> </w:t>
            </w:r>
            <w:r>
              <w:rPr>
                <w:rFonts w:ascii="Times New Roman"/>
                <w:b/>
                <w:spacing w:val="-5"/>
                <w:sz w:val="17"/>
                <w:u w:val="single"/>
              </w:rPr>
              <w:t>to:</w:t>
            </w:r>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3"/>
              <w:jc w:val="center"/>
              <w:rPr>
                <w:rFonts w:ascii="Times New Roman"/>
                <w:sz w:val="17"/>
              </w:rPr>
            </w:pPr>
            <w:r>
              <w:rPr>
                <w:rFonts w:ascii="Times New Roman"/>
                <w:spacing w:val="-5"/>
                <w:sz w:val="17"/>
              </w:rPr>
              <w:t>308</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833"/>
        </w:trPr>
        <w:tc>
          <w:tcPr>
            <w:tcW w:w="449" w:type="dxa"/>
            <w:tcBorders>
              <w:top w:val="nil"/>
              <w:left w:val="single" w:sz="6" w:space="0" w:color="000000"/>
              <w:bottom w:val="nil"/>
              <w:right w:val="single" w:sz="6" w:space="0" w:color="000000"/>
            </w:tcBorders>
          </w:tcPr>
          <w:p w:rsidR="007F6DF9" w:rsidRDefault="00A43FBC">
            <w:pPr>
              <w:pStyle w:val="TableParagraph"/>
              <w:spacing w:before="100"/>
              <w:ind w:left="34" w:right="4"/>
              <w:jc w:val="center"/>
              <w:rPr>
                <w:rFonts w:ascii="Times New Roman"/>
                <w:sz w:val="17"/>
              </w:rPr>
            </w:pPr>
            <w:r>
              <w:rPr>
                <w:rFonts w:ascii="Times New Roman"/>
                <w:spacing w:val="-10"/>
                <w:sz w:val="17"/>
              </w:rPr>
              <w:t>J</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rPr>
                <w:rFonts w:ascii="Times New Roman"/>
                <w:sz w:val="17"/>
              </w:rPr>
            </w:pPr>
            <w:r>
              <w:rPr>
                <w:rFonts w:ascii="Times New Roman"/>
                <w:sz w:val="17"/>
              </w:rPr>
              <w:t>Plastered</w:t>
            </w:r>
            <w:r>
              <w:rPr>
                <w:rFonts w:ascii="Times New Roman"/>
                <w:spacing w:val="-3"/>
                <w:sz w:val="17"/>
              </w:rPr>
              <w:t xml:space="preserve"> </w:t>
            </w:r>
            <w:r>
              <w:rPr>
                <w:rFonts w:ascii="Times New Roman"/>
                <w:spacing w:val="-2"/>
                <w:sz w:val="17"/>
              </w:rPr>
              <w:t>walls</w:t>
            </w:r>
          </w:p>
          <w:p w:rsidR="007F6DF9" w:rsidRDefault="007F6DF9">
            <w:pPr>
              <w:pStyle w:val="TableParagraph"/>
              <w:spacing w:before="45"/>
              <w:rPr>
                <w:rFonts w:ascii="Arial MT"/>
                <w:sz w:val="17"/>
              </w:rPr>
            </w:pPr>
          </w:p>
          <w:p w:rsidR="007F6DF9" w:rsidRDefault="00A43FBC">
            <w:pPr>
              <w:pStyle w:val="TableParagraph"/>
              <w:ind w:left="30"/>
              <w:rPr>
                <w:rFonts w:ascii="Times New Roman"/>
                <w:b/>
                <w:sz w:val="17"/>
              </w:rPr>
            </w:pPr>
            <w:r>
              <w:rPr>
                <w:rFonts w:ascii="Times New Roman"/>
                <w:b/>
                <w:sz w:val="17"/>
                <w:u w:val="single"/>
              </w:rPr>
              <w:t>Mild</w:t>
            </w:r>
            <w:r>
              <w:rPr>
                <w:rFonts w:ascii="Times New Roman"/>
                <w:b/>
                <w:spacing w:val="-1"/>
                <w:sz w:val="17"/>
                <w:u w:val="single"/>
              </w:rPr>
              <w:t xml:space="preserve"> </w:t>
            </w:r>
            <w:r>
              <w:rPr>
                <w:rFonts w:ascii="Times New Roman"/>
                <w:b/>
                <w:sz w:val="17"/>
                <w:u w:val="single"/>
              </w:rPr>
              <w:t>Steel</w:t>
            </w:r>
            <w:r>
              <w:rPr>
                <w:rFonts w:ascii="Times New Roman"/>
                <w:b/>
                <w:spacing w:val="1"/>
                <w:sz w:val="17"/>
                <w:u w:val="single"/>
              </w:rPr>
              <w:t xml:space="preserve"> </w:t>
            </w:r>
            <w:r>
              <w:rPr>
                <w:rFonts w:ascii="Times New Roman"/>
                <w:b/>
                <w:spacing w:val="-2"/>
                <w:sz w:val="17"/>
                <w:u w:val="single"/>
              </w:rPr>
              <w:t>doors</w:t>
            </w:r>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3"/>
              <w:jc w:val="center"/>
              <w:rPr>
                <w:rFonts w:ascii="Times New Roman"/>
                <w:sz w:val="17"/>
              </w:rPr>
            </w:pPr>
            <w:r>
              <w:rPr>
                <w:rFonts w:ascii="Times New Roman"/>
                <w:spacing w:val="-5"/>
                <w:sz w:val="17"/>
              </w:rPr>
              <w:t>308</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1050"/>
        </w:trPr>
        <w:tc>
          <w:tcPr>
            <w:tcW w:w="449" w:type="dxa"/>
            <w:tcBorders>
              <w:top w:val="nil"/>
              <w:left w:val="single" w:sz="6" w:space="0" w:color="000000"/>
              <w:bottom w:val="nil"/>
              <w:right w:val="single" w:sz="6" w:space="0" w:color="000000"/>
            </w:tcBorders>
          </w:tcPr>
          <w:p w:rsidR="007F6DF9" w:rsidRDefault="00A43FBC">
            <w:pPr>
              <w:pStyle w:val="TableParagraph"/>
              <w:spacing w:before="100"/>
              <w:ind w:left="34"/>
              <w:jc w:val="center"/>
              <w:rPr>
                <w:rFonts w:ascii="Times New Roman"/>
                <w:sz w:val="17"/>
              </w:rPr>
            </w:pPr>
            <w:r>
              <w:rPr>
                <w:rFonts w:ascii="Times New Roman"/>
                <w:spacing w:val="-10"/>
                <w:sz w:val="17"/>
              </w:rPr>
              <w:t>K</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line="261" w:lineRule="auto"/>
              <w:ind w:left="30" w:right="97"/>
              <w:rPr>
                <w:rFonts w:ascii="Times New Roman"/>
                <w:sz w:val="17"/>
              </w:rPr>
            </w:pPr>
            <w:r>
              <w:rPr>
                <w:rFonts w:ascii="Times New Roman"/>
                <w:sz w:val="17"/>
              </w:rPr>
              <w:t>1200 x 2400mm High gate in 2No. equal leaves each measuring 600 x 2400mm</w:t>
            </w:r>
            <w:r>
              <w:rPr>
                <w:rFonts w:ascii="Times New Roman"/>
                <w:spacing w:val="-3"/>
                <w:sz w:val="17"/>
              </w:rPr>
              <w:t xml:space="preserve"> </w:t>
            </w:r>
            <w:r>
              <w:rPr>
                <w:rFonts w:ascii="Times New Roman"/>
                <w:sz w:val="17"/>
              </w:rPr>
              <w:t>high</w:t>
            </w:r>
            <w:r>
              <w:rPr>
                <w:rFonts w:ascii="Times New Roman"/>
                <w:spacing w:val="-1"/>
                <w:sz w:val="17"/>
              </w:rPr>
              <w:t xml:space="preserve"> </w:t>
            </w:r>
            <w:r>
              <w:rPr>
                <w:rFonts w:ascii="Times New Roman"/>
                <w:sz w:val="17"/>
              </w:rPr>
              <w:t>comprising</w:t>
            </w:r>
            <w:r>
              <w:rPr>
                <w:rFonts w:ascii="Times New Roman"/>
                <w:spacing w:val="-1"/>
                <w:sz w:val="17"/>
              </w:rPr>
              <w:t xml:space="preserve"> </w:t>
            </w:r>
            <w:r>
              <w:rPr>
                <w:rFonts w:ascii="Times New Roman"/>
                <w:sz w:val="17"/>
              </w:rPr>
              <w:t>75 x</w:t>
            </w:r>
            <w:r>
              <w:rPr>
                <w:rFonts w:ascii="Times New Roman"/>
                <w:spacing w:val="-1"/>
                <w:sz w:val="17"/>
              </w:rPr>
              <w:t xml:space="preserve"> </w:t>
            </w:r>
            <w:r>
              <w:rPr>
                <w:rFonts w:ascii="Times New Roman"/>
                <w:sz w:val="17"/>
              </w:rPr>
              <w:t>50 x</w:t>
            </w:r>
            <w:r>
              <w:rPr>
                <w:rFonts w:ascii="Times New Roman"/>
                <w:spacing w:val="-1"/>
                <w:sz w:val="17"/>
              </w:rPr>
              <w:t xml:space="preserve"> </w:t>
            </w:r>
            <w:r>
              <w:rPr>
                <w:rFonts w:ascii="Times New Roman"/>
                <w:sz w:val="17"/>
              </w:rPr>
              <w:t>6mm</w:t>
            </w:r>
            <w:r>
              <w:rPr>
                <w:rFonts w:ascii="Times New Roman"/>
                <w:spacing w:val="-3"/>
                <w:sz w:val="17"/>
              </w:rPr>
              <w:t xml:space="preserve"> </w:t>
            </w:r>
            <w:r>
              <w:rPr>
                <w:rFonts w:ascii="Times New Roman"/>
                <w:sz w:val="17"/>
              </w:rPr>
              <w:t>thick R.H.S</w:t>
            </w:r>
            <w:r>
              <w:rPr>
                <w:rFonts w:ascii="Times New Roman"/>
                <w:spacing w:val="-1"/>
                <w:sz w:val="17"/>
              </w:rPr>
              <w:t xml:space="preserve"> </w:t>
            </w:r>
            <w:r>
              <w:rPr>
                <w:rFonts w:ascii="Times New Roman"/>
                <w:sz w:val="17"/>
              </w:rPr>
              <w:t>framing</w:t>
            </w:r>
            <w:r>
              <w:rPr>
                <w:rFonts w:ascii="Times New Roman"/>
                <w:spacing w:val="-1"/>
                <w:sz w:val="17"/>
              </w:rPr>
              <w:t xml:space="preserve"> </w:t>
            </w:r>
            <w:r>
              <w:rPr>
                <w:rFonts w:ascii="Times New Roman"/>
                <w:sz w:val="17"/>
              </w:rPr>
              <w:t>all round and</w:t>
            </w:r>
            <w:r>
              <w:rPr>
                <w:rFonts w:ascii="Times New Roman"/>
                <w:spacing w:val="-3"/>
                <w:sz w:val="17"/>
              </w:rPr>
              <w:t xml:space="preserve"> </w:t>
            </w:r>
            <w:r>
              <w:rPr>
                <w:rFonts w:ascii="Times New Roman"/>
                <w:sz w:val="17"/>
              </w:rPr>
              <w:t>50</w:t>
            </w:r>
            <w:r>
              <w:rPr>
                <w:rFonts w:ascii="Times New Roman"/>
                <w:spacing w:val="-1"/>
                <w:sz w:val="17"/>
              </w:rPr>
              <w:t xml:space="preserve"> </w:t>
            </w:r>
            <w:r>
              <w:rPr>
                <w:rFonts w:ascii="Times New Roman"/>
                <w:sz w:val="17"/>
              </w:rPr>
              <w:t>x</w:t>
            </w:r>
            <w:r>
              <w:rPr>
                <w:rFonts w:ascii="Times New Roman"/>
                <w:spacing w:val="-3"/>
                <w:sz w:val="17"/>
              </w:rPr>
              <w:t xml:space="preserve"> </w:t>
            </w:r>
            <w:r>
              <w:rPr>
                <w:rFonts w:ascii="Times New Roman"/>
                <w:sz w:val="17"/>
              </w:rPr>
              <w:t>25</w:t>
            </w:r>
            <w:r>
              <w:rPr>
                <w:rFonts w:ascii="Times New Roman"/>
                <w:spacing w:val="-1"/>
                <w:sz w:val="17"/>
              </w:rPr>
              <w:t xml:space="preserve"> </w:t>
            </w:r>
            <w:r>
              <w:rPr>
                <w:rFonts w:ascii="Times New Roman"/>
                <w:sz w:val="17"/>
              </w:rPr>
              <w:t>x</w:t>
            </w:r>
            <w:r>
              <w:rPr>
                <w:rFonts w:ascii="Times New Roman"/>
                <w:spacing w:val="-3"/>
                <w:sz w:val="17"/>
              </w:rPr>
              <w:t xml:space="preserve"> </w:t>
            </w:r>
            <w:r>
              <w:rPr>
                <w:rFonts w:ascii="Times New Roman"/>
                <w:sz w:val="17"/>
              </w:rPr>
              <w:t>6mm</w:t>
            </w:r>
            <w:r>
              <w:rPr>
                <w:rFonts w:ascii="Times New Roman"/>
                <w:spacing w:val="-5"/>
                <w:sz w:val="17"/>
              </w:rPr>
              <w:t xml:space="preserve"> </w:t>
            </w:r>
            <w:r>
              <w:rPr>
                <w:rFonts w:ascii="Times New Roman"/>
                <w:sz w:val="17"/>
              </w:rPr>
              <w:t>thick</w:t>
            </w:r>
            <w:r>
              <w:rPr>
                <w:rFonts w:ascii="Times New Roman"/>
                <w:spacing w:val="-1"/>
                <w:sz w:val="17"/>
              </w:rPr>
              <w:t xml:space="preserve"> </w:t>
            </w:r>
            <w:r>
              <w:rPr>
                <w:rFonts w:ascii="Times New Roman"/>
                <w:sz w:val="17"/>
              </w:rPr>
              <w:t>infill</w:t>
            </w:r>
            <w:r>
              <w:rPr>
                <w:rFonts w:ascii="Times New Roman"/>
                <w:spacing w:val="-1"/>
                <w:sz w:val="17"/>
              </w:rPr>
              <w:t xml:space="preserve"> </w:t>
            </w:r>
            <w:r>
              <w:rPr>
                <w:rFonts w:ascii="Times New Roman"/>
                <w:sz w:val="17"/>
              </w:rPr>
              <w:t>bars</w:t>
            </w:r>
            <w:r>
              <w:rPr>
                <w:rFonts w:ascii="Times New Roman"/>
                <w:spacing w:val="-1"/>
                <w:sz w:val="17"/>
              </w:rPr>
              <w:t xml:space="preserve"> </w:t>
            </w:r>
            <w:r>
              <w:rPr>
                <w:rFonts w:ascii="Times New Roman"/>
                <w:sz w:val="17"/>
              </w:rPr>
              <w:t>at</w:t>
            </w:r>
            <w:r>
              <w:rPr>
                <w:rFonts w:ascii="Times New Roman"/>
                <w:spacing w:val="-1"/>
                <w:sz w:val="17"/>
              </w:rPr>
              <w:t xml:space="preserve"> </w:t>
            </w:r>
            <w:r>
              <w:rPr>
                <w:rFonts w:ascii="Times New Roman"/>
                <w:sz w:val="17"/>
              </w:rPr>
              <w:t>200mm</w:t>
            </w:r>
            <w:r>
              <w:rPr>
                <w:rFonts w:ascii="Times New Roman"/>
                <w:spacing w:val="-5"/>
                <w:sz w:val="17"/>
              </w:rPr>
              <w:t xml:space="preserve"> </w:t>
            </w:r>
            <w:proofErr w:type="spellStart"/>
            <w:r>
              <w:rPr>
                <w:rFonts w:ascii="Times New Roman"/>
                <w:sz w:val="17"/>
              </w:rPr>
              <w:t>centres</w:t>
            </w:r>
            <w:proofErr w:type="spellEnd"/>
            <w:r>
              <w:rPr>
                <w:rFonts w:ascii="Times New Roman"/>
                <w:spacing w:val="-1"/>
                <w:sz w:val="17"/>
              </w:rPr>
              <w:t xml:space="preserve"> </w:t>
            </w:r>
            <w:r>
              <w:rPr>
                <w:rFonts w:ascii="Times New Roman"/>
                <w:sz w:val="17"/>
              </w:rPr>
              <w:t>including</w:t>
            </w:r>
            <w:r>
              <w:rPr>
                <w:rFonts w:ascii="Times New Roman"/>
                <w:spacing w:val="-3"/>
                <w:sz w:val="17"/>
              </w:rPr>
              <w:t xml:space="preserve"> </w:t>
            </w:r>
            <w:r>
              <w:rPr>
                <w:rFonts w:ascii="Times New Roman"/>
                <w:sz w:val="17"/>
              </w:rPr>
              <w:t>purpose made hanging and locking accessories</w:t>
            </w:r>
          </w:p>
        </w:tc>
        <w:tc>
          <w:tcPr>
            <w:tcW w:w="695" w:type="dxa"/>
            <w:tcBorders>
              <w:top w:val="nil"/>
              <w:left w:val="single" w:sz="6" w:space="0" w:color="000000"/>
              <w:bottom w:val="nil"/>
              <w:right w:val="single" w:sz="6" w:space="0" w:color="000000"/>
            </w:tcBorders>
          </w:tcPr>
          <w:p w:rsidR="007F6DF9" w:rsidRDefault="007F6DF9">
            <w:pPr>
              <w:pStyle w:val="TableParagraph"/>
              <w:rPr>
                <w:rFonts w:ascii="Arial MT"/>
                <w:sz w:val="17"/>
              </w:rPr>
            </w:pPr>
          </w:p>
          <w:p w:rsidR="007F6DF9" w:rsidRDefault="007F6DF9">
            <w:pPr>
              <w:pStyle w:val="TableParagraph"/>
              <w:rPr>
                <w:rFonts w:ascii="Arial MT"/>
                <w:sz w:val="17"/>
              </w:rPr>
            </w:pPr>
          </w:p>
          <w:p w:rsidR="007F6DF9" w:rsidRDefault="007F6DF9">
            <w:pPr>
              <w:pStyle w:val="TableParagraph"/>
              <w:spacing w:before="161"/>
              <w:rPr>
                <w:rFonts w:ascii="Arial MT"/>
                <w:sz w:val="17"/>
              </w:rPr>
            </w:pPr>
          </w:p>
          <w:p w:rsidR="007F6DF9" w:rsidRDefault="00A43FBC">
            <w:pPr>
              <w:pStyle w:val="TableParagraph"/>
              <w:ind w:left="31" w:right="4"/>
              <w:jc w:val="center"/>
              <w:rPr>
                <w:rFonts w:ascii="Times New Roman"/>
                <w:sz w:val="17"/>
              </w:rPr>
            </w:pPr>
            <w:r>
              <w:rPr>
                <w:rFonts w:ascii="Times New Roman"/>
                <w:spacing w:val="-10"/>
                <w:sz w:val="17"/>
              </w:rPr>
              <w:t>1</w:t>
            </w:r>
          </w:p>
        </w:tc>
        <w:tc>
          <w:tcPr>
            <w:tcW w:w="572" w:type="dxa"/>
            <w:tcBorders>
              <w:top w:val="nil"/>
              <w:left w:val="single" w:sz="6" w:space="0" w:color="000000"/>
              <w:bottom w:val="nil"/>
              <w:right w:val="single" w:sz="6" w:space="0" w:color="000000"/>
            </w:tcBorders>
          </w:tcPr>
          <w:p w:rsidR="007F6DF9" w:rsidRDefault="007F6DF9">
            <w:pPr>
              <w:pStyle w:val="TableParagraph"/>
              <w:rPr>
                <w:rFonts w:ascii="Arial MT"/>
                <w:sz w:val="17"/>
              </w:rPr>
            </w:pPr>
          </w:p>
          <w:p w:rsidR="007F6DF9" w:rsidRDefault="007F6DF9">
            <w:pPr>
              <w:pStyle w:val="TableParagraph"/>
              <w:rPr>
                <w:rFonts w:ascii="Arial MT"/>
                <w:sz w:val="17"/>
              </w:rPr>
            </w:pPr>
          </w:p>
          <w:p w:rsidR="007F6DF9" w:rsidRDefault="007F6DF9">
            <w:pPr>
              <w:pStyle w:val="TableParagraph"/>
              <w:spacing w:before="161"/>
              <w:rPr>
                <w:rFonts w:ascii="Arial MT"/>
                <w:sz w:val="17"/>
              </w:rPr>
            </w:pPr>
          </w:p>
          <w:p w:rsidR="007F6DF9" w:rsidRDefault="00A43FBC">
            <w:pPr>
              <w:pStyle w:val="TableParagraph"/>
              <w:ind w:left="30" w:right="1"/>
              <w:jc w:val="center"/>
              <w:rPr>
                <w:rFonts w:ascii="Times New Roman"/>
                <w:sz w:val="17"/>
              </w:rPr>
            </w:pPr>
            <w:r>
              <w:rPr>
                <w:rFonts w:ascii="Times New Roman"/>
                <w:spacing w:val="-5"/>
                <w:sz w:val="17"/>
              </w:rPr>
              <w:t>NO</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403"/>
        </w:trPr>
        <w:tc>
          <w:tcPr>
            <w:tcW w:w="449" w:type="dxa"/>
            <w:tcBorders>
              <w:top w:val="nil"/>
              <w:left w:val="single" w:sz="6" w:space="0" w:color="000000"/>
              <w:bottom w:val="nil"/>
              <w:right w:val="single" w:sz="6" w:space="0" w:color="000000"/>
            </w:tcBorders>
          </w:tcPr>
          <w:p w:rsidR="007F6DF9" w:rsidRDefault="00A43FBC">
            <w:pPr>
              <w:pStyle w:val="TableParagraph"/>
              <w:spacing w:before="102"/>
              <w:ind w:left="34"/>
              <w:jc w:val="center"/>
              <w:rPr>
                <w:rFonts w:ascii="Times New Roman"/>
                <w:sz w:val="17"/>
              </w:rPr>
            </w:pPr>
            <w:r>
              <w:rPr>
                <w:rFonts w:ascii="Times New Roman"/>
                <w:spacing w:val="-10"/>
                <w:sz w:val="17"/>
              </w:rPr>
              <w:t>L</w:t>
            </w:r>
          </w:p>
        </w:tc>
        <w:tc>
          <w:tcPr>
            <w:tcW w:w="5188" w:type="dxa"/>
            <w:tcBorders>
              <w:top w:val="nil"/>
              <w:left w:val="single" w:sz="6" w:space="0" w:color="000000"/>
              <w:bottom w:val="nil"/>
              <w:right w:val="single" w:sz="6" w:space="0" w:color="000000"/>
            </w:tcBorders>
          </w:tcPr>
          <w:p w:rsidR="007F6DF9" w:rsidRDefault="00A43FBC">
            <w:pPr>
              <w:pStyle w:val="TableParagraph"/>
              <w:spacing w:before="99"/>
              <w:ind w:left="30"/>
              <w:rPr>
                <w:rFonts w:ascii="Times New Roman"/>
                <w:sz w:val="17"/>
              </w:rPr>
            </w:pPr>
            <w:r>
              <w:rPr>
                <w:rFonts w:ascii="Times New Roman"/>
                <w:sz w:val="17"/>
              </w:rPr>
              <w:t>Provide</w:t>
            </w:r>
            <w:r>
              <w:rPr>
                <w:rFonts w:ascii="Times New Roman"/>
                <w:spacing w:val="-5"/>
                <w:sz w:val="17"/>
              </w:rPr>
              <w:t xml:space="preserve"> </w:t>
            </w:r>
            <w:proofErr w:type="spellStart"/>
            <w:r>
              <w:rPr>
                <w:rFonts w:ascii="Times New Roman"/>
                <w:sz w:val="17"/>
              </w:rPr>
              <w:t>Kshs</w:t>
            </w:r>
            <w:proofErr w:type="spellEnd"/>
            <w:r>
              <w:rPr>
                <w:rFonts w:ascii="Times New Roman"/>
                <w:sz w:val="17"/>
              </w:rPr>
              <w:t>.</w:t>
            </w:r>
            <w:r>
              <w:rPr>
                <w:rFonts w:ascii="Times New Roman"/>
                <w:spacing w:val="-3"/>
                <w:sz w:val="17"/>
              </w:rPr>
              <w:t xml:space="preserve"> </w:t>
            </w:r>
            <w:r>
              <w:rPr>
                <w:rFonts w:ascii="Times New Roman"/>
                <w:sz w:val="17"/>
              </w:rPr>
              <w:t>200,000</w:t>
            </w:r>
            <w:r>
              <w:rPr>
                <w:rFonts w:ascii="Times New Roman"/>
                <w:spacing w:val="-3"/>
                <w:sz w:val="17"/>
              </w:rPr>
              <w:t xml:space="preserve"> </w:t>
            </w:r>
            <w:r>
              <w:rPr>
                <w:rFonts w:ascii="Times New Roman"/>
                <w:sz w:val="17"/>
              </w:rPr>
              <w:t>for</w:t>
            </w:r>
            <w:r>
              <w:rPr>
                <w:rFonts w:ascii="Times New Roman"/>
                <w:spacing w:val="-3"/>
                <w:sz w:val="17"/>
              </w:rPr>
              <w:t xml:space="preserve"> </w:t>
            </w:r>
            <w:r>
              <w:rPr>
                <w:rFonts w:ascii="Times New Roman"/>
                <w:sz w:val="17"/>
              </w:rPr>
              <w:t>excavations</w:t>
            </w:r>
            <w:r>
              <w:rPr>
                <w:rFonts w:ascii="Times New Roman"/>
                <w:spacing w:val="-3"/>
                <w:sz w:val="17"/>
              </w:rPr>
              <w:t xml:space="preserve"> </w:t>
            </w:r>
            <w:r>
              <w:rPr>
                <w:rFonts w:ascii="Times New Roman"/>
                <w:sz w:val="17"/>
              </w:rPr>
              <w:t>and</w:t>
            </w:r>
            <w:r>
              <w:rPr>
                <w:rFonts w:ascii="Times New Roman"/>
                <w:spacing w:val="-5"/>
                <w:sz w:val="17"/>
              </w:rPr>
              <w:t xml:space="preserve"> </w:t>
            </w:r>
            <w:r>
              <w:rPr>
                <w:rFonts w:ascii="Times New Roman"/>
                <w:sz w:val="17"/>
              </w:rPr>
              <w:t>other</w:t>
            </w:r>
            <w:r>
              <w:rPr>
                <w:rFonts w:ascii="Times New Roman"/>
                <w:spacing w:val="-3"/>
                <w:sz w:val="17"/>
              </w:rPr>
              <w:t xml:space="preserve"> </w:t>
            </w:r>
            <w:r>
              <w:rPr>
                <w:rFonts w:ascii="Times New Roman"/>
                <w:sz w:val="17"/>
              </w:rPr>
              <w:t>remedial</w:t>
            </w:r>
            <w:r>
              <w:rPr>
                <w:rFonts w:ascii="Times New Roman"/>
                <w:spacing w:val="-2"/>
                <w:sz w:val="17"/>
              </w:rPr>
              <w:t xml:space="preserve"> </w:t>
            </w:r>
            <w:r>
              <w:rPr>
                <w:rFonts w:ascii="Times New Roman"/>
                <w:spacing w:val="-4"/>
                <w:sz w:val="17"/>
              </w:rPr>
              <w:t>works</w:t>
            </w:r>
          </w:p>
        </w:tc>
        <w:tc>
          <w:tcPr>
            <w:tcW w:w="695" w:type="dxa"/>
            <w:tcBorders>
              <w:top w:val="nil"/>
              <w:left w:val="single" w:sz="6" w:space="0" w:color="000000"/>
              <w:bottom w:val="nil"/>
              <w:right w:val="single" w:sz="6" w:space="0" w:color="000000"/>
            </w:tcBorders>
          </w:tcPr>
          <w:p w:rsidR="007F6DF9" w:rsidRDefault="00A43FBC">
            <w:pPr>
              <w:pStyle w:val="TableParagraph"/>
              <w:spacing w:before="99"/>
              <w:ind w:left="31" w:right="1"/>
              <w:jc w:val="center"/>
              <w:rPr>
                <w:rFonts w:ascii="Times New Roman"/>
                <w:sz w:val="17"/>
              </w:rPr>
            </w:pPr>
            <w:r>
              <w:rPr>
                <w:rFonts w:ascii="Times New Roman"/>
                <w:spacing w:val="-5"/>
                <w:sz w:val="17"/>
              </w:rPr>
              <w:t>SUM</w:t>
            </w:r>
          </w:p>
        </w:tc>
        <w:tc>
          <w:tcPr>
            <w:tcW w:w="572" w:type="dxa"/>
            <w:tcBorders>
              <w:top w:val="nil"/>
              <w:left w:val="single" w:sz="6" w:space="0" w:color="000000"/>
              <w:bottom w:val="nil"/>
              <w:right w:val="single" w:sz="6" w:space="0" w:color="000000"/>
            </w:tcBorders>
          </w:tcPr>
          <w:p w:rsidR="007F6DF9" w:rsidRDefault="007F6DF9">
            <w:pPr>
              <w:pStyle w:val="TableParagraph"/>
              <w:rPr>
                <w:rFonts w:ascii="Times New Roman"/>
                <w:sz w:val="16"/>
              </w:rPr>
            </w:pP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949"/>
        </w:trPr>
        <w:tc>
          <w:tcPr>
            <w:tcW w:w="449" w:type="dxa"/>
            <w:tcBorders>
              <w:top w:val="nil"/>
              <w:left w:val="single" w:sz="6" w:space="0" w:color="000000"/>
              <w:right w:val="single" w:sz="6" w:space="0" w:color="000000"/>
            </w:tcBorders>
          </w:tcPr>
          <w:p w:rsidR="007F6DF9" w:rsidRDefault="00A43FBC">
            <w:pPr>
              <w:pStyle w:val="TableParagraph"/>
              <w:spacing w:before="101"/>
              <w:ind w:left="34" w:right="1"/>
              <w:jc w:val="center"/>
              <w:rPr>
                <w:rFonts w:ascii="Times New Roman"/>
                <w:sz w:val="17"/>
              </w:rPr>
            </w:pPr>
            <w:r>
              <w:rPr>
                <w:rFonts w:ascii="Times New Roman"/>
                <w:spacing w:val="-10"/>
                <w:sz w:val="17"/>
              </w:rPr>
              <w:t>M</w:t>
            </w:r>
          </w:p>
        </w:tc>
        <w:tc>
          <w:tcPr>
            <w:tcW w:w="5188" w:type="dxa"/>
            <w:tcBorders>
              <w:top w:val="nil"/>
              <w:left w:val="single" w:sz="6" w:space="0" w:color="000000"/>
              <w:right w:val="single" w:sz="6" w:space="0" w:color="000000"/>
            </w:tcBorders>
          </w:tcPr>
          <w:p w:rsidR="007F6DF9" w:rsidRDefault="00A43FBC">
            <w:pPr>
              <w:pStyle w:val="TableParagraph"/>
              <w:spacing w:before="99"/>
              <w:ind w:left="30"/>
              <w:rPr>
                <w:rFonts w:ascii="Times New Roman"/>
                <w:sz w:val="17"/>
              </w:rPr>
            </w:pPr>
            <w:r>
              <w:rPr>
                <w:rFonts w:ascii="Times New Roman"/>
                <w:sz w:val="17"/>
              </w:rPr>
              <w:t>Provide</w:t>
            </w:r>
            <w:r>
              <w:rPr>
                <w:rFonts w:ascii="Times New Roman"/>
                <w:spacing w:val="-5"/>
                <w:sz w:val="17"/>
              </w:rPr>
              <w:t xml:space="preserve"> </w:t>
            </w:r>
            <w:proofErr w:type="spellStart"/>
            <w:r>
              <w:rPr>
                <w:rFonts w:ascii="Times New Roman"/>
                <w:sz w:val="17"/>
              </w:rPr>
              <w:t>Kshs</w:t>
            </w:r>
            <w:proofErr w:type="spellEnd"/>
            <w:r>
              <w:rPr>
                <w:rFonts w:ascii="Times New Roman"/>
                <w:sz w:val="17"/>
              </w:rPr>
              <w:t>.</w:t>
            </w:r>
            <w:r>
              <w:rPr>
                <w:rFonts w:ascii="Times New Roman"/>
                <w:spacing w:val="-2"/>
                <w:sz w:val="17"/>
              </w:rPr>
              <w:t xml:space="preserve"> </w:t>
            </w:r>
            <w:r>
              <w:rPr>
                <w:rFonts w:ascii="Times New Roman"/>
                <w:sz w:val="17"/>
              </w:rPr>
              <w:t>150,000</w:t>
            </w:r>
            <w:r>
              <w:rPr>
                <w:rFonts w:ascii="Times New Roman"/>
                <w:spacing w:val="-3"/>
                <w:sz w:val="17"/>
              </w:rPr>
              <w:t xml:space="preserve"> </w:t>
            </w:r>
            <w:r>
              <w:rPr>
                <w:rFonts w:ascii="Times New Roman"/>
                <w:sz w:val="17"/>
              </w:rPr>
              <w:t>for</w:t>
            </w:r>
            <w:r>
              <w:rPr>
                <w:rFonts w:ascii="Times New Roman"/>
                <w:spacing w:val="-2"/>
                <w:sz w:val="17"/>
              </w:rPr>
              <w:t xml:space="preserve"> </w:t>
            </w:r>
            <w:r>
              <w:rPr>
                <w:rFonts w:ascii="Times New Roman"/>
                <w:sz w:val="17"/>
              </w:rPr>
              <w:t>contingency</w:t>
            </w:r>
            <w:r>
              <w:rPr>
                <w:rFonts w:ascii="Times New Roman"/>
                <w:spacing w:val="-6"/>
                <w:sz w:val="17"/>
              </w:rPr>
              <w:t xml:space="preserve"> </w:t>
            </w:r>
            <w:r>
              <w:rPr>
                <w:rFonts w:ascii="Times New Roman"/>
                <w:spacing w:val="-4"/>
                <w:sz w:val="17"/>
              </w:rPr>
              <w:t>sums</w:t>
            </w:r>
          </w:p>
        </w:tc>
        <w:tc>
          <w:tcPr>
            <w:tcW w:w="695" w:type="dxa"/>
            <w:tcBorders>
              <w:top w:val="nil"/>
              <w:left w:val="single" w:sz="6" w:space="0" w:color="000000"/>
              <w:right w:val="single" w:sz="6" w:space="0" w:color="000000"/>
            </w:tcBorders>
          </w:tcPr>
          <w:p w:rsidR="007F6DF9" w:rsidRDefault="00A43FBC">
            <w:pPr>
              <w:pStyle w:val="TableParagraph"/>
              <w:spacing w:before="99"/>
              <w:ind w:left="31" w:right="1"/>
              <w:jc w:val="center"/>
              <w:rPr>
                <w:rFonts w:ascii="Times New Roman"/>
                <w:sz w:val="17"/>
              </w:rPr>
            </w:pPr>
            <w:r>
              <w:rPr>
                <w:rFonts w:ascii="Times New Roman"/>
                <w:spacing w:val="-5"/>
                <w:sz w:val="17"/>
              </w:rPr>
              <w:t>SUM</w:t>
            </w:r>
          </w:p>
        </w:tc>
        <w:tc>
          <w:tcPr>
            <w:tcW w:w="572" w:type="dxa"/>
            <w:tcBorders>
              <w:top w:val="nil"/>
              <w:left w:val="single" w:sz="6" w:space="0" w:color="000000"/>
              <w:right w:val="single" w:sz="6" w:space="0" w:color="000000"/>
            </w:tcBorders>
          </w:tcPr>
          <w:p w:rsidR="007F6DF9" w:rsidRDefault="007F6DF9">
            <w:pPr>
              <w:pStyle w:val="TableParagraph"/>
              <w:rPr>
                <w:rFonts w:ascii="Times New Roman"/>
                <w:sz w:val="16"/>
              </w:rPr>
            </w:pP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188"/>
        </w:trPr>
        <w:tc>
          <w:tcPr>
            <w:tcW w:w="449" w:type="dxa"/>
            <w:tcBorders>
              <w:left w:val="single" w:sz="6" w:space="0" w:color="000000"/>
              <w:bottom w:val="double" w:sz="6" w:space="0" w:color="000000"/>
              <w:right w:val="single" w:sz="6" w:space="0" w:color="000000"/>
            </w:tcBorders>
          </w:tcPr>
          <w:p w:rsidR="007F6DF9" w:rsidRDefault="007F6DF9">
            <w:pPr>
              <w:pStyle w:val="TableParagraph"/>
              <w:rPr>
                <w:rFonts w:ascii="Times New Roman"/>
                <w:sz w:val="12"/>
              </w:rPr>
            </w:pPr>
          </w:p>
        </w:tc>
        <w:tc>
          <w:tcPr>
            <w:tcW w:w="7351" w:type="dxa"/>
            <w:gridSpan w:val="4"/>
            <w:tcBorders>
              <w:left w:val="single" w:sz="6" w:space="0" w:color="000000"/>
              <w:bottom w:val="double" w:sz="6" w:space="0" w:color="000000"/>
              <w:right w:val="single" w:sz="6" w:space="0" w:color="000000"/>
            </w:tcBorders>
          </w:tcPr>
          <w:p w:rsidR="007F6DF9" w:rsidRDefault="00A43FBC">
            <w:pPr>
              <w:pStyle w:val="TableParagraph"/>
              <w:spacing w:line="168" w:lineRule="exact"/>
              <w:ind w:left="30"/>
              <w:rPr>
                <w:rFonts w:ascii="Times New Roman"/>
                <w:sz w:val="17"/>
              </w:rPr>
            </w:pPr>
            <w:r>
              <w:rPr>
                <w:rFonts w:ascii="Times New Roman"/>
                <w:sz w:val="17"/>
              </w:rPr>
              <w:t>Total</w:t>
            </w:r>
            <w:r>
              <w:rPr>
                <w:rFonts w:ascii="Times New Roman"/>
                <w:spacing w:val="-1"/>
                <w:sz w:val="17"/>
              </w:rPr>
              <w:t xml:space="preserve"> </w:t>
            </w:r>
            <w:r>
              <w:rPr>
                <w:rFonts w:ascii="Times New Roman"/>
                <w:sz w:val="17"/>
              </w:rPr>
              <w:t>for</w:t>
            </w:r>
            <w:r>
              <w:rPr>
                <w:rFonts w:ascii="Times New Roman"/>
                <w:spacing w:val="-1"/>
                <w:sz w:val="17"/>
              </w:rPr>
              <w:t xml:space="preserve"> </w:t>
            </w:r>
            <w:r>
              <w:rPr>
                <w:rFonts w:ascii="Times New Roman"/>
                <w:sz w:val="17"/>
              </w:rPr>
              <w:t>builder's</w:t>
            </w:r>
            <w:r>
              <w:rPr>
                <w:rFonts w:ascii="Times New Roman"/>
                <w:spacing w:val="-1"/>
                <w:sz w:val="17"/>
              </w:rPr>
              <w:t xml:space="preserve"> </w:t>
            </w:r>
            <w:r>
              <w:rPr>
                <w:rFonts w:ascii="Times New Roman"/>
                <w:sz w:val="17"/>
              </w:rPr>
              <w:t>works</w:t>
            </w:r>
            <w:r>
              <w:rPr>
                <w:rFonts w:ascii="Times New Roman"/>
                <w:spacing w:val="-1"/>
                <w:sz w:val="17"/>
              </w:rPr>
              <w:t xml:space="preserve"> </w:t>
            </w:r>
            <w:r>
              <w:rPr>
                <w:rFonts w:ascii="Times New Roman"/>
                <w:sz w:val="17"/>
              </w:rPr>
              <w:t>carried</w:t>
            </w:r>
            <w:r>
              <w:rPr>
                <w:rFonts w:ascii="Times New Roman"/>
                <w:spacing w:val="-3"/>
                <w:sz w:val="17"/>
              </w:rPr>
              <w:t xml:space="preserve"> </w:t>
            </w:r>
            <w:r>
              <w:rPr>
                <w:rFonts w:ascii="Times New Roman"/>
                <w:sz w:val="17"/>
              </w:rPr>
              <w:t>to</w:t>
            </w:r>
            <w:r>
              <w:rPr>
                <w:rFonts w:ascii="Times New Roman"/>
                <w:spacing w:val="-2"/>
                <w:sz w:val="17"/>
              </w:rPr>
              <w:t xml:space="preserve"> Summary</w:t>
            </w:r>
          </w:p>
        </w:tc>
        <w:tc>
          <w:tcPr>
            <w:tcW w:w="1189" w:type="dxa"/>
            <w:tcBorders>
              <w:left w:val="single" w:sz="6" w:space="0" w:color="000000"/>
              <w:bottom w:val="double" w:sz="6" w:space="0" w:color="000000"/>
              <w:right w:val="single" w:sz="6" w:space="0" w:color="000000"/>
            </w:tcBorders>
          </w:tcPr>
          <w:p w:rsidR="007F6DF9" w:rsidRDefault="007F6DF9">
            <w:pPr>
              <w:pStyle w:val="TableParagraph"/>
              <w:rPr>
                <w:rFonts w:ascii="Times New Roman"/>
                <w:sz w:val="12"/>
              </w:rPr>
            </w:pPr>
          </w:p>
        </w:tc>
      </w:tr>
    </w:tbl>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spacing w:before="30"/>
        <w:rPr>
          <w:rFonts w:ascii="Arial MT"/>
          <w:sz w:val="14"/>
        </w:rPr>
      </w:pPr>
    </w:p>
    <w:p w:rsidR="007F6DF9" w:rsidRDefault="00A43FBC">
      <w:pPr>
        <w:spacing w:before="1"/>
        <w:ind w:left="390"/>
        <w:jc w:val="center"/>
        <w:rPr>
          <w:rFonts w:ascii="Calibri"/>
          <w:sz w:val="14"/>
        </w:rPr>
      </w:pPr>
      <w:r>
        <w:rPr>
          <w:rFonts w:ascii="Calibri"/>
          <w:spacing w:val="-2"/>
          <w:sz w:val="14"/>
        </w:rPr>
        <w:t>MPS/1</w:t>
      </w:r>
    </w:p>
    <w:p w:rsidR="007F6DF9" w:rsidRDefault="007F6DF9">
      <w:pPr>
        <w:jc w:val="center"/>
        <w:rPr>
          <w:rFonts w:ascii="Calibri"/>
          <w:sz w:val="14"/>
        </w:rPr>
        <w:sectPr w:rsidR="007F6DF9">
          <w:headerReference w:type="default" r:id="rId70"/>
          <w:footerReference w:type="default" r:id="rId71"/>
          <w:pgSz w:w="12240" w:h="15840"/>
          <w:pgMar w:top="380" w:right="1133" w:bottom="280" w:left="850" w:header="0" w:footer="0" w:gutter="0"/>
          <w:cols w:space="720"/>
        </w:sectPr>
      </w:pPr>
    </w:p>
    <w:p w:rsidR="007F6DF9" w:rsidRDefault="00A43FBC">
      <w:pPr>
        <w:spacing w:before="5"/>
        <w:ind w:left="131"/>
        <w:jc w:val="center"/>
        <w:rPr>
          <w:rFonts w:ascii="Calibri"/>
          <w:sz w:val="18"/>
        </w:rPr>
      </w:pPr>
      <w:bookmarkStart w:id="78" w:name="JOOTRH_Coldroom_BQ"/>
      <w:bookmarkEnd w:id="78"/>
      <w:r>
        <w:rPr>
          <w:rFonts w:ascii="Calibri"/>
          <w:sz w:val="18"/>
        </w:rPr>
        <w:lastRenderedPageBreak/>
        <w:t>ELECTRICAL</w:t>
      </w:r>
      <w:r>
        <w:rPr>
          <w:rFonts w:ascii="Calibri"/>
          <w:spacing w:val="14"/>
          <w:sz w:val="18"/>
        </w:rPr>
        <w:t xml:space="preserve"> </w:t>
      </w:r>
      <w:r>
        <w:rPr>
          <w:rFonts w:ascii="Calibri"/>
          <w:sz w:val="18"/>
        </w:rPr>
        <w:t>INSTALLATION</w:t>
      </w:r>
      <w:r>
        <w:rPr>
          <w:rFonts w:ascii="Calibri"/>
          <w:spacing w:val="20"/>
          <w:sz w:val="18"/>
        </w:rPr>
        <w:t xml:space="preserve"> </w:t>
      </w:r>
      <w:r>
        <w:rPr>
          <w:rFonts w:ascii="Calibri"/>
          <w:spacing w:val="-2"/>
          <w:sz w:val="18"/>
        </w:rPr>
        <w:t>WORKS</w:t>
      </w:r>
    </w:p>
    <w:p w:rsidR="007F6DF9" w:rsidRDefault="007F6DF9">
      <w:pPr>
        <w:pStyle w:val="BodyText"/>
        <w:rPr>
          <w:rFonts w:ascii="Calibri"/>
          <w:sz w:val="18"/>
        </w:rPr>
      </w:pPr>
    </w:p>
    <w:p w:rsidR="007F6DF9" w:rsidRDefault="007F6DF9">
      <w:pPr>
        <w:pStyle w:val="BodyText"/>
        <w:rPr>
          <w:rFonts w:ascii="Calibri"/>
          <w:sz w:val="18"/>
        </w:rPr>
      </w:pPr>
    </w:p>
    <w:p w:rsidR="007F6DF9" w:rsidRDefault="007F6DF9">
      <w:pPr>
        <w:pStyle w:val="BodyText"/>
        <w:rPr>
          <w:rFonts w:ascii="Calibri"/>
          <w:sz w:val="18"/>
        </w:rPr>
      </w:pPr>
    </w:p>
    <w:p w:rsidR="007F6DF9" w:rsidRDefault="007F6DF9">
      <w:pPr>
        <w:pStyle w:val="BodyText"/>
        <w:rPr>
          <w:rFonts w:ascii="Calibri"/>
          <w:sz w:val="18"/>
        </w:rPr>
      </w:pPr>
    </w:p>
    <w:p w:rsidR="007F6DF9" w:rsidRDefault="007F6DF9">
      <w:pPr>
        <w:pStyle w:val="BodyText"/>
        <w:spacing w:before="88"/>
        <w:rPr>
          <w:rFonts w:ascii="Calibri"/>
          <w:sz w:val="18"/>
        </w:rPr>
      </w:pPr>
    </w:p>
    <w:p w:rsidR="007F6DF9" w:rsidRDefault="00A43FBC">
      <w:pPr>
        <w:spacing w:before="1"/>
        <w:ind w:right="64"/>
        <w:jc w:val="center"/>
        <w:rPr>
          <w:rFonts w:ascii="Palatino Linotype"/>
          <w:b/>
          <w:sz w:val="17"/>
        </w:rPr>
      </w:pPr>
      <w:r>
        <w:rPr>
          <w:rFonts w:ascii="Palatino Linotype"/>
          <w:b/>
          <w:spacing w:val="-2"/>
          <w:sz w:val="17"/>
          <w:u w:val="single"/>
        </w:rPr>
        <w:t>SCHEDULE</w:t>
      </w:r>
      <w:r>
        <w:rPr>
          <w:rFonts w:ascii="Palatino Linotype"/>
          <w:b/>
          <w:spacing w:val="-9"/>
          <w:sz w:val="17"/>
          <w:u w:val="single"/>
        </w:rPr>
        <w:t xml:space="preserve"> </w:t>
      </w:r>
      <w:r>
        <w:rPr>
          <w:rFonts w:ascii="Palatino Linotype"/>
          <w:b/>
          <w:spacing w:val="-2"/>
          <w:sz w:val="17"/>
          <w:u w:val="single"/>
        </w:rPr>
        <w:t>No.</w:t>
      </w:r>
      <w:r>
        <w:rPr>
          <w:rFonts w:ascii="Palatino Linotype"/>
          <w:b/>
          <w:spacing w:val="-5"/>
          <w:sz w:val="17"/>
          <w:u w:val="single"/>
        </w:rPr>
        <w:t xml:space="preserve"> </w:t>
      </w:r>
      <w:r>
        <w:rPr>
          <w:rFonts w:ascii="Palatino Linotype"/>
          <w:b/>
          <w:spacing w:val="-2"/>
          <w:sz w:val="17"/>
          <w:u w:val="single"/>
        </w:rPr>
        <w:t>3:</w:t>
      </w:r>
      <w:r>
        <w:rPr>
          <w:rFonts w:ascii="Palatino Linotype"/>
          <w:b/>
          <w:spacing w:val="-7"/>
          <w:sz w:val="17"/>
          <w:u w:val="single"/>
        </w:rPr>
        <w:t xml:space="preserve"> </w:t>
      </w:r>
      <w:r>
        <w:rPr>
          <w:rFonts w:ascii="Palatino Linotype"/>
          <w:b/>
          <w:spacing w:val="-2"/>
          <w:sz w:val="17"/>
          <w:u w:val="single"/>
        </w:rPr>
        <w:t>ELECTRICAL</w:t>
      </w:r>
      <w:r>
        <w:rPr>
          <w:rFonts w:ascii="Palatino Linotype"/>
          <w:b/>
          <w:spacing w:val="-6"/>
          <w:sz w:val="17"/>
          <w:u w:val="single"/>
        </w:rPr>
        <w:t xml:space="preserve"> </w:t>
      </w:r>
      <w:r>
        <w:rPr>
          <w:rFonts w:ascii="Palatino Linotype"/>
          <w:b/>
          <w:spacing w:val="-4"/>
          <w:sz w:val="17"/>
          <w:u w:val="single"/>
        </w:rPr>
        <w:t>WORKS</w:t>
      </w:r>
    </w:p>
    <w:tbl>
      <w:tblPr>
        <w:tblW w:w="0" w:type="auto"/>
        <w:tblInd w:w="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70"/>
        <w:gridCol w:w="4470"/>
        <w:gridCol w:w="675"/>
        <w:gridCol w:w="765"/>
        <w:gridCol w:w="1215"/>
        <w:gridCol w:w="2190"/>
      </w:tblGrid>
      <w:tr w:rsidR="007F6DF9">
        <w:trPr>
          <w:trHeight w:val="420"/>
        </w:trPr>
        <w:tc>
          <w:tcPr>
            <w:tcW w:w="570" w:type="dxa"/>
          </w:tcPr>
          <w:p w:rsidR="007F6DF9" w:rsidRDefault="00A43FBC">
            <w:pPr>
              <w:pStyle w:val="TableParagraph"/>
              <w:spacing w:before="99"/>
              <w:ind w:left="65"/>
              <w:jc w:val="center"/>
              <w:rPr>
                <w:rFonts w:ascii="Palatino Linotype"/>
                <w:b/>
                <w:sz w:val="17"/>
              </w:rPr>
            </w:pPr>
            <w:r>
              <w:rPr>
                <w:rFonts w:ascii="Palatino Linotype"/>
                <w:b/>
                <w:spacing w:val="-4"/>
                <w:sz w:val="17"/>
              </w:rPr>
              <w:t>ITEM</w:t>
            </w:r>
          </w:p>
        </w:tc>
        <w:tc>
          <w:tcPr>
            <w:tcW w:w="4470" w:type="dxa"/>
          </w:tcPr>
          <w:p w:rsidR="007F6DF9" w:rsidRDefault="00A43FBC">
            <w:pPr>
              <w:pStyle w:val="TableParagraph"/>
              <w:spacing w:before="99"/>
              <w:ind w:left="34"/>
              <w:rPr>
                <w:rFonts w:ascii="Palatino Linotype"/>
                <w:b/>
                <w:sz w:val="17"/>
              </w:rPr>
            </w:pPr>
            <w:r>
              <w:rPr>
                <w:rFonts w:ascii="Palatino Linotype"/>
                <w:b/>
                <w:spacing w:val="-2"/>
                <w:sz w:val="17"/>
              </w:rPr>
              <w:t>DESCRIPTION</w:t>
            </w:r>
          </w:p>
        </w:tc>
        <w:tc>
          <w:tcPr>
            <w:tcW w:w="675" w:type="dxa"/>
          </w:tcPr>
          <w:p w:rsidR="007F6DF9" w:rsidRDefault="00A43FBC">
            <w:pPr>
              <w:pStyle w:val="TableParagraph"/>
              <w:spacing w:before="99"/>
              <w:ind w:left="67"/>
              <w:jc w:val="center"/>
              <w:rPr>
                <w:rFonts w:ascii="Palatino Linotype"/>
                <w:b/>
                <w:sz w:val="17"/>
              </w:rPr>
            </w:pPr>
            <w:r>
              <w:rPr>
                <w:rFonts w:ascii="Palatino Linotype"/>
                <w:b/>
                <w:spacing w:val="-5"/>
                <w:sz w:val="17"/>
              </w:rPr>
              <w:t>QTY</w:t>
            </w:r>
          </w:p>
        </w:tc>
        <w:tc>
          <w:tcPr>
            <w:tcW w:w="765" w:type="dxa"/>
          </w:tcPr>
          <w:p w:rsidR="007F6DF9" w:rsidRDefault="00A43FBC">
            <w:pPr>
              <w:pStyle w:val="TableParagraph"/>
              <w:spacing w:before="99"/>
              <w:ind w:left="66" w:right="2"/>
              <w:jc w:val="center"/>
              <w:rPr>
                <w:rFonts w:ascii="Palatino Linotype"/>
                <w:b/>
                <w:sz w:val="17"/>
              </w:rPr>
            </w:pPr>
            <w:r>
              <w:rPr>
                <w:rFonts w:ascii="Palatino Linotype"/>
                <w:b/>
                <w:spacing w:val="-4"/>
                <w:sz w:val="17"/>
              </w:rPr>
              <w:t>UNIT</w:t>
            </w:r>
          </w:p>
        </w:tc>
        <w:tc>
          <w:tcPr>
            <w:tcW w:w="1215" w:type="dxa"/>
          </w:tcPr>
          <w:p w:rsidR="007F6DF9" w:rsidRDefault="00A43FBC">
            <w:pPr>
              <w:pStyle w:val="TableParagraph"/>
              <w:spacing w:before="99"/>
              <w:ind w:left="78"/>
              <w:rPr>
                <w:rFonts w:ascii="Palatino Linotype"/>
                <w:b/>
                <w:sz w:val="17"/>
              </w:rPr>
            </w:pPr>
            <w:r>
              <w:rPr>
                <w:rFonts w:ascii="Palatino Linotype"/>
                <w:b/>
                <w:spacing w:val="-4"/>
                <w:sz w:val="17"/>
              </w:rPr>
              <w:t>RATE</w:t>
            </w:r>
          </w:p>
        </w:tc>
        <w:tc>
          <w:tcPr>
            <w:tcW w:w="2190" w:type="dxa"/>
          </w:tcPr>
          <w:p w:rsidR="007F6DF9" w:rsidRDefault="00A43FBC">
            <w:pPr>
              <w:pStyle w:val="TableParagraph"/>
              <w:spacing w:before="99"/>
              <w:ind w:left="77"/>
              <w:rPr>
                <w:rFonts w:ascii="Palatino Linotype"/>
                <w:b/>
                <w:sz w:val="17"/>
              </w:rPr>
            </w:pPr>
            <w:r>
              <w:rPr>
                <w:rFonts w:ascii="Palatino Linotype"/>
                <w:b/>
                <w:spacing w:val="-2"/>
                <w:sz w:val="17"/>
              </w:rPr>
              <w:t>AMOUNT</w:t>
            </w:r>
          </w:p>
        </w:tc>
      </w:tr>
      <w:tr w:rsidR="007F6DF9">
        <w:trPr>
          <w:trHeight w:val="616"/>
        </w:trPr>
        <w:tc>
          <w:tcPr>
            <w:tcW w:w="570" w:type="dxa"/>
            <w:tcBorders>
              <w:bottom w:val="nil"/>
            </w:tcBorders>
          </w:tcPr>
          <w:p w:rsidR="007F6DF9" w:rsidRDefault="007F6DF9">
            <w:pPr>
              <w:pStyle w:val="TableParagraph"/>
              <w:rPr>
                <w:rFonts w:ascii="Times New Roman"/>
                <w:sz w:val="16"/>
              </w:rPr>
            </w:pPr>
          </w:p>
        </w:tc>
        <w:tc>
          <w:tcPr>
            <w:tcW w:w="4470" w:type="dxa"/>
            <w:tcBorders>
              <w:bottom w:val="nil"/>
            </w:tcBorders>
          </w:tcPr>
          <w:p w:rsidR="007F6DF9" w:rsidRDefault="00A43FBC">
            <w:pPr>
              <w:pStyle w:val="TableParagraph"/>
              <w:spacing w:before="202"/>
              <w:ind w:left="34" w:right="-29"/>
              <w:rPr>
                <w:rFonts w:ascii="Palatino Linotype"/>
                <w:b/>
                <w:sz w:val="17"/>
              </w:rPr>
            </w:pPr>
            <w:r>
              <w:rPr>
                <w:rFonts w:ascii="Palatino Linotype"/>
                <w:b/>
                <w:spacing w:val="-2"/>
                <w:sz w:val="17"/>
              </w:rPr>
              <w:t>Supply, install,</w:t>
            </w:r>
            <w:r>
              <w:rPr>
                <w:rFonts w:ascii="Palatino Linotype"/>
                <w:b/>
                <w:spacing w:val="-1"/>
                <w:sz w:val="17"/>
              </w:rPr>
              <w:t xml:space="preserve"> </w:t>
            </w:r>
            <w:r>
              <w:rPr>
                <w:rFonts w:ascii="Palatino Linotype"/>
                <w:b/>
                <w:spacing w:val="-2"/>
                <w:sz w:val="17"/>
              </w:rPr>
              <w:t>testing</w:t>
            </w:r>
            <w:r>
              <w:rPr>
                <w:rFonts w:ascii="Palatino Linotype"/>
                <w:b/>
                <w:spacing w:val="-1"/>
                <w:sz w:val="17"/>
              </w:rPr>
              <w:t xml:space="preserve"> </w:t>
            </w:r>
            <w:r>
              <w:rPr>
                <w:rFonts w:ascii="Palatino Linotype"/>
                <w:b/>
                <w:spacing w:val="-2"/>
                <w:sz w:val="17"/>
              </w:rPr>
              <w:t>&amp;</w:t>
            </w:r>
            <w:r>
              <w:rPr>
                <w:rFonts w:ascii="Palatino Linotype"/>
                <w:b/>
                <w:spacing w:val="-3"/>
                <w:sz w:val="17"/>
              </w:rPr>
              <w:t xml:space="preserve"> </w:t>
            </w:r>
            <w:r>
              <w:rPr>
                <w:rFonts w:ascii="Palatino Linotype"/>
                <w:b/>
                <w:spacing w:val="-2"/>
                <w:sz w:val="17"/>
              </w:rPr>
              <w:t>commissioning of the</w:t>
            </w:r>
            <w:r>
              <w:rPr>
                <w:rFonts w:ascii="Palatino Linotype"/>
                <w:b/>
                <w:spacing w:val="-1"/>
                <w:sz w:val="17"/>
              </w:rPr>
              <w:t xml:space="preserve"> </w:t>
            </w:r>
            <w:r>
              <w:rPr>
                <w:rFonts w:ascii="Palatino Linotype"/>
                <w:b/>
                <w:spacing w:val="-2"/>
                <w:sz w:val="17"/>
              </w:rPr>
              <w:t>following</w:t>
            </w:r>
          </w:p>
        </w:tc>
        <w:tc>
          <w:tcPr>
            <w:tcW w:w="675" w:type="dxa"/>
            <w:tcBorders>
              <w:bottom w:val="nil"/>
            </w:tcBorders>
          </w:tcPr>
          <w:p w:rsidR="007F6DF9" w:rsidRDefault="007F6DF9">
            <w:pPr>
              <w:pStyle w:val="TableParagraph"/>
              <w:rPr>
                <w:rFonts w:ascii="Times New Roman"/>
                <w:sz w:val="16"/>
              </w:rPr>
            </w:pPr>
          </w:p>
        </w:tc>
        <w:tc>
          <w:tcPr>
            <w:tcW w:w="765" w:type="dxa"/>
            <w:tcBorders>
              <w:bottom w:val="nil"/>
            </w:tcBorders>
          </w:tcPr>
          <w:p w:rsidR="007F6DF9" w:rsidRDefault="007F6DF9">
            <w:pPr>
              <w:pStyle w:val="TableParagraph"/>
              <w:rPr>
                <w:rFonts w:ascii="Times New Roman"/>
                <w:sz w:val="16"/>
              </w:rPr>
            </w:pPr>
          </w:p>
        </w:tc>
        <w:tc>
          <w:tcPr>
            <w:tcW w:w="1215" w:type="dxa"/>
            <w:vMerge w:val="restart"/>
          </w:tcPr>
          <w:p w:rsidR="007F6DF9" w:rsidRDefault="007F6DF9">
            <w:pPr>
              <w:pStyle w:val="TableParagraph"/>
              <w:rPr>
                <w:rFonts w:ascii="Times New Roman"/>
                <w:sz w:val="16"/>
              </w:rPr>
            </w:pPr>
          </w:p>
        </w:tc>
        <w:tc>
          <w:tcPr>
            <w:tcW w:w="2190" w:type="dxa"/>
            <w:vMerge w:val="restart"/>
          </w:tcPr>
          <w:p w:rsidR="007F6DF9" w:rsidRDefault="007F6DF9">
            <w:pPr>
              <w:pStyle w:val="TableParagraph"/>
              <w:rPr>
                <w:rFonts w:ascii="Times New Roman"/>
                <w:sz w:val="16"/>
              </w:rPr>
            </w:pPr>
          </w:p>
        </w:tc>
      </w:tr>
      <w:tr w:rsidR="007F6DF9">
        <w:trPr>
          <w:trHeight w:val="755"/>
        </w:trPr>
        <w:tc>
          <w:tcPr>
            <w:tcW w:w="570" w:type="dxa"/>
            <w:tcBorders>
              <w:top w:val="nil"/>
              <w:bottom w:val="nil"/>
            </w:tcBorders>
          </w:tcPr>
          <w:p w:rsidR="007F6DF9" w:rsidRDefault="007F6DF9">
            <w:pPr>
              <w:pStyle w:val="TableParagraph"/>
              <w:spacing w:before="26"/>
              <w:rPr>
                <w:rFonts w:ascii="Palatino Linotype"/>
                <w:b/>
                <w:sz w:val="17"/>
              </w:rPr>
            </w:pPr>
          </w:p>
          <w:p w:rsidR="007F6DF9" w:rsidRDefault="00A43FBC">
            <w:pPr>
              <w:pStyle w:val="TableParagraph"/>
              <w:spacing w:before="1"/>
              <w:ind w:left="64"/>
              <w:jc w:val="center"/>
              <w:rPr>
                <w:rFonts w:ascii="Palatino Linotype"/>
                <w:sz w:val="17"/>
              </w:rPr>
            </w:pPr>
            <w:r>
              <w:rPr>
                <w:rFonts w:ascii="Palatino Linotype"/>
                <w:spacing w:val="-10"/>
                <w:sz w:val="17"/>
              </w:rPr>
              <w:t>A</w:t>
            </w:r>
          </w:p>
        </w:tc>
        <w:tc>
          <w:tcPr>
            <w:tcW w:w="4470" w:type="dxa"/>
            <w:tcBorders>
              <w:top w:val="nil"/>
              <w:bottom w:val="nil"/>
            </w:tcBorders>
          </w:tcPr>
          <w:p w:rsidR="007F6DF9" w:rsidRDefault="00A43FBC">
            <w:pPr>
              <w:pStyle w:val="TableParagraph"/>
              <w:spacing w:before="132" w:line="261" w:lineRule="auto"/>
              <w:ind w:left="34" w:right="378"/>
              <w:rPr>
                <w:rFonts w:ascii="Palatino Linotype"/>
                <w:b/>
                <w:sz w:val="17"/>
              </w:rPr>
            </w:pPr>
            <w:r>
              <w:rPr>
                <w:rFonts w:ascii="Palatino Linotype"/>
                <w:b/>
                <w:spacing w:val="-2"/>
                <w:sz w:val="17"/>
                <w:u w:val="single"/>
              </w:rPr>
              <w:t>CONSUMER</w:t>
            </w:r>
            <w:r>
              <w:rPr>
                <w:rFonts w:ascii="Palatino Linotype"/>
                <w:b/>
                <w:spacing w:val="-8"/>
                <w:sz w:val="17"/>
                <w:u w:val="single"/>
              </w:rPr>
              <w:t xml:space="preserve"> </w:t>
            </w:r>
            <w:r>
              <w:rPr>
                <w:rFonts w:ascii="Palatino Linotype"/>
                <w:b/>
                <w:spacing w:val="-2"/>
                <w:sz w:val="17"/>
                <w:u w:val="single"/>
              </w:rPr>
              <w:t>UNITS</w:t>
            </w:r>
            <w:r>
              <w:rPr>
                <w:rFonts w:ascii="Palatino Linotype"/>
                <w:b/>
                <w:spacing w:val="-7"/>
                <w:sz w:val="17"/>
                <w:u w:val="single"/>
              </w:rPr>
              <w:t xml:space="preserve"> </w:t>
            </w:r>
            <w:r>
              <w:rPr>
                <w:rFonts w:ascii="Palatino Linotype"/>
                <w:b/>
                <w:spacing w:val="-2"/>
                <w:sz w:val="17"/>
                <w:u w:val="single"/>
              </w:rPr>
              <w:t>/</w:t>
            </w:r>
            <w:r>
              <w:rPr>
                <w:rFonts w:ascii="Palatino Linotype"/>
                <w:b/>
                <w:spacing w:val="-5"/>
                <w:sz w:val="17"/>
                <w:u w:val="single"/>
              </w:rPr>
              <w:t xml:space="preserve"> </w:t>
            </w:r>
            <w:r>
              <w:rPr>
                <w:rFonts w:ascii="Palatino Linotype"/>
                <w:b/>
                <w:spacing w:val="-2"/>
                <w:sz w:val="17"/>
                <w:u w:val="single"/>
              </w:rPr>
              <w:t>DISTRIBUTION</w:t>
            </w:r>
            <w:r>
              <w:rPr>
                <w:rFonts w:ascii="Palatino Linotype"/>
                <w:b/>
                <w:spacing w:val="-8"/>
                <w:sz w:val="17"/>
                <w:u w:val="single"/>
              </w:rPr>
              <w:t xml:space="preserve"> </w:t>
            </w:r>
            <w:r>
              <w:rPr>
                <w:rFonts w:ascii="Palatino Linotype"/>
                <w:b/>
                <w:spacing w:val="-2"/>
                <w:sz w:val="17"/>
                <w:u w:val="single"/>
              </w:rPr>
              <w:t>BOARDS</w:t>
            </w:r>
            <w:r>
              <w:rPr>
                <w:rFonts w:ascii="Palatino Linotype"/>
                <w:b/>
                <w:spacing w:val="-7"/>
                <w:sz w:val="17"/>
                <w:u w:val="single"/>
              </w:rPr>
              <w:t xml:space="preserve"> </w:t>
            </w:r>
            <w:r>
              <w:rPr>
                <w:rFonts w:ascii="Palatino Linotype"/>
                <w:b/>
                <w:spacing w:val="-2"/>
                <w:sz w:val="17"/>
                <w:u w:val="single"/>
              </w:rPr>
              <w:t>&amp;</w:t>
            </w:r>
            <w:r>
              <w:rPr>
                <w:rFonts w:ascii="Palatino Linotype"/>
                <w:b/>
                <w:spacing w:val="-2"/>
                <w:sz w:val="17"/>
              </w:rPr>
              <w:t xml:space="preserve"> </w:t>
            </w:r>
            <w:r>
              <w:rPr>
                <w:rFonts w:ascii="Palatino Linotype"/>
                <w:b/>
                <w:spacing w:val="-2"/>
                <w:sz w:val="17"/>
                <w:u w:val="single"/>
              </w:rPr>
              <w:t>SUB-MAINS</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34"/>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92" w:line="222" w:lineRule="exact"/>
              <w:ind w:left="34"/>
              <w:rPr>
                <w:rFonts w:ascii="Palatino Linotype"/>
                <w:sz w:val="17"/>
              </w:rPr>
            </w:pPr>
            <w:proofErr w:type="spellStart"/>
            <w:r>
              <w:rPr>
                <w:rFonts w:ascii="Palatino Linotype"/>
                <w:spacing w:val="-2"/>
                <w:sz w:val="17"/>
              </w:rPr>
              <w:t>Submains</w:t>
            </w:r>
            <w:proofErr w:type="spellEnd"/>
            <w:r>
              <w:rPr>
                <w:rFonts w:ascii="Palatino Linotype"/>
                <w:spacing w:val="-2"/>
                <w:sz w:val="17"/>
              </w:rPr>
              <w:t xml:space="preserve"> circuit comprising of</w:t>
            </w:r>
            <w:r>
              <w:rPr>
                <w:rFonts w:ascii="Palatino Linotype"/>
                <w:sz w:val="17"/>
              </w:rPr>
              <w:t xml:space="preserve"> </w:t>
            </w:r>
            <w:r>
              <w:rPr>
                <w:rFonts w:ascii="Palatino Linotype"/>
                <w:spacing w:val="-2"/>
                <w:sz w:val="17"/>
              </w:rPr>
              <w:t>4Core 10</w:t>
            </w:r>
            <w:r>
              <w:rPr>
                <w:rFonts w:ascii="Palatino Linotype"/>
                <w:sz w:val="17"/>
              </w:rPr>
              <w:t xml:space="preserve"> </w:t>
            </w:r>
            <w:r>
              <w:rPr>
                <w:rFonts w:ascii="Palatino Linotype"/>
                <w:spacing w:val="-5"/>
                <w:sz w:val="17"/>
              </w:rPr>
              <w:t>mm2</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02"/>
        </w:trPr>
        <w:tc>
          <w:tcPr>
            <w:tcW w:w="570" w:type="dxa"/>
            <w:tcBorders>
              <w:top w:val="nil"/>
              <w:bottom w:val="nil"/>
            </w:tcBorders>
          </w:tcPr>
          <w:p w:rsidR="007F6DF9" w:rsidRDefault="00A43FBC">
            <w:pPr>
              <w:pStyle w:val="TableParagraph"/>
              <w:spacing w:line="182" w:lineRule="exact"/>
              <w:ind w:left="61"/>
              <w:jc w:val="center"/>
              <w:rPr>
                <w:rFonts w:ascii="Palatino Linotype"/>
                <w:sz w:val="17"/>
              </w:rPr>
            </w:pPr>
            <w:r>
              <w:rPr>
                <w:rFonts w:ascii="Palatino Linotype"/>
                <w:spacing w:val="-4"/>
                <w:sz w:val="17"/>
              </w:rPr>
              <w:t>1.01</w:t>
            </w:r>
          </w:p>
        </w:tc>
        <w:tc>
          <w:tcPr>
            <w:tcW w:w="4470" w:type="dxa"/>
            <w:tcBorders>
              <w:top w:val="nil"/>
              <w:bottom w:val="nil"/>
            </w:tcBorders>
          </w:tcPr>
          <w:p w:rsidR="007F6DF9" w:rsidRDefault="00A43FBC">
            <w:pPr>
              <w:pStyle w:val="TableParagraph"/>
              <w:spacing w:line="182" w:lineRule="exact"/>
              <w:ind w:left="34"/>
              <w:rPr>
                <w:rFonts w:ascii="Palatino Linotype"/>
                <w:sz w:val="17"/>
              </w:rPr>
            </w:pPr>
            <w:r>
              <w:rPr>
                <w:rFonts w:ascii="Palatino Linotype"/>
                <w:spacing w:val="-2"/>
                <w:sz w:val="17"/>
              </w:rPr>
              <w:t>PVC/SWA/PVC CU</w:t>
            </w:r>
            <w:r>
              <w:rPr>
                <w:rFonts w:ascii="Palatino Linotype"/>
                <w:spacing w:val="-1"/>
                <w:sz w:val="17"/>
              </w:rPr>
              <w:t xml:space="preserve"> </w:t>
            </w:r>
            <w:r>
              <w:rPr>
                <w:rFonts w:ascii="Palatino Linotype"/>
                <w:spacing w:val="-2"/>
                <w:sz w:val="17"/>
              </w:rPr>
              <w:t>cable</w:t>
            </w:r>
            <w:r>
              <w:rPr>
                <w:rFonts w:ascii="Palatino Linotype"/>
                <w:spacing w:val="-4"/>
                <w:sz w:val="17"/>
              </w:rPr>
              <w:t xml:space="preserve"> </w:t>
            </w:r>
            <w:r>
              <w:rPr>
                <w:rFonts w:ascii="Palatino Linotype"/>
                <w:spacing w:val="-2"/>
                <w:sz w:val="17"/>
              </w:rPr>
              <w:t>laid</w:t>
            </w:r>
            <w:r>
              <w:rPr>
                <w:rFonts w:ascii="Palatino Linotype"/>
                <w:spacing w:val="-1"/>
                <w:sz w:val="17"/>
              </w:rPr>
              <w:t xml:space="preserve"> </w:t>
            </w:r>
            <w:r>
              <w:rPr>
                <w:rFonts w:ascii="Palatino Linotype"/>
                <w:spacing w:val="-2"/>
                <w:sz w:val="17"/>
              </w:rPr>
              <w:t>on</w:t>
            </w:r>
            <w:r>
              <w:rPr>
                <w:rFonts w:ascii="Palatino Linotype"/>
                <w:spacing w:val="-4"/>
                <w:sz w:val="17"/>
              </w:rPr>
              <w:t xml:space="preserve"> </w:t>
            </w:r>
            <w:r>
              <w:rPr>
                <w:rFonts w:ascii="Palatino Linotype"/>
                <w:spacing w:val="-2"/>
                <w:sz w:val="17"/>
              </w:rPr>
              <w:t>cable</w:t>
            </w:r>
            <w:r>
              <w:rPr>
                <w:rFonts w:ascii="Palatino Linotype"/>
                <w:spacing w:val="-4"/>
                <w:sz w:val="17"/>
              </w:rPr>
              <w:t xml:space="preserve"> </w:t>
            </w:r>
            <w:r>
              <w:rPr>
                <w:rFonts w:ascii="Palatino Linotype"/>
                <w:spacing w:val="-2"/>
                <w:sz w:val="17"/>
              </w:rPr>
              <w:t>tray complete</w:t>
            </w:r>
            <w:r>
              <w:rPr>
                <w:rFonts w:ascii="Palatino Linotype"/>
                <w:spacing w:val="-3"/>
                <w:sz w:val="17"/>
              </w:rPr>
              <w:t xml:space="preserve"> </w:t>
            </w:r>
            <w:r>
              <w:rPr>
                <w:rFonts w:ascii="Palatino Linotype"/>
                <w:spacing w:val="-4"/>
                <w:sz w:val="17"/>
              </w:rPr>
              <w:t>with</w:t>
            </w:r>
          </w:p>
        </w:tc>
        <w:tc>
          <w:tcPr>
            <w:tcW w:w="675" w:type="dxa"/>
            <w:tcBorders>
              <w:top w:val="nil"/>
              <w:bottom w:val="nil"/>
            </w:tcBorders>
          </w:tcPr>
          <w:p w:rsidR="007F6DF9" w:rsidRDefault="00A43FBC">
            <w:pPr>
              <w:pStyle w:val="TableParagraph"/>
              <w:spacing w:line="182" w:lineRule="exact"/>
              <w:ind w:left="67" w:right="2"/>
              <w:jc w:val="center"/>
              <w:rPr>
                <w:rFonts w:ascii="Palatino Linotype"/>
                <w:sz w:val="17"/>
              </w:rPr>
            </w:pPr>
            <w:r>
              <w:rPr>
                <w:rFonts w:ascii="Palatino Linotype"/>
                <w:spacing w:val="-5"/>
                <w:sz w:val="17"/>
              </w:rPr>
              <w:t>20</w:t>
            </w:r>
          </w:p>
        </w:tc>
        <w:tc>
          <w:tcPr>
            <w:tcW w:w="765" w:type="dxa"/>
            <w:tcBorders>
              <w:top w:val="nil"/>
              <w:bottom w:val="nil"/>
            </w:tcBorders>
          </w:tcPr>
          <w:p w:rsidR="007F6DF9" w:rsidRDefault="00A43FBC">
            <w:pPr>
              <w:pStyle w:val="TableParagraph"/>
              <w:spacing w:line="182" w:lineRule="exact"/>
              <w:ind w:left="66"/>
              <w:jc w:val="center"/>
              <w:rPr>
                <w:rFonts w:ascii="Palatino Linotype"/>
                <w:sz w:val="17"/>
              </w:rPr>
            </w:pPr>
            <w:r>
              <w:rPr>
                <w:rFonts w:ascii="Palatino Linotype"/>
                <w:spacing w:val="-5"/>
                <w:sz w:val="17"/>
              </w:rPr>
              <w:t>Lm</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9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189" w:lineRule="exact"/>
              <w:ind w:left="34"/>
              <w:rPr>
                <w:rFonts w:ascii="Palatino Linotype"/>
                <w:sz w:val="17"/>
              </w:rPr>
            </w:pPr>
            <w:r>
              <w:rPr>
                <w:rFonts w:ascii="Palatino Linotype"/>
                <w:spacing w:val="-2"/>
                <w:sz w:val="17"/>
              </w:rPr>
              <w:t>all</w:t>
            </w:r>
            <w:r>
              <w:rPr>
                <w:rFonts w:ascii="Palatino Linotype"/>
                <w:sz w:val="17"/>
              </w:rPr>
              <w:t xml:space="preserve"> </w:t>
            </w:r>
            <w:r>
              <w:rPr>
                <w:rFonts w:ascii="Palatino Linotype"/>
                <w:spacing w:val="-2"/>
                <w:sz w:val="17"/>
              </w:rPr>
              <w:t>the</w:t>
            </w:r>
            <w:r>
              <w:rPr>
                <w:rFonts w:ascii="Palatino Linotype"/>
                <w:spacing w:val="-1"/>
                <w:sz w:val="17"/>
              </w:rPr>
              <w:t xml:space="preserve"> </w:t>
            </w:r>
            <w:r>
              <w:rPr>
                <w:rFonts w:ascii="Palatino Linotype"/>
                <w:spacing w:val="-2"/>
                <w:sz w:val="17"/>
              </w:rPr>
              <w:t>necessary</w:t>
            </w:r>
            <w:r>
              <w:rPr>
                <w:rFonts w:ascii="Palatino Linotype"/>
                <w:sz w:val="17"/>
              </w:rPr>
              <w:t xml:space="preserve"> </w:t>
            </w:r>
            <w:r>
              <w:rPr>
                <w:rFonts w:ascii="Palatino Linotype"/>
                <w:spacing w:val="-2"/>
                <w:sz w:val="17"/>
              </w:rPr>
              <w:t>accessories</w:t>
            </w:r>
            <w:r>
              <w:rPr>
                <w:rFonts w:ascii="Palatino Linotype"/>
                <w:spacing w:val="-3"/>
                <w:sz w:val="17"/>
              </w:rPr>
              <w:t xml:space="preserve"> </w:t>
            </w:r>
            <w:r>
              <w:rPr>
                <w:rFonts w:ascii="Palatino Linotype"/>
                <w:spacing w:val="-2"/>
                <w:sz w:val="17"/>
              </w:rPr>
              <w:t>from</w:t>
            </w:r>
            <w:r>
              <w:rPr>
                <w:rFonts w:ascii="Palatino Linotype"/>
                <w:spacing w:val="-1"/>
                <w:sz w:val="17"/>
              </w:rPr>
              <w:t xml:space="preserve"> </w:t>
            </w:r>
            <w:r>
              <w:rPr>
                <w:rFonts w:ascii="Palatino Linotype"/>
                <w:spacing w:val="-2"/>
                <w:sz w:val="17"/>
              </w:rPr>
              <w:t>the</w:t>
            </w:r>
            <w:r>
              <w:rPr>
                <w:rFonts w:ascii="Palatino Linotype"/>
                <w:spacing w:val="-1"/>
                <w:sz w:val="17"/>
              </w:rPr>
              <w:t xml:space="preserve"> </w:t>
            </w:r>
            <w:r>
              <w:rPr>
                <w:rFonts w:ascii="Palatino Linotype"/>
                <w:spacing w:val="-2"/>
                <w:sz w:val="17"/>
              </w:rPr>
              <w:t>Distribution</w:t>
            </w:r>
            <w:r>
              <w:rPr>
                <w:rFonts w:ascii="Palatino Linotype"/>
                <w:spacing w:val="-4"/>
                <w:sz w:val="17"/>
              </w:rPr>
              <w:t xml:space="preserve"> board</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9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157" w:line="222" w:lineRule="exact"/>
              <w:ind w:left="34"/>
              <w:rPr>
                <w:rFonts w:ascii="Palatino Linotype"/>
                <w:sz w:val="17"/>
              </w:rPr>
            </w:pPr>
            <w:proofErr w:type="spellStart"/>
            <w:r>
              <w:rPr>
                <w:rFonts w:ascii="Palatino Linotype"/>
                <w:spacing w:val="-2"/>
                <w:sz w:val="17"/>
              </w:rPr>
              <w:t>Submains</w:t>
            </w:r>
            <w:proofErr w:type="spellEnd"/>
            <w:r>
              <w:rPr>
                <w:rFonts w:ascii="Palatino Linotype"/>
                <w:spacing w:val="-2"/>
                <w:sz w:val="17"/>
              </w:rPr>
              <w:t xml:space="preserve"> circuit comprising of</w:t>
            </w:r>
            <w:r>
              <w:rPr>
                <w:rFonts w:ascii="Palatino Linotype"/>
                <w:sz w:val="17"/>
              </w:rPr>
              <w:t xml:space="preserve"> </w:t>
            </w:r>
            <w:r>
              <w:rPr>
                <w:rFonts w:ascii="Palatino Linotype"/>
                <w:spacing w:val="-2"/>
                <w:sz w:val="17"/>
              </w:rPr>
              <w:t>4Core 16</w:t>
            </w:r>
            <w:r>
              <w:rPr>
                <w:rFonts w:ascii="Palatino Linotype"/>
                <w:sz w:val="17"/>
              </w:rPr>
              <w:t xml:space="preserve"> </w:t>
            </w:r>
            <w:r>
              <w:rPr>
                <w:rFonts w:ascii="Palatino Linotype"/>
                <w:spacing w:val="-5"/>
                <w:sz w:val="17"/>
              </w:rPr>
              <w:t>mm2</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451"/>
        </w:trPr>
        <w:tc>
          <w:tcPr>
            <w:tcW w:w="570" w:type="dxa"/>
            <w:tcBorders>
              <w:top w:val="nil"/>
              <w:bottom w:val="nil"/>
            </w:tcBorders>
          </w:tcPr>
          <w:p w:rsidR="007F6DF9" w:rsidRDefault="00A43FBC">
            <w:pPr>
              <w:pStyle w:val="TableParagraph"/>
              <w:spacing w:before="85"/>
              <w:ind w:left="61"/>
              <w:jc w:val="center"/>
              <w:rPr>
                <w:rFonts w:ascii="Palatino Linotype"/>
                <w:sz w:val="17"/>
              </w:rPr>
            </w:pPr>
            <w:r>
              <w:rPr>
                <w:rFonts w:ascii="Palatino Linotype"/>
                <w:spacing w:val="-4"/>
                <w:sz w:val="17"/>
              </w:rPr>
              <w:t>1.02</w:t>
            </w:r>
          </w:p>
        </w:tc>
        <w:tc>
          <w:tcPr>
            <w:tcW w:w="4470" w:type="dxa"/>
            <w:tcBorders>
              <w:top w:val="nil"/>
              <w:bottom w:val="nil"/>
            </w:tcBorders>
          </w:tcPr>
          <w:p w:rsidR="007F6DF9" w:rsidRDefault="00A43FBC">
            <w:pPr>
              <w:pStyle w:val="TableParagraph"/>
              <w:spacing w:line="189" w:lineRule="exact"/>
              <w:ind w:left="34" w:right="-15"/>
              <w:rPr>
                <w:rFonts w:ascii="Palatino Linotype"/>
                <w:sz w:val="17"/>
              </w:rPr>
            </w:pPr>
            <w:r>
              <w:rPr>
                <w:rFonts w:ascii="Palatino Linotype"/>
                <w:spacing w:val="-2"/>
                <w:sz w:val="17"/>
              </w:rPr>
              <w:t>PVC/SWA/PVC CU cable</w:t>
            </w:r>
            <w:r>
              <w:rPr>
                <w:rFonts w:ascii="Palatino Linotype"/>
                <w:spacing w:val="-3"/>
                <w:sz w:val="17"/>
              </w:rPr>
              <w:t xml:space="preserve"> </w:t>
            </w:r>
            <w:r>
              <w:rPr>
                <w:rFonts w:ascii="Palatino Linotype"/>
                <w:spacing w:val="-2"/>
                <w:sz w:val="17"/>
              </w:rPr>
              <w:t>in</w:t>
            </w:r>
            <w:r>
              <w:rPr>
                <w:rFonts w:ascii="Palatino Linotype"/>
                <w:spacing w:val="-3"/>
                <w:sz w:val="17"/>
              </w:rPr>
              <w:t xml:space="preserve"> </w:t>
            </w:r>
            <w:r>
              <w:rPr>
                <w:rFonts w:ascii="Palatino Linotype"/>
                <w:spacing w:val="-2"/>
                <w:sz w:val="17"/>
              </w:rPr>
              <w:t>HG</w:t>
            </w:r>
            <w:r>
              <w:rPr>
                <w:rFonts w:ascii="Palatino Linotype"/>
                <w:spacing w:val="-5"/>
                <w:sz w:val="17"/>
              </w:rPr>
              <w:t xml:space="preserve"> </w:t>
            </w:r>
            <w:r>
              <w:rPr>
                <w:rFonts w:ascii="Palatino Linotype"/>
                <w:spacing w:val="-2"/>
                <w:sz w:val="17"/>
              </w:rPr>
              <w:t>conduits</w:t>
            </w:r>
            <w:r>
              <w:rPr>
                <w:rFonts w:ascii="Palatino Linotype"/>
                <w:spacing w:val="-1"/>
                <w:sz w:val="17"/>
              </w:rPr>
              <w:t xml:space="preserve"> </w:t>
            </w:r>
            <w:r>
              <w:rPr>
                <w:rFonts w:ascii="Palatino Linotype"/>
                <w:spacing w:val="-2"/>
                <w:sz w:val="17"/>
              </w:rPr>
              <w:t>complete</w:t>
            </w:r>
            <w:r>
              <w:rPr>
                <w:rFonts w:ascii="Palatino Linotype"/>
                <w:spacing w:val="-4"/>
                <w:sz w:val="17"/>
              </w:rPr>
              <w:t xml:space="preserve"> </w:t>
            </w:r>
            <w:r>
              <w:rPr>
                <w:rFonts w:ascii="Palatino Linotype"/>
                <w:spacing w:val="-2"/>
                <w:sz w:val="17"/>
              </w:rPr>
              <w:t xml:space="preserve">with </w:t>
            </w:r>
            <w:r>
              <w:rPr>
                <w:rFonts w:ascii="Palatino Linotype"/>
                <w:spacing w:val="-5"/>
                <w:sz w:val="17"/>
              </w:rPr>
              <w:t>all</w:t>
            </w:r>
          </w:p>
          <w:p w:rsidR="007F6DF9" w:rsidRDefault="00A43FBC">
            <w:pPr>
              <w:pStyle w:val="TableParagraph"/>
              <w:spacing w:before="20" w:line="222" w:lineRule="exact"/>
              <w:ind w:left="34"/>
              <w:rPr>
                <w:rFonts w:ascii="Palatino Linotype"/>
                <w:sz w:val="17"/>
              </w:rPr>
            </w:pPr>
            <w:r>
              <w:rPr>
                <w:rFonts w:ascii="Palatino Linotype"/>
                <w:spacing w:val="-2"/>
                <w:sz w:val="17"/>
              </w:rPr>
              <w:t>the</w:t>
            </w:r>
            <w:r>
              <w:rPr>
                <w:rFonts w:ascii="Palatino Linotype"/>
                <w:spacing w:val="-3"/>
                <w:sz w:val="17"/>
              </w:rPr>
              <w:t xml:space="preserve"> </w:t>
            </w:r>
            <w:r>
              <w:rPr>
                <w:rFonts w:ascii="Palatino Linotype"/>
                <w:spacing w:val="-2"/>
                <w:sz w:val="17"/>
              </w:rPr>
              <w:t>necessary</w:t>
            </w:r>
            <w:r>
              <w:rPr>
                <w:rFonts w:ascii="Palatino Linotype"/>
                <w:spacing w:val="-5"/>
                <w:sz w:val="17"/>
              </w:rPr>
              <w:t xml:space="preserve"> </w:t>
            </w:r>
            <w:r>
              <w:rPr>
                <w:rFonts w:ascii="Palatino Linotype"/>
                <w:spacing w:val="-2"/>
                <w:sz w:val="17"/>
              </w:rPr>
              <w:t>accessories from</w:t>
            </w:r>
            <w:r>
              <w:rPr>
                <w:rFonts w:ascii="Palatino Linotype"/>
                <w:spacing w:val="-5"/>
                <w:sz w:val="17"/>
              </w:rPr>
              <w:t xml:space="preserve"> </w:t>
            </w:r>
            <w:r>
              <w:rPr>
                <w:rFonts w:ascii="Palatino Linotype"/>
                <w:spacing w:val="-2"/>
                <w:sz w:val="17"/>
              </w:rPr>
              <w:t xml:space="preserve">the </w:t>
            </w:r>
            <w:proofErr w:type="spellStart"/>
            <w:r>
              <w:rPr>
                <w:rFonts w:ascii="Palatino Linotype"/>
                <w:spacing w:val="-2"/>
                <w:sz w:val="17"/>
              </w:rPr>
              <w:t>subboard</w:t>
            </w:r>
            <w:proofErr w:type="spellEnd"/>
            <w:r>
              <w:rPr>
                <w:rFonts w:ascii="Palatino Linotype"/>
                <w:spacing w:val="-2"/>
                <w:sz w:val="17"/>
              </w:rPr>
              <w:t xml:space="preserve"> to</w:t>
            </w:r>
            <w:r>
              <w:rPr>
                <w:rFonts w:ascii="Palatino Linotype"/>
                <w:spacing w:val="-3"/>
                <w:sz w:val="17"/>
              </w:rPr>
              <w:t xml:space="preserve"> </w:t>
            </w:r>
            <w:r>
              <w:rPr>
                <w:rFonts w:ascii="Palatino Linotype"/>
                <w:spacing w:val="-5"/>
                <w:sz w:val="17"/>
              </w:rPr>
              <w:t>the</w:t>
            </w:r>
          </w:p>
        </w:tc>
        <w:tc>
          <w:tcPr>
            <w:tcW w:w="675" w:type="dxa"/>
            <w:tcBorders>
              <w:top w:val="nil"/>
              <w:bottom w:val="nil"/>
            </w:tcBorders>
          </w:tcPr>
          <w:p w:rsidR="007F6DF9" w:rsidRDefault="00A43FBC">
            <w:pPr>
              <w:pStyle w:val="TableParagraph"/>
              <w:spacing w:before="85"/>
              <w:ind w:left="67" w:right="2"/>
              <w:jc w:val="center"/>
              <w:rPr>
                <w:rFonts w:ascii="Palatino Linotype"/>
                <w:sz w:val="17"/>
              </w:rPr>
            </w:pPr>
            <w:r>
              <w:rPr>
                <w:rFonts w:ascii="Palatino Linotype"/>
                <w:spacing w:val="-5"/>
                <w:sz w:val="17"/>
              </w:rPr>
              <w:t>20</w:t>
            </w:r>
          </w:p>
        </w:tc>
        <w:tc>
          <w:tcPr>
            <w:tcW w:w="765" w:type="dxa"/>
            <w:tcBorders>
              <w:top w:val="nil"/>
              <w:bottom w:val="nil"/>
            </w:tcBorders>
          </w:tcPr>
          <w:p w:rsidR="007F6DF9" w:rsidRDefault="00A43FBC">
            <w:pPr>
              <w:pStyle w:val="TableParagraph"/>
              <w:spacing w:before="85"/>
              <w:ind w:left="66"/>
              <w:jc w:val="center"/>
              <w:rPr>
                <w:rFonts w:ascii="Palatino Linotype"/>
                <w:sz w:val="17"/>
              </w:rPr>
            </w:pPr>
            <w:r>
              <w:rPr>
                <w:rFonts w:ascii="Palatino Linotype"/>
                <w:spacing w:val="-5"/>
                <w:sz w:val="17"/>
              </w:rPr>
              <w:t>Lm</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29"/>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190" w:lineRule="exact"/>
              <w:ind w:left="34"/>
              <w:rPr>
                <w:rFonts w:ascii="Palatino Linotype"/>
                <w:sz w:val="17"/>
              </w:rPr>
            </w:pPr>
            <w:r>
              <w:rPr>
                <w:rFonts w:ascii="Palatino Linotype"/>
                <w:spacing w:val="-2"/>
                <w:sz w:val="17"/>
              </w:rPr>
              <w:t>Distribution</w:t>
            </w:r>
            <w:r>
              <w:rPr>
                <w:rFonts w:ascii="Palatino Linotype"/>
                <w:spacing w:val="-1"/>
                <w:sz w:val="17"/>
              </w:rPr>
              <w:t xml:space="preserve"> </w:t>
            </w:r>
            <w:r>
              <w:rPr>
                <w:rFonts w:ascii="Palatino Linotype"/>
                <w:spacing w:val="-2"/>
                <w:sz w:val="17"/>
              </w:rPr>
              <w:t>Board</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697"/>
        </w:trPr>
        <w:tc>
          <w:tcPr>
            <w:tcW w:w="570" w:type="dxa"/>
            <w:tcBorders>
              <w:top w:val="nil"/>
              <w:bottom w:val="nil"/>
            </w:tcBorders>
          </w:tcPr>
          <w:p w:rsidR="007F6DF9" w:rsidRDefault="00A43FBC">
            <w:pPr>
              <w:pStyle w:val="TableParagraph"/>
              <w:spacing w:before="211"/>
              <w:ind w:left="61"/>
              <w:jc w:val="center"/>
              <w:rPr>
                <w:rFonts w:ascii="Palatino Linotype"/>
                <w:sz w:val="17"/>
              </w:rPr>
            </w:pPr>
            <w:r>
              <w:rPr>
                <w:rFonts w:ascii="Palatino Linotype"/>
                <w:spacing w:val="-4"/>
                <w:sz w:val="17"/>
              </w:rPr>
              <w:t>1.03</w:t>
            </w:r>
          </w:p>
        </w:tc>
        <w:tc>
          <w:tcPr>
            <w:tcW w:w="4470" w:type="dxa"/>
            <w:tcBorders>
              <w:top w:val="nil"/>
              <w:bottom w:val="nil"/>
            </w:tcBorders>
          </w:tcPr>
          <w:p w:rsidR="007F6DF9" w:rsidRDefault="00A43FBC">
            <w:pPr>
              <w:pStyle w:val="TableParagraph"/>
              <w:spacing w:before="87" w:line="259" w:lineRule="auto"/>
              <w:ind w:left="34" w:right="-29"/>
              <w:rPr>
                <w:rFonts w:ascii="Palatino Linotype"/>
                <w:sz w:val="17"/>
              </w:rPr>
            </w:pPr>
            <w:r>
              <w:rPr>
                <w:rFonts w:ascii="Palatino Linotype"/>
                <w:sz w:val="17"/>
              </w:rPr>
              <w:t>600mm</w:t>
            </w:r>
            <w:r>
              <w:rPr>
                <w:rFonts w:ascii="Palatino Linotype"/>
                <w:spacing w:val="-11"/>
                <w:sz w:val="17"/>
              </w:rPr>
              <w:t xml:space="preserve"> </w:t>
            </w:r>
            <w:r>
              <w:rPr>
                <w:rFonts w:ascii="Palatino Linotype"/>
                <w:sz w:val="17"/>
              </w:rPr>
              <w:t>x</w:t>
            </w:r>
            <w:r>
              <w:rPr>
                <w:rFonts w:ascii="Palatino Linotype"/>
                <w:spacing w:val="-11"/>
                <w:sz w:val="17"/>
              </w:rPr>
              <w:t xml:space="preserve"> </w:t>
            </w:r>
            <w:r>
              <w:rPr>
                <w:rFonts w:ascii="Palatino Linotype"/>
                <w:sz w:val="17"/>
              </w:rPr>
              <w:t>100mm,</w:t>
            </w:r>
            <w:r>
              <w:rPr>
                <w:rFonts w:ascii="Palatino Linotype"/>
                <w:spacing w:val="-10"/>
                <w:sz w:val="17"/>
              </w:rPr>
              <w:t xml:space="preserve"> </w:t>
            </w:r>
            <w:r>
              <w:rPr>
                <w:rFonts w:ascii="Palatino Linotype"/>
                <w:sz w:val="17"/>
              </w:rPr>
              <w:t>steel,</w:t>
            </w:r>
            <w:r>
              <w:rPr>
                <w:rFonts w:ascii="Palatino Linotype"/>
                <w:spacing w:val="-11"/>
                <w:sz w:val="17"/>
              </w:rPr>
              <w:t xml:space="preserve"> </w:t>
            </w:r>
            <w:r>
              <w:rPr>
                <w:rFonts w:ascii="Palatino Linotype"/>
                <w:sz w:val="17"/>
              </w:rPr>
              <w:t>hot</w:t>
            </w:r>
            <w:r>
              <w:rPr>
                <w:rFonts w:ascii="Palatino Linotype"/>
                <w:spacing w:val="-11"/>
                <w:sz w:val="17"/>
              </w:rPr>
              <w:t xml:space="preserve"> </w:t>
            </w:r>
            <w:r>
              <w:rPr>
                <w:rFonts w:ascii="Palatino Linotype"/>
                <w:sz w:val="17"/>
              </w:rPr>
              <w:t>dip</w:t>
            </w:r>
            <w:r>
              <w:rPr>
                <w:rFonts w:ascii="Palatino Linotype"/>
                <w:spacing w:val="-10"/>
                <w:sz w:val="17"/>
              </w:rPr>
              <w:t xml:space="preserve"> </w:t>
            </w:r>
            <w:proofErr w:type="spellStart"/>
            <w:r>
              <w:rPr>
                <w:rFonts w:ascii="Palatino Linotype"/>
                <w:sz w:val="17"/>
              </w:rPr>
              <w:t>galvanised</w:t>
            </w:r>
            <w:proofErr w:type="spellEnd"/>
            <w:r>
              <w:rPr>
                <w:rFonts w:ascii="Palatino Linotype"/>
                <w:sz w:val="17"/>
              </w:rPr>
              <w:t>,</w:t>
            </w:r>
            <w:r>
              <w:rPr>
                <w:rFonts w:ascii="Palatino Linotype"/>
                <w:spacing w:val="-11"/>
                <w:sz w:val="17"/>
              </w:rPr>
              <w:t xml:space="preserve"> </w:t>
            </w:r>
            <w:r>
              <w:rPr>
                <w:rFonts w:ascii="Palatino Linotype"/>
                <w:sz w:val="17"/>
              </w:rPr>
              <w:t>cable</w:t>
            </w:r>
            <w:r>
              <w:rPr>
                <w:rFonts w:ascii="Palatino Linotype"/>
                <w:spacing w:val="-10"/>
                <w:sz w:val="17"/>
              </w:rPr>
              <w:t xml:space="preserve"> </w:t>
            </w:r>
            <w:r>
              <w:rPr>
                <w:rFonts w:ascii="Palatino Linotype"/>
                <w:sz w:val="17"/>
              </w:rPr>
              <w:t>ladder</w:t>
            </w:r>
            <w:r>
              <w:rPr>
                <w:rFonts w:ascii="Palatino Linotype"/>
                <w:spacing w:val="-9"/>
                <w:sz w:val="17"/>
              </w:rPr>
              <w:t xml:space="preserve"> </w:t>
            </w:r>
            <w:r>
              <w:rPr>
                <w:rFonts w:ascii="Palatino Linotype"/>
                <w:sz w:val="17"/>
              </w:rPr>
              <w:t>for power cables</w:t>
            </w:r>
            <w:r>
              <w:rPr>
                <w:rFonts w:ascii="Palatino Linotype"/>
                <w:spacing w:val="40"/>
                <w:sz w:val="17"/>
              </w:rPr>
              <w:t xml:space="preserve"> </w:t>
            </w:r>
            <w:r>
              <w:rPr>
                <w:rFonts w:ascii="Palatino Linotype"/>
                <w:sz w:val="17"/>
              </w:rPr>
              <w:t>complete with all accessories</w:t>
            </w:r>
          </w:p>
        </w:tc>
        <w:tc>
          <w:tcPr>
            <w:tcW w:w="675" w:type="dxa"/>
            <w:tcBorders>
              <w:top w:val="nil"/>
              <w:bottom w:val="nil"/>
            </w:tcBorders>
          </w:tcPr>
          <w:p w:rsidR="007F6DF9" w:rsidRDefault="00A43FBC">
            <w:pPr>
              <w:pStyle w:val="TableParagraph"/>
              <w:spacing w:before="211"/>
              <w:ind w:left="67" w:right="2"/>
              <w:jc w:val="center"/>
              <w:rPr>
                <w:rFonts w:ascii="Palatino Linotype"/>
                <w:sz w:val="17"/>
              </w:rPr>
            </w:pPr>
            <w:r>
              <w:rPr>
                <w:rFonts w:ascii="Palatino Linotype"/>
                <w:spacing w:val="-5"/>
                <w:sz w:val="17"/>
              </w:rPr>
              <w:t>25</w:t>
            </w:r>
          </w:p>
        </w:tc>
        <w:tc>
          <w:tcPr>
            <w:tcW w:w="765" w:type="dxa"/>
            <w:tcBorders>
              <w:top w:val="nil"/>
              <w:bottom w:val="nil"/>
            </w:tcBorders>
          </w:tcPr>
          <w:p w:rsidR="007F6DF9" w:rsidRDefault="00A43FBC">
            <w:pPr>
              <w:pStyle w:val="TableParagraph"/>
              <w:spacing w:before="211"/>
              <w:ind w:left="66"/>
              <w:jc w:val="center"/>
              <w:rPr>
                <w:rFonts w:ascii="Palatino Linotype"/>
                <w:sz w:val="17"/>
              </w:rPr>
            </w:pPr>
            <w:r>
              <w:rPr>
                <w:rFonts w:ascii="Palatino Linotype"/>
                <w:spacing w:val="-5"/>
                <w:sz w:val="17"/>
              </w:rPr>
              <w:t>Lm</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687"/>
        </w:trPr>
        <w:tc>
          <w:tcPr>
            <w:tcW w:w="570" w:type="dxa"/>
            <w:tcBorders>
              <w:top w:val="nil"/>
              <w:bottom w:val="nil"/>
            </w:tcBorders>
          </w:tcPr>
          <w:p w:rsidR="007F6DF9" w:rsidRDefault="00A43FBC">
            <w:pPr>
              <w:pStyle w:val="TableParagraph"/>
              <w:spacing w:before="204"/>
              <w:ind w:left="61"/>
              <w:jc w:val="center"/>
              <w:rPr>
                <w:rFonts w:ascii="Palatino Linotype"/>
                <w:sz w:val="17"/>
              </w:rPr>
            </w:pPr>
            <w:r>
              <w:rPr>
                <w:rFonts w:ascii="Palatino Linotype"/>
                <w:spacing w:val="-4"/>
                <w:sz w:val="17"/>
              </w:rPr>
              <w:t>1.04</w:t>
            </w:r>
          </w:p>
        </w:tc>
        <w:tc>
          <w:tcPr>
            <w:tcW w:w="4470" w:type="dxa"/>
            <w:tcBorders>
              <w:top w:val="nil"/>
              <w:bottom w:val="nil"/>
            </w:tcBorders>
          </w:tcPr>
          <w:p w:rsidR="007F6DF9" w:rsidRDefault="00A43FBC">
            <w:pPr>
              <w:pStyle w:val="TableParagraph"/>
              <w:spacing w:before="81" w:line="259" w:lineRule="auto"/>
              <w:ind w:left="34"/>
              <w:rPr>
                <w:rFonts w:ascii="Palatino Linotype"/>
                <w:sz w:val="17"/>
              </w:rPr>
            </w:pPr>
            <w:r>
              <w:rPr>
                <w:rFonts w:ascii="Palatino Linotype"/>
                <w:sz w:val="17"/>
              </w:rPr>
              <w:t>63A</w:t>
            </w:r>
            <w:r>
              <w:rPr>
                <w:rFonts w:ascii="Palatino Linotype"/>
                <w:spacing w:val="-11"/>
                <w:sz w:val="17"/>
              </w:rPr>
              <w:t xml:space="preserve"> </w:t>
            </w:r>
            <w:r>
              <w:rPr>
                <w:rFonts w:ascii="Palatino Linotype"/>
                <w:sz w:val="17"/>
              </w:rPr>
              <w:t>TPN</w:t>
            </w:r>
            <w:r>
              <w:rPr>
                <w:rFonts w:ascii="Palatino Linotype"/>
                <w:spacing w:val="-11"/>
                <w:sz w:val="17"/>
              </w:rPr>
              <w:t xml:space="preserve"> </w:t>
            </w:r>
            <w:r>
              <w:rPr>
                <w:rFonts w:ascii="Palatino Linotype"/>
                <w:sz w:val="17"/>
              </w:rPr>
              <w:t>MCCB</w:t>
            </w:r>
            <w:r>
              <w:rPr>
                <w:rFonts w:ascii="Palatino Linotype"/>
                <w:spacing w:val="-10"/>
                <w:sz w:val="17"/>
              </w:rPr>
              <w:t xml:space="preserve"> </w:t>
            </w:r>
            <w:r>
              <w:rPr>
                <w:rFonts w:ascii="Palatino Linotype"/>
                <w:sz w:val="17"/>
              </w:rPr>
              <w:t>as</w:t>
            </w:r>
            <w:r>
              <w:rPr>
                <w:rFonts w:ascii="Palatino Linotype"/>
                <w:spacing w:val="-11"/>
                <w:sz w:val="17"/>
              </w:rPr>
              <w:t xml:space="preserve"> </w:t>
            </w:r>
            <w:r>
              <w:rPr>
                <w:rFonts w:ascii="Palatino Linotype"/>
                <w:sz w:val="17"/>
              </w:rPr>
              <w:t>Schneider</w:t>
            </w:r>
            <w:r>
              <w:rPr>
                <w:rFonts w:ascii="Palatino Linotype"/>
                <w:spacing w:val="-11"/>
                <w:sz w:val="17"/>
              </w:rPr>
              <w:t xml:space="preserve"> </w:t>
            </w:r>
            <w:r>
              <w:rPr>
                <w:rFonts w:ascii="Palatino Linotype"/>
                <w:sz w:val="17"/>
              </w:rPr>
              <w:t>or</w:t>
            </w:r>
            <w:r>
              <w:rPr>
                <w:rFonts w:ascii="Palatino Linotype"/>
                <w:spacing w:val="-10"/>
                <w:sz w:val="17"/>
              </w:rPr>
              <w:t xml:space="preserve"> </w:t>
            </w:r>
            <w:r>
              <w:rPr>
                <w:rFonts w:ascii="Palatino Linotype"/>
                <w:sz w:val="17"/>
              </w:rPr>
              <w:t>equal</w:t>
            </w:r>
            <w:r>
              <w:rPr>
                <w:rFonts w:ascii="Palatino Linotype"/>
                <w:spacing w:val="-11"/>
                <w:sz w:val="17"/>
              </w:rPr>
              <w:t xml:space="preserve"> </w:t>
            </w:r>
            <w:r>
              <w:rPr>
                <w:rFonts w:ascii="Palatino Linotype"/>
                <w:sz w:val="17"/>
              </w:rPr>
              <w:t>and</w:t>
            </w:r>
            <w:r>
              <w:rPr>
                <w:rFonts w:ascii="Palatino Linotype"/>
                <w:spacing w:val="-10"/>
                <w:sz w:val="17"/>
              </w:rPr>
              <w:t xml:space="preserve"> </w:t>
            </w:r>
            <w:r>
              <w:rPr>
                <w:rFonts w:ascii="Palatino Linotype"/>
                <w:sz w:val="17"/>
              </w:rPr>
              <w:t xml:space="preserve">approved </w:t>
            </w:r>
            <w:r>
              <w:rPr>
                <w:rFonts w:ascii="Palatino Linotype"/>
                <w:spacing w:val="-2"/>
                <w:sz w:val="17"/>
              </w:rPr>
              <w:t>equivalent</w:t>
            </w:r>
          </w:p>
        </w:tc>
        <w:tc>
          <w:tcPr>
            <w:tcW w:w="675" w:type="dxa"/>
            <w:tcBorders>
              <w:top w:val="nil"/>
              <w:bottom w:val="nil"/>
            </w:tcBorders>
          </w:tcPr>
          <w:p w:rsidR="007F6DF9" w:rsidRDefault="00A43FBC">
            <w:pPr>
              <w:pStyle w:val="TableParagraph"/>
              <w:spacing w:before="204"/>
              <w:ind w:left="67" w:right="2"/>
              <w:jc w:val="center"/>
              <w:rPr>
                <w:rFonts w:ascii="Palatino Linotype"/>
                <w:sz w:val="17"/>
              </w:rPr>
            </w:pPr>
            <w:r>
              <w:rPr>
                <w:rFonts w:ascii="Palatino Linotype"/>
                <w:spacing w:val="-10"/>
                <w:sz w:val="17"/>
              </w:rPr>
              <w:t>1</w:t>
            </w:r>
          </w:p>
        </w:tc>
        <w:tc>
          <w:tcPr>
            <w:tcW w:w="765" w:type="dxa"/>
            <w:tcBorders>
              <w:top w:val="nil"/>
              <w:bottom w:val="nil"/>
            </w:tcBorders>
          </w:tcPr>
          <w:p w:rsidR="007F6DF9" w:rsidRDefault="00A43FBC">
            <w:pPr>
              <w:pStyle w:val="TableParagraph"/>
              <w:spacing w:before="204"/>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1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77" w:line="222" w:lineRule="exact"/>
              <w:ind w:left="34"/>
              <w:rPr>
                <w:rFonts w:ascii="Palatino Linotype"/>
                <w:sz w:val="17"/>
              </w:rPr>
            </w:pPr>
            <w:r>
              <w:rPr>
                <w:rFonts w:ascii="Palatino Linotype"/>
                <w:spacing w:val="-2"/>
                <w:sz w:val="17"/>
              </w:rPr>
              <w:t>6-way 100A TPN</w:t>
            </w:r>
            <w:r>
              <w:rPr>
                <w:rFonts w:ascii="Palatino Linotype"/>
                <w:spacing w:val="-3"/>
                <w:sz w:val="17"/>
              </w:rPr>
              <w:t xml:space="preserve"> </w:t>
            </w:r>
            <w:r>
              <w:rPr>
                <w:rFonts w:ascii="Palatino Linotype"/>
                <w:spacing w:val="-2"/>
                <w:sz w:val="17"/>
              </w:rPr>
              <w:t>distribution</w:t>
            </w:r>
            <w:r>
              <w:rPr>
                <w:rFonts w:ascii="Palatino Linotype"/>
                <w:spacing w:val="-4"/>
                <w:sz w:val="17"/>
              </w:rPr>
              <w:t xml:space="preserve"> </w:t>
            </w:r>
            <w:r>
              <w:rPr>
                <w:rFonts w:ascii="Palatino Linotype"/>
                <w:spacing w:val="-2"/>
                <w:sz w:val="17"/>
              </w:rPr>
              <w:t>board</w:t>
            </w:r>
            <w:r>
              <w:rPr>
                <w:rFonts w:ascii="Palatino Linotype"/>
                <w:spacing w:val="-1"/>
                <w:sz w:val="17"/>
              </w:rPr>
              <w:t xml:space="preserve"> </w:t>
            </w:r>
            <w:r>
              <w:rPr>
                <w:rFonts w:ascii="Palatino Linotype"/>
                <w:spacing w:val="-2"/>
                <w:sz w:val="17"/>
              </w:rPr>
              <w:t>flush</w:t>
            </w:r>
            <w:r>
              <w:rPr>
                <w:rFonts w:ascii="Palatino Linotype"/>
                <w:spacing w:val="-4"/>
                <w:sz w:val="17"/>
              </w:rPr>
              <w:t xml:space="preserve"> </w:t>
            </w:r>
            <w:r>
              <w:rPr>
                <w:rFonts w:ascii="Palatino Linotype"/>
                <w:spacing w:val="-2"/>
                <w:sz w:val="17"/>
              </w:rPr>
              <w:t>mounted</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450"/>
        </w:trPr>
        <w:tc>
          <w:tcPr>
            <w:tcW w:w="570" w:type="dxa"/>
            <w:tcBorders>
              <w:top w:val="nil"/>
              <w:bottom w:val="nil"/>
            </w:tcBorders>
          </w:tcPr>
          <w:p w:rsidR="007F6DF9" w:rsidRDefault="00A43FBC">
            <w:pPr>
              <w:pStyle w:val="TableParagraph"/>
              <w:spacing w:before="84"/>
              <w:ind w:left="61"/>
              <w:jc w:val="center"/>
              <w:rPr>
                <w:rFonts w:ascii="Palatino Linotype"/>
                <w:sz w:val="17"/>
              </w:rPr>
            </w:pPr>
            <w:r>
              <w:rPr>
                <w:rFonts w:ascii="Palatino Linotype"/>
                <w:spacing w:val="-4"/>
                <w:sz w:val="17"/>
              </w:rPr>
              <w:t>1.05</w:t>
            </w:r>
          </w:p>
        </w:tc>
        <w:tc>
          <w:tcPr>
            <w:tcW w:w="4470" w:type="dxa"/>
            <w:tcBorders>
              <w:top w:val="nil"/>
              <w:bottom w:val="nil"/>
            </w:tcBorders>
          </w:tcPr>
          <w:p w:rsidR="007F6DF9" w:rsidRDefault="00A43FBC">
            <w:pPr>
              <w:pStyle w:val="TableParagraph"/>
              <w:spacing w:line="189" w:lineRule="exact"/>
              <w:ind w:left="34"/>
              <w:rPr>
                <w:rFonts w:ascii="Palatino Linotype"/>
                <w:sz w:val="17"/>
              </w:rPr>
            </w:pPr>
            <w:r>
              <w:rPr>
                <w:rFonts w:ascii="Palatino Linotype"/>
                <w:spacing w:val="-2"/>
                <w:sz w:val="17"/>
              </w:rPr>
              <w:t>complete</w:t>
            </w:r>
            <w:r>
              <w:rPr>
                <w:rFonts w:ascii="Palatino Linotype"/>
                <w:sz w:val="17"/>
              </w:rPr>
              <w:t xml:space="preserve"> </w:t>
            </w:r>
            <w:r>
              <w:rPr>
                <w:rFonts w:ascii="Palatino Linotype"/>
                <w:spacing w:val="-2"/>
                <w:sz w:val="17"/>
              </w:rPr>
              <w:t>with</w:t>
            </w:r>
            <w:r>
              <w:rPr>
                <w:rFonts w:ascii="Palatino Linotype"/>
                <w:spacing w:val="-5"/>
                <w:sz w:val="17"/>
              </w:rPr>
              <w:t xml:space="preserve"> </w:t>
            </w:r>
            <w:r>
              <w:rPr>
                <w:rFonts w:ascii="Palatino Linotype"/>
                <w:spacing w:val="-2"/>
                <w:sz w:val="17"/>
              </w:rPr>
              <w:t>100</w:t>
            </w:r>
            <w:r>
              <w:rPr>
                <w:rFonts w:ascii="Palatino Linotype"/>
                <w:sz w:val="17"/>
              </w:rPr>
              <w:t xml:space="preserve"> </w:t>
            </w:r>
            <w:r>
              <w:rPr>
                <w:rFonts w:ascii="Palatino Linotype"/>
                <w:spacing w:val="-2"/>
                <w:sz w:val="17"/>
              </w:rPr>
              <w:t>A TPN integral</w:t>
            </w:r>
            <w:r>
              <w:rPr>
                <w:rFonts w:ascii="Palatino Linotype"/>
                <w:sz w:val="17"/>
              </w:rPr>
              <w:t xml:space="preserve"> </w:t>
            </w:r>
            <w:r>
              <w:rPr>
                <w:rFonts w:ascii="Palatino Linotype"/>
                <w:spacing w:val="-2"/>
                <w:sz w:val="17"/>
              </w:rPr>
              <w:t>isolator</w:t>
            </w:r>
            <w:r>
              <w:rPr>
                <w:rFonts w:ascii="Palatino Linotype"/>
                <w:spacing w:val="-1"/>
                <w:sz w:val="17"/>
              </w:rPr>
              <w:t xml:space="preserve"> </w:t>
            </w:r>
            <w:r>
              <w:rPr>
                <w:rFonts w:ascii="Palatino Linotype"/>
                <w:spacing w:val="-2"/>
                <w:sz w:val="17"/>
              </w:rPr>
              <w:t>and</w:t>
            </w:r>
            <w:r>
              <w:rPr>
                <w:rFonts w:ascii="Palatino Linotype"/>
                <w:spacing w:val="-4"/>
                <w:sz w:val="17"/>
              </w:rPr>
              <w:t xml:space="preserve"> </w:t>
            </w:r>
            <w:r>
              <w:rPr>
                <w:rFonts w:ascii="Palatino Linotype"/>
                <w:spacing w:val="-2"/>
                <w:sz w:val="17"/>
              </w:rPr>
              <w:t>lockable</w:t>
            </w:r>
          </w:p>
          <w:p w:rsidR="007F6DF9" w:rsidRDefault="00A43FBC">
            <w:pPr>
              <w:pStyle w:val="TableParagraph"/>
              <w:spacing w:before="17" w:line="223" w:lineRule="exact"/>
              <w:ind w:left="34"/>
              <w:rPr>
                <w:rFonts w:ascii="Palatino Linotype"/>
                <w:sz w:val="17"/>
              </w:rPr>
            </w:pPr>
            <w:r>
              <w:rPr>
                <w:rFonts w:ascii="Palatino Linotype"/>
                <w:spacing w:val="-2"/>
                <w:sz w:val="17"/>
              </w:rPr>
              <w:t>cover and</w:t>
            </w:r>
            <w:r>
              <w:rPr>
                <w:rFonts w:ascii="Palatino Linotype"/>
                <w:spacing w:val="-1"/>
                <w:sz w:val="17"/>
              </w:rPr>
              <w:t xml:space="preserve"> </w:t>
            </w:r>
            <w:r>
              <w:rPr>
                <w:rFonts w:ascii="Palatino Linotype"/>
                <w:spacing w:val="-2"/>
                <w:sz w:val="17"/>
              </w:rPr>
              <w:t>all</w:t>
            </w:r>
            <w:r>
              <w:rPr>
                <w:rFonts w:ascii="Palatino Linotype"/>
                <w:sz w:val="17"/>
              </w:rPr>
              <w:t xml:space="preserve"> </w:t>
            </w:r>
            <w:r>
              <w:rPr>
                <w:rFonts w:ascii="Palatino Linotype"/>
                <w:spacing w:val="-2"/>
                <w:sz w:val="17"/>
              </w:rPr>
              <w:t>accessories excluding MCBs</w:t>
            </w:r>
            <w:r>
              <w:rPr>
                <w:rFonts w:ascii="Palatino Linotype"/>
                <w:spacing w:val="-4"/>
                <w:sz w:val="17"/>
              </w:rPr>
              <w:t xml:space="preserve"> </w:t>
            </w:r>
            <w:r>
              <w:rPr>
                <w:rFonts w:ascii="Palatino Linotype"/>
                <w:spacing w:val="-2"/>
                <w:sz w:val="17"/>
              </w:rPr>
              <w:t>as</w:t>
            </w:r>
            <w:r>
              <w:rPr>
                <w:rFonts w:ascii="Palatino Linotype"/>
                <w:spacing w:val="-1"/>
                <w:sz w:val="17"/>
              </w:rPr>
              <w:t xml:space="preserve"> </w:t>
            </w:r>
            <w:r>
              <w:rPr>
                <w:rFonts w:ascii="Palatino Linotype"/>
                <w:spacing w:val="-2"/>
                <w:sz w:val="17"/>
              </w:rPr>
              <w:t>Schneider</w:t>
            </w:r>
            <w:r>
              <w:rPr>
                <w:rFonts w:ascii="Palatino Linotype"/>
                <w:spacing w:val="-4"/>
                <w:sz w:val="17"/>
              </w:rPr>
              <w:t xml:space="preserve"> </w:t>
            </w:r>
            <w:r>
              <w:rPr>
                <w:rFonts w:ascii="Palatino Linotype"/>
                <w:spacing w:val="-5"/>
                <w:sz w:val="17"/>
              </w:rPr>
              <w:t>or</w:t>
            </w:r>
          </w:p>
        </w:tc>
        <w:tc>
          <w:tcPr>
            <w:tcW w:w="675" w:type="dxa"/>
            <w:tcBorders>
              <w:top w:val="nil"/>
              <w:bottom w:val="nil"/>
            </w:tcBorders>
          </w:tcPr>
          <w:p w:rsidR="007F6DF9" w:rsidRDefault="00A43FBC">
            <w:pPr>
              <w:pStyle w:val="TableParagraph"/>
              <w:spacing w:before="84"/>
              <w:ind w:left="67" w:right="2"/>
              <w:jc w:val="center"/>
              <w:rPr>
                <w:rFonts w:ascii="Palatino Linotype"/>
                <w:sz w:val="17"/>
              </w:rPr>
            </w:pPr>
            <w:r>
              <w:rPr>
                <w:rFonts w:ascii="Palatino Linotype"/>
                <w:spacing w:val="-10"/>
                <w:sz w:val="17"/>
              </w:rPr>
              <w:t>1</w:t>
            </w:r>
          </w:p>
        </w:tc>
        <w:tc>
          <w:tcPr>
            <w:tcW w:w="765" w:type="dxa"/>
            <w:tcBorders>
              <w:top w:val="nil"/>
              <w:bottom w:val="nil"/>
            </w:tcBorders>
          </w:tcPr>
          <w:p w:rsidR="007F6DF9" w:rsidRDefault="00A43FBC">
            <w:pPr>
              <w:pStyle w:val="TableParagraph"/>
              <w:spacing w:before="84"/>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43"/>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191" w:lineRule="exact"/>
              <w:ind w:left="34"/>
              <w:rPr>
                <w:rFonts w:ascii="Palatino Linotype"/>
                <w:sz w:val="17"/>
              </w:rPr>
            </w:pPr>
            <w:r>
              <w:rPr>
                <w:rFonts w:ascii="Palatino Linotype"/>
                <w:spacing w:val="-2"/>
                <w:sz w:val="17"/>
              </w:rPr>
              <w:t>approved</w:t>
            </w:r>
            <w:r>
              <w:rPr>
                <w:rFonts w:ascii="Palatino Linotype"/>
                <w:spacing w:val="-7"/>
                <w:sz w:val="17"/>
              </w:rPr>
              <w:t xml:space="preserve"> </w:t>
            </w:r>
            <w:r>
              <w:rPr>
                <w:rFonts w:ascii="Palatino Linotype"/>
                <w:spacing w:val="-2"/>
                <w:sz w:val="17"/>
              </w:rPr>
              <w:t>equivalent</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646"/>
        </w:trPr>
        <w:tc>
          <w:tcPr>
            <w:tcW w:w="570" w:type="dxa"/>
            <w:tcBorders>
              <w:top w:val="nil"/>
              <w:bottom w:val="nil"/>
            </w:tcBorders>
          </w:tcPr>
          <w:p w:rsidR="007F6DF9" w:rsidRDefault="00A43FBC">
            <w:pPr>
              <w:pStyle w:val="TableParagraph"/>
              <w:spacing w:before="225"/>
              <w:ind w:left="61"/>
              <w:jc w:val="center"/>
              <w:rPr>
                <w:rFonts w:ascii="Palatino Linotype"/>
                <w:sz w:val="17"/>
              </w:rPr>
            </w:pPr>
            <w:r>
              <w:rPr>
                <w:rFonts w:ascii="Palatino Linotype"/>
                <w:spacing w:val="-4"/>
                <w:sz w:val="17"/>
              </w:rPr>
              <w:t>1.06</w:t>
            </w:r>
          </w:p>
        </w:tc>
        <w:tc>
          <w:tcPr>
            <w:tcW w:w="4470" w:type="dxa"/>
            <w:tcBorders>
              <w:top w:val="nil"/>
              <w:bottom w:val="nil"/>
            </w:tcBorders>
          </w:tcPr>
          <w:p w:rsidR="007F6DF9" w:rsidRDefault="00A43FBC">
            <w:pPr>
              <w:pStyle w:val="TableParagraph"/>
              <w:spacing w:before="101" w:line="261" w:lineRule="auto"/>
              <w:ind w:left="34"/>
              <w:rPr>
                <w:rFonts w:ascii="Palatino Linotype"/>
                <w:sz w:val="17"/>
              </w:rPr>
            </w:pPr>
            <w:r>
              <w:rPr>
                <w:rFonts w:ascii="Palatino Linotype"/>
                <w:sz w:val="17"/>
              </w:rPr>
              <w:t>The</w:t>
            </w:r>
            <w:r>
              <w:rPr>
                <w:rFonts w:ascii="Palatino Linotype"/>
                <w:spacing w:val="-11"/>
                <w:sz w:val="17"/>
              </w:rPr>
              <w:t xml:space="preserve"> </w:t>
            </w:r>
            <w:r>
              <w:rPr>
                <w:rFonts w:ascii="Palatino Linotype"/>
                <w:sz w:val="17"/>
              </w:rPr>
              <w:t>following</w:t>
            </w:r>
            <w:r>
              <w:rPr>
                <w:rFonts w:ascii="Palatino Linotype"/>
                <w:spacing w:val="-11"/>
                <w:sz w:val="17"/>
              </w:rPr>
              <w:t xml:space="preserve"> </w:t>
            </w:r>
            <w:r>
              <w:rPr>
                <w:rFonts w:ascii="Palatino Linotype"/>
                <w:sz w:val="17"/>
              </w:rPr>
              <w:t>MCBs</w:t>
            </w:r>
            <w:r>
              <w:rPr>
                <w:rFonts w:ascii="Palatino Linotype"/>
                <w:spacing w:val="-10"/>
                <w:sz w:val="17"/>
              </w:rPr>
              <w:t xml:space="preserve"> </w:t>
            </w:r>
            <w:r>
              <w:rPr>
                <w:rFonts w:ascii="Palatino Linotype"/>
                <w:sz w:val="17"/>
              </w:rPr>
              <w:t>as</w:t>
            </w:r>
            <w:r>
              <w:rPr>
                <w:rFonts w:ascii="Palatino Linotype"/>
                <w:spacing w:val="-11"/>
                <w:sz w:val="17"/>
              </w:rPr>
              <w:t xml:space="preserve"> </w:t>
            </w:r>
            <w:r>
              <w:rPr>
                <w:rFonts w:ascii="Palatino Linotype"/>
                <w:sz w:val="17"/>
              </w:rPr>
              <w:t>Schneider</w:t>
            </w:r>
            <w:r>
              <w:rPr>
                <w:rFonts w:ascii="Palatino Linotype"/>
                <w:spacing w:val="-11"/>
                <w:sz w:val="17"/>
              </w:rPr>
              <w:t xml:space="preserve"> </w:t>
            </w:r>
            <w:r>
              <w:rPr>
                <w:rFonts w:ascii="Palatino Linotype"/>
                <w:sz w:val="17"/>
              </w:rPr>
              <w:t>or</w:t>
            </w:r>
            <w:r>
              <w:rPr>
                <w:rFonts w:ascii="Palatino Linotype"/>
                <w:spacing w:val="-10"/>
                <w:sz w:val="17"/>
              </w:rPr>
              <w:t xml:space="preserve"> </w:t>
            </w:r>
            <w:r>
              <w:rPr>
                <w:rFonts w:ascii="Palatino Linotype"/>
                <w:sz w:val="17"/>
              </w:rPr>
              <w:t>approved</w:t>
            </w:r>
            <w:r>
              <w:rPr>
                <w:rFonts w:ascii="Palatino Linotype"/>
                <w:spacing w:val="-11"/>
                <w:sz w:val="17"/>
              </w:rPr>
              <w:t xml:space="preserve"> </w:t>
            </w:r>
            <w:r>
              <w:rPr>
                <w:rFonts w:ascii="Palatino Linotype"/>
                <w:sz w:val="17"/>
              </w:rPr>
              <w:t>equivalent for item above.</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6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14"/>
              <w:ind w:left="34"/>
              <w:rPr>
                <w:rFonts w:ascii="Palatino Linotype"/>
                <w:sz w:val="17"/>
              </w:rPr>
            </w:pPr>
            <w:proofErr w:type="spellStart"/>
            <w:r>
              <w:rPr>
                <w:rFonts w:ascii="Palatino Linotype"/>
                <w:sz w:val="17"/>
              </w:rPr>
              <w:t>i</w:t>
            </w:r>
            <w:proofErr w:type="spellEnd"/>
            <w:r>
              <w:rPr>
                <w:rFonts w:ascii="Palatino Linotype"/>
                <w:sz w:val="17"/>
              </w:rPr>
              <w:t>)40A</w:t>
            </w:r>
            <w:r>
              <w:rPr>
                <w:rFonts w:ascii="Palatino Linotype"/>
                <w:spacing w:val="-6"/>
                <w:sz w:val="17"/>
              </w:rPr>
              <w:t xml:space="preserve"> </w:t>
            </w:r>
            <w:r>
              <w:rPr>
                <w:rFonts w:ascii="Palatino Linotype"/>
                <w:sz w:val="17"/>
              </w:rPr>
              <w:t>TP</w:t>
            </w:r>
            <w:r>
              <w:rPr>
                <w:rFonts w:ascii="Palatino Linotype"/>
                <w:spacing w:val="-9"/>
                <w:sz w:val="17"/>
              </w:rPr>
              <w:t xml:space="preserve"> </w:t>
            </w:r>
            <w:r>
              <w:rPr>
                <w:rFonts w:ascii="Palatino Linotype"/>
                <w:spacing w:val="-5"/>
                <w:sz w:val="17"/>
              </w:rPr>
              <w:t>MCB</w:t>
            </w:r>
          </w:p>
        </w:tc>
        <w:tc>
          <w:tcPr>
            <w:tcW w:w="675" w:type="dxa"/>
            <w:tcBorders>
              <w:top w:val="nil"/>
              <w:bottom w:val="nil"/>
            </w:tcBorders>
          </w:tcPr>
          <w:p w:rsidR="007F6DF9" w:rsidRDefault="00A43FBC">
            <w:pPr>
              <w:pStyle w:val="TableParagraph"/>
              <w:spacing w:before="14"/>
              <w:ind w:left="67" w:right="2"/>
              <w:jc w:val="center"/>
              <w:rPr>
                <w:rFonts w:ascii="Palatino Linotype"/>
                <w:sz w:val="17"/>
              </w:rPr>
            </w:pPr>
            <w:r>
              <w:rPr>
                <w:rFonts w:ascii="Palatino Linotype"/>
                <w:spacing w:val="-10"/>
                <w:sz w:val="17"/>
              </w:rPr>
              <w:t>2</w:t>
            </w:r>
          </w:p>
        </w:tc>
        <w:tc>
          <w:tcPr>
            <w:tcW w:w="765" w:type="dxa"/>
            <w:tcBorders>
              <w:top w:val="nil"/>
              <w:bottom w:val="nil"/>
            </w:tcBorders>
          </w:tcPr>
          <w:p w:rsidR="007F6DF9" w:rsidRDefault="00A43FBC">
            <w:pPr>
              <w:pStyle w:val="TableParagraph"/>
              <w:spacing w:before="14"/>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25"/>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202" w:lineRule="exact"/>
              <w:ind w:left="34"/>
              <w:rPr>
                <w:rFonts w:ascii="Palatino Linotype"/>
                <w:sz w:val="17"/>
              </w:rPr>
            </w:pPr>
            <w:proofErr w:type="spellStart"/>
            <w:r>
              <w:rPr>
                <w:rFonts w:ascii="Palatino Linotype"/>
                <w:sz w:val="17"/>
              </w:rPr>
              <w:t>i</w:t>
            </w:r>
            <w:proofErr w:type="spellEnd"/>
            <w:r>
              <w:rPr>
                <w:rFonts w:ascii="Palatino Linotype"/>
                <w:sz w:val="17"/>
              </w:rPr>
              <w:t>)10A</w:t>
            </w:r>
            <w:r>
              <w:rPr>
                <w:rFonts w:ascii="Palatino Linotype"/>
                <w:spacing w:val="-7"/>
                <w:sz w:val="17"/>
              </w:rPr>
              <w:t xml:space="preserve"> </w:t>
            </w:r>
            <w:r>
              <w:rPr>
                <w:rFonts w:ascii="Palatino Linotype"/>
                <w:sz w:val="17"/>
              </w:rPr>
              <w:t>SP</w:t>
            </w:r>
            <w:r>
              <w:rPr>
                <w:rFonts w:ascii="Palatino Linotype"/>
                <w:spacing w:val="-8"/>
                <w:sz w:val="17"/>
              </w:rPr>
              <w:t xml:space="preserve"> </w:t>
            </w:r>
            <w:r>
              <w:rPr>
                <w:rFonts w:ascii="Palatino Linotype"/>
                <w:spacing w:val="-5"/>
                <w:sz w:val="17"/>
              </w:rPr>
              <w:t>MCB</w:t>
            </w:r>
          </w:p>
        </w:tc>
        <w:tc>
          <w:tcPr>
            <w:tcW w:w="675" w:type="dxa"/>
            <w:tcBorders>
              <w:top w:val="nil"/>
              <w:bottom w:val="nil"/>
            </w:tcBorders>
          </w:tcPr>
          <w:p w:rsidR="007F6DF9" w:rsidRDefault="00A43FBC">
            <w:pPr>
              <w:pStyle w:val="TableParagraph"/>
              <w:spacing w:line="202" w:lineRule="exact"/>
              <w:ind w:left="67" w:right="2"/>
              <w:jc w:val="center"/>
              <w:rPr>
                <w:rFonts w:ascii="Palatino Linotype"/>
                <w:sz w:val="17"/>
              </w:rPr>
            </w:pPr>
            <w:r>
              <w:rPr>
                <w:rFonts w:ascii="Palatino Linotype"/>
                <w:spacing w:val="-10"/>
                <w:sz w:val="17"/>
              </w:rPr>
              <w:t>2</w:t>
            </w:r>
          </w:p>
        </w:tc>
        <w:tc>
          <w:tcPr>
            <w:tcW w:w="765" w:type="dxa"/>
            <w:tcBorders>
              <w:top w:val="nil"/>
              <w:bottom w:val="nil"/>
            </w:tcBorders>
          </w:tcPr>
          <w:p w:rsidR="007F6DF9" w:rsidRDefault="00A43FBC">
            <w:pPr>
              <w:pStyle w:val="TableParagraph"/>
              <w:spacing w:line="202" w:lineRule="exact"/>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25"/>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200" w:lineRule="exact"/>
              <w:ind w:left="34"/>
              <w:rPr>
                <w:rFonts w:ascii="Palatino Linotype"/>
                <w:sz w:val="17"/>
              </w:rPr>
            </w:pPr>
            <w:r>
              <w:rPr>
                <w:rFonts w:ascii="Palatino Linotype"/>
                <w:sz w:val="17"/>
              </w:rPr>
              <w:t>iii)32A</w:t>
            </w:r>
            <w:r>
              <w:rPr>
                <w:rFonts w:ascii="Palatino Linotype"/>
                <w:spacing w:val="-5"/>
                <w:sz w:val="17"/>
              </w:rPr>
              <w:t xml:space="preserve"> </w:t>
            </w:r>
            <w:r>
              <w:rPr>
                <w:rFonts w:ascii="Palatino Linotype"/>
                <w:sz w:val="17"/>
              </w:rPr>
              <w:t>SP</w:t>
            </w:r>
            <w:r>
              <w:rPr>
                <w:rFonts w:ascii="Palatino Linotype"/>
                <w:spacing w:val="-8"/>
                <w:sz w:val="17"/>
              </w:rPr>
              <w:t xml:space="preserve"> </w:t>
            </w:r>
            <w:r>
              <w:rPr>
                <w:rFonts w:ascii="Palatino Linotype"/>
                <w:spacing w:val="-5"/>
                <w:sz w:val="17"/>
              </w:rPr>
              <w:t>MCB</w:t>
            </w:r>
          </w:p>
        </w:tc>
        <w:tc>
          <w:tcPr>
            <w:tcW w:w="675" w:type="dxa"/>
            <w:tcBorders>
              <w:top w:val="nil"/>
              <w:bottom w:val="nil"/>
            </w:tcBorders>
          </w:tcPr>
          <w:p w:rsidR="007F6DF9" w:rsidRDefault="00A43FBC">
            <w:pPr>
              <w:pStyle w:val="TableParagraph"/>
              <w:spacing w:line="200" w:lineRule="exact"/>
              <w:ind w:left="67" w:right="2"/>
              <w:jc w:val="center"/>
              <w:rPr>
                <w:rFonts w:ascii="Palatino Linotype"/>
                <w:sz w:val="17"/>
              </w:rPr>
            </w:pPr>
            <w:r>
              <w:rPr>
                <w:rFonts w:ascii="Palatino Linotype"/>
                <w:spacing w:val="-10"/>
                <w:sz w:val="17"/>
              </w:rPr>
              <w:t>1</w:t>
            </w:r>
          </w:p>
        </w:tc>
        <w:tc>
          <w:tcPr>
            <w:tcW w:w="765" w:type="dxa"/>
            <w:tcBorders>
              <w:top w:val="nil"/>
              <w:bottom w:val="nil"/>
            </w:tcBorders>
          </w:tcPr>
          <w:p w:rsidR="007F6DF9" w:rsidRDefault="00A43FBC">
            <w:pPr>
              <w:pStyle w:val="TableParagraph"/>
              <w:spacing w:line="200" w:lineRule="exact"/>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9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202" w:lineRule="exact"/>
              <w:ind w:left="34"/>
              <w:rPr>
                <w:rFonts w:ascii="Palatino Linotype"/>
                <w:sz w:val="17"/>
              </w:rPr>
            </w:pPr>
            <w:r>
              <w:rPr>
                <w:rFonts w:ascii="Palatino Linotype"/>
                <w:spacing w:val="-2"/>
                <w:sz w:val="17"/>
              </w:rPr>
              <w:t>iv)Blanking</w:t>
            </w:r>
            <w:r>
              <w:rPr>
                <w:rFonts w:ascii="Palatino Linotype"/>
                <w:spacing w:val="-7"/>
                <w:sz w:val="17"/>
              </w:rPr>
              <w:t xml:space="preserve"> </w:t>
            </w:r>
            <w:r>
              <w:rPr>
                <w:rFonts w:ascii="Palatino Linotype"/>
                <w:spacing w:val="-2"/>
                <w:sz w:val="17"/>
              </w:rPr>
              <w:t>Plate</w:t>
            </w:r>
          </w:p>
        </w:tc>
        <w:tc>
          <w:tcPr>
            <w:tcW w:w="675" w:type="dxa"/>
            <w:tcBorders>
              <w:top w:val="nil"/>
              <w:bottom w:val="nil"/>
            </w:tcBorders>
          </w:tcPr>
          <w:p w:rsidR="007F6DF9" w:rsidRDefault="00A43FBC">
            <w:pPr>
              <w:pStyle w:val="TableParagraph"/>
              <w:spacing w:line="202" w:lineRule="exact"/>
              <w:ind w:left="67" w:right="2"/>
              <w:jc w:val="center"/>
              <w:rPr>
                <w:rFonts w:ascii="Palatino Linotype"/>
                <w:sz w:val="17"/>
              </w:rPr>
            </w:pPr>
            <w:r>
              <w:rPr>
                <w:rFonts w:ascii="Palatino Linotype"/>
                <w:spacing w:val="-10"/>
                <w:sz w:val="17"/>
              </w:rPr>
              <w:t>9</w:t>
            </w:r>
          </w:p>
        </w:tc>
        <w:tc>
          <w:tcPr>
            <w:tcW w:w="765" w:type="dxa"/>
            <w:tcBorders>
              <w:top w:val="nil"/>
              <w:bottom w:val="nil"/>
            </w:tcBorders>
          </w:tcPr>
          <w:p w:rsidR="007F6DF9" w:rsidRDefault="00A43FBC">
            <w:pPr>
              <w:pStyle w:val="TableParagraph"/>
              <w:spacing w:line="202" w:lineRule="exact"/>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85"/>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44" w:line="222" w:lineRule="exact"/>
              <w:ind w:left="34"/>
              <w:rPr>
                <w:rFonts w:ascii="Palatino Linotype"/>
                <w:sz w:val="17"/>
              </w:rPr>
            </w:pPr>
            <w:proofErr w:type="spellStart"/>
            <w:r>
              <w:rPr>
                <w:rFonts w:ascii="Palatino Linotype"/>
                <w:spacing w:val="-2"/>
                <w:sz w:val="17"/>
              </w:rPr>
              <w:t>Earthing</w:t>
            </w:r>
            <w:proofErr w:type="spellEnd"/>
            <w:r>
              <w:rPr>
                <w:rFonts w:ascii="Palatino Linotype"/>
                <w:spacing w:val="-4"/>
                <w:sz w:val="17"/>
              </w:rPr>
              <w:t xml:space="preserve"> </w:t>
            </w:r>
            <w:r>
              <w:rPr>
                <w:rFonts w:ascii="Palatino Linotype"/>
                <w:spacing w:val="-2"/>
                <w:sz w:val="17"/>
              </w:rPr>
              <w:t>of</w:t>
            </w:r>
            <w:r>
              <w:rPr>
                <w:rFonts w:ascii="Palatino Linotype"/>
                <w:spacing w:val="-1"/>
                <w:sz w:val="17"/>
              </w:rPr>
              <w:t xml:space="preserve"> </w:t>
            </w:r>
            <w:r>
              <w:rPr>
                <w:rFonts w:ascii="Palatino Linotype"/>
                <w:spacing w:val="-2"/>
                <w:sz w:val="17"/>
              </w:rPr>
              <w:t>Distribution-board</w:t>
            </w:r>
            <w:r>
              <w:rPr>
                <w:rFonts w:ascii="Palatino Linotype"/>
                <w:sz w:val="17"/>
              </w:rPr>
              <w:t xml:space="preserve"> </w:t>
            </w:r>
            <w:r>
              <w:rPr>
                <w:rFonts w:ascii="Palatino Linotype"/>
                <w:spacing w:val="-2"/>
                <w:sz w:val="17"/>
              </w:rPr>
              <w:t>comprising</w:t>
            </w:r>
            <w:r>
              <w:rPr>
                <w:rFonts w:ascii="Palatino Linotype"/>
                <w:spacing w:val="-5"/>
                <w:sz w:val="17"/>
              </w:rPr>
              <w:t xml:space="preserve"> </w:t>
            </w:r>
            <w:r>
              <w:rPr>
                <w:rFonts w:ascii="Palatino Linotype"/>
                <w:spacing w:val="-2"/>
                <w:sz w:val="17"/>
              </w:rPr>
              <w:t>of</w:t>
            </w:r>
            <w:r>
              <w:rPr>
                <w:rFonts w:ascii="Palatino Linotype"/>
                <w:spacing w:val="-3"/>
                <w:sz w:val="17"/>
              </w:rPr>
              <w:t xml:space="preserve"> </w:t>
            </w:r>
            <w:r>
              <w:rPr>
                <w:rFonts w:ascii="Palatino Linotype"/>
                <w:spacing w:val="-2"/>
                <w:sz w:val="17"/>
              </w:rPr>
              <w:t>copper</w:t>
            </w:r>
            <w:r>
              <w:rPr>
                <w:rFonts w:ascii="Palatino Linotype"/>
                <w:sz w:val="17"/>
              </w:rPr>
              <w:t xml:space="preserve"> </w:t>
            </w:r>
            <w:r>
              <w:rPr>
                <w:rFonts w:ascii="Palatino Linotype"/>
                <w:spacing w:val="-4"/>
                <w:sz w:val="17"/>
              </w:rPr>
              <w:t>earth</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01"/>
        </w:trPr>
        <w:tc>
          <w:tcPr>
            <w:tcW w:w="570" w:type="dxa"/>
            <w:tcBorders>
              <w:top w:val="nil"/>
              <w:bottom w:val="nil"/>
            </w:tcBorders>
          </w:tcPr>
          <w:p w:rsidR="007F6DF9" w:rsidRDefault="007F6DF9">
            <w:pPr>
              <w:pStyle w:val="TableParagraph"/>
              <w:rPr>
                <w:rFonts w:ascii="Times New Roman"/>
                <w:sz w:val="14"/>
              </w:rPr>
            </w:pPr>
          </w:p>
        </w:tc>
        <w:tc>
          <w:tcPr>
            <w:tcW w:w="4470" w:type="dxa"/>
            <w:tcBorders>
              <w:top w:val="nil"/>
              <w:bottom w:val="nil"/>
            </w:tcBorders>
          </w:tcPr>
          <w:p w:rsidR="007F6DF9" w:rsidRDefault="00A43FBC">
            <w:pPr>
              <w:pStyle w:val="TableParagraph"/>
              <w:spacing w:line="182" w:lineRule="exact"/>
              <w:ind w:left="34"/>
              <w:rPr>
                <w:rFonts w:ascii="Palatino Linotype"/>
                <w:sz w:val="17"/>
              </w:rPr>
            </w:pPr>
            <w:r>
              <w:rPr>
                <w:rFonts w:ascii="Palatino Linotype"/>
                <w:spacing w:val="-2"/>
                <w:sz w:val="17"/>
              </w:rPr>
              <w:t>electrode</w:t>
            </w:r>
            <w:r>
              <w:rPr>
                <w:rFonts w:ascii="Palatino Linotype"/>
                <w:sz w:val="17"/>
              </w:rPr>
              <w:t xml:space="preserve"> </w:t>
            </w:r>
            <w:r>
              <w:rPr>
                <w:rFonts w:ascii="Palatino Linotype"/>
                <w:spacing w:val="-2"/>
                <w:sz w:val="17"/>
              </w:rPr>
              <w:t>of size</w:t>
            </w:r>
            <w:r>
              <w:rPr>
                <w:rFonts w:ascii="Palatino Linotype"/>
                <w:spacing w:val="-1"/>
                <w:sz w:val="17"/>
              </w:rPr>
              <w:t xml:space="preserve"> </w:t>
            </w:r>
            <w:r>
              <w:rPr>
                <w:rFonts w:ascii="Palatino Linotype"/>
                <w:spacing w:val="-2"/>
                <w:sz w:val="17"/>
              </w:rPr>
              <w:t>1500mm</w:t>
            </w:r>
            <w:r>
              <w:rPr>
                <w:rFonts w:ascii="Palatino Linotype"/>
                <w:spacing w:val="-3"/>
                <w:sz w:val="17"/>
              </w:rPr>
              <w:t xml:space="preserve"> </w:t>
            </w:r>
            <w:r>
              <w:rPr>
                <w:rFonts w:ascii="Palatino Linotype"/>
                <w:spacing w:val="-2"/>
                <w:sz w:val="17"/>
              </w:rPr>
              <w:t>long</w:t>
            </w:r>
            <w:r>
              <w:rPr>
                <w:rFonts w:ascii="Palatino Linotype"/>
                <w:spacing w:val="-3"/>
                <w:sz w:val="17"/>
              </w:rPr>
              <w:t xml:space="preserve"> </w:t>
            </w:r>
            <w:r>
              <w:rPr>
                <w:rFonts w:ascii="Palatino Linotype"/>
                <w:spacing w:val="-2"/>
                <w:sz w:val="17"/>
              </w:rPr>
              <w:t>and</w:t>
            </w:r>
            <w:r>
              <w:rPr>
                <w:rFonts w:ascii="Palatino Linotype"/>
                <w:spacing w:val="-1"/>
                <w:sz w:val="17"/>
              </w:rPr>
              <w:t xml:space="preserve"> </w:t>
            </w:r>
            <w:r>
              <w:rPr>
                <w:rFonts w:ascii="Palatino Linotype"/>
                <w:spacing w:val="-2"/>
                <w:sz w:val="17"/>
              </w:rPr>
              <w:t>15mm</w:t>
            </w:r>
            <w:r>
              <w:rPr>
                <w:rFonts w:ascii="Palatino Linotype"/>
                <w:spacing w:val="-5"/>
                <w:sz w:val="17"/>
              </w:rPr>
              <w:t xml:space="preserve"> </w:t>
            </w:r>
            <w:r>
              <w:rPr>
                <w:rFonts w:ascii="Palatino Linotype"/>
                <w:spacing w:val="-2"/>
                <w:sz w:val="17"/>
              </w:rPr>
              <w:t>diameter</w:t>
            </w:r>
          </w:p>
        </w:tc>
        <w:tc>
          <w:tcPr>
            <w:tcW w:w="675" w:type="dxa"/>
            <w:tcBorders>
              <w:top w:val="nil"/>
              <w:bottom w:val="nil"/>
            </w:tcBorders>
          </w:tcPr>
          <w:p w:rsidR="007F6DF9" w:rsidRDefault="007F6DF9">
            <w:pPr>
              <w:pStyle w:val="TableParagraph"/>
              <w:rPr>
                <w:rFonts w:ascii="Times New Roman"/>
                <w:sz w:val="14"/>
              </w:rPr>
            </w:pPr>
          </w:p>
        </w:tc>
        <w:tc>
          <w:tcPr>
            <w:tcW w:w="765" w:type="dxa"/>
            <w:tcBorders>
              <w:top w:val="nil"/>
              <w:bottom w:val="nil"/>
            </w:tcBorders>
          </w:tcPr>
          <w:p w:rsidR="007F6DF9" w:rsidRDefault="007F6DF9">
            <w:pPr>
              <w:pStyle w:val="TableParagraph"/>
              <w:rPr>
                <w:rFonts w:ascii="Times New Roman"/>
                <w:sz w:val="14"/>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451"/>
        </w:trPr>
        <w:tc>
          <w:tcPr>
            <w:tcW w:w="570" w:type="dxa"/>
            <w:tcBorders>
              <w:top w:val="nil"/>
              <w:bottom w:val="nil"/>
            </w:tcBorders>
          </w:tcPr>
          <w:p w:rsidR="007F6DF9" w:rsidRDefault="00A43FBC">
            <w:pPr>
              <w:pStyle w:val="TableParagraph"/>
              <w:spacing w:before="80"/>
              <w:ind w:left="65"/>
              <w:jc w:val="center"/>
              <w:rPr>
                <w:rFonts w:ascii="Palatino Linotype"/>
                <w:sz w:val="18"/>
              </w:rPr>
            </w:pPr>
            <w:r>
              <w:rPr>
                <w:rFonts w:ascii="Palatino Linotype"/>
                <w:spacing w:val="-4"/>
                <w:sz w:val="18"/>
              </w:rPr>
              <w:t>1.07</w:t>
            </w:r>
          </w:p>
        </w:tc>
        <w:tc>
          <w:tcPr>
            <w:tcW w:w="4470" w:type="dxa"/>
            <w:tcBorders>
              <w:top w:val="nil"/>
              <w:bottom w:val="nil"/>
            </w:tcBorders>
          </w:tcPr>
          <w:p w:rsidR="007F6DF9" w:rsidRDefault="00A43FBC">
            <w:pPr>
              <w:pStyle w:val="TableParagraph"/>
              <w:spacing w:line="189" w:lineRule="exact"/>
              <w:ind w:left="34"/>
              <w:rPr>
                <w:rFonts w:ascii="Palatino Linotype"/>
                <w:sz w:val="17"/>
              </w:rPr>
            </w:pPr>
            <w:r>
              <w:rPr>
                <w:rFonts w:ascii="Palatino Linotype"/>
                <w:spacing w:val="-2"/>
                <w:sz w:val="17"/>
              </w:rPr>
              <w:t>enclosed</w:t>
            </w:r>
            <w:r>
              <w:rPr>
                <w:rFonts w:ascii="Palatino Linotype"/>
                <w:spacing w:val="-1"/>
                <w:sz w:val="17"/>
              </w:rPr>
              <w:t xml:space="preserve"> </w:t>
            </w:r>
            <w:r>
              <w:rPr>
                <w:rFonts w:ascii="Palatino Linotype"/>
                <w:spacing w:val="-2"/>
                <w:sz w:val="17"/>
              </w:rPr>
              <w:t>by</w:t>
            </w:r>
            <w:r>
              <w:rPr>
                <w:rFonts w:ascii="Palatino Linotype"/>
                <w:spacing w:val="-3"/>
                <w:sz w:val="17"/>
              </w:rPr>
              <w:t xml:space="preserve"> </w:t>
            </w:r>
            <w:r>
              <w:rPr>
                <w:rFonts w:ascii="Palatino Linotype"/>
                <w:spacing w:val="-2"/>
                <w:sz w:val="17"/>
              </w:rPr>
              <w:t>a</w:t>
            </w:r>
            <w:r>
              <w:rPr>
                <w:rFonts w:ascii="Palatino Linotype"/>
                <w:spacing w:val="-3"/>
                <w:sz w:val="17"/>
              </w:rPr>
              <w:t xml:space="preserve"> </w:t>
            </w:r>
            <w:r>
              <w:rPr>
                <w:rFonts w:ascii="Palatino Linotype"/>
                <w:spacing w:val="-2"/>
                <w:sz w:val="17"/>
              </w:rPr>
              <w:t>concrete</w:t>
            </w:r>
            <w:r>
              <w:rPr>
                <w:rFonts w:ascii="Palatino Linotype"/>
                <w:spacing w:val="-3"/>
                <w:sz w:val="17"/>
              </w:rPr>
              <w:t xml:space="preserve"> </w:t>
            </w:r>
            <w:r>
              <w:rPr>
                <w:rFonts w:ascii="Palatino Linotype"/>
                <w:spacing w:val="-2"/>
                <w:sz w:val="17"/>
              </w:rPr>
              <w:t>manhole</w:t>
            </w:r>
            <w:r>
              <w:rPr>
                <w:rFonts w:ascii="Palatino Linotype"/>
                <w:spacing w:val="-1"/>
                <w:sz w:val="17"/>
              </w:rPr>
              <w:t xml:space="preserve"> </w:t>
            </w:r>
            <w:r>
              <w:rPr>
                <w:rFonts w:ascii="Palatino Linotype"/>
                <w:spacing w:val="-2"/>
                <w:sz w:val="17"/>
              </w:rPr>
              <w:t>of size</w:t>
            </w:r>
            <w:r>
              <w:rPr>
                <w:rFonts w:ascii="Palatino Linotype"/>
                <w:spacing w:val="-1"/>
                <w:sz w:val="17"/>
              </w:rPr>
              <w:t xml:space="preserve"> </w:t>
            </w:r>
            <w:r>
              <w:rPr>
                <w:rFonts w:ascii="Palatino Linotype"/>
                <w:spacing w:val="-2"/>
                <w:sz w:val="17"/>
              </w:rPr>
              <w:t xml:space="preserve">300X300X450 </w:t>
            </w:r>
            <w:r>
              <w:rPr>
                <w:rFonts w:ascii="Palatino Linotype"/>
                <w:spacing w:val="-5"/>
                <w:sz w:val="17"/>
              </w:rPr>
              <w:t>mm</w:t>
            </w:r>
          </w:p>
          <w:p w:rsidR="007F6DF9" w:rsidRDefault="00A43FBC">
            <w:pPr>
              <w:pStyle w:val="TableParagraph"/>
              <w:spacing w:before="18" w:line="223" w:lineRule="exact"/>
              <w:ind w:left="34"/>
              <w:rPr>
                <w:rFonts w:ascii="Palatino Linotype"/>
                <w:sz w:val="17"/>
              </w:rPr>
            </w:pPr>
            <w:r>
              <w:rPr>
                <w:rFonts w:ascii="Palatino Linotype"/>
                <w:spacing w:val="-2"/>
                <w:sz w:val="17"/>
              </w:rPr>
              <w:t>with</w:t>
            </w:r>
            <w:r>
              <w:rPr>
                <w:rFonts w:ascii="Palatino Linotype"/>
                <w:spacing w:val="-4"/>
                <w:sz w:val="17"/>
              </w:rPr>
              <w:t xml:space="preserve"> </w:t>
            </w:r>
            <w:r>
              <w:rPr>
                <w:rFonts w:ascii="Palatino Linotype"/>
                <w:spacing w:val="-2"/>
                <w:sz w:val="17"/>
              </w:rPr>
              <w:t>removable concrete</w:t>
            </w:r>
            <w:r>
              <w:rPr>
                <w:rFonts w:ascii="Palatino Linotype"/>
                <w:spacing w:val="-4"/>
                <w:sz w:val="17"/>
              </w:rPr>
              <w:t xml:space="preserve"> </w:t>
            </w:r>
            <w:r>
              <w:rPr>
                <w:rFonts w:ascii="Palatino Linotype"/>
                <w:spacing w:val="-2"/>
                <w:sz w:val="17"/>
              </w:rPr>
              <w:t>cover and</w:t>
            </w:r>
            <w:r>
              <w:rPr>
                <w:rFonts w:ascii="Palatino Linotype"/>
                <w:spacing w:val="-3"/>
                <w:sz w:val="17"/>
              </w:rPr>
              <w:t xml:space="preserve"> </w:t>
            </w:r>
            <w:r>
              <w:rPr>
                <w:rFonts w:ascii="Palatino Linotype"/>
                <w:spacing w:val="-2"/>
                <w:sz w:val="17"/>
              </w:rPr>
              <w:t>a</w:t>
            </w:r>
            <w:r>
              <w:rPr>
                <w:rFonts w:ascii="Palatino Linotype"/>
                <w:spacing w:val="-6"/>
                <w:sz w:val="17"/>
              </w:rPr>
              <w:t xml:space="preserve"> </w:t>
            </w:r>
            <w:r>
              <w:rPr>
                <w:rFonts w:ascii="Palatino Linotype"/>
                <w:spacing w:val="-2"/>
                <w:sz w:val="17"/>
              </w:rPr>
              <w:t>38mm</w:t>
            </w:r>
            <w:r>
              <w:rPr>
                <w:rFonts w:ascii="Palatino Linotype"/>
                <w:spacing w:val="-3"/>
                <w:sz w:val="17"/>
              </w:rPr>
              <w:t xml:space="preserve"> </w:t>
            </w:r>
            <w:r>
              <w:rPr>
                <w:rFonts w:ascii="Palatino Linotype"/>
                <w:spacing w:val="-2"/>
                <w:sz w:val="17"/>
              </w:rPr>
              <w:t>diameter</w:t>
            </w:r>
            <w:r>
              <w:rPr>
                <w:rFonts w:ascii="Palatino Linotype"/>
                <w:spacing w:val="-5"/>
                <w:sz w:val="17"/>
              </w:rPr>
              <w:t xml:space="preserve"> PVC</w:t>
            </w:r>
          </w:p>
        </w:tc>
        <w:tc>
          <w:tcPr>
            <w:tcW w:w="675" w:type="dxa"/>
            <w:tcBorders>
              <w:top w:val="nil"/>
              <w:bottom w:val="nil"/>
            </w:tcBorders>
          </w:tcPr>
          <w:p w:rsidR="007F6DF9" w:rsidRDefault="00A43FBC">
            <w:pPr>
              <w:pStyle w:val="TableParagraph"/>
              <w:spacing w:before="80"/>
              <w:ind w:left="67" w:right="2"/>
              <w:jc w:val="center"/>
              <w:rPr>
                <w:rFonts w:ascii="Palatino Linotype"/>
                <w:sz w:val="18"/>
              </w:rPr>
            </w:pPr>
            <w:r>
              <w:rPr>
                <w:rFonts w:ascii="Palatino Linotype"/>
                <w:spacing w:val="-10"/>
                <w:sz w:val="18"/>
              </w:rPr>
              <w:t>1</w:t>
            </w:r>
          </w:p>
        </w:tc>
        <w:tc>
          <w:tcPr>
            <w:tcW w:w="765" w:type="dxa"/>
            <w:tcBorders>
              <w:top w:val="nil"/>
              <w:bottom w:val="nil"/>
            </w:tcBorders>
          </w:tcPr>
          <w:p w:rsidR="007F6DF9" w:rsidRDefault="00A43FBC">
            <w:pPr>
              <w:pStyle w:val="TableParagraph"/>
              <w:spacing w:before="80"/>
              <w:ind w:left="66" w:right="1"/>
              <w:jc w:val="center"/>
              <w:rPr>
                <w:rFonts w:ascii="Palatino Linotype"/>
                <w:sz w:val="18"/>
              </w:rPr>
            </w:pPr>
            <w:r>
              <w:rPr>
                <w:rFonts w:ascii="Palatino Linotype"/>
                <w:spacing w:val="-4"/>
                <w:sz w:val="18"/>
              </w:rPr>
              <w:t>Item</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03"/>
        </w:trPr>
        <w:tc>
          <w:tcPr>
            <w:tcW w:w="570" w:type="dxa"/>
            <w:tcBorders>
              <w:top w:val="nil"/>
              <w:bottom w:val="nil"/>
            </w:tcBorders>
          </w:tcPr>
          <w:p w:rsidR="007F6DF9" w:rsidRDefault="007F6DF9">
            <w:pPr>
              <w:pStyle w:val="TableParagraph"/>
              <w:rPr>
                <w:rFonts w:ascii="Times New Roman"/>
                <w:sz w:val="14"/>
              </w:rPr>
            </w:pPr>
          </w:p>
        </w:tc>
        <w:tc>
          <w:tcPr>
            <w:tcW w:w="4470" w:type="dxa"/>
            <w:tcBorders>
              <w:top w:val="nil"/>
              <w:bottom w:val="nil"/>
            </w:tcBorders>
          </w:tcPr>
          <w:p w:rsidR="007F6DF9" w:rsidRDefault="00A43FBC">
            <w:pPr>
              <w:pStyle w:val="TableParagraph"/>
              <w:spacing w:line="183" w:lineRule="exact"/>
              <w:ind w:left="34"/>
              <w:rPr>
                <w:rFonts w:ascii="Palatino Linotype"/>
                <w:sz w:val="17"/>
              </w:rPr>
            </w:pPr>
            <w:r>
              <w:rPr>
                <w:rFonts w:ascii="Palatino Linotype"/>
                <w:spacing w:val="-2"/>
                <w:sz w:val="17"/>
              </w:rPr>
              <w:t>heavy</w:t>
            </w:r>
            <w:r>
              <w:rPr>
                <w:rFonts w:ascii="Palatino Linotype"/>
                <w:spacing w:val="-4"/>
                <w:sz w:val="17"/>
              </w:rPr>
              <w:t xml:space="preserve"> </w:t>
            </w:r>
            <w:r>
              <w:rPr>
                <w:rFonts w:ascii="Palatino Linotype"/>
                <w:spacing w:val="-2"/>
                <w:sz w:val="17"/>
              </w:rPr>
              <w:t>gauge</w:t>
            </w:r>
            <w:r>
              <w:rPr>
                <w:rFonts w:ascii="Palatino Linotype"/>
                <w:spacing w:val="-3"/>
                <w:sz w:val="17"/>
              </w:rPr>
              <w:t xml:space="preserve"> </w:t>
            </w:r>
            <w:r>
              <w:rPr>
                <w:rFonts w:ascii="Palatino Linotype"/>
                <w:spacing w:val="-2"/>
                <w:sz w:val="17"/>
              </w:rPr>
              <w:t>lead</w:t>
            </w:r>
            <w:r>
              <w:rPr>
                <w:rFonts w:ascii="Palatino Linotype"/>
                <w:spacing w:val="-3"/>
                <w:sz w:val="17"/>
              </w:rPr>
              <w:t xml:space="preserve"> </w:t>
            </w:r>
            <w:r>
              <w:rPr>
                <w:rFonts w:ascii="Palatino Linotype"/>
                <w:spacing w:val="-2"/>
                <w:sz w:val="17"/>
              </w:rPr>
              <w:t>in</w:t>
            </w:r>
            <w:r>
              <w:rPr>
                <w:rFonts w:ascii="Palatino Linotype"/>
                <w:spacing w:val="-7"/>
                <w:sz w:val="17"/>
              </w:rPr>
              <w:t xml:space="preserve"> </w:t>
            </w:r>
            <w:r>
              <w:rPr>
                <w:rFonts w:ascii="Palatino Linotype"/>
                <w:spacing w:val="-2"/>
                <w:sz w:val="17"/>
              </w:rPr>
              <w:t>duct</w:t>
            </w:r>
            <w:r>
              <w:rPr>
                <w:rFonts w:ascii="Palatino Linotype"/>
                <w:spacing w:val="-3"/>
                <w:sz w:val="17"/>
              </w:rPr>
              <w:t xml:space="preserve"> </w:t>
            </w:r>
            <w:r>
              <w:rPr>
                <w:rFonts w:ascii="Palatino Linotype"/>
                <w:spacing w:val="-2"/>
                <w:sz w:val="17"/>
              </w:rPr>
              <w:t>and</w:t>
            </w:r>
            <w:r>
              <w:rPr>
                <w:rFonts w:ascii="Palatino Linotype"/>
                <w:spacing w:val="-4"/>
                <w:sz w:val="17"/>
              </w:rPr>
              <w:t xml:space="preserve"> </w:t>
            </w:r>
            <w:r>
              <w:rPr>
                <w:rFonts w:ascii="Palatino Linotype"/>
                <w:spacing w:val="-2"/>
                <w:sz w:val="17"/>
              </w:rPr>
              <w:t>bonded</w:t>
            </w:r>
            <w:r>
              <w:rPr>
                <w:rFonts w:ascii="Palatino Linotype"/>
                <w:spacing w:val="-3"/>
                <w:sz w:val="17"/>
              </w:rPr>
              <w:t xml:space="preserve"> </w:t>
            </w:r>
            <w:r>
              <w:rPr>
                <w:rFonts w:ascii="Palatino Linotype"/>
                <w:spacing w:val="-2"/>
                <w:sz w:val="17"/>
              </w:rPr>
              <w:t>to the</w:t>
            </w:r>
            <w:r>
              <w:rPr>
                <w:rFonts w:ascii="Palatino Linotype"/>
                <w:spacing w:val="-4"/>
                <w:sz w:val="17"/>
              </w:rPr>
              <w:t xml:space="preserve"> </w:t>
            </w:r>
            <w:r>
              <w:rPr>
                <w:rFonts w:ascii="Palatino Linotype"/>
                <w:spacing w:val="-2"/>
                <w:sz w:val="17"/>
              </w:rPr>
              <w:t>boards</w:t>
            </w:r>
            <w:r>
              <w:rPr>
                <w:rFonts w:ascii="Palatino Linotype"/>
                <w:spacing w:val="-4"/>
                <w:sz w:val="17"/>
              </w:rPr>
              <w:t xml:space="preserve"> using</w:t>
            </w:r>
          </w:p>
        </w:tc>
        <w:tc>
          <w:tcPr>
            <w:tcW w:w="675" w:type="dxa"/>
            <w:tcBorders>
              <w:top w:val="nil"/>
              <w:bottom w:val="nil"/>
            </w:tcBorders>
          </w:tcPr>
          <w:p w:rsidR="007F6DF9" w:rsidRDefault="007F6DF9">
            <w:pPr>
              <w:pStyle w:val="TableParagraph"/>
              <w:rPr>
                <w:rFonts w:ascii="Times New Roman"/>
                <w:sz w:val="14"/>
              </w:rPr>
            </w:pPr>
          </w:p>
        </w:tc>
        <w:tc>
          <w:tcPr>
            <w:tcW w:w="765" w:type="dxa"/>
            <w:tcBorders>
              <w:top w:val="nil"/>
              <w:bottom w:val="nil"/>
            </w:tcBorders>
          </w:tcPr>
          <w:p w:rsidR="007F6DF9" w:rsidRDefault="007F6DF9">
            <w:pPr>
              <w:pStyle w:val="TableParagraph"/>
              <w:rPr>
                <w:rFonts w:ascii="Times New Roman"/>
                <w:sz w:val="14"/>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705"/>
        </w:trPr>
        <w:tc>
          <w:tcPr>
            <w:tcW w:w="570" w:type="dxa"/>
            <w:tcBorders>
              <w:top w:val="nil"/>
            </w:tcBorders>
          </w:tcPr>
          <w:p w:rsidR="007F6DF9" w:rsidRDefault="007F6DF9">
            <w:pPr>
              <w:pStyle w:val="TableParagraph"/>
              <w:rPr>
                <w:rFonts w:ascii="Times New Roman"/>
                <w:sz w:val="16"/>
              </w:rPr>
            </w:pPr>
          </w:p>
        </w:tc>
        <w:tc>
          <w:tcPr>
            <w:tcW w:w="4470" w:type="dxa"/>
            <w:tcBorders>
              <w:top w:val="nil"/>
            </w:tcBorders>
          </w:tcPr>
          <w:p w:rsidR="007F6DF9" w:rsidRDefault="00A43FBC">
            <w:pPr>
              <w:pStyle w:val="TableParagraph"/>
              <w:spacing w:line="189" w:lineRule="exact"/>
              <w:ind w:left="34"/>
              <w:rPr>
                <w:rFonts w:ascii="Palatino Linotype"/>
                <w:sz w:val="17"/>
              </w:rPr>
            </w:pPr>
            <w:r>
              <w:rPr>
                <w:rFonts w:ascii="Palatino Linotype"/>
                <w:sz w:val="17"/>
              </w:rPr>
              <w:t>16mm</w:t>
            </w:r>
            <w:r>
              <w:rPr>
                <w:rFonts w:ascii="Palatino Linotype"/>
                <w:spacing w:val="-10"/>
                <w:sz w:val="17"/>
              </w:rPr>
              <w:t xml:space="preserve"> </w:t>
            </w:r>
            <w:proofErr w:type="spellStart"/>
            <w:r>
              <w:rPr>
                <w:rFonts w:ascii="Palatino Linotype"/>
                <w:sz w:val="17"/>
              </w:rPr>
              <w:t>sq</w:t>
            </w:r>
            <w:proofErr w:type="spellEnd"/>
            <w:r>
              <w:rPr>
                <w:rFonts w:ascii="Palatino Linotype"/>
                <w:spacing w:val="-10"/>
                <w:sz w:val="17"/>
              </w:rPr>
              <w:t xml:space="preserve"> </w:t>
            </w:r>
            <w:r>
              <w:rPr>
                <w:rFonts w:ascii="Palatino Linotype"/>
                <w:sz w:val="17"/>
              </w:rPr>
              <w:t>cable</w:t>
            </w:r>
            <w:r>
              <w:rPr>
                <w:rFonts w:ascii="Palatino Linotype"/>
                <w:spacing w:val="-11"/>
                <w:sz w:val="17"/>
              </w:rPr>
              <w:t xml:space="preserve"> </w:t>
            </w:r>
            <w:r>
              <w:rPr>
                <w:rFonts w:ascii="Palatino Linotype"/>
                <w:sz w:val="17"/>
              </w:rPr>
              <w:t>as</w:t>
            </w:r>
            <w:r>
              <w:rPr>
                <w:rFonts w:ascii="Palatino Linotype"/>
                <w:spacing w:val="-10"/>
                <w:sz w:val="17"/>
              </w:rPr>
              <w:t xml:space="preserve"> </w:t>
            </w:r>
            <w:r>
              <w:rPr>
                <w:rFonts w:ascii="Palatino Linotype"/>
                <w:sz w:val="17"/>
              </w:rPr>
              <w:t>per</w:t>
            </w:r>
            <w:r>
              <w:rPr>
                <w:rFonts w:ascii="Palatino Linotype"/>
                <w:spacing w:val="-10"/>
                <w:sz w:val="17"/>
              </w:rPr>
              <w:t xml:space="preserve"> </w:t>
            </w:r>
            <w:r>
              <w:rPr>
                <w:rFonts w:ascii="Palatino Linotype"/>
                <w:sz w:val="17"/>
              </w:rPr>
              <w:t>the</w:t>
            </w:r>
            <w:r>
              <w:rPr>
                <w:rFonts w:ascii="Palatino Linotype"/>
                <w:spacing w:val="-9"/>
                <w:sz w:val="17"/>
              </w:rPr>
              <w:t xml:space="preserve"> </w:t>
            </w:r>
            <w:r>
              <w:rPr>
                <w:rFonts w:ascii="Palatino Linotype"/>
                <w:sz w:val="17"/>
              </w:rPr>
              <w:t>latest</w:t>
            </w:r>
            <w:r>
              <w:rPr>
                <w:rFonts w:ascii="Palatino Linotype"/>
                <w:spacing w:val="-11"/>
                <w:sz w:val="17"/>
              </w:rPr>
              <w:t xml:space="preserve"> </w:t>
            </w:r>
            <w:r>
              <w:rPr>
                <w:rFonts w:ascii="Palatino Linotype"/>
                <w:sz w:val="17"/>
              </w:rPr>
              <w:t>IEEE</w:t>
            </w:r>
            <w:r>
              <w:rPr>
                <w:rFonts w:ascii="Palatino Linotype"/>
                <w:spacing w:val="-9"/>
                <w:sz w:val="17"/>
              </w:rPr>
              <w:t xml:space="preserve"> </w:t>
            </w:r>
            <w:r>
              <w:rPr>
                <w:rFonts w:ascii="Palatino Linotype"/>
                <w:spacing w:val="-2"/>
                <w:sz w:val="17"/>
              </w:rPr>
              <w:t>Requirements.</w:t>
            </w:r>
          </w:p>
        </w:tc>
        <w:tc>
          <w:tcPr>
            <w:tcW w:w="675" w:type="dxa"/>
            <w:tcBorders>
              <w:top w:val="nil"/>
            </w:tcBorders>
          </w:tcPr>
          <w:p w:rsidR="007F6DF9" w:rsidRDefault="007F6DF9">
            <w:pPr>
              <w:pStyle w:val="TableParagraph"/>
              <w:rPr>
                <w:rFonts w:ascii="Times New Roman"/>
                <w:sz w:val="16"/>
              </w:rPr>
            </w:pPr>
          </w:p>
        </w:tc>
        <w:tc>
          <w:tcPr>
            <w:tcW w:w="765" w:type="dxa"/>
            <w:tcBorders>
              <w:top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60"/>
        </w:trPr>
        <w:tc>
          <w:tcPr>
            <w:tcW w:w="570" w:type="dxa"/>
          </w:tcPr>
          <w:p w:rsidR="007F6DF9" w:rsidRDefault="007F6DF9">
            <w:pPr>
              <w:pStyle w:val="TableParagraph"/>
              <w:rPr>
                <w:rFonts w:ascii="Times New Roman"/>
                <w:sz w:val="16"/>
              </w:rPr>
            </w:pPr>
          </w:p>
        </w:tc>
        <w:tc>
          <w:tcPr>
            <w:tcW w:w="4470" w:type="dxa"/>
          </w:tcPr>
          <w:p w:rsidR="007F6DF9" w:rsidRDefault="00A43FBC">
            <w:pPr>
              <w:pStyle w:val="TableParagraph"/>
              <w:spacing w:before="64"/>
              <w:ind w:left="34"/>
              <w:rPr>
                <w:rFonts w:ascii="Palatino Linotype"/>
                <w:b/>
                <w:sz w:val="18"/>
              </w:rPr>
            </w:pPr>
            <w:r>
              <w:rPr>
                <w:rFonts w:ascii="Palatino Linotype"/>
                <w:b/>
                <w:sz w:val="18"/>
              </w:rPr>
              <w:t>Total</w:t>
            </w:r>
            <w:r>
              <w:rPr>
                <w:rFonts w:ascii="Palatino Linotype"/>
                <w:b/>
                <w:spacing w:val="13"/>
                <w:sz w:val="18"/>
              </w:rPr>
              <w:t xml:space="preserve"> </w:t>
            </w:r>
            <w:r>
              <w:rPr>
                <w:rFonts w:ascii="Palatino Linotype"/>
                <w:b/>
                <w:sz w:val="18"/>
              </w:rPr>
              <w:t>carried</w:t>
            </w:r>
            <w:r>
              <w:rPr>
                <w:rFonts w:ascii="Palatino Linotype"/>
                <w:b/>
                <w:spacing w:val="9"/>
                <w:sz w:val="18"/>
              </w:rPr>
              <w:t xml:space="preserve"> </w:t>
            </w:r>
            <w:r>
              <w:rPr>
                <w:rFonts w:ascii="Palatino Linotype"/>
                <w:b/>
                <w:sz w:val="18"/>
              </w:rPr>
              <w:t>forward</w:t>
            </w:r>
            <w:r>
              <w:rPr>
                <w:rFonts w:ascii="Palatino Linotype"/>
                <w:b/>
                <w:spacing w:val="12"/>
                <w:sz w:val="18"/>
              </w:rPr>
              <w:t xml:space="preserve"> </w:t>
            </w:r>
            <w:r>
              <w:rPr>
                <w:rFonts w:ascii="Palatino Linotype"/>
                <w:b/>
                <w:sz w:val="18"/>
              </w:rPr>
              <w:t>to</w:t>
            </w:r>
            <w:r>
              <w:rPr>
                <w:rFonts w:ascii="Palatino Linotype"/>
                <w:b/>
                <w:spacing w:val="11"/>
                <w:sz w:val="18"/>
              </w:rPr>
              <w:t xml:space="preserve"> </w:t>
            </w:r>
            <w:r>
              <w:rPr>
                <w:rFonts w:ascii="Palatino Linotype"/>
                <w:b/>
                <w:sz w:val="18"/>
              </w:rPr>
              <w:t>summary</w:t>
            </w:r>
            <w:r>
              <w:rPr>
                <w:rFonts w:ascii="Palatino Linotype"/>
                <w:b/>
                <w:spacing w:val="8"/>
                <w:sz w:val="18"/>
              </w:rPr>
              <w:t xml:space="preserve"> </w:t>
            </w:r>
            <w:r>
              <w:rPr>
                <w:rFonts w:ascii="Palatino Linotype"/>
                <w:b/>
                <w:spacing w:val="-4"/>
                <w:sz w:val="18"/>
              </w:rPr>
              <w:t>page</w:t>
            </w:r>
          </w:p>
        </w:tc>
        <w:tc>
          <w:tcPr>
            <w:tcW w:w="675" w:type="dxa"/>
          </w:tcPr>
          <w:p w:rsidR="007F6DF9" w:rsidRDefault="007F6DF9">
            <w:pPr>
              <w:pStyle w:val="TableParagraph"/>
              <w:rPr>
                <w:rFonts w:ascii="Times New Roman"/>
                <w:sz w:val="16"/>
              </w:rPr>
            </w:pPr>
          </w:p>
        </w:tc>
        <w:tc>
          <w:tcPr>
            <w:tcW w:w="765" w:type="dxa"/>
          </w:tcPr>
          <w:p w:rsidR="007F6DF9" w:rsidRDefault="007F6DF9">
            <w:pPr>
              <w:pStyle w:val="TableParagraph"/>
              <w:rPr>
                <w:rFonts w:ascii="Times New Roman"/>
                <w:sz w:val="16"/>
              </w:rPr>
            </w:pPr>
          </w:p>
        </w:tc>
        <w:tc>
          <w:tcPr>
            <w:tcW w:w="1215" w:type="dxa"/>
          </w:tcPr>
          <w:p w:rsidR="007F6DF9" w:rsidRDefault="007F6DF9">
            <w:pPr>
              <w:pStyle w:val="TableParagraph"/>
              <w:rPr>
                <w:rFonts w:ascii="Times New Roman"/>
                <w:sz w:val="16"/>
              </w:rPr>
            </w:pPr>
          </w:p>
        </w:tc>
        <w:tc>
          <w:tcPr>
            <w:tcW w:w="2190" w:type="dxa"/>
          </w:tcPr>
          <w:p w:rsidR="007F6DF9" w:rsidRDefault="007F6DF9">
            <w:pPr>
              <w:pStyle w:val="TableParagraph"/>
              <w:rPr>
                <w:rFonts w:ascii="Times New Roman"/>
                <w:sz w:val="16"/>
              </w:rPr>
            </w:pPr>
          </w:p>
        </w:tc>
      </w:tr>
    </w:tbl>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spacing w:before="69"/>
        <w:rPr>
          <w:rFonts w:ascii="Palatino Linotype"/>
          <w:b/>
          <w:sz w:val="17"/>
        </w:rPr>
      </w:pPr>
    </w:p>
    <w:p w:rsidR="007F6DF9" w:rsidRDefault="00A43FBC">
      <w:pPr>
        <w:ind w:left="131"/>
        <w:jc w:val="center"/>
        <w:rPr>
          <w:rFonts w:ascii="Calibri"/>
          <w:sz w:val="18"/>
        </w:rPr>
      </w:pPr>
      <w:r>
        <w:rPr>
          <w:rFonts w:ascii="Calibri"/>
          <w:spacing w:val="-5"/>
          <w:sz w:val="18"/>
        </w:rPr>
        <w:t>H/1</w:t>
      </w:r>
    </w:p>
    <w:p w:rsidR="007F6DF9" w:rsidRDefault="007F6DF9">
      <w:pPr>
        <w:jc w:val="center"/>
        <w:rPr>
          <w:rFonts w:ascii="Calibri"/>
          <w:sz w:val="18"/>
        </w:rPr>
        <w:sectPr w:rsidR="007F6DF9">
          <w:headerReference w:type="even" r:id="rId72"/>
          <w:footerReference w:type="even" r:id="rId73"/>
          <w:pgSz w:w="11910" w:h="16840"/>
          <w:pgMar w:top="0" w:right="992" w:bottom="0" w:left="850" w:header="0" w:footer="0" w:gutter="0"/>
          <w:cols w:space="720"/>
        </w:sectPr>
      </w:pPr>
    </w:p>
    <w:tbl>
      <w:tblPr>
        <w:tblW w:w="0" w:type="auto"/>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3888"/>
        <w:gridCol w:w="511"/>
        <w:gridCol w:w="547"/>
        <w:gridCol w:w="1226"/>
        <w:gridCol w:w="1420"/>
      </w:tblGrid>
      <w:tr w:rsidR="007F6DF9">
        <w:trPr>
          <w:trHeight w:val="393"/>
        </w:trPr>
        <w:tc>
          <w:tcPr>
            <w:tcW w:w="8103" w:type="dxa"/>
            <w:gridSpan w:val="6"/>
          </w:tcPr>
          <w:p w:rsidR="007F6DF9" w:rsidRDefault="00A43FBC">
            <w:pPr>
              <w:pStyle w:val="TableParagraph"/>
              <w:spacing w:line="180" w:lineRule="exact"/>
              <w:ind w:left="22"/>
              <w:jc w:val="center"/>
              <w:rPr>
                <w:rFonts w:ascii="Times New Roman"/>
                <w:b/>
                <w:sz w:val="19"/>
              </w:rPr>
            </w:pPr>
            <w:bookmarkStart w:id="79" w:name="COLD_ROOM_Mech_BQ"/>
            <w:bookmarkEnd w:id="79"/>
            <w:r>
              <w:rPr>
                <w:rFonts w:ascii="Times New Roman"/>
                <w:b/>
                <w:sz w:val="19"/>
              </w:rPr>
              <w:lastRenderedPageBreak/>
              <w:t>PROPOSED</w:t>
            </w:r>
            <w:r>
              <w:rPr>
                <w:rFonts w:ascii="Times New Roman"/>
                <w:b/>
                <w:spacing w:val="11"/>
                <w:sz w:val="19"/>
              </w:rPr>
              <w:t xml:space="preserve"> </w:t>
            </w:r>
            <w:r>
              <w:rPr>
                <w:rFonts w:ascii="Times New Roman"/>
                <w:b/>
                <w:sz w:val="19"/>
              </w:rPr>
              <w:t>COLD</w:t>
            </w:r>
            <w:r>
              <w:rPr>
                <w:rFonts w:ascii="Times New Roman"/>
                <w:b/>
                <w:spacing w:val="11"/>
                <w:sz w:val="19"/>
              </w:rPr>
              <w:t xml:space="preserve"> </w:t>
            </w:r>
            <w:r>
              <w:rPr>
                <w:rFonts w:ascii="Times New Roman"/>
                <w:b/>
                <w:sz w:val="19"/>
              </w:rPr>
              <w:t>ROOM</w:t>
            </w:r>
            <w:r>
              <w:rPr>
                <w:rFonts w:ascii="Times New Roman"/>
                <w:b/>
                <w:spacing w:val="18"/>
                <w:sz w:val="19"/>
              </w:rPr>
              <w:t xml:space="preserve"> </w:t>
            </w:r>
            <w:r>
              <w:rPr>
                <w:rFonts w:ascii="Times New Roman"/>
                <w:b/>
                <w:sz w:val="19"/>
              </w:rPr>
              <w:t>WORKS</w:t>
            </w:r>
            <w:r>
              <w:rPr>
                <w:rFonts w:ascii="Times New Roman"/>
                <w:b/>
                <w:spacing w:val="12"/>
                <w:sz w:val="19"/>
              </w:rPr>
              <w:t xml:space="preserve"> </w:t>
            </w:r>
            <w:r>
              <w:rPr>
                <w:rFonts w:ascii="Times New Roman"/>
                <w:b/>
                <w:sz w:val="19"/>
              </w:rPr>
              <w:t>JARAMOGI</w:t>
            </w:r>
            <w:r>
              <w:rPr>
                <w:rFonts w:ascii="Times New Roman"/>
                <w:b/>
                <w:spacing w:val="75"/>
                <w:sz w:val="19"/>
              </w:rPr>
              <w:t xml:space="preserve"> </w:t>
            </w:r>
            <w:r>
              <w:rPr>
                <w:rFonts w:ascii="Times New Roman"/>
                <w:b/>
                <w:sz w:val="19"/>
              </w:rPr>
              <w:t>OGINGA</w:t>
            </w:r>
            <w:r>
              <w:rPr>
                <w:rFonts w:ascii="Times New Roman"/>
                <w:b/>
                <w:spacing w:val="11"/>
                <w:sz w:val="19"/>
              </w:rPr>
              <w:t xml:space="preserve"> </w:t>
            </w:r>
            <w:r>
              <w:rPr>
                <w:rFonts w:ascii="Times New Roman"/>
                <w:b/>
                <w:sz w:val="19"/>
              </w:rPr>
              <w:t>ODINGA</w:t>
            </w:r>
            <w:r>
              <w:rPr>
                <w:rFonts w:ascii="Times New Roman"/>
                <w:b/>
                <w:spacing w:val="14"/>
                <w:sz w:val="19"/>
              </w:rPr>
              <w:t xml:space="preserve"> </w:t>
            </w:r>
            <w:r>
              <w:rPr>
                <w:rFonts w:ascii="Times New Roman"/>
                <w:b/>
                <w:sz w:val="19"/>
              </w:rPr>
              <w:t>TEACHING</w:t>
            </w:r>
            <w:r>
              <w:rPr>
                <w:rFonts w:ascii="Times New Roman"/>
                <w:b/>
                <w:spacing w:val="14"/>
                <w:sz w:val="19"/>
              </w:rPr>
              <w:t xml:space="preserve"> </w:t>
            </w:r>
            <w:r>
              <w:rPr>
                <w:rFonts w:ascii="Times New Roman"/>
                <w:b/>
                <w:spacing w:val="-10"/>
                <w:sz w:val="19"/>
              </w:rPr>
              <w:t>&amp;</w:t>
            </w:r>
          </w:p>
          <w:p w:rsidR="007F6DF9" w:rsidRDefault="00A43FBC">
            <w:pPr>
              <w:pStyle w:val="TableParagraph"/>
              <w:spacing w:before="26" w:line="167" w:lineRule="exact"/>
              <w:ind w:left="22" w:right="2"/>
              <w:jc w:val="center"/>
              <w:rPr>
                <w:rFonts w:ascii="Times New Roman"/>
                <w:b/>
                <w:sz w:val="19"/>
              </w:rPr>
            </w:pPr>
            <w:r>
              <w:rPr>
                <w:rFonts w:ascii="Times New Roman"/>
                <w:b/>
                <w:sz w:val="19"/>
              </w:rPr>
              <w:t>REFERRAL</w:t>
            </w:r>
            <w:r>
              <w:rPr>
                <w:rFonts w:ascii="Times New Roman"/>
                <w:b/>
                <w:spacing w:val="13"/>
                <w:sz w:val="19"/>
              </w:rPr>
              <w:t xml:space="preserve"> </w:t>
            </w:r>
            <w:r>
              <w:rPr>
                <w:rFonts w:ascii="Times New Roman"/>
                <w:b/>
                <w:spacing w:val="-2"/>
                <w:sz w:val="19"/>
              </w:rPr>
              <w:t>HOSPITAL.</w:t>
            </w:r>
          </w:p>
        </w:tc>
      </w:tr>
      <w:tr w:rsidR="007F6DF9">
        <w:trPr>
          <w:trHeight w:val="376"/>
        </w:trPr>
        <w:tc>
          <w:tcPr>
            <w:tcW w:w="511" w:type="dxa"/>
          </w:tcPr>
          <w:p w:rsidR="007F6DF9" w:rsidRDefault="00A43FBC">
            <w:pPr>
              <w:pStyle w:val="TableParagraph"/>
              <w:spacing w:before="12"/>
              <w:ind w:right="31"/>
              <w:jc w:val="center"/>
              <w:rPr>
                <w:rFonts w:ascii="Times New Roman"/>
                <w:b/>
                <w:sz w:val="19"/>
              </w:rPr>
            </w:pPr>
            <w:r>
              <w:rPr>
                <w:rFonts w:ascii="Times New Roman"/>
                <w:b/>
                <w:spacing w:val="-4"/>
                <w:sz w:val="19"/>
              </w:rPr>
              <w:t>Item</w:t>
            </w:r>
          </w:p>
        </w:tc>
        <w:tc>
          <w:tcPr>
            <w:tcW w:w="3888" w:type="dxa"/>
          </w:tcPr>
          <w:p w:rsidR="007F6DF9" w:rsidRDefault="00A43FBC">
            <w:pPr>
              <w:pStyle w:val="TableParagraph"/>
              <w:spacing w:before="12"/>
              <w:ind w:left="35"/>
              <w:rPr>
                <w:rFonts w:ascii="Times New Roman"/>
                <w:b/>
                <w:sz w:val="19"/>
              </w:rPr>
            </w:pPr>
            <w:r>
              <w:rPr>
                <w:rFonts w:ascii="Times New Roman"/>
                <w:b/>
                <w:spacing w:val="-2"/>
                <w:sz w:val="19"/>
              </w:rPr>
              <w:t>Description</w:t>
            </w:r>
          </w:p>
        </w:tc>
        <w:tc>
          <w:tcPr>
            <w:tcW w:w="511" w:type="dxa"/>
          </w:tcPr>
          <w:p w:rsidR="007F6DF9" w:rsidRDefault="00A43FBC">
            <w:pPr>
              <w:pStyle w:val="TableParagraph"/>
              <w:spacing w:before="84"/>
              <w:ind w:left="18"/>
              <w:jc w:val="center"/>
              <w:rPr>
                <w:rFonts w:ascii="Times New Roman"/>
                <w:b/>
                <w:sz w:val="19"/>
              </w:rPr>
            </w:pPr>
            <w:r>
              <w:rPr>
                <w:rFonts w:ascii="Times New Roman"/>
                <w:b/>
                <w:spacing w:val="-4"/>
                <w:sz w:val="19"/>
              </w:rPr>
              <w:t>Unit</w:t>
            </w:r>
          </w:p>
        </w:tc>
        <w:tc>
          <w:tcPr>
            <w:tcW w:w="547" w:type="dxa"/>
          </w:tcPr>
          <w:p w:rsidR="007F6DF9" w:rsidRDefault="00A43FBC">
            <w:pPr>
              <w:pStyle w:val="TableParagraph"/>
              <w:spacing w:before="84"/>
              <w:ind w:left="33" w:right="16"/>
              <w:jc w:val="center"/>
              <w:rPr>
                <w:rFonts w:ascii="Times New Roman"/>
                <w:b/>
                <w:sz w:val="19"/>
              </w:rPr>
            </w:pPr>
            <w:proofErr w:type="spellStart"/>
            <w:r>
              <w:rPr>
                <w:rFonts w:ascii="Times New Roman"/>
                <w:b/>
                <w:spacing w:val="-5"/>
                <w:sz w:val="19"/>
              </w:rPr>
              <w:t>Qty</w:t>
            </w:r>
            <w:proofErr w:type="spellEnd"/>
          </w:p>
        </w:tc>
        <w:tc>
          <w:tcPr>
            <w:tcW w:w="1226" w:type="dxa"/>
          </w:tcPr>
          <w:p w:rsidR="007F6DF9" w:rsidRDefault="00A43FBC">
            <w:pPr>
              <w:pStyle w:val="TableParagraph"/>
              <w:spacing w:before="84"/>
              <w:ind w:left="382"/>
              <w:rPr>
                <w:rFonts w:ascii="Times New Roman"/>
                <w:b/>
                <w:sz w:val="19"/>
              </w:rPr>
            </w:pPr>
            <w:r>
              <w:rPr>
                <w:rFonts w:ascii="Times New Roman"/>
                <w:b/>
                <w:spacing w:val="-2"/>
                <w:sz w:val="19"/>
              </w:rPr>
              <w:t>Rates</w:t>
            </w:r>
          </w:p>
        </w:tc>
        <w:tc>
          <w:tcPr>
            <w:tcW w:w="1420" w:type="dxa"/>
          </w:tcPr>
          <w:p w:rsidR="007F6DF9" w:rsidRDefault="00A43FBC">
            <w:pPr>
              <w:pStyle w:val="TableParagraph"/>
              <w:spacing w:before="84"/>
              <w:ind w:left="54"/>
              <w:rPr>
                <w:rFonts w:ascii="Times New Roman"/>
                <w:b/>
                <w:sz w:val="19"/>
              </w:rPr>
            </w:pPr>
            <w:r>
              <w:rPr>
                <w:rFonts w:ascii="Times New Roman"/>
                <w:b/>
                <w:sz w:val="19"/>
              </w:rPr>
              <w:t>Amount</w:t>
            </w:r>
            <w:r>
              <w:rPr>
                <w:rFonts w:ascii="Times New Roman"/>
                <w:b/>
                <w:spacing w:val="58"/>
                <w:sz w:val="19"/>
              </w:rPr>
              <w:t xml:space="preserve"> </w:t>
            </w:r>
            <w:r>
              <w:rPr>
                <w:rFonts w:ascii="Times New Roman"/>
                <w:b/>
                <w:spacing w:val="-2"/>
                <w:sz w:val="19"/>
              </w:rPr>
              <w:t>(</w:t>
            </w:r>
            <w:proofErr w:type="spellStart"/>
            <w:r>
              <w:rPr>
                <w:rFonts w:ascii="Times New Roman"/>
                <w:b/>
                <w:spacing w:val="-2"/>
                <w:sz w:val="19"/>
              </w:rPr>
              <w:t>Kshs</w:t>
            </w:r>
            <w:proofErr w:type="spellEnd"/>
            <w:r>
              <w:rPr>
                <w:rFonts w:ascii="Times New Roman"/>
                <w:b/>
                <w:spacing w:val="-2"/>
                <w:sz w:val="19"/>
              </w:rPr>
              <w:t>)</w:t>
            </w:r>
          </w:p>
        </w:tc>
      </w:tr>
      <w:tr w:rsidR="007F6DF9">
        <w:trPr>
          <w:trHeight w:val="1005"/>
        </w:trPr>
        <w:tc>
          <w:tcPr>
            <w:tcW w:w="511" w:type="dxa"/>
            <w:vMerge w:val="restart"/>
          </w:tcPr>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49"/>
              <w:rPr>
                <w:rFonts w:ascii="Calibri"/>
                <w:sz w:val="19"/>
              </w:rPr>
            </w:pPr>
          </w:p>
          <w:p w:rsidR="007F6DF9" w:rsidRDefault="00A43FBC">
            <w:pPr>
              <w:pStyle w:val="TableParagraph"/>
              <w:spacing w:line="340" w:lineRule="auto"/>
              <w:ind w:left="178" w:right="158"/>
              <w:jc w:val="center"/>
              <w:rPr>
                <w:rFonts w:ascii="Times New Roman"/>
                <w:sz w:val="19"/>
              </w:rPr>
            </w:pPr>
            <w:r>
              <w:rPr>
                <w:rFonts w:ascii="Times New Roman"/>
                <w:spacing w:val="-10"/>
                <w:sz w:val="19"/>
              </w:rPr>
              <w:t>A</w:t>
            </w:r>
            <w:r>
              <w:rPr>
                <w:rFonts w:ascii="Times New Roman"/>
                <w:sz w:val="19"/>
              </w:rPr>
              <w:t xml:space="preserve"> </w:t>
            </w:r>
            <w:r>
              <w:rPr>
                <w:rFonts w:ascii="Times New Roman"/>
                <w:spacing w:val="-10"/>
                <w:sz w:val="19"/>
              </w:rPr>
              <w:t>B</w:t>
            </w:r>
          </w:p>
          <w:p w:rsidR="007F6DF9" w:rsidRDefault="00A43FBC">
            <w:pPr>
              <w:pStyle w:val="TableParagraph"/>
              <w:spacing w:before="104" w:line="326" w:lineRule="auto"/>
              <w:ind w:left="186" w:right="166" w:hanging="2"/>
              <w:jc w:val="center"/>
              <w:rPr>
                <w:rFonts w:ascii="Times New Roman"/>
                <w:sz w:val="19"/>
              </w:rPr>
            </w:pPr>
            <w:r>
              <w:rPr>
                <w:rFonts w:ascii="Times New Roman"/>
                <w:spacing w:val="-10"/>
                <w:sz w:val="19"/>
              </w:rPr>
              <w:t>C</w:t>
            </w:r>
            <w:r>
              <w:rPr>
                <w:rFonts w:ascii="Times New Roman"/>
                <w:sz w:val="19"/>
              </w:rPr>
              <w:t xml:space="preserve"> </w:t>
            </w:r>
            <w:r>
              <w:rPr>
                <w:rFonts w:ascii="Times New Roman"/>
                <w:spacing w:val="-10"/>
                <w:sz w:val="19"/>
              </w:rPr>
              <w:t>D</w:t>
            </w:r>
          </w:p>
          <w:p w:rsidR="007F6DF9" w:rsidRDefault="00A43FBC">
            <w:pPr>
              <w:pStyle w:val="TableParagraph"/>
              <w:spacing w:before="135" w:line="398" w:lineRule="auto"/>
              <w:ind w:left="178" w:right="156"/>
              <w:jc w:val="center"/>
              <w:rPr>
                <w:rFonts w:ascii="Times New Roman"/>
                <w:sz w:val="19"/>
              </w:rPr>
            </w:pPr>
            <w:r>
              <w:rPr>
                <w:rFonts w:ascii="Times New Roman"/>
                <w:spacing w:val="-10"/>
                <w:sz w:val="19"/>
              </w:rPr>
              <w:t>E</w:t>
            </w:r>
            <w:r>
              <w:rPr>
                <w:rFonts w:ascii="Times New Roman"/>
                <w:sz w:val="19"/>
              </w:rPr>
              <w:t xml:space="preserve"> </w:t>
            </w:r>
            <w:r>
              <w:rPr>
                <w:rFonts w:ascii="Times New Roman"/>
                <w:spacing w:val="-10"/>
                <w:sz w:val="19"/>
              </w:rPr>
              <w:t>F</w:t>
            </w:r>
          </w:p>
          <w:p w:rsidR="007F6DF9" w:rsidRDefault="00A43FBC">
            <w:pPr>
              <w:pStyle w:val="TableParagraph"/>
              <w:spacing w:before="130"/>
              <w:ind w:left="18"/>
              <w:jc w:val="center"/>
              <w:rPr>
                <w:rFonts w:ascii="Times New Roman"/>
                <w:sz w:val="19"/>
              </w:rPr>
            </w:pPr>
            <w:r>
              <w:rPr>
                <w:rFonts w:ascii="Times New Roman"/>
                <w:spacing w:val="-10"/>
                <w:sz w:val="19"/>
              </w:rPr>
              <w:t>G</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227"/>
              <w:rPr>
                <w:rFonts w:ascii="Calibri"/>
                <w:sz w:val="19"/>
              </w:rPr>
            </w:pPr>
          </w:p>
          <w:p w:rsidR="007F6DF9" w:rsidRDefault="00A43FBC">
            <w:pPr>
              <w:pStyle w:val="TableParagraph"/>
              <w:spacing w:before="1"/>
              <w:ind w:left="18"/>
              <w:jc w:val="center"/>
              <w:rPr>
                <w:rFonts w:ascii="Times New Roman"/>
                <w:sz w:val="19"/>
              </w:rPr>
            </w:pPr>
            <w:r>
              <w:rPr>
                <w:rFonts w:ascii="Times New Roman"/>
                <w:spacing w:val="-10"/>
                <w:sz w:val="19"/>
              </w:rPr>
              <w:t>H</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48"/>
              <w:rPr>
                <w:rFonts w:ascii="Calibri"/>
                <w:sz w:val="19"/>
              </w:rPr>
            </w:pPr>
          </w:p>
          <w:p w:rsidR="007F6DF9" w:rsidRDefault="00A43FBC">
            <w:pPr>
              <w:pStyle w:val="TableParagraph"/>
              <w:ind w:left="19"/>
              <w:jc w:val="center"/>
              <w:rPr>
                <w:rFonts w:ascii="Times New Roman"/>
                <w:sz w:val="19"/>
              </w:rPr>
            </w:pPr>
            <w:r>
              <w:rPr>
                <w:rFonts w:ascii="Times New Roman"/>
                <w:spacing w:val="-10"/>
                <w:sz w:val="19"/>
              </w:rPr>
              <w:t>I</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80"/>
              <w:rPr>
                <w:rFonts w:ascii="Calibri"/>
                <w:sz w:val="19"/>
              </w:rPr>
            </w:pPr>
          </w:p>
          <w:p w:rsidR="007F6DF9" w:rsidRDefault="00A43FBC">
            <w:pPr>
              <w:pStyle w:val="TableParagraph"/>
              <w:spacing w:before="1" w:line="280" w:lineRule="atLeast"/>
              <w:ind w:left="186" w:right="166" w:hanging="3"/>
              <w:jc w:val="center"/>
              <w:rPr>
                <w:rFonts w:ascii="Times New Roman"/>
                <w:sz w:val="19"/>
              </w:rPr>
            </w:pPr>
            <w:r>
              <w:rPr>
                <w:rFonts w:ascii="Times New Roman"/>
                <w:spacing w:val="-10"/>
                <w:sz w:val="19"/>
              </w:rPr>
              <w:t>J</w:t>
            </w:r>
            <w:r>
              <w:rPr>
                <w:rFonts w:ascii="Times New Roman"/>
                <w:sz w:val="19"/>
              </w:rPr>
              <w:t xml:space="preserve"> </w:t>
            </w:r>
            <w:r>
              <w:rPr>
                <w:rFonts w:ascii="Times New Roman"/>
                <w:spacing w:val="-10"/>
                <w:sz w:val="19"/>
              </w:rPr>
              <w:t>K</w:t>
            </w:r>
          </w:p>
        </w:tc>
        <w:tc>
          <w:tcPr>
            <w:tcW w:w="3888" w:type="dxa"/>
            <w:tcBorders>
              <w:bottom w:val="nil"/>
            </w:tcBorders>
          </w:tcPr>
          <w:p w:rsidR="007F6DF9" w:rsidRDefault="00A43FBC">
            <w:pPr>
              <w:pStyle w:val="TableParagraph"/>
              <w:spacing w:before="7" w:line="268" w:lineRule="auto"/>
              <w:ind w:left="35" w:right="341"/>
              <w:jc w:val="both"/>
              <w:rPr>
                <w:rFonts w:ascii="Times New Roman"/>
                <w:sz w:val="19"/>
              </w:rPr>
            </w:pPr>
            <w:r>
              <w:rPr>
                <w:rFonts w:ascii="Times New Roman"/>
                <w:sz w:val="19"/>
              </w:rPr>
              <w:t>Supply, install test and commission the cold room components specified below to make a complete working Refrigeration cold room</w:t>
            </w:r>
          </w:p>
          <w:p w:rsidR="007F6DF9" w:rsidRDefault="00A43FBC">
            <w:pPr>
              <w:pStyle w:val="TableParagraph"/>
              <w:ind w:left="35"/>
              <w:jc w:val="both"/>
              <w:rPr>
                <w:rFonts w:ascii="Times New Roman"/>
                <w:sz w:val="19"/>
              </w:rPr>
            </w:pPr>
            <w:r>
              <w:rPr>
                <w:rFonts w:ascii="Times New Roman"/>
                <w:sz w:val="19"/>
              </w:rPr>
              <w:t>capable</w:t>
            </w:r>
            <w:r>
              <w:rPr>
                <w:rFonts w:ascii="Times New Roman"/>
                <w:spacing w:val="9"/>
                <w:sz w:val="19"/>
              </w:rPr>
              <w:t xml:space="preserve"> </w:t>
            </w:r>
            <w:r>
              <w:rPr>
                <w:rFonts w:ascii="Times New Roman"/>
                <w:sz w:val="19"/>
              </w:rPr>
              <w:t>of</w:t>
            </w:r>
            <w:r>
              <w:rPr>
                <w:rFonts w:ascii="Times New Roman"/>
                <w:spacing w:val="12"/>
                <w:sz w:val="19"/>
              </w:rPr>
              <w:t xml:space="preserve"> </w:t>
            </w:r>
            <w:r>
              <w:rPr>
                <w:rFonts w:ascii="Times New Roman"/>
                <w:sz w:val="19"/>
              </w:rPr>
              <w:t>achieving</w:t>
            </w:r>
            <w:r>
              <w:rPr>
                <w:rFonts w:ascii="Times New Roman"/>
                <w:spacing w:val="9"/>
                <w:sz w:val="19"/>
              </w:rPr>
              <w:t xml:space="preserve"> </w:t>
            </w:r>
            <w:r>
              <w:rPr>
                <w:rFonts w:ascii="Times New Roman"/>
                <w:sz w:val="19"/>
              </w:rPr>
              <w:t>and</w:t>
            </w:r>
            <w:r>
              <w:rPr>
                <w:rFonts w:ascii="Times New Roman"/>
                <w:spacing w:val="15"/>
                <w:sz w:val="19"/>
              </w:rPr>
              <w:t xml:space="preserve"> </w:t>
            </w:r>
            <w:r>
              <w:rPr>
                <w:rFonts w:ascii="Times New Roman"/>
                <w:spacing w:val="-2"/>
                <w:sz w:val="19"/>
              </w:rPr>
              <w:t>maintaining</w:t>
            </w:r>
          </w:p>
        </w:tc>
        <w:tc>
          <w:tcPr>
            <w:tcW w:w="511" w:type="dxa"/>
            <w:tcBorders>
              <w:bottom w:val="nil"/>
            </w:tcBorders>
          </w:tcPr>
          <w:p w:rsidR="007F6DF9" w:rsidRDefault="007F6DF9">
            <w:pPr>
              <w:pStyle w:val="TableParagraph"/>
              <w:rPr>
                <w:rFonts w:ascii="Times New Roman"/>
                <w:sz w:val="18"/>
              </w:rPr>
            </w:pPr>
          </w:p>
        </w:tc>
        <w:tc>
          <w:tcPr>
            <w:tcW w:w="547" w:type="dxa"/>
            <w:tcBorders>
              <w:bottom w:val="nil"/>
            </w:tcBorders>
          </w:tcPr>
          <w:p w:rsidR="007F6DF9" w:rsidRDefault="007F6DF9">
            <w:pPr>
              <w:pStyle w:val="TableParagraph"/>
              <w:rPr>
                <w:rFonts w:ascii="Times New Roman"/>
                <w:sz w:val="18"/>
              </w:rPr>
            </w:pPr>
          </w:p>
        </w:tc>
        <w:tc>
          <w:tcPr>
            <w:tcW w:w="1226" w:type="dxa"/>
            <w:vMerge w:val="restart"/>
          </w:tcPr>
          <w:p w:rsidR="007F6DF9" w:rsidRDefault="007F6DF9">
            <w:pPr>
              <w:pStyle w:val="TableParagraph"/>
              <w:rPr>
                <w:rFonts w:ascii="Times New Roman"/>
                <w:sz w:val="18"/>
              </w:rPr>
            </w:pPr>
          </w:p>
        </w:tc>
        <w:tc>
          <w:tcPr>
            <w:tcW w:w="1420" w:type="dxa"/>
            <w:vMerge w:val="restart"/>
          </w:tcPr>
          <w:p w:rsidR="007F6DF9" w:rsidRDefault="007F6DF9">
            <w:pPr>
              <w:pStyle w:val="TableParagraph"/>
              <w:rPr>
                <w:rFonts w:ascii="Times New Roman"/>
                <w:sz w:val="18"/>
              </w:rPr>
            </w:pPr>
          </w:p>
        </w:tc>
      </w:tr>
      <w:tr w:rsidR="007F6DF9">
        <w:trPr>
          <w:trHeight w:val="35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40"/>
              <w:ind w:left="35"/>
              <w:rPr>
                <w:rFonts w:ascii="Times New Roman"/>
                <w:b/>
                <w:sz w:val="19"/>
              </w:rPr>
            </w:pPr>
            <w:r>
              <w:rPr>
                <w:rFonts w:ascii="Times New Roman"/>
                <w:b/>
                <w:sz w:val="19"/>
                <w:u w:val="single"/>
              </w:rPr>
              <w:t>Design</w:t>
            </w:r>
            <w:r>
              <w:rPr>
                <w:rFonts w:ascii="Times New Roman"/>
                <w:b/>
                <w:spacing w:val="10"/>
                <w:sz w:val="19"/>
                <w:u w:val="single"/>
              </w:rPr>
              <w:t xml:space="preserve"> </w:t>
            </w:r>
            <w:r>
              <w:rPr>
                <w:rFonts w:ascii="Times New Roman"/>
                <w:b/>
                <w:sz w:val="19"/>
                <w:u w:val="single"/>
              </w:rPr>
              <w:t>condition</w:t>
            </w:r>
            <w:r>
              <w:rPr>
                <w:rFonts w:ascii="Times New Roman"/>
                <w:b/>
                <w:spacing w:val="10"/>
                <w:sz w:val="19"/>
                <w:u w:val="single"/>
              </w:rPr>
              <w:t xml:space="preserve"> </w:t>
            </w:r>
            <w:r>
              <w:rPr>
                <w:rFonts w:ascii="Times New Roman"/>
                <w:b/>
                <w:sz w:val="19"/>
                <w:u w:val="single"/>
              </w:rPr>
              <w:t>for</w:t>
            </w:r>
            <w:r>
              <w:rPr>
                <w:rFonts w:ascii="Times New Roman"/>
                <w:b/>
                <w:spacing w:val="11"/>
                <w:sz w:val="19"/>
                <w:u w:val="single"/>
              </w:rPr>
              <w:t xml:space="preserve"> </w:t>
            </w:r>
            <w:r>
              <w:rPr>
                <w:rFonts w:ascii="Times New Roman"/>
                <w:b/>
                <w:sz w:val="19"/>
                <w:u w:val="single"/>
              </w:rPr>
              <w:t>the</w:t>
            </w:r>
            <w:r>
              <w:rPr>
                <w:rFonts w:ascii="Times New Roman"/>
                <w:b/>
                <w:spacing w:val="11"/>
                <w:sz w:val="19"/>
                <w:u w:val="single"/>
              </w:rPr>
              <w:t xml:space="preserve"> </w:t>
            </w:r>
            <w:r>
              <w:rPr>
                <w:rFonts w:ascii="Times New Roman"/>
                <w:b/>
                <w:sz w:val="19"/>
                <w:u w:val="single"/>
              </w:rPr>
              <w:t>cold</w:t>
            </w:r>
            <w:r>
              <w:rPr>
                <w:rFonts w:ascii="Times New Roman"/>
                <w:b/>
                <w:spacing w:val="8"/>
                <w:sz w:val="19"/>
                <w:u w:val="single"/>
              </w:rPr>
              <w:t xml:space="preserve"> </w:t>
            </w:r>
            <w:r>
              <w:rPr>
                <w:rFonts w:ascii="Times New Roman"/>
                <w:b/>
                <w:spacing w:val="-4"/>
                <w:sz w:val="19"/>
                <w:u w:val="single"/>
              </w:rPr>
              <w:t>room</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7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88"/>
              <w:ind w:left="35"/>
              <w:rPr>
                <w:rFonts w:ascii="Times New Roman" w:hAnsi="Times New Roman"/>
                <w:sz w:val="19"/>
              </w:rPr>
            </w:pPr>
            <w:r>
              <w:rPr>
                <w:rFonts w:ascii="Times New Roman" w:hAnsi="Times New Roman"/>
                <w:sz w:val="19"/>
              </w:rPr>
              <w:t>(</w:t>
            </w:r>
            <w:proofErr w:type="spellStart"/>
            <w:r>
              <w:rPr>
                <w:rFonts w:ascii="Times New Roman" w:hAnsi="Times New Roman"/>
                <w:sz w:val="19"/>
              </w:rPr>
              <w:t>i</w:t>
            </w:r>
            <w:proofErr w:type="spellEnd"/>
            <w:r>
              <w:rPr>
                <w:rFonts w:ascii="Times New Roman" w:hAnsi="Times New Roman"/>
                <w:sz w:val="19"/>
              </w:rPr>
              <w:t>)</w:t>
            </w:r>
            <w:r>
              <w:rPr>
                <w:rFonts w:ascii="Times New Roman" w:hAnsi="Times New Roman"/>
                <w:spacing w:val="64"/>
                <w:sz w:val="19"/>
              </w:rPr>
              <w:t xml:space="preserve"> </w:t>
            </w:r>
            <w:r>
              <w:rPr>
                <w:rFonts w:ascii="Times New Roman" w:hAnsi="Times New Roman"/>
                <w:sz w:val="19"/>
              </w:rPr>
              <w:t>Ambient</w:t>
            </w:r>
            <w:r>
              <w:rPr>
                <w:rFonts w:ascii="Times New Roman" w:hAnsi="Times New Roman"/>
                <w:spacing w:val="11"/>
                <w:sz w:val="19"/>
              </w:rPr>
              <w:t xml:space="preserve"> </w:t>
            </w:r>
            <w:r>
              <w:rPr>
                <w:rFonts w:ascii="Times New Roman" w:hAnsi="Times New Roman"/>
                <w:sz w:val="19"/>
              </w:rPr>
              <w:t>temperature</w:t>
            </w:r>
            <w:r>
              <w:rPr>
                <w:rFonts w:ascii="Times New Roman" w:hAnsi="Times New Roman"/>
                <w:spacing w:val="8"/>
                <w:sz w:val="19"/>
              </w:rPr>
              <w:t xml:space="preserve"> </w:t>
            </w:r>
            <w:r>
              <w:rPr>
                <w:rFonts w:ascii="Times New Roman" w:hAnsi="Times New Roman"/>
                <w:sz w:val="19"/>
              </w:rPr>
              <w:t>=</w:t>
            </w:r>
            <w:r>
              <w:rPr>
                <w:rFonts w:ascii="Times New Roman" w:hAnsi="Times New Roman"/>
                <w:spacing w:val="11"/>
                <w:sz w:val="19"/>
              </w:rPr>
              <w:t xml:space="preserve"> </w:t>
            </w:r>
            <w:r>
              <w:rPr>
                <w:rFonts w:ascii="Times New Roman" w:hAnsi="Times New Roman"/>
                <w:spacing w:val="-4"/>
                <w:sz w:val="19"/>
              </w:rPr>
              <w:t>35°C</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5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8"/>
              <w:ind w:left="36"/>
              <w:rPr>
                <w:rFonts w:ascii="Times New Roman" w:hAnsi="Times New Roman"/>
                <w:sz w:val="19"/>
              </w:rPr>
            </w:pPr>
            <w:r>
              <w:rPr>
                <w:rFonts w:ascii="Times New Roman" w:hAnsi="Times New Roman"/>
                <w:sz w:val="19"/>
              </w:rPr>
              <w:t>(ii)</w:t>
            </w:r>
            <w:r>
              <w:rPr>
                <w:rFonts w:ascii="Times New Roman" w:hAnsi="Times New Roman"/>
                <w:spacing w:val="3"/>
                <w:sz w:val="19"/>
              </w:rPr>
              <w:t xml:space="preserve"> </w:t>
            </w:r>
            <w:r>
              <w:rPr>
                <w:rFonts w:ascii="Times New Roman" w:hAnsi="Times New Roman"/>
                <w:sz w:val="19"/>
              </w:rPr>
              <w:t>Cooling</w:t>
            </w:r>
            <w:r>
              <w:rPr>
                <w:rFonts w:ascii="Times New Roman" w:hAnsi="Times New Roman"/>
                <w:spacing w:val="3"/>
                <w:sz w:val="19"/>
              </w:rPr>
              <w:t xml:space="preserve"> </w:t>
            </w:r>
            <w:r>
              <w:rPr>
                <w:rFonts w:ascii="Times New Roman" w:hAnsi="Times New Roman"/>
                <w:sz w:val="19"/>
              </w:rPr>
              <w:t>load</w:t>
            </w:r>
            <w:r>
              <w:rPr>
                <w:rFonts w:ascii="Times New Roman" w:hAnsi="Times New Roman"/>
                <w:spacing w:val="57"/>
                <w:sz w:val="19"/>
              </w:rPr>
              <w:t xml:space="preserve">  </w:t>
            </w:r>
            <w:r>
              <w:rPr>
                <w:rFonts w:ascii="Times New Roman" w:hAnsi="Times New Roman"/>
                <w:sz w:val="19"/>
              </w:rPr>
              <w:t>=</w:t>
            </w:r>
            <w:r>
              <w:rPr>
                <w:rFonts w:ascii="Times New Roman" w:hAnsi="Times New Roman"/>
                <w:spacing w:val="8"/>
                <w:sz w:val="19"/>
              </w:rPr>
              <w:t xml:space="preserve"> </w:t>
            </w:r>
            <w:r>
              <w:rPr>
                <w:rFonts w:ascii="Times New Roman" w:hAnsi="Times New Roman"/>
                <w:sz w:val="19"/>
              </w:rPr>
              <w:t>10.5</w:t>
            </w:r>
            <w:r>
              <w:rPr>
                <w:rFonts w:ascii="Times New Roman" w:hAnsi="Times New Roman"/>
                <w:spacing w:val="5"/>
                <w:sz w:val="19"/>
              </w:rPr>
              <w:t xml:space="preserve"> </w:t>
            </w:r>
            <w:r>
              <w:rPr>
                <w:rFonts w:ascii="Times New Roman" w:hAnsi="Times New Roman"/>
                <w:sz w:val="19"/>
              </w:rPr>
              <w:t>kw</w:t>
            </w:r>
            <w:r>
              <w:rPr>
                <w:rFonts w:ascii="Times New Roman" w:hAnsi="Times New Roman"/>
                <w:spacing w:val="4"/>
                <w:sz w:val="19"/>
              </w:rPr>
              <w:t xml:space="preserve"> </w:t>
            </w:r>
            <w:r>
              <w:rPr>
                <w:rFonts w:ascii="Times New Roman" w:hAnsi="Times New Roman"/>
                <w:sz w:val="19"/>
              </w:rPr>
              <w:t>@</w:t>
            </w:r>
            <w:r>
              <w:rPr>
                <w:rFonts w:ascii="Times New Roman" w:hAnsi="Times New Roman"/>
                <w:spacing w:val="7"/>
                <w:sz w:val="19"/>
              </w:rPr>
              <w:t xml:space="preserve"> </w:t>
            </w:r>
            <w:r>
              <w:rPr>
                <w:rFonts w:ascii="Times New Roman" w:hAnsi="Times New Roman"/>
                <w:sz w:val="19"/>
              </w:rPr>
              <w:t xml:space="preserve">- </w:t>
            </w:r>
            <w:r>
              <w:rPr>
                <w:rFonts w:ascii="Times New Roman" w:hAnsi="Times New Roman"/>
                <w:spacing w:val="-4"/>
                <w:sz w:val="19"/>
              </w:rPr>
              <w:t>20°C</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4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2"/>
              <w:ind w:left="35"/>
              <w:rPr>
                <w:rFonts w:ascii="Times New Roman"/>
                <w:sz w:val="19"/>
              </w:rPr>
            </w:pPr>
            <w:r>
              <w:rPr>
                <w:rFonts w:ascii="Times New Roman"/>
                <w:sz w:val="19"/>
              </w:rPr>
              <w:t>(iii)</w:t>
            </w:r>
            <w:r>
              <w:rPr>
                <w:rFonts w:ascii="Times New Roman"/>
                <w:spacing w:val="7"/>
                <w:sz w:val="19"/>
              </w:rPr>
              <w:t xml:space="preserve"> </w:t>
            </w:r>
            <w:r>
              <w:rPr>
                <w:rFonts w:ascii="Times New Roman"/>
                <w:sz w:val="19"/>
              </w:rPr>
              <w:t>Refrigerant</w:t>
            </w:r>
            <w:r>
              <w:rPr>
                <w:rFonts w:ascii="Times New Roman"/>
                <w:spacing w:val="32"/>
                <w:sz w:val="19"/>
              </w:rPr>
              <w:t xml:space="preserve">  </w:t>
            </w:r>
            <w:r>
              <w:rPr>
                <w:rFonts w:ascii="Times New Roman"/>
                <w:sz w:val="19"/>
              </w:rPr>
              <w:t>=</w:t>
            </w:r>
            <w:r>
              <w:rPr>
                <w:rFonts w:ascii="Times New Roman"/>
                <w:spacing w:val="9"/>
                <w:sz w:val="19"/>
              </w:rPr>
              <w:t xml:space="preserve"> </w:t>
            </w:r>
            <w:r>
              <w:rPr>
                <w:rFonts w:ascii="Times New Roman"/>
                <w:sz w:val="19"/>
              </w:rPr>
              <w:t>410</w:t>
            </w:r>
            <w:r>
              <w:rPr>
                <w:rFonts w:ascii="Times New Roman"/>
                <w:spacing w:val="7"/>
                <w:sz w:val="19"/>
              </w:rPr>
              <w:t xml:space="preserve"> </w:t>
            </w:r>
            <w:r>
              <w:rPr>
                <w:rFonts w:ascii="Times New Roman"/>
                <w:spacing w:val="-10"/>
                <w:sz w:val="19"/>
              </w:rPr>
              <w:t>A</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4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6"/>
              <w:ind w:left="35"/>
              <w:rPr>
                <w:rFonts w:ascii="Times New Roman" w:hAnsi="Times New Roman"/>
                <w:sz w:val="19"/>
              </w:rPr>
            </w:pPr>
            <w:r>
              <w:rPr>
                <w:rFonts w:ascii="Times New Roman" w:hAnsi="Times New Roman"/>
                <w:sz w:val="19"/>
              </w:rPr>
              <w:t>(iv)</w:t>
            </w:r>
            <w:r>
              <w:rPr>
                <w:rFonts w:ascii="Times New Roman" w:hAnsi="Times New Roman"/>
                <w:spacing w:val="5"/>
                <w:sz w:val="19"/>
              </w:rPr>
              <w:t xml:space="preserve"> </w:t>
            </w:r>
            <w:r>
              <w:rPr>
                <w:rFonts w:ascii="Times New Roman" w:hAnsi="Times New Roman"/>
                <w:sz w:val="19"/>
              </w:rPr>
              <w:t>Storage</w:t>
            </w:r>
            <w:r>
              <w:rPr>
                <w:rFonts w:ascii="Times New Roman" w:hAnsi="Times New Roman"/>
                <w:spacing w:val="7"/>
                <w:sz w:val="19"/>
              </w:rPr>
              <w:t xml:space="preserve"> </w:t>
            </w:r>
            <w:r>
              <w:rPr>
                <w:rFonts w:ascii="Times New Roman" w:hAnsi="Times New Roman"/>
                <w:sz w:val="19"/>
              </w:rPr>
              <w:t>temperature</w:t>
            </w:r>
            <w:r>
              <w:rPr>
                <w:rFonts w:ascii="Times New Roman" w:hAnsi="Times New Roman"/>
                <w:spacing w:val="61"/>
                <w:sz w:val="19"/>
              </w:rPr>
              <w:t xml:space="preserve"> </w:t>
            </w:r>
            <w:r>
              <w:rPr>
                <w:rFonts w:ascii="Times New Roman" w:hAnsi="Times New Roman"/>
                <w:sz w:val="19"/>
              </w:rPr>
              <w:t>=</w:t>
            </w:r>
            <w:r>
              <w:rPr>
                <w:rFonts w:ascii="Times New Roman" w:hAnsi="Times New Roman"/>
                <w:spacing w:val="60"/>
                <w:sz w:val="19"/>
              </w:rPr>
              <w:t xml:space="preserve"> </w:t>
            </w:r>
            <w:r>
              <w:rPr>
                <w:rFonts w:ascii="Times New Roman" w:hAnsi="Times New Roman"/>
                <w:sz w:val="19"/>
              </w:rPr>
              <w:t>-</w:t>
            </w:r>
            <w:r>
              <w:rPr>
                <w:rFonts w:ascii="Times New Roman" w:hAnsi="Times New Roman"/>
                <w:spacing w:val="4"/>
                <w:sz w:val="19"/>
              </w:rPr>
              <w:t xml:space="preserve"> </w:t>
            </w:r>
            <w:r>
              <w:rPr>
                <w:rFonts w:ascii="Times New Roman" w:hAnsi="Times New Roman"/>
                <w:spacing w:val="-4"/>
                <w:sz w:val="19"/>
              </w:rPr>
              <w:t>20°C</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5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8"/>
              <w:ind w:left="35"/>
              <w:rPr>
                <w:rFonts w:ascii="Times New Roman"/>
                <w:sz w:val="19"/>
              </w:rPr>
            </w:pPr>
            <w:r>
              <w:rPr>
                <w:rFonts w:ascii="Times New Roman"/>
                <w:sz w:val="19"/>
              </w:rPr>
              <w:t>(v)</w:t>
            </w:r>
            <w:r>
              <w:rPr>
                <w:rFonts w:ascii="Times New Roman"/>
                <w:spacing w:val="7"/>
                <w:sz w:val="19"/>
              </w:rPr>
              <w:t xml:space="preserve"> </w:t>
            </w:r>
            <w:r>
              <w:rPr>
                <w:rFonts w:ascii="Times New Roman"/>
                <w:sz w:val="19"/>
              </w:rPr>
              <w:t>Storage</w:t>
            </w:r>
            <w:r>
              <w:rPr>
                <w:rFonts w:ascii="Times New Roman"/>
                <w:spacing w:val="7"/>
                <w:sz w:val="19"/>
              </w:rPr>
              <w:t xml:space="preserve"> </w:t>
            </w:r>
            <w:r>
              <w:rPr>
                <w:rFonts w:ascii="Times New Roman"/>
                <w:sz w:val="19"/>
              </w:rPr>
              <w:t>humidity</w:t>
            </w:r>
            <w:r>
              <w:rPr>
                <w:rFonts w:ascii="Times New Roman"/>
                <w:spacing w:val="1"/>
                <w:sz w:val="19"/>
              </w:rPr>
              <w:t xml:space="preserve"> </w:t>
            </w:r>
            <w:r>
              <w:rPr>
                <w:rFonts w:ascii="Times New Roman"/>
                <w:sz w:val="19"/>
              </w:rPr>
              <w:t>=</w:t>
            </w:r>
            <w:r>
              <w:rPr>
                <w:rFonts w:ascii="Times New Roman"/>
                <w:spacing w:val="62"/>
                <w:sz w:val="19"/>
              </w:rPr>
              <w:t xml:space="preserve"> </w:t>
            </w:r>
            <w:r>
              <w:rPr>
                <w:rFonts w:ascii="Times New Roman"/>
                <w:spacing w:val="-5"/>
                <w:sz w:val="19"/>
              </w:rPr>
              <w:t>95%</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2"/>
              <w:ind w:left="35"/>
              <w:rPr>
                <w:rFonts w:ascii="Times New Roman"/>
                <w:sz w:val="19"/>
              </w:rPr>
            </w:pPr>
            <w:r>
              <w:rPr>
                <w:rFonts w:ascii="Times New Roman"/>
                <w:sz w:val="19"/>
              </w:rPr>
              <w:t>The</w:t>
            </w:r>
            <w:r>
              <w:rPr>
                <w:rFonts w:ascii="Times New Roman"/>
                <w:spacing w:val="5"/>
                <w:sz w:val="19"/>
              </w:rPr>
              <w:t xml:space="preserve"> </w:t>
            </w:r>
            <w:r>
              <w:rPr>
                <w:rFonts w:ascii="Times New Roman"/>
                <w:sz w:val="19"/>
              </w:rPr>
              <w:t>size</w:t>
            </w:r>
            <w:r>
              <w:rPr>
                <w:rFonts w:ascii="Times New Roman"/>
                <w:spacing w:val="7"/>
                <w:sz w:val="19"/>
              </w:rPr>
              <w:t xml:space="preserve"> </w:t>
            </w:r>
            <w:r>
              <w:rPr>
                <w:rFonts w:ascii="Times New Roman"/>
                <w:sz w:val="19"/>
              </w:rPr>
              <w:t>of</w:t>
            </w:r>
            <w:r>
              <w:rPr>
                <w:rFonts w:ascii="Times New Roman"/>
                <w:spacing w:val="5"/>
                <w:sz w:val="19"/>
              </w:rPr>
              <w:t xml:space="preserve"> </w:t>
            </w:r>
            <w:r>
              <w:rPr>
                <w:rFonts w:ascii="Times New Roman"/>
                <w:sz w:val="19"/>
              </w:rPr>
              <w:t>the</w:t>
            </w:r>
            <w:r>
              <w:rPr>
                <w:rFonts w:ascii="Times New Roman"/>
                <w:spacing w:val="8"/>
                <w:sz w:val="19"/>
              </w:rPr>
              <w:t xml:space="preserve"> </w:t>
            </w:r>
            <w:r>
              <w:rPr>
                <w:rFonts w:ascii="Times New Roman"/>
                <w:sz w:val="19"/>
              </w:rPr>
              <w:t>cold</w:t>
            </w:r>
            <w:r>
              <w:rPr>
                <w:rFonts w:ascii="Times New Roman"/>
                <w:spacing w:val="7"/>
                <w:sz w:val="19"/>
              </w:rPr>
              <w:t xml:space="preserve"> </w:t>
            </w:r>
            <w:r>
              <w:rPr>
                <w:rFonts w:ascii="Times New Roman"/>
                <w:sz w:val="19"/>
              </w:rPr>
              <w:t>room</w:t>
            </w:r>
            <w:r>
              <w:rPr>
                <w:rFonts w:ascii="Times New Roman"/>
                <w:spacing w:val="6"/>
                <w:sz w:val="19"/>
              </w:rPr>
              <w:t xml:space="preserve"> </w:t>
            </w:r>
            <w:r>
              <w:rPr>
                <w:rFonts w:ascii="Times New Roman"/>
                <w:sz w:val="19"/>
              </w:rPr>
              <w:t>3.4</w:t>
            </w:r>
            <w:r>
              <w:rPr>
                <w:rFonts w:ascii="Times New Roman"/>
                <w:spacing w:val="9"/>
                <w:sz w:val="19"/>
              </w:rPr>
              <w:t xml:space="preserve"> </w:t>
            </w:r>
            <w:r>
              <w:rPr>
                <w:rFonts w:ascii="Times New Roman"/>
                <w:sz w:val="19"/>
              </w:rPr>
              <w:t>x</w:t>
            </w:r>
            <w:r>
              <w:rPr>
                <w:rFonts w:ascii="Times New Roman"/>
                <w:spacing w:val="5"/>
                <w:sz w:val="19"/>
              </w:rPr>
              <w:t xml:space="preserve"> </w:t>
            </w:r>
            <w:r>
              <w:rPr>
                <w:rFonts w:ascii="Times New Roman"/>
                <w:sz w:val="19"/>
              </w:rPr>
              <w:t>3.4.8</w:t>
            </w:r>
            <w:r>
              <w:rPr>
                <w:rFonts w:ascii="Times New Roman"/>
                <w:spacing w:val="9"/>
                <w:sz w:val="19"/>
              </w:rPr>
              <w:t xml:space="preserve"> </w:t>
            </w:r>
            <w:r>
              <w:rPr>
                <w:rFonts w:ascii="Times New Roman"/>
                <w:sz w:val="19"/>
              </w:rPr>
              <w:t>x</w:t>
            </w:r>
            <w:r>
              <w:rPr>
                <w:rFonts w:ascii="Times New Roman"/>
                <w:spacing w:val="4"/>
                <w:sz w:val="19"/>
              </w:rPr>
              <w:t xml:space="preserve"> </w:t>
            </w:r>
            <w:r>
              <w:rPr>
                <w:rFonts w:ascii="Times New Roman"/>
                <w:sz w:val="19"/>
              </w:rPr>
              <w:t>3.5</w:t>
            </w:r>
            <w:r>
              <w:rPr>
                <w:rFonts w:ascii="Times New Roman"/>
                <w:spacing w:val="7"/>
                <w:sz w:val="19"/>
              </w:rPr>
              <w:t xml:space="preserve"> </w:t>
            </w:r>
            <w:proofErr w:type="spellStart"/>
            <w:r>
              <w:rPr>
                <w:rFonts w:ascii="Times New Roman"/>
                <w:spacing w:val="-4"/>
                <w:sz w:val="19"/>
              </w:rPr>
              <w:t>mtrs</w:t>
            </w:r>
            <w:proofErr w:type="spellEnd"/>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9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0"/>
              <w:ind w:left="35"/>
              <w:rPr>
                <w:rFonts w:ascii="Times New Roman"/>
                <w:b/>
                <w:sz w:val="19"/>
              </w:rPr>
            </w:pPr>
            <w:r>
              <w:rPr>
                <w:rFonts w:ascii="Times New Roman"/>
                <w:b/>
                <w:sz w:val="19"/>
              </w:rPr>
              <w:t>COLD</w:t>
            </w:r>
            <w:r>
              <w:rPr>
                <w:rFonts w:ascii="Times New Roman"/>
                <w:b/>
                <w:spacing w:val="8"/>
                <w:sz w:val="19"/>
              </w:rPr>
              <w:t xml:space="preserve"> </w:t>
            </w:r>
            <w:r>
              <w:rPr>
                <w:rFonts w:ascii="Times New Roman"/>
                <w:b/>
                <w:sz w:val="19"/>
              </w:rPr>
              <w:t>ROOM</w:t>
            </w:r>
            <w:r>
              <w:rPr>
                <w:rFonts w:ascii="Times New Roman"/>
                <w:b/>
                <w:spacing w:val="14"/>
                <w:sz w:val="19"/>
              </w:rPr>
              <w:t xml:space="preserve"> </w:t>
            </w:r>
            <w:r>
              <w:rPr>
                <w:rFonts w:ascii="Times New Roman"/>
                <w:b/>
                <w:spacing w:val="-2"/>
                <w:sz w:val="19"/>
              </w:rPr>
              <w:t>INSTALLATION</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1064"/>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0"/>
              <w:ind w:left="35"/>
              <w:rPr>
                <w:rFonts w:ascii="Times New Roman"/>
                <w:b/>
                <w:sz w:val="19"/>
              </w:rPr>
            </w:pPr>
            <w:r>
              <w:rPr>
                <w:rFonts w:ascii="Times New Roman"/>
                <w:b/>
                <w:sz w:val="19"/>
              </w:rPr>
              <w:t>Semi-hermetic</w:t>
            </w:r>
            <w:r>
              <w:rPr>
                <w:rFonts w:ascii="Times New Roman"/>
                <w:b/>
                <w:spacing w:val="20"/>
                <w:sz w:val="19"/>
              </w:rPr>
              <w:t xml:space="preserve"> </w:t>
            </w:r>
            <w:r>
              <w:rPr>
                <w:rFonts w:ascii="Times New Roman"/>
                <w:b/>
                <w:sz w:val="19"/>
              </w:rPr>
              <w:t>Condensing</w:t>
            </w:r>
            <w:r>
              <w:rPr>
                <w:rFonts w:ascii="Times New Roman"/>
                <w:b/>
                <w:spacing w:val="25"/>
                <w:sz w:val="19"/>
              </w:rPr>
              <w:t xml:space="preserve"> </w:t>
            </w:r>
            <w:r>
              <w:rPr>
                <w:rFonts w:ascii="Times New Roman"/>
                <w:b/>
                <w:spacing w:val="-4"/>
                <w:sz w:val="19"/>
              </w:rPr>
              <w:t>Unit</w:t>
            </w:r>
          </w:p>
          <w:p w:rsidR="007F6DF9" w:rsidRDefault="00A43FBC">
            <w:pPr>
              <w:pStyle w:val="TableParagraph"/>
              <w:spacing w:before="40" w:line="271" w:lineRule="auto"/>
              <w:ind w:left="35" w:right="91"/>
              <w:rPr>
                <w:rFonts w:ascii="Times New Roman" w:hAnsi="Times New Roman"/>
                <w:sz w:val="19"/>
              </w:rPr>
            </w:pPr>
            <w:proofErr w:type="spellStart"/>
            <w:r>
              <w:rPr>
                <w:rFonts w:ascii="Times New Roman" w:hAnsi="Times New Roman"/>
                <w:sz w:val="19"/>
              </w:rPr>
              <w:t>i</w:t>
            </w:r>
            <w:proofErr w:type="spellEnd"/>
            <w:r>
              <w:rPr>
                <w:rFonts w:ascii="Times New Roman" w:hAnsi="Times New Roman"/>
                <w:sz w:val="19"/>
              </w:rPr>
              <w:t>)</w:t>
            </w:r>
            <w:r>
              <w:rPr>
                <w:rFonts w:ascii="Times New Roman" w:hAnsi="Times New Roman"/>
                <w:spacing w:val="40"/>
                <w:sz w:val="19"/>
              </w:rPr>
              <w:t xml:space="preserve"> </w:t>
            </w:r>
            <w:r>
              <w:rPr>
                <w:rFonts w:ascii="Times New Roman" w:hAnsi="Times New Roman"/>
                <w:sz w:val="19"/>
              </w:rPr>
              <w:t>Condensing unit a semi – hermetic</w:t>
            </w:r>
            <w:r>
              <w:rPr>
                <w:rFonts w:ascii="Times New Roman" w:hAnsi="Times New Roman"/>
                <w:spacing w:val="40"/>
                <w:sz w:val="19"/>
              </w:rPr>
              <w:t xml:space="preserve"> </w:t>
            </w:r>
            <w:r>
              <w:rPr>
                <w:rFonts w:ascii="Times New Roman" w:hAnsi="Times New Roman"/>
                <w:sz w:val="19"/>
              </w:rPr>
              <w:t xml:space="preserve">compressor, three phase, 415 volts, 50 Hz, 5 Kw power </w:t>
            </w:r>
            <w:proofErr w:type="spellStart"/>
            <w:r>
              <w:rPr>
                <w:rFonts w:ascii="Times New Roman" w:hAnsi="Times New Roman"/>
                <w:sz w:val="19"/>
              </w:rPr>
              <w:t>input.To</w:t>
            </w:r>
            <w:proofErr w:type="spellEnd"/>
            <w:r>
              <w:rPr>
                <w:rFonts w:ascii="Times New Roman" w:hAnsi="Times New Roman"/>
                <w:sz w:val="19"/>
              </w:rPr>
              <w:t xml:space="preserve"> be as </w:t>
            </w:r>
            <w:r>
              <w:rPr>
                <w:rFonts w:ascii="Times New Roman" w:hAnsi="Times New Roman"/>
                <w:b/>
                <w:sz w:val="19"/>
              </w:rPr>
              <w:t xml:space="preserve">BITZER </w:t>
            </w:r>
            <w:r>
              <w:rPr>
                <w:rFonts w:ascii="Times New Roman" w:hAnsi="Times New Roman"/>
                <w:sz w:val="19"/>
              </w:rPr>
              <w:t>or equal and</w:t>
            </w:r>
          </w:p>
        </w:tc>
        <w:tc>
          <w:tcPr>
            <w:tcW w:w="511" w:type="dxa"/>
            <w:tcBorders>
              <w:top w:val="nil"/>
              <w:bottom w:val="nil"/>
            </w:tcBorders>
          </w:tcPr>
          <w:p w:rsidR="007F6DF9" w:rsidRDefault="007F6DF9">
            <w:pPr>
              <w:pStyle w:val="TableParagraph"/>
              <w:rPr>
                <w:rFonts w:ascii="Calibri"/>
                <w:sz w:val="19"/>
              </w:rPr>
            </w:pPr>
          </w:p>
          <w:p w:rsidR="007F6DF9" w:rsidRDefault="007F6DF9">
            <w:pPr>
              <w:pStyle w:val="TableParagraph"/>
              <w:spacing w:before="100"/>
              <w:rPr>
                <w:rFonts w:ascii="Calibri"/>
                <w:sz w:val="19"/>
              </w:rPr>
            </w:pPr>
          </w:p>
          <w:p w:rsidR="007F6DF9" w:rsidRDefault="00A43FBC">
            <w:pPr>
              <w:pStyle w:val="TableParagraph"/>
              <w:spacing w:before="1"/>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7F6DF9">
            <w:pPr>
              <w:pStyle w:val="TableParagraph"/>
              <w:rPr>
                <w:rFonts w:ascii="Calibri"/>
                <w:sz w:val="19"/>
              </w:rPr>
            </w:pPr>
          </w:p>
          <w:p w:rsidR="007F6DF9" w:rsidRDefault="007F6DF9">
            <w:pPr>
              <w:pStyle w:val="TableParagraph"/>
              <w:spacing w:before="100"/>
              <w:rPr>
                <w:rFonts w:ascii="Calibri"/>
                <w:sz w:val="19"/>
              </w:rPr>
            </w:pPr>
          </w:p>
          <w:p w:rsidR="007F6DF9" w:rsidRDefault="00A43FBC">
            <w:pPr>
              <w:pStyle w:val="TableParagraph"/>
              <w:spacing w:before="1"/>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1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8"/>
              <w:ind w:left="35"/>
              <w:rPr>
                <w:rFonts w:ascii="Times New Roman"/>
                <w:b/>
                <w:sz w:val="19"/>
              </w:rPr>
            </w:pPr>
            <w:r>
              <w:rPr>
                <w:rFonts w:ascii="Times New Roman"/>
                <w:b/>
                <w:sz w:val="19"/>
              </w:rPr>
              <w:t>Evaporator</w:t>
            </w:r>
            <w:r>
              <w:rPr>
                <w:rFonts w:ascii="Times New Roman"/>
                <w:b/>
                <w:spacing w:val="23"/>
                <w:sz w:val="19"/>
              </w:rPr>
              <w:t xml:space="preserve"> </w:t>
            </w:r>
            <w:r>
              <w:rPr>
                <w:rFonts w:ascii="Times New Roman"/>
                <w:b/>
                <w:spacing w:val="-4"/>
                <w:sz w:val="19"/>
              </w:rPr>
              <w:t>Unit</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102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6" w:line="273" w:lineRule="auto"/>
              <w:ind w:left="35"/>
              <w:rPr>
                <w:rFonts w:ascii="Times New Roman" w:hAnsi="Times New Roman"/>
                <w:sz w:val="19"/>
              </w:rPr>
            </w:pPr>
            <w:r>
              <w:rPr>
                <w:rFonts w:ascii="Times New Roman" w:hAnsi="Times New Roman"/>
                <w:sz w:val="19"/>
              </w:rPr>
              <w:t>(</w:t>
            </w:r>
            <w:proofErr w:type="spellStart"/>
            <w:r>
              <w:rPr>
                <w:rFonts w:ascii="Times New Roman" w:hAnsi="Times New Roman"/>
                <w:sz w:val="19"/>
              </w:rPr>
              <w:t>i</w:t>
            </w:r>
            <w:proofErr w:type="spellEnd"/>
            <w:r>
              <w:rPr>
                <w:rFonts w:ascii="Times New Roman" w:hAnsi="Times New Roman"/>
                <w:sz w:val="19"/>
              </w:rPr>
              <w:t>)</w:t>
            </w:r>
            <w:r>
              <w:rPr>
                <w:rFonts w:ascii="Times New Roman" w:hAnsi="Times New Roman"/>
                <w:spacing w:val="40"/>
                <w:sz w:val="19"/>
              </w:rPr>
              <w:t xml:space="preserve"> </w:t>
            </w:r>
            <w:r>
              <w:rPr>
                <w:rFonts w:ascii="Times New Roman" w:hAnsi="Times New Roman"/>
                <w:sz w:val="19"/>
              </w:rPr>
              <w:t xml:space="preserve">Evaporator – a matching evaporator as </w:t>
            </w:r>
            <w:proofErr w:type="spellStart"/>
            <w:r>
              <w:rPr>
                <w:rFonts w:ascii="Times New Roman" w:hAnsi="Times New Roman"/>
                <w:b/>
                <w:sz w:val="19"/>
              </w:rPr>
              <w:t>Guntner</w:t>
            </w:r>
            <w:proofErr w:type="spellEnd"/>
            <w:r>
              <w:rPr>
                <w:rFonts w:ascii="Times New Roman" w:hAnsi="Times New Roman"/>
                <w:b/>
                <w:sz w:val="19"/>
              </w:rPr>
              <w:t xml:space="preserve"> </w:t>
            </w:r>
            <w:r>
              <w:rPr>
                <w:rFonts w:ascii="Times New Roman" w:hAnsi="Times New Roman"/>
                <w:sz w:val="19"/>
              </w:rPr>
              <w:t>model or equal and approved.</w:t>
            </w:r>
          </w:p>
          <w:p w:rsidR="007F6DF9" w:rsidRDefault="00A43FBC">
            <w:pPr>
              <w:pStyle w:val="TableParagraph"/>
              <w:spacing w:line="215" w:lineRule="exact"/>
              <w:ind w:left="35"/>
              <w:rPr>
                <w:rFonts w:ascii="Times New Roman"/>
                <w:sz w:val="19"/>
              </w:rPr>
            </w:pPr>
            <w:r>
              <w:rPr>
                <w:rFonts w:ascii="Times New Roman"/>
                <w:sz w:val="19"/>
              </w:rPr>
              <w:t>as</w:t>
            </w:r>
            <w:r>
              <w:rPr>
                <w:rFonts w:ascii="Times New Roman"/>
                <w:spacing w:val="11"/>
                <w:sz w:val="19"/>
              </w:rPr>
              <w:t xml:space="preserve"> </w:t>
            </w:r>
            <w:r>
              <w:rPr>
                <w:rFonts w:ascii="Times New Roman"/>
                <w:sz w:val="19"/>
              </w:rPr>
              <w:t>per</w:t>
            </w:r>
            <w:r>
              <w:rPr>
                <w:rFonts w:ascii="Times New Roman"/>
                <w:spacing w:val="11"/>
                <w:sz w:val="19"/>
              </w:rPr>
              <w:t xml:space="preserve"> </w:t>
            </w:r>
            <w:r>
              <w:rPr>
                <w:rFonts w:ascii="Times New Roman"/>
                <w:sz w:val="19"/>
              </w:rPr>
              <w:t>the</w:t>
            </w:r>
            <w:r>
              <w:rPr>
                <w:rFonts w:ascii="Times New Roman"/>
                <w:spacing w:val="11"/>
                <w:sz w:val="19"/>
              </w:rPr>
              <w:t xml:space="preserve"> </w:t>
            </w:r>
            <w:r>
              <w:rPr>
                <w:rFonts w:ascii="Times New Roman"/>
                <w:sz w:val="19"/>
              </w:rPr>
              <w:t>above</w:t>
            </w:r>
            <w:r>
              <w:rPr>
                <w:rFonts w:ascii="Times New Roman"/>
                <w:spacing w:val="11"/>
                <w:sz w:val="19"/>
              </w:rPr>
              <w:t xml:space="preserve"> </w:t>
            </w:r>
            <w:r>
              <w:rPr>
                <w:rFonts w:ascii="Times New Roman"/>
                <w:sz w:val="19"/>
              </w:rPr>
              <w:t>condensing</w:t>
            </w:r>
            <w:r>
              <w:rPr>
                <w:rFonts w:ascii="Times New Roman"/>
                <w:spacing w:val="9"/>
                <w:sz w:val="19"/>
              </w:rPr>
              <w:t xml:space="preserve"> </w:t>
            </w:r>
            <w:r>
              <w:rPr>
                <w:rFonts w:ascii="Times New Roman"/>
                <w:sz w:val="19"/>
              </w:rPr>
              <w:t>unit</w:t>
            </w:r>
            <w:r>
              <w:rPr>
                <w:rFonts w:ascii="Times New Roman"/>
                <w:spacing w:val="11"/>
                <w:sz w:val="19"/>
              </w:rPr>
              <w:t xml:space="preserve"> </w:t>
            </w:r>
            <w:r>
              <w:rPr>
                <w:rFonts w:ascii="Times New Roman"/>
                <w:sz w:val="19"/>
              </w:rPr>
              <w:t>complete</w:t>
            </w:r>
            <w:r>
              <w:rPr>
                <w:rFonts w:ascii="Times New Roman"/>
                <w:spacing w:val="12"/>
                <w:sz w:val="19"/>
              </w:rPr>
              <w:t xml:space="preserve"> </w:t>
            </w:r>
            <w:r>
              <w:rPr>
                <w:rFonts w:ascii="Times New Roman"/>
                <w:spacing w:val="-4"/>
                <w:sz w:val="19"/>
              </w:rPr>
              <w:t>with</w:t>
            </w:r>
          </w:p>
          <w:p w:rsidR="007F6DF9" w:rsidRDefault="00A43FBC">
            <w:pPr>
              <w:pStyle w:val="TableParagraph"/>
              <w:spacing w:before="26"/>
              <w:ind w:left="35"/>
              <w:rPr>
                <w:rFonts w:ascii="Times New Roman"/>
                <w:sz w:val="19"/>
              </w:rPr>
            </w:pPr>
            <w:proofErr w:type="spellStart"/>
            <w:r>
              <w:rPr>
                <w:rFonts w:ascii="Times New Roman"/>
                <w:sz w:val="19"/>
              </w:rPr>
              <w:t>defross</w:t>
            </w:r>
            <w:proofErr w:type="spellEnd"/>
            <w:r>
              <w:rPr>
                <w:rFonts w:ascii="Times New Roman"/>
                <w:spacing w:val="14"/>
                <w:sz w:val="19"/>
              </w:rPr>
              <w:t xml:space="preserve"> </w:t>
            </w:r>
            <w:r>
              <w:rPr>
                <w:rFonts w:ascii="Times New Roman"/>
                <w:spacing w:val="-2"/>
                <w:sz w:val="19"/>
              </w:rPr>
              <w:t>heaters.</w:t>
            </w:r>
          </w:p>
        </w:tc>
        <w:tc>
          <w:tcPr>
            <w:tcW w:w="511" w:type="dxa"/>
            <w:tcBorders>
              <w:top w:val="nil"/>
              <w:bottom w:val="nil"/>
            </w:tcBorders>
          </w:tcPr>
          <w:p w:rsidR="007F6DF9" w:rsidRDefault="007F6DF9">
            <w:pPr>
              <w:pStyle w:val="TableParagraph"/>
              <w:spacing w:before="194"/>
              <w:rPr>
                <w:rFonts w:ascii="Calibri"/>
                <w:sz w:val="19"/>
              </w:rPr>
            </w:pPr>
          </w:p>
          <w:p w:rsidR="007F6DF9" w:rsidRDefault="00A43FBC">
            <w:pPr>
              <w:pStyle w:val="TableParagraph"/>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7F6DF9">
            <w:pPr>
              <w:pStyle w:val="TableParagraph"/>
              <w:spacing w:before="194"/>
              <w:rPr>
                <w:rFonts w:ascii="Calibri"/>
                <w:sz w:val="19"/>
              </w:rPr>
            </w:pPr>
          </w:p>
          <w:p w:rsidR="007F6DF9" w:rsidRDefault="00A43FBC">
            <w:pPr>
              <w:pStyle w:val="TableParagraph"/>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7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8"/>
              <w:ind w:left="35"/>
              <w:rPr>
                <w:rFonts w:ascii="Times New Roman"/>
                <w:b/>
                <w:sz w:val="19"/>
              </w:rPr>
            </w:pPr>
            <w:proofErr w:type="spellStart"/>
            <w:r>
              <w:rPr>
                <w:rFonts w:ascii="Times New Roman"/>
                <w:b/>
                <w:sz w:val="19"/>
              </w:rPr>
              <w:t>Coldroom</w:t>
            </w:r>
            <w:proofErr w:type="spellEnd"/>
            <w:r>
              <w:rPr>
                <w:rFonts w:ascii="Times New Roman"/>
                <w:b/>
                <w:spacing w:val="17"/>
                <w:sz w:val="19"/>
              </w:rPr>
              <w:t xml:space="preserve"> </w:t>
            </w:r>
            <w:r>
              <w:rPr>
                <w:rFonts w:ascii="Times New Roman"/>
                <w:b/>
                <w:spacing w:val="-2"/>
                <w:sz w:val="19"/>
              </w:rPr>
              <w:t>Finishes.</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5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5"/>
              <w:ind w:left="35"/>
              <w:rPr>
                <w:rFonts w:ascii="Times New Roman"/>
                <w:b/>
                <w:sz w:val="19"/>
              </w:rPr>
            </w:pPr>
            <w:r>
              <w:rPr>
                <w:rFonts w:ascii="Times New Roman"/>
                <w:b/>
                <w:sz w:val="19"/>
              </w:rPr>
              <w:t>THERMAL</w:t>
            </w:r>
            <w:r>
              <w:rPr>
                <w:rFonts w:ascii="Times New Roman"/>
                <w:b/>
                <w:spacing w:val="20"/>
                <w:sz w:val="19"/>
              </w:rPr>
              <w:t xml:space="preserve"> </w:t>
            </w:r>
            <w:r>
              <w:rPr>
                <w:rFonts w:ascii="Times New Roman"/>
                <w:b/>
                <w:spacing w:val="-2"/>
                <w:sz w:val="19"/>
              </w:rPr>
              <w:t>INSULATION</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6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1"/>
              <w:ind w:left="35"/>
              <w:rPr>
                <w:rFonts w:ascii="Times New Roman"/>
                <w:b/>
                <w:sz w:val="19"/>
              </w:rPr>
            </w:pPr>
            <w:r>
              <w:rPr>
                <w:rFonts w:ascii="Times New Roman"/>
                <w:b/>
                <w:sz w:val="19"/>
              </w:rPr>
              <w:t>Wall</w:t>
            </w:r>
            <w:r>
              <w:rPr>
                <w:rFonts w:ascii="Times New Roman"/>
                <w:b/>
                <w:spacing w:val="8"/>
                <w:sz w:val="19"/>
              </w:rPr>
              <w:t xml:space="preserve"> </w:t>
            </w:r>
            <w:r>
              <w:rPr>
                <w:rFonts w:ascii="Times New Roman"/>
                <w:b/>
                <w:sz w:val="19"/>
              </w:rPr>
              <w:t>and</w:t>
            </w:r>
            <w:r>
              <w:rPr>
                <w:rFonts w:ascii="Times New Roman"/>
                <w:b/>
                <w:spacing w:val="9"/>
                <w:sz w:val="19"/>
              </w:rPr>
              <w:t xml:space="preserve"> </w:t>
            </w:r>
            <w:r>
              <w:rPr>
                <w:rFonts w:ascii="Times New Roman"/>
                <w:b/>
                <w:sz w:val="19"/>
              </w:rPr>
              <w:t>roof</w:t>
            </w:r>
            <w:r>
              <w:rPr>
                <w:rFonts w:ascii="Times New Roman"/>
                <w:b/>
                <w:spacing w:val="9"/>
                <w:sz w:val="19"/>
              </w:rPr>
              <w:t xml:space="preserve"> </w:t>
            </w:r>
            <w:r>
              <w:rPr>
                <w:rFonts w:ascii="Times New Roman"/>
                <w:b/>
                <w:spacing w:val="-2"/>
                <w:sz w:val="19"/>
              </w:rPr>
              <w:t>Insulation</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1825"/>
        </w:trPr>
        <w:tc>
          <w:tcPr>
            <w:tcW w:w="511" w:type="dxa"/>
            <w:vMerge/>
            <w:tcBorders>
              <w:top w:val="nil"/>
            </w:tcBorders>
          </w:tcPr>
          <w:p w:rsidR="007F6DF9" w:rsidRDefault="007F6DF9">
            <w:pPr>
              <w:rPr>
                <w:sz w:val="2"/>
                <w:szCs w:val="2"/>
              </w:rPr>
            </w:pPr>
          </w:p>
        </w:tc>
        <w:tc>
          <w:tcPr>
            <w:tcW w:w="3888" w:type="dxa"/>
            <w:tcBorders>
              <w:top w:val="nil"/>
            </w:tcBorders>
          </w:tcPr>
          <w:p w:rsidR="007F6DF9" w:rsidRDefault="00A43FBC">
            <w:pPr>
              <w:pStyle w:val="TableParagraph"/>
              <w:spacing w:before="18" w:line="266" w:lineRule="auto"/>
              <w:ind w:left="35" w:right="211" w:hanging="1"/>
              <w:rPr>
                <w:rFonts w:ascii="Times New Roman"/>
                <w:b/>
                <w:sz w:val="19"/>
              </w:rPr>
            </w:pPr>
            <w:r>
              <w:rPr>
                <w:rFonts w:ascii="Times New Roman"/>
                <w:sz w:val="19"/>
              </w:rPr>
              <w:t>Interlocking Wall panels 150mm thick fire Rated HF (hidden fastener) insulated panels factory-assembled with a fire resistant mineral fiber core bonded</w:t>
            </w:r>
            <w:r>
              <w:rPr>
                <w:rFonts w:ascii="Times New Roman"/>
                <w:spacing w:val="40"/>
                <w:sz w:val="19"/>
              </w:rPr>
              <w:t xml:space="preserve"> </w:t>
            </w:r>
            <w:r>
              <w:rPr>
                <w:rFonts w:ascii="Times New Roman"/>
                <w:sz w:val="19"/>
              </w:rPr>
              <w:t xml:space="preserve">CFC free Polyurethane, </w:t>
            </w:r>
            <w:r>
              <w:rPr>
                <w:rFonts w:ascii="Times New Roman"/>
                <w:b/>
                <w:sz w:val="19"/>
              </w:rPr>
              <w:t>Floor Insulation</w:t>
            </w:r>
          </w:p>
          <w:p w:rsidR="007F6DF9" w:rsidRDefault="00A43FBC">
            <w:pPr>
              <w:pStyle w:val="TableParagraph"/>
              <w:spacing w:line="182" w:lineRule="exact"/>
              <w:ind w:left="35"/>
              <w:rPr>
                <w:rFonts w:ascii="Times New Roman"/>
                <w:sz w:val="19"/>
              </w:rPr>
            </w:pPr>
            <w:r>
              <w:rPr>
                <w:rFonts w:ascii="Times New Roman"/>
                <w:sz w:val="19"/>
              </w:rPr>
              <w:t>Two</w:t>
            </w:r>
            <w:r>
              <w:rPr>
                <w:rFonts w:ascii="Times New Roman"/>
                <w:spacing w:val="9"/>
                <w:sz w:val="19"/>
              </w:rPr>
              <w:t xml:space="preserve"> </w:t>
            </w:r>
            <w:r>
              <w:rPr>
                <w:rFonts w:ascii="Times New Roman"/>
                <w:sz w:val="19"/>
              </w:rPr>
              <w:t>layers</w:t>
            </w:r>
            <w:r>
              <w:rPr>
                <w:rFonts w:ascii="Times New Roman"/>
                <w:spacing w:val="8"/>
                <w:sz w:val="19"/>
              </w:rPr>
              <w:t xml:space="preserve"> </w:t>
            </w:r>
            <w:r>
              <w:rPr>
                <w:rFonts w:ascii="Times New Roman"/>
                <w:sz w:val="19"/>
              </w:rPr>
              <w:t>of</w:t>
            </w:r>
            <w:r>
              <w:rPr>
                <w:rFonts w:ascii="Times New Roman"/>
                <w:spacing w:val="5"/>
                <w:sz w:val="19"/>
              </w:rPr>
              <w:t xml:space="preserve"> </w:t>
            </w:r>
            <w:r>
              <w:rPr>
                <w:rFonts w:ascii="Times New Roman"/>
                <w:sz w:val="19"/>
              </w:rPr>
              <w:t>75mm</w:t>
            </w:r>
            <w:r>
              <w:rPr>
                <w:rFonts w:ascii="Times New Roman"/>
                <w:spacing w:val="8"/>
                <w:sz w:val="19"/>
              </w:rPr>
              <w:t xml:space="preserve"> </w:t>
            </w:r>
            <w:r>
              <w:rPr>
                <w:rFonts w:ascii="Times New Roman"/>
                <w:sz w:val="19"/>
              </w:rPr>
              <w:t>polystyrene</w:t>
            </w:r>
            <w:r>
              <w:rPr>
                <w:rFonts w:ascii="Times New Roman"/>
                <w:spacing w:val="8"/>
                <w:sz w:val="19"/>
              </w:rPr>
              <w:t xml:space="preserve"> </w:t>
            </w:r>
            <w:r>
              <w:rPr>
                <w:rFonts w:ascii="Times New Roman"/>
                <w:spacing w:val="-4"/>
                <w:sz w:val="19"/>
              </w:rPr>
              <w:t>floor</w:t>
            </w:r>
          </w:p>
          <w:p w:rsidR="007F6DF9" w:rsidRDefault="00A43FBC">
            <w:pPr>
              <w:pStyle w:val="TableParagraph"/>
              <w:spacing w:before="27" w:line="187" w:lineRule="exact"/>
              <w:ind w:left="35"/>
              <w:rPr>
                <w:rFonts w:ascii="Times New Roman"/>
                <w:sz w:val="19"/>
              </w:rPr>
            </w:pPr>
            <w:r>
              <w:rPr>
                <w:rFonts w:ascii="Times New Roman"/>
                <w:spacing w:val="-2"/>
                <w:sz w:val="19"/>
              </w:rPr>
              <w:t>insulation</w:t>
            </w:r>
          </w:p>
          <w:p w:rsidR="007F6DF9" w:rsidRDefault="00A43FBC">
            <w:pPr>
              <w:pStyle w:val="TableParagraph"/>
              <w:spacing w:line="179" w:lineRule="exact"/>
              <w:ind w:left="84"/>
              <w:rPr>
                <w:rFonts w:ascii="Times New Roman"/>
                <w:sz w:val="19"/>
              </w:rPr>
            </w:pPr>
            <w:r>
              <w:rPr>
                <w:rFonts w:ascii="Times New Roman"/>
                <w:sz w:val="19"/>
              </w:rPr>
              <w:t>Floor</w:t>
            </w:r>
            <w:r>
              <w:rPr>
                <w:rFonts w:ascii="Times New Roman"/>
                <w:spacing w:val="11"/>
                <w:sz w:val="19"/>
              </w:rPr>
              <w:t xml:space="preserve"> </w:t>
            </w:r>
            <w:proofErr w:type="spellStart"/>
            <w:r>
              <w:rPr>
                <w:rFonts w:ascii="Times New Roman"/>
                <w:sz w:val="19"/>
              </w:rPr>
              <w:t>vapour</w:t>
            </w:r>
            <w:proofErr w:type="spellEnd"/>
            <w:r>
              <w:rPr>
                <w:rFonts w:ascii="Times New Roman"/>
                <w:spacing w:val="9"/>
                <w:sz w:val="19"/>
              </w:rPr>
              <w:t xml:space="preserve"> </w:t>
            </w:r>
            <w:r>
              <w:rPr>
                <w:rFonts w:ascii="Times New Roman"/>
                <w:spacing w:val="-2"/>
                <w:sz w:val="19"/>
              </w:rPr>
              <w:t>barrier</w:t>
            </w:r>
          </w:p>
        </w:tc>
        <w:tc>
          <w:tcPr>
            <w:tcW w:w="511" w:type="dxa"/>
            <w:tcBorders>
              <w:top w:val="nil"/>
            </w:tcBorders>
          </w:tcPr>
          <w:p w:rsidR="007F6DF9" w:rsidRDefault="007F6DF9">
            <w:pPr>
              <w:pStyle w:val="TableParagraph"/>
              <w:spacing w:before="146"/>
              <w:rPr>
                <w:rFonts w:ascii="Calibri"/>
                <w:sz w:val="19"/>
              </w:rPr>
            </w:pPr>
          </w:p>
          <w:p w:rsidR="007F6DF9" w:rsidRDefault="00A43FBC">
            <w:pPr>
              <w:pStyle w:val="TableParagraph"/>
              <w:ind w:left="158"/>
              <w:rPr>
                <w:rFonts w:ascii="Times New Roman"/>
                <w:sz w:val="19"/>
              </w:rPr>
            </w:pPr>
            <w:r>
              <w:rPr>
                <w:rFonts w:ascii="Times New Roman"/>
                <w:spacing w:val="-5"/>
                <w:sz w:val="19"/>
              </w:rPr>
              <w:t>92</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24"/>
              <w:rPr>
                <w:rFonts w:ascii="Calibri"/>
                <w:sz w:val="19"/>
              </w:rPr>
            </w:pPr>
          </w:p>
          <w:p w:rsidR="007F6DF9" w:rsidRDefault="00A43FBC">
            <w:pPr>
              <w:pStyle w:val="TableParagraph"/>
              <w:spacing w:before="1"/>
              <w:ind w:left="158"/>
              <w:rPr>
                <w:rFonts w:ascii="Times New Roman"/>
                <w:sz w:val="19"/>
              </w:rPr>
            </w:pPr>
            <w:r>
              <w:rPr>
                <w:rFonts w:ascii="Times New Roman"/>
                <w:spacing w:val="-5"/>
                <w:sz w:val="19"/>
              </w:rPr>
              <w:t>92</w:t>
            </w:r>
          </w:p>
          <w:p w:rsidR="007F6DF9" w:rsidRDefault="00A43FBC">
            <w:pPr>
              <w:pStyle w:val="TableParagraph"/>
              <w:spacing w:before="60" w:line="210" w:lineRule="exact"/>
              <w:ind w:left="157"/>
              <w:rPr>
                <w:rFonts w:ascii="Times New Roman"/>
                <w:sz w:val="19"/>
              </w:rPr>
            </w:pPr>
            <w:r>
              <w:rPr>
                <w:rFonts w:ascii="Times New Roman"/>
                <w:spacing w:val="-5"/>
                <w:sz w:val="19"/>
              </w:rPr>
              <w:t>92</w:t>
            </w:r>
          </w:p>
        </w:tc>
        <w:tc>
          <w:tcPr>
            <w:tcW w:w="547" w:type="dxa"/>
            <w:tcBorders>
              <w:top w:val="nil"/>
            </w:tcBorders>
          </w:tcPr>
          <w:p w:rsidR="007F6DF9" w:rsidRDefault="007F6DF9">
            <w:pPr>
              <w:pStyle w:val="TableParagraph"/>
              <w:spacing w:before="146"/>
              <w:rPr>
                <w:rFonts w:ascii="Calibri"/>
                <w:sz w:val="19"/>
              </w:rPr>
            </w:pPr>
          </w:p>
          <w:p w:rsidR="007F6DF9" w:rsidRDefault="00A43FBC">
            <w:pPr>
              <w:pStyle w:val="TableParagraph"/>
              <w:ind w:left="135"/>
              <w:rPr>
                <w:rFonts w:ascii="Times New Roman"/>
                <w:sz w:val="19"/>
              </w:rPr>
            </w:pPr>
            <w:r>
              <w:rPr>
                <w:rFonts w:ascii="Times New Roman"/>
                <w:spacing w:val="-5"/>
                <w:sz w:val="19"/>
              </w:rPr>
              <w:t>SM</w:t>
            </w:r>
          </w:p>
          <w:p w:rsidR="007F6DF9" w:rsidRDefault="007F6DF9">
            <w:pPr>
              <w:pStyle w:val="TableParagraph"/>
              <w:rPr>
                <w:rFonts w:ascii="Calibri"/>
                <w:sz w:val="19"/>
              </w:rPr>
            </w:pPr>
          </w:p>
          <w:p w:rsidR="007F6DF9" w:rsidRDefault="007F6DF9">
            <w:pPr>
              <w:pStyle w:val="TableParagraph"/>
              <w:spacing w:before="185"/>
              <w:rPr>
                <w:rFonts w:ascii="Calibri"/>
                <w:sz w:val="19"/>
              </w:rPr>
            </w:pPr>
          </w:p>
          <w:p w:rsidR="007F6DF9" w:rsidRDefault="00A43FBC">
            <w:pPr>
              <w:pStyle w:val="TableParagraph"/>
              <w:spacing w:line="280" w:lineRule="atLeast"/>
              <w:ind w:left="134" w:right="113"/>
              <w:rPr>
                <w:rFonts w:ascii="Times New Roman"/>
                <w:sz w:val="19"/>
              </w:rPr>
            </w:pPr>
            <w:r>
              <w:rPr>
                <w:rFonts w:ascii="Times New Roman"/>
                <w:spacing w:val="-6"/>
                <w:sz w:val="19"/>
              </w:rPr>
              <w:t xml:space="preserve">SM </w:t>
            </w:r>
            <w:proofErr w:type="spellStart"/>
            <w:r>
              <w:rPr>
                <w:rFonts w:ascii="Times New Roman"/>
                <w:spacing w:val="-5"/>
                <w:sz w:val="19"/>
              </w:rPr>
              <w:t>SM</w:t>
            </w:r>
            <w:proofErr w:type="spellEnd"/>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695"/>
        </w:trPr>
        <w:tc>
          <w:tcPr>
            <w:tcW w:w="511" w:type="dxa"/>
          </w:tcPr>
          <w:p w:rsidR="007F6DF9" w:rsidRDefault="007F6DF9">
            <w:pPr>
              <w:pStyle w:val="TableParagraph"/>
              <w:spacing w:before="7"/>
              <w:rPr>
                <w:rFonts w:ascii="Calibri"/>
                <w:sz w:val="19"/>
              </w:rPr>
            </w:pPr>
          </w:p>
          <w:p w:rsidR="007F6DF9" w:rsidRDefault="00A43FBC">
            <w:pPr>
              <w:pStyle w:val="TableParagraph"/>
              <w:spacing w:before="1"/>
              <w:ind w:left="20"/>
              <w:jc w:val="center"/>
              <w:rPr>
                <w:rFonts w:ascii="Times New Roman"/>
                <w:sz w:val="19"/>
              </w:rPr>
            </w:pPr>
            <w:r>
              <w:rPr>
                <w:rFonts w:ascii="Times New Roman"/>
                <w:spacing w:val="-10"/>
                <w:sz w:val="19"/>
              </w:rPr>
              <w:t>L</w:t>
            </w:r>
          </w:p>
        </w:tc>
        <w:tc>
          <w:tcPr>
            <w:tcW w:w="3888" w:type="dxa"/>
          </w:tcPr>
          <w:p w:rsidR="007F6DF9" w:rsidRDefault="00A43FBC">
            <w:pPr>
              <w:pStyle w:val="TableParagraph"/>
              <w:spacing w:line="268" w:lineRule="auto"/>
              <w:ind w:left="35" w:firstLine="48"/>
              <w:rPr>
                <w:rFonts w:ascii="Times New Roman"/>
                <w:sz w:val="19"/>
              </w:rPr>
            </w:pPr>
            <w:r>
              <w:rPr>
                <w:rFonts w:ascii="Times New Roman"/>
                <w:sz w:val="19"/>
              </w:rPr>
              <w:t>Cover the floor insulation with 100mm thick concrete mix and</w:t>
            </w:r>
            <w:r>
              <w:rPr>
                <w:rFonts w:ascii="Times New Roman"/>
                <w:spacing w:val="40"/>
                <w:sz w:val="19"/>
              </w:rPr>
              <w:t xml:space="preserve"> </w:t>
            </w:r>
            <w:r>
              <w:rPr>
                <w:rFonts w:ascii="Times New Roman"/>
                <w:sz w:val="19"/>
              </w:rPr>
              <w:t xml:space="preserve">complete with </w:t>
            </w:r>
            <w:proofErr w:type="spellStart"/>
            <w:r>
              <w:rPr>
                <w:rFonts w:ascii="Times New Roman"/>
                <w:sz w:val="19"/>
              </w:rPr>
              <w:t>terrazo</w:t>
            </w:r>
            <w:proofErr w:type="spellEnd"/>
            <w:r>
              <w:rPr>
                <w:rFonts w:ascii="Times New Roman"/>
                <w:sz w:val="19"/>
              </w:rPr>
              <w:t xml:space="preserve"> smooth</w:t>
            </w:r>
          </w:p>
          <w:p w:rsidR="007F6DF9" w:rsidRDefault="00A43FBC">
            <w:pPr>
              <w:pStyle w:val="TableParagraph"/>
              <w:spacing w:line="191" w:lineRule="exact"/>
              <w:ind w:left="35"/>
              <w:rPr>
                <w:rFonts w:ascii="Times New Roman"/>
                <w:sz w:val="19"/>
              </w:rPr>
            </w:pPr>
            <w:r>
              <w:rPr>
                <w:rFonts w:ascii="Times New Roman"/>
                <w:spacing w:val="-2"/>
                <w:sz w:val="19"/>
              </w:rPr>
              <w:t>finish.</w:t>
            </w:r>
          </w:p>
        </w:tc>
        <w:tc>
          <w:tcPr>
            <w:tcW w:w="511" w:type="dxa"/>
          </w:tcPr>
          <w:p w:rsidR="007F6DF9" w:rsidRDefault="007F6DF9">
            <w:pPr>
              <w:pStyle w:val="TableParagraph"/>
              <w:spacing w:before="7"/>
              <w:rPr>
                <w:rFonts w:ascii="Calibri"/>
                <w:sz w:val="19"/>
              </w:rPr>
            </w:pPr>
          </w:p>
          <w:p w:rsidR="007F6DF9" w:rsidRDefault="00A43FBC">
            <w:pPr>
              <w:pStyle w:val="TableParagraph"/>
              <w:spacing w:before="1"/>
              <w:ind w:left="16"/>
              <w:jc w:val="center"/>
              <w:rPr>
                <w:rFonts w:ascii="Times New Roman"/>
                <w:sz w:val="19"/>
              </w:rPr>
            </w:pPr>
            <w:r>
              <w:rPr>
                <w:rFonts w:ascii="Times New Roman"/>
                <w:spacing w:val="-5"/>
                <w:sz w:val="19"/>
              </w:rPr>
              <w:t>92</w:t>
            </w:r>
          </w:p>
        </w:tc>
        <w:tc>
          <w:tcPr>
            <w:tcW w:w="547" w:type="dxa"/>
          </w:tcPr>
          <w:p w:rsidR="007F6DF9" w:rsidRDefault="007F6DF9">
            <w:pPr>
              <w:pStyle w:val="TableParagraph"/>
              <w:spacing w:before="7"/>
              <w:rPr>
                <w:rFonts w:ascii="Calibri"/>
                <w:sz w:val="19"/>
              </w:rPr>
            </w:pPr>
          </w:p>
          <w:p w:rsidR="007F6DF9" w:rsidRDefault="00A43FBC">
            <w:pPr>
              <w:pStyle w:val="TableParagraph"/>
              <w:spacing w:before="1"/>
              <w:ind w:left="33" w:right="15"/>
              <w:jc w:val="center"/>
              <w:rPr>
                <w:rFonts w:ascii="Times New Roman"/>
                <w:sz w:val="19"/>
              </w:rPr>
            </w:pPr>
            <w:r>
              <w:rPr>
                <w:rFonts w:ascii="Times New Roman"/>
                <w:spacing w:val="-5"/>
                <w:sz w:val="19"/>
              </w:rPr>
              <w:t>SM</w:t>
            </w:r>
          </w:p>
        </w:tc>
        <w:tc>
          <w:tcPr>
            <w:tcW w:w="1226" w:type="dxa"/>
          </w:tcPr>
          <w:p w:rsidR="007F6DF9" w:rsidRDefault="007F6DF9">
            <w:pPr>
              <w:pStyle w:val="TableParagraph"/>
              <w:rPr>
                <w:rFonts w:ascii="Times New Roman"/>
                <w:sz w:val="18"/>
              </w:rPr>
            </w:pPr>
          </w:p>
        </w:tc>
        <w:tc>
          <w:tcPr>
            <w:tcW w:w="1420" w:type="dxa"/>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headerReference w:type="even" r:id="rId74"/>
          <w:pgSz w:w="11910" w:h="16840"/>
          <w:pgMar w:top="1860" w:right="1700" w:bottom="700" w:left="992" w:header="0" w:footer="511" w:gutter="0"/>
          <w:pgNumType w:start="86"/>
          <w:cols w:space="720"/>
        </w:sectPr>
      </w:pPr>
    </w:p>
    <w:tbl>
      <w:tblPr>
        <w:tblW w:w="0" w:type="auto"/>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3888"/>
        <w:gridCol w:w="511"/>
        <w:gridCol w:w="547"/>
        <w:gridCol w:w="1226"/>
        <w:gridCol w:w="1420"/>
      </w:tblGrid>
      <w:tr w:rsidR="007F6DF9">
        <w:trPr>
          <w:trHeight w:val="368"/>
        </w:trPr>
        <w:tc>
          <w:tcPr>
            <w:tcW w:w="511" w:type="dxa"/>
          </w:tcPr>
          <w:p w:rsidR="007F6DF9" w:rsidRDefault="00A43FBC">
            <w:pPr>
              <w:pStyle w:val="TableParagraph"/>
              <w:spacing w:before="81"/>
              <w:ind w:left="18"/>
              <w:jc w:val="center"/>
              <w:rPr>
                <w:rFonts w:ascii="Times New Roman"/>
                <w:b/>
                <w:sz w:val="19"/>
              </w:rPr>
            </w:pPr>
            <w:r>
              <w:rPr>
                <w:rFonts w:ascii="Times New Roman"/>
                <w:b/>
                <w:spacing w:val="-4"/>
                <w:sz w:val="19"/>
              </w:rPr>
              <w:lastRenderedPageBreak/>
              <w:t>Item</w:t>
            </w:r>
          </w:p>
        </w:tc>
        <w:tc>
          <w:tcPr>
            <w:tcW w:w="3888" w:type="dxa"/>
          </w:tcPr>
          <w:p w:rsidR="007F6DF9" w:rsidRDefault="00A43FBC">
            <w:pPr>
              <w:pStyle w:val="TableParagraph"/>
              <w:spacing w:before="81"/>
              <w:ind w:left="36"/>
              <w:rPr>
                <w:rFonts w:ascii="Times New Roman"/>
                <w:b/>
                <w:sz w:val="19"/>
              </w:rPr>
            </w:pPr>
            <w:r>
              <w:rPr>
                <w:rFonts w:ascii="Times New Roman"/>
                <w:b/>
                <w:spacing w:val="-2"/>
                <w:sz w:val="19"/>
              </w:rPr>
              <w:t>Description</w:t>
            </w:r>
          </w:p>
        </w:tc>
        <w:tc>
          <w:tcPr>
            <w:tcW w:w="511" w:type="dxa"/>
          </w:tcPr>
          <w:p w:rsidR="007F6DF9" w:rsidRDefault="00A43FBC">
            <w:pPr>
              <w:pStyle w:val="TableParagraph"/>
              <w:spacing w:before="81"/>
              <w:ind w:left="20"/>
              <w:jc w:val="center"/>
              <w:rPr>
                <w:rFonts w:ascii="Times New Roman"/>
                <w:b/>
                <w:sz w:val="19"/>
              </w:rPr>
            </w:pPr>
            <w:r>
              <w:rPr>
                <w:rFonts w:ascii="Times New Roman"/>
                <w:b/>
                <w:spacing w:val="-4"/>
                <w:sz w:val="19"/>
              </w:rPr>
              <w:t>Unit</w:t>
            </w:r>
          </w:p>
        </w:tc>
        <w:tc>
          <w:tcPr>
            <w:tcW w:w="547" w:type="dxa"/>
          </w:tcPr>
          <w:p w:rsidR="007F6DF9" w:rsidRDefault="00A43FBC">
            <w:pPr>
              <w:pStyle w:val="TableParagraph"/>
              <w:spacing w:before="81"/>
              <w:ind w:left="33" w:right="17"/>
              <w:jc w:val="center"/>
              <w:rPr>
                <w:rFonts w:ascii="Times New Roman"/>
                <w:b/>
                <w:sz w:val="19"/>
              </w:rPr>
            </w:pPr>
            <w:proofErr w:type="spellStart"/>
            <w:r>
              <w:rPr>
                <w:rFonts w:ascii="Times New Roman"/>
                <w:b/>
                <w:spacing w:val="-5"/>
                <w:sz w:val="19"/>
              </w:rPr>
              <w:t>Qty</w:t>
            </w:r>
            <w:proofErr w:type="spellEnd"/>
          </w:p>
        </w:tc>
        <w:tc>
          <w:tcPr>
            <w:tcW w:w="1226" w:type="dxa"/>
          </w:tcPr>
          <w:p w:rsidR="007F6DF9" w:rsidRDefault="00A43FBC">
            <w:pPr>
              <w:pStyle w:val="TableParagraph"/>
              <w:spacing w:before="81"/>
              <w:ind w:left="382"/>
              <w:rPr>
                <w:rFonts w:ascii="Times New Roman"/>
                <w:b/>
                <w:sz w:val="19"/>
              </w:rPr>
            </w:pPr>
            <w:r>
              <w:rPr>
                <w:rFonts w:ascii="Times New Roman"/>
                <w:b/>
                <w:spacing w:val="-2"/>
                <w:sz w:val="19"/>
              </w:rPr>
              <w:t>Rates</w:t>
            </w:r>
          </w:p>
        </w:tc>
        <w:tc>
          <w:tcPr>
            <w:tcW w:w="1420" w:type="dxa"/>
          </w:tcPr>
          <w:p w:rsidR="007F6DF9" w:rsidRDefault="00A43FBC">
            <w:pPr>
              <w:pStyle w:val="TableParagraph"/>
              <w:spacing w:before="81"/>
              <w:ind w:left="54"/>
              <w:rPr>
                <w:rFonts w:ascii="Times New Roman"/>
                <w:b/>
                <w:sz w:val="19"/>
              </w:rPr>
            </w:pPr>
            <w:r>
              <w:rPr>
                <w:rFonts w:ascii="Times New Roman"/>
                <w:b/>
                <w:sz w:val="19"/>
              </w:rPr>
              <w:t>Amount</w:t>
            </w:r>
            <w:r>
              <w:rPr>
                <w:rFonts w:ascii="Times New Roman"/>
                <w:b/>
                <w:spacing w:val="58"/>
                <w:sz w:val="19"/>
              </w:rPr>
              <w:t xml:space="preserve"> </w:t>
            </w:r>
            <w:r>
              <w:rPr>
                <w:rFonts w:ascii="Times New Roman"/>
                <w:b/>
                <w:spacing w:val="-2"/>
                <w:sz w:val="19"/>
              </w:rPr>
              <w:t>(</w:t>
            </w:r>
            <w:proofErr w:type="spellStart"/>
            <w:r>
              <w:rPr>
                <w:rFonts w:ascii="Times New Roman"/>
                <w:b/>
                <w:spacing w:val="-2"/>
                <w:sz w:val="19"/>
              </w:rPr>
              <w:t>Kshs</w:t>
            </w:r>
            <w:proofErr w:type="spellEnd"/>
            <w:r>
              <w:rPr>
                <w:rFonts w:ascii="Times New Roman"/>
                <w:b/>
                <w:spacing w:val="-2"/>
                <w:sz w:val="19"/>
              </w:rPr>
              <w:t>)</w:t>
            </w:r>
          </w:p>
        </w:tc>
      </w:tr>
      <w:tr w:rsidR="007F6DF9">
        <w:trPr>
          <w:trHeight w:val="271"/>
        </w:trPr>
        <w:tc>
          <w:tcPr>
            <w:tcW w:w="511" w:type="dxa"/>
            <w:vMerge w:val="restart"/>
          </w:tcPr>
          <w:p w:rsidR="007F6DF9" w:rsidRDefault="007F6DF9">
            <w:pPr>
              <w:pStyle w:val="TableParagraph"/>
              <w:spacing w:before="89"/>
              <w:rPr>
                <w:rFonts w:ascii="Calibri"/>
                <w:sz w:val="19"/>
              </w:rPr>
            </w:pPr>
          </w:p>
          <w:p w:rsidR="007F6DF9" w:rsidRDefault="00A43FBC">
            <w:pPr>
              <w:pStyle w:val="TableParagraph"/>
              <w:ind w:left="17"/>
              <w:jc w:val="center"/>
              <w:rPr>
                <w:rFonts w:ascii="Times New Roman"/>
                <w:sz w:val="19"/>
              </w:rPr>
            </w:pPr>
            <w:r>
              <w:rPr>
                <w:rFonts w:ascii="Times New Roman"/>
                <w:spacing w:val="-10"/>
                <w:sz w:val="19"/>
              </w:rPr>
              <w:t>M</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47"/>
              <w:rPr>
                <w:rFonts w:ascii="Calibri"/>
                <w:sz w:val="19"/>
              </w:rPr>
            </w:pPr>
          </w:p>
          <w:p w:rsidR="007F6DF9" w:rsidRDefault="00A43FBC">
            <w:pPr>
              <w:pStyle w:val="TableParagraph"/>
              <w:spacing w:line="410" w:lineRule="auto"/>
              <w:ind w:left="178" w:right="158"/>
              <w:jc w:val="center"/>
              <w:rPr>
                <w:rFonts w:ascii="Times New Roman"/>
                <w:sz w:val="19"/>
              </w:rPr>
            </w:pPr>
            <w:r>
              <w:rPr>
                <w:rFonts w:ascii="Times New Roman"/>
                <w:spacing w:val="-10"/>
                <w:sz w:val="19"/>
              </w:rPr>
              <w:t>N</w:t>
            </w:r>
            <w:r>
              <w:rPr>
                <w:rFonts w:ascii="Times New Roman"/>
                <w:sz w:val="19"/>
              </w:rPr>
              <w:t xml:space="preserve"> </w:t>
            </w:r>
            <w:r>
              <w:rPr>
                <w:rFonts w:ascii="Times New Roman"/>
                <w:spacing w:val="-10"/>
                <w:sz w:val="19"/>
              </w:rPr>
              <w:t>O</w:t>
            </w:r>
          </w:p>
          <w:p w:rsidR="007F6DF9" w:rsidRDefault="00A43FBC">
            <w:pPr>
              <w:pStyle w:val="TableParagraph"/>
              <w:spacing w:before="12" w:line="321" w:lineRule="auto"/>
              <w:ind w:left="186" w:right="166" w:hanging="4"/>
              <w:jc w:val="center"/>
              <w:rPr>
                <w:rFonts w:ascii="Times New Roman"/>
                <w:sz w:val="19"/>
              </w:rPr>
            </w:pPr>
            <w:r>
              <w:rPr>
                <w:rFonts w:ascii="Times New Roman"/>
                <w:spacing w:val="-10"/>
                <w:sz w:val="19"/>
              </w:rPr>
              <w:t>P</w:t>
            </w:r>
            <w:r>
              <w:rPr>
                <w:rFonts w:ascii="Times New Roman"/>
                <w:sz w:val="19"/>
              </w:rPr>
              <w:t xml:space="preserve"> </w:t>
            </w:r>
            <w:r>
              <w:rPr>
                <w:rFonts w:ascii="Times New Roman"/>
                <w:spacing w:val="-10"/>
                <w:sz w:val="19"/>
              </w:rPr>
              <w:t>Q</w:t>
            </w:r>
          </w:p>
          <w:p w:rsidR="007F6DF9" w:rsidRDefault="00A43FBC">
            <w:pPr>
              <w:pStyle w:val="TableParagraph"/>
              <w:spacing w:before="69"/>
              <w:ind w:left="17"/>
              <w:jc w:val="center"/>
              <w:rPr>
                <w:rFonts w:ascii="Times New Roman"/>
                <w:sz w:val="19"/>
              </w:rPr>
            </w:pPr>
            <w:r>
              <w:rPr>
                <w:rFonts w:ascii="Times New Roman"/>
                <w:spacing w:val="-10"/>
                <w:sz w:val="19"/>
              </w:rPr>
              <w:t>R</w:t>
            </w:r>
          </w:p>
          <w:p w:rsidR="007F6DF9" w:rsidRDefault="007F6DF9">
            <w:pPr>
              <w:pStyle w:val="TableParagraph"/>
              <w:spacing w:before="178"/>
              <w:rPr>
                <w:rFonts w:ascii="Calibri"/>
                <w:sz w:val="19"/>
              </w:rPr>
            </w:pPr>
          </w:p>
          <w:p w:rsidR="007F6DF9" w:rsidRDefault="00A43FBC">
            <w:pPr>
              <w:pStyle w:val="TableParagraph"/>
              <w:spacing w:before="1" w:line="408" w:lineRule="auto"/>
              <w:ind w:left="186" w:right="166" w:firstLine="16"/>
              <w:jc w:val="both"/>
              <w:rPr>
                <w:rFonts w:ascii="Times New Roman"/>
                <w:sz w:val="19"/>
              </w:rPr>
            </w:pPr>
            <w:r>
              <w:rPr>
                <w:rFonts w:ascii="Times New Roman"/>
                <w:spacing w:val="-10"/>
                <w:sz w:val="19"/>
              </w:rPr>
              <w:t>S</w:t>
            </w:r>
            <w:r>
              <w:rPr>
                <w:rFonts w:ascii="Times New Roman"/>
                <w:sz w:val="19"/>
              </w:rPr>
              <w:t xml:space="preserve"> </w:t>
            </w:r>
            <w:r>
              <w:rPr>
                <w:rFonts w:ascii="Times New Roman"/>
                <w:spacing w:val="-10"/>
                <w:sz w:val="19"/>
              </w:rPr>
              <w:t>T</w:t>
            </w:r>
            <w:r>
              <w:rPr>
                <w:rFonts w:ascii="Times New Roman"/>
                <w:sz w:val="19"/>
              </w:rPr>
              <w:t xml:space="preserve"> </w:t>
            </w:r>
            <w:r>
              <w:rPr>
                <w:rFonts w:ascii="Times New Roman"/>
                <w:spacing w:val="-10"/>
                <w:sz w:val="19"/>
              </w:rPr>
              <w:t>Q</w:t>
            </w:r>
          </w:p>
          <w:p w:rsidR="007F6DF9" w:rsidRDefault="00A43FBC">
            <w:pPr>
              <w:pStyle w:val="TableParagraph"/>
              <w:spacing w:line="187" w:lineRule="exact"/>
              <w:ind w:left="17"/>
              <w:jc w:val="center"/>
              <w:rPr>
                <w:rFonts w:ascii="Times New Roman"/>
                <w:sz w:val="19"/>
              </w:rPr>
            </w:pPr>
            <w:r>
              <w:rPr>
                <w:rFonts w:ascii="Times New Roman"/>
                <w:spacing w:val="-10"/>
                <w:sz w:val="19"/>
              </w:rPr>
              <w:t>R</w:t>
            </w:r>
          </w:p>
          <w:p w:rsidR="007F6DF9" w:rsidRDefault="00A43FBC">
            <w:pPr>
              <w:pStyle w:val="TableParagraph"/>
              <w:spacing w:before="144" w:line="379" w:lineRule="auto"/>
              <w:ind w:left="196" w:right="178" w:firstLine="3"/>
              <w:jc w:val="center"/>
              <w:rPr>
                <w:rFonts w:ascii="Times New Roman"/>
                <w:sz w:val="19"/>
              </w:rPr>
            </w:pPr>
            <w:r>
              <w:rPr>
                <w:rFonts w:ascii="Times New Roman"/>
                <w:spacing w:val="-10"/>
                <w:sz w:val="19"/>
              </w:rPr>
              <w:t>S</w:t>
            </w:r>
            <w:r>
              <w:rPr>
                <w:rFonts w:ascii="Times New Roman"/>
                <w:sz w:val="19"/>
              </w:rPr>
              <w:t xml:space="preserve"> </w:t>
            </w:r>
            <w:r>
              <w:rPr>
                <w:rFonts w:ascii="Times New Roman"/>
                <w:spacing w:val="-10"/>
                <w:sz w:val="19"/>
              </w:rPr>
              <w:t>T</w:t>
            </w:r>
          </w:p>
          <w:p w:rsidR="007F6DF9" w:rsidRDefault="007F6DF9">
            <w:pPr>
              <w:pStyle w:val="TableParagraph"/>
              <w:spacing w:before="23"/>
              <w:rPr>
                <w:rFonts w:ascii="Calibri"/>
                <w:sz w:val="19"/>
              </w:rPr>
            </w:pPr>
          </w:p>
          <w:p w:rsidR="007F6DF9" w:rsidRDefault="00A43FBC">
            <w:pPr>
              <w:pStyle w:val="TableParagraph"/>
              <w:spacing w:line="384" w:lineRule="auto"/>
              <w:ind w:left="165" w:right="145" w:firstLine="21"/>
              <w:jc w:val="both"/>
              <w:rPr>
                <w:rFonts w:ascii="Times New Roman"/>
                <w:sz w:val="19"/>
              </w:rPr>
            </w:pPr>
            <w:r>
              <w:rPr>
                <w:rFonts w:ascii="Times New Roman"/>
                <w:spacing w:val="-10"/>
                <w:sz w:val="19"/>
              </w:rPr>
              <w:t>U</w:t>
            </w:r>
            <w:r>
              <w:rPr>
                <w:rFonts w:ascii="Times New Roman"/>
                <w:sz w:val="19"/>
              </w:rPr>
              <w:t xml:space="preserve"> </w:t>
            </w:r>
            <w:r>
              <w:rPr>
                <w:rFonts w:ascii="Times New Roman"/>
                <w:spacing w:val="-10"/>
                <w:sz w:val="19"/>
              </w:rPr>
              <w:t>V</w:t>
            </w:r>
            <w:r>
              <w:rPr>
                <w:rFonts w:ascii="Times New Roman"/>
                <w:sz w:val="19"/>
              </w:rPr>
              <w:t xml:space="preserve"> </w:t>
            </w:r>
            <w:r>
              <w:rPr>
                <w:rFonts w:ascii="Times New Roman"/>
                <w:spacing w:val="-10"/>
                <w:sz w:val="19"/>
              </w:rPr>
              <w:t>W</w:t>
            </w:r>
          </w:p>
          <w:p w:rsidR="007F6DF9" w:rsidRDefault="00A43FBC">
            <w:pPr>
              <w:pStyle w:val="TableParagraph"/>
              <w:spacing w:line="197" w:lineRule="exact"/>
              <w:ind w:left="18"/>
              <w:jc w:val="center"/>
              <w:rPr>
                <w:rFonts w:ascii="Times New Roman"/>
                <w:sz w:val="19"/>
              </w:rPr>
            </w:pPr>
            <w:r>
              <w:rPr>
                <w:rFonts w:ascii="Times New Roman"/>
                <w:spacing w:val="-10"/>
                <w:sz w:val="19"/>
              </w:rPr>
              <w:t>X</w:t>
            </w:r>
          </w:p>
        </w:tc>
        <w:tc>
          <w:tcPr>
            <w:tcW w:w="3888" w:type="dxa"/>
            <w:tcBorders>
              <w:bottom w:val="nil"/>
            </w:tcBorders>
          </w:tcPr>
          <w:p w:rsidR="007F6DF9" w:rsidRDefault="00A43FBC">
            <w:pPr>
              <w:pStyle w:val="TableParagraph"/>
              <w:spacing w:before="12"/>
              <w:ind w:left="35"/>
              <w:rPr>
                <w:rFonts w:ascii="Times New Roman"/>
                <w:b/>
                <w:sz w:val="19"/>
              </w:rPr>
            </w:pPr>
            <w:proofErr w:type="spellStart"/>
            <w:r>
              <w:rPr>
                <w:rFonts w:ascii="Times New Roman"/>
                <w:b/>
                <w:sz w:val="19"/>
              </w:rPr>
              <w:t>Coldroom</w:t>
            </w:r>
            <w:proofErr w:type="spellEnd"/>
            <w:r>
              <w:rPr>
                <w:rFonts w:ascii="Times New Roman"/>
                <w:b/>
                <w:spacing w:val="17"/>
                <w:sz w:val="19"/>
              </w:rPr>
              <w:t xml:space="preserve"> </w:t>
            </w:r>
            <w:r>
              <w:rPr>
                <w:rFonts w:ascii="Times New Roman"/>
                <w:b/>
                <w:spacing w:val="-4"/>
                <w:sz w:val="19"/>
              </w:rPr>
              <w:t>Door</w:t>
            </w:r>
          </w:p>
        </w:tc>
        <w:tc>
          <w:tcPr>
            <w:tcW w:w="511" w:type="dxa"/>
            <w:tcBorders>
              <w:bottom w:val="nil"/>
            </w:tcBorders>
          </w:tcPr>
          <w:p w:rsidR="007F6DF9" w:rsidRDefault="007F6DF9">
            <w:pPr>
              <w:pStyle w:val="TableParagraph"/>
              <w:rPr>
                <w:rFonts w:ascii="Times New Roman"/>
                <w:sz w:val="18"/>
              </w:rPr>
            </w:pPr>
          </w:p>
        </w:tc>
        <w:tc>
          <w:tcPr>
            <w:tcW w:w="547" w:type="dxa"/>
            <w:tcBorders>
              <w:bottom w:val="nil"/>
            </w:tcBorders>
          </w:tcPr>
          <w:p w:rsidR="007F6DF9" w:rsidRDefault="007F6DF9">
            <w:pPr>
              <w:pStyle w:val="TableParagraph"/>
              <w:rPr>
                <w:rFonts w:ascii="Times New Roman"/>
                <w:sz w:val="18"/>
              </w:rPr>
            </w:pPr>
          </w:p>
        </w:tc>
        <w:tc>
          <w:tcPr>
            <w:tcW w:w="1226" w:type="dxa"/>
            <w:vMerge w:val="restart"/>
          </w:tcPr>
          <w:p w:rsidR="007F6DF9" w:rsidRDefault="007F6DF9">
            <w:pPr>
              <w:pStyle w:val="TableParagraph"/>
              <w:rPr>
                <w:rFonts w:ascii="Times New Roman"/>
                <w:sz w:val="18"/>
              </w:rPr>
            </w:pPr>
          </w:p>
        </w:tc>
        <w:tc>
          <w:tcPr>
            <w:tcW w:w="1420" w:type="dxa"/>
            <w:vMerge w:val="restart"/>
          </w:tcPr>
          <w:p w:rsidR="007F6DF9" w:rsidRDefault="007F6DF9">
            <w:pPr>
              <w:pStyle w:val="TableParagraph"/>
              <w:rPr>
                <w:rFonts w:ascii="Times New Roman"/>
                <w:sz w:val="18"/>
              </w:rPr>
            </w:pPr>
          </w:p>
        </w:tc>
      </w:tr>
      <w:tr w:rsidR="007F6DF9">
        <w:trPr>
          <w:trHeight w:val="173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4" w:line="240" w:lineRule="atLeast"/>
              <w:ind w:left="35" w:right="91"/>
              <w:rPr>
                <w:rFonts w:ascii="Times New Roman"/>
                <w:sz w:val="19"/>
              </w:rPr>
            </w:pPr>
            <w:r>
              <w:rPr>
                <w:rFonts w:ascii="Times New Roman"/>
                <w:sz w:val="19"/>
              </w:rPr>
              <w:t xml:space="preserve">Complete insulated </w:t>
            </w:r>
            <w:proofErr w:type="spellStart"/>
            <w:r>
              <w:rPr>
                <w:rFonts w:ascii="Times New Roman"/>
                <w:sz w:val="19"/>
              </w:rPr>
              <w:t>coldroom</w:t>
            </w:r>
            <w:proofErr w:type="spellEnd"/>
            <w:r>
              <w:rPr>
                <w:rFonts w:ascii="Times New Roman"/>
                <w:sz w:val="19"/>
              </w:rPr>
              <w:t xml:space="preserve"> door size 2400 x 1200 x 150mm thick complete with rubber seals on door </w:t>
            </w:r>
            <w:proofErr w:type="spellStart"/>
            <w:r>
              <w:rPr>
                <w:rFonts w:ascii="Times New Roman"/>
                <w:sz w:val="19"/>
              </w:rPr>
              <w:t>edges.Cold</w:t>
            </w:r>
            <w:proofErr w:type="spellEnd"/>
            <w:r>
              <w:rPr>
                <w:rFonts w:ascii="Times New Roman"/>
                <w:sz w:val="19"/>
              </w:rPr>
              <w:t xml:space="preserve"> door made</w:t>
            </w:r>
            <w:r>
              <w:rPr>
                <w:rFonts w:ascii="Times New Roman"/>
                <w:spacing w:val="40"/>
                <w:sz w:val="19"/>
              </w:rPr>
              <w:t xml:space="preserve"> </w:t>
            </w:r>
            <w:r>
              <w:rPr>
                <w:rFonts w:ascii="Times New Roman"/>
                <w:sz w:val="19"/>
              </w:rPr>
              <w:t>out of 150mm thick fire Rated HF (hidden fastener) insulated panels factory-assembled with a fire resistant mineral fiber core bonded with metal facings, suitable for fire rated wall Panels achieve three</w:t>
            </w:r>
          </w:p>
        </w:tc>
        <w:tc>
          <w:tcPr>
            <w:tcW w:w="511" w:type="dxa"/>
            <w:tcBorders>
              <w:top w:val="nil"/>
              <w:bottom w:val="nil"/>
            </w:tcBorders>
          </w:tcPr>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93"/>
              <w:rPr>
                <w:rFonts w:ascii="Calibri"/>
                <w:sz w:val="19"/>
              </w:rPr>
            </w:pPr>
          </w:p>
          <w:p w:rsidR="007F6DF9" w:rsidRDefault="00A43FBC">
            <w:pPr>
              <w:pStyle w:val="TableParagraph"/>
              <w:ind w:left="18"/>
              <w:jc w:val="center"/>
              <w:rPr>
                <w:rFonts w:ascii="Times New Roman"/>
                <w:sz w:val="19"/>
              </w:rPr>
            </w:pPr>
            <w:r>
              <w:rPr>
                <w:rFonts w:ascii="Times New Roman"/>
                <w:spacing w:val="-10"/>
                <w:sz w:val="19"/>
              </w:rPr>
              <w:t>1</w:t>
            </w:r>
          </w:p>
        </w:tc>
        <w:tc>
          <w:tcPr>
            <w:tcW w:w="547" w:type="dxa"/>
            <w:tcBorders>
              <w:top w:val="nil"/>
              <w:bottom w:val="nil"/>
            </w:tcBorders>
          </w:tcPr>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93"/>
              <w:rPr>
                <w:rFonts w:ascii="Calibri"/>
                <w:sz w:val="19"/>
              </w:rPr>
            </w:pPr>
          </w:p>
          <w:p w:rsidR="007F6DF9" w:rsidRDefault="00A43FBC">
            <w:pPr>
              <w:pStyle w:val="TableParagraph"/>
              <w:ind w:left="33" w:right="16"/>
              <w:jc w:val="center"/>
              <w:rPr>
                <w:rFonts w:ascii="Times New Roman"/>
                <w:sz w:val="19"/>
              </w:rPr>
            </w:pPr>
            <w:r>
              <w:rPr>
                <w:rFonts w:ascii="Times New Roman"/>
                <w:spacing w:val="-4"/>
                <w:sz w:val="19"/>
              </w:rPr>
              <w:t>Item</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118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68" w:lineRule="auto"/>
              <w:ind w:left="35" w:right="118"/>
              <w:rPr>
                <w:rFonts w:ascii="Times New Roman"/>
                <w:sz w:val="19"/>
              </w:rPr>
            </w:pPr>
            <w:r>
              <w:rPr>
                <w:rFonts w:ascii="Times New Roman"/>
                <w:sz w:val="19"/>
              </w:rPr>
              <w:t>hour fire resistance ratings with a unique hidden fastener</w:t>
            </w:r>
            <w:r>
              <w:rPr>
                <w:rFonts w:ascii="Times New Roman"/>
                <w:spacing w:val="35"/>
                <w:sz w:val="19"/>
              </w:rPr>
              <w:t xml:space="preserve"> </w:t>
            </w:r>
            <w:r>
              <w:rPr>
                <w:rFonts w:ascii="Times New Roman"/>
                <w:sz w:val="19"/>
              </w:rPr>
              <w:t>for</w:t>
            </w:r>
            <w:r>
              <w:rPr>
                <w:rFonts w:ascii="Times New Roman"/>
                <w:spacing w:val="37"/>
                <w:sz w:val="19"/>
              </w:rPr>
              <w:t xml:space="preserve"> </w:t>
            </w:r>
            <w:r>
              <w:rPr>
                <w:rFonts w:ascii="Times New Roman"/>
                <w:sz w:val="19"/>
              </w:rPr>
              <w:t>increased</w:t>
            </w:r>
            <w:r>
              <w:rPr>
                <w:rFonts w:ascii="Times New Roman"/>
                <w:spacing w:val="39"/>
                <w:sz w:val="19"/>
              </w:rPr>
              <w:t xml:space="preserve"> </w:t>
            </w:r>
            <w:r>
              <w:rPr>
                <w:rFonts w:ascii="Times New Roman"/>
                <w:sz w:val="19"/>
              </w:rPr>
              <w:t>aesthetic</w:t>
            </w:r>
            <w:r>
              <w:rPr>
                <w:rFonts w:ascii="Times New Roman"/>
                <w:spacing w:val="39"/>
                <w:sz w:val="19"/>
              </w:rPr>
              <w:t xml:space="preserve"> </w:t>
            </w:r>
            <w:r>
              <w:rPr>
                <w:rFonts w:ascii="Times New Roman"/>
                <w:sz w:val="19"/>
              </w:rPr>
              <w:t>sound attenuated, Core material shall be non-toxic,</w:t>
            </w:r>
            <w:r>
              <w:rPr>
                <w:rFonts w:ascii="Times New Roman"/>
                <w:spacing w:val="80"/>
                <w:sz w:val="19"/>
              </w:rPr>
              <w:t xml:space="preserve"> </w:t>
            </w:r>
            <w:r>
              <w:rPr>
                <w:rFonts w:ascii="Times New Roman"/>
                <w:sz w:val="19"/>
              </w:rPr>
              <w:t>does not release gases in a fire and has a smoke</w:t>
            </w:r>
          </w:p>
          <w:p w:rsidR="007F6DF9" w:rsidRDefault="00A43FBC">
            <w:pPr>
              <w:pStyle w:val="TableParagraph"/>
              <w:spacing w:line="180" w:lineRule="exact"/>
              <w:ind w:left="35"/>
              <w:rPr>
                <w:rFonts w:ascii="Times New Roman"/>
                <w:sz w:val="19"/>
              </w:rPr>
            </w:pPr>
            <w:r>
              <w:rPr>
                <w:rFonts w:ascii="Times New Roman"/>
                <w:sz w:val="19"/>
              </w:rPr>
              <w:t>developed</w:t>
            </w:r>
            <w:r>
              <w:rPr>
                <w:rFonts w:ascii="Times New Roman"/>
                <w:spacing w:val="12"/>
                <w:sz w:val="19"/>
              </w:rPr>
              <w:t xml:space="preserve"> </w:t>
            </w:r>
            <w:r>
              <w:rPr>
                <w:rFonts w:ascii="Times New Roman"/>
                <w:sz w:val="19"/>
              </w:rPr>
              <w:t>rating</w:t>
            </w:r>
            <w:r>
              <w:rPr>
                <w:rFonts w:ascii="Times New Roman"/>
                <w:spacing w:val="10"/>
                <w:sz w:val="19"/>
              </w:rPr>
              <w:t xml:space="preserve"> </w:t>
            </w:r>
            <w:r>
              <w:rPr>
                <w:rFonts w:ascii="Times New Roman"/>
                <w:sz w:val="19"/>
              </w:rPr>
              <w:t>of</w:t>
            </w:r>
            <w:r>
              <w:rPr>
                <w:rFonts w:ascii="Times New Roman"/>
                <w:spacing w:val="12"/>
                <w:sz w:val="19"/>
              </w:rPr>
              <w:t xml:space="preserve"> </w:t>
            </w:r>
            <w:r>
              <w:rPr>
                <w:rFonts w:ascii="Times New Roman"/>
                <w:spacing w:val="-2"/>
                <w:sz w:val="19"/>
              </w:rPr>
              <w:t>zero.</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1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line="193" w:lineRule="exact"/>
              <w:ind w:left="35"/>
              <w:rPr>
                <w:rFonts w:ascii="Times New Roman"/>
                <w:b/>
                <w:sz w:val="19"/>
              </w:rPr>
            </w:pPr>
            <w:r>
              <w:rPr>
                <w:rFonts w:ascii="Times New Roman"/>
                <w:b/>
                <w:spacing w:val="-2"/>
                <w:sz w:val="19"/>
              </w:rPr>
              <w:t>CONTROLS</w:t>
            </w:r>
          </w:p>
        </w:tc>
        <w:tc>
          <w:tcPr>
            <w:tcW w:w="511" w:type="dxa"/>
            <w:tcBorders>
              <w:top w:val="nil"/>
              <w:bottom w:val="nil"/>
            </w:tcBorders>
          </w:tcPr>
          <w:p w:rsidR="007F6DF9" w:rsidRDefault="007F6DF9">
            <w:pPr>
              <w:pStyle w:val="TableParagraph"/>
              <w:rPr>
                <w:rFonts w:ascii="Times New Roman"/>
                <w:sz w:val="14"/>
              </w:rPr>
            </w:pPr>
          </w:p>
        </w:tc>
        <w:tc>
          <w:tcPr>
            <w:tcW w:w="547" w:type="dxa"/>
            <w:tcBorders>
              <w:top w:val="nil"/>
              <w:bottom w:val="nil"/>
            </w:tcBorders>
          </w:tcPr>
          <w:p w:rsidR="007F6DF9" w:rsidRDefault="007F6DF9">
            <w:pPr>
              <w:pStyle w:val="TableParagraph"/>
              <w:rPr>
                <w:rFonts w:ascii="Times New Roman"/>
                <w:sz w:val="14"/>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2"/>
              <w:ind w:left="35"/>
              <w:rPr>
                <w:rFonts w:ascii="Times New Roman"/>
                <w:sz w:val="19"/>
              </w:rPr>
            </w:pPr>
            <w:r>
              <w:rPr>
                <w:rFonts w:ascii="Times New Roman"/>
                <w:sz w:val="19"/>
              </w:rPr>
              <w:t>Low</w:t>
            </w:r>
            <w:r>
              <w:rPr>
                <w:rFonts w:ascii="Times New Roman"/>
                <w:spacing w:val="7"/>
                <w:sz w:val="19"/>
              </w:rPr>
              <w:t xml:space="preserve"> </w:t>
            </w:r>
            <w:r>
              <w:rPr>
                <w:rFonts w:ascii="Times New Roman"/>
                <w:sz w:val="19"/>
              </w:rPr>
              <w:t>pressure</w:t>
            </w:r>
            <w:r>
              <w:rPr>
                <w:rFonts w:ascii="Times New Roman"/>
                <w:spacing w:val="8"/>
                <w:sz w:val="19"/>
              </w:rPr>
              <w:t xml:space="preserve"> </w:t>
            </w:r>
            <w:r>
              <w:rPr>
                <w:rFonts w:ascii="Times New Roman"/>
                <w:sz w:val="19"/>
              </w:rPr>
              <w:t>cut</w:t>
            </w:r>
            <w:r>
              <w:rPr>
                <w:rFonts w:ascii="Times New Roman"/>
                <w:spacing w:val="10"/>
                <w:sz w:val="19"/>
              </w:rPr>
              <w:t xml:space="preserve"> </w:t>
            </w:r>
            <w:r>
              <w:rPr>
                <w:rFonts w:ascii="Times New Roman"/>
                <w:sz w:val="19"/>
              </w:rPr>
              <w:t>out</w:t>
            </w:r>
            <w:r>
              <w:rPr>
                <w:rFonts w:ascii="Times New Roman"/>
                <w:spacing w:val="11"/>
                <w:sz w:val="19"/>
              </w:rPr>
              <w:t xml:space="preserve"> </w:t>
            </w:r>
            <w:r>
              <w:rPr>
                <w:rFonts w:ascii="Times New Roman"/>
                <w:spacing w:val="-2"/>
                <w:sz w:val="19"/>
              </w:rPr>
              <w:t>switch</w:t>
            </w:r>
          </w:p>
        </w:tc>
        <w:tc>
          <w:tcPr>
            <w:tcW w:w="511" w:type="dxa"/>
            <w:tcBorders>
              <w:top w:val="nil"/>
              <w:bottom w:val="nil"/>
            </w:tcBorders>
          </w:tcPr>
          <w:p w:rsidR="007F6DF9" w:rsidRDefault="00A43FBC">
            <w:pPr>
              <w:pStyle w:val="TableParagraph"/>
              <w:spacing w:before="77"/>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77"/>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6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5"/>
              <w:ind w:left="35"/>
              <w:rPr>
                <w:rFonts w:ascii="Times New Roman"/>
                <w:sz w:val="19"/>
              </w:rPr>
            </w:pPr>
            <w:r>
              <w:rPr>
                <w:rFonts w:ascii="Times New Roman"/>
                <w:sz w:val="19"/>
              </w:rPr>
              <w:t>High</w:t>
            </w:r>
            <w:r>
              <w:rPr>
                <w:rFonts w:ascii="Times New Roman"/>
                <w:spacing w:val="9"/>
                <w:sz w:val="19"/>
              </w:rPr>
              <w:t xml:space="preserve"> </w:t>
            </w:r>
            <w:r>
              <w:rPr>
                <w:rFonts w:ascii="Times New Roman"/>
                <w:sz w:val="19"/>
              </w:rPr>
              <w:t>pressure</w:t>
            </w:r>
            <w:r>
              <w:rPr>
                <w:rFonts w:ascii="Times New Roman"/>
                <w:spacing w:val="8"/>
                <w:sz w:val="19"/>
              </w:rPr>
              <w:t xml:space="preserve"> </w:t>
            </w:r>
            <w:r>
              <w:rPr>
                <w:rFonts w:ascii="Times New Roman"/>
                <w:sz w:val="19"/>
              </w:rPr>
              <w:t>cut</w:t>
            </w:r>
            <w:r>
              <w:rPr>
                <w:rFonts w:ascii="Times New Roman"/>
                <w:spacing w:val="12"/>
                <w:sz w:val="19"/>
              </w:rPr>
              <w:t xml:space="preserve"> </w:t>
            </w:r>
            <w:r>
              <w:rPr>
                <w:rFonts w:ascii="Times New Roman"/>
                <w:sz w:val="19"/>
              </w:rPr>
              <w:t>out</w:t>
            </w:r>
            <w:r>
              <w:rPr>
                <w:rFonts w:ascii="Times New Roman"/>
                <w:spacing w:val="10"/>
                <w:sz w:val="19"/>
              </w:rPr>
              <w:t xml:space="preserve"> </w:t>
            </w:r>
            <w:r>
              <w:rPr>
                <w:rFonts w:ascii="Times New Roman"/>
                <w:spacing w:val="-2"/>
                <w:sz w:val="19"/>
              </w:rPr>
              <w:t>switch</w:t>
            </w:r>
          </w:p>
        </w:tc>
        <w:tc>
          <w:tcPr>
            <w:tcW w:w="511" w:type="dxa"/>
            <w:tcBorders>
              <w:top w:val="nil"/>
              <w:bottom w:val="nil"/>
            </w:tcBorders>
          </w:tcPr>
          <w:p w:rsidR="007F6DF9" w:rsidRDefault="00A43FBC">
            <w:pPr>
              <w:pStyle w:val="TableParagraph"/>
              <w:spacing w:before="105"/>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105"/>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00"/>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8"/>
              <w:ind w:left="36"/>
              <w:rPr>
                <w:rFonts w:ascii="Times New Roman"/>
                <w:sz w:val="19"/>
              </w:rPr>
            </w:pPr>
            <w:proofErr w:type="spellStart"/>
            <w:r>
              <w:rPr>
                <w:rFonts w:ascii="Times New Roman"/>
                <w:sz w:val="19"/>
              </w:rPr>
              <w:t>Defross</w:t>
            </w:r>
            <w:proofErr w:type="spellEnd"/>
            <w:r>
              <w:rPr>
                <w:rFonts w:ascii="Times New Roman"/>
                <w:spacing w:val="12"/>
                <w:sz w:val="19"/>
              </w:rPr>
              <w:t xml:space="preserve"> </w:t>
            </w:r>
            <w:r>
              <w:rPr>
                <w:rFonts w:ascii="Times New Roman"/>
                <w:spacing w:val="-2"/>
                <w:sz w:val="19"/>
              </w:rPr>
              <w:t>timer</w:t>
            </w:r>
          </w:p>
        </w:tc>
        <w:tc>
          <w:tcPr>
            <w:tcW w:w="511" w:type="dxa"/>
            <w:tcBorders>
              <w:top w:val="nil"/>
              <w:bottom w:val="nil"/>
            </w:tcBorders>
          </w:tcPr>
          <w:p w:rsidR="007F6DF9" w:rsidRDefault="00A43FBC">
            <w:pPr>
              <w:pStyle w:val="TableParagraph"/>
              <w:spacing w:before="62"/>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62"/>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5"/>
              <w:ind w:left="35"/>
              <w:rPr>
                <w:rFonts w:ascii="Times New Roman" w:hAnsi="Times New Roman"/>
                <w:sz w:val="19"/>
              </w:rPr>
            </w:pPr>
            <w:r>
              <w:rPr>
                <w:rFonts w:ascii="Times New Roman" w:hAnsi="Times New Roman"/>
                <w:sz w:val="19"/>
              </w:rPr>
              <w:t>Thermometer</w:t>
            </w:r>
            <w:r>
              <w:rPr>
                <w:rFonts w:ascii="Times New Roman" w:hAnsi="Times New Roman"/>
                <w:spacing w:val="8"/>
                <w:sz w:val="19"/>
              </w:rPr>
              <w:t xml:space="preserve"> </w:t>
            </w:r>
            <w:r>
              <w:rPr>
                <w:rFonts w:ascii="Times New Roman" w:hAnsi="Times New Roman"/>
                <w:sz w:val="19"/>
              </w:rPr>
              <w:t>gauge</w:t>
            </w:r>
            <w:r>
              <w:rPr>
                <w:rFonts w:ascii="Times New Roman" w:hAnsi="Times New Roman"/>
                <w:spacing w:val="7"/>
                <w:sz w:val="19"/>
              </w:rPr>
              <w:t xml:space="preserve"> </w:t>
            </w:r>
            <w:proofErr w:type="spellStart"/>
            <w:r>
              <w:rPr>
                <w:rFonts w:ascii="Times New Roman" w:hAnsi="Times New Roman"/>
                <w:sz w:val="19"/>
              </w:rPr>
              <w:t>upto</w:t>
            </w:r>
            <w:proofErr w:type="spellEnd"/>
            <w:r>
              <w:rPr>
                <w:rFonts w:ascii="Times New Roman" w:hAnsi="Times New Roman"/>
                <w:spacing w:val="11"/>
                <w:sz w:val="19"/>
              </w:rPr>
              <w:t xml:space="preserve"> </w:t>
            </w:r>
            <w:r>
              <w:rPr>
                <w:rFonts w:ascii="Times New Roman" w:hAnsi="Times New Roman"/>
                <w:sz w:val="19"/>
              </w:rPr>
              <w:t>–</w:t>
            </w:r>
            <w:r>
              <w:rPr>
                <w:rFonts w:ascii="Times New Roman" w:hAnsi="Times New Roman"/>
                <w:spacing w:val="9"/>
                <w:sz w:val="19"/>
              </w:rPr>
              <w:t xml:space="preserve"> </w:t>
            </w:r>
            <w:r>
              <w:rPr>
                <w:rFonts w:ascii="Times New Roman" w:hAnsi="Times New Roman"/>
                <w:sz w:val="19"/>
              </w:rPr>
              <w:t>30</w:t>
            </w:r>
            <w:r>
              <w:rPr>
                <w:rFonts w:ascii="Times New Roman" w:hAnsi="Times New Roman"/>
                <w:spacing w:val="11"/>
                <w:sz w:val="19"/>
              </w:rPr>
              <w:t xml:space="preserve"> </w:t>
            </w:r>
            <w:r>
              <w:rPr>
                <w:rFonts w:ascii="Times New Roman" w:hAnsi="Times New Roman"/>
                <w:sz w:val="19"/>
              </w:rPr>
              <w:t>to</w:t>
            </w:r>
            <w:r>
              <w:rPr>
                <w:rFonts w:ascii="Times New Roman" w:hAnsi="Times New Roman"/>
                <w:spacing w:val="11"/>
                <w:sz w:val="19"/>
              </w:rPr>
              <w:t xml:space="preserve"> </w:t>
            </w:r>
            <w:r>
              <w:rPr>
                <w:rFonts w:ascii="Times New Roman" w:hAnsi="Times New Roman"/>
                <w:sz w:val="19"/>
              </w:rPr>
              <w:t>30°C</w:t>
            </w:r>
            <w:r>
              <w:rPr>
                <w:rFonts w:ascii="Times New Roman" w:hAnsi="Times New Roman"/>
                <w:spacing w:val="9"/>
                <w:sz w:val="19"/>
              </w:rPr>
              <w:t xml:space="preserve"> </w:t>
            </w:r>
            <w:r>
              <w:rPr>
                <w:rFonts w:ascii="Times New Roman" w:hAnsi="Times New Roman"/>
                <w:spacing w:val="-2"/>
                <w:sz w:val="19"/>
              </w:rPr>
              <w:t>digital.</w:t>
            </w:r>
          </w:p>
        </w:tc>
        <w:tc>
          <w:tcPr>
            <w:tcW w:w="511" w:type="dxa"/>
            <w:tcBorders>
              <w:top w:val="nil"/>
              <w:bottom w:val="nil"/>
            </w:tcBorders>
          </w:tcPr>
          <w:p w:rsidR="007F6DF9" w:rsidRDefault="00A43FBC">
            <w:pPr>
              <w:pStyle w:val="TableParagraph"/>
              <w:spacing w:before="72"/>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72"/>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574"/>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3" w:line="268" w:lineRule="auto"/>
              <w:ind w:left="35"/>
              <w:rPr>
                <w:rFonts w:ascii="Times New Roman"/>
                <w:sz w:val="19"/>
              </w:rPr>
            </w:pPr>
            <w:r>
              <w:rPr>
                <w:rFonts w:ascii="Times New Roman"/>
                <w:sz w:val="19"/>
              </w:rPr>
              <w:t xml:space="preserve">Main control panel complete with all the </w:t>
            </w:r>
            <w:r>
              <w:rPr>
                <w:rFonts w:ascii="Times New Roman"/>
                <w:spacing w:val="-2"/>
                <w:sz w:val="19"/>
              </w:rPr>
              <w:t>accessories.</w:t>
            </w:r>
          </w:p>
        </w:tc>
        <w:tc>
          <w:tcPr>
            <w:tcW w:w="511" w:type="dxa"/>
            <w:tcBorders>
              <w:top w:val="nil"/>
              <w:bottom w:val="nil"/>
            </w:tcBorders>
          </w:tcPr>
          <w:p w:rsidR="007F6DF9" w:rsidRDefault="00A43FBC">
            <w:pPr>
              <w:pStyle w:val="TableParagraph"/>
              <w:spacing w:before="189"/>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189"/>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7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72"/>
              <w:ind w:left="36"/>
              <w:rPr>
                <w:rFonts w:ascii="Times New Roman"/>
                <w:sz w:val="19"/>
              </w:rPr>
            </w:pPr>
            <w:r>
              <w:rPr>
                <w:rFonts w:ascii="Times New Roman"/>
                <w:sz w:val="19"/>
              </w:rPr>
              <w:t>Thermostatic</w:t>
            </w:r>
            <w:r>
              <w:rPr>
                <w:rFonts w:ascii="Times New Roman"/>
                <w:spacing w:val="21"/>
                <w:sz w:val="19"/>
              </w:rPr>
              <w:t xml:space="preserve"> </w:t>
            </w:r>
            <w:r>
              <w:rPr>
                <w:rFonts w:ascii="Times New Roman"/>
                <w:sz w:val="19"/>
              </w:rPr>
              <w:t>Expansion</w:t>
            </w:r>
            <w:r>
              <w:rPr>
                <w:rFonts w:ascii="Times New Roman"/>
                <w:spacing w:val="24"/>
                <w:sz w:val="19"/>
              </w:rPr>
              <w:t xml:space="preserve"> </w:t>
            </w:r>
            <w:r>
              <w:rPr>
                <w:rFonts w:ascii="Times New Roman"/>
                <w:spacing w:val="-2"/>
                <w:sz w:val="19"/>
              </w:rPr>
              <w:t>Valve</w:t>
            </w:r>
          </w:p>
        </w:tc>
        <w:tc>
          <w:tcPr>
            <w:tcW w:w="511" w:type="dxa"/>
            <w:tcBorders>
              <w:top w:val="nil"/>
              <w:bottom w:val="nil"/>
            </w:tcBorders>
          </w:tcPr>
          <w:p w:rsidR="007F6DF9" w:rsidRDefault="00A43FBC">
            <w:pPr>
              <w:pStyle w:val="TableParagraph"/>
              <w:spacing w:before="72"/>
              <w:ind w:left="18"/>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72"/>
              <w:ind w:left="33" w:right="17"/>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5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75"/>
              <w:ind w:left="35"/>
              <w:rPr>
                <w:rFonts w:ascii="Times New Roman"/>
                <w:sz w:val="19"/>
              </w:rPr>
            </w:pPr>
            <w:r>
              <w:rPr>
                <w:rFonts w:ascii="Times New Roman"/>
                <w:sz w:val="19"/>
              </w:rPr>
              <w:t>Sight</w:t>
            </w:r>
            <w:r>
              <w:rPr>
                <w:rFonts w:ascii="Times New Roman"/>
                <w:spacing w:val="10"/>
                <w:sz w:val="19"/>
              </w:rPr>
              <w:t xml:space="preserve"> </w:t>
            </w:r>
            <w:r>
              <w:rPr>
                <w:rFonts w:ascii="Times New Roman"/>
                <w:sz w:val="19"/>
              </w:rPr>
              <w:t>glass</w:t>
            </w:r>
            <w:r>
              <w:rPr>
                <w:rFonts w:ascii="Times New Roman"/>
                <w:spacing w:val="11"/>
                <w:sz w:val="19"/>
              </w:rPr>
              <w:t xml:space="preserve"> </w:t>
            </w:r>
            <w:r>
              <w:rPr>
                <w:rFonts w:ascii="Times New Roman"/>
                <w:sz w:val="19"/>
              </w:rPr>
              <w:t>with</w:t>
            </w:r>
            <w:r>
              <w:rPr>
                <w:rFonts w:ascii="Times New Roman"/>
                <w:spacing w:val="11"/>
                <w:sz w:val="19"/>
              </w:rPr>
              <w:t xml:space="preserve"> </w:t>
            </w:r>
            <w:proofErr w:type="spellStart"/>
            <w:r>
              <w:rPr>
                <w:rFonts w:ascii="Times New Roman"/>
                <w:sz w:val="19"/>
              </w:rPr>
              <w:t>colour</w:t>
            </w:r>
            <w:proofErr w:type="spellEnd"/>
            <w:r>
              <w:rPr>
                <w:rFonts w:ascii="Times New Roman"/>
                <w:spacing w:val="11"/>
                <w:sz w:val="19"/>
              </w:rPr>
              <w:t xml:space="preserve"> </w:t>
            </w:r>
            <w:r>
              <w:rPr>
                <w:rFonts w:ascii="Times New Roman"/>
                <w:spacing w:val="-2"/>
                <w:sz w:val="19"/>
              </w:rPr>
              <w:t>coding</w:t>
            </w:r>
          </w:p>
        </w:tc>
        <w:tc>
          <w:tcPr>
            <w:tcW w:w="511" w:type="dxa"/>
            <w:tcBorders>
              <w:top w:val="nil"/>
              <w:bottom w:val="nil"/>
            </w:tcBorders>
          </w:tcPr>
          <w:p w:rsidR="007F6DF9" w:rsidRDefault="00A43FBC">
            <w:pPr>
              <w:pStyle w:val="TableParagraph"/>
              <w:spacing w:before="75"/>
              <w:ind w:left="21"/>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75"/>
              <w:ind w:left="33" w:right="19"/>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8"/>
              <w:ind w:left="35"/>
              <w:rPr>
                <w:rFonts w:ascii="Times New Roman"/>
                <w:sz w:val="19"/>
              </w:rPr>
            </w:pPr>
            <w:r>
              <w:rPr>
                <w:rFonts w:ascii="Times New Roman"/>
                <w:sz w:val="19"/>
              </w:rPr>
              <w:t>High</w:t>
            </w:r>
            <w:r>
              <w:rPr>
                <w:rFonts w:ascii="Times New Roman"/>
                <w:spacing w:val="13"/>
                <w:sz w:val="19"/>
              </w:rPr>
              <w:t xml:space="preserve"> </w:t>
            </w:r>
            <w:r>
              <w:rPr>
                <w:rFonts w:ascii="Times New Roman"/>
                <w:sz w:val="19"/>
              </w:rPr>
              <w:t>pressure</w:t>
            </w:r>
            <w:r>
              <w:rPr>
                <w:rFonts w:ascii="Times New Roman"/>
                <w:spacing w:val="11"/>
                <w:sz w:val="19"/>
              </w:rPr>
              <w:t xml:space="preserve"> </w:t>
            </w:r>
            <w:r>
              <w:rPr>
                <w:rFonts w:ascii="Times New Roman"/>
                <w:spacing w:val="-2"/>
                <w:sz w:val="19"/>
              </w:rPr>
              <w:t>gauge</w:t>
            </w:r>
          </w:p>
        </w:tc>
        <w:tc>
          <w:tcPr>
            <w:tcW w:w="511" w:type="dxa"/>
            <w:tcBorders>
              <w:top w:val="nil"/>
              <w:bottom w:val="nil"/>
            </w:tcBorders>
          </w:tcPr>
          <w:p w:rsidR="007F6DF9" w:rsidRDefault="00A43FBC">
            <w:pPr>
              <w:pStyle w:val="TableParagraph"/>
              <w:spacing w:before="58"/>
              <w:ind w:left="18"/>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58"/>
              <w:ind w:left="33" w:right="17"/>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0"/>
              <w:ind w:left="36"/>
              <w:rPr>
                <w:rFonts w:ascii="Times New Roman"/>
                <w:sz w:val="19"/>
              </w:rPr>
            </w:pPr>
            <w:r>
              <w:rPr>
                <w:rFonts w:ascii="Times New Roman"/>
                <w:sz w:val="19"/>
              </w:rPr>
              <w:t>Low</w:t>
            </w:r>
            <w:r>
              <w:rPr>
                <w:rFonts w:ascii="Times New Roman"/>
                <w:spacing w:val="8"/>
                <w:sz w:val="19"/>
              </w:rPr>
              <w:t xml:space="preserve"> </w:t>
            </w:r>
            <w:r>
              <w:rPr>
                <w:rFonts w:ascii="Times New Roman"/>
                <w:sz w:val="19"/>
              </w:rPr>
              <w:t>pressure</w:t>
            </w:r>
            <w:r>
              <w:rPr>
                <w:rFonts w:ascii="Times New Roman"/>
                <w:spacing w:val="10"/>
                <w:sz w:val="19"/>
              </w:rPr>
              <w:t xml:space="preserve"> </w:t>
            </w:r>
            <w:r>
              <w:rPr>
                <w:rFonts w:ascii="Times New Roman"/>
                <w:spacing w:val="-4"/>
                <w:sz w:val="19"/>
              </w:rPr>
              <w:t>gauge</w:t>
            </w:r>
          </w:p>
        </w:tc>
        <w:tc>
          <w:tcPr>
            <w:tcW w:w="511" w:type="dxa"/>
            <w:tcBorders>
              <w:top w:val="nil"/>
              <w:bottom w:val="nil"/>
            </w:tcBorders>
          </w:tcPr>
          <w:p w:rsidR="007F6DF9" w:rsidRDefault="00A43FBC">
            <w:pPr>
              <w:pStyle w:val="TableParagraph"/>
              <w:spacing w:before="50"/>
              <w:ind w:left="21"/>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50"/>
              <w:ind w:left="33" w:right="19"/>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2"/>
              <w:ind w:left="36"/>
              <w:rPr>
                <w:rFonts w:ascii="Times New Roman"/>
                <w:sz w:val="19"/>
              </w:rPr>
            </w:pPr>
            <w:r>
              <w:rPr>
                <w:rFonts w:ascii="Times New Roman"/>
                <w:sz w:val="19"/>
              </w:rPr>
              <w:t>Filter</w:t>
            </w:r>
            <w:r>
              <w:rPr>
                <w:rFonts w:ascii="Times New Roman"/>
                <w:spacing w:val="10"/>
                <w:sz w:val="19"/>
              </w:rPr>
              <w:t xml:space="preserve"> </w:t>
            </w:r>
            <w:r>
              <w:rPr>
                <w:rFonts w:ascii="Times New Roman"/>
                <w:spacing w:val="-2"/>
                <w:sz w:val="19"/>
              </w:rPr>
              <w:t>drier</w:t>
            </w:r>
          </w:p>
        </w:tc>
        <w:tc>
          <w:tcPr>
            <w:tcW w:w="511" w:type="dxa"/>
            <w:tcBorders>
              <w:top w:val="nil"/>
              <w:bottom w:val="nil"/>
            </w:tcBorders>
          </w:tcPr>
          <w:p w:rsidR="007F6DF9" w:rsidRDefault="00A43FBC">
            <w:pPr>
              <w:pStyle w:val="TableParagraph"/>
              <w:spacing w:before="62"/>
              <w:ind w:left="19"/>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62"/>
              <w:ind w:left="33" w:right="16"/>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0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3"/>
              <w:ind w:left="35"/>
              <w:rPr>
                <w:rFonts w:ascii="Times New Roman"/>
                <w:sz w:val="19"/>
              </w:rPr>
            </w:pPr>
            <w:r>
              <w:rPr>
                <w:rFonts w:ascii="Times New Roman"/>
                <w:sz w:val="19"/>
              </w:rPr>
              <w:t>Solenoid</w:t>
            </w:r>
            <w:r>
              <w:rPr>
                <w:rFonts w:ascii="Times New Roman"/>
                <w:spacing w:val="19"/>
                <w:sz w:val="19"/>
              </w:rPr>
              <w:t xml:space="preserve"> </w:t>
            </w:r>
            <w:r>
              <w:rPr>
                <w:rFonts w:ascii="Times New Roman"/>
                <w:spacing w:val="-2"/>
                <w:sz w:val="19"/>
              </w:rPr>
              <w:t>valve</w:t>
            </w:r>
          </w:p>
        </w:tc>
        <w:tc>
          <w:tcPr>
            <w:tcW w:w="511" w:type="dxa"/>
            <w:tcBorders>
              <w:top w:val="nil"/>
              <w:bottom w:val="nil"/>
            </w:tcBorders>
          </w:tcPr>
          <w:p w:rsidR="007F6DF9" w:rsidRDefault="00A43FBC">
            <w:pPr>
              <w:pStyle w:val="TableParagraph"/>
              <w:spacing w:before="53"/>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53"/>
              <w:ind w:left="33" w:right="19"/>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8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6"/>
              <w:ind w:left="35"/>
              <w:rPr>
                <w:rFonts w:ascii="Times New Roman"/>
                <w:b/>
                <w:sz w:val="19"/>
              </w:rPr>
            </w:pPr>
            <w:r>
              <w:rPr>
                <w:rFonts w:ascii="Times New Roman"/>
                <w:b/>
                <w:sz w:val="19"/>
              </w:rPr>
              <w:t>Copper</w:t>
            </w:r>
            <w:r>
              <w:rPr>
                <w:rFonts w:ascii="Times New Roman"/>
                <w:b/>
                <w:spacing w:val="12"/>
                <w:sz w:val="19"/>
              </w:rPr>
              <w:t xml:space="preserve"> </w:t>
            </w:r>
            <w:r>
              <w:rPr>
                <w:rFonts w:ascii="Times New Roman"/>
                <w:b/>
                <w:spacing w:val="-4"/>
                <w:sz w:val="19"/>
              </w:rPr>
              <w:t>Pipe</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4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5"/>
              <w:ind w:left="35"/>
              <w:rPr>
                <w:rFonts w:ascii="Times New Roman"/>
                <w:sz w:val="19"/>
              </w:rPr>
            </w:pPr>
            <w:r>
              <w:rPr>
                <w:rFonts w:ascii="Times New Roman"/>
                <w:sz w:val="19"/>
              </w:rPr>
              <w:t>Suction</w:t>
            </w:r>
            <w:r>
              <w:rPr>
                <w:rFonts w:ascii="Times New Roman"/>
                <w:spacing w:val="60"/>
                <w:sz w:val="19"/>
              </w:rPr>
              <w:t xml:space="preserve"> </w:t>
            </w:r>
            <w:r>
              <w:rPr>
                <w:rFonts w:ascii="Times New Roman"/>
                <w:sz w:val="19"/>
              </w:rPr>
              <w:t>line</w:t>
            </w:r>
            <w:r>
              <w:rPr>
                <w:rFonts w:ascii="Times New Roman"/>
                <w:spacing w:val="59"/>
                <w:sz w:val="19"/>
              </w:rPr>
              <w:t xml:space="preserve"> </w:t>
            </w:r>
            <w:r>
              <w:rPr>
                <w:rFonts w:ascii="Times New Roman"/>
                <w:spacing w:val="-5"/>
                <w:sz w:val="19"/>
              </w:rPr>
              <w:t>7/8</w:t>
            </w:r>
          </w:p>
        </w:tc>
        <w:tc>
          <w:tcPr>
            <w:tcW w:w="511" w:type="dxa"/>
            <w:tcBorders>
              <w:top w:val="nil"/>
              <w:bottom w:val="nil"/>
            </w:tcBorders>
          </w:tcPr>
          <w:p w:rsidR="007F6DF9" w:rsidRDefault="00A43FBC">
            <w:pPr>
              <w:pStyle w:val="TableParagraph"/>
              <w:spacing w:before="88"/>
              <w:ind w:left="19"/>
              <w:jc w:val="center"/>
              <w:rPr>
                <w:rFonts w:ascii="Times New Roman"/>
                <w:sz w:val="19"/>
              </w:rPr>
            </w:pPr>
            <w:r>
              <w:rPr>
                <w:rFonts w:ascii="Times New Roman"/>
                <w:spacing w:val="-5"/>
                <w:sz w:val="19"/>
              </w:rPr>
              <w:t>SM</w:t>
            </w:r>
          </w:p>
        </w:tc>
        <w:tc>
          <w:tcPr>
            <w:tcW w:w="547" w:type="dxa"/>
            <w:tcBorders>
              <w:top w:val="nil"/>
              <w:bottom w:val="nil"/>
            </w:tcBorders>
          </w:tcPr>
          <w:p w:rsidR="007F6DF9" w:rsidRDefault="00A43FBC">
            <w:pPr>
              <w:pStyle w:val="TableParagraph"/>
              <w:spacing w:before="88"/>
              <w:ind w:left="33" w:right="15"/>
              <w:jc w:val="center"/>
              <w:rPr>
                <w:rFonts w:ascii="Times New Roman"/>
                <w:sz w:val="19"/>
              </w:rPr>
            </w:pPr>
            <w:r>
              <w:rPr>
                <w:rFonts w:ascii="Times New Roman"/>
                <w:spacing w:val="-5"/>
                <w:sz w:val="19"/>
              </w:rPr>
              <w:t>10</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9"/>
              <w:ind w:left="35"/>
              <w:rPr>
                <w:rFonts w:ascii="Times New Roman"/>
                <w:sz w:val="19"/>
              </w:rPr>
            </w:pPr>
            <w:r>
              <w:rPr>
                <w:rFonts w:ascii="Times New Roman"/>
                <w:sz w:val="19"/>
              </w:rPr>
              <w:t>Liquid</w:t>
            </w:r>
            <w:r>
              <w:rPr>
                <w:rFonts w:ascii="Times New Roman"/>
                <w:spacing w:val="6"/>
                <w:sz w:val="19"/>
              </w:rPr>
              <w:t xml:space="preserve"> </w:t>
            </w:r>
            <w:r>
              <w:rPr>
                <w:rFonts w:ascii="Times New Roman"/>
                <w:sz w:val="19"/>
              </w:rPr>
              <w:t>line</w:t>
            </w:r>
            <w:r>
              <w:rPr>
                <w:rFonts w:ascii="Times New Roman"/>
                <w:spacing w:val="32"/>
                <w:sz w:val="19"/>
              </w:rPr>
              <w:t xml:space="preserve">  </w:t>
            </w:r>
            <w:r>
              <w:rPr>
                <w:rFonts w:ascii="Times New Roman"/>
                <w:spacing w:val="-5"/>
                <w:sz w:val="19"/>
              </w:rPr>
              <w:t>3/8</w:t>
            </w:r>
          </w:p>
        </w:tc>
        <w:tc>
          <w:tcPr>
            <w:tcW w:w="511" w:type="dxa"/>
            <w:tcBorders>
              <w:top w:val="nil"/>
              <w:bottom w:val="nil"/>
            </w:tcBorders>
          </w:tcPr>
          <w:p w:rsidR="007F6DF9" w:rsidRDefault="00A43FBC">
            <w:pPr>
              <w:pStyle w:val="TableParagraph"/>
              <w:spacing w:before="82"/>
              <w:ind w:left="19"/>
              <w:jc w:val="center"/>
              <w:rPr>
                <w:rFonts w:ascii="Times New Roman"/>
                <w:sz w:val="19"/>
              </w:rPr>
            </w:pPr>
            <w:r>
              <w:rPr>
                <w:rFonts w:ascii="Times New Roman"/>
                <w:spacing w:val="-5"/>
                <w:sz w:val="19"/>
              </w:rPr>
              <w:t>SM</w:t>
            </w:r>
          </w:p>
        </w:tc>
        <w:tc>
          <w:tcPr>
            <w:tcW w:w="547" w:type="dxa"/>
            <w:tcBorders>
              <w:top w:val="nil"/>
              <w:bottom w:val="nil"/>
            </w:tcBorders>
          </w:tcPr>
          <w:p w:rsidR="007F6DF9" w:rsidRDefault="00A43FBC">
            <w:pPr>
              <w:pStyle w:val="TableParagraph"/>
              <w:spacing w:before="82"/>
              <w:ind w:left="33" w:right="15"/>
              <w:jc w:val="center"/>
              <w:rPr>
                <w:rFonts w:ascii="Times New Roman"/>
                <w:sz w:val="19"/>
              </w:rPr>
            </w:pPr>
            <w:r>
              <w:rPr>
                <w:rFonts w:ascii="Times New Roman"/>
                <w:spacing w:val="-5"/>
                <w:sz w:val="19"/>
              </w:rPr>
              <w:t>10</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1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9"/>
              <w:ind w:left="35"/>
              <w:rPr>
                <w:rFonts w:ascii="Times New Roman"/>
                <w:sz w:val="19"/>
              </w:rPr>
            </w:pPr>
            <w:r>
              <w:rPr>
                <w:rFonts w:ascii="Times New Roman"/>
                <w:sz w:val="19"/>
              </w:rPr>
              <w:t>Copper</w:t>
            </w:r>
            <w:r>
              <w:rPr>
                <w:rFonts w:ascii="Times New Roman"/>
                <w:spacing w:val="20"/>
                <w:sz w:val="19"/>
              </w:rPr>
              <w:t xml:space="preserve"> </w:t>
            </w:r>
            <w:r>
              <w:rPr>
                <w:rFonts w:ascii="Times New Roman"/>
                <w:sz w:val="19"/>
              </w:rPr>
              <w:t>piping/</w:t>
            </w:r>
            <w:proofErr w:type="spellStart"/>
            <w:r>
              <w:rPr>
                <w:rFonts w:ascii="Times New Roman"/>
                <w:sz w:val="19"/>
              </w:rPr>
              <w:t>Amaflex</w:t>
            </w:r>
            <w:proofErr w:type="spellEnd"/>
            <w:r>
              <w:rPr>
                <w:rFonts w:ascii="Times New Roman"/>
                <w:spacing w:val="20"/>
                <w:sz w:val="19"/>
              </w:rPr>
              <w:t xml:space="preserve"> </w:t>
            </w:r>
            <w:r>
              <w:rPr>
                <w:rFonts w:ascii="Times New Roman"/>
                <w:spacing w:val="-2"/>
                <w:sz w:val="19"/>
              </w:rPr>
              <w:t>insulation</w:t>
            </w:r>
          </w:p>
        </w:tc>
        <w:tc>
          <w:tcPr>
            <w:tcW w:w="511" w:type="dxa"/>
            <w:tcBorders>
              <w:top w:val="nil"/>
              <w:bottom w:val="nil"/>
            </w:tcBorders>
          </w:tcPr>
          <w:p w:rsidR="007F6DF9" w:rsidRDefault="00A43FBC">
            <w:pPr>
              <w:pStyle w:val="TableParagraph"/>
              <w:spacing w:before="70"/>
              <w:ind w:left="19"/>
              <w:jc w:val="center"/>
              <w:rPr>
                <w:rFonts w:ascii="Times New Roman"/>
                <w:sz w:val="19"/>
              </w:rPr>
            </w:pPr>
            <w:r>
              <w:rPr>
                <w:rFonts w:ascii="Times New Roman"/>
                <w:spacing w:val="-5"/>
                <w:sz w:val="19"/>
              </w:rPr>
              <w:t>SM</w:t>
            </w:r>
          </w:p>
        </w:tc>
        <w:tc>
          <w:tcPr>
            <w:tcW w:w="547" w:type="dxa"/>
            <w:tcBorders>
              <w:top w:val="nil"/>
              <w:bottom w:val="nil"/>
            </w:tcBorders>
          </w:tcPr>
          <w:p w:rsidR="007F6DF9" w:rsidRDefault="00A43FBC">
            <w:pPr>
              <w:pStyle w:val="TableParagraph"/>
              <w:spacing w:before="70"/>
              <w:ind w:left="33" w:right="15"/>
              <w:jc w:val="center"/>
              <w:rPr>
                <w:rFonts w:ascii="Times New Roman"/>
                <w:sz w:val="19"/>
              </w:rPr>
            </w:pPr>
            <w:r>
              <w:rPr>
                <w:rFonts w:ascii="Times New Roman"/>
                <w:spacing w:val="-5"/>
                <w:sz w:val="19"/>
              </w:rPr>
              <w:t>25</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9"/>
        </w:trPr>
        <w:tc>
          <w:tcPr>
            <w:tcW w:w="511" w:type="dxa"/>
            <w:vMerge/>
            <w:tcBorders>
              <w:top w:val="nil"/>
            </w:tcBorders>
          </w:tcPr>
          <w:p w:rsidR="007F6DF9" w:rsidRDefault="007F6DF9">
            <w:pPr>
              <w:rPr>
                <w:sz w:val="2"/>
                <w:szCs w:val="2"/>
              </w:rPr>
            </w:pPr>
          </w:p>
        </w:tc>
        <w:tc>
          <w:tcPr>
            <w:tcW w:w="3888" w:type="dxa"/>
            <w:tcBorders>
              <w:top w:val="nil"/>
            </w:tcBorders>
          </w:tcPr>
          <w:p w:rsidR="007F6DF9" w:rsidRDefault="00A43FBC">
            <w:pPr>
              <w:pStyle w:val="TableParagraph"/>
              <w:spacing w:before="23"/>
              <w:ind w:left="35"/>
              <w:rPr>
                <w:rFonts w:ascii="Times New Roman"/>
                <w:sz w:val="19"/>
              </w:rPr>
            </w:pPr>
            <w:r>
              <w:rPr>
                <w:rFonts w:ascii="Times New Roman"/>
                <w:sz w:val="19"/>
              </w:rPr>
              <w:t>Weather</w:t>
            </w:r>
            <w:r>
              <w:rPr>
                <w:rFonts w:ascii="Times New Roman"/>
                <w:spacing w:val="17"/>
                <w:sz w:val="19"/>
              </w:rPr>
              <w:t xml:space="preserve"> </w:t>
            </w:r>
            <w:r>
              <w:rPr>
                <w:rFonts w:ascii="Times New Roman"/>
                <w:sz w:val="19"/>
              </w:rPr>
              <w:t>Proof</w:t>
            </w:r>
            <w:r>
              <w:rPr>
                <w:rFonts w:ascii="Times New Roman"/>
                <w:spacing w:val="17"/>
                <w:sz w:val="19"/>
              </w:rPr>
              <w:t xml:space="preserve"> </w:t>
            </w:r>
            <w:r>
              <w:rPr>
                <w:rFonts w:ascii="Times New Roman"/>
                <w:sz w:val="19"/>
              </w:rPr>
              <w:t>fluorescent</w:t>
            </w:r>
            <w:r>
              <w:rPr>
                <w:rFonts w:ascii="Times New Roman"/>
                <w:spacing w:val="17"/>
                <w:sz w:val="19"/>
              </w:rPr>
              <w:t xml:space="preserve"> </w:t>
            </w:r>
            <w:r>
              <w:rPr>
                <w:rFonts w:ascii="Times New Roman"/>
                <w:spacing w:val="-2"/>
                <w:sz w:val="19"/>
              </w:rPr>
              <w:t>fitting</w:t>
            </w:r>
          </w:p>
        </w:tc>
        <w:tc>
          <w:tcPr>
            <w:tcW w:w="511" w:type="dxa"/>
            <w:tcBorders>
              <w:top w:val="nil"/>
            </w:tcBorders>
          </w:tcPr>
          <w:p w:rsidR="007F6DF9" w:rsidRDefault="00A43FBC">
            <w:pPr>
              <w:pStyle w:val="TableParagraph"/>
              <w:spacing w:before="69"/>
              <w:ind w:left="20"/>
              <w:jc w:val="center"/>
              <w:rPr>
                <w:rFonts w:ascii="Times New Roman"/>
                <w:sz w:val="19"/>
              </w:rPr>
            </w:pPr>
            <w:r>
              <w:rPr>
                <w:rFonts w:ascii="Times New Roman"/>
                <w:spacing w:val="-5"/>
                <w:sz w:val="19"/>
              </w:rPr>
              <w:t>No.</w:t>
            </w:r>
          </w:p>
        </w:tc>
        <w:tc>
          <w:tcPr>
            <w:tcW w:w="547" w:type="dxa"/>
            <w:tcBorders>
              <w:top w:val="nil"/>
            </w:tcBorders>
          </w:tcPr>
          <w:p w:rsidR="007F6DF9" w:rsidRDefault="00A43FBC">
            <w:pPr>
              <w:pStyle w:val="TableParagraph"/>
              <w:spacing w:before="69"/>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462"/>
        </w:trPr>
        <w:tc>
          <w:tcPr>
            <w:tcW w:w="511" w:type="dxa"/>
          </w:tcPr>
          <w:p w:rsidR="007F6DF9" w:rsidRDefault="00A43FBC">
            <w:pPr>
              <w:pStyle w:val="TableParagraph"/>
              <w:spacing w:before="7"/>
              <w:ind w:left="18"/>
              <w:jc w:val="center"/>
              <w:rPr>
                <w:rFonts w:ascii="Times New Roman"/>
                <w:sz w:val="19"/>
              </w:rPr>
            </w:pPr>
            <w:r>
              <w:rPr>
                <w:rFonts w:ascii="Times New Roman"/>
                <w:spacing w:val="-10"/>
                <w:sz w:val="19"/>
              </w:rPr>
              <w:t>Y</w:t>
            </w:r>
          </w:p>
        </w:tc>
        <w:tc>
          <w:tcPr>
            <w:tcW w:w="3888" w:type="dxa"/>
          </w:tcPr>
          <w:p w:rsidR="007F6DF9" w:rsidRDefault="00A43FBC">
            <w:pPr>
              <w:pStyle w:val="TableParagraph"/>
              <w:spacing w:before="7"/>
              <w:ind w:left="35"/>
              <w:rPr>
                <w:rFonts w:ascii="Times New Roman"/>
                <w:sz w:val="19"/>
              </w:rPr>
            </w:pPr>
            <w:r>
              <w:rPr>
                <w:rFonts w:ascii="Times New Roman"/>
                <w:sz w:val="19"/>
              </w:rPr>
              <w:t>One</w:t>
            </w:r>
            <w:r>
              <w:rPr>
                <w:rFonts w:ascii="Times New Roman"/>
                <w:spacing w:val="9"/>
                <w:sz w:val="19"/>
              </w:rPr>
              <w:t xml:space="preserve"> </w:t>
            </w:r>
            <w:r>
              <w:rPr>
                <w:rFonts w:ascii="Times New Roman"/>
                <w:sz w:val="19"/>
              </w:rPr>
              <w:t>full</w:t>
            </w:r>
            <w:r>
              <w:rPr>
                <w:rFonts w:ascii="Times New Roman"/>
                <w:spacing w:val="10"/>
                <w:sz w:val="19"/>
              </w:rPr>
              <w:t xml:space="preserve"> </w:t>
            </w:r>
            <w:r>
              <w:rPr>
                <w:rFonts w:ascii="Times New Roman"/>
                <w:sz w:val="19"/>
              </w:rPr>
              <w:t>length</w:t>
            </w:r>
            <w:r>
              <w:rPr>
                <w:rFonts w:ascii="Times New Roman"/>
                <w:spacing w:val="10"/>
                <w:sz w:val="19"/>
              </w:rPr>
              <w:t xml:space="preserve"> </w:t>
            </w:r>
            <w:r>
              <w:rPr>
                <w:rFonts w:ascii="Times New Roman"/>
                <w:sz w:val="19"/>
              </w:rPr>
              <w:t>1.5</w:t>
            </w:r>
            <w:r>
              <w:rPr>
                <w:rFonts w:ascii="Times New Roman"/>
                <w:spacing w:val="10"/>
                <w:sz w:val="19"/>
              </w:rPr>
              <w:t xml:space="preserve"> </w:t>
            </w:r>
            <w:proofErr w:type="spellStart"/>
            <w:r>
              <w:rPr>
                <w:rFonts w:ascii="Times New Roman"/>
                <w:sz w:val="19"/>
              </w:rPr>
              <w:t>Pvc</w:t>
            </w:r>
            <w:proofErr w:type="spellEnd"/>
            <w:r>
              <w:rPr>
                <w:rFonts w:ascii="Times New Roman"/>
                <w:spacing w:val="7"/>
                <w:sz w:val="19"/>
              </w:rPr>
              <w:t xml:space="preserve"> </w:t>
            </w:r>
            <w:r>
              <w:rPr>
                <w:rFonts w:ascii="Times New Roman"/>
                <w:sz w:val="19"/>
              </w:rPr>
              <w:t>pipe</w:t>
            </w:r>
            <w:r>
              <w:rPr>
                <w:rFonts w:ascii="Times New Roman"/>
                <w:spacing w:val="9"/>
                <w:sz w:val="19"/>
              </w:rPr>
              <w:t xml:space="preserve"> </w:t>
            </w:r>
            <w:r>
              <w:rPr>
                <w:rFonts w:ascii="Times New Roman"/>
                <w:sz w:val="19"/>
              </w:rPr>
              <w:t>for</w:t>
            </w:r>
            <w:r>
              <w:rPr>
                <w:rFonts w:ascii="Times New Roman"/>
                <w:spacing w:val="8"/>
                <w:sz w:val="19"/>
              </w:rPr>
              <w:t xml:space="preserve"> </w:t>
            </w:r>
            <w:r>
              <w:rPr>
                <w:rFonts w:ascii="Times New Roman"/>
                <w:sz w:val="19"/>
              </w:rPr>
              <w:t>evaporator</w:t>
            </w:r>
            <w:r>
              <w:rPr>
                <w:rFonts w:ascii="Times New Roman"/>
                <w:spacing w:val="10"/>
                <w:sz w:val="19"/>
              </w:rPr>
              <w:t xml:space="preserve"> </w:t>
            </w:r>
            <w:r>
              <w:rPr>
                <w:rFonts w:ascii="Times New Roman"/>
                <w:spacing w:val="-2"/>
                <w:sz w:val="19"/>
              </w:rPr>
              <w:t>drain</w:t>
            </w:r>
          </w:p>
        </w:tc>
        <w:tc>
          <w:tcPr>
            <w:tcW w:w="511" w:type="dxa"/>
          </w:tcPr>
          <w:p w:rsidR="007F6DF9" w:rsidRDefault="00A43FBC">
            <w:pPr>
              <w:pStyle w:val="TableParagraph"/>
              <w:spacing w:before="122"/>
              <w:ind w:left="19"/>
              <w:jc w:val="center"/>
              <w:rPr>
                <w:rFonts w:ascii="Times New Roman"/>
                <w:sz w:val="19"/>
              </w:rPr>
            </w:pPr>
            <w:r>
              <w:rPr>
                <w:rFonts w:ascii="Times New Roman"/>
                <w:spacing w:val="-5"/>
                <w:sz w:val="19"/>
              </w:rPr>
              <w:t>SM</w:t>
            </w:r>
          </w:p>
        </w:tc>
        <w:tc>
          <w:tcPr>
            <w:tcW w:w="547" w:type="dxa"/>
          </w:tcPr>
          <w:p w:rsidR="007F6DF9" w:rsidRDefault="00A43FBC">
            <w:pPr>
              <w:pStyle w:val="TableParagraph"/>
              <w:spacing w:before="122"/>
              <w:ind w:left="33" w:right="16"/>
              <w:jc w:val="center"/>
              <w:rPr>
                <w:rFonts w:ascii="Times New Roman"/>
                <w:sz w:val="19"/>
              </w:rPr>
            </w:pPr>
            <w:r>
              <w:rPr>
                <w:rFonts w:ascii="Times New Roman"/>
                <w:spacing w:val="-10"/>
                <w:sz w:val="19"/>
              </w:rPr>
              <w:t>6</w:t>
            </w:r>
          </w:p>
        </w:tc>
        <w:tc>
          <w:tcPr>
            <w:tcW w:w="1226" w:type="dxa"/>
          </w:tcPr>
          <w:p w:rsidR="007F6DF9" w:rsidRDefault="007F6DF9">
            <w:pPr>
              <w:pStyle w:val="TableParagraph"/>
              <w:rPr>
                <w:rFonts w:ascii="Times New Roman"/>
                <w:sz w:val="18"/>
              </w:rPr>
            </w:pPr>
          </w:p>
        </w:tc>
        <w:tc>
          <w:tcPr>
            <w:tcW w:w="1420" w:type="dxa"/>
          </w:tcPr>
          <w:p w:rsidR="007F6DF9" w:rsidRDefault="007F6DF9">
            <w:pPr>
              <w:pStyle w:val="TableParagraph"/>
              <w:rPr>
                <w:rFonts w:ascii="Times New Roman"/>
                <w:sz w:val="18"/>
              </w:rPr>
            </w:pPr>
          </w:p>
        </w:tc>
      </w:tr>
    </w:tbl>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spacing w:before="175"/>
        <w:rPr>
          <w:rFonts w:ascii="Calibri"/>
          <w:sz w:val="19"/>
        </w:rPr>
      </w:pPr>
    </w:p>
    <w:p w:rsidR="007F6DF9" w:rsidRDefault="00A43FBC">
      <w:pPr>
        <w:ind w:left="690"/>
        <w:jc w:val="center"/>
        <w:rPr>
          <w:sz w:val="19"/>
        </w:rPr>
      </w:pPr>
      <w:r>
        <w:rPr>
          <w:sz w:val="19"/>
        </w:rPr>
        <w:t>Page</w:t>
      </w:r>
      <w:r>
        <w:rPr>
          <w:spacing w:val="7"/>
          <w:sz w:val="19"/>
        </w:rPr>
        <w:t xml:space="preserve"> </w:t>
      </w:r>
      <w:r>
        <w:rPr>
          <w:spacing w:val="-5"/>
          <w:sz w:val="19"/>
        </w:rPr>
        <w:t>87</w:t>
      </w:r>
    </w:p>
    <w:p w:rsidR="007F6DF9" w:rsidRDefault="007F6DF9">
      <w:pPr>
        <w:jc w:val="center"/>
        <w:rPr>
          <w:sz w:val="19"/>
        </w:rPr>
        <w:sectPr w:rsidR="007F6DF9">
          <w:headerReference w:type="default" r:id="rId75"/>
          <w:footerReference w:type="default" r:id="rId76"/>
          <w:pgSz w:w="11910" w:h="16840"/>
          <w:pgMar w:top="1860" w:right="1700" w:bottom="280" w:left="992" w:header="0" w:footer="0" w:gutter="0"/>
          <w:cols w:space="720"/>
        </w:sect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3888"/>
        <w:gridCol w:w="511"/>
        <w:gridCol w:w="547"/>
        <w:gridCol w:w="1226"/>
        <w:gridCol w:w="1420"/>
      </w:tblGrid>
      <w:tr w:rsidR="007F6DF9">
        <w:trPr>
          <w:trHeight w:val="359"/>
        </w:trPr>
        <w:tc>
          <w:tcPr>
            <w:tcW w:w="511" w:type="dxa"/>
          </w:tcPr>
          <w:p w:rsidR="007F6DF9" w:rsidRDefault="00A43FBC">
            <w:pPr>
              <w:pStyle w:val="TableParagraph"/>
              <w:spacing w:before="76"/>
              <w:ind w:left="70"/>
              <w:rPr>
                <w:rFonts w:ascii="Times New Roman"/>
                <w:b/>
                <w:sz w:val="19"/>
              </w:rPr>
            </w:pPr>
            <w:r>
              <w:rPr>
                <w:rFonts w:ascii="Times New Roman"/>
                <w:b/>
                <w:spacing w:val="-4"/>
                <w:sz w:val="19"/>
              </w:rPr>
              <w:lastRenderedPageBreak/>
              <w:t>Item</w:t>
            </w:r>
          </w:p>
        </w:tc>
        <w:tc>
          <w:tcPr>
            <w:tcW w:w="3888" w:type="dxa"/>
          </w:tcPr>
          <w:p w:rsidR="007F6DF9" w:rsidRDefault="00A43FBC">
            <w:pPr>
              <w:pStyle w:val="TableParagraph"/>
              <w:spacing w:before="76"/>
              <w:ind w:left="44"/>
              <w:rPr>
                <w:rFonts w:ascii="Times New Roman"/>
                <w:b/>
                <w:sz w:val="19"/>
              </w:rPr>
            </w:pPr>
            <w:r>
              <w:rPr>
                <w:rFonts w:ascii="Times New Roman"/>
                <w:b/>
                <w:spacing w:val="-2"/>
                <w:sz w:val="19"/>
              </w:rPr>
              <w:t>Description</w:t>
            </w:r>
          </w:p>
        </w:tc>
        <w:tc>
          <w:tcPr>
            <w:tcW w:w="511" w:type="dxa"/>
          </w:tcPr>
          <w:p w:rsidR="007F6DF9" w:rsidRDefault="00A43FBC">
            <w:pPr>
              <w:pStyle w:val="TableParagraph"/>
              <w:spacing w:before="76"/>
              <w:ind w:left="68" w:right="31"/>
              <w:jc w:val="center"/>
              <w:rPr>
                <w:rFonts w:ascii="Times New Roman"/>
                <w:b/>
                <w:sz w:val="19"/>
              </w:rPr>
            </w:pPr>
            <w:r>
              <w:rPr>
                <w:rFonts w:ascii="Times New Roman"/>
                <w:b/>
                <w:spacing w:val="-4"/>
                <w:sz w:val="19"/>
              </w:rPr>
              <w:t>Unit</w:t>
            </w:r>
          </w:p>
        </w:tc>
        <w:tc>
          <w:tcPr>
            <w:tcW w:w="547" w:type="dxa"/>
          </w:tcPr>
          <w:p w:rsidR="007F6DF9" w:rsidRDefault="00A43FBC">
            <w:pPr>
              <w:pStyle w:val="TableParagraph"/>
              <w:spacing w:before="76"/>
              <w:ind w:left="33"/>
              <w:jc w:val="center"/>
              <w:rPr>
                <w:rFonts w:ascii="Times New Roman"/>
                <w:b/>
                <w:sz w:val="19"/>
              </w:rPr>
            </w:pPr>
            <w:proofErr w:type="spellStart"/>
            <w:r>
              <w:rPr>
                <w:rFonts w:ascii="Times New Roman"/>
                <w:b/>
                <w:spacing w:val="-5"/>
                <w:sz w:val="19"/>
              </w:rPr>
              <w:t>Qty</w:t>
            </w:r>
            <w:proofErr w:type="spellEnd"/>
          </w:p>
        </w:tc>
        <w:tc>
          <w:tcPr>
            <w:tcW w:w="1226" w:type="dxa"/>
          </w:tcPr>
          <w:p w:rsidR="007F6DF9" w:rsidRDefault="00A43FBC">
            <w:pPr>
              <w:pStyle w:val="TableParagraph"/>
              <w:spacing w:before="76"/>
              <w:ind w:left="390"/>
              <w:rPr>
                <w:rFonts w:ascii="Times New Roman"/>
                <w:b/>
                <w:sz w:val="19"/>
              </w:rPr>
            </w:pPr>
            <w:r>
              <w:rPr>
                <w:rFonts w:ascii="Times New Roman"/>
                <w:b/>
                <w:spacing w:val="-2"/>
                <w:sz w:val="19"/>
              </w:rPr>
              <w:t>Rates</w:t>
            </w:r>
          </w:p>
        </w:tc>
        <w:tc>
          <w:tcPr>
            <w:tcW w:w="1420" w:type="dxa"/>
          </w:tcPr>
          <w:p w:rsidR="007F6DF9" w:rsidRDefault="00A43FBC">
            <w:pPr>
              <w:pStyle w:val="TableParagraph"/>
              <w:spacing w:before="76"/>
              <w:ind w:left="62"/>
              <w:rPr>
                <w:rFonts w:ascii="Times New Roman"/>
                <w:b/>
                <w:sz w:val="19"/>
              </w:rPr>
            </w:pPr>
            <w:r>
              <w:rPr>
                <w:rFonts w:ascii="Times New Roman"/>
                <w:b/>
                <w:sz w:val="19"/>
              </w:rPr>
              <w:t>Amount</w:t>
            </w:r>
            <w:r>
              <w:rPr>
                <w:rFonts w:ascii="Times New Roman"/>
                <w:b/>
                <w:spacing w:val="58"/>
                <w:sz w:val="19"/>
              </w:rPr>
              <w:t xml:space="preserve"> </w:t>
            </w:r>
            <w:r>
              <w:rPr>
                <w:rFonts w:ascii="Times New Roman"/>
                <w:b/>
                <w:spacing w:val="-2"/>
                <w:sz w:val="19"/>
              </w:rPr>
              <w:t>(</w:t>
            </w:r>
            <w:proofErr w:type="spellStart"/>
            <w:r>
              <w:rPr>
                <w:rFonts w:ascii="Times New Roman"/>
                <w:b/>
                <w:spacing w:val="-2"/>
                <w:sz w:val="19"/>
              </w:rPr>
              <w:t>Kshs</w:t>
            </w:r>
            <w:proofErr w:type="spellEnd"/>
            <w:r>
              <w:rPr>
                <w:rFonts w:ascii="Times New Roman"/>
                <w:b/>
                <w:spacing w:val="-2"/>
                <w:sz w:val="19"/>
              </w:rPr>
              <w:t>)</w:t>
            </w:r>
          </w:p>
        </w:tc>
      </w:tr>
      <w:tr w:rsidR="007F6DF9">
        <w:trPr>
          <w:trHeight w:val="254"/>
        </w:trPr>
        <w:tc>
          <w:tcPr>
            <w:tcW w:w="511" w:type="dxa"/>
            <w:vMerge w:val="restart"/>
          </w:tcPr>
          <w:p w:rsidR="007F6DF9" w:rsidRDefault="007F6DF9">
            <w:pPr>
              <w:pStyle w:val="TableParagraph"/>
              <w:spacing w:before="69"/>
              <w:rPr>
                <w:rFonts w:ascii="Times New Roman"/>
                <w:sz w:val="19"/>
              </w:rPr>
            </w:pPr>
          </w:p>
          <w:p w:rsidR="007F6DF9" w:rsidRDefault="00A43FBC">
            <w:pPr>
              <w:pStyle w:val="TableParagraph"/>
              <w:ind w:left="34"/>
              <w:jc w:val="center"/>
              <w:rPr>
                <w:rFonts w:ascii="Times New Roman"/>
                <w:sz w:val="19"/>
              </w:rPr>
            </w:pPr>
            <w:r>
              <w:rPr>
                <w:rFonts w:ascii="Times New Roman"/>
                <w:spacing w:val="-10"/>
                <w:sz w:val="19"/>
              </w:rPr>
              <w:t>A</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72"/>
              <w:rPr>
                <w:rFonts w:ascii="Times New Roman"/>
                <w:sz w:val="19"/>
              </w:rPr>
            </w:pPr>
          </w:p>
          <w:p w:rsidR="007F6DF9" w:rsidRDefault="00A43FBC">
            <w:pPr>
              <w:pStyle w:val="TableParagraph"/>
              <w:spacing w:line="429" w:lineRule="auto"/>
              <w:ind w:left="195" w:right="158" w:firstLine="4"/>
              <w:jc w:val="both"/>
              <w:rPr>
                <w:rFonts w:ascii="Times New Roman"/>
                <w:sz w:val="19"/>
              </w:rPr>
            </w:pPr>
            <w:r>
              <w:rPr>
                <w:rFonts w:ascii="Times New Roman"/>
                <w:spacing w:val="-10"/>
                <w:sz w:val="19"/>
              </w:rPr>
              <w:t>B</w:t>
            </w:r>
            <w:r>
              <w:rPr>
                <w:rFonts w:ascii="Times New Roman"/>
                <w:sz w:val="19"/>
              </w:rPr>
              <w:t xml:space="preserve"> </w:t>
            </w:r>
            <w:r>
              <w:rPr>
                <w:rFonts w:ascii="Times New Roman"/>
                <w:spacing w:val="-10"/>
                <w:sz w:val="19"/>
              </w:rPr>
              <w:t>C</w:t>
            </w:r>
            <w:r>
              <w:rPr>
                <w:rFonts w:ascii="Times New Roman"/>
                <w:sz w:val="19"/>
              </w:rPr>
              <w:t xml:space="preserve"> </w:t>
            </w:r>
            <w:r>
              <w:rPr>
                <w:rFonts w:ascii="Times New Roman"/>
                <w:spacing w:val="-10"/>
                <w:sz w:val="19"/>
              </w:rPr>
              <w:t>D</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48"/>
              <w:rPr>
                <w:rFonts w:ascii="Times New Roman"/>
                <w:sz w:val="19"/>
              </w:rPr>
            </w:pPr>
          </w:p>
          <w:p w:rsidR="007F6DF9" w:rsidRDefault="00A43FBC">
            <w:pPr>
              <w:pStyle w:val="TableParagraph"/>
              <w:ind w:left="37"/>
              <w:jc w:val="center"/>
              <w:rPr>
                <w:rFonts w:ascii="Times New Roman"/>
                <w:sz w:val="19"/>
              </w:rPr>
            </w:pPr>
            <w:r>
              <w:rPr>
                <w:rFonts w:ascii="Times New Roman"/>
                <w:spacing w:val="-10"/>
                <w:sz w:val="19"/>
              </w:rPr>
              <w:t>E</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23"/>
              <w:rPr>
                <w:rFonts w:ascii="Times New Roman"/>
                <w:sz w:val="19"/>
              </w:rPr>
            </w:pPr>
          </w:p>
          <w:p w:rsidR="007F6DF9" w:rsidRDefault="00A43FBC">
            <w:pPr>
              <w:pStyle w:val="TableParagraph"/>
              <w:ind w:left="36"/>
              <w:jc w:val="center"/>
              <w:rPr>
                <w:rFonts w:ascii="Times New Roman"/>
                <w:sz w:val="19"/>
              </w:rPr>
            </w:pPr>
            <w:r>
              <w:rPr>
                <w:rFonts w:ascii="Times New Roman"/>
                <w:spacing w:val="-10"/>
                <w:sz w:val="19"/>
              </w:rPr>
              <w:t>F</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43"/>
              <w:rPr>
                <w:rFonts w:ascii="Times New Roman"/>
                <w:sz w:val="19"/>
              </w:rPr>
            </w:pPr>
          </w:p>
          <w:p w:rsidR="007F6DF9" w:rsidRDefault="00A43FBC">
            <w:pPr>
              <w:pStyle w:val="TableParagraph"/>
              <w:ind w:left="34"/>
              <w:jc w:val="center"/>
              <w:rPr>
                <w:rFonts w:ascii="Times New Roman"/>
                <w:sz w:val="19"/>
              </w:rPr>
            </w:pPr>
            <w:r>
              <w:rPr>
                <w:rFonts w:ascii="Times New Roman"/>
                <w:spacing w:val="-10"/>
                <w:sz w:val="19"/>
              </w:rPr>
              <w:t>G</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124"/>
              <w:rPr>
                <w:rFonts w:ascii="Times New Roman"/>
                <w:sz w:val="19"/>
              </w:rPr>
            </w:pPr>
          </w:p>
          <w:p w:rsidR="007F6DF9" w:rsidRDefault="00A43FBC">
            <w:pPr>
              <w:pStyle w:val="TableParagraph"/>
              <w:ind w:left="34"/>
              <w:jc w:val="center"/>
              <w:rPr>
                <w:rFonts w:ascii="Times New Roman"/>
                <w:sz w:val="19"/>
              </w:rPr>
            </w:pPr>
            <w:r>
              <w:rPr>
                <w:rFonts w:ascii="Times New Roman"/>
                <w:spacing w:val="-10"/>
                <w:sz w:val="19"/>
              </w:rPr>
              <w:t>H</w:t>
            </w:r>
          </w:p>
        </w:tc>
        <w:tc>
          <w:tcPr>
            <w:tcW w:w="3888" w:type="dxa"/>
            <w:tcBorders>
              <w:bottom w:val="nil"/>
            </w:tcBorders>
          </w:tcPr>
          <w:p w:rsidR="007F6DF9" w:rsidRDefault="00A43FBC">
            <w:pPr>
              <w:pStyle w:val="TableParagraph"/>
              <w:spacing w:before="12"/>
              <w:ind w:left="44"/>
              <w:rPr>
                <w:rFonts w:ascii="Times New Roman"/>
                <w:b/>
                <w:sz w:val="19"/>
              </w:rPr>
            </w:pPr>
            <w:r>
              <w:rPr>
                <w:rFonts w:ascii="Times New Roman"/>
                <w:b/>
                <w:sz w:val="19"/>
              </w:rPr>
              <w:t>ELECTRICAL</w:t>
            </w:r>
            <w:r>
              <w:rPr>
                <w:rFonts w:ascii="Times New Roman"/>
                <w:b/>
                <w:spacing w:val="21"/>
                <w:sz w:val="19"/>
              </w:rPr>
              <w:t xml:space="preserve"> </w:t>
            </w:r>
            <w:r>
              <w:rPr>
                <w:rFonts w:ascii="Times New Roman"/>
                <w:b/>
                <w:spacing w:val="-4"/>
                <w:sz w:val="19"/>
              </w:rPr>
              <w:t>WORK</w:t>
            </w:r>
          </w:p>
        </w:tc>
        <w:tc>
          <w:tcPr>
            <w:tcW w:w="511" w:type="dxa"/>
            <w:tcBorders>
              <w:bottom w:val="nil"/>
            </w:tcBorders>
          </w:tcPr>
          <w:p w:rsidR="007F6DF9" w:rsidRDefault="007F6DF9">
            <w:pPr>
              <w:pStyle w:val="TableParagraph"/>
              <w:rPr>
                <w:rFonts w:ascii="Times New Roman"/>
                <w:sz w:val="18"/>
              </w:rPr>
            </w:pPr>
          </w:p>
        </w:tc>
        <w:tc>
          <w:tcPr>
            <w:tcW w:w="547" w:type="dxa"/>
            <w:tcBorders>
              <w:bottom w:val="nil"/>
            </w:tcBorders>
          </w:tcPr>
          <w:p w:rsidR="007F6DF9" w:rsidRDefault="007F6DF9">
            <w:pPr>
              <w:pStyle w:val="TableParagraph"/>
              <w:rPr>
                <w:rFonts w:ascii="Times New Roman"/>
                <w:sz w:val="18"/>
              </w:rPr>
            </w:pPr>
          </w:p>
        </w:tc>
        <w:tc>
          <w:tcPr>
            <w:tcW w:w="1226" w:type="dxa"/>
            <w:vMerge w:val="restart"/>
            <w:tcBorders>
              <w:left w:val="single" w:sz="18" w:space="0" w:color="000000"/>
              <w:right w:val="single" w:sz="18" w:space="0" w:color="000000"/>
            </w:tcBorders>
          </w:tcPr>
          <w:p w:rsidR="007F6DF9" w:rsidRDefault="007F6DF9">
            <w:pPr>
              <w:pStyle w:val="TableParagraph"/>
              <w:rPr>
                <w:rFonts w:ascii="Times New Roman"/>
                <w:sz w:val="18"/>
              </w:rPr>
            </w:pPr>
          </w:p>
        </w:tc>
        <w:tc>
          <w:tcPr>
            <w:tcW w:w="1420" w:type="dxa"/>
            <w:vMerge w:val="restart"/>
            <w:tcBorders>
              <w:left w:val="single" w:sz="18" w:space="0" w:color="000000"/>
              <w:right w:val="single" w:sz="18" w:space="0" w:color="000000"/>
            </w:tcBorders>
          </w:tcPr>
          <w:p w:rsidR="007F6DF9" w:rsidRDefault="007F6DF9">
            <w:pPr>
              <w:pStyle w:val="TableParagraph"/>
              <w:rPr>
                <w:rFonts w:ascii="Times New Roman"/>
                <w:sz w:val="18"/>
              </w:rPr>
            </w:pPr>
          </w:p>
        </w:tc>
      </w:tr>
      <w:tr w:rsidR="007F6DF9">
        <w:trPr>
          <w:trHeight w:val="58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8" w:line="268" w:lineRule="auto"/>
              <w:ind w:left="44" w:right="64" w:hanging="1"/>
              <w:rPr>
                <w:rFonts w:ascii="Times New Roman"/>
                <w:sz w:val="19"/>
              </w:rPr>
            </w:pPr>
            <w:r>
              <w:rPr>
                <w:rFonts w:ascii="Times New Roman"/>
                <w:sz w:val="19"/>
              </w:rPr>
              <w:t>(</w:t>
            </w:r>
            <w:proofErr w:type="spellStart"/>
            <w:r>
              <w:rPr>
                <w:rFonts w:ascii="Times New Roman"/>
                <w:sz w:val="19"/>
              </w:rPr>
              <w:t>i</w:t>
            </w:r>
            <w:proofErr w:type="spellEnd"/>
            <w:r>
              <w:rPr>
                <w:rFonts w:ascii="Times New Roman"/>
                <w:sz w:val="19"/>
              </w:rPr>
              <w:t xml:space="preserve">) </w:t>
            </w:r>
            <w:proofErr w:type="spellStart"/>
            <w:r>
              <w:rPr>
                <w:rFonts w:ascii="Times New Roman"/>
                <w:sz w:val="19"/>
              </w:rPr>
              <w:t>Submain</w:t>
            </w:r>
            <w:proofErr w:type="spellEnd"/>
            <w:r>
              <w:rPr>
                <w:rFonts w:ascii="Times New Roman"/>
                <w:sz w:val="19"/>
              </w:rPr>
              <w:t xml:space="preserve"> from the control cubicles, a 3 phase line up to the</w:t>
            </w:r>
            <w:r>
              <w:rPr>
                <w:rFonts w:ascii="Times New Roman"/>
                <w:spacing w:val="40"/>
                <w:sz w:val="19"/>
              </w:rPr>
              <w:t xml:space="preserve"> </w:t>
            </w:r>
            <w:r>
              <w:rPr>
                <w:rFonts w:ascii="Times New Roman"/>
                <w:sz w:val="19"/>
              </w:rPr>
              <w:t>isolator switch</w:t>
            </w:r>
            <w:r>
              <w:rPr>
                <w:rFonts w:ascii="Times New Roman"/>
                <w:spacing w:val="40"/>
                <w:sz w:val="19"/>
              </w:rPr>
              <w:t xml:space="preserve"> </w:t>
            </w:r>
            <w:r>
              <w:rPr>
                <w:rFonts w:ascii="Times New Roman"/>
                <w:sz w:val="19"/>
              </w:rPr>
              <w:t>of the cold room.</w:t>
            </w:r>
          </w:p>
        </w:tc>
        <w:tc>
          <w:tcPr>
            <w:tcW w:w="511" w:type="dxa"/>
            <w:tcBorders>
              <w:top w:val="nil"/>
              <w:bottom w:val="nil"/>
            </w:tcBorders>
          </w:tcPr>
          <w:p w:rsidR="007F6DF9" w:rsidRDefault="007F6DF9">
            <w:pPr>
              <w:pStyle w:val="TableParagraph"/>
              <w:spacing w:before="9"/>
              <w:rPr>
                <w:rFonts w:ascii="Times New Roman"/>
                <w:sz w:val="19"/>
              </w:rPr>
            </w:pPr>
          </w:p>
          <w:p w:rsidR="007F6DF9" w:rsidRDefault="00A43FBC">
            <w:pPr>
              <w:pStyle w:val="TableParagraph"/>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7F6DF9">
            <w:pPr>
              <w:pStyle w:val="TableParagraph"/>
              <w:spacing w:before="9"/>
              <w:rPr>
                <w:rFonts w:ascii="Times New Roman"/>
                <w:sz w:val="19"/>
              </w:rPr>
            </w:pPr>
          </w:p>
          <w:p w:rsidR="007F6DF9" w:rsidRDefault="00A43FBC">
            <w:pPr>
              <w:pStyle w:val="TableParagraph"/>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376"/>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101"/>
              <w:ind w:left="44"/>
              <w:rPr>
                <w:rFonts w:ascii="Times New Roman"/>
                <w:b/>
                <w:sz w:val="19"/>
              </w:rPr>
            </w:pPr>
            <w:r>
              <w:rPr>
                <w:rFonts w:ascii="Times New Roman"/>
                <w:b/>
                <w:spacing w:val="-4"/>
                <w:sz w:val="19"/>
              </w:rPr>
              <w:t>Rack</w:t>
            </w:r>
          </w:p>
        </w:tc>
        <w:tc>
          <w:tcPr>
            <w:tcW w:w="511" w:type="dxa"/>
            <w:tcBorders>
              <w:top w:val="nil"/>
              <w:left w:val="single" w:sz="18" w:space="0" w:color="000000"/>
              <w:bottom w:val="nil"/>
              <w:right w:val="single" w:sz="18" w:space="0" w:color="000000"/>
            </w:tcBorders>
          </w:tcPr>
          <w:p w:rsidR="007F6DF9" w:rsidRDefault="007F6DF9">
            <w:pPr>
              <w:pStyle w:val="TableParagraph"/>
              <w:rPr>
                <w:rFonts w:ascii="Times New Roman"/>
                <w:sz w:val="18"/>
              </w:rPr>
            </w:pPr>
          </w:p>
        </w:tc>
        <w:tc>
          <w:tcPr>
            <w:tcW w:w="547" w:type="dxa"/>
            <w:tcBorders>
              <w:top w:val="nil"/>
              <w:left w:val="single" w:sz="18" w:space="0" w:color="000000"/>
              <w:bottom w:val="nil"/>
              <w:right w:val="single" w:sz="18" w:space="0" w:color="000000"/>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318"/>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51"/>
              <w:ind w:left="44"/>
              <w:rPr>
                <w:rFonts w:ascii="Times New Roman"/>
                <w:sz w:val="19"/>
              </w:rPr>
            </w:pPr>
            <w:r>
              <w:rPr>
                <w:rFonts w:ascii="Times New Roman"/>
                <w:sz w:val="19"/>
              </w:rPr>
              <w:t>Three-tier</w:t>
            </w:r>
            <w:r>
              <w:rPr>
                <w:rFonts w:ascii="Times New Roman"/>
                <w:spacing w:val="13"/>
                <w:sz w:val="19"/>
              </w:rPr>
              <w:t xml:space="preserve"> </w:t>
            </w:r>
            <w:r>
              <w:rPr>
                <w:rFonts w:ascii="Times New Roman"/>
                <w:sz w:val="19"/>
              </w:rPr>
              <w:t>steel</w:t>
            </w:r>
            <w:r>
              <w:rPr>
                <w:rFonts w:ascii="Times New Roman"/>
                <w:spacing w:val="13"/>
                <w:sz w:val="19"/>
              </w:rPr>
              <w:t xml:space="preserve"> </w:t>
            </w:r>
            <w:r>
              <w:rPr>
                <w:rFonts w:ascii="Times New Roman"/>
                <w:sz w:val="19"/>
              </w:rPr>
              <w:t>rack</w:t>
            </w:r>
            <w:r>
              <w:rPr>
                <w:rFonts w:ascii="Times New Roman"/>
                <w:spacing w:val="11"/>
                <w:sz w:val="19"/>
              </w:rPr>
              <w:t xml:space="preserve"> </w:t>
            </w:r>
            <w:r>
              <w:rPr>
                <w:rFonts w:ascii="Times New Roman"/>
                <w:sz w:val="19"/>
              </w:rPr>
              <w:t>1200mm</w:t>
            </w:r>
            <w:r>
              <w:rPr>
                <w:rFonts w:ascii="Times New Roman"/>
                <w:spacing w:val="13"/>
                <w:sz w:val="19"/>
              </w:rPr>
              <w:t xml:space="preserve"> </w:t>
            </w:r>
            <w:r>
              <w:rPr>
                <w:rFonts w:ascii="Times New Roman"/>
                <w:spacing w:val="-4"/>
                <w:sz w:val="19"/>
              </w:rPr>
              <w:t>long</w:t>
            </w:r>
          </w:p>
        </w:tc>
        <w:tc>
          <w:tcPr>
            <w:tcW w:w="511" w:type="dxa"/>
            <w:tcBorders>
              <w:top w:val="nil"/>
              <w:left w:val="single" w:sz="18" w:space="0" w:color="000000"/>
              <w:bottom w:val="nil"/>
              <w:right w:val="single" w:sz="18" w:space="0" w:color="000000"/>
            </w:tcBorders>
          </w:tcPr>
          <w:p w:rsidR="007F6DF9" w:rsidRDefault="00A43FBC">
            <w:pPr>
              <w:pStyle w:val="TableParagraph"/>
              <w:spacing w:before="51"/>
              <w:ind w:left="35"/>
              <w:jc w:val="center"/>
              <w:rPr>
                <w:rFonts w:ascii="Times New Roman"/>
                <w:sz w:val="19"/>
              </w:rPr>
            </w:pPr>
            <w:r>
              <w:rPr>
                <w:rFonts w:ascii="Times New Roman"/>
                <w:spacing w:val="-10"/>
                <w:sz w:val="19"/>
              </w:rPr>
              <w:t>6</w:t>
            </w:r>
          </w:p>
        </w:tc>
        <w:tc>
          <w:tcPr>
            <w:tcW w:w="547" w:type="dxa"/>
            <w:tcBorders>
              <w:top w:val="nil"/>
              <w:left w:val="single" w:sz="18" w:space="0" w:color="000000"/>
              <w:bottom w:val="nil"/>
              <w:right w:val="single" w:sz="18" w:space="0" w:color="000000"/>
            </w:tcBorders>
          </w:tcPr>
          <w:p w:rsidR="007F6DF9" w:rsidRDefault="00A43FBC">
            <w:pPr>
              <w:pStyle w:val="TableParagraph"/>
              <w:spacing w:before="51"/>
              <w:ind w:left="36"/>
              <w:jc w:val="center"/>
              <w:rPr>
                <w:rFonts w:ascii="Times New Roman"/>
                <w:sz w:val="19"/>
              </w:rPr>
            </w:pPr>
            <w:r>
              <w:rPr>
                <w:rFonts w:ascii="Times New Roman"/>
                <w:spacing w:val="-5"/>
                <w:sz w:val="19"/>
              </w:rPr>
              <w:t>No.</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40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44"/>
              <w:ind w:left="44"/>
              <w:rPr>
                <w:rFonts w:ascii="Times New Roman"/>
                <w:sz w:val="19"/>
              </w:rPr>
            </w:pPr>
            <w:r>
              <w:rPr>
                <w:rFonts w:ascii="Times New Roman"/>
                <w:sz w:val="19"/>
              </w:rPr>
              <w:t>4</w:t>
            </w:r>
            <w:r>
              <w:rPr>
                <w:rFonts w:ascii="Times New Roman"/>
                <w:spacing w:val="8"/>
                <w:sz w:val="19"/>
              </w:rPr>
              <w:t xml:space="preserve"> </w:t>
            </w:r>
            <w:proofErr w:type="spellStart"/>
            <w:r>
              <w:rPr>
                <w:rFonts w:ascii="Times New Roman"/>
                <w:sz w:val="19"/>
              </w:rPr>
              <w:t>ft</w:t>
            </w:r>
            <w:proofErr w:type="spellEnd"/>
            <w:r>
              <w:rPr>
                <w:rFonts w:ascii="Times New Roman"/>
                <w:spacing w:val="8"/>
                <w:sz w:val="19"/>
              </w:rPr>
              <w:t xml:space="preserve"> </w:t>
            </w:r>
            <w:r>
              <w:rPr>
                <w:rFonts w:ascii="Times New Roman"/>
                <w:sz w:val="19"/>
              </w:rPr>
              <w:t>wide</w:t>
            </w:r>
            <w:r>
              <w:rPr>
                <w:rFonts w:ascii="Times New Roman"/>
                <w:spacing w:val="8"/>
                <w:sz w:val="19"/>
              </w:rPr>
              <w:t xml:space="preserve"> </w:t>
            </w:r>
            <w:r>
              <w:rPr>
                <w:rFonts w:ascii="Times New Roman"/>
                <w:sz w:val="19"/>
              </w:rPr>
              <w:t>5</w:t>
            </w:r>
            <w:r>
              <w:rPr>
                <w:rFonts w:ascii="Times New Roman"/>
                <w:spacing w:val="8"/>
                <w:sz w:val="19"/>
              </w:rPr>
              <w:t xml:space="preserve"> </w:t>
            </w:r>
            <w:proofErr w:type="spellStart"/>
            <w:r>
              <w:rPr>
                <w:rFonts w:ascii="Times New Roman"/>
                <w:sz w:val="19"/>
              </w:rPr>
              <w:t>ft</w:t>
            </w:r>
            <w:proofErr w:type="spellEnd"/>
            <w:r>
              <w:rPr>
                <w:rFonts w:ascii="Times New Roman"/>
                <w:spacing w:val="8"/>
                <w:sz w:val="19"/>
              </w:rPr>
              <w:t xml:space="preserve"> </w:t>
            </w:r>
            <w:r>
              <w:rPr>
                <w:rFonts w:ascii="Times New Roman"/>
                <w:sz w:val="19"/>
              </w:rPr>
              <w:t>high</w:t>
            </w:r>
            <w:r>
              <w:rPr>
                <w:rFonts w:ascii="Times New Roman"/>
                <w:spacing w:val="8"/>
                <w:sz w:val="19"/>
              </w:rPr>
              <w:t xml:space="preserve"> </w:t>
            </w:r>
            <w:proofErr w:type="spellStart"/>
            <w:r>
              <w:rPr>
                <w:rFonts w:ascii="Times New Roman"/>
                <w:sz w:val="19"/>
              </w:rPr>
              <w:t>alluminium</w:t>
            </w:r>
            <w:proofErr w:type="spellEnd"/>
            <w:r>
              <w:rPr>
                <w:rFonts w:ascii="Times New Roman"/>
                <w:spacing w:val="8"/>
                <w:sz w:val="19"/>
              </w:rPr>
              <w:t xml:space="preserve"> </w:t>
            </w:r>
            <w:r>
              <w:rPr>
                <w:rFonts w:ascii="Times New Roman"/>
                <w:sz w:val="19"/>
              </w:rPr>
              <w:t>trolleys</w:t>
            </w:r>
            <w:r>
              <w:rPr>
                <w:rFonts w:ascii="Times New Roman"/>
                <w:spacing w:val="8"/>
                <w:sz w:val="19"/>
              </w:rPr>
              <w:t xml:space="preserve"> </w:t>
            </w:r>
            <w:r>
              <w:rPr>
                <w:rFonts w:ascii="Times New Roman"/>
                <w:sz w:val="19"/>
              </w:rPr>
              <w:t>with</w:t>
            </w:r>
            <w:r>
              <w:rPr>
                <w:rFonts w:ascii="Times New Roman"/>
                <w:spacing w:val="11"/>
                <w:sz w:val="19"/>
              </w:rPr>
              <w:t xml:space="preserve"> </w:t>
            </w:r>
            <w:r>
              <w:rPr>
                <w:rFonts w:ascii="Times New Roman"/>
                <w:spacing w:val="-10"/>
                <w:sz w:val="19"/>
              </w:rPr>
              <w:t>3</w:t>
            </w:r>
          </w:p>
        </w:tc>
        <w:tc>
          <w:tcPr>
            <w:tcW w:w="511" w:type="dxa"/>
            <w:tcBorders>
              <w:top w:val="nil"/>
              <w:bottom w:val="nil"/>
            </w:tcBorders>
          </w:tcPr>
          <w:p w:rsidR="007F6DF9" w:rsidRDefault="00A43FBC">
            <w:pPr>
              <w:pStyle w:val="TableParagraph"/>
              <w:spacing w:before="108"/>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108"/>
              <w:ind w:left="33" w:right="1"/>
              <w:jc w:val="center"/>
              <w:rPr>
                <w:rFonts w:ascii="Times New Roman"/>
                <w:sz w:val="19"/>
              </w:rPr>
            </w:pPr>
            <w:r>
              <w:rPr>
                <w:rFonts w:ascii="Times New Roman"/>
                <w:spacing w:val="-10"/>
                <w:sz w:val="19"/>
              </w:rPr>
              <w:t>3</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77"/>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70" w:line="187" w:lineRule="exact"/>
              <w:ind w:left="44"/>
              <w:rPr>
                <w:rFonts w:ascii="Times New Roman"/>
                <w:b/>
                <w:sz w:val="19"/>
              </w:rPr>
            </w:pPr>
            <w:r>
              <w:rPr>
                <w:rFonts w:ascii="Times New Roman"/>
                <w:b/>
                <w:spacing w:val="-2"/>
                <w:sz w:val="19"/>
              </w:rPr>
              <w:t>Refrigerant</w:t>
            </w:r>
          </w:p>
        </w:tc>
        <w:tc>
          <w:tcPr>
            <w:tcW w:w="511" w:type="dxa"/>
            <w:tcBorders>
              <w:top w:val="nil"/>
              <w:left w:val="single" w:sz="18" w:space="0" w:color="000000"/>
              <w:bottom w:val="nil"/>
              <w:right w:val="single" w:sz="18" w:space="0" w:color="000000"/>
            </w:tcBorders>
          </w:tcPr>
          <w:p w:rsidR="007F6DF9" w:rsidRDefault="007F6DF9">
            <w:pPr>
              <w:pStyle w:val="TableParagraph"/>
              <w:rPr>
                <w:rFonts w:ascii="Times New Roman"/>
                <w:sz w:val="18"/>
              </w:rPr>
            </w:pPr>
          </w:p>
        </w:tc>
        <w:tc>
          <w:tcPr>
            <w:tcW w:w="547" w:type="dxa"/>
            <w:tcBorders>
              <w:top w:val="nil"/>
              <w:left w:val="single" w:sz="18" w:space="0" w:color="000000"/>
              <w:bottom w:val="nil"/>
              <w:right w:val="single" w:sz="18" w:space="0" w:color="000000"/>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10"/>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line="191" w:lineRule="exact"/>
              <w:ind w:left="44"/>
              <w:rPr>
                <w:rFonts w:ascii="Times New Roman"/>
                <w:sz w:val="19"/>
              </w:rPr>
            </w:pPr>
            <w:r>
              <w:rPr>
                <w:rFonts w:ascii="Times New Roman"/>
                <w:sz w:val="19"/>
              </w:rPr>
              <w:t>Allow</w:t>
            </w:r>
            <w:r>
              <w:rPr>
                <w:rFonts w:ascii="Times New Roman"/>
                <w:spacing w:val="6"/>
                <w:sz w:val="19"/>
              </w:rPr>
              <w:t xml:space="preserve"> </w:t>
            </w:r>
            <w:r>
              <w:rPr>
                <w:rFonts w:ascii="Times New Roman"/>
                <w:sz w:val="19"/>
              </w:rPr>
              <w:t>for</w:t>
            </w:r>
            <w:r>
              <w:rPr>
                <w:rFonts w:ascii="Times New Roman"/>
                <w:spacing w:val="8"/>
                <w:sz w:val="19"/>
              </w:rPr>
              <w:t xml:space="preserve"> </w:t>
            </w:r>
            <w:r>
              <w:rPr>
                <w:rFonts w:ascii="Times New Roman"/>
                <w:sz w:val="19"/>
              </w:rPr>
              <w:t>the</w:t>
            </w:r>
            <w:r>
              <w:rPr>
                <w:rFonts w:ascii="Times New Roman"/>
                <w:spacing w:val="8"/>
                <w:sz w:val="19"/>
              </w:rPr>
              <w:t xml:space="preserve"> </w:t>
            </w:r>
            <w:r>
              <w:rPr>
                <w:rFonts w:ascii="Times New Roman"/>
                <w:sz w:val="19"/>
              </w:rPr>
              <w:t>charging</w:t>
            </w:r>
            <w:r>
              <w:rPr>
                <w:rFonts w:ascii="Times New Roman"/>
                <w:spacing w:val="7"/>
                <w:sz w:val="19"/>
              </w:rPr>
              <w:t xml:space="preserve"> </w:t>
            </w:r>
            <w:r>
              <w:rPr>
                <w:rFonts w:ascii="Times New Roman"/>
                <w:sz w:val="19"/>
              </w:rPr>
              <w:t>of</w:t>
            </w:r>
            <w:r>
              <w:rPr>
                <w:rFonts w:ascii="Times New Roman"/>
                <w:spacing w:val="9"/>
                <w:sz w:val="19"/>
              </w:rPr>
              <w:t xml:space="preserve"> </w:t>
            </w:r>
            <w:r>
              <w:rPr>
                <w:rFonts w:ascii="Times New Roman"/>
                <w:sz w:val="19"/>
              </w:rPr>
              <w:t>the</w:t>
            </w:r>
            <w:r>
              <w:rPr>
                <w:rFonts w:ascii="Times New Roman"/>
                <w:spacing w:val="9"/>
                <w:sz w:val="19"/>
              </w:rPr>
              <w:t xml:space="preserve"> </w:t>
            </w:r>
            <w:r>
              <w:rPr>
                <w:rFonts w:ascii="Times New Roman"/>
                <w:spacing w:val="-2"/>
                <w:sz w:val="19"/>
              </w:rPr>
              <w:t>refrigeration</w:t>
            </w:r>
          </w:p>
        </w:tc>
        <w:tc>
          <w:tcPr>
            <w:tcW w:w="511" w:type="dxa"/>
            <w:tcBorders>
              <w:top w:val="nil"/>
              <w:left w:val="single" w:sz="18" w:space="0" w:color="000000"/>
              <w:bottom w:val="nil"/>
              <w:right w:val="single" w:sz="18" w:space="0" w:color="000000"/>
            </w:tcBorders>
          </w:tcPr>
          <w:p w:rsidR="007F6DF9" w:rsidRDefault="007F6DF9">
            <w:pPr>
              <w:pStyle w:val="TableParagraph"/>
              <w:rPr>
                <w:rFonts w:ascii="Times New Roman"/>
                <w:sz w:val="14"/>
              </w:rPr>
            </w:pPr>
          </w:p>
        </w:tc>
        <w:tc>
          <w:tcPr>
            <w:tcW w:w="547" w:type="dxa"/>
            <w:tcBorders>
              <w:top w:val="nil"/>
              <w:left w:val="single" w:sz="18" w:space="0" w:color="000000"/>
              <w:bottom w:val="nil"/>
              <w:right w:val="single" w:sz="18" w:space="0" w:color="000000"/>
            </w:tcBorders>
          </w:tcPr>
          <w:p w:rsidR="007F6DF9" w:rsidRDefault="007F6DF9">
            <w:pPr>
              <w:pStyle w:val="TableParagraph"/>
              <w:rPr>
                <w:rFonts w:ascii="Times New Roman"/>
                <w:sz w:val="14"/>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474"/>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3"/>
              <w:ind w:left="44"/>
              <w:rPr>
                <w:rFonts w:ascii="Times New Roman"/>
                <w:sz w:val="19"/>
              </w:rPr>
            </w:pPr>
            <w:r>
              <w:rPr>
                <w:rFonts w:ascii="Times New Roman"/>
                <w:sz w:val="19"/>
              </w:rPr>
              <w:t>system</w:t>
            </w:r>
            <w:r>
              <w:rPr>
                <w:rFonts w:ascii="Times New Roman"/>
                <w:spacing w:val="11"/>
                <w:sz w:val="19"/>
              </w:rPr>
              <w:t xml:space="preserve"> </w:t>
            </w:r>
            <w:r>
              <w:rPr>
                <w:rFonts w:ascii="Times New Roman"/>
                <w:sz w:val="19"/>
              </w:rPr>
              <w:t>with</w:t>
            </w:r>
            <w:r>
              <w:rPr>
                <w:rFonts w:ascii="Times New Roman"/>
                <w:spacing w:val="14"/>
                <w:sz w:val="19"/>
              </w:rPr>
              <w:t xml:space="preserve"> </w:t>
            </w:r>
            <w:r>
              <w:rPr>
                <w:rFonts w:ascii="Times New Roman"/>
                <w:sz w:val="19"/>
              </w:rPr>
              <w:t>necessary</w:t>
            </w:r>
            <w:r>
              <w:rPr>
                <w:rFonts w:ascii="Times New Roman"/>
                <w:spacing w:val="5"/>
                <w:sz w:val="19"/>
              </w:rPr>
              <w:t xml:space="preserve"> </w:t>
            </w:r>
            <w:r>
              <w:rPr>
                <w:rFonts w:ascii="Times New Roman"/>
                <w:sz w:val="19"/>
              </w:rPr>
              <w:t>amount</w:t>
            </w:r>
            <w:r>
              <w:rPr>
                <w:rFonts w:ascii="Times New Roman"/>
                <w:spacing w:val="12"/>
                <w:sz w:val="19"/>
              </w:rPr>
              <w:t xml:space="preserve"> </w:t>
            </w:r>
            <w:r>
              <w:rPr>
                <w:rFonts w:ascii="Times New Roman"/>
                <w:sz w:val="19"/>
              </w:rPr>
              <w:t>of</w:t>
            </w:r>
            <w:r>
              <w:rPr>
                <w:rFonts w:ascii="Times New Roman"/>
                <w:spacing w:val="11"/>
                <w:sz w:val="19"/>
              </w:rPr>
              <w:t xml:space="preserve"> </w:t>
            </w:r>
            <w:r>
              <w:rPr>
                <w:rFonts w:ascii="Times New Roman"/>
                <w:sz w:val="19"/>
              </w:rPr>
              <w:t>refrigerant</w:t>
            </w:r>
            <w:r>
              <w:rPr>
                <w:rFonts w:ascii="Times New Roman"/>
                <w:spacing w:val="12"/>
                <w:sz w:val="19"/>
              </w:rPr>
              <w:t xml:space="preserve"> </w:t>
            </w:r>
            <w:r>
              <w:rPr>
                <w:rFonts w:ascii="Times New Roman"/>
                <w:spacing w:val="-5"/>
                <w:sz w:val="19"/>
              </w:rPr>
              <w:t>for</w:t>
            </w:r>
          </w:p>
          <w:p w:rsidR="007F6DF9" w:rsidRDefault="00A43FBC">
            <w:pPr>
              <w:pStyle w:val="TableParagraph"/>
              <w:spacing w:before="26" w:line="207" w:lineRule="exact"/>
              <w:ind w:left="44"/>
              <w:rPr>
                <w:rFonts w:ascii="Times New Roman"/>
                <w:sz w:val="19"/>
              </w:rPr>
            </w:pPr>
            <w:r>
              <w:rPr>
                <w:rFonts w:ascii="Times New Roman"/>
                <w:sz w:val="19"/>
              </w:rPr>
              <w:t>initial</w:t>
            </w:r>
            <w:r>
              <w:rPr>
                <w:rFonts w:ascii="Times New Roman"/>
                <w:spacing w:val="12"/>
                <w:sz w:val="19"/>
              </w:rPr>
              <w:t xml:space="preserve"> </w:t>
            </w:r>
            <w:r>
              <w:rPr>
                <w:rFonts w:ascii="Times New Roman"/>
                <w:sz w:val="19"/>
              </w:rPr>
              <w:t>testing</w:t>
            </w:r>
            <w:r>
              <w:rPr>
                <w:rFonts w:ascii="Times New Roman"/>
                <w:spacing w:val="10"/>
                <w:sz w:val="19"/>
              </w:rPr>
              <w:t xml:space="preserve"> </w:t>
            </w:r>
            <w:r>
              <w:rPr>
                <w:rFonts w:ascii="Times New Roman"/>
                <w:sz w:val="19"/>
              </w:rPr>
              <w:t>and</w:t>
            </w:r>
            <w:r>
              <w:rPr>
                <w:rFonts w:ascii="Times New Roman"/>
                <w:spacing w:val="15"/>
                <w:sz w:val="19"/>
              </w:rPr>
              <w:t xml:space="preserve"> </w:t>
            </w:r>
            <w:r>
              <w:rPr>
                <w:rFonts w:ascii="Times New Roman"/>
                <w:sz w:val="19"/>
              </w:rPr>
              <w:t>eventual</w:t>
            </w:r>
            <w:r>
              <w:rPr>
                <w:rFonts w:ascii="Times New Roman"/>
                <w:spacing w:val="13"/>
                <w:sz w:val="19"/>
              </w:rPr>
              <w:t xml:space="preserve"> </w:t>
            </w:r>
            <w:r>
              <w:rPr>
                <w:rFonts w:ascii="Times New Roman"/>
                <w:sz w:val="19"/>
              </w:rPr>
              <w:t>operation</w:t>
            </w:r>
            <w:r>
              <w:rPr>
                <w:rFonts w:ascii="Times New Roman"/>
                <w:spacing w:val="15"/>
                <w:sz w:val="19"/>
              </w:rPr>
              <w:t xml:space="preserve"> </w:t>
            </w:r>
            <w:r>
              <w:rPr>
                <w:rFonts w:ascii="Times New Roman"/>
                <w:sz w:val="19"/>
              </w:rPr>
              <w:t>of</w:t>
            </w:r>
            <w:r>
              <w:rPr>
                <w:rFonts w:ascii="Times New Roman"/>
                <w:spacing w:val="11"/>
                <w:sz w:val="19"/>
              </w:rPr>
              <w:t xml:space="preserve"> </w:t>
            </w:r>
            <w:r>
              <w:rPr>
                <w:rFonts w:ascii="Times New Roman"/>
                <w:spacing w:val="-5"/>
                <w:sz w:val="19"/>
              </w:rPr>
              <w:t>the</w:t>
            </w:r>
          </w:p>
        </w:tc>
        <w:tc>
          <w:tcPr>
            <w:tcW w:w="511" w:type="dxa"/>
            <w:tcBorders>
              <w:top w:val="nil"/>
              <w:left w:val="single" w:sz="18" w:space="0" w:color="000000"/>
              <w:bottom w:val="nil"/>
              <w:right w:val="single" w:sz="18" w:space="0" w:color="000000"/>
            </w:tcBorders>
          </w:tcPr>
          <w:p w:rsidR="007F6DF9" w:rsidRDefault="00A43FBC">
            <w:pPr>
              <w:pStyle w:val="TableParagraph"/>
              <w:spacing w:before="125"/>
              <w:ind w:left="35"/>
              <w:jc w:val="center"/>
              <w:rPr>
                <w:rFonts w:ascii="Times New Roman"/>
                <w:sz w:val="19"/>
              </w:rPr>
            </w:pPr>
            <w:r>
              <w:rPr>
                <w:rFonts w:ascii="Times New Roman"/>
                <w:spacing w:val="-10"/>
                <w:sz w:val="19"/>
              </w:rPr>
              <w:t>1</w:t>
            </w:r>
          </w:p>
        </w:tc>
        <w:tc>
          <w:tcPr>
            <w:tcW w:w="547" w:type="dxa"/>
            <w:tcBorders>
              <w:top w:val="nil"/>
              <w:left w:val="single" w:sz="18" w:space="0" w:color="000000"/>
              <w:bottom w:val="nil"/>
              <w:right w:val="single" w:sz="18" w:space="0" w:color="000000"/>
            </w:tcBorders>
          </w:tcPr>
          <w:p w:rsidR="007F6DF9" w:rsidRDefault="00A43FBC">
            <w:pPr>
              <w:pStyle w:val="TableParagraph"/>
              <w:spacing w:before="125"/>
              <w:ind w:left="36" w:right="2"/>
              <w:jc w:val="center"/>
              <w:rPr>
                <w:rFonts w:ascii="Times New Roman"/>
                <w:sz w:val="19"/>
              </w:rPr>
            </w:pPr>
            <w:r>
              <w:rPr>
                <w:rFonts w:ascii="Times New Roman"/>
                <w:spacing w:val="-4"/>
                <w:sz w:val="19"/>
              </w:rPr>
              <w:t>Item</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182"/>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3" w:line="160" w:lineRule="exact"/>
              <w:ind w:left="44"/>
              <w:rPr>
                <w:rFonts w:ascii="Times New Roman"/>
                <w:sz w:val="19"/>
              </w:rPr>
            </w:pPr>
            <w:proofErr w:type="spellStart"/>
            <w:r>
              <w:rPr>
                <w:rFonts w:ascii="Times New Roman"/>
                <w:spacing w:val="-2"/>
                <w:sz w:val="19"/>
              </w:rPr>
              <w:t>coldstore</w:t>
            </w:r>
            <w:proofErr w:type="spellEnd"/>
            <w:r>
              <w:rPr>
                <w:rFonts w:ascii="Times New Roman"/>
                <w:spacing w:val="-2"/>
                <w:sz w:val="19"/>
              </w:rPr>
              <w:t>.</w:t>
            </w:r>
          </w:p>
        </w:tc>
        <w:tc>
          <w:tcPr>
            <w:tcW w:w="511" w:type="dxa"/>
            <w:tcBorders>
              <w:top w:val="nil"/>
              <w:left w:val="single" w:sz="18" w:space="0" w:color="000000"/>
              <w:bottom w:val="nil"/>
              <w:right w:val="single" w:sz="18" w:space="0" w:color="000000"/>
            </w:tcBorders>
          </w:tcPr>
          <w:p w:rsidR="007F6DF9" w:rsidRDefault="007F6DF9">
            <w:pPr>
              <w:pStyle w:val="TableParagraph"/>
              <w:rPr>
                <w:rFonts w:ascii="Times New Roman"/>
                <w:sz w:val="12"/>
              </w:rPr>
            </w:pPr>
          </w:p>
        </w:tc>
        <w:tc>
          <w:tcPr>
            <w:tcW w:w="547" w:type="dxa"/>
            <w:tcBorders>
              <w:top w:val="nil"/>
              <w:left w:val="single" w:sz="18" w:space="0" w:color="000000"/>
              <w:bottom w:val="nil"/>
              <w:right w:val="single" w:sz="18" w:space="0" w:color="000000"/>
            </w:tcBorders>
          </w:tcPr>
          <w:p w:rsidR="007F6DF9" w:rsidRDefault="007F6DF9">
            <w:pPr>
              <w:pStyle w:val="TableParagraph"/>
              <w:rPr>
                <w:rFonts w:ascii="Times New Roman"/>
                <w:sz w:val="12"/>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4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line="175" w:lineRule="exact"/>
              <w:ind w:left="44"/>
              <w:rPr>
                <w:rFonts w:ascii="Times New Roman"/>
                <w:b/>
                <w:sz w:val="19"/>
              </w:rPr>
            </w:pPr>
            <w:r>
              <w:rPr>
                <w:rFonts w:ascii="Times New Roman"/>
                <w:b/>
                <w:sz w:val="19"/>
              </w:rPr>
              <w:t>Anti-Vibration</w:t>
            </w:r>
            <w:r>
              <w:rPr>
                <w:rFonts w:ascii="Times New Roman"/>
                <w:b/>
                <w:spacing w:val="26"/>
                <w:sz w:val="19"/>
              </w:rPr>
              <w:t xml:space="preserve"> </w:t>
            </w:r>
            <w:r>
              <w:rPr>
                <w:rFonts w:ascii="Times New Roman"/>
                <w:b/>
                <w:spacing w:val="-2"/>
                <w:sz w:val="19"/>
              </w:rPr>
              <w:t>Mountings</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56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46" w:line="240" w:lineRule="atLeast"/>
              <w:ind w:left="44" w:right="91"/>
              <w:rPr>
                <w:rFonts w:ascii="Times New Roman"/>
                <w:sz w:val="19"/>
              </w:rPr>
            </w:pPr>
            <w:r>
              <w:rPr>
                <w:rFonts w:ascii="Times New Roman"/>
                <w:sz w:val="19"/>
              </w:rPr>
              <w:t xml:space="preserve">Anti-Vibration Mountings </w:t>
            </w:r>
            <w:r>
              <w:rPr>
                <w:rFonts w:ascii="Times New Roman"/>
                <w:b/>
                <w:sz w:val="19"/>
              </w:rPr>
              <w:t>f</w:t>
            </w:r>
            <w:r>
              <w:rPr>
                <w:rFonts w:ascii="Times New Roman"/>
                <w:sz w:val="19"/>
              </w:rPr>
              <w:t>or the condensing unit as WOODS P.N.50417 or equal and</w:t>
            </w:r>
          </w:p>
        </w:tc>
        <w:tc>
          <w:tcPr>
            <w:tcW w:w="511" w:type="dxa"/>
            <w:tcBorders>
              <w:top w:val="nil"/>
              <w:bottom w:val="nil"/>
            </w:tcBorders>
          </w:tcPr>
          <w:p w:rsidR="007F6DF9" w:rsidRDefault="00A43FBC">
            <w:pPr>
              <w:pStyle w:val="TableParagraph"/>
              <w:spacing w:before="214"/>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214"/>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30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2"/>
              <w:ind w:left="44"/>
              <w:rPr>
                <w:rFonts w:ascii="Times New Roman"/>
                <w:b/>
                <w:sz w:val="19"/>
              </w:rPr>
            </w:pPr>
            <w:r>
              <w:rPr>
                <w:rFonts w:ascii="Times New Roman"/>
                <w:b/>
                <w:sz w:val="19"/>
              </w:rPr>
              <w:t>Associated</w:t>
            </w:r>
            <w:r>
              <w:rPr>
                <w:rFonts w:ascii="Times New Roman"/>
                <w:b/>
                <w:spacing w:val="17"/>
                <w:sz w:val="19"/>
              </w:rPr>
              <w:t xml:space="preserve"> </w:t>
            </w:r>
            <w:r>
              <w:rPr>
                <w:rFonts w:ascii="Times New Roman"/>
                <w:b/>
                <w:sz w:val="19"/>
              </w:rPr>
              <w:t>Electrical</w:t>
            </w:r>
            <w:r>
              <w:rPr>
                <w:rFonts w:ascii="Times New Roman"/>
                <w:b/>
                <w:spacing w:val="23"/>
                <w:sz w:val="19"/>
              </w:rPr>
              <w:t xml:space="preserve"> </w:t>
            </w:r>
            <w:r>
              <w:rPr>
                <w:rFonts w:ascii="Times New Roman"/>
                <w:b/>
                <w:spacing w:val="-4"/>
                <w:sz w:val="19"/>
              </w:rPr>
              <w:t>Works</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80"/>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3" w:line="207" w:lineRule="exact"/>
              <w:ind w:left="45"/>
              <w:rPr>
                <w:rFonts w:ascii="Times New Roman"/>
                <w:sz w:val="19"/>
              </w:rPr>
            </w:pPr>
            <w:r>
              <w:rPr>
                <w:rFonts w:ascii="Times New Roman"/>
                <w:sz w:val="19"/>
              </w:rPr>
              <w:t>Allow</w:t>
            </w:r>
            <w:r>
              <w:rPr>
                <w:rFonts w:ascii="Times New Roman"/>
                <w:spacing w:val="8"/>
                <w:sz w:val="19"/>
              </w:rPr>
              <w:t xml:space="preserve"> </w:t>
            </w:r>
            <w:r>
              <w:rPr>
                <w:rFonts w:ascii="Times New Roman"/>
                <w:sz w:val="19"/>
              </w:rPr>
              <w:t>for</w:t>
            </w:r>
            <w:r>
              <w:rPr>
                <w:rFonts w:ascii="Times New Roman"/>
                <w:spacing w:val="10"/>
                <w:sz w:val="19"/>
              </w:rPr>
              <w:t xml:space="preserve"> </w:t>
            </w:r>
            <w:r>
              <w:rPr>
                <w:rFonts w:ascii="Times New Roman"/>
                <w:sz w:val="19"/>
              </w:rPr>
              <w:t>electrical</w:t>
            </w:r>
            <w:r>
              <w:rPr>
                <w:rFonts w:ascii="Times New Roman"/>
                <w:spacing w:val="13"/>
                <w:sz w:val="19"/>
              </w:rPr>
              <w:t xml:space="preserve"> </w:t>
            </w:r>
            <w:r>
              <w:rPr>
                <w:rFonts w:ascii="Times New Roman"/>
                <w:sz w:val="19"/>
              </w:rPr>
              <w:t>works</w:t>
            </w:r>
            <w:r>
              <w:rPr>
                <w:rFonts w:ascii="Times New Roman"/>
                <w:spacing w:val="12"/>
                <w:sz w:val="19"/>
              </w:rPr>
              <w:t xml:space="preserve"> </w:t>
            </w:r>
            <w:r>
              <w:rPr>
                <w:rFonts w:ascii="Times New Roman"/>
                <w:sz w:val="19"/>
              </w:rPr>
              <w:t>including</w:t>
            </w:r>
            <w:r>
              <w:rPr>
                <w:rFonts w:ascii="Times New Roman"/>
                <w:spacing w:val="10"/>
                <w:sz w:val="19"/>
              </w:rPr>
              <w:t xml:space="preserve"> </w:t>
            </w:r>
            <w:r>
              <w:rPr>
                <w:rFonts w:ascii="Times New Roman"/>
                <w:sz w:val="19"/>
              </w:rPr>
              <w:t>but</w:t>
            </w:r>
            <w:r>
              <w:rPr>
                <w:rFonts w:ascii="Times New Roman"/>
                <w:spacing w:val="13"/>
                <w:sz w:val="19"/>
              </w:rPr>
              <w:t xml:space="preserve"> </w:t>
            </w:r>
            <w:r>
              <w:rPr>
                <w:rFonts w:ascii="Times New Roman"/>
                <w:spacing w:val="-5"/>
                <w:sz w:val="19"/>
              </w:rPr>
              <w:t>not</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7" w:lineRule="exact"/>
              <w:ind w:left="44"/>
              <w:rPr>
                <w:rFonts w:ascii="Times New Roman"/>
                <w:sz w:val="19"/>
              </w:rPr>
            </w:pPr>
            <w:r>
              <w:rPr>
                <w:rFonts w:ascii="Times New Roman"/>
                <w:sz w:val="19"/>
              </w:rPr>
              <w:t>limited</w:t>
            </w:r>
            <w:r>
              <w:rPr>
                <w:rFonts w:ascii="Times New Roman"/>
                <w:spacing w:val="10"/>
                <w:sz w:val="19"/>
              </w:rPr>
              <w:t xml:space="preserve"> </w:t>
            </w:r>
            <w:r>
              <w:rPr>
                <w:rFonts w:ascii="Times New Roman"/>
                <w:sz w:val="19"/>
              </w:rPr>
              <w:t>to</w:t>
            </w:r>
            <w:r>
              <w:rPr>
                <w:rFonts w:ascii="Times New Roman"/>
                <w:spacing w:val="11"/>
                <w:sz w:val="19"/>
              </w:rPr>
              <w:t xml:space="preserve"> </w:t>
            </w:r>
            <w:r>
              <w:rPr>
                <w:rFonts w:ascii="Times New Roman"/>
                <w:sz w:val="19"/>
              </w:rPr>
              <w:t>wiring</w:t>
            </w:r>
            <w:r>
              <w:rPr>
                <w:rFonts w:ascii="Times New Roman"/>
                <w:spacing w:val="9"/>
                <w:sz w:val="19"/>
              </w:rPr>
              <w:t xml:space="preserve"> </w:t>
            </w:r>
            <w:r>
              <w:rPr>
                <w:rFonts w:ascii="Times New Roman"/>
                <w:sz w:val="19"/>
              </w:rPr>
              <w:t>and</w:t>
            </w:r>
            <w:r>
              <w:rPr>
                <w:rFonts w:ascii="Times New Roman"/>
                <w:spacing w:val="13"/>
                <w:sz w:val="19"/>
              </w:rPr>
              <w:t xml:space="preserve"> </w:t>
            </w:r>
            <w:r>
              <w:rPr>
                <w:rFonts w:ascii="Times New Roman"/>
                <w:sz w:val="19"/>
              </w:rPr>
              <w:t>conduits</w:t>
            </w:r>
            <w:r>
              <w:rPr>
                <w:rFonts w:ascii="Times New Roman"/>
                <w:spacing w:val="11"/>
                <w:sz w:val="19"/>
              </w:rPr>
              <w:t xml:space="preserve"> </w:t>
            </w:r>
            <w:r>
              <w:rPr>
                <w:rFonts w:ascii="Times New Roman"/>
                <w:sz w:val="19"/>
              </w:rPr>
              <w:t>from</w:t>
            </w:r>
            <w:r>
              <w:rPr>
                <w:rFonts w:ascii="Times New Roman"/>
                <w:spacing w:val="11"/>
                <w:sz w:val="19"/>
              </w:rPr>
              <w:t xml:space="preserve"> </w:t>
            </w:r>
            <w:r>
              <w:rPr>
                <w:rFonts w:ascii="Times New Roman"/>
                <w:sz w:val="19"/>
              </w:rPr>
              <w:t>the</w:t>
            </w:r>
            <w:r>
              <w:rPr>
                <w:rFonts w:ascii="Times New Roman"/>
                <w:spacing w:val="10"/>
                <w:sz w:val="19"/>
              </w:rPr>
              <w:t xml:space="preserve"> </w:t>
            </w:r>
            <w:r>
              <w:rPr>
                <w:rFonts w:ascii="Times New Roman"/>
                <w:spacing w:val="-4"/>
                <w:sz w:val="19"/>
              </w:rPr>
              <w:t>local</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7" w:lineRule="exact"/>
              <w:ind w:left="44"/>
              <w:rPr>
                <w:rFonts w:ascii="Times New Roman"/>
                <w:sz w:val="19"/>
              </w:rPr>
            </w:pPr>
            <w:r>
              <w:rPr>
                <w:rFonts w:ascii="Times New Roman"/>
                <w:sz w:val="19"/>
              </w:rPr>
              <w:t>isolator</w:t>
            </w:r>
            <w:r>
              <w:rPr>
                <w:rFonts w:ascii="Times New Roman"/>
                <w:spacing w:val="12"/>
                <w:sz w:val="19"/>
              </w:rPr>
              <w:t xml:space="preserve"> </w:t>
            </w:r>
            <w:r>
              <w:rPr>
                <w:rFonts w:ascii="Times New Roman"/>
                <w:sz w:val="19"/>
              </w:rPr>
              <w:t>provided</w:t>
            </w:r>
            <w:r>
              <w:rPr>
                <w:rFonts w:ascii="Times New Roman"/>
                <w:spacing w:val="12"/>
                <w:sz w:val="19"/>
              </w:rPr>
              <w:t xml:space="preserve"> </w:t>
            </w:r>
            <w:r>
              <w:rPr>
                <w:rFonts w:ascii="Times New Roman"/>
                <w:sz w:val="19"/>
              </w:rPr>
              <w:t>by</w:t>
            </w:r>
            <w:r>
              <w:rPr>
                <w:rFonts w:ascii="Times New Roman"/>
                <w:spacing w:val="3"/>
                <w:sz w:val="19"/>
              </w:rPr>
              <w:t xml:space="preserve"> </w:t>
            </w:r>
            <w:r>
              <w:rPr>
                <w:rFonts w:ascii="Times New Roman"/>
                <w:sz w:val="19"/>
              </w:rPr>
              <w:t>others</w:t>
            </w:r>
            <w:r>
              <w:rPr>
                <w:rFonts w:ascii="Times New Roman"/>
                <w:spacing w:val="12"/>
                <w:sz w:val="19"/>
              </w:rPr>
              <w:t xml:space="preserve"> </w:t>
            </w:r>
            <w:r>
              <w:rPr>
                <w:rFonts w:ascii="Times New Roman"/>
                <w:sz w:val="19"/>
              </w:rPr>
              <w:t>within</w:t>
            </w:r>
            <w:r>
              <w:rPr>
                <w:rFonts w:ascii="Times New Roman"/>
                <w:spacing w:val="15"/>
                <w:sz w:val="19"/>
              </w:rPr>
              <w:t xml:space="preserve"> </w:t>
            </w:r>
            <w:r>
              <w:rPr>
                <w:rFonts w:ascii="Times New Roman"/>
                <w:sz w:val="19"/>
              </w:rPr>
              <w:t>2metres</w:t>
            </w:r>
            <w:r>
              <w:rPr>
                <w:rFonts w:ascii="Times New Roman"/>
                <w:spacing w:val="12"/>
                <w:sz w:val="19"/>
              </w:rPr>
              <w:t xml:space="preserve"> </w:t>
            </w:r>
            <w:r>
              <w:rPr>
                <w:rFonts w:ascii="Times New Roman"/>
                <w:sz w:val="19"/>
              </w:rPr>
              <w:t>in</w:t>
            </w:r>
            <w:r>
              <w:rPr>
                <w:rFonts w:ascii="Times New Roman"/>
                <w:spacing w:val="12"/>
                <w:sz w:val="19"/>
              </w:rPr>
              <w:t xml:space="preserve"> </w:t>
            </w:r>
            <w:r>
              <w:rPr>
                <w:rFonts w:ascii="Times New Roman"/>
                <w:spacing w:val="-5"/>
                <w:sz w:val="19"/>
              </w:rPr>
              <w:t>the</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9" w:lineRule="exact"/>
              <w:ind w:left="44"/>
              <w:rPr>
                <w:rFonts w:ascii="Times New Roman"/>
                <w:sz w:val="19"/>
              </w:rPr>
            </w:pPr>
            <w:r>
              <w:rPr>
                <w:rFonts w:ascii="Times New Roman"/>
                <w:sz w:val="19"/>
              </w:rPr>
              <w:t>machine</w:t>
            </w:r>
            <w:r>
              <w:rPr>
                <w:rFonts w:ascii="Times New Roman"/>
                <w:spacing w:val="10"/>
                <w:sz w:val="19"/>
              </w:rPr>
              <w:t xml:space="preserve"> </w:t>
            </w:r>
            <w:r>
              <w:rPr>
                <w:rFonts w:ascii="Times New Roman"/>
                <w:sz w:val="19"/>
              </w:rPr>
              <w:t>room</w:t>
            </w:r>
            <w:r>
              <w:rPr>
                <w:rFonts w:ascii="Times New Roman"/>
                <w:spacing w:val="11"/>
                <w:sz w:val="19"/>
              </w:rPr>
              <w:t xml:space="preserve"> </w:t>
            </w:r>
            <w:r>
              <w:rPr>
                <w:rFonts w:ascii="Times New Roman"/>
                <w:sz w:val="19"/>
              </w:rPr>
              <w:t>to</w:t>
            </w:r>
            <w:r>
              <w:rPr>
                <w:rFonts w:ascii="Times New Roman"/>
                <w:spacing w:val="12"/>
                <w:sz w:val="19"/>
              </w:rPr>
              <w:t xml:space="preserve"> </w:t>
            </w:r>
            <w:r>
              <w:rPr>
                <w:rFonts w:ascii="Times New Roman"/>
                <w:sz w:val="19"/>
              </w:rPr>
              <w:t>the</w:t>
            </w:r>
            <w:r>
              <w:rPr>
                <w:rFonts w:ascii="Times New Roman"/>
                <w:spacing w:val="11"/>
                <w:sz w:val="19"/>
              </w:rPr>
              <w:t xml:space="preserve"> </w:t>
            </w:r>
            <w:r>
              <w:rPr>
                <w:rFonts w:ascii="Times New Roman"/>
                <w:sz w:val="19"/>
              </w:rPr>
              <w:t>control</w:t>
            </w:r>
            <w:r>
              <w:rPr>
                <w:rFonts w:ascii="Times New Roman"/>
                <w:spacing w:val="10"/>
                <w:sz w:val="19"/>
              </w:rPr>
              <w:t xml:space="preserve"> </w:t>
            </w:r>
            <w:r>
              <w:rPr>
                <w:rFonts w:ascii="Times New Roman"/>
                <w:sz w:val="19"/>
              </w:rPr>
              <w:t>panel,</w:t>
            </w:r>
            <w:r>
              <w:rPr>
                <w:rFonts w:ascii="Times New Roman"/>
                <w:spacing w:val="11"/>
                <w:sz w:val="19"/>
              </w:rPr>
              <w:t xml:space="preserve"> </w:t>
            </w:r>
            <w:r>
              <w:rPr>
                <w:rFonts w:ascii="Times New Roman"/>
                <w:spacing w:val="-2"/>
                <w:sz w:val="19"/>
              </w:rPr>
              <w:t>condenser</w:t>
            </w:r>
          </w:p>
        </w:tc>
        <w:tc>
          <w:tcPr>
            <w:tcW w:w="511" w:type="dxa"/>
            <w:tcBorders>
              <w:top w:val="nil"/>
              <w:bottom w:val="nil"/>
            </w:tcBorders>
          </w:tcPr>
          <w:p w:rsidR="007F6DF9" w:rsidRDefault="00A43FBC">
            <w:pPr>
              <w:pStyle w:val="TableParagraph"/>
              <w:spacing w:before="8" w:line="204" w:lineRule="exact"/>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8" w:line="204" w:lineRule="exact"/>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line="207" w:lineRule="exact"/>
              <w:ind w:left="44"/>
              <w:rPr>
                <w:rFonts w:ascii="Times New Roman"/>
                <w:sz w:val="19"/>
              </w:rPr>
            </w:pPr>
            <w:r>
              <w:rPr>
                <w:rFonts w:ascii="Times New Roman"/>
                <w:sz w:val="19"/>
              </w:rPr>
              <w:t>and</w:t>
            </w:r>
            <w:r>
              <w:rPr>
                <w:rFonts w:ascii="Times New Roman"/>
                <w:spacing w:val="9"/>
                <w:sz w:val="19"/>
              </w:rPr>
              <w:t xml:space="preserve"> </w:t>
            </w:r>
            <w:r>
              <w:rPr>
                <w:rFonts w:ascii="Times New Roman"/>
                <w:sz w:val="19"/>
              </w:rPr>
              <w:t>evaporator.</w:t>
            </w:r>
            <w:r>
              <w:rPr>
                <w:rFonts w:ascii="Times New Roman"/>
                <w:spacing w:val="8"/>
                <w:sz w:val="19"/>
              </w:rPr>
              <w:t xml:space="preserve"> </w:t>
            </w:r>
            <w:r>
              <w:rPr>
                <w:rFonts w:ascii="Times New Roman"/>
                <w:sz w:val="19"/>
              </w:rPr>
              <w:t>It</w:t>
            </w:r>
            <w:r>
              <w:rPr>
                <w:rFonts w:ascii="Times New Roman"/>
                <w:spacing w:val="9"/>
                <w:sz w:val="19"/>
              </w:rPr>
              <w:t xml:space="preserve"> </w:t>
            </w:r>
            <w:r>
              <w:rPr>
                <w:rFonts w:ascii="Times New Roman"/>
                <w:sz w:val="19"/>
              </w:rPr>
              <w:t>shall</w:t>
            </w:r>
            <w:r>
              <w:rPr>
                <w:rFonts w:ascii="Times New Roman"/>
                <w:spacing w:val="10"/>
                <w:sz w:val="19"/>
              </w:rPr>
              <w:t xml:space="preserve"> </w:t>
            </w:r>
            <w:r>
              <w:rPr>
                <w:rFonts w:ascii="Times New Roman"/>
                <w:sz w:val="19"/>
              </w:rPr>
              <w:t>include</w:t>
            </w:r>
            <w:r>
              <w:rPr>
                <w:rFonts w:ascii="Times New Roman"/>
                <w:spacing w:val="10"/>
                <w:sz w:val="19"/>
              </w:rPr>
              <w:t xml:space="preserve"> </w:t>
            </w:r>
            <w:r>
              <w:rPr>
                <w:rFonts w:ascii="Times New Roman"/>
                <w:sz w:val="19"/>
              </w:rPr>
              <w:t>a</w:t>
            </w:r>
            <w:r>
              <w:rPr>
                <w:rFonts w:ascii="Times New Roman"/>
                <w:spacing w:val="7"/>
                <w:sz w:val="19"/>
              </w:rPr>
              <w:t xml:space="preserve"> </w:t>
            </w:r>
            <w:r>
              <w:rPr>
                <w:rFonts w:ascii="Times New Roman"/>
                <w:sz w:val="19"/>
              </w:rPr>
              <w:t>push</w:t>
            </w:r>
            <w:r>
              <w:rPr>
                <w:rFonts w:ascii="Times New Roman"/>
                <w:spacing w:val="12"/>
                <w:sz w:val="19"/>
              </w:rPr>
              <w:t xml:space="preserve"> </w:t>
            </w:r>
            <w:r>
              <w:rPr>
                <w:rFonts w:ascii="Times New Roman"/>
                <w:sz w:val="19"/>
              </w:rPr>
              <w:t>and</w:t>
            </w:r>
            <w:r>
              <w:rPr>
                <w:rFonts w:ascii="Times New Roman"/>
                <w:spacing w:val="12"/>
                <w:sz w:val="19"/>
              </w:rPr>
              <w:t xml:space="preserve"> </w:t>
            </w:r>
            <w:r>
              <w:rPr>
                <w:rFonts w:ascii="Times New Roman"/>
                <w:spacing w:val="-4"/>
                <w:sz w:val="19"/>
              </w:rPr>
              <w:t>turn</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7" w:lineRule="exact"/>
              <w:ind w:left="44"/>
              <w:rPr>
                <w:rFonts w:ascii="Times New Roman"/>
                <w:sz w:val="19"/>
              </w:rPr>
            </w:pPr>
            <w:r>
              <w:rPr>
                <w:rFonts w:ascii="Times New Roman"/>
                <w:sz w:val="19"/>
              </w:rPr>
              <w:t>safety</w:t>
            </w:r>
            <w:r>
              <w:rPr>
                <w:rFonts w:ascii="Times New Roman"/>
                <w:spacing w:val="2"/>
                <w:sz w:val="19"/>
              </w:rPr>
              <w:t xml:space="preserve"> </w:t>
            </w:r>
            <w:r>
              <w:rPr>
                <w:rFonts w:ascii="Times New Roman"/>
                <w:sz w:val="19"/>
              </w:rPr>
              <w:t>switch</w:t>
            </w:r>
            <w:r>
              <w:rPr>
                <w:rFonts w:ascii="Times New Roman"/>
                <w:spacing w:val="10"/>
                <w:sz w:val="19"/>
              </w:rPr>
              <w:t xml:space="preserve"> </w:t>
            </w:r>
            <w:r>
              <w:rPr>
                <w:rFonts w:ascii="Times New Roman"/>
                <w:sz w:val="19"/>
              </w:rPr>
              <w:t>near</w:t>
            </w:r>
            <w:r>
              <w:rPr>
                <w:rFonts w:ascii="Times New Roman"/>
                <w:spacing w:val="10"/>
                <w:sz w:val="19"/>
              </w:rPr>
              <w:t xml:space="preserve"> </w:t>
            </w:r>
            <w:r>
              <w:rPr>
                <w:rFonts w:ascii="Times New Roman"/>
                <w:sz w:val="19"/>
              </w:rPr>
              <w:t>the</w:t>
            </w:r>
            <w:r>
              <w:rPr>
                <w:rFonts w:ascii="Times New Roman"/>
                <w:spacing w:val="11"/>
                <w:sz w:val="19"/>
              </w:rPr>
              <w:t xml:space="preserve"> </w:t>
            </w:r>
            <w:r>
              <w:rPr>
                <w:rFonts w:ascii="Times New Roman"/>
                <w:sz w:val="19"/>
              </w:rPr>
              <w:t>machines</w:t>
            </w:r>
            <w:r>
              <w:rPr>
                <w:rFonts w:ascii="Times New Roman"/>
                <w:spacing w:val="10"/>
                <w:sz w:val="19"/>
              </w:rPr>
              <w:t xml:space="preserve"> </w:t>
            </w:r>
            <w:r>
              <w:rPr>
                <w:rFonts w:ascii="Times New Roman"/>
                <w:sz w:val="19"/>
              </w:rPr>
              <w:t>in</w:t>
            </w:r>
            <w:r>
              <w:rPr>
                <w:rFonts w:ascii="Times New Roman"/>
                <w:spacing w:val="10"/>
                <w:sz w:val="19"/>
              </w:rPr>
              <w:t xml:space="preserve"> </w:t>
            </w:r>
            <w:r>
              <w:rPr>
                <w:rFonts w:ascii="Times New Roman"/>
                <w:sz w:val="19"/>
              </w:rPr>
              <w:t>the</w:t>
            </w:r>
            <w:r>
              <w:rPr>
                <w:rFonts w:ascii="Times New Roman"/>
                <w:spacing w:val="10"/>
                <w:sz w:val="19"/>
              </w:rPr>
              <w:t xml:space="preserve"> </w:t>
            </w:r>
            <w:r>
              <w:rPr>
                <w:rFonts w:ascii="Times New Roman"/>
                <w:spacing w:val="-2"/>
                <w:sz w:val="19"/>
              </w:rPr>
              <w:t>machine</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15" w:lineRule="exact"/>
              <w:ind w:left="44"/>
              <w:rPr>
                <w:rFonts w:ascii="Times New Roman"/>
                <w:sz w:val="19"/>
              </w:rPr>
            </w:pPr>
            <w:r>
              <w:rPr>
                <w:rFonts w:ascii="Times New Roman"/>
                <w:sz w:val="19"/>
              </w:rPr>
              <w:t>room</w:t>
            </w:r>
            <w:r>
              <w:rPr>
                <w:rFonts w:ascii="Times New Roman"/>
                <w:spacing w:val="14"/>
                <w:sz w:val="19"/>
              </w:rPr>
              <w:t xml:space="preserve"> </w:t>
            </w:r>
            <w:r>
              <w:rPr>
                <w:rFonts w:ascii="Times New Roman"/>
                <w:sz w:val="19"/>
              </w:rPr>
              <w:t>for</w:t>
            </w:r>
            <w:r>
              <w:rPr>
                <w:rFonts w:ascii="Times New Roman"/>
                <w:spacing w:val="11"/>
                <w:sz w:val="19"/>
              </w:rPr>
              <w:t xml:space="preserve"> </w:t>
            </w:r>
            <w:r>
              <w:rPr>
                <w:rFonts w:ascii="Times New Roman"/>
                <w:sz w:val="19"/>
              </w:rPr>
              <w:t>isolation</w:t>
            </w:r>
            <w:r>
              <w:rPr>
                <w:rFonts w:ascii="Times New Roman"/>
                <w:spacing w:val="15"/>
                <w:sz w:val="19"/>
              </w:rPr>
              <w:t xml:space="preserve"> </w:t>
            </w:r>
            <w:r>
              <w:rPr>
                <w:rFonts w:ascii="Times New Roman"/>
                <w:sz w:val="19"/>
              </w:rPr>
              <w:t>during</w:t>
            </w:r>
            <w:r>
              <w:rPr>
                <w:rFonts w:ascii="Times New Roman"/>
                <w:spacing w:val="11"/>
                <w:sz w:val="19"/>
              </w:rPr>
              <w:t xml:space="preserve"> </w:t>
            </w:r>
            <w:r>
              <w:rPr>
                <w:rFonts w:ascii="Times New Roman"/>
                <w:sz w:val="19"/>
              </w:rPr>
              <w:t>servicing</w:t>
            </w:r>
            <w:r>
              <w:rPr>
                <w:rFonts w:ascii="Times New Roman"/>
                <w:spacing w:val="12"/>
                <w:sz w:val="19"/>
              </w:rPr>
              <w:t xml:space="preserve"> </w:t>
            </w:r>
            <w:r>
              <w:rPr>
                <w:rFonts w:ascii="Times New Roman"/>
                <w:spacing w:val="-5"/>
                <w:sz w:val="19"/>
              </w:rPr>
              <w:t>and</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1" w:line="207" w:lineRule="exact"/>
              <w:ind w:left="44"/>
              <w:rPr>
                <w:rFonts w:ascii="Times New Roman"/>
                <w:b/>
                <w:sz w:val="19"/>
              </w:rPr>
            </w:pPr>
            <w:r>
              <w:rPr>
                <w:rFonts w:ascii="Times New Roman"/>
                <w:b/>
                <w:sz w:val="19"/>
              </w:rPr>
              <w:t>As-built</w:t>
            </w:r>
            <w:r>
              <w:rPr>
                <w:rFonts w:ascii="Times New Roman"/>
                <w:b/>
                <w:spacing w:val="20"/>
                <w:sz w:val="19"/>
              </w:rPr>
              <w:t xml:space="preserve"> </w:t>
            </w:r>
            <w:r>
              <w:rPr>
                <w:rFonts w:ascii="Times New Roman"/>
                <w:b/>
                <w:sz w:val="19"/>
              </w:rPr>
              <w:t>Drawings</w:t>
            </w:r>
            <w:r>
              <w:rPr>
                <w:rFonts w:ascii="Times New Roman"/>
                <w:b/>
                <w:spacing w:val="20"/>
                <w:sz w:val="19"/>
              </w:rPr>
              <w:t xml:space="preserve"> </w:t>
            </w:r>
            <w:r>
              <w:rPr>
                <w:rFonts w:ascii="Times New Roman"/>
                <w:b/>
                <w:sz w:val="19"/>
              </w:rPr>
              <w:t>Maintenance</w:t>
            </w:r>
            <w:r>
              <w:rPr>
                <w:rFonts w:ascii="Times New Roman"/>
                <w:b/>
                <w:spacing w:val="17"/>
                <w:sz w:val="19"/>
              </w:rPr>
              <w:t xml:space="preserve"> </w:t>
            </w:r>
            <w:r>
              <w:rPr>
                <w:rFonts w:ascii="Times New Roman"/>
                <w:b/>
                <w:spacing w:val="-5"/>
                <w:sz w:val="19"/>
              </w:rPr>
              <w:t>and</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10" w:lineRule="exact"/>
              <w:ind w:left="44"/>
              <w:rPr>
                <w:rFonts w:ascii="Times New Roman"/>
                <w:b/>
                <w:sz w:val="19"/>
              </w:rPr>
            </w:pPr>
            <w:r>
              <w:rPr>
                <w:rFonts w:ascii="Times New Roman"/>
                <w:b/>
                <w:sz w:val="19"/>
              </w:rPr>
              <w:t>Operation</w:t>
            </w:r>
            <w:r>
              <w:rPr>
                <w:rFonts w:ascii="Times New Roman"/>
                <w:b/>
                <w:spacing w:val="17"/>
                <w:sz w:val="19"/>
              </w:rPr>
              <w:t xml:space="preserve"> </w:t>
            </w:r>
            <w:r>
              <w:rPr>
                <w:rFonts w:ascii="Times New Roman"/>
                <w:b/>
                <w:spacing w:val="-2"/>
                <w:sz w:val="19"/>
              </w:rPr>
              <w:t>Manuals</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 w:line="207" w:lineRule="exact"/>
              <w:ind w:left="43"/>
              <w:rPr>
                <w:rFonts w:ascii="Times New Roman"/>
                <w:sz w:val="19"/>
              </w:rPr>
            </w:pPr>
            <w:r>
              <w:rPr>
                <w:rFonts w:ascii="Times New Roman"/>
                <w:sz w:val="19"/>
              </w:rPr>
              <w:t>Allow</w:t>
            </w:r>
            <w:r>
              <w:rPr>
                <w:rFonts w:ascii="Times New Roman"/>
                <w:spacing w:val="12"/>
                <w:sz w:val="19"/>
              </w:rPr>
              <w:t xml:space="preserve"> </w:t>
            </w:r>
            <w:r>
              <w:rPr>
                <w:rFonts w:ascii="Times New Roman"/>
                <w:sz w:val="19"/>
              </w:rPr>
              <w:t>for</w:t>
            </w:r>
            <w:r>
              <w:rPr>
                <w:rFonts w:ascii="Times New Roman"/>
                <w:spacing w:val="13"/>
                <w:sz w:val="19"/>
              </w:rPr>
              <w:t xml:space="preserve"> </w:t>
            </w:r>
            <w:r>
              <w:rPr>
                <w:rFonts w:ascii="Times New Roman"/>
                <w:sz w:val="19"/>
              </w:rPr>
              <w:t>as-built</w:t>
            </w:r>
            <w:r>
              <w:rPr>
                <w:rFonts w:ascii="Times New Roman"/>
                <w:spacing w:val="15"/>
                <w:sz w:val="19"/>
              </w:rPr>
              <w:t xml:space="preserve"> </w:t>
            </w:r>
            <w:r>
              <w:rPr>
                <w:rFonts w:ascii="Times New Roman"/>
                <w:sz w:val="19"/>
              </w:rPr>
              <w:t>drawing,</w:t>
            </w:r>
            <w:r>
              <w:rPr>
                <w:rFonts w:ascii="Times New Roman"/>
                <w:spacing w:val="13"/>
                <w:sz w:val="19"/>
              </w:rPr>
              <w:t xml:space="preserve"> </w:t>
            </w:r>
            <w:r>
              <w:rPr>
                <w:rFonts w:ascii="Times New Roman"/>
                <w:sz w:val="19"/>
              </w:rPr>
              <w:t>maintenance</w:t>
            </w:r>
            <w:r>
              <w:rPr>
                <w:rFonts w:ascii="Times New Roman"/>
                <w:spacing w:val="14"/>
                <w:sz w:val="19"/>
              </w:rPr>
              <w:t xml:space="preserve"> </w:t>
            </w:r>
            <w:r>
              <w:rPr>
                <w:rFonts w:ascii="Times New Roman"/>
                <w:spacing w:val="-5"/>
                <w:sz w:val="19"/>
              </w:rPr>
              <w:t>and</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474"/>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ind w:left="44"/>
              <w:rPr>
                <w:rFonts w:ascii="Times New Roman"/>
                <w:sz w:val="19"/>
              </w:rPr>
            </w:pPr>
            <w:r>
              <w:rPr>
                <w:rFonts w:ascii="Times New Roman"/>
                <w:sz w:val="19"/>
              </w:rPr>
              <w:t>operation</w:t>
            </w:r>
            <w:r>
              <w:rPr>
                <w:rFonts w:ascii="Times New Roman"/>
                <w:spacing w:val="13"/>
                <w:sz w:val="19"/>
              </w:rPr>
              <w:t xml:space="preserve"> </w:t>
            </w:r>
            <w:r>
              <w:rPr>
                <w:rFonts w:ascii="Times New Roman"/>
                <w:sz w:val="19"/>
              </w:rPr>
              <w:t>manuals</w:t>
            </w:r>
            <w:r>
              <w:rPr>
                <w:rFonts w:ascii="Times New Roman"/>
                <w:spacing w:val="10"/>
                <w:sz w:val="19"/>
              </w:rPr>
              <w:t xml:space="preserve"> </w:t>
            </w:r>
            <w:r>
              <w:rPr>
                <w:rFonts w:ascii="Times New Roman"/>
                <w:sz w:val="19"/>
              </w:rPr>
              <w:t>in</w:t>
            </w:r>
            <w:r>
              <w:rPr>
                <w:rFonts w:ascii="Times New Roman"/>
                <w:spacing w:val="11"/>
                <w:sz w:val="19"/>
              </w:rPr>
              <w:t xml:space="preserve"> </w:t>
            </w:r>
            <w:r>
              <w:rPr>
                <w:rFonts w:ascii="Times New Roman"/>
                <w:sz w:val="19"/>
              </w:rPr>
              <w:t>both</w:t>
            </w:r>
            <w:r>
              <w:rPr>
                <w:rFonts w:ascii="Times New Roman"/>
                <w:spacing w:val="11"/>
                <w:sz w:val="19"/>
              </w:rPr>
              <w:t xml:space="preserve"> </w:t>
            </w:r>
            <w:r>
              <w:rPr>
                <w:rFonts w:ascii="Times New Roman"/>
                <w:sz w:val="19"/>
              </w:rPr>
              <w:t>soft</w:t>
            </w:r>
            <w:r>
              <w:rPr>
                <w:rFonts w:ascii="Times New Roman"/>
                <w:spacing w:val="10"/>
                <w:sz w:val="19"/>
              </w:rPr>
              <w:t xml:space="preserve"> </w:t>
            </w:r>
            <w:r>
              <w:rPr>
                <w:rFonts w:ascii="Times New Roman"/>
                <w:sz w:val="19"/>
              </w:rPr>
              <w:t>and</w:t>
            </w:r>
            <w:r>
              <w:rPr>
                <w:rFonts w:ascii="Times New Roman"/>
                <w:spacing w:val="13"/>
                <w:sz w:val="19"/>
              </w:rPr>
              <w:t xml:space="preserve"> </w:t>
            </w:r>
            <w:r>
              <w:rPr>
                <w:rFonts w:ascii="Times New Roman"/>
                <w:sz w:val="19"/>
              </w:rPr>
              <w:t>hard</w:t>
            </w:r>
            <w:r>
              <w:rPr>
                <w:rFonts w:ascii="Times New Roman"/>
                <w:spacing w:val="11"/>
                <w:sz w:val="19"/>
              </w:rPr>
              <w:t xml:space="preserve"> </w:t>
            </w:r>
            <w:r>
              <w:rPr>
                <w:rFonts w:ascii="Times New Roman"/>
                <w:spacing w:val="-2"/>
                <w:sz w:val="19"/>
              </w:rPr>
              <w:t>copies.</w:t>
            </w:r>
          </w:p>
          <w:p w:rsidR="007F6DF9" w:rsidRDefault="00A43FBC">
            <w:pPr>
              <w:pStyle w:val="TableParagraph"/>
              <w:spacing w:before="26" w:line="207" w:lineRule="exact"/>
              <w:ind w:left="44"/>
              <w:rPr>
                <w:rFonts w:ascii="Times New Roman"/>
                <w:sz w:val="19"/>
              </w:rPr>
            </w:pPr>
            <w:r>
              <w:rPr>
                <w:rFonts w:ascii="Times New Roman"/>
                <w:sz w:val="19"/>
              </w:rPr>
              <w:t>Three</w:t>
            </w:r>
            <w:r>
              <w:rPr>
                <w:rFonts w:ascii="Times New Roman"/>
                <w:spacing w:val="9"/>
                <w:sz w:val="19"/>
              </w:rPr>
              <w:t xml:space="preserve"> </w:t>
            </w:r>
            <w:r>
              <w:rPr>
                <w:rFonts w:ascii="Times New Roman"/>
                <w:sz w:val="19"/>
              </w:rPr>
              <w:t>copies</w:t>
            </w:r>
            <w:r>
              <w:rPr>
                <w:rFonts w:ascii="Times New Roman"/>
                <w:spacing w:val="11"/>
                <w:sz w:val="19"/>
              </w:rPr>
              <w:t xml:space="preserve"> </w:t>
            </w:r>
            <w:r>
              <w:rPr>
                <w:rFonts w:ascii="Times New Roman"/>
                <w:sz w:val="19"/>
              </w:rPr>
              <w:t>of</w:t>
            </w:r>
            <w:r>
              <w:rPr>
                <w:rFonts w:ascii="Times New Roman"/>
                <w:spacing w:val="9"/>
                <w:sz w:val="19"/>
              </w:rPr>
              <w:t xml:space="preserve"> </w:t>
            </w:r>
            <w:r>
              <w:rPr>
                <w:rFonts w:ascii="Times New Roman"/>
                <w:sz w:val="19"/>
              </w:rPr>
              <w:t>the</w:t>
            </w:r>
            <w:r>
              <w:rPr>
                <w:rFonts w:ascii="Times New Roman"/>
                <w:spacing w:val="10"/>
                <w:sz w:val="19"/>
              </w:rPr>
              <w:t xml:space="preserve"> </w:t>
            </w:r>
            <w:r>
              <w:rPr>
                <w:rFonts w:ascii="Times New Roman"/>
                <w:sz w:val="19"/>
              </w:rPr>
              <w:t>as-built</w:t>
            </w:r>
            <w:r>
              <w:rPr>
                <w:rFonts w:ascii="Times New Roman"/>
                <w:spacing w:val="14"/>
                <w:sz w:val="19"/>
              </w:rPr>
              <w:t xml:space="preserve"> </w:t>
            </w:r>
            <w:r>
              <w:rPr>
                <w:rFonts w:ascii="Times New Roman"/>
                <w:sz w:val="19"/>
              </w:rPr>
              <w:t>drawing</w:t>
            </w:r>
            <w:r>
              <w:rPr>
                <w:rFonts w:ascii="Times New Roman"/>
                <w:spacing w:val="9"/>
                <w:sz w:val="19"/>
              </w:rPr>
              <w:t xml:space="preserve"> </w:t>
            </w:r>
            <w:r>
              <w:rPr>
                <w:rFonts w:ascii="Times New Roman"/>
                <w:sz w:val="19"/>
              </w:rPr>
              <w:t>shall</w:t>
            </w:r>
            <w:r>
              <w:rPr>
                <w:rFonts w:ascii="Times New Roman"/>
                <w:spacing w:val="14"/>
                <w:sz w:val="19"/>
              </w:rPr>
              <w:t xml:space="preserve"> </w:t>
            </w:r>
            <w:r>
              <w:rPr>
                <w:rFonts w:ascii="Times New Roman"/>
                <w:spacing w:val="-5"/>
                <w:sz w:val="19"/>
              </w:rPr>
              <w:t>be</w:t>
            </w:r>
          </w:p>
        </w:tc>
        <w:tc>
          <w:tcPr>
            <w:tcW w:w="511" w:type="dxa"/>
            <w:tcBorders>
              <w:top w:val="nil"/>
              <w:bottom w:val="nil"/>
            </w:tcBorders>
          </w:tcPr>
          <w:p w:rsidR="007F6DF9" w:rsidRDefault="00A43FBC">
            <w:pPr>
              <w:pStyle w:val="TableParagraph"/>
              <w:spacing w:before="190"/>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190"/>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9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ind w:left="44"/>
              <w:rPr>
                <w:rFonts w:ascii="Times New Roman"/>
                <w:sz w:val="19"/>
              </w:rPr>
            </w:pPr>
            <w:r>
              <w:rPr>
                <w:rFonts w:ascii="Times New Roman"/>
                <w:sz w:val="19"/>
              </w:rPr>
              <w:t>submitted</w:t>
            </w:r>
            <w:r>
              <w:rPr>
                <w:rFonts w:ascii="Times New Roman"/>
                <w:spacing w:val="8"/>
                <w:sz w:val="19"/>
              </w:rPr>
              <w:t xml:space="preserve"> </w:t>
            </w:r>
            <w:r>
              <w:rPr>
                <w:rFonts w:ascii="Times New Roman"/>
                <w:sz w:val="19"/>
              </w:rPr>
              <w:t>in</w:t>
            </w:r>
            <w:r>
              <w:rPr>
                <w:rFonts w:ascii="Times New Roman"/>
                <w:spacing w:val="10"/>
                <w:sz w:val="19"/>
              </w:rPr>
              <w:t xml:space="preserve"> </w:t>
            </w:r>
            <w:r>
              <w:rPr>
                <w:rFonts w:ascii="Times New Roman"/>
                <w:sz w:val="19"/>
              </w:rPr>
              <w:t>A1</w:t>
            </w:r>
            <w:r>
              <w:rPr>
                <w:rFonts w:ascii="Times New Roman"/>
                <w:spacing w:val="8"/>
                <w:sz w:val="19"/>
              </w:rPr>
              <w:t xml:space="preserve"> </w:t>
            </w:r>
            <w:r>
              <w:rPr>
                <w:rFonts w:ascii="Times New Roman"/>
                <w:sz w:val="19"/>
              </w:rPr>
              <w:t>paper</w:t>
            </w:r>
            <w:r>
              <w:rPr>
                <w:rFonts w:ascii="Times New Roman"/>
                <w:spacing w:val="8"/>
                <w:sz w:val="19"/>
              </w:rPr>
              <w:t xml:space="preserve"> </w:t>
            </w:r>
            <w:r>
              <w:rPr>
                <w:rFonts w:ascii="Times New Roman"/>
                <w:sz w:val="19"/>
              </w:rPr>
              <w:t>in</w:t>
            </w:r>
            <w:r>
              <w:rPr>
                <w:rFonts w:ascii="Times New Roman"/>
                <w:spacing w:val="8"/>
                <w:sz w:val="19"/>
              </w:rPr>
              <w:t xml:space="preserve"> </w:t>
            </w:r>
            <w:r>
              <w:rPr>
                <w:rFonts w:ascii="Times New Roman"/>
                <w:sz w:val="19"/>
              </w:rPr>
              <w:t>a</w:t>
            </w:r>
            <w:r>
              <w:rPr>
                <w:rFonts w:ascii="Times New Roman"/>
                <w:spacing w:val="9"/>
                <w:sz w:val="19"/>
              </w:rPr>
              <w:t xml:space="preserve"> </w:t>
            </w:r>
            <w:r>
              <w:rPr>
                <w:rFonts w:ascii="Times New Roman"/>
                <w:sz w:val="19"/>
              </w:rPr>
              <w:t>scale</w:t>
            </w:r>
            <w:r>
              <w:rPr>
                <w:rFonts w:ascii="Times New Roman"/>
                <w:spacing w:val="7"/>
                <w:sz w:val="19"/>
              </w:rPr>
              <w:t xml:space="preserve"> </w:t>
            </w:r>
            <w:r>
              <w:rPr>
                <w:rFonts w:ascii="Times New Roman"/>
                <w:sz w:val="19"/>
              </w:rPr>
              <w:t>of</w:t>
            </w:r>
            <w:r>
              <w:rPr>
                <w:rFonts w:ascii="Times New Roman"/>
                <w:spacing w:val="8"/>
                <w:sz w:val="19"/>
              </w:rPr>
              <w:t xml:space="preserve"> </w:t>
            </w:r>
            <w:r>
              <w:rPr>
                <w:rFonts w:ascii="Times New Roman"/>
                <w:spacing w:val="-4"/>
                <w:sz w:val="19"/>
              </w:rPr>
              <w:t>1:50</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33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70"/>
              <w:ind w:left="44"/>
              <w:rPr>
                <w:rFonts w:ascii="Times New Roman"/>
                <w:b/>
                <w:sz w:val="19"/>
              </w:rPr>
            </w:pPr>
            <w:r>
              <w:rPr>
                <w:rFonts w:ascii="Times New Roman"/>
                <w:b/>
                <w:sz w:val="19"/>
              </w:rPr>
              <w:t>Testing</w:t>
            </w:r>
            <w:r>
              <w:rPr>
                <w:rFonts w:ascii="Times New Roman"/>
                <w:b/>
                <w:spacing w:val="11"/>
                <w:sz w:val="19"/>
              </w:rPr>
              <w:t xml:space="preserve"> </w:t>
            </w:r>
            <w:r>
              <w:rPr>
                <w:rFonts w:ascii="Times New Roman"/>
                <w:b/>
                <w:sz w:val="19"/>
              </w:rPr>
              <w:t>and</w:t>
            </w:r>
            <w:r>
              <w:rPr>
                <w:rFonts w:ascii="Times New Roman"/>
                <w:b/>
                <w:spacing w:val="12"/>
                <w:sz w:val="19"/>
              </w:rPr>
              <w:t xml:space="preserve"> </w:t>
            </w:r>
            <w:r>
              <w:rPr>
                <w:rFonts w:ascii="Times New Roman"/>
                <w:b/>
                <w:spacing w:val="-2"/>
                <w:sz w:val="19"/>
              </w:rPr>
              <w:t>Commissioning</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6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41" w:line="207" w:lineRule="exact"/>
              <w:ind w:left="43"/>
              <w:rPr>
                <w:rFonts w:ascii="Times New Roman"/>
                <w:sz w:val="19"/>
              </w:rPr>
            </w:pPr>
            <w:r>
              <w:rPr>
                <w:rFonts w:ascii="Times New Roman"/>
                <w:sz w:val="19"/>
              </w:rPr>
              <w:t>Allow</w:t>
            </w:r>
            <w:r>
              <w:rPr>
                <w:rFonts w:ascii="Times New Roman"/>
                <w:spacing w:val="8"/>
                <w:sz w:val="19"/>
              </w:rPr>
              <w:t xml:space="preserve"> </w:t>
            </w:r>
            <w:r>
              <w:rPr>
                <w:rFonts w:ascii="Times New Roman"/>
                <w:sz w:val="19"/>
              </w:rPr>
              <w:t>for</w:t>
            </w:r>
            <w:r>
              <w:rPr>
                <w:rFonts w:ascii="Times New Roman"/>
                <w:spacing w:val="9"/>
                <w:sz w:val="19"/>
              </w:rPr>
              <w:t xml:space="preserve"> </w:t>
            </w:r>
            <w:r>
              <w:rPr>
                <w:rFonts w:ascii="Times New Roman"/>
                <w:sz w:val="19"/>
              </w:rPr>
              <w:t>setting</w:t>
            </w:r>
            <w:r>
              <w:rPr>
                <w:rFonts w:ascii="Times New Roman"/>
                <w:spacing w:val="8"/>
                <w:sz w:val="19"/>
              </w:rPr>
              <w:t xml:space="preserve"> </w:t>
            </w:r>
            <w:r>
              <w:rPr>
                <w:rFonts w:ascii="Times New Roman"/>
                <w:sz w:val="19"/>
              </w:rPr>
              <w:t>to</w:t>
            </w:r>
            <w:r>
              <w:rPr>
                <w:rFonts w:ascii="Times New Roman"/>
                <w:spacing w:val="11"/>
                <w:sz w:val="19"/>
              </w:rPr>
              <w:t xml:space="preserve"> </w:t>
            </w:r>
            <w:r>
              <w:rPr>
                <w:rFonts w:ascii="Times New Roman"/>
                <w:sz w:val="19"/>
              </w:rPr>
              <w:t>work,</w:t>
            </w:r>
            <w:r>
              <w:rPr>
                <w:rFonts w:ascii="Times New Roman"/>
                <w:spacing w:val="10"/>
                <w:sz w:val="19"/>
              </w:rPr>
              <w:t xml:space="preserve"> </w:t>
            </w:r>
            <w:r>
              <w:rPr>
                <w:rFonts w:ascii="Times New Roman"/>
                <w:sz w:val="19"/>
              </w:rPr>
              <w:t>testing</w:t>
            </w:r>
            <w:r>
              <w:rPr>
                <w:rFonts w:ascii="Times New Roman"/>
                <w:spacing w:val="8"/>
                <w:sz w:val="19"/>
              </w:rPr>
              <w:t xml:space="preserve"> </w:t>
            </w:r>
            <w:r>
              <w:rPr>
                <w:rFonts w:ascii="Times New Roman"/>
                <w:spacing w:val="-5"/>
                <w:sz w:val="19"/>
              </w:rPr>
              <w:t>and</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7" w:lineRule="exact"/>
              <w:ind w:left="44"/>
              <w:rPr>
                <w:rFonts w:ascii="Times New Roman"/>
                <w:sz w:val="19"/>
              </w:rPr>
            </w:pPr>
            <w:r>
              <w:rPr>
                <w:rFonts w:ascii="Times New Roman"/>
                <w:sz w:val="19"/>
              </w:rPr>
              <w:t>commissioning</w:t>
            </w:r>
            <w:r>
              <w:rPr>
                <w:rFonts w:ascii="Times New Roman"/>
                <w:spacing w:val="12"/>
                <w:sz w:val="19"/>
              </w:rPr>
              <w:t xml:space="preserve"> </w:t>
            </w:r>
            <w:r>
              <w:rPr>
                <w:rFonts w:ascii="Times New Roman"/>
                <w:sz w:val="19"/>
              </w:rPr>
              <w:t>of</w:t>
            </w:r>
            <w:r>
              <w:rPr>
                <w:rFonts w:ascii="Times New Roman"/>
                <w:spacing w:val="12"/>
                <w:sz w:val="19"/>
              </w:rPr>
              <w:t xml:space="preserve"> </w:t>
            </w:r>
            <w:r>
              <w:rPr>
                <w:rFonts w:ascii="Times New Roman"/>
                <w:sz w:val="19"/>
              </w:rPr>
              <w:t>the</w:t>
            </w:r>
            <w:r>
              <w:rPr>
                <w:rFonts w:ascii="Times New Roman"/>
                <w:spacing w:val="16"/>
                <w:sz w:val="19"/>
              </w:rPr>
              <w:t xml:space="preserve"> </w:t>
            </w:r>
            <w:r>
              <w:rPr>
                <w:rFonts w:ascii="Times New Roman"/>
                <w:sz w:val="19"/>
              </w:rPr>
              <w:t>cold</w:t>
            </w:r>
            <w:r>
              <w:rPr>
                <w:rFonts w:ascii="Times New Roman"/>
                <w:spacing w:val="15"/>
                <w:sz w:val="19"/>
              </w:rPr>
              <w:t xml:space="preserve"> </w:t>
            </w:r>
            <w:r>
              <w:rPr>
                <w:rFonts w:ascii="Times New Roman"/>
                <w:sz w:val="19"/>
              </w:rPr>
              <w:t>room</w:t>
            </w:r>
            <w:r>
              <w:rPr>
                <w:rFonts w:ascii="Times New Roman"/>
                <w:spacing w:val="15"/>
                <w:sz w:val="19"/>
              </w:rPr>
              <w:t xml:space="preserve"> </w:t>
            </w:r>
            <w:r>
              <w:rPr>
                <w:rFonts w:ascii="Times New Roman"/>
                <w:sz w:val="19"/>
              </w:rPr>
              <w:t>installation</w:t>
            </w:r>
            <w:r>
              <w:rPr>
                <w:rFonts w:ascii="Times New Roman"/>
                <w:spacing w:val="17"/>
                <w:sz w:val="19"/>
              </w:rPr>
              <w:t xml:space="preserve"> </w:t>
            </w:r>
            <w:r>
              <w:rPr>
                <w:rFonts w:ascii="Times New Roman"/>
                <w:spacing w:val="-5"/>
                <w:sz w:val="19"/>
              </w:rPr>
              <w:t>to</w:t>
            </w:r>
          </w:p>
        </w:tc>
        <w:tc>
          <w:tcPr>
            <w:tcW w:w="511" w:type="dxa"/>
            <w:tcBorders>
              <w:top w:val="nil"/>
              <w:bottom w:val="nil"/>
            </w:tcBorders>
          </w:tcPr>
          <w:p w:rsidR="007F6DF9" w:rsidRDefault="00A43FBC">
            <w:pPr>
              <w:pStyle w:val="TableParagraph"/>
              <w:spacing w:before="3" w:line="207" w:lineRule="exact"/>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3" w:line="207" w:lineRule="exact"/>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5"/>
        </w:trPr>
        <w:tc>
          <w:tcPr>
            <w:tcW w:w="511" w:type="dxa"/>
            <w:vMerge/>
            <w:tcBorders>
              <w:top w:val="nil"/>
            </w:tcBorders>
          </w:tcPr>
          <w:p w:rsidR="007F6DF9" w:rsidRDefault="007F6DF9">
            <w:pPr>
              <w:rPr>
                <w:sz w:val="2"/>
                <w:szCs w:val="2"/>
              </w:rPr>
            </w:pPr>
          </w:p>
        </w:tc>
        <w:tc>
          <w:tcPr>
            <w:tcW w:w="3888" w:type="dxa"/>
            <w:tcBorders>
              <w:top w:val="nil"/>
            </w:tcBorders>
          </w:tcPr>
          <w:p w:rsidR="007F6DF9" w:rsidRDefault="00A43FBC">
            <w:pPr>
              <w:pStyle w:val="TableParagraph"/>
              <w:spacing w:before="3" w:line="203" w:lineRule="exact"/>
              <w:ind w:left="44"/>
              <w:rPr>
                <w:rFonts w:ascii="Times New Roman"/>
                <w:sz w:val="19"/>
              </w:rPr>
            </w:pPr>
            <w:r>
              <w:rPr>
                <w:rFonts w:ascii="Times New Roman"/>
                <w:sz w:val="19"/>
              </w:rPr>
              <w:t>the</w:t>
            </w:r>
            <w:r>
              <w:rPr>
                <w:rFonts w:ascii="Times New Roman"/>
                <w:spacing w:val="11"/>
                <w:sz w:val="19"/>
              </w:rPr>
              <w:t xml:space="preserve"> </w:t>
            </w:r>
            <w:r>
              <w:rPr>
                <w:rFonts w:ascii="Times New Roman"/>
                <w:sz w:val="19"/>
              </w:rPr>
              <w:t>satisfaction</w:t>
            </w:r>
            <w:r>
              <w:rPr>
                <w:rFonts w:ascii="Times New Roman"/>
                <w:spacing w:val="13"/>
                <w:sz w:val="19"/>
              </w:rPr>
              <w:t xml:space="preserve"> </w:t>
            </w:r>
            <w:r>
              <w:rPr>
                <w:rFonts w:ascii="Times New Roman"/>
                <w:sz w:val="19"/>
              </w:rPr>
              <w:t>of</w:t>
            </w:r>
            <w:r>
              <w:rPr>
                <w:rFonts w:ascii="Times New Roman"/>
                <w:spacing w:val="10"/>
                <w:sz w:val="19"/>
              </w:rPr>
              <w:t xml:space="preserve"> </w:t>
            </w:r>
            <w:r>
              <w:rPr>
                <w:rFonts w:ascii="Times New Roman"/>
                <w:sz w:val="19"/>
              </w:rPr>
              <w:t>the</w:t>
            </w:r>
            <w:r>
              <w:rPr>
                <w:rFonts w:ascii="Times New Roman"/>
                <w:spacing w:val="11"/>
                <w:sz w:val="19"/>
              </w:rPr>
              <w:t xml:space="preserve"> </w:t>
            </w:r>
            <w:r>
              <w:rPr>
                <w:rFonts w:ascii="Times New Roman"/>
                <w:sz w:val="19"/>
              </w:rPr>
              <w:t>Project</w:t>
            </w:r>
            <w:r>
              <w:rPr>
                <w:rFonts w:ascii="Times New Roman"/>
                <w:spacing w:val="13"/>
                <w:sz w:val="19"/>
              </w:rPr>
              <w:t xml:space="preserve"> </w:t>
            </w:r>
            <w:r>
              <w:rPr>
                <w:rFonts w:ascii="Times New Roman"/>
                <w:spacing w:val="-2"/>
                <w:sz w:val="19"/>
              </w:rPr>
              <w:t>Engineer</w:t>
            </w:r>
          </w:p>
        </w:tc>
        <w:tc>
          <w:tcPr>
            <w:tcW w:w="511" w:type="dxa"/>
            <w:tcBorders>
              <w:top w:val="nil"/>
            </w:tcBorders>
          </w:tcPr>
          <w:p w:rsidR="007F6DF9" w:rsidRDefault="007F6DF9">
            <w:pPr>
              <w:pStyle w:val="TableParagraph"/>
              <w:rPr>
                <w:rFonts w:ascii="Times New Roman"/>
                <w:sz w:val="16"/>
              </w:rPr>
            </w:pPr>
          </w:p>
        </w:tc>
        <w:tc>
          <w:tcPr>
            <w:tcW w:w="547" w:type="dxa"/>
            <w:tcBorders>
              <w:top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tcPr>
          <w:p w:rsidR="007F6DF9" w:rsidRDefault="007F6DF9">
            <w:pPr>
              <w:pStyle w:val="TableParagraph"/>
              <w:rPr>
                <w:rFonts w:ascii="Times New Roman"/>
                <w:sz w:val="16"/>
              </w:rPr>
            </w:pPr>
          </w:p>
        </w:tc>
        <w:tc>
          <w:tcPr>
            <w:tcW w:w="6172" w:type="dxa"/>
            <w:gridSpan w:val="4"/>
          </w:tcPr>
          <w:p w:rsidR="007F6DF9" w:rsidRDefault="00A43FBC">
            <w:pPr>
              <w:pStyle w:val="TableParagraph"/>
              <w:spacing w:line="210" w:lineRule="exact"/>
              <w:ind w:left="1947"/>
              <w:rPr>
                <w:sz w:val="19"/>
              </w:rPr>
            </w:pPr>
            <w:r>
              <w:rPr>
                <w:w w:val="105"/>
                <w:sz w:val="19"/>
              </w:rPr>
              <w:t>Total</w:t>
            </w:r>
            <w:r>
              <w:rPr>
                <w:spacing w:val="-5"/>
                <w:w w:val="105"/>
                <w:sz w:val="19"/>
              </w:rPr>
              <w:t xml:space="preserve"> </w:t>
            </w:r>
            <w:r>
              <w:rPr>
                <w:w w:val="105"/>
                <w:sz w:val="19"/>
              </w:rPr>
              <w:t>carried</w:t>
            </w:r>
            <w:r>
              <w:rPr>
                <w:spacing w:val="-6"/>
                <w:w w:val="105"/>
                <w:sz w:val="19"/>
              </w:rPr>
              <w:t xml:space="preserve"> </w:t>
            </w:r>
            <w:r>
              <w:rPr>
                <w:w w:val="105"/>
                <w:sz w:val="19"/>
              </w:rPr>
              <w:t>to</w:t>
            </w:r>
            <w:r>
              <w:rPr>
                <w:spacing w:val="-5"/>
                <w:w w:val="105"/>
                <w:sz w:val="19"/>
              </w:rPr>
              <w:t xml:space="preserve"> </w:t>
            </w:r>
            <w:r>
              <w:rPr>
                <w:w w:val="105"/>
                <w:sz w:val="19"/>
              </w:rPr>
              <w:t>Next</w:t>
            </w:r>
            <w:r>
              <w:rPr>
                <w:spacing w:val="-4"/>
                <w:w w:val="105"/>
                <w:sz w:val="19"/>
              </w:rPr>
              <w:t xml:space="preserve"> page</w:t>
            </w:r>
          </w:p>
        </w:tc>
        <w:tc>
          <w:tcPr>
            <w:tcW w:w="1420" w:type="dxa"/>
          </w:tcPr>
          <w:p w:rsidR="007F6DF9" w:rsidRDefault="007F6DF9">
            <w:pPr>
              <w:pStyle w:val="TableParagraph"/>
              <w:rPr>
                <w:rFonts w:ascii="Times New Roman"/>
                <w:sz w:val="16"/>
              </w:rPr>
            </w:pPr>
          </w:p>
        </w:tc>
      </w:tr>
    </w:tbl>
    <w:p w:rsidR="007F6DF9" w:rsidRDefault="007F6DF9">
      <w:pPr>
        <w:pStyle w:val="TableParagraph"/>
        <w:rPr>
          <w:rFonts w:ascii="Times New Roman"/>
          <w:sz w:val="16"/>
        </w:rPr>
        <w:sectPr w:rsidR="007F6DF9">
          <w:headerReference w:type="even" r:id="rId77"/>
          <w:pgSz w:w="11910" w:h="16840"/>
          <w:pgMar w:top="1860" w:right="1700" w:bottom="700" w:left="992" w:header="0" w:footer="511" w:gutter="0"/>
          <w:pgNumType w:start="88"/>
          <w:cols w:space="720"/>
        </w:sectPr>
      </w:pPr>
    </w:p>
    <w:p w:rsidR="007F6DF9" w:rsidRDefault="00A43FBC">
      <w:pPr>
        <w:spacing w:before="86"/>
        <w:ind w:left="1427"/>
        <w:rPr>
          <w:sz w:val="20"/>
        </w:rPr>
      </w:pPr>
      <w:r>
        <w:rPr>
          <w:spacing w:val="-2"/>
          <w:sz w:val="20"/>
        </w:rPr>
        <w:lastRenderedPageBreak/>
        <w:t>MECHANICAL</w:t>
      </w:r>
      <w:r>
        <w:rPr>
          <w:spacing w:val="-1"/>
          <w:sz w:val="20"/>
        </w:rPr>
        <w:t xml:space="preserve"> </w:t>
      </w:r>
      <w:r>
        <w:rPr>
          <w:spacing w:val="-2"/>
          <w:sz w:val="20"/>
        </w:rPr>
        <w:t>WORKS &amp; INSTALLATION</w:t>
      </w:r>
      <w:r>
        <w:rPr>
          <w:spacing w:val="-3"/>
          <w:sz w:val="20"/>
        </w:rPr>
        <w:t xml:space="preserve"> </w:t>
      </w:r>
      <w:r>
        <w:rPr>
          <w:spacing w:val="-2"/>
          <w:sz w:val="20"/>
        </w:rPr>
        <w:t>SUMMARY</w:t>
      </w:r>
      <w:r>
        <w:rPr>
          <w:spacing w:val="46"/>
          <w:sz w:val="20"/>
        </w:rPr>
        <w:t xml:space="preserve"> </w:t>
      </w:r>
      <w:r>
        <w:rPr>
          <w:spacing w:val="-4"/>
          <w:sz w:val="20"/>
        </w:rPr>
        <w:t>PAGE</w:t>
      </w:r>
    </w:p>
    <w:p w:rsidR="007F6DF9" w:rsidRDefault="007F6DF9">
      <w:pPr>
        <w:pStyle w:val="BodyText"/>
        <w:spacing w:before="8"/>
        <w:rPr>
          <w:sz w:val="17"/>
        </w:rPr>
      </w:pPr>
    </w:p>
    <w:tbl>
      <w:tblPr>
        <w:tblW w:w="0" w:type="auto"/>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4"/>
        <w:gridCol w:w="4678"/>
        <w:gridCol w:w="2650"/>
      </w:tblGrid>
      <w:tr w:rsidR="007F6DF9">
        <w:trPr>
          <w:trHeight w:val="616"/>
        </w:trPr>
        <w:tc>
          <w:tcPr>
            <w:tcW w:w="994" w:type="dxa"/>
          </w:tcPr>
          <w:p w:rsidR="007F6DF9" w:rsidRDefault="00A43FBC">
            <w:pPr>
              <w:pStyle w:val="TableParagraph"/>
              <w:spacing w:before="193"/>
              <w:ind w:left="17" w:right="7"/>
              <w:jc w:val="center"/>
              <w:rPr>
                <w:rFonts w:ascii="Times New Roman"/>
                <w:sz w:val="20"/>
              </w:rPr>
            </w:pPr>
            <w:r>
              <w:rPr>
                <w:rFonts w:ascii="Times New Roman"/>
                <w:spacing w:val="-4"/>
                <w:w w:val="105"/>
                <w:sz w:val="20"/>
              </w:rPr>
              <w:t>Item</w:t>
            </w:r>
          </w:p>
        </w:tc>
        <w:tc>
          <w:tcPr>
            <w:tcW w:w="4678" w:type="dxa"/>
            <w:vMerge w:val="restart"/>
          </w:tcPr>
          <w:p w:rsidR="007F6DF9" w:rsidRDefault="00A43FBC">
            <w:pPr>
              <w:pStyle w:val="TableParagraph"/>
              <w:spacing w:before="183"/>
              <w:ind w:left="1"/>
              <w:jc w:val="center"/>
              <w:rPr>
                <w:rFonts w:ascii="Times New Roman"/>
                <w:sz w:val="20"/>
              </w:rPr>
            </w:pPr>
            <w:r>
              <w:rPr>
                <w:rFonts w:ascii="Times New Roman"/>
                <w:spacing w:val="-2"/>
                <w:w w:val="105"/>
                <w:sz w:val="20"/>
              </w:rPr>
              <w:t>Description</w:t>
            </w:r>
          </w:p>
          <w:p w:rsidR="007F6DF9" w:rsidRDefault="007F6DF9">
            <w:pPr>
              <w:pStyle w:val="TableParagraph"/>
              <w:spacing w:before="176"/>
              <w:rPr>
                <w:rFonts w:ascii="Times New Roman"/>
                <w:sz w:val="20"/>
              </w:rPr>
            </w:pPr>
          </w:p>
          <w:p w:rsidR="007F6DF9" w:rsidRDefault="00A43FBC">
            <w:pPr>
              <w:pStyle w:val="TableParagraph"/>
              <w:ind w:left="37"/>
              <w:rPr>
                <w:rFonts w:ascii="Times New Roman"/>
                <w:sz w:val="20"/>
              </w:rPr>
            </w:pPr>
            <w:r>
              <w:rPr>
                <w:rFonts w:ascii="Times New Roman"/>
                <w:w w:val="110"/>
                <w:sz w:val="20"/>
              </w:rPr>
              <w:t>Total</w:t>
            </w:r>
            <w:r>
              <w:rPr>
                <w:rFonts w:ascii="Times New Roman"/>
                <w:spacing w:val="-4"/>
                <w:w w:val="110"/>
                <w:sz w:val="20"/>
              </w:rPr>
              <w:t xml:space="preserve"> </w:t>
            </w:r>
            <w:r>
              <w:rPr>
                <w:rFonts w:ascii="Times New Roman"/>
                <w:w w:val="110"/>
                <w:sz w:val="20"/>
              </w:rPr>
              <w:t>for</w:t>
            </w:r>
            <w:r>
              <w:rPr>
                <w:rFonts w:ascii="Times New Roman"/>
                <w:spacing w:val="-3"/>
                <w:w w:val="110"/>
                <w:sz w:val="20"/>
              </w:rPr>
              <w:t xml:space="preserve"> </w:t>
            </w:r>
            <w:proofErr w:type="spellStart"/>
            <w:r>
              <w:rPr>
                <w:rFonts w:ascii="Times New Roman"/>
                <w:w w:val="110"/>
                <w:sz w:val="20"/>
              </w:rPr>
              <w:t>Coldroom</w:t>
            </w:r>
            <w:proofErr w:type="spellEnd"/>
            <w:r>
              <w:rPr>
                <w:rFonts w:ascii="Times New Roman"/>
                <w:spacing w:val="-4"/>
                <w:w w:val="110"/>
                <w:sz w:val="20"/>
              </w:rPr>
              <w:t xml:space="preserve"> </w:t>
            </w:r>
            <w:r>
              <w:rPr>
                <w:rFonts w:ascii="Times New Roman"/>
                <w:w w:val="110"/>
                <w:sz w:val="20"/>
              </w:rPr>
              <w:t>installation</w:t>
            </w:r>
            <w:r>
              <w:rPr>
                <w:rFonts w:ascii="Times New Roman"/>
                <w:spacing w:val="-3"/>
                <w:w w:val="110"/>
                <w:sz w:val="20"/>
              </w:rPr>
              <w:t xml:space="preserve"> </w:t>
            </w:r>
            <w:r>
              <w:rPr>
                <w:rFonts w:ascii="Times New Roman"/>
                <w:spacing w:val="-2"/>
                <w:w w:val="110"/>
                <w:sz w:val="20"/>
              </w:rPr>
              <w:t>Works.</w:t>
            </w:r>
          </w:p>
        </w:tc>
        <w:tc>
          <w:tcPr>
            <w:tcW w:w="2650" w:type="dxa"/>
            <w:vMerge w:val="restart"/>
          </w:tcPr>
          <w:p w:rsidR="007F6DF9" w:rsidRDefault="00A43FBC">
            <w:pPr>
              <w:pStyle w:val="TableParagraph"/>
              <w:spacing w:before="193"/>
              <w:ind w:left="693"/>
              <w:rPr>
                <w:rFonts w:ascii="Times New Roman"/>
                <w:sz w:val="20"/>
              </w:rPr>
            </w:pPr>
            <w:r>
              <w:rPr>
                <w:rFonts w:ascii="Times New Roman"/>
                <w:w w:val="110"/>
                <w:sz w:val="20"/>
              </w:rPr>
              <w:t>Amount</w:t>
            </w:r>
            <w:r>
              <w:rPr>
                <w:rFonts w:ascii="Times New Roman"/>
                <w:spacing w:val="2"/>
                <w:w w:val="110"/>
                <w:sz w:val="20"/>
              </w:rPr>
              <w:t xml:space="preserve"> </w:t>
            </w:r>
            <w:r>
              <w:rPr>
                <w:rFonts w:ascii="Times New Roman"/>
                <w:spacing w:val="-2"/>
                <w:w w:val="110"/>
                <w:sz w:val="20"/>
              </w:rPr>
              <w:t>(</w:t>
            </w:r>
            <w:proofErr w:type="spellStart"/>
            <w:r>
              <w:rPr>
                <w:rFonts w:ascii="Times New Roman"/>
                <w:spacing w:val="-2"/>
                <w:w w:val="110"/>
                <w:sz w:val="20"/>
              </w:rPr>
              <w:t>Ksh</w:t>
            </w:r>
            <w:proofErr w:type="spellEnd"/>
            <w:r>
              <w:rPr>
                <w:rFonts w:ascii="Times New Roman"/>
                <w:spacing w:val="-2"/>
                <w:w w:val="110"/>
                <w:sz w:val="20"/>
              </w:rPr>
              <w:t>)</w:t>
            </w:r>
          </w:p>
        </w:tc>
      </w:tr>
      <w:tr w:rsidR="007F6DF9">
        <w:trPr>
          <w:trHeight w:val="615"/>
        </w:trPr>
        <w:tc>
          <w:tcPr>
            <w:tcW w:w="994" w:type="dxa"/>
          </w:tcPr>
          <w:p w:rsidR="007F6DF9" w:rsidRDefault="00A43FBC">
            <w:pPr>
              <w:pStyle w:val="TableParagraph"/>
              <w:spacing w:before="193"/>
              <w:ind w:left="17"/>
              <w:jc w:val="center"/>
              <w:rPr>
                <w:rFonts w:ascii="Times New Roman"/>
                <w:sz w:val="20"/>
              </w:rPr>
            </w:pPr>
            <w:r>
              <w:rPr>
                <w:rFonts w:ascii="Times New Roman"/>
                <w:spacing w:val="-10"/>
                <w:w w:val="90"/>
                <w:sz w:val="20"/>
              </w:rPr>
              <w:t>1</w:t>
            </w:r>
          </w:p>
        </w:tc>
        <w:tc>
          <w:tcPr>
            <w:tcW w:w="4678" w:type="dxa"/>
            <w:vMerge/>
            <w:tcBorders>
              <w:top w:val="nil"/>
            </w:tcBorders>
          </w:tcPr>
          <w:p w:rsidR="007F6DF9" w:rsidRDefault="007F6DF9">
            <w:pPr>
              <w:rPr>
                <w:sz w:val="2"/>
                <w:szCs w:val="2"/>
              </w:rPr>
            </w:pPr>
          </w:p>
        </w:tc>
        <w:tc>
          <w:tcPr>
            <w:tcW w:w="2650" w:type="dxa"/>
            <w:vMerge/>
            <w:tcBorders>
              <w:top w:val="nil"/>
            </w:tcBorders>
          </w:tcPr>
          <w:p w:rsidR="007F6DF9" w:rsidRDefault="007F6DF9">
            <w:pPr>
              <w:rPr>
                <w:sz w:val="2"/>
                <w:szCs w:val="2"/>
              </w:rPr>
            </w:pPr>
          </w:p>
        </w:tc>
      </w:tr>
      <w:tr w:rsidR="007F6DF9">
        <w:trPr>
          <w:trHeight w:val="1184"/>
        </w:trPr>
        <w:tc>
          <w:tcPr>
            <w:tcW w:w="994" w:type="dxa"/>
          </w:tcPr>
          <w:p w:rsidR="007F6DF9" w:rsidRDefault="007F6DF9">
            <w:pPr>
              <w:pStyle w:val="TableParagraph"/>
              <w:rPr>
                <w:rFonts w:ascii="Times New Roman"/>
                <w:sz w:val="20"/>
              </w:rPr>
            </w:pPr>
          </w:p>
        </w:tc>
        <w:tc>
          <w:tcPr>
            <w:tcW w:w="4678" w:type="dxa"/>
          </w:tcPr>
          <w:p w:rsidR="007F6DF9" w:rsidRDefault="007F6DF9">
            <w:pPr>
              <w:pStyle w:val="TableParagraph"/>
              <w:spacing w:before="107"/>
              <w:rPr>
                <w:rFonts w:ascii="Times New Roman"/>
                <w:sz w:val="20"/>
              </w:rPr>
            </w:pPr>
          </w:p>
          <w:p w:rsidR="007F6DF9" w:rsidRDefault="00A43FBC">
            <w:pPr>
              <w:pStyle w:val="TableParagraph"/>
              <w:spacing w:line="273" w:lineRule="auto"/>
              <w:ind w:left="37" w:right="336"/>
              <w:rPr>
                <w:rFonts w:ascii="Times New Roman"/>
                <w:sz w:val="20"/>
              </w:rPr>
            </w:pPr>
            <w:r>
              <w:rPr>
                <w:rFonts w:ascii="Times New Roman"/>
                <w:w w:val="105"/>
                <w:sz w:val="20"/>
              </w:rPr>
              <w:t>Total</w:t>
            </w:r>
            <w:r>
              <w:rPr>
                <w:rFonts w:ascii="Times New Roman"/>
                <w:spacing w:val="80"/>
                <w:w w:val="105"/>
                <w:sz w:val="20"/>
              </w:rPr>
              <w:t xml:space="preserve"> </w:t>
            </w:r>
            <w:r>
              <w:rPr>
                <w:rFonts w:ascii="Times New Roman"/>
                <w:w w:val="105"/>
                <w:sz w:val="20"/>
              </w:rPr>
              <w:t xml:space="preserve">for , </w:t>
            </w:r>
            <w:proofErr w:type="spellStart"/>
            <w:r>
              <w:rPr>
                <w:rFonts w:ascii="Times New Roman"/>
                <w:w w:val="105"/>
                <w:sz w:val="20"/>
              </w:rPr>
              <w:t>Coldroom</w:t>
            </w:r>
            <w:proofErr w:type="spellEnd"/>
            <w:r>
              <w:rPr>
                <w:rFonts w:ascii="Times New Roman"/>
                <w:w w:val="105"/>
                <w:sz w:val="20"/>
              </w:rPr>
              <w:t xml:space="preserve"> Installation Works Carried</w:t>
            </w:r>
            <w:r>
              <w:rPr>
                <w:rFonts w:ascii="Times New Roman"/>
                <w:spacing w:val="40"/>
                <w:w w:val="105"/>
                <w:sz w:val="20"/>
              </w:rPr>
              <w:t xml:space="preserve"> </w:t>
            </w:r>
            <w:r>
              <w:rPr>
                <w:rFonts w:ascii="Times New Roman"/>
                <w:w w:val="105"/>
                <w:sz w:val="20"/>
              </w:rPr>
              <w:t>to Form of Tender.</w:t>
            </w:r>
          </w:p>
        </w:tc>
        <w:tc>
          <w:tcPr>
            <w:tcW w:w="2650" w:type="dxa"/>
          </w:tcPr>
          <w:p w:rsidR="007F6DF9" w:rsidRDefault="007F6DF9">
            <w:pPr>
              <w:pStyle w:val="TableParagraph"/>
              <w:rPr>
                <w:rFonts w:ascii="Times New Roman"/>
                <w:sz w:val="20"/>
              </w:rPr>
            </w:pPr>
          </w:p>
        </w:tc>
      </w:tr>
    </w:tbl>
    <w:p w:rsidR="007F6DF9" w:rsidRDefault="007F6DF9">
      <w:pPr>
        <w:pStyle w:val="BodyText"/>
        <w:rPr>
          <w:sz w:val="20"/>
        </w:rPr>
      </w:pPr>
    </w:p>
    <w:p w:rsidR="007F6DF9" w:rsidRDefault="007F6DF9">
      <w:pPr>
        <w:pStyle w:val="BodyText"/>
        <w:spacing w:before="155"/>
        <w:rPr>
          <w:sz w:val="20"/>
        </w:rPr>
      </w:pPr>
    </w:p>
    <w:p w:rsidR="007F6DF9" w:rsidRDefault="00A43FBC">
      <w:pPr>
        <w:spacing w:before="1"/>
        <w:ind w:left="66"/>
        <w:rPr>
          <w:sz w:val="20"/>
        </w:rPr>
      </w:pPr>
      <w:r>
        <w:rPr>
          <w:w w:val="110"/>
          <w:sz w:val="20"/>
        </w:rPr>
        <w:t>Amount</w:t>
      </w:r>
      <w:r>
        <w:rPr>
          <w:spacing w:val="-5"/>
          <w:w w:val="110"/>
          <w:sz w:val="20"/>
        </w:rPr>
        <w:t xml:space="preserve"> </w:t>
      </w:r>
      <w:r>
        <w:rPr>
          <w:w w:val="110"/>
          <w:sz w:val="20"/>
        </w:rPr>
        <w:t>in</w:t>
      </w:r>
      <w:r>
        <w:rPr>
          <w:spacing w:val="-4"/>
          <w:w w:val="110"/>
          <w:sz w:val="20"/>
        </w:rPr>
        <w:t xml:space="preserve"> </w:t>
      </w:r>
      <w:r>
        <w:rPr>
          <w:spacing w:val="-2"/>
          <w:w w:val="110"/>
          <w:sz w:val="20"/>
        </w:rPr>
        <w:t>Words:</w:t>
      </w:r>
    </w:p>
    <w:p w:rsidR="007F6DF9" w:rsidRDefault="00A43FBC">
      <w:pPr>
        <w:spacing w:before="31"/>
        <w:ind w:left="66"/>
        <w:rPr>
          <w:sz w:val="20"/>
        </w:rPr>
      </w:pPr>
      <w:r>
        <w:rPr>
          <w:spacing w:val="-2"/>
          <w:sz w:val="20"/>
        </w:rPr>
        <w:t>……………………………………………………………………………………….</w:t>
      </w:r>
    </w:p>
    <w:p w:rsidR="007F6DF9" w:rsidRDefault="007F6DF9">
      <w:pPr>
        <w:pStyle w:val="BodyText"/>
        <w:spacing w:before="176"/>
        <w:rPr>
          <w:sz w:val="20"/>
        </w:rPr>
      </w:pPr>
    </w:p>
    <w:p w:rsidR="007F6DF9" w:rsidRDefault="00A43FBC">
      <w:pPr>
        <w:spacing w:line="664" w:lineRule="auto"/>
        <w:ind w:left="66" w:right="1082"/>
        <w:rPr>
          <w:sz w:val="20"/>
        </w:rPr>
      </w:pPr>
      <w:r>
        <w:rPr>
          <w:spacing w:val="-2"/>
          <w:sz w:val="20"/>
        </w:rPr>
        <w:t xml:space="preserve">………………………………………………………………………………………..……….. </w:t>
      </w:r>
      <w:r>
        <w:rPr>
          <w:sz w:val="20"/>
        </w:rPr>
        <w:t>Tenderer's Name and Stamp………...………………………………………………………………</w:t>
      </w:r>
      <w:r>
        <w:rPr>
          <w:spacing w:val="80"/>
          <w:w w:val="105"/>
          <w:sz w:val="20"/>
        </w:rPr>
        <w:t xml:space="preserve"> </w:t>
      </w:r>
      <w:r>
        <w:rPr>
          <w:w w:val="105"/>
          <w:sz w:val="20"/>
        </w:rPr>
        <w:t>Postal</w:t>
      </w:r>
      <w:r>
        <w:rPr>
          <w:spacing w:val="-13"/>
          <w:w w:val="105"/>
          <w:sz w:val="20"/>
        </w:rPr>
        <w:t xml:space="preserve"> </w:t>
      </w:r>
      <w:r>
        <w:rPr>
          <w:w w:val="105"/>
          <w:sz w:val="20"/>
        </w:rPr>
        <w:t>Address:</w:t>
      </w:r>
      <w:r>
        <w:rPr>
          <w:spacing w:val="-13"/>
          <w:w w:val="105"/>
          <w:sz w:val="20"/>
        </w:rPr>
        <w:t xml:space="preserve"> </w:t>
      </w:r>
      <w:r>
        <w:rPr>
          <w:w w:val="105"/>
          <w:sz w:val="20"/>
        </w:rPr>
        <w:t>………………………………………………………………………</w:t>
      </w:r>
      <w:proofErr w:type="gramStart"/>
      <w:r>
        <w:rPr>
          <w:w w:val="105"/>
          <w:sz w:val="20"/>
        </w:rPr>
        <w:t>…..</w:t>
      </w:r>
      <w:proofErr w:type="gramEnd"/>
    </w:p>
    <w:p w:rsidR="007F6DF9" w:rsidRDefault="00A43FBC">
      <w:pPr>
        <w:tabs>
          <w:tab w:val="left" w:pos="5063"/>
        </w:tabs>
        <w:spacing w:before="56" w:line="370" w:lineRule="atLeast"/>
        <w:ind w:left="66" w:right="1082"/>
        <w:rPr>
          <w:sz w:val="20"/>
        </w:rPr>
      </w:pPr>
      <w:r>
        <w:rPr>
          <w:sz w:val="20"/>
        </w:rPr>
        <w:t xml:space="preserve">Sub Contract Period…………………………………………………………………………………. </w:t>
      </w:r>
      <w:r>
        <w:rPr>
          <w:w w:val="105"/>
          <w:sz w:val="20"/>
        </w:rPr>
        <w:t>Signature: …………………………….</w:t>
      </w:r>
      <w:r>
        <w:rPr>
          <w:sz w:val="20"/>
        </w:rPr>
        <w:tab/>
      </w:r>
      <w:r>
        <w:rPr>
          <w:spacing w:val="-2"/>
          <w:w w:val="105"/>
          <w:sz w:val="20"/>
        </w:rPr>
        <w:t>Date:</w:t>
      </w:r>
    </w:p>
    <w:p w:rsidR="007F6DF9" w:rsidRDefault="00A43FBC">
      <w:pPr>
        <w:spacing w:before="36"/>
        <w:ind w:left="66"/>
        <w:rPr>
          <w:sz w:val="20"/>
        </w:rPr>
      </w:pPr>
      <w:r>
        <w:rPr>
          <w:spacing w:val="-2"/>
          <w:sz w:val="20"/>
        </w:rPr>
        <w:t>…………………………………..</w:t>
      </w:r>
    </w:p>
    <w:p w:rsidR="007F6DF9" w:rsidRDefault="00A43FBC">
      <w:pPr>
        <w:tabs>
          <w:tab w:val="left" w:pos="4876"/>
        </w:tabs>
        <w:spacing w:before="145"/>
        <w:ind w:left="66"/>
        <w:rPr>
          <w:sz w:val="20"/>
        </w:rPr>
      </w:pPr>
      <w:r>
        <w:rPr>
          <w:w w:val="105"/>
          <w:sz w:val="20"/>
        </w:rPr>
        <w:t>Tel</w:t>
      </w:r>
      <w:r>
        <w:rPr>
          <w:spacing w:val="14"/>
          <w:w w:val="105"/>
          <w:sz w:val="20"/>
        </w:rPr>
        <w:t xml:space="preserve"> </w:t>
      </w:r>
      <w:r>
        <w:rPr>
          <w:w w:val="105"/>
          <w:sz w:val="20"/>
        </w:rPr>
        <w:t>No:</w:t>
      </w:r>
      <w:r>
        <w:rPr>
          <w:spacing w:val="15"/>
          <w:w w:val="105"/>
          <w:sz w:val="20"/>
        </w:rPr>
        <w:t xml:space="preserve"> </w:t>
      </w:r>
      <w:r>
        <w:rPr>
          <w:spacing w:val="-2"/>
          <w:w w:val="105"/>
          <w:sz w:val="20"/>
        </w:rPr>
        <w:t>…………………………….</w:t>
      </w:r>
      <w:r>
        <w:rPr>
          <w:sz w:val="20"/>
        </w:rPr>
        <w:tab/>
      </w:r>
      <w:r>
        <w:rPr>
          <w:w w:val="105"/>
          <w:sz w:val="20"/>
        </w:rPr>
        <w:t>Mobile</w:t>
      </w:r>
      <w:r>
        <w:rPr>
          <w:spacing w:val="20"/>
          <w:w w:val="105"/>
          <w:sz w:val="20"/>
        </w:rPr>
        <w:t xml:space="preserve"> </w:t>
      </w:r>
      <w:r>
        <w:rPr>
          <w:spacing w:val="-5"/>
          <w:w w:val="105"/>
          <w:sz w:val="20"/>
        </w:rPr>
        <w:t>No:</w:t>
      </w:r>
    </w:p>
    <w:p w:rsidR="007F6DF9" w:rsidRDefault="00A43FBC">
      <w:pPr>
        <w:spacing w:before="31"/>
        <w:ind w:left="66"/>
        <w:rPr>
          <w:sz w:val="20"/>
        </w:rPr>
      </w:pPr>
      <w:r>
        <w:rPr>
          <w:spacing w:val="-2"/>
          <w:sz w:val="20"/>
        </w:rPr>
        <w:t>…………………………………..</w:t>
      </w:r>
    </w:p>
    <w:p w:rsidR="007F6DF9" w:rsidRDefault="007F6DF9">
      <w:pPr>
        <w:pStyle w:val="BodyText"/>
        <w:spacing w:before="176"/>
        <w:rPr>
          <w:sz w:val="20"/>
        </w:rPr>
      </w:pPr>
    </w:p>
    <w:p w:rsidR="007F6DF9" w:rsidRDefault="00A43FBC">
      <w:pPr>
        <w:tabs>
          <w:tab w:val="left" w:pos="4710"/>
          <w:tab w:val="left" w:pos="4948"/>
        </w:tabs>
        <w:spacing w:line="664" w:lineRule="auto"/>
        <w:ind w:left="66" w:right="1036"/>
        <w:rPr>
          <w:sz w:val="20"/>
        </w:rPr>
      </w:pPr>
      <w:r>
        <w:rPr>
          <w:sz w:val="20"/>
        </w:rPr>
        <w:t>Pin No…………………….….</w:t>
      </w:r>
      <w:r>
        <w:rPr>
          <w:sz w:val="20"/>
        </w:rPr>
        <w:tab/>
        <w:t>VAT Certificate: ……………………… Witness: ……………………………………………</w:t>
      </w:r>
      <w:r>
        <w:rPr>
          <w:sz w:val="20"/>
        </w:rPr>
        <w:tab/>
      </w:r>
      <w:r>
        <w:rPr>
          <w:sz w:val="20"/>
        </w:rPr>
        <w:tab/>
        <w:t>Date: ……………………………... Signature: ……………………………………………</w:t>
      </w:r>
      <w:r>
        <w:rPr>
          <w:sz w:val="20"/>
        </w:rPr>
        <w:tab/>
      </w:r>
      <w:r>
        <w:rPr>
          <w:sz w:val="20"/>
        </w:rPr>
        <w:tab/>
      </w:r>
      <w:r>
        <w:rPr>
          <w:spacing w:val="-42"/>
          <w:sz w:val="20"/>
        </w:rPr>
        <w:t xml:space="preserve"> </w:t>
      </w:r>
      <w:r>
        <w:rPr>
          <w:sz w:val="20"/>
        </w:rPr>
        <w:t>Address: ………………………………</w:t>
      </w:r>
    </w:p>
    <w:p w:rsidR="007F6DF9" w:rsidRDefault="007F6DF9">
      <w:pPr>
        <w:spacing w:line="664" w:lineRule="auto"/>
        <w:rPr>
          <w:sz w:val="20"/>
        </w:rPr>
        <w:sectPr w:rsidR="007F6DF9">
          <w:headerReference w:type="default" r:id="rId78"/>
          <w:footerReference w:type="default" r:id="rId79"/>
          <w:pgSz w:w="11910" w:h="16840"/>
          <w:pgMar w:top="1180" w:right="1700" w:bottom="280" w:left="992" w:header="0" w:footer="0" w:gutter="0"/>
          <w:cols w:space="720"/>
        </w:sectPr>
      </w:pPr>
    </w:p>
    <w:p w:rsidR="007F6DF9" w:rsidRDefault="007F6DF9">
      <w:pPr>
        <w:pStyle w:val="BodyText"/>
        <w:rPr>
          <w:sz w:val="26"/>
        </w:rPr>
      </w:pPr>
    </w:p>
    <w:p w:rsidR="007F6DF9" w:rsidRDefault="007F6DF9">
      <w:pPr>
        <w:pStyle w:val="BodyText"/>
        <w:spacing w:before="107"/>
        <w:rPr>
          <w:sz w:val="26"/>
        </w:rPr>
      </w:pPr>
    </w:p>
    <w:p w:rsidR="007F6DF9" w:rsidRDefault="00A43FBC">
      <w:pPr>
        <w:pStyle w:val="Heading5"/>
        <w:spacing w:line="240" w:lineRule="auto"/>
        <w:ind w:left="4399"/>
      </w:pPr>
      <w:bookmarkStart w:id="80" w:name="JOOTRH_Cold_Room_rev_2-1"/>
      <w:bookmarkEnd w:id="80"/>
      <w:r>
        <w:rPr>
          <w:color w:val="3FA5FF"/>
          <w:spacing w:val="-2"/>
        </w:rPr>
        <w:t>E-</w:t>
      </w:r>
      <w:r>
        <w:rPr>
          <w:color w:val="3FA5FF"/>
          <w:spacing w:val="-5"/>
        </w:rPr>
        <w:t>03</w:t>
      </w:r>
    </w:p>
    <w:p w:rsidR="007F6DF9" w:rsidRDefault="007F6DF9">
      <w:pPr>
        <w:pStyle w:val="BodyText"/>
        <w:rPr>
          <w:rFonts w:ascii="Arial MT"/>
          <w:sz w:val="20"/>
        </w:rPr>
      </w:pPr>
    </w:p>
    <w:p w:rsidR="007F6DF9" w:rsidRDefault="007F6DF9">
      <w:pPr>
        <w:pStyle w:val="BodyText"/>
        <w:spacing w:before="1"/>
        <w:rPr>
          <w:rFonts w:ascii="Arial MT"/>
          <w:sz w:val="20"/>
        </w:rPr>
      </w:pPr>
    </w:p>
    <w:p w:rsidR="007F6DF9" w:rsidRDefault="007F6DF9">
      <w:pPr>
        <w:pStyle w:val="BodyText"/>
        <w:rPr>
          <w:rFonts w:ascii="Arial MT"/>
          <w:sz w:val="20"/>
        </w:rPr>
        <w:sectPr w:rsidR="007F6DF9">
          <w:headerReference w:type="even" r:id="rId80"/>
          <w:footerReference w:type="even" r:id="rId81"/>
          <w:pgSz w:w="31660" w:h="22390" w:orient="landscape"/>
          <w:pgMar w:top="1280" w:right="1417" w:bottom="280" w:left="3118" w:header="0" w:footer="0" w:gutter="0"/>
          <w:cols w:space="720"/>
        </w:sectPr>
      </w:pPr>
    </w:p>
    <w:p w:rsidR="007F6DF9" w:rsidRDefault="00A43FBC">
      <w:pPr>
        <w:spacing w:before="231"/>
        <w:ind w:left="60"/>
        <w:rPr>
          <w:rFonts w:ascii="Arial MT"/>
          <w:sz w:val="21"/>
        </w:rPr>
      </w:pPr>
      <w:r>
        <w:rPr>
          <w:rFonts w:ascii="Arial MT"/>
          <w:spacing w:val="-5"/>
          <w:sz w:val="21"/>
        </w:rPr>
        <w:lastRenderedPageBreak/>
        <w:t>200</w:t>
      </w:r>
    </w:p>
    <w:p w:rsidR="007F6DF9" w:rsidRDefault="00A43FBC">
      <w:pPr>
        <w:pStyle w:val="BodyText"/>
        <w:rPr>
          <w:rFonts w:ascii="Arial MT"/>
          <w:sz w:val="21"/>
        </w:rPr>
      </w:pPr>
      <w:r>
        <w:br w:type="column"/>
      </w:r>
    </w:p>
    <w:p w:rsidR="007F6DF9" w:rsidRDefault="007F6DF9">
      <w:pPr>
        <w:pStyle w:val="BodyText"/>
        <w:rPr>
          <w:rFonts w:ascii="Arial MT"/>
          <w:sz w:val="21"/>
        </w:rPr>
      </w:pPr>
    </w:p>
    <w:p w:rsidR="007F6DF9" w:rsidRDefault="007F6DF9">
      <w:pPr>
        <w:pStyle w:val="BodyText"/>
        <w:spacing w:before="239"/>
        <w:rPr>
          <w:rFonts w:ascii="Arial MT"/>
          <w:sz w:val="21"/>
        </w:rPr>
      </w:pPr>
    </w:p>
    <w:p w:rsidR="007F6DF9" w:rsidRDefault="00A43FBC">
      <w:pPr>
        <w:ind w:left="60"/>
        <w:rPr>
          <w:rFonts w:ascii="Arial MT"/>
          <w:sz w:val="21"/>
        </w:rPr>
      </w:pPr>
      <w:r>
        <w:rPr>
          <w:rFonts w:ascii="Arial MT"/>
          <w:spacing w:val="-2"/>
          <w:sz w:val="21"/>
        </w:rPr>
        <w:t>5,000</w:t>
      </w:r>
    </w:p>
    <w:p w:rsidR="007F6DF9" w:rsidRDefault="00A43FBC">
      <w:pPr>
        <w:spacing w:before="72"/>
        <w:jc w:val="right"/>
        <w:rPr>
          <w:rFonts w:ascii="Arial MT"/>
          <w:sz w:val="21"/>
        </w:rPr>
      </w:pPr>
      <w:r>
        <w:br w:type="column"/>
      </w:r>
      <w:r>
        <w:rPr>
          <w:rFonts w:ascii="Arial MT"/>
          <w:spacing w:val="-2"/>
          <w:w w:val="105"/>
          <w:sz w:val="21"/>
        </w:rPr>
        <w:lastRenderedPageBreak/>
        <w:t>15,000</w:t>
      </w:r>
    </w:p>
    <w:p w:rsidR="007F6DF9" w:rsidRDefault="00A43FBC">
      <w:pPr>
        <w:spacing w:before="171"/>
        <w:jc w:val="right"/>
        <w:rPr>
          <w:rFonts w:ascii="Arial MT"/>
          <w:sz w:val="21"/>
        </w:rPr>
      </w:pPr>
      <w:r>
        <w:rPr>
          <w:rFonts w:ascii="Arial MT"/>
          <w:spacing w:val="-2"/>
          <w:w w:val="105"/>
          <w:sz w:val="21"/>
        </w:rPr>
        <w:t>14,600</w:t>
      </w:r>
    </w:p>
    <w:p w:rsidR="007F6DF9" w:rsidRDefault="00A43FBC">
      <w:pPr>
        <w:spacing w:before="238"/>
        <w:jc w:val="right"/>
        <w:rPr>
          <w:rFonts w:ascii="Arial MT"/>
          <w:sz w:val="21"/>
        </w:rPr>
      </w:pPr>
      <w:r>
        <w:rPr>
          <w:rFonts w:ascii="Arial MT"/>
          <w:noProof/>
          <w:sz w:val="21"/>
        </w:rPr>
        <mc:AlternateContent>
          <mc:Choice Requires="wps">
            <w:drawing>
              <wp:anchor distT="0" distB="0" distL="0" distR="0" simplePos="0" relativeHeight="15782912" behindDoc="0" locked="0" layoutInCell="1" allowOverlap="1">
                <wp:simplePos x="0" y="0"/>
                <wp:positionH relativeFrom="page">
                  <wp:posOffset>5275890</wp:posOffset>
                </wp:positionH>
                <wp:positionV relativeFrom="paragraph">
                  <wp:posOffset>292622</wp:posOffset>
                </wp:positionV>
                <wp:extent cx="163830" cy="255904"/>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883FED" w:rsidRDefault="00883FED">
                            <w:pPr>
                              <w:spacing w:line="233" w:lineRule="exact"/>
                              <w:ind w:left="20"/>
                              <w:rPr>
                                <w:rFonts w:ascii="Arial MT"/>
                                <w:sz w:val="21"/>
                              </w:rPr>
                            </w:pPr>
                            <w:r>
                              <w:rPr>
                                <w:rFonts w:ascii="Arial MT"/>
                                <w:spacing w:val="-5"/>
                                <w:w w:val="105"/>
                                <w:sz w:val="21"/>
                              </w:rPr>
                              <w:t>200</w:t>
                            </w:r>
                          </w:p>
                        </w:txbxContent>
                      </wps:txbx>
                      <wps:bodyPr vert="vert270" wrap="square" lIns="0" tIns="0" rIns="0" bIns="0" rtlCol="0">
                        <a:noAutofit/>
                      </wps:bodyPr>
                    </wps:wsp>
                  </a:graphicData>
                </a:graphic>
              </wp:anchor>
            </w:drawing>
          </mc:Choice>
          <mc:Fallback>
            <w:pict>
              <v:shape id="Textbox 525" o:spid="_x0000_s1045" type="#_x0000_t202" style="position:absolute;left:0;text-align:left;margin-left:415.4pt;margin-top:23.05pt;width:12.9pt;height:20.1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5"/>
                          <w:w w:val="105"/>
                          <w:sz w:val="21"/>
                        </w:rPr>
                        <w:t>200</w:t>
                      </w:r>
                    </w:p>
                  </w:txbxContent>
                </v:textbox>
                <w10:wrap anchorx="page"/>
              </v:shape>
            </w:pict>
          </mc:Fallback>
        </mc:AlternateContent>
      </w:r>
      <w:r>
        <w:rPr>
          <w:rFonts w:ascii="Arial MT"/>
          <w:spacing w:val="-4"/>
          <w:w w:val="105"/>
          <w:sz w:val="21"/>
        </w:rPr>
        <w:t>5,000</w:t>
      </w: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spacing w:before="18"/>
        <w:rPr>
          <w:rFonts w:ascii="Arial MT"/>
          <w:sz w:val="21"/>
        </w:rPr>
      </w:pPr>
    </w:p>
    <w:p w:rsidR="007F6DF9" w:rsidRDefault="00A43FBC">
      <w:pPr>
        <w:pStyle w:val="Heading2"/>
      </w:pPr>
      <w:r>
        <w:rPr>
          <w:color w:val="0000FF"/>
          <w:spacing w:val="-5"/>
          <w:shd w:val="clear" w:color="auto" w:fill="CCCCCC"/>
        </w:rPr>
        <w:t>FF</w:t>
      </w:r>
    </w:p>
    <w:p w:rsidR="007F6DF9" w:rsidRDefault="00A43FBC">
      <w:pPr>
        <w:pStyle w:val="BodyText"/>
        <w:rPr>
          <w:rFonts w:ascii="Cambria"/>
          <w:b/>
          <w:sz w:val="21"/>
        </w:rPr>
      </w:pPr>
      <w:r>
        <w:br w:type="column"/>
      </w:r>
    </w:p>
    <w:p w:rsidR="007F6DF9" w:rsidRDefault="007F6DF9">
      <w:pPr>
        <w:pStyle w:val="BodyText"/>
        <w:rPr>
          <w:rFonts w:ascii="Cambria"/>
          <w:b/>
          <w:sz w:val="21"/>
        </w:rPr>
      </w:pPr>
    </w:p>
    <w:p w:rsidR="007F6DF9" w:rsidRDefault="007F6DF9">
      <w:pPr>
        <w:pStyle w:val="BodyText"/>
        <w:spacing w:before="225"/>
        <w:rPr>
          <w:rFonts w:ascii="Cambria"/>
          <w:b/>
          <w:sz w:val="21"/>
        </w:rPr>
      </w:pPr>
    </w:p>
    <w:p w:rsidR="007F6DF9" w:rsidRDefault="00A43FBC">
      <w:pPr>
        <w:ind w:left="60"/>
        <w:rPr>
          <w:rFonts w:ascii="Arial MT"/>
          <w:sz w:val="21"/>
        </w:rPr>
      </w:pPr>
      <w:r>
        <w:rPr>
          <w:rFonts w:ascii="Arial MT"/>
          <w:spacing w:val="-2"/>
          <w:sz w:val="21"/>
        </w:rPr>
        <w:t>4,800</w:t>
      </w:r>
    </w:p>
    <w:p w:rsidR="007F6DF9" w:rsidRDefault="00A43FBC">
      <w:pPr>
        <w:spacing w:before="231"/>
        <w:ind w:left="60"/>
        <w:rPr>
          <w:rFonts w:ascii="Arial MT"/>
          <w:sz w:val="21"/>
        </w:rPr>
      </w:pPr>
      <w:r>
        <w:br w:type="column"/>
      </w:r>
      <w:r>
        <w:rPr>
          <w:rFonts w:ascii="Arial MT"/>
          <w:spacing w:val="-5"/>
          <w:sz w:val="21"/>
        </w:rPr>
        <w:lastRenderedPageBreak/>
        <w:t>200</w:t>
      </w:r>
    </w:p>
    <w:p w:rsidR="007F6DF9" w:rsidRDefault="00A43FBC">
      <w:pPr>
        <w:pStyle w:val="BodyText"/>
        <w:rPr>
          <w:rFonts w:ascii="Arial MT"/>
          <w:sz w:val="28"/>
        </w:rPr>
      </w:pPr>
      <w:r>
        <w:br w:type="column"/>
      </w:r>
    </w:p>
    <w:p w:rsidR="007F6DF9" w:rsidRDefault="007F6DF9">
      <w:pPr>
        <w:pStyle w:val="BodyText"/>
        <w:spacing w:before="156"/>
        <w:rPr>
          <w:rFonts w:ascii="Arial MT"/>
          <w:sz w:val="28"/>
        </w:rPr>
      </w:pPr>
    </w:p>
    <w:p w:rsidR="007F6DF9" w:rsidRDefault="00A43FBC">
      <w:pPr>
        <w:ind w:left="60"/>
        <w:rPr>
          <w:rFonts w:ascii="Cambria"/>
          <w:b/>
          <w:sz w:val="28"/>
        </w:rPr>
      </w:pPr>
      <w:r>
        <w:rPr>
          <w:rFonts w:ascii="Cambria"/>
          <w:b/>
          <w:noProof/>
          <w:sz w:val="28"/>
        </w:rPr>
        <mc:AlternateContent>
          <mc:Choice Requires="wps">
            <w:drawing>
              <wp:anchor distT="0" distB="0" distL="0" distR="0" simplePos="0" relativeHeight="15784448" behindDoc="0" locked="0" layoutInCell="1" allowOverlap="1">
                <wp:simplePos x="0" y="0"/>
                <wp:positionH relativeFrom="page">
                  <wp:posOffset>5851344</wp:posOffset>
                </wp:positionH>
                <wp:positionV relativeFrom="paragraph">
                  <wp:posOffset>-489618</wp:posOffset>
                </wp:positionV>
                <wp:extent cx="191135" cy="37528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883FED" w:rsidRDefault="00883FED">
                            <w:pPr>
                              <w:spacing w:line="277" w:lineRule="exact"/>
                              <w:ind w:left="20"/>
                              <w:rPr>
                                <w:rFonts w:ascii="Arial MT"/>
                                <w:sz w:val="26"/>
                              </w:rPr>
                            </w:pPr>
                            <w:r>
                              <w:rPr>
                                <w:rFonts w:ascii="Arial MT"/>
                                <w:color w:val="3FA5FF"/>
                                <w:spacing w:val="-2"/>
                                <w:sz w:val="26"/>
                              </w:rPr>
                              <w:t>S-</w:t>
                            </w:r>
                            <w:r>
                              <w:rPr>
                                <w:rFonts w:ascii="Arial MT"/>
                                <w:color w:val="3FA5FF"/>
                                <w:spacing w:val="-5"/>
                                <w:sz w:val="26"/>
                              </w:rPr>
                              <w:t>01</w:t>
                            </w:r>
                          </w:p>
                        </w:txbxContent>
                      </wps:txbx>
                      <wps:bodyPr vert="vert270" wrap="square" lIns="0" tIns="0" rIns="0" bIns="0" rtlCol="0">
                        <a:noAutofit/>
                      </wps:bodyPr>
                    </wps:wsp>
                  </a:graphicData>
                </a:graphic>
              </wp:anchor>
            </w:drawing>
          </mc:Choice>
          <mc:Fallback>
            <w:pict>
              <v:shape id="Textbox 526" o:spid="_x0000_s1046" type="#_x0000_t202" style="position:absolute;left:0;text-align:left;margin-left:460.75pt;margin-top:-38.55pt;width:15.05pt;height:29.5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" filled="f" stroked="f">
                <v:path arrowok="t"/>
                <v:textbox style="layout-flow:vertical;mso-layout-flow-alt:bottom-to-top" inset="0,0,0,0">
                  <w:txbxContent>
                    <w:p w:rsidR="00883FED" w:rsidRDefault="00883FED">
                      <w:pPr>
                        <w:spacing w:line="277" w:lineRule="exact"/>
                        <w:ind w:left="20"/>
                        <w:rPr>
                          <w:rFonts w:ascii="Arial MT"/>
                          <w:sz w:val="26"/>
                        </w:rPr>
                      </w:pPr>
                      <w:r>
                        <w:rPr>
                          <w:rFonts w:ascii="Arial MT"/>
                          <w:color w:val="3FA5FF"/>
                          <w:spacing w:val="-2"/>
                          <w:sz w:val="26"/>
                        </w:rPr>
                        <w:t>S-</w:t>
                      </w:r>
                      <w:r>
                        <w:rPr>
                          <w:rFonts w:ascii="Arial MT"/>
                          <w:color w:val="3FA5FF"/>
                          <w:spacing w:val="-5"/>
                          <w:sz w:val="26"/>
                        </w:rPr>
                        <w:t>01</w:t>
                      </w:r>
                    </w:p>
                  </w:txbxContent>
                </v:textbox>
                <w10:wrap anchorx="page"/>
              </v:shape>
            </w:pict>
          </mc:Fallback>
        </mc:AlternateContent>
      </w:r>
      <w:r>
        <w:rPr>
          <w:rFonts w:ascii="Cambria"/>
          <w:b/>
          <w:spacing w:val="-5"/>
          <w:sz w:val="28"/>
          <w:u w:val="thick"/>
        </w:rPr>
        <w:t>E02</w:t>
      </w: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spacing w:before="56"/>
        <w:rPr>
          <w:rFonts w:ascii="Cambria"/>
          <w:b/>
          <w:sz w:val="28"/>
        </w:rPr>
      </w:pPr>
    </w:p>
    <w:p w:rsidR="007F6DF9" w:rsidRDefault="00A43FBC">
      <w:pPr>
        <w:ind w:left="60"/>
        <w:rPr>
          <w:rFonts w:ascii="Cambria"/>
          <w:b/>
          <w:sz w:val="28"/>
        </w:rPr>
      </w:pPr>
      <w:r>
        <w:rPr>
          <w:rFonts w:ascii="Cambria"/>
          <w:b/>
          <w:noProof/>
          <w:sz w:val="28"/>
        </w:rPr>
        <mc:AlternateContent>
          <mc:Choice Requires="wps">
            <w:drawing>
              <wp:anchor distT="0" distB="0" distL="0" distR="0" simplePos="0" relativeHeight="15784960" behindDoc="0" locked="0" layoutInCell="1" allowOverlap="1">
                <wp:simplePos x="0" y="0"/>
                <wp:positionH relativeFrom="page">
                  <wp:posOffset>6121293</wp:posOffset>
                </wp:positionH>
                <wp:positionV relativeFrom="paragraph">
                  <wp:posOffset>268792</wp:posOffset>
                </wp:positionV>
                <wp:extent cx="191135" cy="37528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883FED" w:rsidRDefault="00883FED">
                            <w:pPr>
                              <w:spacing w:line="277" w:lineRule="exact"/>
                              <w:ind w:left="20"/>
                              <w:rPr>
                                <w:rFonts w:ascii="Arial MT"/>
                                <w:sz w:val="26"/>
                              </w:rPr>
                            </w:pPr>
                            <w:r>
                              <w:rPr>
                                <w:rFonts w:ascii="Arial MT"/>
                                <w:color w:val="3FA5FF"/>
                                <w:spacing w:val="-2"/>
                                <w:sz w:val="26"/>
                              </w:rPr>
                              <w:t>S-</w:t>
                            </w:r>
                            <w:r>
                              <w:rPr>
                                <w:rFonts w:ascii="Arial MT"/>
                                <w:color w:val="3FA5FF"/>
                                <w:spacing w:val="-5"/>
                                <w:sz w:val="26"/>
                              </w:rPr>
                              <w:t>03</w:t>
                            </w:r>
                          </w:p>
                        </w:txbxContent>
                      </wps:txbx>
                      <wps:bodyPr vert="vert270" wrap="square" lIns="0" tIns="0" rIns="0" bIns="0" rtlCol="0">
                        <a:noAutofit/>
                      </wps:bodyPr>
                    </wps:wsp>
                  </a:graphicData>
                </a:graphic>
              </wp:anchor>
            </w:drawing>
          </mc:Choice>
          <mc:Fallback>
            <w:pict>
              <v:shape id="Textbox 527" o:spid="_x0000_s1047" type="#_x0000_t202" style="position:absolute;left:0;text-align:left;margin-left:482pt;margin-top:21.15pt;width:15.05pt;height:29.5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" filled="f" stroked="f">
                <v:path arrowok="t"/>
                <v:textbox style="layout-flow:vertical;mso-layout-flow-alt:bottom-to-top" inset="0,0,0,0">
                  <w:txbxContent>
                    <w:p w:rsidR="00883FED" w:rsidRDefault="00883FED">
                      <w:pPr>
                        <w:spacing w:line="277" w:lineRule="exact"/>
                        <w:ind w:left="20"/>
                        <w:rPr>
                          <w:rFonts w:ascii="Arial MT"/>
                          <w:sz w:val="26"/>
                        </w:rPr>
                      </w:pPr>
                      <w:r>
                        <w:rPr>
                          <w:rFonts w:ascii="Arial MT"/>
                          <w:color w:val="3FA5FF"/>
                          <w:spacing w:val="-2"/>
                          <w:sz w:val="26"/>
                        </w:rPr>
                        <w:t>S-</w:t>
                      </w:r>
                      <w:r>
                        <w:rPr>
                          <w:rFonts w:ascii="Arial MT"/>
                          <w:color w:val="3FA5FF"/>
                          <w:spacing w:val="-5"/>
                          <w:sz w:val="26"/>
                        </w:rPr>
                        <w:t>03</w:t>
                      </w:r>
                    </w:p>
                  </w:txbxContent>
                </v:textbox>
                <w10:wrap anchorx="page"/>
              </v:shape>
            </w:pict>
          </mc:Fallback>
        </mc:AlternateContent>
      </w:r>
      <w:r>
        <w:rPr>
          <w:rFonts w:ascii="Cambria"/>
          <w:b/>
          <w:spacing w:val="-5"/>
          <w:sz w:val="28"/>
          <w:u w:val="thick"/>
        </w:rPr>
        <w:t>E04</w:t>
      </w:r>
    </w:p>
    <w:p w:rsidR="007F6DF9" w:rsidRDefault="00A43FBC">
      <w:pPr>
        <w:pStyle w:val="BodyText"/>
        <w:rPr>
          <w:rFonts w:ascii="Cambria"/>
          <w:b/>
          <w:sz w:val="17"/>
        </w:rPr>
      </w:pPr>
      <w:r>
        <w:br w:type="column"/>
      </w: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spacing w:before="53"/>
        <w:rPr>
          <w:rFonts w:ascii="Cambria"/>
          <w:b/>
          <w:sz w:val="17"/>
        </w:rPr>
      </w:pPr>
    </w:p>
    <w:p w:rsidR="007F6DF9" w:rsidRDefault="00A43FBC">
      <w:pPr>
        <w:ind w:left="60"/>
        <w:rPr>
          <w:rFonts w:ascii="Arial MT"/>
          <w:sz w:val="17"/>
        </w:rPr>
      </w:pPr>
      <w:r>
        <w:rPr>
          <w:rFonts w:ascii="Arial MT"/>
          <w:noProof/>
          <w:sz w:val="17"/>
        </w:rPr>
        <mc:AlternateContent>
          <mc:Choice Requires="wps">
            <w:drawing>
              <wp:anchor distT="0" distB="0" distL="0" distR="0" simplePos="0" relativeHeight="15786496" behindDoc="0" locked="0" layoutInCell="1" allowOverlap="1">
                <wp:simplePos x="0" y="0"/>
                <wp:positionH relativeFrom="page">
                  <wp:posOffset>8323773</wp:posOffset>
                </wp:positionH>
                <wp:positionV relativeFrom="paragraph">
                  <wp:posOffset>-756844</wp:posOffset>
                </wp:positionV>
                <wp:extent cx="163830" cy="37084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883FED" w:rsidRDefault="00883FED">
                            <w:pPr>
                              <w:spacing w:line="233" w:lineRule="exact"/>
                              <w:ind w:left="20"/>
                              <w:rPr>
                                <w:rFonts w:ascii="Arial MT"/>
                                <w:sz w:val="21"/>
                              </w:rPr>
                            </w:pPr>
                            <w:r>
                              <w:rPr>
                                <w:rFonts w:ascii="Arial MT"/>
                                <w:spacing w:val="-4"/>
                                <w:w w:val="105"/>
                                <w:sz w:val="21"/>
                              </w:rPr>
                              <w:t>5,000</w:t>
                            </w:r>
                          </w:p>
                        </w:txbxContent>
                      </wps:txbx>
                      <wps:bodyPr vert="vert270" wrap="square" lIns="0" tIns="0" rIns="0" bIns="0" rtlCol="0">
                        <a:noAutofit/>
                      </wps:bodyPr>
                    </wps:wsp>
                  </a:graphicData>
                </a:graphic>
              </wp:anchor>
            </w:drawing>
          </mc:Choice>
          <mc:Fallback>
            <w:pict>
              <v:shape id="Textbox 528" o:spid="_x0000_s1048" type="#_x0000_t202" style="position:absolute;left:0;text-align:left;margin-left:655.4pt;margin-top:-59.6pt;width:12.9pt;height:29.2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4"/>
                          <w:w w:val="105"/>
                          <w:sz w:val="21"/>
                        </w:rPr>
                        <w:t>5,000</w:t>
                      </w:r>
                    </w:p>
                  </w:txbxContent>
                </v:textbox>
                <w10:wrap anchorx="page"/>
              </v:shape>
            </w:pict>
          </mc:Fallback>
        </mc:AlternateContent>
      </w:r>
      <w:r>
        <w:rPr>
          <w:rFonts w:ascii="Arial MT"/>
          <w:noProof/>
          <w:sz w:val="17"/>
        </w:rPr>
        <mc:AlternateContent>
          <mc:Choice Requires="wps">
            <w:drawing>
              <wp:anchor distT="0" distB="0" distL="0" distR="0" simplePos="0" relativeHeight="15789568" behindDoc="0" locked="0" layoutInCell="1" allowOverlap="1">
                <wp:simplePos x="0" y="0"/>
                <wp:positionH relativeFrom="page">
                  <wp:posOffset>9890859</wp:posOffset>
                </wp:positionH>
                <wp:positionV relativeFrom="paragraph">
                  <wp:posOffset>-902672</wp:posOffset>
                </wp:positionV>
                <wp:extent cx="135890" cy="30162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883FED" w:rsidRDefault="00883FED">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29" o:spid="_x0000_s1049" type="#_x0000_t202" style="position:absolute;left:0;text-align:left;margin-left:778.8pt;margin-top:-71.1pt;width:10.7pt;height:23.7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2"/>
                          <w:sz w:val="17"/>
                        </w:rPr>
                        <w:t>3,150</w:t>
                      </w:r>
                    </w:p>
                  </w:txbxContent>
                </v:textbox>
                <w10:wrap anchorx="page"/>
              </v:shape>
            </w:pict>
          </mc:Fallback>
        </mc:AlternateContent>
      </w:r>
      <w:r>
        <w:rPr>
          <w:rFonts w:ascii="Arial MT"/>
          <w:spacing w:val="-5"/>
          <w:sz w:val="17"/>
        </w:rPr>
        <w:t>300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53"/>
        <w:rPr>
          <w:rFonts w:ascii="Arial MT"/>
          <w:sz w:val="17"/>
        </w:rPr>
      </w:pPr>
    </w:p>
    <w:p w:rsidR="007F6DF9" w:rsidRDefault="00A43FBC">
      <w:pPr>
        <w:ind w:left="60"/>
        <w:rPr>
          <w:rFonts w:ascii="Arial MT"/>
          <w:sz w:val="17"/>
        </w:rPr>
      </w:pPr>
      <w:r>
        <w:rPr>
          <w:rFonts w:ascii="Arial MT"/>
          <w:spacing w:val="-5"/>
          <w:sz w:val="17"/>
        </w:rPr>
        <w:t>300</w:t>
      </w:r>
    </w:p>
    <w:p w:rsidR="007F6DF9" w:rsidRDefault="00A43FBC">
      <w:pPr>
        <w:pStyle w:val="BodyText"/>
        <w:rPr>
          <w:rFonts w:ascii="Arial MT"/>
          <w:sz w:val="17"/>
        </w:rPr>
      </w:pPr>
      <w:r>
        <w:br w:type="column"/>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33"/>
        <w:rPr>
          <w:rFonts w:ascii="Arial MT"/>
          <w:sz w:val="17"/>
        </w:rPr>
      </w:pPr>
    </w:p>
    <w:p w:rsidR="007F6DF9" w:rsidRDefault="00A43FBC">
      <w:pPr>
        <w:ind w:left="60"/>
        <w:rPr>
          <w:rFonts w:ascii="Arial MT"/>
          <w:sz w:val="17"/>
        </w:rPr>
      </w:pPr>
      <w:r>
        <w:rPr>
          <w:rFonts w:ascii="Arial MT"/>
          <w:noProof/>
          <w:sz w:val="17"/>
        </w:rPr>
        <mc:AlternateContent>
          <mc:Choice Requires="wps">
            <w:drawing>
              <wp:anchor distT="0" distB="0" distL="0" distR="0" simplePos="0" relativeHeight="15785472" behindDoc="0" locked="0" layoutInCell="1" allowOverlap="1">
                <wp:simplePos x="0" y="0"/>
                <wp:positionH relativeFrom="page">
                  <wp:posOffset>6121293</wp:posOffset>
                </wp:positionH>
                <wp:positionV relativeFrom="paragraph">
                  <wp:posOffset>-455864</wp:posOffset>
                </wp:positionV>
                <wp:extent cx="191135" cy="37528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883FED" w:rsidRDefault="00883FED">
                            <w:pPr>
                              <w:spacing w:line="277" w:lineRule="exact"/>
                              <w:ind w:left="20"/>
                              <w:rPr>
                                <w:rFonts w:ascii="Arial MT"/>
                                <w:sz w:val="26"/>
                              </w:rPr>
                            </w:pPr>
                            <w:r>
                              <w:rPr>
                                <w:rFonts w:ascii="Arial MT"/>
                                <w:color w:val="3FA5FF"/>
                                <w:spacing w:val="-2"/>
                                <w:sz w:val="26"/>
                              </w:rPr>
                              <w:t>S-</w:t>
                            </w:r>
                            <w:r>
                              <w:rPr>
                                <w:rFonts w:ascii="Arial MT"/>
                                <w:color w:val="3FA5FF"/>
                                <w:spacing w:val="-5"/>
                                <w:sz w:val="26"/>
                              </w:rPr>
                              <w:t>03</w:t>
                            </w:r>
                          </w:p>
                        </w:txbxContent>
                      </wps:txbx>
                      <wps:bodyPr vert="vert270" wrap="square" lIns="0" tIns="0" rIns="0" bIns="0" rtlCol="0">
                        <a:noAutofit/>
                      </wps:bodyPr>
                    </wps:wsp>
                  </a:graphicData>
                </a:graphic>
              </wp:anchor>
            </w:drawing>
          </mc:Choice>
          <mc:Fallback>
            <w:pict>
              <v:shape id="Textbox 530" o:spid="_x0000_s1050" type="#_x0000_t202" style="position:absolute;left:0;text-align:left;margin-left:482pt;margin-top:-35.9pt;width:15.05pt;height:29.5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" filled="f" stroked="f">
                <v:path arrowok="t"/>
                <v:textbox style="layout-flow:vertical;mso-layout-flow-alt:bottom-to-top" inset="0,0,0,0">
                  <w:txbxContent>
                    <w:p w:rsidR="00883FED" w:rsidRDefault="00883FED">
                      <w:pPr>
                        <w:spacing w:line="277" w:lineRule="exact"/>
                        <w:ind w:left="20"/>
                        <w:rPr>
                          <w:rFonts w:ascii="Arial MT"/>
                          <w:sz w:val="26"/>
                        </w:rPr>
                      </w:pPr>
                      <w:r>
                        <w:rPr>
                          <w:rFonts w:ascii="Arial MT"/>
                          <w:color w:val="3FA5FF"/>
                          <w:spacing w:val="-2"/>
                          <w:sz w:val="26"/>
                        </w:rPr>
                        <w:t>S-</w:t>
                      </w:r>
                      <w:r>
                        <w:rPr>
                          <w:rFonts w:ascii="Arial MT"/>
                          <w:color w:val="3FA5FF"/>
                          <w:spacing w:val="-5"/>
                          <w:sz w:val="26"/>
                        </w:rPr>
                        <w:t>03</w:t>
                      </w:r>
                    </w:p>
                  </w:txbxContent>
                </v:textbox>
                <w10:wrap anchorx="page"/>
              </v:shape>
            </w:pict>
          </mc:Fallback>
        </mc:AlternateContent>
      </w:r>
      <w:r>
        <w:rPr>
          <w:rFonts w:ascii="Arial MT"/>
          <w:spacing w:val="-2"/>
          <w:sz w:val="17"/>
        </w:rPr>
        <w:t>4,600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53"/>
        <w:rPr>
          <w:rFonts w:ascii="Arial MT"/>
          <w:sz w:val="17"/>
        </w:rPr>
      </w:pPr>
    </w:p>
    <w:p w:rsidR="007F6DF9" w:rsidRDefault="00A43FBC">
      <w:pPr>
        <w:ind w:left="91"/>
        <w:rPr>
          <w:rFonts w:ascii="Arial MT"/>
          <w:sz w:val="17"/>
        </w:rPr>
      </w:pPr>
      <w:r>
        <w:rPr>
          <w:rFonts w:ascii="Arial MT"/>
          <w:noProof/>
          <w:sz w:val="17"/>
        </w:rPr>
        <mc:AlternateContent>
          <mc:Choice Requires="wps">
            <w:drawing>
              <wp:anchor distT="0" distB="0" distL="0" distR="0" simplePos="0" relativeHeight="479614464" behindDoc="1" locked="0" layoutInCell="1" allowOverlap="1">
                <wp:simplePos x="0" y="0"/>
                <wp:positionH relativeFrom="page">
                  <wp:posOffset>9948055</wp:posOffset>
                </wp:positionH>
                <wp:positionV relativeFrom="paragraph">
                  <wp:posOffset>441656</wp:posOffset>
                </wp:positionV>
                <wp:extent cx="1270" cy="38925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89255"/>
                        </a:xfrm>
                        <a:custGeom>
                          <a:avLst/>
                          <a:gdLst/>
                          <a:ahLst/>
                          <a:cxnLst/>
                          <a:rect l="l" t="t" r="r" b="b"/>
                          <a:pathLst>
                            <a:path h="389255">
                              <a:moveTo>
                                <a:pt x="0" y="388882"/>
                              </a:moveTo>
                              <a:lnTo>
                                <a:pt x="0" y="0"/>
                              </a:lnTo>
                            </a:path>
                          </a:pathLst>
                        </a:custGeom>
                        <a:ln w="43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ECB58F" id="Graphic 531" o:spid="_x0000_s1026" style="position:absolute;margin-left:783.3pt;margin-top:34.8pt;width:.1pt;height:30.65pt;z-index:-23702016;visibility:visible;mso-wrap-style:square;mso-wrap-distance-left:0;mso-wrap-distance-top:0;mso-wrap-distance-right:0;mso-wrap-distance-bottom:0;mso-position-horizontal:absolute;mso-position-horizontal-relative:page;mso-position-vertical:absolute;mso-position-vertical-relative:text;v-text-anchor:top" coordsize="127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" path="m,388882l,e" filled="f" strokeweight=".1222mm">
                <v:path arrowok="t"/>
                <w10:wrap anchorx="page"/>
              </v:shape>
            </w:pict>
          </mc:Fallback>
        </mc:AlternateContent>
      </w:r>
      <w:r>
        <w:rPr>
          <w:rFonts w:ascii="Arial MT"/>
          <w:noProof/>
          <w:sz w:val="17"/>
        </w:rPr>
        <mc:AlternateContent>
          <mc:Choice Requires="wps">
            <w:drawing>
              <wp:anchor distT="0" distB="0" distL="0" distR="0" simplePos="0" relativeHeight="15785984" behindDoc="0" locked="0" layoutInCell="1" allowOverlap="1">
                <wp:simplePos x="0" y="0"/>
                <wp:positionH relativeFrom="page">
                  <wp:posOffset>8323773</wp:posOffset>
                </wp:positionH>
                <wp:positionV relativeFrom="paragraph">
                  <wp:posOffset>450630</wp:posOffset>
                </wp:positionV>
                <wp:extent cx="163830" cy="37084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883FED" w:rsidRDefault="00883FED">
                            <w:pPr>
                              <w:spacing w:line="233" w:lineRule="exact"/>
                              <w:ind w:left="20"/>
                              <w:rPr>
                                <w:rFonts w:ascii="Arial MT"/>
                                <w:sz w:val="21"/>
                              </w:rPr>
                            </w:pPr>
                            <w:r>
                              <w:rPr>
                                <w:rFonts w:ascii="Arial MT"/>
                                <w:spacing w:val="-4"/>
                                <w:w w:val="105"/>
                                <w:sz w:val="21"/>
                              </w:rPr>
                              <w:t>4,900</w:t>
                            </w:r>
                          </w:p>
                        </w:txbxContent>
                      </wps:txbx>
                      <wps:bodyPr vert="vert270" wrap="square" lIns="0" tIns="0" rIns="0" bIns="0" rtlCol="0">
                        <a:noAutofit/>
                      </wps:bodyPr>
                    </wps:wsp>
                  </a:graphicData>
                </a:graphic>
              </wp:anchor>
            </w:drawing>
          </mc:Choice>
          <mc:Fallback>
            <w:pict>
              <v:shape id="Textbox 532" o:spid="_x0000_s1051" type="#_x0000_t202" style="position:absolute;left:0;text-align:left;margin-left:655.4pt;margin-top:35.5pt;width:12.9pt;height:29.2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4"/>
                          <w:w w:val="105"/>
                          <w:sz w:val="21"/>
                        </w:rPr>
                        <w:t>4,900</w:t>
                      </w:r>
                    </w:p>
                  </w:txbxContent>
                </v:textbox>
                <w10:wrap anchorx="page"/>
              </v:shape>
            </w:pict>
          </mc:Fallback>
        </mc:AlternateContent>
      </w:r>
      <w:r>
        <w:rPr>
          <w:rFonts w:ascii="Arial MT"/>
          <w:noProof/>
          <w:sz w:val="17"/>
        </w:rPr>
        <mc:AlternateContent>
          <mc:Choice Requires="wps">
            <w:drawing>
              <wp:anchor distT="0" distB="0" distL="0" distR="0" simplePos="0" relativeHeight="15788032" behindDoc="0" locked="0" layoutInCell="1" allowOverlap="1">
                <wp:simplePos x="0" y="0"/>
                <wp:positionH relativeFrom="page">
                  <wp:posOffset>9642892</wp:posOffset>
                </wp:positionH>
                <wp:positionV relativeFrom="paragraph">
                  <wp:posOffset>743366</wp:posOffset>
                </wp:positionV>
                <wp:extent cx="135890" cy="30162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883FED" w:rsidRDefault="00883FED">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33" o:spid="_x0000_s1052" type="#_x0000_t202" style="position:absolute;left:0;text-align:left;margin-left:759.3pt;margin-top:58.55pt;width:10.7pt;height:23.7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2"/>
                          <w:sz w:val="17"/>
                        </w:rPr>
                        <w:t>3,150</w:t>
                      </w:r>
                    </w:p>
                  </w:txbxContent>
                </v:textbox>
                <w10:wrap anchorx="page"/>
              </v:shape>
            </w:pict>
          </mc:Fallback>
        </mc:AlternateContent>
      </w:r>
      <w:r>
        <w:rPr>
          <w:rFonts w:ascii="Arial MT"/>
          <w:noProof/>
          <w:sz w:val="17"/>
        </w:rPr>
        <mc:AlternateContent>
          <mc:Choice Requires="wps">
            <w:drawing>
              <wp:anchor distT="0" distB="0" distL="0" distR="0" simplePos="0" relativeHeight="15788544" behindDoc="0" locked="0" layoutInCell="1" allowOverlap="1">
                <wp:simplePos x="0" y="0"/>
                <wp:positionH relativeFrom="page">
                  <wp:posOffset>9761264</wp:posOffset>
                </wp:positionH>
                <wp:positionV relativeFrom="paragraph">
                  <wp:posOffset>246460</wp:posOffset>
                </wp:positionV>
                <wp:extent cx="135890" cy="20955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209550"/>
                        </a:xfrm>
                        <a:prstGeom prst="rect">
                          <a:avLst/>
                        </a:prstGeom>
                      </wps:spPr>
                      <wps:txbx>
                        <w:txbxContent>
                          <w:p w:rsidR="00883FED" w:rsidRDefault="00883FED">
                            <w:pPr>
                              <w:spacing w:line="191" w:lineRule="exact"/>
                              <w:ind w:left="20"/>
                              <w:rPr>
                                <w:rFonts w:ascii="Arial MT"/>
                                <w:sz w:val="17"/>
                              </w:rPr>
                            </w:pPr>
                            <w:r>
                              <w:rPr>
                                <w:rFonts w:ascii="Arial MT"/>
                                <w:spacing w:val="-5"/>
                                <w:sz w:val="17"/>
                              </w:rPr>
                              <w:t>450</w:t>
                            </w:r>
                          </w:p>
                        </w:txbxContent>
                      </wps:txbx>
                      <wps:bodyPr vert="vert270" wrap="square" lIns="0" tIns="0" rIns="0" bIns="0" rtlCol="0">
                        <a:noAutofit/>
                      </wps:bodyPr>
                    </wps:wsp>
                  </a:graphicData>
                </a:graphic>
              </wp:anchor>
            </w:drawing>
          </mc:Choice>
          <mc:Fallback>
            <w:pict>
              <v:shape id="Textbox 534" o:spid="_x0000_s1053" type="#_x0000_t202" style="position:absolute;left:0;text-align:left;margin-left:768.6pt;margin-top:19.4pt;width:10.7pt;height:16.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5"/>
                          <w:sz w:val="17"/>
                        </w:rPr>
                        <w:t>450</w:t>
                      </w:r>
                    </w:p>
                  </w:txbxContent>
                </v:textbox>
                <w10:wrap anchorx="page"/>
              </v:shape>
            </w:pict>
          </mc:Fallback>
        </mc:AlternateContent>
      </w:r>
      <w:r>
        <w:rPr>
          <w:rFonts w:ascii="Arial MT"/>
          <w:noProof/>
          <w:sz w:val="17"/>
        </w:rPr>
        <mc:AlternateContent>
          <mc:Choice Requires="wps">
            <w:drawing>
              <wp:anchor distT="0" distB="0" distL="0" distR="0" simplePos="0" relativeHeight="15789056" behindDoc="0" locked="0" layoutInCell="1" allowOverlap="1">
                <wp:simplePos x="0" y="0"/>
                <wp:positionH relativeFrom="page">
                  <wp:posOffset>9889952</wp:posOffset>
                </wp:positionH>
                <wp:positionV relativeFrom="paragraph">
                  <wp:posOffset>833847</wp:posOffset>
                </wp:positionV>
                <wp:extent cx="135890" cy="30162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883FED" w:rsidRDefault="00883FED">
                            <w:pPr>
                              <w:spacing w:line="191" w:lineRule="exact"/>
                              <w:ind w:left="20"/>
                              <w:rPr>
                                <w:rFonts w:ascii="Arial MT"/>
                                <w:sz w:val="17"/>
                              </w:rPr>
                            </w:pPr>
                            <w:r>
                              <w:rPr>
                                <w:rFonts w:ascii="Arial MT"/>
                                <w:spacing w:val="-2"/>
                                <w:sz w:val="17"/>
                              </w:rPr>
                              <w:t>2,700</w:t>
                            </w:r>
                          </w:p>
                        </w:txbxContent>
                      </wps:txbx>
                      <wps:bodyPr vert="vert270" wrap="square" lIns="0" tIns="0" rIns="0" bIns="0" rtlCol="0">
                        <a:noAutofit/>
                      </wps:bodyPr>
                    </wps:wsp>
                  </a:graphicData>
                </a:graphic>
              </wp:anchor>
            </w:drawing>
          </mc:Choice>
          <mc:Fallback>
            <w:pict>
              <v:shape id="Textbox 535" o:spid="_x0000_s1054" type="#_x0000_t202" style="position:absolute;left:0;text-align:left;margin-left:778.75pt;margin-top:65.65pt;width:10.7pt;height:23.7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2"/>
                          <w:sz w:val="17"/>
                        </w:rPr>
                        <w:t>2,700</w:t>
                      </w:r>
                    </w:p>
                  </w:txbxContent>
                </v:textbox>
                <w10:wrap anchorx="page"/>
              </v:shape>
            </w:pict>
          </mc:Fallback>
        </mc:AlternateContent>
      </w:r>
      <w:r>
        <w:rPr>
          <w:rFonts w:ascii="Arial MT"/>
          <w:spacing w:val="-2"/>
          <w:sz w:val="17"/>
        </w:rPr>
        <w:t>4,700</w:t>
      </w:r>
    </w:p>
    <w:p w:rsidR="007F6DF9" w:rsidRDefault="00A43FBC">
      <w:pPr>
        <w:pStyle w:val="BodyText"/>
        <w:rPr>
          <w:rFonts w:ascii="Arial MT"/>
          <w:sz w:val="17"/>
        </w:rPr>
      </w:pPr>
      <w:r>
        <w:br w:type="column"/>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05"/>
        <w:rPr>
          <w:rFonts w:ascii="Arial MT"/>
          <w:sz w:val="17"/>
        </w:rPr>
      </w:pPr>
    </w:p>
    <w:p w:rsidR="007F6DF9" w:rsidRDefault="00A43FBC">
      <w:pPr>
        <w:ind w:left="60"/>
        <w:jc w:val="center"/>
        <w:rPr>
          <w:rFonts w:ascii="Arial MT"/>
          <w:sz w:val="17"/>
        </w:rPr>
      </w:pPr>
      <w:r>
        <w:rPr>
          <w:rFonts w:ascii="Arial MT"/>
          <w:spacing w:val="-2"/>
          <w:sz w:val="17"/>
        </w:rPr>
        <w:t>10,200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20"/>
        <w:rPr>
          <w:rFonts w:ascii="Arial MT"/>
          <w:sz w:val="17"/>
        </w:rPr>
      </w:pPr>
    </w:p>
    <w:p w:rsidR="007F6DF9" w:rsidRDefault="00A43FBC">
      <w:pPr>
        <w:spacing w:before="1"/>
        <w:ind w:left="60" w:right="61"/>
        <w:jc w:val="center"/>
        <w:rPr>
          <w:rFonts w:ascii="Arial MT"/>
          <w:sz w:val="17"/>
        </w:rPr>
      </w:pPr>
      <w:r>
        <w:rPr>
          <w:rFonts w:ascii="Arial MT"/>
          <w:spacing w:val="-5"/>
          <w:sz w:val="17"/>
        </w:rPr>
        <w:t>300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53"/>
        <w:rPr>
          <w:rFonts w:ascii="Arial MT"/>
          <w:sz w:val="17"/>
        </w:rPr>
      </w:pPr>
    </w:p>
    <w:p w:rsidR="007F6DF9" w:rsidRDefault="00A43FBC">
      <w:pPr>
        <w:ind w:left="123"/>
        <w:jc w:val="center"/>
        <w:rPr>
          <w:rFonts w:ascii="Arial MT"/>
          <w:sz w:val="17"/>
        </w:rPr>
      </w:pPr>
      <w:r>
        <w:rPr>
          <w:rFonts w:ascii="Arial MT"/>
          <w:spacing w:val="-5"/>
          <w:sz w:val="17"/>
        </w:rPr>
        <w:t>300</w:t>
      </w:r>
    </w:p>
    <w:p w:rsidR="007F6DF9" w:rsidRDefault="00A43FBC">
      <w:pPr>
        <w:pStyle w:val="BodyText"/>
        <w:rPr>
          <w:rFonts w:ascii="Arial MT"/>
          <w:sz w:val="17"/>
        </w:rPr>
      </w:pPr>
      <w:r>
        <w:br w:type="column"/>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33"/>
        <w:rPr>
          <w:rFonts w:ascii="Arial MT"/>
          <w:sz w:val="17"/>
        </w:rPr>
      </w:pPr>
    </w:p>
    <w:p w:rsidR="007F6DF9" w:rsidRDefault="00A43FBC">
      <w:pPr>
        <w:ind w:left="60"/>
        <w:rPr>
          <w:rFonts w:ascii="Arial MT"/>
          <w:sz w:val="17"/>
        </w:rPr>
      </w:pPr>
      <w:r>
        <w:rPr>
          <w:rFonts w:ascii="Arial MT"/>
          <w:spacing w:val="-2"/>
          <w:sz w:val="17"/>
        </w:rPr>
        <w:t>4,700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53"/>
        <w:rPr>
          <w:rFonts w:ascii="Arial MT"/>
          <w:sz w:val="17"/>
        </w:rPr>
      </w:pPr>
    </w:p>
    <w:p w:rsidR="007F6DF9" w:rsidRDefault="00A43FBC">
      <w:pPr>
        <w:ind w:left="186"/>
        <w:rPr>
          <w:rFonts w:ascii="Arial MT"/>
          <w:sz w:val="17"/>
        </w:rPr>
      </w:pPr>
      <w:r>
        <w:rPr>
          <w:rFonts w:ascii="Arial MT"/>
          <w:spacing w:val="-2"/>
          <w:sz w:val="17"/>
        </w:rPr>
        <w:t>4,900</w:t>
      </w:r>
    </w:p>
    <w:p w:rsidR="007F6DF9" w:rsidRDefault="00A43FBC">
      <w:pPr>
        <w:pStyle w:val="BodyText"/>
        <w:rPr>
          <w:rFonts w:ascii="Arial MT"/>
          <w:sz w:val="17"/>
        </w:rPr>
      </w:pPr>
      <w:r>
        <w:br w:type="column"/>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25"/>
        <w:rPr>
          <w:rFonts w:ascii="Arial MT"/>
          <w:sz w:val="17"/>
        </w:rPr>
      </w:pPr>
    </w:p>
    <w:p w:rsidR="007F6DF9" w:rsidRDefault="00A43FBC">
      <w:pPr>
        <w:spacing w:before="1"/>
        <w:ind w:left="60"/>
        <w:rPr>
          <w:rFonts w:ascii="Arial MT"/>
          <w:sz w:val="17"/>
        </w:rPr>
      </w:pPr>
      <w:r>
        <w:rPr>
          <w:rFonts w:ascii="Arial MT"/>
          <w:noProof/>
          <w:sz w:val="17"/>
        </w:rPr>
        <mc:AlternateContent>
          <mc:Choice Requires="wps">
            <w:drawing>
              <wp:anchor distT="0" distB="0" distL="0" distR="0" simplePos="0" relativeHeight="15783424" behindDoc="0" locked="0" layoutInCell="1" allowOverlap="1">
                <wp:simplePos x="0" y="0"/>
                <wp:positionH relativeFrom="page">
                  <wp:posOffset>5436756</wp:posOffset>
                </wp:positionH>
                <wp:positionV relativeFrom="paragraph">
                  <wp:posOffset>228783</wp:posOffset>
                </wp:positionV>
                <wp:extent cx="163830" cy="37084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883FED" w:rsidRDefault="00883FED">
                            <w:pPr>
                              <w:spacing w:line="233" w:lineRule="exact"/>
                              <w:ind w:left="20"/>
                              <w:rPr>
                                <w:rFonts w:ascii="Arial MT"/>
                                <w:sz w:val="21"/>
                              </w:rPr>
                            </w:pPr>
                            <w:r>
                              <w:rPr>
                                <w:rFonts w:ascii="Arial MT"/>
                                <w:spacing w:val="-4"/>
                                <w:w w:val="105"/>
                                <w:sz w:val="21"/>
                              </w:rPr>
                              <w:t>9,600</w:t>
                            </w:r>
                          </w:p>
                        </w:txbxContent>
                      </wps:txbx>
                      <wps:bodyPr vert="vert270" wrap="square" lIns="0" tIns="0" rIns="0" bIns="0" rtlCol="0">
                        <a:noAutofit/>
                      </wps:bodyPr>
                    </wps:wsp>
                  </a:graphicData>
                </a:graphic>
              </wp:anchor>
            </w:drawing>
          </mc:Choice>
          <mc:Fallback>
            <w:pict>
              <v:shape id="Textbox 536" o:spid="_x0000_s1055" type="#_x0000_t202" style="position:absolute;left:0;text-align:left;margin-left:428.1pt;margin-top:18pt;width:12.9pt;height:29.2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4"/>
                          <w:w w:val="105"/>
                          <w:sz w:val="21"/>
                        </w:rPr>
                        <w:t>9,600</w:t>
                      </w:r>
                    </w:p>
                  </w:txbxContent>
                </v:textbox>
                <w10:wrap anchorx="page"/>
              </v:shape>
            </w:pict>
          </mc:Fallback>
        </mc:AlternateContent>
      </w:r>
      <w:r>
        <w:rPr>
          <w:rFonts w:ascii="Arial MT"/>
          <w:noProof/>
          <w:sz w:val="17"/>
        </w:rPr>
        <mc:AlternateContent>
          <mc:Choice Requires="wps">
            <w:drawing>
              <wp:anchor distT="0" distB="0" distL="0" distR="0" simplePos="0" relativeHeight="15787008" behindDoc="0" locked="0" layoutInCell="1" allowOverlap="1">
                <wp:simplePos x="0" y="0"/>
                <wp:positionH relativeFrom="page">
                  <wp:posOffset>8648144</wp:posOffset>
                </wp:positionH>
                <wp:positionV relativeFrom="paragraph">
                  <wp:posOffset>190439</wp:posOffset>
                </wp:positionV>
                <wp:extent cx="163830" cy="44767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447675"/>
                        </a:xfrm>
                        <a:prstGeom prst="rect">
                          <a:avLst/>
                        </a:prstGeom>
                      </wps:spPr>
                      <wps:txbx>
                        <w:txbxContent>
                          <w:p w:rsidR="00883FED" w:rsidRDefault="00883FED">
                            <w:pPr>
                              <w:spacing w:line="233" w:lineRule="exact"/>
                              <w:ind w:left="20"/>
                              <w:rPr>
                                <w:rFonts w:ascii="Arial MT"/>
                                <w:sz w:val="21"/>
                              </w:rPr>
                            </w:pPr>
                            <w:r>
                              <w:rPr>
                                <w:rFonts w:ascii="Arial MT"/>
                                <w:spacing w:val="-2"/>
                                <w:w w:val="105"/>
                                <w:sz w:val="21"/>
                              </w:rPr>
                              <w:t>10,000</w:t>
                            </w:r>
                          </w:p>
                        </w:txbxContent>
                      </wps:txbx>
                      <wps:bodyPr vert="vert270" wrap="square" lIns="0" tIns="0" rIns="0" bIns="0" rtlCol="0">
                        <a:noAutofit/>
                      </wps:bodyPr>
                    </wps:wsp>
                  </a:graphicData>
                </a:graphic>
              </wp:anchor>
            </w:drawing>
          </mc:Choice>
          <mc:Fallback>
            <w:pict>
              <v:shape id="Textbox 537" o:spid="_x0000_s1056" type="#_x0000_t202" style="position:absolute;left:0;text-align:left;margin-left:680.95pt;margin-top:15pt;width:12.9pt;height:35.2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2"/>
                          <w:w w:val="105"/>
                          <w:sz w:val="21"/>
                        </w:rPr>
                        <w:t>10,000</w:t>
                      </w:r>
                    </w:p>
                  </w:txbxContent>
                </v:textbox>
                <w10:wrap anchorx="page"/>
              </v:shape>
            </w:pict>
          </mc:Fallback>
        </mc:AlternateContent>
      </w:r>
      <w:r>
        <w:rPr>
          <w:rFonts w:ascii="Arial MT"/>
          <w:spacing w:val="-5"/>
          <w:sz w:val="17"/>
        </w:rPr>
        <w:t>300</w:t>
      </w:r>
    </w:p>
    <w:p w:rsidR="007F6DF9" w:rsidRDefault="00A43FBC">
      <w:pPr>
        <w:pStyle w:val="BodyText"/>
        <w:rPr>
          <w:rFonts w:ascii="Arial MT"/>
          <w:sz w:val="14"/>
        </w:rPr>
      </w:pPr>
      <w:r>
        <w:br w:type="column"/>
      </w: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spacing w:before="141"/>
        <w:rPr>
          <w:rFonts w:ascii="Arial MT"/>
          <w:sz w:val="14"/>
        </w:rPr>
      </w:pPr>
    </w:p>
    <w:p w:rsidR="007F6DF9" w:rsidRDefault="00A43FBC">
      <w:pPr>
        <w:spacing w:line="247" w:lineRule="auto"/>
        <w:ind w:left="60" w:right="5274" w:firstLine="261"/>
        <w:rPr>
          <w:rFonts w:ascii="Cambria"/>
          <w:i/>
          <w:sz w:val="14"/>
        </w:rPr>
      </w:pPr>
      <w:r>
        <w:rPr>
          <w:rFonts w:ascii="Cambria"/>
          <w:i/>
          <w:noProof/>
          <w:sz w:val="14"/>
        </w:rPr>
        <mc:AlternateContent>
          <mc:Choice Requires="wps">
            <w:drawing>
              <wp:anchor distT="0" distB="0" distL="0" distR="0" simplePos="0" relativeHeight="15787520" behindDoc="0" locked="0" layoutInCell="1" allowOverlap="1">
                <wp:simplePos x="0" y="0"/>
                <wp:positionH relativeFrom="page">
                  <wp:posOffset>9035389</wp:posOffset>
                </wp:positionH>
                <wp:positionV relativeFrom="paragraph">
                  <wp:posOffset>606755</wp:posOffset>
                </wp:positionV>
                <wp:extent cx="191135" cy="37528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883FED" w:rsidRDefault="00883FED">
                            <w:pPr>
                              <w:spacing w:line="277" w:lineRule="exact"/>
                              <w:ind w:left="20"/>
                              <w:rPr>
                                <w:rFonts w:ascii="Arial MT"/>
                                <w:sz w:val="26"/>
                              </w:rPr>
                            </w:pPr>
                            <w:r>
                              <w:rPr>
                                <w:rFonts w:ascii="Arial MT"/>
                                <w:color w:val="3FA5FF"/>
                                <w:spacing w:val="-2"/>
                                <w:sz w:val="26"/>
                              </w:rPr>
                              <w:t>E-</w:t>
                            </w:r>
                            <w:r>
                              <w:rPr>
                                <w:rFonts w:ascii="Arial MT"/>
                                <w:color w:val="3FA5FF"/>
                                <w:spacing w:val="-5"/>
                                <w:sz w:val="26"/>
                              </w:rPr>
                              <w:t>02</w:t>
                            </w:r>
                          </w:p>
                        </w:txbxContent>
                      </wps:txbx>
                      <wps:bodyPr vert="vert270" wrap="square" lIns="0" tIns="0" rIns="0" bIns="0" rtlCol="0">
                        <a:noAutofit/>
                      </wps:bodyPr>
                    </wps:wsp>
                  </a:graphicData>
                </a:graphic>
              </wp:anchor>
            </w:drawing>
          </mc:Choice>
          <mc:Fallback>
            <w:pict>
              <v:shape id="Textbox 538" o:spid="_x0000_s1057" type="#_x0000_t202" style="position:absolute;left:0;text-align:left;margin-left:711.45pt;margin-top:47.8pt;width:15.05pt;height:29.5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" filled="f" stroked="f">
                <v:path arrowok="t"/>
                <v:textbox style="layout-flow:vertical;mso-layout-flow-alt:bottom-to-top" inset="0,0,0,0">
                  <w:txbxContent>
                    <w:p w:rsidR="00883FED" w:rsidRDefault="00883FED">
                      <w:pPr>
                        <w:spacing w:line="277" w:lineRule="exact"/>
                        <w:ind w:left="20"/>
                        <w:rPr>
                          <w:rFonts w:ascii="Arial MT"/>
                          <w:sz w:val="26"/>
                        </w:rPr>
                      </w:pPr>
                      <w:r>
                        <w:rPr>
                          <w:rFonts w:ascii="Arial MT"/>
                          <w:color w:val="3FA5FF"/>
                          <w:spacing w:val="-2"/>
                          <w:sz w:val="26"/>
                        </w:rPr>
                        <w:t>E-</w:t>
                      </w:r>
                      <w:r>
                        <w:rPr>
                          <w:rFonts w:ascii="Arial MT"/>
                          <w:color w:val="3FA5FF"/>
                          <w:spacing w:val="-5"/>
                          <w:sz w:val="26"/>
                        </w:rPr>
                        <w:t>02</w:t>
                      </w:r>
                    </w:p>
                  </w:txbxContent>
                </v:textbox>
                <w10:wrap anchorx="page"/>
              </v:shape>
            </w:pict>
          </mc:Fallback>
        </mc:AlternateContent>
      </w:r>
      <w:r>
        <w:rPr>
          <w:rFonts w:ascii="Cambria"/>
          <w:i/>
          <w:sz w:val="14"/>
        </w:rPr>
        <w:t>Plastered</w:t>
      </w:r>
      <w:r>
        <w:rPr>
          <w:rFonts w:ascii="Cambria"/>
          <w:i/>
          <w:spacing w:val="-3"/>
          <w:sz w:val="14"/>
        </w:rPr>
        <w:t xml:space="preserve"> </w:t>
      </w:r>
      <w:r>
        <w:rPr>
          <w:rFonts w:ascii="Cambria"/>
          <w:i/>
          <w:sz w:val="14"/>
        </w:rPr>
        <w:t>&amp;</w:t>
      </w:r>
      <w:r>
        <w:rPr>
          <w:rFonts w:ascii="Cambria"/>
          <w:i/>
          <w:spacing w:val="-3"/>
          <w:sz w:val="14"/>
        </w:rPr>
        <w:t xml:space="preserve"> </w:t>
      </w:r>
      <w:r>
        <w:rPr>
          <w:rFonts w:ascii="Cambria"/>
          <w:i/>
          <w:sz w:val="14"/>
        </w:rPr>
        <w:t>Painted</w:t>
      </w:r>
      <w:r>
        <w:rPr>
          <w:rFonts w:ascii="Cambria"/>
          <w:i/>
          <w:spacing w:val="-4"/>
          <w:sz w:val="14"/>
        </w:rPr>
        <w:t xml:space="preserve"> </w:t>
      </w:r>
      <w:r>
        <w:rPr>
          <w:rFonts w:ascii="Cambria"/>
          <w:i/>
          <w:sz w:val="14"/>
        </w:rPr>
        <w:t>interior</w:t>
      </w:r>
      <w:r>
        <w:rPr>
          <w:rFonts w:ascii="Cambria"/>
          <w:i/>
          <w:spacing w:val="-3"/>
          <w:sz w:val="14"/>
        </w:rPr>
        <w:t xml:space="preserve"> </w:t>
      </w:r>
      <w:r>
        <w:rPr>
          <w:rFonts w:ascii="Cambria"/>
          <w:i/>
          <w:sz w:val="14"/>
        </w:rPr>
        <w:t>and</w:t>
      </w:r>
      <w:r>
        <w:rPr>
          <w:rFonts w:ascii="Cambria"/>
          <w:i/>
          <w:spacing w:val="40"/>
          <w:sz w:val="14"/>
        </w:rPr>
        <w:t xml:space="preserve"> </w:t>
      </w:r>
      <w:r>
        <w:rPr>
          <w:rFonts w:ascii="Cambria"/>
          <w:i/>
          <w:sz w:val="14"/>
        </w:rPr>
        <w:t>exterior</w:t>
      </w:r>
      <w:r>
        <w:rPr>
          <w:rFonts w:ascii="Cambria"/>
          <w:i/>
          <w:spacing w:val="-2"/>
          <w:sz w:val="14"/>
        </w:rPr>
        <w:t xml:space="preserve"> </w:t>
      </w:r>
      <w:r>
        <w:rPr>
          <w:rFonts w:ascii="Cambria"/>
          <w:i/>
          <w:sz w:val="14"/>
        </w:rPr>
        <w:t>walls</w:t>
      </w:r>
      <w:r>
        <w:rPr>
          <w:rFonts w:ascii="Cambria"/>
          <w:i/>
          <w:spacing w:val="-1"/>
          <w:sz w:val="14"/>
        </w:rPr>
        <w:t xml:space="preserve"> </w:t>
      </w:r>
      <w:r>
        <w:rPr>
          <w:rFonts w:ascii="Cambria"/>
          <w:i/>
          <w:sz w:val="14"/>
        </w:rPr>
        <w:t>to</w:t>
      </w:r>
      <w:r>
        <w:rPr>
          <w:rFonts w:ascii="Cambria"/>
          <w:i/>
          <w:spacing w:val="-2"/>
          <w:sz w:val="14"/>
        </w:rPr>
        <w:t xml:space="preserve"> </w:t>
      </w:r>
      <w:r>
        <w:rPr>
          <w:rFonts w:ascii="Cambria"/>
          <w:i/>
          <w:sz w:val="14"/>
        </w:rPr>
        <w:t>Architects</w:t>
      </w:r>
      <w:r>
        <w:rPr>
          <w:rFonts w:ascii="Cambria"/>
          <w:i/>
          <w:spacing w:val="-3"/>
          <w:sz w:val="14"/>
        </w:rPr>
        <w:t xml:space="preserve"> </w:t>
      </w:r>
      <w:r>
        <w:rPr>
          <w:rFonts w:ascii="Cambria"/>
          <w:i/>
          <w:spacing w:val="-2"/>
          <w:sz w:val="14"/>
        </w:rPr>
        <w:t>approval.</w:t>
      </w:r>
    </w:p>
    <w:p w:rsidR="007F6DF9" w:rsidRDefault="007F6DF9">
      <w:pPr>
        <w:spacing w:line="247" w:lineRule="auto"/>
        <w:rPr>
          <w:rFonts w:ascii="Cambria"/>
          <w:i/>
          <w:sz w:val="14"/>
        </w:rPr>
        <w:sectPr w:rsidR="007F6DF9">
          <w:type w:val="continuous"/>
          <w:pgSz w:w="31660" w:h="22390" w:orient="landscape"/>
          <w:pgMar w:top="340" w:right="1417" w:bottom="0" w:left="3118" w:header="0" w:footer="0" w:gutter="0"/>
          <w:cols w:num="12" w:space="720" w:equalWidth="0">
            <w:col w:w="423" w:space="1070"/>
            <w:col w:w="604" w:space="1931"/>
            <w:col w:w="1235" w:space="2499"/>
            <w:col w:w="604" w:space="1007"/>
            <w:col w:w="423" w:space="2087"/>
            <w:col w:w="563" w:space="227"/>
            <w:col w:w="350" w:space="1129"/>
            <w:col w:w="527" w:space="1008"/>
            <w:col w:w="592" w:space="1008"/>
            <w:col w:w="622" w:space="1034"/>
            <w:col w:w="350" w:space="322"/>
            <w:col w:w="7510"/>
          </w:cols>
        </w:sectPr>
      </w:pPr>
    </w:p>
    <w:p w:rsidR="007F6DF9" w:rsidRDefault="007F6DF9">
      <w:pPr>
        <w:pStyle w:val="BodyText"/>
        <w:rPr>
          <w:rFonts w:ascii="Cambria"/>
          <w:i/>
          <w:sz w:val="18"/>
        </w:rPr>
      </w:pPr>
    </w:p>
    <w:tbl>
      <w:tblPr>
        <w:tblW w:w="0" w:type="auto"/>
        <w:tblInd w:w="12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
        <w:gridCol w:w="2977"/>
        <w:gridCol w:w="190"/>
        <w:gridCol w:w="2913"/>
        <w:gridCol w:w="190"/>
      </w:tblGrid>
      <w:tr w:rsidR="007F6DF9">
        <w:trPr>
          <w:trHeight w:val="274"/>
        </w:trPr>
        <w:tc>
          <w:tcPr>
            <w:tcW w:w="190" w:type="dxa"/>
            <w:vMerge w:val="restart"/>
          </w:tcPr>
          <w:p w:rsidR="007F6DF9" w:rsidRDefault="007F6DF9">
            <w:pPr>
              <w:pStyle w:val="TableParagraph"/>
              <w:rPr>
                <w:rFonts w:ascii="Times New Roman"/>
                <w:sz w:val="14"/>
              </w:rPr>
            </w:pPr>
          </w:p>
        </w:tc>
        <w:tc>
          <w:tcPr>
            <w:tcW w:w="2977" w:type="dxa"/>
          </w:tcPr>
          <w:p w:rsidR="007F6DF9" w:rsidRDefault="007F6DF9">
            <w:pPr>
              <w:pStyle w:val="TableParagraph"/>
              <w:rPr>
                <w:rFonts w:ascii="Times New Roman"/>
                <w:sz w:val="14"/>
              </w:rPr>
            </w:pPr>
          </w:p>
        </w:tc>
        <w:tc>
          <w:tcPr>
            <w:tcW w:w="190" w:type="dxa"/>
            <w:vMerge w:val="restart"/>
          </w:tcPr>
          <w:p w:rsidR="007F6DF9" w:rsidRDefault="007F6DF9">
            <w:pPr>
              <w:pStyle w:val="TableParagraph"/>
              <w:rPr>
                <w:rFonts w:ascii="Times New Roman"/>
                <w:sz w:val="14"/>
              </w:rPr>
            </w:pPr>
          </w:p>
        </w:tc>
        <w:tc>
          <w:tcPr>
            <w:tcW w:w="2913" w:type="dxa"/>
          </w:tcPr>
          <w:p w:rsidR="007F6DF9" w:rsidRDefault="007F6DF9">
            <w:pPr>
              <w:pStyle w:val="TableParagraph"/>
              <w:rPr>
                <w:rFonts w:ascii="Times New Roman"/>
                <w:sz w:val="14"/>
              </w:rPr>
            </w:pPr>
          </w:p>
        </w:tc>
        <w:tc>
          <w:tcPr>
            <w:tcW w:w="190" w:type="dxa"/>
            <w:vMerge w:val="restart"/>
          </w:tcPr>
          <w:p w:rsidR="007F6DF9" w:rsidRDefault="007F6DF9">
            <w:pPr>
              <w:pStyle w:val="TableParagraph"/>
              <w:rPr>
                <w:rFonts w:ascii="Times New Roman"/>
                <w:sz w:val="14"/>
              </w:rPr>
            </w:pPr>
          </w:p>
        </w:tc>
      </w:tr>
      <w:tr w:rsidR="007F6DF9">
        <w:trPr>
          <w:trHeight w:val="1699"/>
        </w:trPr>
        <w:tc>
          <w:tcPr>
            <w:tcW w:w="190" w:type="dxa"/>
            <w:vMerge/>
            <w:tcBorders>
              <w:top w:val="nil"/>
            </w:tcBorders>
          </w:tcPr>
          <w:p w:rsidR="007F6DF9" w:rsidRDefault="007F6DF9">
            <w:pPr>
              <w:rPr>
                <w:sz w:val="2"/>
                <w:szCs w:val="2"/>
              </w:rPr>
            </w:pPr>
          </w:p>
        </w:tc>
        <w:tc>
          <w:tcPr>
            <w:tcW w:w="2977" w:type="dxa"/>
          </w:tcPr>
          <w:p w:rsidR="007F6DF9" w:rsidRDefault="007F6DF9">
            <w:pPr>
              <w:pStyle w:val="TableParagraph"/>
              <w:rPr>
                <w:rFonts w:ascii="Times New Roman"/>
                <w:sz w:val="14"/>
              </w:rPr>
            </w:pPr>
          </w:p>
        </w:tc>
        <w:tc>
          <w:tcPr>
            <w:tcW w:w="190" w:type="dxa"/>
            <w:vMerge/>
            <w:tcBorders>
              <w:top w:val="nil"/>
            </w:tcBorders>
          </w:tcPr>
          <w:p w:rsidR="007F6DF9" w:rsidRDefault="007F6DF9">
            <w:pPr>
              <w:rPr>
                <w:sz w:val="2"/>
                <w:szCs w:val="2"/>
              </w:rPr>
            </w:pPr>
          </w:p>
        </w:tc>
        <w:tc>
          <w:tcPr>
            <w:tcW w:w="2913" w:type="dxa"/>
          </w:tcPr>
          <w:p w:rsidR="007F6DF9" w:rsidRDefault="007F6DF9">
            <w:pPr>
              <w:pStyle w:val="TableParagraph"/>
              <w:rPr>
                <w:rFonts w:ascii="Times New Roman"/>
                <w:sz w:val="14"/>
              </w:rPr>
            </w:pPr>
          </w:p>
        </w:tc>
        <w:tc>
          <w:tcPr>
            <w:tcW w:w="190" w:type="dxa"/>
            <w:vMerge/>
            <w:tcBorders>
              <w:top w:val="nil"/>
            </w:tcBorders>
          </w:tcPr>
          <w:p w:rsidR="007F6DF9" w:rsidRDefault="007F6DF9">
            <w:pPr>
              <w:rPr>
                <w:sz w:val="2"/>
                <w:szCs w:val="2"/>
              </w:rPr>
            </w:pPr>
          </w:p>
        </w:tc>
      </w:tr>
      <w:tr w:rsidR="007F6DF9">
        <w:trPr>
          <w:trHeight w:val="179"/>
        </w:trPr>
        <w:tc>
          <w:tcPr>
            <w:tcW w:w="6460" w:type="dxa"/>
            <w:gridSpan w:val="5"/>
          </w:tcPr>
          <w:p w:rsidR="007F6DF9" w:rsidRDefault="007F6DF9">
            <w:pPr>
              <w:pStyle w:val="TableParagraph"/>
              <w:rPr>
                <w:rFonts w:ascii="Times New Roman"/>
                <w:sz w:val="12"/>
              </w:rPr>
            </w:pPr>
          </w:p>
        </w:tc>
      </w:tr>
    </w:tbl>
    <w:p w:rsidR="007F6DF9" w:rsidRDefault="007F6DF9">
      <w:pPr>
        <w:pStyle w:val="BodyText"/>
        <w:spacing w:before="11"/>
        <w:rPr>
          <w:rFonts w:ascii="Cambria"/>
          <w:i/>
          <w:sz w:val="5"/>
        </w:rPr>
      </w:pPr>
    </w:p>
    <w:p w:rsidR="007F6DF9" w:rsidRDefault="007F6DF9">
      <w:pPr>
        <w:pStyle w:val="BodyText"/>
        <w:rPr>
          <w:rFonts w:ascii="Cambria"/>
          <w:i/>
          <w:sz w:val="5"/>
        </w:rPr>
        <w:sectPr w:rsidR="007F6DF9">
          <w:type w:val="continuous"/>
          <w:pgSz w:w="31660" w:h="22390" w:orient="landscape"/>
          <w:pgMar w:top="340" w:right="1417" w:bottom="0" w:left="3118" w:header="0" w:footer="0" w:gutter="0"/>
          <w:cols w:space="720"/>
        </w:sectPr>
      </w:pPr>
    </w:p>
    <w:p w:rsidR="007F6DF9" w:rsidRDefault="00A43FBC">
      <w:pPr>
        <w:spacing w:before="42"/>
        <w:ind w:left="60"/>
        <w:rPr>
          <w:rFonts w:ascii="Arial MT"/>
          <w:sz w:val="21"/>
        </w:rPr>
      </w:pPr>
      <w:r>
        <w:rPr>
          <w:rFonts w:ascii="Arial MT"/>
          <w:spacing w:val="-5"/>
          <w:w w:val="105"/>
          <w:sz w:val="21"/>
        </w:rPr>
        <w:lastRenderedPageBreak/>
        <w:t>200</w:t>
      </w: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spacing w:before="83"/>
        <w:rPr>
          <w:rFonts w:ascii="Arial MT"/>
          <w:sz w:val="21"/>
        </w:rPr>
      </w:pPr>
    </w:p>
    <w:p w:rsidR="007F6DF9" w:rsidRDefault="00A43FBC">
      <w:pPr>
        <w:ind w:left="363"/>
        <w:rPr>
          <w:rFonts w:ascii="Cambria"/>
          <w:b/>
          <w:sz w:val="28"/>
        </w:rPr>
      </w:pPr>
      <w:r>
        <w:rPr>
          <w:rFonts w:ascii="Cambria"/>
          <w:b/>
          <w:spacing w:val="-5"/>
          <w:sz w:val="28"/>
          <w:u w:val="thick"/>
        </w:rPr>
        <w:t>E01</w:t>
      </w:r>
    </w:p>
    <w:p w:rsidR="007F6DF9" w:rsidRDefault="00A43FBC">
      <w:pPr>
        <w:pStyle w:val="BodyText"/>
        <w:spacing w:before="49"/>
        <w:rPr>
          <w:rFonts w:ascii="Cambria"/>
          <w:b/>
          <w:sz w:val="21"/>
        </w:rPr>
      </w:pPr>
      <w:r>
        <w:br w:type="column"/>
      </w:r>
    </w:p>
    <w:p w:rsidR="007F6DF9" w:rsidRDefault="00A43FBC">
      <w:pPr>
        <w:ind w:left="60"/>
        <w:rPr>
          <w:rFonts w:ascii="Arial MT"/>
          <w:sz w:val="21"/>
        </w:rPr>
      </w:pPr>
      <w:r>
        <w:rPr>
          <w:rFonts w:ascii="Arial MT"/>
          <w:spacing w:val="-2"/>
          <w:sz w:val="21"/>
        </w:rPr>
        <w:t>4,800</w:t>
      </w:r>
    </w:p>
    <w:p w:rsidR="007F6DF9" w:rsidRDefault="00A43FBC">
      <w:pPr>
        <w:spacing w:before="42"/>
        <w:ind w:left="60"/>
        <w:rPr>
          <w:rFonts w:ascii="Arial MT"/>
          <w:sz w:val="21"/>
        </w:rPr>
      </w:pPr>
      <w:r>
        <w:br w:type="column"/>
      </w:r>
      <w:r>
        <w:rPr>
          <w:rFonts w:ascii="Arial MT"/>
          <w:spacing w:val="-5"/>
          <w:sz w:val="21"/>
        </w:rPr>
        <w:lastRenderedPageBreak/>
        <w:t>200</w:t>
      </w:r>
    </w:p>
    <w:p w:rsidR="007F6DF9" w:rsidRDefault="00A43FBC">
      <w:pPr>
        <w:pStyle w:val="BodyText"/>
        <w:spacing w:before="53"/>
        <w:rPr>
          <w:rFonts w:ascii="Arial MT"/>
          <w:sz w:val="21"/>
        </w:rPr>
      </w:pPr>
      <w:r>
        <w:br w:type="column"/>
      </w:r>
    </w:p>
    <w:p w:rsidR="007F6DF9" w:rsidRDefault="00A43FBC">
      <w:pPr>
        <w:spacing w:before="1"/>
        <w:ind w:left="158"/>
        <w:rPr>
          <w:rFonts w:ascii="Arial MT"/>
          <w:sz w:val="21"/>
        </w:rPr>
      </w:pPr>
      <w:r>
        <w:rPr>
          <w:rFonts w:ascii="Arial MT"/>
          <w:noProof/>
          <w:sz w:val="21"/>
        </w:rPr>
        <mc:AlternateContent>
          <mc:Choice Requires="wps">
            <w:drawing>
              <wp:anchor distT="0" distB="0" distL="0" distR="0" simplePos="0" relativeHeight="15782400" behindDoc="0" locked="0" layoutInCell="1" allowOverlap="1">
                <wp:simplePos x="0" y="0"/>
                <wp:positionH relativeFrom="page">
                  <wp:posOffset>5275890</wp:posOffset>
                </wp:positionH>
                <wp:positionV relativeFrom="paragraph">
                  <wp:posOffset>-408304</wp:posOffset>
                </wp:positionV>
                <wp:extent cx="163830" cy="255904"/>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883FED" w:rsidRDefault="00883FED">
                            <w:pPr>
                              <w:spacing w:line="233" w:lineRule="exact"/>
                              <w:ind w:left="20"/>
                              <w:rPr>
                                <w:rFonts w:ascii="Arial MT"/>
                                <w:sz w:val="21"/>
                              </w:rPr>
                            </w:pPr>
                            <w:r>
                              <w:rPr>
                                <w:rFonts w:ascii="Arial MT"/>
                                <w:spacing w:val="-5"/>
                                <w:w w:val="105"/>
                                <w:sz w:val="21"/>
                              </w:rPr>
                              <w:t>200</w:t>
                            </w:r>
                          </w:p>
                        </w:txbxContent>
                      </wps:txbx>
                      <wps:bodyPr vert="vert270" wrap="square" lIns="0" tIns="0" rIns="0" bIns="0" rtlCol="0">
                        <a:noAutofit/>
                      </wps:bodyPr>
                    </wps:wsp>
                  </a:graphicData>
                </a:graphic>
              </wp:anchor>
            </w:drawing>
          </mc:Choice>
          <mc:Fallback>
            <w:pict>
              <v:shape id="Textbox 539" o:spid="_x0000_s1058" type="#_x0000_t202" style="position:absolute;left:0;text-align:left;margin-left:415.4pt;margin-top:-32.15pt;width:12.9pt;height:20.1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5"/>
                          <w:w w:val="105"/>
                          <w:sz w:val="21"/>
                        </w:rPr>
                        <w:t>200</w:t>
                      </w:r>
                    </w:p>
                  </w:txbxContent>
                </v:textbox>
                <w10:wrap anchorx="page"/>
              </v:shape>
            </w:pict>
          </mc:Fallback>
        </mc:AlternateContent>
      </w:r>
      <w:r>
        <w:rPr>
          <w:rFonts w:ascii="Arial MT"/>
          <w:spacing w:val="-2"/>
          <w:sz w:val="21"/>
        </w:rPr>
        <w:t>4,800</w:t>
      </w:r>
    </w:p>
    <w:p w:rsidR="007F6DF9" w:rsidRDefault="007F6DF9">
      <w:pPr>
        <w:pStyle w:val="BodyText"/>
        <w:spacing w:before="197"/>
        <w:rPr>
          <w:rFonts w:ascii="Arial MT"/>
          <w:sz w:val="21"/>
        </w:rPr>
      </w:pPr>
    </w:p>
    <w:p w:rsidR="007F6DF9" w:rsidRDefault="00A43FBC">
      <w:pPr>
        <w:pStyle w:val="Heading5"/>
        <w:spacing w:line="240" w:lineRule="auto"/>
        <w:ind w:left="60"/>
      </w:pPr>
      <w:r>
        <w:rPr>
          <w:noProof/>
        </w:rPr>
        <mc:AlternateContent>
          <mc:Choice Requires="wps">
            <w:drawing>
              <wp:anchor distT="0" distB="0" distL="0" distR="0" simplePos="0" relativeHeight="15783936" behindDoc="0" locked="0" layoutInCell="1" allowOverlap="1">
                <wp:simplePos x="0" y="0"/>
                <wp:positionH relativeFrom="page">
                  <wp:posOffset>5851344</wp:posOffset>
                </wp:positionH>
                <wp:positionV relativeFrom="paragraph">
                  <wp:posOffset>254960</wp:posOffset>
                </wp:positionV>
                <wp:extent cx="191135" cy="37528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883FED" w:rsidRDefault="00883FED">
                            <w:pPr>
                              <w:spacing w:line="277" w:lineRule="exact"/>
                              <w:ind w:left="20"/>
                              <w:rPr>
                                <w:rFonts w:ascii="Arial MT"/>
                                <w:sz w:val="26"/>
                              </w:rPr>
                            </w:pPr>
                            <w:r>
                              <w:rPr>
                                <w:rFonts w:ascii="Arial MT"/>
                                <w:color w:val="3FA5FF"/>
                                <w:spacing w:val="-2"/>
                                <w:sz w:val="26"/>
                              </w:rPr>
                              <w:t>S-</w:t>
                            </w:r>
                            <w:r>
                              <w:rPr>
                                <w:rFonts w:ascii="Arial MT"/>
                                <w:color w:val="3FA5FF"/>
                                <w:spacing w:val="-5"/>
                                <w:sz w:val="26"/>
                              </w:rPr>
                              <w:t>01</w:t>
                            </w:r>
                          </w:p>
                        </w:txbxContent>
                      </wps:txbx>
                      <wps:bodyPr vert="vert270" wrap="square" lIns="0" tIns="0" rIns="0" bIns="0" rtlCol="0">
                        <a:noAutofit/>
                      </wps:bodyPr>
                    </wps:wsp>
                  </a:graphicData>
                </a:graphic>
              </wp:anchor>
            </w:drawing>
          </mc:Choice>
          <mc:Fallback>
            <w:pict>
              <v:shape id="Textbox 540" o:spid="_x0000_s1059" type="#_x0000_t202" style="position:absolute;left:0;text-align:left;margin-left:460.75pt;margin-top:20.1pt;width:15.05pt;height:29.5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" filled="f" stroked="f">
                <v:path arrowok="t"/>
                <v:textbox style="layout-flow:vertical;mso-layout-flow-alt:bottom-to-top" inset="0,0,0,0">
                  <w:txbxContent>
                    <w:p w:rsidR="00883FED" w:rsidRDefault="00883FED">
                      <w:pPr>
                        <w:spacing w:line="277" w:lineRule="exact"/>
                        <w:ind w:left="20"/>
                        <w:rPr>
                          <w:rFonts w:ascii="Arial MT"/>
                          <w:sz w:val="26"/>
                        </w:rPr>
                      </w:pPr>
                      <w:r>
                        <w:rPr>
                          <w:rFonts w:ascii="Arial MT"/>
                          <w:color w:val="3FA5FF"/>
                          <w:spacing w:val="-2"/>
                          <w:sz w:val="26"/>
                        </w:rPr>
                        <w:t>S-</w:t>
                      </w:r>
                      <w:r>
                        <w:rPr>
                          <w:rFonts w:ascii="Arial MT"/>
                          <w:color w:val="3FA5FF"/>
                          <w:spacing w:val="-5"/>
                          <w:sz w:val="26"/>
                        </w:rPr>
                        <w:t>01</w:t>
                      </w:r>
                    </w:p>
                  </w:txbxContent>
                </v:textbox>
                <w10:wrap anchorx="page"/>
              </v:shape>
            </w:pict>
          </mc:Fallback>
        </mc:AlternateContent>
      </w:r>
      <w:r>
        <w:rPr>
          <w:color w:val="3FA5FF"/>
          <w:spacing w:val="-2"/>
        </w:rPr>
        <w:t>E-</w:t>
      </w:r>
      <w:r>
        <w:rPr>
          <w:color w:val="3FA5FF"/>
          <w:spacing w:val="-5"/>
        </w:rPr>
        <w:t>01</w:t>
      </w:r>
    </w:p>
    <w:p w:rsidR="007F6DF9" w:rsidRDefault="00A43FBC">
      <w:pPr>
        <w:spacing w:before="42"/>
        <w:ind w:left="60"/>
        <w:rPr>
          <w:rFonts w:ascii="Arial MT"/>
          <w:sz w:val="21"/>
        </w:rPr>
      </w:pPr>
      <w:r>
        <w:br w:type="column"/>
      </w:r>
      <w:r>
        <w:rPr>
          <w:rFonts w:ascii="Arial MT"/>
          <w:spacing w:val="-5"/>
          <w:sz w:val="21"/>
        </w:rPr>
        <w:lastRenderedPageBreak/>
        <w:t>200</w:t>
      </w:r>
    </w:p>
    <w:p w:rsidR="007F6DF9" w:rsidRDefault="00A43FBC">
      <w:pPr>
        <w:pStyle w:val="BodyText"/>
        <w:spacing w:before="53"/>
        <w:rPr>
          <w:rFonts w:ascii="Arial MT"/>
          <w:sz w:val="21"/>
        </w:rPr>
      </w:pPr>
      <w:r>
        <w:br w:type="column"/>
      </w:r>
    </w:p>
    <w:p w:rsidR="007F6DF9" w:rsidRDefault="00A43FBC">
      <w:pPr>
        <w:spacing w:before="1"/>
        <w:ind w:left="60"/>
        <w:rPr>
          <w:rFonts w:ascii="Arial MT"/>
          <w:sz w:val="21"/>
        </w:rPr>
      </w:pPr>
      <w:r>
        <w:rPr>
          <w:rFonts w:ascii="Arial MT"/>
          <w:spacing w:val="-2"/>
          <w:sz w:val="21"/>
        </w:rPr>
        <w:t>3,362</w:t>
      </w:r>
    </w:p>
    <w:p w:rsidR="007F6DF9" w:rsidRDefault="00A43FBC">
      <w:pPr>
        <w:spacing w:before="42"/>
        <w:jc w:val="right"/>
        <w:rPr>
          <w:rFonts w:ascii="Arial MT"/>
          <w:sz w:val="21"/>
        </w:rPr>
      </w:pPr>
      <w:r>
        <w:br w:type="column"/>
      </w:r>
      <w:r>
        <w:rPr>
          <w:rFonts w:ascii="Arial MT"/>
          <w:spacing w:val="-5"/>
          <w:w w:val="105"/>
          <w:sz w:val="21"/>
        </w:rPr>
        <w:lastRenderedPageBreak/>
        <w:t>38</w:t>
      </w:r>
    </w:p>
    <w:p w:rsidR="007F6DF9" w:rsidRDefault="00A43FBC">
      <w:pPr>
        <w:spacing w:before="12"/>
        <w:ind w:right="51"/>
        <w:jc w:val="right"/>
        <w:rPr>
          <w:rFonts w:ascii="Arial MT"/>
          <w:sz w:val="21"/>
        </w:rPr>
      </w:pPr>
      <w:r>
        <w:rPr>
          <w:rFonts w:ascii="Arial MT"/>
          <w:spacing w:val="-4"/>
          <w:w w:val="105"/>
          <w:sz w:val="21"/>
        </w:rPr>
        <w:t>1,200</w:t>
      </w:r>
    </w:p>
    <w:p w:rsidR="007F6DF9" w:rsidRDefault="00A43FBC">
      <w:pPr>
        <w:spacing w:before="42"/>
        <w:ind w:left="60"/>
        <w:rPr>
          <w:rFonts w:ascii="Arial MT"/>
          <w:sz w:val="21"/>
        </w:rPr>
      </w:pPr>
      <w:r>
        <w:br w:type="column"/>
      </w:r>
      <w:r>
        <w:rPr>
          <w:rFonts w:ascii="Arial MT"/>
          <w:spacing w:val="-5"/>
          <w:w w:val="105"/>
          <w:sz w:val="21"/>
        </w:rPr>
        <w:lastRenderedPageBreak/>
        <w:t>200</w:t>
      </w:r>
    </w:p>
    <w:p w:rsidR="007F6DF9" w:rsidRDefault="007F6DF9">
      <w:pPr>
        <w:rPr>
          <w:rFonts w:ascii="Arial MT"/>
          <w:sz w:val="21"/>
        </w:rPr>
        <w:sectPr w:rsidR="007F6DF9">
          <w:type w:val="continuous"/>
          <w:pgSz w:w="31660" w:h="22390" w:orient="landscape"/>
          <w:pgMar w:top="340" w:right="1417" w:bottom="0" w:left="3118" w:header="0" w:footer="0" w:gutter="0"/>
          <w:cols w:num="8" w:space="720" w:equalWidth="0">
            <w:col w:w="867" w:space="626"/>
            <w:col w:w="604" w:space="1070"/>
            <w:col w:w="423" w:space="971"/>
            <w:col w:w="702" w:space="1070"/>
            <w:col w:w="423" w:space="615"/>
            <w:col w:w="604" w:space="840"/>
            <w:col w:w="657" w:space="98"/>
            <w:col w:w="17555"/>
          </w:cols>
        </w:sect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spacing w:before="18"/>
        <w:rPr>
          <w:rFonts w:ascii="Arial MT"/>
          <w:sz w:val="20"/>
        </w:rPr>
      </w:pPr>
    </w:p>
    <w:p w:rsidR="007F6DF9" w:rsidRDefault="007F6DF9">
      <w:pPr>
        <w:pStyle w:val="BodyText"/>
        <w:rPr>
          <w:rFonts w:ascii="Arial MT"/>
          <w:sz w:val="20"/>
        </w:rPr>
        <w:sectPr w:rsidR="007F6DF9">
          <w:type w:val="continuous"/>
          <w:pgSz w:w="31660" w:h="22390" w:orient="landscape"/>
          <w:pgMar w:top="340" w:right="1417" w:bottom="0" w:left="3118" w:header="0" w:footer="0" w:gutter="0"/>
          <w:cols w:space="720"/>
        </w:sectPr>
      </w:pPr>
    </w:p>
    <w:p w:rsidR="007F6DF9" w:rsidRDefault="00A43FBC">
      <w:pPr>
        <w:spacing w:before="76"/>
        <w:ind w:left="96"/>
        <w:rPr>
          <w:rFonts w:ascii="Arial MT"/>
          <w:sz w:val="17"/>
        </w:rPr>
      </w:pPr>
      <w:r>
        <w:rPr>
          <w:rFonts w:ascii="Arial MT"/>
          <w:noProof/>
          <w:sz w:val="17"/>
        </w:rPr>
        <w:lastRenderedPageBreak/>
        <mc:AlternateContent>
          <mc:Choice Requires="wps">
            <w:drawing>
              <wp:anchor distT="0" distB="0" distL="0" distR="0" simplePos="0" relativeHeight="15781888" behindDoc="0" locked="0" layoutInCell="1" allowOverlap="1">
                <wp:simplePos x="0" y="0"/>
                <wp:positionH relativeFrom="page">
                  <wp:posOffset>1909439</wp:posOffset>
                </wp:positionH>
                <wp:positionV relativeFrom="paragraph">
                  <wp:posOffset>-911414</wp:posOffset>
                </wp:positionV>
                <wp:extent cx="135890" cy="30162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883FED" w:rsidRDefault="00883FED">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41" o:spid="_x0000_s1060" type="#_x0000_t202" style="position:absolute;left:0;text-align:left;margin-left:150.35pt;margin-top:-71.75pt;width:10.7pt;height:23.7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2"/>
                          <w:sz w:val="17"/>
                        </w:rPr>
                        <w:t>3,150</w:t>
                      </w:r>
                    </w:p>
                  </w:txbxContent>
                </v:textbox>
                <w10:wrap anchorx="page"/>
              </v:shape>
            </w:pict>
          </mc:Fallback>
        </mc:AlternateContent>
      </w:r>
      <w:r>
        <w:rPr>
          <w:rFonts w:ascii="Arial MT"/>
          <w:spacing w:val="-5"/>
          <w:sz w:val="17"/>
        </w:rPr>
        <w:t>200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14"/>
        <w:rPr>
          <w:rFonts w:ascii="Arial MT"/>
          <w:sz w:val="17"/>
        </w:rPr>
      </w:pPr>
    </w:p>
    <w:p w:rsidR="007F6DF9" w:rsidRDefault="00A43FBC">
      <w:pPr>
        <w:ind w:left="270"/>
        <w:rPr>
          <w:rFonts w:ascii="Cambria"/>
          <w:b/>
          <w:sz w:val="28"/>
        </w:rPr>
      </w:pPr>
      <w:r>
        <w:rPr>
          <w:rFonts w:ascii="Cambria"/>
          <w:b/>
          <w:spacing w:val="-5"/>
          <w:sz w:val="28"/>
          <w:u w:val="thick"/>
        </w:rPr>
        <w:t>E03</w:t>
      </w:r>
    </w:p>
    <w:p w:rsidR="007F6DF9" w:rsidRDefault="00A43FBC">
      <w:pPr>
        <w:pStyle w:val="BodyText"/>
        <w:spacing w:before="79"/>
        <w:rPr>
          <w:rFonts w:ascii="Cambria"/>
          <w:b/>
          <w:sz w:val="17"/>
        </w:rPr>
      </w:pPr>
      <w:r>
        <w:br w:type="column"/>
      </w:r>
    </w:p>
    <w:p w:rsidR="007F6DF9" w:rsidRDefault="00A43FBC">
      <w:pPr>
        <w:ind w:left="96"/>
        <w:rPr>
          <w:rFonts w:ascii="Arial MT"/>
          <w:sz w:val="17"/>
        </w:rPr>
      </w:pPr>
      <w:r>
        <w:rPr>
          <w:rFonts w:ascii="Arial MT"/>
          <w:spacing w:val="-2"/>
          <w:sz w:val="17"/>
        </w:rPr>
        <w:t>4,800</w:t>
      </w:r>
    </w:p>
    <w:p w:rsidR="007F6DF9" w:rsidRDefault="00A43FBC">
      <w:pPr>
        <w:spacing w:before="76"/>
        <w:ind w:left="96"/>
        <w:rPr>
          <w:rFonts w:ascii="Arial MT"/>
          <w:sz w:val="17"/>
        </w:rPr>
      </w:pPr>
      <w:r>
        <w:br w:type="column"/>
      </w:r>
      <w:r>
        <w:rPr>
          <w:rFonts w:ascii="Arial MT"/>
          <w:spacing w:val="-5"/>
          <w:sz w:val="17"/>
        </w:rPr>
        <w:lastRenderedPageBreak/>
        <w:t>200</w:t>
      </w:r>
    </w:p>
    <w:p w:rsidR="007F6DF9" w:rsidRDefault="00A43FBC">
      <w:pPr>
        <w:pStyle w:val="BodyText"/>
        <w:spacing w:before="83"/>
        <w:rPr>
          <w:rFonts w:ascii="Arial MT"/>
          <w:sz w:val="17"/>
        </w:rPr>
      </w:pPr>
      <w:r>
        <w:br w:type="column"/>
      </w:r>
    </w:p>
    <w:p w:rsidR="007F6DF9" w:rsidRDefault="00A43FBC">
      <w:pPr>
        <w:tabs>
          <w:tab w:val="left" w:pos="3248"/>
        </w:tabs>
        <w:ind w:left="208"/>
        <w:rPr>
          <w:rFonts w:ascii="Arial MT"/>
          <w:sz w:val="17"/>
        </w:rPr>
      </w:pPr>
      <w:r>
        <w:rPr>
          <w:rFonts w:ascii="Arial MT"/>
          <w:spacing w:val="-2"/>
          <w:sz w:val="17"/>
        </w:rPr>
        <w:t>4,800</w:t>
      </w:r>
      <w:r>
        <w:rPr>
          <w:rFonts w:ascii="Arial MT"/>
          <w:sz w:val="17"/>
        </w:rPr>
        <w:tab/>
      </w:r>
      <w:r>
        <w:rPr>
          <w:rFonts w:ascii="Arial MT"/>
          <w:spacing w:val="-2"/>
          <w:sz w:val="17"/>
        </w:rPr>
        <w:t>4,800</w:t>
      </w:r>
    </w:p>
    <w:p w:rsidR="007F6DF9" w:rsidRDefault="00A43FBC">
      <w:pPr>
        <w:spacing w:before="95"/>
        <w:ind w:left="97"/>
        <w:rPr>
          <w:rFonts w:ascii="Arial MT"/>
          <w:sz w:val="17"/>
        </w:rPr>
      </w:pPr>
      <w:r>
        <w:rPr>
          <w:rFonts w:ascii="Arial MT"/>
          <w:spacing w:val="-2"/>
          <w:sz w:val="17"/>
        </w:rPr>
        <w:t>15,000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08"/>
        <w:rPr>
          <w:rFonts w:ascii="Arial MT"/>
          <w:sz w:val="17"/>
        </w:rPr>
      </w:pPr>
    </w:p>
    <w:p w:rsidR="007F6DF9" w:rsidRDefault="00A43FBC">
      <w:pPr>
        <w:ind w:left="96"/>
        <w:rPr>
          <w:rFonts w:ascii="Arial MT"/>
          <w:sz w:val="17"/>
        </w:rPr>
      </w:pPr>
      <w:r>
        <w:rPr>
          <w:rFonts w:ascii="Arial MT"/>
          <w:noProof/>
          <w:sz w:val="17"/>
        </w:rPr>
        <mc:AlternateContent>
          <mc:Choice Requires="wps">
            <w:drawing>
              <wp:anchor distT="0" distB="0" distL="0" distR="0" simplePos="0" relativeHeight="479614976" behindDoc="1" locked="0" layoutInCell="1" allowOverlap="1">
                <wp:simplePos x="0" y="0"/>
                <wp:positionH relativeFrom="page">
                  <wp:posOffset>1954053</wp:posOffset>
                </wp:positionH>
                <wp:positionV relativeFrom="paragraph">
                  <wp:posOffset>394236</wp:posOffset>
                </wp:positionV>
                <wp:extent cx="1270" cy="38925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89255"/>
                        </a:xfrm>
                        <a:custGeom>
                          <a:avLst/>
                          <a:gdLst/>
                          <a:ahLst/>
                          <a:cxnLst/>
                          <a:rect l="l" t="t" r="r" b="b"/>
                          <a:pathLst>
                            <a:path h="389255">
                              <a:moveTo>
                                <a:pt x="0" y="388882"/>
                              </a:moveTo>
                              <a:lnTo>
                                <a:pt x="0" y="0"/>
                              </a:lnTo>
                            </a:path>
                          </a:pathLst>
                        </a:custGeom>
                        <a:ln w="43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A6A7FE" id="Graphic 542" o:spid="_x0000_s1026" style="position:absolute;margin-left:153.85pt;margin-top:31.05pt;width:.1pt;height:30.65pt;z-index:-23701504;visibility:visible;mso-wrap-style:square;mso-wrap-distance-left:0;mso-wrap-distance-top:0;mso-wrap-distance-right:0;mso-wrap-distance-bottom:0;mso-position-horizontal:absolute;mso-position-horizontal-relative:page;mso-position-vertical:absolute;mso-position-vertical-relative:text;v-text-anchor:top" coordsize="127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" path="m,388882l,e" filled="f" strokeweight=".1222mm">
                <v:path arrowok="t"/>
                <w10:wrap anchorx="page"/>
              </v:shape>
            </w:pict>
          </mc:Fallback>
        </mc:AlternateContent>
      </w:r>
      <w:r>
        <w:rPr>
          <w:rFonts w:ascii="Arial MT"/>
          <w:spacing w:val="-2"/>
          <w:sz w:val="17"/>
        </w:rPr>
        <w:t>15,000</w:t>
      </w:r>
    </w:p>
    <w:p w:rsidR="007F6DF9" w:rsidRDefault="00A43FBC">
      <w:pPr>
        <w:spacing w:before="76"/>
        <w:ind w:left="96"/>
        <w:rPr>
          <w:rFonts w:ascii="Arial MT"/>
          <w:sz w:val="17"/>
        </w:rPr>
      </w:pPr>
      <w:r>
        <w:br w:type="column"/>
      </w:r>
      <w:r>
        <w:rPr>
          <w:rFonts w:ascii="Arial MT"/>
          <w:spacing w:val="-5"/>
          <w:sz w:val="17"/>
        </w:rPr>
        <w:lastRenderedPageBreak/>
        <w:t>200</w:t>
      </w:r>
    </w:p>
    <w:p w:rsidR="007F6DF9" w:rsidRDefault="00A43FBC">
      <w:pPr>
        <w:pStyle w:val="BodyText"/>
        <w:rPr>
          <w:rFonts w:ascii="Arial MT"/>
          <w:sz w:val="33"/>
        </w:rPr>
      </w:pPr>
      <w:r>
        <w:br w:type="column"/>
      </w:r>
    </w:p>
    <w:p w:rsidR="007F6DF9" w:rsidRDefault="007F6DF9">
      <w:pPr>
        <w:pStyle w:val="BodyText"/>
        <w:rPr>
          <w:rFonts w:ascii="Arial MT"/>
          <w:sz w:val="33"/>
        </w:rPr>
      </w:pPr>
    </w:p>
    <w:p w:rsidR="007F6DF9" w:rsidRDefault="007F6DF9">
      <w:pPr>
        <w:pStyle w:val="BodyText"/>
        <w:rPr>
          <w:rFonts w:ascii="Arial MT"/>
          <w:sz w:val="33"/>
        </w:rPr>
      </w:pPr>
    </w:p>
    <w:p w:rsidR="007F6DF9" w:rsidRDefault="007F6DF9">
      <w:pPr>
        <w:pStyle w:val="BodyText"/>
        <w:rPr>
          <w:rFonts w:ascii="Arial MT"/>
          <w:sz w:val="33"/>
        </w:rPr>
      </w:pPr>
    </w:p>
    <w:p w:rsidR="007F6DF9" w:rsidRDefault="007F6DF9">
      <w:pPr>
        <w:pStyle w:val="BodyText"/>
        <w:rPr>
          <w:rFonts w:ascii="Arial MT"/>
          <w:sz w:val="33"/>
        </w:rPr>
      </w:pPr>
    </w:p>
    <w:p w:rsidR="007F6DF9" w:rsidRDefault="007F6DF9">
      <w:pPr>
        <w:pStyle w:val="BodyText"/>
        <w:spacing w:before="179"/>
        <w:rPr>
          <w:rFonts w:ascii="Arial MT"/>
          <w:sz w:val="33"/>
        </w:rPr>
      </w:pPr>
    </w:p>
    <w:p w:rsidR="007F6DF9" w:rsidRDefault="00A43FBC">
      <w:pPr>
        <w:pStyle w:val="Heading3"/>
        <w:rPr>
          <w:u w:val="none"/>
        </w:rPr>
      </w:pPr>
      <w:r>
        <w:rPr>
          <w:spacing w:val="-2"/>
          <w:u w:val="thick"/>
        </w:rPr>
        <w:t>LEGEND</w:t>
      </w:r>
    </w:p>
    <w:p w:rsidR="007F6DF9" w:rsidRDefault="007F6DF9">
      <w:pPr>
        <w:pStyle w:val="BodyText"/>
        <w:spacing w:before="50"/>
        <w:rPr>
          <w:rFonts w:ascii="Cambria"/>
          <w:b/>
          <w:sz w:val="33"/>
        </w:rPr>
      </w:pPr>
    </w:p>
    <w:p w:rsidR="007F6DF9" w:rsidRDefault="00A43FBC">
      <w:pPr>
        <w:ind w:left="1287"/>
        <w:rPr>
          <w:rFonts w:ascii="Cambria"/>
          <w:i/>
        </w:rPr>
      </w:pPr>
      <w:r>
        <w:rPr>
          <w:rFonts w:ascii="Cambria"/>
          <w:i/>
          <w:noProof/>
        </w:rPr>
        <mc:AlternateContent>
          <mc:Choice Requires="wps">
            <w:drawing>
              <wp:anchor distT="0" distB="0" distL="0" distR="0" simplePos="0" relativeHeight="15790080" behindDoc="0" locked="0" layoutInCell="1" allowOverlap="1">
                <wp:simplePos x="0" y="0"/>
                <wp:positionH relativeFrom="page">
                  <wp:posOffset>12939852</wp:posOffset>
                </wp:positionH>
                <wp:positionV relativeFrom="paragraph">
                  <wp:posOffset>-41408</wp:posOffset>
                </wp:positionV>
                <wp:extent cx="383540" cy="34798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347980"/>
                        </a:xfrm>
                        <a:prstGeom prst="rect">
                          <a:avLst/>
                        </a:prstGeom>
                      </wps:spPr>
                      <wps:txbx>
                        <w:txbxContent>
                          <w:p w:rsidR="00883FED" w:rsidRDefault="00883FED">
                            <w:pPr>
                              <w:spacing w:before="28" w:line="519" w:lineRule="exact"/>
                              <w:rPr>
                                <w:rFonts w:ascii="Cambria"/>
                                <w:b/>
                                <w:sz w:val="54"/>
                              </w:rPr>
                            </w:pPr>
                            <w:r>
                              <w:rPr>
                                <w:rFonts w:ascii="Cambria"/>
                                <w:b/>
                                <w:color w:val="0000FF"/>
                                <w:spacing w:val="-5"/>
                                <w:sz w:val="54"/>
                                <w:shd w:val="clear" w:color="auto" w:fill="CCCCCC"/>
                              </w:rPr>
                              <w:t>FF</w:t>
                            </w:r>
                          </w:p>
                        </w:txbxContent>
                      </wps:txbx>
                      <wps:bodyPr wrap="square" lIns="0" tIns="0" rIns="0" bIns="0" rtlCol="0">
                        <a:noAutofit/>
                      </wps:bodyPr>
                    </wps:wsp>
                  </a:graphicData>
                </a:graphic>
              </wp:anchor>
            </w:drawing>
          </mc:Choice>
          <mc:Fallback>
            <w:pict>
              <v:shape id="Textbox 543" o:spid="_x0000_s1061" type="#_x0000_t202" style="position:absolute;left:0;text-align:left;margin-left:1018.9pt;margin-top:-3.25pt;width:30.2pt;height:27.4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" filled="f" stroked="f">
                <v:path arrowok="t"/>
                <v:textbox inset="0,0,0,0">
                  <w:txbxContent>
                    <w:p w:rsidR="00883FED" w:rsidRDefault="00883FED">
                      <w:pPr>
                        <w:spacing w:before="28" w:line="519" w:lineRule="exact"/>
                        <w:rPr>
                          <w:rFonts w:ascii="Cambria"/>
                          <w:b/>
                          <w:sz w:val="54"/>
                        </w:rPr>
                      </w:pPr>
                      <w:r>
                        <w:rPr>
                          <w:rFonts w:ascii="Cambria"/>
                          <w:b/>
                          <w:color w:val="0000FF"/>
                          <w:spacing w:val="-5"/>
                          <w:sz w:val="54"/>
                          <w:shd w:val="clear" w:color="auto" w:fill="CCCCCC"/>
                        </w:rPr>
                        <w:t>FF</w:t>
                      </w:r>
                    </w:p>
                  </w:txbxContent>
                </v:textbox>
                <w10:wrap anchorx="page"/>
              </v:shape>
            </w:pict>
          </mc:Fallback>
        </mc:AlternateContent>
      </w:r>
      <w:r>
        <w:rPr>
          <w:rFonts w:ascii="Cambria"/>
          <w:i/>
          <w:spacing w:val="-2"/>
        </w:rPr>
        <w:t>(600x600x10mm)</w:t>
      </w:r>
      <w:r>
        <w:rPr>
          <w:rFonts w:ascii="Cambria"/>
          <w:i/>
          <w:spacing w:val="5"/>
        </w:rPr>
        <w:t xml:space="preserve"> </w:t>
      </w:r>
      <w:r>
        <w:rPr>
          <w:rFonts w:ascii="Cambria"/>
          <w:i/>
          <w:spacing w:val="-2"/>
        </w:rPr>
        <w:t>Porcelain</w:t>
      </w:r>
      <w:r>
        <w:rPr>
          <w:rFonts w:ascii="Cambria"/>
          <w:i/>
          <w:spacing w:val="2"/>
        </w:rPr>
        <w:t xml:space="preserve"> </w:t>
      </w:r>
      <w:r>
        <w:rPr>
          <w:rFonts w:ascii="Cambria"/>
          <w:i/>
          <w:spacing w:val="-2"/>
        </w:rPr>
        <w:t>tiles</w:t>
      </w:r>
    </w:p>
    <w:p w:rsidR="007F6DF9" w:rsidRDefault="00A43FBC">
      <w:pPr>
        <w:spacing w:before="36"/>
        <w:ind w:left="1287"/>
        <w:rPr>
          <w:rFonts w:ascii="Cambria"/>
          <w:b/>
        </w:rPr>
      </w:pPr>
      <w:r>
        <w:rPr>
          <w:rFonts w:ascii="Cambria"/>
          <w:b/>
        </w:rPr>
        <w:t>Floor</w:t>
      </w:r>
      <w:r>
        <w:rPr>
          <w:rFonts w:ascii="Cambria"/>
          <w:b/>
          <w:spacing w:val="-8"/>
        </w:rPr>
        <w:t xml:space="preserve"> </w:t>
      </w:r>
      <w:r>
        <w:rPr>
          <w:rFonts w:ascii="Cambria"/>
          <w:b/>
        </w:rPr>
        <w:t>Finish</w:t>
      </w:r>
      <w:r>
        <w:rPr>
          <w:rFonts w:ascii="Cambria"/>
          <w:b/>
          <w:spacing w:val="-7"/>
        </w:rPr>
        <w:t xml:space="preserve"> </w:t>
      </w:r>
      <w:r>
        <w:rPr>
          <w:rFonts w:ascii="Cambria"/>
          <w:b/>
        </w:rPr>
        <w:t>to</w:t>
      </w:r>
      <w:r>
        <w:rPr>
          <w:rFonts w:ascii="Cambria"/>
          <w:b/>
          <w:spacing w:val="-10"/>
        </w:rPr>
        <w:t xml:space="preserve"> </w:t>
      </w:r>
      <w:r>
        <w:rPr>
          <w:rFonts w:ascii="Cambria"/>
          <w:b/>
        </w:rPr>
        <w:t>ME</w:t>
      </w:r>
      <w:r>
        <w:rPr>
          <w:rFonts w:ascii="Cambria"/>
          <w:b/>
          <w:spacing w:val="-8"/>
        </w:rPr>
        <w:t xml:space="preserve"> </w:t>
      </w:r>
      <w:r>
        <w:rPr>
          <w:rFonts w:ascii="Cambria"/>
          <w:b/>
          <w:spacing w:val="-2"/>
        </w:rPr>
        <w:t>details</w:t>
      </w:r>
    </w:p>
    <w:p w:rsidR="007F6DF9" w:rsidRDefault="007F6DF9">
      <w:pPr>
        <w:rPr>
          <w:rFonts w:ascii="Cambria"/>
          <w:b/>
        </w:rPr>
        <w:sectPr w:rsidR="007F6DF9">
          <w:type w:val="continuous"/>
          <w:pgSz w:w="31660" w:h="22390" w:orient="landscape"/>
          <w:pgMar w:top="340" w:right="1417" w:bottom="0" w:left="3118" w:header="0" w:footer="0" w:gutter="0"/>
          <w:cols w:num="6" w:space="720" w:equalWidth="0">
            <w:col w:w="814" w:space="697"/>
            <w:col w:w="571" w:space="1084"/>
            <w:col w:w="427" w:space="972"/>
            <w:col w:w="3724" w:space="1084"/>
            <w:col w:w="427" w:space="7364"/>
            <w:col w:w="9961"/>
          </w:cols>
        </w:sectPr>
      </w:pPr>
    </w:p>
    <w:p w:rsidR="007F6DF9" w:rsidRDefault="007F6DF9">
      <w:pPr>
        <w:pStyle w:val="BodyText"/>
        <w:spacing w:before="91"/>
        <w:rPr>
          <w:rFonts w:ascii="Cambria"/>
          <w:b/>
          <w:sz w:val="20"/>
        </w:rPr>
      </w:pPr>
    </w:p>
    <w:p w:rsidR="007F6DF9" w:rsidRDefault="007F6DF9">
      <w:pPr>
        <w:pStyle w:val="BodyText"/>
        <w:rPr>
          <w:rFonts w:ascii="Cambria"/>
          <w:b/>
          <w:sz w:val="20"/>
        </w:rPr>
        <w:sectPr w:rsidR="007F6DF9">
          <w:type w:val="continuous"/>
          <w:pgSz w:w="31660" w:h="22390" w:orient="landscape"/>
          <w:pgMar w:top="340" w:right="1417" w:bottom="0" w:left="3118" w:header="0" w:footer="0" w:gutter="0"/>
          <w:cols w:space="720"/>
        </w:sectPr>
      </w:pPr>
    </w:p>
    <w:p w:rsidR="007F6DF9" w:rsidRDefault="00A43FBC">
      <w:pPr>
        <w:pStyle w:val="BodyText"/>
        <w:spacing w:before="23"/>
        <w:rPr>
          <w:rFonts w:ascii="Cambria"/>
          <w:b/>
          <w:sz w:val="17"/>
        </w:rPr>
      </w:pPr>
      <w:r>
        <w:rPr>
          <w:rFonts w:ascii="Cambria"/>
          <w:b/>
          <w:noProof/>
          <w:sz w:val="17"/>
        </w:rPr>
        <w:lastRenderedPageBreak/>
        <mc:AlternateContent>
          <mc:Choice Requires="wpg">
            <w:drawing>
              <wp:anchor distT="0" distB="0" distL="0" distR="0" simplePos="0" relativeHeight="479613440" behindDoc="1" locked="0" layoutInCell="1" allowOverlap="1">
                <wp:simplePos x="0" y="0"/>
                <wp:positionH relativeFrom="page">
                  <wp:posOffset>709773</wp:posOffset>
                </wp:positionH>
                <wp:positionV relativeFrom="page">
                  <wp:posOffset>763622</wp:posOffset>
                </wp:positionV>
                <wp:extent cx="18529300" cy="12734925"/>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29300" cy="12734925"/>
                          <a:chOff x="0" y="0"/>
                          <a:chExt cx="18529300" cy="12734925"/>
                        </a:xfrm>
                      </wpg:grpSpPr>
                      <pic:pic xmlns:pic="http://schemas.openxmlformats.org/drawingml/2006/picture">
                        <pic:nvPicPr>
                          <pic:cNvPr id="549" name="Image 545"/>
                          <pic:cNvPicPr/>
                        </pic:nvPicPr>
                        <pic:blipFill>
                          <a:blip r:embed="rId82" cstate="print"/>
                          <a:stretch>
                            <a:fillRect/>
                          </a:stretch>
                        </pic:blipFill>
                        <pic:spPr>
                          <a:xfrm>
                            <a:off x="0" y="0"/>
                            <a:ext cx="18529263" cy="12734910"/>
                          </a:xfrm>
                          <a:prstGeom prst="rect">
                            <a:avLst/>
                          </a:prstGeom>
                        </pic:spPr>
                      </pic:pic>
                      <pic:pic xmlns:pic="http://schemas.openxmlformats.org/drawingml/2006/picture">
                        <pic:nvPicPr>
                          <pic:cNvPr id="550" name="Image 546"/>
                          <pic:cNvPicPr/>
                        </pic:nvPicPr>
                        <pic:blipFill>
                          <a:blip r:embed="rId83" cstate="print"/>
                          <a:stretch>
                            <a:fillRect/>
                          </a:stretch>
                        </pic:blipFill>
                        <pic:spPr>
                          <a:xfrm>
                            <a:off x="1377139" y="1904625"/>
                            <a:ext cx="49522" cy="1890109"/>
                          </a:xfrm>
                          <a:prstGeom prst="rect">
                            <a:avLst/>
                          </a:prstGeom>
                        </pic:spPr>
                      </pic:pic>
                      <pic:pic xmlns:pic="http://schemas.openxmlformats.org/drawingml/2006/picture">
                        <pic:nvPicPr>
                          <pic:cNvPr id="551" name="Image 547"/>
                          <pic:cNvPicPr/>
                        </pic:nvPicPr>
                        <pic:blipFill>
                          <a:blip r:embed="rId84" cstate="print"/>
                          <a:stretch>
                            <a:fillRect/>
                          </a:stretch>
                        </pic:blipFill>
                        <pic:spPr>
                          <a:xfrm>
                            <a:off x="7371745" y="1904625"/>
                            <a:ext cx="49549" cy="1890109"/>
                          </a:xfrm>
                          <a:prstGeom prst="rect">
                            <a:avLst/>
                          </a:prstGeom>
                        </pic:spPr>
                      </pic:pic>
                      <pic:pic xmlns:pic="http://schemas.openxmlformats.org/drawingml/2006/picture">
                        <pic:nvPicPr>
                          <pic:cNvPr id="552" name="Image 548"/>
                          <pic:cNvPicPr/>
                        </pic:nvPicPr>
                        <pic:blipFill>
                          <a:blip r:embed="rId85" cstate="print"/>
                          <a:stretch>
                            <a:fillRect/>
                          </a:stretch>
                        </pic:blipFill>
                        <pic:spPr>
                          <a:xfrm>
                            <a:off x="7371745" y="3905882"/>
                            <a:ext cx="6769" cy="127698"/>
                          </a:xfrm>
                          <a:prstGeom prst="rect">
                            <a:avLst/>
                          </a:prstGeom>
                        </pic:spPr>
                      </pic:pic>
                      <pic:pic xmlns:pic="http://schemas.openxmlformats.org/drawingml/2006/picture">
                        <pic:nvPicPr>
                          <pic:cNvPr id="553" name="Image 549"/>
                          <pic:cNvPicPr/>
                        </pic:nvPicPr>
                        <pic:blipFill>
                          <a:blip r:embed="rId85" cstate="print"/>
                          <a:stretch>
                            <a:fillRect/>
                          </a:stretch>
                        </pic:blipFill>
                        <pic:spPr>
                          <a:xfrm>
                            <a:off x="7371745" y="4175460"/>
                            <a:ext cx="6769" cy="127664"/>
                          </a:xfrm>
                          <a:prstGeom prst="rect">
                            <a:avLst/>
                          </a:prstGeom>
                        </pic:spPr>
                      </pic:pic>
                      <pic:pic xmlns:pic="http://schemas.openxmlformats.org/drawingml/2006/picture">
                        <pic:nvPicPr>
                          <pic:cNvPr id="554" name="Image 550"/>
                          <pic:cNvPicPr/>
                        </pic:nvPicPr>
                        <pic:blipFill>
                          <a:blip r:embed="rId85" cstate="print"/>
                          <a:stretch>
                            <a:fillRect/>
                          </a:stretch>
                        </pic:blipFill>
                        <pic:spPr>
                          <a:xfrm>
                            <a:off x="7371745" y="4445005"/>
                            <a:ext cx="6769" cy="127698"/>
                          </a:xfrm>
                          <a:prstGeom prst="rect">
                            <a:avLst/>
                          </a:prstGeom>
                        </pic:spPr>
                      </pic:pic>
                      <pic:pic xmlns:pic="http://schemas.openxmlformats.org/drawingml/2006/picture">
                        <pic:nvPicPr>
                          <pic:cNvPr id="555" name="Image 551"/>
                          <pic:cNvPicPr/>
                        </pic:nvPicPr>
                        <pic:blipFill>
                          <a:blip r:embed="rId85" cstate="print"/>
                          <a:stretch>
                            <a:fillRect/>
                          </a:stretch>
                        </pic:blipFill>
                        <pic:spPr>
                          <a:xfrm>
                            <a:off x="7371745" y="4714549"/>
                            <a:ext cx="6769" cy="127698"/>
                          </a:xfrm>
                          <a:prstGeom prst="rect">
                            <a:avLst/>
                          </a:prstGeom>
                        </pic:spPr>
                      </pic:pic>
                      <pic:pic xmlns:pic="http://schemas.openxmlformats.org/drawingml/2006/picture">
                        <pic:nvPicPr>
                          <pic:cNvPr id="556" name="Image 552"/>
                          <pic:cNvPicPr/>
                        </pic:nvPicPr>
                        <pic:blipFill>
                          <a:blip r:embed="rId85" cstate="print"/>
                          <a:stretch>
                            <a:fillRect/>
                          </a:stretch>
                        </pic:blipFill>
                        <pic:spPr>
                          <a:xfrm>
                            <a:off x="7371745" y="4984127"/>
                            <a:ext cx="6769" cy="127664"/>
                          </a:xfrm>
                          <a:prstGeom prst="rect">
                            <a:avLst/>
                          </a:prstGeom>
                        </pic:spPr>
                      </pic:pic>
                      <pic:pic xmlns:pic="http://schemas.openxmlformats.org/drawingml/2006/picture">
                        <pic:nvPicPr>
                          <pic:cNvPr id="557" name="Image 553"/>
                          <pic:cNvPicPr/>
                        </pic:nvPicPr>
                        <pic:blipFill>
                          <a:blip r:embed="rId85" cstate="print"/>
                          <a:stretch>
                            <a:fillRect/>
                          </a:stretch>
                        </pic:blipFill>
                        <pic:spPr>
                          <a:xfrm>
                            <a:off x="7371745" y="5253671"/>
                            <a:ext cx="6769" cy="127664"/>
                          </a:xfrm>
                          <a:prstGeom prst="rect">
                            <a:avLst/>
                          </a:prstGeom>
                        </pic:spPr>
                      </pic:pic>
                      <pic:pic xmlns:pic="http://schemas.openxmlformats.org/drawingml/2006/picture">
                        <pic:nvPicPr>
                          <pic:cNvPr id="558" name="Image 554"/>
                          <pic:cNvPicPr/>
                        </pic:nvPicPr>
                        <pic:blipFill>
                          <a:blip r:embed="rId85" cstate="print"/>
                          <a:stretch>
                            <a:fillRect/>
                          </a:stretch>
                        </pic:blipFill>
                        <pic:spPr>
                          <a:xfrm>
                            <a:off x="7371745" y="5523215"/>
                            <a:ext cx="6769" cy="127698"/>
                          </a:xfrm>
                          <a:prstGeom prst="rect">
                            <a:avLst/>
                          </a:prstGeom>
                        </pic:spPr>
                      </pic:pic>
                      <pic:pic xmlns:pic="http://schemas.openxmlformats.org/drawingml/2006/picture">
                        <pic:nvPicPr>
                          <pic:cNvPr id="559" name="Image 555"/>
                          <pic:cNvPicPr/>
                        </pic:nvPicPr>
                        <pic:blipFill>
                          <a:blip r:embed="rId86" cstate="print"/>
                          <a:stretch>
                            <a:fillRect/>
                          </a:stretch>
                        </pic:blipFill>
                        <pic:spPr>
                          <a:xfrm>
                            <a:off x="1419892" y="5510726"/>
                            <a:ext cx="6769" cy="127664"/>
                          </a:xfrm>
                          <a:prstGeom prst="rect">
                            <a:avLst/>
                          </a:prstGeom>
                        </pic:spPr>
                      </pic:pic>
                      <pic:pic xmlns:pic="http://schemas.openxmlformats.org/drawingml/2006/picture">
                        <pic:nvPicPr>
                          <pic:cNvPr id="560" name="Image 556"/>
                          <pic:cNvPicPr/>
                        </pic:nvPicPr>
                        <pic:blipFill>
                          <a:blip r:embed="rId87" cstate="print"/>
                          <a:stretch>
                            <a:fillRect/>
                          </a:stretch>
                        </pic:blipFill>
                        <pic:spPr>
                          <a:xfrm>
                            <a:off x="1419892" y="5241148"/>
                            <a:ext cx="6769" cy="127698"/>
                          </a:xfrm>
                          <a:prstGeom prst="rect">
                            <a:avLst/>
                          </a:prstGeom>
                        </pic:spPr>
                      </pic:pic>
                      <pic:pic xmlns:pic="http://schemas.openxmlformats.org/drawingml/2006/picture">
                        <pic:nvPicPr>
                          <pic:cNvPr id="561" name="Image 557"/>
                          <pic:cNvPicPr/>
                        </pic:nvPicPr>
                        <pic:blipFill>
                          <a:blip r:embed="rId87" cstate="print"/>
                          <a:stretch>
                            <a:fillRect/>
                          </a:stretch>
                        </pic:blipFill>
                        <pic:spPr>
                          <a:xfrm>
                            <a:off x="1419892" y="4971604"/>
                            <a:ext cx="6769" cy="127698"/>
                          </a:xfrm>
                          <a:prstGeom prst="rect">
                            <a:avLst/>
                          </a:prstGeom>
                        </pic:spPr>
                      </pic:pic>
                      <pic:pic xmlns:pic="http://schemas.openxmlformats.org/drawingml/2006/picture">
                        <pic:nvPicPr>
                          <pic:cNvPr id="562" name="Image 558"/>
                          <pic:cNvPicPr/>
                        </pic:nvPicPr>
                        <pic:blipFill>
                          <a:blip r:embed="rId87" cstate="print"/>
                          <a:stretch>
                            <a:fillRect/>
                          </a:stretch>
                        </pic:blipFill>
                        <pic:spPr>
                          <a:xfrm>
                            <a:off x="1419892" y="4702060"/>
                            <a:ext cx="6769" cy="127664"/>
                          </a:xfrm>
                          <a:prstGeom prst="rect">
                            <a:avLst/>
                          </a:prstGeom>
                        </pic:spPr>
                      </pic:pic>
                      <pic:pic xmlns:pic="http://schemas.openxmlformats.org/drawingml/2006/picture">
                        <pic:nvPicPr>
                          <pic:cNvPr id="563" name="Image 559"/>
                          <pic:cNvPicPr/>
                        </pic:nvPicPr>
                        <pic:blipFill>
                          <a:blip r:embed="rId87" cstate="print"/>
                          <a:stretch>
                            <a:fillRect/>
                          </a:stretch>
                        </pic:blipFill>
                        <pic:spPr>
                          <a:xfrm>
                            <a:off x="1419892" y="4432515"/>
                            <a:ext cx="6769" cy="127664"/>
                          </a:xfrm>
                          <a:prstGeom prst="rect">
                            <a:avLst/>
                          </a:prstGeom>
                        </pic:spPr>
                      </pic:pic>
                      <pic:pic xmlns:pic="http://schemas.openxmlformats.org/drawingml/2006/picture">
                        <pic:nvPicPr>
                          <pic:cNvPr id="564" name="Image 560"/>
                          <pic:cNvPicPr/>
                        </pic:nvPicPr>
                        <pic:blipFill>
                          <a:blip r:embed="rId86" cstate="print"/>
                          <a:stretch>
                            <a:fillRect/>
                          </a:stretch>
                        </pic:blipFill>
                        <pic:spPr>
                          <a:xfrm>
                            <a:off x="1419892" y="4162938"/>
                            <a:ext cx="6769" cy="127698"/>
                          </a:xfrm>
                          <a:prstGeom prst="rect">
                            <a:avLst/>
                          </a:prstGeom>
                        </pic:spPr>
                      </pic:pic>
                      <pic:pic xmlns:pic="http://schemas.openxmlformats.org/drawingml/2006/picture">
                        <pic:nvPicPr>
                          <pic:cNvPr id="565" name="Image 561"/>
                          <pic:cNvPicPr/>
                        </pic:nvPicPr>
                        <pic:blipFill>
                          <a:blip r:embed="rId87" cstate="print"/>
                          <a:stretch>
                            <a:fillRect/>
                          </a:stretch>
                        </pic:blipFill>
                        <pic:spPr>
                          <a:xfrm>
                            <a:off x="3430660" y="5523215"/>
                            <a:ext cx="6769" cy="127698"/>
                          </a:xfrm>
                          <a:prstGeom prst="rect">
                            <a:avLst/>
                          </a:prstGeom>
                        </pic:spPr>
                      </pic:pic>
                      <pic:pic xmlns:pic="http://schemas.openxmlformats.org/drawingml/2006/picture">
                        <pic:nvPicPr>
                          <pic:cNvPr id="566" name="Image 562"/>
                          <pic:cNvPicPr/>
                        </pic:nvPicPr>
                        <pic:blipFill>
                          <a:blip r:embed="rId87" cstate="print"/>
                          <a:stretch>
                            <a:fillRect/>
                          </a:stretch>
                        </pic:blipFill>
                        <pic:spPr>
                          <a:xfrm>
                            <a:off x="3430660" y="5253671"/>
                            <a:ext cx="6769" cy="127664"/>
                          </a:xfrm>
                          <a:prstGeom prst="rect">
                            <a:avLst/>
                          </a:prstGeom>
                        </pic:spPr>
                      </pic:pic>
                      <pic:pic xmlns:pic="http://schemas.openxmlformats.org/drawingml/2006/picture">
                        <pic:nvPicPr>
                          <pic:cNvPr id="567" name="Image 563"/>
                          <pic:cNvPicPr/>
                        </pic:nvPicPr>
                        <pic:blipFill>
                          <a:blip r:embed="rId87" cstate="print"/>
                          <a:stretch>
                            <a:fillRect/>
                          </a:stretch>
                        </pic:blipFill>
                        <pic:spPr>
                          <a:xfrm>
                            <a:off x="3430660" y="4984127"/>
                            <a:ext cx="6769" cy="127664"/>
                          </a:xfrm>
                          <a:prstGeom prst="rect">
                            <a:avLst/>
                          </a:prstGeom>
                        </pic:spPr>
                      </pic:pic>
                      <pic:pic xmlns:pic="http://schemas.openxmlformats.org/drawingml/2006/picture">
                        <pic:nvPicPr>
                          <pic:cNvPr id="568" name="Image 564"/>
                          <pic:cNvPicPr/>
                        </pic:nvPicPr>
                        <pic:blipFill>
                          <a:blip r:embed="rId86" cstate="print"/>
                          <a:stretch>
                            <a:fillRect/>
                          </a:stretch>
                        </pic:blipFill>
                        <pic:spPr>
                          <a:xfrm>
                            <a:off x="3430660" y="3366794"/>
                            <a:ext cx="6769" cy="127664"/>
                          </a:xfrm>
                          <a:prstGeom prst="rect">
                            <a:avLst/>
                          </a:prstGeom>
                        </pic:spPr>
                      </pic:pic>
                      <pic:pic xmlns:pic="http://schemas.openxmlformats.org/drawingml/2006/picture">
                        <pic:nvPicPr>
                          <pic:cNvPr id="569" name="Image 565"/>
                          <pic:cNvPicPr/>
                        </pic:nvPicPr>
                        <pic:blipFill>
                          <a:blip r:embed="rId87" cstate="print"/>
                          <a:stretch>
                            <a:fillRect/>
                          </a:stretch>
                        </pic:blipFill>
                        <pic:spPr>
                          <a:xfrm>
                            <a:off x="3430660" y="3097216"/>
                            <a:ext cx="6769" cy="127698"/>
                          </a:xfrm>
                          <a:prstGeom prst="rect">
                            <a:avLst/>
                          </a:prstGeom>
                        </pic:spPr>
                      </pic:pic>
                      <pic:pic xmlns:pic="http://schemas.openxmlformats.org/drawingml/2006/picture">
                        <pic:nvPicPr>
                          <pic:cNvPr id="570" name="Image 566"/>
                          <pic:cNvPicPr/>
                        </pic:nvPicPr>
                        <pic:blipFill>
                          <a:blip r:embed="rId87" cstate="print"/>
                          <a:stretch>
                            <a:fillRect/>
                          </a:stretch>
                        </pic:blipFill>
                        <pic:spPr>
                          <a:xfrm>
                            <a:off x="3430660" y="2827672"/>
                            <a:ext cx="6769" cy="127698"/>
                          </a:xfrm>
                          <a:prstGeom prst="rect">
                            <a:avLst/>
                          </a:prstGeom>
                        </pic:spPr>
                      </pic:pic>
                      <pic:pic xmlns:pic="http://schemas.openxmlformats.org/drawingml/2006/picture">
                        <pic:nvPicPr>
                          <pic:cNvPr id="571" name="Image 567"/>
                          <pic:cNvPicPr/>
                        </pic:nvPicPr>
                        <pic:blipFill>
                          <a:blip r:embed="rId87" cstate="print"/>
                          <a:stretch>
                            <a:fillRect/>
                          </a:stretch>
                        </pic:blipFill>
                        <pic:spPr>
                          <a:xfrm>
                            <a:off x="3430660" y="2558124"/>
                            <a:ext cx="6769" cy="127667"/>
                          </a:xfrm>
                          <a:prstGeom prst="rect">
                            <a:avLst/>
                          </a:prstGeom>
                        </pic:spPr>
                      </pic:pic>
                      <pic:pic xmlns:pic="http://schemas.openxmlformats.org/drawingml/2006/picture">
                        <pic:nvPicPr>
                          <pic:cNvPr id="572" name="Image 568"/>
                          <pic:cNvPicPr/>
                        </pic:nvPicPr>
                        <pic:blipFill>
                          <a:blip r:embed="rId85" cstate="print"/>
                          <a:stretch>
                            <a:fillRect/>
                          </a:stretch>
                        </pic:blipFill>
                        <pic:spPr>
                          <a:xfrm>
                            <a:off x="5441411" y="3292334"/>
                            <a:ext cx="6769" cy="127698"/>
                          </a:xfrm>
                          <a:prstGeom prst="rect">
                            <a:avLst/>
                          </a:prstGeom>
                        </pic:spPr>
                      </pic:pic>
                      <pic:pic xmlns:pic="http://schemas.openxmlformats.org/drawingml/2006/picture">
                        <pic:nvPicPr>
                          <pic:cNvPr id="573" name="Image 569"/>
                          <pic:cNvPicPr/>
                        </pic:nvPicPr>
                        <pic:blipFill>
                          <a:blip r:embed="rId85" cstate="print"/>
                          <a:stretch>
                            <a:fillRect/>
                          </a:stretch>
                        </pic:blipFill>
                        <pic:spPr>
                          <a:xfrm>
                            <a:off x="5441411" y="3561878"/>
                            <a:ext cx="6769" cy="127698"/>
                          </a:xfrm>
                          <a:prstGeom prst="rect">
                            <a:avLst/>
                          </a:prstGeom>
                        </pic:spPr>
                      </pic:pic>
                      <pic:pic xmlns:pic="http://schemas.openxmlformats.org/drawingml/2006/picture">
                        <pic:nvPicPr>
                          <pic:cNvPr id="574" name="Image 570"/>
                          <pic:cNvPicPr/>
                        </pic:nvPicPr>
                        <pic:blipFill>
                          <a:blip r:embed="rId88" cstate="print"/>
                          <a:stretch>
                            <a:fillRect/>
                          </a:stretch>
                        </pic:blipFill>
                        <pic:spPr>
                          <a:xfrm>
                            <a:off x="5441411" y="5448789"/>
                            <a:ext cx="6769" cy="127664"/>
                          </a:xfrm>
                          <a:prstGeom prst="rect">
                            <a:avLst/>
                          </a:prstGeom>
                        </pic:spPr>
                      </pic:pic>
                      <pic:pic xmlns:pic="http://schemas.openxmlformats.org/drawingml/2006/picture">
                        <pic:nvPicPr>
                          <pic:cNvPr id="575" name="Image 571"/>
                          <pic:cNvPicPr/>
                        </pic:nvPicPr>
                        <pic:blipFill>
                          <a:blip r:embed="rId89" cstate="print"/>
                          <a:stretch>
                            <a:fillRect/>
                          </a:stretch>
                        </pic:blipFill>
                        <pic:spPr>
                          <a:xfrm>
                            <a:off x="5110776" y="2798057"/>
                            <a:ext cx="6092" cy="127664"/>
                          </a:xfrm>
                          <a:prstGeom prst="rect">
                            <a:avLst/>
                          </a:prstGeom>
                        </pic:spPr>
                      </pic:pic>
                      <pic:pic xmlns:pic="http://schemas.openxmlformats.org/drawingml/2006/picture">
                        <pic:nvPicPr>
                          <pic:cNvPr id="576" name="Image 572"/>
                          <pic:cNvPicPr/>
                        </pic:nvPicPr>
                        <pic:blipFill>
                          <a:blip r:embed="rId90" cstate="print"/>
                          <a:stretch>
                            <a:fillRect/>
                          </a:stretch>
                        </pic:blipFill>
                        <pic:spPr>
                          <a:xfrm>
                            <a:off x="5110776" y="3067601"/>
                            <a:ext cx="6092" cy="127698"/>
                          </a:xfrm>
                          <a:prstGeom prst="rect">
                            <a:avLst/>
                          </a:prstGeom>
                        </pic:spPr>
                      </pic:pic>
                      <pic:pic xmlns:pic="http://schemas.openxmlformats.org/drawingml/2006/picture">
                        <pic:nvPicPr>
                          <pic:cNvPr id="577" name="Image 573"/>
                          <pic:cNvPicPr/>
                        </pic:nvPicPr>
                        <pic:blipFill>
                          <a:blip r:embed="rId89" cstate="print"/>
                          <a:stretch>
                            <a:fillRect/>
                          </a:stretch>
                        </pic:blipFill>
                        <pic:spPr>
                          <a:xfrm>
                            <a:off x="5110776" y="3337179"/>
                            <a:ext cx="6092" cy="127664"/>
                          </a:xfrm>
                          <a:prstGeom prst="rect">
                            <a:avLst/>
                          </a:prstGeom>
                        </pic:spPr>
                      </pic:pic>
                      <pic:pic xmlns:pic="http://schemas.openxmlformats.org/drawingml/2006/picture">
                        <pic:nvPicPr>
                          <pic:cNvPr id="578" name="Image 574"/>
                          <pic:cNvPicPr/>
                        </pic:nvPicPr>
                        <pic:blipFill>
                          <a:blip r:embed="rId89" cstate="print"/>
                          <a:stretch>
                            <a:fillRect/>
                          </a:stretch>
                        </pic:blipFill>
                        <pic:spPr>
                          <a:xfrm>
                            <a:off x="5110776" y="3606724"/>
                            <a:ext cx="6092" cy="127664"/>
                          </a:xfrm>
                          <a:prstGeom prst="rect">
                            <a:avLst/>
                          </a:prstGeom>
                        </pic:spPr>
                      </pic:pic>
                      <pic:pic xmlns:pic="http://schemas.openxmlformats.org/drawingml/2006/picture">
                        <pic:nvPicPr>
                          <pic:cNvPr id="579" name="Image 575"/>
                          <pic:cNvPicPr/>
                        </pic:nvPicPr>
                        <pic:blipFill>
                          <a:blip r:embed="rId89" cstate="print"/>
                          <a:stretch>
                            <a:fillRect/>
                          </a:stretch>
                        </pic:blipFill>
                        <pic:spPr>
                          <a:xfrm>
                            <a:off x="5110776" y="5224056"/>
                            <a:ext cx="6092" cy="127664"/>
                          </a:xfrm>
                          <a:prstGeom prst="rect">
                            <a:avLst/>
                          </a:prstGeom>
                        </pic:spPr>
                      </pic:pic>
                      <pic:pic xmlns:pic="http://schemas.openxmlformats.org/drawingml/2006/picture">
                        <pic:nvPicPr>
                          <pic:cNvPr id="580" name="Image 576"/>
                          <pic:cNvPicPr/>
                        </pic:nvPicPr>
                        <pic:blipFill>
                          <a:blip r:embed="rId89" cstate="print"/>
                          <a:stretch>
                            <a:fillRect/>
                          </a:stretch>
                        </pic:blipFill>
                        <pic:spPr>
                          <a:xfrm>
                            <a:off x="5110776" y="5493600"/>
                            <a:ext cx="6092" cy="127664"/>
                          </a:xfrm>
                          <a:prstGeom prst="rect">
                            <a:avLst/>
                          </a:prstGeom>
                        </pic:spPr>
                      </pic:pic>
                      <pic:pic xmlns:pic="http://schemas.openxmlformats.org/drawingml/2006/picture">
                        <pic:nvPicPr>
                          <pic:cNvPr id="581" name="Image 577"/>
                          <pic:cNvPicPr/>
                        </pic:nvPicPr>
                        <pic:blipFill>
                          <a:blip r:embed="rId91" cstate="print"/>
                          <a:stretch>
                            <a:fillRect/>
                          </a:stretch>
                        </pic:blipFill>
                        <pic:spPr>
                          <a:xfrm>
                            <a:off x="5107899" y="6302267"/>
                            <a:ext cx="11845" cy="411525"/>
                          </a:xfrm>
                          <a:prstGeom prst="rect">
                            <a:avLst/>
                          </a:prstGeom>
                        </pic:spPr>
                      </pic:pic>
                      <wps:wsp>
                        <wps:cNvPr id="582" name="Textbox 578"/>
                        <wps:cNvSpPr txBox="1"/>
                        <wps:spPr>
                          <a:xfrm>
                            <a:off x="10731479" y="6595335"/>
                            <a:ext cx="1513205" cy="284480"/>
                          </a:xfrm>
                          <a:prstGeom prst="rect">
                            <a:avLst/>
                          </a:prstGeom>
                        </wps:spPr>
                        <wps:txbx>
                          <w:txbxContent>
                            <w:p w:rsidR="00883FED" w:rsidRDefault="00883FED">
                              <w:pPr>
                                <w:spacing w:line="101" w:lineRule="exact"/>
                                <w:rPr>
                                  <w:rFonts w:ascii="Cambria"/>
                                  <w:sz w:val="10"/>
                                </w:rPr>
                              </w:pPr>
                              <w:r>
                                <w:rPr>
                                  <w:rFonts w:ascii="Cambria"/>
                                  <w:sz w:val="10"/>
                                </w:rPr>
                                <w:t>150mm</w:t>
                              </w:r>
                              <w:r>
                                <w:rPr>
                                  <w:rFonts w:ascii="Cambria"/>
                                  <w:spacing w:val="1"/>
                                  <w:sz w:val="10"/>
                                </w:rPr>
                                <w:t xml:space="preserve"> </w:t>
                              </w:r>
                              <w:r>
                                <w:rPr>
                                  <w:rFonts w:ascii="Cambria"/>
                                  <w:sz w:val="10"/>
                                </w:rPr>
                                <w:t>thick</w:t>
                              </w:r>
                              <w:r>
                                <w:rPr>
                                  <w:rFonts w:ascii="Cambria"/>
                                  <w:spacing w:val="1"/>
                                  <w:sz w:val="10"/>
                                </w:rPr>
                                <w:t xml:space="preserve"> </w:t>
                              </w:r>
                              <w:r>
                                <w:rPr>
                                  <w:rFonts w:ascii="Cambria"/>
                                  <w:sz w:val="10"/>
                                </w:rPr>
                                <w:t>RC</w:t>
                              </w:r>
                              <w:r>
                                <w:rPr>
                                  <w:rFonts w:ascii="Cambria"/>
                                  <w:spacing w:val="-1"/>
                                  <w:sz w:val="10"/>
                                </w:rPr>
                                <w:t xml:space="preserve"> </w:t>
                              </w:r>
                              <w:r>
                                <w:rPr>
                                  <w:rFonts w:ascii="Cambria"/>
                                  <w:sz w:val="10"/>
                                </w:rPr>
                                <w:t>Slab</w:t>
                              </w:r>
                              <w:r>
                                <w:rPr>
                                  <w:rFonts w:ascii="Cambria"/>
                                  <w:spacing w:val="1"/>
                                  <w:sz w:val="10"/>
                                </w:rPr>
                                <w:t xml:space="preserve"> </w:t>
                              </w:r>
                              <w:r>
                                <w:rPr>
                                  <w:rFonts w:ascii="Cambria"/>
                                  <w:sz w:val="10"/>
                                </w:rPr>
                                <w:t>to SE's</w:t>
                              </w:r>
                              <w:r>
                                <w:rPr>
                                  <w:rFonts w:ascii="Cambria"/>
                                  <w:spacing w:val="1"/>
                                  <w:sz w:val="10"/>
                                </w:rPr>
                                <w:t xml:space="preserve"> </w:t>
                              </w:r>
                              <w:r>
                                <w:rPr>
                                  <w:rFonts w:ascii="Cambria"/>
                                  <w:spacing w:val="-2"/>
                                  <w:sz w:val="10"/>
                                </w:rPr>
                                <w:t>Details</w:t>
                              </w:r>
                            </w:p>
                            <w:p w:rsidR="00883FED" w:rsidRDefault="00883FED">
                              <w:pPr>
                                <w:spacing w:before="111"/>
                                <w:rPr>
                                  <w:rFonts w:ascii="Cambria"/>
                                  <w:sz w:val="10"/>
                                </w:rPr>
                              </w:pPr>
                            </w:p>
                            <w:p w:rsidR="00883FED" w:rsidRDefault="00883FED">
                              <w:pPr>
                                <w:ind w:left="722"/>
                                <w:rPr>
                                  <w:rFonts w:ascii="Cambria"/>
                                  <w:sz w:val="10"/>
                                </w:rPr>
                              </w:pPr>
                              <w:r>
                                <w:rPr>
                                  <w:rFonts w:ascii="Cambria"/>
                                  <w:sz w:val="10"/>
                                </w:rPr>
                                <w:t>200</w:t>
                              </w:r>
                              <w:r>
                                <w:rPr>
                                  <w:rFonts w:ascii="Cambria"/>
                                  <w:spacing w:val="1"/>
                                  <w:sz w:val="10"/>
                                </w:rPr>
                                <w:t xml:space="preserve"> </w:t>
                              </w:r>
                              <w:r>
                                <w:rPr>
                                  <w:rFonts w:ascii="Cambria"/>
                                  <w:sz w:val="10"/>
                                </w:rPr>
                                <w:t>x</w:t>
                              </w:r>
                              <w:r>
                                <w:rPr>
                                  <w:rFonts w:ascii="Cambria"/>
                                  <w:spacing w:val="1"/>
                                  <w:sz w:val="10"/>
                                </w:rPr>
                                <w:t xml:space="preserve"> </w:t>
                              </w:r>
                              <w:r>
                                <w:rPr>
                                  <w:rFonts w:ascii="Cambria"/>
                                  <w:sz w:val="10"/>
                                </w:rPr>
                                <w:t>450mm</w:t>
                              </w:r>
                              <w:r>
                                <w:rPr>
                                  <w:rFonts w:ascii="Cambria"/>
                                  <w:spacing w:val="2"/>
                                  <w:sz w:val="10"/>
                                </w:rPr>
                                <w:t xml:space="preserve"> </w:t>
                              </w:r>
                              <w:r>
                                <w:rPr>
                                  <w:rFonts w:ascii="Cambria"/>
                                  <w:sz w:val="10"/>
                                </w:rPr>
                                <w:t>RC</w:t>
                              </w:r>
                              <w:r>
                                <w:rPr>
                                  <w:rFonts w:ascii="Cambria"/>
                                  <w:spacing w:val="-1"/>
                                  <w:sz w:val="10"/>
                                </w:rPr>
                                <w:t xml:space="preserve"> </w:t>
                              </w:r>
                              <w:r>
                                <w:rPr>
                                  <w:rFonts w:ascii="Cambria"/>
                                  <w:sz w:val="10"/>
                                </w:rPr>
                                <w:t>Beam</w:t>
                              </w:r>
                              <w:r>
                                <w:rPr>
                                  <w:rFonts w:ascii="Cambria"/>
                                  <w:spacing w:val="1"/>
                                  <w:sz w:val="10"/>
                                </w:rPr>
                                <w:t xml:space="preserve"> </w:t>
                              </w:r>
                              <w:r>
                                <w:rPr>
                                  <w:rFonts w:ascii="Cambria"/>
                                  <w:sz w:val="10"/>
                                </w:rPr>
                                <w:t>to</w:t>
                              </w:r>
                              <w:r>
                                <w:rPr>
                                  <w:rFonts w:ascii="Cambria"/>
                                  <w:spacing w:val="1"/>
                                  <w:sz w:val="10"/>
                                </w:rPr>
                                <w:t xml:space="preserve"> </w:t>
                              </w:r>
                              <w:r>
                                <w:rPr>
                                  <w:rFonts w:ascii="Cambria"/>
                                  <w:sz w:val="10"/>
                                </w:rPr>
                                <w:t>SE's</w:t>
                              </w:r>
                              <w:r>
                                <w:rPr>
                                  <w:rFonts w:ascii="Cambria"/>
                                  <w:spacing w:val="1"/>
                                  <w:sz w:val="10"/>
                                </w:rPr>
                                <w:t xml:space="preserve"> </w:t>
                              </w:r>
                              <w:r>
                                <w:rPr>
                                  <w:rFonts w:ascii="Cambria"/>
                                  <w:spacing w:val="-2"/>
                                  <w:sz w:val="10"/>
                                </w:rPr>
                                <w:t>details</w:t>
                              </w:r>
                            </w:p>
                          </w:txbxContent>
                        </wps:txbx>
                        <wps:bodyPr wrap="square" lIns="0" tIns="0" rIns="0" bIns="0" rtlCol="0">
                          <a:noAutofit/>
                        </wps:bodyPr>
                      </wps:wsp>
                      <wps:wsp>
                        <wps:cNvPr id="583" name="Textbox 579"/>
                        <wps:cNvSpPr txBox="1"/>
                        <wps:spPr>
                          <a:xfrm>
                            <a:off x="13340846" y="7088542"/>
                            <a:ext cx="1590040" cy="791845"/>
                          </a:xfrm>
                          <a:prstGeom prst="rect">
                            <a:avLst/>
                          </a:prstGeom>
                        </wps:spPr>
                        <wps:txbx>
                          <w:txbxContent>
                            <w:p w:rsidR="00883FED" w:rsidRDefault="00883FED">
                              <w:pPr>
                                <w:spacing w:line="150" w:lineRule="exact"/>
                                <w:ind w:left="1070"/>
                                <w:rPr>
                                  <w:rFonts w:ascii="Cambria"/>
                                  <w:i/>
                                  <w:sz w:val="15"/>
                                </w:rPr>
                              </w:pPr>
                              <w:r>
                                <w:rPr>
                                  <w:rFonts w:ascii="Cambria"/>
                                  <w:i/>
                                  <w:sz w:val="15"/>
                                </w:rPr>
                                <w:t>WALL</w:t>
                              </w:r>
                              <w:r>
                                <w:rPr>
                                  <w:rFonts w:ascii="Cambria"/>
                                  <w:i/>
                                  <w:spacing w:val="-6"/>
                                  <w:sz w:val="15"/>
                                </w:rPr>
                                <w:t xml:space="preserve"> </w:t>
                              </w:r>
                              <w:r>
                                <w:rPr>
                                  <w:rFonts w:ascii="Cambria"/>
                                  <w:i/>
                                  <w:spacing w:val="-2"/>
                                  <w:sz w:val="15"/>
                                </w:rPr>
                                <w:t>SPECIFICATION</w:t>
                              </w:r>
                            </w:p>
                            <w:p w:rsidR="00883FED" w:rsidRDefault="00883FED">
                              <w:pPr>
                                <w:spacing w:before="6" w:line="249" w:lineRule="auto"/>
                                <w:ind w:right="18" w:firstLine="72"/>
                                <w:jc w:val="right"/>
                                <w:rPr>
                                  <w:rFonts w:ascii="Cambria"/>
                                  <w:i/>
                                  <w:sz w:val="15"/>
                                </w:rPr>
                              </w:pPr>
                              <w:r>
                                <w:rPr>
                                  <w:rFonts w:ascii="Cambria"/>
                                  <w:i/>
                                  <w:sz w:val="15"/>
                                </w:rPr>
                                <w:t>200mm thick wall in 1:3 cement/sand</w:t>
                              </w:r>
                              <w:r>
                                <w:rPr>
                                  <w:rFonts w:ascii="Cambria"/>
                                  <w:i/>
                                  <w:spacing w:val="40"/>
                                  <w:sz w:val="15"/>
                                </w:rPr>
                                <w:t xml:space="preserve"> </w:t>
                              </w:r>
                              <w:r>
                                <w:rPr>
                                  <w:rFonts w:ascii="Cambria"/>
                                  <w:i/>
                                  <w:sz w:val="15"/>
                                </w:rPr>
                                <w:t>mortar and plastered and painted with</w:t>
                              </w:r>
                              <w:r>
                                <w:rPr>
                                  <w:rFonts w:ascii="Cambria"/>
                                  <w:i/>
                                  <w:spacing w:val="40"/>
                                  <w:sz w:val="15"/>
                                </w:rPr>
                                <w:t xml:space="preserve"> </w:t>
                              </w:r>
                              <w:r>
                                <w:rPr>
                                  <w:rFonts w:ascii="Cambria"/>
                                  <w:i/>
                                  <w:sz w:val="15"/>
                                </w:rPr>
                                <w:t xml:space="preserve">200mm wide bituminous felt </w:t>
                              </w:r>
                              <w:proofErr w:type="spellStart"/>
                              <w:r>
                                <w:rPr>
                                  <w:rFonts w:ascii="Cambria"/>
                                  <w:i/>
                                  <w:sz w:val="15"/>
                                </w:rPr>
                                <w:t>d.p.c</w:t>
                              </w:r>
                              <w:proofErr w:type="spellEnd"/>
                              <w:r>
                                <w:rPr>
                                  <w:rFonts w:ascii="Cambria"/>
                                  <w:i/>
                                  <w:spacing w:val="40"/>
                                  <w:sz w:val="15"/>
                                </w:rPr>
                                <w:t xml:space="preserve"> </w:t>
                              </w:r>
                              <w:r>
                                <w:rPr>
                                  <w:rFonts w:ascii="Cambria"/>
                                  <w:i/>
                                  <w:sz w:val="15"/>
                                </w:rPr>
                                <w:t xml:space="preserve">placed </w:t>
                              </w:r>
                              <w:proofErr w:type="spellStart"/>
                              <w:r>
                                <w:rPr>
                                  <w:rFonts w:ascii="Cambria"/>
                                  <w:i/>
                                  <w:sz w:val="15"/>
                                </w:rPr>
                                <w:t>underand</w:t>
                              </w:r>
                              <w:proofErr w:type="spellEnd"/>
                              <w:r>
                                <w:rPr>
                                  <w:rFonts w:ascii="Cambria"/>
                                  <w:i/>
                                  <w:sz w:val="15"/>
                                </w:rPr>
                                <w:t xml:space="preserve"> 25mm hoop iron for</w:t>
                              </w:r>
                              <w:r>
                                <w:rPr>
                                  <w:rFonts w:ascii="Cambria"/>
                                  <w:i/>
                                  <w:spacing w:val="40"/>
                                  <w:sz w:val="15"/>
                                </w:rPr>
                                <w:t xml:space="preserve"> </w:t>
                              </w:r>
                              <w:r>
                                <w:rPr>
                                  <w:rFonts w:ascii="Cambria"/>
                                  <w:i/>
                                  <w:sz w:val="15"/>
                                </w:rPr>
                                <w:t>walls for walls under 200mm to</w:t>
                              </w:r>
                            </w:p>
                            <w:p w:rsidR="00883FED" w:rsidRDefault="00883FED">
                              <w:pPr>
                                <w:spacing w:line="172" w:lineRule="exact"/>
                                <w:ind w:right="18"/>
                                <w:jc w:val="right"/>
                                <w:rPr>
                                  <w:rFonts w:ascii="Cambria"/>
                                  <w:i/>
                                  <w:sz w:val="15"/>
                                </w:rPr>
                              </w:pPr>
                              <w:r>
                                <w:rPr>
                                  <w:rFonts w:ascii="Cambria"/>
                                  <w:i/>
                                  <w:sz w:val="15"/>
                                </w:rPr>
                                <w:t>Architect's</w:t>
                              </w:r>
                              <w:r>
                                <w:rPr>
                                  <w:rFonts w:ascii="Cambria"/>
                                  <w:i/>
                                  <w:spacing w:val="3"/>
                                  <w:sz w:val="15"/>
                                </w:rPr>
                                <w:t xml:space="preserve"> </w:t>
                              </w:r>
                              <w:r>
                                <w:rPr>
                                  <w:rFonts w:ascii="Cambria"/>
                                  <w:i/>
                                  <w:spacing w:val="-2"/>
                                  <w:sz w:val="15"/>
                                </w:rPr>
                                <w:t>approval.</w:t>
                              </w:r>
                            </w:p>
                          </w:txbxContent>
                        </wps:txbx>
                        <wps:bodyPr wrap="square" lIns="0" tIns="0" rIns="0" bIns="0" rtlCol="0">
                          <a:noAutofit/>
                        </wps:bodyPr>
                      </wps:wsp>
                      <wps:wsp>
                        <wps:cNvPr id="584" name="Textbox 580"/>
                        <wps:cNvSpPr txBox="1"/>
                        <wps:spPr>
                          <a:xfrm>
                            <a:off x="8837443" y="9212165"/>
                            <a:ext cx="2056130" cy="582295"/>
                          </a:xfrm>
                          <a:prstGeom prst="rect">
                            <a:avLst/>
                          </a:prstGeom>
                        </wps:spPr>
                        <wps:txbx>
                          <w:txbxContent>
                            <w:p w:rsidR="00883FED" w:rsidRDefault="00883FED">
                              <w:pPr>
                                <w:spacing w:before="9"/>
                                <w:ind w:left="2111"/>
                                <w:rPr>
                                  <w:rFonts w:ascii="Cambria"/>
                                  <w:b/>
                                  <w:sz w:val="15"/>
                                </w:rPr>
                              </w:pPr>
                              <w:r>
                                <w:rPr>
                                  <w:rFonts w:ascii="Cambria"/>
                                  <w:b/>
                                  <w:sz w:val="15"/>
                                </w:rPr>
                                <w:t>STRIP</w:t>
                              </w:r>
                              <w:r>
                                <w:rPr>
                                  <w:rFonts w:ascii="Cambria"/>
                                  <w:b/>
                                  <w:spacing w:val="5"/>
                                  <w:sz w:val="15"/>
                                </w:rPr>
                                <w:t xml:space="preserve"> </w:t>
                              </w:r>
                              <w:r>
                                <w:rPr>
                                  <w:rFonts w:ascii="Cambria"/>
                                  <w:b/>
                                  <w:spacing w:val="-2"/>
                                  <w:sz w:val="15"/>
                                </w:rPr>
                                <w:t>FOOTING</w:t>
                              </w:r>
                            </w:p>
                            <w:p w:rsidR="00883FED" w:rsidRDefault="00883FED">
                              <w:pPr>
                                <w:spacing w:line="249" w:lineRule="auto"/>
                                <w:ind w:left="142" w:right="18" w:hanging="143"/>
                                <w:jc w:val="right"/>
                                <w:rPr>
                                  <w:rFonts w:ascii="Cambria" w:eastAsia="Cambria" w:hAnsi="Cambria" w:cs="Cambria"/>
                                  <w:i/>
                                  <w:iCs/>
                                  <w:sz w:val="15"/>
                                  <w:szCs w:val="15"/>
                                </w:rPr>
                              </w:pPr>
                              <w:r>
                                <w:rPr>
                                  <w:rFonts w:ascii="Cambria" w:eastAsia="Cambria" w:hAnsi="Cambria" w:cs="Cambria"/>
                                  <w:i/>
                                  <w:iCs/>
                                  <w:sz w:val="15"/>
                                  <w:szCs w:val="15"/>
                                </w:rPr>
                                <w:t xml:space="preserve">600X250mm 1:2:4 </w:t>
                              </w:r>
                              <w:proofErr w:type="spellStart"/>
                              <w:r>
                                <w:rPr>
                                  <w:rFonts w:ascii="Cambria" w:eastAsia="Cambria" w:hAnsi="Cambria" w:cs="Cambria"/>
                                  <w:i/>
                                  <w:iCs/>
                                  <w:sz w:val="15"/>
                                  <w:szCs w:val="15"/>
                                </w:rPr>
                                <w:t>r.c</w:t>
                              </w:r>
                              <w:proofErr w:type="spellEnd"/>
                              <w:r>
                                <w:rPr>
                                  <w:rFonts w:ascii="Cambria" w:eastAsia="Cambria" w:hAnsi="Cambria" w:cs="Cambria"/>
                                  <w:i/>
                                  <w:iCs/>
                                  <w:spacing w:val="-4"/>
                                  <w:sz w:val="15"/>
                                  <w:szCs w:val="15"/>
                                </w:rPr>
                                <w:t xml:space="preserve"> </w:t>
                              </w:r>
                              <w:r>
                                <w:rPr>
                                  <w:rFonts w:ascii="Cambria" w:eastAsia="Cambria" w:hAnsi="Cambria" w:cs="Cambria"/>
                                  <w:i/>
                                  <w:iCs/>
                                  <w:sz w:val="15"/>
                                  <w:szCs w:val="15"/>
                                </w:rPr>
                                <w:t>strip footing 200mm thick to</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SE's details on 50mm thick 1:4:8 weak </w:t>
                              </w:r>
                              <w:proofErr w:type="spellStart"/>
                              <w:r>
                                <w:rPr>
                                  <w:rFonts w:ascii="Cambria" w:eastAsia="Cambria" w:hAnsi="Cambria" w:cs="Cambria"/>
                                  <w:i/>
                                  <w:iCs/>
                                  <w:sz w:val="15"/>
                                  <w:szCs w:val="15"/>
                                </w:rPr>
                                <w:t>cocncrete</w:t>
                              </w:r>
                              <w:proofErr w:type="spellEnd"/>
                              <w:r>
                                <w:rPr>
                                  <w:rFonts w:ascii="Cambria" w:eastAsia="Cambria" w:hAnsi="Cambria" w:cs="Cambria"/>
                                  <w:i/>
                                  <w:iCs/>
                                  <w:spacing w:val="40"/>
                                  <w:sz w:val="15"/>
                                  <w:szCs w:val="15"/>
                                </w:rPr>
                                <w:t xml:space="preserve"> </w:t>
                              </w:r>
                              <w:r>
                                <w:rPr>
                                  <w:rFonts w:ascii="Cambria" w:eastAsia="Cambria" w:hAnsi="Cambria" w:cs="Cambria"/>
                                  <w:i/>
                                  <w:iCs/>
                                  <w:sz w:val="15"/>
                                  <w:szCs w:val="15"/>
                                </w:rPr>
                                <w:t>blinding</w:t>
                              </w:r>
                              <w:r>
                                <w:rPr>
                                  <w:rFonts w:ascii="Cambria" w:eastAsia="Cambria" w:hAnsi="Cambria" w:cs="Cambria"/>
                                  <w:i/>
                                  <w:iCs/>
                                  <w:spacing w:val="-2"/>
                                  <w:sz w:val="15"/>
                                  <w:szCs w:val="15"/>
                                </w:rPr>
                                <w:t xml:space="preserve"> </w:t>
                              </w:r>
                              <w:r>
                                <w:rPr>
                                  <w:rFonts w:ascii="Cambria" w:eastAsia="Cambria" w:hAnsi="Cambria" w:cs="Cambria"/>
                                  <w:i/>
                                  <w:iCs/>
                                  <w:sz w:val="15"/>
                                  <w:szCs w:val="15"/>
                                </w:rPr>
                                <w:t>on</w:t>
                              </w:r>
                              <w:r>
                                <w:rPr>
                                  <w:rFonts w:ascii="Cambria" w:eastAsia="Cambria" w:hAnsi="Cambria" w:cs="Cambria"/>
                                  <w:i/>
                                  <w:iCs/>
                                  <w:spacing w:val="-2"/>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pacing w:val="-1"/>
                                  <w:sz w:val="15"/>
                                  <w:szCs w:val="15"/>
                                </w:rPr>
                                <w:t xml:space="preserve"> </w:t>
                              </w:r>
                              <w:r>
                                <w:rPr>
                                  <w:rFonts w:ascii="Cambria" w:eastAsia="Cambria" w:hAnsi="Cambria" w:cs="Cambria"/>
                                  <w:i/>
                                  <w:iCs/>
                                  <w:sz w:val="15"/>
                                  <w:szCs w:val="15"/>
                                </w:rPr>
                                <w:t>base</w:t>
                              </w:r>
                              <w:r>
                                <w:rPr>
                                  <w:rFonts w:ascii="Cambria" w:eastAsia="Cambria" w:hAnsi="Cambria" w:cs="Cambria"/>
                                  <w:i/>
                                  <w:iCs/>
                                  <w:spacing w:val="-1"/>
                                  <w:sz w:val="15"/>
                                  <w:szCs w:val="15"/>
                                </w:rPr>
                                <w:t xml:space="preserve"> </w:t>
                              </w:r>
                              <w:r>
                                <w:rPr>
                                  <w:rFonts w:ascii="Cambria" w:eastAsia="Cambria" w:hAnsi="Cambria" w:cs="Cambria"/>
                                  <w:i/>
                                  <w:iCs/>
                                  <w:sz w:val="15"/>
                                  <w:szCs w:val="15"/>
                                </w:rPr>
                                <w:t>free</w:t>
                              </w:r>
                              <w:r>
                                <w:rPr>
                                  <w:rFonts w:ascii="Cambria" w:eastAsia="Cambria" w:hAnsi="Cambria" w:cs="Cambria"/>
                                  <w:i/>
                                  <w:iCs/>
                                  <w:spacing w:val="-3"/>
                                  <w:sz w:val="15"/>
                                  <w:szCs w:val="15"/>
                                </w:rPr>
                                <w:t xml:space="preserve"> </w:t>
                              </w:r>
                              <w:r>
                                <w:rPr>
                                  <w:rFonts w:ascii="Cambria" w:eastAsia="Cambria" w:hAnsi="Cambria" w:cs="Cambria"/>
                                  <w:i/>
                                  <w:iCs/>
                                  <w:sz w:val="15"/>
                                  <w:szCs w:val="15"/>
                                </w:rPr>
                                <w:t>from</w:t>
                              </w:r>
                              <w:r>
                                <w:rPr>
                                  <w:rFonts w:ascii="Cambria" w:eastAsia="Cambria" w:hAnsi="Cambria" w:cs="Cambria"/>
                                  <w:i/>
                                  <w:iCs/>
                                  <w:spacing w:val="-3"/>
                                  <w:sz w:val="15"/>
                                  <w:szCs w:val="15"/>
                                </w:rPr>
                                <w:t xml:space="preserve"> </w:t>
                              </w:r>
                              <w:r>
                                <w:rPr>
                                  <w:rFonts w:ascii="Cambria" w:eastAsia="Cambria" w:hAnsi="Cambria" w:cs="Cambria"/>
                                  <w:i/>
                                  <w:iCs/>
                                  <w:sz w:val="15"/>
                                  <w:szCs w:val="15"/>
                                </w:rPr>
                                <w:t>black</w:t>
                              </w:r>
                              <w:r>
                                <w:rPr>
                                  <w:rFonts w:ascii="Cambria" w:eastAsia="Cambria" w:hAnsi="Cambria" w:cs="Cambria"/>
                                  <w:i/>
                                  <w:iCs/>
                                  <w:spacing w:val="-2"/>
                                  <w:sz w:val="15"/>
                                  <w:szCs w:val="15"/>
                                </w:rPr>
                                <w:t xml:space="preserve"> </w:t>
                              </w:r>
                              <w:r>
                                <w:rPr>
                                  <w:rFonts w:ascii="Cambria" w:eastAsia="Cambria" w:hAnsi="Cambria" w:cs="Cambria"/>
                                  <w:i/>
                                  <w:iCs/>
                                  <w:sz w:val="15"/>
                                  <w:szCs w:val="15"/>
                                </w:rPr>
                                <w:t>cotton</w:t>
                              </w:r>
                              <w:r>
                                <w:rPr>
                                  <w:rFonts w:ascii="Cambria" w:eastAsia="Cambria" w:hAnsi="Cambria" w:cs="Cambria"/>
                                  <w:i/>
                                  <w:iCs/>
                                  <w:spacing w:val="-3"/>
                                  <w:sz w:val="15"/>
                                  <w:szCs w:val="15"/>
                                </w:rPr>
                                <w:t xml:space="preserve"> </w:t>
                              </w:r>
                              <w:r>
                                <w:rPr>
                                  <w:rFonts w:ascii="Cambria" w:eastAsia="Cambria" w:hAnsi="Cambria" w:cs="Cambria"/>
                                  <w:i/>
                                  <w:iCs/>
                                  <w:sz w:val="15"/>
                                  <w:szCs w:val="15"/>
                                </w:rPr>
                                <w:t>soil.</w:t>
                              </w:r>
                              <w:r>
                                <w:rPr>
                                  <w:rFonts w:ascii="Cambria" w:eastAsia="Cambria" w:hAnsi="Cambria" w:cs="Cambria"/>
                                  <w:i/>
                                  <w:iCs/>
                                  <w:spacing w:val="40"/>
                                  <w:sz w:val="15"/>
                                  <w:szCs w:val="15"/>
                                </w:rPr>
                                <w:t xml:space="preserve"> </w:t>
                              </w:r>
                              <w:r>
                                <w:rPr>
                                  <w:rFonts w:ascii="Cambria" w:eastAsia="Cambria" w:hAnsi="Cambria" w:cs="Cambria"/>
                                  <w:i/>
                                  <w:iCs/>
                                  <w:sz w:val="15"/>
                                  <w:szCs w:val="15"/>
                                </w:rPr>
                                <w:t>Depth of foundation to be determined on site.</w:t>
                              </w:r>
                            </w:p>
                          </w:txbxContent>
                        </wps:txbx>
                        <wps:bodyPr wrap="square" lIns="0" tIns="0" rIns="0" bIns="0" rtlCol="0">
                          <a:noAutofit/>
                        </wps:bodyPr>
                      </wps:wsp>
                      <wps:wsp>
                        <wps:cNvPr id="585" name="Textbox 581"/>
                        <wps:cNvSpPr txBox="1"/>
                        <wps:spPr>
                          <a:xfrm>
                            <a:off x="11750931" y="8349955"/>
                            <a:ext cx="3972560" cy="1774825"/>
                          </a:xfrm>
                          <a:prstGeom prst="rect">
                            <a:avLst/>
                          </a:prstGeom>
                        </wps:spPr>
                        <wps:txbx>
                          <w:txbxContent>
                            <w:p w:rsidR="00883FED" w:rsidRDefault="00883FED">
                              <w:pPr>
                                <w:spacing w:line="150" w:lineRule="exact"/>
                                <w:ind w:right="21"/>
                                <w:jc w:val="right"/>
                                <w:rPr>
                                  <w:rFonts w:ascii="Cambria"/>
                                  <w:i/>
                                  <w:sz w:val="15"/>
                                </w:rPr>
                              </w:pPr>
                              <w:r>
                                <w:rPr>
                                  <w:rFonts w:ascii="Cambria"/>
                                  <w:i/>
                                  <w:sz w:val="15"/>
                                </w:rPr>
                                <w:t>PLINTH</w:t>
                              </w:r>
                              <w:r>
                                <w:rPr>
                                  <w:rFonts w:ascii="Cambria"/>
                                  <w:i/>
                                  <w:spacing w:val="6"/>
                                  <w:sz w:val="15"/>
                                </w:rPr>
                                <w:t xml:space="preserve"> </w:t>
                              </w:r>
                              <w:r>
                                <w:rPr>
                                  <w:rFonts w:ascii="Cambria"/>
                                  <w:i/>
                                  <w:sz w:val="15"/>
                                </w:rPr>
                                <w:t>WALL</w:t>
                              </w:r>
                              <w:r>
                                <w:rPr>
                                  <w:rFonts w:ascii="Cambria"/>
                                  <w:i/>
                                  <w:spacing w:val="-7"/>
                                  <w:sz w:val="15"/>
                                </w:rPr>
                                <w:t xml:space="preserve"> </w:t>
                              </w:r>
                              <w:r>
                                <w:rPr>
                                  <w:rFonts w:ascii="Cambria"/>
                                  <w:i/>
                                  <w:spacing w:val="-2"/>
                                  <w:sz w:val="15"/>
                                </w:rPr>
                                <w:t>SPECIFICATION</w:t>
                              </w:r>
                            </w:p>
                            <w:p w:rsidR="00883FED" w:rsidRDefault="00883FED">
                              <w:pPr>
                                <w:spacing w:before="6" w:line="249" w:lineRule="auto"/>
                                <w:ind w:left="2984" w:right="18" w:firstLine="151"/>
                                <w:jc w:val="right"/>
                                <w:rPr>
                                  <w:rFonts w:ascii="Cambria" w:eastAsia="Cambria" w:hAnsi="Cambria" w:cs="Cambria"/>
                                  <w:i/>
                                  <w:iCs/>
                                  <w:sz w:val="15"/>
                                  <w:szCs w:val="15"/>
                                </w:rPr>
                              </w:pPr>
                              <w:r>
                                <w:rPr>
                                  <w:rFonts w:ascii="Cambria" w:eastAsia="Cambria" w:hAnsi="Cambria" w:cs="Cambria"/>
                                  <w:i/>
                                  <w:iCs/>
                                  <w:sz w:val="15"/>
                                  <w:szCs w:val="15"/>
                                </w:rPr>
                                <w:t>200mm thick wall in 1:3 cement/sand mortar on</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600x250mm 1:2:4 </w:t>
                              </w:r>
                              <w:proofErr w:type="spellStart"/>
                              <w:r>
                                <w:rPr>
                                  <w:rFonts w:ascii="Cambria" w:eastAsia="Cambria" w:hAnsi="Cambria" w:cs="Cambria"/>
                                  <w:i/>
                                  <w:iCs/>
                                  <w:sz w:val="15"/>
                                  <w:szCs w:val="15"/>
                                </w:rPr>
                                <w:t>r.c</w:t>
                              </w:r>
                              <w:proofErr w:type="spellEnd"/>
                              <w:r>
                                <w:rPr>
                                  <w:rFonts w:ascii="Cambria" w:eastAsia="Cambria" w:hAnsi="Cambria" w:cs="Cambria"/>
                                  <w:i/>
                                  <w:iCs/>
                                  <w:sz w:val="15"/>
                                  <w:szCs w:val="15"/>
                                </w:rPr>
                                <w:t xml:space="preserve"> strip footing to structural</w:t>
                              </w:r>
                              <w:r>
                                <w:rPr>
                                  <w:rFonts w:ascii="Cambria" w:eastAsia="Cambria" w:hAnsi="Cambria" w:cs="Cambria"/>
                                  <w:i/>
                                  <w:iCs/>
                                  <w:spacing w:val="40"/>
                                  <w:sz w:val="15"/>
                                  <w:szCs w:val="15"/>
                                </w:rPr>
                                <w:t xml:space="preserve"> </w:t>
                              </w:r>
                              <w:r>
                                <w:rPr>
                                  <w:rFonts w:ascii="Cambria" w:eastAsia="Cambria" w:hAnsi="Cambria" w:cs="Cambria"/>
                                  <w:i/>
                                  <w:iCs/>
                                  <w:sz w:val="15"/>
                                  <w:szCs w:val="15"/>
                                </w:rPr>
                                <w:t>Engineer's detail on 50mm thick 1:4:8 Concrete</w:t>
                              </w:r>
                              <w:r>
                                <w:rPr>
                                  <w:rFonts w:ascii="Cambria" w:eastAsia="Cambria" w:hAnsi="Cambria" w:cs="Cambria"/>
                                  <w:i/>
                                  <w:iCs/>
                                  <w:spacing w:val="40"/>
                                  <w:sz w:val="15"/>
                                  <w:szCs w:val="15"/>
                                </w:rPr>
                                <w:t xml:space="preserve"> </w:t>
                              </w:r>
                              <w:r>
                                <w:rPr>
                                  <w:rFonts w:ascii="Cambria" w:eastAsia="Cambria" w:hAnsi="Cambria" w:cs="Cambria"/>
                                  <w:i/>
                                  <w:iCs/>
                                  <w:sz w:val="15"/>
                                  <w:szCs w:val="15"/>
                                </w:rPr>
                                <w:t>blinding</w:t>
                              </w:r>
                              <w:r>
                                <w:rPr>
                                  <w:rFonts w:ascii="Cambria" w:eastAsia="Cambria" w:hAnsi="Cambria" w:cs="Cambria"/>
                                  <w:i/>
                                  <w:iCs/>
                                  <w:spacing w:val="-1"/>
                                  <w:sz w:val="15"/>
                                  <w:szCs w:val="15"/>
                                </w:rPr>
                                <w:t xml:space="preserve"> </w:t>
                              </w:r>
                              <w:r>
                                <w:rPr>
                                  <w:rFonts w:ascii="Cambria" w:eastAsia="Cambria" w:hAnsi="Cambria" w:cs="Cambria"/>
                                  <w:i/>
                                  <w:iCs/>
                                  <w:sz w:val="15"/>
                                  <w:szCs w:val="15"/>
                                </w:rPr>
                                <w:t>on</w:t>
                              </w:r>
                              <w:r>
                                <w:rPr>
                                  <w:rFonts w:ascii="Cambria" w:eastAsia="Cambria" w:hAnsi="Cambria" w:cs="Cambria"/>
                                  <w:i/>
                                  <w:iCs/>
                                  <w:spacing w:val="-1"/>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z w:val="15"/>
                                  <w:szCs w:val="15"/>
                                </w:rPr>
                                <w:t xml:space="preserve"> ground</w:t>
                              </w:r>
                              <w:r>
                                <w:rPr>
                                  <w:rFonts w:ascii="Cambria" w:eastAsia="Cambria" w:hAnsi="Cambria" w:cs="Cambria"/>
                                  <w:i/>
                                  <w:iCs/>
                                  <w:spacing w:val="-1"/>
                                  <w:sz w:val="15"/>
                                  <w:szCs w:val="15"/>
                                </w:rPr>
                                <w:t xml:space="preserve"> </w:t>
                              </w:r>
                              <w:r>
                                <w:rPr>
                                  <w:rFonts w:ascii="Cambria" w:eastAsia="Cambria" w:hAnsi="Cambria" w:cs="Cambria"/>
                                  <w:i/>
                                  <w:iCs/>
                                  <w:sz w:val="15"/>
                                  <w:szCs w:val="15"/>
                                </w:rPr>
                                <w:t>free</w:t>
                              </w:r>
                              <w:r>
                                <w:rPr>
                                  <w:rFonts w:ascii="Cambria" w:eastAsia="Cambria" w:hAnsi="Cambria" w:cs="Cambria"/>
                                  <w:i/>
                                  <w:iCs/>
                                  <w:spacing w:val="-1"/>
                                  <w:sz w:val="15"/>
                                  <w:szCs w:val="15"/>
                                </w:rPr>
                                <w:t xml:space="preserve"> </w:t>
                              </w:r>
                              <w:r>
                                <w:rPr>
                                  <w:rFonts w:ascii="Cambria" w:eastAsia="Cambria" w:hAnsi="Cambria" w:cs="Cambria"/>
                                  <w:i/>
                                  <w:iCs/>
                                  <w:sz w:val="15"/>
                                  <w:szCs w:val="15"/>
                                </w:rPr>
                                <w:t>from</w:t>
                              </w:r>
                              <w:r>
                                <w:rPr>
                                  <w:rFonts w:ascii="Cambria" w:eastAsia="Cambria" w:hAnsi="Cambria" w:cs="Cambria"/>
                                  <w:i/>
                                  <w:iCs/>
                                  <w:spacing w:val="-2"/>
                                  <w:sz w:val="15"/>
                                  <w:szCs w:val="15"/>
                                </w:rPr>
                                <w:t xml:space="preserve"> </w:t>
                              </w:r>
                              <w:r>
                                <w:rPr>
                                  <w:rFonts w:ascii="Cambria" w:eastAsia="Cambria" w:hAnsi="Cambria" w:cs="Cambria"/>
                                  <w:i/>
                                  <w:iCs/>
                                  <w:sz w:val="15"/>
                                  <w:szCs w:val="15"/>
                                </w:rPr>
                                <w:t>black</w:t>
                              </w:r>
                              <w:r>
                                <w:rPr>
                                  <w:rFonts w:ascii="Cambria" w:eastAsia="Cambria" w:hAnsi="Cambria" w:cs="Cambria"/>
                                  <w:i/>
                                  <w:iCs/>
                                  <w:spacing w:val="-1"/>
                                  <w:sz w:val="15"/>
                                  <w:szCs w:val="15"/>
                                </w:rPr>
                                <w:t xml:space="preserve"> </w:t>
                              </w:r>
                              <w:r>
                                <w:rPr>
                                  <w:rFonts w:ascii="Cambria" w:eastAsia="Cambria" w:hAnsi="Cambria" w:cs="Cambria"/>
                                  <w:i/>
                                  <w:iCs/>
                                  <w:sz w:val="15"/>
                                  <w:szCs w:val="15"/>
                                </w:rPr>
                                <w:t>cotton</w:t>
                              </w:r>
                              <w:r>
                                <w:rPr>
                                  <w:rFonts w:ascii="Cambria" w:eastAsia="Cambria" w:hAnsi="Cambria" w:cs="Cambria"/>
                                  <w:i/>
                                  <w:iCs/>
                                  <w:spacing w:val="-1"/>
                                  <w:sz w:val="15"/>
                                  <w:szCs w:val="15"/>
                                </w:rPr>
                                <w:t xml:space="preserve"> </w:t>
                              </w:r>
                              <w:r>
                                <w:rPr>
                                  <w:rFonts w:ascii="Cambria" w:eastAsia="Cambria" w:hAnsi="Cambria" w:cs="Cambria"/>
                                  <w:i/>
                                  <w:iCs/>
                                  <w:sz w:val="15"/>
                                  <w:szCs w:val="15"/>
                                </w:rPr>
                                <w:t>soil.</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12mm wood </w:t>
                              </w:r>
                              <w:proofErr w:type="spellStart"/>
                              <w:r>
                                <w:rPr>
                                  <w:rFonts w:ascii="Cambria" w:eastAsia="Cambria" w:hAnsi="Cambria" w:cs="Cambria"/>
                                  <w:i/>
                                  <w:iCs/>
                                  <w:sz w:val="15"/>
                                  <w:szCs w:val="15"/>
                                </w:rPr>
                                <w:t>ϔloat</w:t>
                              </w:r>
                              <w:proofErr w:type="spellEnd"/>
                              <w:r>
                                <w:rPr>
                                  <w:rFonts w:ascii="Cambria" w:eastAsia="Cambria" w:hAnsi="Cambria" w:cs="Cambria"/>
                                  <w:i/>
                                  <w:iCs/>
                                  <w:sz w:val="15"/>
                                  <w:szCs w:val="15"/>
                                </w:rPr>
                                <w:t xml:space="preserve"> plaster on exposed plinth.</w:t>
                              </w:r>
                            </w:p>
                            <w:p w:rsidR="00883FED" w:rsidRDefault="00883FED">
                              <w:pPr>
                                <w:spacing w:line="249" w:lineRule="auto"/>
                                <w:ind w:left="3936" w:right="21" w:hanging="944"/>
                                <w:jc w:val="right"/>
                                <w:rPr>
                                  <w:rFonts w:ascii="Cambria"/>
                                  <w:i/>
                                  <w:sz w:val="15"/>
                                </w:rPr>
                              </w:pPr>
                              <w:r>
                                <w:rPr>
                                  <w:rFonts w:ascii="Cambria"/>
                                  <w:i/>
                                  <w:sz w:val="15"/>
                                </w:rPr>
                                <w:t>Bituminous paint on rendered surface and depth of</w:t>
                              </w:r>
                              <w:r>
                                <w:rPr>
                                  <w:rFonts w:ascii="Cambria"/>
                                  <w:i/>
                                  <w:spacing w:val="40"/>
                                  <w:sz w:val="15"/>
                                </w:rPr>
                                <w:t xml:space="preserve"> </w:t>
                              </w:r>
                              <w:r>
                                <w:rPr>
                                  <w:rFonts w:ascii="Cambria"/>
                                  <w:i/>
                                  <w:sz w:val="15"/>
                                </w:rPr>
                                <w:t>foundation</w:t>
                              </w:r>
                              <w:r>
                                <w:rPr>
                                  <w:rFonts w:ascii="Cambria"/>
                                  <w:i/>
                                  <w:spacing w:val="4"/>
                                  <w:sz w:val="15"/>
                                </w:rPr>
                                <w:t xml:space="preserve"> </w:t>
                              </w:r>
                              <w:r>
                                <w:rPr>
                                  <w:rFonts w:ascii="Cambria"/>
                                  <w:i/>
                                  <w:sz w:val="15"/>
                                </w:rPr>
                                <w:t>to</w:t>
                              </w:r>
                              <w:r>
                                <w:rPr>
                                  <w:rFonts w:ascii="Cambria"/>
                                  <w:i/>
                                  <w:spacing w:val="2"/>
                                  <w:sz w:val="15"/>
                                </w:rPr>
                                <w:t xml:space="preserve"> </w:t>
                              </w:r>
                              <w:r>
                                <w:rPr>
                                  <w:rFonts w:ascii="Cambria"/>
                                  <w:i/>
                                  <w:sz w:val="15"/>
                                </w:rPr>
                                <w:t>be</w:t>
                              </w:r>
                              <w:r>
                                <w:rPr>
                                  <w:rFonts w:ascii="Cambria"/>
                                  <w:i/>
                                  <w:spacing w:val="3"/>
                                  <w:sz w:val="15"/>
                                </w:rPr>
                                <w:t xml:space="preserve"> </w:t>
                              </w:r>
                              <w:r>
                                <w:rPr>
                                  <w:rFonts w:ascii="Cambria"/>
                                  <w:i/>
                                  <w:sz w:val="15"/>
                                </w:rPr>
                                <w:t>determined</w:t>
                              </w:r>
                              <w:r>
                                <w:rPr>
                                  <w:rFonts w:ascii="Cambria"/>
                                  <w:i/>
                                  <w:spacing w:val="3"/>
                                  <w:sz w:val="15"/>
                                </w:rPr>
                                <w:t xml:space="preserve"> </w:t>
                              </w:r>
                              <w:r>
                                <w:rPr>
                                  <w:rFonts w:ascii="Cambria"/>
                                  <w:i/>
                                  <w:sz w:val="15"/>
                                </w:rPr>
                                <w:t>on</w:t>
                              </w:r>
                              <w:r>
                                <w:rPr>
                                  <w:rFonts w:ascii="Cambria"/>
                                  <w:i/>
                                  <w:spacing w:val="3"/>
                                  <w:sz w:val="15"/>
                                </w:rPr>
                                <w:t xml:space="preserve"> </w:t>
                              </w:r>
                              <w:r>
                                <w:rPr>
                                  <w:rFonts w:ascii="Cambria"/>
                                  <w:i/>
                                  <w:spacing w:val="-2"/>
                                  <w:sz w:val="15"/>
                                </w:rPr>
                                <w:t>site.</w:t>
                              </w:r>
                            </w:p>
                            <w:p w:rsidR="00883FED" w:rsidRDefault="00883FED">
                              <w:pPr>
                                <w:spacing w:before="86"/>
                                <w:ind w:left="897"/>
                                <w:rPr>
                                  <w:rFonts w:ascii="Cambria"/>
                                  <w:b/>
                                  <w:sz w:val="15"/>
                                </w:rPr>
                              </w:pPr>
                              <w:r>
                                <w:rPr>
                                  <w:rFonts w:ascii="Cambria"/>
                                  <w:b/>
                                  <w:sz w:val="15"/>
                                </w:rPr>
                                <w:t xml:space="preserve">SUB-STRUCTURE </w:t>
                              </w:r>
                              <w:r>
                                <w:rPr>
                                  <w:rFonts w:ascii="Cambria"/>
                                  <w:b/>
                                  <w:spacing w:val="-2"/>
                                  <w:sz w:val="15"/>
                                </w:rPr>
                                <w:t>SPECIFICATION</w:t>
                              </w:r>
                            </w:p>
                            <w:p w:rsidR="00883FED" w:rsidRDefault="00883FED">
                              <w:pPr>
                                <w:spacing w:line="249" w:lineRule="auto"/>
                                <w:ind w:right="3059" w:firstLine="205"/>
                                <w:jc w:val="right"/>
                                <w:rPr>
                                  <w:rFonts w:ascii="Cambria" w:eastAsia="Cambria" w:hAnsi="Cambria" w:cs="Cambria"/>
                                  <w:i/>
                                  <w:iCs/>
                                  <w:sz w:val="15"/>
                                  <w:szCs w:val="15"/>
                                </w:rPr>
                              </w:pPr>
                              <w:r>
                                <w:rPr>
                                  <w:rFonts w:ascii="Cambria" w:eastAsia="Cambria" w:hAnsi="Cambria" w:cs="Cambria"/>
                                  <w:i/>
                                  <w:iCs/>
                                  <w:sz w:val="15"/>
                                  <w:szCs w:val="15"/>
                                </w:rPr>
                                <w:t xml:space="preserve">100mm thick </w:t>
                              </w:r>
                              <w:proofErr w:type="spellStart"/>
                              <w:r>
                                <w:rPr>
                                  <w:rFonts w:ascii="Cambria" w:eastAsia="Cambria" w:hAnsi="Cambria" w:cs="Cambria"/>
                                  <w:i/>
                                  <w:iCs/>
                                  <w:sz w:val="15"/>
                                  <w:szCs w:val="15"/>
                                </w:rPr>
                                <w:t>r.c</w:t>
                              </w:r>
                              <w:proofErr w:type="spellEnd"/>
                              <w:r>
                                <w:rPr>
                                  <w:rFonts w:ascii="Cambria" w:eastAsia="Cambria" w:hAnsi="Cambria" w:cs="Cambria"/>
                                  <w:i/>
                                  <w:iCs/>
                                  <w:spacing w:val="-6"/>
                                  <w:sz w:val="15"/>
                                  <w:szCs w:val="15"/>
                                </w:rPr>
                                <w:t xml:space="preserve"> </w:t>
                              </w:r>
                              <w:r>
                                <w:rPr>
                                  <w:rFonts w:ascii="Cambria" w:eastAsia="Cambria" w:hAnsi="Cambria" w:cs="Cambria"/>
                                  <w:i/>
                                  <w:iCs/>
                                  <w:sz w:val="15"/>
                                  <w:szCs w:val="15"/>
                                </w:rPr>
                                <w:t>slab mix 1:2:4 to SE's detail on</w:t>
                              </w:r>
                              <w:r>
                                <w:rPr>
                                  <w:rFonts w:ascii="Cambria" w:eastAsia="Cambria" w:hAnsi="Cambria" w:cs="Cambria"/>
                                  <w:i/>
                                  <w:iCs/>
                                  <w:spacing w:val="40"/>
                                  <w:sz w:val="15"/>
                                  <w:szCs w:val="15"/>
                                </w:rPr>
                                <w:t xml:space="preserve"> </w:t>
                              </w:r>
                              <w:r>
                                <w:rPr>
                                  <w:rFonts w:ascii="Cambria" w:eastAsia="Cambria" w:hAnsi="Cambria" w:cs="Cambria"/>
                                  <w:i/>
                                  <w:iCs/>
                                  <w:sz w:val="15"/>
                                  <w:szCs w:val="15"/>
                                </w:rPr>
                                <w:t>A142BRC wire mesh on 1 layer of 500g polythene</w:t>
                              </w:r>
                              <w:r>
                                <w:rPr>
                                  <w:rFonts w:ascii="Cambria" w:eastAsia="Cambria" w:hAnsi="Cambria" w:cs="Cambria"/>
                                  <w:i/>
                                  <w:iCs/>
                                  <w:spacing w:val="40"/>
                                  <w:sz w:val="15"/>
                                  <w:szCs w:val="15"/>
                                </w:rPr>
                                <w:t xml:space="preserve"> </w:t>
                              </w:r>
                              <w:r>
                                <w:rPr>
                                  <w:rFonts w:ascii="Cambria" w:eastAsia="Cambria" w:hAnsi="Cambria" w:cs="Cambria"/>
                                  <w:i/>
                                  <w:iCs/>
                                  <w:sz w:val="15"/>
                                  <w:szCs w:val="15"/>
                                </w:rPr>
                                <w:t>sheeting. 300mm overlaps on 50mm sand blinding</w:t>
                              </w:r>
                              <w:r>
                                <w:rPr>
                                  <w:rFonts w:ascii="Cambria" w:eastAsia="Cambria" w:hAnsi="Cambria" w:cs="Cambria"/>
                                  <w:i/>
                                  <w:iCs/>
                                  <w:spacing w:val="40"/>
                                  <w:sz w:val="15"/>
                                  <w:szCs w:val="15"/>
                                </w:rPr>
                                <w:t xml:space="preserve"> </w:t>
                              </w:r>
                              <w:r>
                                <w:rPr>
                                  <w:rFonts w:ascii="Cambria" w:eastAsia="Cambria" w:hAnsi="Cambria" w:cs="Cambria"/>
                                  <w:i/>
                                  <w:iCs/>
                                  <w:sz w:val="15"/>
                                  <w:szCs w:val="15"/>
                                </w:rPr>
                                <w:t>on 300mm well compacted approved hardcore on</w:t>
                              </w:r>
                              <w:r>
                                <w:rPr>
                                  <w:rFonts w:ascii="Cambria" w:eastAsia="Cambria" w:hAnsi="Cambria" w:cs="Cambria"/>
                                  <w:i/>
                                  <w:iCs/>
                                  <w:spacing w:val="40"/>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z w:val="15"/>
                                  <w:szCs w:val="15"/>
                                </w:rPr>
                                <w:t xml:space="preserve"> </w:t>
                              </w:r>
                              <w:proofErr w:type="spellStart"/>
                              <w:r>
                                <w:rPr>
                                  <w:rFonts w:ascii="Cambria" w:eastAsia="Cambria" w:hAnsi="Cambria" w:cs="Cambria"/>
                                  <w:i/>
                                  <w:iCs/>
                                  <w:sz w:val="15"/>
                                  <w:szCs w:val="15"/>
                                </w:rPr>
                                <w:t>grund</w:t>
                              </w:r>
                              <w:proofErr w:type="spellEnd"/>
                              <w:r>
                                <w:rPr>
                                  <w:rFonts w:ascii="Cambria" w:eastAsia="Cambria" w:hAnsi="Cambria" w:cs="Cambria"/>
                                  <w:i/>
                                  <w:iCs/>
                                  <w:sz w:val="15"/>
                                  <w:szCs w:val="15"/>
                                </w:rPr>
                                <w:t xml:space="preserve"> free vegetable soil and treated with</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approved anti </w:t>
                              </w:r>
                              <w:proofErr w:type="gramStart"/>
                              <w:r>
                                <w:rPr>
                                  <w:rFonts w:ascii="Cambria" w:eastAsia="Cambria" w:hAnsi="Cambria" w:cs="Cambria"/>
                                  <w:i/>
                                  <w:iCs/>
                                  <w:sz w:val="15"/>
                                  <w:szCs w:val="15"/>
                                </w:rPr>
                                <w:t>termites</w:t>
                              </w:r>
                              <w:proofErr w:type="gramEnd"/>
                              <w:r>
                                <w:rPr>
                                  <w:rFonts w:ascii="Cambria" w:eastAsia="Cambria" w:hAnsi="Cambria" w:cs="Cambria"/>
                                  <w:i/>
                                  <w:iCs/>
                                  <w:sz w:val="15"/>
                                  <w:szCs w:val="15"/>
                                </w:rPr>
                                <w:t xml:space="preserve"> insecticides.</w:t>
                              </w:r>
                            </w:p>
                          </w:txbxContent>
                        </wps:txbx>
                        <wps:bodyPr wrap="square" lIns="0" tIns="0" rIns="0" bIns="0" rtlCol="0">
                          <a:noAutofit/>
                        </wps:bodyPr>
                      </wps:wsp>
                    </wpg:wgp>
                  </a:graphicData>
                </a:graphic>
              </wp:anchor>
            </w:drawing>
          </mc:Choice>
          <mc:Fallback>
            <w:pict>
              <v:group id="Group 544" o:spid="_x0000_s1062" style="position:absolute;margin-left:55.9pt;margin-top:60.15pt;width:1459pt;height:1002.75pt;z-index:-23703040;mso-wrap-distance-left:0;mso-wrap-distance-right:0;mso-position-horizontal-relative:page;mso-position-vertical-relative:page" coordsize="185293,1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5" o:spid="_x0000_s1063" type="#_x0000_t75" style="position:absolute;width:185292;height:12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">
                  <v:imagedata r:id="rId92" o:title=""/>
                </v:shape>
                <v:shape id="Image 546" o:spid="_x0000_s1064" type="#_x0000_t75" style="position:absolute;left:13771;top:19046;width:495;height:18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">
                  <v:imagedata r:id="rId93" o:title=""/>
                </v:shape>
                <v:shape id="Image 547" o:spid="_x0000_s1065" type="#_x0000_t75" style="position:absolute;left:73717;top:19046;width:495;height:18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">
                  <v:imagedata r:id="rId94" o:title=""/>
                </v:shape>
                <v:shape id="Image 548" o:spid="_x0000_s1066" type="#_x0000_t75" style="position:absolute;left:73717;top:39058;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">
                  <v:imagedata r:id="rId95" o:title=""/>
                </v:shape>
                <v:shape id="Image 549" o:spid="_x0000_s1067" type="#_x0000_t75" style="position:absolute;left:73717;top:41754;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">
                  <v:imagedata r:id="rId95" o:title=""/>
                </v:shape>
                <v:shape id="Image 550" o:spid="_x0000_s1068" type="#_x0000_t75" style="position:absolute;left:73717;top:44450;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">
                  <v:imagedata r:id="rId95" o:title=""/>
                </v:shape>
                <v:shape id="Image 551" o:spid="_x0000_s1069" type="#_x0000_t75" style="position:absolute;left:73717;top:47145;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">
                  <v:imagedata r:id="rId95" o:title=""/>
                </v:shape>
                <v:shape id="Image 552" o:spid="_x0000_s1070" type="#_x0000_t75" style="position:absolute;left:73717;top:49841;width:6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">
                  <v:imagedata r:id="rId95" o:title=""/>
                </v:shape>
                <v:shape id="Image 553" o:spid="_x0000_s1071" type="#_x0000_t75" style="position:absolute;left:73717;top:52536;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">
                  <v:imagedata r:id="rId95" o:title=""/>
                </v:shape>
                <v:shape id="Image 554" o:spid="_x0000_s1072" type="#_x0000_t75" style="position:absolute;left:73717;top:55232;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">
                  <v:imagedata r:id="rId95" o:title=""/>
                </v:shape>
                <v:shape id="Image 555" o:spid="_x0000_s1073" type="#_x0000_t75" style="position:absolute;left:14198;top:55107;width:6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">
                  <v:imagedata r:id="rId96" o:title=""/>
                </v:shape>
                <v:shape id="Image 556" o:spid="_x0000_s1074" type="#_x0000_t75" style="position:absolute;left:14198;top:52411;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">
                  <v:imagedata r:id="rId97" o:title=""/>
                </v:shape>
                <v:shape id="Image 557" o:spid="_x0000_s1075" type="#_x0000_t75" style="position:absolute;left:14198;top:49716;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">
                  <v:imagedata r:id="rId97" o:title=""/>
                </v:shape>
                <v:shape id="Image 558" o:spid="_x0000_s1076" type="#_x0000_t75" style="position:absolute;left:14198;top:47020;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">
                  <v:imagedata r:id="rId97" o:title=""/>
                </v:shape>
                <v:shape id="Image 559" o:spid="_x0000_s1077" type="#_x0000_t75" style="position:absolute;left:14198;top:44325;width:6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">
                  <v:imagedata r:id="rId97" o:title=""/>
                </v:shape>
                <v:shape id="Image 560" o:spid="_x0000_s1078" type="#_x0000_t75" style="position:absolute;left:14198;top:41629;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">
                  <v:imagedata r:id="rId96" o:title=""/>
                </v:shape>
                <v:shape id="Image 561" o:spid="_x0000_s1079" type="#_x0000_t75" style="position:absolute;left:34306;top:55232;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">
                  <v:imagedata r:id="rId97" o:title=""/>
                </v:shape>
                <v:shape id="Image 562" o:spid="_x0000_s1080" type="#_x0000_t75" style="position:absolute;left:34306;top:52536;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">
                  <v:imagedata r:id="rId97" o:title=""/>
                </v:shape>
                <v:shape id="Image 563" o:spid="_x0000_s1081" type="#_x0000_t75" style="position:absolute;left:34306;top:49841;width:6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">
                  <v:imagedata r:id="rId97" o:title=""/>
                </v:shape>
                <v:shape id="Image 564" o:spid="_x0000_s1082" type="#_x0000_t75" style="position:absolute;left:34306;top:33667;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">
                  <v:imagedata r:id="rId96" o:title=""/>
                </v:shape>
                <v:shape id="Image 565" o:spid="_x0000_s1083" type="#_x0000_t75" style="position:absolute;left:34306;top:30972;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">
                  <v:imagedata r:id="rId97" o:title=""/>
                </v:shape>
                <v:shape id="Image 566" o:spid="_x0000_s1084" type="#_x0000_t75" style="position:absolute;left:34306;top:28276;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">
                  <v:imagedata r:id="rId97" o:title=""/>
                </v:shape>
                <v:shape id="Image 567" o:spid="_x0000_s1085" type="#_x0000_t75" style="position:absolute;left:34306;top:25581;width:6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">
                  <v:imagedata r:id="rId97" o:title=""/>
                </v:shape>
                <v:shape id="Image 568" o:spid="_x0000_s1086" type="#_x0000_t75" style="position:absolute;left:54414;top:32923;width:6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">
                  <v:imagedata r:id="rId95" o:title=""/>
                </v:shape>
                <v:shape id="Image 569" o:spid="_x0000_s1087" type="#_x0000_t75" style="position:absolute;left:54414;top:35618;width:6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">
                  <v:imagedata r:id="rId95" o:title=""/>
                </v:shape>
                <v:shape id="Image 570" o:spid="_x0000_s1088" type="#_x0000_t75" style="position:absolute;left:54414;top:54487;width:6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">
                  <v:imagedata r:id="rId98" o:title=""/>
                </v:shape>
                <v:shape id="Image 571" o:spid="_x0000_s1089" type="#_x0000_t75" style="position:absolute;left:51107;top:27980;width:61;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">
                  <v:imagedata r:id="rId99" o:title=""/>
                </v:shape>
                <v:shape id="Image 572" o:spid="_x0000_s1090" type="#_x0000_t75" style="position:absolute;left:51107;top:30676;width:61;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">
                  <v:imagedata r:id="rId100" o:title=""/>
                </v:shape>
                <v:shape id="Image 573" o:spid="_x0000_s1091" type="#_x0000_t75" style="position:absolute;left:51107;top:33371;width:61;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">
                  <v:imagedata r:id="rId99" o:title=""/>
                </v:shape>
                <v:shape id="Image 574" o:spid="_x0000_s1092" type="#_x0000_t75" style="position:absolute;left:51107;top:36067;width:61;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">
                  <v:imagedata r:id="rId99" o:title=""/>
                </v:shape>
                <v:shape id="Image 575" o:spid="_x0000_s1093" type="#_x0000_t75" style="position:absolute;left:51107;top:52240;width:61;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">
                  <v:imagedata r:id="rId99" o:title=""/>
                </v:shape>
                <v:shape id="Image 576" o:spid="_x0000_s1094" type="#_x0000_t75" style="position:absolute;left:51107;top:54936;width:61;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">
                  <v:imagedata r:id="rId99" o:title=""/>
                </v:shape>
                <v:shape id="Image 577" o:spid="_x0000_s1095" type="#_x0000_t75" style="position:absolute;left:51078;top:63022;width:11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">
                  <v:imagedata r:id="rId101" o:title=""/>
                </v:shape>
                <v:shape id="Textbox 578" o:spid="_x0000_s1096" type="#_x0000_t202" style="position:absolute;left:107314;top:65953;width:1513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883FED" w:rsidRDefault="00883FED">
                        <w:pPr>
                          <w:spacing w:line="101" w:lineRule="exact"/>
                          <w:rPr>
                            <w:rFonts w:ascii="Cambria"/>
                            <w:sz w:val="10"/>
                          </w:rPr>
                        </w:pPr>
                        <w:r>
                          <w:rPr>
                            <w:rFonts w:ascii="Cambria"/>
                            <w:sz w:val="10"/>
                          </w:rPr>
                          <w:t>150mm</w:t>
                        </w:r>
                        <w:r>
                          <w:rPr>
                            <w:rFonts w:ascii="Cambria"/>
                            <w:spacing w:val="1"/>
                            <w:sz w:val="10"/>
                          </w:rPr>
                          <w:t xml:space="preserve"> </w:t>
                        </w:r>
                        <w:r>
                          <w:rPr>
                            <w:rFonts w:ascii="Cambria"/>
                            <w:sz w:val="10"/>
                          </w:rPr>
                          <w:t>thick</w:t>
                        </w:r>
                        <w:r>
                          <w:rPr>
                            <w:rFonts w:ascii="Cambria"/>
                            <w:spacing w:val="1"/>
                            <w:sz w:val="10"/>
                          </w:rPr>
                          <w:t xml:space="preserve"> </w:t>
                        </w:r>
                        <w:r>
                          <w:rPr>
                            <w:rFonts w:ascii="Cambria"/>
                            <w:sz w:val="10"/>
                          </w:rPr>
                          <w:t>RC</w:t>
                        </w:r>
                        <w:r>
                          <w:rPr>
                            <w:rFonts w:ascii="Cambria"/>
                            <w:spacing w:val="-1"/>
                            <w:sz w:val="10"/>
                          </w:rPr>
                          <w:t xml:space="preserve"> </w:t>
                        </w:r>
                        <w:r>
                          <w:rPr>
                            <w:rFonts w:ascii="Cambria"/>
                            <w:sz w:val="10"/>
                          </w:rPr>
                          <w:t>Slab</w:t>
                        </w:r>
                        <w:r>
                          <w:rPr>
                            <w:rFonts w:ascii="Cambria"/>
                            <w:spacing w:val="1"/>
                            <w:sz w:val="10"/>
                          </w:rPr>
                          <w:t xml:space="preserve"> </w:t>
                        </w:r>
                        <w:r>
                          <w:rPr>
                            <w:rFonts w:ascii="Cambria"/>
                            <w:sz w:val="10"/>
                          </w:rPr>
                          <w:t>to SE's</w:t>
                        </w:r>
                        <w:r>
                          <w:rPr>
                            <w:rFonts w:ascii="Cambria"/>
                            <w:spacing w:val="1"/>
                            <w:sz w:val="10"/>
                          </w:rPr>
                          <w:t xml:space="preserve"> </w:t>
                        </w:r>
                        <w:r>
                          <w:rPr>
                            <w:rFonts w:ascii="Cambria"/>
                            <w:spacing w:val="-2"/>
                            <w:sz w:val="10"/>
                          </w:rPr>
                          <w:t>Details</w:t>
                        </w:r>
                      </w:p>
                      <w:p w:rsidR="00883FED" w:rsidRDefault="00883FED">
                        <w:pPr>
                          <w:spacing w:before="111"/>
                          <w:rPr>
                            <w:rFonts w:ascii="Cambria"/>
                            <w:sz w:val="10"/>
                          </w:rPr>
                        </w:pPr>
                      </w:p>
                      <w:p w:rsidR="00883FED" w:rsidRDefault="00883FED">
                        <w:pPr>
                          <w:ind w:left="722"/>
                          <w:rPr>
                            <w:rFonts w:ascii="Cambria"/>
                            <w:sz w:val="10"/>
                          </w:rPr>
                        </w:pPr>
                        <w:r>
                          <w:rPr>
                            <w:rFonts w:ascii="Cambria"/>
                            <w:sz w:val="10"/>
                          </w:rPr>
                          <w:t>200</w:t>
                        </w:r>
                        <w:r>
                          <w:rPr>
                            <w:rFonts w:ascii="Cambria"/>
                            <w:spacing w:val="1"/>
                            <w:sz w:val="10"/>
                          </w:rPr>
                          <w:t xml:space="preserve"> </w:t>
                        </w:r>
                        <w:r>
                          <w:rPr>
                            <w:rFonts w:ascii="Cambria"/>
                            <w:sz w:val="10"/>
                          </w:rPr>
                          <w:t>x</w:t>
                        </w:r>
                        <w:r>
                          <w:rPr>
                            <w:rFonts w:ascii="Cambria"/>
                            <w:spacing w:val="1"/>
                            <w:sz w:val="10"/>
                          </w:rPr>
                          <w:t xml:space="preserve"> </w:t>
                        </w:r>
                        <w:r>
                          <w:rPr>
                            <w:rFonts w:ascii="Cambria"/>
                            <w:sz w:val="10"/>
                          </w:rPr>
                          <w:t>450mm</w:t>
                        </w:r>
                        <w:r>
                          <w:rPr>
                            <w:rFonts w:ascii="Cambria"/>
                            <w:spacing w:val="2"/>
                            <w:sz w:val="10"/>
                          </w:rPr>
                          <w:t xml:space="preserve"> </w:t>
                        </w:r>
                        <w:r>
                          <w:rPr>
                            <w:rFonts w:ascii="Cambria"/>
                            <w:sz w:val="10"/>
                          </w:rPr>
                          <w:t>RC</w:t>
                        </w:r>
                        <w:r>
                          <w:rPr>
                            <w:rFonts w:ascii="Cambria"/>
                            <w:spacing w:val="-1"/>
                            <w:sz w:val="10"/>
                          </w:rPr>
                          <w:t xml:space="preserve"> </w:t>
                        </w:r>
                        <w:r>
                          <w:rPr>
                            <w:rFonts w:ascii="Cambria"/>
                            <w:sz w:val="10"/>
                          </w:rPr>
                          <w:t>Beam</w:t>
                        </w:r>
                        <w:r>
                          <w:rPr>
                            <w:rFonts w:ascii="Cambria"/>
                            <w:spacing w:val="1"/>
                            <w:sz w:val="10"/>
                          </w:rPr>
                          <w:t xml:space="preserve"> </w:t>
                        </w:r>
                        <w:r>
                          <w:rPr>
                            <w:rFonts w:ascii="Cambria"/>
                            <w:sz w:val="10"/>
                          </w:rPr>
                          <w:t>to</w:t>
                        </w:r>
                        <w:r>
                          <w:rPr>
                            <w:rFonts w:ascii="Cambria"/>
                            <w:spacing w:val="1"/>
                            <w:sz w:val="10"/>
                          </w:rPr>
                          <w:t xml:space="preserve"> </w:t>
                        </w:r>
                        <w:r>
                          <w:rPr>
                            <w:rFonts w:ascii="Cambria"/>
                            <w:sz w:val="10"/>
                          </w:rPr>
                          <w:t>SE's</w:t>
                        </w:r>
                        <w:r>
                          <w:rPr>
                            <w:rFonts w:ascii="Cambria"/>
                            <w:spacing w:val="1"/>
                            <w:sz w:val="10"/>
                          </w:rPr>
                          <w:t xml:space="preserve"> </w:t>
                        </w:r>
                        <w:r>
                          <w:rPr>
                            <w:rFonts w:ascii="Cambria"/>
                            <w:spacing w:val="-2"/>
                            <w:sz w:val="10"/>
                          </w:rPr>
                          <w:t>details</w:t>
                        </w:r>
                      </w:p>
                    </w:txbxContent>
                  </v:textbox>
                </v:shape>
                <v:shape id="Textbox 579" o:spid="_x0000_s1097" type="#_x0000_t202" style="position:absolute;left:133408;top:70885;width:15900;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rsidR="00883FED" w:rsidRDefault="00883FED">
                        <w:pPr>
                          <w:spacing w:line="150" w:lineRule="exact"/>
                          <w:ind w:left="1070"/>
                          <w:rPr>
                            <w:rFonts w:ascii="Cambria"/>
                            <w:i/>
                            <w:sz w:val="15"/>
                          </w:rPr>
                        </w:pPr>
                        <w:r>
                          <w:rPr>
                            <w:rFonts w:ascii="Cambria"/>
                            <w:i/>
                            <w:sz w:val="15"/>
                          </w:rPr>
                          <w:t>WALL</w:t>
                        </w:r>
                        <w:r>
                          <w:rPr>
                            <w:rFonts w:ascii="Cambria"/>
                            <w:i/>
                            <w:spacing w:val="-6"/>
                            <w:sz w:val="15"/>
                          </w:rPr>
                          <w:t xml:space="preserve"> </w:t>
                        </w:r>
                        <w:r>
                          <w:rPr>
                            <w:rFonts w:ascii="Cambria"/>
                            <w:i/>
                            <w:spacing w:val="-2"/>
                            <w:sz w:val="15"/>
                          </w:rPr>
                          <w:t>SPECIFICATION</w:t>
                        </w:r>
                      </w:p>
                      <w:p w:rsidR="00883FED" w:rsidRDefault="00883FED">
                        <w:pPr>
                          <w:spacing w:before="6" w:line="249" w:lineRule="auto"/>
                          <w:ind w:right="18" w:firstLine="72"/>
                          <w:jc w:val="right"/>
                          <w:rPr>
                            <w:rFonts w:ascii="Cambria"/>
                            <w:i/>
                            <w:sz w:val="15"/>
                          </w:rPr>
                        </w:pPr>
                        <w:r>
                          <w:rPr>
                            <w:rFonts w:ascii="Cambria"/>
                            <w:i/>
                            <w:sz w:val="15"/>
                          </w:rPr>
                          <w:t>200mm thick wall in 1:3 cement/sand</w:t>
                        </w:r>
                        <w:r>
                          <w:rPr>
                            <w:rFonts w:ascii="Cambria"/>
                            <w:i/>
                            <w:spacing w:val="40"/>
                            <w:sz w:val="15"/>
                          </w:rPr>
                          <w:t xml:space="preserve"> </w:t>
                        </w:r>
                        <w:r>
                          <w:rPr>
                            <w:rFonts w:ascii="Cambria"/>
                            <w:i/>
                            <w:sz w:val="15"/>
                          </w:rPr>
                          <w:t>mortar and plastered and painted with</w:t>
                        </w:r>
                        <w:r>
                          <w:rPr>
                            <w:rFonts w:ascii="Cambria"/>
                            <w:i/>
                            <w:spacing w:val="40"/>
                            <w:sz w:val="15"/>
                          </w:rPr>
                          <w:t xml:space="preserve"> </w:t>
                        </w:r>
                        <w:r>
                          <w:rPr>
                            <w:rFonts w:ascii="Cambria"/>
                            <w:i/>
                            <w:sz w:val="15"/>
                          </w:rPr>
                          <w:t xml:space="preserve">200mm wide bituminous felt </w:t>
                        </w:r>
                        <w:proofErr w:type="spellStart"/>
                        <w:r>
                          <w:rPr>
                            <w:rFonts w:ascii="Cambria"/>
                            <w:i/>
                            <w:sz w:val="15"/>
                          </w:rPr>
                          <w:t>d.p.c</w:t>
                        </w:r>
                        <w:proofErr w:type="spellEnd"/>
                        <w:r>
                          <w:rPr>
                            <w:rFonts w:ascii="Cambria"/>
                            <w:i/>
                            <w:spacing w:val="40"/>
                            <w:sz w:val="15"/>
                          </w:rPr>
                          <w:t xml:space="preserve"> </w:t>
                        </w:r>
                        <w:r>
                          <w:rPr>
                            <w:rFonts w:ascii="Cambria"/>
                            <w:i/>
                            <w:sz w:val="15"/>
                          </w:rPr>
                          <w:t xml:space="preserve">placed </w:t>
                        </w:r>
                        <w:proofErr w:type="spellStart"/>
                        <w:r>
                          <w:rPr>
                            <w:rFonts w:ascii="Cambria"/>
                            <w:i/>
                            <w:sz w:val="15"/>
                          </w:rPr>
                          <w:t>underand</w:t>
                        </w:r>
                        <w:proofErr w:type="spellEnd"/>
                        <w:r>
                          <w:rPr>
                            <w:rFonts w:ascii="Cambria"/>
                            <w:i/>
                            <w:sz w:val="15"/>
                          </w:rPr>
                          <w:t xml:space="preserve"> 25mm hoop iron for</w:t>
                        </w:r>
                        <w:r>
                          <w:rPr>
                            <w:rFonts w:ascii="Cambria"/>
                            <w:i/>
                            <w:spacing w:val="40"/>
                            <w:sz w:val="15"/>
                          </w:rPr>
                          <w:t xml:space="preserve"> </w:t>
                        </w:r>
                        <w:r>
                          <w:rPr>
                            <w:rFonts w:ascii="Cambria"/>
                            <w:i/>
                            <w:sz w:val="15"/>
                          </w:rPr>
                          <w:t>walls for walls under 200mm to</w:t>
                        </w:r>
                      </w:p>
                      <w:p w:rsidR="00883FED" w:rsidRDefault="00883FED">
                        <w:pPr>
                          <w:spacing w:line="172" w:lineRule="exact"/>
                          <w:ind w:right="18"/>
                          <w:jc w:val="right"/>
                          <w:rPr>
                            <w:rFonts w:ascii="Cambria"/>
                            <w:i/>
                            <w:sz w:val="15"/>
                          </w:rPr>
                        </w:pPr>
                        <w:r>
                          <w:rPr>
                            <w:rFonts w:ascii="Cambria"/>
                            <w:i/>
                            <w:sz w:val="15"/>
                          </w:rPr>
                          <w:t>Architect's</w:t>
                        </w:r>
                        <w:r>
                          <w:rPr>
                            <w:rFonts w:ascii="Cambria"/>
                            <w:i/>
                            <w:spacing w:val="3"/>
                            <w:sz w:val="15"/>
                          </w:rPr>
                          <w:t xml:space="preserve"> </w:t>
                        </w:r>
                        <w:r>
                          <w:rPr>
                            <w:rFonts w:ascii="Cambria"/>
                            <w:i/>
                            <w:spacing w:val="-2"/>
                            <w:sz w:val="15"/>
                          </w:rPr>
                          <w:t>approval.</w:t>
                        </w:r>
                      </w:p>
                    </w:txbxContent>
                  </v:textbox>
                </v:shape>
                <v:shape id="Textbox 580" o:spid="_x0000_s1098" type="#_x0000_t202" style="position:absolute;left:88374;top:92121;width:20561;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883FED" w:rsidRDefault="00883FED">
                        <w:pPr>
                          <w:spacing w:before="9"/>
                          <w:ind w:left="2111"/>
                          <w:rPr>
                            <w:rFonts w:ascii="Cambria"/>
                            <w:b/>
                            <w:sz w:val="15"/>
                          </w:rPr>
                        </w:pPr>
                        <w:r>
                          <w:rPr>
                            <w:rFonts w:ascii="Cambria"/>
                            <w:b/>
                            <w:sz w:val="15"/>
                          </w:rPr>
                          <w:t>STRIP</w:t>
                        </w:r>
                        <w:r>
                          <w:rPr>
                            <w:rFonts w:ascii="Cambria"/>
                            <w:b/>
                            <w:spacing w:val="5"/>
                            <w:sz w:val="15"/>
                          </w:rPr>
                          <w:t xml:space="preserve"> </w:t>
                        </w:r>
                        <w:r>
                          <w:rPr>
                            <w:rFonts w:ascii="Cambria"/>
                            <w:b/>
                            <w:spacing w:val="-2"/>
                            <w:sz w:val="15"/>
                          </w:rPr>
                          <w:t>FOOTING</w:t>
                        </w:r>
                      </w:p>
                      <w:p w:rsidR="00883FED" w:rsidRDefault="00883FED">
                        <w:pPr>
                          <w:spacing w:line="249" w:lineRule="auto"/>
                          <w:ind w:left="142" w:right="18" w:hanging="143"/>
                          <w:jc w:val="right"/>
                          <w:rPr>
                            <w:rFonts w:ascii="Cambria" w:eastAsia="Cambria" w:hAnsi="Cambria" w:cs="Cambria"/>
                            <w:i/>
                            <w:iCs/>
                            <w:sz w:val="15"/>
                            <w:szCs w:val="15"/>
                          </w:rPr>
                        </w:pPr>
                        <w:r>
                          <w:rPr>
                            <w:rFonts w:ascii="Cambria" w:eastAsia="Cambria" w:hAnsi="Cambria" w:cs="Cambria"/>
                            <w:i/>
                            <w:iCs/>
                            <w:sz w:val="15"/>
                            <w:szCs w:val="15"/>
                          </w:rPr>
                          <w:t xml:space="preserve">600X250mm 1:2:4 </w:t>
                        </w:r>
                        <w:proofErr w:type="spellStart"/>
                        <w:r>
                          <w:rPr>
                            <w:rFonts w:ascii="Cambria" w:eastAsia="Cambria" w:hAnsi="Cambria" w:cs="Cambria"/>
                            <w:i/>
                            <w:iCs/>
                            <w:sz w:val="15"/>
                            <w:szCs w:val="15"/>
                          </w:rPr>
                          <w:t>r.c</w:t>
                        </w:r>
                        <w:proofErr w:type="spellEnd"/>
                        <w:r>
                          <w:rPr>
                            <w:rFonts w:ascii="Cambria" w:eastAsia="Cambria" w:hAnsi="Cambria" w:cs="Cambria"/>
                            <w:i/>
                            <w:iCs/>
                            <w:spacing w:val="-4"/>
                            <w:sz w:val="15"/>
                            <w:szCs w:val="15"/>
                          </w:rPr>
                          <w:t xml:space="preserve"> </w:t>
                        </w:r>
                        <w:r>
                          <w:rPr>
                            <w:rFonts w:ascii="Cambria" w:eastAsia="Cambria" w:hAnsi="Cambria" w:cs="Cambria"/>
                            <w:i/>
                            <w:iCs/>
                            <w:sz w:val="15"/>
                            <w:szCs w:val="15"/>
                          </w:rPr>
                          <w:t>strip footing 200mm thick to</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SE's details on 50mm thick 1:4:8 weak </w:t>
                        </w:r>
                        <w:proofErr w:type="spellStart"/>
                        <w:r>
                          <w:rPr>
                            <w:rFonts w:ascii="Cambria" w:eastAsia="Cambria" w:hAnsi="Cambria" w:cs="Cambria"/>
                            <w:i/>
                            <w:iCs/>
                            <w:sz w:val="15"/>
                            <w:szCs w:val="15"/>
                          </w:rPr>
                          <w:t>cocncrete</w:t>
                        </w:r>
                        <w:proofErr w:type="spellEnd"/>
                        <w:r>
                          <w:rPr>
                            <w:rFonts w:ascii="Cambria" w:eastAsia="Cambria" w:hAnsi="Cambria" w:cs="Cambria"/>
                            <w:i/>
                            <w:iCs/>
                            <w:spacing w:val="40"/>
                            <w:sz w:val="15"/>
                            <w:szCs w:val="15"/>
                          </w:rPr>
                          <w:t xml:space="preserve"> </w:t>
                        </w:r>
                        <w:r>
                          <w:rPr>
                            <w:rFonts w:ascii="Cambria" w:eastAsia="Cambria" w:hAnsi="Cambria" w:cs="Cambria"/>
                            <w:i/>
                            <w:iCs/>
                            <w:sz w:val="15"/>
                            <w:szCs w:val="15"/>
                          </w:rPr>
                          <w:t>blinding</w:t>
                        </w:r>
                        <w:r>
                          <w:rPr>
                            <w:rFonts w:ascii="Cambria" w:eastAsia="Cambria" w:hAnsi="Cambria" w:cs="Cambria"/>
                            <w:i/>
                            <w:iCs/>
                            <w:spacing w:val="-2"/>
                            <w:sz w:val="15"/>
                            <w:szCs w:val="15"/>
                          </w:rPr>
                          <w:t xml:space="preserve"> </w:t>
                        </w:r>
                        <w:r>
                          <w:rPr>
                            <w:rFonts w:ascii="Cambria" w:eastAsia="Cambria" w:hAnsi="Cambria" w:cs="Cambria"/>
                            <w:i/>
                            <w:iCs/>
                            <w:sz w:val="15"/>
                            <w:szCs w:val="15"/>
                          </w:rPr>
                          <w:t>on</w:t>
                        </w:r>
                        <w:r>
                          <w:rPr>
                            <w:rFonts w:ascii="Cambria" w:eastAsia="Cambria" w:hAnsi="Cambria" w:cs="Cambria"/>
                            <w:i/>
                            <w:iCs/>
                            <w:spacing w:val="-2"/>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pacing w:val="-1"/>
                            <w:sz w:val="15"/>
                            <w:szCs w:val="15"/>
                          </w:rPr>
                          <w:t xml:space="preserve"> </w:t>
                        </w:r>
                        <w:r>
                          <w:rPr>
                            <w:rFonts w:ascii="Cambria" w:eastAsia="Cambria" w:hAnsi="Cambria" w:cs="Cambria"/>
                            <w:i/>
                            <w:iCs/>
                            <w:sz w:val="15"/>
                            <w:szCs w:val="15"/>
                          </w:rPr>
                          <w:t>base</w:t>
                        </w:r>
                        <w:r>
                          <w:rPr>
                            <w:rFonts w:ascii="Cambria" w:eastAsia="Cambria" w:hAnsi="Cambria" w:cs="Cambria"/>
                            <w:i/>
                            <w:iCs/>
                            <w:spacing w:val="-1"/>
                            <w:sz w:val="15"/>
                            <w:szCs w:val="15"/>
                          </w:rPr>
                          <w:t xml:space="preserve"> </w:t>
                        </w:r>
                        <w:r>
                          <w:rPr>
                            <w:rFonts w:ascii="Cambria" w:eastAsia="Cambria" w:hAnsi="Cambria" w:cs="Cambria"/>
                            <w:i/>
                            <w:iCs/>
                            <w:sz w:val="15"/>
                            <w:szCs w:val="15"/>
                          </w:rPr>
                          <w:t>free</w:t>
                        </w:r>
                        <w:r>
                          <w:rPr>
                            <w:rFonts w:ascii="Cambria" w:eastAsia="Cambria" w:hAnsi="Cambria" w:cs="Cambria"/>
                            <w:i/>
                            <w:iCs/>
                            <w:spacing w:val="-3"/>
                            <w:sz w:val="15"/>
                            <w:szCs w:val="15"/>
                          </w:rPr>
                          <w:t xml:space="preserve"> </w:t>
                        </w:r>
                        <w:r>
                          <w:rPr>
                            <w:rFonts w:ascii="Cambria" w:eastAsia="Cambria" w:hAnsi="Cambria" w:cs="Cambria"/>
                            <w:i/>
                            <w:iCs/>
                            <w:sz w:val="15"/>
                            <w:szCs w:val="15"/>
                          </w:rPr>
                          <w:t>from</w:t>
                        </w:r>
                        <w:r>
                          <w:rPr>
                            <w:rFonts w:ascii="Cambria" w:eastAsia="Cambria" w:hAnsi="Cambria" w:cs="Cambria"/>
                            <w:i/>
                            <w:iCs/>
                            <w:spacing w:val="-3"/>
                            <w:sz w:val="15"/>
                            <w:szCs w:val="15"/>
                          </w:rPr>
                          <w:t xml:space="preserve"> </w:t>
                        </w:r>
                        <w:r>
                          <w:rPr>
                            <w:rFonts w:ascii="Cambria" w:eastAsia="Cambria" w:hAnsi="Cambria" w:cs="Cambria"/>
                            <w:i/>
                            <w:iCs/>
                            <w:sz w:val="15"/>
                            <w:szCs w:val="15"/>
                          </w:rPr>
                          <w:t>black</w:t>
                        </w:r>
                        <w:r>
                          <w:rPr>
                            <w:rFonts w:ascii="Cambria" w:eastAsia="Cambria" w:hAnsi="Cambria" w:cs="Cambria"/>
                            <w:i/>
                            <w:iCs/>
                            <w:spacing w:val="-2"/>
                            <w:sz w:val="15"/>
                            <w:szCs w:val="15"/>
                          </w:rPr>
                          <w:t xml:space="preserve"> </w:t>
                        </w:r>
                        <w:r>
                          <w:rPr>
                            <w:rFonts w:ascii="Cambria" w:eastAsia="Cambria" w:hAnsi="Cambria" w:cs="Cambria"/>
                            <w:i/>
                            <w:iCs/>
                            <w:sz w:val="15"/>
                            <w:szCs w:val="15"/>
                          </w:rPr>
                          <w:t>cotton</w:t>
                        </w:r>
                        <w:r>
                          <w:rPr>
                            <w:rFonts w:ascii="Cambria" w:eastAsia="Cambria" w:hAnsi="Cambria" w:cs="Cambria"/>
                            <w:i/>
                            <w:iCs/>
                            <w:spacing w:val="-3"/>
                            <w:sz w:val="15"/>
                            <w:szCs w:val="15"/>
                          </w:rPr>
                          <w:t xml:space="preserve"> </w:t>
                        </w:r>
                        <w:r>
                          <w:rPr>
                            <w:rFonts w:ascii="Cambria" w:eastAsia="Cambria" w:hAnsi="Cambria" w:cs="Cambria"/>
                            <w:i/>
                            <w:iCs/>
                            <w:sz w:val="15"/>
                            <w:szCs w:val="15"/>
                          </w:rPr>
                          <w:t>soil.</w:t>
                        </w:r>
                        <w:r>
                          <w:rPr>
                            <w:rFonts w:ascii="Cambria" w:eastAsia="Cambria" w:hAnsi="Cambria" w:cs="Cambria"/>
                            <w:i/>
                            <w:iCs/>
                            <w:spacing w:val="40"/>
                            <w:sz w:val="15"/>
                            <w:szCs w:val="15"/>
                          </w:rPr>
                          <w:t xml:space="preserve"> </w:t>
                        </w:r>
                        <w:r>
                          <w:rPr>
                            <w:rFonts w:ascii="Cambria" w:eastAsia="Cambria" w:hAnsi="Cambria" w:cs="Cambria"/>
                            <w:i/>
                            <w:iCs/>
                            <w:sz w:val="15"/>
                            <w:szCs w:val="15"/>
                          </w:rPr>
                          <w:t>Depth of foundation to be determined on site.</w:t>
                        </w:r>
                      </w:p>
                    </w:txbxContent>
                  </v:textbox>
                </v:shape>
                <v:shape id="Textbox 581" o:spid="_x0000_s1099" type="#_x0000_t202" style="position:absolute;left:117509;top:83499;width:39725;height:17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883FED" w:rsidRDefault="00883FED">
                        <w:pPr>
                          <w:spacing w:line="150" w:lineRule="exact"/>
                          <w:ind w:right="21"/>
                          <w:jc w:val="right"/>
                          <w:rPr>
                            <w:rFonts w:ascii="Cambria"/>
                            <w:i/>
                            <w:sz w:val="15"/>
                          </w:rPr>
                        </w:pPr>
                        <w:r>
                          <w:rPr>
                            <w:rFonts w:ascii="Cambria"/>
                            <w:i/>
                            <w:sz w:val="15"/>
                          </w:rPr>
                          <w:t>PLINTH</w:t>
                        </w:r>
                        <w:r>
                          <w:rPr>
                            <w:rFonts w:ascii="Cambria"/>
                            <w:i/>
                            <w:spacing w:val="6"/>
                            <w:sz w:val="15"/>
                          </w:rPr>
                          <w:t xml:space="preserve"> </w:t>
                        </w:r>
                        <w:r>
                          <w:rPr>
                            <w:rFonts w:ascii="Cambria"/>
                            <w:i/>
                            <w:sz w:val="15"/>
                          </w:rPr>
                          <w:t>WALL</w:t>
                        </w:r>
                        <w:r>
                          <w:rPr>
                            <w:rFonts w:ascii="Cambria"/>
                            <w:i/>
                            <w:spacing w:val="-7"/>
                            <w:sz w:val="15"/>
                          </w:rPr>
                          <w:t xml:space="preserve"> </w:t>
                        </w:r>
                        <w:r>
                          <w:rPr>
                            <w:rFonts w:ascii="Cambria"/>
                            <w:i/>
                            <w:spacing w:val="-2"/>
                            <w:sz w:val="15"/>
                          </w:rPr>
                          <w:t>SPECIFICATION</w:t>
                        </w:r>
                      </w:p>
                      <w:p w:rsidR="00883FED" w:rsidRDefault="00883FED">
                        <w:pPr>
                          <w:spacing w:before="6" w:line="249" w:lineRule="auto"/>
                          <w:ind w:left="2984" w:right="18" w:firstLine="151"/>
                          <w:jc w:val="right"/>
                          <w:rPr>
                            <w:rFonts w:ascii="Cambria" w:eastAsia="Cambria" w:hAnsi="Cambria" w:cs="Cambria"/>
                            <w:i/>
                            <w:iCs/>
                            <w:sz w:val="15"/>
                            <w:szCs w:val="15"/>
                          </w:rPr>
                        </w:pPr>
                        <w:r>
                          <w:rPr>
                            <w:rFonts w:ascii="Cambria" w:eastAsia="Cambria" w:hAnsi="Cambria" w:cs="Cambria"/>
                            <w:i/>
                            <w:iCs/>
                            <w:sz w:val="15"/>
                            <w:szCs w:val="15"/>
                          </w:rPr>
                          <w:t>200mm thick wall in 1:3 cement/sand mortar on</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600x250mm 1:2:4 </w:t>
                        </w:r>
                        <w:proofErr w:type="spellStart"/>
                        <w:r>
                          <w:rPr>
                            <w:rFonts w:ascii="Cambria" w:eastAsia="Cambria" w:hAnsi="Cambria" w:cs="Cambria"/>
                            <w:i/>
                            <w:iCs/>
                            <w:sz w:val="15"/>
                            <w:szCs w:val="15"/>
                          </w:rPr>
                          <w:t>r.c</w:t>
                        </w:r>
                        <w:proofErr w:type="spellEnd"/>
                        <w:r>
                          <w:rPr>
                            <w:rFonts w:ascii="Cambria" w:eastAsia="Cambria" w:hAnsi="Cambria" w:cs="Cambria"/>
                            <w:i/>
                            <w:iCs/>
                            <w:sz w:val="15"/>
                            <w:szCs w:val="15"/>
                          </w:rPr>
                          <w:t xml:space="preserve"> strip footing to structural</w:t>
                        </w:r>
                        <w:r>
                          <w:rPr>
                            <w:rFonts w:ascii="Cambria" w:eastAsia="Cambria" w:hAnsi="Cambria" w:cs="Cambria"/>
                            <w:i/>
                            <w:iCs/>
                            <w:spacing w:val="40"/>
                            <w:sz w:val="15"/>
                            <w:szCs w:val="15"/>
                          </w:rPr>
                          <w:t xml:space="preserve"> </w:t>
                        </w:r>
                        <w:r>
                          <w:rPr>
                            <w:rFonts w:ascii="Cambria" w:eastAsia="Cambria" w:hAnsi="Cambria" w:cs="Cambria"/>
                            <w:i/>
                            <w:iCs/>
                            <w:sz w:val="15"/>
                            <w:szCs w:val="15"/>
                          </w:rPr>
                          <w:t>Engineer's detail on 50mm thick 1:4:8 Concrete</w:t>
                        </w:r>
                        <w:r>
                          <w:rPr>
                            <w:rFonts w:ascii="Cambria" w:eastAsia="Cambria" w:hAnsi="Cambria" w:cs="Cambria"/>
                            <w:i/>
                            <w:iCs/>
                            <w:spacing w:val="40"/>
                            <w:sz w:val="15"/>
                            <w:szCs w:val="15"/>
                          </w:rPr>
                          <w:t xml:space="preserve"> </w:t>
                        </w:r>
                        <w:r>
                          <w:rPr>
                            <w:rFonts w:ascii="Cambria" w:eastAsia="Cambria" w:hAnsi="Cambria" w:cs="Cambria"/>
                            <w:i/>
                            <w:iCs/>
                            <w:sz w:val="15"/>
                            <w:szCs w:val="15"/>
                          </w:rPr>
                          <w:t>blinding</w:t>
                        </w:r>
                        <w:r>
                          <w:rPr>
                            <w:rFonts w:ascii="Cambria" w:eastAsia="Cambria" w:hAnsi="Cambria" w:cs="Cambria"/>
                            <w:i/>
                            <w:iCs/>
                            <w:spacing w:val="-1"/>
                            <w:sz w:val="15"/>
                            <w:szCs w:val="15"/>
                          </w:rPr>
                          <w:t xml:space="preserve"> </w:t>
                        </w:r>
                        <w:r>
                          <w:rPr>
                            <w:rFonts w:ascii="Cambria" w:eastAsia="Cambria" w:hAnsi="Cambria" w:cs="Cambria"/>
                            <w:i/>
                            <w:iCs/>
                            <w:sz w:val="15"/>
                            <w:szCs w:val="15"/>
                          </w:rPr>
                          <w:t>on</w:t>
                        </w:r>
                        <w:r>
                          <w:rPr>
                            <w:rFonts w:ascii="Cambria" w:eastAsia="Cambria" w:hAnsi="Cambria" w:cs="Cambria"/>
                            <w:i/>
                            <w:iCs/>
                            <w:spacing w:val="-1"/>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z w:val="15"/>
                            <w:szCs w:val="15"/>
                          </w:rPr>
                          <w:t xml:space="preserve"> ground</w:t>
                        </w:r>
                        <w:r>
                          <w:rPr>
                            <w:rFonts w:ascii="Cambria" w:eastAsia="Cambria" w:hAnsi="Cambria" w:cs="Cambria"/>
                            <w:i/>
                            <w:iCs/>
                            <w:spacing w:val="-1"/>
                            <w:sz w:val="15"/>
                            <w:szCs w:val="15"/>
                          </w:rPr>
                          <w:t xml:space="preserve"> </w:t>
                        </w:r>
                        <w:r>
                          <w:rPr>
                            <w:rFonts w:ascii="Cambria" w:eastAsia="Cambria" w:hAnsi="Cambria" w:cs="Cambria"/>
                            <w:i/>
                            <w:iCs/>
                            <w:sz w:val="15"/>
                            <w:szCs w:val="15"/>
                          </w:rPr>
                          <w:t>free</w:t>
                        </w:r>
                        <w:r>
                          <w:rPr>
                            <w:rFonts w:ascii="Cambria" w:eastAsia="Cambria" w:hAnsi="Cambria" w:cs="Cambria"/>
                            <w:i/>
                            <w:iCs/>
                            <w:spacing w:val="-1"/>
                            <w:sz w:val="15"/>
                            <w:szCs w:val="15"/>
                          </w:rPr>
                          <w:t xml:space="preserve"> </w:t>
                        </w:r>
                        <w:r>
                          <w:rPr>
                            <w:rFonts w:ascii="Cambria" w:eastAsia="Cambria" w:hAnsi="Cambria" w:cs="Cambria"/>
                            <w:i/>
                            <w:iCs/>
                            <w:sz w:val="15"/>
                            <w:szCs w:val="15"/>
                          </w:rPr>
                          <w:t>from</w:t>
                        </w:r>
                        <w:r>
                          <w:rPr>
                            <w:rFonts w:ascii="Cambria" w:eastAsia="Cambria" w:hAnsi="Cambria" w:cs="Cambria"/>
                            <w:i/>
                            <w:iCs/>
                            <w:spacing w:val="-2"/>
                            <w:sz w:val="15"/>
                            <w:szCs w:val="15"/>
                          </w:rPr>
                          <w:t xml:space="preserve"> </w:t>
                        </w:r>
                        <w:r>
                          <w:rPr>
                            <w:rFonts w:ascii="Cambria" w:eastAsia="Cambria" w:hAnsi="Cambria" w:cs="Cambria"/>
                            <w:i/>
                            <w:iCs/>
                            <w:sz w:val="15"/>
                            <w:szCs w:val="15"/>
                          </w:rPr>
                          <w:t>black</w:t>
                        </w:r>
                        <w:r>
                          <w:rPr>
                            <w:rFonts w:ascii="Cambria" w:eastAsia="Cambria" w:hAnsi="Cambria" w:cs="Cambria"/>
                            <w:i/>
                            <w:iCs/>
                            <w:spacing w:val="-1"/>
                            <w:sz w:val="15"/>
                            <w:szCs w:val="15"/>
                          </w:rPr>
                          <w:t xml:space="preserve"> </w:t>
                        </w:r>
                        <w:r>
                          <w:rPr>
                            <w:rFonts w:ascii="Cambria" w:eastAsia="Cambria" w:hAnsi="Cambria" w:cs="Cambria"/>
                            <w:i/>
                            <w:iCs/>
                            <w:sz w:val="15"/>
                            <w:szCs w:val="15"/>
                          </w:rPr>
                          <w:t>cotton</w:t>
                        </w:r>
                        <w:r>
                          <w:rPr>
                            <w:rFonts w:ascii="Cambria" w:eastAsia="Cambria" w:hAnsi="Cambria" w:cs="Cambria"/>
                            <w:i/>
                            <w:iCs/>
                            <w:spacing w:val="-1"/>
                            <w:sz w:val="15"/>
                            <w:szCs w:val="15"/>
                          </w:rPr>
                          <w:t xml:space="preserve"> </w:t>
                        </w:r>
                        <w:r>
                          <w:rPr>
                            <w:rFonts w:ascii="Cambria" w:eastAsia="Cambria" w:hAnsi="Cambria" w:cs="Cambria"/>
                            <w:i/>
                            <w:iCs/>
                            <w:sz w:val="15"/>
                            <w:szCs w:val="15"/>
                          </w:rPr>
                          <w:t>soil.</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12mm wood </w:t>
                        </w:r>
                        <w:proofErr w:type="spellStart"/>
                        <w:r>
                          <w:rPr>
                            <w:rFonts w:ascii="Cambria" w:eastAsia="Cambria" w:hAnsi="Cambria" w:cs="Cambria"/>
                            <w:i/>
                            <w:iCs/>
                            <w:sz w:val="15"/>
                            <w:szCs w:val="15"/>
                          </w:rPr>
                          <w:t>ϔloat</w:t>
                        </w:r>
                        <w:proofErr w:type="spellEnd"/>
                        <w:r>
                          <w:rPr>
                            <w:rFonts w:ascii="Cambria" w:eastAsia="Cambria" w:hAnsi="Cambria" w:cs="Cambria"/>
                            <w:i/>
                            <w:iCs/>
                            <w:sz w:val="15"/>
                            <w:szCs w:val="15"/>
                          </w:rPr>
                          <w:t xml:space="preserve"> plaster on exposed plinth.</w:t>
                        </w:r>
                      </w:p>
                      <w:p w:rsidR="00883FED" w:rsidRDefault="00883FED">
                        <w:pPr>
                          <w:spacing w:line="249" w:lineRule="auto"/>
                          <w:ind w:left="3936" w:right="21" w:hanging="944"/>
                          <w:jc w:val="right"/>
                          <w:rPr>
                            <w:rFonts w:ascii="Cambria"/>
                            <w:i/>
                            <w:sz w:val="15"/>
                          </w:rPr>
                        </w:pPr>
                        <w:r>
                          <w:rPr>
                            <w:rFonts w:ascii="Cambria"/>
                            <w:i/>
                            <w:sz w:val="15"/>
                          </w:rPr>
                          <w:t>Bituminous paint on rendered surface and depth of</w:t>
                        </w:r>
                        <w:r>
                          <w:rPr>
                            <w:rFonts w:ascii="Cambria"/>
                            <w:i/>
                            <w:spacing w:val="40"/>
                            <w:sz w:val="15"/>
                          </w:rPr>
                          <w:t xml:space="preserve"> </w:t>
                        </w:r>
                        <w:r>
                          <w:rPr>
                            <w:rFonts w:ascii="Cambria"/>
                            <w:i/>
                            <w:sz w:val="15"/>
                          </w:rPr>
                          <w:t>foundation</w:t>
                        </w:r>
                        <w:r>
                          <w:rPr>
                            <w:rFonts w:ascii="Cambria"/>
                            <w:i/>
                            <w:spacing w:val="4"/>
                            <w:sz w:val="15"/>
                          </w:rPr>
                          <w:t xml:space="preserve"> </w:t>
                        </w:r>
                        <w:r>
                          <w:rPr>
                            <w:rFonts w:ascii="Cambria"/>
                            <w:i/>
                            <w:sz w:val="15"/>
                          </w:rPr>
                          <w:t>to</w:t>
                        </w:r>
                        <w:r>
                          <w:rPr>
                            <w:rFonts w:ascii="Cambria"/>
                            <w:i/>
                            <w:spacing w:val="2"/>
                            <w:sz w:val="15"/>
                          </w:rPr>
                          <w:t xml:space="preserve"> </w:t>
                        </w:r>
                        <w:r>
                          <w:rPr>
                            <w:rFonts w:ascii="Cambria"/>
                            <w:i/>
                            <w:sz w:val="15"/>
                          </w:rPr>
                          <w:t>be</w:t>
                        </w:r>
                        <w:r>
                          <w:rPr>
                            <w:rFonts w:ascii="Cambria"/>
                            <w:i/>
                            <w:spacing w:val="3"/>
                            <w:sz w:val="15"/>
                          </w:rPr>
                          <w:t xml:space="preserve"> </w:t>
                        </w:r>
                        <w:r>
                          <w:rPr>
                            <w:rFonts w:ascii="Cambria"/>
                            <w:i/>
                            <w:sz w:val="15"/>
                          </w:rPr>
                          <w:t>determined</w:t>
                        </w:r>
                        <w:r>
                          <w:rPr>
                            <w:rFonts w:ascii="Cambria"/>
                            <w:i/>
                            <w:spacing w:val="3"/>
                            <w:sz w:val="15"/>
                          </w:rPr>
                          <w:t xml:space="preserve"> </w:t>
                        </w:r>
                        <w:r>
                          <w:rPr>
                            <w:rFonts w:ascii="Cambria"/>
                            <w:i/>
                            <w:sz w:val="15"/>
                          </w:rPr>
                          <w:t>on</w:t>
                        </w:r>
                        <w:r>
                          <w:rPr>
                            <w:rFonts w:ascii="Cambria"/>
                            <w:i/>
                            <w:spacing w:val="3"/>
                            <w:sz w:val="15"/>
                          </w:rPr>
                          <w:t xml:space="preserve"> </w:t>
                        </w:r>
                        <w:r>
                          <w:rPr>
                            <w:rFonts w:ascii="Cambria"/>
                            <w:i/>
                            <w:spacing w:val="-2"/>
                            <w:sz w:val="15"/>
                          </w:rPr>
                          <w:t>site.</w:t>
                        </w:r>
                      </w:p>
                      <w:p w:rsidR="00883FED" w:rsidRDefault="00883FED">
                        <w:pPr>
                          <w:spacing w:before="86"/>
                          <w:ind w:left="897"/>
                          <w:rPr>
                            <w:rFonts w:ascii="Cambria"/>
                            <w:b/>
                            <w:sz w:val="15"/>
                          </w:rPr>
                        </w:pPr>
                        <w:r>
                          <w:rPr>
                            <w:rFonts w:ascii="Cambria"/>
                            <w:b/>
                            <w:sz w:val="15"/>
                          </w:rPr>
                          <w:t xml:space="preserve">SUB-STRUCTURE </w:t>
                        </w:r>
                        <w:r>
                          <w:rPr>
                            <w:rFonts w:ascii="Cambria"/>
                            <w:b/>
                            <w:spacing w:val="-2"/>
                            <w:sz w:val="15"/>
                          </w:rPr>
                          <w:t>SPECIFICATION</w:t>
                        </w:r>
                      </w:p>
                      <w:p w:rsidR="00883FED" w:rsidRDefault="00883FED">
                        <w:pPr>
                          <w:spacing w:line="249" w:lineRule="auto"/>
                          <w:ind w:right="3059" w:firstLine="205"/>
                          <w:jc w:val="right"/>
                          <w:rPr>
                            <w:rFonts w:ascii="Cambria" w:eastAsia="Cambria" w:hAnsi="Cambria" w:cs="Cambria"/>
                            <w:i/>
                            <w:iCs/>
                            <w:sz w:val="15"/>
                            <w:szCs w:val="15"/>
                          </w:rPr>
                        </w:pPr>
                        <w:r>
                          <w:rPr>
                            <w:rFonts w:ascii="Cambria" w:eastAsia="Cambria" w:hAnsi="Cambria" w:cs="Cambria"/>
                            <w:i/>
                            <w:iCs/>
                            <w:sz w:val="15"/>
                            <w:szCs w:val="15"/>
                          </w:rPr>
                          <w:t xml:space="preserve">100mm thick </w:t>
                        </w:r>
                        <w:proofErr w:type="spellStart"/>
                        <w:r>
                          <w:rPr>
                            <w:rFonts w:ascii="Cambria" w:eastAsia="Cambria" w:hAnsi="Cambria" w:cs="Cambria"/>
                            <w:i/>
                            <w:iCs/>
                            <w:sz w:val="15"/>
                            <w:szCs w:val="15"/>
                          </w:rPr>
                          <w:t>r.c</w:t>
                        </w:r>
                        <w:proofErr w:type="spellEnd"/>
                        <w:r>
                          <w:rPr>
                            <w:rFonts w:ascii="Cambria" w:eastAsia="Cambria" w:hAnsi="Cambria" w:cs="Cambria"/>
                            <w:i/>
                            <w:iCs/>
                            <w:spacing w:val="-6"/>
                            <w:sz w:val="15"/>
                            <w:szCs w:val="15"/>
                          </w:rPr>
                          <w:t xml:space="preserve"> </w:t>
                        </w:r>
                        <w:r>
                          <w:rPr>
                            <w:rFonts w:ascii="Cambria" w:eastAsia="Cambria" w:hAnsi="Cambria" w:cs="Cambria"/>
                            <w:i/>
                            <w:iCs/>
                            <w:sz w:val="15"/>
                            <w:szCs w:val="15"/>
                          </w:rPr>
                          <w:t>slab mix 1:2:4 to SE's detail on</w:t>
                        </w:r>
                        <w:r>
                          <w:rPr>
                            <w:rFonts w:ascii="Cambria" w:eastAsia="Cambria" w:hAnsi="Cambria" w:cs="Cambria"/>
                            <w:i/>
                            <w:iCs/>
                            <w:spacing w:val="40"/>
                            <w:sz w:val="15"/>
                            <w:szCs w:val="15"/>
                          </w:rPr>
                          <w:t xml:space="preserve"> </w:t>
                        </w:r>
                        <w:r>
                          <w:rPr>
                            <w:rFonts w:ascii="Cambria" w:eastAsia="Cambria" w:hAnsi="Cambria" w:cs="Cambria"/>
                            <w:i/>
                            <w:iCs/>
                            <w:sz w:val="15"/>
                            <w:szCs w:val="15"/>
                          </w:rPr>
                          <w:t>A142BRC wire mesh on 1 layer of 500g polythene</w:t>
                        </w:r>
                        <w:r>
                          <w:rPr>
                            <w:rFonts w:ascii="Cambria" w:eastAsia="Cambria" w:hAnsi="Cambria" w:cs="Cambria"/>
                            <w:i/>
                            <w:iCs/>
                            <w:spacing w:val="40"/>
                            <w:sz w:val="15"/>
                            <w:szCs w:val="15"/>
                          </w:rPr>
                          <w:t xml:space="preserve"> </w:t>
                        </w:r>
                        <w:r>
                          <w:rPr>
                            <w:rFonts w:ascii="Cambria" w:eastAsia="Cambria" w:hAnsi="Cambria" w:cs="Cambria"/>
                            <w:i/>
                            <w:iCs/>
                            <w:sz w:val="15"/>
                            <w:szCs w:val="15"/>
                          </w:rPr>
                          <w:t>sheeting. 300mm overlaps on 50mm sand blinding</w:t>
                        </w:r>
                        <w:r>
                          <w:rPr>
                            <w:rFonts w:ascii="Cambria" w:eastAsia="Cambria" w:hAnsi="Cambria" w:cs="Cambria"/>
                            <w:i/>
                            <w:iCs/>
                            <w:spacing w:val="40"/>
                            <w:sz w:val="15"/>
                            <w:szCs w:val="15"/>
                          </w:rPr>
                          <w:t xml:space="preserve"> </w:t>
                        </w:r>
                        <w:r>
                          <w:rPr>
                            <w:rFonts w:ascii="Cambria" w:eastAsia="Cambria" w:hAnsi="Cambria" w:cs="Cambria"/>
                            <w:i/>
                            <w:iCs/>
                            <w:sz w:val="15"/>
                            <w:szCs w:val="15"/>
                          </w:rPr>
                          <w:t>on 300mm well compacted approved hardcore on</w:t>
                        </w:r>
                        <w:r>
                          <w:rPr>
                            <w:rFonts w:ascii="Cambria" w:eastAsia="Cambria" w:hAnsi="Cambria" w:cs="Cambria"/>
                            <w:i/>
                            <w:iCs/>
                            <w:spacing w:val="40"/>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z w:val="15"/>
                            <w:szCs w:val="15"/>
                          </w:rPr>
                          <w:t xml:space="preserve"> </w:t>
                        </w:r>
                        <w:proofErr w:type="spellStart"/>
                        <w:r>
                          <w:rPr>
                            <w:rFonts w:ascii="Cambria" w:eastAsia="Cambria" w:hAnsi="Cambria" w:cs="Cambria"/>
                            <w:i/>
                            <w:iCs/>
                            <w:sz w:val="15"/>
                            <w:szCs w:val="15"/>
                          </w:rPr>
                          <w:t>grund</w:t>
                        </w:r>
                        <w:proofErr w:type="spellEnd"/>
                        <w:r>
                          <w:rPr>
                            <w:rFonts w:ascii="Cambria" w:eastAsia="Cambria" w:hAnsi="Cambria" w:cs="Cambria"/>
                            <w:i/>
                            <w:iCs/>
                            <w:sz w:val="15"/>
                            <w:szCs w:val="15"/>
                          </w:rPr>
                          <w:t xml:space="preserve"> free vegetable soil and treated with</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approved anti </w:t>
                        </w:r>
                        <w:proofErr w:type="gramStart"/>
                        <w:r>
                          <w:rPr>
                            <w:rFonts w:ascii="Cambria" w:eastAsia="Cambria" w:hAnsi="Cambria" w:cs="Cambria"/>
                            <w:i/>
                            <w:iCs/>
                            <w:sz w:val="15"/>
                            <w:szCs w:val="15"/>
                          </w:rPr>
                          <w:t>termites</w:t>
                        </w:r>
                        <w:proofErr w:type="gramEnd"/>
                        <w:r>
                          <w:rPr>
                            <w:rFonts w:ascii="Cambria" w:eastAsia="Cambria" w:hAnsi="Cambria" w:cs="Cambria"/>
                            <w:i/>
                            <w:iCs/>
                            <w:sz w:val="15"/>
                            <w:szCs w:val="15"/>
                          </w:rPr>
                          <w:t xml:space="preserve"> insecticides.</w:t>
                        </w:r>
                      </w:p>
                    </w:txbxContent>
                  </v:textbox>
                </v:shape>
                <w10:wrap anchorx="page" anchory="page"/>
              </v:group>
            </w:pict>
          </mc:Fallback>
        </mc:AlternateContent>
      </w:r>
      <w:r>
        <w:rPr>
          <w:rFonts w:ascii="Cambria"/>
          <w:b/>
          <w:noProof/>
          <w:sz w:val="17"/>
        </w:rPr>
        <mc:AlternateContent>
          <mc:Choice Requires="wps">
            <w:drawing>
              <wp:anchor distT="0" distB="0" distL="0" distR="0" simplePos="0" relativeHeight="479613952" behindDoc="1" locked="0" layoutInCell="1" allowOverlap="1">
                <wp:simplePos x="0" y="0"/>
                <wp:positionH relativeFrom="page">
                  <wp:posOffset>1812704</wp:posOffset>
                </wp:positionH>
                <wp:positionV relativeFrom="page">
                  <wp:posOffset>2668247</wp:posOffset>
                </wp:positionV>
                <wp:extent cx="1270" cy="756920"/>
                <wp:effectExtent l="0" t="0" r="0" b="0"/>
                <wp:wrapNone/>
                <wp:docPr id="37"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920"/>
                        </a:xfrm>
                        <a:custGeom>
                          <a:avLst/>
                          <a:gdLst/>
                          <a:ahLst/>
                          <a:cxnLst/>
                          <a:rect l="l" t="t" r="r" b="b"/>
                          <a:pathLst>
                            <a:path h="756920">
                              <a:moveTo>
                                <a:pt x="0" y="756527"/>
                              </a:moveTo>
                              <a:lnTo>
                                <a:pt x="0" y="0"/>
                              </a:lnTo>
                            </a:path>
                          </a:pathLst>
                        </a:custGeom>
                        <a:ln w="43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69E26C" id="Graphic 582" o:spid="_x0000_s1026" style="position:absolute;margin-left:142.75pt;margin-top:210.1pt;width:.1pt;height:59.6pt;z-index:-23702528;visibility:visible;mso-wrap-style:square;mso-wrap-distance-left:0;mso-wrap-distance-top:0;mso-wrap-distance-right:0;mso-wrap-distance-bottom:0;mso-position-horizontal:absolute;mso-position-horizontal-relative:page;mso-position-vertical:absolute;mso-position-vertical-relative:page;v-text-anchor:top" coordsize="1270,75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" path="m,756527l,e" filled="f" strokeweight=".1222mm">
                <v:path arrowok="t"/>
                <w10:wrap anchorx="page" anchory="page"/>
              </v:shape>
            </w:pict>
          </mc:Fallback>
        </mc:AlternateContent>
      </w:r>
      <w:r>
        <w:rPr>
          <w:rFonts w:ascii="Cambria"/>
          <w:b/>
          <w:noProof/>
          <w:sz w:val="17"/>
        </w:rPr>
        <mc:AlternateContent>
          <mc:Choice Requires="wps">
            <w:drawing>
              <wp:anchor distT="0" distB="0" distL="0" distR="0" simplePos="0" relativeHeight="15776768" behindDoc="0" locked="0" layoutInCell="1" allowOverlap="1">
                <wp:simplePos x="0" y="0"/>
                <wp:positionH relativeFrom="page">
                  <wp:posOffset>1095699</wp:posOffset>
                </wp:positionH>
                <wp:positionV relativeFrom="page">
                  <wp:posOffset>4156037</wp:posOffset>
                </wp:positionV>
                <wp:extent cx="191135" cy="375285"/>
                <wp:effectExtent l="0" t="0" r="0" b="0"/>
                <wp:wrapNone/>
                <wp:docPr id="38"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883FED" w:rsidRDefault="00883FED">
                            <w:pPr>
                              <w:spacing w:line="277" w:lineRule="exact"/>
                              <w:ind w:left="20"/>
                              <w:rPr>
                                <w:rFonts w:ascii="Arial MT"/>
                                <w:sz w:val="26"/>
                              </w:rPr>
                            </w:pPr>
                            <w:r>
                              <w:rPr>
                                <w:rFonts w:ascii="Arial MT"/>
                                <w:color w:val="3FA5FF"/>
                                <w:spacing w:val="-2"/>
                                <w:sz w:val="26"/>
                              </w:rPr>
                              <w:t>E-</w:t>
                            </w:r>
                            <w:r>
                              <w:rPr>
                                <w:rFonts w:ascii="Arial MT"/>
                                <w:color w:val="3FA5FF"/>
                                <w:spacing w:val="-5"/>
                                <w:sz w:val="26"/>
                              </w:rPr>
                              <w:t>04</w:t>
                            </w:r>
                          </w:p>
                        </w:txbxContent>
                      </wps:txbx>
                      <wps:bodyPr vert="vert270" wrap="square" lIns="0" tIns="0" rIns="0" bIns="0" rtlCol="0">
                        <a:noAutofit/>
                      </wps:bodyPr>
                    </wps:wsp>
                  </a:graphicData>
                </a:graphic>
              </wp:anchor>
            </w:drawing>
          </mc:Choice>
          <mc:Fallback>
            <w:pict>
              <v:shape id="Textbox 583" o:spid="_x0000_s1100" type="#_x0000_t202" style="position:absolute;margin-left:86.3pt;margin-top:327.25pt;width:15.05pt;height:29.5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" filled="f" stroked="f">
                <v:path arrowok="t"/>
                <v:textbox style="layout-flow:vertical;mso-layout-flow-alt:bottom-to-top" inset="0,0,0,0">
                  <w:txbxContent>
                    <w:p w:rsidR="00883FED" w:rsidRDefault="00883FED">
                      <w:pPr>
                        <w:spacing w:line="277" w:lineRule="exact"/>
                        <w:ind w:left="20"/>
                        <w:rPr>
                          <w:rFonts w:ascii="Arial MT"/>
                          <w:sz w:val="26"/>
                        </w:rPr>
                      </w:pPr>
                      <w:r>
                        <w:rPr>
                          <w:rFonts w:ascii="Arial MT"/>
                          <w:color w:val="3FA5FF"/>
                          <w:spacing w:val="-2"/>
                          <w:sz w:val="26"/>
                        </w:rPr>
                        <w:t>E-</w:t>
                      </w:r>
                      <w:r>
                        <w:rPr>
                          <w:rFonts w:ascii="Arial MT"/>
                          <w:color w:val="3FA5FF"/>
                          <w:spacing w:val="-5"/>
                          <w:sz w:val="26"/>
                        </w:rPr>
                        <w:t>04</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7280" behindDoc="0" locked="0" layoutInCell="1" allowOverlap="1">
                <wp:simplePos x="0" y="0"/>
                <wp:positionH relativeFrom="page">
                  <wp:posOffset>1582369</wp:posOffset>
                </wp:positionH>
                <wp:positionV relativeFrom="page">
                  <wp:posOffset>6461523</wp:posOffset>
                </wp:positionV>
                <wp:extent cx="163830" cy="255904"/>
                <wp:effectExtent l="0" t="0" r="0" b="0"/>
                <wp:wrapNone/>
                <wp:docPr id="39"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883FED" w:rsidRDefault="00883FED">
                            <w:pPr>
                              <w:spacing w:line="233" w:lineRule="exact"/>
                              <w:ind w:left="20"/>
                              <w:rPr>
                                <w:rFonts w:ascii="Arial MT"/>
                                <w:sz w:val="21"/>
                              </w:rPr>
                            </w:pPr>
                            <w:r>
                              <w:rPr>
                                <w:rFonts w:ascii="Arial MT"/>
                                <w:spacing w:val="-5"/>
                                <w:w w:val="105"/>
                                <w:sz w:val="21"/>
                              </w:rPr>
                              <w:t>300</w:t>
                            </w:r>
                          </w:p>
                        </w:txbxContent>
                      </wps:txbx>
                      <wps:bodyPr vert="vert270" wrap="square" lIns="0" tIns="0" rIns="0" bIns="0" rtlCol="0">
                        <a:noAutofit/>
                      </wps:bodyPr>
                    </wps:wsp>
                  </a:graphicData>
                </a:graphic>
              </wp:anchor>
            </w:drawing>
          </mc:Choice>
          <mc:Fallback>
            <w:pict>
              <v:shape id="Textbox 584" o:spid="_x0000_s1101" type="#_x0000_t202" style="position:absolute;margin-left:124.6pt;margin-top:508.8pt;width:12.9pt;height:20.1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5"/>
                          <w:w w:val="105"/>
                          <w:sz w:val="21"/>
                        </w:rPr>
                        <w:t>300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7792" behindDoc="0" locked="0" layoutInCell="1" allowOverlap="1">
                <wp:simplePos x="0" y="0"/>
                <wp:positionH relativeFrom="page">
                  <wp:posOffset>1582369</wp:posOffset>
                </wp:positionH>
                <wp:positionV relativeFrom="page">
                  <wp:posOffset>4490964</wp:posOffset>
                </wp:positionV>
                <wp:extent cx="163830" cy="255904"/>
                <wp:effectExtent l="0" t="0" r="0" b="0"/>
                <wp:wrapNone/>
                <wp:docPr id="40"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883FED" w:rsidRDefault="00883FED">
                            <w:pPr>
                              <w:spacing w:line="233" w:lineRule="exact"/>
                              <w:ind w:left="20"/>
                              <w:rPr>
                                <w:rFonts w:ascii="Arial MT"/>
                                <w:sz w:val="21"/>
                              </w:rPr>
                            </w:pPr>
                            <w:r>
                              <w:rPr>
                                <w:rFonts w:ascii="Arial MT"/>
                                <w:spacing w:val="-5"/>
                                <w:w w:val="105"/>
                                <w:sz w:val="21"/>
                              </w:rPr>
                              <w:t>300</w:t>
                            </w:r>
                          </w:p>
                        </w:txbxContent>
                      </wps:txbx>
                      <wps:bodyPr vert="vert270" wrap="square" lIns="0" tIns="0" rIns="0" bIns="0" rtlCol="0">
                        <a:noAutofit/>
                      </wps:bodyPr>
                    </wps:wsp>
                  </a:graphicData>
                </a:graphic>
              </wp:anchor>
            </w:drawing>
          </mc:Choice>
          <mc:Fallback>
            <w:pict>
              <v:shape id="Textbox 585" o:spid="_x0000_s1102" type="#_x0000_t202" style="position:absolute;margin-left:124.6pt;margin-top:353.6pt;width:12.9pt;height:20.1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5"/>
                          <w:w w:val="105"/>
                          <w:sz w:val="21"/>
                        </w:rPr>
                        <w:t>300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8304" behindDoc="0" locked="0" layoutInCell="1" allowOverlap="1">
                <wp:simplePos x="0" y="0"/>
                <wp:positionH relativeFrom="page">
                  <wp:posOffset>1582369</wp:posOffset>
                </wp:positionH>
                <wp:positionV relativeFrom="page">
                  <wp:posOffset>2480203</wp:posOffset>
                </wp:positionV>
                <wp:extent cx="163830" cy="255904"/>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883FED" w:rsidRDefault="00883FED">
                            <w:pPr>
                              <w:spacing w:line="233" w:lineRule="exact"/>
                              <w:ind w:left="20"/>
                              <w:rPr>
                                <w:rFonts w:ascii="Arial MT"/>
                                <w:sz w:val="21"/>
                              </w:rPr>
                            </w:pPr>
                            <w:r>
                              <w:rPr>
                                <w:rFonts w:ascii="Arial MT"/>
                                <w:spacing w:val="-5"/>
                                <w:w w:val="105"/>
                                <w:sz w:val="21"/>
                              </w:rPr>
                              <w:t>300</w:t>
                            </w:r>
                          </w:p>
                        </w:txbxContent>
                      </wps:txbx>
                      <wps:bodyPr vert="vert270" wrap="square" lIns="0" tIns="0" rIns="0" bIns="0" rtlCol="0">
                        <a:noAutofit/>
                      </wps:bodyPr>
                    </wps:wsp>
                  </a:graphicData>
                </a:graphic>
              </wp:anchor>
            </w:drawing>
          </mc:Choice>
          <mc:Fallback>
            <w:pict>
              <v:shape id="Textbox 586" o:spid="_x0000_s1103" type="#_x0000_t202" style="position:absolute;margin-left:124.6pt;margin-top:195.3pt;width:12.9pt;height:20.1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5"/>
                          <w:w w:val="105"/>
                          <w:sz w:val="21"/>
                        </w:rPr>
                        <w:t>300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8816" behindDoc="0" locked="0" layoutInCell="1" allowOverlap="1">
                <wp:simplePos x="0" y="0"/>
                <wp:positionH relativeFrom="page">
                  <wp:posOffset>1655382</wp:posOffset>
                </wp:positionH>
                <wp:positionV relativeFrom="page">
                  <wp:posOffset>11665722</wp:posOffset>
                </wp:positionV>
                <wp:extent cx="135890" cy="30162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883FED" w:rsidRDefault="00883FED">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87" o:spid="_x0000_s1104" type="#_x0000_t202" style="position:absolute;margin-left:130.35pt;margin-top:918.55pt;width:10.7pt;height:23.7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2"/>
                          <w:sz w:val="17"/>
                        </w:rPr>
                        <w:t>3,150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9328" behindDoc="0" locked="0" layoutInCell="1" allowOverlap="1">
                <wp:simplePos x="0" y="0"/>
                <wp:positionH relativeFrom="page">
                  <wp:posOffset>1669710</wp:posOffset>
                </wp:positionH>
                <wp:positionV relativeFrom="page">
                  <wp:posOffset>8883693</wp:posOffset>
                </wp:positionV>
                <wp:extent cx="135890" cy="30162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883FED" w:rsidRDefault="00883FED">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88" o:spid="_x0000_s1105" type="#_x0000_t202" style="position:absolute;margin-left:131.45pt;margin-top:699.5pt;width:10.7pt;height:23.7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2"/>
                          <w:sz w:val="17"/>
                        </w:rPr>
                        <w:t>3,150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9840" behindDoc="0" locked="0" layoutInCell="1" allowOverlap="1">
                <wp:simplePos x="0" y="0"/>
                <wp:positionH relativeFrom="page">
                  <wp:posOffset>1743224</wp:posOffset>
                </wp:positionH>
                <wp:positionV relativeFrom="page">
                  <wp:posOffset>5418744</wp:posOffset>
                </wp:positionV>
                <wp:extent cx="163830" cy="37084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883FED" w:rsidRDefault="00883FED">
                            <w:pPr>
                              <w:spacing w:line="233" w:lineRule="exact"/>
                              <w:ind w:left="20"/>
                              <w:rPr>
                                <w:rFonts w:ascii="Arial MT"/>
                                <w:sz w:val="21"/>
                              </w:rPr>
                            </w:pPr>
                            <w:r>
                              <w:rPr>
                                <w:rFonts w:ascii="Arial MT"/>
                                <w:spacing w:val="-4"/>
                                <w:w w:val="105"/>
                                <w:sz w:val="21"/>
                              </w:rPr>
                              <w:t>4,600</w:t>
                            </w:r>
                          </w:p>
                        </w:txbxContent>
                      </wps:txbx>
                      <wps:bodyPr vert="vert270" wrap="square" lIns="0" tIns="0" rIns="0" bIns="0" rtlCol="0">
                        <a:noAutofit/>
                      </wps:bodyPr>
                    </wps:wsp>
                  </a:graphicData>
                </a:graphic>
              </wp:anchor>
            </w:drawing>
          </mc:Choice>
          <mc:Fallback>
            <w:pict>
              <v:shape id="Textbox 589" o:spid="_x0000_s1106" type="#_x0000_t202" style="position:absolute;margin-left:137.25pt;margin-top:426.65pt;width:12.9pt;height:29.2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4"/>
                          <w:w w:val="105"/>
                          <w:sz w:val="21"/>
                        </w:rPr>
                        <w:t>4,600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80352" behindDoc="0" locked="0" layoutInCell="1" allowOverlap="1">
                <wp:simplePos x="0" y="0"/>
                <wp:positionH relativeFrom="page">
                  <wp:posOffset>1743224</wp:posOffset>
                </wp:positionH>
                <wp:positionV relativeFrom="page">
                  <wp:posOffset>3428089</wp:posOffset>
                </wp:positionV>
                <wp:extent cx="163830" cy="37084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883FED" w:rsidRDefault="00883FED">
                            <w:pPr>
                              <w:spacing w:line="233" w:lineRule="exact"/>
                              <w:ind w:left="20"/>
                              <w:rPr>
                                <w:rFonts w:ascii="Arial MT"/>
                                <w:sz w:val="21"/>
                              </w:rPr>
                            </w:pPr>
                            <w:r>
                              <w:rPr>
                                <w:rFonts w:ascii="Arial MT"/>
                                <w:spacing w:val="-4"/>
                                <w:w w:val="105"/>
                                <w:sz w:val="21"/>
                              </w:rPr>
                              <w:t>4,700</w:t>
                            </w:r>
                          </w:p>
                        </w:txbxContent>
                      </wps:txbx>
                      <wps:bodyPr vert="vert270" wrap="square" lIns="0" tIns="0" rIns="0" bIns="0" rtlCol="0">
                        <a:noAutofit/>
                      </wps:bodyPr>
                    </wps:wsp>
                  </a:graphicData>
                </a:graphic>
              </wp:anchor>
            </w:drawing>
          </mc:Choice>
          <mc:Fallback>
            <w:pict>
              <v:shape id="Textbox 590" o:spid="_x0000_s1107" type="#_x0000_t202" style="position:absolute;margin-left:137.25pt;margin-top:269.95pt;width:12.9pt;height:29.2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" filled="f" stroked="f">
                <v:path arrowok="t"/>
                <v:textbox style="layout-flow:vertical;mso-layout-flow-alt:bottom-to-top" inset="0,0,0,0">
                  <w:txbxContent>
                    <w:p w:rsidR="00883FED" w:rsidRDefault="00883FED">
                      <w:pPr>
                        <w:spacing w:line="233" w:lineRule="exact"/>
                        <w:ind w:left="20"/>
                        <w:rPr>
                          <w:rFonts w:ascii="Arial MT"/>
                          <w:sz w:val="21"/>
                        </w:rPr>
                      </w:pPr>
                      <w:r>
                        <w:rPr>
                          <w:rFonts w:ascii="Arial MT"/>
                          <w:spacing w:val="-4"/>
                          <w:w w:val="105"/>
                          <w:sz w:val="21"/>
                        </w:rPr>
                        <w:t>4,700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80864" behindDoc="0" locked="0" layoutInCell="1" allowOverlap="1">
                <wp:simplePos x="0" y="0"/>
                <wp:positionH relativeFrom="page">
                  <wp:posOffset>1767247</wp:posOffset>
                </wp:positionH>
                <wp:positionV relativeFrom="page">
                  <wp:posOffset>11168804</wp:posOffset>
                </wp:positionV>
                <wp:extent cx="135890" cy="20955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209550"/>
                        </a:xfrm>
                        <a:prstGeom prst="rect">
                          <a:avLst/>
                        </a:prstGeom>
                      </wps:spPr>
                      <wps:txbx>
                        <w:txbxContent>
                          <w:p w:rsidR="00883FED" w:rsidRDefault="00883FED">
                            <w:pPr>
                              <w:spacing w:line="191" w:lineRule="exact"/>
                              <w:ind w:left="20"/>
                              <w:rPr>
                                <w:rFonts w:ascii="Arial MT"/>
                                <w:sz w:val="17"/>
                              </w:rPr>
                            </w:pPr>
                            <w:r>
                              <w:rPr>
                                <w:rFonts w:ascii="Arial MT"/>
                                <w:spacing w:val="-5"/>
                                <w:sz w:val="17"/>
                              </w:rPr>
                              <w:t>450</w:t>
                            </w:r>
                          </w:p>
                        </w:txbxContent>
                      </wps:txbx>
                      <wps:bodyPr vert="vert270" wrap="square" lIns="0" tIns="0" rIns="0" bIns="0" rtlCol="0">
                        <a:noAutofit/>
                      </wps:bodyPr>
                    </wps:wsp>
                  </a:graphicData>
                </a:graphic>
              </wp:anchor>
            </w:drawing>
          </mc:Choice>
          <mc:Fallback>
            <w:pict>
              <v:shape id="Textbox 591" o:spid="_x0000_s1108" type="#_x0000_t202" style="position:absolute;margin-left:139.15pt;margin-top:879.45pt;width:10.7pt;height:16.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5"/>
                          <w:sz w:val="17"/>
                        </w:rPr>
                        <w:t>450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90592" behindDoc="0" locked="0" layoutInCell="1" allowOverlap="1">
                <wp:simplePos x="0" y="0"/>
                <wp:positionH relativeFrom="page">
                  <wp:posOffset>16714523</wp:posOffset>
                </wp:positionH>
                <wp:positionV relativeFrom="page">
                  <wp:posOffset>827525</wp:posOffset>
                </wp:positionV>
                <wp:extent cx="2487295" cy="12577444"/>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295" cy="12577444"/>
                        </a:xfrm>
                        <a:prstGeom prst="rect">
                          <a:avLst/>
                        </a:prstGeom>
                      </wps:spPr>
                      <wps:txbx>
                        <w:txbxContent>
                          <w:tbl>
                            <w:tblPr>
                              <w:tblW w:w="0" w:type="auto"/>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
                              <w:gridCol w:w="498"/>
                              <w:gridCol w:w="126"/>
                              <w:gridCol w:w="1047"/>
                              <w:gridCol w:w="295"/>
                              <w:gridCol w:w="531"/>
                              <w:gridCol w:w="203"/>
                              <w:gridCol w:w="774"/>
                            </w:tblGrid>
                            <w:tr w:rsidR="00883FED">
                              <w:trPr>
                                <w:trHeight w:val="536"/>
                              </w:trPr>
                              <w:tc>
                                <w:tcPr>
                                  <w:tcW w:w="3742" w:type="dxa"/>
                                  <w:gridSpan w:val="8"/>
                                  <w:tcBorders>
                                    <w:bottom w:val="double" w:sz="6" w:space="0" w:color="000000"/>
                                  </w:tcBorders>
                                </w:tcPr>
                                <w:p w:rsidR="00883FED" w:rsidRDefault="00883FED">
                                  <w:pPr>
                                    <w:pStyle w:val="TableParagraph"/>
                                    <w:spacing w:before="160"/>
                                    <w:ind w:left="73"/>
                                    <w:rPr>
                                      <w:rFonts w:ascii="Arial"/>
                                      <w:b/>
                                      <w:sz w:val="23"/>
                                    </w:rPr>
                                  </w:pPr>
                                  <w:r>
                                    <w:rPr>
                                      <w:rFonts w:ascii="Arial"/>
                                      <w:b/>
                                      <w:color w:val="0000FF"/>
                                      <w:spacing w:val="-2"/>
                                      <w:sz w:val="23"/>
                                      <w:u w:val="single" w:color="0000FF"/>
                                    </w:rPr>
                                    <w:t>NOTES</w:t>
                                  </w:r>
                                </w:p>
                              </w:tc>
                            </w:tr>
                            <w:tr w:rsidR="00883FED">
                              <w:trPr>
                                <w:trHeight w:val="5159"/>
                              </w:trPr>
                              <w:tc>
                                <w:tcPr>
                                  <w:tcW w:w="3742" w:type="dxa"/>
                                  <w:gridSpan w:val="8"/>
                                  <w:tcBorders>
                                    <w:top w:val="double" w:sz="6" w:space="0" w:color="000000"/>
                                  </w:tcBorders>
                                </w:tcPr>
                                <w:p w:rsidR="00883FED" w:rsidRDefault="00883FED">
                                  <w:pPr>
                                    <w:pStyle w:val="TableParagraph"/>
                                    <w:spacing w:before="107"/>
                                    <w:rPr>
                                      <w:rFonts w:ascii="Cambria"/>
                                      <w:b/>
                                      <w:sz w:val="17"/>
                                    </w:rPr>
                                  </w:pPr>
                                </w:p>
                                <w:p w:rsidR="00883FED" w:rsidRDefault="00883FED">
                                  <w:pPr>
                                    <w:pStyle w:val="TableParagraph"/>
                                    <w:ind w:left="86"/>
                                    <w:rPr>
                                      <w:rFonts w:ascii="Arial MT"/>
                                      <w:sz w:val="17"/>
                                    </w:rPr>
                                  </w:pPr>
                                  <w:r>
                                    <w:rPr>
                                      <w:rFonts w:ascii="Arial MT"/>
                                      <w:color w:val="0000FF"/>
                                      <w:spacing w:val="-2"/>
                                      <w:sz w:val="17"/>
                                    </w:rPr>
                                    <w:t>General</w:t>
                                  </w:r>
                                </w:p>
                                <w:p w:rsidR="00883FED" w:rsidRDefault="00883FED">
                                  <w:pPr>
                                    <w:pStyle w:val="TableParagraph"/>
                                    <w:spacing w:before="9"/>
                                    <w:ind w:left="86"/>
                                    <w:rPr>
                                      <w:rFonts w:ascii="Arial MT"/>
                                      <w:sz w:val="11"/>
                                    </w:rPr>
                                  </w:pPr>
                                  <w:r>
                                    <w:rPr>
                                      <w:rFonts w:ascii="Arial MT"/>
                                      <w:color w:val="0000FF"/>
                                      <w:w w:val="105"/>
                                      <w:sz w:val="11"/>
                                    </w:rPr>
                                    <w:t>-Read</w:t>
                                  </w:r>
                                  <w:r>
                                    <w:rPr>
                                      <w:rFonts w:ascii="Arial MT"/>
                                      <w:color w:val="0000FF"/>
                                      <w:spacing w:val="-2"/>
                                      <w:w w:val="105"/>
                                      <w:sz w:val="11"/>
                                    </w:rPr>
                                    <w:t xml:space="preserve"> </w:t>
                                  </w:r>
                                  <w:r>
                                    <w:rPr>
                                      <w:rFonts w:ascii="Arial MT"/>
                                      <w:color w:val="0000FF"/>
                                      <w:w w:val="105"/>
                                      <w:sz w:val="11"/>
                                    </w:rPr>
                                    <w:t>only</w:t>
                                  </w:r>
                                  <w:r>
                                    <w:rPr>
                                      <w:rFonts w:ascii="Arial MT"/>
                                      <w:color w:val="0000FF"/>
                                      <w:spacing w:val="-2"/>
                                      <w:w w:val="105"/>
                                      <w:sz w:val="11"/>
                                    </w:rPr>
                                    <w:t xml:space="preserve"> </w:t>
                                  </w:r>
                                  <w:r>
                                    <w:rPr>
                                      <w:rFonts w:ascii="Arial MT"/>
                                      <w:color w:val="0000FF"/>
                                      <w:w w:val="105"/>
                                      <w:sz w:val="11"/>
                                    </w:rPr>
                                    <w:t>figured</w:t>
                                  </w:r>
                                  <w:r>
                                    <w:rPr>
                                      <w:rFonts w:ascii="Arial MT"/>
                                      <w:color w:val="0000FF"/>
                                      <w:spacing w:val="-1"/>
                                      <w:w w:val="105"/>
                                      <w:sz w:val="11"/>
                                    </w:rPr>
                                    <w:t xml:space="preserve"> </w:t>
                                  </w:r>
                                  <w:r>
                                    <w:rPr>
                                      <w:rFonts w:ascii="Arial MT"/>
                                      <w:color w:val="0000FF"/>
                                      <w:spacing w:val="-2"/>
                                      <w:w w:val="105"/>
                                      <w:sz w:val="11"/>
                                    </w:rPr>
                                    <w:t>dimensions.</w:t>
                                  </w:r>
                                </w:p>
                                <w:p w:rsidR="00883FED" w:rsidRDefault="00883FED">
                                  <w:pPr>
                                    <w:pStyle w:val="TableParagraph"/>
                                    <w:spacing w:before="8"/>
                                    <w:ind w:left="8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dimensions</w:t>
                                  </w:r>
                                  <w:r>
                                    <w:rPr>
                                      <w:rFonts w:ascii="Arial MT"/>
                                      <w:color w:val="0000FF"/>
                                      <w:spacing w:val="3"/>
                                      <w:w w:val="105"/>
                                      <w:sz w:val="11"/>
                                    </w:rPr>
                                    <w:t xml:space="preserve"> </w:t>
                                  </w:r>
                                  <w:r>
                                    <w:rPr>
                                      <w:rFonts w:ascii="Arial MT"/>
                                      <w:color w:val="0000FF"/>
                                      <w:w w:val="105"/>
                                      <w:sz w:val="11"/>
                                    </w:rPr>
                                    <w:t>are</w:t>
                                  </w:r>
                                  <w:r>
                                    <w:rPr>
                                      <w:rFonts w:ascii="Arial MT"/>
                                      <w:color w:val="0000FF"/>
                                      <w:spacing w:val="-1"/>
                                      <w:w w:val="105"/>
                                      <w:sz w:val="11"/>
                                    </w:rPr>
                                    <w:t xml:space="preserve"> </w:t>
                                  </w:r>
                                  <w:r>
                                    <w:rPr>
                                      <w:rFonts w:ascii="Arial MT"/>
                                      <w:color w:val="0000FF"/>
                                      <w:w w:val="105"/>
                                      <w:sz w:val="11"/>
                                    </w:rPr>
                                    <w:t>in</w:t>
                                  </w:r>
                                  <w:r>
                                    <w:rPr>
                                      <w:rFonts w:ascii="Arial MT"/>
                                      <w:color w:val="0000FF"/>
                                      <w:spacing w:val="-2"/>
                                      <w:w w:val="105"/>
                                      <w:sz w:val="11"/>
                                    </w:rPr>
                                    <w:t xml:space="preserve"> </w:t>
                                  </w:r>
                                  <w:r>
                                    <w:rPr>
                                      <w:rFonts w:ascii="Arial MT"/>
                                      <w:color w:val="0000FF"/>
                                      <w:w w:val="105"/>
                                      <w:sz w:val="11"/>
                                    </w:rPr>
                                    <w:t>mm</w:t>
                                  </w:r>
                                  <w:r>
                                    <w:rPr>
                                      <w:rFonts w:ascii="Arial MT"/>
                                      <w:color w:val="0000FF"/>
                                      <w:spacing w:val="-2"/>
                                      <w:w w:val="105"/>
                                      <w:sz w:val="11"/>
                                    </w:rPr>
                                    <w:t xml:space="preserve"> </w:t>
                                  </w:r>
                                  <w:r>
                                    <w:rPr>
                                      <w:rFonts w:ascii="Arial MT"/>
                                      <w:color w:val="0000FF"/>
                                      <w:w w:val="105"/>
                                      <w:sz w:val="11"/>
                                    </w:rPr>
                                    <w:t>unless otherwise</w:t>
                                  </w:r>
                                  <w:r>
                                    <w:rPr>
                                      <w:rFonts w:ascii="Arial MT"/>
                                      <w:color w:val="0000FF"/>
                                      <w:spacing w:val="5"/>
                                      <w:w w:val="105"/>
                                      <w:sz w:val="11"/>
                                    </w:rPr>
                                    <w:t xml:space="preserve"> </w:t>
                                  </w:r>
                                  <w:r>
                                    <w:rPr>
                                      <w:rFonts w:ascii="Arial MT"/>
                                      <w:color w:val="0000FF"/>
                                      <w:spacing w:val="-2"/>
                                      <w:w w:val="105"/>
                                      <w:sz w:val="11"/>
                                    </w:rPr>
                                    <w:t>specified.</w:t>
                                  </w:r>
                                </w:p>
                                <w:p w:rsidR="00883FED" w:rsidRDefault="00883FED">
                                  <w:pPr>
                                    <w:pStyle w:val="TableParagraph"/>
                                    <w:spacing w:before="8" w:line="254" w:lineRule="auto"/>
                                    <w:ind w:left="119" w:hanging="33"/>
                                    <w:rPr>
                                      <w:rFonts w:ascii="Arial MT"/>
                                      <w:sz w:val="11"/>
                                    </w:rPr>
                                  </w:pPr>
                                  <w:r>
                                    <w:rPr>
                                      <w:rFonts w:ascii="Arial MT"/>
                                      <w:color w:val="0000FF"/>
                                      <w:w w:val="105"/>
                                      <w:sz w:val="11"/>
                                    </w:rPr>
                                    <w:t>-The</w:t>
                                  </w:r>
                                  <w:r>
                                    <w:rPr>
                                      <w:rFonts w:ascii="Arial MT"/>
                                      <w:color w:val="0000FF"/>
                                      <w:spacing w:val="-2"/>
                                      <w:w w:val="105"/>
                                      <w:sz w:val="11"/>
                                    </w:rPr>
                                    <w:t xml:space="preserve"> </w:t>
                                  </w:r>
                                  <w:r>
                                    <w:rPr>
                                      <w:rFonts w:ascii="Arial MT"/>
                                      <w:color w:val="0000FF"/>
                                      <w:w w:val="105"/>
                                      <w:sz w:val="11"/>
                                    </w:rPr>
                                    <w:t>contractor must</w:t>
                                  </w:r>
                                  <w:r>
                                    <w:rPr>
                                      <w:rFonts w:ascii="Arial MT"/>
                                      <w:color w:val="0000FF"/>
                                      <w:spacing w:val="-2"/>
                                      <w:w w:val="105"/>
                                      <w:sz w:val="11"/>
                                    </w:rPr>
                                    <w:t xml:space="preserve"> </w:t>
                                  </w:r>
                                  <w:r>
                                    <w:rPr>
                                      <w:rFonts w:ascii="Arial MT"/>
                                      <w:color w:val="0000FF"/>
                                      <w:w w:val="105"/>
                                      <w:sz w:val="11"/>
                                    </w:rPr>
                                    <w:t>check</w:t>
                                  </w:r>
                                  <w:r>
                                    <w:rPr>
                                      <w:rFonts w:ascii="Arial MT"/>
                                      <w:color w:val="0000FF"/>
                                      <w:spacing w:val="-1"/>
                                      <w:w w:val="105"/>
                                      <w:sz w:val="11"/>
                                    </w:rPr>
                                    <w:t xml:space="preserve"> </w:t>
                                  </w:r>
                                  <w:r>
                                    <w:rPr>
                                      <w:rFonts w:ascii="Arial MT"/>
                                      <w:color w:val="0000FF"/>
                                      <w:w w:val="105"/>
                                      <w:sz w:val="11"/>
                                    </w:rPr>
                                    <w:t>and</w:t>
                                  </w:r>
                                  <w:r>
                                    <w:rPr>
                                      <w:rFonts w:ascii="Arial MT"/>
                                      <w:color w:val="0000FF"/>
                                      <w:spacing w:val="-1"/>
                                      <w:w w:val="105"/>
                                      <w:sz w:val="11"/>
                                    </w:rPr>
                                    <w:t xml:space="preserve"> </w:t>
                                  </w:r>
                                  <w:r>
                                    <w:rPr>
                                      <w:rFonts w:ascii="Arial MT"/>
                                      <w:color w:val="0000FF"/>
                                      <w:w w:val="105"/>
                                      <w:sz w:val="11"/>
                                    </w:rPr>
                                    <w:t>verify all</w:t>
                                  </w:r>
                                  <w:r>
                                    <w:rPr>
                                      <w:rFonts w:ascii="Arial MT"/>
                                      <w:color w:val="0000FF"/>
                                      <w:spacing w:val="-1"/>
                                      <w:w w:val="105"/>
                                      <w:sz w:val="11"/>
                                    </w:rPr>
                                    <w:t xml:space="preserve"> </w:t>
                                  </w:r>
                                  <w:r>
                                    <w:rPr>
                                      <w:rFonts w:ascii="Arial MT"/>
                                      <w:color w:val="0000FF"/>
                                      <w:w w:val="105"/>
                                      <w:sz w:val="11"/>
                                    </w:rPr>
                                    <w:t>dimensions before</w:t>
                                  </w:r>
                                  <w:r>
                                    <w:rPr>
                                      <w:rFonts w:ascii="Arial MT"/>
                                      <w:color w:val="0000FF"/>
                                      <w:spacing w:val="40"/>
                                      <w:w w:val="105"/>
                                      <w:sz w:val="11"/>
                                    </w:rPr>
                                    <w:t xml:space="preserve"> </w:t>
                                  </w:r>
                                  <w:r>
                                    <w:rPr>
                                      <w:rFonts w:ascii="Arial MT"/>
                                      <w:color w:val="0000FF"/>
                                      <w:w w:val="105"/>
                                      <w:sz w:val="11"/>
                                    </w:rPr>
                                    <w:t>commencement of the work</w:t>
                                  </w:r>
                                </w:p>
                                <w:p w:rsidR="00883FED" w:rsidRDefault="00883FED">
                                  <w:pPr>
                                    <w:pStyle w:val="TableParagraph"/>
                                    <w:spacing w:line="121" w:lineRule="exact"/>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windows and</w:t>
                                  </w:r>
                                  <w:r>
                                    <w:rPr>
                                      <w:rFonts w:ascii="Arial MT"/>
                                      <w:color w:val="0000FF"/>
                                      <w:spacing w:val="-1"/>
                                      <w:w w:val="105"/>
                                      <w:sz w:val="11"/>
                                    </w:rPr>
                                    <w:t xml:space="preserve"> </w:t>
                                  </w:r>
                                  <w:r>
                                    <w:rPr>
                                      <w:rFonts w:ascii="Arial MT"/>
                                      <w:color w:val="0000FF"/>
                                      <w:w w:val="105"/>
                                      <w:sz w:val="11"/>
                                    </w:rPr>
                                    <w:t>doors to</w:t>
                                  </w:r>
                                  <w:r>
                                    <w:rPr>
                                      <w:rFonts w:ascii="Arial MT"/>
                                      <w:color w:val="0000FF"/>
                                      <w:spacing w:val="-1"/>
                                      <w:w w:val="105"/>
                                      <w:sz w:val="11"/>
                                    </w:rPr>
                                    <w:t xml:space="preserve"> </w:t>
                                  </w:r>
                                  <w:r>
                                    <w:rPr>
                                      <w:rFonts w:ascii="Arial MT"/>
                                      <w:color w:val="0000FF"/>
                                      <w:w w:val="105"/>
                                      <w:sz w:val="11"/>
                                    </w:rPr>
                                    <w:t>have</w:t>
                                  </w:r>
                                  <w:r>
                                    <w:rPr>
                                      <w:rFonts w:ascii="Arial MT"/>
                                      <w:color w:val="0000FF"/>
                                      <w:spacing w:val="-1"/>
                                      <w:w w:val="105"/>
                                      <w:sz w:val="11"/>
                                    </w:rPr>
                                    <w:t xml:space="preserve"> </w:t>
                                  </w:r>
                                  <w:r>
                                    <w:rPr>
                                      <w:rFonts w:ascii="Arial MT"/>
                                      <w:color w:val="0000FF"/>
                                      <w:w w:val="105"/>
                                      <w:sz w:val="11"/>
                                    </w:rPr>
                                    <w:t>Permanent</w:t>
                                  </w:r>
                                  <w:r>
                                    <w:rPr>
                                      <w:rFonts w:ascii="Arial MT"/>
                                      <w:color w:val="0000FF"/>
                                      <w:spacing w:val="1"/>
                                      <w:w w:val="105"/>
                                      <w:sz w:val="11"/>
                                    </w:rPr>
                                    <w:t xml:space="preserve"> </w:t>
                                  </w:r>
                                  <w:r>
                                    <w:rPr>
                                      <w:rFonts w:ascii="Arial MT"/>
                                      <w:color w:val="0000FF"/>
                                      <w:w w:val="105"/>
                                      <w:sz w:val="11"/>
                                    </w:rPr>
                                    <w:t>Vents</w:t>
                                  </w:r>
                                  <w:r>
                                    <w:rPr>
                                      <w:rFonts w:ascii="Arial MT"/>
                                      <w:color w:val="0000FF"/>
                                      <w:spacing w:val="-7"/>
                                      <w:w w:val="105"/>
                                      <w:sz w:val="11"/>
                                    </w:rPr>
                                    <w:t xml:space="preserve"> </w:t>
                                  </w:r>
                                  <w:r>
                                    <w:rPr>
                                      <w:rFonts w:ascii="Arial MT"/>
                                      <w:color w:val="0000FF"/>
                                      <w:spacing w:val="-4"/>
                                      <w:w w:val="105"/>
                                      <w:sz w:val="11"/>
                                    </w:rPr>
                                    <w:t>(PV)</w:t>
                                  </w:r>
                                </w:p>
                                <w:p w:rsidR="00883FED" w:rsidRDefault="00883FED">
                                  <w:pPr>
                                    <w:pStyle w:val="TableParagraph"/>
                                    <w:spacing w:before="12"/>
                                    <w:rPr>
                                      <w:rFonts w:ascii="Cambria"/>
                                      <w:b/>
                                      <w:sz w:val="11"/>
                                    </w:rPr>
                                  </w:pPr>
                                </w:p>
                                <w:p w:rsidR="00883FED" w:rsidRDefault="00883FED">
                                  <w:pPr>
                                    <w:pStyle w:val="TableParagraph"/>
                                    <w:ind w:left="86"/>
                                    <w:rPr>
                                      <w:rFonts w:ascii="Arial MT"/>
                                      <w:sz w:val="17"/>
                                    </w:rPr>
                                  </w:pPr>
                                  <w:r>
                                    <w:rPr>
                                      <w:rFonts w:ascii="Arial MT"/>
                                      <w:color w:val="0000FF"/>
                                      <w:spacing w:val="-2"/>
                                      <w:sz w:val="17"/>
                                    </w:rPr>
                                    <w:t>Structural</w:t>
                                  </w:r>
                                </w:p>
                                <w:p w:rsidR="00883FED" w:rsidRDefault="00883FED">
                                  <w:pPr>
                                    <w:pStyle w:val="TableParagraph"/>
                                    <w:spacing w:before="9"/>
                                    <w:ind w:left="86"/>
                                    <w:rPr>
                                      <w:rFonts w:ascii="Arial MT"/>
                                      <w:sz w:val="11"/>
                                    </w:rPr>
                                  </w:pPr>
                                  <w:r>
                                    <w:rPr>
                                      <w:rFonts w:ascii="Arial MT"/>
                                      <w:color w:val="0000FF"/>
                                      <w:w w:val="105"/>
                                      <w:sz w:val="11"/>
                                    </w:rPr>
                                    <w:t>-For</w:t>
                                  </w:r>
                                  <w:r>
                                    <w:rPr>
                                      <w:rFonts w:ascii="Arial MT"/>
                                      <w:color w:val="0000FF"/>
                                      <w:spacing w:val="-1"/>
                                      <w:w w:val="105"/>
                                      <w:sz w:val="11"/>
                                    </w:rPr>
                                    <w:t xml:space="preserve"> </w:t>
                                  </w:r>
                                  <w:r>
                                    <w:rPr>
                                      <w:rFonts w:ascii="Arial MT"/>
                                      <w:color w:val="0000FF"/>
                                      <w:w w:val="105"/>
                                      <w:sz w:val="11"/>
                                    </w:rPr>
                                    <w:t>all R.C works,</w:t>
                                  </w:r>
                                  <w:r>
                                    <w:rPr>
                                      <w:rFonts w:ascii="Arial MT"/>
                                      <w:color w:val="0000FF"/>
                                      <w:spacing w:val="-1"/>
                                      <w:w w:val="105"/>
                                      <w:sz w:val="11"/>
                                    </w:rPr>
                                    <w:t xml:space="preserve"> </w:t>
                                  </w:r>
                                  <w:r>
                                    <w:rPr>
                                      <w:rFonts w:ascii="Arial MT"/>
                                      <w:color w:val="0000FF"/>
                                      <w:w w:val="105"/>
                                      <w:sz w:val="11"/>
                                    </w:rPr>
                                    <w:t>refer to</w:t>
                                  </w:r>
                                  <w:r>
                                    <w:rPr>
                                      <w:rFonts w:ascii="Arial MT"/>
                                      <w:color w:val="0000FF"/>
                                      <w:spacing w:val="-1"/>
                                      <w:w w:val="105"/>
                                      <w:sz w:val="11"/>
                                    </w:rPr>
                                    <w:t xml:space="preserve"> </w:t>
                                  </w:r>
                                  <w:proofErr w:type="gramStart"/>
                                  <w:r>
                                    <w:rPr>
                                      <w:rFonts w:ascii="Arial MT"/>
                                      <w:color w:val="0000FF"/>
                                      <w:w w:val="105"/>
                                      <w:sz w:val="11"/>
                                    </w:rPr>
                                    <w:t>S.E's</w:t>
                                  </w:r>
                                  <w:proofErr w:type="gramEnd"/>
                                  <w:r>
                                    <w:rPr>
                                      <w:rFonts w:ascii="Arial MT"/>
                                      <w:color w:val="0000FF"/>
                                      <w:w w:val="105"/>
                                      <w:sz w:val="11"/>
                                    </w:rPr>
                                    <w:t xml:space="preserve"> </w:t>
                                  </w:r>
                                  <w:r>
                                    <w:rPr>
                                      <w:rFonts w:ascii="Arial MT"/>
                                      <w:color w:val="0000FF"/>
                                      <w:spacing w:val="-2"/>
                                      <w:w w:val="105"/>
                                      <w:sz w:val="11"/>
                                    </w:rPr>
                                    <w:t>details</w:t>
                                  </w:r>
                                </w:p>
                                <w:p w:rsidR="00883FED" w:rsidRDefault="00883FED">
                                  <w:pPr>
                                    <w:pStyle w:val="TableParagraph"/>
                                    <w:spacing w:before="8" w:line="254" w:lineRule="auto"/>
                                    <w:ind w:left="151" w:right="594" w:hanging="6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walls less</w:t>
                                  </w:r>
                                  <w:r>
                                    <w:rPr>
                                      <w:rFonts w:ascii="Arial MT"/>
                                      <w:color w:val="0000FF"/>
                                      <w:spacing w:val="-2"/>
                                      <w:w w:val="105"/>
                                      <w:sz w:val="11"/>
                                    </w:rPr>
                                    <w:t xml:space="preserve"> </w:t>
                                  </w:r>
                                  <w:r>
                                    <w:rPr>
                                      <w:rFonts w:ascii="Arial MT"/>
                                      <w:color w:val="0000FF"/>
                                      <w:w w:val="105"/>
                                      <w:sz w:val="11"/>
                                    </w:rPr>
                                    <w:t>than</w:t>
                                  </w:r>
                                  <w:r>
                                    <w:rPr>
                                      <w:rFonts w:ascii="Arial MT"/>
                                      <w:color w:val="0000FF"/>
                                      <w:spacing w:val="-1"/>
                                      <w:w w:val="105"/>
                                      <w:sz w:val="11"/>
                                    </w:rPr>
                                    <w:t xml:space="preserve"> </w:t>
                                  </w:r>
                                  <w:r>
                                    <w:rPr>
                                      <w:rFonts w:ascii="Arial MT"/>
                                      <w:color w:val="0000FF"/>
                                      <w:w w:val="105"/>
                                      <w:sz w:val="11"/>
                                    </w:rPr>
                                    <w:t>200mm</w:t>
                                  </w:r>
                                  <w:r>
                                    <w:rPr>
                                      <w:rFonts w:ascii="Arial MT"/>
                                      <w:color w:val="0000FF"/>
                                      <w:spacing w:val="-3"/>
                                      <w:w w:val="105"/>
                                      <w:sz w:val="11"/>
                                    </w:rPr>
                                    <w:t xml:space="preserve"> </w:t>
                                  </w:r>
                                  <w:r>
                                    <w:rPr>
                                      <w:rFonts w:ascii="Arial MT"/>
                                      <w:color w:val="0000FF"/>
                                      <w:w w:val="105"/>
                                      <w:sz w:val="11"/>
                                    </w:rPr>
                                    <w:t>thick</w:t>
                                  </w:r>
                                  <w:r>
                                    <w:rPr>
                                      <w:rFonts w:ascii="Arial MT"/>
                                      <w:color w:val="0000FF"/>
                                      <w:spacing w:val="-2"/>
                                      <w:w w:val="105"/>
                                      <w:sz w:val="11"/>
                                    </w:rPr>
                                    <w:t xml:space="preserve"> </w:t>
                                  </w:r>
                                  <w:r>
                                    <w:rPr>
                                      <w:rFonts w:ascii="Arial MT"/>
                                      <w:color w:val="0000FF"/>
                                      <w:w w:val="105"/>
                                      <w:sz w:val="11"/>
                                    </w:rPr>
                                    <w:t>to</w:t>
                                  </w:r>
                                  <w:r>
                                    <w:rPr>
                                      <w:rFonts w:ascii="Arial MT"/>
                                      <w:color w:val="0000FF"/>
                                      <w:spacing w:val="-3"/>
                                      <w:w w:val="105"/>
                                      <w:sz w:val="11"/>
                                    </w:rPr>
                                    <w:t xml:space="preserve"> </w:t>
                                  </w:r>
                                  <w:r>
                                    <w:rPr>
                                      <w:rFonts w:ascii="Arial MT"/>
                                      <w:color w:val="0000FF"/>
                                      <w:w w:val="105"/>
                                      <w:sz w:val="11"/>
                                    </w:rPr>
                                    <w:t>be</w:t>
                                  </w:r>
                                  <w:r>
                                    <w:rPr>
                                      <w:rFonts w:ascii="Arial MT"/>
                                      <w:color w:val="0000FF"/>
                                      <w:spacing w:val="-3"/>
                                      <w:w w:val="105"/>
                                      <w:sz w:val="11"/>
                                    </w:rPr>
                                    <w:t xml:space="preserve"> </w:t>
                                  </w:r>
                                  <w:proofErr w:type="spellStart"/>
                                  <w:r>
                                    <w:rPr>
                                      <w:rFonts w:ascii="Arial MT"/>
                                      <w:color w:val="0000FF"/>
                                      <w:w w:val="105"/>
                                      <w:sz w:val="11"/>
                                    </w:rPr>
                                    <w:t>reiforced</w:t>
                                  </w:r>
                                  <w:proofErr w:type="spellEnd"/>
                                  <w:r>
                                    <w:rPr>
                                      <w:rFonts w:ascii="Arial MT"/>
                                      <w:color w:val="0000FF"/>
                                      <w:w w:val="105"/>
                                      <w:sz w:val="11"/>
                                    </w:rPr>
                                    <w:t xml:space="preserve"> with hoop</w:t>
                                  </w:r>
                                  <w:r>
                                    <w:rPr>
                                      <w:rFonts w:ascii="Arial MT"/>
                                      <w:color w:val="0000FF"/>
                                      <w:spacing w:val="40"/>
                                      <w:w w:val="105"/>
                                      <w:sz w:val="11"/>
                                    </w:rPr>
                                    <w:t xml:space="preserve"> </w:t>
                                  </w:r>
                                  <w:r>
                                    <w:rPr>
                                      <w:rFonts w:ascii="Arial MT"/>
                                      <w:color w:val="0000FF"/>
                                      <w:w w:val="105"/>
                                      <w:sz w:val="11"/>
                                    </w:rPr>
                                    <w:t>iron at alternate courses</w:t>
                                  </w:r>
                                </w:p>
                                <w:p w:rsidR="00883FED" w:rsidRDefault="00883FED">
                                  <w:pPr>
                                    <w:pStyle w:val="TableParagraph"/>
                                    <w:spacing w:before="1" w:line="254" w:lineRule="auto"/>
                                    <w:ind w:left="119" w:right="594" w:hanging="33"/>
                                    <w:rPr>
                                      <w:rFonts w:ascii="Arial MT"/>
                                      <w:sz w:val="11"/>
                                    </w:rPr>
                                  </w:pPr>
                                  <w:r>
                                    <w:rPr>
                                      <w:rFonts w:ascii="Arial MT"/>
                                      <w:color w:val="0000FF"/>
                                      <w:w w:val="105"/>
                                      <w:sz w:val="11"/>
                                    </w:rPr>
                                    <w:t>-All</w:t>
                                  </w:r>
                                  <w:r>
                                    <w:rPr>
                                      <w:rFonts w:ascii="Arial MT"/>
                                      <w:color w:val="0000FF"/>
                                      <w:spacing w:val="-3"/>
                                      <w:w w:val="105"/>
                                      <w:sz w:val="11"/>
                                    </w:rPr>
                                    <w:t xml:space="preserve"> </w:t>
                                  </w:r>
                                  <w:proofErr w:type="gramStart"/>
                                  <w:r>
                                    <w:rPr>
                                      <w:rFonts w:ascii="Arial MT"/>
                                      <w:color w:val="0000FF"/>
                                      <w:w w:val="105"/>
                                      <w:sz w:val="11"/>
                                    </w:rPr>
                                    <w:t>adjacent</w:t>
                                  </w:r>
                                  <w:proofErr w:type="gramEnd"/>
                                  <w:r>
                                    <w:rPr>
                                      <w:rFonts w:ascii="Arial MT"/>
                                      <w:color w:val="0000FF"/>
                                      <w:spacing w:val="-2"/>
                                      <w:w w:val="105"/>
                                      <w:sz w:val="11"/>
                                    </w:rPr>
                                    <w:t xml:space="preserve"> </w:t>
                                  </w:r>
                                  <w:r>
                                    <w:rPr>
                                      <w:rFonts w:ascii="Arial MT"/>
                                      <w:color w:val="0000FF"/>
                                      <w:w w:val="105"/>
                                      <w:sz w:val="11"/>
                                    </w:rPr>
                                    <w:t>R.C</w:t>
                                  </w:r>
                                  <w:r>
                                    <w:rPr>
                                      <w:rFonts w:ascii="Arial MT"/>
                                      <w:color w:val="0000FF"/>
                                      <w:spacing w:val="-4"/>
                                      <w:w w:val="105"/>
                                      <w:sz w:val="11"/>
                                    </w:rPr>
                                    <w:t xml:space="preserve"> </w:t>
                                  </w:r>
                                  <w:r>
                                    <w:rPr>
                                      <w:rFonts w:ascii="Arial MT"/>
                                      <w:color w:val="0000FF"/>
                                      <w:w w:val="105"/>
                                      <w:sz w:val="11"/>
                                    </w:rPr>
                                    <w:t>work and</w:t>
                                  </w:r>
                                  <w:r>
                                    <w:rPr>
                                      <w:rFonts w:ascii="Arial MT"/>
                                      <w:color w:val="0000FF"/>
                                      <w:spacing w:val="-3"/>
                                      <w:w w:val="105"/>
                                      <w:sz w:val="11"/>
                                    </w:rPr>
                                    <w:t xml:space="preserve"> </w:t>
                                  </w:r>
                                  <w:r>
                                    <w:rPr>
                                      <w:rFonts w:ascii="Arial MT"/>
                                      <w:color w:val="0000FF"/>
                                      <w:w w:val="105"/>
                                      <w:sz w:val="11"/>
                                    </w:rPr>
                                    <w:t>masonry walls to</w:t>
                                  </w:r>
                                  <w:r>
                                    <w:rPr>
                                      <w:rFonts w:ascii="Arial MT"/>
                                      <w:color w:val="0000FF"/>
                                      <w:spacing w:val="-4"/>
                                      <w:w w:val="105"/>
                                      <w:sz w:val="11"/>
                                    </w:rPr>
                                    <w:t xml:space="preserve"> </w:t>
                                  </w:r>
                                  <w:r>
                                    <w:rPr>
                                      <w:rFonts w:ascii="Arial MT"/>
                                      <w:color w:val="0000FF"/>
                                      <w:w w:val="105"/>
                                      <w:sz w:val="11"/>
                                    </w:rPr>
                                    <w:t>be</w:t>
                                  </w:r>
                                  <w:r>
                                    <w:rPr>
                                      <w:rFonts w:ascii="Arial MT"/>
                                      <w:color w:val="0000FF"/>
                                      <w:spacing w:val="-3"/>
                                      <w:w w:val="105"/>
                                      <w:sz w:val="11"/>
                                    </w:rPr>
                                    <w:t xml:space="preserve"> </w:t>
                                  </w:r>
                                  <w:r>
                                    <w:rPr>
                                      <w:rFonts w:ascii="Arial MT"/>
                                      <w:color w:val="0000FF"/>
                                      <w:w w:val="105"/>
                                      <w:sz w:val="11"/>
                                    </w:rPr>
                                    <w:t>tied</w:t>
                                  </w:r>
                                  <w:r>
                                    <w:rPr>
                                      <w:rFonts w:ascii="Arial MT"/>
                                      <w:color w:val="0000FF"/>
                                      <w:spacing w:val="-3"/>
                                      <w:w w:val="105"/>
                                      <w:sz w:val="11"/>
                                    </w:rPr>
                                    <w:t xml:space="preserve"> </w:t>
                                  </w:r>
                                  <w:r>
                                    <w:rPr>
                                      <w:rFonts w:ascii="Arial MT"/>
                                      <w:color w:val="0000FF"/>
                                      <w:w w:val="105"/>
                                      <w:sz w:val="11"/>
                                    </w:rPr>
                                    <w:t>with</w:t>
                                  </w:r>
                                  <w:r>
                                    <w:rPr>
                                      <w:rFonts w:ascii="Arial MT"/>
                                      <w:color w:val="0000FF"/>
                                      <w:spacing w:val="40"/>
                                      <w:w w:val="105"/>
                                      <w:sz w:val="11"/>
                                    </w:rPr>
                                    <w:t xml:space="preserve"> </w:t>
                                  </w:r>
                                  <w:r>
                                    <w:rPr>
                                      <w:rFonts w:ascii="Arial MT"/>
                                      <w:color w:val="0000FF"/>
                                      <w:w w:val="105"/>
                                      <w:sz w:val="11"/>
                                    </w:rPr>
                                    <w:t>strap irons at every course</w:t>
                                  </w:r>
                                </w:p>
                                <w:p w:rsidR="00883FED" w:rsidRDefault="00883FED">
                                  <w:pPr>
                                    <w:pStyle w:val="TableParagraph"/>
                                    <w:spacing w:before="128"/>
                                    <w:ind w:left="86"/>
                                    <w:rPr>
                                      <w:rFonts w:ascii="Arial MT"/>
                                      <w:sz w:val="17"/>
                                    </w:rPr>
                                  </w:pPr>
                                  <w:r>
                                    <w:rPr>
                                      <w:rFonts w:ascii="Arial MT"/>
                                      <w:color w:val="0000FF"/>
                                      <w:spacing w:val="-2"/>
                                      <w:sz w:val="17"/>
                                    </w:rPr>
                                    <w:t>Mechanical</w:t>
                                  </w:r>
                                </w:p>
                                <w:p w:rsidR="00883FED" w:rsidRDefault="00883FED">
                                  <w:pPr>
                                    <w:pStyle w:val="TableParagraph"/>
                                    <w:spacing w:before="9"/>
                                    <w:ind w:left="86"/>
                                    <w:rPr>
                                      <w:rFonts w:ascii="Arial MT"/>
                                      <w:sz w:val="11"/>
                                    </w:rPr>
                                  </w:pPr>
                                  <w:r>
                                    <w:rPr>
                                      <w:rFonts w:ascii="Arial MT"/>
                                      <w:color w:val="0000FF"/>
                                      <w:w w:val="105"/>
                                      <w:sz w:val="11"/>
                                    </w:rPr>
                                    <w:t>-All</w:t>
                                  </w:r>
                                  <w:r>
                                    <w:rPr>
                                      <w:rFonts w:ascii="Arial MT"/>
                                      <w:color w:val="0000FF"/>
                                      <w:spacing w:val="-3"/>
                                      <w:w w:val="105"/>
                                      <w:sz w:val="11"/>
                                    </w:rPr>
                                    <w:t xml:space="preserve"> </w:t>
                                  </w:r>
                                  <w:r>
                                    <w:rPr>
                                      <w:rFonts w:ascii="Arial MT"/>
                                      <w:color w:val="0000FF"/>
                                      <w:w w:val="105"/>
                                      <w:sz w:val="11"/>
                                    </w:rPr>
                                    <w:t>plumbing</w:t>
                                  </w:r>
                                  <w:r>
                                    <w:rPr>
                                      <w:rFonts w:ascii="Arial MT"/>
                                      <w:color w:val="0000FF"/>
                                      <w:spacing w:val="1"/>
                                      <w:w w:val="105"/>
                                      <w:sz w:val="11"/>
                                    </w:rPr>
                                    <w:t xml:space="preserve"> </w:t>
                                  </w:r>
                                  <w:r>
                                    <w:rPr>
                                      <w:rFonts w:ascii="Arial MT"/>
                                      <w:color w:val="0000FF"/>
                                      <w:w w:val="105"/>
                                      <w:sz w:val="11"/>
                                    </w:rPr>
                                    <w:t>and</w:t>
                                  </w:r>
                                  <w:r>
                                    <w:rPr>
                                      <w:rFonts w:ascii="Arial MT"/>
                                      <w:color w:val="0000FF"/>
                                      <w:spacing w:val="-2"/>
                                      <w:w w:val="105"/>
                                      <w:sz w:val="11"/>
                                    </w:rPr>
                                    <w:t xml:space="preserve"> </w:t>
                                  </w:r>
                                  <w:r>
                                    <w:rPr>
                                      <w:rFonts w:ascii="Arial MT"/>
                                      <w:color w:val="0000FF"/>
                                      <w:w w:val="105"/>
                                      <w:sz w:val="11"/>
                                    </w:rPr>
                                    <w:t>drainage works</w:t>
                                  </w:r>
                                  <w:r>
                                    <w:rPr>
                                      <w:rFonts w:ascii="Arial MT"/>
                                      <w:color w:val="0000FF"/>
                                      <w:spacing w:val="1"/>
                                      <w:w w:val="105"/>
                                      <w:sz w:val="11"/>
                                    </w:rPr>
                                    <w:t xml:space="preserve"> </w:t>
                                  </w:r>
                                  <w:r>
                                    <w:rPr>
                                      <w:rFonts w:ascii="Arial MT"/>
                                      <w:color w:val="0000FF"/>
                                      <w:w w:val="105"/>
                                      <w:sz w:val="11"/>
                                    </w:rPr>
                                    <w:t>to</w:t>
                                  </w:r>
                                  <w:r>
                                    <w:rPr>
                                      <w:rFonts w:ascii="Arial MT"/>
                                      <w:color w:val="0000FF"/>
                                      <w:spacing w:val="-4"/>
                                      <w:w w:val="105"/>
                                      <w:sz w:val="11"/>
                                    </w:rPr>
                                    <w:t xml:space="preserve"> </w:t>
                                  </w:r>
                                  <w:r>
                                    <w:rPr>
                                      <w:rFonts w:ascii="Arial MT"/>
                                      <w:color w:val="0000FF"/>
                                      <w:w w:val="105"/>
                                      <w:sz w:val="11"/>
                                    </w:rPr>
                                    <w:t>comply</w:t>
                                  </w:r>
                                  <w:r>
                                    <w:rPr>
                                      <w:rFonts w:ascii="Arial MT"/>
                                      <w:color w:val="0000FF"/>
                                      <w:spacing w:val="1"/>
                                      <w:w w:val="105"/>
                                      <w:sz w:val="11"/>
                                    </w:rPr>
                                    <w:t xml:space="preserve"> </w:t>
                                  </w:r>
                                  <w:r>
                                    <w:rPr>
                                      <w:rFonts w:ascii="Arial MT"/>
                                      <w:color w:val="0000FF"/>
                                      <w:w w:val="105"/>
                                      <w:sz w:val="11"/>
                                    </w:rPr>
                                    <w:t>with P.</w:t>
                                  </w:r>
                                  <w:r>
                                    <w:rPr>
                                      <w:rFonts w:ascii="Arial MT"/>
                                      <w:color w:val="0000FF"/>
                                      <w:spacing w:val="-4"/>
                                      <w:w w:val="105"/>
                                      <w:sz w:val="11"/>
                                    </w:rPr>
                                    <w:t xml:space="preserve"> </w:t>
                                  </w:r>
                                  <w:r>
                                    <w:rPr>
                                      <w:rFonts w:ascii="Arial MT"/>
                                      <w:color w:val="0000FF"/>
                                      <w:w w:val="105"/>
                                      <w:sz w:val="11"/>
                                    </w:rPr>
                                    <w:t>H</w:t>
                                  </w:r>
                                  <w:r>
                                    <w:rPr>
                                      <w:rFonts w:ascii="Arial MT"/>
                                      <w:color w:val="0000FF"/>
                                      <w:spacing w:val="-3"/>
                                      <w:w w:val="105"/>
                                      <w:sz w:val="11"/>
                                    </w:rPr>
                                    <w:t xml:space="preserve"> </w:t>
                                  </w:r>
                                  <w:proofErr w:type="spellStart"/>
                                  <w:r>
                                    <w:rPr>
                                      <w:rFonts w:ascii="Arial MT"/>
                                      <w:color w:val="0000FF"/>
                                      <w:spacing w:val="-2"/>
                                      <w:w w:val="105"/>
                                      <w:sz w:val="11"/>
                                    </w:rPr>
                                    <w:t>specifiacations</w:t>
                                  </w:r>
                                  <w:proofErr w:type="spellEnd"/>
                                </w:p>
                                <w:p w:rsidR="00883FED" w:rsidRDefault="00883FED">
                                  <w:pPr>
                                    <w:pStyle w:val="TableParagraph"/>
                                    <w:spacing w:before="7"/>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surface ducts to</w:t>
                                  </w:r>
                                  <w:r>
                                    <w:rPr>
                                      <w:rFonts w:ascii="Arial MT"/>
                                      <w:color w:val="0000FF"/>
                                      <w:spacing w:val="-1"/>
                                      <w:w w:val="105"/>
                                      <w:sz w:val="11"/>
                                    </w:rPr>
                                    <w:t xml:space="preserve"> </w:t>
                                  </w:r>
                                  <w:r>
                                    <w:rPr>
                                      <w:rFonts w:ascii="Arial MT"/>
                                      <w:color w:val="0000FF"/>
                                      <w:w w:val="105"/>
                                      <w:sz w:val="11"/>
                                    </w:rPr>
                                    <w:t>be</w:t>
                                  </w:r>
                                  <w:r>
                                    <w:rPr>
                                      <w:rFonts w:ascii="Arial MT"/>
                                      <w:color w:val="0000FF"/>
                                      <w:spacing w:val="-1"/>
                                      <w:w w:val="105"/>
                                      <w:sz w:val="11"/>
                                    </w:rPr>
                                    <w:t xml:space="preserve"> </w:t>
                                  </w:r>
                                  <w:r>
                                    <w:rPr>
                                      <w:rFonts w:ascii="Arial MT"/>
                                      <w:color w:val="0000FF"/>
                                      <w:w w:val="105"/>
                                      <w:sz w:val="11"/>
                                    </w:rPr>
                                    <w:t>accessible</w:t>
                                  </w:r>
                                  <w:r>
                                    <w:rPr>
                                      <w:rFonts w:ascii="Arial MT"/>
                                      <w:color w:val="0000FF"/>
                                      <w:spacing w:val="3"/>
                                      <w:w w:val="105"/>
                                      <w:sz w:val="11"/>
                                    </w:rPr>
                                    <w:t xml:space="preserve"> </w:t>
                                  </w:r>
                                  <w:r>
                                    <w:rPr>
                                      <w:rFonts w:ascii="Arial MT"/>
                                      <w:color w:val="0000FF"/>
                                      <w:w w:val="105"/>
                                      <w:sz w:val="11"/>
                                    </w:rPr>
                                    <w:t>from</w:t>
                                  </w:r>
                                  <w:r>
                                    <w:rPr>
                                      <w:rFonts w:ascii="Arial MT"/>
                                      <w:color w:val="0000FF"/>
                                      <w:spacing w:val="-1"/>
                                      <w:w w:val="105"/>
                                      <w:sz w:val="11"/>
                                    </w:rPr>
                                    <w:t xml:space="preserve"> </w:t>
                                  </w:r>
                                  <w:r>
                                    <w:rPr>
                                      <w:rFonts w:ascii="Arial MT"/>
                                      <w:color w:val="0000FF"/>
                                      <w:w w:val="105"/>
                                      <w:sz w:val="11"/>
                                    </w:rPr>
                                    <w:t xml:space="preserve">all </w:t>
                                  </w:r>
                                  <w:r>
                                    <w:rPr>
                                      <w:rFonts w:ascii="Arial MT"/>
                                      <w:color w:val="0000FF"/>
                                      <w:spacing w:val="-2"/>
                                      <w:w w:val="105"/>
                                      <w:sz w:val="11"/>
                                    </w:rPr>
                                    <w:t>floors</w:t>
                                  </w:r>
                                </w:p>
                                <w:p w:rsidR="00883FED" w:rsidRDefault="00883FED">
                                  <w:pPr>
                                    <w:pStyle w:val="TableParagraph"/>
                                    <w:spacing w:before="8" w:line="254" w:lineRule="auto"/>
                                    <w:ind w:left="86"/>
                                    <w:rPr>
                                      <w:rFonts w:ascii="Arial MT"/>
                                      <w:sz w:val="11"/>
                                    </w:rPr>
                                  </w:pPr>
                                  <w:r>
                                    <w:rPr>
                                      <w:rFonts w:ascii="Arial MT"/>
                                      <w:color w:val="0000FF"/>
                                      <w:w w:val="105"/>
                                      <w:sz w:val="11"/>
                                    </w:rPr>
                                    <w:t>-S.</w:t>
                                  </w:r>
                                  <w:proofErr w:type="gramStart"/>
                                  <w:r>
                                    <w:rPr>
                                      <w:rFonts w:ascii="Arial MT"/>
                                      <w:color w:val="0000FF"/>
                                      <w:w w:val="105"/>
                                      <w:sz w:val="11"/>
                                    </w:rPr>
                                    <w:t>V.P</w:t>
                                  </w:r>
                                  <w:proofErr w:type="gramEnd"/>
                                  <w:r>
                                    <w:rPr>
                                      <w:rFonts w:ascii="Arial MT"/>
                                      <w:color w:val="0000FF"/>
                                      <w:spacing w:val="-4"/>
                                      <w:w w:val="105"/>
                                      <w:sz w:val="11"/>
                                    </w:rPr>
                                    <w:t xml:space="preserve"> </w:t>
                                  </w:r>
                                  <w:r>
                                    <w:rPr>
                                      <w:rFonts w:ascii="Arial MT"/>
                                      <w:color w:val="0000FF"/>
                                      <w:w w:val="105"/>
                                      <w:sz w:val="11"/>
                                    </w:rPr>
                                    <w:t>denotes soil vent pipe and to</w:t>
                                  </w:r>
                                  <w:r>
                                    <w:rPr>
                                      <w:rFonts w:ascii="Arial MT"/>
                                      <w:color w:val="0000FF"/>
                                      <w:spacing w:val="-1"/>
                                      <w:w w:val="105"/>
                                      <w:sz w:val="11"/>
                                    </w:rPr>
                                    <w:t xml:space="preserve"> </w:t>
                                  </w:r>
                                  <w:r>
                                    <w:rPr>
                                      <w:rFonts w:ascii="Arial MT"/>
                                      <w:color w:val="0000FF"/>
                                      <w:w w:val="105"/>
                                      <w:sz w:val="11"/>
                                    </w:rPr>
                                    <w:t>be</w:t>
                                  </w:r>
                                  <w:r>
                                    <w:rPr>
                                      <w:rFonts w:ascii="Arial MT"/>
                                      <w:color w:val="0000FF"/>
                                      <w:spacing w:val="-1"/>
                                      <w:w w:val="105"/>
                                      <w:sz w:val="11"/>
                                    </w:rPr>
                                    <w:t xml:space="preserve"> </w:t>
                                  </w:r>
                                  <w:r>
                                    <w:rPr>
                                      <w:rFonts w:ascii="Arial MT"/>
                                      <w:color w:val="0000FF"/>
                                      <w:w w:val="105"/>
                                      <w:sz w:val="11"/>
                                    </w:rPr>
                                    <w:t>provided at</w:t>
                                  </w:r>
                                  <w:r>
                                    <w:rPr>
                                      <w:rFonts w:ascii="Arial MT"/>
                                      <w:color w:val="0000FF"/>
                                      <w:spacing w:val="-1"/>
                                      <w:w w:val="105"/>
                                      <w:sz w:val="11"/>
                                    </w:rPr>
                                    <w:t xml:space="preserve"> </w:t>
                                  </w:r>
                                  <w:r>
                                    <w:rPr>
                                      <w:rFonts w:ascii="Arial MT"/>
                                      <w:color w:val="0000FF"/>
                                      <w:w w:val="105"/>
                                      <w:sz w:val="11"/>
                                    </w:rPr>
                                    <w:t>the head of</w:t>
                                  </w:r>
                                  <w:r>
                                    <w:rPr>
                                      <w:rFonts w:ascii="Arial MT"/>
                                      <w:color w:val="0000FF"/>
                                      <w:spacing w:val="-1"/>
                                      <w:w w:val="105"/>
                                      <w:sz w:val="11"/>
                                    </w:rPr>
                                    <w:t xml:space="preserve"> </w:t>
                                  </w:r>
                                  <w:r>
                                    <w:rPr>
                                      <w:rFonts w:ascii="Arial MT"/>
                                      <w:color w:val="0000FF"/>
                                      <w:w w:val="105"/>
                                      <w:sz w:val="11"/>
                                    </w:rPr>
                                    <w:t>the</w:t>
                                  </w:r>
                                  <w:r>
                                    <w:rPr>
                                      <w:rFonts w:ascii="Arial MT"/>
                                      <w:color w:val="0000FF"/>
                                      <w:spacing w:val="40"/>
                                      <w:w w:val="105"/>
                                      <w:sz w:val="11"/>
                                    </w:rPr>
                                    <w:t xml:space="preserve"> </w:t>
                                  </w:r>
                                  <w:r>
                                    <w:rPr>
                                      <w:rFonts w:ascii="Arial MT"/>
                                      <w:color w:val="0000FF"/>
                                      <w:spacing w:val="-2"/>
                                      <w:w w:val="105"/>
                                      <w:sz w:val="11"/>
                                    </w:rPr>
                                    <w:t>drainage</w:t>
                                  </w:r>
                                </w:p>
                                <w:p w:rsidR="00883FED" w:rsidRDefault="00883FED">
                                  <w:pPr>
                                    <w:pStyle w:val="TableParagraph"/>
                                    <w:spacing w:before="128"/>
                                    <w:ind w:left="86"/>
                                    <w:rPr>
                                      <w:rFonts w:ascii="Arial MT"/>
                                      <w:sz w:val="17"/>
                                    </w:rPr>
                                  </w:pPr>
                                  <w:r>
                                    <w:rPr>
                                      <w:rFonts w:ascii="Arial MT"/>
                                      <w:color w:val="0000FF"/>
                                      <w:spacing w:val="-2"/>
                                      <w:sz w:val="17"/>
                                    </w:rPr>
                                    <w:t>Electrical</w:t>
                                  </w:r>
                                </w:p>
                                <w:p w:rsidR="00883FED" w:rsidRDefault="00883FED">
                                  <w:pPr>
                                    <w:pStyle w:val="TableParagraph"/>
                                    <w:spacing w:before="9"/>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conduits</w:t>
                                  </w:r>
                                  <w:r>
                                    <w:rPr>
                                      <w:rFonts w:ascii="Arial MT"/>
                                      <w:color w:val="0000FF"/>
                                      <w:spacing w:val="1"/>
                                      <w:w w:val="105"/>
                                      <w:sz w:val="11"/>
                                    </w:rPr>
                                    <w:t xml:space="preserve"> </w:t>
                                  </w:r>
                                  <w:r>
                                    <w:rPr>
                                      <w:rFonts w:ascii="Arial MT"/>
                                      <w:color w:val="0000FF"/>
                                      <w:w w:val="105"/>
                                      <w:sz w:val="11"/>
                                    </w:rPr>
                                    <w:t>must be</w:t>
                                  </w:r>
                                  <w:r>
                                    <w:rPr>
                                      <w:rFonts w:ascii="Arial MT"/>
                                      <w:color w:val="0000FF"/>
                                      <w:spacing w:val="-1"/>
                                      <w:w w:val="105"/>
                                      <w:sz w:val="11"/>
                                    </w:rPr>
                                    <w:t xml:space="preserve"> </w:t>
                                  </w:r>
                                  <w:r>
                                    <w:rPr>
                                      <w:rFonts w:ascii="Arial MT"/>
                                      <w:color w:val="0000FF"/>
                                      <w:w w:val="105"/>
                                      <w:sz w:val="11"/>
                                    </w:rPr>
                                    <w:t>laid</w:t>
                                  </w:r>
                                  <w:r>
                                    <w:rPr>
                                      <w:rFonts w:ascii="Arial MT"/>
                                      <w:color w:val="0000FF"/>
                                      <w:spacing w:val="-1"/>
                                      <w:w w:val="105"/>
                                      <w:sz w:val="11"/>
                                    </w:rPr>
                                    <w:t xml:space="preserve"> </w:t>
                                  </w:r>
                                  <w:r>
                                    <w:rPr>
                                      <w:rFonts w:ascii="Arial MT"/>
                                      <w:color w:val="0000FF"/>
                                      <w:w w:val="105"/>
                                      <w:sz w:val="11"/>
                                    </w:rPr>
                                    <w:t xml:space="preserve">before </w:t>
                                  </w:r>
                                  <w:r>
                                    <w:rPr>
                                      <w:rFonts w:ascii="Arial MT"/>
                                      <w:color w:val="0000FF"/>
                                      <w:spacing w:val="-2"/>
                                      <w:w w:val="105"/>
                                      <w:sz w:val="11"/>
                                    </w:rPr>
                                    <w:t>plastering</w:t>
                                  </w:r>
                                </w:p>
                                <w:p w:rsidR="00883FED" w:rsidRDefault="00883FED">
                                  <w:pPr>
                                    <w:pStyle w:val="TableParagraph"/>
                                    <w:spacing w:before="8"/>
                                    <w:ind w:left="8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electrical</w:t>
                                  </w:r>
                                  <w:r>
                                    <w:rPr>
                                      <w:rFonts w:ascii="Arial MT"/>
                                      <w:color w:val="0000FF"/>
                                      <w:spacing w:val="2"/>
                                      <w:w w:val="105"/>
                                      <w:sz w:val="11"/>
                                    </w:rPr>
                                    <w:t xml:space="preserve"> </w:t>
                                  </w:r>
                                  <w:r>
                                    <w:rPr>
                                      <w:rFonts w:ascii="Arial MT"/>
                                      <w:color w:val="0000FF"/>
                                      <w:w w:val="105"/>
                                      <w:sz w:val="11"/>
                                    </w:rPr>
                                    <w:t>works</w:t>
                                  </w:r>
                                  <w:r>
                                    <w:rPr>
                                      <w:rFonts w:ascii="Arial MT"/>
                                      <w:color w:val="0000FF"/>
                                      <w:spacing w:val="2"/>
                                      <w:w w:val="105"/>
                                      <w:sz w:val="11"/>
                                    </w:rPr>
                                    <w:t xml:space="preserve"> </w:t>
                                  </w:r>
                                  <w:r>
                                    <w:rPr>
                                      <w:rFonts w:ascii="Arial MT"/>
                                      <w:color w:val="0000FF"/>
                                      <w:w w:val="105"/>
                                      <w:sz w:val="11"/>
                                    </w:rPr>
                                    <w:t>to</w:t>
                                  </w:r>
                                  <w:r>
                                    <w:rPr>
                                      <w:rFonts w:ascii="Arial MT"/>
                                      <w:color w:val="0000FF"/>
                                      <w:spacing w:val="-2"/>
                                      <w:w w:val="105"/>
                                      <w:sz w:val="11"/>
                                    </w:rPr>
                                    <w:t xml:space="preserve"> </w:t>
                                  </w:r>
                                  <w:proofErr w:type="gramStart"/>
                                  <w:r>
                                    <w:rPr>
                                      <w:rFonts w:ascii="Arial MT"/>
                                      <w:color w:val="0000FF"/>
                                      <w:w w:val="105"/>
                                      <w:sz w:val="11"/>
                                    </w:rPr>
                                    <w:t>E.E's</w:t>
                                  </w:r>
                                  <w:proofErr w:type="gramEnd"/>
                                  <w:r>
                                    <w:rPr>
                                      <w:rFonts w:ascii="Arial MT"/>
                                      <w:color w:val="0000FF"/>
                                      <w:spacing w:val="-2"/>
                                      <w:w w:val="105"/>
                                      <w:sz w:val="11"/>
                                    </w:rPr>
                                    <w:t xml:space="preserve"> details</w:t>
                                  </w:r>
                                </w:p>
                                <w:p w:rsidR="00883FED" w:rsidRDefault="00883FED">
                                  <w:pPr>
                                    <w:pStyle w:val="TableParagraph"/>
                                    <w:spacing w:before="98"/>
                                    <w:ind w:left="86"/>
                                    <w:rPr>
                                      <w:rFonts w:ascii="Arial MT"/>
                                      <w:sz w:val="17"/>
                                    </w:rPr>
                                  </w:pPr>
                                  <w:r>
                                    <w:rPr>
                                      <w:rFonts w:ascii="Arial MT"/>
                                      <w:color w:val="0000FF"/>
                                      <w:sz w:val="17"/>
                                    </w:rPr>
                                    <w:t>Fire</w:t>
                                  </w:r>
                                  <w:r>
                                    <w:rPr>
                                      <w:rFonts w:ascii="Arial MT"/>
                                      <w:color w:val="0000FF"/>
                                      <w:spacing w:val="1"/>
                                      <w:sz w:val="17"/>
                                    </w:rPr>
                                    <w:t xml:space="preserve"> </w:t>
                                  </w:r>
                                  <w:r>
                                    <w:rPr>
                                      <w:rFonts w:ascii="Arial MT"/>
                                      <w:color w:val="0000FF"/>
                                      <w:spacing w:val="-2"/>
                                      <w:sz w:val="17"/>
                                    </w:rPr>
                                    <w:t>Notes</w:t>
                                  </w:r>
                                </w:p>
                                <w:p w:rsidR="00883FED" w:rsidRDefault="00883FED">
                                  <w:pPr>
                                    <w:pStyle w:val="TableParagraph"/>
                                    <w:spacing w:before="9" w:line="316" w:lineRule="auto"/>
                                    <w:ind w:left="86" w:right="594"/>
                                    <w:rPr>
                                      <w:rFonts w:ascii="Arial MT"/>
                                      <w:sz w:val="11"/>
                                    </w:rPr>
                                  </w:pPr>
                                  <w:r>
                                    <w:rPr>
                                      <w:rFonts w:ascii="Arial MT"/>
                                      <w:color w:val="0000FF"/>
                                      <w:w w:val="105"/>
                                      <w:sz w:val="11"/>
                                    </w:rPr>
                                    <w:t>-All</w:t>
                                  </w:r>
                                  <w:r>
                                    <w:rPr>
                                      <w:rFonts w:ascii="Arial MT"/>
                                      <w:color w:val="0000FF"/>
                                      <w:spacing w:val="-9"/>
                                      <w:w w:val="105"/>
                                      <w:sz w:val="11"/>
                                    </w:rPr>
                                    <w:t xml:space="preserve"> </w:t>
                                  </w:r>
                                  <w:r>
                                    <w:rPr>
                                      <w:rFonts w:ascii="Arial MT"/>
                                      <w:color w:val="0000FF"/>
                                      <w:w w:val="105"/>
                                      <w:sz w:val="11"/>
                                    </w:rPr>
                                    <w:t>exit</w:t>
                                  </w:r>
                                  <w:r>
                                    <w:rPr>
                                      <w:rFonts w:ascii="Arial MT"/>
                                      <w:color w:val="0000FF"/>
                                      <w:spacing w:val="-8"/>
                                      <w:w w:val="105"/>
                                      <w:sz w:val="11"/>
                                    </w:rPr>
                                    <w:t xml:space="preserve"> </w:t>
                                  </w:r>
                                  <w:r>
                                    <w:rPr>
                                      <w:rFonts w:ascii="Arial MT"/>
                                      <w:color w:val="0000FF"/>
                                      <w:w w:val="105"/>
                                      <w:sz w:val="11"/>
                                    </w:rPr>
                                    <w:t>doors</w:t>
                                  </w:r>
                                  <w:r>
                                    <w:rPr>
                                      <w:rFonts w:ascii="Arial MT"/>
                                      <w:color w:val="0000FF"/>
                                      <w:spacing w:val="-8"/>
                                      <w:w w:val="105"/>
                                      <w:sz w:val="11"/>
                                    </w:rPr>
                                    <w:t xml:space="preserve"> </w:t>
                                  </w:r>
                                  <w:r>
                                    <w:rPr>
                                      <w:rFonts w:ascii="Arial MT"/>
                                      <w:color w:val="0000FF"/>
                                      <w:w w:val="105"/>
                                      <w:sz w:val="11"/>
                                    </w:rPr>
                                    <w:t>should</w:t>
                                  </w:r>
                                  <w:r>
                                    <w:rPr>
                                      <w:rFonts w:ascii="Arial MT"/>
                                      <w:color w:val="0000FF"/>
                                      <w:spacing w:val="-8"/>
                                      <w:w w:val="105"/>
                                      <w:sz w:val="11"/>
                                    </w:rPr>
                                    <w:t xml:space="preserve"> </w:t>
                                  </w:r>
                                  <w:r>
                                    <w:rPr>
                                      <w:rFonts w:ascii="Arial MT"/>
                                      <w:color w:val="0000FF"/>
                                      <w:w w:val="105"/>
                                      <w:sz w:val="11"/>
                                    </w:rPr>
                                    <w:t>be</w:t>
                                  </w:r>
                                  <w:r>
                                    <w:rPr>
                                      <w:rFonts w:ascii="Arial MT"/>
                                      <w:color w:val="0000FF"/>
                                      <w:spacing w:val="-8"/>
                                      <w:w w:val="105"/>
                                      <w:sz w:val="11"/>
                                    </w:rPr>
                                    <w:t xml:space="preserve"> </w:t>
                                  </w:r>
                                  <w:r>
                                    <w:rPr>
                                      <w:rFonts w:ascii="Arial MT"/>
                                      <w:color w:val="0000FF"/>
                                      <w:w w:val="105"/>
                                      <w:sz w:val="11"/>
                                    </w:rPr>
                                    <w:t>well</w:t>
                                  </w:r>
                                  <w:r>
                                    <w:rPr>
                                      <w:rFonts w:ascii="Arial MT"/>
                                      <w:color w:val="0000FF"/>
                                      <w:spacing w:val="-8"/>
                                      <w:w w:val="105"/>
                                      <w:sz w:val="11"/>
                                    </w:rPr>
                                    <w:t xml:space="preserve"> </w:t>
                                  </w:r>
                                  <w:r>
                                    <w:rPr>
                                      <w:rFonts w:ascii="Arial MT"/>
                                      <w:color w:val="0000FF"/>
                                      <w:w w:val="105"/>
                                      <w:sz w:val="11"/>
                                    </w:rPr>
                                    <w:t>labelled</w:t>
                                  </w:r>
                                  <w:r>
                                    <w:rPr>
                                      <w:rFonts w:ascii="Arial MT"/>
                                      <w:color w:val="0000FF"/>
                                      <w:spacing w:val="-8"/>
                                      <w:w w:val="105"/>
                                      <w:sz w:val="11"/>
                                    </w:rPr>
                                    <w:t xml:space="preserve"> </w:t>
                                  </w:r>
                                  <w:r>
                                    <w:rPr>
                                      <w:rFonts w:ascii="Arial MT"/>
                                      <w:color w:val="0000FF"/>
                                      <w:w w:val="105"/>
                                      <w:sz w:val="11"/>
                                    </w:rPr>
                                    <w:t>and</w:t>
                                  </w:r>
                                  <w:r>
                                    <w:rPr>
                                      <w:rFonts w:ascii="Arial MT"/>
                                      <w:color w:val="0000FF"/>
                                      <w:spacing w:val="-8"/>
                                      <w:w w:val="105"/>
                                      <w:sz w:val="11"/>
                                    </w:rPr>
                                    <w:t xml:space="preserve"> </w:t>
                                  </w:r>
                                  <w:r>
                                    <w:rPr>
                                      <w:rFonts w:ascii="Arial MT"/>
                                      <w:color w:val="0000FF"/>
                                      <w:w w:val="105"/>
                                      <w:sz w:val="11"/>
                                    </w:rPr>
                                    <w:t>directions</w:t>
                                  </w:r>
                                  <w:r>
                                    <w:rPr>
                                      <w:rFonts w:ascii="Arial MT"/>
                                      <w:color w:val="0000FF"/>
                                      <w:spacing w:val="-8"/>
                                      <w:w w:val="105"/>
                                      <w:sz w:val="11"/>
                                    </w:rPr>
                                    <w:t xml:space="preserve"> </w:t>
                                  </w:r>
                                  <w:r>
                                    <w:rPr>
                                      <w:rFonts w:ascii="Arial MT"/>
                                      <w:color w:val="0000FF"/>
                                      <w:w w:val="105"/>
                                      <w:sz w:val="11"/>
                                    </w:rPr>
                                    <w:t>shown</w:t>
                                  </w:r>
                                  <w:r>
                                    <w:rPr>
                                      <w:rFonts w:ascii="Arial MT"/>
                                      <w:color w:val="0000FF"/>
                                      <w:spacing w:val="40"/>
                                      <w:w w:val="105"/>
                                      <w:sz w:val="11"/>
                                    </w:rPr>
                                    <w:t xml:space="preserve"> </w:t>
                                  </w:r>
                                  <w:r>
                                    <w:rPr>
                                      <w:rFonts w:ascii="Arial MT"/>
                                      <w:color w:val="0000FF"/>
                                      <w:w w:val="105"/>
                                      <w:sz w:val="11"/>
                                    </w:rPr>
                                    <w:t>on all floors.</w:t>
                                  </w:r>
                                </w:p>
                                <w:p w:rsidR="00883FED" w:rsidRDefault="00883FED">
                                  <w:pPr>
                                    <w:pStyle w:val="TableParagraph"/>
                                    <w:spacing w:line="316" w:lineRule="auto"/>
                                    <w:ind w:left="86" w:right="936"/>
                                    <w:rPr>
                                      <w:rFonts w:ascii="Arial MT"/>
                                      <w:sz w:val="11"/>
                                    </w:rPr>
                                  </w:pPr>
                                  <w:r>
                                    <w:rPr>
                                      <w:rFonts w:ascii="Arial MT"/>
                                      <w:color w:val="0000FF"/>
                                      <w:w w:val="105"/>
                                      <w:sz w:val="11"/>
                                    </w:rPr>
                                    <w:t>-Pressurized</w:t>
                                  </w:r>
                                  <w:r>
                                    <w:rPr>
                                      <w:rFonts w:ascii="Arial MT"/>
                                      <w:color w:val="0000FF"/>
                                      <w:spacing w:val="-9"/>
                                      <w:w w:val="105"/>
                                      <w:sz w:val="11"/>
                                    </w:rPr>
                                    <w:t xml:space="preserve"> </w:t>
                                  </w:r>
                                  <w:r>
                                    <w:rPr>
                                      <w:rFonts w:ascii="Arial MT"/>
                                      <w:color w:val="0000FF"/>
                                      <w:w w:val="105"/>
                                      <w:sz w:val="11"/>
                                    </w:rPr>
                                    <w:t>fire</w:t>
                                  </w:r>
                                  <w:r>
                                    <w:rPr>
                                      <w:rFonts w:ascii="Arial MT"/>
                                      <w:color w:val="0000FF"/>
                                      <w:spacing w:val="-8"/>
                                      <w:w w:val="105"/>
                                      <w:sz w:val="11"/>
                                    </w:rPr>
                                    <w:t xml:space="preserve"> </w:t>
                                  </w:r>
                                  <w:r>
                                    <w:rPr>
                                      <w:rFonts w:ascii="Arial MT"/>
                                      <w:color w:val="0000FF"/>
                                      <w:w w:val="105"/>
                                      <w:sz w:val="11"/>
                                    </w:rPr>
                                    <w:t>extinguishers</w:t>
                                  </w:r>
                                  <w:r>
                                    <w:rPr>
                                      <w:rFonts w:ascii="Arial MT"/>
                                      <w:color w:val="0000FF"/>
                                      <w:spacing w:val="-8"/>
                                      <w:w w:val="105"/>
                                      <w:sz w:val="11"/>
                                    </w:rPr>
                                    <w:t xml:space="preserve"> </w:t>
                                  </w:r>
                                  <w:r>
                                    <w:rPr>
                                      <w:rFonts w:ascii="Arial MT"/>
                                      <w:color w:val="0000FF"/>
                                      <w:w w:val="105"/>
                                      <w:sz w:val="11"/>
                                    </w:rPr>
                                    <w:t>should</w:t>
                                  </w:r>
                                  <w:r>
                                    <w:rPr>
                                      <w:rFonts w:ascii="Arial MT"/>
                                      <w:color w:val="0000FF"/>
                                      <w:spacing w:val="-8"/>
                                      <w:w w:val="105"/>
                                      <w:sz w:val="11"/>
                                    </w:rPr>
                                    <w:t xml:space="preserve"> </w:t>
                                  </w:r>
                                  <w:r>
                                    <w:rPr>
                                      <w:rFonts w:ascii="Arial MT"/>
                                      <w:color w:val="0000FF"/>
                                      <w:w w:val="105"/>
                                      <w:sz w:val="11"/>
                                    </w:rPr>
                                    <w:t>be</w:t>
                                  </w:r>
                                  <w:r>
                                    <w:rPr>
                                      <w:rFonts w:ascii="Arial MT"/>
                                      <w:color w:val="0000FF"/>
                                      <w:spacing w:val="-8"/>
                                      <w:w w:val="105"/>
                                      <w:sz w:val="11"/>
                                    </w:rPr>
                                    <w:t xml:space="preserve"> </w:t>
                                  </w:r>
                                  <w:r>
                                    <w:rPr>
                                      <w:rFonts w:ascii="Arial MT"/>
                                      <w:color w:val="0000FF"/>
                                      <w:w w:val="105"/>
                                      <w:sz w:val="11"/>
                                    </w:rPr>
                                    <w:t>installed</w:t>
                                  </w:r>
                                  <w:r>
                                    <w:rPr>
                                      <w:rFonts w:ascii="Arial MT"/>
                                      <w:color w:val="0000FF"/>
                                      <w:spacing w:val="-8"/>
                                      <w:w w:val="105"/>
                                      <w:sz w:val="11"/>
                                    </w:rPr>
                                    <w:t xml:space="preserve"> </w:t>
                                  </w:r>
                                  <w:r>
                                    <w:rPr>
                                      <w:rFonts w:ascii="Arial MT"/>
                                      <w:color w:val="0000FF"/>
                                      <w:w w:val="105"/>
                                      <w:sz w:val="11"/>
                                    </w:rPr>
                                    <w:t>of</w:t>
                                  </w:r>
                                  <w:r>
                                    <w:rPr>
                                      <w:rFonts w:ascii="Arial MT"/>
                                      <w:color w:val="0000FF"/>
                                      <w:spacing w:val="40"/>
                                      <w:w w:val="105"/>
                                      <w:sz w:val="11"/>
                                    </w:rPr>
                                    <w:t xml:space="preserve"> </w:t>
                                  </w:r>
                                  <w:r>
                                    <w:rPr>
                                      <w:rFonts w:ascii="Arial MT"/>
                                      <w:color w:val="0000FF"/>
                                      <w:w w:val="105"/>
                                      <w:sz w:val="11"/>
                                    </w:rPr>
                                    <w:t xml:space="preserve">(9 </w:t>
                                  </w:r>
                                  <w:proofErr w:type="spellStart"/>
                                  <w:r>
                                    <w:rPr>
                                      <w:rFonts w:ascii="Arial MT"/>
                                      <w:color w:val="0000FF"/>
                                      <w:w w:val="105"/>
                                      <w:sz w:val="11"/>
                                    </w:rPr>
                                    <w:t>litre</w:t>
                                  </w:r>
                                  <w:proofErr w:type="spellEnd"/>
                                  <w:r>
                                    <w:rPr>
                                      <w:rFonts w:ascii="Arial MT"/>
                                      <w:color w:val="0000FF"/>
                                      <w:w w:val="105"/>
                                      <w:sz w:val="11"/>
                                    </w:rPr>
                                    <w:t xml:space="preserve"> 13A</w:t>
                                  </w:r>
                                  <w:r>
                                    <w:rPr>
                                      <w:rFonts w:ascii="Arial MT"/>
                                      <w:color w:val="0000FF"/>
                                      <w:spacing w:val="-1"/>
                                      <w:w w:val="105"/>
                                      <w:sz w:val="11"/>
                                    </w:rPr>
                                    <w:t xml:space="preserve"> </w:t>
                                  </w:r>
                                  <w:r>
                                    <w:rPr>
                                      <w:rFonts w:ascii="Arial MT"/>
                                      <w:color w:val="0000FF"/>
                                      <w:w w:val="105"/>
                                      <w:sz w:val="11"/>
                                    </w:rPr>
                                    <w:t xml:space="preserve">55B </w:t>
                                  </w:r>
                                  <w:proofErr w:type="spellStart"/>
                                  <w:r>
                                    <w:rPr>
                                      <w:rFonts w:ascii="Arial MT"/>
                                      <w:color w:val="0000FF"/>
                                      <w:w w:val="105"/>
                                      <w:sz w:val="11"/>
                                    </w:rPr>
                                    <w:t>Foarm</w:t>
                                  </w:r>
                                  <w:proofErr w:type="spellEnd"/>
                                  <w:r>
                                    <w:rPr>
                                      <w:rFonts w:ascii="Arial MT"/>
                                      <w:color w:val="0000FF"/>
                                      <w:w w:val="105"/>
                                      <w:sz w:val="11"/>
                                    </w:rPr>
                                    <w:t>, 10litres 8A</w:t>
                                  </w:r>
                                  <w:r>
                                    <w:rPr>
                                      <w:rFonts w:ascii="Arial MT"/>
                                      <w:color w:val="0000FF"/>
                                      <w:spacing w:val="-10"/>
                                      <w:w w:val="105"/>
                                      <w:sz w:val="11"/>
                                    </w:rPr>
                                    <w:t xml:space="preserve"> </w:t>
                                  </w:r>
                                  <w:r>
                                    <w:rPr>
                                      <w:rFonts w:ascii="Arial MT"/>
                                      <w:color w:val="0000FF"/>
                                      <w:w w:val="105"/>
                                      <w:sz w:val="11"/>
                                    </w:rPr>
                                    <w:t>water or</w:t>
                                  </w:r>
                                </w:p>
                                <w:p w:rsidR="00883FED" w:rsidRDefault="00883FED">
                                  <w:pPr>
                                    <w:pStyle w:val="TableParagraph"/>
                                    <w:spacing w:line="126" w:lineRule="exact"/>
                                    <w:ind w:left="86"/>
                                    <w:rPr>
                                      <w:rFonts w:ascii="Arial MT"/>
                                      <w:sz w:val="11"/>
                                    </w:rPr>
                                  </w:pPr>
                                  <w:r>
                                    <w:rPr>
                                      <w:rFonts w:ascii="Arial MT"/>
                                      <w:color w:val="0000FF"/>
                                      <w:w w:val="105"/>
                                      <w:sz w:val="11"/>
                                    </w:rPr>
                                    <w:t>5kg</w:t>
                                  </w:r>
                                  <w:r>
                                    <w:rPr>
                                      <w:rFonts w:ascii="Arial MT"/>
                                      <w:color w:val="0000FF"/>
                                      <w:spacing w:val="-3"/>
                                      <w:w w:val="105"/>
                                      <w:sz w:val="11"/>
                                    </w:rPr>
                                    <w:t xml:space="preserve"> </w:t>
                                  </w:r>
                                  <w:r>
                                    <w:rPr>
                                      <w:rFonts w:ascii="Arial MT"/>
                                      <w:color w:val="0000FF"/>
                                      <w:w w:val="105"/>
                                      <w:sz w:val="11"/>
                                    </w:rPr>
                                    <w:t>5A</w:t>
                                  </w:r>
                                  <w:r>
                                    <w:rPr>
                                      <w:rFonts w:ascii="Arial MT"/>
                                      <w:color w:val="0000FF"/>
                                      <w:spacing w:val="-7"/>
                                      <w:w w:val="105"/>
                                      <w:sz w:val="11"/>
                                    </w:rPr>
                                    <w:t xml:space="preserve"> </w:t>
                                  </w:r>
                                  <w:r>
                                    <w:rPr>
                                      <w:rFonts w:ascii="Arial MT"/>
                                      <w:color w:val="0000FF"/>
                                      <w:w w:val="105"/>
                                      <w:sz w:val="11"/>
                                    </w:rPr>
                                    <w:t>134B</w:t>
                                  </w:r>
                                  <w:r>
                                    <w:rPr>
                                      <w:rFonts w:ascii="Arial MT"/>
                                      <w:color w:val="0000FF"/>
                                      <w:spacing w:val="-5"/>
                                      <w:w w:val="105"/>
                                      <w:sz w:val="11"/>
                                    </w:rPr>
                                    <w:t xml:space="preserve"> </w:t>
                                  </w:r>
                                  <w:r>
                                    <w:rPr>
                                      <w:rFonts w:ascii="Arial MT"/>
                                      <w:color w:val="0000FF"/>
                                      <w:w w:val="105"/>
                                      <w:sz w:val="11"/>
                                    </w:rPr>
                                    <w:t>C</w:t>
                                  </w:r>
                                  <w:r>
                                    <w:rPr>
                                      <w:rFonts w:ascii="Arial MT"/>
                                      <w:color w:val="0000FF"/>
                                      <w:spacing w:val="-5"/>
                                      <w:w w:val="105"/>
                                      <w:sz w:val="11"/>
                                    </w:rPr>
                                    <w:t xml:space="preserve"> </w:t>
                                  </w:r>
                                  <w:r>
                                    <w:rPr>
                                      <w:rFonts w:ascii="Arial MT"/>
                                      <w:color w:val="0000FF"/>
                                      <w:w w:val="105"/>
                                      <w:sz w:val="11"/>
                                    </w:rPr>
                                    <w:t>powder)</w:t>
                                  </w:r>
                                  <w:r>
                                    <w:rPr>
                                      <w:rFonts w:ascii="Arial MT"/>
                                      <w:color w:val="0000FF"/>
                                      <w:spacing w:val="-2"/>
                                      <w:w w:val="105"/>
                                      <w:sz w:val="11"/>
                                    </w:rPr>
                                    <w:t xml:space="preserve"> </w:t>
                                  </w:r>
                                  <w:r>
                                    <w:rPr>
                                      <w:rFonts w:ascii="Arial MT"/>
                                      <w:color w:val="0000FF"/>
                                      <w:w w:val="105"/>
                                      <w:sz w:val="11"/>
                                    </w:rPr>
                                    <w:t>or</w:t>
                                  </w:r>
                                  <w:r>
                                    <w:rPr>
                                      <w:rFonts w:ascii="Arial MT"/>
                                      <w:color w:val="0000FF"/>
                                      <w:spacing w:val="-3"/>
                                      <w:w w:val="105"/>
                                      <w:sz w:val="11"/>
                                    </w:rPr>
                                    <w:t xml:space="preserve"> </w:t>
                                  </w:r>
                                  <w:r>
                                    <w:rPr>
                                      <w:rFonts w:ascii="Arial MT"/>
                                      <w:color w:val="0000FF"/>
                                      <w:spacing w:val="-2"/>
                                      <w:w w:val="105"/>
                                      <w:sz w:val="11"/>
                                    </w:rPr>
                                    <w:t>above.</w:t>
                                  </w:r>
                                </w:p>
                                <w:p w:rsidR="00883FED" w:rsidRDefault="00883FED">
                                  <w:pPr>
                                    <w:pStyle w:val="TableParagraph"/>
                                    <w:spacing w:before="39" w:line="316" w:lineRule="auto"/>
                                    <w:ind w:left="86" w:right="864"/>
                                    <w:rPr>
                                      <w:rFonts w:ascii="Arial MT"/>
                                      <w:sz w:val="11"/>
                                    </w:rPr>
                                  </w:pPr>
                                  <w:r>
                                    <w:rPr>
                                      <w:rFonts w:ascii="Arial MT"/>
                                      <w:color w:val="0000FF"/>
                                      <w:w w:val="105"/>
                                      <w:sz w:val="11"/>
                                    </w:rPr>
                                    <w:t>-5000</w:t>
                                  </w:r>
                                  <w:r>
                                    <w:rPr>
                                      <w:rFonts w:ascii="Arial MT"/>
                                      <w:color w:val="0000FF"/>
                                      <w:spacing w:val="-4"/>
                                      <w:w w:val="105"/>
                                      <w:sz w:val="11"/>
                                    </w:rPr>
                                    <w:t xml:space="preserve"> </w:t>
                                  </w:r>
                                  <w:proofErr w:type="spellStart"/>
                                  <w:r>
                                    <w:rPr>
                                      <w:rFonts w:ascii="Arial MT"/>
                                      <w:color w:val="0000FF"/>
                                      <w:w w:val="105"/>
                                      <w:sz w:val="11"/>
                                    </w:rPr>
                                    <w:t>litres</w:t>
                                  </w:r>
                                  <w:proofErr w:type="spellEnd"/>
                                  <w:r>
                                    <w:rPr>
                                      <w:rFonts w:ascii="Arial MT"/>
                                      <w:color w:val="0000FF"/>
                                      <w:spacing w:val="-7"/>
                                      <w:w w:val="105"/>
                                      <w:sz w:val="11"/>
                                    </w:rPr>
                                    <w:t xml:space="preserve"> </w:t>
                                  </w:r>
                                  <w:r>
                                    <w:rPr>
                                      <w:rFonts w:ascii="Arial MT"/>
                                      <w:color w:val="0000FF"/>
                                      <w:w w:val="105"/>
                                      <w:sz w:val="11"/>
                                    </w:rPr>
                                    <w:t>water</w:t>
                                  </w:r>
                                  <w:r>
                                    <w:rPr>
                                      <w:rFonts w:ascii="Arial MT"/>
                                      <w:color w:val="0000FF"/>
                                      <w:spacing w:val="-7"/>
                                      <w:w w:val="105"/>
                                      <w:sz w:val="11"/>
                                    </w:rPr>
                                    <w:t xml:space="preserve"> </w:t>
                                  </w:r>
                                  <w:r>
                                    <w:rPr>
                                      <w:rFonts w:ascii="Arial MT"/>
                                      <w:color w:val="0000FF"/>
                                      <w:w w:val="105"/>
                                      <w:sz w:val="11"/>
                                    </w:rPr>
                                    <w:t>tank</w:t>
                                  </w:r>
                                  <w:r>
                                    <w:rPr>
                                      <w:rFonts w:ascii="Arial MT"/>
                                      <w:color w:val="0000FF"/>
                                      <w:spacing w:val="-7"/>
                                      <w:w w:val="105"/>
                                      <w:sz w:val="11"/>
                                    </w:rPr>
                                    <w:t xml:space="preserve"> </w:t>
                                  </w:r>
                                  <w:r>
                                    <w:rPr>
                                      <w:rFonts w:ascii="Arial MT"/>
                                      <w:color w:val="0000FF"/>
                                      <w:w w:val="105"/>
                                      <w:sz w:val="11"/>
                                    </w:rPr>
                                    <w:t>or</w:t>
                                  </w:r>
                                  <w:r>
                                    <w:rPr>
                                      <w:rFonts w:ascii="Arial MT"/>
                                      <w:color w:val="0000FF"/>
                                      <w:spacing w:val="-7"/>
                                      <w:w w:val="105"/>
                                      <w:sz w:val="11"/>
                                    </w:rPr>
                                    <w:t xml:space="preserve"> </w:t>
                                  </w:r>
                                  <w:r>
                                    <w:rPr>
                                      <w:rFonts w:ascii="Arial MT"/>
                                      <w:color w:val="0000FF"/>
                                      <w:w w:val="105"/>
                                      <w:sz w:val="11"/>
                                    </w:rPr>
                                    <w:t>above</w:t>
                                  </w:r>
                                  <w:r>
                                    <w:rPr>
                                      <w:rFonts w:ascii="Arial MT"/>
                                      <w:color w:val="0000FF"/>
                                      <w:spacing w:val="-7"/>
                                      <w:w w:val="105"/>
                                      <w:sz w:val="11"/>
                                    </w:rPr>
                                    <w:t xml:space="preserve"> </w:t>
                                  </w:r>
                                  <w:r>
                                    <w:rPr>
                                      <w:rFonts w:ascii="Arial MT"/>
                                      <w:color w:val="0000FF"/>
                                      <w:w w:val="105"/>
                                      <w:sz w:val="11"/>
                                    </w:rPr>
                                    <w:t>plus</w:t>
                                  </w:r>
                                  <w:r>
                                    <w:rPr>
                                      <w:rFonts w:ascii="Arial MT"/>
                                      <w:color w:val="0000FF"/>
                                      <w:spacing w:val="-7"/>
                                      <w:w w:val="105"/>
                                      <w:sz w:val="11"/>
                                    </w:rPr>
                                    <w:t xml:space="preserve"> </w:t>
                                  </w:r>
                                  <w:r>
                                    <w:rPr>
                                      <w:rFonts w:ascii="Arial MT"/>
                                      <w:color w:val="0000FF"/>
                                      <w:w w:val="105"/>
                                      <w:sz w:val="11"/>
                                    </w:rPr>
                                    <w:t>a</w:t>
                                  </w:r>
                                  <w:r>
                                    <w:rPr>
                                      <w:rFonts w:ascii="Arial MT"/>
                                      <w:color w:val="0000FF"/>
                                      <w:spacing w:val="-7"/>
                                      <w:w w:val="105"/>
                                      <w:sz w:val="11"/>
                                    </w:rPr>
                                    <w:t xml:space="preserve"> </w:t>
                                  </w:r>
                                  <w:r>
                                    <w:rPr>
                                      <w:rFonts w:ascii="Arial MT"/>
                                      <w:color w:val="0000FF"/>
                                      <w:w w:val="105"/>
                                      <w:sz w:val="11"/>
                                    </w:rPr>
                                    <w:t>pressure</w:t>
                                  </w:r>
                                  <w:r>
                                    <w:rPr>
                                      <w:rFonts w:ascii="Arial MT"/>
                                      <w:color w:val="0000FF"/>
                                      <w:spacing w:val="-7"/>
                                      <w:w w:val="105"/>
                                      <w:sz w:val="11"/>
                                    </w:rPr>
                                    <w:t xml:space="preserve"> </w:t>
                                  </w:r>
                                  <w:r>
                                    <w:rPr>
                                      <w:rFonts w:ascii="Arial MT"/>
                                      <w:color w:val="0000FF"/>
                                      <w:w w:val="105"/>
                                      <w:sz w:val="11"/>
                                    </w:rPr>
                                    <w:t>pump</w:t>
                                  </w:r>
                                  <w:r>
                                    <w:rPr>
                                      <w:rFonts w:ascii="Arial MT"/>
                                      <w:color w:val="0000FF"/>
                                      <w:spacing w:val="40"/>
                                      <w:w w:val="105"/>
                                      <w:sz w:val="11"/>
                                    </w:rPr>
                                    <w:t xml:space="preserve"> </w:t>
                                  </w:r>
                                  <w:r>
                                    <w:rPr>
                                      <w:rFonts w:ascii="Arial MT"/>
                                      <w:color w:val="0000FF"/>
                                      <w:w w:val="105"/>
                                      <w:sz w:val="11"/>
                                    </w:rPr>
                                    <w:t xml:space="preserve">to be installed for use </w:t>
                                  </w:r>
                                  <w:proofErr w:type="spellStart"/>
                                  <w:r>
                                    <w:rPr>
                                      <w:rFonts w:ascii="Arial MT"/>
                                      <w:color w:val="0000FF"/>
                                      <w:w w:val="105"/>
                                      <w:sz w:val="11"/>
                                    </w:rPr>
                                    <w:t>incase</w:t>
                                  </w:r>
                                  <w:proofErr w:type="spellEnd"/>
                                  <w:r>
                                    <w:rPr>
                                      <w:rFonts w:ascii="Arial MT"/>
                                      <w:color w:val="0000FF"/>
                                      <w:w w:val="105"/>
                                      <w:sz w:val="11"/>
                                    </w:rPr>
                                    <w:t xml:space="preserve"> of fire</w:t>
                                  </w:r>
                                  <w:r>
                                    <w:rPr>
                                      <w:rFonts w:ascii="Arial MT"/>
                                      <w:color w:val="0000FF"/>
                                      <w:spacing w:val="-16"/>
                                      <w:w w:val="105"/>
                                      <w:sz w:val="11"/>
                                    </w:rPr>
                                    <w:t xml:space="preserve"> </w:t>
                                  </w:r>
                                  <w:r>
                                    <w:rPr>
                                      <w:rFonts w:ascii="Arial MT"/>
                                      <w:color w:val="0000FF"/>
                                      <w:w w:val="105"/>
                                      <w:sz w:val="11"/>
                                    </w:rPr>
                                    <w:t>.</w:t>
                                  </w:r>
                                </w:p>
                              </w:tc>
                            </w:tr>
                            <w:tr w:rsidR="00883FED">
                              <w:trPr>
                                <w:trHeight w:val="218"/>
                              </w:trPr>
                              <w:tc>
                                <w:tcPr>
                                  <w:tcW w:w="3742" w:type="dxa"/>
                                  <w:gridSpan w:val="8"/>
                                </w:tcPr>
                                <w:p w:rsidR="00883FED" w:rsidRDefault="00883FED">
                                  <w:pPr>
                                    <w:pStyle w:val="TableParagraph"/>
                                    <w:spacing w:before="60" w:line="138" w:lineRule="exact"/>
                                    <w:ind w:left="178"/>
                                    <w:rPr>
                                      <w:rFonts w:ascii="Arial"/>
                                      <w:b/>
                                      <w:sz w:val="13"/>
                                    </w:rPr>
                                  </w:pPr>
                                  <w:r>
                                    <w:rPr>
                                      <w:rFonts w:ascii="Arial"/>
                                      <w:b/>
                                      <w:color w:val="0000FF"/>
                                      <w:spacing w:val="-5"/>
                                      <w:sz w:val="13"/>
                                    </w:rPr>
                                    <w:t>KEY</w:t>
                                  </w:r>
                                </w:p>
                              </w:tc>
                            </w:tr>
                            <w:tr w:rsidR="00883FED">
                              <w:trPr>
                                <w:trHeight w:val="187"/>
                              </w:trPr>
                              <w:tc>
                                <w:tcPr>
                                  <w:tcW w:w="1939" w:type="dxa"/>
                                  <w:gridSpan w:val="4"/>
                                </w:tcPr>
                                <w:p w:rsidR="00883FED" w:rsidRDefault="00883FED">
                                  <w:pPr>
                                    <w:pStyle w:val="TableParagraph"/>
                                    <w:spacing w:before="11"/>
                                    <w:ind w:left="178"/>
                                    <w:rPr>
                                      <w:rFonts w:ascii="Arial"/>
                                      <w:b/>
                                      <w:sz w:val="13"/>
                                    </w:rPr>
                                  </w:pPr>
                                  <w:r>
                                    <w:rPr>
                                      <w:rFonts w:ascii="Arial"/>
                                      <w:b/>
                                      <w:color w:val="0000FF"/>
                                      <w:sz w:val="13"/>
                                    </w:rPr>
                                    <w:t>WINDOW</w:t>
                                  </w:r>
                                  <w:r>
                                    <w:rPr>
                                      <w:rFonts w:ascii="Arial"/>
                                      <w:b/>
                                      <w:color w:val="0000FF"/>
                                      <w:spacing w:val="-5"/>
                                      <w:sz w:val="13"/>
                                    </w:rPr>
                                    <w:t xml:space="preserve"> </w:t>
                                  </w:r>
                                  <w:r>
                                    <w:rPr>
                                      <w:rFonts w:ascii="Arial"/>
                                      <w:b/>
                                      <w:color w:val="0000FF"/>
                                      <w:spacing w:val="-2"/>
                                      <w:sz w:val="13"/>
                                    </w:rPr>
                                    <w:t>SCHEDULES</w:t>
                                  </w:r>
                                </w:p>
                              </w:tc>
                              <w:tc>
                                <w:tcPr>
                                  <w:tcW w:w="1803" w:type="dxa"/>
                                  <w:gridSpan w:val="4"/>
                                </w:tcPr>
                                <w:p w:rsidR="00883FED" w:rsidRDefault="00883FED">
                                  <w:pPr>
                                    <w:pStyle w:val="TableParagraph"/>
                                    <w:spacing w:before="11"/>
                                    <w:ind w:left="278"/>
                                    <w:rPr>
                                      <w:rFonts w:ascii="Arial"/>
                                      <w:b/>
                                      <w:sz w:val="13"/>
                                    </w:rPr>
                                  </w:pPr>
                                  <w:r>
                                    <w:rPr>
                                      <w:rFonts w:ascii="Arial"/>
                                      <w:b/>
                                      <w:color w:val="0000FF"/>
                                      <w:sz w:val="13"/>
                                    </w:rPr>
                                    <w:t>DOOR</w:t>
                                  </w:r>
                                  <w:r>
                                    <w:rPr>
                                      <w:rFonts w:ascii="Arial"/>
                                      <w:b/>
                                      <w:color w:val="0000FF"/>
                                      <w:spacing w:val="-3"/>
                                      <w:sz w:val="13"/>
                                    </w:rPr>
                                    <w:t xml:space="preserve"> </w:t>
                                  </w:r>
                                  <w:r>
                                    <w:rPr>
                                      <w:rFonts w:ascii="Arial"/>
                                      <w:b/>
                                      <w:color w:val="0000FF"/>
                                      <w:spacing w:val="-2"/>
                                      <w:sz w:val="13"/>
                                    </w:rPr>
                                    <w:t>SCHEDULES</w:t>
                                  </w:r>
                                </w:p>
                              </w:tc>
                            </w:tr>
                            <w:tr w:rsidR="00883FED">
                              <w:trPr>
                                <w:trHeight w:val="318"/>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31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31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1206"/>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63"/>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4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4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4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4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52"/>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80"/>
                              </w:trPr>
                              <w:tc>
                                <w:tcPr>
                                  <w:tcW w:w="2765" w:type="dxa"/>
                                  <w:gridSpan w:val="6"/>
                                </w:tcPr>
                                <w:p w:rsidR="00883FED" w:rsidRDefault="00883FED">
                                  <w:pPr>
                                    <w:pStyle w:val="TableParagraph"/>
                                    <w:spacing w:before="52"/>
                                    <w:ind w:left="178"/>
                                    <w:rPr>
                                      <w:rFonts w:ascii="Arial"/>
                                      <w:b/>
                                      <w:sz w:val="13"/>
                                    </w:rPr>
                                  </w:pPr>
                                  <w:r>
                                    <w:rPr>
                                      <w:rFonts w:ascii="Arial"/>
                                      <w:b/>
                                      <w:color w:val="0000FF"/>
                                      <w:spacing w:val="-2"/>
                                      <w:sz w:val="13"/>
                                    </w:rPr>
                                    <w:t>REVISIONS</w:t>
                                  </w:r>
                                </w:p>
                              </w:tc>
                              <w:tc>
                                <w:tcPr>
                                  <w:tcW w:w="977" w:type="dxa"/>
                                  <w:gridSpan w:val="2"/>
                                </w:tcPr>
                                <w:p w:rsidR="00883FED" w:rsidRDefault="00883FED">
                                  <w:pPr>
                                    <w:pStyle w:val="TableParagraph"/>
                                    <w:rPr>
                                      <w:rFonts w:ascii="Times New Roman"/>
                                      <w:sz w:val="14"/>
                                    </w:rPr>
                                  </w:pPr>
                                </w:p>
                              </w:tc>
                            </w:tr>
                            <w:tr w:rsidR="00883FED">
                              <w:trPr>
                                <w:trHeight w:val="311"/>
                              </w:trPr>
                              <w:tc>
                                <w:tcPr>
                                  <w:tcW w:w="766" w:type="dxa"/>
                                  <w:gridSpan w:val="2"/>
                                </w:tcPr>
                                <w:p w:rsidR="00883FED" w:rsidRDefault="00883FED">
                                  <w:pPr>
                                    <w:pStyle w:val="TableParagraph"/>
                                    <w:spacing w:before="58"/>
                                    <w:ind w:left="164"/>
                                    <w:rPr>
                                      <w:rFonts w:ascii="Arial"/>
                                      <w:b/>
                                      <w:sz w:val="13"/>
                                    </w:rPr>
                                  </w:pPr>
                                  <w:r>
                                    <w:rPr>
                                      <w:rFonts w:ascii="Arial"/>
                                      <w:b/>
                                      <w:color w:val="0000FF"/>
                                      <w:spacing w:val="-4"/>
                                      <w:sz w:val="13"/>
                                    </w:rPr>
                                    <w:t>Date</w:t>
                                  </w:r>
                                </w:p>
                              </w:tc>
                              <w:tc>
                                <w:tcPr>
                                  <w:tcW w:w="1999" w:type="dxa"/>
                                  <w:gridSpan w:val="4"/>
                                </w:tcPr>
                                <w:p w:rsidR="00883FED" w:rsidRDefault="00883FED">
                                  <w:pPr>
                                    <w:pStyle w:val="TableParagraph"/>
                                    <w:spacing w:before="97"/>
                                    <w:ind w:left="522"/>
                                    <w:rPr>
                                      <w:rFonts w:ascii="Arial"/>
                                      <w:b/>
                                      <w:sz w:val="13"/>
                                    </w:rPr>
                                  </w:pPr>
                                  <w:r>
                                    <w:rPr>
                                      <w:rFonts w:ascii="Arial"/>
                                      <w:b/>
                                      <w:color w:val="0000FF"/>
                                      <w:spacing w:val="-2"/>
                                      <w:sz w:val="13"/>
                                    </w:rPr>
                                    <w:t>Description</w:t>
                                  </w:r>
                                </w:p>
                              </w:tc>
                              <w:tc>
                                <w:tcPr>
                                  <w:tcW w:w="977" w:type="dxa"/>
                                  <w:gridSpan w:val="2"/>
                                </w:tcPr>
                                <w:p w:rsidR="00883FED" w:rsidRDefault="00883FED">
                                  <w:pPr>
                                    <w:pStyle w:val="TableParagraph"/>
                                    <w:spacing w:before="61"/>
                                    <w:ind w:left="106"/>
                                    <w:rPr>
                                      <w:rFonts w:ascii="Arial"/>
                                      <w:b/>
                                      <w:sz w:val="13"/>
                                    </w:rPr>
                                  </w:pPr>
                                  <w:r>
                                    <w:rPr>
                                      <w:rFonts w:ascii="Arial"/>
                                      <w:b/>
                                      <w:color w:val="0000FF"/>
                                      <w:spacing w:val="-4"/>
                                      <w:sz w:val="13"/>
                                    </w:rPr>
                                    <w:t>Sign</w:t>
                                  </w:r>
                                </w:p>
                              </w:tc>
                            </w:tr>
                            <w:tr w:rsidR="00883FED">
                              <w:trPr>
                                <w:trHeight w:val="928"/>
                              </w:trPr>
                              <w:tc>
                                <w:tcPr>
                                  <w:tcW w:w="766" w:type="dxa"/>
                                  <w:gridSpan w:val="2"/>
                                </w:tcPr>
                                <w:p w:rsidR="00883FED" w:rsidRDefault="00883FED">
                                  <w:pPr>
                                    <w:pStyle w:val="TableParagraph"/>
                                    <w:rPr>
                                      <w:rFonts w:ascii="Times New Roman"/>
                                      <w:sz w:val="14"/>
                                    </w:rPr>
                                  </w:pPr>
                                </w:p>
                              </w:tc>
                              <w:tc>
                                <w:tcPr>
                                  <w:tcW w:w="1999" w:type="dxa"/>
                                  <w:gridSpan w:val="4"/>
                                </w:tcPr>
                                <w:p w:rsidR="00883FED" w:rsidRDefault="00883FED">
                                  <w:pPr>
                                    <w:pStyle w:val="TableParagraph"/>
                                    <w:rPr>
                                      <w:rFonts w:ascii="Times New Roman"/>
                                      <w:sz w:val="14"/>
                                    </w:rPr>
                                  </w:pPr>
                                </w:p>
                              </w:tc>
                              <w:tc>
                                <w:tcPr>
                                  <w:tcW w:w="977" w:type="dxa"/>
                                  <w:gridSpan w:val="2"/>
                                </w:tcPr>
                                <w:p w:rsidR="00883FED" w:rsidRDefault="00883FED">
                                  <w:pPr>
                                    <w:pStyle w:val="TableParagraph"/>
                                    <w:rPr>
                                      <w:rFonts w:ascii="Times New Roman"/>
                                      <w:sz w:val="14"/>
                                    </w:rPr>
                                  </w:pPr>
                                </w:p>
                              </w:tc>
                            </w:tr>
                            <w:tr w:rsidR="00883FED">
                              <w:trPr>
                                <w:trHeight w:val="791"/>
                              </w:trPr>
                              <w:tc>
                                <w:tcPr>
                                  <w:tcW w:w="3742" w:type="dxa"/>
                                  <w:gridSpan w:val="8"/>
                                </w:tcPr>
                                <w:p w:rsidR="00883FED" w:rsidRDefault="00883FED">
                                  <w:pPr>
                                    <w:pStyle w:val="TableParagraph"/>
                                    <w:spacing w:before="60" w:line="123" w:lineRule="exact"/>
                                    <w:ind w:left="82"/>
                                    <w:rPr>
                                      <w:rFonts w:ascii="Arial MT"/>
                                      <w:sz w:val="13"/>
                                    </w:rPr>
                                  </w:pPr>
                                  <w:r>
                                    <w:rPr>
                                      <w:rFonts w:ascii="Arial MT"/>
                                      <w:color w:val="0000FF"/>
                                      <w:spacing w:val="-2"/>
                                      <w:sz w:val="13"/>
                                    </w:rPr>
                                    <w:t>Project</w:t>
                                  </w:r>
                                </w:p>
                                <w:p w:rsidR="00883FED" w:rsidRDefault="00883FED">
                                  <w:pPr>
                                    <w:pStyle w:val="TableParagraph"/>
                                    <w:spacing w:line="123" w:lineRule="exact"/>
                                    <w:ind w:left="340" w:right="2"/>
                                    <w:jc w:val="center"/>
                                    <w:rPr>
                                      <w:rFonts w:ascii="Arial"/>
                                      <w:b/>
                                      <w:sz w:val="13"/>
                                    </w:rPr>
                                  </w:pPr>
                                  <w:r>
                                    <w:rPr>
                                      <w:rFonts w:ascii="Arial"/>
                                      <w:b/>
                                      <w:color w:val="0000FF"/>
                                      <w:sz w:val="13"/>
                                    </w:rPr>
                                    <w:t>PROPOSED</w:t>
                                  </w:r>
                                  <w:r>
                                    <w:rPr>
                                      <w:rFonts w:ascii="Arial"/>
                                      <w:b/>
                                      <w:color w:val="0000FF"/>
                                      <w:spacing w:val="-9"/>
                                      <w:sz w:val="13"/>
                                    </w:rPr>
                                    <w:t xml:space="preserve"> </w:t>
                                  </w:r>
                                  <w:r>
                                    <w:rPr>
                                      <w:rFonts w:ascii="Arial"/>
                                      <w:b/>
                                      <w:color w:val="0000FF"/>
                                      <w:sz w:val="13"/>
                                    </w:rPr>
                                    <w:t>REFURBISHMENT</w:t>
                                  </w:r>
                                  <w:r>
                                    <w:rPr>
                                      <w:rFonts w:ascii="Arial"/>
                                      <w:b/>
                                      <w:color w:val="0000FF"/>
                                      <w:spacing w:val="-9"/>
                                      <w:sz w:val="13"/>
                                    </w:rPr>
                                    <w:t xml:space="preserve"> </w:t>
                                  </w:r>
                                  <w:r>
                                    <w:rPr>
                                      <w:rFonts w:ascii="Arial"/>
                                      <w:b/>
                                      <w:color w:val="0000FF"/>
                                      <w:sz w:val="13"/>
                                    </w:rPr>
                                    <w:t>WORKS</w:t>
                                  </w:r>
                                  <w:r>
                                    <w:rPr>
                                      <w:rFonts w:ascii="Arial"/>
                                      <w:b/>
                                      <w:color w:val="0000FF"/>
                                      <w:spacing w:val="-8"/>
                                      <w:sz w:val="13"/>
                                    </w:rPr>
                                    <w:t xml:space="preserve"> </w:t>
                                  </w:r>
                                  <w:r>
                                    <w:rPr>
                                      <w:rFonts w:ascii="Arial"/>
                                      <w:b/>
                                      <w:color w:val="0000FF"/>
                                      <w:spacing w:val="-5"/>
                                      <w:sz w:val="13"/>
                                    </w:rPr>
                                    <w:t>FOR</w:t>
                                  </w:r>
                                </w:p>
                                <w:p w:rsidR="00883FED" w:rsidRDefault="00883FED">
                                  <w:pPr>
                                    <w:pStyle w:val="TableParagraph"/>
                                    <w:ind w:left="340"/>
                                    <w:jc w:val="center"/>
                                    <w:rPr>
                                      <w:rFonts w:ascii="Arial"/>
                                      <w:b/>
                                      <w:sz w:val="13"/>
                                    </w:rPr>
                                  </w:pPr>
                                  <w:r>
                                    <w:rPr>
                                      <w:rFonts w:ascii="Arial"/>
                                      <w:b/>
                                      <w:color w:val="0000FF"/>
                                      <w:sz w:val="13"/>
                                    </w:rPr>
                                    <w:t>MAIN</w:t>
                                  </w:r>
                                  <w:r>
                                    <w:rPr>
                                      <w:rFonts w:ascii="Arial"/>
                                      <w:b/>
                                      <w:color w:val="0000FF"/>
                                      <w:spacing w:val="-10"/>
                                      <w:sz w:val="13"/>
                                    </w:rPr>
                                    <w:t xml:space="preserve"> </w:t>
                                  </w:r>
                                  <w:r>
                                    <w:rPr>
                                      <w:rFonts w:ascii="Arial"/>
                                      <w:b/>
                                      <w:color w:val="0000FF"/>
                                      <w:sz w:val="13"/>
                                    </w:rPr>
                                    <w:t>THEATRES</w:t>
                                  </w:r>
                                  <w:r>
                                    <w:rPr>
                                      <w:rFonts w:ascii="Arial"/>
                                      <w:b/>
                                      <w:color w:val="0000FF"/>
                                      <w:spacing w:val="-9"/>
                                      <w:sz w:val="13"/>
                                    </w:rPr>
                                    <w:t xml:space="preserve"> </w:t>
                                  </w:r>
                                  <w:r>
                                    <w:rPr>
                                      <w:rFonts w:ascii="Arial"/>
                                      <w:b/>
                                      <w:color w:val="0000FF"/>
                                      <w:sz w:val="13"/>
                                    </w:rPr>
                                    <w:t>AT</w:t>
                                  </w:r>
                                  <w:r>
                                    <w:rPr>
                                      <w:rFonts w:ascii="Arial"/>
                                      <w:b/>
                                      <w:color w:val="0000FF"/>
                                      <w:spacing w:val="-9"/>
                                      <w:sz w:val="13"/>
                                    </w:rPr>
                                    <w:t xml:space="preserve"> </w:t>
                                  </w:r>
                                  <w:r>
                                    <w:rPr>
                                      <w:rFonts w:ascii="Arial"/>
                                      <w:b/>
                                      <w:color w:val="0000FF"/>
                                      <w:sz w:val="13"/>
                                    </w:rPr>
                                    <w:t>JARAMOGI</w:t>
                                  </w:r>
                                  <w:r>
                                    <w:rPr>
                                      <w:rFonts w:ascii="Arial"/>
                                      <w:b/>
                                      <w:color w:val="0000FF"/>
                                      <w:spacing w:val="-9"/>
                                      <w:sz w:val="13"/>
                                    </w:rPr>
                                    <w:t xml:space="preserve"> </w:t>
                                  </w:r>
                                  <w:r>
                                    <w:rPr>
                                      <w:rFonts w:ascii="Arial"/>
                                      <w:b/>
                                      <w:color w:val="0000FF"/>
                                      <w:sz w:val="13"/>
                                    </w:rPr>
                                    <w:t>OGINGA</w:t>
                                  </w:r>
                                  <w:r>
                                    <w:rPr>
                                      <w:rFonts w:ascii="Arial"/>
                                      <w:b/>
                                      <w:color w:val="0000FF"/>
                                      <w:spacing w:val="-9"/>
                                      <w:sz w:val="13"/>
                                    </w:rPr>
                                    <w:t xml:space="preserve"> </w:t>
                                  </w:r>
                                  <w:r>
                                    <w:rPr>
                                      <w:rFonts w:ascii="Arial"/>
                                      <w:b/>
                                      <w:color w:val="0000FF"/>
                                      <w:sz w:val="13"/>
                                    </w:rPr>
                                    <w:t>ODINGA</w:t>
                                  </w:r>
                                  <w:r>
                                    <w:rPr>
                                      <w:rFonts w:ascii="Arial"/>
                                      <w:b/>
                                      <w:color w:val="0000FF"/>
                                      <w:spacing w:val="40"/>
                                      <w:sz w:val="13"/>
                                    </w:rPr>
                                    <w:t xml:space="preserve"> </w:t>
                                  </w:r>
                                  <w:r>
                                    <w:rPr>
                                      <w:rFonts w:ascii="Arial"/>
                                      <w:b/>
                                      <w:color w:val="0000FF"/>
                                      <w:sz w:val="13"/>
                                    </w:rPr>
                                    <w:t>TEACHING AND REFFERAL HOSPITAL</w:t>
                                  </w:r>
                                </w:p>
                              </w:tc>
                            </w:tr>
                            <w:tr w:rsidR="00883FED">
                              <w:trPr>
                                <w:trHeight w:val="1510"/>
                              </w:trPr>
                              <w:tc>
                                <w:tcPr>
                                  <w:tcW w:w="3742" w:type="dxa"/>
                                  <w:gridSpan w:val="8"/>
                                </w:tcPr>
                                <w:p w:rsidR="00883FED" w:rsidRDefault="00883FED">
                                  <w:pPr>
                                    <w:pStyle w:val="TableParagraph"/>
                                    <w:spacing w:before="45"/>
                                    <w:ind w:left="115"/>
                                    <w:rPr>
                                      <w:rFonts w:ascii="Arial MT"/>
                                      <w:sz w:val="13"/>
                                    </w:rPr>
                                  </w:pPr>
                                  <w:r>
                                    <w:rPr>
                                      <w:rFonts w:ascii="Arial MT"/>
                                      <w:color w:val="0000FF"/>
                                      <w:spacing w:val="-2"/>
                                      <w:sz w:val="13"/>
                                    </w:rPr>
                                    <w:t>Client</w:t>
                                  </w:r>
                                </w:p>
                                <w:p w:rsidR="00883FED" w:rsidRDefault="00883FED">
                                  <w:pPr>
                                    <w:pStyle w:val="TableParagraph"/>
                                    <w:spacing w:before="90"/>
                                    <w:ind w:left="1162" w:hanging="709"/>
                                    <w:rPr>
                                      <w:rFonts w:ascii="Arial"/>
                                      <w:b/>
                                      <w:sz w:val="13"/>
                                    </w:rPr>
                                  </w:pPr>
                                  <w:r>
                                    <w:rPr>
                                      <w:rFonts w:ascii="Arial"/>
                                      <w:b/>
                                      <w:color w:val="0000FF"/>
                                      <w:spacing w:val="-4"/>
                                      <w:sz w:val="13"/>
                                    </w:rPr>
                                    <w:t>JARAMOGI OGINGA</w:t>
                                  </w:r>
                                  <w:r>
                                    <w:rPr>
                                      <w:rFonts w:ascii="Arial"/>
                                      <w:b/>
                                      <w:color w:val="0000FF"/>
                                      <w:spacing w:val="-7"/>
                                      <w:sz w:val="13"/>
                                    </w:rPr>
                                    <w:t xml:space="preserve"> </w:t>
                                  </w:r>
                                  <w:r>
                                    <w:rPr>
                                      <w:rFonts w:ascii="Arial"/>
                                      <w:b/>
                                      <w:color w:val="0000FF"/>
                                      <w:spacing w:val="-4"/>
                                      <w:sz w:val="13"/>
                                    </w:rPr>
                                    <w:t>ODINGA</w:t>
                                  </w:r>
                                  <w:r>
                                    <w:rPr>
                                      <w:rFonts w:ascii="Arial"/>
                                      <w:b/>
                                      <w:color w:val="0000FF"/>
                                      <w:spacing w:val="-7"/>
                                      <w:sz w:val="13"/>
                                    </w:rPr>
                                    <w:t xml:space="preserve"> </w:t>
                                  </w:r>
                                  <w:r>
                                    <w:rPr>
                                      <w:rFonts w:ascii="Arial"/>
                                      <w:b/>
                                      <w:color w:val="0000FF"/>
                                      <w:spacing w:val="-4"/>
                                      <w:sz w:val="13"/>
                                    </w:rPr>
                                    <w:t>TEACHING</w:t>
                                  </w:r>
                                  <w:r>
                                    <w:rPr>
                                      <w:rFonts w:ascii="Arial"/>
                                      <w:b/>
                                      <w:color w:val="0000FF"/>
                                      <w:spacing w:val="-6"/>
                                      <w:sz w:val="13"/>
                                    </w:rPr>
                                    <w:t xml:space="preserve"> </w:t>
                                  </w:r>
                                  <w:r>
                                    <w:rPr>
                                      <w:rFonts w:ascii="Arial"/>
                                      <w:b/>
                                      <w:color w:val="0000FF"/>
                                      <w:spacing w:val="-4"/>
                                      <w:sz w:val="13"/>
                                    </w:rPr>
                                    <w:t>AND</w:t>
                                  </w:r>
                                  <w:r>
                                    <w:rPr>
                                      <w:rFonts w:ascii="Arial"/>
                                      <w:b/>
                                      <w:color w:val="0000FF"/>
                                      <w:spacing w:val="40"/>
                                      <w:sz w:val="13"/>
                                    </w:rPr>
                                    <w:t xml:space="preserve"> </w:t>
                                  </w:r>
                                  <w:r>
                                    <w:rPr>
                                      <w:rFonts w:ascii="Arial"/>
                                      <w:b/>
                                      <w:color w:val="0000FF"/>
                                      <w:sz w:val="13"/>
                                    </w:rPr>
                                    <w:t>REFFERAL</w:t>
                                  </w:r>
                                  <w:r>
                                    <w:rPr>
                                      <w:rFonts w:ascii="Arial"/>
                                      <w:b/>
                                      <w:color w:val="0000FF"/>
                                      <w:spacing w:val="-10"/>
                                      <w:sz w:val="13"/>
                                    </w:rPr>
                                    <w:t xml:space="preserve"> </w:t>
                                  </w:r>
                                  <w:r>
                                    <w:rPr>
                                      <w:rFonts w:ascii="Arial"/>
                                      <w:b/>
                                      <w:color w:val="0000FF"/>
                                      <w:sz w:val="13"/>
                                    </w:rPr>
                                    <w:t>HOSPITAL</w:t>
                                  </w:r>
                                </w:p>
                                <w:p w:rsidR="00883FED" w:rsidRDefault="00883FED">
                                  <w:pPr>
                                    <w:pStyle w:val="TableParagraph"/>
                                    <w:ind w:left="1344" w:right="1300" w:hanging="124"/>
                                    <w:rPr>
                                      <w:rFonts w:ascii="Arial"/>
                                      <w:b/>
                                      <w:sz w:val="13"/>
                                    </w:rPr>
                                  </w:pPr>
                                  <w:r>
                                    <w:rPr>
                                      <w:rFonts w:ascii="Arial"/>
                                      <w:b/>
                                      <w:color w:val="0000FF"/>
                                      <w:spacing w:val="-4"/>
                                      <w:sz w:val="13"/>
                                    </w:rPr>
                                    <w:t>P.O</w:t>
                                  </w:r>
                                  <w:r>
                                    <w:rPr>
                                      <w:rFonts w:ascii="Arial"/>
                                      <w:b/>
                                      <w:color w:val="0000FF"/>
                                      <w:spacing w:val="-20"/>
                                      <w:sz w:val="13"/>
                                    </w:rPr>
                                    <w:t xml:space="preserve"> </w:t>
                                  </w:r>
                                  <w:r>
                                    <w:rPr>
                                      <w:rFonts w:ascii="Arial"/>
                                      <w:b/>
                                      <w:color w:val="0000FF"/>
                                      <w:spacing w:val="-4"/>
                                      <w:sz w:val="13"/>
                                    </w:rPr>
                                    <w:t>BOX</w:t>
                                  </w:r>
                                  <w:r>
                                    <w:rPr>
                                      <w:rFonts w:ascii="Arial"/>
                                      <w:b/>
                                      <w:color w:val="0000FF"/>
                                      <w:spacing w:val="-6"/>
                                      <w:sz w:val="13"/>
                                    </w:rPr>
                                    <w:t xml:space="preserve"> </w:t>
                                  </w:r>
                                  <w:r>
                                    <w:rPr>
                                      <w:rFonts w:ascii="Arial"/>
                                      <w:b/>
                                      <w:color w:val="0000FF"/>
                                      <w:spacing w:val="-4"/>
                                      <w:sz w:val="13"/>
                                    </w:rPr>
                                    <w:t>4061-40100</w:t>
                                  </w:r>
                                  <w:r>
                                    <w:rPr>
                                      <w:rFonts w:ascii="Arial"/>
                                      <w:b/>
                                      <w:color w:val="0000FF"/>
                                      <w:spacing w:val="40"/>
                                      <w:sz w:val="13"/>
                                    </w:rPr>
                                    <w:t xml:space="preserve"> </w:t>
                                  </w:r>
                                  <w:r>
                                    <w:rPr>
                                      <w:rFonts w:ascii="Arial"/>
                                      <w:b/>
                                      <w:color w:val="0000FF"/>
                                      <w:spacing w:val="-2"/>
                                      <w:sz w:val="13"/>
                                    </w:rPr>
                                    <w:t>KISUMU-KENYA</w:t>
                                  </w:r>
                                </w:p>
                                <w:p w:rsidR="00883FED" w:rsidRDefault="00883FED">
                                  <w:pPr>
                                    <w:pStyle w:val="TableParagraph"/>
                                    <w:rPr>
                                      <w:rFonts w:ascii="Cambria"/>
                                      <w:b/>
                                      <w:sz w:val="13"/>
                                    </w:rPr>
                                  </w:pPr>
                                </w:p>
                                <w:p w:rsidR="00883FED" w:rsidRDefault="00883FED">
                                  <w:pPr>
                                    <w:pStyle w:val="TableParagraph"/>
                                    <w:spacing w:before="122"/>
                                    <w:rPr>
                                      <w:rFonts w:ascii="Cambria"/>
                                      <w:b/>
                                      <w:sz w:val="13"/>
                                    </w:rPr>
                                  </w:pPr>
                                </w:p>
                                <w:p w:rsidR="00883FED" w:rsidRDefault="00883FED">
                                  <w:pPr>
                                    <w:pStyle w:val="TableParagraph"/>
                                    <w:ind w:left="115"/>
                                    <w:rPr>
                                      <w:rFonts w:ascii="Arial MT"/>
                                      <w:sz w:val="13"/>
                                    </w:rPr>
                                  </w:pPr>
                                  <w:r>
                                    <w:rPr>
                                      <w:rFonts w:ascii="Arial MT"/>
                                      <w:color w:val="0000FF"/>
                                      <w:spacing w:val="-2"/>
                                      <w:sz w:val="13"/>
                                    </w:rPr>
                                    <w:t>Client's</w:t>
                                  </w:r>
                                  <w:r>
                                    <w:rPr>
                                      <w:rFonts w:ascii="Arial MT"/>
                                      <w:color w:val="0000FF"/>
                                      <w:spacing w:val="4"/>
                                      <w:sz w:val="13"/>
                                    </w:rPr>
                                    <w:t xml:space="preserve"> </w:t>
                                  </w:r>
                                  <w:r>
                                    <w:rPr>
                                      <w:rFonts w:ascii="Arial MT"/>
                                      <w:color w:val="0000FF"/>
                                      <w:spacing w:val="-2"/>
                                      <w:sz w:val="13"/>
                                    </w:rPr>
                                    <w:t>Approval.................................Date.............................</w:t>
                                  </w:r>
                                </w:p>
                              </w:tc>
                            </w:tr>
                            <w:tr w:rsidR="00883FED">
                              <w:trPr>
                                <w:trHeight w:val="655"/>
                              </w:trPr>
                              <w:tc>
                                <w:tcPr>
                                  <w:tcW w:w="3742" w:type="dxa"/>
                                  <w:gridSpan w:val="8"/>
                                </w:tcPr>
                                <w:p w:rsidR="00883FED" w:rsidRDefault="00883FED">
                                  <w:pPr>
                                    <w:pStyle w:val="TableParagraph"/>
                                    <w:spacing w:before="22"/>
                                    <w:rPr>
                                      <w:rFonts w:ascii="Cambria"/>
                                      <w:b/>
                                      <w:sz w:val="13"/>
                                    </w:rPr>
                                  </w:pPr>
                                </w:p>
                                <w:p w:rsidR="00883FED" w:rsidRDefault="00883FED">
                                  <w:pPr>
                                    <w:pStyle w:val="TableParagraph"/>
                                    <w:tabs>
                                      <w:tab w:val="left" w:pos="1211"/>
                                    </w:tabs>
                                    <w:spacing w:before="1"/>
                                    <w:ind w:left="95"/>
                                    <w:rPr>
                                      <w:rFonts w:ascii="Arial"/>
                                      <w:b/>
                                      <w:sz w:val="13"/>
                                    </w:rPr>
                                  </w:pPr>
                                  <w:r>
                                    <w:rPr>
                                      <w:rFonts w:ascii="Arial MT"/>
                                      <w:color w:val="0000FF"/>
                                      <w:spacing w:val="-2"/>
                                      <w:position w:val="4"/>
                                      <w:sz w:val="13"/>
                                    </w:rPr>
                                    <w:t>Drawing</w:t>
                                  </w:r>
                                  <w:r>
                                    <w:rPr>
                                      <w:rFonts w:ascii="Arial MT"/>
                                      <w:color w:val="0000FF"/>
                                      <w:spacing w:val="5"/>
                                      <w:position w:val="4"/>
                                      <w:sz w:val="13"/>
                                    </w:rPr>
                                    <w:t xml:space="preserve"> </w:t>
                                  </w:r>
                                  <w:r>
                                    <w:rPr>
                                      <w:rFonts w:ascii="Arial MT"/>
                                      <w:color w:val="0000FF"/>
                                      <w:spacing w:val="-2"/>
                                      <w:position w:val="4"/>
                                      <w:sz w:val="13"/>
                                    </w:rPr>
                                    <w:t>title</w:t>
                                  </w:r>
                                  <w:r>
                                    <w:rPr>
                                      <w:rFonts w:ascii="Arial MT"/>
                                      <w:color w:val="0000FF"/>
                                      <w:position w:val="4"/>
                                      <w:sz w:val="13"/>
                                    </w:rPr>
                                    <w:tab/>
                                  </w:r>
                                  <w:r>
                                    <w:rPr>
                                      <w:rFonts w:ascii="Arial"/>
                                      <w:b/>
                                      <w:color w:val="0000FF"/>
                                      <w:spacing w:val="-4"/>
                                      <w:sz w:val="13"/>
                                    </w:rPr>
                                    <w:t>WORKING</w:t>
                                  </w:r>
                                  <w:r>
                                    <w:rPr>
                                      <w:rFonts w:ascii="Arial"/>
                                      <w:b/>
                                      <w:color w:val="0000FF"/>
                                      <w:spacing w:val="-2"/>
                                      <w:sz w:val="13"/>
                                    </w:rPr>
                                    <w:t xml:space="preserve"> DRAWINGS</w:t>
                                  </w:r>
                                </w:p>
                              </w:tc>
                            </w:tr>
                            <w:tr w:rsidR="00883FED">
                              <w:trPr>
                                <w:trHeight w:val="445"/>
                              </w:trPr>
                              <w:tc>
                                <w:tcPr>
                                  <w:tcW w:w="3742" w:type="dxa"/>
                                  <w:gridSpan w:val="8"/>
                                </w:tcPr>
                                <w:p w:rsidR="00883FED" w:rsidRDefault="00883FED">
                                  <w:pPr>
                                    <w:pStyle w:val="TableParagraph"/>
                                    <w:spacing w:before="66" w:line="149" w:lineRule="exact"/>
                                    <w:ind w:left="102"/>
                                    <w:rPr>
                                      <w:rFonts w:ascii="Arial MT"/>
                                      <w:sz w:val="13"/>
                                    </w:rPr>
                                  </w:pPr>
                                  <w:r>
                                    <w:rPr>
                                      <w:rFonts w:ascii="Arial MT"/>
                                      <w:color w:val="0000FF"/>
                                      <w:spacing w:val="-4"/>
                                      <w:sz w:val="13"/>
                                    </w:rPr>
                                    <w:t>Scale</w:t>
                                  </w:r>
                                </w:p>
                                <w:p w:rsidR="00883FED" w:rsidRDefault="00883FED">
                                  <w:pPr>
                                    <w:pStyle w:val="TableParagraph"/>
                                    <w:ind w:left="467"/>
                                    <w:rPr>
                                      <w:rFonts w:ascii="Arial"/>
                                      <w:b/>
                                      <w:sz w:val="13"/>
                                    </w:rPr>
                                  </w:pPr>
                                  <w:r>
                                    <w:rPr>
                                      <w:rFonts w:ascii="Arial"/>
                                      <w:b/>
                                      <w:color w:val="0000FF"/>
                                      <w:spacing w:val="-2"/>
                                      <w:sz w:val="13"/>
                                    </w:rPr>
                                    <w:t>1:100</w:t>
                                  </w:r>
                                </w:p>
                              </w:tc>
                            </w:tr>
                            <w:tr w:rsidR="00883FED">
                              <w:trPr>
                                <w:trHeight w:val="618"/>
                              </w:trPr>
                              <w:tc>
                                <w:tcPr>
                                  <w:tcW w:w="1939" w:type="dxa"/>
                                  <w:gridSpan w:val="4"/>
                                </w:tcPr>
                                <w:p w:rsidR="00883FED" w:rsidRDefault="00883FED">
                                  <w:pPr>
                                    <w:pStyle w:val="TableParagraph"/>
                                    <w:spacing w:before="104"/>
                                    <w:ind w:left="84"/>
                                    <w:rPr>
                                      <w:rFonts w:ascii="Arial MT"/>
                                      <w:sz w:val="13"/>
                                    </w:rPr>
                                  </w:pPr>
                                  <w:r>
                                    <w:rPr>
                                      <w:rFonts w:ascii="Arial MT"/>
                                      <w:color w:val="0000FF"/>
                                      <w:sz w:val="13"/>
                                    </w:rPr>
                                    <w:t>Project</w:t>
                                  </w:r>
                                  <w:r>
                                    <w:rPr>
                                      <w:rFonts w:ascii="Arial MT"/>
                                      <w:color w:val="0000FF"/>
                                      <w:spacing w:val="-4"/>
                                      <w:sz w:val="13"/>
                                    </w:rPr>
                                    <w:t xml:space="preserve"> </w:t>
                                  </w:r>
                                  <w:r>
                                    <w:rPr>
                                      <w:rFonts w:ascii="Arial MT"/>
                                      <w:color w:val="0000FF"/>
                                      <w:spacing w:val="-5"/>
                                      <w:sz w:val="13"/>
                                    </w:rPr>
                                    <w:t>No:</w:t>
                                  </w:r>
                                </w:p>
                                <w:p w:rsidR="00883FED" w:rsidRDefault="00883FED">
                                  <w:pPr>
                                    <w:pStyle w:val="TableParagraph"/>
                                    <w:spacing w:before="30"/>
                                    <w:ind w:left="608"/>
                                    <w:rPr>
                                      <w:rFonts w:ascii="Arial"/>
                                      <w:b/>
                                      <w:sz w:val="13"/>
                                    </w:rPr>
                                  </w:pPr>
                                  <w:r>
                                    <w:rPr>
                                      <w:rFonts w:ascii="Arial"/>
                                      <w:b/>
                                      <w:color w:val="0000FF"/>
                                      <w:spacing w:val="-2"/>
                                      <w:sz w:val="13"/>
                                    </w:rPr>
                                    <w:t>JOOTRH/KSM/01/25</w:t>
                                  </w:r>
                                </w:p>
                              </w:tc>
                              <w:tc>
                                <w:tcPr>
                                  <w:tcW w:w="1803" w:type="dxa"/>
                                  <w:gridSpan w:val="4"/>
                                </w:tcPr>
                                <w:p w:rsidR="00883FED" w:rsidRDefault="00883FED">
                                  <w:pPr>
                                    <w:pStyle w:val="TableParagraph"/>
                                    <w:spacing w:before="105"/>
                                    <w:ind w:left="87"/>
                                    <w:rPr>
                                      <w:rFonts w:ascii="Arial MT"/>
                                      <w:sz w:val="13"/>
                                    </w:rPr>
                                  </w:pPr>
                                  <w:r>
                                    <w:rPr>
                                      <w:rFonts w:ascii="Arial MT"/>
                                      <w:color w:val="0000FF"/>
                                      <w:spacing w:val="-2"/>
                                      <w:sz w:val="13"/>
                                    </w:rPr>
                                    <w:t>Drawing</w:t>
                                  </w:r>
                                  <w:r>
                                    <w:rPr>
                                      <w:rFonts w:ascii="Arial MT"/>
                                      <w:color w:val="0000FF"/>
                                      <w:spacing w:val="6"/>
                                      <w:sz w:val="13"/>
                                    </w:rPr>
                                    <w:t xml:space="preserve"> </w:t>
                                  </w:r>
                                  <w:r>
                                    <w:rPr>
                                      <w:rFonts w:ascii="Arial MT"/>
                                      <w:color w:val="0000FF"/>
                                      <w:spacing w:val="-5"/>
                                      <w:sz w:val="13"/>
                                    </w:rPr>
                                    <w:t>No:</w:t>
                                  </w:r>
                                </w:p>
                                <w:p w:rsidR="00883FED" w:rsidRDefault="00883FED">
                                  <w:pPr>
                                    <w:pStyle w:val="TableParagraph"/>
                                    <w:spacing w:before="29"/>
                                    <w:ind w:left="807"/>
                                    <w:rPr>
                                      <w:rFonts w:ascii="Arial"/>
                                      <w:b/>
                                      <w:sz w:val="13"/>
                                    </w:rPr>
                                  </w:pPr>
                                  <w:r>
                                    <w:rPr>
                                      <w:rFonts w:ascii="Arial"/>
                                      <w:b/>
                                      <w:color w:val="0000FF"/>
                                      <w:spacing w:val="-2"/>
                                      <w:sz w:val="13"/>
                                    </w:rPr>
                                    <w:t>JOOTRH/001</w:t>
                                  </w:r>
                                </w:p>
                              </w:tc>
                            </w:tr>
                            <w:tr w:rsidR="00883FED">
                              <w:trPr>
                                <w:trHeight w:val="332"/>
                              </w:trPr>
                              <w:tc>
                                <w:tcPr>
                                  <w:tcW w:w="892" w:type="dxa"/>
                                  <w:gridSpan w:val="3"/>
                                </w:tcPr>
                                <w:p w:rsidR="00883FED" w:rsidRDefault="00883FED">
                                  <w:pPr>
                                    <w:pStyle w:val="TableParagraph"/>
                                    <w:rPr>
                                      <w:rFonts w:ascii="Times New Roman"/>
                                      <w:sz w:val="14"/>
                                    </w:rPr>
                                  </w:pPr>
                                </w:p>
                              </w:tc>
                              <w:tc>
                                <w:tcPr>
                                  <w:tcW w:w="1047" w:type="dxa"/>
                                </w:tcPr>
                                <w:p w:rsidR="00883FED" w:rsidRDefault="00883FED">
                                  <w:pPr>
                                    <w:pStyle w:val="TableParagraph"/>
                                    <w:spacing w:before="84"/>
                                    <w:ind w:left="87"/>
                                    <w:rPr>
                                      <w:rFonts w:ascii="Arial MT"/>
                                      <w:sz w:val="13"/>
                                    </w:rPr>
                                  </w:pPr>
                                  <w:r>
                                    <w:rPr>
                                      <w:rFonts w:ascii="Arial MT"/>
                                      <w:color w:val="0000FF"/>
                                      <w:spacing w:val="-4"/>
                                      <w:sz w:val="13"/>
                                    </w:rPr>
                                    <w:t>Name</w:t>
                                  </w:r>
                                </w:p>
                              </w:tc>
                              <w:tc>
                                <w:tcPr>
                                  <w:tcW w:w="1029" w:type="dxa"/>
                                  <w:gridSpan w:val="3"/>
                                </w:tcPr>
                                <w:p w:rsidR="00883FED" w:rsidRDefault="00883FED">
                                  <w:pPr>
                                    <w:pStyle w:val="TableParagraph"/>
                                    <w:spacing w:before="85"/>
                                    <w:ind w:left="284"/>
                                    <w:rPr>
                                      <w:rFonts w:ascii="Arial MT"/>
                                      <w:sz w:val="13"/>
                                    </w:rPr>
                                  </w:pPr>
                                  <w:r>
                                    <w:rPr>
                                      <w:rFonts w:ascii="Arial MT"/>
                                      <w:color w:val="0000FF"/>
                                      <w:spacing w:val="-4"/>
                                      <w:sz w:val="13"/>
                                    </w:rPr>
                                    <w:t>Sign</w:t>
                                  </w:r>
                                </w:p>
                              </w:tc>
                              <w:tc>
                                <w:tcPr>
                                  <w:tcW w:w="774" w:type="dxa"/>
                                </w:tcPr>
                                <w:p w:rsidR="00883FED" w:rsidRDefault="00883FED">
                                  <w:pPr>
                                    <w:pStyle w:val="TableParagraph"/>
                                    <w:spacing w:before="85"/>
                                    <w:ind w:left="163"/>
                                    <w:rPr>
                                      <w:rFonts w:ascii="Arial MT"/>
                                      <w:sz w:val="13"/>
                                    </w:rPr>
                                  </w:pPr>
                                  <w:r>
                                    <w:rPr>
                                      <w:rFonts w:ascii="Arial MT"/>
                                      <w:color w:val="0000FF"/>
                                      <w:spacing w:val="-4"/>
                                      <w:sz w:val="13"/>
                                    </w:rPr>
                                    <w:t>Date</w:t>
                                  </w:r>
                                </w:p>
                              </w:tc>
                            </w:tr>
                            <w:tr w:rsidR="00883FED">
                              <w:trPr>
                                <w:trHeight w:val="312"/>
                              </w:trPr>
                              <w:tc>
                                <w:tcPr>
                                  <w:tcW w:w="892" w:type="dxa"/>
                                  <w:gridSpan w:val="3"/>
                                </w:tcPr>
                                <w:p w:rsidR="00883FED" w:rsidRDefault="00883FED">
                                  <w:pPr>
                                    <w:pStyle w:val="TableParagraph"/>
                                    <w:spacing w:before="21"/>
                                    <w:ind w:left="92"/>
                                    <w:rPr>
                                      <w:rFonts w:ascii="Arial MT"/>
                                      <w:sz w:val="13"/>
                                    </w:rPr>
                                  </w:pPr>
                                  <w:r>
                                    <w:rPr>
                                      <w:rFonts w:ascii="Arial MT"/>
                                      <w:color w:val="0000FF"/>
                                      <w:spacing w:val="-2"/>
                                      <w:sz w:val="13"/>
                                    </w:rPr>
                                    <w:t>Drawn</w:t>
                                  </w:r>
                                </w:p>
                              </w:tc>
                              <w:tc>
                                <w:tcPr>
                                  <w:tcW w:w="1047" w:type="dxa"/>
                                </w:tcPr>
                                <w:p w:rsidR="00883FED" w:rsidRDefault="00883FED">
                                  <w:pPr>
                                    <w:pStyle w:val="TableParagraph"/>
                                    <w:spacing w:before="77"/>
                                    <w:ind w:left="54"/>
                                    <w:rPr>
                                      <w:rFonts w:ascii="Arial MT"/>
                                      <w:sz w:val="13"/>
                                    </w:rPr>
                                  </w:pPr>
                                  <w:r>
                                    <w:rPr>
                                      <w:rFonts w:ascii="Arial MT"/>
                                      <w:color w:val="0000FF"/>
                                      <w:spacing w:val="-4"/>
                                      <w:sz w:val="13"/>
                                    </w:rPr>
                                    <w:t xml:space="preserve">AMON </w:t>
                                  </w:r>
                                  <w:r>
                                    <w:rPr>
                                      <w:rFonts w:ascii="Arial MT"/>
                                      <w:color w:val="0000FF"/>
                                      <w:spacing w:val="-5"/>
                                      <w:sz w:val="13"/>
                                    </w:rPr>
                                    <w:t>J.M</w:t>
                                  </w:r>
                                </w:p>
                              </w:tc>
                              <w:tc>
                                <w:tcPr>
                                  <w:tcW w:w="1029" w:type="dxa"/>
                                  <w:gridSpan w:val="3"/>
                                </w:tcPr>
                                <w:p w:rsidR="00883FED" w:rsidRDefault="00883FED">
                                  <w:pPr>
                                    <w:pStyle w:val="TableParagraph"/>
                                    <w:rPr>
                                      <w:rFonts w:ascii="Times New Roman"/>
                                      <w:sz w:val="14"/>
                                    </w:rPr>
                                  </w:pPr>
                                </w:p>
                              </w:tc>
                              <w:tc>
                                <w:tcPr>
                                  <w:tcW w:w="774" w:type="dxa"/>
                                </w:tcPr>
                                <w:p w:rsidR="00883FED" w:rsidRDefault="00883FED">
                                  <w:pPr>
                                    <w:pStyle w:val="TableParagraph"/>
                                    <w:spacing w:before="73"/>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883FED">
                              <w:trPr>
                                <w:trHeight w:val="351"/>
                              </w:trPr>
                              <w:tc>
                                <w:tcPr>
                                  <w:tcW w:w="892" w:type="dxa"/>
                                  <w:gridSpan w:val="3"/>
                                </w:tcPr>
                                <w:p w:rsidR="00883FED" w:rsidRDefault="00883FED">
                                  <w:pPr>
                                    <w:pStyle w:val="TableParagraph"/>
                                    <w:spacing w:before="72"/>
                                    <w:ind w:left="95"/>
                                    <w:rPr>
                                      <w:rFonts w:ascii="Arial MT"/>
                                      <w:sz w:val="13"/>
                                    </w:rPr>
                                  </w:pPr>
                                  <w:r>
                                    <w:rPr>
                                      <w:rFonts w:ascii="Arial MT"/>
                                      <w:color w:val="0000FF"/>
                                      <w:spacing w:val="-2"/>
                                      <w:sz w:val="13"/>
                                    </w:rPr>
                                    <w:t>Designer</w:t>
                                  </w:r>
                                </w:p>
                              </w:tc>
                              <w:tc>
                                <w:tcPr>
                                  <w:tcW w:w="1047" w:type="dxa"/>
                                </w:tcPr>
                                <w:p w:rsidR="00883FED" w:rsidRDefault="00883FED">
                                  <w:pPr>
                                    <w:pStyle w:val="TableParagraph"/>
                                    <w:spacing w:before="107"/>
                                    <w:ind w:left="38"/>
                                    <w:rPr>
                                      <w:rFonts w:ascii="Arial MT"/>
                                      <w:sz w:val="13"/>
                                    </w:rPr>
                                  </w:pPr>
                                  <w:r>
                                    <w:rPr>
                                      <w:rFonts w:ascii="Arial MT"/>
                                      <w:color w:val="0000FF"/>
                                      <w:spacing w:val="-4"/>
                                      <w:sz w:val="13"/>
                                    </w:rPr>
                                    <w:t>MOCHAMA</w:t>
                                  </w:r>
                                  <w:r>
                                    <w:rPr>
                                      <w:rFonts w:ascii="Arial MT"/>
                                      <w:color w:val="0000FF"/>
                                      <w:spacing w:val="-13"/>
                                      <w:sz w:val="13"/>
                                    </w:rPr>
                                    <w:t xml:space="preserve"> </w:t>
                                  </w:r>
                                  <w:r>
                                    <w:rPr>
                                      <w:rFonts w:ascii="Arial MT"/>
                                      <w:color w:val="0000FF"/>
                                      <w:spacing w:val="-4"/>
                                      <w:sz w:val="13"/>
                                    </w:rPr>
                                    <w:t>D.</w:t>
                                  </w:r>
                                  <w:r>
                                    <w:rPr>
                                      <w:rFonts w:ascii="Arial MT"/>
                                      <w:color w:val="0000FF"/>
                                      <w:spacing w:val="-6"/>
                                      <w:sz w:val="13"/>
                                    </w:rPr>
                                    <w:t xml:space="preserve"> </w:t>
                                  </w:r>
                                  <w:r>
                                    <w:rPr>
                                      <w:rFonts w:ascii="Arial MT"/>
                                      <w:color w:val="0000FF"/>
                                      <w:spacing w:val="-5"/>
                                      <w:sz w:val="13"/>
                                    </w:rPr>
                                    <w:t>N.</w:t>
                                  </w:r>
                                </w:p>
                              </w:tc>
                              <w:tc>
                                <w:tcPr>
                                  <w:tcW w:w="1029" w:type="dxa"/>
                                  <w:gridSpan w:val="3"/>
                                </w:tcPr>
                                <w:p w:rsidR="00883FED" w:rsidRDefault="00883FED">
                                  <w:pPr>
                                    <w:pStyle w:val="TableParagraph"/>
                                    <w:rPr>
                                      <w:rFonts w:ascii="Times New Roman"/>
                                      <w:sz w:val="14"/>
                                    </w:rPr>
                                  </w:pPr>
                                </w:p>
                              </w:tc>
                              <w:tc>
                                <w:tcPr>
                                  <w:tcW w:w="774" w:type="dxa"/>
                                </w:tcPr>
                                <w:p w:rsidR="00883FED" w:rsidRDefault="00883FED">
                                  <w:pPr>
                                    <w:pStyle w:val="TableParagraph"/>
                                    <w:spacing w:before="90"/>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883FED">
                              <w:trPr>
                                <w:trHeight w:val="371"/>
                              </w:trPr>
                              <w:tc>
                                <w:tcPr>
                                  <w:tcW w:w="892" w:type="dxa"/>
                                  <w:gridSpan w:val="3"/>
                                </w:tcPr>
                                <w:p w:rsidR="00883FED" w:rsidRDefault="00883FED">
                                  <w:pPr>
                                    <w:pStyle w:val="TableParagraph"/>
                                    <w:spacing w:before="68"/>
                                    <w:ind w:left="95"/>
                                    <w:rPr>
                                      <w:rFonts w:ascii="Arial MT"/>
                                      <w:sz w:val="13"/>
                                    </w:rPr>
                                  </w:pPr>
                                  <w:r>
                                    <w:rPr>
                                      <w:rFonts w:ascii="Arial MT"/>
                                      <w:color w:val="0000FF"/>
                                      <w:spacing w:val="-2"/>
                                      <w:sz w:val="13"/>
                                    </w:rPr>
                                    <w:t>Checked</w:t>
                                  </w:r>
                                </w:p>
                              </w:tc>
                              <w:tc>
                                <w:tcPr>
                                  <w:tcW w:w="1047" w:type="dxa"/>
                                </w:tcPr>
                                <w:p w:rsidR="00883FED" w:rsidRDefault="00883FED">
                                  <w:pPr>
                                    <w:pStyle w:val="TableParagraph"/>
                                    <w:spacing w:before="118"/>
                                    <w:ind w:left="40"/>
                                    <w:rPr>
                                      <w:rFonts w:ascii="Arial MT"/>
                                      <w:sz w:val="13"/>
                                    </w:rPr>
                                  </w:pPr>
                                  <w:r>
                                    <w:rPr>
                                      <w:rFonts w:ascii="Arial MT"/>
                                      <w:color w:val="0000FF"/>
                                      <w:spacing w:val="-4"/>
                                      <w:sz w:val="13"/>
                                    </w:rPr>
                                    <w:t>K.L</w:t>
                                  </w:r>
                                  <w:r>
                                    <w:rPr>
                                      <w:rFonts w:ascii="Arial MT"/>
                                      <w:color w:val="0000FF"/>
                                      <w:spacing w:val="-9"/>
                                      <w:sz w:val="13"/>
                                    </w:rPr>
                                    <w:t xml:space="preserve"> </w:t>
                                  </w:r>
                                  <w:r>
                                    <w:rPr>
                                      <w:rFonts w:ascii="Arial MT"/>
                                      <w:color w:val="0000FF"/>
                                      <w:spacing w:val="-2"/>
                                      <w:sz w:val="13"/>
                                    </w:rPr>
                                    <w:t>MWANIGA</w:t>
                                  </w:r>
                                </w:p>
                              </w:tc>
                              <w:tc>
                                <w:tcPr>
                                  <w:tcW w:w="1029" w:type="dxa"/>
                                  <w:gridSpan w:val="3"/>
                                </w:tcPr>
                                <w:p w:rsidR="00883FED" w:rsidRDefault="00883FED">
                                  <w:pPr>
                                    <w:pStyle w:val="TableParagraph"/>
                                    <w:rPr>
                                      <w:rFonts w:ascii="Times New Roman"/>
                                      <w:sz w:val="14"/>
                                    </w:rPr>
                                  </w:pPr>
                                </w:p>
                              </w:tc>
                              <w:tc>
                                <w:tcPr>
                                  <w:tcW w:w="774" w:type="dxa"/>
                                </w:tcPr>
                                <w:p w:rsidR="00883FED" w:rsidRDefault="00883FED">
                                  <w:pPr>
                                    <w:pStyle w:val="TableParagraph"/>
                                    <w:spacing w:before="108"/>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883FED">
                              <w:trPr>
                                <w:trHeight w:val="979"/>
                              </w:trPr>
                              <w:tc>
                                <w:tcPr>
                                  <w:tcW w:w="3742" w:type="dxa"/>
                                  <w:gridSpan w:val="8"/>
                                  <w:tcBorders>
                                    <w:bottom w:val="single" w:sz="36" w:space="0" w:color="000000"/>
                                  </w:tcBorders>
                                </w:tcPr>
                                <w:p w:rsidR="00883FED" w:rsidRDefault="00883FED">
                                  <w:pPr>
                                    <w:pStyle w:val="TableParagraph"/>
                                    <w:spacing w:before="80"/>
                                    <w:ind w:left="95"/>
                                    <w:rPr>
                                      <w:rFonts w:ascii="Arial MT"/>
                                      <w:sz w:val="13"/>
                                    </w:rPr>
                                  </w:pPr>
                                  <w:r>
                                    <w:rPr>
                                      <w:rFonts w:ascii="Arial MT"/>
                                      <w:color w:val="0000FF"/>
                                      <w:spacing w:val="-2"/>
                                      <w:sz w:val="13"/>
                                    </w:rPr>
                                    <w:t>Approved</w:t>
                                  </w:r>
                                </w:p>
                                <w:p w:rsidR="00883FED" w:rsidRDefault="00883FED">
                                  <w:pPr>
                                    <w:pStyle w:val="TableParagraph"/>
                                    <w:spacing w:before="132"/>
                                    <w:ind w:left="190"/>
                                    <w:jc w:val="center"/>
                                    <w:rPr>
                                      <w:rFonts w:ascii="Arial"/>
                                      <w:b/>
                                      <w:sz w:val="14"/>
                                    </w:rPr>
                                  </w:pPr>
                                  <w:r>
                                    <w:rPr>
                                      <w:rFonts w:ascii="Arial"/>
                                      <w:b/>
                                      <w:color w:val="0000FF"/>
                                      <w:spacing w:val="-6"/>
                                      <w:sz w:val="14"/>
                                    </w:rPr>
                                    <w:t>LENAH</w:t>
                                  </w:r>
                                  <w:r>
                                    <w:rPr>
                                      <w:rFonts w:ascii="Arial"/>
                                      <w:b/>
                                      <w:color w:val="0000FF"/>
                                      <w:spacing w:val="-3"/>
                                      <w:sz w:val="14"/>
                                    </w:rPr>
                                    <w:t xml:space="preserve"> </w:t>
                                  </w:r>
                                  <w:r>
                                    <w:rPr>
                                      <w:rFonts w:ascii="Arial"/>
                                      <w:b/>
                                      <w:color w:val="0000FF"/>
                                      <w:spacing w:val="-2"/>
                                      <w:sz w:val="14"/>
                                    </w:rPr>
                                    <w:t>MWANIGA</w:t>
                                  </w:r>
                                </w:p>
                                <w:p w:rsidR="00883FED" w:rsidRDefault="00883FED">
                                  <w:pPr>
                                    <w:pStyle w:val="TableParagraph"/>
                                    <w:spacing w:before="31"/>
                                    <w:rPr>
                                      <w:rFonts w:ascii="Cambria"/>
                                      <w:b/>
                                      <w:sz w:val="14"/>
                                    </w:rPr>
                                  </w:pPr>
                                </w:p>
                                <w:p w:rsidR="00883FED" w:rsidRDefault="00883FED">
                                  <w:pPr>
                                    <w:pStyle w:val="TableParagraph"/>
                                    <w:ind w:left="128"/>
                                    <w:jc w:val="center"/>
                                    <w:rPr>
                                      <w:rFonts w:ascii="Arial MT"/>
                                      <w:sz w:val="13"/>
                                    </w:rPr>
                                  </w:pPr>
                                  <w:r>
                                    <w:rPr>
                                      <w:rFonts w:ascii="Arial MT"/>
                                      <w:color w:val="0000FF"/>
                                      <w:spacing w:val="-2"/>
                                      <w:sz w:val="13"/>
                                    </w:rPr>
                                    <w:t>REGIONAL</w:t>
                                  </w:r>
                                  <w:r>
                                    <w:rPr>
                                      <w:rFonts w:ascii="Arial MT"/>
                                      <w:color w:val="0000FF"/>
                                      <w:spacing w:val="-8"/>
                                      <w:sz w:val="13"/>
                                    </w:rPr>
                                    <w:t xml:space="preserve"> </w:t>
                                  </w:r>
                                  <w:r>
                                    <w:rPr>
                                      <w:rFonts w:ascii="Arial MT"/>
                                      <w:color w:val="0000FF"/>
                                      <w:spacing w:val="-2"/>
                                      <w:sz w:val="13"/>
                                    </w:rPr>
                                    <w:t>WORKS</w:t>
                                  </w:r>
                                  <w:r>
                                    <w:rPr>
                                      <w:rFonts w:ascii="Arial MT"/>
                                      <w:color w:val="0000FF"/>
                                      <w:spacing w:val="-7"/>
                                      <w:sz w:val="13"/>
                                    </w:rPr>
                                    <w:t xml:space="preserve"> </w:t>
                                  </w:r>
                                  <w:r>
                                    <w:rPr>
                                      <w:rFonts w:ascii="Arial MT"/>
                                      <w:color w:val="0000FF"/>
                                      <w:spacing w:val="-2"/>
                                      <w:sz w:val="13"/>
                                    </w:rPr>
                                    <w:t>OFFICER</w:t>
                                  </w:r>
                                  <w:r>
                                    <w:rPr>
                                      <w:rFonts w:ascii="Arial MT"/>
                                      <w:color w:val="0000FF"/>
                                      <w:spacing w:val="16"/>
                                      <w:sz w:val="13"/>
                                    </w:rPr>
                                    <w:t xml:space="preserve"> </w:t>
                                  </w:r>
                                  <w:r>
                                    <w:rPr>
                                      <w:rFonts w:ascii="Arial MT"/>
                                      <w:color w:val="0000FF"/>
                                      <w:spacing w:val="-2"/>
                                      <w:sz w:val="13"/>
                                    </w:rPr>
                                    <w:t>-</w:t>
                                  </w:r>
                                  <w:r>
                                    <w:rPr>
                                      <w:rFonts w:ascii="Arial MT"/>
                                      <w:color w:val="0000FF"/>
                                      <w:spacing w:val="10"/>
                                      <w:sz w:val="13"/>
                                    </w:rPr>
                                    <w:t xml:space="preserve"> </w:t>
                                  </w:r>
                                  <w:r>
                                    <w:rPr>
                                      <w:rFonts w:ascii="Arial MT"/>
                                      <w:color w:val="0000FF"/>
                                      <w:spacing w:val="-2"/>
                                      <w:sz w:val="13"/>
                                    </w:rPr>
                                    <w:t>NYANZA</w:t>
                                  </w:r>
                                  <w:r>
                                    <w:rPr>
                                      <w:rFonts w:ascii="Arial MT"/>
                                      <w:color w:val="0000FF"/>
                                      <w:spacing w:val="-19"/>
                                      <w:sz w:val="13"/>
                                    </w:rPr>
                                    <w:t xml:space="preserve"> </w:t>
                                  </w:r>
                                  <w:r>
                                    <w:rPr>
                                      <w:rFonts w:ascii="Arial MT"/>
                                      <w:color w:val="0000FF"/>
                                      <w:spacing w:val="-2"/>
                                      <w:sz w:val="13"/>
                                    </w:rPr>
                                    <w:t>REGION</w:t>
                                  </w:r>
                                </w:p>
                              </w:tc>
                            </w:tr>
                            <w:tr w:rsidR="00883FED">
                              <w:trPr>
                                <w:trHeight w:val="1560"/>
                              </w:trPr>
                              <w:tc>
                                <w:tcPr>
                                  <w:tcW w:w="3742" w:type="dxa"/>
                                  <w:gridSpan w:val="8"/>
                                  <w:tcBorders>
                                    <w:top w:val="single" w:sz="36" w:space="0" w:color="000000"/>
                                    <w:left w:val="single" w:sz="24" w:space="0" w:color="000000"/>
                                    <w:bottom w:val="single" w:sz="36" w:space="0" w:color="000000"/>
                                    <w:right w:val="single" w:sz="24" w:space="0" w:color="000000"/>
                                  </w:tcBorders>
                                </w:tcPr>
                                <w:p w:rsidR="00883FED" w:rsidRDefault="00883FED">
                                  <w:pPr>
                                    <w:pStyle w:val="TableParagraph"/>
                                    <w:spacing w:before="34" w:line="242" w:lineRule="auto"/>
                                    <w:ind w:left="127" w:right="421" w:hanging="20"/>
                                    <w:rPr>
                                      <w:rFonts w:ascii="Arial"/>
                                      <w:b/>
                                      <w:sz w:val="16"/>
                                    </w:rPr>
                                  </w:pPr>
                                  <w:r>
                                    <w:rPr>
                                      <w:rFonts w:ascii="Arial"/>
                                      <w:b/>
                                      <w:color w:val="0000FF"/>
                                      <w:sz w:val="16"/>
                                    </w:rPr>
                                    <w:t>MINISTRY</w:t>
                                  </w:r>
                                  <w:r>
                                    <w:rPr>
                                      <w:rFonts w:ascii="Arial"/>
                                      <w:b/>
                                      <w:color w:val="0000FF"/>
                                      <w:spacing w:val="-1"/>
                                      <w:sz w:val="16"/>
                                    </w:rPr>
                                    <w:t xml:space="preserve"> </w:t>
                                  </w:r>
                                  <w:r>
                                    <w:rPr>
                                      <w:rFonts w:ascii="Arial"/>
                                      <w:b/>
                                      <w:color w:val="0000FF"/>
                                      <w:sz w:val="16"/>
                                    </w:rPr>
                                    <w:t>OF LANDS,</w:t>
                                  </w:r>
                                  <w:r>
                                    <w:rPr>
                                      <w:rFonts w:ascii="Arial"/>
                                      <w:b/>
                                      <w:color w:val="0000FF"/>
                                      <w:spacing w:val="40"/>
                                      <w:sz w:val="16"/>
                                    </w:rPr>
                                    <w:t xml:space="preserve"> </w:t>
                                  </w:r>
                                  <w:r>
                                    <w:rPr>
                                      <w:rFonts w:ascii="Arial"/>
                                      <w:b/>
                                      <w:color w:val="0000FF"/>
                                      <w:sz w:val="16"/>
                                    </w:rPr>
                                    <w:t>PUBLIC WORKS HOUSING</w:t>
                                  </w:r>
                                  <w:r>
                                    <w:rPr>
                                      <w:rFonts w:ascii="Arial"/>
                                      <w:b/>
                                      <w:color w:val="0000FF"/>
                                      <w:spacing w:val="10"/>
                                      <w:sz w:val="16"/>
                                    </w:rPr>
                                    <w:t xml:space="preserve"> </w:t>
                                  </w:r>
                                  <w:r>
                                    <w:rPr>
                                      <w:rFonts w:ascii="Arial"/>
                                      <w:b/>
                                      <w:color w:val="0000FF"/>
                                      <w:sz w:val="16"/>
                                    </w:rPr>
                                    <w:t>AND</w:t>
                                  </w:r>
                                  <w:r>
                                    <w:rPr>
                                      <w:rFonts w:ascii="Arial"/>
                                      <w:b/>
                                      <w:color w:val="0000FF"/>
                                      <w:spacing w:val="18"/>
                                      <w:sz w:val="16"/>
                                    </w:rPr>
                                    <w:t xml:space="preserve"> </w:t>
                                  </w:r>
                                  <w:r>
                                    <w:rPr>
                                      <w:rFonts w:ascii="Arial"/>
                                      <w:b/>
                                      <w:color w:val="0000FF"/>
                                      <w:sz w:val="16"/>
                                    </w:rPr>
                                    <w:t>URBAN</w:t>
                                  </w:r>
                                  <w:r>
                                    <w:rPr>
                                      <w:rFonts w:ascii="Arial"/>
                                      <w:b/>
                                      <w:color w:val="0000FF"/>
                                      <w:spacing w:val="-12"/>
                                      <w:sz w:val="16"/>
                                    </w:rPr>
                                    <w:t xml:space="preserve"> </w:t>
                                  </w:r>
                                  <w:r>
                                    <w:rPr>
                                      <w:rFonts w:ascii="Arial"/>
                                      <w:b/>
                                      <w:color w:val="0000FF"/>
                                      <w:sz w:val="16"/>
                                    </w:rPr>
                                    <w:t>DEVELOPMENT</w:t>
                                  </w:r>
                                </w:p>
                                <w:p w:rsidR="00883FED" w:rsidRDefault="00883FED">
                                  <w:pPr>
                                    <w:pStyle w:val="TableParagraph"/>
                                    <w:spacing w:before="38" w:line="244" w:lineRule="auto"/>
                                    <w:ind w:left="104" w:right="421"/>
                                    <w:rPr>
                                      <w:rFonts w:ascii="Arial MT"/>
                                      <w:sz w:val="13"/>
                                    </w:rPr>
                                  </w:pPr>
                                  <w:r>
                                    <w:rPr>
                                      <w:rFonts w:ascii="Arial MT"/>
                                      <w:color w:val="0000FF"/>
                                      <w:spacing w:val="-6"/>
                                      <w:sz w:val="13"/>
                                    </w:rPr>
                                    <w:t>STATE</w:t>
                                  </w:r>
                                  <w:r>
                                    <w:rPr>
                                      <w:rFonts w:ascii="Arial MT"/>
                                      <w:color w:val="0000FF"/>
                                      <w:spacing w:val="-17"/>
                                      <w:sz w:val="13"/>
                                    </w:rPr>
                                    <w:t xml:space="preserve"> </w:t>
                                  </w:r>
                                  <w:r>
                                    <w:rPr>
                                      <w:rFonts w:ascii="Arial MT"/>
                                      <w:color w:val="0000FF"/>
                                      <w:spacing w:val="-6"/>
                                      <w:sz w:val="13"/>
                                    </w:rPr>
                                    <w:t>DEPARTMENT</w:t>
                                  </w:r>
                                  <w:r>
                                    <w:rPr>
                                      <w:rFonts w:ascii="Arial MT"/>
                                      <w:color w:val="0000FF"/>
                                      <w:spacing w:val="-17"/>
                                      <w:sz w:val="13"/>
                                    </w:rPr>
                                    <w:t xml:space="preserve"> </w:t>
                                  </w:r>
                                  <w:r>
                                    <w:rPr>
                                      <w:rFonts w:ascii="Arial MT"/>
                                      <w:color w:val="0000FF"/>
                                      <w:spacing w:val="-6"/>
                                      <w:sz w:val="13"/>
                                    </w:rPr>
                                    <w:t>FOR</w:t>
                                  </w:r>
                                  <w:r>
                                    <w:rPr>
                                      <w:rFonts w:ascii="Arial MT"/>
                                      <w:color w:val="0000FF"/>
                                      <w:sz w:val="13"/>
                                    </w:rPr>
                                    <w:t xml:space="preserve"> </w:t>
                                  </w:r>
                                  <w:r>
                                    <w:rPr>
                                      <w:rFonts w:ascii="Arial MT"/>
                                      <w:color w:val="0000FF"/>
                                      <w:spacing w:val="-6"/>
                                      <w:sz w:val="13"/>
                                    </w:rPr>
                                    <w:t>PUBLIC</w:t>
                                  </w:r>
                                  <w:r>
                                    <w:rPr>
                                      <w:rFonts w:ascii="Arial MT"/>
                                      <w:color w:val="0000FF"/>
                                      <w:spacing w:val="19"/>
                                      <w:sz w:val="13"/>
                                    </w:rPr>
                                    <w:t xml:space="preserve"> </w:t>
                                  </w:r>
                                  <w:r>
                                    <w:rPr>
                                      <w:rFonts w:ascii="Arial MT"/>
                                      <w:color w:val="0000FF"/>
                                      <w:spacing w:val="-6"/>
                                      <w:sz w:val="13"/>
                                    </w:rPr>
                                    <w:t>WORKS</w:t>
                                  </w:r>
                                  <w:r>
                                    <w:rPr>
                                      <w:rFonts w:ascii="Arial MT"/>
                                      <w:color w:val="0000FF"/>
                                      <w:spacing w:val="40"/>
                                      <w:sz w:val="13"/>
                                    </w:rPr>
                                    <w:t xml:space="preserve"> </w:t>
                                  </w:r>
                                  <w:r>
                                    <w:rPr>
                                      <w:rFonts w:ascii="Arial MT"/>
                                      <w:color w:val="0000FF"/>
                                      <w:sz w:val="13"/>
                                    </w:rPr>
                                    <w:t>REGIONAL</w:t>
                                  </w:r>
                                  <w:r>
                                    <w:rPr>
                                      <w:rFonts w:ascii="Arial MT"/>
                                      <w:color w:val="0000FF"/>
                                      <w:spacing w:val="40"/>
                                      <w:sz w:val="13"/>
                                    </w:rPr>
                                    <w:t xml:space="preserve"> </w:t>
                                  </w:r>
                                  <w:r>
                                    <w:rPr>
                                      <w:rFonts w:ascii="Arial MT"/>
                                      <w:color w:val="0000FF"/>
                                      <w:sz w:val="13"/>
                                    </w:rPr>
                                    <w:t>WORKS</w:t>
                                  </w:r>
                                  <w:r>
                                    <w:rPr>
                                      <w:rFonts w:ascii="Arial MT"/>
                                      <w:color w:val="0000FF"/>
                                      <w:spacing w:val="40"/>
                                      <w:sz w:val="13"/>
                                    </w:rPr>
                                    <w:t xml:space="preserve"> </w:t>
                                  </w:r>
                                  <w:r>
                                    <w:rPr>
                                      <w:rFonts w:ascii="Arial MT"/>
                                      <w:color w:val="0000FF"/>
                                      <w:sz w:val="13"/>
                                    </w:rPr>
                                    <w:t>OFFICE</w:t>
                                  </w:r>
                                </w:p>
                                <w:p w:rsidR="00883FED" w:rsidRDefault="00883FED">
                                  <w:pPr>
                                    <w:pStyle w:val="TableParagraph"/>
                                    <w:spacing w:before="1"/>
                                    <w:ind w:left="104"/>
                                    <w:rPr>
                                      <w:rFonts w:ascii="Arial MT"/>
                                      <w:sz w:val="13"/>
                                    </w:rPr>
                                  </w:pPr>
                                  <w:r>
                                    <w:rPr>
                                      <w:rFonts w:ascii="Arial MT"/>
                                      <w:color w:val="0000FF"/>
                                      <w:spacing w:val="-2"/>
                                      <w:sz w:val="13"/>
                                    </w:rPr>
                                    <w:t>NYANZA</w:t>
                                  </w:r>
                                  <w:r>
                                    <w:rPr>
                                      <w:rFonts w:ascii="Arial MT"/>
                                      <w:color w:val="0000FF"/>
                                      <w:spacing w:val="26"/>
                                      <w:sz w:val="13"/>
                                    </w:rPr>
                                    <w:t xml:space="preserve"> </w:t>
                                  </w:r>
                                  <w:r>
                                    <w:rPr>
                                      <w:rFonts w:ascii="Arial MT"/>
                                      <w:color w:val="0000FF"/>
                                      <w:spacing w:val="-2"/>
                                      <w:sz w:val="13"/>
                                    </w:rPr>
                                    <w:t>REGION</w:t>
                                  </w:r>
                                </w:p>
                                <w:p w:rsidR="00883FED" w:rsidRDefault="00883FED">
                                  <w:pPr>
                                    <w:pStyle w:val="TableParagraph"/>
                                    <w:spacing w:before="3" w:line="244" w:lineRule="auto"/>
                                    <w:ind w:left="104" w:right="1847"/>
                                    <w:rPr>
                                      <w:rFonts w:ascii="Arial MT"/>
                                      <w:sz w:val="13"/>
                                    </w:rPr>
                                  </w:pPr>
                                  <w:r>
                                    <w:rPr>
                                      <w:rFonts w:ascii="Arial MT"/>
                                      <w:color w:val="0000FF"/>
                                      <w:sz w:val="13"/>
                                    </w:rPr>
                                    <w:t>P.</w:t>
                                  </w:r>
                                  <w:r>
                                    <w:rPr>
                                      <w:rFonts w:ascii="Arial MT"/>
                                      <w:color w:val="0000FF"/>
                                      <w:spacing w:val="-10"/>
                                      <w:sz w:val="13"/>
                                    </w:rPr>
                                    <w:t xml:space="preserve"> </w:t>
                                  </w:r>
                                  <w:r>
                                    <w:rPr>
                                      <w:rFonts w:ascii="Arial MT"/>
                                      <w:color w:val="0000FF"/>
                                      <w:sz w:val="13"/>
                                    </w:rPr>
                                    <w:t>O.</w:t>
                                  </w:r>
                                  <w:r>
                                    <w:rPr>
                                      <w:rFonts w:ascii="Arial MT"/>
                                      <w:color w:val="0000FF"/>
                                      <w:spacing w:val="-9"/>
                                      <w:sz w:val="13"/>
                                    </w:rPr>
                                    <w:t xml:space="preserve"> </w:t>
                                  </w:r>
                                  <w:r>
                                    <w:rPr>
                                      <w:rFonts w:ascii="Arial MT"/>
                                      <w:color w:val="0000FF"/>
                                      <w:sz w:val="13"/>
                                    </w:rPr>
                                    <w:t>Box</w:t>
                                  </w:r>
                                  <w:r>
                                    <w:rPr>
                                      <w:rFonts w:ascii="Arial MT"/>
                                      <w:color w:val="0000FF"/>
                                      <w:spacing w:val="-4"/>
                                      <w:sz w:val="13"/>
                                    </w:rPr>
                                    <w:t xml:space="preserve"> </w:t>
                                  </w:r>
                                  <w:r>
                                    <w:rPr>
                                      <w:rFonts w:ascii="Arial MT"/>
                                      <w:color w:val="0000FF"/>
                                      <w:sz w:val="13"/>
                                    </w:rPr>
                                    <w:t>821</w:t>
                                  </w:r>
                                  <w:r>
                                    <w:rPr>
                                      <w:rFonts w:ascii="Arial MT"/>
                                      <w:color w:val="0000FF"/>
                                      <w:spacing w:val="-9"/>
                                      <w:sz w:val="13"/>
                                    </w:rPr>
                                    <w:t xml:space="preserve"> </w:t>
                                  </w:r>
                                  <w:r>
                                    <w:rPr>
                                      <w:rFonts w:ascii="Arial MT"/>
                                      <w:color w:val="0000FF"/>
                                      <w:sz w:val="13"/>
                                    </w:rPr>
                                    <w:t>-</w:t>
                                  </w:r>
                                  <w:r>
                                    <w:rPr>
                                      <w:rFonts w:ascii="Arial MT"/>
                                      <w:color w:val="0000FF"/>
                                      <w:spacing w:val="-9"/>
                                      <w:sz w:val="13"/>
                                    </w:rPr>
                                    <w:t xml:space="preserve"> </w:t>
                                  </w:r>
                                  <w:r>
                                    <w:rPr>
                                      <w:rFonts w:ascii="Arial MT"/>
                                      <w:color w:val="0000FF"/>
                                      <w:sz w:val="13"/>
                                    </w:rPr>
                                    <w:t>40100</w:t>
                                  </w:r>
                                  <w:r>
                                    <w:rPr>
                                      <w:rFonts w:ascii="Arial MT"/>
                                      <w:color w:val="0000FF"/>
                                      <w:spacing w:val="40"/>
                                      <w:sz w:val="13"/>
                                    </w:rPr>
                                    <w:t xml:space="preserve"> </w:t>
                                  </w:r>
                                  <w:r>
                                    <w:rPr>
                                      <w:rFonts w:ascii="Arial MT"/>
                                      <w:color w:val="0000FF"/>
                                      <w:sz w:val="13"/>
                                    </w:rPr>
                                    <w:t>KISUMU - KENYA</w:t>
                                  </w:r>
                                </w:p>
                                <w:p w:rsidR="00883FED" w:rsidRDefault="00883FED">
                                  <w:pPr>
                                    <w:pStyle w:val="TableParagraph"/>
                                    <w:spacing w:before="87"/>
                                    <w:ind w:left="86"/>
                                    <w:rPr>
                                      <w:rFonts w:ascii="Arial MT"/>
                                      <w:sz w:val="10"/>
                                    </w:rPr>
                                  </w:pPr>
                                  <w:r>
                                    <w:rPr>
                                      <w:rFonts w:ascii="Arial MT"/>
                                      <w:color w:val="0000FF"/>
                                      <w:w w:val="105"/>
                                      <w:sz w:val="10"/>
                                    </w:rPr>
                                    <w:t>ARCHITECTURAL</w:t>
                                  </w:r>
                                  <w:r>
                                    <w:rPr>
                                      <w:rFonts w:ascii="Arial MT"/>
                                      <w:color w:val="0000FF"/>
                                      <w:spacing w:val="16"/>
                                      <w:w w:val="105"/>
                                      <w:sz w:val="10"/>
                                    </w:rPr>
                                    <w:t xml:space="preserve"> </w:t>
                                  </w:r>
                                  <w:r>
                                    <w:rPr>
                                      <w:rFonts w:ascii="Arial MT"/>
                                      <w:color w:val="0000FF"/>
                                      <w:spacing w:val="-2"/>
                                      <w:w w:val="105"/>
                                      <w:sz w:val="10"/>
                                    </w:rPr>
                                    <w:t>DEPARTMENT</w:t>
                                  </w:r>
                                </w:p>
                                <w:p w:rsidR="00883FED" w:rsidRDefault="00883FED">
                                  <w:pPr>
                                    <w:pStyle w:val="TableParagraph"/>
                                    <w:spacing w:before="53" w:line="78" w:lineRule="exact"/>
                                    <w:ind w:left="842"/>
                                    <w:rPr>
                                      <w:rFonts w:ascii="Arial MT"/>
                                      <w:sz w:val="8"/>
                                    </w:rPr>
                                  </w:pPr>
                                  <w:r>
                                    <w:rPr>
                                      <w:rFonts w:ascii="Arial MT"/>
                                      <w:color w:val="0000FF"/>
                                      <w:spacing w:val="-2"/>
                                      <w:sz w:val="8"/>
                                    </w:rPr>
                                    <w:t>FOR</w:t>
                                  </w:r>
                                  <w:r>
                                    <w:rPr>
                                      <w:rFonts w:ascii="Arial MT"/>
                                      <w:color w:val="0000FF"/>
                                      <w:spacing w:val="-1"/>
                                      <w:sz w:val="8"/>
                                    </w:rPr>
                                    <w:t xml:space="preserve"> </w:t>
                                  </w:r>
                                  <w:r>
                                    <w:rPr>
                                      <w:rFonts w:ascii="Arial MT"/>
                                      <w:color w:val="0000FF"/>
                                      <w:spacing w:val="-2"/>
                                      <w:sz w:val="8"/>
                                    </w:rPr>
                                    <w:t>THE</w:t>
                                  </w:r>
                                  <w:r>
                                    <w:rPr>
                                      <w:rFonts w:ascii="Arial MT"/>
                                      <w:color w:val="0000FF"/>
                                      <w:sz w:val="8"/>
                                    </w:rPr>
                                    <w:t xml:space="preserve"> </w:t>
                                  </w:r>
                                  <w:r>
                                    <w:rPr>
                                      <w:rFonts w:ascii="Arial MT"/>
                                      <w:color w:val="0000FF"/>
                                      <w:spacing w:val="-2"/>
                                      <w:sz w:val="8"/>
                                    </w:rPr>
                                    <w:t>GOVERNMENT</w:t>
                                  </w:r>
                                  <w:r>
                                    <w:rPr>
                                      <w:rFonts w:ascii="Arial MT"/>
                                      <w:color w:val="0000FF"/>
                                      <w:sz w:val="8"/>
                                    </w:rPr>
                                    <w:t xml:space="preserve"> </w:t>
                                  </w:r>
                                  <w:r>
                                    <w:rPr>
                                      <w:rFonts w:ascii="Arial MT"/>
                                      <w:color w:val="0000FF"/>
                                      <w:spacing w:val="-2"/>
                                      <w:sz w:val="8"/>
                                    </w:rPr>
                                    <w:t>OF</w:t>
                                  </w:r>
                                  <w:r>
                                    <w:rPr>
                                      <w:rFonts w:ascii="Arial MT"/>
                                      <w:color w:val="0000FF"/>
                                      <w:spacing w:val="-1"/>
                                      <w:sz w:val="8"/>
                                    </w:rPr>
                                    <w:t xml:space="preserve"> </w:t>
                                  </w:r>
                                  <w:r>
                                    <w:rPr>
                                      <w:rFonts w:ascii="Arial MT"/>
                                      <w:color w:val="0000FF"/>
                                      <w:spacing w:val="-2"/>
                                      <w:sz w:val="8"/>
                                    </w:rPr>
                                    <w:t>THE</w:t>
                                  </w:r>
                                  <w:r>
                                    <w:rPr>
                                      <w:rFonts w:ascii="Arial MT"/>
                                      <w:color w:val="0000FF"/>
                                      <w:spacing w:val="1"/>
                                      <w:sz w:val="8"/>
                                    </w:rPr>
                                    <w:t xml:space="preserve"> </w:t>
                                  </w:r>
                                  <w:r>
                                    <w:rPr>
                                      <w:rFonts w:ascii="Arial MT"/>
                                      <w:color w:val="0000FF"/>
                                      <w:spacing w:val="-2"/>
                                      <w:sz w:val="8"/>
                                    </w:rPr>
                                    <w:t>REPUBLIC</w:t>
                                  </w:r>
                                  <w:r>
                                    <w:rPr>
                                      <w:rFonts w:ascii="Arial MT"/>
                                      <w:color w:val="0000FF"/>
                                      <w:spacing w:val="2"/>
                                      <w:sz w:val="8"/>
                                    </w:rPr>
                                    <w:t xml:space="preserve"> </w:t>
                                  </w:r>
                                  <w:r>
                                    <w:rPr>
                                      <w:rFonts w:ascii="Arial MT"/>
                                      <w:color w:val="0000FF"/>
                                      <w:spacing w:val="-2"/>
                                      <w:sz w:val="8"/>
                                    </w:rPr>
                                    <w:t>OF</w:t>
                                  </w:r>
                                  <w:r>
                                    <w:rPr>
                                      <w:rFonts w:ascii="Arial MT"/>
                                      <w:color w:val="0000FF"/>
                                      <w:spacing w:val="1"/>
                                      <w:sz w:val="8"/>
                                    </w:rPr>
                                    <w:t xml:space="preserve"> </w:t>
                                  </w:r>
                                  <w:r>
                                    <w:rPr>
                                      <w:rFonts w:ascii="Arial MT"/>
                                      <w:color w:val="0000FF"/>
                                      <w:spacing w:val="-2"/>
                                      <w:sz w:val="8"/>
                                    </w:rPr>
                                    <w:t>KENYA</w:t>
                                  </w:r>
                                </w:p>
                              </w:tc>
                            </w:tr>
                          </w:tbl>
                          <w:p w:rsidR="00883FED" w:rsidRDefault="00883FED">
                            <w:pPr>
                              <w:pStyle w:val="BodyText"/>
                            </w:pPr>
                          </w:p>
                        </w:txbxContent>
                      </wps:txbx>
                      <wps:bodyPr wrap="square" lIns="0" tIns="0" rIns="0" bIns="0" rtlCol="0">
                        <a:noAutofit/>
                      </wps:bodyPr>
                    </wps:wsp>
                  </a:graphicData>
                </a:graphic>
              </wp:anchor>
            </w:drawing>
          </mc:Choice>
          <mc:Fallback>
            <w:pict>
              <v:shape id="Textbox 592" o:spid="_x0000_s1109" type="#_x0000_t202" style="position:absolute;margin-left:1316.1pt;margin-top:65.15pt;width:195.85pt;height:990.3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" filled="f" stroked="f">
                <v:path arrowok="t"/>
                <v:textbox inset="0,0,0,0">
                  <w:txbxContent>
                    <w:tbl>
                      <w:tblPr>
                        <w:tblW w:w="0" w:type="auto"/>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
                        <w:gridCol w:w="498"/>
                        <w:gridCol w:w="126"/>
                        <w:gridCol w:w="1047"/>
                        <w:gridCol w:w="295"/>
                        <w:gridCol w:w="531"/>
                        <w:gridCol w:w="203"/>
                        <w:gridCol w:w="774"/>
                      </w:tblGrid>
                      <w:tr w:rsidR="00883FED">
                        <w:trPr>
                          <w:trHeight w:val="536"/>
                        </w:trPr>
                        <w:tc>
                          <w:tcPr>
                            <w:tcW w:w="3742" w:type="dxa"/>
                            <w:gridSpan w:val="8"/>
                            <w:tcBorders>
                              <w:bottom w:val="double" w:sz="6" w:space="0" w:color="000000"/>
                            </w:tcBorders>
                          </w:tcPr>
                          <w:p w:rsidR="00883FED" w:rsidRDefault="00883FED">
                            <w:pPr>
                              <w:pStyle w:val="TableParagraph"/>
                              <w:spacing w:before="160"/>
                              <w:ind w:left="73"/>
                              <w:rPr>
                                <w:rFonts w:ascii="Arial"/>
                                <w:b/>
                                <w:sz w:val="23"/>
                              </w:rPr>
                            </w:pPr>
                            <w:r>
                              <w:rPr>
                                <w:rFonts w:ascii="Arial"/>
                                <w:b/>
                                <w:color w:val="0000FF"/>
                                <w:spacing w:val="-2"/>
                                <w:sz w:val="23"/>
                                <w:u w:val="single" w:color="0000FF"/>
                              </w:rPr>
                              <w:t>NOTES</w:t>
                            </w:r>
                          </w:p>
                        </w:tc>
                      </w:tr>
                      <w:tr w:rsidR="00883FED">
                        <w:trPr>
                          <w:trHeight w:val="5159"/>
                        </w:trPr>
                        <w:tc>
                          <w:tcPr>
                            <w:tcW w:w="3742" w:type="dxa"/>
                            <w:gridSpan w:val="8"/>
                            <w:tcBorders>
                              <w:top w:val="double" w:sz="6" w:space="0" w:color="000000"/>
                            </w:tcBorders>
                          </w:tcPr>
                          <w:p w:rsidR="00883FED" w:rsidRDefault="00883FED">
                            <w:pPr>
                              <w:pStyle w:val="TableParagraph"/>
                              <w:spacing w:before="107"/>
                              <w:rPr>
                                <w:rFonts w:ascii="Cambria"/>
                                <w:b/>
                                <w:sz w:val="17"/>
                              </w:rPr>
                            </w:pPr>
                          </w:p>
                          <w:p w:rsidR="00883FED" w:rsidRDefault="00883FED">
                            <w:pPr>
                              <w:pStyle w:val="TableParagraph"/>
                              <w:ind w:left="86"/>
                              <w:rPr>
                                <w:rFonts w:ascii="Arial MT"/>
                                <w:sz w:val="17"/>
                              </w:rPr>
                            </w:pPr>
                            <w:r>
                              <w:rPr>
                                <w:rFonts w:ascii="Arial MT"/>
                                <w:color w:val="0000FF"/>
                                <w:spacing w:val="-2"/>
                                <w:sz w:val="17"/>
                              </w:rPr>
                              <w:t>General</w:t>
                            </w:r>
                          </w:p>
                          <w:p w:rsidR="00883FED" w:rsidRDefault="00883FED">
                            <w:pPr>
                              <w:pStyle w:val="TableParagraph"/>
                              <w:spacing w:before="9"/>
                              <w:ind w:left="86"/>
                              <w:rPr>
                                <w:rFonts w:ascii="Arial MT"/>
                                <w:sz w:val="11"/>
                              </w:rPr>
                            </w:pPr>
                            <w:r>
                              <w:rPr>
                                <w:rFonts w:ascii="Arial MT"/>
                                <w:color w:val="0000FF"/>
                                <w:w w:val="105"/>
                                <w:sz w:val="11"/>
                              </w:rPr>
                              <w:t>-Read</w:t>
                            </w:r>
                            <w:r>
                              <w:rPr>
                                <w:rFonts w:ascii="Arial MT"/>
                                <w:color w:val="0000FF"/>
                                <w:spacing w:val="-2"/>
                                <w:w w:val="105"/>
                                <w:sz w:val="11"/>
                              </w:rPr>
                              <w:t xml:space="preserve"> </w:t>
                            </w:r>
                            <w:r>
                              <w:rPr>
                                <w:rFonts w:ascii="Arial MT"/>
                                <w:color w:val="0000FF"/>
                                <w:w w:val="105"/>
                                <w:sz w:val="11"/>
                              </w:rPr>
                              <w:t>only</w:t>
                            </w:r>
                            <w:r>
                              <w:rPr>
                                <w:rFonts w:ascii="Arial MT"/>
                                <w:color w:val="0000FF"/>
                                <w:spacing w:val="-2"/>
                                <w:w w:val="105"/>
                                <w:sz w:val="11"/>
                              </w:rPr>
                              <w:t xml:space="preserve"> </w:t>
                            </w:r>
                            <w:r>
                              <w:rPr>
                                <w:rFonts w:ascii="Arial MT"/>
                                <w:color w:val="0000FF"/>
                                <w:w w:val="105"/>
                                <w:sz w:val="11"/>
                              </w:rPr>
                              <w:t>figured</w:t>
                            </w:r>
                            <w:r>
                              <w:rPr>
                                <w:rFonts w:ascii="Arial MT"/>
                                <w:color w:val="0000FF"/>
                                <w:spacing w:val="-1"/>
                                <w:w w:val="105"/>
                                <w:sz w:val="11"/>
                              </w:rPr>
                              <w:t xml:space="preserve"> </w:t>
                            </w:r>
                            <w:r>
                              <w:rPr>
                                <w:rFonts w:ascii="Arial MT"/>
                                <w:color w:val="0000FF"/>
                                <w:spacing w:val="-2"/>
                                <w:w w:val="105"/>
                                <w:sz w:val="11"/>
                              </w:rPr>
                              <w:t>dimensions.</w:t>
                            </w:r>
                          </w:p>
                          <w:p w:rsidR="00883FED" w:rsidRDefault="00883FED">
                            <w:pPr>
                              <w:pStyle w:val="TableParagraph"/>
                              <w:spacing w:before="8"/>
                              <w:ind w:left="8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dimensions</w:t>
                            </w:r>
                            <w:r>
                              <w:rPr>
                                <w:rFonts w:ascii="Arial MT"/>
                                <w:color w:val="0000FF"/>
                                <w:spacing w:val="3"/>
                                <w:w w:val="105"/>
                                <w:sz w:val="11"/>
                              </w:rPr>
                              <w:t xml:space="preserve"> </w:t>
                            </w:r>
                            <w:r>
                              <w:rPr>
                                <w:rFonts w:ascii="Arial MT"/>
                                <w:color w:val="0000FF"/>
                                <w:w w:val="105"/>
                                <w:sz w:val="11"/>
                              </w:rPr>
                              <w:t>are</w:t>
                            </w:r>
                            <w:r>
                              <w:rPr>
                                <w:rFonts w:ascii="Arial MT"/>
                                <w:color w:val="0000FF"/>
                                <w:spacing w:val="-1"/>
                                <w:w w:val="105"/>
                                <w:sz w:val="11"/>
                              </w:rPr>
                              <w:t xml:space="preserve"> </w:t>
                            </w:r>
                            <w:r>
                              <w:rPr>
                                <w:rFonts w:ascii="Arial MT"/>
                                <w:color w:val="0000FF"/>
                                <w:w w:val="105"/>
                                <w:sz w:val="11"/>
                              </w:rPr>
                              <w:t>in</w:t>
                            </w:r>
                            <w:r>
                              <w:rPr>
                                <w:rFonts w:ascii="Arial MT"/>
                                <w:color w:val="0000FF"/>
                                <w:spacing w:val="-2"/>
                                <w:w w:val="105"/>
                                <w:sz w:val="11"/>
                              </w:rPr>
                              <w:t xml:space="preserve"> </w:t>
                            </w:r>
                            <w:r>
                              <w:rPr>
                                <w:rFonts w:ascii="Arial MT"/>
                                <w:color w:val="0000FF"/>
                                <w:w w:val="105"/>
                                <w:sz w:val="11"/>
                              </w:rPr>
                              <w:t>mm</w:t>
                            </w:r>
                            <w:r>
                              <w:rPr>
                                <w:rFonts w:ascii="Arial MT"/>
                                <w:color w:val="0000FF"/>
                                <w:spacing w:val="-2"/>
                                <w:w w:val="105"/>
                                <w:sz w:val="11"/>
                              </w:rPr>
                              <w:t xml:space="preserve"> </w:t>
                            </w:r>
                            <w:r>
                              <w:rPr>
                                <w:rFonts w:ascii="Arial MT"/>
                                <w:color w:val="0000FF"/>
                                <w:w w:val="105"/>
                                <w:sz w:val="11"/>
                              </w:rPr>
                              <w:t>unless otherwise</w:t>
                            </w:r>
                            <w:r>
                              <w:rPr>
                                <w:rFonts w:ascii="Arial MT"/>
                                <w:color w:val="0000FF"/>
                                <w:spacing w:val="5"/>
                                <w:w w:val="105"/>
                                <w:sz w:val="11"/>
                              </w:rPr>
                              <w:t xml:space="preserve"> </w:t>
                            </w:r>
                            <w:r>
                              <w:rPr>
                                <w:rFonts w:ascii="Arial MT"/>
                                <w:color w:val="0000FF"/>
                                <w:spacing w:val="-2"/>
                                <w:w w:val="105"/>
                                <w:sz w:val="11"/>
                              </w:rPr>
                              <w:t>specified.</w:t>
                            </w:r>
                          </w:p>
                          <w:p w:rsidR="00883FED" w:rsidRDefault="00883FED">
                            <w:pPr>
                              <w:pStyle w:val="TableParagraph"/>
                              <w:spacing w:before="8" w:line="254" w:lineRule="auto"/>
                              <w:ind w:left="119" w:hanging="33"/>
                              <w:rPr>
                                <w:rFonts w:ascii="Arial MT"/>
                                <w:sz w:val="11"/>
                              </w:rPr>
                            </w:pPr>
                            <w:r>
                              <w:rPr>
                                <w:rFonts w:ascii="Arial MT"/>
                                <w:color w:val="0000FF"/>
                                <w:w w:val="105"/>
                                <w:sz w:val="11"/>
                              </w:rPr>
                              <w:t>-The</w:t>
                            </w:r>
                            <w:r>
                              <w:rPr>
                                <w:rFonts w:ascii="Arial MT"/>
                                <w:color w:val="0000FF"/>
                                <w:spacing w:val="-2"/>
                                <w:w w:val="105"/>
                                <w:sz w:val="11"/>
                              </w:rPr>
                              <w:t xml:space="preserve"> </w:t>
                            </w:r>
                            <w:r>
                              <w:rPr>
                                <w:rFonts w:ascii="Arial MT"/>
                                <w:color w:val="0000FF"/>
                                <w:w w:val="105"/>
                                <w:sz w:val="11"/>
                              </w:rPr>
                              <w:t>contractor must</w:t>
                            </w:r>
                            <w:r>
                              <w:rPr>
                                <w:rFonts w:ascii="Arial MT"/>
                                <w:color w:val="0000FF"/>
                                <w:spacing w:val="-2"/>
                                <w:w w:val="105"/>
                                <w:sz w:val="11"/>
                              </w:rPr>
                              <w:t xml:space="preserve"> </w:t>
                            </w:r>
                            <w:r>
                              <w:rPr>
                                <w:rFonts w:ascii="Arial MT"/>
                                <w:color w:val="0000FF"/>
                                <w:w w:val="105"/>
                                <w:sz w:val="11"/>
                              </w:rPr>
                              <w:t>check</w:t>
                            </w:r>
                            <w:r>
                              <w:rPr>
                                <w:rFonts w:ascii="Arial MT"/>
                                <w:color w:val="0000FF"/>
                                <w:spacing w:val="-1"/>
                                <w:w w:val="105"/>
                                <w:sz w:val="11"/>
                              </w:rPr>
                              <w:t xml:space="preserve"> </w:t>
                            </w:r>
                            <w:r>
                              <w:rPr>
                                <w:rFonts w:ascii="Arial MT"/>
                                <w:color w:val="0000FF"/>
                                <w:w w:val="105"/>
                                <w:sz w:val="11"/>
                              </w:rPr>
                              <w:t>and</w:t>
                            </w:r>
                            <w:r>
                              <w:rPr>
                                <w:rFonts w:ascii="Arial MT"/>
                                <w:color w:val="0000FF"/>
                                <w:spacing w:val="-1"/>
                                <w:w w:val="105"/>
                                <w:sz w:val="11"/>
                              </w:rPr>
                              <w:t xml:space="preserve"> </w:t>
                            </w:r>
                            <w:r>
                              <w:rPr>
                                <w:rFonts w:ascii="Arial MT"/>
                                <w:color w:val="0000FF"/>
                                <w:w w:val="105"/>
                                <w:sz w:val="11"/>
                              </w:rPr>
                              <w:t>verify all</w:t>
                            </w:r>
                            <w:r>
                              <w:rPr>
                                <w:rFonts w:ascii="Arial MT"/>
                                <w:color w:val="0000FF"/>
                                <w:spacing w:val="-1"/>
                                <w:w w:val="105"/>
                                <w:sz w:val="11"/>
                              </w:rPr>
                              <w:t xml:space="preserve"> </w:t>
                            </w:r>
                            <w:r>
                              <w:rPr>
                                <w:rFonts w:ascii="Arial MT"/>
                                <w:color w:val="0000FF"/>
                                <w:w w:val="105"/>
                                <w:sz w:val="11"/>
                              </w:rPr>
                              <w:t>dimensions before</w:t>
                            </w:r>
                            <w:r>
                              <w:rPr>
                                <w:rFonts w:ascii="Arial MT"/>
                                <w:color w:val="0000FF"/>
                                <w:spacing w:val="40"/>
                                <w:w w:val="105"/>
                                <w:sz w:val="11"/>
                              </w:rPr>
                              <w:t xml:space="preserve"> </w:t>
                            </w:r>
                            <w:r>
                              <w:rPr>
                                <w:rFonts w:ascii="Arial MT"/>
                                <w:color w:val="0000FF"/>
                                <w:w w:val="105"/>
                                <w:sz w:val="11"/>
                              </w:rPr>
                              <w:t>commencement of the work</w:t>
                            </w:r>
                          </w:p>
                          <w:p w:rsidR="00883FED" w:rsidRDefault="00883FED">
                            <w:pPr>
                              <w:pStyle w:val="TableParagraph"/>
                              <w:spacing w:line="121" w:lineRule="exact"/>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windows and</w:t>
                            </w:r>
                            <w:r>
                              <w:rPr>
                                <w:rFonts w:ascii="Arial MT"/>
                                <w:color w:val="0000FF"/>
                                <w:spacing w:val="-1"/>
                                <w:w w:val="105"/>
                                <w:sz w:val="11"/>
                              </w:rPr>
                              <w:t xml:space="preserve"> </w:t>
                            </w:r>
                            <w:r>
                              <w:rPr>
                                <w:rFonts w:ascii="Arial MT"/>
                                <w:color w:val="0000FF"/>
                                <w:w w:val="105"/>
                                <w:sz w:val="11"/>
                              </w:rPr>
                              <w:t>doors to</w:t>
                            </w:r>
                            <w:r>
                              <w:rPr>
                                <w:rFonts w:ascii="Arial MT"/>
                                <w:color w:val="0000FF"/>
                                <w:spacing w:val="-1"/>
                                <w:w w:val="105"/>
                                <w:sz w:val="11"/>
                              </w:rPr>
                              <w:t xml:space="preserve"> </w:t>
                            </w:r>
                            <w:r>
                              <w:rPr>
                                <w:rFonts w:ascii="Arial MT"/>
                                <w:color w:val="0000FF"/>
                                <w:w w:val="105"/>
                                <w:sz w:val="11"/>
                              </w:rPr>
                              <w:t>have</w:t>
                            </w:r>
                            <w:r>
                              <w:rPr>
                                <w:rFonts w:ascii="Arial MT"/>
                                <w:color w:val="0000FF"/>
                                <w:spacing w:val="-1"/>
                                <w:w w:val="105"/>
                                <w:sz w:val="11"/>
                              </w:rPr>
                              <w:t xml:space="preserve"> </w:t>
                            </w:r>
                            <w:r>
                              <w:rPr>
                                <w:rFonts w:ascii="Arial MT"/>
                                <w:color w:val="0000FF"/>
                                <w:w w:val="105"/>
                                <w:sz w:val="11"/>
                              </w:rPr>
                              <w:t>Permanent</w:t>
                            </w:r>
                            <w:r>
                              <w:rPr>
                                <w:rFonts w:ascii="Arial MT"/>
                                <w:color w:val="0000FF"/>
                                <w:spacing w:val="1"/>
                                <w:w w:val="105"/>
                                <w:sz w:val="11"/>
                              </w:rPr>
                              <w:t xml:space="preserve"> </w:t>
                            </w:r>
                            <w:r>
                              <w:rPr>
                                <w:rFonts w:ascii="Arial MT"/>
                                <w:color w:val="0000FF"/>
                                <w:w w:val="105"/>
                                <w:sz w:val="11"/>
                              </w:rPr>
                              <w:t>Vents</w:t>
                            </w:r>
                            <w:r>
                              <w:rPr>
                                <w:rFonts w:ascii="Arial MT"/>
                                <w:color w:val="0000FF"/>
                                <w:spacing w:val="-7"/>
                                <w:w w:val="105"/>
                                <w:sz w:val="11"/>
                              </w:rPr>
                              <w:t xml:space="preserve"> </w:t>
                            </w:r>
                            <w:r>
                              <w:rPr>
                                <w:rFonts w:ascii="Arial MT"/>
                                <w:color w:val="0000FF"/>
                                <w:spacing w:val="-4"/>
                                <w:w w:val="105"/>
                                <w:sz w:val="11"/>
                              </w:rPr>
                              <w:t>(PV)</w:t>
                            </w:r>
                          </w:p>
                          <w:p w:rsidR="00883FED" w:rsidRDefault="00883FED">
                            <w:pPr>
                              <w:pStyle w:val="TableParagraph"/>
                              <w:spacing w:before="12"/>
                              <w:rPr>
                                <w:rFonts w:ascii="Cambria"/>
                                <w:b/>
                                <w:sz w:val="11"/>
                              </w:rPr>
                            </w:pPr>
                          </w:p>
                          <w:p w:rsidR="00883FED" w:rsidRDefault="00883FED">
                            <w:pPr>
                              <w:pStyle w:val="TableParagraph"/>
                              <w:ind w:left="86"/>
                              <w:rPr>
                                <w:rFonts w:ascii="Arial MT"/>
                                <w:sz w:val="17"/>
                              </w:rPr>
                            </w:pPr>
                            <w:r>
                              <w:rPr>
                                <w:rFonts w:ascii="Arial MT"/>
                                <w:color w:val="0000FF"/>
                                <w:spacing w:val="-2"/>
                                <w:sz w:val="17"/>
                              </w:rPr>
                              <w:t>Structural</w:t>
                            </w:r>
                          </w:p>
                          <w:p w:rsidR="00883FED" w:rsidRDefault="00883FED">
                            <w:pPr>
                              <w:pStyle w:val="TableParagraph"/>
                              <w:spacing w:before="9"/>
                              <w:ind w:left="86"/>
                              <w:rPr>
                                <w:rFonts w:ascii="Arial MT"/>
                                <w:sz w:val="11"/>
                              </w:rPr>
                            </w:pPr>
                            <w:r>
                              <w:rPr>
                                <w:rFonts w:ascii="Arial MT"/>
                                <w:color w:val="0000FF"/>
                                <w:w w:val="105"/>
                                <w:sz w:val="11"/>
                              </w:rPr>
                              <w:t>-For</w:t>
                            </w:r>
                            <w:r>
                              <w:rPr>
                                <w:rFonts w:ascii="Arial MT"/>
                                <w:color w:val="0000FF"/>
                                <w:spacing w:val="-1"/>
                                <w:w w:val="105"/>
                                <w:sz w:val="11"/>
                              </w:rPr>
                              <w:t xml:space="preserve"> </w:t>
                            </w:r>
                            <w:r>
                              <w:rPr>
                                <w:rFonts w:ascii="Arial MT"/>
                                <w:color w:val="0000FF"/>
                                <w:w w:val="105"/>
                                <w:sz w:val="11"/>
                              </w:rPr>
                              <w:t>all R.C works,</w:t>
                            </w:r>
                            <w:r>
                              <w:rPr>
                                <w:rFonts w:ascii="Arial MT"/>
                                <w:color w:val="0000FF"/>
                                <w:spacing w:val="-1"/>
                                <w:w w:val="105"/>
                                <w:sz w:val="11"/>
                              </w:rPr>
                              <w:t xml:space="preserve"> </w:t>
                            </w:r>
                            <w:r>
                              <w:rPr>
                                <w:rFonts w:ascii="Arial MT"/>
                                <w:color w:val="0000FF"/>
                                <w:w w:val="105"/>
                                <w:sz w:val="11"/>
                              </w:rPr>
                              <w:t>refer to</w:t>
                            </w:r>
                            <w:r>
                              <w:rPr>
                                <w:rFonts w:ascii="Arial MT"/>
                                <w:color w:val="0000FF"/>
                                <w:spacing w:val="-1"/>
                                <w:w w:val="105"/>
                                <w:sz w:val="11"/>
                              </w:rPr>
                              <w:t xml:space="preserve"> </w:t>
                            </w:r>
                            <w:proofErr w:type="gramStart"/>
                            <w:r>
                              <w:rPr>
                                <w:rFonts w:ascii="Arial MT"/>
                                <w:color w:val="0000FF"/>
                                <w:w w:val="105"/>
                                <w:sz w:val="11"/>
                              </w:rPr>
                              <w:t>S.E's</w:t>
                            </w:r>
                            <w:proofErr w:type="gramEnd"/>
                            <w:r>
                              <w:rPr>
                                <w:rFonts w:ascii="Arial MT"/>
                                <w:color w:val="0000FF"/>
                                <w:w w:val="105"/>
                                <w:sz w:val="11"/>
                              </w:rPr>
                              <w:t xml:space="preserve"> </w:t>
                            </w:r>
                            <w:r>
                              <w:rPr>
                                <w:rFonts w:ascii="Arial MT"/>
                                <w:color w:val="0000FF"/>
                                <w:spacing w:val="-2"/>
                                <w:w w:val="105"/>
                                <w:sz w:val="11"/>
                              </w:rPr>
                              <w:t>details</w:t>
                            </w:r>
                          </w:p>
                          <w:p w:rsidR="00883FED" w:rsidRDefault="00883FED">
                            <w:pPr>
                              <w:pStyle w:val="TableParagraph"/>
                              <w:spacing w:before="8" w:line="254" w:lineRule="auto"/>
                              <w:ind w:left="151" w:right="594" w:hanging="6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walls less</w:t>
                            </w:r>
                            <w:r>
                              <w:rPr>
                                <w:rFonts w:ascii="Arial MT"/>
                                <w:color w:val="0000FF"/>
                                <w:spacing w:val="-2"/>
                                <w:w w:val="105"/>
                                <w:sz w:val="11"/>
                              </w:rPr>
                              <w:t xml:space="preserve"> </w:t>
                            </w:r>
                            <w:r>
                              <w:rPr>
                                <w:rFonts w:ascii="Arial MT"/>
                                <w:color w:val="0000FF"/>
                                <w:w w:val="105"/>
                                <w:sz w:val="11"/>
                              </w:rPr>
                              <w:t>than</w:t>
                            </w:r>
                            <w:r>
                              <w:rPr>
                                <w:rFonts w:ascii="Arial MT"/>
                                <w:color w:val="0000FF"/>
                                <w:spacing w:val="-1"/>
                                <w:w w:val="105"/>
                                <w:sz w:val="11"/>
                              </w:rPr>
                              <w:t xml:space="preserve"> </w:t>
                            </w:r>
                            <w:r>
                              <w:rPr>
                                <w:rFonts w:ascii="Arial MT"/>
                                <w:color w:val="0000FF"/>
                                <w:w w:val="105"/>
                                <w:sz w:val="11"/>
                              </w:rPr>
                              <w:t>200mm</w:t>
                            </w:r>
                            <w:r>
                              <w:rPr>
                                <w:rFonts w:ascii="Arial MT"/>
                                <w:color w:val="0000FF"/>
                                <w:spacing w:val="-3"/>
                                <w:w w:val="105"/>
                                <w:sz w:val="11"/>
                              </w:rPr>
                              <w:t xml:space="preserve"> </w:t>
                            </w:r>
                            <w:r>
                              <w:rPr>
                                <w:rFonts w:ascii="Arial MT"/>
                                <w:color w:val="0000FF"/>
                                <w:w w:val="105"/>
                                <w:sz w:val="11"/>
                              </w:rPr>
                              <w:t>thick</w:t>
                            </w:r>
                            <w:r>
                              <w:rPr>
                                <w:rFonts w:ascii="Arial MT"/>
                                <w:color w:val="0000FF"/>
                                <w:spacing w:val="-2"/>
                                <w:w w:val="105"/>
                                <w:sz w:val="11"/>
                              </w:rPr>
                              <w:t xml:space="preserve"> </w:t>
                            </w:r>
                            <w:r>
                              <w:rPr>
                                <w:rFonts w:ascii="Arial MT"/>
                                <w:color w:val="0000FF"/>
                                <w:w w:val="105"/>
                                <w:sz w:val="11"/>
                              </w:rPr>
                              <w:t>to</w:t>
                            </w:r>
                            <w:r>
                              <w:rPr>
                                <w:rFonts w:ascii="Arial MT"/>
                                <w:color w:val="0000FF"/>
                                <w:spacing w:val="-3"/>
                                <w:w w:val="105"/>
                                <w:sz w:val="11"/>
                              </w:rPr>
                              <w:t xml:space="preserve"> </w:t>
                            </w:r>
                            <w:r>
                              <w:rPr>
                                <w:rFonts w:ascii="Arial MT"/>
                                <w:color w:val="0000FF"/>
                                <w:w w:val="105"/>
                                <w:sz w:val="11"/>
                              </w:rPr>
                              <w:t>be</w:t>
                            </w:r>
                            <w:r>
                              <w:rPr>
                                <w:rFonts w:ascii="Arial MT"/>
                                <w:color w:val="0000FF"/>
                                <w:spacing w:val="-3"/>
                                <w:w w:val="105"/>
                                <w:sz w:val="11"/>
                              </w:rPr>
                              <w:t xml:space="preserve"> </w:t>
                            </w:r>
                            <w:proofErr w:type="spellStart"/>
                            <w:r>
                              <w:rPr>
                                <w:rFonts w:ascii="Arial MT"/>
                                <w:color w:val="0000FF"/>
                                <w:w w:val="105"/>
                                <w:sz w:val="11"/>
                              </w:rPr>
                              <w:t>reiforced</w:t>
                            </w:r>
                            <w:proofErr w:type="spellEnd"/>
                            <w:r>
                              <w:rPr>
                                <w:rFonts w:ascii="Arial MT"/>
                                <w:color w:val="0000FF"/>
                                <w:w w:val="105"/>
                                <w:sz w:val="11"/>
                              </w:rPr>
                              <w:t xml:space="preserve"> with hoop</w:t>
                            </w:r>
                            <w:r>
                              <w:rPr>
                                <w:rFonts w:ascii="Arial MT"/>
                                <w:color w:val="0000FF"/>
                                <w:spacing w:val="40"/>
                                <w:w w:val="105"/>
                                <w:sz w:val="11"/>
                              </w:rPr>
                              <w:t xml:space="preserve"> </w:t>
                            </w:r>
                            <w:r>
                              <w:rPr>
                                <w:rFonts w:ascii="Arial MT"/>
                                <w:color w:val="0000FF"/>
                                <w:w w:val="105"/>
                                <w:sz w:val="11"/>
                              </w:rPr>
                              <w:t>iron at alternate courses</w:t>
                            </w:r>
                          </w:p>
                          <w:p w:rsidR="00883FED" w:rsidRDefault="00883FED">
                            <w:pPr>
                              <w:pStyle w:val="TableParagraph"/>
                              <w:spacing w:before="1" w:line="254" w:lineRule="auto"/>
                              <w:ind w:left="119" w:right="594" w:hanging="33"/>
                              <w:rPr>
                                <w:rFonts w:ascii="Arial MT"/>
                                <w:sz w:val="11"/>
                              </w:rPr>
                            </w:pPr>
                            <w:r>
                              <w:rPr>
                                <w:rFonts w:ascii="Arial MT"/>
                                <w:color w:val="0000FF"/>
                                <w:w w:val="105"/>
                                <w:sz w:val="11"/>
                              </w:rPr>
                              <w:t>-All</w:t>
                            </w:r>
                            <w:r>
                              <w:rPr>
                                <w:rFonts w:ascii="Arial MT"/>
                                <w:color w:val="0000FF"/>
                                <w:spacing w:val="-3"/>
                                <w:w w:val="105"/>
                                <w:sz w:val="11"/>
                              </w:rPr>
                              <w:t xml:space="preserve"> </w:t>
                            </w:r>
                            <w:proofErr w:type="gramStart"/>
                            <w:r>
                              <w:rPr>
                                <w:rFonts w:ascii="Arial MT"/>
                                <w:color w:val="0000FF"/>
                                <w:w w:val="105"/>
                                <w:sz w:val="11"/>
                              </w:rPr>
                              <w:t>adjacent</w:t>
                            </w:r>
                            <w:proofErr w:type="gramEnd"/>
                            <w:r>
                              <w:rPr>
                                <w:rFonts w:ascii="Arial MT"/>
                                <w:color w:val="0000FF"/>
                                <w:spacing w:val="-2"/>
                                <w:w w:val="105"/>
                                <w:sz w:val="11"/>
                              </w:rPr>
                              <w:t xml:space="preserve"> </w:t>
                            </w:r>
                            <w:r>
                              <w:rPr>
                                <w:rFonts w:ascii="Arial MT"/>
                                <w:color w:val="0000FF"/>
                                <w:w w:val="105"/>
                                <w:sz w:val="11"/>
                              </w:rPr>
                              <w:t>R.C</w:t>
                            </w:r>
                            <w:r>
                              <w:rPr>
                                <w:rFonts w:ascii="Arial MT"/>
                                <w:color w:val="0000FF"/>
                                <w:spacing w:val="-4"/>
                                <w:w w:val="105"/>
                                <w:sz w:val="11"/>
                              </w:rPr>
                              <w:t xml:space="preserve"> </w:t>
                            </w:r>
                            <w:r>
                              <w:rPr>
                                <w:rFonts w:ascii="Arial MT"/>
                                <w:color w:val="0000FF"/>
                                <w:w w:val="105"/>
                                <w:sz w:val="11"/>
                              </w:rPr>
                              <w:t>work and</w:t>
                            </w:r>
                            <w:r>
                              <w:rPr>
                                <w:rFonts w:ascii="Arial MT"/>
                                <w:color w:val="0000FF"/>
                                <w:spacing w:val="-3"/>
                                <w:w w:val="105"/>
                                <w:sz w:val="11"/>
                              </w:rPr>
                              <w:t xml:space="preserve"> </w:t>
                            </w:r>
                            <w:r>
                              <w:rPr>
                                <w:rFonts w:ascii="Arial MT"/>
                                <w:color w:val="0000FF"/>
                                <w:w w:val="105"/>
                                <w:sz w:val="11"/>
                              </w:rPr>
                              <w:t>masonry walls to</w:t>
                            </w:r>
                            <w:r>
                              <w:rPr>
                                <w:rFonts w:ascii="Arial MT"/>
                                <w:color w:val="0000FF"/>
                                <w:spacing w:val="-4"/>
                                <w:w w:val="105"/>
                                <w:sz w:val="11"/>
                              </w:rPr>
                              <w:t xml:space="preserve"> </w:t>
                            </w:r>
                            <w:r>
                              <w:rPr>
                                <w:rFonts w:ascii="Arial MT"/>
                                <w:color w:val="0000FF"/>
                                <w:w w:val="105"/>
                                <w:sz w:val="11"/>
                              </w:rPr>
                              <w:t>be</w:t>
                            </w:r>
                            <w:r>
                              <w:rPr>
                                <w:rFonts w:ascii="Arial MT"/>
                                <w:color w:val="0000FF"/>
                                <w:spacing w:val="-3"/>
                                <w:w w:val="105"/>
                                <w:sz w:val="11"/>
                              </w:rPr>
                              <w:t xml:space="preserve"> </w:t>
                            </w:r>
                            <w:r>
                              <w:rPr>
                                <w:rFonts w:ascii="Arial MT"/>
                                <w:color w:val="0000FF"/>
                                <w:w w:val="105"/>
                                <w:sz w:val="11"/>
                              </w:rPr>
                              <w:t>tied</w:t>
                            </w:r>
                            <w:r>
                              <w:rPr>
                                <w:rFonts w:ascii="Arial MT"/>
                                <w:color w:val="0000FF"/>
                                <w:spacing w:val="-3"/>
                                <w:w w:val="105"/>
                                <w:sz w:val="11"/>
                              </w:rPr>
                              <w:t xml:space="preserve"> </w:t>
                            </w:r>
                            <w:r>
                              <w:rPr>
                                <w:rFonts w:ascii="Arial MT"/>
                                <w:color w:val="0000FF"/>
                                <w:w w:val="105"/>
                                <w:sz w:val="11"/>
                              </w:rPr>
                              <w:t>with</w:t>
                            </w:r>
                            <w:r>
                              <w:rPr>
                                <w:rFonts w:ascii="Arial MT"/>
                                <w:color w:val="0000FF"/>
                                <w:spacing w:val="40"/>
                                <w:w w:val="105"/>
                                <w:sz w:val="11"/>
                              </w:rPr>
                              <w:t xml:space="preserve"> </w:t>
                            </w:r>
                            <w:r>
                              <w:rPr>
                                <w:rFonts w:ascii="Arial MT"/>
                                <w:color w:val="0000FF"/>
                                <w:w w:val="105"/>
                                <w:sz w:val="11"/>
                              </w:rPr>
                              <w:t>strap irons at every course</w:t>
                            </w:r>
                          </w:p>
                          <w:p w:rsidR="00883FED" w:rsidRDefault="00883FED">
                            <w:pPr>
                              <w:pStyle w:val="TableParagraph"/>
                              <w:spacing w:before="128"/>
                              <w:ind w:left="86"/>
                              <w:rPr>
                                <w:rFonts w:ascii="Arial MT"/>
                                <w:sz w:val="17"/>
                              </w:rPr>
                            </w:pPr>
                            <w:r>
                              <w:rPr>
                                <w:rFonts w:ascii="Arial MT"/>
                                <w:color w:val="0000FF"/>
                                <w:spacing w:val="-2"/>
                                <w:sz w:val="17"/>
                              </w:rPr>
                              <w:t>Mechanical</w:t>
                            </w:r>
                          </w:p>
                          <w:p w:rsidR="00883FED" w:rsidRDefault="00883FED">
                            <w:pPr>
                              <w:pStyle w:val="TableParagraph"/>
                              <w:spacing w:before="9"/>
                              <w:ind w:left="86"/>
                              <w:rPr>
                                <w:rFonts w:ascii="Arial MT"/>
                                <w:sz w:val="11"/>
                              </w:rPr>
                            </w:pPr>
                            <w:r>
                              <w:rPr>
                                <w:rFonts w:ascii="Arial MT"/>
                                <w:color w:val="0000FF"/>
                                <w:w w:val="105"/>
                                <w:sz w:val="11"/>
                              </w:rPr>
                              <w:t>-All</w:t>
                            </w:r>
                            <w:r>
                              <w:rPr>
                                <w:rFonts w:ascii="Arial MT"/>
                                <w:color w:val="0000FF"/>
                                <w:spacing w:val="-3"/>
                                <w:w w:val="105"/>
                                <w:sz w:val="11"/>
                              </w:rPr>
                              <w:t xml:space="preserve"> </w:t>
                            </w:r>
                            <w:r>
                              <w:rPr>
                                <w:rFonts w:ascii="Arial MT"/>
                                <w:color w:val="0000FF"/>
                                <w:w w:val="105"/>
                                <w:sz w:val="11"/>
                              </w:rPr>
                              <w:t>plumbing</w:t>
                            </w:r>
                            <w:r>
                              <w:rPr>
                                <w:rFonts w:ascii="Arial MT"/>
                                <w:color w:val="0000FF"/>
                                <w:spacing w:val="1"/>
                                <w:w w:val="105"/>
                                <w:sz w:val="11"/>
                              </w:rPr>
                              <w:t xml:space="preserve"> </w:t>
                            </w:r>
                            <w:r>
                              <w:rPr>
                                <w:rFonts w:ascii="Arial MT"/>
                                <w:color w:val="0000FF"/>
                                <w:w w:val="105"/>
                                <w:sz w:val="11"/>
                              </w:rPr>
                              <w:t>and</w:t>
                            </w:r>
                            <w:r>
                              <w:rPr>
                                <w:rFonts w:ascii="Arial MT"/>
                                <w:color w:val="0000FF"/>
                                <w:spacing w:val="-2"/>
                                <w:w w:val="105"/>
                                <w:sz w:val="11"/>
                              </w:rPr>
                              <w:t xml:space="preserve"> </w:t>
                            </w:r>
                            <w:r>
                              <w:rPr>
                                <w:rFonts w:ascii="Arial MT"/>
                                <w:color w:val="0000FF"/>
                                <w:w w:val="105"/>
                                <w:sz w:val="11"/>
                              </w:rPr>
                              <w:t>drainage works</w:t>
                            </w:r>
                            <w:r>
                              <w:rPr>
                                <w:rFonts w:ascii="Arial MT"/>
                                <w:color w:val="0000FF"/>
                                <w:spacing w:val="1"/>
                                <w:w w:val="105"/>
                                <w:sz w:val="11"/>
                              </w:rPr>
                              <w:t xml:space="preserve"> </w:t>
                            </w:r>
                            <w:r>
                              <w:rPr>
                                <w:rFonts w:ascii="Arial MT"/>
                                <w:color w:val="0000FF"/>
                                <w:w w:val="105"/>
                                <w:sz w:val="11"/>
                              </w:rPr>
                              <w:t>to</w:t>
                            </w:r>
                            <w:r>
                              <w:rPr>
                                <w:rFonts w:ascii="Arial MT"/>
                                <w:color w:val="0000FF"/>
                                <w:spacing w:val="-4"/>
                                <w:w w:val="105"/>
                                <w:sz w:val="11"/>
                              </w:rPr>
                              <w:t xml:space="preserve"> </w:t>
                            </w:r>
                            <w:r>
                              <w:rPr>
                                <w:rFonts w:ascii="Arial MT"/>
                                <w:color w:val="0000FF"/>
                                <w:w w:val="105"/>
                                <w:sz w:val="11"/>
                              </w:rPr>
                              <w:t>comply</w:t>
                            </w:r>
                            <w:r>
                              <w:rPr>
                                <w:rFonts w:ascii="Arial MT"/>
                                <w:color w:val="0000FF"/>
                                <w:spacing w:val="1"/>
                                <w:w w:val="105"/>
                                <w:sz w:val="11"/>
                              </w:rPr>
                              <w:t xml:space="preserve"> </w:t>
                            </w:r>
                            <w:r>
                              <w:rPr>
                                <w:rFonts w:ascii="Arial MT"/>
                                <w:color w:val="0000FF"/>
                                <w:w w:val="105"/>
                                <w:sz w:val="11"/>
                              </w:rPr>
                              <w:t>with P.</w:t>
                            </w:r>
                            <w:r>
                              <w:rPr>
                                <w:rFonts w:ascii="Arial MT"/>
                                <w:color w:val="0000FF"/>
                                <w:spacing w:val="-4"/>
                                <w:w w:val="105"/>
                                <w:sz w:val="11"/>
                              </w:rPr>
                              <w:t xml:space="preserve"> </w:t>
                            </w:r>
                            <w:r>
                              <w:rPr>
                                <w:rFonts w:ascii="Arial MT"/>
                                <w:color w:val="0000FF"/>
                                <w:w w:val="105"/>
                                <w:sz w:val="11"/>
                              </w:rPr>
                              <w:t>H</w:t>
                            </w:r>
                            <w:r>
                              <w:rPr>
                                <w:rFonts w:ascii="Arial MT"/>
                                <w:color w:val="0000FF"/>
                                <w:spacing w:val="-3"/>
                                <w:w w:val="105"/>
                                <w:sz w:val="11"/>
                              </w:rPr>
                              <w:t xml:space="preserve"> </w:t>
                            </w:r>
                            <w:proofErr w:type="spellStart"/>
                            <w:r>
                              <w:rPr>
                                <w:rFonts w:ascii="Arial MT"/>
                                <w:color w:val="0000FF"/>
                                <w:spacing w:val="-2"/>
                                <w:w w:val="105"/>
                                <w:sz w:val="11"/>
                              </w:rPr>
                              <w:t>specifiacations</w:t>
                            </w:r>
                            <w:proofErr w:type="spellEnd"/>
                          </w:p>
                          <w:p w:rsidR="00883FED" w:rsidRDefault="00883FED">
                            <w:pPr>
                              <w:pStyle w:val="TableParagraph"/>
                              <w:spacing w:before="7"/>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surface ducts to</w:t>
                            </w:r>
                            <w:r>
                              <w:rPr>
                                <w:rFonts w:ascii="Arial MT"/>
                                <w:color w:val="0000FF"/>
                                <w:spacing w:val="-1"/>
                                <w:w w:val="105"/>
                                <w:sz w:val="11"/>
                              </w:rPr>
                              <w:t xml:space="preserve"> </w:t>
                            </w:r>
                            <w:r>
                              <w:rPr>
                                <w:rFonts w:ascii="Arial MT"/>
                                <w:color w:val="0000FF"/>
                                <w:w w:val="105"/>
                                <w:sz w:val="11"/>
                              </w:rPr>
                              <w:t>be</w:t>
                            </w:r>
                            <w:r>
                              <w:rPr>
                                <w:rFonts w:ascii="Arial MT"/>
                                <w:color w:val="0000FF"/>
                                <w:spacing w:val="-1"/>
                                <w:w w:val="105"/>
                                <w:sz w:val="11"/>
                              </w:rPr>
                              <w:t xml:space="preserve"> </w:t>
                            </w:r>
                            <w:r>
                              <w:rPr>
                                <w:rFonts w:ascii="Arial MT"/>
                                <w:color w:val="0000FF"/>
                                <w:w w:val="105"/>
                                <w:sz w:val="11"/>
                              </w:rPr>
                              <w:t>accessible</w:t>
                            </w:r>
                            <w:r>
                              <w:rPr>
                                <w:rFonts w:ascii="Arial MT"/>
                                <w:color w:val="0000FF"/>
                                <w:spacing w:val="3"/>
                                <w:w w:val="105"/>
                                <w:sz w:val="11"/>
                              </w:rPr>
                              <w:t xml:space="preserve"> </w:t>
                            </w:r>
                            <w:r>
                              <w:rPr>
                                <w:rFonts w:ascii="Arial MT"/>
                                <w:color w:val="0000FF"/>
                                <w:w w:val="105"/>
                                <w:sz w:val="11"/>
                              </w:rPr>
                              <w:t>from</w:t>
                            </w:r>
                            <w:r>
                              <w:rPr>
                                <w:rFonts w:ascii="Arial MT"/>
                                <w:color w:val="0000FF"/>
                                <w:spacing w:val="-1"/>
                                <w:w w:val="105"/>
                                <w:sz w:val="11"/>
                              </w:rPr>
                              <w:t xml:space="preserve"> </w:t>
                            </w:r>
                            <w:r>
                              <w:rPr>
                                <w:rFonts w:ascii="Arial MT"/>
                                <w:color w:val="0000FF"/>
                                <w:w w:val="105"/>
                                <w:sz w:val="11"/>
                              </w:rPr>
                              <w:t xml:space="preserve">all </w:t>
                            </w:r>
                            <w:r>
                              <w:rPr>
                                <w:rFonts w:ascii="Arial MT"/>
                                <w:color w:val="0000FF"/>
                                <w:spacing w:val="-2"/>
                                <w:w w:val="105"/>
                                <w:sz w:val="11"/>
                              </w:rPr>
                              <w:t>floors</w:t>
                            </w:r>
                          </w:p>
                          <w:p w:rsidR="00883FED" w:rsidRDefault="00883FED">
                            <w:pPr>
                              <w:pStyle w:val="TableParagraph"/>
                              <w:spacing w:before="8" w:line="254" w:lineRule="auto"/>
                              <w:ind w:left="86"/>
                              <w:rPr>
                                <w:rFonts w:ascii="Arial MT"/>
                                <w:sz w:val="11"/>
                              </w:rPr>
                            </w:pPr>
                            <w:r>
                              <w:rPr>
                                <w:rFonts w:ascii="Arial MT"/>
                                <w:color w:val="0000FF"/>
                                <w:w w:val="105"/>
                                <w:sz w:val="11"/>
                              </w:rPr>
                              <w:t>-S.</w:t>
                            </w:r>
                            <w:proofErr w:type="gramStart"/>
                            <w:r>
                              <w:rPr>
                                <w:rFonts w:ascii="Arial MT"/>
                                <w:color w:val="0000FF"/>
                                <w:w w:val="105"/>
                                <w:sz w:val="11"/>
                              </w:rPr>
                              <w:t>V.P</w:t>
                            </w:r>
                            <w:proofErr w:type="gramEnd"/>
                            <w:r>
                              <w:rPr>
                                <w:rFonts w:ascii="Arial MT"/>
                                <w:color w:val="0000FF"/>
                                <w:spacing w:val="-4"/>
                                <w:w w:val="105"/>
                                <w:sz w:val="11"/>
                              </w:rPr>
                              <w:t xml:space="preserve"> </w:t>
                            </w:r>
                            <w:r>
                              <w:rPr>
                                <w:rFonts w:ascii="Arial MT"/>
                                <w:color w:val="0000FF"/>
                                <w:w w:val="105"/>
                                <w:sz w:val="11"/>
                              </w:rPr>
                              <w:t>denotes soil vent pipe and to</w:t>
                            </w:r>
                            <w:r>
                              <w:rPr>
                                <w:rFonts w:ascii="Arial MT"/>
                                <w:color w:val="0000FF"/>
                                <w:spacing w:val="-1"/>
                                <w:w w:val="105"/>
                                <w:sz w:val="11"/>
                              </w:rPr>
                              <w:t xml:space="preserve"> </w:t>
                            </w:r>
                            <w:r>
                              <w:rPr>
                                <w:rFonts w:ascii="Arial MT"/>
                                <w:color w:val="0000FF"/>
                                <w:w w:val="105"/>
                                <w:sz w:val="11"/>
                              </w:rPr>
                              <w:t>be</w:t>
                            </w:r>
                            <w:r>
                              <w:rPr>
                                <w:rFonts w:ascii="Arial MT"/>
                                <w:color w:val="0000FF"/>
                                <w:spacing w:val="-1"/>
                                <w:w w:val="105"/>
                                <w:sz w:val="11"/>
                              </w:rPr>
                              <w:t xml:space="preserve"> </w:t>
                            </w:r>
                            <w:r>
                              <w:rPr>
                                <w:rFonts w:ascii="Arial MT"/>
                                <w:color w:val="0000FF"/>
                                <w:w w:val="105"/>
                                <w:sz w:val="11"/>
                              </w:rPr>
                              <w:t>provided at</w:t>
                            </w:r>
                            <w:r>
                              <w:rPr>
                                <w:rFonts w:ascii="Arial MT"/>
                                <w:color w:val="0000FF"/>
                                <w:spacing w:val="-1"/>
                                <w:w w:val="105"/>
                                <w:sz w:val="11"/>
                              </w:rPr>
                              <w:t xml:space="preserve"> </w:t>
                            </w:r>
                            <w:r>
                              <w:rPr>
                                <w:rFonts w:ascii="Arial MT"/>
                                <w:color w:val="0000FF"/>
                                <w:w w:val="105"/>
                                <w:sz w:val="11"/>
                              </w:rPr>
                              <w:t>the head of</w:t>
                            </w:r>
                            <w:r>
                              <w:rPr>
                                <w:rFonts w:ascii="Arial MT"/>
                                <w:color w:val="0000FF"/>
                                <w:spacing w:val="-1"/>
                                <w:w w:val="105"/>
                                <w:sz w:val="11"/>
                              </w:rPr>
                              <w:t xml:space="preserve"> </w:t>
                            </w:r>
                            <w:r>
                              <w:rPr>
                                <w:rFonts w:ascii="Arial MT"/>
                                <w:color w:val="0000FF"/>
                                <w:w w:val="105"/>
                                <w:sz w:val="11"/>
                              </w:rPr>
                              <w:t>the</w:t>
                            </w:r>
                            <w:r>
                              <w:rPr>
                                <w:rFonts w:ascii="Arial MT"/>
                                <w:color w:val="0000FF"/>
                                <w:spacing w:val="40"/>
                                <w:w w:val="105"/>
                                <w:sz w:val="11"/>
                              </w:rPr>
                              <w:t xml:space="preserve"> </w:t>
                            </w:r>
                            <w:r>
                              <w:rPr>
                                <w:rFonts w:ascii="Arial MT"/>
                                <w:color w:val="0000FF"/>
                                <w:spacing w:val="-2"/>
                                <w:w w:val="105"/>
                                <w:sz w:val="11"/>
                              </w:rPr>
                              <w:t>drainage</w:t>
                            </w:r>
                          </w:p>
                          <w:p w:rsidR="00883FED" w:rsidRDefault="00883FED">
                            <w:pPr>
                              <w:pStyle w:val="TableParagraph"/>
                              <w:spacing w:before="128"/>
                              <w:ind w:left="86"/>
                              <w:rPr>
                                <w:rFonts w:ascii="Arial MT"/>
                                <w:sz w:val="17"/>
                              </w:rPr>
                            </w:pPr>
                            <w:r>
                              <w:rPr>
                                <w:rFonts w:ascii="Arial MT"/>
                                <w:color w:val="0000FF"/>
                                <w:spacing w:val="-2"/>
                                <w:sz w:val="17"/>
                              </w:rPr>
                              <w:t>Electrical</w:t>
                            </w:r>
                          </w:p>
                          <w:p w:rsidR="00883FED" w:rsidRDefault="00883FED">
                            <w:pPr>
                              <w:pStyle w:val="TableParagraph"/>
                              <w:spacing w:before="9"/>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conduits</w:t>
                            </w:r>
                            <w:r>
                              <w:rPr>
                                <w:rFonts w:ascii="Arial MT"/>
                                <w:color w:val="0000FF"/>
                                <w:spacing w:val="1"/>
                                <w:w w:val="105"/>
                                <w:sz w:val="11"/>
                              </w:rPr>
                              <w:t xml:space="preserve"> </w:t>
                            </w:r>
                            <w:r>
                              <w:rPr>
                                <w:rFonts w:ascii="Arial MT"/>
                                <w:color w:val="0000FF"/>
                                <w:w w:val="105"/>
                                <w:sz w:val="11"/>
                              </w:rPr>
                              <w:t>must be</w:t>
                            </w:r>
                            <w:r>
                              <w:rPr>
                                <w:rFonts w:ascii="Arial MT"/>
                                <w:color w:val="0000FF"/>
                                <w:spacing w:val="-1"/>
                                <w:w w:val="105"/>
                                <w:sz w:val="11"/>
                              </w:rPr>
                              <w:t xml:space="preserve"> </w:t>
                            </w:r>
                            <w:r>
                              <w:rPr>
                                <w:rFonts w:ascii="Arial MT"/>
                                <w:color w:val="0000FF"/>
                                <w:w w:val="105"/>
                                <w:sz w:val="11"/>
                              </w:rPr>
                              <w:t>laid</w:t>
                            </w:r>
                            <w:r>
                              <w:rPr>
                                <w:rFonts w:ascii="Arial MT"/>
                                <w:color w:val="0000FF"/>
                                <w:spacing w:val="-1"/>
                                <w:w w:val="105"/>
                                <w:sz w:val="11"/>
                              </w:rPr>
                              <w:t xml:space="preserve"> </w:t>
                            </w:r>
                            <w:r>
                              <w:rPr>
                                <w:rFonts w:ascii="Arial MT"/>
                                <w:color w:val="0000FF"/>
                                <w:w w:val="105"/>
                                <w:sz w:val="11"/>
                              </w:rPr>
                              <w:t xml:space="preserve">before </w:t>
                            </w:r>
                            <w:r>
                              <w:rPr>
                                <w:rFonts w:ascii="Arial MT"/>
                                <w:color w:val="0000FF"/>
                                <w:spacing w:val="-2"/>
                                <w:w w:val="105"/>
                                <w:sz w:val="11"/>
                              </w:rPr>
                              <w:t>plastering</w:t>
                            </w:r>
                          </w:p>
                          <w:p w:rsidR="00883FED" w:rsidRDefault="00883FED">
                            <w:pPr>
                              <w:pStyle w:val="TableParagraph"/>
                              <w:spacing w:before="8"/>
                              <w:ind w:left="8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electrical</w:t>
                            </w:r>
                            <w:r>
                              <w:rPr>
                                <w:rFonts w:ascii="Arial MT"/>
                                <w:color w:val="0000FF"/>
                                <w:spacing w:val="2"/>
                                <w:w w:val="105"/>
                                <w:sz w:val="11"/>
                              </w:rPr>
                              <w:t xml:space="preserve"> </w:t>
                            </w:r>
                            <w:r>
                              <w:rPr>
                                <w:rFonts w:ascii="Arial MT"/>
                                <w:color w:val="0000FF"/>
                                <w:w w:val="105"/>
                                <w:sz w:val="11"/>
                              </w:rPr>
                              <w:t>works</w:t>
                            </w:r>
                            <w:r>
                              <w:rPr>
                                <w:rFonts w:ascii="Arial MT"/>
                                <w:color w:val="0000FF"/>
                                <w:spacing w:val="2"/>
                                <w:w w:val="105"/>
                                <w:sz w:val="11"/>
                              </w:rPr>
                              <w:t xml:space="preserve"> </w:t>
                            </w:r>
                            <w:r>
                              <w:rPr>
                                <w:rFonts w:ascii="Arial MT"/>
                                <w:color w:val="0000FF"/>
                                <w:w w:val="105"/>
                                <w:sz w:val="11"/>
                              </w:rPr>
                              <w:t>to</w:t>
                            </w:r>
                            <w:r>
                              <w:rPr>
                                <w:rFonts w:ascii="Arial MT"/>
                                <w:color w:val="0000FF"/>
                                <w:spacing w:val="-2"/>
                                <w:w w:val="105"/>
                                <w:sz w:val="11"/>
                              </w:rPr>
                              <w:t xml:space="preserve"> </w:t>
                            </w:r>
                            <w:proofErr w:type="gramStart"/>
                            <w:r>
                              <w:rPr>
                                <w:rFonts w:ascii="Arial MT"/>
                                <w:color w:val="0000FF"/>
                                <w:w w:val="105"/>
                                <w:sz w:val="11"/>
                              </w:rPr>
                              <w:t>E.E's</w:t>
                            </w:r>
                            <w:proofErr w:type="gramEnd"/>
                            <w:r>
                              <w:rPr>
                                <w:rFonts w:ascii="Arial MT"/>
                                <w:color w:val="0000FF"/>
                                <w:spacing w:val="-2"/>
                                <w:w w:val="105"/>
                                <w:sz w:val="11"/>
                              </w:rPr>
                              <w:t xml:space="preserve"> details</w:t>
                            </w:r>
                          </w:p>
                          <w:p w:rsidR="00883FED" w:rsidRDefault="00883FED">
                            <w:pPr>
                              <w:pStyle w:val="TableParagraph"/>
                              <w:spacing w:before="98"/>
                              <w:ind w:left="86"/>
                              <w:rPr>
                                <w:rFonts w:ascii="Arial MT"/>
                                <w:sz w:val="17"/>
                              </w:rPr>
                            </w:pPr>
                            <w:r>
                              <w:rPr>
                                <w:rFonts w:ascii="Arial MT"/>
                                <w:color w:val="0000FF"/>
                                <w:sz w:val="17"/>
                              </w:rPr>
                              <w:t>Fire</w:t>
                            </w:r>
                            <w:r>
                              <w:rPr>
                                <w:rFonts w:ascii="Arial MT"/>
                                <w:color w:val="0000FF"/>
                                <w:spacing w:val="1"/>
                                <w:sz w:val="17"/>
                              </w:rPr>
                              <w:t xml:space="preserve"> </w:t>
                            </w:r>
                            <w:r>
                              <w:rPr>
                                <w:rFonts w:ascii="Arial MT"/>
                                <w:color w:val="0000FF"/>
                                <w:spacing w:val="-2"/>
                                <w:sz w:val="17"/>
                              </w:rPr>
                              <w:t>Notes</w:t>
                            </w:r>
                          </w:p>
                          <w:p w:rsidR="00883FED" w:rsidRDefault="00883FED">
                            <w:pPr>
                              <w:pStyle w:val="TableParagraph"/>
                              <w:spacing w:before="9" w:line="316" w:lineRule="auto"/>
                              <w:ind w:left="86" w:right="594"/>
                              <w:rPr>
                                <w:rFonts w:ascii="Arial MT"/>
                                <w:sz w:val="11"/>
                              </w:rPr>
                            </w:pPr>
                            <w:r>
                              <w:rPr>
                                <w:rFonts w:ascii="Arial MT"/>
                                <w:color w:val="0000FF"/>
                                <w:w w:val="105"/>
                                <w:sz w:val="11"/>
                              </w:rPr>
                              <w:t>-All</w:t>
                            </w:r>
                            <w:r>
                              <w:rPr>
                                <w:rFonts w:ascii="Arial MT"/>
                                <w:color w:val="0000FF"/>
                                <w:spacing w:val="-9"/>
                                <w:w w:val="105"/>
                                <w:sz w:val="11"/>
                              </w:rPr>
                              <w:t xml:space="preserve"> </w:t>
                            </w:r>
                            <w:r>
                              <w:rPr>
                                <w:rFonts w:ascii="Arial MT"/>
                                <w:color w:val="0000FF"/>
                                <w:w w:val="105"/>
                                <w:sz w:val="11"/>
                              </w:rPr>
                              <w:t>exit</w:t>
                            </w:r>
                            <w:r>
                              <w:rPr>
                                <w:rFonts w:ascii="Arial MT"/>
                                <w:color w:val="0000FF"/>
                                <w:spacing w:val="-8"/>
                                <w:w w:val="105"/>
                                <w:sz w:val="11"/>
                              </w:rPr>
                              <w:t xml:space="preserve"> </w:t>
                            </w:r>
                            <w:r>
                              <w:rPr>
                                <w:rFonts w:ascii="Arial MT"/>
                                <w:color w:val="0000FF"/>
                                <w:w w:val="105"/>
                                <w:sz w:val="11"/>
                              </w:rPr>
                              <w:t>doors</w:t>
                            </w:r>
                            <w:r>
                              <w:rPr>
                                <w:rFonts w:ascii="Arial MT"/>
                                <w:color w:val="0000FF"/>
                                <w:spacing w:val="-8"/>
                                <w:w w:val="105"/>
                                <w:sz w:val="11"/>
                              </w:rPr>
                              <w:t xml:space="preserve"> </w:t>
                            </w:r>
                            <w:r>
                              <w:rPr>
                                <w:rFonts w:ascii="Arial MT"/>
                                <w:color w:val="0000FF"/>
                                <w:w w:val="105"/>
                                <w:sz w:val="11"/>
                              </w:rPr>
                              <w:t>should</w:t>
                            </w:r>
                            <w:r>
                              <w:rPr>
                                <w:rFonts w:ascii="Arial MT"/>
                                <w:color w:val="0000FF"/>
                                <w:spacing w:val="-8"/>
                                <w:w w:val="105"/>
                                <w:sz w:val="11"/>
                              </w:rPr>
                              <w:t xml:space="preserve"> </w:t>
                            </w:r>
                            <w:r>
                              <w:rPr>
                                <w:rFonts w:ascii="Arial MT"/>
                                <w:color w:val="0000FF"/>
                                <w:w w:val="105"/>
                                <w:sz w:val="11"/>
                              </w:rPr>
                              <w:t>be</w:t>
                            </w:r>
                            <w:r>
                              <w:rPr>
                                <w:rFonts w:ascii="Arial MT"/>
                                <w:color w:val="0000FF"/>
                                <w:spacing w:val="-8"/>
                                <w:w w:val="105"/>
                                <w:sz w:val="11"/>
                              </w:rPr>
                              <w:t xml:space="preserve"> </w:t>
                            </w:r>
                            <w:r>
                              <w:rPr>
                                <w:rFonts w:ascii="Arial MT"/>
                                <w:color w:val="0000FF"/>
                                <w:w w:val="105"/>
                                <w:sz w:val="11"/>
                              </w:rPr>
                              <w:t>well</w:t>
                            </w:r>
                            <w:r>
                              <w:rPr>
                                <w:rFonts w:ascii="Arial MT"/>
                                <w:color w:val="0000FF"/>
                                <w:spacing w:val="-8"/>
                                <w:w w:val="105"/>
                                <w:sz w:val="11"/>
                              </w:rPr>
                              <w:t xml:space="preserve"> </w:t>
                            </w:r>
                            <w:r>
                              <w:rPr>
                                <w:rFonts w:ascii="Arial MT"/>
                                <w:color w:val="0000FF"/>
                                <w:w w:val="105"/>
                                <w:sz w:val="11"/>
                              </w:rPr>
                              <w:t>labelled</w:t>
                            </w:r>
                            <w:r>
                              <w:rPr>
                                <w:rFonts w:ascii="Arial MT"/>
                                <w:color w:val="0000FF"/>
                                <w:spacing w:val="-8"/>
                                <w:w w:val="105"/>
                                <w:sz w:val="11"/>
                              </w:rPr>
                              <w:t xml:space="preserve"> </w:t>
                            </w:r>
                            <w:r>
                              <w:rPr>
                                <w:rFonts w:ascii="Arial MT"/>
                                <w:color w:val="0000FF"/>
                                <w:w w:val="105"/>
                                <w:sz w:val="11"/>
                              </w:rPr>
                              <w:t>and</w:t>
                            </w:r>
                            <w:r>
                              <w:rPr>
                                <w:rFonts w:ascii="Arial MT"/>
                                <w:color w:val="0000FF"/>
                                <w:spacing w:val="-8"/>
                                <w:w w:val="105"/>
                                <w:sz w:val="11"/>
                              </w:rPr>
                              <w:t xml:space="preserve"> </w:t>
                            </w:r>
                            <w:r>
                              <w:rPr>
                                <w:rFonts w:ascii="Arial MT"/>
                                <w:color w:val="0000FF"/>
                                <w:w w:val="105"/>
                                <w:sz w:val="11"/>
                              </w:rPr>
                              <w:t>directions</w:t>
                            </w:r>
                            <w:r>
                              <w:rPr>
                                <w:rFonts w:ascii="Arial MT"/>
                                <w:color w:val="0000FF"/>
                                <w:spacing w:val="-8"/>
                                <w:w w:val="105"/>
                                <w:sz w:val="11"/>
                              </w:rPr>
                              <w:t xml:space="preserve"> </w:t>
                            </w:r>
                            <w:r>
                              <w:rPr>
                                <w:rFonts w:ascii="Arial MT"/>
                                <w:color w:val="0000FF"/>
                                <w:w w:val="105"/>
                                <w:sz w:val="11"/>
                              </w:rPr>
                              <w:t>shown</w:t>
                            </w:r>
                            <w:r>
                              <w:rPr>
                                <w:rFonts w:ascii="Arial MT"/>
                                <w:color w:val="0000FF"/>
                                <w:spacing w:val="40"/>
                                <w:w w:val="105"/>
                                <w:sz w:val="11"/>
                              </w:rPr>
                              <w:t xml:space="preserve"> </w:t>
                            </w:r>
                            <w:r>
                              <w:rPr>
                                <w:rFonts w:ascii="Arial MT"/>
                                <w:color w:val="0000FF"/>
                                <w:w w:val="105"/>
                                <w:sz w:val="11"/>
                              </w:rPr>
                              <w:t>on all floors.</w:t>
                            </w:r>
                          </w:p>
                          <w:p w:rsidR="00883FED" w:rsidRDefault="00883FED">
                            <w:pPr>
                              <w:pStyle w:val="TableParagraph"/>
                              <w:spacing w:line="316" w:lineRule="auto"/>
                              <w:ind w:left="86" w:right="936"/>
                              <w:rPr>
                                <w:rFonts w:ascii="Arial MT"/>
                                <w:sz w:val="11"/>
                              </w:rPr>
                            </w:pPr>
                            <w:r>
                              <w:rPr>
                                <w:rFonts w:ascii="Arial MT"/>
                                <w:color w:val="0000FF"/>
                                <w:w w:val="105"/>
                                <w:sz w:val="11"/>
                              </w:rPr>
                              <w:t>-Pressurized</w:t>
                            </w:r>
                            <w:r>
                              <w:rPr>
                                <w:rFonts w:ascii="Arial MT"/>
                                <w:color w:val="0000FF"/>
                                <w:spacing w:val="-9"/>
                                <w:w w:val="105"/>
                                <w:sz w:val="11"/>
                              </w:rPr>
                              <w:t xml:space="preserve"> </w:t>
                            </w:r>
                            <w:r>
                              <w:rPr>
                                <w:rFonts w:ascii="Arial MT"/>
                                <w:color w:val="0000FF"/>
                                <w:w w:val="105"/>
                                <w:sz w:val="11"/>
                              </w:rPr>
                              <w:t>fire</w:t>
                            </w:r>
                            <w:r>
                              <w:rPr>
                                <w:rFonts w:ascii="Arial MT"/>
                                <w:color w:val="0000FF"/>
                                <w:spacing w:val="-8"/>
                                <w:w w:val="105"/>
                                <w:sz w:val="11"/>
                              </w:rPr>
                              <w:t xml:space="preserve"> </w:t>
                            </w:r>
                            <w:r>
                              <w:rPr>
                                <w:rFonts w:ascii="Arial MT"/>
                                <w:color w:val="0000FF"/>
                                <w:w w:val="105"/>
                                <w:sz w:val="11"/>
                              </w:rPr>
                              <w:t>extinguishers</w:t>
                            </w:r>
                            <w:r>
                              <w:rPr>
                                <w:rFonts w:ascii="Arial MT"/>
                                <w:color w:val="0000FF"/>
                                <w:spacing w:val="-8"/>
                                <w:w w:val="105"/>
                                <w:sz w:val="11"/>
                              </w:rPr>
                              <w:t xml:space="preserve"> </w:t>
                            </w:r>
                            <w:r>
                              <w:rPr>
                                <w:rFonts w:ascii="Arial MT"/>
                                <w:color w:val="0000FF"/>
                                <w:w w:val="105"/>
                                <w:sz w:val="11"/>
                              </w:rPr>
                              <w:t>should</w:t>
                            </w:r>
                            <w:r>
                              <w:rPr>
                                <w:rFonts w:ascii="Arial MT"/>
                                <w:color w:val="0000FF"/>
                                <w:spacing w:val="-8"/>
                                <w:w w:val="105"/>
                                <w:sz w:val="11"/>
                              </w:rPr>
                              <w:t xml:space="preserve"> </w:t>
                            </w:r>
                            <w:r>
                              <w:rPr>
                                <w:rFonts w:ascii="Arial MT"/>
                                <w:color w:val="0000FF"/>
                                <w:w w:val="105"/>
                                <w:sz w:val="11"/>
                              </w:rPr>
                              <w:t>be</w:t>
                            </w:r>
                            <w:r>
                              <w:rPr>
                                <w:rFonts w:ascii="Arial MT"/>
                                <w:color w:val="0000FF"/>
                                <w:spacing w:val="-8"/>
                                <w:w w:val="105"/>
                                <w:sz w:val="11"/>
                              </w:rPr>
                              <w:t xml:space="preserve"> </w:t>
                            </w:r>
                            <w:r>
                              <w:rPr>
                                <w:rFonts w:ascii="Arial MT"/>
                                <w:color w:val="0000FF"/>
                                <w:w w:val="105"/>
                                <w:sz w:val="11"/>
                              </w:rPr>
                              <w:t>installed</w:t>
                            </w:r>
                            <w:r>
                              <w:rPr>
                                <w:rFonts w:ascii="Arial MT"/>
                                <w:color w:val="0000FF"/>
                                <w:spacing w:val="-8"/>
                                <w:w w:val="105"/>
                                <w:sz w:val="11"/>
                              </w:rPr>
                              <w:t xml:space="preserve"> </w:t>
                            </w:r>
                            <w:r>
                              <w:rPr>
                                <w:rFonts w:ascii="Arial MT"/>
                                <w:color w:val="0000FF"/>
                                <w:w w:val="105"/>
                                <w:sz w:val="11"/>
                              </w:rPr>
                              <w:t>of</w:t>
                            </w:r>
                            <w:r>
                              <w:rPr>
                                <w:rFonts w:ascii="Arial MT"/>
                                <w:color w:val="0000FF"/>
                                <w:spacing w:val="40"/>
                                <w:w w:val="105"/>
                                <w:sz w:val="11"/>
                              </w:rPr>
                              <w:t xml:space="preserve"> </w:t>
                            </w:r>
                            <w:r>
                              <w:rPr>
                                <w:rFonts w:ascii="Arial MT"/>
                                <w:color w:val="0000FF"/>
                                <w:w w:val="105"/>
                                <w:sz w:val="11"/>
                              </w:rPr>
                              <w:t xml:space="preserve">(9 </w:t>
                            </w:r>
                            <w:proofErr w:type="spellStart"/>
                            <w:r>
                              <w:rPr>
                                <w:rFonts w:ascii="Arial MT"/>
                                <w:color w:val="0000FF"/>
                                <w:w w:val="105"/>
                                <w:sz w:val="11"/>
                              </w:rPr>
                              <w:t>litre</w:t>
                            </w:r>
                            <w:proofErr w:type="spellEnd"/>
                            <w:r>
                              <w:rPr>
                                <w:rFonts w:ascii="Arial MT"/>
                                <w:color w:val="0000FF"/>
                                <w:w w:val="105"/>
                                <w:sz w:val="11"/>
                              </w:rPr>
                              <w:t xml:space="preserve"> 13A</w:t>
                            </w:r>
                            <w:r>
                              <w:rPr>
                                <w:rFonts w:ascii="Arial MT"/>
                                <w:color w:val="0000FF"/>
                                <w:spacing w:val="-1"/>
                                <w:w w:val="105"/>
                                <w:sz w:val="11"/>
                              </w:rPr>
                              <w:t xml:space="preserve"> </w:t>
                            </w:r>
                            <w:r>
                              <w:rPr>
                                <w:rFonts w:ascii="Arial MT"/>
                                <w:color w:val="0000FF"/>
                                <w:w w:val="105"/>
                                <w:sz w:val="11"/>
                              </w:rPr>
                              <w:t xml:space="preserve">55B </w:t>
                            </w:r>
                            <w:proofErr w:type="spellStart"/>
                            <w:r>
                              <w:rPr>
                                <w:rFonts w:ascii="Arial MT"/>
                                <w:color w:val="0000FF"/>
                                <w:w w:val="105"/>
                                <w:sz w:val="11"/>
                              </w:rPr>
                              <w:t>Foarm</w:t>
                            </w:r>
                            <w:proofErr w:type="spellEnd"/>
                            <w:r>
                              <w:rPr>
                                <w:rFonts w:ascii="Arial MT"/>
                                <w:color w:val="0000FF"/>
                                <w:w w:val="105"/>
                                <w:sz w:val="11"/>
                              </w:rPr>
                              <w:t>, 10litres 8A</w:t>
                            </w:r>
                            <w:r>
                              <w:rPr>
                                <w:rFonts w:ascii="Arial MT"/>
                                <w:color w:val="0000FF"/>
                                <w:spacing w:val="-10"/>
                                <w:w w:val="105"/>
                                <w:sz w:val="11"/>
                              </w:rPr>
                              <w:t xml:space="preserve"> </w:t>
                            </w:r>
                            <w:r>
                              <w:rPr>
                                <w:rFonts w:ascii="Arial MT"/>
                                <w:color w:val="0000FF"/>
                                <w:w w:val="105"/>
                                <w:sz w:val="11"/>
                              </w:rPr>
                              <w:t>water or</w:t>
                            </w:r>
                          </w:p>
                          <w:p w:rsidR="00883FED" w:rsidRDefault="00883FED">
                            <w:pPr>
                              <w:pStyle w:val="TableParagraph"/>
                              <w:spacing w:line="126" w:lineRule="exact"/>
                              <w:ind w:left="86"/>
                              <w:rPr>
                                <w:rFonts w:ascii="Arial MT"/>
                                <w:sz w:val="11"/>
                              </w:rPr>
                            </w:pPr>
                            <w:r>
                              <w:rPr>
                                <w:rFonts w:ascii="Arial MT"/>
                                <w:color w:val="0000FF"/>
                                <w:w w:val="105"/>
                                <w:sz w:val="11"/>
                              </w:rPr>
                              <w:t>5kg</w:t>
                            </w:r>
                            <w:r>
                              <w:rPr>
                                <w:rFonts w:ascii="Arial MT"/>
                                <w:color w:val="0000FF"/>
                                <w:spacing w:val="-3"/>
                                <w:w w:val="105"/>
                                <w:sz w:val="11"/>
                              </w:rPr>
                              <w:t xml:space="preserve"> </w:t>
                            </w:r>
                            <w:r>
                              <w:rPr>
                                <w:rFonts w:ascii="Arial MT"/>
                                <w:color w:val="0000FF"/>
                                <w:w w:val="105"/>
                                <w:sz w:val="11"/>
                              </w:rPr>
                              <w:t>5A</w:t>
                            </w:r>
                            <w:r>
                              <w:rPr>
                                <w:rFonts w:ascii="Arial MT"/>
                                <w:color w:val="0000FF"/>
                                <w:spacing w:val="-7"/>
                                <w:w w:val="105"/>
                                <w:sz w:val="11"/>
                              </w:rPr>
                              <w:t xml:space="preserve"> </w:t>
                            </w:r>
                            <w:r>
                              <w:rPr>
                                <w:rFonts w:ascii="Arial MT"/>
                                <w:color w:val="0000FF"/>
                                <w:w w:val="105"/>
                                <w:sz w:val="11"/>
                              </w:rPr>
                              <w:t>134B</w:t>
                            </w:r>
                            <w:r>
                              <w:rPr>
                                <w:rFonts w:ascii="Arial MT"/>
                                <w:color w:val="0000FF"/>
                                <w:spacing w:val="-5"/>
                                <w:w w:val="105"/>
                                <w:sz w:val="11"/>
                              </w:rPr>
                              <w:t xml:space="preserve"> </w:t>
                            </w:r>
                            <w:r>
                              <w:rPr>
                                <w:rFonts w:ascii="Arial MT"/>
                                <w:color w:val="0000FF"/>
                                <w:w w:val="105"/>
                                <w:sz w:val="11"/>
                              </w:rPr>
                              <w:t>C</w:t>
                            </w:r>
                            <w:r>
                              <w:rPr>
                                <w:rFonts w:ascii="Arial MT"/>
                                <w:color w:val="0000FF"/>
                                <w:spacing w:val="-5"/>
                                <w:w w:val="105"/>
                                <w:sz w:val="11"/>
                              </w:rPr>
                              <w:t xml:space="preserve"> </w:t>
                            </w:r>
                            <w:r>
                              <w:rPr>
                                <w:rFonts w:ascii="Arial MT"/>
                                <w:color w:val="0000FF"/>
                                <w:w w:val="105"/>
                                <w:sz w:val="11"/>
                              </w:rPr>
                              <w:t>powder)</w:t>
                            </w:r>
                            <w:r>
                              <w:rPr>
                                <w:rFonts w:ascii="Arial MT"/>
                                <w:color w:val="0000FF"/>
                                <w:spacing w:val="-2"/>
                                <w:w w:val="105"/>
                                <w:sz w:val="11"/>
                              </w:rPr>
                              <w:t xml:space="preserve"> </w:t>
                            </w:r>
                            <w:r>
                              <w:rPr>
                                <w:rFonts w:ascii="Arial MT"/>
                                <w:color w:val="0000FF"/>
                                <w:w w:val="105"/>
                                <w:sz w:val="11"/>
                              </w:rPr>
                              <w:t>or</w:t>
                            </w:r>
                            <w:r>
                              <w:rPr>
                                <w:rFonts w:ascii="Arial MT"/>
                                <w:color w:val="0000FF"/>
                                <w:spacing w:val="-3"/>
                                <w:w w:val="105"/>
                                <w:sz w:val="11"/>
                              </w:rPr>
                              <w:t xml:space="preserve"> </w:t>
                            </w:r>
                            <w:r>
                              <w:rPr>
                                <w:rFonts w:ascii="Arial MT"/>
                                <w:color w:val="0000FF"/>
                                <w:spacing w:val="-2"/>
                                <w:w w:val="105"/>
                                <w:sz w:val="11"/>
                              </w:rPr>
                              <w:t>above.</w:t>
                            </w:r>
                          </w:p>
                          <w:p w:rsidR="00883FED" w:rsidRDefault="00883FED">
                            <w:pPr>
                              <w:pStyle w:val="TableParagraph"/>
                              <w:spacing w:before="39" w:line="316" w:lineRule="auto"/>
                              <w:ind w:left="86" w:right="864"/>
                              <w:rPr>
                                <w:rFonts w:ascii="Arial MT"/>
                                <w:sz w:val="11"/>
                              </w:rPr>
                            </w:pPr>
                            <w:r>
                              <w:rPr>
                                <w:rFonts w:ascii="Arial MT"/>
                                <w:color w:val="0000FF"/>
                                <w:w w:val="105"/>
                                <w:sz w:val="11"/>
                              </w:rPr>
                              <w:t>-5000</w:t>
                            </w:r>
                            <w:r>
                              <w:rPr>
                                <w:rFonts w:ascii="Arial MT"/>
                                <w:color w:val="0000FF"/>
                                <w:spacing w:val="-4"/>
                                <w:w w:val="105"/>
                                <w:sz w:val="11"/>
                              </w:rPr>
                              <w:t xml:space="preserve"> </w:t>
                            </w:r>
                            <w:proofErr w:type="spellStart"/>
                            <w:r>
                              <w:rPr>
                                <w:rFonts w:ascii="Arial MT"/>
                                <w:color w:val="0000FF"/>
                                <w:w w:val="105"/>
                                <w:sz w:val="11"/>
                              </w:rPr>
                              <w:t>litres</w:t>
                            </w:r>
                            <w:proofErr w:type="spellEnd"/>
                            <w:r>
                              <w:rPr>
                                <w:rFonts w:ascii="Arial MT"/>
                                <w:color w:val="0000FF"/>
                                <w:spacing w:val="-7"/>
                                <w:w w:val="105"/>
                                <w:sz w:val="11"/>
                              </w:rPr>
                              <w:t xml:space="preserve"> </w:t>
                            </w:r>
                            <w:r>
                              <w:rPr>
                                <w:rFonts w:ascii="Arial MT"/>
                                <w:color w:val="0000FF"/>
                                <w:w w:val="105"/>
                                <w:sz w:val="11"/>
                              </w:rPr>
                              <w:t>water</w:t>
                            </w:r>
                            <w:r>
                              <w:rPr>
                                <w:rFonts w:ascii="Arial MT"/>
                                <w:color w:val="0000FF"/>
                                <w:spacing w:val="-7"/>
                                <w:w w:val="105"/>
                                <w:sz w:val="11"/>
                              </w:rPr>
                              <w:t xml:space="preserve"> </w:t>
                            </w:r>
                            <w:r>
                              <w:rPr>
                                <w:rFonts w:ascii="Arial MT"/>
                                <w:color w:val="0000FF"/>
                                <w:w w:val="105"/>
                                <w:sz w:val="11"/>
                              </w:rPr>
                              <w:t>tank</w:t>
                            </w:r>
                            <w:r>
                              <w:rPr>
                                <w:rFonts w:ascii="Arial MT"/>
                                <w:color w:val="0000FF"/>
                                <w:spacing w:val="-7"/>
                                <w:w w:val="105"/>
                                <w:sz w:val="11"/>
                              </w:rPr>
                              <w:t xml:space="preserve"> </w:t>
                            </w:r>
                            <w:r>
                              <w:rPr>
                                <w:rFonts w:ascii="Arial MT"/>
                                <w:color w:val="0000FF"/>
                                <w:w w:val="105"/>
                                <w:sz w:val="11"/>
                              </w:rPr>
                              <w:t>or</w:t>
                            </w:r>
                            <w:r>
                              <w:rPr>
                                <w:rFonts w:ascii="Arial MT"/>
                                <w:color w:val="0000FF"/>
                                <w:spacing w:val="-7"/>
                                <w:w w:val="105"/>
                                <w:sz w:val="11"/>
                              </w:rPr>
                              <w:t xml:space="preserve"> </w:t>
                            </w:r>
                            <w:r>
                              <w:rPr>
                                <w:rFonts w:ascii="Arial MT"/>
                                <w:color w:val="0000FF"/>
                                <w:w w:val="105"/>
                                <w:sz w:val="11"/>
                              </w:rPr>
                              <w:t>above</w:t>
                            </w:r>
                            <w:r>
                              <w:rPr>
                                <w:rFonts w:ascii="Arial MT"/>
                                <w:color w:val="0000FF"/>
                                <w:spacing w:val="-7"/>
                                <w:w w:val="105"/>
                                <w:sz w:val="11"/>
                              </w:rPr>
                              <w:t xml:space="preserve"> </w:t>
                            </w:r>
                            <w:r>
                              <w:rPr>
                                <w:rFonts w:ascii="Arial MT"/>
                                <w:color w:val="0000FF"/>
                                <w:w w:val="105"/>
                                <w:sz w:val="11"/>
                              </w:rPr>
                              <w:t>plus</w:t>
                            </w:r>
                            <w:r>
                              <w:rPr>
                                <w:rFonts w:ascii="Arial MT"/>
                                <w:color w:val="0000FF"/>
                                <w:spacing w:val="-7"/>
                                <w:w w:val="105"/>
                                <w:sz w:val="11"/>
                              </w:rPr>
                              <w:t xml:space="preserve"> </w:t>
                            </w:r>
                            <w:r>
                              <w:rPr>
                                <w:rFonts w:ascii="Arial MT"/>
                                <w:color w:val="0000FF"/>
                                <w:w w:val="105"/>
                                <w:sz w:val="11"/>
                              </w:rPr>
                              <w:t>a</w:t>
                            </w:r>
                            <w:r>
                              <w:rPr>
                                <w:rFonts w:ascii="Arial MT"/>
                                <w:color w:val="0000FF"/>
                                <w:spacing w:val="-7"/>
                                <w:w w:val="105"/>
                                <w:sz w:val="11"/>
                              </w:rPr>
                              <w:t xml:space="preserve"> </w:t>
                            </w:r>
                            <w:r>
                              <w:rPr>
                                <w:rFonts w:ascii="Arial MT"/>
                                <w:color w:val="0000FF"/>
                                <w:w w:val="105"/>
                                <w:sz w:val="11"/>
                              </w:rPr>
                              <w:t>pressure</w:t>
                            </w:r>
                            <w:r>
                              <w:rPr>
                                <w:rFonts w:ascii="Arial MT"/>
                                <w:color w:val="0000FF"/>
                                <w:spacing w:val="-7"/>
                                <w:w w:val="105"/>
                                <w:sz w:val="11"/>
                              </w:rPr>
                              <w:t xml:space="preserve"> </w:t>
                            </w:r>
                            <w:r>
                              <w:rPr>
                                <w:rFonts w:ascii="Arial MT"/>
                                <w:color w:val="0000FF"/>
                                <w:w w:val="105"/>
                                <w:sz w:val="11"/>
                              </w:rPr>
                              <w:t>pump</w:t>
                            </w:r>
                            <w:r>
                              <w:rPr>
                                <w:rFonts w:ascii="Arial MT"/>
                                <w:color w:val="0000FF"/>
                                <w:spacing w:val="40"/>
                                <w:w w:val="105"/>
                                <w:sz w:val="11"/>
                              </w:rPr>
                              <w:t xml:space="preserve"> </w:t>
                            </w:r>
                            <w:r>
                              <w:rPr>
                                <w:rFonts w:ascii="Arial MT"/>
                                <w:color w:val="0000FF"/>
                                <w:w w:val="105"/>
                                <w:sz w:val="11"/>
                              </w:rPr>
                              <w:t xml:space="preserve">to be installed for use </w:t>
                            </w:r>
                            <w:proofErr w:type="spellStart"/>
                            <w:r>
                              <w:rPr>
                                <w:rFonts w:ascii="Arial MT"/>
                                <w:color w:val="0000FF"/>
                                <w:w w:val="105"/>
                                <w:sz w:val="11"/>
                              </w:rPr>
                              <w:t>incase</w:t>
                            </w:r>
                            <w:proofErr w:type="spellEnd"/>
                            <w:r>
                              <w:rPr>
                                <w:rFonts w:ascii="Arial MT"/>
                                <w:color w:val="0000FF"/>
                                <w:w w:val="105"/>
                                <w:sz w:val="11"/>
                              </w:rPr>
                              <w:t xml:space="preserve"> of fire</w:t>
                            </w:r>
                            <w:r>
                              <w:rPr>
                                <w:rFonts w:ascii="Arial MT"/>
                                <w:color w:val="0000FF"/>
                                <w:spacing w:val="-16"/>
                                <w:w w:val="105"/>
                                <w:sz w:val="11"/>
                              </w:rPr>
                              <w:t xml:space="preserve"> </w:t>
                            </w:r>
                            <w:r>
                              <w:rPr>
                                <w:rFonts w:ascii="Arial MT"/>
                                <w:color w:val="0000FF"/>
                                <w:w w:val="105"/>
                                <w:sz w:val="11"/>
                              </w:rPr>
                              <w:t>.</w:t>
                            </w:r>
                          </w:p>
                        </w:tc>
                      </w:tr>
                      <w:tr w:rsidR="00883FED">
                        <w:trPr>
                          <w:trHeight w:val="218"/>
                        </w:trPr>
                        <w:tc>
                          <w:tcPr>
                            <w:tcW w:w="3742" w:type="dxa"/>
                            <w:gridSpan w:val="8"/>
                          </w:tcPr>
                          <w:p w:rsidR="00883FED" w:rsidRDefault="00883FED">
                            <w:pPr>
                              <w:pStyle w:val="TableParagraph"/>
                              <w:spacing w:before="60" w:line="138" w:lineRule="exact"/>
                              <w:ind w:left="178"/>
                              <w:rPr>
                                <w:rFonts w:ascii="Arial"/>
                                <w:b/>
                                <w:sz w:val="13"/>
                              </w:rPr>
                            </w:pPr>
                            <w:r>
                              <w:rPr>
                                <w:rFonts w:ascii="Arial"/>
                                <w:b/>
                                <w:color w:val="0000FF"/>
                                <w:spacing w:val="-5"/>
                                <w:sz w:val="13"/>
                              </w:rPr>
                              <w:t>KEY</w:t>
                            </w:r>
                          </w:p>
                        </w:tc>
                      </w:tr>
                      <w:tr w:rsidR="00883FED">
                        <w:trPr>
                          <w:trHeight w:val="187"/>
                        </w:trPr>
                        <w:tc>
                          <w:tcPr>
                            <w:tcW w:w="1939" w:type="dxa"/>
                            <w:gridSpan w:val="4"/>
                          </w:tcPr>
                          <w:p w:rsidR="00883FED" w:rsidRDefault="00883FED">
                            <w:pPr>
                              <w:pStyle w:val="TableParagraph"/>
                              <w:spacing w:before="11"/>
                              <w:ind w:left="178"/>
                              <w:rPr>
                                <w:rFonts w:ascii="Arial"/>
                                <w:b/>
                                <w:sz w:val="13"/>
                              </w:rPr>
                            </w:pPr>
                            <w:r>
                              <w:rPr>
                                <w:rFonts w:ascii="Arial"/>
                                <w:b/>
                                <w:color w:val="0000FF"/>
                                <w:sz w:val="13"/>
                              </w:rPr>
                              <w:t>WINDOW</w:t>
                            </w:r>
                            <w:r>
                              <w:rPr>
                                <w:rFonts w:ascii="Arial"/>
                                <w:b/>
                                <w:color w:val="0000FF"/>
                                <w:spacing w:val="-5"/>
                                <w:sz w:val="13"/>
                              </w:rPr>
                              <w:t xml:space="preserve"> </w:t>
                            </w:r>
                            <w:r>
                              <w:rPr>
                                <w:rFonts w:ascii="Arial"/>
                                <w:b/>
                                <w:color w:val="0000FF"/>
                                <w:spacing w:val="-2"/>
                                <w:sz w:val="13"/>
                              </w:rPr>
                              <w:t>SCHEDULES</w:t>
                            </w:r>
                          </w:p>
                        </w:tc>
                        <w:tc>
                          <w:tcPr>
                            <w:tcW w:w="1803" w:type="dxa"/>
                            <w:gridSpan w:val="4"/>
                          </w:tcPr>
                          <w:p w:rsidR="00883FED" w:rsidRDefault="00883FED">
                            <w:pPr>
                              <w:pStyle w:val="TableParagraph"/>
                              <w:spacing w:before="11"/>
                              <w:ind w:left="278"/>
                              <w:rPr>
                                <w:rFonts w:ascii="Arial"/>
                                <w:b/>
                                <w:sz w:val="13"/>
                              </w:rPr>
                            </w:pPr>
                            <w:r>
                              <w:rPr>
                                <w:rFonts w:ascii="Arial"/>
                                <w:b/>
                                <w:color w:val="0000FF"/>
                                <w:sz w:val="13"/>
                              </w:rPr>
                              <w:t>DOOR</w:t>
                            </w:r>
                            <w:r>
                              <w:rPr>
                                <w:rFonts w:ascii="Arial"/>
                                <w:b/>
                                <w:color w:val="0000FF"/>
                                <w:spacing w:val="-3"/>
                                <w:sz w:val="13"/>
                              </w:rPr>
                              <w:t xml:space="preserve"> </w:t>
                            </w:r>
                            <w:r>
                              <w:rPr>
                                <w:rFonts w:ascii="Arial"/>
                                <w:b/>
                                <w:color w:val="0000FF"/>
                                <w:spacing w:val="-2"/>
                                <w:sz w:val="13"/>
                              </w:rPr>
                              <w:t>SCHEDULES</w:t>
                            </w:r>
                          </w:p>
                        </w:tc>
                      </w:tr>
                      <w:tr w:rsidR="00883FED">
                        <w:trPr>
                          <w:trHeight w:val="318"/>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31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31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1206"/>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63"/>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4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4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4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45"/>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52"/>
                        </w:trPr>
                        <w:tc>
                          <w:tcPr>
                            <w:tcW w:w="268" w:type="dxa"/>
                          </w:tcPr>
                          <w:p w:rsidR="00883FED" w:rsidRDefault="00883FED">
                            <w:pPr>
                              <w:pStyle w:val="TableParagraph"/>
                              <w:rPr>
                                <w:rFonts w:ascii="Times New Roman"/>
                                <w:sz w:val="14"/>
                              </w:rPr>
                            </w:pPr>
                          </w:p>
                        </w:tc>
                        <w:tc>
                          <w:tcPr>
                            <w:tcW w:w="1671" w:type="dxa"/>
                            <w:gridSpan w:val="3"/>
                          </w:tcPr>
                          <w:p w:rsidR="00883FED" w:rsidRDefault="00883FED">
                            <w:pPr>
                              <w:pStyle w:val="TableParagraph"/>
                              <w:rPr>
                                <w:rFonts w:ascii="Times New Roman"/>
                                <w:sz w:val="14"/>
                              </w:rPr>
                            </w:pPr>
                          </w:p>
                        </w:tc>
                        <w:tc>
                          <w:tcPr>
                            <w:tcW w:w="295" w:type="dxa"/>
                          </w:tcPr>
                          <w:p w:rsidR="00883FED" w:rsidRDefault="00883FED">
                            <w:pPr>
                              <w:pStyle w:val="TableParagraph"/>
                              <w:rPr>
                                <w:rFonts w:ascii="Times New Roman"/>
                                <w:sz w:val="14"/>
                              </w:rPr>
                            </w:pPr>
                          </w:p>
                        </w:tc>
                        <w:tc>
                          <w:tcPr>
                            <w:tcW w:w="1508" w:type="dxa"/>
                            <w:gridSpan w:val="3"/>
                          </w:tcPr>
                          <w:p w:rsidR="00883FED" w:rsidRDefault="00883FED">
                            <w:pPr>
                              <w:pStyle w:val="TableParagraph"/>
                              <w:rPr>
                                <w:rFonts w:ascii="Times New Roman"/>
                                <w:sz w:val="14"/>
                              </w:rPr>
                            </w:pPr>
                          </w:p>
                        </w:tc>
                      </w:tr>
                      <w:tr w:rsidR="00883FED">
                        <w:trPr>
                          <w:trHeight w:val="280"/>
                        </w:trPr>
                        <w:tc>
                          <w:tcPr>
                            <w:tcW w:w="2765" w:type="dxa"/>
                            <w:gridSpan w:val="6"/>
                          </w:tcPr>
                          <w:p w:rsidR="00883FED" w:rsidRDefault="00883FED">
                            <w:pPr>
                              <w:pStyle w:val="TableParagraph"/>
                              <w:spacing w:before="52"/>
                              <w:ind w:left="178"/>
                              <w:rPr>
                                <w:rFonts w:ascii="Arial"/>
                                <w:b/>
                                <w:sz w:val="13"/>
                              </w:rPr>
                            </w:pPr>
                            <w:r>
                              <w:rPr>
                                <w:rFonts w:ascii="Arial"/>
                                <w:b/>
                                <w:color w:val="0000FF"/>
                                <w:spacing w:val="-2"/>
                                <w:sz w:val="13"/>
                              </w:rPr>
                              <w:t>REVISIONS</w:t>
                            </w:r>
                          </w:p>
                        </w:tc>
                        <w:tc>
                          <w:tcPr>
                            <w:tcW w:w="977" w:type="dxa"/>
                            <w:gridSpan w:val="2"/>
                          </w:tcPr>
                          <w:p w:rsidR="00883FED" w:rsidRDefault="00883FED">
                            <w:pPr>
                              <w:pStyle w:val="TableParagraph"/>
                              <w:rPr>
                                <w:rFonts w:ascii="Times New Roman"/>
                                <w:sz w:val="14"/>
                              </w:rPr>
                            </w:pPr>
                          </w:p>
                        </w:tc>
                      </w:tr>
                      <w:tr w:rsidR="00883FED">
                        <w:trPr>
                          <w:trHeight w:val="311"/>
                        </w:trPr>
                        <w:tc>
                          <w:tcPr>
                            <w:tcW w:w="766" w:type="dxa"/>
                            <w:gridSpan w:val="2"/>
                          </w:tcPr>
                          <w:p w:rsidR="00883FED" w:rsidRDefault="00883FED">
                            <w:pPr>
                              <w:pStyle w:val="TableParagraph"/>
                              <w:spacing w:before="58"/>
                              <w:ind w:left="164"/>
                              <w:rPr>
                                <w:rFonts w:ascii="Arial"/>
                                <w:b/>
                                <w:sz w:val="13"/>
                              </w:rPr>
                            </w:pPr>
                            <w:r>
                              <w:rPr>
                                <w:rFonts w:ascii="Arial"/>
                                <w:b/>
                                <w:color w:val="0000FF"/>
                                <w:spacing w:val="-4"/>
                                <w:sz w:val="13"/>
                              </w:rPr>
                              <w:t>Date</w:t>
                            </w:r>
                          </w:p>
                        </w:tc>
                        <w:tc>
                          <w:tcPr>
                            <w:tcW w:w="1999" w:type="dxa"/>
                            <w:gridSpan w:val="4"/>
                          </w:tcPr>
                          <w:p w:rsidR="00883FED" w:rsidRDefault="00883FED">
                            <w:pPr>
                              <w:pStyle w:val="TableParagraph"/>
                              <w:spacing w:before="97"/>
                              <w:ind w:left="522"/>
                              <w:rPr>
                                <w:rFonts w:ascii="Arial"/>
                                <w:b/>
                                <w:sz w:val="13"/>
                              </w:rPr>
                            </w:pPr>
                            <w:r>
                              <w:rPr>
                                <w:rFonts w:ascii="Arial"/>
                                <w:b/>
                                <w:color w:val="0000FF"/>
                                <w:spacing w:val="-2"/>
                                <w:sz w:val="13"/>
                              </w:rPr>
                              <w:t>Description</w:t>
                            </w:r>
                          </w:p>
                        </w:tc>
                        <w:tc>
                          <w:tcPr>
                            <w:tcW w:w="977" w:type="dxa"/>
                            <w:gridSpan w:val="2"/>
                          </w:tcPr>
                          <w:p w:rsidR="00883FED" w:rsidRDefault="00883FED">
                            <w:pPr>
                              <w:pStyle w:val="TableParagraph"/>
                              <w:spacing w:before="61"/>
                              <w:ind w:left="106"/>
                              <w:rPr>
                                <w:rFonts w:ascii="Arial"/>
                                <w:b/>
                                <w:sz w:val="13"/>
                              </w:rPr>
                            </w:pPr>
                            <w:r>
                              <w:rPr>
                                <w:rFonts w:ascii="Arial"/>
                                <w:b/>
                                <w:color w:val="0000FF"/>
                                <w:spacing w:val="-4"/>
                                <w:sz w:val="13"/>
                              </w:rPr>
                              <w:t>Sign</w:t>
                            </w:r>
                          </w:p>
                        </w:tc>
                      </w:tr>
                      <w:tr w:rsidR="00883FED">
                        <w:trPr>
                          <w:trHeight w:val="928"/>
                        </w:trPr>
                        <w:tc>
                          <w:tcPr>
                            <w:tcW w:w="766" w:type="dxa"/>
                            <w:gridSpan w:val="2"/>
                          </w:tcPr>
                          <w:p w:rsidR="00883FED" w:rsidRDefault="00883FED">
                            <w:pPr>
                              <w:pStyle w:val="TableParagraph"/>
                              <w:rPr>
                                <w:rFonts w:ascii="Times New Roman"/>
                                <w:sz w:val="14"/>
                              </w:rPr>
                            </w:pPr>
                          </w:p>
                        </w:tc>
                        <w:tc>
                          <w:tcPr>
                            <w:tcW w:w="1999" w:type="dxa"/>
                            <w:gridSpan w:val="4"/>
                          </w:tcPr>
                          <w:p w:rsidR="00883FED" w:rsidRDefault="00883FED">
                            <w:pPr>
                              <w:pStyle w:val="TableParagraph"/>
                              <w:rPr>
                                <w:rFonts w:ascii="Times New Roman"/>
                                <w:sz w:val="14"/>
                              </w:rPr>
                            </w:pPr>
                          </w:p>
                        </w:tc>
                        <w:tc>
                          <w:tcPr>
                            <w:tcW w:w="977" w:type="dxa"/>
                            <w:gridSpan w:val="2"/>
                          </w:tcPr>
                          <w:p w:rsidR="00883FED" w:rsidRDefault="00883FED">
                            <w:pPr>
                              <w:pStyle w:val="TableParagraph"/>
                              <w:rPr>
                                <w:rFonts w:ascii="Times New Roman"/>
                                <w:sz w:val="14"/>
                              </w:rPr>
                            </w:pPr>
                          </w:p>
                        </w:tc>
                      </w:tr>
                      <w:tr w:rsidR="00883FED">
                        <w:trPr>
                          <w:trHeight w:val="791"/>
                        </w:trPr>
                        <w:tc>
                          <w:tcPr>
                            <w:tcW w:w="3742" w:type="dxa"/>
                            <w:gridSpan w:val="8"/>
                          </w:tcPr>
                          <w:p w:rsidR="00883FED" w:rsidRDefault="00883FED">
                            <w:pPr>
                              <w:pStyle w:val="TableParagraph"/>
                              <w:spacing w:before="60" w:line="123" w:lineRule="exact"/>
                              <w:ind w:left="82"/>
                              <w:rPr>
                                <w:rFonts w:ascii="Arial MT"/>
                                <w:sz w:val="13"/>
                              </w:rPr>
                            </w:pPr>
                            <w:r>
                              <w:rPr>
                                <w:rFonts w:ascii="Arial MT"/>
                                <w:color w:val="0000FF"/>
                                <w:spacing w:val="-2"/>
                                <w:sz w:val="13"/>
                              </w:rPr>
                              <w:t>Project</w:t>
                            </w:r>
                          </w:p>
                          <w:p w:rsidR="00883FED" w:rsidRDefault="00883FED">
                            <w:pPr>
                              <w:pStyle w:val="TableParagraph"/>
                              <w:spacing w:line="123" w:lineRule="exact"/>
                              <w:ind w:left="340" w:right="2"/>
                              <w:jc w:val="center"/>
                              <w:rPr>
                                <w:rFonts w:ascii="Arial"/>
                                <w:b/>
                                <w:sz w:val="13"/>
                              </w:rPr>
                            </w:pPr>
                            <w:r>
                              <w:rPr>
                                <w:rFonts w:ascii="Arial"/>
                                <w:b/>
                                <w:color w:val="0000FF"/>
                                <w:sz w:val="13"/>
                              </w:rPr>
                              <w:t>PROPOSED</w:t>
                            </w:r>
                            <w:r>
                              <w:rPr>
                                <w:rFonts w:ascii="Arial"/>
                                <w:b/>
                                <w:color w:val="0000FF"/>
                                <w:spacing w:val="-9"/>
                                <w:sz w:val="13"/>
                              </w:rPr>
                              <w:t xml:space="preserve"> </w:t>
                            </w:r>
                            <w:r>
                              <w:rPr>
                                <w:rFonts w:ascii="Arial"/>
                                <w:b/>
                                <w:color w:val="0000FF"/>
                                <w:sz w:val="13"/>
                              </w:rPr>
                              <w:t>REFURBISHMENT</w:t>
                            </w:r>
                            <w:r>
                              <w:rPr>
                                <w:rFonts w:ascii="Arial"/>
                                <w:b/>
                                <w:color w:val="0000FF"/>
                                <w:spacing w:val="-9"/>
                                <w:sz w:val="13"/>
                              </w:rPr>
                              <w:t xml:space="preserve"> </w:t>
                            </w:r>
                            <w:r>
                              <w:rPr>
                                <w:rFonts w:ascii="Arial"/>
                                <w:b/>
                                <w:color w:val="0000FF"/>
                                <w:sz w:val="13"/>
                              </w:rPr>
                              <w:t>WORKS</w:t>
                            </w:r>
                            <w:r>
                              <w:rPr>
                                <w:rFonts w:ascii="Arial"/>
                                <w:b/>
                                <w:color w:val="0000FF"/>
                                <w:spacing w:val="-8"/>
                                <w:sz w:val="13"/>
                              </w:rPr>
                              <w:t xml:space="preserve"> </w:t>
                            </w:r>
                            <w:r>
                              <w:rPr>
                                <w:rFonts w:ascii="Arial"/>
                                <w:b/>
                                <w:color w:val="0000FF"/>
                                <w:spacing w:val="-5"/>
                                <w:sz w:val="13"/>
                              </w:rPr>
                              <w:t>FOR</w:t>
                            </w:r>
                          </w:p>
                          <w:p w:rsidR="00883FED" w:rsidRDefault="00883FED">
                            <w:pPr>
                              <w:pStyle w:val="TableParagraph"/>
                              <w:ind w:left="340"/>
                              <w:jc w:val="center"/>
                              <w:rPr>
                                <w:rFonts w:ascii="Arial"/>
                                <w:b/>
                                <w:sz w:val="13"/>
                              </w:rPr>
                            </w:pPr>
                            <w:r>
                              <w:rPr>
                                <w:rFonts w:ascii="Arial"/>
                                <w:b/>
                                <w:color w:val="0000FF"/>
                                <w:sz w:val="13"/>
                              </w:rPr>
                              <w:t>MAIN</w:t>
                            </w:r>
                            <w:r>
                              <w:rPr>
                                <w:rFonts w:ascii="Arial"/>
                                <w:b/>
                                <w:color w:val="0000FF"/>
                                <w:spacing w:val="-10"/>
                                <w:sz w:val="13"/>
                              </w:rPr>
                              <w:t xml:space="preserve"> </w:t>
                            </w:r>
                            <w:r>
                              <w:rPr>
                                <w:rFonts w:ascii="Arial"/>
                                <w:b/>
                                <w:color w:val="0000FF"/>
                                <w:sz w:val="13"/>
                              </w:rPr>
                              <w:t>THEATRES</w:t>
                            </w:r>
                            <w:r>
                              <w:rPr>
                                <w:rFonts w:ascii="Arial"/>
                                <w:b/>
                                <w:color w:val="0000FF"/>
                                <w:spacing w:val="-9"/>
                                <w:sz w:val="13"/>
                              </w:rPr>
                              <w:t xml:space="preserve"> </w:t>
                            </w:r>
                            <w:r>
                              <w:rPr>
                                <w:rFonts w:ascii="Arial"/>
                                <w:b/>
                                <w:color w:val="0000FF"/>
                                <w:sz w:val="13"/>
                              </w:rPr>
                              <w:t>AT</w:t>
                            </w:r>
                            <w:r>
                              <w:rPr>
                                <w:rFonts w:ascii="Arial"/>
                                <w:b/>
                                <w:color w:val="0000FF"/>
                                <w:spacing w:val="-9"/>
                                <w:sz w:val="13"/>
                              </w:rPr>
                              <w:t xml:space="preserve"> </w:t>
                            </w:r>
                            <w:r>
                              <w:rPr>
                                <w:rFonts w:ascii="Arial"/>
                                <w:b/>
                                <w:color w:val="0000FF"/>
                                <w:sz w:val="13"/>
                              </w:rPr>
                              <w:t>JARAMOGI</w:t>
                            </w:r>
                            <w:r>
                              <w:rPr>
                                <w:rFonts w:ascii="Arial"/>
                                <w:b/>
                                <w:color w:val="0000FF"/>
                                <w:spacing w:val="-9"/>
                                <w:sz w:val="13"/>
                              </w:rPr>
                              <w:t xml:space="preserve"> </w:t>
                            </w:r>
                            <w:r>
                              <w:rPr>
                                <w:rFonts w:ascii="Arial"/>
                                <w:b/>
                                <w:color w:val="0000FF"/>
                                <w:sz w:val="13"/>
                              </w:rPr>
                              <w:t>OGINGA</w:t>
                            </w:r>
                            <w:r>
                              <w:rPr>
                                <w:rFonts w:ascii="Arial"/>
                                <w:b/>
                                <w:color w:val="0000FF"/>
                                <w:spacing w:val="-9"/>
                                <w:sz w:val="13"/>
                              </w:rPr>
                              <w:t xml:space="preserve"> </w:t>
                            </w:r>
                            <w:r>
                              <w:rPr>
                                <w:rFonts w:ascii="Arial"/>
                                <w:b/>
                                <w:color w:val="0000FF"/>
                                <w:sz w:val="13"/>
                              </w:rPr>
                              <w:t>ODINGA</w:t>
                            </w:r>
                            <w:r>
                              <w:rPr>
                                <w:rFonts w:ascii="Arial"/>
                                <w:b/>
                                <w:color w:val="0000FF"/>
                                <w:spacing w:val="40"/>
                                <w:sz w:val="13"/>
                              </w:rPr>
                              <w:t xml:space="preserve"> </w:t>
                            </w:r>
                            <w:r>
                              <w:rPr>
                                <w:rFonts w:ascii="Arial"/>
                                <w:b/>
                                <w:color w:val="0000FF"/>
                                <w:sz w:val="13"/>
                              </w:rPr>
                              <w:t>TEACHING AND REFFERAL HOSPITAL</w:t>
                            </w:r>
                          </w:p>
                        </w:tc>
                      </w:tr>
                      <w:tr w:rsidR="00883FED">
                        <w:trPr>
                          <w:trHeight w:val="1510"/>
                        </w:trPr>
                        <w:tc>
                          <w:tcPr>
                            <w:tcW w:w="3742" w:type="dxa"/>
                            <w:gridSpan w:val="8"/>
                          </w:tcPr>
                          <w:p w:rsidR="00883FED" w:rsidRDefault="00883FED">
                            <w:pPr>
                              <w:pStyle w:val="TableParagraph"/>
                              <w:spacing w:before="45"/>
                              <w:ind w:left="115"/>
                              <w:rPr>
                                <w:rFonts w:ascii="Arial MT"/>
                                <w:sz w:val="13"/>
                              </w:rPr>
                            </w:pPr>
                            <w:r>
                              <w:rPr>
                                <w:rFonts w:ascii="Arial MT"/>
                                <w:color w:val="0000FF"/>
                                <w:spacing w:val="-2"/>
                                <w:sz w:val="13"/>
                              </w:rPr>
                              <w:t>Client</w:t>
                            </w:r>
                          </w:p>
                          <w:p w:rsidR="00883FED" w:rsidRDefault="00883FED">
                            <w:pPr>
                              <w:pStyle w:val="TableParagraph"/>
                              <w:spacing w:before="90"/>
                              <w:ind w:left="1162" w:hanging="709"/>
                              <w:rPr>
                                <w:rFonts w:ascii="Arial"/>
                                <w:b/>
                                <w:sz w:val="13"/>
                              </w:rPr>
                            </w:pPr>
                            <w:r>
                              <w:rPr>
                                <w:rFonts w:ascii="Arial"/>
                                <w:b/>
                                <w:color w:val="0000FF"/>
                                <w:spacing w:val="-4"/>
                                <w:sz w:val="13"/>
                              </w:rPr>
                              <w:t>JARAMOGI OGINGA</w:t>
                            </w:r>
                            <w:r>
                              <w:rPr>
                                <w:rFonts w:ascii="Arial"/>
                                <w:b/>
                                <w:color w:val="0000FF"/>
                                <w:spacing w:val="-7"/>
                                <w:sz w:val="13"/>
                              </w:rPr>
                              <w:t xml:space="preserve"> </w:t>
                            </w:r>
                            <w:r>
                              <w:rPr>
                                <w:rFonts w:ascii="Arial"/>
                                <w:b/>
                                <w:color w:val="0000FF"/>
                                <w:spacing w:val="-4"/>
                                <w:sz w:val="13"/>
                              </w:rPr>
                              <w:t>ODINGA</w:t>
                            </w:r>
                            <w:r>
                              <w:rPr>
                                <w:rFonts w:ascii="Arial"/>
                                <w:b/>
                                <w:color w:val="0000FF"/>
                                <w:spacing w:val="-7"/>
                                <w:sz w:val="13"/>
                              </w:rPr>
                              <w:t xml:space="preserve"> </w:t>
                            </w:r>
                            <w:r>
                              <w:rPr>
                                <w:rFonts w:ascii="Arial"/>
                                <w:b/>
                                <w:color w:val="0000FF"/>
                                <w:spacing w:val="-4"/>
                                <w:sz w:val="13"/>
                              </w:rPr>
                              <w:t>TEACHING</w:t>
                            </w:r>
                            <w:r>
                              <w:rPr>
                                <w:rFonts w:ascii="Arial"/>
                                <w:b/>
                                <w:color w:val="0000FF"/>
                                <w:spacing w:val="-6"/>
                                <w:sz w:val="13"/>
                              </w:rPr>
                              <w:t xml:space="preserve"> </w:t>
                            </w:r>
                            <w:r>
                              <w:rPr>
                                <w:rFonts w:ascii="Arial"/>
                                <w:b/>
                                <w:color w:val="0000FF"/>
                                <w:spacing w:val="-4"/>
                                <w:sz w:val="13"/>
                              </w:rPr>
                              <w:t>AND</w:t>
                            </w:r>
                            <w:r>
                              <w:rPr>
                                <w:rFonts w:ascii="Arial"/>
                                <w:b/>
                                <w:color w:val="0000FF"/>
                                <w:spacing w:val="40"/>
                                <w:sz w:val="13"/>
                              </w:rPr>
                              <w:t xml:space="preserve"> </w:t>
                            </w:r>
                            <w:r>
                              <w:rPr>
                                <w:rFonts w:ascii="Arial"/>
                                <w:b/>
                                <w:color w:val="0000FF"/>
                                <w:sz w:val="13"/>
                              </w:rPr>
                              <w:t>REFFERAL</w:t>
                            </w:r>
                            <w:r>
                              <w:rPr>
                                <w:rFonts w:ascii="Arial"/>
                                <w:b/>
                                <w:color w:val="0000FF"/>
                                <w:spacing w:val="-10"/>
                                <w:sz w:val="13"/>
                              </w:rPr>
                              <w:t xml:space="preserve"> </w:t>
                            </w:r>
                            <w:r>
                              <w:rPr>
                                <w:rFonts w:ascii="Arial"/>
                                <w:b/>
                                <w:color w:val="0000FF"/>
                                <w:sz w:val="13"/>
                              </w:rPr>
                              <w:t>HOSPITAL</w:t>
                            </w:r>
                          </w:p>
                          <w:p w:rsidR="00883FED" w:rsidRDefault="00883FED">
                            <w:pPr>
                              <w:pStyle w:val="TableParagraph"/>
                              <w:ind w:left="1344" w:right="1300" w:hanging="124"/>
                              <w:rPr>
                                <w:rFonts w:ascii="Arial"/>
                                <w:b/>
                                <w:sz w:val="13"/>
                              </w:rPr>
                            </w:pPr>
                            <w:r>
                              <w:rPr>
                                <w:rFonts w:ascii="Arial"/>
                                <w:b/>
                                <w:color w:val="0000FF"/>
                                <w:spacing w:val="-4"/>
                                <w:sz w:val="13"/>
                              </w:rPr>
                              <w:t>P.O</w:t>
                            </w:r>
                            <w:r>
                              <w:rPr>
                                <w:rFonts w:ascii="Arial"/>
                                <w:b/>
                                <w:color w:val="0000FF"/>
                                <w:spacing w:val="-20"/>
                                <w:sz w:val="13"/>
                              </w:rPr>
                              <w:t xml:space="preserve"> </w:t>
                            </w:r>
                            <w:r>
                              <w:rPr>
                                <w:rFonts w:ascii="Arial"/>
                                <w:b/>
                                <w:color w:val="0000FF"/>
                                <w:spacing w:val="-4"/>
                                <w:sz w:val="13"/>
                              </w:rPr>
                              <w:t>BOX</w:t>
                            </w:r>
                            <w:r>
                              <w:rPr>
                                <w:rFonts w:ascii="Arial"/>
                                <w:b/>
                                <w:color w:val="0000FF"/>
                                <w:spacing w:val="-6"/>
                                <w:sz w:val="13"/>
                              </w:rPr>
                              <w:t xml:space="preserve"> </w:t>
                            </w:r>
                            <w:r>
                              <w:rPr>
                                <w:rFonts w:ascii="Arial"/>
                                <w:b/>
                                <w:color w:val="0000FF"/>
                                <w:spacing w:val="-4"/>
                                <w:sz w:val="13"/>
                              </w:rPr>
                              <w:t>4061-40100</w:t>
                            </w:r>
                            <w:r>
                              <w:rPr>
                                <w:rFonts w:ascii="Arial"/>
                                <w:b/>
                                <w:color w:val="0000FF"/>
                                <w:spacing w:val="40"/>
                                <w:sz w:val="13"/>
                              </w:rPr>
                              <w:t xml:space="preserve"> </w:t>
                            </w:r>
                            <w:r>
                              <w:rPr>
                                <w:rFonts w:ascii="Arial"/>
                                <w:b/>
                                <w:color w:val="0000FF"/>
                                <w:spacing w:val="-2"/>
                                <w:sz w:val="13"/>
                              </w:rPr>
                              <w:t>KISUMU-KENYA</w:t>
                            </w:r>
                          </w:p>
                          <w:p w:rsidR="00883FED" w:rsidRDefault="00883FED">
                            <w:pPr>
                              <w:pStyle w:val="TableParagraph"/>
                              <w:rPr>
                                <w:rFonts w:ascii="Cambria"/>
                                <w:b/>
                                <w:sz w:val="13"/>
                              </w:rPr>
                            </w:pPr>
                          </w:p>
                          <w:p w:rsidR="00883FED" w:rsidRDefault="00883FED">
                            <w:pPr>
                              <w:pStyle w:val="TableParagraph"/>
                              <w:spacing w:before="122"/>
                              <w:rPr>
                                <w:rFonts w:ascii="Cambria"/>
                                <w:b/>
                                <w:sz w:val="13"/>
                              </w:rPr>
                            </w:pPr>
                          </w:p>
                          <w:p w:rsidR="00883FED" w:rsidRDefault="00883FED">
                            <w:pPr>
                              <w:pStyle w:val="TableParagraph"/>
                              <w:ind w:left="115"/>
                              <w:rPr>
                                <w:rFonts w:ascii="Arial MT"/>
                                <w:sz w:val="13"/>
                              </w:rPr>
                            </w:pPr>
                            <w:r>
                              <w:rPr>
                                <w:rFonts w:ascii="Arial MT"/>
                                <w:color w:val="0000FF"/>
                                <w:spacing w:val="-2"/>
                                <w:sz w:val="13"/>
                              </w:rPr>
                              <w:t>Client's</w:t>
                            </w:r>
                            <w:r>
                              <w:rPr>
                                <w:rFonts w:ascii="Arial MT"/>
                                <w:color w:val="0000FF"/>
                                <w:spacing w:val="4"/>
                                <w:sz w:val="13"/>
                              </w:rPr>
                              <w:t xml:space="preserve"> </w:t>
                            </w:r>
                            <w:r>
                              <w:rPr>
                                <w:rFonts w:ascii="Arial MT"/>
                                <w:color w:val="0000FF"/>
                                <w:spacing w:val="-2"/>
                                <w:sz w:val="13"/>
                              </w:rPr>
                              <w:t>Approval.................................Date.............................</w:t>
                            </w:r>
                          </w:p>
                        </w:tc>
                      </w:tr>
                      <w:tr w:rsidR="00883FED">
                        <w:trPr>
                          <w:trHeight w:val="655"/>
                        </w:trPr>
                        <w:tc>
                          <w:tcPr>
                            <w:tcW w:w="3742" w:type="dxa"/>
                            <w:gridSpan w:val="8"/>
                          </w:tcPr>
                          <w:p w:rsidR="00883FED" w:rsidRDefault="00883FED">
                            <w:pPr>
                              <w:pStyle w:val="TableParagraph"/>
                              <w:spacing w:before="22"/>
                              <w:rPr>
                                <w:rFonts w:ascii="Cambria"/>
                                <w:b/>
                                <w:sz w:val="13"/>
                              </w:rPr>
                            </w:pPr>
                          </w:p>
                          <w:p w:rsidR="00883FED" w:rsidRDefault="00883FED">
                            <w:pPr>
                              <w:pStyle w:val="TableParagraph"/>
                              <w:tabs>
                                <w:tab w:val="left" w:pos="1211"/>
                              </w:tabs>
                              <w:spacing w:before="1"/>
                              <w:ind w:left="95"/>
                              <w:rPr>
                                <w:rFonts w:ascii="Arial"/>
                                <w:b/>
                                <w:sz w:val="13"/>
                              </w:rPr>
                            </w:pPr>
                            <w:r>
                              <w:rPr>
                                <w:rFonts w:ascii="Arial MT"/>
                                <w:color w:val="0000FF"/>
                                <w:spacing w:val="-2"/>
                                <w:position w:val="4"/>
                                <w:sz w:val="13"/>
                              </w:rPr>
                              <w:t>Drawing</w:t>
                            </w:r>
                            <w:r>
                              <w:rPr>
                                <w:rFonts w:ascii="Arial MT"/>
                                <w:color w:val="0000FF"/>
                                <w:spacing w:val="5"/>
                                <w:position w:val="4"/>
                                <w:sz w:val="13"/>
                              </w:rPr>
                              <w:t xml:space="preserve"> </w:t>
                            </w:r>
                            <w:r>
                              <w:rPr>
                                <w:rFonts w:ascii="Arial MT"/>
                                <w:color w:val="0000FF"/>
                                <w:spacing w:val="-2"/>
                                <w:position w:val="4"/>
                                <w:sz w:val="13"/>
                              </w:rPr>
                              <w:t>title</w:t>
                            </w:r>
                            <w:r>
                              <w:rPr>
                                <w:rFonts w:ascii="Arial MT"/>
                                <w:color w:val="0000FF"/>
                                <w:position w:val="4"/>
                                <w:sz w:val="13"/>
                              </w:rPr>
                              <w:tab/>
                            </w:r>
                            <w:r>
                              <w:rPr>
                                <w:rFonts w:ascii="Arial"/>
                                <w:b/>
                                <w:color w:val="0000FF"/>
                                <w:spacing w:val="-4"/>
                                <w:sz w:val="13"/>
                              </w:rPr>
                              <w:t>WORKING</w:t>
                            </w:r>
                            <w:r>
                              <w:rPr>
                                <w:rFonts w:ascii="Arial"/>
                                <w:b/>
                                <w:color w:val="0000FF"/>
                                <w:spacing w:val="-2"/>
                                <w:sz w:val="13"/>
                              </w:rPr>
                              <w:t xml:space="preserve"> DRAWINGS</w:t>
                            </w:r>
                          </w:p>
                        </w:tc>
                      </w:tr>
                      <w:tr w:rsidR="00883FED">
                        <w:trPr>
                          <w:trHeight w:val="445"/>
                        </w:trPr>
                        <w:tc>
                          <w:tcPr>
                            <w:tcW w:w="3742" w:type="dxa"/>
                            <w:gridSpan w:val="8"/>
                          </w:tcPr>
                          <w:p w:rsidR="00883FED" w:rsidRDefault="00883FED">
                            <w:pPr>
                              <w:pStyle w:val="TableParagraph"/>
                              <w:spacing w:before="66" w:line="149" w:lineRule="exact"/>
                              <w:ind w:left="102"/>
                              <w:rPr>
                                <w:rFonts w:ascii="Arial MT"/>
                                <w:sz w:val="13"/>
                              </w:rPr>
                            </w:pPr>
                            <w:r>
                              <w:rPr>
                                <w:rFonts w:ascii="Arial MT"/>
                                <w:color w:val="0000FF"/>
                                <w:spacing w:val="-4"/>
                                <w:sz w:val="13"/>
                              </w:rPr>
                              <w:t>Scale</w:t>
                            </w:r>
                          </w:p>
                          <w:p w:rsidR="00883FED" w:rsidRDefault="00883FED">
                            <w:pPr>
                              <w:pStyle w:val="TableParagraph"/>
                              <w:ind w:left="467"/>
                              <w:rPr>
                                <w:rFonts w:ascii="Arial"/>
                                <w:b/>
                                <w:sz w:val="13"/>
                              </w:rPr>
                            </w:pPr>
                            <w:r>
                              <w:rPr>
                                <w:rFonts w:ascii="Arial"/>
                                <w:b/>
                                <w:color w:val="0000FF"/>
                                <w:spacing w:val="-2"/>
                                <w:sz w:val="13"/>
                              </w:rPr>
                              <w:t>1:100</w:t>
                            </w:r>
                          </w:p>
                        </w:tc>
                      </w:tr>
                      <w:tr w:rsidR="00883FED">
                        <w:trPr>
                          <w:trHeight w:val="618"/>
                        </w:trPr>
                        <w:tc>
                          <w:tcPr>
                            <w:tcW w:w="1939" w:type="dxa"/>
                            <w:gridSpan w:val="4"/>
                          </w:tcPr>
                          <w:p w:rsidR="00883FED" w:rsidRDefault="00883FED">
                            <w:pPr>
                              <w:pStyle w:val="TableParagraph"/>
                              <w:spacing w:before="104"/>
                              <w:ind w:left="84"/>
                              <w:rPr>
                                <w:rFonts w:ascii="Arial MT"/>
                                <w:sz w:val="13"/>
                              </w:rPr>
                            </w:pPr>
                            <w:r>
                              <w:rPr>
                                <w:rFonts w:ascii="Arial MT"/>
                                <w:color w:val="0000FF"/>
                                <w:sz w:val="13"/>
                              </w:rPr>
                              <w:t>Project</w:t>
                            </w:r>
                            <w:r>
                              <w:rPr>
                                <w:rFonts w:ascii="Arial MT"/>
                                <w:color w:val="0000FF"/>
                                <w:spacing w:val="-4"/>
                                <w:sz w:val="13"/>
                              </w:rPr>
                              <w:t xml:space="preserve"> </w:t>
                            </w:r>
                            <w:r>
                              <w:rPr>
                                <w:rFonts w:ascii="Arial MT"/>
                                <w:color w:val="0000FF"/>
                                <w:spacing w:val="-5"/>
                                <w:sz w:val="13"/>
                              </w:rPr>
                              <w:t>No:</w:t>
                            </w:r>
                          </w:p>
                          <w:p w:rsidR="00883FED" w:rsidRDefault="00883FED">
                            <w:pPr>
                              <w:pStyle w:val="TableParagraph"/>
                              <w:spacing w:before="30"/>
                              <w:ind w:left="608"/>
                              <w:rPr>
                                <w:rFonts w:ascii="Arial"/>
                                <w:b/>
                                <w:sz w:val="13"/>
                              </w:rPr>
                            </w:pPr>
                            <w:r>
                              <w:rPr>
                                <w:rFonts w:ascii="Arial"/>
                                <w:b/>
                                <w:color w:val="0000FF"/>
                                <w:spacing w:val="-2"/>
                                <w:sz w:val="13"/>
                              </w:rPr>
                              <w:t>JOOTRH/KSM/01/25</w:t>
                            </w:r>
                          </w:p>
                        </w:tc>
                        <w:tc>
                          <w:tcPr>
                            <w:tcW w:w="1803" w:type="dxa"/>
                            <w:gridSpan w:val="4"/>
                          </w:tcPr>
                          <w:p w:rsidR="00883FED" w:rsidRDefault="00883FED">
                            <w:pPr>
                              <w:pStyle w:val="TableParagraph"/>
                              <w:spacing w:before="105"/>
                              <w:ind w:left="87"/>
                              <w:rPr>
                                <w:rFonts w:ascii="Arial MT"/>
                                <w:sz w:val="13"/>
                              </w:rPr>
                            </w:pPr>
                            <w:r>
                              <w:rPr>
                                <w:rFonts w:ascii="Arial MT"/>
                                <w:color w:val="0000FF"/>
                                <w:spacing w:val="-2"/>
                                <w:sz w:val="13"/>
                              </w:rPr>
                              <w:t>Drawing</w:t>
                            </w:r>
                            <w:r>
                              <w:rPr>
                                <w:rFonts w:ascii="Arial MT"/>
                                <w:color w:val="0000FF"/>
                                <w:spacing w:val="6"/>
                                <w:sz w:val="13"/>
                              </w:rPr>
                              <w:t xml:space="preserve"> </w:t>
                            </w:r>
                            <w:r>
                              <w:rPr>
                                <w:rFonts w:ascii="Arial MT"/>
                                <w:color w:val="0000FF"/>
                                <w:spacing w:val="-5"/>
                                <w:sz w:val="13"/>
                              </w:rPr>
                              <w:t>No:</w:t>
                            </w:r>
                          </w:p>
                          <w:p w:rsidR="00883FED" w:rsidRDefault="00883FED">
                            <w:pPr>
                              <w:pStyle w:val="TableParagraph"/>
                              <w:spacing w:before="29"/>
                              <w:ind w:left="807"/>
                              <w:rPr>
                                <w:rFonts w:ascii="Arial"/>
                                <w:b/>
                                <w:sz w:val="13"/>
                              </w:rPr>
                            </w:pPr>
                            <w:r>
                              <w:rPr>
                                <w:rFonts w:ascii="Arial"/>
                                <w:b/>
                                <w:color w:val="0000FF"/>
                                <w:spacing w:val="-2"/>
                                <w:sz w:val="13"/>
                              </w:rPr>
                              <w:t>JOOTRH/001</w:t>
                            </w:r>
                          </w:p>
                        </w:tc>
                      </w:tr>
                      <w:tr w:rsidR="00883FED">
                        <w:trPr>
                          <w:trHeight w:val="332"/>
                        </w:trPr>
                        <w:tc>
                          <w:tcPr>
                            <w:tcW w:w="892" w:type="dxa"/>
                            <w:gridSpan w:val="3"/>
                          </w:tcPr>
                          <w:p w:rsidR="00883FED" w:rsidRDefault="00883FED">
                            <w:pPr>
                              <w:pStyle w:val="TableParagraph"/>
                              <w:rPr>
                                <w:rFonts w:ascii="Times New Roman"/>
                                <w:sz w:val="14"/>
                              </w:rPr>
                            </w:pPr>
                          </w:p>
                        </w:tc>
                        <w:tc>
                          <w:tcPr>
                            <w:tcW w:w="1047" w:type="dxa"/>
                          </w:tcPr>
                          <w:p w:rsidR="00883FED" w:rsidRDefault="00883FED">
                            <w:pPr>
                              <w:pStyle w:val="TableParagraph"/>
                              <w:spacing w:before="84"/>
                              <w:ind w:left="87"/>
                              <w:rPr>
                                <w:rFonts w:ascii="Arial MT"/>
                                <w:sz w:val="13"/>
                              </w:rPr>
                            </w:pPr>
                            <w:r>
                              <w:rPr>
                                <w:rFonts w:ascii="Arial MT"/>
                                <w:color w:val="0000FF"/>
                                <w:spacing w:val="-4"/>
                                <w:sz w:val="13"/>
                              </w:rPr>
                              <w:t>Name</w:t>
                            </w:r>
                          </w:p>
                        </w:tc>
                        <w:tc>
                          <w:tcPr>
                            <w:tcW w:w="1029" w:type="dxa"/>
                            <w:gridSpan w:val="3"/>
                          </w:tcPr>
                          <w:p w:rsidR="00883FED" w:rsidRDefault="00883FED">
                            <w:pPr>
                              <w:pStyle w:val="TableParagraph"/>
                              <w:spacing w:before="85"/>
                              <w:ind w:left="284"/>
                              <w:rPr>
                                <w:rFonts w:ascii="Arial MT"/>
                                <w:sz w:val="13"/>
                              </w:rPr>
                            </w:pPr>
                            <w:r>
                              <w:rPr>
                                <w:rFonts w:ascii="Arial MT"/>
                                <w:color w:val="0000FF"/>
                                <w:spacing w:val="-4"/>
                                <w:sz w:val="13"/>
                              </w:rPr>
                              <w:t>Sign</w:t>
                            </w:r>
                          </w:p>
                        </w:tc>
                        <w:tc>
                          <w:tcPr>
                            <w:tcW w:w="774" w:type="dxa"/>
                          </w:tcPr>
                          <w:p w:rsidR="00883FED" w:rsidRDefault="00883FED">
                            <w:pPr>
                              <w:pStyle w:val="TableParagraph"/>
                              <w:spacing w:before="85"/>
                              <w:ind w:left="163"/>
                              <w:rPr>
                                <w:rFonts w:ascii="Arial MT"/>
                                <w:sz w:val="13"/>
                              </w:rPr>
                            </w:pPr>
                            <w:r>
                              <w:rPr>
                                <w:rFonts w:ascii="Arial MT"/>
                                <w:color w:val="0000FF"/>
                                <w:spacing w:val="-4"/>
                                <w:sz w:val="13"/>
                              </w:rPr>
                              <w:t>Date</w:t>
                            </w:r>
                          </w:p>
                        </w:tc>
                      </w:tr>
                      <w:tr w:rsidR="00883FED">
                        <w:trPr>
                          <w:trHeight w:val="312"/>
                        </w:trPr>
                        <w:tc>
                          <w:tcPr>
                            <w:tcW w:w="892" w:type="dxa"/>
                            <w:gridSpan w:val="3"/>
                          </w:tcPr>
                          <w:p w:rsidR="00883FED" w:rsidRDefault="00883FED">
                            <w:pPr>
                              <w:pStyle w:val="TableParagraph"/>
                              <w:spacing w:before="21"/>
                              <w:ind w:left="92"/>
                              <w:rPr>
                                <w:rFonts w:ascii="Arial MT"/>
                                <w:sz w:val="13"/>
                              </w:rPr>
                            </w:pPr>
                            <w:r>
                              <w:rPr>
                                <w:rFonts w:ascii="Arial MT"/>
                                <w:color w:val="0000FF"/>
                                <w:spacing w:val="-2"/>
                                <w:sz w:val="13"/>
                              </w:rPr>
                              <w:t>Drawn</w:t>
                            </w:r>
                          </w:p>
                        </w:tc>
                        <w:tc>
                          <w:tcPr>
                            <w:tcW w:w="1047" w:type="dxa"/>
                          </w:tcPr>
                          <w:p w:rsidR="00883FED" w:rsidRDefault="00883FED">
                            <w:pPr>
                              <w:pStyle w:val="TableParagraph"/>
                              <w:spacing w:before="77"/>
                              <w:ind w:left="54"/>
                              <w:rPr>
                                <w:rFonts w:ascii="Arial MT"/>
                                <w:sz w:val="13"/>
                              </w:rPr>
                            </w:pPr>
                            <w:r>
                              <w:rPr>
                                <w:rFonts w:ascii="Arial MT"/>
                                <w:color w:val="0000FF"/>
                                <w:spacing w:val="-4"/>
                                <w:sz w:val="13"/>
                              </w:rPr>
                              <w:t xml:space="preserve">AMON </w:t>
                            </w:r>
                            <w:r>
                              <w:rPr>
                                <w:rFonts w:ascii="Arial MT"/>
                                <w:color w:val="0000FF"/>
                                <w:spacing w:val="-5"/>
                                <w:sz w:val="13"/>
                              </w:rPr>
                              <w:t>J.M</w:t>
                            </w:r>
                          </w:p>
                        </w:tc>
                        <w:tc>
                          <w:tcPr>
                            <w:tcW w:w="1029" w:type="dxa"/>
                            <w:gridSpan w:val="3"/>
                          </w:tcPr>
                          <w:p w:rsidR="00883FED" w:rsidRDefault="00883FED">
                            <w:pPr>
                              <w:pStyle w:val="TableParagraph"/>
                              <w:rPr>
                                <w:rFonts w:ascii="Times New Roman"/>
                                <w:sz w:val="14"/>
                              </w:rPr>
                            </w:pPr>
                          </w:p>
                        </w:tc>
                        <w:tc>
                          <w:tcPr>
                            <w:tcW w:w="774" w:type="dxa"/>
                          </w:tcPr>
                          <w:p w:rsidR="00883FED" w:rsidRDefault="00883FED">
                            <w:pPr>
                              <w:pStyle w:val="TableParagraph"/>
                              <w:spacing w:before="73"/>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883FED">
                        <w:trPr>
                          <w:trHeight w:val="351"/>
                        </w:trPr>
                        <w:tc>
                          <w:tcPr>
                            <w:tcW w:w="892" w:type="dxa"/>
                            <w:gridSpan w:val="3"/>
                          </w:tcPr>
                          <w:p w:rsidR="00883FED" w:rsidRDefault="00883FED">
                            <w:pPr>
                              <w:pStyle w:val="TableParagraph"/>
                              <w:spacing w:before="72"/>
                              <w:ind w:left="95"/>
                              <w:rPr>
                                <w:rFonts w:ascii="Arial MT"/>
                                <w:sz w:val="13"/>
                              </w:rPr>
                            </w:pPr>
                            <w:r>
                              <w:rPr>
                                <w:rFonts w:ascii="Arial MT"/>
                                <w:color w:val="0000FF"/>
                                <w:spacing w:val="-2"/>
                                <w:sz w:val="13"/>
                              </w:rPr>
                              <w:t>Designer</w:t>
                            </w:r>
                          </w:p>
                        </w:tc>
                        <w:tc>
                          <w:tcPr>
                            <w:tcW w:w="1047" w:type="dxa"/>
                          </w:tcPr>
                          <w:p w:rsidR="00883FED" w:rsidRDefault="00883FED">
                            <w:pPr>
                              <w:pStyle w:val="TableParagraph"/>
                              <w:spacing w:before="107"/>
                              <w:ind w:left="38"/>
                              <w:rPr>
                                <w:rFonts w:ascii="Arial MT"/>
                                <w:sz w:val="13"/>
                              </w:rPr>
                            </w:pPr>
                            <w:r>
                              <w:rPr>
                                <w:rFonts w:ascii="Arial MT"/>
                                <w:color w:val="0000FF"/>
                                <w:spacing w:val="-4"/>
                                <w:sz w:val="13"/>
                              </w:rPr>
                              <w:t>MOCHAMA</w:t>
                            </w:r>
                            <w:r>
                              <w:rPr>
                                <w:rFonts w:ascii="Arial MT"/>
                                <w:color w:val="0000FF"/>
                                <w:spacing w:val="-13"/>
                                <w:sz w:val="13"/>
                              </w:rPr>
                              <w:t xml:space="preserve"> </w:t>
                            </w:r>
                            <w:r>
                              <w:rPr>
                                <w:rFonts w:ascii="Arial MT"/>
                                <w:color w:val="0000FF"/>
                                <w:spacing w:val="-4"/>
                                <w:sz w:val="13"/>
                              </w:rPr>
                              <w:t>D.</w:t>
                            </w:r>
                            <w:r>
                              <w:rPr>
                                <w:rFonts w:ascii="Arial MT"/>
                                <w:color w:val="0000FF"/>
                                <w:spacing w:val="-6"/>
                                <w:sz w:val="13"/>
                              </w:rPr>
                              <w:t xml:space="preserve"> </w:t>
                            </w:r>
                            <w:r>
                              <w:rPr>
                                <w:rFonts w:ascii="Arial MT"/>
                                <w:color w:val="0000FF"/>
                                <w:spacing w:val="-5"/>
                                <w:sz w:val="13"/>
                              </w:rPr>
                              <w:t>N.</w:t>
                            </w:r>
                          </w:p>
                        </w:tc>
                        <w:tc>
                          <w:tcPr>
                            <w:tcW w:w="1029" w:type="dxa"/>
                            <w:gridSpan w:val="3"/>
                          </w:tcPr>
                          <w:p w:rsidR="00883FED" w:rsidRDefault="00883FED">
                            <w:pPr>
                              <w:pStyle w:val="TableParagraph"/>
                              <w:rPr>
                                <w:rFonts w:ascii="Times New Roman"/>
                                <w:sz w:val="14"/>
                              </w:rPr>
                            </w:pPr>
                          </w:p>
                        </w:tc>
                        <w:tc>
                          <w:tcPr>
                            <w:tcW w:w="774" w:type="dxa"/>
                          </w:tcPr>
                          <w:p w:rsidR="00883FED" w:rsidRDefault="00883FED">
                            <w:pPr>
                              <w:pStyle w:val="TableParagraph"/>
                              <w:spacing w:before="90"/>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883FED">
                        <w:trPr>
                          <w:trHeight w:val="371"/>
                        </w:trPr>
                        <w:tc>
                          <w:tcPr>
                            <w:tcW w:w="892" w:type="dxa"/>
                            <w:gridSpan w:val="3"/>
                          </w:tcPr>
                          <w:p w:rsidR="00883FED" w:rsidRDefault="00883FED">
                            <w:pPr>
                              <w:pStyle w:val="TableParagraph"/>
                              <w:spacing w:before="68"/>
                              <w:ind w:left="95"/>
                              <w:rPr>
                                <w:rFonts w:ascii="Arial MT"/>
                                <w:sz w:val="13"/>
                              </w:rPr>
                            </w:pPr>
                            <w:r>
                              <w:rPr>
                                <w:rFonts w:ascii="Arial MT"/>
                                <w:color w:val="0000FF"/>
                                <w:spacing w:val="-2"/>
                                <w:sz w:val="13"/>
                              </w:rPr>
                              <w:t>Checked</w:t>
                            </w:r>
                          </w:p>
                        </w:tc>
                        <w:tc>
                          <w:tcPr>
                            <w:tcW w:w="1047" w:type="dxa"/>
                          </w:tcPr>
                          <w:p w:rsidR="00883FED" w:rsidRDefault="00883FED">
                            <w:pPr>
                              <w:pStyle w:val="TableParagraph"/>
                              <w:spacing w:before="118"/>
                              <w:ind w:left="40"/>
                              <w:rPr>
                                <w:rFonts w:ascii="Arial MT"/>
                                <w:sz w:val="13"/>
                              </w:rPr>
                            </w:pPr>
                            <w:r>
                              <w:rPr>
                                <w:rFonts w:ascii="Arial MT"/>
                                <w:color w:val="0000FF"/>
                                <w:spacing w:val="-4"/>
                                <w:sz w:val="13"/>
                              </w:rPr>
                              <w:t>K.L</w:t>
                            </w:r>
                            <w:r>
                              <w:rPr>
                                <w:rFonts w:ascii="Arial MT"/>
                                <w:color w:val="0000FF"/>
                                <w:spacing w:val="-9"/>
                                <w:sz w:val="13"/>
                              </w:rPr>
                              <w:t xml:space="preserve"> </w:t>
                            </w:r>
                            <w:r>
                              <w:rPr>
                                <w:rFonts w:ascii="Arial MT"/>
                                <w:color w:val="0000FF"/>
                                <w:spacing w:val="-2"/>
                                <w:sz w:val="13"/>
                              </w:rPr>
                              <w:t>MWANIGA</w:t>
                            </w:r>
                          </w:p>
                        </w:tc>
                        <w:tc>
                          <w:tcPr>
                            <w:tcW w:w="1029" w:type="dxa"/>
                            <w:gridSpan w:val="3"/>
                          </w:tcPr>
                          <w:p w:rsidR="00883FED" w:rsidRDefault="00883FED">
                            <w:pPr>
                              <w:pStyle w:val="TableParagraph"/>
                              <w:rPr>
                                <w:rFonts w:ascii="Times New Roman"/>
                                <w:sz w:val="14"/>
                              </w:rPr>
                            </w:pPr>
                          </w:p>
                        </w:tc>
                        <w:tc>
                          <w:tcPr>
                            <w:tcW w:w="774" w:type="dxa"/>
                          </w:tcPr>
                          <w:p w:rsidR="00883FED" w:rsidRDefault="00883FED">
                            <w:pPr>
                              <w:pStyle w:val="TableParagraph"/>
                              <w:spacing w:before="108"/>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883FED">
                        <w:trPr>
                          <w:trHeight w:val="979"/>
                        </w:trPr>
                        <w:tc>
                          <w:tcPr>
                            <w:tcW w:w="3742" w:type="dxa"/>
                            <w:gridSpan w:val="8"/>
                            <w:tcBorders>
                              <w:bottom w:val="single" w:sz="36" w:space="0" w:color="000000"/>
                            </w:tcBorders>
                          </w:tcPr>
                          <w:p w:rsidR="00883FED" w:rsidRDefault="00883FED">
                            <w:pPr>
                              <w:pStyle w:val="TableParagraph"/>
                              <w:spacing w:before="80"/>
                              <w:ind w:left="95"/>
                              <w:rPr>
                                <w:rFonts w:ascii="Arial MT"/>
                                <w:sz w:val="13"/>
                              </w:rPr>
                            </w:pPr>
                            <w:r>
                              <w:rPr>
                                <w:rFonts w:ascii="Arial MT"/>
                                <w:color w:val="0000FF"/>
                                <w:spacing w:val="-2"/>
                                <w:sz w:val="13"/>
                              </w:rPr>
                              <w:t>Approved</w:t>
                            </w:r>
                          </w:p>
                          <w:p w:rsidR="00883FED" w:rsidRDefault="00883FED">
                            <w:pPr>
                              <w:pStyle w:val="TableParagraph"/>
                              <w:spacing w:before="132"/>
                              <w:ind w:left="190"/>
                              <w:jc w:val="center"/>
                              <w:rPr>
                                <w:rFonts w:ascii="Arial"/>
                                <w:b/>
                                <w:sz w:val="14"/>
                              </w:rPr>
                            </w:pPr>
                            <w:r>
                              <w:rPr>
                                <w:rFonts w:ascii="Arial"/>
                                <w:b/>
                                <w:color w:val="0000FF"/>
                                <w:spacing w:val="-6"/>
                                <w:sz w:val="14"/>
                              </w:rPr>
                              <w:t>LENAH</w:t>
                            </w:r>
                            <w:r>
                              <w:rPr>
                                <w:rFonts w:ascii="Arial"/>
                                <w:b/>
                                <w:color w:val="0000FF"/>
                                <w:spacing w:val="-3"/>
                                <w:sz w:val="14"/>
                              </w:rPr>
                              <w:t xml:space="preserve"> </w:t>
                            </w:r>
                            <w:r>
                              <w:rPr>
                                <w:rFonts w:ascii="Arial"/>
                                <w:b/>
                                <w:color w:val="0000FF"/>
                                <w:spacing w:val="-2"/>
                                <w:sz w:val="14"/>
                              </w:rPr>
                              <w:t>MWANIGA</w:t>
                            </w:r>
                          </w:p>
                          <w:p w:rsidR="00883FED" w:rsidRDefault="00883FED">
                            <w:pPr>
                              <w:pStyle w:val="TableParagraph"/>
                              <w:spacing w:before="31"/>
                              <w:rPr>
                                <w:rFonts w:ascii="Cambria"/>
                                <w:b/>
                                <w:sz w:val="14"/>
                              </w:rPr>
                            </w:pPr>
                          </w:p>
                          <w:p w:rsidR="00883FED" w:rsidRDefault="00883FED">
                            <w:pPr>
                              <w:pStyle w:val="TableParagraph"/>
                              <w:ind w:left="128"/>
                              <w:jc w:val="center"/>
                              <w:rPr>
                                <w:rFonts w:ascii="Arial MT"/>
                                <w:sz w:val="13"/>
                              </w:rPr>
                            </w:pPr>
                            <w:r>
                              <w:rPr>
                                <w:rFonts w:ascii="Arial MT"/>
                                <w:color w:val="0000FF"/>
                                <w:spacing w:val="-2"/>
                                <w:sz w:val="13"/>
                              </w:rPr>
                              <w:t>REGIONAL</w:t>
                            </w:r>
                            <w:r>
                              <w:rPr>
                                <w:rFonts w:ascii="Arial MT"/>
                                <w:color w:val="0000FF"/>
                                <w:spacing w:val="-8"/>
                                <w:sz w:val="13"/>
                              </w:rPr>
                              <w:t xml:space="preserve"> </w:t>
                            </w:r>
                            <w:r>
                              <w:rPr>
                                <w:rFonts w:ascii="Arial MT"/>
                                <w:color w:val="0000FF"/>
                                <w:spacing w:val="-2"/>
                                <w:sz w:val="13"/>
                              </w:rPr>
                              <w:t>WORKS</w:t>
                            </w:r>
                            <w:r>
                              <w:rPr>
                                <w:rFonts w:ascii="Arial MT"/>
                                <w:color w:val="0000FF"/>
                                <w:spacing w:val="-7"/>
                                <w:sz w:val="13"/>
                              </w:rPr>
                              <w:t xml:space="preserve"> </w:t>
                            </w:r>
                            <w:r>
                              <w:rPr>
                                <w:rFonts w:ascii="Arial MT"/>
                                <w:color w:val="0000FF"/>
                                <w:spacing w:val="-2"/>
                                <w:sz w:val="13"/>
                              </w:rPr>
                              <w:t>OFFICER</w:t>
                            </w:r>
                            <w:r>
                              <w:rPr>
                                <w:rFonts w:ascii="Arial MT"/>
                                <w:color w:val="0000FF"/>
                                <w:spacing w:val="16"/>
                                <w:sz w:val="13"/>
                              </w:rPr>
                              <w:t xml:space="preserve"> </w:t>
                            </w:r>
                            <w:r>
                              <w:rPr>
                                <w:rFonts w:ascii="Arial MT"/>
                                <w:color w:val="0000FF"/>
                                <w:spacing w:val="-2"/>
                                <w:sz w:val="13"/>
                              </w:rPr>
                              <w:t>-</w:t>
                            </w:r>
                            <w:r>
                              <w:rPr>
                                <w:rFonts w:ascii="Arial MT"/>
                                <w:color w:val="0000FF"/>
                                <w:spacing w:val="10"/>
                                <w:sz w:val="13"/>
                              </w:rPr>
                              <w:t xml:space="preserve"> </w:t>
                            </w:r>
                            <w:r>
                              <w:rPr>
                                <w:rFonts w:ascii="Arial MT"/>
                                <w:color w:val="0000FF"/>
                                <w:spacing w:val="-2"/>
                                <w:sz w:val="13"/>
                              </w:rPr>
                              <w:t>NYANZA</w:t>
                            </w:r>
                            <w:r>
                              <w:rPr>
                                <w:rFonts w:ascii="Arial MT"/>
                                <w:color w:val="0000FF"/>
                                <w:spacing w:val="-19"/>
                                <w:sz w:val="13"/>
                              </w:rPr>
                              <w:t xml:space="preserve"> </w:t>
                            </w:r>
                            <w:r>
                              <w:rPr>
                                <w:rFonts w:ascii="Arial MT"/>
                                <w:color w:val="0000FF"/>
                                <w:spacing w:val="-2"/>
                                <w:sz w:val="13"/>
                              </w:rPr>
                              <w:t>REGION</w:t>
                            </w:r>
                          </w:p>
                        </w:tc>
                      </w:tr>
                      <w:tr w:rsidR="00883FED">
                        <w:trPr>
                          <w:trHeight w:val="1560"/>
                        </w:trPr>
                        <w:tc>
                          <w:tcPr>
                            <w:tcW w:w="3742" w:type="dxa"/>
                            <w:gridSpan w:val="8"/>
                            <w:tcBorders>
                              <w:top w:val="single" w:sz="36" w:space="0" w:color="000000"/>
                              <w:left w:val="single" w:sz="24" w:space="0" w:color="000000"/>
                              <w:bottom w:val="single" w:sz="36" w:space="0" w:color="000000"/>
                              <w:right w:val="single" w:sz="24" w:space="0" w:color="000000"/>
                            </w:tcBorders>
                          </w:tcPr>
                          <w:p w:rsidR="00883FED" w:rsidRDefault="00883FED">
                            <w:pPr>
                              <w:pStyle w:val="TableParagraph"/>
                              <w:spacing w:before="34" w:line="242" w:lineRule="auto"/>
                              <w:ind w:left="127" w:right="421" w:hanging="20"/>
                              <w:rPr>
                                <w:rFonts w:ascii="Arial"/>
                                <w:b/>
                                <w:sz w:val="16"/>
                              </w:rPr>
                            </w:pPr>
                            <w:r>
                              <w:rPr>
                                <w:rFonts w:ascii="Arial"/>
                                <w:b/>
                                <w:color w:val="0000FF"/>
                                <w:sz w:val="16"/>
                              </w:rPr>
                              <w:t>MINISTRY</w:t>
                            </w:r>
                            <w:r>
                              <w:rPr>
                                <w:rFonts w:ascii="Arial"/>
                                <w:b/>
                                <w:color w:val="0000FF"/>
                                <w:spacing w:val="-1"/>
                                <w:sz w:val="16"/>
                              </w:rPr>
                              <w:t xml:space="preserve"> </w:t>
                            </w:r>
                            <w:r>
                              <w:rPr>
                                <w:rFonts w:ascii="Arial"/>
                                <w:b/>
                                <w:color w:val="0000FF"/>
                                <w:sz w:val="16"/>
                              </w:rPr>
                              <w:t>OF LANDS,</w:t>
                            </w:r>
                            <w:r>
                              <w:rPr>
                                <w:rFonts w:ascii="Arial"/>
                                <w:b/>
                                <w:color w:val="0000FF"/>
                                <w:spacing w:val="40"/>
                                <w:sz w:val="16"/>
                              </w:rPr>
                              <w:t xml:space="preserve"> </w:t>
                            </w:r>
                            <w:r>
                              <w:rPr>
                                <w:rFonts w:ascii="Arial"/>
                                <w:b/>
                                <w:color w:val="0000FF"/>
                                <w:sz w:val="16"/>
                              </w:rPr>
                              <w:t>PUBLIC WORKS HOUSING</w:t>
                            </w:r>
                            <w:r>
                              <w:rPr>
                                <w:rFonts w:ascii="Arial"/>
                                <w:b/>
                                <w:color w:val="0000FF"/>
                                <w:spacing w:val="10"/>
                                <w:sz w:val="16"/>
                              </w:rPr>
                              <w:t xml:space="preserve"> </w:t>
                            </w:r>
                            <w:r>
                              <w:rPr>
                                <w:rFonts w:ascii="Arial"/>
                                <w:b/>
                                <w:color w:val="0000FF"/>
                                <w:sz w:val="16"/>
                              </w:rPr>
                              <w:t>AND</w:t>
                            </w:r>
                            <w:r>
                              <w:rPr>
                                <w:rFonts w:ascii="Arial"/>
                                <w:b/>
                                <w:color w:val="0000FF"/>
                                <w:spacing w:val="18"/>
                                <w:sz w:val="16"/>
                              </w:rPr>
                              <w:t xml:space="preserve"> </w:t>
                            </w:r>
                            <w:r>
                              <w:rPr>
                                <w:rFonts w:ascii="Arial"/>
                                <w:b/>
                                <w:color w:val="0000FF"/>
                                <w:sz w:val="16"/>
                              </w:rPr>
                              <w:t>URBAN</w:t>
                            </w:r>
                            <w:r>
                              <w:rPr>
                                <w:rFonts w:ascii="Arial"/>
                                <w:b/>
                                <w:color w:val="0000FF"/>
                                <w:spacing w:val="-12"/>
                                <w:sz w:val="16"/>
                              </w:rPr>
                              <w:t xml:space="preserve"> </w:t>
                            </w:r>
                            <w:r>
                              <w:rPr>
                                <w:rFonts w:ascii="Arial"/>
                                <w:b/>
                                <w:color w:val="0000FF"/>
                                <w:sz w:val="16"/>
                              </w:rPr>
                              <w:t>DEVELOPMENT</w:t>
                            </w:r>
                          </w:p>
                          <w:p w:rsidR="00883FED" w:rsidRDefault="00883FED">
                            <w:pPr>
                              <w:pStyle w:val="TableParagraph"/>
                              <w:spacing w:before="38" w:line="244" w:lineRule="auto"/>
                              <w:ind w:left="104" w:right="421"/>
                              <w:rPr>
                                <w:rFonts w:ascii="Arial MT"/>
                                <w:sz w:val="13"/>
                              </w:rPr>
                            </w:pPr>
                            <w:r>
                              <w:rPr>
                                <w:rFonts w:ascii="Arial MT"/>
                                <w:color w:val="0000FF"/>
                                <w:spacing w:val="-6"/>
                                <w:sz w:val="13"/>
                              </w:rPr>
                              <w:t>STATE</w:t>
                            </w:r>
                            <w:r>
                              <w:rPr>
                                <w:rFonts w:ascii="Arial MT"/>
                                <w:color w:val="0000FF"/>
                                <w:spacing w:val="-17"/>
                                <w:sz w:val="13"/>
                              </w:rPr>
                              <w:t xml:space="preserve"> </w:t>
                            </w:r>
                            <w:r>
                              <w:rPr>
                                <w:rFonts w:ascii="Arial MT"/>
                                <w:color w:val="0000FF"/>
                                <w:spacing w:val="-6"/>
                                <w:sz w:val="13"/>
                              </w:rPr>
                              <w:t>DEPARTMENT</w:t>
                            </w:r>
                            <w:r>
                              <w:rPr>
                                <w:rFonts w:ascii="Arial MT"/>
                                <w:color w:val="0000FF"/>
                                <w:spacing w:val="-17"/>
                                <w:sz w:val="13"/>
                              </w:rPr>
                              <w:t xml:space="preserve"> </w:t>
                            </w:r>
                            <w:r>
                              <w:rPr>
                                <w:rFonts w:ascii="Arial MT"/>
                                <w:color w:val="0000FF"/>
                                <w:spacing w:val="-6"/>
                                <w:sz w:val="13"/>
                              </w:rPr>
                              <w:t>FOR</w:t>
                            </w:r>
                            <w:r>
                              <w:rPr>
                                <w:rFonts w:ascii="Arial MT"/>
                                <w:color w:val="0000FF"/>
                                <w:sz w:val="13"/>
                              </w:rPr>
                              <w:t xml:space="preserve"> </w:t>
                            </w:r>
                            <w:r>
                              <w:rPr>
                                <w:rFonts w:ascii="Arial MT"/>
                                <w:color w:val="0000FF"/>
                                <w:spacing w:val="-6"/>
                                <w:sz w:val="13"/>
                              </w:rPr>
                              <w:t>PUBLIC</w:t>
                            </w:r>
                            <w:r>
                              <w:rPr>
                                <w:rFonts w:ascii="Arial MT"/>
                                <w:color w:val="0000FF"/>
                                <w:spacing w:val="19"/>
                                <w:sz w:val="13"/>
                              </w:rPr>
                              <w:t xml:space="preserve"> </w:t>
                            </w:r>
                            <w:r>
                              <w:rPr>
                                <w:rFonts w:ascii="Arial MT"/>
                                <w:color w:val="0000FF"/>
                                <w:spacing w:val="-6"/>
                                <w:sz w:val="13"/>
                              </w:rPr>
                              <w:t>WORKS</w:t>
                            </w:r>
                            <w:r>
                              <w:rPr>
                                <w:rFonts w:ascii="Arial MT"/>
                                <w:color w:val="0000FF"/>
                                <w:spacing w:val="40"/>
                                <w:sz w:val="13"/>
                              </w:rPr>
                              <w:t xml:space="preserve"> </w:t>
                            </w:r>
                            <w:r>
                              <w:rPr>
                                <w:rFonts w:ascii="Arial MT"/>
                                <w:color w:val="0000FF"/>
                                <w:sz w:val="13"/>
                              </w:rPr>
                              <w:t>REGIONAL</w:t>
                            </w:r>
                            <w:r>
                              <w:rPr>
                                <w:rFonts w:ascii="Arial MT"/>
                                <w:color w:val="0000FF"/>
                                <w:spacing w:val="40"/>
                                <w:sz w:val="13"/>
                              </w:rPr>
                              <w:t xml:space="preserve"> </w:t>
                            </w:r>
                            <w:r>
                              <w:rPr>
                                <w:rFonts w:ascii="Arial MT"/>
                                <w:color w:val="0000FF"/>
                                <w:sz w:val="13"/>
                              </w:rPr>
                              <w:t>WORKS</w:t>
                            </w:r>
                            <w:r>
                              <w:rPr>
                                <w:rFonts w:ascii="Arial MT"/>
                                <w:color w:val="0000FF"/>
                                <w:spacing w:val="40"/>
                                <w:sz w:val="13"/>
                              </w:rPr>
                              <w:t xml:space="preserve"> </w:t>
                            </w:r>
                            <w:r>
                              <w:rPr>
                                <w:rFonts w:ascii="Arial MT"/>
                                <w:color w:val="0000FF"/>
                                <w:sz w:val="13"/>
                              </w:rPr>
                              <w:t>OFFICE</w:t>
                            </w:r>
                          </w:p>
                          <w:p w:rsidR="00883FED" w:rsidRDefault="00883FED">
                            <w:pPr>
                              <w:pStyle w:val="TableParagraph"/>
                              <w:spacing w:before="1"/>
                              <w:ind w:left="104"/>
                              <w:rPr>
                                <w:rFonts w:ascii="Arial MT"/>
                                <w:sz w:val="13"/>
                              </w:rPr>
                            </w:pPr>
                            <w:r>
                              <w:rPr>
                                <w:rFonts w:ascii="Arial MT"/>
                                <w:color w:val="0000FF"/>
                                <w:spacing w:val="-2"/>
                                <w:sz w:val="13"/>
                              </w:rPr>
                              <w:t>NYANZA</w:t>
                            </w:r>
                            <w:r>
                              <w:rPr>
                                <w:rFonts w:ascii="Arial MT"/>
                                <w:color w:val="0000FF"/>
                                <w:spacing w:val="26"/>
                                <w:sz w:val="13"/>
                              </w:rPr>
                              <w:t xml:space="preserve"> </w:t>
                            </w:r>
                            <w:r>
                              <w:rPr>
                                <w:rFonts w:ascii="Arial MT"/>
                                <w:color w:val="0000FF"/>
                                <w:spacing w:val="-2"/>
                                <w:sz w:val="13"/>
                              </w:rPr>
                              <w:t>REGION</w:t>
                            </w:r>
                          </w:p>
                          <w:p w:rsidR="00883FED" w:rsidRDefault="00883FED">
                            <w:pPr>
                              <w:pStyle w:val="TableParagraph"/>
                              <w:spacing w:before="3" w:line="244" w:lineRule="auto"/>
                              <w:ind w:left="104" w:right="1847"/>
                              <w:rPr>
                                <w:rFonts w:ascii="Arial MT"/>
                                <w:sz w:val="13"/>
                              </w:rPr>
                            </w:pPr>
                            <w:r>
                              <w:rPr>
                                <w:rFonts w:ascii="Arial MT"/>
                                <w:color w:val="0000FF"/>
                                <w:sz w:val="13"/>
                              </w:rPr>
                              <w:t>P.</w:t>
                            </w:r>
                            <w:r>
                              <w:rPr>
                                <w:rFonts w:ascii="Arial MT"/>
                                <w:color w:val="0000FF"/>
                                <w:spacing w:val="-10"/>
                                <w:sz w:val="13"/>
                              </w:rPr>
                              <w:t xml:space="preserve"> </w:t>
                            </w:r>
                            <w:r>
                              <w:rPr>
                                <w:rFonts w:ascii="Arial MT"/>
                                <w:color w:val="0000FF"/>
                                <w:sz w:val="13"/>
                              </w:rPr>
                              <w:t>O.</w:t>
                            </w:r>
                            <w:r>
                              <w:rPr>
                                <w:rFonts w:ascii="Arial MT"/>
                                <w:color w:val="0000FF"/>
                                <w:spacing w:val="-9"/>
                                <w:sz w:val="13"/>
                              </w:rPr>
                              <w:t xml:space="preserve"> </w:t>
                            </w:r>
                            <w:r>
                              <w:rPr>
                                <w:rFonts w:ascii="Arial MT"/>
                                <w:color w:val="0000FF"/>
                                <w:sz w:val="13"/>
                              </w:rPr>
                              <w:t>Box</w:t>
                            </w:r>
                            <w:r>
                              <w:rPr>
                                <w:rFonts w:ascii="Arial MT"/>
                                <w:color w:val="0000FF"/>
                                <w:spacing w:val="-4"/>
                                <w:sz w:val="13"/>
                              </w:rPr>
                              <w:t xml:space="preserve"> </w:t>
                            </w:r>
                            <w:r>
                              <w:rPr>
                                <w:rFonts w:ascii="Arial MT"/>
                                <w:color w:val="0000FF"/>
                                <w:sz w:val="13"/>
                              </w:rPr>
                              <w:t>821</w:t>
                            </w:r>
                            <w:r>
                              <w:rPr>
                                <w:rFonts w:ascii="Arial MT"/>
                                <w:color w:val="0000FF"/>
                                <w:spacing w:val="-9"/>
                                <w:sz w:val="13"/>
                              </w:rPr>
                              <w:t xml:space="preserve"> </w:t>
                            </w:r>
                            <w:r>
                              <w:rPr>
                                <w:rFonts w:ascii="Arial MT"/>
                                <w:color w:val="0000FF"/>
                                <w:sz w:val="13"/>
                              </w:rPr>
                              <w:t>-</w:t>
                            </w:r>
                            <w:r>
                              <w:rPr>
                                <w:rFonts w:ascii="Arial MT"/>
                                <w:color w:val="0000FF"/>
                                <w:spacing w:val="-9"/>
                                <w:sz w:val="13"/>
                              </w:rPr>
                              <w:t xml:space="preserve"> </w:t>
                            </w:r>
                            <w:r>
                              <w:rPr>
                                <w:rFonts w:ascii="Arial MT"/>
                                <w:color w:val="0000FF"/>
                                <w:sz w:val="13"/>
                              </w:rPr>
                              <w:t>40100</w:t>
                            </w:r>
                            <w:r>
                              <w:rPr>
                                <w:rFonts w:ascii="Arial MT"/>
                                <w:color w:val="0000FF"/>
                                <w:spacing w:val="40"/>
                                <w:sz w:val="13"/>
                              </w:rPr>
                              <w:t xml:space="preserve"> </w:t>
                            </w:r>
                            <w:r>
                              <w:rPr>
                                <w:rFonts w:ascii="Arial MT"/>
                                <w:color w:val="0000FF"/>
                                <w:sz w:val="13"/>
                              </w:rPr>
                              <w:t>KISUMU - KENYA</w:t>
                            </w:r>
                          </w:p>
                          <w:p w:rsidR="00883FED" w:rsidRDefault="00883FED">
                            <w:pPr>
                              <w:pStyle w:val="TableParagraph"/>
                              <w:spacing w:before="87"/>
                              <w:ind w:left="86"/>
                              <w:rPr>
                                <w:rFonts w:ascii="Arial MT"/>
                                <w:sz w:val="10"/>
                              </w:rPr>
                            </w:pPr>
                            <w:r>
                              <w:rPr>
                                <w:rFonts w:ascii="Arial MT"/>
                                <w:color w:val="0000FF"/>
                                <w:w w:val="105"/>
                                <w:sz w:val="10"/>
                              </w:rPr>
                              <w:t>ARCHITECTURAL</w:t>
                            </w:r>
                            <w:r>
                              <w:rPr>
                                <w:rFonts w:ascii="Arial MT"/>
                                <w:color w:val="0000FF"/>
                                <w:spacing w:val="16"/>
                                <w:w w:val="105"/>
                                <w:sz w:val="10"/>
                              </w:rPr>
                              <w:t xml:space="preserve"> </w:t>
                            </w:r>
                            <w:r>
                              <w:rPr>
                                <w:rFonts w:ascii="Arial MT"/>
                                <w:color w:val="0000FF"/>
                                <w:spacing w:val="-2"/>
                                <w:w w:val="105"/>
                                <w:sz w:val="10"/>
                              </w:rPr>
                              <w:t>DEPARTMENT</w:t>
                            </w:r>
                          </w:p>
                          <w:p w:rsidR="00883FED" w:rsidRDefault="00883FED">
                            <w:pPr>
                              <w:pStyle w:val="TableParagraph"/>
                              <w:spacing w:before="53" w:line="78" w:lineRule="exact"/>
                              <w:ind w:left="842"/>
                              <w:rPr>
                                <w:rFonts w:ascii="Arial MT"/>
                                <w:sz w:val="8"/>
                              </w:rPr>
                            </w:pPr>
                            <w:r>
                              <w:rPr>
                                <w:rFonts w:ascii="Arial MT"/>
                                <w:color w:val="0000FF"/>
                                <w:spacing w:val="-2"/>
                                <w:sz w:val="8"/>
                              </w:rPr>
                              <w:t>FOR</w:t>
                            </w:r>
                            <w:r>
                              <w:rPr>
                                <w:rFonts w:ascii="Arial MT"/>
                                <w:color w:val="0000FF"/>
                                <w:spacing w:val="-1"/>
                                <w:sz w:val="8"/>
                              </w:rPr>
                              <w:t xml:space="preserve"> </w:t>
                            </w:r>
                            <w:r>
                              <w:rPr>
                                <w:rFonts w:ascii="Arial MT"/>
                                <w:color w:val="0000FF"/>
                                <w:spacing w:val="-2"/>
                                <w:sz w:val="8"/>
                              </w:rPr>
                              <w:t>THE</w:t>
                            </w:r>
                            <w:r>
                              <w:rPr>
                                <w:rFonts w:ascii="Arial MT"/>
                                <w:color w:val="0000FF"/>
                                <w:sz w:val="8"/>
                              </w:rPr>
                              <w:t xml:space="preserve"> </w:t>
                            </w:r>
                            <w:r>
                              <w:rPr>
                                <w:rFonts w:ascii="Arial MT"/>
                                <w:color w:val="0000FF"/>
                                <w:spacing w:val="-2"/>
                                <w:sz w:val="8"/>
                              </w:rPr>
                              <w:t>GOVERNMENT</w:t>
                            </w:r>
                            <w:r>
                              <w:rPr>
                                <w:rFonts w:ascii="Arial MT"/>
                                <w:color w:val="0000FF"/>
                                <w:sz w:val="8"/>
                              </w:rPr>
                              <w:t xml:space="preserve"> </w:t>
                            </w:r>
                            <w:r>
                              <w:rPr>
                                <w:rFonts w:ascii="Arial MT"/>
                                <w:color w:val="0000FF"/>
                                <w:spacing w:val="-2"/>
                                <w:sz w:val="8"/>
                              </w:rPr>
                              <w:t>OF</w:t>
                            </w:r>
                            <w:r>
                              <w:rPr>
                                <w:rFonts w:ascii="Arial MT"/>
                                <w:color w:val="0000FF"/>
                                <w:spacing w:val="-1"/>
                                <w:sz w:val="8"/>
                              </w:rPr>
                              <w:t xml:space="preserve"> </w:t>
                            </w:r>
                            <w:r>
                              <w:rPr>
                                <w:rFonts w:ascii="Arial MT"/>
                                <w:color w:val="0000FF"/>
                                <w:spacing w:val="-2"/>
                                <w:sz w:val="8"/>
                              </w:rPr>
                              <w:t>THE</w:t>
                            </w:r>
                            <w:r>
                              <w:rPr>
                                <w:rFonts w:ascii="Arial MT"/>
                                <w:color w:val="0000FF"/>
                                <w:spacing w:val="1"/>
                                <w:sz w:val="8"/>
                              </w:rPr>
                              <w:t xml:space="preserve"> </w:t>
                            </w:r>
                            <w:r>
                              <w:rPr>
                                <w:rFonts w:ascii="Arial MT"/>
                                <w:color w:val="0000FF"/>
                                <w:spacing w:val="-2"/>
                                <w:sz w:val="8"/>
                              </w:rPr>
                              <w:t>REPUBLIC</w:t>
                            </w:r>
                            <w:r>
                              <w:rPr>
                                <w:rFonts w:ascii="Arial MT"/>
                                <w:color w:val="0000FF"/>
                                <w:spacing w:val="2"/>
                                <w:sz w:val="8"/>
                              </w:rPr>
                              <w:t xml:space="preserve"> </w:t>
                            </w:r>
                            <w:r>
                              <w:rPr>
                                <w:rFonts w:ascii="Arial MT"/>
                                <w:color w:val="0000FF"/>
                                <w:spacing w:val="-2"/>
                                <w:sz w:val="8"/>
                              </w:rPr>
                              <w:t>OF</w:t>
                            </w:r>
                            <w:r>
                              <w:rPr>
                                <w:rFonts w:ascii="Arial MT"/>
                                <w:color w:val="0000FF"/>
                                <w:spacing w:val="1"/>
                                <w:sz w:val="8"/>
                              </w:rPr>
                              <w:t xml:space="preserve"> </w:t>
                            </w:r>
                            <w:r>
                              <w:rPr>
                                <w:rFonts w:ascii="Arial MT"/>
                                <w:color w:val="0000FF"/>
                                <w:spacing w:val="-2"/>
                                <w:sz w:val="8"/>
                              </w:rPr>
                              <w:t>KENYA</w:t>
                            </w:r>
                          </w:p>
                        </w:tc>
                      </w:tr>
                    </w:tbl>
                    <w:p w:rsidR="00883FED" w:rsidRDefault="00883FED">
                      <w:pPr>
                        <w:pStyle w:val="BodyText"/>
                      </w:pPr>
                    </w:p>
                  </w:txbxContent>
                </v:textbox>
                <w10:wrap anchorx="page" anchory="page"/>
              </v:shape>
            </w:pict>
          </mc:Fallback>
        </mc:AlternateContent>
      </w:r>
    </w:p>
    <w:p w:rsidR="007F6DF9" w:rsidRDefault="00A43FBC">
      <w:pPr>
        <w:spacing w:before="1"/>
        <w:ind w:left="95"/>
        <w:rPr>
          <w:rFonts w:ascii="Arial MT"/>
          <w:sz w:val="17"/>
        </w:rPr>
      </w:pPr>
      <w:r>
        <w:rPr>
          <w:rFonts w:ascii="Arial MT"/>
          <w:noProof/>
          <w:sz w:val="17"/>
        </w:rPr>
        <mc:AlternateContent>
          <mc:Choice Requires="wps">
            <w:drawing>
              <wp:anchor distT="0" distB="0" distL="0" distR="0" simplePos="0" relativeHeight="15781376" behindDoc="0" locked="0" layoutInCell="1" allowOverlap="1">
                <wp:simplePos x="0" y="0"/>
                <wp:positionH relativeFrom="page">
                  <wp:posOffset>1895935</wp:posOffset>
                </wp:positionH>
                <wp:positionV relativeFrom="paragraph">
                  <wp:posOffset>-820294</wp:posOffset>
                </wp:positionV>
                <wp:extent cx="135890" cy="30162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883FED" w:rsidRDefault="00883FED">
                            <w:pPr>
                              <w:spacing w:line="191" w:lineRule="exact"/>
                              <w:ind w:left="20"/>
                              <w:rPr>
                                <w:rFonts w:ascii="Arial MT"/>
                                <w:sz w:val="17"/>
                              </w:rPr>
                            </w:pPr>
                            <w:r>
                              <w:rPr>
                                <w:rFonts w:ascii="Arial MT"/>
                                <w:spacing w:val="-2"/>
                                <w:sz w:val="17"/>
                              </w:rPr>
                              <w:t>2,700</w:t>
                            </w:r>
                          </w:p>
                        </w:txbxContent>
                      </wps:txbx>
                      <wps:bodyPr vert="vert270" wrap="square" lIns="0" tIns="0" rIns="0" bIns="0" rtlCol="0">
                        <a:noAutofit/>
                      </wps:bodyPr>
                    </wps:wsp>
                  </a:graphicData>
                </a:graphic>
              </wp:anchor>
            </w:drawing>
          </mc:Choice>
          <mc:Fallback>
            <w:pict>
              <v:shape id="Textbox 593" o:spid="_x0000_s1110" type="#_x0000_t202" style="position:absolute;left:0;text-align:left;margin-left:149.3pt;margin-top:-64.6pt;width:10.7pt;height:23.7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" filled="f" stroked="f">
                <v:path arrowok="t"/>
                <v:textbox style="layout-flow:vertical;mso-layout-flow-alt:bottom-to-top" inset="0,0,0,0">
                  <w:txbxContent>
                    <w:p w:rsidR="00883FED" w:rsidRDefault="00883FED">
                      <w:pPr>
                        <w:spacing w:line="191" w:lineRule="exact"/>
                        <w:ind w:left="20"/>
                        <w:rPr>
                          <w:rFonts w:ascii="Arial MT"/>
                          <w:sz w:val="17"/>
                        </w:rPr>
                      </w:pPr>
                      <w:r>
                        <w:rPr>
                          <w:rFonts w:ascii="Arial MT"/>
                          <w:spacing w:val="-2"/>
                          <w:sz w:val="17"/>
                        </w:rPr>
                        <w:t>2,700</w:t>
                      </w:r>
                    </w:p>
                  </w:txbxContent>
                </v:textbox>
                <w10:wrap anchorx="page"/>
              </v:shape>
            </w:pict>
          </mc:Fallback>
        </mc:AlternateContent>
      </w:r>
      <w:r>
        <w:rPr>
          <w:rFonts w:ascii="Arial MT"/>
          <w:spacing w:val="-5"/>
          <w:sz w:val="17"/>
        </w:rPr>
        <w:t>200</w:t>
      </w:r>
    </w:p>
    <w:p w:rsidR="007F6DF9" w:rsidRDefault="00A43FBC">
      <w:pPr>
        <w:pStyle w:val="BodyText"/>
        <w:rPr>
          <w:rFonts w:ascii="Arial MT"/>
          <w:sz w:val="17"/>
        </w:rPr>
      </w:pPr>
      <w:r>
        <w:br w:type="column"/>
      </w:r>
    </w:p>
    <w:p w:rsidR="007F6DF9" w:rsidRDefault="007F6DF9">
      <w:pPr>
        <w:pStyle w:val="BodyText"/>
        <w:spacing w:before="34"/>
        <w:rPr>
          <w:rFonts w:ascii="Arial MT"/>
          <w:sz w:val="17"/>
        </w:rPr>
      </w:pPr>
    </w:p>
    <w:p w:rsidR="007F6DF9" w:rsidRDefault="00A43FBC">
      <w:pPr>
        <w:spacing w:before="1"/>
        <w:ind w:left="95"/>
        <w:rPr>
          <w:rFonts w:ascii="Arial MT"/>
          <w:sz w:val="17"/>
        </w:rPr>
      </w:pPr>
      <w:r>
        <w:rPr>
          <w:rFonts w:ascii="Arial MT"/>
          <w:spacing w:val="-2"/>
          <w:sz w:val="17"/>
        </w:rPr>
        <w:t>4,600</w:t>
      </w:r>
    </w:p>
    <w:p w:rsidR="007F6DF9" w:rsidRDefault="00A43FBC">
      <w:pPr>
        <w:pStyle w:val="BodyText"/>
        <w:spacing w:before="27"/>
        <w:rPr>
          <w:rFonts w:ascii="Arial MT"/>
          <w:sz w:val="17"/>
        </w:rPr>
      </w:pPr>
      <w:r>
        <w:br w:type="column"/>
      </w:r>
    </w:p>
    <w:p w:rsidR="007F6DF9" w:rsidRDefault="00A43FBC">
      <w:pPr>
        <w:ind w:left="95"/>
        <w:rPr>
          <w:rFonts w:ascii="Arial MT"/>
          <w:sz w:val="17"/>
        </w:rPr>
      </w:pPr>
      <w:r>
        <w:rPr>
          <w:rFonts w:ascii="Arial MT"/>
          <w:spacing w:val="-5"/>
          <w:sz w:val="17"/>
        </w:rPr>
        <w:t>200</w:t>
      </w:r>
    </w:p>
    <w:p w:rsidR="007F6DF9" w:rsidRDefault="00A43FBC">
      <w:pPr>
        <w:pStyle w:val="BodyText"/>
        <w:rPr>
          <w:rFonts w:ascii="Arial MT"/>
          <w:sz w:val="17"/>
        </w:rPr>
      </w:pPr>
      <w:r>
        <w:br w:type="column"/>
      </w:r>
    </w:p>
    <w:p w:rsidR="007F6DF9" w:rsidRDefault="007F6DF9">
      <w:pPr>
        <w:pStyle w:val="BodyText"/>
        <w:spacing w:before="34"/>
        <w:rPr>
          <w:rFonts w:ascii="Arial MT"/>
          <w:sz w:val="17"/>
        </w:rPr>
      </w:pPr>
    </w:p>
    <w:p w:rsidR="007F6DF9" w:rsidRDefault="00A43FBC">
      <w:pPr>
        <w:spacing w:before="1"/>
        <w:ind w:left="95"/>
        <w:rPr>
          <w:rFonts w:ascii="Arial MT"/>
          <w:sz w:val="17"/>
        </w:rPr>
      </w:pPr>
      <w:r>
        <w:rPr>
          <w:rFonts w:ascii="Arial MT"/>
          <w:spacing w:val="-2"/>
          <w:sz w:val="17"/>
        </w:rPr>
        <w:t>4,800</w:t>
      </w:r>
    </w:p>
    <w:p w:rsidR="007F6DF9" w:rsidRDefault="00A43FBC">
      <w:pPr>
        <w:pStyle w:val="BodyText"/>
        <w:spacing w:before="27"/>
        <w:rPr>
          <w:rFonts w:ascii="Arial MT"/>
          <w:sz w:val="17"/>
        </w:rPr>
      </w:pPr>
      <w:r>
        <w:br w:type="column"/>
      </w:r>
    </w:p>
    <w:p w:rsidR="007F6DF9" w:rsidRDefault="00A43FBC">
      <w:pPr>
        <w:ind w:left="95"/>
        <w:rPr>
          <w:rFonts w:ascii="Arial MT"/>
          <w:sz w:val="17"/>
        </w:rPr>
      </w:pPr>
      <w:r>
        <w:rPr>
          <w:rFonts w:ascii="Arial MT"/>
          <w:spacing w:val="-5"/>
          <w:sz w:val="17"/>
        </w:rPr>
        <w:t>200</w:t>
      </w:r>
    </w:p>
    <w:p w:rsidR="007F6DF9" w:rsidRDefault="00A43FBC">
      <w:pPr>
        <w:pStyle w:val="BodyText"/>
        <w:rPr>
          <w:rFonts w:ascii="Arial MT"/>
          <w:sz w:val="17"/>
        </w:rPr>
      </w:pPr>
      <w:r>
        <w:br w:type="column"/>
      </w:r>
    </w:p>
    <w:p w:rsidR="007F6DF9" w:rsidRDefault="007F6DF9">
      <w:pPr>
        <w:pStyle w:val="BodyText"/>
        <w:spacing w:before="34"/>
        <w:rPr>
          <w:rFonts w:ascii="Arial MT"/>
          <w:sz w:val="17"/>
        </w:rPr>
      </w:pPr>
    </w:p>
    <w:p w:rsidR="007F6DF9" w:rsidRDefault="00A43FBC">
      <w:pPr>
        <w:spacing w:before="1"/>
        <w:ind w:left="95"/>
        <w:rPr>
          <w:rFonts w:ascii="Arial MT"/>
          <w:sz w:val="17"/>
        </w:rPr>
      </w:pPr>
      <w:r>
        <w:rPr>
          <w:rFonts w:ascii="Arial MT"/>
          <w:spacing w:val="-2"/>
          <w:sz w:val="17"/>
        </w:rPr>
        <w:t>4,800</w:t>
      </w:r>
    </w:p>
    <w:p w:rsidR="007F6DF9" w:rsidRDefault="00A43FBC">
      <w:pPr>
        <w:pStyle w:val="BodyText"/>
        <w:spacing w:before="27"/>
        <w:rPr>
          <w:rFonts w:ascii="Arial MT"/>
          <w:sz w:val="17"/>
        </w:rPr>
      </w:pPr>
      <w:r>
        <w:br w:type="column"/>
      </w:r>
    </w:p>
    <w:p w:rsidR="007F6DF9" w:rsidRDefault="00A43FBC">
      <w:pPr>
        <w:ind w:left="95"/>
        <w:rPr>
          <w:rFonts w:ascii="Arial MT"/>
          <w:sz w:val="17"/>
        </w:rPr>
      </w:pPr>
      <w:r>
        <w:rPr>
          <w:rFonts w:ascii="Arial MT"/>
          <w:spacing w:val="-5"/>
          <w:sz w:val="17"/>
        </w:rPr>
        <w:t>200</w:t>
      </w:r>
    </w:p>
    <w:p w:rsidR="007F6DF9" w:rsidRDefault="00A43FBC">
      <w:pPr>
        <w:spacing w:before="108"/>
        <w:ind w:left="95"/>
        <w:rPr>
          <w:rFonts w:ascii="Cambria"/>
          <w:b/>
        </w:rPr>
      </w:pPr>
      <w:r>
        <w:br w:type="column"/>
      </w:r>
      <w:r>
        <w:rPr>
          <w:rFonts w:ascii="Cambria"/>
        </w:rPr>
        <w:lastRenderedPageBreak/>
        <w:t>200mm</w:t>
      </w:r>
      <w:r>
        <w:rPr>
          <w:rFonts w:ascii="Cambria"/>
          <w:spacing w:val="-9"/>
        </w:rPr>
        <w:t xml:space="preserve"> </w:t>
      </w:r>
      <w:r>
        <w:rPr>
          <w:rFonts w:ascii="Cambria"/>
          <w:i/>
        </w:rPr>
        <w:t>(w)</w:t>
      </w:r>
      <w:r>
        <w:rPr>
          <w:rFonts w:ascii="Cambria"/>
          <w:i/>
          <w:spacing w:val="-8"/>
        </w:rPr>
        <w:t xml:space="preserve"> </w:t>
      </w:r>
      <w:r>
        <w:rPr>
          <w:rFonts w:ascii="Cambria"/>
        </w:rPr>
        <w:t>by</w:t>
      </w:r>
      <w:r>
        <w:rPr>
          <w:rFonts w:ascii="Cambria"/>
          <w:spacing w:val="-11"/>
        </w:rPr>
        <w:t xml:space="preserve"> </w:t>
      </w:r>
      <w:r>
        <w:rPr>
          <w:rFonts w:ascii="Cambria"/>
        </w:rPr>
        <w:t>450mm</w:t>
      </w:r>
      <w:r>
        <w:rPr>
          <w:rFonts w:ascii="Cambria"/>
          <w:spacing w:val="-6"/>
        </w:rPr>
        <w:t xml:space="preserve"> </w:t>
      </w:r>
      <w:r>
        <w:rPr>
          <w:rFonts w:ascii="Cambria"/>
          <w:i/>
        </w:rPr>
        <w:t>(d)</w:t>
      </w:r>
      <w:r>
        <w:rPr>
          <w:rFonts w:ascii="Cambria"/>
          <w:i/>
          <w:spacing w:val="-8"/>
        </w:rPr>
        <w:t xml:space="preserve"> </w:t>
      </w:r>
      <w:r>
        <w:rPr>
          <w:rFonts w:ascii="Cambria"/>
          <w:b/>
          <w:spacing w:val="-4"/>
        </w:rPr>
        <w:t>Beam</w:t>
      </w:r>
    </w:p>
    <w:p w:rsidR="007F6DF9" w:rsidRDefault="007F6DF9">
      <w:pPr>
        <w:pStyle w:val="BodyText"/>
        <w:spacing w:before="43"/>
        <w:rPr>
          <w:rFonts w:ascii="Cambria"/>
          <w:b/>
        </w:rPr>
      </w:pPr>
    </w:p>
    <w:p w:rsidR="007F6DF9" w:rsidRDefault="00A43FBC">
      <w:pPr>
        <w:ind w:left="95"/>
        <w:rPr>
          <w:rFonts w:ascii="Cambria"/>
          <w:b/>
        </w:rPr>
      </w:pPr>
      <w:r>
        <w:rPr>
          <w:rFonts w:ascii="Cambria"/>
        </w:rPr>
        <w:t>200mm</w:t>
      </w:r>
      <w:r>
        <w:rPr>
          <w:rFonts w:ascii="Cambria"/>
          <w:spacing w:val="-8"/>
        </w:rPr>
        <w:t xml:space="preserve"> </w:t>
      </w:r>
      <w:r>
        <w:rPr>
          <w:rFonts w:ascii="Cambria"/>
          <w:i/>
        </w:rPr>
        <w:t>(w)</w:t>
      </w:r>
      <w:r>
        <w:rPr>
          <w:rFonts w:ascii="Cambria"/>
          <w:i/>
          <w:spacing w:val="-8"/>
        </w:rPr>
        <w:t xml:space="preserve"> </w:t>
      </w:r>
      <w:r>
        <w:rPr>
          <w:rFonts w:ascii="Cambria"/>
        </w:rPr>
        <w:t>by</w:t>
      </w:r>
      <w:r>
        <w:rPr>
          <w:rFonts w:ascii="Cambria"/>
          <w:spacing w:val="-10"/>
        </w:rPr>
        <w:t xml:space="preserve"> </w:t>
      </w:r>
      <w:r>
        <w:rPr>
          <w:rFonts w:ascii="Cambria"/>
        </w:rPr>
        <w:t>300mm</w:t>
      </w:r>
      <w:r>
        <w:rPr>
          <w:rFonts w:ascii="Cambria"/>
          <w:spacing w:val="-7"/>
        </w:rPr>
        <w:t xml:space="preserve"> </w:t>
      </w:r>
      <w:r>
        <w:rPr>
          <w:rFonts w:ascii="Cambria"/>
          <w:i/>
        </w:rPr>
        <w:t>(l)</w:t>
      </w:r>
      <w:r>
        <w:rPr>
          <w:rFonts w:ascii="Cambria"/>
          <w:i/>
          <w:spacing w:val="-7"/>
        </w:rPr>
        <w:t xml:space="preserve"> </w:t>
      </w:r>
      <w:r>
        <w:rPr>
          <w:rFonts w:ascii="Cambria"/>
          <w:b/>
        </w:rPr>
        <w:t>RC</w:t>
      </w:r>
      <w:r>
        <w:rPr>
          <w:rFonts w:ascii="Cambria"/>
          <w:b/>
          <w:spacing w:val="-12"/>
        </w:rPr>
        <w:t xml:space="preserve"> </w:t>
      </w:r>
      <w:r>
        <w:rPr>
          <w:rFonts w:ascii="Cambria"/>
          <w:b/>
          <w:spacing w:val="-2"/>
        </w:rPr>
        <w:t>Column</w:t>
      </w:r>
    </w:p>
    <w:p w:rsidR="007F6DF9" w:rsidRDefault="007F6DF9">
      <w:pPr>
        <w:rPr>
          <w:rFonts w:ascii="Cambria"/>
          <w:b/>
        </w:rPr>
        <w:sectPr w:rsidR="007F6DF9">
          <w:type w:val="continuous"/>
          <w:pgSz w:w="31660" w:h="22390" w:orient="landscape"/>
          <w:pgMar w:top="340" w:right="1417" w:bottom="0" w:left="3118" w:header="0" w:footer="0" w:gutter="0"/>
          <w:cols w:num="8" w:space="720" w:equalWidth="0">
            <w:col w:w="426" w:space="1022"/>
            <w:col w:w="570" w:space="1022"/>
            <w:col w:w="426" w:space="1085"/>
            <w:col w:w="570" w:space="1085"/>
            <w:col w:w="426" w:space="1086"/>
            <w:col w:w="570" w:space="1085"/>
            <w:col w:w="426" w:space="8557"/>
            <w:col w:w="8769"/>
          </w:cols>
        </w:sectPr>
      </w:pPr>
    </w:p>
    <w:p w:rsidR="007F6DF9" w:rsidRDefault="00A43FBC">
      <w:pPr>
        <w:spacing w:before="70"/>
        <w:ind w:right="441"/>
        <w:jc w:val="center"/>
        <w:rPr>
          <w:rFonts w:ascii="Arial MT"/>
          <w:sz w:val="18"/>
        </w:rPr>
      </w:pPr>
      <w:bookmarkStart w:id="81" w:name="gs"/>
      <w:bookmarkEnd w:id="81"/>
      <w:r>
        <w:rPr>
          <w:rFonts w:ascii="Arial MT"/>
          <w:sz w:val="18"/>
        </w:rPr>
        <w:lastRenderedPageBreak/>
        <w:t>Proposed</w:t>
      </w:r>
      <w:r>
        <w:rPr>
          <w:rFonts w:ascii="Arial MT"/>
          <w:spacing w:val="8"/>
          <w:sz w:val="18"/>
        </w:rPr>
        <w:t xml:space="preserve"> </w:t>
      </w:r>
      <w:r>
        <w:rPr>
          <w:rFonts w:ascii="Arial MT"/>
          <w:sz w:val="18"/>
        </w:rPr>
        <w:t>Cold</w:t>
      </w:r>
      <w:r>
        <w:rPr>
          <w:rFonts w:ascii="Arial MT"/>
          <w:spacing w:val="8"/>
          <w:sz w:val="18"/>
        </w:rPr>
        <w:t xml:space="preserve"> </w:t>
      </w:r>
      <w:r>
        <w:rPr>
          <w:rFonts w:ascii="Arial MT"/>
          <w:sz w:val="18"/>
        </w:rPr>
        <w:t>Room</w:t>
      </w:r>
      <w:r>
        <w:rPr>
          <w:rFonts w:ascii="Arial MT"/>
          <w:spacing w:val="10"/>
          <w:sz w:val="18"/>
        </w:rPr>
        <w:t xml:space="preserve"> </w:t>
      </w:r>
      <w:r>
        <w:rPr>
          <w:rFonts w:ascii="Arial MT"/>
          <w:sz w:val="18"/>
        </w:rPr>
        <w:t>at</w:t>
      </w:r>
      <w:r>
        <w:rPr>
          <w:rFonts w:ascii="Arial MT"/>
          <w:spacing w:val="6"/>
          <w:sz w:val="18"/>
        </w:rPr>
        <w:t xml:space="preserve"> </w:t>
      </w:r>
      <w:r>
        <w:rPr>
          <w:rFonts w:ascii="Arial MT"/>
          <w:spacing w:val="-2"/>
          <w:sz w:val="18"/>
        </w:rPr>
        <w:t>JOOTRH</w:t>
      </w:r>
    </w:p>
    <w:p w:rsidR="007F6DF9" w:rsidRDefault="00A43FBC">
      <w:pPr>
        <w:spacing w:before="153"/>
        <w:ind w:left="293" w:right="441"/>
        <w:jc w:val="center"/>
        <w:rPr>
          <w:b/>
          <w:sz w:val="24"/>
        </w:rPr>
      </w:pPr>
      <w:r>
        <w:rPr>
          <w:b/>
          <w:sz w:val="24"/>
          <w:u w:val="single"/>
        </w:rPr>
        <w:t>GRAND</w:t>
      </w:r>
      <w:r>
        <w:rPr>
          <w:b/>
          <w:spacing w:val="-4"/>
          <w:sz w:val="24"/>
          <w:u w:val="single"/>
        </w:rPr>
        <w:t xml:space="preserve"> </w:t>
      </w:r>
      <w:r>
        <w:rPr>
          <w:b/>
          <w:spacing w:val="-2"/>
          <w:sz w:val="24"/>
          <w:u w:val="single"/>
        </w:rPr>
        <w:t>SUMMARY</w:t>
      </w:r>
    </w:p>
    <w:p w:rsidR="007F6DF9" w:rsidRDefault="007F6DF9">
      <w:pPr>
        <w:pStyle w:val="BodyText"/>
        <w:spacing w:before="61"/>
        <w:rPr>
          <w:b/>
          <w:sz w:val="20"/>
        </w:rPr>
      </w:pPr>
    </w:p>
    <w:tbl>
      <w:tblPr>
        <w:tblW w:w="0" w:type="auto"/>
        <w:tblInd w:w="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6"/>
        <w:gridCol w:w="6575"/>
        <w:gridCol w:w="1830"/>
      </w:tblGrid>
      <w:tr w:rsidR="007F6DF9">
        <w:trPr>
          <w:trHeight w:val="260"/>
        </w:trPr>
        <w:tc>
          <w:tcPr>
            <w:tcW w:w="886" w:type="dxa"/>
            <w:tcBorders>
              <w:bottom w:val="single" w:sz="8" w:space="0" w:color="000000"/>
              <w:right w:val="single" w:sz="8" w:space="0" w:color="000000"/>
            </w:tcBorders>
          </w:tcPr>
          <w:p w:rsidR="007F6DF9" w:rsidRDefault="00A43FBC">
            <w:pPr>
              <w:pStyle w:val="TableParagraph"/>
              <w:spacing w:line="240" w:lineRule="exact"/>
              <w:ind w:left="41" w:right="4"/>
              <w:jc w:val="center"/>
              <w:rPr>
                <w:rFonts w:ascii="Times New Roman"/>
                <w:sz w:val="24"/>
              </w:rPr>
            </w:pPr>
            <w:r>
              <w:rPr>
                <w:rFonts w:ascii="Times New Roman"/>
                <w:spacing w:val="-4"/>
                <w:sz w:val="24"/>
              </w:rPr>
              <w:t>ITEM</w:t>
            </w:r>
          </w:p>
        </w:tc>
        <w:tc>
          <w:tcPr>
            <w:tcW w:w="6575" w:type="dxa"/>
            <w:tcBorders>
              <w:left w:val="single" w:sz="8" w:space="0" w:color="000000"/>
              <w:bottom w:val="single" w:sz="8" w:space="0" w:color="000000"/>
              <w:right w:val="single" w:sz="8" w:space="0" w:color="000000"/>
            </w:tcBorders>
          </w:tcPr>
          <w:p w:rsidR="007F6DF9" w:rsidRDefault="00A43FBC">
            <w:pPr>
              <w:pStyle w:val="TableParagraph"/>
              <w:spacing w:line="240" w:lineRule="exact"/>
              <w:ind w:left="50"/>
              <w:jc w:val="center"/>
              <w:rPr>
                <w:rFonts w:ascii="Times New Roman"/>
                <w:sz w:val="24"/>
              </w:rPr>
            </w:pPr>
            <w:r>
              <w:rPr>
                <w:rFonts w:ascii="Times New Roman"/>
                <w:spacing w:val="-2"/>
                <w:sz w:val="24"/>
              </w:rPr>
              <w:t>DESCRIPTION</w:t>
            </w:r>
          </w:p>
        </w:tc>
        <w:tc>
          <w:tcPr>
            <w:tcW w:w="1830" w:type="dxa"/>
            <w:tcBorders>
              <w:left w:val="single" w:sz="8" w:space="0" w:color="000000"/>
              <w:bottom w:val="single" w:sz="8" w:space="0" w:color="000000"/>
              <w:right w:val="single" w:sz="8" w:space="0" w:color="000000"/>
            </w:tcBorders>
          </w:tcPr>
          <w:p w:rsidR="007F6DF9" w:rsidRDefault="00A43FBC">
            <w:pPr>
              <w:pStyle w:val="TableParagraph"/>
              <w:spacing w:line="240" w:lineRule="exact"/>
              <w:ind w:left="616"/>
              <w:rPr>
                <w:rFonts w:ascii="Times New Roman"/>
                <w:sz w:val="24"/>
              </w:rPr>
            </w:pPr>
            <w:r>
              <w:rPr>
                <w:rFonts w:ascii="Times New Roman"/>
                <w:spacing w:val="-4"/>
                <w:sz w:val="24"/>
              </w:rPr>
              <w:t>KSHS</w:t>
            </w:r>
          </w:p>
        </w:tc>
      </w:tr>
      <w:tr w:rsidR="007F6DF9">
        <w:trPr>
          <w:trHeight w:val="426"/>
        </w:trPr>
        <w:tc>
          <w:tcPr>
            <w:tcW w:w="886" w:type="dxa"/>
            <w:tcBorders>
              <w:top w:val="single" w:sz="8" w:space="0" w:color="000000"/>
              <w:bottom w:val="nil"/>
              <w:right w:val="single" w:sz="8" w:space="0" w:color="000000"/>
            </w:tcBorders>
          </w:tcPr>
          <w:p w:rsidR="007F6DF9" w:rsidRDefault="00A43FBC">
            <w:pPr>
              <w:pStyle w:val="TableParagraph"/>
              <w:ind w:left="41" w:right="3"/>
              <w:jc w:val="center"/>
              <w:rPr>
                <w:rFonts w:ascii="Times New Roman"/>
                <w:sz w:val="24"/>
              </w:rPr>
            </w:pPr>
            <w:r>
              <w:rPr>
                <w:rFonts w:ascii="Times New Roman"/>
                <w:spacing w:val="-10"/>
                <w:sz w:val="24"/>
              </w:rPr>
              <w:t>A</w:t>
            </w:r>
          </w:p>
        </w:tc>
        <w:tc>
          <w:tcPr>
            <w:tcW w:w="6575" w:type="dxa"/>
            <w:tcBorders>
              <w:top w:val="single" w:sz="8" w:space="0" w:color="000000"/>
              <w:left w:val="single" w:sz="8" w:space="0" w:color="000000"/>
              <w:bottom w:val="nil"/>
              <w:right w:val="single" w:sz="8" w:space="0" w:color="000000"/>
            </w:tcBorders>
          </w:tcPr>
          <w:p w:rsidR="007F6DF9" w:rsidRDefault="00A43FBC">
            <w:pPr>
              <w:pStyle w:val="TableParagraph"/>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1"/>
                <w:sz w:val="24"/>
              </w:rPr>
              <w:t xml:space="preserve"> </w:t>
            </w:r>
            <w:r>
              <w:rPr>
                <w:rFonts w:ascii="Times New Roman"/>
                <w:sz w:val="24"/>
              </w:rPr>
              <w:t>1-</w:t>
            </w:r>
            <w:r>
              <w:rPr>
                <w:rFonts w:ascii="Times New Roman"/>
                <w:spacing w:val="-2"/>
                <w:sz w:val="24"/>
              </w:rPr>
              <w:t xml:space="preserve"> </w:t>
            </w:r>
            <w:r>
              <w:rPr>
                <w:rFonts w:ascii="Times New Roman"/>
                <w:sz w:val="24"/>
              </w:rPr>
              <w:t>Particular</w:t>
            </w:r>
            <w:r>
              <w:rPr>
                <w:rFonts w:ascii="Times New Roman"/>
                <w:spacing w:val="-2"/>
                <w:sz w:val="24"/>
              </w:rPr>
              <w:t xml:space="preserve"> Preliminaries</w:t>
            </w:r>
          </w:p>
        </w:tc>
        <w:tc>
          <w:tcPr>
            <w:tcW w:w="1830" w:type="dxa"/>
            <w:vMerge w:val="restart"/>
            <w:tcBorders>
              <w:top w:val="single" w:sz="8" w:space="0" w:color="000000"/>
              <w:left w:val="single" w:sz="8" w:space="0" w:color="000000"/>
              <w:bottom w:val="single" w:sz="8" w:space="0" w:color="000000"/>
              <w:right w:val="single" w:sz="8" w:space="0" w:color="000000"/>
            </w:tcBorders>
          </w:tcPr>
          <w:p w:rsidR="007F6DF9" w:rsidRDefault="007F6DF9">
            <w:pPr>
              <w:pStyle w:val="TableParagraph"/>
              <w:rPr>
                <w:rFonts w:ascii="Times New Roman"/>
              </w:rPr>
            </w:pPr>
          </w:p>
        </w:tc>
      </w:tr>
      <w:tr w:rsidR="007F6DF9">
        <w:trPr>
          <w:trHeight w:val="565"/>
        </w:trPr>
        <w:tc>
          <w:tcPr>
            <w:tcW w:w="886" w:type="dxa"/>
            <w:tcBorders>
              <w:top w:val="nil"/>
              <w:bottom w:val="nil"/>
              <w:right w:val="single" w:sz="8" w:space="0" w:color="000000"/>
            </w:tcBorders>
          </w:tcPr>
          <w:p w:rsidR="007F6DF9" w:rsidRDefault="00A43FBC">
            <w:pPr>
              <w:pStyle w:val="TableParagraph"/>
              <w:spacing w:before="139"/>
              <w:ind w:left="41" w:right="1"/>
              <w:jc w:val="center"/>
              <w:rPr>
                <w:rFonts w:ascii="Times New Roman"/>
                <w:sz w:val="24"/>
              </w:rPr>
            </w:pPr>
            <w:r>
              <w:rPr>
                <w:rFonts w:ascii="Times New Roman"/>
                <w:spacing w:val="-10"/>
                <w:sz w:val="24"/>
              </w:rPr>
              <w:t>B</w:t>
            </w:r>
          </w:p>
        </w:tc>
        <w:tc>
          <w:tcPr>
            <w:tcW w:w="6575" w:type="dxa"/>
            <w:tcBorders>
              <w:top w:val="nil"/>
              <w:left w:val="single" w:sz="8" w:space="0" w:color="000000"/>
              <w:bottom w:val="nil"/>
              <w:right w:val="single" w:sz="8" w:space="0" w:color="000000"/>
            </w:tcBorders>
          </w:tcPr>
          <w:p w:rsidR="007F6DF9" w:rsidRDefault="00A43FBC">
            <w:pPr>
              <w:pStyle w:val="TableParagraph"/>
              <w:spacing w:before="139"/>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2"/>
                <w:sz w:val="24"/>
              </w:rPr>
              <w:t xml:space="preserve"> </w:t>
            </w:r>
            <w:r>
              <w:rPr>
                <w:rFonts w:ascii="Times New Roman"/>
                <w:sz w:val="24"/>
              </w:rPr>
              <w:t>2-</w:t>
            </w:r>
            <w:r>
              <w:rPr>
                <w:rFonts w:ascii="Times New Roman"/>
                <w:spacing w:val="-3"/>
                <w:sz w:val="24"/>
              </w:rPr>
              <w:t xml:space="preserve"> </w:t>
            </w:r>
            <w:r>
              <w:rPr>
                <w:rFonts w:ascii="Times New Roman"/>
                <w:sz w:val="24"/>
              </w:rPr>
              <w:t>General</w:t>
            </w:r>
            <w:r>
              <w:rPr>
                <w:rFonts w:ascii="Times New Roman"/>
                <w:spacing w:val="-1"/>
                <w:sz w:val="24"/>
              </w:rPr>
              <w:t xml:space="preserve"> </w:t>
            </w:r>
            <w:r>
              <w:rPr>
                <w:rFonts w:ascii="Times New Roman"/>
                <w:spacing w:val="-2"/>
                <w:sz w:val="24"/>
              </w:rPr>
              <w:t>Preliminaries</w:t>
            </w:r>
          </w:p>
        </w:tc>
        <w:tc>
          <w:tcPr>
            <w:tcW w:w="1830" w:type="dxa"/>
            <w:vMerge/>
            <w:tcBorders>
              <w:top w:val="nil"/>
              <w:left w:val="single" w:sz="8" w:space="0" w:color="000000"/>
              <w:bottom w:val="single" w:sz="8" w:space="0" w:color="000000"/>
              <w:right w:val="single" w:sz="8" w:space="0" w:color="000000"/>
            </w:tcBorders>
          </w:tcPr>
          <w:p w:rsidR="007F6DF9" w:rsidRDefault="007F6DF9">
            <w:pPr>
              <w:rPr>
                <w:sz w:val="2"/>
                <w:szCs w:val="2"/>
              </w:rPr>
            </w:pPr>
          </w:p>
        </w:tc>
      </w:tr>
      <w:tr w:rsidR="007F6DF9">
        <w:trPr>
          <w:trHeight w:val="565"/>
        </w:trPr>
        <w:tc>
          <w:tcPr>
            <w:tcW w:w="886" w:type="dxa"/>
            <w:tcBorders>
              <w:top w:val="nil"/>
              <w:bottom w:val="nil"/>
              <w:right w:val="single" w:sz="8" w:space="0" w:color="000000"/>
            </w:tcBorders>
          </w:tcPr>
          <w:p w:rsidR="007F6DF9" w:rsidRDefault="00A43FBC">
            <w:pPr>
              <w:pStyle w:val="TableParagraph"/>
              <w:spacing w:before="139"/>
              <w:ind w:left="41" w:right="1"/>
              <w:jc w:val="center"/>
              <w:rPr>
                <w:rFonts w:ascii="Times New Roman"/>
                <w:sz w:val="24"/>
              </w:rPr>
            </w:pPr>
            <w:r>
              <w:rPr>
                <w:rFonts w:ascii="Times New Roman"/>
                <w:spacing w:val="-10"/>
                <w:sz w:val="24"/>
              </w:rPr>
              <w:t>C</w:t>
            </w:r>
          </w:p>
        </w:tc>
        <w:tc>
          <w:tcPr>
            <w:tcW w:w="6575" w:type="dxa"/>
            <w:tcBorders>
              <w:top w:val="nil"/>
              <w:left w:val="single" w:sz="8" w:space="0" w:color="000000"/>
              <w:bottom w:val="nil"/>
              <w:right w:val="single" w:sz="8" w:space="0" w:color="000000"/>
            </w:tcBorders>
          </w:tcPr>
          <w:p w:rsidR="007F6DF9" w:rsidRDefault="00A43FBC">
            <w:pPr>
              <w:pStyle w:val="TableParagraph"/>
              <w:spacing w:before="139"/>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1"/>
                <w:sz w:val="24"/>
              </w:rPr>
              <w:t xml:space="preserve"> </w:t>
            </w:r>
            <w:r>
              <w:rPr>
                <w:rFonts w:ascii="Times New Roman"/>
                <w:sz w:val="24"/>
              </w:rPr>
              <w:t>3-</w:t>
            </w:r>
            <w:r>
              <w:rPr>
                <w:rFonts w:ascii="Times New Roman"/>
                <w:spacing w:val="-2"/>
                <w:sz w:val="24"/>
              </w:rPr>
              <w:t xml:space="preserve"> </w:t>
            </w:r>
            <w:r>
              <w:rPr>
                <w:rFonts w:ascii="Times New Roman"/>
                <w:sz w:val="24"/>
              </w:rPr>
              <w:t>Builders</w:t>
            </w:r>
            <w:r>
              <w:rPr>
                <w:rFonts w:ascii="Times New Roman"/>
                <w:spacing w:val="-1"/>
                <w:sz w:val="24"/>
              </w:rPr>
              <w:t xml:space="preserve"> </w:t>
            </w:r>
            <w:r>
              <w:rPr>
                <w:rFonts w:ascii="Times New Roman"/>
                <w:spacing w:val="-2"/>
                <w:sz w:val="24"/>
              </w:rPr>
              <w:t>Works</w:t>
            </w:r>
          </w:p>
        </w:tc>
        <w:tc>
          <w:tcPr>
            <w:tcW w:w="1830" w:type="dxa"/>
            <w:vMerge/>
            <w:tcBorders>
              <w:top w:val="nil"/>
              <w:left w:val="single" w:sz="8" w:space="0" w:color="000000"/>
              <w:bottom w:val="single" w:sz="8" w:space="0" w:color="000000"/>
              <w:right w:val="single" w:sz="8" w:space="0" w:color="000000"/>
            </w:tcBorders>
          </w:tcPr>
          <w:p w:rsidR="007F6DF9" w:rsidRDefault="007F6DF9">
            <w:pPr>
              <w:rPr>
                <w:sz w:val="2"/>
                <w:szCs w:val="2"/>
              </w:rPr>
            </w:pPr>
          </w:p>
        </w:tc>
      </w:tr>
      <w:tr w:rsidR="007F6DF9">
        <w:trPr>
          <w:trHeight w:val="565"/>
        </w:trPr>
        <w:tc>
          <w:tcPr>
            <w:tcW w:w="886" w:type="dxa"/>
            <w:tcBorders>
              <w:top w:val="nil"/>
              <w:bottom w:val="nil"/>
              <w:right w:val="single" w:sz="8" w:space="0" w:color="000000"/>
            </w:tcBorders>
          </w:tcPr>
          <w:p w:rsidR="007F6DF9" w:rsidRDefault="00A43FBC">
            <w:pPr>
              <w:pStyle w:val="TableParagraph"/>
              <w:spacing w:before="139"/>
              <w:ind w:left="41" w:right="3"/>
              <w:jc w:val="center"/>
              <w:rPr>
                <w:rFonts w:ascii="Times New Roman"/>
                <w:sz w:val="24"/>
              </w:rPr>
            </w:pPr>
            <w:r>
              <w:rPr>
                <w:rFonts w:ascii="Times New Roman"/>
                <w:spacing w:val="-10"/>
                <w:sz w:val="24"/>
              </w:rPr>
              <w:t>D</w:t>
            </w:r>
          </w:p>
        </w:tc>
        <w:tc>
          <w:tcPr>
            <w:tcW w:w="6575" w:type="dxa"/>
            <w:tcBorders>
              <w:top w:val="nil"/>
              <w:left w:val="single" w:sz="8" w:space="0" w:color="000000"/>
              <w:bottom w:val="nil"/>
              <w:right w:val="single" w:sz="8" w:space="0" w:color="000000"/>
            </w:tcBorders>
          </w:tcPr>
          <w:p w:rsidR="007F6DF9" w:rsidRDefault="00A43FBC">
            <w:pPr>
              <w:pStyle w:val="TableParagraph"/>
              <w:spacing w:before="139"/>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2"/>
                <w:sz w:val="24"/>
              </w:rPr>
              <w:t xml:space="preserve"> </w:t>
            </w:r>
            <w:r>
              <w:rPr>
                <w:rFonts w:ascii="Times New Roman"/>
                <w:sz w:val="24"/>
              </w:rPr>
              <w:t>4-</w:t>
            </w:r>
            <w:r>
              <w:rPr>
                <w:rFonts w:ascii="Times New Roman"/>
                <w:spacing w:val="-2"/>
                <w:sz w:val="24"/>
              </w:rPr>
              <w:t xml:space="preserve"> </w:t>
            </w:r>
            <w:r>
              <w:rPr>
                <w:rFonts w:ascii="Times New Roman"/>
                <w:sz w:val="24"/>
              </w:rPr>
              <w:t>Electrical</w:t>
            </w:r>
            <w:r>
              <w:rPr>
                <w:rFonts w:ascii="Times New Roman"/>
                <w:spacing w:val="-1"/>
                <w:sz w:val="24"/>
              </w:rPr>
              <w:t xml:space="preserve"> </w:t>
            </w:r>
            <w:r>
              <w:rPr>
                <w:rFonts w:ascii="Times New Roman"/>
                <w:spacing w:val="-2"/>
                <w:sz w:val="24"/>
              </w:rPr>
              <w:t>Works</w:t>
            </w:r>
          </w:p>
        </w:tc>
        <w:tc>
          <w:tcPr>
            <w:tcW w:w="1830" w:type="dxa"/>
            <w:vMerge/>
            <w:tcBorders>
              <w:top w:val="nil"/>
              <w:left w:val="single" w:sz="8" w:space="0" w:color="000000"/>
              <w:bottom w:val="single" w:sz="8" w:space="0" w:color="000000"/>
              <w:right w:val="single" w:sz="8" w:space="0" w:color="000000"/>
            </w:tcBorders>
          </w:tcPr>
          <w:p w:rsidR="007F6DF9" w:rsidRDefault="007F6DF9">
            <w:pPr>
              <w:rPr>
                <w:sz w:val="2"/>
                <w:szCs w:val="2"/>
              </w:rPr>
            </w:pPr>
          </w:p>
        </w:tc>
      </w:tr>
      <w:tr w:rsidR="007F6DF9">
        <w:trPr>
          <w:trHeight w:val="1877"/>
        </w:trPr>
        <w:tc>
          <w:tcPr>
            <w:tcW w:w="886" w:type="dxa"/>
            <w:tcBorders>
              <w:top w:val="nil"/>
              <w:bottom w:val="single" w:sz="8" w:space="0" w:color="000000"/>
              <w:right w:val="single" w:sz="8" w:space="0" w:color="000000"/>
            </w:tcBorders>
          </w:tcPr>
          <w:p w:rsidR="007F6DF9" w:rsidRDefault="00A43FBC">
            <w:pPr>
              <w:pStyle w:val="TableParagraph"/>
              <w:spacing w:before="139"/>
              <w:ind w:left="41"/>
              <w:jc w:val="center"/>
              <w:rPr>
                <w:rFonts w:ascii="Times New Roman"/>
                <w:sz w:val="24"/>
              </w:rPr>
            </w:pPr>
            <w:r>
              <w:rPr>
                <w:rFonts w:ascii="Times New Roman"/>
                <w:spacing w:val="-10"/>
                <w:sz w:val="24"/>
              </w:rPr>
              <w:t>E</w:t>
            </w:r>
          </w:p>
        </w:tc>
        <w:tc>
          <w:tcPr>
            <w:tcW w:w="6575" w:type="dxa"/>
            <w:tcBorders>
              <w:top w:val="nil"/>
              <w:left w:val="single" w:sz="8" w:space="0" w:color="000000"/>
              <w:bottom w:val="single" w:sz="8" w:space="0" w:color="000000"/>
              <w:right w:val="single" w:sz="8" w:space="0" w:color="000000"/>
            </w:tcBorders>
          </w:tcPr>
          <w:p w:rsidR="007F6DF9" w:rsidRDefault="00A43FBC">
            <w:pPr>
              <w:pStyle w:val="TableParagraph"/>
              <w:spacing w:before="139"/>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2"/>
                <w:sz w:val="24"/>
              </w:rPr>
              <w:t xml:space="preserve"> </w:t>
            </w:r>
            <w:r>
              <w:rPr>
                <w:rFonts w:ascii="Times New Roman"/>
                <w:sz w:val="24"/>
              </w:rPr>
              <w:t>5-</w:t>
            </w:r>
            <w:r>
              <w:rPr>
                <w:rFonts w:ascii="Times New Roman"/>
                <w:spacing w:val="-3"/>
                <w:sz w:val="24"/>
              </w:rPr>
              <w:t xml:space="preserve"> </w:t>
            </w:r>
            <w:r>
              <w:rPr>
                <w:rFonts w:ascii="Times New Roman"/>
                <w:sz w:val="24"/>
              </w:rPr>
              <w:t>Mechanical</w:t>
            </w:r>
            <w:r>
              <w:rPr>
                <w:rFonts w:ascii="Times New Roman"/>
                <w:spacing w:val="-1"/>
                <w:sz w:val="24"/>
              </w:rPr>
              <w:t xml:space="preserve"> </w:t>
            </w:r>
            <w:r>
              <w:rPr>
                <w:rFonts w:ascii="Times New Roman"/>
                <w:spacing w:val="-2"/>
                <w:sz w:val="24"/>
              </w:rPr>
              <w:t>Works</w:t>
            </w:r>
          </w:p>
          <w:p w:rsidR="007F6DF9" w:rsidRDefault="007F6DF9">
            <w:pPr>
              <w:pStyle w:val="TableParagraph"/>
              <w:spacing w:before="39"/>
              <w:rPr>
                <w:rFonts w:ascii="Times New Roman"/>
                <w:b/>
                <w:sz w:val="24"/>
              </w:rPr>
            </w:pPr>
          </w:p>
          <w:p w:rsidR="007F6DF9" w:rsidRDefault="00A43FBC">
            <w:pPr>
              <w:pStyle w:val="TableParagraph"/>
              <w:ind w:left="47"/>
              <w:rPr>
                <w:rFonts w:ascii="Times New Roman"/>
                <w:b/>
                <w:sz w:val="24"/>
              </w:rPr>
            </w:pPr>
            <w:r>
              <w:rPr>
                <w:rFonts w:ascii="Times New Roman"/>
                <w:b/>
                <w:sz w:val="24"/>
              </w:rPr>
              <w:t xml:space="preserve">Sub </w:t>
            </w:r>
            <w:r>
              <w:rPr>
                <w:rFonts w:ascii="Times New Roman"/>
                <w:b/>
                <w:spacing w:val="-2"/>
                <w:sz w:val="24"/>
              </w:rPr>
              <w:t>Total</w:t>
            </w:r>
          </w:p>
          <w:p w:rsidR="007F6DF9" w:rsidRDefault="007F6DF9">
            <w:pPr>
              <w:pStyle w:val="TableParagraph"/>
              <w:spacing w:before="29"/>
              <w:rPr>
                <w:rFonts w:ascii="Times New Roman"/>
                <w:b/>
                <w:sz w:val="24"/>
              </w:rPr>
            </w:pPr>
          </w:p>
          <w:p w:rsidR="007F6DF9" w:rsidRDefault="00A43FBC">
            <w:pPr>
              <w:pStyle w:val="TableParagraph"/>
              <w:ind w:left="47"/>
              <w:rPr>
                <w:rFonts w:ascii="Times New Roman"/>
                <w:sz w:val="24"/>
              </w:rPr>
            </w:pPr>
            <w:r>
              <w:rPr>
                <w:rFonts w:ascii="Times New Roman"/>
                <w:sz w:val="24"/>
              </w:rPr>
              <w:t>Add:</w:t>
            </w:r>
            <w:r>
              <w:rPr>
                <w:rFonts w:ascii="Times New Roman"/>
                <w:spacing w:val="-2"/>
                <w:sz w:val="24"/>
              </w:rPr>
              <w:t xml:space="preserve"> </w:t>
            </w:r>
            <w:r>
              <w:rPr>
                <w:rFonts w:ascii="Times New Roman"/>
                <w:sz w:val="24"/>
              </w:rPr>
              <w:t>0.03%</w:t>
            </w:r>
            <w:r>
              <w:rPr>
                <w:rFonts w:ascii="Times New Roman"/>
                <w:spacing w:val="-2"/>
                <w:sz w:val="24"/>
              </w:rPr>
              <w:t xml:space="preserve"> </w:t>
            </w:r>
            <w:r>
              <w:rPr>
                <w:rFonts w:ascii="Times New Roman"/>
                <w:sz w:val="24"/>
              </w:rPr>
              <w:t>PPRA</w:t>
            </w:r>
            <w:r>
              <w:rPr>
                <w:rFonts w:ascii="Times New Roman"/>
                <w:spacing w:val="-1"/>
                <w:sz w:val="24"/>
              </w:rPr>
              <w:t xml:space="preserve"> </w:t>
            </w:r>
            <w:r>
              <w:rPr>
                <w:rFonts w:ascii="Times New Roman"/>
                <w:sz w:val="24"/>
              </w:rPr>
              <w:t>Capacity</w:t>
            </w:r>
            <w:r>
              <w:rPr>
                <w:rFonts w:ascii="Times New Roman"/>
                <w:spacing w:val="-8"/>
                <w:sz w:val="24"/>
              </w:rPr>
              <w:t xml:space="preserve"> </w:t>
            </w:r>
            <w:r>
              <w:rPr>
                <w:rFonts w:ascii="Times New Roman"/>
                <w:sz w:val="24"/>
              </w:rPr>
              <w:t>Building</w:t>
            </w:r>
            <w:r>
              <w:rPr>
                <w:rFonts w:ascii="Times New Roman"/>
                <w:spacing w:val="-3"/>
                <w:sz w:val="24"/>
              </w:rPr>
              <w:t xml:space="preserve"> </w:t>
            </w:r>
            <w:r>
              <w:rPr>
                <w:rFonts w:ascii="Times New Roman"/>
                <w:spacing w:val="-4"/>
                <w:sz w:val="24"/>
              </w:rPr>
              <w:t>Levy</w:t>
            </w:r>
          </w:p>
        </w:tc>
        <w:tc>
          <w:tcPr>
            <w:tcW w:w="1830" w:type="dxa"/>
            <w:vMerge/>
            <w:tcBorders>
              <w:top w:val="nil"/>
              <w:left w:val="single" w:sz="8" w:space="0" w:color="000000"/>
              <w:bottom w:val="single" w:sz="8" w:space="0" w:color="000000"/>
              <w:right w:val="single" w:sz="8" w:space="0" w:color="000000"/>
            </w:tcBorders>
          </w:tcPr>
          <w:p w:rsidR="007F6DF9" w:rsidRDefault="007F6DF9">
            <w:pPr>
              <w:rPr>
                <w:sz w:val="2"/>
                <w:szCs w:val="2"/>
              </w:rPr>
            </w:pPr>
          </w:p>
        </w:tc>
      </w:tr>
      <w:tr w:rsidR="007F6DF9">
        <w:trPr>
          <w:trHeight w:val="272"/>
        </w:trPr>
        <w:tc>
          <w:tcPr>
            <w:tcW w:w="886" w:type="dxa"/>
            <w:tcBorders>
              <w:top w:val="single" w:sz="8" w:space="0" w:color="000000"/>
              <w:bottom w:val="single" w:sz="8" w:space="0" w:color="000000"/>
              <w:right w:val="single" w:sz="8" w:space="0" w:color="000000"/>
            </w:tcBorders>
          </w:tcPr>
          <w:p w:rsidR="007F6DF9" w:rsidRDefault="007F6DF9">
            <w:pPr>
              <w:pStyle w:val="TableParagraph"/>
              <w:rPr>
                <w:rFonts w:ascii="Times New Roman"/>
                <w:sz w:val="20"/>
              </w:rPr>
            </w:pPr>
          </w:p>
        </w:tc>
        <w:tc>
          <w:tcPr>
            <w:tcW w:w="6575" w:type="dxa"/>
            <w:tcBorders>
              <w:top w:val="single" w:sz="8" w:space="0" w:color="000000"/>
              <w:left w:val="single" w:sz="8" w:space="0" w:color="000000"/>
              <w:bottom w:val="single" w:sz="8" w:space="0" w:color="000000"/>
              <w:right w:val="single" w:sz="8" w:space="0" w:color="000000"/>
            </w:tcBorders>
          </w:tcPr>
          <w:p w:rsidR="007F6DF9" w:rsidRDefault="00A43FBC">
            <w:pPr>
              <w:pStyle w:val="TableParagraph"/>
              <w:spacing w:line="253" w:lineRule="exact"/>
              <w:ind w:left="47"/>
              <w:rPr>
                <w:rFonts w:ascii="Times New Roman"/>
                <w:sz w:val="24"/>
              </w:rPr>
            </w:pPr>
            <w:r>
              <w:rPr>
                <w:rFonts w:ascii="Times New Roman"/>
                <w:sz w:val="24"/>
              </w:rPr>
              <w:t>Total</w:t>
            </w:r>
            <w:r>
              <w:rPr>
                <w:rFonts w:ascii="Times New Roman"/>
                <w:spacing w:val="-2"/>
                <w:sz w:val="24"/>
              </w:rPr>
              <w:t xml:space="preserve"> </w:t>
            </w:r>
            <w:r>
              <w:rPr>
                <w:rFonts w:ascii="Times New Roman"/>
                <w:sz w:val="24"/>
              </w:rPr>
              <w:t>carried</w:t>
            </w:r>
            <w:r>
              <w:rPr>
                <w:rFonts w:ascii="Times New Roman"/>
                <w:spacing w:val="-1"/>
                <w:sz w:val="24"/>
              </w:rPr>
              <w:t xml:space="preserve"> </w:t>
            </w:r>
            <w:r>
              <w:rPr>
                <w:rFonts w:ascii="Times New Roman"/>
                <w:sz w:val="24"/>
              </w:rPr>
              <w:t>to</w:t>
            </w:r>
            <w:r>
              <w:rPr>
                <w:rFonts w:ascii="Times New Roman"/>
                <w:spacing w:val="-2"/>
                <w:sz w:val="24"/>
              </w:rPr>
              <w:t xml:space="preserve"> </w:t>
            </w:r>
            <w:r>
              <w:rPr>
                <w:rFonts w:ascii="Times New Roman"/>
                <w:sz w:val="24"/>
              </w:rPr>
              <w:t>Form</w:t>
            </w:r>
            <w:r>
              <w:rPr>
                <w:rFonts w:ascii="Times New Roman"/>
                <w:spacing w:val="-1"/>
                <w:sz w:val="24"/>
              </w:rPr>
              <w:t xml:space="preserve"> </w:t>
            </w:r>
            <w:r>
              <w:rPr>
                <w:rFonts w:ascii="Times New Roman"/>
                <w:sz w:val="24"/>
              </w:rPr>
              <w:t>of</w:t>
            </w:r>
            <w:r>
              <w:rPr>
                <w:rFonts w:ascii="Times New Roman"/>
                <w:spacing w:val="-2"/>
                <w:sz w:val="24"/>
              </w:rPr>
              <w:t xml:space="preserve"> Tender</w:t>
            </w:r>
          </w:p>
        </w:tc>
        <w:tc>
          <w:tcPr>
            <w:tcW w:w="1830" w:type="dxa"/>
            <w:tcBorders>
              <w:top w:val="single" w:sz="8" w:space="0" w:color="000000"/>
              <w:left w:val="single" w:sz="8" w:space="0" w:color="000000"/>
              <w:bottom w:val="single" w:sz="8" w:space="0" w:color="000000"/>
              <w:right w:val="single" w:sz="8" w:space="0" w:color="000000"/>
            </w:tcBorders>
          </w:tcPr>
          <w:p w:rsidR="007F6DF9" w:rsidRDefault="007F6DF9">
            <w:pPr>
              <w:pStyle w:val="TableParagraph"/>
              <w:rPr>
                <w:rFonts w:ascii="Times New Roman"/>
                <w:sz w:val="20"/>
              </w:rPr>
            </w:pPr>
          </w:p>
        </w:tc>
      </w:tr>
    </w:tbl>
    <w:p w:rsidR="007F6DF9" w:rsidRDefault="007F6DF9">
      <w:pPr>
        <w:pStyle w:val="BodyText"/>
        <w:spacing w:before="15"/>
        <w:rPr>
          <w:b/>
          <w:sz w:val="24"/>
        </w:rPr>
      </w:pPr>
    </w:p>
    <w:p w:rsidR="007F6DF9" w:rsidRDefault="00A43FBC">
      <w:pPr>
        <w:ind w:left="85"/>
        <w:rPr>
          <w:sz w:val="24"/>
        </w:rPr>
      </w:pPr>
      <w:r>
        <w:rPr>
          <w:sz w:val="24"/>
        </w:rPr>
        <w:t>Amount</w:t>
      </w:r>
      <w:r>
        <w:rPr>
          <w:spacing w:val="-1"/>
          <w:sz w:val="24"/>
        </w:rPr>
        <w:t xml:space="preserve"> </w:t>
      </w:r>
      <w:r>
        <w:rPr>
          <w:sz w:val="24"/>
        </w:rPr>
        <w:t>of</w:t>
      </w:r>
      <w:r>
        <w:rPr>
          <w:spacing w:val="-1"/>
          <w:sz w:val="24"/>
        </w:rPr>
        <w:t xml:space="preserve"> </w:t>
      </w:r>
      <w:r>
        <w:rPr>
          <w:sz w:val="24"/>
        </w:rPr>
        <w:t>tender in</w:t>
      </w:r>
      <w:r>
        <w:rPr>
          <w:spacing w:val="-1"/>
          <w:sz w:val="24"/>
        </w:rPr>
        <w:t xml:space="preserve"> </w:t>
      </w:r>
      <w:r>
        <w:rPr>
          <w:sz w:val="24"/>
        </w:rPr>
        <w:t xml:space="preserve">words: </w:t>
      </w:r>
      <w:r>
        <w:rPr>
          <w:spacing w:val="-4"/>
          <w:sz w:val="24"/>
        </w:rPr>
        <w:t>Kenya</w:t>
      </w:r>
    </w:p>
    <w:p w:rsidR="007F6DF9" w:rsidRDefault="00A43FBC">
      <w:pPr>
        <w:spacing w:before="24"/>
        <w:ind w:left="85"/>
        <w:rPr>
          <w:sz w:val="24"/>
        </w:rPr>
      </w:pPr>
      <w:r>
        <w:rPr>
          <w:spacing w:val="-2"/>
          <w:sz w:val="24"/>
        </w:rPr>
        <w:t>Shillings……………………………………………………………………………………………</w:t>
      </w:r>
    </w:p>
    <w:p w:rsidR="007F6DF9" w:rsidRDefault="00A43FBC">
      <w:pPr>
        <w:spacing w:before="24"/>
        <w:ind w:left="85"/>
        <w:rPr>
          <w:sz w:val="24"/>
        </w:rPr>
      </w:pPr>
      <w:r>
        <w:rPr>
          <w:spacing w:val="-2"/>
          <w:sz w:val="24"/>
        </w:rPr>
        <w:t>………………………………………………………………………………………………………</w:t>
      </w:r>
    </w:p>
    <w:p w:rsidR="007F6DF9" w:rsidRDefault="00A43FBC">
      <w:pPr>
        <w:spacing w:before="108" w:line="261" w:lineRule="auto"/>
        <w:ind w:left="85"/>
        <w:rPr>
          <w:sz w:val="24"/>
        </w:rPr>
      </w:pPr>
      <w:r>
        <w:rPr>
          <w:sz w:val="24"/>
        </w:rPr>
        <w:t xml:space="preserve">Tenderer's Signature and </w:t>
      </w:r>
      <w:r>
        <w:rPr>
          <w:spacing w:val="-2"/>
          <w:sz w:val="24"/>
        </w:rPr>
        <w:t>Stamp………………………………………………………………………………………………</w:t>
      </w:r>
    </w:p>
    <w:p w:rsidR="007F6DF9" w:rsidRDefault="007F6DF9">
      <w:pPr>
        <w:pStyle w:val="BodyText"/>
        <w:spacing w:before="20"/>
        <w:rPr>
          <w:sz w:val="24"/>
        </w:rPr>
      </w:pPr>
    </w:p>
    <w:p w:rsidR="007F6DF9" w:rsidRDefault="00A43FBC">
      <w:pPr>
        <w:ind w:left="85"/>
        <w:rPr>
          <w:sz w:val="24"/>
        </w:rPr>
      </w:pPr>
      <w:r>
        <w:rPr>
          <w:spacing w:val="-2"/>
          <w:sz w:val="24"/>
        </w:rPr>
        <w:t>Address……………………………………………………………………………</w:t>
      </w:r>
    </w:p>
    <w:p w:rsidR="007F6DF9" w:rsidRDefault="007F6DF9">
      <w:pPr>
        <w:pStyle w:val="BodyText"/>
        <w:spacing w:before="50"/>
        <w:rPr>
          <w:sz w:val="20"/>
        </w:rPr>
      </w:pPr>
    </w:p>
    <w:tbl>
      <w:tblPr>
        <w:tblW w:w="0" w:type="auto"/>
        <w:tblInd w:w="42" w:type="dxa"/>
        <w:tblLayout w:type="fixed"/>
        <w:tblCellMar>
          <w:left w:w="0" w:type="dxa"/>
          <w:right w:w="0" w:type="dxa"/>
        </w:tblCellMar>
        <w:tblLook w:val="01E0" w:firstRow="1" w:lastRow="1" w:firstColumn="1" w:lastColumn="1" w:noHBand="0" w:noVBand="0"/>
      </w:tblPr>
      <w:tblGrid>
        <w:gridCol w:w="719"/>
        <w:gridCol w:w="7827"/>
      </w:tblGrid>
      <w:tr w:rsidR="007F6DF9">
        <w:trPr>
          <w:trHeight w:val="265"/>
        </w:trPr>
        <w:tc>
          <w:tcPr>
            <w:tcW w:w="719" w:type="dxa"/>
          </w:tcPr>
          <w:p w:rsidR="007F6DF9" w:rsidRDefault="00A43FBC">
            <w:pPr>
              <w:pStyle w:val="TableParagraph"/>
              <w:spacing w:line="246" w:lineRule="exact"/>
              <w:ind w:left="50"/>
              <w:rPr>
                <w:rFonts w:ascii="Times New Roman"/>
                <w:sz w:val="24"/>
              </w:rPr>
            </w:pPr>
            <w:r>
              <w:rPr>
                <w:rFonts w:ascii="Times New Roman"/>
                <w:spacing w:val="-4"/>
                <w:sz w:val="24"/>
              </w:rPr>
              <w:t>Date</w:t>
            </w:r>
          </w:p>
        </w:tc>
        <w:tc>
          <w:tcPr>
            <w:tcW w:w="7827" w:type="dxa"/>
          </w:tcPr>
          <w:p w:rsidR="007F6DF9" w:rsidRDefault="00A43FBC">
            <w:pPr>
              <w:pStyle w:val="TableParagraph"/>
              <w:spacing w:line="246" w:lineRule="exact"/>
              <w:ind w:left="216"/>
              <w:rPr>
                <w:rFonts w:ascii="Times New Roman" w:hAnsi="Times New Roman"/>
                <w:sz w:val="24"/>
              </w:rPr>
            </w:pPr>
            <w:r>
              <w:rPr>
                <w:rFonts w:ascii="Times New Roman" w:hAnsi="Times New Roman"/>
                <w:spacing w:val="-2"/>
                <w:sz w:val="24"/>
              </w:rPr>
              <w:t>…………………………………………………………………………………..</w:t>
            </w:r>
          </w:p>
        </w:tc>
      </w:tr>
    </w:tbl>
    <w:p w:rsidR="007F6DF9" w:rsidRDefault="007F6DF9">
      <w:pPr>
        <w:pStyle w:val="BodyText"/>
        <w:spacing w:before="32"/>
        <w:rPr>
          <w:sz w:val="24"/>
        </w:rPr>
      </w:pPr>
    </w:p>
    <w:p w:rsidR="007F6DF9" w:rsidRDefault="00A43FBC">
      <w:pPr>
        <w:ind w:left="85"/>
        <w:rPr>
          <w:sz w:val="24"/>
        </w:rPr>
      </w:pPr>
      <w:r>
        <w:rPr>
          <w:sz w:val="24"/>
        </w:rPr>
        <w:t>Witness:</w:t>
      </w:r>
      <w:r>
        <w:rPr>
          <w:spacing w:val="-2"/>
          <w:sz w:val="24"/>
        </w:rPr>
        <w:t xml:space="preserve"> </w:t>
      </w:r>
      <w:r>
        <w:rPr>
          <w:sz w:val="24"/>
        </w:rPr>
        <w:t>Name</w:t>
      </w:r>
      <w:r>
        <w:rPr>
          <w:spacing w:val="-1"/>
          <w:sz w:val="24"/>
        </w:rPr>
        <w:t xml:space="preserve"> </w:t>
      </w:r>
      <w:r>
        <w:rPr>
          <w:sz w:val="24"/>
        </w:rPr>
        <w:t>and</w:t>
      </w:r>
      <w:r>
        <w:rPr>
          <w:spacing w:val="-1"/>
          <w:sz w:val="24"/>
        </w:rPr>
        <w:t xml:space="preserve"> </w:t>
      </w:r>
      <w:r>
        <w:rPr>
          <w:spacing w:val="-2"/>
          <w:sz w:val="24"/>
        </w:rPr>
        <w:t>signature………………………………………………………</w:t>
      </w:r>
    </w:p>
    <w:p w:rsidR="007F6DF9" w:rsidRDefault="007F6DF9">
      <w:pPr>
        <w:pStyle w:val="BodyText"/>
        <w:spacing w:before="87"/>
        <w:rPr>
          <w:sz w:val="20"/>
        </w:rPr>
      </w:pPr>
    </w:p>
    <w:tbl>
      <w:tblPr>
        <w:tblW w:w="0" w:type="auto"/>
        <w:tblInd w:w="42" w:type="dxa"/>
        <w:tblLayout w:type="fixed"/>
        <w:tblCellMar>
          <w:left w:w="0" w:type="dxa"/>
          <w:right w:w="0" w:type="dxa"/>
        </w:tblCellMar>
        <w:tblLook w:val="01E0" w:firstRow="1" w:lastRow="1" w:firstColumn="1" w:lastColumn="1" w:noHBand="0" w:noVBand="0"/>
      </w:tblPr>
      <w:tblGrid>
        <w:gridCol w:w="8740"/>
      </w:tblGrid>
      <w:tr w:rsidR="007F6DF9">
        <w:trPr>
          <w:trHeight w:val="279"/>
        </w:trPr>
        <w:tc>
          <w:tcPr>
            <w:tcW w:w="8740" w:type="dxa"/>
          </w:tcPr>
          <w:p w:rsidR="007F6DF9" w:rsidRDefault="00A43FBC">
            <w:pPr>
              <w:pStyle w:val="TableParagraph"/>
              <w:spacing w:line="259" w:lineRule="exact"/>
              <w:ind w:left="50"/>
              <w:rPr>
                <w:rFonts w:ascii="Times New Roman" w:hAnsi="Times New Roman"/>
                <w:sz w:val="24"/>
              </w:rPr>
            </w:pPr>
            <w:r>
              <w:rPr>
                <w:rFonts w:ascii="Times New Roman" w:hAnsi="Times New Roman"/>
                <w:spacing w:val="-2"/>
                <w:sz w:val="24"/>
              </w:rPr>
              <w:t>Address……………………………………………………………………………..</w:t>
            </w:r>
          </w:p>
        </w:tc>
      </w:tr>
      <w:tr w:rsidR="007F6DF9">
        <w:trPr>
          <w:trHeight w:val="266"/>
        </w:trPr>
        <w:tc>
          <w:tcPr>
            <w:tcW w:w="8740" w:type="dxa"/>
          </w:tcPr>
          <w:p w:rsidR="007F6DF9" w:rsidRDefault="00A43FBC">
            <w:pPr>
              <w:pStyle w:val="TableParagraph"/>
              <w:spacing w:before="3" w:line="243" w:lineRule="exact"/>
              <w:ind w:left="50"/>
              <w:rPr>
                <w:rFonts w:ascii="Times New Roman" w:hAnsi="Times New Roman"/>
                <w:sz w:val="24"/>
              </w:rPr>
            </w:pPr>
            <w:r>
              <w:rPr>
                <w:rFonts w:ascii="Times New Roman" w:hAnsi="Times New Roman"/>
                <w:spacing w:val="-2"/>
                <w:sz w:val="24"/>
              </w:rPr>
              <w:t>………………………………………………………………………………………………</w:t>
            </w:r>
          </w:p>
        </w:tc>
      </w:tr>
      <w:tr w:rsidR="007F6DF9">
        <w:trPr>
          <w:trHeight w:val="252"/>
        </w:trPr>
        <w:tc>
          <w:tcPr>
            <w:tcW w:w="8740" w:type="dxa"/>
          </w:tcPr>
          <w:p w:rsidR="007F6DF9" w:rsidRDefault="00A43FBC">
            <w:pPr>
              <w:pStyle w:val="TableParagraph"/>
              <w:spacing w:line="233" w:lineRule="exact"/>
              <w:ind w:left="50"/>
              <w:rPr>
                <w:rFonts w:ascii="Times New Roman" w:hAnsi="Times New Roman"/>
                <w:sz w:val="24"/>
              </w:rPr>
            </w:pPr>
            <w:r>
              <w:rPr>
                <w:rFonts w:ascii="Times New Roman" w:hAnsi="Times New Roman"/>
                <w:spacing w:val="-2"/>
                <w:sz w:val="24"/>
              </w:rPr>
              <w:t>Date………………………………………………………………………………..</w:t>
            </w:r>
          </w:p>
        </w:tc>
      </w:tr>
    </w:tbl>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spacing w:before="41"/>
        <w:rPr>
          <w:sz w:val="24"/>
        </w:rPr>
      </w:pPr>
    </w:p>
    <w:p w:rsidR="007F6DF9" w:rsidRDefault="00A43FBC">
      <w:pPr>
        <w:ind w:left="2" w:right="441"/>
        <w:jc w:val="center"/>
        <w:rPr>
          <w:rFonts w:ascii="Calibri"/>
          <w:sz w:val="18"/>
        </w:rPr>
      </w:pPr>
      <w:r>
        <w:rPr>
          <w:rFonts w:ascii="Calibri"/>
          <w:sz w:val="18"/>
        </w:rPr>
        <w:t>GS</w:t>
      </w:r>
      <w:r>
        <w:rPr>
          <w:rFonts w:ascii="Calibri"/>
          <w:spacing w:val="1"/>
          <w:sz w:val="18"/>
        </w:rPr>
        <w:t xml:space="preserve"> </w:t>
      </w:r>
      <w:r>
        <w:rPr>
          <w:rFonts w:ascii="Calibri"/>
          <w:sz w:val="18"/>
        </w:rPr>
        <w:t>/</w:t>
      </w:r>
      <w:r>
        <w:rPr>
          <w:rFonts w:ascii="Calibri"/>
          <w:spacing w:val="3"/>
          <w:sz w:val="18"/>
        </w:rPr>
        <w:t xml:space="preserve"> </w:t>
      </w:r>
      <w:r>
        <w:rPr>
          <w:rFonts w:ascii="Calibri"/>
          <w:spacing w:val="-10"/>
          <w:sz w:val="18"/>
        </w:rPr>
        <w:t>1</w:t>
      </w:r>
      <w:bookmarkStart w:id="82" w:name="_GoBack"/>
      <w:bookmarkEnd w:id="82"/>
    </w:p>
    <w:sectPr w:rsidR="007F6DF9">
      <w:headerReference w:type="default" r:id="rId102"/>
      <w:footerReference w:type="default" r:id="rId103"/>
      <w:pgSz w:w="12240" w:h="15840"/>
      <w:pgMar w:top="200" w:right="1133" w:bottom="0" w:left="1559"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FED" w:rsidRDefault="00883FED">
      <w:r>
        <w:separator/>
      </w:r>
    </w:p>
  </w:endnote>
  <w:endnote w:type="continuationSeparator" w:id="0">
    <w:p w:rsidR="00883FED" w:rsidRDefault="00883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FED" w:rsidRDefault="00883FED">
      <w:r>
        <w:separator/>
      </w:r>
    </w:p>
  </w:footnote>
  <w:footnote w:type="continuationSeparator" w:id="0">
    <w:p w:rsidR="00883FED" w:rsidRDefault="00883F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FED" w:rsidRDefault="00883FE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D9F"/>
    <w:multiLevelType w:val="multilevel"/>
    <w:tmpl w:val="F718E80C"/>
    <w:lvl w:ilvl="0">
      <w:start w:val="38"/>
      <w:numFmt w:val="decimal"/>
      <w:lvlText w:val="%1"/>
      <w:lvlJc w:val="left"/>
      <w:pPr>
        <w:ind w:left="1404" w:hanging="555"/>
      </w:pPr>
      <w:rPr>
        <w:rFonts w:hint="default"/>
        <w:lang w:val="en-US" w:eastAsia="en-US" w:bidi="ar-SA"/>
      </w:rPr>
    </w:lvl>
    <w:lvl w:ilvl="1">
      <w:numFmt w:val="decimal"/>
      <w:lvlText w:val="%1.%2"/>
      <w:lvlJc w:val="left"/>
      <w:pPr>
        <w:ind w:left="1404" w:hanging="555"/>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Letter"/>
      <w:lvlText w:val="%3)"/>
      <w:lvlJc w:val="left"/>
      <w:pPr>
        <w:ind w:left="1930" w:hanging="5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55" w:hanging="528"/>
      </w:pPr>
      <w:rPr>
        <w:rFonts w:hint="default"/>
        <w:lang w:val="en-US" w:eastAsia="en-US" w:bidi="ar-SA"/>
      </w:rPr>
    </w:lvl>
    <w:lvl w:ilvl="4">
      <w:numFmt w:val="bullet"/>
      <w:lvlText w:val="•"/>
      <w:lvlJc w:val="left"/>
      <w:pPr>
        <w:ind w:left="5263" w:hanging="528"/>
      </w:pPr>
      <w:rPr>
        <w:rFonts w:hint="default"/>
        <w:lang w:val="en-US" w:eastAsia="en-US" w:bidi="ar-SA"/>
      </w:rPr>
    </w:lvl>
    <w:lvl w:ilvl="5">
      <w:numFmt w:val="bullet"/>
      <w:lvlText w:val="•"/>
      <w:lvlJc w:val="left"/>
      <w:pPr>
        <w:ind w:left="6371" w:hanging="528"/>
      </w:pPr>
      <w:rPr>
        <w:rFonts w:hint="default"/>
        <w:lang w:val="en-US" w:eastAsia="en-US" w:bidi="ar-SA"/>
      </w:rPr>
    </w:lvl>
    <w:lvl w:ilvl="6">
      <w:numFmt w:val="bullet"/>
      <w:lvlText w:val="•"/>
      <w:lvlJc w:val="left"/>
      <w:pPr>
        <w:ind w:left="7479" w:hanging="528"/>
      </w:pPr>
      <w:rPr>
        <w:rFonts w:hint="default"/>
        <w:lang w:val="en-US" w:eastAsia="en-US" w:bidi="ar-SA"/>
      </w:rPr>
    </w:lvl>
    <w:lvl w:ilvl="7">
      <w:numFmt w:val="bullet"/>
      <w:lvlText w:val="•"/>
      <w:lvlJc w:val="left"/>
      <w:pPr>
        <w:ind w:left="8587" w:hanging="528"/>
      </w:pPr>
      <w:rPr>
        <w:rFonts w:hint="default"/>
        <w:lang w:val="en-US" w:eastAsia="en-US" w:bidi="ar-SA"/>
      </w:rPr>
    </w:lvl>
    <w:lvl w:ilvl="8">
      <w:numFmt w:val="bullet"/>
      <w:lvlText w:val="•"/>
      <w:lvlJc w:val="left"/>
      <w:pPr>
        <w:ind w:left="9695" w:hanging="528"/>
      </w:pPr>
      <w:rPr>
        <w:rFonts w:hint="default"/>
        <w:lang w:val="en-US" w:eastAsia="en-US" w:bidi="ar-SA"/>
      </w:rPr>
    </w:lvl>
  </w:abstractNum>
  <w:abstractNum w:abstractNumId="1" w15:restartNumberingAfterBreak="0">
    <w:nsid w:val="007F3ED3"/>
    <w:multiLevelType w:val="hybridMultilevel"/>
    <w:tmpl w:val="BEC65316"/>
    <w:lvl w:ilvl="0" w:tplc="CBB6C304">
      <w:start w:val="1"/>
      <w:numFmt w:val="lowerLetter"/>
      <w:lvlText w:val="%1)"/>
      <w:lvlJc w:val="left"/>
      <w:pPr>
        <w:ind w:left="1873" w:hanging="49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D4A0B04">
      <w:numFmt w:val="bullet"/>
      <w:lvlText w:val="•"/>
      <w:lvlJc w:val="left"/>
      <w:pPr>
        <w:ind w:left="2840" w:hanging="497"/>
      </w:pPr>
      <w:rPr>
        <w:rFonts w:hint="default"/>
        <w:lang w:val="en-US" w:eastAsia="en-US" w:bidi="ar-SA"/>
      </w:rPr>
    </w:lvl>
    <w:lvl w:ilvl="2" w:tplc="EAC8B0FE">
      <w:numFmt w:val="bullet"/>
      <w:lvlText w:val="•"/>
      <w:lvlJc w:val="left"/>
      <w:pPr>
        <w:ind w:left="3801" w:hanging="497"/>
      </w:pPr>
      <w:rPr>
        <w:rFonts w:hint="default"/>
        <w:lang w:val="en-US" w:eastAsia="en-US" w:bidi="ar-SA"/>
      </w:rPr>
    </w:lvl>
    <w:lvl w:ilvl="3" w:tplc="8962E4E6">
      <w:numFmt w:val="bullet"/>
      <w:lvlText w:val="•"/>
      <w:lvlJc w:val="left"/>
      <w:pPr>
        <w:ind w:left="4762" w:hanging="497"/>
      </w:pPr>
      <w:rPr>
        <w:rFonts w:hint="default"/>
        <w:lang w:val="en-US" w:eastAsia="en-US" w:bidi="ar-SA"/>
      </w:rPr>
    </w:lvl>
    <w:lvl w:ilvl="4" w:tplc="FCA864A4">
      <w:numFmt w:val="bullet"/>
      <w:lvlText w:val="•"/>
      <w:lvlJc w:val="left"/>
      <w:pPr>
        <w:ind w:left="5722" w:hanging="497"/>
      </w:pPr>
      <w:rPr>
        <w:rFonts w:hint="default"/>
        <w:lang w:val="en-US" w:eastAsia="en-US" w:bidi="ar-SA"/>
      </w:rPr>
    </w:lvl>
    <w:lvl w:ilvl="5" w:tplc="4F8067E8">
      <w:numFmt w:val="bullet"/>
      <w:lvlText w:val="•"/>
      <w:lvlJc w:val="left"/>
      <w:pPr>
        <w:ind w:left="6683" w:hanging="497"/>
      </w:pPr>
      <w:rPr>
        <w:rFonts w:hint="default"/>
        <w:lang w:val="en-US" w:eastAsia="en-US" w:bidi="ar-SA"/>
      </w:rPr>
    </w:lvl>
    <w:lvl w:ilvl="6" w:tplc="A936FC10">
      <w:numFmt w:val="bullet"/>
      <w:lvlText w:val="•"/>
      <w:lvlJc w:val="left"/>
      <w:pPr>
        <w:ind w:left="7644" w:hanging="497"/>
      </w:pPr>
      <w:rPr>
        <w:rFonts w:hint="default"/>
        <w:lang w:val="en-US" w:eastAsia="en-US" w:bidi="ar-SA"/>
      </w:rPr>
    </w:lvl>
    <w:lvl w:ilvl="7" w:tplc="91223336">
      <w:numFmt w:val="bullet"/>
      <w:lvlText w:val="•"/>
      <w:lvlJc w:val="left"/>
      <w:pPr>
        <w:ind w:left="8605" w:hanging="497"/>
      </w:pPr>
      <w:rPr>
        <w:rFonts w:hint="default"/>
        <w:lang w:val="en-US" w:eastAsia="en-US" w:bidi="ar-SA"/>
      </w:rPr>
    </w:lvl>
    <w:lvl w:ilvl="8" w:tplc="1A102AA2">
      <w:numFmt w:val="bullet"/>
      <w:lvlText w:val="•"/>
      <w:lvlJc w:val="left"/>
      <w:pPr>
        <w:ind w:left="9565" w:hanging="497"/>
      </w:pPr>
      <w:rPr>
        <w:rFonts w:hint="default"/>
        <w:lang w:val="en-US" w:eastAsia="en-US" w:bidi="ar-SA"/>
      </w:rPr>
    </w:lvl>
  </w:abstractNum>
  <w:abstractNum w:abstractNumId="2" w15:restartNumberingAfterBreak="0">
    <w:nsid w:val="00945FA5"/>
    <w:multiLevelType w:val="hybridMultilevel"/>
    <w:tmpl w:val="FC1095FA"/>
    <w:lvl w:ilvl="0" w:tplc="32C0445A">
      <w:start w:val="1"/>
      <w:numFmt w:val="lowerLetter"/>
      <w:lvlText w:val="%1)"/>
      <w:lvlJc w:val="left"/>
      <w:pPr>
        <w:ind w:left="1873"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53E511C">
      <w:numFmt w:val="bullet"/>
      <w:lvlText w:val="•"/>
      <w:lvlJc w:val="left"/>
      <w:pPr>
        <w:ind w:left="2840" w:hanging="444"/>
      </w:pPr>
      <w:rPr>
        <w:rFonts w:hint="default"/>
        <w:lang w:val="en-US" w:eastAsia="en-US" w:bidi="ar-SA"/>
      </w:rPr>
    </w:lvl>
    <w:lvl w:ilvl="2" w:tplc="F236C962">
      <w:numFmt w:val="bullet"/>
      <w:lvlText w:val="•"/>
      <w:lvlJc w:val="left"/>
      <w:pPr>
        <w:ind w:left="3801" w:hanging="444"/>
      </w:pPr>
      <w:rPr>
        <w:rFonts w:hint="default"/>
        <w:lang w:val="en-US" w:eastAsia="en-US" w:bidi="ar-SA"/>
      </w:rPr>
    </w:lvl>
    <w:lvl w:ilvl="3" w:tplc="70E8D38E">
      <w:numFmt w:val="bullet"/>
      <w:lvlText w:val="•"/>
      <w:lvlJc w:val="left"/>
      <w:pPr>
        <w:ind w:left="4762" w:hanging="444"/>
      </w:pPr>
      <w:rPr>
        <w:rFonts w:hint="default"/>
        <w:lang w:val="en-US" w:eastAsia="en-US" w:bidi="ar-SA"/>
      </w:rPr>
    </w:lvl>
    <w:lvl w:ilvl="4" w:tplc="9AC06790">
      <w:numFmt w:val="bullet"/>
      <w:lvlText w:val="•"/>
      <w:lvlJc w:val="left"/>
      <w:pPr>
        <w:ind w:left="5722" w:hanging="444"/>
      </w:pPr>
      <w:rPr>
        <w:rFonts w:hint="default"/>
        <w:lang w:val="en-US" w:eastAsia="en-US" w:bidi="ar-SA"/>
      </w:rPr>
    </w:lvl>
    <w:lvl w:ilvl="5" w:tplc="9F8EA5E0">
      <w:numFmt w:val="bullet"/>
      <w:lvlText w:val="•"/>
      <w:lvlJc w:val="left"/>
      <w:pPr>
        <w:ind w:left="6683" w:hanging="444"/>
      </w:pPr>
      <w:rPr>
        <w:rFonts w:hint="default"/>
        <w:lang w:val="en-US" w:eastAsia="en-US" w:bidi="ar-SA"/>
      </w:rPr>
    </w:lvl>
    <w:lvl w:ilvl="6" w:tplc="28CCA61C">
      <w:numFmt w:val="bullet"/>
      <w:lvlText w:val="•"/>
      <w:lvlJc w:val="left"/>
      <w:pPr>
        <w:ind w:left="7644" w:hanging="444"/>
      </w:pPr>
      <w:rPr>
        <w:rFonts w:hint="default"/>
        <w:lang w:val="en-US" w:eastAsia="en-US" w:bidi="ar-SA"/>
      </w:rPr>
    </w:lvl>
    <w:lvl w:ilvl="7" w:tplc="19AEA5E4">
      <w:numFmt w:val="bullet"/>
      <w:lvlText w:val="•"/>
      <w:lvlJc w:val="left"/>
      <w:pPr>
        <w:ind w:left="8605" w:hanging="444"/>
      </w:pPr>
      <w:rPr>
        <w:rFonts w:hint="default"/>
        <w:lang w:val="en-US" w:eastAsia="en-US" w:bidi="ar-SA"/>
      </w:rPr>
    </w:lvl>
    <w:lvl w:ilvl="8" w:tplc="C0423520">
      <w:numFmt w:val="bullet"/>
      <w:lvlText w:val="•"/>
      <w:lvlJc w:val="left"/>
      <w:pPr>
        <w:ind w:left="9565" w:hanging="444"/>
      </w:pPr>
      <w:rPr>
        <w:rFonts w:hint="default"/>
        <w:lang w:val="en-US" w:eastAsia="en-US" w:bidi="ar-SA"/>
      </w:rPr>
    </w:lvl>
  </w:abstractNum>
  <w:abstractNum w:abstractNumId="3" w15:restartNumberingAfterBreak="0">
    <w:nsid w:val="00A6061D"/>
    <w:multiLevelType w:val="hybridMultilevel"/>
    <w:tmpl w:val="7E76D252"/>
    <w:lvl w:ilvl="0" w:tplc="1250EF44">
      <w:start w:val="1"/>
      <w:numFmt w:val="lowerLetter"/>
      <w:lvlText w:val="%1)"/>
      <w:lvlJc w:val="left"/>
      <w:pPr>
        <w:ind w:left="1868"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A66BE66">
      <w:numFmt w:val="bullet"/>
      <w:lvlText w:val="•"/>
      <w:lvlJc w:val="left"/>
      <w:pPr>
        <w:ind w:left="2822" w:hanging="495"/>
      </w:pPr>
      <w:rPr>
        <w:rFonts w:hint="default"/>
        <w:lang w:val="en-US" w:eastAsia="en-US" w:bidi="ar-SA"/>
      </w:rPr>
    </w:lvl>
    <w:lvl w:ilvl="2" w:tplc="DEDC54D8">
      <w:numFmt w:val="bullet"/>
      <w:lvlText w:val="•"/>
      <w:lvlJc w:val="left"/>
      <w:pPr>
        <w:ind w:left="3785" w:hanging="495"/>
      </w:pPr>
      <w:rPr>
        <w:rFonts w:hint="default"/>
        <w:lang w:val="en-US" w:eastAsia="en-US" w:bidi="ar-SA"/>
      </w:rPr>
    </w:lvl>
    <w:lvl w:ilvl="3" w:tplc="3BFEE5AA">
      <w:numFmt w:val="bullet"/>
      <w:lvlText w:val="•"/>
      <w:lvlJc w:val="left"/>
      <w:pPr>
        <w:ind w:left="4748" w:hanging="495"/>
      </w:pPr>
      <w:rPr>
        <w:rFonts w:hint="default"/>
        <w:lang w:val="en-US" w:eastAsia="en-US" w:bidi="ar-SA"/>
      </w:rPr>
    </w:lvl>
    <w:lvl w:ilvl="4" w:tplc="364C92E8">
      <w:numFmt w:val="bullet"/>
      <w:lvlText w:val="•"/>
      <w:lvlJc w:val="left"/>
      <w:pPr>
        <w:ind w:left="5710" w:hanging="495"/>
      </w:pPr>
      <w:rPr>
        <w:rFonts w:hint="default"/>
        <w:lang w:val="en-US" w:eastAsia="en-US" w:bidi="ar-SA"/>
      </w:rPr>
    </w:lvl>
    <w:lvl w:ilvl="5" w:tplc="56FEBAEE">
      <w:numFmt w:val="bullet"/>
      <w:lvlText w:val="•"/>
      <w:lvlJc w:val="left"/>
      <w:pPr>
        <w:ind w:left="6673" w:hanging="495"/>
      </w:pPr>
      <w:rPr>
        <w:rFonts w:hint="default"/>
        <w:lang w:val="en-US" w:eastAsia="en-US" w:bidi="ar-SA"/>
      </w:rPr>
    </w:lvl>
    <w:lvl w:ilvl="6" w:tplc="B2B41674">
      <w:numFmt w:val="bullet"/>
      <w:lvlText w:val="•"/>
      <w:lvlJc w:val="left"/>
      <w:pPr>
        <w:ind w:left="7636" w:hanging="495"/>
      </w:pPr>
      <w:rPr>
        <w:rFonts w:hint="default"/>
        <w:lang w:val="en-US" w:eastAsia="en-US" w:bidi="ar-SA"/>
      </w:rPr>
    </w:lvl>
    <w:lvl w:ilvl="7" w:tplc="CB8C60E6">
      <w:numFmt w:val="bullet"/>
      <w:lvlText w:val="•"/>
      <w:lvlJc w:val="left"/>
      <w:pPr>
        <w:ind w:left="8599" w:hanging="495"/>
      </w:pPr>
      <w:rPr>
        <w:rFonts w:hint="default"/>
        <w:lang w:val="en-US" w:eastAsia="en-US" w:bidi="ar-SA"/>
      </w:rPr>
    </w:lvl>
    <w:lvl w:ilvl="8" w:tplc="EC1A3770">
      <w:numFmt w:val="bullet"/>
      <w:lvlText w:val="•"/>
      <w:lvlJc w:val="left"/>
      <w:pPr>
        <w:ind w:left="9561" w:hanging="495"/>
      </w:pPr>
      <w:rPr>
        <w:rFonts w:hint="default"/>
        <w:lang w:val="en-US" w:eastAsia="en-US" w:bidi="ar-SA"/>
      </w:rPr>
    </w:lvl>
  </w:abstractNum>
  <w:abstractNum w:abstractNumId="4" w15:restartNumberingAfterBreak="0">
    <w:nsid w:val="0203589C"/>
    <w:multiLevelType w:val="hybridMultilevel"/>
    <w:tmpl w:val="46DA7922"/>
    <w:lvl w:ilvl="0" w:tplc="8904C20C">
      <w:start w:val="1"/>
      <w:numFmt w:val="lowerLetter"/>
      <w:lvlText w:val="%1)"/>
      <w:lvlJc w:val="left"/>
      <w:pPr>
        <w:ind w:left="1875"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8AE1336">
      <w:numFmt w:val="bullet"/>
      <w:lvlText w:val="•"/>
      <w:lvlJc w:val="left"/>
      <w:pPr>
        <w:ind w:left="2840" w:hanging="444"/>
      </w:pPr>
      <w:rPr>
        <w:rFonts w:hint="default"/>
        <w:lang w:val="en-US" w:eastAsia="en-US" w:bidi="ar-SA"/>
      </w:rPr>
    </w:lvl>
    <w:lvl w:ilvl="2" w:tplc="6E029C88">
      <w:numFmt w:val="bullet"/>
      <w:lvlText w:val="•"/>
      <w:lvlJc w:val="left"/>
      <w:pPr>
        <w:ind w:left="3801" w:hanging="444"/>
      </w:pPr>
      <w:rPr>
        <w:rFonts w:hint="default"/>
        <w:lang w:val="en-US" w:eastAsia="en-US" w:bidi="ar-SA"/>
      </w:rPr>
    </w:lvl>
    <w:lvl w:ilvl="3" w:tplc="A9FE1588">
      <w:numFmt w:val="bullet"/>
      <w:lvlText w:val="•"/>
      <w:lvlJc w:val="left"/>
      <w:pPr>
        <w:ind w:left="4762" w:hanging="444"/>
      </w:pPr>
      <w:rPr>
        <w:rFonts w:hint="default"/>
        <w:lang w:val="en-US" w:eastAsia="en-US" w:bidi="ar-SA"/>
      </w:rPr>
    </w:lvl>
    <w:lvl w:ilvl="4" w:tplc="67EEB2DE">
      <w:numFmt w:val="bullet"/>
      <w:lvlText w:val="•"/>
      <w:lvlJc w:val="left"/>
      <w:pPr>
        <w:ind w:left="5722" w:hanging="444"/>
      </w:pPr>
      <w:rPr>
        <w:rFonts w:hint="default"/>
        <w:lang w:val="en-US" w:eastAsia="en-US" w:bidi="ar-SA"/>
      </w:rPr>
    </w:lvl>
    <w:lvl w:ilvl="5" w:tplc="84703F72">
      <w:numFmt w:val="bullet"/>
      <w:lvlText w:val="•"/>
      <w:lvlJc w:val="left"/>
      <w:pPr>
        <w:ind w:left="6683" w:hanging="444"/>
      </w:pPr>
      <w:rPr>
        <w:rFonts w:hint="default"/>
        <w:lang w:val="en-US" w:eastAsia="en-US" w:bidi="ar-SA"/>
      </w:rPr>
    </w:lvl>
    <w:lvl w:ilvl="6" w:tplc="4D088EE8">
      <w:numFmt w:val="bullet"/>
      <w:lvlText w:val="•"/>
      <w:lvlJc w:val="left"/>
      <w:pPr>
        <w:ind w:left="7644" w:hanging="444"/>
      </w:pPr>
      <w:rPr>
        <w:rFonts w:hint="default"/>
        <w:lang w:val="en-US" w:eastAsia="en-US" w:bidi="ar-SA"/>
      </w:rPr>
    </w:lvl>
    <w:lvl w:ilvl="7" w:tplc="E5EC2626">
      <w:numFmt w:val="bullet"/>
      <w:lvlText w:val="•"/>
      <w:lvlJc w:val="left"/>
      <w:pPr>
        <w:ind w:left="8605" w:hanging="444"/>
      </w:pPr>
      <w:rPr>
        <w:rFonts w:hint="default"/>
        <w:lang w:val="en-US" w:eastAsia="en-US" w:bidi="ar-SA"/>
      </w:rPr>
    </w:lvl>
    <w:lvl w:ilvl="8" w:tplc="DC566EEC">
      <w:numFmt w:val="bullet"/>
      <w:lvlText w:val="•"/>
      <w:lvlJc w:val="left"/>
      <w:pPr>
        <w:ind w:left="9565" w:hanging="444"/>
      </w:pPr>
      <w:rPr>
        <w:rFonts w:hint="default"/>
        <w:lang w:val="en-US" w:eastAsia="en-US" w:bidi="ar-SA"/>
      </w:rPr>
    </w:lvl>
  </w:abstractNum>
  <w:abstractNum w:abstractNumId="5" w15:restartNumberingAfterBreak="0">
    <w:nsid w:val="03F6130E"/>
    <w:multiLevelType w:val="hybridMultilevel"/>
    <w:tmpl w:val="750CE71C"/>
    <w:lvl w:ilvl="0" w:tplc="CFD6ED2E">
      <w:start w:val="1"/>
      <w:numFmt w:val="lowerLetter"/>
      <w:lvlText w:val="%1)"/>
      <w:lvlJc w:val="left"/>
      <w:pPr>
        <w:ind w:left="1865"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BC2231A">
      <w:start w:val="1"/>
      <w:numFmt w:val="lowerRoman"/>
      <w:lvlText w:val="%2)"/>
      <w:lvlJc w:val="left"/>
      <w:pPr>
        <w:ind w:left="2149" w:hanging="28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DE12F3C8">
      <w:numFmt w:val="bullet"/>
      <w:lvlText w:val="•"/>
      <w:lvlJc w:val="left"/>
      <w:pPr>
        <w:ind w:left="3178" w:hanging="284"/>
      </w:pPr>
      <w:rPr>
        <w:rFonts w:hint="default"/>
        <w:lang w:val="en-US" w:eastAsia="en-US" w:bidi="ar-SA"/>
      </w:rPr>
    </w:lvl>
    <w:lvl w:ilvl="3" w:tplc="CBA2BE0E">
      <w:numFmt w:val="bullet"/>
      <w:lvlText w:val="•"/>
      <w:lvlJc w:val="left"/>
      <w:pPr>
        <w:ind w:left="4217" w:hanging="284"/>
      </w:pPr>
      <w:rPr>
        <w:rFonts w:hint="default"/>
        <w:lang w:val="en-US" w:eastAsia="en-US" w:bidi="ar-SA"/>
      </w:rPr>
    </w:lvl>
    <w:lvl w:ilvl="4" w:tplc="923ED684">
      <w:numFmt w:val="bullet"/>
      <w:lvlText w:val="•"/>
      <w:lvlJc w:val="left"/>
      <w:pPr>
        <w:ind w:left="5255" w:hanging="284"/>
      </w:pPr>
      <w:rPr>
        <w:rFonts w:hint="default"/>
        <w:lang w:val="en-US" w:eastAsia="en-US" w:bidi="ar-SA"/>
      </w:rPr>
    </w:lvl>
    <w:lvl w:ilvl="5" w:tplc="38E2B7DC">
      <w:numFmt w:val="bullet"/>
      <w:lvlText w:val="•"/>
      <w:lvlJc w:val="left"/>
      <w:pPr>
        <w:ind w:left="6294" w:hanging="284"/>
      </w:pPr>
      <w:rPr>
        <w:rFonts w:hint="default"/>
        <w:lang w:val="en-US" w:eastAsia="en-US" w:bidi="ar-SA"/>
      </w:rPr>
    </w:lvl>
    <w:lvl w:ilvl="6" w:tplc="FC20EA24">
      <w:numFmt w:val="bullet"/>
      <w:lvlText w:val="•"/>
      <w:lvlJc w:val="left"/>
      <w:pPr>
        <w:ind w:left="7332" w:hanging="284"/>
      </w:pPr>
      <w:rPr>
        <w:rFonts w:hint="default"/>
        <w:lang w:val="en-US" w:eastAsia="en-US" w:bidi="ar-SA"/>
      </w:rPr>
    </w:lvl>
    <w:lvl w:ilvl="7" w:tplc="232EFC02">
      <w:numFmt w:val="bullet"/>
      <w:lvlText w:val="•"/>
      <w:lvlJc w:val="left"/>
      <w:pPr>
        <w:ind w:left="8371" w:hanging="284"/>
      </w:pPr>
      <w:rPr>
        <w:rFonts w:hint="default"/>
        <w:lang w:val="en-US" w:eastAsia="en-US" w:bidi="ar-SA"/>
      </w:rPr>
    </w:lvl>
    <w:lvl w:ilvl="8" w:tplc="8CCE5E80">
      <w:numFmt w:val="bullet"/>
      <w:lvlText w:val="•"/>
      <w:lvlJc w:val="left"/>
      <w:pPr>
        <w:ind w:left="9410" w:hanging="284"/>
      </w:pPr>
      <w:rPr>
        <w:rFonts w:hint="default"/>
        <w:lang w:val="en-US" w:eastAsia="en-US" w:bidi="ar-SA"/>
      </w:rPr>
    </w:lvl>
  </w:abstractNum>
  <w:abstractNum w:abstractNumId="6" w15:restartNumberingAfterBreak="0">
    <w:nsid w:val="0562254A"/>
    <w:multiLevelType w:val="hybridMultilevel"/>
    <w:tmpl w:val="8A4265CE"/>
    <w:lvl w:ilvl="0" w:tplc="E76495D0">
      <w:start w:val="1"/>
      <w:numFmt w:val="lowerLetter"/>
      <w:lvlText w:val="%1)"/>
      <w:lvlJc w:val="left"/>
      <w:pPr>
        <w:ind w:left="1887"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494AD90">
      <w:numFmt w:val="bullet"/>
      <w:lvlText w:val="•"/>
      <w:lvlJc w:val="left"/>
      <w:pPr>
        <w:ind w:left="2840" w:hanging="509"/>
      </w:pPr>
      <w:rPr>
        <w:rFonts w:hint="default"/>
        <w:lang w:val="en-US" w:eastAsia="en-US" w:bidi="ar-SA"/>
      </w:rPr>
    </w:lvl>
    <w:lvl w:ilvl="2" w:tplc="154433B8">
      <w:numFmt w:val="bullet"/>
      <w:lvlText w:val="•"/>
      <w:lvlJc w:val="left"/>
      <w:pPr>
        <w:ind w:left="3801" w:hanging="509"/>
      </w:pPr>
      <w:rPr>
        <w:rFonts w:hint="default"/>
        <w:lang w:val="en-US" w:eastAsia="en-US" w:bidi="ar-SA"/>
      </w:rPr>
    </w:lvl>
    <w:lvl w:ilvl="3" w:tplc="98741FCC">
      <w:numFmt w:val="bullet"/>
      <w:lvlText w:val="•"/>
      <w:lvlJc w:val="left"/>
      <w:pPr>
        <w:ind w:left="4762" w:hanging="509"/>
      </w:pPr>
      <w:rPr>
        <w:rFonts w:hint="default"/>
        <w:lang w:val="en-US" w:eastAsia="en-US" w:bidi="ar-SA"/>
      </w:rPr>
    </w:lvl>
    <w:lvl w:ilvl="4" w:tplc="4D3C752E">
      <w:numFmt w:val="bullet"/>
      <w:lvlText w:val="•"/>
      <w:lvlJc w:val="left"/>
      <w:pPr>
        <w:ind w:left="5722" w:hanging="509"/>
      </w:pPr>
      <w:rPr>
        <w:rFonts w:hint="default"/>
        <w:lang w:val="en-US" w:eastAsia="en-US" w:bidi="ar-SA"/>
      </w:rPr>
    </w:lvl>
    <w:lvl w:ilvl="5" w:tplc="03681C54">
      <w:numFmt w:val="bullet"/>
      <w:lvlText w:val="•"/>
      <w:lvlJc w:val="left"/>
      <w:pPr>
        <w:ind w:left="6683" w:hanging="509"/>
      </w:pPr>
      <w:rPr>
        <w:rFonts w:hint="default"/>
        <w:lang w:val="en-US" w:eastAsia="en-US" w:bidi="ar-SA"/>
      </w:rPr>
    </w:lvl>
    <w:lvl w:ilvl="6" w:tplc="020838AE">
      <w:numFmt w:val="bullet"/>
      <w:lvlText w:val="•"/>
      <w:lvlJc w:val="left"/>
      <w:pPr>
        <w:ind w:left="7644" w:hanging="509"/>
      </w:pPr>
      <w:rPr>
        <w:rFonts w:hint="default"/>
        <w:lang w:val="en-US" w:eastAsia="en-US" w:bidi="ar-SA"/>
      </w:rPr>
    </w:lvl>
    <w:lvl w:ilvl="7" w:tplc="D278CFC6">
      <w:numFmt w:val="bullet"/>
      <w:lvlText w:val="•"/>
      <w:lvlJc w:val="left"/>
      <w:pPr>
        <w:ind w:left="8605" w:hanging="509"/>
      </w:pPr>
      <w:rPr>
        <w:rFonts w:hint="default"/>
        <w:lang w:val="en-US" w:eastAsia="en-US" w:bidi="ar-SA"/>
      </w:rPr>
    </w:lvl>
    <w:lvl w:ilvl="8" w:tplc="5C4AD880">
      <w:numFmt w:val="bullet"/>
      <w:lvlText w:val="•"/>
      <w:lvlJc w:val="left"/>
      <w:pPr>
        <w:ind w:left="9565" w:hanging="509"/>
      </w:pPr>
      <w:rPr>
        <w:rFonts w:hint="default"/>
        <w:lang w:val="en-US" w:eastAsia="en-US" w:bidi="ar-SA"/>
      </w:rPr>
    </w:lvl>
  </w:abstractNum>
  <w:abstractNum w:abstractNumId="7" w15:restartNumberingAfterBreak="0">
    <w:nsid w:val="05DE3F42"/>
    <w:multiLevelType w:val="hybridMultilevel"/>
    <w:tmpl w:val="212886B2"/>
    <w:lvl w:ilvl="0" w:tplc="04D82E20">
      <w:start w:val="1"/>
      <w:numFmt w:val="decimal"/>
      <w:lvlText w:val="%1)"/>
      <w:lvlJc w:val="left"/>
      <w:pPr>
        <w:ind w:left="1742" w:hanging="512"/>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1" w:tplc="123851EA">
      <w:numFmt w:val="bullet"/>
      <w:lvlText w:val="•"/>
      <w:lvlJc w:val="left"/>
      <w:pPr>
        <w:ind w:left="2757" w:hanging="512"/>
      </w:pPr>
      <w:rPr>
        <w:rFonts w:hint="default"/>
        <w:lang w:val="en-US" w:eastAsia="en-US" w:bidi="ar-SA"/>
      </w:rPr>
    </w:lvl>
    <w:lvl w:ilvl="2" w:tplc="D8A02E5E">
      <w:numFmt w:val="bullet"/>
      <w:lvlText w:val="•"/>
      <w:lvlJc w:val="left"/>
      <w:pPr>
        <w:ind w:left="3774" w:hanging="512"/>
      </w:pPr>
      <w:rPr>
        <w:rFonts w:hint="default"/>
        <w:lang w:val="en-US" w:eastAsia="en-US" w:bidi="ar-SA"/>
      </w:rPr>
    </w:lvl>
    <w:lvl w:ilvl="3" w:tplc="5BDC9D82">
      <w:numFmt w:val="bullet"/>
      <w:lvlText w:val="•"/>
      <w:lvlJc w:val="left"/>
      <w:pPr>
        <w:ind w:left="4791" w:hanging="512"/>
      </w:pPr>
      <w:rPr>
        <w:rFonts w:hint="default"/>
        <w:lang w:val="en-US" w:eastAsia="en-US" w:bidi="ar-SA"/>
      </w:rPr>
    </w:lvl>
    <w:lvl w:ilvl="4" w:tplc="F5DC9714">
      <w:numFmt w:val="bullet"/>
      <w:lvlText w:val="•"/>
      <w:lvlJc w:val="left"/>
      <w:pPr>
        <w:ind w:left="5808" w:hanging="512"/>
      </w:pPr>
      <w:rPr>
        <w:rFonts w:hint="default"/>
        <w:lang w:val="en-US" w:eastAsia="en-US" w:bidi="ar-SA"/>
      </w:rPr>
    </w:lvl>
    <w:lvl w:ilvl="5" w:tplc="7EA89A4C">
      <w:numFmt w:val="bullet"/>
      <w:lvlText w:val="•"/>
      <w:lvlJc w:val="left"/>
      <w:pPr>
        <w:ind w:left="6825" w:hanging="512"/>
      </w:pPr>
      <w:rPr>
        <w:rFonts w:hint="default"/>
        <w:lang w:val="en-US" w:eastAsia="en-US" w:bidi="ar-SA"/>
      </w:rPr>
    </w:lvl>
    <w:lvl w:ilvl="6" w:tplc="E7181146">
      <w:numFmt w:val="bullet"/>
      <w:lvlText w:val="•"/>
      <w:lvlJc w:val="left"/>
      <w:pPr>
        <w:ind w:left="7842" w:hanging="512"/>
      </w:pPr>
      <w:rPr>
        <w:rFonts w:hint="default"/>
        <w:lang w:val="en-US" w:eastAsia="en-US" w:bidi="ar-SA"/>
      </w:rPr>
    </w:lvl>
    <w:lvl w:ilvl="7" w:tplc="0164B27E">
      <w:numFmt w:val="bullet"/>
      <w:lvlText w:val="•"/>
      <w:lvlJc w:val="left"/>
      <w:pPr>
        <w:ind w:left="8859" w:hanging="512"/>
      </w:pPr>
      <w:rPr>
        <w:rFonts w:hint="default"/>
        <w:lang w:val="en-US" w:eastAsia="en-US" w:bidi="ar-SA"/>
      </w:rPr>
    </w:lvl>
    <w:lvl w:ilvl="8" w:tplc="FE4E81B2">
      <w:numFmt w:val="bullet"/>
      <w:lvlText w:val="•"/>
      <w:lvlJc w:val="left"/>
      <w:pPr>
        <w:ind w:left="9876" w:hanging="512"/>
      </w:pPr>
      <w:rPr>
        <w:rFonts w:hint="default"/>
        <w:lang w:val="en-US" w:eastAsia="en-US" w:bidi="ar-SA"/>
      </w:rPr>
    </w:lvl>
  </w:abstractNum>
  <w:abstractNum w:abstractNumId="8" w15:restartNumberingAfterBreak="0">
    <w:nsid w:val="069A77FA"/>
    <w:multiLevelType w:val="hybridMultilevel"/>
    <w:tmpl w:val="1E981712"/>
    <w:lvl w:ilvl="0" w:tplc="9230B2F6">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38EAF392">
      <w:start w:val="1"/>
      <w:numFmt w:val="lowerLetter"/>
      <w:lvlText w:val="%2)"/>
      <w:lvlJc w:val="left"/>
      <w:pPr>
        <w:ind w:left="2089" w:hanging="5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DBA0367C">
      <w:numFmt w:val="bullet"/>
      <w:lvlText w:val="•"/>
      <w:lvlJc w:val="left"/>
      <w:pPr>
        <w:ind w:left="2980" w:hanging="569"/>
      </w:pPr>
      <w:rPr>
        <w:rFonts w:hint="default"/>
        <w:lang w:val="en-US" w:eastAsia="en-US" w:bidi="ar-SA"/>
      </w:rPr>
    </w:lvl>
    <w:lvl w:ilvl="3" w:tplc="BEFA1B8C">
      <w:numFmt w:val="bullet"/>
      <w:lvlText w:val="•"/>
      <w:lvlJc w:val="left"/>
      <w:pPr>
        <w:ind w:left="3881" w:hanging="569"/>
      </w:pPr>
      <w:rPr>
        <w:rFonts w:hint="default"/>
        <w:lang w:val="en-US" w:eastAsia="en-US" w:bidi="ar-SA"/>
      </w:rPr>
    </w:lvl>
    <w:lvl w:ilvl="4" w:tplc="4ABC6CCA">
      <w:numFmt w:val="bullet"/>
      <w:lvlText w:val="•"/>
      <w:lvlJc w:val="left"/>
      <w:pPr>
        <w:ind w:left="4781" w:hanging="569"/>
      </w:pPr>
      <w:rPr>
        <w:rFonts w:hint="default"/>
        <w:lang w:val="en-US" w:eastAsia="en-US" w:bidi="ar-SA"/>
      </w:rPr>
    </w:lvl>
    <w:lvl w:ilvl="5" w:tplc="DA3CCA6A">
      <w:numFmt w:val="bullet"/>
      <w:lvlText w:val="•"/>
      <w:lvlJc w:val="left"/>
      <w:pPr>
        <w:ind w:left="5682" w:hanging="569"/>
      </w:pPr>
      <w:rPr>
        <w:rFonts w:hint="default"/>
        <w:lang w:val="en-US" w:eastAsia="en-US" w:bidi="ar-SA"/>
      </w:rPr>
    </w:lvl>
    <w:lvl w:ilvl="6" w:tplc="D0DE88BC">
      <w:numFmt w:val="bullet"/>
      <w:lvlText w:val="•"/>
      <w:lvlJc w:val="left"/>
      <w:pPr>
        <w:ind w:left="6582" w:hanging="569"/>
      </w:pPr>
      <w:rPr>
        <w:rFonts w:hint="default"/>
        <w:lang w:val="en-US" w:eastAsia="en-US" w:bidi="ar-SA"/>
      </w:rPr>
    </w:lvl>
    <w:lvl w:ilvl="7" w:tplc="F5B24C5A">
      <w:numFmt w:val="bullet"/>
      <w:lvlText w:val="•"/>
      <w:lvlJc w:val="left"/>
      <w:pPr>
        <w:ind w:left="7483" w:hanging="569"/>
      </w:pPr>
      <w:rPr>
        <w:rFonts w:hint="default"/>
        <w:lang w:val="en-US" w:eastAsia="en-US" w:bidi="ar-SA"/>
      </w:rPr>
    </w:lvl>
    <w:lvl w:ilvl="8" w:tplc="9EE4034A">
      <w:numFmt w:val="bullet"/>
      <w:lvlText w:val="•"/>
      <w:lvlJc w:val="left"/>
      <w:pPr>
        <w:ind w:left="8383" w:hanging="569"/>
      </w:pPr>
      <w:rPr>
        <w:rFonts w:hint="default"/>
        <w:lang w:val="en-US" w:eastAsia="en-US" w:bidi="ar-SA"/>
      </w:rPr>
    </w:lvl>
  </w:abstractNum>
  <w:abstractNum w:abstractNumId="9" w15:restartNumberingAfterBreak="0">
    <w:nsid w:val="06C725FC"/>
    <w:multiLevelType w:val="multilevel"/>
    <w:tmpl w:val="C4DCD578"/>
    <w:lvl w:ilvl="0">
      <w:start w:val="30"/>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02" w:hanging="570"/>
      </w:pPr>
      <w:rPr>
        <w:rFonts w:hint="default"/>
        <w:lang w:val="en-US" w:eastAsia="en-US" w:bidi="ar-SA"/>
      </w:rPr>
    </w:lvl>
    <w:lvl w:ilvl="3">
      <w:numFmt w:val="bullet"/>
      <w:lvlText w:val="•"/>
      <w:lvlJc w:val="left"/>
      <w:pPr>
        <w:ind w:left="4553" w:hanging="570"/>
      </w:pPr>
      <w:rPr>
        <w:rFonts w:hint="default"/>
        <w:lang w:val="en-US" w:eastAsia="en-US" w:bidi="ar-SA"/>
      </w:rPr>
    </w:lvl>
    <w:lvl w:ilvl="4">
      <w:numFmt w:val="bullet"/>
      <w:lvlText w:val="•"/>
      <w:lvlJc w:val="left"/>
      <w:pPr>
        <w:ind w:left="5604" w:hanging="570"/>
      </w:pPr>
      <w:rPr>
        <w:rFonts w:hint="default"/>
        <w:lang w:val="en-US" w:eastAsia="en-US" w:bidi="ar-SA"/>
      </w:rPr>
    </w:lvl>
    <w:lvl w:ilvl="5">
      <w:numFmt w:val="bullet"/>
      <w:lvlText w:val="•"/>
      <w:lvlJc w:val="left"/>
      <w:pPr>
        <w:ind w:left="6655" w:hanging="570"/>
      </w:pPr>
      <w:rPr>
        <w:rFonts w:hint="default"/>
        <w:lang w:val="en-US" w:eastAsia="en-US" w:bidi="ar-SA"/>
      </w:rPr>
    </w:lvl>
    <w:lvl w:ilvl="6">
      <w:numFmt w:val="bullet"/>
      <w:lvlText w:val="•"/>
      <w:lvlJc w:val="left"/>
      <w:pPr>
        <w:ind w:left="7706" w:hanging="570"/>
      </w:pPr>
      <w:rPr>
        <w:rFonts w:hint="default"/>
        <w:lang w:val="en-US" w:eastAsia="en-US" w:bidi="ar-SA"/>
      </w:rPr>
    </w:lvl>
    <w:lvl w:ilvl="7">
      <w:numFmt w:val="bullet"/>
      <w:lvlText w:val="•"/>
      <w:lvlJc w:val="left"/>
      <w:pPr>
        <w:ind w:left="8757" w:hanging="570"/>
      </w:pPr>
      <w:rPr>
        <w:rFonts w:hint="default"/>
        <w:lang w:val="en-US" w:eastAsia="en-US" w:bidi="ar-SA"/>
      </w:rPr>
    </w:lvl>
    <w:lvl w:ilvl="8">
      <w:numFmt w:val="bullet"/>
      <w:lvlText w:val="•"/>
      <w:lvlJc w:val="left"/>
      <w:pPr>
        <w:ind w:left="9808" w:hanging="570"/>
      </w:pPr>
      <w:rPr>
        <w:rFonts w:hint="default"/>
        <w:lang w:val="en-US" w:eastAsia="en-US" w:bidi="ar-SA"/>
      </w:rPr>
    </w:lvl>
  </w:abstractNum>
  <w:abstractNum w:abstractNumId="10" w15:restartNumberingAfterBreak="0">
    <w:nsid w:val="07614D03"/>
    <w:multiLevelType w:val="hybridMultilevel"/>
    <w:tmpl w:val="444C949E"/>
    <w:lvl w:ilvl="0" w:tplc="065431F0">
      <w:start w:val="1"/>
      <w:numFmt w:val="lowerLetter"/>
      <w:lvlText w:val="%1)"/>
      <w:lvlJc w:val="left"/>
      <w:pPr>
        <w:ind w:left="1870"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2D8F3B6">
      <w:numFmt w:val="bullet"/>
      <w:lvlText w:val="•"/>
      <w:lvlJc w:val="left"/>
      <w:pPr>
        <w:ind w:left="2840" w:hanging="500"/>
      </w:pPr>
      <w:rPr>
        <w:rFonts w:hint="default"/>
        <w:lang w:val="en-US" w:eastAsia="en-US" w:bidi="ar-SA"/>
      </w:rPr>
    </w:lvl>
    <w:lvl w:ilvl="2" w:tplc="25325A18">
      <w:numFmt w:val="bullet"/>
      <w:lvlText w:val="•"/>
      <w:lvlJc w:val="left"/>
      <w:pPr>
        <w:ind w:left="3801" w:hanging="500"/>
      </w:pPr>
      <w:rPr>
        <w:rFonts w:hint="default"/>
        <w:lang w:val="en-US" w:eastAsia="en-US" w:bidi="ar-SA"/>
      </w:rPr>
    </w:lvl>
    <w:lvl w:ilvl="3" w:tplc="C17899BC">
      <w:numFmt w:val="bullet"/>
      <w:lvlText w:val="•"/>
      <w:lvlJc w:val="left"/>
      <w:pPr>
        <w:ind w:left="4762" w:hanging="500"/>
      </w:pPr>
      <w:rPr>
        <w:rFonts w:hint="default"/>
        <w:lang w:val="en-US" w:eastAsia="en-US" w:bidi="ar-SA"/>
      </w:rPr>
    </w:lvl>
    <w:lvl w:ilvl="4" w:tplc="3F668CF8">
      <w:numFmt w:val="bullet"/>
      <w:lvlText w:val="•"/>
      <w:lvlJc w:val="left"/>
      <w:pPr>
        <w:ind w:left="5722" w:hanging="500"/>
      </w:pPr>
      <w:rPr>
        <w:rFonts w:hint="default"/>
        <w:lang w:val="en-US" w:eastAsia="en-US" w:bidi="ar-SA"/>
      </w:rPr>
    </w:lvl>
    <w:lvl w:ilvl="5" w:tplc="9C3A061C">
      <w:numFmt w:val="bullet"/>
      <w:lvlText w:val="•"/>
      <w:lvlJc w:val="left"/>
      <w:pPr>
        <w:ind w:left="6683" w:hanging="500"/>
      </w:pPr>
      <w:rPr>
        <w:rFonts w:hint="default"/>
        <w:lang w:val="en-US" w:eastAsia="en-US" w:bidi="ar-SA"/>
      </w:rPr>
    </w:lvl>
    <w:lvl w:ilvl="6" w:tplc="A6FA7908">
      <w:numFmt w:val="bullet"/>
      <w:lvlText w:val="•"/>
      <w:lvlJc w:val="left"/>
      <w:pPr>
        <w:ind w:left="7644" w:hanging="500"/>
      </w:pPr>
      <w:rPr>
        <w:rFonts w:hint="default"/>
        <w:lang w:val="en-US" w:eastAsia="en-US" w:bidi="ar-SA"/>
      </w:rPr>
    </w:lvl>
    <w:lvl w:ilvl="7" w:tplc="CF00C0E6">
      <w:numFmt w:val="bullet"/>
      <w:lvlText w:val="•"/>
      <w:lvlJc w:val="left"/>
      <w:pPr>
        <w:ind w:left="8605" w:hanging="500"/>
      </w:pPr>
      <w:rPr>
        <w:rFonts w:hint="default"/>
        <w:lang w:val="en-US" w:eastAsia="en-US" w:bidi="ar-SA"/>
      </w:rPr>
    </w:lvl>
    <w:lvl w:ilvl="8" w:tplc="AC5E2F2E">
      <w:numFmt w:val="bullet"/>
      <w:lvlText w:val="•"/>
      <w:lvlJc w:val="left"/>
      <w:pPr>
        <w:ind w:left="9565" w:hanging="500"/>
      </w:pPr>
      <w:rPr>
        <w:rFonts w:hint="default"/>
        <w:lang w:val="en-US" w:eastAsia="en-US" w:bidi="ar-SA"/>
      </w:rPr>
    </w:lvl>
  </w:abstractNum>
  <w:abstractNum w:abstractNumId="11" w15:restartNumberingAfterBreak="0">
    <w:nsid w:val="077F46C9"/>
    <w:multiLevelType w:val="hybridMultilevel"/>
    <w:tmpl w:val="7C6CD314"/>
    <w:lvl w:ilvl="0" w:tplc="43C06E74">
      <w:start w:val="1"/>
      <w:numFmt w:val="lowerLetter"/>
      <w:lvlText w:val="%1)"/>
      <w:lvlJc w:val="left"/>
      <w:pPr>
        <w:ind w:left="1882"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6324712">
      <w:numFmt w:val="bullet"/>
      <w:lvlText w:val="•"/>
      <w:lvlJc w:val="left"/>
      <w:pPr>
        <w:ind w:left="2840" w:hanging="495"/>
      </w:pPr>
      <w:rPr>
        <w:rFonts w:hint="default"/>
        <w:lang w:val="en-US" w:eastAsia="en-US" w:bidi="ar-SA"/>
      </w:rPr>
    </w:lvl>
    <w:lvl w:ilvl="2" w:tplc="E336461C">
      <w:numFmt w:val="bullet"/>
      <w:lvlText w:val="•"/>
      <w:lvlJc w:val="left"/>
      <w:pPr>
        <w:ind w:left="3801" w:hanging="495"/>
      </w:pPr>
      <w:rPr>
        <w:rFonts w:hint="default"/>
        <w:lang w:val="en-US" w:eastAsia="en-US" w:bidi="ar-SA"/>
      </w:rPr>
    </w:lvl>
    <w:lvl w:ilvl="3" w:tplc="3586C812">
      <w:numFmt w:val="bullet"/>
      <w:lvlText w:val="•"/>
      <w:lvlJc w:val="left"/>
      <w:pPr>
        <w:ind w:left="4762" w:hanging="495"/>
      </w:pPr>
      <w:rPr>
        <w:rFonts w:hint="default"/>
        <w:lang w:val="en-US" w:eastAsia="en-US" w:bidi="ar-SA"/>
      </w:rPr>
    </w:lvl>
    <w:lvl w:ilvl="4" w:tplc="10E21202">
      <w:numFmt w:val="bullet"/>
      <w:lvlText w:val="•"/>
      <w:lvlJc w:val="left"/>
      <w:pPr>
        <w:ind w:left="5722" w:hanging="495"/>
      </w:pPr>
      <w:rPr>
        <w:rFonts w:hint="default"/>
        <w:lang w:val="en-US" w:eastAsia="en-US" w:bidi="ar-SA"/>
      </w:rPr>
    </w:lvl>
    <w:lvl w:ilvl="5" w:tplc="4F84E8D4">
      <w:numFmt w:val="bullet"/>
      <w:lvlText w:val="•"/>
      <w:lvlJc w:val="left"/>
      <w:pPr>
        <w:ind w:left="6683" w:hanging="495"/>
      </w:pPr>
      <w:rPr>
        <w:rFonts w:hint="default"/>
        <w:lang w:val="en-US" w:eastAsia="en-US" w:bidi="ar-SA"/>
      </w:rPr>
    </w:lvl>
    <w:lvl w:ilvl="6" w:tplc="B71E7C8A">
      <w:numFmt w:val="bullet"/>
      <w:lvlText w:val="•"/>
      <w:lvlJc w:val="left"/>
      <w:pPr>
        <w:ind w:left="7644" w:hanging="495"/>
      </w:pPr>
      <w:rPr>
        <w:rFonts w:hint="default"/>
        <w:lang w:val="en-US" w:eastAsia="en-US" w:bidi="ar-SA"/>
      </w:rPr>
    </w:lvl>
    <w:lvl w:ilvl="7" w:tplc="54F25F88">
      <w:numFmt w:val="bullet"/>
      <w:lvlText w:val="•"/>
      <w:lvlJc w:val="left"/>
      <w:pPr>
        <w:ind w:left="8605" w:hanging="495"/>
      </w:pPr>
      <w:rPr>
        <w:rFonts w:hint="default"/>
        <w:lang w:val="en-US" w:eastAsia="en-US" w:bidi="ar-SA"/>
      </w:rPr>
    </w:lvl>
    <w:lvl w:ilvl="8" w:tplc="532ADF30">
      <w:numFmt w:val="bullet"/>
      <w:lvlText w:val="•"/>
      <w:lvlJc w:val="left"/>
      <w:pPr>
        <w:ind w:left="9565" w:hanging="495"/>
      </w:pPr>
      <w:rPr>
        <w:rFonts w:hint="default"/>
        <w:lang w:val="en-US" w:eastAsia="en-US" w:bidi="ar-SA"/>
      </w:rPr>
    </w:lvl>
  </w:abstractNum>
  <w:abstractNum w:abstractNumId="12" w15:restartNumberingAfterBreak="0">
    <w:nsid w:val="078E0D8F"/>
    <w:multiLevelType w:val="hybridMultilevel"/>
    <w:tmpl w:val="9482EAE8"/>
    <w:lvl w:ilvl="0" w:tplc="57A60DDE">
      <w:start w:val="1"/>
      <w:numFmt w:val="decimal"/>
      <w:lvlText w:val="%1."/>
      <w:lvlJc w:val="left"/>
      <w:pPr>
        <w:ind w:left="335" w:hanging="224"/>
      </w:pPr>
      <w:rPr>
        <w:rFonts w:ascii="Times New Roman" w:eastAsia="Times New Roman" w:hAnsi="Times New Roman" w:cs="Times New Roman" w:hint="default"/>
        <w:b w:val="0"/>
        <w:bCs w:val="0"/>
        <w:i w:val="0"/>
        <w:iCs w:val="0"/>
        <w:spacing w:val="0"/>
        <w:w w:val="100"/>
        <w:sz w:val="22"/>
        <w:szCs w:val="22"/>
        <w:lang w:val="en-US" w:eastAsia="en-US" w:bidi="ar-SA"/>
      </w:rPr>
    </w:lvl>
    <w:lvl w:ilvl="1" w:tplc="56B860D2">
      <w:numFmt w:val="bullet"/>
      <w:lvlText w:val="•"/>
      <w:lvlJc w:val="left"/>
      <w:pPr>
        <w:ind w:left="827" w:hanging="224"/>
      </w:pPr>
      <w:rPr>
        <w:rFonts w:hint="default"/>
        <w:lang w:val="en-US" w:eastAsia="en-US" w:bidi="ar-SA"/>
      </w:rPr>
    </w:lvl>
    <w:lvl w:ilvl="2" w:tplc="E774D0A8">
      <w:numFmt w:val="bullet"/>
      <w:lvlText w:val="•"/>
      <w:lvlJc w:val="left"/>
      <w:pPr>
        <w:ind w:left="1314" w:hanging="224"/>
      </w:pPr>
      <w:rPr>
        <w:rFonts w:hint="default"/>
        <w:lang w:val="en-US" w:eastAsia="en-US" w:bidi="ar-SA"/>
      </w:rPr>
    </w:lvl>
    <w:lvl w:ilvl="3" w:tplc="5E823BD4">
      <w:numFmt w:val="bullet"/>
      <w:lvlText w:val="•"/>
      <w:lvlJc w:val="left"/>
      <w:pPr>
        <w:ind w:left="1801" w:hanging="224"/>
      </w:pPr>
      <w:rPr>
        <w:rFonts w:hint="default"/>
        <w:lang w:val="en-US" w:eastAsia="en-US" w:bidi="ar-SA"/>
      </w:rPr>
    </w:lvl>
    <w:lvl w:ilvl="4" w:tplc="A55E9966">
      <w:numFmt w:val="bullet"/>
      <w:lvlText w:val="•"/>
      <w:lvlJc w:val="left"/>
      <w:pPr>
        <w:ind w:left="2289" w:hanging="224"/>
      </w:pPr>
      <w:rPr>
        <w:rFonts w:hint="default"/>
        <w:lang w:val="en-US" w:eastAsia="en-US" w:bidi="ar-SA"/>
      </w:rPr>
    </w:lvl>
    <w:lvl w:ilvl="5" w:tplc="54B4FA24">
      <w:numFmt w:val="bullet"/>
      <w:lvlText w:val="•"/>
      <w:lvlJc w:val="left"/>
      <w:pPr>
        <w:ind w:left="2776" w:hanging="224"/>
      </w:pPr>
      <w:rPr>
        <w:rFonts w:hint="default"/>
        <w:lang w:val="en-US" w:eastAsia="en-US" w:bidi="ar-SA"/>
      </w:rPr>
    </w:lvl>
    <w:lvl w:ilvl="6" w:tplc="FB1C26AE">
      <w:numFmt w:val="bullet"/>
      <w:lvlText w:val="•"/>
      <w:lvlJc w:val="left"/>
      <w:pPr>
        <w:ind w:left="3263" w:hanging="224"/>
      </w:pPr>
      <w:rPr>
        <w:rFonts w:hint="default"/>
        <w:lang w:val="en-US" w:eastAsia="en-US" w:bidi="ar-SA"/>
      </w:rPr>
    </w:lvl>
    <w:lvl w:ilvl="7" w:tplc="628288D0">
      <w:numFmt w:val="bullet"/>
      <w:lvlText w:val="•"/>
      <w:lvlJc w:val="left"/>
      <w:pPr>
        <w:ind w:left="3751" w:hanging="224"/>
      </w:pPr>
      <w:rPr>
        <w:rFonts w:hint="default"/>
        <w:lang w:val="en-US" w:eastAsia="en-US" w:bidi="ar-SA"/>
      </w:rPr>
    </w:lvl>
    <w:lvl w:ilvl="8" w:tplc="2B7693AC">
      <w:numFmt w:val="bullet"/>
      <w:lvlText w:val="•"/>
      <w:lvlJc w:val="left"/>
      <w:pPr>
        <w:ind w:left="4238" w:hanging="224"/>
      </w:pPr>
      <w:rPr>
        <w:rFonts w:hint="default"/>
        <w:lang w:val="en-US" w:eastAsia="en-US" w:bidi="ar-SA"/>
      </w:rPr>
    </w:lvl>
  </w:abstractNum>
  <w:abstractNum w:abstractNumId="13" w15:restartNumberingAfterBreak="0">
    <w:nsid w:val="08721EC6"/>
    <w:multiLevelType w:val="multilevel"/>
    <w:tmpl w:val="D3B45296"/>
    <w:lvl w:ilvl="0">
      <w:start w:val="41"/>
      <w:numFmt w:val="decimal"/>
      <w:lvlText w:val="%1"/>
      <w:lvlJc w:val="left"/>
      <w:pPr>
        <w:ind w:left="1440" w:hanging="591"/>
      </w:pPr>
      <w:rPr>
        <w:rFonts w:hint="default"/>
        <w:lang w:val="en-US" w:eastAsia="en-US" w:bidi="ar-SA"/>
      </w:rPr>
    </w:lvl>
    <w:lvl w:ilvl="1">
      <w:numFmt w:val="decimal"/>
      <w:lvlText w:val="%1.%2"/>
      <w:lvlJc w:val="left"/>
      <w:pPr>
        <w:ind w:left="1440" w:hanging="591"/>
      </w:pPr>
      <w:rPr>
        <w:rFonts w:ascii="Times New Roman" w:eastAsia="Times New Roman" w:hAnsi="Times New Roman" w:cs="Times New Roman" w:hint="default"/>
        <w:b/>
        <w:bCs/>
        <w:i w:val="0"/>
        <w:iCs w:val="0"/>
        <w:color w:val="221F1F"/>
        <w:spacing w:val="0"/>
        <w:w w:val="100"/>
        <w:sz w:val="22"/>
        <w:szCs w:val="22"/>
        <w:lang w:val="en-US" w:eastAsia="en-US" w:bidi="ar-SA"/>
      </w:rPr>
    </w:lvl>
    <w:lvl w:ilvl="2">
      <w:numFmt w:val="bullet"/>
      <w:lvlText w:val="•"/>
      <w:lvlJc w:val="left"/>
      <w:pPr>
        <w:ind w:left="3534" w:hanging="591"/>
      </w:pPr>
      <w:rPr>
        <w:rFonts w:hint="default"/>
        <w:lang w:val="en-US" w:eastAsia="en-US" w:bidi="ar-SA"/>
      </w:rPr>
    </w:lvl>
    <w:lvl w:ilvl="3">
      <w:numFmt w:val="bullet"/>
      <w:lvlText w:val="•"/>
      <w:lvlJc w:val="left"/>
      <w:pPr>
        <w:ind w:left="4581" w:hanging="591"/>
      </w:pPr>
      <w:rPr>
        <w:rFonts w:hint="default"/>
        <w:lang w:val="en-US" w:eastAsia="en-US" w:bidi="ar-SA"/>
      </w:rPr>
    </w:lvl>
    <w:lvl w:ilvl="4">
      <w:numFmt w:val="bullet"/>
      <w:lvlText w:val="•"/>
      <w:lvlJc w:val="left"/>
      <w:pPr>
        <w:ind w:left="5628" w:hanging="591"/>
      </w:pPr>
      <w:rPr>
        <w:rFonts w:hint="default"/>
        <w:lang w:val="en-US" w:eastAsia="en-US" w:bidi="ar-SA"/>
      </w:rPr>
    </w:lvl>
    <w:lvl w:ilvl="5">
      <w:numFmt w:val="bullet"/>
      <w:lvlText w:val="•"/>
      <w:lvlJc w:val="left"/>
      <w:pPr>
        <w:ind w:left="6675" w:hanging="591"/>
      </w:pPr>
      <w:rPr>
        <w:rFonts w:hint="default"/>
        <w:lang w:val="en-US" w:eastAsia="en-US" w:bidi="ar-SA"/>
      </w:rPr>
    </w:lvl>
    <w:lvl w:ilvl="6">
      <w:numFmt w:val="bullet"/>
      <w:lvlText w:val="•"/>
      <w:lvlJc w:val="left"/>
      <w:pPr>
        <w:ind w:left="7722" w:hanging="591"/>
      </w:pPr>
      <w:rPr>
        <w:rFonts w:hint="default"/>
        <w:lang w:val="en-US" w:eastAsia="en-US" w:bidi="ar-SA"/>
      </w:rPr>
    </w:lvl>
    <w:lvl w:ilvl="7">
      <w:numFmt w:val="bullet"/>
      <w:lvlText w:val="•"/>
      <w:lvlJc w:val="left"/>
      <w:pPr>
        <w:ind w:left="8769" w:hanging="591"/>
      </w:pPr>
      <w:rPr>
        <w:rFonts w:hint="default"/>
        <w:lang w:val="en-US" w:eastAsia="en-US" w:bidi="ar-SA"/>
      </w:rPr>
    </w:lvl>
    <w:lvl w:ilvl="8">
      <w:numFmt w:val="bullet"/>
      <w:lvlText w:val="•"/>
      <w:lvlJc w:val="left"/>
      <w:pPr>
        <w:ind w:left="9816" w:hanging="591"/>
      </w:pPr>
      <w:rPr>
        <w:rFonts w:hint="default"/>
        <w:lang w:val="en-US" w:eastAsia="en-US" w:bidi="ar-SA"/>
      </w:rPr>
    </w:lvl>
  </w:abstractNum>
  <w:abstractNum w:abstractNumId="14" w15:restartNumberingAfterBreak="0">
    <w:nsid w:val="08887A5B"/>
    <w:multiLevelType w:val="hybridMultilevel"/>
    <w:tmpl w:val="9B4678AA"/>
    <w:lvl w:ilvl="0" w:tplc="7250F40C">
      <w:start w:val="2"/>
      <w:numFmt w:val="lowerRoman"/>
      <w:lvlText w:val="%1)"/>
      <w:lvlJc w:val="left"/>
      <w:pPr>
        <w:ind w:left="1982" w:hanging="567"/>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79ABA0C">
      <w:start w:val="1"/>
      <w:numFmt w:val="lowerLetter"/>
      <w:lvlText w:val="%2)"/>
      <w:lvlJc w:val="left"/>
      <w:pPr>
        <w:ind w:left="2494" w:hanging="468"/>
      </w:pPr>
      <w:rPr>
        <w:rFonts w:hint="default"/>
        <w:spacing w:val="0"/>
        <w:w w:val="100"/>
        <w:lang w:val="en-US" w:eastAsia="en-US" w:bidi="ar-SA"/>
      </w:rPr>
    </w:lvl>
    <w:lvl w:ilvl="2" w:tplc="D9A4F19E">
      <w:numFmt w:val="bullet"/>
      <w:lvlText w:val="•"/>
      <w:lvlJc w:val="left"/>
      <w:pPr>
        <w:ind w:left="3545" w:hanging="468"/>
      </w:pPr>
      <w:rPr>
        <w:rFonts w:hint="default"/>
        <w:lang w:val="en-US" w:eastAsia="en-US" w:bidi="ar-SA"/>
      </w:rPr>
    </w:lvl>
    <w:lvl w:ilvl="3" w:tplc="CB4A8AE8">
      <w:numFmt w:val="bullet"/>
      <w:lvlText w:val="•"/>
      <w:lvlJc w:val="left"/>
      <w:pPr>
        <w:ind w:left="4591" w:hanging="468"/>
      </w:pPr>
      <w:rPr>
        <w:rFonts w:hint="default"/>
        <w:lang w:val="en-US" w:eastAsia="en-US" w:bidi="ar-SA"/>
      </w:rPr>
    </w:lvl>
    <w:lvl w:ilvl="4" w:tplc="5356953E">
      <w:numFmt w:val="bullet"/>
      <w:lvlText w:val="•"/>
      <w:lvlJc w:val="left"/>
      <w:pPr>
        <w:ind w:left="5637" w:hanging="468"/>
      </w:pPr>
      <w:rPr>
        <w:rFonts w:hint="default"/>
        <w:lang w:val="en-US" w:eastAsia="en-US" w:bidi="ar-SA"/>
      </w:rPr>
    </w:lvl>
    <w:lvl w:ilvl="5" w:tplc="E8BADA1E">
      <w:numFmt w:val="bullet"/>
      <w:lvlText w:val="•"/>
      <w:lvlJc w:val="left"/>
      <w:pPr>
        <w:ind w:left="6682" w:hanging="468"/>
      </w:pPr>
      <w:rPr>
        <w:rFonts w:hint="default"/>
        <w:lang w:val="en-US" w:eastAsia="en-US" w:bidi="ar-SA"/>
      </w:rPr>
    </w:lvl>
    <w:lvl w:ilvl="6" w:tplc="3F9A790A">
      <w:numFmt w:val="bullet"/>
      <w:lvlText w:val="•"/>
      <w:lvlJc w:val="left"/>
      <w:pPr>
        <w:ind w:left="7728" w:hanging="468"/>
      </w:pPr>
      <w:rPr>
        <w:rFonts w:hint="default"/>
        <w:lang w:val="en-US" w:eastAsia="en-US" w:bidi="ar-SA"/>
      </w:rPr>
    </w:lvl>
    <w:lvl w:ilvl="7" w:tplc="DBE21656">
      <w:numFmt w:val="bullet"/>
      <w:lvlText w:val="•"/>
      <w:lvlJc w:val="left"/>
      <w:pPr>
        <w:ind w:left="8774" w:hanging="468"/>
      </w:pPr>
      <w:rPr>
        <w:rFonts w:hint="default"/>
        <w:lang w:val="en-US" w:eastAsia="en-US" w:bidi="ar-SA"/>
      </w:rPr>
    </w:lvl>
    <w:lvl w:ilvl="8" w:tplc="23B8C084">
      <w:numFmt w:val="bullet"/>
      <w:lvlText w:val="•"/>
      <w:lvlJc w:val="left"/>
      <w:pPr>
        <w:ind w:left="9819" w:hanging="468"/>
      </w:pPr>
      <w:rPr>
        <w:rFonts w:hint="default"/>
        <w:lang w:val="en-US" w:eastAsia="en-US" w:bidi="ar-SA"/>
      </w:rPr>
    </w:lvl>
  </w:abstractNum>
  <w:abstractNum w:abstractNumId="15" w15:restartNumberingAfterBreak="0">
    <w:nsid w:val="0B2004C1"/>
    <w:multiLevelType w:val="multilevel"/>
    <w:tmpl w:val="C2A4B93C"/>
    <w:lvl w:ilvl="0">
      <w:start w:val="20"/>
      <w:numFmt w:val="decimal"/>
      <w:lvlText w:val="%1"/>
      <w:lvlJc w:val="left"/>
      <w:pPr>
        <w:ind w:left="1471" w:hanging="625"/>
      </w:pPr>
      <w:rPr>
        <w:rFonts w:hint="default"/>
        <w:lang w:val="en-US" w:eastAsia="en-US" w:bidi="ar-SA"/>
      </w:rPr>
    </w:lvl>
    <w:lvl w:ilvl="1">
      <w:numFmt w:val="decimal"/>
      <w:lvlText w:val="%1.%2"/>
      <w:lvlJc w:val="left"/>
      <w:pPr>
        <w:ind w:left="1471" w:hanging="625"/>
      </w:pPr>
      <w:rPr>
        <w:rFonts w:ascii="Times New Roman" w:eastAsia="Times New Roman" w:hAnsi="Times New Roman" w:cs="Times New Roman" w:hint="default"/>
        <w:b/>
        <w:bCs/>
        <w:i w:val="0"/>
        <w:iCs w:val="0"/>
        <w:color w:val="221F1F"/>
        <w:spacing w:val="-28"/>
        <w:w w:val="97"/>
        <w:sz w:val="22"/>
        <w:szCs w:val="22"/>
        <w:lang w:val="en-US" w:eastAsia="en-US" w:bidi="ar-SA"/>
      </w:rPr>
    </w:lvl>
    <w:lvl w:ilvl="2">
      <w:numFmt w:val="bullet"/>
      <w:lvlText w:val="•"/>
      <w:lvlJc w:val="left"/>
      <w:pPr>
        <w:ind w:left="3566" w:hanging="625"/>
      </w:pPr>
      <w:rPr>
        <w:rFonts w:hint="default"/>
        <w:lang w:val="en-US" w:eastAsia="en-US" w:bidi="ar-SA"/>
      </w:rPr>
    </w:lvl>
    <w:lvl w:ilvl="3">
      <w:numFmt w:val="bullet"/>
      <w:lvlText w:val="•"/>
      <w:lvlJc w:val="left"/>
      <w:pPr>
        <w:ind w:left="4609" w:hanging="625"/>
      </w:pPr>
      <w:rPr>
        <w:rFonts w:hint="default"/>
        <w:lang w:val="en-US" w:eastAsia="en-US" w:bidi="ar-SA"/>
      </w:rPr>
    </w:lvl>
    <w:lvl w:ilvl="4">
      <w:numFmt w:val="bullet"/>
      <w:lvlText w:val="•"/>
      <w:lvlJc w:val="left"/>
      <w:pPr>
        <w:ind w:left="5652" w:hanging="625"/>
      </w:pPr>
      <w:rPr>
        <w:rFonts w:hint="default"/>
        <w:lang w:val="en-US" w:eastAsia="en-US" w:bidi="ar-SA"/>
      </w:rPr>
    </w:lvl>
    <w:lvl w:ilvl="5">
      <w:numFmt w:val="bullet"/>
      <w:lvlText w:val="•"/>
      <w:lvlJc w:val="left"/>
      <w:pPr>
        <w:ind w:left="6695" w:hanging="625"/>
      </w:pPr>
      <w:rPr>
        <w:rFonts w:hint="default"/>
        <w:lang w:val="en-US" w:eastAsia="en-US" w:bidi="ar-SA"/>
      </w:rPr>
    </w:lvl>
    <w:lvl w:ilvl="6">
      <w:numFmt w:val="bullet"/>
      <w:lvlText w:val="•"/>
      <w:lvlJc w:val="left"/>
      <w:pPr>
        <w:ind w:left="7738" w:hanging="625"/>
      </w:pPr>
      <w:rPr>
        <w:rFonts w:hint="default"/>
        <w:lang w:val="en-US" w:eastAsia="en-US" w:bidi="ar-SA"/>
      </w:rPr>
    </w:lvl>
    <w:lvl w:ilvl="7">
      <w:numFmt w:val="bullet"/>
      <w:lvlText w:val="•"/>
      <w:lvlJc w:val="left"/>
      <w:pPr>
        <w:ind w:left="8781" w:hanging="625"/>
      </w:pPr>
      <w:rPr>
        <w:rFonts w:hint="default"/>
        <w:lang w:val="en-US" w:eastAsia="en-US" w:bidi="ar-SA"/>
      </w:rPr>
    </w:lvl>
    <w:lvl w:ilvl="8">
      <w:numFmt w:val="bullet"/>
      <w:lvlText w:val="•"/>
      <w:lvlJc w:val="left"/>
      <w:pPr>
        <w:ind w:left="9824" w:hanging="625"/>
      </w:pPr>
      <w:rPr>
        <w:rFonts w:hint="default"/>
        <w:lang w:val="en-US" w:eastAsia="en-US" w:bidi="ar-SA"/>
      </w:rPr>
    </w:lvl>
  </w:abstractNum>
  <w:abstractNum w:abstractNumId="16" w15:restartNumberingAfterBreak="0">
    <w:nsid w:val="0C6E1361"/>
    <w:multiLevelType w:val="multilevel"/>
    <w:tmpl w:val="EC6C9C46"/>
    <w:lvl w:ilvl="0">
      <w:start w:val="19"/>
      <w:numFmt w:val="decimal"/>
      <w:lvlText w:val="%1"/>
      <w:lvlJc w:val="left"/>
      <w:pPr>
        <w:ind w:left="1409" w:hanging="560"/>
      </w:pPr>
      <w:rPr>
        <w:rFonts w:hint="default"/>
        <w:lang w:val="en-US" w:eastAsia="en-US" w:bidi="ar-SA"/>
      </w:rPr>
    </w:lvl>
    <w:lvl w:ilvl="1">
      <w:numFmt w:val="decimal"/>
      <w:lvlText w:val="%1.%2"/>
      <w:lvlJc w:val="left"/>
      <w:pPr>
        <w:ind w:left="1409" w:hanging="560"/>
      </w:pPr>
      <w:rPr>
        <w:rFonts w:ascii="Times New Roman" w:eastAsia="Times New Roman" w:hAnsi="Times New Roman" w:cs="Times New Roman" w:hint="default"/>
        <w:b/>
        <w:bCs/>
        <w:i w:val="0"/>
        <w:iCs w:val="0"/>
        <w:color w:val="221F1F"/>
        <w:spacing w:val="-27"/>
        <w:w w:val="100"/>
        <w:sz w:val="22"/>
        <w:szCs w:val="22"/>
        <w:lang w:val="en-US" w:eastAsia="en-US" w:bidi="ar-SA"/>
      </w:rPr>
    </w:lvl>
    <w:lvl w:ilvl="2">
      <w:start w:val="1"/>
      <w:numFmt w:val="upperRoman"/>
      <w:lvlText w:val="%3)"/>
      <w:lvlJc w:val="left"/>
      <w:pPr>
        <w:ind w:left="1982" w:hanging="567"/>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3">
      <w:numFmt w:val="bullet"/>
      <w:lvlText w:val="•"/>
      <w:lvlJc w:val="left"/>
      <w:pPr>
        <w:ind w:left="4186" w:hanging="567"/>
      </w:pPr>
      <w:rPr>
        <w:rFonts w:hint="default"/>
        <w:lang w:val="en-US" w:eastAsia="en-US" w:bidi="ar-SA"/>
      </w:rPr>
    </w:lvl>
    <w:lvl w:ilvl="4">
      <w:numFmt w:val="bullet"/>
      <w:lvlText w:val="•"/>
      <w:lvlJc w:val="left"/>
      <w:pPr>
        <w:ind w:left="5290" w:hanging="567"/>
      </w:pPr>
      <w:rPr>
        <w:rFonts w:hint="default"/>
        <w:lang w:val="en-US" w:eastAsia="en-US" w:bidi="ar-SA"/>
      </w:rPr>
    </w:lvl>
    <w:lvl w:ilvl="5">
      <w:numFmt w:val="bullet"/>
      <w:lvlText w:val="•"/>
      <w:lvlJc w:val="left"/>
      <w:pPr>
        <w:ind w:left="6393" w:hanging="567"/>
      </w:pPr>
      <w:rPr>
        <w:rFonts w:hint="default"/>
        <w:lang w:val="en-US" w:eastAsia="en-US" w:bidi="ar-SA"/>
      </w:rPr>
    </w:lvl>
    <w:lvl w:ilvl="6">
      <w:numFmt w:val="bullet"/>
      <w:lvlText w:val="•"/>
      <w:lvlJc w:val="left"/>
      <w:pPr>
        <w:ind w:left="7497" w:hanging="567"/>
      </w:pPr>
      <w:rPr>
        <w:rFonts w:hint="default"/>
        <w:lang w:val="en-US" w:eastAsia="en-US" w:bidi="ar-SA"/>
      </w:rPr>
    </w:lvl>
    <w:lvl w:ilvl="7">
      <w:numFmt w:val="bullet"/>
      <w:lvlText w:val="•"/>
      <w:lvlJc w:val="left"/>
      <w:pPr>
        <w:ind w:left="8600" w:hanging="567"/>
      </w:pPr>
      <w:rPr>
        <w:rFonts w:hint="default"/>
        <w:lang w:val="en-US" w:eastAsia="en-US" w:bidi="ar-SA"/>
      </w:rPr>
    </w:lvl>
    <w:lvl w:ilvl="8">
      <w:numFmt w:val="bullet"/>
      <w:lvlText w:val="•"/>
      <w:lvlJc w:val="left"/>
      <w:pPr>
        <w:ind w:left="9704" w:hanging="567"/>
      </w:pPr>
      <w:rPr>
        <w:rFonts w:hint="default"/>
        <w:lang w:val="en-US" w:eastAsia="en-US" w:bidi="ar-SA"/>
      </w:rPr>
    </w:lvl>
  </w:abstractNum>
  <w:abstractNum w:abstractNumId="17" w15:restartNumberingAfterBreak="0">
    <w:nsid w:val="0CAA75E7"/>
    <w:multiLevelType w:val="hybridMultilevel"/>
    <w:tmpl w:val="E2BA89A2"/>
    <w:lvl w:ilvl="0" w:tplc="71DC9708">
      <w:start w:val="1"/>
      <w:numFmt w:val="lowerLetter"/>
      <w:lvlText w:val="%1)"/>
      <w:lvlJc w:val="left"/>
      <w:pPr>
        <w:ind w:left="1873"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7CC29AB8">
      <w:start w:val="1"/>
      <w:numFmt w:val="lowerRoman"/>
      <w:lvlText w:val="%2)"/>
      <w:lvlJc w:val="left"/>
      <w:pPr>
        <w:ind w:left="2374"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138C6558">
      <w:numFmt w:val="bullet"/>
      <w:lvlText w:val="•"/>
      <w:lvlJc w:val="left"/>
      <w:pPr>
        <w:ind w:left="3391" w:hanging="500"/>
      </w:pPr>
      <w:rPr>
        <w:rFonts w:hint="default"/>
        <w:lang w:val="en-US" w:eastAsia="en-US" w:bidi="ar-SA"/>
      </w:rPr>
    </w:lvl>
    <w:lvl w:ilvl="3" w:tplc="58FA067A">
      <w:numFmt w:val="bullet"/>
      <w:lvlText w:val="•"/>
      <w:lvlJc w:val="left"/>
      <w:pPr>
        <w:ind w:left="4403" w:hanging="500"/>
      </w:pPr>
      <w:rPr>
        <w:rFonts w:hint="default"/>
        <w:lang w:val="en-US" w:eastAsia="en-US" w:bidi="ar-SA"/>
      </w:rPr>
    </w:lvl>
    <w:lvl w:ilvl="4" w:tplc="B998B3CE">
      <w:numFmt w:val="bullet"/>
      <w:lvlText w:val="•"/>
      <w:lvlJc w:val="left"/>
      <w:pPr>
        <w:ind w:left="5415" w:hanging="500"/>
      </w:pPr>
      <w:rPr>
        <w:rFonts w:hint="default"/>
        <w:lang w:val="en-US" w:eastAsia="en-US" w:bidi="ar-SA"/>
      </w:rPr>
    </w:lvl>
    <w:lvl w:ilvl="5" w:tplc="9C329D56">
      <w:numFmt w:val="bullet"/>
      <w:lvlText w:val="•"/>
      <w:lvlJc w:val="left"/>
      <w:pPr>
        <w:ind w:left="6427" w:hanging="500"/>
      </w:pPr>
      <w:rPr>
        <w:rFonts w:hint="default"/>
        <w:lang w:val="en-US" w:eastAsia="en-US" w:bidi="ar-SA"/>
      </w:rPr>
    </w:lvl>
    <w:lvl w:ilvl="6" w:tplc="6B22968C">
      <w:numFmt w:val="bullet"/>
      <w:lvlText w:val="•"/>
      <w:lvlJc w:val="left"/>
      <w:pPr>
        <w:ind w:left="7439" w:hanging="500"/>
      </w:pPr>
      <w:rPr>
        <w:rFonts w:hint="default"/>
        <w:lang w:val="en-US" w:eastAsia="en-US" w:bidi="ar-SA"/>
      </w:rPr>
    </w:lvl>
    <w:lvl w:ilvl="7" w:tplc="10CCC42A">
      <w:numFmt w:val="bullet"/>
      <w:lvlText w:val="•"/>
      <w:lvlJc w:val="left"/>
      <w:pPr>
        <w:ind w:left="8451" w:hanging="500"/>
      </w:pPr>
      <w:rPr>
        <w:rFonts w:hint="default"/>
        <w:lang w:val="en-US" w:eastAsia="en-US" w:bidi="ar-SA"/>
      </w:rPr>
    </w:lvl>
    <w:lvl w:ilvl="8" w:tplc="F74E224C">
      <w:numFmt w:val="bullet"/>
      <w:lvlText w:val="•"/>
      <w:lvlJc w:val="left"/>
      <w:pPr>
        <w:ind w:left="9463" w:hanging="500"/>
      </w:pPr>
      <w:rPr>
        <w:rFonts w:hint="default"/>
        <w:lang w:val="en-US" w:eastAsia="en-US" w:bidi="ar-SA"/>
      </w:rPr>
    </w:lvl>
  </w:abstractNum>
  <w:abstractNum w:abstractNumId="18" w15:restartNumberingAfterBreak="0">
    <w:nsid w:val="0CB35F2E"/>
    <w:multiLevelType w:val="hybridMultilevel"/>
    <w:tmpl w:val="7BCA6412"/>
    <w:lvl w:ilvl="0" w:tplc="858A84BE">
      <w:start w:val="1"/>
      <w:numFmt w:val="lowerLetter"/>
      <w:lvlText w:val="%1)"/>
      <w:lvlJc w:val="left"/>
      <w:pPr>
        <w:ind w:left="1873" w:hanging="44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496C3E6">
      <w:numFmt w:val="bullet"/>
      <w:lvlText w:val="•"/>
      <w:lvlJc w:val="left"/>
      <w:pPr>
        <w:ind w:left="2840" w:hanging="449"/>
      </w:pPr>
      <w:rPr>
        <w:rFonts w:hint="default"/>
        <w:lang w:val="en-US" w:eastAsia="en-US" w:bidi="ar-SA"/>
      </w:rPr>
    </w:lvl>
    <w:lvl w:ilvl="2" w:tplc="F07ED278">
      <w:numFmt w:val="bullet"/>
      <w:lvlText w:val="•"/>
      <w:lvlJc w:val="left"/>
      <w:pPr>
        <w:ind w:left="3801" w:hanging="449"/>
      </w:pPr>
      <w:rPr>
        <w:rFonts w:hint="default"/>
        <w:lang w:val="en-US" w:eastAsia="en-US" w:bidi="ar-SA"/>
      </w:rPr>
    </w:lvl>
    <w:lvl w:ilvl="3" w:tplc="F508D1B8">
      <w:numFmt w:val="bullet"/>
      <w:lvlText w:val="•"/>
      <w:lvlJc w:val="left"/>
      <w:pPr>
        <w:ind w:left="4762" w:hanging="449"/>
      </w:pPr>
      <w:rPr>
        <w:rFonts w:hint="default"/>
        <w:lang w:val="en-US" w:eastAsia="en-US" w:bidi="ar-SA"/>
      </w:rPr>
    </w:lvl>
    <w:lvl w:ilvl="4" w:tplc="1D3E490E">
      <w:numFmt w:val="bullet"/>
      <w:lvlText w:val="•"/>
      <w:lvlJc w:val="left"/>
      <w:pPr>
        <w:ind w:left="5722" w:hanging="449"/>
      </w:pPr>
      <w:rPr>
        <w:rFonts w:hint="default"/>
        <w:lang w:val="en-US" w:eastAsia="en-US" w:bidi="ar-SA"/>
      </w:rPr>
    </w:lvl>
    <w:lvl w:ilvl="5" w:tplc="26B8E598">
      <w:numFmt w:val="bullet"/>
      <w:lvlText w:val="•"/>
      <w:lvlJc w:val="left"/>
      <w:pPr>
        <w:ind w:left="6683" w:hanging="449"/>
      </w:pPr>
      <w:rPr>
        <w:rFonts w:hint="default"/>
        <w:lang w:val="en-US" w:eastAsia="en-US" w:bidi="ar-SA"/>
      </w:rPr>
    </w:lvl>
    <w:lvl w:ilvl="6" w:tplc="88C46582">
      <w:numFmt w:val="bullet"/>
      <w:lvlText w:val="•"/>
      <w:lvlJc w:val="left"/>
      <w:pPr>
        <w:ind w:left="7644" w:hanging="449"/>
      </w:pPr>
      <w:rPr>
        <w:rFonts w:hint="default"/>
        <w:lang w:val="en-US" w:eastAsia="en-US" w:bidi="ar-SA"/>
      </w:rPr>
    </w:lvl>
    <w:lvl w:ilvl="7" w:tplc="A900D09A">
      <w:numFmt w:val="bullet"/>
      <w:lvlText w:val="•"/>
      <w:lvlJc w:val="left"/>
      <w:pPr>
        <w:ind w:left="8605" w:hanging="449"/>
      </w:pPr>
      <w:rPr>
        <w:rFonts w:hint="default"/>
        <w:lang w:val="en-US" w:eastAsia="en-US" w:bidi="ar-SA"/>
      </w:rPr>
    </w:lvl>
    <w:lvl w:ilvl="8" w:tplc="5AFA9FDC">
      <w:numFmt w:val="bullet"/>
      <w:lvlText w:val="•"/>
      <w:lvlJc w:val="left"/>
      <w:pPr>
        <w:ind w:left="9565" w:hanging="449"/>
      </w:pPr>
      <w:rPr>
        <w:rFonts w:hint="default"/>
        <w:lang w:val="en-US" w:eastAsia="en-US" w:bidi="ar-SA"/>
      </w:rPr>
    </w:lvl>
  </w:abstractNum>
  <w:abstractNum w:abstractNumId="19" w15:restartNumberingAfterBreak="0">
    <w:nsid w:val="0D023DDD"/>
    <w:multiLevelType w:val="hybridMultilevel"/>
    <w:tmpl w:val="2C0653DE"/>
    <w:lvl w:ilvl="0" w:tplc="EB0851F0">
      <w:start w:val="1"/>
      <w:numFmt w:val="lowerLetter"/>
      <w:lvlText w:val="%1)"/>
      <w:lvlJc w:val="left"/>
      <w:pPr>
        <w:ind w:left="1885" w:hanging="46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DEE4A02">
      <w:numFmt w:val="bullet"/>
      <w:lvlText w:val="•"/>
      <w:lvlJc w:val="left"/>
      <w:pPr>
        <w:ind w:left="2840" w:hanging="468"/>
      </w:pPr>
      <w:rPr>
        <w:rFonts w:hint="default"/>
        <w:lang w:val="en-US" w:eastAsia="en-US" w:bidi="ar-SA"/>
      </w:rPr>
    </w:lvl>
    <w:lvl w:ilvl="2" w:tplc="951607D6">
      <w:numFmt w:val="bullet"/>
      <w:lvlText w:val="•"/>
      <w:lvlJc w:val="left"/>
      <w:pPr>
        <w:ind w:left="3801" w:hanging="468"/>
      </w:pPr>
      <w:rPr>
        <w:rFonts w:hint="default"/>
        <w:lang w:val="en-US" w:eastAsia="en-US" w:bidi="ar-SA"/>
      </w:rPr>
    </w:lvl>
    <w:lvl w:ilvl="3" w:tplc="15DAD09A">
      <w:numFmt w:val="bullet"/>
      <w:lvlText w:val="•"/>
      <w:lvlJc w:val="left"/>
      <w:pPr>
        <w:ind w:left="4762" w:hanging="468"/>
      </w:pPr>
      <w:rPr>
        <w:rFonts w:hint="default"/>
        <w:lang w:val="en-US" w:eastAsia="en-US" w:bidi="ar-SA"/>
      </w:rPr>
    </w:lvl>
    <w:lvl w:ilvl="4" w:tplc="5F7CB490">
      <w:numFmt w:val="bullet"/>
      <w:lvlText w:val="•"/>
      <w:lvlJc w:val="left"/>
      <w:pPr>
        <w:ind w:left="5722" w:hanging="468"/>
      </w:pPr>
      <w:rPr>
        <w:rFonts w:hint="default"/>
        <w:lang w:val="en-US" w:eastAsia="en-US" w:bidi="ar-SA"/>
      </w:rPr>
    </w:lvl>
    <w:lvl w:ilvl="5" w:tplc="6C78CF10">
      <w:numFmt w:val="bullet"/>
      <w:lvlText w:val="•"/>
      <w:lvlJc w:val="left"/>
      <w:pPr>
        <w:ind w:left="6683" w:hanging="468"/>
      </w:pPr>
      <w:rPr>
        <w:rFonts w:hint="default"/>
        <w:lang w:val="en-US" w:eastAsia="en-US" w:bidi="ar-SA"/>
      </w:rPr>
    </w:lvl>
    <w:lvl w:ilvl="6" w:tplc="22AA3212">
      <w:numFmt w:val="bullet"/>
      <w:lvlText w:val="•"/>
      <w:lvlJc w:val="left"/>
      <w:pPr>
        <w:ind w:left="7644" w:hanging="468"/>
      </w:pPr>
      <w:rPr>
        <w:rFonts w:hint="default"/>
        <w:lang w:val="en-US" w:eastAsia="en-US" w:bidi="ar-SA"/>
      </w:rPr>
    </w:lvl>
    <w:lvl w:ilvl="7" w:tplc="624EB9CE">
      <w:numFmt w:val="bullet"/>
      <w:lvlText w:val="•"/>
      <w:lvlJc w:val="left"/>
      <w:pPr>
        <w:ind w:left="8605" w:hanging="468"/>
      </w:pPr>
      <w:rPr>
        <w:rFonts w:hint="default"/>
        <w:lang w:val="en-US" w:eastAsia="en-US" w:bidi="ar-SA"/>
      </w:rPr>
    </w:lvl>
    <w:lvl w:ilvl="8" w:tplc="9E2C892E">
      <w:numFmt w:val="bullet"/>
      <w:lvlText w:val="•"/>
      <w:lvlJc w:val="left"/>
      <w:pPr>
        <w:ind w:left="9565" w:hanging="468"/>
      </w:pPr>
      <w:rPr>
        <w:rFonts w:hint="default"/>
        <w:lang w:val="en-US" w:eastAsia="en-US" w:bidi="ar-SA"/>
      </w:rPr>
    </w:lvl>
  </w:abstractNum>
  <w:abstractNum w:abstractNumId="20" w15:restartNumberingAfterBreak="0">
    <w:nsid w:val="0DA11121"/>
    <w:multiLevelType w:val="hybridMultilevel"/>
    <w:tmpl w:val="C9881006"/>
    <w:lvl w:ilvl="0" w:tplc="189675F8">
      <w:start w:val="2"/>
      <w:numFmt w:val="decimal"/>
      <w:lvlText w:val="(%1)"/>
      <w:lvlJc w:val="left"/>
      <w:pPr>
        <w:ind w:left="827"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4FDAE842">
      <w:numFmt w:val="bullet"/>
      <w:lvlText w:val="•"/>
      <w:lvlJc w:val="left"/>
      <w:pPr>
        <w:ind w:left="1624" w:hanging="720"/>
      </w:pPr>
      <w:rPr>
        <w:rFonts w:hint="default"/>
        <w:lang w:val="en-US" w:eastAsia="en-US" w:bidi="ar-SA"/>
      </w:rPr>
    </w:lvl>
    <w:lvl w:ilvl="2" w:tplc="E684D7C2">
      <w:numFmt w:val="bullet"/>
      <w:lvlText w:val="•"/>
      <w:lvlJc w:val="left"/>
      <w:pPr>
        <w:ind w:left="2429" w:hanging="720"/>
      </w:pPr>
      <w:rPr>
        <w:rFonts w:hint="default"/>
        <w:lang w:val="en-US" w:eastAsia="en-US" w:bidi="ar-SA"/>
      </w:rPr>
    </w:lvl>
    <w:lvl w:ilvl="3" w:tplc="DD5CA6CC">
      <w:numFmt w:val="bullet"/>
      <w:lvlText w:val="•"/>
      <w:lvlJc w:val="left"/>
      <w:pPr>
        <w:ind w:left="3234" w:hanging="720"/>
      </w:pPr>
      <w:rPr>
        <w:rFonts w:hint="default"/>
        <w:lang w:val="en-US" w:eastAsia="en-US" w:bidi="ar-SA"/>
      </w:rPr>
    </w:lvl>
    <w:lvl w:ilvl="4" w:tplc="83B651B2">
      <w:numFmt w:val="bullet"/>
      <w:lvlText w:val="•"/>
      <w:lvlJc w:val="left"/>
      <w:pPr>
        <w:ind w:left="4039" w:hanging="720"/>
      </w:pPr>
      <w:rPr>
        <w:rFonts w:hint="default"/>
        <w:lang w:val="en-US" w:eastAsia="en-US" w:bidi="ar-SA"/>
      </w:rPr>
    </w:lvl>
    <w:lvl w:ilvl="5" w:tplc="6EFE62CC">
      <w:numFmt w:val="bullet"/>
      <w:lvlText w:val="•"/>
      <w:lvlJc w:val="left"/>
      <w:pPr>
        <w:ind w:left="4844" w:hanging="720"/>
      </w:pPr>
      <w:rPr>
        <w:rFonts w:hint="default"/>
        <w:lang w:val="en-US" w:eastAsia="en-US" w:bidi="ar-SA"/>
      </w:rPr>
    </w:lvl>
    <w:lvl w:ilvl="6" w:tplc="845E687C">
      <w:numFmt w:val="bullet"/>
      <w:lvlText w:val="•"/>
      <w:lvlJc w:val="left"/>
      <w:pPr>
        <w:ind w:left="5648" w:hanging="720"/>
      </w:pPr>
      <w:rPr>
        <w:rFonts w:hint="default"/>
        <w:lang w:val="en-US" w:eastAsia="en-US" w:bidi="ar-SA"/>
      </w:rPr>
    </w:lvl>
    <w:lvl w:ilvl="7" w:tplc="D8AA7844">
      <w:numFmt w:val="bullet"/>
      <w:lvlText w:val="•"/>
      <w:lvlJc w:val="left"/>
      <w:pPr>
        <w:ind w:left="6453" w:hanging="720"/>
      </w:pPr>
      <w:rPr>
        <w:rFonts w:hint="default"/>
        <w:lang w:val="en-US" w:eastAsia="en-US" w:bidi="ar-SA"/>
      </w:rPr>
    </w:lvl>
    <w:lvl w:ilvl="8" w:tplc="43AC8CC4">
      <w:numFmt w:val="bullet"/>
      <w:lvlText w:val="•"/>
      <w:lvlJc w:val="left"/>
      <w:pPr>
        <w:ind w:left="7258" w:hanging="720"/>
      </w:pPr>
      <w:rPr>
        <w:rFonts w:hint="default"/>
        <w:lang w:val="en-US" w:eastAsia="en-US" w:bidi="ar-SA"/>
      </w:rPr>
    </w:lvl>
  </w:abstractNum>
  <w:abstractNum w:abstractNumId="21" w15:restartNumberingAfterBreak="0">
    <w:nsid w:val="0DAF2032"/>
    <w:multiLevelType w:val="hybridMultilevel"/>
    <w:tmpl w:val="9C4C8242"/>
    <w:lvl w:ilvl="0" w:tplc="8EE8E2E8">
      <w:start w:val="1"/>
      <w:numFmt w:val="decimal"/>
      <w:lvlText w:val="%1."/>
      <w:lvlJc w:val="left"/>
      <w:pPr>
        <w:ind w:left="1081" w:hanging="366"/>
      </w:pPr>
      <w:rPr>
        <w:rFonts w:ascii="Times New Roman" w:eastAsia="Times New Roman" w:hAnsi="Times New Roman" w:cs="Times New Roman" w:hint="default"/>
        <w:b w:val="0"/>
        <w:bCs w:val="0"/>
        <w:i w:val="0"/>
        <w:iCs w:val="0"/>
        <w:color w:val="221F1F"/>
        <w:spacing w:val="-20"/>
        <w:w w:val="100"/>
        <w:sz w:val="22"/>
        <w:szCs w:val="22"/>
        <w:lang w:val="en-US" w:eastAsia="en-US" w:bidi="ar-SA"/>
      </w:rPr>
    </w:lvl>
    <w:lvl w:ilvl="1" w:tplc="5868E21C">
      <w:start w:val="1"/>
      <w:numFmt w:val="lowerLetter"/>
      <w:lvlText w:val="%2)"/>
      <w:lvlJc w:val="left"/>
      <w:pPr>
        <w:ind w:left="1462" w:hanging="38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E752B4D4">
      <w:numFmt w:val="bullet"/>
      <w:lvlText w:val="•"/>
      <w:lvlJc w:val="left"/>
      <w:pPr>
        <w:ind w:left="2574" w:hanging="389"/>
      </w:pPr>
      <w:rPr>
        <w:rFonts w:hint="default"/>
        <w:lang w:val="en-US" w:eastAsia="en-US" w:bidi="ar-SA"/>
      </w:rPr>
    </w:lvl>
    <w:lvl w:ilvl="3" w:tplc="AFCCA646">
      <w:numFmt w:val="bullet"/>
      <w:lvlText w:val="•"/>
      <w:lvlJc w:val="left"/>
      <w:pPr>
        <w:ind w:left="3688" w:hanging="389"/>
      </w:pPr>
      <w:rPr>
        <w:rFonts w:hint="default"/>
        <w:lang w:val="en-US" w:eastAsia="en-US" w:bidi="ar-SA"/>
      </w:rPr>
    </w:lvl>
    <w:lvl w:ilvl="4" w:tplc="53AAFF4C">
      <w:numFmt w:val="bullet"/>
      <w:lvlText w:val="•"/>
      <w:lvlJc w:val="left"/>
      <w:pPr>
        <w:ind w:left="4802" w:hanging="389"/>
      </w:pPr>
      <w:rPr>
        <w:rFonts w:hint="default"/>
        <w:lang w:val="en-US" w:eastAsia="en-US" w:bidi="ar-SA"/>
      </w:rPr>
    </w:lvl>
    <w:lvl w:ilvl="5" w:tplc="B4B87C74">
      <w:numFmt w:val="bullet"/>
      <w:lvlText w:val="•"/>
      <w:lvlJc w:val="left"/>
      <w:pPr>
        <w:ind w:left="5916" w:hanging="389"/>
      </w:pPr>
      <w:rPr>
        <w:rFonts w:hint="default"/>
        <w:lang w:val="en-US" w:eastAsia="en-US" w:bidi="ar-SA"/>
      </w:rPr>
    </w:lvl>
    <w:lvl w:ilvl="6" w:tplc="E26A9342">
      <w:numFmt w:val="bullet"/>
      <w:lvlText w:val="•"/>
      <w:lvlJc w:val="left"/>
      <w:pPr>
        <w:ind w:left="7030" w:hanging="389"/>
      </w:pPr>
      <w:rPr>
        <w:rFonts w:hint="default"/>
        <w:lang w:val="en-US" w:eastAsia="en-US" w:bidi="ar-SA"/>
      </w:rPr>
    </w:lvl>
    <w:lvl w:ilvl="7" w:tplc="D4EACCAE">
      <w:numFmt w:val="bullet"/>
      <w:lvlText w:val="•"/>
      <w:lvlJc w:val="left"/>
      <w:pPr>
        <w:ind w:left="8144" w:hanging="389"/>
      </w:pPr>
      <w:rPr>
        <w:rFonts w:hint="default"/>
        <w:lang w:val="en-US" w:eastAsia="en-US" w:bidi="ar-SA"/>
      </w:rPr>
    </w:lvl>
    <w:lvl w:ilvl="8" w:tplc="EECEEBCA">
      <w:numFmt w:val="bullet"/>
      <w:lvlText w:val="•"/>
      <w:lvlJc w:val="left"/>
      <w:pPr>
        <w:ind w:left="9258" w:hanging="389"/>
      </w:pPr>
      <w:rPr>
        <w:rFonts w:hint="default"/>
        <w:lang w:val="en-US" w:eastAsia="en-US" w:bidi="ar-SA"/>
      </w:rPr>
    </w:lvl>
  </w:abstractNum>
  <w:abstractNum w:abstractNumId="22" w15:restartNumberingAfterBreak="0">
    <w:nsid w:val="0E271F90"/>
    <w:multiLevelType w:val="multilevel"/>
    <w:tmpl w:val="C66A42F0"/>
    <w:lvl w:ilvl="0">
      <w:start w:val="35"/>
      <w:numFmt w:val="decimal"/>
      <w:lvlText w:val="%1."/>
      <w:lvlJc w:val="left"/>
      <w:pPr>
        <w:ind w:left="1416" w:hanging="567"/>
      </w:pPr>
      <w:rPr>
        <w:rFonts w:ascii="Times New Roman" w:eastAsia="Times New Roman" w:hAnsi="Times New Roman" w:cs="Times New Roman" w:hint="default"/>
        <w:b/>
        <w:bCs/>
        <w:i w:val="0"/>
        <w:iCs w:val="0"/>
        <w:color w:val="221F1F"/>
        <w:spacing w:val="-27"/>
        <w:w w:val="100"/>
        <w:sz w:val="22"/>
        <w:szCs w:val="22"/>
        <w:lang w:val="en-US" w:eastAsia="en-US" w:bidi="ar-SA"/>
      </w:rPr>
    </w:lvl>
    <w:lvl w:ilvl="1">
      <w:start w:val="1"/>
      <w:numFmt w:val="decimal"/>
      <w:lvlText w:val="%1.%2"/>
      <w:lvlJc w:val="left"/>
      <w:pPr>
        <w:ind w:left="1390" w:hanging="541"/>
      </w:pPr>
      <w:rPr>
        <w:rFonts w:ascii="Times New Roman" w:eastAsia="Times New Roman" w:hAnsi="Times New Roman" w:cs="Times New Roman" w:hint="default"/>
        <w:b w:val="0"/>
        <w:bCs w:val="0"/>
        <w:i w:val="0"/>
        <w:iCs w:val="0"/>
        <w:color w:val="221F1F"/>
        <w:spacing w:val="-28"/>
        <w:w w:val="97"/>
        <w:sz w:val="22"/>
        <w:szCs w:val="22"/>
        <w:lang w:val="en-US" w:eastAsia="en-US" w:bidi="ar-SA"/>
      </w:rPr>
    </w:lvl>
    <w:lvl w:ilvl="2">
      <w:start w:val="1"/>
      <w:numFmt w:val="lowerLetter"/>
      <w:lvlText w:val="%3)"/>
      <w:lvlJc w:val="left"/>
      <w:pPr>
        <w:ind w:left="1985" w:hanging="5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221" w:hanging="569"/>
      </w:pPr>
      <w:rPr>
        <w:rFonts w:hint="default"/>
        <w:lang w:val="en-US" w:eastAsia="en-US" w:bidi="ar-SA"/>
      </w:rPr>
    </w:lvl>
    <w:lvl w:ilvl="4">
      <w:numFmt w:val="bullet"/>
      <w:lvlText w:val="•"/>
      <w:lvlJc w:val="left"/>
      <w:pPr>
        <w:ind w:left="4462" w:hanging="569"/>
      </w:pPr>
      <w:rPr>
        <w:rFonts w:hint="default"/>
        <w:lang w:val="en-US" w:eastAsia="en-US" w:bidi="ar-SA"/>
      </w:rPr>
    </w:lvl>
    <w:lvl w:ilvl="5">
      <w:numFmt w:val="bullet"/>
      <w:lvlText w:val="•"/>
      <w:lvlJc w:val="left"/>
      <w:pPr>
        <w:ind w:left="5704" w:hanging="569"/>
      </w:pPr>
      <w:rPr>
        <w:rFonts w:hint="default"/>
        <w:lang w:val="en-US" w:eastAsia="en-US" w:bidi="ar-SA"/>
      </w:rPr>
    </w:lvl>
    <w:lvl w:ilvl="6">
      <w:numFmt w:val="bullet"/>
      <w:lvlText w:val="•"/>
      <w:lvlJc w:val="left"/>
      <w:pPr>
        <w:ind w:left="6945" w:hanging="569"/>
      </w:pPr>
      <w:rPr>
        <w:rFonts w:hint="default"/>
        <w:lang w:val="en-US" w:eastAsia="en-US" w:bidi="ar-SA"/>
      </w:rPr>
    </w:lvl>
    <w:lvl w:ilvl="7">
      <w:numFmt w:val="bullet"/>
      <w:lvlText w:val="•"/>
      <w:lvlJc w:val="left"/>
      <w:pPr>
        <w:ind w:left="8187" w:hanging="569"/>
      </w:pPr>
      <w:rPr>
        <w:rFonts w:hint="default"/>
        <w:lang w:val="en-US" w:eastAsia="en-US" w:bidi="ar-SA"/>
      </w:rPr>
    </w:lvl>
    <w:lvl w:ilvl="8">
      <w:numFmt w:val="bullet"/>
      <w:lvlText w:val="•"/>
      <w:lvlJc w:val="left"/>
      <w:pPr>
        <w:ind w:left="9428" w:hanging="569"/>
      </w:pPr>
      <w:rPr>
        <w:rFonts w:hint="default"/>
        <w:lang w:val="en-US" w:eastAsia="en-US" w:bidi="ar-SA"/>
      </w:rPr>
    </w:lvl>
  </w:abstractNum>
  <w:abstractNum w:abstractNumId="23" w15:restartNumberingAfterBreak="0">
    <w:nsid w:val="0F1F4CD9"/>
    <w:multiLevelType w:val="multilevel"/>
    <w:tmpl w:val="6A4A0FCA"/>
    <w:lvl w:ilvl="0">
      <w:start w:val="1"/>
      <w:numFmt w:val="decimal"/>
      <w:lvlText w:val="%1."/>
      <w:lvlJc w:val="left"/>
      <w:pPr>
        <w:ind w:left="989" w:hanging="279"/>
      </w:pPr>
      <w:rPr>
        <w:rFonts w:hint="default"/>
        <w:spacing w:val="-2"/>
        <w:w w:val="97"/>
        <w:lang w:val="en-US" w:eastAsia="en-US" w:bidi="ar-SA"/>
      </w:rPr>
    </w:lvl>
    <w:lvl w:ilvl="1">
      <w:start w:val="1"/>
      <w:numFmt w:val="decimal"/>
      <w:lvlText w:val="%1.%2"/>
      <w:lvlJc w:val="left"/>
      <w:pPr>
        <w:ind w:left="1232" w:hanging="522"/>
        <w:jc w:val="right"/>
      </w:pPr>
      <w:rPr>
        <w:rFonts w:hint="default"/>
        <w:spacing w:val="-28"/>
        <w:w w:val="97"/>
        <w:lang w:val="en-US" w:eastAsia="en-US" w:bidi="ar-SA"/>
      </w:rPr>
    </w:lvl>
    <w:lvl w:ilvl="2">
      <w:start w:val="1"/>
      <w:numFmt w:val="decimal"/>
      <w:lvlText w:val="%1.%2.%3."/>
      <w:lvlJc w:val="left"/>
      <w:pPr>
        <w:ind w:left="1280" w:hanging="721"/>
      </w:pPr>
      <w:rPr>
        <w:rFonts w:ascii="Times New Roman" w:eastAsia="Times New Roman" w:hAnsi="Times New Roman" w:cs="Times New Roman" w:hint="default"/>
        <w:b/>
        <w:bCs/>
        <w:i w:val="0"/>
        <w:iCs w:val="0"/>
        <w:spacing w:val="-5"/>
        <w:w w:val="100"/>
        <w:sz w:val="22"/>
        <w:szCs w:val="22"/>
        <w:lang w:val="en-US" w:eastAsia="en-US" w:bidi="ar-SA"/>
      </w:rPr>
    </w:lvl>
    <w:lvl w:ilvl="3">
      <w:numFmt w:val="bullet"/>
      <w:lvlText w:val="•"/>
      <w:lvlJc w:val="left"/>
      <w:pPr>
        <w:ind w:left="2555" w:hanging="721"/>
      </w:pPr>
      <w:rPr>
        <w:rFonts w:hint="default"/>
        <w:lang w:val="en-US" w:eastAsia="en-US" w:bidi="ar-SA"/>
      </w:rPr>
    </w:lvl>
    <w:lvl w:ilvl="4">
      <w:numFmt w:val="bullet"/>
      <w:lvlText w:val="•"/>
      <w:lvlJc w:val="left"/>
      <w:pPr>
        <w:ind w:left="3831" w:hanging="721"/>
      </w:pPr>
      <w:rPr>
        <w:rFonts w:hint="default"/>
        <w:lang w:val="en-US" w:eastAsia="en-US" w:bidi="ar-SA"/>
      </w:rPr>
    </w:lvl>
    <w:lvl w:ilvl="5">
      <w:numFmt w:val="bullet"/>
      <w:lvlText w:val="•"/>
      <w:lvlJc w:val="left"/>
      <w:pPr>
        <w:ind w:left="5107" w:hanging="721"/>
      </w:pPr>
      <w:rPr>
        <w:rFonts w:hint="default"/>
        <w:lang w:val="en-US" w:eastAsia="en-US" w:bidi="ar-SA"/>
      </w:rPr>
    </w:lvl>
    <w:lvl w:ilvl="6">
      <w:numFmt w:val="bullet"/>
      <w:lvlText w:val="•"/>
      <w:lvlJc w:val="left"/>
      <w:pPr>
        <w:ind w:left="6383" w:hanging="721"/>
      </w:pPr>
      <w:rPr>
        <w:rFonts w:hint="default"/>
        <w:lang w:val="en-US" w:eastAsia="en-US" w:bidi="ar-SA"/>
      </w:rPr>
    </w:lvl>
    <w:lvl w:ilvl="7">
      <w:numFmt w:val="bullet"/>
      <w:lvlText w:val="•"/>
      <w:lvlJc w:val="left"/>
      <w:pPr>
        <w:ind w:left="7659" w:hanging="721"/>
      </w:pPr>
      <w:rPr>
        <w:rFonts w:hint="default"/>
        <w:lang w:val="en-US" w:eastAsia="en-US" w:bidi="ar-SA"/>
      </w:rPr>
    </w:lvl>
    <w:lvl w:ilvl="8">
      <w:numFmt w:val="bullet"/>
      <w:lvlText w:val="•"/>
      <w:lvlJc w:val="left"/>
      <w:pPr>
        <w:ind w:left="8935" w:hanging="721"/>
      </w:pPr>
      <w:rPr>
        <w:rFonts w:hint="default"/>
        <w:lang w:val="en-US" w:eastAsia="en-US" w:bidi="ar-SA"/>
      </w:rPr>
    </w:lvl>
  </w:abstractNum>
  <w:abstractNum w:abstractNumId="24" w15:restartNumberingAfterBreak="0">
    <w:nsid w:val="101E7AE3"/>
    <w:multiLevelType w:val="hybridMultilevel"/>
    <w:tmpl w:val="6E229FF8"/>
    <w:lvl w:ilvl="0" w:tplc="6CAC7DB0">
      <w:numFmt w:val="bullet"/>
      <w:lvlText w:val="•"/>
      <w:lvlJc w:val="left"/>
      <w:pPr>
        <w:ind w:left="197" w:hanging="159"/>
      </w:pPr>
      <w:rPr>
        <w:rFonts w:ascii="Tahoma" w:eastAsia="Tahoma" w:hAnsi="Tahoma" w:cs="Tahoma" w:hint="default"/>
        <w:b w:val="0"/>
        <w:bCs w:val="0"/>
        <w:i w:val="0"/>
        <w:iCs w:val="0"/>
        <w:spacing w:val="0"/>
        <w:w w:val="129"/>
        <w:sz w:val="18"/>
        <w:szCs w:val="18"/>
        <w:lang w:val="en-US" w:eastAsia="en-US" w:bidi="ar-SA"/>
      </w:rPr>
    </w:lvl>
    <w:lvl w:ilvl="1" w:tplc="47B8BE14">
      <w:numFmt w:val="bullet"/>
      <w:lvlText w:val="•"/>
      <w:lvlJc w:val="left"/>
      <w:pPr>
        <w:ind w:left="955" w:hanging="159"/>
      </w:pPr>
      <w:rPr>
        <w:rFonts w:hint="default"/>
        <w:lang w:val="en-US" w:eastAsia="en-US" w:bidi="ar-SA"/>
      </w:rPr>
    </w:lvl>
    <w:lvl w:ilvl="2" w:tplc="A35C6E94">
      <w:numFmt w:val="bullet"/>
      <w:lvlText w:val="•"/>
      <w:lvlJc w:val="left"/>
      <w:pPr>
        <w:ind w:left="1710" w:hanging="159"/>
      </w:pPr>
      <w:rPr>
        <w:rFonts w:hint="default"/>
        <w:lang w:val="en-US" w:eastAsia="en-US" w:bidi="ar-SA"/>
      </w:rPr>
    </w:lvl>
    <w:lvl w:ilvl="3" w:tplc="A6D26520">
      <w:numFmt w:val="bullet"/>
      <w:lvlText w:val="•"/>
      <w:lvlJc w:val="left"/>
      <w:pPr>
        <w:ind w:left="2465" w:hanging="159"/>
      </w:pPr>
      <w:rPr>
        <w:rFonts w:hint="default"/>
        <w:lang w:val="en-US" w:eastAsia="en-US" w:bidi="ar-SA"/>
      </w:rPr>
    </w:lvl>
    <w:lvl w:ilvl="4" w:tplc="1898F8AC">
      <w:numFmt w:val="bullet"/>
      <w:lvlText w:val="•"/>
      <w:lvlJc w:val="left"/>
      <w:pPr>
        <w:ind w:left="3220" w:hanging="159"/>
      </w:pPr>
      <w:rPr>
        <w:rFonts w:hint="default"/>
        <w:lang w:val="en-US" w:eastAsia="en-US" w:bidi="ar-SA"/>
      </w:rPr>
    </w:lvl>
    <w:lvl w:ilvl="5" w:tplc="98847672">
      <w:numFmt w:val="bullet"/>
      <w:lvlText w:val="•"/>
      <w:lvlJc w:val="left"/>
      <w:pPr>
        <w:ind w:left="3976" w:hanging="159"/>
      </w:pPr>
      <w:rPr>
        <w:rFonts w:hint="default"/>
        <w:lang w:val="en-US" w:eastAsia="en-US" w:bidi="ar-SA"/>
      </w:rPr>
    </w:lvl>
    <w:lvl w:ilvl="6" w:tplc="6F18666C">
      <w:numFmt w:val="bullet"/>
      <w:lvlText w:val="•"/>
      <w:lvlJc w:val="left"/>
      <w:pPr>
        <w:ind w:left="4731" w:hanging="159"/>
      </w:pPr>
      <w:rPr>
        <w:rFonts w:hint="default"/>
        <w:lang w:val="en-US" w:eastAsia="en-US" w:bidi="ar-SA"/>
      </w:rPr>
    </w:lvl>
    <w:lvl w:ilvl="7" w:tplc="982EA4D4">
      <w:numFmt w:val="bullet"/>
      <w:lvlText w:val="•"/>
      <w:lvlJc w:val="left"/>
      <w:pPr>
        <w:ind w:left="5486" w:hanging="159"/>
      </w:pPr>
      <w:rPr>
        <w:rFonts w:hint="default"/>
        <w:lang w:val="en-US" w:eastAsia="en-US" w:bidi="ar-SA"/>
      </w:rPr>
    </w:lvl>
    <w:lvl w:ilvl="8" w:tplc="D03C4268">
      <w:numFmt w:val="bullet"/>
      <w:lvlText w:val="•"/>
      <w:lvlJc w:val="left"/>
      <w:pPr>
        <w:ind w:left="6241" w:hanging="159"/>
      </w:pPr>
      <w:rPr>
        <w:rFonts w:hint="default"/>
        <w:lang w:val="en-US" w:eastAsia="en-US" w:bidi="ar-SA"/>
      </w:rPr>
    </w:lvl>
  </w:abstractNum>
  <w:abstractNum w:abstractNumId="25" w15:restartNumberingAfterBreak="0">
    <w:nsid w:val="10E972AD"/>
    <w:multiLevelType w:val="hybridMultilevel"/>
    <w:tmpl w:val="5F2A2ED0"/>
    <w:lvl w:ilvl="0" w:tplc="3B6CE780">
      <w:start w:val="1"/>
      <w:numFmt w:val="lowerLetter"/>
      <w:lvlText w:val="%1)"/>
      <w:lvlJc w:val="left"/>
      <w:pPr>
        <w:ind w:left="1863"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D0054E2">
      <w:numFmt w:val="bullet"/>
      <w:lvlText w:val="•"/>
      <w:lvlJc w:val="left"/>
      <w:pPr>
        <w:ind w:left="2822" w:hanging="492"/>
      </w:pPr>
      <w:rPr>
        <w:rFonts w:hint="default"/>
        <w:lang w:val="en-US" w:eastAsia="en-US" w:bidi="ar-SA"/>
      </w:rPr>
    </w:lvl>
    <w:lvl w:ilvl="2" w:tplc="CFE2A778">
      <w:numFmt w:val="bullet"/>
      <w:lvlText w:val="•"/>
      <w:lvlJc w:val="left"/>
      <w:pPr>
        <w:ind w:left="3785" w:hanging="492"/>
      </w:pPr>
      <w:rPr>
        <w:rFonts w:hint="default"/>
        <w:lang w:val="en-US" w:eastAsia="en-US" w:bidi="ar-SA"/>
      </w:rPr>
    </w:lvl>
    <w:lvl w:ilvl="3" w:tplc="22047D1A">
      <w:numFmt w:val="bullet"/>
      <w:lvlText w:val="•"/>
      <w:lvlJc w:val="left"/>
      <w:pPr>
        <w:ind w:left="4748" w:hanging="492"/>
      </w:pPr>
      <w:rPr>
        <w:rFonts w:hint="default"/>
        <w:lang w:val="en-US" w:eastAsia="en-US" w:bidi="ar-SA"/>
      </w:rPr>
    </w:lvl>
    <w:lvl w:ilvl="4" w:tplc="EC4221B6">
      <w:numFmt w:val="bullet"/>
      <w:lvlText w:val="•"/>
      <w:lvlJc w:val="left"/>
      <w:pPr>
        <w:ind w:left="5710" w:hanging="492"/>
      </w:pPr>
      <w:rPr>
        <w:rFonts w:hint="default"/>
        <w:lang w:val="en-US" w:eastAsia="en-US" w:bidi="ar-SA"/>
      </w:rPr>
    </w:lvl>
    <w:lvl w:ilvl="5" w:tplc="9BA203D4">
      <w:numFmt w:val="bullet"/>
      <w:lvlText w:val="•"/>
      <w:lvlJc w:val="left"/>
      <w:pPr>
        <w:ind w:left="6673" w:hanging="492"/>
      </w:pPr>
      <w:rPr>
        <w:rFonts w:hint="default"/>
        <w:lang w:val="en-US" w:eastAsia="en-US" w:bidi="ar-SA"/>
      </w:rPr>
    </w:lvl>
    <w:lvl w:ilvl="6" w:tplc="19868658">
      <w:numFmt w:val="bullet"/>
      <w:lvlText w:val="•"/>
      <w:lvlJc w:val="left"/>
      <w:pPr>
        <w:ind w:left="7636" w:hanging="492"/>
      </w:pPr>
      <w:rPr>
        <w:rFonts w:hint="default"/>
        <w:lang w:val="en-US" w:eastAsia="en-US" w:bidi="ar-SA"/>
      </w:rPr>
    </w:lvl>
    <w:lvl w:ilvl="7" w:tplc="60ECA0C8">
      <w:numFmt w:val="bullet"/>
      <w:lvlText w:val="•"/>
      <w:lvlJc w:val="left"/>
      <w:pPr>
        <w:ind w:left="8599" w:hanging="492"/>
      </w:pPr>
      <w:rPr>
        <w:rFonts w:hint="default"/>
        <w:lang w:val="en-US" w:eastAsia="en-US" w:bidi="ar-SA"/>
      </w:rPr>
    </w:lvl>
    <w:lvl w:ilvl="8" w:tplc="C1EE4060">
      <w:numFmt w:val="bullet"/>
      <w:lvlText w:val="•"/>
      <w:lvlJc w:val="left"/>
      <w:pPr>
        <w:ind w:left="9561" w:hanging="492"/>
      </w:pPr>
      <w:rPr>
        <w:rFonts w:hint="default"/>
        <w:lang w:val="en-US" w:eastAsia="en-US" w:bidi="ar-SA"/>
      </w:rPr>
    </w:lvl>
  </w:abstractNum>
  <w:abstractNum w:abstractNumId="26" w15:restartNumberingAfterBreak="0">
    <w:nsid w:val="115219FF"/>
    <w:multiLevelType w:val="hybridMultilevel"/>
    <w:tmpl w:val="E4C4E2C4"/>
    <w:lvl w:ilvl="0" w:tplc="35987196">
      <w:start w:val="1"/>
      <w:numFmt w:val="lowerLetter"/>
      <w:lvlText w:val="%1)"/>
      <w:lvlJc w:val="left"/>
      <w:pPr>
        <w:ind w:left="1868" w:hanging="48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3585DB6">
      <w:numFmt w:val="bullet"/>
      <w:lvlText w:val="•"/>
      <w:lvlJc w:val="left"/>
      <w:pPr>
        <w:ind w:left="2822" w:hanging="488"/>
      </w:pPr>
      <w:rPr>
        <w:rFonts w:hint="default"/>
        <w:lang w:val="en-US" w:eastAsia="en-US" w:bidi="ar-SA"/>
      </w:rPr>
    </w:lvl>
    <w:lvl w:ilvl="2" w:tplc="8BD87E1C">
      <w:numFmt w:val="bullet"/>
      <w:lvlText w:val="•"/>
      <w:lvlJc w:val="left"/>
      <w:pPr>
        <w:ind w:left="3785" w:hanging="488"/>
      </w:pPr>
      <w:rPr>
        <w:rFonts w:hint="default"/>
        <w:lang w:val="en-US" w:eastAsia="en-US" w:bidi="ar-SA"/>
      </w:rPr>
    </w:lvl>
    <w:lvl w:ilvl="3" w:tplc="8228D47C">
      <w:numFmt w:val="bullet"/>
      <w:lvlText w:val="•"/>
      <w:lvlJc w:val="left"/>
      <w:pPr>
        <w:ind w:left="4748" w:hanging="488"/>
      </w:pPr>
      <w:rPr>
        <w:rFonts w:hint="default"/>
        <w:lang w:val="en-US" w:eastAsia="en-US" w:bidi="ar-SA"/>
      </w:rPr>
    </w:lvl>
    <w:lvl w:ilvl="4" w:tplc="16DEC182">
      <w:numFmt w:val="bullet"/>
      <w:lvlText w:val="•"/>
      <w:lvlJc w:val="left"/>
      <w:pPr>
        <w:ind w:left="5710" w:hanging="488"/>
      </w:pPr>
      <w:rPr>
        <w:rFonts w:hint="default"/>
        <w:lang w:val="en-US" w:eastAsia="en-US" w:bidi="ar-SA"/>
      </w:rPr>
    </w:lvl>
    <w:lvl w:ilvl="5" w:tplc="51D26512">
      <w:numFmt w:val="bullet"/>
      <w:lvlText w:val="•"/>
      <w:lvlJc w:val="left"/>
      <w:pPr>
        <w:ind w:left="6673" w:hanging="488"/>
      </w:pPr>
      <w:rPr>
        <w:rFonts w:hint="default"/>
        <w:lang w:val="en-US" w:eastAsia="en-US" w:bidi="ar-SA"/>
      </w:rPr>
    </w:lvl>
    <w:lvl w:ilvl="6" w:tplc="DB16865E">
      <w:numFmt w:val="bullet"/>
      <w:lvlText w:val="•"/>
      <w:lvlJc w:val="left"/>
      <w:pPr>
        <w:ind w:left="7636" w:hanging="488"/>
      </w:pPr>
      <w:rPr>
        <w:rFonts w:hint="default"/>
        <w:lang w:val="en-US" w:eastAsia="en-US" w:bidi="ar-SA"/>
      </w:rPr>
    </w:lvl>
    <w:lvl w:ilvl="7" w:tplc="554EF93A">
      <w:numFmt w:val="bullet"/>
      <w:lvlText w:val="•"/>
      <w:lvlJc w:val="left"/>
      <w:pPr>
        <w:ind w:left="8599" w:hanging="488"/>
      </w:pPr>
      <w:rPr>
        <w:rFonts w:hint="default"/>
        <w:lang w:val="en-US" w:eastAsia="en-US" w:bidi="ar-SA"/>
      </w:rPr>
    </w:lvl>
    <w:lvl w:ilvl="8" w:tplc="D0920ECC">
      <w:numFmt w:val="bullet"/>
      <w:lvlText w:val="•"/>
      <w:lvlJc w:val="left"/>
      <w:pPr>
        <w:ind w:left="9561" w:hanging="488"/>
      </w:pPr>
      <w:rPr>
        <w:rFonts w:hint="default"/>
        <w:lang w:val="en-US" w:eastAsia="en-US" w:bidi="ar-SA"/>
      </w:rPr>
    </w:lvl>
  </w:abstractNum>
  <w:abstractNum w:abstractNumId="27" w15:restartNumberingAfterBreak="0">
    <w:nsid w:val="11C72288"/>
    <w:multiLevelType w:val="hybridMultilevel"/>
    <w:tmpl w:val="F4AE7856"/>
    <w:lvl w:ilvl="0" w:tplc="E0B412C2">
      <w:start w:val="1"/>
      <w:numFmt w:val="lowerLetter"/>
      <w:lvlText w:val="%1)"/>
      <w:lvlJc w:val="left"/>
      <w:pPr>
        <w:ind w:left="247" w:hanging="209"/>
      </w:pPr>
      <w:rPr>
        <w:rFonts w:ascii="Tahoma" w:eastAsia="Tahoma" w:hAnsi="Tahoma" w:cs="Tahoma" w:hint="default"/>
        <w:b w:val="0"/>
        <w:bCs w:val="0"/>
        <w:i w:val="0"/>
        <w:iCs w:val="0"/>
        <w:spacing w:val="0"/>
        <w:w w:val="93"/>
        <w:sz w:val="18"/>
        <w:szCs w:val="18"/>
        <w:lang w:val="en-US" w:eastAsia="en-US" w:bidi="ar-SA"/>
      </w:rPr>
    </w:lvl>
    <w:lvl w:ilvl="1" w:tplc="F3489A04">
      <w:numFmt w:val="bullet"/>
      <w:lvlText w:val="•"/>
      <w:lvlJc w:val="left"/>
      <w:pPr>
        <w:ind w:left="991" w:hanging="209"/>
      </w:pPr>
      <w:rPr>
        <w:rFonts w:hint="default"/>
        <w:lang w:val="en-US" w:eastAsia="en-US" w:bidi="ar-SA"/>
      </w:rPr>
    </w:lvl>
    <w:lvl w:ilvl="2" w:tplc="2048AAEE">
      <w:numFmt w:val="bullet"/>
      <w:lvlText w:val="•"/>
      <w:lvlJc w:val="left"/>
      <w:pPr>
        <w:ind w:left="1742" w:hanging="209"/>
      </w:pPr>
      <w:rPr>
        <w:rFonts w:hint="default"/>
        <w:lang w:val="en-US" w:eastAsia="en-US" w:bidi="ar-SA"/>
      </w:rPr>
    </w:lvl>
    <w:lvl w:ilvl="3" w:tplc="D6B0BC08">
      <w:numFmt w:val="bullet"/>
      <w:lvlText w:val="•"/>
      <w:lvlJc w:val="left"/>
      <w:pPr>
        <w:ind w:left="2493" w:hanging="209"/>
      </w:pPr>
      <w:rPr>
        <w:rFonts w:hint="default"/>
        <w:lang w:val="en-US" w:eastAsia="en-US" w:bidi="ar-SA"/>
      </w:rPr>
    </w:lvl>
    <w:lvl w:ilvl="4" w:tplc="0FBE333C">
      <w:numFmt w:val="bullet"/>
      <w:lvlText w:val="•"/>
      <w:lvlJc w:val="left"/>
      <w:pPr>
        <w:ind w:left="3245" w:hanging="209"/>
      </w:pPr>
      <w:rPr>
        <w:rFonts w:hint="default"/>
        <w:lang w:val="en-US" w:eastAsia="en-US" w:bidi="ar-SA"/>
      </w:rPr>
    </w:lvl>
    <w:lvl w:ilvl="5" w:tplc="0906652A">
      <w:numFmt w:val="bullet"/>
      <w:lvlText w:val="•"/>
      <w:lvlJc w:val="left"/>
      <w:pPr>
        <w:ind w:left="3996" w:hanging="209"/>
      </w:pPr>
      <w:rPr>
        <w:rFonts w:hint="default"/>
        <w:lang w:val="en-US" w:eastAsia="en-US" w:bidi="ar-SA"/>
      </w:rPr>
    </w:lvl>
    <w:lvl w:ilvl="6" w:tplc="71706B9E">
      <w:numFmt w:val="bullet"/>
      <w:lvlText w:val="•"/>
      <w:lvlJc w:val="left"/>
      <w:pPr>
        <w:ind w:left="4747" w:hanging="209"/>
      </w:pPr>
      <w:rPr>
        <w:rFonts w:hint="default"/>
        <w:lang w:val="en-US" w:eastAsia="en-US" w:bidi="ar-SA"/>
      </w:rPr>
    </w:lvl>
    <w:lvl w:ilvl="7" w:tplc="FDA2F3CC">
      <w:numFmt w:val="bullet"/>
      <w:lvlText w:val="•"/>
      <w:lvlJc w:val="left"/>
      <w:pPr>
        <w:ind w:left="5499" w:hanging="209"/>
      </w:pPr>
      <w:rPr>
        <w:rFonts w:hint="default"/>
        <w:lang w:val="en-US" w:eastAsia="en-US" w:bidi="ar-SA"/>
      </w:rPr>
    </w:lvl>
    <w:lvl w:ilvl="8" w:tplc="64A0C8EA">
      <w:numFmt w:val="bullet"/>
      <w:lvlText w:val="•"/>
      <w:lvlJc w:val="left"/>
      <w:pPr>
        <w:ind w:left="6250" w:hanging="209"/>
      </w:pPr>
      <w:rPr>
        <w:rFonts w:hint="default"/>
        <w:lang w:val="en-US" w:eastAsia="en-US" w:bidi="ar-SA"/>
      </w:rPr>
    </w:lvl>
  </w:abstractNum>
  <w:abstractNum w:abstractNumId="28" w15:restartNumberingAfterBreak="0">
    <w:nsid w:val="127F4767"/>
    <w:multiLevelType w:val="hybridMultilevel"/>
    <w:tmpl w:val="FE48AC8C"/>
    <w:lvl w:ilvl="0" w:tplc="E7EE3196">
      <w:start w:val="1"/>
      <w:numFmt w:val="lowerLetter"/>
      <w:lvlText w:val="%1)"/>
      <w:lvlJc w:val="left"/>
      <w:pPr>
        <w:ind w:left="1875"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45627A0">
      <w:start w:val="1"/>
      <w:numFmt w:val="lowerRoman"/>
      <w:lvlText w:val="%2)"/>
      <w:lvlJc w:val="left"/>
      <w:pPr>
        <w:ind w:left="2293" w:hanging="41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B38A5C32">
      <w:numFmt w:val="bullet"/>
      <w:lvlText w:val="•"/>
      <w:lvlJc w:val="left"/>
      <w:pPr>
        <w:ind w:left="3320" w:hanging="418"/>
      </w:pPr>
      <w:rPr>
        <w:rFonts w:hint="default"/>
        <w:lang w:val="en-US" w:eastAsia="en-US" w:bidi="ar-SA"/>
      </w:rPr>
    </w:lvl>
    <w:lvl w:ilvl="3" w:tplc="53B6FC86">
      <w:numFmt w:val="bullet"/>
      <w:lvlText w:val="•"/>
      <w:lvlJc w:val="left"/>
      <w:pPr>
        <w:ind w:left="4341" w:hanging="418"/>
      </w:pPr>
      <w:rPr>
        <w:rFonts w:hint="default"/>
        <w:lang w:val="en-US" w:eastAsia="en-US" w:bidi="ar-SA"/>
      </w:rPr>
    </w:lvl>
    <w:lvl w:ilvl="4" w:tplc="6A6E85AE">
      <w:numFmt w:val="bullet"/>
      <w:lvlText w:val="•"/>
      <w:lvlJc w:val="left"/>
      <w:pPr>
        <w:ind w:left="5362" w:hanging="418"/>
      </w:pPr>
      <w:rPr>
        <w:rFonts w:hint="default"/>
        <w:lang w:val="en-US" w:eastAsia="en-US" w:bidi="ar-SA"/>
      </w:rPr>
    </w:lvl>
    <w:lvl w:ilvl="5" w:tplc="E28A85A2">
      <w:numFmt w:val="bullet"/>
      <w:lvlText w:val="•"/>
      <w:lvlJc w:val="left"/>
      <w:pPr>
        <w:ind w:left="6383" w:hanging="418"/>
      </w:pPr>
      <w:rPr>
        <w:rFonts w:hint="default"/>
        <w:lang w:val="en-US" w:eastAsia="en-US" w:bidi="ar-SA"/>
      </w:rPr>
    </w:lvl>
    <w:lvl w:ilvl="6" w:tplc="FD2636AC">
      <w:numFmt w:val="bullet"/>
      <w:lvlText w:val="•"/>
      <w:lvlJc w:val="left"/>
      <w:pPr>
        <w:ind w:left="7404" w:hanging="418"/>
      </w:pPr>
      <w:rPr>
        <w:rFonts w:hint="default"/>
        <w:lang w:val="en-US" w:eastAsia="en-US" w:bidi="ar-SA"/>
      </w:rPr>
    </w:lvl>
    <w:lvl w:ilvl="7" w:tplc="EDE27DB8">
      <w:numFmt w:val="bullet"/>
      <w:lvlText w:val="•"/>
      <w:lvlJc w:val="left"/>
      <w:pPr>
        <w:ind w:left="8424" w:hanging="418"/>
      </w:pPr>
      <w:rPr>
        <w:rFonts w:hint="default"/>
        <w:lang w:val="en-US" w:eastAsia="en-US" w:bidi="ar-SA"/>
      </w:rPr>
    </w:lvl>
    <w:lvl w:ilvl="8" w:tplc="91086214">
      <w:numFmt w:val="bullet"/>
      <w:lvlText w:val="•"/>
      <w:lvlJc w:val="left"/>
      <w:pPr>
        <w:ind w:left="9445" w:hanging="418"/>
      </w:pPr>
      <w:rPr>
        <w:rFonts w:hint="default"/>
        <w:lang w:val="en-US" w:eastAsia="en-US" w:bidi="ar-SA"/>
      </w:rPr>
    </w:lvl>
  </w:abstractNum>
  <w:abstractNum w:abstractNumId="29" w15:restartNumberingAfterBreak="0">
    <w:nsid w:val="12864E43"/>
    <w:multiLevelType w:val="hybridMultilevel"/>
    <w:tmpl w:val="29DEB69A"/>
    <w:lvl w:ilvl="0" w:tplc="DB2A7A7A">
      <w:start w:val="1"/>
      <w:numFmt w:val="lowerLetter"/>
      <w:lvlText w:val="%1)"/>
      <w:lvlJc w:val="left"/>
      <w:pPr>
        <w:ind w:left="1834" w:hanging="56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B5A5142">
      <w:numFmt w:val="bullet"/>
      <w:lvlText w:val="•"/>
      <w:lvlJc w:val="left"/>
      <w:pPr>
        <w:ind w:left="2804" w:hanging="562"/>
      </w:pPr>
      <w:rPr>
        <w:rFonts w:hint="default"/>
        <w:lang w:val="en-US" w:eastAsia="en-US" w:bidi="ar-SA"/>
      </w:rPr>
    </w:lvl>
    <w:lvl w:ilvl="2" w:tplc="E7D2227A">
      <w:numFmt w:val="bullet"/>
      <w:lvlText w:val="•"/>
      <w:lvlJc w:val="left"/>
      <w:pPr>
        <w:ind w:left="3769" w:hanging="562"/>
      </w:pPr>
      <w:rPr>
        <w:rFonts w:hint="default"/>
        <w:lang w:val="en-US" w:eastAsia="en-US" w:bidi="ar-SA"/>
      </w:rPr>
    </w:lvl>
    <w:lvl w:ilvl="3" w:tplc="0102F5BC">
      <w:numFmt w:val="bullet"/>
      <w:lvlText w:val="•"/>
      <w:lvlJc w:val="left"/>
      <w:pPr>
        <w:ind w:left="4734" w:hanging="562"/>
      </w:pPr>
      <w:rPr>
        <w:rFonts w:hint="default"/>
        <w:lang w:val="en-US" w:eastAsia="en-US" w:bidi="ar-SA"/>
      </w:rPr>
    </w:lvl>
    <w:lvl w:ilvl="4" w:tplc="B5D07E2E">
      <w:numFmt w:val="bullet"/>
      <w:lvlText w:val="•"/>
      <w:lvlJc w:val="left"/>
      <w:pPr>
        <w:ind w:left="5698" w:hanging="562"/>
      </w:pPr>
      <w:rPr>
        <w:rFonts w:hint="default"/>
        <w:lang w:val="en-US" w:eastAsia="en-US" w:bidi="ar-SA"/>
      </w:rPr>
    </w:lvl>
    <w:lvl w:ilvl="5" w:tplc="46742DEC">
      <w:numFmt w:val="bullet"/>
      <w:lvlText w:val="•"/>
      <w:lvlJc w:val="left"/>
      <w:pPr>
        <w:ind w:left="6663" w:hanging="562"/>
      </w:pPr>
      <w:rPr>
        <w:rFonts w:hint="default"/>
        <w:lang w:val="en-US" w:eastAsia="en-US" w:bidi="ar-SA"/>
      </w:rPr>
    </w:lvl>
    <w:lvl w:ilvl="6" w:tplc="1E68D1E8">
      <w:numFmt w:val="bullet"/>
      <w:lvlText w:val="•"/>
      <w:lvlJc w:val="left"/>
      <w:pPr>
        <w:ind w:left="7628" w:hanging="562"/>
      </w:pPr>
      <w:rPr>
        <w:rFonts w:hint="default"/>
        <w:lang w:val="en-US" w:eastAsia="en-US" w:bidi="ar-SA"/>
      </w:rPr>
    </w:lvl>
    <w:lvl w:ilvl="7" w:tplc="4D32D124">
      <w:numFmt w:val="bullet"/>
      <w:lvlText w:val="•"/>
      <w:lvlJc w:val="left"/>
      <w:pPr>
        <w:ind w:left="8593" w:hanging="562"/>
      </w:pPr>
      <w:rPr>
        <w:rFonts w:hint="default"/>
        <w:lang w:val="en-US" w:eastAsia="en-US" w:bidi="ar-SA"/>
      </w:rPr>
    </w:lvl>
    <w:lvl w:ilvl="8" w:tplc="E8D26332">
      <w:numFmt w:val="bullet"/>
      <w:lvlText w:val="•"/>
      <w:lvlJc w:val="left"/>
      <w:pPr>
        <w:ind w:left="9557" w:hanging="562"/>
      </w:pPr>
      <w:rPr>
        <w:rFonts w:hint="default"/>
        <w:lang w:val="en-US" w:eastAsia="en-US" w:bidi="ar-SA"/>
      </w:rPr>
    </w:lvl>
  </w:abstractNum>
  <w:abstractNum w:abstractNumId="30" w15:restartNumberingAfterBreak="0">
    <w:nsid w:val="12AB4F07"/>
    <w:multiLevelType w:val="hybridMultilevel"/>
    <w:tmpl w:val="0846C64E"/>
    <w:lvl w:ilvl="0" w:tplc="12FE00CE">
      <w:start w:val="1"/>
      <w:numFmt w:val="lowerLetter"/>
      <w:lvlText w:val="%1)"/>
      <w:lvlJc w:val="left"/>
      <w:pPr>
        <w:ind w:left="1873"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0161CD6">
      <w:numFmt w:val="bullet"/>
      <w:lvlText w:val="•"/>
      <w:lvlJc w:val="left"/>
      <w:pPr>
        <w:ind w:left="2840" w:hanging="447"/>
      </w:pPr>
      <w:rPr>
        <w:rFonts w:hint="default"/>
        <w:lang w:val="en-US" w:eastAsia="en-US" w:bidi="ar-SA"/>
      </w:rPr>
    </w:lvl>
    <w:lvl w:ilvl="2" w:tplc="95CC2194">
      <w:numFmt w:val="bullet"/>
      <w:lvlText w:val="•"/>
      <w:lvlJc w:val="left"/>
      <w:pPr>
        <w:ind w:left="3801" w:hanging="447"/>
      </w:pPr>
      <w:rPr>
        <w:rFonts w:hint="default"/>
        <w:lang w:val="en-US" w:eastAsia="en-US" w:bidi="ar-SA"/>
      </w:rPr>
    </w:lvl>
    <w:lvl w:ilvl="3" w:tplc="A030C406">
      <w:numFmt w:val="bullet"/>
      <w:lvlText w:val="•"/>
      <w:lvlJc w:val="left"/>
      <w:pPr>
        <w:ind w:left="4762" w:hanging="447"/>
      </w:pPr>
      <w:rPr>
        <w:rFonts w:hint="default"/>
        <w:lang w:val="en-US" w:eastAsia="en-US" w:bidi="ar-SA"/>
      </w:rPr>
    </w:lvl>
    <w:lvl w:ilvl="4" w:tplc="BE60EA30">
      <w:numFmt w:val="bullet"/>
      <w:lvlText w:val="•"/>
      <w:lvlJc w:val="left"/>
      <w:pPr>
        <w:ind w:left="5722" w:hanging="447"/>
      </w:pPr>
      <w:rPr>
        <w:rFonts w:hint="default"/>
        <w:lang w:val="en-US" w:eastAsia="en-US" w:bidi="ar-SA"/>
      </w:rPr>
    </w:lvl>
    <w:lvl w:ilvl="5" w:tplc="CECABF0C">
      <w:numFmt w:val="bullet"/>
      <w:lvlText w:val="•"/>
      <w:lvlJc w:val="left"/>
      <w:pPr>
        <w:ind w:left="6683" w:hanging="447"/>
      </w:pPr>
      <w:rPr>
        <w:rFonts w:hint="default"/>
        <w:lang w:val="en-US" w:eastAsia="en-US" w:bidi="ar-SA"/>
      </w:rPr>
    </w:lvl>
    <w:lvl w:ilvl="6" w:tplc="BBAC507A">
      <w:numFmt w:val="bullet"/>
      <w:lvlText w:val="•"/>
      <w:lvlJc w:val="left"/>
      <w:pPr>
        <w:ind w:left="7644" w:hanging="447"/>
      </w:pPr>
      <w:rPr>
        <w:rFonts w:hint="default"/>
        <w:lang w:val="en-US" w:eastAsia="en-US" w:bidi="ar-SA"/>
      </w:rPr>
    </w:lvl>
    <w:lvl w:ilvl="7" w:tplc="BD36349C">
      <w:numFmt w:val="bullet"/>
      <w:lvlText w:val="•"/>
      <w:lvlJc w:val="left"/>
      <w:pPr>
        <w:ind w:left="8605" w:hanging="447"/>
      </w:pPr>
      <w:rPr>
        <w:rFonts w:hint="default"/>
        <w:lang w:val="en-US" w:eastAsia="en-US" w:bidi="ar-SA"/>
      </w:rPr>
    </w:lvl>
    <w:lvl w:ilvl="8" w:tplc="A98A80EC">
      <w:numFmt w:val="bullet"/>
      <w:lvlText w:val="•"/>
      <w:lvlJc w:val="left"/>
      <w:pPr>
        <w:ind w:left="9565" w:hanging="447"/>
      </w:pPr>
      <w:rPr>
        <w:rFonts w:hint="default"/>
        <w:lang w:val="en-US" w:eastAsia="en-US" w:bidi="ar-SA"/>
      </w:rPr>
    </w:lvl>
  </w:abstractNum>
  <w:abstractNum w:abstractNumId="31" w15:restartNumberingAfterBreak="0">
    <w:nsid w:val="131C5D8C"/>
    <w:multiLevelType w:val="hybridMultilevel"/>
    <w:tmpl w:val="34B8C0CA"/>
    <w:lvl w:ilvl="0" w:tplc="87B6E6B8">
      <w:start w:val="1"/>
      <w:numFmt w:val="lowerLetter"/>
      <w:lvlText w:val="%1)"/>
      <w:lvlJc w:val="left"/>
      <w:pPr>
        <w:ind w:left="1882" w:hanging="5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4801B86">
      <w:numFmt w:val="bullet"/>
      <w:lvlText w:val="•"/>
      <w:lvlJc w:val="left"/>
      <w:pPr>
        <w:ind w:left="2840" w:hanging="504"/>
      </w:pPr>
      <w:rPr>
        <w:rFonts w:hint="default"/>
        <w:lang w:val="en-US" w:eastAsia="en-US" w:bidi="ar-SA"/>
      </w:rPr>
    </w:lvl>
    <w:lvl w:ilvl="2" w:tplc="2FB226E4">
      <w:numFmt w:val="bullet"/>
      <w:lvlText w:val="•"/>
      <w:lvlJc w:val="left"/>
      <w:pPr>
        <w:ind w:left="3801" w:hanging="504"/>
      </w:pPr>
      <w:rPr>
        <w:rFonts w:hint="default"/>
        <w:lang w:val="en-US" w:eastAsia="en-US" w:bidi="ar-SA"/>
      </w:rPr>
    </w:lvl>
    <w:lvl w:ilvl="3" w:tplc="52AAD9C8">
      <w:numFmt w:val="bullet"/>
      <w:lvlText w:val="•"/>
      <w:lvlJc w:val="left"/>
      <w:pPr>
        <w:ind w:left="4762" w:hanging="504"/>
      </w:pPr>
      <w:rPr>
        <w:rFonts w:hint="default"/>
        <w:lang w:val="en-US" w:eastAsia="en-US" w:bidi="ar-SA"/>
      </w:rPr>
    </w:lvl>
    <w:lvl w:ilvl="4" w:tplc="4712DFFC">
      <w:numFmt w:val="bullet"/>
      <w:lvlText w:val="•"/>
      <w:lvlJc w:val="left"/>
      <w:pPr>
        <w:ind w:left="5722" w:hanging="504"/>
      </w:pPr>
      <w:rPr>
        <w:rFonts w:hint="default"/>
        <w:lang w:val="en-US" w:eastAsia="en-US" w:bidi="ar-SA"/>
      </w:rPr>
    </w:lvl>
    <w:lvl w:ilvl="5" w:tplc="6180CF38">
      <w:numFmt w:val="bullet"/>
      <w:lvlText w:val="•"/>
      <w:lvlJc w:val="left"/>
      <w:pPr>
        <w:ind w:left="6683" w:hanging="504"/>
      </w:pPr>
      <w:rPr>
        <w:rFonts w:hint="default"/>
        <w:lang w:val="en-US" w:eastAsia="en-US" w:bidi="ar-SA"/>
      </w:rPr>
    </w:lvl>
    <w:lvl w:ilvl="6" w:tplc="3424B61A">
      <w:numFmt w:val="bullet"/>
      <w:lvlText w:val="•"/>
      <w:lvlJc w:val="left"/>
      <w:pPr>
        <w:ind w:left="7644" w:hanging="504"/>
      </w:pPr>
      <w:rPr>
        <w:rFonts w:hint="default"/>
        <w:lang w:val="en-US" w:eastAsia="en-US" w:bidi="ar-SA"/>
      </w:rPr>
    </w:lvl>
    <w:lvl w:ilvl="7" w:tplc="9CCE04AC">
      <w:numFmt w:val="bullet"/>
      <w:lvlText w:val="•"/>
      <w:lvlJc w:val="left"/>
      <w:pPr>
        <w:ind w:left="8605" w:hanging="504"/>
      </w:pPr>
      <w:rPr>
        <w:rFonts w:hint="default"/>
        <w:lang w:val="en-US" w:eastAsia="en-US" w:bidi="ar-SA"/>
      </w:rPr>
    </w:lvl>
    <w:lvl w:ilvl="8" w:tplc="7F7066C8">
      <w:numFmt w:val="bullet"/>
      <w:lvlText w:val="•"/>
      <w:lvlJc w:val="left"/>
      <w:pPr>
        <w:ind w:left="9565" w:hanging="504"/>
      </w:pPr>
      <w:rPr>
        <w:rFonts w:hint="default"/>
        <w:lang w:val="en-US" w:eastAsia="en-US" w:bidi="ar-SA"/>
      </w:rPr>
    </w:lvl>
  </w:abstractNum>
  <w:abstractNum w:abstractNumId="32" w15:restartNumberingAfterBreak="0">
    <w:nsid w:val="132C37B4"/>
    <w:multiLevelType w:val="hybridMultilevel"/>
    <w:tmpl w:val="61AA2A52"/>
    <w:lvl w:ilvl="0" w:tplc="CF1AB128">
      <w:start w:val="1"/>
      <w:numFmt w:val="decimal"/>
      <w:lvlText w:val="%1."/>
      <w:lvlJc w:val="left"/>
      <w:pPr>
        <w:ind w:left="45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07C7EDC">
      <w:numFmt w:val="bullet"/>
      <w:lvlText w:val="•"/>
      <w:lvlJc w:val="left"/>
      <w:pPr>
        <w:ind w:left="880" w:hanging="360"/>
      </w:pPr>
      <w:rPr>
        <w:rFonts w:hint="default"/>
        <w:lang w:val="en-US" w:eastAsia="en-US" w:bidi="ar-SA"/>
      </w:rPr>
    </w:lvl>
    <w:lvl w:ilvl="2" w:tplc="277872FE">
      <w:numFmt w:val="bullet"/>
      <w:lvlText w:val="•"/>
      <w:lvlJc w:val="left"/>
      <w:pPr>
        <w:ind w:left="1301" w:hanging="360"/>
      </w:pPr>
      <w:rPr>
        <w:rFonts w:hint="default"/>
        <w:lang w:val="en-US" w:eastAsia="en-US" w:bidi="ar-SA"/>
      </w:rPr>
    </w:lvl>
    <w:lvl w:ilvl="3" w:tplc="1E3C556A">
      <w:numFmt w:val="bullet"/>
      <w:lvlText w:val="•"/>
      <w:lvlJc w:val="left"/>
      <w:pPr>
        <w:ind w:left="1721" w:hanging="360"/>
      </w:pPr>
      <w:rPr>
        <w:rFonts w:hint="default"/>
        <w:lang w:val="en-US" w:eastAsia="en-US" w:bidi="ar-SA"/>
      </w:rPr>
    </w:lvl>
    <w:lvl w:ilvl="4" w:tplc="4C4C5BB6">
      <w:numFmt w:val="bullet"/>
      <w:lvlText w:val="•"/>
      <w:lvlJc w:val="left"/>
      <w:pPr>
        <w:ind w:left="2142" w:hanging="360"/>
      </w:pPr>
      <w:rPr>
        <w:rFonts w:hint="default"/>
        <w:lang w:val="en-US" w:eastAsia="en-US" w:bidi="ar-SA"/>
      </w:rPr>
    </w:lvl>
    <w:lvl w:ilvl="5" w:tplc="F0C088E0">
      <w:numFmt w:val="bullet"/>
      <w:lvlText w:val="•"/>
      <w:lvlJc w:val="left"/>
      <w:pPr>
        <w:ind w:left="2562" w:hanging="360"/>
      </w:pPr>
      <w:rPr>
        <w:rFonts w:hint="default"/>
        <w:lang w:val="en-US" w:eastAsia="en-US" w:bidi="ar-SA"/>
      </w:rPr>
    </w:lvl>
    <w:lvl w:ilvl="6" w:tplc="67DE2296">
      <w:numFmt w:val="bullet"/>
      <w:lvlText w:val="•"/>
      <w:lvlJc w:val="left"/>
      <w:pPr>
        <w:ind w:left="2983" w:hanging="360"/>
      </w:pPr>
      <w:rPr>
        <w:rFonts w:hint="default"/>
        <w:lang w:val="en-US" w:eastAsia="en-US" w:bidi="ar-SA"/>
      </w:rPr>
    </w:lvl>
    <w:lvl w:ilvl="7" w:tplc="58148710">
      <w:numFmt w:val="bullet"/>
      <w:lvlText w:val="•"/>
      <w:lvlJc w:val="left"/>
      <w:pPr>
        <w:ind w:left="3403" w:hanging="360"/>
      </w:pPr>
      <w:rPr>
        <w:rFonts w:hint="default"/>
        <w:lang w:val="en-US" w:eastAsia="en-US" w:bidi="ar-SA"/>
      </w:rPr>
    </w:lvl>
    <w:lvl w:ilvl="8" w:tplc="EDC2C0D8">
      <w:numFmt w:val="bullet"/>
      <w:lvlText w:val="•"/>
      <w:lvlJc w:val="left"/>
      <w:pPr>
        <w:ind w:left="3824" w:hanging="360"/>
      </w:pPr>
      <w:rPr>
        <w:rFonts w:hint="default"/>
        <w:lang w:val="en-US" w:eastAsia="en-US" w:bidi="ar-SA"/>
      </w:rPr>
    </w:lvl>
  </w:abstractNum>
  <w:abstractNum w:abstractNumId="33" w15:restartNumberingAfterBreak="0">
    <w:nsid w:val="13A4375D"/>
    <w:multiLevelType w:val="hybridMultilevel"/>
    <w:tmpl w:val="6464E9E2"/>
    <w:lvl w:ilvl="0" w:tplc="2A30BEB2">
      <w:start w:val="1"/>
      <w:numFmt w:val="lowerLetter"/>
      <w:lvlText w:val="%1)"/>
      <w:lvlJc w:val="left"/>
      <w:pPr>
        <w:ind w:left="1863" w:hanging="48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8C66594">
      <w:numFmt w:val="bullet"/>
      <w:lvlText w:val="•"/>
      <w:lvlJc w:val="left"/>
      <w:pPr>
        <w:ind w:left="2822" w:hanging="480"/>
      </w:pPr>
      <w:rPr>
        <w:rFonts w:hint="default"/>
        <w:lang w:val="en-US" w:eastAsia="en-US" w:bidi="ar-SA"/>
      </w:rPr>
    </w:lvl>
    <w:lvl w:ilvl="2" w:tplc="68805588">
      <w:numFmt w:val="bullet"/>
      <w:lvlText w:val="•"/>
      <w:lvlJc w:val="left"/>
      <w:pPr>
        <w:ind w:left="3785" w:hanging="480"/>
      </w:pPr>
      <w:rPr>
        <w:rFonts w:hint="default"/>
        <w:lang w:val="en-US" w:eastAsia="en-US" w:bidi="ar-SA"/>
      </w:rPr>
    </w:lvl>
    <w:lvl w:ilvl="3" w:tplc="C8120A20">
      <w:numFmt w:val="bullet"/>
      <w:lvlText w:val="•"/>
      <w:lvlJc w:val="left"/>
      <w:pPr>
        <w:ind w:left="4748" w:hanging="480"/>
      </w:pPr>
      <w:rPr>
        <w:rFonts w:hint="default"/>
        <w:lang w:val="en-US" w:eastAsia="en-US" w:bidi="ar-SA"/>
      </w:rPr>
    </w:lvl>
    <w:lvl w:ilvl="4" w:tplc="B48015F4">
      <w:numFmt w:val="bullet"/>
      <w:lvlText w:val="•"/>
      <w:lvlJc w:val="left"/>
      <w:pPr>
        <w:ind w:left="5710" w:hanging="480"/>
      </w:pPr>
      <w:rPr>
        <w:rFonts w:hint="default"/>
        <w:lang w:val="en-US" w:eastAsia="en-US" w:bidi="ar-SA"/>
      </w:rPr>
    </w:lvl>
    <w:lvl w:ilvl="5" w:tplc="A406F766">
      <w:numFmt w:val="bullet"/>
      <w:lvlText w:val="•"/>
      <w:lvlJc w:val="left"/>
      <w:pPr>
        <w:ind w:left="6673" w:hanging="480"/>
      </w:pPr>
      <w:rPr>
        <w:rFonts w:hint="default"/>
        <w:lang w:val="en-US" w:eastAsia="en-US" w:bidi="ar-SA"/>
      </w:rPr>
    </w:lvl>
    <w:lvl w:ilvl="6" w:tplc="B58439FC">
      <w:numFmt w:val="bullet"/>
      <w:lvlText w:val="•"/>
      <w:lvlJc w:val="left"/>
      <w:pPr>
        <w:ind w:left="7636" w:hanging="480"/>
      </w:pPr>
      <w:rPr>
        <w:rFonts w:hint="default"/>
        <w:lang w:val="en-US" w:eastAsia="en-US" w:bidi="ar-SA"/>
      </w:rPr>
    </w:lvl>
    <w:lvl w:ilvl="7" w:tplc="D58AA16A">
      <w:numFmt w:val="bullet"/>
      <w:lvlText w:val="•"/>
      <w:lvlJc w:val="left"/>
      <w:pPr>
        <w:ind w:left="8599" w:hanging="480"/>
      </w:pPr>
      <w:rPr>
        <w:rFonts w:hint="default"/>
        <w:lang w:val="en-US" w:eastAsia="en-US" w:bidi="ar-SA"/>
      </w:rPr>
    </w:lvl>
    <w:lvl w:ilvl="8" w:tplc="EE8E5AC0">
      <w:numFmt w:val="bullet"/>
      <w:lvlText w:val="•"/>
      <w:lvlJc w:val="left"/>
      <w:pPr>
        <w:ind w:left="9561" w:hanging="480"/>
      </w:pPr>
      <w:rPr>
        <w:rFonts w:hint="default"/>
        <w:lang w:val="en-US" w:eastAsia="en-US" w:bidi="ar-SA"/>
      </w:rPr>
    </w:lvl>
  </w:abstractNum>
  <w:abstractNum w:abstractNumId="34" w15:restartNumberingAfterBreak="0">
    <w:nsid w:val="13D62F38"/>
    <w:multiLevelType w:val="hybridMultilevel"/>
    <w:tmpl w:val="5BA2EEFC"/>
    <w:lvl w:ilvl="0" w:tplc="C7B603D6">
      <w:start w:val="2"/>
      <w:numFmt w:val="lowerRoman"/>
      <w:lvlText w:val="(%1)"/>
      <w:lvlJc w:val="left"/>
      <w:pPr>
        <w:ind w:left="105" w:hanging="326"/>
      </w:pPr>
      <w:rPr>
        <w:rFonts w:ascii="Times New Roman" w:eastAsia="Times New Roman" w:hAnsi="Times New Roman" w:cs="Times New Roman" w:hint="default"/>
        <w:b w:val="0"/>
        <w:bCs w:val="0"/>
        <w:i w:val="0"/>
        <w:iCs w:val="0"/>
        <w:spacing w:val="-2"/>
        <w:w w:val="100"/>
        <w:sz w:val="22"/>
        <w:szCs w:val="22"/>
        <w:lang w:val="en-US" w:eastAsia="en-US" w:bidi="ar-SA"/>
      </w:rPr>
    </w:lvl>
    <w:lvl w:ilvl="1" w:tplc="9E8A7E94">
      <w:numFmt w:val="bullet"/>
      <w:lvlText w:val="•"/>
      <w:lvlJc w:val="left"/>
      <w:pPr>
        <w:ind w:left="641" w:hanging="326"/>
      </w:pPr>
      <w:rPr>
        <w:rFonts w:hint="default"/>
        <w:lang w:val="en-US" w:eastAsia="en-US" w:bidi="ar-SA"/>
      </w:rPr>
    </w:lvl>
    <w:lvl w:ilvl="2" w:tplc="51CC792A">
      <w:numFmt w:val="bullet"/>
      <w:lvlText w:val="•"/>
      <w:lvlJc w:val="left"/>
      <w:pPr>
        <w:ind w:left="1183" w:hanging="326"/>
      </w:pPr>
      <w:rPr>
        <w:rFonts w:hint="default"/>
        <w:lang w:val="en-US" w:eastAsia="en-US" w:bidi="ar-SA"/>
      </w:rPr>
    </w:lvl>
    <w:lvl w:ilvl="3" w:tplc="C4C42A7C">
      <w:numFmt w:val="bullet"/>
      <w:lvlText w:val="•"/>
      <w:lvlJc w:val="left"/>
      <w:pPr>
        <w:ind w:left="1725" w:hanging="326"/>
      </w:pPr>
      <w:rPr>
        <w:rFonts w:hint="default"/>
        <w:lang w:val="en-US" w:eastAsia="en-US" w:bidi="ar-SA"/>
      </w:rPr>
    </w:lvl>
    <w:lvl w:ilvl="4" w:tplc="3A3C84A2">
      <w:numFmt w:val="bullet"/>
      <w:lvlText w:val="•"/>
      <w:lvlJc w:val="left"/>
      <w:pPr>
        <w:ind w:left="2267" w:hanging="326"/>
      </w:pPr>
      <w:rPr>
        <w:rFonts w:hint="default"/>
        <w:lang w:val="en-US" w:eastAsia="en-US" w:bidi="ar-SA"/>
      </w:rPr>
    </w:lvl>
    <w:lvl w:ilvl="5" w:tplc="E2B0F7E8">
      <w:numFmt w:val="bullet"/>
      <w:lvlText w:val="•"/>
      <w:lvlJc w:val="left"/>
      <w:pPr>
        <w:ind w:left="2809" w:hanging="326"/>
      </w:pPr>
      <w:rPr>
        <w:rFonts w:hint="default"/>
        <w:lang w:val="en-US" w:eastAsia="en-US" w:bidi="ar-SA"/>
      </w:rPr>
    </w:lvl>
    <w:lvl w:ilvl="6" w:tplc="3848873A">
      <w:numFmt w:val="bullet"/>
      <w:lvlText w:val="•"/>
      <w:lvlJc w:val="left"/>
      <w:pPr>
        <w:ind w:left="3350" w:hanging="326"/>
      </w:pPr>
      <w:rPr>
        <w:rFonts w:hint="default"/>
        <w:lang w:val="en-US" w:eastAsia="en-US" w:bidi="ar-SA"/>
      </w:rPr>
    </w:lvl>
    <w:lvl w:ilvl="7" w:tplc="3F44A574">
      <w:numFmt w:val="bullet"/>
      <w:lvlText w:val="•"/>
      <w:lvlJc w:val="left"/>
      <w:pPr>
        <w:ind w:left="3892" w:hanging="326"/>
      </w:pPr>
      <w:rPr>
        <w:rFonts w:hint="default"/>
        <w:lang w:val="en-US" w:eastAsia="en-US" w:bidi="ar-SA"/>
      </w:rPr>
    </w:lvl>
    <w:lvl w:ilvl="8" w:tplc="DA20782C">
      <w:numFmt w:val="bullet"/>
      <w:lvlText w:val="•"/>
      <w:lvlJc w:val="left"/>
      <w:pPr>
        <w:ind w:left="4434" w:hanging="326"/>
      </w:pPr>
      <w:rPr>
        <w:rFonts w:hint="default"/>
        <w:lang w:val="en-US" w:eastAsia="en-US" w:bidi="ar-SA"/>
      </w:rPr>
    </w:lvl>
  </w:abstractNum>
  <w:abstractNum w:abstractNumId="35" w15:restartNumberingAfterBreak="0">
    <w:nsid w:val="145700DC"/>
    <w:multiLevelType w:val="multilevel"/>
    <w:tmpl w:val="3CACE344"/>
    <w:lvl w:ilvl="0">
      <w:start w:val="36"/>
      <w:numFmt w:val="decimal"/>
      <w:lvlText w:val="%1.0"/>
      <w:lvlJc w:val="left"/>
      <w:pPr>
        <w:ind w:left="1440" w:hanging="591"/>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414" w:hanging="565"/>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Roman"/>
      <w:lvlText w:val="%3)"/>
      <w:lvlJc w:val="left"/>
      <w:pPr>
        <w:ind w:left="1858" w:hanging="43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116" w:hanging="437"/>
      </w:pPr>
      <w:rPr>
        <w:rFonts w:hint="default"/>
        <w:lang w:val="en-US" w:eastAsia="en-US" w:bidi="ar-SA"/>
      </w:rPr>
    </w:lvl>
    <w:lvl w:ilvl="4">
      <w:numFmt w:val="bullet"/>
      <w:lvlText w:val="•"/>
      <w:lvlJc w:val="left"/>
      <w:pPr>
        <w:ind w:left="4372" w:hanging="437"/>
      </w:pPr>
      <w:rPr>
        <w:rFonts w:hint="default"/>
        <w:lang w:val="en-US" w:eastAsia="en-US" w:bidi="ar-SA"/>
      </w:rPr>
    </w:lvl>
    <w:lvl w:ilvl="5">
      <w:numFmt w:val="bullet"/>
      <w:lvlText w:val="•"/>
      <w:lvlJc w:val="left"/>
      <w:pPr>
        <w:ind w:left="5629" w:hanging="437"/>
      </w:pPr>
      <w:rPr>
        <w:rFonts w:hint="default"/>
        <w:lang w:val="en-US" w:eastAsia="en-US" w:bidi="ar-SA"/>
      </w:rPr>
    </w:lvl>
    <w:lvl w:ilvl="6">
      <w:numFmt w:val="bullet"/>
      <w:lvlText w:val="•"/>
      <w:lvlJc w:val="left"/>
      <w:pPr>
        <w:ind w:left="6885" w:hanging="437"/>
      </w:pPr>
      <w:rPr>
        <w:rFonts w:hint="default"/>
        <w:lang w:val="en-US" w:eastAsia="en-US" w:bidi="ar-SA"/>
      </w:rPr>
    </w:lvl>
    <w:lvl w:ilvl="7">
      <w:numFmt w:val="bullet"/>
      <w:lvlText w:val="•"/>
      <w:lvlJc w:val="left"/>
      <w:pPr>
        <w:ind w:left="8142" w:hanging="437"/>
      </w:pPr>
      <w:rPr>
        <w:rFonts w:hint="default"/>
        <w:lang w:val="en-US" w:eastAsia="en-US" w:bidi="ar-SA"/>
      </w:rPr>
    </w:lvl>
    <w:lvl w:ilvl="8">
      <w:numFmt w:val="bullet"/>
      <w:lvlText w:val="•"/>
      <w:lvlJc w:val="left"/>
      <w:pPr>
        <w:ind w:left="9398" w:hanging="437"/>
      </w:pPr>
      <w:rPr>
        <w:rFonts w:hint="default"/>
        <w:lang w:val="en-US" w:eastAsia="en-US" w:bidi="ar-SA"/>
      </w:rPr>
    </w:lvl>
  </w:abstractNum>
  <w:abstractNum w:abstractNumId="36" w15:restartNumberingAfterBreak="0">
    <w:nsid w:val="145B1B7F"/>
    <w:multiLevelType w:val="hybridMultilevel"/>
    <w:tmpl w:val="265E714C"/>
    <w:lvl w:ilvl="0" w:tplc="F70AF834">
      <w:start w:val="1"/>
      <w:numFmt w:val="lowerLetter"/>
      <w:lvlText w:val="%1)"/>
      <w:lvlJc w:val="left"/>
      <w:pPr>
        <w:ind w:left="1870"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C90F378">
      <w:numFmt w:val="bullet"/>
      <w:lvlText w:val="•"/>
      <w:lvlJc w:val="left"/>
      <w:pPr>
        <w:ind w:left="2840" w:hanging="495"/>
      </w:pPr>
      <w:rPr>
        <w:rFonts w:hint="default"/>
        <w:lang w:val="en-US" w:eastAsia="en-US" w:bidi="ar-SA"/>
      </w:rPr>
    </w:lvl>
    <w:lvl w:ilvl="2" w:tplc="EA4E4D56">
      <w:numFmt w:val="bullet"/>
      <w:lvlText w:val="•"/>
      <w:lvlJc w:val="left"/>
      <w:pPr>
        <w:ind w:left="3801" w:hanging="495"/>
      </w:pPr>
      <w:rPr>
        <w:rFonts w:hint="default"/>
        <w:lang w:val="en-US" w:eastAsia="en-US" w:bidi="ar-SA"/>
      </w:rPr>
    </w:lvl>
    <w:lvl w:ilvl="3" w:tplc="75A0E31A">
      <w:numFmt w:val="bullet"/>
      <w:lvlText w:val="•"/>
      <w:lvlJc w:val="left"/>
      <w:pPr>
        <w:ind w:left="4762" w:hanging="495"/>
      </w:pPr>
      <w:rPr>
        <w:rFonts w:hint="default"/>
        <w:lang w:val="en-US" w:eastAsia="en-US" w:bidi="ar-SA"/>
      </w:rPr>
    </w:lvl>
    <w:lvl w:ilvl="4" w:tplc="08DEA1D0">
      <w:numFmt w:val="bullet"/>
      <w:lvlText w:val="•"/>
      <w:lvlJc w:val="left"/>
      <w:pPr>
        <w:ind w:left="5722" w:hanging="495"/>
      </w:pPr>
      <w:rPr>
        <w:rFonts w:hint="default"/>
        <w:lang w:val="en-US" w:eastAsia="en-US" w:bidi="ar-SA"/>
      </w:rPr>
    </w:lvl>
    <w:lvl w:ilvl="5" w:tplc="17DA568C">
      <w:numFmt w:val="bullet"/>
      <w:lvlText w:val="•"/>
      <w:lvlJc w:val="left"/>
      <w:pPr>
        <w:ind w:left="6683" w:hanging="495"/>
      </w:pPr>
      <w:rPr>
        <w:rFonts w:hint="default"/>
        <w:lang w:val="en-US" w:eastAsia="en-US" w:bidi="ar-SA"/>
      </w:rPr>
    </w:lvl>
    <w:lvl w:ilvl="6" w:tplc="9DE02D8C">
      <w:numFmt w:val="bullet"/>
      <w:lvlText w:val="•"/>
      <w:lvlJc w:val="left"/>
      <w:pPr>
        <w:ind w:left="7644" w:hanging="495"/>
      </w:pPr>
      <w:rPr>
        <w:rFonts w:hint="default"/>
        <w:lang w:val="en-US" w:eastAsia="en-US" w:bidi="ar-SA"/>
      </w:rPr>
    </w:lvl>
    <w:lvl w:ilvl="7" w:tplc="B38E02E0">
      <w:numFmt w:val="bullet"/>
      <w:lvlText w:val="•"/>
      <w:lvlJc w:val="left"/>
      <w:pPr>
        <w:ind w:left="8605" w:hanging="495"/>
      </w:pPr>
      <w:rPr>
        <w:rFonts w:hint="default"/>
        <w:lang w:val="en-US" w:eastAsia="en-US" w:bidi="ar-SA"/>
      </w:rPr>
    </w:lvl>
    <w:lvl w:ilvl="8" w:tplc="CA5CBD58">
      <w:numFmt w:val="bullet"/>
      <w:lvlText w:val="•"/>
      <w:lvlJc w:val="left"/>
      <w:pPr>
        <w:ind w:left="9565" w:hanging="495"/>
      </w:pPr>
      <w:rPr>
        <w:rFonts w:hint="default"/>
        <w:lang w:val="en-US" w:eastAsia="en-US" w:bidi="ar-SA"/>
      </w:rPr>
    </w:lvl>
  </w:abstractNum>
  <w:abstractNum w:abstractNumId="37" w15:restartNumberingAfterBreak="0">
    <w:nsid w:val="150514B4"/>
    <w:multiLevelType w:val="hybridMultilevel"/>
    <w:tmpl w:val="F5A0B2BC"/>
    <w:lvl w:ilvl="0" w:tplc="4922070C">
      <w:start w:val="1"/>
      <w:numFmt w:val="lowerRoman"/>
      <w:lvlText w:val="%1)"/>
      <w:lvlJc w:val="left"/>
      <w:pPr>
        <w:ind w:left="1899" w:hanging="47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59838E0">
      <w:numFmt w:val="bullet"/>
      <w:lvlText w:val="•"/>
      <w:lvlJc w:val="left"/>
      <w:pPr>
        <w:ind w:left="2858" w:hanging="476"/>
      </w:pPr>
      <w:rPr>
        <w:rFonts w:hint="default"/>
        <w:lang w:val="en-US" w:eastAsia="en-US" w:bidi="ar-SA"/>
      </w:rPr>
    </w:lvl>
    <w:lvl w:ilvl="2" w:tplc="5F9EBC8A">
      <w:numFmt w:val="bullet"/>
      <w:lvlText w:val="•"/>
      <w:lvlJc w:val="left"/>
      <w:pPr>
        <w:ind w:left="3817" w:hanging="476"/>
      </w:pPr>
      <w:rPr>
        <w:rFonts w:hint="default"/>
        <w:lang w:val="en-US" w:eastAsia="en-US" w:bidi="ar-SA"/>
      </w:rPr>
    </w:lvl>
    <w:lvl w:ilvl="3" w:tplc="A3BE596C">
      <w:numFmt w:val="bullet"/>
      <w:lvlText w:val="•"/>
      <w:lvlJc w:val="left"/>
      <w:pPr>
        <w:ind w:left="4776" w:hanging="476"/>
      </w:pPr>
      <w:rPr>
        <w:rFonts w:hint="default"/>
        <w:lang w:val="en-US" w:eastAsia="en-US" w:bidi="ar-SA"/>
      </w:rPr>
    </w:lvl>
    <w:lvl w:ilvl="4" w:tplc="14BCF074">
      <w:numFmt w:val="bullet"/>
      <w:lvlText w:val="•"/>
      <w:lvlJc w:val="left"/>
      <w:pPr>
        <w:ind w:left="5734" w:hanging="476"/>
      </w:pPr>
      <w:rPr>
        <w:rFonts w:hint="default"/>
        <w:lang w:val="en-US" w:eastAsia="en-US" w:bidi="ar-SA"/>
      </w:rPr>
    </w:lvl>
    <w:lvl w:ilvl="5" w:tplc="24B205FE">
      <w:numFmt w:val="bullet"/>
      <w:lvlText w:val="•"/>
      <w:lvlJc w:val="left"/>
      <w:pPr>
        <w:ind w:left="6693" w:hanging="476"/>
      </w:pPr>
      <w:rPr>
        <w:rFonts w:hint="default"/>
        <w:lang w:val="en-US" w:eastAsia="en-US" w:bidi="ar-SA"/>
      </w:rPr>
    </w:lvl>
    <w:lvl w:ilvl="6" w:tplc="319CB4EA">
      <w:numFmt w:val="bullet"/>
      <w:lvlText w:val="•"/>
      <w:lvlJc w:val="left"/>
      <w:pPr>
        <w:ind w:left="7652" w:hanging="476"/>
      </w:pPr>
      <w:rPr>
        <w:rFonts w:hint="default"/>
        <w:lang w:val="en-US" w:eastAsia="en-US" w:bidi="ar-SA"/>
      </w:rPr>
    </w:lvl>
    <w:lvl w:ilvl="7" w:tplc="1FBCD6A2">
      <w:numFmt w:val="bullet"/>
      <w:lvlText w:val="•"/>
      <w:lvlJc w:val="left"/>
      <w:pPr>
        <w:ind w:left="8611" w:hanging="476"/>
      </w:pPr>
      <w:rPr>
        <w:rFonts w:hint="default"/>
        <w:lang w:val="en-US" w:eastAsia="en-US" w:bidi="ar-SA"/>
      </w:rPr>
    </w:lvl>
    <w:lvl w:ilvl="8" w:tplc="7BF25376">
      <w:numFmt w:val="bullet"/>
      <w:lvlText w:val="•"/>
      <w:lvlJc w:val="left"/>
      <w:pPr>
        <w:ind w:left="9569" w:hanging="476"/>
      </w:pPr>
      <w:rPr>
        <w:rFonts w:hint="default"/>
        <w:lang w:val="en-US" w:eastAsia="en-US" w:bidi="ar-SA"/>
      </w:rPr>
    </w:lvl>
  </w:abstractNum>
  <w:abstractNum w:abstractNumId="38" w15:restartNumberingAfterBreak="0">
    <w:nsid w:val="155876C4"/>
    <w:multiLevelType w:val="hybridMultilevel"/>
    <w:tmpl w:val="26AC0D10"/>
    <w:lvl w:ilvl="0" w:tplc="89BC5B9A">
      <w:start w:val="2"/>
      <w:numFmt w:val="lowerRoman"/>
      <w:lvlText w:val="%1)"/>
      <w:lvlJc w:val="left"/>
      <w:pPr>
        <w:ind w:left="1841" w:hanging="567"/>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4988C22">
      <w:numFmt w:val="bullet"/>
      <w:lvlText w:val="•"/>
      <w:lvlJc w:val="left"/>
      <w:pPr>
        <w:ind w:left="2804" w:hanging="567"/>
      </w:pPr>
      <w:rPr>
        <w:rFonts w:hint="default"/>
        <w:lang w:val="en-US" w:eastAsia="en-US" w:bidi="ar-SA"/>
      </w:rPr>
    </w:lvl>
    <w:lvl w:ilvl="2" w:tplc="9BA48C6A">
      <w:numFmt w:val="bullet"/>
      <w:lvlText w:val="•"/>
      <w:lvlJc w:val="left"/>
      <w:pPr>
        <w:ind w:left="3769" w:hanging="567"/>
      </w:pPr>
      <w:rPr>
        <w:rFonts w:hint="default"/>
        <w:lang w:val="en-US" w:eastAsia="en-US" w:bidi="ar-SA"/>
      </w:rPr>
    </w:lvl>
    <w:lvl w:ilvl="3" w:tplc="2790214C">
      <w:numFmt w:val="bullet"/>
      <w:lvlText w:val="•"/>
      <w:lvlJc w:val="left"/>
      <w:pPr>
        <w:ind w:left="4734" w:hanging="567"/>
      </w:pPr>
      <w:rPr>
        <w:rFonts w:hint="default"/>
        <w:lang w:val="en-US" w:eastAsia="en-US" w:bidi="ar-SA"/>
      </w:rPr>
    </w:lvl>
    <w:lvl w:ilvl="4" w:tplc="AE6E2E26">
      <w:numFmt w:val="bullet"/>
      <w:lvlText w:val="•"/>
      <w:lvlJc w:val="left"/>
      <w:pPr>
        <w:ind w:left="5698" w:hanging="567"/>
      </w:pPr>
      <w:rPr>
        <w:rFonts w:hint="default"/>
        <w:lang w:val="en-US" w:eastAsia="en-US" w:bidi="ar-SA"/>
      </w:rPr>
    </w:lvl>
    <w:lvl w:ilvl="5" w:tplc="B41C02B2">
      <w:numFmt w:val="bullet"/>
      <w:lvlText w:val="•"/>
      <w:lvlJc w:val="left"/>
      <w:pPr>
        <w:ind w:left="6663" w:hanging="567"/>
      </w:pPr>
      <w:rPr>
        <w:rFonts w:hint="default"/>
        <w:lang w:val="en-US" w:eastAsia="en-US" w:bidi="ar-SA"/>
      </w:rPr>
    </w:lvl>
    <w:lvl w:ilvl="6" w:tplc="AEC8BED4">
      <w:numFmt w:val="bullet"/>
      <w:lvlText w:val="•"/>
      <w:lvlJc w:val="left"/>
      <w:pPr>
        <w:ind w:left="7628" w:hanging="567"/>
      </w:pPr>
      <w:rPr>
        <w:rFonts w:hint="default"/>
        <w:lang w:val="en-US" w:eastAsia="en-US" w:bidi="ar-SA"/>
      </w:rPr>
    </w:lvl>
    <w:lvl w:ilvl="7" w:tplc="661A93DC">
      <w:numFmt w:val="bullet"/>
      <w:lvlText w:val="•"/>
      <w:lvlJc w:val="left"/>
      <w:pPr>
        <w:ind w:left="8593" w:hanging="567"/>
      </w:pPr>
      <w:rPr>
        <w:rFonts w:hint="default"/>
        <w:lang w:val="en-US" w:eastAsia="en-US" w:bidi="ar-SA"/>
      </w:rPr>
    </w:lvl>
    <w:lvl w:ilvl="8" w:tplc="088A0938">
      <w:numFmt w:val="bullet"/>
      <w:lvlText w:val="•"/>
      <w:lvlJc w:val="left"/>
      <w:pPr>
        <w:ind w:left="9557" w:hanging="567"/>
      </w:pPr>
      <w:rPr>
        <w:rFonts w:hint="default"/>
        <w:lang w:val="en-US" w:eastAsia="en-US" w:bidi="ar-SA"/>
      </w:rPr>
    </w:lvl>
  </w:abstractNum>
  <w:abstractNum w:abstractNumId="39" w15:restartNumberingAfterBreak="0">
    <w:nsid w:val="158545D8"/>
    <w:multiLevelType w:val="hybridMultilevel"/>
    <w:tmpl w:val="430C709C"/>
    <w:lvl w:ilvl="0" w:tplc="A342C6B2">
      <w:start w:val="3"/>
      <w:numFmt w:val="lowerLetter"/>
      <w:lvlText w:val="(%1)"/>
      <w:lvlJc w:val="left"/>
      <w:pPr>
        <w:ind w:left="1225" w:hanging="519"/>
      </w:pPr>
      <w:rPr>
        <w:rFonts w:hint="default"/>
        <w:spacing w:val="-2"/>
        <w:w w:val="100"/>
        <w:lang w:val="en-US" w:eastAsia="en-US" w:bidi="ar-SA"/>
      </w:rPr>
    </w:lvl>
    <w:lvl w:ilvl="1" w:tplc="149E2F52">
      <w:numFmt w:val="bullet"/>
      <w:lvlText w:val="•"/>
      <w:lvlJc w:val="left"/>
      <w:pPr>
        <w:ind w:left="2246" w:hanging="519"/>
      </w:pPr>
      <w:rPr>
        <w:rFonts w:hint="default"/>
        <w:lang w:val="en-US" w:eastAsia="en-US" w:bidi="ar-SA"/>
      </w:rPr>
    </w:lvl>
    <w:lvl w:ilvl="2" w:tplc="EC74C772">
      <w:numFmt w:val="bullet"/>
      <w:lvlText w:val="•"/>
      <w:lvlJc w:val="left"/>
      <w:pPr>
        <w:ind w:left="3273" w:hanging="519"/>
      </w:pPr>
      <w:rPr>
        <w:rFonts w:hint="default"/>
        <w:lang w:val="en-US" w:eastAsia="en-US" w:bidi="ar-SA"/>
      </w:rPr>
    </w:lvl>
    <w:lvl w:ilvl="3" w:tplc="E03AD176">
      <w:numFmt w:val="bullet"/>
      <w:lvlText w:val="•"/>
      <w:lvlJc w:val="left"/>
      <w:pPr>
        <w:ind w:left="4300" w:hanging="519"/>
      </w:pPr>
      <w:rPr>
        <w:rFonts w:hint="default"/>
        <w:lang w:val="en-US" w:eastAsia="en-US" w:bidi="ar-SA"/>
      </w:rPr>
    </w:lvl>
    <w:lvl w:ilvl="4" w:tplc="30CC72AC">
      <w:numFmt w:val="bullet"/>
      <w:lvlText w:val="•"/>
      <w:lvlJc w:val="left"/>
      <w:pPr>
        <w:ind w:left="5326" w:hanging="519"/>
      </w:pPr>
      <w:rPr>
        <w:rFonts w:hint="default"/>
        <w:lang w:val="en-US" w:eastAsia="en-US" w:bidi="ar-SA"/>
      </w:rPr>
    </w:lvl>
    <w:lvl w:ilvl="5" w:tplc="C0122386">
      <w:numFmt w:val="bullet"/>
      <w:lvlText w:val="•"/>
      <w:lvlJc w:val="left"/>
      <w:pPr>
        <w:ind w:left="6353" w:hanging="519"/>
      </w:pPr>
      <w:rPr>
        <w:rFonts w:hint="default"/>
        <w:lang w:val="en-US" w:eastAsia="en-US" w:bidi="ar-SA"/>
      </w:rPr>
    </w:lvl>
    <w:lvl w:ilvl="6" w:tplc="52307E26">
      <w:numFmt w:val="bullet"/>
      <w:lvlText w:val="•"/>
      <w:lvlJc w:val="left"/>
      <w:pPr>
        <w:ind w:left="7380" w:hanging="519"/>
      </w:pPr>
      <w:rPr>
        <w:rFonts w:hint="default"/>
        <w:lang w:val="en-US" w:eastAsia="en-US" w:bidi="ar-SA"/>
      </w:rPr>
    </w:lvl>
    <w:lvl w:ilvl="7" w:tplc="1CD097DA">
      <w:numFmt w:val="bullet"/>
      <w:lvlText w:val="•"/>
      <w:lvlJc w:val="left"/>
      <w:pPr>
        <w:ind w:left="8407" w:hanging="519"/>
      </w:pPr>
      <w:rPr>
        <w:rFonts w:hint="default"/>
        <w:lang w:val="en-US" w:eastAsia="en-US" w:bidi="ar-SA"/>
      </w:rPr>
    </w:lvl>
    <w:lvl w:ilvl="8" w:tplc="280473B0">
      <w:numFmt w:val="bullet"/>
      <w:lvlText w:val="•"/>
      <w:lvlJc w:val="left"/>
      <w:pPr>
        <w:ind w:left="9433" w:hanging="519"/>
      </w:pPr>
      <w:rPr>
        <w:rFonts w:hint="default"/>
        <w:lang w:val="en-US" w:eastAsia="en-US" w:bidi="ar-SA"/>
      </w:rPr>
    </w:lvl>
  </w:abstractNum>
  <w:abstractNum w:abstractNumId="40" w15:restartNumberingAfterBreak="0">
    <w:nsid w:val="15EA6ECE"/>
    <w:multiLevelType w:val="multilevel"/>
    <w:tmpl w:val="2AA20A8E"/>
    <w:lvl w:ilvl="0">
      <w:start w:val="2"/>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i w:val="0"/>
        <w:iCs w:val="0"/>
        <w:color w:val="221F1F"/>
        <w:spacing w:val="-23"/>
        <w:w w:val="97"/>
        <w:sz w:val="22"/>
        <w:szCs w:val="22"/>
        <w:lang w:val="en-US" w:eastAsia="en-US" w:bidi="ar-SA"/>
      </w:rPr>
    </w:lvl>
    <w:lvl w:ilvl="2">
      <w:numFmt w:val="bullet"/>
      <w:lvlText w:val="•"/>
      <w:lvlJc w:val="left"/>
      <w:pPr>
        <w:ind w:left="3502" w:hanging="553"/>
      </w:pPr>
      <w:rPr>
        <w:rFonts w:hint="default"/>
        <w:lang w:val="en-US" w:eastAsia="en-US" w:bidi="ar-SA"/>
      </w:rPr>
    </w:lvl>
    <w:lvl w:ilvl="3">
      <w:numFmt w:val="bullet"/>
      <w:lvlText w:val="•"/>
      <w:lvlJc w:val="left"/>
      <w:pPr>
        <w:ind w:left="4553" w:hanging="553"/>
      </w:pPr>
      <w:rPr>
        <w:rFonts w:hint="default"/>
        <w:lang w:val="en-US" w:eastAsia="en-US" w:bidi="ar-SA"/>
      </w:rPr>
    </w:lvl>
    <w:lvl w:ilvl="4">
      <w:numFmt w:val="bullet"/>
      <w:lvlText w:val="•"/>
      <w:lvlJc w:val="left"/>
      <w:pPr>
        <w:ind w:left="5604" w:hanging="553"/>
      </w:pPr>
      <w:rPr>
        <w:rFonts w:hint="default"/>
        <w:lang w:val="en-US" w:eastAsia="en-US" w:bidi="ar-SA"/>
      </w:rPr>
    </w:lvl>
    <w:lvl w:ilvl="5">
      <w:numFmt w:val="bullet"/>
      <w:lvlText w:val="•"/>
      <w:lvlJc w:val="left"/>
      <w:pPr>
        <w:ind w:left="6655" w:hanging="553"/>
      </w:pPr>
      <w:rPr>
        <w:rFonts w:hint="default"/>
        <w:lang w:val="en-US" w:eastAsia="en-US" w:bidi="ar-SA"/>
      </w:rPr>
    </w:lvl>
    <w:lvl w:ilvl="6">
      <w:numFmt w:val="bullet"/>
      <w:lvlText w:val="•"/>
      <w:lvlJc w:val="left"/>
      <w:pPr>
        <w:ind w:left="7706" w:hanging="553"/>
      </w:pPr>
      <w:rPr>
        <w:rFonts w:hint="default"/>
        <w:lang w:val="en-US" w:eastAsia="en-US" w:bidi="ar-SA"/>
      </w:rPr>
    </w:lvl>
    <w:lvl w:ilvl="7">
      <w:numFmt w:val="bullet"/>
      <w:lvlText w:val="•"/>
      <w:lvlJc w:val="left"/>
      <w:pPr>
        <w:ind w:left="8757" w:hanging="553"/>
      </w:pPr>
      <w:rPr>
        <w:rFonts w:hint="default"/>
        <w:lang w:val="en-US" w:eastAsia="en-US" w:bidi="ar-SA"/>
      </w:rPr>
    </w:lvl>
    <w:lvl w:ilvl="8">
      <w:numFmt w:val="bullet"/>
      <w:lvlText w:val="•"/>
      <w:lvlJc w:val="left"/>
      <w:pPr>
        <w:ind w:left="9808" w:hanging="553"/>
      </w:pPr>
      <w:rPr>
        <w:rFonts w:hint="default"/>
        <w:lang w:val="en-US" w:eastAsia="en-US" w:bidi="ar-SA"/>
      </w:rPr>
    </w:lvl>
  </w:abstractNum>
  <w:abstractNum w:abstractNumId="41" w15:restartNumberingAfterBreak="0">
    <w:nsid w:val="16311C4E"/>
    <w:multiLevelType w:val="hybridMultilevel"/>
    <w:tmpl w:val="0D12E1A4"/>
    <w:lvl w:ilvl="0" w:tplc="0DF2738E">
      <w:start w:val="1"/>
      <w:numFmt w:val="decimal"/>
      <w:lvlText w:val="%1."/>
      <w:lvlJc w:val="left"/>
      <w:pPr>
        <w:ind w:left="1346" w:hanging="481"/>
      </w:pPr>
      <w:rPr>
        <w:rFonts w:hint="default"/>
        <w:spacing w:val="-22"/>
        <w:w w:val="97"/>
        <w:lang w:val="en-US" w:eastAsia="en-US" w:bidi="ar-SA"/>
      </w:rPr>
    </w:lvl>
    <w:lvl w:ilvl="1" w:tplc="9394FC06">
      <w:start w:val="1"/>
      <w:numFmt w:val="upperLetter"/>
      <w:lvlText w:val="%2."/>
      <w:lvlJc w:val="left"/>
      <w:pPr>
        <w:ind w:left="1236" w:hanging="380"/>
      </w:pPr>
      <w:rPr>
        <w:rFonts w:ascii="Times New Roman" w:eastAsia="Times New Roman" w:hAnsi="Times New Roman" w:cs="Times New Roman" w:hint="default"/>
        <w:b/>
        <w:bCs/>
        <w:i w:val="0"/>
        <w:iCs w:val="0"/>
        <w:color w:val="221F1F"/>
        <w:spacing w:val="0"/>
        <w:w w:val="97"/>
        <w:sz w:val="22"/>
        <w:szCs w:val="22"/>
        <w:lang w:val="en-US" w:eastAsia="en-US" w:bidi="ar-SA"/>
      </w:rPr>
    </w:lvl>
    <w:lvl w:ilvl="2" w:tplc="0A94278C">
      <w:start w:val="1"/>
      <w:numFmt w:val="decimal"/>
      <w:lvlText w:val="(%3)"/>
      <w:lvlJc w:val="left"/>
      <w:pPr>
        <w:ind w:left="1747" w:hanging="512"/>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3" w:tplc="A942FA70">
      <w:numFmt w:val="bullet"/>
      <w:lvlText w:val="•"/>
      <w:lvlJc w:val="left"/>
      <w:pPr>
        <w:ind w:left="3011" w:hanging="512"/>
      </w:pPr>
      <w:rPr>
        <w:rFonts w:hint="default"/>
        <w:lang w:val="en-US" w:eastAsia="en-US" w:bidi="ar-SA"/>
      </w:rPr>
    </w:lvl>
    <w:lvl w:ilvl="4" w:tplc="678A9C60">
      <w:numFmt w:val="bullet"/>
      <w:lvlText w:val="•"/>
      <w:lvlJc w:val="left"/>
      <w:pPr>
        <w:ind w:left="4282" w:hanging="512"/>
      </w:pPr>
      <w:rPr>
        <w:rFonts w:hint="default"/>
        <w:lang w:val="en-US" w:eastAsia="en-US" w:bidi="ar-SA"/>
      </w:rPr>
    </w:lvl>
    <w:lvl w:ilvl="5" w:tplc="8D9C42EE">
      <w:numFmt w:val="bullet"/>
      <w:lvlText w:val="•"/>
      <w:lvlJc w:val="left"/>
      <w:pPr>
        <w:ind w:left="5554" w:hanging="512"/>
      </w:pPr>
      <w:rPr>
        <w:rFonts w:hint="default"/>
        <w:lang w:val="en-US" w:eastAsia="en-US" w:bidi="ar-SA"/>
      </w:rPr>
    </w:lvl>
    <w:lvl w:ilvl="6" w:tplc="2C90E10C">
      <w:numFmt w:val="bullet"/>
      <w:lvlText w:val="•"/>
      <w:lvlJc w:val="left"/>
      <w:pPr>
        <w:ind w:left="6825" w:hanging="512"/>
      </w:pPr>
      <w:rPr>
        <w:rFonts w:hint="default"/>
        <w:lang w:val="en-US" w:eastAsia="en-US" w:bidi="ar-SA"/>
      </w:rPr>
    </w:lvl>
    <w:lvl w:ilvl="7" w:tplc="26669098">
      <w:numFmt w:val="bullet"/>
      <w:lvlText w:val="•"/>
      <w:lvlJc w:val="left"/>
      <w:pPr>
        <w:ind w:left="8097" w:hanging="512"/>
      </w:pPr>
      <w:rPr>
        <w:rFonts w:hint="default"/>
        <w:lang w:val="en-US" w:eastAsia="en-US" w:bidi="ar-SA"/>
      </w:rPr>
    </w:lvl>
    <w:lvl w:ilvl="8" w:tplc="C0EEFE30">
      <w:numFmt w:val="bullet"/>
      <w:lvlText w:val="•"/>
      <w:lvlJc w:val="left"/>
      <w:pPr>
        <w:ind w:left="9368" w:hanging="512"/>
      </w:pPr>
      <w:rPr>
        <w:rFonts w:hint="default"/>
        <w:lang w:val="en-US" w:eastAsia="en-US" w:bidi="ar-SA"/>
      </w:rPr>
    </w:lvl>
  </w:abstractNum>
  <w:abstractNum w:abstractNumId="42" w15:restartNumberingAfterBreak="0">
    <w:nsid w:val="16416A79"/>
    <w:multiLevelType w:val="multilevel"/>
    <w:tmpl w:val="6A72F1E8"/>
    <w:lvl w:ilvl="0">
      <w:start w:val="6"/>
      <w:numFmt w:val="decimal"/>
      <w:lvlText w:val="%1"/>
      <w:lvlJc w:val="left"/>
      <w:pPr>
        <w:ind w:left="1426" w:hanging="577"/>
      </w:pPr>
      <w:rPr>
        <w:rFonts w:hint="default"/>
        <w:lang w:val="en-US" w:eastAsia="en-US" w:bidi="ar-SA"/>
      </w:rPr>
    </w:lvl>
    <w:lvl w:ilvl="1">
      <w:numFmt w:val="decimal"/>
      <w:lvlText w:val="%1.%2"/>
      <w:lvlJc w:val="left"/>
      <w:pPr>
        <w:ind w:left="1426" w:hanging="577"/>
      </w:pPr>
      <w:rPr>
        <w:rFonts w:ascii="Times New Roman" w:eastAsia="Times New Roman" w:hAnsi="Times New Roman" w:cs="Times New Roman" w:hint="default"/>
        <w:b/>
        <w:bCs/>
        <w:i w:val="0"/>
        <w:iCs w:val="0"/>
        <w:color w:val="221F1F"/>
        <w:spacing w:val="-27"/>
        <w:w w:val="100"/>
        <w:sz w:val="22"/>
        <w:szCs w:val="22"/>
        <w:lang w:val="en-US" w:eastAsia="en-US" w:bidi="ar-SA"/>
      </w:rPr>
    </w:lvl>
    <w:lvl w:ilvl="2">
      <w:numFmt w:val="bullet"/>
      <w:lvlText w:val="•"/>
      <w:lvlJc w:val="left"/>
      <w:pPr>
        <w:ind w:left="3518" w:hanging="577"/>
      </w:pPr>
      <w:rPr>
        <w:rFonts w:hint="default"/>
        <w:lang w:val="en-US" w:eastAsia="en-US" w:bidi="ar-SA"/>
      </w:rPr>
    </w:lvl>
    <w:lvl w:ilvl="3">
      <w:numFmt w:val="bullet"/>
      <w:lvlText w:val="•"/>
      <w:lvlJc w:val="left"/>
      <w:pPr>
        <w:ind w:left="4567" w:hanging="577"/>
      </w:pPr>
      <w:rPr>
        <w:rFonts w:hint="default"/>
        <w:lang w:val="en-US" w:eastAsia="en-US" w:bidi="ar-SA"/>
      </w:rPr>
    </w:lvl>
    <w:lvl w:ilvl="4">
      <w:numFmt w:val="bullet"/>
      <w:lvlText w:val="•"/>
      <w:lvlJc w:val="left"/>
      <w:pPr>
        <w:ind w:left="5616" w:hanging="577"/>
      </w:pPr>
      <w:rPr>
        <w:rFonts w:hint="default"/>
        <w:lang w:val="en-US" w:eastAsia="en-US" w:bidi="ar-SA"/>
      </w:rPr>
    </w:lvl>
    <w:lvl w:ilvl="5">
      <w:numFmt w:val="bullet"/>
      <w:lvlText w:val="•"/>
      <w:lvlJc w:val="left"/>
      <w:pPr>
        <w:ind w:left="6665" w:hanging="577"/>
      </w:pPr>
      <w:rPr>
        <w:rFonts w:hint="default"/>
        <w:lang w:val="en-US" w:eastAsia="en-US" w:bidi="ar-SA"/>
      </w:rPr>
    </w:lvl>
    <w:lvl w:ilvl="6">
      <w:numFmt w:val="bullet"/>
      <w:lvlText w:val="•"/>
      <w:lvlJc w:val="left"/>
      <w:pPr>
        <w:ind w:left="7714" w:hanging="577"/>
      </w:pPr>
      <w:rPr>
        <w:rFonts w:hint="default"/>
        <w:lang w:val="en-US" w:eastAsia="en-US" w:bidi="ar-SA"/>
      </w:rPr>
    </w:lvl>
    <w:lvl w:ilvl="7">
      <w:numFmt w:val="bullet"/>
      <w:lvlText w:val="•"/>
      <w:lvlJc w:val="left"/>
      <w:pPr>
        <w:ind w:left="8763" w:hanging="577"/>
      </w:pPr>
      <w:rPr>
        <w:rFonts w:hint="default"/>
        <w:lang w:val="en-US" w:eastAsia="en-US" w:bidi="ar-SA"/>
      </w:rPr>
    </w:lvl>
    <w:lvl w:ilvl="8">
      <w:numFmt w:val="bullet"/>
      <w:lvlText w:val="•"/>
      <w:lvlJc w:val="left"/>
      <w:pPr>
        <w:ind w:left="9812" w:hanging="577"/>
      </w:pPr>
      <w:rPr>
        <w:rFonts w:hint="default"/>
        <w:lang w:val="en-US" w:eastAsia="en-US" w:bidi="ar-SA"/>
      </w:rPr>
    </w:lvl>
  </w:abstractNum>
  <w:abstractNum w:abstractNumId="43" w15:restartNumberingAfterBreak="0">
    <w:nsid w:val="17FB24A8"/>
    <w:multiLevelType w:val="hybridMultilevel"/>
    <w:tmpl w:val="E3524994"/>
    <w:lvl w:ilvl="0" w:tplc="2A6E0D50">
      <w:start w:val="1"/>
      <w:numFmt w:val="lowerLetter"/>
      <w:lvlText w:val="%1)"/>
      <w:lvlJc w:val="left"/>
      <w:pPr>
        <w:ind w:left="1875"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1EABEA6">
      <w:numFmt w:val="bullet"/>
      <w:lvlText w:val="•"/>
      <w:lvlJc w:val="left"/>
      <w:pPr>
        <w:ind w:left="2840" w:hanging="444"/>
      </w:pPr>
      <w:rPr>
        <w:rFonts w:hint="default"/>
        <w:lang w:val="en-US" w:eastAsia="en-US" w:bidi="ar-SA"/>
      </w:rPr>
    </w:lvl>
    <w:lvl w:ilvl="2" w:tplc="9D068EA0">
      <w:numFmt w:val="bullet"/>
      <w:lvlText w:val="•"/>
      <w:lvlJc w:val="left"/>
      <w:pPr>
        <w:ind w:left="3801" w:hanging="444"/>
      </w:pPr>
      <w:rPr>
        <w:rFonts w:hint="default"/>
        <w:lang w:val="en-US" w:eastAsia="en-US" w:bidi="ar-SA"/>
      </w:rPr>
    </w:lvl>
    <w:lvl w:ilvl="3" w:tplc="FA8EAECC">
      <w:numFmt w:val="bullet"/>
      <w:lvlText w:val="•"/>
      <w:lvlJc w:val="left"/>
      <w:pPr>
        <w:ind w:left="4762" w:hanging="444"/>
      </w:pPr>
      <w:rPr>
        <w:rFonts w:hint="default"/>
        <w:lang w:val="en-US" w:eastAsia="en-US" w:bidi="ar-SA"/>
      </w:rPr>
    </w:lvl>
    <w:lvl w:ilvl="4" w:tplc="4B7062E2">
      <w:numFmt w:val="bullet"/>
      <w:lvlText w:val="•"/>
      <w:lvlJc w:val="left"/>
      <w:pPr>
        <w:ind w:left="5722" w:hanging="444"/>
      </w:pPr>
      <w:rPr>
        <w:rFonts w:hint="default"/>
        <w:lang w:val="en-US" w:eastAsia="en-US" w:bidi="ar-SA"/>
      </w:rPr>
    </w:lvl>
    <w:lvl w:ilvl="5" w:tplc="130E7E8E">
      <w:numFmt w:val="bullet"/>
      <w:lvlText w:val="•"/>
      <w:lvlJc w:val="left"/>
      <w:pPr>
        <w:ind w:left="6683" w:hanging="444"/>
      </w:pPr>
      <w:rPr>
        <w:rFonts w:hint="default"/>
        <w:lang w:val="en-US" w:eastAsia="en-US" w:bidi="ar-SA"/>
      </w:rPr>
    </w:lvl>
    <w:lvl w:ilvl="6" w:tplc="85C414DA">
      <w:numFmt w:val="bullet"/>
      <w:lvlText w:val="•"/>
      <w:lvlJc w:val="left"/>
      <w:pPr>
        <w:ind w:left="7644" w:hanging="444"/>
      </w:pPr>
      <w:rPr>
        <w:rFonts w:hint="default"/>
        <w:lang w:val="en-US" w:eastAsia="en-US" w:bidi="ar-SA"/>
      </w:rPr>
    </w:lvl>
    <w:lvl w:ilvl="7" w:tplc="531E3A20">
      <w:numFmt w:val="bullet"/>
      <w:lvlText w:val="•"/>
      <w:lvlJc w:val="left"/>
      <w:pPr>
        <w:ind w:left="8605" w:hanging="444"/>
      </w:pPr>
      <w:rPr>
        <w:rFonts w:hint="default"/>
        <w:lang w:val="en-US" w:eastAsia="en-US" w:bidi="ar-SA"/>
      </w:rPr>
    </w:lvl>
    <w:lvl w:ilvl="8" w:tplc="4FCA48F6">
      <w:numFmt w:val="bullet"/>
      <w:lvlText w:val="•"/>
      <w:lvlJc w:val="left"/>
      <w:pPr>
        <w:ind w:left="9565" w:hanging="444"/>
      </w:pPr>
      <w:rPr>
        <w:rFonts w:hint="default"/>
        <w:lang w:val="en-US" w:eastAsia="en-US" w:bidi="ar-SA"/>
      </w:rPr>
    </w:lvl>
  </w:abstractNum>
  <w:abstractNum w:abstractNumId="44" w15:restartNumberingAfterBreak="0">
    <w:nsid w:val="18BD52D9"/>
    <w:multiLevelType w:val="hybridMultilevel"/>
    <w:tmpl w:val="1742AC34"/>
    <w:lvl w:ilvl="0" w:tplc="F99693D6">
      <w:numFmt w:val="bullet"/>
      <w:lvlText w:val=""/>
      <w:lvlJc w:val="left"/>
      <w:pPr>
        <w:ind w:left="196" w:hanging="198"/>
      </w:pPr>
      <w:rPr>
        <w:rFonts w:ascii="Wingdings" w:eastAsia="Wingdings" w:hAnsi="Wingdings" w:cs="Wingdings" w:hint="default"/>
        <w:b w:val="0"/>
        <w:bCs w:val="0"/>
        <w:i w:val="0"/>
        <w:iCs w:val="0"/>
        <w:spacing w:val="0"/>
        <w:w w:val="100"/>
        <w:sz w:val="20"/>
        <w:szCs w:val="20"/>
        <w:lang w:val="en-US" w:eastAsia="en-US" w:bidi="ar-SA"/>
      </w:rPr>
    </w:lvl>
    <w:lvl w:ilvl="1" w:tplc="EEDC22D8">
      <w:numFmt w:val="bullet"/>
      <w:lvlText w:val="•"/>
      <w:lvlJc w:val="left"/>
      <w:pPr>
        <w:ind w:left="282" w:hanging="198"/>
      </w:pPr>
      <w:rPr>
        <w:rFonts w:hint="default"/>
        <w:lang w:val="en-US" w:eastAsia="en-US" w:bidi="ar-SA"/>
      </w:rPr>
    </w:lvl>
    <w:lvl w:ilvl="2" w:tplc="116CD542">
      <w:numFmt w:val="bullet"/>
      <w:lvlText w:val="•"/>
      <w:lvlJc w:val="left"/>
      <w:pPr>
        <w:ind w:left="364" w:hanging="198"/>
      </w:pPr>
      <w:rPr>
        <w:rFonts w:hint="default"/>
        <w:lang w:val="en-US" w:eastAsia="en-US" w:bidi="ar-SA"/>
      </w:rPr>
    </w:lvl>
    <w:lvl w:ilvl="3" w:tplc="E9B6B0EA">
      <w:numFmt w:val="bullet"/>
      <w:lvlText w:val="•"/>
      <w:lvlJc w:val="left"/>
      <w:pPr>
        <w:ind w:left="446" w:hanging="198"/>
      </w:pPr>
      <w:rPr>
        <w:rFonts w:hint="default"/>
        <w:lang w:val="en-US" w:eastAsia="en-US" w:bidi="ar-SA"/>
      </w:rPr>
    </w:lvl>
    <w:lvl w:ilvl="4" w:tplc="9BA6D808">
      <w:numFmt w:val="bullet"/>
      <w:lvlText w:val="•"/>
      <w:lvlJc w:val="left"/>
      <w:pPr>
        <w:ind w:left="528" w:hanging="198"/>
      </w:pPr>
      <w:rPr>
        <w:rFonts w:hint="default"/>
        <w:lang w:val="en-US" w:eastAsia="en-US" w:bidi="ar-SA"/>
      </w:rPr>
    </w:lvl>
    <w:lvl w:ilvl="5" w:tplc="637628AE">
      <w:numFmt w:val="bullet"/>
      <w:lvlText w:val="•"/>
      <w:lvlJc w:val="left"/>
      <w:pPr>
        <w:ind w:left="610" w:hanging="198"/>
      </w:pPr>
      <w:rPr>
        <w:rFonts w:hint="default"/>
        <w:lang w:val="en-US" w:eastAsia="en-US" w:bidi="ar-SA"/>
      </w:rPr>
    </w:lvl>
    <w:lvl w:ilvl="6" w:tplc="F530B5D8">
      <w:numFmt w:val="bullet"/>
      <w:lvlText w:val="•"/>
      <w:lvlJc w:val="left"/>
      <w:pPr>
        <w:ind w:left="692" w:hanging="198"/>
      </w:pPr>
      <w:rPr>
        <w:rFonts w:hint="default"/>
        <w:lang w:val="en-US" w:eastAsia="en-US" w:bidi="ar-SA"/>
      </w:rPr>
    </w:lvl>
    <w:lvl w:ilvl="7" w:tplc="C6FADB3A">
      <w:numFmt w:val="bullet"/>
      <w:lvlText w:val="•"/>
      <w:lvlJc w:val="left"/>
      <w:pPr>
        <w:ind w:left="774" w:hanging="198"/>
      </w:pPr>
      <w:rPr>
        <w:rFonts w:hint="default"/>
        <w:lang w:val="en-US" w:eastAsia="en-US" w:bidi="ar-SA"/>
      </w:rPr>
    </w:lvl>
    <w:lvl w:ilvl="8" w:tplc="F24E58D4">
      <w:numFmt w:val="bullet"/>
      <w:lvlText w:val="•"/>
      <w:lvlJc w:val="left"/>
      <w:pPr>
        <w:ind w:left="856" w:hanging="198"/>
      </w:pPr>
      <w:rPr>
        <w:rFonts w:hint="default"/>
        <w:lang w:val="en-US" w:eastAsia="en-US" w:bidi="ar-SA"/>
      </w:rPr>
    </w:lvl>
  </w:abstractNum>
  <w:abstractNum w:abstractNumId="45" w15:restartNumberingAfterBreak="0">
    <w:nsid w:val="18CC01CD"/>
    <w:multiLevelType w:val="multilevel"/>
    <w:tmpl w:val="F07A131C"/>
    <w:lvl w:ilvl="0">
      <w:start w:val="5"/>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46" w15:restartNumberingAfterBreak="0">
    <w:nsid w:val="19115358"/>
    <w:multiLevelType w:val="hybridMultilevel"/>
    <w:tmpl w:val="61347FBA"/>
    <w:lvl w:ilvl="0" w:tplc="8C24E738">
      <w:start w:val="1"/>
      <w:numFmt w:val="decimal"/>
      <w:lvlText w:val="%1."/>
      <w:lvlJc w:val="left"/>
      <w:pPr>
        <w:ind w:left="1078" w:hanging="363"/>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F36890B8">
      <w:start w:val="1"/>
      <w:numFmt w:val="lowerLetter"/>
      <w:lvlText w:val="%2)"/>
      <w:lvlJc w:val="left"/>
      <w:pPr>
        <w:ind w:left="1486" w:hanging="41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6778D578">
      <w:numFmt w:val="bullet"/>
      <w:lvlText w:val="•"/>
      <w:lvlJc w:val="left"/>
      <w:pPr>
        <w:ind w:left="2591" w:hanging="413"/>
      </w:pPr>
      <w:rPr>
        <w:rFonts w:hint="default"/>
        <w:lang w:val="en-US" w:eastAsia="en-US" w:bidi="ar-SA"/>
      </w:rPr>
    </w:lvl>
    <w:lvl w:ilvl="3" w:tplc="FAC6078A">
      <w:numFmt w:val="bullet"/>
      <w:lvlText w:val="•"/>
      <w:lvlJc w:val="left"/>
      <w:pPr>
        <w:ind w:left="3703" w:hanging="413"/>
      </w:pPr>
      <w:rPr>
        <w:rFonts w:hint="default"/>
        <w:lang w:val="en-US" w:eastAsia="en-US" w:bidi="ar-SA"/>
      </w:rPr>
    </w:lvl>
    <w:lvl w:ilvl="4" w:tplc="AAA89738">
      <w:numFmt w:val="bullet"/>
      <w:lvlText w:val="•"/>
      <w:lvlJc w:val="left"/>
      <w:pPr>
        <w:ind w:left="4815" w:hanging="413"/>
      </w:pPr>
      <w:rPr>
        <w:rFonts w:hint="default"/>
        <w:lang w:val="en-US" w:eastAsia="en-US" w:bidi="ar-SA"/>
      </w:rPr>
    </w:lvl>
    <w:lvl w:ilvl="5" w:tplc="A5786B6A">
      <w:numFmt w:val="bullet"/>
      <w:lvlText w:val="•"/>
      <w:lvlJc w:val="left"/>
      <w:pPr>
        <w:ind w:left="5927" w:hanging="413"/>
      </w:pPr>
      <w:rPr>
        <w:rFonts w:hint="default"/>
        <w:lang w:val="en-US" w:eastAsia="en-US" w:bidi="ar-SA"/>
      </w:rPr>
    </w:lvl>
    <w:lvl w:ilvl="6" w:tplc="208E6A94">
      <w:numFmt w:val="bullet"/>
      <w:lvlText w:val="•"/>
      <w:lvlJc w:val="left"/>
      <w:pPr>
        <w:ind w:left="7039" w:hanging="413"/>
      </w:pPr>
      <w:rPr>
        <w:rFonts w:hint="default"/>
        <w:lang w:val="en-US" w:eastAsia="en-US" w:bidi="ar-SA"/>
      </w:rPr>
    </w:lvl>
    <w:lvl w:ilvl="7" w:tplc="2E1C3A6A">
      <w:numFmt w:val="bullet"/>
      <w:lvlText w:val="•"/>
      <w:lvlJc w:val="left"/>
      <w:pPr>
        <w:ind w:left="8151" w:hanging="413"/>
      </w:pPr>
      <w:rPr>
        <w:rFonts w:hint="default"/>
        <w:lang w:val="en-US" w:eastAsia="en-US" w:bidi="ar-SA"/>
      </w:rPr>
    </w:lvl>
    <w:lvl w:ilvl="8" w:tplc="4D36A0CE">
      <w:numFmt w:val="bullet"/>
      <w:lvlText w:val="•"/>
      <w:lvlJc w:val="left"/>
      <w:pPr>
        <w:ind w:left="9263" w:hanging="413"/>
      </w:pPr>
      <w:rPr>
        <w:rFonts w:hint="default"/>
        <w:lang w:val="en-US" w:eastAsia="en-US" w:bidi="ar-SA"/>
      </w:rPr>
    </w:lvl>
  </w:abstractNum>
  <w:abstractNum w:abstractNumId="47" w15:restartNumberingAfterBreak="0">
    <w:nsid w:val="196B5BBF"/>
    <w:multiLevelType w:val="hybridMultilevel"/>
    <w:tmpl w:val="E06C24DA"/>
    <w:lvl w:ilvl="0" w:tplc="40D69C8A">
      <w:start w:val="1"/>
      <w:numFmt w:val="decimal"/>
      <w:lvlText w:val="%1.0"/>
      <w:lvlJc w:val="left"/>
      <w:pPr>
        <w:ind w:left="1615"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CD47548">
      <w:numFmt w:val="bullet"/>
      <w:lvlText w:val="•"/>
      <w:lvlJc w:val="left"/>
      <w:pPr>
        <w:ind w:left="2649" w:hanging="769"/>
      </w:pPr>
      <w:rPr>
        <w:rFonts w:hint="default"/>
        <w:lang w:val="en-US" w:eastAsia="en-US" w:bidi="ar-SA"/>
      </w:rPr>
    </w:lvl>
    <w:lvl w:ilvl="2" w:tplc="CE7CDF92">
      <w:numFmt w:val="bullet"/>
      <w:lvlText w:val="•"/>
      <w:lvlJc w:val="left"/>
      <w:pPr>
        <w:ind w:left="3678" w:hanging="769"/>
      </w:pPr>
      <w:rPr>
        <w:rFonts w:hint="default"/>
        <w:lang w:val="en-US" w:eastAsia="en-US" w:bidi="ar-SA"/>
      </w:rPr>
    </w:lvl>
    <w:lvl w:ilvl="3" w:tplc="9FFE7E4C">
      <w:numFmt w:val="bullet"/>
      <w:lvlText w:val="•"/>
      <w:lvlJc w:val="left"/>
      <w:pPr>
        <w:ind w:left="4707" w:hanging="769"/>
      </w:pPr>
      <w:rPr>
        <w:rFonts w:hint="default"/>
        <w:lang w:val="en-US" w:eastAsia="en-US" w:bidi="ar-SA"/>
      </w:rPr>
    </w:lvl>
    <w:lvl w:ilvl="4" w:tplc="BFFE18B0">
      <w:numFmt w:val="bullet"/>
      <w:lvlText w:val="•"/>
      <w:lvlJc w:val="left"/>
      <w:pPr>
        <w:ind w:left="5736" w:hanging="769"/>
      </w:pPr>
      <w:rPr>
        <w:rFonts w:hint="default"/>
        <w:lang w:val="en-US" w:eastAsia="en-US" w:bidi="ar-SA"/>
      </w:rPr>
    </w:lvl>
    <w:lvl w:ilvl="5" w:tplc="8CC03582">
      <w:numFmt w:val="bullet"/>
      <w:lvlText w:val="•"/>
      <w:lvlJc w:val="left"/>
      <w:pPr>
        <w:ind w:left="6765" w:hanging="769"/>
      </w:pPr>
      <w:rPr>
        <w:rFonts w:hint="default"/>
        <w:lang w:val="en-US" w:eastAsia="en-US" w:bidi="ar-SA"/>
      </w:rPr>
    </w:lvl>
    <w:lvl w:ilvl="6" w:tplc="1DCC5CF4">
      <w:numFmt w:val="bullet"/>
      <w:lvlText w:val="•"/>
      <w:lvlJc w:val="left"/>
      <w:pPr>
        <w:ind w:left="7794" w:hanging="769"/>
      </w:pPr>
      <w:rPr>
        <w:rFonts w:hint="default"/>
        <w:lang w:val="en-US" w:eastAsia="en-US" w:bidi="ar-SA"/>
      </w:rPr>
    </w:lvl>
    <w:lvl w:ilvl="7" w:tplc="9560F170">
      <w:numFmt w:val="bullet"/>
      <w:lvlText w:val="•"/>
      <w:lvlJc w:val="left"/>
      <w:pPr>
        <w:ind w:left="8823" w:hanging="769"/>
      </w:pPr>
      <w:rPr>
        <w:rFonts w:hint="default"/>
        <w:lang w:val="en-US" w:eastAsia="en-US" w:bidi="ar-SA"/>
      </w:rPr>
    </w:lvl>
    <w:lvl w:ilvl="8" w:tplc="15D295BC">
      <w:numFmt w:val="bullet"/>
      <w:lvlText w:val="•"/>
      <w:lvlJc w:val="left"/>
      <w:pPr>
        <w:ind w:left="9852" w:hanging="769"/>
      </w:pPr>
      <w:rPr>
        <w:rFonts w:hint="default"/>
        <w:lang w:val="en-US" w:eastAsia="en-US" w:bidi="ar-SA"/>
      </w:rPr>
    </w:lvl>
  </w:abstractNum>
  <w:abstractNum w:abstractNumId="48" w15:restartNumberingAfterBreak="0">
    <w:nsid w:val="19A47040"/>
    <w:multiLevelType w:val="hybridMultilevel"/>
    <w:tmpl w:val="1A1C1554"/>
    <w:lvl w:ilvl="0" w:tplc="953208F6">
      <w:start w:val="1"/>
      <w:numFmt w:val="lowerLetter"/>
      <w:lvlText w:val="(%1)"/>
      <w:lvlJc w:val="left"/>
      <w:pPr>
        <w:ind w:left="1940" w:hanging="66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30453FE">
      <w:numFmt w:val="bullet"/>
      <w:lvlText w:val="•"/>
      <w:lvlJc w:val="left"/>
      <w:pPr>
        <w:ind w:left="2894" w:hanging="660"/>
      </w:pPr>
      <w:rPr>
        <w:rFonts w:hint="default"/>
        <w:lang w:val="en-US" w:eastAsia="en-US" w:bidi="ar-SA"/>
      </w:rPr>
    </w:lvl>
    <w:lvl w:ilvl="2" w:tplc="BDF63BE8">
      <w:numFmt w:val="bullet"/>
      <w:lvlText w:val="•"/>
      <w:lvlJc w:val="left"/>
      <w:pPr>
        <w:ind w:left="3849" w:hanging="660"/>
      </w:pPr>
      <w:rPr>
        <w:rFonts w:hint="default"/>
        <w:lang w:val="en-US" w:eastAsia="en-US" w:bidi="ar-SA"/>
      </w:rPr>
    </w:lvl>
    <w:lvl w:ilvl="3" w:tplc="B482876A">
      <w:numFmt w:val="bullet"/>
      <w:lvlText w:val="•"/>
      <w:lvlJc w:val="left"/>
      <w:pPr>
        <w:ind w:left="4804" w:hanging="660"/>
      </w:pPr>
      <w:rPr>
        <w:rFonts w:hint="default"/>
        <w:lang w:val="en-US" w:eastAsia="en-US" w:bidi="ar-SA"/>
      </w:rPr>
    </w:lvl>
    <w:lvl w:ilvl="4" w:tplc="96B64BD6">
      <w:numFmt w:val="bullet"/>
      <w:lvlText w:val="•"/>
      <w:lvlJc w:val="left"/>
      <w:pPr>
        <w:ind w:left="5758" w:hanging="660"/>
      </w:pPr>
      <w:rPr>
        <w:rFonts w:hint="default"/>
        <w:lang w:val="en-US" w:eastAsia="en-US" w:bidi="ar-SA"/>
      </w:rPr>
    </w:lvl>
    <w:lvl w:ilvl="5" w:tplc="D85E4EC8">
      <w:numFmt w:val="bullet"/>
      <w:lvlText w:val="•"/>
      <w:lvlJc w:val="left"/>
      <w:pPr>
        <w:ind w:left="6713" w:hanging="660"/>
      </w:pPr>
      <w:rPr>
        <w:rFonts w:hint="default"/>
        <w:lang w:val="en-US" w:eastAsia="en-US" w:bidi="ar-SA"/>
      </w:rPr>
    </w:lvl>
    <w:lvl w:ilvl="6" w:tplc="C6C2858C">
      <w:numFmt w:val="bullet"/>
      <w:lvlText w:val="•"/>
      <w:lvlJc w:val="left"/>
      <w:pPr>
        <w:ind w:left="7668" w:hanging="660"/>
      </w:pPr>
      <w:rPr>
        <w:rFonts w:hint="default"/>
        <w:lang w:val="en-US" w:eastAsia="en-US" w:bidi="ar-SA"/>
      </w:rPr>
    </w:lvl>
    <w:lvl w:ilvl="7" w:tplc="EBAA6EB2">
      <w:numFmt w:val="bullet"/>
      <w:lvlText w:val="•"/>
      <w:lvlJc w:val="left"/>
      <w:pPr>
        <w:ind w:left="8623" w:hanging="660"/>
      </w:pPr>
      <w:rPr>
        <w:rFonts w:hint="default"/>
        <w:lang w:val="en-US" w:eastAsia="en-US" w:bidi="ar-SA"/>
      </w:rPr>
    </w:lvl>
    <w:lvl w:ilvl="8" w:tplc="37EA8082">
      <w:numFmt w:val="bullet"/>
      <w:lvlText w:val="•"/>
      <w:lvlJc w:val="left"/>
      <w:pPr>
        <w:ind w:left="9577" w:hanging="660"/>
      </w:pPr>
      <w:rPr>
        <w:rFonts w:hint="default"/>
        <w:lang w:val="en-US" w:eastAsia="en-US" w:bidi="ar-SA"/>
      </w:rPr>
    </w:lvl>
  </w:abstractNum>
  <w:abstractNum w:abstractNumId="49" w15:restartNumberingAfterBreak="0">
    <w:nsid w:val="1A085175"/>
    <w:multiLevelType w:val="hybridMultilevel"/>
    <w:tmpl w:val="587CFF38"/>
    <w:lvl w:ilvl="0" w:tplc="A95A9506">
      <w:start w:val="1"/>
      <w:numFmt w:val="lowerLetter"/>
      <w:lvlText w:val="%1)"/>
      <w:lvlJc w:val="left"/>
      <w:pPr>
        <w:ind w:left="1880"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1920FEA">
      <w:numFmt w:val="bullet"/>
      <w:lvlText w:val="•"/>
      <w:lvlJc w:val="left"/>
      <w:pPr>
        <w:ind w:left="2840" w:hanging="447"/>
      </w:pPr>
      <w:rPr>
        <w:rFonts w:hint="default"/>
        <w:lang w:val="en-US" w:eastAsia="en-US" w:bidi="ar-SA"/>
      </w:rPr>
    </w:lvl>
    <w:lvl w:ilvl="2" w:tplc="08586E9E">
      <w:numFmt w:val="bullet"/>
      <w:lvlText w:val="•"/>
      <w:lvlJc w:val="left"/>
      <w:pPr>
        <w:ind w:left="3801" w:hanging="447"/>
      </w:pPr>
      <w:rPr>
        <w:rFonts w:hint="default"/>
        <w:lang w:val="en-US" w:eastAsia="en-US" w:bidi="ar-SA"/>
      </w:rPr>
    </w:lvl>
    <w:lvl w:ilvl="3" w:tplc="4406F456">
      <w:numFmt w:val="bullet"/>
      <w:lvlText w:val="•"/>
      <w:lvlJc w:val="left"/>
      <w:pPr>
        <w:ind w:left="4762" w:hanging="447"/>
      </w:pPr>
      <w:rPr>
        <w:rFonts w:hint="default"/>
        <w:lang w:val="en-US" w:eastAsia="en-US" w:bidi="ar-SA"/>
      </w:rPr>
    </w:lvl>
    <w:lvl w:ilvl="4" w:tplc="1BC0F2CA">
      <w:numFmt w:val="bullet"/>
      <w:lvlText w:val="•"/>
      <w:lvlJc w:val="left"/>
      <w:pPr>
        <w:ind w:left="5722" w:hanging="447"/>
      </w:pPr>
      <w:rPr>
        <w:rFonts w:hint="default"/>
        <w:lang w:val="en-US" w:eastAsia="en-US" w:bidi="ar-SA"/>
      </w:rPr>
    </w:lvl>
    <w:lvl w:ilvl="5" w:tplc="F8346790">
      <w:numFmt w:val="bullet"/>
      <w:lvlText w:val="•"/>
      <w:lvlJc w:val="left"/>
      <w:pPr>
        <w:ind w:left="6683" w:hanging="447"/>
      </w:pPr>
      <w:rPr>
        <w:rFonts w:hint="default"/>
        <w:lang w:val="en-US" w:eastAsia="en-US" w:bidi="ar-SA"/>
      </w:rPr>
    </w:lvl>
    <w:lvl w:ilvl="6" w:tplc="9784519A">
      <w:numFmt w:val="bullet"/>
      <w:lvlText w:val="•"/>
      <w:lvlJc w:val="left"/>
      <w:pPr>
        <w:ind w:left="7644" w:hanging="447"/>
      </w:pPr>
      <w:rPr>
        <w:rFonts w:hint="default"/>
        <w:lang w:val="en-US" w:eastAsia="en-US" w:bidi="ar-SA"/>
      </w:rPr>
    </w:lvl>
    <w:lvl w:ilvl="7" w:tplc="E36066E2">
      <w:numFmt w:val="bullet"/>
      <w:lvlText w:val="•"/>
      <w:lvlJc w:val="left"/>
      <w:pPr>
        <w:ind w:left="8605" w:hanging="447"/>
      </w:pPr>
      <w:rPr>
        <w:rFonts w:hint="default"/>
        <w:lang w:val="en-US" w:eastAsia="en-US" w:bidi="ar-SA"/>
      </w:rPr>
    </w:lvl>
    <w:lvl w:ilvl="8" w:tplc="77627512">
      <w:numFmt w:val="bullet"/>
      <w:lvlText w:val="•"/>
      <w:lvlJc w:val="left"/>
      <w:pPr>
        <w:ind w:left="9565" w:hanging="447"/>
      </w:pPr>
      <w:rPr>
        <w:rFonts w:hint="default"/>
        <w:lang w:val="en-US" w:eastAsia="en-US" w:bidi="ar-SA"/>
      </w:rPr>
    </w:lvl>
  </w:abstractNum>
  <w:abstractNum w:abstractNumId="50" w15:restartNumberingAfterBreak="0">
    <w:nsid w:val="1A950D07"/>
    <w:multiLevelType w:val="hybridMultilevel"/>
    <w:tmpl w:val="0A4C6F2A"/>
    <w:lvl w:ilvl="0" w:tplc="31A87206">
      <w:start w:val="1"/>
      <w:numFmt w:val="decimal"/>
      <w:lvlText w:val="(%1)"/>
      <w:lvlJc w:val="left"/>
      <w:pPr>
        <w:ind w:left="107" w:hanging="994"/>
      </w:pPr>
      <w:rPr>
        <w:rFonts w:ascii="Times New Roman" w:eastAsia="Times New Roman" w:hAnsi="Times New Roman" w:cs="Times New Roman" w:hint="default"/>
        <w:b w:val="0"/>
        <w:bCs w:val="0"/>
        <w:i w:val="0"/>
        <w:iCs w:val="0"/>
        <w:spacing w:val="0"/>
        <w:w w:val="100"/>
        <w:sz w:val="22"/>
        <w:szCs w:val="22"/>
        <w:lang w:val="en-US" w:eastAsia="en-US" w:bidi="ar-SA"/>
      </w:rPr>
    </w:lvl>
    <w:lvl w:ilvl="1" w:tplc="B9A444B8">
      <w:numFmt w:val="bullet"/>
      <w:lvlText w:val="•"/>
      <w:lvlJc w:val="left"/>
      <w:pPr>
        <w:ind w:left="976" w:hanging="994"/>
      </w:pPr>
      <w:rPr>
        <w:rFonts w:hint="default"/>
        <w:lang w:val="en-US" w:eastAsia="en-US" w:bidi="ar-SA"/>
      </w:rPr>
    </w:lvl>
    <w:lvl w:ilvl="2" w:tplc="A0EC2754">
      <w:numFmt w:val="bullet"/>
      <w:lvlText w:val="•"/>
      <w:lvlJc w:val="left"/>
      <w:pPr>
        <w:ind w:left="1853" w:hanging="994"/>
      </w:pPr>
      <w:rPr>
        <w:rFonts w:hint="default"/>
        <w:lang w:val="en-US" w:eastAsia="en-US" w:bidi="ar-SA"/>
      </w:rPr>
    </w:lvl>
    <w:lvl w:ilvl="3" w:tplc="2BE203A0">
      <w:numFmt w:val="bullet"/>
      <w:lvlText w:val="•"/>
      <w:lvlJc w:val="left"/>
      <w:pPr>
        <w:ind w:left="2730" w:hanging="994"/>
      </w:pPr>
      <w:rPr>
        <w:rFonts w:hint="default"/>
        <w:lang w:val="en-US" w:eastAsia="en-US" w:bidi="ar-SA"/>
      </w:rPr>
    </w:lvl>
    <w:lvl w:ilvl="4" w:tplc="6F1E5A0E">
      <w:numFmt w:val="bullet"/>
      <w:lvlText w:val="•"/>
      <w:lvlJc w:val="left"/>
      <w:pPr>
        <w:ind w:left="3607" w:hanging="994"/>
      </w:pPr>
      <w:rPr>
        <w:rFonts w:hint="default"/>
        <w:lang w:val="en-US" w:eastAsia="en-US" w:bidi="ar-SA"/>
      </w:rPr>
    </w:lvl>
    <w:lvl w:ilvl="5" w:tplc="5E00A7BE">
      <w:numFmt w:val="bullet"/>
      <w:lvlText w:val="•"/>
      <w:lvlJc w:val="left"/>
      <w:pPr>
        <w:ind w:left="4484" w:hanging="994"/>
      </w:pPr>
      <w:rPr>
        <w:rFonts w:hint="default"/>
        <w:lang w:val="en-US" w:eastAsia="en-US" w:bidi="ar-SA"/>
      </w:rPr>
    </w:lvl>
    <w:lvl w:ilvl="6" w:tplc="9A52E1AA">
      <w:numFmt w:val="bullet"/>
      <w:lvlText w:val="•"/>
      <w:lvlJc w:val="left"/>
      <w:pPr>
        <w:ind w:left="5360" w:hanging="994"/>
      </w:pPr>
      <w:rPr>
        <w:rFonts w:hint="default"/>
        <w:lang w:val="en-US" w:eastAsia="en-US" w:bidi="ar-SA"/>
      </w:rPr>
    </w:lvl>
    <w:lvl w:ilvl="7" w:tplc="C0DAF090">
      <w:numFmt w:val="bullet"/>
      <w:lvlText w:val="•"/>
      <w:lvlJc w:val="left"/>
      <w:pPr>
        <w:ind w:left="6237" w:hanging="994"/>
      </w:pPr>
      <w:rPr>
        <w:rFonts w:hint="default"/>
        <w:lang w:val="en-US" w:eastAsia="en-US" w:bidi="ar-SA"/>
      </w:rPr>
    </w:lvl>
    <w:lvl w:ilvl="8" w:tplc="8C809724">
      <w:numFmt w:val="bullet"/>
      <w:lvlText w:val="•"/>
      <w:lvlJc w:val="left"/>
      <w:pPr>
        <w:ind w:left="7114" w:hanging="994"/>
      </w:pPr>
      <w:rPr>
        <w:rFonts w:hint="default"/>
        <w:lang w:val="en-US" w:eastAsia="en-US" w:bidi="ar-SA"/>
      </w:rPr>
    </w:lvl>
  </w:abstractNum>
  <w:abstractNum w:abstractNumId="51" w15:restartNumberingAfterBreak="0">
    <w:nsid w:val="1BA076C7"/>
    <w:multiLevelType w:val="hybridMultilevel"/>
    <w:tmpl w:val="F97C9C40"/>
    <w:lvl w:ilvl="0" w:tplc="D7B00F92">
      <w:start w:val="1"/>
      <w:numFmt w:val="lowerLetter"/>
      <w:lvlText w:val="%1)"/>
      <w:lvlJc w:val="left"/>
      <w:pPr>
        <w:ind w:left="1873"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1423CD4">
      <w:numFmt w:val="bullet"/>
      <w:lvlText w:val="•"/>
      <w:lvlJc w:val="left"/>
      <w:pPr>
        <w:ind w:left="2840" w:hanging="500"/>
      </w:pPr>
      <w:rPr>
        <w:rFonts w:hint="default"/>
        <w:lang w:val="en-US" w:eastAsia="en-US" w:bidi="ar-SA"/>
      </w:rPr>
    </w:lvl>
    <w:lvl w:ilvl="2" w:tplc="1A24407C">
      <w:numFmt w:val="bullet"/>
      <w:lvlText w:val="•"/>
      <w:lvlJc w:val="left"/>
      <w:pPr>
        <w:ind w:left="3801" w:hanging="500"/>
      </w:pPr>
      <w:rPr>
        <w:rFonts w:hint="default"/>
        <w:lang w:val="en-US" w:eastAsia="en-US" w:bidi="ar-SA"/>
      </w:rPr>
    </w:lvl>
    <w:lvl w:ilvl="3" w:tplc="35D6CF22">
      <w:numFmt w:val="bullet"/>
      <w:lvlText w:val="•"/>
      <w:lvlJc w:val="left"/>
      <w:pPr>
        <w:ind w:left="4762" w:hanging="500"/>
      </w:pPr>
      <w:rPr>
        <w:rFonts w:hint="default"/>
        <w:lang w:val="en-US" w:eastAsia="en-US" w:bidi="ar-SA"/>
      </w:rPr>
    </w:lvl>
    <w:lvl w:ilvl="4" w:tplc="DCFC50F6">
      <w:numFmt w:val="bullet"/>
      <w:lvlText w:val="•"/>
      <w:lvlJc w:val="left"/>
      <w:pPr>
        <w:ind w:left="5722" w:hanging="500"/>
      </w:pPr>
      <w:rPr>
        <w:rFonts w:hint="default"/>
        <w:lang w:val="en-US" w:eastAsia="en-US" w:bidi="ar-SA"/>
      </w:rPr>
    </w:lvl>
    <w:lvl w:ilvl="5" w:tplc="7E945D02">
      <w:numFmt w:val="bullet"/>
      <w:lvlText w:val="•"/>
      <w:lvlJc w:val="left"/>
      <w:pPr>
        <w:ind w:left="6683" w:hanging="500"/>
      </w:pPr>
      <w:rPr>
        <w:rFonts w:hint="default"/>
        <w:lang w:val="en-US" w:eastAsia="en-US" w:bidi="ar-SA"/>
      </w:rPr>
    </w:lvl>
    <w:lvl w:ilvl="6" w:tplc="6AE66354">
      <w:numFmt w:val="bullet"/>
      <w:lvlText w:val="•"/>
      <w:lvlJc w:val="left"/>
      <w:pPr>
        <w:ind w:left="7644" w:hanging="500"/>
      </w:pPr>
      <w:rPr>
        <w:rFonts w:hint="default"/>
        <w:lang w:val="en-US" w:eastAsia="en-US" w:bidi="ar-SA"/>
      </w:rPr>
    </w:lvl>
    <w:lvl w:ilvl="7" w:tplc="E39C5D2E">
      <w:numFmt w:val="bullet"/>
      <w:lvlText w:val="•"/>
      <w:lvlJc w:val="left"/>
      <w:pPr>
        <w:ind w:left="8605" w:hanging="500"/>
      </w:pPr>
      <w:rPr>
        <w:rFonts w:hint="default"/>
        <w:lang w:val="en-US" w:eastAsia="en-US" w:bidi="ar-SA"/>
      </w:rPr>
    </w:lvl>
    <w:lvl w:ilvl="8" w:tplc="26FE4AE6">
      <w:numFmt w:val="bullet"/>
      <w:lvlText w:val="•"/>
      <w:lvlJc w:val="left"/>
      <w:pPr>
        <w:ind w:left="9565" w:hanging="500"/>
      </w:pPr>
      <w:rPr>
        <w:rFonts w:hint="default"/>
        <w:lang w:val="en-US" w:eastAsia="en-US" w:bidi="ar-SA"/>
      </w:rPr>
    </w:lvl>
  </w:abstractNum>
  <w:abstractNum w:abstractNumId="52" w15:restartNumberingAfterBreak="0">
    <w:nsid w:val="1DD822A2"/>
    <w:multiLevelType w:val="hybridMultilevel"/>
    <w:tmpl w:val="C8FCE516"/>
    <w:lvl w:ilvl="0" w:tplc="1EC26064">
      <w:start w:val="2"/>
      <w:numFmt w:val="decimal"/>
      <w:lvlText w:val="%1)"/>
      <w:lvlJc w:val="left"/>
      <w:pPr>
        <w:ind w:left="1322" w:hanging="481"/>
      </w:pPr>
      <w:rPr>
        <w:rFonts w:hint="default"/>
        <w:spacing w:val="0"/>
        <w:w w:val="100"/>
        <w:lang w:val="en-US" w:eastAsia="en-US" w:bidi="ar-SA"/>
      </w:rPr>
    </w:lvl>
    <w:lvl w:ilvl="1" w:tplc="33189D4E">
      <w:numFmt w:val="bullet"/>
      <w:lvlText w:val="•"/>
      <w:lvlJc w:val="left"/>
      <w:pPr>
        <w:ind w:left="2379" w:hanging="481"/>
      </w:pPr>
      <w:rPr>
        <w:rFonts w:hint="default"/>
        <w:lang w:val="en-US" w:eastAsia="en-US" w:bidi="ar-SA"/>
      </w:rPr>
    </w:lvl>
    <w:lvl w:ilvl="2" w:tplc="4ED22002">
      <w:numFmt w:val="bullet"/>
      <w:lvlText w:val="•"/>
      <w:lvlJc w:val="left"/>
      <w:pPr>
        <w:ind w:left="3438" w:hanging="481"/>
      </w:pPr>
      <w:rPr>
        <w:rFonts w:hint="default"/>
        <w:lang w:val="en-US" w:eastAsia="en-US" w:bidi="ar-SA"/>
      </w:rPr>
    </w:lvl>
    <w:lvl w:ilvl="3" w:tplc="57BE72B6">
      <w:numFmt w:val="bullet"/>
      <w:lvlText w:val="•"/>
      <w:lvlJc w:val="left"/>
      <w:pPr>
        <w:ind w:left="4497" w:hanging="481"/>
      </w:pPr>
      <w:rPr>
        <w:rFonts w:hint="default"/>
        <w:lang w:val="en-US" w:eastAsia="en-US" w:bidi="ar-SA"/>
      </w:rPr>
    </w:lvl>
    <w:lvl w:ilvl="4" w:tplc="18BE74FA">
      <w:numFmt w:val="bullet"/>
      <w:lvlText w:val="•"/>
      <w:lvlJc w:val="left"/>
      <w:pPr>
        <w:ind w:left="5556" w:hanging="481"/>
      </w:pPr>
      <w:rPr>
        <w:rFonts w:hint="default"/>
        <w:lang w:val="en-US" w:eastAsia="en-US" w:bidi="ar-SA"/>
      </w:rPr>
    </w:lvl>
    <w:lvl w:ilvl="5" w:tplc="2A427BCC">
      <w:numFmt w:val="bullet"/>
      <w:lvlText w:val="•"/>
      <w:lvlJc w:val="left"/>
      <w:pPr>
        <w:ind w:left="6615" w:hanging="481"/>
      </w:pPr>
      <w:rPr>
        <w:rFonts w:hint="default"/>
        <w:lang w:val="en-US" w:eastAsia="en-US" w:bidi="ar-SA"/>
      </w:rPr>
    </w:lvl>
    <w:lvl w:ilvl="6" w:tplc="B21C851A">
      <w:numFmt w:val="bullet"/>
      <w:lvlText w:val="•"/>
      <w:lvlJc w:val="left"/>
      <w:pPr>
        <w:ind w:left="7674" w:hanging="481"/>
      </w:pPr>
      <w:rPr>
        <w:rFonts w:hint="default"/>
        <w:lang w:val="en-US" w:eastAsia="en-US" w:bidi="ar-SA"/>
      </w:rPr>
    </w:lvl>
    <w:lvl w:ilvl="7" w:tplc="C2EC8030">
      <w:numFmt w:val="bullet"/>
      <w:lvlText w:val="•"/>
      <w:lvlJc w:val="left"/>
      <w:pPr>
        <w:ind w:left="8733" w:hanging="481"/>
      </w:pPr>
      <w:rPr>
        <w:rFonts w:hint="default"/>
        <w:lang w:val="en-US" w:eastAsia="en-US" w:bidi="ar-SA"/>
      </w:rPr>
    </w:lvl>
    <w:lvl w:ilvl="8" w:tplc="1298ADBC">
      <w:numFmt w:val="bullet"/>
      <w:lvlText w:val="•"/>
      <w:lvlJc w:val="left"/>
      <w:pPr>
        <w:ind w:left="9792" w:hanging="481"/>
      </w:pPr>
      <w:rPr>
        <w:rFonts w:hint="default"/>
        <w:lang w:val="en-US" w:eastAsia="en-US" w:bidi="ar-SA"/>
      </w:rPr>
    </w:lvl>
  </w:abstractNum>
  <w:abstractNum w:abstractNumId="53" w15:restartNumberingAfterBreak="0">
    <w:nsid w:val="1E235C14"/>
    <w:multiLevelType w:val="hybridMultilevel"/>
    <w:tmpl w:val="6688D1BA"/>
    <w:lvl w:ilvl="0" w:tplc="5FE0A15E">
      <w:start w:val="1"/>
      <w:numFmt w:val="decimal"/>
      <w:lvlText w:val="%1."/>
      <w:lvlJc w:val="left"/>
      <w:pPr>
        <w:ind w:left="1129" w:hanging="421"/>
      </w:pPr>
      <w:rPr>
        <w:rFonts w:ascii="Times New Roman" w:eastAsia="Times New Roman" w:hAnsi="Times New Roman" w:cs="Times New Roman" w:hint="default"/>
        <w:b w:val="0"/>
        <w:bCs w:val="0"/>
        <w:i w:val="0"/>
        <w:iCs w:val="0"/>
        <w:color w:val="221F1F"/>
        <w:spacing w:val="-26"/>
        <w:w w:val="97"/>
        <w:sz w:val="22"/>
        <w:szCs w:val="22"/>
        <w:lang w:val="en-US" w:eastAsia="en-US" w:bidi="ar-SA"/>
      </w:rPr>
    </w:lvl>
    <w:lvl w:ilvl="1" w:tplc="0EFC5E38">
      <w:start w:val="1"/>
      <w:numFmt w:val="lowerLetter"/>
      <w:lvlText w:val="%2)"/>
      <w:lvlJc w:val="left"/>
      <w:pPr>
        <w:ind w:left="1673" w:hanging="54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F8EABF96">
      <w:numFmt w:val="bullet"/>
      <w:lvlText w:val="•"/>
      <w:lvlJc w:val="left"/>
      <w:pPr>
        <w:ind w:left="2769" w:hanging="548"/>
      </w:pPr>
      <w:rPr>
        <w:rFonts w:hint="default"/>
        <w:lang w:val="en-US" w:eastAsia="en-US" w:bidi="ar-SA"/>
      </w:rPr>
    </w:lvl>
    <w:lvl w:ilvl="3" w:tplc="52C255C8">
      <w:numFmt w:val="bullet"/>
      <w:lvlText w:val="•"/>
      <w:lvlJc w:val="left"/>
      <w:pPr>
        <w:ind w:left="3859" w:hanging="548"/>
      </w:pPr>
      <w:rPr>
        <w:rFonts w:hint="default"/>
        <w:lang w:val="en-US" w:eastAsia="en-US" w:bidi="ar-SA"/>
      </w:rPr>
    </w:lvl>
    <w:lvl w:ilvl="4" w:tplc="5704C0B6">
      <w:numFmt w:val="bullet"/>
      <w:lvlText w:val="•"/>
      <w:lvlJc w:val="left"/>
      <w:pPr>
        <w:ind w:left="4949" w:hanging="548"/>
      </w:pPr>
      <w:rPr>
        <w:rFonts w:hint="default"/>
        <w:lang w:val="en-US" w:eastAsia="en-US" w:bidi="ar-SA"/>
      </w:rPr>
    </w:lvl>
    <w:lvl w:ilvl="5" w:tplc="923EEC88">
      <w:numFmt w:val="bullet"/>
      <w:lvlText w:val="•"/>
      <w:lvlJc w:val="left"/>
      <w:pPr>
        <w:ind w:left="6038" w:hanging="548"/>
      </w:pPr>
      <w:rPr>
        <w:rFonts w:hint="default"/>
        <w:lang w:val="en-US" w:eastAsia="en-US" w:bidi="ar-SA"/>
      </w:rPr>
    </w:lvl>
    <w:lvl w:ilvl="6" w:tplc="C4BABE16">
      <w:numFmt w:val="bullet"/>
      <w:lvlText w:val="•"/>
      <w:lvlJc w:val="left"/>
      <w:pPr>
        <w:ind w:left="7128" w:hanging="548"/>
      </w:pPr>
      <w:rPr>
        <w:rFonts w:hint="default"/>
        <w:lang w:val="en-US" w:eastAsia="en-US" w:bidi="ar-SA"/>
      </w:rPr>
    </w:lvl>
    <w:lvl w:ilvl="7" w:tplc="0462A73C">
      <w:numFmt w:val="bullet"/>
      <w:lvlText w:val="•"/>
      <w:lvlJc w:val="left"/>
      <w:pPr>
        <w:ind w:left="8218" w:hanging="548"/>
      </w:pPr>
      <w:rPr>
        <w:rFonts w:hint="default"/>
        <w:lang w:val="en-US" w:eastAsia="en-US" w:bidi="ar-SA"/>
      </w:rPr>
    </w:lvl>
    <w:lvl w:ilvl="8" w:tplc="22BCD420">
      <w:numFmt w:val="bullet"/>
      <w:lvlText w:val="•"/>
      <w:lvlJc w:val="left"/>
      <w:pPr>
        <w:ind w:left="9307" w:hanging="548"/>
      </w:pPr>
      <w:rPr>
        <w:rFonts w:hint="default"/>
        <w:lang w:val="en-US" w:eastAsia="en-US" w:bidi="ar-SA"/>
      </w:rPr>
    </w:lvl>
  </w:abstractNum>
  <w:abstractNum w:abstractNumId="54" w15:restartNumberingAfterBreak="0">
    <w:nsid w:val="1E346A2C"/>
    <w:multiLevelType w:val="hybridMultilevel"/>
    <w:tmpl w:val="D8967724"/>
    <w:lvl w:ilvl="0" w:tplc="42D0B2F0">
      <w:numFmt w:val="bullet"/>
      <w:lvlText w:val=""/>
      <w:lvlJc w:val="left"/>
      <w:pPr>
        <w:ind w:left="197" w:hanging="198"/>
      </w:pPr>
      <w:rPr>
        <w:rFonts w:ascii="Wingdings" w:eastAsia="Wingdings" w:hAnsi="Wingdings" w:cs="Wingdings" w:hint="default"/>
        <w:b w:val="0"/>
        <w:bCs w:val="0"/>
        <w:i w:val="0"/>
        <w:iCs w:val="0"/>
        <w:spacing w:val="0"/>
        <w:w w:val="100"/>
        <w:sz w:val="20"/>
        <w:szCs w:val="20"/>
        <w:lang w:val="en-US" w:eastAsia="en-US" w:bidi="ar-SA"/>
      </w:rPr>
    </w:lvl>
    <w:lvl w:ilvl="1" w:tplc="5886A1AC">
      <w:numFmt w:val="bullet"/>
      <w:lvlText w:val="•"/>
      <w:lvlJc w:val="left"/>
      <w:pPr>
        <w:ind w:left="374" w:hanging="198"/>
      </w:pPr>
      <w:rPr>
        <w:rFonts w:hint="default"/>
        <w:lang w:val="en-US" w:eastAsia="en-US" w:bidi="ar-SA"/>
      </w:rPr>
    </w:lvl>
    <w:lvl w:ilvl="2" w:tplc="B8008C44">
      <w:numFmt w:val="bullet"/>
      <w:lvlText w:val="•"/>
      <w:lvlJc w:val="left"/>
      <w:pPr>
        <w:ind w:left="548" w:hanging="198"/>
      </w:pPr>
      <w:rPr>
        <w:rFonts w:hint="default"/>
        <w:lang w:val="en-US" w:eastAsia="en-US" w:bidi="ar-SA"/>
      </w:rPr>
    </w:lvl>
    <w:lvl w:ilvl="3" w:tplc="A6629F0E">
      <w:numFmt w:val="bullet"/>
      <w:lvlText w:val="•"/>
      <w:lvlJc w:val="left"/>
      <w:pPr>
        <w:ind w:left="722" w:hanging="198"/>
      </w:pPr>
      <w:rPr>
        <w:rFonts w:hint="default"/>
        <w:lang w:val="en-US" w:eastAsia="en-US" w:bidi="ar-SA"/>
      </w:rPr>
    </w:lvl>
    <w:lvl w:ilvl="4" w:tplc="581EFAB6">
      <w:numFmt w:val="bullet"/>
      <w:lvlText w:val="•"/>
      <w:lvlJc w:val="left"/>
      <w:pPr>
        <w:ind w:left="896" w:hanging="198"/>
      </w:pPr>
      <w:rPr>
        <w:rFonts w:hint="default"/>
        <w:lang w:val="en-US" w:eastAsia="en-US" w:bidi="ar-SA"/>
      </w:rPr>
    </w:lvl>
    <w:lvl w:ilvl="5" w:tplc="BFCC87D6">
      <w:numFmt w:val="bullet"/>
      <w:lvlText w:val="•"/>
      <w:lvlJc w:val="left"/>
      <w:pPr>
        <w:ind w:left="1070" w:hanging="198"/>
      </w:pPr>
      <w:rPr>
        <w:rFonts w:hint="default"/>
        <w:lang w:val="en-US" w:eastAsia="en-US" w:bidi="ar-SA"/>
      </w:rPr>
    </w:lvl>
    <w:lvl w:ilvl="6" w:tplc="8D1CF99E">
      <w:numFmt w:val="bullet"/>
      <w:lvlText w:val="•"/>
      <w:lvlJc w:val="left"/>
      <w:pPr>
        <w:ind w:left="1244" w:hanging="198"/>
      </w:pPr>
      <w:rPr>
        <w:rFonts w:hint="default"/>
        <w:lang w:val="en-US" w:eastAsia="en-US" w:bidi="ar-SA"/>
      </w:rPr>
    </w:lvl>
    <w:lvl w:ilvl="7" w:tplc="A75040BA">
      <w:numFmt w:val="bullet"/>
      <w:lvlText w:val="•"/>
      <w:lvlJc w:val="left"/>
      <w:pPr>
        <w:ind w:left="1418" w:hanging="198"/>
      </w:pPr>
      <w:rPr>
        <w:rFonts w:hint="default"/>
        <w:lang w:val="en-US" w:eastAsia="en-US" w:bidi="ar-SA"/>
      </w:rPr>
    </w:lvl>
    <w:lvl w:ilvl="8" w:tplc="B03A1DAA">
      <w:numFmt w:val="bullet"/>
      <w:lvlText w:val="•"/>
      <w:lvlJc w:val="left"/>
      <w:pPr>
        <w:ind w:left="1592" w:hanging="198"/>
      </w:pPr>
      <w:rPr>
        <w:rFonts w:hint="default"/>
        <w:lang w:val="en-US" w:eastAsia="en-US" w:bidi="ar-SA"/>
      </w:rPr>
    </w:lvl>
  </w:abstractNum>
  <w:abstractNum w:abstractNumId="55" w15:restartNumberingAfterBreak="0">
    <w:nsid w:val="1E874EC7"/>
    <w:multiLevelType w:val="hybridMultilevel"/>
    <w:tmpl w:val="D520BBEC"/>
    <w:lvl w:ilvl="0" w:tplc="CEA67044">
      <w:start w:val="1"/>
      <w:numFmt w:val="lowerLetter"/>
      <w:lvlText w:val="%1)"/>
      <w:lvlJc w:val="left"/>
      <w:pPr>
        <w:ind w:left="187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D80C00E">
      <w:numFmt w:val="bullet"/>
      <w:lvlText w:val="•"/>
      <w:lvlJc w:val="left"/>
      <w:pPr>
        <w:ind w:left="2840" w:hanging="495"/>
      </w:pPr>
      <w:rPr>
        <w:rFonts w:hint="default"/>
        <w:lang w:val="en-US" w:eastAsia="en-US" w:bidi="ar-SA"/>
      </w:rPr>
    </w:lvl>
    <w:lvl w:ilvl="2" w:tplc="8862923E">
      <w:numFmt w:val="bullet"/>
      <w:lvlText w:val="•"/>
      <w:lvlJc w:val="left"/>
      <w:pPr>
        <w:ind w:left="3801" w:hanging="495"/>
      </w:pPr>
      <w:rPr>
        <w:rFonts w:hint="default"/>
        <w:lang w:val="en-US" w:eastAsia="en-US" w:bidi="ar-SA"/>
      </w:rPr>
    </w:lvl>
    <w:lvl w:ilvl="3" w:tplc="F0B2A544">
      <w:numFmt w:val="bullet"/>
      <w:lvlText w:val="•"/>
      <w:lvlJc w:val="left"/>
      <w:pPr>
        <w:ind w:left="4762" w:hanging="495"/>
      </w:pPr>
      <w:rPr>
        <w:rFonts w:hint="default"/>
        <w:lang w:val="en-US" w:eastAsia="en-US" w:bidi="ar-SA"/>
      </w:rPr>
    </w:lvl>
    <w:lvl w:ilvl="4" w:tplc="CFBC0C64">
      <w:numFmt w:val="bullet"/>
      <w:lvlText w:val="•"/>
      <w:lvlJc w:val="left"/>
      <w:pPr>
        <w:ind w:left="5722" w:hanging="495"/>
      </w:pPr>
      <w:rPr>
        <w:rFonts w:hint="default"/>
        <w:lang w:val="en-US" w:eastAsia="en-US" w:bidi="ar-SA"/>
      </w:rPr>
    </w:lvl>
    <w:lvl w:ilvl="5" w:tplc="9C62F49A">
      <w:numFmt w:val="bullet"/>
      <w:lvlText w:val="•"/>
      <w:lvlJc w:val="left"/>
      <w:pPr>
        <w:ind w:left="6683" w:hanging="495"/>
      </w:pPr>
      <w:rPr>
        <w:rFonts w:hint="default"/>
        <w:lang w:val="en-US" w:eastAsia="en-US" w:bidi="ar-SA"/>
      </w:rPr>
    </w:lvl>
    <w:lvl w:ilvl="6" w:tplc="61EAD154">
      <w:numFmt w:val="bullet"/>
      <w:lvlText w:val="•"/>
      <w:lvlJc w:val="left"/>
      <w:pPr>
        <w:ind w:left="7644" w:hanging="495"/>
      </w:pPr>
      <w:rPr>
        <w:rFonts w:hint="default"/>
        <w:lang w:val="en-US" w:eastAsia="en-US" w:bidi="ar-SA"/>
      </w:rPr>
    </w:lvl>
    <w:lvl w:ilvl="7" w:tplc="1108DBB6">
      <w:numFmt w:val="bullet"/>
      <w:lvlText w:val="•"/>
      <w:lvlJc w:val="left"/>
      <w:pPr>
        <w:ind w:left="8605" w:hanging="495"/>
      </w:pPr>
      <w:rPr>
        <w:rFonts w:hint="default"/>
        <w:lang w:val="en-US" w:eastAsia="en-US" w:bidi="ar-SA"/>
      </w:rPr>
    </w:lvl>
    <w:lvl w:ilvl="8" w:tplc="7EEA7ACE">
      <w:numFmt w:val="bullet"/>
      <w:lvlText w:val="•"/>
      <w:lvlJc w:val="left"/>
      <w:pPr>
        <w:ind w:left="9565" w:hanging="495"/>
      </w:pPr>
      <w:rPr>
        <w:rFonts w:hint="default"/>
        <w:lang w:val="en-US" w:eastAsia="en-US" w:bidi="ar-SA"/>
      </w:rPr>
    </w:lvl>
  </w:abstractNum>
  <w:abstractNum w:abstractNumId="56" w15:restartNumberingAfterBreak="0">
    <w:nsid w:val="20E659C9"/>
    <w:multiLevelType w:val="hybridMultilevel"/>
    <w:tmpl w:val="962C8038"/>
    <w:lvl w:ilvl="0" w:tplc="83C6C01E">
      <w:start w:val="1"/>
      <w:numFmt w:val="lowerLetter"/>
      <w:lvlText w:val="%1)"/>
      <w:lvlJc w:val="left"/>
      <w:pPr>
        <w:ind w:left="1877"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33C5944">
      <w:numFmt w:val="bullet"/>
      <w:lvlText w:val="•"/>
      <w:lvlJc w:val="left"/>
      <w:pPr>
        <w:ind w:left="2840" w:hanging="495"/>
      </w:pPr>
      <w:rPr>
        <w:rFonts w:hint="default"/>
        <w:lang w:val="en-US" w:eastAsia="en-US" w:bidi="ar-SA"/>
      </w:rPr>
    </w:lvl>
    <w:lvl w:ilvl="2" w:tplc="D7404B0A">
      <w:numFmt w:val="bullet"/>
      <w:lvlText w:val="•"/>
      <w:lvlJc w:val="left"/>
      <w:pPr>
        <w:ind w:left="3801" w:hanging="495"/>
      </w:pPr>
      <w:rPr>
        <w:rFonts w:hint="default"/>
        <w:lang w:val="en-US" w:eastAsia="en-US" w:bidi="ar-SA"/>
      </w:rPr>
    </w:lvl>
    <w:lvl w:ilvl="3" w:tplc="0F4C45B0">
      <w:numFmt w:val="bullet"/>
      <w:lvlText w:val="•"/>
      <w:lvlJc w:val="left"/>
      <w:pPr>
        <w:ind w:left="4762" w:hanging="495"/>
      </w:pPr>
      <w:rPr>
        <w:rFonts w:hint="default"/>
        <w:lang w:val="en-US" w:eastAsia="en-US" w:bidi="ar-SA"/>
      </w:rPr>
    </w:lvl>
    <w:lvl w:ilvl="4" w:tplc="EFAEAF98">
      <w:numFmt w:val="bullet"/>
      <w:lvlText w:val="•"/>
      <w:lvlJc w:val="left"/>
      <w:pPr>
        <w:ind w:left="5722" w:hanging="495"/>
      </w:pPr>
      <w:rPr>
        <w:rFonts w:hint="default"/>
        <w:lang w:val="en-US" w:eastAsia="en-US" w:bidi="ar-SA"/>
      </w:rPr>
    </w:lvl>
    <w:lvl w:ilvl="5" w:tplc="C97C2F22">
      <w:numFmt w:val="bullet"/>
      <w:lvlText w:val="•"/>
      <w:lvlJc w:val="left"/>
      <w:pPr>
        <w:ind w:left="6683" w:hanging="495"/>
      </w:pPr>
      <w:rPr>
        <w:rFonts w:hint="default"/>
        <w:lang w:val="en-US" w:eastAsia="en-US" w:bidi="ar-SA"/>
      </w:rPr>
    </w:lvl>
    <w:lvl w:ilvl="6" w:tplc="A410A9C2">
      <w:numFmt w:val="bullet"/>
      <w:lvlText w:val="•"/>
      <w:lvlJc w:val="left"/>
      <w:pPr>
        <w:ind w:left="7644" w:hanging="495"/>
      </w:pPr>
      <w:rPr>
        <w:rFonts w:hint="default"/>
        <w:lang w:val="en-US" w:eastAsia="en-US" w:bidi="ar-SA"/>
      </w:rPr>
    </w:lvl>
    <w:lvl w:ilvl="7" w:tplc="10389BFE">
      <w:numFmt w:val="bullet"/>
      <w:lvlText w:val="•"/>
      <w:lvlJc w:val="left"/>
      <w:pPr>
        <w:ind w:left="8605" w:hanging="495"/>
      </w:pPr>
      <w:rPr>
        <w:rFonts w:hint="default"/>
        <w:lang w:val="en-US" w:eastAsia="en-US" w:bidi="ar-SA"/>
      </w:rPr>
    </w:lvl>
    <w:lvl w:ilvl="8" w:tplc="E85469BA">
      <w:numFmt w:val="bullet"/>
      <w:lvlText w:val="•"/>
      <w:lvlJc w:val="left"/>
      <w:pPr>
        <w:ind w:left="9565" w:hanging="495"/>
      </w:pPr>
      <w:rPr>
        <w:rFonts w:hint="default"/>
        <w:lang w:val="en-US" w:eastAsia="en-US" w:bidi="ar-SA"/>
      </w:rPr>
    </w:lvl>
  </w:abstractNum>
  <w:abstractNum w:abstractNumId="57" w15:restartNumberingAfterBreak="0">
    <w:nsid w:val="21B37A39"/>
    <w:multiLevelType w:val="hybridMultilevel"/>
    <w:tmpl w:val="850ECB88"/>
    <w:lvl w:ilvl="0" w:tplc="A238EE3C">
      <w:start w:val="1"/>
      <w:numFmt w:val="decimal"/>
      <w:lvlText w:val="%1."/>
      <w:lvlJc w:val="left"/>
      <w:pPr>
        <w:ind w:left="1280" w:hanging="721"/>
      </w:pPr>
      <w:rPr>
        <w:rFonts w:hint="default"/>
        <w:spacing w:val="-3"/>
        <w:w w:val="100"/>
        <w:lang w:val="en-US" w:eastAsia="en-US" w:bidi="ar-SA"/>
      </w:rPr>
    </w:lvl>
    <w:lvl w:ilvl="1" w:tplc="1392469C">
      <w:numFmt w:val="bullet"/>
      <w:lvlText w:val="•"/>
      <w:lvlJc w:val="left"/>
      <w:pPr>
        <w:ind w:left="2300" w:hanging="721"/>
      </w:pPr>
      <w:rPr>
        <w:rFonts w:hint="default"/>
        <w:lang w:val="en-US" w:eastAsia="en-US" w:bidi="ar-SA"/>
      </w:rPr>
    </w:lvl>
    <w:lvl w:ilvl="2" w:tplc="54F0D5E0">
      <w:numFmt w:val="bullet"/>
      <w:lvlText w:val="•"/>
      <w:lvlJc w:val="left"/>
      <w:pPr>
        <w:ind w:left="3321" w:hanging="721"/>
      </w:pPr>
      <w:rPr>
        <w:rFonts w:hint="default"/>
        <w:lang w:val="en-US" w:eastAsia="en-US" w:bidi="ar-SA"/>
      </w:rPr>
    </w:lvl>
    <w:lvl w:ilvl="3" w:tplc="736A2020">
      <w:numFmt w:val="bullet"/>
      <w:lvlText w:val="•"/>
      <w:lvlJc w:val="left"/>
      <w:pPr>
        <w:ind w:left="4342" w:hanging="721"/>
      </w:pPr>
      <w:rPr>
        <w:rFonts w:hint="default"/>
        <w:lang w:val="en-US" w:eastAsia="en-US" w:bidi="ar-SA"/>
      </w:rPr>
    </w:lvl>
    <w:lvl w:ilvl="4" w:tplc="DE4817E4">
      <w:numFmt w:val="bullet"/>
      <w:lvlText w:val="•"/>
      <w:lvlJc w:val="left"/>
      <w:pPr>
        <w:ind w:left="5362" w:hanging="721"/>
      </w:pPr>
      <w:rPr>
        <w:rFonts w:hint="default"/>
        <w:lang w:val="en-US" w:eastAsia="en-US" w:bidi="ar-SA"/>
      </w:rPr>
    </w:lvl>
    <w:lvl w:ilvl="5" w:tplc="08062E70">
      <w:numFmt w:val="bullet"/>
      <w:lvlText w:val="•"/>
      <w:lvlJc w:val="left"/>
      <w:pPr>
        <w:ind w:left="6383" w:hanging="721"/>
      </w:pPr>
      <w:rPr>
        <w:rFonts w:hint="default"/>
        <w:lang w:val="en-US" w:eastAsia="en-US" w:bidi="ar-SA"/>
      </w:rPr>
    </w:lvl>
    <w:lvl w:ilvl="6" w:tplc="C5ACE4D4">
      <w:numFmt w:val="bullet"/>
      <w:lvlText w:val="•"/>
      <w:lvlJc w:val="left"/>
      <w:pPr>
        <w:ind w:left="7404" w:hanging="721"/>
      </w:pPr>
      <w:rPr>
        <w:rFonts w:hint="default"/>
        <w:lang w:val="en-US" w:eastAsia="en-US" w:bidi="ar-SA"/>
      </w:rPr>
    </w:lvl>
    <w:lvl w:ilvl="7" w:tplc="30E29EF6">
      <w:numFmt w:val="bullet"/>
      <w:lvlText w:val="•"/>
      <w:lvlJc w:val="left"/>
      <w:pPr>
        <w:ind w:left="8425" w:hanging="721"/>
      </w:pPr>
      <w:rPr>
        <w:rFonts w:hint="default"/>
        <w:lang w:val="en-US" w:eastAsia="en-US" w:bidi="ar-SA"/>
      </w:rPr>
    </w:lvl>
    <w:lvl w:ilvl="8" w:tplc="D222D874">
      <w:numFmt w:val="bullet"/>
      <w:lvlText w:val="•"/>
      <w:lvlJc w:val="left"/>
      <w:pPr>
        <w:ind w:left="9445" w:hanging="721"/>
      </w:pPr>
      <w:rPr>
        <w:rFonts w:hint="default"/>
        <w:lang w:val="en-US" w:eastAsia="en-US" w:bidi="ar-SA"/>
      </w:rPr>
    </w:lvl>
  </w:abstractNum>
  <w:abstractNum w:abstractNumId="58" w15:restartNumberingAfterBreak="0">
    <w:nsid w:val="21D0689F"/>
    <w:multiLevelType w:val="hybridMultilevel"/>
    <w:tmpl w:val="D91EDF8A"/>
    <w:lvl w:ilvl="0" w:tplc="4E56C558">
      <w:numFmt w:val="bullet"/>
      <w:lvlText w:val=""/>
      <w:lvlJc w:val="left"/>
      <w:pPr>
        <w:ind w:left="199" w:hanging="198"/>
      </w:pPr>
      <w:rPr>
        <w:rFonts w:ascii="Wingdings" w:eastAsia="Wingdings" w:hAnsi="Wingdings" w:cs="Wingdings" w:hint="default"/>
        <w:b w:val="0"/>
        <w:bCs w:val="0"/>
        <w:i w:val="0"/>
        <w:iCs w:val="0"/>
        <w:spacing w:val="0"/>
        <w:w w:val="100"/>
        <w:sz w:val="20"/>
        <w:szCs w:val="20"/>
        <w:lang w:val="en-US" w:eastAsia="en-US" w:bidi="ar-SA"/>
      </w:rPr>
    </w:lvl>
    <w:lvl w:ilvl="1" w:tplc="415A978E">
      <w:numFmt w:val="bullet"/>
      <w:lvlText w:val="•"/>
      <w:lvlJc w:val="left"/>
      <w:pPr>
        <w:ind w:left="332" w:hanging="198"/>
      </w:pPr>
      <w:rPr>
        <w:rFonts w:hint="default"/>
        <w:lang w:val="en-US" w:eastAsia="en-US" w:bidi="ar-SA"/>
      </w:rPr>
    </w:lvl>
    <w:lvl w:ilvl="2" w:tplc="877E5FB4">
      <w:numFmt w:val="bullet"/>
      <w:lvlText w:val="•"/>
      <w:lvlJc w:val="left"/>
      <w:pPr>
        <w:ind w:left="465" w:hanging="198"/>
      </w:pPr>
      <w:rPr>
        <w:rFonts w:hint="default"/>
        <w:lang w:val="en-US" w:eastAsia="en-US" w:bidi="ar-SA"/>
      </w:rPr>
    </w:lvl>
    <w:lvl w:ilvl="3" w:tplc="F9F26E0C">
      <w:numFmt w:val="bullet"/>
      <w:lvlText w:val="•"/>
      <w:lvlJc w:val="left"/>
      <w:pPr>
        <w:ind w:left="598" w:hanging="198"/>
      </w:pPr>
      <w:rPr>
        <w:rFonts w:hint="default"/>
        <w:lang w:val="en-US" w:eastAsia="en-US" w:bidi="ar-SA"/>
      </w:rPr>
    </w:lvl>
    <w:lvl w:ilvl="4" w:tplc="2C66B586">
      <w:numFmt w:val="bullet"/>
      <w:lvlText w:val="•"/>
      <w:lvlJc w:val="left"/>
      <w:pPr>
        <w:ind w:left="730" w:hanging="198"/>
      </w:pPr>
      <w:rPr>
        <w:rFonts w:hint="default"/>
        <w:lang w:val="en-US" w:eastAsia="en-US" w:bidi="ar-SA"/>
      </w:rPr>
    </w:lvl>
    <w:lvl w:ilvl="5" w:tplc="75DE6A3E">
      <w:numFmt w:val="bullet"/>
      <w:lvlText w:val="•"/>
      <w:lvlJc w:val="left"/>
      <w:pPr>
        <w:ind w:left="863" w:hanging="198"/>
      </w:pPr>
      <w:rPr>
        <w:rFonts w:hint="default"/>
        <w:lang w:val="en-US" w:eastAsia="en-US" w:bidi="ar-SA"/>
      </w:rPr>
    </w:lvl>
    <w:lvl w:ilvl="6" w:tplc="5600B61C">
      <w:numFmt w:val="bullet"/>
      <w:lvlText w:val="•"/>
      <w:lvlJc w:val="left"/>
      <w:pPr>
        <w:ind w:left="996" w:hanging="198"/>
      </w:pPr>
      <w:rPr>
        <w:rFonts w:hint="default"/>
        <w:lang w:val="en-US" w:eastAsia="en-US" w:bidi="ar-SA"/>
      </w:rPr>
    </w:lvl>
    <w:lvl w:ilvl="7" w:tplc="EA74EAC6">
      <w:numFmt w:val="bullet"/>
      <w:lvlText w:val="•"/>
      <w:lvlJc w:val="left"/>
      <w:pPr>
        <w:ind w:left="1128" w:hanging="198"/>
      </w:pPr>
      <w:rPr>
        <w:rFonts w:hint="default"/>
        <w:lang w:val="en-US" w:eastAsia="en-US" w:bidi="ar-SA"/>
      </w:rPr>
    </w:lvl>
    <w:lvl w:ilvl="8" w:tplc="3970DAAA">
      <w:numFmt w:val="bullet"/>
      <w:lvlText w:val="•"/>
      <w:lvlJc w:val="left"/>
      <w:pPr>
        <w:ind w:left="1261" w:hanging="198"/>
      </w:pPr>
      <w:rPr>
        <w:rFonts w:hint="default"/>
        <w:lang w:val="en-US" w:eastAsia="en-US" w:bidi="ar-SA"/>
      </w:rPr>
    </w:lvl>
  </w:abstractNum>
  <w:abstractNum w:abstractNumId="59" w15:restartNumberingAfterBreak="0">
    <w:nsid w:val="21E45ED2"/>
    <w:multiLevelType w:val="multilevel"/>
    <w:tmpl w:val="7FE4EEB2"/>
    <w:lvl w:ilvl="0">
      <w:start w:val="12"/>
      <w:numFmt w:val="decimal"/>
      <w:lvlText w:val="%1"/>
      <w:lvlJc w:val="left"/>
      <w:pPr>
        <w:ind w:left="1272" w:hanging="421"/>
      </w:pPr>
      <w:rPr>
        <w:rFonts w:hint="default"/>
        <w:lang w:val="en-US" w:eastAsia="en-US" w:bidi="ar-SA"/>
      </w:rPr>
    </w:lvl>
    <w:lvl w:ilvl="1">
      <w:numFmt w:val="decimal"/>
      <w:lvlText w:val="%1.%2"/>
      <w:lvlJc w:val="left"/>
      <w:pPr>
        <w:ind w:left="1272" w:hanging="421"/>
      </w:pPr>
      <w:rPr>
        <w:rFonts w:hint="default"/>
        <w:spacing w:val="0"/>
        <w:w w:val="100"/>
        <w:lang w:val="en-US" w:eastAsia="en-US" w:bidi="ar-SA"/>
      </w:rPr>
    </w:lvl>
    <w:lvl w:ilvl="2">
      <w:numFmt w:val="bullet"/>
      <w:lvlText w:val="•"/>
      <w:lvlJc w:val="left"/>
      <w:pPr>
        <w:ind w:left="3406" w:hanging="421"/>
      </w:pPr>
      <w:rPr>
        <w:rFonts w:hint="default"/>
        <w:lang w:val="en-US" w:eastAsia="en-US" w:bidi="ar-SA"/>
      </w:rPr>
    </w:lvl>
    <w:lvl w:ilvl="3">
      <w:numFmt w:val="bullet"/>
      <w:lvlText w:val="•"/>
      <w:lvlJc w:val="left"/>
      <w:pPr>
        <w:ind w:left="4469" w:hanging="421"/>
      </w:pPr>
      <w:rPr>
        <w:rFonts w:hint="default"/>
        <w:lang w:val="en-US" w:eastAsia="en-US" w:bidi="ar-SA"/>
      </w:rPr>
    </w:lvl>
    <w:lvl w:ilvl="4">
      <w:numFmt w:val="bullet"/>
      <w:lvlText w:val="•"/>
      <w:lvlJc w:val="left"/>
      <w:pPr>
        <w:ind w:left="5532" w:hanging="421"/>
      </w:pPr>
      <w:rPr>
        <w:rFonts w:hint="default"/>
        <w:lang w:val="en-US" w:eastAsia="en-US" w:bidi="ar-SA"/>
      </w:rPr>
    </w:lvl>
    <w:lvl w:ilvl="5">
      <w:numFmt w:val="bullet"/>
      <w:lvlText w:val="•"/>
      <w:lvlJc w:val="left"/>
      <w:pPr>
        <w:ind w:left="6595" w:hanging="421"/>
      </w:pPr>
      <w:rPr>
        <w:rFonts w:hint="default"/>
        <w:lang w:val="en-US" w:eastAsia="en-US" w:bidi="ar-SA"/>
      </w:rPr>
    </w:lvl>
    <w:lvl w:ilvl="6">
      <w:numFmt w:val="bullet"/>
      <w:lvlText w:val="•"/>
      <w:lvlJc w:val="left"/>
      <w:pPr>
        <w:ind w:left="7658" w:hanging="421"/>
      </w:pPr>
      <w:rPr>
        <w:rFonts w:hint="default"/>
        <w:lang w:val="en-US" w:eastAsia="en-US" w:bidi="ar-SA"/>
      </w:rPr>
    </w:lvl>
    <w:lvl w:ilvl="7">
      <w:numFmt w:val="bullet"/>
      <w:lvlText w:val="•"/>
      <w:lvlJc w:val="left"/>
      <w:pPr>
        <w:ind w:left="8721" w:hanging="421"/>
      </w:pPr>
      <w:rPr>
        <w:rFonts w:hint="default"/>
        <w:lang w:val="en-US" w:eastAsia="en-US" w:bidi="ar-SA"/>
      </w:rPr>
    </w:lvl>
    <w:lvl w:ilvl="8">
      <w:numFmt w:val="bullet"/>
      <w:lvlText w:val="•"/>
      <w:lvlJc w:val="left"/>
      <w:pPr>
        <w:ind w:left="9784" w:hanging="421"/>
      </w:pPr>
      <w:rPr>
        <w:rFonts w:hint="default"/>
        <w:lang w:val="en-US" w:eastAsia="en-US" w:bidi="ar-SA"/>
      </w:rPr>
    </w:lvl>
  </w:abstractNum>
  <w:abstractNum w:abstractNumId="60" w15:restartNumberingAfterBreak="0">
    <w:nsid w:val="220B40FB"/>
    <w:multiLevelType w:val="hybridMultilevel"/>
    <w:tmpl w:val="17F0AB88"/>
    <w:lvl w:ilvl="0" w:tplc="0A42D9EA">
      <w:start w:val="1"/>
      <w:numFmt w:val="lowerRoman"/>
      <w:lvlText w:val="%1)"/>
      <w:lvlJc w:val="left"/>
      <w:pPr>
        <w:ind w:left="559" w:hanging="452"/>
      </w:pPr>
      <w:rPr>
        <w:rFonts w:ascii="Times New Roman" w:eastAsia="Times New Roman" w:hAnsi="Times New Roman" w:cs="Times New Roman" w:hint="default"/>
        <w:b w:val="0"/>
        <w:bCs w:val="0"/>
        <w:i/>
        <w:iCs/>
        <w:color w:val="221F1F"/>
        <w:spacing w:val="0"/>
        <w:w w:val="100"/>
        <w:sz w:val="22"/>
        <w:szCs w:val="22"/>
        <w:lang w:val="en-US" w:eastAsia="en-US" w:bidi="ar-SA"/>
      </w:rPr>
    </w:lvl>
    <w:lvl w:ilvl="1" w:tplc="6A801856">
      <w:start w:val="1"/>
      <w:numFmt w:val="decimal"/>
      <w:lvlText w:val="%2."/>
      <w:lvlJc w:val="left"/>
      <w:pPr>
        <w:ind w:left="1133" w:hanging="486"/>
      </w:pPr>
      <w:rPr>
        <w:rFonts w:hint="default"/>
        <w:spacing w:val="-22"/>
        <w:w w:val="97"/>
        <w:lang w:val="en-US" w:eastAsia="en-US" w:bidi="ar-SA"/>
      </w:rPr>
    </w:lvl>
    <w:lvl w:ilvl="2" w:tplc="ECC01C5C">
      <w:start w:val="1"/>
      <w:numFmt w:val="lowerRoman"/>
      <w:lvlText w:val="%3)"/>
      <w:lvlJc w:val="left"/>
      <w:pPr>
        <w:ind w:left="1613" w:hanging="471"/>
      </w:pPr>
      <w:rPr>
        <w:rFonts w:hint="default"/>
        <w:spacing w:val="0"/>
        <w:w w:val="100"/>
        <w:lang w:val="en-US" w:eastAsia="en-US" w:bidi="ar-SA"/>
      </w:rPr>
    </w:lvl>
    <w:lvl w:ilvl="3" w:tplc="39BC6CD4">
      <w:numFmt w:val="bullet"/>
      <w:lvlText w:val="•"/>
      <w:lvlJc w:val="left"/>
      <w:pPr>
        <w:ind w:left="2853" w:hanging="471"/>
      </w:pPr>
      <w:rPr>
        <w:rFonts w:hint="default"/>
        <w:lang w:val="en-US" w:eastAsia="en-US" w:bidi="ar-SA"/>
      </w:rPr>
    </w:lvl>
    <w:lvl w:ilvl="4" w:tplc="9F1A492A">
      <w:numFmt w:val="bullet"/>
      <w:lvlText w:val="•"/>
      <w:lvlJc w:val="left"/>
      <w:pPr>
        <w:ind w:left="4086" w:hanging="471"/>
      </w:pPr>
      <w:rPr>
        <w:rFonts w:hint="default"/>
        <w:lang w:val="en-US" w:eastAsia="en-US" w:bidi="ar-SA"/>
      </w:rPr>
    </w:lvl>
    <w:lvl w:ilvl="5" w:tplc="63B44B50">
      <w:numFmt w:val="bullet"/>
      <w:lvlText w:val="•"/>
      <w:lvlJc w:val="left"/>
      <w:pPr>
        <w:ind w:left="5320" w:hanging="471"/>
      </w:pPr>
      <w:rPr>
        <w:rFonts w:hint="default"/>
        <w:lang w:val="en-US" w:eastAsia="en-US" w:bidi="ar-SA"/>
      </w:rPr>
    </w:lvl>
    <w:lvl w:ilvl="6" w:tplc="8C7016B2">
      <w:numFmt w:val="bullet"/>
      <w:lvlText w:val="•"/>
      <w:lvlJc w:val="left"/>
      <w:pPr>
        <w:ind w:left="6553" w:hanging="471"/>
      </w:pPr>
      <w:rPr>
        <w:rFonts w:hint="default"/>
        <w:lang w:val="en-US" w:eastAsia="en-US" w:bidi="ar-SA"/>
      </w:rPr>
    </w:lvl>
    <w:lvl w:ilvl="7" w:tplc="F3663086">
      <w:numFmt w:val="bullet"/>
      <w:lvlText w:val="•"/>
      <w:lvlJc w:val="left"/>
      <w:pPr>
        <w:ind w:left="7787" w:hanging="471"/>
      </w:pPr>
      <w:rPr>
        <w:rFonts w:hint="default"/>
        <w:lang w:val="en-US" w:eastAsia="en-US" w:bidi="ar-SA"/>
      </w:rPr>
    </w:lvl>
    <w:lvl w:ilvl="8" w:tplc="054A3B8E">
      <w:numFmt w:val="bullet"/>
      <w:lvlText w:val="•"/>
      <w:lvlJc w:val="left"/>
      <w:pPr>
        <w:ind w:left="9020" w:hanging="471"/>
      </w:pPr>
      <w:rPr>
        <w:rFonts w:hint="default"/>
        <w:lang w:val="en-US" w:eastAsia="en-US" w:bidi="ar-SA"/>
      </w:rPr>
    </w:lvl>
  </w:abstractNum>
  <w:abstractNum w:abstractNumId="61" w15:restartNumberingAfterBreak="0">
    <w:nsid w:val="239661BB"/>
    <w:multiLevelType w:val="hybridMultilevel"/>
    <w:tmpl w:val="0FDA6B7C"/>
    <w:lvl w:ilvl="0" w:tplc="D69A5382">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85EEC40">
      <w:numFmt w:val="bullet"/>
      <w:lvlText w:val="•"/>
      <w:lvlJc w:val="left"/>
      <w:pPr>
        <w:ind w:left="2822" w:hanging="495"/>
      </w:pPr>
      <w:rPr>
        <w:rFonts w:hint="default"/>
        <w:lang w:val="en-US" w:eastAsia="en-US" w:bidi="ar-SA"/>
      </w:rPr>
    </w:lvl>
    <w:lvl w:ilvl="2" w:tplc="EF96DCFA">
      <w:numFmt w:val="bullet"/>
      <w:lvlText w:val="•"/>
      <w:lvlJc w:val="left"/>
      <w:pPr>
        <w:ind w:left="3785" w:hanging="495"/>
      </w:pPr>
      <w:rPr>
        <w:rFonts w:hint="default"/>
        <w:lang w:val="en-US" w:eastAsia="en-US" w:bidi="ar-SA"/>
      </w:rPr>
    </w:lvl>
    <w:lvl w:ilvl="3" w:tplc="E3EC5C6C">
      <w:numFmt w:val="bullet"/>
      <w:lvlText w:val="•"/>
      <w:lvlJc w:val="left"/>
      <w:pPr>
        <w:ind w:left="4748" w:hanging="495"/>
      </w:pPr>
      <w:rPr>
        <w:rFonts w:hint="default"/>
        <w:lang w:val="en-US" w:eastAsia="en-US" w:bidi="ar-SA"/>
      </w:rPr>
    </w:lvl>
    <w:lvl w:ilvl="4" w:tplc="1BF611AC">
      <w:numFmt w:val="bullet"/>
      <w:lvlText w:val="•"/>
      <w:lvlJc w:val="left"/>
      <w:pPr>
        <w:ind w:left="5710" w:hanging="495"/>
      </w:pPr>
      <w:rPr>
        <w:rFonts w:hint="default"/>
        <w:lang w:val="en-US" w:eastAsia="en-US" w:bidi="ar-SA"/>
      </w:rPr>
    </w:lvl>
    <w:lvl w:ilvl="5" w:tplc="57220FC6">
      <w:numFmt w:val="bullet"/>
      <w:lvlText w:val="•"/>
      <w:lvlJc w:val="left"/>
      <w:pPr>
        <w:ind w:left="6673" w:hanging="495"/>
      </w:pPr>
      <w:rPr>
        <w:rFonts w:hint="default"/>
        <w:lang w:val="en-US" w:eastAsia="en-US" w:bidi="ar-SA"/>
      </w:rPr>
    </w:lvl>
    <w:lvl w:ilvl="6" w:tplc="8A94FAF2">
      <w:numFmt w:val="bullet"/>
      <w:lvlText w:val="•"/>
      <w:lvlJc w:val="left"/>
      <w:pPr>
        <w:ind w:left="7636" w:hanging="495"/>
      </w:pPr>
      <w:rPr>
        <w:rFonts w:hint="default"/>
        <w:lang w:val="en-US" w:eastAsia="en-US" w:bidi="ar-SA"/>
      </w:rPr>
    </w:lvl>
    <w:lvl w:ilvl="7" w:tplc="AC748B58">
      <w:numFmt w:val="bullet"/>
      <w:lvlText w:val="•"/>
      <w:lvlJc w:val="left"/>
      <w:pPr>
        <w:ind w:left="8599" w:hanging="495"/>
      </w:pPr>
      <w:rPr>
        <w:rFonts w:hint="default"/>
        <w:lang w:val="en-US" w:eastAsia="en-US" w:bidi="ar-SA"/>
      </w:rPr>
    </w:lvl>
    <w:lvl w:ilvl="8" w:tplc="44C83BD6">
      <w:numFmt w:val="bullet"/>
      <w:lvlText w:val="•"/>
      <w:lvlJc w:val="left"/>
      <w:pPr>
        <w:ind w:left="9561" w:hanging="495"/>
      </w:pPr>
      <w:rPr>
        <w:rFonts w:hint="default"/>
        <w:lang w:val="en-US" w:eastAsia="en-US" w:bidi="ar-SA"/>
      </w:rPr>
    </w:lvl>
  </w:abstractNum>
  <w:abstractNum w:abstractNumId="62" w15:restartNumberingAfterBreak="0">
    <w:nsid w:val="23E41B8D"/>
    <w:multiLevelType w:val="hybridMultilevel"/>
    <w:tmpl w:val="60946506"/>
    <w:lvl w:ilvl="0" w:tplc="16F4F156">
      <w:start w:val="1"/>
      <w:numFmt w:val="lowerLetter"/>
      <w:lvlText w:val="%1)"/>
      <w:lvlJc w:val="left"/>
      <w:pPr>
        <w:ind w:left="1873" w:hanging="5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42CFA46">
      <w:numFmt w:val="bullet"/>
      <w:lvlText w:val="•"/>
      <w:lvlJc w:val="left"/>
      <w:pPr>
        <w:ind w:left="2840" w:hanging="504"/>
      </w:pPr>
      <w:rPr>
        <w:rFonts w:hint="default"/>
        <w:lang w:val="en-US" w:eastAsia="en-US" w:bidi="ar-SA"/>
      </w:rPr>
    </w:lvl>
    <w:lvl w:ilvl="2" w:tplc="F0962DEA">
      <w:numFmt w:val="bullet"/>
      <w:lvlText w:val="•"/>
      <w:lvlJc w:val="left"/>
      <w:pPr>
        <w:ind w:left="3801" w:hanging="504"/>
      </w:pPr>
      <w:rPr>
        <w:rFonts w:hint="default"/>
        <w:lang w:val="en-US" w:eastAsia="en-US" w:bidi="ar-SA"/>
      </w:rPr>
    </w:lvl>
    <w:lvl w:ilvl="3" w:tplc="AE50E548">
      <w:numFmt w:val="bullet"/>
      <w:lvlText w:val="•"/>
      <w:lvlJc w:val="left"/>
      <w:pPr>
        <w:ind w:left="4762" w:hanging="504"/>
      </w:pPr>
      <w:rPr>
        <w:rFonts w:hint="default"/>
        <w:lang w:val="en-US" w:eastAsia="en-US" w:bidi="ar-SA"/>
      </w:rPr>
    </w:lvl>
    <w:lvl w:ilvl="4" w:tplc="7B001A24">
      <w:numFmt w:val="bullet"/>
      <w:lvlText w:val="•"/>
      <w:lvlJc w:val="left"/>
      <w:pPr>
        <w:ind w:left="5722" w:hanging="504"/>
      </w:pPr>
      <w:rPr>
        <w:rFonts w:hint="default"/>
        <w:lang w:val="en-US" w:eastAsia="en-US" w:bidi="ar-SA"/>
      </w:rPr>
    </w:lvl>
    <w:lvl w:ilvl="5" w:tplc="338E155C">
      <w:numFmt w:val="bullet"/>
      <w:lvlText w:val="•"/>
      <w:lvlJc w:val="left"/>
      <w:pPr>
        <w:ind w:left="6683" w:hanging="504"/>
      </w:pPr>
      <w:rPr>
        <w:rFonts w:hint="default"/>
        <w:lang w:val="en-US" w:eastAsia="en-US" w:bidi="ar-SA"/>
      </w:rPr>
    </w:lvl>
    <w:lvl w:ilvl="6" w:tplc="EF0E9ACC">
      <w:numFmt w:val="bullet"/>
      <w:lvlText w:val="•"/>
      <w:lvlJc w:val="left"/>
      <w:pPr>
        <w:ind w:left="7644" w:hanging="504"/>
      </w:pPr>
      <w:rPr>
        <w:rFonts w:hint="default"/>
        <w:lang w:val="en-US" w:eastAsia="en-US" w:bidi="ar-SA"/>
      </w:rPr>
    </w:lvl>
    <w:lvl w:ilvl="7" w:tplc="F918930C">
      <w:numFmt w:val="bullet"/>
      <w:lvlText w:val="•"/>
      <w:lvlJc w:val="left"/>
      <w:pPr>
        <w:ind w:left="8605" w:hanging="504"/>
      </w:pPr>
      <w:rPr>
        <w:rFonts w:hint="default"/>
        <w:lang w:val="en-US" w:eastAsia="en-US" w:bidi="ar-SA"/>
      </w:rPr>
    </w:lvl>
    <w:lvl w:ilvl="8" w:tplc="DFEC0A40">
      <w:numFmt w:val="bullet"/>
      <w:lvlText w:val="•"/>
      <w:lvlJc w:val="left"/>
      <w:pPr>
        <w:ind w:left="9565" w:hanging="504"/>
      </w:pPr>
      <w:rPr>
        <w:rFonts w:hint="default"/>
        <w:lang w:val="en-US" w:eastAsia="en-US" w:bidi="ar-SA"/>
      </w:rPr>
    </w:lvl>
  </w:abstractNum>
  <w:abstractNum w:abstractNumId="63" w15:restartNumberingAfterBreak="0">
    <w:nsid w:val="24877D80"/>
    <w:multiLevelType w:val="multilevel"/>
    <w:tmpl w:val="BFBAE96A"/>
    <w:lvl w:ilvl="0">
      <w:start w:val="3"/>
      <w:numFmt w:val="decimal"/>
      <w:lvlText w:val="%1"/>
      <w:lvlJc w:val="left"/>
      <w:pPr>
        <w:ind w:left="1418" w:hanging="570"/>
      </w:pPr>
      <w:rPr>
        <w:rFonts w:hint="default"/>
        <w:lang w:val="en-US" w:eastAsia="en-US" w:bidi="ar-SA"/>
      </w:rPr>
    </w:lvl>
    <w:lvl w:ilvl="1">
      <w:numFmt w:val="decimal"/>
      <w:lvlText w:val="%1.%2"/>
      <w:lvlJc w:val="left"/>
      <w:pPr>
        <w:ind w:left="1418" w:hanging="570"/>
      </w:pPr>
      <w:rPr>
        <w:rFonts w:ascii="Times New Roman" w:eastAsia="Times New Roman" w:hAnsi="Times New Roman" w:cs="Times New Roman" w:hint="default"/>
        <w:b/>
        <w:bCs/>
        <w:i w:val="0"/>
        <w:iCs w:val="0"/>
        <w:color w:val="221F1F"/>
        <w:spacing w:val="-30"/>
        <w:w w:val="97"/>
        <w:sz w:val="22"/>
        <w:szCs w:val="22"/>
        <w:lang w:val="en-US" w:eastAsia="en-US" w:bidi="ar-SA"/>
      </w:rPr>
    </w:lvl>
    <w:lvl w:ilvl="2">
      <w:start w:val="1"/>
      <w:numFmt w:val="lowerRoman"/>
      <w:lvlText w:val="(%3)"/>
      <w:lvlJc w:val="left"/>
      <w:pPr>
        <w:ind w:left="1901" w:hanging="48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24" w:hanging="483"/>
      </w:pPr>
      <w:rPr>
        <w:rFonts w:hint="default"/>
        <w:lang w:val="en-US" w:eastAsia="en-US" w:bidi="ar-SA"/>
      </w:rPr>
    </w:lvl>
    <w:lvl w:ilvl="4">
      <w:numFmt w:val="bullet"/>
      <w:lvlText w:val="•"/>
      <w:lvlJc w:val="left"/>
      <w:pPr>
        <w:ind w:left="5237" w:hanging="483"/>
      </w:pPr>
      <w:rPr>
        <w:rFonts w:hint="default"/>
        <w:lang w:val="en-US" w:eastAsia="en-US" w:bidi="ar-SA"/>
      </w:rPr>
    </w:lvl>
    <w:lvl w:ilvl="5">
      <w:numFmt w:val="bullet"/>
      <w:lvlText w:val="•"/>
      <w:lvlJc w:val="left"/>
      <w:pPr>
        <w:ind w:left="6349" w:hanging="483"/>
      </w:pPr>
      <w:rPr>
        <w:rFonts w:hint="default"/>
        <w:lang w:val="en-US" w:eastAsia="en-US" w:bidi="ar-SA"/>
      </w:rPr>
    </w:lvl>
    <w:lvl w:ilvl="6">
      <w:numFmt w:val="bullet"/>
      <w:lvlText w:val="•"/>
      <w:lvlJc w:val="left"/>
      <w:pPr>
        <w:ind w:left="7461" w:hanging="483"/>
      </w:pPr>
      <w:rPr>
        <w:rFonts w:hint="default"/>
        <w:lang w:val="en-US" w:eastAsia="en-US" w:bidi="ar-SA"/>
      </w:rPr>
    </w:lvl>
    <w:lvl w:ilvl="7">
      <w:numFmt w:val="bullet"/>
      <w:lvlText w:val="•"/>
      <w:lvlJc w:val="left"/>
      <w:pPr>
        <w:ind w:left="8574" w:hanging="483"/>
      </w:pPr>
      <w:rPr>
        <w:rFonts w:hint="default"/>
        <w:lang w:val="en-US" w:eastAsia="en-US" w:bidi="ar-SA"/>
      </w:rPr>
    </w:lvl>
    <w:lvl w:ilvl="8">
      <w:numFmt w:val="bullet"/>
      <w:lvlText w:val="•"/>
      <w:lvlJc w:val="left"/>
      <w:pPr>
        <w:ind w:left="9686" w:hanging="483"/>
      </w:pPr>
      <w:rPr>
        <w:rFonts w:hint="default"/>
        <w:lang w:val="en-US" w:eastAsia="en-US" w:bidi="ar-SA"/>
      </w:rPr>
    </w:lvl>
  </w:abstractNum>
  <w:abstractNum w:abstractNumId="64" w15:restartNumberingAfterBreak="0">
    <w:nsid w:val="25946845"/>
    <w:multiLevelType w:val="hybridMultilevel"/>
    <w:tmpl w:val="B5A63F5A"/>
    <w:lvl w:ilvl="0" w:tplc="DA209066">
      <w:start w:val="1"/>
      <w:numFmt w:val="lowerLetter"/>
      <w:lvlText w:val="%1)"/>
      <w:lvlJc w:val="left"/>
      <w:pPr>
        <w:ind w:left="1868" w:hanging="401"/>
      </w:pPr>
      <w:rPr>
        <w:rFonts w:hint="default"/>
        <w:spacing w:val="0"/>
        <w:w w:val="100"/>
        <w:lang w:val="en-US" w:eastAsia="en-US" w:bidi="ar-SA"/>
      </w:rPr>
    </w:lvl>
    <w:lvl w:ilvl="1" w:tplc="23664664">
      <w:numFmt w:val="bullet"/>
      <w:lvlText w:val="•"/>
      <w:lvlJc w:val="left"/>
      <w:pPr>
        <w:ind w:left="2822" w:hanging="401"/>
      </w:pPr>
      <w:rPr>
        <w:rFonts w:hint="default"/>
        <w:lang w:val="en-US" w:eastAsia="en-US" w:bidi="ar-SA"/>
      </w:rPr>
    </w:lvl>
    <w:lvl w:ilvl="2" w:tplc="CDB2C36C">
      <w:numFmt w:val="bullet"/>
      <w:lvlText w:val="•"/>
      <w:lvlJc w:val="left"/>
      <w:pPr>
        <w:ind w:left="3785" w:hanging="401"/>
      </w:pPr>
      <w:rPr>
        <w:rFonts w:hint="default"/>
        <w:lang w:val="en-US" w:eastAsia="en-US" w:bidi="ar-SA"/>
      </w:rPr>
    </w:lvl>
    <w:lvl w:ilvl="3" w:tplc="A4FCD0FC">
      <w:numFmt w:val="bullet"/>
      <w:lvlText w:val="•"/>
      <w:lvlJc w:val="left"/>
      <w:pPr>
        <w:ind w:left="4748" w:hanging="401"/>
      </w:pPr>
      <w:rPr>
        <w:rFonts w:hint="default"/>
        <w:lang w:val="en-US" w:eastAsia="en-US" w:bidi="ar-SA"/>
      </w:rPr>
    </w:lvl>
    <w:lvl w:ilvl="4" w:tplc="0786ECFC">
      <w:numFmt w:val="bullet"/>
      <w:lvlText w:val="•"/>
      <w:lvlJc w:val="left"/>
      <w:pPr>
        <w:ind w:left="5710" w:hanging="401"/>
      </w:pPr>
      <w:rPr>
        <w:rFonts w:hint="default"/>
        <w:lang w:val="en-US" w:eastAsia="en-US" w:bidi="ar-SA"/>
      </w:rPr>
    </w:lvl>
    <w:lvl w:ilvl="5" w:tplc="43E64476">
      <w:numFmt w:val="bullet"/>
      <w:lvlText w:val="•"/>
      <w:lvlJc w:val="left"/>
      <w:pPr>
        <w:ind w:left="6673" w:hanging="401"/>
      </w:pPr>
      <w:rPr>
        <w:rFonts w:hint="default"/>
        <w:lang w:val="en-US" w:eastAsia="en-US" w:bidi="ar-SA"/>
      </w:rPr>
    </w:lvl>
    <w:lvl w:ilvl="6" w:tplc="E612BD92">
      <w:numFmt w:val="bullet"/>
      <w:lvlText w:val="•"/>
      <w:lvlJc w:val="left"/>
      <w:pPr>
        <w:ind w:left="7636" w:hanging="401"/>
      </w:pPr>
      <w:rPr>
        <w:rFonts w:hint="default"/>
        <w:lang w:val="en-US" w:eastAsia="en-US" w:bidi="ar-SA"/>
      </w:rPr>
    </w:lvl>
    <w:lvl w:ilvl="7" w:tplc="10445D1A">
      <w:numFmt w:val="bullet"/>
      <w:lvlText w:val="•"/>
      <w:lvlJc w:val="left"/>
      <w:pPr>
        <w:ind w:left="8599" w:hanging="401"/>
      </w:pPr>
      <w:rPr>
        <w:rFonts w:hint="default"/>
        <w:lang w:val="en-US" w:eastAsia="en-US" w:bidi="ar-SA"/>
      </w:rPr>
    </w:lvl>
    <w:lvl w:ilvl="8" w:tplc="0690036E">
      <w:numFmt w:val="bullet"/>
      <w:lvlText w:val="•"/>
      <w:lvlJc w:val="left"/>
      <w:pPr>
        <w:ind w:left="9561" w:hanging="401"/>
      </w:pPr>
      <w:rPr>
        <w:rFonts w:hint="default"/>
        <w:lang w:val="en-US" w:eastAsia="en-US" w:bidi="ar-SA"/>
      </w:rPr>
    </w:lvl>
  </w:abstractNum>
  <w:abstractNum w:abstractNumId="65" w15:restartNumberingAfterBreak="0">
    <w:nsid w:val="25BA1849"/>
    <w:multiLevelType w:val="hybridMultilevel"/>
    <w:tmpl w:val="D3C8478C"/>
    <w:lvl w:ilvl="0" w:tplc="387E9690">
      <w:start w:val="1"/>
      <w:numFmt w:val="upperLetter"/>
      <w:lvlText w:val="%1."/>
      <w:lvlJc w:val="left"/>
      <w:pPr>
        <w:ind w:left="1150" w:hanging="440"/>
      </w:pPr>
      <w:rPr>
        <w:rFonts w:ascii="Times New Roman" w:eastAsia="Times New Roman" w:hAnsi="Times New Roman" w:cs="Times New Roman" w:hint="default"/>
        <w:b/>
        <w:bCs/>
        <w:i w:val="0"/>
        <w:iCs w:val="0"/>
        <w:color w:val="221F1F"/>
        <w:spacing w:val="0"/>
        <w:w w:val="97"/>
        <w:sz w:val="22"/>
        <w:szCs w:val="22"/>
        <w:lang w:val="en-US" w:eastAsia="en-US" w:bidi="ar-SA"/>
      </w:rPr>
    </w:lvl>
    <w:lvl w:ilvl="1" w:tplc="A6D4BB0A">
      <w:start w:val="1"/>
      <w:numFmt w:val="decimal"/>
      <w:lvlText w:val="%2."/>
      <w:lvlJc w:val="left"/>
      <w:pPr>
        <w:ind w:left="1150" w:hanging="440"/>
      </w:pPr>
      <w:rPr>
        <w:rFonts w:ascii="Times New Roman" w:eastAsia="Times New Roman" w:hAnsi="Times New Roman" w:cs="Times New Roman" w:hint="default"/>
        <w:b w:val="0"/>
        <w:bCs w:val="0"/>
        <w:i w:val="0"/>
        <w:iCs w:val="0"/>
        <w:color w:val="221F1F"/>
        <w:spacing w:val="-26"/>
        <w:w w:val="97"/>
        <w:sz w:val="22"/>
        <w:szCs w:val="22"/>
        <w:lang w:val="en-US" w:eastAsia="en-US" w:bidi="ar-SA"/>
      </w:rPr>
    </w:lvl>
    <w:lvl w:ilvl="2" w:tplc="231060E6">
      <w:start w:val="1"/>
      <w:numFmt w:val="lowerLetter"/>
      <w:lvlText w:val="%3)"/>
      <w:lvlJc w:val="left"/>
      <w:pPr>
        <w:ind w:left="1565"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tplc="D6D65728">
      <w:numFmt w:val="bullet"/>
      <w:lvlText w:val="•"/>
      <w:lvlJc w:val="left"/>
      <w:pPr>
        <w:ind w:left="3766" w:hanging="416"/>
      </w:pPr>
      <w:rPr>
        <w:rFonts w:hint="default"/>
        <w:lang w:val="en-US" w:eastAsia="en-US" w:bidi="ar-SA"/>
      </w:rPr>
    </w:lvl>
    <w:lvl w:ilvl="4" w:tplc="26BEBFCA">
      <w:numFmt w:val="bullet"/>
      <w:lvlText w:val="•"/>
      <w:lvlJc w:val="left"/>
      <w:pPr>
        <w:ind w:left="4869" w:hanging="416"/>
      </w:pPr>
      <w:rPr>
        <w:rFonts w:hint="default"/>
        <w:lang w:val="en-US" w:eastAsia="en-US" w:bidi="ar-SA"/>
      </w:rPr>
    </w:lvl>
    <w:lvl w:ilvl="5" w:tplc="19343C44">
      <w:numFmt w:val="bullet"/>
      <w:lvlText w:val="•"/>
      <w:lvlJc w:val="left"/>
      <w:pPr>
        <w:ind w:left="5972" w:hanging="416"/>
      </w:pPr>
      <w:rPr>
        <w:rFonts w:hint="default"/>
        <w:lang w:val="en-US" w:eastAsia="en-US" w:bidi="ar-SA"/>
      </w:rPr>
    </w:lvl>
    <w:lvl w:ilvl="6" w:tplc="531A97B6">
      <w:numFmt w:val="bullet"/>
      <w:lvlText w:val="•"/>
      <w:lvlJc w:val="left"/>
      <w:pPr>
        <w:ind w:left="7075" w:hanging="416"/>
      </w:pPr>
      <w:rPr>
        <w:rFonts w:hint="default"/>
        <w:lang w:val="en-US" w:eastAsia="en-US" w:bidi="ar-SA"/>
      </w:rPr>
    </w:lvl>
    <w:lvl w:ilvl="7" w:tplc="C518E18E">
      <w:numFmt w:val="bullet"/>
      <w:lvlText w:val="•"/>
      <w:lvlJc w:val="left"/>
      <w:pPr>
        <w:ind w:left="8178" w:hanging="416"/>
      </w:pPr>
      <w:rPr>
        <w:rFonts w:hint="default"/>
        <w:lang w:val="en-US" w:eastAsia="en-US" w:bidi="ar-SA"/>
      </w:rPr>
    </w:lvl>
    <w:lvl w:ilvl="8" w:tplc="8AF20010">
      <w:numFmt w:val="bullet"/>
      <w:lvlText w:val="•"/>
      <w:lvlJc w:val="left"/>
      <w:pPr>
        <w:ind w:left="9281" w:hanging="416"/>
      </w:pPr>
      <w:rPr>
        <w:rFonts w:hint="default"/>
        <w:lang w:val="en-US" w:eastAsia="en-US" w:bidi="ar-SA"/>
      </w:rPr>
    </w:lvl>
  </w:abstractNum>
  <w:abstractNum w:abstractNumId="66" w15:restartNumberingAfterBreak="0">
    <w:nsid w:val="25F152E4"/>
    <w:multiLevelType w:val="hybridMultilevel"/>
    <w:tmpl w:val="67C67144"/>
    <w:lvl w:ilvl="0" w:tplc="962A3308">
      <w:start w:val="1"/>
      <w:numFmt w:val="decimal"/>
      <w:lvlText w:val="%1."/>
      <w:lvlJc w:val="left"/>
      <w:pPr>
        <w:ind w:left="1107" w:hanging="392"/>
      </w:pPr>
      <w:rPr>
        <w:rFonts w:ascii="Times New Roman" w:eastAsia="Times New Roman" w:hAnsi="Times New Roman" w:cs="Times New Roman" w:hint="default"/>
        <w:b w:val="0"/>
        <w:bCs w:val="0"/>
        <w:i w:val="0"/>
        <w:iCs w:val="0"/>
        <w:color w:val="221F1F"/>
        <w:spacing w:val="-20"/>
        <w:w w:val="100"/>
        <w:sz w:val="22"/>
        <w:szCs w:val="22"/>
        <w:lang w:val="en-US" w:eastAsia="en-US" w:bidi="ar-SA"/>
      </w:rPr>
    </w:lvl>
    <w:lvl w:ilvl="1" w:tplc="48148F20">
      <w:numFmt w:val="bullet"/>
      <w:lvlText w:val="•"/>
      <w:lvlJc w:val="left"/>
      <w:pPr>
        <w:ind w:left="2138" w:hanging="392"/>
      </w:pPr>
      <w:rPr>
        <w:rFonts w:hint="default"/>
        <w:lang w:val="en-US" w:eastAsia="en-US" w:bidi="ar-SA"/>
      </w:rPr>
    </w:lvl>
    <w:lvl w:ilvl="2" w:tplc="2C369678">
      <w:numFmt w:val="bullet"/>
      <w:lvlText w:val="•"/>
      <w:lvlJc w:val="left"/>
      <w:pPr>
        <w:ind w:left="3177" w:hanging="392"/>
      </w:pPr>
      <w:rPr>
        <w:rFonts w:hint="default"/>
        <w:lang w:val="en-US" w:eastAsia="en-US" w:bidi="ar-SA"/>
      </w:rPr>
    </w:lvl>
    <w:lvl w:ilvl="3" w:tplc="FBD4C168">
      <w:numFmt w:val="bullet"/>
      <w:lvlText w:val="•"/>
      <w:lvlJc w:val="left"/>
      <w:pPr>
        <w:ind w:left="4216" w:hanging="392"/>
      </w:pPr>
      <w:rPr>
        <w:rFonts w:hint="default"/>
        <w:lang w:val="en-US" w:eastAsia="en-US" w:bidi="ar-SA"/>
      </w:rPr>
    </w:lvl>
    <w:lvl w:ilvl="4" w:tplc="498E2C0C">
      <w:numFmt w:val="bullet"/>
      <w:lvlText w:val="•"/>
      <w:lvlJc w:val="left"/>
      <w:pPr>
        <w:ind w:left="5254" w:hanging="392"/>
      </w:pPr>
      <w:rPr>
        <w:rFonts w:hint="default"/>
        <w:lang w:val="en-US" w:eastAsia="en-US" w:bidi="ar-SA"/>
      </w:rPr>
    </w:lvl>
    <w:lvl w:ilvl="5" w:tplc="356AACA4">
      <w:numFmt w:val="bullet"/>
      <w:lvlText w:val="•"/>
      <w:lvlJc w:val="left"/>
      <w:pPr>
        <w:ind w:left="6293" w:hanging="392"/>
      </w:pPr>
      <w:rPr>
        <w:rFonts w:hint="default"/>
        <w:lang w:val="en-US" w:eastAsia="en-US" w:bidi="ar-SA"/>
      </w:rPr>
    </w:lvl>
    <w:lvl w:ilvl="6" w:tplc="ACC6C106">
      <w:numFmt w:val="bullet"/>
      <w:lvlText w:val="•"/>
      <w:lvlJc w:val="left"/>
      <w:pPr>
        <w:ind w:left="7332" w:hanging="392"/>
      </w:pPr>
      <w:rPr>
        <w:rFonts w:hint="default"/>
        <w:lang w:val="en-US" w:eastAsia="en-US" w:bidi="ar-SA"/>
      </w:rPr>
    </w:lvl>
    <w:lvl w:ilvl="7" w:tplc="91A28338">
      <w:numFmt w:val="bullet"/>
      <w:lvlText w:val="•"/>
      <w:lvlJc w:val="left"/>
      <w:pPr>
        <w:ind w:left="8371" w:hanging="392"/>
      </w:pPr>
      <w:rPr>
        <w:rFonts w:hint="default"/>
        <w:lang w:val="en-US" w:eastAsia="en-US" w:bidi="ar-SA"/>
      </w:rPr>
    </w:lvl>
    <w:lvl w:ilvl="8" w:tplc="83D03EAA">
      <w:numFmt w:val="bullet"/>
      <w:lvlText w:val="•"/>
      <w:lvlJc w:val="left"/>
      <w:pPr>
        <w:ind w:left="9409" w:hanging="392"/>
      </w:pPr>
      <w:rPr>
        <w:rFonts w:hint="default"/>
        <w:lang w:val="en-US" w:eastAsia="en-US" w:bidi="ar-SA"/>
      </w:rPr>
    </w:lvl>
  </w:abstractNum>
  <w:abstractNum w:abstractNumId="67" w15:restartNumberingAfterBreak="0">
    <w:nsid w:val="2625119A"/>
    <w:multiLevelType w:val="hybridMultilevel"/>
    <w:tmpl w:val="E3247D96"/>
    <w:lvl w:ilvl="0" w:tplc="41D6FFA6">
      <w:start w:val="1"/>
      <w:numFmt w:val="lowerLetter"/>
      <w:lvlText w:val="%1)"/>
      <w:lvlJc w:val="left"/>
      <w:pPr>
        <w:ind w:left="1927" w:hanging="45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BC64BA2">
      <w:start w:val="1"/>
      <w:numFmt w:val="lowerRoman"/>
      <w:lvlText w:val="%2)"/>
      <w:lvlJc w:val="left"/>
      <w:pPr>
        <w:ind w:left="2342"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D94CAFEE">
      <w:numFmt w:val="bullet"/>
      <w:lvlText w:val="•"/>
      <w:lvlJc w:val="left"/>
      <w:pPr>
        <w:ind w:left="3403" w:hanging="416"/>
      </w:pPr>
      <w:rPr>
        <w:rFonts w:hint="default"/>
        <w:lang w:val="en-US" w:eastAsia="en-US" w:bidi="ar-SA"/>
      </w:rPr>
    </w:lvl>
    <w:lvl w:ilvl="3" w:tplc="F49CB59C">
      <w:numFmt w:val="bullet"/>
      <w:lvlText w:val="•"/>
      <w:lvlJc w:val="left"/>
      <w:pPr>
        <w:ind w:left="4466" w:hanging="416"/>
      </w:pPr>
      <w:rPr>
        <w:rFonts w:hint="default"/>
        <w:lang w:val="en-US" w:eastAsia="en-US" w:bidi="ar-SA"/>
      </w:rPr>
    </w:lvl>
    <w:lvl w:ilvl="4" w:tplc="99AA8C56">
      <w:numFmt w:val="bullet"/>
      <w:lvlText w:val="•"/>
      <w:lvlJc w:val="left"/>
      <w:pPr>
        <w:ind w:left="5530" w:hanging="416"/>
      </w:pPr>
      <w:rPr>
        <w:rFonts w:hint="default"/>
        <w:lang w:val="en-US" w:eastAsia="en-US" w:bidi="ar-SA"/>
      </w:rPr>
    </w:lvl>
    <w:lvl w:ilvl="5" w:tplc="65609D52">
      <w:numFmt w:val="bullet"/>
      <w:lvlText w:val="•"/>
      <w:lvlJc w:val="left"/>
      <w:pPr>
        <w:ind w:left="6593" w:hanging="416"/>
      </w:pPr>
      <w:rPr>
        <w:rFonts w:hint="default"/>
        <w:lang w:val="en-US" w:eastAsia="en-US" w:bidi="ar-SA"/>
      </w:rPr>
    </w:lvl>
    <w:lvl w:ilvl="6" w:tplc="E61A1A8C">
      <w:numFmt w:val="bullet"/>
      <w:lvlText w:val="•"/>
      <w:lvlJc w:val="left"/>
      <w:pPr>
        <w:ind w:left="7657" w:hanging="416"/>
      </w:pPr>
      <w:rPr>
        <w:rFonts w:hint="default"/>
        <w:lang w:val="en-US" w:eastAsia="en-US" w:bidi="ar-SA"/>
      </w:rPr>
    </w:lvl>
    <w:lvl w:ilvl="7" w:tplc="B3E4B958">
      <w:numFmt w:val="bullet"/>
      <w:lvlText w:val="•"/>
      <w:lvlJc w:val="left"/>
      <w:pPr>
        <w:ind w:left="8720" w:hanging="416"/>
      </w:pPr>
      <w:rPr>
        <w:rFonts w:hint="default"/>
        <w:lang w:val="en-US" w:eastAsia="en-US" w:bidi="ar-SA"/>
      </w:rPr>
    </w:lvl>
    <w:lvl w:ilvl="8" w:tplc="EB9428DE">
      <w:numFmt w:val="bullet"/>
      <w:lvlText w:val="•"/>
      <w:lvlJc w:val="left"/>
      <w:pPr>
        <w:ind w:left="9784" w:hanging="416"/>
      </w:pPr>
      <w:rPr>
        <w:rFonts w:hint="default"/>
        <w:lang w:val="en-US" w:eastAsia="en-US" w:bidi="ar-SA"/>
      </w:rPr>
    </w:lvl>
  </w:abstractNum>
  <w:abstractNum w:abstractNumId="68" w15:restartNumberingAfterBreak="0">
    <w:nsid w:val="26B657BE"/>
    <w:multiLevelType w:val="multilevel"/>
    <w:tmpl w:val="055023BA"/>
    <w:lvl w:ilvl="0">
      <w:start w:val="20"/>
      <w:numFmt w:val="decimal"/>
      <w:lvlText w:val="%1"/>
      <w:lvlJc w:val="left"/>
      <w:pPr>
        <w:ind w:left="1438" w:hanging="723"/>
      </w:pPr>
      <w:rPr>
        <w:rFonts w:hint="default"/>
        <w:lang w:val="en-US" w:eastAsia="en-US" w:bidi="ar-SA"/>
      </w:rPr>
    </w:lvl>
    <w:lvl w:ilvl="1">
      <w:start w:val="5"/>
      <w:numFmt w:val="decimal"/>
      <w:lvlText w:val="%1.%2"/>
      <w:lvlJc w:val="left"/>
      <w:pPr>
        <w:ind w:left="1438" w:hanging="723"/>
      </w:pPr>
      <w:rPr>
        <w:rFonts w:hint="default"/>
        <w:lang w:val="en-US" w:eastAsia="en-US" w:bidi="ar-SA"/>
      </w:rPr>
    </w:lvl>
    <w:lvl w:ilvl="2">
      <w:start w:val="7"/>
      <w:numFmt w:val="decimal"/>
      <w:lvlText w:val="%1.%2.%3"/>
      <w:lvlJc w:val="left"/>
      <w:pPr>
        <w:ind w:left="1438" w:hanging="723"/>
      </w:pPr>
      <w:rPr>
        <w:rFonts w:ascii="Times New Roman" w:eastAsia="Times New Roman" w:hAnsi="Times New Roman" w:cs="Times New Roman" w:hint="default"/>
        <w:b w:val="0"/>
        <w:bCs w:val="0"/>
        <w:i w:val="0"/>
        <w:iCs w:val="0"/>
        <w:color w:val="221F1F"/>
        <w:spacing w:val="-28"/>
        <w:w w:val="97"/>
        <w:sz w:val="22"/>
        <w:szCs w:val="22"/>
        <w:lang w:val="en-US" w:eastAsia="en-US" w:bidi="ar-SA"/>
      </w:rPr>
    </w:lvl>
    <w:lvl w:ilvl="3">
      <w:numFmt w:val="bullet"/>
      <w:lvlText w:val="•"/>
      <w:lvlJc w:val="left"/>
      <w:pPr>
        <w:ind w:left="4454" w:hanging="723"/>
      </w:pPr>
      <w:rPr>
        <w:rFonts w:hint="default"/>
        <w:lang w:val="en-US" w:eastAsia="en-US" w:bidi="ar-SA"/>
      </w:rPr>
    </w:lvl>
    <w:lvl w:ilvl="4">
      <w:numFmt w:val="bullet"/>
      <w:lvlText w:val="•"/>
      <w:lvlJc w:val="left"/>
      <w:pPr>
        <w:ind w:left="5458" w:hanging="723"/>
      </w:pPr>
      <w:rPr>
        <w:rFonts w:hint="default"/>
        <w:lang w:val="en-US" w:eastAsia="en-US" w:bidi="ar-SA"/>
      </w:rPr>
    </w:lvl>
    <w:lvl w:ilvl="5">
      <w:numFmt w:val="bullet"/>
      <w:lvlText w:val="•"/>
      <w:lvlJc w:val="left"/>
      <w:pPr>
        <w:ind w:left="6463" w:hanging="723"/>
      </w:pPr>
      <w:rPr>
        <w:rFonts w:hint="default"/>
        <w:lang w:val="en-US" w:eastAsia="en-US" w:bidi="ar-SA"/>
      </w:rPr>
    </w:lvl>
    <w:lvl w:ilvl="6">
      <w:numFmt w:val="bullet"/>
      <w:lvlText w:val="•"/>
      <w:lvlJc w:val="left"/>
      <w:pPr>
        <w:ind w:left="7468" w:hanging="723"/>
      </w:pPr>
      <w:rPr>
        <w:rFonts w:hint="default"/>
        <w:lang w:val="en-US" w:eastAsia="en-US" w:bidi="ar-SA"/>
      </w:rPr>
    </w:lvl>
    <w:lvl w:ilvl="7">
      <w:numFmt w:val="bullet"/>
      <w:lvlText w:val="•"/>
      <w:lvlJc w:val="left"/>
      <w:pPr>
        <w:ind w:left="8473" w:hanging="723"/>
      </w:pPr>
      <w:rPr>
        <w:rFonts w:hint="default"/>
        <w:lang w:val="en-US" w:eastAsia="en-US" w:bidi="ar-SA"/>
      </w:rPr>
    </w:lvl>
    <w:lvl w:ilvl="8">
      <w:numFmt w:val="bullet"/>
      <w:lvlText w:val="•"/>
      <w:lvlJc w:val="left"/>
      <w:pPr>
        <w:ind w:left="9477" w:hanging="723"/>
      </w:pPr>
      <w:rPr>
        <w:rFonts w:hint="default"/>
        <w:lang w:val="en-US" w:eastAsia="en-US" w:bidi="ar-SA"/>
      </w:rPr>
    </w:lvl>
  </w:abstractNum>
  <w:abstractNum w:abstractNumId="69" w15:restartNumberingAfterBreak="0">
    <w:nsid w:val="26E6032E"/>
    <w:multiLevelType w:val="hybridMultilevel"/>
    <w:tmpl w:val="3FB0993A"/>
    <w:lvl w:ilvl="0" w:tplc="F4F634E0">
      <w:start w:val="1"/>
      <w:numFmt w:val="lowerLetter"/>
      <w:lvlText w:val="%1)"/>
      <w:lvlJc w:val="left"/>
      <w:pPr>
        <w:ind w:left="1894"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5DC2790">
      <w:numFmt w:val="bullet"/>
      <w:lvlText w:val="•"/>
      <w:lvlJc w:val="left"/>
      <w:pPr>
        <w:ind w:left="2858" w:hanging="509"/>
      </w:pPr>
      <w:rPr>
        <w:rFonts w:hint="default"/>
        <w:lang w:val="en-US" w:eastAsia="en-US" w:bidi="ar-SA"/>
      </w:rPr>
    </w:lvl>
    <w:lvl w:ilvl="2" w:tplc="01C653C0">
      <w:numFmt w:val="bullet"/>
      <w:lvlText w:val="•"/>
      <w:lvlJc w:val="left"/>
      <w:pPr>
        <w:ind w:left="3817" w:hanging="509"/>
      </w:pPr>
      <w:rPr>
        <w:rFonts w:hint="default"/>
        <w:lang w:val="en-US" w:eastAsia="en-US" w:bidi="ar-SA"/>
      </w:rPr>
    </w:lvl>
    <w:lvl w:ilvl="3" w:tplc="6CA6A7CC">
      <w:numFmt w:val="bullet"/>
      <w:lvlText w:val="•"/>
      <w:lvlJc w:val="left"/>
      <w:pPr>
        <w:ind w:left="4776" w:hanging="509"/>
      </w:pPr>
      <w:rPr>
        <w:rFonts w:hint="default"/>
        <w:lang w:val="en-US" w:eastAsia="en-US" w:bidi="ar-SA"/>
      </w:rPr>
    </w:lvl>
    <w:lvl w:ilvl="4" w:tplc="C85E4B04">
      <w:numFmt w:val="bullet"/>
      <w:lvlText w:val="•"/>
      <w:lvlJc w:val="left"/>
      <w:pPr>
        <w:ind w:left="5734" w:hanging="509"/>
      </w:pPr>
      <w:rPr>
        <w:rFonts w:hint="default"/>
        <w:lang w:val="en-US" w:eastAsia="en-US" w:bidi="ar-SA"/>
      </w:rPr>
    </w:lvl>
    <w:lvl w:ilvl="5" w:tplc="4342BF92">
      <w:numFmt w:val="bullet"/>
      <w:lvlText w:val="•"/>
      <w:lvlJc w:val="left"/>
      <w:pPr>
        <w:ind w:left="6693" w:hanging="509"/>
      </w:pPr>
      <w:rPr>
        <w:rFonts w:hint="default"/>
        <w:lang w:val="en-US" w:eastAsia="en-US" w:bidi="ar-SA"/>
      </w:rPr>
    </w:lvl>
    <w:lvl w:ilvl="6" w:tplc="E620F7F4">
      <w:numFmt w:val="bullet"/>
      <w:lvlText w:val="•"/>
      <w:lvlJc w:val="left"/>
      <w:pPr>
        <w:ind w:left="7652" w:hanging="509"/>
      </w:pPr>
      <w:rPr>
        <w:rFonts w:hint="default"/>
        <w:lang w:val="en-US" w:eastAsia="en-US" w:bidi="ar-SA"/>
      </w:rPr>
    </w:lvl>
    <w:lvl w:ilvl="7" w:tplc="EFE4B11A">
      <w:numFmt w:val="bullet"/>
      <w:lvlText w:val="•"/>
      <w:lvlJc w:val="left"/>
      <w:pPr>
        <w:ind w:left="8611" w:hanging="509"/>
      </w:pPr>
      <w:rPr>
        <w:rFonts w:hint="default"/>
        <w:lang w:val="en-US" w:eastAsia="en-US" w:bidi="ar-SA"/>
      </w:rPr>
    </w:lvl>
    <w:lvl w:ilvl="8" w:tplc="DACC5220">
      <w:numFmt w:val="bullet"/>
      <w:lvlText w:val="•"/>
      <w:lvlJc w:val="left"/>
      <w:pPr>
        <w:ind w:left="9569" w:hanging="509"/>
      </w:pPr>
      <w:rPr>
        <w:rFonts w:hint="default"/>
        <w:lang w:val="en-US" w:eastAsia="en-US" w:bidi="ar-SA"/>
      </w:rPr>
    </w:lvl>
  </w:abstractNum>
  <w:abstractNum w:abstractNumId="70" w15:restartNumberingAfterBreak="0">
    <w:nsid w:val="26F24DC2"/>
    <w:multiLevelType w:val="hybridMultilevel"/>
    <w:tmpl w:val="84C85C90"/>
    <w:lvl w:ilvl="0" w:tplc="86086820">
      <w:start w:val="1"/>
      <w:numFmt w:val="lowerLetter"/>
      <w:lvlText w:val="%1)"/>
      <w:lvlJc w:val="left"/>
      <w:pPr>
        <w:ind w:left="1880" w:hanging="51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378F8C6">
      <w:numFmt w:val="bullet"/>
      <w:lvlText w:val="•"/>
      <w:lvlJc w:val="left"/>
      <w:pPr>
        <w:ind w:left="2840" w:hanging="512"/>
      </w:pPr>
      <w:rPr>
        <w:rFonts w:hint="default"/>
        <w:lang w:val="en-US" w:eastAsia="en-US" w:bidi="ar-SA"/>
      </w:rPr>
    </w:lvl>
    <w:lvl w:ilvl="2" w:tplc="6C8E1E6E">
      <w:numFmt w:val="bullet"/>
      <w:lvlText w:val="•"/>
      <w:lvlJc w:val="left"/>
      <w:pPr>
        <w:ind w:left="3801" w:hanging="512"/>
      </w:pPr>
      <w:rPr>
        <w:rFonts w:hint="default"/>
        <w:lang w:val="en-US" w:eastAsia="en-US" w:bidi="ar-SA"/>
      </w:rPr>
    </w:lvl>
    <w:lvl w:ilvl="3" w:tplc="BD00315C">
      <w:numFmt w:val="bullet"/>
      <w:lvlText w:val="•"/>
      <w:lvlJc w:val="left"/>
      <w:pPr>
        <w:ind w:left="4762" w:hanging="512"/>
      </w:pPr>
      <w:rPr>
        <w:rFonts w:hint="default"/>
        <w:lang w:val="en-US" w:eastAsia="en-US" w:bidi="ar-SA"/>
      </w:rPr>
    </w:lvl>
    <w:lvl w:ilvl="4" w:tplc="1026F81A">
      <w:numFmt w:val="bullet"/>
      <w:lvlText w:val="•"/>
      <w:lvlJc w:val="left"/>
      <w:pPr>
        <w:ind w:left="5722" w:hanging="512"/>
      </w:pPr>
      <w:rPr>
        <w:rFonts w:hint="default"/>
        <w:lang w:val="en-US" w:eastAsia="en-US" w:bidi="ar-SA"/>
      </w:rPr>
    </w:lvl>
    <w:lvl w:ilvl="5" w:tplc="9970F8D6">
      <w:numFmt w:val="bullet"/>
      <w:lvlText w:val="•"/>
      <w:lvlJc w:val="left"/>
      <w:pPr>
        <w:ind w:left="6683" w:hanging="512"/>
      </w:pPr>
      <w:rPr>
        <w:rFonts w:hint="default"/>
        <w:lang w:val="en-US" w:eastAsia="en-US" w:bidi="ar-SA"/>
      </w:rPr>
    </w:lvl>
    <w:lvl w:ilvl="6" w:tplc="AF3284F8">
      <w:numFmt w:val="bullet"/>
      <w:lvlText w:val="•"/>
      <w:lvlJc w:val="left"/>
      <w:pPr>
        <w:ind w:left="7644" w:hanging="512"/>
      </w:pPr>
      <w:rPr>
        <w:rFonts w:hint="default"/>
        <w:lang w:val="en-US" w:eastAsia="en-US" w:bidi="ar-SA"/>
      </w:rPr>
    </w:lvl>
    <w:lvl w:ilvl="7" w:tplc="9A7606A0">
      <w:numFmt w:val="bullet"/>
      <w:lvlText w:val="•"/>
      <w:lvlJc w:val="left"/>
      <w:pPr>
        <w:ind w:left="8605" w:hanging="512"/>
      </w:pPr>
      <w:rPr>
        <w:rFonts w:hint="default"/>
        <w:lang w:val="en-US" w:eastAsia="en-US" w:bidi="ar-SA"/>
      </w:rPr>
    </w:lvl>
    <w:lvl w:ilvl="8" w:tplc="63205356">
      <w:numFmt w:val="bullet"/>
      <w:lvlText w:val="•"/>
      <w:lvlJc w:val="left"/>
      <w:pPr>
        <w:ind w:left="9565" w:hanging="512"/>
      </w:pPr>
      <w:rPr>
        <w:rFonts w:hint="default"/>
        <w:lang w:val="en-US" w:eastAsia="en-US" w:bidi="ar-SA"/>
      </w:rPr>
    </w:lvl>
  </w:abstractNum>
  <w:abstractNum w:abstractNumId="71" w15:restartNumberingAfterBreak="0">
    <w:nsid w:val="27E94C1B"/>
    <w:multiLevelType w:val="hybridMultilevel"/>
    <w:tmpl w:val="C13827D8"/>
    <w:lvl w:ilvl="0" w:tplc="0E8422CE">
      <w:start w:val="1"/>
      <w:numFmt w:val="lowerRoman"/>
      <w:lvlText w:val="%1)"/>
      <w:lvlJc w:val="left"/>
      <w:pPr>
        <w:ind w:left="1982" w:hanging="56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99ADF3E">
      <w:numFmt w:val="bullet"/>
      <w:lvlText w:val="•"/>
      <w:lvlJc w:val="left"/>
      <w:pPr>
        <w:ind w:left="2973" w:hanging="567"/>
      </w:pPr>
      <w:rPr>
        <w:rFonts w:hint="default"/>
        <w:lang w:val="en-US" w:eastAsia="en-US" w:bidi="ar-SA"/>
      </w:rPr>
    </w:lvl>
    <w:lvl w:ilvl="2" w:tplc="08DAD786">
      <w:numFmt w:val="bullet"/>
      <w:lvlText w:val="•"/>
      <w:lvlJc w:val="left"/>
      <w:pPr>
        <w:ind w:left="3966" w:hanging="567"/>
      </w:pPr>
      <w:rPr>
        <w:rFonts w:hint="default"/>
        <w:lang w:val="en-US" w:eastAsia="en-US" w:bidi="ar-SA"/>
      </w:rPr>
    </w:lvl>
    <w:lvl w:ilvl="3" w:tplc="C72EA9A6">
      <w:numFmt w:val="bullet"/>
      <w:lvlText w:val="•"/>
      <w:lvlJc w:val="left"/>
      <w:pPr>
        <w:ind w:left="4959" w:hanging="567"/>
      </w:pPr>
      <w:rPr>
        <w:rFonts w:hint="default"/>
        <w:lang w:val="en-US" w:eastAsia="en-US" w:bidi="ar-SA"/>
      </w:rPr>
    </w:lvl>
    <w:lvl w:ilvl="4" w:tplc="D9AA055E">
      <w:numFmt w:val="bullet"/>
      <w:lvlText w:val="•"/>
      <w:lvlJc w:val="left"/>
      <w:pPr>
        <w:ind w:left="5952" w:hanging="567"/>
      </w:pPr>
      <w:rPr>
        <w:rFonts w:hint="default"/>
        <w:lang w:val="en-US" w:eastAsia="en-US" w:bidi="ar-SA"/>
      </w:rPr>
    </w:lvl>
    <w:lvl w:ilvl="5" w:tplc="2DA0DD70">
      <w:numFmt w:val="bullet"/>
      <w:lvlText w:val="•"/>
      <w:lvlJc w:val="left"/>
      <w:pPr>
        <w:ind w:left="6945" w:hanging="567"/>
      </w:pPr>
      <w:rPr>
        <w:rFonts w:hint="default"/>
        <w:lang w:val="en-US" w:eastAsia="en-US" w:bidi="ar-SA"/>
      </w:rPr>
    </w:lvl>
    <w:lvl w:ilvl="6" w:tplc="AA2838B6">
      <w:numFmt w:val="bullet"/>
      <w:lvlText w:val="•"/>
      <w:lvlJc w:val="left"/>
      <w:pPr>
        <w:ind w:left="7938" w:hanging="567"/>
      </w:pPr>
      <w:rPr>
        <w:rFonts w:hint="default"/>
        <w:lang w:val="en-US" w:eastAsia="en-US" w:bidi="ar-SA"/>
      </w:rPr>
    </w:lvl>
    <w:lvl w:ilvl="7" w:tplc="0D5E20C8">
      <w:numFmt w:val="bullet"/>
      <w:lvlText w:val="•"/>
      <w:lvlJc w:val="left"/>
      <w:pPr>
        <w:ind w:left="8931" w:hanging="567"/>
      </w:pPr>
      <w:rPr>
        <w:rFonts w:hint="default"/>
        <w:lang w:val="en-US" w:eastAsia="en-US" w:bidi="ar-SA"/>
      </w:rPr>
    </w:lvl>
    <w:lvl w:ilvl="8" w:tplc="F2403676">
      <w:numFmt w:val="bullet"/>
      <w:lvlText w:val="•"/>
      <w:lvlJc w:val="left"/>
      <w:pPr>
        <w:ind w:left="9924" w:hanging="567"/>
      </w:pPr>
      <w:rPr>
        <w:rFonts w:hint="default"/>
        <w:lang w:val="en-US" w:eastAsia="en-US" w:bidi="ar-SA"/>
      </w:rPr>
    </w:lvl>
  </w:abstractNum>
  <w:abstractNum w:abstractNumId="72" w15:restartNumberingAfterBreak="0">
    <w:nsid w:val="27EE0323"/>
    <w:multiLevelType w:val="hybridMultilevel"/>
    <w:tmpl w:val="153ABA5C"/>
    <w:lvl w:ilvl="0" w:tplc="DA3AA134">
      <w:numFmt w:val="bullet"/>
      <w:lvlText w:val="•"/>
      <w:lvlJc w:val="left"/>
      <w:pPr>
        <w:ind w:left="194" w:hanging="159"/>
      </w:pPr>
      <w:rPr>
        <w:rFonts w:ascii="Tahoma" w:eastAsia="Tahoma" w:hAnsi="Tahoma" w:cs="Tahoma" w:hint="default"/>
        <w:b w:val="0"/>
        <w:bCs w:val="0"/>
        <w:i w:val="0"/>
        <w:iCs w:val="0"/>
        <w:spacing w:val="0"/>
        <w:w w:val="129"/>
        <w:sz w:val="18"/>
        <w:szCs w:val="18"/>
        <w:lang w:val="en-US" w:eastAsia="en-US" w:bidi="ar-SA"/>
      </w:rPr>
    </w:lvl>
    <w:lvl w:ilvl="1" w:tplc="BDBA0D34">
      <w:numFmt w:val="bullet"/>
      <w:lvlText w:val="•"/>
      <w:lvlJc w:val="left"/>
      <w:pPr>
        <w:ind w:left="955" w:hanging="159"/>
      </w:pPr>
      <w:rPr>
        <w:rFonts w:hint="default"/>
        <w:lang w:val="en-US" w:eastAsia="en-US" w:bidi="ar-SA"/>
      </w:rPr>
    </w:lvl>
    <w:lvl w:ilvl="2" w:tplc="C786F404">
      <w:numFmt w:val="bullet"/>
      <w:lvlText w:val="•"/>
      <w:lvlJc w:val="left"/>
      <w:pPr>
        <w:ind w:left="1710" w:hanging="159"/>
      </w:pPr>
      <w:rPr>
        <w:rFonts w:hint="default"/>
        <w:lang w:val="en-US" w:eastAsia="en-US" w:bidi="ar-SA"/>
      </w:rPr>
    </w:lvl>
    <w:lvl w:ilvl="3" w:tplc="FF180310">
      <w:numFmt w:val="bullet"/>
      <w:lvlText w:val="•"/>
      <w:lvlJc w:val="left"/>
      <w:pPr>
        <w:ind w:left="2465" w:hanging="159"/>
      </w:pPr>
      <w:rPr>
        <w:rFonts w:hint="default"/>
        <w:lang w:val="en-US" w:eastAsia="en-US" w:bidi="ar-SA"/>
      </w:rPr>
    </w:lvl>
    <w:lvl w:ilvl="4" w:tplc="F39E84EA">
      <w:numFmt w:val="bullet"/>
      <w:lvlText w:val="•"/>
      <w:lvlJc w:val="left"/>
      <w:pPr>
        <w:ind w:left="3221" w:hanging="159"/>
      </w:pPr>
      <w:rPr>
        <w:rFonts w:hint="default"/>
        <w:lang w:val="en-US" w:eastAsia="en-US" w:bidi="ar-SA"/>
      </w:rPr>
    </w:lvl>
    <w:lvl w:ilvl="5" w:tplc="A5682BF6">
      <w:numFmt w:val="bullet"/>
      <w:lvlText w:val="•"/>
      <w:lvlJc w:val="left"/>
      <w:pPr>
        <w:ind w:left="3976" w:hanging="159"/>
      </w:pPr>
      <w:rPr>
        <w:rFonts w:hint="default"/>
        <w:lang w:val="en-US" w:eastAsia="en-US" w:bidi="ar-SA"/>
      </w:rPr>
    </w:lvl>
    <w:lvl w:ilvl="6" w:tplc="C37AD44A">
      <w:numFmt w:val="bullet"/>
      <w:lvlText w:val="•"/>
      <w:lvlJc w:val="left"/>
      <w:pPr>
        <w:ind w:left="4731" w:hanging="159"/>
      </w:pPr>
      <w:rPr>
        <w:rFonts w:hint="default"/>
        <w:lang w:val="en-US" w:eastAsia="en-US" w:bidi="ar-SA"/>
      </w:rPr>
    </w:lvl>
    <w:lvl w:ilvl="7" w:tplc="9F0282CA">
      <w:numFmt w:val="bullet"/>
      <w:lvlText w:val="•"/>
      <w:lvlJc w:val="left"/>
      <w:pPr>
        <w:ind w:left="5487" w:hanging="159"/>
      </w:pPr>
      <w:rPr>
        <w:rFonts w:hint="default"/>
        <w:lang w:val="en-US" w:eastAsia="en-US" w:bidi="ar-SA"/>
      </w:rPr>
    </w:lvl>
    <w:lvl w:ilvl="8" w:tplc="138E98DE">
      <w:numFmt w:val="bullet"/>
      <w:lvlText w:val="•"/>
      <w:lvlJc w:val="left"/>
      <w:pPr>
        <w:ind w:left="6242" w:hanging="159"/>
      </w:pPr>
      <w:rPr>
        <w:rFonts w:hint="default"/>
        <w:lang w:val="en-US" w:eastAsia="en-US" w:bidi="ar-SA"/>
      </w:rPr>
    </w:lvl>
  </w:abstractNum>
  <w:abstractNum w:abstractNumId="73" w15:restartNumberingAfterBreak="0">
    <w:nsid w:val="285324A4"/>
    <w:multiLevelType w:val="hybridMultilevel"/>
    <w:tmpl w:val="D4845758"/>
    <w:lvl w:ilvl="0" w:tplc="38708118">
      <w:start w:val="1"/>
      <w:numFmt w:val="lowerLetter"/>
      <w:lvlText w:val="%1)"/>
      <w:lvlJc w:val="left"/>
      <w:pPr>
        <w:ind w:left="1558" w:hanging="45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4A8B808">
      <w:start w:val="1"/>
      <w:numFmt w:val="lowerRoman"/>
      <w:lvlText w:val="%2)"/>
      <w:lvlJc w:val="left"/>
      <w:pPr>
        <w:ind w:left="2149" w:hanging="6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7BBA1044">
      <w:numFmt w:val="bullet"/>
      <w:lvlText w:val="•"/>
      <w:lvlJc w:val="left"/>
      <w:pPr>
        <w:ind w:left="2140" w:hanging="600"/>
      </w:pPr>
      <w:rPr>
        <w:rFonts w:hint="default"/>
        <w:lang w:val="en-US" w:eastAsia="en-US" w:bidi="ar-SA"/>
      </w:rPr>
    </w:lvl>
    <w:lvl w:ilvl="3" w:tplc="76980738">
      <w:numFmt w:val="bullet"/>
      <w:lvlText w:val="•"/>
      <w:lvlJc w:val="left"/>
      <w:pPr>
        <w:ind w:left="3308" w:hanging="600"/>
      </w:pPr>
      <w:rPr>
        <w:rFonts w:hint="default"/>
        <w:lang w:val="en-US" w:eastAsia="en-US" w:bidi="ar-SA"/>
      </w:rPr>
    </w:lvl>
    <w:lvl w:ilvl="4" w:tplc="2EEC8F68">
      <w:numFmt w:val="bullet"/>
      <w:lvlText w:val="•"/>
      <w:lvlJc w:val="left"/>
      <w:pPr>
        <w:ind w:left="4476" w:hanging="600"/>
      </w:pPr>
      <w:rPr>
        <w:rFonts w:hint="default"/>
        <w:lang w:val="en-US" w:eastAsia="en-US" w:bidi="ar-SA"/>
      </w:rPr>
    </w:lvl>
    <w:lvl w:ilvl="5" w:tplc="2B780E98">
      <w:numFmt w:val="bullet"/>
      <w:lvlText w:val="•"/>
      <w:lvlJc w:val="left"/>
      <w:pPr>
        <w:ind w:left="5645" w:hanging="600"/>
      </w:pPr>
      <w:rPr>
        <w:rFonts w:hint="default"/>
        <w:lang w:val="en-US" w:eastAsia="en-US" w:bidi="ar-SA"/>
      </w:rPr>
    </w:lvl>
    <w:lvl w:ilvl="6" w:tplc="2F0E796E">
      <w:numFmt w:val="bullet"/>
      <w:lvlText w:val="•"/>
      <w:lvlJc w:val="left"/>
      <w:pPr>
        <w:ind w:left="6813" w:hanging="600"/>
      </w:pPr>
      <w:rPr>
        <w:rFonts w:hint="default"/>
        <w:lang w:val="en-US" w:eastAsia="en-US" w:bidi="ar-SA"/>
      </w:rPr>
    </w:lvl>
    <w:lvl w:ilvl="7" w:tplc="0B4CCA56">
      <w:numFmt w:val="bullet"/>
      <w:lvlText w:val="•"/>
      <w:lvlJc w:val="left"/>
      <w:pPr>
        <w:ind w:left="7982" w:hanging="600"/>
      </w:pPr>
      <w:rPr>
        <w:rFonts w:hint="default"/>
        <w:lang w:val="en-US" w:eastAsia="en-US" w:bidi="ar-SA"/>
      </w:rPr>
    </w:lvl>
    <w:lvl w:ilvl="8" w:tplc="D96E14EA">
      <w:numFmt w:val="bullet"/>
      <w:lvlText w:val="•"/>
      <w:lvlJc w:val="left"/>
      <w:pPr>
        <w:ind w:left="9150" w:hanging="600"/>
      </w:pPr>
      <w:rPr>
        <w:rFonts w:hint="default"/>
        <w:lang w:val="en-US" w:eastAsia="en-US" w:bidi="ar-SA"/>
      </w:rPr>
    </w:lvl>
  </w:abstractNum>
  <w:abstractNum w:abstractNumId="74" w15:restartNumberingAfterBreak="0">
    <w:nsid w:val="28992F35"/>
    <w:multiLevelType w:val="hybridMultilevel"/>
    <w:tmpl w:val="97D2B89E"/>
    <w:lvl w:ilvl="0" w:tplc="014E6BC6">
      <w:start w:val="1"/>
      <w:numFmt w:val="lowerLetter"/>
      <w:lvlText w:val="%1)"/>
      <w:lvlJc w:val="left"/>
      <w:pPr>
        <w:ind w:left="187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C1EEA96">
      <w:numFmt w:val="bullet"/>
      <w:lvlText w:val="•"/>
      <w:lvlJc w:val="left"/>
      <w:pPr>
        <w:ind w:left="2840" w:hanging="495"/>
      </w:pPr>
      <w:rPr>
        <w:rFonts w:hint="default"/>
        <w:lang w:val="en-US" w:eastAsia="en-US" w:bidi="ar-SA"/>
      </w:rPr>
    </w:lvl>
    <w:lvl w:ilvl="2" w:tplc="041C0150">
      <w:numFmt w:val="bullet"/>
      <w:lvlText w:val="•"/>
      <w:lvlJc w:val="left"/>
      <w:pPr>
        <w:ind w:left="3801" w:hanging="495"/>
      </w:pPr>
      <w:rPr>
        <w:rFonts w:hint="default"/>
        <w:lang w:val="en-US" w:eastAsia="en-US" w:bidi="ar-SA"/>
      </w:rPr>
    </w:lvl>
    <w:lvl w:ilvl="3" w:tplc="D2E89DF4">
      <w:numFmt w:val="bullet"/>
      <w:lvlText w:val="•"/>
      <w:lvlJc w:val="left"/>
      <w:pPr>
        <w:ind w:left="4762" w:hanging="495"/>
      </w:pPr>
      <w:rPr>
        <w:rFonts w:hint="default"/>
        <w:lang w:val="en-US" w:eastAsia="en-US" w:bidi="ar-SA"/>
      </w:rPr>
    </w:lvl>
    <w:lvl w:ilvl="4" w:tplc="26CCAAD2">
      <w:numFmt w:val="bullet"/>
      <w:lvlText w:val="•"/>
      <w:lvlJc w:val="left"/>
      <w:pPr>
        <w:ind w:left="5722" w:hanging="495"/>
      </w:pPr>
      <w:rPr>
        <w:rFonts w:hint="default"/>
        <w:lang w:val="en-US" w:eastAsia="en-US" w:bidi="ar-SA"/>
      </w:rPr>
    </w:lvl>
    <w:lvl w:ilvl="5" w:tplc="AA90095A">
      <w:numFmt w:val="bullet"/>
      <w:lvlText w:val="•"/>
      <w:lvlJc w:val="left"/>
      <w:pPr>
        <w:ind w:left="6683" w:hanging="495"/>
      </w:pPr>
      <w:rPr>
        <w:rFonts w:hint="default"/>
        <w:lang w:val="en-US" w:eastAsia="en-US" w:bidi="ar-SA"/>
      </w:rPr>
    </w:lvl>
    <w:lvl w:ilvl="6" w:tplc="048CC82A">
      <w:numFmt w:val="bullet"/>
      <w:lvlText w:val="•"/>
      <w:lvlJc w:val="left"/>
      <w:pPr>
        <w:ind w:left="7644" w:hanging="495"/>
      </w:pPr>
      <w:rPr>
        <w:rFonts w:hint="default"/>
        <w:lang w:val="en-US" w:eastAsia="en-US" w:bidi="ar-SA"/>
      </w:rPr>
    </w:lvl>
    <w:lvl w:ilvl="7" w:tplc="6C3811D0">
      <w:numFmt w:val="bullet"/>
      <w:lvlText w:val="•"/>
      <w:lvlJc w:val="left"/>
      <w:pPr>
        <w:ind w:left="8605" w:hanging="495"/>
      </w:pPr>
      <w:rPr>
        <w:rFonts w:hint="default"/>
        <w:lang w:val="en-US" w:eastAsia="en-US" w:bidi="ar-SA"/>
      </w:rPr>
    </w:lvl>
    <w:lvl w:ilvl="8" w:tplc="D590A2AA">
      <w:numFmt w:val="bullet"/>
      <w:lvlText w:val="•"/>
      <w:lvlJc w:val="left"/>
      <w:pPr>
        <w:ind w:left="9565" w:hanging="495"/>
      </w:pPr>
      <w:rPr>
        <w:rFonts w:hint="default"/>
        <w:lang w:val="en-US" w:eastAsia="en-US" w:bidi="ar-SA"/>
      </w:rPr>
    </w:lvl>
  </w:abstractNum>
  <w:abstractNum w:abstractNumId="75" w15:restartNumberingAfterBreak="0">
    <w:nsid w:val="28CE18DD"/>
    <w:multiLevelType w:val="multilevel"/>
    <w:tmpl w:val="FA24E588"/>
    <w:lvl w:ilvl="0">
      <w:start w:val="27"/>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i w:val="0"/>
        <w:iCs w:val="0"/>
        <w:color w:val="221F1F"/>
        <w:spacing w:val="-27"/>
        <w:w w:val="100"/>
        <w:sz w:val="22"/>
        <w:szCs w:val="22"/>
        <w:lang w:val="en-US" w:eastAsia="en-US" w:bidi="ar-SA"/>
      </w:rPr>
    </w:lvl>
    <w:lvl w:ilvl="2">
      <w:numFmt w:val="bullet"/>
      <w:lvlText w:val="•"/>
      <w:lvlJc w:val="left"/>
      <w:pPr>
        <w:ind w:left="3502" w:hanging="570"/>
      </w:pPr>
      <w:rPr>
        <w:rFonts w:hint="default"/>
        <w:lang w:val="en-US" w:eastAsia="en-US" w:bidi="ar-SA"/>
      </w:rPr>
    </w:lvl>
    <w:lvl w:ilvl="3">
      <w:numFmt w:val="bullet"/>
      <w:lvlText w:val="•"/>
      <w:lvlJc w:val="left"/>
      <w:pPr>
        <w:ind w:left="4553" w:hanging="570"/>
      </w:pPr>
      <w:rPr>
        <w:rFonts w:hint="default"/>
        <w:lang w:val="en-US" w:eastAsia="en-US" w:bidi="ar-SA"/>
      </w:rPr>
    </w:lvl>
    <w:lvl w:ilvl="4">
      <w:numFmt w:val="bullet"/>
      <w:lvlText w:val="•"/>
      <w:lvlJc w:val="left"/>
      <w:pPr>
        <w:ind w:left="5604" w:hanging="570"/>
      </w:pPr>
      <w:rPr>
        <w:rFonts w:hint="default"/>
        <w:lang w:val="en-US" w:eastAsia="en-US" w:bidi="ar-SA"/>
      </w:rPr>
    </w:lvl>
    <w:lvl w:ilvl="5">
      <w:numFmt w:val="bullet"/>
      <w:lvlText w:val="•"/>
      <w:lvlJc w:val="left"/>
      <w:pPr>
        <w:ind w:left="6655" w:hanging="570"/>
      </w:pPr>
      <w:rPr>
        <w:rFonts w:hint="default"/>
        <w:lang w:val="en-US" w:eastAsia="en-US" w:bidi="ar-SA"/>
      </w:rPr>
    </w:lvl>
    <w:lvl w:ilvl="6">
      <w:numFmt w:val="bullet"/>
      <w:lvlText w:val="•"/>
      <w:lvlJc w:val="left"/>
      <w:pPr>
        <w:ind w:left="7706" w:hanging="570"/>
      </w:pPr>
      <w:rPr>
        <w:rFonts w:hint="default"/>
        <w:lang w:val="en-US" w:eastAsia="en-US" w:bidi="ar-SA"/>
      </w:rPr>
    </w:lvl>
    <w:lvl w:ilvl="7">
      <w:numFmt w:val="bullet"/>
      <w:lvlText w:val="•"/>
      <w:lvlJc w:val="left"/>
      <w:pPr>
        <w:ind w:left="8757" w:hanging="570"/>
      </w:pPr>
      <w:rPr>
        <w:rFonts w:hint="default"/>
        <w:lang w:val="en-US" w:eastAsia="en-US" w:bidi="ar-SA"/>
      </w:rPr>
    </w:lvl>
    <w:lvl w:ilvl="8">
      <w:numFmt w:val="bullet"/>
      <w:lvlText w:val="•"/>
      <w:lvlJc w:val="left"/>
      <w:pPr>
        <w:ind w:left="9808" w:hanging="570"/>
      </w:pPr>
      <w:rPr>
        <w:rFonts w:hint="default"/>
        <w:lang w:val="en-US" w:eastAsia="en-US" w:bidi="ar-SA"/>
      </w:rPr>
    </w:lvl>
  </w:abstractNum>
  <w:abstractNum w:abstractNumId="76" w15:restartNumberingAfterBreak="0">
    <w:nsid w:val="291A12D7"/>
    <w:multiLevelType w:val="hybridMultilevel"/>
    <w:tmpl w:val="00424518"/>
    <w:lvl w:ilvl="0" w:tplc="1DE41128">
      <w:start w:val="1"/>
      <w:numFmt w:val="lowerLetter"/>
      <w:lvlText w:val="%1)"/>
      <w:lvlJc w:val="left"/>
      <w:pPr>
        <w:ind w:left="1647" w:hanging="40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848ACFC">
      <w:start w:val="1"/>
      <w:numFmt w:val="lowerRoman"/>
      <w:lvlText w:val="%2)"/>
      <w:lvlJc w:val="left"/>
      <w:pPr>
        <w:ind w:left="2137" w:hanging="48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C792C6F4">
      <w:numFmt w:val="bullet"/>
      <w:lvlText w:val="•"/>
      <w:lvlJc w:val="left"/>
      <w:pPr>
        <w:ind w:left="2453" w:hanging="324"/>
      </w:pPr>
      <w:rPr>
        <w:rFonts w:ascii="Times New Roman" w:eastAsia="Times New Roman" w:hAnsi="Times New Roman" w:cs="Times New Roman" w:hint="default"/>
        <w:b w:val="0"/>
        <w:bCs w:val="0"/>
        <w:i w:val="0"/>
        <w:iCs w:val="0"/>
        <w:color w:val="221F1F"/>
        <w:spacing w:val="0"/>
        <w:w w:val="97"/>
        <w:sz w:val="22"/>
        <w:szCs w:val="22"/>
        <w:lang w:val="en-US" w:eastAsia="en-US" w:bidi="ar-SA"/>
      </w:rPr>
    </w:lvl>
    <w:lvl w:ilvl="3" w:tplc="F2BA8D94">
      <w:numFmt w:val="bullet"/>
      <w:lvlText w:val="•"/>
      <w:lvlJc w:val="left"/>
      <w:pPr>
        <w:ind w:left="3588" w:hanging="324"/>
      </w:pPr>
      <w:rPr>
        <w:rFonts w:hint="default"/>
        <w:lang w:val="en-US" w:eastAsia="en-US" w:bidi="ar-SA"/>
      </w:rPr>
    </w:lvl>
    <w:lvl w:ilvl="4" w:tplc="06403F8A">
      <w:numFmt w:val="bullet"/>
      <w:lvlText w:val="•"/>
      <w:lvlJc w:val="left"/>
      <w:pPr>
        <w:ind w:left="4716" w:hanging="324"/>
      </w:pPr>
      <w:rPr>
        <w:rFonts w:hint="default"/>
        <w:lang w:val="en-US" w:eastAsia="en-US" w:bidi="ar-SA"/>
      </w:rPr>
    </w:lvl>
    <w:lvl w:ilvl="5" w:tplc="F76A2D20">
      <w:numFmt w:val="bullet"/>
      <w:lvlText w:val="•"/>
      <w:lvlJc w:val="left"/>
      <w:pPr>
        <w:ind w:left="5845" w:hanging="324"/>
      </w:pPr>
      <w:rPr>
        <w:rFonts w:hint="default"/>
        <w:lang w:val="en-US" w:eastAsia="en-US" w:bidi="ar-SA"/>
      </w:rPr>
    </w:lvl>
    <w:lvl w:ilvl="6" w:tplc="926841C2">
      <w:numFmt w:val="bullet"/>
      <w:lvlText w:val="•"/>
      <w:lvlJc w:val="left"/>
      <w:pPr>
        <w:ind w:left="6973" w:hanging="324"/>
      </w:pPr>
      <w:rPr>
        <w:rFonts w:hint="default"/>
        <w:lang w:val="en-US" w:eastAsia="en-US" w:bidi="ar-SA"/>
      </w:rPr>
    </w:lvl>
    <w:lvl w:ilvl="7" w:tplc="33A24BF6">
      <w:numFmt w:val="bullet"/>
      <w:lvlText w:val="•"/>
      <w:lvlJc w:val="left"/>
      <w:pPr>
        <w:ind w:left="8102" w:hanging="324"/>
      </w:pPr>
      <w:rPr>
        <w:rFonts w:hint="default"/>
        <w:lang w:val="en-US" w:eastAsia="en-US" w:bidi="ar-SA"/>
      </w:rPr>
    </w:lvl>
    <w:lvl w:ilvl="8" w:tplc="6B4E0CCE">
      <w:numFmt w:val="bullet"/>
      <w:lvlText w:val="•"/>
      <w:lvlJc w:val="left"/>
      <w:pPr>
        <w:ind w:left="9230" w:hanging="324"/>
      </w:pPr>
      <w:rPr>
        <w:rFonts w:hint="default"/>
        <w:lang w:val="en-US" w:eastAsia="en-US" w:bidi="ar-SA"/>
      </w:rPr>
    </w:lvl>
  </w:abstractNum>
  <w:abstractNum w:abstractNumId="77" w15:restartNumberingAfterBreak="0">
    <w:nsid w:val="29CD6928"/>
    <w:multiLevelType w:val="hybridMultilevel"/>
    <w:tmpl w:val="D24661C2"/>
    <w:lvl w:ilvl="0" w:tplc="E4B6D102">
      <w:start w:val="1"/>
      <w:numFmt w:val="lowerLetter"/>
      <w:lvlText w:val="%1)"/>
      <w:lvlJc w:val="left"/>
      <w:pPr>
        <w:ind w:left="1820" w:hanging="54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48A846C">
      <w:numFmt w:val="bullet"/>
      <w:lvlText w:val="•"/>
      <w:lvlJc w:val="left"/>
      <w:pPr>
        <w:ind w:left="2786" w:hanging="548"/>
      </w:pPr>
      <w:rPr>
        <w:rFonts w:hint="default"/>
        <w:lang w:val="en-US" w:eastAsia="en-US" w:bidi="ar-SA"/>
      </w:rPr>
    </w:lvl>
    <w:lvl w:ilvl="2" w:tplc="C33427A6">
      <w:numFmt w:val="bullet"/>
      <w:lvlText w:val="•"/>
      <w:lvlJc w:val="left"/>
      <w:pPr>
        <w:ind w:left="3753" w:hanging="548"/>
      </w:pPr>
      <w:rPr>
        <w:rFonts w:hint="default"/>
        <w:lang w:val="en-US" w:eastAsia="en-US" w:bidi="ar-SA"/>
      </w:rPr>
    </w:lvl>
    <w:lvl w:ilvl="3" w:tplc="8340D810">
      <w:numFmt w:val="bullet"/>
      <w:lvlText w:val="•"/>
      <w:lvlJc w:val="left"/>
      <w:pPr>
        <w:ind w:left="4720" w:hanging="548"/>
      </w:pPr>
      <w:rPr>
        <w:rFonts w:hint="default"/>
        <w:lang w:val="en-US" w:eastAsia="en-US" w:bidi="ar-SA"/>
      </w:rPr>
    </w:lvl>
    <w:lvl w:ilvl="4" w:tplc="661A49F2">
      <w:numFmt w:val="bullet"/>
      <w:lvlText w:val="•"/>
      <w:lvlJc w:val="left"/>
      <w:pPr>
        <w:ind w:left="5686" w:hanging="548"/>
      </w:pPr>
      <w:rPr>
        <w:rFonts w:hint="default"/>
        <w:lang w:val="en-US" w:eastAsia="en-US" w:bidi="ar-SA"/>
      </w:rPr>
    </w:lvl>
    <w:lvl w:ilvl="5" w:tplc="451A4624">
      <w:numFmt w:val="bullet"/>
      <w:lvlText w:val="•"/>
      <w:lvlJc w:val="left"/>
      <w:pPr>
        <w:ind w:left="6653" w:hanging="548"/>
      </w:pPr>
      <w:rPr>
        <w:rFonts w:hint="default"/>
        <w:lang w:val="en-US" w:eastAsia="en-US" w:bidi="ar-SA"/>
      </w:rPr>
    </w:lvl>
    <w:lvl w:ilvl="6" w:tplc="4356A592">
      <w:numFmt w:val="bullet"/>
      <w:lvlText w:val="•"/>
      <w:lvlJc w:val="left"/>
      <w:pPr>
        <w:ind w:left="7620" w:hanging="548"/>
      </w:pPr>
      <w:rPr>
        <w:rFonts w:hint="default"/>
        <w:lang w:val="en-US" w:eastAsia="en-US" w:bidi="ar-SA"/>
      </w:rPr>
    </w:lvl>
    <w:lvl w:ilvl="7" w:tplc="79C63EA2">
      <w:numFmt w:val="bullet"/>
      <w:lvlText w:val="•"/>
      <w:lvlJc w:val="left"/>
      <w:pPr>
        <w:ind w:left="8587" w:hanging="548"/>
      </w:pPr>
      <w:rPr>
        <w:rFonts w:hint="default"/>
        <w:lang w:val="en-US" w:eastAsia="en-US" w:bidi="ar-SA"/>
      </w:rPr>
    </w:lvl>
    <w:lvl w:ilvl="8" w:tplc="40BCF2E0">
      <w:numFmt w:val="bullet"/>
      <w:lvlText w:val="•"/>
      <w:lvlJc w:val="left"/>
      <w:pPr>
        <w:ind w:left="9553" w:hanging="548"/>
      </w:pPr>
      <w:rPr>
        <w:rFonts w:hint="default"/>
        <w:lang w:val="en-US" w:eastAsia="en-US" w:bidi="ar-SA"/>
      </w:rPr>
    </w:lvl>
  </w:abstractNum>
  <w:abstractNum w:abstractNumId="78" w15:restartNumberingAfterBreak="0">
    <w:nsid w:val="2A193255"/>
    <w:multiLevelType w:val="multilevel"/>
    <w:tmpl w:val="2E5AA17C"/>
    <w:lvl w:ilvl="0">
      <w:start w:val="13"/>
      <w:numFmt w:val="decimal"/>
      <w:lvlText w:val="%1"/>
      <w:lvlJc w:val="left"/>
      <w:pPr>
        <w:ind w:left="1371" w:hanging="661"/>
      </w:pPr>
      <w:rPr>
        <w:rFonts w:hint="default"/>
        <w:lang w:val="en-US" w:eastAsia="en-US" w:bidi="ar-SA"/>
      </w:rPr>
    </w:lvl>
    <w:lvl w:ilvl="1">
      <w:start w:val="2"/>
      <w:numFmt w:val="decimal"/>
      <w:lvlText w:val="%1.%2"/>
      <w:lvlJc w:val="left"/>
      <w:pPr>
        <w:ind w:left="1371" w:hanging="661"/>
      </w:pPr>
      <w:rPr>
        <w:rFonts w:hint="default"/>
        <w:lang w:val="en-US" w:eastAsia="en-US" w:bidi="ar-SA"/>
      </w:rPr>
    </w:lvl>
    <w:lvl w:ilvl="2">
      <w:start w:val="3"/>
      <w:numFmt w:val="decimal"/>
      <w:lvlText w:val="%1.%2.%3"/>
      <w:lvlJc w:val="left"/>
      <w:pPr>
        <w:ind w:left="1371" w:hanging="661"/>
      </w:pPr>
      <w:rPr>
        <w:rFonts w:ascii="Times New Roman" w:eastAsia="Times New Roman" w:hAnsi="Times New Roman" w:cs="Times New Roman" w:hint="default"/>
        <w:b w:val="0"/>
        <w:bCs w:val="0"/>
        <w:i w:val="0"/>
        <w:iCs w:val="0"/>
        <w:color w:val="221F1F"/>
        <w:spacing w:val="-25"/>
        <w:w w:val="97"/>
        <w:sz w:val="22"/>
        <w:szCs w:val="22"/>
        <w:lang w:val="en-US" w:eastAsia="en-US" w:bidi="ar-SA"/>
      </w:rPr>
    </w:lvl>
    <w:lvl w:ilvl="3">
      <w:start w:val="1"/>
      <w:numFmt w:val="lowerLetter"/>
      <w:lvlText w:val="%4)"/>
      <w:lvlJc w:val="left"/>
      <w:pPr>
        <w:ind w:left="1868" w:hanging="49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start w:val="1"/>
      <w:numFmt w:val="lowerRoman"/>
      <w:lvlText w:val="%5)"/>
      <w:lvlJc w:val="left"/>
      <w:pPr>
        <w:ind w:left="2242" w:hanging="38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5">
      <w:numFmt w:val="bullet"/>
      <w:lvlText w:val="•"/>
      <w:lvlJc w:val="left"/>
      <w:pPr>
        <w:ind w:left="5707" w:hanging="382"/>
      </w:pPr>
      <w:rPr>
        <w:rFonts w:hint="default"/>
        <w:lang w:val="en-US" w:eastAsia="en-US" w:bidi="ar-SA"/>
      </w:rPr>
    </w:lvl>
    <w:lvl w:ilvl="6">
      <w:numFmt w:val="bullet"/>
      <w:lvlText w:val="•"/>
      <w:lvlJc w:val="left"/>
      <w:pPr>
        <w:ind w:left="6863" w:hanging="382"/>
      </w:pPr>
      <w:rPr>
        <w:rFonts w:hint="default"/>
        <w:lang w:val="en-US" w:eastAsia="en-US" w:bidi="ar-SA"/>
      </w:rPr>
    </w:lvl>
    <w:lvl w:ilvl="7">
      <w:numFmt w:val="bullet"/>
      <w:lvlText w:val="•"/>
      <w:lvlJc w:val="left"/>
      <w:pPr>
        <w:ind w:left="8019" w:hanging="382"/>
      </w:pPr>
      <w:rPr>
        <w:rFonts w:hint="default"/>
        <w:lang w:val="en-US" w:eastAsia="en-US" w:bidi="ar-SA"/>
      </w:rPr>
    </w:lvl>
    <w:lvl w:ilvl="8">
      <w:numFmt w:val="bullet"/>
      <w:lvlText w:val="•"/>
      <w:lvlJc w:val="left"/>
      <w:pPr>
        <w:ind w:left="9175" w:hanging="382"/>
      </w:pPr>
      <w:rPr>
        <w:rFonts w:hint="default"/>
        <w:lang w:val="en-US" w:eastAsia="en-US" w:bidi="ar-SA"/>
      </w:rPr>
    </w:lvl>
  </w:abstractNum>
  <w:abstractNum w:abstractNumId="79" w15:restartNumberingAfterBreak="0">
    <w:nsid w:val="2B481ABF"/>
    <w:multiLevelType w:val="hybridMultilevel"/>
    <w:tmpl w:val="A53C7D48"/>
    <w:lvl w:ilvl="0" w:tplc="98EC33D4">
      <w:start w:val="1"/>
      <w:numFmt w:val="decimal"/>
      <w:lvlText w:val="%1."/>
      <w:lvlJc w:val="left"/>
      <w:pPr>
        <w:ind w:left="279" w:hanging="180"/>
      </w:pPr>
      <w:rPr>
        <w:rFonts w:ascii="Times New Roman" w:eastAsia="Times New Roman" w:hAnsi="Times New Roman" w:cs="Times New Roman" w:hint="default"/>
        <w:b w:val="0"/>
        <w:bCs w:val="0"/>
        <w:i w:val="0"/>
        <w:iCs w:val="0"/>
        <w:spacing w:val="0"/>
        <w:w w:val="99"/>
        <w:sz w:val="20"/>
        <w:szCs w:val="20"/>
        <w:lang w:val="en-US" w:eastAsia="en-US" w:bidi="ar-SA"/>
      </w:rPr>
    </w:lvl>
    <w:lvl w:ilvl="1" w:tplc="B038055A">
      <w:numFmt w:val="bullet"/>
      <w:lvlText w:val="•"/>
      <w:lvlJc w:val="left"/>
      <w:pPr>
        <w:ind w:left="475" w:hanging="180"/>
      </w:pPr>
      <w:rPr>
        <w:rFonts w:hint="default"/>
        <w:lang w:val="en-US" w:eastAsia="en-US" w:bidi="ar-SA"/>
      </w:rPr>
    </w:lvl>
    <w:lvl w:ilvl="2" w:tplc="8D5A61E6">
      <w:numFmt w:val="bullet"/>
      <w:lvlText w:val="•"/>
      <w:lvlJc w:val="left"/>
      <w:pPr>
        <w:ind w:left="670" w:hanging="180"/>
      </w:pPr>
      <w:rPr>
        <w:rFonts w:hint="default"/>
        <w:lang w:val="en-US" w:eastAsia="en-US" w:bidi="ar-SA"/>
      </w:rPr>
    </w:lvl>
    <w:lvl w:ilvl="3" w:tplc="45DA4150">
      <w:numFmt w:val="bullet"/>
      <w:lvlText w:val="•"/>
      <w:lvlJc w:val="left"/>
      <w:pPr>
        <w:ind w:left="865" w:hanging="180"/>
      </w:pPr>
      <w:rPr>
        <w:rFonts w:hint="default"/>
        <w:lang w:val="en-US" w:eastAsia="en-US" w:bidi="ar-SA"/>
      </w:rPr>
    </w:lvl>
    <w:lvl w:ilvl="4" w:tplc="0CEC220A">
      <w:numFmt w:val="bullet"/>
      <w:lvlText w:val="•"/>
      <w:lvlJc w:val="left"/>
      <w:pPr>
        <w:ind w:left="1061" w:hanging="180"/>
      </w:pPr>
      <w:rPr>
        <w:rFonts w:hint="default"/>
        <w:lang w:val="en-US" w:eastAsia="en-US" w:bidi="ar-SA"/>
      </w:rPr>
    </w:lvl>
    <w:lvl w:ilvl="5" w:tplc="42F8ADC2">
      <w:numFmt w:val="bullet"/>
      <w:lvlText w:val="•"/>
      <w:lvlJc w:val="left"/>
      <w:pPr>
        <w:ind w:left="1256" w:hanging="180"/>
      </w:pPr>
      <w:rPr>
        <w:rFonts w:hint="default"/>
        <w:lang w:val="en-US" w:eastAsia="en-US" w:bidi="ar-SA"/>
      </w:rPr>
    </w:lvl>
    <w:lvl w:ilvl="6" w:tplc="A098745C">
      <w:numFmt w:val="bullet"/>
      <w:lvlText w:val="•"/>
      <w:lvlJc w:val="left"/>
      <w:pPr>
        <w:ind w:left="1451" w:hanging="180"/>
      </w:pPr>
      <w:rPr>
        <w:rFonts w:hint="default"/>
        <w:lang w:val="en-US" w:eastAsia="en-US" w:bidi="ar-SA"/>
      </w:rPr>
    </w:lvl>
    <w:lvl w:ilvl="7" w:tplc="7D824C2C">
      <w:numFmt w:val="bullet"/>
      <w:lvlText w:val="•"/>
      <w:lvlJc w:val="left"/>
      <w:pPr>
        <w:ind w:left="1647" w:hanging="180"/>
      </w:pPr>
      <w:rPr>
        <w:rFonts w:hint="default"/>
        <w:lang w:val="en-US" w:eastAsia="en-US" w:bidi="ar-SA"/>
      </w:rPr>
    </w:lvl>
    <w:lvl w:ilvl="8" w:tplc="B51205C4">
      <w:numFmt w:val="bullet"/>
      <w:lvlText w:val="•"/>
      <w:lvlJc w:val="left"/>
      <w:pPr>
        <w:ind w:left="1842" w:hanging="180"/>
      </w:pPr>
      <w:rPr>
        <w:rFonts w:hint="default"/>
        <w:lang w:val="en-US" w:eastAsia="en-US" w:bidi="ar-SA"/>
      </w:rPr>
    </w:lvl>
  </w:abstractNum>
  <w:abstractNum w:abstractNumId="80" w15:restartNumberingAfterBreak="0">
    <w:nsid w:val="2BB91F73"/>
    <w:multiLevelType w:val="hybridMultilevel"/>
    <w:tmpl w:val="634E0256"/>
    <w:lvl w:ilvl="0" w:tplc="E1B69C14">
      <w:start w:val="1"/>
      <w:numFmt w:val="lowerLetter"/>
      <w:lvlText w:val="(%1)"/>
      <w:lvlJc w:val="left"/>
      <w:pPr>
        <w:ind w:left="128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1" w:tplc="43D6B7A0">
      <w:numFmt w:val="bullet"/>
      <w:lvlText w:val="•"/>
      <w:lvlJc w:val="left"/>
      <w:pPr>
        <w:ind w:left="2300" w:hanging="721"/>
      </w:pPr>
      <w:rPr>
        <w:rFonts w:hint="default"/>
        <w:lang w:val="en-US" w:eastAsia="en-US" w:bidi="ar-SA"/>
      </w:rPr>
    </w:lvl>
    <w:lvl w:ilvl="2" w:tplc="006815E0">
      <w:numFmt w:val="bullet"/>
      <w:lvlText w:val="•"/>
      <w:lvlJc w:val="left"/>
      <w:pPr>
        <w:ind w:left="3321" w:hanging="721"/>
      </w:pPr>
      <w:rPr>
        <w:rFonts w:hint="default"/>
        <w:lang w:val="en-US" w:eastAsia="en-US" w:bidi="ar-SA"/>
      </w:rPr>
    </w:lvl>
    <w:lvl w:ilvl="3" w:tplc="9BFA6972">
      <w:numFmt w:val="bullet"/>
      <w:lvlText w:val="•"/>
      <w:lvlJc w:val="left"/>
      <w:pPr>
        <w:ind w:left="4342" w:hanging="721"/>
      </w:pPr>
      <w:rPr>
        <w:rFonts w:hint="default"/>
        <w:lang w:val="en-US" w:eastAsia="en-US" w:bidi="ar-SA"/>
      </w:rPr>
    </w:lvl>
    <w:lvl w:ilvl="4" w:tplc="9294D804">
      <w:numFmt w:val="bullet"/>
      <w:lvlText w:val="•"/>
      <w:lvlJc w:val="left"/>
      <w:pPr>
        <w:ind w:left="5362" w:hanging="721"/>
      </w:pPr>
      <w:rPr>
        <w:rFonts w:hint="default"/>
        <w:lang w:val="en-US" w:eastAsia="en-US" w:bidi="ar-SA"/>
      </w:rPr>
    </w:lvl>
    <w:lvl w:ilvl="5" w:tplc="9EA6EA1E">
      <w:numFmt w:val="bullet"/>
      <w:lvlText w:val="•"/>
      <w:lvlJc w:val="left"/>
      <w:pPr>
        <w:ind w:left="6383" w:hanging="721"/>
      </w:pPr>
      <w:rPr>
        <w:rFonts w:hint="default"/>
        <w:lang w:val="en-US" w:eastAsia="en-US" w:bidi="ar-SA"/>
      </w:rPr>
    </w:lvl>
    <w:lvl w:ilvl="6" w:tplc="3D322584">
      <w:numFmt w:val="bullet"/>
      <w:lvlText w:val="•"/>
      <w:lvlJc w:val="left"/>
      <w:pPr>
        <w:ind w:left="7404" w:hanging="721"/>
      </w:pPr>
      <w:rPr>
        <w:rFonts w:hint="default"/>
        <w:lang w:val="en-US" w:eastAsia="en-US" w:bidi="ar-SA"/>
      </w:rPr>
    </w:lvl>
    <w:lvl w:ilvl="7" w:tplc="A41A1C16">
      <w:numFmt w:val="bullet"/>
      <w:lvlText w:val="•"/>
      <w:lvlJc w:val="left"/>
      <w:pPr>
        <w:ind w:left="8425" w:hanging="721"/>
      </w:pPr>
      <w:rPr>
        <w:rFonts w:hint="default"/>
        <w:lang w:val="en-US" w:eastAsia="en-US" w:bidi="ar-SA"/>
      </w:rPr>
    </w:lvl>
    <w:lvl w:ilvl="8" w:tplc="C42ECA8E">
      <w:numFmt w:val="bullet"/>
      <w:lvlText w:val="•"/>
      <w:lvlJc w:val="left"/>
      <w:pPr>
        <w:ind w:left="9445" w:hanging="721"/>
      </w:pPr>
      <w:rPr>
        <w:rFonts w:hint="default"/>
        <w:lang w:val="en-US" w:eastAsia="en-US" w:bidi="ar-SA"/>
      </w:rPr>
    </w:lvl>
  </w:abstractNum>
  <w:abstractNum w:abstractNumId="81" w15:restartNumberingAfterBreak="0">
    <w:nsid w:val="2D252423"/>
    <w:multiLevelType w:val="hybridMultilevel"/>
    <w:tmpl w:val="1206E590"/>
    <w:lvl w:ilvl="0" w:tplc="47E47ECE">
      <w:start w:val="1"/>
      <w:numFmt w:val="lowerLetter"/>
      <w:lvlText w:val="%1)"/>
      <w:lvlJc w:val="left"/>
      <w:pPr>
        <w:ind w:left="1873"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2EA60FC">
      <w:numFmt w:val="bullet"/>
      <w:lvlText w:val="•"/>
      <w:lvlJc w:val="left"/>
      <w:pPr>
        <w:ind w:left="2840" w:hanging="447"/>
      </w:pPr>
      <w:rPr>
        <w:rFonts w:hint="default"/>
        <w:lang w:val="en-US" w:eastAsia="en-US" w:bidi="ar-SA"/>
      </w:rPr>
    </w:lvl>
    <w:lvl w:ilvl="2" w:tplc="131EC30E">
      <w:numFmt w:val="bullet"/>
      <w:lvlText w:val="•"/>
      <w:lvlJc w:val="left"/>
      <w:pPr>
        <w:ind w:left="3801" w:hanging="447"/>
      </w:pPr>
      <w:rPr>
        <w:rFonts w:hint="default"/>
        <w:lang w:val="en-US" w:eastAsia="en-US" w:bidi="ar-SA"/>
      </w:rPr>
    </w:lvl>
    <w:lvl w:ilvl="3" w:tplc="814CDB68">
      <w:numFmt w:val="bullet"/>
      <w:lvlText w:val="•"/>
      <w:lvlJc w:val="left"/>
      <w:pPr>
        <w:ind w:left="4762" w:hanging="447"/>
      </w:pPr>
      <w:rPr>
        <w:rFonts w:hint="default"/>
        <w:lang w:val="en-US" w:eastAsia="en-US" w:bidi="ar-SA"/>
      </w:rPr>
    </w:lvl>
    <w:lvl w:ilvl="4" w:tplc="C7720EBA">
      <w:numFmt w:val="bullet"/>
      <w:lvlText w:val="•"/>
      <w:lvlJc w:val="left"/>
      <w:pPr>
        <w:ind w:left="5722" w:hanging="447"/>
      </w:pPr>
      <w:rPr>
        <w:rFonts w:hint="default"/>
        <w:lang w:val="en-US" w:eastAsia="en-US" w:bidi="ar-SA"/>
      </w:rPr>
    </w:lvl>
    <w:lvl w:ilvl="5" w:tplc="6D1654BC">
      <w:numFmt w:val="bullet"/>
      <w:lvlText w:val="•"/>
      <w:lvlJc w:val="left"/>
      <w:pPr>
        <w:ind w:left="6683" w:hanging="447"/>
      </w:pPr>
      <w:rPr>
        <w:rFonts w:hint="default"/>
        <w:lang w:val="en-US" w:eastAsia="en-US" w:bidi="ar-SA"/>
      </w:rPr>
    </w:lvl>
    <w:lvl w:ilvl="6" w:tplc="1AC0843A">
      <w:numFmt w:val="bullet"/>
      <w:lvlText w:val="•"/>
      <w:lvlJc w:val="left"/>
      <w:pPr>
        <w:ind w:left="7644" w:hanging="447"/>
      </w:pPr>
      <w:rPr>
        <w:rFonts w:hint="default"/>
        <w:lang w:val="en-US" w:eastAsia="en-US" w:bidi="ar-SA"/>
      </w:rPr>
    </w:lvl>
    <w:lvl w:ilvl="7" w:tplc="2EC809B0">
      <w:numFmt w:val="bullet"/>
      <w:lvlText w:val="•"/>
      <w:lvlJc w:val="left"/>
      <w:pPr>
        <w:ind w:left="8605" w:hanging="447"/>
      </w:pPr>
      <w:rPr>
        <w:rFonts w:hint="default"/>
        <w:lang w:val="en-US" w:eastAsia="en-US" w:bidi="ar-SA"/>
      </w:rPr>
    </w:lvl>
    <w:lvl w:ilvl="8" w:tplc="18D02880">
      <w:numFmt w:val="bullet"/>
      <w:lvlText w:val="•"/>
      <w:lvlJc w:val="left"/>
      <w:pPr>
        <w:ind w:left="9565" w:hanging="447"/>
      </w:pPr>
      <w:rPr>
        <w:rFonts w:hint="default"/>
        <w:lang w:val="en-US" w:eastAsia="en-US" w:bidi="ar-SA"/>
      </w:rPr>
    </w:lvl>
  </w:abstractNum>
  <w:abstractNum w:abstractNumId="82" w15:restartNumberingAfterBreak="0">
    <w:nsid w:val="2F342BCC"/>
    <w:multiLevelType w:val="hybridMultilevel"/>
    <w:tmpl w:val="EB70DB36"/>
    <w:lvl w:ilvl="0" w:tplc="5D62F8B4">
      <w:start w:val="3"/>
      <w:numFmt w:val="lowerLetter"/>
      <w:lvlText w:val="%1)"/>
      <w:lvlJc w:val="left"/>
      <w:pPr>
        <w:ind w:left="1565"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6A00AAC">
      <w:numFmt w:val="bullet"/>
      <w:lvlText w:val="•"/>
      <w:lvlJc w:val="left"/>
      <w:pPr>
        <w:ind w:left="2552" w:hanging="416"/>
      </w:pPr>
      <w:rPr>
        <w:rFonts w:hint="default"/>
        <w:lang w:val="en-US" w:eastAsia="en-US" w:bidi="ar-SA"/>
      </w:rPr>
    </w:lvl>
    <w:lvl w:ilvl="2" w:tplc="C8F291D0">
      <w:numFmt w:val="bullet"/>
      <w:lvlText w:val="•"/>
      <w:lvlJc w:val="left"/>
      <w:pPr>
        <w:ind w:left="3545" w:hanging="416"/>
      </w:pPr>
      <w:rPr>
        <w:rFonts w:hint="default"/>
        <w:lang w:val="en-US" w:eastAsia="en-US" w:bidi="ar-SA"/>
      </w:rPr>
    </w:lvl>
    <w:lvl w:ilvl="3" w:tplc="51E4E95A">
      <w:numFmt w:val="bullet"/>
      <w:lvlText w:val="•"/>
      <w:lvlJc w:val="left"/>
      <w:pPr>
        <w:ind w:left="4538" w:hanging="416"/>
      </w:pPr>
      <w:rPr>
        <w:rFonts w:hint="default"/>
        <w:lang w:val="en-US" w:eastAsia="en-US" w:bidi="ar-SA"/>
      </w:rPr>
    </w:lvl>
    <w:lvl w:ilvl="4" w:tplc="D8C47DEC">
      <w:numFmt w:val="bullet"/>
      <w:lvlText w:val="•"/>
      <w:lvlJc w:val="left"/>
      <w:pPr>
        <w:ind w:left="5530" w:hanging="416"/>
      </w:pPr>
      <w:rPr>
        <w:rFonts w:hint="default"/>
        <w:lang w:val="en-US" w:eastAsia="en-US" w:bidi="ar-SA"/>
      </w:rPr>
    </w:lvl>
    <w:lvl w:ilvl="5" w:tplc="47948BA2">
      <w:numFmt w:val="bullet"/>
      <w:lvlText w:val="•"/>
      <w:lvlJc w:val="left"/>
      <w:pPr>
        <w:ind w:left="6523" w:hanging="416"/>
      </w:pPr>
      <w:rPr>
        <w:rFonts w:hint="default"/>
        <w:lang w:val="en-US" w:eastAsia="en-US" w:bidi="ar-SA"/>
      </w:rPr>
    </w:lvl>
    <w:lvl w:ilvl="6" w:tplc="4334B17C">
      <w:numFmt w:val="bullet"/>
      <w:lvlText w:val="•"/>
      <w:lvlJc w:val="left"/>
      <w:pPr>
        <w:ind w:left="7516" w:hanging="416"/>
      </w:pPr>
      <w:rPr>
        <w:rFonts w:hint="default"/>
        <w:lang w:val="en-US" w:eastAsia="en-US" w:bidi="ar-SA"/>
      </w:rPr>
    </w:lvl>
    <w:lvl w:ilvl="7" w:tplc="79C26524">
      <w:numFmt w:val="bullet"/>
      <w:lvlText w:val="•"/>
      <w:lvlJc w:val="left"/>
      <w:pPr>
        <w:ind w:left="8509" w:hanging="416"/>
      </w:pPr>
      <w:rPr>
        <w:rFonts w:hint="default"/>
        <w:lang w:val="en-US" w:eastAsia="en-US" w:bidi="ar-SA"/>
      </w:rPr>
    </w:lvl>
    <w:lvl w:ilvl="8" w:tplc="7D12AD84">
      <w:numFmt w:val="bullet"/>
      <w:lvlText w:val="•"/>
      <w:lvlJc w:val="left"/>
      <w:pPr>
        <w:ind w:left="9501" w:hanging="416"/>
      </w:pPr>
      <w:rPr>
        <w:rFonts w:hint="default"/>
        <w:lang w:val="en-US" w:eastAsia="en-US" w:bidi="ar-SA"/>
      </w:rPr>
    </w:lvl>
  </w:abstractNum>
  <w:abstractNum w:abstractNumId="83" w15:restartNumberingAfterBreak="0">
    <w:nsid w:val="2F383F98"/>
    <w:multiLevelType w:val="hybridMultilevel"/>
    <w:tmpl w:val="E1FAD5A0"/>
    <w:lvl w:ilvl="0" w:tplc="1596A33A">
      <w:start w:val="1"/>
      <w:numFmt w:val="lowerLetter"/>
      <w:lvlText w:val="%1)"/>
      <w:lvlJc w:val="left"/>
      <w:pPr>
        <w:ind w:left="1875"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E7CBA3A">
      <w:numFmt w:val="bullet"/>
      <w:lvlText w:val="•"/>
      <w:lvlJc w:val="left"/>
      <w:pPr>
        <w:ind w:left="2840" w:hanging="447"/>
      </w:pPr>
      <w:rPr>
        <w:rFonts w:hint="default"/>
        <w:lang w:val="en-US" w:eastAsia="en-US" w:bidi="ar-SA"/>
      </w:rPr>
    </w:lvl>
    <w:lvl w:ilvl="2" w:tplc="DED64FD4">
      <w:numFmt w:val="bullet"/>
      <w:lvlText w:val="•"/>
      <w:lvlJc w:val="left"/>
      <w:pPr>
        <w:ind w:left="3801" w:hanging="447"/>
      </w:pPr>
      <w:rPr>
        <w:rFonts w:hint="default"/>
        <w:lang w:val="en-US" w:eastAsia="en-US" w:bidi="ar-SA"/>
      </w:rPr>
    </w:lvl>
    <w:lvl w:ilvl="3" w:tplc="CD4EAA7C">
      <w:numFmt w:val="bullet"/>
      <w:lvlText w:val="•"/>
      <w:lvlJc w:val="left"/>
      <w:pPr>
        <w:ind w:left="4762" w:hanging="447"/>
      </w:pPr>
      <w:rPr>
        <w:rFonts w:hint="default"/>
        <w:lang w:val="en-US" w:eastAsia="en-US" w:bidi="ar-SA"/>
      </w:rPr>
    </w:lvl>
    <w:lvl w:ilvl="4" w:tplc="C6C86BCC">
      <w:numFmt w:val="bullet"/>
      <w:lvlText w:val="•"/>
      <w:lvlJc w:val="left"/>
      <w:pPr>
        <w:ind w:left="5722" w:hanging="447"/>
      </w:pPr>
      <w:rPr>
        <w:rFonts w:hint="default"/>
        <w:lang w:val="en-US" w:eastAsia="en-US" w:bidi="ar-SA"/>
      </w:rPr>
    </w:lvl>
    <w:lvl w:ilvl="5" w:tplc="ED94F0B8">
      <w:numFmt w:val="bullet"/>
      <w:lvlText w:val="•"/>
      <w:lvlJc w:val="left"/>
      <w:pPr>
        <w:ind w:left="6683" w:hanging="447"/>
      </w:pPr>
      <w:rPr>
        <w:rFonts w:hint="default"/>
        <w:lang w:val="en-US" w:eastAsia="en-US" w:bidi="ar-SA"/>
      </w:rPr>
    </w:lvl>
    <w:lvl w:ilvl="6" w:tplc="697AC3D2">
      <w:numFmt w:val="bullet"/>
      <w:lvlText w:val="•"/>
      <w:lvlJc w:val="left"/>
      <w:pPr>
        <w:ind w:left="7644" w:hanging="447"/>
      </w:pPr>
      <w:rPr>
        <w:rFonts w:hint="default"/>
        <w:lang w:val="en-US" w:eastAsia="en-US" w:bidi="ar-SA"/>
      </w:rPr>
    </w:lvl>
    <w:lvl w:ilvl="7" w:tplc="03CC0AB0">
      <w:numFmt w:val="bullet"/>
      <w:lvlText w:val="•"/>
      <w:lvlJc w:val="left"/>
      <w:pPr>
        <w:ind w:left="8605" w:hanging="447"/>
      </w:pPr>
      <w:rPr>
        <w:rFonts w:hint="default"/>
        <w:lang w:val="en-US" w:eastAsia="en-US" w:bidi="ar-SA"/>
      </w:rPr>
    </w:lvl>
    <w:lvl w:ilvl="8" w:tplc="43FA24F0">
      <w:numFmt w:val="bullet"/>
      <w:lvlText w:val="•"/>
      <w:lvlJc w:val="left"/>
      <w:pPr>
        <w:ind w:left="9565" w:hanging="447"/>
      </w:pPr>
      <w:rPr>
        <w:rFonts w:hint="default"/>
        <w:lang w:val="en-US" w:eastAsia="en-US" w:bidi="ar-SA"/>
      </w:rPr>
    </w:lvl>
  </w:abstractNum>
  <w:abstractNum w:abstractNumId="84" w15:restartNumberingAfterBreak="0">
    <w:nsid w:val="2F6A256F"/>
    <w:multiLevelType w:val="hybridMultilevel"/>
    <w:tmpl w:val="8A00B810"/>
    <w:lvl w:ilvl="0" w:tplc="42228C4C">
      <w:start w:val="1"/>
      <w:numFmt w:val="upperRoman"/>
      <w:lvlText w:val="%1)"/>
      <w:lvlJc w:val="left"/>
      <w:pPr>
        <w:ind w:left="720" w:hanging="360"/>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04F71E1"/>
    <w:multiLevelType w:val="hybridMultilevel"/>
    <w:tmpl w:val="4EC0B250"/>
    <w:lvl w:ilvl="0" w:tplc="28362712">
      <w:numFmt w:val="bullet"/>
      <w:lvlText w:val=""/>
      <w:lvlJc w:val="left"/>
      <w:pPr>
        <w:ind w:left="199" w:hanging="198"/>
      </w:pPr>
      <w:rPr>
        <w:rFonts w:ascii="Wingdings" w:eastAsia="Wingdings" w:hAnsi="Wingdings" w:cs="Wingdings" w:hint="default"/>
        <w:b w:val="0"/>
        <w:bCs w:val="0"/>
        <w:i w:val="0"/>
        <w:iCs w:val="0"/>
        <w:spacing w:val="0"/>
        <w:w w:val="100"/>
        <w:sz w:val="20"/>
        <w:szCs w:val="20"/>
        <w:lang w:val="en-US" w:eastAsia="en-US" w:bidi="ar-SA"/>
      </w:rPr>
    </w:lvl>
    <w:lvl w:ilvl="1" w:tplc="39C0E7CC">
      <w:numFmt w:val="bullet"/>
      <w:lvlText w:val="•"/>
      <w:lvlJc w:val="left"/>
      <w:pPr>
        <w:ind w:left="332" w:hanging="198"/>
      </w:pPr>
      <w:rPr>
        <w:rFonts w:hint="default"/>
        <w:lang w:val="en-US" w:eastAsia="en-US" w:bidi="ar-SA"/>
      </w:rPr>
    </w:lvl>
    <w:lvl w:ilvl="2" w:tplc="1A84B252">
      <w:numFmt w:val="bullet"/>
      <w:lvlText w:val="•"/>
      <w:lvlJc w:val="left"/>
      <w:pPr>
        <w:ind w:left="465" w:hanging="198"/>
      </w:pPr>
      <w:rPr>
        <w:rFonts w:hint="default"/>
        <w:lang w:val="en-US" w:eastAsia="en-US" w:bidi="ar-SA"/>
      </w:rPr>
    </w:lvl>
    <w:lvl w:ilvl="3" w:tplc="962EFB5A">
      <w:numFmt w:val="bullet"/>
      <w:lvlText w:val="•"/>
      <w:lvlJc w:val="left"/>
      <w:pPr>
        <w:ind w:left="598" w:hanging="198"/>
      </w:pPr>
      <w:rPr>
        <w:rFonts w:hint="default"/>
        <w:lang w:val="en-US" w:eastAsia="en-US" w:bidi="ar-SA"/>
      </w:rPr>
    </w:lvl>
    <w:lvl w:ilvl="4" w:tplc="2E84E688">
      <w:numFmt w:val="bullet"/>
      <w:lvlText w:val="•"/>
      <w:lvlJc w:val="left"/>
      <w:pPr>
        <w:ind w:left="730" w:hanging="198"/>
      </w:pPr>
      <w:rPr>
        <w:rFonts w:hint="default"/>
        <w:lang w:val="en-US" w:eastAsia="en-US" w:bidi="ar-SA"/>
      </w:rPr>
    </w:lvl>
    <w:lvl w:ilvl="5" w:tplc="9E964EDA">
      <w:numFmt w:val="bullet"/>
      <w:lvlText w:val="•"/>
      <w:lvlJc w:val="left"/>
      <w:pPr>
        <w:ind w:left="863" w:hanging="198"/>
      </w:pPr>
      <w:rPr>
        <w:rFonts w:hint="default"/>
        <w:lang w:val="en-US" w:eastAsia="en-US" w:bidi="ar-SA"/>
      </w:rPr>
    </w:lvl>
    <w:lvl w:ilvl="6" w:tplc="83D04552">
      <w:numFmt w:val="bullet"/>
      <w:lvlText w:val="•"/>
      <w:lvlJc w:val="left"/>
      <w:pPr>
        <w:ind w:left="996" w:hanging="198"/>
      </w:pPr>
      <w:rPr>
        <w:rFonts w:hint="default"/>
        <w:lang w:val="en-US" w:eastAsia="en-US" w:bidi="ar-SA"/>
      </w:rPr>
    </w:lvl>
    <w:lvl w:ilvl="7" w:tplc="E6722418">
      <w:numFmt w:val="bullet"/>
      <w:lvlText w:val="•"/>
      <w:lvlJc w:val="left"/>
      <w:pPr>
        <w:ind w:left="1128" w:hanging="198"/>
      </w:pPr>
      <w:rPr>
        <w:rFonts w:hint="default"/>
        <w:lang w:val="en-US" w:eastAsia="en-US" w:bidi="ar-SA"/>
      </w:rPr>
    </w:lvl>
    <w:lvl w:ilvl="8" w:tplc="2A94FDE6">
      <w:numFmt w:val="bullet"/>
      <w:lvlText w:val="•"/>
      <w:lvlJc w:val="left"/>
      <w:pPr>
        <w:ind w:left="1261" w:hanging="198"/>
      </w:pPr>
      <w:rPr>
        <w:rFonts w:hint="default"/>
        <w:lang w:val="en-US" w:eastAsia="en-US" w:bidi="ar-SA"/>
      </w:rPr>
    </w:lvl>
  </w:abstractNum>
  <w:abstractNum w:abstractNumId="86" w15:restartNumberingAfterBreak="0">
    <w:nsid w:val="30840102"/>
    <w:multiLevelType w:val="hybridMultilevel"/>
    <w:tmpl w:val="A98863D0"/>
    <w:lvl w:ilvl="0" w:tplc="9EDC0684">
      <w:numFmt w:val="bullet"/>
      <w:lvlText w:val=""/>
      <w:lvlJc w:val="left"/>
      <w:pPr>
        <w:ind w:left="196" w:hanging="198"/>
      </w:pPr>
      <w:rPr>
        <w:rFonts w:ascii="Wingdings" w:eastAsia="Wingdings" w:hAnsi="Wingdings" w:cs="Wingdings" w:hint="default"/>
        <w:b w:val="0"/>
        <w:bCs w:val="0"/>
        <w:i w:val="0"/>
        <w:iCs w:val="0"/>
        <w:spacing w:val="0"/>
        <w:w w:val="100"/>
        <w:sz w:val="20"/>
        <w:szCs w:val="20"/>
        <w:lang w:val="en-US" w:eastAsia="en-US" w:bidi="ar-SA"/>
      </w:rPr>
    </w:lvl>
    <w:lvl w:ilvl="1" w:tplc="633C8D7C">
      <w:numFmt w:val="bullet"/>
      <w:lvlText w:val="•"/>
      <w:lvlJc w:val="left"/>
      <w:pPr>
        <w:ind w:left="282" w:hanging="198"/>
      </w:pPr>
      <w:rPr>
        <w:rFonts w:hint="default"/>
        <w:lang w:val="en-US" w:eastAsia="en-US" w:bidi="ar-SA"/>
      </w:rPr>
    </w:lvl>
    <w:lvl w:ilvl="2" w:tplc="5F743CE8">
      <w:numFmt w:val="bullet"/>
      <w:lvlText w:val="•"/>
      <w:lvlJc w:val="left"/>
      <w:pPr>
        <w:ind w:left="364" w:hanging="198"/>
      </w:pPr>
      <w:rPr>
        <w:rFonts w:hint="default"/>
        <w:lang w:val="en-US" w:eastAsia="en-US" w:bidi="ar-SA"/>
      </w:rPr>
    </w:lvl>
    <w:lvl w:ilvl="3" w:tplc="14E2811A">
      <w:numFmt w:val="bullet"/>
      <w:lvlText w:val="•"/>
      <w:lvlJc w:val="left"/>
      <w:pPr>
        <w:ind w:left="446" w:hanging="198"/>
      </w:pPr>
      <w:rPr>
        <w:rFonts w:hint="default"/>
        <w:lang w:val="en-US" w:eastAsia="en-US" w:bidi="ar-SA"/>
      </w:rPr>
    </w:lvl>
    <w:lvl w:ilvl="4" w:tplc="20329830">
      <w:numFmt w:val="bullet"/>
      <w:lvlText w:val="•"/>
      <w:lvlJc w:val="left"/>
      <w:pPr>
        <w:ind w:left="528" w:hanging="198"/>
      </w:pPr>
      <w:rPr>
        <w:rFonts w:hint="default"/>
        <w:lang w:val="en-US" w:eastAsia="en-US" w:bidi="ar-SA"/>
      </w:rPr>
    </w:lvl>
    <w:lvl w:ilvl="5" w:tplc="EED4E62C">
      <w:numFmt w:val="bullet"/>
      <w:lvlText w:val="•"/>
      <w:lvlJc w:val="left"/>
      <w:pPr>
        <w:ind w:left="610" w:hanging="198"/>
      </w:pPr>
      <w:rPr>
        <w:rFonts w:hint="default"/>
        <w:lang w:val="en-US" w:eastAsia="en-US" w:bidi="ar-SA"/>
      </w:rPr>
    </w:lvl>
    <w:lvl w:ilvl="6" w:tplc="A71ED9C6">
      <w:numFmt w:val="bullet"/>
      <w:lvlText w:val="•"/>
      <w:lvlJc w:val="left"/>
      <w:pPr>
        <w:ind w:left="692" w:hanging="198"/>
      </w:pPr>
      <w:rPr>
        <w:rFonts w:hint="default"/>
        <w:lang w:val="en-US" w:eastAsia="en-US" w:bidi="ar-SA"/>
      </w:rPr>
    </w:lvl>
    <w:lvl w:ilvl="7" w:tplc="1062F04C">
      <w:numFmt w:val="bullet"/>
      <w:lvlText w:val="•"/>
      <w:lvlJc w:val="left"/>
      <w:pPr>
        <w:ind w:left="774" w:hanging="198"/>
      </w:pPr>
      <w:rPr>
        <w:rFonts w:hint="default"/>
        <w:lang w:val="en-US" w:eastAsia="en-US" w:bidi="ar-SA"/>
      </w:rPr>
    </w:lvl>
    <w:lvl w:ilvl="8" w:tplc="1374CB1E">
      <w:numFmt w:val="bullet"/>
      <w:lvlText w:val="•"/>
      <w:lvlJc w:val="left"/>
      <w:pPr>
        <w:ind w:left="856" w:hanging="198"/>
      </w:pPr>
      <w:rPr>
        <w:rFonts w:hint="default"/>
        <w:lang w:val="en-US" w:eastAsia="en-US" w:bidi="ar-SA"/>
      </w:rPr>
    </w:lvl>
  </w:abstractNum>
  <w:abstractNum w:abstractNumId="87" w15:restartNumberingAfterBreak="0">
    <w:nsid w:val="317A5EE6"/>
    <w:multiLevelType w:val="hybridMultilevel"/>
    <w:tmpl w:val="D334FAB4"/>
    <w:lvl w:ilvl="0" w:tplc="5EEC11F4">
      <w:start w:val="1"/>
      <w:numFmt w:val="lowerLetter"/>
      <w:lvlText w:val="%1)"/>
      <w:lvlJc w:val="left"/>
      <w:pPr>
        <w:ind w:left="1870" w:hanging="406"/>
      </w:pPr>
      <w:rPr>
        <w:rFonts w:hint="default"/>
        <w:spacing w:val="0"/>
        <w:w w:val="100"/>
        <w:lang w:val="en-US" w:eastAsia="en-US" w:bidi="ar-SA"/>
      </w:rPr>
    </w:lvl>
    <w:lvl w:ilvl="1" w:tplc="333AC8F6">
      <w:numFmt w:val="bullet"/>
      <w:lvlText w:val="•"/>
      <w:lvlJc w:val="left"/>
      <w:pPr>
        <w:ind w:left="2840" w:hanging="406"/>
      </w:pPr>
      <w:rPr>
        <w:rFonts w:hint="default"/>
        <w:lang w:val="en-US" w:eastAsia="en-US" w:bidi="ar-SA"/>
      </w:rPr>
    </w:lvl>
    <w:lvl w:ilvl="2" w:tplc="1BF0416C">
      <w:numFmt w:val="bullet"/>
      <w:lvlText w:val="•"/>
      <w:lvlJc w:val="left"/>
      <w:pPr>
        <w:ind w:left="3801" w:hanging="406"/>
      </w:pPr>
      <w:rPr>
        <w:rFonts w:hint="default"/>
        <w:lang w:val="en-US" w:eastAsia="en-US" w:bidi="ar-SA"/>
      </w:rPr>
    </w:lvl>
    <w:lvl w:ilvl="3" w:tplc="1C9CF7A4">
      <w:numFmt w:val="bullet"/>
      <w:lvlText w:val="•"/>
      <w:lvlJc w:val="left"/>
      <w:pPr>
        <w:ind w:left="4762" w:hanging="406"/>
      </w:pPr>
      <w:rPr>
        <w:rFonts w:hint="default"/>
        <w:lang w:val="en-US" w:eastAsia="en-US" w:bidi="ar-SA"/>
      </w:rPr>
    </w:lvl>
    <w:lvl w:ilvl="4" w:tplc="F9C250C6">
      <w:numFmt w:val="bullet"/>
      <w:lvlText w:val="•"/>
      <w:lvlJc w:val="left"/>
      <w:pPr>
        <w:ind w:left="5722" w:hanging="406"/>
      </w:pPr>
      <w:rPr>
        <w:rFonts w:hint="default"/>
        <w:lang w:val="en-US" w:eastAsia="en-US" w:bidi="ar-SA"/>
      </w:rPr>
    </w:lvl>
    <w:lvl w:ilvl="5" w:tplc="37E6FA40">
      <w:numFmt w:val="bullet"/>
      <w:lvlText w:val="•"/>
      <w:lvlJc w:val="left"/>
      <w:pPr>
        <w:ind w:left="6683" w:hanging="406"/>
      </w:pPr>
      <w:rPr>
        <w:rFonts w:hint="default"/>
        <w:lang w:val="en-US" w:eastAsia="en-US" w:bidi="ar-SA"/>
      </w:rPr>
    </w:lvl>
    <w:lvl w:ilvl="6" w:tplc="FB7ED652">
      <w:numFmt w:val="bullet"/>
      <w:lvlText w:val="•"/>
      <w:lvlJc w:val="left"/>
      <w:pPr>
        <w:ind w:left="7644" w:hanging="406"/>
      </w:pPr>
      <w:rPr>
        <w:rFonts w:hint="default"/>
        <w:lang w:val="en-US" w:eastAsia="en-US" w:bidi="ar-SA"/>
      </w:rPr>
    </w:lvl>
    <w:lvl w:ilvl="7" w:tplc="C3F29206">
      <w:numFmt w:val="bullet"/>
      <w:lvlText w:val="•"/>
      <w:lvlJc w:val="left"/>
      <w:pPr>
        <w:ind w:left="8605" w:hanging="406"/>
      </w:pPr>
      <w:rPr>
        <w:rFonts w:hint="default"/>
        <w:lang w:val="en-US" w:eastAsia="en-US" w:bidi="ar-SA"/>
      </w:rPr>
    </w:lvl>
    <w:lvl w:ilvl="8" w:tplc="9CF61A74">
      <w:numFmt w:val="bullet"/>
      <w:lvlText w:val="•"/>
      <w:lvlJc w:val="left"/>
      <w:pPr>
        <w:ind w:left="9565" w:hanging="406"/>
      </w:pPr>
      <w:rPr>
        <w:rFonts w:hint="default"/>
        <w:lang w:val="en-US" w:eastAsia="en-US" w:bidi="ar-SA"/>
      </w:rPr>
    </w:lvl>
  </w:abstractNum>
  <w:abstractNum w:abstractNumId="88" w15:restartNumberingAfterBreak="0">
    <w:nsid w:val="318D3715"/>
    <w:multiLevelType w:val="hybridMultilevel"/>
    <w:tmpl w:val="E2AEC912"/>
    <w:lvl w:ilvl="0" w:tplc="535EB54C">
      <w:start w:val="3"/>
      <w:numFmt w:val="lowerRoman"/>
      <w:lvlText w:val="(%1)"/>
      <w:lvlJc w:val="left"/>
      <w:pPr>
        <w:ind w:left="1982" w:hanging="567"/>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95452E2">
      <w:numFmt w:val="bullet"/>
      <w:lvlText w:val="•"/>
      <w:lvlJc w:val="left"/>
      <w:pPr>
        <w:ind w:left="2973" w:hanging="567"/>
      </w:pPr>
      <w:rPr>
        <w:rFonts w:hint="default"/>
        <w:lang w:val="en-US" w:eastAsia="en-US" w:bidi="ar-SA"/>
      </w:rPr>
    </w:lvl>
    <w:lvl w:ilvl="2" w:tplc="0B422508">
      <w:numFmt w:val="bullet"/>
      <w:lvlText w:val="•"/>
      <w:lvlJc w:val="left"/>
      <w:pPr>
        <w:ind w:left="3966" w:hanging="567"/>
      </w:pPr>
      <w:rPr>
        <w:rFonts w:hint="default"/>
        <w:lang w:val="en-US" w:eastAsia="en-US" w:bidi="ar-SA"/>
      </w:rPr>
    </w:lvl>
    <w:lvl w:ilvl="3" w:tplc="029694F4">
      <w:numFmt w:val="bullet"/>
      <w:lvlText w:val="•"/>
      <w:lvlJc w:val="left"/>
      <w:pPr>
        <w:ind w:left="4959" w:hanging="567"/>
      </w:pPr>
      <w:rPr>
        <w:rFonts w:hint="default"/>
        <w:lang w:val="en-US" w:eastAsia="en-US" w:bidi="ar-SA"/>
      </w:rPr>
    </w:lvl>
    <w:lvl w:ilvl="4" w:tplc="B804240C">
      <w:numFmt w:val="bullet"/>
      <w:lvlText w:val="•"/>
      <w:lvlJc w:val="left"/>
      <w:pPr>
        <w:ind w:left="5952" w:hanging="567"/>
      </w:pPr>
      <w:rPr>
        <w:rFonts w:hint="default"/>
        <w:lang w:val="en-US" w:eastAsia="en-US" w:bidi="ar-SA"/>
      </w:rPr>
    </w:lvl>
    <w:lvl w:ilvl="5" w:tplc="26E6A29A">
      <w:numFmt w:val="bullet"/>
      <w:lvlText w:val="•"/>
      <w:lvlJc w:val="left"/>
      <w:pPr>
        <w:ind w:left="6945" w:hanging="567"/>
      </w:pPr>
      <w:rPr>
        <w:rFonts w:hint="default"/>
        <w:lang w:val="en-US" w:eastAsia="en-US" w:bidi="ar-SA"/>
      </w:rPr>
    </w:lvl>
    <w:lvl w:ilvl="6" w:tplc="669A93CE">
      <w:numFmt w:val="bullet"/>
      <w:lvlText w:val="•"/>
      <w:lvlJc w:val="left"/>
      <w:pPr>
        <w:ind w:left="7938" w:hanging="567"/>
      </w:pPr>
      <w:rPr>
        <w:rFonts w:hint="default"/>
        <w:lang w:val="en-US" w:eastAsia="en-US" w:bidi="ar-SA"/>
      </w:rPr>
    </w:lvl>
    <w:lvl w:ilvl="7" w:tplc="C02AAFD0">
      <w:numFmt w:val="bullet"/>
      <w:lvlText w:val="•"/>
      <w:lvlJc w:val="left"/>
      <w:pPr>
        <w:ind w:left="8931" w:hanging="567"/>
      </w:pPr>
      <w:rPr>
        <w:rFonts w:hint="default"/>
        <w:lang w:val="en-US" w:eastAsia="en-US" w:bidi="ar-SA"/>
      </w:rPr>
    </w:lvl>
    <w:lvl w:ilvl="8" w:tplc="4BD0DC8A">
      <w:numFmt w:val="bullet"/>
      <w:lvlText w:val="•"/>
      <w:lvlJc w:val="left"/>
      <w:pPr>
        <w:ind w:left="9924" w:hanging="567"/>
      </w:pPr>
      <w:rPr>
        <w:rFonts w:hint="default"/>
        <w:lang w:val="en-US" w:eastAsia="en-US" w:bidi="ar-SA"/>
      </w:rPr>
    </w:lvl>
  </w:abstractNum>
  <w:abstractNum w:abstractNumId="89" w15:restartNumberingAfterBreak="0">
    <w:nsid w:val="330507A3"/>
    <w:multiLevelType w:val="hybridMultilevel"/>
    <w:tmpl w:val="5A54D8AA"/>
    <w:lvl w:ilvl="0" w:tplc="AD342046">
      <w:start w:val="1"/>
      <w:numFmt w:val="lowerLetter"/>
      <w:lvlText w:val="%1)"/>
      <w:lvlJc w:val="left"/>
      <w:pPr>
        <w:ind w:left="1839" w:hanging="46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FC86C04">
      <w:numFmt w:val="bullet"/>
      <w:lvlText w:val="•"/>
      <w:lvlJc w:val="left"/>
      <w:pPr>
        <w:ind w:left="2804" w:hanging="468"/>
      </w:pPr>
      <w:rPr>
        <w:rFonts w:hint="default"/>
        <w:lang w:val="en-US" w:eastAsia="en-US" w:bidi="ar-SA"/>
      </w:rPr>
    </w:lvl>
    <w:lvl w:ilvl="2" w:tplc="33B2BED8">
      <w:numFmt w:val="bullet"/>
      <w:lvlText w:val="•"/>
      <w:lvlJc w:val="left"/>
      <w:pPr>
        <w:ind w:left="3769" w:hanging="468"/>
      </w:pPr>
      <w:rPr>
        <w:rFonts w:hint="default"/>
        <w:lang w:val="en-US" w:eastAsia="en-US" w:bidi="ar-SA"/>
      </w:rPr>
    </w:lvl>
    <w:lvl w:ilvl="3" w:tplc="19EAA1DA">
      <w:numFmt w:val="bullet"/>
      <w:lvlText w:val="•"/>
      <w:lvlJc w:val="left"/>
      <w:pPr>
        <w:ind w:left="4734" w:hanging="468"/>
      </w:pPr>
      <w:rPr>
        <w:rFonts w:hint="default"/>
        <w:lang w:val="en-US" w:eastAsia="en-US" w:bidi="ar-SA"/>
      </w:rPr>
    </w:lvl>
    <w:lvl w:ilvl="4" w:tplc="B9FCA8A0">
      <w:numFmt w:val="bullet"/>
      <w:lvlText w:val="•"/>
      <w:lvlJc w:val="left"/>
      <w:pPr>
        <w:ind w:left="5698" w:hanging="468"/>
      </w:pPr>
      <w:rPr>
        <w:rFonts w:hint="default"/>
        <w:lang w:val="en-US" w:eastAsia="en-US" w:bidi="ar-SA"/>
      </w:rPr>
    </w:lvl>
    <w:lvl w:ilvl="5" w:tplc="9544EBE8">
      <w:numFmt w:val="bullet"/>
      <w:lvlText w:val="•"/>
      <w:lvlJc w:val="left"/>
      <w:pPr>
        <w:ind w:left="6663" w:hanging="468"/>
      </w:pPr>
      <w:rPr>
        <w:rFonts w:hint="default"/>
        <w:lang w:val="en-US" w:eastAsia="en-US" w:bidi="ar-SA"/>
      </w:rPr>
    </w:lvl>
    <w:lvl w:ilvl="6" w:tplc="E7E4D092">
      <w:numFmt w:val="bullet"/>
      <w:lvlText w:val="•"/>
      <w:lvlJc w:val="left"/>
      <w:pPr>
        <w:ind w:left="7628" w:hanging="468"/>
      </w:pPr>
      <w:rPr>
        <w:rFonts w:hint="default"/>
        <w:lang w:val="en-US" w:eastAsia="en-US" w:bidi="ar-SA"/>
      </w:rPr>
    </w:lvl>
    <w:lvl w:ilvl="7" w:tplc="EA30C23E">
      <w:numFmt w:val="bullet"/>
      <w:lvlText w:val="•"/>
      <w:lvlJc w:val="left"/>
      <w:pPr>
        <w:ind w:left="8593" w:hanging="468"/>
      </w:pPr>
      <w:rPr>
        <w:rFonts w:hint="default"/>
        <w:lang w:val="en-US" w:eastAsia="en-US" w:bidi="ar-SA"/>
      </w:rPr>
    </w:lvl>
    <w:lvl w:ilvl="8" w:tplc="775452FA">
      <w:numFmt w:val="bullet"/>
      <w:lvlText w:val="•"/>
      <w:lvlJc w:val="left"/>
      <w:pPr>
        <w:ind w:left="9557" w:hanging="468"/>
      </w:pPr>
      <w:rPr>
        <w:rFonts w:hint="default"/>
        <w:lang w:val="en-US" w:eastAsia="en-US" w:bidi="ar-SA"/>
      </w:rPr>
    </w:lvl>
  </w:abstractNum>
  <w:abstractNum w:abstractNumId="90" w15:restartNumberingAfterBreak="0">
    <w:nsid w:val="33503424"/>
    <w:multiLevelType w:val="multilevel"/>
    <w:tmpl w:val="82ACA7AE"/>
    <w:lvl w:ilvl="0">
      <w:start w:val="13"/>
      <w:numFmt w:val="decimal"/>
      <w:lvlText w:val="%1"/>
      <w:lvlJc w:val="left"/>
      <w:pPr>
        <w:ind w:left="1381" w:hanging="671"/>
      </w:pPr>
      <w:rPr>
        <w:rFonts w:hint="default"/>
        <w:lang w:val="en-US" w:eastAsia="en-US" w:bidi="ar-SA"/>
      </w:rPr>
    </w:lvl>
    <w:lvl w:ilvl="1">
      <w:start w:val="2"/>
      <w:numFmt w:val="decimal"/>
      <w:lvlText w:val="%1.%2."/>
      <w:lvlJc w:val="left"/>
      <w:pPr>
        <w:ind w:left="1381" w:hanging="671"/>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decimal"/>
      <w:lvlText w:val="%1.%2.%3"/>
      <w:lvlJc w:val="left"/>
      <w:pPr>
        <w:ind w:left="1371" w:hanging="661"/>
      </w:pPr>
      <w:rPr>
        <w:rFonts w:hint="default"/>
        <w:spacing w:val="-29"/>
        <w:w w:val="97"/>
        <w:lang w:val="en-US" w:eastAsia="en-US" w:bidi="ar-SA"/>
      </w:rPr>
    </w:lvl>
    <w:lvl w:ilvl="3">
      <w:start w:val="1"/>
      <w:numFmt w:val="lowerLetter"/>
      <w:lvlText w:val="%4)"/>
      <w:lvlJc w:val="left"/>
      <w:pPr>
        <w:ind w:left="1875"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numFmt w:val="bullet"/>
      <w:lvlText w:val="•"/>
      <w:lvlJc w:val="left"/>
      <w:pPr>
        <w:ind w:left="5082" w:hanging="495"/>
      </w:pPr>
      <w:rPr>
        <w:rFonts w:hint="default"/>
        <w:lang w:val="en-US" w:eastAsia="en-US" w:bidi="ar-SA"/>
      </w:rPr>
    </w:lvl>
    <w:lvl w:ilvl="5">
      <w:numFmt w:val="bullet"/>
      <w:lvlText w:val="•"/>
      <w:lvlJc w:val="left"/>
      <w:pPr>
        <w:ind w:left="6149" w:hanging="495"/>
      </w:pPr>
      <w:rPr>
        <w:rFonts w:hint="default"/>
        <w:lang w:val="en-US" w:eastAsia="en-US" w:bidi="ar-SA"/>
      </w:rPr>
    </w:lvl>
    <w:lvl w:ilvl="6">
      <w:numFmt w:val="bullet"/>
      <w:lvlText w:val="•"/>
      <w:lvlJc w:val="left"/>
      <w:pPr>
        <w:ind w:left="7217" w:hanging="495"/>
      </w:pPr>
      <w:rPr>
        <w:rFonts w:hint="default"/>
        <w:lang w:val="en-US" w:eastAsia="en-US" w:bidi="ar-SA"/>
      </w:rPr>
    </w:lvl>
    <w:lvl w:ilvl="7">
      <w:numFmt w:val="bullet"/>
      <w:lvlText w:val="•"/>
      <w:lvlJc w:val="left"/>
      <w:pPr>
        <w:ind w:left="8284" w:hanging="495"/>
      </w:pPr>
      <w:rPr>
        <w:rFonts w:hint="default"/>
        <w:lang w:val="en-US" w:eastAsia="en-US" w:bidi="ar-SA"/>
      </w:rPr>
    </w:lvl>
    <w:lvl w:ilvl="8">
      <w:numFmt w:val="bullet"/>
      <w:lvlText w:val="•"/>
      <w:lvlJc w:val="left"/>
      <w:pPr>
        <w:ind w:left="9352" w:hanging="495"/>
      </w:pPr>
      <w:rPr>
        <w:rFonts w:hint="default"/>
        <w:lang w:val="en-US" w:eastAsia="en-US" w:bidi="ar-SA"/>
      </w:rPr>
    </w:lvl>
  </w:abstractNum>
  <w:abstractNum w:abstractNumId="91" w15:restartNumberingAfterBreak="0">
    <w:nsid w:val="336A25B6"/>
    <w:multiLevelType w:val="hybridMultilevel"/>
    <w:tmpl w:val="D2269FFC"/>
    <w:lvl w:ilvl="0" w:tplc="280CDAD6">
      <w:start w:val="1"/>
      <w:numFmt w:val="lowerLetter"/>
      <w:lvlText w:val="%1)"/>
      <w:lvlJc w:val="left"/>
      <w:pPr>
        <w:ind w:left="1868"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3B6ADCE">
      <w:numFmt w:val="bullet"/>
      <w:lvlText w:val="•"/>
      <w:lvlJc w:val="left"/>
      <w:pPr>
        <w:ind w:left="2822" w:hanging="444"/>
      </w:pPr>
      <w:rPr>
        <w:rFonts w:hint="default"/>
        <w:lang w:val="en-US" w:eastAsia="en-US" w:bidi="ar-SA"/>
      </w:rPr>
    </w:lvl>
    <w:lvl w:ilvl="2" w:tplc="577826F8">
      <w:numFmt w:val="bullet"/>
      <w:lvlText w:val="•"/>
      <w:lvlJc w:val="left"/>
      <w:pPr>
        <w:ind w:left="3785" w:hanging="444"/>
      </w:pPr>
      <w:rPr>
        <w:rFonts w:hint="default"/>
        <w:lang w:val="en-US" w:eastAsia="en-US" w:bidi="ar-SA"/>
      </w:rPr>
    </w:lvl>
    <w:lvl w:ilvl="3" w:tplc="7EEA4A2E">
      <w:numFmt w:val="bullet"/>
      <w:lvlText w:val="•"/>
      <w:lvlJc w:val="left"/>
      <w:pPr>
        <w:ind w:left="4748" w:hanging="444"/>
      </w:pPr>
      <w:rPr>
        <w:rFonts w:hint="default"/>
        <w:lang w:val="en-US" w:eastAsia="en-US" w:bidi="ar-SA"/>
      </w:rPr>
    </w:lvl>
    <w:lvl w:ilvl="4" w:tplc="5D1EC81A">
      <w:numFmt w:val="bullet"/>
      <w:lvlText w:val="•"/>
      <w:lvlJc w:val="left"/>
      <w:pPr>
        <w:ind w:left="5710" w:hanging="444"/>
      </w:pPr>
      <w:rPr>
        <w:rFonts w:hint="default"/>
        <w:lang w:val="en-US" w:eastAsia="en-US" w:bidi="ar-SA"/>
      </w:rPr>
    </w:lvl>
    <w:lvl w:ilvl="5" w:tplc="2B3C0024">
      <w:numFmt w:val="bullet"/>
      <w:lvlText w:val="•"/>
      <w:lvlJc w:val="left"/>
      <w:pPr>
        <w:ind w:left="6673" w:hanging="444"/>
      </w:pPr>
      <w:rPr>
        <w:rFonts w:hint="default"/>
        <w:lang w:val="en-US" w:eastAsia="en-US" w:bidi="ar-SA"/>
      </w:rPr>
    </w:lvl>
    <w:lvl w:ilvl="6" w:tplc="CFBE471E">
      <w:numFmt w:val="bullet"/>
      <w:lvlText w:val="•"/>
      <w:lvlJc w:val="left"/>
      <w:pPr>
        <w:ind w:left="7636" w:hanging="444"/>
      </w:pPr>
      <w:rPr>
        <w:rFonts w:hint="default"/>
        <w:lang w:val="en-US" w:eastAsia="en-US" w:bidi="ar-SA"/>
      </w:rPr>
    </w:lvl>
    <w:lvl w:ilvl="7" w:tplc="D3F4F100">
      <w:numFmt w:val="bullet"/>
      <w:lvlText w:val="•"/>
      <w:lvlJc w:val="left"/>
      <w:pPr>
        <w:ind w:left="8599" w:hanging="444"/>
      </w:pPr>
      <w:rPr>
        <w:rFonts w:hint="default"/>
        <w:lang w:val="en-US" w:eastAsia="en-US" w:bidi="ar-SA"/>
      </w:rPr>
    </w:lvl>
    <w:lvl w:ilvl="8" w:tplc="2BC6B5A4">
      <w:numFmt w:val="bullet"/>
      <w:lvlText w:val="•"/>
      <w:lvlJc w:val="left"/>
      <w:pPr>
        <w:ind w:left="9561" w:hanging="444"/>
      </w:pPr>
      <w:rPr>
        <w:rFonts w:hint="default"/>
        <w:lang w:val="en-US" w:eastAsia="en-US" w:bidi="ar-SA"/>
      </w:rPr>
    </w:lvl>
  </w:abstractNum>
  <w:abstractNum w:abstractNumId="92" w15:restartNumberingAfterBreak="0">
    <w:nsid w:val="33841675"/>
    <w:multiLevelType w:val="hybridMultilevel"/>
    <w:tmpl w:val="7F020A9C"/>
    <w:lvl w:ilvl="0" w:tplc="437C5492">
      <w:start w:val="1"/>
      <w:numFmt w:val="decimal"/>
      <w:lvlText w:val="%1."/>
      <w:lvlJc w:val="left"/>
      <w:pPr>
        <w:ind w:left="1138" w:hanging="421"/>
      </w:pPr>
      <w:rPr>
        <w:rFonts w:ascii="Times New Roman" w:eastAsia="Times New Roman" w:hAnsi="Times New Roman" w:cs="Times New Roman" w:hint="default"/>
        <w:b w:val="0"/>
        <w:bCs w:val="0"/>
        <w:i w:val="0"/>
        <w:iCs w:val="0"/>
        <w:color w:val="221F1F"/>
        <w:spacing w:val="-27"/>
        <w:w w:val="100"/>
        <w:sz w:val="22"/>
        <w:szCs w:val="22"/>
        <w:lang w:val="en-US" w:eastAsia="en-US" w:bidi="ar-SA"/>
      </w:rPr>
    </w:lvl>
    <w:lvl w:ilvl="1" w:tplc="DF565FDA">
      <w:numFmt w:val="bullet"/>
      <w:lvlText w:val="•"/>
      <w:lvlJc w:val="left"/>
      <w:pPr>
        <w:ind w:left="2174" w:hanging="421"/>
      </w:pPr>
      <w:rPr>
        <w:rFonts w:hint="default"/>
        <w:lang w:val="en-US" w:eastAsia="en-US" w:bidi="ar-SA"/>
      </w:rPr>
    </w:lvl>
    <w:lvl w:ilvl="2" w:tplc="8188AE70">
      <w:numFmt w:val="bullet"/>
      <w:lvlText w:val="•"/>
      <w:lvlJc w:val="left"/>
      <w:pPr>
        <w:ind w:left="3209" w:hanging="421"/>
      </w:pPr>
      <w:rPr>
        <w:rFonts w:hint="default"/>
        <w:lang w:val="en-US" w:eastAsia="en-US" w:bidi="ar-SA"/>
      </w:rPr>
    </w:lvl>
    <w:lvl w:ilvl="3" w:tplc="B23AEA36">
      <w:numFmt w:val="bullet"/>
      <w:lvlText w:val="•"/>
      <w:lvlJc w:val="left"/>
      <w:pPr>
        <w:ind w:left="4244" w:hanging="421"/>
      </w:pPr>
      <w:rPr>
        <w:rFonts w:hint="default"/>
        <w:lang w:val="en-US" w:eastAsia="en-US" w:bidi="ar-SA"/>
      </w:rPr>
    </w:lvl>
    <w:lvl w:ilvl="4" w:tplc="D83065BC">
      <w:numFmt w:val="bullet"/>
      <w:lvlText w:val="•"/>
      <w:lvlJc w:val="left"/>
      <w:pPr>
        <w:ind w:left="5278" w:hanging="421"/>
      </w:pPr>
      <w:rPr>
        <w:rFonts w:hint="default"/>
        <w:lang w:val="en-US" w:eastAsia="en-US" w:bidi="ar-SA"/>
      </w:rPr>
    </w:lvl>
    <w:lvl w:ilvl="5" w:tplc="32B6CB96">
      <w:numFmt w:val="bullet"/>
      <w:lvlText w:val="•"/>
      <w:lvlJc w:val="left"/>
      <w:pPr>
        <w:ind w:left="6313" w:hanging="421"/>
      </w:pPr>
      <w:rPr>
        <w:rFonts w:hint="default"/>
        <w:lang w:val="en-US" w:eastAsia="en-US" w:bidi="ar-SA"/>
      </w:rPr>
    </w:lvl>
    <w:lvl w:ilvl="6" w:tplc="E15AF584">
      <w:numFmt w:val="bullet"/>
      <w:lvlText w:val="•"/>
      <w:lvlJc w:val="left"/>
      <w:pPr>
        <w:ind w:left="7348" w:hanging="421"/>
      </w:pPr>
      <w:rPr>
        <w:rFonts w:hint="default"/>
        <w:lang w:val="en-US" w:eastAsia="en-US" w:bidi="ar-SA"/>
      </w:rPr>
    </w:lvl>
    <w:lvl w:ilvl="7" w:tplc="7CA2B162">
      <w:numFmt w:val="bullet"/>
      <w:lvlText w:val="•"/>
      <w:lvlJc w:val="left"/>
      <w:pPr>
        <w:ind w:left="8383" w:hanging="421"/>
      </w:pPr>
      <w:rPr>
        <w:rFonts w:hint="default"/>
        <w:lang w:val="en-US" w:eastAsia="en-US" w:bidi="ar-SA"/>
      </w:rPr>
    </w:lvl>
    <w:lvl w:ilvl="8" w:tplc="83A02866">
      <w:numFmt w:val="bullet"/>
      <w:lvlText w:val="•"/>
      <w:lvlJc w:val="left"/>
      <w:pPr>
        <w:ind w:left="9417" w:hanging="421"/>
      </w:pPr>
      <w:rPr>
        <w:rFonts w:hint="default"/>
        <w:lang w:val="en-US" w:eastAsia="en-US" w:bidi="ar-SA"/>
      </w:rPr>
    </w:lvl>
  </w:abstractNum>
  <w:abstractNum w:abstractNumId="93" w15:restartNumberingAfterBreak="0">
    <w:nsid w:val="34310523"/>
    <w:multiLevelType w:val="hybridMultilevel"/>
    <w:tmpl w:val="8174BCAE"/>
    <w:lvl w:ilvl="0" w:tplc="F224F074">
      <w:start w:val="1"/>
      <w:numFmt w:val="lowerLetter"/>
      <w:lvlText w:val="%1)"/>
      <w:lvlJc w:val="left"/>
      <w:pPr>
        <w:ind w:left="1882"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56E2432">
      <w:numFmt w:val="bullet"/>
      <w:lvlText w:val="•"/>
      <w:lvlJc w:val="left"/>
      <w:pPr>
        <w:ind w:left="2840" w:hanging="509"/>
      </w:pPr>
      <w:rPr>
        <w:rFonts w:hint="default"/>
        <w:lang w:val="en-US" w:eastAsia="en-US" w:bidi="ar-SA"/>
      </w:rPr>
    </w:lvl>
    <w:lvl w:ilvl="2" w:tplc="14C6549C">
      <w:numFmt w:val="bullet"/>
      <w:lvlText w:val="•"/>
      <w:lvlJc w:val="left"/>
      <w:pPr>
        <w:ind w:left="3801" w:hanging="509"/>
      </w:pPr>
      <w:rPr>
        <w:rFonts w:hint="default"/>
        <w:lang w:val="en-US" w:eastAsia="en-US" w:bidi="ar-SA"/>
      </w:rPr>
    </w:lvl>
    <w:lvl w:ilvl="3" w:tplc="68DC2D6C">
      <w:numFmt w:val="bullet"/>
      <w:lvlText w:val="•"/>
      <w:lvlJc w:val="left"/>
      <w:pPr>
        <w:ind w:left="4762" w:hanging="509"/>
      </w:pPr>
      <w:rPr>
        <w:rFonts w:hint="default"/>
        <w:lang w:val="en-US" w:eastAsia="en-US" w:bidi="ar-SA"/>
      </w:rPr>
    </w:lvl>
    <w:lvl w:ilvl="4" w:tplc="04CA3BD4">
      <w:numFmt w:val="bullet"/>
      <w:lvlText w:val="•"/>
      <w:lvlJc w:val="left"/>
      <w:pPr>
        <w:ind w:left="5722" w:hanging="509"/>
      </w:pPr>
      <w:rPr>
        <w:rFonts w:hint="default"/>
        <w:lang w:val="en-US" w:eastAsia="en-US" w:bidi="ar-SA"/>
      </w:rPr>
    </w:lvl>
    <w:lvl w:ilvl="5" w:tplc="90103EFE">
      <w:numFmt w:val="bullet"/>
      <w:lvlText w:val="•"/>
      <w:lvlJc w:val="left"/>
      <w:pPr>
        <w:ind w:left="6683" w:hanging="509"/>
      </w:pPr>
      <w:rPr>
        <w:rFonts w:hint="default"/>
        <w:lang w:val="en-US" w:eastAsia="en-US" w:bidi="ar-SA"/>
      </w:rPr>
    </w:lvl>
    <w:lvl w:ilvl="6" w:tplc="1CE4C20A">
      <w:numFmt w:val="bullet"/>
      <w:lvlText w:val="•"/>
      <w:lvlJc w:val="left"/>
      <w:pPr>
        <w:ind w:left="7644" w:hanging="509"/>
      </w:pPr>
      <w:rPr>
        <w:rFonts w:hint="default"/>
        <w:lang w:val="en-US" w:eastAsia="en-US" w:bidi="ar-SA"/>
      </w:rPr>
    </w:lvl>
    <w:lvl w:ilvl="7" w:tplc="A76ECE86">
      <w:numFmt w:val="bullet"/>
      <w:lvlText w:val="•"/>
      <w:lvlJc w:val="left"/>
      <w:pPr>
        <w:ind w:left="8605" w:hanging="509"/>
      </w:pPr>
      <w:rPr>
        <w:rFonts w:hint="default"/>
        <w:lang w:val="en-US" w:eastAsia="en-US" w:bidi="ar-SA"/>
      </w:rPr>
    </w:lvl>
    <w:lvl w:ilvl="8" w:tplc="741CC486">
      <w:numFmt w:val="bullet"/>
      <w:lvlText w:val="•"/>
      <w:lvlJc w:val="left"/>
      <w:pPr>
        <w:ind w:left="9565" w:hanging="509"/>
      </w:pPr>
      <w:rPr>
        <w:rFonts w:hint="default"/>
        <w:lang w:val="en-US" w:eastAsia="en-US" w:bidi="ar-SA"/>
      </w:rPr>
    </w:lvl>
  </w:abstractNum>
  <w:abstractNum w:abstractNumId="94" w15:restartNumberingAfterBreak="0">
    <w:nsid w:val="345D12B4"/>
    <w:multiLevelType w:val="hybridMultilevel"/>
    <w:tmpl w:val="7F08B9E6"/>
    <w:lvl w:ilvl="0" w:tplc="56EC369A">
      <w:start w:val="1"/>
      <w:numFmt w:val="lowerLetter"/>
      <w:lvlText w:val="%1)"/>
      <w:lvlJc w:val="left"/>
      <w:pPr>
        <w:ind w:left="1949" w:hanging="46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E6C5EAC">
      <w:numFmt w:val="bullet"/>
      <w:lvlText w:val="•"/>
      <w:lvlJc w:val="left"/>
      <w:pPr>
        <w:ind w:left="2894" w:hanging="461"/>
      </w:pPr>
      <w:rPr>
        <w:rFonts w:hint="default"/>
        <w:lang w:val="en-US" w:eastAsia="en-US" w:bidi="ar-SA"/>
      </w:rPr>
    </w:lvl>
    <w:lvl w:ilvl="2" w:tplc="5290F018">
      <w:numFmt w:val="bullet"/>
      <w:lvlText w:val="•"/>
      <w:lvlJc w:val="left"/>
      <w:pPr>
        <w:ind w:left="3849" w:hanging="461"/>
      </w:pPr>
      <w:rPr>
        <w:rFonts w:hint="default"/>
        <w:lang w:val="en-US" w:eastAsia="en-US" w:bidi="ar-SA"/>
      </w:rPr>
    </w:lvl>
    <w:lvl w:ilvl="3" w:tplc="657A7C04">
      <w:numFmt w:val="bullet"/>
      <w:lvlText w:val="•"/>
      <w:lvlJc w:val="left"/>
      <w:pPr>
        <w:ind w:left="4804" w:hanging="461"/>
      </w:pPr>
      <w:rPr>
        <w:rFonts w:hint="default"/>
        <w:lang w:val="en-US" w:eastAsia="en-US" w:bidi="ar-SA"/>
      </w:rPr>
    </w:lvl>
    <w:lvl w:ilvl="4" w:tplc="3690AE06">
      <w:numFmt w:val="bullet"/>
      <w:lvlText w:val="•"/>
      <w:lvlJc w:val="left"/>
      <w:pPr>
        <w:ind w:left="5758" w:hanging="461"/>
      </w:pPr>
      <w:rPr>
        <w:rFonts w:hint="default"/>
        <w:lang w:val="en-US" w:eastAsia="en-US" w:bidi="ar-SA"/>
      </w:rPr>
    </w:lvl>
    <w:lvl w:ilvl="5" w:tplc="C960EFB6">
      <w:numFmt w:val="bullet"/>
      <w:lvlText w:val="•"/>
      <w:lvlJc w:val="left"/>
      <w:pPr>
        <w:ind w:left="6713" w:hanging="461"/>
      </w:pPr>
      <w:rPr>
        <w:rFonts w:hint="default"/>
        <w:lang w:val="en-US" w:eastAsia="en-US" w:bidi="ar-SA"/>
      </w:rPr>
    </w:lvl>
    <w:lvl w:ilvl="6" w:tplc="A1CED65C">
      <w:numFmt w:val="bullet"/>
      <w:lvlText w:val="•"/>
      <w:lvlJc w:val="left"/>
      <w:pPr>
        <w:ind w:left="7668" w:hanging="461"/>
      </w:pPr>
      <w:rPr>
        <w:rFonts w:hint="default"/>
        <w:lang w:val="en-US" w:eastAsia="en-US" w:bidi="ar-SA"/>
      </w:rPr>
    </w:lvl>
    <w:lvl w:ilvl="7" w:tplc="40264728">
      <w:numFmt w:val="bullet"/>
      <w:lvlText w:val="•"/>
      <w:lvlJc w:val="left"/>
      <w:pPr>
        <w:ind w:left="8623" w:hanging="461"/>
      </w:pPr>
      <w:rPr>
        <w:rFonts w:hint="default"/>
        <w:lang w:val="en-US" w:eastAsia="en-US" w:bidi="ar-SA"/>
      </w:rPr>
    </w:lvl>
    <w:lvl w:ilvl="8" w:tplc="44329576">
      <w:numFmt w:val="bullet"/>
      <w:lvlText w:val="•"/>
      <w:lvlJc w:val="left"/>
      <w:pPr>
        <w:ind w:left="9577" w:hanging="461"/>
      </w:pPr>
      <w:rPr>
        <w:rFonts w:hint="default"/>
        <w:lang w:val="en-US" w:eastAsia="en-US" w:bidi="ar-SA"/>
      </w:rPr>
    </w:lvl>
  </w:abstractNum>
  <w:abstractNum w:abstractNumId="95" w15:restartNumberingAfterBreak="0">
    <w:nsid w:val="3491524A"/>
    <w:multiLevelType w:val="multilevel"/>
    <w:tmpl w:val="55307C58"/>
    <w:lvl w:ilvl="0">
      <w:start w:val="4"/>
      <w:numFmt w:val="decimal"/>
      <w:lvlText w:val="%1"/>
      <w:lvlJc w:val="left"/>
      <w:pPr>
        <w:ind w:left="1390" w:hanging="671"/>
      </w:pPr>
      <w:rPr>
        <w:rFonts w:hint="default"/>
        <w:lang w:val="en-US" w:eastAsia="en-US" w:bidi="ar-SA"/>
      </w:rPr>
    </w:lvl>
    <w:lvl w:ilvl="1">
      <w:start w:val="20"/>
      <w:numFmt w:val="decimal"/>
      <w:lvlText w:val="%1.%2"/>
      <w:lvlJc w:val="left"/>
      <w:pPr>
        <w:ind w:left="1390" w:hanging="671"/>
      </w:pPr>
      <w:rPr>
        <w:rFonts w:hint="default"/>
        <w:lang w:val="en-US" w:eastAsia="en-US" w:bidi="ar-SA"/>
      </w:rPr>
    </w:lvl>
    <w:lvl w:ilvl="2">
      <w:start w:val="1"/>
      <w:numFmt w:val="decimal"/>
      <w:lvlText w:val="%1.%2.%3"/>
      <w:lvlJc w:val="left"/>
      <w:pPr>
        <w:ind w:left="1390" w:hanging="671"/>
      </w:pPr>
      <w:rPr>
        <w:rFonts w:ascii="Times New Roman" w:eastAsia="Times New Roman" w:hAnsi="Times New Roman" w:cs="Times New Roman" w:hint="default"/>
        <w:b w:val="0"/>
        <w:bCs w:val="0"/>
        <w:i w:val="0"/>
        <w:iCs w:val="0"/>
        <w:color w:val="221F1F"/>
        <w:spacing w:val="-27"/>
        <w:w w:val="100"/>
        <w:sz w:val="22"/>
        <w:szCs w:val="22"/>
        <w:lang w:val="en-US" w:eastAsia="en-US" w:bidi="ar-SA"/>
      </w:rPr>
    </w:lvl>
    <w:lvl w:ilvl="3">
      <w:numFmt w:val="bullet"/>
      <w:lvlText w:val="•"/>
      <w:lvlJc w:val="left"/>
      <w:pPr>
        <w:ind w:left="4426" w:hanging="671"/>
      </w:pPr>
      <w:rPr>
        <w:rFonts w:hint="default"/>
        <w:lang w:val="en-US" w:eastAsia="en-US" w:bidi="ar-SA"/>
      </w:rPr>
    </w:lvl>
    <w:lvl w:ilvl="4">
      <w:numFmt w:val="bullet"/>
      <w:lvlText w:val="•"/>
      <w:lvlJc w:val="left"/>
      <w:pPr>
        <w:ind w:left="5434" w:hanging="671"/>
      </w:pPr>
      <w:rPr>
        <w:rFonts w:hint="default"/>
        <w:lang w:val="en-US" w:eastAsia="en-US" w:bidi="ar-SA"/>
      </w:rPr>
    </w:lvl>
    <w:lvl w:ilvl="5">
      <w:numFmt w:val="bullet"/>
      <w:lvlText w:val="•"/>
      <w:lvlJc w:val="left"/>
      <w:pPr>
        <w:ind w:left="6443" w:hanging="671"/>
      </w:pPr>
      <w:rPr>
        <w:rFonts w:hint="default"/>
        <w:lang w:val="en-US" w:eastAsia="en-US" w:bidi="ar-SA"/>
      </w:rPr>
    </w:lvl>
    <w:lvl w:ilvl="6">
      <w:numFmt w:val="bullet"/>
      <w:lvlText w:val="•"/>
      <w:lvlJc w:val="left"/>
      <w:pPr>
        <w:ind w:left="7452" w:hanging="671"/>
      </w:pPr>
      <w:rPr>
        <w:rFonts w:hint="default"/>
        <w:lang w:val="en-US" w:eastAsia="en-US" w:bidi="ar-SA"/>
      </w:rPr>
    </w:lvl>
    <w:lvl w:ilvl="7">
      <w:numFmt w:val="bullet"/>
      <w:lvlText w:val="•"/>
      <w:lvlJc w:val="left"/>
      <w:pPr>
        <w:ind w:left="8461" w:hanging="671"/>
      </w:pPr>
      <w:rPr>
        <w:rFonts w:hint="default"/>
        <w:lang w:val="en-US" w:eastAsia="en-US" w:bidi="ar-SA"/>
      </w:rPr>
    </w:lvl>
    <w:lvl w:ilvl="8">
      <w:numFmt w:val="bullet"/>
      <w:lvlText w:val="•"/>
      <w:lvlJc w:val="left"/>
      <w:pPr>
        <w:ind w:left="9469" w:hanging="671"/>
      </w:pPr>
      <w:rPr>
        <w:rFonts w:hint="default"/>
        <w:lang w:val="en-US" w:eastAsia="en-US" w:bidi="ar-SA"/>
      </w:rPr>
    </w:lvl>
  </w:abstractNum>
  <w:abstractNum w:abstractNumId="96" w15:restartNumberingAfterBreak="0">
    <w:nsid w:val="35A77E7E"/>
    <w:multiLevelType w:val="hybridMultilevel"/>
    <w:tmpl w:val="E578AFD6"/>
    <w:lvl w:ilvl="0" w:tplc="2B082170">
      <w:start w:val="1"/>
      <w:numFmt w:val="lowerLetter"/>
      <w:lvlText w:val="%1)"/>
      <w:lvlJc w:val="left"/>
      <w:pPr>
        <w:ind w:left="1897" w:hanging="51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2BCAB30">
      <w:numFmt w:val="bullet"/>
      <w:lvlText w:val="•"/>
      <w:lvlJc w:val="left"/>
      <w:pPr>
        <w:ind w:left="2858" w:hanging="512"/>
      </w:pPr>
      <w:rPr>
        <w:rFonts w:hint="default"/>
        <w:lang w:val="en-US" w:eastAsia="en-US" w:bidi="ar-SA"/>
      </w:rPr>
    </w:lvl>
    <w:lvl w:ilvl="2" w:tplc="EC54FE62">
      <w:numFmt w:val="bullet"/>
      <w:lvlText w:val="•"/>
      <w:lvlJc w:val="left"/>
      <w:pPr>
        <w:ind w:left="3817" w:hanging="512"/>
      </w:pPr>
      <w:rPr>
        <w:rFonts w:hint="default"/>
        <w:lang w:val="en-US" w:eastAsia="en-US" w:bidi="ar-SA"/>
      </w:rPr>
    </w:lvl>
    <w:lvl w:ilvl="3" w:tplc="C2E09C54">
      <w:numFmt w:val="bullet"/>
      <w:lvlText w:val="•"/>
      <w:lvlJc w:val="left"/>
      <w:pPr>
        <w:ind w:left="4776" w:hanging="512"/>
      </w:pPr>
      <w:rPr>
        <w:rFonts w:hint="default"/>
        <w:lang w:val="en-US" w:eastAsia="en-US" w:bidi="ar-SA"/>
      </w:rPr>
    </w:lvl>
    <w:lvl w:ilvl="4" w:tplc="C9EE4066">
      <w:numFmt w:val="bullet"/>
      <w:lvlText w:val="•"/>
      <w:lvlJc w:val="left"/>
      <w:pPr>
        <w:ind w:left="5734" w:hanging="512"/>
      </w:pPr>
      <w:rPr>
        <w:rFonts w:hint="default"/>
        <w:lang w:val="en-US" w:eastAsia="en-US" w:bidi="ar-SA"/>
      </w:rPr>
    </w:lvl>
    <w:lvl w:ilvl="5" w:tplc="0E924E0A">
      <w:numFmt w:val="bullet"/>
      <w:lvlText w:val="•"/>
      <w:lvlJc w:val="left"/>
      <w:pPr>
        <w:ind w:left="6693" w:hanging="512"/>
      </w:pPr>
      <w:rPr>
        <w:rFonts w:hint="default"/>
        <w:lang w:val="en-US" w:eastAsia="en-US" w:bidi="ar-SA"/>
      </w:rPr>
    </w:lvl>
    <w:lvl w:ilvl="6" w:tplc="3280E106">
      <w:numFmt w:val="bullet"/>
      <w:lvlText w:val="•"/>
      <w:lvlJc w:val="left"/>
      <w:pPr>
        <w:ind w:left="7652" w:hanging="512"/>
      </w:pPr>
      <w:rPr>
        <w:rFonts w:hint="default"/>
        <w:lang w:val="en-US" w:eastAsia="en-US" w:bidi="ar-SA"/>
      </w:rPr>
    </w:lvl>
    <w:lvl w:ilvl="7" w:tplc="4BF6A1AC">
      <w:numFmt w:val="bullet"/>
      <w:lvlText w:val="•"/>
      <w:lvlJc w:val="left"/>
      <w:pPr>
        <w:ind w:left="8611" w:hanging="512"/>
      </w:pPr>
      <w:rPr>
        <w:rFonts w:hint="default"/>
        <w:lang w:val="en-US" w:eastAsia="en-US" w:bidi="ar-SA"/>
      </w:rPr>
    </w:lvl>
    <w:lvl w:ilvl="8" w:tplc="B88EA6AE">
      <w:numFmt w:val="bullet"/>
      <w:lvlText w:val="•"/>
      <w:lvlJc w:val="left"/>
      <w:pPr>
        <w:ind w:left="9569" w:hanging="512"/>
      </w:pPr>
      <w:rPr>
        <w:rFonts w:hint="default"/>
        <w:lang w:val="en-US" w:eastAsia="en-US" w:bidi="ar-SA"/>
      </w:rPr>
    </w:lvl>
  </w:abstractNum>
  <w:abstractNum w:abstractNumId="97" w15:restartNumberingAfterBreak="0">
    <w:nsid w:val="35C034D8"/>
    <w:multiLevelType w:val="multilevel"/>
    <w:tmpl w:val="E3A4B272"/>
    <w:lvl w:ilvl="0">
      <w:start w:val="33"/>
      <w:numFmt w:val="decimal"/>
      <w:lvlText w:val="%1.0"/>
      <w:lvlJc w:val="left"/>
      <w:pPr>
        <w:ind w:left="1615"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numFmt w:val="decimal"/>
      <w:lvlText w:val="%1.%2"/>
      <w:lvlJc w:val="left"/>
      <w:pPr>
        <w:ind w:left="1620"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numFmt w:val="bullet"/>
      <w:lvlText w:val="•"/>
      <w:lvlJc w:val="left"/>
      <w:pPr>
        <w:ind w:left="2799" w:hanging="769"/>
      </w:pPr>
      <w:rPr>
        <w:rFonts w:hint="default"/>
        <w:lang w:val="en-US" w:eastAsia="en-US" w:bidi="ar-SA"/>
      </w:rPr>
    </w:lvl>
    <w:lvl w:ilvl="3">
      <w:numFmt w:val="bullet"/>
      <w:lvlText w:val="•"/>
      <w:lvlJc w:val="left"/>
      <w:pPr>
        <w:ind w:left="3938" w:hanging="769"/>
      </w:pPr>
      <w:rPr>
        <w:rFonts w:hint="default"/>
        <w:lang w:val="en-US" w:eastAsia="en-US" w:bidi="ar-SA"/>
      </w:rPr>
    </w:lvl>
    <w:lvl w:ilvl="4">
      <w:numFmt w:val="bullet"/>
      <w:lvlText w:val="•"/>
      <w:lvlJc w:val="left"/>
      <w:pPr>
        <w:ind w:left="5077" w:hanging="769"/>
      </w:pPr>
      <w:rPr>
        <w:rFonts w:hint="default"/>
        <w:lang w:val="en-US" w:eastAsia="en-US" w:bidi="ar-SA"/>
      </w:rPr>
    </w:lvl>
    <w:lvl w:ilvl="5">
      <w:numFmt w:val="bullet"/>
      <w:lvlText w:val="•"/>
      <w:lvlJc w:val="left"/>
      <w:pPr>
        <w:ind w:left="6216" w:hanging="769"/>
      </w:pPr>
      <w:rPr>
        <w:rFonts w:hint="default"/>
        <w:lang w:val="en-US" w:eastAsia="en-US" w:bidi="ar-SA"/>
      </w:rPr>
    </w:lvl>
    <w:lvl w:ilvl="6">
      <w:numFmt w:val="bullet"/>
      <w:lvlText w:val="•"/>
      <w:lvlJc w:val="left"/>
      <w:pPr>
        <w:ind w:left="7355" w:hanging="769"/>
      </w:pPr>
      <w:rPr>
        <w:rFonts w:hint="default"/>
        <w:lang w:val="en-US" w:eastAsia="en-US" w:bidi="ar-SA"/>
      </w:rPr>
    </w:lvl>
    <w:lvl w:ilvl="7">
      <w:numFmt w:val="bullet"/>
      <w:lvlText w:val="•"/>
      <w:lvlJc w:val="left"/>
      <w:pPr>
        <w:ind w:left="8494" w:hanging="769"/>
      </w:pPr>
      <w:rPr>
        <w:rFonts w:hint="default"/>
        <w:lang w:val="en-US" w:eastAsia="en-US" w:bidi="ar-SA"/>
      </w:rPr>
    </w:lvl>
    <w:lvl w:ilvl="8">
      <w:numFmt w:val="bullet"/>
      <w:lvlText w:val="•"/>
      <w:lvlJc w:val="left"/>
      <w:pPr>
        <w:ind w:left="9633" w:hanging="769"/>
      </w:pPr>
      <w:rPr>
        <w:rFonts w:hint="default"/>
        <w:lang w:val="en-US" w:eastAsia="en-US" w:bidi="ar-SA"/>
      </w:rPr>
    </w:lvl>
  </w:abstractNum>
  <w:abstractNum w:abstractNumId="98" w15:restartNumberingAfterBreak="0">
    <w:nsid w:val="362A1A4F"/>
    <w:multiLevelType w:val="multilevel"/>
    <w:tmpl w:val="5FBE5AC2"/>
    <w:lvl w:ilvl="0">
      <w:start w:val="25"/>
      <w:numFmt w:val="decimal"/>
      <w:lvlText w:val="%1."/>
      <w:lvlJc w:val="left"/>
      <w:pPr>
        <w:ind w:left="1428" w:hanging="570"/>
      </w:pPr>
      <w:rPr>
        <w:rFonts w:ascii="Times New Roman" w:eastAsia="Times New Roman" w:hAnsi="Times New Roman" w:cs="Times New Roman" w:hint="default"/>
        <w:b/>
        <w:bCs/>
        <w:i w:val="0"/>
        <w:iCs w:val="0"/>
        <w:color w:val="221F1F"/>
        <w:spacing w:val="-27"/>
        <w:w w:val="100"/>
        <w:sz w:val="22"/>
        <w:szCs w:val="22"/>
        <w:lang w:val="en-US" w:eastAsia="en-US" w:bidi="ar-SA"/>
      </w:rPr>
    </w:lvl>
    <w:lvl w:ilvl="1">
      <w:start w:val="1"/>
      <w:numFmt w:val="decimal"/>
      <w:lvlText w:val="%1.%2"/>
      <w:lvlJc w:val="left"/>
      <w:pPr>
        <w:ind w:left="1442" w:hanging="570"/>
      </w:pPr>
      <w:rPr>
        <w:rFonts w:hint="default"/>
        <w:spacing w:val="-32"/>
        <w:w w:val="97"/>
        <w:lang w:val="en-US" w:eastAsia="en-US" w:bidi="ar-SA"/>
      </w:rPr>
    </w:lvl>
    <w:lvl w:ilvl="2">
      <w:start w:val="1"/>
      <w:numFmt w:val="lowerLetter"/>
      <w:lvlText w:val="%3)"/>
      <w:lvlJc w:val="left"/>
      <w:pPr>
        <w:ind w:left="1841" w:hanging="57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098" w:hanging="570"/>
      </w:pPr>
      <w:rPr>
        <w:rFonts w:hint="default"/>
        <w:lang w:val="en-US" w:eastAsia="en-US" w:bidi="ar-SA"/>
      </w:rPr>
    </w:lvl>
    <w:lvl w:ilvl="4">
      <w:numFmt w:val="bullet"/>
      <w:lvlText w:val="•"/>
      <w:lvlJc w:val="left"/>
      <w:pPr>
        <w:ind w:left="4357" w:hanging="570"/>
      </w:pPr>
      <w:rPr>
        <w:rFonts w:hint="default"/>
        <w:lang w:val="en-US" w:eastAsia="en-US" w:bidi="ar-SA"/>
      </w:rPr>
    </w:lvl>
    <w:lvl w:ilvl="5">
      <w:numFmt w:val="bullet"/>
      <w:lvlText w:val="•"/>
      <w:lvlJc w:val="left"/>
      <w:pPr>
        <w:ind w:left="5616" w:hanging="570"/>
      </w:pPr>
      <w:rPr>
        <w:rFonts w:hint="default"/>
        <w:lang w:val="en-US" w:eastAsia="en-US" w:bidi="ar-SA"/>
      </w:rPr>
    </w:lvl>
    <w:lvl w:ilvl="6">
      <w:numFmt w:val="bullet"/>
      <w:lvlText w:val="•"/>
      <w:lvlJc w:val="left"/>
      <w:pPr>
        <w:ind w:left="6875" w:hanging="570"/>
      </w:pPr>
      <w:rPr>
        <w:rFonts w:hint="default"/>
        <w:lang w:val="en-US" w:eastAsia="en-US" w:bidi="ar-SA"/>
      </w:rPr>
    </w:lvl>
    <w:lvl w:ilvl="7">
      <w:numFmt w:val="bullet"/>
      <w:lvlText w:val="•"/>
      <w:lvlJc w:val="left"/>
      <w:pPr>
        <w:ind w:left="8134" w:hanging="570"/>
      </w:pPr>
      <w:rPr>
        <w:rFonts w:hint="default"/>
        <w:lang w:val="en-US" w:eastAsia="en-US" w:bidi="ar-SA"/>
      </w:rPr>
    </w:lvl>
    <w:lvl w:ilvl="8">
      <w:numFmt w:val="bullet"/>
      <w:lvlText w:val="•"/>
      <w:lvlJc w:val="left"/>
      <w:pPr>
        <w:ind w:left="9393" w:hanging="570"/>
      </w:pPr>
      <w:rPr>
        <w:rFonts w:hint="default"/>
        <w:lang w:val="en-US" w:eastAsia="en-US" w:bidi="ar-SA"/>
      </w:rPr>
    </w:lvl>
  </w:abstractNum>
  <w:abstractNum w:abstractNumId="99" w15:restartNumberingAfterBreak="0">
    <w:nsid w:val="37033C3D"/>
    <w:multiLevelType w:val="hybridMultilevel"/>
    <w:tmpl w:val="8294F29E"/>
    <w:lvl w:ilvl="0" w:tplc="4C3E62C8">
      <w:start w:val="1"/>
      <w:numFmt w:val="decimal"/>
      <w:lvlText w:val="%1."/>
      <w:lvlJc w:val="left"/>
      <w:pPr>
        <w:ind w:left="1059" w:hanging="347"/>
      </w:pPr>
      <w:rPr>
        <w:rFonts w:hint="default"/>
        <w:spacing w:val="-24"/>
        <w:w w:val="97"/>
        <w:lang w:val="en-US" w:eastAsia="en-US" w:bidi="ar-SA"/>
      </w:rPr>
    </w:lvl>
    <w:lvl w:ilvl="1" w:tplc="F5D47B8A">
      <w:numFmt w:val="bullet"/>
      <w:lvlText w:val="•"/>
      <w:lvlJc w:val="left"/>
      <w:pPr>
        <w:ind w:left="2102" w:hanging="347"/>
      </w:pPr>
      <w:rPr>
        <w:rFonts w:hint="default"/>
        <w:lang w:val="en-US" w:eastAsia="en-US" w:bidi="ar-SA"/>
      </w:rPr>
    </w:lvl>
    <w:lvl w:ilvl="2" w:tplc="C19AA736">
      <w:numFmt w:val="bullet"/>
      <w:lvlText w:val="•"/>
      <w:lvlJc w:val="left"/>
      <w:pPr>
        <w:ind w:left="3145" w:hanging="347"/>
      </w:pPr>
      <w:rPr>
        <w:rFonts w:hint="default"/>
        <w:lang w:val="en-US" w:eastAsia="en-US" w:bidi="ar-SA"/>
      </w:rPr>
    </w:lvl>
    <w:lvl w:ilvl="3" w:tplc="4FF6E720">
      <w:numFmt w:val="bullet"/>
      <w:lvlText w:val="•"/>
      <w:lvlJc w:val="left"/>
      <w:pPr>
        <w:ind w:left="4188" w:hanging="347"/>
      </w:pPr>
      <w:rPr>
        <w:rFonts w:hint="default"/>
        <w:lang w:val="en-US" w:eastAsia="en-US" w:bidi="ar-SA"/>
      </w:rPr>
    </w:lvl>
    <w:lvl w:ilvl="4" w:tplc="47E6C764">
      <w:numFmt w:val="bullet"/>
      <w:lvlText w:val="•"/>
      <w:lvlJc w:val="left"/>
      <w:pPr>
        <w:ind w:left="5230" w:hanging="347"/>
      </w:pPr>
      <w:rPr>
        <w:rFonts w:hint="default"/>
        <w:lang w:val="en-US" w:eastAsia="en-US" w:bidi="ar-SA"/>
      </w:rPr>
    </w:lvl>
    <w:lvl w:ilvl="5" w:tplc="01E2AEC2">
      <w:numFmt w:val="bullet"/>
      <w:lvlText w:val="•"/>
      <w:lvlJc w:val="left"/>
      <w:pPr>
        <w:ind w:left="6273" w:hanging="347"/>
      </w:pPr>
      <w:rPr>
        <w:rFonts w:hint="default"/>
        <w:lang w:val="en-US" w:eastAsia="en-US" w:bidi="ar-SA"/>
      </w:rPr>
    </w:lvl>
    <w:lvl w:ilvl="6" w:tplc="D1507734">
      <w:numFmt w:val="bullet"/>
      <w:lvlText w:val="•"/>
      <w:lvlJc w:val="left"/>
      <w:pPr>
        <w:ind w:left="7316" w:hanging="347"/>
      </w:pPr>
      <w:rPr>
        <w:rFonts w:hint="default"/>
        <w:lang w:val="en-US" w:eastAsia="en-US" w:bidi="ar-SA"/>
      </w:rPr>
    </w:lvl>
    <w:lvl w:ilvl="7" w:tplc="64FA2770">
      <w:numFmt w:val="bullet"/>
      <w:lvlText w:val="•"/>
      <w:lvlJc w:val="left"/>
      <w:pPr>
        <w:ind w:left="8359" w:hanging="347"/>
      </w:pPr>
      <w:rPr>
        <w:rFonts w:hint="default"/>
        <w:lang w:val="en-US" w:eastAsia="en-US" w:bidi="ar-SA"/>
      </w:rPr>
    </w:lvl>
    <w:lvl w:ilvl="8" w:tplc="4A644244">
      <w:numFmt w:val="bullet"/>
      <w:lvlText w:val="•"/>
      <w:lvlJc w:val="left"/>
      <w:pPr>
        <w:ind w:left="9401" w:hanging="347"/>
      </w:pPr>
      <w:rPr>
        <w:rFonts w:hint="default"/>
        <w:lang w:val="en-US" w:eastAsia="en-US" w:bidi="ar-SA"/>
      </w:rPr>
    </w:lvl>
  </w:abstractNum>
  <w:abstractNum w:abstractNumId="100" w15:restartNumberingAfterBreak="0">
    <w:nsid w:val="37322CD0"/>
    <w:multiLevelType w:val="multilevel"/>
    <w:tmpl w:val="4E3A9992"/>
    <w:lvl w:ilvl="0">
      <w:start w:val="5"/>
      <w:numFmt w:val="decimal"/>
      <w:lvlText w:val="%1"/>
      <w:lvlJc w:val="left"/>
      <w:pPr>
        <w:ind w:left="1280" w:hanging="721"/>
      </w:pPr>
      <w:rPr>
        <w:rFonts w:hint="default"/>
        <w:lang w:val="en-US" w:eastAsia="en-US" w:bidi="ar-SA"/>
      </w:rPr>
    </w:lvl>
    <w:lvl w:ilvl="1">
      <w:start w:val="9"/>
      <w:numFmt w:val="decimal"/>
      <w:lvlText w:val="%1.%2"/>
      <w:lvlJc w:val="left"/>
      <w:pPr>
        <w:ind w:left="1280" w:hanging="721"/>
      </w:pPr>
      <w:rPr>
        <w:rFonts w:hint="default"/>
        <w:spacing w:val="0"/>
        <w:w w:val="100"/>
        <w:lang w:val="en-US" w:eastAsia="en-US" w:bidi="ar-SA"/>
      </w:rPr>
    </w:lvl>
    <w:lvl w:ilvl="2">
      <w:numFmt w:val="bullet"/>
      <w:lvlText w:val="•"/>
      <w:lvlJc w:val="left"/>
      <w:pPr>
        <w:ind w:left="3321" w:hanging="721"/>
      </w:pPr>
      <w:rPr>
        <w:rFonts w:hint="default"/>
        <w:lang w:val="en-US" w:eastAsia="en-US" w:bidi="ar-SA"/>
      </w:rPr>
    </w:lvl>
    <w:lvl w:ilvl="3">
      <w:numFmt w:val="bullet"/>
      <w:lvlText w:val="•"/>
      <w:lvlJc w:val="left"/>
      <w:pPr>
        <w:ind w:left="4342" w:hanging="721"/>
      </w:pPr>
      <w:rPr>
        <w:rFonts w:hint="default"/>
        <w:lang w:val="en-US" w:eastAsia="en-US" w:bidi="ar-SA"/>
      </w:rPr>
    </w:lvl>
    <w:lvl w:ilvl="4">
      <w:numFmt w:val="bullet"/>
      <w:lvlText w:val="•"/>
      <w:lvlJc w:val="left"/>
      <w:pPr>
        <w:ind w:left="5362" w:hanging="721"/>
      </w:pPr>
      <w:rPr>
        <w:rFonts w:hint="default"/>
        <w:lang w:val="en-US" w:eastAsia="en-US" w:bidi="ar-SA"/>
      </w:rPr>
    </w:lvl>
    <w:lvl w:ilvl="5">
      <w:numFmt w:val="bullet"/>
      <w:lvlText w:val="•"/>
      <w:lvlJc w:val="left"/>
      <w:pPr>
        <w:ind w:left="6383" w:hanging="721"/>
      </w:pPr>
      <w:rPr>
        <w:rFonts w:hint="default"/>
        <w:lang w:val="en-US" w:eastAsia="en-US" w:bidi="ar-SA"/>
      </w:rPr>
    </w:lvl>
    <w:lvl w:ilvl="6">
      <w:numFmt w:val="bullet"/>
      <w:lvlText w:val="•"/>
      <w:lvlJc w:val="left"/>
      <w:pPr>
        <w:ind w:left="7404" w:hanging="721"/>
      </w:pPr>
      <w:rPr>
        <w:rFonts w:hint="default"/>
        <w:lang w:val="en-US" w:eastAsia="en-US" w:bidi="ar-SA"/>
      </w:rPr>
    </w:lvl>
    <w:lvl w:ilvl="7">
      <w:numFmt w:val="bullet"/>
      <w:lvlText w:val="•"/>
      <w:lvlJc w:val="left"/>
      <w:pPr>
        <w:ind w:left="8425" w:hanging="721"/>
      </w:pPr>
      <w:rPr>
        <w:rFonts w:hint="default"/>
        <w:lang w:val="en-US" w:eastAsia="en-US" w:bidi="ar-SA"/>
      </w:rPr>
    </w:lvl>
    <w:lvl w:ilvl="8">
      <w:numFmt w:val="bullet"/>
      <w:lvlText w:val="•"/>
      <w:lvlJc w:val="left"/>
      <w:pPr>
        <w:ind w:left="9445" w:hanging="721"/>
      </w:pPr>
      <w:rPr>
        <w:rFonts w:hint="default"/>
        <w:lang w:val="en-US" w:eastAsia="en-US" w:bidi="ar-SA"/>
      </w:rPr>
    </w:lvl>
  </w:abstractNum>
  <w:abstractNum w:abstractNumId="101" w15:restartNumberingAfterBreak="0">
    <w:nsid w:val="38280820"/>
    <w:multiLevelType w:val="hybridMultilevel"/>
    <w:tmpl w:val="AEA2266A"/>
    <w:lvl w:ilvl="0" w:tplc="1F4ABE3E">
      <w:start w:val="1"/>
      <w:numFmt w:val="lowerLetter"/>
      <w:lvlText w:val="%1)"/>
      <w:lvlJc w:val="left"/>
      <w:pPr>
        <w:ind w:left="1841" w:hanging="533"/>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7EC2D84">
      <w:numFmt w:val="bullet"/>
      <w:lvlText w:val="•"/>
      <w:lvlJc w:val="left"/>
      <w:pPr>
        <w:ind w:left="2804" w:hanging="533"/>
      </w:pPr>
      <w:rPr>
        <w:rFonts w:hint="default"/>
        <w:lang w:val="en-US" w:eastAsia="en-US" w:bidi="ar-SA"/>
      </w:rPr>
    </w:lvl>
    <w:lvl w:ilvl="2" w:tplc="AB5C8F1A">
      <w:numFmt w:val="bullet"/>
      <w:lvlText w:val="•"/>
      <w:lvlJc w:val="left"/>
      <w:pPr>
        <w:ind w:left="3769" w:hanging="533"/>
      </w:pPr>
      <w:rPr>
        <w:rFonts w:hint="default"/>
        <w:lang w:val="en-US" w:eastAsia="en-US" w:bidi="ar-SA"/>
      </w:rPr>
    </w:lvl>
    <w:lvl w:ilvl="3" w:tplc="474EEA78">
      <w:numFmt w:val="bullet"/>
      <w:lvlText w:val="•"/>
      <w:lvlJc w:val="left"/>
      <w:pPr>
        <w:ind w:left="4734" w:hanging="533"/>
      </w:pPr>
      <w:rPr>
        <w:rFonts w:hint="default"/>
        <w:lang w:val="en-US" w:eastAsia="en-US" w:bidi="ar-SA"/>
      </w:rPr>
    </w:lvl>
    <w:lvl w:ilvl="4" w:tplc="AE5A2912">
      <w:numFmt w:val="bullet"/>
      <w:lvlText w:val="•"/>
      <w:lvlJc w:val="left"/>
      <w:pPr>
        <w:ind w:left="5698" w:hanging="533"/>
      </w:pPr>
      <w:rPr>
        <w:rFonts w:hint="default"/>
        <w:lang w:val="en-US" w:eastAsia="en-US" w:bidi="ar-SA"/>
      </w:rPr>
    </w:lvl>
    <w:lvl w:ilvl="5" w:tplc="ED824790">
      <w:numFmt w:val="bullet"/>
      <w:lvlText w:val="•"/>
      <w:lvlJc w:val="left"/>
      <w:pPr>
        <w:ind w:left="6663" w:hanging="533"/>
      </w:pPr>
      <w:rPr>
        <w:rFonts w:hint="default"/>
        <w:lang w:val="en-US" w:eastAsia="en-US" w:bidi="ar-SA"/>
      </w:rPr>
    </w:lvl>
    <w:lvl w:ilvl="6" w:tplc="C2583818">
      <w:numFmt w:val="bullet"/>
      <w:lvlText w:val="•"/>
      <w:lvlJc w:val="left"/>
      <w:pPr>
        <w:ind w:left="7628" w:hanging="533"/>
      </w:pPr>
      <w:rPr>
        <w:rFonts w:hint="default"/>
        <w:lang w:val="en-US" w:eastAsia="en-US" w:bidi="ar-SA"/>
      </w:rPr>
    </w:lvl>
    <w:lvl w:ilvl="7" w:tplc="819E1930">
      <w:numFmt w:val="bullet"/>
      <w:lvlText w:val="•"/>
      <w:lvlJc w:val="left"/>
      <w:pPr>
        <w:ind w:left="8593" w:hanging="533"/>
      </w:pPr>
      <w:rPr>
        <w:rFonts w:hint="default"/>
        <w:lang w:val="en-US" w:eastAsia="en-US" w:bidi="ar-SA"/>
      </w:rPr>
    </w:lvl>
    <w:lvl w:ilvl="8" w:tplc="AA94822C">
      <w:numFmt w:val="bullet"/>
      <w:lvlText w:val="•"/>
      <w:lvlJc w:val="left"/>
      <w:pPr>
        <w:ind w:left="9557" w:hanging="533"/>
      </w:pPr>
      <w:rPr>
        <w:rFonts w:hint="default"/>
        <w:lang w:val="en-US" w:eastAsia="en-US" w:bidi="ar-SA"/>
      </w:rPr>
    </w:lvl>
  </w:abstractNum>
  <w:abstractNum w:abstractNumId="102" w15:restartNumberingAfterBreak="0">
    <w:nsid w:val="391B7403"/>
    <w:multiLevelType w:val="multilevel"/>
    <w:tmpl w:val="E9B2D4FA"/>
    <w:lvl w:ilvl="0">
      <w:start w:val="13"/>
      <w:numFmt w:val="decimal"/>
      <w:lvlText w:val="%1"/>
      <w:lvlJc w:val="left"/>
      <w:pPr>
        <w:ind w:left="1378" w:hanging="668"/>
      </w:pPr>
      <w:rPr>
        <w:rFonts w:hint="default"/>
        <w:lang w:val="en-US" w:eastAsia="en-US" w:bidi="ar-SA"/>
      </w:rPr>
    </w:lvl>
    <w:lvl w:ilvl="1">
      <w:start w:val="3"/>
      <w:numFmt w:val="decimal"/>
      <w:lvlText w:val="%1.%2"/>
      <w:lvlJc w:val="left"/>
      <w:pPr>
        <w:ind w:left="1378" w:hanging="668"/>
      </w:pPr>
      <w:rPr>
        <w:rFonts w:ascii="Times New Roman" w:eastAsia="Times New Roman" w:hAnsi="Times New Roman" w:cs="Times New Roman" w:hint="default"/>
        <w:b/>
        <w:bCs/>
        <w:i w:val="0"/>
        <w:iCs w:val="0"/>
        <w:color w:val="221F1F"/>
        <w:spacing w:val="-25"/>
        <w:w w:val="97"/>
        <w:sz w:val="22"/>
        <w:szCs w:val="22"/>
        <w:lang w:val="en-US" w:eastAsia="en-US" w:bidi="ar-SA"/>
      </w:rPr>
    </w:lvl>
    <w:lvl w:ilvl="2">
      <w:start w:val="1"/>
      <w:numFmt w:val="decimal"/>
      <w:lvlText w:val="%1.%2.%3"/>
      <w:lvlJc w:val="left"/>
      <w:pPr>
        <w:ind w:left="1371" w:hanging="661"/>
      </w:pPr>
      <w:rPr>
        <w:rFonts w:ascii="Times New Roman" w:eastAsia="Times New Roman" w:hAnsi="Times New Roman" w:cs="Times New Roman" w:hint="default"/>
        <w:b w:val="0"/>
        <w:bCs w:val="0"/>
        <w:i w:val="0"/>
        <w:iCs w:val="0"/>
        <w:color w:val="221F1F"/>
        <w:spacing w:val="-18"/>
        <w:w w:val="97"/>
        <w:sz w:val="22"/>
        <w:szCs w:val="22"/>
        <w:lang w:val="en-US" w:eastAsia="en-US" w:bidi="ar-SA"/>
      </w:rPr>
    </w:lvl>
    <w:lvl w:ilvl="3">
      <w:start w:val="1"/>
      <w:numFmt w:val="lowerLetter"/>
      <w:lvlText w:val="%4)"/>
      <w:lvlJc w:val="left"/>
      <w:pPr>
        <w:ind w:left="1858"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start w:val="1"/>
      <w:numFmt w:val="lowerRoman"/>
      <w:lvlText w:val="%5)"/>
      <w:lvlJc w:val="left"/>
      <w:pPr>
        <w:ind w:left="2233" w:hanging="37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5">
      <w:numFmt w:val="bullet"/>
      <w:lvlText w:val="•"/>
      <w:lvlJc w:val="left"/>
      <w:pPr>
        <w:ind w:left="3781" w:hanging="375"/>
      </w:pPr>
      <w:rPr>
        <w:rFonts w:hint="default"/>
        <w:lang w:val="en-US" w:eastAsia="en-US" w:bidi="ar-SA"/>
      </w:rPr>
    </w:lvl>
    <w:lvl w:ilvl="6">
      <w:numFmt w:val="bullet"/>
      <w:lvlText w:val="•"/>
      <w:lvlJc w:val="left"/>
      <w:pPr>
        <w:ind w:left="5322" w:hanging="375"/>
      </w:pPr>
      <w:rPr>
        <w:rFonts w:hint="default"/>
        <w:lang w:val="en-US" w:eastAsia="en-US" w:bidi="ar-SA"/>
      </w:rPr>
    </w:lvl>
    <w:lvl w:ilvl="7">
      <w:numFmt w:val="bullet"/>
      <w:lvlText w:val="•"/>
      <w:lvlJc w:val="left"/>
      <w:pPr>
        <w:ind w:left="6863" w:hanging="375"/>
      </w:pPr>
      <w:rPr>
        <w:rFonts w:hint="default"/>
        <w:lang w:val="en-US" w:eastAsia="en-US" w:bidi="ar-SA"/>
      </w:rPr>
    </w:lvl>
    <w:lvl w:ilvl="8">
      <w:numFmt w:val="bullet"/>
      <w:lvlText w:val="•"/>
      <w:lvlJc w:val="left"/>
      <w:pPr>
        <w:ind w:left="8404" w:hanging="375"/>
      </w:pPr>
      <w:rPr>
        <w:rFonts w:hint="default"/>
        <w:lang w:val="en-US" w:eastAsia="en-US" w:bidi="ar-SA"/>
      </w:rPr>
    </w:lvl>
  </w:abstractNum>
  <w:abstractNum w:abstractNumId="103" w15:restartNumberingAfterBreak="0">
    <w:nsid w:val="39257125"/>
    <w:multiLevelType w:val="hybridMultilevel"/>
    <w:tmpl w:val="DFBA61E8"/>
    <w:lvl w:ilvl="0" w:tplc="64162C94">
      <w:start w:val="1"/>
      <w:numFmt w:val="lowerLetter"/>
      <w:lvlText w:val="%1)"/>
      <w:lvlJc w:val="left"/>
      <w:pPr>
        <w:ind w:left="1880"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E46460A">
      <w:numFmt w:val="bullet"/>
      <w:lvlText w:val="•"/>
      <w:lvlJc w:val="left"/>
      <w:pPr>
        <w:ind w:left="2840" w:hanging="447"/>
      </w:pPr>
      <w:rPr>
        <w:rFonts w:hint="default"/>
        <w:lang w:val="en-US" w:eastAsia="en-US" w:bidi="ar-SA"/>
      </w:rPr>
    </w:lvl>
    <w:lvl w:ilvl="2" w:tplc="58E2482C">
      <w:numFmt w:val="bullet"/>
      <w:lvlText w:val="•"/>
      <w:lvlJc w:val="left"/>
      <w:pPr>
        <w:ind w:left="3801" w:hanging="447"/>
      </w:pPr>
      <w:rPr>
        <w:rFonts w:hint="default"/>
        <w:lang w:val="en-US" w:eastAsia="en-US" w:bidi="ar-SA"/>
      </w:rPr>
    </w:lvl>
    <w:lvl w:ilvl="3" w:tplc="0E74F716">
      <w:numFmt w:val="bullet"/>
      <w:lvlText w:val="•"/>
      <w:lvlJc w:val="left"/>
      <w:pPr>
        <w:ind w:left="4762" w:hanging="447"/>
      </w:pPr>
      <w:rPr>
        <w:rFonts w:hint="default"/>
        <w:lang w:val="en-US" w:eastAsia="en-US" w:bidi="ar-SA"/>
      </w:rPr>
    </w:lvl>
    <w:lvl w:ilvl="4" w:tplc="A440D36A">
      <w:numFmt w:val="bullet"/>
      <w:lvlText w:val="•"/>
      <w:lvlJc w:val="left"/>
      <w:pPr>
        <w:ind w:left="5722" w:hanging="447"/>
      </w:pPr>
      <w:rPr>
        <w:rFonts w:hint="default"/>
        <w:lang w:val="en-US" w:eastAsia="en-US" w:bidi="ar-SA"/>
      </w:rPr>
    </w:lvl>
    <w:lvl w:ilvl="5" w:tplc="331294C2">
      <w:numFmt w:val="bullet"/>
      <w:lvlText w:val="•"/>
      <w:lvlJc w:val="left"/>
      <w:pPr>
        <w:ind w:left="6683" w:hanging="447"/>
      </w:pPr>
      <w:rPr>
        <w:rFonts w:hint="default"/>
        <w:lang w:val="en-US" w:eastAsia="en-US" w:bidi="ar-SA"/>
      </w:rPr>
    </w:lvl>
    <w:lvl w:ilvl="6" w:tplc="5302D5EA">
      <w:numFmt w:val="bullet"/>
      <w:lvlText w:val="•"/>
      <w:lvlJc w:val="left"/>
      <w:pPr>
        <w:ind w:left="7644" w:hanging="447"/>
      </w:pPr>
      <w:rPr>
        <w:rFonts w:hint="default"/>
        <w:lang w:val="en-US" w:eastAsia="en-US" w:bidi="ar-SA"/>
      </w:rPr>
    </w:lvl>
    <w:lvl w:ilvl="7" w:tplc="00341B0A">
      <w:numFmt w:val="bullet"/>
      <w:lvlText w:val="•"/>
      <w:lvlJc w:val="left"/>
      <w:pPr>
        <w:ind w:left="8605" w:hanging="447"/>
      </w:pPr>
      <w:rPr>
        <w:rFonts w:hint="default"/>
        <w:lang w:val="en-US" w:eastAsia="en-US" w:bidi="ar-SA"/>
      </w:rPr>
    </w:lvl>
    <w:lvl w:ilvl="8" w:tplc="C4581D86">
      <w:numFmt w:val="bullet"/>
      <w:lvlText w:val="•"/>
      <w:lvlJc w:val="left"/>
      <w:pPr>
        <w:ind w:left="9565" w:hanging="447"/>
      </w:pPr>
      <w:rPr>
        <w:rFonts w:hint="default"/>
        <w:lang w:val="en-US" w:eastAsia="en-US" w:bidi="ar-SA"/>
      </w:rPr>
    </w:lvl>
  </w:abstractNum>
  <w:abstractNum w:abstractNumId="104" w15:restartNumberingAfterBreak="0">
    <w:nsid w:val="392863BE"/>
    <w:multiLevelType w:val="hybridMultilevel"/>
    <w:tmpl w:val="55146196"/>
    <w:lvl w:ilvl="0" w:tplc="4614EF44">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2987FD6">
      <w:numFmt w:val="bullet"/>
      <w:lvlText w:val="•"/>
      <w:lvlJc w:val="left"/>
      <w:pPr>
        <w:ind w:left="2822" w:hanging="495"/>
      </w:pPr>
      <w:rPr>
        <w:rFonts w:hint="default"/>
        <w:lang w:val="en-US" w:eastAsia="en-US" w:bidi="ar-SA"/>
      </w:rPr>
    </w:lvl>
    <w:lvl w:ilvl="2" w:tplc="9826642C">
      <w:numFmt w:val="bullet"/>
      <w:lvlText w:val="•"/>
      <w:lvlJc w:val="left"/>
      <w:pPr>
        <w:ind w:left="3785" w:hanging="495"/>
      </w:pPr>
      <w:rPr>
        <w:rFonts w:hint="default"/>
        <w:lang w:val="en-US" w:eastAsia="en-US" w:bidi="ar-SA"/>
      </w:rPr>
    </w:lvl>
    <w:lvl w:ilvl="3" w:tplc="7AB6244C">
      <w:numFmt w:val="bullet"/>
      <w:lvlText w:val="•"/>
      <w:lvlJc w:val="left"/>
      <w:pPr>
        <w:ind w:left="4748" w:hanging="495"/>
      </w:pPr>
      <w:rPr>
        <w:rFonts w:hint="default"/>
        <w:lang w:val="en-US" w:eastAsia="en-US" w:bidi="ar-SA"/>
      </w:rPr>
    </w:lvl>
    <w:lvl w:ilvl="4" w:tplc="EFBA3DEE">
      <w:numFmt w:val="bullet"/>
      <w:lvlText w:val="•"/>
      <w:lvlJc w:val="left"/>
      <w:pPr>
        <w:ind w:left="5710" w:hanging="495"/>
      </w:pPr>
      <w:rPr>
        <w:rFonts w:hint="default"/>
        <w:lang w:val="en-US" w:eastAsia="en-US" w:bidi="ar-SA"/>
      </w:rPr>
    </w:lvl>
    <w:lvl w:ilvl="5" w:tplc="3C28223E">
      <w:numFmt w:val="bullet"/>
      <w:lvlText w:val="•"/>
      <w:lvlJc w:val="left"/>
      <w:pPr>
        <w:ind w:left="6673" w:hanging="495"/>
      </w:pPr>
      <w:rPr>
        <w:rFonts w:hint="default"/>
        <w:lang w:val="en-US" w:eastAsia="en-US" w:bidi="ar-SA"/>
      </w:rPr>
    </w:lvl>
    <w:lvl w:ilvl="6" w:tplc="05ACE3A4">
      <w:numFmt w:val="bullet"/>
      <w:lvlText w:val="•"/>
      <w:lvlJc w:val="left"/>
      <w:pPr>
        <w:ind w:left="7636" w:hanging="495"/>
      </w:pPr>
      <w:rPr>
        <w:rFonts w:hint="default"/>
        <w:lang w:val="en-US" w:eastAsia="en-US" w:bidi="ar-SA"/>
      </w:rPr>
    </w:lvl>
    <w:lvl w:ilvl="7" w:tplc="D116E282">
      <w:numFmt w:val="bullet"/>
      <w:lvlText w:val="•"/>
      <w:lvlJc w:val="left"/>
      <w:pPr>
        <w:ind w:left="8599" w:hanging="495"/>
      </w:pPr>
      <w:rPr>
        <w:rFonts w:hint="default"/>
        <w:lang w:val="en-US" w:eastAsia="en-US" w:bidi="ar-SA"/>
      </w:rPr>
    </w:lvl>
    <w:lvl w:ilvl="8" w:tplc="42ECCAB8">
      <w:numFmt w:val="bullet"/>
      <w:lvlText w:val="•"/>
      <w:lvlJc w:val="left"/>
      <w:pPr>
        <w:ind w:left="9561" w:hanging="495"/>
      </w:pPr>
      <w:rPr>
        <w:rFonts w:hint="default"/>
        <w:lang w:val="en-US" w:eastAsia="en-US" w:bidi="ar-SA"/>
      </w:rPr>
    </w:lvl>
  </w:abstractNum>
  <w:abstractNum w:abstractNumId="105" w15:restartNumberingAfterBreak="0">
    <w:nsid w:val="396F2991"/>
    <w:multiLevelType w:val="hybridMultilevel"/>
    <w:tmpl w:val="BA7CBE56"/>
    <w:lvl w:ilvl="0" w:tplc="5B5415AC">
      <w:start w:val="1"/>
      <w:numFmt w:val="lowerLetter"/>
      <w:lvlText w:val="%1)"/>
      <w:lvlJc w:val="left"/>
      <w:pPr>
        <w:ind w:left="1834" w:hanging="41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664DA12">
      <w:start w:val="1"/>
      <w:numFmt w:val="lowerRoman"/>
      <w:lvlText w:val="%2)"/>
      <w:lvlJc w:val="left"/>
      <w:pPr>
        <w:ind w:left="2293" w:hanging="4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72D4ACBE">
      <w:numFmt w:val="bullet"/>
      <w:lvlText w:val="•"/>
      <w:lvlJc w:val="left"/>
      <w:pPr>
        <w:ind w:left="3320" w:hanging="428"/>
      </w:pPr>
      <w:rPr>
        <w:rFonts w:hint="default"/>
        <w:lang w:val="en-US" w:eastAsia="en-US" w:bidi="ar-SA"/>
      </w:rPr>
    </w:lvl>
    <w:lvl w:ilvl="3" w:tplc="9BA4716A">
      <w:numFmt w:val="bullet"/>
      <w:lvlText w:val="•"/>
      <w:lvlJc w:val="left"/>
      <w:pPr>
        <w:ind w:left="4341" w:hanging="428"/>
      </w:pPr>
      <w:rPr>
        <w:rFonts w:hint="default"/>
        <w:lang w:val="en-US" w:eastAsia="en-US" w:bidi="ar-SA"/>
      </w:rPr>
    </w:lvl>
    <w:lvl w:ilvl="4" w:tplc="48AEA87A">
      <w:numFmt w:val="bullet"/>
      <w:lvlText w:val="•"/>
      <w:lvlJc w:val="left"/>
      <w:pPr>
        <w:ind w:left="5362" w:hanging="428"/>
      </w:pPr>
      <w:rPr>
        <w:rFonts w:hint="default"/>
        <w:lang w:val="en-US" w:eastAsia="en-US" w:bidi="ar-SA"/>
      </w:rPr>
    </w:lvl>
    <w:lvl w:ilvl="5" w:tplc="C04004F4">
      <w:numFmt w:val="bullet"/>
      <w:lvlText w:val="•"/>
      <w:lvlJc w:val="left"/>
      <w:pPr>
        <w:ind w:left="6383" w:hanging="428"/>
      </w:pPr>
      <w:rPr>
        <w:rFonts w:hint="default"/>
        <w:lang w:val="en-US" w:eastAsia="en-US" w:bidi="ar-SA"/>
      </w:rPr>
    </w:lvl>
    <w:lvl w:ilvl="6" w:tplc="4C62DE0A">
      <w:numFmt w:val="bullet"/>
      <w:lvlText w:val="•"/>
      <w:lvlJc w:val="left"/>
      <w:pPr>
        <w:ind w:left="7404" w:hanging="428"/>
      </w:pPr>
      <w:rPr>
        <w:rFonts w:hint="default"/>
        <w:lang w:val="en-US" w:eastAsia="en-US" w:bidi="ar-SA"/>
      </w:rPr>
    </w:lvl>
    <w:lvl w:ilvl="7" w:tplc="B122FACC">
      <w:numFmt w:val="bullet"/>
      <w:lvlText w:val="•"/>
      <w:lvlJc w:val="left"/>
      <w:pPr>
        <w:ind w:left="8424" w:hanging="428"/>
      </w:pPr>
      <w:rPr>
        <w:rFonts w:hint="default"/>
        <w:lang w:val="en-US" w:eastAsia="en-US" w:bidi="ar-SA"/>
      </w:rPr>
    </w:lvl>
    <w:lvl w:ilvl="8" w:tplc="292ABAC2">
      <w:numFmt w:val="bullet"/>
      <w:lvlText w:val="•"/>
      <w:lvlJc w:val="left"/>
      <w:pPr>
        <w:ind w:left="9445" w:hanging="428"/>
      </w:pPr>
      <w:rPr>
        <w:rFonts w:hint="default"/>
        <w:lang w:val="en-US" w:eastAsia="en-US" w:bidi="ar-SA"/>
      </w:rPr>
    </w:lvl>
  </w:abstractNum>
  <w:abstractNum w:abstractNumId="106" w15:restartNumberingAfterBreak="0">
    <w:nsid w:val="3A2262A4"/>
    <w:multiLevelType w:val="multilevel"/>
    <w:tmpl w:val="FE4EB18E"/>
    <w:lvl w:ilvl="0">
      <w:start w:val="29"/>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836" w:hanging="43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78" w:hanging="432"/>
      </w:pPr>
      <w:rPr>
        <w:rFonts w:hint="default"/>
        <w:lang w:val="en-US" w:eastAsia="en-US" w:bidi="ar-SA"/>
      </w:rPr>
    </w:lvl>
    <w:lvl w:ilvl="4">
      <w:numFmt w:val="bullet"/>
      <w:lvlText w:val="•"/>
      <w:lvlJc w:val="left"/>
      <w:pPr>
        <w:ind w:left="5197" w:hanging="432"/>
      </w:pPr>
      <w:rPr>
        <w:rFonts w:hint="default"/>
        <w:lang w:val="en-US" w:eastAsia="en-US" w:bidi="ar-SA"/>
      </w:rPr>
    </w:lvl>
    <w:lvl w:ilvl="5">
      <w:numFmt w:val="bullet"/>
      <w:lvlText w:val="•"/>
      <w:lvlJc w:val="left"/>
      <w:pPr>
        <w:ind w:left="6316" w:hanging="432"/>
      </w:pPr>
      <w:rPr>
        <w:rFonts w:hint="default"/>
        <w:lang w:val="en-US" w:eastAsia="en-US" w:bidi="ar-SA"/>
      </w:rPr>
    </w:lvl>
    <w:lvl w:ilvl="6">
      <w:numFmt w:val="bullet"/>
      <w:lvlText w:val="•"/>
      <w:lvlJc w:val="left"/>
      <w:pPr>
        <w:ind w:left="7435" w:hanging="432"/>
      </w:pPr>
      <w:rPr>
        <w:rFonts w:hint="default"/>
        <w:lang w:val="en-US" w:eastAsia="en-US" w:bidi="ar-SA"/>
      </w:rPr>
    </w:lvl>
    <w:lvl w:ilvl="7">
      <w:numFmt w:val="bullet"/>
      <w:lvlText w:val="•"/>
      <w:lvlJc w:val="left"/>
      <w:pPr>
        <w:ind w:left="8554" w:hanging="432"/>
      </w:pPr>
      <w:rPr>
        <w:rFonts w:hint="default"/>
        <w:lang w:val="en-US" w:eastAsia="en-US" w:bidi="ar-SA"/>
      </w:rPr>
    </w:lvl>
    <w:lvl w:ilvl="8">
      <w:numFmt w:val="bullet"/>
      <w:lvlText w:val="•"/>
      <w:lvlJc w:val="left"/>
      <w:pPr>
        <w:ind w:left="9673" w:hanging="432"/>
      </w:pPr>
      <w:rPr>
        <w:rFonts w:hint="default"/>
        <w:lang w:val="en-US" w:eastAsia="en-US" w:bidi="ar-SA"/>
      </w:rPr>
    </w:lvl>
  </w:abstractNum>
  <w:abstractNum w:abstractNumId="107" w15:restartNumberingAfterBreak="0">
    <w:nsid w:val="3C8B5208"/>
    <w:multiLevelType w:val="multilevel"/>
    <w:tmpl w:val="481604E0"/>
    <w:lvl w:ilvl="0">
      <w:start w:val="18"/>
      <w:numFmt w:val="decimal"/>
      <w:lvlText w:val="%1"/>
      <w:lvlJc w:val="left"/>
      <w:pPr>
        <w:ind w:left="1291" w:hanging="442"/>
      </w:pPr>
      <w:rPr>
        <w:rFonts w:hint="default"/>
        <w:lang w:val="en-US" w:eastAsia="en-US" w:bidi="ar-SA"/>
      </w:rPr>
    </w:lvl>
    <w:lvl w:ilvl="1">
      <w:numFmt w:val="decimal"/>
      <w:lvlText w:val="%1.%2"/>
      <w:lvlJc w:val="left"/>
      <w:pPr>
        <w:ind w:left="1291" w:hanging="442"/>
      </w:pPr>
      <w:rPr>
        <w:rFonts w:ascii="Times New Roman" w:eastAsia="Times New Roman" w:hAnsi="Times New Roman" w:cs="Times New Roman" w:hint="default"/>
        <w:b/>
        <w:bCs/>
        <w:i w:val="0"/>
        <w:iCs w:val="0"/>
        <w:color w:val="221F1F"/>
        <w:spacing w:val="0"/>
        <w:w w:val="100"/>
        <w:sz w:val="22"/>
        <w:szCs w:val="22"/>
        <w:lang w:val="en-US" w:eastAsia="en-US" w:bidi="ar-SA"/>
      </w:rPr>
    </w:lvl>
    <w:lvl w:ilvl="2">
      <w:numFmt w:val="bullet"/>
      <w:lvlText w:val="•"/>
      <w:lvlJc w:val="left"/>
      <w:pPr>
        <w:ind w:left="3422" w:hanging="442"/>
      </w:pPr>
      <w:rPr>
        <w:rFonts w:hint="default"/>
        <w:lang w:val="en-US" w:eastAsia="en-US" w:bidi="ar-SA"/>
      </w:rPr>
    </w:lvl>
    <w:lvl w:ilvl="3">
      <w:numFmt w:val="bullet"/>
      <w:lvlText w:val="•"/>
      <w:lvlJc w:val="left"/>
      <w:pPr>
        <w:ind w:left="4483" w:hanging="442"/>
      </w:pPr>
      <w:rPr>
        <w:rFonts w:hint="default"/>
        <w:lang w:val="en-US" w:eastAsia="en-US" w:bidi="ar-SA"/>
      </w:rPr>
    </w:lvl>
    <w:lvl w:ilvl="4">
      <w:numFmt w:val="bullet"/>
      <w:lvlText w:val="•"/>
      <w:lvlJc w:val="left"/>
      <w:pPr>
        <w:ind w:left="5544" w:hanging="442"/>
      </w:pPr>
      <w:rPr>
        <w:rFonts w:hint="default"/>
        <w:lang w:val="en-US" w:eastAsia="en-US" w:bidi="ar-SA"/>
      </w:rPr>
    </w:lvl>
    <w:lvl w:ilvl="5">
      <w:numFmt w:val="bullet"/>
      <w:lvlText w:val="•"/>
      <w:lvlJc w:val="left"/>
      <w:pPr>
        <w:ind w:left="6605" w:hanging="442"/>
      </w:pPr>
      <w:rPr>
        <w:rFonts w:hint="default"/>
        <w:lang w:val="en-US" w:eastAsia="en-US" w:bidi="ar-SA"/>
      </w:rPr>
    </w:lvl>
    <w:lvl w:ilvl="6">
      <w:numFmt w:val="bullet"/>
      <w:lvlText w:val="•"/>
      <w:lvlJc w:val="left"/>
      <w:pPr>
        <w:ind w:left="7666" w:hanging="442"/>
      </w:pPr>
      <w:rPr>
        <w:rFonts w:hint="default"/>
        <w:lang w:val="en-US" w:eastAsia="en-US" w:bidi="ar-SA"/>
      </w:rPr>
    </w:lvl>
    <w:lvl w:ilvl="7">
      <w:numFmt w:val="bullet"/>
      <w:lvlText w:val="•"/>
      <w:lvlJc w:val="left"/>
      <w:pPr>
        <w:ind w:left="8727" w:hanging="442"/>
      </w:pPr>
      <w:rPr>
        <w:rFonts w:hint="default"/>
        <w:lang w:val="en-US" w:eastAsia="en-US" w:bidi="ar-SA"/>
      </w:rPr>
    </w:lvl>
    <w:lvl w:ilvl="8">
      <w:numFmt w:val="bullet"/>
      <w:lvlText w:val="•"/>
      <w:lvlJc w:val="left"/>
      <w:pPr>
        <w:ind w:left="9788" w:hanging="442"/>
      </w:pPr>
      <w:rPr>
        <w:rFonts w:hint="default"/>
        <w:lang w:val="en-US" w:eastAsia="en-US" w:bidi="ar-SA"/>
      </w:rPr>
    </w:lvl>
  </w:abstractNum>
  <w:abstractNum w:abstractNumId="108" w15:restartNumberingAfterBreak="0">
    <w:nsid w:val="3C8F0551"/>
    <w:multiLevelType w:val="hybridMultilevel"/>
    <w:tmpl w:val="23087152"/>
    <w:lvl w:ilvl="0" w:tplc="F1B2D454">
      <w:start w:val="1"/>
      <w:numFmt w:val="lowerLetter"/>
      <w:lvlText w:val="%1)"/>
      <w:lvlJc w:val="left"/>
      <w:pPr>
        <w:ind w:left="1870" w:hanging="492"/>
      </w:pPr>
      <w:rPr>
        <w:rFonts w:hint="default"/>
        <w:spacing w:val="0"/>
        <w:w w:val="100"/>
        <w:lang w:val="en-US" w:eastAsia="en-US" w:bidi="ar-SA"/>
      </w:rPr>
    </w:lvl>
    <w:lvl w:ilvl="1" w:tplc="23B41510">
      <w:numFmt w:val="bullet"/>
      <w:lvlText w:val="•"/>
      <w:lvlJc w:val="left"/>
      <w:pPr>
        <w:ind w:left="2840" w:hanging="492"/>
      </w:pPr>
      <w:rPr>
        <w:rFonts w:hint="default"/>
        <w:lang w:val="en-US" w:eastAsia="en-US" w:bidi="ar-SA"/>
      </w:rPr>
    </w:lvl>
    <w:lvl w:ilvl="2" w:tplc="6B54D4B4">
      <w:numFmt w:val="bullet"/>
      <w:lvlText w:val="•"/>
      <w:lvlJc w:val="left"/>
      <w:pPr>
        <w:ind w:left="3801" w:hanging="492"/>
      </w:pPr>
      <w:rPr>
        <w:rFonts w:hint="default"/>
        <w:lang w:val="en-US" w:eastAsia="en-US" w:bidi="ar-SA"/>
      </w:rPr>
    </w:lvl>
    <w:lvl w:ilvl="3" w:tplc="9740E0AE">
      <w:numFmt w:val="bullet"/>
      <w:lvlText w:val="•"/>
      <w:lvlJc w:val="left"/>
      <w:pPr>
        <w:ind w:left="4762" w:hanging="492"/>
      </w:pPr>
      <w:rPr>
        <w:rFonts w:hint="default"/>
        <w:lang w:val="en-US" w:eastAsia="en-US" w:bidi="ar-SA"/>
      </w:rPr>
    </w:lvl>
    <w:lvl w:ilvl="4" w:tplc="24F069FE">
      <w:numFmt w:val="bullet"/>
      <w:lvlText w:val="•"/>
      <w:lvlJc w:val="left"/>
      <w:pPr>
        <w:ind w:left="5722" w:hanging="492"/>
      </w:pPr>
      <w:rPr>
        <w:rFonts w:hint="default"/>
        <w:lang w:val="en-US" w:eastAsia="en-US" w:bidi="ar-SA"/>
      </w:rPr>
    </w:lvl>
    <w:lvl w:ilvl="5" w:tplc="A88EFCAA">
      <w:numFmt w:val="bullet"/>
      <w:lvlText w:val="•"/>
      <w:lvlJc w:val="left"/>
      <w:pPr>
        <w:ind w:left="6683" w:hanging="492"/>
      </w:pPr>
      <w:rPr>
        <w:rFonts w:hint="default"/>
        <w:lang w:val="en-US" w:eastAsia="en-US" w:bidi="ar-SA"/>
      </w:rPr>
    </w:lvl>
    <w:lvl w:ilvl="6" w:tplc="8BCC9E0A">
      <w:numFmt w:val="bullet"/>
      <w:lvlText w:val="•"/>
      <w:lvlJc w:val="left"/>
      <w:pPr>
        <w:ind w:left="7644" w:hanging="492"/>
      </w:pPr>
      <w:rPr>
        <w:rFonts w:hint="default"/>
        <w:lang w:val="en-US" w:eastAsia="en-US" w:bidi="ar-SA"/>
      </w:rPr>
    </w:lvl>
    <w:lvl w:ilvl="7" w:tplc="8736CA7E">
      <w:numFmt w:val="bullet"/>
      <w:lvlText w:val="•"/>
      <w:lvlJc w:val="left"/>
      <w:pPr>
        <w:ind w:left="8605" w:hanging="492"/>
      </w:pPr>
      <w:rPr>
        <w:rFonts w:hint="default"/>
        <w:lang w:val="en-US" w:eastAsia="en-US" w:bidi="ar-SA"/>
      </w:rPr>
    </w:lvl>
    <w:lvl w:ilvl="8" w:tplc="D2EC5F78">
      <w:numFmt w:val="bullet"/>
      <w:lvlText w:val="•"/>
      <w:lvlJc w:val="left"/>
      <w:pPr>
        <w:ind w:left="9565" w:hanging="492"/>
      </w:pPr>
      <w:rPr>
        <w:rFonts w:hint="default"/>
        <w:lang w:val="en-US" w:eastAsia="en-US" w:bidi="ar-SA"/>
      </w:rPr>
    </w:lvl>
  </w:abstractNum>
  <w:abstractNum w:abstractNumId="109" w15:restartNumberingAfterBreak="0">
    <w:nsid w:val="3CA30108"/>
    <w:multiLevelType w:val="hybridMultilevel"/>
    <w:tmpl w:val="6A78098C"/>
    <w:lvl w:ilvl="0" w:tplc="A30EEA5C">
      <w:start w:val="1"/>
      <w:numFmt w:val="lowerLetter"/>
      <w:lvlText w:val="(%1)"/>
      <w:lvlJc w:val="left"/>
      <w:pPr>
        <w:ind w:left="1443" w:hanging="72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C78FFBA">
      <w:numFmt w:val="bullet"/>
      <w:lvlText w:val="•"/>
      <w:lvlJc w:val="left"/>
      <w:pPr>
        <w:ind w:left="2444" w:hanging="721"/>
      </w:pPr>
      <w:rPr>
        <w:rFonts w:hint="default"/>
        <w:lang w:val="en-US" w:eastAsia="en-US" w:bidi="ar-SA"/>
      </w:rPr>
    </w:lvl>
    <w:lvl w:ilvl="2" w:tplc="499A21CA">
      <w:numFmt w:val="bullet"/>
      <w:lvlText w:val="•"/>
      <w:lvlJc w:val="left"/>
      <w:pPr>
        <w:ind w:left="3449" w:hanging="721"/>
      </w:pPr>
      <w:rPr>
        <w:rFonts w:hint="default"/>
        <w:lang w:val="en-US" w:eastAsia="en-US" w:bidi="ar-SA"/>
      </w:rPr>
    </w:lvl>
    <w:lvl w:ilvl="3" w:tplc="9A148E38">
      <w:numFmt w:val="bullet"/>
      <w:lvlText w:val="•"/>
      <w:lvlJc w:val="left"/>
      <w:pPr>
        <w:ind w:left="4454" w:hanging="721"/>
      </w:pPr>
      <w:rPr>
        <w:rFonts w:hint="default"/>
        <w:lang w:val="en-US" w:eastAsia="en-US" w:bidi="ar-SA"/>
      </w:rPr>
    </w:lvl>
    <w:lvl w:ilvl="4" w:tplc="61DE0636">
      <w:numFmt w:val="bullet"/>
      <w:lvlText w:val="•"/>
      <w:lvlJc w:val="left"/>
      <w:pPr>
        <w:ind w:left="5458" w:hanging="721"/>
      </w:pPr>
      <w:rPr>
        <w:rFonts w:hint="default"/>
        <w:lang w:val="en-US" w:eastAsia="en-US" w:bidi="ar-SA"/>
      </w:rPr>
    </w:lvl>
    <w:lvl w:ilvl="5" w:tplc="8194A55C">
      <w:numFmt w:val="bullet"/>
      <w:lvlText w:val="•"/>
      <w:lvlJc w:val="left"/>
      <w:pPr>
        <w:ind w:left="6463" w:hanging="721"/>
      </w:pPr>
      <w:rPr>
        <w:rFonts w:hint="default"/>
        <w:lang w:val="en-US" w:eastAsia="en-US" w:bidi="ar-SA"/>
      </w:rPr>
    </w:lvl>
    <w:lvl w:ilvl="6" w:tplc="621E6F30">
      <w:numFmt w:val="bullet"/>
      <w:lvlText w:val="•"/>
      <w:lvlJc w:val="left"/>
      <w:pPr>
        <w:ind w:left="7468" w:hanging="721"/>
      </w:pPr>
      <w:rPr>
        <w:rFonts w:hint="default"/>
        <w:lang w:val="en-US" w:eastAsia="en-US" w:bidi="ar-SA"/>
      </w:rPr>
    </w:lvl>
    <w:lvl w:ilvl="7" w:tplc="00E0F20A">
      <w:numFmt w:val="bullet"/>
      <w:lvlText w:val="•"/>
      <w:lvlJc w:val="left"/>
      <w:pPr>
        <w:ind w:left="8473" w:hanging="721"/>
      </w:pPr>
      <w:rPr>
        <w:rFonts w:hint="default"/>
        <w:lang w:val="en-US" w:eastAsia="en-US" w:bidi="ar-SA"/>
      </w:rPr>
    </w:lvl>
    <w:lvl w:ilvl="8" w:tplc="01208ACC">
      <w:numFmt w:val="bullet"/>
      <w:lvlText w:val="•"/>
      <w:lvlJc w:val="left"/>
      <w:pPr>
        <w:ind w:left="9477" w:hanging="721"/>
      </w:pPr>
      <w:rPr>
        <w:rFonts w:hint="default"/>
        <w:lang w:val="en-US" w:eastAsia="en-US" w:bidi="ar-SA"/>
      </w:rPr>
    </w:lvl>
  </w:abstractNum>
  <w:abstractNum w:abstractNumId="110" w15:restartNumberingAfterBreak="0">
    <w:nsid w:val="3CF65822"/>
    <w:multiLevelType w:val="hybridMultilevel"/>
    <w:tmpl w:val="93ACA842"/>
    <w:lvl w:ilvl="0" w:tplc="7F2C18F6">
      <w:start w:val="1"/>
      <w:numFmt w:val="decimal"/>
      <w:lvlText w:val="%1."/>
      <w:lvlJc w:val="left"/>
      <w:pPr>
        <w:ind w:left="834"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0F06D17C">
      <w:numFmt w:val="bullet"/>
      <w:lvlText w:val=""/>
      <w:lvlJc w:val="left"/>
      <w:pPr>
        <w:ind w:left="815" w:hanging="341"/>
      </w:pPr>
      <w:rPr>
        <w:rFonts w:ascii="Symbol" w:eastAsia="Symbol" w:hAnsi="Symbol" w:cs="Symbol" w:hint="default"/>
        <w:b w:val="0"/>
        <w:bCs w:val="0"/>
        <w:i w:val="0"/>
        <w:iCs w:val="0"/>
        <w:spacing w:val="0"/>
        <w:w w:val="100"/>
        <w:sz w:val="24"/>
        <w:szCs w:val="24"/>
        <w:lang w:val="en-US" w:eastAsia="en-US" w:bidi="ar-SA"/>
      </w:rPr>
    </w:lvl>
    <w:lvl w:ilvl="2" w:tplc="1D300426">
      <w:numFmt w:val="bullet"/>
      <w:lvlText w:val="•"/>
      <w:lvlJc w:val="left"/>
      <w:pPr>
        <w:ind w:left="1325" w:hanging="341"/>
      </w:pPr>
      <w:rPr>
        <w:rFonts w:hint="default"/>
        <w:lang w:val="en-US" w:eastAsia="en-US" w:bidi="ar-SA"/>
      </w:rPr>
    </w:lvl>
    <w:lvl w:ilvl="3" w:tplc="82349B1E">
      <w:numFmt w:val="bullet"/>
      <w:lvlText w:val="•"/>
      <w:lvlJc w:val="left"/>
      <w:pPr>
        <w:ind w:left="1811" w:hanging="341"/>
      </w:pPr>
      <w:rPr>
        <w:rFonts w:hint="default"/>
        <w:lang w:val="en-US" w:eastAsia="en-US" w:bidi="ar-SA"/>
      </w:rPr>
    </w:lvl>
    <w:lvl w:ilvl="4" w:tplc="50704EFC">
      <w:numFmt w:val="bullet"/>
      <w:lvlText w:val="•"/>
      <w:lvlJc w:val="left"/>
      <w:pPr>
        <w:ind w:left="2297" w:hanging="341"/>
      </w:pPr>
      <w:rPr>
        <w:rFonts w:hint="default"/>
        <w:lang w:val="en-US" w:eastAsia="en-US" w:bidi="ar-SA"/>
      </w:rPr>
    </w:lvl>
    <w:lvl w:ilvl="5" w:tplc="8B862108">
      <w:numFmt w:val="bullet"/>
      <w:lvlText w:val="•"/>
      <w:lvlJc w:val="left"/>
      <w:pPr>
        <w:ind w:left="2783" w:hanging="341"/>
      </w:pPr>
      <w:rPr>
        <w:rFonts w:hint="default"/>
        <w:lang w:val="en-US" w:eastAsia="en-US" w:bidi="ar-SA"/>
      </w:rPr>
    </w:lvl>
    <w:lvl w:ilvl="6" w:tplc="BC14C554">
      <w:numFmt w:val="bullet"/>
      <w:lvlText w:val="•"/>
      <w:lvlJc w:val="left"/>
      <w:pPr>
        <w:ind w:left="3269" w:hanging="341"/>
      </w:pPr>
      <w:rPr>
        <w:rFonts w:hint="default"/>
        <w:lang w:val="en-US" w:eastAsia="en-US" w:bidi="ar-SA"/>
      </w:rPr>
    </w:lvl>
    <w:lvl w:ilvl="7" w:tplc="ADAC35C2">
      <w:numFmt w:val="bullet"/>
      <w:lvlText w:val="•"/>
      <w:lvlJc w:val="left"/>
      <w:pPr>
        <w:ind w:left="3755" w:hanging="341"/>
      </w:pPr>
      <w:rPr>
        <w:rFonts w:hint="default"/>
        <w:lang w:val="en-US" w:eastAsia="en-US" w:bidi="ar-SA"/>
      </w:rPr>
    </w:lvl>
    <w:lvl w:ilvl="8" w:tplc="E3BE82BC">
      <w:numFmt w:val="bullet"/>
      <w:lvlText w:val="•"/>
      <w:lvlJc w:val="left"/>
      <w:pPr>
        <w:ind w:left="4241" w:hanging="341"/>
      </w:pPr>
      <w:rPr>
        <w:rFonts w:hint="default"/>
        <w:lang w:val="en-US" w:eastAsia="en-US" w:bidi="ar-SA"/>
      </w:rPr>
    </w:lvl>
  </w:abstractNum>
  <w:abstractNum w:abstractNumId="111" w15:restartNumberingAfterBreak="0">
    <w:nsid w:val="3CF842A5"/>
    <w:multiLevelType w:val="hybridMultilevel"/>
    <w:tmpl w:val="FEDAAD3E"/>
    <w:lvl w:ilvl="0" w:tplc="B844987E">
      <w:start w:val="1"/>
      <w:numFmt w:val="lowerLetter"/>
      <w:lvlText w:val="%1."/>
      <w:lvlJc w:val="left"/>
      <w:pPr>
        <w:ind w:left="1129" w:hanging="42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3FE0F84">
      <w:start w:val="1"/>
      <w:numFmt w:val="lowerRoman"/>
      <w:lvlText w:val="(%2)"/>
      <w:lvlJc w:val="left"/>
      <w:pPr>
        <w:ind w:left="1136" w:hanging="4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808CE598">
      <w:start w:val="1"/>
      <w:numFmt w:val="decimal"/>
      <w:lvlText w:val="%3."/>
      <w:lvlJc w:val="left"/>
      <w:pPr>
        <w:ind w:left="1261" w:hanging="553"/>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3" w:tplc="9084C100">
      <w:numFmt w:val="bullet"/>
      <w:lvlText w:val="•"/>
      <w:lvlJc w:val="left"/>
      <w:pPr>
        <w:ind w:left="2538" w:hanging="553"/>
      </w:pPr>
      <w:rPr>
        <w:rFonts w:hint="default"/>
        <w:lang w:val="en-US" w:eastAsia="en-US" w:bidi="ar-SA"/>
      </w:rPr>
    </w:lvl>
    <w:lvl w:ilvl="4" w:tplc="B2645B04">
      <w:numFmt w:val="bullet"/>
      <w:lvlText w:val="•"/>
      <w:lvlJc w:val="left"/>
      <w:pPr>
        <w:ind w:left="3816" w:hanging="553"/>
      </w:pPr>
      <w:rPr>
        <w:rFonts w:hint="default"/>
        <w:lang w:val="en-US" w:eastAsia="en-US" w:bidi="ar-SA"/>
      </w:rPr>
    </w:lvl>
    <w:lvl w:ilvl="5" w:tplc="38B85CF8">
      <w:numFmt w:val="bullet"/>
      <w:lvlText w:val="•"/>
      <w:lvlJc w:val="left"/>
      <w:pPr>
        <w:ind w:left="5095" w:hanging="553"/>
      </w:pPr>
      <w:rPr>
        <w:rFonts w:hint="default"/>
        <w:lang w:val="en-US" w:eastAsia="en-US" w:bidi="ar-SA"/>
      </w:rPr>
    </w:lvl>
    <w:lvl w:ilvl="6" w:tplc="00065F66">
      <w:numFmt w:val="bullet"/>
      <w:lvlText w:val="•"/>
      <w:lvlJc w:val="left"/>
      <w:pPr>
        <w:ind w:left="6373" w:hanging="553"/>
      </w:pPr>
      <w:rPr>
        <w:rFonts w:hint="default"/>
        <w:lang w:val="en-US" w:eastAsia="en-US" w:bidi="ar-SA"/>
      </w:rPr>
    </w:lvl>
    <w:lvl w:ilvl="7" w:tplc="39C8FD82">
      <w:numFmt w:val="bullet"/>
      <w:lvlText w:val="•"/>
      <w:lvlJc w:val="left"/>
      <w:pPr>
        <w:ind w:left="7652" w:hanging="553"/>
      </w:pPr>
      <w:rPr>
        <w:rFonts w:hint="default"/>
        <w:lang w:val="en-US" w:eastAsia="en-US" w:bidi="ar-SA"/>
      </w:rPr>
    </w:lvl>
    <w:lvl w:ilvl="8" w:tplc="1710FFA4">
      <w:numFmt w:val="bullet"/>
      <w:lvlText w:val="•"/>
      <w:lvlJc w:val="left"/>
      <w:pPr>
        <w:ind w:left="8930" w:hanging="553"/>
      </w:pPr>
      <w:rPr>
        <w:rFonts w:hint="default"/>
        <w:lang w:val="en-US" w:eastAsia="en-US" w:bidi="ar-SA"/>
      </w:rPr>
    </w:lvl>
  </w:abstractNum>
  <w:abstractNum w:abstractNumId="112" w15:restartNumberingAfterBreak="0">
    <w:nsid w:val="3D2C719C"/>
    <w:multiLevelType w:val="hybridMultilevel"/>
    <w:tmpl w:val="73AAB88A"/>
    <w:lvl w:ilvl="0" w:tplc="162E5D9C">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0CAC5AA">
      <w:numFmt w:val="bullet"/>
      <w:lvlText w:val="•"/>
      <w:lvlJc w:val="left"/>
      <w:pPr>
        <w:ind w:left="2822" w:hanging="495"/>
      </w:pPr>
      <w:rPr>
        <w:rFonts w:hint="default"/>
        <w:lang w:val="en-US" w:eastAsia="en-US" w:bidi="ar-SA"/>
      </w:rPr>
    </w:lvl>
    <w:lvl w:ilvl="2" w:tplc="98240B9A">
      <w:numFmt w:val="bullet"/>
      <w:lvlText w:val="•"/>
      <w:lvlJc w:val="left"/>
      <w:pPr>
        <w:ind w:left="3785" w:hanging="495"/>
      </w:pPr>
      <w:rPr>
        <w:rFonts w:hint="default"/>
        <w:lang w:val="en-US" w:eastAsia="en-US" w:bidi="ar-SA"/>
      </w:rPr>
    </w:lvl>
    <w:lvl w:ilvl="3" w:tplc="67A6BDB8">
      <w:numFmt w:val="bullet"/>
      <w:lvlText w:val="•"/>
      <w:lvlJc w:val="left"/>
      <w:pPr>
        <w:ind w:left="4748" w:hanging="495"/>
      </w:pPr>
      <w:rPr>
        <w:rFonts w:hint="default"/>
        <w:lang w:val="en-US" w:eastAsia="en-US" w:bidi="ar-SA"/>
      </w:rPr>
    </w:lvl>
    <w:lvl w:ilvl="4" w:tplc="CABAF8AE">
      <w:numFmt w:val="bullet"/>
      <w:lvlText w:val="•"/>
      <w:lvlJc w:val="left"/>
      <w:pPr>
        <w:ind w:left="5710" w:hanging="495"/>
      </w:pPr>
      <w:rPr>
        <w:rFonts w:hint="default"/>
        <w:lang w:val="en-US" w:eastAsia="en-US" w:bidi="ar-SA"/>
      </w:rPr>
    </w:lvl>
    <w:lvl w:ilvl="5" w:tplc="F1249C86">
      <w:numFmt w:val="bullet"/>
      <w:lvlText w:val="•"/>
      <w:lvlJc w:val="left"/>
      <w:pPr>
        <w:ind w:left="6673" w:hanging="495"/>
      </w:pPr>
      <w:rPr>
        <w:rFonts w:hint="default"/>
        <w:lang w:val="en-US" w:eastAsia="en-US" w:bidi="ar-SA"/>
      </w:rPr>
    </w:lvl>
    <w:lvl w:ilvl="6" w:tplc="6D7CD120">
      <w:numFmt w:val="bullet"/>
      <w:lvlText w:val="•"/>
      <w:lvlJc w:val="left"/>
      <w:pPr>
        <w:ind w:left="7636" w:hanging="495"/>
      </w:pPr>
      <w:rPr>
        <w:rFonts w:hint="default"/>
        <w:lang w:val="en-US" w:eastAsia="en-US" w:bidi="ar-SA"/>
      </w:rPr>
    </w:lvl>
    <w:lvl w:ilvl="7" w:tplc="32E4A19E">
      <w:numFmt w:val="bullet"/>
      <w:lvlText w:val="•"/>
      <w:lvlJc w:val="left"/>
      <w:pPr>
        <w:ind w:left="8599" w:hanging="495"/>
      </w:pPr>
      <w:rPr>
        <w:rFonts w:hint="default"/>
        <w:lang w:val="en-US" w:eastAsia="en-US" w:bidi="ar-SA"/>
      </w:rPr>
    </w:lvl>
    <w:lvl w:ilvl="8" w:tplc="B088F2AE">
      <w:numFmt w:val="bullet"/>
      <w:lvlText w:val="•"/>
      <w:lvlJc w:val="left"/>
      <w:pPr>
        <w:ind w:left="9561" w:hanging="495"/>
      </w:pPr>
      <w:rPr>
        <w:rFonts w:hint="default"/>
        <w:lang w:val="en-US" w:eastAsia="en-US" w:bidi="ar-SA"/>
      </w:rPr>
    </w:lvl>
  </w:abstractNum>
  <w:abstractNum w:abstractNumId="113" w15:restartNumberingAfterBreak="0">
    <w:nsid w:val="3D6C240F"/>
    <w:multiLevelType w:val="hybridMultilevel"/>
    <w:tmpl w:val="3EAEE37A"/>
    <w:lvl w:ilvl="0" w:tplc="7EB8E3BC">
      <w:start w:val="1"/>
      <w:numFmt w:val="lowerLetter"/>
      <w:lvlText w:val="%1)"/>
      <w:lvlJc w:val="left"/>
      <w:pPr>
        <w:ind w:left="1683" w:hanging="4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162875E">
      <w:start w:val="1"/>
      <w:numFmt w:val="lowerRoman"/>
      <w:lvlText w:val="%2)"/>
      <w:lvlJc w:val="left"/>
      <w:pPr>
        <w:ind w:left="2000" w:hanging="32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B4A819C4">
      <w:numFmt w:val="bullet"/>
      <w:lvlText w:val="•"/>
      <w:lvlJc w:val="left"/>
      <w:pPr>
        <w:ind w:left="3054" w:hanging="324"/>
      </w:pPr>
      <w:rPr>
        <w:rFonts w:hint="default"/>
        <w:lang w:val="en-US" w:eastAsia="en-US" w:bidi="ar-SA"/>
      </w:rPr>
    </w:lvl>
    <w:lvl w:ilvl="3" w:tplc="EDBAA140">
      <w:numFmt w:val="bullet"/>
      <w:lvlText w:val="•"/>
      <w:lvlJc w:val="left"/>
      <w:pPr>
        <w:ind w:left="4108" w:hanging="324"/>
      </w:pPr>
      <w:rPr>
        <w:rFonts w:hint="default"/>
        <w:lang w:val="en-US" w:eastAsia="en-US" w:bidi="ar-SA"/>
      </w:rPr>
    </w:lvl>
    <w:lvl w:ilvl="4" w:tplc="C2D87E36">
      <w:numFmt w:val="bullet"/>
      <w:lvlText w:val="•"/>
      <w:lvlJc w:val="left"/>
      <w:pPr>
        <w:ind w:left="5162" w:hanging="324"/>
      </w:pPr>
      <w:rPr>
        <w:rFonts w:hint="default"/>
        <w:lang w:val="en-US" w:eastAsia="en-US" w:bidi="ar-SA"/>
      </w:rPr>
    </w:lvl>
    <w:lvl w:ilvl="5" w:tplc="3FE20C04">
      <w:numFmt w:val="bullet"/>
      <w:lvlText w:val="•"/>
      <w:lvlJc w:val="left"/>
      <w:pPr>
        <w:ind w:left="6216" w:hanging="324"/>
      </w:pPr>
      <w:rPr>
        <w:rFonts w:hint="default"/>
        <w:lang w:val="en-US" w:eastAsia="en-US" w:bidi="ar-SA"/>
      </w:rPr>
    </w:lvl>
    <w:lvl w:ilvl="6" w:tplc="45E0193E">
      <w:numFmt w:val="bullet"/>
      <w:lvlText w:val="•"/>
      <w:lvlJc w:val="left"/>
      <w:pPr>
        <w:ind w:left="7270" w:hanging="324"/>
      </w:pPr>
      <w:rPr>
        <w:rFonts w:hint="default"/>
        <w:lang w:val="en-US" w:eastAsia="en-US" w:bidi="ar-SA"/>
      </w:rPr>
    </w:lvl>
    <w:lvl w:ilvl="7" w:tplc="AAECB64E">
      <w:numFmt w:val="bullet"/>
      <w:lvlText w:val="•"/>
      <w:lvlJc w:val="left"/>
      <w:pPr>
        <w:ind w:left="8324" w:hanging="324"/>
      </w:pPr>
      <w:rPr>
        <w:rFonts w:hint="default"/>
        <w:lang w:val="en-US" w:eastAsia="en-US" w:bidi="ar-SA"/>
      </w:rPr>
    </w:lvl>
    <w:lvl w:ilvl="8" w:tplc="5B16B37E">
      <w:numFmt w:val="bullet"/>
      <w:lvlText w:val="•"/>
      <w:lvlJc w:val="left"/>
      <w:pPr>
        <w:ind w:left="9378" w:hanging="324"/>
      </w:pPr>
      <w:rPr>
        <w:rFonts w:hint="default"/>
        <w:lang w:val="en-US" w:eastAsia="en-US" w:bidi="ar-SA"/>
      </w:rPr>
    </w:lvl>
  </w:abstractNum>
  <w:abstractNum w:abstractNumId="114" w15:restartNumberingAfterBreak="0">
    <w:nsid w:val="3E812777"/>
    <w:multiLevelType w:val="multilevel"/>
    <w:tmpl w:val="44ACD448"/>
    <w:lvl w:ilvl="0">
      <w:start w:val="42"/>
      <w:numFmt w:val="decimal"/>
      <w:lvlText w:val="%1.0"/>
      <w:lvlJc w:val="left"/>
      <w:pPr>
        <w:ind w:left="1440" w:hanging="591"/>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620" w:hanging="450"/>
      </w:pPr>
      <w:rPr>
        <w:rFonts w:hint="default"/>
        <w:spacing w:val="0"/>
        <w:w w:val="100"/>
        <w:lang w:val="en-US" w:eastAsia="en-US" w:bidi="ar-SA"/>
      </w:rPr>
    </w:lvl>
    <w:lvl w:ilvl="2">
      <w:numFmt w:val="bullet"/>
      <w:lvlText w:val="•"/>
      <w:lvlJc w:val="left"/>
      <w:pPr>
        <w:ind w:left="1620" w:hanging="450"/>
      </w:pPr>
      <w:rPr>
        <w:rFonts w:hint="default"/>
        <w:lang w:val="en-US" w:eastAsia="en-US" w:bidi="ar-SA"/>
      </w:rPr>
    </w:lvl>
    <w:lvl w:ilvl="3">
      <w:numFmt w:val="bullet"/>
      <w:lvlText w:val="•"/>
      <w:lvlJc w:val="left"/>
      <w:pPr>
        <w:ind w:left="2906" w:hanging="450"/>
      </w:pPr>
      <w:rPr>
        <w:rFonts w:hint="default"/>
        <w:lang w:val="en-US" w:eastAsia="en-US" w:bidi="ar-SA"/>
      </w:rPr>
    </w:lvl>
    <w:lvl w:ilvl="4">
      <w:numFmt w:val="bullet"/>
      <w:lvlText w:val="•"/>
      <w:lvlJc w:val="left"/>
      <w:pPr>
        <w:ind w:left="4192" w:hanging="450"/>
      </w:pPr>
      <w:rPr>
        <w:rFonts w:hint="default"/>
        <w:lang w:val="en-US" w:eastAsia="en-US" w:bidi="ar-SA"/>
      </w:rPr>
    </w:lvl>
    <w:lvl w:ilvl="5">
      <w:numFmt w:val="bullet"/>
      <w:lvlText w:val="•"/>
      <w:lvlJc w:val="left"/>
      <w:pPr>
        <w:ind w:left="5479" w:hanging="450"/>
      </w:pPr>
      <w:rPr>
        <w:rFonts w:hint="default"/>
        <w:lang w:val="en-US" w:eastAsia="en-US" w:bidi="ar-SA"/>
      </w:rPr>
    </w:lvl>
    <w:lvl w:ilvl="6">
      <w:numFmt w:val="bullet"/>
      <w:lvlText w:val="•"/>
      <w:lvlJc w:val="left"/>
      <w:pPr>
        <w:ind w:left="6765" w:hanging="450"/>
      </w:pPr>
      <w:rPr>
        <w:rFonts w:hint="default"/>
        <w:lang w:val="en-US" w:eastAsia="en-US" w:bidi="ar-SA"/>
      </w:rPr>
    </w:lvl>
    <w:lvl w:ilvl="7">
      <w:numFmt w:val="bullet"/>
      <w:lvlText w:val="•"/>
      <w:lvlJc w:val="left"/>
      <w:pPr>
        <w:ind w:left="8052" w:hanging="450"/>
      </w:pPr>
      <w:rPr>
        <w:rFonts w:hint="default"/>
        <w:lang w:val="en-US" w:eastAsia="en-US" w:bidi="ar-SA"/>
      </w:rPr>
    </w:lvl>
    <w:lvl w:ilvl="8">
      <w:numFmt w:val="bullet"/>
      <w:lvlText w:val="•"/>
      <w:lvlJc w:val="left"/>
      <w:pPr>
        <w:ind w:left="9338" w:hanging="450"/>
      </w:pPr>
      <w:rPr>
        <w:rFonts w:hint="default"/>
        <w:lang w:val="en-US" w:eastAsia="en-US" w:bidi="ar-SA"/>
      </w:rPr>
    </w:lvl>
  </w:abstractNum>
  <w:abstractNum w:abstractNumId="115" w15:restartNumberingAfterBreak="0">
    <w:nsid w:val="3F66789A"/>
    <w:multiLevelType w:val="hybridMultilevel"/>
    <w:tmpl w:val="0BAC279E"/>
    <w:lvl w:ilvl="0" w:tplc="379E0330">
      <w:start w:val="1"/>
      <w:numFmt w:val="decimal"/>
      <w:lvlText w:val="%1)"/>
      <w:lvlJc w:val="left"/>
      <w:pPr>
        <w:ind w:left="1742" w:hanging="512"/>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1" w:tplc="CB3068DC">
      <w:numFmt w:val="bullet"/>
      <w:lvlText w:val="•"/>
      <w:lvlJc w:val="left"/>
      <w:pPr>
        <w:ind w:left="2757" w:hanging="512"/>
      </w:pPr>
      <w:rPr>
        <w:rFonts w:hint="default"/>
        <w:lang w:val="en-US" w:eastAsia="en-US" w:bidi="ar-SA"/>
      </w:rPr>
    </w:lvl>
    <w:lvl w:ilvl="2" w:tplc="565EB1D6">
      <w:numFmt w:val="bullet"/>
      <w:lvlText w:val="•"/>
      <w:lvlJc w:val="left"/>
      <w:pPr>
        <w:ind w:left="3774" w:hanging="512"/>
      </w:pPr>
      <w:rPr>
        <w:rFonts w:hint="default"/>
        <w:lang w:val="en-US" w:eastAsia="en-US" w:bidi="ar-SA"/>
      </w:rPr>
    </w:lvl>
    <w:lvl w:ilvl="3" w:tplc="F4969EAE">
      <w:numFmt w:val="bullet"/>
      <w:lvlText w:val="•"/>
      <w:lvlJc w:val="left"/>
      <w:pPr>
        <w:ind w:left="4791" w:hanging="512"/>
      </w:pPr>
      <w:rPr>
        <w:rFonts w:hint="default"/>
        <w:lang w:val="en-US" w:eastAsia="en-US" w:bidi="ar-SA"/>
      </w:rPr>
    </w:lvl>
    <w:lvl w:ilvl="4" w:tplc="0582CA12">
      <w:numFmt w:val="bullet"/>
      <w:lvlText w:val="•"/>
      <w:lvlJc w:val="left"/>
      <w:pPr>
        <w:ind w:left="5808" w:hanging="512"/>
      </w:pPr>
      <w:rPr>
        <w:rFonts w:hint="default"/>
        <w:lang w:val="en-US" w:eastAsia="en-US" w:bidi="ar-SA"/>
      </w:rPr>
    </w:lvl>
    <w:lvl w:ilvl="5" w:tplc="9E74742E">
      <w:numFmt w:val="bullet"/>
      <w:lvlText w:val="•"/>
      <w:lvlJc w:val="left"/>
      <w:pPr>
        <w:ind w:left="6825" w:hanging="512"/>
      </w:pPr>
      <w:rPr>
        <w:rFonts w:hint="default"/>
        <w:lang w:val="en-US" w:eastAsia="en-US" w:bidi="ar-SA"/>
      </w:rPr>
    </w:lvl>
    <w:lvl w:ilvl="6" w:tplc="A43864A2">
      <w:numFmt w:val="bullet"/>
      <w:lvlText w:val="•"/>
      <w:lvlJc w:val="left"/>
      <w:pPr>
        <w:ind w:left="7842" w:hanging="512"/>
      </w:pPr>
      <w:rPr>
        <w:rFonts w:hint="default"/>
        <w:lang w:val="en-US" w:eastAsia="en-US" w:bidi="ar-SA"/>
      </w:rPr>
    </w:lvl>
    <w:lvl w:ilvl="7" w:tplc="FEF24BFE">
      <w:numFmt w:val="bullet"/>
      <w:lvlText w:val="•"/>
      <w:lvlJc w:val="left"/>
      <w:pPr>
        <w:ind w:left="8859" w:hanging="512"/>
      </w:pPr>
      <w:rPr>
        <w:rFonts w:hint="default"/>
        <w:lang w:val="en-US" w:eastAsia="en-US" w:bidi="ar-SA"/>
      </w:rPr>
    </w:lvl>
    <w:lvl w:ilvl="8" w:tplc="CAC43BE4">
      <w:numFmt w:val="bullet"/>
      <w:lvlText w:val="•"/>
      <w:lvlJc w:val="left"/>
      <w:pPr>
        <w:ind w:left="9876" w:hanging="512"/>
      </w:pPr>
      <w:rPr>
        <w:rFonts w:hint="default"/>
        <w:lang w:val="en-US" w:eastAsia="en-US" w:bidi="ar-SA"/>
      </w:rPr>
    </w:lvl>
  </w:abstractNum>
  <w:abstractNum w:abstractNumId="116" w15:restartNumberingAfterBreak="0">
    <w:nsid w:val="3F751D45"/>
    <w:multiLevelType w:val="hybridMultilevel"/>
    <w:tmpl w:val="364A323E"/>
    <w:lvl w:ilvl="0" w:tplc="F370C604">
      <w:start w:val="1"/>
      <w:numFmt w:val="lowerLetter"/>
      <w:lvlText w:val="%1)"/>
      <w:lvlJc w:val="left"/>
      <w:pPr>
        <w:ind w:left="2010"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68852B4">
      <w:numFmt w:val="bullet"/>
      <w:lvlText w:val="•"/>
      <w:lvlJc w:val="left"/>
      <w:pPr>
        <w:ind w:left="2836" w:hanging="485"/>
      </w:pPr>
      <w:rPr>
        <w:rFonts w:hint="default"/>
        <w:lang w:val="en-US" w:eastAsia="en-US" w:bidi="ar-SA"/>
      </w:rPr>
    </w:lvl>
    <w:lvl w:ilvl="2" w:tplc="2CC86754">
      <w:numFmt w:val="bullet"/>
      <w:lvlText w:val="•"/>
      <w:lvlJc w:val="left"/>
      <w:pPr>
        <w:ind w:left="3653" w:hanging="485"/>
      </w:pPr>
      <w:rPr>
        <w:rFonts w:hint="default"/>
        <w:lang w:val="en-US" w:eastAsia="en-US" w:bidi="ar-SA"/>
      </w:rPr>
    </w:lvl>
    <w:lvl w:ilvl="3" w:tplc="64F46D4E">
      <w:numFmt w:val="bullet"/>
      <w:lvlText w:val="•"/>
      <w:lvlJc w:val="left"/>
      <w:pPr>
        <w:ind w:left="4469" w:hanging="485"/>
      </w:pPr>
      <w:rPr>
        <w:rFonts w:hint="default"/>
        <w:lang w:val="en-US" w:eastAsia="en-US" w:bidi="ar-SA"/>
      </w:rPr>
    </w:lvl>
    <w:lvl w:ilvl="4" w:tplc="D0585D94">
      <w:numFmt w:val="bullet"/>
      <w:lvlText w:val="•"/>
      <w:lvlJc w:val="left"/>
      <w:pPr>
        <w:ind w:left="5286" w:hanging="485"/>
      </w:pPr>
      <w:rPr>
        <w:rFonts w:hint="default"/>
        <w:lang w:val="en-US" w:eastAsia="en-US" w:bidi="ar-SA"/>
      </w:rPr>
    </w:lvl>
    <w:lvl w:ilvl="5" w:tplc="70224C24">
      <w:numFmt w:val="bullet"/>
      <w:lvlText w:val="•"/>
      <w:lvlJc w:val="left"/>
      <w:pPr>
        <w:ind w:left="6102" w:hanging="485"/>
      </w:pPr>
      <w:rPr>
        <w:rFonts w:hint="default"/>
        <w:lang w:val="en-US" w:eastAsia="en-US" w:bidi="ar-SA"/>
      </w:rPr>
    </w:lvl>
    <w:lvl w:ilvl="6" w:tplc="74348A12">
      <w:numFmt w:val="bullet"/>
      <w:lvlText w:val="•"/>
      <w:lvlJc w:val="left"/>
      <w:pPr>
        <w:ind w:left="6919" w:hanging="485"/>
      </w:pPr>
      <w:rPr>
        <w:rFonts w:hint="default"/>
        <w:lang w:val="en-US" w:eastAsia="en-US" w:bidi="ar-SA"/>
      </w:rPr>
    </w:lvl>
    <w:lvl w:ilvl="7" w:tplc="5E3A5486">
      <w:numFmt w:val="bullet"/>
      <w:lvlText w:val="•"/>
      <w:lvlJc w:val="left"/>
      <w:pPr>
        <w:ind w:left="7735" w:hanging="485"/>
      </w:pPr>
      <w:rPr>
        <w:rFonts w:hint="default"/>
        <w:lang w:val="en-US" w:eastAsia="en-US" w:bidi="ar-SA"/>
      </w:rPr>
    </w:lvl>
    <w:lvl w:ilvl="8" w:tplc="0EC03ACA">
      <w:numFmt w:val="bullet"/>
      <w:lvlText w:val="•"/>
      <w:lvlJc w:val="left"/>
      <w:pPr>
        <w:ind w:left="8552" w:hanging="485"/>
      </w:pPr>
      <w:rPr>
        <w:rFonts w:hint="default"/>
        <w:lang w:val="en-US" w:eastAsia="en-US" w:bidi="ar-SA"/>
      </w:rPr>
    </w:lvl>
  </w:abstractNum>
  <w:abstractNum w:abstractNumId="117" w15:restartNumberingAfterBreak="0">
    <w:nsid w:val="3FC81C62"/>
    <w:multiLevelType w:val="hybridMultilevel"/>
    <w:tmpl w:val="43D82568"/>
    <w:lvl w:ilvl="0" w:tplc="69E29D7A">
      <w:start w:val="2"/>
      <w:numFmt w:val="upperLetter"/>
      <w:lvlText w:val="%1."/>
      <w:lvlJc w:val="left"/>
      <w:pPr>
        <w:ind w:left="1416" w:hanging="567"/>
      </w:pPr>
      <w:rPr>
        <w:rFonts w:ascii="Times New Roman" w:eastAsia="Times New Roman" w:hAnsi="Times New Roman" w:cs="Times New Roman" w:hint="default"/>
        <w:b/>
        <w:bCs/>
        <w:i w:val="0"/>
        <w:iCs w:val="0"/>
        <w:color w:val="221F1F"/>
        <w:spacing w:val="-22"/>
        <w:w w:val="97"/>
        <w:sz w:val="22"/>
        <w:szCs w:val="22"/>
        <w:lang w:val="en-US" w:eastAsia="en-US" w:bidi="ar-SA"/>
      </w:rPr>
    </w:lvl>
    <w:lvl w:ilvl="1" w:tplc="FA6A7A88">
      <w:numFmt w:val="bullet"/>
      <w:lvlText w:val="•"/>
      <w:lvlJc w:val="left"/>
      <w:pPr>
        <w:ind w:left="2469" w:hanging="567"/>
      </w:pPr>
      <w:rPr>
        <w:rFonts w:hint="default"/>
        <w:lang w:val="en-US" w:eastAsia="en-US" w:bidi="ar-SA"/>
      </w:rPr>
    </w:lvl>
    <w:lvl w:ilvl="2" w:tplc="3BFCC664">
      <w:numFmt w:val="bullet"/>
      <w:lvlText w:val="•"/>
      <w:lvlJc w:val="left"/>
      <w:pPr>
        <w:ind w:left="3518" w:hanging="567"/>
      </w:pPr>
      <w:rPr>
        <w:rFonts w:hint="default"/>
        <w:lang w:val="en-US" w:eastAsia="en-US" w:bidi="ar-SA"/>
      </w:rPr>
    </w:lvl>
    <w:lvl w:ilvl="3" w:tplc="8D7AF616">
      <w:numFmt w:val="bullet"/>
      <w:lvlText w:val="•"/>
      <w:lvlJc w:val="left"/>
      <w:pPr>
        <w:ind w:left="4567" w:hanging="567"/>
      </w:pPr>
      <w:rPr>
        <w:rFonts w:hint="default"/>
        <w:lang w:val="en-US" w:eastAsia="en-US" w:bidi="ar-SA"/>
      </w:rPr>
    </w:lvl>
    <w:lvl w:ilvl="4" w:tplc="67269EF2">
      <w:numFmt w:val="bullet"/>
      <w:lvlText w:val="•"/>
      <w:lvlJc w:val="left"/>
      <w:pPr>
        <w:ind w:left="5616" w:hanging="567"/>
      </w:pPr>
      <w:rPr>
        <w:rFonts w:hint="default"/>
        <w:lang w:val="en-US" w:eastAsia="en-US" w:bidi="ar-SA"/>
      </w:rPr>
    </w:lvl>
    <w:lvl w:ilvl="5" w:tplc="493CD650">
      <w:numFmt w:val="bullet"/>
      <w:lvlText w:val="•"/>
      <w:lvlJc w:val="left"/>
      <w:pPr>
        <w:ind w:left="6665" w:hanging="567"/>
      </w:pPr>
      <w:rPr>
        <w:rFonts w:hint="default"/>
        <w:lang w:val="en-US" w:eastAsia="en-US" w:bidi="ar-SA"/>
      </w:rPr>
    </w:lvl>
    <w:lvl w:ilvl="6" w:tplc="472EFD3E">
      <w:numFmt w:val="bullet"/>
      <w:lvlText w:val="•"/>
      <w:lvlJc w:val="left"/>
      <w:pPr>
        <w:ind w:left="7714" w:hanging="567"/>
      </w:pPr>
      <w:rPr>
        <w:rFonts w:hint="default"/>
        <w:lang w:val="en-US" w:eastAsia="en-US" w:bidi="ar-SA"/>
      </w:rPr>
    </w:lvl>
    <w:lvl w:ilvl="7" w:tplc="DCEA93B8">
      <w:numFmt w:val="bullet"/>
      <w:lvlText w:val="•"/>
      <w:lvlJc w:val="left"/>
      <w:pPr>
        <w:ind w:left="8763" w:hanging="567"/>
      </w:pPr>
      <w:rPr>
        <w:rFonts w:hint="default"/>
        <w:lang w:val="en-US" w:eastAsia="en-US" w:bidi="ar-SA"/>
      </w:rPr>
    </w:lvl>
    <w:lvl w:ilvl="8" w:tplc="80AA8740">
      <w:numFmt w:val="bullet"/>
      <w:lvlText w:val="•"/>
      <w:lvlJc w:val="left"/>
      <w:pPr>
        <w:ind w:left="9812" w:hanging="567"/>
      </w:pPr>
      <w:rPr>
        <w:rFonts w:hint="default"/>
        <w:lang w:val="en-US" w:eastAsia="en-US" w:bidi="ar-SA"/>
      </w:rPr>
    </w:lvl>
  </w:abstractNum>
  <w:abstractNum w:abstractNumId="118" w15:restartNumberingAfterBreak="0">
    <w:nsid w:val="3FE1696F"/>
    <w:multiLevelType w:val="hybridMultilevel"/>
    <w:tmpl w:val="3AF8A776"/>
    <w:lvl w:ilvl="0" w:tplc="D546685C">
      <w:start w:val="1"/>
      <w:numFmt w:val="lowerLetter"/>
      <w:lvlText w:val="(%1)"/>
      <w:lvlJc w:val="left"/>
      <w:pPr>
        <w:ind w:left="465"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E7F09168">
      <w:start w:val="1"/>
      <w:numFmt w:val="lowerRoman"/>
      <w:lvlText w:val="(%2)"/>
      <w:lvlJc w:val="left"/>
      <w:pPr>
        <w:ind w:left="107" w:hanging="319"/>
      </w:pPr>
      <w:rPr>
        <w:rFonts w:hint="default"/>
        <w:spacing w:val="0"/>
        <w:w w:val="100"/>
        <w:lang w:val="en-US" w:eastAsia="en-US" w:bidi="ar-SA"/>
      </w:rPr>
    </w:lvl>
    <w:lvl w:ilvl="2" w:tplc="EAB24A32">
      <w:numFmt w:val="bullet"/>
      <w:lvlText w:val="•"/>
      <w:lvlJc w:val="left"/>
      <w:pPr>
        <w:ind w:left="1394" w:hanging="319"/>
      </w:pPr>
      <w:rPr>
        <w:rFonts w:hint="default"/>
        <w:lang w:val="en-US" w:eastAsia="en-US" w:bidi="ar-SA"/>
      </w:rPr>
    </w:lvl>
    <w:lvl w:ilvl="3" w:tplc="BF06DD34">
      <w:numFmt w:val="bullet"/>
      <w:lvlText w:val="•"/>
      <w:lvlJc w:val="left"/>
      <w:pPr>
        <w:ind w:left="2328" w:hanging="319"/>
      </w:pPr>
      <w:rPr>
        <w:rFonts w:hint="default"/>
        <w:lang w:val="en-US" w:eastAsia="en-US" w:bidi="ar-SA"/>
      </w:rPr>
    </w:lvl>
    <w:lvl w:ilvl="4" w:tplc="955C509A">
      <w:numFmt w:val="bullet"/>
      <w:lvlText w:val="•"/>
      <w:lvlJc w:val="left"/>
      <w:pPr>
        <w:ind w:left="3262" w:hanging="319"/>
      </w:pPr>
      <w:rPr>
        <w:rFonts w:hint="default"/>
        <w:lang w:val="en-US" w:eastAsia="en-US" w:bidi="ar-SA"/>
      </w:rPr>
    </w:lvl>
    <w:lvl w:ilvl="5" w:tplc="8870B6E2">
      <w:numFmt w:val="bullet"/>
      <w:lvlText w:val="•"/>
      <w:lvlJc w:val="left"/>
      <w:pPr>
        <w:ind w:left="4196" w:hanging="319"/>
      </w:pPr>
      <w:rPr>
        <w:rFonts w:hint="default"/>
        <w:lang w:val="en-US" w:eastAsia="en-US" w:bidi="ar-SA"/>
      </w:rPr>
    </w:lvl>
    <w:lvl w:ilvl="6" w:tplc="69E4A8EA">
      <w:numFmt w:val="bullet"/>
      <w:lvlText w:val="•"/>
      <w:lvlJc w:val="left"/>
      <w:pPr>
        <w:ind w:left="5131" w:hanging="319"/>
      </w:pPr>
      <w:rPr>
        <w:rFonts w:hint="default"/>
        <w:lang w:val="en-US" w:eastAsia="en-US" w:bidi="ar-SA"/>
      </w:rPr>
    </w:lvl>
    <w:lvl w:ilvl="7" w:tplc="C67C394A">
      <w:numFmt w:val="bullet"/>
      <w:lvlText w:val="•"/>
      <w:lvlJc w:val="left"/>
      <w:pPr>
        <w:ind w:left="6065" w:hanging="319"/>
      </w:pPr>
      <w:rPr>
        <w:rFonts w:hint="default"/>
        <w:lang w:val="en-US" w:eastAsia="en-US" w:bidi="ar-SA"/>
      </w:rPr>
    </w:lvl>
    <w:lvl w:ilvl="8" w:tplc="46C8D95C">
      <w:numFmt w:val="bullet"/>
      <w:lvlText w:val="•"/>
      <w:lvlJc w:val="left"/>
      <w:pPr>
        <w:ind w:left="6999" w:hanging="319"/>
      </w:pPr>
      <w:rPr>
        <w:rFonts w:hint="default"/>
        <w:lang w:val="en-US" w:eastAsia="en-US" w:bidi="ar-SA"/>
      </w:rPr>
    </w:lvl>
  </w:abstractNum>
  <w:abstractNum w:abstractNumId="119" w15:restartNumberingAfterBreak="0">
    <w:nsid w:val="40635156"/>
    <w:multiLevelType w:val="hybridMultilevel"/>
    <w:tmpl w:val="144281C4"/>
    <w:lvl w:ilvl="0" w:tplc="C31471F2">
      <w:start w:val="1"/>
      <w:numFmt w:val="lowerLetter"/>
      <w:lvlText w:val="%1)"/>
      <w:lvlJc w:val="left"/>
      <w:pPr>
        <w:ind w:left="1873"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7D6B2DA">
      <w:numFmt w:val="bullet"/>
      <w:lvlText w:val="•"/>
      <w:lvlJc w:val="left"/>
      <w:pPr>
        <w:ind w:left="2840" w:hanging="444"/>
      </w:pPr>
      <w:rPr>
        <w:rFonts w:hint="default"/>
        <w:lang w:val="en-US" w:eastAsia="en-US" w:bidi="ar-SA"/>
      </w:rPr>
    </w:lvl>
    <w:lvl w:ilvl="2" w:tplc="E9226234">
      <w:numFmt w:val="bullet"/>
      <w:lvlText w:val="•"/>
      <w:lvlJc w:val="left"/>
      <w:pPr>
        <w:ind w:left="3801" w:hanging="444"/>
      </w:pPr>
      <w:rPr>
        <w:rFonts w:hint="default"/>
        <w:lang w:val="en-US" w:eastAsia="en-US" w:bidi="ar-SA"/>
      </w:rPr>
    </w:lvl>
    <w:lvl w:ilvl="3" w:tplc="D00E1F42">
      <w:numFmt w:val="bullet"/>
      <w:lvlText w:val="•"/>
      <w:lvlJc w:val="left"/>
      <w:pPr>
        <w:ind w:left="4762" w:hanging="444"/>
      </w:pPr>
      <w:rPr>
        <w:rFonts w:hint="default"/>
        <w:lang w:val="en-US" w:eastAsia="en-US" w:bidi="ar-SA"/>
      </w:rPr>
    </w:lvl>
    <w:lvl w:ilvl="4" w:tplc="6D4A3198">
      <w:numFmt w:val="bullet"/>
      <w:lvlText w:val="•"/>
      <w:lvlJc w:val="left"/>
      <w:pPr>
        <w:ind w:left="5722" w:hanging="444"/>
      </w:pPr>
      <w:rPr>
        <w:rFonts w:hint="default"/>
        <w:lang w:val="en-US" w:eastAsia="en-US" w:bidi="ar-SA"/>
      </w:rPr>
    </w:lvl>
    <w:lvl w:ilvl="5" w:tplc="DB527C08">
      <w:numFmt w:val="bullet"/>
      <w:lvlText w:val="•"/>
      <w:lvlJc w:val="left"/>
      <w:pPr>
        <w:ind w:left="6683" w:hanging="444"/>
      </w:pPr>
      <w:rPr>
        <w:rFonts w:hint="default"/>
        <w:lang w:val="en-US" w:eastAsia="en-US" w:bidi="ar-SA"/>
      </w:rPr>
    </w:lvl>
    <w:lvl w:ilvl="6" w:tplc="B96CEA7C">
      <w:numFmt w:val="bullet"/>
      <w:lvlText w:val="•"/>
      <w:lvlJc w:val="left"/>
      <w:pPr>
        <w:ind w:left="7644" w:hanging="444"/>
      </w:pPr>
      <w:rPr>
        <w:rFonts w:hint="default"/>
        <w:lang w:val="en-US" w:eastAsia="en-US" w:bidi="ar-SA"/>
      </w:rPr>
    </w:lvl>
    <w:lvl w:ilvl="7" w:tplc="2E7CD2A2">
      <w:numFmt w:val="bullet"/>
      <w:lvlText w:val="•"/>
      <w:lvlJc w:val="left"/>
      <w:pPr>
        <w:ind w:left="8605" w:hanging="444"/>
      </w:pPr>
      <w:rPr>
        <w:rFonts w:hint="default"/>
        <w:lang w:val="en-US" w:eastAsia="en-US" w:bidi="ar-SA"/>
      </w:rPr>
    </w:lvl>
    <w:lvl w:ilvl="8" w:tplc="2EDC0246">
      <w:numFmt w:val="bullet"/>
      <w:lvlText w:val="•"/>
      <w:lvlJc w:val="left"/>
      <w:pPr>
        <w:ind w:left="9565" w:hanging="444"/>
      </w:pPr>
      <w:rPr>
        <w:rFonts w:hint="default"/>
        <w:lang w:val="en-US" w:eastAsia="en-US" w:bidi="ar-SA"/>
      </w:rPr>
    </w:lvl>
  </w:abstractNum>
  <w:abstractNum w:abstractNumId="120" w15:restartNumberingAfterBreak="0">
    <w:nsid w:val="40ED7C4C"/>
    <w:multiLevelType w:val="hybridMultilevel"/>
    <w:tmpl w:val="83E427C2"/>
    <w:lvl w:ilvl="0" w:tplc="9BE4E2C2">
      <w:start w:val="1"/>
      <w:numFmt w:val="upperLetter"/>
      <w:lvlText w:val="(%1)"/>
      <w:lvlJc w:val="left"/>
      <w:pPr>
        <w:ind w:left="452" w:hanging="362"/>
      </w:pPr>
      <w:rPr>
        <w:rFonts w:ascii="Times New Roman" w:eastAsia="Times New Roman" w:hAnsi="Times New Roman" w:cs="Times New Roman" w:hint="default"/>
        <w:b w:val="0"/>
        <w:bCs w:val="0"/>
        <w:i w:val="0"/>
        <w:iCs w:val="0"/>
        <w:spacing w:val="-2"/>
        <w:w w:val="100"/>
        <w:sz w:val="22"/>
        <w:szCs w:val="22"/>
        <w:lang w:val="en-US" w:eastAsia="en-US" w:bidi="ar-SA"/>
      </w:rPr>
    </w:lvl>
    <w:lvl w:ilvl="1" w:tplc="D278C9F6">
      <w:start w:val="1"/>
      <w:numFmt w:val="decimal"/>
      <w:lvlText w:val="(%2)"/>
      <w:lvlJc w:val="left"/>
      <w:pPr>
        <w:ind w:left="81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2" w:tplc="66E4AE6A">
      <w:numFmt w:val="bullet"/>
      <w:lvlText w:val="•"/>
      <w:lvlJc w:val="left"/>
      <w:pPr>
        <w:ind w:left="1697" w:hanging="720"/>
      </w:pPr>
      <w:rPr>
        <w:rFonts w:hint="default"/>
        <w:lang w:val="en-US" w:eastAsia="en-US" w:bidi="ar-SA"/>
      </w:rPr>
    </w:lvl>
    <w:lvl w:ilvl="3" w:tplc="AFF0F8B4">
      <w:numFmt w:val="bullet"/>
      <w:lvlText w:val="•"/>
      <w:lvlJc w:val="left"/>
      <w:pPr>
        <w:ind w:left="2591" w:hanging="720"/>
      </w:pPr>
      <w:rPr>
        <w:rFonts w:hint="default"/>
        <w:lang w:val="en-US" w:eastAsia="en-US" w:bidi="ar-SA"/>
      </w:rPr>
    </w:lvl>
    <w:lvl w:ilvl="4" w:tplc="A8D81076">
      <w:numFmt w:val="bullet"/>
      <w:lvlText w:val="•"/>
      <w:lvlJc w:val="left"/>
      <w:pPr>
        <w:ind w:left="3485" w:hanging="720"/>
      </w:pPr>
      <w:rPr>
        <w:rFonts w:hint="default"/>
        <w:lang w:val="en-US" w:eastAsia="en-US" w:bidi="ar-SA"/>
      </w:rPr>
    </w:lvl>
    <w:lvl w:ilvl="5" w:tplc="DB9C8BBA">
      <w:numFmt w:val="bullet"/>
      <w:lvlText w:val="•"/>
      <w:lvlJc w:val="left"/>
      <w:pPr>
        <w:ind w:left="4379" w:hanging="720"/>
      </w:pPr>
      <w:rPr>
        <w:rFonts w:hint="default"/>
        <w:lang w:val="en-US" w:eastAsia="en-US" w:bidi="ar-SA"/>
      </w:rPr>
    </w:lvl>
    <w:lvl w:ilvl="6" w:tplc="EE8AAED2">
      <w:numFmt w:val="bullet"/>
      <w:lvlText w:val="•"/>
      <w:lvlJc w:val="left"/>
      <w:pPr>
        <w:ind w:left="5274" w:hanging="720"/>
      </w:pPr>
      <w:rPr>
        <w:rFonts w:hint="default"/>
        <w:lang w:val="en-US" w:eastAsia="en-US" w:bidi="ar-SA"/>
      </w:rPr>
    </w:lvl>
    <w:lvl w:ilvl="7" w:tplc="2484474C">
      <w:numFmt w:val="bullet"/>
      <w:lvlText w:val="•"/>
      <w:lvlJc w:val="left"/>
      <w:pPr>
        <w:ind w:left="6168" w:hanging="720"/>
      </w:pPr>
      <w:rPr>
        <w:rFonts w:hint="default"/>
        <w:lang w:val="en-US" w:eastAsia="en-US" w:bidi="ar-SA"/>
      </w:rPr>
    </w:lvl>
    <w:lvl w:ilvl="8" w:tplc="86E44D22">
      <w:numFmt w:val="bullet"/>
      <w:lvlText w:val="•"/>
      <w:lvlJc w:val="left"/>
      <w:pPr>
        <w:ind w:left="7062" w:hanging="720"/>
      </w:pPr>
      <w:rPr>
        <w:rFonts w:hint="default"/>
        <w:lang w:val="en-US" w:eastAsia="en-US" w:bidi="ar-SA"/>
      </w:rPr>
    </w:lvl>
  </w:abstractNum>
  <w:abstractNum w:abstractNumId="121" w15:restartNumberingAfterBreak="0">
    <w:nsid w:val="4195396B"/>
    <w:multiLevelType w:val="hybridMultilevel"/>
    <w:tmpl w:val="076651FE"/>
    <w:lvl w:ilvl="0" w:tplc="130C1DEA">
      <w:start w:val="1"/>
      <w:numFmt w:val="lowerLetter"/>
      <w:lvlText w:val="%1)"/>
      <w:lvlJc w:val="left"/>
      <w:pPr>
        <w:ind w:left="1865"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4C28184">
      <w:numFmt w:val="bullet"/>
      <w:lvlText w:val="•"/>
      <w:lvlJc w:val="left"/>
      <w:pPr>
        <w:ind w:left="2822" w:hanging="495"/>
      </w:pPr>
      <w:rPr>
        <w:rFonts w:hint="default"/>
        <w:lang w:val="en-US" w:eastAsia="en-US" w:bidi="ar-SA"/>
      </w:rPr>
    </w:lvl>
    <w:lvl w:ilvl="2" w:tplc="0DCE1010">
      <w:numFmt w:val="bullet"/>
      <w:lvlText w:val="•"/>
      <w:lvlJc w:val="left"/>
      <w:pPr>
        <w:ind w:left="3785" w:hanging="495"/>
      </w:pPr>
      <w:rPr>
        <w:rFonts w:hint="default"/>
        <w:lang w:val="en-US" w:eastAsia="en-US" w:bidi="ar-SA"/>
      </w:rPr>
    </w:lvl>
    <w:lvl w:ilvl="3" w:tplc="AA0865C8">
      <w:numFmt w:val="bullet"/>
      <w:lvlText w:val="•"/>
      <w:lvlJc w:val="left"/>
      <w:pPr>
        <w:ind w:left="4748" w:hanging="495"/>
      </w:pPr>
      <w:rPr>
        <w:rFonts w:hint="default"/>
        <w:lang w:val="en-US" w:eastAsia="en-US" w:bidi="ar-SA"/>
      </w:rPr>
    </w:lvl>
    <w:lvl w:ilvl="4" w:tplc="FE966094">
      <w:numFmt w:val="bullet"/>
      <w:lvlText w:val="•"/>
      <w:lvlJc w:val="left"/>
      <w:pPr>
        <w:ind w:left="5710" w:hanging="495"/>
      </w:pPr>
      <w:rPr>
        <w:rFonts w:hint="default"/>
        <w:lang w:val="en-US" w:eastAsia="en-US" w:bidi="ar-SA"/>
      </w:rPr>
    </w:lvl>
    <w:lvl w:ilvl="5" w:tplc="79A678C2">
      <w:numFmt w:val="bullet"/>
      <w:lvlText w:val="•"/>
      <w:lvlJc w:val="left"/>
      <w:pPr>
        <w:ind w:left="6673" w:hanging="495"/>
      </w:pPr>
      <w:rPr>
        <w:rFonts w:hint="default"/>
        <w:lang w:val="en-US" w:eastAsia="en-US" w:bidi="ar-SA"/>
      </w:rPr>
    </w:lvl>
    <w:lvl w:ilvl="6" w:tplc="4C10897E">
      <w:numFmt w:val="bullet"/>
      <w:lvlText w:val="•"/>
      <w:lvlJc w:val="left"/>
      <w:pPr>
        <w:ind w:left="7636" w:hanging="495"/>
      </w:pPr>
      <w:rPr>
        <w:rFonts w:hint="default"/>
        <w:lang w:val="en-US" w:eastAsia="en-US" w:bidi="ar-SA"/>
      </w:rPr>
    </w:lvl>
    <w:lvl w:ilvl="7" w:tplc="3F620FF4">
      <w:numFmt w:val="bullet"/>
      <w:lvlText w:val="•"/>
      <w:lvlJc w:val="left"/>
      <w:pPr>
        <w:ind w:left="8599" w:hanging="495"/>
      </w:pPr>
      <w:rPr>
        <w:rFonts w:hint="default"/>
        <w:lang w:val="en-US" w:eastAsia="en-US" w:bidi="ar-SA"/>
      </w:rPr>
    </w:lvl>
    <w:lvl w:ilvl="8" w:tplc="5B1E09CA">
      <w:numFmt w:val="bullet"/>
      <w:lvlText w:val="•"/>
      <w:lvlJc w:val="left"/>
      <w:pPr>
        <w:ind w:left="9561" w:hanging="495"/>
      </w:pPr>
      <w:rPr>
        <w:rFonts w:hint="default"/>
        <w:lang w:val="en-US" w:eastAsia="en-US" w:bidi="ar-SA"/>
      </w:rPr>
    </w:lvl>
  </w:abstractNum>
  <w:abstractNum w:abstractNumId="122" w15:restartNumberingAfterBreak="0">
    <w:nsid w:val="421E41A5"/>
    <w:multiLevelType w:val="hybridMultilevel"/>
    <w:tmpl w:val="113A3C96"/>
    <w:lvl w:ilvl="0" w:tplc="D9C868D8">
      <w:start w:val="1"/>
      <w:numFmt w:val="decimal"/>
      <w:lvlText w:val="%1."/>
      <w:lvlJc w:val="left"/>
      <w:pPr>
        <w:ind w:left="1663" w:hanging="471"/>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1" w:tplc="B61258DA">
      <w:numFmt w:val="bullet"/>
      <w:lvlText w:val="•"/>
      <w:lvlJc w:val="left"/>
      <w:pPr>
        <w:ind w:left="2685" w:hanging="471"/>
      </w:pPr>
      <w:rPr>
        <w:rFonts w:hint="default"/>
        <w:lang w:val="en-US" w:eastAsia="en-US" w:bidi="ar-SA"/>
      </w:rPr>
    </w:lvl>
    <w:lvl w:ilvl="2" w:tplc="13B0922E">
      <w:numFmt w:val="bullet"/>
      <w:lvlText w:val="•"/>
      <w:lvlJc w:val="left"/>
      <w:pPr>
        <w:ind w:left="3710" w:hanging="471"/>
      </w:pPr>
      <w:rPr>
        <w:rFonts w:hint="default"/>
        <w:lang w:val="en-US" w:eastAsia="en-US" w:bidi="ar-SA"/>
      </w:rPr>
    </w:lvl>
    <w:lvl w:ilvl="3" w:tplc="620CEE4E">
      <w:numFmt w:val="bullet"/>
      <w:lvlText w:val="•"/>
      <w:lvlJc w:val="left"/>
      <w:pPr>
        <w:ind w:left="4735" w:hanging="471"/>
      </w:pPr>
      <w:rPr>
        <w:rFonts w:hint="default"/>
        <w:lang w:val="en-US" w:eastAsia="en-US" w:bidi="ar-SA"/>
      </w:rPr>
    </w:lvl>
    <w:lvl w:ilvl="4" w:tplc="EFC06060">
      <w:numFmt w:val="bullet"/>
      <w:lvlText w:val="•"/>
      <w:lvlJc w:val="left"/>
      <w:pPr>
        <w:ind w:left="5760" w:hanging="471"/>
      </w:pPr>
      <w:rPr>
        <w:rFonts w:hint="default"/>
        <w:lang w:val="en-US" w:eastAsia="en-US" w:bidi="ar-SA"/>
      </w:rPr>
    </w:lvl>
    <w:lvl w:ilvl="5" w:tplc="D6B444F0">
      <w:numFmt w:val="bullet"/>
      <w:lvlText w:val="•"/>
      <w:lvlJc w:val="left"/>
      <w:pPr>
        <w:ind w:left="6785" w:hanging="471"/>
      </w:pPr>
      <w:rPr>
        <w:rFonts w:hint="default"/>
        <w:lang w:val="en-US" w:eastAsia="en-US" w:bidi="ar-SA"/>
      </w:rPr>
    </w:lvl>
    <w:lvl w:ilvl="6" w:tplc="37F87F6E">
      <w:numFmt w:val="bullet"/>
      <w:lvlText w:val="•"/>
      <w:lvlJc w:val="left"/>
      <w:pPr>
        <w:ind w:left="7810" w:hanging="471"/>
      </w:pPr>
      <w:rPr>
        <w:rFonts w:hint="default"/>
        <w:lang w:val="en-US" w:eastAsia="en-US" w:bidi="ar-SA"/>
      </w:rPr>
    </w:lvl>
    <w:lvl w:ilvl="7" w:tplc="188C136C">
      <w:numFmt w:val="bullet"/>
      <w:lvlText w:val="•"/>
      <w:lvlJc w:val="left"/>
      <w:pPr>
        <w:ind w:left="8835" w:hanging="471"/>
      </w:pPr>
      <w:rPr>
        <w:rFonts w:hint="default"/>
        <w:lang w:val="en-US" w:eastAsia="en-US" w:bidi="ar-SA"/>
      </w:rPr>
    </w:lvl>
    <w:lvl w:ilvl="8" w:tplc="604A66DC">
      <w:numFmt w:val="bullet"/>
      <w:lvlText w:val="•"/>
      <w:lvlJc w:val="left"/>
      <w:pPr>
        <w:ind w:left="9860" w:hanging="471"/>
      </w:pPr>
      <w:rPr>
        <w:rFonts w:hint="default"/>
        <w:lang w:val="en-US" w:eastAsia="en-US" w:bidi="ar-SA"/>
      </w:rPr>
    </w:lvl>
  </w:abstractNum>
  <w:abstractNum w:abstractNumId="123" w15:restartNumberingAfterBreak="0">
    <w:nsid w:val="42421B51"/>
    <w:multiLevelType w:val="hybridMultilevel"/>
    <w:tmpl w:val="70F4B186"/>
    <w:lvl w:ilvl="0" w:tplc="0D78FA28">
      <w:start w:val="1"/>
      <w:numFmt w:val="lowerLetter"/>
      <w:lvlText w:val="%1)"/>
      <w:lvlJc w:val="left"/>
      <w:pPr>
        <w:ind w:left="1880"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3062220">
      <w:start w:val="1"/>
      <w:numFmt w:val="lowerRoman"/>
      <w:lvlText w:val="%2)"/>
      <w:lvlJc w:val="left"/>
      <w:pPr>
        <w:ind w:left="2151" w:hanging="27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7472A03E">
      <w:numFmt w:val="bullet"/>
      <w:lvlText w:val="•"/>
      <w:lvlJc w:val="left"/>
      <w:pPr>
        <w:ind w:left="3196" w:hanging="272"/>
      </w:pPr>
      <w:rPr>
        <w:rFonts w:hint="default"/>
        <w:lang w:val="en-US" w:eastAsia="en-US" w:bidi="ar-SA"/>
      </w:rPr>
    </w:lvl>
    <w:lvl w:ilvl="3" w:tplc="F46EC4E4">
      <w:numFmt w:val="bullet"/>
      <w:lvlText w:val="•"/>
      <w:lvlJc w:val="left"/>
      <w:pPr>
        <w:ind w:left="4232" w:hanging="272"/>
      </w:pPr>
      <w:rPr>
        <w:rFonts w:hint="default"/>
        <w:lang w:val="en-US" w:eastAsia="en-US" w:bidi="ar-SA"/>
      </w:rPr>
    </w:lvl>
    <w:lvl w:ilvl="4" w:tplc="1AA44616">
      <w:numFmt w:val="bullet"/>
      <w:lvlText w:val="•"/>
      <w:lvlJc w:val="left"/>
      <w:pPr>
        <w:ind w:left="5269" w:hanging="272"/>
      </w:pPr>
      <w:rPr>
        <w:rFonts w:hint="default"/>
        <w:lang w:val="en-US" w:eastAsia="en-US" w:bidi="ar-SA"/>
      </w:rPr>
    </w:lvl>
    <w:lvl w:ilvl="5" w:tplc="3A6CA0C2">
      <w:numFmt w:val="bullet"/>
      <w:lvlText w:val="•"/>
      <w:lvlJc w:val="left"/>
      <w:pPr>
        <w:ind w:left="6305" w:hanging="272"/>
      </w:pPr>
      <w:rPr>
        <w:rFonts w:hint="default"/>
        <w:lang w:val="en-US" w:eastAsia="en-US" w:bidi="ar-SA"/>
      </w:rPr>
    </w:lvl>
    <w:lvl w:ilvl="6" w:tplc="CD305368">
      <w:numFmt w:val="bullet"/>
      <w:lvlText w:val="•"/>
      <w:lvlJc w:val="left"/>
      <w:pPr>
        <w:ind w:left="7341" w:hanging="272"/>
      </w:pPr>
      <w:rPr>
        <w:rFonts w:hint="default"/>
        <w:lang w:val="en-US" w:eastAsia="en-US" w:bidi="ar-SA"/>
      </w:rPr>
    </w:lvl>
    <w:lvl w:ilvl="7" w:tplc="4BF6730E">
      <w:numFmt w:val="bullet"/>
      <w:lvlText w:val="•"/>
      <w:lvlJc w:val="left"/>
      <w:pPr>
        <w:ind w:left="8378" w:hanging="272"/>
      </w:pPr>
      <w:rPr>
        <w:rFonts w:hint="default"/>
        <w:lang w:val="en-US" w:eastAsia="en-US" w:bidi="ar-SA"/>
      </w:rPr>
    </w:lvl>
    <w:lvl w:ilvl="8" w:tplc="7C4E4414">
      <w:numFmt w:val="bullet"/>
      <w:lvlText w:val="•"/>
      <w:lvlJc w:val="left"/>
      <w:pPr>
        <w:ind w:left="9414" w:hanging="272"/>
      </w:pPr>
      <w:rPr>
        <w:rFonts w:hint="default"/>
        <w:lang w:val="en-US" w:eastAsia="en-US" w:bidi="ar-SA"/>
      </w:rPr>
    </w:lvl>
  </w:abstractNum>
  <w:abstractNum w:abstractNumId="124" w15:restartNumberingAfterBreak="0">
    <w:nsid w:val="428D633F"/>
    <w:multiLevelType w:val="hybridMultilevel"/>
    <w:tmpl w:val="5E1A6772"/>
    <w:lvl w:ilvl="0" w:tplc="00F28462">
      <w:start w:val="1"/>
      <w:numFmt w:val="lowerLetter"/>
      <w:lvlText w:val="%1)"/>
      <w:lvlJc w:val="left"/>
      <w:pPr>
        <w:ind w:left="1882" w:hanging="5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8BA61B0">
      <w:numFmt w:val="bullet"/>
      <w:lvlText w:val="•"/>
      <w:lvlJc w:val="left"/>
      <w:pPr>
        <w:ind w:left="2840" w:hanging="504"/>
      </w:pPr>
      <w:rPr>
        <w:rFonts w:hint="default"/>
        <w:lang w:val="en-US" w:eastAsia="en-US" w:bidi="ar-SA"/>
      </w:rPr>
    </w:lvl>
    <w:lvl w:ilvl="2" w:tplc="27A8A0FE">
      <w:numFmt w:val="bullet"/>
      <w:lvlText w:val="•"/>
      <w:lvlJc w:val="left"/>
      <w:pPr>
        <w:ind w:left="3801" w:hanging="504"/>
      </w:pPr>
      <w:rPr>
        <w:rFonts w:hint="default"/>
        <w:lang w:val="en-US" w:eastAsia="en-US" w:bidi="ar-SA"/>
      </w:rPr>
    </w:lvl>
    <w:lvl w:ilvl="3" w:tplc="D4520736">
      <w:numFmt w:val="bullet"/>
      <w:lvlText w:val="•"/>
      <w:lvlJc w:val="left"/>
      <w:pPr>
        <w:ind w:left="4762" w:hanging="504"/>
      </w:pPr>
      <w:rPr>
        <w:rFonts w:hint="default"/>
        <w:lang w:val="en-US" w:eastAsia="en-US" w:bidi="ar-SA"/>
      </w:rPr>
    </w:lvl>
    <w:lvl w:ilvl="4" w:tplc="23A4AAA6">
      <w:numFmt w:val="bullet"/>
      <w:lvlText w:val="•"/>
      <w:lvlJc w:val="left"/>
      <w:pPr>
        <w:ind w:left="5722" w:hanging="504"/>
      </w:pPr>
      <w:rPr>
        <w:rFonts w:hint="default"/>
        <w:lang w:val="en-US" w:eastAsia="en-US" w:bidi="ar-SA"/>
      </w:rPr>
    </w:lvl>
    <w:lvl w:ilvl="5" w:tplc="41C80AB4">
      <w:numFmt w:val="bullet"/>
      <w:lvlText w:val="•"/>
      <w:lvlJc w:val="left"/>
      <w:pPr>
        <w:ind w:left="6683" w:hanging="504"/>
      </w:pPr>
      <w:rPr>
        <w:rFonts w:hint="default"/>
        <w:lang w:val="en-US" w:eastAsia="en-US" w:bidi="ar-SA"/>
      </w:rPr>
    </w:lvl>
    <w:lvl w:ilvl="6" w:tplc="08E21AB4">
      <w:numFmt w:val="bullet"/>
      <w:lvlText w:val="•"/>
      <w:lvlJc w:val="left"/>
      <w:pPr>
        <w:ind w:left="7644" w:hanging="504"/>
      </w:pPr>
      <w:rPr>
        <w:rFonts w:hint="default"/>
        <w:lang w:val="en-US" w:eastAsia="en-US" w:bidi="ar-SA"/>
      </w:rPr>
    </w:lvl>
    <w:lvl w:ilvl="7" w:tplc="AAB0B790">
      <w:numFmt w:val="bullet"/>
      <w:lvlText w:val="•"/>
      <w:lvlJc w:val="left"/>
      <w:pPr>
        <w:ind w:left="8605" w:hanging="504"/>
      </w:pPr>
      <w:rPr>
        <w:rFonts w:hint="default"/>
        <w:lang w:val="en-US" w:eastAsia="en-US" w:bidi="ar-SA"/>
      </w:rPr>
    </w:lvl>
    <w:lvl w:ilvl="8" w:tplc="A2D06CEA">
      <w:numFmt w:val="bullet"/>
      <w:lvlText w:val="•"/>
      <w:lvlJc w:val="left"/>
      <w:pPr>
        <w:ind w:left="9565" w:hanging="504"/>
      </w:pPr>
      <w:rPr>
        <w:rFonts w:hint="default"/>
        <w:lang w:val="en-US" w:eastAsia="en-US" w:bidi="ar-SA"/>
      </w:rPr>
    </w:lvl>
  </w:abstractNum>
  <w:abstractNum w:abstractNumId="125" w15:restartNumberingAfterBreak="0">
    <w:nsid w:val="42905655"/>
    <w:multiLevelType w:val="hybridMultilevel"/>
    <w:tmpl w:val="AC4087FE"/>
    <w:lvl w:ilvl="0" w:tplc="7D3AA43E">
      <w:start w:val="7"/>
      <w:numFmt w:val="decimal"/>
      <w:lvlText w:val="%1."/>
      <w:lvlJc w:val="left"/>
      <w:pPr>
        <w:ind w:left="1418" w:hanging="570"/>
      </w:pPr>
      <w:rPr>
        <w:rFonts w:ascii="Times New Roman" w:eastAsia="Times New Roman" w:hAnsi="Times New Roman" w:cs="Times New Roman" w:hint="default"/>
        <w:b/>
        <w:bCs/>
        <w:i w:val="0"/>
        <w:iCs w:val="0"/>
        <w:color w:val="221F1F"/>
        <w:spacing w:val="-26"/>
        <w:w w:val="97"/>
        <w:sz w:val="22"/>
        <w:szCs w:val="22"/>
        <w:lang w:val="en-US" w:eastAsia="en-US" w:bidi="ar-SA"/>
      </w:rPr>
    </w:lvl>
    <w:lvl w:ilvl="1" w:tplc="54ACCC42">
      <w:start w:val="1"/>
      <w:numFmt w:val="lowerLetter"/>
      <w:lvlText w:val="%2)"/>
      <w:lvlJc w:val="left"/>
      <w:pPr>
        <w:ind w:left="1822" w:hanging="4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889E8638">
      <w:start w:val="1"/>
      <w:numFmt w:val="lowerRoman"/>
      <w:lvlText w:val="%3)"/>
      <w:lvlJc w:val="left"/>
      <w:pPr>
        <w:ind w:left="2282" w:hanging="461"/>
        <w:jc w:val="right"/>
      </w:pPr>
      <w:rPr>
        <w:rFonts w:hint="default"/>
        <w:spacing w:val="0"/>
        <w:w w:val="100"/>
        <w:lang w:val="en-US" w:eastAsia="en-US" w:bidi="ar-SA"/>
      </w:rPr>
    </w:lvl>
    <w:lvl w:ilvl="3" w:tplc="840098BE">
      <w:numFmt w:val="bullet"/>
      <w:lvlText w:val="•"/>
      <w:lvlJc w:val="left"/>
      <w:pPr>
        <w:ind w:left="3483" w:hanging="461"/>
      </w:pPr>
      <w:rPr>
        <w:rFonts w:hint="default"/>
        <w:lang w:val="en-US" w:eastAsia="en-US" w:bidi="ar-SA"/>
      </w:rPr>
    </w:lvl>
    <w:lvl w:ilvl="4" w:tplc="45FE7898">
      <w:numFmt w:val="bullet"/>
      <w:lvlText w:val="•"/>
      <w:lvlJc w:val="left"/>
      <w:pPr>
        <w:ind w:left="4687" w:hanging="461"/>
      </w:pPr>
      <w:rPr>
        <w:rFonts w:hint="default"/>
        <w:lang w:val="en-US" w:eastAsia="en-US" w:bidi="ar-SA"/>
      </w:rPr>
    </w:lvl>
    <w:lvl w:ilvl="5" w:tplc="F3A00206">
      <w:numFmt w:val="bullet"/>
      <w:lvlText w:val="•"/>
      <w:lvlJc w:val="left"/>
      <w:pPr>
        <w:ind w:left="5891" w:hanging="461"/>
      </w:pPr>
      <w:rPr>
        <w:rFonts w:hint="default"/>
        <w:lang w:val="en-US" w:eastAsia="en-US" w:bidi="ar-SA"/>
      </w:rPr>
    </w:lvl>
    <w:lvl w:ilvl="6" w:tplc="197C3220">
      <w:numFmt w:val="bullet"/>
      <w:lvlText w:val="•"/>
      <w:lvlJc w:val="left"/>
      <w:pPr>
        <w:ind w:left="7095" w:hanging="461"/>
      </w:pPr>
      <w:rPr>
        <w:rFonts w:hint="default"/>
        <w:lang w:val="en-US" w:eastAsia="en-US" w:bidi="ar-SA"/>
      </w:rPr>
    </w:lvl>
    <w:lvl w:ilvl="7" w:tplc="3F725298">
      <w:numFmt w:val="bullet"/>
      <w:lvlText w:val="•"/>
      <w:lvlJc w:val="left"/>
      <w:pPr>
        <w:ind w:left="8299" w:hanging="461"/>
      </w:pPr>
      <w:rPr>
        <w:rFonts w:hint="default"/>
        <w:lang w:val="en-US" w:eastAsia="en-US" w:bidi="ar-SA"/>
      </w:rPr>
    </w:lvl>
    <w:lvl w:ilvl="8" w:tplc="105263F8">
      <w:numFmt w:val="bullet"/>
      <w:lvlText w:val="•"/>
      <w:lvlJc w:val="left"/>
      <w:pPr>
        <w:ind w:left="9503" w:hanging="461"/>
      </w:pPr>
      <w:rPr>
        <w:rFonts w:hint="default"/>
        <w:lang w:val="en-US" w:eastAsia="en-US" w:bidi="ar-SA"/>
      </w:rPr>
    </w:lvl>
  </w:abstractNum>
  <w:abstractNum w:abstractNumId="126" w15:restartNumberingAfterBreak="0">
    <w:nsid w:val="439A1BBD"/>
    <w:multiLevelType w:val="hybridMultilevel"/>
    <w:tmpl w:val="B6126EDC"/>
    <w:lvl w:ilvl="0" w:tplc="701A0E96">
      <w:numFmt w:val="bullet"/>
      <w:lvlText w:val="•"/>
      <w:lvlJc w:val="left"/>
      <w:pPr>
        <w:ind w:left="143" w:hanging="108"/>
      </w:pPr>
      <w:rPr>
        <w:rFonts w:ascii="Tahoma" w:eastAsia="Tahoma" w:hAnsi="Tahoma" w:cs="Tahoma" w:hint="default"/>
        <w:b w:val="0"/>
        <w:bCs w:val="0"/>
        <w:i w:val="0"/>
        <w:iCs w:val="0"/>
        <w:spacing w:val="-1"/>
        <w:w w:val="117"/>
        <w:sz w:val="16"/>
        <w:szCs w:val="16"/>
        <w:lang w:val="en-US" w:eastAsia="en-US" w:bidi="ar-SA"/>
      </w:rPr>
    </w:lvl>
    <w:lvl w:ilvl="1" w:tplc="FF282A12">
      <w:numFmt w:val="bullet"/>
      <w:lvlText w:val="•"/>
      <w:lvlJc w:val="left"/>
      <w:pPr>
        <w:ind w:left="901" w:hanging="108"/>
      </w:pPr>
      <w:rPr>
        <w:rFonts w:hint="default"/>
        <w:lang w:val="en-US" w:eastAsia="en-US" w:bidi="ar-SA"/>
      </w:rPr>
    </w:lvl>
    <w:lvl w:ilvl="2" w:tplc="5E986F68">
      <w:numFmt w:val="bullet"/>
      <w:lvlText w:val="•"/>
      <w:lvlJc w:val="left"/>
      <w:pPr>
        <w:ind w:left="1662" w:hanging="108"/>
      </w:pPr>
      <w:rPr>
        <w:rFonts w:hint="default"/>
        <w:lang w:val="en-US" w:eastAsia="en-US" w:bidi="ar-SA"/>
      </w:rPr>
    </w:lvl>
    <w:lvl w:ilvl="3" w:tplc="5AE6B95C">
      <w:numFmt w:val="bullet"/>
      <w:lvlText w:val="•"/>
      <w:lvlJc w:val="left"/>
      <w:pPr>
        <w:ind w:left="2423" w:hanging="108"/>
      </w:pPr>
      <w:rPr>
        <w:rFonts w:hint="default"/>
        <w:lang w:val="en-US" w:eastAsia="en-US" w:bidi="ar-SA"/>
      </w:rPr>
    </w:lvl>
    <w:lvl w:ilvl="4" w:tplc="81261C0C">
      <w:numFmt w:val="bullet"/>
      <w:lvlText w:val="•"/>
      <w:lvlJc w:val="left"/>
      <w:pPr>
        <w:ind w:left="3185" w:hanging="108"/>
      </w:pPr>
      <w:rPr>
        <w:rFonts w:hint="default"/>
        <w:lang w:val="en-US" w:eastAsia="en-US" w:bidi="ar-SA"/>
      </w:rPr>
    </w:lvl>
    <w:lvl w:ilvl="5" w:tplc="4894E3F8">
      <w:numFmt w:val="bullet"/>
      <w:lvlText w:val="•"/>
      <w:lvlJc w:val="left"/>
      <w:pPr>
        <w:ind w:left="3946" w:hanging="108"/>
      </w:pPr>
      <w:rPr>
        <w:rFonts w:hint="default"/>
        <w:lang w:val="en-US" w:eastAsia="en-US" w:bidi="ar-SA"/>
      </w:rPr>
    </w:lvl>
    <w:lvl w:ilvl="6" w:tplc="5422EF74">
      <w:numFmt w:val="bullet"/>
      <w:lvlText w:val="•"/>
      <w:lvlJc w:val="left"/>
      <w:pPr>
        <w:ind w:left="4707" w:hanging="108"/>
      </w:pPr>
      <w:rPr>
        <w:rFonts w:hint="default"/>
        <w:lang w:val="en-US" w:eastAsia="en-US" w:bidi="ar-SA"/>
      </w:rPr>
    </w:lvl>
    <w:lvl w:ilvl="7" w:tplc="E57EA652">
      <w:numFmt w:val="bullet"/>
      <w:lvlText w:val="•"/>
      <w:lvlJc w:val="left"/>
      <w:pPr>
        <w:ind w:left="5469" w:hanging="108"/>
      </w:pPr>
      <w:rPr>
        <w:rFonts w:hint="default"/>
        <w:lang w:val="en-US" w:eastAsia="en-US" w:bidi="ar-SA"/>
      </w:rPr>
    </w:lvl>
    <w:lvl w:ilvl="8" w:tplc="1B747986">
      <w:numFmt w:val="bullet"/>
      <w:lvlText w:val="•"/>
      <w:lvlJc w:val="left"/>
      <w:pPr>
        <w:ind w:left="6230" w:hanging="108"/>
      </w:pPr>
      <w:rPr>
        <w:rFonts w:hint="default"/>
        <w:lang w:val="en-US" w:eastAsia="en-US" w:bidi="ar-SA"/>
      </w:rPr>
    </w:lvl>
  </w:abstractNum>
  <w:abstractNum w:abstractNumId="127" w15:restartNumberingAfterBreak="0">
    <w:nsid w:val="44135321"/>
    <w:multiLevelType w:val="hybridMultilevel"/>
    <w:tmpl w:val="A852D3F2"/>
    <w:lvl w:ilvl="0" w:tplc="67660DD6">
      <w:start w:val="1"/>
      <w:numFmt w:val="lowerLetter"/>
      <w:lvlText w:val="%1)"/>
      <w:lvlJc w:val="left"/>
      <w:pPr>
        <w:ind w:left="1858" w:hanging="48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9362834">
      <w:numFmt w:val="bullet"/>
      <w:lvlText w:val="•"/>
      <w:lvlJc w:val="left"/>
      <w:pPr>
        <w:ind w:left="2822" w:hanging="488"/>
      </w:pPr>
      <w:rPr>
        <w:rFonts w:hint="default"/>
        <w:lang w:val="en-US" w:eastAsia="en-US" w:bidi="ar-SA"/>
      </w:rPr>
    </w:lvl>
    <w:lvl w:ilvl="2" w:tplc="960CCB84">
      <w:numFmt w:val="bullet"/>
      <w:lvlText w:val="•"/>
      <w:lvlJc w:val="left"/>
      <w:pPr>
        <w:ind w:left="3785" w:hanging="488"/>
      </w:pPr>
      <w:rPr>
        <w:rFonts w:hint="default"/>
        <w:lang w:val="en-US" w:eastAsia="en-US" w:bidi="ar-SA"/>
      </w:rPr>
    </w:lvl>
    <w:lvl w:ilvl="3" w:tplc="02F6FF94">
      <w:numFmt w:val="bullet"/>
      <w:lvlText w:val="•"/>
      <w:lvlJc w:val="left"/>
      <w:pPr>
        <w:ind w:left="4748" w:hanging="488"/>
      </w:pPr>
      <w:rPr>
        <w:rFonts w:hint="default"/>
        <w:lang w:val="en-US" w:eastAsia="en-US" w:bidi="ar-SA"/>
      </w:rPr>
    </w:lvl>
    <w:lvl w:ilvl="4" w:tplc="5F6E886A">
      <w:numFmt w:val="bullet"/>
      <w:lvlText w:val="•"/>
      <w:lvlJc w:val="left"/>
      <w:pPr>
        <w:ind w:left="5710" w:hanging="488"/>
      </w:pPr>
      <w:rPr>
        <w:rFonts w:hint="default"/>
        <w:lang w:val="en-US" w:eastAsia="en-US" w:bidi="ar-SA"/>
      </w:rPr>
    </w:lvl>
    <w:lvl w:ilvl="5" w:tplc="F5963E8A">
      <w:numFmt w:val="bullet"/>
      <w:lvlText w:val="•"/>
      <w:lvlJc w:val="left"/>
      <w:pPr>
        <w:ind w:left="6673" w:hanging="488"/>
      </w:pPr>
      <w:rPr>
        <w:rFonts w:hint="default"/>
        <w:lang w:val="en-US" w:eastAsia="en-US" w:bidi="ar-SA"/>
      </w:rPr>
    </w:lvl>
    <w:lvl w:ilvl="6" w:tplc="C94E3B72">
      <w:numFmt w:val="bullet"/>
      <w:lvlText w:val="•"/>
      <w:lvlJc w:val="left"/>
      <w:pPr>
        <w:ind w:left="7636" w:hanging="488"/>
      </w:pPr>
      <w:rPr>
        <w:rFonts w:hint="default"/>
        <w:lang w:val="en-US" w:eastAsia="en-US" w:bidi="ar-SA"/>
      </w:rPr>
    </w:lvl>
    <w:lvl w:ilvl="7" w:tplc="018EFEDE">
      <w:numFmt w:val="bullet"/>
      <w:lvlText w:val="•"/>
      <w:lvlJc w:val="left"/>
      <w:pPr>
        <w:ind w:left="8599" w:hanging="488"/>
      </w:pPr>
      <w:rPr>
        <w:rFonts w:hint="default"/>
        <w:lang w:val="en-US" w:eastAsia="en-US" w:bidi="ar-SA"/>
      </w:rPr>
    </w:lvl>
    <w:lvl w:ilvl="8" w:tplc="4CA48C8A">
      <w:numFmt w:val="bullet"/>
      <w:lvlText w:val="•"/>
      <w:lvlJc w:val="left"/>
      <w:pPr>
        <w:ind w:left="9561" w:hanging="488"/>
      </w:pPr>
      <w:rPr>
        <w:rFonts w:hint="default"/>
        <w:lang w:val="en-US" w:eastAsia="en-US" w:bidi="ar-SA"/>
      </w:rPr>
    </w:lvl>
  </w:abstractNum>
  <w:abstractNum w:abstractNumId="128" w15:restartNumberingAfterBreak="0">
    <w:nsid w:val="4459412E"/>
    <w:multiLevelType w:val="hybridMultilevel"/>
    <w:tmpl w:val="748C965A"/>
    <w:lvl w:ilvl="0" w:tplc="60889AA8">
      <w:start w:val="4"/>
      <w:numFmt w:val="upperLetter"/>
      <w:lvlText w:val="%1."/>
      <w:lvlJc w:val="left"/>
      <w:pPr>
        <w:ind w:left="1171" w:hanging="324"/>
      </w:pPr>
      <w:rPr>
        <w:rFonts w:ascii="Times New Roman" w:eastAsia="Times New Roman" w:hAnsi="Times New Roman" w:cs="Times New Roman" w:hint="default"/>
        <w:b/>
        <w:bCs/>
        <w:i w:val="0"/>
        <w:iCs w:val="0"/>
        <w:color w:val="221F1F"/>
        <w:spacing w:val="0"/>
        <w:w w:val="97"/>
        <w:sz w:val="22"/>
        <w:szCs w:val="22"/>
        <w:lang w:val="en-US" w:eastAsia="en-US" w:bidi="ar-SA"/>
      </w:rPr>
    </w:lvl>
    <w:lvl w:ilvl="1" w:tplc="AABA0C2E">
      <w:numFmt w:val="bullet"/>
      <w:lvlText w:val="•"/>
      <w:lvlJc w:val="left"/>
      <w:pPr>
        <w:ind w:left="2253" w:hanging="324"/>
      </w:pPr>
      <w:rPr>
        <w:rFonts w:hint="default"/>
        <w:lang w:val="en-US" w:eastAsia="en-US" w:bidi="ar-SA"/>
      </w:rPr>
    </w:lvl>
    <w:lvl w:ilvl="2" w:tplc="8DFA19E0">
      <w:numFmt w:val="bullet"/>
      <w:lvlText w:val="•"/>
      <w:lvlJc w:val="left"/>
      <w:pPr>
        <w:ind w:left="3326" w:hanging="324"/>
      </w:pPr>
      <w:rPr>
        <w:rFonts w:hint="default"/>
        <w:lang w:val="en-US" w:eastAsia="en-US" w:bidi="ar-SA"/>
      </w:rPr>
    </w:lvl>
    <w:lvl w:ilvl="3" w:tplc="024C850C">
      <w:numFmt w:val="bullet"/>
      <w:lvlText w:val="•"/>
      <w:lvlJc w:val="left"/>
      <w:pPr>
        <w:ind w:left="4399" w:hanging="324"/>
      </w:pPr>
      <w:rPr>
        <w:rFonts w:hint="default"/>
        <w:lang w:val="en-US" w:eastAsia="en-US" w:bidi="ar-SA"/>
      </w:rPr>
    </w:lvl>
    <w:lvl w:ilvl="4" w:tplc="B9D821BC">
      <w:numFmt w:val="bullet"/>
      <w:lvlText w:val="•"/>
      <w:lvlJc w:val="left"/>
      <w:pPr>
        <w:ind w:left="5472" w:hanging="324"/>
      </w:pPr>
      <w:rPr>
        <w:rFonts w:hint="default"/>
        <w:lang w:val="en-US" w:eastAsia="en-US" w:bidi="ar-SA"/>
      </w:rPr>
    </w:lvl>
    <w:lvl w:ilvl="5" w:tplc="8FC85E8A">
      <w:numFmt w:val="bullet"/>
      <w:lvlText w:val="•"/>
      <w:lvlJc w:val="left"/>
      <w:pPr>
        <w:ind w:left="6545" w:hanging="324"/>
      </w:pPr>
      <w:rPr>
        <w:rFonts w:hint="default"/>
        <w:lang w:val="en-US" w:eastAsia="en-US" w:bidi="ar-SA"/>
      </w:rPr>
    </w:lvl>
    <w:lvl w:ilvl="6" w:tplc="296C73F8">
      <w:numFmt w:val="bullet"/>
      <w:lvlText w:val="•"/>
      <w:lvlJc w:val="left"/>
      <w:pPr>
        <w:ind w:left="7618" w:hanging="324"/>
      </w:pPr>
      <w:rPr>
        <w:rFonts w:hint="default"/>
        <w:lang w:val="en-US" w:eastAsia="en-US" w:bidi="ar-SA"/>
      </w:rPr>
    </w:lvl>
    <w:lvl w:ilvl="7" w:tplc="4DC8513E">
      <w:numFmt w:val="bullet"/>
      <w:lvlText w:val="•"/>
      <w:lvlJc w:val="left"/>
      <w:pPr>
        <w:ind w:left="8691" w:hanging="324"/>
      </w:pPr>
      <w:rPr>
        <w:rFonts w:hint="default"/>
        <w:lang w:val="en-US" w:eastAsia="en-US" w:bidi="ar-SA"/>
      </w:rPr>
    </w:lvl>
    <w:lvl w:ilvl="8" w:tplc="264C9BB4">
      <w:numFmt w:val="bullet"/>
      <w:lvlText w:val="•"/>
      <w:lvlJc w:val="left"/>
      <w:pPr>
        <w:ind w:left="9764" w:hanging="324"/>
      </w:pPr>
      <w:rPr>
        <w:rFonts w:hint="default"/>
        <w:lang w:val="en-US" w:eastAsia="en-US" w:bidi="ar-SA"/>
      </w:rPr>
    </w:lvl>
  </w:abstractNum>
  <w:abstractNum w:abstractNumId="129" w15:restartNumberingAfterBreak="0">
    <w:nsid w:val="44A07A9F"/>
    <w:multiLevelType w:val="hybridMultilevel"/>
    <w:tmpl w:val="06B6D7E2"/>
    <w:lvl w:ilvl="0" w:tplc="7C5AF352">
      <w:start w:val="1"/>
      <w:numFmt w:val="lowerLetter"/>
      <w:lvlText w:val="%1)"/>
      <w:lvlJc w:val="left"/>
      <w:pPr>
        <w:ind w:left="1858"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B78416A">
      <w:numFmt w:val="bullet"/>
      <w:lvlText w:val="•"/>
      <w:lvlJc w:val="left"/>
      <w:pPr>
        <w:ind w:left="2822" w:hanging="495"/>
      </w:pPr>
      <w:rPr>
        <w:rFonts w:hint="default"/>
        <w:lang w:val="en-US" w:eastAsia="en-US" w:bidi="ar-SA"/>
      </w:rPr>
    </w:lvl>
    <w:lvl w:ilvl="2" w:tplc="0E62462A">
      <w:numFmt w:val="bullet"/>
      <w:lvlText w:val="•"/>
      <w:lvlJc w:val="left"/>
      <w:pPr>
        <w:ind w:left="3785" w:hanging="495"/>
      </w:pPr>
      <w:rPr>
        <w:rFonts w:hint="default"/>
        <w:lang w:val="en-US" w:eastAsia="en-US" w:bidi="ar-SA"/>
      </w:rPr>
    </w:lvl>
    <w:lvl w:ilvl="3" w:tplc="1BB41D7A">
      <w:numFmt w:val="bullet"/>
      <w:lvlText w:val="•"/>
      <w:lvlJc w:val="left"/>
      <w:pPr>
        <w:ind w:left="4748" w:hanging="495"/>
      </w:pPr>
      <w:rPr>
        <w:rFonts w:hint="default"/>
        <w:lang w:val="en-US" w:eastAsia="en-US" w:bidi="ar-SA"/>
      </w:rPr>
    </w:lvl>
    <w:lvl w:ilvl="4" w:tplc="5750F5EA">
      <w:numFmt w:val="bullet"/>
      <w:lvlText w:val="•"/>
      <w:lvlJc w:val="left"/>
      <w:pPr>
        <w:ind w:left="5710" w:hanging="495"/>
      </w:pPr>
      <w:rPr>
        <w:rFonts w:hint="default"/>
        <w:lang w:val="en-US" w:eastAsia="en-US" w:bidi="ar-SA"/>
      </w:rPr>
    </w:lvl>
    <w:lvl w:ilvl="5" w:tplc="AD065386">
      <w:numFmt w:val="bullet"/>
      <w:lvlText w:val="•"/>
      <w:lvlJc w:val="left"/>
      <w:pPr>
        <w:ind w:left="6673" w:hanging="495"/>
      </w:pPr>
      <w:rPr>
        <w:rFonts w:hint="default"/>
        <w:lang w:val="en-US" w:eastAsia="en-US" w:bidi="ar-SA"/>
      </w:rPr>
    </w:lvl>
    <w:lvl w:ilvl="6" w:tplc="CCC8B4F2">
      <w:numFmt w:val="bullet"/>
      <w:lvlText w:val="•"/>
      <w:lvlJc w:val="left"/>
      <w:pPr>
        <w:ind w:left="7636" w:hanging="495"/>
      </w:pPr>
      <w:rPr>
        <w:rFonts w:hint="default"/>
        <w:lang w:val="en-US" w:eastAsia="en-US" w:bidi="ar-SA"/>
      </w:rPr>
    </w:lvl>
    <w:lvl w:ilvl="7" w:tplc="27541CD8">
      <w:numFmt w:val="bullet"/>
      <w:lvlText w:val="•"/>
      <w:lvlJc w:val="left"/>
      <w:pPr>
        <w:ind w:left="8599" w:hanging="495"/>
      </w:pPr>
      <w:rPr>
        <w:rFonts w:hint="default"/>
        <w:lang w:val="en-US" w:eastAsia="en-US" w:bidi="ar-SA"/>
      </w:rPr>
    </w:lvl>
    <w:lvl w:ilvl="8" w:tplc="06682D9A">
      <w:numFmt w:val="bullet"/>
      <w:lvlText w:val="•"/>
      <w:lvlJc w:val="left"/>
      <w:pPr>
        <w:ind w:left="9561" w:hanging="495"/>
      </w:pPr>
      <w:rPr>
        <w:rFonts w:hint="default"/>
        <w:lang w:val="en-US" w:eastAsia="en-US" w:bidi="ar-SA"/>
      </w:rPr>
    </w:lvl>
  </w:abstractNum>
  <w:abstractNum w:abstractNumId="130" w15:restartNumberingAfterBreak="0">
    <w:nsid w:val="452B5689"/>
    <w:multiLevelType w:val="hybridMultilevel"/>
    <w:tmpl w:val="28001420"/>
    <w:lvl w:ilvl="0" w:tplc="8D9C179C">
      <w:start w:val="1"/>
      <w:numFmt w:val="lowerLetter"/>
      <w:lvlText w:val="%1)"/>
      <w:lvlJc w:val="left"/>
      <w:pPr>
        <w:ind w:left="1885"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A82F780">
      <w:numFmt w:val="bullet"/>
      <w:lvlText w:val="•"/>
      <w:lvlJc w:val="left"/>
      <w:pPr>
        <w:ind w:left="2840" w:hanging="492"/>
      </w:pPr>
      <w:rPr>
        <w:rFonts w:hint="default"/>
        <w:lang w:val="en-US" w:eastAsia="en-US" w:bidi="ar-SA"/>
      </w:rPr>
    </w:lvl>
    <w:lvl w:ilvl="2" w:tplc="72F8F550">
      <w:numFmt w:val="bullet"/>
      <w:lvlText w:val="•"/>
      <w:lvlJc w:val="left"/>
      <w:pPr>
        <w:ind w:left="3801" w:hanging="492"/>
      </w:pPr>
      <w:rPr>
        <w:rFonts w:hint="default"/>
        <w:lang w:val="en-US" w:eastAsia="en-US" w:bidi="ar-SA"/>
      </w:rPr>
    </w:lvl>
    <w:lvl w:ilvl="3" w:tplc="847E5B7A">
      <w:numFmt w:val="bullet"/>
      <w:lvlText w:val="•"/>
      <w:lvlJc w:val="left"/>
      <w:pPr>
        <w:ind w:left="4762" w:hanging="492"/>
      </w:pPr>
      <w:rPr>
        <w:rFonts w:hint="default"/>
        <w:lang w:val="en-US" w:eastAsia="en-US" w:bidi="ar-SA"/>
      </w:rPr>
    </w:lvl>
    <w:lvl w:ilvl="4" w:tplc="C804F47A">
      <w:numFmt w:val="bullet"/>
      <w:lvlText w:val="•"/>
      <w:lvlJc w:val="left"/>
      <w:pPr>
        <w:ind w:left="5722" w:hanging="492"/>
      </w:pPr>
      <w:rPr>
        <w:rFonts w:hint="default"/>
        <w:lang w:val="en-US" w:eastAsia="en-US" w:bidi="ar-SA"/>
      </w:rPr>
    </w:lvl>
    <w:lvl w:ilvl="5" w:tplc="6C486564">
      <w:numFmt w:val="bullet"/>
      <w:lvlText w:val="•"/>
      <w:lvlJc w:val="left"/>
      <w:pPr>
        <w:ind w:left="6683" w:hanging="492"/>
      </w:pPr>
      <w:rPr>
        <w:rFonts w:hint="default"/>
        <w:lang w:val="en-US" w:eastAsia="en-US" w:bidi="ar-SA"/>
      </w:rPr>
    </w:lvl>
    <w:lvl w:ilvl="6" w:tplc="305C972C">
      <w:numFmt w:val="bullet"/>
      <w:lvlText w:val="•"/>
      <w:lvlJc w:val="left"/>
      <w:pPr>
        <w:ind w:left="7644" w:hanging="492"/>
      </w:pPr>
      <w:rPr>
        <w:rFonts w:hint="default"/>
        <w:lang w:val="en-US" w:eastAsia="en-US" w:bidi="ar-SA"/>
      </w:rPr>
    </w:lvl>
    <w:lvl w:ilvl="7" w:tplc="19DC61B0">
      <w:numFmt w:val="bullet"/>
      <w:lvlText w:val="•"/>
      <w:lvlJc w:val="left"/>
      <w:pPr>
        <w:ind w:left="8605" w:hanging="492"/>
      </w:pPr>
      <w:rPr>
        <w:rFonts w:hint="default"/>
        <w:lang w:val="en-US" w:eastAsia="en-US" w:bidi="ar-SA"/>
      </w:rPr>
    </w:lvl>
    <w:lvl w:ilvl="8" w:tplc="FDA8C898">
      <w:numFmt w:val="bullet"/>
      <w:lvlText w:val="•"/>
      <w:lvlJc w:val="left"/>
      <w:pPr>
        <w:ind w:left="9565" w:hanging="492"/>
      </w:pPr>
      <w:rPr>
        <w:rFonts w:hint="default"/>
        <w:lang w:val="en-US" w:eastAsia="en-US" w:bidi="ar-SA"/>
      </w:rPr>
    </w:lvl>
  </w:abstractNum>
  <w:abstractNum w:abstractNumId="131" w15:restartNumberingAfterBreak="0">
    <w:nsid w:val="47042B8E"/>
    <w:multiLevelType w:val="hybridMultilevel"/>
    <w:tmpl w:val="67E8BF82"/>
    <w:lvl w:ilvl="0" w:tplc="64163E8E">
      <w:start w:val="1"/>
      <w:numFmt w:val="lowerLetter"/>
      <w:lvlText w:val="(%1)"/>
      <w:lvlJc w:val="left"/>
      <w:pPr>
        <w:ind w:left="2151"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CC27F5A">
      <w:numFmt w:val="bullet"/>
      <w:lvlText w:val="•"/>
      <w:lvlJc w:val="left"/>
      <w:pPr>
        <w:ind w:left="3092" w:hanging="500"/>
      </w:pPr>
      <w:rPr>
        <w:rFonts w:hint="default"/>
        <w:lang w:val="en-US" w:eastAsia="en-US" w:bidi="ar-SA"/>
      </w:rPr>
    </w:lvl>
    <w:lvl w:ilvl="2" w:tplc="2E2232B8">
      <w:numFmt w:val="bullet"/>
      <w:lvlText w:val="•"/>
      <w:lvlJc w:val="left"/>
      <w:pPr>
        <w:ind w:left="4025" w:hanging="500"/>
      </w:pPr>
      <w:rPr>
        <w:rFonts w:hint="default"/>
        <w:lang w:val="en-US" w:eastAsia="en-US" w:bidi="ar-SA"/>
      </w:rPr>
    </w:lvl>
    <w:lvl w:ilvl="3" w:tplc="3F2005B4">
      <w:numFmt w:val="bullet"/>
      <w:lvlText w:val="•"/>
      <w:lvlJc w:val="left"/>
      <w:pPr>
        <w:ind w:left="4958" w:hanging="500"/>
      </w:pPr>
      <w:rPr>
        <w:rFonts w:hint="default"/>
        <w:lang w:val="en-US" w:eastAsia="en-US" w:bidi="ar-SA"/>
      </w:rPr>
    </w:lvl>
    <w:lvl w:ilvl="4" w:tplc="357AEEF4">
      <w:numFmt w:val="bullet"/>
      <w:lvlText w:val="•"/>
      <w:lvlJc w:val="left"/>
      <w:pPr>
        <w:ind w:left="5890" w:hanging="500"/>
      </w:pPr>
      <w:rPr>
        <w:rFonts w:hint="default"/>
        <w:lang w:val="en-US" w:eastAsia="en-US" w:bidi="ar-SA"/>
      </w:rPr>
    </w:lvl>
    <w:lvl w:ilvl="5" w:tplc="B6F8E77E">
      <w:numFmt w:val="bullet"/>
      <w:lvlText w:val="•"/>
      <w:lvlJc w:val="left"/>
      <w:pPr>
        <w:ind w:left="6823" w:hanging="500"/>
      </w:pPr>
      <w:rPr>
        <w:rFonts w:hint="default"/>
        <w:lang w:val="en-US" w:eastAsia="en-US" w:bidi="ar-SA"/>
      </w:rPr>
    </w:lvl>
    <w:lvl w:ilvl="6" w:tplc="5CDCC9DE">
      <w:numFmt w:val="bullet"/>
      <w:lvlText w:val="•"/>
      <w:lvlJc w:val="left"/>
      <w:pPr>
        <w:ind w:left="7756" w:hanging="500"/>
      </w:pPr>
      <w:rPr>
        <w:rFonts w:hint="default"/>
        <w:lang w:val="en-US" w:eastAsia="en-US" w:bidi="ar-SA"/>
      </w:rPr>
    </w:lvl>
    <w:lvl w:ilvl="7" w:tplc="D7D22090">
      <w:numFmt w:val="bullet"/>
      <w:lvlText w:val="•"/>
      <w:lvlJc w:val="left"/>
      <w:pPr>
        <w:ind w:left="8689" w:hanging="500"/>
      </w:pPr>
      <w:rPr>
        <w:rFonts w:hint="default"/>
        <w:lang w:val="en-US" w:eastAsia="en-US" w:bidi="ar-SA"/>
      </w:rPr>
    </w:lvl>
    <w:lvl w:ilvl="8" w:tplc="9ADEC278">
      <w:numFmt w:val="bullet"/>
      <w:lvlText w:val="•"/>
      <w:lvlJc w:val="left"/>
      <w:pPr>
        <w:ind w:left="9621" w:hanging="500"/>
      </w:pPr>
      <w:rPr>
        <w:rFonts w:hint="default"/>
        <w:lang w:val="en-US" w:eastAsia="en-US" w:bidi="ar-SA"/>
      </w:rPr>
    </w:lvl>
  </w:abstractNum>
  <w:abstractNum w:abstractNumId="132" w15:restartNumberingAfterBreak="0">
    <w:nsid w:val="47B94B0B"/>
    <w:multiLevelType w:val="hybridMultilevel"/>
    <w:tmpl w:val="664CEB62"/>
    <w:lvl w:ilvl="0" w:tplc="B75E3768">
      <w:start w:val="1"/>
      <w:numFmt w:val="lowerLetter"/>
      <w:lvlText w:val="(%1)"/>
      <w:lvlJc w:val="left"/>
      <w:pPr>
        <w:ind w:left="559" w:hanging="721"/>
      </w:pPr>
      <w:rPr>
        <w:rFonts w:ascii="Times New Roman" w:eastAsia="Times New Roman" w:hAnsi="Times New Roman" w:cs="Times New Roman" w:hint="default"/>
        <w:b w:val="0"/>
        <w:bCs w:val="0"/>
        <w:i w:val="0"/>
        <w:iCs w:val="0"/>
        <w:spacing w:val="-4"/>
        <w:w w:val="100"/>
        <w:sz w:val="24"/>
        <w:szCs w:val="24"/>
        <w:lang w:val="en-US" w:eastAsia="en-US" w:bidi="ar-SA"/>
      </w:rPr>
    </w:lvl>
    <w:lvl w:ilvl="1" w:tplc="DC8695B2">
      <w:numFmt w:val="bullet"/>
      <w:lvlText w:val="•"/>
      <w:lvlJc w:val="left"/>
      <w:pPr>
        <w:ind w:left="1652" w:hanging="721"/>
      </w:pPr>
      <w:rPr>
        <w:rFonts w:hint="default"/>
        <w:lang w:val="en-US" w:eastAsia="en-US" w:bidi="ar-SA"/>
      </w:rPr>
    </w:lvl>
    <w:lvl w:ilvl="2" w:tplc="3176E90C">
      <w:numFmt w:val="bullet"/>
      <w:lvlText w:val="•"/>
      <w:lvlJc w:val="left"/>
      <w:pPr>
        <w:ind w:left="2745" w:hanging="721"/>
      </w:pPr>
      <w:rPr>
        <w:rFonts w:hint="default"/>
        <w:lang w:val="en-US" w:eastAsia="en-US" w:bidi="ar-SA"/>
      </w:rPr>
    </w:lvl>
    <w:lvl w:ilvl="3" w:tplc="2FCC0D60">
      <w:numFmt w:val="bullet"/>
      <w:lvlText w:val="•"/>
      <w:lvlJc w:val="left"/>
      <w:pPr>
        <w:ind w:left="3838" w:hanging="721"/>
      </w:pPr>
      <w:rPr>
        <w:rFonts w:hint="default"/>
        <w:lang w:val="en-US" w:eastAsia="en-US" w:bidi="ar-SA"/>
      </w:rPr>
    </w:lvl>
    <w:lvl w:ilvl="4" w:tplc="831AF6F4">
      <w:numFmt w:val="bullet"/>
      <w:lvlText w:val="•"/>
      <w:lvlJc w:val="left"/>
      <w:pPr>
        <w:ind w:left="4930" w:hanging="721"/>
      </w:pPr>
      <w:rPr>
        <w:rFonts w:hint="default"/>
        <w:lang w:val="en-US" w:eastAsia="en-US" w:bidi="ar-SA"/>
      </w:rPr>
    </w:lvl>
    <w:lvl w:ilvl="5" w:tplc="A296C196">
      <w:numFmt w:val="bullet"/>
      <w:lvlText w:val="•"/>
      <w:lvlJc w:val="left"/>
      <w:pPr>
        <w:ind w:left="6023" w:hanging="721"/>
      </w:pPr>
      <w:rPr>
        <w:rFonts w:hint="default"/>
        <w:lang w:val="en-US" w:eastAsia="en-US" w:bidi="ar-SA"/>
      </w:rPr>
    </w:lvl>
    <w:lvl w:ilvl="6" w:tplc="3A6461EA">
      <w:numFmt w:val="bullet"/>
      <w:lvlText w:val="•"/>
      <w:lvlJc w:val="left"/>
      <w:pPr>
        <w:ind w:left="7116" w:hanging="721"/>
      </w:pPr>
      <w:rPr>
        <w:rFonts w:hint="default"/>
        <w:lang w:val="en-US" w:eastAsia="en-US" w:bidi="ar-SA"/>
      </w:rPr>
    </w:lvl>
    <w:lvl w:ilvl="7" w:tplc="C65EAAB6">
      <w:numFmt w:val="bullet"/>
      <w:lvlText w:val="•"/>
      <w:lvlJc w:val="left"/>
      <w:pPr>
        <w:ind w:left="8209" w:hanging="721"/>
      </w:pPr>
      <w:rPr>
        <w:rFonts w:hint="default"/>
        <w:lang w:val="en-US" w:eastAsia="en-US" w:bidi="ar-SA"/>
      </w:rPr>
    </w:lvl>
    <w:lvl w:ilvl="8" w:tplc="7AF4427A">
      <w:numFmt w:val="bullet"/>
      <w:lvlText w:val="•"/>
      <w:lvlJc w:val="left"/>
      <w:pPr>
        <w:ind w:left="9301" w:hanging="721"/>
      </w:pPr>
      <w:rPr>
        <w:rFonts w:hint="default"/>
        <w:lang w:val="en-US" w:eastAsia="en-US" w:bidi="ar-SA"/>
      </w:rPr>
    </w:lvl>
  </w:abstractNum>
  <w:abstractNum w:abstractNumId="133" w15:restartNumberingAfterBreak="0">
    <w:nsid w:val="48954298"/>
    <w:multiLevelType w:val="hybridMultilevel"/>
    <w:tmpl w:val="FAA66808"/>
    <w:lvl w:ilvl="0" w:tplc="907AFCE8">
      <w:start w:val="1"/>
      <w:numFmt w:val="lowerLetter"/>
      <w:lvlText w:val="%1)"/>
      <w:lvlJc w:val="left"/>
      <w:pPr>
        <w:ind w:left="1868"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21CD042">
      <w:numFmt w:val="bullet"/>
      <w:lvlText w:val="•"/>
      <w:lvlJc w:val="left"/>
      <w:pPr>
        <w:ind w:left="2822" w:hanging="485"/>
      </w:pPr>
      <w:rPr>
        <w:rFonts w:hint="default"/>
        <w:lang w:val="en-US" w:eastAsia="en-US" w:bidi="ar-SA"/>
      </w:rPr>
    </w:lvl>
    <w:lvl w:ilvl="2" w:tplc="0C3E1680">
      <w:numFmt w:val="bullet"/>
      <w:lvlText w:val="•"/>
      <w:lvlJc w:val="left"/>
      <w:pPr>
        <w:ind w:left="3785" w:hanging="485"/>
      </w:pPr>
      <w:rPr>
        <w:rFonts w:hint="default"/>
        <w:lang w:val="en-US" w:eastAsia="en-US" w:bidi="ar-SA"/>
      </w:rPr>
    </w:lvl>
    <w:lvl w:ilvl="3" w:tplc="8392DA16">
      <w:numFmt w:val="bullet"/>
      <w:lvlText w:val="•"/>
      <w:lvlJc w:val="left"/>
      <w:pPr>
        <w:ind w:left="4748" w:hanging="485"/>
      </w:pPr>
      <w:rPr>
        <w:rFonts w:hint="default"/>
        <w:lang w:val="en-US" w:eastAsia="en-US" w:bidi="ar-SA"/>
      </w:rPr>
    </w:lvl>
    <w:lvl w:ilvl="4" w:tplc="FAF8C578">
      <w:numFmt w:val="bullet"/>
      <w:lvlText w:val="•"/>
      <w:lvlJc w:val="left"/>
      <w:pPr>
        <w:ind w:left="5710" w:hanging="485"/>
      </w:pPr>
      <w:rPr>
        <w:rFonts w:hint="default"/>
        <w:lang w:val="en-US" w:eastAsia="en-US" w:bidi="ar-SA"/>
      </w:rPr>
    </w:lvl>
    <w:lvl w:ilvl="5" w:tplc="01A6A9D0">
      <w:numFmt w:val="bullet"/>
      <w:lvlText w:val="•"/>
      <w:lvlJc w:val="left"/>
      <w:pPr>
        <w:ind w:left="6673" w:hanging="485"/>
      </w:pPr>
      <w:rPr>
        <w:rFonts w:hint="default"/>
        <w:lang w:val="en-US" w:eastAsia="en-US" w:bidi="ar-SA"/>
      </w:rPr>
    </w:lvl>
    <w:lvl w:ilvl="6" w:tplc="18A6E65A">
      <w:numFmt w:val="bullet"/>
      <w:lvlText w:val="•"/>
      <w:lvlJc w:val="left"/>
      <w:pPr>
        <w:ind w:left="7636" w:hanging="485"/>
      </w:pPr>
      <w:rPr>
        <w:rFonts w:hint="default"/>
        <w:lang w:val="en-US" w:eastAsia="en-US" w:bidi="ar-SA"/>
      </w:rPr>
    </w:lvl>
    <w:lvl w:ilvl="7" w:tplc="8F5C25EA">
      <w:numFmt w:val="bullet"/>
      <w:lvlText w:val="•"/>
      <w:lvlJc w:val="left"/>
      <w:pPr>
        <w:ind w:left="8599" w:hanging="485"/>
      </w:pPr>
      <w:rPr>
        <w:rFonts w:hint="default"/>
        <w:lang w:val="en-US" w:eastAsia="en-US" w:bidi="ar-SA"/>
      </w:rPr>
    </w:lvl>
    <w:lvl w:ilvl="8" w:tplc="DC6CD3A6">
      <w:numFmt w:val="bullet"/>
      <w:lvlText w:val="•"/>
      <w:lvlJc w:val="left"/>
      <w:pPr>
        <w:ind w:left="9561" w:hanging="485"/>
      </w:pPr>
      <w:rPr>
        <w:rFonts w:hint="default"/>
        <w:lang w:val="en-US" w:eastAsia="en-US" w:bidi="ar-SA"/>
      </w:rPr>
    </w:lvl>
  </w:abstractNum>
  <w:abstractNum w:abstractNumId="134" w15:restartNumberingAfterBreak="0">
    <w:nsid w:val="4AFE44E6"/>
    <w:multiLevelType w:val="hybridMultilevel"/>
    <w:tmpl w:val="E4924DE4"/>
    <w:lvl w:ilvl="0" w:tplc="9834730A">
      <w:start w:val="1"/>
      <w:numFmt w:val="lowerLetter"/>
      <w:lvlText w:val="%1)"/>
      <w:lvlJc w:val="left"/>
      <w:pPr>
        <w:ind w:left="187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800FEF2">
      <w:numFmt w:val="bullet"/>
      <w:lvlText w:val="•"/>
      <w:lvlJc w:val="left"/>
      <w:pPr>
        <w:ind w:left="2840" w:hanging="495"/>
      </w:pPr>
      <w:rPr>
        <w:rFonts w:hint="default"/>
        <w:lang w:val="en-US" w:eastAsia="en-US" w:bidi="ar-SA"/>
      </w:rPr>
    </w:lvl>
    <w:lvl w:ilvl="2" w:tplc="36D2A87C">
      <w:numFmt w:val="bullet"/>
      <w:lvlText w:val="•"/>
      <w:lvlJc w:val="left"/>
      <w:pPr>
        <w:ind w:left="3801" w:hanging="495"/>
      </w:pPr>
      <w:rPr>
        <w:rFonts w:hint="default"/>
        <w:lang w:val="en-US" w:eastAsia="en-US" w:bidi="ar-SA"/>
      </w:rPr>
    </w:lvl>
    <w:lvl w:ilvl="3" w:tplc="12E05CB6">
      <w:numFmt w:val="bullet"/>
      <w:lvlText w:val="•"/>
      <w:lvlJc w:val="left"/>
      <w:pPr>
        <w:ind w:left="4762" w:hanging="495"/>
      </w:pPr>
      <w:rPr>
        <w:rFonts w:hint="default"/>
        <w:lang w:val="en-US" w:eastAsia="en-US" w:bidi="ar-SA"/>
      </w:rPr>
    </w:lvl>
    <w:lvl w:ilvl="4" w:tplc="381AA064">
      <w:numFmt w:val="bullet"/>
      <w:lvlText w:val="•"/>
      <w:lvlJc w:val="left"/>
      <w:pPr>
        <w:ind w:left="5722" w:hanging="495"/>
      </w:pPr>
      <w:rPr>
        <w:rFonts w:hint="default"/>
        <w:lang w:val="en-US" w:eastAsia="en-US" w:bidi="ar-SA"/>
      </w:rPr>
    </w:lvl>
    <w:lvl w:ilvl="5" w:tplc="865CE5A2">
      <w:numFmt w:val="bullet"/>
      <w:lvlText w:val="•"/>
      <w:lvlJc w:val="left"/>
      <w:pPr>
        <w:ind w:left="6683" w:hanging="495"/>
      </w:pPr>
      <w:rPr>
        <w:rFonts w:hint="default"/>
        <w:lang w:val="en-US" w:eastAsia="en-US" w:bidi="ar-SA"/>
      </w:rPr>
    </w:lvl>
    <w:lvl w:ilvl="6" w:tplc="36DE4D42">
      <w:numFmt w:val="bullet"/>
      <w:lvlText w:val="•"/>
      <w:lvlJc w:val="left"/>
      <w:pPr>
        <w:ind w:left="7644" w:hanging="495"/>
      </w:pPr>
      <w:rPr>
        <w:rFonts w:hint="default"/>
        <w:lang w:val="en-US" w:eastAsia="en-US" w:bidi="ar-SA"/>
      </w:rPr>
    </w:lvl>
    <w:lvl w:ilvl="7" w:tplc="721AD6EA">
      <w:numFmt w:val="bullet"/>
      <w:lvlText w:val="•"/>
      <w:lvlJc w:val="left"/>
      <w:pPr>
        <w:ind w:left="8605" w:hanging="495"/>
      </w:pPr>
      <w:rPr>
        <w:rFonts w:hint="default"/>
        <w:lang w:val="en-US" w:eastAsia="en-US" w:bidi="ar-SA"/>
      </w:rPr>
    </w:lvl>
    <w:lvl w:ilvl="8" w:tplc="5B84676A">
      <w:numFmt w:val="bullet"/>
      <w:lvlText w:val="•"/>
      <w:lvlJc w:val="left"/>
      <w:pPr>
        <w:ind w:left="9565" w:hanging="495"/>
      </w:pPr>
      <w:rPr>
        <w:rFonts w:hint="default"/>
        <w:lang w:val="en-US" w:eastAsia="en-US" w:bidi="ar-SA"/>
      </w:rPr>
    </w:lvl>
  </w:abstractNum>
  <w:abstractNum w:abstractNumId="135" w15:restartNumberingAfterBreak="0">
    <w:nsid w:val="4BDF7289"/>
    <w:multiLevelType w:val="multilevel"/>
    <w:tmpl w:val="7C30B176"/>
    <w:lvl w:ilvl="0">
      <w:start w:val="39"/>
      <w:numFmt w:val="decimal"/>
      <w:lvlText w:val="%1"/>
      <w:lvlJc w:val="left"/>
      <w:pPr>
        <w:ind w:left="1404" w:hanging="555"/>
      </w:pPr>
      <w:rPr>
        <w:rFonts w:hint="default"/>
        <w:lang w:val="en-US" w:eastAsia="en-US" w:bidi="ar-SA"/>
      </w:rPr>
    </w:lvl>
    <w:lvl w:ilvl="1">
      <w:numFmt w:val="decimal"/>
      <w:lvlText w:val="%1.%2"/>
      <w:lvlJc w:val="left"/>
      <w:pPr>
        <w:ind w:left="1404" w:hanging="555"/>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02" w:hanging="555"/>
      </w:pPr>
      <w:rPr>
        <w:rFonts w:hint="default"/>
        <w:lang w:val="en-US" w:eastAsia="en-US" w:bidi="ar-SA"/>
      </w:rPr>
    </w:lvl>
    <w:lvl w:ilvl="3">
      <w:numFmt w:val="bullet"/>
      <w:lvlText w:val="•"/>
      <w:lvlJc w:val="left"/>
      <w:pPr>
        <w:ind w:left="4553" w:hanging="555"/>
      </w:pPr>
      <w:rPr>
        <w:rFonts w:hint="default"/>
        <w:lang w:val="en-US" w:eastAsia="en-US" w:bidi="ar-SA"/>
      </w:rPr>
    </w:lvl>
    <w:lvl w:ilvl="4">
      <w:numFmt w:val="bullet"/>
      <w:lvlText w:val="•"/>
      <w:lvlJc w:val="left"/>
      <w:pPr>
        <w:ind w:left="5604" w:hanging="555"/>
      </w:pPr>
      <w:rPr>
        <w:rFonts w:hint="default"/>
        <w:lang w:val="en-US" w:eastAsia="en-US" w:bidi="ar-SA"/>
      </w:rPr>
    </w:lvl>
    <w:lvl w:ilvl="5">
      <w:numFmt w:val="bullet"/>
      <w:lvlText w:val="•"/>
      <w:lvlJc w:val="left"/>
      <w:pPr>
        <w:ind w:left="6655" w:hanging="555"/>
      </w:pPr>
      <w:rPr>
        <w:rFonts w:hint="default"/>
        <w:lang w:val="en-US" w:eastAsia="en-US" w:bidi="ar-SA"/>
      </w:rPr>
    </w:lvl>
    <w:lvl w:ilvl="6">
      <w:numFmt w:val="bullet"/>
      <w:lvlText w:val="•"/>
      <w:lvlJc w:val="left"/>
      <w:pPr>
        <w:ind w:left="7706" w:hanging="555"/>
      </w:pPr>
      <w:rPr>
        <w:rFonts w:hint="default"/>
        <w:lang w:val="en-US" w:eastAsia="en-US" w:bidi="ar-SA"/>
      </w:rPr>
    </w:lvl>
    <w:lvl w:ilvl="7">
      <w:numFmt w:val="bullet"/>
      <w:lvlText w:val="•"/>
      <w:lvlJc w:val="left"/>
      <w:pPr>
        <w:ind w:left="8757" w:hanging="555"/>
      </w:pPr>
      <w:rPr>
        <w:rFonts w:hint="default"/>
        <w:lang w:val="en-US" w:eastAsia="en-US" w:bidi="ar-SA"/>
      </w:rPr>
    </w:lvl>
    <w:lvl w:ilvl="8">
      <w:numFmt w:val="bullet"/>
      <w:lvlText w:val="•"/>
      <w:lvlJc w:val="left"/>
      <w:pPr>
        <w:ind w:left="9808" w:hanging="555"/>
      </w:pPr>
      <w:rPr>
        <w:rFonts w:hint="default"/>
        <w:lang w:val="en-US" w:eastAsia="en-US" w:bidi="ar-SA"/>
      </w:rPr>
    </w:lvl>
  </w:abstractNum>
  <w:abstractNum w:abstractNumId="136" w15:restartNumberingAfterBreak="0">
    <w:nsid w:val="4BFD791F"/>
    <w:multiLevelType w:val="multilevel"/>
    <w:tmpl w:val="85A479EE"/>
    <w:lvl w:ilvl="0">
      <w:start w:val="5"/>
      <w:numFmt w:val="decimal"/>
      <w:lvlText w:val="%1"/>
      <w:lvlJc w:val="left"/>
      <w:pPr>
        <w:ind w:left="1280" w:hanging="721"/>
      </w:pPr>
      <w:rPr>
        <w:rFonts w:hint="default"/>
        <w:lang w:val="en-US" w:eastAsia="en-US" w:bidi="ar-SA"/>
      </w:rPr>
    </w:lvl>
    <w:lvl w:ilvl="1">
      <w:start w:val="4"/>
      <w:numFmt w:val="decimal"/>
      <w:lvlText w:val="%1.%2"/>
      <w:lvlJc w:val="left"/>
      <w:pPr>
        <w:ind w:left="1280" w:hanging="721"/>
      </w:pPr>
      <w:rPr>
        <w:rFonts w:hint="default"/>
        <w:lang w:val="en-US" w:eastAsia="en-US" w:bidi="ar-SA"/>
      </w:rPr>
    </w:lvl>
    <w:lvl w:ilvl="2">
      <w:start w:val="2"/>
      <w:numFmt w:val="decimal"/>
      <w:lvlText w:val="%1.%2.%3"/>
      <w:lvlJc w:val="left"/>
      <w:pPr>
        <w:ind w:left="1280" w:hanging="721"/>
      </w:pPr>
      <w:rPr>
        <w:rFonts w:hint="default"/>
        <w:spacing w:val="-5"/>
        <w:w w:val="100"/>
        <w:lang w:val="en-US" w:eastAsia="en-US" w:bidi="ar-SA"/>
      </w:rPr>
    </w:lvl>
    <w:lvl w:ilvl="3">
      <w:numFmt w:val="bullet"/>
      <w:lvlText w:val="•"/>
      <w:lvlJc w:val="left"/>
      <w:pPr>
        <w:ind w:left="4342" w:hanging="721"/>
      </w:pPr>
      <w:rPr>
        <w:rFonts w:hint="default"/>
        <w:lang w:val="en-US" w:eastAsia="en-US" w:bidi="ar-SA"/>
      </w:rPr>
    </w:lvl>
    <w:lvl w:ilvl="4">
      <w:numFmt w:val="bullet"/>
      <w:lvlText w:val="•"/>
      <w:lvlJc w:val="left"/>
      <w:pPr>
        <w:ind w:left="5362" w:hanging="721"/>
      </w:pPr>
      <w:rPr>
        <w:rFonts w:hint="default"/>
        <w:lang w:val="en-US" w:eastAsia="en-US" w:bidi="ar-SA"/>
      </w:rPr>
    </w:lvl>
    <w:lvl w:ilvl="5">
      <w:numFmt w:val="bullet"/>
      <w:lvlText w:val="•"/>
      <w:lvlJc w:val="left"/>
      <w:pPr>
        <w:ind w:left="6383" w:hanging="721"/>
      </w:pPr>
      <w:rPr>
        <w:rFonts w:hint="default"/>
        <w:lang w:val="en-US" w:eastAsia="en-US" w:bidi="ar-SA"/>
      </w:rPr>
    </w:lvl>
    <w:lvl w:ilvl="6">
      <w:numFmt w:val="bullet"/>
      <w:lvlText w:val="•"/>
      <w:lvlJc w:val="left"/>
      <w:pPr>
        <w:ind w:left="7404" w:hanging="721"/>
      </w:pPr>
      <w:rPr>
        <w:rFonts w:hint="default"/>
        <w:lang w:val="en-US" w:eastAsia="en-US" w:bidi="ar-SA"/>
      </w:rPr>
    </w:lvl>
    <w:lvl w:ilvl="7">
      <w:numFmt w:val="bullet"/>
      <w:lvlText w:val="•"/>
      <w:lvlJc w:val="left"/>
      <w:pPr>
        <w:ind w:left="8425" w:hanging="721"/>
      </w:pPr>
      <w:rPr>
        <w:rFonts w:hint="default"/>
        <w:lang w:val="en-US" w:eastAsia="en-US" w:bidi="ar-SA"/>
      </w:rPr>
    </w:lvl>
    <w:lvl w:ilvl="8">
      <w:numFmt w:val="bullet"/>
      <w:lvlText w:val="•"/>
      <w:lvlJc w:val="left"/>
      <w:pPr>
        <w:ind w:left="9445" w:hanging="721"/>
      </w:pPr>
      <w:rPr>
        <w:rFonts w:hint="default"/>
        <w:lang w:val="en-US" w:eastAsia="en-US" w:bidi="ar-SA"/>
      </w:rPr>
    </w:lvl>
  </w:abstractNum>
  <w:abstractNum w:abstractNumId="137" w15:restartNumberingAfterBreak="0">
    <w:nsid w:val="4C5175D7"/>
    <w:multiLevelType w:val="hybridMultilevel"/>
    <w:tmpl w:val="2FE2714C"/>
    <w:lvl w:ilvl="0" w:tplc="10305644">
      <w:start w:val="1"/>
      <w:numFmt w:val="lowerLetter"/>
      <w:lvlText w:val="%1)"/>
      <w:lvlJc w:val="left"/>
      <w:pPr>
        <w:ind w:left="1947" w:hanging="459"/>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2408964">
      <w:numFmt w:val="bullet"/>
      <w:lvlText w:val="•"/>
      <w:lvlJc w:val="left"/>
      <w:pPr>
        <w:ind w:left="2894" w:hanging="459"/>
      </w:pPr>
      <w:rPr>
        <w:rFonts w:hint="default"/>
        <w:lang w:val="en-US" w:eastAsia="en-US" w:bidi="ar-SA"/>
      </w:rPr>
    </w:lvl>
    <w:lvl w:ilvl="2" w:tplc="2F1EF004">
      <w:numFmt w:val="bullet"/>
      <w:lvlText w:val="•"/>
      <w:lvlJc w:val="left"/>
      <w:pPr>
        <w:ind w:left="3849" w:hanging="459"/>
      </w:pPr>
      <w:rPr>
        <w:rFonts w:hint="default"/>
        <w:lang w:val="en-US" w:eastAsia="en-US" w:bidi="ar-SA"/>
      </w:rPr>
    </w:lvl>
    <w:lvl w:ilvl="3" w:tplc="6E4028F8">
      <w:numFmt w:val="bullet"/>
      <w:lvlText w:val="•"/>
      <w:lvlJc w:val="left"/>
      <w:pPr>
        <w:ind w:left="4804" w:hanging="459"/>
      </w:pPr>
      <w:rPr>
        <w:rFonts w:hint="default"/>
        <w:lang w:val="en-US" w:eastAsia="en-US" w:bidi="ar-SA"/>
      </w:rPr>
    </w:lvl>
    <w:lvl w:ilvl="4" w:tplc="3A9CBB04">
      <w:numFmt w:val="bullet"/>
      <w:lvlText w:val="•"/>
      <w:lvlJc w:val="left"/>
      <w:pPr>
        <w:ind w:left="5758" w:hanging="459"/>
      </w:pPr>
      <w:rPr>
        <w:rFonts w:hint="default"/>
        <w:lang w:val="en-US" w:eastAsia="en-US" w:bidi="ar-SA"/>
      </w:rPr>
    </w:lvl>
    <w:lvl w:ilvl="5" w:tplc="FC24893E">
      <w:numFmt w:val="bullet"/>
      <w:lvlText w:val="•"/>
      <w:lvlJc w:val="left"/>
      <w:pPr>
        <w:ind w:left="6713" w:hanging="459"/>
      </w:pPr>
      <w:rPr>
        <w:rFonts w:hint="default"/>
        <w:lang w:val="en-US" w:eastAsia="en-US" w:bidi="ar-SA"/>
      </w:rPr>
    </w:lvl>
    <w:lvl w:ilvl="6" w:tplc="A658ED28">
      <w:numFmt w:val="bullet"/>
      <w:lvlText w:val="•"/>
      <w:lvlJc w:val="left"/>
      <w:pPr>
        <w:ind w:left="7668" w:hanging="459"/>
      </w:pPr>
      <w:rPr>
        <w:rFonts w:hint="default"/>
        <w:lang w:val="en-US" w:eastAsia="en-US" w:bidi="ar-SA"/>
      </w:rPr>
    </w:lvl>
    <w:lvl w:ilvl="7" w:tplc="9ADA2BBE">
      <w:numFmt w:val="bullet"/>
      <w:lvlText w:val="•"/>
      <w:lvlJc w:val="left"/>
      <w:pPr>
        <w:ind w:left="8623" w:hanging="459"/>
      </w:pPr>
      <w:rPr>
        <w:rFonts w:hint="default"/>
        <w:lang w:val="en-US" w:eastAsia="en-US" w:bidi="ar-SA"/>
      </w:rPr>
    </w:lvl>
    <w:lvl w:ilvl="8" w:tplc="A5402A84">
      <w:numFmt w:val="bullet"/>
      <w:lvlText w:val="•"/>
      <w:lvlJc w:val="left"/>
      <w:pPr>
        <w:ind w:left="9577" w:hanging="459"/>
      </w:pPr>
      <w:rPr>
        <w:rFonts w:hint="default"/>
        <w:lang w:val="en-US" w:eastAsia="en-US" w:bidi="ar-SA"/>
      </w:rPr>
    </w:lvl>
  </w:abstractNum>
  <w:abstractNum w:abstractNumId="138" w15:restartNumberingAfterBreak="0">
    <w:nsid w:val="4D365D7F"/>
    <w:multiLevelType w:val="multilevel"/>
    <w:tmpl w:val="43AC6AAC"/>
    <w:lvl w:ilvl="0">
      <w:start w:val="1"/>
      <w:numFmt w:val="decimal"/>
      <w:lvlText w:val="%1"/>
      <w:lvlJc w:val="left"/>
      <w:pPr>
        <w:ind w:left="1421" w:hanging="570"/>
      </w:pPr>
      <w:rPr>
        <w:rFonts w:hint="default"/>
        <w:lang w:val="en-US" w:eastAsia="en-US" w:bidi="ar-SA"/>
      </w:rPr>
    </w:lvl>
    <w:lvl w:ilvl="1">
      <w:numFmt w:val="decimal"/>
      <w:lvlText w:val="%1.%2"/>
      <w:lvlJc w:val="left"/>
      <w:pPr>
        <w:ind w:left="1421" w:hanging="570"/>
      </w:pPr>
      <w:rPr>
        <w:rFonts w:ascii="Times New Roman" w:eastAsia="Times New Roman" w:hAnsi="Times New Roman" w:cs="Times New Roman" w:hint="default"/>
        <w:b/>
        <w:bCs/>
        <w:i w:val="0"/>
        <w:iCs w:val="0"/>
        <w:color w:val="221F1F"/>
        <w:spacing w:val="-35"/>
        <w:w w:val="97"/>
        <w:sz w:val="22"/>
        <w:szCs w:val="22"/>
        <w:lang w:val="en-US" w:eastAsia="en-US" w:bidi="ar-SA"/>
      </w:rPr>
    </w:lvl>
    <w:lvl w:ilvl="2">
      <w:start w:val="1"/>
      <w:numFmt w:val="lowerLetter"/>
      <w:lvlText w:val="%3)"/>
      <w:lvlJc w:val="left"/>
      <w:pPr>
        <w:ind w:left="1906"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24" w:hanging="485"/>
      </w:pPr>
      <w:rPr>
        <w:rFonts w:hint="default"/>
        <w:lang w:val="en-US" w:eastAsia="en-US" w:bidi="ar-SA"/>
      </w:rPr>
    </w:lvl>
    <w:lvl w:ilvl="4">
      <w:numFmt w:val="bullet"/>
      <w:lvlText w:val="•"/>
      <w:lvlJc w:val="left"/>
      <w:pPr>
        <w:ind w:left="5237" w:hanging="485"/>
      </w:pPr>
      <w:rPr>
        <w:rFonts w:hint="default"/>
        <w:lang w:val="en-US" w:eastAsia="en-US" w:bidi="ar-SA"/>
      </w:rPr>
    </w:lvl>
    <w:lvl w:ilvl="5">
      <w:numFmt w:val="bullet"/>
      <w:lvlText w:val="•"/>
      <w:lvlJc w:val="left"/>
      <w:pPr>
        <w:ind w:left="6349" w:hanging="485"/>
      </w:pPr>
      <w:rPr>
        <w:rFonts w:hint="default"/>
        <w:lang w:val="en-US" w:eastAsia="en-US" w:bidi="ar-SA"/>
      </w:rPr>
    </w:lvl>
    <w:lvl w:ilvl="6">
      <w:numFmt w:val="bullet"/>
      <w:lvlText w:val="•"/>
      <w:lvlJc w:val="left"/>
      <w:pPr>
        <w:ind w:left="7461" w:hanging="485"/>
      </w:pPr>
      <w:rPr>
        <w:rFonts w:hint="default"/>
        <w:lang w:val="en-US" w:eastAsia="en-US" w:bidi="ar-SA"/>
      </w:rPr>
    </w:lvl>
    <w:lvl w:ilvl="7">
      <w:numFmt w:val="bullet"/>
      <w:lvlText w:val="•"/>
      <w:lvlJc w:val="left"/>
      <w:pPr>
        <w:ind w:left="8574" w:hanging="485"/>
      </w:pPr>
      <w:rPr>
        <w:rFonts w:hint="default"/>
        <w:lang w:val="en-US" w:eastAsia="en-US" w:bidi="ar-SA"/>
      </w:rPr>
    </w:lvl>
    <w:lvl w:ilvl="8">
      <w:numFmt w:val="bullet"/>
      <w:lvlText w:val="•"/>
      <w:lvlJc w:val="left"/>
      <w:pPr>
        <w:ind w:left="9686" w:hanging="485"/>
      </w:pPr>
      <w:rPr>
        <w:rFonts w:hint="default"/>
        <w:lang w:val="en-US" w:eastAsia="en-US" w:bidi="ar-SA"/>
      </w:rPr>
    </w:lvl>
  </w:abstractNum>
  <w:abstractNum w:abstractNumId="139" w15:restartNumberingAfterBreak="0">
    <w:nsid w:val="4D592306"/>
    <w:multiLevelType w:val="hybridMultilevel"/>
    <w:tmpl w:val="C8564410"/>
    <w:lvl w:ilvl="0" w:tplc="6714C5CE">
      <w:start w:val="1"/>
      <w:numFmt w:val="lowerRoman"/>
      <w:lvlText w:val="(%1)"/>
      <w:lvlJc w:val="left"/>
      <w:pPr>
        <w:ind w:left="371" w:hanging="264"/>
      </w:pPr>
      <w:rPr>
        <w:rFonts w:ascii="Times New Roman" w:eastAsia="Times New Roman" w:hAnsi="Times New Roman" w:cs="Times New Roman" w:hint="default"/>
        <w:b w:val="0"/>
        <w:bCs w:val="0"/>
        <w:i w:val="0"/>
        <w:iCs w:val="0"/>
        <w:spacing w:val="0"/>
        <w:w w:val="100"/>
        <w:sz w:val="22"/>
        <w:szCs w:val="22"/>
        <w:lang w:val="en-US" w:eastAsia="en-US" w:bidi="ar-SA"/>
      </w:rPr>
    </w:lvl>
    <w:lvl w:ilvl="1" w:tplc="1E586D6A">
      <w:numFmt w:val="bullet"/>
      <w:lvlText w:val="•"/>
      <w:lvlJc w:val="left"/>
      <w:pPr>
        <w:ind w:left="1228" w:hanging="264"/>
      </w:pPr>
      <w:rPr>
        <w:rFonts w:hint="default"/>
        <w:lang w:val="en-US" w:eastAsia="en-US" w:bidi="ar-SA"/>
      </w:rPr>
    </w:lvl>
    <w:lvl w:ilvl="2" w:tplc="FA52D2B2">
      <w:numFmt w:val="bullet"/>
      <w:lvlText w:val="•"/>
      <w:lvlJc w:val="left"/>
      <w:pPr>
        <w:ind w:left="2077" w:hanging="264"/>
      </w:pPr>
      <w:rPr>
        <w:rFonts w:hint="default"/>
        <w:lang w:val="en-US" w:eastAsia="en-US" w:bidi="ar-SA"/>
      </w:rPr>
    </w:lvl>
    <w:lvl w:ilvl="3" w:tplc="B328906A">
      <w:numFmt w:val="bullet"/>
      <w:lvlText w:val="•"/>
      <w:lvlJc w:val="left"/>
      <w:pPr>
        <w:ind w:left="2926" w:hanging="264"/>
      </w:pPr>
      <w:rPr>
        <w:rFonts w:hint="default"/>
        <w:lang w:val="en-US" w:eastAsia="en-US" w:bidi="ar-SA"/>
      </w:rPr>
    </w:lvl>
    <w:lvl w:ilvl="4" w:tplc="994206B6">
      <w:numFmt w:val="bullet"/>
      <w:lvlText w:val="•"/>
      <w:lvlJc w:val="left"/>
      <w:pPr>
        <w:ind w:left="3775" w:hanging="264"/>
      </w:pPr>
      <w:rPr>
        <w:rFonts w:hint="default"/>
        <w:lang w:val="en-US" w:eastAsia="en-US" w:bidi="ar-SA"/>
      </w:rPr>
    </w:lvl>
    <w:lvl w:ilvl="5" w:tplc="B352C3C4">
      <w:numFmt w:val="bullet"/>
      <w:lvlText w:val="•"/>
      <w:lvlJc w:val="left"/>
      <w:pPr>
        <w:ind w:left="4624" w:hanging="264"/>
      </w:pPr>
      <w:rPr>
        <w:rFonts w:hint="default"/>
        <w:lang w:val="en-US" w:eastAsia="en-US" w:bidi="ar-SA"/>
      </w:rPr>
    </w:lvl>
    <w:lvl w:ilvl="6" w:tplc="DC36C11C">
      <w:numFmt w:val="bullet"/>
      <w:lvlText w:val="•"/>
      <w:lvlJc w:val="left"/>
      <w:pPr>
        <w:ind w:left="5472" w:hanging="264"/>
      </w:pPr>
      <w:rPr>
        <w:rFonts w:hint="default"/>
        <w:lang w:val="en-US" w:eastAsia="en-US" w:bidi="ar-SA"/>
      </w:rPr>
    </w:lvl>
    <w:lvl w:ilvl="7" w:tplc="DE46CB98">
      <w:numFmt w:val="bullet"/>
      <w:lvlText w:val="•"/>
      <w:lvlJc w:val="left"/>
      <w:pPr>
        <w:ind w:left="6321" w:hanging="264"/>
      </w:pPr>
      <w:rPr>
        <w:rFonts w:hint="default"/>
        <w:lang w:val="en-US" w:eastAsia="en-US" w:bidi="ar-SA"/>
      </w:rPr>
    </w:lvl>
    <w:lvl w:ilvl="8" w:tplc="09AC6564">
      <w:numFmt w:val="bullet"/>
      <w:lvlText w:val="•"/>
      <w:lvlJc w:val="left"/>
      <w:pPr>
        <w:ind w:left="7170" w:hanging="264"/>
      </w:pPr>
      <w:rPr>
        <w:rFonts w:hint="default"/>
        <w:lang w:val="en-US" w:eastAsia="en-US" w:bidi="ar-SA"/>
      </w:rPr>
    </w:lvl>
  </w:abstractNum>
  <w:abstractNum w:abstractNumId="140" w15:restartNumberingAfterBreak="0">
    <w:nsid w:val="4D62008F"/>
    <w:multiLevelType w:val="multilevel"/>
    <w:tmpl w:val="CE66DB7E"/>
    <w:lvl w:ilvl="0">
      <w:start w:val="3"/>
      <w:numFmt w:val="decimal"/>
      <w:lvlText w:val="%1"/>
      <w:lvlJc w:val="left"/>
      <w:pPr>
        <w:ind w:left="1381" w:hanging="668"/>
      </w:pPr>
      <w:rPr>
        <w:rFonts w:hint="default"/>
        <w:lang w:val="en-US" w:eastAsia="en-US" w:bidi="ar-SA"/>
      </w:rPr>
    </w:lvl>
    <w:lvl w:ilvl="1">
      <w:start w:val="5"/>
      <w:numFmt w:val="decimal"/>
      <w:lvlText w:val="%1.%2"/>
      <w:lvlJc w:val="left"/>
      <w:pPr>
        <w:ind w:left="1381" w:hanging="668"/>
      </w:pPr>
      <w:rPr>
        <w:rFonts w:hint="default"/>
        <w:lang w:val="en-US" w:eastAsia="en-US" w:bidi="ar-SA"/>
      </w:rPr>
    </w:lvl>
    <w:lvl w:ilvl="2">
      <w:start w:val="1"/>
      <w:numFmt w:val="decimal"/>
      <w:lvlText w:val="%1.%2.%3"/>
      <w:lvlJc w:val="left"/>
      <w:pPr>
        <w:ind w:left="1381" w:hanging="66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412" w:hanging="668"/>
      </w:pPr>
      <w:rPr>
        <w:rFonts w:hint="default"/>
        <w:lang w:val="en-US" w:eastAsia="en-US" w:bidi="ar-SA"/>
      </w:rPr>
    </w:lvl>
    <w:lvl w:ilvl="4">
      <w:numFmt w:val="bullet"/>
      <w:lvlText w:val="•"/>
      <w:lvlJc w:val="left"/>
      <w:pPr>
        <w:ind w:left="5422" w:hanging="668"/>
      </w:pPr>
      <w:rPr>
        <w:rFonts w:hint="default"/>
        <w:lang w:val="en-US" w:eastAsia="en-US" w:bidi="ar-SA"/>
      </w:rPr>
    </w:lvl>
    <w:lvl w:ilvl="5">
      <w:numFmt w:val="bullet"/>
      <w:lvlText w:val="•"/>
      <w:lvlJc w:val="left"/>
      <w:pPr>
        <w:ind w:left="6433" w:hanging="668"/>
      </w:pPr>
      <w:rPr>
        <w:rFonts w:hint="default"/>
        <w:lang w:val="en-US" w:eastAsia="en-US" w:bidi="ar-SA"/>
      </w:rPr>
    </w:lvl>
    <w:lvl w:ilvl="6">
      <w:numFmt w:val="bullet"/>
      <w:lvlText w:val="•"/>
      <w:lvlJc w:val="left"/>
      <w:pPr>
        <w:ind w:left="7444" w:hanging="668"/>
      </w:pPr>
      <w:rPr>
        <w:rFonts w:hint="default"/>
        <w:lang w:val="en-US" w:eastAsia="en-US" w:bidi="ar-SA"/>
      </w:rPr>
    </w:lvl>
    <w:lvl w:ilvl="7">
      <w:numFmt w:val="bullet"/>
      <w:lvlText w:val="•"/>
      <w:lvlJc w:val="left"/>
      <w:pPr>
        <w:ind w:left="8455" w:hanging="668"/>
      </w:pPr>
      <w:rPr>
        <w:rFonts w:hint="default"/>
        <w:lang w:val="en-US" w:eastAsia="en-US" w:bidi="ar-SA"/>
      </w:rPr>
    </w:lvl>
    <w:lvl w:ilvl="8">
      <w:numFmt w:val="bullet"/>
      <w:lvlText w:val="•"/>
      <w:lvlJc w:val="left"/>
      <w:pPr>
        <w:ind w:left="9465" w:hanging="668"/>
      </w:pPr>
      <w:rPr>
        <w:rFonts w:hint="default"/>
        <w:lang w:val="en-US" w:eastAsia="en-US" w:bidi="ar-SA"/>
      </w:rPr>
    </w:lvl>
  </w:abstractNum>
  <w:abstractNum w:abstractNumId="141" w15:restartNumberingAfterBreak="0">
    <w:nsid w:val="4D84105C"/>
    <w:multiLevelType w:val="hybridMultilevel"/>
    <w:tmpl w:val="9072E262"/>
    <w:lvl w:ilvl="0" w:tplc="86D2881A">
      <w:start w:val="1"/>
      <w:numFmt w:val="decimal"/>
      <w:lvlText w:val="%1."/>
      <w:lvlJc w:val="left"/>
      <w:pPr>
        <w:ind w:left="245" w:hanging="183"/>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B6A45C42">
      <w:numFmt w:val="bullet"/>
      <w:lvlText w:val="•"/>
      <w:lvlJc w:val="left"/>
      <w:pPr>
        <w:ind w:left="419" w:hanging="183"/>
      </w:pPr>
      <w:rPr>
        <w:rFonts w:hint="default"/>
        <w:lang w:val="en-US" w:eastAsia="en-US" w:bidi="ar-SA"/>
      </w:rPr>
    </w:lvl>
    <w:lvl w:ilvl="2" w:tplc="B4907C48">
      <w:numFmt w:val="bullet"/>
      <w:lvlText w:val="•"/>
      <w:lvlJc w:val="left"/>
      <w:pPr>
        <w:ind w:left="599" w:hanging="183"/>
      </w:pPr>
      <w:rPr>
        <w:rFonts w:hint="default"/>
        <w:lang w:val="en-US" w:eastAsia="en-US" w:bidi="ar-SA"/>
      </w:rPr>
    </w:lvl>
    <w:lvl w:ilvl="3" w:tplc="37869D8E">
      <w:numFmt w:val="bullet"/>
      <w:lvlText w:val="•"/>
      <w:lvlJc w:val="left"/>
      <w:pPr>
        <w:ind w:left="778" w:hanging="183"/>
      </w:pPr>
      <w:rPr>
        <w:rFonts w:hint="default"/>
        <w:lang w:val="en-US" w:eastAsia="en-US" w:bidi="ar-SA"/>
      </w:rPr>
    </w:lvl>
    <w:lvl w:ilvl="4" w:tplc="E2D6C064">
      <w:numFmt w:val="bullet"/>
      <w:lvlText w:val="•"/>
      <w:lvlJc w:val="left"/>
      <w:pPr>
        <w:ind w:left="958" w:hanging="183"/>
      </w:pPr>
      <w:rPr>
        <w:rFonts w:hint="default"/>
        <w:lang w:val="en-US" w:eastAsia="en-US" w:bidi="ar-SA"/>
      </w:rPr>
    </w:lvl>
    <w:lvl w:ilvl="5" w:tplc="520856D8">
      <w:numFmt w:val="bullet"/>
      <w:lvlText w:val="•"/>
      <w:lvlJc w:val="left"/>
      <w:pPr>
        <w:ind w:left="1138" w:hanging="183"/>
      </w:pPr>
      <w:rPr>
        <w:rFonts w:hint="default"/>
        <w:lang w:val="en-US" w:eastAsia="en-US" w:bidi="ar-SA"/>
      </w:rPr>
    </w:lvl>
    <w:lvl w:ilvl="6" w:tplc="36745120">
      <w:numFmt w:val="bullet"/>
      <w:lvlText w:val="•"/>
      <w:lvlJc w:val="left"/>
      <w:pPr>
        <w:ind w:left="1317" w:hanging="183"/>
      </w:pPr>
      <w:rPr>
        <w:rFonts w:hint="default"/>
        <w:lang w:val="en-US" w:eastAsia="en-US" w:bidi="ar-SA"/>
      </w:rPr>
    </w:lvl>
    <w:lvl w:ilvl="7" w:tplc="8E06E2E8">
      <w:numFmt w:val="bullet"/>
      <w:lvlText w:val="•"/>
      <w:lvlJc w:val="left"/>
      <w:pPr>
        <w:ind w:left="1497" w:hanging="183"/>
      </w:pPr>
      <w:rPr>
        <w:rFonts w:hint="default"/>
        <w:lang w:val="en-US" w:eastAsia="en-US" w:bidi="ar-SA"/>
      </w:rPr>
    </w:lvl>
    <w:lvl w:ilvl="8" w:tplc="6F0A370A">
      <w:numFmt w:val="bullet"/>
      <w:lvlText w:val="•"/>
      <w:lvlJc w:val="left"/>
      <w:pPr>
        <w:ind w:left="1676" w:hanging="183"/>
      </w:pPr>
      <w:rPr>
        <w:rFonts w:hint="default"/>
        <w:lang w:val="en-US" w:eastAsia="en-US" w:bidi="ar-SA"/>
      </w:rPr>
    </w:lvl>
  </w:abstractNum>
  <w:abstractNum w:abstractNumId="142" w15:restartNumberingAfterBreak="0">
    <w:nsid w:val="4DAA2714"/>
    <w:multiLevelType w:val="hybridMultilevel"/>
    <w:tmpl w:val="ED1E4592"/>
    <w:lvl w:ilvl="0" w:tplc="63AC5692">
      <w:start w:val="1"/>
      <w:numFmt w:val="lowerRoman"/>
      <w:lvlText w:val="%1)"/>
      <w:lvlJc w:val="left"/>
      <w:pPr>
        <w:ind w:left="1748" w:hanging="550"/>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2A66C9E">
      <w:numFmt w:val="bullet"/>
      <w:lvlText w:val="•"/>
      <w:lvlJc w:val="left"/>
      <w:pPr>
        <w:ind w:left="2714" w:hanging="550"/>
      </w:pPr>
      <w:rPr>
        <w:rFonts w:hint="default"/>
        <w:lang w:val="en-US" w:eastAsia="en-US" w:bidi="ar-SA"/>
      </w:rPr>
    </w:lvl>
    <w:lvl w:ilvl="2" w:tplc="89ECA646">
      <w:numFmt w:val="bullet"/>
      <w:lvlText w:val="•"/>
      <w:lvlJc w:val="left"/>
      <w:pPr>
        <w:ind w:left="3689" w:hanging="550"/>
      </w:pPr>
      <w:rPr>
        <w:rFonts w:hint="default"/>
        <w:lang w:val="en-US" w:eastAsia="en-US" w:bidi="ar-SA"/>
      </w:rPr>
    </w:lvl>
    <w:lvl w:ilvl="3" w:tplc="6A105CE0">
      <w:numFmt w:val="bullet"/>
      <w:lvlText w:val="•"/>
      <w:lvlJc w:val="left"/>
      <w:pPr>
        <w:ind w:left="4664" w:hanging="550"/>
      </w:pPr>
      <w:rPr>
        <w:rFonts w:hint="default"/>
        <w:lang w:val="en-US" w:eastAsia="en-US" w:bidi="ar-SA"/>
      </w:rPr>
    </w:lvl>
    <w:lvl w:ilvl="4" w:tplc="8A18502E">
      <w:numFmt w:val="bullet"/>
      <w:lvlText w:val="•"/>
      <w:lvlJc w:val="left"/>
      <w:pPr>
        <w:ind w:left="5638" w:hanging="550"/>
      </w:pPr>
      <w:rPr>
        <w:rFonts w:hint="default"/>
        <w:lang w:val="en-US" w:eastAsia="en-US" w:bidi="ar-SA"/>
      </w:rPr>
    </w:lvl>
    <w:lvl w:ilvl="5" w:tplc="6C9AC046">
      <w:numFmt w:val="bullet"/>
      <w:lvlText w:val="•"/>
      <w:lvlJc w:val="left"/>
      <w:pPr>
        <w:ind w:left="6613" w:hanging="550"/>
      </w:pPr>
      <w:rPr>
        <w:rFonts w:hint="default"/>
        <w:lang w:val="en-US" w:eastAsia="en-US" w:bidi="ar-SA"/>
      </w:rPr>
    </w:lvl>
    <w:lvl w:ilvl="6" w:tplc="BC22E80C">
      <w:numFmt w:val="bullet"/>
      <w:lvlText w:val="•"/>
      <w:lvlJc w:val="left"/>
      <w:pPr>
        <w:ind w:left="7588" w:hanging="550"/>
      </w:pPr>
      <w:rPr>
        <w:rFonts w:hint="default"/>
        <w:lang w:val="en-US" w:eastAsia="en-US" w:bidi="ar-SA"/>
      </w:rPr>
    </w:lvl>
    <w:lvl w:ilvl="7" w:tplc="A5F67EC0">
      <w:numFmt w:val="bullet"/>
      <w:lvlText w:val="•"/>
      <w:lvlJc w:val="left"/>
      <w:pPr>
        <w:ind w:left="8563" w:hanging="550"/>
      </w:pPr>
      <w:rPr>
        <w:rFonts w:hint="default"/>
        <w:lang w:val="en-US" w:eastAsia="en-US" w:bidi="ar-SA"/>
      </w:rPr>
    </w:lvl>
    <w:lvl w:ilvl="8" w:tplc="FBC8C006">
      <w:numFmt w:val="bullet"/>
      <w:lvlText w:val="•"/>
      <w:lvlJc w:val="left"/>
      <w:pPr>
        <w:ind w:left="9537" w:hanging="550"/>
      </w:pPr>
      <w:rPr>
        <w:rFonts w:hint="default"/>
        <w:lang w:val="en-US" w:eastAsia="en-US" w:bidi="ar-SA"/>
      </w:rPr>
    </w:lvl>
  </w:abstractNum>
  <w:abstractNum w:abstractNumId="143" w15:restartNumberingAfterBreak="0">
    <w:nsid w:val="4E0855EE"/>
    <w:multiLevelType w:val="hybridMultilevel"/>
    <w:tmpl w:val="BC5EE120"/>
    <w:lvl w:ilvl="0" w:tplc="1BCCCBBE">
      <w:start w:val="1"/>
      <w:numFmt w:val="lowerLetter"/>
      <w:lvlText w:val="%1)"/>
      <w:lvlJc w:val="left"/>
      <w:pPr>
        <w:ind w:left="1870" w:hanging="39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306FDF4">
      <w:numFmt w:val="bullet"/>
      <w:lvlText w:val="•"/>
      <w:lvlJc w:val="left"/>
      <w:pPr>
        <w:ind w:left="2840" w:hanging="396"/>
      </w:pPr>
      <w:rPr>
        <w:rFonts w:hint="default"/>
        <w:lang w:val="en-US" w:eastAsia="en-US" w:bidi="ar-SA"/>
      </w:rPr>
    </w:lvl>
    <w:lvl w:ilvl="2" w:tplc="378C578A">
      <w:numFmt w:val="bullet"/>
      <w:lvlText w:val="•"/>
      <w:lvlJc w:val="left"/>
      <w:pPr>
        <w:ind w:left="3801" w:hanging="396"/>
      </w:pPr>
      <w:rPr>
        <w:rFonts w:hint="default"/>
        <w:lang w:val="en-US" w:eastAsia="en-US" w:bidi="ar-SA"/>
      </w:rPr>
    </w:lvl>
    <w:lvl w:ilvl="3" w:tplc="C4C08BB0">
      <w:numFmt w:val="bullet"/>
      <w:lvlText w:val="•"/>
      <w:lvlJc w:val="left"/>
      <w:pPr>
        <w:ind w:left="4762" w:hanging="396"/>
      </w:pPr>
      <w:rPr>
        <w:rFonts w:hint="default"/>
        <w:lang w:val="en-US" w:eastAsia="en-US" w:bidi="ar-SA"/>
      </w:rPr>
    </w:lvl>
    <w:lvl w:ilvl="4" w:tplc="62F2769E">
      <w:numFmt w:val="bullet"/>
      <w:lvlText w:val="•"/>
      <w:lvlJc w:val="left"/>
      <w:pPr>
        <w:ind w:left="5722" w:hanging="396"/>
      </w:pPr>
      <w:rPr>
        <w:rFonts w:hint="default"/>
        <w:lang w:val="en-US" w:eastAsia="en-US" w:bidi="ar-SA"/>
      </w:rPr>
    </w:lvl>
    <w:lvl w:ilvl="5" w:tplc="061E0BD8">
      <w:numFmt w:val="bullet"/>
      <w:lvlText w:val="•"/>
      <w:lvlJc w:val="left"/>
      <w:pPr>
        <w:ind w:left="6683" w:hanging="396"/>
      </w:pPr>
      <w:rPr>
        <w:rFonts w:hint="default"/>
        <w:lang w:val="en-US" w:eastAsia="en-US" w:bidi="ar-SA"/>
      </w:rPr>
    </w:lvl>
    <w:lvl w:ilvl="6" w:tplc="9F3E8494">
      <w:numFmt w:val="bullet"/>
      <w:lvlText w:val="•"/>
      <w:lvlJc w:val="left"/>
      <w:pPr>
        <w:ind w:left="7644" w:hanging="396"/>
      </w:pPr>
      <w:rPr>
        <w:rFonts w:hint="default"/>
        <w:lang w:val="en-US" w:eastAsia="en-US" w:bidi="ar-SA"/>
      </w:rPr>
    </w:lvl>
    <w:lvl w:ilvl="7" w:tplc="B62EB224">
      <w:numFmt w:val="bullet"/>
      <w:lvlText w:val="•"/>
      <w:lvlJc w:val="left"/>
      <w:pPr>
        <w:ind w:left="8605" w:hanging="396"/>
      </w:pPr>
      <w:rPr>
        <w:rFonts w:hint="default"/>
        <w:lang w:val="en-US" w:eastAsia="en-US" w:bidi="ar-SA"/>
      </w:rPr>
    </w:lvl>
    <w:lvl w:ilvl="8" w:tplc="C5225E32">
      <w:numFmt w:val="bullet"/>
      <w:lvlText w:val="•"/>
      <w:lvlJc w:val="left"/>
      <w:pPr>
        <w:ind w:left="9565" w:hanging="396"/>
      </w:pPr>
      <w:rPr>
        <w:rFonts w:hint="default"/>
        <w:lang w:val="en-US" w:eastAsia="en-US" w:bidi="ar-SA"/>
      </w:rPr>
    </w:lvl>
  </w:abstractNum>
  <w:abstractNum w:abstractNumId="144" w15:restartNumberingAfterBreak="0">
    <w:nsid w:val="4E44400D"/>
    <w:multiLevelType w:val="multilevel"/>
    <w:tmpl w:val="291EA8D8"/>
    <w:lvl w:ilvl="0">
      <w:start w:val="1"/>
      <w:numFmt w:val="decimal"/>
      <w:lvlText w:val="%1."/>
      <w:lvlJc w:val="left"/>
      <w:pPr>
        <w:ind w:left="1237" w:hanging="524"/>
      </w:pPr>
      <w:rPr>
        <w:rFonts w:hint="default"/>
        <w:spacing w:val="0"/>
        <w:w w:val="100"/>
        <w:lang w:val="en-US" w:eastAsia="en-US" w:bidi="ar-SA"/>
      </w:rPr>
    </w:lvl>
    <w:lvl w:ilvl="1">
      <w:start w:val="1"/>
      <w:numFmt w:val="decimal"/>
      <w:lvlText w:val="%1.%2"/>
      <w:lvlJc w:val="left"/>
      <w:pPr>
        <w:ind w:left="1237" w:hanging="524"/>
      </w:pPr>
      <w:rPr>
        <w:rFonts w:ascii="Times New Roman" w:eastAsia="Times New Roman" w:hAnsi="Times New Roman" w:cs="Times New Roman" w:hint="default"/>
        <w:b w:val="0"/>
        <w:bCs w:val="0"/>
        <w:i w:val="0"/>
        <w:iCs w:val="0"/>
        <w:color w:val="221F1F"/>
        <w:spacing w:val="-26"/>
        <w:w w:val="97"/>
        <w:sz w:val="22"/>
        <w:szCs w:val="22"/>
        <w:lang w:val="en-US" w:eastAsia="en-US" w:bidi="ar-SA"/>
      </w:rPr>
    </w:lvl>
    <w:lvl w:ilvl="2">
      <w:start w:val="1"/>
      <w:numFmt w:val="decimal"/>
      <w:lvlText w:val="%3)"/>
      <w:lvlJc w:val="left"/>
      <w:pPr>
        <w:ind w:left="1702" w:hanging="459"/>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3">
      <w:start w:val="1"/>
      <w:numFmt w:val="lowerLetter"/>
      <w:lvlText w:val="%4)"/>
      <w:lvlJc w:val="left"/>
      <w:pPr>
        <w:ind w:left="2151" w:hanging="45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numFmt w:val="bullet"/>
      <w:lvlText w:val="•"/>
      <w:lvlJc w:val="left"/>
      <w:pPr>
        <w:ind w:left="2160" w:hanging="456"/>
      </w:pPr>
      <w:rPr>
        <w:rFonts w:hint="default"/>
        <w:lang w:val="en-US" w:eastAsia="en-US" w:bidi="ar-SA"/>
      </w:rPr>
    </w:lvl>
    <w:lvl w:ilvl="5">
      <w:numFmt w:val="bullet"/>
      <w:lvlText w:val="•"/>
      <w:lvlJc w:val="left"/>
      <w:pPr>
        <w:ind w:left="3714" w:hanging="456"/>
      </w:pPr>
      <w:rPr>
        <w:rFonts w:hint="default"/>
        <w:lang w:val="en-US" w:eastAsia="en-US" w:bidi="ar-SA"/>
      </w:rPr>
    </w:lvl>
    <w:lvl w:ilvl="6">
      <w:numFmt w:val="bullet"/>
      <w:lvlText w:val="•"/>
      <w:lvlJc w:val="left"/>
      <w:pPr>
        <w:ind w:left="5269" w:hanging="456"/>
      </w:pPr>
      <w:rPr>
        <w:rFonts w:hint="default"/>
        <w:lang w:val="en-US" w:eastAsia="en-US" w:bidi="ar-SA"/>
      </w:rPr>
    </w:lvl>
    <w:lvl w:ilvl="7">
      <w:numFmt w:val="bullet"/>
      <w:lvlText w:val="•"/>
      <w:lvlJc w:val="left"/>
      <w:pPr>
        <w:ind w:left="6823" w:hanging="456"/>
      </w:pPr>
      <w:rPr>
        <w:rFonts w:hint="default"/>
        <w:lang w:val="en-US" w:eastAsia="en-US" w:bidi="ar-SA"/>
      </w:rPr>
    </w:lvl>
    <w:lvl w:ilvl="8">
      <w:numFmt w:val="bullet"/>
      <w:lvlText w:val="•"/>
      <w:lvlJc w:val="left"/>
      <w:pPr>
        <w:ind w:left="8378" w:hanging="456"/>
      </w:pPr>
      <w:rPr>
        <w:rFonts w:hint="default"/>
        <w:lang w:val="en-US" w:eastAsia="en-US" w:bidi="ar-SA"/>
      </w:rPr>
    </w:lvl>
  </w:abstractNum>
  <w:abstractNum w:abstractNumId="145" w15:restartNumberingAfterBreak="0">
    <w:nsid w:val="4E500DD8"/>
    <w:multiLevelType w:val="multilevel"/>
    <w:tmpl w:val="DCBEFD2C"/>
    <w:lvl w:ilvl="0">
      <w:start w:val="1"/>
      <w:numFmt w:val="decimal"/>
      <w:lvlText w:val="%1."/>
      <w:lvlJc w:val="left"/>
      <w:pPr>
        <w:ind w:left="1282" w:hanging="567"/>
      </w:pPr>
      <w:rPr>
        <w:rFonts w:ascii="Times New Roman" w:eastAsia="Times New Roman" w:hAnsi="Times New Roman" w:cs="Times New Roman" w:hint="default"/>
        <w:b/>
        <w:bCs/>
        <w:i w:val="0"/>
        <w:iCs w:val="0"/>
        <w:color w:val="221F1F"/>
        <w:spacing w:val="-34"/>
        <w:w w:val="97"/>
        <w:sz w:val="22"/>
        <w:szCs w:val="22"/>
        <w:lang w:val="en-US" w:eastAsia="en-US" w:bidi="ar-SA"/>
      </w:rPr>
    </w:lvl>
    <w:lvl w:ilvl="1">
      <w:start w:val="1"/>
      <w:numFmt w:val="decimal"/>
      <w:lvlText w:val="%1.%2"/>
      <w:lvlJc w:val="left"/>
      <w:pPr>
        <w:ind w:left="1419" w:hanging="714"/>
      </w:pPr>
      <w:rPr>
        <w:rFonts w:hint="default"/>
        <w:spacing w:val="-24"/>
        <w:w w:val="100"/>
        <w:lang w:val="en-US" w:eastAsia="en-US" w:bidi="ar-SA"/>
      </w:rPr>
    </w:lvl>
    <w:lvl w:ilvl="2">
      <w:start w:val="1"/>
      <w:numFmt w:val="decimal"/>
      <w:lvlText w:val="%1.%2.%3"/>
      <w:lvlJc w:val="left"/>
      <w:pPr>
        <w:ind w:left="1429" w:hanging="719"/>
      </w:pPr>
      <w:rPr>
        <w:rFonts w:hint="default"/>
        <w:spacing w:val="-25"/>
        <w:w w:val="97"/>
        <w:lang w:val="en-US" w:eastAsia="en-US" w:bidi="ar-SA"/>
      </w:rPr>
    </w:lvl>
    <w:lvl w:ilvl="3">
      <w:start w:val="1"/>
      <w:numFmt w:val="lowerLetter"/>
      <w:lvlText w:val="%4)"/>
      <w:lvlJc w:val="left"/>
      <w:pPr>
        <w:ind w:left="1873" w:hanging="71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numFmt w:val="bullet"/>
      <w:lvlText w:val="•"/>
      <w:lvlJc w:val="left"/>
      <w:pPr>
        <w:ind w:left="1380" w:hanging="719"/>
      </w:pPr>
      <w:rPr>
        <w:rFonts w:hint="default"/>
        <w:lang w:val="en-US" w:eastAsia="en-US" w:bidi="ar-SA"/>
      </w:rPr>
    </w:lvl>
    <w:lvl w:ilvl="5">
      <w:numFmt w:val="bullet"/>
      <w:lvlText w:val="•"/>
      <w:lvlJc w:val="left"/>
      <w:pPr>
        <w:ind w:left="1400" w:hanging="719"/>
      </w:pPr>
      <w:rPr>
        <w:rFonts w:hint="default"/>
        <w:lang w:val="en-US" w:eastAsia="en-US" w:bidi="ar-SA"/>
      </w:rPr>
    </w:lvl>
    <w:lvl w:ilvl="6">
      <w:numFmt w:val="bullet"/>
      <w:lvlText w:val="•"/>
      <w:lvlJc w:val="left"/>
      <w:pPr>
        <w:ind w:left="1420" w:hanging="719"/>
      </w:pPr>
      <w:rPr>
        <w:rFonts w:hint="default"/>
        <w:lang w:val="en-US" w:eastAsia="en-US" w:bidi="ar-SA"/>
      </w:rPr>
    </w:lvl>
    <w:lvl w:ilvl="7">
      <w:numFmt w:val="bullet"/>
      <w:lvlText w:val="•"/>
      <w:lvlJc w:val="left"/>
      <w:pPr>
        <w:ind w:left="1440" w:hanging="719"/>
      </w:pPr>
      <w:rPr>
        <w:rFonts w:hint="default"/>
        <w:lang w:val="en-US" w:eastAsia="en-US" w:bidi="ar-SA"/>
      </w:rPr>
    </w:lvl>
    <w:lvl w:ilvl="8">
      <w:numFmt w:val="bullet"/>
      <w:lvlText w:val="•"/>
      <w:lvlJc w:val="left"/>
      <w:pPr>
        <w:ind w:left="1460" w:hanging="719"/>
      </w:pPr>
      <w:rPr>
        <w:rFonts w:hint="default"/>
        <w:lang w:val="en-US" w:eastAsia="en-US" w:bidi="ar-SA"/>
      </w:rPr>
    </w:lvl>
  </w:abstractNum>
  <w:abstractNum w:abstractNumId="146" w15:restartNumberingAfterBreak="0">
    <w:nsid w:val="4E69633C"/>
    <w:multiLevelType w:val="multilevel"/>
    <w:tmpl w:val="13A87384"/>
    <w:lvl w:ilvl="0">
      <w:start w:val="7"/>
      <w:numFmt w:val="decimal"/>
      <w:lvlText w:val="%1"/>
      <w:lvlJc w:val="left"/>
      <w:pPr>
        <w:ind w:left="1416" w:hanging="567"/>
      </w:pPr>
      <w:rPr>
        <w:rFonts w:hint="default"/>
        <w:lang w:val="en-US" w:eastAsia="en-US" w:bidi="ar-SA"/>
      </w:rPr>
    </w:lvl>
    <w:lvl w:ilvl="1">
      <w:numFmt w:val="decimal"/>
      <w:lvlText w:val="%1.%2"/>
      <w:lvlJc w:val="left"/>
      <w:pPr>
        <w:ind w:left="1416" w:hanging="567"/>
      </w:pPr>
      <w:rPr>
        <w:rFonts w:hint="default"/>
        <w:spacing w:val="-28"/>
        <w:w w:val="97"/>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47" w15:restartNumberingAfterBreak="0">
    <w:nsid w:val="4E915979"/>
    <w:multiLevelType w:val="hybridMultilevel"/>
    <w:tmpl w:val="7A2C8CE8"/>
    <w:lvl w:ilvl="0" w:tplc="1A8CBB2C">
      <w:start w:val="1"/>
      <w:numFmt w:val="decimal"/>
      <w:lvlText w:val="%1."/>
      <w:lvlJc w:val="left"/>
      <w:pPr>
        <w:ind w:left="455" w:hanging="287"/>
      </w:pPr>
      <w:rPr>
        <w:rFonts w:ascii="Times New Roman" w:eastAsia="Times New Roman" w:hAnsi="Times New Roman" w:cs="Times New Roman" w:hint="default"/>
        <w:b w:val="0"/>
        <w:bCs w:val="0"/>
        <w:i w:val="0"/>
        <w:iCs w:val="0"/>
        <w:spacing w:val="0"/>
        <w:w w:val="100"/>
        <w:sz w:val="22"/>
        <w:szCs w:val="22"/>
        <w:lang w:val="en-US" w:eastAsia="en-US" w:bidi="ar-SA"/>
      </w:rPr>
    </w:lvl>
    <w:lvl w:ilvl="1" w:tplc="30DA7980">
      <w:numFmt w:val="bullet"/>
      <w:lvlText w:val="•"/>
      <w:lvlJc w:val="left"/>
      <w:pPr>
        <w:ind w:left="935" w:hanging="287"/>
      </w:pPr>
      <w:rPr>
        <w:rFonts w:hint="default"/>
        <w:lang w:val="en-US" w:eastAsia="en-US" w:bidi="ar-SA"/>
      </w:rPr>
    </w:lvl>
    <w:lvl w:ilvl="2" w:tplc="C5C0F31C">
      <w:numFmt w:val="bullet"/>
      <w:lvlText w:val="•"/>
      <w:lvlJc w:val="left"/>
      <w:pPr>
        <w:ind w:left="1410" w:hanging="287"/>
      </w:pPr>
      <w:rPr>
        <w:rFonts w:hint="default"/>
        <w:lang w:val="en-US" w:eastAsia="en-US" w:bidi="ar-SA"/>
      </w:rPr>
    </w:lvl>
    <w:lvl w:ilvl="3" w:tplc="2ABAB080">
      <w:numFmt w:val="bullet"/>
      <w:lvlText w:val="•"/>
      <w:lvlJc w:val="left"/>
      <w:pPr>
        <w:ind w:left="1885" w:hanging="287"/>
      </w:pPr>
      <w:rPr>
        <w:rFonts w:hint="default"/>
        <w:lang w:val="en-US" w:eastAsia="en-US" w:bidi="ar-SA"/>
      </w:rPr>
    </w:lvl>
    <w:lvl w:ilvl="4" w:tplc="C2D4C6EE">
      <w:numFmt w:val="bullet"/>
      <w:lvlText w:val="•"/>
      <w:lvlJc w:val="left"/>
      <w:pPr>
        <w:ind w:left="2361" w:hanging="287"/>
      </w:pPr>
      <w:rPr>
        <w:rFonts w:hint="default"/>
        <w:lang w:val="en-US" w:eastAsia="en-US" w:bidi="ar-SA"/>
      </w:rPr>
    </w:lvl>
    <w:lvl w:ilvl="5" w:tplc="0E320848">
      <w:numFmt w:val="bullet"/>
      <w:lvlText w:val="•"/>
      <w:lvlJc w:val="left"/>
      <w:pPr>
        <w:ind w:left="2836" w:hanging="287"/>
      </w:pPr>
      <w:rPr>
        <w:rFonts w:hint="default"/>
        <w:lang w:val="en-US" w:eastAsia="en-US" w:bidi="ar-SA"/>
      </w:rPr>
    </w:lvl>
    <w:lvl w:ilvl="6" w:tplc="2A4E35F6">
      <w:numFmt w:val="bullet"/>
      <w:lvlText w:val="•"/>
      <w:lvlJc w:val="left"/>
      <w:pPr>
        <w:ind w:left="3311" w:hanging="287"/>
      </w:pPr>
      <w:rPr>
        <w:rFonts w:hint="default"/>
        <w:lang w:val="en-US" w:eastAsia="en-US" w:bidi="ar-SA"/>
      </w:rPr>
    </w:lvl>
    <w:lvl w:ilvl="7" w:tplc="70CA7A56">
      <w:numFmt w:val="bullet"/>
      <w:lvlText w:val="•"/>
      <w:lvlJc w:val="left"/>
      <w:pPr>
        <w:ind w:left="3787" w:hanging="287"/>
      </w:pPr>
      <w:rPr>
        <w:rFonts w:hint="default"/>
        <w:lang w:val="en-US" w:eastAsia="en-US" w:bidi="ar-SA"/>
      </w:rPr>
    </w:lvl>
    <w:lvl w:ilvl="8" w:tplc="903E0EEC">
      <w:numFmt w:val="bullet"/>
      <w:lvlText w:val="•"/>
      <w:lvlJc w:val="left"/>
      <w:pPr>
        <w:ind w:left="4262" w:hanging="287"/>
      </w:pPr>
      <w:rPr>
        <w:rFonts w:hint="default"/>
        <w:lang w:val="en-US" w:eastAsia="en-US" w:bidi="ar-SA"/>
      </w:rPr>
    </w:lvl>
  </w:abstractNum>
  <w:abstractNum w:abstractNumId="148" w15:restartNumberingAfterBreak="0">
    <w:nsid w:val="4EF02338"/>
    <w:multiLevelType w:val="multilevel"/>
    <w:tmpl w:val="1A7EA43C"/>
    <w:lvl w:ilvl="0">
      <w:start w:val="22"/>
      <w:numFmt w:val="decimal"/>
      <w:lvlText w:val="%1"/>
      <w:lvlJc w:val="left"/>
      <w:pPr>
        <w:ind w:left="1418" w:hanging="572"/>
      </w:pPr>
      <w:rPr>
        <w:rFonts w:hint="default"/>
        <w:lang w:val="en-US" w:eastAsia="en-US" w:bidi="ar-SA"/>
      </w:rPr>
    </w:lvl>
    <w:lvl w:ilvl="1">
      <w:numFmt w:val="decimal"/>
      <w:lvlText w:val="%1.%2"/>
      <w:lvlJc w:val="left"/>
      <w:pPr>
        <w:ind w:left="1418" w:hanging="572"/>
      </w:pPr>
      <w:rPr>
        <w:rFonts w:ascii="Times New Roman" w:eastAsia="Times New Roman" w:hAnsi="Times New Roman" w:cs="Times New Roman" w:hint="default"/>
        <w:b/>
        <w:bCs/>
        <w:i w:val="0"/>
        <w:iCs w:val="0"/>
        <w:color w:val="221F1F"/>
        <w:spacing w:val="-28"/>
        <w:w w:val="97"/>
        <w:sz w:val="22"/>
        <w:szCs w:val="22"/>
        <w:lang w:val="en-US" w:eastAsia="en-US" w:bidi="ar-SA"/>
      </w:rPr>
    </w:lvl>
    <w:lvl w:ilvl="2">
      <w:numFmt w:val="bullet"/>
      <w:lvlText w:val="•"/>
      <w:lvlJc w:val="left"/>
      <w:pPr>
        <w:ind w:left="3518" w:hanging="572"/>
      </w:pPr>
      <w:rPr>
        <w:rFonts w:hint="default"/>
        <w:lang w:val="en-US" w:eastAsia="en-US" w:bidi="ar-SA"/>
      </w:rPr>
    </w:lvl>
    <w:lvl w:ilvl="3">
      <w:numFmt w:val="bullet"/>
      <w:lvlText w:val="•"/>
      <w:lvlJc w:val="left"/>
      <w:pPr>
        <w:ind w:left="4567" w:hanging="572"/>
      </w:pPr>
      <w:rPr>
        <w:rFonts w:hint="default"/>
        <w:lang w:val="en-US" w:eastAsia="en-US" w:bidi="ar-SA"/>
      </w:rPr>
    </w:lvl>
    <w:lvl w:ilvl="4">
      <w:numFmt w:val="bullet"/>
      <w:lvlText w:val="•"/>
      <w:lvlJc w:val="left"/>
      <w:pPr>
        <w:ind w:left="5616" w:hanging="572"/>
      </w:pPr>
      <w:rPr>
        <w:rFonts w:hint="default"/>
        <w:lang w:val="en-US" w:eastAsia="en-US" w:bidi="ar-SA"/>
      </w:rPr>
    </w:lvl>
    <w:lvl w:ilvl="5">
      <w:numFmt w:val="bullet"/>
      <w:lvlText w:val="•"/>
      <w:lvlJc w:val="left"/>
      <w:pPr>
        <w:ind w:left="6665" w:hanging="572"/>
      </w:pPr>
      <w:rPr>
        <w:rFonts w:hint="default"/>
        <w:lang w:val="en-US" w:eastAsia="en-US" w:bidi="ar-SA"/>
      </w:rPr>
    </w:lvl>
    <w:lvl w:ilvl="6">
      <w:numFmt w:val="bullet"/>
      <w:lvlText w:val="•"/>
      <w:lvlJc w:val="left"/>
      <w:pPr>
        <w:ind w:left="7714" w:hanging="572"/>
      </w:pPr>
      <w:rPr>
        <w:rFonts w:hint="default"/>
        <w:lang w:val="en-US" w:eastAsia="en-US" w:bidi="ar-SA"/>
      </w:rPr>
    </w:lvl>
    <w:lvl w:ilvl="7">
      <w:numFmt w:val="bullet"/>
      <w:lvlText w:val="•"/>
      <w:lvlJc w:val="left"/>
      <w:pPr>
        <w:ind w:left="8763" w:hanging="572"/>
      </w:pPr>
      <w:rPr>
        <w:rFonts w:hint="default"/>
        <w:lang w:val="en-US" w:eastAsia="en-US" w:bidi="ar-SA"/>
      </w:rPr>
    </w:lvl>
    <w:lvl w:ilvl="8">
      <w:numFmt w:val="bullet"/>
      <w:lvlText w:val="•"/>
      <w:lvlJc w:val="left"/>
      <w:pPr>
        <w:ind w:left="9812" w:hanging="572"/>
      </w:pPr>
      <w:rPr>
        <w:rFonts w:hint="default"/>
        <w:lang w:val="en-US" w:eastAsia="en-US" w:bidi="ar-SA"/>
      </w:rPr>
    </w:lvl>
  </w:abstractNum>
  <w:abstractNum w:abstractNumId="149" w15:restartNumberingAfterBreak="0">
    <w:nsid w:val="4F3579E2"/>
    <w:multiLevelType w:val="hybridMultilevel"/>
    <w:tmpl w:val="32EA9884"/>
    <w:lvl w:ilvl="0" w:tplc="9D0C4EA2">
      <w:start w:val="1"/>
      <w:numFmt w:val="lowerLetter"/>
      <w:lvlText w:val="%1)"/>
      <w:lvlJc w:val="left"/>
      <w:pPr>
        <w:ind w:left="1870"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3FA4192">
      <w:start w:val="1"/>
      <w:numFmt w:val="lowerRoman"/>
      <w:lvlText w:val="%2)"/>
      <w:lvlJc w:val="left"/>
      <w:pPr>
        <w:ind w:left="2331" w:hanging="46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FDB22ECE">
      <w:numFmt w:val="bullet"/>
      <w:lvlText w:val="•"/>
      <w:lvlJc w:val="left"/>
      <w:pPr>
        <w:ind w:left="3356" w:hanging="464"/>
      </w:pPr>
      <w:rPr>
        <w:rFonts w:hint="default"/>
        <w:lang w:val="en-US" w:eastAsia="en-US" w:bidi="ar-SA"/>
      </w:rPr>
    </w:lvl>
    <w:lvl w:ilvl="3" w:tplc="FBF45146">
      <w:numFmt w:val="bullet"/>
      <w:lvlText w:val="•"/>
      <w:lvlJc w:val="left"/>
      <w:pPr>
        <w:ind w:left="4372" w:hanging="464"/>
      </w:pPr>
      <w:rPr>
        <w:rFonts w:hint="default"/>
        <w:lang w:val="en-US" w:eastAsia="en-US" w:bidi="ar-SA"/>
      </w:rPr>
    </w:lvl>
    <w:lvl w:ilvl="4" w:tplc="531A5C9A">
      <w:numFmt w:val="bullet"/>
      <w:lvlText w:val="•"/>
      <w:lvlJc w:val="left"/>
      <w:pPr>
        <w:ind w:left="5389" w:hanging="464"/>
      </w:pPr>
      <w:rPr>
        <w:rFonts w:hint="default"/>
        <w:lang w:val="en-US" w:eastAsia="en-US" w:bidi="ar-SA"/>
      </w:rPr>
    </w:lvl>
    <w:lvl w:ilvl="5" w:tplc="0EF65326">
      <w:numFmt w:val="bullet"/>
      <w:lvlText w:val="•"/>
      <w:lvlJc w:val="left"/>
      <w:pPr>
        <w:ind w:left="6405" w:hanging="464"/>
      </w:pPr>
      <w:rPr>
        <w:rFonts w:hint="default"/>
        <w:lang w:val="en-US" w:eastAsia="en-US" w:bidi="ar-SA"/>
      </w:rPr>
    </w:lvl>
    <w:lvl w:ilvl="6" w:tplc="2B7C9CC6">
      <w:numFmt w:val="bullet"/>
      <w:lvlText w:val="•"/>
      <w:lvlJc w:val="left"/>
      <w:pPr>
        <w:ind w:left="7421" w:hanging="464"/>
      </w:pPr>
      <w:rPr>
        <w:rFonts w:hint="default"/>
        <w:lang w:val="en-US" w:eastAsia="en-US" w:bidi="ar-SA"/>
      </w:rPr>
    </w:lvl>
    <w:lvl w:ilvl="7" w:tplc="CA1AEBC4">
      <w:numFmt w:val="bullet"/>
      <w:lvlText w:val="•"/>
      <w:lvlJc w:val="left"/>
      <w:pPr>
        <w:ind w:left="8438" w:hanging="464"/>
      </w:pPr>
      <w:rPr>
        <w:rFonts w:hint="default"/>
        <w:lang w:val="en-US" w:eastAsia="en-US" w:bidi="ar-SA"/>
      </w:rPr>
    </w:lvl>
    <w:lvl w:ilvl="8" w:tplc="7722BF5E">
      <w:numFmt w:val="bullet"/>
      <w:lvlText w:val="•"/>
      <w:lvlJc w:val="left"/>
      <w:pPr>
        <w:ind w:left="9454" w:hanging="464"/>
      </w:pPr>
      <w:rPr>
        <w:rFonts w:hint="default"/>
        <w:lang w:val="en-US" w:eastAsia="en-US" w:bidi="ar-SA"/>
      </w:rPr>
    </w:lvl>
  </w:abstractNum>
  <w:abstractNum w:abstractNumId="150" w15:restartNumberingAfterBreak="0">
    <w:nsid w:val="4F65120D"/>
    <w:multiLevelType w:val="multilevel"/>
    <w:tmpl w:val="34120022"/>
    <w:lvl w:ilvl="0">
      <w:start w:val="8"/>
      <w:numFmt w:val="decimal"/>
      <w:lvlText w:val="%1"/>
      <w:lvlJc w:val="left"/>
      <w:pPr>
        <w:ind w:left="1404" w:hanging="565"/>
      </w:pPr>
      <w:rPr>
        <w:rFonts w:hint="default"/>
        <w:lang w:val="en-US" w:eastAsia="en-US" w:bidi="ar-SA"/>
      </w:rPr>
    </w:lvl>
    <w:lvl w:ilvl="1">
      <w:numFmt w:val="decimal"/>
      <w:lvlText w:val="%1.%2"/>
      <w:lvlJc w:val="left"/>
      <w:pPr>
        <w:ind w:left="1404" w:hanging="565"/>
      </w:pPr>
      <w:rPr>
        <w:rFonts w:ascii="Times New Roman" w:eastAsia="Times New Roman" w:hAnsi="Times New Roman" w:cs="Times New Roman" w:hint="default"/>
        <w:b/>
        <w:bCs/>
        <w:i w:val="0"/>
        <w:iCs w:val="0"/>
        <w:color w:val="221F1F"/>
        <w:spacing w:val="-27"/>
        <w:w w:val="100"/>
        <w:sz w:val="22"/>
        <w:szCs w:val="22"/>
        <w:lang w:val="en-US" w:eastAsia="en-US" w:bidi="ar-SA"/>
      </w:rPr>
    </w:lvl>
    <w:lvl w:ilvl="2">
      <w:numFmt w:val="bullet"/>
      <w:lvlText w:val="•"/>
      <w:lvlJc w:val="left"/>
      <w:pPr>
        <w:ind w:left="3502" w:hanging="565"/>
      </w:pPr>
      <w:rPr>
        <w:rFonts w:hint="default"/>
        <w:lang w:val="en-US" w:eastAsia="en-US" w:bidi="ar-SA"/>
      </w:rPr>
    </w:lvl>
    <w:lvl w:ilvl="3">
      <w:numFmt w:val="bullet"/>
      <w:lvlText w:val="•"/>
      <w:lvlJc w:val="left"/>
      <w:pPr>
        <w:ind w:left="4553" w:hanging="565"/>
      </w:pPr>
      <w:rPr>
        <w:rFonts w:hint="default"/>
        <w:lang w:val="en-US" w:eastAsia="en-US" w:bidi="ar-SA"/>
      </w:rPr>
    </w:lvl>
    <w:lvl w:ilvl="4">
      <w:numFmt w:val="bullet"/>
      <w:lvlText w:val="•"/>
      <w:lvlJc w:val="left"/>
      <w:pPr>
        <w:ind w:left="5604" w:hanging="565"/>
      </w:pPr>
      <w:rPr>
        <w:rFonts w:hint="default"/>
        <w:lang w:val="en-US" w:eastAsia="en-US" w:bidi="ar-SA"/>
      </w:rPr>
    </w:lvl>
    <w:lvl w:ilvl="5">
      <w:numFmt w:val="bullet"/>
      <w:lvlText w:val="•"/>
      <w:lvlJc w:val="left"/>
      <w:pPr>
        <w:ind w:left="6655" w:hanging="565"/>
      </w:pPr>
      <w:rPr>
        <w:rFonts w:hint="default"/>
        <w:lang w:val="en-US" w:eastAsia="en-US" w:bidi="ar-SA"/>
      </w:rPr>
    </w:lvl>
    <w:lvl w:ilvl="6">
      <w:numFmt w:val="bullet"/>
      <w:lvlText w:val="•"/>
      <w:lvlJc w:val="left"/>
      <w:pPr>
        <w:ind w:left="7706" w:hanging="565"/>
      </w:pPr>
      <w:rPr>
        <w:rFonts w:hint="default"/>
        <w:lang w:val="en-US" w:eastAsia="en-US" w:bidi="ar-SA"/>
      </w:rPr>
    </w:lvl>
    <w:lvl w:ilvl="7">
      <w:numFmt w:val="bullet"/>
      <w:lvlText w:val="•"/>
      <w:lvlJc w:val="left"/>
      <w:pPr>
        <w:ind w:left="8757" w:hanging="565"/>
      </w:pPr>
      <w:rPr>
        <w:rFonts w:hint="default"/>
        <w:lang w:val="en-US" w:eastAsia="en-US" w:bidi="ar-SA"/>
      </w:rPr>
    </w:lvl>
    <w:lvl w:ilvl="8">
      <w:numFmt w:val="bullet"/>
      <w:lvlText w:val="•"/>
      <w:lvlJc w:val="left"/>
      <w:pPr>
        <w:ind w:left="9808" w:hanging="565"/>
      </w:pPr>
      <w:rPr>
        <w:rFonts w:hint="default"/>
        <w:lang w:val="en-US" w:eastAsia="en-US" w:bidi="ar-SA"/>
      </w:rPr>
    </w:lvl>
  </w:abstractNum>
  <w:abstractNum w:abstractNumId="151" w15:restartNumberingAfterBreak="0">
    <w:nsid w:val="4F89780C"/>
    <w:multiLevelType w:val="hybridMultilevel"/>
    <w:tmpl w:val="7DC68192"/>
    <w:lvl w:ilvl="0" w:tplc="51245C5E">
      <w:start w:val="1"/>
      <w:numFmt w:val="lowerLetter"/>
      <w:lvlText w:val="%1)"/>
      <w:lvlJc w:val="left"/>
      <w:pPr>
        <w:ind w:left="1551" w:hanging="45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920DC96">
      <w:start w:val="1"/>
      <w:numFmt w:val="lowerRoman"/>
      <w:lvlText w:val="%2)"/>
      <w:lvlJc w:val="left"/>
      <w:pPr>
        <w:ind w:left="2151" w:hanging="6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25405274">
      <w:numFmt w:val="bullet"/>
      <w:lvlText w:val="•"/>
      <w:lvlJc w:val="left"/>
      <w:pPr>
        <w:ind w:left="3196" w:hanging="600"/>
      </w:pPr>
      <w:rPr>
        <w:rFonts w:hint="default"/>
        <w:lang w:val="en-US" w:eastAsia="en-US" w:bidi="ar-SA"/>
      </w:rPr>
    </w:lvl>
    <w:lvl w:ilvl="3" w:tplc="9FAC3246">
      <w:numFmt w:val="bullet"/>
      <w:lvlText w:val="•"/>
      <w:lvlJc w:val="left"/>
      <w:pPr>
        <w:ind w:left="4232" w:hanging="600"/>
      </w:pPr>
      <w:rPr>
        <w:rFonts w:hint="default"/>
        <w:lang w:val="en-US" w:eastAsia="en-US" w:bidi="ar-SA"/>
      </w:rPr>
    </w:lvl>
    <w:lvl w:ilvl="4" w:tplc="FCBA0564">
      <w:numFmt w:val="bullet"/>
      <w:lvlText w:val="•"/>
      <w:lvlJc w:val="left"/>
      <w:pPr>
        <w:ind w:left="5269" w:hanging="600"/>
      </w:pPr>
      <w:rPr>
        <w:rFonts w:hint="default"/>
        <w:lang w:val="en-US" w:eastAsia="en-US" w:bidi="ar-SA"/>
      </w:rPr>
    </w:lvl>
    <w:lvl w:ilvl="5" w:tplc="0ABE7EB8">
      <w:numFmt w:val="bullet"/>
      <w:lvlText w:val="•"/>
      <w:lvlJc w:val="left"/>
      <w:pPr>
        <w:ind w:left="6305" w:hanging="600"/>
      </w:pPr>
      <w:rPr>
        <w:rFonts w:hint="default"/>
        <w:lang w:val="en-US" w:eastAsia="en-US" w:bidi="ar-SA"/>
      </w:rPr>
    </w:lvl>
    <w:lvl w:ilvl="6" w:tplc="F3188274">
      <w:numFmt w:val="bullet"/>
      <w:lvlText w:val="•"/>
      <w:lvlJc w:val="left"/>
      <w:pPr>
        <w:ind w:left="7341" w:hanging="600"/>
      </w:pPr>
      <w:rPr>
        <w:rFonts w:hint="default"/>
        <w:lang w:val="en-US" w:eastAsia="en-US" w:bidi="ar-SA"/>
      </w:rPr>
    </w:lvl>
    <w:lvl w:ilvl="7" w:tplc="17568EBA">
      <w:numFmt w:val="bullet"/>
      <w:lvlText w:val="•"/>
      <w:lvlJc w:val="left"/>
      <w:pPr>
        <w:ind w:left="8378" w:hanging="600"/>
      </w:pPr>
      <w:rPr>
        <w:rFonts w:hint="default"/>
        <w:lang w:val="en-US" w:eastAsia="en-US" w:bidi="ar-SA"/>
      </w:rPr>
    </w:lvl>
    <w:lvl w:ilvl="8" w:tplc="FD80BDAA">
      <w:numFmt w:val="bullet"/>
      <w:lvlText w:val="•"/>
      <w:lvlJc w:val="left"/>
      <w:pPr>
        <w:ind w:left="9414" w:hanging="600"/>
      </w:pPr>
      <w:rPr>
        <w:rFonts w:hint="default"/>
        <w:lang w:val="en-US" w:eastAsia="en-US" w:bidi="ar-SA"/>
      </w:rPr>
    </w:lvl>
  </w:abstractNum>
  <w:abstractNum w:abstractNumId="152" w15:restartNumberingAfterBreak="0">
    <w:nsid w:val="50081B7F"/>
    <w:multiLevelType w:val="multilevel"/>
    <w:tmpl w:val="97341104"/>
    <w:lvl w:ilvl="0">
      <w:start w:val="2"/>
      <w:numFmt w:val="decimal"/>
      <w:lvlText w:val="%1"/>
      <w:lvlJc w:val="left"/>
      <w:pPr>
        <w:ind w:left="1452" w:hanging="603"/>
      </w:pPr>
      <w:rPr>
        <w:rFonts w:hint="default"/>
        <w:lang w:val="en-US" w:eastAsia="en-US" w:bidi="ar-SA"/>
      </w:rPr>
    </w:lvl>
    <w:lvl w:ilvl="1">
      <w:numFmt w:val="decimal"/>
      <w:lvlText w:val="%1.%2"/>
      <w:lvlJc w:val="left"/>
      <w:pPr>
        <w:ind w:left="1452" w:hanging="603"/>
      </w:pPr>
      <w:rPr>
        <w:rFonts w:ascii="Times New Roman" w:eastAsia="Times New Roman" w:hAnsi="Times New Roman" w:cs="Times New Roman" w:hint="default"/>
        <w:b/>
        <w:bCs/>
        <w:i w:val="0"/>
        <w:iCs w:val="0"/>
        <w:color w:val="221F1F"/>
        <w:spacing w:val="0"/>
        <w:w w:val="100"/>
        <w:sz w:val="22"/>
        <w:szCs w:val="22"/>
        <w:lang w:val="en-US" w:eastAsia="en-US" w:bidi="ar-SA"/>
      </w:rPr>
    </w:lvl>
    <w:lvl w:ilvl="2">
      <w:start w:val="2"/>
      <w:numFmt w:val="decimal"/>
      <w:lvlText w:val="%3)"/>
      <w:lvlJc w:val="left"/>
      <w:pPr>
        <w:ind w:left="2368" w:hanging="238"/>
      </w:pPr>
      <w:rPr>
        <w:rFonts w:ascii="Times New Roman" w:eastAsia="Times New Roman" w:hAnsi="Times New Roman" w:cs="Times New Roman" w:hint="default"/>
        <w:b w:val="0"/>
        <w:bCs w:val="0"/>
        <w:i w:val="0"/>
        <w:iCs w:val="0"/>
        <w:spacing w:val="-3"/>
        <w:w w:val="100"/>
        <w:sz w:val="22"/>
        <w:szCs w:val="22"/>
        <w:lang w:val="en-US" w:eastAsia="en-US" w:bidi="ar-SA"/>
      </w:rPr>
    </w:lvl>
    <w:lvl w:ilvl="3">
      <w:numFmt w:val="bullet"/>
      <w:lvlText w:val="•"/>
      <w:lvlJc w:val="left"/>
      <w:pPr>
        <w:ind w:left="4482" w:hanging="238"/>
      </w:pPr>
      <w:rPr>
        <w:rFonts w:hint="default"/>
        <w:lang w:val="en-US" w:eastAsia="en-US" w:bidi="ar-SA"/>
      </w:rPr>
    </w:lvl>
    <w:lvl w:ilvl="4">
      <w:numFmt w:val="bullet"/>
      <w:lvlText w:val="•"/>
      <w:lvlJc w:val="left"/>
      <w:pPr>
        <w:ind w:left="5543" w:hanging="238"/>
      </w:pPr>
      <w:rPr>
        <w:rFonts w:hint="default"/>
        <w:lang w:val="en-US" w:eastAsia="en-US" w:bidi="ar-SA"/>
      </w:rPr>
    </w:lvl>
    <w:lvl w:ilvl="5">
      <w:numFmt w:val="bullet"/>
      <w:lvlText w:val="•"/>
      <w:lvlJc w:val="left"/>
      <w:pPr>
        <w:ind w:left="6604" w:hanging="238"/>
      </w:pPr>
      <w:rPr>
        <w:rFonts w:hint="default"/>
        <w:lang w:val="en-US" w:eastAsia="en-US" w:bidi="ar-SA"/>
      </w:rPr>
    </w:lvl>
    <w:lvl w:ilvl="6">
      <w:numFmt w:val="bullet"/>
      <w:lvlText w:val="•"/>
      <w:lvlJc w:val="left"/>
      <w:pPr>
        <w:ind w:left="7666" w:hanging="238"/>
      </w:pPr>
      <w:rPr>
        <w:rFonts w:hint="default"/>
        <w:lang w:val="en-US" w:eastAsia="en-US" w:bidi="ar-SA"/>
      </w:rPr>
    </w:lvl>
    <w:lvl w:ilvl="7">
      <w:numFmt w:val="bullet"/>
      <w:lvlText w:val="•"/>
      <w:lvlJc w:val="left"/>
      <w:pPr>
        <w:ind w:left="8727" w:hanging="238"/>
      </w:pPr>
      <w:rPr>
        <w:rFonts w:hint="default"/>
        <w:lang w:val="en-US" w:eastAsia="en-US" w:bidi="ar-SA"/>
      </w:rPr>
    </w:lvl>
    <w:lvl w:ilvl="8">
      <w:numFmt w:val="bullet"/>
      <w:lvlText w:val="•"/>
      <w:lvlJc w:val="left"/>
      <w:pPr>
        <w:ind w:left="9788" w:hanging="238"/>
      </w:pPr>
      <w:rPr>
        <w:rFonts w:hint="default"/>
        <w:lang w:val="en-US" w:eastAsia="en-US" w:bidi="ar-SA"/>
      </w:rPr>
    </w:lvl>
  </w:abstractNum>
  <w:abstractNum w:abstractNumId="153" w15:restartNumberingAfterBreak="0">
    <w:nsid w:val="50227B10"/>
    <w:multiLevelType w:val="hybridMultilevel"/>
    <w:tmpl w:val="D98EA278"/>
    <w:lvl w:ilvl="0" w:tplc="3D5C7F58">
      <w:start w:val="1"/>
      <w:numFmt w:val="lowerLetter"/>
      <w:lvlText w:val="%1)"/>
      <w:lvlJc w:val="left"/>
      <w:pPr>
        <w:ind w:left="1873" w:hanging="44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0008FAA">
      <w:numFmt w:val="bullet"/>
      <w:lvlText w:val="•"/>
      <w:lvlJc w:val="left"/>
      <w:pPr>
        <w:ind w:left="2840" w:hanging="442"/>
      </w:pPr>
      <w:rPr>
        <w:rFonts w:hint="default"/>
        <w:lang w:val="en-US" w:eastAsia="en-US" w:bidi="ar-SA"/>
      </w:rPr>
    </w:lvl>
    <w:lvl w:ilvl="2" w:tplc="0AB08504">
      <w:numFmt w:val="bullet"/>
      <w:lvlText w:val="•"/>
      <w:lvlJc w:val="left"/>
      <w:pPr>
        <w:ind w:left="3801" w:hanging="442"/>
      </w:pPr>
      <w:rPr>
        <w:rFonts w:hint="default"/>
        <w:lang w:val="en-US" w:eastAsia="en-US" w:bidi="ar-SA"/>
      </w:rPr>
    </w:lvl>
    <w:lvl w:ilvl="3" w:tplc="65DC27AA">
      <w:numFmt w:val="bullet"/>
      <w:lvlText w:val="•"/>
      <w:lvlJc w:val="left"/>
      <w:pPr>
        <w:ind w:left="4762" w:hanging="442"/>
      </w:pPr>
      <w:rPr>
        <w:rFonts w:hint="default"/>
        <w:lang w:val="en-US" w:eastAsia="en-US" w:bidi="ar-SA"/>
      </w:rPr>
    </w:lvl>
    <w:lvl w:ilvl="4" w:tplc="21C4BF6E">
      <w:numFmt w:val="bullet"/>
      <w:lvlText w:val="•"/>
      <w:lvlJc w:val="left"/>
      <w:pPr>
        <w:ind w:left="5722" w:hanging="442"/>
      </w:pPr>
      <w:rPr>
        <w:rFonts w:hint="default"/>
        <w:lang w:val="en-US" w:eastAsia="en-US" w:bidi="ar-SA"/>
      </w:rPr>
    </w:lvl>
    <w:lvl w:ilvl="5" w:tplc="85629F32">
      <w:numFmt w:val="bullet"/>
      <w:lvlText w:val="•"/>
      <w:lvlJc w:val="left"/>
      <w:pPr>
        <w:ind w:left="6683" w:hanging="442"/>
      </w:pPr>
      <w:rPr>
        <w:rFonts w:hint="default"/>
        <w:lang w:val="en-US" w:eastAsia="en-US" w:bidi="ar-SA"/>
      </w:rPr>
    </w:lvl>
    <w:lvl w:ilvl="6" w:tplc="E0F0FA78">
      <w:numFmt w:val="bullet"/>
      <w:lvlText w:val="•"/>
      <w:lvlJc w:val="left"/>
      <w:pPr>
        <w:ind w:left="7644" w:hanging="442"/>
      </w:pPr>
      <w:rPr>
        <w:rFonts w:hint="default"/>
        <w:lang w:val="en-US" w:eastAsia="en-US" w:bidi="ar-SA"/>
      </w:rPr>
    </w:lvl>
    <w:lvl w:ilvl="7" w:tplc="912A698A">
      <w:numFmt w:val="bullet"/>
      <w:lvlText w:val="•"/>
      <w:lvlJc w:val="left"/>
      <w:pPr>
        <w:ind w:left="8605" w:hanging="442"/>
      </w:pPr>
      <w:rPr>
        <w:rFonts w:hint="default"/>
        <w:lang w:val="en-US" w:eastAsia="en-US" w:bidi="ar-SA"/>
      </w:rPr>
    </w:lvl>
    <w:lvl w:ilvl="8" w:tplc="52C6FC1E">
      <w:numFmt w:val="bullet"/>
      <w:lvlText w:val="•"/>
      <w:lvlJc w:val="left"/>
      <w:pPr>
        <w:ind w:left="9565" w:hanging="442"/>
      </w:pPr>
      <w:rPr>
        <w:rFonts w:hint="default"/>
        <w:lang w:val="en-US" w:eastAsia="en-US" w:bidi="ar-SA"/>
      </w:rPr>
    </w:lvl>
  </w:abstractNum>
  <w:abstractNum w:abstractNumId="154" w15:restartNumberingAfterBreak="0">
    <w:nsid w:val="51A14259"/>
    <w:multiLevelType w:val="hybridMultilevel"/>
    <w:tmpl w:val="153E3920"/>
    <w:lvl w:ilvl="0" w:tplc="EA7AD900">
      <w:start w:val="1"/>
      <w:numFmt w:val="decimal"/>
      <w:lvlText w:val="%1."/>
      <w:lvlJc w:val="left"/>
      <w:pPr>
        <w:ind w:left="5" w:hanging="433"/>
      </w:pPr>
      <w:rPr>
        <w:rFonts w:ascii="Times New Roman" w:eastAsia="Times New Roman" w:hAnsi="Times New Roman" w:cs="Times New Roman" w:hint="default"/>
        <w:b w:val="0"/>
        <w:bCs w:val="0"/>
        <w:i w:val="0"/>
        <w:iCs w:val="0"/>
        <w:spacing w:val="0"/>
        <w:w w:val="99"/>
        <w:sz w:val="20"/>
        <w:szCs w:val="20"/>
        <w:lang w:val="en-US" w:eastAsia="en-US" w:bidi="ar-SA"/>
      </w:rPr>
    </w:lvl>
    <w:lvl w:ilvl="1" w:tplc="91841E78">
      <w:numFmt w:val="bullet"/>
      <w:lvlText w:val="•"/>
      <w:lvlJc w:val="left"/>
      <w:pPr>
        <w:ind w:left="521" w:hanging="433"/>
      </w:pPr>
      <w:rPr>
        <w:rFonts w:hint="default"/>
        <w:lang w:val="en-US" w:eastAsia="en-US" w:bidi="ar-SA"/>
      </w:rPr>
    </w:lvl>
    <w:lvl w:ilvl="2" w:tplc="65BEAB2C">
      <w:numFmt w:val="bullet"/>
      <w:lvlText w:val="•"/>
      <w:lvlJc w:val="left"/>
      <w:pPr>
        <w:ind w:left="1042" w:hanging="433"/>
      </w:pPr>
      <w:rPr>
        <w:rFonts w:hint="default"/>
        <w:lang w:val="en-US" w:eastAsia="en-US" w:bidi="ar-SA"/>
      </w:rPr>
    </w:lvl>
    <w:lvl w:ilvl="3" w:tplc="41F6ED42">
      <w:numFmt w:val="bullet"/>
      <w:lvlText w:val="•"/>
      <w:lvlJc w:val="left"/>
      <w:pPr>
        <w:ind w:left="1563" w:hanging="433"/>
      </w:pPr>
      <w:rPr>
        <w:rFonts w:hint="default"/>
        <w:lang w:val="en-US" w:eastAsia="en-US" w:bidi="ar-SA"/>
      </w:rPr>
    </w:lvl>
    <w:lvl w:ilvl="4" w:tplc="B23420A2">
      <w:numFmt w:val="bullet"/>
      <w:lvlText w:val="•"/>
      <w:lvlJc w:val="left"/>
      <w:pPr>
        <w:ind w:left="2085" w:hanging="433"/>
      </w:pPr>
      <w:rPr>
        <w:rFonts w:hint="default"/>
        <w:lang w:val="en-US" w:eastAsia="en-US" w:bidi="ar-SA"/>
      </w:rPr>
    </w:lvl>
    <w:lvl w:ilvl="5" w:tplc="6580379E">
      <w:numFmt w:val="bullet"/>
      <w:lvlText w:val="•"/>
      <w:lvlJc w:val="left"/>
      <w:pPr>
        <w:ind w:left="2606" w:hanging="433"/>
      </w:pPr>
      <w:rPr>
        <w:rFonts w:hint="default"/>
        <w:lang w:val="en-US" w:eastAsia="en-US" w:bidi="ar-SA"/>
      </w:rPr>
    </w:lvl>
    <w:lvl w:ilvl="6" w:tplc="FBA8EFFA">
      <w:numFmt w:val="bullet"/>
      <w:lvlText w:val="•"/>
      <w:lvlJc w:val="left"/>
      <w:pPr>
        <w:ind w:left="3127" w:hanging="433"/>
      </w:pPr>
      <w:rPr>
        <w:rFonts w:hint="default"/>
        <w:lang w:val="en-US" w:eastAsia="en-US" w:bidi="ar-SA"/>
      </w:rPr>
    </w:lvl>
    <w:lvl w:ilvl="7" w:tplc="C9BCCAE2">
      <w:numFmt w:val="bullet"/>
      <w:lvlText w:val="•"/>
      <w:lvlJc w:val="left"/>
      <w:pPr>
        <w:ind w:left="3649" w:hanging="433"/>
      </w:pPr>
      <w:rPr>
        <w:rFonts w:hint="default"/>
        <w:lang w:val="en-US" w:eastAsia="en-US" w:bidi="ar-SA"/>
      </w:rPr>
    </w:lvl>
    <w:lvl w:ilvl="8" w:tplc="F66A08B2">
      <w:numFmt w:val="bullet"/>
      <w:lvlText w:val="•"/>
      <w:lvlJc w:val="left"/>
      <w:pPr>
        <w:ind w:left="4170" w:hanging="433"/>
      </w:pPr>
      <w:rPr>
        <w:rFonts w:hint="default"/>
        <w:lang w:val="en-US" w:eastAsia="en-US" w:bidi="ar-SA"/>
      </w:rPr>
    </w:lvl>
  </w:abstractNum>
  <w:abstractNum w:abstractNumId="155" w15:restartNumberingAfterBreak="0">
    <w:nsid w:val="51B84C34"/>
    <w:multiLevelType w:val="hybridMultilevel"/>
    <w:tmpl w:val="710C72AC"/>
    <w:lvl w:ilvl="0" w:tplc="90A81CC2">
      <w:start w:val="1"/>
      <w:numFmt w:val="lowerLetter"/>
      <w:lvlText w:val="(%1)"/>
      <w:lvlJc w:val="left"/>
      <w:pPr>
        <w:ind w:left="1885" w:hanging="51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1707FAE">
      <w:numFmt w:val="bullet"/>
      <w:lvlText w:val="•"/>
      <w:lvlJc w:val="left"/>
      <w:pPr>
        <w:ind w:left="2840" w:hanging="514"/>
      </w:pPr>
      <w:rPr>
        <w:rFonts w:hint="default"/>
        <w:lang w:val="en-US" w:eastAsia="en-US" w:bidi="ar-SA"/>
      </w:rPr>
    </w:lvl>
    <w:lvl w:ilvl="2" w:tplc="BADAB7F2">
      <w:numFmt w:val="bullet"/>
      <w:lvlText w:val="•"/>
      <w:lvlJc w:val="left"/>
      <w:pPr>
        <w:ind w:left="3801" w:hanging="514"/>
      </w:pPr>
      <w:rPr>
        <w:rFonts w:hint="default"/>
        <w:lang w:val="en-US" w:eastAsia="en-US" w:bidi="ar-SA"/>
      </w:rPr>
    </w:lvl>
    <w:lvl w:ilvl="3" w:tplc="5F76C994">
      <w:numFmt w:val="bullet"/>
      <w:lvlText w:val="•"/>
      <w:lvlJc w:val="left"/>
      <w:pPr>
        <w:ind w:left="4762" w:hanging="514"/>
      </w:pPr>
      <w:rPr>
        <w:rFonts w:hint="default"/>
        <w:lang w:val="en-US" w:eastAsia="en-US" w:bidi="ar-SA"/>
      </w:rPr>
    </w:lvl>
    <w:lvl w:ilvl="4" w:tplc="C74AE6DC">
      <w:numFmt w:val="bullet"/>
      <w:lvlText w:val="•"/>
      <w:lvlJc w:val="left"/>
      <w:pPr>
        <w:ind w:left="5722" w:hanging="514"/>
      </w:pPr>
      <w:rPr>
        <w:rFonts w:hint="default"/>
        <w:lang w:val="en-US" w:eastAsia="en-US" w:bidi="ar-SA"/>
      </w:rPr>
    </w:lvl>
    <w:lvl w:ilvl="5" w:tplc="3F2275B4">
      <w:numFmt w:val="bullet"/>
      <w:lvlText w:val="•"/>
      <w:lvlJc w:val="left"/>
      <w:pPr>
        <w:ind w:left="6683" w:hanging="514"/>
      </w:pPr>
      <w:rPr>
        <w:rFonts w:hint="default"/>
        <w:lang w:val="en-US" w:eastAsia="en-US" w:bidi="ar-SA"/>
      </w:rPr>
    </w:lvl>
    <w:lvl w:ilvl="6" w:tplc="1DC439E4">
      <w:numFmt w:val="bullet"/>
      <w:lvlText w:val="•"/>
      <w:lvlJc w:val="left"/>
      <w:pPr>
        <w:ind w:left="7644" w:hanging="514"/>
      </w:pPr>
      <w:rPr>
        <w:rFonts w:hint="default"/>
        <w:lang w:val="en-US" w:eastAsia="en-US" w:bidi="ar-SA"/>
      </w:rPr>
    </w:lvl>
    <w:lvl w:ilvl="7" w:tplc="458EA5DA">
      <w:numFmt w:val="bullet"/>
      <w:lvlText w:val="•"/>
      <w:lvlJc w:val="left"/>
      <w:pPr>
        <w:ind w:left="8605" w:hanging="514"/>
      </w:pPr>
      <w:rPr>
        <w:rFonts w:hint="default"/>
        <w:lang w:val="en-US" w:eastAsia="en-US" w:bidi="ar-SA"/>
      </w:rPr>
    </w:lvl>
    <w:lvl w:ilvl="8" w:tplc="35F8DE24">
      <w:numFmt w:val="bullet"/>
      <w:lvlText w:val="•"/>
      <w:lvlJc w:val="left"/>
      <w:pPr>
        <w:ind w:left="9565" w:hanging="514"/>
      </w:pPr>
      <w:rPr>
        <w:rFonts w:hint="default"/>
        <w:lang w:val="en-US" w:eastAsia="en-US" w:bidi="ar-SA"/>
      </w:rPr>
    </w:lvl>
  </w:abstractNum>
  <w:abstractNum w:abstractNumId="156" w15:restartNumberingAfterBreak="0">
    <w:nsid w:val="51CF3628"/>
    <w:multiLevelType w:val="hybridMultilevel"/>
    <w:tmpl w:val="A30CA884"/>
    <w:lvl w:ilvl="0" w:tplc="7B6693C6">
      <w:start w:val="1"/>
      <w:numFmt w:val="lowerLetter"/>
      <w:lvlText w:val="%1)"/>
      <w:lvlJc w:val="left"/>
      <w:pPr>
        <w:ind w:left="1873" w:hanging="39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2AE5A1E">
      <w:numFmt w:val="bullet"/>
      <w:lvlText w:val="•"/>
      <w:lvlJc w:val="left"/>
      <w:pPr>
        <w:ind w:left="2840" w:hanging="394"/>
      </w:pPr>
      <w:rPr>
        <w:rFonts w:hint="default"/>
        <w:lang w:val="en-US" w:eastAsia="en-US" w:bidi="ar-SA"/>
      </w:rPr>
    </w:lvl>
    <w:lvl w:ilvl="2" w:tplc="AD3A35FA">
      <w:numFmt w:val="bullet"/>
      <w:lvlText w:val="•"/>
      <w:lvlJc w:val="left"/>
      <w:pPr>
        <w:ind w:left="3801" w:hanging="394"/>
      </w:pPr>
      <w:rPr>
        <w:rFonts w:hint="default"/>
        <w:lang w:val="en-US" w:eastAsia="en-US" w:bidi="ar-SA"/>
      </w:rPr>
    </w:lvl>
    <w:lvl w:ilvl="3" w:tplc="39F0F50A">
      <w:numFmt w:val="bullet"/>
      <w:lvlText w:val="•"/>
      <w:lvlJc w:val="left"/>
      <w:pPr>
        <w:ind w:left="4762" w:hanging="394"/>
      </w:pPr>
      <w:rPr>
        <w:rFonts w:hint="default"/>
        <w:lang w:val="en-US" w:eastAsia="en-US" w:bidi="ar-SA"/>
      </w:rPr>
    </w:lvl>
    <w:lvl w:ilvl="4" w:tplc="03F41FDE">
      <w:numFmt w:val="bullet"/>
      <w:lvlText w:val="•"/>
      <w:lvlJc w:val="left"/>
      <w:pPr>
        <w:ind w:left="5722" w:hanging="394"/>
      </w:pPr>
      <w:rPr>
        <w:rFonts w:hint="default"/>
        <w:lang w:val="en-US" w:eastAsia="en-US" w:bidi="ar-SA"/>
      </w:rPr>
    </w:lvl>
    <w:lvl w:ilvl="5" w:tplc="01DEEB66">
      <w:numFmt w:val="bullet"/>
      <w:lvlText w:val="•"/>
      <w:lvlJc w:val="left"/>
      <w:pPr>
        <w:ind w:left="6683" w:hanging="394"/>
      </w:pPr>
      <w:rPr>
        <w:rFonts w:hint="default"/>
        <w:lang w:val="en-US" w:eastAsia="en-US" w:bidi="ar-SA"/>
      </w:rPr>
    </w:lvl>
    <w:lvl w:ilvl="6" w:tplc="25B27A24">
      <w:numFmt w:val="bullet"/>
      <w:lvlText w:val="•"/>
      <w:lvlJc w:val="left"/>
      <w:pPr>
        <w:ind w:left="7644" w:hanging="394"/>
      </w:pPr>
      <w:rPr>
        <w:rFonts w:hint="default"/>
        <w:lang w:val="en-US" w:eastAsia="en-US" w:bidi="ar-SA"/>
      </w:rPr>
    </w:lvl>
    <w:lvl w:ilvl="7" w:tplc="55309032">
      <w:numFmt w:val="bullet"/>
      <w:lvlText w:val="•"/>
      <w:lvlJc w:val="left"/>
      <w:pPr>
        <w:ind w:left="8605" w:hanging="394"/>
      </w:pPr>
      <w:rPr>
        <w:rFonts w:hint="default"/>
        <w:lang w:val="en-US" w:eastAsia="en-US" w:bidi="ar-SA"/>
      </w:rPr>
    </w:lvl>
    <w:lvl w:ilvl="8" w:tplc="6056565E">
      <w:numFmt w:val="bullet"/>
      <w:lvlText w:val="•"/>
      <w:lvlJc w:val="left"/>
      <w:pPr>
        <w:ind w:left="9565" w:hanging="394"/>
      </w:pPr>
      <w:rPr>
        <w:rFonts w:hint="default"/>
        <w:lang w:val="en-US" w:eastAsia="en-US" w:bidi="ar-SA"/>
      </w:rPr>
    </w:lvl>
  </w:abstractNum>
  <w:abstractNum w:abstractNumId="157" w15:restartNumberingAfterBreak="0">
    <w:nsid w:val="520B2E80"/>
    <w:multiLevelType w:val="multilevel"/>
    <w:tmpl w:val="159E995E"/>
    <w:lvl w:ilvl="0">
      <w:start w:val="3"/>
      <w:numFmt w:val="decimal"/>
      <w:lvlText w:val="%1"/>
      <w:lvlJc w:val="left"/>
      <w:pPr>
        <w:ind w:left="1399" w:hanging="553"/>
      </w:pPr>
      <w:rPr>
        <w:rFonts w:hint="default"/>
        <w:lang w:val="en-US" w:eastAsia="en-US" w:bidi="ar-SA"/>
      </w:rPr>
    </w:lvl>
    <w:lvl w:ilvl="1">
      <w:numFmt w:val="decimal"/>
      <w:lvlText w:val="%1.%2"/>
      <w:lvlJc w:val="left"/>
      <w:pPr>
        <w:ind w:left="1399" w:hanging="553"/>
      </w:pPr>
      <w:rPr>
        <w:rFonts w:hint="default"/>
        <w:spacing w:val="-24"/>
        <w:w w:val="100"/>
        <w:lang w:val="en-US" w:eastAsia="en-US" w:bidi="ar-SA"/>
      </w:rPr>
    </w:lvl>
    <w:lvl w:ilvl="2">
      <w:start w:val="1"/>
      <w:numFmt w:val="lowerLetter"/>
      <w:lvlText w:val="%3)"/>
      <w:lvlJc w:val="left"/>
      <w:pPr>
        <w:ind w:left="1985" w:hanging="569"/>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86" w:hanging="569"/>
      </w:pPr>
      <w:rPr>
        <w:rFonts w:hint="default"/>
        <w:lang w:val="en-US" w:eastAsia="en-US" w:bidi="ar-SA"/>
      </w:rPr>
    </w:lvl>
    <w:lvl w:ilvl="4">
      <w:numFmt w:val="bullet"/>
      <w:lvlText w:val="•"/>
      <w:lvlJc w:val="left"/>
      <w:pPr>
        <w:ind w:left="5290" w:hanging="569"/>
      </w:pPr>
      <w:rPr>
        <w:rFonts w:hint="default"/>
        <w:lang w:val="en-US" w:eastAsia="en-US" w:bidi="ar-SA"/>
      </w:rPr>
    </w:lvl>
    <w:lvl w:ilvl="5">
      <w:numFmt w:val="bullet"/>
      <w:lvlText w:val="•"/>
      <w:lvlJc w:val="left"/>
      <w:pPr>
        <w:ind w:left="6393" w:hanging="569"/>
      </w:pPr>
      <w:rPr>
        <w:rFonts w:hint="default"/>
        <w:lang w:val="en-US" w:eastAsia="en-US" w:bidi="ar-SA"/>
      </w:rPr>
    </w:lvl>
    <w:lvl w:ilvl="6">
      <w:numFmt w:val="bullet"/>
      <w:lvlText w:val="•"/>
      <w:lvlJc w:val="left"/>
      <w:pPr>
        <w:ind w:left="7497" w:hanging="569"/>
      </w:pPr>
      <w:rPr>
        <w:rFonts w:hint="default"/>
        <w:lang w:val="en-US" w:eastAsia="en-US" w:bidi="ar-SA"/>
      </w:rPr>
    </w:lvl>
    <w:lvl w:ilvl="7">
      <w:numFmt w:val="bullet"/>
      <w:lvlText w:val="•"/>
      <w:lvlJc w:val="left"/>
      <w:pPr>
        <w:ind w:left="8600" w:hanging="569"/>
      </w:pPr>
      <w:rPr>
        <w:rFonts w:hint="default"/>
        <w:lang w:val="en-US" w:eastAsia="en-US" w:bidi="ar-SA"/>
      </w:rPr>
    </w:lvl>
    <w:lvl w:ilvl="8">
      <w:numFmt w:val="bullet"/>
      <w:lvlText w:val="•"/>
      <w:lvlJc w:val="left"/>
      <w:pPr>
        <w:ind w:left="9704" w:hanging="569"/>
      </w:pPr>
      <w:rPr>
        <w:rFonts w:hint="default"/>
        <w:lang w:val="en-US" w:eastAsia="en-US" w:bidi="ar-SA"/>
      </w:rPr>
    </w:lvl>
  </w:abstractNum>
  <w:abstractNum w:abstractNumId="158" w15:restartNumberingAfterBreak="0">
    <w:nsid w:val="523A3F7D"/>
    <w:multiLevelType w:val="hybridMultilevel"/>
    <w:tmpl w:val="C748B88C"/>
    <w:lvl w:ilvl="0" w:tplc="7AA45D6E">
      <w:numFmt w:val="bullet"/>
      <w:lvlText w:val=""/>
      <w:lvlJc w:val="left"/>
      <w:pPr>
        <w:ind w:left="-1" w:hanging="721"/>
      </w:pPr>
      <w:rPr>
        <w:rFonts w:ascii="Wingdings" w:eastAsia="Wingdings" w:hAnsi="Wingdings" w:cs="Wingdings" w:hint="default"/>
        <w:b w:val="0"/>
        <w:bCs w:val="0"/>
        <w:i w:val="0"/>
        <w:iCs w:val="0"/>
        <w:spacing w:val="0"/>
        <w:w w:val="100"/>
        <w:sz w:val="22"/>
        <w:szCs w:val="22"/>
        <w:lang w:val="en-US" w:eastAsia="en-US" w:bidi="ar-SA"/>
      </w:rPr>
    </w:lvl>
    <w:lvl w:ilvl="1" w:tplc="A552CBD6">
      <w:numFmt w:val="bullet"/>
      <w:lvlText w:val="•"/>
      <w:lvlJc w:val="left"/>
      <w:pPr>
        <w:ind w:left="1007" w:hanging="721"/>
      </w:pPr>
      <w:rPr>
        <w:rFonts w:hint="default"/>
        <w:lang w:val="en-US" w:eastAsia="en-US" w:bidi="ar-SA"/>
      </w:rPr>
    </w:lvl>
    <w:lvl w:ilvl="2" w:tplc="8FA42DC2">
      <w:numFmt w:val="bullet"/>
      <w:lvlText w:val="•"/>
      <w:lvlJc w:val="left"/>
      <w:pPr>
        <w:ind w:left="2014" w:hanging="721"/>
      </w:pPr>
      <w:rPr>
        <w:rFonts w:hint="default"/>
        <w:lang w:val="en-US" w:eastAsia="en-US" w:bidi="ar-SA"/>
      </w:rPr>
    </w:lvl>
    <w:lvl w:ilvl="3" w:tplc="DC58B0C8">
      <w:numFmt w:val="bullet"/>
      <w:lvlText w:val="•"/>
      <w:lvlJc w:val="left"/>
      <w:pPr>
        <w:ind w:left="3021" w:hanging="721"/>
      </w:pPr>
      <w:rPr>
        <w:rFonts w:hint="default"/>
        <w:lang w:val="en-US" w:eastAsia="en-US" w:bidi="ar-SA"/>
      </w:rPr>
    </w:lvl>
    <w:lvl w:ilvl="4" w:tplc="788C1D80">
      <w:numFmt w:val="bullet"/>
      <w:lvlText w:val="•"/>
      <w:lvlJc w:val="left"/>
      <w:pPr>
        <w:ind w:left="4028" w:hanging="721"/>
      </w:pPr>
      <w:rPr>
        <w:rFonts w:hint="default"/>
        <w:lang w:val="en-US" w:eastAsia="en-US" w:bidi="ar-SA"/>
      </w:rPr>
    </w:lvl>
    <w:lvl w:ilvl="5" w:tplc="41C0C6D8">
      <w:numFmt w:val="bullet"/>
      <w:lvlText w:val="•"/>
      <w:lvlJc w:val="left"/>
      <w:pPr>
        <w:ind w:left="5035" w:hanging="721"/>
      </w:pPr>
      <w:rPr>
        <w:rFonts w:hint="default"/>
        <w:lang w:val="en-US" w:eastAsia="en-US" w:bidi="ar-SA"/>
      </w:rPr>
    </w:lvl>
    <w:lvl w:ilvl="6" w:tplc="C6482A1C">
      <w:numFmt w:val="bullet"/>
      <w:lvlText w:val="•"/>
      <w:lvlJc w:val="left"/>
      <w:pPr>
        <w:ind w:left="6042" w:hanging="721"/>
      </w:pPr>
      <w:rPr>
        <w:rFonts w:hint="default"/>
        <w:lang w:val="en-US" w:eastAsia="en-US" w:bidi="ar-SA"/>
      </w:rPr>
    </w:lvl>
    <w:lvl w:ilvl="7" w:tplc="E8CA484E">
      <w:numFmt w:val="bullet"/>
      <w:lvlText w:val="•"/>
      <w:lvlJc w:val="left"/>
      <w:pPr>
        <w:ind w:left="7049" w:hanging="721"/>
      </w:pPr>
      <w:rPr>
        <w:rFonts w:hint="default"/>
        <w:lang w:val="en-US" w:eastAsia="en-US" w:bidi="ar-SA"/>
      </w:rPr>
    </w:lvl>
    <w:lvl w:ilvl="8" w:tplc="44F023BA">
      <w:numFmt w:val="bullet"/>
      <w:lvlText w:val="•"/>
      <w:lvlJc w:val="left"/>
      <w:pPr>
        <w:ind w:left="8056" w:hanging="721"/>
      </w:pPr>
      <w:rPr>
        <w:rFonts w:hint="default"/>
        <w:lang w:val="en-US" w:eastAsia="en-US" w:bidi="ar-SA"/>
      </w:rPr>
    </w:lvl>
  </w:abstractNum>
  <w:abstractNum w:abstractNumId="159" w15:restartNumberingAfterBreak="0">
    <w:nsid w:val="52956248"/>
    <w:multiLevelType w:val="multilevel"/>
    <w:tmpl w:val="56460C24"/>
    <w:lvl w:ilvl="0">
      <w:start w:val="28"/>
      <w:numFmt w:val="decimal"/>
      <w:lvlText w:val="%1"/>
      <w:lvlJc w:val="left"/>
      <w:pPr>
        <w:ind w:left="1363" w:hanging="524"/>
      </w:pPr>
      <w:rPr>
        <w:rFonts w:hint="default"/>
        <w:lang w:val="en-US" w:eastAsia="en-US" w:bidi="ar-SA"/>
      </w:rPr>
    </w:lvl>
    <w:lvl w:ilvl="1">
      <w:numFmt w:val="decimal"/>
      <w:lvlText w:val="%1.%2"/>
      <w:lvlJc w:val="left"/>
      <w:pPr>
        <w:ind w:left="1363" w:hanging="524"/>
      </w:pPr>
      <w:rPr>
        <w:rFonts w:ascii="Times New Roman" w:eastAsia="Times New Roman" w:hAnsi="Times New Roman" w:cs="Times New Roman" w:hint="default"/>
        <w:b/>
        <w:bCs/>
        <w:i w:val="0"/>
        <w:iCs w:val="0"/>
        <w:color w:val="221F1F"/>
        <w:spacing w:val="-23"/>
        <w:w w:val="97"/>
        <w:sz w:val="22"/>
        <w:szCs w:val="22"/>
        <w:lang w:val="en-US" w:eastAsia="en-US" w:bidi="ar-SA"/>
      </w:rPr>
    </w:lvl>
    <w:lvl w:ilvl="2">
      <w:start w:val="1"/>
      <w:numFmt w:val="lowerLetter"/>
      <w:lvlText w:val="%3)"/>
      <w:lvlJc w:val="left"/>
      <w:pPr>
        <w:ind w:left="1848" w:hanging="43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78" w:hanging="437"/>
      </w:pPr>
      <w:rPr>
        <w:rFonts w:hint="default"/>
        <w:lang w:val="en-US" w:eastAsia="en-US" w:bidi="ar-SA"/>
      </w:rPr>
    </w:lvl>
    <w:lvl w:ilvl="4">
      <w:numFmt w:val="bullet"/>
      <w:lvlText w:val="•"/>
      <w:lvlJc w:val="left"/>
      <w:pPr>
        <w:ind w:left="5197" w:hanging="437"/>
      </w:pPr>
      <w:rPr>
        <w:rFonts w:hint="default"/>
        <w:lang w:val="en-US" w:eastAsia="en-US" w:bidi="ar-SA"/>
      </w:rPr>
    </w:lvl>
    <w:lvl w:ilvl="5">
      <w:numFmt w:val="bullet"/>
      <w:lvlText w:val="•"/>
      <w:lvlJc w:val="left"/>
      <w:pPr>
        <w:ind w:left="6316" w:hanging="437"/>
      </w:pPr>
      <w:rPr>
        <w:rFonts w:hint="default"/>
        <w:lang w:val="en-US" w:eastAsia="en-US" w:bidi="ar-SA"/>
      </w:rPr>
    </w:lvl>
    <w:lvl w:ilvl="6">
      <w:numFmt w:val="bullet"/>
      <w:lvlText w:val="•"/>
      <w:lvlJc w:val="left"/>
      <w:pPr>
        <w:ind w:left="7435" w:hanging="437"/>
      </w:pPr>
      <w:rPr>
        <w:rFonts w:hint="default"/>
        <w:lang w:val="en-US" w:eastAsia="en-US" w:bidi="ar-SA"/>
      </w:rPr>
    </w:lvl>
    <w:lvl w:ilvl="7">
      <w:numFmt w:val="bullet"/>
      <w:lvlText w:val="•"/>
      <w:lvlJc w:val="left"/>
      <w:pPr>
        <w:ind w:left="8554" w:hanging="437"/>
      </w:pPr>
      <w:rPr>
        <w:rFonts w:hint="default"/>
        <w:lang w:val="en-US" w:eastAsia="en-US" w:bidi="ar-SA"/>
      </w:rPr>
    </w:lvl>
    <w:lvl w:ilvl="8">
      <w:numFmt w:val="bullet"/>
      <w:lvlText w:val="•"/>
      <w:lvlJc w:val="left"/>
      <w:pPr>
        <w:ind w:left="9673" w:hanging="437"/>
      </w:pPr>
      <w:rPr>
        <w:rFonts w:hint="default"/>
        <w:lang w:val="en-US" w:eastAsia="en-US" w:bidi="ar-SA"/>
      </w:rPr>
    </w:lvl>
  </w:abstractNum>
  <w:abstractNum w:abstractNumId="160" w15:restartNumberingAfterBreak="0">
    <w:nsid w:val="52F261B9"/>
    <w:multiLevelType w:val="hybridMultilevel"/>
    <w:tmpl w:val="96DE6E64"/>
    <w:lvl w:ilvl="0" w:tplc="55F0389C">
      <w:start w:val="1"/>
      <w:numFmt w:val="lowerLetter"/>
      <w:lvlText w:val="%1)"/>
      <w:lvlJc w:val="left"/>
      <w:pPr>
        <w:ind w:left="1868" w:hanging="49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AA02072">
      <w:numFmt w:val="bullet"/>
      <w:lvlText w:val="•"/>
      <w:lvlJc w:val="left"/>
      <w:pPr>
        <w:ind w:left="2822" w:hanging="490"/>
      </w:pPr>
      <w:rPr>
        <w:rFonts w:hint="default"/>
        <w:lang w:val="en-US" w:eastAsia="en-US" w:bidi="ar-SA"/>
      </w:rPr>
    </w:lvl>
    <w:lvl w:ilvl="2" w:tplc="3C7247A0">
      <w:numFmt w:val="bullet"/>
      <w:lvlText w:val="•"/>
      <w:lvlJc w:val="left"/>
      <w:pPr>
        <w:ind w:left="3785" w:hanging="490"/>
      </w:pPr>
      <w:rPr>
        <w:rFonts w:hint="default"/>
        <w:lang w:val="en-US" w:eastAsia="en-US" w:bidi="ar-SA"/>
      </w:rPr>
    </w:lvl>
    <w:lvl w:ilvl="3" w:tplc="4D5292BC">
      <w:numFmt w:val="bullet"/>
      <w:lvlText w:val="•"/>
      <w:lvlJc w:val="left"/>
      <w:pPr>
        <w:ind w:left="4748" w:hanging="490"/>
      </w:pPr>
      <w:rPr>
        <w:rFonts w:hint="default"/>
        <w:lang w:val="en-US" w:eastAsia="en-US" w:bidi="ar-SA"/>
      </w:rPr>
    </w:lvl>
    <w:lvl w:ilvl="4" w:tplc="C470828E">
      <w:numFmt w:val="bullet"/>
      <w:lvlText w:val="•"/>
      <w:lvlJc w:val="left"/>
      <w:pPr>
        <w:ind w:left="5710" w:hanging="490"/>
      </w:pPr>
      <w:rPr>
        <w:rFonts w:hint="default"/>
        <w:lang w:val="en-US" w:eastAsia="en-US" w:bidi="ar-SA"/>
      </w:rPr>
    </w:lvl>
    <w:lvl w:ilvl="5" w:tplc="13EA714E">
      <w:numFmt w:val="bullet"/>
      <w:lvlText w:val="•"/>
      <w:lvlJc w:val="left"/>
      <w:pPr>
        <w:ind w:left="6673" w:hanging="490"/>
      </w:pPr>
      <w:rPr>
        <w:rFonts w:hint="default"/>
        <w:lang w:val="en-US" w:eastAsia="en-US" w:bidi="ar-SA"/>
      </w:rPr>
    </w:lvl>
    <w:lvl w:ilvl="6" w:tplc="47F03F58">
      <w:numFmt w:val="bullet"/>
      <w:lvlText w:val="•"/>
      <w:lvlJc w:val="left"/>
      <w:pPr>
        <w:ind w:left="7636" w:hanging="490"/>
      </w:pPr>
      <w:rPr>
        <w:rFonts w:hint="default"/>
        <w:lang w:val="en-US" w:eastAsia="en-US" w:bidi="ar-SA"/>
      </w:rPr>
    </w:lvl>
    <w:lvl w:ilvl="7" w:tplc="8474BA3C">
      <w:numFmt w:val="bullet"/>
      <w:lvlText w:val="•"/>
      <w:lvlJc w:val="left"/>
      <w:pPr>
        <w:ind w:left="8599" w:hanging="490"/>
      </w:pPr>
      <w:rPr>
        <w:rFonts w:hint="default"/>
        <w:lang w:val="en-US" w:eastAsia="en-US" w:bidi="ar-SA"/>
      </w:rPr>
    </w:lvl>
    <w:lvl w:ilvl="8" w:tplc="1F1A9214">
      <w:numFmt w:val="bullet"/>
      <w:lvlText w:val="•"/>
      <w:lvlJc w:val="left"/>
      <w:pPr>
        <w:ind w:left="9561" w:hanging="490"/>
      </w:pPr>
      <w:rPr>
        <w:rFonts w:hint="default"/>
        <w:lang w:val="en-US" w:eastAsia="en-US" w:bidi="ar-SA"/>
      </w:rPr>
    </w:lvl>
  </w:abstractNum>
  <w:abstractNum w:abstractNumId="161" w15:restartNumberingAfterBreak="0">
    <w:nsid w:val="531E7A07"/>
    <w:multiLevelType w:val="hybridMultilevel"/>
    <w:tmpl w:val="4F54D97C"/>
    <w:lvl w:ilvl="0" w:tplc="FC68EAA8">
      <w:start w:val="1"/>
      <w:numFmt w:val="lowerLetter"/>
      <w:lvlText w:val="%1)"/>
      <w:lvlJc w:val="left"/>
      <w:pPr>
        <w:ind w:left="927"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BDF62356">
      <w:numFmt w:val="bullet"/>
      <w:lvlText w:val="•"/>
      <w:lvlJc w:val="left"/>
      <w:pPr>
        <w:ind w:left="1379" w:hanging="361"/>
      </w:pPr>
      <w:rPr>
        <w:rFonts w:hint="default"/>
        <w:lang w:val="en-US" w:eastAsia="en-US" w:bidi="ar-SA"/>
      </w:rPr>
    </w:lvl>
    <w:lvl w:ilvl="2" w:tplc="E22AEA7E">
      <w:numFmt w:val="bullet"/>
      <w:lvlText w:val="•"/>
      <w:lvlJc w:val="left"/>
      <w:pPr>
        <w:ind w:left="1839" w:hanging="361"/>
      </w:pPr>
      <w:rPr>
        <w:rFonts w:hint="default"/>
        <w:lang w:val="en-US" w:eastAsia="en-US" w:bidi="ar-SA"/>
      </w:rPr>
    </w:lvl>
    <w:lvl w:ilvl="3" w:tplc="8A0ECFC6">
      <w:numFmt w:val="bullet"/>
      <w:lvlText w:val="•"/>
      <w:lvlJc w:val="left"/>
      <w:pPr>
        <w:ind w:left="2299" w:hanging="361"/>
      </w:pPr>
      <w:rPr>
        <w:rFonts w:hint="default"/>
        <w:lang w:val="en-US" w:eastAsia="en-US" w:bidi="ar-SA"/>
      </w:rPr>
    </w:lvl>
    <w:lvl w:ilvl="4" w:tplc="6EAE769C">
      <w:numFmt w:val="bullet"/>
      <w:lvlText w:val="•"/>
      <w:lvlJc w:val="left"/>
      <w:pPr>
        <w:ind w:left="2759" w:hanging="361"/>
      </w:pPr>
      <w:rPr>
        <w:rFonts w:hint="default"/>
        <w:lang w:val="en-US" w:eastAsia="en-US" w:bidi="ar-SA"/>
      </w:rPr>
    </w:lvl>
    <w:lvl w:ilvl="5" w:tplc="BD781E68">
      <w:numFmt w:val="bullet"/>
      <w:lvlText w:val="•"/>
      <w:lvlJc w:val="left"/>
      <w:pPr>
        <w:ind w:left="3219" w:hanging="361"/>
      </w:pPr>
      <w:rPr>
        <w:rFonts w:hint="default"/>
        <w:lang w:val="en-US" w:eastAsia="en-US" w:bidi="ar-SA"/>
      </w:rPr>
    </w:lvl>
    <w:lvl w:ilvl="6" w:tplc="F16A0424">
      <w:numFmt w:val="bullet"/>
      <w:lvlText w:val="•"/>
      <w:lvlJc w:val="left"/>
      <w:pPr>
        <w:ind w:left="3678" w:hanging="361"/>
      </w:pPr>
      <w:rPr>
        <w:rFonts w:hint="default"/>
        <w:lang w:val="en-US" w:eastAsia="en-US" w:bidi="ar-SA"/>
      </w:rPr>
    </w:lvl>
    <w:lvl w:ilvl="7" w:tplc="3AB4952A">
      <w:numFmt w:val="bullet"/>
      <w:lvlText w:val="•"/>
      <w:lvlJc w:val="left"/>
      <w:pPr>
        <w:ind w:left="4138" w:hanging="361"/>
      </w:pPr>
      <w:rPr>
        <w:rFonts w:hint="default"/>
        <w:lang w:val="en-US" w:eastAsia="en-US" w:bidi="ar-SA"/>
      </w:rPr>
    </w:lvl>
    <w:lvl w:ilvl="8" w:tplc="D8E09AE0">
      <w:numFmt w:val="bullet"/>
      <w:lvlText w:val="•"/>
      <w:lvlJc w:val="left"/>
      <w:pPr>
        <w:ind w:left="4598" w:hanging="361"/>
      </w:pPr>
      <w:rPr>
        <w:rFonts w:hint="default"/>
        <w:lang w:val="en-US" w:eastAsia="en-US" w:bidi="ar-SA"/>
      </w:rPr>
    </w:lvl>
  </w:abstractNum>
  <w:abstractNum w:abstractNumId="162" w15:restartNumberingAfterBreak="0">
    <w:nsid w:val="53356453"/>
    <w:multiLevelType w:val="hybridMultilevel"/>
    <w:tmpl w:val="39DE6516"/>
    <w:lvl w:ilvl="0" w:tplc="808014AA">
      <w:start w:val="1"/>
      <w:numFmt w:val="decimal"/>
      <w:lvlText w:val="%1."/>
      <w:lvlJc w:val="left"/>
      <w:pPr>
        <w:ind w:left="1112" w:hanging="404"/>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236C7050">
      <w:start w:val="1"/>
      <w:numFmt w:val="lowerLetter"/>
      <w:lvlText w:val="%2)"/>
      <w:lvlJc w:val="left"/>
      <w:pPr>
        <w:ind w:left="1489" w:hanging="37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2576A46E">
      <w:numFmt w:val="bullet"/>
      <w:lvlText w:val="•"/>
      <w:lvlJc w:val="left"/>
      <w:pPr>
        <w:ind w:left="2591" w:hanging="377"/>
      </w:pPr>
      <w:rPr>
        <w:rFonts w:hint="default"/>
        <w:lang w:val="en-US" w:eastAsia="en-US" w:bidi="ar-SA"/>
      </w:rPr>
    </w:lvl>
    <w:lvl w:ilvl="3" w:tplc="838C35F2">
      <w:numFmt w:val="bullet"/>
      <w:lvlText w:val="•"/>
      <w:lvlJc w:val="left"/>
      <w:pPr>
        <w:ind w:left="3703" w:hanging="377"/>
      </w:pPr>
      <w:rPr>
        <w:rFonts w:hint="default"/>
        <w:lang w:val="en-US" w:eastAsia="en-US" w:bidi="ar-SA"/>
      </w:rPr>
    </w:lvl>
    <w:lvl w:ilvl="4" w:tplc="0BFE608A">
      <w:numFmt w:val="bullet"/>
      <w:lvlText w:val="•"/>
      <w:lvlJc w:val="left"/>
      <w:pPr>
        <w:ind w:left="4815" w:hanging="377"/>
      </w:pPr>
      <w:rPr>
        <w:rFonts w:hint="default"/>
        <w:lang w:val="en-US" w:eastAsia="en-US" w:bidi="ar-SA"/>
      </w:rPr>
    </w:lvl>
    <w:lvl w:ilvl="5" w:tplc="28C0CC08">
      <w:numFmt w:val="bullet"/>
      <w:lvlText w:val="•"/>
      <w:lvlJc w:val="left"/>
      <w:pPr>
        <w:ind w:left="5927" w:hanging="377"/>
      </w:pPr>
      <w:rPr>
        <w:rFonts w:hint="default"/>
        <w:lang w:val="en-US" w:eastAsia="en-US" w:bidi="ar-SA"/>
      </w:rPr>
    </w:lvl>
    <w:lvl w:ilvl="6" w:tplc="EB4A1C76">
      <w:numFmt w:val="bullet"/>
      <w:lvlText w:val="•"/>
      <w:lvlJc w:val="left"/>
      <w:pPr>
        <w:ind w:left="7039" w:hanging="377"/>
      </w:pPr>
      <w:rPr>
        <w:rFonts w:hint="default"/>
        <w:lang w:val="en-US" w:eastAsia="en-US" w:bidi="ar-SA"/>
      </w:rPr>
    </w:lvl>
    <w:lvl w:ilvl="7" w:tplc="65805D12">
      <w:numFmt w:val="bullet"/>
      <w:lvlText w:val="•"/>
      <w:lvlJc w:val="left"/>
      <w:pPr>
        <w:ind w:left="8151" w:hanging="377"/>
      </w:pPr>
      <w:rPr>
        <w:rFonts w:hint="default"/>
        <w:lang w:val="en-US" w:eastAsia="en-US" w:bidi="ar-SA"/>
      </w:rPr>
    </w:lvl>
    <w:lvl w:ilvl="8" w:tplc="10722ADC">
      <w:numFmt w:val="bullet"/>
      <w:lvlText w:val="•"/>
      <w:lvlJc w:val="left"/>
      <w:pPr>
        <w:ind w:left="9263" w:hanging="377"/>
      </w:pPr>
      <w:rPr>
        <w:rFonts w:hint="default"/>
        <w:lang w:val="en-US" w:eastAsia="en-US" w:bidi="ar-SA"/>
      </w:rPr>
    </w:lvl>
  </w:abstractNum>
  <w:abstractNum w:abstractNumId="163" w15:restartNumberingAfterBreak="0">
    <w:nsid w:val="534B37E4"/>
    <w:multiLevelType w:val="multilevel"/>
    <w:tmpl w:val="1A1E40D8"/>
    <w:lvl w:ilvl="0">
      <w:start w:val="4"/>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i w:val="0"/>
        <w:iCs w:val="0"/>
        <w:color w:val="221F1F"/>
        <w:spacing w:val="-23"/>
        <w:w w:val="97"/>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64" w15:restartNumberingAfterBreak="0">
    <w:nsid w:val="53B92F5A"/>
    <w:multiLevelType w:val="hybridMultilevel"/>
    <w:tmpl w:val="88964F70"/>
    <w:lvl w:ilvl="0" w:tplc="E154D10E">
      <w:start w:val="1"/>
      <w:numFmt w:val="decimal"/>
      <w:lvlText w:val="%1."/>
      <w:lvlJc w:val="left"/>
      <w:pPr>
        <w:ind w:left="213" w:hanging="214"/>
      </w:pPr>
      <w:rPr>
        <w:rFonts w:ascii="Times New Roman" w:eastAsia="Times New Roman" w:hAnsi="Times New Roman" w:cs="Times New Roman" w:hint="default"/>
        <w:b w:val="0"/>
        <w:bCs w:val="0"/>
        <w:i w:val="0"/>
        <w:iCs w:val="0"/>
        <w:spacing w:val="-3"/>
        <w:w w:val="100"/>
        <w:sz w:val="22"/>
        <w:szCs w:val="22"/>
        <w:lang w:val="en-US" w:eastAsia="en-US" w:bidi="ar-SA"/>
      </w:rPr>
    </w:lvl>
    <w:lvl w:ilvl="1" w:tplc="A1C6CE6A">
      <w:numFmt w:val="bullet"/>
      <w:lvlText w:val=""/>
      <w:lvlJc w:val="left"/>
      <w:pPr>
        <w:ind w:left="-1" w:hanging="721"/>
      </w:pPr>
      <w:rPr>
        <w:rFonts w:ascii="Wingdings" w:eastAsia="Wingdings" w:hAnsi="Wingdings" w:cs="Wingdings" w:hint="default"/>
        <w:b w:val="0"/>
        <w:bCs w:val="0"/>
        <w:i w:val="0"/>
        <w:iCs w:val="0"/>
        <w:spacing w:val="0"/>
        <w:w w:val="100"/>
        <w:sz w:val="22"/>
        <w:szCs w:val="22"/>
        <w:lang w:val="en-US" w:eastAsia="en-US" w:bidi="ar-SA"/>
      </w:rPr>
    </w:lvl>
    <w:lvl w:ilvl="2" w:tplc="60ECA5C8">
      <w:numFmt w:val="bullet"/>
      <w:lvlText w:val="•"/>
      <w:lvlJc w:val="left"/>
      <w:pPr>
        <w:ind w:left="1226" w:hanging="721"/>
      </w:pPr>
      <w:rPr>
        <w:rFonts w:hint="default"/>
        <w:lang w:val="en-US" w:eastAsia="en-US" w:bidi="ar-SA"/>
      </w:rPr>
    </w:lvl>
    <w:lvl w:ilvl="3" w:tplc="6A9E8D10">
      <w:numFmt w:val="bullet"/>
      <w:lvlText w:val="•"/>
      <w:lvlJc w:val="left"/>
      <w:pPr>
        <w:ind w:left="2232" w:hanging="721"/>
      </w:pPr>
      <w:rPr>
        <w:rFonts w:hint="default"/>
        <w:lang w:val="en-US" w:eastAsia="en-US" w:bidi="ar-SA"/>
      </w:rPr>
    </w:lvl>
    <w:lvl w:ilvl="4" w:tplc="33B6363C">
      <w:numFmt w:val="bullet"/>
      <w:lvlText w:val="•"/>
      <w:lvlJc w:val="left"/>
      <w:pPr>
        <w:ind w:left="3238" w:hanging="721"/>
      </w:pPr>
      <w:rPr>
        <w:rFonts w:hint="default"/>
        <w:lang w:val="en-US" w:eastAsia="en-US" w:bidi="ar-SA"/>
      </w:rPr>
    </w:lvl>
    <w:lvl w:ilvl="5" w:tplc="1DB294AE">
      <w:numFmt w:val="bullet"/>
      <w:lvlText w:val="•"/>
      <w:lvlJc w:val="left"/>
      <w:pPr>
        <w:ind w:left="4244" w:hanging="721"/>
      </w:pPr>
      <w:rPr>
        <w:rFonts w:hint="default"/>
        <w:lang w:val="en-US" w:eastAsia="en-US" w:bidi="ar-SA"/>
      </w:rPr>
    </w:lvl>
    <w:lvl w:ilvl="6" w:tplc="3A4260F4">
      <w:numFmt w:val="bullet"/>
      <w:lvlText w:val="•"/>
      <w:lvlJc w:val="left"/>
      <w:pPr>
        <w:ind w:left="5250" w:hanging="721"/>
      </w:pPr>
      <w:rPr>
        <w:rFonts w:hint="default"/>
        <w:lang w:val="en-US" w:eastAsia="en-US" w:bidi="ar-SA"/>
      </w:rPr>
    </w:lvl>
    <w:lvl w:ilvl="7" w:tplc="F52ADD72">
      <w:numFmt w:val="bullet"/>
      <w:lvlText w:val="•"/>
      <w:lvlJc w:val="left"/>
      <w:pPr>
        <w:ind w:left="6256" w:hanging="721"/>
      </w:pPr>
      <w:rPr>
        <w:rFonts w:hint="default"/>
        <w:lang w:val="en-US" w:eastAsia="en-US" w:bidi="ar-SA"/>
      </w:rPr>
    </w:lvl>
    <w:lvl w:ilvl="8" w:tplc="E2FA1AD8">
      <w:numFmt w:val="bullet"/>
      <w:lvlText w:val="•"/>
      <w:lvlJc w:val="left"/>
      <w:pPr>
        <w:ind w:left="7262" w:hanging="721"/>
      </w:pPr>
      <w:rPr>
        <w:rFonts w:hint="default"/>
        <w:lang w:val="en-US" w:eastAsia="en-US" w:bidi="ar-SA"/>
      </w:rPr>
    </w:lvl>
  </w:abstractNum>
  <w:abstractNum w:abstractNumId="165" w15:restartNumberingAfterBreak="0">
    <w:nsid w:val="53D73224"/>
    <w:multiLevelType w:val="multilevel"/>
    <w:tmpl w:val="E828F5D0"/>
    <w:lvl w:ilvl="0">
      <w:start w:val="10"/>
      <w:numFmt w:val="decimal"/>
      <w:lvlText w:val="%1.0"/>
      <w:lvlJc w:val="left"/>
      <w:pPr>
        <w:ind w:left="1281" w:hanging="442"/>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397" w:hanging="558"/>
      </w:pPr>
      <w:rPr>
        <w:rFonts w:ascii="Times New Roman" w:eastAsia="Times New Roman" w:hAnsi="Times New Roman" w:cs="Times New Roman" w:hint="default"/>
        <w:b/>
        <w:bCs/>
        <w:i w:val="0"/>
        <w:iCs w:val="0"/>
        <w:color w:val="221F1F"/>
        <w:spacing w:val="-27"/>
        <w:w w:val="100"/>
        <w:sz w:val="22"/>
        <w:szCs w:val="22"/>
        <w:lang w:val="en-US" w:eastAsia="en-US" w:bidi="ar-SA"/>
      </w:rPr>
    </w:lvl>
    <w:lvl w:ilvl="2">
      <w:start w:val="1"/>
      <w:numFmt w:val="lowerLetter"/>
      <w:lvlText w:val="%3)"/>
      <w:lvlJc w:val="left"/>
      <w:pPr>
        <w:ind w:left="1817" w:hanging="41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081" w:hanging="411"/>
      </w:pPr>
      <w:rPr>
        <w:rFonts w:hint="default"/>
        <w:lang w:val="en-US" w:eastAsia="en-US" w:bidi="ar-SA"/>
      </w:rPr>
    </w:lvl>
    <w:lvl w:ilvl="4">
      <w:numFmt w:val="bullet"/>
      <w:lvlText w:val="•"/>
      <w:lvlJc w:val="left"/>
      <w:pPr>
        <w:ind w:left="4342" w:hanging="411"/>
      </w:pPr>
      <w:rPr>
        <w:rFonts w:hint="default"/>
        <w:lang w:val="en-US" w:eastAsia="en-US" w:bidi="ar-SA"/>
      </w:rPr>
    </w:lvl>
    <w:lvl w:ilvl="5">
      <w:numFmt w:val="bullet"/>
      <w:lvlText w:val="•"/>
      <w:lvlJc w:val="left"/>
      <w:pPr>
        <w:ind w:left="5604" w:hanging="411"/>
      </w:pPr>
      <w:rPr>
        <w:rFonts w:hint="default"/>
        <w:lang w:val="en-US" w:eastAsia="en-US" w:bidi="ar-SA"/>
      </w:rPr>
    </w:lvl>
    <w:lvl w:ilvl="6">
      <w:numFmt w:val="bullet"/>
      <w:lvlText w:val="•"/>
      <w:lvlJc w:val="left"/>
      <w:pPr>
        <w:ind w:left="6865" w:hanging="411"/>
      </w:pPr>
      <w:rPr>
        <w:rFonts w:hint="default"/>
        <w:lang w:val="en-US" w:eastAsia="en-US" w:bidi="ar-SA"/>
      </w:rPr>
    </w:lvl>
    <w:lvl w:ilvl="7">
      <w:numFmt w:val="bullet"/>
      <w:lvlText w:val="•"/>
      <w:lvlJc w:val="left"/>
      <w:pPr>
        <w:ind w:left="8127" w:hanging="411"/>
      </w:pPr>
      <w:rPr>
        <w:rFonts w:hint="default"/>
        <w:lang w:val="en-US" w:eastAsia="en-US" w:bidi="ar-SA"/>
      </w:rPr>
    </w:lvl>
    <w:lvl w:ilvl="8">
      <w:numFmt w:val="bullet"/>
      <w:lvlText w:val="•"/>
      <w:lvlJc w:val="left"/>
      <w:pPr>
        <w:ind w:left="9388" w:hanging="411"/>
      </w:pPr>
      <w:rPr>
        <w:rFonts w:hint="default"/>
        <w:lang w:val="en-US" w:eastAsia="en-US" w:bidi="ar-SA"/>
      </w:rPr>
    </w:lvl>
  </w:abstractNum>
  <w:abstractNum w:abstractNumId="166" w15:restartNumberingAfterBreak="0">
    <w:nsid w:val="54336F09"/>
    <w:multiLevelType w:val="hybridMultilevel"/>
    <w:tmpl w:val="E1DA017E"/>
    <w:lvl w:ilvl="0" w:tplc="A90E257A">
      <w:start w:val="1"/>
      <w:numFmt w:val="lowerLetter"/>
      <w:lvlText w:val="%1)"/>
      <w:lvlJc w:val="left"/>
      <w:pPr>
        <w:ind w:left="1874" w:hanging="46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0A4B7B8">
      <w:numFmt w:val="bullet"/>
      <w:lvlText w:val="•"/>
      <w:lvlJc w:val="left"/>
      <w:pPr>
        <w:ind w:left="2883" w:hanging="461"/>
      </w:pPr>
      <w:rPr>
        <w:rFonts w:hint="default"/>
        <w:lang w:val="en-US" w:eastAsia="en-US" w:bidi="ar-SA"/>
      </w:rPr>
    </w:lvl>
    <w:lvl w:ilvl="2" w:tplc="A0E85818">
      <w:numFmt w:val="bullet"/>
      <w:lvlText w:val="•"/>
      <w:lvlJc w:val="left"/>
      <w:pPr>
        <w:ind w:left="3886" w:hanging="461"/>
      </w:pPr>
      <w:rPr>
        <w:rFonts w:hint="default"/>
        <w:lang w:val="en-US" w:eastAsia="en-US" w:bidi="ar-SA"/>
      </w:rPr>
    </w:lvl>
    <w:lvl w:ilvl="3" w:tplc="EBBE65FA">
      <w:numFmt w:val="bullet"/>
      <w:lvlText w:val="•"/>
      <w:lvlJc w:val="left"/>
      <w:pPr>
        <w:ind w:left="4889" w:hanging="461"/>
      </w:pPr>
      <w:rPr>
        <w:rFonts w:hint="default"/>
        <w:lang w:val="en-US" w:eastAsia="en-US" w:bidi="ar-SA"/>
      </w:rPr>
    </w:lvl>
    <w:lvl w:ilvl="4" w:tplc="BA90CC8C">
      <w:numFmt w:val="bullet"/>
      <w:lvlText w:val="•"/>
      <w:lvlJc w:val="left"/>
      <w:pPr>
        <w:ind w:left="5892" w:hanging="461"/>
      </w:pPr>
      <w:rPr>
        <w:rFonts w:hint="default"/>
        <w:lang w:val="en-US" w:eastAsia="en-US" w:bidi="ar-SA"/>
      </w:rPr>
    </w:lvl>
    <w:lvl w:ilvl="5" w:tplc="BF18B4F6">
      <w:numFmt w:val="bullet"/>
      <w:lvlText w:val="•"/>
      <w:lvlJc w:val="left"/>
      <w:pPr>
        <w:ind w:left="6895" w:hanging="461"/>
      </w:pPr>
      <w:rPr>
        <w:rFonts w:hint="default"/>
        <w:lang w:val="en-US" w:eastAsia="en-US" w:bidi="ar-SA"/>
      </w:rPr>
    </w:lvl>
    <w:lvl w:ilvl="6" w:tplc="F1FC1A46">
      <w:numFmt w:val="bullet"/>
      <w:lvlText w:val="•"/>
      <w:lvlJc w:val="left"/>
      <w:pPr>
        <w:ind w:left="7898" w:hanging="461"/>
      </w:pPr>
      <w:rPr>
        <w:rFonts w:hint="default"/>
        <w:lang w:val="en-US" w:eastAsia="en-US" w:bidi="ar-SA"/>
      </w:rPr>
    </w:lvl>
    <w:lvl w:ilvl="7" w:tplc="70F853F6">
      <w:numFmt w:val="bullet"/>
      <w:lvlText w:val="•"/>
      <w:lvlJc w:val="left"/>
      <w:pPr>
        <w:ind w:left="8901" w:hanging="461"/>
      </w:pPr>
      <w:rPr>
        <w:rFonts w:hint="default"/>
        <w:lang w:val="en-US" w:eastAsia="en-US" w:bidi="ar-SA"/>
      </w:rPr>
    </w:lvl>
    <w:lvl w:ilvl="8" w:tplc="5770D75E">
      <w:numFmt w:val="bullet"/>
      <w:lvlText w:val="•"/>
      <w:lvlJc w:val="left"/>
      <w:pPr>
        <w:ind w:left="9904" w:hanging="461"/>
      </w:pPr>
      <w:rPr>
        <w:rFonts w:hint="default"/>
        <w:lang w:val="en-US" w:eastAsia="en-US" w:bidi="ar-SA"/>
      </w:rPr>
    </w:lvl>
  </w:abstractNum>
  <w:abstractNum w:abstractNumId="167" w15:restartNumberingAfterBreak="0">
    <w:nsid w:val="546D13F4"/>
    <w:multiLevelType w:val="hybridMultilevel"/>
    <w:tmpl w:val="42728EF8"/>
    <w:lvl w:ilvl="0" w:tplc="69DEF26C">
      <w:start w:val="1"/>
      <w:numFmt w:val="lowerLetter"/>
      <w:lvlText w:val="%1)"/>
      <w:lvlJc w:val="left"/>
      <w:pPr>
        <w:ind w:left="1868"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F2C4492">
      <w:numFmt w:val="bullet"/>
      <w:lvlText w:val="•"/>
      <w:lvlJc w:val="left"/>
      <w:pPr>
        <w:ind w:left="2822" w:hanging="485"/>
      </w:pPr>
      <w:rPr>
        <w:rFonts w:hint="default"/>
        <w:lang w:val="en-US" w:eastAsia="en-US" w:bidi="ar-SA"/>
      </w:rPr>
    </w:lvl>
    <w:lvl w:ilvl="2" w:tplc="E892AFF0">
      <w:numFmt w:val="bullet"/>
      <w:lvlText w:val="•"/>
      <w:lvlJc w:val="left"/>
      <w:pPr>
        <w:ind w:left="3785" w:hanging="485"/>
      </w:pPr>
      <w:rPr>
        <w:rFonts w:hint="default"/>
        <w:lang w:val="en-US" w:eastAsia="en-US" w:bidi="ar-SA"/>
      </w:rPr>
    </w:lvl>
    <w:lvl w:ilvl="3" w:tplc="012EBD9A">
      <w:numFmt w:val="bullet"/>
      <w:lvlText w:val="•"/>
      <w:lvlJc w:val="left"/>
      <w:pPr>
        <w:ind w:left="4748" w:hanging="485"/>
      </w:pPr>
      <w:rPr>
        <w:rFonts w:hint="default"/>
        <w:lang w:val="en-US" w:eastAsia="en-US" w:bidi="ar-SA"/>
      </w:rPr>
    </w:lvl>
    <w:lvl w:ilvl="4" w:tplc="606C8F12">
      <w:numFmt w:val="bullet"/>
      <w:lvlText w:val="•"/>
      <w:lvlJc w:val="left"/>
      <w:pPr>
        <w:ind w:left="5710" w:hanging="485"/>
      </w:pPr>
      <w:rPr>
        <w:rFonts w:hint="default"/>
        <w:lang w:val="en-US" w:eastAsia="en-US" w:bidi="ar-SA"/>
      </w:rPr>
    </w:lvl>
    <w:lvl w:ilvl="5" w:tplc="407A16B2">
      <w:numFmt w:val="bullet"/>
      <w:lvlText w:val="•"/>
      <w:lvlJc w:val="left"/>
      <w:pPr>
        <w:ind w:left="6673" w:hanging="485"/>
      </w:pPr>
      <w:rPr>
        <w:rFonts w:hint="default"/>
        <w:lang w:val="en-US" w:eastAsia="en-US" w:bidi="ar-SA"/>
      </w:rPr>
    </w:lvl>
    <w:lvl w:ilvl="6" w:tplc="0D4EA654">
      <w:numFmt w:val="bullet"/>
      <w:lvlText w:val="•"/>
      <w:lvlJc w:val="left"/>
      <w:pPr>
        <w:ind w:left="7636" w:hanging="485"/>
      </w:pPr>
      <w:rPr>
        <w:rFonts w:hint="default"/>
        <w:lang w:val="en-US" w:eastAsia="en-US" w:bidi="ar-SA"/>
      </w:rPr>
    </w:lvl>
    <w:lvl w:ilvl="7" w:tplc="4F0E1D72">
      <w:numFmt w:val="bullet"/>
      <w:lvlText w:val="•"/>
      <w:lvlJc w:val="left"/>
      <w:pPr>
        <w:ind w:left="8599" w:hanging="485"/>
      </w:pPr>
      <w:rPr>
        <w:rFonts w:hint="default"/>
        <w:lang w:val="en-US" w:eastAsia="en-US" w:bidi="ar-SA"/>
      </w:rPr>
    </w:lvl>
    <w:lvl w:ilvl="8" w:tplc="20C6C70C">
      <w:numFmt w:val="bullet"/>
      <w:lvlText w:val="•"/>
      <w:lvlJc w:val="left"/>
      <w:pPr>
        <w:ind w:left="9561" w:hanging="485"/>
      </w:pPr>
      <w:rPr>
        <w:rFonts w:hint="default"/>
        <w:lang w:val="en-US" w:eastAsia="en-US" w:bidi="ar-SA"/>
      </w:rPr>
    </w:lvl>
  </w:abstractNum>
  <w:abstractNum w:abstractNumId="168" w15:restartNumberingAfterBreak="0">
    <w:nsid w:val="54DB1BC1"/>
    <w:multiLevelType w:val="hybridMultilevel"/>
    <w:tmpl w:val="005AF456"/>
    <w:lvl w:ilvl="0" w:tplc="2B58194C">
      <w:start w:val="1"/>
      <w:numFmt w:val="lowerLetter"/>
      <w:lvlText w:val="%1)"/>
      <w:lvlJc w:val="left"/>
      <w:pPr>
        <w:ind w:left="1880" w:hanging="5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7A24A64">
      <w:numFmt w:val="bullet"/>
      <w:lvlText w:val="•"/>
      <w:lvlJc w:val="left"/>
      <w:pPr>
        <w:ind w:left="2840" w:hanging="504"/>
      </w:pPr>
      <w:rPr>
        <w:rFonts w:hint="default"/>
        <w:lang w:val="en-US" w:eastAsia="en-US" w:bidi="ar-SA"/>
      </w:rPr>
    </w:lvl>
    <w:lvl w:ilvl="2" w:tplc="44A6E234">
      <w:numFmt w:val="bullet"/>
      <w:lvlText w:val="•"/>
      <w:lvlJc w:val="left"/>
      <w:pPr>
        <w:ind w:left="3801" w:hanging="504"/>
      </w:pPr>
      <w:rPr>
        <w:rFonts w:hint="default"/>
        <w:lang w:val="en-US" w:eastAsia="en-US" w:bidi="ar-SA"/>
      </w:rPr>
    </w:lvl>
    <w:lvl w:ilvl="3" w:tplc="A9A21D34">
      <w:numFmt w:val="bullet"/>
      <w:lvlText w:val="•"/>
      <w:lvlJc w:val="left"/>
      <w:pPr>
        <w:ind w:left="4762" w:hanging="504"/>
      </w:pPr>
      <w:rPr>
        <w:rFonts w:hint="default"/>
        <w:lang w:val="en-US" w:eastAsia="en-US" w:bidi="ar-SA"/>
      </w:rPr>
    </w:lvl>
    <w:lvl w:ilvl="4" w:tplc="AB2A0D26">
      <w:numFmt w:val="bullet"/>
      <w:lvlText w:val="•"/>
      <w:lvlJc w:val="left"/>
      <w:pPr>
        <w:ind w:left="5722" w:hanging="504"/>
      </w:pPr>
      <w:rPr>
        <w:rFonts w:hint="default"/>
        <w:lang w:val="en-US" w:eastAsia="en-US" w:bidi="ar-SA"/>
      </w:rPr>
    </w:lvl>
    <w:lvl w:ilvl="5" w:tplc="D7B6EF10">
      <w:numFmt w:val="bullet"/>
      <w:lvlText w:val="•"/>
      <w:lvlJc w:val="left"/>
      <w:pPr>
        <w:ind w:left="6683" w:hanging="504"/>
      </w:pPr>
      <w:rPr>
        <w:rFonts w:hint="default"/>
        <w:lang w:val="en-US" w:eastAsia="en-US" w:bidi="ar-SA"/>
      </w:rPr>
    </w:lvl>
    <w:lvl w:ilvl="6" w:tplc="EDD6E0B0">
      <w:numFmt w:val="bullet"/>
      <w:lvlText w:val="•"/>
      <w:lvlJc w:val="left"/>
      <w:pPr>
        <w:ind w:left="7644" w:hanging="504"/>
      </w:pPr>
      <w:rPr>
        <w:rFonts w:hint="default"/>
        <w:lang w:val="en-US" w:eastAsia="en-US" w:bidi="ar-SA"/>
      </w:rPr>
    </w:lvl>
    <w:lvl w:ilvl="7" w:tplc="79C64736">
      <w:numFmt w:val="bullet"/>
      <w:lvlText w:val="•"/>
      <w:lvlJc w:val="left"/>
      <w:pPr>
        <w:ind w:left="8605" w:hanging="504"/>
      </w:pPr>
      <w:rPr>
        <w:rFonts w:hint="default"/>
        <w:lang w:val="en-US" w:eastAsia="en-US" w:bidi="ar-SA"/>
      </w:rPr>
    </w:lvl>
    <w:lvl w:ilvl="8" w:tplc="5A6E8FA0">
      <w:numFmt w:val="bullet"/>
      <w:lvlText w:val="•"/>
      <w:lvlJc w:val="left"/>
      <w:pPr>
        <w:ind w:left="9565" w:hanging="504"/>
      </w:pPr>
      <w:rPr>
        <w:rFonts w:hint="default"/>
        <w:lang w:val="en-US" w:eastAsia="en-US" w:bidi="ar-SA"/>
      </w:rPr>
    </w:lvl>
  </w:abstractNum>
  <w:abstractNum w:abstractNumId="169" w15:restartNumberingAfterBreak="0">
    <w:nsid w:val="567C0BB3"/>
    <w:multiLevelType w:val="hybridMultilevel"/>
    <w:tmpl w:val="F604BED0"/>
    <w:lvl w:ilvl="0" w:tplc="E02A656C">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77495BA">
      <w:numFmt w:val="bullet"/>
      <w:lvlText w:val="•"/>
      <w:lvlJc w:val="left"/>
      <w:pPr>
        <w:ind w:left="2822" w:hanging="495"/>
      </w:pPr>
      <w:rPr>
        <w:rFonts w:hint="default"/>
        <w:lang w:val="en-US" w:eastAsia="en-US" w:bidi="ar-SA"/>
      </w:rPr>
    </w:lvl>
    <w:lvl w:ilvl="2" w:tplc="681EDC6A">
      <w:numFmt w:val="bullet"/>
      <w:lvlText w:val="•"/>
      <w:lvlJc w:val="left"/>
      <w:pPr>
        <w:ind w:left="3785" w:hanging="495"/>
      </w:pPr>
      <w:rPr>
        <w:rFonts w:hint="default"/>
        <w:lang w:val="en-US" w:eastAsia="en-US" w:bidi="ar-SA"/>
      </w:rPr>
    </w:lvl>
    <w:lvl w:ilvl="3" w:tplc="490CA3A6">
      <w:numFmt w:val="bullet"/>
      <w:lvlText w:val="•"/>
      <w:lvlJc w:val="left"/>
      <w:pPr>
        <w:ind w:left="4748" w:hanging="495"/>
      </w:pPr>
      <w:rPr>
        <w:rFonts w:hint="default"/>
        <w:lang w:val="en-US" w:eastAsia="en-US" w:bidi="ar-SA"/>
      </w:rPr>
    </w:lvl>
    <w:lvl w:ilvl="4" w:tplc="AE10489E">
      <w:numFmt w:val="bullet"/>
      <w:lvlText w:val="•"/>
      <w:lvlJc w:val="left"/>
      <w:pPr>
        <w:ind w:left="5710" w:hanging="495"/>
      </w:pPr>
      <w:rPr>
        <w:rFonts w:hint="default"/>
        <w:lang w:val="en-US" w:eastAsia="en-US" w:bidi="ar-SA"/>
      </w:rPr>
    </w:lvl>
    <w:lvl w:ilvl="5" w:tplc="5C5000C0">
      <w:numFmt w:val="bullet"/>
      <w:lvlText w:val="•"/>
      <w:lvlJc w:val="left"/>
      <w:pPr>
        <w:ind w:left="6673" w:hanging="495"/>
      </w:pPr>
      <w:rPr>
        <w:rFonts w:hint="default"/>
        <w:lang w:val="en-US" w:eastAsia="en-US" w:bidi="ar-SA"/>
      </w:rPr>
    </w:lvl>
    <w:lvl w:ilvl="6" w:tplc="29A8558E">
      <w:numFmt w:val="bullet"/>
      <w:lvlText w:val="•"/>
      <w:lvlJc w:val="left"/>
      <w:pPr>
        <w:ind w:left="7636" w:hanging="495"/>
      </w:pPr>
      <w:rPr>
        <w:rFonts w:hint="default"/>
        <w:lang w:val="en-US" w:eastAsia="en-US" w:bidi="ar-SA"/>
      </w:rPr>
    </w:lvl>
    <w:lvl w:ilvl="7" w:tplc="7F50C37C">
      <w:numFmt w:val="bullet"/>
      <w:lvlText w:val="•"/>
      <w:lvlJc w:val="left"/>
      <w:pPr>
        <w:ind w:left="8599" w:hanging="495"/>
      </w:pPr>
      <w:rPr>
        <w:rFonts w:hint="default"/>
        <w:lang w:val="en-US" w:eastAsia="en-US" w:bidi="ar-SA"/>
      </w:rPr>
    </w:lvl>
    <w:lvl w:ilvl="8" w:tplc="F2F66288">
      <w:numFmt w:val="bullet"/>
      <w:lvlText w:val="•"/>
      <w:lvlJc w:val="left"/>
      <w:pPr>
        <w:ind w:left="9561" w:hanging="495"/>
      </w:pPr>
      <w:rPr>
        <w:rFonts w:hint="default"/>
        <w:lang w:val="en-US" w:eastAsia="en-US" w:bidi="ar-SA"/>
      </w:rPr>
    </w:lvl>
  </w:abstractNum>
  <w:abstractNum w:abstractNumId="170" w15:restartNumberingAfterBreak="0">
    <w:nsid w:val="56E26109"/>
    <w:multiLevelType w:val="hybridMultilevel"/>
    <w:tmpl w:val="E4F295BA"/>
    <w:lvl w:ilvl="0" w:tplc="66869264">
      <w:start w:val="1"/>
      <w:numFmt w:val="decimal"/>
      <w:lvlText w:val="%1."/>
      <w:lvlJc w:val="left"/>
      <w:pPr>
        <w:ind w:left="991" w:hanging="286"/>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6A1E6E48">
      <w:numFmt w:val="bullet"/>
      <w:lvlText w:val="•"/>
      <w:lvlJc w:val="left"/>
      <w:pPr>
        <w:ind w:left="2048" w:hanging="286"/>
      </w:pPr>
      <w:rPr>
        <w:rFonts w:hint="default"/>
        <w:lang w:val="en-US" w:eastAsia="en-US" w:bidi="ar-SA"/>
      </w:rPr>
    </w:lvl>
    <w:lvl w:ilvl="2" w:tplc="1C8228DA">
      <w:numFmt w:val="bullet"/>
      <w:lvlText w:val="•"/>
      <w:lvlJc w:val="left"/>
      <w:pPr>
        <w:ind w:left="3097" w:hanging="286"/>
      </w:pPr>
      <w:rPr>
        <w:rFonts w:hint="default"/>
        <w:lang w:val="en-US" w:eastAsia="en-US" w:bidi="ar-SA"/>
      </w:rPr>
    </w:lvl>
    <w:lvl w:ilvl="3" w:tplc="B178C514">
      <w:numFmt w:val="bullet"/>
      <w:lvlText w:val="•"/>
      <w:lvlJc w:val="left"/>
      <w:pPr>
        <w:ind w:left="4146" w:hanging="286"/>
      </w:pPr>
      <w:rPr>
        <w:rFonts w:hint="default"/>
        <w:lang w:val="en-US" w:eastAsia="en-US" w:bidi="ar-SA"/>
      </w:rPr>
    </w:lvl>
    <w:lvl w:ilvl="4" w:tplc="3C1C4EEC">
      <w:numFmt w:val="bullet"/>
      <w:lvlText w:val="•"/>
      <w:lvlJc w:val="left"/>
      <w:pPr>
        <w:ind w:left="5194" w:hanging="286"/>
      </w:pPr>
      <w:rPr>
        <w:rFonts w:hint="default"/>
        <w:lang w:val="en-US" w:eastAsia="en-US" w:bidi="ar-SA"/>
      </w:rPr>
    </w:lvl>
    <w:lvl w:ilvl="5" w:tplc="131A4A9E">
      <w:numFmt w:val="bullet"/>
      <w:lvlText w:val="•"/>
      <w:lvlJc w:val="left"/>
      <w:pPr>
        <w:ind w:left="6243" w:hanging="286"/>
      </w:pPr>
      <w:rPr>
        <w:rFonts w:hint="default"/>
        <w:lang w:val="en-US" w:eastAsia="en-US" w:bidi="ar-SA"/>
      </w:rPr>
    </w:lvl>
    <w:lvl w:ilvl="6" w:tplc="14D81D52">
      <w:numFmt w:val="bullet"/>
      <w:lvlText w:val="•"/>
      <w:lvlJc w:val="left"/>
      <w:pPr>
        <w:ind w:left="7292" w:hanging="286"/>
      </w:pPr>
      <w:rPr>
        <w:rFonts w:hint="default"/>
        <w:lang w:val="en-US" w:eastAsia="en-US" w:bidi="ar-SA"/>
      </w:rPr>
    </w:lvl>
    <w:lvl w:ilvl="7" w:tplc="245895CC">
      <w:numFmt w:val="bullet"/>
      <w:lvlText w:val="•"/>
      <w:lvlJc w:val="left"/>
      <w:pPr>
        <w:ind w:left="8341" w:hanging="286"/>
      </w:pPr>
      <w:rPr>
        <w:rFonts w:hint="default"/>
        <w:lang w:val="en-US" w:eastAsia="en-US" w:bidi="ar-SA"/>
      </w:rPr>
    </w:lvl>
    <w:lvl w:ilvl="8" w:tplc="3CF29652">
      <w:numFmt w:val="bullet"/>
      <w:lvlText w:val="•"/>
      <w:lvlJc w:val="left"/>
      <w:pPr>
        <w:ind w:left="9389" w:hanging="286"/>
      </w:pPr>
      <w:rPr>
        <w:rFonts w:hint="default"/>
        <w:lang w:val="en-US" w:eastAsia="en-US" w:bidi="ar-SA"/>
      </w:rPr>
    </w:lvl>
  </w:abstractNum>
  <w:abstractNum w:abstractNumId="171" w15:restartNumberingAfterBreak="0">
    <w:nsid w:val="5766265A"/>
    <w:multiLevelType w:val="hybridMultilevel"/>
    <w:tmpl w:val="F3E88E62"/>
    <w:lvl w:ilvl="0" w:tplc="B99AC6DC">
      <w:start w:val="1"/>
      <w:numFmt w:val="lowerLetter"/>
      <w:lvlText w:val="%1)"/>
      <w:lvlJc w:val="left"/>
      <w:pPr>
        <w:ind w:left="1877"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63DC86AC">
      <w:numFmt w:val="bullet"/>
      <w:lvlText w:val="•"/>
      <w:lvlJc w:val="left"/>
      <w:pPr>
        <w:ind w:left="2840" w:hanging="492"/>
      </w:pPr>
      <w:rPr>
        <w:rFonts w:hint="default"/>
        <w:lang w:val="en-US" w:eastAsia="en-US" w:bidi="ar-SA"/>
      </w:rPr>
    </w:lvl>
    <w:lvl w:ilvl="2" w:tplc="DB9EF28E">
      <w:numFmt w:val="bullet"/>
      <w:lvlText w:val="•"/>
      <w:lvlJc w:val="left"/>
      <w:pPr>
        <w:ind w:left="3801" w:hanging="492"/>
      </w:pPr>
      <w:rPr>
        <w:rFonts w:hint="default"/>
        <w:lang w:val="en-US" w:eastAsia="en-US" w:bidi="ar-SA"/>
      </w:rPr>
    </w:lvl>
    <w:lvl w:ilvl="3" w:tplc="F85466AE">
      <w:numFmt w:val="bullet"/>
      <w:lvlText w:val="•"/>
      <w:lvlJc w:val="left"/>
      <w:pPr>
        <w:ind w:left="4762" w:hanging="492"/>
      </w:pPr>
      <w:rPr>
        <w:rFonts w:hint="default"/>
        <w:lang w:val="en-US" w:eastAsia="en-US" w:bidi="ar-SA"/>
      </w:rPr>
    </w:lvl>
    <w:lvl w:ilvl="4" w:tplc="861C4B3C">
      <w:numFmt w:val="bullet"/>
      <w:lvlText w:val="•"/>
      <w:lvlJc w:val="left"/>
      <w:pPr>
        <w:ind w:left="5722" w:hanging="492"/>
      </w:pPr>
      <w:rPr>
        <w:rFonts w:hint="default"/>
        <w:lang w:val="en-US" w:eastAsia="en-US" w:bidi="ar-SA"/>
      </w:rPr>
    </w:lvl>
    <w:lvl w:ilvl="5" w:tplc="A952574C">
      <w:numFmt w:val="bullet"/>
      <w:lvlText w:val="•"/>
      <w:lvlJc w:val="left"/>
      <w:pPr>
        <w:ind w:left="6683" w:hanging="492"/>
      </w:pPr>
      <w:rPr>
        <w:rFonts w:hint="default"/>
        <w:lang w:val="en-US" w:eastAsia="en-US" w:bidi="ar-SA"/>
      </w:rPr>
    </w:lvl>
    <w:lvl w:ilvl="6" w:tplc="5B843E1C">
      <w:numFmt w:val="bullet"/>
      <w:lvlText w:val="•"/>
      <w:lvlJc w:val="left"/>
      <w:pPr>
        <w:ind w:left="7644" w:hanging="492"/>
      </w:pPr>
      <w:rPr>
        <w:rFonts w:hint="default"/>
        <w:lang w:val="en-US" w:eastAsia="en-US" w:bidi="ar-SA"/>
      </w:rPr>
    </w:lvl>
    <w:lvl w:ilvl="7" w:tplc="3A449F72">
      <w:numFmt w:val="bullet"/>
      <w:lvlText w:val="•"/>
      <w:lvlJc w:val="left"/>
      <w:pPr>
        <w:ind w:left="8605" w:hanging="492"/>
      </w:pPr>
      <w:rPr>
        <w:rFonts w:hint="default"/>
        <w:lang w:val="en-US" w:eastAsia="en-US" w:bidi="ar-SA"/>
      </w:rPr>
    </w:lvl>
    <w:lvl w:ilvl="8" w:tplc="6D6C2AD6">
      <w:numFmt w:val="bullet"/>
      <w:lvlText w:val="•"/>
      <w:lvlJc w:val="left"/>
      <w:pPr>
        <w:ind w:left="9565" w:hanging="492"/>
      </w:pPr>
      <w:rPr>
        <w:rFonts w:hint="default"/>
        <w:lang w:val="en-US" w:eastAsia="en-US" w:bidi="ar-SA"/>
      </w:rPr>
    </w:lvl>
  </w:abstractNum>
  <w:abstractNum w:abstractNumId="172" w15:restartNumberingAfterBreak="0">
    <w:nsid w:val="592233DB"/>
    <w:multiLevelType w:val="hybridMultilevel"/>
    <w:tmpl w:val="3A3A0E2A"/>
    <w:lvl w:ilvl="0" w:tplc="C2BAE6F4">
      <w:start w:val="1"/>
      <w:numFmt w:val="lowerRoman"/>
      <w:lvlText w:val="%1)"/>
      <w:lvlJc w:val="left"/>
      <w:pPr>
        <w:ind w:left="1685"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9AEA77E">
      <w:numFmt w:val="bullet"/>
      <w:lvlText w:val="•"/>
      <w:lvlJc w:val="left"/>
      <w:pPr>
        <w:ind w:left="2660" w:hanging="416"/>
      </w:pPr>
      <w:rPr>
        <w:rFonts w:hint="default"/>
        <w:lang w:val="en-US" w:eastAsia="en-US" w:bidi="ar-SA"/>
      </w:rPr>
    </w:lvl>
    <w:lvl w:ilvl="2" w:tplc="38961A1C">
      <w:numFmt w:val="bullet"/>
      <w:lvlText w:val="•"/>
      <w:lvlJc w:val="left"/>
      <w:pPr>
        <w:ind w:left="3641" w:hanging="416"/>
      </w:pPr>
      <w:rPr>
        <w:rFonts w:hint="default"/>
        <w:lang w:val="en-US" w:eastAsia="en-US" w:bidi="ar-SA"/>
      </w:rPr>
    </w:lvl>
    <w:lvl w:ilvl="3" w:tplc="15862CDE">
      <w:numFmt w:val="bullet"/>
      <w:lvlText w:val="•"/>
      <w:lvlJc w:val="left"/>
      <w:pPr>
        <w:ind w:left="4622" w:hanging="416"/>
      </w:pPr>
      <w:rPr>
        <w:rFonts w:hint="default"/>
        <w:lang w:val="en-US" w:eastAsia="en-US" w:bidi="ar-SA"/>
      </w:rPr>
    </w:lvl>
    <w:lvl w:ilvl="4" w:tplc="C93A5E82">
      <w:numFmt w:val="bullet"/>
      <w:lvlText w:val="•"/>
      <w:lvlJc w:val="left"/>
      <w:pPr>
        <w:ind w:left="5602" w:hanging="416"/>
      </w:pPr>
      <w:rPr>
        <w:rFonts w:hint="default"/>
        <w:lang w:val="en-US" w:eastAsia="en-US" w:bidi="ar-SA"/>
      </w:rPr>
    </w:lvl>
    <w:lvl w:ilvl="5" w:tplc="3D9AC904">
      <w:numFmt w:val="bullet"/>
      <w:lvlText w:val="•"/>
      <w:lvlJc w:val="left"/>
      <w:pPr>
        <w:ind w:left="6583" w:hanging="416"/>
      </w:pPr>
      <w:rPr>
        <w:rFonts w:hint="default"/>
        <w:lang w:val="en-US" w:eastAsia="en-US" w:bidi="ar-SA"/>
      </w:rPr>
    </w:lvl>
    <w:lvl w:ilvl="6" w:tplc="250C95F4">
      <w:numFmt w:val="bullet"/>
      <w:lvlText w:val="•"/>
      <w:lvlJc w:val="left"/>
      <w:pPr>
        <w:ind w:left="7564" w:hanging="416"/>
      </w:pPr>
      <w:rPr>
        <w:rFonts w:hint="default"/>
        <w:lang w:val="en-US" w:eastAsia="en-US" w:bidi="ar-SA"/>
      </w:rPr>
    </w:lvl>
    <w:lvl w:ilvl="7" w:tplc="36EC7026">
      <w:numFmt w:val="bullet"/>
      <w:lvlText w:val="•"/>
      <w:lvlJc w:val="left"/>
      <w:pPr>
        <w:ind w:left="8545" w:hanging="416"/>
      </w:pPr>
      <w:rPr>
        <w:rFonts w:hint="default"/>
        <w:lang w:val="en-US" w:eastAsia="en-US" w:bidi="ar-SA"/>
      </w:rPr>
    </w:lvl>
    <w:lvl w:ilvl="8" w:tplc="EE189BEA">
      <w:numFmt w:val="bullet"/>
      <w:lvlText w:val="•"/>
      <w:lvlJc w:val="left"/>
      <w:pPr>
        <w:ind w:left="9525" w:hanging="416"/>
      </w:pPr>
      <w:rPr>
        <w:rFonts w:hint="default"/>
        <w:lang w:val="en-US" w:eastAsia="en-US" w:bidi="ar-SA"/>
      </w:rPr>
    </w:lvl>
  </w:abstractNum>
  <w:abstractNum w:abstractNumId="173" w15:restartNumberingAfterBreak="0">
    <w:nsid w:val="59F3139A"/>
    <w:multiLevelType w:val="multilevel"/>
    <w:tmpl w:val="D1400428"/>
    <w:lvl w:ilvl="0">
      <w:start w:val="32"/>
      <w:numFmt w:val="decimal"/>
      <w:lvlText w:val="%1.0"/>
      <w:lvlJc w:val="left"/>
      <w:pPr>
        <w:ind w:left="1440" w:hanging="591"/>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402" w:hanging="543"/>
      </w:pPr>
      <w:rPr>
        <w:rFonts w:ascii="Times New Roman" w:eastAsia="Times New Roman" w:hAnsi="Times New Roman" w:cs="Times New Roman" w:hint="default"/>
        <w:b/>
        <w:bCs/>
        <w:i w:val="0"/>
        <w:iCs w:val="0"/>
        <w:color w:val="221F1F"/>
        <w:spacing w:val="-25"/>
        <w:w w:val="97"/>
        <w:sz w:val="22"/>
        <w:szCs w:val="22"/>
        <w:lang w:val="en-US" w:eastAsia="en-US" w:bidi="ar-SA"/>
      </w:rPr>
    </w:lvl>
    <w:lvl w:ilvl="2">
      <w:numFmt w:val="bullet"/>
      <w:lvlText w:val="•"/>
      <w:lvlJc w:val="left"/>
      <w:pPr>
        <w:ind w:left="2603" w:hanging="543"/>
      </w:pPr>
      <w:rPr>
        <w:rFonts w:hint="default"/>
        <w:lang w:val="en-US" w:eastAsia="en-US" w:bidi="ar-SA"/>
      </w:rPr>
    </w:lvl>
    <w:lvl w:ilvl="3">
      <w:numFmt w:val="bullet"/>
      <w:lvlText w:val="•"/>
      <w:lvlJc w:val="left"/>
      <w:pPr>
        <w:ind w:left="3766" w:hanging="543"/>
      </w:pPr>
      <w:rPr>
        <w:rFonts w:hint="default"/>
        <w:lang w:val="en-US" w:eastAsia="en-US" w:bidi="ar-SA"/>
      </w:rPr>
    </w:lvl>
    <w:lvl w:ilvl="4">
      <w:numFmt w:val="bullet"/>
      <w:lvlText w:val="•"/>
      <w:lvlJc w:val="left"/>
      <w:pPr>
        <w:ind w:left="4930" w:hanging="543"/>
      </w:pPr>
      <w:rPr>
        <w:rFonts w:hint="default"/>
        <w:lang w:val="en-US" w:eastAsia="en-US" w:bidi="ar-SA"/>
      </w:rPr>
    </w:lvl>
    <w:lvl w:ilvl="5">
      <w:numFmt w:val="bullet"/>
      <w:lvlText w:val="•"/>
      <w:lvlJc w:val="left"/>
      <w:pPr>
        <w:ind w:left="6093" w:hanging="543"/>
      </w:pPr>
      <w:rPr>
        <w:rFonts w:hint="default"/>
        <w:lang w:val="en-US" w:eastAsia="en-US" w:bidi="ar-SA"/>
      </w:rPr>
    </w:lvl>
    <w:lvl w:ilvl="6">
      <w:numFmt w:val="bullet"/>
      <w:lvlText w:val="•"/>
      <w:lvlJc w:val="left"/>
      <w:pPr>
        <w:ind w:left="7257" w:hanging="543"/>
      </w:pPr>
      <w:rPr>
        <w:rFonts w:hint="default"/>
        <w:lang w:val="en-US" w:eastAsia="en-US" w:bidi="ar-SA"/>
      </w:rPr>
    </w:lvl>
    <w:lvl w:ilvl="7">
      <w:numFmt w:val="bullet"/>
      <w:lvlText w:val="•"/>
      <w:lvlJc w:val="left"/>
      <w:pPr>
        <w:ind w:left="8420" w:hanging="543"/>
      </w:pPr>
      <w:rPr>
        <w:rFonts w:hint="default"/>
        <w:lang w:val="en-US" w:eastAsia="en-US" w:bidi="ar-SA"/>
      </w:rPr>
    </w:lvl>
    <w:lvl w:ilvl="8">
      <w:numFmt w:val="bullet"/>
      <w:lvlText w:val="•"/>
      <w:lvlJc w:val="left"/>
      <w:pPr>
        <w:ind w:left="9584" w:hanging="543"/>
      </w:pPr>
      <w:rPr>
        <w:rFonts w:hint="default"/>
        <w:lang w:val="en-US" w:eastAsia="en-US" w:bidi="ar-SA"/>
      </w:rPr>
    </w:lvl>
  </w:abstractNum>
  <w:abstractNum w:abstractNumId="174" w15:restartNumberingAfterBreak="0">
    <w:nsid w:val="5A18081E"/>
    <w:multiLevelType w:val="multilevel"/>
    <w:tmpl w:val="E154051A"/>
    <w:lvl w:ilvl="0">
      <w:start w:val="14"/>
      <w:numFmt w:val="decimal"/>
      <w:lvlText w:val="%1"/>
      <w:lvlJc w:val="left"/>
      <w:pPr>
        <w:ind w:left="1418" w:hanging="567"/>
      </w:pPr>
      <w:rPr>
        <w:rFonts w:hint="default"/>
        <w:lang w:val="en-US" w:eastAsia="en-US" w:bidi="ar-SA"/>
      </w:rPr>
    </w:lvl>
    <w:lvl w:ilvl="1">
      <w:numFmt w:val="decimal"/>
      <w:lvlText w:val="%1.%2"/>
      <w:lvlJc w:val="left"/>
      <w:pPr>
        <w:ind w:left="1418" w:hanging="567"/>
      </w:pPr>
      <w:rPr>
        <w:rFonts w:ascii="Times New Roman" w:eastAsia="Times New Roman" w:hAnsi="Times New Roman" w:cs="Times New Roman" w:hint="default"/>
        <w:b/>
        <w:bCs/>
        <w:i w:val="0"/>
        <w:iCs w:val="0"/>
        <w:color w:val="221F1F"/>
        <w:spacing w:val="-28"/>
        <w:w w:val="97"/>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75" w15:restartNumberingAfterBreak="0">
    <w:nsid w:val="5AA839BE"/>
    <w:multiLevelType w:val="hybridMultilevel"/>
    <w:tmpl w:val="BF001A3A"/>
    <w:lvl w:ilvl="0" w:tplc="80FCBA36">
      <w:start w:val="1"/>
      <w:numFmt w:val="lowerLetter"/>
      <w:lvlText w:val="%1)"/>
      <w:lvlJc w:val="left"/>
      <w:pPr>
        <w:ind w:left="1873"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B8AA272">
      <w:numFmt w:val="bullet"/>
      <w:lvlText w:val="•"/>
      <w:lvlJc w:val="left"/>
      <w:pPr>
        <w:ind w:left="2840" w:hanging="447"/>
      </w:pPr>
      <w:rPr>
        <w:rFonts w:hint="default"/>
        <w:lang w:val="en-US" w:eastAsia="en-US" w:bidi="ar-SA"/>
      </w:rPr>
    </w:lvl>
    <w:lvl w:ilvl="2" w:tplc="8F16AF86">
      <w:numFmt w:val="bullet"/>
      <w:lvlText w:val="•"/>
      <w:lvlJc w:val="left"/>
      <w:pPr>
        <w:ind w:left="3801" w:hanging="447"/>
      </w:pPr>
      <w:rPr>
        <w:rFonts w:hint="default"/>
        <w:lang w:val="en-US" w:eastAsia="en-US" w:bidi="ar-SA"/>
      </w:rPr>
    </w:lvl>
    <w:lvl w:ilvl="3" w:tplc="24A424A0">
      <w:numFmt w:val="bullet"/>
      <w:lvlText w:val="•"/>
      <w:lvlJc w:val="left"/>
      <w:pPr>
        <w:ind w:left="4762" w:hanging="447"/>
      </w:pPr>
      <w:rPr>
        <w:rFonts w:hint="default"/>
        <w:lang w:val="en-US" w:eastAsia="en-US" w:bidi="ar-SA"/>
      </w:rPr>
    </w:lvl>
    <w:lvl w:ilvl="4" w:tplc="901E7962">
      <w:numFmt w:val="bullet"/>
      <w:lvlText w:val="•"/>
      <w:lvlJc w:val="left"/>
      <w:pPr>
        <w:ind w:left="5722" w:hanging="447"/>
      </w:pPr>
      <w:rPr>
        <w:rFonts w:hint="default"/>
        <w:lang w:val="en-US" w:eastAsia="en-US" w:bidi="ar-SA"/>
      </w:rPr>
    </w:lvl>
    <w:lvl w:ilvl="5" w:tplc="34F03BEC">
      <w:numFmt w:val="bullet"/>
      <w:lvlText w:val="•"/>
      <w:lvlJc w:val="left"/>
      <w:pPr>
        <w:ind w:left="6683" w:hanging="447"/>
      </w:pPr>
      <w:rPr>
        <w:rFonts w:hint="default"/>
        <w:lang w:val="en-US" w:eastAsia="en-US" w:bidi="ar-SA"/>
      </w:rPr>
    </w:lvl>
    <w:lvl w:ilvl="6" w:tplc="354E552A">
      <w:numFmt w:val="bullet"/>
      <w:lvlText w:val="•"/>
      <w:lvlJc w:val="left"/>
      <w:pPr>
        <w:ind w:left="7644" w:hanging="447"/>
      </w:pPr>
      <w:rPr>
        <w:rFonts w:hint="default"/>
        <w:lang w:val="en-US" w:eastAsia="en-US" w:bidi="ar-SA"/>
      </w:rPr>
    </w:lvl>
    <w:lvl w:ilvl="7" w:tplc="9490D038">
      <w:numFmt w:val="bullet"/>
      <w:lvlText w:val="•"/>
      <w:lvlJc w:val="left"/>
      <w:pPr>
        <w:ind w:left="8605" w:hanging="447"/>
      </w:pPr>
      <w:rPr>
        <w:rFonts w:hint="default"/>
        <w:lang w:val="en-US" w:eastAsia="en-US" w:bidi="ar-SA"/>
      </w:rPr>
    </w:lvl>
    <w:lvl w:ilvl="8" w:tplc="A7FE4626">
      <w:numFmt w:val="bullet"/>
      <w:lvlText w:val="•"/>
      <w:lvlJc w:val="left"/>
      <w:pPr>
        <w:ind w:left="9565" w:hanging="447"/>
      </w:pPr>
      <w:rPr>
        <w:rFonts w:hint="default"/>
        <w:lang w:val="en-US" w:eastAsia="en-US" w:bidi="ar-SA"/>
      </w:rPr>
    </w:lvl>
  </w:abstractNum>
  <w:abstractNum w:abstractNumId="176" w15:restartNumberingAfterBreak="0">
    <w:nsid w:val="5B0E6041"/>
    <w:multiLevelType w:val="hybridMultilevel"/>
    <w:tmpl w:val="C24A37F2"/>
    <w:lvl w:ilvl="0" w:tplc="98183942">
      <w:numFmt w:val="bullet"/>
      <w:lvlText w:val=""/>
      <w:lvlJc w:val="left"/>
      <w:pPr>
        <w:ind w:left="197" w:hanging="198"/>
      </w:pPr>
      <w:rPr>
        <w:rFonts w:ascii="Wingdings" w:eastAsia="Wingdings" w:hAnsi="Wingdings" w:cs="Wingdings" w:hint="default"/>
        <w:b w:val="0"/>
        <w:bCs w:val="0"/>
        <w:i w:val="0"/>
        <w:iCs w:val="0"/>
        <w:spacing w:val="0"/>
        <w:w w:val="100"/>
        <w:sz w:val="20"/>
        <w:szCs w:val="20"/>
        <w:lang w:val="en-US" w:eastAsia="en-US" w:bidi="ar-SA"/>
      </w:rPr>
    </w:lvl>
    <w:lvl w:ilvl="1" w:tplc="EC8C6D64">
      <w:numFmt w:val="bullet"/>
      <w:lvlText w:val="•"/>
      <w:lvlJc w:val="left"/>
      <w:pPr>
        <w:ind w:left="374" w:hanging="198"/>
      </w:pPr>
      <w:rPr>
        <w:rFonts w:hint="default"/>
        <w:lang w:val="en-US" w:eastAsia="en-US" w:bidi="ar-SA"/>
      </w:rPr>
    </w:lvl>
    <w:lvl w:ilvl="2" w:tplc="FCDC22AC">
      <w:numFmt w:val="bullet"/>
      <w:lvlText w:val="•"/>
      <w:lvlJc w:val="left"/>
      <w:pPr>
        <w:ind w:left="548" w:hanging="198"/>
      </w:pPr>
      <w:rPr>
        <w:rFonts w:hint="default"/>
        <w:lang w:val="en-US" w:eastAsia="en-US" w:bidi="ar-SA"/>
      </w:rPr>
    </w:lvl>
    <w:lvl w:ilvl="3" w:tplc="9A94A2B4">
      <w:numFmt w:val="bullet"/>
      <w:lvlText w:val="•"/>
      <w:lvlJc w:val="left"/>
      <w:pPr>
        <w:ind w:left="722" w:hanging="198"/>
      </w:pPr>
      <w:rPr>
        <w:rFonts w:hint="default"/>
        <w:lang w:val="en-US" w:eastAsia="en-US" w:bidi="ar-SA"/>
      </w:rPr>
    </w:lvl>
    <w:lvl w:ilvl="4" w:tplc="59D23E38">
      <w:numFmt w:val="bullet"/>
      <w:lvlText w:val="•"/>
      <w:lvlJc w:val="left"/>
      <w:pPr>
        <w:ind w:left="896" w:hanging="198"/>
      </w:pPr>
      <w:rPr>
        <w:rFonts w:hint="default"/>
        <w:lang w:val="en-US" w:eastAsia="en-US" w:bidi="ar-SA"/>
      </w:rPr>
    </w:lvl>
    <w:lvl w:ilvl="5" w:tplc="6214308A">
      <w:numFmt w:val="bullet"/>
      <w:lvlText w:val="•"/>
      <w:lvlJc w:val="left"/>
      <w:pPr>
        <w:ind w:left="1070" w:hanging="198"/>
      </w:pPr>
      <w:rPr>
        <w:rFonts w:hint="default"/>
        <w:lang w:val="en-US" w:eastAsia="en-US" w:bidi="ar-SA"/>
      </w:rPr>
    </w:lvl>
    <w:lvl w:ilvl="6" w:tplc="6E5646A6">
      <w:numFmt w:val="bullet"/>
      <w:lvlText w:val="•"/>
      <w:lvlJc w:val="left"/>
      <w:pPr>
        <w:ind w:left="1244" w:hanging="198"/>
      </w:pPr>
      <w:rPr>
        <w:rFonts w:hint="default"/>
        <w:lang w:val="en-US" w:eastAsia="en-US" w:bidi="ar-SA"/>
      </w:rPr>
    </w:lvl>
    <w:lvl w:ilvl="7" w:tplc="B000A776">
      <w:numFmt w:val="bullet"/>
      <w:lvlText w:val="•"/>
      <w:lvlJc w:val="left"/>
      <w:pPr>
        <w:ind w:left="1418" w:hanging="198"/>
      </w:pPr>
      <w:rPr>
        <w:rFonts w:hint="default"/>
        <w:lang w:val="en-US" w:eastAsia="en-US" w:bidi="ar-SA"/>
      </w:rPr>
    </w:lvl>
    <w:lvl w:ilvl="8" w:tplc="E81AE7DC">
      <w:numFmt w:val="bullet"/>
      <w:lvlText w:val="•"/>
      <w:lvlJc w:val="left"/>
      <w:pPr>
        <w:ind w:left="1592" w:hanging="198"/>
      </w:pPr>
      <w:rPr>
        <w:rFonts w:hint="default"/>
        <w:lang w:val="en-US" w:eastAsia="en-US" w:bidi="ar-SA"/>
      </w:rPr>
    </w:lvl>
  </w:abstractNum>
  <w:abstractNum w:abstractNumId="177" w15:restartNumberingAfterBreak="0">
    <w:nsid w:val="5B5F26D1"/>
    <w:multiLevelType w:val="hybridMultilevel"/>
    <w:tmpl w:val="B21EC784"/>
    <w:lvl w:ilvl="0" w:tplc="9584810C">
      <w:start w:val="1"/>
      <w:numFmt w:val="lowerLetter"/>
      <w:lvlText w:val="%1)"/>
      <w:lvlJc w:val="left"/>
      <w:pPr>
        <w:ind w:left="1915" w:hanging="49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0064C9C">
      <w:numFmt w:val="bullet"/>
      <w:lvlText w:val="•"/>
      <w:lvlJc w:val="left"/>
      <w:pPr>
        <w:ind w:left="2919" w:hanging="497"/>
      </w:pPr>
      <w:rPr>
        <w:rFonts w:hint="default"/>
        <w:lang w:val="en-US" w:eastAsia="en-US" w:bidi="ar-SA"/>
      </w:rPr>
    </w:lvl>
    <w:lvl w:ilvl="2" w:tplc="7584DA8E">
      <w:numFmt w:val="bullet"/>
      <w:lvlText w:val="•"/>
      <w:lvlJc w:val="left"/>
      <w:pPr>
        <w:ind w:left="3918" w:hanging="497"/>
      </w:pPr>
      <w:rPr>
        <w:rFonts w:hint="default"/>
        <w:lang w:val="en-US" w:eastAsia="en-US" w:bidi="ar-SA"/>
      </w:rPr>
    </w:lvl>
    <w:lvl w:ilvl="3" w:tplc="0FB2837A">
      <w:numFmt w:val="bullet"/>
      <w:lvlText w:val="•"/>
      <w:lvlJc w:val="left"/>
      <w:pPr>
        <w:ind w:left="4917" w:hanging="497"/>
      </w:pPr>
      <w:rPr>
        <w:rFonts w:hint="default"/>
        <w:lang w:val="en-US" w:eastAsia="en-US" w:bidi="ar-SA"/>
      </w:rPr>
    </w:lvl>
    <w:lvl w:ilvl="4" w:tplc="84F05F18">
      <w:numFmt w:val="bullet"/>
      <w:lvlText w:val="•"/>
      <w:lvlJc w:val="left"/>
      <w:pPr>
        <w:ind w:left="5916" w:hanging="497"/>
      </w:pPr>
      <w:rPr>
        <w:rFonts w:hint="default"/>
        <w:lang w:val="en-US" w:eastAsia="en-US" w:bidi="ar-SA"/>
      </w:rPr>
    </w:lvl>
    <w:lvl w:ilvl="5" w:tplc="77706D02">
      <w:numFmt w:val="bullet"/>
      <w:lvlText w:val="•"/>
      <w:lvlJc w:val="left"/>
      <w:pPr>
        <w:ind w:left="6915" w:hanging="497"/>
      </w:pPr>
      <w:rPr>
        <w:rFonts w:hint="default"/>
        <w:lang w:val="en-US" w:eastAsia="en-US" w:bidi="ar-SA"/>
      </w:rPr>
    </w:lvl>
    <w:lvl w:ilvl="6" w:tplc="4F16751C">
      <w:numFmt w:val="bullet"/>
      <w:lvlText w:val="•"/>
      <w:lvlJc w:val="left"/>
      <w:pPr>
        <w:ind w:left="7914" w:hanging="497"/>
      </w:pPr>
      <w:rPr>
        <w:rFonts w:hint="default"/>
        <w:lang w:val="en-US" w:eastAsia="en-US" w:bidi="ar-SA"/>
      </w:rPr>
    </w:lvl>
    <w:lvl w:ilvl="7" w:tplc="12E41A92">
      <w:numFmt w:val="bullet"/>
      <w:lvlText w:val="•"/>
      <w:lvlJc w:val="left"/>
      <w:pPr>
        <w:ind w:left="8913" w:hanging="497"/>
      </w:pPr>
      <w:rPr>
        <w:rFonts w:hint="default"/>
        <w:lang w:val="en-US" w:eastAsia="en-US" w:bidi="ar-SA"/>
      </w:rPr>
    </w:lvl>
    <w:lvl w:ilvl="8" w:tplc="B27E1370">
      <w:numFmt w:val="bullet"/>
      <w:lvlText w:val="•"/>
      <w:lvlJc w:val="left"/>
      <w:pPr>
        <w:ind w:left="9912" w:hanging="497"/>
      </w:pPr>
      <w:rPr>
        <w:rFonts w:hint="default"/>
        <w:lang w:val="en-US" w:eastAsia="en-US" w:bidi="ar-SA"/>
      </w:rPr>
    </w:lvl>
  </w:abstractNum>
  <w:abstractNum w:abstractNumId="178" w15:restartNumberingAfterBreak="0">
    <w:nsid w:val="5B8D7ED2"/>
    <w:multiLevelType w:val="hybridMultilevel"/>
    <w:tmpl w:val="0D02699A"/>
    <w:lvl w:ilvl="0" w:tplc="956CDE04">
      <w:start w:val="1"/>
      <w:numFmt w:val="lowerLetter"/>
      <w:lvlText w:val="(%1)"/>
      <w:lvlJc w:val="left"/>
      <w:pPr>
        <w:ind w:left="1982" w:hanging="56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FCC6D50">
      <w:numFmt w:val="bullet"/>
      <w:lvlText w:val="•"/>
      <w:lvlJc w:val="left"/>
      <w:pPr>
        <w:ind w:left="2973" w:hanging="567"/>
      </w:pPr>
      <w:rPr>
        <w:rFonts w:hint="default"/>
        <w:lang w:val="en-US" w:eastAsia="en-US" w:bidi="ar-SA"/>
      </w:rPr>
    </w:lvl>
    <w:lvl w:ilvl="2" w:tplc="EE9EB3BA">
      <w:numFmt w:val="bullet"/>
      <w:lvlText w:val="•"/>
      <w:lvlJc w:val="left"/>
      <w:pPr>
        <w:ind w:left="3966" w:hanging="567"/>
      </w:pPr>
      <w:rPr>
        <w:rFonts w:hint="default"/>
        <w:lang w:val="en-US" w:eastAsia="en-US" w:bidi="ar-SA"/>
      </w:rPr>
    </w:lvl>
    <w:lvl w:ilvl="3" w:tplc="6EAACC1E">
      <w:numFmt w:val="bullet"/>
      <w:lvlText w:val="•"/>
      <w:lvlJc w:val="left"/>
      <w:pPr>
        <w:ind w:left="4959" w:hanging="567"/>
      </w:pPr>
      <w:rPr>
        <w:rFonts w:hint="default"/>
        <w:lang w:val="en-US" w:eastAsia="en-US" w:bidi="ar-SA"/>
      </w:rPr>
    </w:lvl>
    <w:lvl w:ilvl="4" w:tplc="2BA008C6">
      <w:numFmt w:val="bullet"/>
      <w:lvlText w:val="•"/>
      <w:lvlJc w:val="left"/>
      <w:pPr>
        <w:ind w:left="5952" w:hanging="567"/>
      </w:pPr>
      <w:rPr>
        <w:rFonts w:hint="default"/>
        <w:lang w:val="en-US" w:eastAsia="en-US" w:bidi="ar-SA"/>
      </w:rPr>
    </w:lvl>
    <w:lvl w:ilvl="5" w:tplc="DEF04CF6">
      <w:numFmt w:val="bullet"/>
      <w:lvlText w:val="•"/>
      <w:lvlJc w:val="left"/>
      <w:pPr>
        <w:ind w:left="6945" w:hanging="567"/>
      </w:pPr>
      <w:rPr>
        <w:rFonts w:hint="default"/>
        <w:lang w:val="en-US" w:eastAsia="en-US" w:bidi="ar-SA"/>
      </w:rPr>
    </w:lvl>
    <w:lvl w:ilvl="6" w:tplc="CB423606">
      <w:numFmt w:val="bullet"/>
      <w:lvlText w:val="•"/>
      <w:lvlJc w:val="left"/>
      <w:pPr>
        <w:ind w:left="7938" w:hanging="567"/>
      </w:pPr>
      <w:rPr>
        <w:rFonts w:hint="default"/>
        <w:lang w:val="en-US" w:eastAsia="en-US" w:bidi="ar-SA"/>
      </w:rPr>
    </w:lvl>
    <w:lvl w:ilvl="7" w:tplc="1304BC56">
      <w:numFmt w:val="bullet"/>
      <w:lvlText w:val="•"/>
      <w:lvlJc w:val="left"/>
      <w:pPr>
        <w:ind w:left="8931" w:hanging="567"/>
      </w:pPr>
      <w:rPr>
        <w:rFonts w:hint="default"/>
        <w:lang w:val="en-US" w:eastAsia="en-US" w:bidi="ar-SA"/>
      </w:rPr>
    </w:lvl>
    <w:lvl w:ilvl="8" w:tplc="CF0C9ED2">
      <w:numFmt w:val="bullet"/>
      <w:lvlText w:val="•"/>
      <w:lvlJc w:val="left"/>
      <w:pPr>
        <w:ind w:left="9924" w:hanging="567"/>
      </w:pPr>
      <w:rPr>
        <w:rFonts w:hint="default"/>
        <w:lang w:val="en-US" w:eastAsia="en-US" w:bidi="ar-SA"/>
      </w:rPr>
    </w:lvl>
  </w:abstractNum>
  <w:abstractNum w:abstractNumId="179" w15:restartNumberingAfterBreak="0">
    <w:nsid w:val="5B940497"/>
    <w:multiLevelType w:val="hybridMultilevel"/>
    <w:tmpl w:val="AA0E8124"/>
    <w:lvl w:ilvl="0" w:tplc="C1E4CFC2">
      <w:start w:val="29"/>
      <w:numFmt w:val="decimal"/>
      <w:lvlText w:val="%1.0"/>
      <w:lvlJc w:val="left"/>
      <w:pPr>
        <w:ind w:left="1615"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24EE41A">
      <w:numFmt w:val="bullet"/>
      <w:lvlText w:val="•"/>
      <w:lvlJc w:val="left"/>
      <w:pPr>
        <w:ind w:left="2649" w:hanging="769"/>
      </w:pPr>
      <w:rPr>
        <w:rFonts w:hint="default"/>
        <w:lang w:val="en-US" w:eastAsia="en-US" w:bidi="ar-SA"/>
      </w:rPr>
    </w:lvl>
    <w:lvl w:ilvl="2" w:tplc="79BEE03C">
      <w:numFmt w:val="bullet"/>
      <w:lvlText w:val="•"/>
      <w:lvlJc w:val="left"/>
      <w:pPr>
        <w:ind w:left="3678" w:hanging="769"/>
      </w:pPr>
      <w:rPr>
        <w:rFonts w:hint="default"/>
        <w:lang w:val="en-US" w:eastAsia="en-US" w:bidi="ar-SA"/>
      </w:rPr>
    </w:lvl>
    <w:lvl w:ilvl="3" w:tplc="01349EE4">
      <w:numFmt w:val="bullet"/>
      <w:lvlText w:val="•"/>
      <w:lvlJc w:val="left"/>
      <w:pPr>
        <w:ind w:left="4707" w:hanging="769"/>
      </w:pPr>
      <w:rPr>
        <w:rFonts w:hint="default"/>
        <w:lang w:val="en-US" w:eastAsia="en-US" w:bidi="ar-SA"/>
      </w:rPr>
    </w:lvl>
    <w:lvl w:ilvl="4" w:tplc="0A4A0282">
      <w:numFmt w:val="bullet"/>
      <w:lvlText w:val="•"/>
      <w:lvlJc w:val="left"/>
      <w:pPr>
        <w:ind w:left="5736" w:hanging="769"/>
      </w:pPr>
      <w:rPr>
        <w:rFonts w:hint="default"/>
        <w:lang w:val="en-US" w:eastAsia="en-US" w:bidi="ar-SA"/>
      </w:rPr>
    </w:lvl>
    <w:lvl w:ilvl="5" w:tplc="833E85E8">
      <w:numFmt w:val="bullet"/>
      <w:lvlText w:val="•"/>
      <w:lvlJc w:val="left"/>
      <w:pPr>
        <w:ind w:left="6765" w:hanging="769"/>
      </w:pPr>
      <w:rPr>
        <w:rFonts w:hint="default"/>
        <w:lang w:val="en-US" w:eastAsia="en-US" w:bidi="ar-SA"/>
      </w:rPr>
    </w:lvl>
    <w:lvl w:ilvl="6" w:tplc="7A3492A0">
      <w:numFmt w:val="bullet"/>
      <w:lvlText w:val="•"/>
      <w:lvlJc w:val="left"/>
      <w:pPr>
        <w:ind w:left="7794" w:hanging="769"/>
      </w:pPr>
      <w:rPr>
        <w:rFonts w:hint="default"/>
        <w:lang w:val="en-US" w:eastAsia="en-US" w:bidi="ar-SA"/>
      </w:rPr>
    </w:lvl>
    <w:lvl w:ilvl="7" w:tplc="6D5A83DE">
      <w:numFmt w:val="bullet"/>
      <w:lvlText w:val="•"/>
      <w:lvlJc w:val="left"/>
      <w:pPr>
        <w:ind w:left="8823" w:hanging="769"/>
      </w:pPr>
      <w:rPr>
        <w:rFonts w:hint="default"/>
        <w:lang w:val="en-US" w:eastAsia="en-US" w:bidi="ar-SA"/>
      </w:rPr>
    </w:lvl>
    <w:lvl w:ilvl="8" w:tplc="3CF4B328">
      <w:numFmt w:val="bullet"/>
      <w:lvlText w:val="•"/>
      <w:lvlJc w:val="left"/>
      <w:pPr>
        <w:ind w:left="9852" w:hanging="769"/>
      </w:pPr>
      <w:rPr>
        <w:rFonts w:hint="default"/>
        <w:lang w:val="en-US" w:eastAsia="en-US" w:bidi="ar-SA"/>
      </w:rPr>
    </w:lvl>
  </w:abstractNum>
  <w:abstractNum w:abstractNumId="180" w15:restartNumberingAfterBreak="0">
    <w:nsid w:val="5C711497"/>
    <w:multiLevelType w:val="multilevel"/>
    <w:tmpl w:val="1F545AAC"/>
    <w:lvl w:ilvl="0">
      <w:start w:val="6"/>
      <w:numFmt w:val="decimal"/>
      <w:lvlText w:val="%1"/>
      <w:lvlJc w:val="left"/>
      <w:pPr>
        <w:ind w:left="1421" w:hanging="572"/>
      </w:pPr>
      <w:rPr>
        <w:rFonts w:hint="default"/>
        <w:lang w:val="en-US" w:eastAsia="en-US" w:bidi="ar-SA"/>
      </w:rPr>
    </w:lvl>
    <w:lvl w:ilvl="1">
      <w:numFmt w:val="decimal"/>
      <w:lvlText w:val="%1.%2"/>
      <w:lvlJc w:val="left"/>
      <w:pPr>
        <w:ind w:left="1421" w:hanging="572"/>
      </w:pPr>
      <w:rPr>
        <w:rFonts w:hint="default"/>
        <w:spacing w:val="-32"/>
        <w:w w:val="100"/>
        <w:lang w:val="en-US" w:eastAsia="en-US" w:bidi="ar-SA"/>
      </w:rPr>
    </w:lvl>
    <w:lvl w:ilvl="2">
      <w:start w:val="1"/>
      <w:numFmt w:val="lowerRoman"/>
      <w:lvlText w:val="%3)"/>
      <w:lvlJc w:val="left"/>
      <w:pPr>
        <w:ind w:left="1781" w:hanging="36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31" w:hanging="360"/>
      </w:pPr>
      <w:rPr>
        <w:rFonts w:hint="default"/>
        <w:lang w:val="en-US" w:eastAsia="en-US" w:bidi="ar-SA"/>
      </w:rPr>
    </w:lvl>
    <w:lvl w:ilvl="4">
      <w:numFmt w:val="bullet"/>
      <w:lvlText w:val="•"/>
      <w:lvlJc w:val="left"/>
      <w:pPr>
        <w:ind w:left="5157" w:hanging="360"/>
      </w:pPr>
      <w:rPr>
        <w:rFonts w:hint="default"/>
        <w:lang w:val="en-US" w:eastAsia="en-US" w:bidi="ar-SA"/>
      </w:rPr>
    </w:lvl>
    <w:lvl w:ilvl="5">
      <w:numFmt w:val="bullet"/>
      <w:lvlText w:val="•"/>
      <w:lvlJc w:val="left"/>
      <w:pPr>
        <w:ind w:left="6282" w:hanging="360"/>
      </w:pPr>
      <w:rPr>
        <w:rFonts w:hint="default"/>
        <w:lang w:val="en-US" w:eastAsia="en-US" w:bidi="ar-SA"/>
      </w:rPr>
    </w:lvl>
    <w:lvl w:ilvl="6">
      <w:numFmt w:val="bullet"/>
      <w:lvlText w:val="•"/>
      <w:lvlJc w:val="left"/>
      <w:pPr>
        <w:ind w:left="7408" w:hanging="360"/>
      </w:pPr>
      <w:rPr>
        <w:rFonts w:hint="default"/>
        <w:lang w:val="en-US" w:eastAsia="en-US" w:bidi="ar-SA"/>
      </w:rPr>
    </w:lvl>
    <w:lvl w:ilvl="7">
      <w:numFmt w:val="bullet"/>
      <w:lvlText w:val="•"/>
      <w:lvlJc w:val="left"/>
      <w:pPr>
        <w:ind w:left="8534" w:hanging="360"/>
      </w:pPr>
      <w:rPr>
        <w:rFonts w:hint="default"/>
        <w:lang w:val="en-US" w:eastAsia="en-US" w:bidi="ar-SA"/>
      </w:rPr>
    </w:lvl>
    <w:lvl w:ilvl="8">
      <w:numFmt w:val="bullet"/>
      <w:lvlText w:val="•"/>
      <w:lvlJc w:val="left"/>
      <w:pPr>
        <w:ind w:left="9659" w:hanging="360"/>
      </w:pPr>
      <w:rPr>
        <w:rFonts w:hint="default"/>
        <w:lang w:val="en-US" w:eastAsia="en-US" w:bidi="ar-SA"/>
      </w:rPr>
    </w:lvl>
  </w:abstractNum>
  <w:abstractNum w:abstractNumId="181" w15:restartNumberingAfterBreak="0">
    <w:nsid w:val="5D816029"/>
    <w:multiLevelType w:val="hybridMultilevel"/>
    <w:tmpl w:val="918E99FC"/>
    <w:lvl w:ilvl="0" w:tplc="C0E6DD20">
      <w:start w:val="1"/>
      <w:numFmt w:val="decimal"/>
      <w:lvlText w:val="%1."/>
      <w:lvlJc w:val="left"/>
      <w:pPr>
        <w:ind w:left="1185" w:hanging="34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7A48BB6">
      <w:numFmt w:val="bullet"/>
      <w:lvlText w:val="•"/>
      <w:lvlJc w:val="left"/>
      <w:pPr>
        <w:ind w:left="2253" w:hanging="341"/>
      </w:pPr>
      <w:rPr>
        <w:rFonts w:hint="default"/>
        <w:lang w:val="en-US" w:eastAsia="en-US" w:bidi="ar-SA"/>
      </w:rPr>
    </w:lvl>
    <w:lvl w:ilvl="2" w:tplc="3E0A7C8E">
      <w:numFmt w:val="bullet"/>
      <w:lvlText w:val="•"/>
      <w:lvlJc w:val="left"/>
      <w:pPr>
        <w:ind w:left="3326" w:hanging="341"/>
      </w:pPr>
      <w:rPr>
        <w:rFonts w:hint="default"/>
        <w:lang w:val="en-US" w:eastAsia="en-US" w:bidi="ar-SA"/>
      </w:rPr>
    </w:lvl>
    <w:lvl w:ilvl="3" w:tplc="F09C371C">
      <w:numFmt w:val="bullet"/>
      <w:lvlText w:val="•"/>
      <w:lvlJc w:val="left"/>
      <w:pPr>
        <w:ind w:left="4399" w:hanging="341"/>
      </w:pPr>
      <w:rPr>
        <w:rFonts w:hint="default"/>
        <w:lang w:val="en-US" w:eastAsia="en-US" w:bidi="ar-SA"/>
      </w:rPr>
    </w:lvl>
    <w:lvl w:ilvl="4" w:tplc="BF36FA3A">
      <w:numFmt w:val="bullet"/>
      <w:lvlText w:val="•"/>
      <w:lvlJc w:val="left"/>
      <w:pPr>
        <w:ind w:left="5472" w:hanging="341"/>
      </w:pPr>
      <w:rPr>
        <w:rFonts w:hint="default"/>
        <w:lang w:val="en-US" w:eastAsia="en-US" w:bidi="ar-SA"/>
      </w:rPr>
    </w:lvl>
    <w:lvl w:ilvl="5" w:tplc="2820CB14">
      <w:numFmt w:val="bullet"/>
      <w:lvlText w:val="•"/>
      <w:lvlJc w:val="left"/>
      <w:pPr>
        <w:ind w:left="6545" w:hanging="341"/>
      </w:pPr>
      <w:rPr>
        <w:rFonts w:hint="default"/>
        <w:lang w:val="en-US" w:eastAsia="en-US" w:bidi="ar-SA"/>
      </w:rPr>
    </w:lvl>
    <w:lvl w:ilvl="6" w:tplc="58AC26E2">
      <w:numFmt w:val="bullet"/>
      <w:lvlText w:val="•"/>
      <w:lvlJc w:val="left"/>
      <w:pPr>
        <w:ind w:left="7618" w:hanging="341"/>
      </w:pPr>
      <w:rPr>
        <w:rFonts w:hint="default"/>
        <w:lang w:val="en-US" w:eastAsia="en-US" w:bidi="ar-SA"/>
      </w:rPr>
    </w:lvl>
    <w:lvl w:ilvl="7" w:tplc="F96897CC">
      <w:numFmt w:val="bullet"/>
      <w:lvlText w:val="•"/>
      <w:lvlJc w:val="left"/>
      <w:pPr>
        <w:ind w:left="8691" w:hanging="341"/>
      </w:pPr>
      <w:rPr>
        <w:rFonts w:hint="default"/>
        <w:lang w:val="en-US" w:eastAsia="en-US" w:bidi="ar-SA"/>
      </w:rPr>
    </w:lvl>
    <w:lvl w:ilvl="8" w:tplc="F5CA0726">
      <w:numFmt w:val="bullet"/>
      <w:lvlText w:val="•"/>
      <w:lvlJc w:val="left"/>
      <w:pPr>
        <w:ind w:left="9764" w:hanging="341"/>
      </w:pPr>
      <w:rPr>
        <w:rFonts w:hint="default"/>
        <w:lang w:val="en-US" w:eastAsia="en-US" w:bidi="ar-SA"/>
      </w:rPr>
    </w:lvl>
  </w:abstractNum>
  <w:abstractNum w:abstractNumId="182" w15:restartNumberingAfterBreak="0">
    <w:nsid w:val="5E9C405F"/>
    <w:multiLevelType w:val="hybridMultilevel"/>
    <w:tmpl w:val="9FF2A99C"/>
    <w:lvl w:ilvl="0" w:tplc="5792D5A6">
      <w:start w:val="1"/>
      <w:numFmt w:val="lowerLetter"/>
      <w:lvlText w:val="(%1)"/>
      <w:lvlJc w:val="left"/>
      <w:pPr>
        <w:ind w:left="1025" w:hanging="315"/>
      </w:pPr>
      <w:rPr>
        <w:rFonts w:ascii="Times New Roman" w:eastAsia="Times New Roman" w:hAnsi="Times New Roman" w:cs="Times New Roman" w:hint="default"/>
        <w:b w:val="0"/>
        <w:bCs w:val="0"/>
        <w:i/>
        <w:iCs/>
        <w:color w:val="221F1F"/>
        <w:spacing w:val="0"/>
        <w:w w:val="100"/>
        <w:sz w:val="22"/>
        <w:szCs w:val="22"/>
        <w:lang w:val="en-US" w:eastAsia="en-US" w:bidi="ar-SA"/>
      </w:rPr>
    </w:lvl>
    <w:lvl w:ilvl="1" w:tplc="D6D69142">
      <w:numFmt w:val="bullet"/>
      <w:lvlText w:val="•"/>
      <w:lvlJc w:val="left"/>
      <w:pPr>
        <w:ind w:left="2066" w:hanging="315"/>
      </w:pPr>
      <w:rPr>
        <w:rFonts w:hint="default"/>
        <w:lang w:val="en-US" w:eastAsia="en-US" w:bidi="ar-SA"/>
      </w:rPr>
    </w:lvl>
    <w:lvl w:ilvl="2" w:tplc="191E0D9A">
      <w:numFmt w:val="bullet"/>
      <w:lvlText w:val="•"/>
      <w:lvlJc w:val="left"/>
      <w:pPr>
        <w:ind w:left="3113" w:hanging="315"/>
      </w:pPr>
      <w:rPr>
        <w:rFonts w:hint="default"/>
        <w:lang w:val="en-US" w:eastAsia="en-US" w:bidi="ar-SA"/>
      </w:rPr>
    </w:lvl>
    <w:lvl w:ilvl="3" w:tplc="22E8797C">
      <w:numFmt w:val="bullet"/>
      <w:lvlText w:val="•"/>
      <w:lvlJc w:val="left"/>
      <w:pPr>
        <w:ind w:left="4160" w:hanging="315"/>
      </w:pPr>
      <w:rPr>
        <w:rFonts w:hint="default"/>
        <w:lang w:val="en-US" w:eastAsia="en-US" w:bidi="ar-SA"/>
      </w:rPr>
    </w:lvl>
    <w:lvl w:ilvl="4" w:tplc="06AC5C6C">
      <w:numFmt w:val="bullet"/>
      <w:lvlText w:val="•"/>
      <w:lvlJc w:val="left"/>
      <w:pPr>
        <w:ind w:left="5206" w:hanging="315"/>
      </w:pPr>
      <w:rPr>
        <w:rFonts w:hint="default"/>
        <w:lang w:val="en-US" w:eastAsia="en-US" w:bidi="ar-SA"/>
      </w:rPr>
    </w:lvl>
    <w:lvl w:ilvl="5" w:tplc="F278AB06">
      <w:numFmt w:val="bullet"/>
      <w:lvlText w:val="•"/>
      <w:lvlJc w:val="left"/>
      <w:pPr>
        <w:ind w:left="6253" w:hanging="315"/>
      </w:pPr>
      <w:rPr>
        <w:rFonts w:hint="default"/>
        <w:lang w:val="en-US" w:eastAsia="en-US" w:bidi="ar-SA"/>
      </w:rPr>
    </w:lvl>
    <w:lvl w:ilvl="6" w:tplc="706689E4">
      <w:numFmt w:val="bullet"/>
      <w:lvlText w:val="•"/>
      <w:lvlJc w:val="left"/>
      <w:pPr>
        <w:ind w:left="7300" w:hanging="315"/>
      </w:pPr>
      <w:rPr>
        <w:rFonts w:hint="default"/>
        <w:lang w:val="en-US" w:eastAsia="en-US" w:bidi="ar-SA"/>
      </w:rPr>
    </w:lvl>
    <w:lvl w:ilvl="7" w:tplc="9B44F9FA">
      <w:numFmt w:val="bullet"/>
      <w:lvlText w:val="•"/>
      <w:lvlJc w:val="left"/>
      <w:pPr>
        <w:ind w:left="8347" w:hanging="315"/>
      </w:pPr>
      <w:rPr>
        <w:rFonts w:hint="default"/>
        <w:lang w:val="en-US" w:eastAsia="en-US" w:bidi="ar-SA"/>
      </w:rPr>
    </w:lvl>
    <w:lvl w:ilvl="8" w:tplc="76BC908C">
      <w:numFmt w:val="bullet"/>
      <w:lvlText w:val="•"/>
      <w:lvlJc w:val="left"/>
      <w:pPr>
        <w:ind w:left="9393" w:hanging="315"/>
      </w:pPr>
      <w:rPr>
        <w:rFonts w:hint="default"/>
        <w:lang w:val="en-US" w:eastAsia="en-US" w:bidi="ar-SA"/>
      </w:rPr>
    </w:lvl>
  </w:abstractNum>
  <w:abstractNum w:abstractNumId="183" w15:restartNumberingAfterBreak="0">
    <w:nsid w:val="5EAC30F8"/>
    <w:multiLevelType w:val="hybridMultilevel"/>
    <w:tmpl w:val="ADCE37B6"/>
    <w:lvl w:ilvl="0" w:tplc="C5FAB252">
      <w:start w:val="1"/>
      <w:numFmt w:val="lowerLetter"/>
      <w:lvlText w:val="%1)"/>
      <w:lvlJc w:val="left"/>
      <w:pPr>
        <w:ind w:left="1889"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7F16F8DE">
      <w:start w:val="1"/>
      <w:numFmt w:val="lowerRoman"/>
      <w:lvlText w:val="%2)"/>
      <w:lvlJc w:val="left"/>
      <w:pPr>
        <w:ind w:left="2324" w:hanging="43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FC2EFE84">
      <w:numFmt w:val="bullet"/>
      <w:lvlText w:val="•"/>
      <w:lvlJc w:val="left"/>
      <w:pPr>
        <w:ind w:left="3338" w:hanging="430"/>
      </w:pPr>
      <w:rPr>
        <w:rFonts w:hint="default"/>
        <w:lang w:val="en-US" w:eastAsia="en-US" w:bidi="ar-SA"/>
      </w:rPr>
    </w:lvl>
    <w:lvl w:ilvl="3" w:tplc="C71624B6">
      <w:numFmt w:val="bullet"/>
      <w:lvlText w:val="•"/>
      <w:lvlJc w:val="left"/>
      <w:pPr>
        <w:ind w:left="4357" w:hanging="430"/>
      </w:pPr>
      <w:rPr>
        <w:rFonts w:hint="default"/>
        <w:lang w:val="en-US" w:eastAsia="en-US" w:bidi="ar-SA"/>
      </w:rPr>
    </w:lvl>
    <w:lvl w:ilvl="4" w:tplc="A34C0248">
      <w:numFmt w:val="bullet"/>
      <w:lvlText w:val="•"/>
      <w:lvlJc w:val="left"/>
      <w:pPr>
        <w:ind w:left="5375" w:hanging="430"/>
      </w:pPr>
      <w:rPr>
        <w:rFonts w:hint="default"/>
        <w:lang w:val="en-US" w:eastAsia="en-US" w:bidi="ar-SA"/>
      </w:rPr>
    </w:lvl>
    <w:lvl w:ilvl="5" w:tplc="F3300624">
      <w:numFmt w:val="bullet"/>
      <w:lvlText w:val="•"/>
      <w:lvlJc w:val="left"/>
      <w:pPr>
        <w:ind w:left="6394" w:hanging="430"/>
      </w:pPr>
      <w:rPr>
        <w:rFonts w:hint="default"/>
        <w:lang w:val="en-US" w:eastAsia="en-US" w:bidi="ar-SA"/>
      </w:rPr>
    </w:lvl>
    <w:lvl w:ilvl="6" w:tplc="D7B283B8">
      <w:numFmt w:val="bullet"/>
      <w:lvlText w:val="•"/>
      <w:lvlJc w:val="left"/>
      <w:pPr>
        <w:ind w:left="7412" w:hanging="430"/>
      </w:pPr>
      <w:rPr>
        <w:rFonts w:hint="default"/>
        <w:lang w:val="en-US" w:eastAsia="en-US" w:bidi="ar-SA"/>
      </w:rPr>
    </w:lvl>
    <w:lvl w:ilvl="7" w:tplc="A8D69E4A">
      <w:numFmt w:val="bullet"/>
      <w:lvlText w:val="•"/>
      <w:lvlJc w:val="left"/>
      <w:pPr>
        <w:ind w:left="8431" w:hanging="430"/>
      </w:pPr>
      <w:rPr>
        <w:rFonts w:hint="default"/>
        <w:lang w:val="en-US" w:eastAsia="en-US" w:bidi="ar-SA"/>
      </w:rPr>
    </w:lvl>
    <w:lvl w:ilvl="8" w:tplc="F1422334">
      <w:numFmt w:val="bullet"/>
      <w:lvlText w:val="•"/>
      <w:lvlJc w:val="left"/>
      <w:pPr>
        <w:ind w:left="9450" w:hanging="430"/>
      </w:pPr>
      <w:rPr>
        <w:rFonts w:hint="default"/>
        <w:lang w:val="en-US" w:eastAsia="en-US" w:bidi="ar-SA"/>
      </w:rPr>
    </w:lvl>
  </w:abstractNum>
  <w:abstractNum w:abstractNumId="184" w15:restartNumberingAfterBreak="0">
    <w:nsid w:val="5EC617DC"/>
    <w:multiLevelType w:val="hybridMultilevel"/>
    <w:tmpl w:val="042E951C"/>
    <w:lvl w:ilvl="0" w:tplc="F078D5DA">
      <w:start w:val="1"/>
      <w:numFmt w:val="decimal"/>
      <w:lvlText w:val="%1."/>
      <w:lvlJc w:val="left"/>
      <w:pPr>
        <w:ind w:left="1656" w:hanging="47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8B0324E">
      <w:numFmt w:val="bullet"/>
      <w:lvlText w:val="•"/>
      <w:lvlJc w:val="left"/>
      <w:pPr>
        <w:ind w:left="2685" w:hanging="471"/>
      </w:pPr>
      <w:rPr>
        <w:rFonts w:hint="default"/>
        <w:lang w:val="en-US" w:eastAsia="en-US" w:bidi="ar-SA"/>
      </w:rPr>
    </w:lvl>
    <w:lvl w:ilvl="2" w:tplc="3476FA5A">
      <w:numFmt w:val="bullet"/>
      <w:lvlText w:val="•"/>
      <w:lvlJc w:val="left"/>
      <w:pPr>
        <w:ind w:left="3710" w:hanging="471"/>
      </w:pPr>
      <w:rPr>
        <w:rFonts w:hint="default"/>
        <w:lang w:val="en-US" w:eastAsia="en-US" w:bidi="ar-SA"/>
      </w:rPr>
    </w:lvl>
    <w:lvl w:ilvl="3" w:tplc="E97AAFEC">
      <w:numFmt w:val="bullet"/>
      <w:lvlText w:val="•"/>
      <w:lvlJc w:val="left"/>
      <w:pPr>
        <w:ind w:left="4735" w:hanging="471"/>
      </w:pPr>
      <w:rPr>
        <w:rFonts w:hint="default"/>
        <w:lang w:val="en-US" w:eastAsia="en-US" w:bidi="ar-SA"/>
      </w:rPr>
    </w:lvl>
    <w:lvl w:ilvl="4" w:tplc="A76A309E">
      <w:numFmt w:val="bullet"/>
      <w:lvlText w:val="•"/>
      <w:lvlJc w:val="left"/>
      <w:pPr>
        <w:ind w:left="5760" w:hanging="471"/>
      </w:pPr>
      <w:rPr>
        <w:rFonts w:hint="default"/>
        <w:lang w:val="en-US" w:eastAsia="en-US" w:bidi="ar-SA"/>
      </w:rPr>
    </w:lvl>
    <w:lvl w:ilvl="5" w:tplc="6520DB48">
      <w:numFmt w:val="bullet"/>
      <w:lvlText w:val="•"/>
      <w:lvlJc w:val="left"/>
      <w:pPr>
        <w:ind w:left="6785" w:hanging="471"/>
      </w:pPr>
      <w:rPr>
        <w:rFonts w:hint="default"/>
        <w:lang w:val="en-US" w:eastAsia="en-US" w:bidi="ar-SA"/>
      </w:rPr>
    </w:lvl>
    <w:lvl w:ilvl="6" w:tplc="E408850C">
      <w:numFmt w:val="bullet"/>
      <w:lvlText w:val="•"/>
      <w:lvlJc w:val="left"/>
      <w:pPr>
        <w:ind w:left="7810" w:hanging="471"/>
      </w:pPr>
      <w:rPr>
        <w:rFonts w:hint="default"/>
        <w:lang w:val="en-US" w:eastAsia="en-US" w:bidi="ar-SA"/>
      </w:rPr>
    </w:lvl>
    <w:lvl w:ilvl="7" w:tplc="B0D8000E">
      <w:numFmt w:val="bullet"/>
      <w:lvlText w:val="•"/>
      <w:lvlJc w:val="left"/>
      <w:pPr>
        <w:ind w:left="8835" w:hanging="471"/>
      </w:pPr>
      <w:rPr>
        <w:rFonts w:hint="default"/>
        <w:lang w:val="en-US" w:eastAsia="en-US" w:bidi="ar-SA"/>
      </w:rPr>
    </w:lvl>
    <w:lvl w:ilvl="8" w:tplc="502E81C4">
      <w:numFmt w:val="bullet"/>
      <w:lvlText w:val="•"/>
      <w:lvlJc w:val="left"/>
      <w:pPr>
        <w:ind w:left="9860" w:hanging="471"/>
      </w:pPr>
      <w:rPr>
        <w:rFonts w:hint="default"/>
        <w:lang w:val="en-US" w:eastAsia="en-US" w:bidi="ar-SA"/>
      </w:rPr>
    </w:lvl>
  </w:abstractNum>
  <w:abstractNum w:abstractNumId="185" w15:restartNumberingAfterBreak="0">
    <w:nsid w:val="60F321ED"/>
    <w:multiLevelType w:val="hybridMultilevel"/>
    <w:tmpl w:val="56AA22BE"/>
    <w:lvl w:ilvl="0" w:tplc="41141C8A">
      <w:start w:val="1"/>
      <w:numFmt w:val="lowerLetter"/>
      <w:lvlText w:val="%1)"/>
      <w:lvlJc w:val="left"/>
      <w:pPr>
        <w:ind w:left="1870"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C4CE2F4">
      <w:numFmt w:val="bullet"/>
      <w:lvlText w:val="•"/>
      <w:lvlJc w:val="left"/>
      <w:pPr>
        <w:ind w:left="2840" w:hanging="492"/>
      </w:pPr>
      <w:rPr>
        <w:rFonts w:hint="default"/>
        <w:lang w:val="en-US" w:eastAsia="en-US" w:bidi="ar-SA"/>
      </w:rPr>
    </w:lvl>
    <w:lvl w:ilvl="2" w:tplc="6EAAE954">
      <w:numFmt w:val="bullet"/>
      <w:lvlText w:val="•"/>
      <w:lvlJc w:val="left"/>
      <w:pPr>
        <w:ind w:left="3801" w:hanging="492"/>
      </w:pPr>
      <w:rPr>
        <w:rFonts w:hint="default"/>
        <w:lang w:val="en-US" w:eastAsia="en-US" w:bidi="ar-SA"/>
      </w:rPr>
    </w:lvl>
    <w:lvl w:ilvl="3" w:tplc="CAF221A8">
      <w:numFmt w:val="bullet"/>
      <w:lvlText w:val="•"/>
      <w:lvlJc w:val="left"/>
      <w:pPr>
        <w:ind w:left="4762" w:hanging="492"/>
      </w:pPr>
      <w:rPr>
        <w:rFonts w:hint="default"/>
        <w:lang w:val="en-US" w:eastAsia="en-US" w:bidi="ar-SA"/>
      </w:rPr>
    </w:lvl>
    <w:lvl w:ilvl="4" w:tplc="9154EB72">
      <w:numFmt w:val="bullet"/>
      <w:lvlText w:val="•"/>
      <w:lvlJc w:val="left"/>
      <w:pPr>
        <w:ind w:left="5722" w:hanging="492"/>
      </w:pPr>
      <w:rPr>
        <w:rFonts w:hint="default"/>
        <w:lang w:val="en-US" w:eastAsia="en-US" w:bidi="ar-SA"/>
      </w:rPr>
    </w:lvl>
    <w:lvl w:ilvl="5" w:tplc="2416B2F4">
      <w:numFmt w:val="bullet"/>
      <w:lvlText w:val="•"/>
      <w:lvlJc w:val="left"/>
      <w:pPr>
        <w:ind w:left="6683" w:hanging="492"/>
      </w:pPr>
      <w:rPr>
        <w:rFonts w:hint="default"/>
        <w:lang w:val="en-US" w:eastAsia="en-US" w:bidi="ar-SA"/>
      </w:rPr>
    </w:lvl>
    <w:lvl w:ilvl="6" w:tplc="ED70630C">
      <w:numFmt w:val="bullet"/>
      <w:lvlText w:val="•"/>
      <w:lvlJc w:val="left"/>
      <w:pPr>
        <w:ind w:left="7644" w:hanging="492"/>
      </w:pPr>
      <w:rPr>
        <w:rFonts w:hint="default"/>
        <w:lang w:val="en-US" w:eastAsia="en-US" w:bidi="ar-SA"/>
      </w:rPr>
    </w:lvl>
    <w:lvl w:ilvl="7" w:tplc="4114316E">
      <w:numFmt w:val="bullet"/>
      <w:lvlText w:val="•"/>
      <w:lvlJc w:val="left"/>
      <w:pPr>
        <w:ind w:left="8605" w:hanging="492"/>
      </w:pPr>
      <w:rPr>
        <w:rFonts w:hint="default"/>
        <w:lang w:val="en-US" w:eastAsia="en-US" w:bidi="ar-SA"/>
      </w:rPr>
    </w:lvl>
    <w:lvl w:ilvl="8" w:tplc="A75CDDF0">
      <w:numFmt w:val="bullet"/>
      <w:lvlText w:val="•"/>
      <w:lvlJc w:val="left"/>
      <w:pPr>
        <w:ind w:left="9565" w:hanging="492"/>
      </w:pPr>
      <w:rPr>
        <w:rFonts w:hint="default"/>
        <w:lang w:val="en-US" w:eastAsia="en-US" w:bidi="ar-SA"/>
      </w:rPr>
    </w:lvl>
  </w:abstractNum>
  <w:abstractNum w:abstractNumId="186" w15:restartNumberingAfterBreak="0">
    <w:nsid w:val="61582DFA"/>
    <w:multiLevelType w:val="hybridMultilevel"/>
    <w:tmpl w:val="28F6F154"/>
    <w:lvl w:ilvl="0" w:tplc="C36C9606">
      <w:numFmt w:val="bullet"/>
      <w:lvlText w:val=""/>
      <w:lvlJc w:val="left"/>
      <w:pPr>
        <w:ind w:left="720" w:hanging="721"/>
      </w:pPr>
      <w:rPr>
        <w:rFonts w:ascii="Symbol" w:eastAsia="Symbol" w:hAnsi="Symbol" w:cs="Symbol" w:hint="default"/>
        <w:b w:val="0"/>
        <w:bCs w:val="0"/>
        <w:i w:val="0"/>
        <w:iCs w:val="0"/>
        <w:spacing w:val="0"/>
        <w:w w:val="100"/>
        <w:sz w:val="22"/>
        <w:szCs w:val="22"/>
        <w:lang w:val="en-US" w:eastAsia="en-US" w:bidi="ar-SA"/>
      </w:rPr>
    </w:lvl>
    <w:lvl w:ilvl="1" w:tplc="F5A434A8">
      <w:start w:val="1"/>
      <w:numFmt w:val="decimal"/>
      <w:lvlText w:val="%2."/>
      <w:lvlJc w:val="left"/>
      <w:pPr>
        <w:ind w:left="720" w:hanging="361"/>
      </w:pPr>
      <w:rPr>
        <w:rFonts w:ascii="Times New Roman" w:eastAsia="Times New Roman" w:hAnsi="Times New Roman" w:cs="Times New Roman" w:hint="default"/>
        <w:b w:val="0"/>
        <w:bCs w:val="0"/>
        <w:i w:val="0"/>
        <w:iCs w:val="0"/>
        <w:spacing w:val="-8"/>
        <w:w w:val="100"/>
        <w:sz w:val="22"/>
        <w:szCs w:val="22"/>
        <w:lang w:val="en-US" w:eastAsia="en-US" w:bidi="ar-SA"/>
      </w:rPr>
    </w:lvl>
    <w:lvl w:ilvl="2" w:tplc="5F443234">
      <w:numFmt w:val="bullet"/>
      <w:lvlText w:val="•"/>
      <w:lvlJc w:val="left"/>
      <w:pPr>
        <w:ind w:left="2431" w:hanging="361"/>
      </w:pPr>
      <w:rPr>
        <w:rFonts w:hint="default"/>
        <w:lang w:val="en-US" w:eastAsia="en-US" w:bidi="ar-SA"/>
      </w:rPr>
    </w:lvl>
    <w:lvl w:ilvl="3" w:tplc="6EDA43AC">
      <w:numFmt w:val="bullet"/>
      <w:lvlText w:val="•"/>
      <w:lvlJc w:val="left"/>
      <w:pPr>
        <w:ind w:left="3286" w:hanging="361"/>
      </w:pPr>
      <w:rPr>
        <w:rFonts w:hint="default"/>
        <w:lang w:val="en-US" w:eastAsia="en-US" w:bidi="ar-SA"/>
      </w:rPr>
    </w:lvl>
    <w:lvl w:ilvl="4" w:tplc="748A40F6">
      <w:numFmt w:val="bullet"/>
      <w:lvlText w:val="•"/>
      <w:lvlJc w:val="left"/>
      <w:pPr>
        <w:ind w:left="4142" w:hanging="361"/>
      </w:pPr>
      <w:rPr>
        <w:rFonts w:hint="default"/>
        <w:lang w:val="en-US" w:eastAsia="en-US" w:bidi="ar-SA"/>
      </w:rPr>
    </w:lvl>
    <w:lvl w:ilvl="5" w:tplc="A6F8F3CE">
      <w:numFmt w:val="bullet"/>
      <w:lvlText w:val="•"/>
      <w:lvlJc w:val="left"/>
      <w:pPr>
        <w:ind w:left="4997" w:hanging="361"/>
      </w:pPr>
      <w:rPr>
        <w:rFonts w:hint="default"/>
        <w:lang w:val="en-US" w:eastAsia="en-US" w:bidi="ar-SA"/>
      </w:rPr>
    </w:lvl>
    <w:lvl w:ilvl="6" w:tplc="C430EA1E">
      <w:numFmt w:val="bullet"/>
      <w:lvlText w:val="•"/>
      <w:lvlJc w:val="left"/>
      <w:pPr>
        <w:ind w:left="5853" w:hanging="361"/>
      </w:pPr>
      <w:rPr>
        <w:rFonts w:hint="default"/>
        <w:lang w:val="en-US" w:eastAsia="en-US" w:bidi="ar-SA"/>
      </w:rPr>
    </w:lvl>
    <w:lvl w:ilvl="7" w:tplc="36A6E89A">
      <w:numFmt w:val="bullet"/>
      <w:lvlText w:val="•"/>
      <w:lvlJc w:val="left"/>
      <w:pPr>
        <w:ind w:left="6708" w:hanging="361"/>
      </w:pPr>
      <w:rPr>
        <w:rFonts w:hint="default"/>
        <w:lang w:val="en-US" w:eastAsia="en-US" w:bidi="ar-SA"/>
      </w:rPr>
    </w:lvl>
    <w:lvl w:ilvl="8" w:tplc="E0D00BCA">
      <w:numFmt w:val="bullet"/>
      <w:lvlText w:val="•"/>
      <w:lvlJc w:val="left"/>
      <w:pPr>
        <w:ind w:left="7564" w:hanging="361"/>
      </w:pPr>
      <w:rPr>
        <w:rFonts w:hint="default"/>
        <w:lang w:val="en-US" w:eastAsia="en-US" w:bidi="ar-SA"/>
      </w:rPr>
    </w:lvl>
  </w:abstractNum>
  <w:abstractNum w:abstractNumId="187" w15:restartNumberingAfterBreak="0">
    <w:nsid w:val="61C80CC0"/>
    <w:multiLevelType w:val="hybridMultilevel"/>
    <w:tmpl w:val="968E6060"/>
    <w:lvl w:ilvl="0" w:tplc="A3DE1CCA">
      <w:start w:val="1"/>
      <w:numFmt w:val="decimal"/>
      <w:lvlText w:val="%1."/>
      <w:lvlJc w:val="left"/>
      <w:pPr>
        <w:ind w:left="468" w:hanging="269"/>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F37A1EE8">
      <w:numFmt w:val="bullet"/>
      <w:lvlText w:val="•"/>
      <w:lvlJc w:val="left"/>
      <w:pPr>
        <w:ind w:left="1844" w:hanging="269"/>
      </w:pPr>
      <w:rPr>
        <w:rFonts w:hint="default"/>
        <w:lang w:val="en-US" w:eastAsia="en-US" w:bidi="ar-SA"/>
      </w:rPr>
    </w:lvl>
    <w:lvl w:ilvl="2" w:tplc="34424EAE">
      <w:numFmt w:val="bullet"/>
      <w:lvlText w:val="•"/>
      <w:lvlJc w:val="left"/>
      <w:pPr>
        <w:ind w:left="3228" w:hanging="269"/>
      </w:pPr>
      <w:rPr>
        <w:rFonts w:hint="default"/>
        <w:lang w:val="en-US" w:eastAsia="en-US" w:bidi="ar-SA"/>
      </w:rPr>
    </w:lvl>
    <w:lvl w:ilvl="3" w:tplc="C6BCB0DA">
      <w:numFmt w:val="bullet"/>
      <w:lvlText w:val="•"/>
      <w:lvlJc w:val="left"/>
      <w:pPr>
        <w:ind w:left="4612" w:hanging="269"/>
      </w:pPr>
      <w:rPr>
        <w:rFonts w:hint="default"/>
        <w:lang w:val="en-US" w:eastAsia="en-US" w:bidi="ar-SA"/>
      </w:rPr>
    </w:lvl>
    <w:lvl w:ilvl="4" w:tplc="10420B52">
      <w:numFmt w:val="bullet"/>
      <w:lvlText w:val="•"/>
      <w:lvlJc w:val="left"/>
      <w:pPr>
        <w:ind w:left="5997" w:hanging="269"/>
      </w:pPr>
      <w:rPr>
        <w:rFonts w:hint="default"/>
        <w:lang w:val="en-US" w:eastAsia="en-US" w:bidi="ar-SA"/>
      </w:rPr>
    </w:lvl>
    <w:lvl w:ilvl="5" w:tplc="AA843E5A">
      <w:numFmt w:val="bullet"/>
      <w:lvlText w:val="•"/>
      <w:lvlJc w:val="left"/>
      <w:pPr>
        <w:ind w:left="7381" w:hanging="269"/>
      </w:pPr>
      <w:rPr>
        <w:rFonts w:hint="default"/>
        <w:lang w:val="en-US" w:eastAsia="en-US" w:bidi="ar-SA"/>
      </w:rPr>
    </w:lvl>
    <w:lvl w:ilvl="6" w:tplc="8A684AD6">
      <w:numFmt w:val="bullet"/>
      <w:lvlText w:val="•"/>
      <w:lvlJc w:val="left"/>
      <w:pPr>
        <w:ind w:left="8765" w:hanging="269"/>
      </w:pPr>
      <w:rPr>
        <w:rFonts w:hint="default"/>
        <w:lang w:val="en-US" w:eastAsia="en-US" w:bidi="ar-SA"/>
      </w:rPr>
    </w:lvl>
    <w:lvl w:ilvl="7" w:tplc="6546B1E8">
      <w:numFmt w:val="bullet"/>
      <w:lvlText w:val="•"/>
      <w:lvlJc w:val="left"/>
      <w:pPr>
        <w:ind w:left="10150" w:hanging="269"/>
      </w:pPr>
      <w:rPr>
        <w:rFonts w:hint="default"/>
        <w:lang w:val="en-US" w:eastAsia="en-US" w:bidi="ar-SA"/>
      </w:rPr>
    </w:lvl>
    <w:lvl w:ilvl="8" w:tplc="923EDAE0">
      <w:numFmt w:val="bullet"/>
      <w:lvlText w:val="•"/>
      <w:lvlJc w:val="left"/>
      <w:pPr>
        <w:ind w:left="11534" w:hanging="269"/>
      </w:pPr>
      <w:rPr>
        <w:rFonts w:hint="default"/>
        <w:lang w:val="en-US" w:eastAsia="en-US" w:bidi="ar-SA"/>
      </w:rPr>
    </w:lvl>
  </w:abstractNum>
  <w:abstractNum w:abstractNumId="188" w15:restartNumberingAfterBreak="0">
    <w:nsid w:val="62343D1E"/>
    <w:multiLevelType w:val="hybridMultilevel"/>
    <w:tmpl w:val="E61670DC"/>
    <w:lvl w:ilvl="0" w:tplc="16285C9A">
      <w:start w:val="1"/>
      <w:numFmt w:val="lowerLetter"/>
      <w:lvlText w:val="%1)"/>
      <w:lvlJc w:val="left"/>
      <w:pPr>
        <w:ind w:left="1887"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A808EE8">
      <w:numFmt w:val="bullet"/>
      <w:lvlText w:val="•"/>
      <w:lvlJc w:val="left"/>
      <w:pPr>
        <w:ind w:left="2840" w:hanging="509"/>
      </w:pPr>
      <w:rPr>
        <w:rFonts w:hint="default"/>
        <w:lang w:val="en-US" w:eastAsia="en-US" w:bidi="ar-SA"/>
      </w:rPr>
    </w:lvl>
    <w:lvl w:ilvl="2" w:tplc="C67E6D18">
      <w:numFmt w:val="bullet"/>
      <w:lvlText w:val="•"/>
      <w:lvlJc w:val="left"/>
      <w:pPr>
        <w:ind w:left="3801" w:hanging="509"/>
      </w:pPr>
      <w:rPr>
        <w:rFonts w:hint="default"/>
        <w:lang w:val="en-US" w:eastAsia="en-US" w:bidi="ar-SA"/>
      </w:rPr>
    </w:lvl>
    <w:lvl w:ilvl="3" w:tplc="B82885E0">
      <w:numFmt w:val="bullet"/>
      <w:lvlText w:val="•"/>
      <w:lvlJc w:val="left"/>
      <w:pPr>
        <w:ind w:left="4762" w:hanging="509"/>
      </w:pPr>
      <w:rPr>
        <w:rFonts w:hint="default"/>
        <w:lang w:val="en-US" w:eastAsia="en-US" w:bidi="ar-SA"/>
      </w:rPr>
    </w:lvl>
    <w:lvl w:ilvl="4" w:tplc="767E4E38">
      <w:numFmt w:val="bullet"/>
      <w:lvlText w:val="•"/>
      <w:lvlJc w:val="left"/>
      <w:pPr>
        <w:ind w:left="5722" w:hanging="509"/>
      </w:pPr>
      <w:rPr>
        <w:rFonts w:hint="default"/>
        <w:lang w:val="en-US" w:eastAsia="en-US" w:bidi="ar-SA"/>
      </w:rPr>
    </w:lvl>
    <w:lvl w:ilvl="5" w:tplc="16A4E080">
      <w:numFmt w:val="bullet"/>
      <w:lvlText w:val="•"/>
      <w:lvlJc w:val="left"/>
      <w:pPr>
        <w:ind w:left="6683" w:hanging="509"/>
      </w:pPr>
      <w:rPr>
        <w:rFonts w:hint="default"/>
        <w:lang w:val="en-US" w:eastAsia="en-US" w:bidi="ar-SA"/>
      </w:rPr>
    </w:lvl>
    <w:lvl w:ilvl="6" w:tplc="0AACBF24">
      <w:numFmt w:val="bullet"/>
      <w:lvlText w:val="•"/>
      <w:lvlJc w:val="left"/>
      <w:pPr>
        <w:ind w:left="7644" w:hanging="509"/>
      </w:pPr>
      <w:rPr>
        <w:rFonts w:hint="default"/>
        <w:lang w:val="en-US" w:eastAsia="en-US" w:bidi="ar-SA"/>
      </w:rPr>
    </w:lvl>
    <w:lvl w:ilvl="7" w:tplc="6BCA7B0E">
      <w:numFmt w:val="bullet"/>
      <w:lvlText w:val="•"/>
      <w:lvlJc w:val="left"/>
      <w:pPr>
        <w:ind w:left="8605" w:hanging="509"/>
      </w:pPr>
      <w:rPr>
        <w:rFonts w:hint="default"/>
        <w:lang w:val="en-US" w:eastAsia="en-US" w:bidi="ar-SA"/>
      </w:rPr>
    </w:lvl>
    <w:lvl w:ilvl="8" w:tplc="6136D46C">
      <w:numFmt w:val="bullet"/>
      <w:lvlText w:val="•"/>
      <w:lvlJc w:val="left"/>
      <w:pPr>
        <w:ind w:left="9565" w:hanging="509"/>
      </w:pPr>
      <w:rPr>
        <w:rFonts w:hint="default"/>
        <w:lang w:val="en-US" w:eastAsia="en-US" w:bidi="ar-SA"/>
      </w:rPr>
    </w:lvl>
  </w:abstractNum>
  <w:abstractNum w:abstractNumId="189" w15:restartNumberingAfterBreak="0">
    <w:nsid w:val="624664FC"/>
    <w:multiLevelType w:val="hybridMultilevel"/>
    <w:tmpl w:val="B412BB7E"/>
    <w:lvl w:ilvl="0" w:tplc="5AE81206">
      <w:numFmt w:val="bullet"/>
      <w:lvlText w:val=""/>
      <w:lvlJc w:val="left"/>
      <w:pPr>
        <w:ind w:left="720" w:hanging="721"/>
      </w:pPr>
      <w:rPr>
        <w:rFonts w:ascii="Wingdings" w:eastAsia="Wingdings" w:hAnsi="Wingdings" w:cs="Wingdings" w:hint="default"/>
        <w:b w:val="0"/>
        <w:bCs w:val="0"/>
        <w:i w:val="0"/>
        <w:iCs w:val="0"/>
        <w:spacing w:val="0"/>
        <w:w w:val="100"/>
        <w:sz w:val="22"/>
        <w:szCs w:val="22"/>
        <w:lang w:val="en-US" w:eastAsia="en-US" w:bidi="ar-SA"/>
      </w:rPr>
    </w:lvl>
    <w:lvl w:ilvl="1" w:tplc="EAFEB152">
      <w:numFmt w:val="bullet"/>
      <w:lvlText w:val="•"/>
      <w:lvlJc w:val="left"/>
      <w:pPr>
        <w:ind w:left="1655" w:hanging="721"/>
      </w:pPr>
      <w:rPr>
        <w:rFonts w:hint="default"/>
        <w:lang w:val="en-US" w:eastAsia="en-US" w:bidi="ar-SA"/>
      </w:rPr>
    </w:lvl>
    <w:lvl w:ilvl="2" w:tplc="2CA63228">
      <w:numFmt w:val="bullet"/>
      <w:lvlText w:val="•"/>
      <w:lvlJc w:val="left"/>
      <w:pPr>
        <w:ind w:left="2590" w:hanging="721"/>
      </w:pPr>
      <w:rPr>
        <w:rFonts w:hint="default"/>
        <w:lang w:val="en-US" w:eastAsia="en-US" w:bidi="ar-SA"/>
      </w:rPr>
    </w:lvl>
    <w:lvl w:ilvl="3" w:tplc="B4DAC04A">
      <w:numFmt w:val="bullet"/>
      <w:lvlText w:val="•"/>
      <w:lvlJc w:val="left"/>
      <w:pPr>
        <w:ind w:left="3525" w:hanging="721"/>
      </w:pPr>
      <w:rPr>
        <w:rFonts w:hint="default"/>
        <w:lang w:val="en-US" w:eastAsia="en-US" w:bidi="ar-SA"/>
      </w:rPr>
    </w:lvl>
    <w:lvl w:ilvl="4" w:tplc="6DC6D854">
      <w:numFmt w:val="bullet"/>
      <w:lvlText w:val="•"/>
      <w:lvlJc w:val="left"/>
      <w:pPr>
        <w:ind w:left="4460" w:hanging="721"/>
      </w:pPr>
      <w:rPr>
        <w:rFonts w:hint="default"/>
        <w:lang w:val="en-US" w:eastAsia="en-US" w:bidi="ar-SA"/>
      </w:rPr>
    </w:lvl>
    <w:lvl w:ilvl="5" w:tplc="B0A2CAB0">
      <w:numFmt w:val="bullet"/>
      <w:lvlText w:val="•"/>
      <w:lvlJc w:val="left"/>
      <w:pPr>
        <w:ind w:left="5395" w:hanging="721"/>
      </w:pPr>
      <w:rPr>
        <w:rFonts w:hint="default"/>
        <w:lang w:val="en-US" w:eastAsia="en-US" w:bidi="ar-SA"/>
      </w:rPr>
    </w:lvl>
    <w:lvl w:ilvl="6" w:tplc="3C90E93A">
      <w:numFmt w:val="bullet"/>
      <w:lvlText w:val="•"/>
      <w:lvlJc w:val="left"/>
      <w:pPr>
        <w:ind w:left="6330" w:hanging="721"/>
      </w:pPr>
      <w:rPr>
        <w:rFonts w:hint="default"/>
        <w:lang w:val="en-US" w:eastAsia="en-US" w:bidi="ar-SA"/>
      </w:rPr>
    </w:lvl>
    <w:lvl w:ilvl="7" w:tplc="E5EC2810">
      <w:numFmt w:val="bullet"/>
      <w:lvlText w:val="•"/>
      <w:lvlJc w:val="left"/>
      <w:pPr>
        <w:ind w:left="7265" w:hanging="721"/>
      </w:pPr>
      <w:rPr>
        <w:rFonts w:hint="default"/>
        <w:lang w:val="en-US" w:eastAsia="en-US" w:bidi="ar-SA"/>
      </w:rPr>
    </w:lvl>
    <w:lvl w:ilvl="8" w:tplc="72466902">
      <w:numFmt w:val="bullet"/>
      <w:lvlText w:val="•"/>
      <w:lvlJc w:val="left"/>
      <w:pPr>
        <w:ind w:left="8200" w:hanging="721"/>
      </w:pPr>
      <w:rPr>
        <w:rFonts w:hint="default"/>
        <w:lang w:val="en-US" w:eastAsia="en-US" w:bidi="ar-SA"/>
      </w:rPr>
    </w:lvl>
  </w:abstractNum>
  <w:abstractNum w:abstractNumId="190" w15:restartNumberingAfterBreak="0">
    <w:nsid w:val="625F3196"/>
    <w:multiLevelType w:val="hybridMultilevel"/>
    <w:tmpl w:val="E91ED31E"/>
    <w:lvl w:ilvl="0" w:tplc="D6923EAE">
      <w:start w:val="2"/>
      <w:numFmt w:val="decimal"/>
      <w:lvlText w:val="%1."/>
      <w:lvlJc w:val="left"/>
      <w:pPr>
        <w:ind w:left="1176" w:hanging="329"/>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FD32FC0A">
      <w:numFmt w:val="bullet"/>
      <w:lvlText w:val="•"/>
      <w:lvlJc w:val="left"/>
      <w:pPr>
        <w:ind w:left="2253" w:hanging="329"/>
      </w:pPr>
      <w:rPr>
        <w:rFonts w:hint="default"/>
        <w:lang w:val="en-US" w:eastAsia="en-US" w:bidi="ar-SA"/>
      </w:rPr>
    </w:lvl>
    <w:lvl w:ilvl="2" w:tplc="C4F0C03C">
      <w:numFmt w:val="bullet"/>
      <w:lvlText w:val="•"/>
      <w:lvlJc w:val="left"/>
      <w:pPr>
        <w:ind w:left="3326" w:hanging="329"/>
      </w:pPr>
      <w:rPr>
        <w:rFonts w:hint="default"/>
        <w:lang w:val="en-US" w:eastAsia="en-US" w:bidi="ar-SA"/>
      </w:rPr>
    </w:lvl>
    <w:lvl w:ilvl="3" w:tplc="6F8E0ED4">
      <w:numFmt w:val="bullet"/>
      <w:lvlText w:val="•"/>
      <w:lvlJc w:val="left"/>
      <w:pPr>
        <w:ind w:left="4399" w:hanging="329"/>
      </w:pPr>
      <w:rPr>
        <w:rFonts w:hint="default"/>
        <w:lang w:val="en-US" w:eastAsia="en-US" w:bidi="ar-SA"/>
      </w:rPr>
    </w:lvl>
    <w:lvl w:ilvl="4" w:tplc="4D6C800C">
      <w:numFmt w:val="bullet"/>
      <w:lvlText w:val="•"/>
      <w:lvlJc w:val="left"/>
      <w:pPr>
        <w:ind w:left="5472" w:hanging="329"/>
      </w:pPr>
      <w:rPr>
        <w:rFonts w:hint="default"/>
        <w:lang w:val="en-US" w:eastAsia="en-US" w:bidi="ar-SA"/>
      </w:rPr>
    </w:lvl>
    <w:lvl w:ilvl="5" w:tplc="E402B69E">
      <w:numFmt w:val="bullet"/>
      <w:lvlText w:val="•"/>
      <w:lvlJc w:val="left"/>
      <w:pPr>
        <w:ind w:left="6545" w:hanging="329"/>
      </w:pPr>
      <w:rPr>
        <w:rFonts w:hint="default"/>
        <w:lang w:val="en-US" w:eastAsia="en-US" w:bidi="ar-SA"/>
      </w:rPr>
    </w:lvl>
    <w:lvl w:ilvl="6" w:tplc="3F4A801E">
      <w:numFmt w:val="bullet"/>
      <w:lvlText w:val="•"/>
      <w:lvlJc w:val="left"/>
      <w:pPr>
        <w:ind w:left="7618" w:hanging="329"/>
      </w:pPr>
      <w:rPr>
        <w:rFonts w:hint="default"/>
        <w:lang w:val="en-US" w:eastAsia="en-US" w:bidi="ar-SA"/>
      </w:rPr>
    </w:lvl>
    <w:lvl w:ilvl="7" w:tplc="67E096EC">
      <w:numFmt w:val="bullet"/>
      <w:lvlText w:val="•"/>
      <w:lvlJc w:val="left"/>
      <w:pPr>
        <w:ind w:left="8691" w:hanging="329"/>
      </w:pPr>
      <w:rPr>
        <w:rFonts w:hint="default"/>
        <w:lang w:val="en-US" w:eastAsia="en-US" w:bidi="ar-SA"/>
      </w:rPr>
    </w:lvl>
    <w:lvl w:ilvl="8" w:tplc="6BBA223C">
      <w:numFmt w:val="bullet"/>
      <w:lvlText w:val="•"/>
      <w:lvlJc w:val="left"/>
      <w:pPr>
        <w:ind w:left="9764" w:hanging="329"/>
      </w:pPr>
      <w:rPr>
        <w:rFonts w:hint="default"/>
        <w:lang w:val="en-US" w:eastAsia="en-US" w:bidi="ar-SA"/>
      </w:rPr>
    </w:lvl>
  </w:abstractNum>
  <w:abstractNum w:abstractNumId="191" w15:restartNumberingAfterBreak="0">
    <w:nsid w:val="627163D5"/>
    <w:multiLevelType w:val="hybridMultilevel"/>
    <w:tmpl w:val="3F367A7C"/>
    <w:lvl w:ilvl="0" w:tplc="845C28B6">
      <w:start w:val="1"/>
      <w:numFmt w:val="upperRoman"/>
      <w:lvlText w:val="%1)"/>
      <w:lvlJc w:val="left"/>
      <w:pPr>
        <w:ind w:left="1093" w:hanging="39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10C68DA">
      <w:start w:val="1"/>
      <w:numFmt w:val="lowerLetter"/>
      <w:lvlText w:val="(%2)"/>
      <w:lvlJc w:val="left"/>
      <w:pPr>
        <w:ind w:left="2271" w:hanging="360"/>
      </w:pPr>
      <w:rPr>
        <w:rFonts w:ascii="Times New Roman" w:eastAsia="Times New Roman" w:hAnsi="Times New Roman" w:cs="Times New Roman" w:hint="default"/>
        <w:b w:val="0"/>
        <w:bCs w:val="0"/>
        <w:i w:val="0"/>
        <w:iCs w:val="0"/>
        <w:spacing w:val="-2"/>
        <w:w w:val="100"/>
        <w:sz w:val="24"/>
        <w:szCs w:val="24"/>
        <w:lang w:val="en-US" w:eastAsia="en-US" w:bidi="ar-SA"/>
      </w:rPr>
    </w:lvl>
    <w:lvl w:ilvl="2" w:tplc="EB747AA6">
      <w:numFmt w:val="bullet"/>
      <w:lvlText w:val="•"/>
      <w:lvlJc w:val="left"/>
      <w:pPr>
        <w:ind w:left="3303" w:hanging="360"/>
      </w:pPr>
      <w:rPr>
        <w:rFonts w:hint="default"/>
        <w:lang w:val="en-US" w:eastAsia="en-US" w:bidi="ar-SA"/>
      </w:rPr>
    </w:lvl>
    <w:lvl w:ilvl="3" w:tplc="CC64CAE8">
      <w:numFmt w:val="bullet"/>
      <w:lvlText w:val="•"/>
      <w:lvlJc w:val="left"/>
      <w:pPr>
        <w:ind w:left="4326" w:hanging="360"/>
      </w:pPr>
      <w:rPr>
        <w:rFonts w:hint="default"/>
        <w:lang w:val="en-US" w:eastAsia="en-US" w:bidi="ar-SA"/>
      </w:rPr>
    </w:lvl>
    <w:lvl w:ilvl="4" w:tplc="D1566BE0">
      <w:numFmt w:val="bullet"/>
      <w:lvlText w:val="•"/>
      <w:lvlJc w:val="left"/>
      <w:pPr>
        <w:ind w:left="5349" w:hanging="360"/>
      </w:pPr>
      <w:rPr>
        <w:rFonts w:hint="default"/>
        <w:lang w:val="en-US" w:eastAsia="en-US" w:bidi="ar-SA"/>
      </w:rPr>
    </w:lvl>
    <w:lvl w:ilvl="5" w:tplc="EDBCE2F0">
      <w:numFmt w:val="bullet"/>
      <w:lvlText w:val="•"/>
      <w:lvlJc w:val="left"/>
      <w:pPr>
        <w:ind w:left="6372" w:hanging="360"/>
      </w:pPr>
      <w:rPr>
        <w:rFonts w:hint="default"/>
        <w:lang w:val="en-US" w:eastAsia="en-US" w:bidi="ar-SA"/>
      </w:rPr>
    </w:lvl>
    <w:lvl w:ilvl="6" w:tplc="927E8FA2">
      <w:numFmt w:val="bullet"/>
      <w:lvlText w:val="•"/>
      <w:lvlJc w:val="left"/>
      <w:pPr>
        <w:ind w:left="7395" w:hanging="360"/>
      </w:pPr>
      <w:rPr>
        <w:rFonts w:hint="default"/>
        <w:lang w:val="en-US" w:eastAsia="en-US" w:bidi="ar-SA"/>
      </w:rPr>
    </w:lvl>
    <w:lvl w:ilvl="7" w:tplc="A6A81A8A">
      <w:numFmt w:val="bullet"/>
      <w:lvlText w:val="•"/>
      <w:lvlJc w:val="left"/>
      <w:pPr>
        <w:ind w:left="8418" w:hanging="360"/>
      </w:pPr>
      <w:rPr>
        <w:rFonts w:hint="default"/>
        <w:lang w:val="en-US" w:eastAsia="en-US" w:bidi="ar-SA"/>
      </w:rPr>
    </w:lvl>
    <w:lvl w:ilvl="8" w:tplc="9EEA016C">
      <w:numFmt w:val="bullet"/>
      <w:lvlText w:val="•"/>
      <w:lvlJc w:val="left"/>
      <w:pPr>
        <w:ind w:left="9441" w:hanging="360"/>
      </w:pPr>
      <w:rPr>
        <w:rFonts w:hint="default"/>
        <w:lang w:val="en-US" w:eastAsia="en-US" w:bidi="ar-SA"/>
      </w:rPr>
    </w:lvl>
  </w:abstractNum>
  <w:abstractNum w:abstractNumId="192" w15:restartNumberingAfterBreak="0">
    <w:nsid w:val="633112B6"/>
    <w:multiLevelType w:val="hybridMultilevel"/>
    <w:tmpl w:val="E612CADC"/>
    <w:lvl w:ilvl="0" w:tplc="D80841F4">
      <w:start w:val="7"/>
      <w:numFmt w:val="lowerRoman"/>
      <w:lvlText w:val="%1)"/>
      <w:lvlJc w:val="left"/>
      <w:pPr>
        <w:ind w:left="1621" w:hanging="471"/>
      </w:pPr>
      <w:rPr>
        <w:rFonts w:hint="default"/>
        <w:spacing w:val="-2"/>
        <w:w w:val="100"/>
        <w:lang w:val="en-US" w:eastAsia="en-US" w:bidi="ar-SA"/>
      </w:rPr>
    </w:lvl>
    <w:lvl w:ilvl="1" w:tplc="AB542552">
      <w:start w:val="1"/>
      <w:numFmt w:val="lowerLetter"/>
      <w:lvlText w:val="%2)"/>
      <w:lvlJc w:val="left"/>
      <w:pPr>
        <w:ind w:left="2168" w:hanging="452"/>
        <w:jc w:val="right"/>
      </w:pPr>
      <w:rPr>
        <w:rFonts w:hint="default"/>
        <w:spacing w:val="0"/>
        <w:w w:val="100"/>
        <w:lang w:val="en-US" w:eastAsia="en-US" w:bidi="ar-SA"/>
      </w:rPr>
    </w:lvl>
    <w:lvl w:ilvl="2" w:tplc="18C231A4">
      <w:numFmt w:val="bullet"/>
      <w:lvlText w:val="•"/>
      <w:lvlJc w:val="left"/>
      <w:pPr>
        <w:ind w:left="3196" w:hanging="452"/>
      </w:pPr>
      <w:rPr>
        <w:rFonts w:hint="default"/>
        <w:lang w:val="en-US" w:eastAsia="en-US" w:bidi="ar-SA"/>
      </w:rPr>
    </w:lvl>
    <w:lvl w:ilvl="3" w:tplc="E3C6CC54">
      <w:numFmt w:val="bullet"/>
      <w:lvlText w:val="•"/>
      <w:lvlJc w:val="left"/>
      <w:pPr>
        <w:ind w:left="4232" w:hanging="452"/>
      </w:pPr>
      <w:rPr>
        <w:rFonts w:hint="default"/>
        <w:lang w:val="en-US" w:eastAsia="en-US" w:bidi="ar-SA"/>
      </w:rPr>
    </w:lvl>
    <w:lvl w:ilvl="4" w:tplc="2D76608E">
      <w:numFmt w:val="bullet"/>
      <w:lvlText w:val="•"/>
      <w:lvlJc w:val="left"/>
      <w:pPr>
        <w:ind w:left="5269" w:hanging="452"/>
      </w:pPr>
      <w:rPr>
        <w:rFonts w:hint="default"/>
        <w:lang w:val="en-US" w:eastAsia="en-US" w:bidi="ar-SA"/>
      </w:rPr>
    </w:lvl>
    <w:lvl w:ilvl="5" w:tplc="9FF88446">
      <w:numFmt w:val="bullet"/>
      <w:lvlText w:val="•"/>
      <w:lvlJc w:val="left"/>
      <w:pPr>
        <w:ind w:left="6305" w:hanging="452"/>
      </w:pPr>
      <w:rPr>
        <w:rFonts w:hint="default"/>
        <w:lang w:val="en-US" w:eastAsia="en-US" w:bidi="ar-SA"/>
      </w:rPr>
    </w:lvl>
    <w:lvl w:ilvl="6" w:tplc="0DEC96FE">
      <w:numFmt w:val="bullet"/>
      <w:lvlText w:val="•"/>
      <w:lvlJc w:val="left"/>
      <w:pPr>
        <w:ind w:left="7341" w:hanging="452"/>
      </w:pPr>
      <w:rPr>
        <w:rFonts w:hint="default"/>
        <w:lang w:val="en-US" w:eastAsia="en-US" w:bidi="ar-SA"/>
      </w:rPr>
    </w:lvl>
    <w:lvl w:ilvl="7" w:tplc="14EE39E6">
      <w:numFmt w:val="bullet"/>
      <w:lvlText w:val="•"/>
      <w:lvlJc w:val="left"/>
      <w:pPr>
        <w:ind w:left="8378" w:hanging="452"/>
      </w:pPr>
      <w:rPr>
        <w:rFonts w:hint="default"/>
        <w:lang w:val="en-US" w:eastAsia="en-US" w:bidi="ar-SA"/>
      </w:rPr>
    </w:lvl>
    <w:lvl w:ilvl="8" w:tplc="BA805BC0">
      <w:numFmt w:val="bullet"/>
      <w:lvlText w:val="•"/>
      <w:lvlJc w:val="left"/>
      <w:pPr>
        <w:ind w:left="9414" w:hanging="452"/>
      </w:pPr>
      <w:rPr>
        <w:rFonts w:hint="default"/>
        <w:lang w:val="en-US" w:eastAsia="en-US" w:bidi="ar-SA"/>
      </w:rPr>
    </w:lvl>
  </w:abstractNum>
  <w:abstractNum w:abstractNumId="193" w15:restartNumberingAfterBreak="0">
    <w:nsid w:val="63712A3E"/>
    <w:multiLevelType w:val="hybridMultilevel"/>
    <w:tmpl w:val="AA38C66C"/>
    <w:lvl w:ilvl="0" w:tplc="9A68EECA">
      <w:start w:val="1"/>
      <w:numFmt w:val="lowerLetter"/>
      <w:lvlText w:val="%1)"/>
      <w:lvlJc w:val="left"/>
      <w:pPr>
        <w:ind w:left="1877"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65305454">
      <w:numFmt w:val="bullet"/>
      <w:lvlText w:val="•"/>
      <w:lvlJc w:val="left"/>
      <w:pPr>
        <w:ind w:left="2840" w:hanging="495"/>
      </w:pPr>
      <w:rPr>
        <w:rFonts w:hint="default"/>
        <w:lang w:val="en-US" w:eastAsia="en-US" w:bidi="ar-SA"/>
      </w:rPr>
    </w:lvl>
    <w:lvl w:ilvl="2" w:tplc="6F849438">
      <w:numFmt w:val="bullet"/>
      <w:lvlText w:val="•"/>
      <w:lvlJc w:val="left"/>
      <w:pPr>
        <w:ind w:left="3801" w:hanging="495"/>
      </w:pPr>
      <w:rPr>
        <w:rFonts w:hint="default"/>
        <w:lang w:val="en-US" w:eastAsia="en-US" w:bidi="ar-SA"/>
      </w:rPr>
    </w:lvl>
    <w:lvl w:ilvl="3" w:tplc="CB065150">
      <w:numFmt w:val="bullet"/>
      <w:lvlText w:val="•"/>
      <w:lvlJc w:val="left"/>
      <w:pPr>
        <w:ind w:left="4762" w:hanging="495"/>
      </w:pPr>
      <w:rPr>
        <w:rFonts w:hint="default"/>
        <w:lang w:val="en-US" w:eastAsia="en-US" w:bidi="ar-SA"/>
      </w:rPr>
    </w:lvl>
    <w:lvl w:ilvl="4" w:tplc="C2AA7688">
      <w:numFmt w:val="bullet"/>
      <w:lvlText w:val="•"/>
      <w:lvlJc w:val="left"/>
      <w:pPr>
        <w:ind w:left="5722" w:hanging="495"/>
      </w:pPr>
      <w:rPr>
        <w:rFonts w:hint="default"/>
        <w:lang w:val="en-US" w:eastAsia="en-US" w:bidi="ar-SA"/>
      </w:rPr>
    </w:lvl>
    <w:lvl w:ilvl="5" w:tplc="C394960A">
      <w:numFmt w:val="bullet"/>
      <w:lvlText w:val="•"/>
      <w:lvlJc w:val="left"/>
      <w:pPr>
        <w:ind w:left="6683" w:hanging="495"/>
      </w:pPr>
      <w:rPr>
        <w:rFonts w:hint="default"/>
        <w:lang w:val="en-US" w:eastAsia="en-US" w:bidi="ar-SA"/>
      </w:rPr>
    </w:lvl>
    <w:lvl w:ilvl="6" w:tplc="ABD6DD6A">
      <w:numFmt w:val="bullet"/>
      <w:lvlText w:val="•"/>
      <w:lvlJc w:val="left"/>
      <w:pPr>
        <w:ind w:left="7644" w:hanging="495"/>
      </w:pPr>
      <w:rPr>
        <w:rFonts w:hint="default"/>
        <w:lang w:val="en-US" w:eastAsia="en-US" w:bidi="ar-SA"/>
      </w:rPr>
    </w:lvl>
    <w:lvl w:ilvl="7" w:tplc="EF1A74B8">
      <w:numFmt w:val="bullet"/>
      <w:lvlText w:val="•"/>
      <w:lvlJc w:val="left"/>
      <w:pPr>
        <w:ind w:left="8605" w:hanging="495"/>
      </w:pPr>
      <w:rPr>
        <w:rFonts w:hint="default"/>
        <w:lang w:val="en-US" w:eastAsia="en-US" w:bidi="ar-SA"/>
      </w:rPr>
    </w:lvl>
    <w:lvl w:ilvl="8" w:tplc="10E0E8E4">
      <w:numFmt w:val="bullet"/>
      <w:lvlText w:val="•"/>
      <w:lvlJc w:val="left"/>
      <w:pPr>
        <w:ind w:left="9565" w:hanging="495"/>
      </w:pPr>
      <w:rPr>
        <w:rFonts w:hint="default"/>
        <w:lang w:val="en-US" w:eastAsia="en-US" w:bidi="ar-SA"/>
      </w:rPr>
    </w:lvl>
  </w:abstractNum>
  <w:abstractNum w:abstractNumId="194" w15:restartNumberingAfterBreak="0">
    <w:nsid w:val="63A03BF8"/>
    <w:multiLevelType w:val="hybridMultilevel"/>
    <w:tmpl w:val="8FF8BFEE"/>
    <w:lvl w:ilvl="0" w:tplc="C6DC7C68">
      <w:start w:val="1"/>
      <w:numFmt w:val="lowerLetter"/>
      <w:lvlText w:val="%1)"/>
      <w:lvlJc w:val="left"/>
      <w:pPr>
        <w:ind w:left="1868" w:hanging="49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402E714">
      <w:start w:val="1"/>
      <w:numFmt w:val="lowerRoman"/>
      <w:lvlText w:val="%2)"/>
      <w:lvlJc w:val="left"/>
      <w:pPr>
        <w:ind w:left="2305" w:hanging="43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738AE9FA">
      <w:numFmt w:val="bullet"/>
      <w:lvlText w:val="•"/>
      <w:lvlJc w:val="left"/>
      <w:pPr>
        <w:ind w:left="3320" w:hanging="432"/>
      </w:pPr>
      <w:rPr>
        <w:rFonts w:hint="default"/>
        <w:lang w:val="en-US" w:eastAsia="en-US" w:bidi="ar-SA"/>
      </w:rPr>
    </w:lvl>
    <w:lvl w:ilvl="3" w:tplc="BBDA0AB8">
      <w:numFmt w:val="bullet"/>
      <w:lvlText w:val="•"/>
      <w:lvlJc w:val="left"/>
      <w:pPr>
        <w:ind w:left="4341" w:hanging="432"/>
      </w:pPr>
      <w:rPr>
        <w:rFonts w:hint="default"/>
        <w:lang w:val="en-US" w:eastAsia="en-US" w:bidi="ar-SA"/>
      </w:rPr>
    </w:lvl>
    <w:lvl w:ilvl="4" w:tplc="76BC81F6">
      <w:numFmt w:val="bullet"/>
      <w:lvlText w:val="•"/>
      <w:lvlJc w:val="left"/>
      <w:pPr>
        <w:ind w:left="5362" w:hanging="432"/>
      </w:pPr>
      <w:rPr>
        <w:rFonts w:hint="default"/>
        <w:lang w:val="en-US" w:eastAsia="en-US" w:bidi="ar-SA"/>
      </w:rPr>
    </w:lvl>
    <w:lvl w:ilvl="5" w:tplc="28EEB858">
      <w:numFmt w:val="bullet"/>
      <w:lvlText w:val="•"/>
      <w:lvlJc w:val="left"/>
      <w:pPr>
        <w:ind w:left="6383" w:hanging="432"/>
      </w:pPr>
      <w:rPr>
        <w:rFonts w:hint="default"/>
        <w:lang w:val="en-US" w:eastAsia="en-US" w:bidi="ar-SA"/>
      </w:rPr>
    </w:lvl>
    <w:lvl w:ilvl="6" w:tplc="8506C5B0">
      <w:numFmt w:val="bullet"/>
      <w:lvlText w:val="•"/>
      <w:lvlJc w:val="left"/>
      <w:pPr>
        <w:ind w:left="7404" w:hanging="432"/>
      </w:pPr>
      <w:rPr>
        <w:rFonts w:hint="default"/>
        <w:lang w:val="en-US" w:eastAsia="en-US" w:bidi="ar-SA"/>
      </w:rPr>
    </w:lvl>
    <w:lvl w:ilvl="7" w:tplc="AE069C2C">
      <w:numFmt w:val="bullet"/>
      <w:lvlText w:val="•"/>
      <w:lvlJc w:val="left"/>
      <w:pPr>
        <w:ind w:left="8424" w:hanging="432"/>
      </w:pPr>
      <w:rPr>
        <w:rFonts w:hint="default"/>
        <w:lang w:val="en-US" w:eastAsia="en-US" w:bidi="ar-SA"/>
      </w:rPr>
    </w:lvl>
    <w:lvl w:ilvl="8" w:tplc="F32CA8C6">
      <w:numFmt w:val="bullet"/>
      <w:lvlText w:val="•"/>
      <w:lvlJc w:val="left"/>
      <w:pPr>
        <w:ind w:left="9445" w:hanging="432"/>
      </w:pPr>
      <w:rPr>
        <w:rFonts w:hint="default"/>
        <w:lang w:val="en-US" w:eastAsia="en-US" w:bidi="ar-SA"/>
      </w:rPr>
    </w:lvl>
  </w:abstractNum>
  <w:abstractNum w:abstractNumId="195" w15:restartNumberingAfterBreak="0">
    <w:nsid w:val="63F864CC"/>
    <w:multiLevelType w:val="hybridMultilevel"/>
    <w:tmpl w:val="66F6714C"/>
    <w:lvl w:ilvl="0" w:tplc="E3BAD156">
      <w:start w:val="1"/>
      <w:numFmt w:val="decimal"/>
      <w:lvlText w:val="%1."/>
      <w:lvlJc w:val="left"/>
      <w:pPr>
        <w:ind w:left="854"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67E88B4">
      <w:numFmt w:val="bullet"/>
      <w:lvlText w:val="•"/>
      <w:lvlJc w:val="left"/>
      <w:pPr>
        <w:ind w:left="2316" w:hanging="360"/>
      </w:pPr>
      <w:rPr>
        <w:rFonts w:hint="default"/>
        <w:lang w:val="en-US" w:eastAsia="en-US" w:bidi="ar-SA"/>
      </w:rPr>
    </w:lvl>
    <w:lvl w:ilvl="2" w:tplc="E2EE7E26">
      <w:numFmt w:val="bullet"/>
      <w:lvlText w:val="•"/>
      <w:lvlJc w:val="left"/>
      <w:pPr>
        <w:ind w:left="3772" w:hanging="360"/>
      </w:pPr>
      <w:rPr>
        <w:rFonts w:hint="default"/>
        <w:lang w:val="en-US" w:eastAsia="en-US" w:bidi="ar-SA"/>
      </w:rPr>
    </w:lvl>
    <w:lvl w:ilvl="3" w:tplc="E2FC7B92">
      <w:numFmt w:val="bullet"/>
      <w:lvlText w:val="•"/>
      <w:lvlJc w:val="left"/>
      <w:pPr>
        <w:ind w:left="5229" w:hanging="360"/>
      </w:pPr>
      <w:rPr>
        <w:rFonts w:hint="default"/>
        <w:lang w:val="en-US" w:eastAsia="en-US" w:bidi="ar-SA"/>
      </w:rPr>
    </w:lvl>
    <w:lvl w:ilvl="4" w:tplc="08562C46">
      <w:numFmt w:val="bullet"/>
      <w:lvlText w:val="•"/>
      <w:lvlJc w:val="left"/>
      <w:pPr>
        <w:ind w:left="6685" w:hanging="360"/>
      </w:pPr>
      <w:rPr>
        <w:rFonts w:hint="default"/>
        <w:lang w:val="en-US" w:eastAsia="en-US" w:bidi="ar-SA"/>
      </w:rPr>
    </w:lvl>
    <w:lvl w:ilvl="5" w:tplc="EC0AC0EE">
      <w:numFmt w:val="bullet"/>
      <w:lvlText w:val="•"/>
      <w:lvlJc w:val="left"/>
      <w:pPr>
        <w:ind w:left="8142" w:hanging="360"/>
      </w:pPr>
      <w:rPr>
        <w:rFonts w:hint="default"/>
        <w:lang w:val="en-US" w:eastAsia="en-US" w:bidi="ar-SA"/>
      </w:rPr>
    </w:lvl>
    <w:lvl w:ilvl="6" w:tplc="0044AD68">
      <w:numFmt w:val="bullet"/>
      <w:lvlText w:val="•"/>
      <w:lvlJc w:val="left"/>
      <w:pPr>
        <w:ind w:left="9598" w:hanging="360"/>
      </w:pPr>
      <w:rPr>
        <w:rFonts w:hint="default"/>
        <w:lang w:val="en-US" w:eastAsia="en-US" w:bidi="ar-SA"/>
      </w:rPr>
    </w:lvl>
    <w:lvl w:ilvl="7" w:tplc="1E3E9B6A">
      <w:numFmt w:val="bullet"/>
      <w:lvlText w:val="•"/>
      <w:lvlJc w:val="left"/>
      <w:pPr>
        <w:ind w:left="11055" w:hanging="360"/>
      </w:pPr>
      <w:rPr>
        <w:rFonts w:hint="default"/>
        <w:lang w:val="en-US" w:eastAsia="en-US" w:bidi="ar-SA"/>
      </w:rPr>
    </w:lvl>
    <w:lvl w:ilvl="8" w:tplc="9730AB6A">
      <w:numFmt w:val="bullet"/>
      <w:lvlText w:val="•"/>
      <w:lvlJc w:val="left"/>
      <w:pPr>
        <w:ind w:left="12511" w:hanging="360"/>
      </w:pPr>
      <w:rPr>
        <w:rFonts w:hint="default"/>
        <w:lang w:val="en-US" w:eastAsia="en-US" w:bidi="ar-SA"/>
      </w:rPr>
    </w:lvl>
  </w:abstractNum>
  <w:abstractNum w:abstractNumId="196" w15:restartNumberingAfterBreak="0">
    <w:nsid w:val="65D43D02"/>
    <w:multiLevelType w:val="hybridMultilevel"/>
    <w:tmpl w:val="5B18020A"/>
    <w:lvl w:ilvl="0" w:tplc="B05E8E4C">
      <w:start w:val="1"/>
      <w:numFmt w:val="decimal"/>
      <w:lvlText w:val="(%1)"/>
      <w:lvlJc w:val="left"/>
      <w:pPr>
        <w:ind w:left="107" w:hanging="994"/>
      </w:pPr>
      <w:rPr>
        <w:rFonts w:ascii="Times New Roman" w:eastAsia="Times New Roman" w:hAnsi="Times New Roman" w:cs="Times New Roman" w:hint="default"/>
        <w:b w:val="0"/>
        <w:bCs w:val="0"/>
        <w:i w:val="0"/>
        <w:iCs w:val="0"/>
        <w:spacing w:val="0"/>
        <w:w w:val="100"/>
        <w:sz w:val="22"/>
        <w:szCs w:val="22"/>
        <w:lang w:val="en-US" w:eastAsia="en-US" w:bidi="ar-SA"/>
      </w:rPr>
    </w:lvl>
    <w:lvl w:ilvl="1" w:tplc="97E0052E">
      <w:numFmt w:val="bullet"/>
      <w:lvlText w:val="•"/>
      <w:lvlJc w:val="left"/>
      <w:pPr>
        <w:ind w:left="976" w:hanging="994"/>
      </w:pPr>
      <w:rPr>
        <w:rFonts w:hint="default"/>
        <w:lang w:val="en-US" w:eastAsia="en-US" w:bidi="ar-SA"/>
      </w:rPr>
    </w:lvl>
    <w:lvl w:ilvl="2" w:tplc="F1529438">
      <w:numFmt w:val="bullet"/>
      <w:lvlText w:val="•"/>
      <w:lvlJc w:val="left"/>
      <w:pPr>
        <w:ind w:left="1853" w:hanging="994"/>
      </w:pPr>
      <w:rPr>
        <w:rFonts w:hint="default"/>
        <w:lang w:val="en-US" w:eastAsia="en-US" w:bidi="ar-SA"/>
      </w:rPr>
    </w:lvl>
    <w:lvl w:ilvl="3" w:tplc="A0F2D4C4">
      <w:numFmt w:val="bullet"/>
      <w:lvlText w:val="•"/>
      <w:lvlJc w:val="left"/>
      <w:pPr>
        <w:ind w:left="2730" w:hanging="994"/>
      </w:pPr>
      <w:rPr>
        <w:rFonts w:hint="default"/>
        <w:lang w:val="en-US" w:eastAsia="en-US" w:bidi="ar-SA"/>
      </w:rPr>
    </w:lvl>
    <w:lvl w:ilvl="4" w:tplc="EF262052">
      <w:numFmt w:val="bullet"/>
      <w:lvlText w:val="•"/>
      <w:lvlJc w:val="left"/>
      <w:pPr>
        <w:ind w:left="3607" w:hanging="994"/>
      </w:pPr>
      <w:rPr>
        <w:rFonts w:hint="default"/>
        <w:lang w:val="en-US" w:eastAsia="en-US" w:bidi="ar-SA"/>
      </w:rPr>
    </w:lvl>
    <w:lvl w:ilvl="5" w:tplc="3A5AFE20">
      <w:numFmt w:val="bullet"/>
      <w:lvlText w:val="•"/>
      <w:lvlJc w:val="left"/>
      <w:pPr>
        <w:ind w:left="4484" w:hanging="994"/>
      </w:pPr>
      <w:rPr>
        <w:rFonts w:hint="default"/>
        <w:lang w:val="en-US" w:eastAsia="en-US" w:bidi="ar-SA"/>
      </w:rPr>
    </w:lvl>
    <w:lvl w:ilvl="6" w:tplc="B15CC032">
      <w:numFmt w:val="bullet"/>
      <w:lvlText w:val="•"/>
      <w:lvlJc w:val="left"/>
      <w:pPr>
        <w:ind w:left="5360" w:hanging="994"/>
      </w:pPr>
      <w:rPr>
        <w:rFonts w:hint="default"/>
        <w:lang w:val="en-US" w:eastAsia="en-US" w:bidi="ar-SA"/>
      </w:rPr>
    </w:lvl>
    <w:lvl w:ilvl="7" w:tplc="ED58CFCE">
      <w:numFmt w:val="bullet"/>
      <w:lvlText w:val="•"/>
      <w:lvlJc w:val="left"/>
      <w:pPr>
        <w:ind w:left="6237" w:hanging="994"/>
      </w:pPr>
      <w:rPr>
        <w:rFonts w:hint="default"/>
        <w:lang w:val="en-US" w:eastAsia="en-US" w:bidi="ar-SA"/>
      </w:rPr>
    </w:lvl>
    <w:lvl w:ilvl="8" w:tplc="A3B4BBE2">
      <w:numFmt w:val="bullet"/>
      <w:lvlText w:val="•"/>
      <w:lvlJc w:val="left"/>
      <w:pPr>
        <w:ind w:left="7114" w:hanging="994"/>
      </w:pPr>
      <w:rPr>
        <w:rFonts w:hint="default"/>
        <w:lang w:val="en-US" w:eastAsia="en-US" w:bidi="ar-SA"/>
      </w:rPr>
    </w:lvl>
  </w:abstractNum>
  <w:abstractNum w:abstractNumId="197" w15:restartNumberingAfterBreak="0">
    <w:nsid w:val="65D568E2"/>
    <w:multiLevelType w:val="hybridMultilevel"/>
    <w:tmpl w:val="D7986C34"/>
    <w:lvl w:ilvl="0" w:tplc="95FA0F1A">
      <w:start w:val="1"/>
      <w:numFmt w:val="lowerLetter"/>
      <w:lvlText w:val="%1."/>
      <w:lvlJc w:val="left"/>
      <w:pPr>
        <w:ind w:left="1083" w:hanging="37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CAC9432">
      <w:numFmt w:val="bullet"/>
      <w:lvlText w:val="•"/>
      <w:lvlJc w:val="left"/>
      <w:pPr>
        <w:ind w:left="2120" w:hanging="371"/>
      </w:pPr>
      <w:rPr>
        <w:rFonts w:hint="default"/>
        <w:lang w:val="en-US" w:eastAsia="en-US" w:bidi="ar-SA"/>
      </w:rPr>
    </w:lvl>
    <w:lvl w:ilvl="2" w:tplc="D5A80C2C">
      <w:numFmt w:val="bullet"/>
      <w:lvlText w:val="•"/>
      <w:lvlJc w:val="left"/>
      <w:pPr>
        <w:ind w:left="3161" w:hanging="371"/>
      </w:pPr>
      <w:rPr>
        <w:rFonts w:hint="default"/>
        <w:lang w:val="en-US" w:eastAsia="en-US" w:bidi="ar-SA"/>
      </w:rPr>
    </w:lvl>
    <w:lvl w:ilvl="3" w:tplc="5F582D1C">
      <w:numFmt w:val="bullet"/>
      <w:lvlText w:val="•"/>
      <w:lvlJc w:val="left"/>
      <w:pPr>
        <w:ind w:left="4202" w:hanging="371"/>
      </w:pPr>
      <w:rPr>
        <w:rFonts w:hint="default"/>
        <w:lang w:val="en-US" w:eastAsia="en-US" w:bidi="ar-SA"/>
      </w:rPr>
    </w:lvl>
    <w:lvl w:ilvl="4" w:tplc="0BDA22CE">
      <w:numFmt w:val="bullet"/>
      <w:lvlText w:val="•"/>
      <w:lvlJc w:val="left"/>
      <w:pPr>
        <w:ind w:left="5242" w:hanging="371"/>
      </w:pPr>
      <w:rPr>
        <w:rFonts w:hint="default"/>
        <w:lang w:val="en-US" w:eastAsia="en-US" w:bidi="ar-SA"/>
      </w:rPr>
    </w:lvl>
    <w:lvl w:ilvl="5" w:tplc="967A3224">
      <w:numFmt w:val="bullet"/>
      <w:lvlText w:val="•"/>
      <w:lvlJc w:val="left"/>
      <w:pPr>
        <w:ind w:left="6283" w:hanging="371"/>
      </w:pPr>
      <w:rPr>
        <w:rFonts w:hint="default"/>
        <w:lang w:val="en-US" w:eastAsia="en-US" w:bidi="ar-SA"/>
      </w:rPr>
    </w:lvl>
    <w:lvl w:ilvl="6" w:tplc="F66E9168">
      <w:numFmt w:val="bullet"/>
      <w:lvlText w:val="•"/>
      <w:lvlJc w:val="left"/>
      <w:pPr>
        <w:ind w:left="7324" w:hanging="371"/>
      </w:pPr>
      <w:rPr>
        <w:rFonts w:hint="default"/>
        <w:lang w:val="en-US" w:eastAsia="en-US" w:bidi="ar-SA"/>
      </w:rPr>
    </w:lvl>
    <w:lvl w:ilvl="7" w:tplc="DAF814D4">
      <w:numFmt w:val="bullet"/>
      <w:lvlText w:val="•"/>
      <w:lvlJc w:val="left"/>
      <w:pPr>
        <w:ind w:left="8365" w:hanging="371"/>
      </w:pPr>
      <w:rPr>
        <w:rFonts w:hint="default"/>
        <w:lang w:val="en-US" w:eastAsia="en-US" w:bidi="ar-SA"/>
      </w:rPr>
    </w:lvl>
    <w:lvl w:ilvl="8" w:tplc="7CB6FA24">
      <w:numFmt w:val="bullet"/>
      <w:lvlText w:val="•"/>
      <w:lvlJc w:val="left"/>
      <w:pPr>
        <w:ind w:left="9405" w:hanging="371"/>
      </w:pPr>
      <w:rPr>
        <w:rFonts w:hint="default"/>
        <w:lang w:val="en-US" w:eastAsia="en-US" w:bidi="ar-SA"/>
      </w:rPr>
    </w:lvl>
  </w:abstractNum>
  <w:abstractNum w:abstractNumId="198" w15:restartNumberingAfterBreak="0">
    <w:nsid w:val="65DA28BA"/>
    <w:multiLevelType w:val="hybridMultilevel"/>
    <w:tmpl w:val="420E6122"/>
    <w:lvl w:ilvl="0" w:tplc="C8F272DC">
      <w:start w:val="1"/>
      <w:numFmt w:val="lowerLetter"/>
      <w:lvlText w:val="%1)"/>
      <w:lvlJc w:val="left"/>
      <w:pPr>
        <w:ind w:left="1870" w:hanging="49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D2C74D6">
      <w:numFmt w:val="bullet"/>
      <w:lvlText w:val="•"/>
      <w:lvlJc w:val="left"/>
      <w:pPr>
        <w:ind w:left="2840" w:hanging="497"/>
      </w:pPr>
      <w:rPr>
        <w:rFonts w:hint="default"/>
        <w:lang w:val="en-US" w:eastAsia="en-US" w:bidi="ar-SA"/>
      </w:rPr>
    </w:lvl>
    <w:lvl w:ilvl="2" w:tplc="C610068A">
      <w:numFmt w:val="bullet"/>
      <w:lvlText w:val="•"/>
      <w:lvlJc w:val="left"/>
      <w:pPr>
        <w:ind w:left="3801" w:hanging="497"/>
      </w:pPr>
      <w:rPr>
        <w:rFonts w:hint="default"/>
        <w:lang w:val="en-US" w:eastAsia="en-US" w:bidi="ar-SA"/>
      </w:rPr>
    </w:lvl>
    <w:lvl w:ilvl="3" w:tplc="60224DC4">
      <w:numFmt w:val="bullet"/>
      <w:lvlText w:val="•"/>
      <w:lvlJc w:val="left"/>
      <w:pPr>
        <w:ind w:left="4762" w:hanging="497"/>
      </w:pPr>
      <w:rPr>
        <w:rFonts w:hint="default"/>
        <w:lang w:val="en-US" w:eastAsia="en-US" w:bidi="ar-SA"/>
      </w:rPr>
    </w:lvl>
    <w:lvl w:ilvl="4" w:tplc="C88AD74A">
      <w:numFmt w:val="bullet"/>
      <w:lvlText w:val="•"/>
      <w:lvlJc w:val="left"/>
      <w:pPr>
        <w:ind w:left="5722" w:hanging="497"/>
      </w:pPr>
      <w:rPr>
        <w:rFonts w:hint="default"/>
        <w:lang w:val="en-US" w:eastAsia="en-US" w:bidi="ar-SA"/>
      </w:rPr>
    </w:lvl>
    <w:lvl w:ilvl="5" w:tplc="D98A3974">
      <w:numFmt w:val="bullet"/>
      <w:lvlText w:val="•"/>
      <w:lvlJc w:val="left"/>
      <w:pPr>
        <w:ind w:left="6683" w:hanging="497"/>
      </w:pPr>
      <w:rPr>
        <w:rFonts w:hint="default"/>
        <w:lang w:val="en-US" w:eastAsia="en-US" w:bidi="ar-SA"/>
      </w:rPr>
    </w:lvl>
    <w:lvl w:ilvl="6" w:tplc="614E79DE">
      <w:numFmt w:val="bullet"/>
      <w:lvlText w:val="•"/>
      <w:lvlJc w:val="left"/>
      <w:pPr>
        <w:ind w:left="7644" w:hanging="497"/>
      </w:pPr>
      <w:rPr>
        <w:rFonts w:hint="default"/>
        <w:lang w:val="en-US" w:eastAsia="en-US" w:bidi="ar-SA"/>
      </w:rPr>
    </w:lvl>
    <w:lvl w:ilvl="7" w:tplc="AE14E9E8">
      <w:numFmt w:val="bullet"/>
      <w:lvlText w:val="•"/>
      <w:lvlJc w:val="left"/>
      <w:pPr>
        <w:ind w:left="8605" w:hanging="497"/>
      </w:pPr>
      <w:rPr>
        <w:rFonts w:hint="default"/>
        <w:lang w:val="en-US" w:eastAsia="en-US" w:bidi="ar-SA"/>
      </w:rPr>
    </w:lvl>
    <w:lvl w:ilvl="8" w:tplc="EE0E4D1E">
      <w:numFmt w:val="bullet"/>
      <w:lvlText w:val="•"/>
      <w:lvlJc w:val="left"/>
      <w:pPr>
        <w:ind w:left="9565" w:hanging="497"/>
      </w:pPr>
      <w:rPr>
        <w:rFonts w:hint="default"/>
        <w:lang w:val="en-US" w:eastAsia="en-US" w:bidi="ar-SA"/>
      </w:rPr>
    </w:lvl>
  </w:abstractNum>
  <w:abstractNum w:abstractNumId="199" w15:restartNumberingAfterBreak="0">
    <w:nsid w:val="65E54C03"/>
    <w:multiLevelType w:val="multilevel"/>
    <w:tmpl w:val="E4A8950E"/>
    <w:lvl w:ilvl="0">
      <w:start w:val="23"/>
      <w:numFmt w:val="decimal"/>
      <w:lvlText w:val="%1.0"/>
      <w:lvlJc w:val="left"/>
      <w:pPr>
        <w:ind w:left="1288" w:hanging="442"/>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433" w:hanging="572"/>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Letter"/>
      <w:lvlText w:val="%3)"/>
      <w:lvlJc w:val="left"/>
      <w:pPr>
        <w:ind w:left="1846" w:hanging="42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098" w:hanging="423"/>
      </w:pPr>
      <w:rPr>
        <w:rFonts w:hint="default"/>
        <w:lang w:val="en-US" w:eastAsia="en-US" w:bidi="ar-SA"/>
      </w:rPr>
    </w:lvl>
    <w:lvl w:ilvl="4">
      <w:numFmt w:val="bullet"/>
      <w:lvlText w:val="•"/>
      <w:lvlJc w:val="left"/>
      <w:pPr>
        <w:ind w:left="4357" w:hanging="423"/>
      </w:pPr>
      <w:rPr>
        <w:rFonts w:hint="default"/>
        <w:lang w:val="en-US" w:eastAsia="en-US" w:bidi="ar-SA"/>
      </w:rPr>
    </w:lvl>
    <w:lvl w:ilvl="5">
      <w:numFmt w:val="bullet"/>
      <w:lvlText w:val="•"/>
      <w:lvlJc w:val="left"/>
      <w:pPr>
        <w:ind w:left="5616" w:hanging="423"/>
      </w:pPr>
      <w:rPr>
        <w:rFonts w:hint="default"/>
        <w:lang w:val="en-US" w:eastAsia="en-US" w:bidi="ar-SA"/>
      </w:rPr>
    </w:lvl>
    <w:lvl w:ilvl="6">
      <w:numFmt w:val="bullet"/>
      <w:lvlText w:val="•"/>
      <w:lvlJc w:val="left"/>
      <w:pPr>
        <w:ind w:left="6875" w:hanging="423"/>
      </w:pPr>
      <w:rPr>
        <w:rFonts w:hint="default"/>
        <w:lang w:val="en-US" w:eastAsia="en-US" w:bidi="ar-SA"/>
      </w:rPr>
    </w:lvl>
    <w:lvl w:ilvl="7">
      <w:numFmt w:val="bullet"/>
      <w:lvlText w:val="•"/>
      <w:lvlJc w:val="left"/>
      <w:pPr>
        <w:ind w:left="8134" w:hanging="423"/>
      </w:pPr>
      <w:rPr>
        <w:rFonts w:hint="default"/>
        <w:lang w:val="en-US" w:eastAsia="en-US" w:bidi="ar-SA"/>
      </w:rPr>
    </w:lvl>
    <w:lvl w:ilvl="8">
      <w:numFmt w:val="bullet"/>
      <w:lvlText w:val="•"/>
      <w:lvlJc w:val="left"/>
      <w:pPr>
        <w:ind w:left="9393" w:hanging="423"/>
      </w:pPr>
      <w:rPr>
        <w:rFonts w:hint="default"/>
        <w:lang w:val="en-US" w:eastAsia="en-US" w:bidi="ar-SA"/>
      </w:rPr>
    </w:lvl>
  </w:abstractNum>
  <w:abstractNum w:abstractNumId="200" w15:restartNumberingAfterBreak="0">
    <w:nsid w:val="669522D3"/>
    <w:multiLevelType w:val="hybridMultilevel"/>
    <w:tmpl w:val="681A1C5C"/>
    <w:lvl w:ilvl="0" w:tplc="77AA47D8">
      <w:start w:val="1"/>
      <w:numFmt w:val="decimal"/>
      <w:lvlText w:val="%1."/>
      <w:lvlJc w:val="left"/>
      <w:pPr>
        <w:ind w:left="455" w:hanging="287"/>
      </w:pPr>
      <w:rPr>
        <w:rFonts w:ascii="Times New Roman" w:eastAsia="Times New Roman" w:hAnsi="Times New Roman" w:cs="Times New Roman" w:hint="default"/>
        <w:b w:val="0"/>
        <w:bCs w:val="0"/>
        <w:i w:val="0"/>
        <w:iCs w:val="0"/>
        <w:spacing w:val="0"/>
        <w:w w:val="100"/>
        <w:sz w:val="22"/>
        <w:szCs w:val="22"/>
        <w:lang w:val="en-US" w:eastAsia="en-US" w:bidi="ar-SA"/>
      </w:rPr>
    </w:lvl>
    <w:lvl w:ilvl="1" w:tplc="7A18580C">
      <w:numFmt w:val="bullet"/>
      <w:lvlText w:val="•"/>
      <w:lvlJc w:val="left"/>
      <w:pPr>
        <w:ind w:left="935" w:hanging="287"/>
      </w:pPr>
      <w:rPr>
        <w:rFonts w:hint="default"/>
        <w:lang w:val="en-US" w:eastAsia="en-US" w:bidi="ar-SA"/>
      </w:rPr>
    </w:lvl>
    <w:lvl w:ilvl="2" w:tplc="3356C86C">
      <w:numFmt w:val="bullet"/>
      <w:lvlText w:val="•"/>
      <w:lvlJc w:val="left"/>
      <w:pPr>
        <w:ind w:left="1410" w:hanging="287"/>
      </w:pPr>
      <w:rPr>
        <w:rFonts w:hint="default"/>
        <w:lang w:val="en-US" w:eastAsia="en-US" w:bidi="ar-SA"/>
      </w:rPr>
    </w:lvl>
    <w:lvl w:ilvl="3" w:tplc="7428A10A">
      <w:numFmt w:val="bullet"/>
      <w:lvlText w:val="•"/>
      <w:lvlJc w:val="left"/>
      <w:pPr>
        <w:ind w:left="1885" w:hanging="287"/>
      </w:pPr>
      <w:rPr>
        <w:rFonts w:hint="default"/>
        <w:lang w:val="en-US" w:eastAsia="en-US" w:bidi="ar-SA"/>
      </w:rPr>
    </w:lvl>
    <w:lvl w:ilvl="4" w:tplc="6EEEFBB2">
      <w:numFmt w:val="bullet"/>
      <w:lvlText w:val="•"/>
      <w:lvlJc w:val="left"/>
      <w:pPr>
        <w:ind w:left="2361" w:hanging="287"/>
      </w:pPr>
      <w:rPr>
        <w:rFonts w:hint="default"/>
        <w:lang w:val="en-US" w:eastAsia="en-US" w:bidi="ar-SA"/>
      </w:rPr>
    </w:lvl>
    <w:lvl w:ilvl="5" w:tplc="79FC4400">
      <w:numFmt w:val="bullet"/>
      <w:lvlText w:val="•"/>
      <w:lvlJc w:val="left"/>
      <w:pPr>
        <w:ind w:left="2836" w:hanging="287"/>
      </w:pPr>
      <w:rPr>
        <w:rFonts w:hint="default"/>
        <w:lang w:val="en-US" w:eastAsia="en-US" w:bidi="ar-SA"/>
      </w:rPr>
    </w:lvl>
    <w:lvl w:ilvl="6" w:tplc="39F4941C">
      <w:numFmt w:val="bullet"/>
      <w:lvlText w:val="•"/>
      <w:lvlJc w:val="left"/>
      <w:pPr>
        <w:ind w:left="3311" w:hanging="287"/>
      </w:pPr>
      <w:rPr>
        <w:rFonts w:hint="default"/>
        <w:lang w:val="en-US" w:eastAsia="en-US" w:bidi="ar-SA"/>
      </w:rPr>
    </w:lvl>
    <w:lvl w:ilvl="7" w:tplc="8F5ADFAE">
      <w:numFmt w:val="bullet"/>
      <w:lvlText w:val="•"/>
      <w:lvlJc w:val="left"/>
      <w:pPr>
        <w:ind w:left="3787" w:hanging="287"/>
      </w:pPr>
      <w:rPr>
        <w:rFonts w:hint="default"/>
        <w:lang w:val="en-US" w:eastAsia="en-US" w:bidi="ar-SA"/>
      </w:rPr>
    </w:lvl>
    <w:lvl w:ilvl="8" w:tplc="C80E64E0">
      <w:numFmt w:val="bullet"/>
      <w:lvlText w:val="•"/>
      <w:lvlJc w:val="left"/>
      <w:pPr>
        <w:ind w:left="4262" w:hanging="287"/>
      </w:pPr>
      <w:rPr>
        <w:rFonts w:hint="default"/>
        <w:lang w:val="en-US" w:eastAsia="en-US" w:bidi="ar-SA"/>
      </w:rPr>
    </w:lvl>
  </w:abstractNum>
  <w:abstractNum w:abstractNumId="201" w15:restartNumberingAfterBreak="0">
    <w:nsid w:val="669D6777"/>
    <w:multiLevelType w:val="hybridMultilevel"/>
    <w:tmpl w:val="239435B6"/>
    <w:lvl w:ilvl="0" w:tplc="CE1EDE72">
      <w:start w:val="1"/>
      <w:numFmt w:val="lowerLetter"/>
      <w:lvlText w:val="%1)"/>
      <w:lvlJc w:val="left"/>
      <w:pPr>
        <w:ind w:left="1669" w:hanging="516"/>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7286E2C">
      <w:start w:val="1"/>
      <w:numFmt w:val="lowerRoman"/>
      <w:lvlText w:val="%2)"/>
      <w:lvlJc w:val="left"/>
      <w:pPr>
        <w:ind w:left="1669" w:hanging="5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0BBEBA46">
      <w:numFmt w:val="bullet"/>
      <w:lvlText w:val="•"/>
      <w:lvlJc w:val="left"/>
      <w:pPr>
        <w:ind w:left="3625" w:hanging="516"/>
      </w:pPr>
      <w:rPr>
        <w:rFonts w:hint="default"/>
        <w:lang w:val="en-US" w:eastAsia="en-US" w:bidi="ar-SA"/>
      </w:rPr>
    </w:lvl>
    <w:lvl w:ilvl="3" w:tplc="8976DCC0">
      <w:numFmt w:val="bullet"/>
      <w:lvlText w:val="•"/>
      <w:lvlJc w:val="left"/>
      <w:pPr>
        <w:ind w:left="4608" w:hanging="516"/>
      </w:pPr>
      <w:rPr>
        <w:rFonts w:hint="default"/>
        <w:lang w:val="en-US" w:eastAsia="en-US" w:bidi="ar-SA"/>
      </w:rPr>
    </w:lvl>
    <w:lvl w:ilvl="4" w:tplc="39A4CF7C">
      <w:numFmt w:val="bullet"/>
      <w:lvlText w:val="•"/>
      <w:lvlJc w:val="left"/>
      <w:pPr>
        <w:ind w:left="5590" w:hanging="516"/>
      </w:pPr>
      <w:rPr>
        <w:rFonts w:hint="default"/>
        <w:lang w:val="en-US" w:eastAsia="en-US" w:bidi="ar-SA"/>
      </w:rPr>
    </w:lvl>
    <w:lvl w:ilvl="5" w:tplc="5C22E308">
      <w:numFmt w:val="bullet"/>
      <w:lvlText w:val="•"/>
      <w:lvlJc w:val="left"/>
      <w:pPr>
        <w:ind w:left="6573" w:hanging="516"/>
      </w:pPr>
      <w:rPr>
        <w:rFonts w:hint="default"/>
        <w:lang w:val="en-US" w:eastAsia="en-US" w:bidi="ar-SA"/>
      </w:rPr>
    </w:lvl>
    <w:lvl w:ilvl="6" w:tplc="5ADACF1C">
      <w:numFmt w:val="bullet"/>
      <w:lvlText w:val="•"/>
      <w:lvlJc w:val="left"/>
      <w:pPr>
        <w:ind w:left="7556" w:hanging="516"/>
      </w:pPr>
      <w:rPr>
        <w:rFonts w:hint="default"/>
        <w:lang w:val="en-US" w:eastAsia="en-US" w:bidi="ar-SA"/>
      </w:rPr>
    </w:lvl>
    <w:lvl w:ilvl="7" w:tplc="EF0AD616">
      <w:numFmt w:val="bullet"/>
      <w:lvlText w:val="•"/>
      <w:lvlJc w:val="left"/>
      <w:pPr>
        <w:ind w:left="8539" w:hanging="516"/>
      </w:pPr>
      <w:rPr>
        <w:rFonts w:hint="default"/>
        <w:lang w:val="en-US" w:eastAsia="en-US" w:bidi="ar-SA"/>
      </w:rPr>
    </w:lvl>
    <w:lvl w:ilvl="8" w:tplc="834A458E">
      <w:numFmt w:val="bullet"/>
      <w:lvlText w:val="•"/>
      <w:lvlJc w:val="left"/>
      <w:pPr>
        <w:ind w:left="9521" w:hanging="516"/>
      </w:pPr>
      <w:rPr>
        <w:rFonts w:hint="default"/>
        <w:lang w:val="en-US" w:eastAsia="en-US" w:bidi="ar-SA"/>
      </w:rPr>
    </w:lvl>
  </w:abstractNum>
  <w:abstractNum w:abstractNumId="202" w15:restartNumberingAfterBreak="0">
    <w:nsid w:val="6762744C"/>
    <w:multiLevelType w:val="hybridMultilevel"/>
    <w:tmpl w:val="AFF0FDDA"/>
    <w:lvl w:ilvl="0" w:tplc="1C64A53C">
      <w:start w:val="1"/>
      <w:numFmt w:val="decimal"/>
      <w:lvlText w:val="%1."/>
      <w:lvlJc w:val="left"/>
      <w:pPr>
        <w:ind w:left="1663" w:hanging="471"/>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1" w:tplc="68EEEC98">
      <w:start w:val="1"/>
      <w:numFmt w:val="lowerLetter"/>
      <w:lvlText w:val="%2)"/>
      <w:lvlJc w:val="left"/>
      <w:pPr>
        <w:ind w:left="1954" w:hanging="29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1876D6EA">
      <w:numFmt w:val="bullet"/>
      <w:lvlText w:val="•"/>
      <w:lvlJc w:val="left"/>
      <w:pPr>
        <w:ind w:left="3065" w:hanging="291"/>
      </w:pPr>
      <w:rPr>
        <w:rFonts w:hint="default"/>
        <w:lang w:val="en-US" w:eastAsia="en-US" w:bidi="ar-SA"/>
      </w:rPr>
    </w:lvl>
    <w:lvl w:ilvl="3" w:tplc="52D8B750">
      <w:numFmt w:val="bullet"/>
      <w:lvlText w:val="•"/>
      <w:lvlJc w:val="left"/>
      <w:pPr>
        <w:ind w:left="4171" w:hanging="291"/>
      </w:pPr>
      <w:rPr>
        <w:rFonts w:hint="default"/>
        <w:lang w:val="en-US" w:eastAsia="en-US" w:bidi="ar-SA"/>
      </w:rPr>
    </w:lvl>
    <w:lvl w:ilvl="4" w:tplc="280A7A5E">
      <w:numFmt w:val="bullet"/>
      <w:lvlText w:val="•"/>
      <w:lvlJc w:val="left"/>
      <w:pPr>
        <w:ind w:left="5277" w:hanging="291"/>
      </w:pPr>
      <w:rPr>
        <w:rFonts w:hint="default"/>
        <w:lang w:val="en-US" w:eastAsia="en-US" w:bidi="ar-SA"/>
      </w:rPr>
    </w:lvl>
    <w:lvl w:ilvl="5" w:tplc="DF38E672">
      <w:numFmt w:val="bullet"/>
      <w:lvlText w:val="•"/>
      <w:lvlJc w:val="left"/>
      <w:pPr>
        <w:ind w:left="6382" w:hanging="291"/>
      </w:pPr>
      <w:rPr>
        <w:rFonts w:hint="default"/>
        <w:lang w:val="en-US" w:eastAsia="en-US" w:bidi="ar-SA"/>
      </w:rPr>
    </w:lvl>
    <w:lvl w:ilvl="6" w:tplc="4A2E19D8">
      <w:numFmt w:val="bullet"/>
      <w:lvlText w:val="•"/>
      <w:lvlJc w:val="left"/>
      <w:pPr>
        <w:ind w:left="7488" w:hanging="291"/>
      </w:pPr>
      <w:rPr>
        <w:rFonts w:hint="default"/>
        <w:lang w:val="en-US" w:eastAsia="en-US" w:bidi="ar-SA"/>
      </w:rPr>
    </w:lvl>
    <w:lvl w:ilvl="7" w:tplc="ED323074">
      <w:numFmt w:val="bullet"/>
      <w:lvlText w:val="•"/>
      <w:lvlJc w:val="left"/>
      <w:pPr>
        <w:ind w:left="8594" w:hanging="291"/>
      </w:pPr>
      <w:rPr>
        <w:rFonts w:hint="default"/>
        <w:lang w:val="en-US" w:eastAsia="en-US" w:bidi="ar-SA"/>
      </w:rPr>
    </w:lvl>
    <w:lvl w:ilvl="8" w:tplc="44EECEF8">
      <w:numFmt w:val="bullet"/>
      <w:lvlText w:val="•"/>
      <w:lvlJc w:val="left"/>
      <w:pPr>
        <w:ind w:left="9699" w:hanging="291"/>
      </w:pPr>
      <w:rPr>
        <w:rFonts w:hint="default"/>
        <w:lang w:val="en-US" w:eastAsia="en-US" w:bidi="ar-SA"/>
      </w:rPr>
    </w:lvl>
  </w:abstractNum>
  <w:abstractNum w:abstractNumId="203" w15:restartNumberingAfterBreak="0">
    <w:nsid w:val="67FB681E"/>
    <w:multiLevelType w:val="multilevel"/>
    <w:tmpl w:val="BDC6E73E"/>
    <w:lvl w:ilvl="0">
      <w:start w:val="4"/>
      <w:numFmt w:val="decimal"/>
      <w:lvlText w:val="%1"/>
      <w:lvlJc w:val="left"/>
      <w:pPr>
        <w:ind w:left="1273" w:hanging="560"/>
      </w:pPr>
      <w:rPr>
        <w:rFonts w:hint="default"/>
        <w:lang w:val="en-US" w:eastAsia="en-US" w:bidi="ar-SA"/>
      </w:rPr>
    </w:lvl>
    <w:lvl w:ilvl="1">
      <w:start w:val="4"/>
      <w:numFmt w:val="decimal"/>
      <w:lvlText w:val="%1.%2."/>
      <w:lvlJc w:val="left"/>
      <w:pPr>
        <w:ind w:left="1273" w:hanging="560"/>
      </w:pPr>
      <w:rPr>
        <w:rFonts w:ascii="Times New Roman" w:eastAsia="Times New Roman" w:hAnsi="Times New Roman" w:cs="Times New Roman" w:hint="default"/>
        <w:b w:val="0"/>
        <w:bCs w:val="0"/>
        <w:i w:val="0"/>
        <w:iCs w:val="0"/>
        <w:color w:val="221F1F"/>
        <w:spacing w:val="-30"/>
        <w:w w:val="97"/>
        <w:sz w:val="22"/>
        <w:szCs w:val="22"/>
        <w:lang w:val="en-US" w:eastAsia="en-US" w:bidi="ar-SA"/>
      </w:rPr>
    </w:lvl>
    <w:lvl w:ilvl="2">
      <w:numFmt w:val="bullet"/>
      <w:lvlText w:val="•"/>
      <w:lvlJc w:val="left"/>
      <w:pPr>
        <w:ind w:left="3321" w:hanging="560"/>
      </w:pPr>
      <w:rPr>
        <w:rFonts w:hint="default"/>
        <w:lang w:val="en-US" w:eastAsia="en-US" w:bidi="ar-SA"/>
      </w:rPr>
    </w:lvl>
    <w:lvl w:ilvl="3">
      <w:numFmt w:val="bullet"/>
      <w:lvlText w:val="•"/>
      <w:lvlJc w:val="left"/>
      <w:pPr>
        <w:ind w:left="4342" w:hanging="560"/>
      </w:pPr>
      <w:rPr>
        <w:rFonts w:hint="default"/>
        <w:lang w:val="en-US" w:eastAsia="en-US" w:bidi="ar-SA"/>
      </w:rPr>
    </w:lvl>
    <w:lvl w:ilvl="4">
      <w:numFmt w:val="bullet"/>
      <w:lvlText w:val="•"/>
      <w:lvlJc w:val="left"/>
      <w:pPr>
        <w:ind w:left="5362" w:hanging="560"/>
      </w:pPr>
      <w:rPr>
        <w:rFonts w:hint="default"/>
        <w:lang w:val="en-US" w:eastAsia="en-US" w:bidi="ar-SA"/>
      </w:rPr>
    </w:lvl>
    <w:lvl w:ilvl="5">
      <w:numFmt w:val="bullet"/>
      <w:lvlText w:val="•"/>
      <w:lvlJc w:val="left"/>
      <w:pPr>
        <w:ind w:left="6383" w:hanging="560"/>
      </w:pPr>
      <w:rPr>
        <w:rFonts w:hint="default"/>
        <w:lang w:val="en-US" w:eastAsia="en-US" w:bidi="ar-SA"/>
      </w:rPr>
    </w:lvl>
    <w:lvl w:ilvl="6">
      <w:numFmt w:val="bullet"/>
      <w:lvlText w:val="•"/>
      <w:lvlJc w:val="left"/>
      <w:pPr>
        <w:ind w:left="7404" w:hanging="560"/>
      </w:pPr>
      <w:rPr>
        <w:rFonts w:hint="default"/>
        <w:lang w:val="en-US" w:eastAsia="en-US" w:bidi="ar-SA"/>
      </w:rPr>
    </w:lvl>
    <w:lvl w:ilvl="7">
      <w:numFmt w:val="bullet"/>
      <w:lvlText w:val="•"/>
      <w:lvlJc w:val="left"/>
      <w:pPr>
        <w:ind w:left="8425" w:hanging="560"/>
      </w:pPr>
      <w:rPr>
        <w:rFonts w:hint="default"/>
        <w:lang w:val="en-US" w:eastAsia="en-US" w:bidi="ar-SA"/>
      </w:rPr>
    </w:lvl>
    <w:lvl w:ilvl="8">
      <w:numFmt w:val="bullet"/>
      <w:lvlText w:val="•"/>
      <w:lvlJc w:val="left"/>
      <w:pPr>
        <w:ind w:left="9445" w:hanging="560"/>
      </w:pPr>
      <w:rPr>
        <w:rFonts w:hint="default"/>
        <w:lang w:val="en-US" w:eastAsia="en-US" w:bidi="ar-SA"/>
      </w:rPr>
    </w:lvl>
  </w:abstractNum>
  <w:abstractNum w:abstractNumId="204" w15:restartNumberingAfterBreak="0">
    <w:nsid w:val="68874EDD"/>
    <w:multiLevelType w:val="hybridMultilevel"/>
    <w:tmpl w:val="9452B06A"/>
    <w:lvl w:ilvl="0" w:tplc="7E368060">
      <w:start w:val="1"/>
      <w:numFmt w:val="lowerLetter"/>
      <w:lvlText w:val="%1)"/>
      <w:lvlJc w:val="left"/>
      <w:pPr>
        <w:ind w:left="1877"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9C68396">
      <w:start w:val="1"/>
      <w:numFmt w:val="lowerRoman"/>
      <w:lvlText w:val="%2)"/>
      <w:lvlJc w:val="left"/>
      <w:pPr>
        <w:ind w:left="2458" w:hanging="58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968281C6">
      <w:numFmt w:val="bullet"/>
      <w:lvlText w:val="•"/>
      <w:lvlJc w:val="left"/>
      <w:pPr>
        <w:ind w:left="2440" w:hanging="581"/>
      </w:pPr>
      <w:rPr>
        <w:rFonts w:hint="default"/>
        <w:lang w:val="en-US" w:eastAsia="en-US" w:bidi="ar-SA"/>
      </w:rPr>
    </w:lvl>
    <w:lvl w:ilvl="3" w:tplc="0096C0AA">
      <w:numFmt w:val="bullet"/>
      <w:lvlText w:val="•"/>
      <w:lvlJc w:val="left"/>
      <w:pPr>
        <w:ind w:left="2460" w:hanging="581"/>
      </w:pPr>
      <w:rPr>
        <w:rFonts w:hint="default"/>
        <w:lang w:val="en-US" w:eastAsia="en-US" w:bidi="ar-SA"/>
      </w:rPr>
    </w:lvl>
    <w:lvl w:ilvl="4" w:tplc="E6BA2F06">
      <w:numFmt w:val="bullet"/>
      <w:lvlText w:val="•"/>
      <w:lvlJc w:val="left"/>
      <w:pPr>
        <w:ind w:left="3749" w:hanging="581"/>
      </w:pPr>
      <w:rPr>
        <w:rFonts w:hint="default"/>
        <w:lang w:val="en-US" w:eastAsia="en-US" w:bidi="ar-SA"/>
      </w:rPr>
    </w:lvl>
    <w:lvl w:ilvl="5" w:tplc="4D3E954A">
      <w:numFmt w:val="bullet"/>
      <w:lvlText w:val="•"/>
      <w:lvlJc w:val="left"/>
      <w:pPr>
        <w:ind w:left="5039" w:hanging="581"/>
      </w:pPr>
      <w:rPr>
        <w:rFonts w:hint="default"/>
        <w:lang w:val="en-US" w:eastAsia="en-US" w:bidi="ar-SA"/>
      </w:rPr>
    </w:lvl>
    <w:lvl w:ilvl="6" w:tplc="D19623AC">
      <w:numFmt w:val="bullet"/>
      <w:lvlText w:val="•"/>
      <w:lvlJc w:val="left"/>
      <w:pPr>
        <w:ind w:left="6328" w:hanging="581"/>
      </w:pPr>
      <w:rPr>
        <w:rFonts w:hint="default"/>
        <w:lang w:val="en-US" w:eastAsia="en-US" w:bidi="ar-SA"/>
      </w:rPr>
    </w:lvl>
    <w:lvl w:ilvl="7" w:tplc="0A74871E">
      <w:numFmt w:val="bullet"/>
      <w:lvlText w:val="•"/>
      <w:lvlJc w:val="left"/>
      <w:pPr>
        <w:ind w:left="7618" w:hanging="581"/>
      </w:pPr>
      <w:rPr>
        <w:rFonts w:hint="default"/>
        <w:lang w:val="en-US" w:eastAsia="en-US" w:bidi="ar-SA"/>
      </w:rPr>
    </w:lvl>
    <w:lvl w:ilvl="8" w:tplc="E98AFD06">
      <w:numFmt w:val="bullet"/>
      <w:lvlText w:val="•"/>
      <w:lvlJc w:val="left"/>
      <w:pPr>
        <w:ind w:left="8908" w:hanging="581"/>
      </w:pPr>
      <w:rPr>
        <w:rFonts w:hint="default"/>
        <w:lang w:val="en-US" w:eastAsia="en-US" w:bidi="ar-SA"/>
      </w:rPr>
    </w:lvl>
  </w:abstractNum>
  <w:abstractNum w:abstractNumId="205" w15:restartNumberingAfterBreak="0">
    <w:nsid w:val="68D44E0F"/>
    <w:multiLevelType w:val="hybridMultilevel"/>
    <w:tmpl w:val="BF9EA2DA"/>
    <w:lvl w:ilvl="0" w:tplc="253E2A50">
      <w:start w:val="1"/>
      <w:numFmt w:val="upperLetter"/>
      <w:lvlText w:val="%1."/>
      <w:lvlJc w:val="left"/>
      <w:pPr>
        <w:ind w:left="1188" w:hanging="342"/>
      </w:pPr>
      <w:rPr>
        <w:rFonts w:ascii="Times New Roman" w:eastAsia="Times New Roman" w:hAnsi="Times New Roman" w:cs="Times New Roman" w:hint="default"/>
        <w:b/>
        <w:bCs/>
        <w:i w:val="0"/>
        <w:iCs w:val="0"/>
        <w:color w:val="221F1F"/>
        <w:spacing w:val="0"/>
        <w:w w:val="97"/>
        <w:sz w:val="22"/>
        <w:szCs w:val="22"/>
        <w:lang w:val="en-US" w:eastAsia="en-US" w:bidi="ar-SA"/>
      </w:rPr>
    </w:lvl>
    <w:lvl w:ilvl="1" w:tplc="8796EBA4">
      <w:numFmt w:val="bullet"/>
      <w:lvlText w:val="•"/>
      <w:lvlJc w:val="left"/>
      <w:pPr>
        <w:ind w:left="2253" w:hanging="342"/>
      </w:pPr>
      <w:rPr>
        <w:rFonts w:hint="default"/>
        <w:lang w:val="en-US" w:eastAsia="en-US" w:bidi="ar-SA"/>
      </w:rPr>
    </w:lvl>
    <w:lvl w:ilvl="2" w:tplc="9C840130">
      <w:numFmt w:val="bullet"/>
      <w:lvlText w:val="•"/>
      <w:lvlJc w:val="left"/>
      <w:pPr>
        <w:ind w:left="3326" w:hanging="342"/>
      </w:pPr>
      <w:rPr>
        <w:rFonts w:hint="default"/>
        <w:lang w:val="en-US" w:eastAsia="en-US" w:bidi="ar-SA"/>
      </w:rPr>
    </w:lvl>
    <w:lvl w:ilvl="3" w:tplc="0D18AAB6">
      <w:numFmt w:val="bullet"/>
      <w:lvlText w:val="•"/>
      <w:lvlJc w:val="left"/>
      <w:pPr>
        <w:ind w:left="4399" w:hanging="342"/>
      </w:pPr>
      <w:rPr>
        <w:rFonts w:hint="default"/>
        <w:lang w:val="en-US" w:eastAsia="en-US" w:bidi="ar-SA"/>
      </w:rPr>
    </w:lvl>
    <w:lvl w:ilvl="4" w:tplc="BB9A75D0">
      <w:numFmt w:val="bullet"/>
      <w:lvlText w:val="•"/>
      <w:lvlJc w:val="left"/>
      <w:pPr>
        <w:ind w:left="5472" w:hanging="342"/>
      </w:pPr>
      <w:rPr>
        <w:rFonts w:hint="default"/>
        <w:lang w:val="en-US" w:eastAsia="en-US" w:bidi="ar-SA"/>
      </w:rPr>
    </w:lvl>
    <w:lvl w:ilvl="5" w:tplc="1C94CAD0">
      <w:numFmt w:val="bullet"/>
      <w:lvlText w:val="•"/>
      <w:lvlJc w:val="left"/>
      <w:pPr>
        <w:ind w:left="6545" w:hanging="342"/>
      </w:pPr>
      <w:rPr>
        <w:rFonts w:hint="default"/>
        <w:lang w:val="en-US" w:eastAsia="en-US" w:bidi="ar-SA"/>
      </w:rPr>
    </w:lvl>
    <w:lvl w:ilvl="6" w:tplc="2BE2E3D0">
      <w:numFmt w:val="bullet"/>
      <w:lvlText w:val="•"/>
      <w:lvlJc w:val="left"/>
      <w:pPr>
        <w:ind w:left="7618" w:hanging="342"/>
      </w:pPr>
      <w:rPr>
        <w:rFonts w:hint="default"/>
        <w:lang w:val="en-US" w:eastAsia="en-US" w:bidi="ar-SA"/>
      </w:rPr>
    </w:lvl>
    <w:lvl w:ilvl="7" w:tplc="4184DD20">
      <w:numFmt w:val="bullet"/>
      <w:lvlText w:val="•"/>
      <w:lvlJc w:val="left"/>
      <w:pPr>
        <w:ind w:left="8691" w:hanging="342"/>
      </w:pPr>
      <w:rPr>
        <w:rFonts w:hint="default"/>
        <w:lang w:val="en-US" w:eastAsia="en-US" w:bidi="ar-SA"/>
      </w:rPr>
    </w:lvl>
    <w:lvl w:ilvl="8" w:tplc="912E0414">
      <w:numFmt w:val="bullet"/>
      <w:lvlText w:val="•"/>
      <w:lvlJc w:val="left"/>
      <w:pPr>
        <w:ind w:left="9764" w:hanging="342"/>
      </w:pPr>
      <w:rPr>
        <w:rFonts w:hint="default"/>
        <w:lang w:val="en-US" w:eastAsia="en-US" w:bidi="ar-SA"/>
      </w:rPr>
    </w:lvl>
  </w:abstractNum>
  <w:abstractNum w:abstractNumId="206" w15:restartNumberingAfterBreak="0">
    <w:nsid w:val="69314CF4"/>
    <w:multiLevelType w:val="hybridMultilevel"/>
    <w:tmpl w:val="F6E413A0"/>
    <w:lvl w:ilvl="0" w:tplc="46D6F170">
      <w:start w:val="1"/>
      <w:numFmt w:val="decimal"/>
      <w:lvlText w:val="%1."/>
      <w:lvlJc w:val="left"/>
      <w:pPr>
        <w:ind w:left="1153" w:hanging="440"/>
      </w:pPr>
      <w:rPr>
        <w:rFonts w:hint="default"/>
        <w:spacing w:val="-14"/>
        <w:w w:val="97"/>
        <w:lang w:val="en-US" w:eastAsia="en-US" w:bidi="ar-SA"/>
      </w:rPr>
    </w:lvl>
    <w:lvl w:ilvl="1" w:tplc="F008FFD8">
      <w:start w:val="1"/>
      <w:numFmt w:val="lowerRoman"/>
      <w:lvlText w:val="%2)"/>
      <w:lvlJc w:val="left"/>
      <w:pPr>
        <w:ind w:left="1551" w:hanging="473"/>
      </w:pPr>
      <w:rPr>
        <w:rFonts w:hint="default"/>
        <w:spacing w:val="0"/>
        <w:w w:val="100"/>
        <w:lang w:val="en-US" w:eastAsia="en-US" w:bidi="ar-SA"/>
      </w:rPr>
    </w:lvl>
    <w:lvl w:ilvl="2" w:tplc="886ACEB6">
      <w:numFmt w:val="bullet"/>
      <w:lvlText w:val="•"/>
      <w:lvlJc w:val="left"/>
      <w:pPr>
        <w:ind w:left="1660" w:hanging="473"/>
      </w:pPr>
      <w:rPr>
        <w:rFonts w:hint="default"/>
        <w:lang w:val="en-US" w:eastAsia="en-US" w:bidi="ar-SA"/>
      </w:rPr>
    </w:lvl>
    <w:lvl w:ilvl="3" w:tplc="B29EE72E">
      <w:numFmt w:val="bullet"/>
      <w:lvlText w:val="•"/>
      <w:lvlJc w:val="left"/>
      <w:pPr>
        <w:ind w:left="2888" w:hanging="473"/>
      </w:pPr>
      <w:rPr>
        <w:rFonts w:hint="default"/>
        <w:lang w:val="en-US" w:eastAsia="en-US" w:bidi="ar-SA"/>
      </w:rPr>
    </w:lvl>
    <w:lvl w:ilvl="4" w:tplc="857A3270">
      <w:numFmt w:val="bullet"/>
      <w:lvlText w:val="•"/>
      <w:lvlJc w:val="left"/>
      <w:pPr>
        <w:ind w:left="4116" w:hanging="473"/>
      </w:pPr>
      <w:rPr>
        <w:rFonts w:hint="default"/>
        <w:lang w:val="en-US" w:eastAsia="en-US" w:bidi="ar-SA"/>
      </w:rPr>
    </w:lvl>
    <w:lvl w:ilvl="5" w:tplc="63EE25A4">
      <w:numFmt w:val="bullet"/>
      <w:lvlText w:val="•"/>
      <w:lvlJc w:val="left"/>
      <w:pPr>
        <w:ind w:left="5345" w:hanging="473"/>
      </w:pPr>
      <w:rPr>
        <w:rFonts w:hint="default"/>
        <w:lang w:val="en-US" w:eastAsia="en-US" w:bidi="ar-SA"/>
      </w:rPr>
    </w:lvl>
    <w:lvl w:ilvl="6" w:tplc="7024765E">
      <w:numFmt w:val="bullet"/>
      <w:lvlText w:val="•"/>
      <w:lvlJc w:val="left"/>
      <w:pPr>
        <w:ind w:left="6573" w:hanging="473"/>
      </w:pPr>
      <w:rPr>
        <w:rFonts w:hint="default"/>
        <w:lang w:val="en-US" w:eastAsia="en-US" w:bidi="ar-SA"/>
      </w:rPr>
    </w:lvl>
    <w:lvl w:ilvl="7" w:tplc="794A9134">
      <w:numFmt w:val="bullet"/>
      <w:lvlText w:val="•"/>
      <w:lvlJc w:val="left"/>
      <w:pPr>
        <w:ind w:left="7802" w:hanging="473"/>
      </w:pPr>
      <w:rPr>
        <w:rFonts w:hint="default"/>
        <w:lang w:val="en-US" w:eastAsia="en-US" w:bidi="ar-SA"/>
      </w:rPr>
    </w:lvl>
    <w:lvl w:ilvl="8" w:tplc="FF6443D6">
      <w:numFmt w:val="bullet"/>
      <w:lvlText w:val="•"/>
      <w:lvlJc w:val="left"/>
      <w:pPr>
        <w:ind w:left="9030" w:hanging="473"/>
      </w:pPr>
      <w:rPr>
        <w:rFonts w:hint="default"/>
        <w:lang w:val="en-US" w:eastAsia="en-US" w:bidi="ar-SA"/>
      </w:rPr>
    </w:lvl>
  </w:abstractNum>
  <w:abstractNum w:abstractNumId="207" w15:restartNumberingAfterBreak="0">
    <w:nsid w:val="693F5AA1"/>
    <w:multiLevelType w:val="multilevel"/>
    <w:tmpl w:val="D93ED04E"/>
    <w:lvl w:ilvl="0">
      <w:start w:val="16"/>
      <w:numFmt w:val="decimal"/>
      <w:lvlText w:val="%1.0"/>
      <w:lvlJc w:val="left"/>
      <w:pPr>
        <w:ind w:left="1440" w:hanging="601"/>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399" w:hanging="560"/>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Roman"/>
      <w:lvlText w:val="%3)"/>
      <w:lvlJc w:val="left"/>
      <w:pPr>
        <w:ind w:left="1834" w:hanging="42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098" w:hanging="423"/>
      </w:pPr>
      <w:rPr>
        <w:rFonts w:hint="default"/>
        <w:lang w:val="en-US" w:eastAsia="en-US" w:bidi="ar-SA"/>
      </w:rPr>
    </w:lvl>
    <w:lvl w:ilvl="4">
      <w:numFmt w:val="bullet"/>
      <w:lvlText w:val="•"/>
      <w:lvlJc w:val="left"/>
      <w:pPr>
        <w:ind w:left="4357" w:hanging="423"/>
      </w:pPr>
      <w:rPr>
        <w:rFonts w:hint="default"/>
        <w:lang w:val="en-US" w:eastAsia="en-US" w:bidi="ar-SA"/>
      </w:rPr>
    </w:lvl>
    <w:lvl w:ilvl="5">
      <w:numFmt w:val="bullet"/>
      <w:lvlText w:val="•"/>
      <w:lvlJc w:val="left"/>
      <w:pPr>
        <w:ind w:left="5616" w:hanging="423"/>
      </w:pPr>
      <w:rPr>
        <w:rFonts w:hint="default"/>
        <w:lang w:val="en-US" w:eastAsia="en-US" w:bidi="ar-SA"/>
      </w:rPr>
    </w:lvl>
    <w:lvl w:ilvl="6">
      <w:numFmt w:val="bullet"/>
      <w:lvlText w:val="•"/>
      <w:lvlJc w:val="left"/>
      <w:pPr>
        <w:ind w:left="6875" w:hanging="423"/>
      </w:pPr>
      <w:rPr>
        <w:rFonts w:hint="default"/>
        <w:lang w:val="en-US" w:eastAsia="en-US" w:bidi="ar-SA"/>
      </w:rPr>
    </w:lvl>
    <w:lvl w:ilvl="7">
      <w:numFmt w:val="bullet"/>
      <w:lvlText w:val="•"/>
      <w:lvlJc w:val="left"/>
      <w:pPr>
        <w:ind w:left="8134" w:hanging="423"/>
      </w:pPr>
      <w:rPr>
        <w:rFonts w:hint="default"/>
        <w:lang w:val="en-US" w:eastAsia="en-US" w:bidi="ar-SA"/>
      </w:rPr>
    </w:lvl>
    <w:lvl w:ilvl="8">
      <w:numFmt w:val="bullet"/>
      <w:lvlText w:val="•"/>
      <w:lvlJc w:val="left"/>
      <w:pPr>
        <w:ind w:left="9393" w:hanging="423"/>
      </w:pPr>
      <w:rPr>
        <w:rFonts w:hint="default"/>
        <w:lang w:val="en-US" w:eastAsia="en-US" w:bidi="ar-SA"/>
      </w:rPr>
    </w:lvl>
  </w:abstractNum>
  <w:abstractNum w:abstractNumId="208" w15:restartNumberingAfterBreak="0">
    <w:nsid w:val="694A084E"/>
    <w:multiLevelType w:val="hybridMultilevel"/>
    <w:tmpl w:val="78363F66"/>
    <w:lvl w:ilvl="0" w:tplc="9F70244A">
      <w:start w:val="1"/>
      <w:numFmt w:val="decimal"/>
      <w:lvlText w:val="%1."/>
      <w:lvlJc w:val="left"/>
      <w:pPr>
        <w:ind w:left="1097" w:hanging="390"/>
      </w:pPr>
      <w:rPr>
        <w:rFonts w:ascii="Times New Roman" w:eastAsia="Times New Roman" w:hAnsi="Times New Roman" w:cs="Times New Roman" w:hint="default"/>
        <w:b w:val="0"/>
        <w:bCs w:val="0"/>
        <w:i w:val="0"/>
        <w:iCs w:val="0"/>
        <w:color w:val="221F1F"/>
        <w:spacing w:val="-27"/>
        <w:w w:val="100"/>
        <w:sz w:val="22"/>
        <w:szCs w:val="22"/>
        <w:lang w:val="en-US" w:eastAsia="en-US" w:bidi="ar-SA"/>
      </w:rPr>
    </w:lvl>
    <w:lvl w:ilvl="1" w:tplc="B2AAA0EE">
      <w:start w:val="1"/>
      <w:numFmt w:val="lowerLetter"/>
      <w:lvlText w:val="%2)"/>
      <w:lvlJc w:val="left"/>
      <w:pPr>
        <w:ind w:left="1539" w:hanging="44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42622CA2">
      <w:numFmt w:val="bullet"/>
      <w:lvlText w:val="•"/>
      <w:lvlJc w:val="left"/>
      <w:pPr>
        <w:ind w:left="2645" w:hanging="442"/>
      </w:pPr>
      <w:rPr>
        <w:rFonts w:hint="default"/>
        <w:lang w:val="en-US" w:eastAsia="en-US" w:bidi="ar-SA"/>
      </w:rPr>
    </w:lvl>
    <w:lvl w:ilvl="3" w:tplc="8BE0AB10">
      <w:numFmt w:val="bullet"/>
      <w:lvlText w:val="•"/>
      <w:lvlJc w:val="left"/>
      <w:pPr>
        <w:ind w:left="3750" w:hanging="442"/>
      </w:pPr>
      <w:rPr>
        <w:rFonts w:hint="default"/>
        <w:lang w:val="en-US" w:eastAsia="en-US" w:bidi="ar-SA"/>
      </w:rPr>
    </w:lvl>
    <w:lvl w:ilvl="4" w:tplc="36C450FE">
      <w:numFmt w:val="bullet"/>
      <w:lvlText w:val="•"/>
      <w:lvlJc w:val="left"/>
      <w:pPr>
        <w:ind w:left="4855" w:hanging="442"/>
      </w:pPr>
      <w:rPr>
        <w:rFonts w:hint="default"/>
        <w:lang w:val="en-US" w:eastAsia="en-US" w:bidi="ar-SA"/>
      </w:rPr>
    </w:lvl>
    <w:lvl w:ilvl="5" w:tplc="AC001DD8">
      <w:numFmt w:val="bullet"/>
      <w:lvlText w:val="•"/>
      <w:lvlJc w:val="left"/>
      <w:pPr>
        <w:ind w:left="5960" w:hanging="442"/>
      </w:pPr>
      <w:rPr>
        <w:rFonts w:hint="default"/>
        <w:lang w:val="en-US" w:eastAsia="en-US" w:bidi="ar-SA"/>
      </w:rPr>
    </w:lvl>
    <w:lvl w:ilvl="6" w:tplc="3CAC125E">
      <w:numFmt w:val="bullet"/>
      <w:lvlText w:val="•"/>
      <w:lvlJc w:val="left"/>
      <w:pPr>
        <w:ind w:left="7066" w:hanging="442"/>
      </w:pPr>
      <w:rPr>
        <w:rFonts w:hint="default"/>
        <w:lang w:val="en-US" w:eastAsia="en-US" w:bidi="ar-SA"/>
      </w:rPr>
    </w:lvl>
    <w:lvl w:ilvl="7" w:tplc="076866C8">
      <w:numFmt w:val="bullet"/>
      <w:lvlText w:val="•"/>
      <w:lvlJc w:val="left"/>
      <w:pPr>
        <w:ind w:left="8171" w:hanging="442"/>
      </w:pPr>
      <w:rPr>
        <w:rFonts w:hint="default"/>
        <w:lang w:val="en-US" w:eastAsia="en-US" w:bidi="ar-SA"/>
      </w:rPr>
    </w:lvl>
    <w:lvl w:ilvl="8" w:tplc="8326E8AE">
      <w:numFmt w:val="bullet"/>
      <w:lvlText w:val="•"/>
      <w:lvlJc w:val="left"/>
      <w:pPr>
        <w:ind w:left="9276" w:hanging="442"/>
      </w:pPr>
      <w:rPr>
        <w:rFonts w:hint="default"/>
        <w:lang w:val="en-US" w:eastAsia="en-US" w:bidi="ar-SA"/>
      </w:rPr>
    </w:lvl>
  </w:abstractNum>
  <w:abstractNum w:abstractNumId="209" w15:restartNumberingAfterBreak="0">
    <w:nsid w:val="695A677A"/>
    <w:multiLevelType w:val="hybridMultilevel"/>
    <w:tmpl w:val="0F8023D2"/>
    <w:lvl w:ilvl="0" w:tplc="8BFA9060">
      <w:start w:val="1"/>
      <w:numFmt w:val="lowerLetter"/>
      <w:lvlText w:val="(%1)"/>
      <w:lvlJc w:val="left"/>
      <w:pPr>
        <w:ind w:left="1141" w:hanging="431"/>
      </w:pPr>
      <w:rPr>
        <w:rFonts w:ascii="Times New Roman" w:eastAsia="Times New Roman" w:hAnsi="Times New Roman" w:cs="Times New Roman" w:hint="default"/>
        <w:b/>
        <w:bCs/>
        <w:i w:val="0"/>
        <w:iCs w:val="0"/>
        <w:color w:val="221F1F"/>
        <w:spacing w:val="-24"/>
        <w:w w:val="97"/>
        <w:sz w:val="22"/>
        <w:szCs w:val="22"/>
        <w:lang w:val="en-US" w:eastAsia="en-US" w:bidi="ar-SA"/>
      </w:rPr>
    </w:lvl>
    <w:lvl w:ilvl="1" w:tplc="42228C4C">
      <w:start w:val="1"/>
      <w:numFmt w:val="upperRoman"/>
      <w:lvlText w:val="%2)"/>
      <w:lvlJc w:val="left"/>
      <w:pPr>
        <w:ind w:left="1841" w:hanging="567"/>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2" w:tplc="D7C09C42">
      <w:numFmt w:val="bullet"/>
      <w:lvlText w:val="•"/>
      <w:lvlJc w:val="left"/>
      <w:pPr>
        <w:ind w:left="2911" w:hanging="567"/>
      </w:pPr>
      <w:rPr>
        <w:rFonts w:hint="default"/>
        <w:lang w:val="en-US" w:eastAsia="en-US" w:bidi="ar-SA"/>
      </w:rPr>
    </w:lvl>
    <w:lvl w:ilvl="3" w:tplc="1A34862A">
      <w:numFmt w:val="bullet"/>
      <w:lvlText w:val="•"/>
      <w:lvlJc w:val="left"/>
      <w:pPr>
        <w:ind w:left="3983" w:hanging="567"/>
      </w:pPr>
      <w:rPr>
        <w:rFonts w:hint="default"/>
        <w:lang w:val="en-US" w:eastAsia="en-US" w:bidi="ar-SA"/>
      </w:rPr>
    </w:lvl>
    <w:lvl w:ilvl="4" w:tplc="88A6D59A">
      <w:numFmt w:val="bullet"/>
      <w:lvlText w:val="•"/>
      <w:lvlJc w:val="left"/>
      <w:pPr>
        <w:ind w:left="5055" w:hanging="567"/>
      </w:pPr>
      <w:rPr>
        <w:rFonts w:hint="default"/>
        <w:lang w:val="en-US" w:eastAsia="en-US" w:bidi="ar-SA"/>
      </w:rPr>
    </w:lvl>
    <w:lvl w:ilvl="5" w:tplc="1E2E5272">
      <w:numFmt w:val="bullet"/>
      <w:lvlText w:val="•"/>
      <w:lvlJc w:val="left"/>
      <w:pPr>
        <w:ind w:left="6127" w:hanging="567"/>
      </w:pPr>
      <w:rPr>
        <w:rFonts w:hint="default"/>
        <w:lang w:val="en-US" w:eastAsia="en-US" w:bidi="ar-SA"/>
      </w:rPr>
    </w:lvl>
    <w:lvl w:ilvl="6" w:tplc="51A476C0">
      <w:numFmt w:val="bullet"/>
      <w:lvlText w:val="•"/>
      <w:lvlJc w:val="left"/>
      <w:pPr>
        <w:ind w:left="7199" w:hanging="567"/>
      </w:pPr>
      <w:rPr>
        <w:rFonts w:hint="default"/>
        <w:lang w:val="en-US" w:eastAsia="en-US" w:bidi="ar-SA"/>
      </w:rPr>
    </w:lvl>
    <w:lvl w:ilvl="7" w:tplc="29608C44">
      <w:numFmt w:val="bullet"/>
      <w:lvlText w:val="•"/>
      <w:lvlJc w:val="left"/>
      <w:pPr>
        <w:ind w:left="8271" w:hanging="567"/>
      </w:pPr>
      <w:rPr>
        <w:rFonts w:hint="default"/>
        <w:lang w:val="en-US" w:eastAsia="en-US" w:bidi="ar-SA"/>
      </w:rPr>
    </w:lvl>
    <w:lvl w:ilvl="8" w:tplc="A376962C">
      <w:numFmt w:val="bullet"/>
      <w:lvlText w:val="•"/>
      <w:lvlJc w:val="left"/>
      <w:pPr>
        <w:ind w:left="9343" w:hanging="567"/>
      </w:pPr>
      <w:rPr>
        <w:rFonts w:hint="default"/>
        <w:lang w:val="en-US" w:eastAsia="en-US" w:bidi="ar-SA"/>
      </w:rPr>
    </w:lvl>
  </w:abstractNum>
  <w:abstractNum w:abstractNumId="210" w15:restartNumberingAfterBreak="0">
    <w:nsid w:val="6B097F26"/>
    <w:multiLevelType w:val="multilevel"/>
    <w:tmpl w:val="BC7A4F60"/>
    <w:lvl w:ilvl="0">
      <w:start w:val="40"/>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966" w:hanging="56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71" w:hanging="564"/>
      </w:pPr>
      <w:rPr>
        <w:rFonts w:hint="default"/>
        <w:lang w:val="en-US" w:eastAsia="en-US" w:bidi="ar-SA"/>
      </w:rPr>
    </w:lvl>
    <w:lvl w:ilvl="4">
      <w:numFmt w:val="bullet"/>
      <w:lvlText w:val="•"/>
      <w:lvlJc w:val="left"/>
      <w:pPr>
        <w:ind w:left="5277" w:hanging="564"/>
      </w:pPr>
      <w:rPr>
        <w:rFonts w:hint="default"/>
        <w:lang w:val="en-US" w:eastAsia="en-US" w:bidi="ar-SA"/>
      </w:rPr>
    </w:lvl>
    <w:lvl w:ilvl="5">
      <w:numFmt w:val="bullet"/>
      <w:lvlText w:val="•"/>
      <w:lvlJc w:val="left"/>
      <w:pPr>
        <w:ind w:left="6382" w:hanging="564"/>
      </w:pPr>
      <w:rPr>
        <w:rFonts w:hint="default"/>
        <w:lang w:val="en-US" w:eastAsia="en-US" w:bidi="ar-SA"/>
      </w:rPr>
    </w:lvl>
    <w:lvl w:ilvl="6">
      <w:numFmt w:val="bullet"/>
      <w:lvlText w:val="•"/>
      <w:lvlJc w:val="left"/>
      <w:pPr>
        <w:ind w:left="7488" w:hanging="564"/>
      </w:pPr>
      <w:rPr>
        <w:rFonts w:hint="default"/>
        <w:lang w:val="en-US" w:eastAsia="en-US" w:bidi="ar-SA"/>
      </w:rPr>
    </w:lvl>
    <w:lvl w:ilvl="7">
      <w:numFmt w:val="bullet"/>
      <w:lvlText w:val="•"/>
      <w:lvlJc w:val="left"/>
      <w:pPr>
        <w:ind w:left="8594" w:hanging="564"/>
      </w:pPr>
      <w:rPr>
        <w:rFonts w:hint="default"/>
        <w:lang w:val="en-US" w:eastAsia="en-US" w:bidi="ar-SA"/>
      </w:rPr>
    </w:lvl>
    <w:lvl w:ilvl="8">
      <w:numFmt w:val="bullet"/>
      <w:lvlText w:val="•"/>
      <w:lvlJc w:val="left"/>
      <w:pPr>
        <w:ind w:left="9699" w:hanging="564"/>
      </w:pPr>
      <w:rPr>
        <w:rFonts w:hint="default"/>
        <w:lang w:val="en-US" w:eastAsia="en-US" w:bidi="ar-SA"/>
      </w:rPr>
    </w:lvl>
  </w:abstractNum>
  <w:abstractNum w:abstractNumId="211" w15:restartNumberingAfterBreak="0">
    <w:nsid w:val="6C280A8E"/>
    <w:multiLevelType w:val="hybridMultilevel"/>
    <w:tmpl w:val="457628C0"/>
    <w:lvl w:ilvl="0" w:tplc="C916E3FA">
      <w:start w:val="1"/>
      <w:numFmt w:val="lowerLetter"/>
      <w:lvlText w:val="%1)"/>
      <w:lvlJc w:val="left"/>
      <w:pPr>
        <w:ind w:left="1870"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70DAFC9C">
      <w:numFmt w:val="bullet"/>
      <w:lvlText w:val="•"/>
      <w:lvlJc w:val="left"/>
      <w:pPr>
        <w:ind w:left="2840" w:hanging="495"/>
      </w:pPr>
      <w:rPr>
        <w:rFonts w:hint="default"/>
        <w:lang w:val="en-US" w:eastAsia="en-US" w:bidi="ar-SA"/>
      </w:rPr>
    </w:lvl>
    <w:lvl w:ilvl="2" w:tplc="8848930A">
      <w:numFmt w:val="bullet"/>
      <w:lvlText w:val="•"/>
      <w:lvlJc w:val="left"/>
      <w:pPr>
        <w:ind w:left="3801" w:hanging="495"/>
      </w:pPr>
      <w:rPr>
        <w:rFonts w:hint="default"/>
        <w:lang w:val="en-US" w:eastAsia="en-US" w:bidi="ar-SA"/>
      </w:rPr>
    </w:lvl>
    <w:lvl w:ilvl="3" w:tplc="633A02BE">
      <w:numFmt w:val="bullet"/>
      <w:lvlText w:val="•"/>
      <w:lvlJc w:val="left"/>
      <w:pPr>
        <w:ind w:left="4762" w:hanging="495"/>
      </w:pPr>
      <w:rPr>
        <w:rFonts w:hint="default"/>
        <w:lang w:val="en-US" w:eastAsia="en-US" w:bidi="ar-SA"/>
      </w:rPr>
    </w:lvl>
    <w:lvl w:ilvl="4" w:tplc="A3624FF6">
      <w:numFmt w:val="bullet"/>
      <w:lvlText w:val="•"/>
      <w:lvlJc w:val="left"/>
      <w:pPr>
        <w:ind w:left="5722" w:hanging="495"/>
      </w:pPr>
      <w:rPr>
        <w:rFonts w:hint="default"/>
        <w:lang w:val="en-US" w:eastAsia="en-US" w:bidi="ar-SA"/>
      </w:rPr>
    </w:lvl>
    <w:lvl w:ilvl="5" w:tplc="19E85E0A">
      <w:numFmt w:val="bullet"/>
      <w:lvlText w:val="•"/>
      <w:lvlJc w:val="left"/>
      <w:pPr>
        <w:ind w:left="6683" w:hanging="495"/>
      </w:pPr>
      <w:rPr>
        <w:rFonts w:hint="default"/>
        <w:lang w:val="en-US" w:eastAsia="en-US" w:bidi="ar-SA"/>
      </w:rPr>
    </w:lvl>
    <w:lvl w:ilvl="6" w:tplc="38D24586">
      <w:numFmt w:val="bullet"/>
      <w:lvlText w:val="•"/>
      <w:lvlJc w:val="left"/>
      <w:pPr>
        <w:ind w:left="7644" w:hanging="495"/>
      </w:pPr>
      <w:rPr>
        <w:rFonts w:hint="default"/>
        <w:lang w:val="en-US" w:eastAsia="en-US" w:bidi="ar-SA"/>
      </w:rPr>
    </w:lvl>
    <w:lvl w:ilvl="7" w:tplc="9220583A">
      <w:numFmt w:val="bullet"/>
      <w:lvlText w:val="•"/>
      <w:lvlJc w:val="left"/>
      <w:pPr>
        <w:ind w:left="8605" w:hanging="495"/>
      </w:pPr>
      <w:rPr>
        <w:rFonts w:hint="default"/>
        <w:lang w:val="en-US" w:eastAsia="en-US" w:bidi="ar-SA"/>
      </w:rPr>
    </w:lvl>
    <w:lvl w:ilvl="8" w:tplc="FB708674">
      <w:numFmt w:val="bullet"/>
      <w:lvlText w:val="•"/>
      <w:lvlJc w:val="left"/>
      <w:pPr>
        <w:ind w:left="9565" w:hanging="495"/>
      </w:pPr>
      <w:rPr>
        <w:rFonts w:hint="default"/>
        <w:lang w:val="en-US" w:eastAsia="en-US" w:bidi="ar-SA"/>
      </w:rPr>
    </w:lvl>
  </w:abstractNum>
  <w:abstractNum w:abstractNumId="212" w15:restartNumberingAfterBreak="0">
    <w:nsid w:val="6CA8427B"/>
    <w:multiLevelType w:val="hybridMultilevel"/>
    <w:tmpl w:val="6936B516"/>
    <w:lvl w:ilvl="0" w:tplc="9E92BE54">
      <w:start w:val="1"/>
      <w:numFmt w:val="lowerLetter"/>
      <w:lvlText w:val="%1)"/>
      <w:lvlJc w:val="left"/>
      <w:pPr>
        <w:ind w:left="1930" w:hanging="5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FFEB414">
      <w:numFmt w:val="bullet"/>
      <w:lvlText w:val="•"/>
      <w:lvlJc w:val="left"/>
      <w:pPr>
        <w:ind w:left="2937" w:hanging="516"/>
      </w:pPr>
      <w:rPr>
        <w:rFonts w:hint="default"/>
        <w:lang w:val="en-US" w:eastAsia="en-US" w:bidi="ar-SA"/>
      </w:rPr>
    </w:lvl>
    <w:lvl w:ilvl="2" w:tplc="E4449A7C">
      <w:numFmt w:val="bullet"/>
      <w:lvlText w:val="•"/>
      <w:lvlJc w:val="left"/>
      <w:pPr>
        <w:ind w:left="3934" w:hanging="516"/>
      </w:pPr>
      <w:rPr>
        <w:rFonts w:hint="default"/>
        <w:lang w:val="en-US" w:eastAsia="en-US" w:bidi="ar-SA"/>
      </w:rPr>
    </w:lvl>
    <w:lvl w:ilvl="3" w:tplc="37620506">
      <w:numFmt w:val="bullet"/>
      <w:lvlText w:val="•"/>
      <w:lvlJc w:val="left"/>
      <w:pPr>
        <w:ind w:left="4931" w:hanging="516"/>
      </w:pPr>
      <w:rPr>
        <w:rFonts w:hint="default"/>
        <w:lang w:val="en-US" w:eastAsia="en-US" w:bidi="ar-SA"/>
      </w:rPr>
    </w:lvl>
    <w:lvl w:ilvl="4" w:tplc="3042B67C">
      <w:numFmt w:val="bullet"/>
      <w:lvlText w:val="•"/>
      <w:lvlJc w:val="left"/>
      <w:pPr>
        <w:ind w:left="5928" w:hanging="516"/>
      </w:pPr>
      <w:rPr>
        <w:rFonts w:hint="default"/>
        <w:lang w:val="en-US" w:eastAsia="en-US" w:bidi="ar-SA"/>
      </w:rPr>
    </w:lvl>
    <w:lvl w:ilvl="5" w:tplc="5502B7C0">
      <w:numFmt w:val="bullet"/>
      <w:lvlText w:val="•"/>
      <w:lvlJc w:val="left"/>
      <w:pPr>
        <w:ind w:left="6925" w:hanging="516"/>
      </w:pPr>
      <w:rPr>
        <w:rFonts w:hint="default"/>
        <w:lang w:val="en-US" w:eastAsia="en-US" w:bidi="ar-SA"/>
      </w:rPr>
    </w:lvl>
    <w:lvl w:ilvl="6" w:tplc="B10C956C">
      <w:numFmt w:val="bullet"/>
      <w:lvlText w:val="•"/>
      <w:lvlJc w:val="left"/>
      <w:pPr>
        <w:ind w:left="7922" w:hanging="516"/>
      </w:pPr>
      <w:rPr>
        <w:rFonts w:hint="default"/>
        <w:lang w:val="en-US" w:eastAsia="en-US" w:bidi="ar-SA"/>
      </w:rPr>
    </w:lvl>
    <w:lvl w:ilvl="7" w:tplc="D11E2002">
      <w:numFmt w:val="bullet"/>
      <w:lvlText w:val="•"/>
      <w:lvlJc w:val="left"/>
      <w:pPr>
        <w:ind w:left="8919" w:hanging="516"/>
      </w:pPr>
      <w:rPr>
        <w:rFonts w:hint="default"/>
        <w:lang w:val="en-US" w:eastAsia="en-US" w:bidi="ar-SA"/>
      </w:rPr>
    </w:lvl>
    <w:lvl w:ilvl="8" w:tplc="3056AE34">
      <w:numFmt w:val="bullet"/>
      <w:lvlText w:val="•"/>
      <w:lvlJc w:val="left"/>
      <w:pPr>
        <w:ind w:left="9916" w:hanging="516"/>
      </w:pPr>
      <w:rPr>
        <w:rFonts w:hint="default"/>
        <w:lang w:val="en-US" w:eastAsia="en-US" w:bidi="ar-SA"/>
      </w:rPr>
    </w:lvl>
  </w:abstractNum>
  <w:abstractNum w:abstractNumId="213" w15:restartNumberingAfterBreak="0">
    <w:nsid w:val="6DEE1543"/>
    <w:multiLevelType w:val="hybridMultilevel"/>
    <w:tmpl w:val="BE00ABC2"/>
    <w:lvl w:ilvl="0" w:tplc="CDA6DD64">
      <w:start w:val="1"/>
      <w:numFmt w:val="lowerLetter"/>
      <w:lvlText w:val="%1)"/>
      <w:lvlJc w:val="left"/>
      <w:pPr>
        <w:ind w:left="1865"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CF06022">
      <w:numFmt w:val="bullet"/>
      <w:lvlText w:val="•"/>
      <w:lvlJc w:val="left"/>
      <w:pPr>
        <w:ind w:left="2822" w:hanging="492"/>
      </w:pPr>
      <w:rPr>
        <w:rFonts w:hint="default"/>
        <w:lang w:val="en-US" w:eastAsia="en-US" w:bidi="ar-SA"/>
      </w:rPr>
    </w:lvl>
    <w:lvl w:ilvl="2" w:tplc="5142D2FA">
      <w:numFmt w:val="bullet"/>
      <w:lvlText w:val="•"/>
      <w:lvlJc w:val="left"/>
      <w:pPr>
        <w:ind w:left="3785" w:hanging="492"/>
      </w:pPr>
      <w:rPr>
        <w:rFonts w:hint="default"/>
        <w:lang w:val="en-US" w:eastAsia="en-US" w:bidi="ar-SA"/>
      </w:rPr>
    </w:lvl>
    <w:lvl w:ilvl="3" w:tplc="4B0698C2">
      <w:numFmt w:val="bullet"/>
      <w:lvlText w:val="•"/>
      <w:lvlJc w:val="left"/>
      <w:pPr>
        <w:ind w:left="4748" w:hanging="492"/>
      </w:pPr>
      <w:rPr>
        <w:rFonts w:hint="default"/>
        <w:lang w:val="en-US" w:eastAsia="en-US" w:bidi="ar-SA"/>
      </w:rPr>
    </w:lvl>
    <w:lvl w:ilvl="4" w:tplc="D80CFA08">
      <w:numFmt w:val="bullet"/>
      <w:lvlText w:val="•"/>
      <w:lvlJc w:val="left"/>
      <w:pPr>
        <w:ind w:left="5710" w:hanging="492"/>
      </w:pPr>
      <w:rPr>
        <w:rFonts w:hint="default"/>
        <w:lang w:val="en-US" w:eastAsia="en-US" w:bidi="ar-SA"/>
      </w:rPr>
    </w:lvl>
    <w:lvl w:ilvl="5" w:tplc="AE0A2EB8">
      <w:numFmt w:val="bullet"/>
      <w:lvlText w:val="•"/>
      <w:lvlJc w:val="left"/>
      <w:pPr>
        <w:ind w:left="6673" w:hanging="492"/>
      </w:pPr>
      <w:rPr>
        <w:rFonts w:hint="default"/>
        <w:lang w:val="en-US" w:eastAsia="en-US" w:bidi="ar-SA"/>
      </w:rPr>
    </w:lvl>
    <w:lvl w:ilvl="6" w:tplc="CF963920">
      <w:numFmt w:val="bullet"/>
      <w:lvlText w:val="•"/>
      <w:lvlJc w:val="left"/>
      <w:pPr>
        <w:ind w:left="7636" w:hanging="492"/>
      </w:pPr>
      <w:rPr>
        <w:rFonts w:hint="default"/>
        <w:lang w:val="en-US" w:eastAsia="en-US" w:bidi="ar-SA"/>
      </w:rPr>
    </w:lvl>
    <w:lvl w:ilvl="7" w:tplc="E3FE156E">
      <w:numFmt w:val="bullet"/>
      <w:lvlText w:val="•"/>
      <w:lvlJc w:val="left"/>
      <w:pPr>
        <w:ind w:left="8599" w:hanging="492"/>
      </w:pPr>
      <w:rPr>
        <w:rFonts w:hint="default"/>
        <w:lang w:val="en-US" w:eastAsia="en-US" w:bidi="ar-SA"/>
      </w:rPr>
    </w:lvl>
    <w:lvl w:ilvl="8" w:tplc="8054B824">
      <w:numFmt w:val="bullet"/>
      <w:lvlText w:val="•"/>
      <w:lvlJc w:val="left"/>
      <w:pPr>
        <w:ind w:left="9561" w:hanging="492"/>
      </w:pPr>
      <w:rPr>
        <w:rFonts w:hint="default"/>
        <w:lang w:val="en-US" w:eastAsia="en-US" w:bidi="ar-SA"/>
      </w:rPr>
    </w:lvl>
  </w:abstractNum>
  <w:abstractNum w:abstractNumId="214" w15:restartNumberingAfterBreak="0">
    <w:nsid w:val="6E115F37"/>
    <w:multiLevelType w:val="hybridMultilevel"/>
    <w:tmpl w:val="20084ED4"/>
    <w:lvl w:ilvl="0" w:tplc="7734950C">
      <w:numFmt w:val="bullet"/>
      <w:lvlText w:val=""/>
      <w:lvlJc w:val="left"/>
      <w:pPr>
        <w:ind w:left="720" w:hanging="721"/>
      </w:pPr>
      <w:rPr>
        <w:rFonts w:ascii="Wingdings" w:eastAsia="Wingdings" w:hAnsi="Wingdings" w:cs="Wingdings" w:hint="default"/>
        <w:b w:val="0"/>
        <w:bCs w:val="0"/>
        <w:i w:val="0"/>
        <w:iCs w:val="0"/>
        <w:spacing w:val="0"/>
        <w:w w:val="100"/>
        <w:sz w:val="22"/>
        <w:szCs w:val="22"/>
        <w:lang w:val="en-US" w:eastAsia="en-US" w:bidi="ar-SA"/>
      </w:rPr>
    </w:lvl>
    <w:lvl w:ilvl="1" w:tplc="7A523E4E">
      <w:numFmt w:val="bullet"/>
      <w:lvlText w:val="•"/>
      <w:lvlJc w:val="left"/>
      <w:pPr>
        <w:ind w:left="1655" w:hanging="721"/>
      </w:pPr>
      <w:rPr>
        <w:rFonts w:hint="default"/>
        <w:lang w:val="en-US" w:eastAsia="en-US" w:bidi="ar-SA"/>
      </w:rPr>
    </w:lvl>
    <w:lvl w:ilvl="2" w:tplc="BD9A54DA">
      <w:numFmt w:val="bullet"/>
      <w:lvlText w:val="•"/>
      <w:lvlJc w:val="left"/>
      <w:pPr>
        <w:ind w:left="2590" w:hanging="721"/>
      </w:pPr>
      <w:rPr>
        <w:rFonts w:hint="default"/>
        <w:lang w:val="en-US" w:eastAsia="en-US" w:bidi="ar-SA"/>
      </w:rPr>
    </w:lvl>
    <w:lvl w:ilvl="3" w:tplc="C8D07DCA">
      <w:numFmt w:val="bullet"/>
      <w:lvlText w:val="•"/>
      <w:lvlJc w:val="left"/>
      <w:pPr>
        <w:ind w:left="3525" w:hanging="721"/>
      </w:pPr>
      <w:rPr>
        <w:rFonts w:hint="default"/>
        <w:lang w:val="en-US" w:eastAsia="en-US" w:bidi="ar-SA"/>
      </w:rPr>
    </w:lvl>
    <w:lvl w:ilvl="4" w:tplc="4614E46A">
      <w:numFmt w:val="bullet"/>
      <w:lvlText w:val="•"/>
      <w:lvlJc w:val="left"/>
      <w:pPr>
        <w:ind w:left="4460" w:hanging="721"/>
      </w:pPr>
      <w:rPr>
        <w:rFonts w:hint="default"/>
        <w:lang w:val="en-US" w:eastAsia="en-US" w:bidi="ar-SA"/>
      </w:rPr>
    </w:lvl>
    <w:lvl w:ilvl="5" w:tplc="74160A12">
      <w:numFmt w:val="bullet"/>
      <w:lvlText w:val="•"/>
      <w:lvlJc w:val="left"/>
      <w:pPr>
        <w:ind w:left="5395" w:hanging="721"/>
      </w:pPr>
      <w:rPr>
        <w:rFonts w:hint="default"/>
        <w:lang w:val="en-US" w:eastAsia="en-US" w:bidi="ar-SA"/>
      </w:rPr>
    </w:lvl>
    <w:lvl w:ilvl="6" w:tplc="A7BC7882">
      <w:numFmt w:val="bullet"/>
      <w:lvlText w:val="•"/>
      <w:lvlJc w:val="left"/>
      <w:pPr>
        <w:ind w:left="6330" w:hanging="721"/>
      </w:pPr>
      <w:rPr>
        <w:rFonts w:hint="default"/>
        <w:lang w:val="en-US" w:eastAsia="en-US" w:bidi="ar-SA"/>
      </w:rPr>
    </w:lvl>
    <w:lvl w:ilvl="7" w:tplc="A70E3C0E">
      <w:numFmt w:val="bullet"/>
      <w:lvlText w:val="•"/>
      <w:lvlJc w:val="left"/>
      <w:pPr>
        <w:ind w:left="7265" w:hanging="721"/>
      </w:pPr>
      <w:rPr>
        <w:rFonts w:hint="default"/>
        <w:lang w:val="en-US" w:eastAsia="en-US" w:bidi="ar-SA"/>
      </w:rPr>
    </w:lvl>
    <w:lvl w:ilvl="8" w:tplc="53FA1E3E">
      <w:numFmt w:val="bullet"/>
      <w:lvlText w:val="•"/>
      <w:lvlJc w:val="left"/>
      <w:pPr>
        <w:ind w:left="8200" w:hanging="721"/>
      </w:pPr>
      <w:rPr>
        <w:rFonts w:hint="default"/>
        <w:lang w:val="en-US" w:eastAsia="en-US" w:bidi="ar-SA"/>
      </w:rPr>
    </w:lvl>
  </w:abstractNum>
  <w:abstractNum w:abstractNumId="215" w15:restartNumberingAfterBreak="0">
    <w:nsid w:val="6E626BFF"/>
    <w:multiLevelType w:val="multilevel"/>
    <w:tmpl w:val="7802550E"/>
    <w:lvl w:ilvl="0">
      <w:start w:val="13"/>
      <w:numFmt w:val="decimal"/>
      <w:lvlText w:val="%1."/>
      <w:lvlJc w:val="left"/>
      <w:pPr>
        <w:ind w:left="1418" w:hanging="567"/>
      </w:pPr>
      <w:rPr>
        <w:rFonts w:ascii="Times New Roman" w:eastAsia="Times New Roman" w:hAnsi="Times New Roman" w:cs="Times New Roman" w:hint="default"/>
        <w:b/>
        <w:bCs/>
        <w:i w:val="0"/>
        <w:iCs w:val="0"/>
        <w:color w:val="221F1F"/>
        <w:spacing w:val="-27"/>
        <w:w w:val="100"/>
        <w:sz w:val="22"/>
        <w:szCs w:val="22"/>
        <w:lang w:val="en-US" w:eastAsia="en-US" w:bidi="ar-SA"/>
      </w:rPr>
    </w:lvl>
    <w:lvl w:ilvl="1">
      <w:start w:val="1"/>
      <w:numFmt w:val="decimal"/>
      <w:lvlText w:val="%1.%2"/>
      <w:lvlJc w:val="left"/>
      <w:pPr>
        <w:ind w:left="1421" w:hanging="570"/>
      </w:pPr>
      <w:rPr>
        <w:rFonts w:ascii="Times New Roman" w:eastAsia="Times New Roman" w:hAnsi="Times New Roman" w:cs="Times New Roman" w:hint="default"/>
        <w:b w:val="0"/>
        <w:bCs w:val="0"/>
        <w:i w:val="0"/>
        <w:iCs w:val="0"/>
        <w:color w:val="221F1F"/>
        <w:spacing w:val="-29"/>
        <w:w w:val="100"/>
        <w:sz w:val="22"/>
        <w:szCs w:val="22"/>
        <w:lang w:val="en-US" w:eastAsia="en-US" w:bidi="ar-SA"/>
      </w:rPr>
    </w:lvl>
    <w:lvl w:ilvl="2">
      <w:numFmt w:val="bullet"/>
      <w:lvlText w:val="•"/>
      <w:lvlJc w:val="left"/>
      <w:pPr>
        <w:ind w:left="3518" w:hanging="570"/>
      </w:pPr>
      <w:rPr>
        <w:rFonts w:hint="default"/>
        <w:lang w:val="en-US" w:eastAsia="en-US" w:bidi="ar-SA"/>
      </w:rPr>
    </w:lvl>
    <w:lvl w:ilvl="3">
      <w:numFmt w:val="bullet"/>
      <w:lvlText w:val="•"/>
      <w:lvlJc w:val="left"/>
      <w:pPr>
        <w:ind w:left="4567" w:hanging="570"/>
      </w:pPr>
      <w:rPr>
        <w:rFonts w:hint="default"/>
        <w:lang w:val="en-US" w:eastAsia="en-US" w:bidi="ar-SA"/>
      </w:rPr>
    </w:lvl>
    <w:lvl w:ilvl="4">
      <w:numFmt w:val="bullet"/>
      <w:lvlText w:val="•"/>
      <w:lvlJc w:val="left"/>
      <w:pPr>
        <w:ind w:left="5616" w:hanging="570"/>
      </w:pPr>
      <w:rPr>
        <w:rFonts w:hint="default"/>
        <w:lang w:val="en-US" w:eastAsia="en-US" w:bidi="ar-SA"/>
      </w:rPr>
    </w:lvl>
    <w:lvl w:ilvl="5">
      <w:numFmt w:val="bullet"/>
      <w:lvlText w:val="•"/>
      <w:lvlJc w:val="left"/>
      <w:pPr>
        <w:ind w:left="6665" w:hanging="570"/>
      </w:pPr>
      <w:rPr>
        <w:rFonts w:hint="default"/>
        <w:lang w:val="en-US" w:eastAsia="en-US" w:bidi="ar-SA"/>
      </w:rPr>
    </w:lvl>
    <w:lvl w:ilvl="6">
      <w:numFmt w:val="bullet"/>
      <w:lvlText w:val="•"/>
      <w:lvlJc w:val="left"/>
      <w:pPr>
        <w:ind w:left="7714" w:hanging="570"/>
      </w:pPr>
      <w:rPr>
        <w:rFonts w:hint="default"/>
        <w:lang w:val="en-US" w:eastAsia="en-US" w:bidi="ar-SA"/>
      </w:rPr>
    </w:lvl>
    <w:lvl w:ilvl="7">
      <w:numFmt w:val="bullet"/>
      <w:lvlText w:val="•"/>
      <w:lvlJc w:val="left"/>
      <w:pPr>
        <w:ind w:left="8763" w:hanging="570"/>
      </w:pPr>
      <w:rPr>
        <w:rFonts w:hint="default"/>
        <w:lang w:val="en-US" w:eastAsia="en-US" w:bidi="ar-SA"/>
      </w:rPr>
    </w:lvl>
    <w:lvl w:ilvl="8">
      <w:numFmt w:val="bullet"/>
      <w:lvlText w:val="•"/>
      <w:lvlJc w:val="left"/>
      <w:pPr>
        <w:ind w:left="9812" w:hanging="570"/>
      </w:pPr>
      <w:rPr>
        <w:rFonts w:hint="default"/>
        <w:lang w:val="en-US" w:eastAsia="en-US" w:bidi="ar-SA"/>
      </w:rPr>
    </w:lvl>
  </w:abstractNum>
  <w:abstractNum w:abstractNumId="216" w15:restartNumberingAfterBreak="0">
    <w:nsid w:val="6F196C77"/>
    <w:multiLevelType w:val="hybridMultilevel"/>
    <w:tmpl w:val="D5D86752"/>
    <w:lvl w:ilvl="0" w:tplc="23EA519E">
      <w:start w:val="1"/>
      <w:numFmt w:val="lowerLetter"/>
      <w:lvlText w:val="%1)"/>
      <w:lvlJc w:val="left"/>
      <w:pPr>
        <w:ind w:left="1865" w:hanging="46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7298B866">
      <w:start w:val="1"/>
      <w:numFmt w:val="lowerRoman"/>
      <w:lvlText w:val="%2)"/>
      <w:lvlJc w:val="left"/>
      <w:pPr>
        <w:ind w:left="2300" w:hanging="45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A7588854">
      <w:numFmt w:val="bullet"/>
      <w:lvlText w:val="•"/>
      <w:lvlJc w:val="left"/>
      <w:pPr>
        <w:ind w:left="3320" w:hanging="452"/>
      </w:pPr>
      <w:rPr>
        <w:rFonts w:hint="default"/>
        <w:lang w:val="en-US" w:eastAsia="en-US" w:bidi="ar-SA"/>
      </w:rPr>
    </w:lvl>
    <w:lvl w:ilvl="3" w:tplc="5FE43FAC">
      <w:numFmt w:val="bullet"/>
      <w:lvlText w:val="•"/>
      <w:lvlJc w:val="left"/>
      <w:pPr>
        <w:ind w:left="4341" w:hanging="452"/>
      </w:pPr>
      <w:rPr>
        <w:rFonts w:hint="default"/>
        <w:lang w:val="en-US" w:eastAsia="en-US" w:bidi="ar-SA"/>
      </w:rPr>
    </w:lvl>
    <w:lvl w:ilvl="4" w:tplc="F39AFE52">
      <w:numFmt w:val="bullet"/>
      <w:lvlText w:val="•"/>
      <w:lvlJc w:val="left"/>
      <w:pPr>
        <w:ind w:left="5362" w:hanging="452"/>
      </w:pPr>
      <w:rPr>
        <w:rFonts w:hint="default"/>
        <w:lang w:val="en-US" w:eastAsia="en-US" w:bidi="ar-SA"/>
      </w:rPr>
    </w:lvl>
    <w:lvl w:ilvl="5" w:tplc="58008A80">
      <w:numFmt w:val="bullet"/>
      <w:lvlText w:val="•"/>
      <w:lvlJc w:val="left"/>
      <w:pPr>
        <w:ind w:left="6383" w:hanging="452"/>
      </w:pPr>
      <w:rPr>
        <w:rFonts w:hint="default"/>
        <w:lang w:val="en-US" w:eastAsia="en-US" w:bidi="ar-SA"/>
      </w:rPr>
    </w:lvl>
    <w:lvl w:ilvl="6" w:tplc="F760D8A2">
      <w:numFmt w:val="bullet"/>
      <w:lvlText w:val="•"/>
      <w:lvlJc w:val="left"/>
      <w:pPr>
        <w:ind w:left="7404" w:hanging="452"/>
      </w:pPr>
      <w:rPr>
        <w:rFonts w:hint="default"/>
        <w:lang w:val="en-US" w:eastAsia="en-US" w:bidi="ar-SA"/>
      </w:rPr>
    </w:lvl>
    <w:lvl w:ilvl="7" w:tplc="68E24422">
      <w:numFmt w:val="bullet"/>
      <w:lvlText w:val="•"/>
      <w:lvlJc w:val="left"/>
      <w:pPr>
        <w:ind w:left="8424" w:hanging="452"/>
      </w:pPr>
      <w:rPr>
        <w:rFonts w:hint="default"/>
        <w:lang w:val="en-US" w:eastAsia="en-US" w:bidi="ar-SA"/>
      </w:rPr>
    </w:lvl>
    <w:lvl w:ilvl="8" w:tplc="27542700">
      <w:numFmt w:val="bullet"/>
      <w:lvlText w:val="•"/>
      <w:lvlJc w:val="left"/>
      <w:pPr>
        <w:ind w:left="9445" w:hanging="452"/>
      </w:pPr>
      <w:rPr>
        <w:rFonts w:hint="default"/>
        <w:lang w:val="en-US" w:eastAsia="en-US" w:bidi="ar-SA"/>
      </w:rPr>
    </w:lvl>
  </w:abstractNum>
  <w:abstractNum w:abstractNumId="217" w15:restartNumberingAfterBreak="0">
    <w:nsid w:val="70331D9D"/>
    <w:multiLevelType w:val="hybridMultilevel"/>
    <w:tmpl w:val="86828930"/>
    <w:lvl w:ilvl="0" w:tplc="74820DCA">
      <w:start w:val="1"/>
      <w:numFmt w:val="lowerLetter"/>
      <w:lvlText w:val="%1)"/>
      <w:lvlJc w:val="left"/>
      <w:pPr>
        <w:ind w:left="1861"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5A8B410">
      <w:numFmt w:val="bullet"/>
      <w:lvlText w:val="•"/>
      <w:lvlJc w:val="left"/>
      <w:pPr>
        <w:ind w:left="2822" w:hanging="492"/>
      </w:pPr>
      <w:rPr>
        <w:rFonts w:hint="default"/>
        <w:lang w:val="en-US" w:eastAsia="en-US" w:bidi="ar-SA"/>
      </w:rPr>
    </w:lvl>
    <w:lvl w:ilvl="2" w:tplc="47CCAA4E">
      <w:numFmt w:val="bullet"/>
      <w:lvlText w:val="•"/>
      <w:lvlJc w:val="left"/>
      <w:pPr>
        <w:ind w:left="3785" w:hanging="492"/>
      </w:pPr>
      <w:rPr>
        <w:rFonts w:hint="default"/>
        <w:lang w:val="en-US" w:eastAsia="en-US" w:bidi="ar-SA"/>
      </w:rPr>
    </w:lvl>
    <w:lvl w:ilvl="3" w:tplc="187830B2">
      <w:numFmt w:val="bullet"/>
      <w:lvlText w:val="•"/>
      <w:lvlJc w:val="left"/>
      <w:pPr>
        <w:ind w:left="4748" w:hanging="492"/>
      </w:pPr>
      <w:rPr>
        <w:rFonts w:hint="default"/>
        <w:lang w:val="en-US" w:eastAsia="en-US" w:bidi="ar-SA"/>
      </w:rPr>
    </w:lvl>
    <w:lvl w:ilvl="4" w:tplc="65642E1A">
      <w:numFmt w:val="bullet"/>
      <w:lvlText w:val="•"/>
      <w:lvlJc w:val="left"/>
      <w:pPr>
        <w:ind w:left="5710" w:hanging="492"/>
      </w:pPr>
      <w:rPr>
        <w:rFonts w:hint="default"/>
        <w:lang w:val="en-US" w:eastAsia="en-US" w:bidi="ar-SA"/>
      </w:rPr>
    </w:lvl>
    <w:lvl w:ilvl="5" w:tplc="17600F1E">
      <w:numFmt w:val="bullet"/>
      <w:lvlText w:val="•"/>
      <w:lvlJc w:val="left"/>
      <w:pPr>
        <w:ind w:left="6673" w:hanging="492"/>
      </w:pPr>
      <w:rPr>
        <w:rFonts w:hint="default"/>
        <w:lang w:val="en-US" w:eastAsia="en-US" w:bidi="ar-SA"/>
      </w:rPr>
    </w:lvl>
    <w:lvl w:ilvl="6" w:tplc="52AAAD48">
      <w:numFmt w:val="bullet"/>
      <w:lvlText w:val="•"/>
      <w:lvlJc w:val="left"/>
      <w:pPr>
        <w:ind w:left="7636" w:hanging="492"/>
      </w:pPr>
      <w:rPr>
        <w:rFonts w:hint="default"/>
        <w:lang w:val="en-US" w:eastAsia="en-US" w:bidi="ar-SA"/>
      </w:rPr>
    </w:lvl>
    <w:lvl w:ilvl="7" w:tplc="297A7164">
      <w:numFmt w:val="bullet"/>
      <w:lvlText w:val="•"/>
      <w:lvlJc w:val="left"/>
      <w:pPr>
        <w:ind w:left="8599" w:hanging="492"/>
      </w:pPr>
      <w:rPr>
        <w:rFonts w:hint="default"/>
        <w:lang w:val="en-US" w:eastAsia="en-US" w:bidi="ar-SA"/>
      </w:rPr>
    </w:lvl>
    <w:lvl w:ilvl="8" w:tplc="7B2A6ED6">
      <w:numFmt w:val="bullet"/>
      <w:lvlText w:val="•"/>
      <w:lvlJc w:val="left"/>
      <w:pPr>
        <w:ind w:left="9561" w:hanging="492"/>
      </w:pPr>
      <w:rPr>
        <w:rFonts w:hint="default"/>
        <w:lang w:val="en-US" w:eastAsia="en-US" w:bidi="ar-SA"/>
      </w:rPr>
    </w:lvl>
  </w:abstractNum>
  <w:abstractNum w:abstractNumId="218" w15:restartNumberingAfterBreak="0">
    <w:nsid w:val="705E158F"/>
    <w:multiLevelType w:val="multilevel"/>
    <w:tmpl w:val="70E21F72"/>
    <w:lvl w:ilvl="0">
      <w:start w:val="1"/>
      <w:numFmt w:val="decimal"/>
      <w:lvlText w:val="%1"/>
      <w:lvlJc w:val="left"/>
      <w:pPr>
        <w:ind w:left="2129" w:hanging="706"/>
      </w:pPr>
      <w:rPr>
        <w:rFonts w:hint="default"/>
        <w:lang w:val="en-US" w:eastAsia="en-US" w:bidi="ar-SA"/>
      </w:rPr>
    </w:lvl>
    <w:lvl w:ilvl="1">
      <w:start w:val="1"/>
      <w:numFmt w:val="decimal"/>
      <w:lvlText w:val="%1.%2"/>
      <w:lvlJc w:val="left"/>
      <w:pPr>
        <w:ind w:left="2129" w:hanging="706"/>
      </w:pPr>
      <w:rPr>
        <w:rFonts w:hint="default"/>
        <w:lang w:val="en-US" w:eastAsia="en-US" w:bidi="ar-SA"/>
      </w:rPr>
    </w:lvl>
    <w:lvl w:ilvl="2">
      <w:start w:val="1"/>
      <w:numFmt w:val="decimal"/>
      <w:lvlText w:val="%1.%2.%3"/>
      <w:lvlJc w:val="left"/>
      <w:pPr>
        <w:ind w:left="2129" w:hanging="706"/>
      </w:pPr>
      <w:rPr>
        <w:rFonts w:ascii="Times New Roman" w:eastAsia="Times New Roman" w:hAnsi="Times New Roman" w:cs="Times New Roman" w:hint="default"/>
        <w:b w:val="0"/>
        <w:bCs w:val="0"/>
        <w:i w:val="0"/>
        <w:iCs w:val="0"/>
        <w:color w:val="221F1F"/>
        <w:spacing w:val="-24"/>
        <w:w w:val="100"/>
        <w:sz w:val="22"/>
        <w:szCs w:val="22"/>
        <w:lang w:val="en-US" w:eastAsia="en-US" w:bidi="ar-SA"/>
      </w:rPr>
    </w:lvl>
    <w:lvl w:ilvl="3">
      <w:numFmt w:val="bullet"/>
      <w:lvlText w:val="•"/>
      <w:lvlJc w:val="left"/>
      <w:pPr>
        <w:ind w:left="4930" w:hanging="706"/>
      </w:pPr>
      <w:rPr>
        <w:rFonts w:hint="default"/>
        <w:lang w:val="en-US" w:eastAsia="en-US" w:bidi="ar-SA"/>
      </w:rPr>
    </w:lvl>
    <w:lvl w:ilvl="4">
      <w:numFmt w:val="bullet"/>
      <w:lvlText w:val="•"/>
      <w:lvlJc w:val="left"/>
      <w:pPr>
        <w:ind w:left="5866" w:hanging="706"/>
      </w:pPr>
      <w:rPr>
        <w:rFonts w:hint="default"/>
        <w:lang w:val="en-US" w:eastAsia="en-US" w:bidi="ar-SA"/>
      </w:rPr>
    </w:lvl>
    <w:lvl w:ilvl="5">
      <w:numFmt w:val="bullet"/>
      <w:lvlText w:val="•"/>
      <w:lvlJc w:val="left"/>
      <w:pPr>
        <w:ind w:left="6803" w:hanging="706"/>
      </w:pPr>
      <w:rPr>
        <w:rFonts w:hint="default"/>
        <w:lang w:val="en-US" w:eastAsia="en-US" w:bidi="ar-SA"/>
      </w:rPr>
    </w:lvl>
    <w:lvl w:ilvl="6">
      <w:numFmt w:val="bullet"/>
      <w:lvlText w:val="•"/>
      <w:lvlJc w:val="left"/>
      <w:pPr>
        <w:ind w:left="7740" w:hanging="706"/>
      </w:pPr>
      <w:rPr>
        <w:rFonts w:hint="default"/>
        <w:lang w:val="en-US" w:eastAsia="en-US" w:bidi="ar-SA"/>
      </w:rPr>
    </w:lvl>
    <w:lvl w:ilvl="7">
      <w:numFmt w:val="bullet"/>
      <w:lvlText w:val="•"/>
      <w:lvlJc w:val="left"/>
      <w:pPr>
        <w:ind w:left="8677" w:hanging="706"/>
      </w:pPr>
      <w:rPr>
        <w:rFonts w:hint="default"/>
        <w:lang w:val="en-US" w:eastAsia="en-US" w:bidi="ar-SA"/>
      </w:rPr>
    </w:lvl>
    <w:lvl w:ilvl="8">
      <w:numFmt w:val="bullet"/>
      <w:lvlText w:val="•"/>
      <w:lvlJc w:val="left"/>
      <w:pPr>
        <w:ind w:left="9613" w:hanging="706"/>
      </w:pPr>
      <w:rPr>
        <w:rFonts w:hint="default"/>
        <w:lang w:val="en-US" w:eastAsia="en-US" w:bidi="ar-SA"/>
      </w:rPr>
    </w:lvl>
  </w:abstractNum>
  <w:abstractNum w:abstractNumId="219" w15:restartNumberingAfterBreak="0">
    <w:nsid w:val="70C46175"/>
    <w:multiLevelType w:val="hybridMultilevel"/>
    <w:tmpl w:val="342A95FA"/>
    <w:lvl w:ilvl="0" w:tplc="3096526A">
      <w:start w:val="1"/>
      <w:numFmt w:val="lowerLetter"/>
      <w:lvlText w:val="%1)"/>
      <w:lvlJc w:val="left"/>
      <w:pPr>
        <w:ind w:left="1894" w:hanging="51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A9E35A0">
      <w:start w:val="1"/>
      <w:numFmt w:val="lowerRoman"/>
      <w:lvlText w:val="%2)"/>
      <w:lvlJc w:val="left"/>
      <w:pPr>
        <w:ind w:left="2413" w:hanging="5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B122DB2C">
      <w:numFmt w:val="bullet"/>
      <w:lvlText w:val="•"/>
      <w:lvlJc w:val="left"/>
      <w:pPr>
        <w:ind w:left="3427" w:hanging="528"/>
      </w:pPr>
      <w:rPr>
        <w:rFonts w:hint="default"/>
        <w:lang w:val="en-US" w:eastAsia="en-US" w:bidi="ar-SA"/>
      </w:rPr>
    </w:lvl>
    <w:lvl w:ilvl="3" w:tplc="BFDE547E">
      <w:numFmt w:val="bullet"/>
      <w:lvlText w:val="•"/>
      <w:lvlJc w:val="left"/>
      <w:pPr>
        <w:ind w:left="4434" w:hanging="528"/>
      </w:pPr>
      <w:rPr>
        <w:rFonts w:hint="default"/>
        <w:lang w:val="en-US" w:eastAsia="en-US" w:bidi="ar-SA"/>
      </w:rPr>
    </w:lvl>
    <w:lvl w:ilvl="4" w:tplc="E54C4242">
      <w:numFmt w:val="bullet"/>
      <w:lvlText w:val="•"/>
      <w:lvlJc w:val="left"/>
      <w:pPr>
        <w:ind w:left="5442" w:hanging="528"/>
      </w:pPr>
      <w:rPr>
        <w:rFonts w:hint="default"/>
        <w:lang w:val="en-US" w:eastAsia="en-US" w:bidi="ar-SA"/>
      </w:rPr>
    </w:lvl>
    <w:lvl w:ilvl="5" w:tplc="4586ADE6">
      <w:numFmt w:val="bullet"/>
      <w:lvlText w:val="•"/>
      <w:lvlJc w:val="left"/>
      <w:pPr>
        <w:ind w:left="6449" w:hanging="528"/>
      </w:pPr>
      <w:rPr>
        <w:rFonts w:hint="default"/>
        <w:lang w:val="en-US" w:eastAsia="en-US" w:bidi="ar-SA"/>
      </w:rPr>
    </w:lvl>
    <w:lvl w:ilvl="6" w:tplc="E208F5BA">
      <w:numFmt w:val="bullet"/>
      <w:lvlText w:val="•"/>
      <w:lvlJc w:val="left"/>
      <w:pPr>
        <w:ind w:left="7457" w:hanging="528"/>
      </w:pPr>
      <w:rPr>
        <w:rFonts w:hint="default"/>
        <w:lang w:val="en-US" w:eastAsia="en-US" w:bidi="ar-SA"/>
      </w:rPr>
    </w:lvl>
    <w:lvl w:ilvl="7" w:tplc="A010EC6E">
      <w:numFmt w:val="bullet"/>
      <w:lvlText w:val="•"/>
      <w:lvlJc w:val="left"/>
      <w:pPr>
        <w:ind w:left="8464" w:hanging="528"/>
      </w:pPr>
      <w:rPr>
        <w:rFonts w:hint="default"/>
        <w:lang w:val="en-US" w:eastAsia="en-US" w:bidi="ar-SA"/>
      </w:rPr>
    </w:lvl>
    <w:lvl w:ilvl="8" w:tplc="EE06F642">
      <w:numFmt w:val="bullet"/>
      <w:lvlText w:val="•"/>
      <w:lvlJc w:val="left"/>
      <w:pPr>
        <w:ind w:left="9472" w:hanging="528"/>
      </w:pPr>
      <w:rPr>
        <w:rFonts w:hint="default"/>
        <w:lang w:val="en-US" w:eastAsia="en-US" w:bidi="ar-SA"/>
      </w:rPr>
    </w:lvl>
  </w:abstractNum>
  <w:abstractNum w:abstractNumId="220" w15:restartNumberingAfterBreak="0">
    <w:nsid w:val="711B5D9D"/>
    <w:multiLevelType w:val="hybridMultilevel"/>
    <w:tmpl w:val="51A0D0C6"/>
    <w:lvl w:ilvl="0" w:tplc="FA36972E">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D76F7C0">
      <w:numFmt w:val="bullet"/>
      <w:lvlText w:val="•"/>
      <w:lvlJc w:val="left"/>
      <w:pPr>
        <w:ind w:left="2822" w:hanging="495"/>
      </w:pPr>
      <w:rPr>
        <w:rFonts w:hint="default"/>
        <w:lang w:val="en-US" w:eastAsia="en-US" w:bidi="ar-SA"/>
      </w:rPr>
    </w:lvl>
    <w:lvl w:ilvl="2" w:tplc="10DAF75E">
      <w:numFmt w:val="bullet"/>
      <w:lvlText w:val="•"/>
      <w:lvlJc w:val="left"/>
      <w:pPr>
        <w:ind w:left="3785" w:hanging="495"/>
      </w:pPr>
      <w:rPr>
        <w:rFonts w:hint="default"/>
        <w:lang w:val="en-US" w:eastAsia="en-US" w:bidi="ar-SA"/>
      </w:rPr>
    </w:lvl>
    <w:lvl w:ilvl="3" w:tplc="6C92A9F2">
      <w:numFmt w:val="bullet"/>
      <w:lvlText w:val="•"/>
      <w:lvlJc w:val="left"/>
      <w:pPr>
        <w:ind w:left="4748" w:hanging="495"/>
      </w:pPr>
      <w:rPr>
        <w:rFonts w:hint="default"/>
        <w:lang w:val="en-US" w:eastAsia="en-US" w:bidi="ar-SA"/>
      </w:rPr>
    </w:lvl>
    <w:lvl w:ilvl="4" w:tplc="338AC58E">
      <w:numFmt w:val="bullet"/>
      <w:lvlText w:val="•"/>
      <w:lvlJc w:val="left"/>
      <w:pPr>
        <w:ind w:left="5710" w:hanging="495"/>
      </w:pPr>
      <w:rPr>
        <w:rFonts w:hint="default"/>
        <w:lang w:val="en-US" w:eastAsia="en-US" w:bidi="ar-SA"/>
      </w:rPr>
    </w:lvl>
    <w:lvl w:ilvl="5" w:tplc="8E3C2AB2">
      <w:numFmt w:val="bullet"/>
      <w:lvlText w:val="•"/>
      <w:lvlJc w:val="left"/>
      <w:pPr>
        <w:ind w:left="6673" w:hanging="495"/>
      </w:pPr>
      <w:rPr>
        <w:rFonts w:hint="default"/>
        <w:lang w:val="en-US" w:eastAsia="en-US" w:bidi="ar-SA"/>
      </w:rPr>
    </w:lvl>
    <w:lvl w:ilvl="6" w:tplc="34F04476">
      <w:numFmt w:val="bullet"/>
      <w:lvlText w:val="•"/>
      <w:lvlJc w:val="left"/>
      <w:pPr>
        <w:ind w:left="7636" w:hanging="495"/>
      </w:pPr>
      <w:rPr>
        <w:rFonts w:hint="default"/>
        <w:lang w:val="en-US" w:eastAsia="en-US" w:bidi="ar-SA"/>
      </w:rPr>
    </w:lvl>
    <w:lvl w:ilvl="7" w:tplc="D486AEF6">
      <w:numFmt w:val="bullet"/>
      <w:lvlText w:val="•"/>
      <w:lvlJc w:val="left"/>
      <w:pPr>
        <w:ind w:left="8599" w:hanging="495"/>
      </w:pPr>
      <w:rPr>
        <w:rFonts w:hint="default"/>
        <w:lang w:val="en-US" w:eastAsia="en-US" w:bidi="ar-SA"/>
      </w:rPr>
    </w:lvl>
    <w:lvl w:ilvl="8" w:tplc="9AEE2344">
      <w:numFmt w:val="bullet"/>
      <w:lvlText w:val="•"/>
      <w:lvlJc w:val="left"/>
      <w:pPr>
        <w:ind w:left="9561" w:hanging="495"/>
      </w:pPr>
      <w:rPr>
        <w:rFonts w:hint="default"/>
        <w:lang w:val="en-US" w:eastAsia="en-US" w:bidi="ar-SA"/>
      </w:rPr>
    </w:lvl>
  </w:abstractNum>
  <w:abstractNum w:abstractNumId="221" w15:restartNumberingAfterBreak="0">
    <w:nsid w:val="74BE73DC"/>
    <w:multiLevelType w:val="hybridMultilevel"/>
    <w:tmpl w:val="1C206A04"/>
    <w:lvl w:ilvl="0" w:tplc="A6A8E642">
      <w:start w:val="1"/>
      <w:numFmt w:val="lowerLetter"/>
      <w:lvlText w:val="%1)"/>
      <w:lvlJc w:val="left"/>
      <w:pPr>
        <w:ind w:left="1870" w:hanging="44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9F20388">
      <w:start w:val="1"/>
      <w:numFmt w:val="lowerRoman"/>
      <w:lvlText w:val="%2)"/>
      <w:lvlJc w:val="left"/>
      <w:pPr>
        <w:ind w:left="2401" w:hanging="52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CD70BFC0">
      <w:numFmt w:val="bullet"/>
      <w:lvlText w:val="•"/>
      <w:lvlJc w:val="left"/>
      <w:pPr>
        <w:ind w:left="3409" w:hanging="526"/>
      </w:pPr>
      <w:rPr>
        <w:rFonts w:hint="default"/>
        <w:lang w:val="en-US" w:eastAsia="en-US" w:bidi="ar-SA"/>
      </w:rPr>
    </w:lvl>
    <w:lvl w:ilvl="3" w:tplc="CA86F0E0">
      <w:numFmt w:val="bullet"/>
      <w:lvlText w:val="•"/>
      <w:lvlJc w:val="left"/>
      <w:pPr>
        <w:ind w:left="4419" w:hanging="526"/>
      </w:pPr>
      <w:rPr>
        <w:rFonts w:hint="default"/>
        <w:lang w:val="en-US" w:eastAsia="en-US" w:bidi="ar-SA"/>
      </w:rPr>
    </w:lvl>
    <w:lvl w:ilvl="4" w:tplc="63EA8C9C">
      <w:numFmt w:val="bullet"/>
      <w:lvlText w:val="•"/>
      <w:lvlJc w:val="left"/>
      <w:pPr>
        <w:ind w:left="5429" w:hanging="526"/>
      </w:pPr>
      <w:rPr>
        <w:rFonts w:hint="default"/>
        <w:lang w:val="en-US" w:eastAsia="en-US" w:bidi="ar-SA"/>
      </w:rPr>
    </w:lvl>
    <w:lvl w:ilvl="5" w:tplc="AEC89B60">
      <w:numFmt w:val="bullet"/>
      <w:lvlText w:val="•"/>
      <w:lvlJc w:val="left"/>
      <w:pPr>
        <w:ind w:left="6438" w:hanging="526"/>
      </w:pPr>
      <w:rPr>
        <w:rFonts w:hint="default"/>
        <w:lang w:val="en-US" w:eastAsia="en-US" w:bidi="ar-SA"/>
      </w:rPr>
    </w:lvl>
    <w:lvl w:ilvl="6" w:tplc="2C309506">
      <w:numFmt w:val="bullet"/>
      <w:lvlText w:val="•"/>
      <w:lvlJc w:val="left"/>
      <w:pPr>
        <w:ind w:left="7448" w:hanging="526"/>
      </w:pPr>
      <w:rPr>
        <w:rFonts w:hint="default"/>
        <w:lang w:val="en-US" w:eastAsia="en-US" w:bidi="ar-SA"/>
      </w:rPr>
    </w:lvl>
    <w:lvl w:ilvl="7" w:tplc="AD3EC43E">
      <w:numFmt w:val="bullet"/>
      <w:lvlText w:val="•"/>
      <w:lvlJc w:val="left"/>
      <w:pPr>
        <w:ind w:left="8458" w:hanging="526"/>
      </w:pPr>
      <w:rPr>
        <w:rFonts w:hint="default"/>
        <w:lang w:val="en-US" w:eastAsia="en-US" w:bidi="ar-SA"/>
      </w:rPr>
    </w:lvl>
    <w:lvl w:ilvl="8" w:tplc="1C3C6968">
      <w:numFmt w:val="bullet"/>
      <w:lvlText w:val="•"/>
      <w:lvlJc w:val="left"/>
      <w:pPr>
        <w:ind w:left="9467" w:hanging="526"/>
      </w:pPr>
      <w:rPr>
        <w:rFonts w:hint="default"/>
        <w:lang w:val="en-US" w:eastAsia="en-US" w:bidi="ar-SA"/>
      </w:rPr>
    </w:lvl>
  </w:abstractNum>
  <w:abstractNum w:abstractNumId="222" w15:restartNumberingAfterBreak="0">
    <w:nsid w:val="74FA5AF3"/>
    <w:multiLevelType w:val="hybridMultilevel"/>
    <w:tmpl w:val="BA72217C"/>
    <w:lvl w:ilvl="0" w:tplc="D7BC01F6">
      <w:numFmt w:val="bullet"/>
      <w:lvlText w:val="•"/>
      <w:lvlJc w:val="left"/>
      <w:pPr>
        <w:ind w:left="38" w:hanging="159"/>
      </w:pPr>
      <w:rPr>
        <w:rFonts w:ascii="Tahoma" w:eastAsia="Tahoma" w:hAnsi="Tahoma" w:cs="Tahoma" w:hint="default"/>
        <w:b w:val="0"/>
        <w:bCs w:val="0"/>
        <w:i w:val="0"/>
        <w:iCs w:val="0"/>
        <w:spacing w:val="0"/>
        <w:w w:val="129"/>
        <w:sz w:val="18"/>
        <w:szCs w:val="18"/>
        <w:lang w:val="en-US" w:eastAsia="en-US" w:bidi="ar-SA"/>
      </w:rPr>
    </w:lvl>
    <w:lvl w:ilvl="1" w:tplc="72024DD8">
      <w:numFmt w:val="bullet"/>
      <w:lvlText w:val="•"/>
      <w:lvlJc w:val="left"/>
      <w:pPr>
        <w:ind w:left="811" w:hanging="159"/>
      </w:pPr>
      <w:rPr>
        <w:rFonts w:hint="default"/>
        <w:lang w:val="en-US" w:eastAsia="en-US" w:bidi="ar-SA"/>
      </w:rPr>
    </w:lvl>
    <w:lvl w:ilvl="2" w:tplc="D352B142">
      <w:numFmt w:val="bullet"/>
      <w:lvlText w:val="•"/>
      <w:lvlJc w:val="left"/>
      <w:pPr>
        <w:ind w:left="1582" w:hanging="159"/>
      </w:pPr>
      <w:rPr>
        <w:rFonts w:hint="default"/>
        <w:lang w:val="en-US" w:eastAsia="en-US" w:bidi="ar-SA"/>
      </w:rPr>
    </w:lvl>
    <w:lvl w:ilvl="3" w:tplc="AF1C52AE">
      <w:numFmt w:val="bullet"/>
      <w:lvlText w:val="•"/>
      <w:lvlJc w:val="left"/>
      <w:pPr>
        <w:ind w:left="2353" w:hanging="159"/>
      </w:pPr>
      <w:rPr>
        <w:rFonts w:hint="default"/>
        <w:lang w:val="en-US" w:eastAsia="en-US" w:bidi="ar-SA"/>
      </w:rPr>
    </w:lvl>
    <w:lvl w:ilvl="4" w:tplc="541E7030">
      <w:numFmt w:val="bullet"/>
      <w:lvlText w:val="•"/>
      <w:lvlJc w:val="left"/>
      <w:pPr>
        <w:ind w:left="3124" w:hanging="159"/>
      </w:pPr>
      <w:rPr>
        <w:rFonts w:hint="default"/>
        <w:lang w:val="en-US" w:eastAsia="en-US" w:bidi="ar-SA"/>
      </w:rPr>
    </w:lvl>
    <w:lvl w:ilvl="5" w:tplc="59EABDC4">
      <w:numFmt w:val="bullet"/>
      <w:lvlText w:val="•"/>
      <w:lvlJc w:val="left"/>
      <w:pPr>
        <w:ind w:left="3896" w:hanging="159"/>
      </w:pPr>
      <w:rPr>
        <w:rFonts w:hint="default"/>
        <w:lang w:val="en-US" w:eastAsia="en-US" w:bidi="ar-SA"/>
      </w:rPr>
    </w:lvl>
    <w:lvl w:ilvl="6" w:tplc="98662A18">
      <w:numFmt w:val="bullet"/>
      <w:lvlText w:val="•"/>
      <w:lvlJc w:val="left"/>
      <w:pPr>
        <w:ind w:left="4667" w:hanging="159"/>
      </w:pPr>
      <w:rPr>
        <w:rFonts w:hint="default"/>
        <w:lang w:val="en-US" w:eastAsia="en-US" w:bidi="ar-SA"/>
      </w:rPr>
    </w:lvl>
    <w:lvl w:ilvl="7" w:tplc="5B8EF35E">
      <w:numFmt w:val="bullet"/>
      <w:lvlText w:val="•"/>
      <w:lvlJc w:val="left"/>
      <w:pPr>
        <w:ind w:left="5438" w:hanging="159"/>
      </w:pPr>
      <w:rPr>
        <w:rFonts w:hint="default"/>
        <w:lang w:val="en-US" w:eastAsia="en-US" w:bidi="ar-SA"/>
      </w:rPr>
    </w:lvl>
    <w:lvl w:ilvl="8" w:tplc="F77E4DB8">
      <w:numFmt w:val="bullet"/>
      <w:lvlText w:val="•"/>
      <w:lvlJc w:val="left"/>
      <w:pPr>
        <w:ind w:left="6209" w:hanging="159"/>
      </w:pPr>
      <w:rPr>
        <w:rFonts w:hint="default"/>
        <w:lang w:val="en-US" w:eastAsia="en-US" w:bidi="ar-SA"/>
      </w:rPr>
    </w:lvl>
  </w:abstractNum>
  <w:abstractNum w:abstractNumId="223" w15:restartNumberingAfterBreak="0">
    <w:nsid w:val="75033C08"/>
    <w:multiLevelType w:val="hybridMultilevel"/>
    <w:tmpl w:val="6F1276AC"/>
    <w:lvl w:ilvl="0" w:tplc="04A8E43C">
      <w:start w:val="1"/>
      <w:numFmt w:val="lowerLetter"/>
      <w:lvlText w:val="%1)"/>
      <w:lvlJc w:val="left"/>
      <w:pPr>
        <w:ind w:left="1868"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B009B58">
      <w:numFmt w:val="bullet"/>
      <w:lvlText w:val="•"/>
      <w:lvlJc w:val="left"/>
      <w:pPr>
        <w:ind w:left="2822" w:hanging="500"/>
      </w:pPr>
      <w:rPr>
        <w:rFonts w:hint="default"/>
        <w:lang w:val="en-US" w:eastAsia="en-US" w:bidi="ar-SA"/>
      </w:rPr>
    </w:lvl>
    <w:lvl w:ilvl="2" w:tplc="1CAC3D4C">
      <w:numFmt w:val="bullet"/>
      <w:lvlText w:val="•"/>
      <w:lvlJc w:val="left"/>
      <w:pPr>
        <w:ind w:left="3785" w:hanging="500"/>
      </w:pPr>
      <w:rPr>
        <w:rFonts w:hint="default"/>
        <w:lang w:val="en-US" w:eastAsia="en-US" w:bidi="ar-SA"/>
      </w:rPr>
    </w:lvl>
    <w:lvl w:ilvl="3" w:tplc="F0962ACC">
      <w:numFmt w:val="bullet"/>
      <w:lvlText w:val="•"/>
      <w:lvlJc w:val="left"/>
      <w:pPr>
        <w:ind w:left="4748" w:hanging="500"/>
      </w:pPr>
      <w:rPr>
        <w:rFonts w:hint="default"/>
        <w:lang w:val="en-US" w:eastAsia="en-US" w:bidi="ar-SA"/>
      </w:rPr>
    </w:lvl>
    <w:lvl w:ilvl="4" w:tplc="326A8BE2">
      <w:numFmt w:val="bullet"/>
      <w:lvlText w:val="•"/>
      <w:lvlJc w:val="left"/>
      <w:pPr>
        <w:ind w:left="5710" w:hanging="500"/>
      </w:pPr>
      <w:rPr>
        <w:rFonts w:hint="default"/>
        <w:lang w:val="en-US" w:eastAsia="en-US" w:bidi="ar-SA"/>
      </w:rPr>
    </w:lvl>
    <w:lvl w:ilvl="5" w:tplc="F2869368">
      <w:numFmt w:val="bullet"/>
      <w:lvlText w:val="•"/>
      <w:lvlJc w:val="left"/>
      <w:pPr>
        <w:ind w:left="6673" w:hanging="500"/>
      </w:pPr>
      <w:rPr>
        <w:rFonts w:hint="default"/>
        <w:lang w:val="en-US" w:eastAsia="en-US" w:bidi="ar-SA"/>
      </w:rPr>
    </w:lvl>
    <w:lvl w:ilvl="6" w:tplc="621662C4">
      <w:numFmt w:val="bullet"/>
      <w:lvlText w:val="•"/>
      <w:lvlJc w:val="left"/>
      <w:pPr>
        <w:ind w:left="7636" w:hanging="500"/>
      </w:pPr>
      <w:rPr>
        <w:rFonts w:hint="default"/>
        <w:lang w:val="en-US" w:eastAsia="en-US" w:bidi="ar-SA"/>
      </w:rPr>
    </w:lvl>
    <w:lvl w:ilvl="7" w:tplc="8092C1CC">
      <w:numFmt w:val="bullet"/>
      <w:lvlText w:val="•"/>
      <w:lvlJc w:val="left"/>
      <w:pPr>
        <w:ind w:left="8599" w:hanging="500"/>
      </w:pPr>
      <w:rPr>
        <w:rFonts w:hint="default"/>
        <w:lang w:val="en-US" w:eastAsia="en-US" w:bidi="ar-SA"/>
      </w:rPr>
    </w:lvl>
    <w:lvl w:ilvl="8" w:tplc="3998E494">
      <w:numFmt w:val="bullet"/>
      <w:lvlText w:val="•"/>
      <w:lvlJc w:val="left"/>
      <w:pPr>
        <w:ind w:left="9561" w:hanging="500"/>
      </w:pPr>
      <w:rPr>
        <w:rFonts w:hint="default"/>
        <w:lang w:val="en-US" w:eastAsia="en-US" w:bidi="ar-SA"/>
      </w:rPr>
    </w:lvl>
  </w:abstractNum>
  <w:abstractNum w:abstractNumId="224" w15:restartNumberingAfterBreak="0">
    <w:nsid w:val="752E29E2"/>
    <w:multiLevelType w:val="multilevel"/>
    <w:tmpl w:val="BC0233B8"/>
    <w:lvl w:ilvl="0">
      <w:start w:val="4"/>
      <w:numFmt w:val="decimal"/>
      <w:lvlText w:val="%1"/>
      <w:lvlJc w:val="left"/>
      <w:pPr>
        <w:ind w:left="1273" w:hanging="563"/>
      </w:pPr>
      <w:rPr>
        <w:rFonts w:hint="default"/>
        <w:lang w:val="en-US" w:eastAsia="en-US" w:bidi="ar-SA"/>
      </w:rPr>
    </w:lvl>
    <w:lvl w:ilvl="1">
      <w:start w:val="9"/>
      <w:numFmt w:val="decimal"/>
      <w:lvlText w:val="%1.%2"/>
      <w:lvlJc w:val="left"/>
      <w:pPr>
        <w:ind w:left="1273" w:hanging="563"/>
      </w:pPr>
      <w:rPr>
        <w:rFonts w:ascii="Times New Roman" w:eastAsia="Times New Roman" w:hAnsi="Times New Roman" w:cs="Times New Roman" w:hint="default"/>
        <w:b w:val="0"/>
        <w:bCs w:val="0"/>
        <w:i w:val="0"/>
        <w:iCs w:val="0"/>
        <w:color w:val="221F1F"/>
        <w:spacing w:val="-30"/>
        <w:w w:val="97"/>
        <w:sz w:val="22"/>
        <w:szCs w:val="22"/>
        <w:lang w:val="en-US" w:eastAsia="en-US" w:bidi="ar-SA"/>
      </w:rPr>
    </w:lvl>
    <w:lvl w:ilvl="2">
      <w:numFmt w:val="bullet"/>
      <w:lvlText w:val="•"/>
      <w:lvlJc w:val="left"/>
      <w:pPr>
        <w:ind w:left="3321" w:hanging="563"/>
      </w:pPr>
      <w:rPr>
        <w:rFonts w:hint="default"/>
        <w:lang w:val="en-US" w:eastAsia="en-US" w:bidi="ar-SA"/>
      </w:rPr>
    </w:lvl>
    <w:lvl w:ilvl="3">
      <w:numFmt w:val="bullet"/>
      <w:lvlText w:val="•"/>
      <w:lvlJc w:val="left"/>
      <w:pPr>
        <w:ind w:left="4342" w:hanging="563"/>
      </w:pPr>
      <w:rPr>
        <w:rFonts w:hint="default"/>
        <w:lang w:val="en-US" w:eastAsia="en-US" w:bidi="ar-SA"/>
      </w:rPr>
    </w:lvl>
    <w:lvl w:ilvl="4">
      <w:numFmt w:val="bullet"/>
      <w:lvlText w:val="•"/>
      <w:lvlJc w:val="left"/>
      <w:pPr>
        <w:ind w:left="5362" w:hanging="563"/>
      </w:pPr>
      <w:rPr>
        <w:rFonts w:hint="default"/>
        <w:lang w:val="en-US" w:eastAsia="en-US" w:bidi="ar-SA"/>
      </w:rPr>
    </w:lvl>
    <w:lvl w:ilvl="5">
      <w:numFmt w:val="bullet"/>
      <w:lvlText w:val="•"/>
      <w:lvlJc w:val="left"/>
      <w:pPr>
        <w:ind w:left="6383" w:hanging="563"/>
      </w:pPr>
      <w:rPr>
        <w:rFonts w:hint="default"/>
        <w:lang w:val="en-US" w:eastAsia="en-US" w:bidi="ar-SA"/>
      </w:rPr>
    </w:lvl>
    <w:lvl w:ilvl="6">
      <w:numFmt w:val="bullet"/>
      <w:lvlText w:val="•"/>
      <w:lvlJc w:val="left"/>
      <w:pPr>
        <w:ind w:left="7404" w:hanging="563"/>
      </w:pPr>
      <w:rPr>
        <w:rFonts w:hint="default"/>
        <w:lang w:val="en-US" w:eastAsia="en-US" w:bidi="ar-SA"/>
      </w:rPr>
    </w:lvl>
    <w:lvl w:ilvl="7">
      <w:numFmt w:val="bullet"/>
      <w:lvlText w:val="•"/>
      <w:lvlJc w:val="left"/>
      <w:pPr>
        <w:ind w:left="8425" w:hanging="563"/>
      </w:pPr>
      <w:rPr>
        <w:rFonts w:hint="default"/>
        <w:lang w:val="en-US" w:eastAsia="en-US" w:bidi="ar-SA"/>
      </w:rPr>
    </w:lvl>
    <w:lvl w:ilvl="8">
      <w:numFmt w:val="bullet"/>
      <w:lvlText w:val="•"/>
      <w:lvlJc w:val="left"/>
      <w:pPr>
        <w:ind w:left="9445" w:hanging="563"/>
      </w:pPr>
      <w:rPr>
        <w:rFonts w:hint="default"/>
        <w:lang w:val="en-US" w:eastAsia="en-US" w:bidi="ar-SA"/>
      </w:rPr>
    </w:lvl>
  </w:abstractNum>
  <w:abstractNum w:abstractNumId="225" w15:restartNumberingAfterBreak="0">
    <w:nsid w:val="765579FC"/>
    <w:multiLevelType w:val="hybridMultilevel"/>
    <w:tmpl w:val="0832A70E"/>
    <w:lvl w:ilvl="0" w:tplc="403215E6">
      <w:start w:val="1"/>
      <w:numFmt w:val="lowerLetter"/>
      <w:lvlText w:val="%1)"/>
      <w:lvlJc w:val="left"/>
      <w:pPr>
        <w:ind w:left="1877"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EE0D12E">
      <w:numFmt w:val="bullet"/>
      <w:lvlText w:val="•"/>
      <w:lvlJc w:val="left"/>
      <w:pPr>
        <w:ind w:left="2840" w:hanging="495"/>
      </w:pPr>
      <w:rPr>
        <w:rFonts w:hint="default"/>
        <w:lang w:val="en-US" w:eastAsia="en-US" w:bidi="ar-SA"/>
      </w:rPr>
    </w:lvl>
    <w:lvl w:ilvl="2" w:tplc="8A7E9496">
      <w:numFmt w:val="bullet"/>
      <w:lvlText w:val="•"/>
      <w:lvlJc w:val="left"/>
      <w:pPr>
        <w:ind w:left="3801" w:hanging="495"/>
      </w:pPr>
      <w:rPr>
        <w:rFonts w:hint="default"/>
        <w:lang w:val="en-US" w:eastAsia="en-US" w:bidi="ar-SA"/>
      </w:rPr>
    </w:lvl>
    <w:lvl w:ilvl="3" w:tplc="BF469534">
      <w:numFmt w:val="bullet"/>
      <w:lvlText w:val="•"/>
      <w:lvlJc w:val="left"/>
      <w:pPr>
        <w:ind w:left="4762" w:hanging="495"/>
      </w:pPr>
      <w:rPr>
        <w:rFonts w:hint="default"/>
        <w:lang w:val="en-US" w:eastAsia="en-US" w:bidi="ar-SA"/>
      </w:rPr>
    </w:lvl>
    <w:lvl w:ilvl="4" w:tplc="63203AAA">
      <w:numFmt w:val="bullet"/>
      <w:lvlText w:val="•"/>
      <w:lvlJc w:val="left"/>
      <w:pPr>
        <w:ind w:left="5722" w:hanging="495"/>
      </w:pPr>
      <w:rPr>
        <w:rFonts w:hint="default"/>
        <w:lang w:val="en-US" w:eastAsia="en-US" w:bidi="ar-SA"/>
      </w:rPr>
    </w:lvl>
    <w:lvl w:ilvl="5" w:tplc="18AAB550">
      <w:numFmt w:val="bullet"/>
      <w:lvlText w:val="•"/>
      <w:lvlJc w:val="left"/>
      <w:pPr>
        <w:ind w:left="6683" w:hanging="495"/>
      </w:pPr>
      <w:rPr>
        <w:rFonts w:hint="default"/>
        <w:lang w:val="en-US" w:eastAsia="en-US" w:bidi="ar-SA"/>
      </w:rPr>
    </w:lvl>
    <w:lvl w:ilvl="6" w:tplc="2AC05A08">
      <w:numFmt w:val="bullet"/>
      <w:lvlText w:val="•"/>
      <w:lvlJc w:val="left"/>
      <w:pPr>
        <w:ind w:left="7644" w:hanging="495"/>
      </w:pPr>
      <w:rPr>
        <w:rFonts w:hint="default"/>
        <w:lang w:val="en-US" w:eastAsia="en-US" w:bidi="ar-SA"/>
      </w:rPr>
    </w:lvl>
    <w:lvl w:ilvl="7" w:tplc="4716A99E">
      <w:numFmt w:val="bullet"/>
      <w:lvlText w:val="•"/>
      <w:lvlJc w:val="left"/>
      <w:pPr>
        <w:ind w:left="8605" w:hanging="495"/>
      </w:pPr>
      <w:rPr>
        <w:rFonts w:hint="default"/>
        <w:lang w:val="en-US" w:eastAsia="en-US" w:bidi="ar-SA"/>
      </w:rPr>
    </w:lvl>
    <w:lvl w:ilvl="8" w:tplc="AF5CF90A">
      <w:numFmt w:val="bullet"/>
      <w:lvlText w:val="•"/>
      <w:lvlJc w:val="left"/>
      <w:pPr>
        <w:ind w:left="9565" w:hanging="495"/>
      </w:pPr>
      <w:rPr>
        <w:rFonts w:hint="default"/>
        <w:lang w:val="en-US" w:eastAsia="en-US" w:bidi="ar-SA"/>
      </w:rPr>
    </w:lvl>
  </w:abstractNum>
  <w:abstractNum w:abstractNumId="226" w15:restartNumberingAfterBreak="0">
    <w:nsid w:val="78012380"/>
    <w:multiLevelType w:val="multilevel"/>
    <w:tmpl w:val="7FB271F0"/>
    <w:lvl w:ilvl="0">
      <w:start w:val="4"/>
      <w:numFmt w:val="decimal"/>
      <w:lvlText w:val="%1"/>
      <w:lvlJc w:val="left"/>
      <w:pPr>
        <w:ind w:left="1418" w:hanging="570"/>
      </w:pPr>
      <w:rPr>
        <w:rFonts w:hint="default"/>
        <w:lang w:val="en-US" w:eastAsia="en-US" w:bidi="ar-SA"/>
      </w:rPr>
    </w:lvl>
    <w:lvl w:ilvl="1">
      <w:numFmt w:val="decimal"/>
      <w:lvlText w:val="%1.%2"/>
      <w:lvlJc w:val="left"/>
      <w:pPr>
        <w:ind w:left="1418" w:hanging="570"/>
      </w:pPr>
      <w:rPr>
        <w:rFonts w:ascii="Times New Roman" w:eastAsia="Times New Roman" w:hAnsi="Times New Roman" w:cs="Times New Roman" w:hint="default"/>
        <w:b/>
        <w:bCs/>
        <w:i w:val="0"/>
        <w:iCs w:val="0"/>
        <w:color w:val="221F1F"/>
        <w:spacing w:val="-23"/>
        <w:w w:val="97"/>
        <w:sz w:val="22"/>
        <w:szCs w:val="22"/>
        <w:lang w:val="en-US" w:eastAsia="en-US" w:bidi="ar-SA"/>
      </w:rPr>
    </w:lvl>
    <w:lvl w:ilvl="2">
      <w:start w:val="1"/>
      <w:numFmt w:val="lowerRoman"/>
      <w:lvlText w:val="(%3)"/>
      <w:lvlJc w:val="left"/>
      <w:pPr>
        <w:ind w:left="1990" w:hanging="560"/>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202" w:hanging="560"/>
      </w:pPr>
      <w:rPr>
        <w:rFonts w:hint="default"/>
        <w:lang w:val="en-US" w:eastAsia="en-US" w:bidi="ar-SA"/>
      </w:rPr>
    </w:lvl>
    <w:lvl w:ilvl="4">
      <w:numFmt w:val="bullet"/>
      <w:lvlText w:val="•"/>
      <w:lvlJc w:val="left"/>
      <w:pPr>
        <w:ind w:left="5303" w:hanging="560"/>
      </w:pPr>
      <w:rPr>
        <w:rFonts w:hint="default"/>
        <w:lang w:val="en-US" w:eastAsia="en-US" w:bidi="ar-SA"/>
      </w:rPr>
    </w:lvl>
    <w:lvl w:ilvl="5">
      <w:numFmt w:val="bullet"/>
      <w:lvlText w:val="•"/>
      <w:lvlJc w:val="left"/>
      <w:pPr>
        <w:ind w:left="6404" w:hanging="560"/>
      </w:pPr>
      <w:rPr>
        <w:rFonts w:hint="default"/>
        <w:lang w:val="en-US" w:eastAsia="en-US" w:bidi="ar-SA"/>
      </w:rPr>
    </w:lvl>
    <w:lvl w:ilvl="6">
      <w:numFmt w:val="bullet"/>
      <w:lvlText w:val="•"/>
      <w:lvlJc w:val="left"/>
      <w:pPr>
        <w:ind w:left="7506" w:hanging="560"/>
      </w:pPr>
      <w:rPr>
        <w:rFonts w:hint="default"/>
        <w:lang w:val="en-US" w:eastAsia="en-US" w:bidi="ar-SA"/>
      </w:rPr>
    </w:lvl>
    <w:lvl w:ilvl="7">
      <w:numFmt w:val="bullet"/>
      <w:lvlText w:val="•"/>
      <w:lvlJc w:val="left"/>
      <w:pPr>
        <w:ind w:left="8607" w:hanging="560"/>
      </w:pPr>
      <w:rPr>
        <w:rFonts w:hint="default"/>
        <w:lang w:val="en-US" w:eastAsia="en-US" w:bidi="ar-SA"/>
      </w:rPr>
    </w:lvl>
    <w:lvl w:ilvl="8">
      <w:numFmt w:val="bullet"/>
      <w:lvlText w:val="•"/>
      <w:lvlJc w:val="left"/>
      <w:pPr>
        <w:ind w:left="9708" w:hanging="560"/>
      </w:pPr>
      <w:rPr>
        <w:rFonts w:hint="default"/>
        <w:lang w:val="en-US" w:eastAsia="en-US" w:bidi="ar-SA"/>
      </w:rPr>
    </w:lvl>
  </w:abstractNum>
  <w:abstractNum w:abstractNumId="227" w15:restartNumberingAfterBreak="0">
    <w:nsid w:val="78187391"/>
    <w:multiLevelType w:val="hybridMultilevel"/>
    <w:tmpl w:val="C12EA0E0"/>
    <w:lvl w:ilvl="0" w:tplc="49E8A2F2">
      <w:start w:val="1"/>
      <w:numFmt w:val="lowerLetter"/>
      <w:lvlText w:val="%1)"/>
      <w:lvlJc w:val="left"/>
      <w:pPr>
        <w:ind w:left="1868" w:hanging="447"/>
      </w:pPr>
      <w:rPr>
        <w:rFonts w:hint="default"/>
        <w:spacing w:val="0"/>
        <w:w w:val="100"/>
        <w:lang w:val="en-US" w:eastAsia="en-US" w:bidi="ar-SA"/>
      </w:rPr>
    </w:lvl>
    <w:lvl w:ilvl="1" w:tplc="96F847C0">
      <w:numFmt w:val="bullet"/>
      <w:lvlText w:val="•"/>
      <w:lvlJc w:val="left"/>
      <w:pPr>
        <w:ind w:left="2822" w:hanging="447"/>
      </w:pPr>
      <w:rPr>
        <w:rFonts w:hint="default"/>
        <w:lang w:val="en-US" w:eastAsia="en-US" w:bidi="ar-SA"/>
      </w:rPr>
    </w:lvl>
    <w:lvl w:ilvl="2" w:tplc="19F8A0F2">
      <w:numFmt w:val="bullet"/>
      <w:lvlText w:val="•"/>
      <w:lvlJc w:val="left"/>
      <w:pPr>
        <w:ind w:left="3785" w:hanging="447"/>
      </w:pPr>
      <w:rPr>
        <w:rFonts w:hint="default"/>
        <w:lang w:val="en-US" w:eastAsia="en-US" w:bidi="ar-SA"/>
      </w:rPr>
    </w:lvl>
    <w:lvl w:ilvl="3" w:tplc="F16C6AFE">
      <w:numFmt w:val="bullet"/>
      <w:lvlText w:val="•"/>
      <w:lvlJc w:val="left"/>
      <w:pPr>
        <w:ind w:left="4748" w:hanging="447"/>
      </w:pPr>
      <w:rPr>
        <w:rFonts w:hint="default"/>
        <w:lang w:val="en-US" w:eastAsia="en-US" w:bidi="ar-SA"/>
      </w:rPr>
    </w:lvl>
    <w:lvl w:ilvl="4" w:tplc="F57AF862">
      <w:numFmt w:val="bullet"/>
      <w:lvlText w:val="•"/>
      <w:lvlJc w:val="left"/>
      <w:pPr>
        <w:ind w:left="5710" w:hanging="447"/>
      </w:pPr>
      <w:rPr>
        <w:rFonts w:hint="default"/>
        <w:lang w:val="en-US" w:eastAsia="en-US" w:bidi="ar-SA"/>
      </w:rPr>
    </w:lvl>
    <w:lvl w:ilvl="5" w:tplc="6E88CFCC">
      <w:numFmt w:val="bullet"/>
      <w:lvlText w:val="•"/>
      <w:lvlJc w:val="left"/>
      <w:pPr>
        <w:ind w:left="6673" w:hanging="447"/>
      </w:pPr>
      <w:rPr>
        <w:rFonts w:hint="default"/>
        <w:lang w:val="en-US" w:eastAsia="en-US" w:bidi="ar-SA"/>
      </w:rPr>
    </w:lvl>
    <w:lvl w:ilvl="6" w:tplc="851ADB10">
      <w:numFmt w:val="bullet"/>
      <w:lvlText w:val="•"/>
      <w:lvlJc w:val="left"/>
      <w:pPr>
        <w:ind w:left="7636" w:hanging="447"/>
      </w:pPr>
      <w:rPr>
        <w:rFonts w:hint="default"/>
        <w:lang w:val="en-US" w:eastAsia="en-US" w:bidi="ar-SA"/>
      </w:rPr>
    </w:lvl>
    <w:lvl w:ilvl="7" w:tplc="7298A644">
      <w:numFmt w:val="bullet"/>
      <w:lvlText w:val="•"/>
      <w:lvlJc w:val="left"/>
      <w:pPr>
        <w:ind w:left="8599" w:hanging="447"/>
      </w:pPr>
      <w:rPr>
        <w:rFonts w:hint="default"/>
        <w:lang w:val="en-US" w:eastAsia="en-US" w:bidi="ar-SA"/>
      </w:rPr>
    </w:lvl>
    <w:lvl w:ilvl="8" w:tplc="2CD8E284">
      <w:numFmt w:val="bullet"/>
      <w:lvlText w:val="•"/>
      <w:lvlJc w:val="left"/>
      <w:pPr>
        <w:ind w:left="9561" w:hanging="447"/>
      </w:pPr>
      <w:rPr>
        <w:rFonts w:hint="default"/>
        <w:lang w:val="en-US" w:eastAsia="en-US" w:bidi="ar-SA"/>
      </w:rPr>
    </w:lvl>
  </w:abstractNum>
  <w:abstractNum w:abstractNumId="228" w15:restartNumberingAfterBreak="0">
    <w:nsid w:val="79CE23FB"/>
    <w:multiLevelType w:val="hybridMultilevel"/>
    <w:tmpl w:val="0AE69392"/>
    <w:lvl w:ilvl="0" w:tplc="BF523E82">
      <w:start w:val="1"/>
      <w:numFmt w:val="decimal"/>
      <w:lvlText w:val="%1."/>
      <w:lvlJc w:val="left"/>
      <w:pPr>
        <w:ind w:left="283" w:hanging="180"/>
      </w:pPr>
      <w:rPr>
        <w:rFonts w:ascii="Times New Roman" w:eastAsia="Times New Roman" w:hAnsi="Times New Roman" w:cs="Times New Roman" w:hint="default"/>
        <w:b w:val="0"/>
        <w:bCs w:val="0"/>
        <w:i w:val="0"/>
        <w:iCs w:val="0"/>
        <w:spacing w:val="0"/>
        <w:w w:val="99"/>
        <w:sz w:val="20"/>
        <w:szCs w:val="20"/>
        <w:lang w:val="en-US" w:eastAsia="en-US" w:bidi="ar-SA"/>
      </w:rPr>
    </w:lvl>
    <w:lvl w:ilvl="1" w:tplc="7674DB8E">
      <w:numFmt w:val="bullet"/>
      <w:lvlText w:val="•"/>
      <w:lvlJc w:val="left"/>
      <w:pPr>
        <w:ind w:left="472" w:hanging="180"/>
      </w:pPr>
      <w:rPr>
        <w:rFonts w:hint="default"/>
        <w:lang w:val="en-US" w:eastAsia="en-US" w:bidi="ar-SA"/>
      </w:rPr>
    </w:lvl>
    <w:lvl w:ilvl="2" w:tplc="6FC44C2A">
      <w:numFmt w:val="bullet"/>
      <w:lvlText w:val="•"/>
      <w:lvlJc w:val="left"/>
      <w:pPr>
        <w:ind w:left="665" w:hanging="180"/>
      </w:pPr>
      <w:rPr>
        <w:rFonts w:hint="default"/>
        <w:lang w:val="en-US" w:eastAsia="en-US" w:bidi="ar-SA"/>
      </w:rPr>
    </w:lvl>
    <w:lvl w:ilvl="3" w:tplc="6D749BCA">
      <w:numFmt w:val="bullet"/>
      <w:lvlText w:val="•"/>
      <w:lvlJc w:val="left"/>
      <w:pPr>
        <w:ind w:left="857" w:hanging="180"/>
      </w:pPr>
      <w:rPr>
        <w:rFonts w:hint="default"/>
        <w:lang w:val="en-US" w:eastAsia="en-US" w:bidi="ar-SA"/>
      </w:rPr>
    </w:lvl>
    <w:lvl w:ilvl="4" w:tplc="258CC3BA">
      <w:numFmt w:val="bullet"/>
      <w:lvlText w:val="•"/>
      <w:lvlJc w:val="left"/>
      <w:pPr>
        <w:ind w:left="1050" w:hanging="180"/>
      </w:pPr>
      <w:rPr>
        <w:rFonts w:hint="default"/>
        <w:lang w:val="en-US" w:eastAsia="en-US" w:bidi="ar-SA"/>
      </w:rPr>
    </w:lvl>
    <w:lvl w:ilvl="5" w:tplc="4EA0A57E">
      <w:numFmt w:val="bullet"/>
      <w:lvlText w:val="•"/>
      <w:lvlJc w:val="left"/>
      <w:pPr>
        <w:ind w:left="1243" w:hanging="180"/>
      </w:pPr>
      <w:rPr>
        <w:rFonts w:hint="default"/>
        <w:lang w:val="en-US" w:eastAsia="en-US" w:bidi="ar-SA"/>
      </w:rPr>
    </w:lvl>
    <w:lvl w:ilvl="6" w:tplc="42D07886">
      <w:numFmt w:val="bullet"/>
      <w:lvlText w:val="•"/>
      <w:lvlJc w:val="left"/>
      <w:pPr>
        <w:ind w:left="1435" w:hanging="180"/>
      </w:pPr>
      <w:rPr>
        <w:rFonts w:hint="default"/>
        <w:lang w:val="en-US" w:eastAsia="en-US" w:bidi="ar-SA"/>
      </w:rPr>
    </w:lvl>
    <w:lvl w:ilvl="7" w:tplc="37BA66FE">
      <w:numFmt w:val="bullet"/>
      <w:lvlText w:val="•"/>
      <w:lvlJc w:val="left"/>
      <w:pPr>
        <w:ind w:left="1628" w:hanging="180"/>
      </w:pPr>
      <w:rPr>
        <w:rFonts w:hint="default"/>
        <w:lang w:val="en-US" w:eastAsia="en-US" w:bidi="ar-SA"/>
      </w:rPr>
    </w:lvl>
    <w:lvl w:ilvl="8" w:tplc="91AA9378">
      <w:numFmt w:val="bullet"/>
      <w:lvlText w:val="•"/>
      <w:lvlJc w:val="left"/>
      <w:pPr>
        <w:ind w:left="1820" w:hanging="180"/>
      </w:pPr>
      <w:rPr>
        <w:rFonts w:hint="default"/>
        <w:lang w:val="en-US" w:eastAsia="en-US" w:bidi="ar-SA"/>
      </w:rPr>
    </w:lvl>
  </w:abstractNum>
  <w:abstractNum w:abstractNumId="229" w15:restartNumberingAfterBreak="0">
    <w:nsid w:val="7A4E56BB"/>
    <w:multiLevelType w:val="hybridMultilevel"/>
    <w:tmpl w:val="0E485534"/>
    <w:lvl w:ilvl="0" w:tplc="05AAAE34">
      <w:numFmt w:val="bullet"/>
      <w:lvlText w:val=""/>
      <w:lvlJc w:val="left"/>
      <w:pPr>
        <w:ind w:left="107" w:hanging="721"/>
      </w:pPr>
      <w:rPr>
        <w:rFonts w:ascii="Wingdings" w:eastAsia="Wingdings" w:hAnsi="Wingdings" w:cs="Wingdings" w:hint="default"/>
        <w:b w:val="0"/>
        <w:bCs w:val="0"/>
        <w:i w:val="0"/>
        <w:iCs w:val="0"/>
        <w:spacing w:val="0"/>
        <w:w w:val="100"/>
        <w:sz w:val="22"/>
        <w:szCs w:val="22"/>
        <w:lang w:val="en-US" w:eastAsia="en-US" w:bidi="ar-SA"/>
      </w:rPr>
    </w:lvl>
    <w:lvl w:ilvl="1" w:tplc="7FBA92CC">
      <w:numFmt w:val="bullet"/>
      <w:lvlText w:val="•"/>
      <w:lvlJc w:val="left"/>
      <w:pPr>
        <w:ind w:left="1085" w:hanging="721"/>
      </w:pPr>
      <w:rPr>
        <w:rFonts w:hint="default"/>
        <w:lang w:val="en-US" w:eastAsia="en-US" w:bidi="ar-SA"/>
      </w:rPr>
    </w:lvl>
    <w:lvl w:ilvl="2" w:tplc="04C2EDF6">
      <w:numFmt w:val="bullet"/>
      <w:lvlText w:val="•"/>
      <w:lvlJc w:val="left"/>
      <w:pPr>
        <w:ind w:left="2071" w:hanging="721"/>
      </w:pPr>
      <w:rPr>
        <w:rFonts w:hint="default"/>
        <w:lang w:val="en-US" w:eastAsia="en-US" w:bidi="ar-SA"/>
      </w:rPr>
    </w:lvl>
    <w:lvl w:ilvl="3" w:tplc="878C65F8">
      <w:numFmt w:val="bullet"/>
      <w:lvlText w:val="•"/>
      <w:lvlJc w:val="left"/>
      <w:pPr>
        <w:ind w:left="3057" w:hanging="721"/>
      </w:pPr>
      <w:rPr>
        <w:rFonts w:hint="default"/>
        <w:lang w:val="en-US" w:eastAsia="en-US" w:bidi="ar-SA"/>
      </w:rPr>
    </w:lvl>
    <w:lvl w:ilvl="4" w:tplc="492A4D78">
      <w:numFmt w:val="bullet"/>
      <w:lvlText w:val="•"/>
      <w:lvlJc w:val="left"/>
      <w:pPr>
        <w:ind w:left="4043" w:hanging="721"/>
      </w:pPr>
      <w:rPr>
        <w:rFonts w:hint="default"/>
        <w:lang w:val="en-US" w:eastAsia="en-US" w:bidi="ar-SA"/>
      </w:rPr>
    </w:lvl>
    <w:lvl w:ilvl="5" w:tplc="6C7EAA0C">
      <w:numFmt w:val="bullet"/>
      <w:lvlText w:val="•"/>
      <w:lvlJc w:val="left"/>
      <w:pPr>
        <w:ind w:left="5029" w:hanging="721"/>
      </w:pPr>
      <w:rPr>
        <w:rFonts w:hint="default"/>
        <w:lang w:val="en-US" w:eastAsia="en-US" w:bidi="ar-SA"/>
      </w:rPr>
    </w:lvl>
    <w:lvl w:ilvl="6" w:tplc="0EA09056">
      <w:numFmt w:val="bullet"/>
      <w:lvlText w:val="•"/>
      <w:lvlJc w:val="left"/>
      <w:pPr>
        <w:ind w:left="6015" w:hanging="721"/>
      </w:pPr>
      <w:rPr>
        <w:rFonts w:hint="default"/>
        <w:lang w:val="en-US" w:eastAsia="en-US" w:bidi="ar-SA"/>
      </w:rPr>
    </w:lvl>
    <w:lvl w:ilvl="7" w:tplc="D85AB6BA">
      <w:numFmt w:val="bullet"/>
      <w:lvlText w:val="•"/>
      <w:lvlJc w:val="left"/>
      <w:pPr>
        <w:ind w:left="7001" w:hanging="721"/>
      </w:pPr>
      <w:rPr>
        <w:rFonts w:hint="default"/>
        <w:lang w:val="en-US" w:eastAsia="en-US" w:bidi="ar-SA"/>
      </w:rPr>
    </w:lvl>
    <w:lvl w:ilvl="8" w:tplc="7A72E7D6">
      <w:numFmt w:val="bullet"/>
      <w:lvlText w:val="•"/>
      <w:lvlJc w:val="left"/>
      <w:pPr>
        <w:ind w:left="7987" w:hanging="721"/>
      </w:pPr>
      <w:rPr>
        <w:rFonts w:hint="default"/>
        <w:lang w:val="en-US" w:eastAsia="en-US" w:bidi="ar-SA"/>
      </w:rPr>
    </w:lvl>
  </w:abstractNum>
  <w:abstractNum w:abstractNumId="230" w15:restartNumberingAfterBreak="0">
    <w:nsid w:val="7A5B4B1B"/>
    <w:multiLevelType w:val="hybridMultilevel"/>
    <w:tmpl w:val="347E1644"/>
    <w:lvl w:ilvl="0" w:tplc="9A32D62C">
      <w:start w:val="1"/>
      <w:numFmt w:val="decimal"/>
      <w:lvlText w:val="%1."/>
      <w:lvlJc w:val="left"/>
      <w:pPr>
        <w:ind w:left="1076" w:hanging="361"/>
      </w:pPr>
      <w:rPr>
        <w:rFonts w:ascii="Times New Roman" w:eastAsia="Times New Roman" w:hAnsi="Times New Roman" w:cs="Times New Roman" w:hint="default"/>
        <w:b w:val="0"/>
        <w:bCs w:val="0"/>
        <w:i w:val="0"/>
        <w:iCs w:val="0"/>
        <w:color w:val="221F1F"/>
        <w:spacing w:val="-24"/>
        <w:w w:val="100"/>
        <w:sz w:val="22"/>
        <w:szCs w:val="22"/>
        <w:lang w:val="en-US" w:eastAsia="en-US" w:bidi="ar-SA"/>
      </w:rPr>
    </w:lvl>
    <w:lvl w:ilvl="1" w:tplc="18B6828C">
      <w:numFmt w:val="bullet"/>
      <w:lvlText w:val="•"/>
      <w:lvlJc w:val="left"/>
      <w:pPr>
        <w:ind w:left="2120" w:hanging="361"/>
      </w:pPr>
      <w:rPr>
        <w:rFonts w:hint="default"/>
        <w:lang w:val="en-US" w:eastAsia="en-US" w:bidi="ar-SA"/>
      </w:rPr>
    </w:lvl>
    <w:lvl w:ilvl="2" w:tplc="D91221E4">
      <w:numFmt w:val="bullet"/>
      <w:lvlText w:val="•"/>
      <w:lvlJc w:val="left"/>
      <w:pPr>
        <w:ind w:left="3161" w:hanging="361"/>
      </w:pPr>
      <w:rPr>
        <w:rFonts w:hint="default"/>
        <w:lang w:val="en-US" w:eastAsia="en-US" w:bidi="ar-SA"/>
      </w:rPr>
    </w:lvl>
    <w:lvl w:ilvl="3" w:tplc="9BA8FF0C">
      <w:numFmt w:val="bullet"/>
      <w:lvlText w:val="•"/>
      <w:lvlJc w:val="left"/>
      <w:pPr>
        <w:ind w:left="4202" w:hanging="361"/>
      </w:pPr>
      <w:rPr>
        <w:rFonts w:hint="default"/>
        <w:lang w:val="en-US" w:eastAsia="en-US" w:bidi="ar-SA"/>
      </w:rPr>
    </w:lvl>
    <w:lvl w:ilvl="4" w:tplc="F5845FF2">
      <w:numFmt w:val="bullet"/>
      <w:lvlText w:val="•"/>
      <w:lvlJc w:val="left"/>
      <w:pPr>
        <w:ind w:left="5242" w:hanging="361"/>
      </w:pPr>
      <w:rPr>
        <w:rFonts w:hint="default"/>
        <w:lang w:val="en-US" w:eastAsia="en-US" w:bidi="ar-SA"/>
      </w:rPr>
    </w:lvl>
    <w:lvl w:ilvl="5" w:tplc="55F6599A">
      <w:numFmt w:val="bullet"/>
      <w:lvlText w:val="•"/>
      <w:lvlJc w:val="left"/>
      <w:pPr>
        <w:ind w:left="6283" w:hanging="361"/>
      </w:pPr>
      <w:rPr>
        <w:rFonts w:hint="default"/>
        <w:lang w:val="en-US" w:eastAsia="en-US" w:bidi="ar-SA"/>
      </w:rPr>
    </w:lvl>
    <w:lvl w:ilvl="6" w:tplc="E2A219FC">
      <w:numFmt w:val="bullet"/>
      <w:lvlText w:val="•"/>
      <w:lvlJc w:val="left"/>
      <w:pPr>
        <w:ind w:left="7324" w:hanging="361"/>
      </w:pPr>
      <w:rPr>
        <w:rFonts w:hint="default"/>
        <w:lang w:val="en-US" w:eastAsia="en-US" w:bidi="ar-SA"/>
      </w:rPr>
    </w:lvl>
    <w:lvl w:ilvl="7" w:tplc="4E4C48E6">
      <w:numFmt w:val="bullet"/>
      <w:lvlText w:val="•"/>
      <w:lvlJc w:val="left"/>
      <w:pPr>
        <w:ind w:left="8365" w:hanging="361"/>
      </w:pPr>
      <w:rPr>
        <w:rFonts w:hint="default"/>
        <w:lang w:val="en-US" w:eastAsia="en-US" w:bidi="ar-SA"/>
      </w:rPr>
    </w:lvl>
    <w:lvl w:ilvl="8" w:tplc="F614E39A">
      <w:numFmt w:val="bullet"/>
      <w:lvlText w:val="•"/>
      <w:lvlJc w:val="left"/>
      <w:pPr>
        <w:ind w:left="9405" w:hanging="361"/>
      </w:pPr>
      <w:rPr>
        <w:rFonts w:hint="default"/>
        <w:lang w:val="en-US" w:eastAsia="en-US" w:bidi="ar-SA"/>
      </w:rPr>
    </w:lvl>
  </w:abstractNum>
  <w:abstractNum w:abstractNumId="231" w15:restartNumberingAfterBreak="0">
    <w:nsid w:val="7AB553C6"/>
    <w:multiLevelType w:val="multilevel"/>
    <w:tmpl w:val="A5623292"/>
    <w:lvl w:ilvl="0">
      <w:start w:val="31"/>
      <w:numFmt w:val="decimal"/>
      <w:lvlText w:val="%1"/>
      <w:lvlJc w:val="left"/>
      <w:pPr>
        <w:ind w:left="1409" w:hanging="570"/>
      </w:pPr>
      <w:rPr>
        <w:rFonts w:hint="default"/>
        <w:lang w:val="en-US" w:eastAsia="en-US" w:bidi="ar-SA"/>
      </w:rPr>
    </w:lvl>
    <w:lvl w:ilvl="1">
      <w:numFmt w:val="decimal"/>
      <w:lvlText w:val="%1.%2"/>
      <w:lvlJc w:val="left"/>
      <w:pPr>
        <w:ind w:left="1409" w:hanging="570"/>
      </w:pPr>
      <w:rPr>
        <w:rFonts w:hint="default"/>
        <w:spacing w:val="-23"/>
        <w:w w:val="97"/>
        <w:lang w:val="en-US" w:eastAsia="en-US" w:bidi="ar-SA"/>
      </w:rPr>
    </w:lvl>
    <w:lvl w:ilvl="2">
      <w:start w:val="1"/>
      <w:numFmt w:val="lowerLetter"/>
      <w:lvlText w:val="%3)"/>
      <w:lvlJc w:val="left"/>
      <w:pPr>
        <w:ind w:left="1829" w:hanging="42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62" w:hanging="420"/>
      </w:pPr>
      <w:rPr>
        <w:rFonts w:hint="default"/>
        <w:lang w:val="en-US" w:eastAsia="en-US" w:bidi="ar-SA"/>
      </w:rPr>
    </w:lvl>
    <w:lvl w:ilvl="4">
      <w:numFmt w:val="bullet"/>
      <w:lvlText w:val="•"/>
      <w:lvlJc w:val="left"/>
      <w:pPr>
        <w:ind w:left="5183" w:hanging="420"/>
      </w:pPr>
      <w:rPr>
        <w:rFonts w:hint="default"/>
        <w:lang w:val="en-US" w:eastAsia="en-US" w:bidi="ar-SA"/>
      </w:rPr>
    </w:lvl>
    <w:lvl w:ilvl="5">
      <w:numFmt w:val="bullet"/>
      <w:lvlText w:val="•"/>
      <w:lvlJc w:val="left"/>
      <w:pPr>
        <w:ind w:left="6304" w:hanging="420"/>
      </w:pPr>
      <w:rPr>
        <w:rFonts w:hint="default"/>
        <w:lang w:val="en-US" w:eastAsia="en-US" w:bidi="ar-SA"/>
      </w:rPr>
    </w:lvl>
    <w:lvl w:ilvl="6">
      <w:numFmt w:val="bullet"/>
      <w:lvlText w:val="•"/>
      <w:lvlJc w:val="left"/>
      <w:pPr>
        <w:ind w:left="7426" w:hanging="420"/>
      </w:pPr>
      <w:rPr>
        <w:rFonts w:hint="default"/>
        <w:lang w:val="en-US" w:eastAsia="en-US" w:bidi="ar-SA"/>
      </w:rPr>
    </w:lvl>
    <w:lvl w:ilvl="7">
      <w:numFmt w:val="bullet"/>
      <w:lvlText w:val="•"/>
      <w:lvlJc w:val="left"/>
      <w:pPr>
        <w:ind w:left="8547" w:hanging="420"/>
      </w:pPr>
      <w:rPr>
        <w:rFonts w:hint="default"/>
        <w:lang w:val="en-US" w:eastAsia="en-US" w:bidi="ar-SA"/>
      </w:rPr>
    </w:lvl>
    <w:lvl w:ilvl="8">
      <w:numFmt w:val="bullet"/>
      <w:lvlText w:val="•"/>
      <w:lvlJc w:val="left"/>
      <w:pPr>
        <w:ind w:left="9668" w:hanging="420"/>
      </w:pPr>
      <w:rPr>
        <w:rFonts w:hint="default"/>
        <w:lang w:val="en-US" w:eastAsia="en-US" w:bidi="ar-SA"/>
      </w:rPr>
    </w:lvl>
  </w:abstractNum>
  <w:abstractNum w:abstractNumId="232" w15:restartNumberingAfterBreak="0">
    <w:nsid w:val="7AF1352A"/>
    <w:multiLevelType w:val="multilevel"/>
    <w:tmpl w:val="82882122"/>
    <w:lvl w:ilvl="0">
      <w:start w:val="21"/>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Letter"/>
      <w:lvlText w:val="%3)"/>
      <w:lvlJc w:val="left"/>
      <w:pPr>
        <w:ind w:left="1846" w:hanging="4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start w:val="1"/>
      <w:numFmt w:val="lowerRoman"/>
      <w:lvlText w:val="%4)"/>
      <w:lvlJc w:val="left"/>
      <w:pPr>
        <w:ind w:left="2213" w:hanging="35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numFmt w:val="bullet"/>
      <w:lvlText w:val="•"/>
      <w:lvlJc w:val="left"/>
      <w:pPr>
        <w:ind w:left="4642" w:hanging="353"/>
      </w:pPr>
      <w:rPr>
        <w:rFonts w:hint="default"/>
        <w:lang w:val="en-US" w:eastAsia="en-US" w:bidi="ar-SA"/>
      </w:rPr>
    </w:lvl>
    <w:lvl w:ilvl="5">
      <w:numFmt w:val="bullet"/>
      <w:lvlText w:val="•"/>
      <w:lvlJc w:val="left"/>
      <w:pPr>
        <w:ind w:left="5854" w:hanging="353"/>
      </w:pPr>
      <w:rPr>
        <w:rFonts w:hint="default"/>
        <w:lang w:val="en-US" w:eastAsia="en-US" w:bidi="ar-SA"/>
      </w:rPr>
    </w:lvl>
    <w:lvl w:ilvl="6">
      <w:numFmt w:val="bullet"/>
      <w:lvlText w:val="•"/>
      <w:lvlJc w:val="left"/>
      <w:pPr>
        <w:ind w:left="7065" w:hanging="353"/>
      </w:pPr>
      <w:rPr>
        <w:rFonts w:hint="default"/>
        <w:lang w:val="en-US" w:eastAsia="en-US" w:bidi="ar-SA"/>
      </w:rPr>
    </w:lvl>
    <w:lvl w:ilvl="7">
      <w:numFmt w:val="bullet"/>
      <w:lvlText w:val="•"/>
      <w:lvlJc w:val="left"/>
      <w:pPr>
        <w:ind w:left="8277" w:hanging="353"/>
      </w:pPr>
      <w:rPr>
        <w:rFonts w:hint="default"/>
        <w:lang w:val="en-US" w:eastAsia="en-US" w:bidi="ar-SA"/>
      </w:rPr>
    </w:lvl>
    <w:lvl w:ilvl="8">
      <w:numFmt w:val="bullet"/>
      <w:lvlText w:val="•"/>
      <w:lvlJc w:val="left"/>
      <w:pPr>
        <w:ind w:left="9488" w:hanging="353"/>
      </w:pPr>
      <w:rPr>
        <w:rFonts w:hint="default"/>
        <w:lang w:val="en-US" w:eastAsia="en-US" w:bidi="ar-SA"/>
      </w:rPr>
    </w:lvl>
  </w:abstractNum>
  <w:abstractNum w:abstractNumId="233" w15:restartNumberingAfterBreak="0">
    <w:nsid w:val="7B2634F3"/>
    <w:multiLevelType w:val="hybridMultilevel"/>
    <w:tmpl w:val="FF8ADA2C"/>
    <w:lvl w:ilvl="0" w:tplc="6BCAB2A6">
      <w:start w:val="1"/>
      <w:numFmt w:val="lowerLetter"/>
      <w:lvlText w:val="%1)"/>
      <w:lvlJc w:val="left"/>
      <w:pPr>
        <w:ind w:left="1721" w:hanging="44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19A97F8">
      <w:numFmt w:val="bullet"/>
      <w:lvlText w:val="•"/>
      <w:lvlJc w:val="left"/>
      <w:pPr>
        <w:ind w:left="2696" w:hanging="449"/>
      </w:pPr>
      <w:rPr>
        <w:rFonts w:hint="default"/>
        <w:lang w:val="en-US" w:eastAsia="en-US" w:bidi="ar-SA"/>
      </w:rPr>
    </w:lvl>
    <w:lvl w:ilvl="2" w:tplc="730890DC">
      <w:numFmt w:val="bullet"/>
      <w:lvlText w:val="•"/>
      <w:lvlJc w:val="left"/>
      <w:pPr>
        <w:ind w:left="3673" w:hanging="449"/>
      </w:pPr>
      <w:rPr>
        <w:rFonts w:hint="default"/>
        <w:lang w:val="en-US" w:eastAsia="en-US" w:bidi="ar-SA"/>
      </w:rPr>
    </w:lvl>
    <w:lvl w:ilvl="3" w:tplc="ADA072F0">
      <w:numFmt w:val="bullet"/>
      <w:lvlText w:val="•"/>
      <w:lvlJc w:val="left"/>
      <w:pPr>
        <w:ind w:left="4650" w:hanging="449"/>
      </w:pPr>
      <w:rPr>
        <w:rFonts w:hint="default"/>
        <w:lang w:val="en-US" w:eastAsia="en-US" w:bidi="ar-SA"/>
      </w:rPr>
    </w:lvl>
    <w:lvl w:ilvl="4" w:tplc="006A4336">
      <w:numFmt w:val="bullet"/>
      <w:lvlText w:val="•"/>
      <w:lvlJc w:val="left"/>
      <w:pPr>
        <w:ind w:left="5626" w:hanging="449"/>
      </w:pPr>
      <w:rPr>
        <w:rFonts w:hint="default"/>
        <w:lang w:val="en-US" w:eastAsia="en-US" w:bidi="ar-SA"/>
      </w:rPr>
    </w:lvl>
    <w:lvl w:ilvl="5" w:tplc="F43AFC12">
      <w:numFmt w:val="bullet"/>
      <w:lvlText w:val="•"/>
      <w:lvlJc w:val="left"/>
      <w:pPr>
        <w:ind w:left="6603" w:hanging="449"/>
      </w:pPr>
      <w:rPr>
        <w:rFonts w:hint="default"/>
        <w:lang w:val="en-US" w:eastAsia="en-US" w:bidi="ar-SA"/>
      </w:rPr>
    </w:lvl>
    <w:lvl w:ilvl="6" w:tplc="FEB87A3E">
      <w:numFmt w:val="bullet"/>
      <w:lvlText w:val="•"/>
      <w:lvlJc w:val="left"/>
      <w:pPr>
        <w:ind w:left="7580" w:hanging="449"/>
      </w:pPr>
      <w:rPr>
        <w:rFonts w:hint="default"/>
        <w:lang w:val="en-US" w:eastAsia="en-US" w:bidi="ar-SA"/>
      </w:rPr>
    </w:lvl>
    <w:lvl w:ilvl="7" w:tplc="08F4EDBE">
      <w:numFmt w:val="bullet"/>
      <w:lvlText w:val="•"/>
      <w:lvlJc w:val="left"/>
      <w:pPr>
        <w:ind w:left="8557" w:hanging="449"/>
      </w:pPr>
      <w:rPr>
        <w:rFonts w:hint="default"/>
        <w:lang w:val="en-US" w:eastAsia="en-US" w:bidi="ar-SA"/>
      </w:rPr>
    </w:lvl>
    <w:lvl w:ilvl="8" w:tplc="318A0C8C">
      <w:numFmt w:val="bullet"/>
      <w:lvlText w:val="•"/>
      <w:lvlJc w:val="left"/>
      <w:pPr>
        <w:ind w:left="9533" w:hanging="449"/>
      </w:pPr>
      <w:rPr>
        <w:rFonts w:hint="default"/>
        <w:lang w:val="en-US" w:eastAsia="en-US" w:bidi="ar-SA"/>
      </w:rPr>
    </w:lvl>
  </w:abstractNum>
  <w:abstractNum w:abstractNumId="234" w15:restartNumberingAfterBreak="0">
    <w:nsid w:val="7B967F01"/>
    <w:multiLevelType w:val="hybridMultilevel"/>
    <w:tmpl w:val="519A106E"/>
    <w:lvl w:ilvl="0" w:tplc="B046ED3C">
      <w:start w:val="10"/>
      <w:numFmt w:val="decimal"/>
      <w:lvlText w:val="%1.0"/>
      <w:lvlJc w:val="left"/>
      <w:pPr>
        <w:ind w:left="1615"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8527946">
      <w:numFmt w:val="bullet"/>
      <w:lvlText w:val="•"/>
      <w:lvlJc w:val="left"/>
      <w:pPr>
        <w:ind w:left="2649" w:hanging="769"/>
      </w:pPr>
      <w:rPr>
        <w:rFonts w:hint="default"/>
        <w:lang w:val="en-US" w:eastAsia="en-US" w:bidi="ar-SA"/>
      </w:rPr>
    </w:lvl>
    <w:lvl w:ilvl="2" w:tplc="18E8F5A2">
      <w:numFmt w:val="bullet"/>
      <w:lvlText w:val="•"/>
      <w:lvlJc w:val="left"/>
      <w:pPr>
        <w:ind w:left="3678" w:hanging="769"/>
      </w:pPr>
      <w:rPr>
        <w:rFonts w:hint="default"/>
        <w:lang w:val="en-US" w:eastAsia="en-US" w:bidi="ar-SA"/>
      </w:rPr>
    </w:lvl>
    <w:lvl w:ilvl="3" w:tplc="0E701DFC">
      <w:numFmt w:val="bullet"/>
      <w:lvlText w:val="•"/>
      <w:lvlJc w:val="left"/>
      <w:pPr>
        <w:ind w:left="4707" w:hanging="769"/>
      </w:pPr>
      <w:rPr>
        <w:rFonts w:hint="default"/>
        <w:lang w:val="en-US" w:eastAsia="en-US" w:bidi="ar-SA"/>
      </w:rPr>
    </w:lvl>
    <w:lvl w:ilvl="4" w:tplc="D6F2826E">
      <w:numFmt w:val="bullet"/>
      <w:lvlText w:val="•"/>
      <w:lvlJc w:val="left"/>
      <w:pPr>
        <w:ind w:left="5736" w:hanging="769"/>
      </w:pPr>
      <w:rPr>
        <w:rFonts w:hint="default"/>
        <w:lang w:val="en-US" w:eastAsia="en-US" w:bidi="ar-SA"/>
      </w:rPr>
    </w:lvl>
    <w:lvl w:ilvl="5" w:tplc="2B4EB250">
      <w:numFmt w:val="bullet"/>
      <w:lvlText w:val="•"/>
      <w:lvlJc w:val="left"/>
      <w:pPr>
        <w:ind w:left="6765" w:hanging="769"/>
      </w:pPr>
      <w:rPr>
        <w:rFonts w:hint="default"/>
        <w:lang w:val="en-US" w:eastAsia="en-US" w:bidi="ar-SA"/>
      </w:rPr>
    </w:lvl>
    <w:lvl w:ilvl="6" w:tplc="5D5E7420">
      <w:numFmt w:val="bullet"/>
      <w:lvlText w:val="•"/>
      <w:lvlJc w:val="left"/>
      <w:pPr>
        <w:ind w:left="7794" w:hanging="769"/>
      </w:pPr>
      <w:rPr>
        <w:rFonts w:hint="default"/>
        <w:lang w:val="en-US" w:eastAsia="en-US" w:bidi="ar-SA"/>
      </w:rPr>
    </w:lvl>
    <w:lvl w:ilvl="7" w:tplc="573E394C">
      <w:numFmt w:val="bullet"/>
      <w:lvlText w:val="•"/>
      <w:lvlJc w:val="left"/>
      <w:pPr>
        <w:ind w:left="8823" w:hanging="769"/>
      </w:pPr>
      <w:rPr>
        <w:rFonts w:hint="default"/>
        <w:lang w:val="en-US" w:eastAsia="en-US" w:bidi="ar-SA"/>
      </w:rPr>
    </w:lvl>
    <w:lvl w:ilvl="8" w:tplc="A2181E56">
      <w:numFmt w:val="bullet"/>
      <w:lvlText w:val="•"/>
      <w:lvlJc w:val="left"/>
      <w:pPr>
        <w:ind w:left="9852" w:hanging="769"/>
      </w:pPr>
      <w:rPr>
        <w:rFonts w:hint="default"/>
        <w:lang w:val="en-US" w:eastAsia="en-US" w:bidi="ar-SA"/>
      </w:rPr>
    </w:lvl>
  </w:abstractNum>
  <w:abstractNum w:abstractNumId="235" w15:restartNumberingAfterBreak="0">
    <w:nsid w:val="7BBF1609"/>
    <w:multiLevelType w:val="hybridMultilevel"/>
    <w:tmpl w:val="24BED4F6"/>
    <w:lvl w:ilvl="0" w:tplc="979497C0">
      <w:start w:val="1"/>
      <w:numFmt w:val="lowerLetter"/>
      <w:lvlText w:val="(%1)"/>
      <w:lvlJc w:val="left"/>
      <w:pPr>
        <w:ind w:left="1280" w:hanging="567"/>
      </w:pPr>
      <w:rPr>
        <w:rFonts w:ascii="Times New Roman" w:eastAsia="Times New Roman" w:hAnsi="Times New Roman" w:cs="Times New Roman" w:hint="default"/>
        <w:b/>
        <w:bCs/>
        <w:i w:val="0"/>
        <w:iCs w:val="0"/>
        <w:color w:val="221F1F"/>
        <w:spacing w:val="0"/>
        <w:w w:val="100"/>
        <w:sz w:val="22"/>
        <w:szCs w:val="22"/>
        <w:lang w:val="en-US" w:eastAsia="en-US" w:bidi="ar-SA"/>
      </w:rPr>
    </w:lvl>
    <w:lvl w:ilvl="1" w:tplc="0FCA0622">
      <w:start w:val="1"/>
      <w:numFmt w:val="decimal"/>
      <w:lvlText w:val="%2."/>
      <w:lvlJc w:val="left"/>
      <w:pPr>
        <w:ind w:left="1157" w:hanging="44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B80E7872">
      <w:numFmt w:val="bullet"/>
      <w:lvlText w:val="•"/>
      <w:lvlJc w:val="left"/>
      <w:pPr>
        <w:ind w:left="2414" w:hanging="445"/>
      </w:pPr>
      <w:rPr>
        <w:rFonts w:hint="default"/>
        <w:lang w:val="en-US" w:eastAsia="en-US" w:bidi="ar-SA"/>
      </w:rPr>
    </w:lvl>
    <w:lvl w:ilvl="3" w:tplc="16A88F28">
      <w:numFmt w:val="bullet"/>
      <w:lvlText w:val="•"/>
      <w:lvlJc w:val="left"/>
      <w:pPr>
        <w:ind w:left="3548" w:hanging="445"/>
      </w:pPr>
      <w:rPr>
        <w:rFonts w:hint="default"/>
        <w:lang w:val="en-US" w:eastAsia="en-US" w:bidi="ar-SA"/>
      </w:rPr>
    </w:lvl>
    <w:lvl w:ilvl="4" w:tplc="7B085CEC">
      <w:numFmt w:val="bullet"/>
      <w:lvlText w:val="•"/>
      <w:lvlJc w:val="left"/>
      <w:pPr>
        <w:ind w:left="4682" w:hanging="445"/>
      </w:pPr>
      <w:rPr>
        <w:rFonts w:hint="default"/>
        <w:lang w:val="en-US" w:eastAsia="en-US" w:bidi="ar-SA"/>
      </w:rPr>
    </w:lvl>
    <w:lvl w:ilvl="5" w:tplc="3494A1C0">
      <w:numFmt w:val="bullet"/>
      <w:lvlText w:val="•"/>
      <w:lvlJc w:val="left"/>
      <w:pPr>
        <w:ind w:left="5816" w:hanging="445"/>
      </w:pPr>
      <w:rPr>
        <w:rFonts w:hint="default"/>
        <w:lang w:val="en-US" w:eastAsia="en-US" w:bidi="ar-SA"/>
      </w:rPr>
    </w:lvl>
    <w:lvl w:ilvl="6" w:tplc="B408297C">
      <w:numFmt w:val="bullet"/>
      <w:lvlText w:val="•"/>
      <w:lvlJc w:val="left"/>
      <w:pPr>
        <w:ind w:left="6950" w:hanging="445"/>
      </w:pPr>
      <w:rPr>
        <w:rFonts w:hint="default"/>
        <w:lang w:val="en-US" w:eastAsia="en-US" w:bidi="ar-SA"/>
      </w:rPr>
    </w:lvl>
    <w:lvl w:ilvl="7" w:tplc="C2CA35B0">
      <w:numFmt w:val="bullet"/>
      <w:lvlText w:val="•"/>
      <w:lvlJc w:val="left"/>
      <w:pPr>
        <w:ind w:left="8084" w:hanging="445"/>
      </w:pPr>
      <w:rPr>
        <w:rFonts w:hint="default"/>
        <w:lang w:val="en-US" w:eastAsia="en-US" w:bidi="ar-SA"/>
      </w:rPr>
    </w:lvl>
    <w:lvl w:ilvl="8" w:tplc="15D88004">
      <w:numFmt w:val="bullet"/>
      <w:lvlText w:val="•"/>
      <w:lvlJc w:val="left"/>
      <w:pPr>
        <w:ind w:left="9218" w:hanging="445"/>
      </w:pPr>
      <w:rPr>
        <w:rFonts w:hint="default"/>
        <w:lang w:val="en-US" w:eastAsia="en-US" w:bidi="ar-SA"/>
      </w:rPr>
    </w:lvl>
  </w:abstractNum>
  <w:abstractNum w:abstractNumId="236" w15:restartNumberingAfterBreak="0">
    <w:nsid w:val="7BD31E4F"/>
    <w:multiLevelType w:val="multilevel"/>
    <w:tmpl w:val="5DEECE38"/>
    <w:lvl w:ilvl="0">
      <w:start w:val="1"/>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817"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62" w:hanging="416"/>
      </w:pPr>
      <w:rPr>
        <w:rFonts w:hint="default"/>
        <w:lang w:val="en-US" w:eastAsia="en-US" w:bidi="ar-SA"/>
      </w:rPr>
    </w:lvl>
    <w:lvl w:ilvl="4">
      <w:numFmt w:val="bullet"/>
      <w:lvlText w:val="•"/>
      <w:lvlJc w:val="left"/>
      <w:pPr>
        <w:ind w:left="5183" w:hanging="416"/>
      </w:pPr>
      <w:rPr>
        <w:rFonts w:hint="default"/>
        <w:lang w:val="en-US" w:eastAsia="en-US" w:bidi="ar-SA"/>
      </w:rPr>
    </w:lvl>
    <w:lvl w:ilvl="5">
      <w:numFmt w:val="bullet"/>
      <w:lvlText w:val="•"/>
      <w:lvlJc w:val="left"/>
      <w:pPr>
        <w:ind w:left="6304" w:hanging="416"/>
      </w:pPr>
      <w:rPr>
        <w:rFonts w:hint="default"/>
        <w:lang w:val="en-US" w:eastAsia="en-US" w:bidi="ar-SA"/>
      </w:rPr>
    </w:lvl>
    <w:lvl w:ilvl="6">
      <w:numFmt w:val="bullet"/>
      <w:lvlText w:val="•"/>
      <w:lvlJc w:val="left"/>
      <w:pPr>
        <w:ind w:left="7426" w:hanging="416"/>
      </w:pPr>
      <w:rPr>
        <w:rFonts w:hint="default"/>
        <w:lang w:val="en-US" w:eastAsia="en-US" w:bidi="ar-SA"/>
      </w:rPr>
    </w:lvl>
    <w:lvl w:ilvl="7">
      <w:numFmt w:val="bullet"/>
      <w:lvlText w:val="•"/>
      <w:lvlJc w:val="left"/>
      <w:pPr>
        <w:ind w:left="8547" w:hanging="416"/>
      </w:pPr>
      <w:rPr>
        <w:rFonts w:hint="default"/>
        <w:lang w:val="en-US" w:eastAsia="en-US" w:bidi="ar-SA"/>
      </w:rPr>
    </w:lvl>
    <w:lvl w:ilvl="8">
      <w:numFmt w:val="bullet"/>
      <w:lvlText w:val="•"/>
      <w:lvlJc w:val="left"/>
      <w:pPr>
        <w:ind w:left="9668" w:hanging="416"/>
      </w:pPr>
      <w:rPr>
        <w:rFonts w:hint="default"/>
        <w:lang w:val="en-US" w:eastAsia="en-US" w:bidi="ar-SA"/>
      </w:rPr>
    </w:lvl>
  </w:abstractNum>
  <w:abstractNum w:abstractNumId="237" w15:restartNumberingAfterBreak="0">
    <w:nsid w:val="7C3C54FE"/>
    <w:multiLevelType w:val="hybridMultilevel"/>
    <w:tmpl w:val="D3A61A8C"/>
    <w:lvl w:ilvl="0" w:tplc="F092A156">
      <w:start w:val="1"/>
      <w:numFmt w:val="lowerLetter"/>
      <w:lvlText w:val="%1)"/>
      <w:lvlJc w:val="left"/>
      <w:pPr>
        <w:ind w:left="1875" w:hanging="45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9CA478A">
      <w:numFmt w:val="bullet"/>
      <w:lvlText w:val="•"/>
      <w:lvlJc w:val="left"/>
      <w:pPr>
        <w:ind w:left="2840" w:hanging="456"/>
      </w:pPr>
      <w:rPr>
        <w:rFonts w:hint="default"/>
        <w:lang w:val="en-US" w:eastAsia="en-US" w:bidi="ar-SA"/>
      </w:rPr>
    </w:lvl>
    <w:lvl w:ilvl="2" w:tplc="F8E29124">
      <w:numFmt w:val="bullet"/>
      <w:lvlText w:val="•"/>
      <w:lvlJc w:val="left"/>
      <w:pPr>
        <w:ind w:left="3801" w:hanging="456"/>
      </w:pPr>
      <w:rPr>
        <w:rFonts w:hint="default"/>
        <w:lang w:val="en-US" w:eastAsia="en-US" w:bidi="ar-SA"/>
      </w:rPr>
    </w:lvl>
    <w:lvl w:ilvl="3" w:tplc="B2608EEC">
      <w:numFmt w:val="bullet"/>
      <w:lvlText w:val="•"/>
      <w:lvlJc w:val="left"/>
      <w:pPr>
        <w:ind w:left="4762" w:hanging="456"/>
      </w:pPr>
      <w:rPr>
        <w:rFonts w:hint="default"/>
        <w:lang w:val="en-US" w:eastAsia="en-US" w:bidi="ar-SA"/>
      </w:rPr>
    </w:lvl>
    <w:lvl w:ilvl="4" w:tplc="72B8687A">
      <w:numFmt w:val="bullet"/>
      <w:lvlText w:val="•"/>
      <w:lvlJc w:val="left"/>
      <w:pPr>
        <w:ind w:left="5722" w:hanging="456"/>
      </w:pPr>
      <w:rPr>
        <w:rFonts w:hint="default"/>
        <w:lang w:val="en-US" w:eastAsia="en-US" w:bidi="ar-SA"/>
      </w:rPr>
    </w:lvl>
    <w:lvl w:ilvl="5" w:tplc="877E9642">
      <w:numFmt w:val="bullet"/>
      <w:lvlText w:val="•"/>
      <w:lvlJc w:val="left"/>
      <w:pPr>
        <w:ind w:left="6683" w:hanging="456"/>
      </w:pPr>
      <w:rPr>
        <w:rFonts w:hint="default"/>
        <w:lang w:val="en-US" w:eastAsia="en-US" w:bidi="ar-SA"/>
      </w:rPr>
    </w:lvl>
    <w:lvl w:ilvl="6" w:tplc="F44CD26A">
      <w:numFmt w:val="bullet"/>
      <w:lvlText w:val="•"/>
      <w:lvlJc w:val="left"/>
      <w:pPr>
        <w:ind w:left="7644" w:hanging="456"/>
      </w:pPr>
      <w:rPr>
        <w:rFonts w:hint="default"/>
        <w:lang w:val="en-US" w:eastAsia="en-US" w:bidi="ar-SA"/>
      </w:rPr>
    </w:lvl>
    <w:lvl w:ilvl="7" w:tplc="CBA03E4A">
      <w:numFmt w:val="bullet"/>
      <w:lvlText w:val="•"/>
      <w:lvlJc w:val="left"/>
      <w:pPr>
        <w:ind w:left="8605" w:hanging="456"/>
      </w:pPr>
      <w:rPr>
        <w:rFonts w:hint="default"/>
        <w:lang w:val="en-US" w:eastAsia="en-US" w:bidi="ar-SA"/>
      </w:rPr>
    </w:lvl>
    <w:lvl w:ilvl="8" w:tplc="F9BC60FC">
      <w:numFmt w:val="bullet"/>
      <w:lvlText w:val="•"/>
      <w:lvlJc w:val="left"/>
      <w:pPr>
        <w:ind w:left="9565" w:hanging="456"/>
      </w:pPr>
      <w:rPr>
        <w:rFonts w:hint="default"/>
        <w:lang w:val="en-US" w:eastAsia="en-US" w:bidi="ar-SA"/>
      </w:rPr>
    </w:lvl>
  </w:abstractNum>
  <w:abstractNum w:abstractNumId="238" w15:restartNumberingAfterBreak="0">
    <w:nsid w:val="7C633202"/>
    <w:multiLevelType w:val="hybridMultilevel"/>
    <w:tmpl w:val="5BF2CB82"/>
    <w:lvl w:ilvl="0" w:tplc="DA6869B2">
      <w:start w:val="1"/>
      <w:numFmt w:val="decimal"/>
      <w:lvlText w:val="%1."/>
      <w:lvlJc w:val="left"/>
      <w:pPr>
        <w:ind w:left="355" w:hanging="214"/>
      </w:pPr>
      <w:rPr>
        <w:rFonts w:ascii="Times New Roman" w:eastAsia="Times New Roman" w:hAnsi="Times New Roman" w:cs="Times New Roman" w:hint="default"/>
        <w:b w:val="0"/>
        <w:bCs w:val="0"/>
        <w:i w:val="0"/>
        <w:iCs w:val="0"/>
        <w:spacing w:val="-3"/>
        <w:w w:val="100"/>
        <w:sz w:val="22"/>
        <w:szCs w:val="22"/>
        <w:lang w:val="en-US" w:eastAsia="en-US" w:bidi="ar-SA"/>
      </w:rPr>
    </w:lvl>
    <w:lvl w:ilvl="1" w:tplc="4ABEF0B0">
      <w:numFmt w:val="bullet"/>
      <w:lvlText w:val=""/>
      <w:lvlJc w:val="left"/>
      <w:pPr>
        <w:ind w:left="141" w:hanging="248"/>
      </w:pPr>
      <w:rPr>
        <w:rFonts w:ascii="Wingdings" w:eastAsia="Wingdings" w:hAnsi="Wingdings" w:cs="Wingdings" w:hint="default"/>
        <w:b w:val="0"/>
        <w:bCs w:val="0"/>
        <w:i w:val="0"/>
        <w:iCs w:val="0"/>
        <w:spacing w:val="0"/>
        <w:w w:val="100"/>
        <w:sz w:val="22"/>
        <w:szCs w:val="22"/>
        <w:lang w:val="en-US" w:eastAsia="en-US" w:bidi="ar-SA"/>
      </w:rPr>
    </w:lvl>
    <w:lvl w:ilvl="2" w:tplc="3984C76A">
      <w:numFmt w:val="bullet"/>
      <w:lvlText w:val="•"/>
      <w:lvlJc w:val="left"/>
      <w:pPr>
        <w:ind w:left="1361" w:hanging="248"/>
      </w:pPr>
      <w:rPr>
        <w:rFonts w:hint="default"/>
        <w:lang w:val="en-US" w:eastAsia="en-US" w:bidi="ar-SA"/>
      </w:rPr>
    </w:lvl>
    <w:lvl w:ilvl="3" w:tplc="ADE499AA">
      <w:numFmt w:val="bullet"/>
      <w:lvlText w:val="•"/>
      <w:lvlJc w:val="left"/>
      <w:pPr>
        <w:ind w:left="2362" w:hanging="248"/>
      </w:pPr>
      <w:rPr>
        <w:rFonts w:hint="default"/>
        <w:lang w:val="en-US" w:eastAsia="en-US" w:bidi="ar-SA"/>
      </w:rPr>
    </w:lvl>
    <w:lvl w:ilvl="4" w:tplc="BD5AD322">
      <w:numFmt w:val="bullet"/>
      <w:lvlText w:val="•"/>
      <w:lvlJc w:val="left"/>
      <w:pPr>
        <w:ind w:left="3363" w:hanging="248"/>
      </w:pPr>
      <w:rPr>
        <w:rFonts w:hint="default"/>
        <w:lang w:val="en-US" w:eastAsia="en-US" w:bidi="ar-SA"/>
      </w:rPr>
    </w:lvl>
    <w:lvl w:ilvl="5" w:tplc="6AA2570C">
      <w:numFmt w:val="bullet"/>
      <w:lvlText w:val="•"/>
      <w:lvlJc w:val="left"/>
      <w:pPr>
        <w:ind w:left="4364" w:hanging="248"/>
      </w:pPr>
      <w:rPr>
        <w:rFonts w:hint="default"/>
        <w:lang w:val="en-US" w:eastAsia="en-US" w:bidi="ar-SA"/>
      </w:rPr>
    </w:lvl>
    <w:lvl w:ilvl="6" w:tplc="DB027D9E">
      <w:numFmt w:val="bullet"/>
      <w:lvlText w:val="•"/>
      <w:lvlJc w:val="left"/>
      <w:pPr>
        <w:ind w:left="5365" w:hanging="248"/>
      </w:pPr>
      <w:rPr>
        <w:rFonts w:hint="default"/>
        <w:lang w:val="en-US" w:eastAsia="en-US" w:bidi="ar-SA"/>
      </w:rPr>
    </w:lvl>
    <w:lvl w:ilvl="7" w:tplc="933A8500">
      <w:numFmt w:val="bullet"/>
      <w:lvlText w:val="•"/>
      <w:lvlJc w:val="left"/>
      <w:pPr>
        <w:ind w:left="6366" w:hanging="248"/>
      </w:pPr>
      <w:rPr>
        <w:rFonts w:hint="default"/>
        <w:lang w:val="en-US" w:eastAsia="en-US" w:bidi="ar-SA"/>
      </w:rPr>
    </w:lvl>
    <w:lvl w:ilvl="8" w:tplc="BC545290">
      <w:numFmt w:val="bullet"/>
      <w:lvlText w:val="•"/>
      <w:lvlJc w:val="left"/>
      <w:pPr>
        <w:ind w:left="7367" w:hanging="248"/>
      </w:pPr>
      <w:rPr>
        <w:rFonts w:hint="default"/>
        <w:lang w:val="en-US" w:eastAsia="en-US" w:bidi="ar-SA"/>
      </w:rPr>
    </w:lvl>
  </w:abstractNum>
  <w:abstractNum w:abstractNumId="239" w15:restartNumberingAfterBreak="0">
    <w:nsid w:val="7CBF095F"/>
    <w:multiLevelType w:val="hybridMultilevel"/>
    <w:tmpl w:val="4C06D17A"/>
    <w:lvl w:ilvl="0" w:tplc="D402D764">
      <w:start w:val="1"/>
      <w:numFmt w:val="lowerLetter"/>
      <w:lvlText w:val="%1)"/>
      <w:lvlJc w:val="left"/>
      <w:pPr>
        <w:ind w:left="1880" w:hanging="480"/>
      </w:pPr>
      <w:rPr>
        <w:rFonts w:hint="default"/>
        <w:spacing w:val="0"/>
        <w:w w:val="100"/>
        <w:lang w:val="en-US" w:eastAsia="en-US" w:bidi="ar-SA"/>
      </w:rPr>
    </w:lvl>
    <w:lvl w:ilvl="1" w:tplc="A5BEEFB6">
      <w:numFmt w:val="bullet"/>
      <w:lvlText w:val="•"/>
      <w:lvlJc w:val="left"/>
      <w:pPr>
        <w:ind w:left="2840" w:hanging="480"/>
      </w:pPr>
      <w:rPr>
        <w:rFonts w:hint="default"/>
        <w:lang w:val="en-US" w:eastAsia="en-US" w:bidi="ar-SA"/>
      </w:rPr>
    </w:lvl>
    <w:lvl w:ilvl="2" w:tplc="A91AEA24">
      <w:numFmt w:val="bullet"/>
      <w:lvlText w:val="•"/>
      <w:lvlJc w:val="left"/>
      <w:pPr>
        <w:ind w:left="3801" w:hanging="480"/>
      </w:pPr>
      <w:rPr>
        <w:rFonts w:hint="default"/>
        <w:lang w:val="en-US" w:eastAsia="en-US" w:bidi="ar-SA"/>
      </w:rPr>
    </w:lvl>
    <w:lvl w:ilvl="3" w:tplc="264232FE">
      <w:numFmt w:val="bullet"/>
      <w:lvlText w:val="•"/>
      <w:lvlJc w:val="left"/>
      <w:pPr>
        <w:ind w:left="4762" w:hanging="480"/>
      </w:pPr>
      <w:rPr>
        <w:rFonts w:hint="default"/>
        <w:lang w:val="en-US" w:eastAsia="en-US" w:bidi="ar-SA"/>
      </w:rPr>
    </w:lvl>
    <w:lvl w:ilvl="4" w:tplc="82BCF322">
      <w:numFmt w:val="bullet"/>
      <w:lvlText w:val="•"/>
      <w:lvlJc w:val="left"/>
      <w:pPr>
        <w:ind w:left="5722" w:hanging="480"/>
      </w:pPr>
      <w:rPr>
        <w:rFonts w:hint="default"/>
        <w:lang w:val="en-US" w:eastAsia="en-US" w:bidi="ar-SA"/>
      </w:rPr>
    </w:lvl>
    <w:lvl w:ilvl="5" w:tplc="17B038A0">
      <w:numFmt w:val="bullet"/>
      <w:lvlText w:val="•"/>
      <w:lvlJc w:val="left"/>
      <w:pPr>
        <w:ind w:left="6683" w:hanging="480"/>
      </w:pPr>
      <w:rPr>
        <w:rFonts w:hint="default"/>
        <w:lang w:val="en-US" w:eastAsia="en-US" w:bidi="ar-SA"/>
      </w:rPr>
    </w:lvl>
    <w:lvl w:ilvl="6" w:tplc="B14E9E58">
      <w:numFmt w:val="bullet"/>
      <w:lvlText w:val="•"/>
      <w:lvlJc w:val="left"/>
      <w:pPr>
        <w:ind w:left="7644" w:hanging="480"/>
      </w:pPr>
      <w:rPr>
        <w:rFonts w:hint="default"/>
        <w:lang w:val="en-US" w:eastAsia="en-US" w:bidi="ar-SA"/>
      </w:rPr>
    </w:lvl>
    <w:lvl w:ilvl="7" w:tplc="42F080F6">
      <w:numFmt w:val="bullet"/>
      <w:lvlText w:val="•"/>
      <w:lvlJc w:val="left"/>
      <w:pPr>
        <w:ind w:left="8605" w:hanging="480"/>
      </w:pPr>
      <w:rPr>
        <w:rFonts w:hint="default"/>
        <w:lang w:val="en-US" w:eastAsia="en-US" w:bidi="ar-SA"/>
      </w:rPr>
    </w:lvl>
    <w:lvl w:ilvl="8" w:tplc="DC7C29EA">
      <w:numFmt w:val="bullet"/>
      <w:lvlText w:val="•"/>
      <w:lvlJc w:val="left"/>
      <w:pPr>
        <w:ind w:left="9565" w:hanging="480"/>
      </w:pPr>
      <w:rPr>
        <w:rFonts w:hint="default"/>
        <w:lang w:val="en-US" w:eastAsia="en-US" w:bidi="ar-SA"/>
      </w:rPr>
    </w:lvl>
  </w:abstractNum>
  <w:abstractNum w:abstractNumId="240" w15:restartNumberingAfterBreak="0">
    <w:nsid w:val="7DF72E61"/>
    <w:multiLevelType w:val="hybridMultilevel"/>
    <w:tmpl w:val="E7007138"/>
    <w:lvl w:ilvl="0" w:tplc="0652FC4C">
      <w:start w:val="1"/>
      <w:numFmt w:val="lowerLetter"/>
      <w:lvlText w:val="%1)"/>
      <w:lvlJc w:val="left"/>
      <w:pPr>
        <w:ind w:left="1882"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48AB662">
      <w:numFmt w:val="bullet"/>
      <w:lvlText w:val="•"/>
      <w:lvlJc w:val="left"/>
      <w:pPr>
        <w:ind w:left="2840" w:hanging="509"/>
      </w:pPr>
      <w:rPr>
        <w:rFonts w:hint="default"/>
        <w:lang w:val="en-US" w:eastAsia="en-US" w:bidi="ar-SA"/>
      </w:rPr>
    </w:lvl>
    <w:lvl w:ilvl="2" w:tplc="4342B436">
      <w:numFmt w:val="bullet"/>
      <w:lvlText w:val="•"/>
      <w:lvlJc w:val="left"/>
      <w:pPr>
        <w:ind w:left="3801" w:hanging="509"/>
      </w:pPr>
      <w:rPr>
        <w:rFonts w:hint="default"/>
        <w:lang w:val="en-US" w:eastAsia="en-US" w:bidi="ar-SA"/>
      </w:rPr>
    </w:lvl>
    <w:lvl w:ilvl="3" w:tplc="120EE9E6">
      <w:numFmt w:val="bullet"/>
      <w:lvlText w:val="•"/>
      <w:lvlJc w:val="left"/>
      <w:pPr>
        <w:ind w:left="4762" w:hanging="509"/>
      </w:pPr>
      <w:rPr>
        <w:rFonts w:hint="default"/>
        <w:lang w:val="en-US" w:eastAsia="en-US" w:bidi="ar-SA"/>
      </w:rPr>
    </w:lvl>
    <w:lvl w:ilvl="4" w:tplc="E19E1306">
      <w:numFmt w:val="bullet"/>
      <w:lvlText w:val="•"/>
      <w:lvlJc w:val="left"/>
      <w:pPr>
        <w:ind w:left="5722" w:hanging="509"/>
      </w:pPr>
      <w:rPr>
        <w:rFonts w:hint="default"/>
        <w:lang w:val="en-US" w:eastAsia="en-US" w:bidi="ar-SA"/>
      </w:rPr>
    </w:lvl>
    <w:lvl w:ilvl="5" w:tplc="36FA77CA">
      <w:numFmt w:val="bullet"/>
      <w:lvlText w:val="•"/>
      <w:lvlJc w:val="left"/>
      <w:pPr>
        <w:ind w:left="6683" w:hanging="509"/>
      </w:pPr>
      <w:rPr>
        <w:rFonts w:hint="default"/>
        <w:lang w:val="en-US" w:eastAsia="en-US" w:bidi="ar-SA"/>
      </w:rPr>
    </w:lvl>
    <w:lvl w:ilvl="6" w:tplc="EB9A27C4">
      <w:numFmt w:val="bullet"/>
      <w:lvlText w:val="•"/>
      <w:lvlJc w:val="left"/>
      <w:pPr>
        <w:ind w:left="7644" w:hanging="509"/>
      </w:pPr>
      <w:rPr>
        <w:rFonts w:hint="default"/>
        <w:lang w:val="en-US" w:eastAsia="en-US" w:bidi="ar-SA"/>
      </w:rPr>
    </w:lvl>
    <w:lvl w:ilvl="7" w:tplc="E45C491A">
      <w:numFmt w:val="bullet"/>
      <w:lvlText w:val="•"/>
      <w:lvlJc w:val="left"/>
      <w:pPr>
        <w:ind w:left="8605" w:hanging="509"/>
      </w:pPr>
      <w:rPr>
        <w:rFonts w:hint="default"/>
        <w:lang w:val="en-US" w:eastAsia="en-US" w:bidi="ar-SA"/>
      </w:rPr>
    </w:lvl>
    <w:lvl w:ilvl="8" w:tplc="ED36EF98">
      <w:numFmt w:val="bullet"/>
      <w:lvlText w:val="•"/>
      <w:lvlJc w:val="left"/>
      <w:pPr>
        <w:ind w:left="9565" w:hanging="509"/>
      </w:pPr>
      <w:rPr>
        <w:rFonts w:hint="default"/>
        <w:lang w:val="en-US" w:eastAsia="en-US" w:bidi="ar-SA"/>
      </w:rPr>
    </w:lvl>
  </w:abstractNum>
  <w:abstractNum w:abstractNumId="241" w15:restartNumberingAfterBreak="0">
    <w:nsid w:val="7DFE4C6C"/>
    <w:multiLevelType w:val="hybridMultilevel"/>
    <w:tmpl w:val="3DAEC2DA"/>
    <w:lvl w:ilvl="0" w:tplc="C22805F4">
      <w:start w:val="1"/>
      <w:numFmt w:val="decimal"/>
      <w:lvlText w:val="%1."/>
      <w:lvlJc w:val="left"/>
      <w:pPr>
        <w:ind w:left="1241" w:hanging="570"/>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B9D0F838">
      <w:start w:val="1"/>
      <w:numFmt w:val="lowerLetter"/>
      <w:lvlText w:val="%2)"/>
      <w:lvlJc w:val="left"/>
      <w:pPr>
        <w:ind w:left="1813" w:hanging="3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1A383204">
      <w:numFmt w:val="bullet"/>
      <w:lvlText w:val="•"/>
      <w:lvlJc w:val="left"/>
      <w:pPr>
        <w:ind w:left="2894" w:hanging="344"/>
      </w:pPr>
      <w:rPr>
        <w:rFonts w:hint="default"/>
        <w:lang w:val="en-US" w:eastAsia="en-US" w:bidi="ar-SA"/>
      </w:rPr>
    </w:lvl>
    <w:lvl w:ilvl="3" w:tplc="32DA329C">
      <w:numFmt w:val="bullet"/>
      <w:lvlText w:val="•"/>
      <w:lvlJc w:val="left"/>
      <w:pPr>
        <w:ind w:left="3968" w:hanging="344"/>
      </w:pPr>
      <w:rPr>
        <w:rFonts w:hint="default"/>
        <w:lang w:val="en-US" w:eastAsia="en-US" w:bidi="ar-SA"/>
      </w:rPr>
    </w:lvl>
    <w:lvl w:ilvl="4" w:tplc="DFC0484E">
      <w:numFmt w:val="bullet"/>
      <w:lvlText w:val="•"/>
      <w:lvlJc w:val="left"/>
      <w:pPr>
        <w:ind w:left="5042" w:hanging="344"/>
      </w:pPr>
      <w:rPr>
        <w:rFonts w:hint="default"/>
        <w:lang w:val="en-US" w:eastAsia="en-US" w:bidi="ar-SA"/>
      </w:rPr>
    </w:lvl>
    <w:lvl w:ilvl="5" w:tplc="6F684EBC">
      <w:numFmt w:val="bullet"/>
      <w:lvlText w:val="•"/>
      <w:lvlJc w:val="left"/>
      <w:pPr>
        <w:ind w:left="6116" w:hanging="344"/>
      </w:pPr>
      <w:rPr>
        <w:rFonts w:hint="default"/>
        <w:lang w:val="en-US" w:eastAsia="en-US" w:bidi="ar-SA"/>
      </w:rPr>
    </w:lvl>
    <w:lvl w:ilvl="6" w:tplc="03C611A6">
      <w:numFmt w:val="bullet"/>
      <w:lvlText w:val="•"/>
      <w:lvlJc w:val="left"/>
      <w:pPr>
        <w:ind w:left="7190" w:hanging="344"/>
      </w:pPr>
      <w:rPr>
        <w:rFonts w:hint="default"/>
        <w:lang w:val="en-US" w:eastAsia="en-US" w:bidi="ar-SA"/>
      </w:rPr>
    </w:lvl>
    <w:lvl w:ilvl="7" w:tplc="88EC608C">
      <w:numFmt w:val="bullet"/>
      <w:lvlText w:val="•"/>
      <w:lvlJc w:val="left"/>
      <w:pPr>
        <w:ind w:left="8264" w:hanging="344"/>
      </w:pPr>
      <w:rPr>
        <w:rFonts w:hint="default"/>
        <w:lang w:val="en-US" w:eastAsia="en-US" w:bidi="ar-SA"/>
      </w:rPr>
    </w:lvl>
    <w:lvl w:ilvl="8" w:tplc="39AE3A48">
      <w:numFmt w:val="bullet"/>
      <w:lvlText w:val="•"/>
      <w:lvlJc w:val="left"/>
      <w:pPr>
        <w:ind w:left="9338" w:hanging="344"/>
      </w:pPr>
      <w:rPr>
        <w:rFonts w:hint="default"/>
        <w:lang w:val="en-US" w:eastAsia="en-US" w:bidi="ar-SA"/>
      </w:rPr>
    </w:lvl>
  </w:abstractNum>
  <w:abstractNum w:abstractNumId="242" w15:restartNumberingAfterBreak="0">
    <w:nsid w:val="7E056886"/>
    <w:multiLevelType w:val="hybridMultilevel"/>
    <w:tmpl w:val="7882829E"/>
    <w:lvl w:ilvl="0" w:tplc="63A2BBCA">
      <w:start w:val="1"/>
      <w:numFmt w:val="decimal"/>
      <w:lvlText w:val="%1"/>
      <w:lvlJc w:val="left"/>
      <w:pPr>
        <w:ind w:left="156" w:hanging="151"/>
      </w:pPr>
      <w:rPr>
        <w:rFonts w:ascii="Times New Roman" w:eastAsia="Times New Roman" w:hAnsi="Times New Roman" w:cs="Times New Roman" w:hint="default"/>
        <w:b w:val="0"/>
        <w:bCs w:val="0"/>
        <w:i w:val="0"/>
        <w:iCs w:val="0"/>
        <w:spacing w:val="0"/>
        <w:w w:val="99"/>
        <w:sz w:val="20"/>
        <w:szCs w:val="20"/>
        <w:lang w:val="en-US" w:eastAsia="en-US" w:bidi="ar-SA"/>
      </w:rPr>
    </w:lvl>
    <w:lvl w:ilvl="1" w:tplc="DC8C619E">
      <w:start w:val="1"/>
      <w:numFmt w:val="decimal"/>
      <w:lvlText w:val="%2."/>
      <w:lvlJc w:val="left"/>
      <w:pPr>
        <w:ind w:left="335" w:hanging="222"/>
      </w:pPr>
      <w:rPr>
        <w:rFonts w:ascii="Times New Roman" w:eastAsia="Times New Roman" w:hAnsi="Times New Roman" w:cs="Times New Roman" w:hint="default"/>
        <w:b w:val="0"/>
        <w:bCs w:val="0"/>
        <w:i w:val="0"/>
        <w:iCs w:val="0"/>
        <w:spacing w:val="0"/>
        <w:w w:val="100"/>
        <w:sz w:val="22"/>
        <w:szCs w:val="22"/>
        <w:lang w:val="en-US" w:eastAsia="en-US" w:bidi="ar-SA"/>
      </w:rPr>
    </w:lvl>
    <w:lvl w:ilvl="2" w:tplc="70085E3E">
      <w:numFmt w:val="bullet"/>
      <w:lvlText w:val="•"/>
      <w:lvlJc w:val="left"/>
      <w:pPr>
        <w:ind w:left="881" w:hanging="222"/>
      </w:pPr>
      <w:rPr>
        <w:rFonts w:hint="default"/>
        <w:lang w:val="en-US" w:eastAsia="en-US" w:bidi="ar-SA"/>
      </w:rPr>
    </w:lvl>
    <w:lvl w:ilvl="3" w:tplc="C712B8EC">
      <w:numFmt w:val="bullet"/>
      <w:lvlText w:val="•"/>
      <w:lvlJc w:val="left"/>
      <w:pPr>
        <w:ind w:left="1422" w:hanging="222"/>
      </w:pPr>
      <w:rPr>
        <w:rFonts w:hint="default"/>
        <w:lang w:val="en-US" w:eastAsia="en-US" w:bidi="ar-SA"/>
      </w:rPr>
    </w:lvl>
    <w:lvl w:ilvl="4" w:tplc="D0060C7A">
      <w:numFmt w:val="bullet"/>
      <w:lvlText w:val="•"/>
      <w:lvlJc w:val="left"/>
      <w:pPr>
        <w:ind w:left="1964" w:hanging="222"/>
      </w:pPr>
      <w:rPr>
        <w:rFonts w:hint="default"/>
        <w:lang w:val="en-US" w:eastAsia="en-US" w:bidi="ar-SA"/>
      </w:rPr>
    </w:lvl>
    <w:lvl w:ilvl="5" w:tplc="16A4D73C">
      <w:numFmt w:val="bullet"/>
      <w:lvlText w:val="•"/>
      <w:lvlJc w:val="left"/>
      <w:pPr>
        <w:ind w:left="2505" w:hanging="222"/>
      </w:pPr>
      <w:rPr>
        <w:rFonts w:hint="default"/>
        <w:lang w:val="en-US" w:eastAsia="en-US" w:bidi="ar-SA"/>
      </w:rPr>
    </w:lvl>
    <w:lvl w:ilvl="6" w:tplc="C51C6284">
      <w:numFmt w:val="bullet"/>
      <w:lvlText w:val="•"/>
      <w:lvlJc w:val="left"/>
      <w:pPr>
        <w:ind w:left="3047" w:hanging="222"/>
      </w:pPr>
      <w:rPr>
        <w:rFonts w:hint="default"/>
        <w:lang w:val="en-US" w:eastAsia="en-US" w:bidi="ar-SA"/>
      </w:rPr>
    </w:lvl>
    <w:lvl w:ilvl="7" w:tplc="F4EA42A4">
      <w:numFmt w:val="bullet"/>
      <w:lvlText w:val="•"/>
      <w:lvlJc w:val="left"/>
      <w:pPr>
        <w:ind w:left="3588" w:hanging="222"/>
      </w:pPr>
      <w:rPr>
        <w:rFonts w:hint="default"/>
        <w:lang w:val="en-US" w:eastAsia="en-US" w:bidi="ar-SA"/>
      </w:rPr>
    </w:lvl>
    <w:lvl w:ilvl="8" w:tplc="F0D01B78">
      <w:numFmt w:val="bullet"/>
      <w:lvlText w:val="•"/>
      <w:lvlJc w:val="left"/>
      <w:pPr>
        <w:ind w:left="4130" w:hanging="222"/>
      </w:pPr>
      <w:rPr>
        <w:rFonts w:hint="default"/>
        <w:lang w:val="en-US" w:eastAsia="en-US" w:bidi="ar-SA"/>
      </w:rPr>
    </w:lvl>
  </w:abstractNum>
  <w:abstractNum w:abstractNumId="243" w15:restartNumberingAfterBreak="0">
    <w:nsid w:val="7E525487"/>
    <w:multiLevelType w:val="hybridMultilevel"/>
    <w:tmpl w:val="1F1E28C4"/>
    <w:lvl w:ilvl="0" w:tplc="48E009F0">
      <w:start w:val="1"/>
      <w:numFmt w:val="lowerLetter"/>
      <w:lvlText w:val="%1)"/>
      <w:lvlJc w:val="left"/>
      <w:pPr>
        <w:ind w:left="1873"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384698C">
      <w:numFmt w:val="bullet"/>
      <w:lvlText w:val="•"/>
      <w:lvlJc w:val="left"/>
      <w:pPr>
        <w:ind w:left="2840" w:hanging="447"/>
      </w:pPr>
      <w:rPr>
        <w:rFonts w:hint="default"/>
        <w:lang w:val="en-US" w:eastAsia="en-US" w:bidi="ar-SA"/>
      </w:rPr>
    </w:lvl>
    <w:lvl w:ilvl="2" w:tplc="B0E60F2A">
      <w:numFmt w:val="bullet"/>
      <w:lvlText w:val="•"/>
      <w:lvlJc w:val="left"/>
      <w:pPr>
        <w:ind w:left="3801" w:hanging="447"/>
      </w:pPr>
      <w:rPr>
        <w:rFonts w:hint="default"/>
        <w:lang w:val="en-US" w:eastAsia="en-US" w:bidi="ar-SA"/>
      </w:rPr>
    </w:lvl>
    <w:lvl w:ilvl="3" w:tplc="18B8A23C">
      <w:numFmt w:val="bullet"/>
      <w:lvlText w:val="•"/>
      <w:lvlJc w:val="left"/>
      <w:pPr>
        <w:ind w:left="4762" w:hanging="447"/>
      </w:pPr>
      <w:rPr>
        <w:rFonts w:hint="default"/>
        <w:lang w:val="en-US" w:eastAsia="en-US" w:bidi="ar-SA"/>
      </w:rPr>
    </w:lvl>
    <w:lvl w:ilvl="4" w:tplc="4DB47BD6">
      <w:numFmt w:val="bullet"/>
      <w:lvlText w:val="•"/>
      <w:lvlJc w:val="left"/>
      <w:pPr>
        <w:ind w:left="5722" w:hanging="447"/>
      </w:pPr>
      <w:rPr>
        <w:rFonts w:hint="default"/>
        <w:lang w:val="en-US" w:eastAsia="en-US" w:bidi="ar-SA"/>
      </w:rPr>
    </w:lvl>
    <w:lvl w:ilvl="5" w:tplc="462ED836">
      <w:numFmt w:val="bullet"/>
      <w:lvlText w:val="•"/>
      <w:lvlJc w:val="left"/>
      <w:pPr>
        <w:ind w:left="6683" w:hanging="447"/>
      </w:pPr>
      <w:rPr>
        <w:rFonts w:hint="default"/>
        <w:lang w:val="en-US" w:eastAsia="en-US" w:bidi="ar-SA"/>
      </w:rPr>
    </w:lvl>
    <w:lvl w:ilvl="6" w:tplc="40067E80">
      <w:numFmt w:val="bullet"/>
      <w:lvlText w:val="•"/>
      <w:lvlJc w:val="left"/>
      <w:pPr>
        <w:ind w:left="7644" w:hanging="447"/>
      </w:pPr>
      <w:rPr>
        <w:rFonts w:hint="default"/>
        <w:lang w:val="en-US" w:eastAsia="en-US" w:bidi="ar-SA"/>
      </w:rPr>
    </w:lvl>
    <w:lvl w:ilvl="7" w:tplc="94FAB2EC">
      <w:numFmt w:val="bullet"/>
      <w:lvlText w:val="•"/>
      <w:lvlJc w:val="left"/>
      <w:pPr>
        <w:ind w:left="8605" w:hanging="447"/>
      </w:pPr>
      <w:rPr>
        <w:rFonts w:hint="default"/>
        <w:lang w:val="en-US" w:eastAsia="en-US" w:bidi="ar-SA"/>
      </w:rPr>
    </w:lvl>
    <w:lvl w:ilvl="8" w:tplc="924A90DE">
      <w:numFmt w:val="bullet"/>
      <w:lvlText w:val="•"/>
      <w:lvlJc w:val="left"/>
      <w:pPr>
        <w:ind w:left="9565" w:hanging="447"/>
      </w:pPr>
      <w:rPr>
        <w:rFonts w:hint="default"/>
        <w:lang w:val="en-US" w:eastAsia="en-US" w:bidi="ar-SA"/>
      </w:rPr>
    </w:lvl>
  </w:abstractNum>
  <w:abstractNum w:abstractNumId="244" w15:restartNumberingAfterBreak="0">
    <w:nsid w:val="7EF02029"/>
    <w:multiLevelType w:val="hybridMultilevel"/>
    <w:tmpl w:val="1C6A4EAE"/>
    <w:lvl w:ilvl="0" w:tplc="E62CC290">
      <w:start w:val="1"/>
      <w:numFmt w:val="decimal"/>
      <w:lvlText w:val="%1."/>
      <w:lvlJc w:val="left"/>
      <w:pPr>
        <w:ind w:left="283" w:hanging="180"/>
      </w:pPr>
      <w:rPr>
        <w:rFonts w:ascii="Times New Roman" w:eastAsia="Times New Roman" w:hAnsi="Times New Roman" w:cs="Times New Roman" w:hint="default"/>
        <w:b w:val="0"/>
        <w:bCs w:val="0"/>
        <w:i w:val="0"/>
        <w:iCs w:val="0"/>
        <w:spacing w:val="0"/>
        <w:w w:val="99"/>
        <w:sz w:val="20"/>
        <w:szCs w:val="20"/>
        <w:lang w:val="en-US" w:eastAsia="en-US" w:bidi="ar-SA"/>
      </w:rPr>
    </w:lvl>
    <w:lvl w:ilvl="1" w:tplc="8040AE1A">
      <w:numFmt w:val="bullet"/>
      <w:lvlText w:val="•"/>
      <w:lvlJc w:val="left"/>
      <w:pPr>
        <w:ind w:left="449" w:hanging="180"/>
      </w:pPr>
      <w:rPr>
        <w:rFonts w:hint="default"/>
        <w:lang w:val="en-US" w:eastAsia="en-US" w:bidi="ar-SA"/>
      </w:rPr>
    </w:lvl>
    <w:lvl w:ilvl="2" w:tplc="A1326882">
      <w:numFmt w:val="bullet"/>
      <w:lvlText w:val="•"/>
      <w:lvlJc w:val="left"/>
      <w:pPr>
        <w:ind w:left="618" w:hanging="180"/>
      </w:pPr>
      <w:rPr>
        <w:rFonts w:hint="default"/>
        <w:lang w:val="en-US" w:eastAsia="en-US" w:bidi="ar-SA"/>
      </w:rPr>
    </w:lvl>
    <w:lvl w:ilvl="3" w:tplc="A7308142">
      <w:numFmt w:val="bullet"/>
      <w:lvlText w:val="•"/>
      <w:lvlJc w:val="left"/>
      <w:pPr>
        <w:ind w:left="788" w:hanging="180"/>
      </w:pPr>
      <w:rPr>
        <w:rFonts w:hint="default"/>
        <w:lang w:val="en-US" w:eastAsia="en-US" w:bidi="ar-SA"/>
      </w:rPr>
    </w:lvl>
    <w:lvl w:ilvl="4" w:tplc="4610628C">
      <w:numFmt w:val="bullet"/>
      <w:lvlText w:val="•"/>
      <w:lvlJc w:val="left"/>
      <w:pPr>
        <w:ind w:left="957" w:hanging="180"/>
      </w:pPr>
      <w:rPr>
        <w:rFonts w:hint="default"/>
        <w:lang w:val="en-US" w:eastAsia="en-US" w:bidi="ar-SA"/>
      </w:rPr>
    </w:lvl>
    <w:lvl w:ilvl="5" w:tplc="1C00751E">
      <w:numFmt w:val="bullet"/>
      <w:lvlText w:val="•"/>
      <w:lvlJc w:val="left"/>
      <w:pPr>
        <w:ind w:left="1127" w:hanging="180"/>
      </w:pPr>
      <w:rPr>
        <w:rFonts w:hint="default"/>
        <w:lang w:val="en-US" w:eastAsia="en-US" w:bidi="ar-SA"/>
      </w:rPr>
    </w:lvl>
    <w:lvl w:ilvl="6" w:tplc="A4221736">
      <w:numFmt w:val="bullet"/>
      <w:lvlText w:val="•"/>
      <w:lvlJc w:val="left"/>
      <w:pPr>
        <w:ind w:left="1296" w:hanging="180"/>
      </w:pPr>
      <w:rPr>
        <w:rFonts w:hint="default"/>
        <w:lang w:val="en-US" w:eastAsia="en-US" w:bidi="ar-SA"/>
      </w:rPr>
    </w:lvl>
    <w:lvl w:ilvl="7" w:tplc="E7A0624A">
      <w:numFmt w:val="bullet"/>
      <w:lvlText w:val="•"/>
      <w:lvlJc w:val="left"/>
      <w:pPr>
        <w:ind w:left="1465" w:hanging="180"/>
      </w:pPr>
      <w:rPr>
        <w:rFonts w:hint="default"/>
        <w:lang w:val="en-US" w:eastAsia="en-US" w:bidi="ar-SA"/>
      </w:rPr>
    </w:lvl>
    <w:lvl w:ilvl="8" w:tplc="245AFCD6">
      <w:numFmt w:val="bullet"/>
      <w:lvlText w:val="•"/>
      <w:lvlJc w:val="left"/>
      <w:pPr>
        <w:ind w:left="1635" w:hanging="180"/>
      </w:pPr>
      <w:rPr>
        <w:rFonts w:hint="default"/>
        <w:lang w:val="en-US" w:eastAsia="en-US" w:bidi="ar-SA"/>
      </w:rPr>
    </w:lvl>
  </w:abstractNum>
  <w:abstractNum w:abstractNumId="245" w15:restartNumberingAfterBreak="0">
    <w:nsid w:val="7F203F88"/>
    <w:multiLevelType w:val="hybridMultilevel"/>
    <w:tmpl w:val="2DA80E90"/>
    <w:lvl w:ilvl="0" w:tplc="08B0861C">
      <w:start w:val="1"/>
      <w:numFmt w:val="lowerLetter"/>
      <w:lvlText w:val="%1)"/>
      <w:lvlJc w:val="left"/>
      <w:pPr>
        <w:ind w:left="187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39EE022">
      <w:numFmt w:val="bullet"/>
      <w:lvlText w:val="•"/>
      <w:lvlJc w:val="left"/>
      <w:pPr>
        <w:ind w:left="2840" w:hanging="495"/>
      </w:pPr>
      <w:rPr>
        <w:rFonts w:hint="default"/>
        <w:lang w:val="en-US" w:eastAsia="en-US" w:bidi="ar-SA"/>
      </w:rPr>
    </w:lvl>
    <w:lvl w:ilvl="2" w:tplc="25102780">
      <w:numFmt w:val="bullet"/>
      <w:lvlText w:val="•"/>
      <w:lvlJc w:val="left"/>
      <w:pPr>
        <w:ind w:left="3801" w:hanging="495"/>
      </w:pPr>
      <w:rPr>
        <w:rFonts w:hint="default"/>
        <w:lang w:val="en-US" w:eastAsia="en-US" w:bidi="ar-SA"/>
      </w:rPr>
    </w:lvl>
    <w:lvl w:ilvl="3" w:tplc="D8CC8592">
      <w:numFmt w:val="bullet"/>
      <w:lvlText w:val="•"/>
      <w:lvlJc w:val="left"/>
      <w:pPr>
        <w:ind w:left="4762" w:hanging="495"/>
      </w:pPr>
      <w:rPr>
        <w:rFonts w:hint="default"/>
        <w:lang w:val="en-US" w:eastAsia="en-US" w:bidi="ar-SA"/>
      </w:rPr>
    </w:lvl>
    <w:lvl w:ilvl="4" w:tplc="CDF8342E">
      <w:numFmt w:val="bullet"/>
      <w:lvlText w:val="•"/>
      <w:lvlJc w:val="left"/>
      <w:pPr>
        <w:ind w:left="5722" w:hanging="495"/>
      </w:pPr>
      <w:rPr>
        <w:rFonts w:hint="default"/>
        <w:lang w:val="en-US" w:eastAsia="en-US" w:bidi="ar-SA"/>
      </w:rPr>
    </w:lvl>
    <w:lvl w:ilvl="5" w:tplc="33FCC1DE">
      <w:numFmt w:val="bullet"/>
      <w:lvlText w:val="•"/>
      <w:lvlJc w:val="left"/>
      <w:pPr>
        <w:ind w:left="6683" w:hanging="495"/>
      </w:pPr>
      <w:rPr>
        <w:rFonts w:hint="default"/>
        <w:lang w:val="en-US" w:eastAsia="en-US" w:bidi="ar-SA"/>
      </w:rPr>
    </w:lvl>
    <w:lvl w:ilvl="6" w:tplc="0C7A0104">
      <w:numFmt w:val="bullet"/>
      <w:lvlText w:val="•"/>
      <w:lvlJc w:val="left"/>
      <w:pPr>
        <w:ind w:left="7644" w:hanging="495"/>
      </w:pPr>
      <w:rPr>
        <w:rFonts w:hint="default"/>
        <w:lang w:val="en-US" w:eastAsia="en-US" w:bidi="ar-SA"/>
      </w:rPr>
    </w:lvl>
    <w:lvl w:ilvl="7" w:tplc="717E4CC8">
      <w:numFmt w:val="bullet"/>
      <w:lvlText w:val="•"/>
      <w:lvlJc w:val="left"/>
      <w:pPr>
        <w:ind w:left="8605" w:hanging="495"/>
      </w:pPr>
      <w:rPr>
        <w:rFonts w:hint="default"/>
        <w:lang w:val="en-US" w:eastAsia="en-US" w:bidi="ar-SA"/>
      </w:rPr>
    </w:lvl>
    <w:lvl w:ilvl="8" w:tplc="F39ADC34">
      <w:numFmt w:val="bullet"/>
      <w:lvlText w:val="•"/>
      <w:lvlJc w:val="left"/>
      <w:pPr>
        <w:ind w:left="9565" w:hanging="495"/>
      </w:pPr>
      <w:rPr>
        <w:rFonts w:hint="default"/>
        <w:lang w:val="en-US" w:eastAsia="en-US" w:bidi="ar-SA"/>
      </w:rPr>
    </w:lvl>
  </w:abstractNum>
  <w:abstractNum w:abstractNumId="246" w15:restartNumberingAfterBreak="0">
    <w:nsid w:val="7F2C19E0"/>
    <w:multiLevelType w:val="multilevel"/>
    <w:tmpl w:val="E8102B06"/>
    <w:lvl w:ilvl="0">
      <w:start w:val="15"/>
      <w:numFmt w:val="decimal"/>
      <w:lvlText w:val="%1"/>
      <w:lvlJc w:val="left"/>
      <w:pPr>
        <w:ind w:left="1399" w:hanging="560"/>
      </w:pPr>
      <w:rPr>
        <w:rFonts w:hint="default"/>
        <w:lang w:val="en-US" w:eastAsia="en-US" w:bidi="ar-SA"/>
      </w:rPr>
    </w:lvl>
    <w:lvl w:ilvl="1">
      <w:numFmt w:val="decimal"/>
      <w:lvlText w:val="%1.%2"/>
      <w:lvlJc w:val="left"/>
      <w:pPr>
        <w:ind w:left="1399" w:hanging="560"/>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Letter"/>
      <w:lvlText w:val="%3)"/>
      <w:lvlJc w:val="left"/>
      <w:pPr>
        <w:ind w:left="1795" w:hanging="38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46" w:hanging="382"/>
      </w:pPr>
      <w:rPr>
        <w:rFonts w:hint="default"/>
        <w:lang w:val="en-US" w:eastAsia="en-US" w:bidi="ar-SA"/>
      </w:rPr>
    </w:lvl>
    <w:lvl w:ilvl="4">
      <w:numFmt w:val="bullet"/>
      <w:lvlText w:val="•"/>
      <w:lvlJc w:val="left"/>
      <w:pPr>
        <w:ind w:left="5170" w:hanging="382"/>
      </w:pPr>
      <w:rPr>
        <w:rFonts w:hint="default"/>
        <w:lang w:val="en-US" w:eastAsia="en-US" w:bidi="ar-SA"/>
      </w:rPr>
    </w:lvl>
    <w:lvl w:ilvl="5">
      <w:numFmt w:val="bullet"/>
      <w:lvlText w:val="•"/>
      <w:lvlJc w:val="left"/>
      <w:pPr>
        <w:ind w:left="6293" w:hanging="382"/>
      </w:pPr>
      <w:rPr>
        <w:rFonts w:hint="default"/>
        <w:lang w:val="en-US" w:eastAsia="en-US" w:bidi="ar-SA"/>
      </w:rPr>
    </w:lvl>
    <w:lvl w:ilvl="6">
      <w:numFmt w:val="bullet"/>
      <w:lvlText w:val="•"/>
      <w:lvlJc w:val="left"/>
      <w:pPr>
        <w:ind w:left="7417" w:hanging="382"/>
      </w:pPr>
      <w:rPr>
        <w:rFonts w:hint="default"/>
        <w:lang w:val="en-US" w:eastAsia="en-US" w:bidi="ar-SA"/>
      </w:rPr>
    </w:lvl>
    <w:lvl w:ilvl="7">
      <w:numFmt w:val="bullet"/>
      <w:lvlText w:val="•"/>
      <w:lvlJc w:val="left"/>
      <w:pPr>
        <w:ind w:left="8540" w:hanging="382"/>
      </w:pPr>
      <w:rPr>
        <w:rFonts w:hint="default"/>
        <w:lang w:val="en-US" w:eastAsia="en-US" w:bidi="ar-SA"/>
      </w:rPr>
    </w:lvl>
    <w:lvl w:ilvl="8">
      <w:numFmt w:val="bullet"/>
      <w:lvlText w:val="•"/>
      <w:lvlJc w:val="left"/>
      <w:pPr>
        <w:ind w:left="9664" w:hanging="382"/>
      </w:pPr>
      <w:rPr>
        <w:rFonts w:hint="default"/>
        <w:lang w:val="en-US" w:eastAsia="en-US" w:bidi="ar-SA"/>
      </w:rPr>
    </w:lvl>
  </w:abstractNum>
  <w:abstractNum w:abstractNumId="247" w15:restartNumberingAfterBreak="0">
    <w:nsid w:val="7FB46BD8"/>
    <w:multiLevelType w:val="hybridMultilevel"/>
    <w:tmpl w:val="F3080856"/>
    <w:lvl w:ilvl="0" w:tplc="45E61C16">
      <w:numFmt w:val="bullet"/>
      <w:lvlText w:val=""/>
      <w:lvlJc w:val="left"/>
      <w:pPr>
        <w:ind w:left="559" w:hanging="721"/>
      </w:pPr>
      <w:rPr>
        <w:rFonts w:ascii="Wingdings" w:eastAsia="Wingdings" w:hAnsi="Wingdings" w:cs="Wingdings" w:hint="default"/>
        <w:b w:val="0"/>
        <w:bCs w:val="0"/>
        <w:i w:val="0"/>
        <w:iCs w:val="0"/>
        <w:spacing w:val="0"/>
        <w:w w:val="100"/>
        <w:sz w:val="22"/>
        <w:szCs w:val="22"/>
        <w:lang w:val="en-US" w:eastAsia="en-US" w:bidi="ar-SA"/>
      </w:rPr>
    </w:lvl>
    <w:lvl w:ilvl="1" w:tplc="E01E963A">
      <w:numFmt w:val="bullet"/>
      <w:lvlText w:val="•"/>
      <w:lvlJc w:val="left"/>
      <w:pPr>
        <w:ind w:left="1652" w:hanging="721"/>
      </w:pPr>
      <w:rPr>
        <w:rFonts w:hint="default"/>
        <w:lang w:val="en-US" w:eastAsia="en-US" w:bidi="ar-SA"/>
      </w:rPr>
    </w:lvl>
    <w:lvl w:ilvl="2" w:tplc="97A29E20">
      <w:numFmt w:val="bullet"/>
      <w:lvlText w:val="•"/>
      <w:lvlJc w:val="left"/>
      <w:pPr>
        <w:ind w:left="2745" w:hanging="721"/>
      </w:pPr>
      <w:rPr>
        <w:rFonts w:hint="default"/>
        <w:lang w:val="en-US" w:eastAsia="en-US" w:bidi="ar-SA"/>
      </w:rPr>
    </w:lvl>
    <w:lvl w:ilvl="3" w:tplc="A770EFF4">
      <w:numFmt w:val="bullet"/>
      <w:lvlText w:val="•"/>
      <w:lvlJc w:val="left"/>
      <w:pPr>
        <w:ind w:left="3838" w:hanging="721"/>
      </w:pPr>
      <w:rPr>
        <w:rFonts w:hint="default"/>
        <w:lang w:val="en-US" w:eastAsia="en-US" w:bidi="ar-SA"/>
      </w:rPr>
    </w:lvl>
    <w:lvl w:ilvl="4" w:tplc="FCE6B3E2">
      <w:numFmt w:val="bullet"/>
      <w:lvlText w:val="•"/>
      <w:lvlJc w:val="left"/>
      <w:pPr>
        <w:ind w:left="4930" w:hanging="721"/>
      </w:pPr>
      <w:rPr>
        <w:rFonts w:hint="default"/>
        <w:lang w:val="en-US" w:eastAsia="en-US" w:bidi="ar-SA"/>
      </w:rPr>
    </w:lvl>
    <w:lvl w:ilvl="5" w:tplc="6A4C4C96">
      <w:numFmt w:val="bullet"/>
      <w:lvlText w:val="•"/>
      <w:lvlJc w:val="left"/>
      <w:pPr>
        <w:ind w:left="6023" w:hanging="721"/>
      </w:pPr>
      <w:rPr>
        <w:rFonts w:hint="default"/>
        <w:lang w:val="en-US" w:eastAsia="en-US" w:bidi="ar-SA"/>
      </w:rPr>
    </w:lvl>
    <w:lvl w:ilvl="6" w:tplc="9C2003CE">
      <w:numFmt w:val="bullet"/>
      <w:lvlText w:val="•"/>
      <w:lvlJc w:val="left"/>
      <w:pPr>
        <w:ind w:left="7116" w:hanging="721"/>
      </w:pPr>
      <w:rPr>
        <w:rFonts w:hint="default"/>
        <w:lang w:val="en-US" w:eastAsia="en-US" w:bidi="ar-SA"/>
      </w:rPr>
    </w:lvl>
    <w:lvl w:ilvl="7" w:tplc="4280A88A">
      <w:numFmt w:val="bullet"/>
      <w:lvlText w:val="•"/>
      <w:lvlJc w:val="left"/>
      <w:pPr>
        <w:ind w:left="8209" w:hanging="721"/>
      </w:pPr>
      <w:rPr>
        <w:rFonts w:hint="default"/>
        <w:lang w:val="en-US" w:eastAsia="en-US" w:bidi="ar-SA"/>
      </w:rPr>
    </w:lvl>
    <w:lvl w:ilvl="8" w:tplc="4E0EBCC6">
      <w:numFmt w:val="bullet"/>
      <w:lvlText w:val="•"/>
      <w:lvlJc w:val="left"/>
      <w:pPr>
        <w:ind w:left="9301" w:hanging="721"/>
      </w:pPr>
      <w:rPr>
        <w:rFonts w:hint="default"/>
        <w:lang w:val="en-US" w:eastAsia="en-US" w:bidi="ar-SA"/>
      </w:rPr>
    </w:lvl>
  </w:abstractNum>
  <w:abstractNum w:abstractNumId="248" w15:restartNumberingAfterBreak="0">
    <w:nsid w:val="7FDD05E8"/>
    <w:multiLevelType w:val="hybridMultilevel"/>
    <w:tmpl w:val="95E6080C"/>
    <w:lvl w:ilvl="0" w:tplc="2EB68212">
      <w:start w:val="1"/>
      <w:numFmt w:val="lowerLetter"/>
      <w:lvlText w:val="%1)"/>
      <w:lvlJc w:val="left"/>
      <w:pPr>
        <w:ind w:left="1863"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DD2B192">
      <w:numFmt w:val="bullet"/>
      <w:lvlText w:val="•"/>
      <w:lvlJc w:val="left"/>
      <w:pPr>
        <w:ind w:left="2822" w:hanging="485"/>
      </w:pPr>
      <w:rPr>
        <w:rFonts w:hint="default"/>
        <w:lang w:val="en-US" w:eastAsia="en-US" w:bidi="ar-SA"/>
      </w:rPr>
    </w:lvl>
    <w:lvl w:ilvl="2" w:tplc="A860FE3C">
      <w:numFmt w:val="bullet"/>
      <w:lvlText w:val="•"/>
      <w:lvlJc w:val="left"/>
      <w:pPr>
        <w:ind w:left="3785" w:hanging="485"/>
      </w:pPr>
      <w:rPr>
        <w:rFonts w:hint="default"/>
        <w:lang w:val="en-US" w:eastAsia="en-US" w:bidi="ar-SA"/>
      </w:rPr>
    </w:lvl>
    <w:lvl w:ilvl="3" w:tplc="E6F85414">
      <w:numFmt w:val="bullet"/>
      <w:lvlText w:val="•"/>
      <w:lvlJc w:val="left"/>
      <w:pPr>
        <w:ind w:left="4748" w:hanging="485"/>
      </w:pPr>
      <w:rPr>
        <w:rFonts w:hint="default"/>
        <w:lang w:val="en-US" w:eastAsia="en-US" w:bidi="ar-SA"/>
      </w:rPr>
    </w:lvl>
    <w:lvl w:ilvl="4" w:tplc="157812DA">
      <w:numFmt w:val="bullet"/>
      <w:lvlText w:val="•"/>
      <w:lvlJc w:val="left"/>
      <w:pPr>
        <w:ind w:left="5710" w:hanging="485"/>
      </w:pPr>
      <w:rPr>
        <w:rFonts w:hint="default"/>
        <w:lang w:val="en-US" w:eastAsia="en-US" w:bidi="ar-SA"/>
      </w:rPr>
    </w:lvl>
    <w:lvl w:ilvl="5" w:tplc="B12A3184">
      <w:numFmt w:val="bullet"/>
      <w:lvlText w:val="•"/>
      <w:lvlJc w:val="left"/>
      <w:pPr>
        <w:ind w:left="6673" w:hanging="485"/>
      </w:pPr>
      <w:rPr>
        <w:rFonts w:hint="default"/>
        <w:lang w:val="en-US" w:eastAsia="en-US" w:bidi="ar-SA"/>
      </w:rPr>
    </w:lvl>
    <w:lvl w:ilvl="6" w:tplc="1C147AE2">
      <w:numFmt w:val="bullet"/>
      <w:lvlText w:val="•"/>
      <w:lvlJc w:val="left"/>
      <w:pPr>
        <w:ind w:left="7636" w:hanging="485"/>
      </w:pPr>
      <w:rPr>
        <w:rFonts w:hint="default"/>
        <w:lang w:val="en-US" w:eastAsia="en-US" w:bidi="ar-SA"/>
      </w:rPr>
    </w:lvl>
    <w:lvl w:ilvl="7" w:tplc="9F143A2A">
      <w:numFmt w:val="bullet"/>
      <w:lvlText w:val="•"/>
      <w:lvlJc w:val="left"/>
      <w:pPr>
        <w:ind w:left="8599" w:hanging="485"/>
      </w:pPr>
      <w:rPr>
        <w:rFonts w:hint="default"/>
        <w:lang w:val="en-US" w:eastAsia="en-US" w:bidi="ar-SA"/>
      </w:rPr>
    </w:lvl>
    <w:lvl w:ilvl="8" w:tplc="C434AC64">
      <w:numFmt w:val="bullet"/>
      <w:lvlText w:val="•"/>
      <w:lvlJc w:val="left"/>
      <w:pPr>
        <w:ind w:left="9561" w:hanging="485"/>
      </w:pPr>
      <w:rPr>
        <w:rFonts w:hint="default"/>
        <w:lang w:val="en-US" w:eastAsia="en-US" w:bidi="ar-SA"/>
      </w:rPr>
    </w:lvl>
  </w:abstractNum>
  <w:num w:numId="1">
    <w:abstractNumId w:val="126"/>
  </w:num>
  <w:num w:numId="2">
    <w:abstractNumId w:val="131"/>
  </w:num>
  <w:num w:numId="3">
    <w:abstractNumId w:val="222"/>
  </w:num>
  <w:num w:numId="4">
    <w:abstractNumId w:val="24"/>
  </w:num>
  <w:num w:numId="5">
    <w:abstractNumId w:val="27"/>
  </w:num>
  <w:num w:numId="6">
    <w:abstractNumId w:val="72"/>
  </w:num>
  <w:num w:numId="7">
    <w:abstractNumId w:val="244"/>
  </w:num>
  <w:num w:numId="8">
    <w:abstractNumId w:val="79"/>
  </w:num>
  <w:num w:numId="9">
    <w:abstractNumId w:val="141"/>
  </w:num>
  <w:num w:numId="10">
    <w:abstractNumId w:val="228"/>
  </w:num>
  <w:num w:numId="11">
    <w:abstractNumId w:val="191"/>
  </w:num>
  <w:num w:numId="12">
    <w:abstractNumId w:val="230"/>
  </w:num>
  <w:num w:numId="13">
    <w:abstractNumId w:val="21"/>
  </w:num>
  <w:num w:numId="14">
    <w:abstractNumId w:val="46"/>
  </w:num>
  <w:num w:numId="15">
    <w:abstractNumId w:val="92"/>
  </w:num>
  <w:num w:numId="16">
    <w:abstractNumId w:val="53"/>
  </w:num>
  <w:num w:numId="17">
    <w:abstractNumId w:val="73"/>
  </w:num>
  <w:num w:numId="18">
    <w:abstractNumId w:val="151"/>
  </w:num>
  <w:num w:numId="19">
    <w:abstractNumId w:val="201"/>
  </w:num>
  <w:num w:numId="20">
    <w:abstractNumId w:val="206"/>
  </w:num>
  <w:num w:numId="21">
    <w:abstractNumId w:val="218"/>
  </w:num>
  <w:num w:numId="22">
    <w:abstractNumId w:val="37"/>
  </w:num>
  <w:num w:numId="23">
    <w:abstractNumId w:val="68"/>
  </w:num>
  <w:num w:numId="24">
    <w:abstractNumId w:val="237"/>
  </w:num>
  <w:num w:numId="25">
    <w:abstractNumId w:val="18"/>
  </w:num>
  <w:num w:numId="26">
    <w:abstractNumId w:val="83"/>
  </w:num>
  <w:num w:numId="27">
    <w:abstractNumId w:val="94"/>
  </w:num>
  <w:num w:numId="28">
    <w:abstractNumId w:val="101"/>
  </w:num>
  <w:num w:numId="29">
    <w:abstractNumId w:val="113"/>
  </w:num>
  <w:num w:numId="30">
    <w:abstractNumId w:val="123"/>
  </w:num>
  <w:num w:numId="31">
    <w:abstractNumId w:val="248"/>
  </w:num>
  <w:num w:numId="32">
    <w:abstractNumId w:val="25"/>
  </w:num>
  <w:num w:numId="33">
    <w:abstractNumId w:val="5"/>
  </w:num>
  <w:num w:numId="34">
    <w:abstractNumId w:val="198"/>
  </w:num>
  <w:num w:numId="35">
    <w:abstractNumId w:val="223"/>
  </w:num>
  <w:num w:numId="36">
    <w:abstractNumId w:val="124"/>
  </w:num>
  <w:num w:numId="37">
    <w:abstractNumId w:val="219"/>
  </w:num>
  <w:num w:numId="38">
    <w:abstractNumId w:val="6"/>
  </w:num>
  <w:num w:numId="39">
    <w:abstractNumId w:val="69"/>
  </w:num>
  <w:num w:numId="40">
    <w:abstractNumId w:val="31"/>
  </w:num>
  <w:num w:numId="41">
    <w:abstractNumId w:val="93"/>
  </w:num>
  <w:num w:numId="42">
    <w:abstractNumId w:val="240"/>
  </w:num>
  <w:num w:numId="43">
    <w:abstractNumId w:val="51"/>
  </w:num>
  <w:num w:numId="44">
    <w:abstractNumId w:val="217"/>
  </w:num>
  <w:num w:numId="45">
    <w:abstractNumId w:val="130"/>
  </w:num>
  <w:num w:numId="46">
    <w:abstractNumId w:val="26"/>
  </w:num>
  <w:num w:numId="47">
    <w:abstractNumId w:val="30"/>
  </w:num>
  <w:num w:numId="48">
    <w:abstractNumId w:val="62"/>
  </w:num>
  <w:num w:numId="49">
    <w:abstractNumId w:val="167"/>
  </w:num>
  <w:num w:numId="50">
    <w:abstractNumId w:val="169"/>
  </w:num>
  <w:num w:numId="51">
    <w:abstractNumId w:val="129"/>
  </w:num>
  <w:num w:numId="52">
    <w:abstractNumId w:val="185"/>
  </w:num>
  <w:num w:numId="53">
    <w:abstractNumId w:val="245"/>
  </w:num>
  <w:num w:numId="54">
    <w:abstractNumId w:val="55"/>
  </w:num>
  <w:num w:numId="55">
    <w:abstractNumId w:val="194"/>
  </w:num>
  <w:num w:numId="56">
    <w:abstractNumId w:val="61"/>
  </w:num>
  <w:num w:numId="57">
    <w:abstractNumId w:val="220"/>
  </w:num>
  <w:num w:numId="58">
    <w:abstractNumId w:val="56"/>
  </w:num>
  <w:num w:numId="59">
    <w:abstractNumId w:val="112"/>
  </w:num>
  <w:num w:numId="60">
    <w:abstractNumId w:val="127"/>
  </w:num>
  <w:num w:numId="61">
    <w:abstractNumId w:val="36"/>
  </w:num>
  <w:num w:numId="62">
    <w:abstractNumId w:val="74"/>
  </w:num>
  <w:num w:numId="63">
    <w:abstractNumId w:val="211"/>
  </w:num>
  <w:num w:numId="64">
    <w:abstractNumId w:val="156"/>
  </w:num>
  <w:num w:numId="65">
    <w:abstractNumId w:val="193"/>
  </w:num>
  <w:num w:numId="66">
    <w:abstractNumId w:val="227"/>
  </w:num>
  <w:num w:numId="67">
    <w:abstractNumId w:val="87"/>
  </w:num>
  <w:num w:numId="68">
    <w:abstractNumId w:val="64"/>
  </w:num>
  <w:num w:numId="69">
    <w:abstractNumId w:val="239"/>
  </w:num>
  <w:num w:numId="70">
    <w:abstractNumId w:val="108"/>
  </w:num>
  <w:num w:numId="71">
    <w:abstractNumId w:val="11"/>
  </w:num>
  <w:num w:numId="72">
    <w:abstractNumId w:val="204"/>
  </w:num>
  <w:num w:numId="73">
    <w:abstractNumId w:val="121"/>
  </w:num>
  <w:num w:numId="74">
    <w:abstractNumId w:val="1"/>
  </w:num>
  <w:num w:numId="75">
    <w:abstractNumId w:val="216"/>
  </w:num>
  <w:num w:numId="76">
    <w:abstractNumId w:val="103"/>
  </w:num>
  <w:num w:numId="77">
    <w:abstractNumId w:val="221"/>
  </w:num>
  <w:num w:numId="78">
    <w:abstractNumId w:val="81"/>
  </w:num>
  <w:num w:numId="79">
    <w:abstractNumId w:val="243"/>
  </w:num>
  <w:num w:numId="80">
    <w:abstractNumId w:val="28"/>
  </w:num>
  <w:num w:numId="81">
    <w:abstractNumId w:val="49"/>
  </w:num>
  <w:num w:numId="82">
    <w:abstractNumId w:val="149"/>
  </w:num>
  <w:num w:numId="83">
    <w:abstractNumId w:val="17"/>
  </w:num>
  <w:num w:numId="84">
    <w:abstractNumId w:val="4"/>
  </w:num>
  <w:num w:numId="85">
    <w:abstractNumId w:val="175"/>
  </w:num>
  <w:num w:numId="86">
    <w:abstractNumId w:val="109"/>
  </w:num>
  <w:num w:numId="87">
    <w:abstractNumId w:val="43"/>
  </w:num>
  <w:num w:numId="88">
    <w:abstractNumId w:val="91"/>
  </w:num>
  <w:num w:numId="89">
    <w:abstractNumId w:val="2"/>
  </w:num>
  <w:num w:numId="90">
    <w:abstractNumId w:val="119"/>
  </w:num>
  <w:num w:numId="91">
    <w:abstractNumId w:val="105"/>
  </w:num>
  <w:num w:numId="92">
    <w:abstractNumId w:val="19"/>
  </w:num>
  <w:num w:numId="93">
    <w:abstractNumId w:val="78"/>
  </w:num>
  <w:num w:numId="94">
    <w:abstractNumId w:val="102"/>
  </w:num>
  <w:num w:numId="95">
    <w:abstractNumId w:val="90"/>
  </w:num>
  <w:num w:numId="96">
    <w:abstractNumId w:val="225"/>
  </w:num>
  <w:num w:numId="97">
    <w:abstractNumId w:val="143"/>
  </w:num>
  <w:num w:numId="98">
    <w:abstractNumId w:val="48"/>
  </w:num>
  <w:num w:numId="99">
    <w:abstractNumId w:val="134"/>
  </w:num>
  <w:num w:numId="100">
    <w:abstractNumId w:val="160"/>
  </w:num>
  <w:num w:numId="101">
    <w:abstractNumId w:val="104"/>
  </w:num>
  <w:num w:numId="102">
    <w:abstractNumId w:val="133"/>
  </w:num>
  <w:num w:numId="103">
    <w:abstractNumId w:val="33"/>
  </w:num>
  <w:num w:numId="104">
    <w:abstractNumId w:val="3"/>
  </w:num>
  <w:num w:numId="105">
    <w:abstractNumId w:val="10"/>
  </w:num>
  <w:num w:numId="106">
    <w:abstractNumId w:val="89"/>
  </w:num>
  <w:num w:numId="107">
    <w:abstractNumId w:val="155"/>
  </w:num>
  <w:num w:numId="108">
    <w:abstractNumId w:val="183"/>
  </w:num>
  <w:num w:numId="109">
    <w:abstractNumId w:val="188"/>
  </w:num>
  <w:num w:numId="110">
    <w:abstractNumId w:val="168"/>
  </w:num>
  <w:num w:numId="111">
    <w:abstractNumId w:val="95"/>
  </w:num>
  <w:num w:numId="112">
    <w:abstractNumId w:val="96"/>
  </w:num>
  <w:num w:numId="113">
    <w:abstractNumId w:val="213"/>
  </w:num>
  <w:num w:numId="114">
    <w:abstractNumId w:val="171"/>
  </w:num>
  <w:num w:numId="115">
    <w:abstractNumId w:val="140"/>
  </w:num>
  <w:num w:numId="116">
    <w:abstractNumId w:val="70"/>
  </w:num>
  <w:num w:numId="117">
    <w:abstractNumId w:val="153"/>
  </w:num>
  <w:num w:numId="118">
    <w:abstractNumId w:val="137"/>
  </w:num>
  <w:num w:numId="119">
    <w:abstractNumId w:val="77"/>
  </w:num>
  <w:num w:numId="120">
    <w:abstractNumId w:val="29"/>
  </w:num>
  <w:num w:numId="121">
    <w:abstractNumId w:val="233"/>
  </w:num>
  <w:num w:numId="122">
    <w:abstractNumId w:val="145"/>
  </w:num>
  <w:num w:numId="123">
    <w:abstractNumId w:val="111"/>
  </w:num>
  <w:num w:numId="124">
    <w:abstractNumId w:val="197"/>
  </w:num>
  <w:num w:numId="125">
    <w:abstractNumId w:val="235"/>
  </w:num>
  <w:num w:numId="126">
    <w:abstractNumId w:val="172"/>
  </w:num>
  <w:num w:numId="127">
    <w:abstractNumId w:val="224"/>
  </w:num>
  <w:num w:numId="128">
    <w:abstractNumId w:val="203"/>
  </w:num>
  <w:num w:numId="129">
    <w:abstractNumId w:val="82"/>
  </w:num>
  <w:num w:numId="130">
    <w:abstractNumId w:val="65"/>
  </w:num>
  <w:num w:numId="131">
    <w:abstractNumId w:val="208"/>
  </w:num>
  <w:num w:numId="132">
    <w:abstractNumId w:val="241"/>
  </w:num>
  <w:num w:numId="133">
    <w:abstractNumId w:val="66"/>
  </w:num>
  <w:num w:numId="134">
    <w:abstractNumId w:val="76"/>
  </w:num>
  <w:num w:numId="135">
    <w:abstractNumId w:val="144"/>
  </w:num>
  <w:num w:numId="136">
    <w:abstractNumId w:val="99"/>
  </w:num>
  <w:num w:numId="137">
    <w:abstractNumId w:val="170"/>
  </w:num>
  <w:num w:numId="138">
    <w:abstractNumId w:val="39"/>
  </w:num>
  <w:num w:numId="139">
    <w:abstractNumId w:val="162"/>
  </w:num>
  <w:num w:numId="140">
    <w:abstractNumId w:val="142"/>
  </w:num>
  <w:num w:numId="141">
    <w:abstractNumId w:val="38"/>
  </w:num>
  <w:num w:numId="142">
    <w:abstractNumId w:val="32"/>
  </w:num>
  <w:num w:numId="143">
    <w:abstractNumId w:val="209"/>
  </w:num>
  <w:num w:numId="144">
    <w:abstractNumId w:val="182"/>
  </w:num>
  <w:num w:numId="145">
    <w:abstractNumId w:val="192"/>
  </w:num>
  <w:num w:numId="146">
    <w:abstractNumId w:val="60"/>
  </w:num>
  <w:num w:numId="147">
    <w:abstractNumId w:val="57"/>
  </w:num>
  <w:num w:numId="148">
    <w:abstractNumId w:val="100"/>
  </w:num>
  <w:num w:numId="149">
    <w:abstractNumId w:val="44"/>
  </w:num>
  <w:num w:numId="150">
    <w:abstractNumId w:val="54"/>
  </w:num>
  <w:num w:numId="151">
    <w:abstractNumId w:val="58"/>
  </w:num>
  <w:num w:numId="152">
    <w:abstractNumId w:val="86"/>
  </w:num>
  <w:num w:numId="153">
    <w:abstractNumId w:val="176"/>
  </w:num>
  <w:num w:numId="154">
    <w:abstractNumId w:val="85"/>
  </w:num>
  <w:num w:numId="155">
    <w:abstractNumId w:val="247"/>
  </w:num>
  <w:num w:numId="156">
    <w:abstractNumId w:val="132"/>
  </w:num>
  <w:num w:numId="157">
    <w:abstractNumId w:val="136"/>
  </w:num>
  <w:num w:numId="158">
    <w:abstractNumId w:val="229"/>
  </w:num>
  <w:num w:numId="159">
    <w:abstractNumId w:val="189"/>
  </w:num>
  <w:num w:numId="160">
    <w:abstractNumId w:val="214"/>
  </w:num>
  <w:num w:numId="161">
    <w:abstractNumId w:val="158"/>
  </w:num>
  <w:num w:numId="162">
    <w:abstractNumId w:val="238"/>
  </w:num>
  <w:num w:numId="163">
    <w:abstractNumId w:val="186"/>
  </w:num>
  <w:num w:numId="164">
    <w:abstractNumId w:val="164"/>
  </w:num>
  <w:num w:numId="165">
    <w:abstractNumId w:val="80"/>
  </w:num>
  <w:num w:numId="166">
    <w:abstractNumId w:val="23"/>
  </w:num>
  <w:num w:numId="167">
    <w:abstractNumId w:val="154"/>
  </w:num>
  <w:num w:numId="168">
    <w:abstractNumId w:val="242"/>
  </w:num>
  <w:num w:numId="169">
    <w:abstractNumId w:val="12"/>
  </w:num>
  <w:num w:numId="170">
    <w:abstractNumId w:val="147"/>
  </w:num>
  <w:num w:numId="171">
    <w:abstractNumId w:val="200"/>
  </w:num>
  <w:num w:numId="172">
    <w:abstractNumId w:val="110"/>
  </w:num>
  <w:num w:numId="173">
    <w:abstractNumId w:val="195"/>
  </w:num>
  <w:num w:numId="174">
    <w:abstractNumId w:val="161"/>
  </w:num>
  <w:num w:numId="175">
    <w:abstractNumId w:val="34"/>
  </w:num>
  <w:num w:numId="176">
    <w:abstractNumId w:val="187"/>
  </w:num>
  <w:num w:numId="177">
    <w:abstractNumId w:val="125"/>
  </w:num>
  <w:num w:numId="178">
    <w:abstractNumId w:val="180"/>
  </w:num>
  <w:num w:numId="179">
    <w:abstractNumId w:val="226"/>
  </w:num>
  <w:num w:numId="180">
    <w:abstractNumId w:val="63"/>
  </w:num>
  <w:num w:numId="181">
    <w:abstractNumId w:val="8"/>
  </w:num>
  <w:num w:numId="182">
    <w:abstractNumId w:val="116"/>
  </w:num>
  <w:num w:numId="183">
    <w:abstractNumId w:val="152"/>
  </w:num>
  <w:num w:numId="184">
    <w:abstractNumId w:val="138"/>
  </w:num>
  <w:num w:numId="185">
    <w:abstractNumId w:val="139"/>
  </w:num>
  <w:num w:numId="186">
    <w:abstractNumId w:val="20"/>
  </w:num>
  <w:num w:numId="187">
    <w:abstractNumId w:val="196"/>
  </w:num>
  <w:num w:numId="188">
    <w:abstractNumId w:val="120"/>
  </w:num>
  <w:num w:numId="189">
    <w:abstractNumId w:val="118"/>
  </w:num>
  <w:num w:numId="190">
    <w:abstractNumId w:val="50"/>
  </w:num>
  <w:num w:numId="191">
    <w:abstractNumId w:val="166"/>
  </w:num>
  <w:num w:numId="192">
    <w:abstractNumId w:val="212"/>
  </w:num>
  <w:num w:numId="193">
    <w:abstractNumId w:val="114"/>
  </w:num>
  <w:num w:numId="194">
    <w:abstractNumId w:val="13"/>
  </w:num>
  <w:num w:numId="195">
    <w:abstractNumId w:val="210"/>
  </w:num>
  <w:num w:numId="196">
    <w:abstractNumId w:val="135"/>
  </w:num>
  <w:num w:numId="197">
    <w:abstractNumId w:val="0"/>
  </w:num>
  <w:num w:numId="198">
    <w:abstractNumId w:val="35"/>
  </w:num>
  <w:num w:numId="199">
    <w:abstractNumId w:val="22"/>
  </w:num>
  <w:num w:numId="200">
    <w:abstractNumId w:val="173"/>
  </w:num>
  <w:num w:numId="201">
    <w:abstractNumId w:val="231"/>
  </w:num>
  <w:num w:numId="202">
    <w:abstractNumId w:val="9"/>
  </w:num>
  <w:num w:numId="203">
    <w:abstractNumId w:val="106"/>
  </w:num>
  <w:num w:numId="204">
    <w:abstractNumId w:val="159"/>
  </w:num>
  <w:num w:numId="205">
    <w:abstractNumId w:val="75"/>
  </w:num>
  <w:num w:numId="206">
    <w:abstractNumId w:val="98"/>
  </w:num>
  <w:num w:numId="207">
    <w:abstractNumId w:val="199"/>
  </w:num>
  <w:num w:numId="208">
    <w:abstractNumId w:val="148"/>
  </w:num>
  <w:num w:numId="209">
    <w:abstractNumId w:val="177"/>
  </w:num>
  <w:num w:numId="210">
    <w:abstractNumId w:val="232"/>
  </w:num>
  <w:num w:numId="211">
    <w:abstractNumId w:val="15"/>
  </w:num>
  <w:num w:numId="212">
    <w:abstractNumId w:val="67"/>
  </w:num>
  <w:num w:numId="213">
    <w:abstractNumId w:val="14"/>
  </w:num>
  <w:num w:numId="214">
    <w:abstractNumId w:val="16"/>
  </w:num>
  <w:num w:numId="215">
    <w:abstractNumId w:val="107"/>
  </w:num>
  <w:num w:numId="216">
    <w:abstractNumId w:val="207"/>
  </w:num>
  <w:num w:numId="217">
    <w:abstractNumId w:val="246"/>
  </w:num>
  <w:num w:numId="218">
    <w:abstractNumId w:val="174"/>
  </w:num>
  <w:num w:numId="219">
    <w:abstractNumId w:val="215"/>
  </w:num>
  <w:num w:numId="220">
    <w:abstractNumId w:val="59"/>
  </w:num>
  <w:num w:numId="221">
    <w:abstractNumId w:val="165"/>
  </w:num>
  <w:num w:numId="222">
    <w:abstractNumId w:val="150"/>
  </w:num>
  <w:num w:numId="223">
    <w:abstractNumId w:val="146"/>
  </w:num>
  <w:num w:numId="224">
    <w:abstractNumId w:val="42"/>
  </w:num>
  <w:num w:numId="225">
    <w:abstractNumId w:val="117"/>
  </w:num>
  <w:num w:numId="226">
    <w:abstractNumId w:val="45"/>
  </w:num>
  <w:num w:numId="227">
    <w:abstractNumId w:val="163"/>
  </w:num>
  <w:num w:numId="228">
    <w:abstractNumId w:val="178"/>
  </w:num>
  <w:num w:numId="229">
    <w:abstractNumId w:val="88"/>
  </w:num>
  <w:num w:numId="230">
    <w:abstractNumId w:val="71"/>
  </w:num>
  <w:num w:numId="231">
    <w:abstractNumId w:val="157"/>
  </w:num>
  <w:num w:numId="232">
    <w:abstractNumId w:val="40"/>
  </w:num>
  <w:num w:numId="233">
    <w:abstractNumId w:val="236"/>
  </w:num>
  <w:num w:numId="234">
    <w:abstractNumId w:val="115"/>
  </w:num>
  <w:num w:numId="235">
    <w:abstractNumId w:val="7"/>
  </w:num>
  <w:num w:numId="236">
    <w:abstractNumId w:val="41"/>
  </w:num>
  <w:num w:numId="237">
    <w:abstractNumId w:val="52"/>
  </w:num>
  <w:num w:numId="238">
    <w:abstractNumId w:val="181"/>
  </w:num>
  <w:num w:numId="239">
    <w:abstractNumId w:val="184"/>
  </w:num>
  <w:num w:numId="240">
    <w:abstractNumId w:val="202"/>
  </w:num>
  <w:num w:numId="241">
    <w:abstractNumId w:val="122"/>
  </w:num>
  <w:num w:numId="242">
    <w:abstractNumId w:val="97"/>
  </w:num>
  <w:num w:numId="243">
    <w:abstractNumId w:val="179"/>
  </w:num>
  <w:num w:numId="244">
    <w:abstractNumId w:val="128"/>
  </w:num>
  <w:num w:numId="245">
    <w:abstractNumId w:val="234"/>
  </w:num>
  <w:num w:numId="246">
    <w:abstractNumId w:val="47"/>
  </w:num>
  <w:num w:numId="247">
    <w:abstractNumId w:val="205"/>
  </w:num>
  <w:num w:numId="248">
    <w:abstractNumId w:val="190"/>
  </w:num>
  <w:num w:numId="249">
    <w:abstractNumId w:val="84"/>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F6DF9"/>
    <w:rsid w:val="000809BB"/>
    <w:rsid w:val="00085147"/>
    <w:rsid w:val="000C4CE3"/>
    <w:rsid w:val="00222B11"/>
    <w:rsid w:val="003E2BF5"/>
    <w:rsid w:val="00436B4B"/>
    <w:rsid w:val="00482502"/>
    <w:rsid w:val="004C3752"/>
    <w:rsid w:val="00662002"/>
    <w:rsid w:val="006A3869"/>
    <w:rsid w:val="00715D2C"/>
    <w:rsid w:val="0074681E"/>
    <w:rsid w:val="007F6DF9"/>
    <w:rsid w:val="00883FED"/>
    <w:rsid w:val="00A1367C"/>
    <w:rsid w:val="00A43FBC"/>
    <w:rsid w:val="00A931E2"/>
    <w:rsid w:val="00AB1E8F"/>
    <w:rsid w:val="00B149D3"/>
    <w:rsid w:val="00B22BD9"/>
    <w:rsid w:val="00BD67AA"/>
    <w:rsid w:val="00C60C0A"/>
    <w:rsid w:val="00CD0F3D"/>
    <w:rsid w:val="00FC3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A5546"/>
  <w15:docId w15:val="{EAC83E5D-C5CF-420E-9AAE-A41E3B61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jc w:val="center"/>
      <w:outlineLvl w:val="0"/>
    </w:pPr>
    <w:rPr>
      <w:b/>
      <w:bCs/>
      <w:sz w:val="48"/>
      <w:szCs w:val="48"/>
    </w:rPr>
  </w:style>
  <w:style w:type="paragraph" w:styleId="Heading2">
    <w:name w:val="heading 2"/>
    <w:basedOn w:val="Normal"/>
    <w:uiPriority w:val="1"/>
    <w:qFormat/>
    <w:pPr>
      <w:ind w:left="60"/>
      <w:outlineLvl w:val="1"/>
    </w:pPr>
    <w:rPr>
      <w:rFonts w:ascii="Cambria" w:eastAsia="Cambria" w:hAnsi="Cambria" w:cs="Cambria"/>
      <w:b/>
      <w:bCs/>
      <w:sz w:val="47"/>
      <w:szCs w:val="47"/>
    </w:rPr>
  </w:style>
  <w:style w:type="paragraph" w:styleId="Heading3">
    <w:name w:val="heading 3"/>
    <w:basedOn w:val="Normal"/>
    <w:uiPriority w:val="1"/>
    <w:qFormat/>
    <w:pPr>
      <w:spacing w:before="1"/>
      <w:ind w:left="1670"/>
      <w:outlineLvl w:val="2"/>
    </w:pPr>
    <w:rPr>
      <w:rFonts w:ascii="Cambria" w:eastAsia="Cambria" w:hAnsi="Cambria" w:cs="Cambria"/>
      <w:b/>
      <w:bCs/>
      <w:sz w:val="33"/>
      <w:szCs w:val="33"/>
      <w:u w:val="single" w:color="000000"/>
    </w:rPr>
  </w:style>
  <w:style w:type="paragraph" w:styleId="Heading4">
    <w:name w:val="heading 4"/>
    <w:basedOn w:val="Normal"/>
    <w:uiPriority w:val="1"/>
    <w:qFormat/>
    <w:pPr>
      <w:ind w:left="60"/>
      <w:outlineLvl w:val="3"/>
    </w:pPr>
    <w:rPr>
      <w:b/>
      <w:bCs/>
      <w:sz w:val="28"/>
      <w:szCs w:val="28"/>
    </w:rPr>
  </w:style>
  <w:style w:type="paragraph" w:styleId="Heading5">
    <w:name w:val="heading 5"/>
    <w:basedOn w:val="Normal"/>
    <w:uiPriority w:val="1"/>
    <w:qFormat/>
    <w:pPr>
      <w:spacing w:line="277" w:lineRule="exact"/>
      <w:ind w:left="20"/>
      <w:outlineLvl w:val="4"/>
    </w:pPr>
    <w:rPr>
      <w:rFonts w:ascii="Arial MT" w:eastAsia="Arial MT" w:hAnsi="Arial MT" w:cs="Arial MT"/>
      <w:sz w:val="26"/>
      <w:szCs w:val="26"/>
    </w:rPr>
  </w:style>
  <w:style w:type="paragraph" w:styleId="Heading6">
    <w:name w:val="heading 6"/>
    <w:basedOn w:val="Normal"/>
    <w:uiPriority w:val="1"/>
    <w:qFormat/>
    <w:pPr>
      <w:ind w:left="711"/>
      <w:outlineLvl w:val="5"/>
    </w:pPr>
    <w:rPr>
      <w:b/>
      <w:bCs/>
      <w:sz w:val="24"/>
      <w:szCs w:val="24"/>
    </w:rPr>
  </w:style>
  <w:style w:type="paragraph" w:styleId="Heading7">
    <w:name w:val="heading 7"/>
    <w:basedOn w:val="Normal"/>
    <w:uiPriority w:val="1"/>
    <w:qFormat/>
    <w:pPr>
      <w:ind w:left="559"/>
      <w:outlineLvl w:val="6"/>
    </w:pPr>
    <w:rPr>
      <w:b/>
      <w:bCs/>
      <w:sz w:val="24"/>
      <w:szCs w:val="24"/>
    </w:rPr>
  </w:style>
  <w:style w:type="paragraph" w:styleId="Heading8">
    <w:name w:val="heading 8"/>
    <w:basedOn w:val="Normal"/>
    <w:uiPriority w:val="1"/>
    <w:qFormat/>
    <w:pPr>
      <w:ind w:left="1421"/>
      <w:outlineLvl w:val="7"/>
    </w:pPr>
    <w:rPr>
      <w:b/>
      <w:bCs/>
    </w:rPr>
  </w:style>
  <w:style w:type="paragraph" w:styleId="Heading9">
    <w:name w:val="heading 9"/>
    <w:basedOn w:val="Normal"/>
    <w:uiPriority w:val="1"/>
    <w:qFormat/>
    <w:pPr>
      <w:ind w:left="1368" w:hanging="6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5"/>
      <w:ind w:left="847"/>
    </w:pPr>
    <w:rPr>
      <w:b/>
      <w:bCs/>
    </w:rPr>
  </w:style>
  <w:style w:type="paragraph" w:styleId="TOC2">
    <w:name w:val="toc 2"/>
    <w:basedOn w:val="Normal"/>
    <w:uiPriority w:val="1"/>
    <w:qFormat/>
    <w:pPr>
      <w:spacing w:line="245" w:lineRule="exact"/>
      <w:ind w:left="1615" w:hanging="768"/>
    </w:pPr>
  </w:style>
  <w:style w:type="paragraph" w:styleId="TOC3">
    <w:name w:val="toc 3"/>
    <w:basedOn w:val="Normal"/>
    <w:uiPriority w:val="1"/>
    <w:qFormat/>
    <w:pPr>
      <w:spacing w:before="16"/>
      <w:ind w:left="1663" w:hanging="470"/>
    </w:pPr>
  </w:style>
  <w:style w:type="paragraph" w:styleId="TOC4">
    <w:name w:val="toc 4"/>
    <w:basedOn w:val="Normal"/>
    <w:uiPriority w:val="1"/>
    <w:qFormat/>
    <w:pPr>
      <w:spacing w:before="16"/>
      <w:ind w:left="1663" w:hanging="470"/>
    </w:pPr>
  </w:style>
  <w:style w:type="paragraph" w:styleId="TOC5">
    <w:name w:val="toc 5"/>
    <w:basedOn w:val="Normal"/>
    <w:uiPriority w:val="1"/>
    <w:qFormat/>
    <w:pPr>
      <w:spacing w:before="16"/>
      <w:ind w:left="1952" w:hanging="289"/>
    </w:pPr>
  </w:style>
  <w:style w:type="paragraph" w:styleId="BodyText">
    <w:name w:val="Body Text"/>
    <w:basedOn w:val="Normal"/>
    <w:uiPriority w:val="1"/>
    <w:qFormat/>
  </w:style>
  <w:style w:type="paragraph" w:styleId="ListParagraph">
    <w:name w:val="List Paragraph"/>
    <w:basedOn w:val="Normal"/>
    <w:uiPriority w:val="1"/>
    <w:qFormat/>
    <w:pPr>
      <w:ind w:left="1378" w:hanging="661"/>
    </w:pPr>
  </w:style>
  <w:style w:type="paragraph" w:customStyle="1" w:styleId="TableParagraph">
    <w:name w:val="Table Paragraph"/>
    <w:basedOn w:val="Normal"/>
    <w:uiPriority w:val="1"/>
    <w:qFormat/>
    <w:rPr>
      <w:rFonts w:ascii="Tahoma" w:eastAsia="Tahoma" w:hAnsi="Tahoma" w:cs="Tahoma"/>
    </w:rPr>
  </w:style>
  <w:style w:type="character" w:styleId="Strong">
    <w:name w:val="Strong"/>
    <w:basedOn w:val="DefaultParagraphFont"/>
    <w:uiPriority w:val="22"/>
    <w:qFormat/>
    <w:rsid w:val="007468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header" Target="header17.xml"/><Relationship Id="rId63" Type="http://schemas.openxmlformats.org/officeDocument/2006/relationships/header" Target="header33.xml"/><Relationship Id="rId68" Type="http://schemas.openxmlformats.org/officeDocument/2006/relationships/header" Target="header38.xml"/><Relationship Id="rId84" Type="http://schemas.openxmlformats.org/officeDocument/2006/relationships/image" Target="media/image6.png"/><Relationship Id="rId89" Type="http://schemas.openxmlformats.org/officeDocument/2006/relationships/image" Target="media/image11.png"/><Relationship Id="rId7" Type="http://schemas.openxmlformats.org/officeDocument/2006/relationships/image" Target="media/image1.jpeg"/><Relationship Id="rId71" Type="http://schemas.openxmlformats.org/officeDocument/2006/relationships/footer" Target="footer14.xml"/><Relationship Id="rId92"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mailto:complaints@ppra.go.ke" TargetMode="External"/><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footer" Target="footer12.xml"/><Relationship Id="rId45" Type="http://schemas.openxmlformats.org/officeDocument/2006/relationships/hyperlink" Target="mailto:%20info@ppra.go.ke" TargetMode="External"/><Relationship Id="rId53" Type="http://schemas.openxmlformats.org/officeDocument/2006/relationships/header" Target="header23.xml"/><Relationship Id="rId58" Type="http://schemas.openxmlformats.org/officeDocument/2006/relationships/header" Target="header28.xml"/><Relationship Id="rId66" Type="http://schemas.openxmlformats.org/officeDocument/2006/relationships/header" Target="header36.xml"/><Relationship Id="rId74" Type="http://schemas.openxmlformats.org/officeDocument/2006/relationships/header" Target="header42.xml"/><Relationship Id="rId79" Type="http://schemas.openxmlformats.org/officeDocument/2006/relationships/footer" Target="footer17.xml"/><Relationship Id="rId87" Type="http://schemas.openxmlformats.org/officeDocument/2006/relationships/image" Target="media/image9.png"/><Relationship Id="rId102" Type="http://schemas.openxmlformats.org/officeDocument/2006/relationships/header" Target="header47.xml"/><Relationship Id="rId5" Type="http://schemas.openxmlformats.org/officeDocument/2006/relationships/footnotes" Target="footnotes.xml"/><Relationship Id="rId61" Type="http://schemas.openxmlformats.org/officeDocument/2006/relationships/header" Target="header31.xml"/><Relationship Id="rId82" Type="http://schemas.openxmlformats.org/officeDocument/2006/relationships/image" Target="media/image4.png"/><Relationship Id="rId90" Type="http://schemas.openxmlformats.org/officeDocument/2006/relationships/image" Target="media/image12.png"/><Relationship Id="rId95" Type="http://schemas.openxmlformats.org/officeDocument/2006/relationships/image" Target="media/image17.png"/><Relationship Id="rId19" Type="http://schemas.openxmlformats.org/officeDocument/2006/relationships/header" Target="header4.xml"/><Relationship Id="rId14" Type="http://schemas.openxmlformats.org/officeDocument/2006/relationships/hyperlink" Target="http://www.cak.go.ke/" TargetMode="Externa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yperlink" Target="http://www.ppra.go.ke/" TargetMode="External"/><Relationship Id="rId43" Type="http://schemas.openxmlformats.org/officeDocument/2006/relationships/footer" Target="footer13.xml"/><Relationship Id="rId48" Type="http://schemas.openxmlformats.org/officeDocument/2006/relationships/header" Target="header18.xml"/><Relationship Id="rId56" Type="http://schemas.openxmlformats.org/officeDocument/2006/relationships/header" Target="header26.xml"/><Relationship Id="rId64" Type="http://schemas.openxmlformats.org/officeDocument/2006/relationships/header" Target="header34.xml"/><Relationship Id="rId69" Type="http://schemas.openxmlformats.org/officeDocument/2006/relationships/header" Target="header39.xml"/><Relationship Id="rId77" Type="http://schemas.openxmlformats.org/officeDocument/2006/relationships/header" Target="header44.xml"/><Relationship Id="rId100" Type="http://schemas.openxmlformats.org/officeDocument/2006/relationships/image" Target="media/image22.pn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eader" Target="header41.xml"/><Relationship Id="rId80" Type="http://schemas.openxmlformats.org/officeDocument/2006/relationships/header" Target="header46.xml"/><Relationship Id="rId85" Type="http://schemas.openxmlformats.org/officeDocument/2006/relationships/image" Target="media/image7.png"/><Relationship Id="rId93" Type="http://schemas.openxmlformats.org/officeDocument/2006/relationships/image" Target="media/image15.png"/><Relationship Id="rId98"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hyperlink" Target="http://www.ppra.go.ke/"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footer" Target="footer11.xml"/><Relationship Id="rId46" Type="http://schemas.openxmlformats.org/officeDocument/2006/relationships/header" Target="header16.xml"/><Relationship Id="rId59" Type="http://schemas.openxmlformats.org/officeDocument/2006/relationships/header" Target="header29.xml"/><Relationship Id="rId67" Type="http://schemas.openxmlformats.org/officeDocument/2006/relationships/header" Target="header37.xml"/><Relationship Id="rId103" Type="http://schemas.openxmlformats.org/officeDocument/2006/relationships/footer" Target="footer19.xml"/><Relationship Id="rId20" Type="http://schemas.openxmlformats.org/officeDocument/2006/relationships/footer" Target="footer4.xml"/><Relationship Id="rId41" Type="http://schemas.openxmlformats.org/officeDocument/2006/relationships/image" Target="media/image3.jpeg"/><Relationship Id="rId54" Type="http://schemas.openxmlformats.org/officeDocument/2006/relationships/header" Target="header24.xml"/><Relationship Id="rId62" Type="http://schemas.openxmlformats.org/officeDocument/2006/relationships/header" Target="header32.xml"/><Relationship Id="rId70" Type="http://schemas.openxmlformats.org/officeDocument/2006/relationships/header" Target="header40.xml"/><Relationship Id="rId75" Type="http://schemas.openxmlformats.org/officeDocument/2006/relationships/header" Target="header43.xml"/><Relationship Id="rId83" Type="http://schemas.openxmlformats.org/officeDocument/2006/relationships/image" Target="media/image5.png"/><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pra.go.ke/"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2.png"/><Relationship Id="rId49" Type="http://schemas.openxmlformats.org/officeDocument/2006/relationships/header" Target="header19.xml"/><Relationship Id="rId57" Type="http://schemas.openxmlformats.org/officeDocument/2006/relationships/header" Target="header27.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yperlink" Target="http://www.ppra.go.ke/" TargetMode="External"/><Relationship Id="rId52" Type="http://schemas.openxmlformats.org/officeDocument/2006/relationships/header" Target="header22.xml"/><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footer" Target="footer15.xml"/><Relationship Id="rId78" Type="http://schemas.openxmlformats.org/officeDocument/2006/relationships/header" Target="header45.xml"/><Relationship Id="rId81" Type="http://schemas.openxmlformats.org/officeDocument/2006/relationships/footer" Target="footer18.xml"/><Relationship Id="rId86" Type="http://schemas.openxmlformats.org/officeDocument/2006/relationships/image" Target="media/image8.png"/><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nca.go.ke/" TargetMode="External"/><Relationship Id="rId18" Type="http://schemas.openxmlformats.org/officeDocument/2006/relationships/footer" Target="footer3.xml"/><Relationship Id="rId39" Type="http://schemas.openxmlformats.org/officeDocument/2006/relationships/header" Target="header14.xml"/><Relationship Id="rId34" Type="http://schemas.openxmlformats.org/officeDocument/2006/relationships/footer" Target="footer10.xml"/><Relationship Id="rId50" Type="http://schemas.openxmlformats.org/officeDocument/2006/relationships/header" Target="header20.xml"/><Relationship Id="rId55" Type="http://schemas.openxmlformats.org/officeDocument/2006/relationships/header" Target="header25.xml"/><Relationship Id="rId76" Type="http://schemas.openxmlformats.org/officeDocument/2006/relationships/footer" Target="footer16.xml"/><Relationship Id="rId97" Type="http://schemas.openxmlformats.org/officeDocument/2006/relationships/image" Target="media/image19.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2691</TotalTime>
  <Pages>199</Pages>
  <Words>71873</Words>
  <Characters>409682</Characters>
  <Application>Microsoft Office Word</Application>
  <DocSecurity>0</DocSecurity>
  <Lines>3414</Lines>
  <Paragraphs>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Ndungu</dc:creator>
  <cp:lastModifiedBy>User</cp:lastModifiedBy>
  <cp:revision>8</cp:revision>
  <dcterms:created xsi:type="dcterms:W3CDTF">2026-04-08T18:31:00Z</dcterms:created>
  <dcterms:modified xsi:type="dcterms:W3CDTF">2026-04-11T08:14:00Z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2026-04-06T00:00:00Z</vt:filetime>
  </property>
  <property fmtid="{D5CDD505-2E9C-101B-9397-08002B2CF9AE}" pid="4" name="Creator">
    <vt:lpwstr>Adobe Acrobat Pro DC (64-bit) 22.2.20191</vt:lpwstr>
  </property>
  <property fmtid="{D5CDD505-2E9C-101B-9397-08002B2CF9AE}" pid="5" name="LastSaved">
    <vt:filetime>2026-04-08T00:00:00Z</vt:filetime>
  </property>
  <property fmtid="{D5CDD505-2E9C-101B-9397-08002B2CF9AE}" pid="6" name="Producer">
    <vt:lpwstr>Adobe Acrobat Pro DC (64-bit) 22.2.20191</vt:lpwstr>
  </property>
</Properties>
</file>